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89F9E9" w14:textId="44A3441D" w:rsidR="00023312" w:rsidRPr="00826B4C" w:rsidRDefault="003A3401" w:rsidP="00E37539">
      <w:pPr>
        <w:spacing w:before="360"/>
        <w:jc w:val="center"/>
      </w:pPr>
      <w:bookmarkStart w:id="0" w:name="_GoBack"/>
      <w:bookmarkEnd w:id="0"/>
      <w:r w:rsidRPr="00826B4C">
        <w:rPr>
          <w:noProof/>
        </w:rPr>
        <w:drawing>
          <wp:inline distT="0" distB="0" distL="0" distR="0" wp14:anchorId="4678F01D" wp14:editId="10881114">
            <wp:extent cx="3800475" cy="2962275"/>
            <wp:effectExtent l="0" t="0" r="9525" b="9525"/>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bg_secondary_with_crest.gif"/>
                    <pic:cNvPicPr/>
                  </pic:nvPicPr>
                  <pic:blipFill>
                    <a:blip r:embed="rId13">
                      <a:extLst>
                        <a:ext uri="{28A0092B-C50C-407E-A947-70E740481C1C}">
                          <a14:useLocalDpi xmlns:a14="http://schemas.microsoft.com/office/drawing/2010/main" val="0"/>
                        </a:ext>
                      </a:extLst>
                    </a:blip>
                    <a:stretch>
                      <a:fillRect/>
                    </a:stretch>
                  </pic:blipFill>
                  <pic:spPr>
                    <a:xfrm>
                      <a:off x="0" y="0"/>
                      <a:ext cx="3800475" cy="2962275"/>
                    </a:xfrm>
                    <a:prstGeom prst="rect">
                      <a:avLst/>
                    </a:prstGeom>
                  </pic:spPr>
                </pic:pic>
              </a:graphicData>
            </a:graphic>
          </wp:inline>
        </w:drawing>
      </w:r>
    </w:p>
    <w:sdt>
      <w:sdtPr>
        <w:rPr>
          <w:sz w:val="56"/>
          <w:szCs w:val="56"/>
        </w:rPr>
        <w:alias w:val="Title"/>
        <w:tag w:val=""/>
        <w:id w:val="511570361"/>
        <w:placeholder>
          <w:docPart w:val="5AB09EBDE449485B8C4AE5C520DD698B"/>
        </w:placeholder>
        <w:dataBinding w:prefixMappings="xmlns:ns0='http://purl.org/dc/elements/1.1/' xmlns:ns1='http://schemas.openxmlformats.org/package/2006/metadata/core-properties' " w:xpath="/ns1:coreProperties[1]/ns0:title[1]" w:storeItemID="{6C3C8BC8-F283-45AE-878A-BAB7291924A1}"/>
        <w:text/>
      </w:sdtPr>
      <w:sdtEndPr/>
      <w:sdtContent>
        <w:p w14:paraId="4511B438" w14:textId="7A62690C" w:rsidR="00B97683" w:rsidRPr="00B97683" w:rsidRDefault="00B97683" w:rsidP="004340AB">
          <w:pPr>
            <w:spacing w:before="1920"/>
            <w:jc w:val="center"/>
            <w:rPr>
              <w:sz w:val="56"/>
              <w:szCs w:val="56"/>
            </w:rPr>
          </w:pPr>
          <w:r w:rsidRPr="00B97683">
            <w:rPr>
              <w:sz w:val="56"/>
              <w:szCs w:val="56"/>
            </w:rPr>
            <w:t>Financial Statement Guidelines for Australian Higher Education Providers for the 2014 Reporting Period</w:t>
          </w:r>
        </w:p>
      </w:sdtContent>
    </w:sdt>
    <w:p w14:paraId="0389F9FD" w14:textId="5697E534" w:rsidR="00023312" w:rsidRPr="004340AB" w:rsidRDefault="002A430C" w:rsidP="004340AB">
      <w:pPr>
        <w:spacing w:before="1100"/>
        <w:jc w:val="center"/>
      </w:pPr>
      <w:r w:rsidRPr="004340AB">
        <w:t>19</w:t>
      </w:r>
      <w:r w:rsidR="00E259A4" w:rsidRPr="004340AB">
        <w:t xml:space="preserve"> December </w:t>
      </w:r>
      <w:r w:rsidR="006864EC" w:rsidRPr="004340AB">
        <w:t>2014</w:t>
      </w:r>
    </w:p>
    <w:p w14:paraId="0389FA01" w14:textId="4DEBA8AD" w:rsidR="00924D68" w:rsidRDefault="00924D68" w:rsidP="00924D68">
      <w:pPr>
        <w:spacing w:beforeLines="880" w:before="2112"/>
        <w:jc w:val="center"/>
        <w:rPr>
          <w:color w:val="FFFFFF" w:themeColor="background1"/>
        </w:rPr>
      </w:pPr>
      <w:r w:rsidRPr="00924D68">
        <w:rPr>
          <w:noProof/>
          <w:color w:val="FFFFFF" w:themeColor="background1"/>
        </w:rPr>
        <w:drawing>
          <wp:anchor distT="0" distB="0" distL="114935" distR="114935" simplePos="0" relativeHeight="251657728" behindDoc="1" locked="0" layoutInCell="1" allowOverlap="1" wp14:anchorId="038A583B" wp14:editId="2AD094F6">
            <wp:simplePos x="0" y="0"/>
            <wp:positionH relativeFrom="column">
              <wp:posOffset>-163195</wp:posOffset>
            </wp:positionH>
            <wp:positionV relativeFrom="paragraph">
              <wp:posOffset>992044</wp:posOffset>
            </wp:positionV>
            <wp:extent cx="6107430" cy="706755"/>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107430" cy="706755"/>
                    </a:xfrm>
                    <a:prstGeom prst="rect">
                      <a:avLst/>
                    </a:prstGeom>
                    <a:solidFill>
                      <a:srgbClr val="FFFFFF"/>
                    </a:solidFill>
                    <a:ln w="9525">
                      <a:noFill/>
                      <a:miter lim="800000"/>
                      <a:headEnd/>
                      <a:tailEnd/>
                    </a:ln>
                  </pic:spPr>
                </pic:pic>
              </a:graphicData>
            </a:graphic>
          </wp:anchor>
        </w:drawing>
      </w:r>
      <w:r w:rsidRPr="00924D68">
        <w:rPr>
          <w:color w:val="FFFFFF" w:themeColor="background1"/>
        </w:rPr>
        <w:t>50 Marcus Clarke Street, Canberra ACT 2601 | GPO Box 9880, Canberra ACT 2601 |</w:t>
      </w:r>
      <w:r w:rsidRPr="00924D68">
        <w:rPr>
          <w:color w:val="FFFFFF" w:themeColor="background1"/>
        </w:rPr>
        <w:br/>
        <w:t xml:space="preserve">Tel: 1300 566 046 | </w:t>
      </w:r>
      <w:hyperlink r:id="rId15" w:history="1">
        <w:r w:rsidRPr="00924D68">
          <w:rPr>
            <w:rStyle w:val="Hyperlink"/>
            <w:color w:val="FFFFFF" w:themeColor="background1"/>
            <w:lang w:val="en-AU"/>
          </w:rPr>
          <w:t>www.education.gov.au</w:t>
        </w:r>
      </w:hyperlink>
      <w:r w:rsidRPr="00924D68">
        <w:rPr>
          <w:color w:val="FFFFFF" w:themeColor="background1"/>
        </w:rPr>
        <w:t xml:space="preserve"> | ABN 121 628 981 50</w:t>
      </w:r>
    </w:p>
    <w:p w14:paraId="64B2C8C4" w14:textId="77777777" w:rsidR="00924D68" w:rsidRDefault="00924D68">
      <w:pPr>
        <w:rPr>
          <w:color w:val="FFFFFF" w:themeColor="background1"/>
        </w:rPr>
      </w:pPr>
      <w:r>
        <w:rPr>
          <w:color w:val="FFFFFF" w:themeColor="background1"/>
        </w:rPr>
        <w:br w:type="page"/>
      </w:r>
    </w:p>
    <w:p w14:paraId="14167E6A" w14:textId="77777777" w:rsidR="008657AE" w:rsidRDefault="008657AE" w:rsidP="00F7693F">
      <w:pPr>
        <w:spacing w:before="10080"/>
        <w:rPr>
          <w:rFonts w:asciiTheme="majorHAnsi" w:hAnsiTheme="majorHAnsi"/>
          <w:b/>
          <w:i/>
          <w:sz w:val="32"/>
          <w:szCs w:val="32"/>
        </w:rPr>
      </w:pPr>
      <w:bookmarkStart w:id="1" w:name="_Toc410807586"/>
      <w:bookmarkStart w:id="2" w:name="_Toc410822636"/>
      <w:bookmarkStart w:id="3" w:name="_Toc410823795"/>
      <w:bookmarkStart w:id="4" w:name="_Toc410825031"/>
      <w:bookmarkStart w:id="5" w:name="_Toc410825181"/>
      <w:bookmarkStart w:id="6" w:name="_Toc410833044"/>
      <w:bookmarkStart w:id="7" w:name="_Toc410893866"/>
    </w:p>
    <w:p w14:paraId="0389FA20" w14:textId="77777777" w:rsidR="00023312" w:rsidRPr="00F7693F" w:rsidRDefault="00023312" w:rsidP="00F7693F">
      <w:pPr>
        <w:spacing w:before="10080"/>
        <w:rPr>
          <w:rFonts w:asciiTheme="majorHAnsi" w:hAnsiTheme="majorHAnsi"/>
          <w:b/>
          <w:i/>
          <w:sz w:val="32"/>
          <w:szCs w:val="32"/>
        </w:rPr>
      </w:pPr>
      <w:r w:rsidRPr="00F7693F">
        <w:rPr>
          <w:rFonts w:asciiTheme="majorHAnsi" w:hAnsiTheme="majorHAnsi"/>
          <w:b/>
          <w:i/>
          <w:sz w:val="32"/>
          <w:szCs w:val="32"/>
        </w:rPr>
        <w:t>Disclaimer</w:t>
      </w:r>
      <w:bookmarkEnd w:id="1"/>
      <w:bookmarkEnd w:id="2"/>
      <w:bookmarkEnd w:id="3"/>
      <w:bookmarkEnd w:id="4"/>
      <w:bookmarkEnd w:id="5"/>
      <w:bookmarkEnd w:id="6"/>
      <w:bookmarkEnd w:id="7"/>
    </w:p>
    <w:p w14:paraId="0389FA21" w14:textId="77777777" w:rsidR="00023312" w:rsidRPr="00AB24D3" w:rsidRDefault="00023312" w:rsidP="00180849">
      <w:pPr>
        <w:rPr>
          <w:szCs w:val="22"/>
        </w:rPr>
      </w:pPr>
      <w:r w:rsidRPr="00AB24D3">
        <w:rPr>
          <w:szCs w:val="22"/>
        </w:rPr>
        <w:t>This disclaimer must be retained in a prominent position on, and not be removed from any version of this document. Any extract from this document must include a prominent reference to this document (and this disclaimer) as the source of the extract.</w:t>
      </w:r>
    </w:p>
    <w:p w14:paraId="0389FA22" w14:textId="77777777" w:rsidR="00023312" w:rsidRPr="00AB24D3" w:rsidRDefault="00023312" w:rsidP="00180849">
      <w:pPr>
        <w:rPr>
          <w:szCs w:val="22"/>
        </w:rPr>
      </w:pPr>
      <w:r w:rsidRPr="00AB24D3">
        <w:rPr>
          <w:szCs w:val="22"/>
        </w:rPr>
        <w:t xml:space="preserve">This document has been prepared by the Australian Government Department of </w:t>
      </w:r>
      <w:r w:rsidR="00DF33C5" w:rsidRPr="00AB24D3">
        <w:rPr>
          <w:szCs w:val="22"/>
        </w:rPr>
        <w:t>Education</w:t>
      </w:r>
      <w:r w:rsidRPr="00AB24D3">
        <w:rPr>
          <w:szCs w:val="22"/>
        </w:rPr>
        <w:t>.</w:t>
      </w:r>
    </w:p>
    <w:p w14:paraId="0389FA23" w14:textId="515EA0B6" w:rsidR="00023312" w:rsidRDefault="00023312" w:rsidP="00180849">
      <w:pPr>
        <w:rPr>
          <w:szCs w:val="22"/>
        </w:rPr>
      </w:pPr>
      <w:r w:rsidRPr="00AB24D3">
        <w:rPr>
          <w:szCs w:val="22"/>
        </w:rPr>
        <w:t>It is provided</w:t>
      </w:r>
      <w:r w:rsidR="00C644CD">
        <w:rPr>
          <w:szCs w:val="22"/>
        </w:rPr>
        <w:t xml:space="preserve"> to higher education providers </w:t>
      </w:r>
      <w:r w:rsidRPr="00AB24D3">
        <w:rPr>
          <w:szCs w:val="22"/>
        </w:rPr>
        <w:t xml:space="preserve">as defined in the </w:t>
      </w:r>
      <w:r w:rsidRPr="00C644CD">
        <w:rPr>
          <w:i/>
          <w:szCs w:val="22"/>
        </w:rPr>
        <w:t xml:space="preserve">Higher Education Support Act 2003 </w:t>
      </w:r>
      <w:r w:rsidRPr="00AB24D3">
        <w:rPr>
          <w:szCs w:val="22"/>
        </w:rPr>
        <w:t>(the “Act”) as the form approved by the Minister for Education (the “Minister”) under paragraph 19-10(2)(a) of the Act. It is intended only for use by higher education providers in providing their financial statements to the Minister under section 19-10 of the Act and not for any other purpose. The Commonwealth accepts no responsibility for any other use of, or any direct or indirect reliance on, this document by any person.</w:t>
      </w:r>
    </w:p>
    <w:p w14:paraId="3D8435F3" w14:textId="77777777" w:rsidR="008657AE" w:rsidRPr="00AB24D3" w:rsidRDefault="008657AE" w:rsidP="008657AE">
      <w:pPr>
        <w:rPr>
          <w:szCs w:val="22"/>
        </w:rPr>
      </w:pPr>
      <w:r w:rsidRPr="00AB24D3">
        <w:rPr>
          <w:szCs w:val="22"/>
        </w:rPr>
        <w:t>ISBN: 978-1-74361-965-0</w:t>
      </w:r>
    </w:p>
    <w:p w14:paraId="16AE71D2" w14:textId="77777777" w:rsidR="008657AE" w:rsidRPr="00AB24D3" w:rsidRDefault="008657AE" w:rsidP="00180849">
      <w:pPr>
        <w:rPr>
          <w:szCs w:val="22"/>
        </w:rPr>
      </w:pPr>
    </w:p>
    <w:p w14:paraId="0389FA26" w14:textId="77777777" w:rsidR="00023312" w:rsidRPr="001E1B28" w:rsidRDefault="00023312" w:rsidP="001E1B28">
      <w:pPr>
        <w:sectPr w:rsidR="00023312" w:rsidRPr="001E1B28" w:rsidSect="008657AE">
          <w:footerReference w:type="default" r:id="rId16"/>
          <w:pgSz w:w="11907" w:h="16840" w:code="9"/>
          <w:pgMar w:top="284" w:right="2274" w:bottom="284" w:left="1383" w:header="794" w:footer="737" w:gutter="0"/>
          <w:cols w:space="720"/>
          <w:docGrid w:linePitch="360"/>
        </w:sectPr>
      </w:pPr>
    </w:p>
    <w:p w14:paraId="0389FA28" w14:textId="73D8E7D9" w:rsidR="00023312" w:rsidRPr="00091CFE" w:rsidRDefault="00E37539" w:rsidP="00091CFE">
      <w:pPr>
        <w:pStyle w:val="Subtitle"/>
      </w:pPr>
      <w:r w:rsidRPr="00091CFE">
        <w:lastRenderedPageBreak/>
        <w:t>Australian Higher Education Providers</w:t>
      </w:r>
      <w:r w:rsidRPr="00091CFE">
        <w:br/>
      </w:r>
      <w:r w:rsidR="00023312" w:rsidRPr="00091CFE">
        <w:t xml:space="preserve">Annual Financial Reporting </w:t>
      </w:r>
      <w:r w:rsidR="006864EC" w:rsidRPr="00091CFE">
        <w:t>2014</w:t>
      </w:r>
    </w:p>
    <w:p w14:paraId="533424E7" w14:textId="4D19F6B5" w:rsidR="004F2C55" w:rsidRDefault="004F2C55">
      <w:pPr>
        <w:pStyle w:val="TOCHeading"/>
      </w:pPr>
      <w:r>
        <w:t>Contents</w:t>
      </w:r>
    </w:p>
    <w:p w14:paraId="4A898258" w14:textId="77777777" w:rsidR="00F7693F" w:rsidRDefault="004340AB">
      <w:pPr>
        <w:pStyle w:val="TOC1"/>
        <w:rPr>
          <w:rFonts w:cstheme="minorBidi"/>
          <w:b w:val="0"/>
          <w:bCs w:val="0"/>
          <w:noProof/>
          <w:sz w:val="22"/>
          <w:szCs w:val="22"/>
        </w:rPr>
      </w:pPr>
      <w:r w:rsidRPr="00E21724">
        <w:fldChar w:fldCharType="begin"/>
      </w:r>
      <w:r w:rsidRPr="00E21724">
        <w:instrText xml:space="preserve"> TOC \o "1-1" \u </w:instrText>
      </w:r>
      <w:r w:rsidRPr="00E21724">
        <w:fldChar w:fldCharType="separate"/>
      </w:r>
      <w:r w:rsidR="00F7693F">
        <w:rPr>
          <w:noProof/>
        </w:rPr>
        <w:t>Introduction</w:t>
      </w:r>
      <w:r w:rsidR="00F7693F">
        <w:rPr>
          <w:noProof/>
        </w:rPr>
        <w:tab/>
      </w:r>
      <w:r w:rsidR="00F7693F">
        <w:rPr>
          <w:noProof/>
        </w:rPr>
        <w:fldChar w:fldCharType="begin"/>
      </w:r>
      <w:r w:rsidR="00F7693F">
        <w:rPr>
          <w:noProof/>
        </w:rPr>
        <w:instrText xml:space="preserve"> PAGEREF _Toc411854278 \h </w:instrText>
      </w:r>
      <w:r w:rsidR="00F7693F">
        <w:rPr>
          <w:noProof/>
        </w:rPr>
      </w:r>
      <w:r w:rsidR="00F7693F">
        <w:rPr>
          <w:noProof/>
        </w:rPr>
        <w:fldChar w:fldCharType="separate"/>
      </w:r>
      <w:r w:rsidR="002168F3">
        <w:rPr>
          <w:noProof/>
        </w:rPr>
        <w:t>2</w:t>
      </w:r>
      <w:r w:rsidR="00F7693F">
        <w:rPr>
          <w:noProof/>
        </w:rPr>
        <w:fldChar w:fldCharType="end"/>
      </w:r>
    </w:p>
    <w:p w14:paraId="185A3905" w14:textId="77777777" w:rsidR="00F7693F" w:rsidRDefault="00F7693F">
      <w:pPr>
        <w:pStyle w:val="TOC1"/>
        <w:rPr>
          <w:rFonts w:cstheme="minorBidi"/>
          <w:b w:val="0"/>
          <w:bCs w:val="0"/>
          <w:noProof/>
          <w:sz w:val="22"/>
          <w:szCs w:val="22"/>
        </w:rPr>
      </w:pPr>
      <w:r>
        <w:rPr>
          <w:noProof/>
        </w:rPr>
        <w:t>Definitions</w:t>
      </w:r>
      <w:r>
        <w:rPr>
          <w:noProof/>
        </w:rPr>
        <w:tab/>
      </w:r>
      <w:r>
        <w:rPr>
          <w:noProof/>
        </w:rPr>
        <w:fldChar w:fldCharType="begin"/>
      </w:r>
      <w:r>
        <w:rPr>
          <w:noProof/>
        </w:rPr>
        <w:instrText xml:space="preserve"> PAGEREF _Toc411854279 \h </w:instrText>
      </w:r>
      <w:r>
        <w:rPr>
          <w:noProof/>
        </w:rPr>
      </w:r>
      <w:r>
        <w:rPr>
          <w:noProof/>
        </w:rPr>
        <w:fldChar w:fldCharType="separate"/>
      </w:r>
      <w:r w:rsidR="002168F3">
        <w:rPr>
          <w:noProof/>
        </w:rPr>
        <w:t>6</w:t>
      </w:r>
      <w:r>
        <w:rPr>
          <w:noProof/>
        </w:rPr>
        <w:fldChar w:fldCharType="end"/>
      </w:r>
    </w:p>
    <w:p w14:paraId="584A407E" w14:textId="77777777" w:rsidR="00F7693F" w:rsidRDefault="00F7693F">
      <w:pPr>
        <w:pStyle w:val="TOC1"/>
        <w:rPr>
          <w:rFonts w:cstheme="minorBidi"/>
          <w:b w:val="0"/>
          <w:bCs w:val="0"/>
          <w:noProof/>
          <w:sz w:val="22"/>
          <w:szCs w:val="22"/>
        </w:rPr>
      </w:pPr>
      <w:r>
        <w:rPr>
          <w:noProof/>
        </w:rPr>
        <w:t>[Higher Education Provider] Report by the Members of the [Governing Body]</w:t>
      </w:r>
      <w:r>
        <w:rPr>
          <w:noProof/>
        </w:rPr>
        <w:tab/>
      </w:r>
      <w:r>
        <w:rPr>
          <w:noProof/>
        </w:rPr>
        <w:fldChar w:fldCharType="begin"/>
      </w:r>
      <w:r>
        <w:rPr>
          <w:noProof/>
        </w:rPr>
        <w:instrText xml:space="preserve"> PAGEREF _Toc411854280 \h </w:instrText>
      </w:r>
      <w:r>
        <w:rPr>
          <w:noProof/>
        </w:rPr>
      </w:r>
      <w:r>
        <w:rPr>
          <w:noProof/>
        </w:rPr>
        <w:fldChar w:fldCharType="separate"/>
      </w:r>
      <w:r w:rsidR="002168F3">
        <w:rPr>
          <w:noProof/>
        </w:rPr>
        <w:t>8</w:t>
      </w:r>
      <w:r>
        <w:rPr>
          <w:noProof/>
        </w:rPr>
        <w:fldChar w:fldCharType="end"/>
      </w:r>
    </w:p>
    <w:p w14:paraId="33990D26" w14:textId="77777777" w:rsidR="00F7693F" w:rsidRDefault="00F7693F">
      <w:pPr>
        <w:pStyle w:val="TOC1"/>
        <w:rPr>
          <w:rFonts w:cstheme="minorBidi"/>
          <w:b w:val="0"/>
          <w:bCs w:val="0"/>
          <w:noProof/>
          <w:sz w:val="22"/>
          <w:szCs w:val="22"/>
        </w:rPr>
      </w:pPr>
      <w:r>
        <w:rPr>
          <w:noProof/>
        </w:rPr>
        <w:t>[Australian Higher Education Provider] Annual financial report – 31 December 2014</w:t>
      </w:r>
      <w:r>
        <w:rPr>
          <w:noProof/>
        </w:rPr>
        <w:tab/>
      </w:r>
      <w:r>
        <w:rPr>
          <w:noProof/>
        </w:rPr>
        <w:fldChar w:fldCharType="begin"/>
      </w:r>
      <w:r>
        <w:rPr>
          <w:noProof/>
        </w:rPr>
        <w:instrText xml:space="preserve"> PAGEREF _Toc411854281 \h </w:instrText>
      </w:r>
      <w:r>
        <w:rPr>
          <w:noProof/>
        </w:rPr>
      </w:r>
      <w:r>
        <w:rPr>
          <w:noProof/>
        </w:rPr>
        <w:fldChar w:fldCharType="separate"/>
      </w:r>
      <w:r w:rsidR="002168F3">
        <w:rPr>
          <w:noProof/>
        </w:rPr>
        <w:t>11</w:t>
      </w:r>
      <w:r>
        <w:rPr>
          <w:noProof/>
        </w:rPr>
        <w:fldChar w:fldCharType="end"/>
      </w:r>
    </w:p>
    <w:p w14:paraId="119A2973" w14:textId="77777777" w:rsidR="00F7693F" w:rsidRDefault="00F7693F">
      <w:pPr>
        <w:pStyle w:val="TOC1"/>
        <w:rPr>
          <w:rFonts w:cstheme="minorBidi"/>
          <w:b w:val="0"/>
          <w:bCs w:val="0"/>
          <w:noProof/>
          <w:sz w:val="22"/>
          <w:szCs w:val="22"/>
        </w:rPr>
      </w:pPr>
      <w:r>
        <w:rPr>
          <w:noProof/>
        </w:rPr>
        <w:t>Income statement</w:t>
      </w:r>
      <w:r>
        <w:rPr>
          <w:noProof/>
        </w:rPr>
        <w:tab/>
      </w:r>
      <w:r>
        <w:rPr>
          <w:noProof/>
        </w:rPr>
        <w:fldChar w:fldCharType="begin"/>
      </w:r>
      <w:r>
        <w:rPr>
          <w:noProof/>
        </w:rPr>
        <w:instrText xml:space="preserve"> PAGEREF _Toc411854282 \h </w:instrText>
      </w:r>
      <w:r>
        <w:rPr>
          <w:noProof/>
        </w:rPr>
      </w:r>
      <w:r>
        <w:rPr>
          <w:noProof/>
        </w:rPr>
        <w:fldChar w:fldCharType="separate"/>
      </w:r>
      <w:r w:rsidR="002168F3">
        <w:rPr>
          <w:noProof/>
        </w:rPr>
        <w:t>14</w:t>
      </w:r>
      <w:r>
        <w:rPr>
          <w:noProof/>
        </w:rPr>
        <w:fldChar w:fldCharType="end"/>
      </w:r>
    </w:p>
    <w:p w14:paraId="6234CE8F" w14:textId="77777777" w:rsidR="00F7693F" w:rsidRDefault="00F7693F">
      <w:pPr>
        <w:pStyle w:val="TOC1"/>
        <w:rPr>
          <w:rFonts w:cstheme="minorBidi"/>
          <w:b w:val="0"/>
          <w:bCs w:val="0"/>
          <w:noProof/>
          <w:sz w:val="22"/>
          <w:szCs w:val="22"/>
        </w:rPr>
      </w:pPr>
      <w:r>
        <w:rPr>
          <w:noProof/>
        </w:rPr>
        <w:t>Statement of Comprehensive Income</w:t>
      </w:r>
      <w:r>
        <w:rPr>
          <w:noProof/>
        </w:rPr>
        <w:tab/>
      </w:r>
      <w:r>
        <w:rPr>
          <w:noProof/>
        </w:rPr>
        <w:fldChar w:fldCharType="begin"/>
      </w:r>
      <w:r>
        <w:rPr>
          <w:noProof/>
        </w:rPr>
        <w:instrText xml:space="preserve"> PAGEREF _Toc411854283 \h </w:instrText>
      </w:r>
      <w:r>
        <w:rPr>
          <w:noProof/>
        </w:rPr>
      </w:r>
      <w:r>
        <w:rPr>
          <w:noProof/>
        </w:rPr>
        <w:fldChar w:fldCharType="separate"/>
      </w:r>
      <w:r w:rsidR="002168F3">
        <w:rPr>
          <w:noProof/>
        </w:rPr>
        <w:t>15</w:t>
      </w:r>
      <w:r>
        <w:rPr>
          <w:noProof/>
        </w:rPr>
        <w:fldChar w:fldCharType="end"/>
      </w:r>
    </w:p>
    <w:p w14:paraId="1EE51D1E" w14:textId="77777777" w:rsidR="00F7693F" w:rsidRDefault="00F7693F">
      <w:pPr>
        <w:pStyle w:val="TOC1"/>
        <w:rPr>
          <w:rFonts w:cstheme="minorBidi"/>
          <w:b w:val="0"/>
          <w:bCs w:val="0"/>
          <w:noProof/>
          <w:sz w:val="22"/>
          <w:szCs w:val="22"/>
        </w:rPr>
      </w:pPr>
      <w:r>
        <w:rPr>
          <w:noProof/>
        </w:rPr>
        <w:t>Statement of Financial Position</w:t>
      </w:r>
      <w:r>
        <w:rPr>
          <w:noProof/>
        </w:rPr>
        <w:tab/>
      </w:r>
      <w:r>
        <w:rPr>
          <w:noProof/>
        </w:rPr>
        <w:fldChar w:fldCharType="begin"/>
      </w:r>
      <w:r>
        <w:rPr>
          <w:noProof/>
        </w:rPr>
        <w:instrText xml:space="preserve"> PAGEREF _Toc411854284 \h </w:instrText>
      </w:r>
      <w:r>
        <w:rPr>
          <w:noProof/>
        </w:rPr>
      </w:r>
      <w:r>
        <w:rPr>
          <w:noProof/>
        </w:rPr>
        <w:fldChar w:fldCharType="separate"/>
      </w:r>
      <w:r w:rsidR="002168F3">
        <w:rPr>
          <w:noProof/>
        </w:rPr>
        <w:t>20</w:t>
      </w:r>
      <w:r>
        <w:rPr>
          <w:noProof/>
        </w:rPr>
        <w:fldChar w:fldCharType="end"/>
      </w:r>
    </w:p>
    <w:p w14:paraId="569AC138" w14:textId="77777777" w:rsidR="00F7693F" w:rsidRDefault="00F7693F">
      <w:pPr>
        <w:pStyle w:val="TOC1"/>
        <w:rPr>
          <w:rFonts w:cstheme="minorBidi"/>
          <w:b w:val="0"/>
          <w:bCs w:val="0"/>
          <w:noProof/>
          <w:sz w:val="22"/>
          <w:szCs w:val="22"/>
        </w:rPr>
      </w:pPr>
      <w:r>
        <w:rPr>
          <w:noProof/>
        </w:rPr>
        <w:t>Statement of Changes in Equity</w:t>
      </w:r>
      <w:r>
        <w:rPr>
          <w:noProof/>
        </w:rPr>
        <w:tab/>
      </w:r>
      <w:r>
        <w:rPr>
          <w:noProof/>
        </w:rPr>
        <w:fldChar w:fldCharType="begin"/>
      </w:r>
      <w:r>
        <w:rPr>
          <w:noProof/>
        </w:rPr>
        <w:instrText xml:space="preserve"> PAGEREF _Toc411854285 \h </w:instrText>
      </w:r>
      <w:r>
        <w:rPr>
          <w:noProof/>
        </w:rPr>
      </w:r>
      <w:r>
        <w:rPr>
          <w:noProof/>
        </w:rPr>
        <w:fldChar w:fldCharType="separate"/>
      </w:r>
      <w:r w:rsidR="002168F3">
        <w:rPr>
          <w:noProof/>
        </w:rPr>
        <w:t>24</w:t>
      </w:r>
      <w:r>
        <w:rPr>
          <w:noProof/>
        </w:rPr>
        <w:fldChar w:fldCharType="end"/>
      </w:r>
    </w:p>
    <w:p w14:paraId="09F35977" w14:textId="77777777" w:rsidR="00F7693F" w:rsidRDefault="00F7693F">
      <w:pPr>
        <w:pStyle w:val="TOC1"/>
        <w:rPr>
          <w:rFonts w:cstheme="minorBidi"/>
          <w:b w:val="0"/>
          <w:bCs w:val="0"/>
          <w:noProof/>
          <w:sz w:val="22"/>
          <w:szCs w:val="22"/>
        </w:rPr>
      </w:pPr>
      <w:r>
        <w:rPr>
          <w:noProof/>
        </w:rPr>
        <w:t>Statement of Cash Flows</w:t>
      </w:r>
      <w:r>
        <w:rPr>
          <w:noProof/>
        </w:rPr>
        <w:tab/>
      </w:r>
      <w:r>
        <w:rPr>
          <w:noProof/>
        </w:rPr>
        <w:fldChar w:fldCharType="begin"/>
      </w:r>
      <w:r>
        <w:rPr>
          <w:noProof/>
        </w:rPr>
        <w:instrText xml:space="preserve"> PAGEREF _Toc411854286 \h </w:instrText>
      </w:r>
      <w:r>
        <w:rPr>
          <w:noProof/>
        </w:rPr>
      </w:r>
      <w:r>
        <w:rPr>
          <w:noProof/>
        </w:rPr>
        <w:fldChar w:fldCharType="separate"/>
      </w:r>
      <w:r w:rsidR="002168F3">
        <w:rPr>
          <w:noProof/>
        </w:rPr>
        <w:t>27</w:t>
      </w:r>
      <w:r>
        <w:rPr>
          <w:noProof/>
        </w:rPr>
        <w:fldChar w:fldCharType="end"/>
      </w:r>
    </w:p>
    <w:p w14:paraId="57BBCEB8" w14:textId="77777777" w:rsidR="00F7693F" w:rsidRDefault="00F7693F">
      <w:pPr>
        <w:pStyle w:val="TOC1"/>
        <w:rPr>
          <w:rFonts w:cstheme="minorBidi"/>
          <w:b w:val="0"/>
          <w:bCs w:val="0"/>
          <w:noProof/>
          <w:sz w:val="22"/>
          <w:szCs w:val="22"/>
        </w:rPr>
      </w:pPr>
      <w:r>
        <w:rPr>
          <w:noProof/>
        </w:rPr>
        <w:t>Notes to the financial statements</w:t>
      </w:r>
      <w:r>
        <w:rPr>
          <w:noProof/>
        </w:rPr>
        <w:tab/>
      </w:r>
      <w:r>
        <w:rPr>
          <w:noProof/>
        </w:rPr>
        <w:fldChar w:fldCharType="begin"/>
      </w:r>
      <w:r>
        <w:rPr>
          <w:noProof/>
        </w:rPr>
        <w:instrText xml:space="preserve"> PAGEREF _Toc411854287 \h </w:instrText>
      </w:r>
      <w:r>
        <w:rPr>
          <w:noProof/>
        </w:rPr>
      </w:r>
      <w:r>
        <w:rPr>
          <w:noProof/>
        </w:rPr>
        <w:fldChar w:fldCharType="separate"/>
      </w:r>
      <w:r w:rsidR="002168F3">
        <w:rPr>
          <w:noProof/>
        </w:rPr>
        <w:t>30</w:t>
      </w:r>
      <w:r>
        <w:rPr>
          <w:noProof/>
        </w:rPr>
        <w:fldChar w:fldCharType="end"/>
      </w:r>
    </w:p>
    <w:p w14:paraId="5AF6544A" w14:textId="77777777" w:rsidR="00F7693F" w:rsidRDefault="00F7693F">
      <w:pPr>
        <w:pStyle w:val="TOC1"/>
        <w:rPr>
          <w:rFonts w:cstheme="minorBidi"/>
          <w:b w:val="0"/>
          <w:bCs w:val="0"/>
          <w:noProof/>
          <w:sz w:val="22"/>
          <w:szCs w:val="22"/>
        </w:rPr>
      </w:pPr>
      <w:r>
        <w:rPr>
          <w:noProof/>
        </w:rPr>
        <w:t>Certifications</w:t>
      </w:r>
      <w:r>
        <w:rPr>
          <w:noProof/>
        </w:rPr>
        <w:tab/>
      </w:r>
      <w:r>
        <w:rPr>
          <w:noProof/>
        </w:rPr>
        <w:fldChar w:fldCharType="begin"/>
      </w:r>
      <w:r>
        <w:rPr>
          <w:noProof/>
        </w:rPr>
        <w:instrText xml:space="preserve"> PAGEREF _Toc411854288 \h </w:instrText>
      </w:r>
      <w:r>
        <w:rPr>
          <w:noProof/>
        </w:rPr>
      </w:r>
      <w:r>
        <w:rPr>
          <w:noProof/>
        </w:rPr>
        <w:fldChar w:fldCharType="separate"/>
      </w:r>
      <w:r w:rsidR="002168F3">
        <w:rPr>
          <w:noProof/>
        </w:rPr>
        <w:t>167</w:t>
      </w:r>
      <w:r>
        <w:rPr>
          <w:noProof/>
        </w:rPr>
        <w:fldChar w:fldCharType="end"/>
      </w:r>
    </w:p>
    <w:p w14:paraId="370C86DB" w14:textId="77777777" w:rsidR="00F7693F" w:rsidRDefault="00F7693F">
      <w:pPr>
        <w:pStyle w:val="TOC1"/>
        <w:rPr>
          <w:rFonts w:cstheme="minorBidi"/>
          <w:b w:val="0"/>
          <w:bCs w:val="0"/>
          <w:noProof/>
          <w:sz w:val="22"/>
          <w:szCs w:val="22"/>
        </w:rPr>
      </w:pPr>
      <w:r>
        <w:rPr>
          <w:noProof/>
        </w:rPr>
        <w:t>Auditor’s report</w:t>
      </w:r>
      <w:r>
        <w:rPr>
          <w:noProof/>
        </w:rPr>
        <w:tab/>
      </w:r>
      <w:r>
        <w:rPr>
          <w:noProof/>
        </w:rPr>
        <w:fldChar w:fldCharType="begin"/>
      </w:r>
      <w:r>
        <w:rPr>
          <w:noProof/>
        </w:rPr>
        <w:instrText xml:space="preserve"> PAGEREF _Toc411854289 \h </w:instrText>
      </w:r>
      <w:r>
        <w:rPr>
          <w:noProof/>
        </w:rPr>
      </w:r>
      <w:r>
        <w:rPr>
          <w:noProof/>
        </w:rPr>
        <w:fldChar w:fldCharType="separate"/>
      </w:r>
      <w:r w:rsidR="002168F3">
        <w:rPr>
          <w:noProof/>
        </w:rPr>
        <w:t>168</w:t>
      </w:r>
      <w:r>
        <w:rPr>
          <w:noProof/>
        </w:rPr>
        <w:fldChar w:fldCharType="end"/>
      </w:r>
    </w:p>
    <w:p w14:paraId="769E4F94" w14:textId="77777777" w:rsidR="00F7693F" w:rsidRDefault="00F7693F">
      <w:pPr>
        <w:pStyle w:val="TOC1"/>
        <w:rPr>
          <w:rFonts w:cstheme="minorBidi"/>
          <w:b w:val="0"/>
          <w:bCs w:val="0"/>
          <w:noProof/>
          <w:sz w:val="22"/>
          <w:szCs w:val="22"/>
        </w:rPr>
      </w:pPr>
      <w:r>
        <w:rPr>
          <w:noProof/>
        </w:rPr>
        <w:t>Freedom of Information</w:t>
      </w:r>
      <w:r>
        <w:rPr>
          <w:noProof/>
        </w:rPr>
        <w:tab/>
      </w:r>
      <w:r>
        <w:rPr>
          <w:noProof/>
        </w:rPr>
        <w:fldChar w:fldCharType="begin"/>
      </w:r>
      <w:r>
        <w:rPr>
          <w:noProof/>
        </w:rPr>
        <w:instrText xml:space="preserve"> PAGEREF _Toc411854290 \h </w:instrText>
      </w:r>
      <w:r>
        <w:rPr>
          <w:noProof/>
        </w:rPr>
      </w:r>
      <w:r>
        <w:rPr>
          <w:noProof/>
        </w:rPr>
        <w:fldChar w:fldCharType="separate"/>
      </w:r>
      <w:r w:rsidR="002168F3">
        <w:rPr>
          <w:noProof/>
        </w:rPr>
        <w:t>169</w:t>
      </w:r>
      <w:r>
        <w:rPr>
          <w:noProof/>
        </w:rPr>
        <w:fldChar w:fldCharType="end"/>
      </w:r>
    </w:p>
    <w:p w14:paraId="325FE0AB" w14:textId="77777777" w:rsidR="00F7693F" w:rsidRDefault="00F7693F">
      <w:pPr>
        <w:pStyle w:val="TOC1"/>
        <w:rPr>
          <w:rFonts w:cstheme="minorBidi"/>
          <w:b w:val="0"/>
          <w:bCs w:val="0"/>
          <w:noProof/>
          <w:sz w:val="22"/>
          <w:szCs w:val="22"/>
        </w:rPr>
      </w:pPr>
      <w:r>
        <w:rPr>
          <w:noProof/>
        </w:rPr>
        <w:t>Privacy Notice</w:t>
      </w:r>
      <w:r>
        <w:rPr>
          <w:noProof/>
        </w:rPr>
        <w:tab/>
      </w:r>
      <w:r>
        <w:rPr>
          <w:noProof/>
        </w:rPr>
        <w:fldChar w:fldCharType="begin"/>
      </w:r>
      <w:r>
        <w:rPr>
          <w:noProof/>
        </w:rPr>
        <w:instrText xml:space="preserve"> PAGEREF _Toc411854291 \h </w:instrText>
      </w:r>
      <w:r>
        <w:rPr>
          <w:noProof/>
        </w:rPr>
      </w:r>
      <w:r>
        <w:rPr>
          <w:noProof/>
        </w:rPr>
        <w:fldChar w:fldCharType="separate"/>
      </w:r>
      <w:r w:rsidR="002168F3">
        <w:rPr>
          <w:noProof/>
        </w:rPr>
        <w:t>170</w:t>
      </w:r>
      <w:r>
        <w:rPr>
          <w:noProof/>
        </w:rPr>
        <w:fldChar w:fldCharType="end"/>
      </w:r>
    </w:p>
    <w:p w14:paraId="233ADC5C" w14:textId="77777777" w:rsidR="00F7693F" w:rsidRDefault="00F7693F">
      <w:pPr>
        <w:pStyle w:val="TOC1"/>
        <w:rPr>
          <w:rFonts w:cstheme="minorBidi"/>
          <w:b w:val="0"/>
          <w:bCs w:val="0"/>
          <w:noProof/>
          <w:sz w:val="22"/>
          <w:szCs w:val="22"/>
        </w:rPr>
      </w:pPr>
      <w:r>
        <w:rPr>
          <w:noProof/>
        </w:rPr>
        <w:t>Appendix 1:Changes to the Guidelines as a result of AASB9</w:t>
      </w:r>
      <w:r>
        <w:rPr>
          <w:noProof/>
        </w:rPr>
        <w:tab/>
      </w:r>
      <w:r>
        <w:rPr>
          <w:noProof/>
        </w:rPr>
        <w:fldChar w:fldCharType="begin"/>
      </w:r>
      <w:r>
        <w:rPr>
          <w:noProof/>
        </w:rPr>
        <w:instrText xml:space="preserve"> PAGEREF _Toc411854292 \h </w:instrText>
      </w:r>
      <w:r>
        <w:rPr>
          <w:noProof/>
        </w:rPr>
      </w:r>
      <w:r>
        <w:rPr>
          <w:noProof/>
        </w:rPr>
        <w:fldChar w:fldCharType="separate"/>
      </w:r>
      <w:r w:rsidR="002168F3">
        <w:rPr>
          <w:noProof/>
        </w:rPr>
        <w:t>171</w:t>
      </w:r>
      <w:r>
        <w:rPr>
          <w:noProof/>
        </w:rPr>
        <w:fldChar w:fldCharType="end"/>
      </w:r>
    </w:p>
    <w:p w14:paraId="0389FA69" w14:textId="61C84A1F" w:rsidR="00023312" w:rsidRPr="00AF78E2" w:rsidRDefault="004340AB">
      <w:pPr>
        <w:contextualSpacing/>
        <w:rPr>
          <w:shd w:val="clear" w:color="auto" w:fill="FFFF00"/>
        </w:rPr>
        <w:sectPr w:rsidR="00023312" w:rsidRPr="00AF78E2" w:rsidSect="00530B02">
          <w:headerReference w:type="default" r:id="rId17"/>
          <w:footerReference w:type="default" r:id="rId18"/>
          <w:headerReference w:type="first" r:id="rId19"/>
          <w:footerReference w:type="first" r:id="rId20"/>
          <w:pgSz w:w="11905" w:h="16837"/>
          <w:pgMar w:top="1440" w:right="1440" w:bottom="1440" w:left="1440" w:header="794" w:footer="737" w:gutter="0"/>
          <w:pgNumType w:start="1"/>
          <w:cols w:space="720"/>
          <w:docGrid w:linePitch="360"/>
        </w:sectPr>
      </w:pPr>
      <w:r w:rsidRPr="00E21724">
        <w:fldChar w:fldCharType="end"/>
      </w:r>
    </w:p>
    <w:p w14:paraId="0389FA6A" w14:textId="77777777" w:rsidR="00023312" w:rsidRDefault="00023312" w:rsidP="0074467D">
      <w:pPr>
        <w:pStyle w:val="Heading1"/>
      </w:pPr>
      <w:bookmarkStart w:id="8" w:name="_Toc398721448"/>
      <w:bookmarkStart w:id="9" w:name="_Toc398721475"/>
      <w:bookmarkStart w:id="10" w:name="_Toc398721536"/>
      <w:bookmarkStart w:id="11" w:name="_Toc398721834"/>
      <w:bookmarkStart w:id="12" w:name="_Toc398721988"/>
      <w:bookmarkStart w:id="13" w:name="_Toc398729907"/>
      <w:bookmarkStart w:id="14" w:name="_Toc398731106"/>
      <w:bookmarkStart w:id="15" w:name="_Toc398731394"/>
      <w:bookmarkStart w:id="16" w:name="_Toc398731771"/>
      <w:bookmarkStart w:id="17" w:name="_Toc406751401"/>
      <w:bookmarkStart w:id="18" w:name="_Toc410807587"/>
      <w:bookmarkStart w:id="19" w:name="_Toc410822637"/>
      <w:bookmarkStart w:id="20" w:name="_Toc410823796"/>
      <w:bookmarkStart w:id="21" w:name="_Toc410825032"/>
      <w:bookmarkStart w:id="22" w:name="_Toc410825182"/>
      <w:bookmarkStart w:id="23" w:name="_Toc411854278"/>
      <w:bookmarkStart w:id="24" w:name="_Toc411854311"/>
      <w:bookmarkStart w:id="25" w:name="contents1"/>
      <w:r>
        <w:lastRenderedPageBreak/>
        <w:t>Introduction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89FA6B" w14:textId="77777777" w:rsidR="00023312" w:rsidRDefault="00023312" w:rsidP="00AE3990">
      <w:pPr>
        <w:pStyle w:val="Heading2"/>
      </w:pPr>
      <w:bookmarkStart w:id="26" w:name="_Toc398721449"/>
      <w:bookmarkStart w:id="27" w:name="_Toc398721476"/>
      <w:bookmarkStart w:id="28" w:name="_Toc398721537"/>
      <w:bookmarkStart w:id="29" w:name="_Toc398721835"/>
      <w:bookmarkStart w:id="30" w:name="_Toc398721989"/>
      <w:bookmarkStart w:id="31" w:name="_Toc398729908"/>
      <w:bookmarkStart w:id="32" w:name="_Toc398731107"/>
      <w:bookmarkStart w:id="33" w:name="_Toc398731395"/>
      <w:bookmarkStart w:id="34" w:name="_Toc398731772"/>
      <w:bookmarkStart w:id="35" w:name="_Toc406751402"/>
      <w:r>
        <w:t>Purpose</w:t>
      </w:r>
      <w:bookmarkEnd w:id="26"/>
      <w:bookmarkEnd w:id="27"/>
      <w:bookmarkEnd w:id="28"/>
      <w:bookmarkEnd w:id="29"/>
      <w:bookmarkEnd w:id="30"/>
      <w:bookmarkEnd w:id="31"/>
      <w:bookmarkEnd w:id="32"/>
      <w:bookmarkEnd w:id="33"/>
      <w:bookmarkEnd w:id="34"/>
      <w:bookmarkEnd w:id="35"/>
    </w:p>
    <w:p w14:paraId="0389FA6C" w14:textId="77777777" w:rsidR="00023312" w:rsidRPr="00AB24D3" w:rsidRDefault="00023312" w:rsidP="00091CFE">
      <w:pPr>
        <w:rPr>
          <w:szCs w:val="22"/>
        </w:rPr>
      </w:pPr>
      <w:bookmarkStart w:id="36" w:name="OLE_LINK15"/>
      <w:bookmarkStart w:id="37" w:name="OLE_LINK16"/>
      <w:r w:rsidRPr="00AB24D3">
        <w:rPr>
          <w:szCs w:val="22"/>
        </w:rPr>
        <w:t xml:space="preserve">These Guidelines prescribe the form of the financial statements approved by the Australian Government Minister for Education, or </w:t>
      </w:r>
      <w:r w:rsidR="00057AB9" w:rsidRPr="00AB24D3">
        <w:rPr>
          <w:szCs w:val="22"/>
        </w:rPr>
        <w:t xml:space="preserve">their </w:t>
      </w:r>
      <w:r w:rsidRPr="00AB24D3">
        <w:rPr>
          <w:szCs w:val="22"/>
        </w:rPr>
        <w:t xml:space="preserve">delegates, under section 19-10(2) of the </w:t>
      </w:r>
      <w:r w:rsidRPr="00AB24D3">
        <w:rPr>
          <w:i/>
          <w:szCs w:val="22"/>
        </w:rPr>
        <w:t xml:space="preserve">Higher Education Support Act 2003 </w:t>
      </w:r>
      <w:r w:rsidRPr="00AB24D3">
        <w:rPr>
          <w:szCs w:val="22"/>
        </w:rPr>
        <w:t xml:space="preserve">(HESA) and section 58 of the </w:t>
      </w:r>
      <w:r w:rsidRPr="00AB24D3">
        <w:rPr>
          <w:i/>
          <w:szCs w:val="22"/>
        </w:rPr>
        <w:t>Australian Research Council Act 2001</w:t>
      </w:r>
      <w:r w:rsidRPr="00AB24D3">
        <w:rPr>
          <w:szCs w:val="22"/>
        </w:rPr>
        <w:t xml:space="preserve"> (ARCA)</w:t>
      </w:r>
      <w:r w:rsidR="00765F7A" w:rsidRPr="00AB24D3">
        <w:rPr>
          <w:szCs w:val="22"/>
        </w:rPr>
        <w:t xml:space="preserve"> for listed providers (s16-10 of HESA)</w:t>
      </w:r>
      <w:r w:rsidRPr="00AB24D3">
        <w:rPr>
          <w:szCs w:val="22"/>
        </w:rPr>
        <w:t>.</w:t>
      </w:r>
    </w:p>
    <w:bookmarkEnd w:id="36"/>
    <w:bookmarkEnd w:id="37"/>
    <w:p w14:paraId="0389FA6E" w14:textId="1427D4FC" w:rsidR="00023312" w:rsidRPr="00AB24D3" w:rsidRDefault="00023312" w:rsidP="00091CFE">
      <w:pPr>
        <w:rPr>
          <w:szCs w:val="22"/>
        </w:rPr>
      </w:pPr>
      <w:r w:rsidRPr="00AB24D3">
        <w:rPr>
          <w:szCs w:val="22"/>
        </w:rPr>
        <w:t>It is a condition of receipt of financial assistance from the Australian Government under the</w:t>
      </w:r>
      <w:r w:rsidRPr="00AB24D3">
        <w:rPr>
          <w:i/>
          <w:szCs w:val="22"/>
        </w:rPr>
        <w:t xml:space="preserve"> </w:t>
      </w:r>
      <w:r w:rsidRPr="00AB24D3">
        <w:rPr>
          <w:szCs w:val="22"/>
        </w:rPr>
        <w:t>HESA and the</w:t>
      </w:r>
      <w:r w:rsidRPr="00AB24D3">
        <w:rPr>
          <w:i/>
          <w:szCs w:val="22"/>
        </w:rPr>
        <w:t xml:space="preserve"> </w:t>
      </w:r>
      <w:r w:rsidRPr="00AB24D3">
        <w:rPr>
          <w:szCs w:val="22"/>
        </w:rPr>
        <w:t xml:space="preserve">ARCA that Australian higher education providers (HEPs) provide financial statements in a form approved by the Minister. Failure to provide financial statements in the approved form may result in the reduction </w:t>
      </w:r>
      <w:r w:rsidR="00CC2225" w:rsidRPr="00AB24D3">
        <w:rPr>
          <w:szCs w:val="22"/>
        </w:rPr>
        <w:t xml:space="preserve">of </w:t>
      </w:r>
      <w:r w:rsidRPr="00AB24D3">
        <w:rPr>
          <w:szCs w:val="22"/>
        </w:rPr>
        <w:t>or requirement to repay an amount of a grant.</w:t>
      </w:r>
    </w:p>
    <w:p w14:paraId="0389FA70" w14:textId="572273C1" w:rsidR="00023312" w:rsidRPr="00AB24D3" w:rsidRDefault="00023312" w:rsidP="00091CFE">
      <w:pPr>
        <w:rPr>
          <w:szCs w:val="22"/>
        </w:rPr>
      </w:pPr>
      <w:r w:rsidRPr="00AB24D3">
        <w:rPr>
          <w:szCs w:val="22"/>
        </w:rPr>
        <w:t xml:space="preserve">The Guidelines apply to each higher education provider in respect of its general purpose financial statements </w:t>
      </w:r>
      <w:r w:rsidR="000C4F4D" w:rsidRPr="00AB24D3">
        <w:rPr>
          <w:szCs w:val="22"/>
        </w:rPr>
        <w:t xml:space="preserve">for the 12 month period 1 January to </w:t>
      </w:r>
      <w:r w:rsidRPr="00AB24D3">
        <w:rPr>
          <w:b/>
          <w:szCs w:val="22"/>
        </w:rPr>
        <w:t xml:space="preserve">31 December </w:t>
      </w:r>
      <w:r w:rsidR="006864EC" w:rsidRPr="00AB24D3">
        <w:rPr>
          <w:b/>
          <w:szCs w:val="22"/>
        </w:rPr>
        <w:t>2014</w:t>
      </w:r>
      <w:r w:rsidRPr="00AB24D3">
        <w:rPr>
          <w:szCs w:val="22"/>
        </w:rPr>
        <w:t>.</w:t>
      </w:r>
    </w:p>
    <w:p w14:paraId="0389FA72" w14:textId="77777777" w:rsidR="00023312" w:rsidRPr="00AB24D3" w:rsidRDefault="00023312" w:rsidP="00091CFE">
      <w:pPr>
        <w:rPr>
          <w:szCs w:val="22"/>
        </w:rPr>
      </w:pPr>
      <w:r w:rsidRPr="00AB24D3">
        <w:rPr>
          <w:szCs w:val="22"/>
        </w:rPr>
        <w:t>HEPs’ general purpose annual financial statements must present a true and fair view of the HEPs’:</w:t>
      </w:r>
    </w:p>
    <w:p w14:paraId="0389FA73" w14:textId="233EFD0E" w:rsidR="00023312" w:rsidRPr="00AB24D3" w:rsidRDefault="00002329" w:rsidP="009B1E46">
      <w:pPr>
        <w:pStyle w:val="ListParagraph"/>
        <w:numPr>
          <w:ilvl w:val="0"/>
          <w:numId w:val="70"/>
        </w:numPr>
        <w:ind w:left="697" w:hanging="357"/>
        <w:rPr>
          <w:szCs w:val="22"/>
        </w:rPr>
      </w:pPr>
      <w:r w:rsidRPr="00AB24D3">
        <w:rPr>
          <w:szCs w:val="22"/>
        </w:rPr>
        <w:t>Statement of Financial Position</w:t>
      </w:r>
      <w:r w:rsidR="00023312" w:rsidRPr="00AB24D3">
        <w:rPr>
          <w:szCs w:val="22"/>
        </w:rPr>
        <w:t xml:space="preserve"> at reporting date;</w:t>
      </w:r>
    </w:p>
    <w:p w14:paraId="0389FA74" w14:textId="57C9B9BB" w:rsidR="00023312" w:rsidRPr="00AB24D3" w:rsidRDefault="003B298C" w:rsidP="009B1E46">
      <w:pPr>
        <w:pStyle w:val="ListParagraph"/>
        <w:numPr>
          <w:ilvl w:val="0"/>
          <w:numId w:val="70"/>
        </w:numPr>
        <w:ind w:left="697" w:hanging="357"/>
        <w:rPr>
          <w:szCs w:val="22"/>
        </w:rPr>
      </w:pPr>
      <w:r w:rsidRPr="00AB24D3">
        <w:rPr>
          <w:szCs w:val="22"/>
        </w:rPr>
        <w:t xml:space="preserve">Income </w:t>
      </w:r>
      <w:r w:rsidR="00002329" w:rsidRPr="00AB24D3">
        <w:rPr>
          <w:szCs w:val="22"/>
        </w:rPr>
        <w:t xml:space="preserve">Statement and Comprehensive </w:t>
      </w:r>
      <w:r w:rsidR="00023312" w:rsidRPr="00AB24D3">
        <w:rPr>
          <w:szCs w:val="22"/>
        </w:rPr>
        <w:t xml:space="preserve">Income </w:t>
      </w:r>
      <w:r w:rsidR="00CB20C8" w:rsidRPr="00AB24D3">
        <w:rPr>
          <w:szCs w:val="22"/>
        </w:rPr>
        <w:t xml:space="preserve">Statement </w:t>
      </w:r>
      <w:r w:rsidR="00023312" w:rsidRPr="00AB24D3">
        <w:rPr>
          <w:szCs w:val="22"/>
        </w:rPr>
        <w:t>for the reporting period;</w:t>
      </w:r>
    </w:p>
    <w:p w14:paraId="0389FA75" w14:textId="0F51E2E3" w:rsidR="001A3694" w:rsidRPr="00AB24D3" w:rsidRDefault="00CB20C8" w:rsidP="009B1E46">
      <w:pPr>
        <w:pStyle w:val="ListParagraph"/>
        <w:numPr>
          <w:ilvl w:val="0"/>
          <w:numId w:val="70"/>
        </w:numPr>
        <w:ind w:left="697" w:hanging="357"/>
        <w:rPr>
          <w:szCs w:val="22"/>
        </w:rPr>
      </w:pPr>
      <w:proofErr w:type="spellStart"/>
      <w:r w:rsidRPr="00AB24D3">
        <w:rPr>
          <w:szCs w:val="22"/>
        </w:rPr>
        <w:t>Cashflow</w:t>
      </w:r>
      <w:proofErr w:type="spellEnd"/>
      <w:r w:rsidRPr="00AB24D3">
        <w:rPr>
          <w:szCs w:val="22"/>
        </w:rPr>
        <w:t xml:space="preserve"> </w:t>
      </w:r>
      <w:r w:rsidR="00904390" w:rsidRPr="00AB24D3">
        <w:rPr>
          <w:szCs w:val="22"/>
        </w:rPr>
        <w:t>Statement</w:t>
      </w:r>
      <w:r w:rsidR="00AD5027" w:rsidRPr="00AB24D3">
        <w:rPr>
          <w:szCs w:val="22"/>
        </w:rPr>
        <w:t xml:space="preserve"> </w:t>
      </w:r>
      <w:r w:rsidR="001A3694" w:rsidRPr="00AB24D3">
        <w:rPr>
          <w:szCs w:val="22"/>
        </w:rPr>
        <w:t>for the reporting period;</w:t>
      </w:r>
    </w:p>
    <w:p w14:paraId="0389FA76" w14:textId="3E7F1E48" w:rsidR="00023312" w:rsidRPr="00AB24D3" w:rsidRDefault="00023312" w:rsidP="009B1E46">
      <w:pPr>
        <w:pStyle w:val="ListParagraph"/>
        <w:numPr>
          <w:ilvl w:val="0"/>
          <w:numId w:val="70"/>
        </w:numPr>
        <w:ind w:left="697" w:hanging="357"/>
        <w:rPr>
          <w:szCs w:val="22"/>
        </w:rPr>
      </w:pPr>
      <w:r w:rsidRPr="00AB24D3">
        <w:rPr>
          <w:szCs w:val="22"/>
        </w:rPr>
        <w:t>Receipt of Australian Government financial assistance for the reporting period; and</w:t>
      </w:r>
    </w:p>
    <w:p w14:paraId="0389FA77" w14:textId="68F94B75" w:rsidR="00023312" w:rsidRPr="00AB24D3" w:rsidRDefault="00023312" w:rsidP="009B1E46">
      <w:pPr>
        <w:pStyle w:val="ListParagraph"/>
        <w:numPr>
          <w:ilvl w:val="0"/>
          <w:numId w:val="70"/>
        </w:numPr>
        <w:ind w:left="697" w:hanging="357"/>
        <w:rPr>
          <w:szCs w:val="22"/>
        </w:rPr>
      </w:pPr>
      <w:r w:rsidRPr="00AB24D3">
        <w:rPr>
          <w:szCs w:val="22"/>
        </w:rPr>
        <w:t>Use of Australian Government financial assistance for the reporting period.</w:t>
      </w:r>
    </w:p>
    <w:p w14:paraId="0389FA79" w14:textId="77777777" w:rsidR="00023312" w:rsidRPr="00AB24D3" w:rsidRDefault="00023312" w:rsidP="00091CFE">
      <w:pPr>
        <w:rPr>
          <w:szCs w:val="22"/>
        </w:rPr>
      </w:pPr>
      <w:r w:rsidRPr="00AB24D3">
        <w:rPr>
          <w:szCs w:val="22"/>
        </w:rPr>
        <w:t>The guidelines are also designed to:</w:t>
      </w:r>
    </w:p>
    <w:p w14:paraId="0389FA7A" w14:textId="3E3B6236" w:rsidR="00023312" w:rsidRPr="00AB24D3" w:rsidRDefault="00023312" w:rsidP="009B1E46">
      <w:pPr>
        <w:pStyle w:val="ListParagraph"/>
        <w:numPr>
          <w:ilvl w:val="0"/>
          <w:numId w:val="71"/>
        </w:numPr>
        <w:ind w:left="697" w:hanging="357"/>
        <w:rPr>
          <w:szCs w:val="22"/>
        </w:rPr>
      </w:pPr>
      <w:r w:rsidRPr="00AB24D3">
        <w:rPr>
          <w:szCs w:val="22"/>
        </w:rPr>
        <w:t>Maintain alignment of higher education sector reporting to good practice commercial reporting with due regard being given to the needs of the higher education sector;</w:t>
      </w:r>
    </w:p>
    <w:p w14:paraId="0389FA7B" w14:textId="59B78D4B" w:rsidR="00023312" w:rsidRPr="00AB24D3" w:rsidRDefault="00023312" w:rsidP="009B1E46">
      <w:pPr>
        <w:pStyle w:val="ListParagraph"/>
        <w:numPr>
          <w:ilvl w:val="0"/>
          <w:numId w:val="71"/>
        </w:numPr>
        <w:ind w:left="697" w:hanging="357"/>
        <w:rPr>
          <w:szCs w:val="22"/>
        </w:rPr>
      </w:pPr>
      <w:r w:rsidRPr="00AB24D3">
        <w:rPr>
          <w:szCs w:val="22"/>
        </w:rPr>
        <w:t>Enhance the transparency, consistency and comparability of annual financial statements;</w:t>
      </w:r>
    </w:p>
    <w:p w14:paraId="0389FA7C" w14:textId="3F6FAA14" w:rsidR="00023312" w:rsidRPr="00AB24D3" w:rsidRDefault="00023312" w:rsidP="009B1E46">
      <w:pPr>
        <w:pStyle w:val="ListParagraph"/>
        <w:numPr>
          <w:ilvl w:val="0"/>
          <w:numId w:val="71"/>
        </w:numPr>
        <w:ind w:left="697" w:hanging="357"/>
        <w:rPr>
          <w:szCs w:val="22"/>
        </w:rPr>
      </w:pPr>
      <w:r w:rsidRPr="00AB24D3">
        <w:rPr>
          <w:szCs w:val="22"/>
        </w:rPr>
        <w:t>Obtain for the Australian Government, data and reasonable assurance that the amount of Australian Government financial assistance expended during the reporting period was for the purpose(s) for which it was provided; and</w:t>
      </w:r>
    </w:p>
    <w:p w14:paraId="0389FA7D" w14:textId="0903D81C" w:rsidR="00023312" w:rsidRPr="00AB24D3" w:rsidRDefault="00023312" w:rsidP="009B1E46">
      <w:pPr>
        <w:pStyle w:val="ListParagraph"/>
        <w:numPr>
          <w:ilvl w:val="0"/>
          <w:numId w:val="71"/>
        </w:numPr>
        <w:ind w:left="697" w:hanging="357"/>
        <w:rPr>
          <w:szCs w:val="22"/>
        </w:rPr>
      </w:pPr>
      <w:r w:rsidRPr="00AB24D3">
        <w:rPr>
          <w:szCs w:val="22"/>
        </w:rPr>
        <w:t>Provide guidance on Australian financial reporting disclosure requirements with supporting commentary.</w:t>
      </w:r>
    </w:p>
    <w:p w14:paraId="0389FA7F" w14:textId="0FF4E7A3" w:rsidR="00023312" w:rsidRPr="00AB24D3" w:rsidRDefault="00023312" w:rsidP="00091CFE">
      <w:pPr>
        <w:rPr>
          <w:szCs w:val="22"/>
        </w:rPr>
      </w:pPr>
      <w:r w:rsidRPr="00AB24D3">
        <w:rPr>
          <w:szCs w:val="22"/>
        </w:rPr>
        <w:t xml:space="preserve">The purpose of the illustrative financial reports is to highlight disclosure requirements, provide sample disclosures and serve as a convenient reference to source material. </w:t>
      </w:r>
      <w:r w:rsidR="00B2739B" w:rsidRPr="00AB24D3">
        <w:rPr>
          <w:szCs w:val="22"/>
        </w:rPr>
        <w:t xml:space="preserve">Please amend the disclosures and notes as appropriate for your organisation. </w:t>
      </w:r>
      <w:r w:rsidRPr="00AB24D3">
        <w:rPr>
          <w:szCs w:val="22"/>
        </w:rPr>
        <w:t>As some HEPs have profit-making subsidiaries, sample disclosures for both for-profit and not-for-profit entities are included.</w:t>
      </w:r>
      <w:r w:rsidR="00B2739B" w:rsidRPr="00AB24D3">
        <w:rPr>
          <w:szCs w:val="22"/>
        </w:rPr>
        <w:t xml:space="preserve"> </w:t>
      </w:r>
    </w:p>
    <w:p w14:paraId="0389FA81" w14:textId="77777777" w:rsidR="00023312" w:rsidRPr="00AB24D3" w:rsidRDefault="00023312" w:rsidP="00091CFE">
      <w:pPr>
        <w:rPr>
          <w:szCs w:val="22"/>
        </w:rPr>
      </w:pPr>
      <w:r w:rsidRPr="00AB24D3">
        <w:rPr>
          <w:szCs w:val="22"/>
        </w:rPr>
        <w:t>Reporting requirements covered include:</w:t>
      </w:r>
    </w:p>
    <w:p w14:paraId="0389FA82" w14:textId="5AF371F1" w:rsidR="00023312" w:rsidRPr="009B1E46" w:rsidRDefault="00023312" w:rsidP="009B1E46">
      <w:pPr>
        <w:pStyle w:val="ListParagraph"/>
        <w:numPr>
          <w:ilvl w:val="0"/>
          <w:numId w:val="72"/>
        </w:numPr>
        <w:ind w:left="697" w:hanging="357"/>
        <w:rPr>
          <w:i/>
          <w:szCs w:val="22"/>
        </w:rPr>
      </w:pPr>
      <w:r w:rsidRPr="009B1E46">
        <w:rPr>
          <w:i/>
          <w:szCs w:val="22"/>
        </w:rPr>
        <w:t>Higher Education Support Act 2003</w:t>
      </w:r>
    </w:p>
    <w:p w14:paraId="0389FA83" w14:textId="78FF74C8" w:rsidR="00023312" w:rsidRPr="009B1E46" w:rsidRDefault="00023312" w:rsidP="009B1E46">
      <w:pPr>
        <w:pStyle w:val="ListParagraph"/>
        <w:numPr>
          <w:ilvl w:val="0"/>
          <w:numId w:val="72"/>
        </w:numPr>
        <w:ind w:left="697" w:hanging="357"/>
        <w:rPr>
          <w:i/>
          <w:szCs w:val="22"/>
        </w:rPr>
      </w:pPr>
      <w:r w:rsidRPr="009B1E46">
        <w:rPr>
          <w:i/>
          <w:szCs w:val="22"/>
        </w:rPr>
        <w:t>Australian Research Council Act 2001</w:t>
      </w:r>
    </w:p>
    <w:p w14:paraId="0389FA84" w14:textId="1B2F7D76" w:rsidR="00023312" w:rsidRPr="009B1E46" w:rsidRDefault="00023312" w:rsidP="009B1E46">
      <w:pPr>
        <w:pStyle w:val="ListParagraph"/>
        <w:numPr>
          <w:ilvl w:val="0"/>
          <w:numId w:val="72"/>
        </w:numPr>
        <w:ind w:left="697" w:hanging="357"/>
        <w:rPr>
          <w:i/>
          <w:szCs w:val="22"/>
        </w:rPr>
      </w:pPr>
      <w:r w:rsidRPr="009B1E46">
        <w:rPr>
          <w:i/>
          <w:szCs w:val="22"/>
        </w:rPr>
        <w:t>Corporations Act 2001</w:t>
      </w:r>
    </w:p>
    <w:p w14:paraId="0389FA85" w14:textId="0D72BDA9" w:rsidR="00023312" w:rsidRPr="00AB24D3" w:rsidRDefault="00023312" w:rsidP="009B1E46">
      <w:pPr>
        <w:pStyle w:val="ListParagraph"/>
        <w:numPr>
          <w:ilvl w:val="0"/>
          <w:numId w:val="72"/>
        </w:numPr>
        <w:ind w:left="697" w:hanging="357"/>
        <w:rPr>
          <w:szCs w:val="22"/>
        </w:rPr>
      </w:pPr>
      <w:r w:rsidRPr="00AB24D3">
        <w:rPr>
          <w:szCs w:val="22"/>
        </w:rPr>
        <w:t>Australian standards and other authoritative pronouncements of the Australian Accounting Standards Board (AASB)</w:t>
      </w:r>
    </w:p>
    <w:p w14:paraId="0389FA87" w14:textId="77777777" w:rsidR="00023312" w:rsidRPr="00AB24D3" w:rsidRDefault="00023312" w:rsidP="00091CFE">
      <w:pPr>
        <w:rPr>
          <w:szCs w:val="22"/>
        </w:rPr>
      </w:pPr>
      <w:r w:rsidRPr="00AB24D3">
        <w:rPr>
          <w:szCs w:val="22"/>
        </w:rPr>
        <w:t>This publication should be used in conjunction with the relevant legislation, standards and other reporting pronouncements.</w:t>
      </w:r>
    </w:p>
    <w:p w14:paraId="55B580E0" w14:textId="37C2C706" w:rsidR="00AE3990" w:rsidRPr="00AB24D3" w:rsidRDefault="00023312" w:rsidP="00091CFE">
      <w:pPr>
        <w:rPr>
          <w:szCs w:val="22"/>
        </w:rPr>
      </w:pPr>
      <w:r w:rsidRPr="00AB24D3">
        <w:rPr>
          <w:szCs w:val="22"/>
        </w:rPr>
        <w:t>These Guidelines are based on the Framework for the Preparation and Presentation of Financial Statements provided by the Australian Accounting Standards Board (AASB).</w:t>
      </w:r>
      <w:bookmarkStart w:id="38" w:name="_Toc398721450"/>
      <w:bookmarkStart w:id="39" w:name="_Toc398721477"/>
      <w:bookmarkStart w:id="40" w:name="_Toc398721538"/>
      <w:bookmarkStart w:id="41" w:name="_Toc398721836"/>
      <w:bookmarkStart w:id="42" w:name="_Toc398721990"/>
      <w:bookmarkStart w:id="43" w:name="_Toc398729909"/>
      <w:bookmarkStart w:id="44" w:name="_Toc398731108"/>
      <w:bookmarkStart w:id="45" w:name="_Toc398731396"/>
      <w:bookmarkStart w:id="46" w:name="_Toc398731773"/>
    </w:p>
    <w:p w14:paraId="0389FA8B" w14:textId="77777777" w:rsidR="00023312" w:rsidRDefault="00023312" w:rsidP="00AE3990">
      <w:pPr>
        <w:pStyle w:val="Heading2"/>
      </w:pPr>
      <w:bookmarkStart w:id="47" w:name="_Toc406751403"/>
      <w:r>
        <w:lastRenderedPageBreak/>
        <w:t>Guide to Disclosures</w:t>
      </w:r>
      <w:bookmarkEnd w:id="38"/>
      <w:bookmarkEnd w:id="39"/>
      <w:bookmarkEnd w:id="40"/>
      <w:bookmarkEnd w:id="41"/>
      <w:bookmarkEnd w:id="42"/>
      <w:bookmarkEnd w:id="43"/>
      <w:bookmarkEnd w:id="44"/>
      <w:bookmarkEnd w:id="45"/>
      <w:bookmarkEnd w:id="46"/>
      <w:bookmarkEnd w:id="47"/>
    </w:p>
    <w:p w14:paraId="0389FA8C" w14:textId="77777777" w:rsidR="00023312" w:rsidRPr="000A10F3" w:rsidRDefault="00023312" w:rsidP="000A10F3">
      <w:pPr>
        <w:pStyle w:val="Heading3"/>
      </w:pPr>
      <w:r w:rsidRPr="000A10F3">
        <w:t xml:space="preserve">Mandatory Disclosures: </w:t>
      </w:r>
    </w:p>
    <w:p w14:paraId="0389FA8D" w14:textId="78A9F6D3" w:rsidR="00B27A33" w:rsidRPr="00AB24D3" w:rsidRDefault="00B27A33" w:rsidP="000A10F3">
      <w:pPr>
        <w:rPr>
          <w:szCs w:val="22"/>
        </w:rPr>
      </w:pPr>
      <w:r w:rsidRPr="00AB24D3">
        <w:rPr>
          <w:szCs w:val="22"/>
        </w:rPr>
        <w:t xml:space="preserve">It is a </w:t>
      </w:r>
      <w:r w:rsidR="00B90CFC" w:rsidRPr="00AB24D3">
        <w:rPr>
          <w:szCs w:val="22"/>
        </w:rPr>
        <w:t>Department of Education</w:t>
      </w:r>
      <w:r w:rsidR="00406DCD" w:rsidRPr="00AB24D3">
        <w:rPr>
          <w:szCs w:val="22"/>
        </w:rPr>
        <w:t xml:space="preserve"> </w:t>
      </w:r>
      <w:r w:rsidRPr="00AB24D3">
        <w:rPr>
          <w:szCs w:val="22"/>
        </w:rPr>
        <w:t xml:space="preserve">requirement that where a HEP needs to prepare consolidated financial statements, it must include separate statements for the HEP. </w:t>
      </w:r>
      <w:r w:rsidR="00CB38A8" w:rsidRPr="00AB24D3">
        <w:rPr>
          <w:szCs w:val="22"/>
        </w:rPr>
        <w:t xml:space="preserve">This requirement is necessitated by the </w:t>
      </w:r>
      <w:r w:rsidR="00CB38A8" w:rsidRPr="00AB24D3">
        <w:rPr>
          <w:i/>
          <w:szCs w:val="22"/>
        </w:rPr>
        <w:t>Hig</w:t>
      </w:r>
      <w:r w:rsidR="009B1E46">
        <w:rPr>
          <w:i/>
          <w:szCs w:val="22"/>
        </w:rPr>
        <w:t xml:space="preserve">her Education Support Act </w:t>
      </w:r>
      <w:r w:rsidR="00CB38A8" w:rsidRPr="00AB24D3">
        <w:rPr>
          <w:i/>
          <w:szCs w:val="22"/>
        </w:rPr>
        <w:t>200</w:t>
      </w:r>
      <w:r w:rsidR="009B1E46">
        <w:rPr>
          <w:i/>
          <w:szCs w:val="22"/>
        </w:rPr>
        <w:t>3</w:t>
      </w:r>
      <w:r w:rsidR="00CB38A8" w:rsidRPr="00AB24D3">
        <w:rPr>
          <w:szCs w:val="22"/>
        </w:rPr>
        <w:t xml:space="preserve"> financial viability requirements that explicitly apply to the HEP and not the consolidated entity.</w:t>
      </w:r>
    </w:p>
    <w:p w14:paraId="0389FA8F" w14:textId="28A3BD75" w:rsidR="00023312" w:rsidRPr="00AB24D3" w:rsidRDefault="00023312" w:rsidP="000A10F3">
      <w:pPr>
        <w:rPr>
          <w:szCs w:val="22"/>
        </w:rPr>
      </w:pPr>
      <w:r w:rsidRPr="00AB24D3">
        <w:rPr>
          <w:szCs w:val="22"/>
        </w:rPr>
        <w:t>Please note that some disclosures have been mandated by the Minister.</w:t>
      </w:r>
      <w:r w:rsidR="00D24D19" w:rsidRPr="00AB24D3" w:rsidDel="00D24D19">
        <w:rPr>
          <w:szCs w:val="22"/>
        </w:rPr>
        <w:t xml:space="preserve"> </w:t>
      </w:r>
      <w:r w:rsidRPr="00AB24D3">
        <w:rPr>
          <w:szCs w:val="22"/>
        </w:rPr>
        <w:t>Mandatory disclosures set out in these Guidelines are shaded grey. Where an entire face statement or note is mandatory, the whole note, including the note title, is shaded. Where only particular line-items are mandatory, only those line-items are shaded.</w:t>
      </w:r>
      <w:r w:rsidR="001A35D6" w:rsidRPr="00AB24D3">
        <w:rPr>
          <w:szCs w:val="22"/>
        </w:rPr>
        <w:t xml:space="preserve"> </w:t>
      </w:r>
    </w:p>
    <w:p w14:paraId="0389FA91" w14:textId="40C77912" w:rsidR="00023312" w:rsidRPr="00AB24D3" w:rsidRDefault="00023312" w:rsidP="000A10F3">
      <w:pPr>
        <w:rPr>
          <w:szCs w:val="22"/>
        </w:rPr>
      </w:pPr>
      <w:r w:rsidRPr="00AB24D3">
        <w:rPr>
          <w:szCs w:val="22"/>
        </w:rPr>
        <w:t xml:space="preserve">Mandatory disclosure is not required where the line-item or disclosure is not relevant to the HEP. In such instances, nil or </w:t>
      </w:r>
      <w:r w:rsidR="00057AB9" w:rsidRPr="00AB24D3">
        <w:rPr>
          <w:szCs w:val="22"/>
        </w:rPr>
        <w:t xml:space="preserve">insignificant </w:t>
      </w:r>
      <w:r w:rsidRPr="00AB24D3">
        <w:rPr>
          <w:szCs w:val="22"/>
        </w:rPr>
        <w:t>balances do not have to be reported.</w:t>
      </w:r>
      <w:r w:rsidR="00CB38A8" w:rsidRPr="00AB24D3">
        <w:rPr>
          <w:szCs w:val="22"/>
        </w:rPr>
        <w:t xml:space="preserve"> However, materiality may be applied in determining whether the components of note 2 </w:t>
      </w:r>
      <w:r w:rsidR="009D0FF6" w:rsidRPr="00AB24D3">
        <w:rPr>
          <w:szCs w:val="22"/>
        </w:rPr>
        <w:t>-</w:t>
      </w:r>
      <w:r w:rsidR="00255336" w:rsidRPr="00AB24D3">
        <w:rPr>
          <w:szCs w:val="22"/>
        </w:rPr>
        <w:t xml:space="preserve"> </w:t>
      </w:r>
      <w:r w:rsidR="00CB38A8" w:rsidRPr="00AB24D3">
        <w:rPr>
          <w:szCs w:val="22"/>
        </w:rPr>
        <w:t>Disaggregated information need to be disclosed, and the need to produce separate statements for the parent entity. Institutions that do not include separate financial statements (</w:t>
      </w:r>
      <w:proofErr w:type="spellStart"/>
      <w:r w:rsidR="00AB3203" w:rsidRPr="00AB24D3">
        <w:rPr>
          <w:szCs w:val="22"/>
        </w:rPr>
        <w:t>ie</w:t>
      </w:r>
      <w:proofErr w:type="spellEnd"/>
      <w:r w:rsidR="00CB38A8" w:rsidRPr="00AB24D3">
        <w:rPr>
          <w:szCs w:val="22"/>
        </w:rPr>
        <w:t xml:space="preserve"> those for the parent entity), must include an explicit statement in note 1 to the effect that separate statements are not provided as the difference is immaterial for all items.</w:t>
      </w:r>
    </w:p>
    <w:p w14:paraId="0389FA93" w14:textId="77777777" w:rsidR="00023312" w:rsidRDefault="00023312" w:rsidP="000A10F3">
      <w:pPr>
        <w:pStyle w:val="Heading3"/>
      </w:pPr>
      <w:r>
        <w:t>Other Disclosures:</w:t>
      </w:r>
    </w:p>
    <w:p w14:paraId="6AEDEDA9" w14:textId="77777777" w:rsidR="002254C9" w:rsidRPr="00AB24D3" w:rsidRDefault="00057AB9" w:rsidP="000A10F3">
      <w:pPr>
        <w:rPr>
          <w:szCs w:val="22"/>
        </w:rPr>
      </w:pPr>
      <w:r w:rsidRPr="00AB24D3">
        <w:rPr>
          <w:szCs w:val="22"/>
        </w:rPr>
        <w:t xml:space="preserve">Other disclosures are based on the Australian Accounting </w:t>
      </w:r>
      <w:r w:rsidR="00CC2225" w:rsidRPr="00AB24D3">
        <w:rPr>
          <w:szCs w:val="22"/>
        </w:rPr>
        <w:t>S</w:t>
      </w:r>
      <w:r w:rsidRPr="00AB24D3">
        <w:rPr>
          <w:szCs w:val="22"/>
        </w:rPr>
        <w:t xml:space="preserve">tandards </w:t>
      </w:r>
      <w:r w:rsidR="00CC2225" w:rsidRPr="00AB24D3">
        <w:rPr>
          <w:szCs w:val="22"/>
        </w:rPr>
        <w:t xml:space="preserve">and </w:t>
      </w:r>
      <w:r w:rsidRPr="00AB24D3">
        <w:rPr>
          <w:szCs w:val="22"/>
        </w:rPr>
        <w:t>will generally be required subject to materiality.</w:t>
      </w:r>
      <w:bookmarkStart w:id="48" w:name="_Toc398721451"/>
      <w:bookmarkStart w:id="49" w:name="_Toc398721478"/>
      <w:bookmarkStart w:id="50" w:name="_Toc398721539"/>
      <w:bookmarkStart w:id="51" w:name="_Toc398721837"/>
      <w:bookmarkStart w:id="52" w:name="_Toc398721991"/>
      <w:bookmarkStart w:id="53" w:name="_Toc398729910"/>
      <w:bookmarkStart w:id="54" w:name="_Toc398731109"/>
      <w:bookmarkStart w:id="55" w:name="_Toc398731397"/>
      <w:bookmarkStart w:id="56" w:name="_Toc398731774"/>
    </w:p>
    <w:p w14:paraId="0389FA96" w14:textId="074A7FD9" w:rsidR="00023312" w:rsidRDefault="00023312" w:rsidP="00E41510">
      <w:pPr>
        <w:pStyle w:val="Heading2"/>
      </w:pPr>
      <w:bookmarkStart w:id="57" w:name="_Toc406751404"/>
      <w:r>
        <w:t>Basis of Preparation</w:t>
      </w:r>
      <w:bookmarkEnd w:id="48"/>
      <w:bookmarkEnd w:id="49"/>
      <w:bookmarkEnd w:id="50"/>
      <w:bookmarkEnd w:id="51"/>
      <w:bookmarkEnd w:id="52"/>
      <w:bookmarkEnd w:id="53"/>
      <w:bookmarkEnd w:id="54"/>
      <w:bookmarkEnd w:id="55"/>
      <w:bookmarkEnd w:id="56"/>
      <w:bookmarkEnd w:id="57"/>
    </w:p>
    <w:p w14:paraId="0389FA97" w14:textId="1E4270F6" w:rsidR="00023312" w:rsidRPr="00AB24D3" w:rsidRDefault="00023312" w:rsidP="000A10F3">
      <w:pPr>
        <w:rPr>
          <w:szCs w:val="22"/>
        </w:rPr>
      </w:pPr>
      <w:r w:rsidRPr="00AB24D3">
        <w:rPr>
          <w:szCs w:val="22"/>
        </w:rPr>
        <w:t>The Financial Statement Guidelines are provided as a supplement to HEPs existing mandatory reporting requirements. In addition to conforming to these Guidelines when preparing general purpose financial statements, HEPs are to follow:</w:t>
      </w:r>
    </w:p>
    <w:p w14:paraId="0389FA98" w14:textId="385A8FAA" w:rsidR="00023312" w:rsidRPr="00AB24D3" w:rsidRDefault="00023312" w:rsidP="009B1E46">
      <w:pPr>
        <w:pStyle w:val="ListParagraph"/>
        <w:numPr>
          <w:ilvl w:val="0"/>
          <w:numId w:val="73"/>
        </w:numPr>
        <w:ind w:left="697" w:hanging="357"/>
        <w:rPr>
          <w:szCs w:val="22"/>
        </w:rPr>
      </w:pPr>
      <w:r w:rsidRPr="00AB24D3">
        <w:rPr>
          <w:szCs w:val="22"/>
        </w:rPr>
        <w:t>Australian Accounting Standards;</w:t>
      </w:r>
    </w:p>
    <w:p w14:paraId="0389FA99" w14:textId="74EF632A" w:rsidR="00023312" w:rsidRPr="00AB24D3" w:rsidRDefault="00023312" w:rsidP="009B1E46">
      <w:pPr>
        <w:pStyle w:val="ListParagraph"/>
        <w:numPr>
          <w:ilvl w:val="0"/>
          <w:numId w:val="73"/>
        </w:numPr>
        <w:ind w:left="697" w:hanging="357"/>
        <w:rPr>
          <w:szCs w:val="22"/>
        </w:rPr>
      </w:pPr>
      <w:r w:rsidRPr="00AB24D3">
        <w:rPr>
          <w:szCs w:val="22"/>
        </w:rPr>
        <w:t>Urgent Issues Group and AASB Interpretations;</w:t>
      </w:r>
    </w:p>
    <w:p w14:paraId="0389FA9A" w14:textId="350F947B" w:rsidR="00023312" w:rsidRPr="00AB24D3" w:rsidRDefault="00023312" w:rsidP="009B1E46">
      <w:pPr>
        <w:pStyle w:val="ListParagraph"/>
        <w:numPr>
          <w:ilvl w:val="0"/>
          <w:numId w:val="73"/>
        </w:numPr>
        <w:ind w:left="697" w:hanging="357"/>
        <w:rPr>
          <w:szCs w:val="22"/>
        </w:rPr>
      </w:pPr>
      <w:r w:rsidRPr="00AB24D3">
        <w:rPr>
          <w:szCs w:val="22"/>
        </w:rPr>
        <w:t>Statements of Accounting Concepts;</w:t>
      </w:r>
    </w:p>
    <w:p w14:paraId="0389FA9B" w14:textId="2DB0793E" w:rsidR="00023312" w:rsidRPr="00AB24D3" w:rsidRDefault="00023312" w:rsidP="009B1E46">
      <w:pPr>
        <w:pStyle w:val="ListParagraph"/>
        <w:numPr>
          <w:ilvl w:val="0"/>
          <w:numId w:val="73"/>
        </w:numPr>
        <w:ind w:left="697" w:hanging="357"/>
        <w:rPr>
          <w:szCs w:val="22"/>
        </w:rPr>
      </w:pPr>
      <w:r w:rsidRPr="00AB24D3">
        <w:rPr>
          <w:szCs w:val="22"/>
        </w:rPr>
        <w:t>Accounting Guidance Releases;</w:t>
      </w:r>
    </w:p>
    <w:p w14:paraId="0389FA9C" w14:textId="2B64B654" w:rsidR="00023312" w:rsidRPr="00AB24D3" w:rsidRDefault="00023312" w:rsidP="009B1E46">
      <w:pPr>
        <w:pStyle w:val="ListParagraph"/>
        <w:numPr>
          <w:ilvl w:val="0"/>
          <w:numId w:val="73"/>
        </w:numPr>
        <w:ind w:left="697" w:hanging="357"/>
        <w:rPr>
          <w:szCs w:val="22"/>
        </w:rPr>
      </w:pPr>
      <w:r w:rsidRPr="00AB24D3">
        <w:rPr>
          <w:szCs w:val="22"/>
        </w:rPr>
        <w:t>Accounting Bulletins; and</w:t>
      </w:r>
    </w:p>
    <w:p w14:paraId="1AB04CDB" w14:textId="6FB9B29E" w:rsidR="00746456" w:rsidRPr="00AB24D3" w:rsidRDefault="00023312" w:rsidP="009B1E46">
      <w:pPr>
        <w:pStyle w:val="ListParagraph"/>
        <w:numPr>
          <w:ilvl w:val="0"/>
          <w:numId w:val="73"/>
        </w:numPr>
        <w:ind w:left="697" w:hanging="357"/>
        <w:rPr>
          <w:szCs w:val="22"/>
        </w:rPr>
      </w:pPr>
      <w:r w:rsidRPr="00AB24D3">
        <w:rPr>
          <w:szCs w:val="22"/>
        </w:rPr>
        <w:t>Australian Government, State or Territory Legislative and regulatory requirements.</w:t>
      </w:r>
    </w:p>
    <w:p w14:paraId="0389FAA0" w14:textId="40A274A1" w:rsidR="00DD300F" w:rsidRPr="00746456" w:rsidRDefault="00DD300F" w:rsidP="00AE3990">
      <w:pPr>
        <w:pStyle w:val="Heading2"/>
      </w:pPr>
      <w:bookmarkStart w:id="58" w:name="_Toc398721452"/>
      <w:bookmarkStart w:id="59" w:name="_Toc398721479"/>
      <w:bookmarkStart w:id="60" w:name="_Toc398721540"/>
      <w:bookmarkStart w:id="61" w:name="_Toc398721838"/>
      <w:bookmarkStart w:id="62" w:name="_Toc398721992"/>
      <w:bookmarkStart w:id="63" w:name="_Toc398729911"/>
      <w:bookmarkStart w:id="64" w:name="_Toc398731110"/>
      <w:bookmarkStart w:id="65" w:name="_Toc398731398"/>
      <w:bookmarkStart w:id="66" w:name="_Toc398731775"/>
      <w:bookmarkStart w:id="67" w:name="_Toc406751405"/>
      <w:r>
        <w:t xml:space="preserve">Electing </w:t>
      </w:r>
      <w:r w:rsidR="00002263">
        <w:t xml:space="preserve">to </w:t>
      </w:r>
      <w:r>
        <w:t>early adopt Accounting Standards</w:t>
      </w:r>
      <w:bookmarkEnd w:id="58"/>
      <w:bookmarkEnd w:id="59"/>
      <w:bookmarkEnd w:id="60"/>
      <w:bookmarkEnd w:id="61"/>
      <w:bookmarkEnd w:id="62"/>
      <w:bookmarkEnd w:id="63"/>
      <w:bookmarkEnd w:id="64"/>
      <w:bookmarkEnd w:id="65"/>
      <w:bookmarkEnd w:id="66"/>
      <w:bookmarkEnd w:id="67"/>
    </w:p>
    <w:p w14:paraId="0389FAA1" w14:textId="2CA7F624" w:rsidR="00923550" w:rsidRPr="00AB24D3" w:rsidRDefault="00923550" w:rsidP="00AB24D3">
      <w:pPr>
        <w:pStyle w:val="Introduction-Text"/>
      </w:pPr>
      <w:r w:rsidRPr="00AB24D3">
        <w:t xml:space="preserve">AASB9 </w:t>
      </w:r>
      <w:r w:rsidRPr="00AB24D3">
        <w:rPr>
          <w:i/>
        </w:rPr>
        <w:t>Financial Instruments</w:t>
      </w:r>
      <w:r w:rsidRPr="00AB24D3">
        <w:t xml:space="preserve"> </w:t>
      </w:r>
      <w:r w:rsidRPr="00AB24D3">
        <w:rPr>
          <w:i/>
        </w:rPr>
        <w:t xml:space="preserve">(Dec </w:t>
      </w:r>
      <w:r w:rsidR="006864EC" w:rsidRPr="00AB24D3">
        <w:rPr>
          <w:i/>
        </w:rPr>
        <w:t>201</w:t>
      </w:r>
      <w:r w:rsidR="004752DA" w:rsidRPr="00AB24D3">
        <w:rPr>
          <w:i/>
        </w:rPr>
        <w:t>0</w:t>
      </w:r>
      <w:r w:rsidRPr="00AB24D3">
        <w:rPr>
          <w:i/>
        </w:rPr>
        <w:t>)</w:t>
      </w:r>
      <w:r w:rsidRPr="00AB24D3">
        <w:t xml:space="preserve"> may be, but is not required to be, adopted for the reporting period ending 31 December </w:t>
      </w:r>
      <w:r w:rsidR="006864EC" w:rsidRPr="00AB24D3">
        <w:t>2014</w:t>
      </w:r>
      <w:r w:rsidRPr="00AB24D3">
        <w:t xml:space="preserve">. Institutions wishing to early adopt must comply with the requirements specified in Appendix 1. One of the requirements specifically limits institutions ability to make an election under AASB9.5.7.5 (fair value through </w:t>
      </w:r>
      <w:r w:rsidR="0082023A" w:rsidRPr="00AB24D3">
        <w:t>other comprehensive income (</w:t>
      </w:r>
      <w:r w:rsidRPr="00AB24D3">
        <w:t>OCI</w:t>
      </w:r>
      <w:r w:rsidR="0082023A" w:rsidRPr="00AB24D3">
        <w:t>)</w:t>
      </w:r>
      <w:r w:rsidRPr="00AB24D3">
        <w:t>). Note that financial assets other than equity instruments cannot have gains taken to OCI.</w:t>
      </w:r>
    </w:p>
    <w:p w14:paraId="2677C1AB" w14:textId="063B3822" w:rsidR="00746456" w:rsidRPr="0082023A" w:rsidRDefault="00746456" w:rsidP="00AE3990">
      <w:pPr>
        <w:pStyle w:val="Heading2"/>
      </w:pPr>
      <w:bookmarkStart w:id="68" w:name="_Toc398721453"/>
      <w:bookmarkStart w:id="69" w:name="_Toc398721480"/>
      <w:bookmarkStart w:id="70" w:name="_Toc398721541"/>
      <w:bookmarkStart w:id="71" w:name="_Toc398721839"/>
      <w:bookmarkStart w:id="72" w:name="_Toc398721993"/>
      <w:bookmarkStart w:id="73" w:name="_Toc398729912"/>
      <w:bookmarkStart w:id="74" w:name="_Toc398731111"/>
      <w:bookmarkStart w:id="75" w:name="_Toc398731399"/>
      <w:bookmarkStart w:id="76" w:name="_Toc398731776"/>
      <w:bookmarkStart w:id="77" w:name="_Toc406751406"/>
      <w:r w:rsidRPr="0082023A">
        <w:t xml:space="preserve">Instructions for </w:t>
      </w:r>
      <w:r w:rsidR="00B1316E">
        <w:t>Submission</w:t>
      </w:r>
      <w:r w:rsidRPr="0082023A">
        <w:t xml:space="preserve"> to the Department of Education</w:t>
      </w:r>
      <w:bookmarkEnd w:id="68"/>
      <w:bookmarkEnd w:id="69"/>
      <w:bookmarkEnd w:id="70"/>
      <w:bookmarkEnd w:id="71"/>
      <w:bookmarkEnd w:id="72"/>
      <w:bookmarkEnd w:id="73"/>
      <w:bookmarkEnd w:id="74"/>
      <w:bookmarkEnd w:id="75"/>
      <w:bookmarkEnd w:id="76"/>
      <w:bookmarkEnd w:id="77"/>
    </w:p>
    <w:p w14:paraId="5B4D8114" w14:textId="77777777" w:rsidR="00746456" w:rsidRPr="000A10F3" w:rsidRDefault="00746456" w:rsidP="000A10F3">
      <w:pPr>
        <w:pStyle w:val="Heading3"/>
      </w:pPr>
      <w:r w:rsidRPr="000A10F3">
        <w:t>Background</w:t>
      </w:r>
    </w:p>
    <w:p w14:paraId="49A5D8C0" w14:textId="77777777" w:rsidR="000A10F3" w:rsidRPr="00AB24D3" w:rsidRDefault="00746456" w:rsidP="000A10F3">
      <w:pPr>
        <w:rPr>
          <w:szCs w:val="22"/>
        </w:rPr>
      </w:pPr>
      <w:r w:rsidRPr="00AB24D3">
        <w:rPr>
          <w:szCs w:val="22"/>
        </w:rPr>
        <w:t xml:space="preserve">Data disclosed by HEPs in their Audited Annual Financial Statements and provided electronically to the Department of Education will be consolidated into tables in the Department of Education’s Finance publication. </w:t>
      </w:r>
    </w:p>
    <w:p w14:paraId="475DD2CD" w14:textId="7A791EEE" w:rsidR="00746456" w:rsidRPr="00AB24D3" w:rsidRDefault="00746456" w:rsidP="000A10F3">
      <w:pPr>
        <w:pBdr>
          <w:top w:val="single" w:sz="4" w:space="1" w:color="auto"/>
          <w:left w:val="single" w:sz="4" w:space="4" w:color="auto"/>
          <w:bottom w:val="single" w:sz="4" w:space="1" w:color="auto"/>
          <w:right w:val="single" w:sz="4" w:space="4" w:color="auto"/>
        </w:pBdr>
        <w:rPr>
          <w:szCs w:val="22"/>
        </w:rPr>
      </w:pPr>
      <w:r w:rsidRPr="00AB24D3">
        <w:rPr>
          <w:szCs w:val="22"/>
        </w:rPr>
        <w:lastRenderedPageBreak/>
        <w:t xml:space="preserve">It is recommended that in providing financial statement information electronically to Education for publication, the HEPs have regard to good practice guidance such as GS006 </w:t>
      </w:r>
      <w:r w:rsidRPr="00AB24D3">
        <w:rPr>
          <w:i/>
          <w:szCs w:val="22"/>
        </w:rPr>
        <w:t>Electronic Publication of the Auditor’s Report</w:t>
      </w:r>
      <w:r w:rsidRPr="00AB24D3">
        <w:rPr>
          <w:szCs w:val="22"/>
        </w:rPr>
        <w:t xml:space="preserve"> to ensure the accuracy and integrity of the information.</w:t>
      </w:r>
    </w:p>
    <w:p w14:paraId="6E57E332" w14:textId="4922A773" w:rsidR="00746456" w:rsidRPr="00AB24D3" w:rsidRDefault="00746456" w:rsidP="000A10F3">
      <w:pPr>
        <w:rPr>
          <w:szCs w:val="22"/>
        </w:rPr>
      </w:pPr>
      <w:r w:rsidRPr="00AB24D3">
        <w:rPr>
          <w:szCs w:val="22"/>
        </w:rPr>
        <w:t>To avoid the possibility of the Department of Education compiling data incorrectly and to minimise the necessity of obtaining supplementary data, all HEPs are required to transcribe their Audited Annual Financial Statements to Excel spreadsheets.</w:t>
      </w:r>
      <w:r w:rsidR="00BD191D" w:rsidRPr="00AB24D3">
        <w:rPr>
          <w:szCs w:val="22"/>
        </w:rPr>
        <w:t xml:space="preserve"> </w:t>
      </w:r>
      <w:r w:rsidRPr="00AB24D3">
        <w:rPr>
          <w:szCs w:val="22"/>
        </w:rPr>
        <w:t>This will enable the compilation and publication of data, which are assembled on a comparable basis for all HEPs with a minimum of delay.</w:t>
      </w:r>
    </w:p>
    <w:p w14:paraId="5B9D0E24" w14:textId="77777777" w:rsidR="00746456" w:rsidRPr="00AB24D3" w:rsidRDefault="00746456" w:rsidP="000A10F3">
      <w:pPr>
        <w:rPr>
          <w:szCs w:val="22"/>
        </w:rPr>
      </w:pPr>
      <w:r w:rsidRPr="00AB24D3">
        <w:rPr>
          <w:szCs w:val="22"/>
        </w:rPr>
        <w:t>The spreadsheets do not require the provision of additional data and simply emulate the sections of the Audited Annual Financial Statements shown in these specifications.</w:t>
      </w:r>
    </w:p>
    <w:p w14:paraId="7A48A5ED" w14:textId="77777777" w:rsidR="00746456" w:rsidRPr="00AB24D3" w:rsidRDefault="00746456" w:rsidP="000A10F3">
      <w:pPr>
        <w:rPr>
          <w:szCs w:val="22"/>
        </w:rPr>
      </w:pPr>
      <w:r w:rsidRPr="00AB24D3">
        <w:rPr>
          <w:szCs w:val="22"/>
        </w:rPr>
        <w:t>The provision of data to Education in the spreadsheets does not in any way diminish the obligation of HEPs to prepare Audited Annual Financial Statements in accordance to Australian Accounting Standards and these Guidelines.</w:t>
      </w:r>
    </w:p>
    <w:p w14:paraId="6FA0B757" w14:textId="77777777" w:rsidR="00746456" w:rsidRPr="000A10F3" w:rsidRDefault="00746456" w:rsidP="000A10F3">
      <w:pPr>
        <w:pStyle w:val="Heading3"/>
      </w:pPr>
      <w:r w:rsidRPr="000A10F3">
        <w:t>Data to be provided as Excel spreadsheets</w:t>
      </w:r>
    </w:p>
    <w:p w14:paraId="03A674DA" w14:textId="2399D148" w:rsidR="00746456" w:rsidRPr="00AB24D3" w:rsidRDefault="00746456" w:rsidP="00C644CD">
      <w:pPr>
        <w:pStyle w:val="ListParagraph"/>
        <w:numPr>
          <w:ilvl w:val="0"/>
          <w:numId w:val="5"/>
        </w:numPr>
        <w:ind w:left="697" w:hanging="357"/>
        <w:rPr>
          <w:szCs w:val="22"/>
        </w:rPr>
      </w:pPr>
      <w:r w:rsidRPr="00AB24D3">
        <w:rPr>
          <w:szCs w:val="22"/>
        </w:rPr>
        <w:t>Income statement</w:t>
      </w:r>
    </w:p>
    <w:p w14:paraId="2D5D2679" w14:textId="68E82F75" w:rsidR="00087A4A" w:rsidRPr="00AB24D3" w:rsidRDefault="00F35AEF" w:rsidP="00C644CD">
      <w:pPr>
        <w:pStyle w:val="ListParagraph"/>
        <w:numPr>
          <w:ilvl w:val="0"/>
          <w:numId w:val="5"/>
        </w:numPr>
        <w:ind w:left="697" w:hanging="357"/>
        <w:rPr>
          <w:szCs w:val="22"/>
        </w:rPr>
      </w:pPr>
      <w:r w:rsidRPr="00AB24D3">
        <w:rPr>
          <w:szCs w:val="22"/>
        </w:rPr>
        <w:t>Statement</w:t>
      </w:r>
      <w:r w:rsidR="00087A4A" w:rsidRPr="00AB24D3">
        <w:rPr>
          <w:szCs w:val="22"/>
        </w:rPr>
        <w:t xml:space="preserve"> of other comprehensive income</w:t>
      </w:r>
    </w:p>
    <w:p w14:paraId="23DD8692" w14:textId="2E718E5F" w:rsidR="00746456" w:rsidRPr="00AB24D3" w:rsidRDefault="007A534E" w:rsidP="00C644CD">
      <w:pPr>
        <w:pStyle w:val="ListParagraph"/>
        <w:numPr>
          <w:ilvl w:val="0"/>
          <w:numId w:val="5"/>
        </w:numPr>
        <w:ind w:left="697" w:hanging="357"/>
        <w:rPr>
          <w:szCs w:val="22"/>
        </w:rPr>
      </w:pPr>
      <w:r w:rsidRPr="00AB24D3">
        <w:rPr>
          <w:szCs w:val="22"/>
        </w:rPr>
        <w:t>Statement of financial position</w:t>
      </w:r>
    </w:p>
    <w:p w14:paraId="04804B6F" w14:textId="556F9772" w:rsidR="00746456" w:rsidRPr="00AB24D3" w:rsidRDefault="00746456" w:rsidP="00C644CD">
      <w:pPr>
        <w:pStyle w:val="ListParagraph"/>
        <w:numPr>
          <w:ilvl w:val="0"/>
          <w:numId w:val="5"/>
        </w:numPr>
        <w:ind w:left="697" w:hanging="357"/>
        <w:rPr>
          <w:szCs w:val="22"/>
        </w:rPr>
      </w:pPr>
      <w:r w:rsidRPr="00AB24D3">
        <w:rPr>
          <w:szCs w:val="22"/>
        </w:rPr>
        <w:t>Statement of changes in equity</w:t>
      </w:r>
    </w:p>
    <w:p w14:paraId="48DAA43C" w14:textId="3511CE73" w:rsidR="00746456" w:rsidRPr="00AB24D3" w:rsidRDefault="00746456" w:rsidP="00C644CD">
      <w:pPr>
        <w:pStyle w:val="ListParagraph"/>
        <w:numPr>
          <w:ilvl w:val="0"/>
          <w:numId w:val="5"/>
        </w:numPr>
        <w:ind w:left="697" w:hanging="357"/>
        <w:rPr>
          <w:szCs w:val="22"/>
        </w:rPr>
      </w:pPr>
      <w:r w:rsidRPr="00AB24D3">
        <w:rPr>
          <w:szCs w:val="22"/>
        </w:rPr>
        <w:t>Statement of cash flows</w:t>
      </w:r>
    </w:p>
    <w:p w14:paraId="06DB7382" w14:textId="0729EA0C" w:rsidR="00746456" w:rsidRPr="00AB24D3" w:rsidRDefault="00746456" w:rsidP="00C644CD">
      <w:pPr>
        <w:pStyle w:val="ListParagraph"/>
        <w:numPr>
          <w:ilvl w:val="0"/>
          <w:numId w:val="5"/>
        </w:numPr>
        <w:ind w:left="697" w:hanging="357"/>
        <w:rPr>
          <w:szCs w:val="22"/>
        </w:rPr>
      </w:pPr>
      <w:r w:rsidRPr="00AB24D3">
        <w:rPr>
          <w:szCs w:val="22"/>
        </w:rPr>
        <w:t>Notes for the Acquittal of Australian Government Financial Assistance</w:t>
      </w:r>
    </w:p>
    <w:p w14:paraId="1A339314" w14:textId="77777777" w:rsidR="00746456" w:rsidRPr="00AE3990" w:rsidRDefault="00746456" w:rsidP="00C644CD">
      <w:pPr>
        <w:pStyle w:val="Heading2"/>
      </w:pPr>
      <w:bookmarkStart w:id="78" w:name="_Toc406751407"/>
      <w:r w:rsidRPr="00AE3990">
        <w:t>Lodgement details</w:t>
      </w:r>
      <w:bookmarkEnd w:id="78"/>
    </w:p>
    <w:p w14:paraId="479E1997" w14:textId="77777777" w:rsidR="00746456" w:rsidRPr="0074467D" w:rsidRDefault="00746456" w:rsidP="000A10F3">
      <w:pPr>
        <w:pStyle w:val="Heading3"/>
      </w:pPr>
      <w:r w:rsidRPr="0074467D">
        <w:t>What is required from HEPs</w:t>
      </w:r>
    </w:p>
    <w:p w14:paraId="17489FF5" w14:textId="77777777" w:rsidR="00746456" w:rsidRPr="00AB24D3" w:rsidRDefault="00746456" w:rsidP="000A10F3">
      <w:pPr>
        <w:rPr>
          <w:szCs w:val="22"/>
        </w:rPr>
      </w:pPr>
      <w:r w:rsidRPr="00AB24D3">
        <w:rPr>
          <w:szCs w:val="22"/>
        </w:rPr>
        <w:t>HEPs are to provide the Department of Education with:</w:t>
      </w:r>
    </w:p>
    <w:p w14:paraId="582D3545" w14:textId="6E0480C9" w:rsidR="00746456" w:rsidRPr="00AB24D3" w:rsidRDefault="00746456" w:rsidP="00C644CD">
      <w:pPr>
        <w:pStyle w:val="ListParagraph"/>
        <w:numPr>
          <w:ilvl w:val="0"/>
          <w:numId w:val="6"/>
        </w:numPr>
        <w:ind w:left="697" w:hanging="357"/>
        <w:rPr>
          <w:szCs w:val="22"/>
        </w:rPr>
      </w:pPr>
      <w:r w:rsidRPr="00AB24D3">
        <w:rPr>
          <w:szCs w:val="22"/>
        </w:rPr>
        <w:t>one electronic copy of their Audited Annual Financial Statements together with the Auditor’s Report; and</w:t>
      </w:r>
    </w:p>
    <w:p w14:paraId="59618BE8" w14:textId="3DCD823A" w:rsidR="00746456" w:rsidRPr="00AB24D3" w:rsidRDefault="002254C9" w:rsidP="00C644CD">
      <w:pPr>
        <w:pStyle w:val="ListParagraph"/>
        <w:numPr>
          <w:ilvl w:val="0"/>
          <w:numId w:val="6"/>
        </w:numPr>
        <w:ind w:left="697" w:hanging="357"/>
        <w:rPr>
          <w:szCs w:val="22"/>
        </w:rPr>
      </w:pPr>
      <w:r w:rsidRPr="00AB24D3">
        <w:rPr>
          <w:szCs w:val="22"/>
        </w:rPr>
        <w:t>one electronic copy of the Excel spreadsheet (AFR2014.xls); and</w:t>
      </w:r>
    </w:p>
    <w:p w14:paraId="0E411615" w14:textId="1009B16E" w:rsidR="00746456" w:rsidRPr="00AB24D3" w:rsidRDefault="002254C9" w:rsidP="00C644CD">
      <w:pPr>
        <w:pStyle w:val="ListParagraph"/>
        <w:numPr>
          <w:ilvl w:val="0"/>
          <w:numId w:val="6"/>
        </w:numPr>
        <w:ind w:left="697" w:hanging="357"/>
        <w:rPr>
          <w:szCs w:val="22"/>
        </w:rPr>
      </w:pPr>
      <w:proofErr w:type="gramStart"/>
      <w:r w:rsidRPr="00AB24D3">
        <w:rPr>
          <w:szCs w:val="22"/>
        </w:rPr>
        <w:t>one</w:t>
      </w:r>
      <w:proofErr w:type="gramEnd"/>
      <w:r w:rsidRPr="00AB24D3">
        <w:rPr>
          <w:szCs w:val="22"/>
        </w:rPr>
        <w:t xml:space="preserve"> electronic or hard copy of the Excel spreadsheet (AFR2014.xls) of the HEP, signed by the Chief Financial Officer declaring the accuracy and integrity of the information provided.</w:t>
      </w:r>
    </w:p>
    <w:p w14:paraId="71F8CC16" w14:textId="77777777" w:rsidR="00746456" w:rsidRPr="0074467D" w:rsidRDefault="00746456" w:rsidP="000A10F3">
      <w:pPr>
        <w:pStyle w:val="Heading3"/>
      </w:pPr>
      <w:r w:rsidRPr="0074467D">
        <w:t>Due date</w:t>
      </w:r>
    </w:p>
    <w:p w14:paraId="599CED33" w14:textId="17D3BA54" w:rsidR="00746456" w:rsidRPr="00AB24D3" w:rsidRDefault="00746456" w:rsidP="000A10F3">
      <w:pPr>
        <w:rPr>
          <w:szCs w:val="22"/>
        </w:rPr>
      </w:pPr>
      <w:r w:rsidRPr="00AB24D3">
        <w:rPr>
          <w:szCs w:val="22"/>
        </w:rPr>
        <w:t xml:space="preserve">The Audited Annual Financial Statements for the </w:t>
      </w:r>
      <w:r w:rsidR="006864EC" w:rsidRPr="00AB24D3">
        <w:rPr>
          <w:szCs w:val="22"/>
        </w:rPr>
        <w:t>2014</w:t>
      </w:r>
      <w:r w:rsidRPr="00AB24D3">
        <w:rPr>
          <w:szCs w:val="22"/>
        </w:rPr>
        <w:t xml:space="preserve"> reporting period and the AFR spreadsheets, as requested above, are to be returned to Education no later than 30 June </w:t>
      </w:r>
      <w:r w:rsidR="006864EC" w:rsidRPr="00AB24D3">
        <w:rPr>
          <w:szCs w:val="22"/>
        </w:rPr>
        <w:t>2015</w:t>
      </w:r>
      <w:r w:rsidRPr="00AB24D3">
        <w:rPr>
          <w:szCs w:val="22"/>
        </w:rPr>
        <w:t xml:space="preserve">. Education however encourages HEPs to provide copies of the audited financial statements </w:t>
      </w:r>
      <w:r w:rsidR="00AE3990" w:rsidRPr="00AB24D3">
        <w:rPr>
          <w:szCs w:val="22"/>
        </w:rPr>
        <w:t xml:space="preserve">and completed AFRs </w:t>
      </w:r>
      <w:r w:rsidRPr="00AB24D3">
        <w:rPr>
          <w:szCs w:val="22"/>
        </w:rPr>
        <w:t>as soon as they become available.</w:t>
      </w:r>
    </w:p>
    <w:p w14:paraId="7E8F58D7" w14:textId="77777777" w:rsidR="002C3264" w:rsidRDefault="002C3264">
      <w:pPr>
        <w:spacing w:after="0"/>
        <w:rPr>
          <w:rFonts w:asciiTheme="majorHAnsi" w:eastAsiaTheme="majorEastAsia" w:hAnsiTheme="majorHAnsi"/>
          <w:b/>
          <w:bCs/>
          <w:sz w:val="28"/>
          <w:szCs w:val="26"/>
        </w:rPr>
      </w:pPr>
      <w:r>
        <w:br w:type="page"/>
      </w:r>
    </w:p>
    <w:p w14:paraId="22885945" w14:textId="3EA29733" w:rsidR="00746456" w:rsidRPr="000A10F3" w:rsidRDefault="00746456" w:rsidP="000A10F3">
      <w:pPr>
        <w:pStyle w:val="Heading3"/>
      </w:pPr>
      <w:r w:rsidRPr="000A10F3">
        <w:lastRenderedPageBreak/>
        <w:t>Return method</w:t>
      </w:r>
    </w:p>
    <w:p w14:paraId="1FE945EE" w14:textId="08344D9D" w:rsidR="00746456" w:rsidRPr="00AB24D3" w:rsidRDefault="00746456" w:rsidP="000A10F3">
      <w:pPr>
        <w:rPr>
          <w:szCs w:val="22"/>
        </w:rPr>
      </w:pPr>
      <w:r w:rsidRPr="00AB24D3">
        <w:rPr>
          <w:szCs w:val="22"/>
        </w:rPr>
        <w:t xml:space="preserve">Electronic copies of the above requested information is to be returned to Education via email at </w:t>
      </w:r>
      <w:hyperlink r:id="rId21" w:history="1">
        <w:r w:rsidRPr="00AB24D3">
          <w:rPr>
            <w:rStyle w:val="Hyperlink"/>
            <w:szCs w:val="22"/>
          </w:rPr>
          <w:t>ppfinance@education.gov.au</w:t>
        </w:r>
      </w:hyperlink>
      <w:r w:rsidRPr="00AB24D3">
        <w:rPr>
          <w:szCs w:val="22"/>
        </w:rPr>
        <w:t>. Should you have any queries or require an alternative method of submission, please contact the Department of Education.</w:t>
      </w:r>
    </w:p>
    <w:p w14:paraId="1DEFCAC0" w14:textId="49BAD77A" w:rsidR="00746456" w:rsidRPr="000A10F3" w:rsidRDefault="00746456" w:rsidP="000A10F3">
      <w:pPr>
        <w:pStyle w:val="Heading3"/>
      </w:pPr>
      <w:r w:rsidRPr="000A10F3">
        <w:t>Returns via post/courier</w:t>
      </w:r>
    </w:p>
    <w:p w14:paraId="648EE32F" w14:textId="77777777" w:rsidR="00746456" w:rsidRPr="000A10F3" w:rsidRDefault="00746456" w:rsidP="00AB24D3">
      <w:pPr>
        <w:pStyle w:val="Heading4"/>
      </w:pPr>
      <w:r w:rsidRPr="000A10F3">
        <w:t>If sent by post:</w:t>
      </w:r>
    </w:p>
    <w:p w14:paraId="58AE680D" w14:textId="77777777" w:rsidR="00746456" w:rsidRPr="00AB24D3" w:rsidRDefault="00746456" w:rsidP="000A10F3">
      <w:pPr>
        <w:ind w:left="567"/>
        <w:contextualSpacing/>
        <w:rPr>
          <w:szCs w:val="22"/>
        </w:rPr>
      </w:pPr>
      <w:r w:rsidRPr="00AB24D3">
        <w:rPr>
          <w:szCs w:val="22"/>
        </w:rPr>
        <w:t>Branch Manager</w:t>
      </w:r>
    </w:p>
    <w:p w14:paraId="35DA9CBB" w14:textId="38F7F1CE" w:rsidR="00746456" w:rsidRPr="00AB24D3" w:rsidRDefault="00974106" w:rsidP="000A10F3">
      <w:pPr>
        <w:ind w:left="567"/>
        <w:contextualSpacing/>
        <w:rPr>
          <w:szCs w:val="22"/>
        </w:rPr>
      </w:pPr>
      <w:r w:rsidRPr="00AB24D3">
        <w:rPr>
          <w:szCs w:val="22"/>
        </w:rPr>
        <w:t>Provider Assurance and Systems</w:t>
      </w:r>
      <w:r w:rsidR="00746456" w:rsidRPr="00AB24D3">
        <w:rPr>
          <w:szCs w:val="22"/>
        </w:rPr>
        <w:t xml:space="preserve"> Branch</w:t>
      </w:r>
    </w:p>
    <w:p w14:paraId="58BED957" w14:textId="77777777" w:rsidR="000A10F3" w:rsidRPr="00AB24D3" w:rsidRDefault="00746456" w:rsidP="000A10F3">
      <w:pPr>
        <w:ind w:left="567"/>
        <w:contextualSpacing/>
        <w:rPr>
          <w:szCs w:val="22"/>
        </w:rPr>
      </w:pPr>
      <w:r w:rsidRPr="00AB24D3">
        <w:rPr>
          <w:szCs w:val="22"/>
        </w:rPr>
        <w:t>Department of Education</w:t>
      </w:r>
    </w:p>
    <w:p w14:paraId="1EBB7BE4" w14:textId="2CA4B7D9" w:rsidR="00746456" w:rsidRPr="00AB24D3" w:rsidRDefault="00746456" w:rsidP="000A10F3">
      <w:pPr>
        <w:ind w:left="567"/>
        <w:contextualSpacing/>
        <w:rPr>
          <w:szCs w:val="22"/>
        </w:rPr>
      </w:pPr>
      <w:r w:rsidRPr="00AB24D3">
        <w:rPr>
          <w:szCs w:val="22"/>
        </w:rPr>
        <w:t xml:space="preserve">Location </w:t>
      </w:r>
      <w:r w:rsidR="00BD191D" w:rsidRPr="00AB24D3">
        <w:rPr>
          <w:szCs w:val="22"/>
        </w:rPr>
        <w:t>C50MA7</w:t>
      </w:r>
    </w:p>
    <w:p w14:paraId="64303941" w14:textId="77777777" w:rsidR="000A10F3" w:rsidRPr="00AB24D3" w:rsidRDefault="00746456" w:rsidP="000A10F3">
      <w:pPr>
        <w:ind w:left="567"/>
        <w:contextualSpacing/>
        <w:rPr>
          <w:szCs w:val="22"/>
        </w:rPr>
      </w:pPr>
      <w:r w:rsidRPr="00AB24D3">
        <w:rPr>
          <w:szCs w:val="22"/>
        </w:rPr>
        <w:t>GPO Box 9880</w:t>
      </w:r>
    </w:p>
    <w:p w14:paraId="3059AA25" w14:textId="5AC4E587" w:rsidR="000A10F3" w:rsidRPr="00AB24D3" w:rsidRDefault="000A10F3" w:rsidP="000A10F3">
      <w:pPr>
        <w:ind w:left="567"/>
        <w:contextualSpacing/>
        <w:rPr>
          <w:szCs w:val="22"/>
        </w:rPr>
      </w:pPr>
      <w:r w:rsidRPr="00AB24D3">
        <w:rPr>
          <w:szCs w:val="22"/>
        </w:rPr>
        <w:t xml:space="preserve">Canberra </w:t>
      </w:r>
      <w:r w:rsidR="00746456" w:rsidRPr="00AB24D3">
        <w:rPr>
          <w:szCs w:val="22"/>
        </w:rPr>
        <w:t>ACT 2601</w:t>
      </w:r>
    </w:p>
    <w:p w14:paraId="5EED1D14" w14:textId="77777777" w:rsidR="000A10F3" w:rsidRPr="00AB24D3" w:rsidRDefault="00746456" w:rsidP="000A10F3">
      <w:pPr>
        <w:ind w:left="567"/>
        <w:contextualSpacing/>
        <w:rPr>
          <w:szCs w:val="22"/>
        </w:rPr>
      </w:pPr>
      <w:r w:rsidRPr="00AB24D3">
        <w:rPr>
          <w:szCs w:val="22"/>
        </w:rPr>
        <w:t xml:space="preserve">Attention: Director, Financial </w:t>
      </w:r>
      <w:r w:rsidR="00974106" w:rsidRPr="00AB24D3">
        <w:rPr>
          <w:szCs w:val="22"/>
        </w:rPr>
        <w:t>Viability</w:t>
      </w:r>
      <w:r w:rsidRPr="00AB24D3">
        <w:rPr>
          <w:szCs w:val="22"/>
        </w:rPr>
        <w:t xml:space="preserve"> Team</w:t>
      </w:r>
    </w:p>
    <w:p w14:paraId="41B0C884" w14:textId="49816F24" w:rsidR="00746456" w:rsidRPr="000A10F3" w:rsidRDefault="00746456" w:rsidP="00AB24D3">
      <w:pPr>
        <w:pStyle w:val="Heading4"/>
      </w:pPr>
      <w:r w:rsidRPr="000A10F3">
        <w:t>If sent by courier:</w:t>
      </w:r>
    </w:p>
    <w:p w14:paraId="36093B7B" w14:textId="77777777" w:rsidR="00746456" w:rsidRPr="00AB24D3" w:rsidRDefault="00746456" w:rsidP="000A10F3">
      <w:pPr>
        <w:ind w:left="567"/>
        <w:contextualSpacing/>
        <w:rPr>
          <w:szCs w:val="22"/>
        </w:rPr>
      </w:pPr>
      <w:r w:rsidRPr="00AB24D3">
        <w:rPr>
          <w:szCs w:val="22"/>
        </w:rPr>
        <w:t>Branch Manager</w:t>
      </w:r>
    </w:p>
    <w:p w14:paraId="716AEDEF" w14:textId="77777777" w:rsidR="00974106" w:rsidRPr="00AB24D3" w:rsidRDefault="00974106" w:rsidP="000A10F3">
      <w:pPr>
        <w:ind w:left="567"/>
        <w:contextualSpacing/>
        <w:rPr>
          <w:szCs w:val="22"/>
        </w:rPr>
      </w:pPr>
      <w:r w:rsidRPr="00AB24D3">
        <w:rPr>
          <w:szCs w:val="22"/>
        </w:rPr>
        <w:t>Provider Assurance and Systems Branch</w:t>
      </w:r>
    </w:p>
    <w:p w14:paraId="4F5F3F6A" w14:textId="77777777" w:rsidR="000A10F3" w:rsidRPr="00AB24D3" w:rsidRDefault="00746456" w:rsidP="000A10F3">
      <w:pPr>
        <w:ind w:left="567"/>
        <w:contextualSpacing/>
        <w:rPr>
          <w:szCs w:val="22"/>
        </w:rPr>
      </w:pPr>
      <w:r w:rsidRPr="00AB24D3">
        <w:rPr>
          <w:szCs w:val="22"/>
        </w:rPr>
        <w:t>Department of Education</w:t>
      </w:r>
      <w:r w:rsidR="000A10F3" w:rsidRPr="00AB24D3">
        <w:rPr>
          <w:szCs w:val="22"/>
        </w:rPr>
        <w:t xml:space="preserve"> </w:t>
      </w:r>
    </w:p>
    <w:p w14:paraId="5D865B24" w14:textId="1410B12F" w:rsidR="00746456" w:rsidRPr="00AB24D3" w:rsidRDefault="00746456" w:rsidP="000A10F3">
      <w:pPr>
        <w:ind w:left="567"/>
        <w:contextualSpacing/>
        <w:rPr>
          <w:szCs w:val="22"/>
        </w:rPr>
      </w:pPr>
      <w:r w:rsidRPr="00AB24D3">
        <w:rPr>
          <w:szCs w:val="22"/>
        </w:rPr>
        <w:t xml:space="preserve">Location </w:t>
      </w:r>
      <w:r w:rsidR="00BD191D" w:rsidRPr="00AB24D3">
        <w:rPr>
          <w:szCs w:val="22"/>
        </w:rPr>
        <w:t>C50MA7</w:t>
      </w:r>
    </w:p>
    <w:p w14:paraId="0263D0BC" w14:textId="77777777" w:rsidR="000A10F3" w:rsidRPr="00AB24D3" w:rsidRDefault="00746456" w:rsidP="000A10F3">
      <w:pPr>
        <w:ind w:left="567"/>
        <w:contextualSpacing/>
        <w:rPr>
          <w:szCs w:val="22"/>
        </w:rPr>
      </w:pPr>
      <w:r w:rsidRPr="00AB24D3">
        <w:rPr>
          <w:szCs w:val="22"/>
        </w:rPr>
        <w:t xml:space="preserve">Level </w:t>
      </w:r>
      <w:r w:rsidR="00BD191D" w:rsidRPr="00AB24D3">
        <w:rPr>
          <w:szCs w:val="22"/>
        </w:rPr>
        <w:t>7</w:t>
      </w:r>
      <w:r w:rsidRPr="00AB24D3">
        <w:rPr>
          <w:szCs w:val="22"/>
        </w:rPr>
        <w:t>,</w:t>
      </w:r>
      <w:r w:rsidR="005A6540" w:rsidRPr="00AB24D3">
        <w:rPr>
          <w:szCs w:val="22"/>
        </w:rPr>
        <w:t xml:space="preserve"> </w:t>
      </w:r>
      <w:r w:rsidR="00BD191D" w:rsidRPr="00AB24D3">
        <w:rPr>
          <w:szCs w:val="22"/>
        </w:rPr>
        <w:t>50 Marcus Clarke</w:t>
      </w:r>
      <w:r w:rsidRPr="00AB24D3">
        <w:rPr>
          <w:szCs w:val="22"/>
        </w:rPr>
        <w:t xml:space="preserve"> Street</w:t>
      </w:r>
      <w:r w:rsidR="000A10F3" w:rsidRPr="00AB24D3">
        <w:rPr>
          <w:szCs w:val="22"/>
        </w:rPr>
        <w:t xml:space="preserve"> </w:t>
      </w:r>
    </w:p>
    <w:p w14:paraId="06636DD7" w14:textId="5C552122" w:rsidR="00746456" w:rsidRPr="00AB24D3" w:rsidRDefault="000A10F3" w:rsidP="000A10F3">
      <w:pPr>
        <w:ind w:left="567"/>
        <w:contextualSpacing/>
        <w:rPr>
          <w:szCs w:val="22"/>
        </w:rPr>
      </w:pPr>
      <w:proofErr w:type="gramStart"/>
      <w:r w:rsidRPr="00AB24D3">
        <w:rPr>
          <w:szCs w:val="22"/>
        </w:rPr>
        <w:t>Canberra  ACT</w:t>
      </w:r>
      <w:proofErr w:type="gramEnd"/>
      <w:r w:rsidRPr="00AB24D3">
        <w:rPr>
          <w:szCs w:val="22"/>
        </w:rPr>
        <w:t xml:space="preserve"> </w:t>
      </w:r>
      <w:r w:rsidR="00746456" w:rsidRPr="00AB24D3">
        <w:rPr>
          <w:szCs w:val="22"/>
        </w:rPr>
        <w:t>2601</w:t>
      </w:r>
    </w:p>
    <w:p w14:paraId="2F798AF4" w14:textId="77777777" w:rsidR="00746456" w:rsidRPr="000A10F3" w:rsidRDefault="00746456" w:rsidP="000A10F3">
      <w:pPr>
        <w:pStyle w:val="Heading3"/>
      </w:pPr>
      <w:bookmarkStart w:id="79" w:name="_Toc398721454"/>
      <w:bookmarkStart w:id="80" w:name="_Toc398721481"/>
      <w:bookmarkStart w:id="81" w:name="_Toc398721542"/>
      <w:r w:rsidRPr="000A10F3">
        <w:t>Contact officers</w:t>
      </w:r>
      <w:bookmarkEnd w:id="79"/>
      <w:bookmarkEnd w:id="80"/>
      <w:bookmarkEnd w:id="81"/>
    </w:p>
    <w:p w14:paraId="64D46ECE" w14:textId="77777777" w:rsidR="00746456" w:rsidRPr="00AB24D3" w:rsidRDefault="00746456" w:rsidP="006410AC">
      <w:pPr>
        <w:contextualSpacing/>
        <w:rPr>
          <w:szCs w:val="22"/>
        </w:rPr>
      </w:pPr>
      <w:r w:rsidRPr="00AB24D3">
        <w:rPr>
          <w:szCs w:val="22"/>
        </w:rPr>
        <w:t>Questions concerning Department of Education disclosure requirements can be directed to the:</w:t>
      </w:r>
    </w:p>
    <w:p w14:paraId="0E46DBC0" w14:textId="6A299933" w:rsidR="00746456" w:rsidRPr="00AB24D3" w:rsidRDefault="00746456" w:rsidP="006410AC">
      <w:pPr>
        <w:contextualSpacing/>
        <w:rPr>
          <w:szCs w:val="22"/>
        </w:rPr>
      </w:pPr>
      <w:r w:rsidRPr="00AB24D3">
        <w:rPr>
          <w:szCs w:val="22"/>
        </w:rPr>
        <w:t xml:space="preserve">Director, Financial </w:t>
      </w:r>
      <w:r w:rsidR="00EB1060" w:rsidRPr="00AB24D3">
        <w:rPr>
          <w:szCs w:val="22"/>
        </w:rPr>
        <w:t>Viability</w:t>
      </w:r>
      <w:r w:rsidRPr="00AB24D3">
        <w:rPr>
          <w:szCs w:val="22"/>
        </w:rPr>
        <w:t xml:space="preserve"> Team, Higher Education Support Group</w:t>
      </w:r>
    </w:p>
    <w:p w14:paraId="69ED6628" w14:textId="4ACE4FF5" w:rsidR="000A10F3" w:rsidRPr="00AB24D3" w:rsidRDefault="000A10F3" w:rsidP="006410AC">
      <w:pPr>
        <w:contextualSpacing/>
        <w:rPr>
          <w:szCs w:val="22"/>
        </w:rPr>
      </w:pPr>
      <w:r w:rsidRPr="00AB24D3">
        <w:rPr>
          <w:szCs w:val="22"/>
        </w:rPr>
        <w:t>Telephone (02) 6240 9670</w:t>
      </w:r>
    </w:p>
    <w:p w14:paraId="2E860138" w14:textId="22F93441" w:rsidR="000A10F3" w:rsidRPr="00AB24D3" w:rsidRDefault="000A10F3" w:rsidP="006410AC">
      <w:pPr>
        <w:rPr>
          <w:szCs w:val="22"/>
        </w:rPr>
      </w:pPr>
      <w:r w:rsidRPr="00AB24D3">
        <w:rPr>
          <w:szCs w:val="22"/>
        </w:rPr>
        <w:t xml:space="preserve">Email </w:t>
      </w:r>
      <w:hyperlink r:id="rId22" w:history="1">
        <w:r w:rsidRPr="00AB24D3">
          <w:rPr>
            <w:rStyle w:val="Hyperlink"/>
            <w:szCs w:val="22"/>
          </w:rPr>
          <w:t>ppfinance@education.gov.au</w:t>
        </w:r>
      </w:hyperlink>
    </w:p>
    <w:p w14:paraId="11982B82" w14:textId="2682C132" w:rsidR="00746456" w:rsidRPr="00AB24D3" w:rsidRDefault="00746456" w:rsidP="006410AC">
      <w:pPr>
        <w:contextualSpacing/>
        <w:rPr>
          <w:szCs w:val="22"/>
        </w:rPr>
      </w:pPr>
      <w:r w:rsidRPr="00AB24D3">
        <w:rPr>
          <w:szCs w:val="22"/>
        </w:rPr>
        <w:t xml:space="preserve">Technical questions concerning instructions for the tables, due date and the forwarding of returns can be directed to the Financial </w:t>
      </w:r>
      <w:r w:rsidR="00EB1060" w:rsidRPr="00AB24D3">
        <w:rPr>
          <w:szCs w:val="22"/>
        </w:rPr>
        <w:t>Viability</w:t>
      </w:r>
      <w:r w:rsidRPr="00AB24D3">
        <w:rPr>
          <w:szCs w:val="22"/>
        </w:rPr>
        <w:t xml:space="preserve"> Team:</w:t>
      </w:r>
    </w:p>
    <w:p w14:paraId="05D3ABE5" w14:textId="7D5E314E" w:rsidR="000A10F3" w:rsidRPr="00AB24D3" w:rsidRDefault="000A10F3" w:rsidP="006410AC">
      <w:pPr>
        <w:contextualSpacing/>
        <w:rPr>
          <w:szCs w:val="22"/>
        </w:rPr>
      </w:pPr>
      <w:r w:rsidRPr="00AB24D3">
        <w:rPr>
          <w:szCs w:val="22"/>
        </w:rPr>
        <w:t xml:space="preserve">Email: </w:t>
      </w:r>
      <w:hyperlink r:id="rId23" w:history="1">
        <w:r w:rsidRPr="00AB24D3">
          <w:rPr>
            <w:rStyle w:val="Hyperlink"/>
            <w:szCs w:val="22"/>
          </w:rPr>
          <w:t>ppfinance@education.gov.au</w:t>
        </w:r>
      </w:hyperlink>
    </w:p>
    <w:p w14:paraId="1EB872E4" w14:textId="77777777" w:rsidR="004B0DC8" w:rsidRPr="00493046" w:rsidRDefault="004B0DC8">
      <w:bookmarkStart w:id="82" w:name="_Toc398721455"/>
      <w:bookmarkStart w:id="83" w:name="_Toc398721482"/>
      <w:bookmarkStart w:id="84" w:name="_Toc398721543"/>
      <w:bookmarkStart w:id="85" w:name="_Toc398721840"/>
      <w:bookmarkStart w:id="86" w:name="_Toc398721994"/>
      <w:bookmarkStart w:id="87" w:name="_Toc398729913"/>
      <w:bookmarkStart w:id="88" w:name="_Toc398731112"/>
      <w:bookmarkStart w:id="89" w:name="_Toc398731400"/>
      <w:bookmarkStart w:id="90" w:name="_Toc398731777"/>
      <w:r>
        <w:br w:type="page"/>
      </w:r>
    </w:p>
    <w:p w14:paraId="0389FAA4" w14:textId="7F6D49E3" w:rsidR="00023312" w:rsidRDefault="00923550" w:rsidP="00A11296">
      <w:pPr>
        <w:pStyle w:val="Heading1"/>
      </w:pPr>
      <w:bookmarkStart w:id="91" w:name="_Toc406751408"/>
      <w:bookmarkStart w:id="92" w:name="_Toc410807588"/>
      <w:bookmarkStart w:id="93" w:name="_Toc410822638"/>
      <w:bookmarkStart w:id="94" w:name="_Toc410823797"/>
      <w:bookmarkStart w:id="95" w:name="_Toc410825033"/>
      <w:bookmarkStart w:id="96" w:name="_Toc410825183"/>
      <w:bookmarkStart w:id="97" w:name="_Toc411854279"/>
      <w:bookmarkStart w:id="98" w:name="_Toc411854312"/>
      <w:r>
        <w:lastRenderedPageBreak/>
        <w:t>D</w:t>
      </w:r>
      <w:r w:rsidR="00023312">
        <w:t>efinitions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A60DB2E" w14:textId="77777777" w:rsidR="006410AC" w:rsidRPr="00AB24D3" w:rsidRDefault="00023312" w:rsidP="006410AC">
      <w:pPr>
        <w:rPr>
          <w:szCs w:val="22"/>
        </w:rPr>
      </w:pPr>
      <w:r w:rsidRPr="00AB24D3">
        <w:rPr>
          <w:szCs w:val="22"/>
        </w:rPr>
        <w:t>Where an accounting term is used in the Guidelines and is not defined below, the definition in Australian Accounting Standards applies.</w:t>
      </w:r>
    </w:p>
    <w:p w14:paraId="0BE98FA6" w14:textId="77777777" w:rsidR="006410AC" w:rsidRPr="00AB24D3" w:rsidRDefault="00023312" w:rsidP="006410AC">
      <w:pPr>
        <w:rPr>
          <w:szCs w:val="22"/>
        </w:rPr>
      </w:pPr>
      <w:r w:rsidRPr="00AB24D3">
        <w:rPr>
          <w:b/>
          <w:szCs w:val="22"/>
        </w:rPr>
        <w:t xml:space="preserve">AASB </w:t>
      </w:r>
      <w:r w:rsidRPr="00AB24D3">
        <w:rPr>
          <w:szCs w:val="22"/>
        </w:rPr>
        <w:t>means the Australian Accounting Standards Board.</w:t>
      </w:r>
    </w:p>
    <w:p w14:paraId="062FD17A" w14:textId="77777777" w:rsidR="006410AC" w:rsidRPr="00AB24D3" w:rsidRDefault="00023312" w:rsidP="006410AC">
      <w:pPr>
        <w:rPr>
          <w:szCs w:val="22"/>
        </w:rPr>
      </w:pPr>
      <w:proofErr w:type="spellStart"/>
      <w:r w:rsidRPr="00AB24D3">
        <w:rPr>
          <w:b/>
          <w:szCs w:val="22"/>
        </w:rPr>
        <w:t>AGAAP</w:t>
      </w:r>
      <w:proofErr w:type="spellEnd"/>
      <w:r w:rsidRPr="00AB24D3">
        <w:rPr>
          <w:b/>
          <w:szCs w:val="22"/>
        </w:rPr>
        <w:t xml:space="preserve"> </w:t>
      </w:r>
      <w:r w:rsidRPr="00AB24D3">
        <w:rPr>
          <w:szCs w:val="22"/>
        </w:rPr>
        <w:t>means Australian Generally Accepted Accounting Principles.</w:t>
      </w:r>
    </w:p>
    <w:p w14:paraId="2838B841" w14:textId="77777777" w:rsidR="006410AC" w:rsidRPr="00AB24D3" w:rsidRDefault="00023312" w:rsidP="006410AC">
      <w:pPr>
        <w:rPr>
          <w:szCs w:val="22"/>
        </w:rPr>
      </w:pPr>
      <w:r w:rsidRPr="00AB24D3">
        <w:rPr>
          <w:b/>
          <w:szCs w:val="22"/>
        </w:rPr>
        <w:t>AUASB</w:t>
      </w:r>
      <w:r w:rsidRPr="00AB24D3">
        <w:rPr>
          <w:szCs w:val="22"/>
        </w:rPr>
        <w:t xml:space="preserve"> means the Australian Auditing and Assurance Standards Board.</w:t>
      </w:r>
    </w:p>
    <w:p w14:paraId="07CA5614" w14:textId="77777777" w:rsidR="006410AC" w:rsidRPr="00AB24D3" w:rsidRDefault="00023312" w:rsidP="006410AC">
      <w:pPr>
        <w:rPr>
          <w:szCs w:val="22"/>
        </w:rPr>
      </w:pPr>
      <w:r w:rsidRPr="00AB24D3">
        <w:rPr>
          <w:b/>
          <w:bCs/>
          <w:szCs w:val="22"/>
        </w:rPr>
        <w:t>Academic</w:t>
      </w:r>
      <w:r w:rsidRPr="00AB24D3">
        <w:rPr>
          <w:szCs w:val="22"/>
        </w:rPr>
        <w:t xml:space="preserve"> means members of staff, whether full-time or part-time, who are employed wholly or principally in teaching and/or research or to whom such persons are responsible in relation to their teaching or research. It excludes members of staff (</w:t>
      </w:r>
      <w:proofErr w:type="spellStart"/>
      <w:r w:rsidR="002A430C" w:rsidRPr="00AB24D3">
        <w:rPr>
          <w:szCs w:val="22"/>
        </w:rPr>
        <w:t>eg</w:t>
      </w:r>
      <w:proofErr w:type="spellEnd"/>
      <w:r w:rsidRPr="00AB24D3">
        <w:rPr>
          <w:szCs w:val="22"/>
        </w:rPr>
        <w:t xml:space="preserve"> technicians, research assistants, etc.) employed wholly or principally in support of other members of staff who are employed in research.</w:t>
      </w:r>
    </w:p>
    <w:p w14:paraId="6BB610F0" w14:textId="77777777" w:rsidR="006410AC" w:rsidRPr="00AB24D3" w:rsidRDefault="00023312" w:rsidP="006410AC">
      <w:pPr>
        <w:rPr>
          <w:szCs w:val="22"/>
        </w:rPr>
      </w:pPr>
      <w:r w:rsidRPr="00AB24D3">
        <w:rPr>
          <w:b/>
          <w:szCs w:val="22"/>
        </w:rPr>
        <w:t>ARCA</w:t>
      </w:r>
      <w:r w:rsidRPr="00AB24D3">
        <w:rPr>
          <w:szCs w:val="22"/>
        </w:rPr>
        <w:t xml:space="preserve"> means </w:t>
      </w:r>
      <w:r w:rsidR="005A6540" w:rsidRPr="00AB24D3">
        <w:rPr>
          <w:szCs w:val="22"/>
        </w:rPr>
        <w:t>t</w:t>
      </w:r>
      <w:r w:rsidRPr="00AB24D3">
        <w:rPr>
          <w:szCs w:val="22"/>
        </w:rPr>
        <w:t xml:space="preserve">he </w:t>
      </w:r>
      <w:r w:rsidRPr="00AB24D3">
        <w:rPr>
          <w:i/>
          <w:szCs w:val="22"/>
        </w:rPr>
        <w:t>Australian Research Council Act 2001</w:t>
      </w:r>
      <w:r w:rsidRPr="00AB24D3">
        <w:rPr>
          <w:szCs w:val="22"/>
        </w:rPr>
        <w:t>.</w:t>
      </w:r>
    </w:p>
    <w:p w14:paraId="293E7C83" w14:textId="77777777" w:rsidR="006410AC" w:rsidRPr="00AB24D3" w:rsidRDefault="00023312" w:rsidP="006410AC">
      <w:pPr>
        <w:rPr>
          <w:szCs w:val="22"/>
        </w:rPr>
      </w:pPr>
      <w:r w:rsidRPr="00AB24D3">
        <w:rPr>
          <w:b/>
          <w:szCs w:val="22"/>
        </w:rPr>
        <w:t>Australian Government Financial Assistance</w:t>
      </w:r>
      <w:r w:rsidRPr="00AB24D3">
        <w:rPr>
          <w:szCs w:val="22"/>
        </w:rPr>
        <w:t xml:space="preserve"> means financial assistance provided by the Australian Government under the HESA and the ARCA</w:t>
      </w:r>
      <w:r w:rsidR="00577169" w:rsidRPr="00AB24D3">
        <w:rPr>
          <w:szCs w:val="22"/>
        </w:rPr>
        <w:t xml:space="preserve"> and other funding provided by Australian Government agencies in the form of grants</w:t>
      </w:r>
      <w:r w:rsidRPr="00AB24D3">
        <w:rPr>
          <w:szCs w:val="22"/>
        </w:rPr>
        <w:t>.</w:t>
      </w:r>
    </w:p>
    <w:p w14:paraId="4D7FD2E3" w14:textId="77777777" w:rsidR="006410AC" w:rsidRPr="00AB24D3" w:rsidRDefault="00023312" w:rsidP="006410AC">
      <w:pPr>
        <w:rPr>
          <w:szCs w:val="22"/>
        </w:rPr>
      </w:pPr>
      <w:r w:rsidRPr="00AB24D3">
        <w:rPr>
          <w:b/>
          <w:szCs w:val="22"/>
        </w:rPr>
        <w:t xml:space="preserve">Board Member </w:t>
      </w:r>
      <w:r w:rsidRPr="00AB24D3">
        <w:rPr>
          <w:szCs w:val="22"/>
        </w:rPr>
        <w:t>means member of the governing body of the higher education provider.</w:t>
      </w:r>
    </w:p>
    <w:p w14:paraId="544B3796" w14:textId="77777777" w:rsidR="006410AC" w:rsidRPr="00AB24D3" w:rsidRDefault="00023312" w:rsidP="006410AC">
      <w:pPr>
        <w:rPr>
          <w:bCs/>
          <w:szCs w:val="22"/>
        </w:rPr>
      </w:pPr>
      <w:r w:rsidRPr="00AB24D3">
        <w:rPr>
          <w:b/>
          <w:szCs w:val="22"/>
        </w:rPr>
        <w:t>Continuing Education</w:t>
      </w:r>
      <w:r w:rsidRPr="00AB24D3">
        <w:rPr>
          <w:szCs w:val="22"/>
        </w:rPr>
        <w:t xml:space="preserve"> refers to short courses or academic activities that do not lead to the attainment of part of or complete registered award and for which a fee is charged or in which participants are formally enrolled.</w:t>
      </w:r>
    </w:p>
    <w:p w14:paraId="769A0FD5" w14:textId="77777777" w:rsidR="006410AC" w:rsidRPr="00AB24D3" w:rsidRDefault="00B90CFC" w:rsidP="006410AC">
      <w:pPr>
        <w:rPr>
          <w:szCs w:val="22"/>
        </w:rPr>
      </w:pPr>
      <w:r w:rsidRPr="00AB24D3">
        <w:rPr>
          <w:b/>
          <w:szCs w:val="22"/>
        </w:rPr>
        <w:t xml:space="preserve">Education </w:t>
      </w:r>
      <w:r w:rsidRPr="00AB24D3">
        <w:rPr>
          <w:szCs w:val="22"/>
        </w:rPr>
        <w:t>means the Australian Government Department of Education</w:t>
      </w:r>
    </w:p>
    <w:p w14:paraId="2E2F1C0A" w14:textId="77777777" w:rsidR="006410AC" w:rsidRPr="00AB24D3" w:rsidRDefault="00023312" w:rsidP="006410AC">
      <w:pPr>
        <w:rPr>
          <w:szCs w:val="22"/>
        </w:rPr>
      </w:pPr>
      <w:r w:rsidRPr="00AB24D3">
        <w:rPr>
          <w:b/>
          <w:bCs/>
          <w:szCs w:val="22"/>
        </w:rPr>
        <w:t>Executive</w:t>
      </w:r>
      <w:r w:rsidRPr="00AB24D3">
        <w:rPr>
          <w:szCs w:val="22"/>
        </w:rPr>
        <w:t xml:space="preserve"> means the Chief Executive Officer and/or any person in a senior management position considered to be part of the University’s executive group who is directly accountable and responsible for the strategic direction and operational management of the entity.</w:t>
      </w:r>
    </w:p>
    <w:p w14:paraId="7F87A0E0" w14:textId="77777777" w:rsidR="006410AC" w:rsidRPr="00AB24D3" w:rsidRDefault="00023312" w:rsidP="006410AC">
      <w:pPr>
        <w:rPr>
          <w:szCs w:val="22"/>
        </w:rPr>
      </w:pPr>
      <w:r w:rsidRPr="00AB24D3">
        <w:rPr>
          <w:b/>
          <w:szCs w:val="22"/>
        </w:rPr>
        <w:t xml:space="preserve">FEE-HELP </w:t>
      </w:r>
      <w:r w:rsidRPr="00AB24D3">
        <w:rPr>
          <w:szCs w:val="22"/>
        </w:rPr>
        <w:t>is the Higher Education Loan Programme that provides a loan to eligible students, who are not Commonwealth supported, for part or all of their tuition fees for units of study undertaken with a body which is approved as a higher education provider under the HESA.</w:t>
      </w:r>
      <w:r w:rsidR="001A35D6" w:rsidRPr="00AB24D3">
        <w:rPr>
          <w:szCs w:val="22"/>
        </w:rPr>
        <w:t xml:space="preserve"> </w:t>
      </w:r>
    </w:p>
    <w:p w14:paraId="067574D9" w14:textId="77777777" w:rsidR="006410AC" w:rsidRPr="00AB24D3" w:rsidRDefault="00023312" w:rsidP="006410AC">
      <w:pPr>
        <w:rPr>
          <w:szCs w:val="22"/>
        </w:rPr>
      </w:pPr>
      <w:r w:rsidRPr="00AB24D3">
        <w:rPr>
          <w:b/>
          <w:szCs w:val="22"/>
        </w:rPr>
        <w:t xml:space="preserve">HECS-HELP </w:t>
      </w:r>
      <w:r w:rsidRPr="00AB24D3">
        <w:rPr>
          <w:szCs w:val="22"/>
        </w:rPr>
        <w:t>was</w:t>
      </w:r>
      <w:r w:rsidRPr="00AB24D3">
        <w:rPr>
          <w:b/>
          <w:szCs w:val="22"/>
        </w:rPr>
        <w:t xml:space="preserve"> </w:t>
      </w:r>
      <w:r w:rsidRPr="00AB24D3">
        <w:rPr>
          <w:szCs w:val="22"/>
        </w:rPr>
        <w:t>formerly known as HECS. HECS-HELP provides eligible Commonwealth supported students with assistance in paying their student contribution amount for Commonwealth supported units of study. It provides a loan to cover their student contribution and/or a discount if they choose to pay all, or at least $500, of their student contribution up-front.</w:t>
      </w:r>
    </w:p>
    <w:p w14:paraId="0586F651" w14:textId="77777777" w:rsidR="006410AC" w:rsidRPr="00AB24D3" w:rsidRDefault="00023312" w:rsidP="006410AC">
      <w:pPr>
        <w:rPr>
          <w:szCs w:val="22"/>
        </w:rPr>
      </w:pPr>
      <w:r w:rsidRPr="00AB24D3">
        <w:rPr>
          <w:b/>
          <w:szCs w:val="22"/>
        </w:rPr>
        <w:t xml:space="preserve">HECS </w:t>
      </w:r>
      <w:r w:rsidRPr="00AB24D3">
        <w:rPr>
          <w:szCs w:val="22"/>
        </w:rPr>
        <w:t>means Higher Education Contribution Scheme.</w:t>
      </w:r>
    </w:p>
    <w:p w14:paraId="25410E1B" w14:textId="77777777" w:rsidR="006410AC" w:rsidRPr="00AB24D3" w:rsidRDefault="00023312" w:rsidP="006410AC">
      <w:pPr>
        <w:rPr>
          <w:szCs w:val="22"/>
        </w:rPr>
      </w:pPr>
      <w:r w:rsidRPr="00AB24D3">
        <w:rPr>
          <w:b/>
          <w:szCs w:val="22"/>
        </w:rPr>
        <w:t>HEP</w:t>
      </w:r>
      <w:r w:rsidRPr="00AB24D3">
        <w:rPr>
          <w:szCs w:val="22"/>
        </w:rPr>
        <w:t xml:space="preserve"> means an Australian institution of higher education as defined by section</w:t>
      </w:r>
      <w:r w:rsidRPr="00AB24D3">
        <w:rPr>
          <w:color w:val="FF0000"/>
          <w:szCs w:val="22"/>
        </w:rPr>
        <w:t xml:space="preserve"> </w:t>
      </w:r>
      <w:r w:rsidRPr="00AB24D3">
        <w:rPr>
          <w:szCs w:val="22"/>
        </w:rPr>
        <w:t xml:space="preserve">4 of the </w:t>
      </w:r>
      <w:r w:rsidRPr="00AB24D3">
        <w:rPr>
          <w:i/>
          <w:szCs w:val="22"/>
        </w:rPr>
        <w:t xml:space="preserve">Higher Education Funding Act 1988 </w:t>
      </w:r>
      <w:r w:rsidRPr="00AB24D3">
        <w:rPr>
          <w:szCs w:val="22"/>
        </w:rPr>
        <w:t xml:space="preserve">and/or an Australian higher education provider approved under Division 16 of the </w:t>
      </w:r>
      <w:r w:rsidRPr="00AB24D3">
        <w:rPr>
          <w:i/>
          <w:szCs w:val="22"/>
        </w:rPr>
        <w:t>Higher Education Support 2003</w:t>
      </w:r>
      <w:r w:rsidRPr="00AB24D3">
        <w:rPr>
          <w:szCs w:val="22"/>
        </w:rPr>
        <w:t>.</w:t>
      </w:r>
    </w:p>
    <w:p w14:paraId="25FF828C" w14:textId="77777777" w:rsidR="006410AC" w:rsidRPr="00AB24D3" w:rsidRDefault="00023312" w:rsidP="006410AC">
      <w:pPr>
        <w:rPr>
          <w:szCs w:val="22"/>
        </w:rPr>
      </w:pPr>
      <w:r w:rsidRPr="00AB24D3">
        <w:rPr>
          <w:b/>
          <w:szCs w:val="22"/>
        </w:rPr>
        <w:t>HEPs with dual sector operations</w:t>
      </w:r>
      <w:r w:rsidRPr="00AB24D3">
        <w:rPr>
          <w:szCs w:val="22"/>
        </w:rPr>
        <w:t xml:space="preserve"> are HEP</w:t>
      </w:r>
      <w:r w:rsidR="00B72DF6" w:rsidRPr="00AB24D3">
        <w:rPr>
          <w:szCs w:val="22"/>
        </w:rPr>
        <w:t>s</w:t>
      </w:r>
      <w:r w:rsidRPr="00AB24D3">
        <w:rPr>
          <w:szCs w:val="22"/>
        </w:rPr>
        <w:t xml:space="preserve"> that carry out higher education and vocational education and training activities.</w:t>
      </w:r>
    </w:p>
    <w:p w14:paraId="6F58FF0A" w14:textId="77777777" w:rsidR="006410AC" w:rsidRPr="00AB24D3" w:rsidRDefault="00023312" w:rsidP="006410AC">
      <w:pPr>
        <w:rPr>
          <w:szCs w:val="22"/>
        </w:rPr>
      </w:pPr>
      <w:r w:rsidRPr="00AB24D3">
        <w:rPr>
          <w:b/>
          <w:bCs/>
          <w:szCs w:val="22"/>
        </w:rPr>
        <w:t>HESA</w:t>
      </w:r>
      <w:r w:rsidRPr="00AB24D3">
        <w:rPr>
          <w:szCs w:val="22"/>
        </w:rPr>
        <w:t xml:space="preserve"> means the </w:t>
      </w:r>
      <w:r w:rsidRPr="00AB24D3">
        <w:rPr>
          <w:i/>
          <w:szCs w:val="22"/>
        </w:rPr>
        <w:t>Higher Education Support Act 2003</w:t>
      </w:r>
      <w:r w:rsidRPr="00AB24D3">
        <w:rPr>
          <w:szCs w:val="22"/>
        </w:rPr>
        <w:t>.</w:t>
      </w:r>
    </w:p>
    <w:p w14:paraId="73AE541E" w14:textId="77777777" w:rsidR="006410AC" w:rsidRPr="00AB24D3" w:rsidRDefault="00023312" w:rsidP="006410AC">
      <w:pPr>
        <w:rPr>
          <w:szCs w:val="22"/>
        </w:rPr>
      </w:pPr>
      <w:r w:rsidRPr="00AB24D3">
        <w:rPr>
          <w:b/>
          <w:bCs/>
          <w:szCs w:val="22"/>
        </w:rPr>
        <w:t xml:space="preserve">Non-academic </w:t>
      </w:r>
      <w:r w:rsidRPr="00AB24D3">
        <w:rPr>
          <w:szCs w:val="22"/>
        </w:rPr>
        <w:t>means members of staff who are not academic staff.</w:t>
      </w:r>
    </w:p>
    <w:p w14:paraId="39DF9403" w14:textId="77777777" w:rsidR="006410AC" w:rsidRPr="00AB24D3" w:rsidRDefault="00023312" w:rsidP="006410AC">
      <w:pPr>
        <w:rPr>
          <w:szCs w:val="22"/>
        </w:rPr>
      </w:pPr>
      <w:r w:rsidRPr="00AB24D3">
        <w:rPr>
          <w:b/>
          <w:bCs/>
          <w:szCs w:val="22"/>
        </w:rPr>
        <w:t>Remuneration</w:t>
      </w:r>
      <w:r w:rsidRPr="00AB24D3">
        <w:rPr>
          <w:szCs w:val="22"/>
        </w:rPr>
        <w:t xml:space="preserve"> has the same meaning as defined in paragraph Aus 9.1 of Australian Accounting Standard AASB124 </w:t>
      </w:r>
      <w:r w:rsidRPr="00AB24D3">
        <w:rPr>
          <w:i/>
          <w:szCs w:val="22"/>
        </w:rPr>
        <w:t>Related Party Disclosures</w:t>
      </w:r>
      <w:r w:rsidRPr="00AB24D3">
        <w:rPr>
          <w:szCs w:val="22"/>
        </w:rPr>
        <w:t>.</w:t>
      </w:r>
    </w:p>
    <w:p w14:paraId="5205E6B3" w14:textId="77777777" w:rsidR="006410AC" w:rsidRPr="00AB24D3" w:rsidRDefault="00023312" w:rsidP="006410AC">
      <w:pPr>
        <w:rPr>
          <w:szCs w:val="22"/>
        </w:rPr>
      </w:pPr>
      <w:r w:rsidRPr="00AB24D3">
        <w:rPr>
          <w:b/>
          <w:szCs w:val="22"/>
        </w:rPr>
        <w:t xml:space="preserve">Responsible Person </w:t>
      </w:r>
      <w:r w:rsidRPr="00AB24D3">
        <w:rPr>
          <w:szCs w:val="22"/>
        </w:rPr>
        <w:t>means a</w:t>
      </w:r>
      <w:r w:rsidRPr="00AB24D3">
        <w:rPr>
          <w:b/>
          <w:szCs w:val="22"/>
        </w:rPr>
        <w:t xml:space="preserve"> </w:t>
      </w:r>
      <w:r w:rsidRPr="00AB24D3">
        <w:rPr>
          <w:szCs w:val="22"/>
        </w:rPr>
        <w:t>person in a position of fiduciary responsibility including trustees and members of governing bodies of the economic entity of the HEP.</w:t>
      </w:r>
    </w:p>
    <w:p w14:paraId="393E54EC" w14:textId="77777777" w:rsidR="006410AC" w:rsidRPr="00AB24D3" w:rsidRDefault="00E80AE7" w:rsidP="006410AC">
      <w:pPr>
        <w:rPr>
          <w:szCs w:val="22"/>
        </w:rPr>
      </w:pPr>
      <w:r w:rsidRPr="00AB24D3">
        <w:rPr>
          <w:b/>
          <w:szCs w:val="22"/>
        </w:rPr>
        <w:lastRenderedPageBreak/>
        <w:t>Restricted Funds</w:t>
      </w:r>
      <w:r w:rsidRPr="00AB24D3">
        <w:rPr>
          <w:szCs w:val="22"/>
        </w:rPr>
        <w:t xml:space="preserve"> are generally funds that have been contributed to the institution by external parties but do not meet the requirements for recognition as revenue </w:t>
      </w:r>
      <w:r w:rsidRPr="00AB24D3">
        <w:rPr>
          <w:szCs w:val="22"/>
          <w:u w:val="single"/>
        </w:rPr>
        <w:t>and</w:t>
      </w:r>
      <w:r w:rsidRPr="00AB24D3">
        <w:rPr>
          <w:szCs w:val="22"/>
        </w:rPr>
        <w:t xml:space="preserve"> do not meet the requirements for recognition as a liability. </w:t>
      </w:r>
      <w:r w:rsidR="00A70B79" w:rsidRPr="00AB24D3">
        <w:rPr>
          <w:szCs w:val="22"/>
        </w:rPr>
        <w:t>S</w:t>
      </w:r>
      <w:r w:rsidRPr="00AB24D3">
        <w:rPr>
          <w:szCs w:val="22"/>
        </w:rPr>
        <w:t>tatutory funds where restrictions or conditions mandated by</w:t>
      </w:r>
      <w:r w:rsidR="00A70B79" w:rsidRPr="00AB24D3">
        <w:rPr>
          <w:szCs w:val="22"/>
        </w:rPr>
        <w:t xml:space="preserve"> Act or subordinate legislation restrict the use of those funds are restricted funds. </w:t>
      </w:r>
    </w:p>
    <w:p w14:paraId="384CB07F" w14:textId="77777777" w:rsidR="006410AC" w:rsidRPr="00AB24D3" w:rsidRDefault="0020523F" w:rsidP="006410AC">
      <w:pPr>
        <w:rPr>
          <w:b/>
          <w:szCs w:val="22"/>
        </w:rPr>
      </w:pPr>
      <w:r w:rsidRPr="00AB24D3">
        <w:rPr>
          <w:b/>
          <w:szCs w:val="22"/>
        </w:rPr>
        <w:t xml:space="preserve">SA-HELP </w:t>
      </w:r>
      <w:r w:rsidRPr="00AB24D3">
        <w:rPr>
          <w:szCs w:val="22"/>
        </w:rPr>
        <w:t>is a loan scheme that assists eligible students to pay for all or part of their student services and amenities fee.</w:t>
      </w:r>
    </w:p>
    <w:p w14:paraId="51B2B263" w14:textId="77777777" w:rsidR="006410AC" w:rsidRPr="00AB24D3" w:rsidRDefault="00023312" w:rsidP="006410AC">
      <w:pPr>
        <w:rPr>
          <w:szCs w:val="22"/>
        </w:rPr>
      </w:pPr>
      <w:r w:rsidRPr="00AB24D3">
        <w:rPr>
          <w:b/>
          <w:szCs w:val="22"/>
        </w:rPr>
        <w:t xml:space="preserve">State Government </w:t>
      </w:r>
      <w:r w:rsidRPr="00AB24D3">
        <w:rPr>
          <w:szCs w:val="22"/>
        </w:rPr>
        <w:t>means State or Territory government.</w:t>
      </w:r>
    </w:p>
    <w:p w14:paraId="0389FAD6" w14:textId="6EE7E1C1" w:rsidR="002800DD" w:rsidRPr="00493046" w:rsidRDefault="00023312" w:rsidP="006410AC">
      <w:r w:rsidRPr="00AB24D3">
        <w:rPr>
          <w:b/>
          <w:bCs/>
          <w:szCs w:val="22"/>
        </w:rPr>
        <w:t xml:space="preserve">VET (Vocational </w:t>
      </w:r>
      <w:r w:rsidRPr="00AB24D3">
        <w:rPr>
          <w:b/>
          <w:szCs w:val="22"/>
        </w:rPr>
        <w:t>Education and Training</w:t>
      </w:r>
      <w:r w:rsidRPr="00AB24D3">
        <w:rPr>
          <w:b/>
          <w:bCs/>
          <w:szCs w:val="22"/>
        </w:rPr>
        <w:t>)</w:t>
      </w:r>
      <w:r w:rsidRPr="00AB24D3">
        <w:rPr>
          <w:szCs w:val="22"/>
        </w:rPr>
        <w:t xml:space="preserve"> means units of a higher education provider which are designated vocational education and training courses (Applies to Disaggregated Information only </w:t>
      </w:r>
      <w:r w:rsidR="009D0FF6" w:rsidRPr="00AB24D3">
        <w:rPr>
          <w:szCs w:val="22"/>
        </w:rPr>
        <w:t>-</w:t>
      </w:r>
      <w:r w:rsidRPr="00AB24D3">
        <w:rPr>
          <w:szCs w:val="22"/>
        </w:rPr>
        <w:t xml:space="preserve"> Note 2)</w:t>
      </w:r>
      <w:r w:rsidR="002852AE" w:rsidRPr="00AB24D3">
        <w:rPr>
          <w:szCs w:val="22"/>
        </w:rPr>
        <w:t>.</w:t>
      </w:r>
      <w:r w:rsidR="002800DD" w:rsidRPr="00493046">
        <w:br w:type="page"/>
      </w:r>
    </w:p>
    <w:p w14:paraId="7D6A6A4A" w14:textId="78197E8B" w:rsidR="00C06C2E" w:rsidRDefault="00C06C2E" w:rsidP="00093DCE">
      <w:pPr>
        <w:pStyle w:val="Heading1"/>
      </w:pPr>
      <w:bookmarkStart w:id="99" w:name="_Toc410825034"/>
      <w:bookmarkStart w:id="100" w:name="_Toc410825184"/>
      <w:bookmarkStart w:id="101" w:name="_Toc411854280"/>
      <w:bookmarkStart w:id="102" w:name="_Toc411854313"/>
      <w:r w:rsidRPr="00C06C2E">
        <w:lastRenderedPageBreak/>
        <w:t>[Higher Education Provider]</w:t>
      </w:r>
      <w:bookmarkStart w:id="103" w:name="_Toc398721456"/>
      <w:bookmarkStart w:id="104" w:name="_Toc398721483"/>
      <w:bookmarkStart w:id="105" w:name="_Toc398721544"/>
      <w:bookmarkStart w:id="106" w:name="_Toc398721841"/>
      <w:bookmarkStart w:id="107" w:name="_Toc398721995"/>
      <w:bookmarkStart w:id="108" w:name="_Toc398729914"/>
      <w:bookmarkStart w:id="109" w:name="_Toc398731113"/>
      <w:bookmarkStart w:id="110" w:name="_Toc398731401"/>
      <w:bookmarkStart w:id="111" w:name="_Toc398731778"/>
      <w:bookmarkStart w:id="112" w:name="_Toc406751409"/>
      <w:r>
        <w:br/>
        <w:t>Report by the Members of the [Governing Body]</w:t>
      </w:r>
      <w:bookmarkEnd w:id="99"/>
      <w:bookmarkEnd w:id="100"/>
      <w:bookmarkEnd w:id="103"/>
      <w:bookmarkEnd w:id="104"/>
      <w:bookmarkEnd w:id="105"/>
      <w:bookmarkEnd w:id="106"/>
      <w:bookmarkEnd w:id="107"/>
      <w:bookmarkEnd w:id="108"/>
      <w:bookmarkEnd w:id="109"/>
      <w:bookmarkEnd w:id="110"/>
      <w:bookmarkEnd w:id="111"/>
      <w:bookmarkEnd w:id="112"/>
      <w:bookmarkEnd w:id="101"/>
      <w:bookmarkEnd w:id="102"/>
    </w:p>
    <w:p w14:paraId="1CE7EBB5" w14:textId="77777777" w:rsidR="00093DCE" w:rsidRDefault="00093DCE" w:rsidP="00F7693F">
      <w:pPr>
        <w:pStyle w:val="Heading4"/>
      </w:pPr>
      <w:bookmarkStart w:id="113" w:name="_Toc410807589"/>
      <w:bookmarkStart w:id="114" w:name="_Toc410822639"/>
      <w:bookmarkStart w:id="115" w:name="_Toc410823798"/>
      <w:r>
        <w:t>Mandatory</w:t>
      </w:r>
      <w:r>
        <w:rPr>
          <w:rStyle w:val="FootnoteCharacters"/>
          <w:sz w:val="18"/>
          <w:lang w:val="en-AU"/>
        </w:rPr>
        <w:footnoteReference w:id="2"/>
      </w:r>
      <w:r>
        <w:t xml:space="preserve"> Education</w:t>
      </w:r>
      <w:bookmarkEnd w:id="113"/>
      <w:bookmarkEnd w:id="114"/>
      <w:bookmarkEnd w:id="115"/>
    </w:p>
    <w:p w14:paraId="45438265" w14:textId="77777777" w:rsidR="00C06C2E" w:rsidRPr="00AB24D3" w:rsidRDefault="00C06C2E" w:rsidP="00093DCE">
      <w:pPr>
        <w:rPr>
          <w:szCs w:val="22"/>
        </w:rPr>
      </w:pPr>
      <w:r w:rsidRPr="00AB24D3">
        <w:rPr>
          <w:szCs w:val="22"/>
        </w:rPr>
        <w:t>The members of the [governing body] present their report on the consolidated entity consisting of [HEP] and the entities it controlled at the end of, or during, the year ended 31 December 2014.</w:t>
      </w:r>
    </w:p>
    <w:p w14:paraId="5300CEA7" w14:textId="77777777" w:rsidR="00C06C2E" w:rsidRPr="00D96835" w:rsidRDefault="00C06C2E" w:rsidP="00093DCE">
      <w:pPr>
        <w:pStyle w:val="Heading3"/>
      </w:pPr>
      <w:r w:rsidRPr="00D96835">
        <w:t>Members</w:t>
      </w:r>
    </w:p>
    <w:p w14:paraId="0D0E2893" w14:textId="77777777" w:rsidR="00C06C2E" w:rsidRPr="00AB24D3" w:rsidRDefault="00C06C2E" w:rsidP="00093DCE">
      <w:pPr>
        <w:rPr>
          <w:szCs w:val="22"/>
        </w:rPr>
      </w:pPr>
      <w:r w:rsidRPr="00AB24D3">
        <w:rPr>
          <w:szCs w:val="22"/>
        </w:rPr>
        <w:t>The following persons were members of [HEP] during the whole of the year and up to the date of this report:</w:t>
      </w:r>
    </w:p>
    <w:p w14:paraId="2A5DFFCA" w14:textId="77777777" w:rsidR="00C06C2E" w:rsidRPr="00AB24D3" w:rsidRDefault="00C06C2E" w:rsidP="00093DCE">
      <w:pPr>
        <w:rPr>
          <w:szCs w:val="22"/>
        </w:rPr>
      </w:pPr>
      <w:r w:rsidRPr="00AB24D3">
        <w:rPr>
          <w:szCs w:val="22"/>
        </w:rPr>
        <w:t>[List members]</w:t>
      </w:r>
    </w:p>
    <w:p w14:paraId="1DBF6CB0" w14:textId="77777777" w:rsidR="00C06C2E" w:rsidRPr="00AB24D3" w:rsidRDefault="00C06C2E" w:rsidP="00093DCE">
      <w:pPr>
        <w:rPr>
          <w:szCs w:val="22"/>
        </w:rPr>
      </w:pPr>
      <w:r w:rsidRPr="00AB24D3">
        <w:rPr>
          <w:szCs w:val="22"/>
        </w:rPr>
        <w:t>[Member A] was appointed a member on [date] and continues in office at the date of this report.</w:t>
      </w:r>
    </w:p>
    <w:p w14:paraId="4D44F1DA" w14:textId="77777777" w:rsidR="00C06C2E" w:rsidRPr="00AB24D3" w:rsidRDefault="00C06C2E" w:rsidP="00093DCE">
      <w:pPr>
        <w:rPr>
          <w:szCs w:val="22"/>
        </w:rPr>
      </w:pPr>
      <w:r w:rsidRPr="00AB24D3">
        <w:rPr>
          <w:szCs w:val="22"/>
        </w:rPr>
        <w:t>[Member B] was a member from the beginning of the year until his/her resignation on [date].</w:t>
      </w:r>
    </w:p>
    <w:p w14:paraId="45E9E36B" w14:textId="77777777" w:rsidR="00C06C2E" w:rsidRPr="00340A13" w:rsidRDefault="00C06C2E" w:rsidP="00093DCE">
      <w:pPr>
        <w:pStyle w:val="Heading3"/>
      </w:pPr>
      <w:r w:rsidRPr="00D96835">
        <w:t>Meetings</w:t>
      </w:r>
      <w:r w:rsidRPr="00340A13">
        <w:t xml:space="preserve"> </w:t>
      </w:r>
      <w:r w:rsidRPr="00D96835">
        <w:t>of</w:t>
      </w:r>
      <w:r w:rsidRPr="00340A13">
        <w:t xml:space="preserve"> </w:t>
      </w:r>
      <w:r w:rsidRPr="00D96835">
        <w:t>Members</w:t>
      </w:r>
      <w:r w:rsidRPr="00340A13">
        <w:t xml:space="preserve"> </w:t>
      </w:r>
    </w:p>
    <w:p w14:paraId="29EE4980" w14:textId="77777777" w:rsidR="00C06C2E" w:rsidRPr="00AB24D3" w:rsidRDefault="00C06C2E" w:rsidP="00093DCE">
      <w:pPr>
        <w:rPr>
          <w:szCs w:val="22"/>
        </w:rPr>
      </w:pPr>
      <w:r w:rsidRPr="00AB24D3">
        <w:rPr>
          <w:szCs w:val="22"/>
        </w:rPr>
        <w:t>The numbers of meetings of the members of [HEP]’s [governing body] and of each board committee held during the year ended 31 December 2014, and the numbers of meetings attended by each member were:</w:t>
      </w:r>
    </w:p>
    <w:tbl>
      <w:tblPr>
        <w:tblStyle w:val="MediumGrid3-Accent5"/>
        <w:tblW w:w="5000" w:type="pct"/>
        <w:tblLook w:val="06A0" w:firstRow="1" w:lastRow="0" w:firstColumn="1" w:lastColumn="0" w:noHBand="1" w:noVBand="1"/>
      </w:tblPr>
      <w:tblGrid>
        <w:gridCol w:w="3154"/>
        <w:gridCol w:w="915"/>
        <w:gridCol w:w="732"/>
        <w:gridCol w:w="831"/>
        <w:gridCol w:w="813"/>
        <w:gridCol w:w="811"/>
        <w:gridCol w:w="813"/>
        <w:gridCol w:w="975"/>
        <w:gridCol w:w="923"/>
      </w:tblGrid>
      <w:tr w:rsidR="0015487B" w:rsidRPr="0015487B" w14:paraId="23E9F88F" w14:textId="77777777" w:rsidTr="0015487B">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582" w:type="pct"/>
            <w:vMerge w:val="restart"/>
          </w:tcPr>
          <w:p w14:paraId="20586755" w14:textId="59CF209D" w:rsidR="0015487B" w:rsidRPr="0015487B" w:rsidRDefault="0015487B" w:rsidP="0015487B">
            <w:r w:rsidRPr="0015487B">
              <w:t>Member’s Name</w:t>
            </w:r>
          </w:p>
        </w:tc>
        <w:tc>
          <w:tcPr>
            <w:tcW w:w="826" w:type="pct"/>
            <w:gridSpan w:val="2"/>
            <w:vMerge w:val="restart"/>
          </w:tcPr>
          <w:p w14:paraId="7A80F7F9"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Board Meetings</w:t>
            </w:r>
          </w:p>
        </w:tc>
        <w:tc>
          <w:tcPr>
            <w:tcW w:w="2592" w:type="pct"/>
            <w:gridSpan w:val="6"/>
          </w:tcPr>
          <w:p w14:paraId="40B61254"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Meetings of committees</w:t>
            </w:r>
          </w:p>
        </w:tc>
      </w:tr>
      <w:tr w:rsidR="0015487B" w:rsidRPr="0015487B" w14:paraId="5624A39C" w14:textId="77777777" w:rsidTr="0015487B">
        <w:trPr>
          <w:cnfStyle w:val="100000000000" w:firstRow="1" w:lastRow="0" w:firstColumn="0" w:lastColumn="0" w:oddVBand="0" w:evenVBand="0" w:oddHBand="0" w:evenHBand="0" w:firstRowFirstColumn="0" w:firstRowLastColumn="0" w:lastRowFirstColumn="0" w:lastRowLastColumn="0"/>
          <w:cantSplit/>
          <w:trHeight w:val="293"/>
          <w:tblHeader/>
        </w:trPr>
        <w:tc>
          <w:tcPr>
            <w:cnfStyle w:val="001000000000" w:firstRow="0" w:lastRow="0" w:firstColumn="1" w:lastColumn="0" w:oddVBand="0" w:evenVBand="0" w:oddHBand="0" w:evenHBand="0" w:firstRowFirstColumn="0" w:firstRowLastColumn="0" w:lastRowFirstColumn="0" w:lastRowLastColumn="0"/>
            <w:tcW w:w="1582" w:type="pct"/>
            <w:vMerge/>
          </w:tcPr>
          <w:p w14:paraId="61F149D5" w14:textId="77777777" w:rsidR="0015487B" w:rsidRPr="0015487B" w:rsidRDefault="0015487B" w:rsidP="0015487B"/>
        </w:tc>
        <w:tc>
          <w:tcPr>
            <w:tcW w:w="826" w:type="pct"/>
            <w:gridSpan w:val="2"/>
            <w:vMerge/>
          </w:tcPr>
          <w:p w14:paraId="00AA5FF4"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p>
        </w:tc>
        <w:tc>
          <w:tcPr>
            <w:tcW w:w="825" w:type="pct"/>
            <w:gridSpan w:val="2"/>
          </w:tcPr>
          <w:p w14:paraId="232FB283"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Audit</w:t>
            </w:r>
          </w:p>
        </w:tc>
        <w:tc>
          <w:tcPr>
            <w:tcW w:w="815" w:type="pct"/>
            <w:gridSpan w:val="2"/>
          </w:tcPr>
          <w:p w14:paraId="77E01F22"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Nomination</w:t>
            </w:r>
          </w:p>
        </w:tc>
        <w:tc>
          <w:tcPr>
            <w:tcW w:w="952" w:type="pct"/>
            <w:gridSpan w:val="2"/>
          </w:tcPr>
          <w:p w14:paraId="6C1754FF"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Remuneration</w:t>
            </w:r>
          </w:p>
        </w:tc>
      </w:tr>
      <w:tr w:rsidR="0015487B" w:rsidRPr="0015487B" w14:paraId="5B640697" w14:textId="77777777" w:rsidTr="0015487B">
        <w:trPr>
          <w:cnfStyle w:val="100000000000" w:firstRow="1" w:lastRow="0" w:firstColumn="0" w:lastColumn="0" w:oddVBand="0" w:evenVBand="0" w:oddHBand="0" w:evenHBand="0" w:firstRowFirstColumn="0" w:firstRowLastColumn="0" w:lastRowFirstColumn="0" w:lastRowLastColumn="0"/>
          <w:cantSplit/>
          <w:trHeight w:val="180"/>
          <w:tblHeader/>
        </w:trPr>
        <w:tc>
          <w:tcPr>
            <w:cnfStyle w:val="001000000000" w:firstRow="0" w:lastRow="0" w:firstColumn="1" w:lastColumn="0" w:oddVBand="0" w:evenVBand="0" w:oddHBand="0" w:evenHBand="0" w:firstRowFirstColumn="0" w:firstRowLastColumn="0" w:lastRowFirstColumn="0" w:lastRowLastColumn="0"/>
            <w:tcW w:w="1582" w:type="pct"/>
            <w:vMerge/>
          </w:tcPr>
          <w:p w14:paraId="56A583F1" w14:textId="77777777" w:rsidR="0015487B" w:rsidRPr="0015487B" w:rsidRDefault="0015487B" w:rsidP="0015487B"/>
        </w:tc>
        <w:tc>
          <w:tcPr>
            <w:tcW w:w="459" w:type="pct"/>
          </w:tcPr>
          <w:p w14:paraId="26C3A073"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A</w:t>
            </w:r>
          </w:p>
        </w:tc>
        <w:tc>
          <w:tcPr>
            <w:tcW w:w="367" w:type="pct"/>
          </w:tcPr>
          <w:p w14:paraId="39EF24D5"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B</w:t>
            </w:r>
          </w:p>
        </w:tc>
        <w:tc>
          <w:tcPr>
            <w:tcW w:w="417" w:type="pct"/>
          </w:tcPr>
          <w:p w14:paraId="2664DD0B"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A</w:t>
            </w:r>
          </w:p>
        </w:tc>
        <w:tc>
          <w:tcPr>
            <w:tcW w:w="408" w:type="pct"/>
          </w:tcPr>
          <w:p w14:paraId="0680A46C"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B</w:t>
            </w:r>
          </w:p>
        </w:tc>
        <w:tc>
          <w:tcPr>
            <w:tcW w:w="407" w:type="pct"/>
          </w:tcPr>
          <w:p w14:paraId="10308A45"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A</w:t>
            </w:r>
          </w:p>
        </w:tc>
        <w:tc>
          <w:tcPr>
            <w:tcW w:w="408" w:type="pct"/>
          </w:tcPr>
          <w:p w14:paraId="31353409"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B</w:t>
            </w:r>
          </w:p>
        </w:tc>
        <w:tc>
          <w:tcPr>
            <w:tcW w:w="489" w:type="pct"/>
          </w:tcPr>
          <w:p w14:paraId="611A153C"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A</w:t>
            </w:r>
          </w:p>
        </w:tc>
        <w:tc>
          <w:tcPr>
            <w:tcW w:w="462" w:type="pct"/>
          </w:tcPr>
          <w:p w14:paraId="40AD8214" w14:textId="77777777" w:rsidR="0015487B" w:rsidRPr="0015487B" w:rsidRDefault="0015487B" w:rsidP="0015487B">
            <w:pPr>
              <w:jc w:val="center"/>
              <w:cnfStyle w:val="100000000000" w:firstRow="1" w:lastRow="0" w:firstColumn="0" w:lastColumn="0" w:oddVBand="0" w:evenVBand="0" w:oddHBand="0" w:evenHBand="0" w:firstRowFirstColumn="0" w:firstRowLastColumn="0" w:lastRowFirstColumn="0" w:lastRowLastColumn="0"/>
            </w:pPr>
            <w:r w:rsidRPr="0015487B">
              <w:t>B</w:t>
            </w:r>
          </w:p>
        </w:tc>
      </w:tr>
      <w:tr w:rsidR="0015487B" w:rsidRPr="0015487B" w14:paraId="6A5B0F02" w14:textId="77777777" w:rsidTr="0015487B">
        <w:trPr>
          <w:trHeight w:val="180"/>
        </w:trPr>
        <w:tc>
          <w:tcPr>
            <w:cnfStyle w:val="001000000000" w:firstRow="0" w:lastRow="0" w:firstColumn="1" w:lastColumn="0" w:oddVBand="0" w:evenVBand="0" w:oddHBand="0" w:evenHBand="0" w:firstRowFirstColumn="0" w:firstRowLastColumn="0" w:lastRowFirstColumn="0" w:lastRowLastColumn="0"/>
            <w:tcW w:w="1582" w:type="pct"/>
          </w:tcPr>
          <w:p w14:paraId="5772B083" w14:textId="77777777" w:rsidR="0015487B" w:rsidRPr="0015487B" w:rsidRDefault="0015487B" w:rsidP="0015487B">
            <w:r w:rsidRPr="0015487B">
              <w:t>[Member X]</w:t>
            </w:r>
          </w:p>
        </w:tc>
        <w:tc>
          <w:tcPr>
            <w:tcW w:w="459" w:type="pct"/>
          </w:tcPr>
          <w:p w14:paraId="65EA85BA"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367" w:type="pct"/>
          </w:tcPr>
          <w:p w14:paraId="71191F3D"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17" w:type="pct"/>
          </w:tcPr>
          <w:p w14:paraId="6BD04BDD"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8" w:type="pct"/>
          </w:tcPr>
          <w:p w14:paraId="30FB3BEC"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7" w:type="pct"/>
          </w:tcPr>
          <w:p w14:paraId="31369019"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8" w:type="pct"/>
          </w:tcPr>
          <w:p w14:paraId="1542CDE0"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89" w:type="pct"/>
          </w:tcPr>
          <w:p w14:paraId="3EE0C618"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62" w:type="pct"/>
          </w:tcPr>
          <w:p w14:paraId="501C57A4"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r>
      <w:tr w:rsidR="0015487B" w:rsidRPr="0015487B" w14:paraId="4CB8A25B" w14:textId="77777777" w:rsidTr="0015487B">
        <w:trPr>
          <w:trHeight w:val="180"/>
        </w:trPr>
        <w:tc>
          <w:tcPr>
            <w:cnfStyle w:val="001000000000" w:firstRow="0" w:lastRow="0" w:firstColumn="1" w:lastColumn="0" w:oddVBand="0" w:evenVBand="0" w:oddHBand="0" w:evenHBand="0" w:firstRowFirstColumn="0" w:firstRowLastColumn="0" w:lastRowFirstColumn="0" w:lastRowLastColumn="0"/>
            <w:tcW w:w="1582" w:type="pct"/>
          </w:tcPr>
          <w:p w14:paraId="425BB72A" w14:textId="77777777" w:rsidR="0015487B" w:rsidRPr="0015487B" w:rsidRDefault="0015487B" w:rsidP="0015487B">
            <w:r w:rsidRPr="0015487B">
              <w:t>[Member Y]</w:t>
            </w:r>
          </w:p>
        </w:tc>
        <w:tc>
          <w:tcPr>
            <w:tcW w:w="459" w:type="pct"/>
          </w:tcPr>
          <w:p w14:paraId="538E8E43"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367" w:type="pct"/>
          </w:tcPr>
          <w:p w14:paraId="1EF48F89"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17" w:type="pct"/>
          </w:tcPr>
          <w:p w14:paraId="27334387"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8" w:type="pct"/>
          </w:tcPr>
          <w:p w14:paraId="74B253D4"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7" w:type="pct"/>
          </w:tcPr>
          <w:p w14:paraId="7846D849"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08" w:type="pct"/>
          </w:tcPr>
          <w:p w14:paraId="50E4547E"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89" w:type="pct"/>
          </w:tcPr>
          <w:p w14:paraId="628A35DF"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c>
          <w:tcPr>
            <w:tcW w:w="462" w:type="pct"/>
          </w:tcPr>
          <w:p w14:paraId="6B418C84" w14:textId="77777777" w:rsidR="0015487B" w:rsidRPr="0015487B" w:rsidRDefault="0015487B" w:rsidP="0015487B">
            <w:pPr>
              <w:cnfStyle w:val="000000000000" w:firstRow="0" w:lastRow="0" w:firstColumn="0" w:lastColumn="0" w:oddVBand="0" w:evenVBand="0" w:oddHBand="0" w:evenHBand="0" w:firstRowFirstColumn="0" w:firstRowLastColumn="0" w:lastRowFirstColumn="0" w:lastRowLastColumn="0"/>
            </w:pPr>
            <w:r w:rsidRPr="0015487B">
              <w:t>-</w:t>
            </w:r>
          </w:p>
        </w:tc>
      </w:tr>
    </w:tbl>
    <w:p w14:paraId="15B7A4BF" w14:textId="77777777" w:rsidR="00C06C2E" w:rsidRPr="00AB24D3" w:rsidRDefault="00C06C2E" w:rsidP="00093DCE">
      <w:pPr>
        <w:rPr>
          <w:szCs w:val="22"/>
        </w:rPr>
      </w:pPr>
      <w:r w:rsidRPr="00AB24D3">
        <w:rPr>
          <w:szCs w:val="22"/>
        </w:rPr>
        <w:t>A = Number of meetings attended</w:t>
      </w:r>
    </w:p>
    <w:p w14:paraId="185E60EF" w14:textId="77777777" w:rsidR="00C06C2E" w:rsidRPr="00AB24D3" w:rsidRDefault="00C06C2E" w:rsidP="00093DCE">
      <w:pPr>
        <w:rPr>
          <w:szCs w:val="22"/>
        </w:rPr>
      </w:pPr>
      <w:r w:rsidRPr="00AB24D3">
        <w:rPr>
          <w:szCs w:val="22"/>
        </w:rPr>
        <w:t>B = Number of meetings held during the time the member held office or was a member of the committee during the year</w:t>
      </w:r>
    </w:p>
    <w:p w14:paraId="0C281782" w14:textId="65A83B22" w:rsidR="00C06C2E" w:rsidRDefault="00C06C2E" w:rsidP="00093DCE">
      <w:pPr>
        <w:pStyle w:val="Heading3"/>
      </w:pPr>
      <w:r>
        <w:t>Principal Activities</w:t>
      </w:r>
    </w:p>
    <w:p w14:paraId="0D632A90" w14:textId="77777777" w:rsidR="00C06C2E" w:rsidRPr="00AB24D3" w:rsidRDefault="00C06C2E" w:rsidP="00093DCE">
      <w:pPr>
        <w:rPr>
          <w:szCs w:val="22"/>
        </w:rPr>
      </w:pPr>
      <w:r w:rsidRPr="00AB24D3">
        <w:rPr>
          <w:szCs w:val="22"/>
        </w:rPr>
        <w:t>During the year, the principal continuing activities of the consolidated entity consisted of:</w:t>
      </w:r>
    </w:p>
    <w:p w14:paraId="1B1566EC" w14:textId="28C7D78E" w:rsidR="00C06C2E" w:rsidRPr="00AB24D3" w:rsidRDefault="00C06C2E" w:rsidP="00D200DD">
      <w:pPr>
        <w:pStyle w:val="ListParagraph"/>
        <w:numPr>
          <w:ilvl w:val="0"/>
          <w:numId w:val="7"/>
        </w:numPr>
        <w:ind w:left="697" w:hanging="357"/>
        <w:rPr>
          <w:szCs w:val="22"/>
        </w:rPr>
      </w:pPr>
      <w:r w:rsidRPr="00AB24D3">
        <w:rPr>
          <w:szCs w:val="22"/>
        </w:rPr>
        <w:t>[list activities]</w:t>
      </w:r>
    </w:p>
    <w:p w14:paraId="2F5DE8DF" w14:textId="77777777" w:rsidR="00C06C2E" w:rsidRPr="00AB24D3" w:rsidRDefault="00C06C2E" w:rsidP="00093DCE">
      <w:pPr>
        <w:rPr>
          <w:szCs w:val="22"/>
        </w:rPr>
      </w:pPr>
      <w:r w:rsidRPr="00AB24D3">
        <w:rPr>
          <w:szCs w:val="22"/>
        </w:rPr>
        <w:t>The following significant changes in the nature of the activities of the consolidated entity occurred during the year:</w:t>
      </w:r>
    </w:p>
    <w:p w14:paraId="7690136F" w14:textId="4B758EDB" w:rsidR="00C06C2E" w:rsidRPr="00AB24D3" w:rsidRDefault="00C06C2E" w:rsidP="00D200DD">
      <w:pPr>
        <w:pStyle w:val="ListParagraph"/>
        <w:numPr>
          <w:ilvl w:val="0"/>
          <w:numId w:val="7"/>
        </w:numPr>
        <w:ind w:left="697" w:hanging="357"/>
        <w:rPr>
          <w:szCs w:val="22"/>
        </w:rPr>
      </w:pPr>
      <w:r w:rsidRPr="00AB24D3">
        <w:rPr>
          <w:szCs w:val="22"/>
        </w:rPr>
        <w:t>[list new and ceased activities]</w:t>
      </w:r>
    </w:p>
    <w:p w14:paraId="3E8EBBCB" w14:textId="1B726A7D" w:rsidR="00C06C2E" w:rsidRPr="00C06C2E" w:rsidRDefault="00C06C2E" w:rsidP="00093DCE">
      <w:pPr>
        <w:pStyle w:val="Heading3"/>
      </w:pPr>
      <w:r w:rsidRPr="00C06C2E">
        <w:t xml:space="preserve">Review of Operations </w:t>
      </w:r>
    </w:p>
    <w:p w14:paraId="6A5E62F8" w14:textId="77777777" w:rsidR="00C06C2E" w:rsidRPr="00AB24D3" w:rsidRDefault="00C06C2E" w:rsidP="00093DCE">
      <w:pPr>
        <w:rPr>
          <w:szCs w:val="22"/>
        </w:rPr>
      </w:pPr>
      <w:r w:rsidRPr="00AB24D3">
        <w:rPr>
          <w:szCs w:val="22"/>
        </w:rPr>
        <w:t>[Review of operations during the year and a summary of results in key areas of activities]</w:t>
      </w:r>
    </w:p>
    <w:p w14:paraId="41187454" w14:textId="77777777" w:rsidR="00C06C2E" w:rsidRPr="00C06C2E" w:rsidRDefault="00C06C2E" w:rsidP="00093DCE">
      <w:pPr>
        <w:pStyle w:val="Heading3"/>
      </w:pPr>
      <w:r w:rsidRPr="00C06C2E">
        <w:t xml:space="preserve">Significant Changes in the State of Affairs </w:t>
      </w:r>
    </w:p>
    <w:p w14:paraId="70C0ADDD" w14:textId="77777777" w:rsidR="00C06C2E" w:rsidRPr="00AB24D3" w:rsidRDefault="00C06C2E" w:rsidP="00093DCE">
      <w:pPr>
        <w:rPr>
          <w:szCs w:val="22"/>
        </w:rPr>
      </w:pPr>
      <w:r w:rsidRPr="00AB24D3">
        <w:rPr>
          <w:szCs w:val="22"/>
        </w:rPr>
        <w:t>[Details of any significant changes in the consolidated entity’s state of affairs during the year]</w:t>
      </w:r>
    </w:p>
    <w:p w14:paraId="48BD7F48" w14:textId="77777777" w:rsidR="00C06C2E" w:rsidRPr="00C06C2E" w:rsidRDefault="00C06C2E" w:rsidP="00093DCE">
      <w:pPr>
        <w:pStyle w:val="Heading3"/>
      </w:pPr>
      <w:r w:rsidRPr="00C06C2E">
        <w:lastRenderedPageBreak/>
        <w:t>Matters Subsequent to the End of the Financial Year</w:t>
      </w:r>
    </w:p>
    <w:p w14:paraId="3B3BE2A7" w14:textId="77777777" w:rsidR="00C06C2E" w:rsidRPr="00AB24D3" w:rsidRDefault="00C06C2E" w:rsidP="00093DCE">
      <w:pPr>
        <w:rPr>
          <w:szCs w:val="22"/>
        </w:rPr>
      </w:pPr>
      <w:r w:rsidRPr="00AB24D3">
        <w:rPr>
          <w:szCs w:val="22"/>
        </w:rPr>
        <w:t>[Describe matters subsequent to the end of the year that may significantly affect the consolidated entity’s operations, results or state of affairs in future years]</w:t>
      </w:r>
    </w:p>
    <w:p w14:paraId="0E692CF0" w14:textId="77777777" w:rsidR="00C06C2E" w:rsidRPr="00C06C2E" w:rsidRDefault="00C06C2E" w:rsidP="00093DCE">
      <w:pPr>
        <w:pStyle w:val="Heading3"/>
      </w:pPr>
      <w:r w:rsidRPr="00C06C2E">
        <w:t>Likely Developments and Expected Results of Operations</w:t>
      </w:r>
    </w:p>
    <w:p w14:paraId="7DE92765" w14:textId="77777777" w:rsidR="00C06C2E" w:rsidRPr="00AB24D3" w:rsidRDefault="00C06C2E" w:rsidP="00093DCE">
      <w:pPr>
        <w:rPr>
          <w:szCs w:val="22"/>
        </w:rPr>
      </w:pPr>
      <w:r w:rsidRPr="00AB24D3">
        <w:rPr>
          <w:szCs w:val="22"/>
        </w:rPr>
        <w:t>[Likely developments in the operations and the expected results of those operations of the consolidated entity constituted by [HEP] and the entities it controls from time to time that were not finalised at the date of this report. The report may omit material if it is likely to result in unreasonable prejudice. If material is omitted, the report must say so]</w:t>
      </w:r>
    </w:p>
    <w:p w14:paraId="0B752842" w14:textId="77777777" w:rsidR="00C06C2E" w:rsidRPr="00C06C2E" w:rsidRDefault="00C06C2E" w:rsidP="00093DCE">
      <w:pPr>
        <w:pStyle w:val="Heading3"/>
      </w:pPr>
      <w:r w:rsidRPr="00C06C2E">
        <w:t>Environmental regulation</w:t>
      </w:r>
    </w:p>
    <w:p w14:paraId="212D833B" w14:textId="77777777" w:rsidR="00C06C2E" w:rsidRPr="00AB24D3" w:rsidRDefault="00C06C2E" w:rsidP="00093DCE">
      <w:pPr>
        <w:rPr>
          <w:szCs w:val="22"/>
        </w:rPr>
      </w:pPr>
      <w:r w:rsidRPr="00AB24D3">
        <w:rPr>
          <w:szCs w:val="22"/>
        </w:rPr>
        <w:t>[Describe the significant environmental regulations the consolidated entity is subject to]</w:t>
      </w:r>
    </w:p>
    <w:p w14:paraId="5DEF2C60" w14:textId="77777777" w:rsidR="00C06C2E" w:rsidRPr="00C06C2E" w:rsidRDefault="00C06C2E" w:rsidP="00093DCE">
      <w:pPr>
        <w:pStyle w:val="Heading3"/>
      </w:pPr>
      <w:r w:rsidRPr="00C06C2E">
        <w:t>Insurance of officers</w:t>
      </w:r>
    </w:p>
    <w:p w14:paraId="2A14B54E" w14:textId="77777777" w:rsidR="00C06C2E" w:rsidRPr="00AB24D3" w:rsidRDefault="00C06C2E" w:rsidP="00093DCE">
      <w:pPr>
        <w:rPr>
          <w:szCs w:val="22"/>
        </w:rPr>
      </w:pPr>
      <w:r w:rsidRPr="00AB24D3">
        <w:rPr>
          <w:szCs w:val="22"/>
        </w:rPr>
        <w:t>[Describe relevant details including the premium to insure the members of [governing body] and officers of [HEP] and its Australian-based controlled entities]</w:t>
      </w:r>
    </w:p>
    <w:p w14:paraId="631D3CBB" w14:textId="77777777" w:rsidR="00C06C2E" w:rsidRPr="00C06C2E" w:rsidRDefault="00C06C2E" w:rsidP="00093DCE">
      <w:pPr>
        <w:pStyle w:val="Heading3"/>
      </w:pPr>
      <w:r w:rsidRPr="00C06C2E">
        <w:t xml:space="preserve">Proceedings on behalf of [HEP] </w:t>
      </w:r>
    </w:p>
    <w:p w14:paraId="39C749C7" w14:textId="77777777" w:rsidR="00C06C2E" w:rsidRPr="00AB24D3" w:rsidRDefault="00C06C2E" w:rsidP="00C06C2E">
      <w:pPr>
        <w:rPr>
          <w:szCs w:val="22"/>
        </w:rPr>
      </w:pPr>
      <w:r w:rsidRPr="00AB24D3">
        <w:rPr>
          <w:szCs w:val="22"/>
        </w:rPr>
        <w:t>[Include relevant details as appropriate]</w:t>
      </w:r>
    </w:p>
    <w:p w14:paraId="280069BF" w14:textId="77777777" w:rsidR="00C06C2E" w:rsidRPr="00AB24D3" w:rsidRDefault="00C06C2E" w:rsidP="00C06C2E">
      <w:pPr>
        <w:rPr>
          <w:szCs w:val="22"/>
        </w:rPr>
      </w:pPr>
      <w:r w:rsidRPr="00AB24D3">
        <w:rPr>
          <w:szCs w:val="22"/>
        </w:rPr>
        <w:t>This report is made in accordance with a resolution of the members of the [governing body].</w:t>
      </w:r>
    </w:p>
    <w:p w14:paraId="29D21856" w14:textId="77777777" w:rsidR="00C06C2E" w:rsidRPr="00AB24D3" w:rsidRDefault="00C06C2E" w:rsidP="00C06C2E">
      <w:pPr>
        <w:rPr>
          <w:szCs w:val="22"/>
        </w:rPr>
      </w:pPr>
      <w:r w:rsidRPr="00AB24D3">
        <w:rPr>
          <w:szCs w:val="22"/>
        </w:rPr>
        <w:t>[Name]</w:t>
      </w:r>
    </w:p>
    <w:p w14:paraId="1C61581E" w14:textId="77777777" w:rsidR="00C06C2E" w:rsidRPr="00AB24D3" w:rsidRDefault="00C06C2E" w:rsidP="00C06C2E">
      <w:pPr>
        <w:rPr>
          <w:szCs w:val="22"/>
        </w:rPr>
      </w:pPr>
      <w:r w:rsidRPr="00AB24D3">
        <w:rPr>
          <w:szCs w:val="22"/>
        </w:rPr>
        <w:t>Member of [governing body]</w:t>
      </w:r>
    </w:p>
    <w:p w14:paraId="63117A76" w14:textId="77777777" w:rsidR="00C06C2E" w:rsidRPr="00AB24D3" w:rsidRDefault="00C06C2E" w:rsidP="00C06C2E">
      <w:pPr>
        <w:rPr>
          <w:szCs w:val="22"/>
        </w:rPr>
      </w:pPr>
      <w:r w:rsidRPr="00AB24D3">
        <w:rPr>
          <w:szCs w:val="22"/>
        </w:rPr>
        <w:t>[Location]</w:t>
      </w:r>
    </w:p>
    <w:p w14:paraId="0389FBCA" w14:textId="3672B7F1" w:rsidR="002800DD" w:rsidRDefault="00C06C2E">
      <w:r w:rsidRPr="00AB24D3">
        <w:rPr>
          <w:szCs w:val="22"/>
        </w:rPr>
        <w:t>[Date]</w:t>
      </w:r>
      <w:r w:rsidR="002800DD">
        <w:br w:type="page"/>
      </w:r>
    </w:p>
    <w:p w14:paraId="4DF626F4" w14:textId="483EFB6B" w:rsidR="00303985" w:rsidRPr="002A3341" w:rsidRDefault="00303985" w:rsidP="001A5D4A">
      <w:pPr>
        <w:pStyle w:val="Heading2"/>
        <w:rPr>
          <w:color w:val="2D3E7B" w:themeColor="text2" w:themeShade="BF"/>
        </w:rPr>
      </w:pPr>
      <w:bookmarkStart w:id="116" w:name="_Toc410807590"/>
      <w:bookmarkStart w:id="117" w:name="_Toc410822640"/>
      <w:bookmarkStart w:id="118" w:name="_Toc410823799"/>
      <w:bookmarkStart w:id="119" w:name="_Toc410825035"/>
      <w:bookmarkStart w:id="120" w:name="_Toc410825185"/>
      <w:r w:rsidRPr="002A3341">
        <w:rPr>
          <w:color w:val="2D3E7B" w:themeColor="text2" w:themeShade="BF"/>
        </w:rPr>
        <w:lastRenderedPageBreak/>
        <w:t>Commentary - Board Members’ Report</w:t>
      </w:r>
      <w:bookmarkEnd w:id="116"/>
      <w:bookmarkEnd w:id="117"/>
      <w:bookmarkEnd w:id="118"/>
      <w:bookmarkEnd w:id="119"/>
      <w:bookmarkEnd w:id="120"/>
    </w:p>
    <w:p w14:paraId="51C4C7DF" w14:textId="77777777" w:rsidR="00303985" w:rsidRPr="002A3341" w:rsidRDefault="00303985" w:rsidP="001A5D4A">
      <w:pPr>
        <w:pStyle w:val="Heading3"/>
        <w:rPr>
          <w:color w:val="2D3E7B" w:themeColor="text2" w:themeShade="BF"/>
        </w:rPr>
      </w:pPr>
      <w:r w:rsidRPr="002A3341">
        <w:rPr>
          <w:color w:val="2D3E7B" w:themeColor="text2" w:themeShade="BF"/>
        </w:rPr>
        <w:t>Education</w:t>
      </w:r>
    </w:p>
    <w:p w14:paraId="0534A4D6" w14:textId="77777777" w:rsidR="00303985" w:rsidRPr="00AB24D3" w:rsidRDefault="00303985" w:rsidP="001A5D4A">
      <w:pPr>
        <w:rPr>
          <w:color w:val="2D3E7B" w:themeColor="text2" w:themeShade="BF"/>
          <w:szCs w:val="22"/>
        </w:rPr>
      </w:pPr>
      <w:r w:rsidRPr="00AB24D3">
        <w:rPr>
          <w:color w:val="2D3E7B" w:themeColor="text2" w:themeShade="BF"/>
          <w:szCs w:val="22"/>
        </w:rPr>
        <w:t>One of the stated purposes of the Financial Statement Guidelines is to align higher education sector reporting to good practice corporate sector reporting. The model Report by the Members of the Governing Body is included for this purpose.</w:t>
      </w:r>
    </w:p>
    <w:p w14:paraId="4FA44BA8" w14:textId="77777777" w:rsidR="00303985" w:rsidRPr="00AB24D3" w:rsidRDefault="00303985" w:rsidP="001A5D4A">
      <w:pPr>
        <w:rPr>
          <w:color w:val="2D3E7B" w:themeColor="text2" w:themeShade="BF"/>
          <w:szCs w:val="22"/>
        </w:rPr>
      </w:pPr>
      <w:r w:rsidRPr="00AB24D3">
        <w:rPr>
          <w:color w:val="2D3E7B" w:themeColor="text2" w:themeShade="BF"/>
          <w:szCs w:val="22"/>
        </w:rPr>
        <w:t>It is mandatory for the HEP to include a Director’s Report or Board Members’ Report in their Annual Report. The report presented is provided as an example disclosure.</w:t>
      </w:r>
    </w:p>
    <w:p w14:paraId="6CF7426C" w14:textId="77777777" w:rsidR="00303985" w:rsidRPr="00AB24D3" w:rsidRDefault="00303985" w:rsidP="00AB24D3">
      <w:pPr>
        <w:pStyle w:val="Heading4"/>
        <w:rPr>
          <w:color w:val="2D3E7B" w:themeColor="text2" w:themeShade="BF"/>
          <w14:textFill>
            <w14:solidFill>
              <w14:schemeClr w14:val="tx2">
                <w14:lumMod w14:val="75000"/>
                <w14:lumMod w14:val="75000"/>
              </w14:schemeClr>
            </w14:solidFill>
          </w14:textFill>
        </w:rPr>
      </w:pPr>
      <w:r w:rsidRPr="00AB24D3">
        <w:rPr>
          <w:color w:val="2D3E7B" w:themeColor="text2" w:themeShade="BF"/>
          <w14:textFill>
            <w14:solidFill>
              <w14:schemeClr w14:val="tx2">
                <w14:lumMod w14:val="75000"/>
                <w14:lumMod w14:val="75000"/>
              </w14:schemeClr>
            </w14:solidFill>
          </w14:textFill>
        </w:rPr>
        <w:t>Background</w:t>
      </w:r>
    </w:p>
    <w:p w14:paraId="64BC13A1" w14:textId="77777777" w:rsidR="00303985" w:rsidRPr="00AB24D3" w:rsidRDefault="00303985" w:rsidP="001A5D4A">
      <w:pPr>
        <w:rPr>
          <w:color w:val="2D3E7B" w:themeColor="text2" w:themeShade="BF"/>
          <w:szCs w:val="22"/>
        </w:rPr>
      </w:pPr>
      <w:r w:rsidRPr="00AB24D3">
        <w:rPr>
          <w:color w:val="2D3E7B" w:themeColor="text2" w:themeShade="BF"/>
          <w:szCs w:val="22"/>
        </w:rPr>
        <w:t xml:space="preserve">Section 292 of </w:t>
      </w:r>
      <w:r w:rsidRPr="008657AE">
        <w:rPr>
          <w:i/>
          <w:color w:val="2D3E7B" w:themeColor="text2" w:themeShade="BF"/>
          <w:szCs w:val="22"/>
        </w:rPr>
        <w:t>Corporations Act 2001</w:t>
      </w:r>
      <w:r w:rsidRPr="00AB24D3">
        <w:rPr>
          <w:color w:val="2D3E7B" w:themeColor="text2" w:themeShade="BF"/>
          <w:szCs w:val="22"/>
        </w:rPr>
        <w:t xml:space="preserve"> requires all disclosing entities, public companies and large proprietary companies to prepare a directors’ report for each financial year. A directors’ report is required for proprietary companies (privately owned) that meet 2 of the 3 requirements of having a consolidated gross operating revenue of $25m or more; consolidated gross assets value of $12.5m or more; and 50 or more employees in the consolidated entity. The directors of Australian Government authorities are required under Part 2-3, Division 4of </w:t>
      </w:r>
      <w:r w:rsidRPr="008657AE">
        <w:rPr>
          <w:i/>
          <w:color w:val="2D3E7B" w:themeColor="text2" w:themeShade="BF"/>
          <w:szCs w:val="22"/>
        </w:rPr>
        <w:t>Public Governance, Performance and Accountability Act 2013</w:t>
      </w:r>
      <w:r w:rsidRPr="00AB24D3">
        <w:rPr>
          <w:color w:val="2D3E7B" w:themeColor="text2" w:themeShade="BF"/>
          <w:szCs w:val="22"/>
        </w:rPr>
        <w:t xml:space="preserve"> to prepare and provide a report of the entity’s operations in accordance with the Finance Minister’s Orders.</w:t>
      </w:r>
    </w:p>
    <w:p w14:paraId="1E4A04FF" w14:textId="77777777" w:rsidR="00303985" w:rsidRPr="00AB24D3" w:rsidRDefault="00303985" w:rsidP="00AB24D3">
      <w:pPr>
        <w:pStyle w:val="Heading4"/>
        <w:rPr>
          <w:color w:val="2D3E7B" w:themeColor="text2" w:themeShade="BF"/>
          <w14:textFill>
            <w14:solidFill>
              <w14:schemeClr w14:val="tx2">
                <w14:lumMod w14:val="75000"/>
                <w14:lumMod w14:val="75000"/>
              </w14:schemeClr>
            </w14:solidFill>
          </w14:textFill>
        </w:rPr>
      </w:pPr>
      <w:r w:rsidRPr="00AB24D3">
        <w:rPr>
          <w:color w:val="2D3E7B" w:themeColor="text2" w:themeShade="BF"/>
          <w14:textFill>
            <w14:solidFill>
              <w14:schemeClr w14:val="tx2">
                <w14:lumMod w14:val="75000"/>
                <w14:lumMod w14:val="75000"/>
              </w14:schemeClr>
            </w14:solidFill>
          </w14:textFill>
        </w:rPr>
        <w:t>Review of operations</w:t>
      </w:r>
    </w:p>
    <w:p w14:paraId="18AE67A2" w14:textId="77777777" w:rsidR="00303985" w:rsidRPr="00AB24D3" w:rsidRDefault="00303985" w:rsidP="009304CF">
      <w:pPr>
        <w:pStyle w:val="Heading6"/>
      </w:pPr>
      <w:r w:rsidRPr="00AB24D3">
        <w:t>CA299.1a</w:t>
      </w:r>
    </w:p>
    <w:p w14:paraId="75CA5FC8" w14:textId="77777777" w:rsidR="00303985" w:rsidRPr="00AB24D3" w:rsidRDefault="00303985" w:rsidP="001A5D4A">
      <w:pPr>
        <w:rPr>
          <w:color w:val="2D3E7B" w:themeColor="text2" w:themeShade="BF"/>
          <w:szCs w:val="22"/>
        </w:rPr>
      </w:pPr>
      <w:r w:rsidRPr="00AB24D3">
        <w:rPr>
          <w:color w:val="2D3E7B" w:themeColor="text2" w:themeShade="BF"/>
          <w:szCs w:val="22"/>
        </w:rPr>
        <w:t xml:space="preserve">The Department of Education requirement is to present a review of the operations of the HEP and the results of those operations. The above example disclosure is based on the requirements under the </w:t>
      </w:r>
      <w:r w:rsidRPr="008657AE">
        <w:rPr>
          <w:i/>
          <w:color w:val="2D3E7B" w:themeColor="text2" w:themeShade="BF"/>
          <w:szCs w:val="22"/>
        </w:rPr>
        <w:t>Corporations Act 2001</w:t>
      </w:r>
      <w:r w:rsidRPr="00AB24D3">
        <w:rPr>
          <w:color w:val="2D3E7B" w:themeColor="text2" w:themeShade="BF"/>
          <w:szCs w:val="22"/>
        </w:rPr>
        <w:t xml:space="preserve"> s298-300. Even though the </w:t>
      </w:r>
      <w:r w:rsidRPr="009B1E46">
        <w:rPr>
          <w:i/>
          <w:color w:val="2D3E7B" w:themeColor="text2" w:themeShade="BF"/>
          <w:szCs w:val="22"/>
        </w:rPr>
        <w:t>Corporations Act</w:t>
      </w:r>
      <w:r w:rsidRPr="00AB24D3">
        <w:rPr>
          <w:color w:val="2D3E7B" w:themeColor="text2" w:themeShade="BF"/>
          <w:szCs w:val="22"/>
        </w:rPr>
        <w:t xml:space="preserve"> may not be applicable to a HEP, this disclosure is recommended as good practice.</w:t>
      </w:r>
    </w:p>
    <w:p w14:paraId="6FC962C1" w14:textId="77777777" w:rsidR="00303985" w:rsidRPr="00AB24D3" w:rsidRDefault="00303985" w:rsidP="00AB24D3">
      <w:pPr>
        <w:pStyle w:val="Heading4"/>
        <w:rPr>
          <w:color w:val="2D3E7B" w:themeColor="text2" w:themeShade="BF"/>
          <w14:textFill>
            <w14:solidFill>
              <w14:schemeClr w14:val="tx2">
                <w14:lumMod w14:val="75000"/>
                <w14:lumMod w14:val="75000"/>
              </w14:schemeClr>
            </w14:solidFill>
          </w14:textFill>
        </w:rPr>
      </w:pPr>
      <w:r w:rsidRPr="00AB24D3">
        <w:rPr>
          <w:color w:val="2D3E7B" w:themeColor="text2" w:themeShade="BF"/>
          <w14:textFill>
            <w14:solidFill>
              <w14:schemeClr w14:val="tx2">
                <w14:lumMod w14:val="75000"/>
                <w14:lumMod w14:val="75000"/>
              </w14:schemeClr>
            </w14:solidFill>
          </w14:textFill>
        </w:rPr>
        <w:t>Environmental regulation</w:t>
      </w:r>
    </w:p>
    <w:p w14:paraId="1BDE83EC" w14:textId="77777777" w:rsidR="00303985" w:rsidRPr="00AB24D3" w:rsidRDefault="00303985" w:rsidP="009304CF">
      <w:pPr>
        <w:pStyle w:val="Heading6"/>
      </w:pPr>
      <w:r w:rsidRPr="00AB24D3">
        <w:t>CA299.1f</w:t>
      </w:r>
    </w:p>
    <w:p w14:paraId="4277A750" w14:textId="77777777" w:rsidR="00303985" w:rsidRPr="00AB24D3" w:rsidRDefault="00303985" w:rsidP="001A5D4A">
      <w:pPr>
        <w:rPr>
          <w:color w:val="2D3E7B" w:themeColor="text2" w:themeShade="BF"/>
          <w:szCs w:val="22"/>
        </w:rPr>
      </w:pPr>
      <w:r w:rsidRPr="00AB24D3">
        <w:rPr>
          <w:color w:val="2D3E7B" w:themeColor="text2" w:themeShade="BF"/>
          <w:szCs w:val="22"/>
        </w:rPr>
        <w:t>If the consolidated entity’s operations are subject to any particular and significant environmental regulation under an Australian Government, State or Territory law, details of the consolidated entity’s performance in relation to environmental regulation must be disclosed.</w:t>
      </w:r>
    </w:p>
    <w:p w14:paraId="035A72D8" w14:textId="7508C5CF" w:rsidR="00303985" w:rsidRPr="00AB24D3" w:rsidRDefault="00303985" w:rsidP="00AB24D3">
      <w:pPr>
        <w:pStyle w:val="Heading4"/>
        <w:rPr>
          <w:color w:val="2D3E7B" w:themeColor="text2" w:themeShade="BF"/>
          <w14:textFill>
            <w14:solidFill>
              <w14:schemeClr w14:val="tx2">
                <w14:lumMod w14:val="75000"/>
                <w14:lumMod w14:val="75000"/>
              </w14:schemeClr>
            </w14:solidFill>
          </w14:textFill>
        </w:rPr>
      </w:pPr>
      <w:r w:rsidRPr="00AB24D3">
        <w:rPr>
          <w:color w:val="2D3E7B" w:themeColor="text2" w:themeShade="BF"/>
          <w14:textFill>
            <w14:solidFill>
              <w14:schemeClr w14:val="tx2">
                <w14:lumMod w14:val="75000"/>
                <w14:lumMod w14:val="75000"/>
              </w14:schemeClr>
            </w14:solidFill>
          </w14:textFill>
        </w:rPr>
        <w:t>Meetings of members</w:t>
      </w:r>
    </w:p>
    <w:p w14:paraId="3FF48696" w14:textId="77777777" w:rsidR="00303985" w:rsidRPr="00AB24D3" w:rsidRDefault="00303985" w:rsidP="009304CF">
      <w:pPr>
        <w:pStyle w:val="Heading6"/>
      </w:pPr>
      <w:r w:rsidRPr="00AB24D3">
        <w:t>CA300.10</w:t>
      </w:r>
    </w:p>
    <w:p w14:paraId="22DBF239" w14:textId="77777777" w:rsidR="00303985" w:rsidRPr="00AB24D3" w:rsidRDefault="00303985" w:rsidP="001A5D4A">
      <w:pPr>
        <w:rPr>
          <w:color w:val="2D3E7B" w:themeColor="text2" w:themeShade="BF"/>
          <w:szCs w:val="22"/>
        </w:rPr>
      </w:pPr>
      <w:r w:rsidRPr="00AB24D3">
        <w:rPr>
          <w:color w:val="2D3E7B" w:themeColor="text2" w:themeShade="BF"/>
          <w:szCs w:val="22"/>
        </w:rPr>
        <w:t>HEPs must include the following information about meetings of members:</w:t>
      </w:r>
    </w:p>
    <w:p w14:paraId="6AE8445A" w14:textId="77777777" w:rsidR="00303985" w:rsidRPr="00AB24D3" w:rsidRDefault="00303985" w:rsidP="001A5D4A">
      <w:pPr>
        <w:pStyle w:val="ListParagraph"/>
        <w:numPr>
          <w:ilvl w:val="0"/>
          <w:numId w:val="8"/>
        </w:numPr>
        <w:rPr>
          <w:color w:val="2D3E7B" w:themeColor="text2" w:themeShade="BF"/>
          <w:szCs w:val="22"/>
        </w:rPr>
      </w:pPr>
      <w:r w:rsidRPr="00AB24D3">
        <w:rPr>
          <w:color w:val="2D3E7B" w:themeColor="text2" w:themeShade="BF"/>
          <w:szCs w:val="22"/>
        </w:rPr>
        <w:t>the number of meetings of the board of members held during the year and each member’s attendance at those meetings; and</w:t>
      </w:r>
    </w:p>
    <w:p w14:paraId="6B93341E" w14:textId="77777777" w:rsidR="00303985" w:rsidRPr="00AB24D3" w:rsidRDefault="00303985" w:rsidP="001A5D4A">
      <w:pPr>
        <w:pStyle w:val="ListParagraph"/>
        <w:numPr>
          <w:ilvl w:val="0"/>
          <w:numId w:val="8"/>
        </w:numPr>
        <w:rPr>
          <w:color w:val="2D3E7B" w:themeColor="text2" w:themeShade="BF"/>
          <w:szCs w:val="22"/>
        </w:rPr>
      </w:pPr>
      <w:proofErr w:type="gramStart"/>
      <w:r w:rsidRPr="00AB24D3">
        <w:rPr>
          <w:color w:val="2D3E7B" w:themeColor="text2" w:themeShade="BF"/>
          <w:szCs w:val="22"/>
        </w:rPr>
        <w:t>the</w:t>
      </w:r>
      <w:proofErr w:type="gramEnd"/>
      <w:r w:rsidRPr="00AB24D3">
        <w:rPr>
          <w:color w:val="2D3E7B" w:themeColor="text2" w:themeShade="BF"/>
          <w:szCs w:val="22"/>
        </w:rPr>
        <w:t xml:space="preserve"> number of meetings of each board committee held during the year and each member’s attendance at those meetings.</w:t>
      </w:r>
    </w:p>
    <w:p w14:paraId="094353AB" w14:textId="77777777" w:rsidR="00303985" w:rsidRPr="00AB24D3" w:rsidRDefault="00303985" w:rsidP="009304CF">
      <w:pPr>
        <w:pStyle w:val="Heading6"/>
      </w:pPr>
      <w:r w:rsidRPr="00AB24D3">
        <w:t>CA298.2</w:t>
      </w:r>
    </w:p>
    <w:p w14:paraId="76ED88D5" w14:textId="77777777" w:rsidR="00303985" w:rsidRPr="00AB24D3" w:rsidRDefault="00303985" w:rsidP="00303985">
      <w:pPr>
        <w:rPr>
          <w:color w:val="2D3E7B" w:themeColor="text2" w:themeShade="BF"/>
          <w:szCs w:val="22"/>
        </w:rPr>
      </w:pPr>
      <w:r w:rsidRPr="00AB24D3">
        <w:rPr>
          <w:color w:val="2D3E7B" w:themeColor="text2" w:themeShade="BF"/>
          <w:szCs w:val="22"/>
        </w:rPr>
        <w:t>Dating and signing of report</w:t>
      </w:r>
    </w:p>
    <w:p w14:paraId="11A738AF" w14:textId="77777777" w:rsidR="00303985" w:rsidRPr="00AB24D3" w:rsidRDefault="00303985" w:rsidP="00303985">
      <w:pPr>
        <w:rPr>
          <w:szCs w:val="22"/>
        </w:rPr>
      </w:pPr>
      <w:r w:rsidRPr="00AB24D3">
        <w:rPr>
          <w:color w:val="2D3E7B" w:themeColor="text2" w:themeShade="BF"/>
          <w:szCs w:val="22"/>
        </w:rPr>
        <w:t>The members’ report must be made in accordance with a resolution of the members, specify the date on which it was made and be signed by a member.</w:t>
      </w:r>
      <w:r w:rsidRPr="00AB24D3">
        <w:rPr>
          <w:szCs w:val="22"/>
        </w:rPr>
        <w:br w:type="page"/>
      </w:r>
    </w:p>
    <w:p w14:paraId="0860AC15" w14:textId="65BA11CA" w:rsidR="00F75DAC" w:rsidRPr="00F75DAC" w:rsidRDefault="00F75DAC" w:rsidP="00F75DAC">
      <w:pPr>
        <w:pStyle w:val="Heading1"/>
      </w:pPr>
      <w:bookmarkStart w:id="121" w:name="_Toc410807591"/>
      <w:bookmarkStart w:id="122" w:name="_Toc410822641"/>
      <w:bookmarkStart w:id="123" w:name="_Toc410823800"/>
      <w:bookmarkStart w:id="124" w:name="_Toc410825036"/>
      <w:bookmarkStart w:id="125" w:name="_Toc410825186"/>
      <w:bookmarkStart w:id="126" w:name="_Toc411854281"/>
      <w:bookmarkStart w:id="127" w:name="_Toc411854314"/>
      <w:r w:rsidRPr="00F75DAC">
        <w:lastRenderedPageBreak/>
        <w:t>[Australian Higher Education Provider]</w:t>
      </w:r>
      <w:bookmarkStart w:id="128" w:name="_Toc398721457"/>
      <w:bookmarkStart w:id="129" w:name="_Toc398721484"/>
      <w:bookmarkStart w:id="130" w:name="_Toc398721545"/>
      <w:bookmarkStart w:id="131" w:name="_Toc398721842"/>
      <w:bookmarkStart w:id="132" w:name="_Toc398721996"/>
      <w:bookmarkStart w:id="133" w:name="_Toc398729915"/>
      <w:bookmarkStart w:id="134" w:name="_Toc398731114"/>
      <w:bookmarkStart w:id="135" w:name="_Toc398731402"/>
      <w:bookmarkStart w:id="136" w:name="_Toc398731779"/>
      <w:bookmarkStart w:id="137" w:name="_Toc406751410"/>
      <w:r w:rsidRPr="00F75DAC">
        <w:br/>
        <w:t xml:space="preserve">Annual financial report – 31 December </w:t>
      </w:r>
      <w:bookmarkEnd w:id="128"/>
      <w:bookmarkEnd w:id="129"/>
      <w:bookmarkEnd w:id="130"/>
      <w:bookmarkEnd w:id="131"/>
      <w:bookmarkEnd w:id="132"/>
      <w:bookmarkEnd w:id="133"/>
      <w:bookmarkEnd w:id="134"/>
      <w:bookmarkEnd w:id="135"/>
      <w:bookmarkEnd w:id="136"/>
      <w:r w:rsidRPr="00F75DAC">
        <w:t>2014</w:t>
      </w:r>
      <w:bookmarkEnd w:id="121"/>
      <w:bookmarkEnd w:id="122"/>
      <w:bookmarkEnd w:id="123"/>
      <w:bookmarkEnd w:id="124"/>
      <w:bookmarkEnd w:id="125"/>
      <w:bookmarkEnd w:id="137"/>
      <w:bookmarkEnd w:id="126"/>
      <w:bookmarkEnd w:id="127"/>
    </w:p>
    <w:p w14:paraId="539214CE" w14:textId="77777777" w:rsidR="00EE1EF0" w:rsidRPr="00EE1EF0" w:rsidRDefault="00EE1EF0" w:rsidP="00F7693F">
      <w:pPr>
        <w:pStyle w:val="Heading4"/>
      </w:pPr>
      <w:r w:rsidRPr="00EE1EF0">
        <w:t>Mandatory</w:t>
      </w:r>
    </w:p>
    <w:p w14:paraId="15ED42D8" w14:textId="77777777" w:rsidR="00F75DAC" w:rsidRPr="00EE1EF0" w:rsidRDefault="00F75DAC" w:rsidP="00E41510">
      <w:pPr>
        <w:pStyle w:val="Heading5"/>
      </w:pPr>
      <w:r w:rsidRPr="00EE1EF0">
        <w:t>AASB101.49</w:t>
      </w:r>
      <w:proofErr w:type="gramStart"/>
      <w:r w:rsidRPr="00EE1EF0">
        <w:t>,51a</w:t>
      </w:r>
      <w:proofErr w:type="gramEnd"/>
    </w:p>
    <w:p w14:paraId="198B7385" w14:textId="54DB9663" w:rsidR="00E41510" w:rsidRDefault="00EA2CDA" w:rsidP="00E41510">
      <w:pPr>
        <w:pStyle w:val="Heading3"/>
        <w:rPr>
          <w:noProof/>
        </w:rPr>
      </w:pPr>
      <w:r w:rsidRPr="00EE1EF0">
        <w:t>Contents</w:t>
      </w:r>
      <w:r w:rsidR="00AA28A1">
        <w:rPr>
          <w:rFonts w:asciiTheme="minorHAnsi" w:eastAsiaTheme="minorEastAsia" w:hAnsiTheme="minorHAnsi" w:cstheme="minorHAnsi"/>
          <w:sz w:val="20"/>
          <w:szCs w:val="20"/>
        </w:rPr>
        <w:fldChar w:fldCharType="begin"/>
      </w:r>
      <w:r w:rsidR="00AA28A1">
        <w:instrText xml:space="preserve"> TOC \o "1-1" \u </w:instrText>
      </w:r>
      <w:r w:rsidR="00AA28A1">
        <w:rPr>
          <w:rFonts w:asciiTheme="minorHAnsi" w:eastAsiaTheme="minorEastAsia" w:hAnsiTheme="minorHAnsi" w:cstheme="minorHAnsi"/>
          <w:sz w:val="20"/>
          <w:szCs w:val="20"/>
        </w:rPr>
        <w:fldChar w:fldCharType="separate"/>
      </w:r>
    </w:p>
    <w:p w14:paraId="69B2550A" w14:textId="77777777" w:rsidR="00E41510" w:rsidRDefault="00E41510">
      <w:pPr>
        <w:pStyle w:val="TOC1"/>
        <w:rPr>
          <w:rFonts w:cstheme="minorBidi"/>
          <w:b w:val="0"/>
          <w:bCs w:val="0"/>
          <w:noProof/>
          <w:sz w:val="22"/>
          <w:szCs w:val="22"/>
        </w:rPr>
      </w:pPr>
      <w:r>
        <w:rPr>
          <w:noProof/>
        </w:rPr>
        <w:t>Income statement</w:t>
      </w:r>
      <w:r>
        <w:rPr>
          <w:noProof/>
        </w:rPr>
        <w:tab/>
      </w:r>
      <w:r>
        <w:rPr>
          <w:noProof/>
        </w:rPr>
        <w:fldChar w:fldCharType="begin"/>
      </w:r>
      <w:r>
        <w:rPr>
          <w:noProof/>
        </w:rPr>
        <w:instrText xml:space="preserve"> PAGEREF _Toc411854315 \h </w:instrText>
      </w:r>
      <w:r>
        <w:rPr>
          <w:noProof/>
        </w:rPr>
      </w:r>
      <w:r>
        <w:rPr>
          <w:noProof/>
        </w:rPr>
        <w:fldChar w:fldCharType="separate"/>
      </w:r>
      <w:r w:rsidR="002168F3">
        <w:rPr>
          <w:noProof/>
        </w:rPr>
        <w:t>14</w:t>
      </w:r>
      <w:r>
        <w:rPr>
          <w:noProof/>
        </w:rPr>
        <w:fldChar w:fldCharType="end"/>
      </w:r>
    </w:p>
    <w:p w14:paraId="79754063" w14:textId="77777777" w:rsidR="00E41510" w:rsidRDefault="00E41510">
      <w:pPr>
        <w:pStyle w:val="TOC1"/>
        <w:rPr>
          <w:rFonts w:cstheme="minorBidi"/>
          <w:b w:val="0"/>
          <w:bCs w:val="0"/>
          <w:noProof/>
          <w:sz w:val="22"/>
          <w:szCs w:val="22"/>
        </w:rPr>
      </w:pPr>
      <w:r>
        <w:rPr>
          <w:noProof/>
        </w:rPr>
        <w:t>Statement of Comprehensive Income</w:t>
      </w:r>
      <w:r>
        <w:rPr>
          <w:noProof/>
        </w:rPr>
        <w:tab/>
      </w:r>
      <w:r>
        <w:rPr>
          <w:noProof/>
        </w:rPr>
        <w:fldChar w:fldCharType="begin"/>
      </w:r>
      <w:r>
        <w:rPr>
          <w:noProof/>
        </w:rPr>
        <w:instrText xml:space="preserve"> PAGEREF _Toc411854316 \h </w:instrText>
      </w:r>
      <w:r>
        <w:rPr>
          <w:noProof/>
        </w:rPr>
      </w:r>
      <w:r>
        <w:rPr>
          <w:noProof/>
        </w:rPr>
        <w:fldChar w:fldCharType="separate"/>
      </w:r>
      <w:r w:rsidR="002168F3">
        <w:rPr>
          <w:noProof/>
        </w:rPr>
        <w:t>15</w:t>
      </w:r>
      <w:r>
        <w:rPr>
          <w:noProof/>
        </w:rPr>
        <w:fldChar w:fldCharType="end"/>
      </w:r>
    </w:p>
    <w:p w14:paraId="22341B6A" w14:textId="77777777" w:rsidR="00E41510" w:rsidRDefault="00E41510">
      <w:pPr>
        <w:pStyle w:val="TOC1"/>
        <w:rPr>
          <w:rFonts w:cstheme="minorBidi"/>
          <w:b w:val="0"/>
          <w:bCs w:val="0"/>
          <w:noProof/>
          <w:sz w:val="22"/>
          <w:szCs w:val="22"/>
        </w:rPr>
      </w:pPr>
      <w:r>
        <w:rPr>
          <w:noProof/>
        </w:rPr>
        <w:t>Statement of Financial Position</w:t>
      </w:r>
      <w:r>
        <w:rPr>
          <w:noProof/>
        </w:rPr>
        <w:tab/>
      </w:r>
      <w:r>
        <w:rPr>
          <w:noProof/>
        </w:rPr>
        <w:fldChar w:fldCharType="begin"/>
      </w:r>
      <w:r>
        <w:rPr>
          <w:noProof/>
        </w:rPr>
        <w:instrText xml:space="preserve"> PAGEREF _Toc411854317 \h </w:instrText>
      </w:r>
      <w:r>
        <w:rPr>
          <w:noProof/>
        </w:rPr>
      </w:r>
      <w:r>
        <w:rPr>
          <w:noProof/>
        </w:rPr>
        <w:fldChar w:fldCharType="separate"/>
      </w:r>
      <w:r w:rsidR="002168F3">
        <w:rPr>
          <w:noProof/>
        </w:rPr>
        <w:t>20</w:t>
      </w:r>
      <w:r>
        <w:rPr>
          <w:noProof/>
        </w:rPr>
        <w:fldChar w:fldCharType="end"/>
      </w:r>
    </w:p>
    <w:p w14:paraId="440C7851" w14:textId="77777777" w:rsidR="00E41510" w:rsidRDefault="00E41510">
      <w:pPr>
        <w:pStyle w:val="TOC1"/>
        <w:rPr>
          <w:rFonts w:cstheme="minorBidi"/>
          <w:b w:val="0"/>
          <w:bCs w:val="0"/>
          <w:noProof/>
          <w:sz w:val="22"/>
          <w:szCs w:val="22"/>
        </w:rPr>
      </w:pPr>
      <w:r>
        <w:rPr>
          <w:noProof/>
        </w:rPr>
        <w:t>Statement of Changes in Equity</w:t>
      </w:r>
      <w:r>
        <w:rPr>
          <w:noProof/>
        </w:rPr>
        <w:tab/>
      </w:r>
      <w:r>
        <w:rPr>
          <w:noProof/>
        </w:rPr>
        <w:fldChar w:fldCharType="begin"/>
      </w:r>
      <w:r>
        <w:rPr>
          <w:noProof/>
        </w:rPr>
        <w:instrText xml:space="preserve"> PAGEREF _Toc411854318 \h </w:instrText>
      </w:r>
      <w:r>
        <w:rPr>
          <w:noProof/>
        </w:rPr>
      </w:r>
      <w:r>
        <w:rPr>
          <w:noProof/>
        </w:rPr>
        <w:fldChar w:fldCharType="separate"/>
      </w:r>
      <w:r w:rsidR="002168F3">
        <w:rPr>
          <w:noProof/>
        </w:rPr>
        <w:t>24</w:t>
      </w:r>
      <w:r>
        <w:rPr>
          <w:noProof/>
        </w:rPr>
        <w:fldChar w:fldCharType="end"/>
      </w:r>
    </w:p>
    <w:p w14:paraId="2D7087DB" w14:textId="77777777" w:rsidR="00E41510" w:rsidRDefault="00E41510">
      <w:pPr>
        <w:pStyle w:val="TOC1"/>
        <w:rPr>
          <w:rFonts w:cstheme="minorBidi"/>
          <w:b w:val="0"/>
          <w:bCs w:val="0"/>
          <w:noProof/>
          <w:sz w:val="22"/>
          <w:szCs w:val="22"/>
        </w:rPr>
      </w:pPr>
      <w:r>
        <w:rPr>
          <w:noProof/>
        </w:rPr>
        <w:t>Statement of Cash Flows</w:t>
      </w:r>
      <w:r>
        <w:rPr>
          <w:noProof/>
        </w:rPr>
        <w:tab/>
      </w:r>
      <w:r>
        <w:rPr>
          <w:noProof/>
        </w:rPr>
        <w:fldChar w:fldCharType="begin"/>
      </w:r>
      <w:r>
        <w:rPr>
          <w:noProof/>
        </w:rPr>
        <w:instrText xml:space="preserve"> PAGEREF _Toc411854319 \h </w:instrText>
      </w:r>
      <w:r>
        <w:rPr>
          <w:noProof/>
        </w:rPr>
      </w:r>
      <w:r>
        <w:rPr>
          <w:noProof/>
        </w:rPr>
        <w:fldChar w:fldCharType="separate"/>
      </w:r>
      <w:r w:rsidR="002168F3">
        <w:rPr>
          <w:noProof/>
        </w:rPr>
        <w:t>27</w:t>
      </w:r>
      <w:r>
        <w:rPr>
          <w:noProof/>
        </w:rPr>
        <w:fldChar w:fldCharType="end"/>
      </w:r>
    </w:p>
    <w:p w14:paraId="51189A86" w14:textId="77777777" w:rsidR="00E41510" w:rsidRDefault="00E41510">
      <w:pPr>
        <w:pStyle w:val="TOC1"/>
        <w:rPr>
          <w:rFonts w:cstheme="minorBidi"/>
          <w:b w:val="0"/>
          <w:bCs w:val="0"/>
          <w:noProof/>
          <w:sz w:val="22"/>
          <w:szCs w:val="22"/>
        </w:rPr>
      </w:pPr>
      <w:r>
        <w:rPr>
          <w:noProof/>
        </w:rPr>
        <w:t>Notes to the financial statements</w:t>
      </w:r>
      <w:r>
        <w:rPr>
          <w:noProof/>
        </w:rPr>
        <w:tab/>
      </w:r>
      <w:r>
        <w:rPr>
          <w:noProof/>
        </w:rPr>
        <w:fldChar w:fldCharType="begin"/>
      </w:r>
      <w:r>
        <w:rPr>
          <w:noProof/>
        </w:rPr>
        <w:instrText xml:space="preserve"> PAGEREF _Toc411854320 \h </w:instrText>
      </w:r>
      <w:r>
        <w:rPr>
          <w:noProof/>
        </w:rPr>
      </w:r>
      <w:r>
        <w:rPr>
          <w:noProof/>
        </w:rPr>
        <w:fldChar w:fldCharType="separate"/>
      </w:r>
      <w:r w:rsidR="002168F3">
        <w:rPr>
          <w:noProof/>
        </w:rPr>
        <w:t>30</w:t>
      </w:r>
      <w:r>
        <w:rPr>
          <w:noProof/>
        </w:rPr>
        <w:fldChar w:fldCharType="end"/>
      </w:r>
    </w:p>
    <w:p w14:paraId="37ECE8D6" w14:textId="77777777" w:rsidR="00E41510" w:rsidRDefault="00E41510">
      <w:pPr>
        <w:pStyle w:val="TOC1"/>
        <w:rPr>
          <w:rFonts w:cstheme="minorBidi"/>
          <w:b w:val="0"/>
          <w:bCs w:val="0"/>
          <w:noProof/>
          <w:sz w:val="22"/>
          <w:szCs w:val="22"/>
        </w:rPr>
      </w:pPr>
      <w:r>
        <w:rPr>
          <w:noProof/>
        </w:rPr>
        <w:t>Certifications</w:t>
      </w:r>
      <w:r>
        <w:rPr>
          <w:noProof/>
        </w:rPr>
        <w:tab/>
      </w:r>
      <w:r>
        <w:rPr>
          <w:noProof/>
        </w:rPr>
        <w:fldChar w:fldCharType="begin"/>
      </w:r>
      <w:r>
        <w:rPr>
          <w:noProof/>
        </w:rPr>
        <w:instrText xml:space="preserve"> PAGEREF _Toc411854321 \h </w:instrText>
      </w:r>
      <w:r>
        <w:rPr>
          <w:noProof/>
        </w:rPr>
      </w:r>
      <w:r>
        <w:rPr>
          <w:noProof/>
        </w:rPr>
        <w:fldChar w:fldCharType="separate"/>
      </w:r>
      <w:r w:rsidR="002168F3">
        <w:rPr>
          <w:noProof/>
        </w:rPr>
        <w:t>167</w:t>
      </w:r>
      <w:r>
        <w:rPr>
          <w:noProof/>
        </w:rPr>
        <w:fldChar w:fldCharType="end"/>
      </w:r>
    </w:p>
    <w:p w14:paraId="16AD31A3" w14:textId="77777777" w:rsidR="00E41510" w:rsidRDefault="00E41510">
      <w:pPr>
        <w:pStyle w:val="TOC1"/>
        <w:rPr>
          <w:rFonts w:cstheme="minorBidi"/>
          <w:b w:val="0"/>
          <w:bCs w:val="0"/>
          <w:noProof/>
          <w:sz w:val="22"/>
          <w:szCs w:val="22"/>
        </w:rPr>
      </w:pPr>
      <w:r>
        <w:rPr>
          <w:noProof/>
        </w:rPr>
        <w:t>Auditor’s report</w:t>
      </w:r>
      <w:r>
        <w:rPr>
          <w:noProof/>
        </w:rPr>
        <w:tab/>
      </w:r>
      <w:r>
        <w:rPr>
          <w:noProof/>
        </w:rPr>
        <w:fldChar w:fldCharType="begin"/>
      </w:r>
      <w:r>
        <w:rPr>
          <w:noProof/>
        </w:rPr>
        <w:instrText xml:space="preserve"> PAGEREF _Toc411854322 \h </w:instrText>
      </w:r>
      <w:r>
        <w:rPr>
          <w:noProof/>
        </w:rPr>
      </w:r>
      <w:r>
        <w:rPr>
          <w:noProof/>
        </w:rPr>
        <w:fldChar w:fldCharType="separate"/>
      </w:r>
      <w:r w:rsidR="002168F3">
        <w:rPr>
          <w:noProof/>
        </w:rPr>
        <w:t>168</w:t>
      </w:r>
      <w:r>
        <w:rPr>
          <w:noProof/>
        </w:rPr>
        <w:fldChar w:fldCharType="end"/>
      </w:r>
    </w:p>
    <w:p w14:paraId="0D55F02B" w14:textId="77777777" w:rsidR="00E41510" w:rsidRDefault="00E41510">
      <w:pPr>
        <w:pStyle w:val="TOC1"/>
        <w:rPr>
          <w:rFonts w:cstheme="minorBidi"/>
          <w:b w:val="0"/>
          <w:bCs w:val="0"/>
          <w:noProof/>
          <w:sz w:val="22"/>
          <w:szCs w:val="22"/>
        </w:rPr>
      </w:pPr>
      <w:r>
        <w:rPr>
          <w:noProof/>
        </w:rPr>
        <w:t>Freedom of Information</w:t>
      </w:r>
      <w:r>
        <w:rPr>
          <w:noProof/>
        </w:rPr>
        <w:tab/>
      </w:r>
      <w:r>
        <w:rPr>
          <w:noProof/>
        </w:rPr>
        <w:fldChar w:fldCharType="begin"/>
      </w:r>
      <w:r>
        <w:rPr>
          <w:noProof/>
        </w:rPr>
        <w:instrText xml:space="preserve"> PAGEREF _Toc411854323 \h </w:instrText>
      </w:r>
      <w:r>
        <w:rPr>
          <w:noProof/>
        </w:rPr>
      </w:r>
      <w:r>
        <w:rPr>
          <w:noProof/>
        </w:rPr>
        <w:fldChar w:fldCharType="separate"/>
      </w:r>
      <w:r w:rsidR="002168F3">
        <w:rPr>
          <w:noProof/>
        </w:rPr>
        <w:t>169</w:t>
      </w:r>
      <w:r>
        <w:rPr>
          <w:noProof/>
        </w:rPr>
        <w:fldChar w:fldCharType="end"/>
      </w:r>
    </w:p>
    <w:p w14:paraId="34EB4CB5" w14:textId="77777777" w:rsidR="00E41510" w:rsidRDefault="00E41510">
      <w:pPr>
        <w:pStyle w:val="TOC1"/>
        <w:rPr>
          <w:rFonts w:cstheme="minorBidi"/>
          <w:b w:val="0"/>
          <w:bCs w:val="0"/>
          <w:noProof/>
          <w:sz w:val="22"/>
          <w:szCs w:val="22"/>
        </w:rPr>
      </w:pPr>
      <w:r>
        <w:rPr>
          <w:noProof/>
        </w:rPr>
        <w:t>Privacy Notice</w:t>
      </w:r>
      <w:r>
        <w:rPr>
          <w:noProof/>
        </w:rPr>
        <w:tab/>
      </w:r>
      <w:r>
        <w:rPr>
          <w:noProof/>
        </w:rPr>
        <w:fldChar w:fldCharType="begin"/>
      </w:r>
      <w:r>
        <w:rPr>
          <w:noProof/>
        </w:rPr>
        <w:instrText xml:space="preserve"> PAGEREF _Toc411854324 \h </w:instrText>
      </w:r>
      <w:r>
        <w:rPr>
          <w:noProof/>
        </w:rPr>
      </w:r>
      <w:r>
        <w:rPr>
          <w:noProof/>
        </w:rPr>
        <w:fldChar w:fldCharType="separate"/>
      </w:r>
      <w:r w:rsidR="002168F3">
        <w:rPr>
          <w:noProof/>
        </w:rPr>
        <w:t>170</w:t>
      </w:r>
      <w:r>
        <w:rPr>
          <w:noProof/>
        </w:rPr>
        <w:fldChar w:fldCharType="end"/>
      </w:r>
    </w:p>
    <w:p w14:paraId="41EA803D" w14:textId="77777777" w:rsidR="00E41510" w:rsidRDefault="00E41510">
      <w:pPr>
        <w:pStyle w:val="TOC1"/>
        <w:rPr>
          <w:rFonts w:cstheme="minorBidi"/>
          <w:b w:val="0"/>
          <w:bCs w:val="0"/>
          <w:noProof/>
          <w:sz w:val="22"/>
          <w:szCs w:val="22"/>
        </w:rPr>
      </w:pPr>
      <w:r>
        <w:rPr>
          <w:noProof/>
        </w:rPr>
        <w:t>Appendix 1:Changes to the Guidelines as a result of AASB9</w:t>
      </w:r>
      <w:r>
        <w:rPr>
          <w:noProof/>
        </w:rPr>
        <w:tab/>
      </w:r>
      <w:r>
        <w:rPr>
          <w:noProof/>
        </w:rPr>
        <w:fldChar w:fldCharType="begin"/>
      </w:r>
      <w:r>
        <w:rPr>
          <w:noProof/>
        </w:rPr>
        <w:instrText xml:space="preserve"> PAGEREF _Toc411854325 \h </w:instrText>
      </w:r>
      <w:r>
        <w:rPr>
          <w:noProof/>
        </w:rPr>
      </w:r>
      <w:r>
        <w:rPr>
          <w:noProof/>
        </w:rPr>
        <w:fldChar w:fldCharType="separate"/>
      </w:r>
      <w:r w:rsidR="002168F3">
        <w:rPr>
          <w:noProof/>
        </w:rPr>
        <w:t>171</w:t>
      </w:r>
      <w:r>
        <w:rPr>
          <w:noProof/>
        </w:rPr>
        <w:fldChar w:fldCharType="end"/>
      </w:r>
    </w:p>
    <w:p w14:paraId="5F074E0C" w14:textId="480E7C07" w:rsidR="00F75DAC" w:rsidRDefault="00AA28A1" w:rsidP="00E41510">
      <w:pPr>
        <w:pStyle w:val="Heading5"/>
      </w:pPr>
      <w:r>
        <w:fldChar w:fldCharType="end"/>
      </w:r>
      <w:r w:rsidR="00F75DAC">
        <w:t>AASB110.17</w:t>
      </w:r>
    </w:p>
    <w:p w14:paraId="0389FC57" w14:textId="433CC505" w:rsidR="005354E5" w:rsidRPr="00AB24D3" w:rsidRDefault="00F75DAC" w:rsidP="002A3341">
      <w:pPr>
        <w:rPr>
          <w:szCs w:val="22"/>
        </w:rPr>
      </w:pPr>
      <w:r w:rsidRPr="00AB24D3">
        <w:rPr>
          <w:szCs w:val="22"/>
        </w:rPr>
        <w:t>The financial report was authorised for issue by the members on [date]. [HEP] has the power to amend and reissue the financial report.</w:t>
      </w:r>
      <w:r w:rsidR="005354E5" w:rsidRPr="00AB24D3">
        <w:rPr>
          <w:szCs w:val="22"/>
        </w:rPr>
        <w:br w:type="page"/>
      </w:r>
    </w:p>
    <w:p w14:paraId="22E4E91E" w14:textId="209ABAC2" w:rsidR="00180849" w:rsidRPr="00180849" w:rsidRDefault="00180849" w:rsidP="001A5D4A">
      <w:pPr>
        <w:pStyle w:val="Heading2"/>
        <w:rPr>
          <w:color w:val="2D3E7B" w:themeColor="text2" w:themeShade="BF"/>
        </w:rPr>
      </w:pPr>
      <w:bookmarkStart w:id="138" w:name="_Toc410807592"/>
      <w:bookmarkStart w:id="139" w:name="_Toc410822642"/>
      <w:bookmarkStart w:id="140" w:name="_Toc410823801"/>
      <w:bookmarkStart w:id="141" w:name="_Toc410825037"/>
      <w:bookmarkStart w:id="142" w:name="_Toc410825187"/>
      <w:r w:rsidRPr="00180849">
        <w:rPr>
          <w:color w:val="2D3E7B" w:themeColor="text2" w:themeShade="BF"/>
        </w:rPr>
        <w:lastRenderedPageBreak/>
        <w:t>Commentary - Financial Report</w:t>
      </w:r>
      <w:bookmarkEnd w:id="138"/>
      <w:bookmarkEnd w:id="139"/>
      <w:bookmarkEnd w:id="140"/>
      <w:bookmarkEnd w:id="141"/>
      <w:bookmarkEnd w:id="142"/>
    </w:p>
    <w:p w14:paraId="39DD7B2D" w14:textId="77777777" w:rsidR="00180849" w:rsidRPr="00AB24D3" w:rsidRDefault="00180849" w:rsidP="001A5D4A">
      <w:pPr>
        <w:pStyle w:val="Heading3"/>
        <w:rPr>
          <w:color w:val="2D3E7B" w:themeColor="text2" w:themeShade="BF"/>
        </w:rPr>
      </w:pPr>
      <w:r w:rsidRPr="00AB24D3">
        <w:rPr>
          <w:color w:val="2D3E7B" w:themeColor="text2" w:themeShade="BF"/>
        </w:rPr>
        <w:t>Accounting standard for financial report presentation and disclosures</w:t>
      </w:r>
    </w:p>
    <w:p w14:paraId="00CB3475" w14:textId="77777777" w:rsidR="00180849" w:rsidRPr="00AF68BD" w:rsidRDefault="00180849" w:rsidP="009304CF">
      <w:pPr>
        <w:pStyle w:val="Heading6"/>
      </w:pPr>
      <w:r w:rsidRPr="00AF68BD">
        <w:t>AASB101.Aus1.1</w:t>
      </w:r>
    </w:p>
    <w:p w14:paraId="0EA82E72" w14:textId="77777777" w:rsidR="00180849" w:rsidRPr="00AF68BD" w:rsidRDefault="00180849" w:rsidP="001A5D4A">
      <w:pPr>
        <w:rPr>
          <w:color w:val="2D3E7B" w:themeColor="text2" w:themeShade="BF"/>
          <w:szCs w:val="22"/>
        </w:rPr>
      </w:pPr>
      <w:r w:rsidRPr="00AF68BD">
        <w:rPr>
          <w:color w:val="2D3E7B" w:themeColor="text2" w:themeShade="BF"/>
          <w:szCs w:val="22"/>
        </w:rPr>
        <w:t xml:space="preserve">AASB101 </w:t>
      </w:r>
      <w:r w:rsidRPr="008657AE">
        <w:rPr>
          <w:i/>
          <w:color w:val="2D3E7B" w:themeColor="text2" w:themeShade="BF"/>
          <w:szCs w:val="22"/>
        </w:rPr>
        <w:t>Presentation of Financial Statements</w:t>
      </w:r>
      <w:r w:rsidRPr="00AF68BD">
        <w:rPr>
          <w:color w:val="2D3E7B" w:themeColor="text2" w:themeShade="BF"/>
          <w:szCs w:val="22"/>
        </w:rPr>
        <w:t xml:space="preserve"> applies to each entity that is required to prepare financial reports in accordance with Part 2M.3 of the </w:t>
      </w:r>
      <w:r w:rsidRPr="008657AE">
        <w:rPr>
          <w:i/>
          <w:color w:val="2D3E7B" w:themeColor="text2" w:themeShade="BF"/>
          <w:szCs w:val="22"/>
        </w:rPr>
        <w:t>Corporations Act 2001</w:t>
      </w:r>
      <w:r w:rsidRPr="00AF68BD">
        <w:rPr>
          <w:color w:val="2D3E7B" w:themeColor="text2" w:themeShade="BF"/>
          <w:szCs w:val="22"/>
        </w:rPr>
        <w:t xml:space="preserve">, general purpose financial reports of each reporting entity, and to financial reports that are, or are held out to be, general purpose financial reports. </w:t>
      </w:r>
    </w:p>
    <w:p w14:paraId="5FD0B3FC" w14:textId="77777777" w:rsidR="00180849" w:rsidRPr="00AB24D3" w:rsidRDefault="00180849" w:rsidP="001A5D4A">
      <w:pPr>
        <w:pStyle w:val="Heading3"/>
        <w:rPr>
          <w:color w:val="2D3E7B" w:themeColor="text2" w:themeShade="BF"/>
        </w:rPr>
      </w:pPr>
      <w:r w:rsidRPr="00AB24D3">
        <w:rPr>
          <w:color w:val="2D3E7B" w:themeColor="text2" w:themeShade="BF"/>
        </w:rPr>
        <w:t>General requirements for financial reports</w:t>
      </w:r>
    </w:p>
    <w:p w14:paraId="6495A163" w14:textId="77777777" w:rsidR="00180849" w:rsidRPr="00AF68BD" w:rsidRDefault="00180849" w:rsidP="009304CF">
      <w:pPr>
        <w:pStyle w:val="Heading6"/>
      </w:pPr>
      <w:r w:rsidRPr="00AF68BD">
        <w:t>AASB101.49</w:t>
      </w:r>
    </w:p>
    <w:p w14:paraId="5B5D40CF" w14:textId="77777777" w:rsidR="00180849" w:rsidRPr="00AB24D3" w:rsidRDefault="00180849" w:rsidP="001A5D4A">
      <w:pPr>
        <w:rPr>
          <w:color w:val="2D3E7B" w:themeColor="text2" w:themeShade="BF"/>
          <w:szCs w:val="22"/>
        </w:rPr>
      </w:pPr>
      <w:r w:rsidRPr="00AB24D3">
        <w:rPr>
          <w:color w:val="2D3E7B" w:themeColor="text2" w:themeShade="BF"/>
          <w:szCs w:val="22"/>
        </w:rPr>
        <w:t>The financial report shall be clearly identified and distinguished from other information in the same published document.</w:t>
      </w:r>
    </w:p>
    <w:p w14:paraId="7061B1C2" w14:textId="77777777" w:rsidR="00180849" w:rsidRPr="00AF68BD" w:rsidRDefault="00180849" w:rsidP="009304CF">
      <w:pPr>
        <w:pStyle w:val="Heading6"/>
      </w:pPr>
      <w:r w:rsidRPr="00AF68BD">
        <w:t>AASB101.51</w:t>
      </w:r>
    </w:p>
    <w:p w14:paraId="6EED6466" w14:textId="77777777" w:rsidR="00180849" w:rsidRPr="00AB24D3" w:rsidRDefault="00180849" w:rsidP="001A5D4A">
      <w:pPr>
        <w:rPr>
          <w:color w:val="2D3E7B" w:themeColor="text2" w:themeShade="BF"/>
          <w:szCs w:val="22"/>
        </w:rPr>
      </w:pPr>
      <w:r w:rsidRPr="00AB24D3">
        <w:rPr>
          <w:color w:val="2D3E7B" w:themeColor="text2" w:themeShade="BF"/>
          <w:szCs w:val="22"/>
        </w:rPr>
        <w:t>Each component of the financial report shall be identified clearly, and the following information shall be displayed prominently, and repeated when it is necessary for a proper understanding of the information presented:</w:t>
      </w:r>
    </w:p>
    <w:p w14:paraId="19FE31AE" w14:textId="2863F82F" w:rsidR="00180849" w:rsidRPr="00AB24D3" w:rsidRDefault="00180849" w:rsidP="008E1D9C">
      <w:pPr>
        <w:pStyle w:val="ListParagraph"/>
        <w:numPr>
          <w:ilvl w:val="0"/>
          <w:numId w:val="9"/>
        </w:numPr>
        <w:ind w:left="340" w:hanging="340"/>
        <w:rPr>
          <w:color w:val="2D3E7B" w:themeColor="text2" w:themeShade="BF"/>
          <w:szCs w:val="22"/>
        </w:rPr>
      </w:pPr>
      <w:r w:rsidRPr="00AB24D3">
        <w:rPr>
          <w:color w:val="2D3E7B" w:themeColor="text2" w:themeShade="BF"/>
          <w:szCs w:val="22"/>
        </w:rPr>
        <w:t>the name of the entity that is reporting or other means of identification, and any change in that information from the preceding reporting date;</w:t>
      </w:r>
    </w:p>
    <w:p w14:paraId="5E39D7E3" w14:textId="169145FA" w:rsidR="00180849" w:rsidRPr="00AB24D3" w:rsidRDefault="00180849" w:rsidP="008E1D9C">
      <w:pPr>
        <w:pStyle w:val="ListParagraph"/>
        <w:numPr>
          <w:ilvl w:val="0"/>
          <w:numId w:val="9"/>
        </w:numPr>
        <w:ind w:left="340" w:hanging="340"/>
        <w:rPr>
          <w:color w:val="2D3E7B" w:themeColor="text2" w:themeShade="BF"/>
          <w:szCs w:val="22"/>
        </w:rPr>
      </w:pPr>
      <w:r w:rsidRPr="00AB24D3">
        <w:rPr>
          <w:color w:val="2D3E7B" w:themeColor="text2" w:themeShade="BF"/>
          <w:szCs w:val="22"/>
        </w:rPr>
        <w:t>whether the financial report covers the individual entity or a group of entities;</w:t>
      </w:r>
    </w:p>
    <w:p w14:paraId="0CE0E157" w14:textId="4009933F" w:rsidR="00180849" w:rsidRPr="00AB24D3" w:rsidRDefault="00180849" w:rsidP="008E1D9C">
      <w:pPr>
        <w:pStyle w:val="ListParagraph"/>
        <w:numPr>
          <w:ilvl w:val="0"/>
          <w:numId w:val="9"/>
        </w:numPr>
        <w:ind w:left="340" w:hanging="340"/>
        <w:rPr>
          <w:color w:val="2D3E7B" w:themeColor="text2" w:themeShade="BF"/>
          <w:szCs w:val="22"/>
        </w:rPr>
      </w:pPr>
      <w:r w:rsidRPr="00AB24D3">
        <w:rPr>
          <w:color w:val="2D3E7B" w:themeColor="text2" w:themeShade="BF"/>
          <w:szCs w:val="22"/>
        </w:rPr>
        <w:t>the reporting date or the period covered by the financial report, whichever is appropriate to that component of the financial report;</w:t>
      </w:r>
    </w:p>
    <w:p w14:paraId="4980EE24" w14:textId="3D4F3950" w:rsidR="00180849" w:rsidRPr="00AB24D3" w:rsidRDefault="00180849" w:rsidP="008E1D9C">
      <w:pPr>
        <w:pStyle w:val="ListParagraph"/>
        <w:numPr>
          <w:ilvl w:val="0"/>
          <w:numId w:val="9"/>
        </w:numPr>
        <w:ind w:left="340" w:hanging="340"/>
        <w:rPr>
          <w:color w:val="2D3E7B" w:themeColor="text2" w:themeShade="BF"/>
          <w:szCs w:val="22"/>
        </w:rPr>
      </w:pPr>
      <w:r w:rsidRPr="00AB24D3">
        <w:rPr>
          <w:color w:val="2D3E7B" w:themeColor="text2" w:themeShade="BF"/>
          <w:szCs w:val="22"/>
        </w:rPr>
        <w:t xml:space="preserve">the presentation currency, as defined in AASB121 </w:t>
      </w:r>
      <w:r w:rsidRPr="008657AE">
        <w:rPr>
          <w:i/>
          <w:color w:val="2D3E7B" w:themeColor="text2" w:themeShade="BF"/>
          <w:szCs w:val="22"/>
        </w:rPr>
        <w:t>The Effects of Changes in Foreign Exchange Rates</w:t>
      </w:r>
      <w:r w:rsidRPr="00AB24D3">
        <w:rPr>
          <w:color w:val="2D3E7B" w:themeColor="text2" w:themeShade="BF"/>
          <w:szCs w:val="22"/>
        </w:rPr>
        <w:t>; and</w:t>
      </w:r>
    </w:p>
    <w:p w14:paraId="206DD098" w14:textId="05608D20" w:rsidR="00180849" w:rsidRPr="00AB24D3" w:rsidRDefault="00180849" w:rsidP="008E1D9C">
      <w:pPr>
        <w:pStyle w:val="ListParagraph"/>
        <w:numPr>
          <w:ilvl w:val="0"/>
          <w:numId w:val="9"/>
        </w:numPr>
        <w:ind w:left="340" w:hanging="340"/>
        <w:rPr>
          <w:color w:val="2D3E7B" w:themeColor="text2" w:themeShade="BF"/>
          <w:szCs w:val="22"/>
        </w:rPr>
      </w:pPr>
      <w:proofErr w:type="gramStart"/>
      <w:r w:rsidRPr="00AB24D3">
        <w:rPr>
          <w:color w:val="2D3E7B" w:themeColor="text2" w:themeShade="BF"/>
          <w:szCs w:val="22"/>
        </w:rPr>
        <w:t>the</w:t>
      </w:r>
      <w:proofErr w:type="gramEnd"/>
      <w:r w:rsidRPr="00AB24D3">
        <w:rPr>
          <w:color w:val="2D3E7B" w:themeColor="text2" w:themeShade="BF"/>
          <w:szCs w:val="22"/>
        </w:rPr>
        <w:t xml:space="preserve"> level of rounding used in presenting amounts in the financial report.</w:t>
      </w:r>
    </w:p>
    <w:p w14:paraId="0F07860F" w14:textId="77777777" w:rsidR="00180849" w:rsidRPr="00AB24D3" w:rsidRDefault="00180849" w:rsidP="001A5D4A">
      <w:pPr>
        <w:pStyle w:val="Heading3"/>
        <w:rPr>
          <w:color w:val="2D3E7B" w:themeColor="text2" w:themeShade="BF"/>
        </w:rPr>
      </w:pPr>
      <w:r w:rsidRPr="00AB24D3">
        <w:rPr>
          <w:color w:val="2D3E7B" w:themeColor="text2" w:themeShade="BF"/>
        </w:rPr>
        <w:t>Mandatory disclosures</w:t>
      </w:r>
    </w:p>
    <w:p w14:paraId="2EAEA50C" w14:textId="183AABB5" w:rsidR="00180849" w:rsidRPr="00AF68BD" w:rsidRDefault="00180849" w:rsidP="009304CF">
      <w:pPr>
        <w:pStyle w:val="Heading6"/>
      </w:pPr>
      <w:r w:rsidRPr="00AF68BD">
        <w:t>Education</w:t>
      </w:r>
    </w:p>
    <w:p w14:paraId="7CFE8EA7" w14:textId="77777777" w:rsidR="00180849" w:rsidRPr="00AB24D3" w:rsidRDefault="00180849" w:rsidP="001A5D4A">
      <w:pPr>
        <w:rPr>
          <w:color w:val="2D3E7B" w:themeColor="text2" w:themeShade="BF"/>
          <w:szCs w:val="22"/>
        </w:rPr>
      </w:pPr>
      <w:r w:rsidRPr="00AB24D3">
        <w:rPr>
          <w:color w:val="2D3E7B" w:themeColor="text2" w:themeShade="BF"/>
          <w:szCs w:val="22"/>
        </w:rPr>
        <w:t>Mandatory disclosures, required for reporting purposes by the Department of Education, are shaded grey throughout the Guidelines. Where an entire statement or note is mandatory, the whole statement or note, including the title, is shaded. Where only particular line-items are mandatory, only those line-items are shaded. It must be noted however, unless specified in the commentaries, that if the line-item is not relevant to the HEP, disclosure is not required. That is, nil or immaterial balances do not have to be reported.</w:t>
      </w:r>
    </w:p>
    <w:p w14:paraId="6F435C44" w14:textId="77777777" w:rsidR="00180849" w:rsidRPr="00AF68BD" w:rsidRDefault="00180849" w:rsidP="001A5D4A">
      <w:pPr>
        <w:pStyle w:val="Heading3"/>
        <w:rPr>
          <w:color w:val="2D3E7B" w:themeColor="text2" w:themeShade="BF"/>
        </w:rPr>
      </w:pPr>
      <w:r w:rsidRPr="00AF68BD">
        <w:rPr>
          <w:color w:val="2D3E7B" w:themeColor="text2" w:themeShade="BF"/>
        </w:rPr>
        <w:t>Materiality</w:t>
      </w:r>
    </w:p>
    <w:p w14:paraId="063797E4" w14:textId="77777777" w:rsidR="00180849" w:rsidRPr="00AF68BD" w:rsidRDefault="00180849" w:rsidP="009304CF">
      <w:pPr>
        <w:pStyle w:val="Heading6"/>
      </w:pPr>
      <w:r w:rsidRPr="00AF68BD">
        <w:t>AASB101.30</w:t>
      </w:r>
      <w:proofErr w:type="gramStart"/>
      <w:r w:rsidRPr="00AF68BD">
        <w:t>,31</w:t>
      </w:r>
      <w:proofErr w:type="gramEnd"/>
    </w:p>
    <w:p w14:paraId="1DCAAA9F" w14:textId="77777777" w:rsidR="00180849" w:rsidRPr="00AB24D3" w:rsidRDefault="00180849" w:rsidP="001A5D4A">
      <w:pPr>
        <w:rPr>
          <w:color w:val="2D3E7B" w:themeColor="text2" w:themeShade="BF"/>
          <w:szCs w:val="22"/>
        </w:rPr>
      </w:pPr>
      <w:r w:rsidRPr="00AF68BD">
        <w:rPr>
          <w:color w:val="2D3E7B" w:themeColor="text2" w:themeShade="BF"/>
          <w:szCs w:val="22"/>
        </w:rPr>
        <w:t xml:space="preserve">An item that is not sufficiently material to warrant separate presentation as a line item in the face statements may warrant </w:t>
      </w:r>
      <w:r w:rsidRPr="00AB24D3">
        <w:rPr>
          <w:color w:val="2D3E7B" w:themeColor="text2" w:themeShade="BF"/>
          <w:szCs w:val="22"/>
        </w:rPr>
        <w:t>separate presentation in the notes. The HEP need not provide a specific disclosure required by an Australian Accounting Standard if the information is not material.</w:t>
      </w:r>
    </w:p>
    <w:p w14:paraId="10FF2C0F" w14:textId="77777777" w:rsidR="00180849" w:rsidRPr="00AF68BD" w:rsidRDefault="00180849" w:rsidP="001A5D4A">
      <w:pPr>
        <w:pStyle w:val="Heading3"/>
        <w:rPr>
          <w:color w:val="2D3E7B" w:themeColor="text2" w:themeShade="BF"/>
        </w:rPr>
      </w:pPr>
      <w:r w:rsidRPr="00AB24D3">
        <w:rPr>
          <w:color w:val="2D3E7B" w:themeColor="text2" w:themeShade="BF"/>
        </w:rPr>
        <w:t>Comparative information</w:t>
      </w:r>
    </w:p>
    <w:p w14:paraId="284A08DA" w14:textId="77777777" w:rsidR="00180849" w:rsidRPr="00AF68BD" w:rsidRDefault="00180849" w:rsidP="009304CF">
      <w:pPr>
        <w:pStyle w:val="Heading6"/>
      </w:pPr>
      <w:r w:rsidRPr="00AF68BD">
        <w:t>AASB101.38</w:t>
      </w:r>
    </w:p>
    <w:p w14:paraId="3B425F06" w14:textId="77777777" w:rsidR="00180849" w:rsidRPr="00AF68BD" w:rsidRDefault="00180849" w:rsidP="001A5D4A">
      <w:pPr>
        <w:rPr>
          <w:color w:val="2D3E7B" w:themeColor="text2" w:themeShade="BF"/>
          <w:szCs w:val="22"/>
        </w:rPr>
      </w:pPr>
      <w:r w:rsidRPr="00AF68BD">
        <w:rPr>
          <w:color w:val="2D3E7B" w:themeColor="text2" w:themeShade="BF"/>
          <w:szCs w:val="22"/>
        </w:rPr>
        <w:t>Except when Australian Accounting Standards permit or require otherwise, comparative information shall be disclosed in respect of the previous period for all amounts reported in the financial report. Comparative information shall be included for narrative and descriptive information when it is relevant to an understanding of the current period’s financial report.</w:t>
      </w:r>
    </w:p>
    <w:p w14:paraId="4554CEDC" w14:textId="77777777" w:rsidR="00180849" w:rsidRPr="00AF68BD" w:rsidRDefault="00180849" w:rsidP="009304CF">
      <w:pPr>
        <w:pStyle w:val="Heading6"/>
      </w:pPr>
      <w:r w:rsidRPr="00AF68BD">
        <w:t>AASB101.38A</w:t>
      </w:r>
      <w:proofErr w:type="gramStart"/>
      <w:r w:rsidRPr="00AF68BD">
        <w:t>,40A</w:t>
      </w:r>
      <w:proofErr w:type="gramEnd"/>
    </w:p>
    <w:p w14:paraId="6190A00B" w14:textId="77777777" w:rsidR="00180849" w:rsidRPr="00AF68BD" w:rsidRDefault="00180849" w:rsidP="001A5D4A">
      <w:pPr>
        <w:rPr>
          <w:color w:val="2D3E7B" w:themeColor="text2" w:themeShade="BF"/>
          <w:szCs w:val="22"/>
        </w:rPr>
      </w:pPr>
      <w:r w:rsidRPr="00AF68BD">
        <w:rPr>
          <w:color w:val="2D3E7B" w:themeColor="text2" w:themeShade="BF"/>
          <w:szCs w:val="22"/>
        </w:rPr>
        <w:t xml:space="preserve">HEPs disclosing comparative information shall present as a minimum two sets of each of the statements and related notes. When accounting policies are applied retrospectively, or make a retrospective restatement of </w:t>
      </w:r>
      <w:r w:rsidRPr="00AF68BD">
        <w:rPr>
          <w:color w:val="2D3E7B" w:themeColor="text2" w:themeShade="BF"/>
          <w:szCs w:val="22"/>
        </w:rPr>
        <w:lastRenderedPageBreak/>
        <w:t>items in its financial statements, the entity shall also present a statement of financial position at the beginning of the previous period (</w:t>
      </w:r>
      <w:proofErr w:type="spellStart"/>
      <w:r w:rsidRPr="00AF68BD">
        <w:rPr>
          <w:color w:val="2D3E7B" w:themeColor="text2" w:themeShade="BF"/>
          <w:szCs w:val="22"/>
        </w:rPr>
        <w:t>ie</w:t>
      </w:r>
      <w:proofErr w:type="spellEnd"/>
      <w:r w:rsidRPr="00AF68BD">
        <w:rPr>
          <w:color w:val="2D3E7B" w:themeColor="text2" w:themeShade="BF"/>
          <w:szCs w:val="22"/>
        </w:rPr>
        <w:t xml:space="preserve"> 3 statements of financial position).</w:t>
      </w:r>
    </w:p>
    <w:p w14:paraId="57159586" w14:textId="77777777" w:rsidR="00180849" w:rsidRPr="00AF68BD" w:rsidRDefault="00180849" w:rsidP="009304CF">
      <w:pPr>
        <w:pStyle w:val="Heading6"/>
      </w:pPr>
      <w:r w:rsidRPr="00AF68BD">
        <w:t>AASB101.38B</w:t>
      </w:r>
    </w:p>
    <w:p w14:paraId="721612E3" w14:textId="77777777" w:rsidR="00180849" w:rsidRPr="00AF68BD" w:rsidRDefault="00180849" w:rsidP="001A5D4A">
      <w:pPr>
        <w:rPr>
          <w:color w:val="2D3E7B" w:themeColor="text2" w:themeShade="BF"/>
          <w:szCs w:val="22"/>
        </w:rPr>
      </w:pPr>
      <w:r w:rsidRPr="00AF68BD">
        <w:rPr>
          <w:color w:val="2D3E7B" w:themeColor="text2" w:themeShade="BF"/>
          <w:szCs w:val="22"/>
        </w:rPr>
        <w:t>In some cases, narrative information provided in the financial report for the previous period(s) continues to be relevant in the current period. For example, details of a legal dispute, the outcome of which was uncertain at the last reporting date and is yet to be resolved, are disclosed in the current period. Users benefit from information that the uncertainty existed at the last reporting date, and about the steps that have been taken during the period to resolve the uncertainty.</w:t>
      </w:r>
      <w:r w:rsidRPr="00AF68BD" w:rsidDel="00C67F00">
        <w:rPr>
          <w:color w:val="2D3E7B" w:themeColor="text2" w:themeShade="BF"/>
          <w:szCs w:val="22"/>
        </w:rPr>
        <w:t xml:space="preserve"> </w:t>
      </w:r>
    </w:p>
    <w:p w14:paraId="54648AB9" w14:textId="77777777" w:rsidR="00180849" w:rsidRPr="00AF68BD" w:rsidRDefault="00180849" w:rsidP="009304CF">
      <w:pPr>
        <w:pStyle w:val="Heading6"/>
      </w:pPr>
      <w:bookmarkStart w:id="143" w:name="OLE_LINK7"/>
      <w:bookmarkStart w:id="144" w:name="OLE_LINK8"/>
      <w:bookmarkEnd w:id="143"/>
      <w:bookmarkEnd w:id="144"/>
      <w:r w:rsidRPr="00AF68BD">
        <w:t>AASB101.41</w:t>
      </w:r>
    </w:p>
    <w:p w14:paraId="302AB2F3" w14:textId="77777777" w:rsidR="00180849" w:rsidRPr="00AF68BD" w:rsidRDefault="00180849" w:rsidP="001A5D4A">
      <w:pPr>
        <w:rPr>
          <w:color w:val="2D3E7B" w:themeColor="text2" w:themeShade="BF"/>
          <w:szCs w:val="22"/>
        </w:rPr>
      </w:pPr>
      <w:r w:rsidRPr="00AF68BD">
        <w:rPr>
          <w:color w:val="2D3E7B" w:themeColor="text2" w:themeShade="BF"/>
          <w:szCs w:val="22"/>
        </w:rPr>
        <w:t>When the presentation or classification of items in the financial report is amended, comparative amounts shall be reclassified unless the reclassification is impracticable. When comparative amounts are reclassified, an entity shall disclose:</w:t>
      </w:r>
    </w:p>
    <w:p w14:paraId="6F46FA5B" w14:textId="2545F768" w:rsidR="00180849" w:rsidRPr="00AF68BD" w:rsidRDefault="00180849" w:rsidP="008E1D9C">
      <w:pPr>
        <w:pStyle w:val="ListParagraph"/>
        <w:numPr>
          <w:ilvl w:val="0"/>
          <w:numId w:val="10"/>
        </w:numPr>
        <w:ind w:left="340" w:hanging="340"/>
        <w:rPr>
          <w:color w:val="2D3E7B" w:themeColor="text2" w:themeShade="BF"/>
          <w:szCs w:val="22"/>
        </w:rPr>
      </w:pPr>
      <w:r w:rsidRPr="00AF68BD">
        <w:rPr>
          <w:color w:val="2D3E7B" w:themeColor="text2" w:themeShade="BF"/>
          <w:szCs w:val="22"/>
        </w:rPr>
        <w:t>the nature of the reclassification;</w:t>
      </w:r>
    </w:p>
    <w:p w14:paraId="2FF5431C" w14:textId="09CF87F3" w:rsidR="00180849" w:rsidRPr="00AF68BD" w:rsidRDefault="00180849" w:rsidP="008E1D9C">
      <w:pPr>
        <w:pStyle w:val="ListParagraph"/>
        <w:numPr>
          <w:ilvl w:val="0"/>
          <w:numId w:val="10"/>
        </w:numPr>
        <w:ind w:left="340" w:hanging="340"/>
        <w:rPr>
          <w:color w:val="2D3E7B" w:themeColor="text2" w:themeShade="BF"/>
          <w:szCs w:val="22"/>
        </w:rPr>
      </w:pPr>
      <w:r w:rsidRPr="00AF68BD">
        <w:rPr>
          <w:color w:val="2D3E7B" w:themeColor="text2" w:themeShade="BF"/>
          <w:szCs w:val="22"/>
        </w:rPr>
        <w:t>the amount of each item or class of items that is reclassified; and</w:t>
      </w:r>
    </w:p>
    <w:p w14:paraId="2DA22C30" w14:textId="3C60AC4C" w:rsidR="00180849" w:rsidRPr="00AF68BD" w:rsidRDefault="00180849" w:rsidP="008E1D9C">
      <w:pPr>
        <w:pStyle w:val="ListParagraph"/>
        <w:numPr>
          <w:ilvl w:val="0"/>
          <w:numId w:val="10"/>
        </w:numPr>
        <w:ind w:left="340" w:hanging="340"/>
        <w:rPr>
          <w:color w:val="2D3E7B" w:themeColor="text2" w:themeShade="BF"/>
          <w:szCs w:val="22"/>
        </w:rPr>
      </w:pPr>
      <w:proofErr w:type="gramStart"/>
      <w:r w:rsidRPr="00AF68BD">
        <w:rPr>
          <w:color w:val="2D3E7B" w:themeColor="text2" w:themeShade="BF"/>
          <w:szCs w:val="22"/>
        </w:rPr>
        <w:t>the</w:t>
      </w:r>
      <w:proofErr w:type="gramEnd"/>
      <w:r w:rsidRPr="00AF68BD">
        <w:rPr>
          <w:color w:val="2D3E7B" w:themeColor="text2" w:themeShade="BF"/>
          <w:szCs w:val="22"/>
        </w:rPr>
        <w:t xml:space="preserve"> reason for the reclassification.</w:t>
      </w:r>
    </w:p>
    <w:p w14:paraId="10B2EB2E" w14:textId="1A7A5856" w:rsidR="00180849" w:rsidRPr="00AF68BD" w:rsidRDefault="00180849" w:rsidP="009304CF">
      <w:pPr>
        <w:pStyle w:val="Heading6"/>
      </w:pPr>
      <w:r w:rsidRPr="00AF68BD">
        <w:t>AASB101.42</w:t>
      </w:r>
    </w:p>
    <w:p w14:paraId="3AF4F1DE" w14:textId="77777777" w:rsidR="00180849" w:rsidRPr="00AF68BD" w:rsidRDefault="00180849" w:rsidP="001A5D4A">
      <w:pPr>
        <w:rPr>
          <w:color w:val="2D3E7B" w:themeColor="text2" w:themeShade="BF"/>
          <w:szCs w:val="22"/>
        </w:rPr>
      </w:pPr>
      <w:r w:rsidRPr="00AF68BD">
        <w:rPr>
          <w:color w:val="2D3E7B" w:themeColor="text2" w:themeShade="BF"/>
          <w:szCs w:val="22"/>
        </w:rPr>
        <w:t>When it is impracticable to reclassify comparative amounts, an entity shall disclose:</w:t>
      </w:r>
    </w:p>
    <w:p w14:paraId="41F1B353" w14:textId="5B4E3328" w:rsidR="00180849" w:rsidRPr="00AF68BD" w:rsidRDefault="00180849" w:rsidP="008E1D9C">
      <w:pPr>
        <w:pStyle w:val="ListParagraph"/>
        <w:numPr>
          <w:ilvl w:val="0"/>
          <w:numId w:val="11"/>
        </w:numPr>
        <w:ind w:left="340" w:hanging="340"/>
        <w:rPr>
          <w:color w:val="2D3E7B" w:themeColor="text2" w:themeShade="BF"/>
          <w:szCs w:val="22"/>
        </w:rPr>
      </w:pPr>
      <w:r w:rsidRPr="00AF68BD">
        <w:rPr>
          <w:color w:val="2D3E7B" w:themeColor="text2" w:themeShade="BF"/>
          <w:szCs w:val="22"/>
        </w:rPr>
        <w:t>the reason for not reclassifying the amounts; and</w:t>
      </w:r>
    </w:p>
    <w:p w14:paraId="792AB1AF" w14:textId="5F68CD6B" w:rsidR="00180849" w:rsidRPr="00AF68BD" w:rsidRDefault="00180849" w:rsidP="008E1D9C">
      <w:pPr>
        <w:pStyle w:val="ListParagraph"/>
        <w:numPr>
          <w:ilvl w:val="0"/>
          <w:numId w:val="11"/>
        </w:numPr>
        <w:ind w:left="340" w:hanging="340"/>
        <w:rPr>
          <w:color w:val="2D3E7B" w:themeColor="text2" w:themeShade="BF"/>
          <w:szCs w:val="22"/>
        </w:rPr>
      </w:pPr>
      <w:proofErr w:type="gramStart"/>
      <w:r w:rsidRPr="00AF68BD">
        <w:rPr>
          <w:color w:val="2D3E7B" w:themeColor="text2" w:themeShade="BF"/>
          <w:szCs w:val="22"/>
        </w:rPr>
        <w:t>the</w:t>
      </w:r>
      <w:proofErr w:type="gramEnd"/>
      <w:r w:rsidRPr="00AF68BD">
        <w:rPr>
          <w:color w:val="2D3E7B" w:themeColor="text2" w:themeShade="BF"/>
          <w:szCs w:val="22"/>
        </w:rPr>
        <w:t xml:space="preserve"> nature of the adjustments that would have been made if the amounts had been reclassified.</w:t>
      </w:r>
    </w:p>
    <w:p w14:paraId="1EE047CE" w14:textId="77777777" w:rsidR="00180849" w:rsidRPr="00AF68BD" w:rsidRDefault="00180849" w:rsidP="001A5D4A">
      <w:pPr>
        <w:pStyle w:val="Heading3"/>
        <w:rPr>
          <w:color w:val="2D3E7B" w:themeColor="text2" w:themeShade="BF"/>
        </w:rPr>
      </w:pPr>
      <w:r w:rsidRPr="00AF68BD">
        <w:rPr>
          <w:color w:val="2D3E7B" w:themeColor="text2" w:themeShade="BF"/>
        </w:rPr>
        <w:t>Electronic presentation of financial reports</w:t>
      </w:r>
    </w:p>
    <w:p w14:paraId="1D2F6B53" w14:textId="77777777" w:rsidR="00180849" w:rsidRPr="00AF68BD" w:rsidRDefault="00180849" w:rsidP="009304CF">
      <w:pPr>
        <w:pStyle w:val="Heading6"/>
      </w:pPr>
      <w:r w:rsidRPr="00AF68BD">
        <w:t>GS006</w:t>
      </w:r>
    </w:p>
    <w:p w14:paraId="3F351F8D" w14:textId="77777777" w:rsidR="00180849" w:rsidRPr="00AF68BD" w:rsidRDefault="00180849" w:rsidP="00180849">
      <w:pPr>
        <w:rPr>
          <w:color w:val="2D3E7B" w:themeColor="text2" w:themeShade="BF"/>
          <w:szCs w:val="22"/>
        </w:rPr>
      </w:pPr>
      <w:r w:rsidRPr="00AF68BD">
        <w:rPr>
          <w:color w:val="2D3E7B" w:themeColor="text2" w:themeShade="BF"/>
          <w:szCs w:val="22"/>
        </w:rPr>
        <w:t>In publishing annual and other financial reports on their websites, management must ensure their systems and controls address the risks associated with presenting information using this medium in order to maintain the security and integrity of the information in those financial reports.</w:t>
      </w:r>
    </w:p>
    <w:p w14:paraId="49D1D784" w14:textId="77777777" w:rsidR="00180849" w:rsidRPr="00AF68BD" w:rsidRDefault="00180849" w:rsidP="00180849">
      <w:pPr>
        <w:rPr>
          <w:color w:val="2D3E7B" w:themeColor="text2" w:themeShade="BF"/>
          <w:szCs w:val="22"/>
        </w:rPr>
      </w:pPr>
      <w:r w:rsidRPr="00AF68BD">
        <w:rPr>
          <w:color w:val="2D3E7B" w:themeColor="text2" w:themeShade="BF"/>
          <w:szCs w:val="22"/>
        </w:rPr>
        <w:t xml:space="preserve">The Australian Auditing and Assurance Standards Board (AUASB) </w:t>
      </w:r>
      <w:proofErr w:type="gramStart"/>
      <w:r w:rsidRPr="00AF68BD">
        <w:rPr>
          <w:color w:val="2D3E7B" w:themeColor="text2" w:themeShade="BF"/>
          <w:szCs w:val="22"/>
        </w:rPr>
        <w:t>has</w:t>
      </w:r>
      <w:proofErr w:type="gramEnd"/>
      <w:r w:rsidRPr="00AF68BD">
        <w:rPr>
          <w:color w:val="2D3E7B" w:themeColor="text2" w:themeShade="BF"/>
          <w:szCs w:val="22"/>
        </w:rPr>
        <w:t xml:space="preserve"> released Guidance Statement GS006 </w:t>
      </w:r>
      <w:r w:rsidRPr="00B82924">
        <w:rPr>
          <w:i/>
          <w:color w:val="2D3E7B" w:themeColor="text2" w:themeShade="BF"/>
          <w:szCs w:val="22"/>
        </w:rPr>
        <w:t>Electronic Publication of the Auditors’ Report</w:t>
      </w:r>
      <w:r w:rsidRPr="00AF68BD">
        <w:rPr>
          <w:color w:val="2D3E7B" w:themeColor="text2" w:themeShade="BF"/>
          <w:szCs w:val="22"/>
        </w:rPr>
        <w:t>, which provides guidance for auditors on issues relating to public electronic reporting. This includes examples of methods to clearly identify audited financial information and to ensure security and controls operate effectively over the inputting and updating of financial information provided on websites. The guidance may also assist management in determining the control systems that should be implemented if information is to be presented on a website.</w:t>
      </w:r>
    </w:p>
    <w:p w14:paraId="0389FCE7" w14:textId="0876F2CE" w:rsidR="00023312" w:rsidRPr="00180849" w:rsidRDefault="00180849">
      <w:r w:rsidRPr="00AF68BD">
        <w:rPr>
          <w:color w:val="2D3E7B" w:themeColor="text2" w:themeShade="BF"/>
          <w:szCs w:val="22"/>
        </w:rPr>
        <w:t xml:space="preserve">It is recommended that in providing financial statement information to the Department of Education electronically for publication, </w:t>
      </w:r>
      <w:r w:rsidRPr="00AB24D3">
        <w:rPr>
          <w:color w:val="2D3E7B" w:themeColor="text2" w:themeShade="BF"/>
          <w:szCs w:val="22"/>
        </w:rPr>
        <w:t>HEPs have regard to good practice guidance such as GS006 to ensure the accuracy and integrity of the information provided.</w:t>
      </w:r>
      <w:r w:rsidR="002800DD" w:rsidRPr="00493046">
        <w:br w:type="page"/>
      </w:r>
    </w:p>
    <w:p w14:paraId="34E064E6" w14:textId="77777777" w:rsidR="00036CC2" w:rsidRDefault="009A0DC9" w:rsidP="00036CC2">
      <w:pPr>
        <w:pStyle w:val="Heading1"/>
      </w:pPr>
      <w:bookmarkStart w:id="145" w:name="_Toc398721458"/>
      <w:bookmarkStart w:id="146" w:name="_Toc398721485"/>
      <w:bookmarkStart w:id="147" w:name="_Toc398721546"/>
      <w:bookmarkStart w:id="148" w:name="_Toc398721997"/>
      <w:bookmarkStart w:id="149" w:name="_Toc398729916"/>
      <w:bookmarkStart w:id="150" w:name="_Toc398731115"/>
      <w:bookmarkStart w:id="151" w:name="_Toc398731403"/>
      <w:bookmarkStart w:id="152" w:name="_Toc406751411"/>
      <w:bookmarkStart w:id="153" w:name="_Toc410807593"/>
      <w:bookmarkStart w:id="154" w:name="_Toc410822643"/>
      <w:bookmarkStart w:id="155" w:name="_Toc411854282"/>
      <w:bookmarkStart w:id="156" w:name="_Toc411854315"/>
      <w:bookmarkStart w:id="157" w:name="contents2"/>
      <w:r w:rsidRPr="00036CC2">
        <w:lastRenderedPageBreak/>
        <w:t>Income statement</w:t>
      </w:r>
      <w:bookmarkEnd w:id="145"/>
      <w:bookmarkEnd w:id="146"/>
      <w:bookmarkEnd w:id="147"/>
      <w:bookmarkEnd w:id="148"/>
      <w:bookmarkEnd w:id="149"/>
      <w:bookmarkEnd w:id="150"/>
      <w:bookmarkEnd w:id="151"/>
      <w:bookmarkEnd w:id="152"/>
      <w:bookmarkEnd w:id="153"/>
      <w:bookmarkEnd w:id="154"/>
      <w:bookmarkEnd w:id="155"/>
      <w:bookmarkEnd w:id="156"/>
    </w:p>
    <w:p w14:paraId="0389FCE8" w14:textId="1F8B93A3" w:rsidR="00023312" w:rsidRPr="00036CC2" w:rsidRDefault="002254C9" w:rsidP="00036CC2">
      <w:proofErr w:type="gramStart"/>
      <w:r w:rsidRPr="00036CC2">
        <w:t>for</w:t>
      </w:r>
      <w:proofErr w:type="gramEnd"/>
      <w:r w:rsidR="009A0DC9" w:rsidRPr="00036CC2">
        <w:t xml:space="preserve"> the year ended 31 December </w:t>
      </w:r>
      <w:r w:rsidR="006864EC" w:rsidRPr="00036CC2">
        <w:t>2014</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3A6A50" w14:paraId="0389FCEF" w14:textId="77777777" w:rsidTr="00530B02">
        <w:trPr>
          <w:trHeight w:hRule="exact" w:val="227"/>
        </w:trPr>
        <w:tc>
          <w:tcPr>
            <w:tcW w:w="810" w:type="pct"/>
          </w:tcPr>
          <w:p w14:paraId="0389FCEA" w14:textId="77777777" w:rsidR="003A6A50" w:rsidRDefault="003A6A50" w:rsidP="00D11709">
            <w:pPr>
              <w:pStyle w:val="Note-Refs"/>
            </w:pPr>
          </w:p>
        </w:tc>
        <w:tc>
          <w:tcPr>
            <w:tcW w:w="2297" w:type="pct"/>
            <w:shd w:val="clear" w:color="auto" w:fill="CCCCCC"/>
            <w:vAlign w:val="bottom"/>
          </w:tcPr>
          <w:p w14:paraId="0389FCEB" w14:textId="77777777" w:rsidR="003A6A50" w:rsidRDefault="003A6A50">
            <w:pPr>
              <w:pStyle w:val="NotesTable-ItemPlain"/>
            </w:pPr>
          </w:p>
        </w:tc>
        <w:tc>
          <w:tcPr>
            <w:tcW w:w="270" w:type="pct"/>
            <w:shd w:val="clear" w:color="auto" w:fill="CCCCCC"/>
          </w:tcPr>
          <w:p w14:paraId="0389FCEC" w14:textId="77777777" w:rsidR="003A6A50" w:rsidRDefault="003A6A50">
            <w:pPr>
              <w:snapToGrid w:val="0"/>
              <w:spacing w:line="100" w:lineRule="atLeast"/>
              <w:jc w:val="center"/>
              <w:rPr>
                <w:rFonts w:ascii="Arial" w:hAnsi="Arial" w:cs="Arial"/>
                <w:sz w:val="18"/>
              </w:rPr>
            </w:pPr>
          </w:p>
        </w:tc>
        <w:tc>
          <w:tcPr>
            <w:tcW w:w="812" w:type="pct"/>
            <w:gridSpan w:val="2"/>
            <w:shd w:val="clear" w:color="auto" w:fill="CCCCCC"/>
          </w:tcPr>
          <w:p w14:paraId="0389FCED" w14:textId="77777777" w:rsidR="003A6A50" w:rsidRDefault="003A6A50" w:rsidP="001420DF">
            <w:pPr>
              <w:pStyle w:val="NotesTable-HeadPlain"/>
            </w:pPr>
          </w:p>
        </w:tc>
        <w:tc>
          <w:tcPr>
            <w:tcW w:w="811" w:type="pct"/>
            <w:gridSpan w:val="2"/>
            <w:shd w:val="clear" w:color="auto" w:fill="CCCCCC"/>
          </w:tcPr>
          <w:p w14:paraId="0389FCEE" w14:textId="77777777" w:rsidR="003A6A50" w:rsidRDefault="003A6A50" w:rsidP="00C54AC3">
            <w:pPr>
              <w:pStyle w:val="NotesTable-HeadPlain"/>
            </w:pPr>
          </w:p>
        </w:tc>
      </w:tr>
      <w:tr w:rsidR="00E407AF" w14:paraId="0389FCF6" w14:textId="77777777" w:rsidTr="00530B02">
        <w:trPr>
          <w:trHeight w:val="227"/>
        </w:trPr>
        <w:tc>
          <w:tcPr>
            <w:tcW w:w="810" w:type="pct"/>
          </w:tcPr>
          <w:p w14:paraId="0389FCF0" w14:textId="77777777" w:rsidR="00B03530" w:rsidRDefault="00B03530" w:rsidP="00D11709">
            <w:pPr>
              <w:pStyle w:val="Note-Refs"/>
            </w:pPr>
            <w:r>
              <w:t>MANDATORY</w:t>
            </w:r>
          </w:p>
          <w:p w14:paraId="0389FCF1" w14:textId="77777777" w:rsidR="00B03530" w:rsidRDefault="00AD5027" w:rsidP="00D11709">
            <w:pPr>
              <w:pStyle w:val="Note-Refs"/>
              <w:rPr>
                <w:sz w:val="20"/>
              </w:rPr>
            </w:pPr>
            <w:r>
              <w:t>EDUCATION</w:t>
            </w:r>
          </w:p>
        </w:tc>
        <w:tc>
          <w:tcPr>
            <w:tcW w:w="2297" w:type="pct"/>
            <w:shd w:val="clear" w:color="auto" w:fill="CCCCCC"/>
            <w:vAlign w:val="bottom"/>
          </w:tcPr>
          <w:p w14:paraId="0389FCF2" w14:textId="77777777" w:rsidR="00B03530" w:rsidRDefault="00B03530">
            <w:pPr>
              <w:pStyle w:val="NotesTable-ItemPlain"/>
            </w:pPr>
          </w:p>
        </w:tc>
        <w:tc>
          <w:tcPr>
            <w:tcW w:w="270" w:type="pct"/>
            <w:shd w:val="clear" w:color="auto" w:fill="CCCCCC"/>
          </w:tcPr>
          <w:p w14:paraId="0389FCF3" w14:textId="77777777" w:rsidR="00B03530" w:rsidRDefault="00B03530">
            <w:pPr>
              <w:snapToGrid w:val="0"/>
              <w:spacing w:line="100" w:lineRule="atLeast"/>
              <w:jc w:val="center"/>
              <w:rPr>
                <w:rFonts w:ascii="Arial" w:hAnsi="Arial" w:cs="Arial"/>
                <w:sz w:val="18"/>
              </w:rPr>
            </w:pPr>
          </w:p>
        </w:tc>
        <w:tc>
          <w:tcPr>
            <w:tcW w:w="812" w:type="pct"/>
            <w:gridSpan w:val="2"/>
            <w:shd w:val="clear" w:color="auto" w:fill="CCCCCC"/>
          </w:tcPr>
          <w:p w14:paraId="0389FCF4" w14:textId="77777777" w:rsidR="00B03530" w:rsidRDefault="00B03530" w:rsidP="00606085">
            <w:pPr>
              <w:pStyle w:val="NotesTable-CellPlain"/>
              <w:rPr>
                <w:b/>
              </w:rPr>
            </w:pPr>
            <w:r>
              <w:t>Consolidated</w:t>
            </w:r>
          </w:p>
        </w:tc>
        <w:tc>
          <w:tcPr>
            <w:tcW w:w="811" w:type="pct"/>
            <w:gridSpan w:val="2"/>
            <w:shd w:val="clear" w:color="auto" w:fill="CCCCCC"/>
          </w:tcPr>
          <w:p w14:paraId="0389FCF5" w14:textId="77777777" w:rsidR="00B03530" w:rsidRDefault="00B03530" w:rsidP="00606085">
            <w:pPr>
              <w:pStyle w:val="NotesTable-CellPlain"/>
              <w:rPr>
                <w:b/>
              </w:rPr>
            </w:pPr>
            <w:r>
              <w:t>Parent entity</w:t>
            </w:r>
          </w:p>
        </w:tc>
      </w:tr>
      <w:tr w:rsidR="00E407AF" w14:paraId="0389FCFE" w14:textId="77777777" w:rsidTr="00530B02">
        <w:trPr>
          <w:trHeight w:hRule="exact" w:val="227"/>
        </w:trPr>
        <w:tc>
          <w:tcPr>
            <w:tcW w:w="810" w:type="pct"/>
          </w:tcPr>
          <w:p w14:paraId="0389FCF7" w14:textId="77777777" w:rsidR="004023E5" w:rsidRDefault="004023E5" w:rsidP="00D11709">
            <w:pPr>
              <w:pStyle w:val="Note-Refs"/>
            </w:pPr>
          </w:p>
        </w:tc>
        <w:tc>
          <w:tcPr>
            <w:tcW w:w="2297" w:type="pct"/>
            <w:shd w:val="clear" w:color="auto" w:fill="CCCCCC"/>
            <w:vAlign w:val="bottom"/>
          </w:tcPr>
          <w:p w14:paraId="0389FCF8" w14:textId="77777777" w:rsidR="004023E5" w:rsidRDefault="004023E5">
            <w:pPr>
              <w:pStyle w:val="NotesTable-ItemPlain"/>
            </w:pPr>
          </w:p>
        </w:tc>
        <w:tc>
          <w:tcPr>
            <w:tcW w:w="270" w:type="pct"/>
            <w:shd w:val="clear" w:color="auto" w:fill="CCCCCC"/>
            <w:vAlign w:val="bottom"/>
          </w:tcPr>
          <w:p w14:paraId="0389FCF9" w14:textId="77777777" w:rsidR="004023E5" w:rsidRDefault="004023E5" w:rsidP="005D4154">
            <w:pPr>
              <w:pStyle w:val="NotesTable-Notes"/>
              <w:rPr>
                <w:b/>
              </w:rPr>
            </w:pPr>
            <w:r>
              <w:t>Notes</w:t>
            </w:r>
          </w:p>
        </w:tc>
        <w:tc>
          <w:tcPr>
            <w:tcW w:w="406" w:type="pct"/>
            <w:shd w:val="clear" w:color="auto" w:fill="CCCCCC"/>
          </w:tcPr>
          <w:p w14:paraId="0389FCFA" w14:textId="0EFADA8C" w:rsidR="004023E5" w:rsidRDefault="006864EC">
            <w:pPr>
              <w:pStyle w:val="NotesTable-HeadBold"/>
            </w:pPr>
            <w:r>
              <w:t>2014</w:t>
            </w:r>
          </w:p>
        </w:tc>
        <w:tc>
          <w:tcPr>
            <w:tcW w:w="406" w:type="pct"/>
            <w:shd w:val="clear" w:color="auto" w:fill="CCCCCC"/>
          </w:tcPr>
          <w:p w14:paraId="0389FCFB" w14:textId="489EEB0D" w:rsidR="004023E5" w:rsidRDefault="006864EC" w:rsidP="00C54AC3">
            <w:pPr>
              <w:pStyle w:val="NotesTable-HeadPlain"/>
            </w:pPr>
            <w:r>
              <w:t>2013</w:t>
            </w:r>
          </w:p>
        </w:tc>
        <w:tc>
          <w:tcPr>
            <w:tcW w:w="406" w:type="pct"/>
            <w:shd w:val="clear" w:color="auto" w:fill="CCCCCC"/>
          </w:tcPr>
          <w:p w14:paraId="0389FCFC" w14:textId="13AC2DED" w:rsidR="004023E5" w:rsidRDefault="006864EC">
            <w:pPr>
              <w:pStyle w:val="NotesTable-HeadBold"/>
            </w:pPr>
            <w:r>
              <w:t>2014</w:t>
            </w:r>
          </w:p>
        </w:tc>
        <w:tc>
          <w:tcPr>
            <w:tcW w:w="405" w:type="pct"/>
            <w:shd w:val="clear" w:color="auto" w:fill="CCCCCC"/>
          </w:tcPr>
          <w:p w14:paraId="0389FCFD" w14:textId="4F6A90F3" w:rsidR="004023E5" w:rsidRDefault="006864EC">
            <w:pPr>
              <w:pStyle w:val="NotesTable-HeadPlain"/>
            </w:pPr>
            <w:r>
              <w:t>2013</w:t>
            </w:r>
          </w:p>
        </w:tc>
      </w:tr>
      <w:tr w:rsidR="00E407AF" w14:paraId="0389FD06" w14:textId="77777777" w:rsidTr="00530B02">
        <w:trPr>
          <w:trHeight w:hRule="exact" w:val="227"/>
        </w:trPr>
        <w:tc>
          <w:tcPr>
            <w:tcW w:w="810" w:type="pct"/>
          </w:tcPr>
          <w:p w14:paraId="0389FCFF" w14:textId="77777777" w:rsidR="004023E5" w:rsidRDefault="004023E5" w:rsidP="00D11709">
            <w:pPr>
              <w:pStyle w:val="Note-Refs"/>
            </w:pPr>
          </w:p>
        </w:tc>
        <w:tc>
          <w:tcPr>
            <w:tcW w:w="2297" w:type="pct"/>
            <w:shd w:val="clear" w:color="auto" w:fill="CCCCCC"/>
            <w:vAlign w:val="bottom"/>
          </w:tcPr>
          <w:p w14:paraId="0389FD00" w14:textId="77777777" w:rsidR="004023E5" w:rsidRDefault="004023E5">
            <w:pPr>
              <w:pStyle w:val="NotesTable-ItemPlain"/>
            </w:pPr>
          </w:p>
        </w:tc>
        <w:tc>
          <w:tcPr>
            <w:tcW w:w="270" w:type="pct"/>
            <w:shd w:val="clear" w:color="auto" w:fill="CCCCCC"/>
            <w:vAlign w:val="bottom"/>
          </w:tcPr>
          <w:p w14:paraId="0389FD01" w14:textId="77777777" w:rsidR="004023E5" w:rsidRDefault="004023E5" w:rsidP="005D4154">
            <w:pPr>
              <w:pStyle w:val="NotesTable-Notes"/>
            </w:pPr>
          </w:p>
        </w:tc>
        <w:tc>
          <w:tcPr>
            <w:tcW w:w="406" w:type="pct"/>
            <w:shd w:val="clear" w:color="auto" w:fill="CCCCCC"/>
          </w:tcPr>
          <w:p w14:paraId="0389FD02" w14:textId="77777777" w:rsidR="004023E5" w:rsidRDefault="004023E5">
            <w:pPr>
              <w:pStyle w:val="NotesTable-HeadBold"/>
            </w:pPr>
            <w:r>
              <w:t>$’000</w:t>
            </w:r>
          </w:p>
        </w:tc>
        <w:tc>
          <w:tcPr>
            <w:tcW w:w="406" w:type="pct"/>
            <w:shd w:val="clear" w:color="auto" w:fill="CCCCCC"/>
          </w:tcPr>
          <w:p w14:paraId="0389FD03" w14:textId="77777777" w:rsidR="004023E5" w:rsidRDefault="004023E5" w:rsidP="00C54AC3">
            <w:pPr>
              <w:pStyle w:val="NotesTable-HeadPlain"/>
            </w:pPr>
            <w:r>
              <w:t>$’000</w:t>
            </w:r>
          </w:p>
        </w:tc>
        <w:tc>
          <w:tcPr>
            <w:tcW w:w="406" w:type="pct"/>
            <w:shd w:val="clear" w:color="auto" w:fill="CCCCCC"/>
          </w:tcPr>
          <w:p w14:paraId="0389FD04" w14:textId="77777777" w:rsidR="004023E5" w:rsidRDefault="004023E5">
            <w:pPr>
              <w:pStyle w:val="NotesTable-HeadBold"/>
            </w:pPr>
            <w:r>
              <w:t>$’000</w:t>
            </w:r>
          </w:p>
        </w:tc>
        <w:tc>
          <w:tcPr>
            <w:tcW w:w="405" w:type="pct"/>
            <w:shd w:val="clear" w:color="auto" w:fill="CCCCCC"/>
          </w:tcPr>
          <w:p w14:paraId="0389FD05" w14:textId="77777777" w:rsidR="004023E5" w:rsidRDefault="004023E5">
            <w:pPr>
              <w:pStyle w:val="NotesTable-HeadPlain"/>
            </w:pPr>
            <w:r>
              <w:t>$’000</w:t>
            </w:r>
          </w:p>
        </w:tc>
      </w:tr>
      <w:tr w:rsidR="00E407AF" w14:paraId="0389FD0E" w14:textId="77777777" w:rsidTr="00530B02">
        <w:trPr>
          <w:trHeight w:hRule="exact" w:val="227"/>
        </w:trPr>
        <w:tc>
          <w:tcPr>
            <w:tcW w:w="810" w:type="pct"/>
          </w:tcPr>
          <w:p w14:paraId="0389FD07" w14:textId="77777777" w:rsidR="00B03530" w:rsidRDefault="00B03530" w:rsidP="00D11709">
            <w:pPr>
              <w:pStyle w:val="Note-Refs"/>
            </w:pPr>
          </w:p>
        </w:tc>
        <w:tc>
          <w:tcPr>
            <w:tcW w:w="2297" w:type="pct"/>
            <w:shd w:val="clear" w:color="auto" w:fill="CCCCCC"/>
            <w:vAlign w:val="bottom"/>
          </w:tcPr>
          <w:p w14:paraId="0389FD08" w14:textId="77777777" w:rsidR="00B03530" w:rsidRDefault="00B03530">
            <w:pPr>
              <w:pStyle w:val="Statement-ItemBold"/>
            </w:pPr>
            <w:r>
              <w:t>Income from continuing operations</w:t>
            </w:r>
          </w:p>
        </w:tc>
        <w:tc>
          <w:tcPr>
            <w:tcW w:w="270" w:type="pct"/>
            <w:shd w:val="clear" w:color="auto" w:fill="CCCCCC"/>
            <w:vAlign w:val="bottom"/>
          </w:tcPr>
          <w:p w14:paraId="0389FD09" w14:textId="77777777" w:rsidR="00B03530" w:rsidRDefault="00B03530" w:rsidP="005D4154">
            <w:pPr>
              <w:pStyle w:val="NotesTable-Notes"/>
              <w:rPr>
                <w:shd w:val="clear" w:color="auto" w:fill="FFFF00"/>
              </w:rPr>
            </w:pPr>
          </w:p>
        </w:tc>
        <w:tc>
          <w:tcPr>
            <w:tcW w:w="406" w:type="pct"/>
            <w:shd w:val="clear" w:color="auto" w:fill="CCCCCC"/>
            <w:vAlign w:val="bottom"/>
          </w:tcPr>
          <w:p w14:paraId="0389FD0A" w14:textId="77777777" w:rsidR="00B03530" w:rsidRDefault="00B03530" w:rsidP="00606085">
            <w:pPr>
              <w:pStyle w:val="NotesTable-CellBold"/>
              <w:rPr>
                <w:szCs w:val="18"/>
              </w:rPr>
            </w:pPr>
          </w:p>
        </w:tc>
        <w:tc>
          <w:tcPr>
            <w:tcW w:w="406" w:type="pct"/>
            <w:shd w:val="clear" w:color="auto" w:fill="CCCCCC"/>
            <w:vAlign w:val="bottom"/>
          </w:tcPr>
          <w:p w14:paraId="0389FD0B" w14:textId="77777777" w:rsidR="00B03530" w:rsidRDefault="00B03530" w:rsidP="00606085">
            <w:pPr>
              <w:pStyle w:val="NotesTable-CellPlain"/>
            </w:pPr>
          </w:p>
        </w:tc>
        <w:tc>
          <w:tcPr>
            <w:tcW w:w="406" w:type="pct"/>
            <w:shd w:val="clear" w:color="auto" w:fill="CCCCCC"/>
            <w:vAlign w:val="bottom"/>
          </w:tcPr>
          <w:p w14:paraId="0389FD0C" w14:textId="77777777" w:rsidR="00B03530" w:rsidRDefault="00B03530" w:rsidP="00606085">
            <w:pPr>
              <w:pStyle w:val="NotesTable-CellBold"/>
              <w:rPr>
                <w:szCs w:val="18"/>
              </w:rPr>
            </w:pPr>
          </w:p>
        </w:tc>
        <w:tc>
          <w:tcPr>
            <w:tcW w:w="405" w:type="pct"/>
            <w:shd w:val="clear" w:color="auto" w:fill="CCCCCC"/>
            <w:vAlign w:val="bottom"/>
          </w:tcPr>
          <w:p w14:paraId="0389FD0D" w14:textId="77777777" w:rsidR="00B03530" w:rsidRDefault="00B03530" w:rsidP="00606085">
            <w:pPr>
              <w:pStyle w:val="NotesTable-CellPlain"/>
            </w:pPr>
          </w:p>
        </w:tc>
      </w:tr>
      <w:tr w:rsidR="00E407AF" w14:paraId="0389FD16" w14:textId="77777777" w:rsidTr="00530B02">
        <w:trPr>
          <w:trHeight w:hRule="exact" w:val="227"/>
        </w:trPr>
        <w:tc>
          <w:tcPr>
            <w:tcW w:w="810" w:type="pct"/>
          </w:tcPr>
          <w:p w14:paraId="0389FD0F" w14:textId="77777777" w:rsidR="00B03530" w:rsidRDefault="00B03530" w:rsidP="00D11709">
            <w:pPr>
              <w:pStyle w:val="Note-Refs"/>
            </w:pPr>
          </w:p>
        </w:tc>
        <w:tc>
          <w:tcPr>
            <w:tcW w:w="2297" w:type="pct"/>
            <w:shd w:val="clear" w:color="auto" w:fill="CCCCCC"/>
            <w:vAlign w:val="bottom"/>
          </w:tcPr>
          <w:p w14:paraId="0389FD10" w14:textId="77777777" w:rsidR="00B03530" w:rsidRDefault="00B03530" w:rsidP="00D11709">
            <w:pPr>
              <w:pStyle w:val="NotesTable-ItemPlain"/>
              <w:rPr>
                <w:b/>
              </w:rPr>
            </w:pPr>
            <w:r>
              <w:t>Australian Government financial assistance</w:t>
            </w:r>
          </w:p>
        </w:tc>
        <w:tc>
          <w:tcPr>
            <w:tcW w:w="270" w:type="pct"/>
            <w:shd w:val="clear" w:color="auto" w:fill="CCCCCC"/>
            <w:vAlign w:val="bottom"/>
          </w:tcPr>
          <w:p w14:paraId="0389FD11" w14:textId="77777777" w:rsidR="00B03530" w:rsidRDefault="00B03530" w:rsidP="005D4154">
            <w:pPr>
              <w:pStyle w:val="NotesTable-Notes"/>
            </w:pPr>
          </w:p>
        </w:tc>
        <w:tc>
          <w:tcPr>
            <w:tcW w:w="406" w:type="pct"/>
            <w:shd w:val="clear" w:color="auto" w:fill="CCCCCC"/>
            <w:vAlign w:val="bottom"/>
          </w:tcPr>
          <w:p w14:paraId="0389FD12" w14:textId="77777777" w:rsidR="00B03530" w:rsidRDefault="00B03530" w:rsidP="00606085">
            <w:pPr>
              <w:pStyle w:val="NotesTable-CellBold"/>
              <w:rPr>
                <w:b w:val="0"/>
              </w:rPr>
            </w:pPr>
            <w:r>
              <w:t>–</w:t>
            </w:r>
          </w:p>
        </w:tc>
        <w:tc>
          <w:tcPr>
            <w:tcW w:w="406" w:type="pct"/>
            <w:shd w:val="clear" w:color="auto" w:fill="CCCCCC"/>
            <w:vAlign w:val="bottom"/>
          </w:tcPr>
          <w:p w14:paraId="0389FD13" w14:textId="77777777" w:rsidR="00B03530" w:rsidRDefault="00B03530" w:rsidP="00606085">
            <w:pPr>
              <w:pStyle w:val="NotesTable-CellPlain"/>
              <w:rPr>
                <w:b/>
              </w:rPr>
            </w:pPr>
            <w:r>
              <w:t>–</w:t>
            </w:r>
          </w:p>
        </w:tc>
        <w:tc>
          <w:tcPr>
            <w:tcW w:w="406" w:type="pct"/>
            <w:shd w:val="clear" w:color="auto" w:fill="CCCCCC"/>
            <w:vAlign w:val="bottom"/>
          </w:tcPr>
          <w:p w14:paraId="0389FD14" w14:textId="77777777" w:rsidR="00B03530" w:rsidRDefault="00B03530" w:rsidP="00606085">
            <w:pPr>
              <w:pStyle w:val="NotesTable-CellBold"/>
              <w:rPr>
                <w:b w:val="0"/>
              </w:rPr>
            </w:pPr>
            <w:r>
              <w:t>–</w:t>
            </w:r>
          </w:p>
        </w:tc>
        <w:tc>
          <w:tcPr>
            <w:tcW w:w="405" w:type="pct"/>
            <w:shd w:val="clear" w:color="auto" w:fill="CCCCCC"/>
            <w:vAlign w:val="bottom"/>
          </w:tcPr>
          <w:p w14:paraId="0389FD15" w14:textId="77777777" w:rsidR="00B03530" w:rsidRDefault="00B03530" w:rsidP="00606085">
            <w:pPr>
              <w:pStyle w:val="NotesTable-CellPlain"/>
              <w:rPr>
                <w:b/>
              </w:rPr>
            </w:pPr>
            <w:r>
              <w:t>–</w:t>
            </w:r>
          </w:p>
        </w:tc>
      </w:tr>
      <w:tr w:rsidR="00E407AF" w14:paraId="0389FD1E" w14:textId="77777777" w:rsidTr="00530B02">
        <w:trPr>
          <w:trHeight w:hRule="exact" w:val="227"/>
        </w:trPr>
        <w:tc>
          <w:tcPr>
            <w:tcW w:w="810" w:type="pct"/>
          </w:tcPr>
          <w:p w14:paraId="0389FD17" w14:textId="77777777" w:rsidR="00B03530" w:rsidRDefault="00B03530" w:rsidP="00D11709">
            <w:pPr>
              <w:pStyle w:val="Note-Refs"/>
            </w:pPr>
          </w:p>
        </w:tc>
        <w:tc>
          <w:tcPr>
            <w:tcW w:w="2297" w:type="pct"/>
            <w:shd w:val="clear" w:color="auto" w:fill="CCCCCC"/>
            <w:vAlign w:val="bottom"/>
          </w:tcPr>
          <w:p w14:paraId="0389FD18" w14:textId="171A542E" w:rsidR="00B03530" w:rsidRDefault="00B03530">
            <w:pPr>
              <w:pStyle w:val="NotesTable-ItemIndent"/>
              <w:rPr>
                <w:b/>
              </w:rPr>
            </w:pPr>
            <w:r>
              <w:t>Australian Government grants</w:t>
            </w:r>
          </w:p>
        </w:tc>
        <w:tc>
          <w:tcPr>
            <w:tcW w:w="270" w:type="pct"/>
            <w:shd w:val="clear" w:color="auto" w:fill="CCCCCC"/>
            <w:vAlign w:val="bottom"/>
          </w:tcPr>
          <w:p w14:paraId="0389FD19" w14:textId="77777777" w:rsidR="00B03530" w:rsidRDefault="00B03530" w:rsidP="005D4154">
            <w:pPr>
              <w:pStyle w:val="NotesTable-Notes"/>
            </w:pPr>
            <w:r>
              <w:t>3</w:t>
            </w:r>
          </w:p>
        </w:tc>
        <w:tc>
          <w:tcPr>
            <w:tcW w:w="406" w:type="pct"/>
            <w:shd w:val="clear" w:color="auto" w:fill="CCCCCC"/>
            <w:vAlign w:val="bottom"/>
          </w:tcPr>
          <w:p w14:paraId="0389FD1A" w14:textId="77777777" w:rsidR="00B03530" w:rsidRDefault="00B03530" w:rsidP="00606085">
            <w:pPr>
              <w:pStyle w:val="NotesTable-CellBold"/>
              <w:rPr>
                <w:b w:val="0"/>
              </w:rPr>
            </w:pPr>
            <w:r>
              <w:t>–</w:t>
            </w:r>
          </w:p>
        </w:tc>
        <w:tc>
          <w:tcPr>
            <w:tcW w:w="406" w:type="pct"/>
            <w:shd w:val="clear" w:color="auto" w:fill="CCCCCC"/>
            <w:vAlign w:val="bottom"/>
          </w:tcPr>
          <w:p w14:paraId="0389FD1B" w14:textId="77777777" w:rsidR="00B03530" w:rsidRDefault="00B03530" w:rsidP="00606085">
            <w:pPr>
              <w:pStyle w:val="NotesTable-CellPlain"/>
              <w:rPr>
                <w:b/>
              </w:rPr>
            </w:pPr>
            <w:r>
              <w:t>–</w:t>
            </w:r>
          </w:p>
        </w:tc>
        <w:tc>
          <w:tcPr>
            <w:tcW w:w="406" w:type="pct"/>
            <w:shd w:val="clear" w:color="auto" w:fill="CCCCCC"/>
            <w:vAlign w:val="bottom"/>
          </w:tcPr>
          <w:p w14:paraId="0389FD1C" w14:textId="77777777" w:rsidR="00B03530" w:rsidRDefault="00B03530" w:rsidP="00606085">
            <w:pPr>
              <w:pStyle w:val="NotesTable-CellBold"/>
              <w:rPr>
                <w:b w:val="0"/>
              </w:rPr>
            </w:pPr>
            <w:r>
              <w:t>–</w:t>
            </w:r>
          </w:p>
        </w:tc>
        <w:tc>
          <w:tcPr>
            <w:tcW w:w="405" w:type="pct"/>
            <w:shd w:val="clear" w:color="auto" w:fill="CCCCCC"/>
            <w:vAlign w:val="bottom"/>
          </w:tcPr>
          <w:p w14:paraId="0389FD1D" w14:textId="77777777" w:rsidR="00B03530" w:rsidRDefault="00B03530" w:rsidP="00606085">
            <w:pPr>
              <w:pStyle w:val="NotesTable-CellPlain"/>
              <w:rPr>
                <w:b/>
              </w:rPr>
            </w:pPr>
            <w:r>
              <w:t>–</w:t>
            </w:r>
          </w:p>
        </w:tc>
      </w:tr>
      <w:tr w:rsidR="00E407AF" w14:paraId="0389FD26" w14:textId="77777777" w:rsidTr="00530B02">
        <w:trPr>
          <w:trHeight w:hRule="exact" w:val="227"/>
        </w:trPr>
        <w:tc>
          <w:tcPr>
            <w:tcW w:w="810" w:type="pct"/>
          </w:tcPr>
          <w:p w14:paraId="0389FD1F" w14:textId="77777777" w:rsidR="00E407AF" w:rsidRDefault="00E407AF" w:rsidP="00D11709">
            <w:pPr>
              <w:pStyle w:val="Note-Refs"/>
            </w:pPr>
          </w:p>
        </w:tc>
        <w:tc>
          <w:tcPr>
            <w:tcW w:w="2297" w:type="pct"/>
            <w:shd w:val="clear" w:color="auto" w:fill="CCCCCC"/>
            <w:vAlign w:val="bottom"/>
          </w:tcPr>
          <w:p w14:paraId="0389FD20" w14:textId="681C2DA5" w:rsidR="00E407AF" w:rsidRDefault="00E407AF">
            <w:pPr>
              <w:pStyle w:val="NotesTable-ItemIndent"/>
              <w:rPr>
                <w:b/>
              </w:rPr>
            </w:pPr>
            <w:r>
              <w:t>HELP – Australian</w:t>
            </w:r>
            <w:r w:rsidR="00CC2225">
              <w:t xml:space="preserve"> Government Payments</w:t>
            </w:r>
          </w:p>
        </w:tc>
        <w:tc>
          <w:tcPr>
            <w:tcW w:w="270" w:type="pct"/>
            <w:shd w:val="clear" w:color="auto" w:fill="CCCCCC"/>
            <w:vAlign w:val="bottom"/>
          </w:tcPr>
          <w:p w14:paraId="0389FD21" w14:textId="77777777" w:rsidR="00E407AF" w:rsidRDefault="00E407AF" w:rsidP="005D4154">
            <w:pPr>
              <w:pStyle w:val="NotesTable-Notes"/>
            </w:pPr>
            <w:r>
              <w:t>3</w:t>
            </w:r>
          </w:p>
        </w:tc>
        <w:tc>
          <w:tcPr>
            <w:tcW w:w="406" w:type="pct"/>
            <w:shd w:val="clear" w:color="auto" w:fill="CCCCCC"/>
            <w:vAlign w:val="bottom"/>
          </w:tcPr>
          <w:p w14:paraId="0389FD22" w14:textId="77777777" w:rsidR="00E407AF" w:rsidRDefault="00E407AF" w:rsidP="00606085">
            <w:pPr>
              <w:pStyle w:val="NotesTable-CellBold"/>
              <w:rPr>
                <w:b w:val="0"/>
              </w:rPr>
            </w:pPr>
            <w:r>
              <w:t>–</w:t>
            </w:r>
          </w:p>
        </w:tc>
        <w:tc>
          <w:tcPr>
            <w:tcW w:w="406" w:type="pct"/>
            <w:shd w:val="clear" w:color="auto" w:fill="CCCCCC"/>
            <w:vAlign w:val="bottom"/>
          </w:tcPr>
          <w:p w14:paraId="0389FD23" w14:textId="77777777" w:rsidR="00E407AF" w:rsidRDefault="00E407AF" w:rsidP="00606085">
            <w:pPr>
              <w:pStyle w:val="NotesTable-CellPlain"/>
              <w:rPr>
                <w:b/>
              </w:rPr>
            </w:pPr>
            <w:r>
              <w:t>–</w:t>
            </w:r>
          </w:p>
        </w:tc>
        <w:tc>
          <w:tcPr>
            <w:tcW w:w="406" w:type="pct"/>
            <w:shd w:val="clear" w:color="auto" w:fill="CCCCCC"/>
            <w:vAlign w:val="bottom"/>
          </w:tcPr>
          <w:p w14:paraId="0389FD24" w14:textId="77777777" w:rsidR="00E407AF" w:rsidRDefault="00E407AF" w:rsidP="00606085">
            <w:pPr>
              <w:pStyle w:val="NotesTable-CellBold"/>
              <w:rPr>
                <w:b w:val="0"/>
              </w:rPr>
            </w:pPr>
            <w:r>
              <w:t>–</w:t>
            </w:r>
          </w:p>
        </w:tc>
        <w:tc>
          <w:tcPr>
            <w:tcW w:w="405" w:type="pct"/>
            <w:shd w:val="clear" w:color="auto" w:fill="CCCCCC"/>
            <w:vAlign w:val="bottom"/>
          </w:tcPr>
          <w:p w14:paraId="0389FD25" w14:textId="77777777" w:rsidR="00E407AF" w:rsidRDefault="00E407AF" w:rsidP="00606085">
            <w:pPr>
              <w:pStyle w:val="NotesTable-CellPlain"/>
              <w:rPr>
                <w:b/>
              </w:rPr>
            </w:pPr>
            <w:r>
              <w:t>–</w:t>
            </w:r>
          </w:p>
        </w:tc>
      </w:tr>
      <w:tr w:rsidR="00E407AF" w14:paraId="0389FD2E" w14:textId="77777777" w:rsidTr="00530B02">
        <w:trPr>
          <w:trHeight w:hRule="exact" w:val="227"/>
        </w:trPr>
        <w:tc>
          <w:tcPr>
            <w:tcW w:w="810" w:type="pct"/>
          </w:tcPr>
          <w:p w14:paraId="0389FD27" w14:textId="77777777" w:rsidR="00E407AF" w:rsidRDefault="00E407AF" w:rsidP="00D11709">
            <w:pPr>
              <w:pStyle w:val="Note-Refs"/>
            </w:pPr>
          </w:p>
        </w:tc>
        <w:tc>
          <w:tcPr>
            <w:tcW w:w="2297" w:type="pct"/>
            <w:shd w:val="clear" w:color="auto" w:fill="CCCCCC"/>
            <w:vAlign w:val="bottom"/>
          </w:tcPr>
          <w:p w14:paraId="0389FD28" w14:textId="77777777" w:rsidR="00E407AF" w:rsidRDefault="00E407AF" w:rsidP="00D11709">
            <w:pPr>
              <w:pStyle w:val="NotesTable-ItemPlain"/>
              <w:rPr>
                <w:b/>
              </w:rPr>
            </w:pPr>
            <w:r>
              <w:t>State and local Government financial assistance</w:t>
            </w:r>
          </w:p>
        </w:tc>
        <w:tc>
          <w:tcPr>
            <w:tcW w:w="270" w:type="pct"/>
            <w:shd w:val="clear" w:color="auto" w:fill="CCCCCC"/>
            <w:vAlign w:val="bottom"/>
          </w:tcPr>
          <w:p w14:paraId="0389FD29" w14:textId="77777777" w:rsidR="00E407AF" w:rsidRDefault="00E407AF" w:rsidP="005D4154">
            <w:pPr>
              <w:pStyle w:val="NotesTable-Notes"/>
            </w:pPr>
            <w:r>
              <w:t>4</w:t>
            </w:r>
          </w:p>
        </w:tc>
        <w:tc>
          <w:tcPr>
            <w:tcW w:w="406" w:type="pct"/>
            <w:shd w:val="clear" w:color="auto" w:fill="CCCCCC"/>
            <w:vAlign w:val="bottom"/>
          </w:tcPr>
          <w:p w14:paraId="0389FD2A" w14:textId="77777777" w:rsidR="00E407AF" w:rsidRDefault="00E407AF" w:rsidP="00606085">
            <w:pPr>
              <w:pStyle w:val="NotesTable-CellBold"/>
              <w:rPr>
                <w:b w:val="0"/>
              </w:rPr>
            </w:pPr>
            <w:r>
              <w:t>–</w:t>
            </w:r>
          </w:p>
        </w:tc>
        <w:tc>
          <w:tcPr>
            <w:tcW w:w="406" w:type="pct"/>
            <w:shd w:val="clear" w:color="auto" w:fill="CCCCCC"/>
            <w:vAlign w:val="bottom"/>
          </w:tcPr>
          <w:p w14:paraId="0389FD2B" w14:textId="77777777" w:rsidR="00E407AF" w:rsidRDefault="00E407AF" w:rsidP="00606085">
            <w:pPr>
              <w:pStyle w:val="NotesTable-CellPlain"/>
              <w:rPr>
                <w:b/>
              </w:rPr>
            </w:pPr>
            <w:r>
              <w:t>–</w:t>
            </w:r>
          </w:p>
        </w:tc>
        <w:tc>
          <w:tcPr>
            <w:tcW w:w="406" w:type="pct"/>
            <w:shd w:val="clear" w:color="auto" w:fill="CCCCCC"/>
            <w:vAlign w:val="bottom"/>
          </w:tcPr>
          <w:p w14:paraId="0389FD2C" w14:textId="77777777" w:rsidR="00E407AF" w:rsidRDefault="00E407AF" w:rsidP="00606085">
            <w:pPr>
              <w:pStyle w:val="NotesTable-CellBold"/>
              <w:rPr>
                <w:b w:val="0"/>
              </w:rPr>
            </w:pPr>
            <w:r>
              <w:t>–</w:t>
            </w:r>
          </w:p>
        </w:tc>
        <w:tc>
          <w:tcPr>
            <w:tcW w:w="405" w:type="pct"/>
            <w:shd w:val="clear" w:color="auto" w:fill="CCCCCC"/>
            <w:vAlign w:val="bottom"/>
          </w:tcPr>
          <w:p w14:paraId="0389FD2D" w14:textId="77777777" w:rsidR="00E407AF" w:rsidRDefault="00E407AF" w:rsidP="00606085">
            <w:pPr>
              <w:pStyle w:val="NotesTable-CellPlain"/>
              <w:rPr>
                <w:b/>
              </w:rPr>
            </w:pPr>
            <w:r>
              <w:t>–</w:t>
            </w:r>
          </w:p>
        </w:tc>
      </w:tr>
      <w:tr w:rsidR="00E407AF" w14:paraId="0389FD36" w14:textId="77777777" w:rsidTr="00530B02">
        <w:trPr>
          <w:trHeight w:hRule="exact" w:val="227"/>
        </w:trPr>
        <w:tc>
          <w:tcPr>
            <w:tcW w:w="810" w:type="pct"/>
          </w:tcPr>
          <w:p w14:paraId="0389FD2F" w14:textId="77777777" w:rsidR="00E407AF" w:rsidRDefault="00E407AF" w:rsidP="00D11709">
            <w:pPr>
              <w:pStyle w:val="Note-Refs"/>
            </w:pPr>
          </w:p>
        </w:tc>
        <w:tc>
          <w:tcPr>
            <w:tcW w:w="2297" w:type="pct"/>
            <w:shd w:val="clear" w:color="auto" w:fill="CCCCCC"/>
            <w:vAlign w:val="bottom"/>
          </w:tcPr>
          <w:p w14:paraId="0389FD30" w14:textId="77777777" w:rsidR="00E407AF" w:rsidRDefault="00E407AF" w:rsidP="00D11709">
            <w:pPr>
              <w:pStyle w:val="NotesTable-ItemPlain"/>
              <w:rPr>
                <w:b/>
              </w:rPr>
            </w:pPr>
            <w:r>
              <w:t>HECS-HELP – Student Payments</w:t>
            </w:r>
          </w:p>
        </w:tc>
        <w:tc>
          <w:tcPr>
            <w:tcW w:w="270" w:type="pct"/>
            <w:shd w:val="clear" w:color="auto" w:fill="CCCCCC"/>
            <w:vAlign w:val="bottom"/>
          </w:tcPr>
          <w:p w14:paraId="0389FD31" w14:textId="77777777" w:rsidR="00E407AF" w:rsidRDefault="00E407AF" w:rsidP="005D4154">
            <w:pPr>
              <w:pStyle w:val="NotesTable-Notes"/>
              <w:rPr>
                <w:shd w:val="clear" w:color="auto" w:fill="00FFFF"/>
              </w:rPr>
            </w:pPr>
          </w:p>
        </w:tc>
        <w:tc>
          <w:tcPr>
            <w:tcW w:w="406" w:type="pct"/>
            <w:shd w:val="clear" w:color="auto" w:fill="CCCCCC"/>
            <w:vAlign w:val="bottom"/>
          </w:tcPr>
          <w:p w14:paraId="0389FD32" w14:textId="77777777" w:rsidR="00E407AF" w:rsidRDefault="00E407AF" w:rsidP="00606085">
            <w:pPr>
              <w:pStyle w:val="NotesTable-CellBold"/>
              <w:rPr>
                <w:b w:val="0"/>
              </w:rPr>
            </w:pPr>
            <w:r>
              <w:t>–</w:t>
            </w:r>
          </w:p>
        </w:tc>
        <w:tc>
          <w:tcPr>
            <w:tcW w:w="406" w:type="pct"/>
            <w:shd w:val="clear" w:color="auto" w:fill="CCCCCC"/>
            <w:vAlign w:val="bottom"/>
          </w:tcPr>
          <w:p w14:paraId="0389FD33" w14:textId="77777777" w:rsidR="00E407AF" w:rsidRDefault="00E407AF" w:rsidP="00606085">
            <w:pPr>
              <w:pStyle w:val="NotesTable-CellPlain"/>
              <w:rPr>
                <w:b/>
              </w:rPr>
            </w:pPr>
            <w:r>
              <w:t>–</w:t>
            </w:r>
          </w:p>
        </w:tc>
        <w:tc>
          <w:tcPr>
            <w:tcW w:w="406" w:type="pct"/>
            <w:shd w:val="clear" w:color="auto" w:fill="CCCCCC"/>
            <w:vAlign w:val="bottom"/>
          </w:tcPr>
          <w:p w14:paraId="0389FD34" w14:textId="77777777" w:rsidR="00E407AF" w:rsidRDefault="00E407AF" w:rsidP="00606085">
            <w:pPr>
              <w:pStyle w:val="NotesTable-CellBold"/>
              <w:rPr>
                <w:b w:val="0"/>
              </w:rPr>
            </w:pPr>
            <w:r>
              <w:t>–</w:t>
            </w:r>
          </w:p>
        </w:tc>
        <w:tc>
          <w:tcPr>
            <w:tcW w:w="405" w:type="pct"/>
            <w:shd w:val="clear" w:color="auto" w:fill="CCCCCC"/>
            <w:vAlign w:val="bottom"/>
          </w:tcPr>
          <w:p w14:paraId="0389FD35" w14:textId="77777777" w:rsidR="00E407AF" w:rsidRDefault="00E407AF" w:rsidP="00606085">
            <w:pPr>
              <w:pStyle w:val="NotesTable-CellPlain"/>
              <w:rPr>
                <w:b/>
              </w:rPr>
            </w:pPr>
            <w:r>
              <w:t>–</w:t>
            </w:r>
          </w:p>
        </w:tc>
      </w:tr>
      <w:tr w:rsidR="00E407AF" w14:paraId="0389FD3E" w14:textId="77777777" w:rsidTr="00530B02">
        <w:trPr>
          <w:trHeight w:hRule="exact" w:val="227"/>
        </w:trPr>
        <w:tc>
          <w:tcPr>
            <w:tcW w:w="810" w:type="pct"/>
          </w:tcPr>
          <w:p w14:paraId="0389FD37" w14:textId="77777777" w:rsidR="00E407AF" w:rsidRDefault="00E407AF" w:rsidP="00D11709">
            <w:pPr>
              <w:pStyle w:val="Note-Refs"/>
            </w:pPr>
          </w:p>
        </w:tc>
        <w:tc>
          <w:tcPr>
            <w:tcW w:w="2297" w:type="pct"/>
            <w:shd w:val="clear" w:color="auto" w:fill="CCCCCC"/>
            <w:vAlign w:val="bottom"/>
          </w:tcPr>
          <w:p w14:paraId="0389FD38" w14:textId="77777777" w:rsidR="00E407AF" w:rsidRDefault="00E407AF" w:rsidP="00D11709">
            <w:pPr>
              <w:pStyle w:val="NotesTable-ItemPlain"/>
              <w:rPr>
                <w:b/>
              </w:rPr>
            </w:pPr>
            <w:r>
              <w:t>Fees and charges</w:t>
            </w:r>
          </w:p>
        </w:tc>
        <w:tc>
          <w:tcPr>
            <w:tcW w:w="270" w:type="pct"/>
            <w:shd w:val="clear" w:color="auto" w:fill="CCCCCC"/>
            <w:vAlign w:val="bottom"/>
          </w:tcPr>
          <w:p w14:paraId="0389FD39" w14:textId="77777777" w:rsidR="00E407AF" w:rsidRDefault="00E407AF" w:rsidP="005D4154">
            <w:pPr>
              <w:pStyle w:val="NotesTable-Notes"/>
            </w:pPr>
            <w:r>
              <w:t>5</w:t>
            </w:r>
          </w:p>
        </w:tc>
        <w:tc>
          <w:tcPr>
            <w:tcW w:w="406" w:type="pct"/>
            <w:shd w:val="clear" w:color="auto" w:fill="CCCCCC"/>
            <w:vAlign w:val="bottom"/>
          </w:tcPr>
          <w:p w14:paraId="0389FD3A" w14:textId="77777777" w:rsidR="00E407AF" w:rsidRDefault="00E407AF" w:rsidP="00606085">
            <w:pPr>
              <w:pStyle w:val="NotesTable-CellBold"/>
              <w:rPr>
                <w:b w:val="0"/>
              </w:rPr>
            </w:pPr>
            <w:r>
              <w:t>–</w:t>
            </w:r>
          </w:p>
        </w:tc>
        <w:tc>
          <w:tcPr>
            <w:tcW w:w="406" w:type="pct"/>
            <w:shd w:val="clear" w:color="auto" w:fill="CCCCCC"/>
            <w:vAlign w:val="bottom"/>
          </w:tcPr>
          <w:p w14:paraId="0389FD3B" w14:textId="77777777" w:rsidR="00E407AF" w:rsidRDefault="00E407AF" w:rsidP="00606085">
            <w:pPr>
              <w:pStyle w:val="NotesTable-CellPlain"/>
              <w:rPr>
                <w:b/>
              </w:rPr>
            </w:pPr>
            <w:r>
              <w:t>–</w:t>
            </w:r>
          </w:p>
        </w:tc>
        <w:tc>
          <w:tcPr>
            <w:tcW w:w="406" w:type="pct"/>
            <w:shd w:val="clear" w:color="auto" w:fill="CCCCCC"/>
            <w:vAlign w:val="bottom"/>
          </w:tcPr>
          <w:p w14:paraId="0389FD3C" w14:textId="77777777" w:rsidR="00E407AF" w:rsidRDefault="00E407AF" w:rsidP="00606085">
            <w:pPr>
              <w:pStyle w:val="NotesTable-CellBold"/>
              <w:rPr>
                <w:b w:val="0"/>
              </w:rPr>
            </w:pPr>
            <w:r>
              <w:t>–</w:t>
            </w:r>
          </w:p>
        </w:tc>
        <w:tc>
          <w:tcPr>
            <w:tcW w:w="405" w:type="pct"/>
            <w:shd w:val="clear" w:color="auto" w:fill="CCCCCC"/>
            <w:vAlign w:val="bottom"/>
          </w:tcPr>
          <w:p w14:paraId="0389FD3D" w14:textId="77777777" w:rsidR="00E407AF" w:rsidRDefault="00E407AF" w:rsidP="00606085">
            <w:pPr>
              <w:pStyle w:val="NotesTable-CellPlain"/>
              <w:rPr>
                <w:b/>
              </w:rPr>
            </w:pPr>
            <w:r>
              <w:t>–</w:t>
            </w:r>
          </w:p>
        </w:tc>
      </w:tr>
      <w:tr w:rsidR="00E407AF" w14:paraId="0389FD46" w14:textId="77777777" w:rsidTr="00530B02">
        <w:trPr>
          <w:trHeight w:hRule="exact" w:val="227"/>
        </w:trPr>
        <w:tc>
          <w:tcPr>
            <w:tcW w:w="810" w:type="pct"/>
          </w:tcPr>
          <w:p w14:paraId="0389FD3F" w14:textId="77777777" w:rsidR="00E407AF" w:rsidRDefault="00E407AF" w:rsidP="00D11709">
            <w:pPr>
              <w:pStyle w:val="Note-Refs"/>
            </w:pPr>
          </w:p>
        </w:tc>
        <w:tc>
          <w:tcPr>
            <w:tcW w:w="2297" w:type="pct"/>
            <w:shd w:val="clear" w:color="auto" w:fill="CCCCCC"/>
            <w:vAlign w:val="bottom"/>
          </w:tcPr>
          <w:p w14:paraId="0389FD40" w14:textId="77777777" w:rsidR="00E407AF" w:rsidRDefault="00E407AF" w:rsidP="00D11709">
            <w:pPr>
              <w:pStyle w:val="NotesTable-ItemPlain"/>
              <w:rPr>
                <w:b/>
              </w:rPr>
            </w:pPr>
            <w:r>
              <w:t>Investment revenue</w:t>
            </w:r>
          </w:p>
        </w:tc>
        <w:tc>
          <w:tcPr>
            <w:tcW w:w="270" w:type="pct"/>
            <w:shd w:val="clear" w:color="auto" w:fill="CCCCCC"/>
            <w:vAlign w:val="bottom"/>
          </w:tcPr>
          <w:p w14:paraId="0389FD41" w14:textId="77777777" w:rsidR="00E407AF" w:rsidRDefault="00E407AF" w:rsidP="005D4154">
            <w:pPr>
              <w:pStyle w:val="NotesTable-Notes"/>
            </w:pPr>
            <w:r>
              <w:t>6</w:t>
            </w:r>
          </w:p>
        </w:tc>
        <w:tc>
          <w:tcPr>
            <w:tcW w:w="406" w:type="pct"/>
            <w:shd w:val="clear" w:color="auto" w:fill="CCCCCC"/>
            <w:vAlign w:val="bottom"/>
          </w:tcPr>
          <w:p w14:paraId="0389FD42" w14:textId="77777777" w:rsidR="00E407AF" w:rsidRDefault="00E407AF" w:rsidP="00606085">
            <w:pPr>
              <w:pStyle w:val="NotesTable-CellBold"/>
              <w:rPr>
                <w:b w:val="0"/>
              </w:rPr>
            </w:pPr>
            <w:r>
              <w:t>–</w:t>
            </w:r>
          </w:p>
        </w:tc>
        <w:tc>
          <w:tcPr>
            <w:tcW w:w="406" w:type="pct"/>
            <w:shd w:val="clear" w:color="auto" w:fill="CCCCCC"/>
            <w:vAlign w:val="bottom"/>
          </w:tcPr>
          <w:p w14:paraId="0389FD43" w14:textId="77777777" w:rsidR="00E407AF" w:rsidRDefault="00E407AF" w:rsidP="00606085">
            <w:pPr>
              <w:pStyle w:val="NotesTable-CellPlain"/>
              <w:rPr>
                <w:b/>
              </w:rPr>
            </w:pPr>
            <w:r>
              <w:t>–</w:t>
            </w:r>
          </w:p>
        </w:tc>
        <w:tc>
          <w:tcPr>
            <w:tcW w:w="406" w:type="pct"/>
            <w:shd w:val="clear" w:color="auto" w:fill="CCCCCC"/>
            <w:vAlign w:val="bottom"/>
          </w:tcPr>
          <w:p w14:paraId="0389FD44" w14:textId="77777777" w:rsidR="00E407AF" w:rsidRDefault="00E407AF" w:rsidP="00606085">
            <w:pPr>
              <w:pStyle w:val="NotesTable-CellBold"/>
              <w:rPr>
                <w:b w:val="0"/>
              </w:rPr>
            </w:pPr>
            <w:r>
              <w:t>–</w:t>
            </w:r>
          </w:p>
        </w:tc>
        <w:tc>
          <w:tcPr>
            <w:tcW w:w="405" w:type="pct"/>
            <w:shd w:val="clear" w:color="auto" w:fill="CCCCCC"/>
            <w:vAlign w:val="bottom"/>
          </w:tcPr>
          <w:p w14:paraId="0389FD45" w14:textId="77777777" w:rsidR="00E407AF" w:rsidRDefault="00E407AF" w:rsidP="00606085">
            <w:pPr>
              <w:pStyle w:val="NotesTable-CellPlain"/>
              <w:rPr>
                <w:b/>
              </w:rPr>
            </w:pPr>
            <w:r>
              <w:t>–</w:t>
            </w:r>
          </w:p>
        </w:tc>
      </w:tr>
      <w:tr w:rsidR="00E407AF" w14:paraId="0389FD4E" w14:textId="77777777" w:rsidTr="00530B02">
        <w:trPr>
          <w:trHeight w:hRule="exact" w:val="227"/>
        </w:trPr>
        <w:tc>
          <w:tcPr>
            <w:tcW w:w="810" w:type="pct"/>
          </w:tcPr>
          <w:p w14:paraId="0389FD47" w14:textId="77777777" w:rsidR="00E407AF" w:rsidRDefault="00E407AF" w:rsidP="00D11709">
            <w:pPr>
              <w:pStyle w:val="Note-Refs"/>
            </w:pPr>
          </w:p>
        </w:tc>
        <w:tc>
          <w:tcPr>
            <w:tcW w:w="2297" w:type="pct"/>
            <w:shd w:val="clear" w:color="auto" w:fill="CCCCCC"/>
            <w:vAlign w:val="bottom"/>
          </w:tcPr>
          <w:p w14:paraId="0389FD48" w14:textId="77777777" w:rsidR="00E407AF" w:rsidRDefault="00E407AF" w:rsidP="00D11709">
            <w:pPr>
              <w:pStyle w:val="NotesTable-ItemPlain"/>
              <w:rPr>
                <w:b/>
              </w:rPr>
            </w:pPr>
            <w:r>
              <w:t>Royalties, trademarks and licences</w:t>
            </w:r>
          </w:p>
        </w:tc>
        <w:tc>
          <w:tcPr>
            <w:tcW w:w="270" w:type="pct"/>
            <w:shd w:val="clear" w:color="auto" w:fill="CCCCCC"/>
            <w:vAlign w:val="bottom"/>
          </w:tcPr>
          <w:p w14:paraId="0389FD49" w14:textId="77777777" w:rsidR="00E407AF" w:rsidRDefault="00E407AF" w:rsidP="005D4154">
            <w:pPr>
              <w:pStyle w:val="NotesTable-Notes"/>
            </w:pPr>
            <w:r>
              <w:t>7</w:t>
            </w:r>
          </w:p>
        </w:tc>
        <w:tc>
          <w:tcPr>
            <w:tcW w:w="406" w:type="pct"/>
            <w:shd w:val="clear" w:color="auto" w:fill="CCCCCC"/>
            <w:vAlign w:val="bottom"/>
          </w:tcPr>
          <w:p w14:paraId="0389FD4A" w14:textId="77777777" w:rsidR="00E407AF" w:rsidRDefault="00E407AF" w:rsidP="00606085">
            <w:pPr>
              <w:pStyle w:val="NotesTable-CellBold"/>
              <w:rPr>
                <w:b w:val="0"/>
              </w:rPr>
            </w:pPr>
            <w:r>
              <w:t>–</w:t>
            </w:r>
          </w:p>
        </w:tc>
        <w:tc>
          <w:tcPr>
            <w:tcW w:w="406" w:type="pct"/>
            <w:shd w:val="clear" w:color="auto" w:fill="CCCCCC"/>
            <w:vAlign w:val="bottom"/>
          </w:tcPr>
          <w:p w14:paraId="0389FD4B" w14:textId="77777777" w:rsidR="00E407AF" w:rsidRDefault="00E407AF" w:rsidP="00606085">
            <w:pPr>
              <w:pStyle w:val="NotesTable-CellPlain"/>
              <w:rPr>
                <w:b/>
              </w:rPr>
            </w:pPr>
            <w:r>
              <w:t>–</w:t>
            </w:r>
          </w:p>
        </w:tc>
        <w:tc>
          <w:tcPr>
            <w:tcW w:w="406" w:type="pct"/>
            <w:shd w:val="clear" w:color="auto" w:fill="CCCCCC"/>
            <w:vAlign w:val="bottom"/>
          </w:tcPr>
          <w:p w14:paraId="0389FD4C" w14:textId="77777777" w:rsidR="00E407AF" w:rsidRDefault="00E407AF" w:rsidP="00606085">
            <w:pPr>
              <w:pStyle w:val="NotesTable-CellBold"/>
              <w:rPr>
                <w:b w:val="0"/>
              </w:rPr>
            </w:pPr>
            <w:r>
              <w:t>–</w:t>
            </w:r>
          </w:p>
        </w:tc>
        <w:tc>
          <w:tcPr>
            <w:tcW w:w="405" w:type="pct"/>
            <w:shd w:val="clear" w:color="auto" w:fill="CCCCCC"/>
            <w:vAlign w:val="bottom"/>
          </w:tcPr>
          <w:p w14:paraId="0389FD4D" w14:textId="77777777" w:rsidR="00E407AF" w:rsidRDefault="00E407AF" w:rsidP="00606085">
            <w:pPr>
              <w:pStyle w:val="NotesTable-CellPlain"/>
              <w:rPr>
                <w:b/>
              </w:rPr>
            </w:pPr>
            <w:r>
              <w:t>–</w:t>
            </w:r>
          </w:p>
        </w:tc>
      </w:tr>
      <w:tr w:rsidR="00E407AF" w14:paraId="0389FD56" w14:textId="77777777" w:rsidTr="00530B02">
        <w:trPr>
          <w:trHeight w:hRule="exact" w:val="227"/>
        </w:trPr>
        <w:tc>
          <w:tcPr>
            <w:tcW w:w="810" w:type="pct"/>
          </w:tcPr>
          <w:p w14:paraId="0389FD4F" w14:textId="77777777" w:rsidR="00E407AF" w:rsidRDefault="00E407AF" w:rsidP="00D11709">
            <w:pPr>
              <w:pStyle w:val="Note-Refs"/>
            </w:pPr>
          </w:p>
        </w:tc>
        <w:tc>
          <w:tcPr>
            <w:tcW w:w="2297" w:type="pct"/>
            <w:shd w:val="clear" w:color="auto" w:fill="CCCCCC"/>
            <w:vAlign w:val="bottom"/>
          </w:tcPr>
          <w:p w14:paraId="0389FD50" w14:textId="77777777" w:rsidR="00E407AF" w:rsidRDefault="00E407AF" w:rsidP="00D11709">
            <w:pPr>
              <w:pStyle w:val="NotesTable-ItemPlain"/>
              <w:rPr>
                <w:b/>
              </w:rPr>
            </w:pPr>
            <w:r>
              <w:t>Consultancy and contracts</w:t>
            </w:r>
          </w:p>
        </w:tc>
        <w:tc>
          <w:tcPr>
            <w:tcW w:w="270" w:type="pct"/>
            <w:shd w:val="clear" w:color="auto" w:fill="CCCCCC"/>
            <w:vAlign w:val="bottom"/>
          </w:tcPr>
          <w:p w14:paraId="0389FD51" w14:textId="77777777" w:rsidR="00E407AF" w:rsidRDefault="00E407AF" w:rsidP="005D4154">
            <w:pPr>
              <w:pStyle w:val="NotesTable-Notes"/>
            </w:pPr>
            <w:r>
              <w:t>8</w:t>
            </w:r>
          </w:p>
        </w:tc>
        <w:tc>
          <w:tcPr>
            <w:tcW w:w="406" w:type="pct"/>
            <w:shd w:val="clear" w:color="auto" w:fill="CCCCCC"/>
            <w:vAlign w:val="bottom"/>
          </w:tcPr>
          <w:p w14:paraId="0389FD52" w14:textId="77777777" w:rsidR="00E407AF" w:rsidRDefault="00E407AF" w:rsidP="00606085">
            <w:pPr>
              <w:pStyle w:val="NotesTable-CellBold"/>
              <w:rPr>
                <w:b w:val="0"/>
              </w:rPr>
            </w:pPr>
            <w:r>
              <w:t>–</w:t>
            </w:r>
          </w:p>
        </w:tc>
        <w:tc>
          <w:tcPr>
            <w:tcW w:w="406" w:type="pct"/>
            <w:shd w:val="clear" w:color="auto" w:fill="CCCCCC"/>
            <w:vAlign w:val="bottom"/>
          </w:tcPr>
          <w:p w14:paraId="0389FD53" w14:textId="77777777" w:rsidR="00E407AF" w:rsidRDefault="00E407AF" w:rsidP="00606085">
            <w:pPr>
              <w:pStyle w:val="NotesTable-CellPlain"/>
              <w:rPr>
                <w:b/>
              </w:rPr>
            </w:pPr>
            <w:r>
              <w:t>–</w:t>
            </w:r>
          </w:p>
        </w:tc>
        <w:tc>
          <w:tcPr>
            <w:tcW w:w="406" w:type="pct"/>
            <w:shd w:val="clear" w:color="auto" w:fill="CCCCCC"/>
            <w:vAlign w:val="bottom"/>
          </w:tcPr>
          <w:p w14:paraId="0389FD54" w14:textId="77777777" w:rsidR="00E407AF" w:rsidRDefault="00E407AF" w:rsidP="00606085">
            <w:pPr>
              <w:pStyle w:val="NotesTable-CellBold"/>
              <w:rPr>
                <w:b w:val="0"/>
              </w:rPr>
            </w:pPr>
            <w:r>
              <w:t>–</w:t>
            </w:r>
          </w:p>
        </w:tc>
        <w:tc>
          <w:tcPr>
            <w:tcW w:w="405" w:type="pct"/>
            <w:shd w:val="clear" w:color="auto" w:fill="CCCCCC"/>
            <w:vAlign w:val="bottom"/>
          </w:tcPr>
          <w:p w14:paraId="0389FD55" w14:textId="77777777" w:rsidR="00E407AF" w:rsidRDefault="00E407AF" w:rsidP="00606085">
            <w:pPr>
              <w:pStyle w:val="NotesTable-CellPlain"/>
              <w:rPr>
                <w:b/>
              </w:rPr>
            </w:pPr>
            <w:r>
              <w:t>–</w:t>
            </w:r>
          </w:p>
        </w:tc>
      </w:tr>
      <w:tr w:rsidR="00E407AF" w14:paraId="0389FD5E" w14:textId="77777777" w:rsidTr="00530B02">
        <w:trPr>
          <w:trHeight w:hRule="exact" w:val="227"/>
        </w:trPr>
        <w:tc>
          <w:tcPr>
            <w:tcW w:w="810" w:type="pct"/>
          </w:tcPr>
          <w:p w14:paraId="0389FD57" w14:textId="77777777" w:rsidR="00E407AF" w:rsidRDefault="00E407AF" w:rsidP="00D11709">
            <w:pPr>
              <w:pStyle w:val="Note-Refs"/>
            </w:pPr>
          </w:p>
        </w:tc>
        <w:tc>
          <w:tcPr>
            <w:tcW w:w="2297" w:type="pct"/>
            <w:shd w:val="clear" w:color="auto" w:fill="CCCCCC"/>
            <w:vAlign w:val="bottom"/>
          </w:tcPr>
          <w:p w14:paraId="0389FD58" w14:textId="77777777" w:rsidR="00E407AF" w:rsidRDefault="00E407AF" w:rsidP="00D11709">
            <w:pPr>
              <w:pStyle w:val="NotesTable-ItemPlain"/>
              <w:rPr>
                <w:b/>
              </w:rPr>
            </w:pPr>
            <w:r>
              <w:t>Other Revenue</w:t>
            </w:r>
          </w:p>
        </w:tc>
        <w:tc>
          <w:tcPr>
            <w:tcW w:w="270" w:type="pct"/>
            <w:shd w:val="clear" w:color="auto" w:fill="CCCCCC"/>
            <w:vAlign w:val="bottom"/>
          </w:tcPr>
          <w:p w14:paraId="0389FD59" w14:textId="77777777" w:rsidR="00E407AF" w:rsidRDefault="00E407AF" w:rsidP="005D4154">
            <w:pPr>
              <w:pStyle w:val="NotesTable-Notes"/>
            </w:pPr>
            <w:r>
              <w:t>9</w:t>
            </w:r>
          </w:p>
        </w:tc>
        <w:tc>
          <w:tcPr>
            <w:tcW w:w="406" w:type="pct"/>
            <w:tcBorders>
              <w:bottom w:val="single" w:sz="4" w:space="0" w:color="000000"/>
            </w:tcBorders>
            <w:shd w:val="clear" w:color="auto" w:fill="CCCCCC"/>
            <w:vAlign w:val="bottom"/>
          </w:tcPr>
          <w:p w14:paraId="0389FD5A" w14:textId="77777777" w:rsidR="00E407AF" w:rsidRDefault="00E407AF" w:rsidP="00606085">
            <w:pPr>
              <w:pStyle w:val="NotesTable-CellBold"/>
              <w:rPr>
                <w:b w:val="0"/>
              </w:rPr>
            </w:pPr>
            <w:r>
              <w:t>–</w:t>
            </w:r>
          </w:p>
        </w:tc>
        <w:tc>
          <w:tcPr>
            <w:tcW w:w="406" w:type="pct"/>
            <w:tcBorders>
              <w:bottom w:val="single" w:sz="4" w:space="0" w:color="000000"/>
            </w:tcBorders>
            <w:shd w:val="clear" w:color="auto" w:fill="CCCCCC"/>
            <w:vAlign w:val="bottom"/>
          </w:tcPr>
          <w:p w14:paraId="0389FD5B" w14:textId="77777777" w:rsidR="00E407AF" w:rsidRDefault="00E407AF" w:rsidP="00606085">
            <w:pPr>
              <w:pStyle w:val="NotesTable-CellPlain"/>
              <w:rPr>
                <w:b/>
              </w:rPr>
            </w:pPr>
            <w:r>
              <w:t>–</w:t>
            </w:r>
          </w:p>
        </w:tc>
        <w:tc>
          <w:tcPr>
            <w:tcW w:w="406" w:type="pct"/>
            <w:tcBorders>
              <w:bottom w:val="single" w:sz="4" w:space="0" w:color="000000"/>
            </w:tcBorders>
            <w:shd w:val="clear" w:color="auto" w:fill="CCCCCC"/>
            <w:vAlign w:val="bottom"/>
          </w:tcPr>
          <w:p w14:paraId="0389FD5C" w14:textId="77777777" w:rsidR="00E407AF" w:rsidRDefault="00E407AF" w:rsidP="00606085">
            <w:pPr>
              <w:pStyle w:val="NotesTable-CellBold"/>
              <w:rPr>
                <w:b w:val="0"/>
              </w:rPr>
            </w:pPr>
            <w:r>
              <w:t>–</w:t>
            </w:r>
          </w:p>
        </w:tc>
        <w:tc>
          <w:tcPr>
            <w:tcW w:w="405" w:type="pct"/>
            <w:tcBorders>
              <w:bottom w:val="single" w:sz="4" w:space="0" w:color="000000"/>
            </w:tcBorders>
            <w:shd w:val="clear" w:color="auto" w:fill="CCCCCC"/>
            <w:vAlign w:val="bottom"/>
          </w:tcPr>
          <w:p w14:paraId="0389FD5D" w14:textId="77777777" w:rsidR="00E407AF" w:rsidRDefault="00E407AF" w:rsidP="00606085">
            <w:pPr>
              <w:pStyle w:val="NotesTable-CellPlain"/>
              <w:rPr>
                <w:b/>
              </w:rPr>
            </w:pPr>
            <w:r>
              <w:t>–</w:t>
            </w:r>
          </w:p>
        </w:tc>
      </w:tr>
      <w:tr w:rsidR="00E407AF" w14:paraId="0389FD66" w14:textId="77777777" w:rsidTr="00530B02">
        <w:trPr>
          <w:trHeight w:hRule="exact" w:val="227"/>
        </w:trPr>
        <w:tc>
          <w:tcPr>
            <w:tcW w:w="810" w:type="pct"/>
            <w:vAlign w:val="center"/>
          </w:tcPr>
          <w:p w14:paraId="0389FD5F" w14:textId="77777777" w:rsidR="00E407AF" w:rsidRDefault="00E407AF" w:rsidP="00D11709">
            <w:pPr>
              <w:pStyle w:val="Note-Refs"/>
              <w:rPr>
                <w:b/>
              </w:rPr>
            </w:pPr>
            <w:r>
              <w:t>AASB101.82a</w:t>
            </w:r>
          </w:p>
        </w:tc>
        <w:tc>
          <w:tcPr>
            <w:tcW w:w="2297" w:type="pct"/>
            <w:shd w:val="clear" w:color="auto" w:fill="CCCCCC"/>
            <w:vAlign w:val="bottom"/>
          </w:tcPr>
          <w:p w14:paraId="0389FD60" w14:textId="77777777" w:rsidR="00E407AF" w:rsidRDefault="00E407AF">
            <w:pPr>
              <w:pStyle w:val="Statement-ItemBold"/>
            </w:pPr>
            <w:r>
              <w:t xml:space="preserve">Total revenue </w:t>
            </w:r>
            <w:r w:rsidRPr="00911226">
              <w:t>from</w:t>
            </w:r>
            <w:r>
              <w:t xml:space="preserve"> continuing operations</w:t>
            </w:r>
          </w:p>
        </w:tc>
        <w:tc>
          <w:tcPr>
            <w:tcW w:w="270" w:type="pct"/>
            <w:shd w:val="clear" w:color="auto" w:fill="CCCCCC"/>
            <w:vAlign w:val="bottom"/>
          </w:tcPr>
          <w:p w14:paraId="0389FD61" w14:textId="77777777" w:rsidR="00E407AF" w:rsidRDefault="00E407AF" w:rsidP="005D4154">
            <w:pPr>
              <w:pStyle w:val="NotesTable-Notes"/>
            </w:pPr>
          </w:p>
        </w:tc>
        <w:tc>
          <w:tcPr>
            <w:tcW w:w="406" w:type="pct"/>
            <w:tcBorders>
              <w:top w:val="single" w:sz="4" w:space="0" w:color="000000"/>
            </w:tcBorders>
            <w:shd w:val="clear" w:color="auto" w:fill="CCCCCC"/>
            <w:vAlign w:val="bottom"/>
          </w:tcPr>
          <w:p w14:paraId="0389FD62" w14:textId="77777777" w:rsidR="00E407AF" w:rsidRDefault="00E407AF" w:rsidP="00606085">
            <w:pPr>
              <w:pStyle w:val="NotesTable-CellBold"/>
              <w:rPr>
                <w:b w:val="0"/>
              </w:rPr>
            </w:pPr>
            <w:r>
              <w:t>–</w:t>
            </w:r>
          </w:p>
        </w:tc>
        <w:tc>
          <w:tcPr>
            <w:tcW w:w="406" w:type="pct"/>
            <w:tcBorders>
              <w:top w:val="single" w:sz="4" w:space="0" w:color="000000"/>
            </w:tcBorders>
            <w:shd w:val="clear" w:color="auto" w:fill="CCCCCC"/>
            <w:vAlign w:val="bottom"/>
          </w:tcPr>
          <w:p w14:paraId="0389FD63" w14:textId="77777777" w:rsidR="00E407AF" w:rsidRDefault="00E407AF" w:rsidP="00606085">
            <w:pPr>
              <w:pStyle w:val="NotesTable-CellPlain"/>
              <w:rPr>
                <w:b/>
              </w:rPr>
            </w:pPr>
            <w:r>
              <w:t>–</w:t>
            </w:r>
          </w:p>
        </w:tc>
        <w:tc>
          <w:tcPr>
            <w:tcW w:w="406" w:type="pct"/>
            <w:tcBorders>
              <w:top w:val="single" w:sz="4" w:space="0" w:color="000000"/>
            </w:tcBorders>
            <w:shd w:val="clear" w:color="auto" w:fill="CCCCCC"/>
            <w:vAlign w:val="bottom"/>
          </w:tcPr>
          <w:p w14:paraId="0389FD64" w14:textId="77777777" w:rsidR="00E407AF" w:rsidRDefault="00E407AF" w:rsidP="00606085">
            <w:pPr>
              <w:pStyle w:val="NotesTable-CellBold"/>
              <w:rPr>
                <w:b w:val="0"/>
              </w:rPr>
            </w:pPr>
            <w:r>
              <w:t>–</w:t>
            </w:r>
          </w:p>
        </w:tc>
        <w:tc>
          <w:tcPr>
            <w:tcW w:w="405" w:type="pct"/>
            <w:tcBorders>
              <w:top w:val="single" w:sz="4" w:space="0" w:color="000000"/>
            </w:tcBorders>
            <w:shd w:val="clear" w:color="auto" w:fill="CCCCCC"/>
            <w:vAlign w:val="bottom"/>
          </w:tcPr>
          <w:p w14:paraId="0389FD65" w14:textId="77777777" w:rsidR="00E407AF" w:rsidRDefault="00E407AF" w:rsidP="00606085">
            <w:pPr>
              <w:pStyle w:val="NotesTable-CellPlain"/>
              <w:rPr>
                <w:b/>
              </w:rPr>
            </w:pPr>
            <w:r>
              <w:t>–</w:t>
            </w:r>
          </w:p>
        </w:tc>
      </w:tr>
      <w:tr w:rsidR="00E407AF" w14:paraId="0389FD6E" w14:textId="77777777" w:rsidTr="00530B02">
        <w:trPr>
          <w:trHeight w:hRule="exact" w:val="227"/>
        </w:trPr>
        <w:tc>
          <w:tcPr>
            <w:tcW w:w="810" w:type="pct"/>
          </w:tcPr>
          <w:p w14:paraId="0389FD67" w14:textId="77777777" w:rsidR="00E407AF" w:rsidRDefault="00E407AF" w:rsidP="00D11709">
            <w:pPr>
              <w:pStyle w:val="Note-Refs"/>
            </w:pPr>
          </w:p>
        </w:tc>
        <w:tc>
          <w:tcPr>
            <w:tcW w:w="2297" w:type="pct"/>
            <w:shd w:val="clear" w:color="auto" w:fill="CCCCCC"/>
            <w:vAlign w:val="bottom"/>
          </w:tcPr>
          <w:p w14:paraId="0389FD68" w14:textId="77777777" w:rsidR="00E407AF" w:rsidRDefault="00E407AF" w:rsidP="00D11709">
            <w:pPr>
              <w:pStyle w:val="NotesTable-ItemPlain"/>
              <w:rPr>
                <w:b/>
              </w:rPr>
            </w:pPr>
            <w:r>
              <w:t>Gains on disposal of assets</w:t>
            </w:r>
          </w:p>
        </w:tc>
        <w:tc>
          <w:tcPr>
            <w:tcW w:w="270" w:type="pct"/>
            <w:shd w:val="clear" w:color="auto" w:fill="CCCCCC"/>
            <w:vAlign w:val="bottom"/>
          </w:tcPr>
          <w:p w14:paraId="0389FD69" w14:textId="77777777" w:rsidR="00E407AF" w:rsidRDefault="00E407AF" w:rsidP="005D4154">
            <w:pPr>
              <w:pStyle w:val="NotesTable-Notes"/>
            </w:pPr>
          </w:p>
        </w:tc>
        <w:tc>
          <w:tcPr>
            <w:tcW w:w="406" w:type="pct"/>
            <w:shd w:val="clear" w:color="auto" w:fill="CCCCCC"/>
            <w:vAlign w:val="bottom"/>
          </w:tcPr>
          <w:p w14:paraId="0389FD6A" w14:textId="77777777" w:rsidR="00E407AF" w:rsidRDefault="00E407AF" w:rsidP="00606085">
            <w:pPr>
              <w:pStyle w:val="NotesTable-CellBold"/>
              <w:rPr>
                <w:b w:val="0"/>
              </w:rPr>
            </w:pPr>
            <w:r>
              <w:t>–</w:t>
            </w:r>
          </w:p>
        </w:tc>
        <w:tc>
          <w:tcPr>
            <w:tcW w:w="406" w:type="pct"/>
            <w:shd w:val="clear" w:color="auto" w:fill="CCCCCC"/>
            <w:vAlign w:val="bottom"/>
          </w:tcPr>
          <w:p w14:paraId="0389FD6B" w14:textId="77777777" w:rsidR="00E407AF" w:rsidRPr="006C4169" w:rsidRDefault="00E407AF" w:rsidP="00606085">
            <w:pPr>
              <w:pStyle w:val="NotesTable-CellPlain"/>
              <w:rPr>
                <w:b/>
              </w:rPr>
            </w:pPr>
            <w:r w:rsidRPr="006C4169">
              <w:t>–</w:t>
            </w:r>
          </w:p>
        </w:tc>
        <w:tc>
          <w:tcPr>
            <w:tcW w:w="406" w:type="pct"/>
            <w:shd w:val="clear" w:color="auto" w:fill="CCCCCC"/>
            <w:vAlign w:val="bottom"/>
          </w:tcPr>
          <w:p w14:paraId="0389FD6C" w14:textId="77777777" w:rsidR="00E407AF" w:rsidRDefault="00E407AF" w:rsidP="00606085">
            <w:pPr>
              <w:pStyle w:val="NotesTable-CellBold"/>
              <w:rPr>
                <w:b w:val="0"/>
              </w:rPr>
            </w:pPr>
            <w:r>
              <w:t>–</w:t>
            </w:r>
          </w:p>
        </w:tc>
        <w:tc>
          <w:tcPr>
            <w:tcW w:w="405" w:type="pct"/>
            <w:shd w:val="clear" w:color="auto" w:fill="CCCCCC"/>
            <w:vAlign w:val="bottom"/>
          </w:tcPr>
          <w:p w14:paraId="0389FD6D" w14:textId="77777777" w:rsidR="00E407AF" w:rsidRPr="006C4169" w:rsidRDefault="00E407AF" w:rsidP="00606085">
            <w:pPr>
              <w:pStyle w:val="NotesTable-CellPlain"/>
              <w:rPr>
                <w:b/>
              </w:rPr>
            </w:pPr>
            <w:r w:rsidRPr="006C4169">
              <w:t>–</w:t>
            </w:r>
          </w:p>
        </w:tc>
      </w:tr>
      <w:tr w:rsidR="00E407AF" w14:paraId="0389FD76" w14:textId="77777777" w:rsidTr="00530B02">
        <w:trPr>
          <w:trHeight w:hRule="exact" w:val="454"/>
        </w:trPr>
        <w:tc>
          <w:tcPr>
            <w:tcW w:w="810" w:type="pct"/>
          </w:tcPr>
          <w:p w14:paraId="0389FD6F" w14:textId="77777777" w:rsidR="00E407AF" w:rsidRDefault="00E407AF" w:rsidP="00D11709">
            <w:pPr>
              <w:pStyle w:val="Note-Refs"/>
              <w:rPr>
                <w:b/>
              </w:rPr>
            </w:pPr>
            <w:r>
              <w:t>AASB101.82c</w:t>
            </w:r>
          </w:p>
        </w:tc>
        <w:tc>
          <w:tcPr>
            <w:tcW w:w="2297" w:type="pct"/>
            <w:shd w:val="clear" w:color="auto" w:fill="CCCCCC"/>
            <w:vAlign w:val="bottom"/>
          </w:tcPr>
          <w:p w14:paraId="0389FD70" w14:textId="77777777" w:rsidR="00E407AF" w:rsidRDefault="00E407AF" w:rsidP="00D11709">
            <w:pPr>
              <w:pStyle w:val="NotesTable-ItemPlain"/>
              <w:rPr>
                <w:b/>
              </w:rPr>
            </w:pPr>
            <w:r>
              <w:t xml:space="preserve">Share of profit </w:t>
            </w:r>
            <w:r w:rsidR="00AB2871">
              <w:t xml:space="preserve">or loss </w:t>
            </w:r>
            <w:r>
              <w:t>on investments accounted for using the equity method</w:t>
            </w:r>
          </w:p>
        </w:tc>
        <w:tc>
          <w:tcPr>
            <w:tcW w:w="270" w:type="pct"/>
            <w:shd w:val="clear" w:color="auto" w:fill="CCCCCC"/>
            <w:vAlign w:val="bottom"/>
          </w:tcPr>
          <w:p w14:paraId="0389FD71" w14:textId="62736B59" w:rsidR="00E407AF" w:rsidRDefault="00E407AF" w:rsidP="005D4154">
            <w:pPr>
              <w:pStyle w:val="NotesTable-Notes"/>
              <w:rPr>
                <w:b/>
              </w:rPr>
            </w:pPr>
            <w:r>
              <w:t>2</w:t>
            </w:r>
            <w:r w:rsidR="00B7054C">
              <w:t>4</w:t>
            </w:r>
          </w:p>
        </w:tc>
        <w:tc>
          <w:tcPr>
            <w:tcW w:w="406" w:type="pct"/>
            <w:shd w:val="clear" w:color="auto" w:fill="CCCCCC"/>
            <w:vAlign w:val="bottom"/>
          </w:tcPr>
          <w:p w14:paraId="0389FD72" w14:textId="77777777" w:rsidR="00E407AF" w:rsidRDefault="00E407AF" w:rsidP="00606085">
            <w:pPr>
              <w:pStyle w:val="NotesTable-CellBold"/>
              <w:rPr>
                <w:b w:val="0"/>
              </w:rPr>
            </w:pPr>
            <w:r>
              <w:t>–</w:t>
            </w:r>
          </w:p>
        </w:tc>
        <w:tc>
          <w:tcPr>
            <w:tcW w:w="406" w:type="pct"/>
            <w:shd w:val="clear" w:color="auto" w:fill="CCCCCC"/>
            <w:vAlign w:val="bottom"/>
          </w:tcPr>
          <w:p w14:paraId="0389FD73" w14:textId="77777777" w:rsidR="00E407AF" w:rsidRDefault="00E407AF" w:rsidP="00606085">
            <w:pPr>
              <w:pStyle w:val="NotesTable-CellPlain"/>
              <w:rPr>
                <w:b/>
              </w:rPr>
            </w:pPr>
            <w:r>
              <w:t>–</w:t>
            </w:r>
          </w:p>
        </w:tc>
        <w:tc>
          <w:tcPr>
            <w:tcW w:w="406" w:type="pct"/>
            <w:shd w:val="clear" w:color="auto" w:fill="CCCCCC"/>
            <w:vAlign w:val="bottom"/>
          </w:tcPr>
          <w:p w14:paraId="0389FD74" w14:textId="77777777" w:rsidR="00E407AF" w:rsidRDefault="00E407AF" w:rsidP="00606085">
            <w:pPr>
              <w:pStyle w:val="NotesTable-CellBold"/>
              <w:rPr>
                <w:b w:val="0"/>
              </w:rPr>
            </w:pPr>
            <w:r>
              <w:t>–</w:t>
            </w:r>
          </w:p>
        </w:tc>
        <w:tc>
          <w:tcPr>
            <w:tcW w:w="405" w:type="pct"/>
            <w:shd w:val="clear" w:color="auto" w:fill="CCCCCC"/>
            <w:vAlign w:val="bottom"/>
          </w:tcPr>
          <w:p w14:paraId="0389FD75" w14:textId="77777777" w:rsidR="00E407AF" w:rsidRDefault="00E407AF" w:rsidP="00606085">
            <w:pPr>
              <w:pStyle w:val="NotesTable-CellPlain"/>
              <w:rPr>
                <w:b/>
              </w:rPr>
            </w:pPr>
            <w:r>
              <w:t>–</w:t>
            </w:r>
          </w:p>
        </w:tc>
      </w:tr>
      <w:tr w:rsidR="00E407AF" w14:paraId="0389FD7E" w14:textId="77777777" w:rsidTr="00530B02">
        <w:trPr>
          <w:trHeight w:hRule="exact" w:val="227"/>
        </w:trPr>
        <w:tc>
          <w:tcPr>
            <w:tcW w:w="810" w:type="pct"/>
          </w:tcPr>
          <w:p w14:paraId="0389FD77" w14:textId="77777777" w:rsidR="00E407AF" w:rsidRDefault="00E407AF" w:rsidP="00D11709">
            <w:pPr>
              <w:pStyle w:val="Note-Refs"/>
            </w:pPr>
          </w:p>
        </w:tc>
        <w:tc>
          <w:tcPr>
            <w:tcW w:w="2297" w:type="pct"/>
            <w:shd w:val="clear" w:color="auto" w:fill="CCCCCC"/>
            <w:vAlign w:val="bottom"/>
          </w:tcPr>
          <w:p w14:paraId="0389FD78" w14:textId="77777777" w:rsidR="00E407AF" w:rsidRDefault="00E407AF" w:rsidP="00D11709">
            <w:pPr>
              <w:pStyle w:val="NotesTable-ItemPlain"/>
              <w:rPr>
                <w:b/>
              </w:rPr>
            </w:pPr>
            <w:r>
              <w:t>Other investment income</w:t>
            </w:r>
          </w:p>
        </w:tc>
        <w:tc>
          <w:tcPr>
            <w:tcW w:w="270" w:type="pct"/>
            <w:shd w:val="clear" w:color="auto" w:fill="CCCCCC"/>
            <w:vAlign w:val="bottom"/>
          </w:tcPr>
          <w:p w14:paraId="0389FD79" w14:textId="77777777" w:rsidR="00E407AF" w:rsidRDefault="00E407AF" w:rsidP="005D4154">
            <w:pPr>
              <w:pStyle w:val="NotesTable-Notes"/>
            </w:pPr>
            <w:r>
              <w:t>6</w:t>
            </w:r>
          </w:p>
        </w:tc>
        <w:tc>
          <w:tcPr>
            <w:tcW w:w="406" w:type="pct"/>
            <w:shd w:val="clear" w:color="auto" w:fill="CCCCCC"/>
            <w:vAlign w:val="bottom"/>
          </w:tcPr>
          <w:p w14:paraId="0389FD7A" w14:textId="77777777" w:rsidR="00E407AF" w:rsidRDefault="00E407AF" w:rsidP="00606085">
            <w:pPr>
              <w:pStyle w:val="NotesTable-CellBold"/>
              <w:rPr>
                <w:b w:val="0"/>
              </w:rPr>
            </w:pPr>
            <w:r>
              <w:t>–</w:t>
            </w:r>
          </w:p>
        </w:tc>
        <w:tc>
          <w:tcPr>
            <w:tcW w:w="406" w:type="pct"/>
            <w:shd w:val="clear" w:color="auto" w:fill="CCCCCC"/>
            <w:vAlign w:val="bottom"/>
          </w:tcPr>
          <w:p w14:paraId="0389FD7B" w14:textId="77777777" w:rsidR="00E407AF" w:rsidRDefault="00E407AF" w:rsidP="00606085">
            <w:pPr>
              <w:pStyle w:val="NotesTable-CellPlain"/>
              <w:rPr>
                <w:b/>
              </w:rPr>
            </w:pPr>
            <w:r>
              <w:t>–</w:t>
            </w:r>
          </w:p>
        </w:tc>
        <w:tc>
          <w:tcPr>
            <w:tcW w:w="406" w:type="pct"/>
            <w:shd w:val="clear" w:color="auto" w:fill="CCCCCC"/>
            <w:vAlign w:val="bottom"/>
          </w:tcPr>
          <w:p w14:paraId="0389FD7C" w14:textId="77777777" w:rsidR="00E407AF" w:rsidRDefault="00E407AF" w:rsidP="00606085">
            <w:pPr>
              <w:pStyle w:val="NotesTable-CellBold"/>
              <w:rPr>
                <w:b w:val="0"/>
              </w:rPr>
            </w:pPr>
            <w:r>
              <w:t>–</w:t>
            </w:r>
          </w:p>
        </w:tc>
        <w:tc>
          <w:tcPr>
            <w:tcW w:w="405" w:type="pct"/>
            <w:shd w:val="clear" w:color="auto" w:fill="CCCCCC"/>
            <w:vAlign w:val="bottom"/>
          </w:tcPr>
          <w:p w14:paraId="0389FD7D" w14:textId="77777777" w:rsidR="00E407AF" w:rsidRDefault="00E407AF" w:rsidP="00606085">
            <w:pPr>
              <w:pStyle w:val="NotesTable-CellPlain"/>
              <w:rPr>
                <w:b/>
              </w:rPr>
            </w:pPr>
            <w:r>
              <w:t>–</w:t>
            </w:r>
          </w:p>
        </w:tc>
      </w:tr>
      <w:tr w:rsidR="00E407AF" w14:paraId="0389FD86" w14:textId="77777777" w:rsidTr="00530B02">
        <w:trPr>
          <w:trHeight w:hRule="exact" w:val="227"/>
        </w:trPr>
        <w:tc>
          <w:tcPr>
            <w:tcW w:w="810" w:type="pct"/>
          </w:tcPr>
          <w:p w14:paraId="0389FD7F" w14:textId="77777777" w:rsidR="00E407AF" w:rsidRDefault="00E407AF" w:rsidP="00D11709">
            <w:pPr>
              <w:pStyle w:val="Note-Refs"/>
            </w:pPr>
          </w:p>
        </w:tc>
        <w:tc>
          <w:tcPr>
            <w:tcW w:w="2297" w:type="pct"/>
            <w:shd w:val="clear" w:color="auto" w:fill="CCCCCC"/>
            <w:vAlign w:val="bottom"/>
          </w:tcPr>
          <w:p w14:paraId="0389FD80" w14:textId="77777777" w:rsidR="00E407AF" w:rsidRDefault="00E407AF" w:rsidP="00D11709">
            <w:pPr>
              <w:pStyle w:val="NotesTable-ItemPlain"/>
              <w:rPr>
                <w:b/>
              </w:rPr>
            </w:pPr>
            <w:r>
              <w:t>Other Income</w:t>
            </w:r>
          </w:p>
        </w:tc>
        <w:tc>
          <w:tcPr>
            <w:tcW w:w="270" w:type="pct"/>
            <w:shd w:val="clear" w:color="auto" w:fill="CCCCCC"/>
            <w:vAlign w:val="bottom"/>
          </w:tcPr>
          <w:p w14:paraId="0389FD81" w14:textId="77777777" w:rsidR="00E407AF" w:rsidRDefault="00E407AF" w:rsidP="005D4154">
            <w:pPr>
              <w:pStyle w:val="NotesTable-Notes"/>
            </w:pPr>
            <w:r>
              <w:t>9</w:t>
            </w:r>
          </w:p>
        </w:tc>
        <w:tc>
          <w:tcPr>
            <w:tcW w:w="406" w:type="pct"/>
            <w:shd w:val="clear" w:color="auto" w:fill="CCCCCC"/>
            <w:vAlign w:val="bottom"/>
          </w:tcPr>
          <w:p w14:paraId="0389FD82" w14:textId="77777777" w:rsidR="00E407AF" w:rsidRDefault="00E407AF" w:rsidP="00606085">
            <w:pPr>
              <w:pStyle w:val="NotesTable-CellBold"/>
              <w:rPr>
                <w:b w:val="0"/>
              </w:rPr>
            </w:pPr>
            <w:r>
              <w:t>–</w:t>
            </w:r>
          </w:p>
        </w:tc>
        <w:tc>
          <w:tcPr>
            <w:tcW w:w="406" w:type="pct"/>
            <w:shd w:val="clear" w:color="auto" w:fill="CCCCCC"/>
            <w:vAlign w:val="bottom"/>
          </w:tcPr>
          <w:p w14:paraId="0389FD83" w14:textId="77777777" w:rsidR="00E407AF" w:rsidRDefault="00E407AF" w:rsidP="0075542B">
            <w:pPr>
              <w:pStyle w:val="NotesTable-CellBold"/>
            </w:pPr>
            <w:r>
              <w:t>–</w:t>
            </w:r>
          </w:p>
        </w:tc>
        <w:tc>
          <w:tcPr>
            <w:tcW w:w="406" w:type="pct"/>
            <w:shd w:val="clear" w:color="auto" w:fill="CCCCCC"/>
            <w:vAlign w:val="bottom"/>
          </w:tcPr>
          <w:p w14:paraId="0389FD84" w14:textId="77777777" w:rsidR="00E407AF" w:rsidRDefault="00E407AF" w:rsidP="00606085">
            <w:pPr>
              <w:pStyle w:val="NotesTable-CellBold"/>
              <w:rPr>
                <w:b w:val="0"/>
              </w:rPr>
            </w:pPr>
            <w:r>
              <w:t>–</w:t>
            </w:r>
          </w:p>
        </w:tc>
        <w:tc>
          <w:tcPr>
            <w:tcW w:w="405" w:type="pct"/>
            <w:shd w:val="clear" w:color="auto" w:fill="CCCCCC"/>
            <w:vAlign w:val="bottom"/>
          </w:tcPr>
          <w:p w14:paraId="0389FD85" w14:textId="77777777" w:rsidR="00E407AF" w:rsidRDefault="00E407AF" w:rsidP="0075542B">
            <w:pPr>
              <w:pStyle w:val="NotesTable-CellBold"/>
            </w:pPr>
            <w:r>
              <w:t>–</w:t>
            </w:r>
          </w:p>
        </w:tc>
      </w:tr>
      <w:tr w:rsidR="00E407AF" w14:paraId="0389FD8E" w14:textId="77777777" w:rsidTr="00530B02">
        <w:trPr>
          <w:trHeight w:hRule="exact" w:val="227"/>
        </w:trPr>
        <w:tc>
          <w:tcPr>
            <w:tcW w:w="810" w:type="pct"/>
          </w:tcPr>
          <w:p w14:paraId="0389FD87" w14:textId="77777777" w:rsidR="00E407AF" w:rsidRDefault="00E407AF" w:rsidP="00D11709">
            <w:pPr>
              <w:pStyle w:val="Note-Refs"/>
            </w:pPr>
          </w:p>
        </w:tc>
        <w:tc>
          <w:tcPr>
            <w:tcW w:w="2297" w:type="pct"/>
            <w:shd w:val="clear" w:color="auto" w:fill="CCCCCC"/>
            <w:vAlign w:val="bottom"/>
          </w:tcPr>
          <w:p w14:paraId="0389FD88" w14:textId="77777777" w:rsidR="00E407AF" w:rsidRDefault="00E407AF">
            <w:pPr>
              <w:pStyle w:val="Statement-ItemBold"/>
            </w:pPr>
            <w:r>
              <w:t>Total income from continuing operations</w:t>
            </w:r>
          </w:p>
        </w:tc>
        <w:tc>
          <w:tcPr>
            <w:tcW w:w="270" w:type="pct"/>
            <w:shd w:val="clear" w:color="auto" w:fill="CCCCCC"/>
            <w:vAlign w:val="bottom"/>
          </w:tcPr>
          <w:p w14:paraId="0389FD89" w14:textId="77777777" w:rsidR="00E407AF" w:rsidRDefault="00E407AF" w:rsidP="005D4154">
            <w:pPr>
              <w:pStyle w:val="NotesTable-Notes"/>
            </w:pPr>
          </w:p>
        </w:tc>
        <w:tc>
          <w:tcPr>
            <w:tcW w:w="406" w:type="pct"/>
            <w:tcBorders>
              <w:top w:val="single" w:sz="4" w:space="0" w:color="000000"/>
            </w:tcBorders>
            <w:shd w:val="clear" w:color="auto" w:fill="CCCCCC"/>
            <w:vAlign w:val="bottom"/>
          </w:tcPr>
          <w:p w14:paraId="0389FD8A" w14:textId="77777777" w:rsidR="00E407AF" w:rsidRDefault="00E407AF" w:rsidP="00606085">
            <w:pPr>
              <w:pStyle w:val="NotesTable-CellBold"/>
              <w:rPr>
                <w:b w:val="0"/>
              </w:rPr>
            </w:pPr>
            <w:r>
              <w:t>–</w:t>
            </w:r>
          </w:p>
        </w:tc>
        <w:tc>
          <w:tcPr>
            <w:tcW w:w="406" w:type="pct"/>
            <w:tcBorders>
              <w:top w:val="single" w:sz="4" w:space="0" w:color="000000"/>
            </w:tcBorders>
            <w:shd w:val="clear" w:color="auto" w:fill="CCCCCC"/>
            <w:vAlign w:val="bottom"/>
          </w:tcPr>
          <w:p w14:paraId="0389FD8B" w14:textId="77777777" w:rsidR="00E407AF" w:rsidRDefault="00E407AF" w:rsidP="00606085">
            <w:pPr>
              <w:pStyle w:val="NotesTable-CellPlain"/>
              <w:rPr>
                <w:b/>
              </w:rPr>
            </w:pPr>
            <w:r>
              <w:t>–</w:t>
            </w:r>
          </w:p>
        </w:tc>
        <w:tc>
          <w:tcPr>
            <w:tcW w:w="406" w:type="pct"/>
            <w:tcBorders>
              <w:top w:val="single" w:sz="4" w:space="0" w:color="000000"/>
            </w:tcBorders>
            <w:shd w:val="clear" w:color="auto" w:fill="CCCCCC"/>
            <w:vAlign w:val="bottom"/>
          </w:tcPr>
          <w:p w14:paraId="0389FD8C" w14:textId="77777777" w:rsidR="00E407AF" w:rsidRDefault="00E407AF" w:rsidP="00606085">
            <w:pPr>
              <w:pStyle w:val="NotesTable-CellBold"/>
              <w:rPr>
                <w:b w:val="0"/>
              </w:rPr>
            </w:pPr>
            <w:r>
              <w:t>–</w:t>
            </w:r>
          </w:p>
        </w:tc>
        <w:tc>
          <w:tcPr>
            <w:tcW w:w="405" w:type="pct"/>
            <w:tcBorders>
              <w:top w:val="single" w:sz="4" w:space="0" w:color="000000"/>
            </w:tcBorders>
            <w:shd w:val="clear" w:color="auto" w:fill="CCCCCC"/>
            <w:vAlign w:val="bottom"/>
          </w:tcPr>
          <w:p w14:paraId="0389FD8D" w14:textId="77777777" w:rsidR="00E407AF" w:rsidRDefault="00E407AF" w:rsidP="00606085">
            <w:pPr>
              <w:pStyle w:val="NotesTable-CellPlain"/>
              <w:rPr>
                <w:b/>
              </w:rPr>
            </w:pPr>
            <w:r>
              <w:t>–</w:t>
            </w:r>
          </w:p>
        </w:tc>
      </w:tr>
      <w:tr w:rsidR="00F80BB0" w14:paraId="0389FD96" w14:textId="77777777" w:rsidTr="00530B02">
        <w:trPr>
          <w:trHeight w:hRule="exact" w:val="227"/>
        </w:trPr>
        <w:tc>
          <w:tcPr>
            <w:tcW w:w="810" w:type="pct"/>
          </w:tcPr>
          <w:p w14:paraId="0389FD8F" w14:textId="77777777" w:rsidR="00F80BB0" w:rsidRDefault="00F80BB0" w:rsidP="00D11709">
            <w:pPr>
              <w:pStyle w:val="Note-Refs"/>
            </w:pPr>
          </w:p>
        </w:tc>
        <w:tc>
          <w:tcPr>
            <w:tcW w:w="2297" w:type="pct"/>
            <w:shd w:val="clear" w:color="auto" w:fill="CCCCCC"/>
            <w:vAlign w:val="bottom"/>
          </w:tcPr>
          <w:p w14:paraId="0389FD90" w14:textId="77777777" w:rsidR="00F80BB0" w:rsidDel="00F80BB0" w:rsidRDefault="00F80BB0">
            <w:pPr>
              <w:pStyle w:val="NotesTable-ItemPlain"/>
            </w:pPr>
          </w:p>
        </w:tc>
        <w:tc>
          <w:tcPr>
            <w:tcW w:w="270" w:type="pct"/>
            <w:shd w:val="clear" w:color="auto" w:fill="CCCCCC"/>
            <w:vAlign w:val="bottom"/>
          </w:tcPr>
          <w:p w14:paraId="0389FD91" w14:textId="77777777" w:rsidR="00F80BB0" w:rsidRDefault="00F80BB0" w:rsidP="005D4154">
            <w:pPr>
              <w:pStyle w:val="NotesTable-Notes"/>
            </w:pPr>
          </w:p>
        </w:tc>
        <w:tc>
          <w:tcPr>
            <w:tcW w:w="406" w:type="pct"/>
            <w:shd w:val="clear" w:color="auto" w:fill="CCCCCC"/>
            <w:vAlign w:val="bottom"/>
          </w:tcPr>
          <w:p w14:paraId="0389FD92" w14:textId="77777777" w:rsidR="00F80BB0" w:rsidRDefault="00F80BB0" w:rsidP="00606085">
            <w:pPr>
              <w:pStyle w:val="NotesTable-CellBold"/>
            </w:pPr>
          </w:p>
        </w:tc>
        <w:tc>
          <w:tcPr>
            <w:tcW w:w="406" w:type="pct"/>
            <w:shd w:val="clear" w:color="auto" w:fill="CCCCCC"/>
            <w:vAlign w:val="bottom"/>
          </w:tcPr>
          <w:p w14:paraId="0389FD93" w14:textId="77777777" w:rsidR="00F80BB0" w:rsidRDefault="00F80BB0" w:rsidP="00606085">
            <w:pPr>
              <w:pStyle w:val="NotesTable-CellPlain"/>
            </w:pPr>
          </w:p>
        </w:tc>
        <w:tc>
          <w:tcPr>
            <w:tcW w:w="406" w:type="pct"/>
            <w:shd w:val="clear" w:color="auto" w:fill="CCCCCC"/>
            <w:vAlign w:val="bottom"/>
          </w:tcPr>
          <w:p w14:paraId="0389FD94" w14:textId="77777777" w:rsidR="00F80BB0" w:rsidRDefault="00F80BB0" w:rsidP="00606085">
            <w:pPr>
              <w:pStyle w:val="NotesTable-CellBold"/>
            </w:pPr>
          </w:p>
        </w:tc>
        <w:tc>
          <w:tcPr>
            <w:tcW w:w="405" w:type="pct"/>
            <w:shd w:val="clear" w:color="auto" w:fill="CCCCCC"/>
            <w:vAlign w:val="bottom"/>
          </w:tcPr>
          <w:p w14:paraId="0389FD95" w14:textId="77777777" w:rsidR="00F80BB0" w:rsidRDefault="00F80BB0" w:rsidP="00606085">
            <w:pPr>
              <w:pStyle w:val="NotesTable-CellPlain"/>
            </w:pPr>
          </w:p>
        </w:tc>
      </w:tr>
      <w:tr w:rsidR="00E407AF" w14:paraId="0389FD9E" w14:textId="77777777" w:rsidTr="00530B02">
        <w:trPr>
          <w:trHeight w:hRule="exact" w:val="227"/>
        </w:trPr>
        <w:tc>
          <w:tcPr>
            <w:tcW w:w="810" w:type="pct"/>
          </w:tcPr>
          <w:p w14:paraId="0389FD97" w14:textId="77777777" w:rsidR="00E407AF" w:rsidRDefault="00E407AF" w:rsidP="00D11709">
            <w:pPr>
              <w:pStyle w:val="Note-Refs"/>
            </w:pPr>
          </w:p>
        </w:tc>
        <w:tc>
          <w:tcPr>
            <w:tcW w:w="2297" w:type="pct"/>
            <w:shd w:val="clear" w:color="auto" w:fill="CCCCCC"/>
            <w:vAlign w:val="bottom"/>
          </w:tcPr>
          <w:p w14:paraId="0389FD98" w14:textId="77777777" w:rsidR="00E407AF" w:rsidRDefault="00E407AF">
            <w:pPr>
              <w:pStyle w:val="Statement-ItemBold"/>
            </w:pPr>
            <w:r>
              <w:t>Expenses from continuing operations</w:t>
            </w:r>
          </w:p>
        </w:tc>
        <w:tc>
          <w:tcPr>
            <w:tcW w:w="270" w:type="pct"/>
            <w:shd w:val="clear" w:color="auto" w:fill="CCCCCC"/>
            <w:vAlign w:val="bottom"/>
          </w:tcPr>
          <w:p w14:paraId="0389FD99" w14:textId="77777777" w:rsidR="00E407AF" w:rsidRDefault="00E407AF" w:rsidP="005D4154">
            <w:pPr>
              <w:pStyle w:val="NotesTable-Notes"/>
            </w:pPr>
          </w:p>
        </w:tc>
        <w:tc>
          <w:tcPr>
            <w:tcW w:w="406" w:type="pct"/>
            <w:shd w:val="clear" w:color="auto" w:fill="CCCCCC"/>
            <w:vAlign w:val="bottom"/>
          </w:tcPr>
          <w:p w14:paraId="0389FD9A" w14:textId="77777777" w:rsidR="00E407AF" w:rsidRDefault="00E407AF" w:rsidP="00606085">
            <w:pPr>
              <w:pStyle w:val="NotesTable-CellBold"/>
            </w:pPr>
          </w:p>
        </w:tc>
        <w:tc>
          <w:tcPr>
            <w:tcW w:w="406" w:type="pct"/>
            <w:shd w:val="clear" w:color="auto" w:fill="CCCCCC"/>
            <w:vAlign w:val="bottom"/>
          </w:tcPr>
          <w:p w14:paraId="0389FD9B" w14:textId="77777777" w:rsidR="00E407AF" w:rsidRDefault="00E407AF" w:rsidP="00606085">
            <w:pPr>
              <w:pStyle w:val="NotesTable-CellPlain"/>
            </w:pPr>
          </w:p>
        </w:tc>
        <w:tc>
          <w:tcPr>
            <w:tcW w:w="406" w:type="pct"/>
            <w:shd w:val="clear" w:color="auto" w:fill="CCCCCC"/>
            <w:vAlign w:val="bottom"/>
          </w:tcPr>
          <w:p w14:paraId="0389FD9C" w14:textId="77777777" w:rsidR="00E407AF" w:rsidRDefault="00E407AF" w:rsidP="00606085">
            <w:pPr>
              <w:pStyle w:val="NotesTable-CellBold"/>
            </w:pPr>
          </w:p>
        </w:tc>
        <w:tc>
          <w:tcPr>
            <w:tcW w:w="405" w:type="pct"/>
            <w:shd w:val="clear" w:color="auto" w:fill="CCCCCC"/>
            <w:vAlign w:val="bottom"/>
          </w:tcPr>
          <w:p w14:paraId="0389FD9D" w14:textId="77777777" w:rsidR="00E407AF" w:rsidRDefault="00E407AF" w:rsidP="00606085">
            <w:pPr>
              <w:pStyle w:val="NotesTable-CellPlain"/>
            </w:pPr>
          </w:p>
        </w:tc>
      </w:tr>
      <w:tr w:rsidR="00E407AF" w14:paraId="0389FDA6" w14:textId="77777777" w:rsidTr="00530B02">
        <w:trPr>
          <w:trHeight w:hRule="exact" w:val="227"/>
        </w:trPr>
        <w:tc>
          <w:tcPr>
            <w:tcW w:w="810" w:type="pct"/>
          </w:tcPr>
          <w:p w14:paraId="0389FD9F" w14:textId="77777777" w:rsidR="00E407AF" w:rsidRDefault="00E407AF" w:rsidP="00D11709">
            <w:pPr>
              <w:pStyle w:val="Note-Refs"/>
            </w:pPr>
          </w:p>
        </w:tc>
        <w:tc>
          <w:tcPr>
            <w:tcW w:w="2297" w:type="pct"/>
            <w:shd w:val="clear" w:color="auto" w:fill="CCCCCC"/>
            <w:vAlign w:val="bottom"/>
          </w:tcPr>
          <w:p w14:paraId="0389FDA0" w14:textId="77777777" w:rsidR="00E407AF" w:rsidRDefault="00E407AF" w:rsidP="00D11709">
            <w:pPr>
              <w:pStyle w:val="NotesTable-ItemPlain"/>
              <w:rPr>
                <w:b/>
              </w:rPr>
            </w:pPr>
            <w:r>
              <w:t>Employee related expenses</w:t>
            </w:r>
          </w:p>
        </w:tc>
        <w:tc>
          <w:tcPr>
            <w:tcW w:w="270" w:type="pct"/>
            <w:shd w:val="clear" w:color="auto" w:fill="CCCCCC"/>
            <w:vAlign w:val="bottom"/>
          </w:tcPr>
          <w:p w14:paraId="0389FDA1" w14:textId="326B2D95" w:rsidR="00E407AF" w:rsidRDefault="00E407AF" w:rsidP="005D4154">
            <w:pPr>
              <w:pStyle w:val="NotesTable-Notes"/>
              <w:rPr>
                <w:b/>
              </w:rPr>
            </w:pPr>
            <w:r>
              <w:t>1</w:t>
            </w:r>
            <w:r w:rsidR="00B7054C">
              <w:t>0</w:t>
            </w:r>
          </w:p>
        </w:tc>
        <w:tc>
          <w:tcPr>
            <w:tcW w:w="406" w:type="pct"/>
            <w:shd w:val="clear" w:color="auto" w:fill="CCCCCC"/>
            <w:vAlign w:val="bottom"/>
          </w:tcPr>
          <w:p w14:paraId="0389FDA2" w14:textId="77777777" w:rsidR="00E407AF" w:rsidRDefault="00E407AF" w:rsidP="00606085">
            <w:pPr>
              <w:pStyle w:val="NotesTable-CellBold"/>
              <w:rPr>
                <w:b w:val="0"/>
              </w:rPr>
            </w:pPr>
            <w:r>
              <w:t>–</w:t>
            </w:r>
          </w:p>
        </w:tc>
        <w:tc>
          <w:tcPr>
            <w:tcW w:w="406" w:type="pct"/>
            <w:shd w:val="clear" w:color="auto" w:fill="CCCCCC"/>
            <w:vAlign w:val="bottom"/>
          </w:tcPr>
          <w:p w14:paraId="0389FDA3" w14:textId="77777777" w:rsidR="00E407AF" w:rsidRDefault="00E407AF" w:rsidP="00606085">
            <w:pPr>
              <w:pStyle w:val="NotesTable-CellPlain"/>
              <w:rPr>
                <w:b/>
              </w:rPr>
            </w:pPr>
            <w:r>
              <w:t>–</w:t>
            </w:r>
          </w:p>
        </w:tc>
        <w:tc>
          <w:tcPr>
            <w:tcW w:w="406" w:type="pct"/>
            <w:shd w:val="clear" w:color="auto" w:fill="CCCCCC"/>
            <w:vAlign w:val="bottom"/>
          </w:tcPr>
          <w:p w14:paraId="0389FDA4" w14:textId="77777777" w:rsidR="00E407AF" w:rsidRDefault="00E407AF" w:rsidP="00606085">
            <w:pPr>
              <w:pStyle w:val="NotesTable-CellBold"/>
              <w:rPr>
                <w:b w:val="0"/>
              </w:rPr>
            </w:pPr>
            <w:r>
              <w:t>–</w:t>
            </w:r>
          </w:p>
        </w:tc>
        <w:tc>
          <w:tcPr>
            <w:tcW w:w="405" w:type="pct"/>
            <w:shd w:val="clear" w:color="auto" w:fill="CCCCCC"/>
            <w:vAlign w:val="bottom"/>
          </w:tcPr>
          <w:p w14:paraId="0389FDA5" w14:textId="77777777" w:rsidR="00E407AF" w:rsidRDefault="00E407AF" w:rsidP="00606085">
            <w:pPr>
              <w:pStyle w:val="NotesTable-CellPlain"/>
              <w:rPr>
                <w:b/>
              </w:rPr>
            </w:pPr>
            <w:r>
              <w:t>–</w:t>
            </w:r>
          </w:p>
        </w:tc>
      </w:tr>
      <w:tr w:rsidR="00E407AF" w14:paraId="0389FDAE" w14:textId="77777777" w:rsidTr="00530B02">
        <w:trPr>
          <w:trHeight w:hRule="exact" w:val="227"/>
        </w:trPr>
        <w:tc>
          <w:tcPr>
            <w:tcW w:w="810" w:type="pct"/>
          </w:tcPr>
          <w:p w14:paraId="0389FDA7" w14:textId="77777777" w:rsidR="00E407AF" w:rsidRDefault="00E407AF" w:rsidP="00D11709">
            <w:pPr>
              <w:pStyle w:val="Note-Refs"/>
            </w:pPr>
          </w:p>
        </w:tc>
        <w:tc>
          <w:tcPr>
            <w:tcW w:w="2297" w:type="pct"/>
            <w:shd w:val="clear" w:color="auto" w:fill="CCCCCC"/>
            <w:vAlign w:val="bottom"/>
          </w:tcPr>
          <w:p w14:paraId="0389FDA8" w14:textId="77777777" w:rsidR="00E407AF" w:rsidRDefault="00E407AF" w:rsidP="00D11709">
            <w:pPr>
              <w:pStyle w:val="NotesTable-ItemPlain"/>
              <w:rPr>
                <w:b/>
              </w:rPr>
            </w:pPr>
            <w:r>
              <w:t>Depreciation and amortisation</w:t>
            </w:r>
          </w:p>
        </w:tc>
        <w:tc>
          <w:tcPr>
            <w:tcW w:w="270" w:type="pct"/>
            <w:shd w:val="clear" w:color="auto" w:fill="CCCCCC"/>
            <w:vAlign w:val="bottom"/>
          </w:tcPr>
          <w:p w14:paraId="0389FDA9" w14:textId="785FFCC4" w:rsidR="00E407AF" w:rsidRDefault="00E407AF" w:rsidP="005D4154">
            <w:pPr>
              <w:pStyle w:val="NotesTable-Notes"/>
              <w:rPr>
                <w:b/>
              </w:rPr>
            </w:pPr>
            <w:r>
              <w:t>1</w:t>
            </w:r>
            <w:r w:rsidR="00B7054C">
              <w:t>1</w:t>
            </w:r>
          </w:p>
        </w:tc>
        <w:tc>
          <w:tcPr>
            <w:tcW w:w="406" w:type="pct"/>
            <w:shd w:val="clear" w:color="auto" w:fill="CCCCCC"/>
            <w:vAlign w:val="bottom"/>
          </w:tcPr>
          <w:p w14:paraId="0389FDAA" w14:textId="77777777" w:rsidR="00E407AF" w:rsidRDefault="00E407AF" w:rsidP="00606085">
            <w:pPr>
              <w:pStyle w:val="NotesTable-CellBold"/>
              <w:rPr>
                <w:b w:val="0"/>
              </w:rPr>
            </w:pPr>
            <w:r>
              <w:t>–</w:t>
            </w:r>
          </w:p>
        </w:tc>
        <w:tc>
          <w:tcPr>
            <w:tcW w:w="406" w:type="pct"/>
            <w:shd w:val="clear" w:color="auto" w:fill="CCCCCC"/>
            <w:vAlign w:val="bottom"/>
          </w:tcPr>
          <w:p w14:paraId="0389FDAB" w14:textId="77777777" w:rsidR="00E407AF" w:rsidRDefault="00E407AF" w:rsidP="00606085">
            <w:pPr>
              <w:pStyle w:val="NotesTable-CellPlain"/>
              <w:rPr>
                <w:b/>
              </w:rPr>
            </w:pPr>
            <w:r>
              <w:t>–</w:t>
            </w:r>
          </w:p>
        </w:tc>
        <w:tc>
          <w:tcPr>
            <w:tcW w:w="406" w:type="pct"/>
            <w:shd w:val="clear" w:color="auto" w:fill="CCCCCC"/>
            <w:vAlign w:val="bottom"/>
          </w:tcPr>
          <w:p w14:paraId="0389FDAC" w14:textId="77777777" w:rsidR="00E407AF" w:rsidRDefault="00E407AF" w:rsidP="00606085">
            <w:pPr>
              <w:pStyle w:val="NotesTable-CellBold"/>
              <w:rPr>
                <w:b w:val="0"/>
              </w:rPr>
            </w:pPr>
            <w:r>
              <w:t>–</w:t>
            </w:r>
          </w:p>
        </w:tc>
        <w:tc>
          <w:tcPr>
            <w:tcW w:w="405" w:type="pct"/>
            <w:shd w:val="clear" w:color="auto" w:fill="CCCCCC"/>
            <w:vAlign w:val="bottom"/>
          </w:tcPr>
          <w:p w14:paraId="0389FDAD" w14:textId="77777777" w:rsidR="00E407AF" w:rsidRDefault="00E407AF" w:rsidP="00606085">
            <w:pPr>
              <w:pStyle w:val="NotesTable-CellPlain"/>
              <w:rPr>
                <w:b/>
              </w:rPr>
            </w:pPr>
            <w:r>
              <w:t>–</w:t>
            </w:r>
          </w:p>
        </w:tc>
      </w:tr>
      <w:tr w:rsidR="00E407AF" w14:paraId="0389FDB6" w14:textId="77777777" w:rsidTr="00530B02">
        <w:trPr>
          <w:trHeight w:hRule="exact" w:val="227"/>
        </w:trPr>
        <w:tc>
          <w:tcPr>
            <w:tcW w:w="810" w:type="pct"/>
          </w:tcPr>
          <w:p w14:paraId="0389FDAF" w14:textId="77777777" w:rsidR="00E407AF" w:rsidRDefault="00E407AF" w:rsidP="00D11709">
            <w:pPr>
              <w:pStyle w:val="Note-Refs"/>
            </w:pPr>
          </w:p>
        </w:tc>
        <w:tc>
          <w:tcPr>
            <w:tcW w:w="2297" w:type="pct"/>
            <w:shd w:val="clear" w:color="auto" w:fill="CCCCCC"/>
            <w:vAlign w:val="bottom"/>
          </w:tcPr>
          <w:p w14:paraId="0389FDB0" w14:textId="77777777" w:rsidR="00E407AF" w:rsidRDefault="00E407AF" w:rsidP="00D11709">
            <w:pPr>
              <w:pStyle w:val="NotesTable-ItemPlain"/>
              <w:rPr>
                <w:b/>
              </w:rPr>
            </w:pPr>
            <w:r>
              <w:t>Repairs and maintenance</w:t>
            </w:r>
          </w:p>
        </w:tc>
        <w:tc>
          <w:tcPr>
            <w:tcW w:w="270" w:type="pct"/>
            <w:shd w:val="clear" w:color="auto" w:fill="CCCCCC"/>
            <w:vAlign w:val="bottom"/>
          </w:tcPr>
          <w:p w14:paraId="0389FDB1" w14:textId="25B6811E" w:rsidR="00E407AF" w:rsidRDefault="00E407AF" w:rsidP="005D4154">
            <w:pPr>
              <w:pStyle w:val="NotesTable-Notes"/>
              <w:rPr>
                <w:b/>
              </w:rPr>
            </w:pPr>
            <w:r>
              <w:t>1</w:t>
            </w:r>
            <w:r w:rsidR="00B7054C">
              <w:t>2</w:t>
            </w:r>
          </w:p>
        </w:tc>
        <w:tc>
          <w:tcPr>
            <w:tcW w:w="406" w:type="pct"/>
            <w:shd w:val="clear" w:color="auto" w:fill="CCCCCC"/>
            <w:vAlign w:val="bottom"/>
          </w:tcPr>
          <w:p w14:paraId="0389FDB2" w14:textId="77777777" w:rsidR="00E407AF" w:rsidRDefault="00E407AF" w:rsidP="00606085">
            <w:pPr>
              <w:pStyle w:val="NotesTable-CellBold"/>
              <w:rPr>
                <w:b w:val="0"/>
              </w:rPr>
            </w:pPr>
            <w:r>
              <w:t>–</w:t>
            </w:r>
          </w:p>
        </w:tc>
        <w:tc>
          <w:tcPr>
            <w:tcW w:w="406" w:type="pct"/>
            <w:shd w:val="clear" w:color="auto" w:fill="CCCCCC"/>
            <w:vAlign w:val="bottom"/>
          </w:tcPr>
          <w:p w14:paraId="0389FDB3" w14:textId="77777777" w:rsidR="00E407AF" w:rsidRDefault="00E407AF" w:rsidP="00606085">
            <w:pPr>
              <w:pStyle w:val="NotesTable-CellPlain"/>
              <w:rPr>
                <w:b/>
              </w:rPr>
            </w:pPr>
            <w:r>
              <w:t>–</w:t>
            </w:r>
          </w:p>
        </w:tc>
        <w:tc>
          <w:tcPr>
            <w:tcW w:w="406" w:type="pct"/>
            <w:shd w:val="clear" w:color="auto" w:fill="CCCCCC"/>
            <w:vAlign w:val="bottom"/>
          </w:tcPr>
          <w:p w14:paraId="0389FDB4" w14:textId="77777777" w:rsidR="00E407AF" w:rsidRDefault="00E407AF" w:rsidP="00606085">
            <w:pPr>
              <w:pStyle w:val="NotesTable-CellBold"/>
              <w:rPr>
                <w:b w:val="0"/>
              </w:rPr>
            </w:pPr>
            <w:r>
              <w:t>–</w:t>
            </w:r>
          </w:p>
        </w:tc>
        <w:tc>
          <w:tcPr>
            <w:tcW w:w="405" w:type="pct"/>
            <w:shd w:val="clear" w:color="auto" w:fill="CCCCCC"/>
            <w:vAlign w:val="bottom"/>
          </w:tcPr>
          <w:p w14:paraId="0389FDB5" w14:textId="77777777" w:rsidR="00E407AF" w:rsidRDefault="00E407AF" w:rsidP="00606085">
            <w:pPr>
              <w:pStyle w:val="NotesTable-CellPlain"/>
              <w:rPr>
                <w:b/>
              </w:rPr>
            </w:pPr>
            <w:r>
              <w:t>–</w:t>
            </w:r>
          </w:p>
        </w:tc>
      </w:tr>
      <w:tr w:rsidR="00E407AF" w14:paraId="0389FDBE" w14:textId="77777777" w:rsidTr="00530B02">
        <w:trPr>
          <w:trHeight w:hRule="exact" w:val="227"/>
        </w:trPr>
        <w:tc>
          <w:tcPr>
            <w:tcW w:w="810" w:type="pct"/>
            <w:vAlign w:val="center"/>
          </w:tcPr>
          <w:p w14:paraId="0389FDB7" w14:textId="77777777" w:rsidR="00E407AF" w:rsidRDefault="00E407AF" w:rsidP="00D11709">
            <w:pPr>
              <w:pStyle w:val="Note-Refs"/>
              <w:rPr>
                <w:b/>
              </w:rPr>
            </w:pPr>
            <w:r>
              <w:t>AASB101.82b</w:t>
            </w:r>
          </w:p>
        </w:tc>
        <w:tc>
          <w:tcPr>
            <w:tcW w:w="2297" w:type="pct"/>
            <w:shd w:val="clear" w:color="auto" w:fill="CCCCCC"/>
            <w:vAlign w:val="bottom"/>
          </w:tcPr>
          <w:p w14:paraId="0389FDB8" w14:textId="10A3705F" w:rsidR="00E407AF" w:rsidRDefault="00FC4CAA" w:rsidP="00D11709">
            <w:pPr>
              <w:pStyle w:val="NotesTable-ItemPlain"/>
              <w:rPr>
                <w:b/>
              </w:rPr>
            </w:pPr>
            <w:r>
              <w:t xml:space="preserve">Borrowing </w:t>
            </w:r>
            <w:r w:rsidR="00E407AF">
              <w:t>costs</w:t>
            </w:r>
          </w:p>
        </w:tc>
        <w:tc>
          <w:tcPr>
            <w:tcW w:w="270" w:type="pct"/>
            <w:shd w:val="clear" w:color="auto" w:fill="CCCCCC"/>
            <w:vAlign w:val="bottom"/>
          </w:tcPr>
          <w:p w14:paraId="0389FDB9" w14:textId="1873AED9" w:rsidR="00E407AF" w:rsidRDefault="00E407AF" w:rsidP="005D4154">
            <w:pPr>
              <w:pStyle w:val="NotesTable-Notes"/>
              <w:rPr>
                <w:b/>
              </w:rPr>
            </w:pPr>
            <w:r>
              <w:t>1</w:t>
            </w:r>
            <w:r w:rsidR="00B7054C">
              <w:t>3</w:t>
            </w:r>
          </w:p>
        </w:tc>
        <w:tc>
          <w:tcPr>
            <w:tcW w:w="406" w:type="pct"/>
            <w:shd w:val="clear" w:color="auto" w:fill="CCCCCC"/>
            <w:vAlign w:val="bottom"/>
          </w:tcPr>
          <w:p w14:paraId="0389FDBA" w14:textId="77777777" w:rsidR="00E407AF" w:rsidRDefault="00E407AF" w:rsidP="00606085">
            <w:pPr>
              <w:pStyle w:val="NotesTable-CellBold"/>
              <w:rPr>
                <w:b w:val="0"/>
              </w:rPr>
            </w:pPr>
            <w:r>
              <w:t>–</w:t>
            </w:r>
          </w:p>
        </w:tc>
        <w:tc>
          <w:tcPr>
            <w:tcW w:w="406" w:type="pct"/>
            <w:shd w:val="clear" w:color="auto" w:fill="CCCCCC"/>
            <w:vAlign w:val="bottom"/>
          </w:tcPr>
          <w:p w14:paraId="0389FDBB" w14:textId="77777777" w:rsidR="00E407AF" w:rsidRDefault="00E407AF" w:rsidP="00606085">
            <w:pPr>
              <w:pStyle w:val="NotesTable-CellPlain"/>
              <w:rPr>
                <w:b/>
              </w:rPr>
            </w:pPr>
            <w:r>
              <w:t>–</w:t>
            </w:r>
          </w:p>
        </w:tc>
        <w:tc>
          <w:tcPr>
            <w:tcW w:w="406" w:type="pct"/>
            <w:shd w:val="clear" w:color="auto" w:fill="CCCCCC"/>
            <w:vAlign w:val="bottom"/>
          </w:tcPr>
          <w:p w14:paraId="0389FDBC" w14:textId="77777777" w:rsidR="00E407AF" w:rsidRDefault="00E407AF" w:rsidP="00606085">
            <w:pPr>
              <w:pStyle w:val="NotesTable-CellBold"/>
              <w:rPr>
                <w:b w:val="0"/>
              </w:rPr>
            </w:pPr>
            <w:r>
              <w:t>–</w:t>
            </w:r>
          </w:p>
        </w:tc>
        <w:tc>
          <w:tcPr>
            <w:tcW w:w="405" w:type="pct"/>
            <w:shd w:val="clear" w:color="auto" w:fill="CCCCCC"/>
            <w:vAlign w:val="bottom"/>
          </w:tcPr>
          <w:p w14:paraId="0389FDBD" w14:textId="77777777" w:rsidR="00E407AF" w:rsidRDefault="00E407AF" w:rsidP="00606085">
            <w:pPr>
              <w:pStyle w:val="NotesTable-CellPlain"/>
              <w:rPr>
                <w:b/>
              </w:rPr>
            </w:pPr>
            <w:r>
              <w:t>–</w:t>
            </w:r>
          </w:p>
        </w:tc>
      </w:tr>
      <w:tr w:rsidR="00E407AF" w14:paraId="0389FDC6" w14:textId="77777777" w:rsidTr="00530B02">
        <w:trPr>
          <w:trHeight w:hRule="exact" w:val="227"/>
        </w:trPr>
        <w:tc>
          <w:tcPr>
            <w:tcW w:w="810" w:type="pct"/>
          </w:tcPr>
          <w:p w14:paraId="0389FDBF" w14:textId="77777777" w:rsidR="00E407AF" w:rsidRDefault="00E407AF" w:rsidP="00D11709">
            <w:pPr>
              <w:pStyle w:val="Note-Refs"/>
            </w:pPr>
          </w:p>
        </w:tc>
        <w:tc>
          <w:tcPr>
            <w:tcW w:w="2297" w:type="pct"/>
            <w:shd w:val="clear" w:color="auto" w:fill="CCCCCC"/>
            <w:vAlign w:val="bottom"/>
          </w:tcPr>
          <w:p w14:paraId="0389FDC0" w14:textId="77777777" w:rsidR="00E407AF" w:rsidRDefault="00E407AF" w:rsidP="00D11709">
            <w:pPr>
              <w:pStyle w:val="NotesTable-ItemPlain"/>
              <w:rPr>
                <w:b/>
              </w:rPr>
            </w:pPr>
            <w:r>
              <w:t>Impairment of assets</w:t>
            </w:r>
          </w:p>
        </w:tc>
        <w:tc>
          <w:tcPr>
            <w:tcW w:w="270" w:type="pct"/>
            <w:shd w:val="clear" w:color="auto" w:fill="CCCCCC"/>
            <w:vAlign w:val="bottom"/>
          </w:tcPr>
          <w:p w14:paraId="0389FDC1" w14:textId="1FD45F35" w:rsidR="00E407AF" w:rsidRDefault="00E407AF" w:rsidP="005D4154">
            <w:pPr>
              <w:pStyle w:val="NotesTable-Notes"/>
              <w:rPr>
                <w:b/>
              </w:rPr>
            </w:pPr>
            <w:r>
              <w:t>1</w:t>
            </w:r>
            <w:r w:rsidR="00B7054C">
              <w:t>4</w:t>
            </w:r>
          </w:p>
        </w:tc>
        <w:tc>
          <w:tcPr>
            <w:tcW w:w="406" w:type="pct"/>
            <w:shd w:val="clear" w:color="auto" w:fill="CCCCCC"/>
            <w:vAlign w:val="bottom"/>
          </w:tcPr>
          <w:p w14:paraId="0389FDC2" w14:textId="77777777" w:rsidR="00E407AF" w:rsidRDefault="00E407AF" w:rsidP="00606085">
            <w:pPr>
              <w:pStyle w:val="NotesTable-CellBold"/>
              <w:rPr>
                <w:b w:val="0"/>
              </w:rPr>
            </w:pPr>
            <w:r>
              <w:t>–</w:t>
            </w:r>
          </w:p>
        </w:tc>
        <w:tc>
          <w:tcPr>
            <w:tcW w:w="406" w:type="pct"/>
            <w:shd w:val="clear" w:color="auto" w:fill="CCCCCC"/>
            <w:vAlign w:val="bottom"/>
          </w:tcPr>
          <w:p w14:paraId="0389FDC3" w14:textId="77777777" w:rsidR="00E407AF" w:rsidRDefault="00E407AF" w:rsidP="00606085">
            <w:pPr>
              <w:pStyle w:val="NotesTable-CellPlain"/>
              <w:rPr>
                <w:b/>
              </w:rPr>
            </w:pPr>
            <w:r>
              <w:t>–</w:t>
            </w:r>
          </w:p>
        </w:tc>
        <w:tc>
          <w:tcPr>
            <w:tcW w:w="406" w:type="pct"/>
            <w:shd w:val="clear" w:color="auto" w:fill="CCCCCC"/>
            <w:vAlign w:val="bottom"/>
          </w:tcPr>
          <w:p w14:paraId="0389FDC4" w14:textId="77777777" w:rsidR="00E407AF" w:rsidRDefault="00E407AF" w:rsidP="00606085">
            <w:pPr>
              <w:pStyle w:val="NotesTable-CellBold"/>
              <w:rPr>
                <w:b w:val="0"/>
              </w:rPr>
            </w:pPr>
            <w:r>
              <w:t>–</w:t>
            </w:r>
          </w:p>
        </w:tc>
        <w:tc>
          <w:tcPr>
            <w:tcW w:w="405" w:type="pct"/>
            <w:shd w:val="clear" w:color="auto" w:fill="CCCCCC"/>
            <w:vAlign w:val="bottom"/>
          </w:tcPr>
          <w:p w14:paraId="0389FDC5" w14:textId="77777777" w:rsidR="00E407AF" w:rsidRDefault="00E407AF" w:rsidP="00606085">
            <w:pPr>
              <w:pStyle w:val="NotesTable-CellPlain"/>
              <w:rPr>
                <w:b/>
              </w:rPr>
            </w:pPr>
            <w:r>
              <w:t>–</w:t>
            </w:r>
          </w:p>
        </w:tc>
      </w:tr>
      <w:tr w:rsidR="00E407AF" w14:paraId="0389FDCE" w14:textId="77777777" w:rsidTr="00530B02">
        <w:trPr>
          <w:trHeight w:hRule="exact" w:val="227"/>
        </w:trPr>
        <w:tc>
          <w:tcPr>
            <w:tcW w:w="810" w:type="pct"/>
          </w:tcPr>
          <w:p w14:paraId="0389FDC7" w14:textId="77777777" w:rsidR="00E407AF" w:rsidRDefault="00E407AF" w:rsidP="00D11709">
            <w:pPr>
              <w:pStyle w:val="Note-Refs"/>
            </w:pPr>
          </w:p>
        </w:tc>
        <w:tc>
          <w:tcPr>
            <w:tcW w:w="2297" w:type="pct"/>
            <w:shd w:val="clear" w:color="auto" w:fill="CCCCCC"/>
            <w:vAlign w:val="bottom"/>
          </w:tcPr>
          <w:p w14:paraId="0389FDC8" w14:textId="6EB68BCA" w:rsidR="00E407AF" w:rsidRDefault="00E407AF" w:rsidP="00D11709">
            <w:pPr>
              <w:pStyle w:val="NotesTable-ItemPlain"/>
              <w:rPr>
                <w:b/>
              </w:rPr>
            </w:pPr>
            <w:r>
              <w:t>Losses on disposal of assets</w:t>
            </w:r>
          </w:p>
        </w:tc>
        <w:tc>
          <w:tcPr>
            <w:tcW w:w="270" w:type="pct"/>
            <w:shd w:val="clear" w:color="auto" w:fill="CCCCCC"/>
            <w:vAlign w:val="bottom"/>
          </w:tcPr>
          <w:p w14:paraId="0389FDC9" w14:textId="77777777" w:rsidR="00E407AF" w:rsidRDefault="00E407AF" w:rsidP="005D4154">
            <w:pPr>
              <w:pStyle w:val="NotesTable-Notes"/>
            </w:pPr>
          </w:p>
        </w:tc>
        <w:tc>
          <w:tcPr>
            <w:tcW w:w="406" w:type="pct"/>
            <w:shd w:val="clear" w:color="auto" w:fill="CCCCCC"/>
            <w:vAlign w:val="bottom"/>
          </w:tcPr>
          <w:p w14:paraId="0389FDCA" w14:textId="77777777" w:rsidR="00E407AF" w:rsidRDefault="00E407AF" w:rsidP="00606085">
            <w:pPr>
              <w:pStyle w:val="NotesTable-CellBold"/>
              <w:rPr>
                <w:b w:val="0"/>
              </w:rPr>
            </w:pPr>
            <w:r>
              <w:t>–</w:t>
            </w:r>
          </w:p>
        </w:tc>
        <w:tc>
          <w:tcPr>
            <w:tcW w:w="406" w:type="pct"/>
            <w:shd w:val="clear" w:color="auto" w:fill="CCCCCC"/>
            <w:vAlign w:val="bottom"/>
          </w:tcPr>
          <w:p w14:paraId="0389FDCB" w14:textId="77777777" w:rsidR="00E407AF" w:rsidRPr="006C4169" w:rsidRDefault="00E407AF" w:rsidP="00606085">
            <w:pPr>
              <w:pStyle w:val="NotesTable-CellPlain"/>
              <w:rPr>
                <w:b/>
              </w:rPr>
            </w:pPr>
            <w:r w:rsidRPr="006C4169">
              <w:t>–</w:t>
            </w:r>
          </w:p>
        </w:tc>
        <w:tc>
          <w:tcPr>
            <w:tcW w:w="406" w:type="pct"/>
            <w:shd w:val="clear" w:color="auto" w:fill="CCCCCC"/>
            <w:vAlign w:val="bottom"/>
          </w:tcPr>
          <w:p w14:paraId="0389FDCC" w14:textId="77777777" w:rsidR="00E407AF" w:rsidRDefault="00E407AF" w:rsidP="00606085">
            <w:pPr>
              <w:pStyle w:val="NotesTable-CellBold"/>
              <w:rPr>
                <w:b w:val="0"/>
              </w:rPr>
            </w:pPr>
            <w:r>
              <w:t>–</w:t>
            </w:r>
          </w:p>
        </w:tc>
        <w:tc>
          <w:tcPr>
            <w:tcW w:w="405" w:type="pct"/>
            <w:shd w:val="clear" w:color="auto" w:fill="CCCCCC"/>
            <w:vAlign w:val="bottom"/>
          </w:tcPr>
          <w:p w14:paraId="0389FDCD" w14:textId="77777777" w:rsidR="00E407AF" w:rsidRPr="006C4169" w:rsidRDefault="00E407AF" w:rsidP="00606085">
            <w:pPr>
              <w:pStyle w:val="NotesTable-CellPlain"/>
              <w:rPr>
                <w:b/>
              </w:rPr>
            </w:pPr>
            <w:r w:rsidRPr="006C4169">
              <w:t>–</w:t>
            </w:r>
          </w:p>
        </w:tc>
      </w:tr>
      <w:tr w:rsidR="00E407AF" w14:paraId="0389FDD6" w14:textId="77777777" w:rsidTr="00530B02">
        <w:trPr>
          <w:trHeight w:hRule="exact" w:val="227"/>
        </w:trPr>
        <w:tc>
          <w:tcPr>
            <w:tcW w:w="810" w:type="pct"/>
          </w:tcPr>
          <w:p w14:paraId="0389FDCF" w14:textId="77777777" w:rsidR="00E407AF" w:rsidRDefault="00E407AF" w:rsidP="00D11709">
            <w:pPr>
              <w:pStyle w:val="Note-Refs"/>
            </w:pPr>
          </w:p>
        </w:tc>
        <w:tc>
          <w:tcPr>
            <w:tcW w:w="2297" w:type="pct"/>
            <w:shd w:val="clear" w:color="auto" w:fill="CCCCCC"/>
            <w:vAlign w:val="bottom"/>
          </w:tcPr>
          <w:p w14:paraId="0389FDD0" w14:textId="77777777" w:rsidR="00E407AF" w:rsidRDefault="00E407AF" w:rsidP="00D11709">
            <w:pPr>
              <w:pStyle w:val="NotesTable-ItemPlain"/>
              <w:rPr>
                <w:b/>
              </w:rPr>
            </w:pPr>
            <w:r>
              <w:t>Investment losses</w:t>
            </w:r>
          </w:p>
        </w:tc>
        <w:tc>
          <w:tcPr>
            <w:tcW w:w="270" w:type="pct"/>
            <w:shd w:val="clear" w:color="auto" w:fill="CCCCCC"/>
            <w:vAlign w:val="bottom"/>
          </w:tcPr>
          <w:p w14:paraId="0389FDD1" w14:textId="77777777" w:rsidR="00E407AF" w:rsidRDefault="00E407AF" w:rsidP="005D4154">
            <w:pPr>
              <w:pStyle w:val="NotesTable-Notes"/>
            </w:pPr>
            <w:r>
              <w:t>6</w:t>
            </w:r>
          </w:p>
        </w:tc>
        <w:tc>
          <w:tcPr>
            <w:tcW w:w="406" w:type="pct"/>
            <w:shd w:val="clear" w:color="auto" w:fill="CCCCCC"/>
            <w:vAlign w:val="bottom"/>
          </w:tcPr>
          <w:p w14:paraId="0389FDD2" w14:textId="77777777" w:rsidR="00E407AF" w:rsidRDefault="00E407AF" w:rsidP="00606085">
            <w:pPr>
              <w:pStyle w:val="NotesTable-CellBold"/>
              <w:rPr>
                <w:b w:val="0"/>
              </w:rPr>
            </w:pPr>
            <w:r>
              <w:t>–</w:t>
            </w:r>
          </w:p>
        </w:tc>
        <w:tc>
          <w:tcPr>
            <w:tcW w:w="406" w:type="pct"/>
            <w:shd w:val="clear" w:color="auto" w:fill="CCCCCC"/>
            <w:vAlign w:val="bottom"/>
          </w:tcPr>
          <w:p w14:paraId="0389FDD3" w14:textId="77777777" w:rsidR="00E407AF" w:rsidRDefault="00E407AF" w:rsidP="00606085">
            <w:pPr>
              <w:pStyle w:val="NotesTable-CellPlain"/>
              <w:rPr>
                <w:b/>
              </w:rPr>
            </w:pPr>
            <w:r w:rsidRPr="006C4169">
              <w:t>–</w:t>
            </w:r>
          </w:p>
        </w:tc>
        <w:tc>
          <w:tcPr>
            <w:tcW w:w="406" w:type="pct"/>
            <w:shd w:val="clear" w:color="auto" w:fill="CCCCCC"/>
            <w:vAlign w:val="bottom"/>
          </w:tcPr>
          <w:p w14:paraId="0389FDD4" w14:textId="77777777" w:rsidR="00E407AF" w:rsidRDefault="00E407AF" w:rsidP="00606085">
            <w:pPr>
              <w:pStyle w:val="NotesTable-CellBold"/>
              <w:rPr>
                <w:b w:val="0"/>
              </w:rPr>
            </w:pPr>
            <w:r>
              <w:t>–</w:t>
            </w:r>
          </w:p>
        </w:tc>
        <w:tc>
          <w:tcPr>
            <w:tcW w:w="405" w:type="pct"/>
            <w:shd w:val="clear" w:color="auto" w:fill="CCCCCC"/>
            <w:vAlign w:val="bottom"/>
          </w:tcPr>
          <w:p w14:paraId="0389FDD5" w14:textId="77777777" w:rsidR="00E407AF" w:rsidRDefault="00E407AF" w:rsidP="00606085">
            <w:pPr>
              <w:pStyle w:val="NotesTable-CellPlain"/>
              <w:rPr>
                <w:b/>
              </w:rPr>
            </w:pPr>
            <w:r w:rsidRPr="006C4169">
              <w:t>–</w:t>
            </w:r>
          </w:p>
        </w:tc>
      </w:tr>
      <w:tr w:rsidR="00E407AF" w14:paraId="0389FDDE" w14:textId="77777777" w:rsidTr="00530B02">
        <w:trPr>
          <w:trHeight w:hRule="exact" w:val="227"/>
        </w:trPr>
        <w:tc>
          <w:tcPr>
            <w:tcW w:w="810" w:type="pct"/>
          </w:tcPr>
          <w:p w14:paraId="0389FDD7" w14:textId="77777777" w:rsidR="00E407AF" w:rsidRDefault="00E407AF" w:rsidP="00D11709">
            <w:pPr>
              <w:pStyle w:val="Note-Refs"/>
            </w:pPr>
          </w:p>
        </w:tc>
        <w:tc>
          <w:tcPr>
            <w:tcW w:w="2297" w:type="pct"/>
            <w:shd w:val="clear" w:color="auto" w:fill="CCCCCC"/>
            <w:vAlign w:val="bottom"/>
          </w:tcPr>
          <w:p w14:paraId="0389FDD8" w14:textId="77777777" w:rsidR="00E407AF" w:rsidRDefault="00E407AF" w:rsidP="00D11709">
            <w:pPr>
              <w:pStyle w:val="NotesTable-ItemPlain"/>
              <w:rPr>
                <w:b/>
              </w:rPr>
            </w:pPr>
            <w:r>
              <w:t>Deferred Super expense</w:t>
            </w:r>
          </w:p>
        </w:tc>
        <w:tc>
          <w:tcPr>
            <w:tcW w:w="270" w:type="pct"/>
            <w:shd w:val="clear" w:color="auto" w:fill="CCCCCC"/>
            <w:vAlign w:val="bottom"/>
          </w:tcPr>
          <w:p w14:paraId="0389FDD9" w14:textId="58C0E32F" w:rsidR="00E407AF" w:rsidRDefault="00B7054C" w:rsidP="005D4154">
            <w:pPr>
              <w:pStyle w:val="NotesTable-Notes"/>
              <w:rPr>
                <w:b/>
              </w:rPr>
            </w:pPr>
            <w:r>
              <w:t>10</w:t>
            </w:r>
            <w:r w:rsidR="00E407AF">
              <w:t>/5</w:t>
            </w:r>
            <w:r>
              <w:t>2</w:t>
            </w:r>
          </w:p>
        </w:tc>
        <w:tc>
          <w:tcPr>
            <w:tcW w:w="406" w:type="pct"/>
            <w:shd w:val="clear" w:color="auto" w:fill="CCCCCC"/>
            <w:vAlign w:val="bottom"/>
          </w:tcPr>
          <w:p w14:paraId="0389FDDA" w14:textId="77777777" w:rsidR="00E407AF" w:rsidRDefault="00E407AF" w:rsidP="00606085">
            <w:pPr>
              <w:pStyle w:val="NotesTable-CellBold"/>
              <w:rPr>
                <w:b w:val="0"/>
              </w:rPr>
            </w:pPr>
            <w:r>
              <w:t>–</w:t>
            </w:r>
          </w:p>
        </w:tc>
        <w:tc>
          <w:tcPr>
            <w:tcW w:w="406" w:type="pct"/>
            <w:shd w:val="clear" w:color="auto" w:fill="CCCCCC"/>
            <w:vAlign w:val="bottom"/>
          </w:tcPr>
          <w:p w14:paraId="0389FDDB" w14:textId="77777777" w:rsidR="00E407AF" w:rsidRPr="006C4169" w:rsidRDefault="00E407AF" w:rsidP="00606085">
            <w:pPr>
              <w:pStyle w:val="NotesTable-CellPlain"/>
              <w:rPr>
                <w:b/>
              </w:rPr>
            </w:pPr>
            <w:r w:rsidRPr="006C4169">
              <w:t>–</w:t>
            </w:r>
          </w:p>
        </w:tc>
        <w:tc>
          <w:tcPr>
            <w:tcW w:w="406" w:type="pct"/>
            <w:shd w:val="clear" w:color="auto" w:fill="CCCCCC"/>
            <w:vAlign w:val="bottom"/>
          </w:tcPr>
          <w:p w14:paraId="0389FDDC" w14:textId="77777777" w:rsidR="00E407AF" w:rsidRDefault="00E407AF" w:rsidP="00606085">
            <w:pPr>
              <w:pStyle w:val="NotesTable-CellBold"/>
              <w:rPr>
                <w:b w:val="0"/>
              </w:rPr>
            </w:pPr>
            <w:r>
              <w:t>–</w:t>
            </w:r>
          </w:p>
        </w:tc>
        <w:tc>
          <w:tcPr>
            <w:tcW w:w="405" w:type="pct"/>
            <w:shd w:val="clear" w:color="auto" w:fill="CCCCCC"/>
            <w:vAlign w:val="bottom"/>
          </w:tcPr>
          <w:p w14:paraId="0389FDDD" w14:textId="77777777" w:rsidR="00E407AF" w:rsidRPr="006C4169" w:rsidRDefault="00E407AF" w:rsidP="00606085">
            <w:pPr>
              <w:pStyle w:val="NotesTable-CellPlain"/>
              <w:rPr>
                <w:b/>
              </w:rPr>
            </w:pPr>
            <w:r w:rsidRPr="006C4169">
              <w:t>–</w:t>
            </w:r>
          </w:p>
        </w:tc>
      </w:tr>
      <w:tr w:rsidR="00E407AF" w14:paraId="0389FDE6" w14:textId="77777777" w:rsidTr="00530B02">
        <w:trPr>
          <w:trHeight w:hRule="exact" w:val="227"/>
        </w:trPr>
        <w:tc>
          <w:tcPr>
            <w:tcW w:w="810" w:type="pct"/>
          </w:tcPr>
          <w:p w14:paraId="0389FDDF" w14:textId="77777777" w:rsidR="00E407AF" w:rsidRDefault="00E407AF" w:rsidP="00D11709">
            <w:pPr>
              <w:pStyle w:val="Note-Refs"/>
            </w:pPr>
          </w:p>
        </w:tc>
        <w:tc>
          <w:tcPr>
            <w:tcW w:w="2297" w:type="pct"/>
            <w:shd w:val="clear" w:color="auto" w:fill="CCCCCC"/>
            <w:vAlign w:val="bottom"/>
          </w:tcPr>
          <w:p w14:paraId="0389FDE0" w14:textId="77777777" w:rsidR="00E407AF" w:rsidRDefault="00E407AF" w:rsidP="00D11709">
            <w:pPr>
              <w:pStyle w:val="NotesTable-ItemPlain"/>
              <w:rPr>
                <w:b/>
              </w:rPr>
            </w:pPr>
            <w:r>
              <w:t>Other expenses</w:t>
            </w:r>
          </w:p>
        </w:tc>
        <w:tc>
          <w:tcPr>
            <w:tcW w:w="270" w:type="pct"/>
            <w:shd w:val="clear" w:color="auto" w:fill="CCCCCC"/>
            <w:vAlign w:val="bottom"/>
          </w:tcPr>
          <w:p w14:paraId="0389FDE1" w14:textId="5ABAE120" w:rsidR="00E407AF" w:rsidRDefault="00E407AF" w:rsidP="005D4154">
            <w:pPr>
              <w:pStyle w:val="NotesTable-Notes"/>
              <w:rPr>
                <w:b/>
              </w:rPr>
            </w:pPr>
            <w:r>
              <w:t>1</w:t>
            </w:r>
            <w:r w:rsidR="00B7054C">
              <w:t>5</w:t>
            </w:r>
          </w:p>
        </w:tc>
        <w:tc>
          <w:tcPr>
            <w:tcW w:w="406" w:type="pct"/>
            <w:tcBorders>
              <w:bottom w:val="single" w:sz="4" w:space="0" w:color="000000"/>
            </w:tcBorders>
            <w:shd w:val="clear" w:color="auto" w:fill="CCCCCC"/>
            <w:vAlign w:val="bottom"/>
          </w:tcPr>
          <w:p w14:paraId="0389FDE2" w14:textId="77777777" w:rsidR="00E407AF" w:rsidRDefault="00E407AF" w:rsidP="00606085">
            <w:pPr>
              <w:pStyle w:val="NotesTable-CellBold"/>
              <w:rPr>
                <w:b w:val="0"/>
              </w:rPr>
            </w:pPr>
            <w:r>
              <w:t>–</w:t>
            </w:r>
          </w:p>
        </w:tc>
        <w:tc>
          <w:tcPr>
            <w:tcW w:w="406" w:type="pct"/>
            <w:tcBorders>
              <w:bottom w:val="single" w:sz="4" w:space="0" w:color="000000"/>
            </w:tcBorders>
            <w:shd w:val="clear" w:color="auto" w:fill="CCCCCC"/>
            <w:vAlign w:val="bottom"/>
          </w:tcPr>
          <w:p w14:paraId="0389FDE3" w14:textId="77777777" w:rsidR="00E407AF" w:rsidRDefault="00E407AF" w:rsidP="00606085">
            <w:pPr>
              <w:pStyle w:val="NotesTable-CellPlain"/>
              <w:rPr>
                <w:b/>
              </w:rPr>
            </w:pPr>
            <w:r>
              <w:t>–</w:t>
            </w:r>
          </w:p>
        </w:tc>
        <w:tc>
          <w:tcPr>
            <w:tcW w:w="406" w:type="pct"/>
            <w:tcBorders>
              <w:bottom w:val="single" w:sz="4" w:space="0" w:color="000000"/>
            </w:tcBorders>
            <w:shd w:val="clear" w:color="auto" w:fill="CCCCCC"/>
            <w:vAlign w:val="bottom"/>
          </w:tcPr>
          <w:p w14:paraId="0389FDE4" w14:textId="77777777" w:rsidR="00E407AF" w:rsidRDefault="00E407AF" w:rsidP="00606085">
            <w:pPr>
              <w:pStyle w:val="NotesTable-CellBold"/>
              <w:rPr>
                <w:b w:val="0"/>
              </w:rPr>
            </w:pPr>
            <w:r>
              <w:t>–</w:t>
            </w:r>
          </w:p>
        </w:tc>
        <w:tc>
          <w:tcPr>
            <w:tcW w:w="405" w:type="pct"/>
            <w:tcBorders>
              <w:bottom w:val="single" w:sz="4" w:space="0" w:color="000000"/>
            </w:tcBorders>
            <w:shd w:val="clear" w:color="auto" w:fill="CCCCCC"/>
            <w:vAlign w:val="bottom"/>
          </w:tcPr>
          <w:p w14:paraId="0389FDE5" w14:textId="77777777" w:rsidR="00E407AF" w:rsidRDefault="00E407AF" w:rsidP="00606085">
            <w:pPr>
              <w:pStyle w:val="NotesTable-CellPlain"/>
              <w:rPr>
                <w:b/>
              </w:rPr>
            </w:pPr>
            <w:r>
              <w:t>–</w:t>
            </w:r>
          </w:p>
        </w:tc>
      </w:tr>
      <w:tr w:rsidR="00E407AF" w14:paraId="0389FDEE" w14:textId="77777777" w:rsidTr="00530B02">
        <w:trPr>
          <w:trHeight w:hRule="exact" w:val="227"/>
        </w:trPr>
        <w:tc>
          <w:tcPr>
            <w:tcW w:w="810" w:type="pct"/>
          </w:tcPr>
          <w:p w14:paraId="0389FDE7" w14:textId="77777777" w:rsidR="00E407AF" w:rsidRDefault="00E407AF" w:rsidP="00D11709">
            <w:pPr>
              <w:pStyle w:val="Note-Refs"/>
            </w:pPr>
          </w:p>
        </w:tc>
        <w:tc>
          <w:tcPr>
            <w:tcW w:w="2297" w:type="pct"/>
            <w:shd w:val="clear" w:color="auto" w:fill="CCCCCC"/>
            <w:vAlign w:val="bottom"/>
          </w:tcPr>
          <w:p w14:paraId="0389FDE8" w14:textId="77777777" w:rsidR="00E407AF" w:rsidRDefault="00E407AF">
            <w:pPr>
              <w:pStyle w:val="Statement-ItemBold"/>
            </w:pPr>
            <w:r>
              <w:t>Total expenses from continuing operations</w:t>
            </w:r>
          </w:p>
        </w:tc>
        <w:tc>
          <w:tcPr>
            <w:tcW w:w="270" w:type="pct"/>
            <w:shd w:val="clear" w:color="auto" w:fill="CCCCCC"/>
            <w:vAlign w:val="bottom"/>
          </w:tcPr>
          <w:p w14:paraId="0389FDE9" w14:textId="77777777" w:rsidR="00E407AF" w:rsidRDefault="00E407AF" w:rsidP="005D4154">
            <w:pPr>
              <w:pStyle w:val="NotesTable-Notes"/>
            </w:pPr>
          </w:p>
        </w:tc>
        <w:tc>
          <w:tcPr>
            <w:tcW w:w="406" w:type="pct"/>
            <w:tcBorders>
              <w:top w:val="single" w:sz="4" w:space="0" w:color="000000"/>
            </w:tcBorders>
            <w:shd w:val="clear" w:color="auto" w:fill="CCCCCC"/>
            <w:vAlign w:val="bottom"/>
          </w:tcPr>
          <w:p w14:paraId="0389FDEA" w14:textId="77777777" w:rsidR="00E407AF" w:rsidRDefault="00E407AF" w:rsidP="00606085">
            <w:pPr>
              <w:pStyle w:val="NotesTable-CellBold"/>
              <w:rPr>
                <w:b w:val="0"/>
              </w:rPr>
            </w:pPr>
            <w:r>
              <w:t>–</w:t>
            </w:r>
          </w:p>
        </w:tc>
        <w:tc>
          <w:tcPr>
            <w:tcW w:w="406" w:type="pct"/>
            <w:tcBorders>
              <w:top w:val="single" w:sz="4" w:space="0" w:color="000000"/>
            </w:tcBorders>
            <w:shd w:val="clear" w:color="auto" w:fill="CCCCCC"/>
            <w:vAlign w:val="bottom"/>
          </w:tcPr>
          <w:p w14:paraId="0389FDEB" w14:textId="77777777" w:rsidR="00E407AF" w:rsidRDefault="00E407AF" w:rsidP="00606085">
            <w:pPr>
              <w:pStyle w:val="NotesTable-CellPlain"/>
              <w:rPr>
                <w:b/>
              </w:rPr>
            </w:pPr>
            <w:r>
              <w:t>–</w:t>
            </w:r>
          </w:p>
        </w:tc>
        <w:tc>
          <w:tcPr>
            <w:tcW w:w="406" w:type="pct"/>
            <w:tcBorders>
              <w:top w:val="single" w:sz="4" w:space="0" w:color="000000"/>
            </w:tcBorders>
            <w:shd w:val="clear" w:color="auto" w:fill="CCCCCC"/>
            <w:vAlign w:val="bottom"/>
          </w:tcPr>
          <w:p w14:paraId="0389FDEC" w14:textId="77777777" w:rsidR="00E407AF" w:rsidRDefault="00E407AF" w:rsidP="00606085">
            <w:pPr>
              <w:pStyle w:val="NotesTable-CellBold"/>
              <w:rPr>
                <w:b w:val="0"/>
              </w:rPr>
            </w:pPr>
            <w:r>
              <w:t>–</w:t>
            </w:r>
          </w:p>
        </w:tc>
        <w:tc>
          <w:tcPr>
            <w:tcW w:w="405" w:type="pct"/>
            <w:tcBorders>
              <w:top w:val="single" w:sz="4" w:space="0" w:color="000000"/>
            </w:tcBorders>
            <w:shd w:val="clear" w:color="auto" w:fill="CCCCCC"/>
            <w:vAlign w:val="bottom"/>
          </w:tcPr>
          <w:p w14:paraId="0389FDED" w14:textId="77777777" w:rsidR="00E407AF" w:rsidRDefault="00E407AF" w:rsidP="00606085">
            <w:pPr>
              <w:pStyle w:val="NotesTable-CellPlain"/>
              <w:rPr>
                <w:b/>
              </w:rPr>
            </w:pPr>
            <w:r>
              <w:t>–</w:t>
            </w:r>
          </w:p>
        </w:tc>
      </w:tr>
      <w:tr w:rsidR="00E33AD9" w14:paraId="0389FDF6" w14:textId="77777777" w:rsidTr="00530B02">
        <w:trPr>
          <w:trHeight w:hRule="exact" w:val="227"/>
        </w:trPr>
        <w:tc>
          <w:tcPr>
            <w:tcW w:w="810" w:type="pct"/>
          </w:tcPr>
          <w:p w14:paraId="0389FDEF" w14:textId="77777777" w:rsidR="00E33AD9" w:rsidRDefault="00E33AD9" w:rsidP="00D11709">
            <w:pPr>
              <w:pStyle w:val="Note-Refs"/>
            </w:pPr>
          </w:p>
        </w:tc>
        <w:tc>
          <w:tcPr>
            <w:tcW w:w="2297" w:type="pct"/>
            <w:tcBorders>
              <w:bottom w:val="nil"/>
            </w:tcBorders>
            <w:shd w:val="clear" w:color="auto" w:fill="CCCCCC"/>
            <w:vAlign w:val="bottom"/>
          </w:tcPr>
          <w:p w14:paraId="0389FDF0" w14:textId="77777777" w:rsidR="00E33AD9" w:rsidRDefault="00E33AD9">
            <w:pPr>
              <w:pStyle w:val="NotesTable-ItemPlain"/>
            </w:pPr>
          </w:p>
        </w:tc>
        <w:tc>
          <w:tcPr>
            <w:tcW w:w="270" w:type="pct"/>
            <w:tcBorders>
              <w:bottom w:val="nil"/>
            </w:tcBorders>
            <w:shd w:val="clear" w:color="auto" w:fill="CCCCCC"/>
            <w:vAlign w:val="bottom"/>
          </w:tcPr>
          <w:p w14:paraId="0389FDF1" w14:textId="77777777" w:rsidR="00E33AD9" w:rsidRDefault="00E33AD9" w:rsidP="005D4154">
            <w:pPr>
              <w:pStyle w:val="NotesTable-Notes"/>
            </w:pPr>
          </w:p>
        </w:tc>
        <w:tc>
          <w:tcPr>
            <w:tcW w:w="406" w:type="pct"/>
            <w:shd w:val="clear" w:color="auto" w:fill="CCCCCC"/>
            <w:vAlign w:val="bottom"/>
          </w:tcPr>
          <w:p w14:paraId="0389FDF2" w14:textId="77777777" w:rsidR="00E33AD9" w:rsidRDefault="00E33AD9" w:rsidP="00606085">
            <w:pPr>
              <w:pStyle w:val="NotesTable-CellBold"/>
            </w:pPr>
          </w:p>
        </w:tc>
        <w:tc>
          <w:tcPr>
            <w:tcW w:w="406" w:type="pct"/>
            <w:shd w:val="clear" w:color="auto" w:fill="CCCCCC"/>
            <w:vAlign w:val="bottom"/>
          </w:tcPr>
          <w:p w14:paraId="0389FDF3" w14:textId="77777777" w:rsidR="00E33AD9" w:rsidRDefault="00E33AD9" w:rsidP="00606085">
            <w:pPr>
              <w:pStyle w:val="NotesTable-CellPlain"/>
            </w:pPr>
          </w:p>
        </w:tc>
        <w:tc>
          <w:tcPr>
            <w:tcW w:w="406" w:type="pct"/>
            <w:shd w:val="clear" w:color="auto" w:fill="CCCCCC"/>
            <w:vAlign w:val="bottom"/>
          </w:tcPr>
          <w:p w14:paraId="0389FDF4" w14:textId="77777777" w:rsidR="00E33AD9" w:rsidRDefault="00E33AD9" w:rsidP="00606085">
            <w:pPr>
              <w:pStyle w:val="NotesTable-CellBold"/>
            </w:pPr>
          </w:p>
        </w:tc>
        <w:tc>
          <w:tcPr>
            <w:tcW w:w="405" w:type="pct"/>
            <w:shd w:val="clear" w:color="auto" w:fill="CCCCCC"/>
            <w:vAlign w:val="bottom"/>
          </w:tcPr>
          <w:p w14:paraId="0389FDF5" w14:textId="77777777" w:rsidR="00E33AD9" w:rsidRDefault="00E33AD9" w:rsidP="00606085">
            <w:pPr>
              <w:pStyle w:val="NotesTable-CellPlain"/>
            </w:pPr>
          </w:p>
        </w:tc>
      </w:tr>
      <w:tr w:rsidR="00E33AD9" w14:paraId="0389FDFE" w14:textId="77777777" w:rsidTr="00530B02">
        <w:trPr>
          <w:trHeight w:hRule="exact" w:val="227"/>
        </w:trPr>
        <w:tc>
          <w:tcPr>
            <w:tcW w:w="810" w:type="pct"/>
          </w:tcPr>
          <w:p w14:paraId="0389FDF7" w14:textId="77777777" w:rsidR="00E33AD9" w:rsidRDefault="00E33AD9" w:rsidP="00D11709">
            <w:pPr>
              <w:pStyle w:val="Note-Refs"/>
            </w:pPr>
          </w:p>
        </w:tc>
        <w:tc>
          <w:tcPr>
            <w:tcW w:w="2297" w:type="pct"/>
            <w:tcBorders>
              <w:top w:val="nil"/>
            </w:tcBorders>
            <w:shd w:val="clear" w:color="auto" w:fill="CCCCCC"/>
            <w:vAlign w:val="bottom"/>
          </w:tcPr>
          <w:p w14:paraId="0389FDF8" w14:textId="77777777" w:rsidR="00E33AD9" w:rsidRDefault="00E33AD9">
            <w:pPr>
              <w:pStyle w:val="NotesTable-ItemPlain"/>
            </w:pPr>
          </w:p>
        </w:tc>
        <w:tc>
          <w:tcPr>
            <w:tcW w:w="270" w:type="pct"/>
            <w:tcBorders>
              <w:top w:val="nil"/>
            </w:tcBorders>
            <w:shd w:val="clear" w:color="auto" w:fill="CCCCCC"/>
            <w:vAlign w:val="bottom"/>
          </w:tcPr>
          <w:p w14:paraId="0389FDF9" w14:textId="77777777" w:rsidR="00E33AD9" w:rsidRDefault="00E33AD9" w:rsidP="005D4154">
            <w:pPr>
              <w:pStyle w:val="NotesTable-Notes"/>
            </w:pPr>
          </w:p>
        </w:tc>
        <w:tc>
          <w:tcPr>
            <w:tcW w:w="406" w:type="pct"/>
            <w:shd w:val="clear" w:color="auto" w:fill="CCCCCC"/>
            <w:vAlign w:val="bottom"/>
          </w:tcPr>
          <w:p w14:paraId="0389FDFA" w14:textId="77777777" w:rsidR="00E33AD9" w:rsidRDefault="00E33AD9" w:rsidP="00606085">
            <w:pPr>
              <w:pStyle w:val="NotesTable-CellBold"/>
            </w:pPr>
          </w:p>
        </w:tc>
        <w:tc>
          <w:tcPr>
            <w:tcW w:w="406" w:type="pct"/>
            <w:shd w:val="clear" w:color="auto" w:fill="CCCCCC"/>
            <w:vAlign w:val="bottom"/>
          </w:tcPr>
          <w:p w14:paraId="0389FDFB" w14:textId="77777777" w:rsidR="00E33AD9" w:rsidRDefault="00E33AD9" w:rsidP="00606085">
            <w:pPr>
              <w:pStyle w:val="NotesTable-CellPlain"/>
            </w:pPr>
          </w:p>
        </w:tc>
        <w:tc>
          <w:tcPr>
            <w:tcW w:w="406" w:type="pct"/>
            <w:shd w:val="clear" w:color="auto" w:fill="CCCCCC"/>
            <w:vAlign w:val="bottom"/>
          </w:tcPr>
          <w:p w14:paraId="0389FDFC" w14:textId="77777777" w:rsidR="00E33AD9" w:rsidRDefault="00E33AD9" w:rsidP="00606085">
            <w:pPr>
              <w:pStyle w:val="NotesTable-CellBold"/>
            </w:pPr>
          </w:p>
        </w:tc>
        <w:tc>
          <w:tcPr>
            <w:tcW w:w="405" w:type="pct"/>
            <w:shd w:val="clear" w:color="auto" w:fill="CCCCCC"/>
            <w:vAlign w:val="bottom"/>
          </w:tcPr>
          <w:p w14:paraId="0389FDFD" w14:textId="77777777" w:rsidR="00E33AD9" w:rsidRDefault="00E33AD9" w:rsidP="00606085">
            <w:pPr>
              <w:pStyle w:val="NotesTable-CellPlain"/>
            </w:pPr>
          </w:p>
        </w:tc>
      </w:tr>
      <w:tr w:rsidR="00E407AF" w14:paraId="0389FE06" w14:textId="77777777" w:rsidTr="00530B02">
        <w:trPr>
          <w:trHeight w:hRule="exact" w:val="227"/>
        </w:trPr>
        <w:tc>
          <w:tcPr>
            <w:tcW w:w="810" w:type="pct"/>
          </w:tcPr>
          <w:p w14:paraId="0389FDFF" w14:textId="77777777" w:rsidR="00E407AF" w:rsidRDefault="00E407AF" w:rsidP="00D11709">
            <w:pPr>
              <w:pStyle w:val="Note-Refs"/>
            </w:pPr>
            <w:bookmarkStart w:id="158" w:name="OLE_LINK9"/>
            <w:bookmarkStart w:id="159" w:name="OLE_LINK12"/>
          </w:p>
        </w:tc>
        <w:tc>
          <w:tcPr>
            <w:tcW w:w="2297" w:type="pct"/>
            <w:shd w:val="clear" w:color="auto" w:fill="CCCCCC"/>
            <w:vAlign w:val="bottom"/>
          </w:tcPr>
          <w:p w14:paraId="0389FE00" w14:textId="6C1DAC3B" w:rsidR="00E407AF" w:rsidRDefault="00124EA6">
            <w:pPr>
              <w:pStyle w:val="Statement-ItemBold"/>
            </w:pPr>
            <w:r>
              <w:t xml:space="preserve">Net </w:t>
            </w:r>
            <w:r w:rsidR="00E407AF">
              <w:t>result before income tax</w:t>
            </w:r>
          </w:p>
        </w:tc>
        <w:tc>
          <w:tcPr>
            <w:tcW w:w="270" w:type="pct"/>
            <w:shd w:val="clear" w:color="auto" w:fill="CCCCCC"/>
            <w:vAlign w:val="bottom"/>
          </w:tcPr>
          <w:p w14:paraId="0389FE01" w14:textId="77777777" w:rsidR="00E407AF" w:rsidRDefault="00E407AF" w:rsidP="005D4154">
            <w:pPr>
              <w:pStyle w:val="NotesTable-Notes"/>
            </w:pPr>
          </w:p>
        </w:tc>
        <w:tc>
          <w:tcPr>
            <w:tcW w:w="406" w:type="pct"/>
            <w:tcBorders>
              <w:top w:val="single" w:sz="4" w:space="0" w:color="000000"/>
            </w:tcBorders>
            <w:shd w:val="clear" w:color="auto" w:fill="CCCCCC"/>
            <w:vAlign w:val="bottom"/>
          </w:tcPr>
          <w:p w14:paraId="0389FE02" w14:textId="77777777" w:rsidR="00E407AF" w:rsidRDefault="00E407AF" w:rsidP="00606085">
            <w:pPr>
              <w:pStyle w:val="NotesTable-CellBold"/>
              <w:rPr>
                <w:b w:val="0"/>
              </w:rPr>
            </w:pPr>
            <w:r>
              <w:t>–</w:t>
            </w:r>
          </w:p>
        </w:tc>
        <w:tc>
          <w:tcPr>
            <w:tcW w:w="406" w:type="pct"/>
            <w:tcBorders>
              <w:top w:val="single" w:sz="4" w:space="0" w:color="000000"/>
            </w:tcBorders>
            <w:shd w:val="clear" w:color="auto" w:fill="CCCCCC"/>
            <w:vAlign w:val="bottom"/>
          </w:tcPr>
          <w:p w14:paraId="0389FE03" w14:textId="77777777" w:rsidR="00E407AF" w:rsidRDefault="00E407AF" w:rsidP="00606085">
            <w:pPr>
              <w:pStyle w:val="NotesTable-CellPlain"/>
              <w:rPr>
                <w:b/>
              </w:rPr>
            </w:pPr>
            <w:r>
              <w:t>–</w:t>
            </w:r>
          </w:p>
        </w:tc>
        <w:tc>
          <w:tcPr>
            <w:tcW w:w="406" w:type="pct"/>
            <w:tcBorders>
              <w:top w:val="single" w:sz="4" w:space="0" w:color="000000"/>
            </w:tcBorders>
            <w:shd w:val="clear" w:color="auto" w:fill="CCCCCC"/>
            <w:vAlign w:val="bottom"/>
          </w:tcPr>
          <w:p w14:paraId="0389FE04" w14:textId="77777777" w:rsidR="00E407AF" w:rsidRDefault="00E407AF" w:rsidP="00606085">
            <w:pPr>
              <w:pStyle w:val="NotesTable-CellBold"/>
              <w:rPr>
                <w:b w:val="0"/>
              </w:rPr>
            </w:pPr>
            <w:r>
              <w:t>–</w:t>
            </w:r>
          </w:p>
        </w:tc>
        <w:tc>
          <w:tcPr>
            <w:tcW w:w="405" w:type="pct"/>
            <w:tcBorders>
              <w:top w:val="single" w:sz="4" w:space="0" w:color="000000"/>
            </w:tcBorders>
            <w:shd w:val="clear" w:color="auto" w:fill="CCCCCC"/>
            <w:vAlign w:val="bottom"/>
          </w:tcPr>
          <w:p w14:paraId="0389FE05" w14:textId="77777777" w:rsidR="00E407AF" w:rsidRDefault="00E407AF" w:rsidP="00606085">
            <w:pPr>
              <w:pStyle w:val="NotesTable-CellPlain"/>
              <w:rPr>
                <w:b/>
              </w:rPr>
            </w:pPr>
            <w:r>
              <w:t>–</w:t>
            </w:r>
          </w:p>
        </w:tc>
      </w:tr>
      <w:tr w:rsidR="003A6A50" w14:paraId="0389FE0E" w14:textId="77777777" w:rsidTr="00530B02">
        <w:trPr>
          <w:trHeight w:hRule="exact" w:val="227"/>
        </w:trPr>
        <w:tc>
          <w:tcPr>
            <w:tcW w:w="810" w:type="pct"/>
          </w:tcPr>
          <w:p w14:paraId="0389FE07" w14:textId="77777777" w:rsidR="003A6A50" w:rsidRDefault="003A6A50" w:rsidP="00D11709">
            <w:pPr>
              <w:pStyle w:val="Note-Refs"/>
            </w:pPr>
          </w:p>
        </w:tc>
        <w:tc>
          <w:tcPr>
            <w:tcW w:w="2297" w:type="pct"/>
            <w:shd w:val="clear" w:color="auto" w:fill="CCCCCC"/>
            <w:vAlign w:val="bottom"/>
          </w:tcPr>
          <w:p w14:paraId="0389FE08" w14:textId="77777777" w:rsidR="003A6A50" w:rsidRDefault="003A6A50">
            <w:pPr>
              <w:pStyle w:val="NotesTable-ItemPlain"/>
            </w:pPr>
          </w:p>
        </w:tc>
        <w:tc>
          <w:tcPr>
            <w:tcW w:w="270" w:type="pct"/>
            <w:shd w:val="clear" w:color="auto" w:fill="CCCCCC"/>
            <w:vAlign w:val="bottom"/>
          </w:tcPr>
          <w:p w14:paraId="0389FE09" w14:textId="77777777" w:rsidR="003A6A50" w:rsidRDefault="003A6A50" w:rsidP="005D4154">
            <w:pPr>
              <w:pStyle w:val="NotesTable-Notes"/>
            </w:pPr>
          </w:p>
        </w:tc>
        <w:tc>
          <w:tcPr>
            <w:tcW w:w="406" w:type="pct"/>
            <w:shd w:val="clear" w:color="auto" w:fill="CCCCCC"/>
            <w:vAlign w:val="bottom"/>
          </w:tcPr>
          <w:p w14:paraId="0389FE0A" w14:textId="77777777" w:rsidR="003A6A50" w:rsidRDefault="003A6A50" w:rsidP="00606085">
            <w:pPr>
              <w:pStyle w:val="NotesTable-CellBold"/>
            </w:pPr>
          </w:p>
        </w:tc>
        <w:tc>
          <w:tcPr>
            <w:tcW w:w="406" w:type="pct"/>
            <w:shd w:val="clear" w:color="auto" w:fill="CCCCCC"/>
            <w:vAlign w:val="bottom"/>
          </w:tcPr>
          <w:p w14:paraId="0389FE0B" w14:textId="77777777" w:rsidR="003A6A50" w:rsidRDefault="003A6A50" w:rsidP="00606085">
            <w:pPr>
              <w:pStyle w:val="NotesTable-CellPlain"/>
            </w:pPr>
          </w:p>
        </w:tc>
        <w:tc>
          <w:tcPr>
            <w:tcW w:w="406" w:type="pct"/>
            <w:shd w:val="clear" w:color="auto" w:fill="CCCCCC"/>
            <w:vAlign w:val="bottom"/>
          </w:tcPr>
          <w:p w14:paraId="0389FE0C" w14:textId="77777777" w:rsidR="003A6A50" w:rsidRDefault="003A6A50" w:rsidP="00606085">
            <w:pPr>
              <w:pStyle w:val="NotesTable-CellBold"/>
            </w:pPr>
          </w:p>
        </w:tc>
        <w:tc>
          <w:tcPr>
            <w:tcW w:w="405" w:type="pct"/>
            <w:shd w:val="clear" w:color="auto" w:fill="CCCCCC"/>
            <w:vAlign w:val="bottom"/>
          </w:tcPr>
          <w:p w14:paraId="0389FE0D" w14:textId="77777777" w:rsidR="003A6A50" w:rsidRDefault="003A6A50" w:rsidP="00606085">
            <w:pPr>
              <w:pStyle w:val="NotesTable-CellPlain"/>
            </w:pPr>
          </w:p>
        </w:tc>
      </w:tr>
      <w:bookmarkEnd w:id="158"/>
      <w:bookmarkEnd w:id="159"/>
      <w:tr w:rsidR="00530B02" w14:paraId="4906ACD4" w14:textId="77777777" w:rsidTr="00530B02">
        <w:trPr>
          <w:trHeight w:hRule="exact" w:val="227"/>
        </w:trPr>
        <w:tc>
          <w:tcPr>
            <w:tcW w:w="810" w:type="pct"/>
          </w:tcPr>
          <w:p w14:paraId="38BB2565" w14:textId="77777777" w:rsidR="00530B02" w:rsidRPr="00530B02" w:rsidRDefault="00530B02" w:rsidP="00022EFA">
            <w:pPr>
              <w:pStyle w:val="Note-Refs"/>
            </w:pPr>
            <w:r>
              <w:t>AASB101.82d</w:t>
            </w:r>
          </w:p>
          <w:p w14:paraId="7E9673AC" w14:textId="77777777" w:rsidR="00530B02" w:rsidRDefault="00530B02" w:rsidP="00022EFA">
            <w:pPr>
              <w:pStyle w:val="Note-Refs"/>
            </w:pPr>
            <w:r>
              <w:t>AASB112.77</w:t>
            </w:r>
          </w:p>
        </w:tc>
        <w:tc>
          <w:tcPr>
            <w:tcW w:w="2297" w:type="pct"/>
            <w:shd w:val="clear" w:color="auto" w:fill="CCCCCC"/>
            <w:vAlign w:val="bottom"/>
          </w:tcPr>
          <w:p w14:paraId="6CE08179" w14:textId="77777777" w:rsidR="00530B02" w:rsidRPr="00530B02" w:rsidRDefault="00530B02" w:rsidP="00022EFA">
            <w:pPr>
              <w:pStyle w:val="NotesTable-ItemPlain"/>
            </w:pPr>
            <w:r>
              <w:t>Income tax expense</w:t>
            </w:r>
          </w:p>
        </w:tc>
        <w:tc>
          <w:tcPr>
            <w:tcW w:w="270" w:type="pct"/>
            <w:shd w:val="clear" w:color="auto" w:fill="CCCCCC"/>
            <w:vAlign w:val="bottom"/>
          </w:tcPr>
          <w:p w14:paraId="7BD3DFB0" w14:textId="77777777" w:rsidR="00530B02" w:rsidRDefault="00530B02" w:rsidP="00022EFA">
            <w:pPr>
              <w:pStyle w:val="NotesTable-Notes"/>
            </w:pPr>
            <w:r>
              <w:t>16</w:t>
            </w:r>
          </w:p>
        </w:tc>
        <w:tc>
          <w:tcPr>
            <w:tcW w:w="406" w:type="pct"/>
            <w:shd w:val="clear" w:color="auto" w:fill="CCCCCC"/>
            <w:vAlign w:val="bottom"/>
          </w:tcPr>
          <w:p w14:paraId="0A394FF6" w14:textId="77777777" w:rsidR="00530B02" w:rsidRPr="00530B02" w:rsidRDefault="00530B02" w:rsidP="00022EFA">
            <w:pPr>
              <w:pStyle w:val="NotesTable-CellBold"/>
            </w:pPr>
            <w:r>
              <w:t>–</w:t>
            </w:r>
          </w:p>
        </w:tc>
        <w:tc>
          <w:tcPr>
            <w:tcW w:w="406" w:type="pct"/>
            <w:shd w:val="clear" w:color="auto" w:fill="CCCCCC"/>
            <w:vAlign w:val="bottom"/>
          </w:tcPr>
          <w:p w14:paraId="53BD4EEE" w14:textId="77777777" w:rsidR="00530B02" w:rsidRPr="00530B02" w:rsidRDefault="00530B02" w:rsidP="00022EFA">
            <w:pPr>
              <w:pStyle w:val="NotesTable-CellPlain"/>
            </w:pPr>
            <w:r>
              <w:t>–</w:t>
            </w:r>
          </w:p>
        </w:tc>
        <w:tc>
          <w:tcPr>
            <w:tcW w:w="406" w:type="pct"/>
            <w:shd w:val="clear" w:color="auto" w:fill="CCCCCC"/>
            <w:vAlign w:val="bottom"/>
          </w:tcPr>
          <w:p w14:paraId="2089F401" w14:textId="77777777" w:rsidR="00530B02" w:rsidRPr="00530B02" w:rsidRDefault="00530B02" w:rsidP="00022EFA">
            <w:pPr>
              <w:pStyle w:val="NotesTable-CellBold"/>
            </w:pPr>
            <w:r>
              <w:t>–</w:t>
            </w:r>
          </w:p>
        </w:tc>
        <w:tc>
          <w:tcPr>
            <w:tcW w:w="405" w:type="pct"/>
            <w:shd w:val="clear" w:color="auto" w:fill="CCCCCC"/>
            <w:vAlign w:val="bottom"/>
          </w:tcPr>
          <w:p w14:paraId="67628149" w14:textId="77777777" w:rsidR="00530B02" w:rsidRPr="00530B02" w:rsidRDefault="00530B02" w:rsidP="00022EFA">
            <w:pPr>
              <w:pStyle w:val="NotesTable-CellPlain"/>
            </w:pPr>
            <w:r>
              <w:t>–</w:t>
            </w:r>
          </w:p>
        </w:tc>
      </w:tr>
      <w:tr w:rsidR="00530B02" w14:paraId="3DE92C87" w14:textId="77777777" w:rsidTr="00530B02">
        <w:trPr>
          <w:trHeight w:hRule="exact" w:val="227"/>
        </w:trPr>
        <w:tc>
          <w:tcPr>
            <w:tcW w:w="810" w:type="pct"/>
          </w:tcPr>
          <w:p w14:paraId="20211CA8" w14:textId="77777777" w:rsidR="00530B02" w:rsidRDefault="00530B02" w:rsidP="00022EFA">
            <w:pPr>
              <w:pStyle w:val="Note-Refs"/>
            </w:pPr>
          </w:p>
        </w:tc>
        <w:tc>
          <w:tcPr>
            <w:tcW w:w="2297" w:type="pct"/>
            <w:shd w:val="clear" w:color="auto" w:fill="CCCCCC"/>
            <w:vAlign w:val="bottom"/>
          </w:tcPr>
          <w:p w14:paraId="31551221" w14:textId="77777777" w:rsidR="00530B02" w:rsidRPr="00D07386" w:rsidRDefault="00530B02" w:rsidP="00530B02">
            <w:pPr>
              <w:pStyle w:val="NotesTable-ItemPlain"/>
            </w:pPr>
            <w:r>
              <w:t xml:space="preserve">Net </w:t>
            </w:r>
            <w:r w:rsidRPr="00D07386">
              <w:t>result from continuing operations</w:t>
            </w:r>
          </w:p>
        </w:tc>
        <w:tc>
          <w:tcPr>
            <w:tcW w:w="270" w:type="pct"/>
            <w:shd w:val="clear" w:color="auto" w:fill="CCCCCC"/>
            <w:vAlign w:val="bottom"/>
          </w:tcPr>
          <w:p w14:paraId="27A53F33" w14:textId="77777777" w:rsidR="00530B02" w:rsidRDefault="00530B02" w:rsidP="00022EFA">
            <w:pPr>
              <w:pStyle w:val="NotesTable-Notes"/>
            </w:pPr>
          </w:p>
        </w:tc>
        <w:tc>
          <w:tcPr>
            <w:tcW w:w="406" w:type="pct"/>
            <w:shd w:val="clear" w:color="auto" w:fill="CCCCCC"/>
            <w:vAlign w:val="bottom"/>
          </w:tcPr>
          <w:p w14:paraId="09765EBF" w14:textId="77777777" w:rsidR="00530B02" w:rsidRPr="00530B02" w:rsidRDefault="00530B02" w:rsidP="00022EFA">
            <w:pPr>
              <w:pStyle w:val="NotesTable-CellBold"/>
            </w:pPr>
            <w:r>
              <w:t>–</w:t>
            </w:r>
          </w:p>
        </w:tc>
        <w:tc>
          <w:tcPr>
            <w:tcW w:w="406" w:type="pct"/>
            <w:shd w:val="clear" w:color="auto" w:fill="CCCCCC"/>
            <w:vAlign w:val="bottom"/>
          </w:tcPr>
          <w:p w14:paraId="1D1D8959" w14:textId="77777777" w:rsidR="00530B02" w:rsidRPr="00530B02" w:rsidRDefault="00530B02" w:rsidP="00022EFA">
            <w:pPr>
              <w:pStyle w:val="NotesTable-CellPlain"/>
            </w:pPr>
            <w:r>
              <w:t>–</w:t>
            </w:r>
          </w:p>
        </w:tc>
        <w:tc>
          <w:tcPr>
            <w:tcW w:w="406" w:type="pct"/>
            <w:shd w:val="clear" w:color="auto" w:fill="CCCCCC"/>
            <w:vAlign w:val="bottom"/>
          </w:tcPr>
          <w:p w14:paraId="112AEB82" w14:textId="77777777" w:rsidR="00530B02" w:rsidRPr="00530B02" w:rsidRDefault="00530B02" w:rsidP="00022EFA">
            <w:pPr>
              <w:pStyle w:val="NotesTable-CellBold"/>
            </w:pPr>
            <w:r>
              <w:t>–</w:t>
            </w:r>
          </w:p>
        </w:tc>
        <w:tc>
          <w:tcPr>
            <w:tcW w:w="405" w:type="pct"/>
            <w:shd w:val="clear" w:color="auto" w:fill="CCCCCC"/>
            <w:vAlign w:val="bottom"/>
          </w:tcPr>
          <w:p w14:paraId="36999B57" w14:textId="77777777" w:rsidR="00530B02" w:rsidRPr="00530B02" w:rsidRDefault="00530B02" w:rsidP="00022EFA">
            <w:pPr>
              <w:pStyle w:val="NotesTable-CellPlain"/>
            </w:pPr>
            <w:r>
              <w:t>–</w:t>
            </w:r>
          </w:p>
        </w:tc>
      </w:tr>
      <w:tr w:rsidR="00530B02" w14:paraId="78E7CFB0" w14:textId="77777777" w:rsidTr="00530B02">
        <w:trPr>
          <w:trHeight w:val="227"/>
        </w:trPr>
        <w:tc>
          <w:tcPr>
            <w:tcW w:w="810" w:type="pct"/>
          </w:tcPr>
          <w:p w14:paraId="355DFB4E" w14:textId="77777777" w:rsidR="00530B02" w:rsidRDefault="00530B02" w:rsidP="00022EFA">
            <w:pPr>
              <w:pStyle w:val="Note-Refs"/>
            </w:pPr>
            <w:r>
              <w:t>AASB5.33a</w:t>
            </w:r>
          </w:p>
          <w:p w14:paraId="717EA504" w14:textId="77777777" w:rsidR="00530B02" w:rsidRDefault="00530B02" w:rsidP="00022EFA">
            <w:pPr>
              <w:pStyle w:val="Note-Refs"/>
            </w:pPr>
            <w:r>
              <w:t>AASB101.82ea</w:t>
            </w:r>
          </w:p>
        </w:tc>
        <w:tc>
          <w:tcPr>
            <w:tcW w:w="2297" w:type="pct"/>
            <w:shd w:val="clear" w:color="auto" w:fill="CCCCCC"/>
            <w:vAlign w:val="bottom"/>
          </w:tcPr>
          <w:p w14:paraId="228D87CF" w14:textId="77777777" w:rsidR="00530B02" w:rsidRDefault="00530B02" w:rsidP="00022EFA">
            <w:pPr>
              <w:pStyle w:val="NotesTable-ItemPlain"/>
            </w:pPr>
            <w:r>
              <w:t>Net result from discontinued operations</w:t>
            </w:r>
          </w:p>
        </w:tc>
        <w:tc>
          <w:tcPr>
            <w:tcW w:w="270" w:type="pct"/>
            <w:shd w:val="clear" w:color="auto" w:fill="CCCCCC"/>
            <w:vAlign w:val="bottom"/>
          </w:tcPr>
          <w:p w14:paraId="2A9FE5B2" w14:textId="77777777" w:rsidR="00530B02" w:rsidRDefault="00530B02" w:rsidP="00022EFA">
            <w:pPr>
              <w:pStyle w:val="NotesTable-Notes"/>
            </w:pPr>
            <w:r>
              <w:t>17</w:t>
            </w:r>
          </w:p>
        </w:tc>
        <w:tc>
          <w:tcPr>
            <w:tcW w:w="406" w:type="pct"/>
            <w:shd w:val="clear" w:color="auto" w:fill="CCCCCC"/>
            <w:vAlign w:val="bottom"/>
          </w:tcPr>
          <w:p w14:paraId="533B9ACE" w14:textId="77777777" w:rsidR="00530B02" w:rsidRPr="00530B02" w:rsidRDefault="00530B02" w:rsidP="00022EFA">
            <w:pPr>
              <w:pStyle w:val="NotesTable-CellBold"/>
            </w:pPr>
            <w:r>
              <w:t>–</w:t>
            </w:r>
          </w:p>
        </w:tc>
        <w:tc>
          <w:tcPr>
            <w:tcW w:w="406" w:type="pct"/>
            <w:shd w:val="clear" w:color="auto" w:fill="CCCCCC"/>
            <w:vAlign w:val="bottom"/>
          </w:tcPr>
          <w:p w14:paraId="30AEB311" w14:textId="77777777" w:rsidR="00530B02" w:rsidRPr="00530B02" w:rsidRDefault="00530B02" w:rsidP="00022EFA">
            <w:pPr>
              <w:pStyle w:val="NotesTable-CellPlain"/>
            </w:pPr>
            <w:r>
              <w:t>–</w:t>
            </w:r>
          </w:p>
        </w:tc>
        <w:tc>
          <w:tcPr>
            <w:tcW w:w="406" w:type="pct"/>
            <w:shd w:val="clear" w:color="auto" w:fill="CCCCCC"/>
            <w:vAlign w:val="bottom"/>
          </w:tcPr>
          <w:p w14:paraId="39187209" w14:textId="77777777" w:rsidR="00530B02" w:rsidRPr="00530B02" w:rsidRDefault="00530B02" w:rsidP="00022EFA">
            <w:pPr>
              <w:pStyle w:val="NotesTable-CellBold"/>
            </w:pPr>
            <w:r>
              <w:t>–</w:t>
            </w:r>
          </w:p>
        </w:tc>
        <w:tc>
          <w:tcPr>
            <w:tcW w:w="405" w:type="pct"/>
            <w:shd w:val="clear" w:color="auto" w:fill="CCCCCC"/>
            <w:vAlign w:val="bottom"/>
          </w:tcPr>
          <w:p w14:paraId="79DB9B75" w14:textId="77777777" w:rsidR="00530B02" w:rsidRPr="00530B02" w:rsidRDefault="00530B02" w:rsidP="00022EFA">
            <w:pPr>
              <w:pStyle w:val="NotesTable-CellPlain"/>
            </w:pPr>
            <w:r>
              <w:t>–</w:t>
            </w:r>
          </w:p>
        </w:tc>
      </w:tr>
      <w:tr w:rsidR="00530B02" w14:paraId="136E1BF4" w14:textId="77777777" w:rsidTr="00530B02">
        <w:trPr>
          <w:trHeight w:val="227"/>
        </w:trPr>
        <w:tc>
          <w:tcPr>
            <w:tcW w:w="810" w:type="pct"/>
          </w:tcPr>
          <w:p w14:paraId="70177A43" w14:textId="77777777" w:rsidR="00530B02" w:rsidRDefault="00530B02" w:rsidP="00022EFA">
            <w:pPr>
              <w:pStyle w:val="Note-Refs"/>
            </w:pPr>
          </w:p>
        </w:tc>
        <w:tc>
          <w:tcPr>
            <w:tcW w:w="2297" w:type="pct"/>
            <w:shd w:val="clear" w:color="auto" w:fill="CCCCCC"/>
            <w:vAlign w:val="bottom"/>
          </w:tcPr>
          <w:p w14:paraId="4FBA48C3" w14:textId="77777777" w:rsidR="00530B02" w:rsidRDefault="00530B02" w:rsidP="00530B02">
            <w:pPr>
              <w:pStyle w:val="NotesTable-ItemPlain"/>
            </w:pPr>
            <w:r>
              <w:t>Net</w:t>
            </w:r>
            <w:r w:rsidRPr="00446934">
              <w:t xml:space="preserve"> result after income tax for the period</w:t>
            </w:r>
          </w:p>
        </w:tc>
        <w:tc>
          <w:tcPr>
            <w:tcW w:w="270" w:type="pct"/>
            <w:shd w:val="clear" w:color="auto" w:fill="CCCCCC"/>
            <w:vAlign w:val="bottom"/>
          </w:tcPr>
          <w:p w14:paraId="38863463" w14:textId="77777777" w:rsidR="00530B02" w:rsidRDefault="00530B02" w:rsidP="00022EFA">
            <w:pPr>
              <w:pStyle w:val="NotesTable-Notes"/>
            </w:pPr>
          </w:p>
        </w:tc>
        <w:tc>
          <w:tcPr>
            <w:tcW w:w="406" w:type="pct"/>
            <w:shd w:val="clear" w:color="auto" w:fill="CCCCCC"/>
            <w:vAlign w:val="bottom"/>
          </w:tcPr>
          <w:p w14:paraId="0F9481C0" w14:textId="77777777" w:rsidR="00530B02" w:rsidRPr="00530B02" w:rsidRDefault="00530B02" w:rsidP="00022EFA">
            <w:pPr>
              <w:pStyle w:val="NotesTable-CellBold"/>
            </w:pPr>
            <w:r>
              <w:t>–</w:t>
            </w:r>
          </w:p>
        </w:tc>
        <w:tc>
          <w:tcPr>
            <w:tcW w:w="406" w:type="pct"/>
            <w:shd w:val="clear" w:color="auto" w:fill="CCCCCC"/>
            <w:vAlign w:val="bottom"/>
          </w:tcPr>
          <w:p w14:paraId="4F4256AD" w14:textId="77777777" w:rsidR="00530B02" w:rsidRPr="00530B02" w:rsidRDefault="00530B02" w:rsidP="00022EFA">
            <w:pPr>
              <w:pStyle w:val="NotesTable-CellPlain"/>
            </w:pPr>
            <w:r>
              <w:t>–</w:t>
            </w:r>
          </w:p>
        </w:tc>
        <w:tc>
          <w:tcPr>
            <w:tcW w:w="406" w:type="pct"/>
            <w:shd w:val="clear" w:color="auto" w:fill="CCCCCC"/>
            <w:vAlign w:val="bottom"/>
          </w:tcPr>
          <w:p w14:paraId="3F03FFF7" w14:textId="77777777" w:rsidR="00530B02" w:rsidRPr="00530B02" w:rsidRDefault="00530B02" w:rsidP="00022EFA">
            <w:pPr>
              <w:pStyle w:val="NotesTable-CellBold"/>
            </w:pPr>
            <w:r>
              <w:t>–</w:t>
            </w:r>
          </w:p>
        </w:tc>
        <w:tc>
          <w:tcPr>
            <w:tcW w:w="405" w:type="pct"/>
            <w:shd w:val="clear" w:color="auto" w:fill="CCCCCC"/>
            <w:vAlign w:val="bottom"/>
          </w:tcPr>
          <w:p w14:paraId="177F8DC2" w14:textId="77777777" w:rsidR="00530B02" w:rsidRPr="00530B02" w:rsidRDefault="00530B02" w:rsidP="00022EFA">
            <w:pPr>
              <w:pStyle w:val="NotesTable-CellPlain"/>
            </w:pPr>
            <w:r>
              <w:t>–</w:t>
            </w:r>
          </w:p>
        </w:tc>
      </w:tr>
      <w:tr w:rsidR="00530B02" w:rsidRPr="00985B10" w14:paraId="35FB14D7" w14:textId="77777777" w:rsidTr="00530B02">
        <w:trPr>
          <w:trHeight w:val="227"/>
        </w:trPr>
        <w:tc>
          <w:tcPr>
            <w:tcW w:w="810" w:type="pct"/>
          </w:tcPr>
          <w:p w14:paraId="02331644" w14:textId="77777777" w:rsidR="00530B02" w:rsidRPr="00985B10" w:rsidRDefault="00530B02" w:rsidP="00022EFA">
            <w:pPr>
              <w:pStyle w:val="Note-Refs"/>
            </w:pPr>
          </w:p>
        </w:tc>
        <w:tc>
          <w:tcPr>
            <w:tcW w:w="4190" w:type="pct"/>
            <w:gridSpan w:val="6"/>
            <w:shd w:val="clear" w:color="auto" w:fill="CCCCCC"/>
            <w:vAlign w:val="bottom"/>
          </w:tcPr>
          <w:p w14:paraId="7CE9F223" w14:textId="77777777" w:rsidR="00530B02" w:rsidRPr="00985B10" w:rsidRDefault="00530B02" w:rsidP="00022EFA">
            <w:pPr>
              <w:pStyle w:val="NotesTable-ItemPlain"/>
            </w:pPr>
          </w:p>
        </w:tc>
      </w:tr>
      <w:tr w:rsidR="00530B02" w:rsidRPr="00E849D3" w14:paraId="244AA649" w14:textId="77777777" w:rsidTr="00530B02">
        <w:trPr>
          <w:trHeight w:val="227"/>
        </w:trPr>
        <w:tc>
          <w:tcPr>
            <w:tcW w:w="810" w:type="pct"/>
          </w:tcPr>
          <w:p w14:paraId="7C5B4AB4" w14:textId="77777777" w:rsidR="00530B02" w:rsidRDefault="00530B02" w:rsidP="00022EFA">
            <w:pPr>
              <w:pStyle w:val="Note-Refs"/>
            </w:pPr>
          </w:p>
        </w:tc>
        <w:tc>
          <w:tcPr>
            <w:tcW w:w="4190" w:type="pct"/>
            <w:gridSpan w:val="6"/>
            <w:shd w:val="clear" w:color="auto" w:fill="CCCCCC"/>
            <w:vAlign w:val="bottom"/>
          </w:tcPr>
          <w:p w14:paraId="554DC9FC" w14:textId="77777777" w:rsidR="00530B02" w:rsidRPr="00E849D3" w:rsidRDefault="00530B02" w:rsidP="00022EFA">
            <w:pPr>
              <w:pStyle w:val="Statement-ItemBold"/>
            </w:pPr>
            <w:r>
              <w:t>Net</w:t>
            </w:r>
            <w:r w:rsidRPr="00CA72E9">
              <w:t xml:space="preserve"> result attributable to:</w:t>
            </w:r>
          </w:p>
        </w:tc>
      </w:tr>
      <w:tr w:rsidR="00530B02" w14:paraId="065D6373" w14:textId="77777777" w:rsidTr="00530B02">
        <w:trPr>
          <w:trHeight w:val="227"/>
        </w:trPr>
        <w:tc>
          <w:tcPr>
            <w:tcW w:w="810" w:type="pct"/>
            <w:vAlign w:val="center"/>
          </w:tcPr>
          <w:p w14:paraId="5ED9FAE9" w14:textId="77777777" w:rsidR="00530B02" w:rsidRDefault="00530B02" w:rsidP="00022EFA">
            <w:pPr>
              <w:pStyle w:val="Note-Refs"/>
            </w:pPr>
            <w:r>
              <w:t>AASB101.81Ba(ii)</w:t>
            </w:r>
          </w:p>
        </w:tc>
        <w:tc>
          <w:tcPr>
            <w:tcW w:w="2297" w:type="pct"/>
            <w:shd w:val="clear" w:color="auto" w:fill="CCCCCC"/>
            <w:vAlign w:val="bottom"/>
          </w:tcPr>
          <w:p w14:paraId="6B7BA5EB" w14:textId="77777777" w:rsidR="00530B02" w:rsidRPr="00AA1E71" w:rsidRDefault="00530B02" w:rsidP="00022EFA">
            <w:pPr>
              <w:pStyle w:val="NotesTable-ItemPlain"/>
              <w:rPr>
                <w:b/>
              </w:rPr>
            </w:pPr>
            <w:r w:rsidRPr="006408F7">
              <w:t>Members</w:t>
            </w:r>
          </w:p>
        </w:tc>
        <w:tc>
          <w:tcPr>
            <w:tcW w:w="270" w:type="pct"/>
            <w:shd w:val="clear" w:color="auto" w:fill="CCCCCC"/>
            <w:vAlign w:val="bottom"/>
          </w:tcPr>
          <w:p w14:paraId="01990A15" w14:textId="77777777" w:rsidR="00530B02" w:rsidRDefault="00530B02" w:rsidP="00022EFA">
            <w:pPr>
              <w:pStyle w:val="NotesTable-Notes"/>
              <w:rPr>
                <w:b/>
              </w:rPr>
            </w:pPr>
            <w:r>
              <w:t>36(b)</w:t>
            </w:r>
          </w:p>
        </w:tc>
        <w:tc>
          <w:tcPr>
            <w:tcW w:w="406" w:type="pct"/>
            <w:shd w:val="clear" w:color="auto" w:fill="CCCCCC"/>
            <w:vAlign w:val="bottom"/>
          </w:tcPr>
          <w:p w14:paraId="672475B5" w14:textId="77777777" w:rsidR="00530B02" w:rsidRDefault="00530B02" w:rsidP="00022EFA">
            <w:pPr>
              <w:pStyle w:val="NotesTable-CellBold"/>
              <w:rPr>
                <w:b w:val="0"/>
              </w:rPr>
            </w:pPr>
            <w:r>
              <w:t>–</w:t>
            </w:r>
          </w:p>
        </w:tc>
        <w:tc>
          <w:tcPr>
            <w:tcW w:w="406" w:type="pct"/>
            <w:shd w:val="clear" w:color="auto" w:fill="CCCCCC"/>
            <w:vAlign w:val="bottom"/>
          </w:tcPr>
          <w:p w14:paraId="7CC495CA" w14:textId="77777777" w:rsidR="00530B02" w:rsidRDefault="00530B02" w:rsidP="00022EFA">
            <w:pPr>
              <w:pStyle w:val="NotesTable-CellPlain"/>
              <w:rPr>
                <w:b/>
              </w:rPr>
            </w:pPr>
            <w:r>
              <w:t>–</w:t>
            </w:r>
          </w:p>
        </w:tc>
        <w:tc>
          <w:tcPr>
            <w:tcW w:w="406" w:type="pct"/>
            <w:shd w:val="clear" w:color="auto" w:fill="CCCCCC"/>
            <w:vAlign w:val="bottom"/>
          </w:tcPr>
          <w:p w14:paraId="1CB36769" w14:textId="77777777" w:rsidR="00530B02" w:rsidRDefault="00530B02" w:rsidP="00022EFA">
            <w:pPr>
              <w:pStyle w:val="NotesTable-CellBold"/>
              <w:rPr>
                <w:b w:val="0"/>
              </w:rPr>
            </w:pPr>
            <w:r>
              <w:t>–</w:t>
            </w:r>
          </w:p>
        </w:tc>
        <w:tc>
          <w:tcPr>
            <w:tcW w:w="405" w:type="pct"/>
            <w:shd w:val="clear" w:color="auto" w:fill="CCCCCC"/>
            <w:vAlign w:val="bottom"/>
          </w:tcPr>
          <w:p w14:paraId="2992F8BE" w14:textId="77777777" w:rsidR="00530B02" w:rsidRDefault="00530B02" w:rsidP="00022EFA">
            <w:pPr>
              <w:pStyle w:val="NotesTable-CellPlain"/>
              <w:rPr>
                <w:b/>
              </w:rPr>
            </w:pPr>
            <w:r>
              <w:t>–</w:t>
            </w:r>
          </w:p>
        </w:tc>
      </w:tr>
      <w:tr w:rsidR="00530B02" w14:paraId="3EDD936E" w14:textId="77777777" w:rsidTr="00530B02">
        <w:trPr>
          <w:trHeight w:val="227"/>
        </w:trPr>
        <w:tc>
          <w:tcPr>
            <w:tcW w:w="810" w:type="pct"/>
            <w:vAlign w:val="center"/>
          </w:tcPr>
          <w:p w14:paraId="47BCDEC3" w14:textId="77777777" w:rsidR="00530B02" w:rsidRDefault="00530B02" w:rsidP="00022EFA">
            <w:pPr>
              <w:pStyle w:val="Note-Refs"/>
              <w:rPr>
                <w:b/>
              </w:rPr>
            </w:pPr>
            <w:r>
              <w:t>AASB101.81Ba(i)</w:t>
            </w:r>
          </w:p>
        </w:tc>
        <w:tc>
          <w:tcPr>
            <w:tcW w:w="2297" w:type="pct"/>
            <w:shd w:val="clear" w:color="auto" w:fill="CCCCCC"/>
            <w:vAlign w:val="bottom"/>
          </w:tcPr>
          <w:p w14:paraId="33BAAA38" w14:textId="77777777" w:rsidR="00530B02" w:rsidRPr="00CA72E9" w:rsidRDefault="00530B02" w:rsidP="00022EFA">
            <w:pPr>
              <w:pStyle w:val="NotesTable-ItemPlain"/>
              <w:rPr>
                <w:b/>
              </w:rPr>
            </w:pPr>
            <w:r w:rsidRPr="006408F7">
              <w:t>Non-controlling interest</w:t>
            </w:r>
          </w:p>
        </w:tc>
        <w:tc>
          <w:tcPr>
            <w:tcW w:w="270" w:type="pct"/>
            <w:shd w:val="clear" w:color="auto" w:fill="CCCCCC"/>
            <w:vAlign w:val="bottom"/>
          </w:tcPr>
          <w:p w14:paraId="1B20F5D8" w14:textId="77777777" w:rsidR="00530B02" w:rsidRDefault="00530B02" w:rsidP="00022EFA">
            <w:pPr>
              <w:pStyle w:val="NotesTable-Notes"/>
            </w:pPr>
          </w:p>
        </w:tc>
        <w:tc>
          <w:tcPr>
            <w:tcW w:w="406" w:type="pct"/>
            <w:tcBorders>
              <w:bottom w:val="single" w:sz="4" w:space="0" w:color="000000"/>
            </w:tcBorders>
            <w:shd w:val="clear" w:color="auto" w:fill="CCCCCC"/>
            <w:vAlign w:val="bottom"/>
          </w:tcPr>
          <w:p w14:paraId="5A842E97" w14:textId="77777777" w:rsidR="00530B02" w:rsidRDefault="00530B02" w:rsidP="00022EFA">
            <w:pPr>
              <w:pStyle w:val="NotesTable-CellBold"/>
              <w:rPr>
                <w:b w:val="0"/>
              </w:rPr>
            </w:pPr>
            <w:r>
              <w:t>–</w:t>
            </w:r>
          </w:p>
        </w:tc>
        <w:tc>
          <w:tcPr>
            <w:tcW w:w="406" w:type="pct"/>
            <w:tcBorders>
              <w:bottom w:val="single" w:sz="4" w:space="0" w:color="000000"/>
            </w:tcBorders>
            <w:shd w:val="clear" w:color="auto" w:fill="CCCCCC"/>
            <w:vAlign w:val="bottom"/>
          </w:tcPr>
          <w:p w14:paraId="1BFC4FDE" w14:textId="77777777" w:rsidR="00530B02" w:rsidRDefault="00530B02" w:rsidP="00022EFA">
            <w:pPr>
              <w:pStyle w:val="NotesTable-CellPlain"/>
              <w:rPr>
                <w:b/>
              </w:rPr>
            </w:pPr>
            <w:r>
              <w:t>–</w:t>
            </w:r>
          </w:p>
        </w:tc>
        <w:tc>
          <w:tcPr>
            <w:tcW w:w="406" w:type="pct"/>
            <w:tcBorders>
              <w:bottom w:val="single" w:sz="4" w:space="0" w:color="000000"/>
            </w:tcBorders>
            <w:shd w:val="clear" w:color="auto" w:fill="CCCCCC"/>
            <w:vAlign w:val="bottom"/>
          </w:tcPr>
          <w:p w14:paraId="3990B889" w14:textId="77777777" w:rsidR="00530B02" w:rsidRDefault="00530B02" w:rsidP="00022EFA">
            <w:pPr>
              <w:pStyle w:val="NotesTable-CellBold"/>
              <w:rPr>
                <w:b w:val="0"/>
              </w:rPr>
            </w:pPr>
            <w:r>
              <w:t>–</w:t>
            </w:r>
          </w:p>
        </w:tc>
        <w:tc>
          <w:tcPr>
            <w:tcW w:w="405" w:type="pct"/>
            <w:tcBorders>
              <w:bottom w:val="single" w:sz="4" w:space="0" w:color="000000"/>
            </w:tcBorders>
            <w:shd w:val="clear" w:color="auto" w:fill="CCCCCC"/>
            <w:vAlign w:val="bottom"/>
          </w:tcPr>
          <w:p w14:paraId="00044527" w14:textId="77777777" w:rsidR="00530B02" w:rsidRDefault="00530B02" w:rsidP="00022EFA">
            <w:pPr>
              <w:pStyle w:val="NotesTable-CellPlain"/>
              <w:rPr>
                <w:b/>
              </w:rPr>
            </w:pPr>
            <w:r>
              <w:t>–</w:t>
            </w:r>
          </w:p>
        </w:tc>
      </w:tr>
      <w:tr w:rsidR="00530B02" w14:paraId="12E1ADBB" w14:textId="77777777" w:rsidTr="00530B02">
        <w:trPr>
          <w:trHeight w:val="227"/>
        </w:trPr>
        <w:tc>
          <w:tcPr>
            <w:tcW w:w="810" w:type="pct"/>
            <w:vAlign w:val="center"/>
          </w:tcPr>
          <w:p w14:paraId="556DA785" w14:textId="77777777" w:rsidR="00530B02" w:rsidRDefault="00530B02" w:rsidP="00022EFA">
            <w:pPr>
              <w:pStyle w:val="Note-Refs"/>
            </w:pPr>
          </w:p>
        </w:tc>
        <w:tc>
          <w:tcPr>
            <w:tcW w:w="2297" w:type="pct"/>
            <w:shd w:val="clear" w:color="auto" w:fill="CCCCCC"/>
            <w:vAlign w:val="bottom"/>
          </w:tcPr>
          <w:p w14:paraId="6AC088BC" w14:textId="77777777" w:rsidR="00530B02" w:rsidRPr="00CA72E9" w:rsidRDefault="00530B02" w:rsidP="00022EFA">
            <w:pPr>
              <w:pStyle w:val="NotesTable-ItemPlain"/>
              <w:rPr>
                <w:b/>
              </w:rPr>
            </w:pPr>
            <w:r>
              <w:t>Total</w:t>
            </w:r>
          </w:p>
        </w:tc>
        <w:tc>
          <w:tcPr>
            <w:tcW w:w="270" w:type="pct"/>
            <w:shd w:val="clear" w:color="auto" w:fill="CCCCCC"/>
            <w:vAlign w:val="bottom"/>
          </w:tcPr>
          <w:p w14:paraId="774A71F4" w14:textId="77777777" w:rsidR="00530B02" w:rsidRDefault="00530B02" w:rsidP="00022EFA">
            <w:pPr>
              <w:pStyle w:val="NotesTable-Notes"/>
            </w:pPr>
          </w:p>
        </w:tc>
        <w:tc>
          <w:tcPr>
            <w:tcW w:w="406" w:type="pct"/>
            <w:tcBorders>
              <w:top w:val="single" w:sz="4" w:space="0" w:color="000000"/>
            </w:tcBorders>
            <w:shd w:val="clear" w:color="auto" w:fill="CCCCCC"/>
            <w:vAlign w:val="bottom"/>
          </w:tcPr>
          <w:p w14:paraId="7E029FCA" w14:textId="77777777" w:rsidR="00530B02" w:rsidRDefault="00530B02" w:rsidP="00022EFA">
            <w:pPr>
              <w:pStyle w:val="NotesTable-CellBold"/>
              <w:rPr>
                <w:b w:val="0"/>
              </w:rPr>
            </w:pPr>
            <w:r>
              <w:t>–</w:t>
            </w:r>
          </w:p>
        </w:tc>
        <w:tc>
          <w:tcPr>
            <w:tcW w:w="406" w:type="pct"/>
            <w:tcBorders>
              <w:top w:val="single" w:sz="4" w:space="0" w:color="000000"/>
            </w:tcBorders>
            <w:shd w:val="clear" w:color="auto" w:fill="CCCCCC"/>
            <w:vAlign w:val="bottom"/>
          </w:tcPr>
          <w:p w14:paraId="45B8F5DA" w14:textId="77777777" w:rsidR="00530B02" w:rsidRDefault="00530B02" w:rsidP="00022EFA">
            <w:pPr>
              <w:pStyle w:val="NotesTable-CellPlain"/>
              <w:rPr>
                <w:b/>
              </w:rPr>
            </w:pPr>
            <w:r>
              <w:t>–</w:t>
            </w:r>
          </w:p>
        </w:tc>
        <w:tc>
          <w:tcPr>
            <w:tcW w:w="406" w:type="pct"/>
            <w:tcBorders>
              <w:top w:val="single" w:sz="4" w:space="0" w:color="000000"/>
            </w:tcBorders>
            <w:shd w:val="clear" w:color="auto" w:fill="CCCCCC"/>
            <w:vAlign w:val="bottom"/>
          </w:tcPr>
          <w:p w14:paraId="63BC9492" w14:textId="77777777" w:rsidR="00530B02" w:rsidRDefault="00530B02" w:rsidP="00022EFA">
            <w:pPr>
              <w:pStyle w:val="NotesTable-CellBold"/>
              <w:rPr>
                <w:b w:val="0"/>
              </w:rPr>
            </w:pPr>
            <w:r>
              <w:t>–</w:t>
            </w:r>
          </w:p>
        </w:tc>
        <w:tc>
          <w:tcPr>
            <w:tcW w:w="405" w:type="pct"/>
            <w:tcBorders>
              <w:top w:val="single" w:sz="4" w:space="0" w:color="000000"/>
            </w:tcBorders>
            <w:shd w:val="clear" w:color="auto" w:fill="CCCCCC"/>
            <w:vAlign w:val="bottom"/>
          </w:tcPr>
          <w:p w14:paraId="549C7FDA" w14:textId="77777777" w:rsidR="00530B02" w:rsidRDefault="00530B02" w:rsidP="00022EFA">
            <w:pPr>
              <w:pStyle w:val="NotesTable-CellPlain"/>
              <w:rPr>
                <w:b/>
              </w:rPr>
            </w:pPr>
            <w:r>
              <w:t>–</w:t>
            </w:r>
          </w:p>
        </w:tc>
      </w:tr>
      <w:tr w:rsidR="00530B02" w14:paraId="65EF5B42" w14:textId="77777777" w:rsidTr="00530B02">
        <w:trPr>
          <w:trHeight w:val="227"/>
        </w:trPr>
        <w:tc>
          <w:tcPr>
            <w:tcW w:w="810" w:type="pct"/>
            <w:vAlign w:val="center"/>
          </w:tcPr>
          <w:p w14:paraId="76D2A91C" w14:textId="77777777" w:rsidR="00530B02" w:rsidRDefault="00530B02" w:rsidP="00022EFA">
            <w:pPr>
              <w:pStyle w:val="Note-Refs"/>
            </w:pPr>
          </w:p>
        </w:tc>
        <w:tc>
          <w:tcPr>
            <w:tcW w:w="4190" w:type="pct"/>
            <w:gridSpan w:val="6"/>
            <w:shd w:val="clear" w:color="auto" w:fill="CCCCCC"/>
            <w:vAlign w:val="bottom"/>
          </w:tcPr>
          <w:p w14:paraId="0AAE90A2" w14:textId="77777777" w:rsidR="00530B02" w:rsidRDefault="00530B02" w:rsidP="00022EFA">
            <w:pPr>
              <w:pStyle w:val="NotesTable-ItemPlain"/>
            </w:pPr>
          </w:p>
        </w:tc>
      </w:tr>
      <w:tr w:rsidR="00530B02" w:rsidRPr="00E849D3" w14:paraId="62861D10" w14:textId="77777777" w:rsidTr="00530B02">
        <w:trPr>
          <w:trHeight w:val="227"/>
        </w:trPr>
        <w:tc>
          <w:tcPr>
            <w:tcW w:w="810" w:type="pct"/>
            <w:vAlign w:val="center"/>
          </w:tcPr>
          <w:p w14:paraId="2A8CECF6" w14:textId="77777777" w:rsidR="00530B02" w:rsidRDefault="00530B02" w:rsidP="00022EFA">
            <w:pPr>
              <w:pStyle w:val="Note-Refs"/>
            </w:pPr>
          </w:p>
        </w:tc>
        <w:tc>
          <w:tcPr>
            <w:tcW w:w="4190" w:type="pct"/>
            <w:gridSpan w:val="6"/>
            <w:shd w:val="clear" w:color="auto" w:fill="CCCCCC"/>
            <w:vAlign w:val="bottom"/>
          </w:tcPr>
          <w:p w14:paraId="7B6B681D" w14:textId="77777777" w:rsidR="00530B02" w:rsidRPr="00E849D3" w:rsidRDefault="00530B02" w:rsidP="00022EFA">
            <w:pPr>
              <w:pStyle w:val="Statement-ItemBold"/>
            </w:pPr>
            <w:r>
              <w:t>Net</w:t>
            </w:r>
            <w:r w:rsidRPr="00E849D3">
              <w:t xml:space="preserve"> result attributable to members from:</w:t>
            </w:r>
          </w:p>
        </w:tc>
      </w:tr>
      <w:tr w:rsidR="00530B02" w:rsidRPr="00AA1E71" w14:paraId="193B20F5" w14:textId="77777777" w:rsidTr="00530B02">
        <w:trPr>
          <w:trHeight w:val="227"/>
        </w:trPr>
        <w:tc>
          <w:tcPr>
            <w:tcW w:w="810" w:type="pct"/>
            <w:vAlign w:val="center"/>
          </w:tcPr>
          <w:p w14:paraId="4E15EAAB" w14:textId="77777777" w:rsidR="00530B02" w:rsidRPr="00E1542A" w:rsidRDefault="00530B02" w:rsidP="00022EFA">
            <w:pPr>
              <w:pStyle w:val="Note-Refs"/>
            </w:pPr>
            <w:r w:rsidRPr="00AA1E71">
              <w:t>AASB5.33d</w:t>
            </w:r>
            <w:r>
              <w:t>, 33A</w:t>
            </w:r>
          </w:p>
        </w:tc>
        <w:tc>
          <w:tcPr>
            <w:tcW w:w="2297" w:type="pct"/>
            <w:shd w:val="clear" w:color="auto" w:fill="CCCCCC"/>
            <w:vAlign w:val="bottom"/>
          </w:tcPr>
          <w:p w14:paraId="39D885A0" w14:textId="77777777" w:rsidR="00530B02" w:rsidRPr="00E1542A" w:rsidRDefault="00530B02" w:rsidP="00022EFA">
            <w:pPr>
              <w:pStyle w:val="NotesTable-ItemPlain"/>
              <w:rPr>
                <w:b/>
              </w:rPr>
            </w:pPr>
            <w:r w:rsidRPr="00E1542A">
              <w:t xml:space="preserve">Continuing </w:t>
            </w:r>
            <w:r>
              <w:t>o</w:t>
            </w:r>
            <w:r w:rsidRPr="00E1542A">
              <w:t>perations</w:t>
            </w:r>
          </w:p>
        </w:tc>
        <w:tc>
          <w:tcPr>
            <w:tcW w:w="270" w:type="pct"/>
            <w:shd w:val="clear" w:color="auto" w:fill="CCCCCC"/>
            <w:vAlign w:val="bottom"/>
          </w:tcPr>
          <w:p w14:paraId="428B2D5B" w14:textId="77777777" w:rsidR="00530B02" w:rsidRPr="00AA1E71" w:rsidRDefault="00530B02" w:rsidP="00022EFA">
            <w:pPr>
              <w:pStyle w:val="NotesTable-Notes"/>
            </w:pPr>
          </w:p>
        </w:tc>
        <w:tc>
          <w:tcPr>
            <w:tcW w:w="406" w:type="pct"/>
            <w:shd w:val="clear" w:color="auto" w:fill="CCCCCC"/>
            <w:vAlign w:val="bottom"/>
          </w:tcPr>
          <w:p w14:paraId="7057DAEA" w14:textId="77777777" w:rsidR="00530B02" w:rsidRPr="00AA1E71" w:rsidRDefault="00530B02" w:rsidP="00022EFA">
            <w:pPr>
              <w:pStyle w:val="NotesTable-CellBold"/>
              <w:rPr>
                <w:b w:val="0"/>
              </w:rPr>
            </w:pPr>
            <w:r w:rsidRPr="00AA1E71">
              <w:t>–</w:t>
            </w:r>
          </w:p>
        </w:tc>
        <w:tc>
          <w:tcPr>
            <w:tcW w:w="406" w:type="pct"/>
            <w:shd w:val="clear" w:color="auto" w:fill="CCCCCC"/>
            <w:vAlign w:val="bottom"/>
          </w:tcPr>
          <w:p w14:paraId="7576418F" w14:textId="77777777" w:rsidR="00530B02" w:rsidRPr="00AA1E71" w:rsidRDefault="00530B02" w:rsidP="00022EFA">
            <w:pPr>
              <w:pStyle w:val="NotesTable-CellPlain"/>
              <w:rPr>
                <w:b/>
              </w:rPr>
            </w:pPr>
            <w:r w:rsidRPr="00AA1E71">
              <w:t>–</w:t>
            </w:r>
          </w:p>
        </w:tc>
        <w:tc>
          <w:tcPr>
            <w:tcW w:w="406" w:type="pct"/>
            <w:shd w:val="clear" w:color="auto" w:fill="CCCCCC"/>
            <w:vAlign w:val="bottom"/>
          </w:tcPr>
          <w:p w14:paraId="54BE0335" w14:textId="77777777" w:rsidR="00530B02" w:rsidRPr="00AA1E71" w:rsidRDefault="00530B02" w:rsidP="00022EFA">
            <w:pPr>
              <w:pStyle w:val="NotesTable-CellBold"/>
              <w:rPr>
                <w:b w:val="0"/>
              </w:rPr>
            </w:pPr>
            <w:r w:rsidRPr="00AA1E71">
              <w:t>–</w:t>
            </w:r>
          </w:p>
        </w:tc>
        <w:tc>
          <w:tcPr>
            <w:tcW w:w="405" w:type="pct"/>
            <w:shd w:val="clear" w:color="auto" w:fill="CCCCCC"/>
            <w:vAlign w:val="bottom"/>
          </w:tcPr>
          <w:p w14:paraId="188DF6A0" w14:textId="77777777" w:rsidR="00530B02" w:rsidRPr="00AA1E71" w:rsidRDefault="00530B02" w:rsidP="00022EFA">
            <w:pPr>
              <w:pStyle w:val="NotesTable-CellPlain"/>
              <w:rPr>
                <w:b/>
              </w:rPr>
            </w:pPr>
            <w:r w:rsidRPr="00AA1E71">
              <w:t>–</w:t>
            </w:r>
          </w:p>
        </w:tc>
      </w:tr>
      <w:tr w:rsidR="00530B02" w14:paraId="6BECD4A8" w14:textId="77777777" w:rsidTr="00530B02">
        <w:trPr>
          <w:trHeight w:val="227"/>
        </w:trPr>
        <w:tc>
          <w:tcPr>
            <w:tcW w:w="810" w:type="pct"/>
            <w:vAlign w:val="center"/>
          </w:tcPr>
          <w:p w14:paraId="0C6C1FC3" w14:textId="77777777" w:rsidR="00530B02" w:rsidRDefault="00530B02" w:rsidP="00022EFA">
            <w:pPr>
              <w:pStyle w:val="Note-Refs"/>
              <w:rPr>
                <w:b/>
              </w:rPr>
            </w:pPr>
            <w:r>
              <w:t>AASB5.33d, 33A</w:t>
            </w:r>
          </w:p>
        </w:tc>
        <w:tc>
          <w:tcPr>
            <w:tcW w:w="2297" w:type="pct"/>
            <w:shd w:val="clear" w:color="auto" w:fill="CCCCCC"/>
            <w:vAlign w:val="bottom"/>
          </w:tcPr>
          <w:p w14:paraId="2B0B3DA1" w14:textId="77777777" w:rsidR="00530B02" w:rsidRPr="00D07386" w:rsidRDefault="00530B02" w:rsidP="00022EFA">
            <w:pPr>
              <w:pStyle w:val="NotesTable-ItemPlain"/>
              <w:rPr>
                <w:b/>
              </w:rPr>
            </w:pPr>
            <w:r w:rsidRPr="00D07386">
              <w:t>Discontinued operations</w:t>
            </w:r>
          </w:p>
        </w:tc>
        <w:tc>
          <w:tcPr>
            <w:tcW w:w="270" w:type="pct"/>
            <w:vMerge w:val="restart"/>
            <w:shd w:val="clear" w:color="auto" w:fill="CCCCCC"/>
            <w:vAlign w:val="bottom"/>
          </w:tcPr>
          <w:p w14:paraId="69480F65" w14:textId="77777777" w:rsidR="00530B02" w:rsidRDefault="00530B02" w:rsidP="00022EFA">
            <w:pPr>
              <w:pStyle w:val="NotesTable-Notes"/>
            </w:pPr>
          </w:p>
        </w:tc>
        <w:tc>
          <w:tcPr>
            <w:tcW w:w="406" w:type="pct"/>
            <w:tcBorders>
              <w:bottom w:val="single" w:sz="4" w:space="0" w:color="000000"/>
            </w:tcBorders>
            <w:shd w:val="clear" w:color="auto" w:fill="CCCCCC"/>
            <w:vAlign w:val="bottom"/>
          </w:tcPr>
          <w:p w14:paraId="0C838197" w14:textId="77777777" w:rsidR="00530B02" w:rsidRDefault="00530B02" w:rsidP="00022EFA">
            <w:pPr>
              <w:pStyle w:val="NotesTable-CellBold"/>
              <w:rPr>
                <w:b w:val="0"/>
              </w:rPr>
            </w:pPr>
            <w:r>
              <w:t>–</w:t>
            </w:r>
          </w:p>
        </w:tc>
        <w:tc>
          <w:tcPr>
            <w:tcW w:w="406" w:type="pct"/>
            <w:tcBorders>
              <w:bottom w:val="single" w:sz="4" w:space="0" w:color="000000"/>
            </w:tcBorders>
            <w:shd w:val="clear" w:color="auto" w:fill="CCCCCC"/>
            <w:vAlign w:val="bottom"/>
          </w:tcPr>
          <w:p w14:paraId="2C0F46E9" w14:textId="77777777" w:rsidR="00530B02" w:rsidRDefault="00530B02" w:rsidP="00022EFA">
            <w:pPr>
              <w:pStyle w:val="NotesTable-CellPlain"/>
              <w:rPr>
                <w:b/>
              </w:rPr>
            </w:pPr>
            <w:r>
              <w:t>–</w:t>
            </w:r>
          </w:p>
        </w:tc>
        <w:tc>
          <w:tcPr>
            <w:tcW w:w="406" w:type="pct"/>
            <w:tcBorders>
              <w:bottom w:val="single" w:sz="4" w:space="0" w:color="000000"/>
            </w:tcBorders>
            <w:shd w:val="clear" w:color="auto" w:fill="CCCCCC"/>
            <w:vAlign w:val="bottom"/>
          </w:tcPr>
          <w:p w14:paraId="6120364E" w14:textId="77777777" w:rsidR="00530B02" w:rsidRDefault="00530B02" w:rsidP="00022EFA">
            <w:pPr>
              <w:pStyle w:val="NotesTable-CellBold"/>
              <w:rPr>
                <w:b w:val="0"/>
              </w:rPr>
            </w:pPr>
            <w:r>
              <w:t>–</w:t>
            </w:r>
          </w:p>
        </w:tc>
        <w:tc>
          <w:tcPr>
            <w:tcW w:w="405" w:type="pct"/>
            <w:tcBorders>
              <w:bottom w:val="single" w:sz="4" w:space="0" w:color="000000"/>
            </w:tcBorders>
            <w:shd w:val="clear" w:color="auto" w:fill="CCCCCC"/>
            <w:vAlign w:val="bottom"/>
          </w:tcPr>
          <w:p w14:paraId="2BD02A20" w14:textId="77777777" w:rsidR="00530B02" w:rsidRDefault="00530B02" w:rsidP="00022EFA">
            <w:pPr>
              <w:pStyle w:val="NotesTable-CellPlain"/>
              <w:rPr>
                <w:b/>
              </w:rPr>
            </w:pPr>
            <w:r>
              <w:t>–</w:t>
            </w:r>
          </w:p>
        </w:tc>
      </w:tr>
      <w:tr w:rsidR="00530B02" w14:paraId="73197211" w14:textId="77777777" w:rsidTr="00530B02">
        <w:trPr>
          <w:trHeight w:val="227"/>
        </w:trPr>
        <w:tc>
          <w:tcPr>
            <w:tcW w:w="810" w:type="pct"/>
          </w:tcPr>
          <w:p w14:paraId="77A7125C" w14:textId="77777777" w:rsidR="00530B02" w:rsidRDefault="00530B02" w:rsidP="00022EFA">
            <w:pPr>
              <w:pStyle w:val="Note-Refs"/>
            </w:pPr>
          </w:p>
        </w:tc>
        <w:tc>
          <w:tcPr>
            <w:tcW w:w="2297" w:type="pct"/>
            <w:shd w:val="clear" w:color="auto" w:fill="CCCCCC"/>
            <w:vAlign w:val="bottom"/>
          </w:tcPr>
          <w:p w14:paraId="5F7851D3" w14:textId="77777777" w:rsidR="00530B02" w:rsidRPr="00D07386" w:rsidRDefault="00530B02" w:rsidP="00022EFA">
            <w:pPr>
              <w:pStyle w:val="NotesTable-ItemPlain"/>
            </w:pPr>
            <w:r w:rsidRPr="00D07386">
              <w:t>Total</w:t>
            </w:r>
          </w:p>
        </w:tc>
        <w:tc>
          <w:tcPr>
            <w:tcW w:w="270" w:type="pct"/>
            <w:vMerge/>
            <w:shd w:val="clear" w:color="auto" w:fill="CCCCCC"/>
            <w:vAlign w:val="bottom"/>
          </w:tcPr>
          <w:p w14:paraId="25E7F5FA" w14:textId="77777777" w:rsidR="00530B02" w:rsidRDefault="00530B02" w:rsidP="00022EFA">
            <w:pPr>
              <w:pStyle w:val="NotesTable-Notes"/>
            </w:pPr>
          </w:p>
        </w:tc>
        <w:tc>
          <w:tcPr>
            <w:tcW w:w="406" w:type="pct"/>
            <w:tcBorders>
              <w:top w:val="single" w:sz="4" w:space="0" w:color="000000"/>
            </w:tcBorders>
            <w:shd w:val="clear" w:color="auto" w:fill="CCCCCC"/>
            <w:vAlign w:val="bottom"/>
          </w:tcPr>
          <w:p w14:paraId="4ED447FE" w14:textId="77777777" w:rsidR="00530B02" w:rsidRDefault="00530B02" w:rsidP="00022EFA">
            <w:pPr>
              <w:pStyle w:val="NotesTable-CellBold"/>
              <w:rPr>
                <w:b w:val="0"/>
              </w:rPr>
            </w:pPr>
            <w:r>
              <w:t>–</w:t>
            </w:r>
          </w:p>
        </w:tc>
        <w:tc>
          <w:tcPr>
            <w:tcW w:w="406" w:type="pct"/>
            <w:tcBorders>
              <w:top w:val="single" w:sz="4" w:space="0" w:color="000000"/>
            </w:tcBorders>
            <w:shd w:val="clear" w:color="auto" w:fill="CCCCCC"/>
            <w:vAlign w:val="bottom"/>
          </w:tcPr>
          <w:p w14:paraId="40DAC2C0" w14:textId="77777777" w:rsidR="00530B02" w:rsidRDefault="00530B02" w:rsidP="00022EFA">
            <w:pPr>
              <w:pStyle w:val="NotesTable-CellPlain"/>
              <w:rPr>
                <w:b/>
              </w:rPr>
            </w:pPr>
            <w:r>
              <w:t>–</w:t>
            </w:r>
          </w:p>
        </w:tc>
        <w:tc>
          <w:tcPr>
            <w:tcW w:w="406" w:type="pct"/>
            <w:tcBorders>
              <w:top w:val="single" w:sz="4" w:space="0" w:color="000000"/>
            </w:tcBorders>
            <w:shd w:val="clear" w:color="auto" w:fill="CCCCCC"/>
            <w:vAlign w:val="bottom"/>
          </w:tcPr>
          <w:p w14:paraId="236E13AC" w14:textId="77777777" w:rsidR="00530B02" w:rsidRDefault="00530B02" w:rsidP="00022EFA">
            <w:pPr>
              <w:pStyle w:val="NotesTable-CellBold"/>
              <w:rPr>
                <w:b w:val="0"/>
              </w:rPr>
            </w:pPr>
            <w:r>
              <w:t>–</w:t>
            </w:r>
          </w:p>
        </w:tc>
        <w:tc>
          <w:tcPr>
            <w:tcW w:w="405" w:type="pct"/>
            <w:tcBorders>
              <w:top w:val="single" w:sz="4" w:space="0" w:color="000000"/>
            </w:tcBorders>
            <w:shd w:val="clear" w:color="auto" w:fill="CCCCCC"/>
            <w:vAlign w:val="bottom"/>
          </w:tcPr>
          <w:p w14:paraId="50F571BE" w14:textId="77777777" w:rsidR="00530B02" w:rsidRDefault="00530B02" w:rsidP="00022EFA">
            <w:pPr>
              <w:pStyle w:val="NotesTable-CellPlain"/>
              <w:rPr>
                <w:b/>
              </w:rPr>
            </w:pPr>
            <w:r>
              <w:t>–</w:t>
            </w:r>
          </w:p>
        </w:tc>
      </w:tr>
      <w:tr w:rsidR="00530B02" w14:paraId="692AC40F" w14:textId="77777777" w:rsidTr="00530B02">
        <w:trPr>
          <w:trHeight w:val="227"/>
        </w:trPr>
        <w:tc>
          <w:tcPr>
            <w:tcW w:w="810" w:type="pct"/>
          </w:tcPr>
          <w:p w14:paraId="3239F388" w14:textId="77777777" w:rsidR="00530B02" w:rsidRDefault="00530B02" w:rsidP="00022EFA">
            <w:pPr>
              <w:pStyle w:val="Note-Refs"/>
            </w:pPr>
          </w:p>
        </w:tc>
        <w:tc>
          <w:tcPr>
            <w:tcW w:w="4190" w:type="pct"/>
            <w:gridSpan w:val="6"/>
            <w:shd w:val="clear" w:color="auto" w:fill="CCCCCC"/>
            <w:vAlign w:val="bottom"/>
          </w:tcPr>
          <w:p w14:paraId="74407DE6" w14:textId="77777777" w:rsidR="00530B02" w:rsidRDefault="00530B02" w:rsidP="00022EFA">
            <w:pPr>
              <w:pStyle w:val="NotesTable-ItemPlain"/>
            </w:pPr>
          </w:p>
        </w:tc>
      </w:tr>
      <w:tr w:rsidR="00530B02" w14:paraId="4C5531BB" w14:textId="77777777" w:rsidTr="00530B02">
        <w:trPr>
          <w:trHeight w:val="227"/>
        </w:trPr>
        <w:tc>
          <w:tcPr>
            <w:tcW w:w="810" w:type="pct"/>
          </w:tcPr>
          <w:p w14:paraId="28B055AF" w14:textId="77777777" w:rsidR="00530B02" w:rsidRDefault="00530B02" w:rsidP="00022EFA">
            <w:pPr>
              <w:pStyle w:val="Note-Refs"/>
            </w:pPr>
          </w:p>
        </w:tc>
        <w:tc>
          <w:tcPr>
            <w:tcW w:w="4190" w:type="pct"/>
            <w:gridSpan w:val="6"/>
            <w:shd w:val="clear" w:color="auto" w:fill="CCCCCC"/>
            <w:vAlign w:val="bottom"/>
          </w:tcPr>
          <w:p w14:paraId="0FD3D313" w14:textId="77777777" w:rsidR="00530B02" w:rsidRDefault="00530B02" w:rsidP="00022EFA">
            <w:pPr>
              <w:pStyle w:val="NotesTable-ItemPlain"/>
            </w:pPr>
          </w:p>
        </w:tc>
      </w:tr>
      <w:tr w:rsidR="00530B02" w:rsidRPr="00695024" w14:paraId="005F201D" w14:textId="77777777" w:rsidTr="00530B02">
        <w:trPr>
          <w:trHeight w:val="227"/>
        </w:trPr>
        <w:tc>
          <w:tcPr>
            <w:tcW w:w="810" w:type="pct"/>
          </w:tcPr>
          <w:p w14:paraId="7B61A4C1" w14:textId="77777777" w:rsidR="00530B02" w:rsidRDefault="00530B02" w:rsidP="00022EFA">
            <w:pPr>
              <w:pStyle w:val="Note-Refs"/>
            </w:pPr>
          </w:p>
        </w:tc>
        <w:tc>
          <w:tcPr>
            <w:tcW w:w="4190" w:type="pct"/>
            <w:gridSpan w:val="6"/>
            <w:shd w:val="clear" w:color="auto" w:fill="CCCCCC"/>
            <w:vAlign w:val="center"/>
          </w:tcPr>
          <w:p w14:paraId="6BFA6770" w14:textId="77777777" w:rsidR="00530B02" w:rsidRPr="00695024" w:rsidRDefault="00530B02" w:rsidP="00022EFA">
            <w:pPr>
              <w:pStyle w:val="NotesTable-ItemIndent"/>
              <w:rPr>
                <w:b/>
              </w:rPr>
            </w:pPr>
            <w:r w:rsidRPr="00695024">
              <w:t>The above income statement should be read in conjunction with the accompanying notes.</w:t>
            </w:r>
          </w:p>
        </w:tc>
      </w:tr>
    </w:tbl>
    <w:p w14:paraId="3C834C9D" w14:textId="77777777" w:rsidR="00C516E0" w:rsidRDefault="008B6C55" w:rsidP="00C516E0">
      <w:pPr>
        <w:pStyle w:val="Heading1"/>
      </w:pPr>
      <w:bookmarkStart w:id="160" w:name="_Toc398721459"/>
      <w:bookmarkStart w:id="161" w:name="_Toc398721486"/>
      <w:bookmarkStart w:id="162" w:name="_Toc398721547"/>
      <w:bookmarkStart w:id="163" w:name="_Toc398721998"/>
      <w:bookmarkStart w:id="164" w:name="_Toc398729917"/>
      <w:bookmarkStart w:id="165" w:name="_Toc398731116"/>
      <w:bookmarkStart w:id="166" w:name="_Toc398731404"/>
      <w:bookmarkStart w:id="167" w:name="_Toc406751412"/>
      <w:bookmarkStart w:id="168" w:name="_Toc410807594"/>
      <w:bookmarkStart w:id="169" w:name="_Toc410822644"/>
      <w:bookmarkStart w:id="170" w:name="_Toc411854283"/>
      <w:bookmarkStart w:id="171" w:name="_Toc411854316"/>
      <w:r w:rsidRPr="00C516E0">
        <w:lastRenderedPageBreak/>
        <w:t>Statement of Comprehensive Income</w:t>
      </w:r>
      <w:bookmarkEnd w:id="160"/>
      <w:bookmarkEnd w:id="161"/>
      <w:bookmarkEnd w:id="162"/>
      <w:bookmarkEnd w:id="163"/>
      <w:bookmarkEnd w:id="164"/>
      <w:bookmarkEnd w:id="165"/>
      <w:bookmarkEnd w:id="166"/>
      <w:bookmarkEnd w:id="167"/>
      <w:bookmarkEnd w:id="168"/>
      <w:bookmarkEnd w:id="169"/>
      <w:bookmarkEnd w:id="170"/>
      <w:bookmarkEnd w:id="171"/>
    </w:p>
    <w:p w14:paraId="0389FE9F" w14:textId="141EE50D" w:rsidR="008B6C55" w:rsidRPr="000B02BD" w:rsidRDefault="002254C9" w:rsidP="000B02BD">
      <w:proofErr w:type="gramStart"/>
      <w:r w:rsidRPr="000B02BD">
        <w:t>f</w:t>
      </w:r>
      <w:r w:rsidR="008B6C55" w:rsidRPr="000B02BD">
        <w:t>or</w:t>
      </w:r>
      <w:proofErr w:type="gramEnd"/>
      <w:r w:rsidR="008B6C55" w:rsidRPr="000B02BD">
        <w:t xml:space="preserve"> the year ended 31 December </w:t>
      </w:r>
      <w:r w:rsidR="006864EC" w:rsidRPr="000B02BD">
        <w:t>2014</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3A6A50" w14:paraId="0389FEA6" w14:textId="77777777" w:rsidTr="00FC61D5">
        <w:trPr>
          <w:trHeight w:hRule="exact" w:val="227"/>
        </w:trPr>
        <w:tc>
          <w:tcPr>
            <w:tcW w:w="810" w:type="pct"/>
            <w:vAlign w:val="center"/>
          </w:tcPr>
          <w:p w14:paraId="0389FEA1" w14:textId="77777777" w:rsidR="003A6A50" w:rsidRDefault="003A6A50" w:rsidP="00D11709">
            <w:pPr>
              <w:pStyle w:val="Note-Refs"/>
            </w:pPr>
          </w:p>
        </w:tc>
        <w:tc>
          <w:tcPr>
            <w:tcW w:w="2297" w:type="pct"/>
            <w:shd w:val="clear" w:color="auto" w:fill="CCCCCC"/>
            <w:vAlign w:val="bottom"/>
          </w:tcPr>
          <w:p w14:paraId="0389FEA2" w14:textId="77777777" w:rsidR="003A6A50" w:rsidRDefault="003A6A50">
            <w:pPr>
              <w:pStyle w:val="NotesTable-ItemPlain"/>
            </w:pPr>
          </w:p>
        </w:tc>
        <w:tc>
          <w:tcPr>
            <w:tcW w:w="270" w:type="pct"/>
            <w:shd w:val="clear" w:color="auto" w:fill="CCCCCC"/>
            <w:vAlign w:val="bottom"/>
          </w:tcPr>
          <w:p w14:paraId="0389FEA3" w14:textId="77777777" w:rsidR="003A6A50" w:rsidRDefault="003A6A50" w:rsidP="005D4154">
            <w:pPr>
              <w:pStyle w:val="NotesTable-Notes"/>
            </w:pPr>
          </w:p>
        </w:tc>
        <w:tc>
          <w:tcPr>
            <w:tcW w:w="811" w:type="pct"/>
            <w:gridSpan w:val="2"/>
            <w:shd w:val="clear" w:color="auto" w:fill="CCCCCC"/>
          </w:tcPr>
          <w:p w14:paraId="0389FEA4" w14:textId="77777777" w:rsidR="003A6A50" w:rsidRDefault="003A6A50" w:rsidP="001420DF">
            <w:pPr>
              <w:pStyle w:val="NotesTable-HeadPlain"/>
            </w:pPr>
          </w:p>
        </w:tc>
        <w:tc>
          <w:tcPr>
            <w:tcW w:w="811" w:type="pct"/>
            <w:gridSpan w:val="2"/>
            <w:shd w:val="clear" w:color="auto" w:fill="CCCCCC"/>
          </w:tcPr>
          <w:p w14:paraId="0389FEA5" w14:textId="77777777" w:rsidR="003A6A50" w:rsidRDefault="003A6A50" w:rsidP="00C54AC3">
            <w:pPr>
              <w:pStyle w:val="NotesTable-HeadPlain"/>
            </w:pPr>
          </w:p>
        </w:tc>
      </w:tr>
      <w:tr w:rsidR="001F35AA" w14:paraId="0389FEAD" w14:textId="77777777" w:rsidTr="00FC61D5">
        <w:trPr>
          <w:trHeight w:val="227"/>
        </w:trPr>
        <w:tc>
          <w:tcPr>
            <w:tcW w:w="810" w:type="pct"/>
            <w:vAlign w:val="center"/>
          </w:tcPr>
          <w:p w14:paraId="0389FEA7" w14:textId="77777777" w:rsidR="008B6C55" w:rsidRDefault="008B6C55" w:rsidP="00D11709">
            <w:pPr>
              <w:pStyle w:val="Note-Refs"/>
            </w:pPr>
            <w:r>
              <w:t>MANDATORY</w:t>
            </w:r>
          </w:p>
          <w:p w14:paraId="0389FEA8" w14:textId="77777777" w:rsidR="008B6C55" w:rsidRDefault="00AD5027" w:rsidP="00D11709">
            <w:pPr>
              <w:pStyle w:val="Note-Refs"/>
              <w:rPr>
                <w:sz w:val="20"/>
              </w:rPr>
            </w:pPr>
            <w:r>
              <w:t>EDUCATION</w:t>
            </w:r>
          </w:p>
        </w:tc>
        <w:tc>
          <w:tcPr>
            <w:tcW w:w="2297" w:type="pct"/>
            <w:shd w:val="clear" w:color="auto" w:fill="CCCCCC"/>
            <w:vAlign w:val="bottom"/>
          </w:tcPr>
          <w:p w14:paraId="0389FEA9" w14:textId="77777777" w:rsidR="008B6C55" w:rsidRDefault="008B6C55">
            <w:pPr>
              <w:pStyle w:val="NotesTable-ItemPlain"/>
            </w:pPr>
          </w:p>
        </w:tc>
        <w:tc>
          <w:tcPr>
            <w:tcW w:w="270" w:type="pct"/>
            <w:shd w:val="clear" w:color="auto" w:fill="CCCCCC"/>
            <w:vAlign w:val="bottom"/>
          </w:tcPr>
          <w:p w14:paraId="0389FEAA" w14:textId="77777777" w:rsidR="008B6C55" w:rsidRDefault="008B6C55" w:rsidP="005D4154">
            <w:pPr>
              <w:pStyle w:val="NotesTable-Notes"/>
            </w:pPr>
          </w:p>
        </w:tc>
        <w:tc>
          <w:tcPr>
            <w:tcW w:w="811" w:type="pct"/>
            <w:gridSpan w:val="2"/>
            <w:shd w:val="clear" w:color="auto" w:fill="CCCCCC"/>
          </w:tcPr>
          <w:p w14:paraId="0389FEAB" w14:textId="77777777" w:rsidR="008B6C55" w:rsidRDefault="008B6C55" w:rsidP="001420DF">
            <w:pPr>
              <w:pStyle w:val="NotesTable-HeadPlain"/>
              <w:rPr>
                <w:b/>
              </w:rPr>
            </w:pPr>
            <w:r>
              <w:t>Consolidated</w:t>
            </w:r>
          </w:p>
        </w:tc>
        <w:tc>
          <w:tcPr>
            <w:tcW w:w="811" w:type="pct"/>
            <w:gridSpan w:val="2"/>
            <w:shd w:val="clear" w:color="auto" w:fill="CCCCCC"/>
          </w:tcPr>
          <w:p w14:paraId="0389FEAC" w14:textId="77777777" w:rsidR="008B6C55" w:rsidRDefault="008B6C55" w:rsidP="00C54AC3">
            <w:pPr>
              <w:pStyle w:val="NotesTable-HeadPlain"/>
              <w:rPr>
                <w:b/>
              </w:rPr>
            </w:pPr>
            <w:r>
              <w:t>Parent entity</w:t>
            </w:r>
          </w:p>
        </w:tc>
      </w:tr>
      <w:tr w:rsidR="001F35AA" w14:paraId="0389FEB5" w14:textId="77777777" w:rsidTr="00FC61D5">
        <w:trPr>
          <w:trHeight w:hRule="exact" w:val="227"/>
        </w:trPr>
        <w:tc>
          <w:tcPr>
            <w:tcW w:w="810" w:type="pct"/>
          </w:tcPr>
          <w:p w14:paraId="0389FEAE" w14:textId="77777777" w:rsidR="004023E5" w:rsidRDefault="004023E5" w:rsidP="00D11709">
            <w:pPr>
              <w:pStyle w:val="Note-Refs"/>
            </w:pPr>
          </w:p>
        </w:tc>
        <w:tc>
          <w:tcPr>
            <w:tcW w:w="2297" w:type="pct"/>
            <w:shd w:val="clear" w:color="auto" w:fill="CCCCCC"/>
            <w:vAlign w:val="bottom"/>
          </w:tcPr>
          <w:p w14:paraId="0389FEAF" w14:textId="77777777" w:rsidR="004023E5" w:rsidRDefault="004023E5">
            <w:pPr>
              <w:pStyle w:val="NotesTable-ItemPlain"/>
            </w:pPr>
          </w:p>
        </w:tc>
        <w:tc>
          <w:tcPr>
            <w:tcW w:w="270" w:type="pct"/>
            <w:shd w:val="clear" w:color="auto" w:fill="CCCCCC"/>
            <w:vAlign w:val="bottom"/>
          </w:tcPr>
          <w:p w14:paraId="0389FEB0" w14:textId="77777777" w:rsidR="004023E5" w:rsidRDefault="004023E5" w:rsidP="005D4154">
            <w:pPr>
              <w:pStyle w:val="NotesTable-Notes"/>
              <w:rPr>
                <w:b/>
              </w:rPr>
            </w:pPr>
            <w:r>
              <w:t>Notes</w:t>
            </w:r>
          </w:p>
        </w:tc>
        <w:tc>
          <w:tcPr>
            <w:tcW w:w="406" w:type="pct"/>
            <w:shd w:val="clear" w:color="auto" w:fill="CCCCCC"/>
          </w:tcPr>
          <w:p w14:paraId="0389FEB1" w14:textId="0C19C715" w:rsidR="004023E5" w:rsidRDefault="006864EC">
            <w:pPr>
              <w:pStyle w:val="NotesTable-HeadBold"/>
            </w:pPr>
            <w:r>
              <w:t>2014</w:t>
            </w:r>
          </w:p>
        </w:tc>
        <w:tc>
          <w:tcPr>
            <w:tcW w:w="406" w:type="pct"/>
            <w:shd w:val="clear" w:color="auto" w:fill="CCCCCC"/>
          </w:tcPr>
          <w:p w14:paraId="0389FEB2" w14:textId="53F735DD" w:rsidR="004023E5" w:rsidRDefault="006864EC" w:rsidP="00C54AC3">
            <w:pPr>
              <w:pStyle w:val="NotesTable-HeadPlain"/>
            </w:pPr>
            <w:r>
              <w:t>2013</w:t>
            </w:r>
          </w:p>
        </w:tc>
        <w:tc>
          <w:tcPr>
            <w:tcW w:w="406" w:type="pct"/>
            <w:shd w:val="clear" w:color="auto" w:fill="CCCCCC"/>
          </w:tcPr>
          <w:p w14:paraId="0389FEB3" w14:textId="4DDA32D4" w:rsidR="004023E5" w:rsidRDefault="006864EC">
            <w:pPr>
              <w:pStyle w:val="NotesTable-HeadBold"/>
            </w:pPr>
            <w:r>
              <w:t>2014</w:t>
            </w:r>
          </w:p>
        </w:tc>
        <w:tc>
          <w:tcPr>
            <w:tcW w:w="406" w:type="pct"/>
            <w:shd w:val="clear" w:color="auto" w:fill="CCCCCC"/>
          </w:tcPr>
          <w:p w14:paraId="0389FEB4" w14:textId="46DCDD29" w:rsidR="004023E5" w:rsidRDefault="006864EC">
            <w:pPr>
              <w:pStyle w:val="NotesTable-HeadPlain"/>
            </w:pPr>
            <w:r>
              <w:t>2013</w:t>
            </w:r>
          </w:p>
        </w:tc>
      </w:tr>
      <w:tr w:rsidR="001F35AA" w14:paraId="0389FEBD" w14:textId="77777777" w:rsidTr="00FC61D5">
        <w:trPr>
          <w:trHeight w:hRule="exact" w:val="227"/>
        </w:trPr>
        <w:tc>
          <w:tcPr>
            <w:tcW w:w="810" w:type="pct"/>
          </w:tcPr>
          <w:p w14:paraId="0389FEB6" w14:textId="77777777" w:rsidR="004023E5" w:rsidRDefault="004023E5" w:rsidP="00D11709">
            <w:pPr>
              <w:pStyle w:val="Note-Refs"/>
            </w:pPr>
          </w:p>
        </w:tc>
        <w:tc>
          <w:tcPr>
            <w:tcW w:w="2297" w:type="pct"/>
            <w:shd w:val="clear" w:color="auto" w:fill="CCCCCC"/>
            <w:vAlign w:val="bottom"/>
          </w:tcPr>
          <w:p w14:paraId="0389FEB7" w14:textId="77777777" w:rsidR="004023E5" w:rsidRDefault="004023E5">
            <w:pPr>
              <w:pStyle w:val="NotesTable-ItemPlain"/>
            </w:pPr>
          </w:p>
        </w:tc>
        <w:tc>
          <w:tcPr>
            <w:tcW w:w="270" w:type="pct"/>
            <w:shd w:val="clear" w:color="auto" w:fill="CCCCCC"/>
            <w:vAlign w:val="bottom"/>
          </w:tcPr>
          <w:p w14:paraId="0389FEB8" w14:textId="77777777" w:rsidR="004023E5" w:rsidRDefault="004023E5" w:rsidP="005D4154">
            <w:pPr>
              <w:pStyle w:val="NotesTable-Notes"/>
            </w:pPr>
          </w:p>
        </w:tc>
        <w:tc>
          <w:tcPr>
            <w:tcW w:w="406" w:type="pct"/>
            <w:shd w:val="clear" w:color="auto" w:fill="CCCCCC"/>
          </w:tcPr>
          <w:p w14:paraId="0389FEB9" w14:textId="77777777" w:rsidR="004023E5" w:rsidRDefault="004023E5">
            <w:pPr>
              <w:pStyle w:val="NotesTable-HeadBold"/>
            </w:pPr>
            <w:r>
              <w:t>$’000</w:t>
            </w:r>
          </w:p>
        </w:tc>
        <w:tc>
          <w:tcPr>
            <w:tcW w:w="406" w:type="pct"/>
            <w:shd w:val="clear" w:color="auto" w:fill="CCCCCC"/>
          </w:tcPr>
          <w:p w14:paraId="0389FEBA" w14:textId="77777777" w:rsidR="004023E5" w:rsidRDefault="004023E5" w:rsidP="00C54AC3">
            <w:pPr>
              <w:pStyle w:val="NotesTable-HeadPlain"/>
            </w:pPr>
            <w:r>
              <w:t>$’000</w:t>
            </w:r>
          </w:p>
        </w:tc>
        <w:tc>
          <w:tcPr>
            <w:tcW w:w="406" w:type="pct"/>
            <w:shd w:val="clear" w:color="auto" w:fill="CCCCCC"/>
          </w:tcPr>
          <w:p w14:paraId="0389FEBB" w14:textId="77777777" w:rsidR="004023E5" w:rsidRDefault="004023E5">
            <w:pPr>
              <w:pStyle w:val="NotesTable-HeadBold"/>
            </w:pPr>
            <w:r>
              <w:t>$’000</w:t>
            </w:r>
          </w:p>
        </w:tc>
        <w:tc>
          <w:tcPr>
            <w:tcW w:w="406" w:type="pct"/>
            <w:shd w:val="clear" w:color="auto" w:fill="CCCCCC"/>
          </w:tcPr>
          <w:p w14:paraId="0389FEBC" w14:textId="77777777" w:rsidR="004023E5" w:rsidRDefault="004023E5">
            <w:pPr>
              <w:pStyle w:val="NotesTable-HeadPlain"/>
            </w:pPr>
            <w:r>
              <w:t>$’000</w:t>
            </w:r>
          </w:p>
        </w:tc>
      </w:tr>
      <w:tr w:rsidR="001F35AA" w14:paraId="0389FEC5" w14:textId="77777777" w:rsidTr="008E1D9C">
        <w:trPr>
          <w:trHeight w:val="227"/>
        </w:trPr>
        <w:tc>
          <w:tcPr>
            <w:tcW w:w="810" w:type="pct"/>
            <w:vAlign w:val="center"/>
          </w:tcPr>
          <w:p w14:paraId="0389FEBE" w14:textId="77777777" w:rsidR="008B6C55" w:rsidRDefault="008B6C55" w:rsidP="00D11709">
            <w:pPr>
              <w:pStyle w:val="Note-Refs"/>
              <w:rPr>
                <w:b/>
              </w:rPr>
            </w:pPr>
            <w:r>
              <w:t>AASB101</w:t>
            </w:r>
            <w:r w:rsidR="00E12279">
              <w:t>.</w:t>
            </w:r>
            <w:r>
              <w:t>8</w:t>
            </w:r>
            <w:r w:rsidR="00703504">
              <w:t>1Aa</w:t>
            </w:r>
          </w:p>
        </w:tc>
        <w:tc>
          <w:tcPr>
            <w:tcW w:w="2297" w:type="pct"/>
            <w:shd w:val="clear" w:color="auto" w:fill="CCCCCC"/>
            <w:vAlign w:val="bottom"/>
          </w:tcPr>
          <w:p w14:paraId="0389FEBF" w14:textId="368B529C" w:rsidR="008B6C55" w:rsidRDefault="009B2EDF">
            <w:pPr>
              <w:pStyle w:val="Statement-ItemBold"/>
              <w:rPr>
                <w:sz w:val="16"/>
              </w:rPr>
            </w:pPr>
            <w:r>
              <w:t xml:space="preserve">Net </w:t>
            </w:r>
            <w:r w:rsidR="008B6C55">
              <w:t>result after income tax for the period</w:t>
            </w:r>
          </w:p>
        </w:tc>
        <w:tc>
          <w:tcPr>
            <w:tcW w:w="270" w:type="pct"/>
            <w:shd w:val="clear" w:color="auto" w:fill="CCCCCC"/>
            <w:vAlign w:val="bottom"/>
          </w:tcPr>
          <w:p w14:paraId="0389FEC0" w14:textId="77777777" w:rsidR="008B6C55" w:rsidRDefault="008B6C55" w:rsidP="005D4154">
            <w:pPr>
              <w:pStyle w:val="NotesTable-Notes"/>
            </w:pPr>
          </w:p>
        </w:tc>
        <w:tc>
          <w:tcPr>
            <w:tcW w:w="406" w:type="pct"/>
            <w:shd w:val="clear" w:color="auto" w:fill="CCCCCC"/>
            <w:vAlign w:val="bottom"/>
          </w:tcPr>
          <w:p w14:paraId="0389FEC1"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C2" w14:textId="77777777" w:rsidR="008B6C55" w:rsidRPr="000352B7" w:rsidRDefault="008B6C55" w:rsidP="00606085">
            <w:pPr>
              <w:pStyle w:val="NotesTable-CellPlain"/>
              <w:rPr>
                <w:b/>
              </w:rPr>
            </w:pPr>
            <w:r w:rsidRPr="000352B7">
              <w:t>–</w:t>
            </w:r>
          </w:p>
        </w:tc>
        <w:tc>
          <w:tcPr>
            <w:tcW w:w="406" w:type="pct"/>
            <w:shd w:val="clear" w:color="auto" w:fill="CCCCCC"/>
            <w:vAlign w:val="bottom"/>
          </w:tcPr>
          <w:p w14:paraId="0389FEC3"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C4" w14:textId="77777777" w:rsidR="008B6C55" w:rsidRPr="000352B7" w:rsidRDefault="008B6C55" w:rsidP="00606085">
            <w:pPr>
              <w:pStyle w:val="NotesTable-CellPlain"/>
              <w:rPr>
                <w:b/>
                <w:sz w:val="20"/>
              </w:rPr>
            </w:pPr>
            <w:r w:rsidRPr="000352B7">
              <w:t>–</w:t>
            </w:r>
          </w:p>
        </w:tc>
      </w:tr>
      <w:tr w:rsidR="00C6045A" w14:paraId="0389FECD" w14:textId="77777777" w:rsidTr="00FC61D5">
        <w:trPr>
          <w:trHeight w:hRule="exact" w:val="227"/>
        </w:trPr>
        <w:tc>
          <w:tcPr>
            <w:tcW w:w="810" w:type="pct"/>
            <w:vAlign w:val="center"/>
          </w:tcPr>
          <w:p w14:paraId="0389FEC6" w14:textId="77777777" w:rsidR="00C6045A" w:rsidRDefault="00446934" w:rsidP="00D11709">
            <w:pPr>
              <w:pStyle w:val="Note-Refs"/>
            </w:pPr>
            <w:r>
              <w:t>AASB101.82Ab</w:t>
            </w:r>
          </w:p>
        </w:tc>
        <w:tc>
          <w:tcPr>
            <w:tcW w:w="2297" w:type="pct"/>
            <w:shd w:val="clear" w:color="auto" w:fill="CCCCCC"/>
            <w:vAlign w:val="bottom"/>
          </w:tcPr>
          <w:p w14:paraId="0389FEC7" w14:textId="33577855" w:rsidR="00C6045A" w:rsidRPr="00921B15" w:rsidRDefault="00057C9C" w:rsidP="00D11709">
            <w:pPr>
              <w:pStyle w:val="NotesTable-ItemPlain"/>
            </w:pPr>
            <w:r w:rsidRPr="00F54114">
              <w:t>Items that may b</w:t>
            </w:r>
            <w:r w:rsidR="00125F36" w:rsidRPr="00921B15">
              <w:t>e</w:t>
            </w:r>
            <w:r w:rsidR="00124EA6" w:rsidRPr="00921B15">
              <w:t xml:space="preserve"> </w:t>
            </w:r>
            <w:r w:rsidRPr="00921B15">
              <w:t xml:space="preserve">reclassified to profit or loss </w:t>
            </w:r>
          </w:p>
        </w:tc>
        <w:tc>
          <w:tcPr>
            <w:tcW w:w="270" w:type="pct"/>
            <w:shd w:val="clear" w:color="auto" w:fill="CCCCCC"/>
            <w:vAlign w:val="bottom"/>
          </w:tcPr>
          <w:p w14:paraId="0389FEC8" w14:textId="77777777" w:rsidR="00C6045A" w:rsidRDefault="00C6045A" w:rsidP="005D4154">
            <w:pPr>
              <w:pStyle w:val="NotesTable-Notes"/>
            </w:pPr>
          </w:p>
        </w:tc>
        <w:tc>
          <w:tcPr>
            <w:tcW w:w="406" w:type="pct"/>
            <w:shd w:val="clear" w:color="auto" w:fill="CCCCCC"/>
            <w:vAlign w:val="bottom"/>
          </w:tcPr>
          <w:p w14:paraId="0389FEC9" w14:textId="77777777" w:rsidR="00C6045A" w:rsidRPr="000352B7" w:rsidRDefault="00C6045A" w:rsidP="00606085">
            <w:pPr>
              <w:pStyle w:val="NotesTable-CellBold"/>
            </w:pPr>
          </w:p>
        </w:tc>
        <w:tc>
          <w:tcPr>
            <w:tcW w:w="406" w:type="pct"/>
            <w:shd w:val="clear" w:color="auto" w:fill="CCCCCC"/>
            <w:vAlign w:val="bottom"/>
          </w:tcPr>
          <w:p w14:paraId="0389FECA" w14:textId="77777777" w:rsidR="00C6045A" w:rsidRPr="000352B7" w:rsidRDefault="00C6045A" w:rsidP="00606085">
            <w:pPr>
              <w:pStyle w:val="NotesTable-CellPlain"/>
            </w:pPr>
          </w:p>
        </w:tc>
        <w:tc>
          <w:tcPr>
            <w:tcW w:w="406" w:type="pct"/>
            <w:shd w:val="clear" w:color="auto" w:fill="CCCCCC"/>
            <w:vAlign w:val="bottom"/>
          </w:tcPr>
          <w:p w14:paraId="0389FECB" w14:textId="77777777" w:rsidR="00C6045A" w:rsidRPr="000352B7" w:rsidRDefault="00C6045A" w:rsidP="00606085">
            <w:pPr>
              <w:pStyle w:val="NotesTable-CellBold"/>
            </w:pPr>
          </w:p>
        </w:tc>
        <w:tc>
          <w:tcPr>
            <w:tcW w:w="406" w:type="pct"/>
            <w:shd w:val="clear" w:color="auto" w:fill="CCCCCC"/>
            <w:vAlign w:val="bottom"/>
          </w:tcPr>
          <w:p w14:paraId="0389FECC" w14:textId="77777777" w:rsidR="00C6045A" w:rsidRPr="000352B7" w:rsidRDefault="00C6045A" w:rsidP="00606085">
            <w:pPr>
              <w:pStyle w:val="NotesTable-CellPlain"/>
            </w:pPr>
          </w:p>
        </w:tc>
      </w:tr>
      <w:tr w:rsidR="001F35AA" w14:paraId="0389FED5" w14:textId="77777777" w:rsidTr="00FC61D5">
        <w:trPr>
          <w:trHeight w:hRule="exact" w:val="454"/>
        </w:trPr>
        <w:tc>
          <w:tcPr>
            <w:tcW w:w="810" w:type="pct"/>
            <w:vAlign w:val="center"/>
          </w:tcPr>
          <w:p w14:paraId="0389FECE" w14:textId="77777777" w:rsidR="008B6C55" w:rsidRDefault="008B6C55" w:rsidP="00D11709">
            <w:pPr>
              <w:pStyle w:val="Note-Refs"/>
            </w:pPr>
          </w:p>
        </w:tc>
        <w:tc>
          <w:tcPr>
            <w:tcW w:w="2297" w:type="pct"/>
            <w:shd w:val="clear" w:color="auto" w:fill="CCCCCC"/>
            <w:vAlign w:val="bottom"/>
          </w:tcPr>
          <w:p w14:paraId="0389FECF" w14:textId="77777777" w:rsidR="008B6C55" w:rsidRDefault="008B6C55" w:rsidP="00D11709">
            <w:pPr>
              <w:pStyle w:val="NotesTable-ItemPlain"/>
              <w:rPr>
                <w:b/>
              </w:rPr>
            </w:pPr>
            <w:r>
              <w:t>Gain (loss) on value of available for sale financial assets, net of tax</w:t>
            </w:r>
          </w:p>
        </w:tc>
        <w:tc>
          <w:tcPr>
            <w:tcW w:w="270" w:type="pct"/>
            <w:shd w:val="clear" w:color="auto" w:fill="CCCCCC"/>
            <w:vAlign w:val="bottom"/>
          </w:tcPr>
          <w:p w14:paraId="0389FED0" w14:textId="691A9F50" w:rsidR="008B6C55" w:rsidRDefault="008B6C55" w:rsidP="005D4154">
            <w:pPr>
              <w:pStyle w:val="NotesTable-Notes"/>
            </w:pPr>
          </w:p>
        </w:tc>
        <w:tc>
          <w:tcPr>
            <w:tcW w:w="406" w:type="pct"/>
            <w:shd w:val="clear" w:color="auto" w:fill="CCCCCC"/>
            <w:vAlign w:val="bottom"/>
          </w:tcPr>
          <w:p w14:paraId="0389FED1"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D2" w14:textId="77777777" w:rsidR="008B6C55" w:rsidRPr="000352B7" w:rsidRDefault="008B6C55" w:rsidP="00606085">
            <w:pPr>
              <w:pStyle w:val="NotesTable-CellPlain"/>
              <w:rPr>
                <w:b/>
              </w:rPr>
            </w:pPr>
            <w:r w:rsidRPr="000352B7">
              <w:t>–</w:t>
            </w:r>
          </w:p>
        </w:tc>
        <w:tc>
          <w:tcPr>
            <w:tcW w:w="406" w:type="pct"/>
            <w:shd w:val="clear" w:color="auto" w:fill="CCCCCC"/>
            <w:vAlign w:val="bottom"/>
          </w:tcPr>
          <w:p w14:paraId="0389FED3"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D4" w14:textId="77777777" w:rsidR="008B6C55" w:rsidRPr="000352B7" w:rsidRDefault="008B6C55" w:rsidP="00606085">
            <w:pPr>
              <w:pStyle w:val="NotesTable-CellPlain"/>
              <w:rPr>
                <w:b/>
                <w:sz w:val="20"/>
              </w:rPr>
            </w:pPr>
            <w:r w:rsidRPr="000352B7">
              <w:t>–</w:t>
            </w:r>
          </w:p>
        </w:tc>
      </w:tr>
      <w:tr w:rsidR="001F35AA" w14:paraId="0389FEDD" w14:textId="77777777" w:rsidTr="00FC61D5">
        <w:trPr>
          <w:trHeight w:hRule="exact" w:val="227"/>
        </w:trPr>
        <w:tc>
          <w:tcPr>
            <w:tcW w:w="810" w:type="pct"/>
            <w:vAlign w:val="center"/>
          </w:tcPr>
          <w:p w14:paraId="0389FED6" w14:textId="77777777" w:rsidR="008B6C55" w:rsidRDefault="008B6C55" w:rsidP="00D11709">
            <w:pPr>
              <w:pStyle w:val="Note-Refs"/>
            </w:pPr>
          </w:p>
        </w:tc>
        <w:tc>
          <w:tcPr>
            <w:tcW w:w="2297" w:type="pct"/>
            <w:shd w:val="clear" w:color="auto" w:fill="CCCCCC"/>
            <w:vAlign w:val="bottom"/>
          </w:tcPr>
          <w:p w14:paraId="0389FED7" w14:textId="77777777" w:rsidR="008B6C55" w:rsidRDefault="008B6C55" w:rsidP="00D11709">
            <w:pPr>
              <w:pStyle w:val="NotesTable-ItemPlain"/>
              <w:rPr>
                <w:b/>
              </w:rPr>
            </w:pPr>
            <w:r>
              <w:t>Cash flow hedges, net of tax</w:t>
            </w:r>
          </w:p>
        </w:tc>
        <w:tc>
          <w:tcPr>
            <w:tcW w:w="270" w:type="pct"/>
            <w:shd w:val="clear" w:color="auto" w:fill="CCCCCC"/>
            <w:vAlign w:val="bottom"/>
          </w:tcPr>
          <w:p w14:paraId="0389FED8" w14:textId="3D5E9FBF" w:rsidR="008B6C55" w:rsidRDefault="008B6C55" w:rsidP="005D4154">
            <w:pPr>
              <w:pStyle w:val="NotesTable-Notes"/>
            </w:pPr>
          </w:p>
        </w:tc>
        <w:tc>
          <w:tcPr>
            <w:tcW w:w="406" w:type="pct"/>
            <w:shd w:val="clear" w:color="auto" w:fill="CCCCCC"/>
            <w:vAlign w:val="bottom"/>
          </w:tcPr>
          <w:p w14:paraId="0389FED9"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DA" w14:textId="77777777" w:rsidR="008B6C55" w:rsidRPr="000352B7" w:rsidRDefault="008B6C55" w:rsidP="00606085">
            <w:pPr>
              <w:pStyle w:val="NotesTable-CellPlain"/>
              <w:rPr>
                <w:b/>
              </w:rPr>
            </w:pPr>
            <w:r w:rsidRPr="000352B7">
              <w:t>–</w:t>
            </w:r>
          </w:p>
        </w:tc>
        <w:tc>
          <w:tcPr>
            <w:tcW w:w="406" w:type="pct"/>
            <w:shd w:val="clear" w:color="auto" w:fill="CCCCCC"/>
            <w:vAlign w:val="bottom"/>
          </w:tcPr>
          <w:p w14:paraId="0389FEDB"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DC" w14:textId="77777777" w:rsidR="008B6C55" w:rsidRPr="000352B7" w:rsidRDefault="008B6C55" w:rsidP="00606085">
            <w:pPr>
              <w:pStyle w:val="NotesTable-CellPlain"/>
              <w:rPr>
                <w:b/>
                <w:sz w:val="20"/>
              </w:rPr>
            </w:pPr>
            <w:r w:rsidRPr="000352B7">
              <w:t>–</w:t>
            </w:r>
          </w:p>
        </w:tc>
      </w:tr>
      <w:tr w:rsidR="001F35AA" w14:paraId="0389FEE5" w14:textId="77777777" w:rsidTr="00FC61D5">
        <w:trPr>
          <w:trHeight w:hRule="exact" w:val="227"/>
        </w:trPr>
        <w:tc>
          <w:tcPr>
            <w:tcW w:w="810" w:type="pct"/>
            <w:vAlign w:val="center"/>
          </w:tcPr>
          <w:p w14:paraId="0389FEDE" w14:textId="77777777" w:rsidR="008B6C55" w:rsidRDefault="008B6C55" w:rsidP="00D11709">
            <w:pPr>
              <w:pStyle w:val="Note-Refs"/>
            </w:pPr>
          </w:p>
        </w:tc>
        <w:tc>
          <w:tcPr>
            <w:tcW w:w="2297" w:type="pct"/>
            <w:shd w:val="clear" w:color="auto" w:fill="CCCCCC"/>
            <w:vAlign w:val="bottom"/>
          </w:tcPr>
          <w:p w14:paraId="0389FEDF" w14:textId="77777777" w:rsidR="008B6C55" w:rsidRDefault="008B6C55" w:rsidP="00D11709">
            <w:pPr>
              <w:pStyle w:val="NotesTable-ItemPlain"/>
              <w:rPr>
                <w:b/>
              </w:rPr>
            </w:pPr>
            <w:r>
              <w:t>Exchange differences on translation of foreign operations</w:t>
            </w:r>
          </w:p>
        </w:tc>
        <w:tc>
          <w:tcPr>
            <w:tcW w:w="270" w:type="pct"/>
            <w:shd w:val="clear" w:color="auto" w:fill="CCCCCC"/>
            <w:vAlign w:val="bottom"/>
          </w:tcPr>
          <w:p w14:paraId="0389FEE0" w14:textId="77777777" w:rsidR="008B6C55" w:rsidRDefault="008B6C55" w:rsidP="005D4154">
            <w:pPr>
              <w:pStyle w:val="NotesTable-Notes"/>
            </w:pPr>
          </w:p>
        </w:tc>
        <w:tc>
          <w:tcPr>
            <w:tcW w:w="406" w:type="pct"/>
            <w:shd w:val="clear" w:color="auto" w:fill="CCCCCC"/>
            <w:vAlign w:val="bottom"/>
          </w:tcPr>
          <w:p w14:paraId="0389FEE1"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E2" w14:textId="77777777" w:rsidR="008B6C55" w:rsidRPr="000352B7" w:rsidRDefault="008B6C55" w:rsidP="00606085">
            <w:pPr>
              <w:pStyle w:val="NotesTable-CellPlain"/>
              <w:rPr>
                <w:b/>
              </w:rPr>
            </w:pPr>
            <w:r w:rsidRPr="000352B7">
              <w:t>–</w:t>
            </w:r>
          </w:p>
        </w:tc>
        <w:tc>
          <w:tcPr>
            <w:tcW w:w="406" w:type="pct"/>
            <w:shd w:val="clear" w:color="auto" w:fill="CCCCCC"/>
            <w:vAlign w:val="bottom"/>
          </w:tcPr>
          <w:p w14:paraId="0389FEE3" w14:textId="77777777" w:rsidR="008B6C55" w:rsidRPr="000352B7" w:rsidRDefault="008B6C55" w:rsidP="00606085">
            <w:pPr>
              <w:pStyle w:val="NotesTable-CellBold"/>
              <w:rPr>
                <w:b w:val="0"/>
              </w:rPr>
            </w:pPr>
            <w:r w:rsidRPr="000352B7">
              <w:t>–</w:t>
            </w:r>
          </w:p>
        </w:tc>
        <w:tc>
          <w:tcPr>
            <w:tcW w:w="406" w:type="pct"/>
            <w:shd w:val="clear" w:color="auto" w:fill="CCCCCC"/>
            <w:vAlign w:val="bottom"/>
          </w:tcPr>
          <w:p w14:paraId="0389FEE4" w14:textId="77777777" w:rsidR="008B6C55" w:rsidRPr="000352B7" w:rsidRDefault="008B6C55" w:rsidP="00606085">
            <w:pPr>
              <w:pStyle w:val="NotesTable-CellPlain"/>
              <w:rPr>
                <w:b/>
                <w:sz w:val="20"/>
              </w:rPr>
            </w:pPr>
            <w:r w:rsidRPr="000352B7">
              <w:t>–</w:t>
            </w:r>
          </w:p>
        </w:tc>
      </w:tr>
      <w:tr w:rsidR="00921B15" w:rsidRPr="000352B7" w14:paraId="34B09753" w14:textId="77777777" w:rsidTr="00FC61D5">
        <w:trPr>
          <w:trHeight w:val="227"/>
        </w:trPr>
        <w:tc>
          <w:tcPr>
            <w:tcW w:w="810" w:type="pct"/>
            <w:vAlign w:val="center"/>
          </w:tcPr>
          <w:p w14:paraId="648761F0" w14:textId="77777777" w:rsidR="00921B15" w:rsidRDefault="00921B15" w:rsidP="00D11709">
            <w:pPr>
              <w:pStyle w:val="Note-Refs"/>
            </w:pPr>
          </w:p>
        </w:tc>
        <w:tc>
          <w:tcPr>
            <w:tcW w:w="2297" w:type="pct"/>
            <w:shd w:val="clear" w:color="auto" w:fill="CCCCCC"/>
            <w:vAlign w:val="bottom"/>
          </w:tcPr>
          <w:p w14:paraId="38C52568" w14:textId="4392B03E" w:rsidR="00921B15" w:rsidRDefault="00921B15" w:rsidP="00D11709">
            <w:pPr>
              <w:pStyle w:val="NotesTable-ItemPlain"/>
            </w:pPr>
            <w:r>
              <w:t>Reclassification adjustments (</w:t>
            </w:r>
            <w:proofErr w:type="spellStart"/>
            <w:r w:rsidR="00AB3203">
              <w:t>ie</w:t>
            </w:r>
            <w:proofErr w:type="spellEnd"/>
            <w:r>
              <w:t xml:space="preserve"> recycling from </w:t>
            </w:r>
            <w:proofErr w:type="spellStart"/>
            <w:r>
              <w:t>OCI</w:t>
            </w:r>
            <w:proofErr w:type="spellEnd"/>
            <w:r>
              <w:t xml:space="preserve"> to P&amp;L)</w:t>
            </w:r>
          </w:p>
        </w:tc>
        <w:tc>
          <w:tcPr>
            <w:tcW w:w="270" w:type="pct"/>
            <w:shd w:val="clear" w:color="auto" w:fill="CCCCCC"/>
            <w:vAlign w:val="bottom"/>
          </w:tcPr>
          <w:p w14:paraId="7E38CBDD" w14:textId="77777777" w:rsidR="00921B15" w:rsidRDefault="00921B15" w:rsidP="005D4154">
            <w:pPr>
              <w:pStyle w:val="NotesTable-Notes"/>
            </w:pPr>
          </w:p>
        </w:tc>
        <w:tc>
          <w:tcPr>
            <w:tcW w:w="406" w:type="pct"/>
            <w:tcBorders>
              <w:bottom w:val="single" w:sz="4" w:space="0" w:color="auto"/>
            </w:tcBorders>
            <w:shd w:val="clear" w:color="auto" w:fill="CCCCCC"/>
            <w:vAlign w:val="bottom"/>
          </w:tcPr>
          <w:p w14:paraId="63F1C941" w14:textId="0E03D07F" w:rsidR="00921B15" w:rsidRPr="000352B7" w:rsidRDefault="00921B15" w:rsidP="00EF7A5D">
            <w:pPr>
              <w:pStyle w:val="NotesTable-CellBold"/>
            </w:pPr>
            <w:r w:rsidRPr="000352B7">
              <w:t>–</w:t>
            </w:r>
          </w:p>
        </w:tc>
        <w:tc>
          <w:tcPr>
            <w:tcW w:w="406" w:type="pct"/>
            <w:tcBorders>
              <w:bottom w:val="single" w:sz="4" w:space="0" w:color="auto"/>
            </w:tcBorders>
            <w:shd w:val="clear" w:color="auto" w:fill="CCCCCC"/>
            <w:vAlign w:val="bottom"/>
          </w:tcPr>
          <w:p w14:paraId="4DC2B913" w14:textId="4362611E" w:rsidR="00921B15" w:rsidRPr="000352B7" w:rsidRDefault="00921B15" w:rsidP="00EF7A5D">
            <w:pPr>
              <w:pStyle w:val="NotesTable-CellPlain"/>
            </w:pPr>
            <w:r w:rsidRPr="000352B7">
              <w:t>–</w:t>
            </w:r>
          </w:p>
        </w:tc>
        <w:tc>
          <w:tcPr>
            <w:tcW w:w="406" w:type="pct"/>
            <w:tcBorders>
              <w:bottom w:val="single" w:sz="4" w:space="0" w:color="auto"/>
            </w:tcBorders>
            <w:shd w:val="clear" w:color="auto" w:fill="CCCCCC"/>
            <w:vAlign w:val="bottom"/>
          </w:tcPr>
          <w:p w14:paraId="4242EE69" w14:textId="30349297" w:rsidR="00921B15" w:rsidRPr="000352B7" w:rsidRDefault="00921B15" w:rsidP="00EF7A5D">
            <w:pPr>
              <w:pStyle w:val="NotesTable-CellBold"/>
            </w:pPr>
            <w:r w:rsidRPr="000352B7">
              <w:t>–</w:t>
            </w:r>
          </w:p>
        </w:tc>
        <w:tc>
          <w:tcPr>
            <w:tcW w:w="406" w:type="pct"/>
            <w:tcBorders>
              <w:bottom w:val="single" w:sz="4" w:space="0" w:color="auto"/>
            </w:tcBorders>
            <w:shd w:val="clear" w:color="auto" w:fill="CCCCCC"/>
            <w:vAlign w:val="bottom"/>
          </w:tcPr>
          <w:p w14:paraId="1CC10A30" w14:textId="6BE88AC3" w:rsidR="00921B15" w:rsidRPr="000352B7" w:rsidRDefault="00921B15" w:rsidP="00EF7A5D">
            <w:pPr>
              <w:pStyle w:val="NotesTable-CellPlain"/>
            </w:pPr>
            <w:r w:rsidRPr="000352B7">
              <w:t>–</w:t>
            </w:r>
          </w:p>
        </w:tc>
      </w:tr>
      <w:tr w:rsidR="00125F36" w:rsidRPr="000352B7" w14:paraId="0389FEED" w14:textId="77777777" w:rsidTr="00FC61D5">
        <w:trPr>
          <w:trHeight w:hRule="exact" w:val="227"/>
        </w:trPr>
        <w:tc>
          <w:tcPr>
            <w:tcW w:w="810" w:type="pct"/>
            <w:vAlign w:val="center"/>
          </w:tcPr>
          <w:p w14:paraId="0389FEE6" w14:textId="77777777" w:rsidR="00125F36" w:rsidRDefault="00125F36" w:rsidP="00D11709">
            <w:pPr>
              <w:pStyle w:val="Note-Refs"/>
            </w:pPr>
          </w:p>
        </w:tc>
        <w:tc>
          <w:tcPr>
            <w:tcW w:w="2297" w:type="pct"/>
            <w:shd w:val="clear" w:color="auto" w:fill="CCCCCC"/>
            <w:vAlign w:val="bottom"/>
          </w:tcPr>
          <w:p w14:paraId="0389FEE7" w14:textId="77777777" w:rsidR="00125F36" w:rsidRDefault="00125F36" w:rsidP="00D11709">
            <w:pPr>
              <w:pStyle w:val="NotesTable-ItemPlain"/>
              <w:rPr>
                <w:b/>
              </w:rPr>
            </w:pPr>
            <w:r>
              <w:t>[Specify]</w:t>
            </w:r>
          </w:p>
        </w:tc>
        <w:tc>
          <w:tcPr>
            <w:tcW w:w="270" w:type="pct"/>
            <w:shd w:val="clear" w:color="auto" w:fill="CCCCCC"/>
            <w:vAlign w:val="bottom"/>
          </w:tcPr>
          <w:p w14:paraId="0389FEE8" w14:textId="77777777" w:rsidR="00125F36" w:rsidRDefault="00125F36" w:rsidP="005D4154">
            <w:pPr>
              <w:pStyle w:val="NotesTable-Notes"/>
            </w:pPr>
          </w:p>
        </w:tc>
        <w:tc>
          <w:tcPr>
            <w:tcW w:w="406" w:type="pct"/>
            <w:tcBorders>
              <w:bottom w:val="single" w:sz="4" w:space="0" w:color="auto"/>
            </w:tcBorders>
            <w:shd w:val="clear" w:color="auto" w:fill="CCCCCC"/>
            <w:vAlign w:val="bottom"/>
          </w:tcPr>
          <w:p w14:paraId="0389FEE9" w14:textId="77777777" w:rsidR="00125F36" w:rsidRPr="000352B7" w:rsidRDefault="00125F36" w:rsidP="00EF7A5D">
            <w:pPr>
              <w:pStyle w:val="NotesTable-CellBold"/>
              <w:rPr>
                <w:b w:val="0"/>
              </w:rPr>
            </w:pPr>
            <w:r w:rsidRPr="000352B7">
              <w:t>–</w:t>
            </w:r>
          </w:p>
        </w:tc>
        <w:tc>
          <w:tcPr>
            <w:tcW w:w="406" w:type="pct"/>
            <w:tcBorders>
              <w:bottom w:val="single" w:sz="4" w:space="0" w:color="auto"/>
            </w:tcBorders>
            <w:shd w:val="clear" w:color="auto" w:fill="CCCCCC"/>
            <w:vAlign w:val="bottom"/>
          </w:tcPr>
          <w:p w14:paraId="0389FEEA" w14:textId="77777777" w:rsidR="00125F36" w:rsidRPr="000352B7" w:rsidRDefault="00125F36" w:rsidP="00EF7A5D">
            <w:pPr>
              <w:pStyle w:val="NotesTable-CellPlain"/>
              <w:rPr>
                <w:b/>
              </w:rPr>
            </w:pPr>
            <w:r w:rsidRPr="000352B7">
              <w:t>–</w:t>
            </w:r>
          </w:p>
        </w:tc>
        <w:tc>
          <w:tcPr>
            <w:tcW w:w="406" w:type="pct"/>
            <w:tcBorders>
              <w:bottom w:val="single" w:sz="4" w:space="0" w:color="auto"/>
            </w:tcBorders>
            <w:shd w:val="clear" w:color="auto" w:fill="CCCCCC"/>
            <w:vAlign w:val="bottom"/>
          </w:tcPr>
          <w:p w14:paraId="0389FEEB" w14:textId="77777777" w:rsidR="00125F36" w:rsidRPr="000352B7" w:rsidRDefault="00125F36" w:rsidP="00EF7A5D">
            <w:pPr>
              <w:pStyle w:val="NotesTable-CellBold"/>
              <w:rPr>
                <w:b w:val="0"/>
              </w:rPr>
            </w:pPr>
            <w:r w:rsidRPr="000352B7">
              <w:t>–</w:t>
            </w:r>
          </w:p>
        </w:tc>
        <w:tc>
          <w:tcPr>
            <w:tcW w:w="406" w:type="pct"/>
            <w:tcBorders>
              <w:bottom w:val="single" w:sz="4" w:space="0" w:color="auto"/>
            </w:tcBorders>
            <w:shd w:val="clear" w:color="auto" w:fill="CCCCCC"/>
            <w:vAlign w:val="bottom"/>
          </w:tcPr>
          <w:p w14:paraId="0389FEEC" w14:textId="77777777" w:rsidR="00125F36" w:rsidRPr="000352B7" w:rsidRDefault="00125F36" w:rsidP="00EF7A5D">
            <w:pPr>
              <w:pStyle w:val="NotesTable-CellPlain"/>
              <w:rPr>
                <w:b/>
              </w:rPr>
            </w:pPr>
            <w:r w:rsidRPr="000352B7">
              <w:t>–</w:t>
            </w:r>
          </w:p>
        </w:tc>
      </w:tr>
      <w:tr w:rsidR="00AD5027" w14:paraId="0389FEF5" w14:textId="77777777" w:rsidTr="00FC61D5">
        <w:trPr>
          <w:trHeight w:hRule="exact" w:val="227"/>
        </w:trPr>
        <w:tc>
          <w:tcPr>
            <w:tcW w:w="810" w:type="pct"/>
            <w:vAlign w:val="center"/>
          </w:tcPr>
          <w:p w14:paraId="0389FEEE" w14:textId="77777777" w:rsidR="00AD5027" w:rsidRDefault="00AD5027" w:rsidP="00D11709">
            <w:pPr>
              <w:pStyle w:val="Note-Refs"/>
            </w:pPr>
          </w:p>
        </w:tc>
        <w:tc>
          <w:tcPr>
            <w:tcW w:w="2297" w:type="pct"/>
            <w:shd w:val="clear" w:color="auto" w:fill="CCCCCC"/>
            <w:vAlign w:val="bottom"/>
          </w:tcPr>
          <w:p w14:paraId="0389FEEF" w14:textId="77777777" w:rsidR="00AD5027" w:rsidRPr="000352B7" w:rsidRDefault="00E30A25" w:rsidP="00D11709">
            <w:pPr>
              <w:pStyle w:val="NotesTable-ItemPlain"/>
            </w:pPr>
            <w:r>
              <w:t>Total</w:t>
            </w:r>
          </w:p>
        </w:tc>
        <w:tc>
          <w:tcPr>
            <w:tcW w:w="270" w:type="pct"/>
            <w:shd w:val="clear" w:color="auto" w:fill="CCCCCC"/>
            <w:vAlign w:val="bottom"/>
          </w:tcPr>
          <w:p w14:paraId="0389FEF0" w14:textId="77777777" w:rsidR="00AD5027" w:rsidRDefault="00AD5027" w:rsidP="005D4154">
            <w:pPr>
              <w:pStyle w:val="NotesTable-Notes"/>
            </w:pPr>
          </w:p>
        </w:tc>
        <w:tc>
          <w:tcPr>
            <w:tcW w:w="406" w:type="pct"/>
            <w:shd w:val="clear" w:color="auto" w:fill="CCCCCC"/>
          </w:tcPr>
          <w:p w14:paraId="0389FEF1" w14:textId="77777777" w:rsidR="00AD5027" w:rsidRPr="000352B7" w:rsidRDefault="00AD5027" w:rsidP="00606085">
            <w:pPr>
              <w:pStyle w:val="NotesTable-CellBold"/>
              <w:rPr>
                <w:b w:val="0"/>
              </w:rPr>
            </w:pPr>
            <w:r w:rsidRPr="0062129B">
              <w:t>–</w:t>
            </w:r>
          </w:p>
        </w:tc>
        <w:tc>
          <w:tcPr>
            <w:tcW w:w="406" w:type="pct"/>
            <w:shd w:val="clear" w:color="auto" w:fill="CCCCCC"/>
          </w:tcPr>
          <w:p w14:paraId="0389FEF2" w14:textId="77777777" w:rsidR="00AD5027" w:rsidRPr="000352B7" w:rsidRDefault="00AD5027" w:rsidP="00606085">
            <w:pPr>
              <w:pStyle w:val="NotesTable-CellPlain"/>
              <w:rPr>
                <w:b/>
              </w:rPr>
            </w:pPr>
            <w:r w:rsidRPr="0062129B">
              <w:t>–</w:t>
            </w:r>
          </w:p>
        </w:tc>
        <w:tc>
          <w:tcPr>
            <w:tcW w:w="406" w:type="pct"/>
            <w:shd w:val="clear" w:color="auto" w:fill="CCCCCC"/>
          </w:tcPr>
          <w:p w14:paraId="0389FEF3" w14:textId="77777777" w:rsidR="00AD5027" w:rsidRPr="000352B7" w:rsidRDefault="00AD5027" w:rsidP="00606085">
            <w:pPr>
              <w:pStyle w:val="NotesTable-CellBold"/>
              <w:rPr>
                <w:b w:val="0"/>
              </w:rPr>
            </w:pPr>
            <w:r w:rsidRPr="0062129B">
              <w:t>–</w:t>
            </w:r>
          </w:p>
        </w:tc>
        <w:tc>
          <w:tcPr>
            <w:tcW w:w="406" w:type="pct"/>
            <w:shd w:val="clear" w:color="auto" w:fill="CCCCCC"/>
          </w:tcPr>
          <w:p w14:paraId="0389FEF4" w14:textId="77777777" w:rsidR="00AD5027" w:rsidRPr="000352B7" w:rsidRDefault="00AD5027" w:rsidP="00606085">
            <w:pPr>
              <w:pStyle w:val="NotesTable-CellPlain"/>
              <w:rPr>
                <w:b/>
                <w:sz w:val="20"/>
              </w:rPr>
            </w:pPr>
            <w:r w:rsidRPr="0062129B">
              <w:t>–</w:t>
            </w:r>
          </w:p>
        </w:tc>
      </w:tr>
      <w:tr w:rsidR="001F35AA" w14:paraId="0389FEFD" w14:textId="77777777" w:rsidTr="00FC61D5">
        <w:trPr>
          <w:trHeight w:hRule="exact" w:val="454"/>
        </w:trPr>
        <w:tc>
          <w:tcPr>
            <w:tcW w:w="810" w:type="pct"/>
            <w:vAlign w:val="center"/>
          </w:tcPr>
          <w:p w14:paraId="0389FEF6" w14:textId="77777777" w:rsidR="000352B7" w:rsidRDefault="000352B7" w:rsidP="00D11709">
            <w:pPr>
              <w:pStyle w:val="Note-Refs"/>
            </w:pPr>
          </w:p>
        </w:tc>
        <w:tc>
          <w:tcPr>
            <w:tcW w:w="2297" w:type="pct"/>
            <w:shd w:val="clear" w:color="auto" w:fill="CCCCCC"/>
            <w:vAlign w:val="bottom"/>
          </w:tcPr>
          <w:p w14:paraId="0389FEF7" w14:textId="77777777" w:rsidR="000352B7" w:rsidRPr="008D0375" w:rsidRDefault="000352B7">
            <w:pPr>
              <w:pStyle w:val="NotesTable-ItemPlain"/>
            </w:pPr>
          </w:p>
        </w:tc>
        <w:tc>
          <w:tcPr>
            <w:tcW w:w="270" w:type="pct"/>
            <w:shd w:val="clear" w:color="auto" w:fill="CCCCCC"/>
            <w:vAlign w:val="bottom"/>
          </w:tcPr>
          <w:p w14:paraId="0389FEF8" w14:textId="77777777" w:rsidR="000352B7" w:rsidRDefault="000352B7" w:rsidP="005D4154">
            <w:pPr>
              <w:pStyle w:val="NotesTable-Notes"/>
            </w:pPr>
          </w:p>
        </w:tc>
        <w:tc>
          <w:tcPr>
            <w:tcW w:w="406" w:type="pct"/>
            <w:shd w:val="clear" w:color="auto" w:fill="CCCCCC"/>
            <w:vAlign w:val="bottom"/>
          </w:tcPr>
          <w:p w14:paraId="0389FEF9" w14:textId="77777777" w:rsidR="000352B7" w:rsidRPr="000352B7" w:rsidRDefault="000352B7" w:rsidP="00606085">
            <w:pPr>
              <w:pStyle w:val="NotesTable-CellBold"/>
              <w:rPr>
                <w:b w:val="0"/>
              </w:rPr>
            </w:pPr>
          </w:p>
        </w:tc>
        <w:tc>
          <w:tcPr>
            <w:tcW w:w="406" w:type="pct"/>
            <w:shd w:val="clear" w:color="auto" w:fill="CCCCCC"/>
            <w:vAlign w:val="bottom"/>
          </w:tcPr>
          <w:p w14:paraId="0389FEFA" w14:textId="77777777" w:rsidR="000352B7" w:rsidRPr="000352B7" w:rsidRDefault="000352B7" w:rsidP="00606085">
            <w:pPr>
              <w:pStyle w:val="NotesTable-CellPlain"/>
              <w:rPr>
                <w:b/>
              </w:rPr>
            </w:pPr>
          </w:p>
        </w:tc>
        <w:tc>
          <w:tcPr>
            <w:tcW w:w="406" w:type="pct"/>
            <w:shd w:val="clear" w:color="auto" w:fill="CCCCCC"/>
            <w:vAlign w:val="bottom"/>
          </w:tcPr>
          <w:p w14:paraId="0389FEFB" w14:textId="77777777" w:rsidR="000352B7" w:rsidRPr="000352B7" w:rsidRDefault="000352B7" w:rsidP="00606085">
            <w:pPr>
              <w:pStyle w:val="NotesTable-CellBold"/>
              <w:rPr>
                <w:b w:val="0"/>
              </w:rPr>
            </w:pPr>
          </w:p>
        </w:tc>
        <w:tc>
          <w:tcPr>
            <w:tcW w:w="406" w:type="pct"/>
            <w:shd w:val="clear" w:color="auto" w:fill="CCCCCC"/>
            <w:vAlign w:val="bottom"/>
          </w:tcPr>
          <w:p w14:paraId="0389FEFC" w14:textId="77777777" w:rsidR="000352B7" w:rsidRPr="000352B7" w:rsidRDefault="000352B7" w:rsidP="00606085">
            <w:pPr>
              <w:pStyle w:val="NotesTable-CellPlain"/>
              <w:rPr>
                <w:b/>
              </w:rPr>
            </w:pPr>
          </w:p>
        </w:tc>
      </w:tr>
      <w:tr w:rsidR="00057C9C" w14:paraId="0389FF05" w14:textId="77777777" w:rsidTr="00FC61D5">
        <w:trPr>
          <w:trHeight w:hRule="exact" w:val="227"/>
        </w:trPr>
        <w:tc>
          <w:tcPr>
            <w:tcW w:w="810" w:type="pct"/>
            <w:vAlign w:val="center"/>
          </w:tcPr>
          <w:p w14:paraId="0389FEFE" w14:textId="77777777" w:rsidR="00057C9C" w:rsidRDefault="00446934" w:rsidP="00D11709">
            <w:pPr>
              <w:pStyle w:val="Note-Refs"/>
            </w:pPr>
            <w:r>
              <w:t>AASB101.82Aa</w:t>
            </w:r>
          </w:p>
        </w:tc>
        <w:tc>
          <w:tcPr>
            <w:tcW w:w="2297" w:type="pct"/>
            <w:shd w:val="clear" w:color="auto" w:fill="CCCCCC"/>
            <w:vAlign w:val="bottom"/>
          </w:tcPr>
          <w:p w14:paraId="0389FEFF" w14:textId="77777777" w:rsidR="00057C9C" w:rsidRPr="00921B15" w:rsidRDefault="00057C9C" w:rsidP="00D11709">
            <w:pPr>
              <w:pStyle w:val="NotesTable-ItemPlain"/>
            </w:pPr>
            <w:r w:rsidRPr="00F54114">
              <w:t>Ite</w:t>
            </w:r>
            <w:r w:rsidRPr="00921B15">
              <w:t>ms that will not be reclassified to profit or loss</w:t>
            </w:r>
          </w:p>
        </w:tc>
        <w:tc>
          <w:tcPr>
            <w:tcW w:w="270" w:type="pct"/>
            <w:shd w:val="clear" w:color="auto" w:fill="CCCCCC"/>
            <w:vAlign w:val="bottom"/>
          </w:tcPr>
          <w:p w14:paraId="0389FF00" w14:textId="77777777" w:rsidR="00057C9C" w:rsidRDefault="00057C9C" w:rsidP="005D4154">
            <w:pPr>
              <w:pStyle w:val="NotesTable-Notes"/>
            </w:pPr>
          </w:p>
        </w:tc>
        <w:tc>
          <w:tcPr>
            <w:tcW w:w="406" w:type="pct"/>
            <w:shd w:val="clear" w:color="auto" w:fill="CCCCCC"/>
            <w:vAlign w:val="bottom"/>
          </w:tcPr>
          <w:p w14:paraId="0389FF01" w14:textId="77777777" w:rsidR="00057C9C" w:rsidRPr="000352B7" w:rsidRDefault="00057C9C" w:rsidP="00606085">
            <w:pPr>
              <w:pStyle w:val="NotesTable-CellBold"/>
            </w:pPr>
          </w:p>
        </w:tc>
        <w:tc>
          <w:tcPr>
            <w:tcW w:w="406" w:type="pct"/>
            <w:shd w:val="clear" w:color="auto" w:fill="CCCCCC"/>
            <w:vAlign w:val="bottom"/>
          </w:tcPr>
          <w:p w14:paraId="0389FF02" w14:textId="77777777" w:rsidR="00057C9C" w:rsidRPr="000352B7" w:rsidRDefault="00057C9C" w:rsidP="00606085">
            <w:pPr>
              <w:pStyle w:val="NotesTable-CellPlain"/>
            </w:pPr>
          </w:p>
        </w:tc>
        <w:tc>
          <w:tcPr>
            <w:tcW w:w="406" w:type="pct"/>
            <w:shd w:val="clear" w:color="auto" w:fill="CCCCCC"/>
            <w:vAlign w:val="bottom"/>
          </w:tcPr>
          <w:p w14:paraId="0389FF03" w14:textId="77777777" w:rsidR="00057C9C" w:rsidRPr="000352B7" w:rsidRDefault="00057C9C" w:rsidP="00606085">
            <w:pPr>
              <w:pStyle w:val="NotesTable-CellBold"/>
            </w:pPr>
          </w:p>
        </w:tc>
        <w:tc>
          <w:tcPr>
            <w:tcW w:w="406" w:type="pct"/>
            <w:shd w:val="clear" w:color="auto" w:fill="CCCCCC"/>
            <w:vAlign w:val="bottom"/>
          </w:tcPr>
          <w:p w14:paraId="0389FF04" w14:textId="77777777" w:rsidR="00057C9C" w:rsidRPr="000352B7" w:rsidRDefault="00057C9C" w:rsidP="00606085">
            <w:pPr>
              <w:pStyle w:val="NotesTable-CellPlain"/>
            </w:pPr>
          </w:p>
        </w:tc>
      </w:tr>
      <w:tr w:rsidR="00057C9C" w:rsidRPr="000352B7" w14:paraId="0389FF0D" w14:textId="77777777" w:rsidTr="00FC61D5">
        <w:trPr>
          <w:trHeight w:hRule="exact" w:val="227"/>
        </w:trPr>
        <w:tc>
          <w:tcPr>
            <w:tcW w:w="810" w:type="pct"/>
            <w:vAlign w:val="center"/>
          </w:tcPr>
          <w:p w14:paraId="0389FF06" w14:textId="77777777" w:rsidR="00057C9C" w:rsidRDefault="00057C9C" w:rsidP="00D11709">
            <w:pPr>
              <w:pStyle w:val="Note-Refs"/>
            </w:pPr>
          </w:p>
        </w:tc>
        <w:tc>
          <w:tcPr>
            <w:tcW w:w="2297" w:type="pct"/>
            <w:shd w:val="clear" w:color="auto" w:fill="CCCCCC"/>
            <w:vAlign w:val="bottom"/>
          </w:tcPr>
          <w:p w14:paraId="0389FF07" w14:textId="77777777" w:rsidR="00057C9C" w:rsidRDefault="00057C9C" w:rsidP="00D11709">
            <w:pPr>
              <w:pStyle w:val="NotesTable-ItemPlain"/>
              <w:rPr>
                <w:b/>
              </w:rPr>
            </w:pPr>
            <w:r>
              <w:t>Gain(loss) on revaluation of land and buildings, net of tax</w:t>
            </w:r>
          </w:p>
        </w:tc>
        <w:tc>
          <w:tcPr>
            <w:tcW w:w="270" w:type="pct"/>
            <w:shd w:val="clear" w:color="auto" w:fill="CCCCCC"/>
            <w:vAlign w:val="bottom"/>
          </w:tcPr>
          <w:p w14:paraId="0389FF08" w14:textId="0DAD3F44" w:rsidR="00057C9C" w:rsidRDefault="0007431C" w:rsidP="005D4154">
            <w:pPr>
              <w:pStyle w:val="NotesTable-Notes"/>
              <w:rPr>
                <w:b/>
              </w:rPr>
            </w:pPr>
            <w:r>
              <w:t>26</w:t>
            </w:r>
          </w:p>
        </w:tc>
        <w:tc>
          <w:tcPr>
            <w:tcW w:w="406" w:type="pct"/>
            <w:shd w:val="clear" w:color="auto" w:fill="CCCCCC"/>
            <w:vAlign w:val="bottom"/>
          </w:tcPr>
          <w:p w14:paraId="0389FF09" w14:textId="77777777" w:rsidR="00057C9C" w:rsidRPr="000352B7" w:rsidRDefault="00057C9C" w:rsidP="00057C9C">
            <w:pPr>
              <w:pStyle w:val="NotesTable-CellBold"/>
              <w:contextualSpacing/>
              <w:rPr>
                <w:b w:val="0"/>
              </w:rPr>
            </w:pPr>
            <w:r w:rsidRPr="000352B7">
              <w:t>–</w:t>
            </w:r>
          </w:p>
        </w:tc>
        <w:tc>
          <w:tcPr>
            <w:tcW w:w="406" w:type="pct"/>
            <w:shd w:val="clear" w:color="auto" w:fill="CCCCCC"/>
            <w:vAlign w:val="bottom"/>
          </w:tcPr>
          <w:p w14:paraId="0389FF0A" w14:textId="77777777" w:rsidR="00057C9C" w:rsidRPr="000352B7" w:rsidRDefault="00057C9C" w:rsidP="00057C9C">
            <w:pPr>
              <w:pStyle w:val="NotesTable-CellPlain"/>
              <w:contextualSpacing/>
              <w:rPr>
                <w:b/>
              </w:rPr>
            </w:pPr>
            <w:r w:rsidRPr="000352B7">
              <w:t>–</w:t>
            </w:r>
          </w:p>
        </w:tc>
        <w:tc>
          <w:tcPr>
            <w:tcW w:w="406" w:type="pct"/>
            <w:shd w:val="clear" w:color="auto" w:fill="CCCCCC"/>
            <w:vAlign w:val="bottom"/>
          </w:tcPr>
          <w:p w14:paraId="0389FF0B" w14:textId="77777777" w:rsidR="00057C9C" w:rsidRPr="000352B7" w:rsidRDefault="00057C9C" w:rsidP="00057C9C">
            <w:pPr>
              <w:pStyle w:val="NotesTable-CellBold"/>
              <w:contextualSpacing/>
              <w:rPr>
                <w:b w:val="0"/>
              </w:rPr>
            </w:pPr>
            <w:r w:rsidRPr="000352B7">
              <w:t>–</w:t>
            </w:r>
          </w:p>
        </w:tc>
        <w:tc>
          <w:tcPr>
            <w:tcW w:w="406" w:type="pct"/>
            <w:shd w:val="clear" w:color="auto" w:fill="CCCCCC"/>
            <w:vAlign w:val="bottom"/>
          </w:tcPr>
          <w:p w14:paraId="0389FF0C" w14:textId="77777777" w:rsidR="00057C9C" w:rsidRPr="000352B7" w:rsidRDefault="00057C9C" w:rsidP="00057C9C">
            <w:pPr>
              <w:pStyle w:val="NotesTable-CellPlain"/>
              <w:contextualSpacing/>
              <w:rPr>
                <w:b/>
                <w:sz w:val="20"/>
              </w:rPr>
            </w:pPr>
            <w:r w:rsidRPr="000352B7">
              <w:t>–</w:t>
            </w:r>
          </w:p>
        </w:tc>
      </w:tr>
      <w:tr w:rsidR="00125F36" w:rsidRPr="000352B7" w14:paraId="0389FF15" w14:textId="77777777" w:rsidTr="00FC61D5">
        <w:trPr>
          <w:trHeight w:val="227"/>
        </w:trPr>
        <w:tc>
          <w:tcPr>
            <w:tcW w:w="810" w:type="pct"/>
            <w:vAlign w:val="center"/>
          </w:tcPr>
          <w:p w14:paraId="0389FF0E" w14:textId="77777777" w:rsidR="00125F36" w:rsidRDefault="00125F36" w:rsidP="00D11709">
            <w:pPr>
              <w:pStyle w:val="Note-Refs"/>
            </w:pPr>
          </w:p>
        </w:tc>
        <w:tc>
          <w:tcPr>
            <w:tcW w:w="2297" w:type="pct"/>
            <w:shd w:val="clear" w:color="auto" w:fill="CCCCCC"/>
            <w:vAlign w:val="bottom"/>
          </w:tcPr>
          <w:p w14:paraId="0389FF0F" w14:textId="77777777" w:rsidR="00125F36" w:rsidRPr="000352B7" w:rsidRDefault="00125F36" w:rsidP="00D11709">
            <w:pPr>
              <w:pStyle w:val="NotesTable-ItemPlain"/>
              <w:rPr>
                <w:b/>
              </w:rPr>
            </w:pPr>
            <w:r>
              <w:t>Share of other comprehensive income on investments accounted for using the equity method</w:t>
            </w:r>
          </w:p>
        </w:tc>
        <w:tc>
          <w:tcPr>
            <w:tcW w:w="270" w:type="pct"/>
            <w:shd w:val="clear" w:color="auto" w:fill="CCCCCC"/>
            <w:vAlign w:val="bottom"/>
          </w:tcPr>
          <w:p w14:paraId="0389FF10" w14:textId="37D23BC6" w:rsidR="00125F36" w:rsidRDefault="00F405B7" w:rsidP="005D4154">
            <w:pPr>
              <w:pStyle w:val="NotesTable-Notes"/>
              <w:rPr>
                <w:b/>
              </w:rPr>
            </w:pPr>
            <w:r>
              <w:t>24</w:t>
            </w:r>
          </w:p>
        </w:tc>
        <w:tc>
          <w:tcPr>
            <w:tcW w:w="406" w:type="pct"/>
            <w:shd w:val="clear" w:color="auto" w:fill="CCCCCC"/>
            <w:vAlign w:val="bottom"/>
          </w:tcPr>
          <w:p w14:paraId="0389FF11" w14:textId="77777777" w:rsidR="00125F36" w:rsidRPr="000352B7" w:rsidRDefault="00125F36" w:rsidP="00EF7A5D">
            <w:pPr>
              <w:pStyle w:val="NotesTable-CellBold"/>
              <w:contextualSpacing/>
              <w:rPr>
                <w:b w:val="0"/>
              </w:rPr>
            </w:pPr>
            <w:r w:rsidRPr="000352B7">
              <w:t>–</w:t>
            </w:r>
          </w:p>
        </w:tc>
        <w:tc>
          <w:tcPr>
            <w:tcW w:w="406" w:type="pct"/>
            <w:shd w:val="clear" w:color="auto" w:fill="CCCCCC"/>
            <w:vAlign w:val="bottom"/>
          </w:tcPr>
          <w:p w14:paraId="0389FF12" w14:textId="77777777" w:rsidR="00125F36" w:rsidRPr="000352B7" w:rsidRDefault="00125F36" w:rsidP="00EF7A5D">
            <w:pPr>
              <w:pStyle w:val="NotesTable-CellPlain"/>
              <w:contextualSpacing/>
              <w:rPr>
                <w:b/>
              </w:rPr>
            </w:pPr>
            <w:r w:rsidRPr="000352B7">
              <w:t>–</w:t>
            </w:r>
          </w:p>
        </w:tc>
        <w:tc>
          <w:tcPr>
            <w:tcW w:w="406" w:type="pct"/>
            <w:shd w:val="clear" w:color="auto" w:fill="CCCCCC"/>
            <w:vAlign w:val="bottom"/>
          </w:tcPr>
          <w:p w14:paraId="0389FF13" w14:textId="77777777" w:rsidR="00125F36" w:rsidRPr="000352B7" w:rsidRDefault="00125F36" w:rsidP="00EF7A5D">
            <w:pPr>
              <w:pStyle w:val="NotesTable-CellBold"/>
              <w:contextualSpacing/>
              <w:rPr>
                <w:b w:val="0"/>
              </w:rPr>
            </w:pPr>
            <w:r w:rsidRPr="000352B7">
              <w:t>–</w:t>
            </w:r>
          </w:p>
        </w:tc>
        <w:tc>
          <w:tcPr>
            <w:tcW w:w="406" w:type="pct"/>
            <w:shd w:val="clear" w:color="auto" w:fill="CCCCCC"/>
            <w:vAlign w:val="bottom"/>
          </w:tcPr>
          <w:p w14:paraId="0389FF14" w14:textId="77777777" w:rsidR="00125F36" w:rsidRPr="000352B7" w:rsidRDefault="00125F36" w:rsidP="00EF7A5D">
            <w:pPr>
              <w:pStyle w:val="NotesTable-CellPlain"/>
              <w:contextualSpacing/>
              <w:rPr>
                <w:b/>
                <w:sz w:val="20"/>
              </w:rPr>
            </w:pPr>
            <w:r w:rsidRPr="000352B7">
              <w:t>–</w:t>
            </w:r>
          </w:p>
        </w:tc>
      </w:tr>
      <w:tr w:rsidR="00125F36" w:rsidRPr="000352B7" w14:paraId="0389FF1D" w14:textId="77777777" w:rsidTr="00FC61D5">
        <w:trPr>
          <w:trHeight w:hRule="exact" w:val="454"/>
        </w:trPr>
        <w:tc>
          <w:tcPr>
            <w:tcW w:w="810" w:type="pct"/>
            <w:vAlign w:val="center"/>
          </w:tcPr>
          <w:p w14:paraId="0389FF16" w14:textId="77777777" w:rsidR="00125F36" w:rsidRDefault="00125F36" w:rsidP="00D11709">
            <w:pPr>
              <w:pStyle w:val="Note-Refs"/>
            </w:pPr>
          </w:p>
        </w:tc>
        <w:tc>
          <w:tcPr>
            <w:tcW w:w="2297" w:type="pct"/>
            <w:shd w:val="clear" w:color="auto" w:fill="CCCCCC"/>
            <w:vAlign w:val="bottom"/>
          </w:tcPr>
          <w:p w14:paraId="0389FF17" w14:textId="77777777" w:rsidR="00125F36" w:rsidRPr="008D0375" w:rsidRDefault="00125F36" w:rsidP="00D11709">
            <w:pPr>
              <w:pStyle w:val="NotesTable-ItemPlain"/>
              <w:rPr>
                <w:b/>
              </w:rPr>
            </w:pPr>
            <w:r w:rsidRPr="008D0375">
              <w:t>Net Actuarial losses (gains) recognised in respect of Defined Benefit Plans</w:t>
            </w:r>
          </w:p>
        </w:tc>
        <w:tc>
          <w:tcPr>
            <w:tcW w:w="270" w:type="pct"/>
            <w:shd w:val="clear" w:color="auto" w:fill="CCCCCC"/>
            <w:vAlign w:val="bottom"/>
          </w:tcPr>
          <w:p w14:paraId="0389FF18" w14:textId="7C72D0A4" w:rsidR="00125F36" w:rsidRDefault="0007431C" w:rsidP="005D4154">
            <w:pPr>
              <w:pStyle w:val="NotesTable-Notes"/>
              <w:rPr>
                <w:b/>
              </w:rPr>
            </w:pPr>
            <w:r>
              <w:t>52</w:t>
            </w:r>
          </w:p>
        </w:tc>
        <w:tc>
          <w:tcPr>
            <w:tcW w:w="406" w:type="pct"/>
            <w:shd w:val="clear" w:color="auto" w:fill="CCCCCC"/>
            <w:vAlign w:val="bottom"/>
          </w:tcPr>
          <w:p w14:paraId="0389FF19" w14:textId="77777777" w:rsidR="00125F36" w:rsidRPr="000352B7" w:rsidRDefault="00125F36" w:rsidP="00EF7A5D">
            <w:pPr>
              <w:pStyle w:val="NotesTable-CellBold"/>
              <w:contextualSpacing/>
              <w:rPr>
                <w:b w:val="0"/>
              </w:rPr>
            </w:pPr>
            <w:r w:rsidRPr="000352B7">
              <w:t>–</w:t>
            </w:r>
          </w:p>
        </w:tc>
        <w:tc>
          <w:tcPr>
            <w:tcW w:w="406" w:type="pct"/>
            <w:shd w:val="clear" w:color="auto" w:fill="CCCCCC"/>
            <w:vAlign w:val="bottom"/>
          </w:tcPr>
          <w:p w14:paraId="0389FF1A" w14:textId="77777777" w:rsidR="00125F36" w:rsidRPr="000352B7" w:rsidRDefault="00125F36" w:rsidP="00EF7A5D">
            <w:pPr>
              <w:pStyle w:val="NotesTable-CellPlain"/>
              <w:contextualSpacing/>
              <w:rPr>
                <w:b/>
              </w:rPr>
            </w:pPr>
            <w:r w:rsidRPr="000352B7">
              <w:t>–</w:t>
            </w:r>
          </w:p>
        </w:tc>
        <w:tc>
          <w:tcPr>
            <w:tcW w:w="406" w:type="pct"/>
            <w:shd w:val="clear" w:color="auto" w:fill="CCCCCC"/>
            <w:vAlign w:val="bottom"/>
          </w:tcPr>
          <w:p w14:paraId="0389FF1B" w14:textId="77777777" w:rsidR="00125F36" w:rsidRPr="000352B7" w:rsidRDefault="00125F36" w:rsidP="00EF7A5D">
            <w:pPr>
              <w:pStyle w:val="NotesTable-CellBold"/>
              <w:contextualSpacing/>
              <w:rPr>
                <w:b w:val="0"/>
              </w:rPr>
            </w:pPr>
            <w:r w:rsidRPr="000352B7">
              <w:t>–</w:t>
            </w:r>
          </w:p>
        </w:tc>
        <w:tc>
          <w:tcPr>
            <w:tcW w:w="406" w:type="pct"/>
            <w:shd w:val="clear" w:color="auto" w:fill="CCCCCC"/>
            <w:vAlign w:val="bottom"/>
          </w:tcPr>
          <w:p w14:paraId="0389FF1C" w14:textId="77777777" w:rsidR="00125F36" w:rsidRPr="000352B7" w:rsidRDefault="00125F36" w:rsidP="00EF7A5D">
            <w:pPr>
              <w:pStyle w:val="NotesTable-CellPlain"/>
              <w:contextualSpacing/>
              <w:rPr>
                <w:b/>
              </w:rPr>
            </w:pPr>
            <w:r w:rsidRPr="000352B7">
              <w:t>–</w:t>
            </w:r>
          </w:p>
        </w:tc>
      </w:tr>
      <w:tr w:rsidR="001F35AA" w14:paraId="0389FF25" w14:textId="77777777" w:rsidTr="00FC61D5">
        <w:trPr>
          <w:trHeight w:hRule="exact" w:val="227"/>
        </w:trPr>
        <w:tc>
          <w:tcPr>
            <w:tcW w:w="810" w:type="pct"/>
            <w:vAlign w:val="center"/>
          </w:tcPr>
          <w:p w14:paraId="0389FF1E" w14:textId="77777777" w:rsidR="000352B7" w:rsidRDefault="000352B7" w:rsidP="00D11709">
            <w:pPr>
              <w:pStyle w:val="Note-Refs"/>
            </w:pPr>
          </w:p>
        </w:tc>
        <w:tc>
          <w:tcPr>
            <w:tcW w:w="2297" w:type="pct"/>
            <w:shd w:val="clear" w:color="auto" w:fill="CCCCCC"/>
            <w:vAlign w:val="bottom"/>
          </w:tcPr>
          <w:p w14:paraId="0389FF1F" w14:textId="77777777" w:rsidR="000352B7" w:rsidRDefault="000352B7" w:rsidP="00D11709">
            <w:pPr>
              <w:pStyle w:val="NotesTable-ItemPlain"/>
              <w:rPr>
                <w:b/>
              </w:rPr>
            </w:pPr>
            <w:r>
              <w:t>[Specify]</w:t>
            </w:r>
          </w:p>
        </w:tc>
        <w:tc>
          <w:tcPr>
            <w:tcW w:w="270" w:type="pct"/>
            <w:shd w:val="clear" w:color="auto" w:fill="CCCCCC"/>
            <w:vAlign w:val="bottom"/>
          </w:tcPr>
          <w:p w14:paraId="0389FF20" w14:textId="77777777" w:rsidR="000352B7" w:rsidRDefault="000352B7" w:rsidP="005D4154">
            <w:pPr>
              <w:pStyle w:val="NotesTable-Notes"/>
            </w:pPr>
          </w:p>
        </w:tc>
        <w:tc>
          <w:tcPr>
            <w:tcW w:w="406" w:type="pct"/>
            <w:tcBorders>
              <w:bottom w:val="single" w:sz="4" w:space="0" w:color="auto"/>
            </w:tcBorders>
            <w:shd w:val="clear" w:color="auto" w:fill="CCCCCC"/>
            <w:vAlign w:val="bottom"/>
          </w:tcPr>
          <w:p w14:paraId="0389FF21" w14:textId="77777777" w:rsidR="000352B7" w:rsidRPr="000352B7" w:rsidRDefault="000352B7" w:rsidP="00606085">
            <w:pPr>
              <w:pStyle w:val="NotesTable-CellBold"/>
              <w:rPr>
                <w:b w:val="0"/>
              </w:rPr>
            </w:pPr>
            <w:r w:rsidRPr="000352B7">
              <w:t>–</w:t>
            </w:r>
          </w:p>
        </w:tc>
        <w:tc>
          <w:tcPr>
            <w:tcW w:w="406" w:type="pct"/>
            <w:tcBorders>
              <w:bottom w:val="single" w:sz="4" w:space="0" w:color="auto"/>
            </w:tcBorders>
            <w:shd w:val="clear" w:color="auto" w:fill="CCCCCC"/>
            <w:vAlign w:val="bottom"/>
          </w:tcPr>
          <w:p w14:paraId="0389FF22" w14:textId="77777777" w:rsidR="000352B7" w:rsidRPr="000352B7" w:rsidRDefault="000352B7" w:rsidP="00606085">
            <w:pPr>
              <w:pStyle w:val="NotesTable-CellPlain"/>
              <w:rPr>
                <w:b/>
              </w:rPr>
            </w:pPr>
            <w:r w:rsidRPr="000352B7">
              <w:t>–</w:t>
            </w:r>
          </w:p>
        </w:tc>
        <w:tc>
          <w:tcPr>
            <w:tcW w:w="406" w:type="pct"/>
            <w:tcBorders>
              <w:bottom w:val="single" w:sz="4" w:space="0" w:color="auto"/>
            </w:tcBorders>
            <w:shd w:val="clear" w:color="auto" w:fill="CCCCCC"/>
            <w:vAlign w:val="bottom"/>
          </w:tcPr>
          <w:p w14:paraId="0389FF23" w14:textId="77777777" w:rsidR="000352B7" w:rsidRPr="000352B7" w:rsidRDefault="000352B7" w:rsidP="00606085">
            <w:pPr>
              <w:pStyle w:val="NotesTable-CellBold"/>
              <w:rPr>
                <w:b w:val="0"/>
              </w:rPr>
            </w:pPr>
            <w:r w:rsidRPr="000352B7">
              <w:t>–</w:t>
            </w:r>
          </w:p>
        </w:tc>
        <w:tc>
          <w:tcPr>
            <w:tcW w:w="406" w:type="pct"/>
            <w:tcBorders>
              <w:bottom w:val="single" w:sz="4" w:space="0" w:color="auto"/>
            </w:tcBorders>
            <w:shd w:val="clear" w:color="auto" w:fill="CCCCCC"/>
            <w:vAlign w:val="bottom"/>
          </w:tcPr>
          <w:p w14:paraId="0389FF24" w14:textId="77777777" w:rsidR="000352B7" w:rsidRPr="000352B7" w:rsidRDefault="000352B7" w:rsidP="00606085">
            <w:pPr>
              <w:pStyle w:val="NotesTable-CellPlain"/>
              <w:rPr>
                <w:b/>
              </w:rPr>
            </w:pPr>
            <w:r w:rsidRPr="000352B7">
              <w:t>–</w:t>
            </w:r>
          </w:p>
        </w:tc>
      </w:tr>
      <w:tr w:rsidR="00985B10" w14:paraId="0389FF2D" w14:textId="77777777" w:rsidTr="00FC61D5">
        <w:trPr>
          <w:trHeight w:hRule="exact" w:val="227"/>
        </w:trPr>
        <w:tc>
          <w:tcPr>
            <w:tcW w:w="810" w:type="pct"/>
            <w:vAlign w:val="center"/>
          </w:tcPr>
          <w:p w14:paraId="0389FF26" w14:textId="77777777" w:rsidR="00985B10" w:rsidRDefault="00985B10" w:rsidP="00D11709">
            <w:pPr>
              <w:pStyle w:val="Note-Refs"/>
            </w:pPr>
          </w:p>
        </w:tc>
        <w:tc>
          <w:tcPr>
            <w:tcW w:w="2297" w:type="pct"/>
            <w:shd w:val="clear" w:color="auto" w:fill="CCCCCC"/>
            <w:vAlign w:val="bottom"/>
          </w:tcPr>
          <w:p w14:paraId="0389FF27" w14:textId="77777777" w:rsidR="00985B10" w:rsidRDefault="00985B10" w:rsidP="00D11709">
            <w:pPr>
              <w:pStyle w:val="NotesTable-ItemPlain"/>
              <w:rPr>
                <w:b/>
              </w:rPr>
            </w:pPr>
            <w:r>
              <w:t>Total</w:t>
            </w:r>
          </w:p>
        </w:tc>
        <w:tc>
          <w:tcPr>
            <w:tcW w:w="270" w:type="pct"/>
            <w:shd w:val="clear" w:color="auto" w:fill="CCCCCC"/>
            <w:vAlign w:val="bottom"/>
          </w:tcPr>
          <w:p w14:paraId="0389FF28" w14:textId="77777777" w:rsidR="00985B10" w:rsidRDefault="00985B10" w:rsidP="005D4154">
            <w:pPr>
              <w:pStyle w:val="NotesTable-Notes"/>
            </w:pPr>
          </w:p>
        </w:tc>
        <w:tc>
          <w:tcPr>
            <w:tcW w:w="406" w:type="pct"/>
            <w:tcBorders>
              <w:top w:val="single" w:sz="4" w:space="0" w:color="auto"/>
            </w:tcBorders>
            <w:shd w:val="clear" w:color="auto" w:fill="CCCCCC"/>
            <w:vAlign w:val="bottom"/>
          </w:tcPr>
          <w:p w14:paraId="0389FF29" w14:textId="77777777" w:rsidR="00985B10" w:rsidRPr="000352B7" w:rsidRDefault="00985B10" w:rsidP="00606085">
            <w:pPr>
              <w:pStyle w:val="NotesTable-CellBold"/>
            </w:pPr>
            <w:r w:rsidRPr="000352B7">
              <w:t>–</w:t>
            </w:r>
          </w:p>
        </w:tc>
        <w:tc>
          <w:tcPr>
            <w:tcW w:w="406" w:type="pct"/>
            <w:tcBorders>
              <w:top w:val="single" w:sz="4" w:space="0" w:color="auto"/>
            </w:tcBorders>
            <w:shd w:val="clear" w:color="auto" w:fill="CCCCCC"/>
            <w:vAlign w:val="bottom"/>
          </w:tcPr>
          <w:p w14:paraId="0389FF2A" w14:textId="77777777" w:rsidR="00985B10" w:rsidRPr="000352B7" w:rsidRDefault="00985B10" w:rsidP="00606085">
            <w:pPr>
              <w:pStyle w:val="NotesTable-CellPlain"/>
            </w:pPr>
            <w:r w:rsidRPr="000352B7">
              <w:t>–</w:t>
            </w:r>
          </w:p>
        </w:tc>
        <w:tc>
          <w:tcPr>
            <w:tcW w:w="406" w:type="pct"/>
            <w:tcBorders>
              <w:top w:val="single" w:sz="4" w:space="0" w:color="auto"/>
            </w:tcBorders>
            <w:shd w:val="clear" w:color="auto" w:fill="CCCCCC"/>
            <w:vAlign w:val="bottom"/>
          </w:tcPr>
          <w:p w14:paraId="0389FF2B" w14:textId="77777777" w:rsidR="00985B10" w:rsidRPr="000352B7" w:rsidRDefault="00985B10" w:rsidP="00606085">
            <w:pPr>
              <w:pStyle w:val="NotesTable-CellBold"/>
            </w:pPr>
            <w:r w:rsidRPr="000352B7">
              <w:t>–</w:t>
            </w:r>
          </w:p>
        </w:tc>
        <w:tc>
          <w:tcPr>
            <w:tcW w:w="406" w:type="pct"/>
            <w:tcBorders>
              <w:top w:val="single" w:sz="4" w:space="0" w:color="auto"/>
            </w:tcBorders>
            <w:shd w:val="clear" w:color="auto" w:fill="CCCCCC"/>
            <w:vAlign w:val="bottom"/>
          </w:tcPr>
          <w:p w14:paraId="0389FF2C" w14:textId="77777777" w:rsidR="00985B10" w:rsidRPr="000352B7" w:rsidRDefault="00985B10" w:rsidP="00606085">
            <w:pPr>
              <w:pStyle w:val="NotesTable-CellPlain"/>
            </w:pPr>
            <w:r w:rsidRPr="000352B7">
              <w:t>–</w:t>
            </w:r>
          </w:p>
        </w:tc>
      </w:tr>
      <w:tr w:rsidR="00985B10" w14:paraId="0389FF35" w14:textId="77777777" w:rsidTr="00FC61D5">
        <w:trPr>
          <w:trHeight w:hRule="exact" w:val="227"/>
        </w:trPr>
        <w:tc>
          <w:tcPr>
            <w:tcW w:w="810" w:type="pct"/>
            <w:vAlign w:val="center"/>
          </w:tcPr>
          <w:p w14:paraId="0389FF2E" w14:textId="77777777" w:rsidR="00985B10" w:rsidRPr="00985B10" w:rsidRDefault="00985B10" w:rsidP="00D11709">
            <w:pPr>
              <w:pStyle w:val="Note-Refs"/>
            </w:pPr>
            <w:r>
              <w:t>AASB101.81Ab</w:t>
            </w:r>
          </w:p>
        </w:tc>
        <w:tc>
          <w:tcPr>
            <w:tcW w:w="2297" w:type="pct"/>
            <w:shd w:val="clear" w:color="auto" w:fill="CCCCCC"/>
            <w:vAlign w:val="bottom"/>
          </w:tcPr>
          <w:p w14:paraId="0389FF2F" w14:textId="77777777" w:rsidR="00985B10" w:rsidRPr="00985B10" w:rsidRDefault="00985B10">
            <w:pPr>
              <w:pStyle w:val="Statement-ItemBold"/>
            </w:pPr>
            <w:r>
              <w:t>Total other comprehensive income</w:t>
            </w:r>
          </w:p>
        </w:tc>
        <w:tc>
          <w:tcPr>
            <w:tcW w:w="270" w:type="pct"/>
            <w:shd w:val="clear" w:color="auto" w:fill="CCCCCC"/>
            <w:vAlign w:val="bottom"/>
          </w:tcPr>
          <w:p w14:paraId="0389FF30" w14:textId="77777777" w:rsidR="00985B10" w:rsidRDefault="00985B10" w:rsidP="005D4154">
            <w:pPr>
              <w:pStyle w:val="NotesTable-Notes"/>
            </w:pPr>
          </w:p>
        </w:tc>
        <w:tc>
          <w:tcPr>
            <w:tcW w:w="406" w:type="pct"/>
            <w:shd w:val="clear" w:color="auto" w:fill="CCCCCC"/>
            <w:vAlign w:val="bottom"/>
          </w:tcPr>
          <w:p w14:paraId="0389FF31" w14:textId="77777777" w:rsidR="00985B10" w:rsidRPr="00985B10" w:rsidRDefault="00985B10" w:rsidP="00606085">
            <w:pPr>
              <w:pStyle w:val="NotesTable-CellBold"/>
            </w:pPr>
            <w:r w:rsidRPr="000352B7">
              <w:t>–</w:t>
            </w:r>
          </w:p>
        </w:tc>
        <w:tc>
          <w:tcPr>
            <w:tcW w:w="406" w:type="pct"/>
            <w:shd w:val="clear" w:color="auto" w:fill="CCCCCC"/>
            <w:vAlign w:val="bottom"/>
          </w:tcPr>
          <w:p w14:paraId="0389FF32" w14:textId="77777777" w:rsidR="00985B10" w:rsidRPr="00985B10" w:rsidRDefault="00985B10" w:rsidP="00606085">
            <w:pPr>
              <w:pStyle w:val="NotesTable-CellPlain"/>
            </w:pPr>
            <w:r w:rsidRPr="000352B7">
              <w:t>–</w:t>
            </w:r>
          </w:p>
        </w:tc>
        <w:tc>
          <w:tcPr>
            <w:tcW w:w="406" w:type="pct"/>
            <w:shd w:val="clear" w:color="auto" w:fill="CCCCCC"/>
            <w:vAlign w:val="bottom"/>
          </w:tcPr>
          <w:p w14:paraId="0389FF33" w14:textId="77777777" w:rsidR="00985B10" w:rsidRPr="00985B10" w:rsidRDefault="00985B10" w:rsidP="00606085">
            <w:pPr>
              <w:pStyle w:val="NotesTable-CellBold"/>
            </w:pPr>
            <w:r w:rsidRPr="000352B7">
              <w:t>–</w:t>
            </w:r>
          </w:p>
        </w:tc>
        <w:tc>
          <w:tcPr>
            <w:tcW w:w="406" w:type="pct"/>
            <w:shd w:val="clear" w:color="auto" w:fill="CCCCCC"/>
            <w:vAlign w:val="bottom"/>
          </w:tcPr>
          <w:p w14:paraId="0389FF34" w14:textId="77777777" w:rsidR="00985B10" w:rsidRPr="00985B10" w:rsidRDefault="00985B10" w:rsidP="00606085">
            <w:pPr>
              <w:pStyle w:val="NotesTable-CellPlain"/>
            </w:pPr>
            <w:r w:rsidRPr="000352B7">
              <w:t>–</w:t>
            </w:r>
          </w:p>
        </w:tc>
      </w:tr>
      <w:tr w:rsidR="00B82C05" w14:paraId="0389FF3D" w14:textId="77777777" w:rsidTr="00FC61D5">
        <w:trPr>
          <w:trHeight w:hRule="exact" w:val="227"/>
        </w:trPr>
        <w:tc>
          <w:tcPr>
            <w:tcW w:w="810" w:type="pct"/>
            <w:vAlign w:val="center"/>
          </w:tcPr>
          <w:p w14:paraId="0389FF36" w14:textId="77777777" w:rsidR="00785260" w:rsidRPr="00985B10" w:rsidRDefault="00785260" w:rsidP="00D11709">
            <w:pPr>
              <w:pStyle w:val="Note-Refs"/>
              <w:rPr>
                <w:b/>
                <w:i/>
              </w:rPr>
            </w:pPr>
            <w:r>
              <w:t>AASB101.</w:t>
            </w:r>
            <w:r w:rsidR="006B3AC0">
              <w:t>81Ac</w:t>
            </w:r>
          </w:p>
        </w:tc>
        <w:tc>
          <w:tcPr>
            <w:tcW w:w="2297" w:type="pct"/>
            <w:shd w:val="clear" w:color="auto" w:fill="CCCCCC"/>
            <w:vAlign w:val="bottom"/>
          </w:tcPr>
          <w:p w14:paraId="0389FF37" w14:textId="77777777" w:rsidR="00785260" w:rsidRPr="00985B10" w:rsidRDefault="00785260">
            <w:pPr>
              <w:pStyle w:val="Statement-ItemBold"/>
            </w:pPr>
            <w:r w:rsidRPr="00606085">
              <w:t>Total comprehensive income</w:t>
            </w:r>
          </w:p>
        </w:tc>
        <w:tc>
          <w:tcPr>
            <w:tcW w:w="270" w:type="pct"/>
            <w:shd w:val="clear" w:color="auto" w:fill="CCCCCC"/>
            <w:vAlign w:val="bottom"/>
          </w:tcPr>
          <w:p w14:paraId="0389FF38" w14:textId="77777777" w:rsidR="00785260" w:rsidRDefault="00785260" w:rsidP="005D4154">
            <w:pPr>
              <w:pStyle w:val="NotesTable-Notes"/>
            </w:pPr>
          </w:p>
        </w:tc>
        <w:tc>
          <w:tcPr>
            <w:tcW w:w="406" w:type="pct"/>
            <w:tcBorders>
              <w:top w:val="single" w:sz="4" w:space="0" w:color="auto"/>
            </w:tcBorders>
            <w:shd w:val="clear" w:color="auto" w:fill="CCCCCC"/>
            <w:vAlign w:val="bottom"/>
          </w:tcPr>
          <w:p w14:paraId="0389FF39" w14:textId="77777777" w:rsidR="00785260" w:rsidRPr="000352B7" w:rsidRDefault="00785260" w:rsidP="00606085">
            <w:pPr>
              <w:pStyle w:val="NotesTable-CellBold"/>
              <w:rPr>
                <w:b w:val="0"/>
              </w:rPr>
            </w:pPr>
            <w:r w:rsidRPr="000352B7">
              <w:t>–</w:t>
            </w:r>
          </w:p>
        </w:tc>
        <w:tc>
          <w:tcPr>
            <w:tcW w:w="406" w:type="pct"/>
            <w:tcBorders>
              <w:top w:val="single" w:sz="4" w:space="0" w:color="auto"/>
            </w:tcBorders>
            <w:shd w:val="clear" w:color="auto" w:fill="CCCCCC"/>
            <w:vAlign w:val="bottom"/>
          </w:tcPr>
          <w:p w14:paraId="0389FF3A" w14:textId="77777777" w:rsidR="00785260" w:rsidRPr="000352B7" w:rsidRDefault="00785260" w:rsidP="00606085">
            <w:pPr>
              <w:pStyle w:val="NotesTable-CellPlain"/>
              <w:rPr>
                <w:b/>
              </w:rPr>
            </w:pPr>
            <w:r w:rsidRPr="000352B7">
              <w:t>–</w:t>
            </w:r>
          </w:p>
        </w:tc>
        <w:tc>
          <w:tcPr>
            <w:tcW w:w="406" w:type="pct"/>
            <w:tcBorders>
              <w:top w:val="single" w:sz="4" w:space="0" w:color="auto"/>
            </w:tcBorders>
            <w:shd w:val="clear" w:color="auto" w:fill="CCCCCC"/>
            <w:vAlign w:val="bottom"/>
          </w:tcPr>
          <w:p w14:paraId="0389FF3B" w14:textId="77777777" w:rsidR="00785260" w:rsidRPr="000352B7" w:rsidRDefault="00785260" w:rsidP="00606085">
            <w:pPr>
              <w:pStyle w:val="NotesTable-CellBold"/>
              <w:rPr>
                <w:b w:val="0"/>
              </w:rPr>
            </w:pPr>
            <w:r w:rsidRPr="000352B7">
              <w:t>–</w:t>
            </w:r>
          </w:p>
        </w:tc>
        <w:tc>
          <w:tcPr>
            <w:tcW w:w="406" w:type="pct"/>
            <w:tcBorders>
              <w:top w:val="single" w:sz="4" w:space="0" w:color="auto"/>
            </w:tcBorders>
            <w:shd w:val="clear" w:color="auto" w:fill="CCCCCC"/>
            <w:vAlign w:val="bottom"/>
          </w:tcPr>
          <w:p w14:paraId="0389FF3C" w14:textId="77777777" w:rsidR="00785260" w:rsidRPr="000352B7" w:rsidRDefault="00785260" w:rsidP="00606085">
            <w:pPr>
              <w:pStyle w:val="NotesTable-CellPlain"/>
              <w:rPr>
                <w:b/>
              </w:rPr>
            </w:pPr>
            <w:r w:rsidRPr="000352B7">
              <w:t>–</w:t>
            </w:r>
          </w:p>
        </w:tc>
      </w:tr>
      <w:tr w:rsidR="00785260" w14:paraId="0389FF40" w14:textId="77777777" w:rsidTr="00FC61D5">
        <w:trPr>
          <w:trHeight w:hRule="exact" w:val="227"/>
        </w:trPr>
        <w:tc>
          <w:tcPr>
            <w:tcW w:w="810" w:type="pct"/>
            <w:vAlign w:val="center"/>
          </w:tcPr>
          <w:p w14:paraId="0389FF3E" w14:textId="77777777" w:rsidR="00785260" w:rsidRDefault="00785260" w:rsidP="00D11709">
            <w:pPr>
              <w:pStyle w:val="Note-Refs"/>
            </w:pPr>
          </w:p>
        </w:tc>
        <w:tc>
          <w:tcPr>
            <w:tcW w:w="4190" w:type="pct"/>
            <w:gridSpan w:val="6"/>
            <w:shd w:val="clear" w:color="auto" w:fill="CCCCCC"/>
            <w:vAlign w:val="bottom"/>
          </w:tcPr>
          <w:p w14:paraId="0389FF3F" w14:textId="77777777" w:rsidR="00785260" w:rsidRDefault="00785260">
            <w:pPr>
              <w:pStyle w:val="NotesTable-ItemPlain"/>
            </w:pPr>
          </w:p>
        </w:tc>
      </w:tr>
      <w:tr w:rsidR="00785260" w14:paraId="0389FF43" w14:textId="77777777" w:rsidTr="00FC61D5">
        <w:trPr>
          <w:trHeight w:hRule="exact" w:val="227"/>
        </w:trPr>
        <w:tc>
          <w:tcPr>
            <w:tcW w:w="810" w:type="pct"/>
            <w:vAlign w:val="center"/>
          </w:tcPr>
          <w:p w14:paraId="0389FF41" w14:textId="77777777" w:rsidR="00785260" w:rsidRDefault="00785260" w:rsidP="00D11709">
            <w:pPr>
              <w:pStyle w:val="Note-Refs"/>
            </w:pPr>
          </w:p>
        </w:tc>
        <w:tc>
          <w:tcPr>
            <w:tcW w:w="4190" w:type="pct"/>
            <w:gridSpan w:val="6"/>
            <w:shd w:val="clear" w:color="auto" w:fill="CCCCCC"/>
            <w:vAlign w:val="bottom"/>
          </w:tcPr>
          <w:p w14:paraId="0389FF42" w14:textId="77777777" w:rsidR="00785260" w:rsidRPr="00785260" w:rsidRDefault="00785260">
            <w:pPr>
              <w:pStyle w:val="Statement-ItemBold"/>
            </w:pPr>
            <w:r>
              <w:t>Total comprehensive income attributable to:</w:t>
            </w:r>
          </w:p>
        </w:tc>
      </w:tr>
      <w:tr w:rsidR="001F35AA" w14:paraId="0389FF4B" w14:textId="77777777" w:rsidTr="00FC61D5">
        <w:trPr>
          <w:trHeight w:hRule="exact" w:val="227"/>
        </w:trPr>
        <w:tc>
          <w:tcPr>
            <w:tcW w:w="810" w:type="pct"/>
            <w:vAlign w:val="center"/>
          </w:tcPr>
          <w:p w14:paraId="0389FF44" w14:textId="77777777" w:rsidR="00785260" w:rsidRDefault="00785260" w:rsidP="00D11709">
            <w:pPr>
              <w:pStyle w:val="Note-Refs"/>
            </w:pPr>
            <w:r>
              <w:t>AASB101.8</w:t>
            </w:r>
            <w:r w:rsidR="00446934">
              <w:t>1</w:t>
            </w:r>
            <w:r w:rsidR="00AB2871">
              <w:t>B</w:t>
            </w:r>
            <w:r>
              <w:t>b(ii)</w:t>
            </w:r>
          </w:p>
        </w:tc>
        <w:tc>
          <w:tcPr>
            <w:tcW w:w="2297" w:type="pct"/>
            <w:shd w:val="clear" w:color="auto" w:fill="CCCCCC"/>
            <w:vAlign w:val="bottom"/>
          </w:tcPr>
          <w:p w14:paraId="0389FF45" w14:textId="77777777" w:rsidR="00785260" w:rsidRPr="00785260" w:rsidRDefault="00785260" w:rsidP="00D11709">
            <w:pPr>
              <w:pStyle w:val="NotesTable-ItemPlain"/>
              <w:rPr>
                <w:b/>
                <w:bCs/>
              </w:rPr>
            </w:pPr>
            <w:r w:rsidRPr="006408F7">
              <w:t>Members</w:t>
            </w:r>
          </w:p>
        </w:tc>
        <w:tc>
          <w:tcPr>
            <w:tcW w:w="270" w:type="pct"/>
            <w:shd w:val="clear" w:color="auto" w:fill="CCCCCC"/>
            <w:vAlign w:val="bottom"/>
          </w:tcPr>
          <w:p w14:paraId="0389FF46" w14:textId="77777777" w:rsidR="00785260" w:rsidRPr="00204066" w:rsidRDefault="00785260" w:rsidP="005D4154">
            <w:pPr>
              <w:pStyle w:val="NotesTable-Notes"/>
            </w:pPr>
          </w:p>
        </w:tc>
        <w:tc>
          <w:tcPr>
            <w:tcW w:w="406" w:type="pct"/>
            <w:shd w:val="clear" w:color="auto" w:fill="CCCCCC"/>
            <w:vAlign w:val="bottom"/>
          </w:tcPr>
          <w:p w14:paraId="0389FF47" w14:textId="77777777" w:rsidR="00785260" w:rsidRPr="000352B7" w:rsidRDefault="00785260" w:rsidP="00606085">
            <w:pPr>
              <w:pStyle w:val="NotesTable-CellBold"/>
              <w:rPr>
                <w:b w:val="0"/>
              </w:rPr>
            </w:pPr>
            <w:r>
              <w:t>–</w:t>
            </w:r>
          </w:p>
        </w:tc>
        <w:tc>
          <w:tcPr>
            <w:tcW w:w="406" w:type="pct"/>
            <w:shd w:val="clear" w:color="auto" w:fill="CCCCCC"/>
            <w:vAlign w:val="bottom"/>
          </w:tcPr>
          <w:p w14:paraId="0389FF48" w14:textId="77777777" w:rsidR="00785260" w:rsidRPr="000352B7" w:rsidRDefault="00785260" w:rsidP="00606085">
            <w:pPr>
              <w:pStyle w:val="NotesTable-CellPlain"/>
              <w:rPr>
                <w:b/>
              </w:rPr>
            </w:pPr>
            <w:r>
              <w:t>–</w:t>
            </w:r>
          </w:p>
        </w:tc>
        <w:tc>
          <w:tcPr>
            <w:tcW w:w="406" w:type="pct"/>
            <w:shd w:val="clear" w:color="auto" w:fill="CCCCCC"/>
            <w:vAlign w:val="bottom"/>
          </w:tcPr>
          <w:p w14:paraId="0389FF49" w14:textId="77777777" w:rsidR="00785260" w:rsidRPr="000352B7" w:rsidRDefault="00785260" w:rsidP="00606085">
            <w:pPr>
              <w:pStyle w:val="NotesTable-CellBold"/>
              <w:rPr>
                <w:b w:val="0"/>
              </w:rPr>
            </w:pPr>
            <w:r>
              <w:t>–</w:t>
            </w:r>
          </w:p>
        </w:tc>
        <w:tc>
          <w:tcPr>
            <w:tcW w:w="406" w:type="pct"/>
            <w:shd w:val="clear" w:color="auto" w:fill="CCCCCC"/>
            <w:vAlign w:val="bottom"/>
          </w:tcPr>
          <w:p w14:paraId="0389FF4A" w14:textId="77777777" w:rsidR="00785260" w:rsidRPr="000352B7" w:rsidRDefault="00785260" w:rsidP="00606085">
            <w:pPr>
              <w:pStyle w:val="NotesTable-CellPlain"/>
              <w:rPr>
                <w:b/>
              </w:rPr>
            </w:pPr>
            <w:r>
              <w:t>–</w:t>
            </w:r>
          </w:p>
        </w:tc>
      </w:tr>
      <w:tr w:rsidR="001F35AA" w14:paraId="0389FF53" w14:textId="77777777" w:rsidTr="00FC61D5">
        <w:trPr>
          <w:trHeight w:hRule="exact" w:val="227"/>
        </w:trPr>
        <w:tc>
          <w:tcPr>
            <w:tcW w:w="810" w:type="pct"/>
            <w:vAlign w:val="center"/>
          </w:tcPr>
          <w:p w14:paraId="0389FF4C" w14:textId="77777777" w:rsidR="00785260" w:rsidRDefault="00785260" w:rsidP="00D11709">
            <w:pPr>
              <w:pStyle w:val="Note-Refs"/>
              <w:rPr>
                <w:b/>
              </w:rPr>
            </w:pPr>
            <w:r>
              <w:t>AASB101.8</w:t>
            </w:r>
            <w:r w:rsidR="00446934">
              <w:t>1</w:t>
            </w:r>
            <w:r w:rsidR="00AB2871">
              <w:t>B</w:t>
            </w:r>
            <w:r>
              <w:t>b(i)</w:t>
            </w:r>
          </w:p>
        </w:tc>
        <w:tc>
          <w:tcPr>
            <w:tcW w:w="2297" w:type="pct"/>
            <w:shd w:val="clear" w:color="auto" w:fill="CCCCCC"/>
            <w:vAlign w:val="bottom"/>
          </w:tcPr>
          <w:p w14:paraId="0389FF4D" w14:textId="77777777" w:rsidR="00785260" w:rsidRDefault="00785260" w:rsidP="00D11709">
            <w:pPr>
              <w:pStyle w:val="NotesTable-ItemPlain"/>
              <w:rPr>
                <w:b/>
                <w:bCs/>
                <w:i/>
              </w:rPr>
            </w:pPr>
            <w:r w:rsidRPr="006408F7">
              <w:t>Non-controlling interest</w:t>
            </w:r>
          </w:p>
        </w:tc>
        <w:tc>
          <w:tcPr>
            <w:tcW w:w="270" w:type="pct"/>
            <w:shd w:val="clear" w:color="auto" w:fill="CCCCCC"/>
            <w:vAlign w:val="bottom"/>
          </w:tcPr>
          <w:p w14:paraId="0389FF4E" w14:textId="77777777" w:rsidR="00785260" w:rsidRPr="00204066" w:rsidRDefault="00785260" w:rsidP="005D4154">
            <w:pPr>
              <w:pStyle w:val="NotesTable-Notes"/>
            </w:pPr>
          </w:p>
        </w:tc>
        <w:tc>
          <w:tcPr>
            <w:tcW w:w="406" w:type="pct"/>
            <w:tcBorders>
              <w:bottom w:val="single" w:sz="4" w:space="0" w:color="auto"/>
            </w:tcBorders>
            <w:shd w:val="clear" w:color="auto" w:fill="CCCCCC"/>
            <w:vAlign w:val="bottom"/>
          </w:tcPr>
          <w:p w14:paraId="0389FF4F" w14:textId="77777777" w:rsidR="00785260" w:rsidRPr="000352B7" w:rsidRDefault="00785260" w:rsidP="00606085">
            <w:pPr>
              <w:pStyle w:val="NotesTable-CellBold"/>
              <w:rPr>
                <w:b w:val="0"/>
              </w:rPr>
            </w:pPr>
            <w:r>
              <w:t>–</w:t>
            </w:r>
          </w:p>
        </w:tc>
        <w:tc>
          <w:tcPr>
            <w:tcW w:w="406" w:type="pct"/>
            <w:tcBorders>
              <w:bottom w:val="single" w:sz="4" w:space="0" w:color="auto"/>
            </w:tcBorders>
            <w:shd w:val="clear" w:color="auto" w:fill="CCCCCC"/>
            <w:vAlign w:val="bottom"/>
          </w:tcPr>
          <w:p w14:paraId="0389FF50" w14:textId="77777777" w:rsidR="00785260" w:rsidRPr="000352B7" w:rsidRDefault="00785260" w:rsidP="00606085">
            <w:pPr>
              <w:pStyle w:val="NotesTable-CellPlain"/>
              <w:rPr>
                <w:b/>
              </w:rPr>
            </w:pPr>
            <w:r>
              <w:t>–</w:t>
            </w:r>
          </w:p>
        </w:tc>
        <w:tc>
          <w:tcPr>
            <w:tcW w:w="406" w:type="pct"/>
            <w:tcBorders>
              <w:bottom w:val="single" w:sz="4" w:space="0" w:color="auto"/>
            </w:tcBorders>
            <w:shd w:val="clear" w:color="auto" w:fill="CCCCCC"/>
            <w:vAlign w:val="bottom"/>
          </w:tcPr>
          <w:p w14:paraId="0389FF51" w14:textId="77777777" w:rsidR="00785260" w:rsidRPr="000352B7" w:rsidRDefault="00785260" w:rsidP="00606085">
            <w:pPr>
              <w:pStyle w:val="NotesTable-CellBold"/>
              <w:rPr>
                <w:b w:val="0"/>
              </w:rPr>
            </w:pPr>
            <w:r>
              <w:t>–</w:t>
            </w:r>
          </w:p>
        </w:tc>
        <w:tc>
          <w:tcPr>
            <w:tcW w:w="406" w:type="pct"/>
            <w:tcBorders>
              <w:bottom w:val="single" w:sz="4" w:space="0" w:color="auto"/>
            </w:tcBorders>
            <w:shd w:val="clear" w:color="auto" w:fill="CCCCCC"/>
            <w:vAlign w:val="bottom"/>
          </w:tcPr>
          <w:p w14:paraId="0389FF52" w14:textId="77777777" w:rsidR="00785260" w:rsidRPr="000352B7" w:rsidRDefault="00785260" w:rsidP="00606085">
            <w:pPr>
              <w:pStyle w:val="NotesTable-CellPlain"/>
              <w:rPr>
                <w:b/>
              </w:rPr>
            </w:pPr>
            <w:r>
              <w:t>–</w:t>
            </w:r>
          </w:p>
        </w:tc>
      </w:tr>
      <w:tr w:rsidR="001F35AA" w14:paraId="0389FF5B" w14:textId="77777777" w:rsidTr="00FC61D5">
        <w:trPr>
          <w:trHeight w:hRule="exact" w:val="227"/>
        </w:trPr>
        <w:tc>
          <w:tcPr>
            <w:tcW w:w="810" w:type="pct"/>
            <w:vAlign w:val="center"/>
          </w:tcPr>
          <w:p w14:paraId="0389FF54" w14:textId="77777777" w:rsidR="00785260" w:rsidRDefault="00785260" w:rsidP="00D11709">
            <w:pPr>
              <w:pStyle w:val="Note-Refs"/>
            </w:pPr>
          </w:p>
        </w:tc>
        <w:tc>
          <w:tcPr>
            <w:tcW w:w="2297" w:type="pct"/>
            <w:shd w:val="clear" w:color="auto" w:fill="CCCCCC"/>
            <w:vAlign w:val="bottom"/>
          </w:tcPr>
          <w:p w14:paraId="0389FF55" w14:textId="77777777" w:rsidR="00785260" w:rsidRDefault="00785260" w:rsidP="00D11709">
            <w:pPr>
              <w:pStyle w:val="NotesTable-ItemPlain"/>
              <w:rPr>
                <w:b/>
                <w:bCs/>
                <w:i/>
              </w:rPr>
            </w:pPr>
            <w:r>
              <w:t>Total</w:t>
            </w:r>
          </w:p>
        </w:tc>
        <w:tc>
          <w:tcPr>
            <w:tcW w:w="270" w:type="pct"/>
            <w:shd w:val="clear" w:color="auto" w:fill="CCCCCC"/>
            <w:vAlign w:val="bottom"/>
          </w:tcPr>
          <w:p w14:paraId="0389FF56" w14:textId="77777777" w:rsidR="00785260" w:rsidRPr="00204066" w:rsidRDefault="00785260" w:rsidP="005D4154">
            <w:pPr>
              <w:pStyle w:val="NotesTable-Notes"/>
            </w:pPr>
          </w:p>
        </w:tc>
        <w:tc>
          <w:tcPr>
            <w:tcW w:w="406" w:type="pct"/>
            <w:tcBorders>
              <w:top w:val="single" w:sz="4" w:space="0" w:color="auto"/>
            </w:tcBorders>
            <w:shd w:val="clear" w:color="auto" w:fill="CCCCCC"/>
            <w:vAlign w:val="bottom"/>
          </w:tcPr>
          <w:p w14:paraId="0389FF57" w14:textId="77777777" w:rsidR="00785260" w:rsidRPr="000352B7" w:rsidRDefault="00785260" w:rsidP="00606085">
            <w:pPr>
              <w:pStyle w:val="NotesTable-CellBold"/>
              <w:rPr>
                <w:b w:val="0"/>
              </w:rPr>
            </w:pPr>
            <w:r>
              <w:t>–</w:t>
            </w:r>
          </w:p>
        </w:tc>
        <w:tc>
          <w:tcPr>
            <w:tcW w:w="406" w:type="pct"/>
            <w:tcBorders>
              <w:top w:val="single" w:sz="4" w:space="0" w:color="auto"/>
            </w:tcBorders>
            <w:shd w:val="clear" w:color="auto" w:fill="CCCCCC"/>
            <w:vAlign w:val="bottom"/>
          </w:tcPr>
          <w:p w14:paraId="0389FF58" w14:textId="77777777" w:rsidR="00785260" w:rsidRPr="000352B7" w:rsidRDefault="00785260" w:rsidP="00606085">
            <w:pPr>
              <w:pStyle w:val="NotesTable-CellPlain"/>
              <w:rPr>
                <w:b/>
              </w:rPr>
            </w:pPr>
            <w:r>
              <w:t>–</w:t>
            </w:r>
          </w:p>
        </w:tc>
        <w:tc>
          <w:tcPr>
            <w:tcW w:w="406" w:type="pct"/>
            <w:tcBorders>
              <w:top w:val="single" w:sz="4" w:space="0" w:color="auto"/>
            </w:tcBorders>
            <w:shd w:val="clear" w:color="auto" w:fill="CCCCCC"/>
            <w:vAlign w:val="bottom"/>
          </w:tcPr>
          <w:p w14:paraId="0389FF59" w14:textId="77777777" w:rsidR="00785260" w:rsidRPr="000352B7" w:rsidRDefault="00785260" w:rsidP="00606085">
            <w:pPr>
              <w:pStyle w:val="NotesTable-CellBold"/>
              <w:rPr>
                <w:b w:val="0"/>
              </w:rPr>
            </w:pPr>
            <w:r>
              <w:t>–</w:t>
            </w:r>
          </w:p>
        </w:tc>
        <w:tc>
          <w:tcPr>
            <w:tcW w:w="406" w:type="pct"/>
            <w:tcBorders>
              <w:top w:val="single" w:sz="4" w:space="0" w:color="auto"/>
            </w:tcBorders>
            <w:shd w:val="clear" w:color="auto" w:fill="CCCCCC"/>
            <w:vAlign w:val="bottom"/>
          </w:tcPr>
          <w:p w14:paraId="0389FF5A" w14:textId="77777777" w:rsidR="00785260" w:rsidRPr="000352B7" w:rsidRDefault="00785260" w:rsidP="00606085">
            <w:pPr>
              <w:pStyle w:val="NotesTable-CellPlain"/>
              <w:rPr>
                <w:b/>
              </w:rPr>
            </w:pPr>
            <w:r>
              <w:t>–</w:t>
            </w:r>
          </w:p>
        </w:tc>
      </w:tr>
      <w:tr w:rsidR="001F35AA" w14:paraId="0389FF63" w14:textId="77777777" w:rsidTr="00FC61D5">
        <w:trPr>
          <w:trHeight w:hRule="exact" w:val="227"/>
        </w:trPr>
        <w:tc>
          <w:tcPr>
            <w:tcW w:w="810" w:type="pct"/>
            <w:vAlign w:val="center"/>
          </w:tcPr>
          <w:p w14:paraId="0389FF5C" w14:textId="77777777" w:rsidR="00785260" w:rsidRDefault="00785260" w:rsidP="00D11709">
            <w:pPr>
              <w:pStyle w:val="Note-Refs"/>
            </w:pPr>
          </w:p>
        </w:tc>
        <w:tc>
          <w:tcPr>
            <w:tcW w:w="2297" w:type="pct"/>
            <w:shd w:val="clear" w:color="auto" w:fill="CCCCCC"/>
            <w:vAlign w:val="bottom"/>
          </w:tcPr>
          <w:p w14:paraId="0389FF5D" w14:textId="77777777" w:rsidR="00785260" w:rsidRPr="006408F7" w:rsidRDefault="00785260">
            <w:pPr>
              <w:pStyle w:val="NotesTable-ItemPlain"/>
            </w:pPr>
          </w:p>
        </w:tc>
        <w:tc>
          <w:tcPr>
            <w:tcW w:w="270" w:type="pct"/>
            <w:shd w:val="clear" w:color="auto" w:fill="CCCCCC"/>
            <w:vAlign w:val="bottom"/>
          </w:tcPr>
          <w:p w14:paraId="0389FF5E" w14:textId="77777777" w:rsidR="00785260" w:rsidRPr="00204066" w:rsidRDefault="00785260" w:rsidP="005D4154">
            <w:pPr>
              <w:pStyle w:val="NotesTable-Notes"/>
            </w:pPr>
          </w:p>
        </w:tc>
        <w:tc>
          <w:tcPr>
            <w:tcW w:w="406" w:type="pct"/>
            <w:shd w:val="clear" w:color="auto" w:fill="CCCCCC"/>
            <w:vAlign w:val="bottom"/>
          </w:tcPr>
          <w:p w14:paraId="0389FF5F" w14:textId="77777777" w:rsidR="00785260" w:rsidRDefault="00785260" w:rsidP="00451F7F">
            <w:pPr>
              <w:pStyle w:val="NotesTable-CellBold"/>
            </w:pPr>
          </w:p>
        </w:tc>
        <w:tc>
          <w:tcPr>
            <w:tcW w:w="406" w:type="pct"/>
            <w:shd w:val="clear" w:color="auto" w:fill="CCCCCC"/>
            <w:vAlign w:val="bottom"/>
          </w:tcPr>
          <w:p w14:paraId="0389FF60" w14:textId="77777777" w:rsidR="00785260" w:rsidRDefault="00785260" w:rsidP="00451F7F">
            <w:pPr>
              <w:pStyle w:val="NotesTable-CellPlain"/>
            </w:pPr>
          </w:p>
        </w:tc>
        <w:tc>
          <w:tcPr>
            <w:tcW w:w="406" w:type="pct"/>
            <w:shd w:val="clear" w:color="auto" w:fill="CCCCCC"/>
            <w:vAlign w:val="bottom"/>
          </w:tcPr>
          <w:p w14:paraId="0389FF61" w14:textId="77777777" w:rsidR="00785260" w:rsidRDefault="00785260" w:rsidP="00451F7F">
            <w:pPr>
              <w:pStyle w:val="NotesTable-CellBold"/>
            </w:pPr>
          </w:p>
        </w:tc>
        <w:tc>
          <w:tcPr>
            <w:tcW w:w="406" w:type="pct"/>
            <w:shd w:val="clear" w:color="auto" w:fill="CCCCCC"/>
            <w:vAlign w:val="bottom"/>
          </w:tcPr>
          <w:p w14:paraId="0389FF62" w14:textId="77777777" w:rsidR="00785260" w:rsidRDefault="00785260" w:rsidP="00451F7F">
            <w:pPr>
              <w:pStyle w:val="NotesTable-CellPlain"/>
            </w:pPr>
          </w:p>
        </w:tc>
      </w:tr>
      <w:tr w:rsidR="00AB2871" w14:paraId="0389FF6B" w14:textId="77777777" w:rsidTr="00FC61D5">
        <w:trPr>
          <w:trHeight w:val="227"/>
        </w:trPr>
        <w:tc>
          <w:tcPr>
            <w:tcW w:w="810" w:type="pct"/>
            <w:vAlign w:val="center"/>
          </w:tcPr>
          <w:p w14:paraId="0389FF64" w14:textId="77777777" w:rsidR="00AB2871" w:rsidRDefault="00AB2871" w:rsidP="00D11709">
            <w:pPr>
              <w:pStyle w:val="Note-Refs"/>
            </w:pPr>
          </w:p>
        </w:tc>
        <w:tc>
          <w:tcPr>
            <w:tcW w:w="2297" w:type="pct"/>
            <w:shd w:val="clear" w:color="auto" w:fill="CCCCCC"/>
            <w:vAlign w:val="bottom"/>
          </w:tcPr>
          <w:p w14:paraId="0389FF65" w14:textId="3DB0352A" w:rsidR="00AB2871" w:rsidRPr="006408F7" w:rsidRDefault="00AB2871">
            <w:pPr>
              <w:pStyle w:val="Statement-ItemBold"/>
            </w:pPr>
            <w:r w:rsidRPr="00E30A25">
              <w:t xml:space="preserve">Total </w:t>
            </w:r>
            <w:r w:rsidR="00124EA6">
              <w:t>c</w:t>
            </w:r>
            <w:r w:rsidRPr="00E30A25">
              <w:t xml:space="preserve">omprehensive income attributable to members </w:t>
            </w:r>
            <w:r>
              <w:t xml:space="preserve">from: </w:t>
            </w:r>
          </w:p>
        </w:tc>
        <w:tc>
          <w:tcPr>
            <w:tcW w:w="270" w:type="pct"/>
            <w:shd w:val="clear" w:color="auto" w:fill="CCCCCC"/>
            <w:vAlign w:val="bottom"/>
          </w:tcPr>
          <w:p w14:paraId="0389FF66" w14:textId="77777777" w:rsidR="00AB2871" w:rsidRPr="00204066" w:rsidRDefault="00AB2871" w:rsidP="005D4154">
            <w:pPr>
              <w:pStyle w:val="NotesTable-Notes"/>
            </w:pPr>
          </w:p>
        </w:tc>
        <w:tc>
          <w:tcPr>
            <w:tcW w:w="406" w:type="pct"/>
            <w:shd w:val="clear" w:color="auto" w:fill="CCCCCC"/>
            <w:vAlign w:val="bottom"/>
          </w:tcPr>
          <w:p w14:paraId="0389FF67" w14:textId="77777777" w:rsidR="00AB2871" w:rsidRDefault="00AB2871" w:rsidP="00451F7F">
            <w:pPr>
              <w:pStyle w:val="NotesTable-CellBold"/>
            </w:pPr>
          </w:p>
        </w:tc>
        <w:tc>
          <w:tcPr>
            <w:tcW w:w="406" w:type="pct"/>
            <w:shd w:val="clear" w:color="auto" w:fill="CCCCCC"/>
            <w:vAlign w:val="bottom"/>
          </w:tcPr>
          <w:p w14:paraId="0389FF68" w14:textId="77777777" w:rsidR="00AB2871" w:rsidRDefault="00AB2871" w:rsidP="00451F7F">
            <w:pPr>
              <w:pStyle w:val="NotesTable-CellPlain"/>
            </w:pPr>
          </w:p>
        </w:tc>
        <w:tc>
          <w:tcPr>
            <w:tcW w:w="406" w:type="pct"/>
            <w:shd w:val="clear" w:color="auto" w:fill="CCCCCC"/>
            <w:vAlign w:val="bottom"/>
          </w:tcPr>
          <w:p w14:paraId="0389FF69" w14:textId="77777777" w:rsidR="00AB2871" w:rsidRDefault="00AB2871" w:rsidP="00451F7F">
            <w:pPr>
              <w:pStyle w:val="NotesTable-CellBold"/>
            </w:pPr>
          </w:p>
        </w:tc>
        <w:tc>
          <w:tcPr>
            <w:tcW w:w="406" w:type="pct"/>
            <w:shd w:val="clear" w:color="auto" w:fill="CCCCCC"/>
            <w:vAlign w:val="bottom"/>
          </w:tcPr>
          <w:p w14:paraId="0389FF6A" w14:textId="77777777" w:rsidR="00AB2871" w:rsidRDefault="00AB2871" w:rsidP="00451F7F">
            <w:pPr>
              <w:pStyle w:val="NotesTable-CellPlain"/>
            </w:pPr>
          </w:p>
        </w:tc>
      </w:tr>
      <w:tr w:rsidR="00AB2871" w14:paraId="0389FF73" w14:textId="77777777" w:rsidTr="00FC61D5">
        <w:trPr>
          <w:trHeight w:hRule="exact" w:val="227"/>
        </w:trPr>
        <w:tc>
          <w:tcPr>
            <w:tcW w:w="810" w:type="pct"/>
            <w:vAlign w:val="center"/>
          </w:tcPr>
          <w:p w14:paraId="0389FF6C" w14:textId="77777777" w:rsidR="00AB2871" w:rsidRDefault="00AB2871" w:rsidP="00D11709">
            <w:pPr>
              <w:pStyle w:val="Note-Refs"/>
            </w:pPr>
          </w:p>
        </w:tc>
        <w:tc>
          <w:tcPr>
            <w:tcW w:w="2297" w:type="pct"/>
            <w:shd w:val="clear" w:color="auto" w:fill="CCCCCC"/>
            <w:vAlign w:val="bottom"/>
          </w:tcPr>
          <w:p w14:paraId="0389FF6D" w14:textId="77777777" w:rsidR="00AB2871" w:rsidRPr="006408F7" w:rsidRDefault="00AB2871" w:rsidP="00D11709">
            <w:pPr>
              <w:pStyle w:val="NotesTable-ItemPlain"/>
            </w:pPr>
            <w:r>
              <w:t>Continuing operations</w:t>
            </w:r>
          </w:p>
        </w:tc>
        <w:tc>
          <w:tcPr>
            <w:tcW w:w="270" w:type="pct"/>
            <w:shd w:val="clear" w:color="auto" w:fill="CCCCCC"/>
            <w:vAlign w:val="bottom"/>
          </w:tcPr>
          <w:p w14:paraId="0389FF6E" w14:textId="77777777" w:rsidR="00AB2871" w:rsidRPr="00204066" w:rsidRDefault="00AB2871" w:rsidP="005D4154">
            <w:pPr>
              <w:pStyle w:val="NotesTable-Notes"/>
            </w:pPr>
          </w:p>
        </w:tc>
        <w:tc>
          <w:tcPr>
            <w:tcW w:w="406" w:type="pct"/>
            <w:shd w:val="clear" w:color="auto" w:fill="CCCCCC"/>
            <w:vAlign w:val="bottom"/>
          </w:tcPr>
          <w:p w14:paraId="0389FF6F" w14:textId="77777777" w:rsidR="00AB2871" w:rsidRDefault="00AB2871" w:rsidP="00451F7F">
            <w:pPr>
              <w:pStyle w:val="NotesTable-CellBold"/>
            </w:pPr>
            <w:r>
              <w:t>–</w:t>
            </w:r>
          </w:p>
        </w:tc>
        <w:tc>
          <w:tcPr>
            <w:tcW w:w="406" w:type="pct"/>
            <w:shd w:val="clear" w:color="auto" w:fill="CCCCCC"/>
            <w:vAlign w:val="bottom"/>
          </w:tcPr>
          <w:p w14:paraId="0389FF70" w14:textId="77777777" w:rsidR="00AB2871" w:rsidRDefault="00AB2871" w:rsidP="00451F7F">
            <w:pPr>
              <w:pStyle w:val="NotesTable-CellPlain"/>
            </w:pPr>
            <w:r>
              <w:t>–</w:t>
            </w:r>
          </w:p>
        </w:tc>
        <w:tc>
          <w:tcPr>
            <w:tcW w:w="406" w:type="pct"/>
            <w:shd w:val="clear" w:color="auto" w:fill="CCCCCC"/>
            <w:vAlign w:val="bottom"/>
          </w:tcPr>
          <w:p w14:paraId="0389FF71" w14:textId="77777777" w:rsidR="00AB2871" w:rsidRDefault="00AB2871" w:rsidP="00451F7F">
            <w:pPr>
              <w:pStyle w:val="NotesTable-CellBold"/>
            </w:pPr>
            <w:r>
              <w:t>–</w:t>
            </w:r>
          </w:p>
        </w:tc>
        <w:tc>
          <w:tcPr>
            <w:tcW w:w="406" w:type="pct"/>
            <w:shd w:val="clear" w:color="auto" w:fill="CCCCCC"/>
            <w:vAlign w:val="bottom"/>
          </w:tcPr>
          <w:p w14:paraId="0389FF72" w14:textId="77777777" w:rsidR="00AB2871" w:rsidRDefault="00AB2871" w:rsidP="00451F7F">
            <w:pPr>
              <w:pStyle w:val="NotesTable-CellPlain"/>
            </w:pPr>
            <w:r>
              <w:t>–</w:t>
            </w:r>
          </w:p>
        </w:tc>
      </w:tr>
      <w:tr w:rsidR="00AB2871" w14:paraId="0389FF7B" w14:textId="77777777" w:rsidTr="00FC61D5">
        <w:trPr>
          <w:trHeight w:hRule="exact" w:val="227"/>
        </w:trPr>
        <w:tc>
          <w:tcPr>
            <w:tcW w:w="810" w:type="pct"/>
            <w:vAlign w:val="center"/>
          </w:tcPr>
          <w:p w14:paraId="0389FF74" w14:textId="77777777" w:rsidR="00AB2871" w:rsidRDefault="00E30A25" w:rsidP="00D11709">
            <w:pPr>
              <w:pStyle w:val="Note-Refs"/>
            </w:pPr>
            <w:r>
              <w:t>AASB101.82ea</w:t>
            </w:r>
          </w:p>
        </w:tc>
        <w:tc>
          <w:tcPr>
            <w:tcW w:w="2297" w:type="pct"/>
            <w:shd w:val="clear" w:color="auto" w:fill="CCCCCC"/>
            <w:vAlign w:val="bottom"/>
          </w:tcPr>
          <w:p w14:paraId="0389FF75" w14:textId="77777777" w:rsidR="00AB2871" w:rsidRPr="006408F7" w:rsidRDefault="00AB2871" w:rsidP="00D11709">
            <w:pPr>
              <w:pStyle w:val="NotesTable-ItemPlain"/>
            </w:pPr>
            <w:r>
              <w:t>Discontinued operations</w:t>
            </w:r>
          </w:p>
        </w:tc>
        <w:tc>
          <w:tcPr>
            <w:tcW w:w="270" w:type="pct"/>
            <w:shd w:val="clear" w:color="auto" w:fill="CCCCCC"/>
            <w:vAlign w:val="bottom"/>
          </w:tcPr>
          <w:p w14:paraId="0389FF76" w14:textId="77777777" w:rsidR="00AB2871" w:rsidRPr="00204066" w:rsidRDefault="00AB2871" w:rsidP="005D4154">
            <w:pPr>
              <w:pStyle w:val="NotesTable-Notes"/>
            </w:pPr>
          </w:p>
        </w:tc>
        <w:tc>
          <w:tcPr>
            <w:tcW w:w="406" w:type="pct"/>
            <w:tcBorders>
              <w:bottom w:val="single" w:sz="4" w:space="0" w:color="auto"/>
            </w:tcBorders>
            <w:shd w:val="clear" w:color="auto" w:fill="CCCCCC"/>
            <w:vAlign w:val="bottom"/>
          </w:tcPr>
          <w:p w14:paraId="0389FF77" w14:textId="77777777" w:rsidR="00AB2871" w:rsidRDefault="00AB2871" w:rsidP="00451F7F">
            <w:pPr>
              <w:pStyle w:val="NotesTable-CellBold"/>
            </w:pPr>
            <w:r>
              <w:t>–</w:t>
            </w:r>
          </w:p>
        </w:tc>
        <w:tc>
          <w:tcPr>
            <w:tcW w:w="406" w:type="pct"/>
            <w:tcBorders>
              <w:bottom w:val="single" w:sz="4" w:space="0" w:color="auto"/>
            </w:tcBorders>
            <w:shd w:val="clear" w:color="auto" w:fill="CCCCCC"/>
            <w:vAlign w:val="bottom"/>
          </w:tcPr>
          <w:p w14:paraId="0389FF78" w14:textId="77777777" w:rsidR="00AB2871" w:rsidRDefault="00AB2871" w:rsidP="00451F7F">
            <w:pPr>
              <w:pStyle w:val="NotesTable-CellPlain"/>
            </w:pPr>
            <w:r>
              <w:t>–</w:t>
            </w:r>
          </w:p>
        </w:tc>
        <w:tc>
          <w:tcPr>
            <w:tcW w:w="406" w:type="pct"/>
            <w:tcBorders>
              <w:bottom w:val="single" w:sz="4" w:space="0" w:color="auto"/>
            </w:tcBorders>
            <w:shd w:val="clear" w:color="auto" w:fill="CCCCCC"/>
            <w:vAlign w:val="bottom"/>
          </w:tcPr>
          <w:p w14:paraId="0389FF79" w14:textId="77777777" w:rsidR="00AB2871" w:rsidRDefault="00AB2871" w:rsidP="00451F7F">
            <w:pPr>
              <w:pStyle w:val="NotesTable-CellBold"/>
            </w:pPr>
            <w:r>
              <w:t>–</w:t>
            </w:r>
          </w:p>
        </w:tc>
        <w:tc>
          <w:tcPr>
            <w:tcW w:w="406" w:type="pct"/>
            <w:tcBorders>
              <w:bottom w:val="single" w:sz="4" w:space="0" w:color="auto"/>
            </w:tcBorders>
            <w:shd w:val="clear" w:color="auto" w:fill="CCCCCC"/>
            <w:vAlign w:val="bottom"/>
          </w:tcPr>
          <w:p w14:paraId="0389FF7A" w14:textId="77777777" w:rsidR="00AB2871" w:rsidRDefault="00AB2871" w:rsidP="00451F7F">
            <w:pPr>
              <w:pStyle w:val="NotesTable-CellPlain"/>
            </w:pPr>
            <w:r>
              <w:t>–</w:t>
            </w:r>
          </w:p>
        </w:tc>
      </w:tr>
      <w:tr w:rsidR="00AB2871" w14:paraId="0389FF83" w14:textId="77777777" w:rsidTr="00FC61D5">
        <w:trPr>
          <w:trHeight w:hRule="exact" w:val="227"/>
        </w:trPr>
        <w:tc>
          <w:tcPr>
            <w:tcW w:w="810" w:type="pct"/>
            <w:vAlign w:val="center"/>
          </w:tcPr>
          <w:p w14:paraId="0389FF7C" w14:textId="77777777" w:rsidR="00AB2871" w:rsidRDefault="00AB2871" w:rsidP="00D11709">
            <w:pPr>
              <w:pStyle w:val="Note-Refs"/>
            </w:pPr>
          </w:p>
        </w:tc>
        <w:tc>
          <w:tcPr>
            <w:tcW w:w="2297" w:type="pct"/>
            <w:shd w:val="clear" w:color="auto" w:fill="CCCCCC"/>
            <w:vAlign w:val="bottom"/>
          </w:tcPr>
          <w:p w14:paraId="0389FF7D" w14:textId="77777777" w:rsidR="00AB2871" w:rsidRPr="006408F7" w:rsidRDefault="00AB2871" w:rsidP="00D11709">
            <w:pPr>
              <w:pStyle w:val="NotesTable-ItemPlain"/>
            </w:pPr>
            <w:r>
              <w:t>Total</w:t>
            </w:r>
          </w:p>
        </w:tc>
        <w:tc>
          <w:tcPr>
            <w:tcW w:w="270" w:type="pct"/>
            <w:shd w:val="clear" w:color="auto" w:fill="CCCCCC"/>
            <w:vAlign w:val="bottom"/>
          </w:tcPr>
          <w:p w14:paraId="0389FF7E" w14:textId="77777777" w:rsidR="00AB2871" w:rsidRPr="00204066" w:rsidRDefault="00AB2871" w:rsidP="005D4154">
            <w:pPr>
              <w:pStyle w:val="NotesTable-Notes"/>
            </w:pPr>
          </w:p>
        </w:tc>
        <w:tc>
          <w:tcPr>
            <w:tcW w:w="406" w:type="pct"/>
            <w:tcBorders>
              <w:top w:val="single" w:sz="4" w:space="0" w:color="auto"/>
            </w:tcBorders>
            <w:shd w:val="clear" w:color="auto" w:fill="CCCCCC"/>
            <w:vAlign w:val="bottom"/>
          </w:tcPr>
          <w:p w14:paraId="0389FF7F" w14:textId="77777777" w:rsidR="00AB2871" w:rsidRDefault="00AB2871" w:rsidP="00451F7F">
            <w:pPr>
              <w:pStyle w:val="NotesTable-CellBold"/>
            </w:pPr>
            <w:r>
              <w:t>–</w:t>
            </w:r>
          </w:p>
        </w:tc>
        <w:tc>
          <w:tcPr>
            <w:tcW w:w="406" w:type="pct"/>
            <w:tcBorders>
              <w:top w:val="single" w:sz="4" w:space="0" w:color="auto"/>
            </w:tcBorders>
            <w:shd w:val="clear" w:color="auto" w:fill="CCCCCC"/>
            <w:vAlign w:val="bottom"/>
          </w:tcPr>
          <w:p w14:paraId="0389FF80" w14:textId="77777777" w:rsidR="00AB2871" w:rsidRDefault="00AB2871" w:rsidP="00451F7F">
            <w:pPr>
              <w:pStyle w:val="NotesTable-CellPlain"/>
            </w:pPr>
            <w:r>
              <w:t>–</w:t>
            </w:r>
          </w:p>
        </w:tc>
        <w:tc>
          <w:tcPr>
            <w:tcW w:w="406" w:type="pct"/>
            <w:tcBorders>
              <w:top w:val="single" w:sz="4" w:space="0" w:color="auto"/>
            </w:tcBorders>
            <w:shd w:val="clear" w:color="auto" w:fill="CCCCCC"/>
            <w:vAlign w:val="bottom"/>
          </w:tcPr>
          <w:p w14:paraId="0389FF81" w14:textId="77777777" w:rsidR="00AB2871" w:rsidRDefault="00AB2871" w:rsidP="00451F7F">
            <w:pPr>
              <w:pStyle w:val="NotesTable-CellBold"/>
            </w:pPr>
            <w:r>
              <w:t>–</w:t>
            </w:r>
          </w:p>
        </w:tc>
        <w:tc>
          <w:tcPr>
            <w:tcW w:w="406" w:type="pct"/>
            <w:tcBorders>
              <w:top w:val="single" w:sz="4" w:space="0" w:color="auto"/>
            </w:tcBorders>
            <w:shd w:val="clear" w:color="auto" w:fill="CCCCCC"/>
            <w:vAlign w:val="bottom"/>
          </w:tcPr>
          <w:p w14:paraId="0389FF82" w14:textId="77777777" w:rsidR="00AB2871" w:rsidRDefault="00AB2871" w:rsidP="00451F7F">
            <w:pPr>
              <w:pStyle w:val="NotesTable-CellPlain"/>
            </w:pPr>
            <w:r>
              <w:t>–</w:t>
            </w:r>
          </w:p>
        </w:tc>
      </w:tr>
      <w:tr w:rsidR="003C6DA1" w14:paraId="0389FF8B" w14:textId="77777777" w:rsidTr="00FC61D5">
        <w:trPr>
          <w:trHeight w:hRule="exact" w:val="227"/>
        </w:trPr>
        <w:tc>
          <w:tcPr>
            <w:tcW w:w="810" w:type="pct"/>
            <w:vAlign w:val="center"/>
          </w:tcPr>
          <w:p w14:paraId="0389FF84" w14:textId="77777777" w:rsidR="003C6DA1" w:rsidRDefault="003C6DA1" w:rsidP="00D11709">
            <w:pPr>
              <w:pStyle w:val="Note-Refs"/>
            </w:pPr>
          </w:p>
        </w:tc>
        <w:tc>
          <w:tcPr>
            <w:tcW w:w="2297" w:type="pct"/>
            <w:shd w:val="clear" w:color="auto" w:fill="CCCCCC"/>
            <w:vAlign w:val="bottom"/>
          </w:tcPr>
          <w:p w14:paraId="0389FF85" w14:textId="77777777" w:rsidR="003C6DA1" w:rsidRPr="006408F7" w:rsidRDefault="003C6DA1">
            <w:pPr>
              <w:pStyle w:val="NotesTable-ItemPlain"/>
            </w:pPr>
          </w:p>
        </w:tc>
        <w:tc>
          <w:tcPr>
            <w:tcW w:w="270" w:type="pct"/>
            <w:shd w:val="clear" w:color="auto" w:fill="CCCCCC"/>
            <w:vAlign w:val="bottom"/>
          </w:tcPr>
          <w:p w14:paraId="0389FF86" w14:textId="77777777" w:rsidR="003C6DA1" w:rsidRPr="00204066" w:rsidRDefault="003C6DA1" w:rsidP="005D4154">
            <w:pPr>
              <w:pStyle w:val="NotesTable-Notes"/>
            </w:pPr>
          </w:p>
        </w:tc>
        <w:tc>
          <w:tcPr>
            <w:tcW w:w="406" w:type="pct"/>
            <w:shd w:val="clear" w:color="auto" w:fill="CCCCCC"/>
            <w:vAlign w:val="bottom"/>
          </w:tcPr>
          <w:p w14:paraId="0389FF87" w14:textId="77777777" w:rsidR="003C6DA1" w:rsidRDefault="003C6DA1" w:rsidP="00451F7F">
            <w:pPr>
              <w:pStyle w:val="NotesTable-CellBold"/>
            </w:pPr>
          </w:p>
        </w:tc>
        <w:tc>
          <w:tcPr>
            <w:tcW w:w="406" w:type="pct"/>
            <w:shd w:val="clear" w:color="auto" w:fill="CCCCCC"/>
            <w:vAlign w:val="bottom"/>
          </w:tcPr>
          <w:p w14:paraId="0389FF88" w14:textId="77777777" w:rsidR="003C6DA1" w:rsidRDefault="003C6DA1" w:rsidP="00451F7F">
            <w:pPr>
              <w:pStyle w:val="NotesTable-CellPlain"/>
            </w:pPr>
          </w:p>
        </w:tc>
        <w:tc>
          <w:tcPr>
            <w:tcW w:w="406" w:type="pct"/>
            <w:shd w:val="clear" w:color="auto" w:fill="CCCCCC"/>
            <w:vAlign w:val="bottom"/>
          </w:tcPr>
          <w:p w14:paraId="0389FF89" w14:textId="77777777" w:rsidR="003C6DA1" w:rsidRDefault="003C6DA1" w:rsidP="00451F7F">
            <w:pPr>
              <w:pStyle w:val="NotesTable-CellBold"/>
            </w:pPr>
          </w:p>
        </w:tc>
        <w:tc>
          <w:tcPr>
            <w:tcW w:w="406" w:type="pct"/>
            <w:shd w:val="clear" w:color="auto" w:fill="CCCCCC"/>
            <w:vAlign w:val="bottom"/>
          </w:tcPr>
          <w:p w14:paraId="0389FF8A" w14:textId="77777777" w:rsidR="003C6DA1" w:rsidRDefault="003C6DA1" w:rsidP="00451F7F">
            <w:pPr>
              <w:pStyle w:val="NotesTable-CellPlain"/>
            </w:pPr>
          </w:p>
        </w:tc>
      </w:tr>
      <w:tr w:rsidR="00785260" w14:paraId="0389FF8E" w14:textId="77777777" w:rsidTr="00FC61D5">
        <w:trPr>
          <w:trHeight w:hRule="exact" w:val="454"/>
        </w:trPr>
        <w:tc>
          <w:tcPr>
            <w:tcW w:w="810" w:type="pct"/>
            <w:vAlign w:val="center"/>
          </w:tcPr>
          <w:p w14:paraId="0389FF8C" w14:textId="77777777" w:rsidR="00785260" w:rsidRDefault="00785260" w:rsidP="00D11709">
            <w:pPr>
              <w:pStyle w:val="Note-Refs"/>
            </w:pPr>
          </w:p>
        </w:tc>
        <w:tc>
          <w:tcPr>
            <w:tcW w:w="4190" w:type="pct"/>
            <w:gridSpan w:val="6"/>
            <w:shd w:val="clear" w:color="auto" w:fill="CCCCCC"/>
            <w:vAlign w:val="center"/>
          </w:tcPr>
          <w:p w14:paraId="0389FF8D" w14:textId="77777777" w:rsidR="00785260" w:rsidRPr="00695024" w:rsidRDefault="00785260" w:rsidP="00D11709">
            <w:pPr>
              <w:pStyle w:val="NotesTable-ItemPlain"/>
              <w:rPr>
                <w:b/>
              </w:rPr>
            </w:pPr>
            <w:r w:rsidRPr="00695024">
              <w:t>The above statement of comprehensive income should be read in conjunction with the accompanying notes.</w:t>
            </w:r>
          </w:p>
        </w:tc>
      </w:tr>
    </w:tbl>
    <w:p w14:paraId="0389FF8F" w14:textId="77777777" w:rsidR="00B03A79" w:rsidRPr="000B02BD" w:rsidRDefault="00EF7E08" w:rsidP="000B02BD">
      <w:r>
        <w:br w:type="page"/>
      </w:r>
    </w:p>
    <w:p w14:paraId="5D3A81F6" w14:textId="7870971C" w:rsidR="00EC772D" w:rsidRPr="00154EB5" w:rsidRDefault="00EC772D" w:rsidP="001A5D4A">
      <w:pPr>
        <w:pStyle w:val="Heading2"/>
        <w:rPr>
          <w:color w:val="2D3E7B" w:themeColor="text2" w:themeShade="BF"/>
        </w:rPr>
      </w:pPr>
      <w:bookmarkStart w:id="172" w:name="_Toc410807595"/>
      <w:bookmarkStart w:id="173" w:name="_Toc410822645"/>
      <w:bookmarkStart w:id="174" w:name="_Toc410823804"/>
      <w:bookmarkStart w:id="175" w:name="_Toc410825040"/>
      <w:bookmarkStart w:id="176" w:name="_Toc410825190"/>
      <w:r w:rsidRPr="00154EB5">
        <w:rPr>
          <w:color w:val="2D3E7B" w:themeColor="text2" w:themeShade="BF"/>
        </w:rPr>
        <w:lastRenderedPageBreak/>
        <w:t>Commentary - Income statement and statement of comprehensive income</w:t>
      </w:r>
      <w:bookmarkEnd w:id="172"/>
      <w:bookmarkEnd w:id="173"/>
      <w:bookmarkEnd w:id="174"/>
      <w:bookmarkEnd w:id="175"/>
      <w:bookmarkEnd w:id="176"/>
    </w:p>
    <w:p w14:paraId="4040CB1D" w14:textId="77777777" w:rsidR="00EC772D" w:rsidRPr="00AF68BD" w:rsidRDefault="00EC772D" w:rsidP="001A5D4A">
      <w:pPr>
        <w:pStyle w:val="Heading3"/>
        <w:rPr>
          <w:color w:val="2D3E7B" w:themeColor="text2" w:themeShade="BF"/>
        </w:rPr>
      </w:pPr>
      <w:r w:rsidRPr="00154EB5">
        <w:rPr>
          <w:color w:val="2D3E7B" w:themeColor="text2" w:themeShade="BF"/>
        </w:rPr>
        <w:t xml:space="preserve">Accounting standard for the income statement and statement of </w:t>
      </w:r>
      <w:r w:rsidRPr="00AF68BD">
        <w:rPr>
          <w:color w:val="2D3E7B" w:themeColor="text2" w:themeShade="BF"/>
        </w:rPr>
        <w:t>comprehensive income</w:t>
      </w:r>
    </w:p>
    <w:p w14:paraId="10BCE218" w14:textId="77777777" w:rsidR="00EC772D" w:rsidRPr="00AF68BD" w:rsidRDefault="00EC772D" w:rsidP="009304CF">
      <w:pPr>
        <w:pStyle w:val="Heading6"/>
      </w:pPr>
      <w:r w:rsidRPr="00AF68BD">
        <w:t>AASB101.Aus1.1</w:t>
      </w:r>
    </w:p>
    <w:p w14:paraId="393A5BEE" w14:textId="77777777" w:rsidR="00EC772D" w:rsidRPr="00AF68BD" w:rsidRDefault="00EC772D" w:rsidP="001A5D4A">
      <w:pPr>
        <w:rPr>
          <w:color w:val="2D3E7B" w:themeColor="text2" w:themeShade="BF"/>
          <w:szCs w:val="22"/>
        </w:rPr>
      </w:pPr>
      <w:r w:rsidRPr="00AF68BD">
        <w:rPr>
          <w:color w:val="2D3E7B" w:themeColor="text2" w:themeShade="BF"/>
          <w:szCs w:val="22"/>
        </w:rPr>
        <w:t xml:space="preserve">Requirements for the income statement and statement of comprehensive income are set out in AASB101 </w:t>
      </w:r>
      <w:r w:rsidRPr="00FF2B14">
        <w:rPr>
          <w:i/>
          <w:color w:val="2D3E7B" w:themeColor="text2" w:themeShade="BF"/>
          <w:szCs w:val="22"/>
        </w:rPr>
        <w:t>Presentation of Financial Statements</w:t>
      </w:r>
      <w:r w:rsidRPr="00AF68BD">
        <w:rPr>
          <w:color w:val="2D3E7B" w:themeColor="text2" w:themeShade="BF"/>
          <w:szCs w:val="22"/>
        </w:rPr>
        <w:t xml:space="preserve">. The standard applies to each entity that is required to prepare financial reports in accordance with Part 2M.3 of the </w:t>
      </w:r>
      <w:r w:rsidRPr="00FF2B14">
        <w:rPr>
          <w:i/>
          <w:color w:val="2D3E7B" w:themeColor="text2" w:themeShade="BF"/>
          <w:szCs w:val="22"/>
        </w:rPr>
        <w:t>Corporations Act 2001</w:t>
      </w:r>
      <w:r w:rsidRPr="00AF68BD">
        <w:rPr>
          <w:color w:val="2D3E7B" w:themeColor="text2" w:themeShade="BF"/>
          <w:szCs w:val="22"/>
        </w:rPr>
        <w:t xml:space="preserve">, general purpose financial reports of each reporting entity, and to financial reports that are, or are held out to be, general purpose financial reports. </w:t>
      </w:r>
    </w:p>
    <w:p w14:paraId="5B4C99F7" w14:textId="77777777" w:rsidR="00EC772D" w:rsidRPr="00AF68BD" w:rsidRDefault="00EC772D" w:rsidP="001A5D4A">
      <w:pPr>
        <w:pStyle w:val="Heading3"/>
        <w:rPr>
          <w:color w:val="2D3E7B" w:themeColor="text2" w:themeShade="BF"/>
        </w:rPr>
      </w:pPr>
      <w:r w:rsidRPr="00AF68BD">
        <w:rPr>
          <w:color w:val="2D3E7B" w:themeColor="text2" w:themeShade="BF"/>
        </w:rPr>
        <w:t>Single Statement of Comprehensive Income</w:t>
      </w:r>
    </w:p>
    <w:p w14:paraId="476ECDF8" w14:textId="77777777" w:rsidR="00EC772D" w:rsidRPr="00AF68BD" w:rsidRDefault="00EC772D" w:rsidP="001A5D4A">
      <w:pPr>
        <w:rPr>
          <w:color w:val="2D3E7B" w:themeColor="text2" w:themeShade="BF"/>
          <w:szCs w:val="22"/>
        </w:rPr>
      </w:pPr>
      <w:r w:rsidRPr="00AF68BD">
        <w:rPr>
          <w:color w:val="2D3E7B" w:themeColor="text2" w:themeShade="BF"/>
          <w:szCs w:val="22"/>
        </w:rPr>
        <w:t>In accordance with AASB101 entities may elect to use a single statement of comprehensive income rather than the suggested separate income statement and statement of comprehensive income. Entities adopting the single statement of comprehensive income must transfer all items included in the income statement to the statement of comprehensive income. Additionally, entities adopting this approach must highlight the item “Net result after income tax for the period” such that it stands out from other highlighted lines.</w:t>
      </w:r>
    </w:p>
    <w:p w14:paraId="35CE14F8" w14:textId="77777777" w:rsidR="00EC772D" w:rsidRPr="00AF68BD" w:rsidRDefault="00EC772D" w:rsidP="001A5D4A">
      <w:pPr>
        <w:pStyle w:val="Heading3"/>
        <w:rPr>
          <w:color w:val="2D3E7B" w:themeColor="text2" w:themeShade="BF"/>
        </w:rPr>
      </w:pPr>
      <w:r w:rsidRPr="00AF68BD">
        <w:rPr>
          <w:color w:val="2D3E7B" w:themeColor="text2" w:themeShade="BF"/>
        </w:rPr>
        <w:t>On the face of the statement of comprehensive income</w:t>
      </w:r>
    </w:p>
    <w:p w14:paraId="3E073653" w14:textId="77777777" w:rsidR="00EC772D" w:rsidRPr="00AF68BD" w:rsidRDefault="00EC772D" w:rsidP="009304CF">
      <w:pPr>
        <w:pStyle w:val="Heading6"/>
      </w:pPr>
      <w:r w:rsidRPr="00AF68BD">
        <w:t>AASB101.82</w:t>
      </w:r>
    </w:p>
    <w:p w14:paraId="35BBEBE3" w14:textId="77777777" w:rsidR="00EC772D" w:rsidRPr="00AF68BD" w:rsidRDefault="00EC772D" w:rsidP="001A5D4A">
      <w:pPr>
        <w:rPr>
          <w:color w:val="2D3E7B" w:themeColor="text2" w:themeShade="BF"/>
          <w:szCs w:val="22"/>
        </w:rPr>
      </w:pPr>
      <w:r w:rsidRPr="00AF68BD">
        <w:rPr>
          <w:color w:val="2D3E7B" w:themeColor="text2" w:themeShade="BF"/>
          <w:szCs w:val="22"/>
        </w:rPr>
        <w:t>As a minimum, the statement of profit or loss or the profit or loss section in the statement of comprehensive income shall include line items that present the following amounts for the period:</w:t>
      </w:r>
    </w:p>
    <w:p w14:paraId="3373BB9E" w14:textId="4697CBC4" w:rsidR="00EC772D" w:rsidRPr="00AF68BD" w:rsidRDefault="00DC7133" w:rsidP="008E1D9C">
      <w:pPr>
        <w:pStyle w:val="ListParagraph"/>
        <w:numPr>
          <w:ilvl w:val="0"/>
          <w:numId w:val="12"/>
        </w:numPr>
        <w:ind w:left="340" w:hanging="340"/>
        <w:rPr>
          <w:color w:val="2D3E7B" w:themeColor="text2" w:themeShade="BF"/>
          <w:szCs w:val="22"/>
        </w:rPr>
      </w:pPr>
      <w:r w:rsidRPr="00AF68BD">
        <w:rPr>
          <w:color w:val="2D3E7B" w:themeColor="text2" w:themeShade="BF"/>
          <w:szCs w:val="22"/>
        </w:rPr>
        <w:t>revenue</w:t>
      </w:r>
    </w:p>
    <w:p w14:paraId="407FA641" w14:textId="2E8CEAD4" w:rsidR="00EC772D" w:rsidRPr="00AF68BD" w:rsidRDefault="00DC7133" w:rsidP="008E1D9C">
      <w:pPr>
        <w:pStyle w:val="ListParagraph"/>
        <w:numPr>
          <w:ilvl w:val="0"/>
          <w:numId w:val="12"/>
        </w:numPr>
        <w:ind w:left="340" w:hanging="340"/>
        <w:rPr>
          <w:color w:val="2D3E7B" w:themeColor="text2" w:themeShade="BF"/>
          <w:szCs w:val="22"/>
        </w:rPr>
      </w:pPr>
      <w:r w:rsidRPr="00AF68BD">
        <w:rPr>
          <w:color w:val="2D3E7B" w:themeColor="text2" w:themeShade="BF"/>
          <w:szCs w:val="22"/>
        </w:rPr>
        <w:t>finance costs</w:t>
      </w:r>
    </w:p>
    <w:p w14:paraId="06DAF7F5" w14:textId="42A1E13C" w:rsidR="00EC772D" w:rsidRPr="00AF68BD" w:rsidRDefault="00EC772D" w:rsidP="008E1D9C">
      <w:pPr>
        <w:pStyle w:val="ListParagraph"/>
        <w:numPr>
          <w:ilvl w:val="0"/>
          <w:numId w:val="12"/>
        </w:numPr>
        <w:ind w:left="340" w:hanging="340"/>
        <w:rPr>
          <w:color w:val="2D3E7B" w:themeColor="text2" w:themeShade="BF"/>
          <w:szCs w:val="22"/>
        </w:rPr>
      </w:pPr>
      <w:r w:rsidRPr="00AF68BD">
        <w:rPr>
          <w:color w:val="2D3E7B" w:themeColor="text2" w:themeShade="BF"/>
          <w:szCs w:val="22"/>
        </w:rPr>
        <w:t xml:space="preserve">share of the net profit or loss of associates and joint ventures accounted for using the equity </w:t>
      </w:r>
      <w:r w:rsidR="00DC7133" w:rsidRPr="00AF68BD">
        <w:rPr>
          <w:color w:val="2D3E7B" w:themeColor="text2" w:themeShade="BF"/>
          <w:szCs w:val="22"/>
        </w:rPr>
        <w:t>method</w:t>
      </w:r>
    </w:p>
    <w:p w14:paraId="246EF8DC" w14:textId="62B0C8D5" w:rsidR="00EC772D" w:rsidRPr="00AF68BD" w:rsidRDefault="00DC7133" w:rsidP="008E1D9C">
      <w:pPr>
        <w:pStyle w:val="ListParagraph"/>
        <w:numPr>
          <w:ilvl w:val="0"/>
          <w:numId w:val="12"/>
        </w:numPr>
        <w:ind w:left="340" w:hanging="340"/>
        <w:rPr>
          <w:color w:val="2D3E7B" w:themeColor="text2" w:themeShade="BF"/>
          <w:szCs w:val="22"/>
        </w:rPr>
      </w:pPr>
      <w:r w:rsidRPr="00AF68BD">
        <w:rPr>
          <w:color w:val="2D3E7B" w:themeColor="text2" w:themeShade="BF"/>
          <w:szCs w:val="22"/>
        </w:rPr>
        <w:t>tax expense</w:t>
      </w:r>
    </w:p>
    <w:p w14:paraId="504DCBCA" w14:textId="77777777" w:rsidR="00EC772D" w:rsidRPr="00AF68BD" w:rsidRDefault="00EC772D" w:rsidP="009304CF">
      <w:pPr>
        <w:pStyle w:val="Heading6"/>
      </w:pPr>
      <w:r w:rsidRPr="00AF68BD">
        <w:t>AASB5.33a</w:t>
      </w:r>
    </w:p>
    <w:p w14:paraId="538FE33E" w14:textId="435724BF" w:rsidR="00EC772D" w:rsidRPr="00AB24D3" w:rsidRDefault="00EC772D" w:rsidP="008E1D9C">
      <w:pPr>
        <w:pStyle w:val="ListParagraph"/>
        <w:numPr>
          <w:ilvl w:val="0"/>
          <w:numId w:val="13"/>
        </w:numPr>
        <w:tabs>
          <w:tab w:val="left" w:pos="1134"/>
        </w:tabs>
        <w:ind w:left="340" w:hanging="340"/>
        <w:rPr>
          <w:color w:val="2D3E7B" w:themeColor="text2" w:themeShade="BF"/>
          <w:szCs w:val="22"/>
        </w:rPr>
      </w:pPr>
      <w:r w:rsidRPr="00AB24D3">
        <w:rPr>
          <w:color w:val="2D3E7B" w:themeColor="text2" w:themeShade="BF"/>
          <w:szCs w:val="22"/>
        </w:rPr>
        <w:t>a single amount for the total of discontinued operations</w:t>
      </w:r>
    </w:p>
    <w:p w14:paraId="37035C4B" w14:textId="77777777" w:rsidR="001A5D4A" w:rsidRDefault="001A5D4A">
      <w:pPr>
        <w:spacing w:after="0"/>
        <w:rPr>
          <w:b/>
          <w:bCs/>
          <w:color w:val="2D3E7B" w:themeColor="text2" w:themeShade="BF"/>
          <w:sz w:val="28"/>
          <w:szCs w:val="28"/>
        </w:rPr>
      </w:pPr>
      <w:r>
        <w:rPr>
          <w:color w:val="2D3E7B" w:themeColor="text2" w:themeShade="BF"/>
        </w:rPr>
        <w:br w:type="page"/>
      </w:r>
    </w:p>
    <w:p w14:paraId="0F8D184D" w14:textId="571E0DC6" w:rsidR="00EC772D" w:rsidRPr="00AF68BD" w:rsidRDefault="00EC772D" w:rsidP="009304CF">
      <w:pPr>
        <w:pStyle w:val="Heading6"/>
      </w:pPr>
      <w:r w:rsidRPr="00AF68BD">
        <w:lastRenderedPageBreak/>
        <w:t>AASB101.81A</w:t>
      </w:r>
    </w:p>
    <w:p w14:paraId="32EA0808" w14:textId="77777777" w:rsidR="00EC772D" w:rsidRPr="00AF68BD" w:rsidRDefault="00EC772D" w:rsidP="001A5D4A">
      <w:pPr>
        <w:rPr>
          <w:color w:val="2D3E7B" w:themeColor="text2" w:themeShade="BF"/>
          <w:szCs w:val="22"/>
        </w:rPr>
      </w:pPr>
      <w:r w:rsidRPr="00AF68BD">
        <w:rPr>
          <w:color w:val="2D3E7B" w:themeColor="text2" w:themeShade="BF"/>
          <w:szCs w:val="22"/>
        </w:rPr>
        <w:t>An entity may present items (a) to (</w:t>
      </w:r>
      <w:proofErr w:type="spellStart"/>
      <w:r w:rsidRPr="00AF68BD">
        <w:rPr>
          <w:color w:val="2D3E7B" w:themeColor="text2" w:themeShade="BF"/>
          <w:szCs w:val="22"/>
        </w:rPr>
        <w:t>ea</w:t>
      </w:r>
      <w:proofErr w:type="spellEnd"/>
      <w:r w:rsidRPr="00AF68BD">
        <w:rPr>
          <w:color w:val="2D3E7B" w:themeColor="text2" w:themeShade="BF"/>
          <w:szCs w:val="22"/>
        </w:rPr>
        <w:t>) above on a separate income statement. The Department of Education suggests the adoption of this approach but does not require it. If an entity chooses the single comprehensive income statement, all line items from both the sample income statement and sample comprehensive income statement shall be used in the single statement.</w:t>
      </w:r>
    </w:p>
    <w:p w14:paraId="00379123" w14:textId="77777777" w:rsidR="00EC772D" w:rsidRPr="00AF68BD" w:rsidRDefault="00EC772D" w:rsidP="009304CF">
      <w:pPr>
        <w:pStyle w:val="Heading6"/>
      </w:pPr>
      <w:r w:rsidRPr="00AF68BD">
        <w:t>AASB101.82A</w:t>
      </w:r>
    </w:p>
    <w:p w14:paraId="6EC79A18" w14:textId="77777777" w:rsidR="00EC772D" w:rsidRPr="00AF68BD" w:rsidRDefault="00EC772D" w:rsidP="001A5D4A">
      <w:pPr>
        <w:rPr>
          <w:color w:val="2D3E7B" w:themeColor="text2" w:themeShade="BF"/>
          <w:szCs w:val="22"/>
        </w:rPr>
      </w:pPr>
      <w:r w:rsidRPr="00AF68BD">
        <w:rPr>
          <w:color w:val="2D3E7B" w:themeColor="text2" w:themeShade="BF"/>
          <w:szCs w:val="22"/>
        </w:rPr>
        <w:t xml:space="preserve">Line items disclosed in the statement of other comprehensive income shall be grouped into those that will not be reclassified subsequently to profit or loss, and those that will be reclassified subsequently to profit or loss when certain conditions are met. </w:t>
      </w:r>
    </w:p>
    <w:p w14:paraId="17B73904" w14:textId="77777777" w:rsidR="00EC772D" w:rsidRPr="00AF68BD" w:rsidRDefault="00EC772D" w:rsidP="009304CF">
      <w:pPr>
        <w:pStyle w:val="Heading6"/>
      </w:pPr>
      <w:r w:rsidRPr="00AF68BD">
        <w:t>AASB101.81B</w:t>
      </w:r>
    </w:p>
    <w:p w14:paraId="6B13127C" w14:textId="77777777" w:rsidR="00EC772D" w:rsidRPr="00AF68BD" w:rsidRDefault="00EC772D" w:rsidP="001A5D4A">
      <w:pPr>
        <w:rPr>
          <w:color w:val="2D3E7B" w:themeColor="text2" w:themeShade="BF"/>
          <w:szCs w:val="22"/>
        </w:rPr>
      </w:pPr>
      <w:r w:rsidRPr="00AF68BD">
        <w:rPr>
          <w:color w:val="2D3E7B" w:themeColor="text2" w:themeShade="BF"/>
          <w:szCs w:val="22"/>
        </w:rPr>
        <w:t>The following items must be disclosed on the statement of comprehensive income as allocations of net result for the period:</w:t>
      </w:r>
    </w:p>
    <w:p w14:paraId="398930A7" w14:textId="3586AE73" w:rsidR="00EC772D" w:rsidRPr="00AF68BD" w:rsidRDefault="00EC772D" w:rsidP="008E1D9C">
      <w:pPr>
        <w:pStyle w:val="ListParagraph"/>
        <w:numPr>
          <w:ilvl w:val="0"/>
          <w:numId w:val="14"/>
        </w:numPr>
        <w:ind w:left="340" w:hanging="340"/>
        <w:rPr>
          <w:color w:val="2D3E7B" w:themeColor="text2" w:themeShade="BF"/>
          <w:szCs w:val="22"/>
        </w:rPr>
      </w:pPr>
      <w:r w:rsidRPr="00AF68BD">
        <w:rPr>
          <w:color w:val="2D3E7B" w:themeColor="text2" w:themeShade="BF"/>
          <w:szCs w:val="22"/>
        </w:rPr>
        <w:t>profit or loss attributable to non-controlling interest;</w:t>
      </w:r>
    </w:p>
    <w:p w14:paraId="5C7FFA71" w14:textId="183B5C01" w:rsidR="00EC772D" w:rsidRPr="00AF68BD" w:rsidRDefault="00EC772D" w:rsidP="008E1D9C">
      <w:pPr>
        <w:pStyle w:val="ListParagraph"/>
        <w:numPr>
          <w:ilvl w:val="0"/>
          <w:numId w:val="14"/>
        </w:numPr>
        <w:ind w:left="340" w:hanging="340"/>
        <w:rPr>
          <w:color w:val="2D3E7B" w:themeColor="text2" w:themeShade="BF"/>
          <w:szCs w:val="22"/>
        </w:rPr>
      </w:pPr>
      <w:r w:rsidRPr="00AF68BD">
        <w:rPr>
          <w:color w:val="2D3E7B" w:themeColor="text2" w:themeShade="BF"/>
          <w:szCs w:val="22"/>
        </w:rPr>
        <w:t>profit or loss attributable to owners of the parent;</w:t>
      </w:r>
    </w:p>
    <w:p w14:paraId="027051FF" w14:textId="68356C2D" w:rsidR="00EC772D" w:rsidRPr="00AF68BD" w:rsidRDefault="00EC772D" w:rsidP="008E1D9C">
      <w:pPr>
        <w:pStyle w:val="ListParagraph"/>
        <w:numPr>
          <w:ilvl w:val="0"/>
          <w:numId w:val="14"/>
        </w:numPr>
        <w:ind w:left="340" w:hanging="340"/>
        <w:rPr>
          <w:color w:val="2D3E7B" w:themeColor="text2" w:themeShade="BF"/>
          <w:szCs w:val="22"/>
        </w:rPr>
      </w:pPr>
      <w:r w:rsidRPr="00AF68BD">
        <w:rPr>
          <w:color w:val="2D3E7B" w:themeColor="text2" w:themeShade="BF"/>
          <w:szCs w:val="22"/>
        </w:rPr>
        <w:t>total comprehensive income attributable to non-controlling interest; and</w:t>
      </w:r>
    </w:p>
    <w:p w14:paraId="4FA4EC95" w14:textId="741CDC05" w:rsidR="00EC772D" w:rsidRPr="00AF68BD" w:rsidRDefault="00EC772D" w:rsidP="008E1D9C">
      <w:pPr>
        <w:pStyle w:val="ListParagraph"/>
        <w:numPr>
          <w:ilvl w:val="0"/>
          <w:numId w:val="14"/>
        </w:numPr>
        <w:ind w:left="340" w:hanging="340"/>
        <w:rPr>
          <w:color w:val="2D3E7B" w:themeColor="text2" w:themeShade="BF"/>
          <w:szCs w:val="22"/>
        </w:rPr>
      </w:pPr>
      <w:proofErr w:type="gramStart"/>
      <w:r w:rsidRPr="00AF68BD">
        <w:rPr>
          <w:color w:val="2D3E7B" w:themeColor="text2" w:themeShade="BF"/>
          <w:szCs w:val="22"/>
        </w:rPr>
        <w:t>total</w:t>
      </w:r>
      <w:proofErr w:type="gramEnd"/>
      <w:r w:rsidRPr="00AF68BD">
        <w:rPr>
          <w:color w:val="2D3E7B" w:themeColor="text2" w:themeShade="BF"/>
          <w:szCs w:val="22"/>
        </w:rPr>
        <w:t xml:space="preserve"> comprehensive income attributable to owners of the parent.</w:t>
      </w:r>
    </w:p>
    <w:p w14:paraId="55A92F6F" w14:textId="77777777" w:rsidR="00EC772D" w:rsidRPr="00AF68BD" w:rsidRDefault="00EC772D" w:rsidP="001A5D4A">
      <w:pPr>
        <w:pStyle w:val="Heading3"/>
        <w:rPr>
          <w:color w:val="2D3E7B" w:themeColor="text2" w:themeShade="BF"/>
        </w:rPr>
      </w:pPr>
      <w:r w:rsidRPr="00AF68BD">
        <w:rPr>
          <w:color w:val="2D3E7B" w:themeColor="text2" w:themeShade="BF"/>
        </w:rPr>
        <w:t>Additional line items, headings and subtotals</w:t>
      </w:r>
    </w:p>
    <w:p w14:paraId="568D978E" w14:textId="77777777" w:rsidR="00EC772D" w:rsidRPr="00AF68BD" w:rsidRDefault="00EC772D" w:rsidP="009304CF">
      <w:pPr>
        <w:pStyle w:val="Heading6"/>
      </w:pPr>
      <w:r w:rsidRPr="00AF68BD">
        <w:t>AASB101.85</w:t>
      </w:r>
    </w:p>
    <w:p w14:paraId="10FC0173" w14:textId="77777777" w:rsidR="00EC772D" w:rsidRPr="00AF68BD" w:rsidRDefault="00EC772D" w:rsidP="001A5D4A">
      <w:pPr>
        <w:rPr>
          <w:color w:val="2D3E7B" w:themeColor="text2" w:themeShade="BF"/>
          <w:szCs w:val="22"/>
        </w:rPr>
      </w:pPr>
      <w:r w:rsidRPr="00AF68BD">
        <w:rPr>
          <w:color w:val="2D3E7B" w:themeColor="text2" w:themeShade="BF"/>
          <w:szCs w:val="22"/>
        </w:rPr>
        <w:t>Additional line items, headings and subtotals shall be presented on the statement of comprehensive income and the income statement (if presented) when such presentation is relevant to an understanding of the entity’s financial performance.</w:t>
      </w:r>
    </w:p>
    <w:p w14:paraId="18D59C69" w14:textId="77777777" w:rsidR="00EC772D" w:rsidRPr="00AF68BD" w:rsidRDefault="00EC772D" w:rsidP="001A5D4A">
      <w:pPr>
        <w:pStyle w:val="Heading3"/>
        <w:rPr>
          <w:color w:val="2D3E7B" w:themeColor="text2" w:themeShade="BF"/>
        </w:rPr>
      </w:pPr>
      <w:r w:rsidRPr="00AF68BD">
        <w:rPr>
          <w:color w:val="2D3E7B" w:themeColor="text2" w:themeShade="BF"/>
        </w:rPr>
        <w:t>Extraordinary items not permitted</w:t>
      </w:r>
    </w:p>
    <w:p w14:paraId="55DE34A5" w14:textId="77777777" w:rsidR="00EC772D" w:rsidRPr="00AF68BD" w:rsidRDefault="00EC772D" w:rsidP="009304CF">
      <w:pPr>
        <w:pStyle w:val="Heading6"/>
      </w:pPr>
      <w:r w:rsidRPr="00AF68BD">
        <w:t>AASB101.87</w:t>
      </w:r>
    </w:p>
    <w:p w14:paraId="4896893D" w14:textId="77777777" w:rsidR="00EC772D" w:rsidRPr="00AF68BD" w:rsidRDefault="00EC772D" w:rsidP="001A5D4A">
      <w:pPr>
        <w:rPr>
          <w:color w:val="2D3E7B" w:themeColor="text2" w:themeShade="BF"/>
          <w:szCs w:val="22"/>
        </w:rPr>
      </w:pPr>
      <w:r w:rsidRPr="00AF68BD">
        <w:rPr>
          <w:color w:val="2D3E7B" w:themeColor="text2" w:themeShade="BF"/>
          <w:szCs w:val="22"/>
        </w:rPr>
        <w:t>An entity shall not present any items of income and expense as extraordinary items, either on the statement of comprehensive income, the income statement or in the notes.</w:t>
      </w:r>
    </w:p>
    <w:p w14:paraId="12C195F5" w14:textId="77777777" w:rsidR="00EC772D" w:rsidRPr="00AF68BD" w:rsidRDefault="00EC772D" w:rsidP="001A5D4A">
      <w:pPr>
        <w:pStyle w:val="Heading3"/>
        <w:rPr>
          <w:color w:val="2D3E7B" w:themeColor="text2" w:themeShade="BF"/>
        </w:rPr>
      </w:pPr>
      <w:r w:rsidRPr="00AF68BD">
        <w:rPr>
          <w:color w:val="2D3E7B" w:themeColor="text2" w:themeShade="BF"/>
        </w:rPr>
        <w:t>Discontinued operations</w:t>
      </w:r>
    </w:p>
    <w:p w14:paraId="24A21EC4" w14:textId="77777777" w:rsidR="00EC772D" w:rsidRPr="00AF68BD" w:rsidRDefault="00EC772D" w:rsidP="001A5D4A">
      <w:pPr>
        <w:rPr>
          <w:color w:val="2D3E7B" w:themeColor="text2" w:themeShade="BF"/>
          <w:szCs w:val="22"/>
        </w:rPr>
      </w:pPr>
      <w:r w:rsidRPr="00AF68BD">
        <w:rPr>
          <w:color w:val="2D3E7B" w:themeColor="text2" w:themeShade="BF"/>
          <w:szCs w:val="22"/>
        </w:rPr>
        <w:t>Please refer to AASB5 Non-current Assets Held for Sale and Discontinued Operations and note 17 for further disclosures in relation to discontinued operations.</w:t>
      </w:r>
    </w:p>
    <w:p w14:paraId="53123F78" w14:textId="77777777" w:rsidR="001A5D4A" w:rsidRDefault="001A5D4A">
      <w:pPr>
        <w:spacing w:after="0"/>
        <w:rPr>
          <w:rFonts w:asciiTheme="majorHAnsi" w:eastAsiaTheme="majorEastAsia" w:hAnsiTheme="majorHAnsi"/>
          <w:b/>
          <w:bCs/>
          <w:color w:val="2D3E7B" w:themeColor="text2" w:themeShade="BF"/>
          <w:sz w:val="26"/>
          <w:szCs w:val="26"/>
        </w:rPr>
      </w:pPr>
      <w:r>
        <w:rPr>
          <w:color w:val="2D3E7B" w:themeColor="text2" w:themeShade="BF"/>
        </w:rPr>
        <w:br w:type="page"/>
      </w:r>
    </w:p>
    <w:p w14:paraId="3A89464D" w14:textId="16F86A49" w:rsidR="00EC772D" w:rsidRPr="00AF68BD" w:rsidRDefault="00EC772D" w:rsidP="001A5D4A">
      <w:pPr>
        <w:pStyle w:val="Heading3"/>
        <w:rPr>
          <w:color w:val="2D3E7B" w:themeColor="text2" w:themeShade="BF"/>
        </w:rPr>
      </w:pPr>
      <w:r w:rsidRPr="00AF68BD">
        <w:rPr>
          <w:color w:val="2D3E7B" w:themeColor="text2" w:themeShade="BF"/>
        </w:rPr>
        <w:lastRenderedPageBreak/>
        <w:t>Either on the face of the income statement or in the notes</w:t>
      </w:r>
    </w:p>
    <w:p w14:paraId="5F0A1F18" w14:textId="77777777" w:rsidR="00DC7133" w:rsidRPr="00AF68BD" w:rsidRDefault="00DC7133" w:rsidP="00AF68BD">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Material items of income and expense</w:t>
      </w:r>
    </w:p>
    <w:p w14:paraId="7E69571B" w14:textId="77777777" w:rsidR="00AF68BD" w:rsidRPr="00AF68BD" w:rsidRDefault="00AF68BD" w:rsidP="009304CF">
      <w:pPr>
        <w:pStyle w:val="Heading6"/>
      </w:pPr>
      <w:r w:rsidRPr="00AF68BD">
        <w:t>AASB101.97</w:t>
      </w:r>
    </w:p>
    <w:p w14:paraId="0389FFF6" w14:textId="7E19CD56" w:rsidR="008B6C55" w:rsidRPr="00AF68BD" w:rsidRDefault="00EC772D" w:rsidP="001A5D4A">
      <w:pPr>
        <w:rPr>
          <w:color w:val="2D3E7B" w:themeColor="text2" w:themeShade="BF"/>
          <w:szCs w:val="22"/>
        </w:rPr>
      </w:pPr>
      <w:r w:rsidRPr="00AF68BD">
        <w:rPr>
          <w:color w:val="2D3E7B" w:themeColor="text2" w:themeShade="BF"/>
          <w:szCs w:val="22"/>
        </w:rPr>
        <w:t>When items of income and expense are material, their nature and amount must be disclosed separately either on the face of the income statement or in the notes. In the case of the HEP, these disclosures are made on the face of the income statement and in notes 3 - 15.</w:t>
      </w:r>
    </w:p>
    <w:p w14:paraId="653BFF83" w14:textId="77777777" w:rsidR="00EC772D" w:rsidRPr="00AF68BD" w:rsidRDefault="00EC772D" w:rsidP="001A5D4A">
      <w:pPr>
        <w:pStyle w:val="Heading3"/>
        <w:rPr>
          <w:color w:val="2D3E7B" w:themeColor="text2" w:themeShade="BF"/>
        </w:rPr>
      </w:pPr>
      <w:r w:rsidRPr="00AF68BD">
        <w:rPr>
          <w:color w:val="2D3E7B" w:themeColor="text2" w:themeShade="BF"/>
        </w:rPr>
        <w:t>Classification of expenses</w:t>
      </w:r>
    </w:p>
    <w:p w14:paraId="55A0590C" w14:textId="77777777" w:rsidR="00EC772D" w:rsidRPr="00AF68BD" w:rsidRDefault="00EC772D" w:rsidP="00AB24D3">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By nature or function</w:t>
      </w:r>
    </w:p>
    <w:p w14:paraId="038507B7" w14:textId="77777777" w:rsidR="00EC772D" w:rsidRPr="00AF68BD" w:rsidRDefault="00EC772D" w:rsidP="009304CF">
      <w:pPr>
        <w:pStyle w:val="Heading6"/>
      </w:pPr>
      <w:r w:rsidRPr="00AF68BD">
        <w:t>AASB101.99</w:t>
      </w:r>
      <w:proofErr w:type="gramStart"/>
      <w:r w:rsidRPr="00AF68BD">
        <w:t>,100</w:t>
      </w:r>
      <w:proofErr w:type="gramEnd"/>
    </w:p>
    <w:p w14:paraId="2185AF9B" w14:textId="77777777" w:rsidR="00EC772D" w:rsidRPr="00AF68BD" w:rsidRDefault="00EC772D" w:rsidP="001A5D4A">
      <w:pPr>
        <w:rPr>
          <w:color w:val="2D3E7B" w:themeColor="text2" w:themeShade="BF"/>
          <w:szCs w:val="22"/>
        </w:rPr>
      </w:pPr>
      <w:r w:rsidRPr="00AF68BD">
        <w:rPr>
          <w:color w:val="2D3E7B" w:themeColor="text2" w:themeShade="BF"/>
          <w:szCs w:val="22"/>
        </w:rPr>
        <w:t>An analysis of expenses shall be presented using a classification based on either the nature of expenses or their function within the entity, whichever provides information that is reliable and more relevant. Entities are encouraged, but not required, to present the analysis of expenses on the statement of comprehensive income or the income statement.</w:t>
      </w:r>
    </w:p>
    <w:p w14:paraId="1BC366F6" w14:textId="77777777" w:rsidR="00EC772D" w:rsidRPr="00AF68BD" w:rsidRDefault="00EC772D" w:rsidP="009304CF">
      <w:pPr>
        <w:pStyle w:val="Heading6"/>
      </w:pPr>
      <w:r w:rsidRPr="00AF68BD">
        <w:t>AASB101.105</w:t>
      </w:r>
    </w:p>
    <w:p w14:paraId="7FF15A04" w14:textId="77777777" w:rsidR="00EC772D" w:rsidRPr="00AF68BD" w:rsidRDefault="00EC772D" w:rsidP="001A5D4A">
      <w:pPr>
        <w:rPr>
          <w:color w:val="2D3E7B" w:themeColor="text2" w:themeShade="BF"/>
          <w:szCs w:val="22"/>
        </w:rPr>
      </w:pPr>
      <w:r w:rsidRPr="00AF68BD">
        <w:rPr>
          <w:color w:val="2D3E7B" w:themeColor="text2" w:themeShade="BF"/>
          <w:szCs w:val="22"/>
        </w:rPr>
        <w:t xml:space="preserve">The choice of classification between nature and function will depend on historical and industry factors and the nature of the entity. The entity should choose the classification that provides the most relevant and reliable information about its financial performance. </w:t>
      </w:r>
    </w:p>
    <w:p w14:paraId="24AD35AC" w14:textId="77777777" w:rsidR="00EC772D" w:rsidRPr="00AF68BD" w:rsidRDefault="00EC772D" w:rsidP="00AB24D3">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Materiality</w:t>
      </w:r>
    </w:p>
    <w:p w14:paraId="23F0D6E9" w14:textId="77777777" w:rsidR="00EC772D" w:rsidRPr="00AF68BD" w:rsidRDefault="00EC772D" w:rsidP="009304CF">
      <w:pPr>
        <w:pStyle w:val="Heading6"/>
      </w:pPr>
      <w:r w:rsidRPr="00AF68BD">
        <w:t>AASB101.29</w:t>
      </w:r>
    </w:p>
    <w:p w14:paraId="40013F3D" w14:textId="77777777" w:rsidR="00EC772D" w:rsidRPr="00AF68BD" w:rsidRDefault="00EC772D" w:rsidP="001A5D4A">
      <w:pPr>
        <w:rPr>
          <w:color w:val="2D3E7B" w:themeColor="text2" w:themeShade="BF"/>
          <w:szCs w:val="22"/>
        </w:rPr>
      </w:pPr>
      <w:r w:rsidRPr="00AF68BD">
        <w:rPr>
          <w:color w:val="2D3E7B" w:themeColor="text2" w:themeShade="BF"/>
          <w:szCs w:val="22"/>
        </w:rPr>
        <w:t>Regardless of whether income and expenses are classified by nature or by function, materiality applies to the classification of income and expenses. Each material class should be separately disclosed, and unclassified income/expenses (shown as “other income” and ''other expenses'' in the income statement and in the notes) should be immaterial both individually and in aggregate. Accordingly, unclassified income/expenses should not normally exceed 10% of total income/expenses classified by nature or function.</w:t>
      </w:r>
    </w:p>
    <w:p w14:paraId="454723E2" w14:textId="0C392E58" w:rsidR="00EC772D" w:rsidRPr="0096281A" w:rsidRDefault="00EC772D" w:rsidP="0096281A">
      <w:pPr>
        <w:pStyle w:val="Heading3"/>
        <w:rPr>
          <w:color w:val="2D3E7B" w:themeColor="text2" w:themeShade="BF"/>
          <w:sz w:val="26"/>
        </w:rPr>
      </w:pPr>
      <w:r w:rsidRPr="0096281A">
        <w:rPr>
          <w:color w:val="2D3E7B" w:themeColor="text2" w:themeShade="BF"/>
        </w:rPr>
        <w:t>Other presentation issues</w:t>
      </w:r>
    </w:p>
    <w:p w14:paraId="6F10BBB9" w14:textId="77777777" w:rsidR="00EC772D" w:rsidRPr="00AF68BD" w:rsidRDefault="00EC772D" w:rsidP="00AB24D3">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Consistency</w:t>
      </w:r>
    </w:p>
    <w:p w14:paraId="6FFE9C1E" w14:textId="77777777" w:rsidR="00EC772D" w:rsidRPr="00AF68BD" w:rsidRDefault="00EC772D" w:rsidP="009304CF">
      <w:pPr>
        <w:pStyle w:val="Heading6"/>
      </w:pPr>
      <w:r w:rsidRPr="00AF68BD">
        <w:t>AASB101.45</w:t>
      </w:r>
    </w:p>
    <w:p w14:paraId="15B82B1B" w14:textId="77777777" w:rsidR="00EC772D" w:rsidRPr="00AF68BD" w:rsidRDefault="00EC772D" w:rsidP="001A5D4A">
      <w:pPr>
        <w:rPr>
          <w:color w:val="2D3E7B" w:themeColor="text2" w:themeShade="BF"/>
          <w:szCs w:val="22"/>
        </w:rPr>
      </w:pPr>
      <w:r w:rsidRPr="00AF68BD">
        <w:rPr>
          <w:color w:val="2D3E7B" w:themeColor="text2" w:themeShade="BF"/>
          <w:szCs w:val="22"/>
        </w:rPr>
        <w:t>The presentation and classification of items in the financial report shall be retained from one period to the next unless:</w:t>
      </w:r>
    </w:p>
    <w:p w14:paraId="05A9762A" w14:textId="72BEF830" w:rsidR="00EC772D" w:rsidRPr="00AF68BD" w:rsidRDefault="00EC772D" w:rsidP="008E1D9C">
      <w:pPr>
        <w:pStyle w:val="ListParagraph"/>
        <w:numPr>
          <w:ilvl w:val="0"/>
          <w:numId w:val="15"/>
        </w:numPr>
        <w:ind w:left="340" w:hanging="340"/>
        <w:rPr>
          <w:color w:val="2D3E7B" w:themeColor="text2" w:themeShade="BF"/>
          <w:szCs w:val="22"/>
        </w:rPr>
      </w:pPr>
      <w:r w:rsidRPr="00AF68BD">
        <w:rPr>
          <w:color w:val="2D3E7B" w:themeColor="text2" w:themeShade="BF"/>
          <w:szCs w:val="22"/>
        </w:rPr>
        <w:t xml:space="preserve">it is apparent, following a significant change in the nature of the entity’s operations or a review of its financial report, that another presentation or classification would be more appropriate having regard to the criteria for the selection and application of accounting policies in AASB108 </w:t>
      </w:r>
      <w:r w:rsidRPr="00011B6F">
        <w:rPr>
          <w:i/>
          <w:color w:val="2D3E7B" w:themeColor="text2" w:themeShade="BF"/>
          <w:szCs w:val="22"/>
        </w:rPr>
        <w:t xml:space="preserve">Accounting Policies, Changes in Accounting Estimates and Errors; </w:t>
      </w:r>
      <w:r w:rsidRPr="00AF68BD">
        <w:rPr>
          <w:color w:val="2D3E7B" w:themeColor="text2" w:themeShade="BF"/>
          <w:szCs w:val="22"/>
        </w:rPr>
        <w:t>or</w:t>
      </w:r>
    </w:p>
    <w:p w14:paraId="58934520" w14:textId="12EC6D52" w:rsidR="00EC772D" w:rsidRPr="00AF68BD" w:rsidRDefault="00EC772D" w:rsidP="008E1D9C">
      <w:pPr>
        <w:pStyle w:val="ListParagraph"/>
        <w:numPr>
          <w:ilvl w:val="0"/>
          <w:numId w:val="15"/>
        </w:numPr>
        <w:ind w:left="340" w:hanging="340"/>
        <w:rPr>
          <w:color w:val="2D3E7B" w:themeColor="text2" w:themeShade="BF"/>
          <w:szCs w:val="22"/>
        </w:rPr>
      </w:pPr>
      <w:proofErr w:type="gramStart"/>
      <w:r w:rsidRPr="00AF68BD">
        <w:rPr>
          <w:color w:val="2D3E7B" w:themeColor="text2" w:themeShade="BF"/>
          <w:szCs w:val="22"/>
        </w:rPr>
        <w:t>an</w:t>
      </w:r>
      <w:proofErr w:type="gramEnd"/>
      <w:r w:rsidRPr="00AF68BD">
        <w:rPr>
          <w:color w:val="2D3E7B" w:themeColor="text2" w:themeShade="BF"/>
          <w:szCs w:val="22"/>
        </w:rPr>
        <w:t xml:space="preserve"> Australian Accounting Standard requires a change in presentation.</w:t>
      </w:r>
    </w:p>
    <w:p w14:paraId="68557CB2" w14:textId="77777777" w:rsidR="00EC772D" w:rsidRPr="00AF68BD" w:rsidRDefault="00EC772D" w:rsidP="00AB24D3">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Goods and Services Tax (GST)</w:t>
      </w:r>
    </w:p>
    <w:p w14:paraId="329DB62C" w14:textId="77777777" w:rsidR="00EC772D" w:rsidRPr="00AF68BD" w:rsidRDefault="00EC772D" w:rsidP="009304CF">
      <w:pPr>
        <w:pStyle w:val="Heading6"/>
      </w:pPr>
      <w:r w:rsidRPr="00AF68BD">
        <w:t>UIG1031.6</w:t>
      </w:r>
      <w:proofErr w:type="gramStart"/>
      <w:r w:rsidRPr="00AF68BD">
        <w:t>,7</w:t>
      </w:r>
      <w:proofErr w:type="gramEnd"/>
    </w:p>
    <w:p w14:paraId="676272F9" w14:textId="77777777" w:rsidR="00EC772D" w:rsidRPr="00AF68BD" w:rsidRDefault="00EC772D" w:rsidP="001A5D4A">
      <w:pPr>
        <w:rPr>
          <w:color w:val="2D3E7B" w:themeColor="text2" w:themeShade="BF"/>
          <w:szCs w:val="22"/>
        </w:rPr>
      </w:pPr>
      <w:r w:rsidRPr="00AF68BD">
        <w:rPr>
          <w:color w:val="2D3E7B" w:themeColor="text2" w:themeShade="BF"/>
          <w:szCs w:val="22"/>
        </w:rPr>
        <w:t xml:space="preserve">UIG 1031 </w:t>
      </w:r>
      <w:r w:rsidRPr="00FF2B14">
        <w:rPr>
          <w:i/>
          <w:color w:val="2D3E7B" w:themeColor="text2" w:themeShade="BF"/>
          <w:szCs w:val="22"/>
        </w:rPr>
        <w:t>Accounting for the Goods and Services Tax (GST)</w:t>
      </w:r>
      <w:r w:rsidRPr="00AF68BD">
        <w:rPr>
          <w:color w:val="2D3E7B" w:themeColor="text2" w:themeShade="BF"/>
          <w:szCs w:val="22"/>
        </w:rPr>
        <w:t xml:space="preserve"> provides that revenues and expenses must be recognised net of the amount of GST, except that where GST relating to expense items is not recoverable from the taxation authority, it must be recognised as part of the item of expense. It is recommended that where entities are not able to recover GST relating to particular expense items, they should include a policy note indicating which expense items disclosed in the financial report are inclusive of non</w:t>
      </w:r>
      <w:r w:rsidRPr="00AF68BD">
        <w:rPr>
          <w:color w:val="2D3E7B" w:themeColor="text2" w:themeShade="BF"/>
          <w:szCs w:val="22"/>
        </w:rPr>
        <w:noBreakHyphen/>
        <w:t>recoverable GST. They could also amend the wording of specific disclosures (</w:t>
      </w:r>
      <w:proofErr w:type="spellStart"/>
      <w:r w:rsidRPr="00AF68BD">
        <w:rPr>
          <w:color w:val="2D3E7B" w:themeColor="text2" w:themeShade="BF"/>
          <w:szCs w:val="22"/>
        </w:rPr>
        <w:t>eg</w:t>
      </w:r>
      <w:proofErr w:type="spellEnd"/>
      <w:r w:rsidRPr="00AF68BD">
        <w:rPr>
          <w:color w:val="2D3E7B" w:themeColor="text2" w:themeShade="BF"/>
          <w:szCs w:val="22"/>
        </w:rPr>
        <w:t xml:space="preserve"> auditor’s remuneration </w:t>
      </w:r>
      <w:r w:rsidRPr="00AF68BD">
        <w:rPr>
          <w:color w:val="2D3E7B" w:themeColor="text2" w:themeShade="BF"/>
          <w:szCs w:val="22"/>
        </w:rPr>
        <w:noBreakHyphen/>
        <w:t xml:space="preserve"> refer to commentary </w:t>
      </w:r>
      <w:r w:rsidRPr="00AF68BD">
        <w:rPr>
          <w:color w:val="2D3E7B" w:themeColor="text2" w:themeShade="BF"/>
          <w:szCs w:val="22"/>
        </w:rPr>
        <w:lastRenderedPageBreak/>
        <w:t xml:space="preserve">on remuneration of auditors </w:t>
      </w:r>
      <w:r w:rsidRPr="00AF68BD">
        <w:rPr>
          <w:color w:val="2D3E7B" w:themeColor="text2" w:themeShade="BF"/>
          <w:szCs w:val="22"/>
        </w:rPr>
        <w:noBreakHyphen/>
        <w:t xml:space="preserve"> note 39) to make it clear that the amounts disclosed are inclusive of non</w:t>
      </w:r>
      <w:r w:rsidRPr="00AF68BD">
        <w:rPr>
          <w:color w:val="2D3E7B" w:themeColor="text2" w:themeShade="BF"/>
          <w:szCs w:val="22"/>
        </w:rPr>
        <w:noBreakHyphen/>
        <w:t>recoverable GST.</w:t>
      </w:r>
    </w:p>
    <w:p w14:paraId="63A5B9E5" w14:textId="346FD636" w:rsidR="00EC772D" w:rsidRPr="00AF68BD" w:rsidRDefault="00EC772D" w:rsidP="00AB24D3">
      <w:pPr>
        <w:pStyle w:val="Heading4"/>
        <w:rPr>
          <w:color w:val="2D3E7B" w:themeColor="text2" w:themeShade="BF"/>
          <w14:textFill>
            <w14:solidFill>
              <w14:schemeClr w14:val="tx2">
                <w14:lumMod w14:val="75000"/>
                <w14:lumMod w14:val="75000"/>
              </w14:schemeClr>
            </w14:solidFill>
          </w14:textFill>
        </w:rPr>
      </w:pPr>
      <w:r w:rsidRPr="00AF68BD">
        <w:rPr>
          <w:color w:val="2D3E7B" w:themeColor="text2" w:themeShade="BF"/>
          <w14:textFill>
            <w14:solidFill>
              <w14:schemeClr w14:val="tx2">
                <w14:lumMod w14:val="75000"/>
                <w14:lumMod w14:val="75000"/>
              </w14:schemeClr>
            </w14:solidFill>
          </w14:textFill>
        </w:rPr>
        <w:t>Offsetting</w:t>
      </w:r>
    </w:p>
    <w:p w14:paraId="67D9705D" w14:textId="77777777" w:rsidR="00EC772D" w:rsidRPr="00AF68BD" w:rsidRDefault="00EC772D" w:rsidP="009304CF">
      <w:pPr>
        <w:pStyle w:val="Heading6"/>
      </w:pPr>
      <w:r w:rsidRPr="00AF68BD">
        <w:t>AASB101.32</w:t>
      </w:r>
    </w:p>
    <w:p w14:paraId="1BB88863" w14:textId="77777777" w:rsidR="00EC772D" w:rsidRPr="00AF68BD" w:rsidRDefault="00EC772D" w:rsidP="001A5D4A">
      <w:pPr>
        <w:rPr>
          <w:color w:val="2D3E7B" w:themeColor="text2" w:themeShade="BF"/>
          <w:szCs w:val="22"/>
        </w:rPr>
      </w:pPr>
      <w:r w:rsidRPr="00AF68BD">
        <w:rPr>
          <w:color w:val="2D3E7B" w:themeColor="text2" w:themeShade="BF"/>
          <w:szCs w:val="22"/>
        </w:rPr>
        <w:t>Assets and liabilities, and income and expenses, must not be offset unless required or permitted by an Australian Accounting Standard. Examples of income and expenses that are required or permitted to be offset are as follows:</w:t>
      </w:r>
    </w:p>
    <w:p w14:paraId="11550753" w14:textId="77777777" w:rsidR="00EC772D" w:rsidRPr="00154EB5" w:rsidRDefault="00EC772D" w:rsidP="009304CF">
      <w:pPr>
        <w:pStyle w:val="Heading6"/>
      </w:pPr>
      <w:r w:rsidRPr="00154EB5">
        <w:t>AASB101.34a</w:t>
      </w:r>
    </w:p>
    <w:p w14:paraId="0606A7F7" w14:textId="2696060D" w:rsidR="00EC772D" w:rsidRPr="00AF68BD" w:rsidRDefault="00EC772D" w:rsidP="008E1D9C">
      <w:pPr>
        <w:pStyle w:val="ListParagraph"/>
        <w:numPr>
          <w:ilvl w:val="0"/>
          <w:numId w:val="16"/>
        </w:numPr>
        <w:ind w:left="340" w:hanging="340"/>
        <w:rPr>
          <w:color w:val="2D3E7B" w:themeColor="text2" w:themeShade="BF"/>
          <w:szCs w:val="22"/>
        </w:rPr>
      </w:pPr>
      <w:r w:rsidRPr="00AF68BD">
        <w:rPr>
          <w:color w:val="2D3E7B" w:themeColor="text2" w:themeShade="BF"/>
          <w:szCs w:val="22"/>
        </w:rPr>
        <w:t>gains and losses on the disposal of non</w:t>
      </w:r>
      <w:r w:rsidRPr="00AF68BD">
        <w:rPr>
          <w:color w:val="2D3E7B" w:themeColor="text2" w:themeShade="BF"/>
          <w:szCs w:val="22"/>
        </w:rPr>
        <w:noBreakHyphen/>
        <w:t>current assets, including investments and operating assets, are reported by deducting from the proceeds on disposal the carrying amount of the asset and related selling expenses;</w:t>
      </w:r>
    </w:p>
    <w:p w14:paraId="486653AC" w14:textId="77777777" w:rsidR="00EC772D" w:rsidRPr="00154EB5" w:rsidRDefault="00EC772D" w:rsidP="009304CF">
      <w:pPr>
        <w:pStyle w:val="Heading6"/>
      </w:pPr>
      <w:r w:rsidRPr="00154EB5">
        <w:t>AASB101.34b</w:t>
      </w:r>
    </w:p>
    <w:p w14:paraId="18A4B605" w14:textId="29E10369" w:rsidR="00EC772D" w:rsidRPr="00AF68BD" w:rsidRDefault="00EC772D" w:rsidP="008E1D9C">
      <w:pPr>
        <w:pStyle w:val="ListParagraph"/>
        <w:numPr>
          <w:ilvl w:val="0"/>
          <w:numId w:val="16"/>
        </w:numPr>
        <w:ind w:left="340" w:hanging="340"/>
        <w:rPr>
          <w:color w:val="2D3E7B" w:themeColor="text2" w:themeShade="BF"/>
          <w:szCs w:val="22"/>
        </w:rPr>
      </w:pPr>
      <w:r w:rsidRPr="00AF68BD">
        <w:rPr>
          <w:color w:val="2D3E7B" w:themeColor="text2" w:themeShade="BF"/>
          <w:szCs w:val="22"/>
        </w:rPr>
        <w:t xml:space="preserve">expenditure related to a provision that is recognised in accordance with AASB137 </w:t>
      </w:r>
      <w:r w:rsidRPr="00FF2B14">
        <w:rPr>
          <w:i/>
          <w:color w:val="2D3E7B" w:themeColor="text2" w:themeShade="BF"/>
          <w:szCs w:val="22"/>
        </w:rPr>
        <w:t xml:space="preserve">Provisions, Contingent Liabilities and Contingent Assets </w:t>
      </w:r>
      <w:r w:rsidRPr="00AF68BD">
        <w:rPr>
          <w:color w:val="2D3E7B" w:themeColor="text2" w:themeShade="BF"/>
          <w:szCs w:val="22"/>
        </w:rPr>
        <w:t>and reimbursed under a contractual arrangement with a third party (for example, a supplier’s warranty agreement) may be netted against the related reimbursement; and</w:t>
      </w:r>
    </w:p>
    <w:p w14:paraId="01E78AB4" w14:textId="77777777" w:rsidR="00EC772D" w:rsidRPr="00154EB5" w:rsidRDefault="00EC772D" w:rsidP="009304CF">
      <w:pPr>
        <w:pStyle w:val="Heading6"/>
      </w:pPr>
      <w:r w:rsidRPr="00154EB5">
        <w:t>AASB101.35</w:t>
      </w:r>
    </w:p>
    <w:p w14:paraId="2AC0C74D" w14:textId="57EAAB8D" w:rsidR="00EC772D" w:rsidRPr="00AF68BD" w:rsidRDefault="00EC772D" w:rsidP="008E1D9C">
      <w:pPr>
        <w:pStyle w:val="ListParagraph"/>
        <w:numPr>
          <w:ilvl w:val="0"/>
          <w:numId w:val="16"/>
        </w:numPr>
        <w:ind w:left="340" w:hanging="340"/>
        <w:rPr>
          <w:color w:val="2D3E7B" w:themeColor="text2" w:themeShade="BF"/>
          <w:szCs w:val="22"/>
        </w:rPr>
      </w:pPr>
      <w:proofErr w:type="gramStart"/>
      <w:r w:rsidRPr="00AF68BD">
        <w:rPr>
          <w:color w:val="2D3E7B" w:themeColor="text2" w:themeShade="BF"/>
          <w:szCs w:val="22"/>
        </w:rPr>
        <w:t>gains</w:t>
      </w:r>
      <w:proofErr w:type="gramEnd"/>
      <w:r w:rsidRPr="00AF68BD">
        <w:rPr>
          <w:color w:val="2D3E7B" w:themeColor="text2" w:themeShade="BF"/>
          <w:szCs w:val="22"/>
        </w:rPr>
        <w:t xml:space="preserve"> and losses arising from a group of similar transactions are reported on a net basis, for example, foreign exchange gains and losses or gains and losses arising on financial instruments held for trading. Such gains and losses are, however, reported separately, if they are material.</w:t>
      </w:r>
    </w:p>
    <w:p w14:paraId="56B4881B" w14:textId="77777777" w:rsidR="00EC772D" w:rsidRPr="00154EB5" w:rsidRDefault="00EC772D" w:rsidP="001A5D4A">
      <w:pPr>
        <w:pStyle w:val="Heading3"/>
        <w:rPr>
          <w:color w:val="2D3E7B" w:themeColor="text2" w:themeShade="BF"/>
        </w:rPr>
      </w:pPr>
      <w:r w:rsidRPr="00154EB5">
        <w:rPr>
          <w:color w:val="2D3E7B" w:themeColor="text2" w:themeShade="BF"/>
        </w:rPr>
        <w:t>Additional Commentary</w:t>
      </w:r>
    </w:p>
    <w:p w14:paraId="038A0048" w14:textId="6F044B4A" w:rsidR="008B6C55" w:rsidRPr="00AF68BD" w:rsidRDefault="00EC772D" w:rsidP="000B02BD">
      <w:pPr>
        <w:rPr>
          <w:szCs w:val="22"/>
        </w:rPr>
      </w:pPr>
      <w:r w:rsidRPr="00AF68BD">
        <w:rPr>
          <w:color w:val="2D3E7B" w:themeColor="text2" w:themeShade="BF"/>
          <w:szCs w:val="22"/>
        </w:rPr>
        <w:t xml:space="preserve">For further guidance in relation to the accounting and reporting requirements of Government grants and Contributions, please refer to AASB120 </w:t>
      </w:r>
      <w:r w:rsidRPr="00FF2B14">
        <w:rPr>
          <w:i/>
          <w:color w:val="2D3E7B" w:themeColor="text2" w:themeShade="BF"/>
          <w:szCs w:val="22"/>
        </w:rPr>
        <w:t>Accounting for Government Grants and Disclosure of Government Assistance</w:t>
      </w:r>
      <w:r w:rsidRPr="00AF68BD">
        <w:rPr>
          <w:color w:val="2D3E7B" w:themeColor="text2" w:themeShade="BF"/>
          <w:szCs w:val="22"/>
        </w:rPr>
        <w:t xml:space="preserve"> (applicable to for-profit entities) and AASB1004 </w:t>
      </w:r>
      <w:r w:rsidRPr="00FF2B14">
        <w:rPr>
          <w:i/>
          <w:color w:val="2D3E7B" w:themeColor="text2" w:themeShade="BF"/>
          <w:szCs w:val="22"/>
        </w:rPr>
        <w:t xml:space="preserve">Contributions </w:t>
      </w:r>
      <w:r w:rsidRPr="00AF68BD">
        <w:rPr>
          <w:color w:val="2D3E7B" w:themeColor="text2" w:themeShade="BF"/>
          <w:szCs w:val="22"/>
        </w:rPr>
        <w:t>(applicable to not-for-profit entities).</w:t>
      </w:r>
      <w:r w:rsidR="008B6C55" w:rsidRPr="00AF68BD">
        <w:rPr>
          <w:szCs w:val="22"/>
        </w:rPr>
        <w:br w:type="page"/>
      </w:r>
    </w:p>
    <w:p w14:paraId="6693EC1A" w14:textId="77777777" w:rsidR="00154EB5" w:rsidRPr="000B02BD" w:rsidRDefault="00EF7E08" w:rsidP="000B02BD">
      <w:pPr>
        <w:pStyle w:val="Heading1"/>
      </w:pPr>
      <w:bookmarkStart w:id="177" w:name="_Toc398721460"/>
      <w:bookmarkStart w:id="178" w:name="_Toc398721487"/>
      <w:bookmarkStart w:id="179" w:name="_Toc398721548"/>
      <w:bookmarkStart w:id="180" w:name="_Toc398721999"/>
      <w:bookmarkStart w:id="181" w:name="_Toc398729918"/>
      <w:bookmarkStart w:id="182" w:name="_Toc398731117"/>
      <w:bookmarkStart w:id="183" w:name="_Toc398731405"/>
      <w:bookmarkStart w:id="184" w:name="_Toc406751413"/>
      <w:bookmarkStart w:id="185" w:name="_Toc410807596"/>
      <w:bookmarkStart w:id="186" w:name="_Toc410822646"/>
      <w:bookmarkStart w:id="187" w:name="_Toc411854284"/>
      <w:bookmarkStart w:id="188" w:name="_Toc411854317"/>
      <w:r w:rsidRPr="000B02BD">
        <w:lastRenderedPageBreak/>
        <w:t>Statement of Financial Position</w:t>
      </w:r>
      <w:bookmarkEnd w:id="177"/>
      <w:bookmarkEnd w:id="178"/>
      <w:bookmarkEnd w:id="179"/>
      <w:bookmarkEnd w:id="180"/>
      <w:bookmarkEnd w:id="181"/>
      <w:bookmarkEnd w:id="182"/>
      <w:bookmarkEnd w:id="183"/>
      <w:bookmarkEnd w:id="184"/>
      <w:bookmarkEnd w:id="185"/>
      <w:bookmarkEnd w:id="186"/>
      <w:bookmarkEnd w:id="187"/>
      <w:bookmarkEnd w:id="188"/>
    </w:p>
    <w:p w14:paraId="038A007A" w14:textId="53D59DFA" w:rsidR="00EF7E08" w:rsidRPr="000B02BD" w:rsidRDefault="002254C9" w:rsidP="000B02BD">
      <w:proofErr w:type="gramStart"/>
      <w:r w:rsidRPr="000B02BD">
        <w:t>as</w:t>
      </w:r>
      <w:proofErr w:type="gramEnd"/>
      <w:r w:rsidR="008D0375" w:rsidRPr="000B02BD">
        <w:t xml:space="preserve"> at</w:t>
      </w:r>
      <w:r w:rsidR="00EF7E08" w:rsidRPr="000B02BD">
        <w:t xml:space="preserve"> 31 December </w:t>
      </w:r>
      <w:r w:rsidR="006864EC" w:rsidRPr="000B02BD">
        <w:t>2014</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244123" w14:paraId="038A0081" w14:textId="77777777" w:rsidTr="00FC61D5">
        <w:trPr>
          <w:cantSplit/>
          <w:trHeight w:hRule="exact" w:val="227"/>
        </w:trPr>
        <w:tc>
          <w:tcPr>
            <w:tcW w:w="810" w:type="pct"/>
            <w:vAlign w:val="bottom"/>
          </w:tcPr>
          <w:p w14:paraId="038A007C" w14:textId="77777777" w:rsidR="00244123" w:rsidRDefault="00244123" w:rsidP="00D11709">
            <w:pPr>
              <w:pStyle w:val="Note-Refs"/>
            </w:pPr>
          </w:p>
        </w:tc>
        <w:tc>
          <w:tcPr>
            <w:tcW w:w="2297" w:type="pct"/>
            <w:shd w:val="clear" w:color="auto" w:fill="CCCCCC"/>
            <w:vAlign w:val="bottom"/>
          </w:tcPr>
          <w:p w14:paraId="038A007D" w14:textId="77777777" w:rsidR="00244123" w:rsidRDefault="00244123">
            <w:pPr>
              <w:pStyle w:val="NotesTable-ItemPlain"/>
            </w:pPr>
          </w:p>
        </w:tc>
        <w:tc>
          <w:tcPr>
            <w:tcW w:w="270" w:type="pct"/>
            <w:shd w:val="clear" w:color="auto" w:fill="CCCCCC"/>
            <w:vAlign w:val="bottom"/>
          </w:tcPr>
          <w:p w14:paraId="038A007E" w14:textId="77777777" w:rsidR="00244123" w:rsidRDefault="00244123" w:rsidP="005D4154">
            <w:pPr>
              <w:pStyle w:val="NotesTable-Notes"/>
            </w:pPr>
          </w:p>
        </w:tc>
        <w:tc>
          <w:tcPr>
            <w:tcW w:w="811" w:type="pct"/>
            <w:gridSpan w:val="2"/>
            <w:shd w:val="clear" w:color="auto" w:fill="CCCCCC"/>
            <w:vAlign w:val="bottom"/>
          </w:tcPr>
          <w:p w14:paraId="038A007F" w14:textId="77777777" w:rsidR="00244123" w:rsidRDefault="00244123" w:rsidP="001420DF">
            <w:pPr>
              <w:pStyle w:val="NotesTable-HeadPlain"/>
            </w:pPr>
          </w:p>
        </w:tc>
        <w:tc>
          <w:tcPr>
            <w:tcW w:w="811" w:type="pct"/>
            <w:gridSpan w:val="2"/>
            <w:shd w:val="clear" w:color="auto" w:fill="CCCCCC"/>
            <w:vAlign w:val="bottom"/>
          </w:tcPr>
          <w:p w14:paraId="038A0080" w14:textId="77777777" w:rsidR="00244123" w:rsidRDefault="00244123" w:rsidP="00C54AC3">
            <w:pPr>
              <w:pStyle w:val="NotesTable-HeadPlain"/>
            </w:pPr>
          </w:p>
        </w:tc>
      </w:tr>
      <w:tr w:rsidR="00B03530" w14:paraId="038A0088" w14:textId="77777777" w:rsidTr="00FC61D5">
        <w:trPr>
          <w:cantSplit/>
          <w:trHeight w:val="227"/>
        </w:trPr>
        <w:tc>
          <w:tcPr>
            <w:tcW w:w="810" w:type="pct"/>
            <w:vAlign w:val="center"/>
          </w:tcPr>
          <w:p w14:paraId="038A0082" w14:textId="77777777" w:rsidR="00B03530" w:rsidRDefault="00B03530" w:rsidP="00D11709">
            <w:pPr>
              <w:pStyle w:val="Note-Refs"/>
            </w:pPr>
            <w:r>
              <w:t>MANDATORY</w:t>
            </w:r>
          </w:p>
          <w:p w14:paraId="038A0083" w14:textId="77777777" w:rsidR="00B03530" w:rsidRDefault="005C2645" w:rsidP="00D11709">
            <w:pPr>
              <w:pStyle w:val="Note-Refs"/>
            </w:pPr>
            <w:r>
              <w:t>EDUCATION</w:t>
            </w:r>
          </w:p>
        </w:tc>
        <w:tc>
          <w:tcPr>
            <w:tcW w:w="2297" w:type="pct"/>
            <w:shd w:val="clear" w:color="auto" w:fill="CCCCCC"/>
            <w:vAlign w:val="bottom"/>
          </w:tcPr>
          <w:p w14:paraId="038A0084" w14:textId="77777777" w:rsidR="00B03530" w:rsidRDefault="00B03530">
            <w:pPr>
              <w:pStyle w:val="NotesTable-ItemPlain"/>
            </w:pPr>
          </w:p>
        </w:tc>
        <w:tc>
          <w:tcPr>
            <w:tcW w:w="270" w:type="pct"/>
            <w:shd w:val="clear" w:color="auto" w:fill="CCCCCC"/>
            <w:vAlign w:val="bottom"/>
          </w:tcPr>
          <w:p w14:paraId="038A0085" w14:textId="77777777" w:rsidR="00B03530" w:rsidRDefault="00B03530" w:rsidP="005D4154">
            <w:pPr>
              <w:pStyle w:val="NotesTable-Notes"/>
            </w:pPr>
          </w:p>
        </w:tc>
        <w:tc>
          <w:tcPr>
            <w:tcW w:w="811" w:type="pct"/>
            <w:gridSpan w:val="2"/>
            <w:shd w:val="clear" w:color="auto" w:fill="CCCCCC"/>
            <w:vAlign w:val="center"/>
          </w:tcPr>
          <w:p w14:paraId="038A0086" w14:textId="77777777" w:rsidR="00B03530" w:rsidRDefault="00B03530" w:rsidP="001420DF">
            <w:pPr>
              <w:pStyle w:val="NotesTable-HeadPlain"/>
              <w:rPr>
                <w:b/>
              </w:rPr>
            </w:pPr>
            <w:r>
              <w:t>Consolidated</w:t>
            </w:r>
          </w:p>
        </w:tc>
        <w:tc>
          <w:tcPr>
            <w:tcW w:w="811" w:type="pct"/>
            <w:gridSpan w:val="2"/>
            <w:shd w:val="clear" w:color="auto" w:fill="CCCCCC"/>
            <w:vAlign w:val="center"/>
          </w:tcPr>
          <w:p w14:paraId="038A0087" w14:textId="77777777" w:rsidR="00B03530" w:rsidRDefault="00B03530" w:rsidP="00C54AC3">
            <w:pPr>
              <w:pStyle w:val="NotesTable-HeadPlain"/>
              <w:rPr>
                <w:b/>
              </w:rPr>
            </w:pPr>
            <w:r>
              <w:t>Parent entity</w:t>
            </w:r>
          </w:p>
        </w:tc>
      </w:tr>
      <w:tr w:rsidR="004023E5" w14:paraId="038A0090" w14:textId="77777777" w:rsidTr="00FC61D5">
        <w:trPr>
          <w:cantSplit/>
          <w:trHeight w:hRule="exact" w:val="227"/>
        </w:trPr>
        <w:tc>
          <w:tcPr>
            <w:tcW w:w="810" w:type="pct"/>
          </w:tcPr>
          <w:p w14:paraId="038A0089" w14:textId="77777777" w:rsidR="004023E5" w:rsidRDefault="004023E5" w:rsidP="00D11709">
            <w:pPr>
              <w:pStyle w:val="Note-Refs"/>
            </w:pPr>
          </w:p>
        </w:tc>
        <w:tc>
          <w:tcPr>
            <w:tcW w:w="2297" w:type="pct"/>
            <w:shd w:val="clear" w:color="auto" w:fill="CCCCCC"/>
            <w:vAlign w:val="bottom"/>
          </w:tcPr>
          <w:p w14:paraId="038A008A" w14:textId="77777777" w:rsidR="004023E5" w:rsidRDefault="004023E5">
            <w:pPr>
              <w:pStyle w:val="NotesTable-ItemPlain"/>
            </w:pPr>
          </w:p>
        </w:tc>
        <w:tc>
          <w:tcPr>
            <w:tcW w:w="270" w:type="pct"/>
            <w:shd w:val="clear" w:color="auto" w:fill="CCCCCC"/>
            <w:vAlign w:val="bottom"/>
          </w:tcPr>
          <w:p w14:paraId="038A008B" w14:textId="77777777" w:rsidR="004023E5" w:rsidRDefault="004023E5" w:rsidP="005D4154">
            <w:pPr>
              <w:pStyle w:val="NotesTable-Notes"/>
              <w:rPr>
                <w:b/>
              </w:rPr>
            </w:pPr>
            <w:r>
              <w:t>Notes</w:t>
            </w:r>
          </w:p>
        </w:tc>
        <w:tc>
          <w:tcPr>
            <w:tcW w:w="406" w:type="pct"/>
            <w:shd w:val="clear" w:color="auto" w:fill="CCCCCC"/>
          </w:tcPr>
          <w:p w14:paraId="038A008C" w14:textId="58670831" w:rsidR="004023E5" w:rsidRDefault="006864EC">
            <w:pPr>
              <w:pStyle w:val="NotesTable-HeadBold"/>
            </w:pPr>
            <w:r>
              <w:t>2014</w:t>
            </w:r>
          </w:p>
        </w:tc>
        <w:tc>
          <w:tcPr>
            <w:tcW w:w="406" w:type="pct"/>
            <w:shd w:val="clear" w:color="auto" w:fill="CCCCCC"/>
          </w:tcPr>
          <w:p w14:paraId="038A008D" w14:textId="03B226D5" w:rsidR="004023E5" w:rsidRDefault="006864EC" w:rsidP="00C54AC3">
            <w:pPr>
              <w:pStyle w:val="NotesTable-HeadPlain"/>
            </w:pPr>
            <w:r>
              <w:t>2013</w:t>
            </w:r>
          </w:p>
        </w:tc>
        <w:tc>
          <w:tcPr>
            <w:tcW w:w="406" w:type="pct"/>
            <w:shd w:val="clear" w:color="auto" w:fill="CCCCCC"/>
          </w:tcPr>
          <w:p w14:paraId="038A008E" w14:textId="6488637D" w:rsidR="004023E5" w:rsidRDefault="006864EC">
            <w:pPr>
              <w:pStyle w:val="NotesTable-HeadBold"/>
            </w:pPr>
            <w:r>
              <w:t>2014</w:t>
            </w:r>
          </w:p>
        </w:tc>
        <w:tc>
          <w:tcPr>
            <w:tcW w:w="406" w:type="pct"/>
            <w:shd w:val="clear" w:color="auto" w:fill="CCCCCC"/>
          </w:tcPr>
          <w:p w14:paraId="038A008F" w14:textId="5F5D8F65" w:rsidR="004023E5" w:rsidRDefault="006864EC">
            <w:pPr>
              <w:pStyle w:val="NotesTable-HeadPlain"/>
            </w:pPr>
            <w:r>
              <w:t>2013</w:t>
            </w:r>
          </w:p>
        </w:tc>
      </w:tr>
      <w:tr w:rsidR="004023E5" w14:paraId="038A0098" w14:textId="77777777" w:rsidTr="00FC61D5">
        <w:trPr>
          <w:cantSplit/>
          <w:trHeight w:hRule="exact" w:val="227"/>
        </w:trPr>
        <w:tc>
          <w:tcPr>
            <w:tcW w:w="810" w:type="pct"/>
          </w:tcPr>
          <w:p w14:paraId="038A0091" w14:textId="77777777" w:rsidR="004023E5" w:rsidRDefault="004023E5" w:rsidP="00D11709">
            <w:pPr>
              <w:pStyle w:val="Note-Refs"/>
            </w:pPr>
          </w:p>
        </w:tc>
        <w:tc>
          <w:tcPr>
            <w:tcW w:w="2297" w:type="pct"/>
            <w:shd w:val="clear" w:color="auto" w:fill="CCCCCC"/>
            <w:vAlign w:val="bottom"/>
          </w:tcPr>
          <w:p w14:paraId="038A0092" w14:textId="77777777" w:rsidR="004023E5" w:rsidRDefault="004023E5">
            <w:pPr>
              <w:pStyle w:val="NotesTable-ItemPlain"/>
            </w:pPr>
          </w:p>
        </w:tc>
        <w:tc>
          <w:tcPr>
            <w:tcW w:w="270" w:type="pct"/>
            <w:shd w:val="clear" w:color="auto" w:fill="CCCCCC"/>
            <w:vAlign w:val="bottom"/>
          </w:tcPr>
          <w:p w14:paraId="038A0093" w14:textId="77777777" w:rsidR="004023E5" w:rsidRDefault="004023E5" w:rsidP="005D4154">
            <w:pPr>
              <w:pStyle w:val="NotesTable-Notes"/>
            </w:pPr>
          </w:p>
        </w:tc>
        <w:tc>
          <w:tcPr>
            <w:tcW w:w="406" w:type="pct"/>
            <w:shd w:val="clear" w:color="auto" w:fill="CCCCCC"/>
          </w:tcPr>
          <w:p w14:paraId="038A0094" w14:textId="77777777" w:rsidR="004023E5" w:rsidRDefault="004023E5">
            <w:pPr>
              <w:pStyle w:val="NotesTable-HeadBold"/>
            </w:pPr>
            <w:r>
              <w:t>$’000</w:t>
            </w:r>
          </w:p>
        </w:tc>
        <w:tc>
          <w:tcPr>
            <w:tcW w:w="406" w:type="pct"/>
            <w:shd w:val="clear" w:color="auto" w:fill="CCCCCC"/>
          </w:tcPr>
          <w:p w14:paraId="038A0095" w14:textId="77777777" w:rsidR="004023E5" w:rsidRDefault="004023E5" w:rsidP="00C54AC3">
            <w:pPr>
              <w:pStyle w:val="NotesTable-HeadPlain"/>
            </w:pPr>
            <w:r>
              <w:t>$’000</w:t>
            </w:r>
          </w:p>
        </w:tc>
        <w:tc>
          <w:tcPr>
            <w:tcW w:w="406" w:type="pct"/>
            <w:shd w:val="clear" w:color="auto" w:fill="CCCCCC"/>
          </w:tcPr>
          <w:p w14:paraId="038A0096" w14:textId="77777777" w:rsidR="004023E5" w:rsidRDefault="004023E5">
            <w:pPr>
              <w:pStyle w:val="NotesTable-HeadBold"/>
            </w:pPr>
            <w:r>
              <w:t>$’000</w:t>
            </w:r>
          </w:p>
        </w:tc>
        <w:tc>
          <w:tcPr>
            <w:tcW w:w="406" w:type="pct"/>
            <w:shd w:val="clear" w:color="auto" w:fill="CCCCCC"/>
          </w:tcPr>
          <w:p w14:paraId="038A0097" w14:textId="77777777" w:rsidR="004023E5" w:rsidRDefault="004023E5">
            <w:pPr>
              <w:pStyle w:val="NotesTable-HeadPlain"/>
            </w:pPr>
            <w:r>
              <w:t>$’000</w:t>
            </w:r>
          </w:p>
        </w:tc>
      </w:tr>
      <w:tr w:rsidR="00B03530" w14:paraId="038A00A0" w14:textId="77777777" w:rsidTr="00FC61D5">
        <w:trPr>
          <w:cantSplit/>
          <w:trHeight w:hRule="exact" w:val="227"/>
        </w:trPr>
        <w:tc>
          <w:tcPr>
            <w:tcW w:w="810" w:type="pct"/>
          </w:tcPr>
          <w:p w14:paraId="038A0099" w14:textId="77777777" w:rsidR="00B03530" w:rsidRDefault="00B03530" w:rsidP="00D11709">
            <w:pPr>
              <w:pStyle w:val="Note-Refs"/>
            </w:pPr>
          </w:p>
        </w:tc>
        <w:tc>
          <w:tcPr>
            <w:tcW w:w="2297" w:type="pct"/>
            <w:shd w:val="clear" w:color="auto" w:fill="CCCCCC"/>
            <w:vAlign w:val="bottom"/>
          </w:tcPr>
          <w:p w14:paraId="038A009A" w14:textId="77777777" w:rsidR="00B03530" w:rsidRDefault="00B03530">
            <w:pPr>
              <w:pStyle w:val="Statement-ItemBold"/>
            </w:pPr>
            <w:r>
              <w:t>A</w:t>
            </w:r>
            <w:r w:rsidR="00512CCD">
              <w:t>ssets</w:t>
            </w:r>
          </w:p>
        </w:tc>
        <w:tc>
          <w:tcPr>
            <w:tcW w:w="270" w:type="pct"/>
            <w:shd w:val="clear" w:color="auto" w:fill="CCCCCC"/>
            <w:vAlign w:val="bottom"/>
          </w:tcPr>
          <w:p w14:paraId="038A009B" w14:textId="77777777" w:rsidR="00B03530" w:rsidRDefault="00B03530" w:rsidP="005D4154">
            <w:pPr>
              <w:pStyle w:val="NotesTable-Notes"/>
              <w:rPr>
                <w:shd w:val="clear" w:color="auto" w:fill="FFFF00"/>
              </w:rPr>
            </w:pPr>
          </w:p>
        </w:tc>
        <w:tc>
          <w:tcPr>
            <w:tcW w:w="406" w:type="pct"/>
            <w:shd w:val="clear" w:color="auto" w:fill="CCCCCC"/>
          </w:tcPr>
          <w:p w14:paraId="038A009C" w14:textId="77777777" w:rsidR="00B03530" w:rsidRDefault="00B03530" w:rsidP="00606085">
            <w:pPr>
              <w:pStyle w:val="NotesTable-CellBold"/>
            </w:pPr>
          </w:p>
        </w:tc>
        <w:tc>
          <w:tcPr>
            <w:tcW w:w="406" w:type="pct"/>
            <w:shd w:val="clear" w:color="auto" w:fill="CCCCCC"/>
          </w:tcPr>
          <w:p w14:paraId="038A009D" w14:textId="77777777" w:rsidR="00B03530" w:rsidRDefault="00B03530" w:rsidP="00606085">
            <w:pPr>
              <w:pStyle w:val="NotesTable-CellPlain"/>
            </w:pPr>
          </w:p>
        </w:tc>
        <w:tc>
          <w:tcPr>
            <w:tcW w:w="406" w:type="pct"/>
            <w:shd w:val="clear" w:color="auto" w:fill="CCCCCC"/>
          </w:tcPr>
          <w:p w14:paraId="038A009E" w14:textId="77777777" w:rsidR="00B03530" w:rsidRDefault="00B03530" w:rsidP="00606085">
            <w:pPr>
              <w:pStyle w:val="NotesTable-CellBold"/>
            </w:pPr>
          </w:p>
        </w:tc>
        <w:tc>
          <w:tcPr>
            <w:tcW w:w="406" w:type="pct"/>
            <w:shd w:val="clear" w:color="auto" w:fill="CCCCCC"/>
          </w:tcPr>
          <w:p w14:paraId="038A009F" w14:textId="77777777" w:rsidR="00B03530" w:rsidRDefault="00B03530" w:rsidP="00606085">
            <w:pPr>
              <w:pStyle w:val="NotesTable-CellPlain"/>
            </w:pPr>
          </w:p>
        </w:tc>
      </w:tr>
      <w:tr w:rsidR="00B03530" w14:paraId="038A00A8" w14:textId="77777777" w:rsidTr="00FC61D5">
        <w:trPr>
          <w:cantSplit/>
          <w:trHeight w:hRule="exact" w:val="227"/>
        </w:trPr>
        <w:tc>
          <w:tcPr>
            <w:tcW w:w="810" w:type="pct"/>
          </w:tcPr>
          <w:p w14:paraId="038A00A1" w14:textId="77777777" w:rsidR="00B03530" w:rsidRDefault="00B03530" w:rsidP="00D11709">
            <w:pPr>
              <w:pStyle w:val="Note-Refs"/>
            </w:pPr>
            <w:r>
              <w:t>AASB101</w:t>
            </w:r>
            <w:r w:rsidR="00D428CF">
              <w:t>.</w:t>
            </w:r>
            <w:r>
              <w:t>60,66</w:t>
            </w:r>
          </w:p>
        </w:tc>
        <w:tc>
          <w:tcPr>
            <w:tcW w:w="2297" w:type="pct"/>
            <w:shd w:val="clear" w:color="auto" w:fill="CCCCCC"/>
            <w:vAlign w:val="bottom"/>
          </w:tcPr>
          <w:p w14:paraId="038A00A2" w14:textId="77777777" w:rsidR="00B03530" w:rsidRDefault="00B03530">
            <w:pPr>
              <w:pStyle w:val="Statement-ItemBold"/>
            </w:pPr>
            <w:r>
              <w:t>Current assets</w:t>
            </w:r>
          </w:p>
        </w:tc>
        <w:tc>
          <w:tcPr>
            <w:tcW w:w="270" w:type="pct"/>
            <w:shd w:val="clear" w:color="auto" w:fill="CCCCCC"/>
            <w:vAlign w:val="bottom"/>
          </w:tcPr>
          <w:p w14:paraId="038A00A3" w14:textId="77777777" w:rsidR="00B03530" w:rsidRDefault="00B03530" w:rsidP="005D4154">
            <w:pPr>
              <w:pStyle w:val="NotesTable-Notes"/>
            </w:pPr>
          </w:p>
        </w:tc>
        <w:tc>
          <w:tcPr>
            <w:tcW w:w="406" w:type="pct"/>
            <w:shd w:val="clear" w:color="auto" w:fill="CCCCCC"/>
          </w:tcPr>
          <w:p w14:paraId="038A00A4" w14:textId="77777777" w:rsidR="00B03530" w:rsidRDefault="00B03530" w:rsidP="00606085">
            <w:pPr>
              <w:pStyle w:val="NotesTable-CellBold"/>
            </w:pPr>
          </w:p>
        </w:tc>
        <w:tc>
          <w:tcPr>
            <w:tcW w:w="406" w:type="pct"/>
            <w:shd w:val="clear" w:color="auto" w:fill="CCCCCC"/>
          </w:tcPr>
          <w:p w14:paraId="038A00A5" w14:textId="77777777" w:rsidR="00B03530" w:rsidRDefault="00B03530" w:rsidP="00606085">
            <w:pPr>
              <w:pStyle w:val="NotesTable-CellPlain"/>
            </w:pPr>
          </w:p>
        </w:tc>
        <w:tc>
          <w:tcPr>
            <w:tcW w:w="406" w:type="pct"/>
            <w:shd w:val="clear" w:color="auto" w:fill="CCCCCC"/>
          </w:tcPr>
          <w:p w14:paraId="038A00A6" w14:textId="77777777" w:rsidR="00B03530" w:rsidRDefault="00B03530" w:rsidP="00606085">
            <w:pPr>
              <w:pStyle w:val="NotesTable-CellBold"/>
            </w:pPr>
          </w:p>
        </w:tc>
        <w:tc>
          <w:tcPr>
            <w:tcW w:w="406" w:type="pct"/>
            <w:shd w:val="clear" w:color="auto" w:fill="CCCCCC"/>
          </w:tcPr>
          <w:p w14:paraId="038A00A7" w14:textId="77777777" w:rsidR="00B03530" w:rsidRDefault="00B03530" w:rsidP="00606085">
            <w:pPr>
              <w:pStyle w:val="NotesTable-CellPlain"/>
            </w:pPr>
          </w:p>
        </w:tc>
      </w:tr>
      <w:tr w:rsidR="00B03530" w14:paraId="038A00B0" w14:textId="77777777" w:rsidTr="00FC61D5">
        <w:trPr>
          <w:cantSplit/>
          <w:trHeight w:hRule="exact" w:val="227"/>
        </w:trPr>
        <w:tc>
          <w:tcPr>
            <w:tcW w:w="810" w:type="pct"/>
          </w:tcPr>
          <w:p w14:paraId="038A00A9" w14:textId="77777777" w:rsidR="00B03530" w:rsidRDefault="00B03530" w:rsidP="00D11709">
            <w:pPr>
              <w:pStyle w:val="Note-Refs"/>
            </w:pPr>
            <w:r>
              <w:t>AASB101</w:t>
            </w:r>
            <w:r w:rsidR="0082032F">
              <w:t>.</w:t>
            </w:r>
            <w:r>
              <w:t>54i</w:t>
            </w:r>
          </w:p>
        </w:tc>
        <w:tc>
          <w:tcPr>
            <w:tcW w:w="2297" w:type="pct"/>
            <w:shd w:val="clear" w:color="auto" w:fill="CCCCCC"/>
            <w:vAlign w:val="bottom"/>
          </w:tcPr>
          <w:p w14:paraId="038A00AA" w14:textId="77777777" w:rsidR="00B03530" w:rsidRDefault="00B03530" w:rsidP="00D11709">
            <w:pPr>
              <w:pStyle w:val="NotesTable-ItemPlain"/>
              <w:rPr>
                <w:b/>
              </w:rPr>
            </w:pPr>
            <w:r>
              <w:t>Cash and cash equivalents</w:t>
            </w:r>
          </w:p>
        </w:tc>
        <w:tc>
          <w:tcPr>
            <w:tcW w:w="270" w:type="pct"/>
            <w:shd w:val="clear" w:color="auto" w:fill="CCCCCC"/>
            <w:vAlign w:val="bottom"/>
          </w:tcPr>
          <w:p w14:paraId="038A00AB" w14:textId="49895541" w:rsidR="00B03530" w:rsidRDefault="00F405B7" w:rsidP="005D4154">
            <w:pPr>
              <w:pStyle w:val="NotesTable-Notes"/>
              <w:rPr>
                <w:b/>
              </w:rPr>
            </w:pPr>
            <w:r>
              <w:t>18</w:t>
            </w:r>
          </w:p>
        </w:tc>
        <w:tc>
          <w:tcPr>
            <w:tcW w:w="406" w:type="pct"/>
            <w:shd w:val="clear" w:color="auto" w:fill="CCCCCC"/>
          </w:tcPr>
          <w:p w14:paraId="038A00AC" w14:textId="77777777" w:rsidR="00B03530" w:rsidRDefault="00B03530" w:rsidP="00606085">
            <w:pPr>
              <w:pStyle w:val="NotesTable-CellBold"/>
              <w:rPr>
                <w:b w:val="0"/>
              </w:rPr>
            </w:pPr>
            <w:r>
              <w:t>–</w:t>
            </w:r>
          </w:p>
        </w:tc>
        <w:tc>
          <w:tcPr>
            <w:tcW w:w="406" w:type="pct"/>
            <w:shd w:val="clear" w:color="auto" w:fill="CCCCCC"/>
          </w:tcPr>
          <w:p w14:paraId="038A00AD" w14:textId="77777777" w:rsidR="00B03530" w:rsidRDefault="00B03530" w:rsidP="00606085">
            <w:pPr>
              <w:pStyle w:val="NotesTable-CellPlain"/>
              <w:rPr>
                <w:b/>
              </w:rPr>
            </w:pPr>
            <w:r>
              <w:t>–</w:t>
            </w:r>
          </w:p>
        </w:tc>
        <w:tc>
          <w:tcPr>
            <w:tcW w:w="406" w:type="pct"/>
            <w:shd w:val="clear" w:color="auto" w:fill="CCCCCC"/>
          </w:tcPr>
          <w:p w14:paraId="038A00AE" w14:textId="77777777" w:rsidR="00B03530" w:rsidRDefault="00B03530" w:rsidP="00606085">
            <w:pPr>
              <w:pStyle w:val="NotesTable-CellBold"/>
              <w:rPr>
                <w:b w:val="0"/>
              </w:rPr>
            </w:pPr>
            <w:r>
              <w:t>–</w:t>
            </w:r>
          </w:p>
        </w:tc>
        <w:tc>
          <w:tcPr>
            <w:tcW w:w="406" w:type="pct"/>
            <w:shd w:val="clear" w:color="auto" w:fill="CCCCCC"/>
          </w:tcPr>
          <w:p w14:paraId="038A00AF" w14:textId="77777777" w:rsidR="00B03530" w:rsidRDefault="00B03530" w:rsidP="00606085">
            <w:pPr>
              <w:pStyle w:val="NotesTable-CellPlain"/>
              <w:rPr>
                <w:b/>
              </w:rPr>
            </w:pPr>
            <w:r>
              <w:t>–</w:t>
            </w:r>
          </w:p>
        </w:tc>
      </w:tr>
      <w:tr w:rsidR="00B03530" w14:paraId="038A00B8" w14:textId="77777777" w:rsidTr="00FC61D5">
        <w:trPr>
          <w:cantSplit/>
          <w:trHeight w:hRule="exact" w:val="227"/>
        </w:trPr>
        <w:tc>
          <w:tcPr>
            <w:tcW w:w="810" w:type="pct"/>
          </w:tcPr>
          <w:p w14:paraId="038A00B1" w14:textId="77777777" w:rsidR="00B03530" w:rsidRDefault="00B03530" w:rsidP="00D11709">
            <w:pPr>
              <w:pStyle w:val="Note-Refs"/>
              <w:rPr>
                <w:b/>
              </w:rPr>
            </w:pPr>
            <w:r>
              <w:t>AASB101</w:t>
            </w:r>
            <w:r w:rsidR="0082032F">
              <w:t>.</w:t>
            </w:r>
            <w:r>
              <w:t>54h</w:t>
            </w:r>
          </w:p>
        </w:tc>
        <w:tc>
          <w:tcPr>
            <w:tcW w:w="2297" w:type="pct"/>
            <w:shd w:val="clear" w:color="auto" w:fill="CCCCCC"/>
            <w:vAlign w:val="bottom"/>
          </w:tcPr>
          <w:p w14:paraId="038A00B2" w14:textId="77777777" w:rsidR="00B03530" w:rsidRDefault="00B03530" w:rsidP="00D11709">
            <w:pPr>
              <w:pStyle w:val="NotesTable-ItemPlain"/>
              <w:rPr>
                <w:b/>
              </w:rPr>
            </w:pPr>
            <w:r>
              <w:t>Receivables</w:t>
            </w:r>
          </w:p>
        </w:tc>
        <w:tc>
          <w:tcPr>
            <w:tcW w:w="270" w:type="pct"/>
            <w:shd w:val="clear" w:color="auto" w:fill="CCCCCC"/>
            <w:vAlign w:val="bottom"/>
          </w:tcPr>
          <w:p w14:paraId="038A00B3" w14:textId="34988CAF" w:rsidR="00B03530" w:rsidRDefault="00F405B7" w:rsidP="005D4154">
            <w:pPr>
              <w:pStyle w:val="NotesTable-Notes"/>
              <w:rPr>
                <w:b/>
              </w:rPr>
            </w:pPr>
            <w:r>
              <w:t>19</w:t>
            </w:r>
          </w:p>
        </w:tc>
        <w:tc>
          <w:tcPr>
            <w:tcW w:w="406" w:type="pct"/>
            <w:shd w:val="clear" w:color="auto" w:fill="CCCCCC"/>
          </w:tcPr>
          <w:p w14:paraId="038A00B4" w14:textId="77777777" w:rsidR="00B03530" w:rsidRDefault="00B03530" w:rsidP="00606085">
            <w:pPr>
              <w:pStyle w:val="NotesTable-CellBold"/>
              <w:rPr>
                <w:b w:val="0"/>
              </w:rPr>
            </w:pPr>
            <w:r>
              <w:t>–</w:t>
            </w:r>
          </w:p>
        </w:tc>
        <w:tc>
          <w:tcPr>
            <w:tcW w:w="406" w:type="pct"/>
            <w:shd w:val="clear" w:color="auto" w:fill="CCCCCC"/>
          </w:tcPr>
          <w:p w14:paraId="038A00B5" w14:textId="77777777" w:rsidR="00B03530" w:rsidRDefault="00B03530" w:rsidP="00606085">
            <w:pPr>
              <w:pStyle w:val="NotesTable-CellPlain"/>
              <w:rPr>
                <w:b/>
              </w:rPr>
            </w:pPr>
            <w:r>
              <w:t>–</w:t>
            </w:r>
          </w:p>
        </w:tc>
        <w:tc>
          <w:tcPr>
            <w:tcW w:w="406" w:type="pct"/>
            <w:shd w:val="clear" w:color="auto" w:fill="CCCCCC"/>
          </w:tcPr>
          <w:p w14:paraId="038A00B6" w14:textId="77777777" w:rsidR="00B03530" w:rsidRDefault="00B03530" w:rsidP="00606085">
            <w:pPr>
              <w:pStyle w:val="NotesTable-CellBold"/>
              <w:rPr>
                <w:b w:val="0"/>
              </w:rPr>
            </w:pPr>
            <w:r>
              <w:t>–</w:t>
            </w:r>
          </w:p>
        </w:tc>
        <w:tc>
          <w:tcPr>
            <w:tcW w:w="406" w:type="pct"/>
            <w:shd w:val="clear" w:color="auto" w:fill="CCCCCC"/>
          </w:tcPr>
          <w:p w14:paraId="038A00B7" w14:textId="77777777" w:rsidR="00B03530" w:rsidRDefault="00B03530" w:rsidP="00606085">
            <w:pPr>
              <w:pStyle w:val="NotesTable-CellPlain"/>
              <w:rPr>
                <w:b/>
              </w:rPr>
            </w:pPr>
            <w:r>
              <w:t>–</w:t>
            </w:r>
          </w:p>
        </w:tc>
      </w:tr>
      <w:tr w:rsidR="00B03530" w14:paraId="038A00C0" w14:textId="77777777" w:rsidTr="00FC61D5">
        <w:trPr>
          <w:cantSplit/>
          <w:trHeight w:hRule="exact" w:val="227"/>
        </w:trPr>
        <w:tc>
          <w:tcPr>
            <w:tcW w:w="810" w:type="pct"/>
          </w:tcPr>
          <w:p w14:paraId="038A00B9" w14:textId="77777777" w:rsidR="00B03530" w:rsidRDefault="00B03530" w:rsidP="00D11709">
            <w:pPr>
              <w:pStyle w:val="Note-Refs"/>
              <w:rPr>
                <w:b/>
              </w:rPr>
            </w:pPr>
            <w:r>
              <w:t>AASB101</w:t>
            </w:r>
            <w:r w:rsidR="0082032F">
              <w:t>.</w:t>
            </w:r>
            <w:r>
              <w:t>54g</w:t>
            </w:r>
          </w:p>
        </w:tc>
        <w:tc>
          <w:tcPr>
            <w:tcW w:w="2297" w:type="pct"/>
            <w:shd w:val="clear" w:color="auto" w:fill="CCCCCC"/>
            <w:vAlign w:val="bottom"/>
          </w:tcPr>
          <w:p w14:paraId="038A00BA" w14:textId="77777777" w:rsidR="00B03530" w:rsidRDefault="00B03530" w:rsidP="00D11709">
            <w:pPr>
              <w:pStyle w:val="NotesTable-ItemPlain"/>
              <w:rPr>
                <w:b/>
              </w:rPr>
            </w:pPr>
            <w:r>
              <w:t>Inventories</w:t>
            </w:r>
          </w:p>
        </w:tc>
        <w:tc>
          <w:tcPr>
            <w:tcW w:w="270" w:type="pct"/>
            <w:shd w:val="clear" w:color="auto" w:fill="CCCCCC"/>
            <w:vAlign w:val="bottom"/>
          </w:tcPr>
          <w:p w14:paraId="038A00BB" w14:textId="5B59E8E5" w:rsidR="00B03530" w:rsidRDefault="00B03530" w:rsidP="005D4154">
            <w:pPr>
              <w:pStyle w:val="NotesTable-Notes"/>
              <w:rPr>
                <w:b/>
              </w:rPr>
            </w:pPr>
            <w:r>
              <w:t>2</w:t>
            </w:r>
            <w:r w:rsidR="00F405B7">
              <w:t>0</w:t>
            </w:r>
          </w:p>
        </w:tc>
        <w:tc>
          <w:tcPr>
            <w:tcW w:w="406" w:type="pct"/>
            <w:shd w:val="clear" w:color="auto" w:fill="CCCCCC"/>
          </w:tcPr>
          <w:p w14:paraId="038A00BC" w14:textId="77777777" w:rsidR="00B03530" w:rsidRDefault="00B03530" w:rsidP="00606085">
            <w:pPr>
              <w:pStyle w:val="NotesTable-CellBold"/>
              <w:rPr>
                <w:b w:val="0"/>
              </w:rPr>
            </w:pPr>
            <w:r>
              <w:t>–</w:t>
            </w:r>
          </w:p>
        </w:tc>
        <w:tc>
          <w:tcPr>
            <w:tcW w:w="406" w:type="pct"/>
            <w:shd w:val="clear" w:color="auto" w:fill="CCCCCC"/>
          </w:tcPr>
          <w:p w14:paraId="038A00BD" w14:textId="77777777" w:rsidR="00B03530" w:rsidRDefault="00B03530" w:rsidP="00606085">
            <w:pPr>
              <w:pStyle w:val="NotesTable-CellPlain"/>
              <w:rPr>
                <w:b/>
              </w:rPr>
            </w:pPr>
            <w:r>
              <w:t>–</w:t>
            </w:r>
          </w:p>
        </w:tc>
        <w:tc>
          <w:tcPr>
            <w:tcW w:w="406" w:type="pct"/>
            <w:shd w:val="clear" w:color="auto" w:fill="CCCCCC"/>
          </w:tcPr>
          <w:p w14:paraId="038A00BE" w14:textId="77777777" w:rsidR="00B03530" w:rsidRDefault="00B03530" w:rsidP="00606085">
            <w:pPr>
              <w:pStyle w:val="NotesTable-CellBold"/>
              <w:rPr>
                <w:b w:val="0"/>
              </w:rPr>
            </w:pPr>
            <w:r>
              <w:t>–</w:t>
            </w:r>
          </w:p>
        </w:tc>
        <w:tc>
          <w:tcPr>
            <w:tcW w:w="406" w:type="pct"/>
            <w:shd w:val="clear" w:color="auto" w:fill="CCCCCC"/>
          </w:tcPr>
          <w:p w14:paraId="038A00BF" w14:textId="77777777" w:rsidR="00B03530" w:rsidRDefault="00B03530" w:rsidP="00606085">
            <w:pPr>
              <w:pStyle w:val="NotesTable-CellPlain"/>
              <w:rPr>
                <w:b/>
              </w:rPr>
            </w:pPr>
            <w:r>
              <w:t>–</w:t>
            </w:r>
          </w:p>
        </w:tc>
      </w:tr>
      <w:tr w:rsidR="00B03530" w14:paraId="038A00C8" w14:textId="77777777" w:rsidTr="00FC61D5">
        <w:trPr>
          <w:cantSplit/>
          <w:trHeight w:hRule="exact" w:val="227"/>
        </w:trPr>
        <w:tc>
          <w:tcPr>
            <w:tcW w:w="810" w:type="pct"/>
          </w:tcPr>
          <w:p w14:paraId="038A00C1" w14:textId="77777777" w:rsidR="00B03530" w:rsidRDefault="00B03530" w:rsidP="00D11709">
            <w:pPr>
              <w:pStyle w:val="Note-Refs"/>
              <w:rPr>
                <w:b/>
              </w:rPr>
            </w:pPr>
            <w:r>
              <w:t>AASB101</w:t>
            </w:r>
            <w:r w:rsidR="0082032F">
              <w:t>.</w:t>
            </w:r>
            <w:r>
              <w:t>54d</w:t>
            </w:r>
          </w:p>
        </w:tc>
        <w:tc>
          <w:tcPr>
            <w:tcW w:w="2297" w:type="pct"/>
            <w:shd w:val="clear" w:color="auto" w:fill="CCCCCC"/>
            <w:vAlign w:val="bottom"/>
          </w:tcPr>
          <w:p w14:paraId="038A00C2" w14:textId="77777777" w:rsidR="00B03530" w:rsidRDefault="00B03530" w:rsidP="00D11709">
            <w:pPr>
              <w:pStyle w:val="NotesTable-ItemPlain"/>
              <w:rPr>
                <w:b/>
              </w:rPr>
            </w:pPr>
            <w:r>
              <w:t>Other financial assets</w:t>
            </w:r>
          </w:p>
        </w:tc>
        <w:tc>
          <w:tcPr>
            <w:tcW w:w="270" w:type="pct"/>
            <w:shd w:val="clear" w:color="auto" w:fill="CCCCCC"/>
            <w:vAlign w:val="bottom"/>
          </w:tcPr>
          <w:p w14:paraId="038A00C3" w14:textId="2348726F" w:rsidR="00B03530" w:rsidRDefault="00B03530" w:rsidP="005D4154">
            <w:pPr>
              <w:pStyle w:val="NotesTable-Notes"/>
              <w:rPr>
                <w:b/>
              </w:rPr>
            </w:pPr>
            <w:r>
              <w:t>2</w:t>
            </w:r>
            <w:r w:rsidR="00F405B7">
              <w:t>1</w:t>
            </w:r>
          </w:p>
        </w:tc>
        <w:tc>
          <w:tcPr>
            <w:tcW w:w="406" w:type="pct"/>
            <w:shd w:val="clear" w:color="auto" w:fill="CCCCCC"/>
          </w:tcPr>
          <w:p w14:paraId="038A00C4" w14:textId="77777777" w:rsidR="00B03530" w:rsidRDefault="00B03530" w:rsidP="00606085">
            <w:pPr>
              <w:pStyle w:val="NotesTable-CellBold"/>
              <w:rPr>
                <w:b w:val="0"/>
              </w:rPr>
            </w:pPr>
            <w:r>
              <w:t>–</w:t>
            </w:r>
          </w:p>
        </w:tc>
        <w:tc>
          <w:tcPr>
            <w:tcW w:w="406" w:type="pct"/>
            <w:shd w:val="clear" w:color="auto" w:fill="CCCCCC"/>
          </w:tcPr>
          <w:p w14:paraId="038A00C5" w14:textId="77777777" w:rsidR="00B03530" w:rsidRDefault="00B03530" w:rsidP="00606085">
            <w:pPr>
              <w:pStyle w:val="NotesTable-CellPlain"/>
              <w:rPr>
                <w:b/>
              </w:rPr>
            </w:pPr>
            <w:r>
              <w:t>–</w:t>
            </w:r>
          </w:p>
        </w:tc>
        <w:tc>
          <w:tcPr>
            <w:tcW w:w="406" w:type="pct"/>
            <w:shd w:val="clear" w:color="auto" w:fill="CCCCCC"/>
          </w:tcPr>
          <w:p w14:paraId="038A00C6" w14:textId="77777777" w:rsidR="00B03530" w:rsidRDefault="00B03530" w:rsidP="00606085">
            <w:pPr>
              <w:pStyle w:val="NotesTable-CellBold"/>
              <w:rPr>
                <w:b w:val="0"/>
              </w:rPr>
            </w:pPr>
            <w:r>
              <w:t>–</w:t>
            </w:r>
          </w:p>
        </w:tc>
        <w:tc>
          <w:tcPr>
            <w:tcW w:w="406" w:type="pct"/>
            <w:shd w:val="clear" w:color="auto" w:fill="CCCCCC"/>
          </w:tcPr>
          <w:p w14:paraId="038A00C7" w14:textId="77777777" w:rsidR="00B03530" w:rsidRDefault="00B03530" w:rsidP="00606085">
            <w:pPr>
              <w:pStyle w:val="NotesTable-CellPlain"/>
              <w:rPr>
                <w:b/>
              </w:rPr>
            </w:pPr>
            <w:r>
              <w:t>–</w:t>
            </w:r>
          </w:p>
        </w:tc>
      </w:tr>
      <w:tr w:rsidR="00B03530" w14:paraId="038A00D1" w14:textId="77777777" w:rsidTr="00FC61D5">
        <w:trPr>
          <w:cantSplit/>
          <w:trHeight w:hRule="exact" w:val="454"/>
        </w:trPr>
        <w:tc>
          <w:tcPr>
            <w:tcW w:w="810" w:type="pct"/>
          </w:tcPr>
          <w:p w14:paraId="038A00C9" w14:textId="77777777" w:rsidR="00B03530" w:rsidRDefault="00B03530" w:rsidP="00D11709">
            <w:pPr>
              <w:pStyle w:val="Note-Refs"/>
              <w:rPr>
                <w:b/>
              </w:rPr>
            </w:pPr>
            <w:r>
              <w:t>AASB101</w:t>
            </w:r>
            <w:r w:rsidR="0082032F">
              <w:t>.</w:t>
            </w:r>
            <w:r>
              <w:t>54j</w:t>
            </w:r>
          </w:p>
          <w:p w14:paraId="038A00CA" w14:textId="77777777" w:rsidR="00B03530" w:rsidRDefault="00B03530" w:rsidP="00D11709">
            <w:pPr>
              <w:pStyle w:val="Note-Refs"/>
              <w:rPr>
                <w:b/>
              </w:rPr>
            </w:pPr>
            <w:r>
              <w:t>AASB5</w:t>
            </w:r>
            <w:r w:rsidR="0082032F">
              <w:t>.</w:t>
            </w:r>
            <w:r>
              <w:t>38</w:t>
            </w:r>
          </w:p>
        </w:tc>
        <w:tc>
          <w:tcPr>
            <w:tcW w:w="2297" w:type="pct"/>
            <w:shd w:val="clear" w:color="auto" w:fill="CCCCCC"/>
            <w:vAlign w:val="bottom"/>
          </w:tcPr>
          <w:p w14:paraId="038A00CB" w14:textId="77777777" w:rsidR="00B03530" w:rsidRDefault="00B03530" w:rsidP="00D11709">
            <w:pPr>
              <w:pStyle w:val="NotesTable-ItemPlain"/>
              <w:rPr>
                <w:b/>
              </w:rPr>
            </w:pPr>
            <w:r>
              <w:t>Non-current assets and disposal groups classified as held for sale</w:t>
            </w:r>
          </w:p>
        </w:tc>
        <w:tc>
          <w:tcPr>
            <w:tcW w:w="270" w:type="pct"/>
            <w:shd w:val="clear" w:color="auto" w:fill="CCCCCC"/>
            <w:vAlign w:val="bottom"/>
          </w:tcPr>
          <w:p w14:paraId="038A00CC" w14:textId="27E063F1" w:rsidR="00B03530" w:rsidRDefault="00D779B9" w:rsidP="005D4154">
            <w:pPr>
              <w:pStyle w:val="NotesTable-Notes"/>
              <w:rPr>
                <w:b/>
              </w:rPr>
            </w:pPr>
            <w:r>
              <w:t>51</w:t>
            </w:r>
            <w:r w:rsidR="00ED0968">
              <w:t>/</w:t>
            </w:r>
            <w:r w:rsidR="00B03530">
              <w:t>1</w:t>
            </w:r>
            <w:r w:rsidR="00F405B7">
              <w:t>7</w:t>
            </w:r>
          </w:p>
        </w:tc>
        <w:tc>
          <w:tcPr>
            <w:tcW w:w="406" w:type="pct"/>
            <w:shd w:val="clear" w:color="auto" w:fill="CCCCCC"/>
          </w:tcPr>
          <w:p w14:paraId="038A00CD" w14:textId="77777777" w:rsidR="00B03530" w:rsidRDefault="00B03530" w:rsidP="00606085">
            <w:pPr>
              <w:pStyle w:val="NotesTable-CellBold"/>
              <w:rPr>
                <w:b w:val="0"/>
              </w:rPr>
            </w:pPr>
            <w:r>
              <w:t>–</w:t>
            </w:r>
          </w:p>
        </w:tc>
        <w:tc>
          <w:tcPr>
            <w:tcW w:w="406" w:type="pct"/>
            <w:shd w:val="clear" w:color="auto" w:fill="CCCCCC"/>
          </w:tcPr>
          <w:p w14:paraId="038A00CE" w14:textId="77777777" w:rsidR="00B03530" w:rsidRDefault="00B03530" w:rsidP="00606085">
            <w:pPr>
              <w:pStyle w:val="NotesTable-CellPlain"/>
              <w:rPr>
                <w:b/>
              </w:rPr>
            </w:pPr>
            <w:r>
              <w:t>–</w:t>
            </w:r>
          </w:p>
        </w:tc>
        <w:tc>
          <w:tcPr>
            <w:tcW w:w="406" w:type="pct"/>
            <w:shd w:val="clear" w:color="auto" w:fill="CCCCCC"/>
          </w:tcPr>
          <w:p w14:paraId="038A00CF" w14:textId="77777777" w:rsidR="00B03530" w:rsidRDefault="00B03530" w:rsidP="00606085">
            <w:pPr>
              <w:pStyle w:val="NotesTable-CellBold"/>
              <w:rPr>
                <w:b w:val="0"/>
              </w:rPr>
            </w:pPr>
            <w:r>
              <w:t>–</w:t>
            </w:r>
          </w:p>
        </w:tc>
        <w:tc>
          <w:tcPr>
            <w:tcW w:w="406" w:type="pct"/>
            <w:shd w:val="clear" w:color="auto" w:fill="CCCCCC"/>
          </w:tcPr>
          <w:p w14:paraId="038A00D0" w14:textId="77777777" w:rsidR="00B03530" w:rsidRDefault="00B03530" w:rsidP="00606085">
            <w:pPr>
              <w:pStyle w:val="NotesTable-CellPlain"/>
              <w:rPr>
                <w:b/>
              </w:rPr>
            </w:pPr>
            <w:r>
              <w:t>–</w:t>
            </w:r>
          </w:p>
        </w:tc>
      </w:tr>
      <w:tr w:rsidR="00881769" w14:paraId="038A00DA" w14:textId="77777777" w:rsidTr="00FC61D5">
        <w:trPr>
          <w:cantSplit/>
          <w:trHeight w:hRule="exact" w:val="227"/>
        </w:trPr>
        <w:tc>
          <w:tcPr>
            <w:tcW w:w="810" w:type="pct"/>
          </w:tcPr>
          <w:p w14:paraId="038A00D2" w14:textId="77777777" w:rsidR="00881769" w:rsidRDefault="00881769" w:rsidP="00D11709">
            <w:pPr>
              <w:pStyle w:val="Note-Refs"/>
            </w:pPr>
          </w:p>
        </w:tc>
        <w:tc>
          <w:tcPr>
            <w:tcW w:w="2297" w:type="pct"/>
            <w:vMerge w:val="restart"/>
            <w:shd w:val="clear" w:color="auto" w:fill="CCCCCC"/>
            <w:vAlign w:val="bottom"/>
          </w:tcPr>
          <w:p w14:paraId="038A00D3" w14:textId="77777777" w:rsidR="00881769" w:rsidRPr="004F52B1" w:rsidRDefault="00881769" w:rsidP="00D11709">
            <w:pPr>
              <w:pStyle w:val="NotesTable-ItemPlain"/>
            </w:pPr>
            <w:r>
              <w:t>Other non-financial assets</w:t>
            </w:r>
          </w:p>
          <w:p w14:paraId="038A00D4" w14:textId="77777777" w:rsidR="00881769" w:rsidRDefault="00881769">
            <w:pPr>
              <w:pStyle w:val="Statement-ItemBold"/>
            </w:pPr>
            <w:r>
              <w:t>Total current assets</w:t>
            </w:r>
          </w:p>
        </w:tc>
        <w:tc>
          <w:tcPr>
            <w:tcW w:w="270" w:type="pct"/>
            <w:vMerge w:val="restart"/>
            <w:shd w:val="clear" w:color="auto" w:fill="CCCCCC"/>
          </w:tcPr>
          <w:p w14:paraId="038A00D5" w14:textId="35AB3923" w:rsidR="00881769" w:rsidRDefault="00881769" w:rsidP="005D4154">
            <w:pPr>
              <w:pStyle w:val="NotesTable-Notes"/>
              <w:rPr>
                <w:b/>
              </w:rPr>
            </w:pPr>
            <w:r>
              <w:t>2</w:t>
            </w:r>
            <w:r w:rsidR="00F405B7">
              <w:t>3</w:t>
            </w:r>
          </w:p>
        </w:tc>
        <w:tc>
          <w:tcPr>
            <w:tcW w:w="406" w:type="pct"/>
            <w:shd w:val="clear" w:color="auto" w:fill="CCCCCC"/>
          </w:tcPr>
          <w:p w14:paraId="038A00D6" w14:textId="77777777" w:rsidR="00881769" w:rsidRDefault="00881769" w:rsidP="00606085">
            <w:pPr>
              <w:pStyle w:val="NotesTable-CellBold"/>
              <w:rPr>
                <w:b w:val="0"/>
              </w:rPr>
            </w:pPr>
            <w:r>
              <w:t>–</w:t>
            </w:r>
          </w:p>
        </w:tc>
        <w:tc>
          <w:tcPr>
            <w:tcW w:w="406" w:type="pct"/>
            <w:shd w:val="clear" w:color="auto" w:fill="CCCCCC"/>
          </w:tcPr>
          <w:p w14:paraId="038A00D7" w14:textId="77777777" w:rsidR="00881769" w:rsidRDefault="00881769" w:rsidP="00606085">
            <w:pPr>
              <w:pStyle w:val="NotesTable-CellPlain"/>
              <w:rPr>
                <w:b/>
              </w:rPr>
            </w:pPr>
            <w:r>
              <w:t>–</w:t>
            </w:r>
          </w:p>
        </w:tc>
        <w:tc>
          <w:tcPr>
            <w:tcW w:w="406" w:type="pct"/>
            <w:shd w:val="clear" w:color="auto" w:fill="CCCCCC"/>
          </w:tcPr>
          <w:p w14:paraId="038A00D8" w14:textId="77777777" w:rsidR="00881769" w:rsidRDefault="00881769" w:rsidP="00606085">
            <w:pPr>
              <w:pStyle w:val="NotesTable-CellBold"/>
              <w:rPr>
                <w:b w:val="0"/>
              </w:rPr>
            </w:pPr>
            <w:r>
              <w:t>–</w:t>
            </w:r>
          </w:p>
        </w:tc>
        <w:tc>
          <w:tcPr>
            <w:tcW w:w="406" w:type="pct"/>
            <w:shd w:val="clear" w:color="auto" w:fill="CCCCCC"/>
          </w:tcPr>
          <w:p w14:paraId="038A00D9" w14:textId="77777777" w:rsidR="00881769" w:rsidRDefault="00881769" w:rsidP="00606085">
            <w:pPr>
              <w:pStyle w:val="NotesTable-CellPlain"/>
              <w:rPr>
                <w:b/>
              </w:rPr>
            </w:pPr>
            <w:r>
              <w:t>–</w:t>
            </w:r>
          </w:p>
        </w:tc>
      </w:tr>
      <w:tr w:rsidR="00881769" w14:paraId="038A00E2" w14:textId="77777777" w:rsidTr="00FC61D5">
        <w:trPr>
          <w:cantSplit/>
          <w:trHeight w:hRule="exact" w:val="227"/>
        </w:trPr>
        <w:tc>
          <w:tcPr>
            <w:tcW w:w="810" w:type="pct"/>
          </w:tcPr>
          <w:p w14:paraId="038A00DB" w14:textId="77777777" w:rsidR="00881769" w:rsidRDefault="00881769" w:rsidP="00D11709">
            <w:pPr>
              <w:pStyle w:val="Note-Refs"/>
            </w:pPr>
          </w:p>
        </w:tc>
        <w:tc>
          <w:tcPr>
            <w:tcW w:w="2297" w:type="pct"/>
            <w:vMerge/>
            <w:shd w:val="clear" w:color="auto" w:fill="CCCCCC"/>
            <w:vAlign w:val="bottom"/>
          </w:tcPr>
          <w:p w14:paraId="038A00DC" w14:textId="77777777" w:rsidR="00881769" w:rsidRDefault="00881769">
            <w:pPr>
              <w:pStyle w:val="Statement-ItemBold"/>
            </w:pPr>
          </w:p>
        </w:tc>
        <w:tc>
          <w:tcPr>
            <w:tcW w:w="270" w:type="pct"/>
            <w:vMerge/>
            <w:shd w:val="clear" w:color="auto" w:fill="CCCCCC"/>
            <w:vAlign w:val="bottom"/>
          </w:tcPr>
          <w:p w14:paraId="038A00DD" w14:textId="77777777" w:rsidR="00881769" w:rsidRDefault="00881769" w:rsidP="005D4154">
            <w:pPr>
              <w:pStyle w:val="NotesTable-Notes"/>
            </w:pPr>
          </w:p>
        </w:tc>
        <w:tc>
          <w:tcPr>
            <w:tcW w:w="406" w:type="pct"/>
            <w:tcBorders>
              <w:top w:val="single" w:sz="4" w:space="0" w:color="000000"/>
            </w:tcBorders>
            <w:shd w:val="clear" w:color="auto" w:fill="CCCCCC"/>
          </w:tcPr>
          <w:p w14:paraId="038A00DE" w14:textId="77777777" w:rsidR="00881769" w:rsidRDefault="00881769" w:rsidP="00606085">
            <w:pPr>
              <w:pStyle w:val="NotesTable-CellBold"/>
              <w:rPr>
                <w:b w:val="0"/>
              </w:rPr>
            </w:pPr>
            <w:r>
              <w:t>–</w:t>
            </w:r>
          </w:p>
        </w:tc>
        <w:tc>
          <w:tcPr>
            <w:tcW w:w="406" w:type="pct"/>
            <w:tcBorders>
              <w:top w:val="single" w:sz="4" w:space="0" w:color="000000"/>
            </w:tcBorders>
            <w:shd w:val="clear" w:color="auto" w:fill="CCCCCC"/>
          </w:tcPr>
          <w:p w14:paraId="038A00DF" w14:textId="77777777" w:rsidR="00881769" w:rsidRDefault="00881769" w:rsidP="00606085">
            <w:pPr>
              <w:pStyle w:val="NotesTable-CellPlain"/>
              <w:rPr>
                <w:b/>
              </w:rPr>
            </w:pPr>
            <w:r>
              <w:t>–</w:t>
            </w:r>
          </w:p>
        </w:tc>
        <w:tc>
          <w:tcPr>
            <w:tcW w:w="406" w:type="pct"/>
            <w:tcBorders>
              <w:top w:val="single" w:sz="4" w:space="0" w:color="000000"/>
            </w:tcBorders>
            <w:shd w:val="clear" w:color="auto" w:fill="CCCCCC"/>
          </w:tcPr>
          <w:p w14:paraId="038A00E0" w14:textId="77777777" w:rsidR="00881769" w:rsidRDefault="00881769" w:rsidP="00606085">
            <w:pPr>
              <w:pStyle w:val="NotesTable-CellBold"/>
              <w:rPr>
                <w:b w:val="0"/>
              </w:rPr>
            </w:pPr>
            <w:r>
              <w:t>–</w:t>
            </w:r>
          </w:p>
        </w:tc>
        <w:tc>
          <w:tcPr>
            <w:tcW w:w="406" w:type="pct"/>
            <w:tcBorders>
              <w:top w:val="single" w:sz="4" w:space="0" w:color="000000"/>
            </w:tcBorders>
            <w:shd w:val="clear" w:color="auto" w:fill="CCCCCC"/>
          </w:tcPr>
          <w:p w14:paraId="038A00E1" w14:textId="77777777" w:rsidR="00881769" w:rsidRDefault="00881769" w:rsidP="00606085">
            <w:pPr>
              <w:pStyle w:val="NotesTable-CellPlain"/>
              <w:rPr>
                <w:b/>
              </w:rPr>
            </w:pPr>
            <w:r>
              <w:t>–</w:t>
            </w:r>
          </w:p>
        </w:tc>
      </w:tr>
      <w:tr w:rsidR="00B03530" w14:paraId="038A00EA" w14:textId="77777777" w:rsidTr="00FC61D5">
        <w:trPr>
          <w:cantSplit/>
          <w:trHeight w:hRule="exact" w:val="227"/>
        </w:trPr>
        <w:tc>
          <w:tcPr>
            <w:tcW w:w="810" w:type="pct"/>
          </w:tcPr>
          <w:p w14:paraId="038A00E3" w14:textId="77777777" w:rsidR="00B03530" w:rsidRDefault="00B03530" w:rsidP="00D11709">
            <w:pPr>
              <w:pStyle w:val="Note-Refs"/>
            </w:pPr>
          </w:p>
        </w:tc>
        <w:tc>
          <w:tcPr>
            <w:tcW w:w="2297" w:type="pct"/>
            <w:shd w:val="clear" w:color="auto" w:fill="CCCCCC"/>
            <w:vAlign w:val="bottom"/>
          </w:tcPr>
          <w:p w14:paraId="038A00E4" w14:textId="77777777" w:rsidR="00B03530" w:rsidRDefault="00B03530">
            <w:pPr>
              <w:pStyle w:val="NotesTable-ItemPlain"/>
            </w:pPr>
          </w:p>
        </w:tc>
        <w:tc>
          <w:tcPr>
            <w:tcW w:w="270" w:type="pct"/>
            <w:shd w:val="clear" w:color="auto" w:fill="CCCCCC"/>
            <w:vAlign w:val="bottom"/>
          </w:tcPr>
          <w:p w14:paraId="038A00E5" w14:textId="77777777" w:rsidR="00B03530" w:rsidRDefault="00B03530" w:rsidP="005D4154">
            <w:pPr>
              <w:pStyle w:val="NotesTable-Notes"/>
            </w:pPr>
          </w:p>
        </w:tc>
        <w:tc>
          <w:tcPr>
            <w:tcW w:w="406" w:type="pct"/>
            <w:shd w:val="clear" w:color="auto" w:fill="CCCCCC"/>
          </w:tcPr>
          <w:p w14:paraId="038A00E6" w14:textId="77777777" w:rsidR="00B03530" w:rsidRDefault="00B03530" w:rsidP="00606085">
            <w:pPr>
              <w:pStyle w:val="NotesTable-CellBold"/>
            </w:pPr>
          </w:p>
        </w:tc>
        <w:tc>
          <w:tcPr>
            <w:tcW w:w="406" w:type="pct"/>
            <w:shd w:val="clear" w:color="auto" w:fill="CCCCCC"/>
          </w:tcPr>
          <w:p w14:paraId="038A00E7" w14:textId="77777777" w:rsidR="00B03530" w:rsidRDefault="00B03530" w:rsidP="00606085">
            <w:pPr>
              <w:pStyle w:val="NotesTable-CellPlain"/>
            </w:pPr>
          </w:p>
        </w:tc>
        <w:tc>
          <w:tcPr>
            <w:tcW w:w="406" w:type="pct"/>
            <w:shd w:val="clear" w:color="auto" w:fill="CCCCCC"/>
          </w:tcPr>
          <w:p w14:paraId="038A00E8" w14:textId="77777777" w:rsidR="00B03530" w:rsidRDefault="00B03530" w:rsidP="00606085">
            <w:pPr>
              <w:pStyle w:val="NotesTable-CellBold"/>
            </w:pPr>
          </w:p>
        </w:tc>
        <w:tc>
          <w:tcPr>
            <w:tcW w:w="406" w:type="pct"/>
            <w:shd w:val="clear" w:color="auto" w:fill="CCCCCC"/>
          </w:tcPr>
          <w:p w14:paraId="038A00E9" w14:textId="77777777" w:rsidR="00B03530" w:rsidRDefault="00B03530" w:rsidP="00606085">
            <w:pPr>
              <w:pStyle w:val="NotesTable-CellPlain"/>
            </w:pPr>
          </w:p>
        </w:tc>
      </w:tr>
      <w:tr w:rsidR="00B03530" w14:paraId="038A00F2" w14:textId="77777777" w:rsidTr="00FC61D5">
        <w:trPr>
          <w:cantSplit/>
          <w:trHeight w:hRule="exact" w:val="227"/>
        </w:trPr>
        <w:tc>
          <w:tcPr>
            <w:tcW w:w="810" w:type="pct"/>
          </w:tcPr>
          <w:p w14:paraId="038A00EB" w14:textId="77777777" w:rsidR="00B03530" w:rsidRDefault="00B03530" w:rsidP="00D11709">
            <w:pPr>
              <w:pStyle w:val="Note-Refs"/>
              <w:rPr>
                <w:b/>
              </w:rPr>
            </w:pPr>
            <w:r>
              <w:t>AASB101</w:t>
            </w:r>
            <w:r w:rsidR="0082032F">
              <w:t>.</w:t>
            </w:r>
            <w:r>
              <w:t>60,66</w:t>
            </w:r>
          </w:p>
        </w:tc>
        <w:tc>
          <w:tcPr>
            <w:tcW w:w="2297" w:type="pct"/>
            <w:shd w:val="clear" w:color="auto" w:fill="CCCCCC"/>
            <w:vAlign w:val="bottom"/>
          </w:tcPr>
          <w:p w14:paraId="038A00EC" w14:textId="77777777" w:rsidR="00B03530" w:rsidRDefault="00B03530">
            <w:pPr>
              <w:pStyle w:val="Statement-ItemBold"/>
            </w:pPr>
            <w:r>
              <w:t xml:space="preserve">Non-current assets </w:t>
            </w:r>
          </w:p>
        </w:tc>
        <w:tc>
          <w:tcPr>
            <w:tcW w:w="270" w:type="pct"/>
            <w:shd w:val="clear" w:color="auto" w:fill="CCCCCC"/>
            <w:vAlign w:val="bottom"/>
          </w:tcPr>
          <w:p w14:paraId="038A00ED" w14:textId="77777777" w:rsidR="00B03530" w:rsidRDefault="00B03530" w:rsidP="005D4154">
            <w:pPr>
              <w:pStyle w:val="NotesTable-Notes"/>
            </w:pPr>
          </w:p>
        </w:tc>
        <w:tc>
          <w:tcPr>
            <w:tcW w:w="406" w:type="pct"/>
            <w:shd w:val="clear" w:color="auto" w:fill="CCCCCC"/>
          </w:tcPr>
          <w:p w14:paraId="038A00EE" w14:textId="77777777" w:rsidR="00B03530" w:rsidRDefault="00B03530" w:rsidP="00606085">
            <w:pPr>
              <w:pStyle w:val="NotesTable-CellBold"/>
            </w:pPr>
          </w:p>
        </w:tc>
        <w:tc>
          <w:tcPr>
            <w:tcW w:w="406" w:type="pct"/>
            <w:shd w:val="clear" w:color="auto" w:fill="CCCCCC"/>
          </w:tcPr>
          <w:p w14:paraId="038A00EF" w14:textId="77777777" w:rsidR="00B03530" w:rsidRDefault="00B03530" w:rsidP="00606085">
            <w:pPr>
              <w:pStyle w:val="NotesTable-CellPlain"/>
            </w:pPr>
          </w:p>
        </w:tc>
        <w:tc>
          <w:tcPr>
            <w:tcW w:w="406" w:type="pct"/>
            <w:shd w:val="clear" w:color="auto" w:fill="CCCCCC"/>
          </w:tcPr>
          <w:p w14:paraId="038A00F0" w14:textId="77777777" w:rsidR="00B03530" w:rsidRDefault="00B03530" w:rsidP="00606085">
            <w:pPr>
              <w:pStyle w:val="NotesTable-CellBold"/>
            </w:pPr>
          </w:p>
        </w:tc>
        <w:tc>
          <w:tcPr>
            <w:tcW w:w="406" w:type="pct"/>
            <w:shd w:val="clear" w:color="auto" w:fill="CCCCCC"/>
          </w:tcPr>
          <w:p w14:paraId="038A00F1" w14:textId="77777777" w:rsidR="00B03530" w:rsidRDefault="00B03530" w:rsidP="00606085">
            <w:pPr>
              <w:pStyle w:val="NotesTable-CellPlain"/>
            </w:pPr>
          </w:p>
        </w:tc>
      </w:tr>
      <w:tr w:rsidR="00B03530" w14:paraId="038A00FA" w14:textId="77777777" w:rsidTr="00FC61D5">
        <w:trPr>
          <w:cantSplit/>
          <w:trHeight w:hRule="exact" w:val="227"/>
        </w:trPr>
        <w:tc>
          <w:tcPr>
            <w:tcW w:w="810" w:type="pct"/>
          </w:tcPr>
          <w:p w14:paraId="038A00F3" w14:textId="77777777" w:rsidR="00B03530" w:rsidRDefault="00B03530" w:rsidP="00D11709">
            <w:pPr>
              <w:pStyle w:val="Note-Refs"/>
            </w:pPr>
            <w:r>
              <w:t>AASB101</w:t>
            </w:r>
            <w:r w:rsidR="0082032F">
              <w:t>.</w:t>
            </w:r>
            <w:r>
              <w:t>54h</w:t>
            </w:r>
          </w:p>
        </w:tc>
        <w:tc>
          <w:tcPr>
            <w:tcW w:w="2297" w:type="pct"/>
            <w:shd w:val="clear" w:color="auto" w:fill="CCCCCC"/>
            <w:vAlign w:val="bottom"/>
          </w:tcPr>
          <w:p w14:paraId="038A00F4" w14:textId="77777777" w:rsidR="00B03530" w:rsidRDefault="00B03530" w:rsidP="00D11709">
            <w:pPr>
              <w:pStyle w:val="NotesTable-ItemPlain"/>
              <w:rPr>
                <w:b/>
              </w:rPr>
            </w:pPr>
            <w:r>
              <w:t>Receivables</w:t>
            </w:r>
          </w:p>
        </w:tc>
        <w:tc>
          <w:tcPr>
            <w:tcW w:w="270" w:type="pct"/>
            <w:shd w:val="clear" w:color="auto" w:fill="CCCCCC"/>
            <w:vAlign w:val="bottom"/>
          </w:tcPr>
          <w:p w14:paraId="038A00F5" w14:textId="04BBB548" w:rsidR="00B03530" w:rsidRDefault="00F405B7" w:rsidP="005D4154">
            <w:pPr>
              <w:pStyle w:val="NotesTable-Notes"/>
              <w:rPr>
                <w:b/>
              </w:rPr>
            </w:pPr>
            <w:r>
              <w:t>19</w:t>
            </w:r>
          </w:p>
        </w:tc>
        <w:tc>
          <w:tcPr>
            <w:tcW w:w="406" w:type="pct"/>
            <w:shd w:val="clear" w:color="auto" w:fill="CCCCCC"/>
          </w:tcPr>
          <w:p w14:paraId="038A00F6" w14:textId="77777777" w:rsidR="00B03530" w:rsidRDefault="00B03530" w:rsidP="00606085">
            <w:pPr>
              <w:pStyle w:val="NotesTable-CellBold"/>
              <w:rPr>
                <w:b w:val="0"/>
              </w:rPr>
            </w:pPr>
            <w:r>
              <w:t>–</w:t>
            </w:r>
          </w:p>
        </w:tc>
        <w:tc>
          <w:tcPr>
            <w:tcW w:w="406" w:type="pct"/>
            <w:shd w:val="clear" w:color="auto" w:fill="CCCCCC"/>
          </w:tcPr>
          <w:p w14:paraId="038A00F7" w14:textId="77777777" w:rsidR="00B03530" w:rsidRDefault="00B03530" w:rsidP="00606085">
            <w:pPr>
              <w:pStyle w:val="NotesTable-CellPlain"/>
              <w:rPr>
                <w:b/>
              </w:rPr>
            </w:pPr>
            <w:r>
              <w:t>–</w:t>
            </w:r>
          </w:p>
        </w:tc>
        <w:tc>
          <w:tcPr>
            <w:tcW w:w="406" w:type="pct"/>
            <w:shd w:val="clear" w:color="auto" w:fill="CCCCCC"/>
          </w:tcPr>
          <w:p w14:paraId="038A00F8" w14:textId="77777777" w:rsidR="00B03530" w:rsidRDefault="00B03530" w:rsidP="00606085">
            <w:pPr>
              <w:pStyle w:val="NotesTable-CellBold"/>
              <w:rPr>
                <w:b w:val="0"/>
              </w:rPr>
            </w:pPr>
            <w:r>
              <w:t>–</w:t>
            </w:r>
          </w:p>
        </w:tc>
        <w:tc>
          <w:tcPr>
            <w:tcW w:w="406" w:type="pct"/>
            <w:shd w:val="clear" w:color="auto" w:fill="CCCCCC"/>
          </w:tcPr>
          <w:p w14:paraId="038A00F9" w14:textId="77777777" w:rsidR="00B03530" w:rsidRDefault="00B03530" w:rsidP="00606085">
            <w:pPr>
              <w:pStyle w:val="NotesTable-CellPlain"/>
              <w:rPr>
                <w:b/>
              </w:rPr>
            </w:pPr>
            <w:r>
              <w:t>–</w:t>
            </w:r>
          </w:p>
        </w:tc>
      </w:tr>
      <w:tr w:rsidR="00B03530" w14:paraId="038A0102" w14:textId="77777777" w:rsidTr="00FC61D5">
        <w:trPr>
          <w:cantSplit/>
          <w:trHeight w:hRule="exact" w:val="227"/>
        </w:trPr>
        <w:tc>
          <w:tcPr>
            <w:tcW w:w="810" w:type="pct"/>
          </w:tcPr>
          <w:p w14:paraId="038A00FB" w14:textId="77777777" w:rsidR="00B03530" w:rsidRDefault="00B03530" w:rsidP="00D11709">
            <w:pPr>
              <w:pStyle w:val="Note-Refs"/>
              <w:rPr>
                <w:b/>
              </w:rPr>
            </w:pPr>
            <w:r>
              <w:t>AASB101</w:t>
            </w:r>
            <w:r w:rsidR="0082032F">
              <w:t>.</w:t>
            </w:r>
            <w:r>
              <w:t>54g</w:t>
            </w:r>
          </w:p>
        </w:tc>
        <w:tc>
          <w:tcPr>
            <w:tcW w:w="2297" w:type="pct"/>
            <w:shd w:val="clear" w:color="auto" w:fill="CCCCCC"/>
            <w:vAlign w:val="bottom"/>
          </w:tcPr>
          <w:p w14:paraId="038A00FC" w14:textId="77777777" w:rsidR="00B03530" w:rsidRDefault="00B03530" w:rsidP="00D11709">
            <w:pPr>
              <w:pStyle w:val="NotesTable-ItemPlain"/>
              <w:rPr>
                <w:b/>
              </w:rPr>
            </w:pPr>
            <w:r>
              <w:t>Inventories</w:t>
            </w:r>
          </w:p>
        </w:tc>
        <w:tc>
          <w:tcPr>
            <w:tcW w:w="270" w:type="pct"/>
            <w:shd w:val="clear" w:color="auto" w:fill="CCCCCC"/>
            <w:vAlign w:val="bottom"/>
          </w:tcPr>
          <w:p w14:paraId="038A00FD" w14:textId="30263C29" w:rsidR="00B03530" w:rsidRDefault="00F405B7" w:rsidP="005D4154">
            <w:pPr>
              <w:pStyle w:val="NotesTable-Notes"/>
              <w:rPr>
                <w:b/>
              </w:rPr>
            </w:pPr>
            <w:r>
              <w:t>20</w:t>
            </w:r>
          </w:p>
        </w:tc>
        <w:tc>
          <w:tcPr>
            <w:tcW w:w="406" w:type="pct"/>
            <w:shd w:val="clear" w:color="auto" w:fill="CCCCCC"/>
          </w:tcPr>
          <w:p w14:paraId="038A00FE" w14:textId="77777777" w:rsidR="00B03530" w:rsidRDefault="00B03530" w:rsidP="00606085">
            <w:pPr>
              <w:pStyle w:val="NotesTable-CellBold"/>
              <w:rPr>
                <w:b w:val="0"/>
              </w:rPr>
            </w:pPr>
            <w:r>
              <w:t>–</w:t>
            </w:r>
          </w:p>
        </w:tc>
        <w:tc>
          <w:tcPr>
            <w:tcW w:w="406" w:type="pct"/>
            <w:shd w:val="clear" w:color="auto" w:fill="CCCCCC"/>
          </w:tcPr>
          <w:p w14:paraId="038A00FF" w14:textId="77777777" w:rsidR="00B03530" w:rsidRDefault="00B03530" w:rsidP="00606085">
            <w:pPr>
              <w:pStyle w:val="NotesTable-CellPlain"/>
              <w:rPr>
                <w:b/>
              </w:rPr>
            </w:pPr>
            <w:r>
              <w:t>–</w:t>
            </w:r>
          </w:p>
        </w:tc>
        <w:tc>
          <w:tcPr>
            <w:tcW w:w="406" w:type="pct"/>
            <w:shd w:val="clear" w:color="auto" w:fill="CCCCCC"/>
          </w:tcPr>
          <w:p w14:paraId="038A0100" w14:textId="77777777" w:rsidR="00B03530" w:rsidRDefault="00B03530" w:rsidP="00606085">
            <w:pPr>
              <w:pStyle w:val="NotesTable-CellBold"/>
              <w:rPr>
                <w:b w:val="0"/>
              </w:rPr>
            </w:pPr>
            <w:r>
              <w:t>–</w:t>
            </w:r>
          </w:p>
        </w:tc>
        <w:tc>
          <w:tcPr>
            <w:tcW w:w="406" w:type="pct"/>
            <w:shd w:val="clear" w:color="auto" w:fill="CCCCCC"/>
          </w:tcPr>
          <w:p w14:paraId="038A0101" w14:textId="77777777" w:rsidR="00B03530" w:rsidRDefault="00B03530" w:rsidP="00606085">
            <w:pPr>
              <w:pStyle w:val="NotesTable-CellPlain"/>
              <w:rPr>
                <w:b/>
              </w:rPr>
            </w:pPr>
            <w:r>
              <w:t>–</w:t>
            </w:r>
          </w:p>
        </w:tc>
      </w:tr>
      <w:tr w:rsidR="00B03530" w14:paraId="038A010A" w14:textId="77777777" w:rsidTr="00FC61D5">
        <w:trPr>
          <w:cantSplit/>
          <w:trHeight w:hRule="exact" w:val="227"/>
        </w:trPr>
        <w:tc>
          <w:tcPr>
            <w:tcW w:w="810" w:type="pct"/>
          </w:tcPr>
          <w:p w14:paraId="038A0103" w14:textId="77777777" w:rsidR="00B03530" w:rsidRDefault="00B03530" w:rsidP="00D11709">
            <w:pPr>
              <w:pStyle w:val="Note-Refs"/>
              <w:rPr>
                <w:b/>
              </w:rPr>
            </w:pPr>
            <w:r>
              <w:t>AASB101</w:t>
            </w:r>
            <w:r w:rsidR="0082032F">
              <w:t>.</w:t>
            </w:r>
            <w:r>
              <w:t>54e</w:t>
            </w:r>
          </w:p>
        </w:tc>
        <w:tc>
          <w:tcPr>
            <w:tcW w:w="2297" w:type="pct"/>
            <w:shd w:val="clear" w:color="auto" w:fill="CCCCCC"/>
            <w:vAlign w:val="bottom"/>
          </w:tcPr>
          <w:p w14:paraId="038A0104" w14:textId="77777777" w:rsidR="00B03530" w:rsidRDefault="00B03530" w:rsidP="00D11709">
            <w:pPr>
              <w:pStyle w:val="NotesTable-ItemPlain"/>
              <w:rPr>
                <w:b/>
              </w:rPr>
            </w:pPr>
            <w:r>
              <w:t>Investments accounted for using the equity method</w:t>
            </w:r>
          </w:p>
        </w:tc>
        <w:tc>
          <w:tcPr>
            <w:tcW w:w="270" w:type="pct"/>
            <w:shd w:val="clear" w:color="auto" w:fill="CCCCCC"/>
            <w:vAlign w:val="bottom"/>
          </w:tcPr>
          <w:p w14:paraId="038A0105" w14:textId="45DEC2CB" w:rsidR="00B03530" w:rsidRDefault="00B03530" w:rsidP="005D4154">
            <w:pPr>
              <w:pStyle w:val="NotesTable-Notes"/>
              <w:rPr>
                <w:b/>
              </w:rPr>
            </w:pPr>
            <w:r>
              <w:t>2</w:t>
            </w:r>
            <w:r w:rsidR="00F405B7">
              <w:t>4</w:t>
            </w:r>
          </w:p>
        </w:tc>
        <w:tc>
          <w:tcPr>
            <w:tcW w:w="406" w:type="pct"/>
            <w:shd w:val="clear" w:color="auto" w:fill="CCCCCC"/>
          </w:tcPr>
          <w:p w14:paraId="038A0106" w14:textId="77777777" w:rsidR="00B03530" w:rsidRDefault="00B03530" w:rsidP="00606085">
            <w:pPr>
              <w:pStyle w:val="NotesTable-CellBold"/>
              <w:rPr>
                <w:b w:val="0"/>
              </w:rPr>
            </w:pPr>
            <w:r>
              <w:t>–</w:t>
            </w:r>
          </w:p>
        </w:tc>
        <w:tc>
          <w:tcPr>
            <w:tcW w:w="406" w:type="pct"/>
            <w:shd w:val="clear" w:color="auto" w:fill="CCCCCC"/>
          </w:tcPr>
          <w:p w14:paraId="038A0107" w14:textId="77777777" w:rsidR="00B03530" w:rsidRDefault="00B03530" w:rsidP="00606085">
            <w:pPr>
              <w:pStyle w:val="NotesTable-CellPlain"/>
              <w:rPr>
                <w:b/>
              </w:rPr>
            </w:pPr>
            <w:r>
              <w:t>–</w:t>
            </w:r>
          </w:p>
        </w:tc>
        <w:tc>
          <w:tcPr>
            <w:tcW w:w="406" w:type="pct"/>
            <w:shd w:val="clear" w:color="auto" w:fill="CCCCCC"/>
          </w:tcPr>
          <w:p w14:paraId="038A0108" w14:textId="77777777" w:rsidR="00B03530" w:rsidRDefault="00B03530" w:rsidP="00606085">
            <w:pPr>
              <w:pStyle w:val="NotesTable-CellBold"/>
              <w:rPr>
                <w:b w:val="0"/>
              </w:rPr>
            </w:pPr>
            <w:r>
              <w:t>–</w:t>
            </w:r>
          </w:p>
        </w:tc>
        <w:tc>
          <w:tcPr>
            <w:tcW w:w="406" w:type="pct"/>
            <w:shd w:val="clear" w:color="auto" w:fill="CCCCCC"/>
          </w:tcPr>
          <w:p w14:paraId="038A0109" w14:textId="77777777" w:rsidR="00B03530" w:rsidRDefault="00B03530" w:rsidP="00606085">
            <w:pPr>
              <w:pStyle w:val="NotesTable-CellPlain"/>
              <w:rPr>
                <w:b/>
              </w:rPr>
            </w:pPr>
            <w:r>
              <w:t>–</w:t>
            </w:r>
          </w:p>
        </w:tc>
      </w:tr>
      <w:tr w:rsidR="00B03530" w14:paraId="038A0112" w14:textId="77777777" w:rsidTr="00FC61D5">
        <w:trPr>
          <w:cantSplit/>
          <w:trHeight w:hRule="exact" w:val="227"/>
        </w:trPr>
        <w:tc>
          <w:tcPr>
            <w:tcW w:w="810" w:type="pct"/>
          </w:tcPr>
          <w:p w14:paraId="038A010B" w14:textId="77777777" w:rsidR="00B03530" w:rsidRDefault="00B03530" w:rsidP="00D11709">
            <w:pPr>
              <w:pStyle w:val="Note-Refs"/>
            </w:pPr>
          </w:p>
        </w:tc>
        <w:tc>
          <w:tcPr>
            <w:tcW w:w="2297" w:type="pct"/>
            <w:shd w:val="clear" w:color="auto" w:fill="CCCCCC"/>
            <w:vAlign w:val="bottom"/>
          </w:tcPr>
          <w:p w14:paraId="038A010C" w14:textId="77777777" w:rsidR="00B03530" w:rsidRDefault="00B03530" w:rsidP="00D11709">
            <w:pPr>
              <w:pStyle w:val="NotesTable-ItemPlain"/>
              <w:rPr>
                <w:b/>
              </w:rPr>
            </w:pPr>
            <w:r>
              <w:t>Other financial assets</w:t>
            </w:r>
          </w:p>
        </w:tc>
        <w:tc>
          <w:tcPr>
            <w:tcW w:w="270" w:type="pct"/>
            <w:shd w:val="clear" w:color="auto" w:fill="CCCCCC"/>
            <w:vAlign w:val="bottom"/>
          </w:tcPr>
          <w:p w14:paraId="038A010D" w14:textId="0DE3ADAE" w:rsidR="00B03530" w:rsidRDefault="00B03530" w:rsidP="005D4154">
            <w:pPr>
              <w:pStyle w:val="NotesTable-Notes"/>
              <w:rPr>
                <w:b/>
              </w:rPr>
            </w:pPr>
            <w:r>
              <w:t>2</w:t>
            </w:r>
            <w:r w:rsidR="00F405B7">
              <w:t>1</w:t>
            </w:r>
          </w:p>
        </w:tc>
        <w:tc>
          <w:tcPr>
            <w:tcW w:w="406" w:type="pct"/>
            <w:shd w:val="clear" w:color="auto" w:fill="CCCCCC"/>
          </w:tcPr>
          <w:p w14:paraId="038A010E" w14:textId="77777777" w:rsidR="00B03530" w:rsidRDefault="00B03530" w:rsidP="00606085">
            <w:pPr>
              <w:pStyle w:val="NotesTable-CellBold"/>
              <w:rPr>
                <w:b w:val="0"/>
              </w:rPr>
            </w:pPr>
            <w:r>
              <w:t>–</w:t>
            </w:r>
          </w:p>
        </w:tc>
        <w:tc>
          <w:tcPr>
            <w:tcW w:w="406" w:type="pct"/>
            <w:shd w:val="clear" w:color="auto" w:fill="CCCCCC"/>
          </w:tcPr>
          <w:p w14:paraId="038A010F" w14:textId="77777777" w:rsidR="00B03530" w:rsidRDefault="00B03530" w:rsidP="00606085">
            <w:pPr>
              <w:pStyle w:val="NotesTable-CellPlain"/>
              <w:rPr>
                <w:b/>
              </w:rPr>
            </w:pPr>
            <w:r>
              <w:t>–</w:t>
            </w:r>
          </w:p>
        </w:tc>
        <w:tc>
          <w:tcPr>
            <w:tcW w:w="406" w:type="pct"/>
            <w:shd w:val="clear" w:color="auto" w:fill="CCCCCC"/>
          </w:tcPr>
          <w:p w14:paraId="038A0110" w14:textId="77777777" w:rsidR="00B03530" w:rsidRDefault="00B03530" w:rsidP="00606085">
            <w:pPr>
              <w:pStyle w:val="NotesTable-CellBold"/>
              <w:rPr>
                <w:b w:val="0"/>
              </w:rPr>
            </w:pPr>
            <w:r>
              <w:t>–</w:t>
            </w:r>
          </w:p>
        </w:tc>
        <w:tc>
          <w:tcPr>
            <w:tcW w:w="406" w:type="pct"/>
            <w:shd w:val="clear" w:color="auto" w:fill="CCCCCC"/>
          </w:tcPr>
          <w:p w14:paraId="038A0111" w14:textId="77777777" w:rsidR="00B03530" w:rsidRDefault="00B03530" w:rsidP="00606085">
            <w:pPr>
              <w:pStyle w:val="NotesTable-CellPlain"/>
              <w:rPr>
                <w:b/>
              </w:rPr>
            </w:pPr>
            <w:r>
              <w:t>–</w:t>
            </w:r>
          </w:p>
        </w:tc>
      </w:tr>
      <w:tr w:rsidR="00B03530" w14:paraId="038A011A" w14:textId="77777777" w:rsidTr="00FC61D5">
        <w:trPr>
          <w:cantSplit/>
          <w:trHeight w:hRule="exact" w:val="227"/>
        </w:trPr>
        <w:tc>
          <w:tcPr>
            <w:tcW w:w="810" w:type="pct"/>
          </w:tcPr>
          <w:p w14:paraId="038A0113" w14:textId="77777777" w:rsidR="00B03530" w:rsidRDefault="00B03530" w:rsidP="00D11709">
            <w:pPr>
              <w:pStyle w:val="Note-Refs"/>
              <w:rPr>
                <w:b/>
              </w:rPr>
            </w:pPr>
            <w:r>
              <w:t>AASB101</w:t>
            </w:r>
            <w:r w:rsidR="0082032F">
              <w:t>.</w:t>
            </w:r>
            <w:r>
              <w:t>54a</w:t>
            </w:r>
          </w:p>
        </w:tc>
        <w:tc>
          <w:tcPr>
            <w:tcW w:w="2297" w:type="pct"/>
            <w:shd w:val="clear" w:color="auto" w:fill="CCCCCC"/>
            <w:vAlign w:val="bottom"/>
          </w:tcPr>
          <w:p w14:paraId="038A0114" w14:textId="77777777" w:rsidR="00B03530" w:rsidRDefault="00B03530" w:rsidP="00D11709">
            <w:pPr>
              <w:pStyle w:val="NotesTable-ItemPlain"/>
              <w:rPr>
                <w:b/>
              </w:rPr>
            </w:pPr>
            <w:r>
              <w:t>Property, plant and equipment</w:t>
            </w:r>
          </w:p>
        </w:tc>
        <w:tc>
          <w:tcPr>
            <w:tcW w:w="270" w:type="pct"/>
            <w:shd w:val="clear" w:color="auto" w:fill="CCCCCC"/>
            <w:vAlign w:val="bottom"/>
          </w:tcPr>
          <w:p w14:paraId="038A0115" w14:textId="728AAE12" w:rsidR="00B03530" w:rsidRDefault="00B03530" w:rsidP="005D4154">
            <w:pPr>
              <w:pStyle w:val="NotesTable-Notes"/>
              <w:rPr>
                <w:b/>
              </w:rPr>
            </w:pPr>
            <w:r>
              <w:t>2</w:t>
            </w:r>
            <w:r w:rsidR="00F405B7">
              <w:t>6</w:t>
            </w:r>
          </w:p>
        </w:tc>
        <w:tc>
          <w:tcPr>
            <w:tcW w:w="406" w:type="pct"/>
            <w:shd w:val="clear" w:color="auto" w:fill="CCCCCC"/>
          </w:tcPr>
          <w:p w14:paraId="038A0116" w14:textId="77777777" w:rsidR="00B03530" w:rsidRDefault="00B03530" w:rsidP="00606085">
            <w:pPr>
              <w:pStyle w:val="NotesTable-CellBold"/>
              <w:rPr>
                <w:b w:val="0"/>
              </w:rPr>
            </w:pPr>
            <w:r>
              <w:t>–</w:t>
            </w:r>
          </w:p>
        </w:tc>
        <w:tc>
          <w:tcPr>
            <w:tcW w:w="406" w:type="pct"/>
            <w:shd w:val="clear" w:color="auto" w:fill="CCCCCC"/>
          </w:tcPr>
          <w:p w14:paraId="038A0117" w14:textId="77777777" w:rsidR="00B03530" w:rsidRDefault="00B03530" w:rsidP="00606085">
            <w:pPr>
              <w:pStyle w:val="NotesTable-CellPlain"/>
              <w:rPr>
                <w:b/>
              </w:rPr>
            </w:pPr>
            <w:r>
              <w:t>–</w:t>
            </w:r>
          </w:p>
        </w:tc>
        <w:tc>
          <w:tcPr>
            <w:tcW w:w="406" w:type="pct"/>
            <w:shd w:val="clear" w:color="auto" w:fill="CCCCCC"/>
          </w:tcPr>
          <w:p w14:paraId="038A0118" w14:textId="77777777" w:rsidR="00B03530" w:rsidRDefault="00B03530" w:rsidP="00606085">
            <w:pPr>
              <w:pStyle w:val="NotesTable-CellBold"/>
              <w:rPr>
                <w:b w:val="0"/>
              </w:rPr>
            </w:pPr>
            <w:r>
              <w:t>–</w:t>
            </w:r>
          </w:p>
        </w:tc>
        <w:tc>
          <w:tcPr>
            <w:tcW w:w="406" w:type="pct"/>
            <w:shd w:val="clear" w:color="auto" w:fill="CCCCCC"/>
          </w:tcPr>
          <w:p w14:paraId="038A0119" w14:textId="77777777" w:rsidR="00B03530" w:rsidRDefault="00B03530" w:rsidP="00606085">
            <w:pPr>
              <w:pStyle w:val="NotesTable-CellPlain"/>
              <w:rPr>
                <w:b/>
              </w:rPr>
            </w:pPr>
            <w:r>
              <w:t>–</w:t>
            </w:r>
          </w:p>
        </w:tc>
      </w:tr>
      <w:tr w:rsidR="00B03530" w14:paraId="038A0122" w14:textId="77777777" w:rsidTr="00FC61D5">
        <w:trPr>
          <w:cantSplit/>
          <w:trHeight w:hRule="exact" w:val="227"/>
        </w:trPr>
        <w:tc>
          <w:tcPr>
            <w:tcW w:w="810" w:type="pct"/>
          </w:tcPr>
          <w:p w14:paraId="038A011B" w14:textId="77777777" w:rsidR="00B03530" w:rsidRDefault="00B03530" w:rsidP="00D11709">
            <w:pPr>
              <w:pStyle w:val="Note-Refs"/>
              <w:rPr>
                <w:b/>
              </w:rPr>
            </w:pPr>
            <w:r>
              <w:t>AASB101</w:t>
            </w:r>
            <w:r w:rsidR="0082032F">
              <w:t>.</w:t>
            </w:r>
            <w:r>
              <w:t>54b</w:t>
            </w:r>
          </w:p>
        </w:tc>
        <w:tc>
          <w:tcPr>
            <w:tcW w:w="2297" w:type="pct"/>
            <w:shd w:val="clear" w:color="auto" w:fill="CCCCCC"/>
            <w:vAlign w:val="bottom"/>
          </w:tcPr>
          <w:p w14:paraId="038A011C" w14:textId="77777777" w:rsidR="00B03530" w:rsidRDefault="00B03530" w:rsidP="00D11709">
            <w:pPr>
              <w:pStyle w:val="NotesTable-ItemPlain"/>
              <w:rPr>
                <w:b/>
              </w:rPr>
            </w:pPr>
            <w:r>
              <w:t>Investment properties</w:t>
            </w:r>
          </w:p>
        </w:tc>
        <w:tc>
          <w:tcPr>
            <w:tcW w:w="270" w:type="pct"/>
            <w:shd w:val="clear" w:color="auto" w:fill="CCCCCC"/>
            <w:vAlign w:val="bottom"/>
          </w:tcPr>
          <w:p w14:paraId="038A011D" w14:textId="4D44DBC7" w:rsidR="00B03530" w:rsidRDefault="00B03530" w:rsidP="005D4154">
            <w:pPr>
              <w:pStyle w:val="NotesTable-Notes"/>
              <w:rPr>
                <w:b/>
              </w:rPr>
            </w:pPr>
            <w:r>
              <w:t>2</w:t>
            </w:r>
            <w:r w:rsidR="00F405B7">
              <w:t>5</w:t>
            </w:r>
          </w:p>
        </w:tc>
        <w:tc>
          <w:tcPr>
            <w:tcW w:w="406" w:type="pct"/>
            <w:shd w:val="clear" w:color="auto" w:fill="CCCCCC"/>
          </w:tcPr>
          <w:p w14:paraId="038A011E" w14:textId="77777777" w:rsidR="00B03530" w:rsidRDefault="00B03530" w:rsidP="00606085">
            <w:pPr>
              <w:pStyle w:val="NotesTable-CellBold"/>
              <w:rPr>
                <w:b w:val="0"/>
              </w:rPr>
            </w:pPr>
            <w:r>
              <w:t>–</w:t>
            </w:r>
          </w:p>
        </w:tc>
        <w:tc>
          <w:tcPr>
            <w:tcW w:w="406" w:type="pct"/>
            <w:shd w:val="clear" w:color="auto" w:fill="CCCCCC"/>
          </w:tcPr>
          <w:p w14:paraId="038A011F" w14:textId="77777777" w:rsidR="00B03530" w:rsidRDefault="00B03530" w:rsidP="00606085">
            <w:pPr>
              <w:pStyle w:val="NotesTable-CellPlain"/>
              <w:rPr>
                <w:b/>
              </w:rPr>
            </w:pPr>
            <w:r>
              <w:t>–</w:t>
            </w:r>
          </w:p>
        </w:tc>
        <w:tc>
          <w:tcPr>
            <w:tcW w:w="406" w:type="pct"/>
            <w:shd w:val="clear" w:color="auto" w:fill="CCCCCC"/>
          </w:tcPr>
          <w:p w14:paraId="038A0120" w14:textId="77777777" w:rsidR="00B03530" w:rsidRDefault="00B03530" w:rsidP="00606085">
            <w:pPr>
              <w:pStyle w:val="NotesTable-CellBold"/>
              <w:rPr>
                <w:b w:val="0"/>
              </w:rPr>
            </w:pPr>
            <w:r>
              <w:t>–</w:t>
            </w:r>
          </w:p>
        </w:tc>
        <w:tc>
          <w:tcPr>
            <w:tcW w:w="406" w:type="pct"/>
            <w:shd w:val="clear" w:color="auto" w:fill="CCCCCC"/>
          </w:tcPr>
          <w:p w14:paraId="038A0121" w14:textId="77777777" w:rsidR="00B03530" w:rsidRDefault="00B03530" w:rsidP="00606085">
            <w:pPr>
              <w:pStyle w:val="NotesTable-CellPlain"/>
              <w:rPr>
                <w:b/>
              </w:rPr>
            </w:pPr>
            <w:r>
              <w:t>–</w:t>
            </w:r>
          </w:p>
        </w:tc>
      </w:tr>
      <w:tr w:rsidR="00B03530" w14:paraId="038A012A" w14:textId="77777777" w:rsidTr="00FC61D5">
        <w:trPr>
          <w:cantSplit/>
          <w:trHeight w:hRule="exact" w:val="227"/>
        </w:trPr>
        <w:tc>
          <w:tcPr>
            <w:tcW w:w="810" w:type="pct"/>
          </w:tcPr>
          <w:p w14:paraId="038A0123" w14:textId="77777777" w:rsidR="00B03530" w:rsidRDefault="00B03530" w:rsidP="00D11709">
            <w:pPr>
              <w:pStyle w:val="Note-Refs"/>
              <w:rPr>
                <w:b/>
              </w:rPr>
            </w:pPr>
            <w:r>
              <w:t>AASB101</w:t>
            </w:r>
            <w:r w:rsidR="0082032F">
              <w:t>.</w:t>
            </w:r>
            <w:r>
              <w:t>54</w:t>
            </w:r>
            <w:r w:rsidR="006B3AC0">
              <w:t>o</w:t>
            </w:r>
            <w:r>
              <w:t>,56</w:t>
            </w:r>
          </w:p>
        </w:tc>
        <w:tc>
          <w:tcPr>
            <w:tcW w:w="2297" w:type="pct"/>
            <w:shd w:val="clear" w:color="auto" w:fill="CCCCCC"/>
            <w:vAlign w:val="bottom"/>
          </w:tcPr>
          <w:p w14:paraId="038A0124" w14:textId="77777777" w:rsidR="00B03530" w:rsidRDefault="00B03530" w:rsidP="00D11709">
            <w:pPr>
              <w:pStyle w:val="NotesTable-ItemPlain"/>
              <w:rPr>
                <w:b/>
              </w:rPr>
            </w:pPr>
            <w:r>
              <w:t>Deferred tax assets</w:t>
            </w:r>
          </w:p>
        </w:tc>
        <w:tc>
          <w:tcPr>
            <w:tcW w:w="270" w:type="pct"/>
            <w:shd w:val="clear" w:color="auto" w:fill="CCCCCC"/>
            <w:vAlign w:val="bottom"/>
          </w:tcPr>
          <w:p w14:paraId="038A0125" w14:textId="65B04911" w:rsidR="00B03530" w:rsidRDefault="00B03530" w:rsidP="005D4154">
            <w:pPr>
              <w:pStyle w:val="NotesTable-Notes"/>
              <w:rPr>
                <w:b/>
              </w:rPr>
            </w:pPr>
            <w:r>
              <w:t>2</w:t>
            </w:r>
            <w:r w:rsidR="00F405B7">
              <w:t>8</w:t>
            </w:r>
          </w:p>
        </w:tc>
        <w:tc>
          <w:tcPr>
            <w:tcW w:w="406" w:type="pct"/>
            <w:shd w:val="clear" w:color="auto" w:fill="CCCCCC"/>
          </w:tcPr>
          <w:p w14:paraId="038A0126" w14:textId="77777777" w:rsidR="00B03530" w:rsidRDefault="00B03530" w:rsidP="00606085">
            <w:pPr>
              <w:pStyle w:val="NotesTable-CellBold"/>
              <w:rPr>
                <w:b w:val="0"/>
              </w:rPr>
            </w:pPr>
            <w:r>
              <w:t>–</w:t>
            </w:r>
          </w:p>
        </w:tc>
        <w:tc>
          <w:tcPr>
            <w:tcW w:w="406" w:type="pct"/>
            <w:shd w:val="clear" w:color="auto" w:fill="CCCCCC"/>
          </w:tcPr>
          <w:p w14:paraId="038A0127" w14:textId="77777777" w:rsidR="00B03530" w:rsidRDefault="00B03530" w:rsidP="00606085">
            <w:pPr>
              <w:pStyle w:val="NotesTable-CellPlain"/>
              <w:rPr>
                <w:b/>
              </w:rPr>
            </w:pPr>
            <w:r>
              <w:t>–</w:t>
            </w:r>
          </w:p>
        </w:tc>
        <w:tc>
          <w:tcPr>
            <w:tcW w:w="406" w:type="pct"/>
            <w:shd w:val="clear" w:color="auto" w:fill="CCCCCC"/>
          </w:tcPr>
          <w:p w14:paraId="038A0128" w14:textId="77777777" w:rsidR="00B03530" w:rsidRDefault="00B03530" w:rsidP="00606085">
            <w:pPr>
              <w:pStyle w:val="NotesTable-CellBold"/>
              <w:rPr>
                <w:b w:val="0"/>
              </w:rPr>
            </w:pPr>
            <w:r>
              <w:t>–</w:t>
            </w:r>
          </w:p>
        </w:tc>
        <w:tc>
          <w:tcPr>
            <w:tcW w:w="406" w:type="pct"/>
            <w:shd w:val="clear" w:color="auto" w:fill="CCCCCC"/>
          </w:tcPr>
          <w:p w14:paraId="038A0129" w14:textId="77777777" w:rsidR="00B03530" w:rsidRDefault="00B03530" w:rsidP="00606085">
            <w:pPr>
              <w:pStyle w:val="NotesTable-CellPlain"/>
              <w:rPr>
                <w:b/>
              </w:rPr>
            </w:pPr>
            <w:r>
              <w:t>–</w:t>
            </w:r>
          </w:p>
        </w:tc>
      </w:tr>
      <w:tr w:rsidR="00B03530" w14:paraId="038A0132" w14:textId="77777777" w:rsidTr="00FC61D5">
        <w:trPr>
          <w:cantSplit/>
          <w:trHeight w:hRule="exact" w:val="227"/>
        </w:trPr>
        <w:tc>
          <w:tcPr>
            <w:tcW w:w="810" w:type="pct"/>
          </w:tcPr>
          <w:p w14:paraId="038A012B" w14:textId="77777777" w:rsidR="00B03530" w:rsidRDefault="00B03530" w:rsidP="00D11709">
            <w:pPr>
              <w:pStyle w:val="Note-Refs"/>
              <w:rPr>
                <w:b/>
              </w:rPr>
            </w:pPr>
            <w:r>
              <w:t>AASB101</w:t>
            </w:r>
            <w:r w:rsidR="0082032F">
              <w:t>.</w:t>
            </w:r>
            <w:r>
              <w:t>54c</w:t>
            </w:r>
          </w:p>
        </w:tc>
        <w:tc>
          <w:tcPr>
            <w:tcW w:w="2297" w:type="pct"/>
            <w:shd w:val="clear" w:color="auto" w:fill="CCCCCC"/>
            <w:vAlign w:val="bottom"/>
          </w:tcPr>
          <w:p w14:paraId="038A012C" w14:textId="77777777" w:rsidR="00B03530" w:rsidRDefault="00B03530" w:rsidP="00D11709">
            <w:pPr>
              <w:pStyle w:val="NotesTable-ItemPlain"/>
              <w:rPr>
                <w:b/>
              </w:rPr>
            </w:pPr>
            <w:r>
              <w:t>Intangible assets</w:t>
            </w:r>
          </w:p>
        </w:tc>
        <w:tc>
          <w:tcPr>
            <w:tcW w:w="270" w:type="pct"/>
            <w:shd w:val="clear" w:color="auto" w:fill="CCCCCC"/>
            <w:vAlign w:val="bottom"/>
          </w:tcPr>
          <w:p w14:paraId="038A012D" w14:textId="36F000F8" w:rsidR="00B03530" w:rsidRDefault="00B03530" w:rsidP="005D4154">
            <w:pPr>
              <w:pStyle w:val="NotesTable-Notes"/>
              <w:rPr>
                <w:b/>
              </w:rPr>
            </w:pPr>
            <w:r>
              <w:t>2</w:t>
            </w:r>
            <w:r w:rsidR="00F405B7">
              <w:t>7</w:t>
            </w:r>
          </w:p>
        </w:tc>
        <w:tc>
          <w:tcPr>
            <w:tcW w:w="406" w:type="pct"/>
            <w:shd w:val="clear" w:color="auto" w:fill="CCCCCC"/>
          </w:tcPr>
          <w:p w14:paraId="038A012E" w14:textId="77777777" w:rsidR="00B03530" w:rsidRDefault="00B03530" w:rsidP="00606085">
            <w:pPr>
              <w:pStyle w:val="NotesTable-CellBold"/>
              <w:rPr>
                <w:b w:val="0"/>
              </w:rPr>
            </w:pPr>
            <w:r>
              <w:t>–</w:t>
            </w:r>
          </w:p>
        </w:tc>
        <w:tc>
          <w:tcPr>
            <w:tcW w:w="406" w:type="pct"/>
            <w:shd w:val="clear" w:color="auto" w:fill="CCCCCC"/>
          </w:tcPr>
          <w:p w14:paraId="038A012F" w14:textId="77777777" w:rsidR="00B03530" w:rsidRDefault="00B03530" w:rsidP="00606085">
            <w:pPr>
              <w:pStyle w:val="NotesTable-CellPlain"/>
              <w:rPr>
                <w:b/>
              </w:rPr>
            </w:pPr>
            <w:r>
              <w:t>–</w:t>
            </w:r>
          </w:p>
        </w:tc>
        <w:tc>
          <w:tcPr>
            <w:tcW w:w="406" w:type="pct"/>
            <w:shd w:val="clear" w:color="auto" w:fill="CCCCCC"/>
          </w:tcPr>
          <w:p w14:paraId="038A0130" w14:textId="77777777" w:rsidR="00B03530" w:rsidRDefault="00B03530" w:rsidP="00606085">
            <w:pPr>
              <w:pStyle w:val="NotesTable-CellBold"/>
              <w:rPr>
                <w:b w:val="0"/>
              </w:rPr>
            </w:pPr>
            <w:r>
              <w:t>–</w:t>
            </w:r>
          </w:p>
        </w:tc>
        <w:tc>
          <w:tcPr>
            <w:tcW w:w="406" w:type="pct"/>
            <w:shd w:val="clear" w:color="auto" w:fill="CCCCCC"/>
          </w:tcPr>
          <w:p w14:paraId="038A0131" w14:textId="77777777" w:rsidR="00B03530" w:rsidRDefault="00B03530" w:rsidP="00606085">
            <w:pPr>
              <w:pStyle w:val="NotesTable-CellPlain"/>
              <w:rPr>
                <w:b/>
              </w:rPr>
            </w:pPr>
            <w:r>
              <w:t>–</w:t>
            </w:r>
          </w:p>
        </w:tc>
      </w:tr>
      <w:tr w:rsidR="00B03530" w14:paraId="038A013A" w14:textId="77777777" w:rsidTr="00FC61D5">
        <w:trPr>
          <w:cantSplit/>
          <w:trHeight w:hRule="exact" w:val="227"/>
        </w:trPr>
        <w:tc>
          <w:tcPr>
            <w:tcW w:w="810" w:type="pct"/>
          </w:tcPr>
          <w:p w14:paraId="038A0133" w14:textId="77777777" w:rsidR="00B03530" w:rsidRDefault="00B03530" w:rsidP="00D11709">
            <w:pPr>
              <w:pStyle w:val="Note-Refs"/>
            </w:pPr>
          </w:p>
        </w:tc>
        <w:tc>
          <w:tcPr>
            <w:tcW w:w="2297" w:type="pct"/>
            <w:shd w:val="clear" w:color="auto" w:fill="CCCCCC"/>
            <w:vAlign w:val="bottom"/>
          </w:tcPr>
          <w:p w14:paraId="038A0134" w14:textId="77777777" w:rsidR="00B03530" w:rsidRDefault="00B03530" w:rsidP="00D11709">
            <w:pPr>
              <w:pStyle w:val="NotesTable-ItemPlain"/>
              <w:rPr>
                <w:b/>
              </w:rPr>
            </w:pPr>
            <w:r>
              <w:t>Other non-financial assets</w:t>
            </w:r>
          </w:p>
        </w:tc>
        <w:tc>
          <w:tcPr>
            <w:tcW w:w="270" w:type="pct"/>
            <w:shd w:val="clear" w:color="auto" w:fill="CCCCCC"/>
            <w:vAlign w:val="bottom"/>
          </w:tcPr>
          <w:p w14:paraId="038A0135" w14:textId="3062043C" w:rsidR="00B03530" w:rsidRDefault="00B03530" w:rsidP="005D4154">
            <w:pPr>
              <w:pStyle w:val="NotesTable-Notes"/>
              <w:rPr>
                <w:b/>
              </w:rPr>
            </w:pPr>
            <w:r>
              <w:t>2</w:t>
            </w:r>
            <w:r w:rsidR="00F405B7">
              <w:t>3</w:t>
            </w:r>
          </w:p>
        </w:tc>
        <w:tc>
          <w:tcPr>
            <w:tcW w:w="406" w:type="pct"/>
            <w:shd w:val="clear" w:color="auto" w:fill="CCCCCC"/>
          </w:tcPr>
          <w:p w14:paraId="038A0136" w14:textId="77777777" w:rsidR="00B03530" w:rsidRDefault="00B03530" w:rsidP="00606085">
            <w:pPr>
              <w:pStyle w:val="NotesTable-CellBold"/>
              <w:rPr>
                <w:b w:val="0"/>
              </w:rPr>
            </w:pPr>
            <w:r>
              <w:t>–</w:t>
            </w:r>
          </w:p>
        </w:tc>
        <w:tc>
          <w:tcPr>
            <w:tcW w:w="406" w:type="pct"/>
            <w:shd w:val="clear" w:color="auto" w:fill="CCCCCC"/>
          </w:tcPr>
          <w:p w14:paraId="038A0137" w14:textId="77777777" w:rsidR="00B03530" w:rsidRDefault="00B03530" w:rsidP="00606085">
            <w:pPr>
              <w:pStyle w:val="NotesTable-CellPlain"/>
              <w:rPr>
                <w:b/>
              </w:rPr>
            </w:pPr>
            <w:r>
              <w:t>–</w:t>
            </w:r>
          </w:p>
        </w:tc>
        <w:tc>
          <w:tcPr>
            <w:tcW w:w="406" w:type="pct"/>
            <w:shd w:val="clear" w:color="auto" w:fill="CCCCCC"/>
          </w:tcPr>
          <w:p w14:paraId="038A0138" w14:textId="77777777" w:rsidR="00B03530" w:rsidRDefault="00B03530" w:rsidP="00606085">
            <w:pPr>
              <w:pStyle w:val="NotesTable-CellBold"/>
              <w:rPr>
                <w:b w:val="0"/>
              </w:rPr>
            </w:pPr>
            <w:r>
              <w:t>–</w:t>
            </w:r>
          </w:p>
        </w:tc>
        <w:tc>
          <w:tcPr>
            <w:tcW w:w="406" w:type="pct"/>
            <w:shd w:val="clear" w:color="auto" w:fill="CCCCCC"/>
          </w:tcPr>
          <w:p w14:paraId="038A0139" w14:textId="77777777" w:rsidR="00B03530" w:rsidRDefault="00B03530" w:rsidP="00606085">
            <w:pPr>
              <w:pStyle w:val="NotesTable-CellPlain"/>
              <w:rPr>
                <w:b/>
              </w:rPr>
            </w:pPr>
            <w:r>
              <w:t>–</w:t>
            </w:r>
          </w:p>
        </w:tc>
      </w:tr>
      <w:tr w:rsidR="00B03530" w14:paraId="038A0142" w14:textId="77777777" w:rsidTr="00FC61D5">
        <w:trPr>
          <w:cantSplit/>
          <w:trHeight w:hRule="exact" w:val="227"/>
        </w:trPr>
        <w:tc>
          <w:tcPr>
            <w:tcW w:w="810" w:type="pct"/>
          </w:tcPr>
          <w:p w14:paraId="038A013B" w14:textId="77777777" w:rsidR="00B03530" w:rsidRDefault="00B03530" w:rsidP="00D11709">
            <w:pPr>
              <w:pStyle w:val="Note-Refs"/>
            </w:pPr>
          </w:p>
        </w:tc>
        <w:tc>
          <w:tcPr>
            <w:tcW w:w="2297" w:type="pct"/>
            <w:shd w:val="clear" w:color="auto" w:fill="CCCCCC"/>
            <w:vAlign w:val="bottom"/>
          </w:tcPr>
          <w:p w14:paraId="038A013C" w14:textId="77777777" w:rsidR="00B03530" w:rsidRDefault="00B03530">
            <w:pPr>
              <w:pStyle w:val="Statement-ItemBold"/>
            </w:pPr>
            <w:r>
              <w:t>Total non-current assets</w:t>
            </w:r>
          </w:p>
        </w:tc>
        <w:tc>
          <w:tcPr>
            <w:tcW w:w="270" w:type="pct"/>
            <w:shd w:val="clear" w:color="auto" w:fill="CCCCCC"/>
            <w:vAlign w:val="bottom"/>
          </w:tcPr>
          <w:p w14:paraId="038A013D" w14:textId="77777777" w:rsidR="00B03530" w:rsidRDefault="00B03530" w:rsidP="005D4154">
            <w:pPr>
              <w:pStyle w:val="NotesTable-Notes"/>
            </w:pPr>
          </w:p>
        </w:tc>
        <w:tc>
          <w:tcPr>
            <w:tcW w:w="406" w:type="pct"/>
            <w:tcBorders>
              <w:top w:val="single" w:sz="4" w:space="0" w:color="000000"/>
              <w:bottom w:val="single" w:sz="8" w:space="0" w:color="auto"/>
            </w:tcBorders>
            <w:shd w:val="clear" w:color="auto" w:fill="CCCCCC"/>
          </w:tcPr>
          <w:p w14:paraId="038A013E" w14:textId="77777777" w:rsidR="00B03530" w:rsidRDefault="00B03530" w:rsidP="00606085">
            <w:pPr>
              <w:pStyle w:val="NotesTable-CellBold"/>
              <w:rPr>
                <w:b w:val="0"/>
              </w:rPr>
            </w:pPr>
            <w:r>
              <w:t>–</w:t>
            </w:r>
          </w:p>
        </w:tc>
        <w:tc>
          <w:tcPr>
            <w:tcW w:w="406" w:type="pct"/>
            <w:tcBorders>
              <w:top w:val="single" w:sz="4" w:space="0" w:color="000000"/>
              <w:bottom w:val="single" w:sz="8" w:space="0" w:color="auto"/>
            </w:tcBorders>
            <w:shd w:val="clear" w:color="auto" w:fill="CCCCCC"/>
          </w:tcPr>
          <w:p w14:paraId="038A013F" w14:textId="77777777" w:rsidR="00B03530" w:rsidRDefault="00B03530" w:rsidP="00606085">
            <w:pPr>
              <w:pStyle w:val="NotesTable-CellPlain"/>
              <w:rPr>
                <w:b/>
              </w:rPr>
            </w:pPr>
            <w:r>
              <w:t>–</w:t>
            </w:r>
          </w:p>
        </w:tc>
        <w:tc>
          <w:tcPr>
            <w:tcW w:w="406" w:type="pct"/>
            <w:tcBorders>
              <w:top w:val="single" w:sz="4" w:space="0" w:color="000000"/>
              <w:bottom w:val="single" w:sz="8" w:space="0" w:color="auto"/>
            </w:tcBorders>
            <w:shd w:val="clear" w:color="auto" w:fill="CCCCCC"/>
          </w:tcPr>
          <w:p w14:paraId="038A0140" w14:textId="77777777" w:rsidR="00B03530" w:rsidRDefault="00B03530" w:rsidP="00606085">
            <w:pPr>
              <w:pStyle w:val="NotesTable-CellBold"/>
              <w:rPr>
                <w:b w:val="0"/>
              </w:rPr>
            </w:pPr>
            <w:r>
              <w:t>–</w:t>
            </w:r>
          </w:p>
        </w:tc>
        <w:tc>
          <w:tcPr>
            <w:tcW w:w="406" w:type="pct"/>
            <w:tcBorders>
              <w:top w:val="single" w:sz="4" w:space="0" w:color="000000"/>
              <w:bottom w:val="single" w:sz="8" w:space="0" w:color="auto"/>
            </w:tcBorders>
            <w:shd w:val="clear" w:color="auto" w:fill="CCCCCC"/>
          </w:tcPr>
          <w:p w14:paraId="038A0141" w14:textId="77777777" w:rsidR="00B03530" w:rsidRDefault="00B03530" w:rsidP="00606085">
            <w:pPr>
              <w:pStyle w:val="NotesTable-CellPlain"/>
              <w:rPr>
                <w:b/>
              </w:rPr>
            </w:pPr>
            <w:r>
              <w:t>–</w:t>
            </w:r>
          </w:p>
        </w:tc>
      </w:tr>
      <w:tr w:rsidR="00B03530" w14:paraId="038A014A" w14:textId="77777777" w:rsidTr="00FC61D5">
        <w:trPr>
          <w:cantSplit/>
          <w:trHeight w:hRule="exact" w:val="227"/>
        </w:trPr>
        <w:tc>
          <w:tcPr>
            <w:tcW w:w="810" w:type="pct"/>
          </w:tcPr>
          <w:p w14:paraId="038A0143" w14:textId="77777777" w:rsidR="00B03530" w:rsidRDefault="00B03530" w:rsidP="00D11709">
            <w:pPr>
              <w:pStyle w:val="Note-Refs"/>
            </w:pPr>
          </w:p>
        </w:tc>
        <w:tc>
          <w:tcPr>
            <w:tcW w:w="2297" w:type="pct"/>
            <w:shd w:val="clear" w:color="auto" w:fill="CCCCCC"/>
            <w:vAlign w:val="bottom"/>
          </w:tcPr>
          <w:p w14:paraId="038A0144" w14:textId="77777777" w:rsidR="00B03530" w:rsidRDefault="00B03530">
            <w:pPr>
              <w:pStyle w:val="Statement-ItemBold"/>
            </w:pPr>
            <w:r>
              <w:t>Total assets</w:t>
            </w:r>
          </w:p>
        </w:tc>
        <w:tc>
          <w:tcPr>
            <w:tcW w:w="270" w:type="pct"/>
            <w:shd w:val="clear" w:color="auto" w:fill="CCCCCC"/>
            <w:vAlign w:val="bottom"/>
          </w:tcPr>
          <w:p w14:paraId="038A0145" w14:textId="77777777" w:rsidR="00B03530" w:rsidRDefault="00B03530" w:rsidP="005D4154">
            <w:pPr>
              <w:pStyle w:val="NotesTable-Notes"/>
            </w:pPr>
          </w:p>
        </w:tc>
        <w:tc>
          <w:tcPr>
            <w:tcW w:w="406" w:type="pct"/>
            <w:tcBorders>
              <w:top w:val="single" w:sz="8" w:space="0" w:color="auto"/>
            </w:tcBorders>
            <w:shd w:val="clear" w:color="auto" w:fill="CCCCCC"/>
          </w:tcPr>
          <w:p w14:paraId="038A0146" w14:textId="77777777" w:rsidR="00B03530" w:rsidRDefault="00B03530" w:rsidP="00606085">
            <w:pPr>
              <w:pStyle w:val="NotesTable-CellBold"/>
              <w:rPr>
                <w:b w:val="0"/>
              </w:rPr>
            </w:pPr>
            <w:r>
              <w:t>–</w:t>
            </w:r>
          </w:p>
        </w:tc>
        <w:tc>
          <w:tcPr>
            <w:tcW w:w="406" w:type="pct"/>
            <w:tcBorders>
              <w:top w:val="single" w:sz="8" w:space="0" w:color="auto"/>
            </w:tcBorders>
            <w:shd w:val="clear" w:color="auto" w:fill="CCCCCC"/>
          </w:tcPr>
          <w:p w14:paraId="038A0147" w14:textId="77777777" w:rsidR="00B03530" w:rsidRDefault="00B03530" w:rsidP="00606085">
            <w:pPr>
              <w:pStyle w:val="NotesTable-CellPlain"/>
              <w:rPr>
                <w:b/>
              </w:rPr>
            </w:pPr>
            <w:r>
              <w:t>–</w:t>
            </w:r>
          </w:p>
        </w:tc>
        <w:tc>
          <w:tcPr>
            <w:tcW w:w="406" w:type="pct"/>
            <w:tcBorders>
              <w:top w:val="single" w:sz="8" w:space="0" w:color="auto"/>
            </w:tcBorders>
            <w:shd w:val="clear" w:color="auto" w:fill="CCCCCC"/>
          </w:tcPr>
          <w:p w14:paraId="038A0148" w14:textId="77777777" w:rsidR="00B03530" w:rsidRDefault="00B03530" w:rsidP="00606085">
            <w:pPr>
              <w:pStyle w:val="NotesTable-CellBold"/>
              <w:rPr>
                <w:b w:val="0"/>
              </w:rPr>
            </w:pPr>
            <w:r>
              <w:t>–</w:t>
            </w:r>
          </w:p>
        </w:tc>
        <w:tc>
          <w:tcPr>
            <w:tcW w:w="406" w:type="pct"/>
            <w:tcBorders>
              <w:top w:val="single" w:sz="8" w:space="0" w:color="auto"/>
            </w:tcBorders>
            <w:shd w:val="clear" w:color="auto" w:fill="CCCCCC"/>
          </w:tcPr>
          <w:p w14:paraId="038A0149" w14:textId="77777777" w:rsidR="00B03530" w:rsidRDefault="00B03530" w:rsidP="00606085">
            <w:pPr>
              <w:pStyle w:val="NotesTable-CellPlain"/>
              <w:rPr>
                <w:b/>
              </w:rPr>
            </w:pPr>
            <w:r>
              <w:t>–</w:t>
            </w:r>
          </w:p>
        </w:tc>
      </w:tr>
      <w:tr w:rsidR="00B03530" w14:paraId="038A0152" w14:textId="77777777" w:rsidTr="00FC61D5">
        <w:trPr>
          <w:cantSplit/>
          <w:trHeight w:hRule="exact" w:val="227"/>
        </w:trPr>
        <w:tc>
          <w:tcPr>
            <w:tcW w:w="810" w:type="pct"/>
          </w:tcPr>
          <w:p w14:paraId="038A014B" w14:textId="77777777" w:rsidR="00B03530" w:rsidRDefault="00B03530" w:rsidP="00D11709">
            <w:pPr>
              <w:pStyle w:val="Note-Refs"/>
            </w:pPr>
          </w:p>
        </w:tc>
        <w:tc>
          <w:tcPr>
            <w:tcW w:w="2297" w:type="pct"/>
            <w:shd w:val="clear" w:color="auto" w:fill="CCCCCC"/>
            <w:vAlign w:val="bottom"/>
          </w:tcPr>
          <w:p w14:paraId="038A014C" w14:textId="77777777" w:rsidR="00B03530" w:rsidRDefault="00B03530">
            <w:pPr>
              <w:pStyle w:val="NotesTable-ItemPlain"/>
            </w:pPr>
          </w:p>
        </w:tc>
        <w:tc>
          <w:tcPr>
            <w:tcW w:w="270" w:type="pct"/>
            <w:shd w:val="clear" w:color="auto" w:fill="CCCCCC"/>
            <w:vAlign w:val="bottom"/>
          </w:tcPr>
          <w:p w14:paraId="038A014D" w14:textId="77777777" w:rsidR="00B03530" w:rsidRDefault="00B03530" w:rsidP="005D4154">
            <w:pPr>
              <w:pStyle w:val="NotesTable-Notes"/>
            </w:pPr>
          </w:p>
        </w:tc>
        <w:tc>
          <w:tcPr>
            <w:tcW w:w="406" w:type="pct"/>
            <w:shd w:val="clear" w:color="auto" w:fill="CCCCCC"/>
          </w:tcPr>
          <w:p w14:paraId="038A014E" w14:textId="77777777" w:rsidR="00B03530" w:rsidRDefault="00B03530" w:rsidP="00606085">
            <w:pPr>
              <w:pStyle w:val="NotesTable-CellBold"/>
            </w:pPr>
          </w:p>
        </w:tc>
        <w:tc>
          <w:tcPr>
            <w:tcW w:w="406" w:type="pct"/>
            <w:shd w:val="clear" w:color="auto" w:fill="CCCCCC"/>
          </w:tcPr>
          <w:p w14:paraId="038A014F" w14:textId="77777777" w:rsidR="00B03530" w:rsidRDefault="00B03530" w:rsidP="00606085">
            <w:pPr>
              <w:pStyle w:val="NotesTable-CellPlain"/>
            </w:pPr>
          </w:p>
        </w:tc>
        <w:tc>
          <w:tcPr>
            <w:tcW w:w="406" w:type="pct"/>
            <w:shd w:val="clear" w:color="auto" w:fill="CCCCCC"/>
          </w:tcPr>
          <w:p w14:paraId="038A0150" w14:textId="77777777" w:rsidR="00B03530" w:rsidRDefault="00B03530" w:rsidP="00606085">
            <w:pPr>
              <w:pStyle w:val="NotesTable-CellBold"/>
            </w:pPr>
          </w:p>
        </w:tc>
        <w:tc>
          <w:tcPr>
            <w:tcW w:w="406" w:type="pct"/>
            <w:shd w:val="clear" w:color="auto" w:fill="CCCCCC"/>
          </w:tcPr>
          <w:p w14:paraId="038A0151" w14:textId="77777777" w:rsidR="00B03530" w:rsidRDefault="00B03530" w:rsidP="00606085">
            <w:pPr>
              <w:pStyle w:val="NotesTable-CellPlain"/>
            </w:pPr>
          </w:p>
        </w:tc>
      </w:tr>
      <w:tr w:rsidR="00B03530" w14:paraId="038A015A" w14:textId="77777777" w:rsidTr="00FC61D5">
        <w:trPr>
          <w:cantSplit/>
          <w:trHeight w:hRule="exact" w:val="227"/>
        </w:trPr>
        <w:tc>
          <w:tcPr>
            <w:tcW w:w="810" w:type="pct"/>
          </w:tcPr>
          <w:p w14:paraId="038A0153" w14:textId="77777777" w:rsidR="00B03530" w:rsidRDefault="00B03530" w:rsidP="00D11709">
            <w:pPr>
              <w:pStyle w:val="Note-Refs"/>
            </w:pPr>
          </w:p>
        </w:tc>
        <w:tc>
          <w:tcPr>
            <w:tcW w:w="2297" w:type="pct"/>
            <w:shd w:val="clear" w:color="auto" w:fill="CCCCCC"/>
            <w:vAlign w:val="bottom"/>
          </w:tcPr>
          <w:p w14:paraId="038A0154" w14:textId="77777777" w:rsidR="00B03530" w:rsidRDefault="00B03530">
            <w:pPr>
              <w:pStyle w:val="Statement-ItemBold"/>
            </w:pPr>
            <w:r>
              <w:t>L</w:t>
            </w:r>
            <w:r w:rsidR="00512CCD">
              <w:t>iabilities</w:t>
            </w:r>
          </w:p>
        </w:tc>
        <w:tc>
          <w:tcPr>
            <w:tcW w:w="270" w:type="pct"/>
            <w:shd w:val="clear" w:color="auto" w:fill="CCCCCC"/>
            <w:vAlign w:val="bottom"/>
          </w:tcPr>
          <w:p w14:paraId="038A0155" w14:textId="77777777" w:rsidR="00B03530" w:rsidRDefault="00B03530" w:rsidP="005D4154">
            <w:pPr>
              <w:pStyle w:val="NotesTable-Notes"/>
            </w:pPr>
          </w:p>
        </w:tc>
        <w:tc>
          <w:tcPr>
            <w:tcW w:w="406" w:type="pct"/>
            <w:shd w:val="clear" w:color="auto" w:fill="CCCCCC"/>
          </w:tcPr>
          <w:p w14:paraId="038A0156" w14:textId="77777777" w:rsidR="00B03530" w:rsidRDefault="00B03530" w:rsidP="00606085">
            <w:pPr>
              <w:pStyle w:val="NotesTable-CellBold"/>
            </w:pPr>
          </w:p>
        </w:tc>
        <w:tc>
          <w:tcPr>
            <w:tcW w:w="406" w:type="pct"/>
            <w:shd w:val="clear" w:color="auto" w:fill="CCCCCC"/>
          </w:tcPr>
          <w:p w14:paraId="038A0157" w14:textId="77777777" w:rsidR="00B03530" w:rsidRDefault="00B03530" w:rsidP="00606085">
            <w:pPr>
              <w:pStyle w:val="NotesTable-CellPlain"/>
            </w:pPr>
          </w:p>
        </w:tc>
        <w:tc>
          <w:tcPr>
            <w:tcW w:w="406" w:type="pct"/>
            <w:shd w:val="clear" w:color="auto" w:fill="CCCCCC"/>
          </w:tcPr>
          <w:p w14:paraId="038A0158" w14:textId="77777777" w:rsidR="00B03530" w:rsidRDefault="00B03530" w:rsidP="00606085">
            <w:pPr>
              <w:pStyle w:val="NotesTable-CellBold"/>
            </w:pPr>
          </w:p>
        </w:tc>
        <w:tc>
          <w:tcPr>
            <w:tcW w:w="406" w:type="pct"/>
            <w:shd w:val="clear" w:color="auto" w:fill="CCCCCC"/>
          </w:tcPr>
          <w:p w14:paraId="038A0159" w14:textId="77777777" w:rsidR="00B03530" w:rsidRDefault="00B03530" w:rsidP="00606085">
            <w:pPr>
              <w:pStyle w:val="NotesTable-CellPlain"/>
            </w:pPr>
          </w:p>
        </w:tc>
      </w:tr>
      <w:tr w:rsidR="00B03530" w14:paraId="038A0162" w14:textId="77777777" w:rsidTr="00FC61D5">
        <w:trPr>
          <w:cantSplit/>
          <w:trHeight w:hRule="exact" w:val="227"/>
        </w:trPr>
        <w:tc>
          <w:tcPr>
            <w:tcW w:w="810" w:type="pct"/>
          </w:tcPr>
          <w:p w14:paraId="038A015B" w14:textId="77777777" w:rsidR="00B03530" w:rsidRDefault="00B03530" w:rsidP="00D11709">
            <w:pPr>
              <w:pStyle w:val="Note-Refs"/>
            </w:pPr>
            <w:r>
              <w:t>AASB101</w:t>
            </w:r>
            <w:r w:rsidR="0082032F">
              <w:t>.</w:t>
            </w:r>
            <w:r>
              <w:t>60,69</w:t>
            </w:r>
          </w:p>
        </w:tc>
        <w:tc>
          <w:tcPr>
            <w:tcW w:w="2297" w:type="pct"/>
            <w:shd w:val="clear" w:color="auto" w:fill="CCCCCC"/>
            <w:vAlign w:val="bottom"/>
          </w:tcPr>
          <w:p w14:paraId="038A015C" w14:textId="77777777" w:rsidR="00B03530" w:rsidRDefault="00B03530">
            <w:pPr>
              <w:pStyle w:val="Statement-ItemBold"/>
            </w:pPr>
            <w:r>
              <w:t xml:space="preserve">Current liabilities </w:t>
            </w:r>
          </w:p>
        </w:tc>
        <w:tc>
          <w:tcPr>
            <w:tcW w:w="270" w:type="pct"/>
            <w:shd w:val="clear" w:color="auto" w:fill="CCCCCC"/>
            <w:vAlign w:val="bottom"/>
          </w:tcPr>
          <w:p w14:paraId="038A015D" w14:textId="77777777" w:rsidR="00B03530" w:rsidRDefault="00B03530" w:rsidP="005D4154">
            <w:pPr>
              <w:pStyle w:val="NotesTable-Notes"/>
            </w:pPr>
          </w:p>
        </w:tc>
        <w:tc>
          <w:tcPr>
            <w:tcW w:w="406" w:type="pct"/>
            <w:shd w:val="clear" w:color="auto" w:fill="CCCCCC"/>
          </w:tcPr>
          <w:p w14:paraId="038A015E" w14:textId="77777777" w:rsidR="00B03530" w:rsidRDefault="00B03530" w:rsidP="00606085">
            <w:pPr>
              <w:pStyle w:val="NotesTable-CellBold"/>
            </w:pPr>
          </w:p>
        </w:tc>
        <w:tc>
          <w:tcPr>
            <w:tcW w:w="406" w:type="pct"/>
            <w:shd w:val="clear" w:color="auto" w:fill="CCCCCC"/>
          </w:tcPr>
          <w:p w14:paraId="038A015F" w14:textId="77777777" w:rsidR="00B03530" w:rsidRDefault="00B03530" w:rsidP="00606085">
            <w:pPr>
              <w:pStyle w:val="NotesTable-CellPlain"/>
            </w:pPr>
          </w:p>
        </w:tc>
        <w:tc>
          <w:tcPr>
            <w:tcW w:w="406" w:type="pct"/>
            <w:shd w:val="clear" w:color="auto" w:fill="CCCCCC"/>
          </w:tcPr>
          <w:p w14:paraId="038A0160" w14:textId="77777777" w:rsidR="00B03530" w:rsidRDefault="00B03530" w:rsidP="00606085">
            <w:pPr>
              <w:pStyle w:val="NotesTable-CellBold"/>
            </w:pPr>
          </w:p>
        </w:tc>
        <w:tc>
          <w:tcPr>
            <w:tcW w:w="406" w:type="pct"/>
            <w:shd w:val="clear" w:color="auto" w:fill="CCCCCC"/>
          </w:tcPr>
          <w:p w14:paraId="038A0161" w14:textId="77777777" w:rsidR="00B03530" w:rsidRDefault="00B03530" w:rsidP="00606085">
            <w:pPr>
              <w:pStyle w:val="NotesTable-CellPlain"/>
            </w:pPr>
          </w:p>
        </w:tc>
      </w:tr>
      <w:tr w:rsidR="00B03530" w14:paraId="038A016A" w14:textId="77777777" w:rsidTr="00FC61D5">
        <w:trPr>
          <w:cantSplit/>
          <w:trHeight w:hRule="exact" w:val="227"/>
        </w:trPr>
        <w:tc>
          <w:tcPr>
            <w:tcW w:w="810" w:type="pct"/>
          </w:tcPr>
          <w:p w14:paraId="038A0163" w14:textId="77777777" w:rsidR="00B03530" w:rsidRDefault="00B03530" w:rsidP="00D11709">
            <w:pPr>
              <w:pStyle w:val="Note-Refs"/>
            </w:pPr>
            <w:r>
              <w:t>AASB101</w:t>
            </w:r>
            <w:r w:rsidR="0082032F">
              <w:t>.</w:t>
            </w:r>
            <w:r>
              <w:t>54k</w:t>
            </w:r>
          </w:p>
        </w:tc>
        <w:tc>
          <w:tcPr>
            <w:tcW w:w="2297" w:type="pct"/>
            <w:shd w:val="clear" w:color="auto" w:fill="CCCCCC"/>
            <w:vAlign w:val="bottom"/>
          </w:tcPr>
          <w:p w14:paraId="038A0164" w14:textId="77777777" w:rsidR="00B03530" w:rsidRDefault="00B03530" w:rsidP="00D11709">
            <w:pPr>
              <w:pStyle w:val="NotesTable-ItemPlain"/>
              <w:rPr>
                <w:b/>
              </w:rPr>
            </w:pPr>
            <w:r>
              <w:t>Trade and other payables</w:t>
            </w:r>
          </w:p>
        </w:tc>
        <w:tc>
          <w:tcPr>
            <w:tcW w:w="270" w:type="pct"/>
            <w:shd w:val="clear" w:color="auto" w:fill="CCCCCC"/>
            <w:vAlign w:val="bottom"/>
          </w:tcPr>
          <w:p w14:paraId="038A0165" w14:textId="3B4938FB" w:rsidR="00B03530" w:rsidRDefault="00F405B7" w:rsidP="005D4154">
            <w:pPr>
              <w:pStyle w:val="NotesTable-Notes"/>
              <w:rPr>
                <w:b/>
              </w:rPr>
            </w:pPr>
            <w:r>
              <w:t>29</w:t>
            </w:r>
          </w:p>
        </w:tc>
        <w:tc>
          <w:tcPr>
            <w:tcW w:w="406" w:type="pct"/>
            <w:shd w:val="clear" w:color="auto" w:fill="CCCCCC"/>
          </w:tcPr>
          <w:p w14:paraId="038A0166" w14:textId="77777777" w:rsidR="00B03530" w:rsidRDefault="00B03530" w:rsidP="00606085">
            <w:pPr>
              <w:pStyle w:val="NotesTable-CellBold"/>
              <w:rPr>
                <w:b w:val="0"/>
              </w:rPr>
            </w:pPr>
            <w:r>
              <w:t>–</w:t>
            </w:r>
          </w:p>
        </w:tc>
        <w:tc>
          <w:tcPr>
            <w:tcW w:w="406" w:type="pct"/>
            <w:shd w:val="clear" w:color="auto" w:fill="CCCCCC"/>
          </w:tcPr>
          <w:p w14:paraId="038A0167" w14:textId="77777777" w:rsidR="00B03530" w:rsidRDefault="00B03530" w:rsidP="00606085">
            <w:pPr>
              <w:pStyle w:val="NotesTable-CellPlain"/>
              <w:rPr>
                <w:b/>
              </w:rPr>
            </w:pPr>
            <w:r>
              <w:t>–</w:t>
            </w:r>
          </w:p>
        </w:tc>
        <w:tc>
          <w:tcPr>
            <w:tcW w:w="406" w:type="pct"/>
            <w:shd w:val="clear" w:color="auto" w:fill="CCCCCC"/>
          </w:tcPr>
          <w:p w14:paraId="038A0168" w14:textId="77777777" w:rsidR="00B03530" w:rsidRDefault="00B03530" w:rsidP="00606085">
            <w:pPr>
              <w:pStyle w:val="NotesTable-CellBold"/>
              <w:rPr>
                <w:b w:val="0"/>
              </w:rPr>
            </w:pPr>
            <w:r>
              <w:t>–</w:t>
            </w:r>
          </w:p>
        </w:tc>
        <w:tc>
          <w:tcPr>
            <w:tcW w:w="406" w:type="pct"/>
            <w:shd w:val="clear" w:color="auto" w:fill="CCCCCC"/>
          </w:tcPr>
          <w:p w14:paraId="038A0169" w14:textId="77777777" w:rsidR="00B03530" w:rsidRDefault="00B03530" w:rsidP="00606085">
            <w:pPr>
              <w:pStyle w:val="NotesTable-CellPlain"/>
              <w:rPr>
                <w:b/>
              </w:rPr>
            </w:pPr>
            <w:r>
              <w:t>–</w:t>
            </w:r>
          </w:p>
        </w:tc>
      </w:tr>
      <w:tr w:rsidR="00B03530" w14:paraId="038A0172" w14:textId="77777777" w:rsidTr="00FC61D5">
        <w:trPr>
          <w:cantSplit/>
          <w:trHeight w:hRule="exact" w:val="227"/>
        </w:trPr>
        <w:tc>
          <w:tcPr>
            <w:tcW w:w="810" w:type="pct"/>
          </w:tcPr>
          <w:p w14:paraId="038A016B" w14:textId="2A93C10F" w:rsidR="00B03530" w:rsidRDefault="00843994" w:rsidP="00D11709">
            <w:pPr>
              <w:pStyle w:val="Note-Refs"/>
              <w:rPr>
                <w:b/>
              </w:rPr>
            </w:pPr>
            <w:r>
              <w:t>AASB101.54m</w:t>
            </w:r>
          </w:p>
        </w:tc>
        <w:tc>
          <w:tcPr>
            <w:tcW w:w="2297" w:type="pct"/>
            <w:shd w:val="clear" w:color="auto" w:fill="CCCCCC"/>
            <w:vAlign w:val="bottom"/>
          </w:tcPr>
          <w:p w14:paraId="038A016C" w14:textId="77777777" w:rsidR="00B03530" w:rsidRDefault="00B03530" w:rsidP="00D11709">
            <w:pPr>
              <w:pStyle w:val="NotesTable-ItemPlain"/>
              <w:rPr>
                <w:b/>
              </w:rPr>
            </w:pPr>
            <w:r>
              <w:t>Borrowings</w:t>
            </w:r>
          </w:p>
        </w:tc>
        <w:tc>
          <w:tcPr>
            <w:tcW w:w="270" w:type="pct"/>
            <w:shd w:val="clear" w:color="auto" w:fill="CCCCCC"/>
            <w:vAlign w:val="bottom"/>
          </w:tcPr>
          <w:p w14:paraId="038A016D" w14:textId="031BBE18" w:rsidR="00B03530" w:rsidRDefault="00F405B7" w:rsidP="005D4154">
            <w:pPr>
              <w:pStyle w:val="NotesTable-Notes"/>
              <w:rPr>
                <w:b/>
              </w:rPr>
            </w:pPr>
            <w:r>
              <w:t>30</w:t>
            </w:r>
          </w:p>
        </w:tc>
        <w:tc>
          <w:tcPr>
            <w:tcW w:w="406" w:type="pct"/>
            <w:shd w:val="clear" w:color="auto" w:fill="CCCCCC"/>
          </w:tcPr>
          <w:p w14:paraId="038A016E" w14:textId="77777777" w:rsidR="00B03530" w:rsidRDefault="00B03530" w:rsidP="00606085">
            <w:pPr>
              <w:pStyle w:val="NotesTable-CellBold"/>
              <w:rPr>
                <w:b w:val="0"/>
              </w:rPr>
            </w:pPr>
            <w:r>
              <w:t>–</w:t>
            </w:r>
          </w:p>
        </w:tc>
        <w:tc>
          <w:tcPr>
            <w:tcW w:w="406" w:type="pct"/>
            <w:shd w:val="clear" w:color="auto" w:fill="CCCCCC"/>
          </w:tcPr>
          <w:p w14:paraId="038A016F" w14:textId="77777777" w:rsidR="00B03530" w:rsidRDefault="00B03530" w:rsidP="00606085">
            <w:pPr>
              <w:pStyle w:val="NotesTable-CellPlain"/>
              <w:rPr>
                <w:b/>
              </w:rPr>
            </w:pPr>
            <w:r>
              <w:t>–</w:t>
            </w:r>
          </w:p>
        </w:tc>
        <w:tc>
          <w:tcPr>
            <w:tcW w:w="406" w:type="pct"/>
            <w:shd w:val="clear" w:color="auto" w:fill="CCCCCC"/>
          </w:tcPr>
          <w:p w14:paraId="038A0170" w14:textId="77777777" w:rsidR="00B03530" w:rsidRDefault="00B03530" w:rsidP="00606085">
            <w:pPr>
              <w:pStyle w:val="NotesTable-CellBold"/>
              <w:rPr>
                <w:b w:val="0"/>
              </w:rPr>
            </w:pPr>
            <w:r>
              <w:t>–</w:t>
            </w:r>
          </w:p>
        </w:tc>
        <w:tc>
          <w:tcPr>
            <w:tcW w:w="406" w:type="pct"/>
            <w:shd w:val="clear" w:color="auto" w:fill="CCCCCC"/>
          </w:tcPr>
          <w:p w14:paraId="038A0171" w14:textId="77777777" w:rsidR="00B03530" w:rsidRDefault="00B03530" w:rsidP="00606085">
            <w:pPr>
              <w:pStyle w:val="NotesTable-CellPlain"/>
              <w:rPr>
                <w:b/>
              </w:rPr>
            </w:pPr>
            <w:r>
              <w:t>–</w:t>
            </w:r>
          </w:p>
        </w:tc>
      </w:tr>
      <w:tr w:rsidR="00B03530" w14:paraId="038A017A" w14:textId="77777777" w:rsidTr="00FC61D5">
        <w:trPr>
          <w:cantSplit/>
          <w:trHeight w:hRule="exact" w:val="227"/>
        </w:trPr>
        <w:tc>
          <w:tcPr>
            <w:tcW w:w="810" w:type="pct"/>
          </w:tcPr>
          <w:p w14:paraId="038A0173" w14:textId="77777777" w:rsidR="00B03530" w:rsidRDefault="00B03530" w:rsidP="00D11709">
            <w:pPr>
              <w:pStyle w:val="Note-Refs"/>
              <w:rPr>
                <w:b/>
              </w:rPr>
            </w:pPr>
            <w:r>
              <w:t>AASB101</w:t>
            </w:r>
            <w:r w:rsidR="0082032F">
              <w:t>.</w:t>
            </w:r>
            <w:r>
              <w:t>54l</w:t>
            </w:r>
          </w:p>
        </w:tc>
        <w:tc>
          <w:tcPr>
            <w:tcW w:w="2297" w:type="pct"/>
            <w:shd w:val="clear" w:color="auto" w:fill="CCCCCC"/>
            <w:vAlign w:val="bottom"/>
          </w:tcPr>
          <w:p w14:paraId="038A0174" w14:textId="77777777" w:rsidR="00B03530" w:rsidRDefault="00B03530" w:rsidP="00D11709">
            <w:pPr>
              <w:pStyle w:val="NotesTable-ItemPlain"/>
              <w:rPr>
                <w:b/>
              </w:rPr>
            </w:pPr>
            <w:r>
              <w:t>Provisions</w:t>
            </w:r>
          </w:p>
        </w:tc>
        <w:tc>
          <w:tcPr>
            <w:tcW w:w="270" w:type="pct"/>
            <w:shd w:val="clear" w:color="auto" w:fill="CCCCCC"/>
            <w:vAlign w:val="bottom"/>
          </w:tcPr>
          <w:p w14:paraId="038A0175" w14:textId="5A584814" w:rsidR="00B03530" w:rsidRDefault="00B03530" w:rsidP="005D4154">
            <w:pPr>
              <w:pStyle w:val="NotesTable-Notes"/>
              <w:rPr>
                <w:b/>
              </w:rPr>
            </w:pPr>
            <w:r>
              <w:t>3</w:t>
            </w:r>
            <w:r w:rsidR="00F405B7">
              <w:t>1</w:t>
            </w:r>
          </w:p>
        </w:tc>
        <w:tc>
          <w:tcPr>
            <w:tcW w:w="406" w:type="pct"/>
            <w:shd w:val="clear" w:color="auto" w:fill="CCCCCC"/>
          </w:tcPr>
          <w:p w14:paraId="038A0176" w14:textId="77777777" w:rsidR="00B03530" w:rsidRDefault="00B03530" w:rsidP="00606085">
            <w:pPr>
              <w:pStyle w:val="NotesTable-CellBold"/>
              <w:rPr>
                <w:b w:val="0"/>
              </w:rPr>
            </w:pPr>
            <w:r>
              <w:t>–</w:t>
            </w:r>
          </w:p>
        </w:tc>
        <w:tc>
          <w:tcPr>
            <w:tcW w:w="406" w:type="pct"/>
            <w:shd w:val="clear" w:color="auto" w:fill="CCCCCC"/>
          </w:tcPr>
          <w:p w14:paraId="038A0177" w14:textId="77777777" w:rsidR="00B03530" w:rsidRDefault="00B03530" w:rsidP="00606085">
            <w:pPr>
              <w:pStyle w:val="NotesTable-CellPlain"/>
              <w:rPr>
                <w:b/>
              </w:rPr>
            </w:pPr>
            <w:r>
              <w:t>–</w:t>
            </w:r>
          </w:p>
        </w:tc>
        <w:tc>
          <w:tcPr>
            <w:tcW w:w="406" w:type="pct"/>
            <w:shd w:val="clear" w:color="auto" w:fill="CCCCCC"/>
          </w:tcPr>
          <w:p w14:paraId="038A0178" w14:textId="77777777" w:rsidR="00B03530" w:rsidRDefault="00B03530" w:rsidP="00606085">
            <w:pPr>
              <w:pStyle w:val="NotesTable-CellBold"/>
              <w:rPr>
                <w:b w:val="0"/>
              </w:rPr>
            </w:pPr>
            <w:r>
              <w:t>–</w:t>
            </w:r>
          </w:p>
        </w:tc>
        <w:tc>
          <w:tcPr>
            <w:tcW w:w="406" w:type="pct"/>
            <w:shd w:val="clear" w:color="auto" w:fill="CCCCCC"/>
          </w:tcPr>
          <w:p w14:paraId="038A0179" w14:textId="77777777" w:rsidR="00B03530" w:rsidRDefault="00B03530" w:rsidP="00606085">
            <w:pPr>
              <w:pStyle w:val="NotesTable-CellPlain"/>
              <w:rPr>
                <w:b/>
              </w:rPr>
            </w:pPr>
            <w:r>
              <w:t>–</w:t>
            </w:r>
          </w:p>
        </w:tc>
      </w:tr>
      <w:tr w:rsidR="00B03530" w14:paraId="038A0182" w14:textId="77777777" w:rsidTr="00FC61D5">
        <w:trPr>
          <w:cantSplit/>
          <w:trHeight w:hRule="exact" w:val="227"/>
        </w:trPr>
        <w:tc>
          <w:tcPr>
            <w:tcW w:w="810" w:type="pct"/>
          </w:tcPr>
          <w:p w14:paraId="038A017B" w14:textId="198FF5D3" w:rsidR="00B03530" w:rsidRDefault="007C5749" w:rsidP="00D11709">
            <w:pPr>
              <w:pStyle w:val="Note-Refs"/>
            </w:pPr>
            <w:r>
              <w:t>AASB101.54m</w:t>
            </w:r>
          </w:p>
        </w:tc>
        <w:tc>
          <w:tcPr>
            <w:tcW w:w="2297" w:type="pct"/>
            <w:shd w:val="clear" w:color="auto" w:fill="CCCCCC"/>
            <w:vAlign w:val="bottom"/>
          </w:tcPr>
          <w:p w14:paraId="038A017C" w14:textId="77777777" w:rsidR="00B03530" w:rsidRDefault="00B03530" w:rsidP="00D11709">
            <w:pPr>
              <w:pStyle w:val="NotesTable-ItemPlain"/>
              <w:rPr>
                <w:b/>
              </w:rPr>
            </w:pPr>
            <w:r>
              <w:t>Other financial liabilities</w:t>
            </w:r>
          </w:p>
        </w:tc>
        <w:tc>
          <w:tcPr>
            <w:tcW w:w="270" w:type="pct"/>
            <w:shd w:val="clear" w:color="auto" w:fill="CCCCCC"/>
            <w:vAlign w:val="bottom"/>
          </w:tcPr>
          <w:p w14:paraId="038A017D" w14:textId="07D20B4D" w:rsidR="00B03530" w:rsidRDefault="00B03530" w:rsidP="005D4154">
            <w:pPr>
              <w:pStyle w:val="NotesTable-Notes"/>
              <w:rPr>
                <w:b/>
              </w:rPr>
            </w:pPr>
            <w:r>
              <w:t>3</w:t>
            </w:r>
            <w:r w:rsidR="00F405B7">
              <w:t>2</w:t>
            </w:r>
          </w:p>
        </w:tc>
        <w:tc>
          <w:tcPr>
            <w:tcW w:w="406" w:type="pct"/>
            <w:shd w:val="clear" w:color="auto" w:fill="CCCCCC"/>
          </w:tcPr>
          <w:p w14:paraId="038A017E" w14:textId="77777777" w:rsidR="00B03530" w:rsidRDefault="00B03530" w:rsidP="00606085">
            <w:pPr>
              <w:pStyle w:val="NotesTable-CellBold"/>
              <w:rPr>
                <w:b w:val="0"/>
              </w:rPr>
            </w:pPr>
            <w:r>
              <w:t>–</w:t>
            </w:r>
          </w:p>
        </w:tc>
        <w:tc>
          <w:tcPr>
            <w:tcW w:w="406" w:type="pct"/>
            <w:shd w:val="clear" w:color="auto" w:fill="CCCCCC"/>
          </w:tcPr>
          <w:p w14:paraId="038A017F" w14:textId="77777777" w:rsidR="00B03530" w:rsidRDefault="00B03530" w:rsidP="00606085">
            <w:pPr>
              <w:pStyle w:val="NotesTable-CellPlain"/>
              <w:rPr>
                <w:b/>
              </w:rPr>
            </w:pPr>
            <w:r>
              <w:t>–</w:t>
            </w:r>
          </w:p>
        </w:tc>
        <w:tc>
          <w:tcPr>
            <w:tcW w:w="406" w:type="pct"/>
            <w:shd w:val="clear" w:color="auto" w:fill="CCCCCC"/>
          </w:tcPr>
          <w:p w14:paraId="038A0180" w14:textId="77777777" w:rsidR="00B03530" w:rsidRDefault="00B03530" w:rsidP="00606085">
            <w:pPr>
              <w:pStyle w:val="NotesTable-CellBold"/>
              <w:rPr>
                <w:b w:val="0"/>
              </w:rPr>
            </w:pPr>
            <w:r>
              <w:t>–</w:t>
            </w:r>
          </w:p>
        </w:tc>
        <w:tc>
          <w:tcPr>
            <w:tcW w:w="406" w:type="pct"/>
            <w:shd w:val="clear" w:color="auto" w:fill="CCCCCC"/>
          </w:tcPr>
          <w:p w14:paraId="038A0181" w14:textId="77777777" w:rsidR="00B03530" w:rsidRDefault="00B03530" w:rsidP="00606085">
            <w:pPr>
              <w:pStyle w:val="NotesTable-CellPlain"/>
              <w:rPr>
                <w:b/>
              </w:rPr>
            </w:pPr>
            <w:r>
              <w:t>–</w:t>
            </w:r>
          </w:p>
        </w:tc>
      </w:tr>
      <w:tr w:rsidR="00B03530" w14:paraId="038A018A" w14:textId="77777777" w:rsidTr="00FC61D5">
        <w:trPr>
          <w:cantSplit/>
          <w:trHeight w:hRule="exact" w:val="227"/>
        </w:trPr>
        <w:tc>
          <w:tcPr>
            <w:tcW w:w="810" w:type="pct"/>
          </w:tcPr>
          <w:p w14:paraId="038A0183" w14:textId="77777777" w:rsidR="00B03530" w:rsidRDefault="00B03530" w:rsidP="00D11709">
            <w:pPr>
              <w:pStyle w:val="Note-Refs"/>
            </w:pPr>
          </w:p>
        </w:tc>
        <w:tc>
          <w:tcPr>
            <w:tcW w:w="2297" w:type="pct"/>
            <w:shd w:val="clear" w:color="auto" w:fill="CCCCCC"/>
            <w:vAlign w:val="bottom"/>
          </w:tcPr>
          <w:p w14:paraId="038A0184" w14:textId="77777777" w:rsidR="00B03530" w:rsidRDefault="00B03530" w:rsidP="00D11709">
            <w:pPr>
              <w:pStyle w:val="NotesTable-ItemPlain"/>
              <w:rPr>
                <w:b/>
              </w:rPr>
            </w:pPr>
            <w:r>
              <w:t>Other liabilities</w:t>
            </w:r>
          </w:p>
        </w:tc>
        <w:tc>
          <w:tcPr>
            <w:tcW w:w="270" w:type="pct"/>
            <w:shd w:val="clear" w:color="auto" w:fill="CCCCCC"/>
            <w:vAlign w:val="bottom"/>
          </w:tcPr>
          <w:p w14:paraId="038A0185" w14:textId="20083FE6" w:rsidR="00B03530" w:rsidRDefault="00B03530" w:rsidP="005D4154">
            <w:pPr>
              <w:pStyle w:val="NotesTable-Notes"/>
              <w:rPr>
                <w:b/>
              </w:rPr>
            </w:pPr>
            <w:r>
              <w:t>3</w:t>
            </w:r>
            <w:r w:rsidR="00F405B7">
              <w:t>4</w:t>
            </w:r>
          </w:p>
        </w:tc>
        <w:tc>
          <w:tcPr>
            <w:tcW w:w="406" w:type="pct"/>
            <w:shd w:val="clear" w:color="auto" w:fill="CCCCCC"/>
          </w:tcPr>
          <w:p w14:paraId="038A0186" w14:textId="77777777" w:rsidR="00B03530" w:rsidRDefault="00B03530" w:rsidP="00606085">
            <w:pPr>
              <w:pStyle w:val="NotesTable-CellBold"/>
              <w:rPr>
                <w:b w:val="0"/>
              </w:rPr>
            </w:pPr>
            <w:r>
              <w:t>–</w:t>
            </w:r>
          </w:p>
        </w:tc>
        <w:tc>
          <w:tcPr>
            <w:tcW w:w="406" w:type="pct"/>
            <w:shd w:val="clear" w:color="auto" w:fill="CCCCCC"/>
          </w:tcPr>
          <w:p w14:paraId="038A0187" w14:textId="77777777" w:rsidR="00B03530" w:rsidRDefault="00B03530" w:rsidP="00606085">
            <w:pPr>
              <w:pStyle w:val="NotesTable-CellPlain"/>
              <w:rPr>
                <w:b/>
              </w:rPr>
            </w:pPr>
            <w:r>
              <w:t>–</w:t>
            </w:r>
          </w:p>
        </w:tc>
        <w:tc>
          <w:tcPr>
            <w:tcW w:w="406" w:type="pct"/>
            <w:shd w:val="clear" w:color="auto" w:fill="CCCCCC"/>
          </w:tcPr>
          <w:p w14:paraId="038A0188" w14:textId="77777777" w:rsidR="00B03530" w:rsidRDefault="00B03530" w:rsidP="00606085">
            <w:pPr>
              <w:pStyle w:val="NotesTable-CellBold"/>
              <w:rPr>
                <w:b w:val="0"/>
              </w:rPr>
            </w:pPr>
            <w:r>
              <w:t>–</w:t>
            </w:r>
          </w:p>
        </w:tc>
        <w:tc>
          <w:tcPr>
            <w:tcW w:w="406" w:type="pct"/>
            <w:shd w:val="clear" w:color="auto" w:fill="CCCCCC"/>
          </w:tcPr>
          <w:p w14:paraId="038A0189" w14:textId="77777777" w:rsidR="00B03530" w:rsidRDefault="00B03530" w:rsidP="00606085">
            <w:pPr>
              <w:pStyle w:val="NotesTable-CellPlain"/>
              <w:rPr>
                <w:b/>
              </w:rPr>
            </w:pPr>
            <w:r>
              <w:t>–</w:t>
            </w:r>
          </w:p>
        </w:tc>
      </w:tr>
      <w:tr w:rsidR="00B03530" w14:paraId="038A0193" w14:textId="77777777" w:rsidTr="00FC61D5">
        <w:trPr>
          <w:cantSplit/>
          <w:trHeight w:hRule="exact" w:val="454"/>
        </w:trPr>
        <w:tc>
          <w:tcPr>
            <w:tcW w:w="810" w:type="pct"/>
          </w:tcPr>
          <w:p w14:paraId="038A018B" w14:textId="77777777" w:rsidR="00B03530" w:rsidRDefault="00B03530" w:rsidP="00D11709">
            <w:pPr>
              <w:pStyle w:val="Note-Refs"/>
              <w:rPr>
                <w:b/>
              </w:rPr>
            </w:pPr>
            <w:r>
              <w:t>AASB101</w:t>
            </w:r>
            <w:r w:rsidR="0082032F">
              <w:t>.</w:t>
            </w:r>
            <w:r>
              <w:t>54p</w:t>
            </w:r>
          </w:p>
          <w:p w14:paraId="038A018C" w14:textId="77777777" w:rsidR="00B03530" w:rsidRDefault="00B03530" w:rsidP="00D11709">
            <w:pPr>
              <w:pStyle w:val="Note-Refs"/>
              <w:rPr>
                <w:b/>
              </w:rPr>
            </w:pPr>
            <w:r>
              <w:t>AASB5</w:t>
            </w:r>
            <w:r w:rsidR="0082032F">
              <w:t>.</w:t>
            </w:r>
            <w:r>
              <w:t>38</w:t>
            </w:r>
          </w:p>
        </w:tc>
        <w:tc>
          <w:tcPr>
            <w:tcW w:w="2297" w:type="pct"/>
            <w:shd w:val="clear" w:color="auto" w:fill="CCCCCC"/>
            <w:vAlign w:val="bottom"/>
          </w:tcPr>
          <w:p w14:paraId="038A018D" w14:textId="77777777" w:rsidR="00B03530" w:rsidRDefault="00B03530" w:rsidP="00D11709">
            <w:pPr>
              <w:pStyle w:val="NotesTable-ItemPlain"/>
              <w:rPr>
                <w:b/>
              </w:rPr>
            </w:pPr>
            <w:r>
              <w:t>Liabilities directly associated with non-current assets and disposal groups classified as held for sale</w:t>
            </w:r>
          </w:p>
        </w:tc>
        <w:tc>
          <w:tcPr>
            <w:tcW w:w="270" w:type="pct"/>
            <w:shd w:val="clear" w:color="auto" w:fill="CCCCCC"/>
            <w:vAlign w:val="bottom"/>
          </w:tcPr>
          <w:p w14:paraId="038A018E" w14:textId="7788137F" w:rsidR="00B03530" w:rsidRDefault="00B03530" w:rsidP="005D4154">
            <w:pPr>
              <w:pStyle w:val="NotesTable-Notes"/>
              <w:rPr>
                <w:b/>
              </w:rPr>
            </w:pPr>
            <w:r>
              <w:t>1</w:t>
            </w:r>
            <w:r w:rsidR="00F405B7">
              <w:t>7</w:t>
            </w:r>
          </w:p>
        </w:tc>
        <w:tc>
          <w:tcPr>
            <w:tcW w:w="406" w:type="pct"/>
            <w:shd w:val="clear" w:color="auto" w:fill="CCCCCC"/>
          </w:tcPr>
          <w:p w14:paraId="038A018F" w14:textId="77777777" w:rsidR="00B03530" w:rsidRDefault="00ED0968" w:rsidP="00606085">
            <w:pPr>
              <w:pStyle w:val="NotesTable-CellBold"/>
              <w:rPr>
                <w:b w:val="0"/>
              </w:rPr>
            </w:pPr>
            <w:r>
              <w:br/>
            </w:r>
            <w:r w:rsidR="00B03530">
              <w:t>–</w:t>
            </w:r>
          </w:p>
        </w:tc>
        <w:tc>
          <w:tcPr>
            <w:tcW w:w="406" w:type="pct"/>
            <w:shd w:val="clear" w:color="auto" w:fill="CCCCCC"/>
          </w:tcPr>
          <w:p w14:paraId="038A0190" w14:textId="77777777" w:rsidR="00B03530" w:rsidRDefault="00ED0968" w:rsidP="00606085">
            <w:pPr>
              <w:pStyle w:val="NotesTable-CellPlain"/>
              <w:rPr>
                <w:b/>
              </w:rPr>
            </w:pPr>
            <w:r>
              <w:br/>
            </w:r>
            <w:r w:rsidR="00B03530">
              <w:t>–</w:t>
            </w:r>
          </w:p>
        </w:tc>
        <w:tc>
          <w:tcPr>
            <w:tcW w:w="406" w:type="pct"/>
            <w:shd w:val="clear" w:color="auto" w:fill="CCCCCC"/>
          </w:tcPr>
          <w:p w14:paraId="038A0191" w14:textId="77777777" w:rsidR="00B03530" w:rsidRDefault="00ED0968" w:rsidP="00606085">
            <w:pPr>
              <w:pStyle w:val="NotesTable-CellBold"/>
              <w:rPr>
                <w:b w:val="0"/>
              </w:rPr>
            </w:pPr>
            <w:r>
              <w:br/>
            </w:r>
            <w:r w:rsidR="00B03530">
              <w:t>–</w:t>
            </w:r>
          </w:p>
        </w:tc>
        <w:tc>
          <w:tcPr>
            <w:tcW w:w="406" w:type="pct"/>
            <w:shd w:val="clear" w:color="auto" w:fill="CCCCCC"/>
          </w:tcPr>
          <w:p w14:paraId="038A0192" w14:textId="77777777" w:rsidR="00B03530" w:rsidRDefault="00ED0968" w:rsidP="00606085">
            <w:pPr>
              <w:pStyle w:val="NotesTable-CellPlain"/>
              <w:rPr>
                <w:b/>
              </w:rPr>
            </w:pPr>
            <w:r>
              <w:br/>
            </w:r>
            <w:r w:rsidR="00B03530">
              <w:t>–</w:t>
            </w:r>
          </w:p>
        </w:tc>
      </w:tr>
      <w:tr w:rsidR="00B03530" w14:paraId="038A019B" w14:textId="77777777" w:rsidTr="00FC61D5">
        <w:trPr>
          <w:cantSplit/>
          <w:trHeight w:hRule="exact" w:val="227"/>
        </w:trPr>
        <w:tc>
          <w:tcPr>
            <w:tcW w:w="810" w:type="pct"/>
          </w:tcPr>
          <w:p w14:paraId="038A0194" w14:textId="77777777" w:rsidR="00B03530" w:rsidRDefault="00B03530" w:rsidP="00D11709">
            <w:pPr>
              <w:pStyle w:val="Note-Refs"/>
            </w:pPr>
          </w:p>
        </w:tc>
        <w:tc>
          <w:tcPr>
            <w:tcW w:w="2297" w:type="pct"/>
            <w:shd w:val="clear" w:color="auto" w:fill="CCCCCC"/>
            <w:vAlign w:val="bottom"/>
          </w:tcPr>
          <w:p w14:paraId="038A0195" w14:textId="77777777" w:rsidR="00B03530" w:rsidRDefault="00B03530">
            <w:pPr>
              <w:pStyle w:val="Statement-ItemBold"/>
            </w:pPr>
            <w:r>
              <w:t>Total current liabilities</w:t>
            </w:r>
          </w:p>
        </w:tc>
        <w:tc>
          <w:tcPr>
            <w:tcW w:w="270" w:type="pct"/>
            <w:shd w:val="clear" w:color="auto" w:fill="CCCCCC"/>
            <w:vAlign w:val="bottom"/>
          </w:tcPr>
          <w:p w14:paraId="038A0196" w14:textId="77777777" w:rsidR="00B03530" w:rsidRDefault="00B03530" w:rsidP="005D4154">
            <w:pPr>
              <w:pStyle w:val="NotesTable-Notes"/>
            </w:pPr>
          </w:p>
        </w:tc>
        <w:tc>
          <w:tcPr>
            <w:tcW w:w="406" w:type="pct"/>
            <w:tcBorders>
              <w:top w:val="single" w:sz="4" w:space="0" w:color="000000"/>
            </w:tcBorders>
            <w:shd w:val="clear" w:color="auto" w:fill="CCCCCC"/>
          </w:tcPr>
          <w:p w14:paraId="038A0197" w14:textId="77777777" w:rsidR="00B03530" w:rsidRDefault="00B03530" w:rsidP="00606085">
            <w:pPr>
              <w:pStyle w:val="NotesTable-CellBold"/>
              <w:rPr>
                <w:b w:val="0"/>
              </w:rPr>
            </w:pPr>
            <w:r>
              <w:t>–</w:t>
            </w:r>
          </w:p>
        </w:tc>
        <w:tc>
          <w:tcPr>
            <w:tcW w:w="406" w:type="pct"/>
            <w:tcBorders>
              <w:top w:val="single" w:sz="4" w:space="0" w:color="000000"/>
            </w:tcBorders>
            <w:shd w:val="clear" w:color="auto" w:fill="CCCCCC"/>
          </w:tcPr>
          <w:p w14:paraId="038A0198" w14:textId="77777777" w:rsidR="00B03530" w:rsidRDefault="00B03530" w:rsidP="00606085">
            <w:pPr>
              <w:pStyle w:val="NotesTable-CellPlain"/>
              <w:rPr>
                <w:b/>
              </w:rPr>
            </w:pPr>
            <w:r>
              <w:t>–</w:t>
            </w:r>
          </w:p>
        </w:tc>
        <w:tc>
          <w:tcPr>
            <w:tcW w:w="406" w:type="pct"/>
            <w:tcBorders>
              <w:top w:val="single" w:sz="4" w:space="0" w:color="000000"/>
            </w:tcBorders>
            <w:shd w:val="clear" w:color="auto" w:fill="CCCCCC"/>
          </w:tcPr>
          <w:p w14:paraId="038A0199" w14:textId="77777777" w:rsidR="00B03530" w:rsidRDefault="00B03530" w:rsidP="00606085">
            <w:pPr>
              <w:pStyle w:val="NotesTable-CellBold"/>
              <w:rPr>
                <w:b w:val="0"/>
              </w:rPr>
            </w:pPr>
            <w:r>
              <w:t>–</w:t>
            </w:r>
          </w:p>
        </w:tc>
        <w:tc>
          <w:tcPr>
            <w:tcW w:w="406" w:type="pct"/>
            <w:tcBorders>
              <w:top w:val="single" w:sz="4" w:space="0" w:color="000000"/>
            </w:tcBorders>
            <w:shd w:val="clear" w:color="auto" w:fill="CCCCCC"/>
          </w:tcPr>
          <w:p w14:paraId="038A019A" w14:textId="77777777" w:rsidR="00B03530" w:rsidRDefault="00B03530" w:rsidP="00606085">
            <w:pPr>
              <w:pStyle w:val="NotesTable-CellPlain"/>
              <w:rPr>
                <w:b/>
              </w:rPr>
            </w:pPr>
            <w:r>
              <w:t>–</w:t>
            </w:r>
          </w:p>
        </w:tc>
      </w:tr>
      <w:tr w:rsidR="00B03530" w14:paraId="038A01A3" w14:textId="77777777" w:rsidTr="00FC61D5">
        <w:trPr>
          <w:cantSplit/>
          <w:trHeight w:hRule="exact" w:val="227"/>
        </w:trPr>
        <w:tc>
          <w:tcPr>
            <w:tcW w:w="810" w:type="pct"/>
          </w:tcPr>
          <w:p w14:paraId="038A019C" w14:textId="77777777" w:rsidR="00B03530" w:rsidRDefault="00B03530" w:rsidP="00D11709">
            <w:pPr>
              <w:pStyle w:val="Note-Refs"/>
            </w:pPr>
          </w:p>
        </w:tc>
        <w:tc>
          <w:tcPr>
            <w:tcW w:w="2297" w:type="pct"/>
            <w:shd w:val="clear" w:color="auto" w:fill="CCCCCC"/>
            <w:vAlign w:val="bottom"/>
          </w:tcPr>
          <w:p w14:paraId="038A019D" w14:textId="77777777" w:rsidR="00B03530" w:rsidRDefault="00B03530">
            <w:pPr>
              <w:pStyle w:val="NotesTable-ItemPlain"/>
            </w:pPr>
          </w:p>
        </w:tc>
        <w:tc>
          <w:tcPr>
            <w:tcW w:w="270" w:type="pct"/>
            <w:shd w:val="clear" w:color="auto" w:fill="CCCCCC"/>
            <w:vAlign w:val="bottom"/>
          </w:tcPr>
          <w:p w14:paraId="038A019E" w14:textId="77777777" w:rsidR="00B03530" w:rsidRDefault="00B03530" w:rsidP="005D4154">
            <w:pPr>
              <w:pStyle w:val="NotesTable-Notes"/>
            </w:pPr>
          </w:p>
        </w:tc>
        <w:tc>
          <w:tcPr>
            <w:tcW w:w="406" w:type="pct"/>
            <w:shd w:val="clear" w:color="auto" w:fill="CCCCCC"/>
          </w:tcPr>
          <w:p w14:paraId="038A019F" w14:textId="77777777" w:rsidR="00B03530" w:rsidRDefault="00B03530" w:rsidP="00606085">
            <w:pPr>
              <w:pStyle w:val="NotesTable-CellBold"/>
            </w:pPr>
          </w:p>
        </w:tc>
        <w:tc>
          <w:tcPr>
            <w:tcW w:w="406" w:type="pct"/>
            <w:shd w:val="clear" w:color="auto" w:fill="CCCCCC"/>
          </w:tcPr>
          <w:p w14:paraId="038A01A0" w14:textId="77777777" w:rsidR="00B03530" w:rsidRDefault="00B03530" w:rsidP="00606085">
            <w:pPr>
              <w:pStyle w:val="NotesTable-CellPlain"/>
            </w:pPr>
          </w:p>
        </w:tc>
        <w:tc>
          <w:tcPr>
            <w:tcW w:w="406" w:type="pct"/>
            <w:shd w:val="clear" w:color="auto" w:fill="CCCCCC"/>
          </w:tcPr>
          <w:p w14:paraId="038A01A1" w14:textId="77777777" w:rsidR="00B03530" w:rsidRDefault="00B03530" w:rsidP="00606085">
            <w:pPr>
              <w:pStyle w:val="NotesTable-CellBold"/>
            </w:pPr>
          </w:p>
        </w:tc>
        <w:tc>
          <w:tcPr>
            <w:tcW w:w="406" w:type="pct"/>
            <w:shd w:val="clear" w:color="auto" w:fill="CCCCCC"/>
          </w:tcPr>
          <w:p w14:paraId="038A01A2" w14:textId="77777777" w:rsidR="00B03530" w:rsidRDefault="00B03530" w:rsidP="00606085">
            <w:pPr>
              <w:pStyle w:val="NotesTable-CellPlain"/>
            </w:pPr>
          </w:p>
        </w:tc>
      </w:tr>
      <w:tr w:rsidR="00B03530" w14:paraId="038A01AB" w14:textId="77777777" w:rsidTr="00FC61D5">
        <w:trPr>
          <w:cantSplit/>
          <w:trHeight w:hRule="exact" w:val="227"/>
        </w:trPr>
        <w:tc>
          <w:tcPr>
            <w:tcW w:w="810" w:type="pct"/>
          </w:tcPr>
          <w:p w14:paraId="038A01A4" w14:textId="77777777" w:rsidR="00B03530" w:rsidRDefault="00B03530" w:rsidP="00D11709">
            <w:pPr>
              <w:pStyle w:val="Note-Refs"/>
              <w:rPr>
                <w:b/>
              </w:rPr>
            </w:pPr>
            <w:r>
              <w:t>AASB101</w:t>
            </w:r>
            <w:r w:rsidR="0082032F">
              <w:t>.</w:t>
            </w:r>
            <w:r>
              <w:t>60,69</w:t>
            </w:r>
          </w:p>
        </w:tc>
        <w:tc>
          <w:tcPr>
            <w:tcW w:w="2297" w:type="pct"/>
            <w:shd w:val="clear" w:color="auto" w:fill="CCCCCC"/>
            <w:vAlign w:val="bottom"/>
          </w:tcPr>
          <w:p w14:paraId="038A01A5" w14:textId="77777777" w:rsidR="00B03530" w:rsidRDefault="00B03530">
            <w:pPr>
              <w:pStyle w:val="Statement-ItemBold"/>
            </w:pPr>
            <w:r>
              <w:rPr>
                <w:caps/>
              </w:rPr>
              <w:t>N</w:t>
            </w:r>
            <w:r>
              <w:t xml:space="preserve">on-current liabilities </w:t>
            </w:r>
          </w:p>
        </w:tc>
        <w:tc>
          <w:tcPr>
            <w:tcW w:w="270" w:type="pct"/>
            <w:shd w:val="clear" w:color="auto" w:fill="CCCCCC"/>
            <w:vAlign w:val="bottom"/>
          </w:tcPr>
          <w:p w14:paraId="038A01A6" w14:textId="77777777" w:rsidR="00B03530" w:rsidRDefault="00B03530" w:rsidP="005D4154">
            <w:pPr>
              <w:pStyle w:val="NotesTable-Notes"/>
            </w:pPr>
          </w:p>
        </w:tc>
        <w:tc>
          <w:tcPr>
            <w:tcW w:w="406" w:type="pct"/>
            <w:shd w:val="clear" w:color="auto" w:fill="CCCCCC"/>
          </w:tcPr>
          <w:p w14:paraId="038A01A7" w14:textId="77777777" w:rsidR="00B03530" w:rsidRDefault="00B03530" w:rsidP="00606085">
            <w:pPr>
              <w:pStyle w:val="NotesTable-CellBold"/>
            </w:pPr>
          </w:p>
        </w:tc>
        <w:tc>
          <w:tcPr>
            <w:tcW w:w="406" w:type="pct"/>
            <w:shd w:val="clear" w:color="auto" w:fill="CCCCCC"/>
          </w:tcPr>
          <w:p w14:paraId="038A01A8" w14:textId="77777777" w:rsidR="00B03530" w:rsidRDefault="00B03530" w:rsidP="00606085">
            <w:pPr>
              <w:pStyle w:val="NotesTable-CellPlain"/>
            </w:pPr>
          </w:p>
        </w:tc>
        <w:tc>
          <w:tcPr>
            <w:tcW w:w="406" w:type="pct"/>
            <w:shd w:val="clear" w:color="auto" w:fill="CCCCCC"/>
          </w:tcPr>
          <w:p w14:paraId="038A01A9" w14:textId="77777777" w:rsidR="00B03530" w:rsidRDefault="00B03530" w:rsidP="00606085">
            <w:pPr>
              <w:pStyle w:val="NotesTable-CellBold"/>
            </w:pPr>
          </w:p>
        </w:tc>
        <w:tc>
          <w:tcPr>
            <w:tcW w:w="406" w:type="pct"/>
            <w:shd w:val="clear" w:color="auto" w:fill="CCCCCC"/>
          </w:tcPr>
          <w:p w14:paraId="038A01AA" w14:textId="77777777" w:rsidR="00B03530" w:rsidRDefault="00B03530" w:rsidP="00606085">
            <w:pPr>
              <w:pStyle w:val="NotesTable-CellPlain"/>
            </w:pPr>
          </w:p>
        </w:tc>
      </w:tr>
      <w:tr w:rsidR="00B03530" w14:paraId="038A01B3" w14:textId="77777777" w:rsidTr="00FC61D5">
        <w:trPr>
          <w:cantSplit/>
          <w:trHeight w:hRule="exact" w:val="227"/>
        </w:trPr>
        <w:tc>
          <w:tcPr>
            <w:tcW w:w="810" w:type="pct"/>
          </w:tcPr>
          <w:p w14:paraId="038A01AC" w14:textId="77777777" w:rsidR="00B03530" w:rsidRDefault="00B03530" w:rsidP="00D11709">
            <w:pPr>
              <w:pStyle w:val="Note-Refs"/>
            </w:pPr>
            <w:r>
              <w:t>AASB101</w:t>
            </w:r>
            <w:r w:rsidR="0082032F">
              <w:t>.</w:t>
            </w:r>
            <w:r>
              <w:t>54k</w:t>
            </w:r>
          </w:p>
        </w:tc>
        <w:tc>
          <w:tcPr>
            <w:tcW w:w="2297" w:type="pct"/>
            <w:shd w:val="clear" w:color="auto" w:fill="CCCCCC"/>
            <w:vAlign w:val="bottom"/>
          </w:tcPr>
          <w:p w14:paraId="038A01AD" w14:textId="77777777" w:rsidR="00B03530" w:rsidRDefault="00B03530" w:rsidP="00D11709">
            <w:pPr>
              <w:pStyle w:val="NotesTable-ItemPlain"/>
              <w:rPr>
                <w:b/>
              </w:rPr>
            </w:pPr>
            <w:r>
              <w:t>Trade and other payables</w:t>
            </w:r>
          </w:p>
        </w:tc>
        <w:tc>
          <w:tcPr>
            <w:tcW w:w="270" w:type="pct"/>
            <w:shd w:val="clear" w:color="auto" w:fill="CCCCCC"/>
            <w:vAlign w:val="bottom"/>
          </w:tcPr>
          <w:p w14:paraId="038A01AE" w14:textId="3A60F123" w:rsidR="00B03530" w:rsidRDefault="00F405B7" w:rsidP="005D4154">
            <w:pPr>
              <w:pStyle w:val="NotesTable-Notes"/>
              <w:rPr>
                <w:b/>
              </w:rPr>
            </w:pPr>
            <w:r>
              <w:t>29</w:t>
            </w:r>
          </w:p>
        </w:tc>
        <w:tc>
          <w:tcPr>
            <w:tcW w:w="406" w:type="pct"/>
            <w:shd w:val="clear" w:color="auto" w:fill="CCCCCC"/>
          </w:tcPr>
          <w:p w14:paraId="038A01AF" w14:textId="77777777" w:rsidR="00B03530" w:rsidRDefault="00B03530" w:rsidP="00606085">
            <w:pPr>
              <w:pStyle w:val="NotesTable-CellBold"/>
              <w:rPr>
                <w:b w:val="0"/>
              </w:rPr>
            </w:pPr>
            <w:r>
              <w:t>–</w:t>
            </w:r>
          </w:p>
        </w:tc>
        <w:tc>
          <w:tcPr>
            <w:tcW w:w="406" w:type="pct"/>
            <w:shd w:val="clear" w:color="auto" w:fill="CCCCCC"/>
          </w:tcPr>
          <w:p w14:paraId="038A01B0" w14:textId="77777777" w:rsidR="00B03530" w:rsidRDefault="00B03530" w:rsidP="00606085">
            <w:pPr>
              <w:pStyle w:val="NotesTable-CellPlain"/>
              <w:rPr>
                <w:b/>
              </w:rPr>
            </w:pPr>
            <w:r>
              <w:t>–</w:t>
            </w:r>
          </w:p>
        </w:tc>
        <w:tc>
          <w:tcPr>
            <w:tcW w:w="406" w:type="pct"/>
            <w:shd w:val="clear" w:color="auto" w:fill="CCCCCC"/>
          </w:tcPr>
          <w:p w14:paraId="038A01B1" w14:textId="77777777" w:rsidR="00B03530" w:rsidRDefault="00B03530" w:rsidP="00606085">
            <w:pPr>
              <w:pStyle w:val="NotesTable-CellBold"/>
              <w:rPr>
                <w:b w:val="0"/>
              </w:rPr>
            </w:pPr>
            <w:r>
              <w:t>–</w:t>
            </w:r>
          </w:p>
        </w:tc>
        <w:tc>
          <w:tcPr>
            <w:tcW w:w="406" w:type="pct"/>
            <w:shd w:val="clear" w:color="auto" w:fill="CCCCCC"/>
          </w:tcPr>
          <w:p w14:paraId="038A01B2" w14:textId="77777777" w:rsidR="00B03530" w:rsidRDefault="00B03530" w:rsidP="00606085">
            <w:pPr>
              <w:pStyle w:val="NotesTable-CellPlain"/>
              <w:rPr>
                <w:b/>
              </w:rPr>
            </w:pPr>
            <w:r>
              <w:t>–</w:t>
            </w:r>
          </w:p>
        </w:tc>
      </w:tr>
      <w:tr w:rsidR="00B03530" w14:paraId="038A01BB" w14:textId="77777777" w:rsidTr="00FC61D5">
        <w:trPr>
          <w:cantSplit/>
          <w:trHeight w:hRule="exact" w:val="227"/>
        </w:trPr>
        <w:tc>
          <w:tcPr>
            <w:tcW w:w="810" w:type="pct"/>
          </w:tcPr>
          <w:p w14:paraId="038A01B4" w14:textId="1075AAE7" w:rsidR="00B03530" w:rsidRDefault="00843994" w:rsidP="00D11709">
            <w:pPr>
              <w:pStyle w:val="Note-Refs"/>
              <w:rPr>
                <w:b/>
              </w:rPr>
            </w:pPr>
            <w:r>
              <w:t>AASB101.54m</w:t>
            </w:r>
          </w:p>
        </w:tc>
        <w:tc>
          <w:tcPr>
            <w:tcW w:w="2297" w:type="pct"/>
            <w:shd w:val="clear" w:color="auto" w:fill="CCCCCC"/>
            <w:vAlign w:val="bottom"/>
          </w:tcPr>
          <w:p w14:paraId="038A01B5" w14:textId="77777777" w:rsidR="00B03530" w:rsidRDefault="00B03530" w:rsidP="00D11709">
            <w:pPr>
              <w:pStyle w:val="NotesTable-ItemPlain"/>
              <w:rPr>
                <w:b/>
              </w:rPr>
            </w:pPr>
            <w:r>
              <w:t>Borrowings</w:t>
            </w:r>
          </w:p>
        </w:tc>
        <w:tc>
          <w:tcPr>
            <w:tcW w:w="270" w:type="pct"/>
            <w:shd w:val="clear" w:color="auto" w:fill="CCCCCC"/>
            <w:vAlign w:val="bottom"/>
          </w:tcPr>
          <w:p w14:paraId="038A01B6" w14:textId="340FAB40" w:rsidR="00B03530" w:rsidRDefault="00B03530" w:rsidP="005D4154">
            <w:pPr>
              <w:pStyle w:val="NotesTable-Notes"/>
              <w:rPr>
                <w:b/>
              </w:rPr>
            </w:pPr>
            <w:r>
              <w:t>3</w:t>
            </w:r>
            <w:r w:rsidR="00F405B7">
              <w:t>0</w:t>
            </w:r>
          </w:p>
        </w:tc>
        <w:tc>
          <w:tcPr>
            <w:tcW w:w="406" w:type="pct"/>
            <w:shd w:val="clear" w:color="auto" w:fill="CCCCCC"/>
          </w:tcPr>
          <w:p w14:paraId="038A01B7" w14:textId="77777777" w:rsidR="00B03530" w:rsidRDefault="00B03530" w:rsidP="00606085">
            <w:pPr>
              <w:pStyle w:val="NotesTable-CellBold"/>
              <w:rPr>
                <w:b w:val="0"/>
              </w:rPr>
            </w:pPr>
            <w:r>
              <w:t>–</w:t>
            </w:r>
          </w:p>
        </w:tc>
        <w:tc>
          <w:tcPr>
            <w:tcW w:w="406" w:type="pct"/>
            <w:shd w:val="clear" w:color="auto" w:fill="CCCCCC"/>
          </w:tcPr>
          <w:p w14:paraId="038A01B8" w14:textId="77777777" w:rsidR="00B03530" w:rsidRDefault="00B03530" w:rsidP="00606085">
            <w:pPr>
              <w:pStyle w:val="NotesTable-CellPlain"/>
              <w:rPr>
                <w:b/>
              </w:rPr>
            </w:pPr>
            <w:r>
              <w:t>–</w:t>
            </w:r>
          </w:p>
        </w:tc>
        <w:tc>
          <w:tcPr>
            <w:tcW w:w="406" w:type="pct"/>
            <w:shd w:val="clear" w:color="auto" w:fill="CCCCCC"/>
          </w:tcPr>
          <w:p w14:paraId="038A01B9" w14:textId="77777777" w:rsidR="00B03530" w:rsidRDefault="00B03530" w:rsidP="00606085">
            <w:pPr>
              <w:pStyle w:val="NotesTable-CellBold"/>
              <w:rPr>
                <w:b w:val="0"/>
              </w:rPr>
            </w:pPr>
            <w:r>
              <w:t>–</w:t>
            </w:r>
          </w:p>
        </w:tc>
        <w:tc>
          <w:tcPr>
            <w:tcW w:w="406" w:type="pct"/>
            <w:shd w:val="clear" w:color="auto" w:fill="CCCCCC"/>
          </w:tcPr>
          <w:p w14:paraId="038A01BA" w14:textId="77777777" w:rsidR="00B03530" w:rsidRDefault="00B03530" w:rsidP="00606085">
            <w:pPr>
              <w:pStyle w:val="NotesTable-CellPlain"/>
              <w:rPr>
                <w:b/>
              </w:rPr>
            </w:pPr>
            <w:r>
              <w:t>–</w:t>
            </w:r>
          </w:p>
        </w:tc>
      </w:tr>
      <w:tr w:rsidR="00B03530" w14:paraId="038A01C3" w14:textId="77777777" w:rsidTr="00FC61D5">
        <w:trPr>
          <w:cantSplit/>
          <w:trHeight w:hRule="exact" w:val="227"/>
        </w:trPr>
        <w:tc>
          <w:tcPr>
            <w:tcW w:w="810" w:type="pct"/>
          </w:tcPr>
          <w:p w14:paraId="038A01BC" w14:textId="77777777" w:rsidR="00B03530" w:rsidRDefault="00B03530" w:rsidP="00D11709">
            <w:pPr>
              <w:pStyle w:val="Note-Refs"/>
              <w:rPr>
                <w:b/>
              </w:rPr>
            </w:pPr>
            <w:r>
              <w:t>AASB101</w:t>
            </w:r>
            <w:r w:rsidR="0082032F">
              <w:t>.</w:t>
            </w:r>
            <w:r>
              <w:t>54l</w:t>
            </w:r>
          </w:p>
        </w:tc>
        <w:tc>
          <w:tcPr>
            <w:tcW w:w="2297" w:type="pct"/>
            <w:shd w:val="clear" w:color="auto" w:fill="CCCCCC"/>
            <w:vAlign w:val="bottom"/>
          </w:tcPr>
          <w:p w14:paraId="038A01BD" w14:textId="77777777" w:rsidR="00B03530" w:rsidRDefault="00B03530" w:rsidP="00D11709">
            <w:pPr>
              <w:pStyle w:val="NotesTable-ItemPlain"/>
              <w:rPr>
                <w:b/>
              </w:rPr>
            </w:pPr>
            <w:r>
              <w:t>Provisions</w:t>
            </w:r>
          </w:p>
        </w:tc>
        <w:tc>
          <w:tcPr>
            <w:tcW w:w="270" w:type="pct"/>
            <w:shd w:val="clear" w:color="auto" w:fill="CCCCCC"/>
            <w:vAlign w:val="bottom"/>
          </w:tcPr>
          <w:p w14:paraId="038A01BE" w14:textId="5829806E" w:rsidR="00B03530" w:rsidRDefault="00B03530" w:rsidP="005D4154">
            <w:pPr>
              <w:pStyle w:val="NotesTable-Notes"/>
              <w:rPr>
                <w:b/>
              </w:rPr>
            </w:pPr>
            <w:r>
              <w:t>3</w:t>
            </w:r>
            <w:r w:rsidR="00F405B7">
              <w:t>1</w:t>
            </w:r>
          </w:p>
        </w:tc>
        <w:tc>
          <w:tcPr>
            <w:tcW w:w="406" w:type="pct"/>
            <w:shd w:val="clear" w:color="auto" w:fill="CCCCCC"/>
          </w:tcPr>
          <w:p w14:paraId="038A01BF" w14:textId="77777777" w:rsidR="00B03530" w:rsidRDefault="00B03530" w:rsidP="00606085">
            <w:pPr>
              <w:pStyle w:val="NotesTable-CellBold"/>
              <w:rPr>
                <w:b w:val="0"/>
              </w:rPr>
            </w:pPr>
            <w:r>
              <w:t>–</w:t>
            </w:r>
          </w:p>
        </w:tc>
        <w:tc>
          <w:tcPr>
            <w:tcW w:w="406" w:type="pct"/>
            <w:shd w:val="clear" w:color="auto" w:fill="CCCCCC"/>
          </w:tcPr>
          <w:p w14:paraId="038A01C0" w14:textId="77777777" w:rsidR="00B03530" w:rsidRDefault="00B03530" w:rsidP="00606085">
            <w:pPr>
              <w:pStyle w:val="NotesTable-CellPlain"/>
              <w:rPr>
                <w:b/>
              </w:rPr>
            </w:pPr>
            <w:r>
              <w:t>–</w:t>
            </w:r>
          </w:p>
        </w:tc>
        <w:tc>
          <w:tcPr>
            <w:tcW w:w="406" w:type="pct"/>
            <w:shd w:val="clear" w:color="auto" w:fill="CCCCCC"/>
          </w:tcPr>
          <w:p w14:paraId="038A01C1" w14:textId="77777777" w:rsidR="00B03530" w:rsidRDefault="00B03530" w:rsidP="00606085">
            <w:pPr>
              <w:pStyle w:val="NotesTable-CellBold"/>
              <w:rPr>
                <w:b w:val="0"/>
              </w:rPr>
            </w:pPr>
            <w:r>
              <w:t>–</w:t>
            </w:r>
          </w:p>
        </w:tc>
        <w:tc>
          <w:tcPr>
            <w:tcW w:w="406" w:type="pct"/>
            <w:shd w:val="clear" w:color="auto" w:fill="CCCCCC"/>
          </w:tcPr>
          <w:p w14:paraId="038A01C2" w14:textId="77777777" w:rsidR="00B03530" w:rsidRDefault="00B03530" w:rsidP="00606085">
            <w:pPr>
              <w:pStyle w:val="NotesTable-CellPlain"/>
              <w:rPr>
                <w:b/>
              </w:rPr>
            </w:pPr>
            <w:r>
              <w:t>–</w:t>
            </w:r>
          </w:p>
        </w:tc>
      </w:tr>
      <w:tr w:rsidR="00B03530" w14:paraId="038A01CB" w14:textId="77777777" w:rsidTr="00FC61D5">
        <w:trPr>
          <w:cantSplit/>
          <w:trHeight w:hRule="exact" w:val="227"/>
        </w:trPr>
        <w:tc>
          <w:tcPr>
            <w:tcW w:w="810" w:type="pct"/>
          </w:tcPr>
          <w:p w14:paraId="038A01C4" w14:textId="0B328DC2" w:rsidR="00B03530" w:rsidRDefault="00B03530" w:rsidP="00D11709">
            <w:pPr>
              <w:pStyle w:val="Note-Refs"/>
            </w:pPr>
          </w:p>
        </w:tc>
        <w:tc>
          <w:tcPr>
            <w:tcW w:w="2297" w:type="pct"/>
            <w:shd w:val="clear" w:color="auto" w:fill="CCCCCC"/>
            <w:vAlign w:val="bottom"/>
          </w:tcPr>
          <w:p w14:paraId="038A01C5" w14:textId="77777777" w:rsidR="00B03530" w:rsidRDefault="00B03530" w:rsidP="00D11709">
            <w:pPr>
              <w:pStyle w:val="NotesTable-ItemPlain"/>
              <w:rPr>
                <w:b/>
              </w:rPr>
            </w:pPr>
            <w:r>
              <w:t>Other liabilities</w:t>
            </w:r>
          </w:p>
        </w:tc>
        <w:tc>
          <w:tcPr>
            <w:tcW w:w="270" w:type="pct"/>
            <w:shd w:val="clear" w:color="auto" w:fill="CCCCCC"/>
            <w:vAlign w:val="bottom"/>
          </w:tcPr>
          <w:p w14:paraId="038A01C6" w14:textId="4B30CF0E" w:rsidR="00B03530" w:rsidRDefault="00B03530" w:rsidP="005D4154">
            <w:pPr>
              <w:pStyle w:val="NotesTable-Notes"/>
              <w:rPr>
                <w:b/>
              </w:rPr>
            </w:pPr>
            <w:r>
              <w:t>3</w:t>
            </w:r>
            <w:r w:rsidR="00F405B7">
              <w:t>4</w:t>
            </w:r>
          </w:p>
        </w:tc>
        <w:tc>
          <w:tcPr>
            <w:tcW w:w="406" w:type="pct"/>
            <w:tcBorders>
              <w:bottom w:val="single" w:sz="4" w:space="0" w:color="000000"/>
            </w:tcBorders>
            <w:shd w:val="clear" w:color="auto" w:fill="CCCCCC"/>
          </w:tcPr>
          <w:p w14:paraId="038A01C7" w14:textId="77777777" w:rsidR="00B03530" w:rsidRDefault="00B03530" w:rsidP="00606085">
            <w:pPr>
              <w:pStyle w:val="NotesTable-CellBold"/>
              <w:rPr>
                <w:b w:val="0"/>
              </w:rPr>
            </w:pPr>
            <w:r>
              <w:t>–</w:t>
            </w:r>
          </w:p>
        </w:tc>
        <w:tc>
          <w:tcPr>
            <w:tcW w:w="406" w:type="pct"/>
            <w:tcBorders>
              <w:bottom w:val="single" w:sz="4" w:space="0" w:color="000000"/>
            </w:tcBorders>
            <w:shd w:val="clear" w:color="auto" w:fill="CCCCCC"/>
          </w:tcPr>
          <w:p w14:paraId="038A01C8" w14:textId="77777777" w:rsidR="00B03530" w:rsidRDefault="00B03530" w:rsidP="00606085">
            <w:pPr>
              <w:pStyle w:val="NotesTable-CellPlain"/>
              <w:rPr>
                <w:b/>
              </w:rPr>
            </w:pPr>
            <w:r>
              <w:t>–</w:t>
            </w:r>
          </w:p>
        </w:tc>
        <w:tc>
          <w:tcPr>
            <w:tcW w:w="406" w:type="pct"/>
            <w:tcBorders>
              <w:bottom w:val="single" w:sz="4" w:space="0" w:color="000000"/>
            </w:tcBorders>
            <w:shd w:val="clear" w:color="auto" w:fill="CCCCCC"/>
          </w:tcPr>
          <w:p w14:paraId="038A01C9" w14:textId="77777777" w:rsidR="00B03530" w:rsidRDefault="00B03530" w:rsidP="00606085">
            <w:pPr>
              <w:pStyle w:val="NotesTable-CellBold"/>
              <w:rPr>
                <w:b w:val="0"/>
              </w:rPr>
            </w:pPr>
            <w:r>
              <w:t>–</w:t>
            </w:r>
          </w:p>
        </w:tc>
        <w:tc>
          <w:tcPr>
            <w:tcW w:w="406" w:type="pct"/>
            <w:tcBorders>
              <w:bottom w:val="single" w:sz="4" w:space="0" w:color="000000"/>
            </w:tcBorders>
            <w:shd w:val="clear" w:color="auto" w:fill="CCCCCC"/>
          </w:tcPr>
          <w:p w14:paraId="038A01CA" w14:textId="77777777" w:rsidR="00B03530" w:rsidRDefault="00B03530" w:rsidP="00606085">
            <w:pPr>
              <w:pStyle w:val="NotesTable-CellPlain"/>
              <w:rPr>
                <w:b/>
              </w:rPr>
            </w:pPr>
            <w:r>
              <w:t>–</w:t>
            </w:r>
          </w:p>
        </w:tc>
      </w:tr>
      <w:tr w:rsidR="00B03530" w14:paraId="038A01D3" w14:textId="77777777" w:rsidTr="00FC61D5">
        <w:trPr>
          <w:cantSplit/>
          <w:trHeight w:hRule="exact" w:val="227"/>
        </w:trPr>
        <w:tc>
          <w:tcPr>
            <w:tcW w:w="810" w:type="pct"/>
          </w:tcPr>
          <w:p w14:paraId="038A01CC" w14:textId="77777777" w:rsidR="00B03530" w:rsidRDefault="00B03530" w:rsidP="00D11709">
            <w:pPr>
              <w:pStyle w:val="Note-Refs"/>
            </w:pPr>
          </w:p>
        </w:tc>
        <w:tc>
          <w:tcPr>
            <w:tcW w:w="2297" w:type="pct"/>
            <w:shd w:val="clear" w:color="auto" w:fill="CCCCCC"/>
            <w:vAlign w:val="bottom"/>
          </w:tcPr>
          <w:p w14:paraId="038A01CD" w14:textId="77777777" w:rsidR="00B03530" w:rsidRDefault="00B03530">
            <w:pPr>
              <w:pStyle w:val="Statement-ItemBold"/>
            </w:pPr>
            <w:r>
              <w:t>Total non-current liabilities</w:t>
            </w:r>
          </w:p>
        </w:tc>
        <w:tc>
          <w:tcPr>
            <w:tcW w:w="270" w:type="pct"/>
            <w:shd w:val="clear" w:color="auto" w:fill="CCCCCC"/>
            <w:vAlign w:val="bottom"/>
          </w:tcPr>
          <w:p w14:paraId="038A01CE" w14:textId="77777777" w:rsidR="00B03530" w:rsidRDefault="00B03530" w:rsidP="005D4154">
            <w:pPr>
              <w:pStyle w:val="NotesTable-Notes"/>
            </w:pPr>
          </w:p>
        </w:tc>
        <w:tc>
          <w:tcPr>
            <w:tcW w:w="406" w:type="pct"/>
            <w:tcBorders>
              <w:top w:val="single" w:sz="4" w:space="0" w:color="000000"/>
              <w:bottom w:val="single" w:sz="8" w:space="0" w:color="auto"/>
            </w:tcBorders>
            <w:shd w:val="clear" w:color="auto" w:fill="CCCCCC"/>
          </w:tcPr>
          <w:p w14:paraId="038A01CF" w14:textId="77777777" w:rsidR="00B03530" w:rsidRDefault="00B03530" w:rsidP="00606085">
            <w:pPr>
              <w:pStyle w:val="NotesTable-CellBold"/>
              <w:rPr>
                <w:b w:val="0"/>
              </w:rPr>
            </w:pPr>
            <w:r>
              <w:t>–</w:t>
            </w:r>
          </w:p>
        </w:tc>
        <w:tc>
          <w:tcPr>
            <w:tcW w:w="406" w:type="pct"/>
            <w:tcBorders>
              <w:top w:val="single" w:sz="4" w:space="0" w:color="000000"/>
              <w:bottom w:val="single" w:sz="8" w:space="0" w:color="auto"/>
            </w:tcBorders>
            <w:shd w:val="clear" w:color="auto" w:fill="CCCCCC"/>
          </w:tcPr>
          <w:p w14:paraId="038A01D0" w14:textId="77777777" w:rsidR="00B03530" w:rsidRDefault="00B03530" w:rsidP="00606085">
            <w:pPr>
              <w:pStyle w:val="NotesTable-CellPlain"/>
              <w:rPr>
                <w:b/>
              </w:rPr>
            </w:pPr>
            <w:r>
              <w:t>–</w:t>
            </w:r>
          </w:p>
        </w:tc>
        <w:tc>
          <w:tcPr>
            <w:tcW w:w="406" w:type="pct"/>
            <w:tcBorders>
              <w:top w:val="single" w:sz="4" w:space="0" w:color="000000"/>
              <w:bottom w:val="single" w:sz="8" w:space="0" w:color="auto"/>
            </w:tcBorders>
            <w:shd w:val="clear" w:color="auto" w:fill="CCCCCC"/>
          </w:tcPr>
          <w:p w14:paraId="038A01D1" w14:textId="77777777" w:rsidR="00B03530" w:rsidRDefault="00B03530" w:rsidP="00606085">
            <w:pPr>
              <w:pStyle w:val="NotesTable-CellBold"/>
              <w:rPr>
                <w:b w:val="0"/>
              </w:rPr>
            </w:pPr>
            <w:r>
              <w:t>–</w:t>
            </w:r>
          </w:p>
        </w:tc>
        <w:tc>
          <w:tcPr>
            <w:tcW w:w="406" w:type="pct"/>
            <w:tcBorders>
              <w:top w:val="single" w:sz="4" w:space="0" w:color="000000"/>
              <w:bottom w:val="single" w:sz="8" w:space="0" w:color="auto"/>
            </w:tcBorders>
            <w:shd w:val="clear" w:color="auto" w:fill="CCCCCC"/>
          </w:tcPr>
          <w:p w14:paraId="038A01D2" w14:textId="77777777" w:rsidR="00B03530" w:rsidRDefault="00B03530" w:rsidP="00606085">
            <w:pPr>
              <w:pStyle w:val="NotesTable-CellPlain"/>
              <w:rPr>
                <w:b/>
              </w:rPr>
            </w:pPr>
            <w:r>
              <w:t>–</w:t>
            </w:r>
          </w:p>
        </w:tc>
      </w:tr>
      <w:tr w:rsidR="00B03530" w14:paraId="038A01DB" w14:textId="77777777" w:rsidTr="00FC61D5">
        <w:trPr>
          <w:cantSplit/>
          <w:trHeight w:hRule="exact" w:val="227"/>
        </w:trPr>
        <w:tc>
          <w:tcPr>
            <w:tcW w:w="810" w:type="pct"/>
          </w:tcPr>
          <w:p w14:paraId="038A01D4" w14:textId="77777777" w:rsidR="00B03530" w:rsidRDefault="00B03530" w:rsidP="00D11709">
            <w:pPr>
              <w:pStyle w:val="Note-Refs"/>
            </w:pPr>
          </w:p>
        </w:tc>
        <w:tc>
          <w:tcPr>
            <w:tcW w:w="2297" w:type="pct"/>
            <w:shd w:val="clear" w:color="auto" w:fill="CCCCCC"/>
            <w:vAlign w:val="bottom"/>
          </w:tcPr>
          <w:p w14:paraId="038A01D5" w14:textId="77777777" w:rsidR="00B03530" w:rsidRDefault="00B03530">
            <w:pPr>
              <w:pStyle w:val="Statement-ItemBold"/>
            </w:pPr>
            <w:r>
              <w:rPr>
                <w:caps/>
              </w:rPr>
              <w:t>T</w:t>
            </w:r>
            <w:r>
              <w:t>otal liabilities</w:t>
            </w:r>
          </w:p>
        </w:tc>
        <w:tc>
          <w:tcPr>
            <w:tcW w:w="270" w:type="pct"/>
            <w:shd w:val="clear" w:color="auto" w:fill="CCCCCC"/>
            <w:vAlign w:val="bottom"/>
          </w:tcPr>
          <w:p w14:paraId="038A01D6" w14:textId="77777777" w:rsidR="00B03530" w:rsidRDefault="00B03530" w:rsidP="005D4154">
            <w:pPr>
              <w:pStyle w:val="NotesTable-Notes"/>
            </w:pPr>
          </w:p>
        </w:tc>
        <w:tc>
          <w:tcPr>
            <w:tcW w:w="406" w:type="pct"/>
            <w:tcBorders>
              <w:top w:val="single" w:sz="8" w:space="0" w:color="auto"/>
            </w:tcBorders>
            <w:shd w:val="clear" w:color="auto" w:fill="CCCCCC"/>
          </w:tcPr>
          <w:p w14:paraId="038A01D7" w14:textId="77777777" w:rsidR="00B03530" w:rsidRDefault="00B03530" w:rsidP="00606085">
            <w:pPr>
              <w:pStyle w:val="NotesTable-CellBold"/>
              <w:rPr>
                <w:b w:val="0"/>
              </w:rPr>
            </w:pPr>
            <w:r>
              <w:t>–</w:t>
            </w:r>
          </w:p>
        </w:tc>
        <w:tc>
          <w:tcPr>
            <w:tcW w:w="406" w:type="pct"/>
            <w:tcBorders>
              <w:top w:val="single" w:sz="8" w:space="0" w:color="auto"/>
            </w:tcBorders>
            <w:shd w:val="clear" w:color="auto" w:fill="CCCCCC"/>
          </w:tcPr>
          <w:p w14:paraId="038A01D8" w14:textId="77777777" w:rsidR="00B03530" w:rsidRDefault="00B03530" w:rsidP="00606085">
            <w:pPr>
              <w:pStyle w:val="NotesTable-CellPlain"/>
              <w:rPr>
                <w:b/>
              </w:rPr>
            </w:pPr>
            <w:r>
              <w:t>–</w:t>
            </w:r>
          </w:p>
        </w:tc>
        <w:tc>
          <w:tcPr>
            <w:tcW w:w="406" w:type="pct"/>
            <w:tcBorders>
              <w:top w:val="single" w:sz="8" w:space="0" w:color="auto"/>
            </w:tcBorders>
            <w:shd w:val="clear" w:color="auto" w:fill="CCCCCC"/>
          </w:tcPr>
          <w:p w14:paraId="038A01D9" w14:textId="77777777" w:rsidR="00B03530" w:rsidRDefault="00B03530" w:rsidP="00606085">
            <w:pPr>
              <w:pStyle w:val="NotesTable-CellBold"/>
              <w:rPr>
                <w:b w:val="0"/>
              </w:rPr>
            </w:pPr>
            <w:r>
              <w:t>–</w:t>
            </w:r>
          </w:p>
        </w:tc>
        <w:tc>
          <w:tcPr>
            <w:tcW w:w="406" w:type="pct"/>
            <w:tcBorders>
              <w:top w:val="single" w:sz="8" w:space="0" w:color="auto"/>
            </w:tcBorders>
            <w:shd w:val="clear" w:color="auto" w:fill="CCCCCC"/>
          </w:tcPr>
          <w:p w14:paraId="038A01DA" w14:textId="77777777" w:rsidR="00B03530" w:rsidRDefault="00B03530" w:rsidP="00606085">
            <w:pPr>
              <w:pStyle w:val="NotesTable-CellPlain"/>
              <w:rPr>
                <w:b/>
              </w:rPr>
            </w:pPr>
            <w:r>
              <w:t>–</w:t>
            </w:r>
          </w:p>
        </w:tc>
      </w:tr>
      <w:tr w:rsidR="00B03530" w14:paraId="038A01E3" w14:textId="77777777" w:rsidTr="00FC61D5">
        <w:trPr>
          <w:cantSplit/>
          <w:trHeight w:hRule="exact" w:val="227"/>
        </w:trPr>
        <w:tc>
          <w:tcPr>
            <w:tcW w:w="810" w:type="pct"/>
          </w:tcPr>
          <w:p w14:paraId="038A01DC" w14:textId="77777777" w:rsidR="00B03530" w:rsidRDefault="00B03530" w:rsidP="00D11709">
            <w:pPr>
              <w:pStyle w:val="Note-Refs"/>
            </w:pPr>
          </w:p>
        </w:tc>
        <w:tc>
          <w:tcPr>
            <w:tcW w:w="2297" w:type="pct"/>
            <w:shd w:val="clear" w:color="auto" w:fill="CCCCCC"/>
            <w:vAlign w:val="bottom"/>
          </w:tcPr>
          <w:p w14:paraId="038A01DD" w14:textId="77777777" w:rsidR="00B03530" w:rsidRDefault="00B03530">
            <w:pPr>
              <w:pStyle w:val="NotesTable-ItemPlain"/>
            </w:pPr>
          </w:p>
        </w:tc>
        <w:tc>
          <w:tcPr>
            <w:tcW w:w="270" w:type="pct"/>
            <w:shd w:val="clear" w:color="auto" w:fill="CCCCCC"/>
            <w:vAlign w:val="bottom"/>
          </w:tcPr>
          <w:p w14:paraId="038A01DE" w14:textId="77777777" w:rsidR="00B03530" w:rsidRDefault="00B03530" w:rsidP="005D4154">
            <w:pPr>
              <w:pStyle w:val="NotesTable-Notes"/>
              <w:rPr>
                <w:shd w:val="clear" w:color="auto" w:fill="FFFF00"/>
              </w:rPr>
            </w:pPr>
          </w:p>
        </w:tc>
        <w:tc>
          <w:tcPr>
            <w:tcW w:w="406" w:type="pct"/>
            <w:shd w:val="clear" w:color="auto" w:fill="CCCCCC"/>
          </w:tcPr>
          <w:p w14:paraId="038A01DF" w14:textId="77777777" w:rsidR="00B03530" w:rsidRDefault="00B03530" w:rsidP="00606085">
            <w:pPr>
              <w:pStyle w:val="NotesTable-CellBold"/>
            </w:pPr>
          </w:p>
        </w:tc>
        <w:tc>
          <w:tcPr>
            <w:tcW w:w="406" w:type="pct"/>
            <w:shd w:val="clear" w:color="auto" w:fill="CCCCCC"/>
          </w:tcPr>
          <w:p w14:paraId="038A01E0" w14:textId="77777777" w:rsidR="00B03530" w:rsidRDefault="00B03530" w:rsidP="00606085">
            <w:pPr>
              <w:pStyle w:val="NotesTable-CellPlain"/>
            </w:pPr>
          </w:p>
        </w:tc>
        <w:tc>
          <w:tcPr>
            <w:tcW w:w="406" w:type="pct"/>
            <w:shd w:val="clear" w:color="auto" w:fill="CCCCCC"/>
          </w:tcPr>
          <w:p w14:paraId="038A01E1" w14:textId="77777777" w:rsidR="00B03530" w:rsidRDefault="00B03530" w:rsidP="00606085">
            <w:pPr>
              <w:pStyle w:val="NotesTable-CellBold"/>
            </w:pPr>
          </w:p>
        </w:tc>
        <w:tc>
          <w:tcPr>
            <w:tcW w:w="406" w:type="pct"/>
            <w:shd w:val="clear" w:color="auto" w:fill="CCCCCC"/>
          </w:tcPr>
          <w:p w14:paraId="038A01E2" w14:textId="77777777" w:rsidR="00B03530" w:rsidRDefault="00B03530" w:rsidP="00606085">
            <w:pPr>
              <w:pStyle w:val="NotesTable-CellPlain"/>
            </w:pPr>
          </w:p>
        </w:tc>
      </w:tr>
      <w:tr w:rsidR="00B03530" w14:paraId="038A01EB" w14:textId="77777777" w:rsidTr="00FC61D5">
        <w:trPr>
          <w:cantSplit/>
          <w:trHeight w:hRule="exact" w:val="227"/>
        </w:trPr>
        <w:tc>
          <w:tcPr>
            <w:tcW w:w="810" w:type="pct"/>
          </w:tcPr>
          <w:p w14:paraId="038A01E4" w14:textId="77777777" w:rsidR="00B03530" w:rsidRDefault="00B03530" w:rsidP="00D11709">
            <w:pPr>
              <w:pStyle w:val="Note-Refs"/>
            </w:pPr>
          </w:p>
        </w:tc>
        <w:tc>
          <w:tcPr>
            <w:tcW w:w="2297" w:type="pct"/>
            <w:shd w:val="clear" w:color="auto" w:fill="CCCCCC"/>
            <w:vAlign w:val="bottom"/>
          </w:tcPr>
          <w:p w14:paraId="038A01E5" w14:textId="77777777" w:rsidR="00B03530" w:rsidRDefault="00B03530">
            <w:pPr>
              <w:pStyle w:val="Statement-ItemBold"/>
            </w:pPr>
            <w:r>
              <w:rPr>
                <w:caps/>
              </w:rPr>
              <w:t>N</w:t>
            </w:r>
            <w:r>
              <w:t>et assets</w:t>
            </w:r>
          </w:p>
        </w:tc>
        <w:tc>
          <w:tcPr>
            <w:tcW w:w="270" w:type="pct"/>
            <w:shd w:val="clear" w:color="auto" w:fill="CCCCCC"/>
            <w:vAlign w:val="bottom"/>
          </w:tcPr>
          <w:p w14:paraId="038A01E6" w14:textId="77777777" w:rsidR="00B03530" w:rsidRDefault="00B03530" w:rsidP="005D4154">
            <w:pPr>
              <w:pStyle w:val="NotesTable-Notes"/>
              <w:rPr>
                <w:shd w:val="clear" w:color="auto" w:fill="FFFF00"/>
              </w:rPr>
            </w:pPr>
          </w:p>
        </w:tc>
        <w:tc>
          <w:tcPr>
            <w:tcW w:w="406" w:type="pct"/>
            <w:shd w:val="clear" w:color="auto" w:fill="CCCCCC"/>
          </w:tcPr>
          <w:p w14:paraId="038A01E7" w14:textId="77777777" w:rsidR="00B03530" w:rsidRDefault="00B03530" w:rsidP="00606085">
            <w:pPr>
              <w:pStyle w:val="NotesTable-CellBold"/>
              <w:rPr>
                <w:b w:val="0"/>
              </w:rPr>
            </w:pPr>
            <w:r>
              <w:t>–</w:t>
            </w:r>
          </w:p>
        </w:tc>
        <w:tc>
          <w:tcPr>
            <w:tcW w:w="406" w:type="pct"/>
            <w:shd w:val="clear" w:color="auto" w:fill="CCCCCC"/>
          </w:tcPr>
          <w:p w14:paraId="038A01E8" w14:textId="77777777" w:rsidR="00B03530" w:rsidRDefault="00B03530" w:rsidP="00606085">
            <w:pPr>
              <w:pStyle w:val="NotesTable-CellPlain"/>
              <w:rPr>
                <w:b/>
              </w:rPr>
            </w:pPr>
            <w:r>
              <w:t>–</w:t>
            </w:r>
          </w:p>
        </w:tc>
        <w:tc>
          <w:tcPr>
            <w:tcW w:w="406" w:type="pct"/>
            <w:shd w:val="clear" w:color="auto" w:fill="CCCCCC"/>
          </w:tcPr>
          <w:p w14:paraId="038A01E9" w14:textId="77777777" w:rsidR="00B03530" w:rsidRDefault="00B03530" w:rsidP="00606085">
            <w:pPr>
              <w:pStyle w:val="NotesTable-CellBold"/>
              <w:rPr>
                <w:b w:val="0"/>
              </w:rPr>
            </w:pPr>
            <w:r>
              <w:t>–</w:t>
            </w:r>
          </w:p>
        </w:tc>
        <w:tc>
          <w:tcPr>
            <w:tcW w:w="406" w:type="pct"/>
            <w:shd w:val="clear" w:color="auto" w:fill="CCCCCC"/>
          </w:tcPr>
          <w:p w14:paraId="038A01EA" w14:textId="77777777" w:rsidR="00B03530" w:rsidRDefault="00B03530" w:rsidP="00606085">
            <w:pPr>
              <w:pStyle w:val="NotesTable-CellPlain"/>
              <w:rPr>
                <w:b/>
              </w:rPr>
            </w:pPr>
            <w:r>
              <w:t>–</w:t>
            </w:r>
          </w:p>
        </w:tc>
      </w:tr>
      <w:tr w:rsidR="00244123" w14:paraId="038A01F3" w14:textId="77777777" w:rsidTr="00FC61D5">
        <w:trPr>
          <w:cantSplit/>
          <w:trHeight w:hRule="exact" w:val="227"/>
        </w:trPr>
        <w:tc>
          <w:tcPr>
            <w:tcW w:w="810" w:type="pct"/>
          </w:tcPr>
          <w:p w14:paraId="038A01EC" w14:textId="77777777" w:rsidR="00244123" w:rsidRDefault="00244123" w:rsidP="00D11709">
            <w:pPr>
              <w:pStyle w:val="Note-Refs"/>
            </w:pPr>
          </w:p>
        </w:tc>
        <w:tc>
          <w:tcPr>
            <w:tcW w:w="2297" w:type="pct"/>
            <w:shd w:val="clear" w:color="auto" w:fill="CCCCCC"/>
            <w:vAlign w:val="bottom"/>
          </w:tcPr>
          <w:p w14:paraId="038A01ED" w14:textId="77777777" w:rsidR="00244123" w:rsidRDefault="00244123">
            <w:pPr>
              <w:pStyle w:val="NotesTable-ItemPlain"/>
            </w:pPr>
          </w:p>
        </w:tc>
        <w:tc>
          <w:tcPr>
            <w:tcW w:w="270" w:type="pct"/>
            <w:shd w:val="clear" w:color="auto" w:fill="CCCCCC"/>
            <w:vAlign w:val="bottom"/>
          </w:tcPr>
          <w:p w14:paraId="038A01EE" w14:textId="77777777" w:rsidR="00244123" w:rsidRDefault="00244123" w:rsidP="005D4154">
            <w:pPr>
              <w:pStyle w:val="NotesTable-Notes"/>
              <w:rPr>
                <w:shd w:val="clear" w:color="auto" w:fill="FFFF00"/>
              </w:rPr>
            </w:pPr>
          </w:p>
        </w:tc>
        <w:tc>
          <w:tcPr>
            <w:tcW w:w="406" w:type="pct"/>
            <w:shd w:val="clear" w:color="auto" w:fill="CCCCCC"/>
          </w:tcPr>
          <w:p w14:paraId="038A01EF" w14:textId="77777777" w:rsidR="00244123" w:rsidRDefault="00244123" w:rsidP="00606085">
            <w:pPr>
              <w:pStyle w:val="NotesTable-CellBold"/>
            </w:pPr>
          </w:p>
        </w:tc>
        <w:tc>
          <w:tcPr>
            <w:tcW w:w="406" w:type="pct"/>
            <w:shd w:val="clear" w:color="auto" w:fill="CCCCCC"/>
          </w:tcPr>
          <w:p w14:paraId="038A01F0" w14:textId="77777777" w:rsidR="00244123" w:rsidRDefault="00244123" w:rsidP="00606085">
            <w:pPr>
              <w:pStyle w:val="NotesTable-CellPlain"/>
            </w:pPr>
          </w:p>
        </w:tc>
        <w:tc>
          <w:tcPr>
            <w:tcW w:w="406" w:type="pct"/>
            <w:shd w:val="clear" w:color="auto" w:fill="CCCCCC"/>
          </w:tcPr>
          <w:p w14:paraId="038A01F1" w14:textId="77777777" w:rsidR="00244123" w:rsidRDefault="00244123" w:rsidP="00606085">
            <w:pPr>
              <w:pStyle w:val="NotesTable-CellBold"/>
            </w:pPr>
          </w:p>
        </w:tc>
        <w:tc>
          <w:tcPr>
            <w:tcW w:w="406" w:type="pct"/>
            <w:shd w:val="clear" w:color="auto" w:fill="CCCCCC"/>
          </w:tcPr>
          <w:p w14:paraId="038A01F2" w14:textId="77777777" w:rsidR="00244123" w:rsidRDefault="00244123" w:rsidP="00606085">
            <w:pPr>
              <w:pStyle w:val="NotesTable-CellPlain"/>
            </w:pPr>
          </w:p>
        </w:tc>
      </w:tr>
    </w:tbl>
    <w:p w14:paraId="511E0AB1" w14:textId="77777777" w:rsidR="00D61C84" w:rsidRPr="00D61C84" w:rsidRDefault="00B03A79" w:rsidP="00D61C84">
      <w:pPr>
        <w:pStyle w:val="NotHeading1"/>
      </w:pPr>
      <w:r>
        <w:br w:type="page"/>
      </w:r>
      <w:r w:rsidR="00EF7E08" w:rsidRPr="00D61C84">
        <w:lastRenderedPageBreak/>
        <w:t>Statement of Financial Position</w:t>
      </w:r>
      <w:r w:rsidR="00162510" w:rsidRPr="00D61C84">
        <w:t xml:space="preserve"> (</w:t>
      </w:r>
      <w:proofErr w:type="spellStart"/>
      <w:r w:rsidR="002254C9" w:rsidRPr="00D61C84">
        <w:t>cont</w:t>
      </w:r>
      <w:proofErr w:type="spellEnd"/>
      <w:r w:rsidR="00162510" w:rsidRPr="00D61C84">
        <w:t>)</w:t>
      </w:r>
    </w:p>
    <w:p w14:paraId="038A01F4" w14:textId="088D1507" w:rsidR="00EF7E08" w:rsidRPr="000B02BD" w:rsidRDefault="002254C9" w:rsidP="000B02BD">
      <w:proofErr w:type="gramStart"/>
      <w:r w:rsidRPr="000B02BD">
        <w:t>a</w:t>
      </w:r>
      <w:r w:rsidR="008D0375" w:rsidRPr="000B02BD">
        <w:t>s</w:t>
      </w:r>
      <w:proofErr w:type="gramEnd"/>
      <w:r w:rsidR="008D0375" w:rsidRPr="000B02BD">
        <w:t xml:space="preserve"> at</w:t>
      </w:r>
      <w:r w:rsidR="00EF7E08" w:rsidRPr="000B02BD">
        <w:t xml:space="preserve"> 31 December </w:t>
      </w:r>
      <w:r w:rsidR="006864EC" w:rsidRPr="000B02BD">
        <w:t>2014</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3949B1" w14:paraId="038A01F8" w14:textId="77777777" w:rsidTr="004C4AAA">
        <w:trPr>
          <w:cantSplit/>
          <w:trHeight w:hRule="exact" w:val="227"/>
        </w:trPr>
        <w:tc>
          <w:tcPr>
            <w:tcW w:w="810" w:type="pct"/>
          </w:tcPr>
          <w:p w14:paraId="038A01F6" w14:textId="77777777" w:rsidR="003949B1" w:rsidRDefault="003949B1" w:rsidP="00D11709">
            <w:pPr>
              <w:pStyle w:val="Note-Refs"/>
            </w:pPr>
          </w:p>
        </w:tc>
        <w:tc>
          <w:tcPr>
            <w:tcW w:w="4190" w:type="pct"/>
            <w:gridSpan w:val="6"/>
            <w:shd w:val="clear" w:color="auto" w:fill="CCCCCC"/>
          </w:tcPr>
          <w:p w14:paraId="038A01F7" w14:textId="77777777" w:rsidR="003949B1" w:rsidRDefault="003949B1">
            <w:pPr>
              <w:pStyle w:val="NotesTable-ItemPlain"/>
            </w:pPr>
          </w:p>
        </w:tc>
      </w:tr>
      <w:tr w:rsidR="00B03530" w14:paraId="038A01FF" w14:textId="77777777" w:rsidTr="004C4AAA">
        <w:trPr>
          <w:cantSplit/>
          <w:trHeight w:val="227"/>
        </w:trPr>
        <w:tc>
          <w:tcPr>
            <w:tcW w:w="810" w:type="pct"/>
          </w:tcPr>
          <w:p w14:paraId="038A01F9" w14:textId="77777777" w:rsidR="00B03530" w:rsidRDefault="00B03530" w:rsidP="00D11709">
            <w:pPr>
              <w:pStyle w:val="Note-Refs"/>
            </w:pPr>
            <w:r>
              <w:t>MANDATORY</w:t>
            </w:r>
          </w:p>
          <w:p w14:paraId="038A01FA" w14:textId="77777777" w:rsidR="00B03530" w:rsidRDefault="00B90CFC" w:rsidP="00D11709">
            <w:pPr>
              <w:pStyle w:val="Note-Refs"/>
            </w:pPr>
            <w:r>
              <w:t>EDUCATION</w:t>
            </w:r>
          </w:p>
        </w:tc>
        <w:tc>
          <w:tcPr>
            <w:tcW w:w="2297" w:type="pct"/>
            <w:shd w:val="clear" w:color="auto" w:fill="CCCCCC"/>
          </w:tcPr>
          <w:p w14:paraId="038A01FB" w14:textId="77777777" w:rsidR="00B03530" w:rsidRDefault="00B03530">
            <w:pPr>
              <w:pStyle w:val="NotesTable-ItemPlain"/>
            </w:pPr>
          </w:p>
        </w:tc>
        <w:tc>
          <w:tcPr>
            <w:tcW w:w="270" w:type="pct"/>
            <w:shd w:val="clear" w:color="auto" w:fill="CCCCCC"/>
            <w:vAlign w:val="bottom"/>
          </w:tcPr>
          <w:p w14:paraId="038A01FC" w14:textId="77777777" w:rsidR="00B03530" w:rsidRDefault="00B03530" w:rsidP="005D4154">
            <w:pPr>
              <w:pStyle w:val="NotesTable-Notes"/>
            </w:pPr>
          </w:p>
        </w:tc>
        <w:tc>
          <w:tcPr>
            <w:tcW w:w="811" w:type="pct"/>
            <w:gridSpan w:val="2"/>
            <w:shd w:val="clear" w:color="auto" w:fill="CCCCCC"/>
            <w:vAlign w:val="center"/>
          </w:tcPr>
          <w:p w14:paraId="038A01FD" w14:textId="77777777" w:rsidR="00B03530" w:rsidRDefault="00B03530" w:rsidP="001420DF">
            <w:pPr>
              <w:pStyle w:val="NotesTable-HeadPlain"/>
            </w:pPr>
            <w:r>
              <w:t>Consolidated</w:t>
            </w:r>
          </w:p>
        </w:tc>
        <w:tc>
          <w:tcPr>
            <w:tcW w:w="811" w:type="pct"/>
            <w:gridSpan w:val="2"/>
            <w:shd w:val="clear" w:color="auto" w:fill="CCCCCC"/>
            <w:vAlign w:val="center"/>
          </w:tcPr>
          <w:p w14:paraId="038A01FE" w14:textId="77777777" w:rsidR="00B03530" w:rsidRDefault="00B03530" w:rsidP="00C54AC3">
            <w:pPr>
              <w:pStyle w:val="NotesTable-HeadPlain"/>
            </w:pPr>
            <w:r>
              <w:t>Parent entity</w:t>
            </w:r>
          </w:p>
        </w:tc>
      </w:tr>
      <w:tr w:rsidR="004023E5" w14:paraId="038A0207" w14:textId="77777777" w:rsidTr="004C4AAA">
        <w:trPr>
          <w:cantSplit/>
          <w:trHeight w:hRule="exact" w:val="227"/>
        </w:trPr>
        <w:tc>
          <w:tcPr>
            <w:tcW w:w="810" w:type="pct"/>
          </w:tcPr>
          <w:p w14:paraId="038A0200" w14:textId="77777777" w:rsidR="004023E5" w:rsidRDefault="004023E5" w:rsidP="00D11709">
            <w:pPr>
              <w:pStyle w:val="Note-Refs"/>
            </w:pPr>
          </w:p>
        </w:tc>
        <w:tc>
          <w:tcPr>
            <w:tcW w:w="2297" w:type="pct"/>
            <w:shd w:val="clear" w:color="auto" w:fill="CCCCCC"/>
          </w:tcPr>
          <w:p w14:paraId="038A0201" w14:textId="77777777" w:rsidR="004023E5" w:rsidRDefault="004023E5">
            <w:pPr>
              <w:pStyle w:val="NotesTable-ItemPlain"/>
            </w:pPr>
          </w:p>
        </w:tc>
        <w:tc>
          <w:tcPr>
            <w:tcW w:w="270" w:type="pct"/>
            <w:shd w:val="clear" w:color="auto" w:fill="CCCCCC"/>
            <w:vAlign w:val="bottom"/>
          </w:tcPr>
          <w:p w14:paraId="038A0202" w14:textId="77777777" w:rsidR="004023E5" w:rsidRDefault="004023E5" w:rsidP="005D4154">
            <w:pPr>
              <w:pStyle w:val="NotesTable-Notes"/>
              <w:rPr>
                <w:b/>
              </w:rPr>
            </w:pPr>
            <w:r>
              <w:t>Notes</w:t>
            </w:r>
          </w:p>
        </w:tc>
        <w:tc>
          <w:tcPr>
            <w:tcW w:w="406" w:type="pct"/>
            <w:shd w:val="clear" w:color="auto" w:fill="CCCCCC"/>
          </w:tcPr>
          <w:p w14:paraId="038A0203" w14:textId="42204A88" w:rsidR="004023E5" w:rsidRDefault="006864EC">
            <w:pPr>
              <w:pStyle w:val="NotesTable-HeadBold"/>
            </w:pPr>
            <w:r>
              <w:t>2014</w:t>
            </w:r>
          </w:p>
        </w:tc>
        <w:tc>
          <w:tcPr>
            <w:tcW w:w="406" w:type="pct"/>
            <w:shd w:val="clear" w:color="auto" w:fill="CCCCCC"/>
          </w:tcPr>
          <w:p w14:paraId="038A0204" w14:textId="6BD8215D" w:rsidR="004023E5" w:rsidRDefault="006864EC" w:rsidP="00C54AC3">
            <w:pPr>
              <w:pStyle w:val="NotesTable-HeadPlain"/>
            </w:pPr>
            <w:r>
              <w:t>2013</w:t>
            </w:r>
          </w:p>
        </w:tc>
        <w:tc>
          <w:tcPr>
            <w:tcW w:w="406" w:type="pct"/>
            <w:shd w:val="clear" w:color="auto" w:fill="CCCCCC"/>
          </w:tcPr>
          <w:p w14:paraId="038A0205" w14:textId="5D84E472" w:rsidR="004023E5" w:rsidRDefault="006864EC">
            <w:pPr>
              <w:pStyle w:val="NotesTable-HeadBold"/>
            </w:pPr>
            <w:r>
              <w:t>2014</w:t>
            </w:r>
          </w:p>
        </w:tc>
        <w:tc>
          <w:tcPr>
            <w:tcW w:w="406" w:type="pct"/>
            <w:shd w:val="clear" w:color="auto" w:fill="CCCCCC"/>
          </w:tcPr>
          <w:p w14:paraId="038A0206" w14:textId="4E3CC666" w:rsidR="004023E5" w:rsidRDefault="006864EC">
            <w:pPr>
              <w:pStyle w:val="NotesTable-HeadPlain"/>
            </w:pPr>
            <w:r>
              <w:t>2013</w:t>
            </w:r>
          </w:p>
        </w:tc>
      </w:tr>
      <w:tr w:rsidR="004023E5" w14:paraId="038A020F" w14:textId="77777777" w:rsidTr="004C4AAA">
        <w:trPr>
          <w:cantSplit/>
          <w:trHeight w:hRule="exact" w:val="227"/>
        </w:trPr>
        <w:tc>
          <w:tcPr>
            <w:tcW w:w="810" w:type="pct"/>
          </w:tcPr>
          <w:p w14:paraId="038A0208" w14:textId="77777777" w:rsidR="004023E5" w:rsidRDefault="004023E5" w:rsidP="00D11709">
            <w:pPr>
              <w:pStyle w:val="Note-Refs"/>
            </w:pPr>
          </w:p>
        </w:tc>
        <w:tc>
          <w:tcPr>
            <w:tcW w:w="2297" w:type="pct"/>
            <w:shd w:val="clear" w:color="auto" w:fill="CCCCCC"/>
          </w:tcPr>
          <w:p w14:paraId="038A0209" w14:textId="77777777" w:rsidR="004023E5" w:rsidRDefault="004023E5">
            <w:pPr>
              <w:pStyle w:val="NotesTable-ItemPlain"/>
            </w:pPr>
          </w:p>
        </w:tc>
        <w:tc>
          <w:tcPr>
            <w:tcW w:w="270" w:type="pct"/>
            <w:shd w:val="clear" w:color="auto" w:fill="CCCCCC"/>
            <w:vAlign w:val="bottom"/>
          </w:tcPr>
          <w:p w14:paraId="038A020A" w14:textId="77777777" w:rsidR="004023E5" w:rsidRDefault="004023E5" w:rsidP="005D4154">
            <w:pPr>
              <w:pStyle w:val="NotesTable-Notes"/>
            </w:pPr>
          </w:p>
        </w:tc>
        <w:tc>
          <w:tcPr>
            <w:tcW w:w="406" w:type="pct"/>
            <w:shd w:val="clear" w:color="auto" w:fill="CCCCCC"/>
          </w:tcPr>
          <w:p w14:paraId="038A020B" w14:textId="77777777" w:rsidR="004023E5" w:rsidRDefault="004023E5">
            <w:pPr>
              <w:pStyle w:val="NotesTable-HeadBold"/>
            </w:pPr>
            <w:r>
              <w:t>$’000</w:t>
            </w:r>
          </w:p>
        </w:tc>
        <w:tc>
          <w:tcPr>
            <w:tcW w:w="406" w:type="pct"/>
            <w:shd w:val="clear" w:color="auto" w:fill="CCCCCC"/>
          </w:tcPr>
          <w:p w14:paraId="038A020C" w14:textId="77777777" w:rsidR="004023E5" w:rsidRDefault="004023E5" w:rsidP="00C54AC3">
            <w:pPr>
              <w:pStyle w:val="NotesTable-HeadPlain"/>
            </w:pPr>
            <w:r>
              <w:t>$’000</w:t>
            </w:r>
          </w:p>
        </w:tc>
        <w:tc>
          <w:tcPr>
            <w:tcW w:w="406" w:type="pct"/>
            <w:shd w:val="clear" w:color="auto" w:fill="CCCCCC"/>
          </w:tcPr>
          <w:p w14:paraId="038A020D" w14:textId="77777777" w:rsidR="004023E5" w:rsidRDefault="004023E5">
            <w:pPr>
              <w:pStyle w:val="NotesTable-HeadBold"/>
            </w:pPr>
            <w:r>
              <w:t>$’000</w:t>
            </w:r>
          </w:p>
        </w:tc>
        <w:tc>
          <w:tcPr>
            <w:tcW w:w="406" w:type="pct"/>
            <w:shd w:val="clear" w:color="auto" w:fill="CCCCCC"/>
          </w:tcPr>
          <w:p w14:paraId="038A020E" w14:textId="77777777" w:rsidR="004023E5" w:rsidRDefault="004023E5">
            <w:pPr>
              <w:pStyle w:val="NotesTable-HeadPlain"/>
            </w:pPr>
            <w:r>
              <w:t>$’000</w:t>
            </w:r>
          </w:p>
        </w:tc>
      </w:tr>
      <w:tr w:rsidR="004026A0" w14:paraId="038A0217" w14:textId="77777777" w:rsidTr="004C4AAA">
        <w:trPr>
          <w:cantSplit/>
          <w:trHeight w:hRule="exact" w:val="227"/>
        </w:trPr>
        <w:tc>
          <w:tcPr>
            <w:tcW w:w="810" w:type="pct"/>
          </w:tcPr>
          <w:p w14:paraId="038A0210" w14:textId="77777777" w:rsidR="004026A0" w:rsidRDefault="004026A0" w:rsidP="00D11709">
            <w:pPr>
              <w:pStyle w:val="Note-Refs"/>
            </w:pPr>
          </w:p>
        </w:tc>
        <w:tc>
          <w:tcPr>
            <w:tcW w:w="2297" w:type="pct"/>
            <w:shd w:val="clear" w:color="auto" w:fill="CCCCCC"/>
            <w:vAlign w:val="bottom"/>
          </w:tcPr>
          <w:p w14:paraId="038A0211" w14:textId="77777777" w:rsidR="004026A0" w:rsidRPr="00204066" w:rsidRDefault="004026A0">
            <w:pPr>
              <w:pStyle w:val="Statement-ItemBold"/>
            </w:pPr>
            <w:r>
              <w:t>Equity</w:t>
            </w:r>
          </w:p>
        </w:tc>
        <w:tc>
          <w:tcPr>
            <w:tcW w:w="270" w:type="pct"/>
            <w:shd w:val="clear" w:color="auto" w:fill="CCCCCC"/>
            <w:vAlign w:val="bottom"/>
          </w:tcPr>
          <w:p w14:paraId="038A0212" w14:textId="77777777" w:rsidR="004026A0" w:rsidRDefault="004026A0" w:rsidP="005D4154">
            <w:pPr>
              <w:pStyle w:val="NotesTable-Notes"/>
              <w:rPr>
                <w:shd w:val="clear" w:color="auto" w:fill="FFFF00"/>
              </w:rPr>
            </w:pPr>
          </w:p>
        </w:tc>
        <w:tc>
          <w:tcPr>
            <w:tcW w:w="406" w:type="pct"/>
            <w:shd w:val="clear" w:color="auto" w:fill="CCCCCC"/>
          </w:tcPr>
          <w:p w14:paraId="038A0213" w14:textId="77777777" w:rsidR="004026A0" w:rsidRDefault="004026A0" w:rsidP="00606085">
            <w:pPr>
              <w:pStyle w:val="NotesTable-CellBold"/>
            </w:pPr>
          </w:p>
        </w:tc>
        <w:tc>
          <w:tcPr>
            <w:tcW w:w="406" w:type="pct"/>
            <w:shd w:val="clear" w:color="auto" w:fill="CCCCCC"/>
          </w:tcPr>
          <w:p w14:paraId="038A0214" w14:textId="77777777" w:rsidR="004026A0" w:rsidRDefault="004026A0" w:rsidP="00606085">
            <w:pPr>
              <w:pStyle w:val="NotesTable-CellPlain"/>
            </w:pPr>
          </w:p>
        </w:tc>
        <w:tc>
          <w:tcPr>
            <w:tcW w:w="406" w:type="pct"/>
            <w:shd w:val="clear" w:color="auto" w:fill="CCCCCC"/>
          </w:tcPr>
          <w:p w14:paraId="038A0215" w14:textId="77777777" w:rsidR="004026A0" w:rsidRDefault="004026A0" w:rsidP="00606085">
            <w:pPr>
              <w:pStyle w:val="NotesTable-CellBold"/>
            </w:pPr>
          </w:p>
        </w:tc>
        <w:tc>
          <w:tcPr>
            <w:tcW w:w="406" w:type="pct"/>
            <w:shd w:val="clear" w:color="auto" w:fill="CCCCCC"/>
          </w:tcPr>
          <w:p w14:paraId="038A0216" w14:textId="77777777" w:rsidR="004026A0" w:rsidRDefault="004026A0" w:rsidP="00606085">
            <w:pPr>
              <w:pStyle w:val="NotesTable-CellPlain"/>
            </w:pPr>
          </w:p>
        </w:tc>
      </w:tr>
      <w:tr w:rsidR="00B03530" w14:paraId="038A021F" w14:textId="77777777" w:rsidTr="004C4AAA">
        <w:trPr>
          <w:cantSplit/>
          <w:trHeight w:hRule="exact" w:val="227"/>
        </w:trPr>
        <w:tc>
          <w:tcPr>
            <w:tcW w:w="810" w:type="pct"/>
          </w:tcPr>
          <w:p w14:paraId="038A0218" w14:textId="77777777" w:rsidR="00B03530" w:rsidRDefault="00B03530" w:rsidP="00D11709">
            <w:pPr>
              <w:pStyle w:val="Note-Refs"/>
            </w:pPr>
          </w:p>
        </w:tc>
        <w:tc>
          <w:tcPr>
            <w:tcW w:w="2297" w:type="pct"/>
            <w:shd w:val="clear" w:color="auto" w:fill="CCCCCC"/>
            <w:vAlign w:val="bottom"/>
          </w:tcPr>
          <w:p w14:paraId="038A0219" w14:textId="77777777" w:rsidR="00B03530" w:rsidRPr="00606085" w:rsidRDefault="00B03530" w:rsidP="00D11709">
            <w:pPr>
              <w:pStyle w:val="NotesTable-ItemPlain"/>
            </w:pPr>
            <w:r w:rsidRPr="00204066">
              <w:t>Parent entity interest</w:t>
            </w:r>
          </w:p>
        </w:tc>
        <w:tc>
          <w:tcPr>
            <w:tcW w:w="270" w:type="pct"/>
            <w:shd w:val="clear" w:color="auto" w:fill="CCCCCC"/>
            <w:vAlign w:val="bottom"/>
          </w:tcPr>
          <w:p w14:paraId="038A021A" w14:textId="77777777" w:rsidR="00B03530" w:rsidRDefault="00B03530" w:rsidP="005D4154">
            <w:pPr>
              <w:pStyle w:val="NotesTable-Notes"/>
              <w:rPr>
                <w:shd w:val="clear" w:color="auto" w:fill="FFFF00"/>
              </w:rPr>
            </w:pPr>
          </w:p>
        </w:tc>
        <w:tc>
          <w:tcPr>
            <w:tcW w:w="406" w:type="pct"/>
            <w:shd w:val="clear" w:color="auto" w:fill="CCCCCC"/>
          </w:tcPr>
          <w:p w14:paraId="038A021B" w14:textId="77777777" w:rsidR="00B03530" w:rsidRDefault="00B03530" w:rsidP="00606085">
            <w:pPr>
              <w:pStyle w:val="NotesTable-CellBold"/>
            </w:pPr>
          </w:p>
        </w:tc>
        <w:tc>
          <w:tcPr>
            <w:tcW w:w="406" w:type="pct"/>
            <w:shd w:val="clear" w:color="auto" w:fill="CCCCCC"/>
          </w:tcPr>
          <w:p w14:paraId="038A021C" w14:textId="77777777" w:rsidR="00B03530" w:rsidRDefault="00B03530" w:rsidP="00606085">
            <w:pPr>
              <w:pStyle w:val="NotesTable-CellPlain"/>
            </w:pPr>
          </w:p>
        </w:tc>
        <w:tc>
          <w:tcPr>
            <w:tcW w:w="406" w:type="pct"/>
            <w:shd w:val="clear" w:color="auto" w:fill="CCCCCC"/>
          </w:tcPr>
          <w:p w14:paraId="038A021D" w14:textId="77777777" w:rsidR="00B03530" w:rsidRDefault="00B03530" w:rsidP="00606085">
            <w:pPr>
              <w:pStyle w:val="NotesTable-CellBold"/>
            </w:pPr>
          </w:p>
        </w:tc>
        <w:tc>
          <w:tcPr>
            <w:tcW w:w="406" w:type="pct"/>
            <w:shd w:val="clear" w:color="auto" w:fill="CCCCCC"/>
          </w:tcPr>
          <w:p w14:paraId="038A021E" w14:textId="77777777" w:rsidR="00B03530" w:rsidRDefault="00B03530" w:rsidP="00606085">
            <w:pPr>
              <w:pStyle w:val="NotesTable-CellPlain"/>
            </w:pPr>
          </w:p>
        </w:tc>
      </w:tr>
      <w:tr w:rsidR="00B03530" w14:paraId="038A0227" w14:textId="77777777" w:rsidTr="004C4AAA">
        <w:trPr>
          <w:cantSplit/>
          <w:trHeight w:hRule="exact" w:val="227"/>
        </w:trPr>
        <w:tc>
          <w:tcPr>
            <w:tcW w:w="810" w:type="pct"/>
          </w:tcPr>
          <w:p w14:paraId="038A0220" w14:textId="77777777" w:rsidR="00B03530" w:rsidRDefault="00B90CFC" w:rsidP="00D11709">
            <w:pPr>
              <w:pStyle w:val="Note-Refs"/>
              <w:rPr>
                <w:b/>
              </w:rPr>
            </w:pPr>
            <w:r>
              <w:t>EDUCATION</w:t>
            </w:r>
          </w:p>
        </w:tc>
        <w:tc>
          <w:tcPr>
            <w:tcW w:w="2297" w:type="pct"/>
            <w:shd w:val="clear" w:color="auto" w:fill="CCCCCC"/>
            <w:vAlign w:val="bottom"/>
          </w:tcPr>
          <w:p w14:paraId="038A0221" w14:textId="1C0FF0FB" w:rsidR="00B03530" w:rsidRPr="00606085" w:rsidRDefault="00B03530" w:rsidP="00D11709">
            <w:pPr>
              <w:pStyle w:val="NotesTable-ItemIndent"/>
            </w:pPr>
            <w:r w:rsidRPr="00204066">
              <w:t>Restricted funds</w:t>
            </w:r>
          </w:p>
        </w:tc>
        <w:tc>
          <w:tcPr>
            <w:tcW w:w="270" w:type="pct"/>
            <w:shd w:val="clear" w:color="auto" w:fill="CCCCCC"/>
            <w:vAlign w:val="bottom"/>
          </w:tcPr>
          <w:p w14:paraId="038A0222" w14:textId="2A8436C9" w:rsidR="00B03530" w:rsidRDefault="00F405B7" w:rsidP="005D4154">
            <w:pPr>
              <w:pStyle w:val="NotesTable-Notes"/>
              <w:rPr>
                <w:b/>
              </w:rPr>
            </w:pPr>
            <w:r>
              <w:t>35</w:t>
            </w:r>
          </w:p>
        </w:tc>
        <w:tc>
          <w:tcPr>
            <w:tcW w:w="406" w:type="pct"/>
            <w:shd w:val="clear" w:color="auto" w:fill="CCCCCC"/>
            <w:vAlign w:val="bottom"/>
          </w:tcPr>
          <w:p w14:paraId="038A0223" w14:textId="77777777" w:rsidR="00B03530" w:rsidRDefault="00B03530" w:rsidP="00606085">
            <w:pPr>
              <w:pStyle w:val="NotesTable-CellBold"/>
              <w:rPr>
                <w:b w:val="0"/>
              </w:rPr>
            </w:pPr>
            <w:r>
              <w:t>–</w:t>
            </w:r>
          </w:p>
        </w:tc>
        <w:tc>
          <w:tcPr>
            <w:tcW w:w="406" w:type="pct"/>
            <w:shd w:val="clear" w:color="auto" w:fill="CCCCCC"/>
            <w:vAlign w:val="bottom"/>
          </w:tcPr>
          <w:p w14:paraId="038A0224" w14:textId="77777777" w:rsidR="00B03530" w:rsidRDefault="00B03530" w:rsidP="00606085">
            <w:pPr>
              <w:pStyle w:val="NotesTable-CellPlain"/>
              <w:rPr>
                <w:b/>
              </w:rPr>
            </w:pPr>
            <w:r>
              <w:t>–</w:t>
            </w:r>
          </w:p>
        </w:tc>
        <w:tc>
          <w:tcPr>
            <w:tcW w:w="406" w:type="pct"/>
            <w:shd w:val="clear" w:color="auto" w:fill="CCCCCC"/>
            <w:vAlign w:val="bottom"/>
          </w:tcPr>
          <w:p w14:paraId="038A0225" w14:textId="77777777" w:rsidR="00B03530" w:rsidRDefault="00B03530" w:rsidP="00606085">
            <w:pPr>
              <w:pStyle w:val="NotesTable-CellBold"/>
              <w:rPr>
                <w:b w:val="0"/>
              </w:rPr>
            </w:pPr>
            <w:r>
              <w:t>–</w:t>
            </w:r>
          </w:p>
        </w:tc>
        <w:tc>
          <w:tcPr>
            <w:tcW w:w="406" w:type="pct"/>
            <w:shd w:val="clear" w:color="auto" w:fill="CCCCCC"/>
            <w:vAlign w:val="bottom"/>
          </w:tcPr>
          <w:p w14:paraId="038A0226" w14:textId="77777777" w:rsidR="00B03530" w:rsidRDefault="00B03530" w:rsidP="00606085">
            <w:pPr>
              <w:pStyle w:val="NotesTable-CellPlain"/>
              <w:rPr>
                <w:b/>
              </w:rPr>
            </w:pPr>
            <w:r>
              <w:t>–</w:t>
            </w:r>
          </w:p>
        </w:tc>
      </w:tr>
      <w:tr w:rsidR="00B03530" w14:paraId="038A022F" w14:textId="77777777" w:rsidTr="004C4AAA">
        <w:trPr>
          <w:cantSplit/>
          <w:trHeight w:hRule="exact" w:val="227"/>
        </w:trPr>
        <w:tc>
          <w:tcPr>
            <w:tcW w:w="810" w:type="pct"/>
          </w:tcPr>
          <w:p w14:paraId="038A0228" w14:textId="77777777" w:rsidR="00B03530" w:rsidRDefault="00B03530" w:rsidP="00D11709">
            <w:pPr>
              <w:pStyle w:val="Note-Refs"/>
              <w:rPr>
                <w:b/>
              </w:rPr>
            </w:pPr>
            <w:r>
              <w:t>AASB101</w:t>
            </w:r>
            <w:r w:rsidR="0082032F">
              <w:t>.</w:t>
            </w:r>
            <w:r>
              <w:t>54r</w:t>
            </w:r>
          </w:p>
        </w:tc>
        <w:tc>
          <w:tcPr>
            <w:tcW w:w="2297" w:type="pct"/>
            <w:shd w:val="clear" w:color="auto" w:fill="CCCCCC"/>
            <w:vAlign w:val="bottom"/>
          </w:tcPr>
          <w:p w14:paraId="038A0229" w14:textId="2A9C7F16" w:rsidR="00B03530" w:rsidRPr="00606085" w:rsidRDefault="00B03530" w:rsidP="00D11709">
            <w:pPr>
              <w:pStyle w:val="NotesTable-ItemIndent"/>
            </w:pPr>
            <w:r w:rsidRPr="00204066">
              <w:t>Reser</w:t>
            </w:r>
            <w:r w:rsidR="003949B1" w:rsidRPr="00204066">
              <w:t>v</w:t>
            </w:r>
            <w:r w:rsidRPr="00606085">
              <w:t>es</w:t>
            </w:r>
          </w:p>
        </w:tc>
        <w:tc>
          <w:tcPr>
            <w:tcW w:w="270" w:type="pct"/>
            <w:shd w:val="clear" w:color="auto" w:fill="CCCCCC"/>
            <w:vAlign w:val="bottom"/>
          </w:tcPr>
          <w:p w14:paraId="038A022A" w14:textId="2D3689AC" w:rsidR="00B03530" w:rsidRDefault="00F405B7" w:rsidP="005D4154">
            <w:pPr>
              <w:pStyle w:val="NotesTable-Notes"/>
              <w:rPr>
                <w:b/>
              </w:rPr>
            </w:pPr>
            <w:r>
              <w:t>36</w:t>
            </w:r>
          </w:p>
        </w:tc>
        <w:tc>
          <w:tcPr>
            <w:tcW w:w="406" w:type="pct"/>
            <w:shd w:val="clear" w:color="auto" w:fill="CCCCCC"/>
            <w:vAlign w:val="bottom"/>
          </w:tcPr>
          <w:p w14:paraId="038A022B" w14:textId="77777777" w:rsidR="00B03530" w:rsidRDefault="00B03530" w:rsidP="00606085">
            <w:pPr>
              <w:pStyle w:val="NotesTable-CellBold"/>
              <w:rPr>
                <w:b w:val="0"/>
              </w:rPr>
            </w:pPr>
            <w:r>
              <w:t>–</w:t>
            </w:r>
          </w:p>
        </w:tc>
        <w:tc>
          <w:tcPr>
            <w:tcW w:w="406" w:type="pct"/>
            <w:shd w:val="clear" w:color="auto" w:fill="CCCCCC"/>
            <w:vAlign w:val="bottom"/>
          </w:tcPr>
          <w:p w14:paraId="038A022C" w14:textId="77777777" w:rsidR="00B03530" w:rsidRDefault="00B03530" w:rsidP="00606085">
            <w:pPr>
              <w:pStyle w:val="NotesTable-CellPlain"/>
              <w:rPr>
                <w:b/>
              </w:rPr>
            </w:pPr>
            <w:r>
              <w:t>–</w:t>
            </w:r>
          </w:p>
        </w:tc>
        <w:tc>
          <w:tcPr>
            <w:tcW w:w="406" w:type="pct"/>
            <w:shd w:val="clear" w:color="auto" w:fill="CCCCCC"/>
            <w:vAlign w:val="bottom"/>
          </w:tcPr>
          <w:p w14:paraId="038A022D" w14:textId="77777777" w:rsidR="00B03530" w:rsidRDefault="00B03530" w:rsidP="00606085">
            <w:pPr>
              <w:pStyle w:val="NotesTable-CellBold"/>
              <w:rPr>
                <w:b w:val="0"/>
              </w:rPr>
            </w:pPr>
            <w:r>
              <w:t>–</w:t>
            </w:r>
          </w:p>
        </w:tc>
        <w:tc>
          <w:tcPr>
            <w:tcW w:w="406" w:type="pct"/>
            <w:shd w:val="clear" w:color="auto" w:fill="CCCCCC"/>
            <w:vAlign w:val="bottom"/>
          </w:tcPr>
          <w:p w14:paraId="038A022E" w14:textId="77777777" w:rsidR="00B03530" w:rsidRDefault="00B03530" w:rsidP="00606085">
            <w:pPr>
              <w:pStyle w:val="NotesTable-CellPlain"/>
              <w:rPr>
                <w:b/>
              </w:rPr>
            </w:pPr>
            <w:r>
              <w:t>–</w:t>
            </w:r>
          </w:p>
        </w:tc>
      </w:tr>
      <w:tr w:rsidR="00B03530" w14:paraId="038A0237" w14:textId="77777777" w:rsidTr="004C4AAA">
        <w:trPr>
          <w:cantSplit/>
          <w:trHeight w:hRule="exact" w:val="227"/>
        </w:trPr>
        <w:tc>
          <w:tcPr>
            <w:tcW w:w="810" w:type="pct"/>
          </w:tcPr>
          <w:p w14:paraId="038A0230" w14:textId="77777777" w:rsidR="00B03530" w:rsidRDefault="00B03530" w:rsidP="00D11709">
            <w:pPr>
              <w:pStyle w:val="Note-Refs"/>
            </w:pPr>
          </w:p>
        </w:tc>
        <w:tc>
          <w:tcPr>
            <w:tcW w:w="2297" w:type="pct"/>
            <w:shd w:val="clear" w:color="auto" w:fill="CCCCCC"/>
            <w:vAlign w:val="bottom"/>
          </w:tcPr>
          <w:p w14:paraId="038A0231" w14:textId="50C447C8" w:rsidR="00B03530" w:rsidRPr="00606085" w:rsidRDefault="00B03530" w:rsidP="00D11709">
            <w:pPr>
              <w:pStyle w:val="NotesTable-ItemIndent"/>
            </w:pPr>
            <w:r w:rsidRPr="00204066">
              <w:t>Retained earnings</w:t>
            </w:r>
          </w:p>
        </w:tc>
        <w:tc>
          <w:tcPr>
            <w:tcW w:w="270" w:type="pct"/>
            <w:shd w:val="clear" w:color="auto" w:fill="CCCCCC"/>
            <w:vAlign w:val="bottom"/>
          </w:tcPr>
          <w:p w14:paraId="038A0232" w14:textId="204C5E5B" w:rsidR="00B03530" w:rsidRDefault="00F405B7" w:rsidP="005D4154">
            <w:pPr>
              <w:pStyle w:val="NotesTable-Notes"/>
              <w:rPr>
                <w:b/>
              </w:rPr>
            </w:pPr>
            <w:r>
              <w:t>36</w:t>
            </w:r>
          </w:p>
        </w:tc>
        <w:tc>
          <w:tcPr>
            <w:tcW w:w="406" w:type="pct"/>
            <w:tcBorders>
              <w:bottom w:val="single" w:sz="4" w:space="0" w:color="auto"/>
            </w:tcBorders>
            <w:shd w:val="clear" w:color="auto" w:fill="CCCCCC"/>
            <w:vAlign w:val="bottom"/>
          </w:tcPr>
          <w:p w14:paraId="038A0233" w14:textId="77777777" w:rsidR="00B03530" w:rsidRDefault="00B03530" w:rsidP="00606085">
            <w:pPr>
              <w:pStyle w:val="NotesTable-CellBold"/>
              <w:rPr>
                <w:b w:val="0"/>
              </w:rPr>
            </w:pPr>
            <w:r>
              <w:t>–</w:t>
            </w:r>
          </w:p>
        </w:tc>
        <w:tc>
          <w:tcPr>
            <w:tcW w:w="406" w:type="pct"/>
            <w:tcBorders>
              <w:bottom w:val="single" w:sz="4" w:space="0" w:color="auto"/>
            </w:tcBorders>
            <w:shd w:val="clear" w:color="auto" w:fill="CCCCCC"/>
            <w:vAlign w:val="bottom"/>
          </w:tcPr>
          <w:p w14:paraId="038A0234" w14:textId="77777777" w:rsidR="00B03530" w:rsidRDefault="00B03530" w:rsidP="00606085">
            <w:pPr>
              <w:pStyle w:val="NotesTable-CellPlain"/>
              <w:rPr>
                <w:b/>
              </w:rPr>
            </w:pPr>
            <w:r>
              <w:t>–</w:t>
            </w:r>
          </w:p>
        </w:tc>
        <w:tc>
          <w:tcPr>
            <w:tcW w:w="406" w:type="pct"/>
            <w:tcBorders>
              <w:bottom w:val="single" w:sz="4" w:space="0" w:color="auto"/>
            </w:tcBorders>
            <w:shd w:val="clear" w:color="auto" w:fill="CCCCCC"/>
            <w:vAlign w:val="bottom"/>
          </w:tcPr>
          <w:p w14:paraId="038A0235" w14:textId="77777777" w:rsidR="00B03530" w:rsidRDefault="00B03530" w:rsidP="00606085">
            <w:pPr>
              <w:pStyle w:val="NotesTable-CellBold"/>
              <w:rPr>
                <w:b w:val="0"/>
              </w:rPr>
            </w:pPr>
            <w:r>
              <w:t>–</w:t>
            </w:r>
          </w:p>
        </w:tc>
        <w:tc>
          <w:tcPr>
            <w:tcW w:w="406" w:type="pct"/>
            <w:tcBorders>
              <w:bottom w:val="single" w:sz="4" w:space="0" w:color="auto"/>
            </w:tcBorders>
            <w:shd w:val="clear" w:color="auto" w:fill="CCCCCC"/>
            <w:vAlign w:val="bottom"/>
          </w:tcPr>
          <w:p w14:paraId="038A0236" w14:textId="77777777" w:rsidR="00B03530" w:rsidRDefault="00B03530" w:rsidP="00606085">
            <w:pPr>
              <w:pStyle w:val="NotesTable-CellPlain"/>
              <w:rPr>
                <w:b/>
              </w:rPr>
            </w:pPr>
            <w:r>
              <w:t>–</w:t>
            </w:r>
          </w:p>
        </w:tc>
      </w:tr>
      <w:tr w:rsidR="00B03530" w14:paraId="038A023F" w14:textId="77777777" w:rsidTr="004C4AAA">
        <w:trPr>
          <w:cantSplit/>
          <w:trHeight w:hRule="exact" w:val="227"/>
        </w:trPr>
        <w:tc>
          <w:tcPr>
            <w:tcW w:w="810" w:type="pct"/>
          </w:tcPr>
          <w:p w14:paraId="038A0238" w14:textId="77777777" w:rsidR="00B03530" w:rsidRDefault="00B03530" w:rsidP="00D11709">
            <w:pPr>
              <w:pStyle w:val="Note-Refs"/>
            </w:pPr>
          </w:p>
        </w:tc>
        <w:tc>
          <w:tcPr>
            <w:tcW w:w="2297" w:type="pct"/>
            <w:shd w:val="clear" w:color="auto" w:fill="CCCCCC"/>
            <w:vAlign w:val="bottom"/>
          </w:tcPr>
          <w:p w14:paraId="038A0239" w14:textId="77777777" w:rsidR="00B03530" w:rsidRPr="00606085" w:rsidRDefault="00B03530" w:rsidP="00D11709">
            <w:pPr>
              <w:pStyle w:val="NotesTable-ItemPlain"/>
            </w:pPr>
            <w:r w:rsidRPr="00204066">
              <w:t>Parent entity interest</w:t>
            </w:r>
          </w:p>
        </w:tc>
        <w:tc>
          <w:tcPr>
            <w:tcW w:w="270" w:type="pct"/>
            <w:shd w:val="clear" w:color="auto" w:fill="CCCCCC"/>
            <w:vAlign w:val="bottom"/>
          </w:tcPr>
          <w:p w14:paraId="038A023A" w14:textId="77777777" w:rsidR="00B03530" w:rsidRDefault="00B03530" w:rsidP="005D4154">
            <w:pPr>
              <w:pStyle w:val="NotesTable-Notes"/>
            </w:pPr>
          </w:p>
        </w:tc>
        <w:tc>
          <w:tcPr>
            <w:tcW w:w="406" w:type="pct"/>
            <w:tcBorders>
              <w:top w:val="single" w:sz="4" w:space="0" w:color="auto"/>
            </w:tcBorders>
            <w:shd w:val="clear" w:color="auto" w:fill="CCCCCC"/>
            <w:vAlign w:val="bottom"/>
          </w:tcPr>
          <w:p w14:paraId="038A023B" w14:textId="77777777" w:rsidR="00B03530" w:rsidRDefault="00B03530" w:rsidP="00606085">
            <w:pPr>
              <w:pStyle w:val="NotesTable-CellBold"/>
              <w:rPr>
                <w:b w:val="0"/>
              </w:rPr>
            </w:pPr>
            <w:r>
              <w:t>–</w:t>
            </w:r>
          </w:p>
        </w:tc>
        <w:tc>
          <w:tcPr>
            <w:tcW w:w="406" w:type="pct"/>
            <w:tcBorders>
              <w:top w:val="single" w:sz="4" w:space="0" w:color="auto"/>
            </w:tcBorders>
            <w:shd w:val="clear" w:color="auto" w:fill="CCCCCC"/>
            <w:vAlign w:val="bottom"/>
          </w:tcPr>
          <w:p w14:paraId="038A023C" w14:textId="77777777" w:rsidR="00B03530" w:rsidRDefault="00B03530" w:rsidP="00606085">
            <w:pPr>
              <w:pStyle w:val="NotesTable-CellPlain"/>
              <w:rPr>
                <w:b/>
              </w:rPr>
            </w:pPr>
            <w:r>
              <w:t>–</w:t>
            </w:r>
          </w:p>
        </w:tc>
        <w:tc>
          <w:tcPr>
            <w:tcW w:w="406" w:type="pct"/>
            <w:tcBorders>
              <w:top w:val="single" w:sz="4" w:space="0" w:color="auto"/>
            </w:tcBorders>
            <w:shd w:val="clear" w:color="auto" w:fill="CCCCCC"/>
            <w:vAlign w:val="bottom"/>
          </w:tcPr>
          <w:p w14:paraId="038A023D" w14:textId="77777777" w:rsidR="00B03530" w:rsidRDefault="00B03530" w:rsidP="00606085">
            <w:pPr>
              <w:pStyle w:val="NotesTable-CellBold"/>
              <w:rPr>
                <w:b w:val="0"/>
              </w:rPr>
            </w:pPr>
            <w:r>
              <w:t>–</w:t>
            </w:r>
          </w:p>
        </w:tc>
        <w:tc>
          <w:tcPr>
            <w:tcW w:w="406" w:type="pct"/>
            <w:tcBorders>
              <w:top w:val="single" w:sz="4" w:space="0" w:color="auto"/>
            </w:tcBorders>
            <w:shd w:val="clear" w:color="auto" w:fill="CCCCCC"/>
            <w:vAlign w:val="bottom"/>
          </w:tcPr>
          <w:p w14:paraId="038A023E" w14:textId="77777777" w:rsidR="00B03530" w:rsidRDefault="00B03530" w:rsidP="00606085">
            <w:pPr>
              <w:pStyle w:val="NotesTable-CellPlain"/>
              <w:rPr>
                <w:b/>
              </w:rPr>
            </w:pPr>
            <w:r>
              <w:t>–</w:t>
            </w:r>
          </w:p>
        </w:tc>
      </w:tr>
      <w:tr w:rsidR="00B03530" w14:paraId="038A0247" w14:textId="77777777" w:rsidTr="004C4AAA">
        <w:trPr>
          <w:cantSplit/>
          <w:trHeight w:hRule="exact" w:val="227"/>
        </w:trPr>
        <w:tc>
          <w:tcPr>
            <w:tcW w:w="810" w:type="pct"/>
          </w:tcPr>
          <w:p w14:paraId="038A0240" w14:textId="77777777" w:rsidR="00B03530" w:rsidRDefault="00B03530" w:rsidP="00D11709">
            <w:pPr>
              <w:pStyle w:val="Note-Refs"/>
            </w:pPr>
          </w:p>
        </w:tc>
        <w:tc>
          <w:tcPr>
            <w:tcW w:w="2297" w:type="pct"/>
            <w:shd w:val="clear" w:color="auto" w:fill="CCCCCC"/>
            <w:vAlign w:val="bottom"/>
          </w:tcPr>
          <w:p w14:paraId="038A0241" w14:textId="77777777" w:rsidR="00B03530" w:rsidRPr="00204066" w:rsidRDefault="00B03530">
            <w:pPr>
              <w:pStyle w:val="NotesTable-ItemPlain"/>
            </w:pPr>
          </w:p>
        </w:tc>
        <w:tc>
          <w:tcPr>
            <w:tcW w:w="270" w:type="pct"/>
            <w:shd w:val="clear" w:color="auto" w:fill="CCCCCC"/>
            <w:vAlign w:val="bottom"/>
          </w:tcPr>
          <w:p w14:paraId="038A0242" w14:textId="77777777" w:rsidR="00B03530" w:rsidRDefault="00B03530" w:rsidP="005D4154">
            <w:pPr>
              <w:pStyle w:val="NotesTable-Notes"/>
            </w:pPr>
          </w:p>
        </w:tc>
        <w:tc>
          <w:tcPr>
            <w:tcW w:w="406" w:type="pct"/>
            <w:shd w:val="clear" w:color="auto" w:fill="CCCCCC"/>
            <w:vAlign w:val="bottom"/>
          </w:tcPr>
          <w:p w14:paraId="038A0243" w14:textId="77777777" w:rsidR="00B03530" w:rsidRDefault="00B03530" w:rsidP="00606085">
            <w:pPr>
              <w:pStyle w:val="NotesTable-CellBold"/>
            </w:pPr>
          </w:p>
        </w:tc>
        <w:tc>
          <w:tcPr>
            <w:tcW w:w="406" w:type="pct"/>
            <w:shd w:val="clear" w:color="auto" w:fill="CCCCCC"/>
            <w:vAlign w:val="bottom"/>
          </w:tcPr>
          <w:p w14:paraId="038A0244" w14:textId="77777777" w:rsidR="00B03530" w:rsidRDefault="00B03530" w:rsidP="00606085">
            <w:pPr>
              <w:pStyle w:val="NotesTable-CellPlain"/>
            </w:pPr>
          </w:p>
        </w:tc>
        <w:tc>
          <w:tcPr>
            <w:tcW w:w="406" w:type="pct"/>
            <w:shd w:val="clear" w:color="auto" w:fill="CCCCCC"/>
            <w:vAlign w:val="bottom"/>
          </w:tcPr>
          <w:p w14:paraId="038A0245" w14:textId="77777777" w:rsidR="00B03530" w:rsidRDefault="00B03530" w:rsidP="00606085">
            <w:pPr>
              <w:pStyle w:val="NotesTable-CellBold"/>
            </w:pPr>
          </w:p>
        </w:tc>
        <w:tc>
          <w:tcPr>
            <w:tcW w:w="406" w:type="pct"/>
            <w:shd w:val="clear" w:color="auto" w:fill="CCCCCC"/>
            <w:vAlign w:val="bottom"/>
          </w:tcPr>
          <w:p w14:paraId="038A0246" w14:textId="77777777" w:rsidR="00B03530" w:rsidRDefault="00B03530" w:rsidP="00606085">
            <w:pPr>
              <w:pStyle w:val="NotesTable-CellPlain"/>
            </w:pPr>
          </w:p>
        </w:tc>
      </w:tr>
      <w:tr w:rsidR="00B03530" w14:paraId="038A024F" w14:textId="77777777" w:rsidTr="004C4AAA">
        <w:trPr>
          <w:cantSplit/>
          <w:trHeight w:hRule="exact" w:val="227"/>
        </w:trPr>
        <w:tc>
          <w:tcPr>
            <w:tcW w:w="810" w:type="pct"/>
          </w:tcPr>
          <w:p w14:paraId="038A0248" w14:textId="77777777" w:rsidR="00B03530" w:rsidRDefault="00B03530" w:rsidP="00D11709">
            <w:pPr>
              <w:pStyle w:val="Note-Refs"/>
              <w:rPr>
                <w:b/>
              </w:rPr>
            </w:pPr>
            <w:r>
              <w:t>AASB101</w:t>
            </w:r>
            <w:r w:rsidR="0082032F">
              <w:t>.</w:t>
            </w:r>
            <w:r>
              <w:t>54q</w:t>
            </w:r>
          </w:p>
        </w:tc>
        <w:tc>
          <w:tcPr>
            <w:tcW w:w="2297" w:type="pct"/>
            <w:shd w:val="clear" w:color="auto" w:fill="CCCCCC"/>
            <w:vAlign w:val="bottom"/>
          </w:tcPr>
          <w:p w14:paraId="038A0249" w14:textId="77777777" w:rsidR="00B03530" w:rsidRPr="00606085" w:rsidRDefault="00B03530" w:rsidP="00D11709">
            <w:pPr>
              <w:pStyle w:val="NotesTable-ItemPlain"/>
            </w:pPr>
            <w:r w:rsidRPr="00204066">
              <w:t>Non-controlling interest</w:t>
            </w:r>
          </w:p>
        </w:tc>
        <w:tc>
          <w:tcPr>
            <w:tcW w:w="270" w:type="pct"/>
            <w:shd w:val="clear" w:color="auto" w:fill="CCCCCC"/>
            <w:vAlign w:val="bottom"/>
          </w:tcPr>
          <w:p w14:paraId="038A024A" w14:textId="2CCC9EDA" w:rsidR="00B03530" w:rsidRDefault="00F405B7" w:rsidP="005D4154">
            <w:pPr>
              <w:pStyle w:val="NotesTable-Notes"/>
              <w:rPr>
                <w:b/>
              </w:rPr>
            </w:pPr>
            <w:r>
              <w:t>37</w:t>
            </w:r>
          </w:p>
        </w:tc>
        <w:tc>
          <w:tcPr>
            <w:tcW w:w="406" w:type="pct"/>
            <w:tcBorders>
              <w:bottom w:val="single" w:sz="4" w:space="0" w:color="000000"/>
            </w:tcBorders>
            <w:shd w:val="clear" w:color="auto" w:fill="CCCCCC"/>
            <w:vAlign w:val="bottom"/>
          </w:tcPr>
          <w:p w14:paraId="038A024B" w14:textId="77777777" w:rsidR="00B03530" w:rsidRDefault="00B03530" w:rsidP="00606085">
            <w:pPr>
              <w:pStyle w:val="NotesTable-CellBold"/>
              <w:rPr>
                <w:b w:val="0"/>
              </w:rPr>
            </w:pPr>
            <w:r>
              <w:t>–</w:t>
            </w:r>
          </w:p>
        </w:tc>
        <w:tc>
          <w:tcPr>
            <w:tcW w:w="406" w:type="pct"/>
            <w:tcBorders>
              <w:bottom w:val="single" w:sz="4" w:space="0" w:color="000000"/>
            </w:tcBorders>
            <w:shd w:val="clear" w:color="auto" w:fill="CCCCCC"/>
            <w:vAlign w:val="bottom"/>
          </w:tcPr>
          <w:p w14:paraId="038A024C" w14:textId="77777777" w:rsidR="00B03530" w:rsidRDefault="00B03530" w:rsidP="00606085">
            <w:pPr>
              <w:pStyle w:val="NotesTable-CellPlain"/>
              <w:rPr>
                <w:b/>
              </w:rPr>
            </w:pPr>
            <w:r>
              <w:t>–</w:t>
            </w:r>
          </w:p>
        </w:tc>
        <w:tc>
          <w:tcPr>
            <w:tcW w:w="406" w:type="pct"/>
            <w:tcBorders>
              <w:bottom w:val="single" w:sz="4" w:space="0" w:color="000000"/>
            </w:tcBorders>
            <w:shd w:val="clear" w:color="auto" w:fill="CCCCCC"/>
            <w:vAlign w:val="bottom"/>
          </w:tcPr>
          <w:p w14:paraId="038A024D" w14:textId="77777777" w:rsidR="00B03530" w:rsidRDefault="00B03530" w:rsidP="00606085">
            <w:pPr>
              <w:pStyle w:val="NotesTable-CellBold"/>
              <w:rPr>
                <w:b w:val="0"/>
              </w:rPr>
            </w:pPr>
            <w:r>
              <w:t>–</w:t>
            </w:r>
          </w:p>
        </w:tc>
        <w:tc>
          <w:tcPr>
            <w:tcW w:w="406" w:type="pct"/>
            <w:tcBorders>
              <w:bottom w:val="single" w:sz="4" w:space="0" w:color="000000"/>
            </w:tcBorders>
            <w:shd w:val="clear" w:color="auto" w:fill="CCCCCC"/>
            <w:vAlign w:val="bottom"/>
          </w:tcPr>
          <w:p w14:paraId="038A024E" w14:textId="77777777" w:rsidR="00B03530" w:rsidRDefault="00B03530" w:rsidP="00606085">
            <w:pPr>
              <w:pStyle w:val="NotesTable-CellPlain"/>
              <w:rPr>
                <w:b/>
              </w:rPr>
            </w:pPr>
            <w:r>
              <w:t>–</w:t>
            </w:r>
          </w:p>
        </w:tc>
      </w:tr>
      <w:tr w:rsidR="00B03530" w14:paraId="038A0257" w14:textId="77777777" w:rsidTr="004C4AAA">
        <w:trPr>
          <w:cantSplit/>
          <w:trHeight w:hRule="exact" w:val="227"/>
        </w:trPr>
        <w:tc>
          <w:tcPr>
            <w:tcW w:w="810" w:type="pct"/>
          </w:tcPr>
          <w:p w14:paraId="038A0250" w14:textId="77777777" w:rsidR="00B03530" w:rsidRDefault="00B03530" w:rsidP="00D11709">
            <w:pPr>
              <w:pStyle w:val="Note-Refs"/>
            </w:pPr>
          </w:p>
        </w:tc>
        <w:tc>
          <w:tcPr>
            <w:tcW w:w="2297" w:type="pct"/>
            <w:shd w:val="clear" w:color="auto" w:fill="CCCCCC"/>
            <w:vAlign w:val="bottom"/>
          </w:tcPr>
          <w:p w14:paraId="038A0251" w14:textId="77777777" w:rsidR="00B03530" w:rsidRDefault="00B03530">
            <w:pPr>
              <w:pStyle w:val="Statement-ItemBold"/>
            </w:pPr>
            <w:r>
              <w:t>Total equity</w:t>
            </w:r>
          </w:p>
        </w:tc>
        <w:tc>
          <w:tcPr>
            <w:tcW w:w="270" w:type="pct"/>
            <w:shd w:val="clear" w:color="auto" w:fill="CCCCCC"/>
            <w:vAlign w:val="bottom"/>
          </w:tcPr>
          <w:p w14:paraId="038A0252" w14:textId="77777777" w:rsidR="00B03530" w:rsidRDefault="00B03530" w:rsidP="005D4154">
            <w:pPr>
              <w:pStyle w:val="NotesTable-Notes"/>
            </w:pPr>
          </w:p>
        </w:tc>
        <w:tc>
          <w:tcPr>
            <w:tcW w:w="406" w:type="pct"/>
            <w:shd w:val="clear" w:color="auto" w:fill="CCCCCC"/>
            <w:vAlign w:val="bottom"/>
          </w:tcPr>
          <w:p w14:paraId="038A0253" w14:textId="77777777" w:rsidR="00B03530" w:rsidRDefault="00B03530" w:rsidP="00606085">
            <w:pPr>
              <w:pStyle w:val="NotesTable-CellBold"/>
              <w:rPr>
                <w:b w:val="0"/>
              </w:rPr>
            </w:pPr>
            <w:r>
              <w:t>–</w:t>
            </w:r>
          </w:p>
        </w:tc>
        <w:tc>
          <w:tcPr>
            <w:tcW w:w="406" w:type="pct"/>
            <w:shd w:val="clear" w:color="auto" w:fill="CCCCCC"/>
            <w:vAlign w:val="bottom"/>
          </w:tcPr>
          <w:p w14:paraId="038A0254" w14:textId="77777777" w:rsidR="00B03530" w:rsidRDefault="00B03530" w:rsidP="00606085">
            <w:pPr>
              <w:pStyle w:val="NotesTable-CellPlain"/>
              <w:rPr>
                <w:b/>
              </w:rPr>
            </w:pPr>
            <w:r>
              <w:t>–</w:t>
            </w:r>
          </w:p>
        </w:tc>
        <w:tc>
          <w:tcPr>
            <w:tcW w:w="406" w:type="pct"/>
            <w:shd w:val="clear" w:color="auto" w:fill="CCCCCC"/>
            <w:vAlign w:val="bottom"/>
          </w:tcPr>
          <w:p w14:paraId="038A0255" w14:textId="77777777" w:rsidR="00B03530" w:rsidRDefault="00B03530" w:rsidP="00606085">
            <w:pPr>
              <w:pStyle w:val="NotesTable-CellBold"/>
              <w:rPr>
                <w:b w:val="0"/>
              </w:rPr>
            </w:pPr>
            <w:r>
              <w:t>–</w:t>
            </w:r>
          </w:p>
        </w:tc>
        <w:tc>
          <w:tcPr>
            <w:tcW w:w="406" w:type="pct"/>
            <w:shd w:val="clear" w:color="auto" w:fill="CCCCCC"/>
            <w:vAlign w:val="bottom"/>
          </w:tcPr>
          <w:p w14:paraId="038A0256" w14:textId="77777777" w:rsidR="00B03530" w:rsidRDefault="00B03530" w:rsidP="00606085">
            <w:pPr>
              <w:pStyle w:val="NotesTable-CellPlain"/>
              <w:rPr>
                <w:b/>
              </w:rPr>
            </w:pPr>
            <w:r>
              <w:t>–</w:t>
            </w:r>
          </w:p>
        </w:tc>
      </w:tr>
      <w:tr w:rsidR="00B03530" w14:paraId="038A025F" w14:textId="77777777" w:rsidTr="004C4AAA">
        <w:trPr>
          <w:cantSplit/>
          <w:trHeight w:hRule="exact" w:val="227"/>
        </w:trPr>
        <w:tc>
          <w:tcPr>
            <w:tcW w:w="810" w:type="pct"/>
          </w:tcPr>
          <w:p w14:paraId="038A0258" w14:textId="77777777" w:rsidR="00B03530" w:rsidRDefault="00B03530" w:rsidP="00D11709">
            <w:pPr>
              <w:pStyle w:val="Note-Refs"/>
            </w:pPr>
          </w:p>
        </w:tc>
        <w:tc>
          <w:tcPr>
            <w:tcW w:w="2297" w:type="pct"/>
            <w:shd w:val="clear" w:color="auto" w:fill="CCCCCC"/>
          </w:tcPr>
          <w:p w14:paraId="038A0259" w14:textId="77777777" w:rsidR="00B03530" w:rsidRDefault="00B03530">
            <w:pPr>
              <w:pStyle w:val="NotesTable-ItemPlain"/>
            </w:pPr>
          </w:p>
        </w:tc>
        <w:tc>
          <w:tcPr>
            <w:tcW w:w="270" w:type="pct"/>
            <w:shd w:val="clear" w:color="auto" w:fill="CCCCCC"/>
            <w:vAlign w:val="bottom"/>
          </w:tcPr>
          <w:p w14:paraId="038A025A" w14:textId="77777777" w:rsidR="00B03530" w:rsidRDefault="00B03530" w:rsidP="005D4154">
            <w:pPr>
              <w:pStyle w:val="NotesTable-Notes"/>
            </w:pPr>
          </w:p>
        </w:tc>
        <w:tc>
          <w:tcPr>
            <w:tcW w:w="406" w:type="pct"/>
            <w:shd w:val="clear" w:color="auto" w:fill="CCCCCC"/>
          </w:tcPr>
          <w:p w14:paraId="038A025B" w14:textId="77777777" w:rsidR="00B03530" w:rsidRDefault="00B03530" w:rsidP="00606085">
            <w:pPr>
              <w:pStyle w:val="NotesTable-CellBold"/>
            </w:pPr>
          </w:p>
        </w:tc>
        <w:tc>
          <w:tcPr>
            <w:tcW w:w="406" w:type="pct"/>
            <w:shd w:val="clear" w:color="auto" w:fill="CCCCCC"/>
          </w:tcPr>
          <w:p w14:paraId="038A025C" w14:textId="77777777" w:rsidR="00B03530" w:rsidRDefault="00B03530" w:rsidP="00606085">
            <w:pPr>
              <w:pStyle w:val="NotesTable-CellPlain"/>
            </w:pPr>
          </w:p>
        </w:tc>
        <w:tc>
          <w:tcPr>
            <w:tcW w:w="406" w:type="pct"/>
            <w:shd w:val="clear" w:color="auto" w:fill="CCCCCC"/>
          </w:tcPr>
          <w:p w14:paraId="038A025D" w14:textId="77777777" w:rsidR="00B03530" w:rsidRDefault="00B03530" w:rsidP="00606085">
            <w:pPr>
              <w:pStyle w:val="NotesTable-CellBold"/>
            </w:pPr>
          </w:p>
        </w:tc>
        <w:tc>
          <w:tcPr>
            <w:tcW w:w="406" w:type="pct"/>
            <w:shd w:val="clear" w:color="auto" w:fill="CCCCCC"/>
          </w:tcPr>
          <w:p w14:paraId="038A025E" w14:textId="77777777" w:rsidR="00B03530" w:rsidRDefault="00B03530" w:rsidP="00606085">
            <w:pPr>
              <w:pStyle w:val="NotesTable-CellPlain"/>
            </w:pPr>
          </w:p>
        </w:tc>
      </w:tr>
      <w:tr w:rsidR="00244123" w14:paraId="038A0262" w14:textId="77777777" w:rsidTr="004C4AAA">
        <w:trPr>
          <w:cantSplit/>
          <w:trHeight w:hRule="exact" w:val="227"/>
        </w:trPr>
        <w:tc>
          <w:tcPr>
            <w:tcW w:w="810" w:type="pct"/>
          </w:tcPr>
          <w:p w14:paraId="038A0260" w14:textId="77777777" w:rsidR="00244123" w:rsidRDefault="00244123" w:rsidP="00D11709">
            <w:pPr>
              <w:pStyle w:val="Note-Refs"/>
            </w:pPr>
          </w:p>
        </w:tc>
        <w:tc>
          <w:tcPr>
            <w:tcW w:w="4190" w:type="pct"/>
            <w:gridSpan w:val="6"/>
            <w:shd w:val="clear" w:color="auto" w:fill="CCCCCC"/>
          </w:tcPr>
          <w:p w14:paraId="038A0261" w14:textId="77777777" w:rsidR="00244123" w:rsidRDefault="00244123">
            <w:pPr>
              <w:pStyle w:val="NotesTable-ItemPlain"/>
            </w:pPr>
          </w:p>
        </w:tc>
      </w:tr>
      <w:tr w:rsidR="00B03530" w14:paraId="038A0265" w14:textId="77777777" w:rsidTr="004C4AAA">
        <w:trPr>
          <w:cantSplit/>
          <w:trHeight w:hRule="exact" w:val="227"/>
        </w:trPr>
        <w:tc>
          <w:tcPr>
            <w:tcW w:w="810" w:type="pct"/>
          </w:tcPr>
          <w:p w14:paraId="038A0263" w14:textId="77777777" w:rsidR="00B03530" w:rsidRDefault="00B03530" w:rsidP="00D11709">
            <w:pPr>
              <w:pStyle w:val="Note-Refs"/>
            </w:pPr>
          </w:p>
        </w:tc>
        <w:tc>
          <w:tcPr>
            <w:tcW w:w="4190" w:type="pct"/>
            <w:gridSpan w:val="6"/>
            <w:shd w:val="clear" w:color="auto" w:fill="CCCCCC"/>
            <w:vAlign w:val="center"/>
          </w:tcPr>
          <w:p w14:paraId="038A0264" w14:textId="72F3223D" w:rsidR="00B83F60" w:rsidRPr="00695024" w:rsidRDefault="00B03530" w:rsidP="00D11709">
            <w:pPr>
              <w:pStyle w:val="NotesTable-ItemPlain"/>
            </w:pPr>
            <w:r w:rsidRPr="00695024">
              <w:t xml:space="preserve">The above </w:t>
            </w:r>
            <w:r w:rsidR="007A534E" w:rsidRPr="000C7188">
              <w:t>statement</w:t>
            </w:r>
            <w:r w:rsidR="007A534E">
              <w:t xml:space="preserve"> of financial position</w:t>
            </w:r>
            <w:r w:rsidRPr="00695024">
              <w:t xml:space="preserve"> should be read in conjunction with the accompanying notes.</w:t>
            </w:r>
          </w:p>
        </w:tc>
      </w:tr>
    </w:tbl>
    <w:p w14:paraId="2BEBB8BB" w14:textId="57AE6FBC" w:rsidR="00154EB5" w:rsidRPr="000B02BD" w:rsidRDefault="00154EB5" w:rsidP="000B02BD"/>
    <w:p w14:paraId="6C9DFA6A" w14:textId="45EEA407" w:rsidR="00154EB5" w:rsidRPr="00AD14D6" w:rsidRDefault="00154EB5" w:rsidP="001A5D4A">
      <w:pPr>
        <w:pStyle w:val="Heading2"/>
        <w:rPr>
          <w:color w:val="2D3E7B" w:themeColor="text2" w:themeShade="BF"/>
        </w:rPr>
      </w:pPr>
      <w:bookmarkStart w:id="189" w:name="_Toc410807597"/>
      <w:bookmarkStart w:id="190" w:name="_Toc410822647"/>
      <w:bookmarkStart w:id="191" w:name="_Toc410823806"/>
      <w:bookmarkStart w:id="192" w:name="_Toc410825042"/>
      <w:bookmarkStart w:id="193" w:name="_Toc410825192"/>
      <w:r w:rsidRPr="00AD14D6">
        <w:rPr>
          <w:color w:val="2D3E7B" w:themeColor="text2" w:themeShade="BF"/>
        </w:rPr>
        <w:t>Commentary - Statement of financial position</w:t>
      </w:r>
      <w:bookmarkEnd w:id="189"/>
      <w:bookmarkEnd w:id="190"/>
      <w:bookmarkEnd w:id="191"/>
      <w:bookmarkEnd w:id="192"/>
      <w:bookmarkEnd w:id="193"/>
    </w:p>
    <w:p w14:paraId="7D062678" w14:textId="77777777" w:rsidR="00154EB5" w:rsidRPr="00AD14D6" w:rsidRDefault="00154EB5" w:rsidP="001A5D4A">
      <w:pPr>
        <w:pStyle w:val="Heading3"/>
        <w:rPr>
          <w:color w:val="2D3E7B" w:themeColor="text2" w:themeShade="BF"/>
        </w:rPr>
      </w:pPr>
      <w:r w:rsidRPr="00AD14D6">
        <w:rPr>
          <w:color w:val="2D3E7B" w:themeColor="text2" w:themeShade="BF"/>
        </w:rPr>
        <w:t>Accounting standard for the statement of financial position</w:t>
      </w:r>
    </w:p>
    <w:p w14:paraId="6FFED4A8" w14:textId="77777777" w:rsidR="00154EB5" w:rsidRPr="00AD14D6" w:rsidRDefault="00154EB5" w:rsidP="009304CF">
      <w:pPr>
        <w:pStyle w:val="Heading6"/>
      </w:pPr>
      <w:r w:rsidRPr="00AD14D6">
        <w:t>AASB101.Aus1.1</w:t>
      </w:r>
    </w:p>
    <w:p w14:paraId="1E313608" w14:textId="77777777" w:rsidR="00154EB5" w:rsidRPr="00AD14D6" w:rsidRDefault="00154EB5" w:rsidP="001A5D4A">
      <w:pPr>
        <w:rPr>
          <w:color w:val="2D3E7B" w:themeColor="text2" w:themeShade="BF"/>
          <w:szCs w:val="22"/>
        </w:rPr>
      </w:pPr>
      <w:r w:rsidRPr="00AD14D6">
        <w:rPr>
          <w:color w:val="2D3E7B" w:themeColor="text2" w:themeShade="BF"/>
          <w:szCs w:val="22"/>
        </w:rPr>
        <w:t>Requirements for the statement of financial position are set out in AASB101</w:t>
      </w:r>
      <w:r w:rsidRPr="00FF2B14">
        <w:rPr>
          <w:i/>
          <w:color w:val="2D3E7B" w:themeColor="text2" w:themeShade="BF"/>
          <w:szCs w:val="22"/>
        </w:rPr>
        <w:t xml:space="preserve"> Presentation of Financial Statements</w:t>
      </w:r>
      <w:r w:rsidRPr="00AD14D6">
        <w:rPr>
          <w:color w:val="2D3E7B" w:themeColor="text2" w:themeShade="BF"/>
          <w:szCs w:val="22"/>
        </w:rPr>
        <w:t xml:space="preserve">. The standard applies to each entity that is required to prepare financial reports in accordance with Part 2M.3 of the </w:t>
      </w:r>
      <w:r w:rsidRPr="00FF2B14">
        <w:rPr>
          <w:i/>
          <w:color w:val="2D3E7B" w:themeColor="text2" w:themeShade="BF"/>
          <w:szCs w:val="22"/>
        </w:rPr>
        <w:t>Corporations Act 2001</w:t>
      </w:r>
      <w:r w:rsidRPr="00AD14D6">
        <w:rPr>
          <w:color w:val="2D3E7B" w:themeColor="text2" w:themeShade="BF"/>
          <w:szCs w:val="22"/>
        </w:rPr>
        <w:t xml:space="preserve">, general purpose financial reports of each reporting entity, and to financial reports that are, or are held out to be, general purpose financial reports. </w:t>
      </w:r>
    </w:p>
    <w:p w14:paraId="224ECC81" w14:textId="77777777" w:rsidR="00154EB5" w:rsidRPr="00AD14D6" w:rsidRDefault="00154EB5" w:rsidP="001A5D4A">
      <w:pPr>
        <w:pStyle w:val="Heading3"/>
        <w:rPr>
          <w:color w:val="2D3E7B" w:themeColor="text2" w:themeShade="BF"/>
        </w:rPr>
      </w:pPr>
      <w:r w:rsidRPr="00AD14D6">
        <w:rPr>
          <w:color w:val="2D3E7B" w:themeColor="text2" w:themeShade="BF"/>
        </w:rPr>
        <w:t>Information to be presented</w:t>
      </w:r>
    </w:p>
    <w:p w14:paraId="0863EF67" w14:textId="77777777"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On the face of the statement of financial position</w:t>
      </w:r>
    </w:p>
    <w:p w14:paraId="7CE3F2BE" w14:textId="77777777" w:rsidR="00154EB5" w:rsidRPr="00AD14D6" w:rsidRDefault="00154EB5" w:rsidP="009304CF">
      <w:pPr>
        <w:pStyle w:val="Heading6"/>
      </w:pPr>
      <w:r w:rsidRPr="00AD14D6">
        <w:t>AASB101.54</w:t>
      </w:r>
      <w:proofErr w:type="gramStart"/>
      <w:r w:rsidRPr="00AD14D6">
        <w:t>,55</w:t>
      </w:r>
      <w:proofErr w:type="gramEnd"/>
    </w:p>
    <w:p w14:paraId="4FE4694B" w14:textId="77777777" w:rsidR="00154EB5" w:rsidRPr="00AD14D6" w:rsidRDefault="00154EB5" w:rsidP="001A5D4A">
      <w:pPr>
        <w:rPr>
          <w:color w:val="2D3E7B" w:themeColor="text2" w:themeShade="BF"/>
          <w:szCs w:val="22"/>
        </w:rPr>
      </w:pPr>
      <w:proofErr w:type="gramStart"/>
      <w:r w:rsidRPr="00AD14D6">
        <w:rPr>
          <w:color w:val="2D3E7B" w:themeColor="text2" w:themeShade="BF"/>
          <w:szCs w:val="22"/>
        </w:rPr>
        <w:t>Paragraph 54 of AASB101 sets out the line items that shall, as a minimum, be presented on the face of the statement of financial position.</w:t>
      </w:r>
      <w:proofErr w:type="gramEnd"/>
      <w:r w:rsidRPr="00AD14D6">
        <w:rPr>
          <w:color w:val="2D3E7B" w:themeColor="text2" w:themeShade="BF"/>
          <w:szCs w:val="22"/>
        </w:rPr>
        <w:t xml:space="preserve"> Additional line items, headings and subtotals shall be presented on the face of the statement of financial position when such presentation is relevant to an understanding of the entity’s financial position. The following specific line items are only required to be disclosed on the face of the statement of financial position, where appropriate to the HEP:</w:t>
      </w:r>
    </w:p>
    <w:p w14:paraId="3BF5C88F" w14:textId="1D923B5D" w:rsidR="00154EB5" w:rsidRPr="00AD14D6" w:rsidRDefault="00154EB5" w:rsidP="008E1D9C">
      <w:pPr>
        <w:pStyle w:val="ListParagraph"/>
        <w:numPr>
          <w:ilvl w:val="0"/>
          <w:numId w:val="17"/>
        </w:numPr>
        <w:ind w:left="340" w:hanging="340"/>
        <w:rPr>
          <w:color w:val="2D3E7B" w:themeColor="text2" w:themeShade="BF"/>
          <w:szCs w:val="22"/>
        </w:rPr>
      </w:pPr>
      <w:r w:rsidRPr="00AD14D6">
        <w:rPr>
          <w:color w:val="2D3E7B" w:themeColor="text2" w:themeShade="BF"/>
          <w:szCs w:val="22"/>
        </w:rPr>
        <w:t>Current tax assets;</w:t>
      </w:r>
    </w:p>
    <w:p w14:paraId="4AD9CBF0" w14:textId="7B5BA4E5" w:rsidR="00154EB5" w:rsidRPr="00AD14D6" w:rsidRDefault="00154EB5" w:rsidP="008E1D9C">
      <w:pPr>
        <w:pStyle w:val="ListParagraph"/>
        <w:numPr>
          <w:ilvl w:val="0"/>
          <w:numId w:val="17"/>
        </w:numPr>
        <w:ind w:left="340" w:hanging="340"/>
        <w:rPr>
          <w:color w:val="2D3E7B" w:themeColor="text2" w:themeShade="BF"/>
          <w:szCs w:val="22"/>
        </w:rPr>
      </w:pPr>
      <w:r w:rsidRPr="00AD14D6">
        <w:rPr>
          <w:color w:val="2D3E7B" w:themeColor="text2" w:themeShade="BF"/>
          <w:szCs w:val="22"/>
        </w:rPr>
        <w:t>Deferred tax assets;</w:t>
      </w:r>
    </w:p>
    <w:p w14:paraId="4072A56C" w14:textId="04BC3D6C" w:rsidR="00154EB5" w:rsidRPr="00AD14D6" w:rsidRDefault="00154EB5" w:rsidP="008E1D9C">
      <w:pPr>
        <w:pStyle w:val="ListParagraph"/>
        <w:numPr>
          <w:ilvl w:val="0"/>
          <w:numId w:val="17"/>
        </w:numPr>
        <w:ind w:left="340" w:hanging="340"/>
        <w:rPr>
          <w:color w:val="2D3E7B" w:themeColor="text2" w:themeShade="BF"/>
          <w:szCs w:val="22"/>
        </w:rPr>
      </w:pPr>
      <w:r w:rsidRPr="00AD14D6">
        <w:rPr>
          <w:color w:val="2D3E7B" w:themeColor="text2" w:themeShade="BF"/>
          <w:szCs w:val="22"/>
        </w:rPr>
        <w:t>Investment property;</w:t>
      </w:r>
    </w:p>
    <w:p w14:paraId="1AF4D187" w14:textId="5E1B7C93" w:rsidR="00154EB5" w:rsidRPr="00AD14D6" w:rsidRDefault="00154EB5" w:rsidP="008E1D9C">
      <w:pPr>
        <w:pStyle w:val="ListParagraph"/>
        <w:numPr>
          <w:ilvl w:val="0"/>
          <w:numId w:val="17"/>
        </w:numPr>
        <w:ind w:left="340" w:hanging="340"/>
        <w:rPr>
          <w:color w:val="2D3E7B" w:themeColor="text2" w:themeShade="BF"/>
          <w:szCs w:val="22"/>
        </w:rPr>
      </w:pPr>
      <w:r w:rsidRPr="00AD14D6">
        <w:rPr>
          <w:color w:val="2D3E7B" w:themeColor="text2" w:themeShade="BF"/>
          <w:szCs w:val="22"/>
        </w:rPr>
        <w:t xml:space="preserve">Current tax liabilities; and </w:t>
      </w:r>
    </w:p>
    <w:p w14:paraId="332F3520" w14:textId="179B9942" w:rsidR="00154EB5" w:rsidRPr="00AD14D6" w:rsidRDefault="00154EB5" w:rsidP="008E1D9C">
      <w:pPr>
        <w:pStyle w:val="ListParagraph"/>
        <w:numPr>
          <w:ilvl w:val="0"/>
          <w:numId w:val="17"/>
        </w:numPr>
        <w:ind w:left="340" w:hanging="340"/>
        <w:rPr>
          <w:color w:val="2D3E7B" w:themeColor="text2" w:themeShade="BF"/>
          <w:szCs w:val="22"/>
        </w:rPr>
      </w:pPr>
      <w:r w:rsidRPr="00AD14D6">
        <w:rPr>
          <w:color w:val="2D3E7B" w:themeColor="text2" w:themeShade="BF"/>
          <w:szCs w:val="22"/>
        </w:rPr>
        <w:t>Deferred tax liabilities</w:t>
      </w:r>
    </w:p>
    <w:p w14:paraId="3E05206C" w14:textId="77777777"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Either on the face of the statement of financial position or in the notes</w:t>
      </w:r>
    </w:p>
    <w:p w14:paraId="65B9A720" w14:textId="77777777" w:rsidR="00154EB5" w:rsidRPr="00AD14D6" w:rsidRDefault="00154EB5" w:rsidP="009304CF">
      <w:pPr>
        <w:pStyle w:val="Heading6"/>
      </w:pPr>
      <w:r w:rsidRPr="00AD14D6">
        <w:t>AASB101.77</w:t>
      </w:r>
      <w:proofErr w:type="gramStart"/>
      <w:r w:rsidRPr="00AD14D6">
        <w:t>,78</w:t>
      </w:r>
      <w:proofErr w:type="gramEnd"/>
    </w:p>
    <w:p w14:paraId="792C7157" w14:textId="77777777" w:rsidR="00154EB5" w:rsidRPr="00AF68BD" w:rsidRDefault="00154EB5" w:rsidP="001A5D4A">
      <w:pPr>
        <w:rPr>
          <w:color w:val="2D3E7B" w:themeColor="text2" w:themeShade="BF"/>
          <w:szCs w:val="22"/>
        </w:rPr>
      </w:pPr>
      <w:r w:rsidRPr="00AD14D6">
        <w:rPr>
          <w:color w:val="2D3E7B" w:themeColor="text2" w:themeShade="BF"/>
          <w:szCs w:val="22"/>
        </w:rPr>
        <w:t>An entity shall disclose, either on the face of the statement of financial position or in the notes, further sub</w:t>
      </w:r>
      <w:r w:rsidRPr="00AD14D6">
        <w:rPr>
          <w:color w:val="2D3E7B" w:themeColor="text2" w:themeShade="BF"/>
          <w:szCs w:val="22"/>
        </w:rPr>
        <w:noBreakHyphen/>
        <w:t>classifications of the line items presented, classified in a manner appropriate to the entity’s operations. The detail provided in sub</w:t>
      </w:r>
      <w:r w:rsidRPr="00AD14D6">
        <w:rPr>
          <w:color w:val="2D3E7B" w:themeColor="text2" w:themeShade="BF"/>
          <w:szCs w:val="22"/>
        </w:rPr>
        <w:noBreakHyphen/>
        <w:t>classifications depends on the requirements of Australian Accounting Standards and on the size, nature and function of the amou</w:t>
      </w:r>
      <w:r w:rsidRPr="00AF68BD">
        <w:rPr>
          <w:color w:val="2D3E7B" w:themeColor="text2" w:themeShade="BF"/>
          <w:szCs w:val="22"/>
        </w:rPr>
        <w:t>nts involved.</w:t>
      </w:r>
    </w:p>
    <w:p w14:paraId="7D8F252D" w14:textId="73CE72DD"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lastRenderedPageBreak/>
        <w:t>Third comparative statement of financial position</w:t>
      </w:r>
    </w:p>
    <w:p w14:paraId="77921D57" w14:textId="77777777" w:rsidR="00154EB5" w:rsidRPr="00AD14D6" w:rsidRDefault="00154EB5" w:rsidP="009304CF">
      <w:pPr>
        <w:pStyle w:val="Heading6"/>
      </w:pPr>
      <w:r w:rsidRPr="00AD14D6">
        <w:t>AASB101.40A</w:t>
      </w:r>
    </w:p>
    <w:p w14:paraId="3B7C8552" w14:textId="77777777" w:rsidR="00154EB5" w:rsidRPr="00AD14D6" w:rsidRDefault="00154EB5" w:rsidP="001A5D4A">
      <w:pPr>
        <w:rPr>
          <w:color w:val="2D3E7B" w:themeColor="text2" w:themeShade="BF"/>
          <w:szCs w:val="22"/>
        </w:rPr>
      </w:pPr>
      <w:r w:rsidRPr="00AD14D6">
        <w:rPr>
          <w:color w:val="2D3E7B" w:themeColor="text2" w:themeShade="BF"/>
          <w:szCs w:val="22"/>
        </w:rPr>
        <w:t>When an entity applies an accounting policy retrospectively or makes a retrospective restatement of items in its financial statements or when it reclassifies items in its financial statements, it shall present, as a minimum, three statements of financial position. The third statement of financial position is the position as at the beginning of the earliest comparative period and should be included with the other statements of financial position.</w:t>
      </w:r>
    </w:p>
    <w:p w14:paraId="53AE547A" w14:textId="77777777" w:rsidR="00154EB5" w:rsidRPr="00AD14D6" w:rsidRDefault="00154EB5" w:rsidP="001A5D4A">
      <w:pPr>
        <w:pStyle w:val="Heading3"/>
        <w:rPr>
          <w:color w:val="2D3E7B" w:themeColor="text2" w:themeShade="BF"/>
        </w:rPr>
      </w:pPr>
      <w:r w:rsidRPr="00AD14D6">
        <w:rPr>
          <w:color w:val="2D3E7B" w:themeColor="text2" w:themeShade="BF"/>
        </w:rPr>
        <w:t xml:space="preserve">Presentation </w:t>
      </w:r>
    </w:p>
    <w:p w14:paraId="299FB591" w14:textId="77777777"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Current/Non</w:t>
      </w:r>
      <w:r w:rsidRPr="00AD14D6">
        <w:rPr>
          <w:color w:val="2D3E7B" w:themeColor="text2" w:themeShade="BF"/>
          <w14:textFill>
            <w14:solidFill>
              <w14:schemeClr w14:val="tx2">
                <w14:lumMod w14:val="75000"/>
                <w14:lumMod w14:val="75000"/>
              </w14:schemeClr>
            </w14:solidFill>
          </w14:textFill>
        </w:rPr>
        <w:noBreakHyphen/>
        <w:t>current distinction</w:t>
      </w:r>
    </w:p>
    <w:p w14:paraId="6F054361" w14:textId="77777777" w:rsidR="00154EB5" w:rsidRPr="00AD14D6" w:rsidRDefault="00154EB5" w:rsidP="009304CF">
      <w:pPr>
        <w:pStyle w:val="Heading6"/>
      </w:pPr>
      <w:r w:rsidRPr="00AD14D6">
        <w:t>AASB101.60</w:t>
      </w:r>
    </w:p>
    <w:p w14:paraId="37F6D9EC" w14:textId="77777777" w:rsidR="00154EB5" w:rsidRPr="00AD14D6" w:rsidRDefault="00154EB5" w:rsidP="001A5D4A">
      <w:pPr>
        <w:rPr>
          <w:color w:val="2D3E7B" w:themeColor="text2" w:themeShade="BF"/>
          <w:szCs w:val="22"/>
        </w:rPr>
      </w:pPr>
      <w:r w:rsidRPr="00AD14D6">
        <w:rPr>
          <w:color w:val="2D3E7B" w:themeColor="text2" w:themeShade="BF"/>
          <w:szCs w:val="22"/>
        </w:rPr>
        <w:t>An entity shall present current and non</w:t>
      </w:r>
      <w:r w:rsidRPr="00AD14D6">
        <w:rPr>
          <w:color w:val="2D3E7B" w:themeColor="text2" w:themeShade="BF"/>
          <w:szCs w:val="22"/>
        </w:rPr>
        <w:noBreakHyphen/>
        <w:t>current assets, and current and non</w:t>
      </w:r>
      <w:r w:rsidRPr="00AD14D6">
        <w:rPr>
          <w:color w:val="2D3E7B" w:themeColor="text2" w:themeShade="BF"/>
          <w:szCs w:val="22"/>
        </w:rPr>
        <w:noBreakHyphen/>
        <w:t>current liabilities, as separate classifications on the face of its statement of financial position except when a presentation based on liquidity provides information that is reliable and is more relevant. When that exception applies, all assets and liabilities shall be presented broadly in order of liquidity.</w:t>
      </w:r>
    </w:p>
    <w:p w14:paraId="778BA42A" w14:textId="77777777" w:rsidR="00154EB5" w:rsidRPr="00AD14D6" w:rsidRDefault="00154EB5" w:rsidP="009304CF">
      <w:pPr>
        <w:pStyle w:val="Heading6"/>
      </w:pPr>
      <w:r w:rsidRPr="00AD14D6">
        <w:t>AASB101.61</w:t>
      </w:r>
    </w:p>
    <w:p w14:paraId="4325D0D9" w14:textId="77777777" w:rsidR="00154EB5" w:rsidRPr="00AD14D6" w:rsidRDefault="00154EB5" w:rsidP="001A5D4A">
      <w:pPr>
        <w:rPr>
          <w:color w:val="2D3E7B" w:themeColor="text2" w:themeShade="BF"/>
          <w:szCs w:val="22"/>
        </w:rPr>
      </w:pPr>
      <w:r w:rsidRPr="00AD14D6">
        <w:rPr>
          <w:color w:val="2D3E7B" w:themeColor="text2" w:themeShade="BF"/>
          <w:szCs w:val="22"/>
        </w:rPr>
        <w:t>Whichever method of presentation is adopted, for each asset and liability line item that combines amounts expected to be recovered or settled (a) no more than twelve months after the reporting date, and (b) more than twelve months after the reporting date, an entity shall disclose the amount expected to be recovered or settled after more than twelve months.</w:t>
      </w:r>
    </w:p>
    <w:p w14:paraId="6F9FB15D" w14:textId="77777777" w:rsidR="00154EB5" w:rsidRPr="00AD14D6" w:rsidRDefault="00154EB5" w:rsidP="009304CF">
      <w:pPr>
        <w:pStyle w:val="Heading6"/>
      </w:pPr>
      <w:r w:rsidRPr="00AD14D6">
        <w:t>AASB101.70</w:t>
      </w:r>
    </w:p>
    <w:p w14:paraId="5C642B14" w14:textId="77777777" w:rsidR="00154EB5" w:rsidRPr="00AD14D6" w:rsidRDefault="00154EB5" w:rsidP="001A5D4A">
      <w:pPr>
        <w:rPr>
          <w:color w:val="2D3E7B" w:themeColor="text2" w:themeShade="BF"/>
          <w:szCs w:val="22"/>
        </w:rPr>
      </w:pPr>
      <w:r w:rsidRPr="00AD14D6">
        <w:rPr>
          <w:color w:val="2D3E7B" w:themeColor="text2" w:themeShade="BF"/>
          <w:szCs w:val="22"/>
        </w:rPr>
        <w:t xml:space="preserve">Current assets include assets (such as inventories and trade receivables) that are sold, consumed or realised as part of the normal operating cycle even when they are not expected to be realised within twelve months after the reporting date. Similarly, some current liabilities, such as trade payables and some accruals for employee and other operating costs, are part of the working capital used in the entity’s normal operating cycle. Such operating items are classified as current liabilities even if they are due to </w:t>
      </w:r>
      <w:proofErr w:type="gramStart"/>
      <w:r w:rsidRPr="00AD14D6">
        <w:rPr>
          <w:color w:val="2D3E7B" w:themeColor="text2" w:themeShade="BF"/>
          <w:szCs w:val="22"/>
        </w:rPr>
        <w:t>be</w:t>
      </w:r>
      <w:proofErr w:type="gramEnd"/>
      <w:r w:rsidRPr="00AD14D6">
        <w:rPr>
          <w:color w:val="2D3E7B" w:themeColor="text2" w:themeShade="BF"/>
          <w:szCs w:val="22"/>
        </w:rPr>
        <w:t xml:space="preserve"> settled more than twelve months after the reporting date.</w:t>
      </w:r>
    </w:p>
    <w:p w14:paraId="08AAD310" w14:textId="36F2480A"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Consistency</w:t>
      </w:r>
    </w:p>
    <w:p w14:paraId="1C6FC098" w14:textId="77777777" w:rsidR="00154EB5" w:rsidRPr="00AD14D6" w:rsidRDefault="00154EB5" w:rsidP="009304CF">
      <w:pPr>
        <w:pStyle w:val="Heading6"/>
      </w:pPr>
      <w:r w:rsidRPr="00AD14D6">
        <w:t>AASB101.45</w:t>
      </w:r>
    </w:p>
    <w:p w14:paraId="063C35B2" w14:textId="77777777" w:rsidR="00154EB5" w:rsidRPr="00AD14D6" w:rsidRDefault="00154EB5" w:rsidP="001A5D4A">
      <w:pPr>
        <w:rPr>
          <w:color w:val="2D3E7B" w:themeColor="text2" w:themeShade="BF"/>
          <w:szCs w:val="22"/>
        </w:rPr>
      </w:pPr>
      <w:r w:rsidRPr="00AD14D6">
        <w:rPr>
          <w:color w:val="2D3E7B" w:themeColor="text2" w:themeShade="BF"/>
          <w:szCs w:val="22"/>
        </w:rPr>
        <w:t>The presentation and classification of items in the financial report shall be retained from one period to the next unless:</w:t>
      </w:r>
    </w:p>
    <w:p w14:paraId="3666A866" w14:textId="776756D3" w:rsidR="00154EB5" w:rsidRPr="00AD14D6" w:rsidRDefault="00154EB5" w:rsidP="008E1D9C">
      <w:pPr>
        <w:pStyle w:val="ListParagraph"/>
        <w:numPr>
          <w:ilvl w:val="0"/>
          <w:numId w:val="18"/>
        </w:numPr>
        <w:ind w:left="340" w:hanging="340"/>
        <w:rPr>
          <w:color w:val="2D3E7B" w:themeColor="text2" w:themeShade="BF"/>
          <w:szCs w:val="22"/>
        </w:rPr>
      </w:pPr>
      <w:r w:rsidRPr="00AD14D6">
        <w:rPr>
          <w:color w:val="2D3E7B" w:themeColor="text2" w:themeShade="BF"/>
          <w:szCs w:val="22"/>
        </w:rPr>
        <w:t xml:space="preserve">it is apparent, following a significant change in the nature of the entity’s operations or a review of its financial report, that another presentation or classification would be more appropriate having regard to the criteria for the selection and application of accounting policies in AASB108 </w:t>
      </w:r>
      <w:r w:rsidRPr="002312D2">
        <w:rPr>
          <w:i/>
          <w:color w:val="2D3E7B" w:themeColor="text2" w:themeShade="BF"/>
          <w:szCs w:val="22"/>
        </w:rPr>
        <w:t xml:space="preserve">Accounting Policies, Changes in Accounting Estimates and Errors; </w:t>
      </w:r>
      <w:r w:rsidRPr="00AD14D6">
        <w:rPr>
          <w:color w:val="2D3E7B" w:themeColor="text2" w:themeShade="BF"/>
          <w:szCs w:val="22"/>
        </w:rPr>
        <w:t>or</w:t>
      </w:r>
    </w:p>
    <w:p w14:paraId="78C2341F" w14:textId="3F2CB436" w:rsidR="00154EB5" w:rsidRPr="00AD14D6" w:rsidRDefault="00154EB5" w:rsidP="008E1D9C">
      <w:pPr>
        <w:pStyle w:val="ListParagraph"/>
        <w:numPr>
          <w:ilvl w:val="0"/>
          <w:numId w:val="18"/>
        </w:numPr>
        <w:ind w:left="340" w:hanging="340"/>
        <w:rPr>
          <w:color w:val="2D3E7B" w:themeColor="text2" w:themeShade="BF"/>
          <w:szCs w:val="22"/>
        </w:rPr>
      </w:pPr>
      <w:proofErr w:type="gramStart"/>
      <w:r w:rsidRPr="00AD14D6">
        <w:rPr>
          <w:color w:val="2D3E7B" w:themeColor="text2" w:themeShade="BF"/>
          <w:szCs w:val="22"/>
        </w:rPr>
        <w:t>an</w:t>
      </w:r>
      <w:proofErr w:type="gramEnd"/>
      <w:r w:rsidRPr="00AD14D6">
        <w:rPr>
          <w:color w:val="2D3E7B" w:themeColor="text2" w:themeShade="BF"/>
          <w:szCs w:val="22"/>
        </w:rPr>
        <w:t xml:space="preserve"> Australian Accounting Standard requires a change in presentation.</w:t>
      </w:r>
    </w:p>
    <w:p w14:paraId="0C5869F1" w14:textId="77777777"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Materiality and aggregation</w:t>
      </w:r>
    </w:p>
    <w:p w14:paraId="36E50696" w14:textId="77777777" w:rsidR="00154EB5" w:rsidRPr="00AD14D6" w:rsidRDefault="00154EB5" w:rsidP="009304CF">
      <w:pPr>
        <w:pStyle w:val="Heading6"/>
      </w:pPr>
      <w:r w:rsidRPr="00AD14D6">
        <w:t>AASB101.29</w:t>
      </w:r>
    </w:p>
    <w:p w14:paraId="0B3A7FA3" w14:textId="77777777" w:rsidR="00154EB5" w:rsidRPr="00AD14D6" w:rsidRDefault="00154EB5" w:rsidP="001A5D4A">
      <w:pPr>
        <w:rPr>
          <w:color w:val="2D3E7B" w:themeColor="text2" w:themeShade="BF"/>
          <w:szCs w:val="22"/>
        </w:rPr>
      </w:pPr>
      <w:r w:rsidRPr="00AD14D6">
        <w:rPr>
          <w:color w:val="2D3E7B" w:themeColor="text2" w:themeShade="BF"/>
          <w:szCs w:val="22"/>
        </w:rPr>
        <w:t>Each material class of similar items shall be presented separately in the financial report. Items of a different nature or function shall be presented separately unless they are immaterial.</w:t>
      </w:r>
    </w:p>
    <w:p w14:paraId="540A9FCF" w14:textId="77777777" w:rsidR="00154EB5" w:rsidRPr="00AD14D6" w:rsidRDefault="00154EB5"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Restricted Funds</w:t>
      </w:r>
    </w:p>
    <w:p w14:paraId="70E650B9" w14:textId="5312C3AA" w:rsidR="00154EB5" w:rsidRPr="00154EB5" w:rsidRDefault="00154EB5" w:rsidP="009304CF">
      <w:pPr>
        <w:pStyle w:val="Heading6"/>
      </w:pPr>
      <w:bookmarkStart w:id="194" w:name="OLE_LINK13"/>
      <w:bookmarkStart w:id="195" w:name="OLE_LINK14"/>
      <w:r w:rsidRPr="00154EB5">
        <w:t>Education</w:t>
      </w:r>
    </w:p>
    <w:p w14:paraId="038A02F2" w14:textId="11E93145" w:rsidR="00085982" w:rsidRPr="00AF78E2" w:rsidRDefault="00154EB5" w:rsidP="000B02BD">
      <w:pPr>
        <w:rPr>
          <w:color w:val="2D3E7B" w:themeColor="text2" w:themeShade="BF"/>
        </w:rPr>
        <w:sectPr w:rsidR="00085982" w:rsidRPr="00AF78E2" w:rsidSect="002312D2">
          <w:headerReference w:type="even" r:id="rId24"/>
          <w:headerReference w:type="default" r:id="rId25"/>
          <w:footerReference w:type="even" r:id="rId26"/>
          <w:headerReference w:type="first" r:id="rId27"/>
          <w:footerReference w:type="first" r:id="rId28"/>
          <w:pgSz w:w="11905" w:h="16837"/>
          <w:pgMar w:top="1134" w:right="1077" w:bottom="1134" w:left="1077" w:header="1418" w:footer="680" w:gutter="0"/>
          <w:cols w:space="720"/>
          <w:docGrid w:linePitch="360"/>
        </w:sectPr>
      </w:pPr>
      <w:r w:rsidRPr="00AD14D6">
        <w:rPr>
          <w:color w:val="2D3E7B" w:themeColor="text2" w:themeShade="BF"/>
          <w:szCs w:val="22"/>
        </w:rPr>
        <w:t xml:space="preserve">Where the HEP has funds or assets donated by external parties (including Government) with specific restrictions that result in the funds or asset not meeting the control requirements necessary for recognition as revenue or as an asset and the contribution is of such a nature that there is no offsetting liability for the </w:t>
      </w:r>
      <w:r w:rsidRPr="00AD14D6">
        <w:rPr>
          <w:color w:val="2D3E7B" w:themeColor="text2" w:themeShade="BF"/>
          <w:szCs w:val="22"/>
        </w:rPr>
        <w:lastRenderedPageBreak/>
        <w:t>amount of the contribution, then they should be reflected in the restricted funds. If this is not the case, then the HEP should record a ‘nil’ balance against restricted funds.</w:t>
      </w:r>
      <w:bookmarkEnd w:id="194"/>
      <w:bookmarkEnd w:id="195"/>
      <w:r w:rsidRPr="00AD14D6">
        <w:rPr>
          <w:color w:val="2D3E7B" w:themeColor="text2" w:themeShade="BF"/>
          <w:szCs w:val="22"/>
        </w:rPr>
        <w:t xml:space="preserve"> Generally, the conditions for recognition as an asset and as revenue will be met at the same time</w:t>
      </w:r>
      <w:r w:rsidRPr="00AF78E2">
        <w:rPr>
          <w:color w:val="2D3E7B" w:themeColor="text2" w:themeShade="BF"/>
        </w:rPr>
        <w:t>.</w:t>
      </w:r>
    </w:p>
    <w:p w14:paraId="6729AA8E" w14:textId="77777777" w:rsidR="00F7693F" w:rsidRDefault="00EF7E08" w:rsidP="00F7693F">
      <w:pPr>
        <w:pStyle w:val="Heading1"/>
        <w:spacing w:after="0"/>
      </w:pPr>
      <w:bookmarkStart w:id="196" w:name="_Toc398721461"/>
      <w:bookmarkStart w:id="197" w:name="_Toc398721488"/>
      <w:bookmarkStart w:id="198" w:name="_Toc398721549"/>
      <w:bookmarkStart w:id="199" w:name="_Toc398722000"/>
      <w:bookmarkStart w:id="200" w:name="_Toc398729919"/>
      <w:bookmarkStart w:id="201" w:name="_Toc398731118"/>
      <w:bookmarkStart w:id="202" w:name="_Toc398731406"/>
      <w:bookmarkStart w:id="203" w:name="_Toc406751414"/>
      <w:bookmarkStart w:id="204" w:name="_Toc411854285"/>
      <w:bookmarkStart w:id="205" w:name="_Toc411854318"/>
      <w:bookmarkStart w:id="206" w:name="_Toc410807598"/>
      <w:bookmarkStart w:id="207" w:name="_Toc410822648"/>
      <w:r w:rsidRPr="000B02BD">
        <w:lastRenderedPageBreak/>
        <w:t>Statement of Changes in Equity</w:t>
      </w:r>
      <w:bookmarkEnd w:id="196"/>
      <w:bookmarkEnd w:id="197"/>
      <w:bookmarkEnd w:id="198"/>
      <w:bookmarkEnd w:id="199"/>
      <w:bookmarkEnd w:id="200"/>
      <w:bookmarkEnd w:id="201"/>
      <w:bookmarkEnd w:id="202"/>
      <w:bookmarkEnd w:id="203"/>
      <w:bookmarkEnd w:id="204"/>
      <w:bookmarkEnd w:id="205"/>
    </w:p>
    <w:p w14:paraId="038A02F3" w14:textId="4480FB67" w:rsidR="00EF7E08" w:rsidRPr="001B40AC" w:rsidRDefault="002254C9" w:rsidP="00F7693F">
      <w:pPr>
        <w:rPr>
          <w:sz w:val="28"/>
        </w:rPr>
      </w:pPr>
      <w:proofErr w:type="gramStart"/>
      <w:r w:rsidRPr="00F7693F">
        <w:t>f</w:t>
      </w:r>
      <w:r w:rsidR="00EF7E08" w:rsidRPr="00F7693F">
        <w:t>or</w:t>
      </w:r>
      <w:proofErr w:type="gramEnd"/>
      <w:r w:rsidR="00EF7E08" w:rsidRPr="00F7693F">
        <w:t xml:space="preserve"> the year ended 31 December </w:t>
      </w:r>
      <w:r w:rsidR="006864EC" w:rsidRPr="00F7693F">
        <w:t>2014</w:t>
      </w:r>
      <w:bookmarkEnd w:id="206"/>
      <w:bookmarkEnd w:id="207"/>
    </w:p>
    <w:tbl>
      <w:tblPr>
        <w:tblW w:w="15096" w:type="dxa"/>
        <w:tblLayout w:type="fixed"/>
        <w:tblCellMar>
          <w:left w:w="0" w:type="dxa"/>
          <w:right w:w="0" w:type="dxa"/>
        </w:tblCellMar>
        <w:tblLook w:val="0000" w:firstRow="0" w:lastRow="0" w:firstColumn="0" w:lastColumn="0" w:noHBand="0" w:noVBand="0"/>
      </w:tblPr>
      <w:tblGrid>
        <w:gridCol w:w="1608"/>
        <w:gridCol w:w="2886"/>
        <w:gridCol w:w="1024"/>
        <w:gridCol w:w="1025"/>
        <w:gridCol w:w="1024"/>
        <w:gridCol w:w="1025"/>
        <w:gridCol w:w="1025"/>
        <w:gridCol w:w="1025"/>
        <w:gridCol w:w="9"/>
        <w:gridCol w:w="331"/>
        <w:gridCol w:w="1026"/>
        <w:gridCol w:w="1031"/>
        <w:gridCol w:w="1026"/>
        <w:gridCol w:w="1031"/>
      </w:tblGrid>
      <w:tr w:rsidR="0048237E" w14:paraId="7DA1AD85" w14:textId="77777777" w:rsidTr="00695024">
        <w:trPr>
          <w:cantSplit/>
          <w:trHeight w:hRule="exact" w:val="204"/>
        </w:trPr>
        <w:tc>
          <w:tcPr>
            <w:tcW w:w="1608" w:type="dxa"/>
          </w:tcPr>
          <w:p w14:paraId="4B182567" w14:textId="77777777" w:rsidR="0048237E" w:rsidRDefault="0048237E" w:rsidP="00D11709">
            <w:pPr>
              <w:pStyle w:val="Note-Refs"/>
            </w:pPr>
          </w:p>
        </w:tc>
        <w:tc>
          <w:tcPr>
            <w:tcW w:w="2886" w:type="dxa"/>
            <w:shd w:val="clear" w:color="auto" w:fill="CCCCCC"/>
            <w:vAlign w:val="center"/>
          </w:tcPr>
          <w:p w14:paraId="785FB3E3" w14:textId="77777777" w:rsidR="0048237E" w:rsidRPr="00844A98" w:rsidRDefault="0048237E">
            <w:pPr>
              <w:pStyle w:val="NotesTable-ItemPlain"/>
            </w:pPr>
          </w:p>
        </w:tc>
        <w:tc>
          <w:tcPr>
            <w:tcW w:w="6157" w:type="dxa"/>
            <w:gridSpan w:val="7"/>
            <w:shd w:val="clear" w:color="auto" w:fill="CCCCCC"/>
          </w:tcPr>
          <w:p w14:paraId="0A84F2A5" w14:textId="77777777" w:rsidR="0048237E" w:rsidRPr="002E53A8" w:rsidRDefault="0048237E" w:rsidP="001420DF">
            <w:pPr>
              <w:pStyle w:val="NotesTable-HeadPlain"/>
            </w:pPr>
          </w:p>
        </w:tc>
        <w:tc>
          <w:tcPr>
            <w:tcW w:w="4445" w:type="dxa"/>
            <w:gridSpan w:val="5"/>
            <w:shd w:val="clear" w:color="auto" w:fill="CCCCCC"/>
          </w:tcPr>
          <w:p w14:paraId="295D5C10" w14:textId="77777777" w:rsidR="0048237E" w:rsidRPr="002E53A8" w:rsidRDefault="0048237E" w:rsidP="00C54AC3">
            <w:pPr>
              <w:pStyle w:val="NotesTable-HeadPlain"/>
            </w:pPr>
          </w:p>
        </w:tc>
      </w:tr>
      <w:tr w:rsidR="005E3D34" w14:paraId="038A02F8" w14:textId="77777777" w:rsidTr="00695024">
        <w:trPr>
          <w:cantSplit/>
          <w:trHeight w:hRule="exact" w:val="204"/>
        </w:trPr>
        <w:tc>
          <w:tcPr>
            <w:tcW w:w="1608" w:type="dxa"/>
          </w:tcPr>
          <w:p w14:paraId="038A02F4" w14:textId="31DF3AE4" w:rsidR="00940434" w:rsidRDefault="00940434" w:rsidP="00D11709">
            <w:pPr>
              <w:pStyle w:val="Note-Refs"/>
            </w:pPr>
          </w:p>
        </w:tc>
        <w:tc>
          <w:tcPr>
            <w:tcW w:w="2886" w:type="dxa"/>
            <w:shd w:val="clear" w:color="auto" w:fill="CCCCCC"/>
            <w:vAlign w:val="center"/>
          </w:tcPr>
          <w:p w14:paraId="038A02F5" w14:textId="77777777" w:rsidR="00940434" w:rsidRPr="00844A98" w:rsidRDefault="00940434">
            <w:pPr>
              <w:pStyle w:val="NotesTable-ItemPlain"/>
            </w:pPr>
          </w:p>
        </w:tc>
        <w:tc>
          <w:tcPr>
            <w:tcW w:w="6157" w:type="dxa"/>
            <w:gridSpan w:val="7"/>
            <w:shd w:val="clear" w:color="auto" w:fill="CCCCCC"/>
          </w:tcPr>
          <w:p w14:paraId="038A02F6" w14:textId="77777777" w:rsidR="00940434" w:rsidRPr="001B40AC" w:rsidRDefault="00940434" w:rsidP="001420DF">
            <w:pPr>
              <w:pStyle w:val="NotesTable-HeadPlain"/>
            </w:pPr>
            <w:r w:rsidRPr="002E53A8">
              <w:t>Consolidated</w:t>
            </w:r>
          </w:p>
        </w:tc>
        <w:tc>
          <w:tcPr>
            <w:tcW w:w="4445" w:type="dxa"/>
            <w:gridSpan w:val="5"/>
            <w:shd w:val="clear" w:color="auto" w:fill="CCCCCC"/>
          </w:tcPr>
          <w:p w14:paraId="038A02F7" w14:textId="77777777" w:rsidR="00940434" w:rsidRPr="001B40AC" w:rsidDel="00FA235F" w:rsidRDefault="00940434" w:rsidP="00C54AC3">
            <w:pPr>
              <w:pStyle w:val="NotesTable-HeadPlain"/>
            </w:pPr>
            <w:r w:rsidRPr="002E53A8">
              <w:t>Parent entity</w:t>
            </w:r>
          </w:p>
        </w:tc>
      </w:tr>
      <w:tr w:rsidR="005E3D34" w14:paraId="038A0307" w14:textId="77777777" w:rsidTr="00695024">
        <w:trPr>
          <w:cantSplit/>
          <w:trHeight w:val="227"/>
        </w:trPr>
        <w:tc>
          <w:tcPr>
            <w:tcW w:w="1608" w:type="dxa"/>
          </w:tcPr>
          <w:p w14:paraId="038A02F9" w14:textId="77777777" w:rsidR="00FA235F" w:rsidRDefault="00FA235F" w:rsidP="00D11709">
            <w:pPr>
              <w:pStyle w:val="Note-Refs"/>
            </w:pPr>
            <w:r>
              <w:t>AASB101.106</w:t>
            </w:r>
          </w:p>
          <w:p w14:paraId="038A02FA" w14:textId="77777777" w:rsidR="002E53A8" w:rsidRDefault="002E53A8" w:rsidP="00D11709">
            <w:pPr>
              <w:pStyle w:val="Note-Refs"/>
            </w:pPr>
          </w:p>
        </w:tc>
        <w:tc>
          <w:tcPr>
            <w:tcW w:w="2886" w:type="dxa"/>
            <w:shd w:val="clear" w:color="auto" w:fill="CCCCCC"/>
            <w:vAlign w:val="bottom"/>
          </w:tcPr>
          <w:p w14:paraId="038A02FB" w14:textId="1502A6DD" w:rsidR="00FA235F" w:rsidRPr="00844A98" w:rsidRDefault="00FA235F">
            <w:pPr>
              <w:pStyle w:val="Statement-ItemBold"/>
            </w:pPr>
          </w:p>
        </w:tc>
        <w:tc>
          <w:tcPr>
            <w:tcW w:w="1024" w:type="dxa"/>
            <w:shd w:val="clear" w:color="auto" w:fill="CCCCCC"/>
            <w:vAlign w:val="bottom"/>
          </w:tcPr>
          <w:p w14:paraId="038A02FC" w14:textId="77777777" w:rsidR="00FA235F" w:rsidRPr="00451F7F" w:rsidRDefault="00FA235F" w:rsidP="001420DF">
            <w:pPr>
              <w:pStyle w:val="NotesTable-HeadPlain"/>
            </w:pPr>
            <w:r w:rsidRPr="00451F7F">
              <w:t>Restricted funds</w:t>
            </w:r>
          </w:p>
        </w:tc>
        <w:tc>
          <w:tcPr>
            <w:tcW w:w="1025" w:type="dxa"/>
            <w:shd w:val="clear" w:color="auto" w:fill="CCCCCC"/>
            <w:vAlign w:val="bottom"/>
          </w:tcPr>
          <w:p w14:paraId="038A02FD" w14:textId="77777777" w:rsidR="00FA235F" w:rsidRPr="00451F7F" w:rsidRDefault="00FA235F" w:rsidP="00C54AC3">
            <w:pPr>
              <w:pStyle w:val="NotesTable-HeadPlain"/>
            </w:pPr>
            <w:r w:rsidRPr="00451F7F">
              <w:t>Reserves</w:t>
            </w:r>
          </w:p>
        </w:tc>
        <w:tc>
          <w:tcPr>
            <w:tcW w:w="1024" w:type="dxa"/>
            <w:shd w:val="clear" w:color="auto" w:fill="CCCCCC"/>
            <w:vAlign w:val="bottom"/>
          </w:tcPr>
          <w:p w14:paraId="038A02FE" w14:textId="77777777" w:rsidR="00FA235F" w:rsidRPr="00451F7F" w:rsidRDefault="00FA235F">
            <w:pPr>
              <w:pStyle w:val="NotesTable-HeadPlain"/>
            </w:pPr>
            <w:r w:rsidRPr="00451F7F">
              <w:t>Retained earnings</w:t>
            </w:r>
          </w:p>
        </w:tc>
        <w:tc>
          <w:tcPr>
            <w:tcW w:w="1025" w:type="dxa"/>
            <w:shd w:val="clear" w:color="auto" w:fill="CCCCCC"/>
            <w:vAlign w:val="bottom"/>
          </w:tcPr>
          <w:p w14:paraId="038A02FF" w14:textId="77777777" w:rsidR="00FA235F" w:rsidRPr="00451F7F" w:rsidRDefault="00FA235F">
            <w:pPr>
              <w:pStyle w:val="NotesTable-HeadPlain"/>
            </w:pPr>
            <w:r w:rsidRPr="00451F7F">
              <w:t xml:space="preserve">Total: Owners of the parent </w:t>
            </w:r>
          </w:p>
        </w:tc>
        <w:tc>
          <w:tcPr>
            <w:tcW w:w="1025" w:type="dxa"/>
            <w:shd w:val="clear" w:color="auto" w:fill="CCCCCC"/>
            <w:vAlign w:val="bottom"/>
          </w:tcPr>
          <w:p w14:paraId="038A0300" w14:textId="77777777" w:rsidR="00FA235F" w:rsidRPr="00451F7F" w:rsidRDefault="00FA235F">
            <w:pPr>
              <w:pStyle w:val="NotesTable-HeadPlain"/>
            </w:pPr>
            <w:r w:rsidRPr="00451F7F">
              <w:t>Non-controlling Interest</w:t>
            </w:r>
          </w:p>
        </w:tc>
        <w:tc>
          <w:tcPr>
            <w:tcW w:w="1025" w:type="dxa"/>
            <w:shd w:val="clear" w:color="auto" w:fill="CCCCCC"/>
            <w:vAlign w:val="bottom"/>
          </w:tcPr>
          <w:p w14:paraId="038A0301" w14:textId="77777777" w:rsidR="00FA235F" w:rsidRPr="00451F7F" w:rsidRDefault="00FA235F">
            <w:pPr>
              <w:pStyle w:val="NotesTable-HeadPlain"/>
            </w:pPr>
            <w:r w:rsidRPr="00451F7F">
              <w:t>Total</w:t>
            </w:r>
          </w:p>
        </w:tc>
        <w:tc>
          <w:tcPr>
            <w:tcW w:w="340" w:type="dxa"/>
            <w:gridSpan w:val="2"/>
            <w:shd w:val="clear" w:color="auto" w:fill="CCCCCC"/>
            <w:vAlign w:val="bottom"/>
          </w:tcPr>
          <w:p w14:paraId="038A0302" w14:textId="77777777" w:rsidR="00FA235F" w:rsidRPr="00491BF9" w:rsidRDefault="00FA235F" w:rsidP="00451F7F">
            <w:pPr>
              <w:pStyle w:val="NotesTable-CellPlain"/>
              <w:rPr>
                <w:sz w:val="24"/>
                <w:lang w:val="en-GB"/>
              </w:rPr>
            </w:pPr>
          </w:p>
        </w:tc>
        <w:tc>
          <w:tcPr>
            <w:tcW w:w="1026" w:type="dxa"/>
            <w:shd w:val="clear" w:color="auto" w:fill="CCCCCC"/>
            <w:vAlign w:val="bottom"/>
          </w:tcPr>
          <w:p w14:paraId="038A0303" w14:textId="77777777" w:rsidR="00FA235F" w:rsidRPr="00451F7F" w:rsidRDefault="00FA235F" w:rsidP="001420DF">
            <w:pPr>
              <w:pStyle w:val="NotesTable-HeadPlain"/>
            </w:pPr>
            <w:r w:rsidRPr="00451F7F">
              <w:t>Restricted funds</w:t>
            </w:r>
          </w:p>
        </w:tc>
        <w:tc>
          <w:tcPr>
            <w:tcW w:w="1031" w:type="dxa"/>
            <w:shd w:val="clear" w:color="auto" w:fill="CCCCCC"/>
            <w:vAlign w:val="bottom"/>
          </w:tcPr>
          <w:p w14:paraId="038A0304" w14:textId="77777777" w:rsidR="00FA235F" w:rsidRPr="00451F7F" w:rsidRDefault="00FA235F" w:rsidP="00C54AC3">
            <w:pPr>
              <w:pStyle w:val="NotesTable-HeadPlain"/>
            </w:pPr>
            <w:r w:rsidRPr="00451F7F">
              <w:t>Reserves</w:t>
            </w:r>
          </w:p>
        </w:tc>
        <w:tc>
          <w:tcPr>
            <w:tcW w:w="1026" w:type="dxa"/>
            <w:shd w:val="clear" w:color="auto" w:fill="CCCCCC"/>
            <w:vAlign w:val="bottom"/>
          </w:tcPr>
          <w:p w14:paraId="038A0305" w14:textId="77777777" w:rsidR="00FA235F" w:rsidRPr="00451F7F" w:rsidRDefault="00FA235F">
            <w:pPr>
              <w:pStyle w:val="NotesTable-HeadPlain"/>
            </w:pPr>
            <w:r w:rsidRPr="00451F7F">
              <w:t>Retained earnings</w:t>
            </w:r>
          </w:p>
        </w:tc>
        <w:tc>
          <w:tcPr>
            <w:tcW w:w="1031" w:type="dxa"/>
            <w:shd w:val="clear" w:color="auto" w:fill="CCCCCC"/>
            <w:vAlign w:val="bottom"/>
          </w:tcPr>
          <w:p w14:paraId="038A0306" w14:textId="77777777" w:rsidR="00FA235F" w:rsidRPr="00451F7F" w:rsidRDefault="00FA235F">
            <w:pPr>
              <w:pStyle w:val="NotesTable-HeadPlain"/>
            </w:pPr>
            <w:r w:rsidRPr="00451F7F">
              <w:t>Total</w:t>
            </w:r>
            <w:r w:rsidRPr="00451F7F" w:rsidDel="00FA235F">
              <w:t xml:space="preserve"> </w:t>
            </w:r>
          </w:p>
        </w:tc>
      </w:tr>
      <w:tr w:rsidR="005E3D34" w14:paraId="038A0315" w14:textId="77777777" w:rsidTr="00695024">
        <w:trPr>
          <w:cantSplit/>
          <w:trHeight w:hRule="exact" w:val="28"/>
        </w:trPr>
        <w:tc>
          <w:tcPr>
            <w:tcW w:w="1608" w:type="dxa"/>
          </w:tcPr>
          <w:p w14:paraId="038A0308" w14:textId="77777777" w:rsidR="00FA235F" w:rsidRDefault="00FA235F" w:rsidP="00D11709">
            <w:pPr>
              <w:pStyle w:val="Note-Refs"/>
            </w:pPr>
          </w:p>
        </w:tc>
        <w:tc>
          <w:tcPr>
            <w:tcW w:w="2886" w:type="dxa"/>
            <w:shd w:val="clear" w:color="auto" w:fill="CCCCCC"/>
          </w:tcPr>
          <w:p w14:paraId="038A0309" w14:textId="77777777" w:rsidR="00FA235F" w:rsidRDefault="00FA235F">
            <w:pPr>
              <w:pStyle w:val="NotesTable-ItemPlain"/>
            </w:pPr>
          </w:p>
        </w:tc>
        <w:tc>
          <w:tcPr>
            <w:tcW w:w="1024" w:type="dxa"/>
            <w:shd w:val="clear" w:color="auto" w:fill="CCCCCC"/>
          </w:tcPr>
          <w:p w14:paraId="038A030A" w14:textId="77777777" w:rsidR="00FA235F" w:rsidRDefault="00FA235F" w:rsidP="00451F7F">
            <w:pPr>
              <w:pStyle w:val="NotesTable-CellPlain"/>
            </w:pPr>
          </w:p>
        </w:tc>
        <w:tc>
          <w:tcPr>
            <w:tcW w:w="1025" w:type="dxa"/>
            <w:shd w:val="clear" w:color="auto" w:fill="CCCCCC"/>
          </w:tcPr>
          <w:p w14:paraId="038A030B" w14:textId="77777777" w:rsidR="00FA235F" w:rsidRDefault="00FA235F" w:rsidP="00451F7F">
            <w:pPr>
              <w:pStyle w:val="NotesTable-CellPlain"/>
            </w:pPr>
          </w:p>
        </w:tc>
        <w:tc>
          <w:tcPr>
            <w:tcW w:w="1024" w:type="dxa"/>
            <w:shd w:val="clear" w:color="auto" w:fill="CCCCCC"/>
          </w:tcPr>
          <w:p w14:paraId="038A030C" w14:textId="77777777" w:rsidR="00FA235F" w:rsidRDefault="00FA235F" w:rsidP="00451F7F">
            <w:pPr>
              <w:pStyle w:val="NotesTable-CellPlain"/>
            </w:pPr>
          </w:p>
        </w:tc>
        <w:tc>
          <w:tcPr>
            <w:tcW w:w="1025" w:type="dxa"/>
            <w:shd w:val="clear" w:color="auto" w:fill="CCCCCC"/>
          </w:tcPr>
          <w:p w14:paraId="038A030D" w14:textId="77777777" w:rsidR="00FA235F" w:rsidRDefault="00FA235F" w:rsidP="00451F7F">
            <w:pPr>
              <w:pStyle w:val="NotesTable-CellPlain"/>
            </w:pPr>
          </w:p>
        </w:tc>
        <w:tc>
          <w:tcPr>
            <w:tcW w:w="1025" w:type="dxa"/>
            <w:shd w:val="clear" w:color="auto" w:fill="CCCCCC"/>
          </w:tcPr>
          <w:p w14:paraId="038A030E" w14:textId="77777777" w:rsidR="00FA235F" w:rsidRDefault="00FA235F" w:rsidP="00451F7F">
            <w:pPr>
              <w:pStyle w:val="NotesTable-CellPlain"/>
            </w:pPr>
          </w:p>
        </w:tc>
        <w:tc>
          <w:tcPr>
            <w:tcW w:w="1025" w:type="dxa"/>
            <w:shd w:val="clear" w:color="auto" w:fill="CCCCCC"/>
          </w:tcPr>
          <w:p w14:paraId="038A030F" w14:textId="77777777" w:rsidR="00FA235F" w:rsidRDefault="00FA235F" w:rsidP="00451F7F">
            <w:pPr>
              <w:pStyle w:val="NotesTable-CellPlain"/>
            </w:pPr>
          </w:p>
        </w:tc>
        <w:tc>
          <w:tcPr>
            <w:tcW w:w="340" w:type="dxa"/>
            <w:gridSpan w:val="2"/>
            <w:shd w:val="clear" w:color="auto" w:fill="CCCCCC"/>
          </w:tcPr>
          <w:p w14:paraId="038A0310" w14:textId="77777777" w:rsidR="00FA235F" w:rsidRDefault="00FA235F" w:rsidP="00451F7F">
            <w:pPr>
              <w:pStyle w:val="NotesTable-CellPlain"/>
            </w:pPr>
          </w:p>
        </w:tc>
        <w:tc>
          <w:tcPr>
            <w:tcW w:w="1026" w:type="dxa"/>
            <w:shd w:val="clear" w:color="auto" w:fill="CCCCCC"/>
          </w:tcPr>
          <w:p w14:paraId="038A0311" w14:textId="77777777" w:rsidR="00FA235F" w:rsidRDefault="00FA235F" w:rsidP="00451F7F">
            <w:pPr>
              <w:pStyle w:val="NotesTable-CellPlain"/>
            </w:pPr>
          </w:p>
        </w:tc>
        <w:tc>
          <w:tcPr>
            <w:tcW w:w="1031" w:type="dxa"/>
            <w:shd w:val="clear" w:color="auto" w:fill="CCCCCC"/>
          </w:tcPr>
          <w:p w14:paraId="038A0312" w14:textId="77777777" w:rsidR="00FA235F" w:rsidRDefault="00FA235F" w:rsidP="00451F7F">
            <w:pPr>
              <w:pStyle w:val="NotesTable-CellPlain"/>
            </w:pPr>
          </w:p>
        </w:tc>
        <w:tc>
          <w:tcPr>
            <w:tcW w:w="1026" w:type="dxa"/>
            <w:shd w:val="clear" w:color="auto" w:fill="CCCCCC"/>
          </w:tcPr>
          <w:p w14:paraId="038A0313" w14:textId="77777777" w:rsidR="00FA235F" w:rsidRDefault="00FA235F" w:rsidP="00451F7F">
            <w:pPr>
              <w:pStyle w:val="NotesTable-CellPlain"/>
            </w:pPr>
          </w:p>
        </w:tc>
        <w:tc>
          <w:tcPr>
            <w:tcW w:w="1031" w:type="dxa"/>
            <w:shd w:val="clear" w:color="auto" w:fill="CCCCCC"/>
          </w:tcPr>
          <w:p w14:paraId="038A0314" w14:textId="77777777" w:rsidR="00FA235F" w:rsidRDefault="00FA235F" w:rsidP="00451F7F">
            <w:pPr>
              <w:pStyle w:val="NotesTable-CellPlain"/>
            </w:pPr>
          </w:p>
        </w:tc>
      </w:tr>
      <w:tr w:rsidR="005E3D34" w14:paraId="038A0323" w14:textId="77777777" w:rsidTr="00E47831">
        <w:trPr>
          <w:cantSplit/>
          <w:trHeight w:val="227"/>
        </w:trPr>
        <w:tc>
          <w:tcPr>
            <w:tcW w:w="1608" w:type="dxa"/>
          </w:tcPr>
          <w:p w14:paraId="038A0316" w14:textId="77777777" w:rsidR="00FA235F" w:rsidRDefault="00FA235F" w:rsidP="00D11709">
            <w:pPr>
              <w:pStyle w:val="Note-Refs"/>
            </w:pPr>
          </w:p>
        </w:tc>
        <w:tc>
          <w:tcPr>
            <w:tcW w:w="2886" w:type="dxa"/>
            <w:shd w:val="clear" w:color="auto" w:fill="CCCCCC"/>
            <w:vAlign w:val="bottom"/>
          </w:tcPr>
          <w:p w14:paraId="038A0317" w14:textId="29BD3752" w:rsidR="00FA235F" w:rsidRPr="00FA235F" w:rsidRDefault="00FA235F">
            <w:pPr>
              <w:pStyle w:val="Statement-ItemBold"/>
            </w:pPr>
            <w:r w:rsidRPr="00FA235F">
              <w:t xml:space="preserve">Balance at 1 January </w:t>
            </w:r>
            <w:r w:rsidR="006864EC">
              <w:t>2013</w:t>
            </w:r>
          </w:p>
        </w:tc>
        <w:tc>
          <w:tcPr>
            <w:tcW w:w="1024" w:type="dxa"/>
            <w:shd w:val="clear" w:color="auto" w:fill="CCCCCC"/>
          </w:tcPr>
          <w:p w14:paraId="038A0318" w14:textId="77777777" w:rsidR="00FA235F" w:rsidRPr="00844A98" w:rsidRDefault="00FA235F" w:rsidP="00451F7F">
            <w:pPr>
              <w:pStyle w:val="NotesTable-CellBold"/>
              <w:rPr>
                <w:b w:val="0"/>
              </w:rPr>
            </w:pPr>
            <w:r w:rsidRPr="00844A98">
              <w:t>–</w:t>
            </w:r>
          </w:p>
        </w:tc>
        <w:tc>
          <w:tcPr>
            <w:tcW w:w="1025" w:type="dxa"/>
            <w:shd w:val="clear" w:color="auto" w:fill="CCCCCC"/>
          </w:tcPr>
          <w:p w14:paraId="038A0319" w14:textId="77777777" w:rsidR="00FA235F" w:rsidRPr="00844A98" w:rsidRDefault="00FA235F" w:rsidP="00451F7F">
            <w:pPr>
              <w:pStyle w:val="NotesTable-CellBold"/>
              <w:rPr>
                <w:b w:val="0"/>
              </w:rPr>
            </w:pPr>
            <w:r w:rsidRPr="00844A98">
              <w:t>–</w:t>
            </w:r>
          </w:p>
        </w:tc>
        <w:tc>
          <w:tcPr>
            <w:tcW w:w="1024" w:type="dxa"/>
            <w:shd w:val="clear" w:color="auto" w:fill="CCCCCC"/>
          </w:tcPr>
          <w:p w14:paraId="038A031A" w14:textId="77777777" w:rsidR="00FA235F" w:rsidRPr="00844A98" w:rsidRDefault="00FA235F" w:rsidP="00451F7F">
            <w:pPr>
              <w:pStyle w:val="NotesTable-CellBold"/>
              <w:rPr>
                <w:b w:val="0"/>
              </w:rPr>
            </w:pPr>
            <w:r w:rsidRPr="00844A98">
              <w:t>–</w:t>
            </w:r>
          </w:p>
        </w:tc>
        <w:tc>
          <w:tcPr>
            <w:tcW w:w="1025" w:type="dxa"/>
            <w:shd w:val="clear" w:color="auto" w:fill="CCCCCC"/>
          </w:tcPr>
          <w:p w14:paraId="038A031B" w14:textId="77777777" w:rsidR="00FA235F" w:rsidRPr="00844A98" w:rsidRDefault="00FA235F" w:rsidP="00451F7F">
            <w:pPr>
              <w:pStyle w:val="NotesTable-CellBold"/>
              <w:rPr>
                <w:b w:val="0"/>
              </w:rPr>
            </w:pPr>
            <w:r w:rsidRPr="00844A98">
              <w:t>–</w:t>
            </w:r>
          </w:p>
        </w:tc>
        <w:tc>
          <w:tcPr>
            <w:tcW w:w="1025" w:type="dxa"/>
            <w:shd w:val="clear" w:color="auto" w:fill="CCCCCC"/>
          </w:tcPr>
          <w:p w14:paraId="038A031C" w14:textId="77777777" w:rsidR="00FA235F" w:rsidRPr="00844A98" w:rsidRDefault="00FA235F" w:rsidP="00451F7F">
            <w:pPr>
              <w:pStyle w:val="NotesTable-CellBold"/>
              <w:rPr>
                <w:b w:val="0"/>
              </w:rPr>
            </w:pPr>
            <w:r w:rsidRPr="00844A98">
              <w:t>–</w:t>
            </w:r>
          </w:p>
        </w:tc>
        <w:tc>
          <w:tcPr>
            <w:tcW w:w="1025" w:type="dxa"/>
            <w:shd w:val="clear" w:color="auto" w:fill="CCCCCC"/>
          </w:tcPr>
          <w:p w14:paraId="038A031D" w14:textId="77777777" w:rsidR="00FA235F" w:rsidRPr="00844A98" w:rsidRDefault="00FA235F" w:rsidP="00451F7F">
            <w:pPr>
              <w:pStyle w:val="NotesTable-CellBold"/>
              <w:rPr>
                <w:b w:val="0"/>
              </w:rPr>
            </w:pPr>
            <w:r w:rsidRPr="00844A98">
              <w:t>–</w:t>
            </w:r>
          </w:p>
        </w:tc>
        <w:tc>
          <w:tcPr>
            <w:tcW w:w="340" w:type="dxa"/>
            <w:gridSpan w:val="2"/>
            <w:shd w:val="clear" w:color="auto" w:fill="CCCCCC"/>
          </w:tcPr>
          <w:p w14:paraId="038A031E" w14:textId="77777777" w:rsidR="00FA235F" w:rsidRPr="00844A98" w:rsidRDefault="00FA235F" w:rsidP="00451F7F">
            <w:pPr>
              <w:pStyle w:val="NotesTable-CellBold"/>
            </w:pPr>
          </w:p>
        </w:tc>
        <w:tc>
          <w:tcPr>
            <w:tcW w:w="1026" w:type="dxa"/>
            <w:shd w:val="clear" w:color="auto" w:fill="CCCCCC"/>
          </w:tcPr>
          <w:p w14:paraId="038A031F" w14:textId="77777777" w:rsidR="00FA235F" w:rsidRPr="00844A98" w:rsidRDefault="00FA235F" w:rsidP="00451F7F">
            <w:pPr>
              <w:pStyle w:val="NotesTable-CellBold"/>
              <w:rPr>
                <w:b w:val="0"/>
              </w:rPr>
            </w:pPr>
            <w:r w:rsidRPr="00844A98">
              <w:t>–</w:t>
            </w:r>
          </w:p>
        </w:tc>
        <w:tc>
          <w:tcPr>
            <w:tcW w:w="1031" w:type="dxa"/>
            <w:shd w:val="clear" w:color="auto" w:fill="CCCCCC"/>
          </w:tcPr>
          <w:p w14:paraId="038A0320" w14:textId="77777777" w:rsidR="00FA235F" w:rsidRPr="00844A98" w:rsidRDefault="00FA235F" w:rsidP="00451F7F">
            <w:pPr>
              <w:pStyle w:val="NotesTable-CellBold"/>
              <w:rPr>
                <w:b w:val="0"/>
              </w:rPr>
            </w:pPr>
            <w:r w:rsidRPr="00844A98">
              <w:t>–</w:t>
            </w:r>
          </w:p>
        </w:tc>
        <w:tc>
          <w:tcPr>
            <w:tcW w:w="1026" w:type="dxa"/>
            <w:shd w:val="clear" w:color="auto" w:fill="CCCCCC"/>
          </w:tcPr>
          <w:p w14:paraId="038A0321" w14:textId="77777777" w:rsidR="00FA235F" w:rsidRPr="00844A98" w:rsidRDefault="00FA235F" w:rsidP="00451F7F">
            <w:pPr>
              <w:pStyle w:val="NotesTable-CellBold"/>
              <w:rPr>
                <w:b w:val="0"/>
              </w:rPr>
            </w:pPr>
            <w:r w:rsidRPr="00844A98">
              <w:t>–</w:t>
            </w:r>
          </w:p>
        </w:tc>
        <w:tc>
          <w:tcPr>
            <w:tcW w:w="1031" w:type="dxa"/>
            <w:shd w:val="clear" w:color="auto" w:fill="CCCCCC"/>
          </w:tcPr>
          <w:p w14:paraId="038A0322" w14:textId="77777777" w:rsidR="00FA235F" w:rsidRPr="00844A98" w:rsidRDefault="00FA235F" w:rsidP="00451F7F">
            <w:pPr>
              <w:pStyle w:val="NotesTable-CellBold"/>
              <w:rPr>
                <w:b w:val="0"/>
              </w:rPr>
            </w:pPr>
            <w:r w:rsidRPr="00844A98">
              <w:t>–</w:t>
            </w:r>
          </w:p>
        </w:tc>
      </w:tr>
      <w:tr w:rsidR="005E3D34" w14:paraId="038A0331" w14:textId="77777777" w:rsidTr="00E47831">
        <w:trPr>
          <w:cantSplit/>
          <w:trHeight w:val="227"/>
        </w:trPr>
        <w:tc>
          <w:tcPr>
            <w:tcW w:w="1608" w:type="dxa"/>
          </w:tcPr>
          <w:p w14:paraId="038A0324" w14:textId="77777777" w:rsidR="00FA235F" w:rsidRDefault="00FA235F" w:rsidP="00D11709">
            <w:pPr>
              <w:pStyle w:val="Note-Refs"/>
            </w:pPr>
            <w:r>
              <w:t>AASB101.106b</w:t>
            </w:r>
          </w:p>
        </w:tc>
        <w:tc>
          <w:tcPr>
            <w:tcW w:w="2886" w:type="dxa"/>
            <w:shd w:val="clear" w:color="auto" w:fill="CCCCCC"/>
            <w:vAlign w:val="bottom"/>
          </w:tcPr>
          <w:p w14:paraId="038A0325" w14:textId="77777777" w:rsidR="00FA235F" w:rsidRPr="00FA235F" w:rsidRDefault="00FA235F" w:rsidP="00D11709">
            <w:pPr>
              <w:pStyle w:val="NotesTable-ItemPlain"/>
              <w:rPr>
                <w:b/>
              </w:rPr>
            </w:pPr>
            <w:r w:rsidRPr="00FA235F">
              <w:t>Retrospective changes</w:t>
            </w:r>
          </w:p>
        </w:tc>
        <w:tc>
          <w:tcPr>
            <w:tcW w:w="1024" w:type="dxa"/>
            <w:tcBorders>
              <w:bottom w:val="single" w:sz="4" w:space="0" w:color="auto"/>
            </w:tcBorders>
            <w:shd w:val="clear" w:color="auto" w:fill="CCCCCC"/>
            <w:vAlign w:val="center"/>
          </w:tcPr>
          <w:p w14:paraId="038A0326" w14:textId="77777777" w:rsidR="00FA235F" w:rsidRPr="002E53A8" w:rsidRDefault="00FA235F" w:rsidP="002E53A8">
            <w:pPr>
              <w:pStyle w:val="NotesTable-CellPlain"/>
            </w:pPr>
            <w:r w:rsidRPr="002E53A8">
              <w:t>–</w:t>
            </w:r>
          </w:p>
        </w:tc>
        <w:tc>
          <w:tcPr>
            <w:tcW w:w="1025" w:type="dxa"/>
            <w:tcBorders>
              <w:bottom w:val="single" w:sz="4" w:space="0" w:color="auto"/>
            </w:tcBorders>
            <w:shd w:val="clear" w:color="auto" w:fill="CCCCCC"/>
            <w:vAlign w:val="center"/>
          </w:tcPr>
          <w:p w14:paraId="038A0327" w14:textId="77777777" w:rsidR="00FA235F" w:rsidRPr="002E53A8" w:rsidRDefault="00FA235F" w:rsidP="002E53A8">
            <w:pPr>
              <w:pStyle w:val="NotesTable-CellPlain"/>
            </w:pPr>
            <w:r w:rsidRPr="002E53A8">
              <w:t>–</w:t>
            </w:r>
          </w:p>
        </w:tc>
        <w:tc>
          <w:tcPr>
            <w:tcW w:w="1024" w:type="dxa"/>
            <w:tcBorders>
              <w:bottom w:val="single" w:sz="4" w:space="0" w:color="auto"/>
            </w:tcBorders>
            <w:shd w:val="clear" w:color="auto" w:fill="CCCCCC"/>
            <w:vAlign w:val="center"/>
          </w:tcPr>
          <w:p w14:paraId="038A0328" w14:textId="77777777" w:rsidR="00FA235F" w:rsidRPr="001C6A77" w:rsidRDefault="00FA235F" w:rsidP="001C6A77">
            <w:pPr>
              <w:pStyle w:val="NotesTable-CellPlain"/>
            </w:pPr>
            <w:r w:rsidRPr="001C6A77">
              <w:t>–</w:t>
            </w:r>
          </w:p>
        </w:tc>
        <w:tc>
          <w:tcPr>
            <w:tcW w:w="1025" w:type="dxa"/>
            <w:tcBorders>
              <w:bottom w:val="single" w:sz="4" w:space="0" w:color="auto"/>
            </w:tcBorders>
            <w:shd w:val="clear" w:color="auto" w:fill="CCCCCC"/>
            <w:vAlign w:val="center"/>
          </w:tcPr>
          <w:p w14:paraId="038A0329" w14:textId="77777777" w:rsidR="00FA235F" w:rsidRPr="005245A0" w:rsidRDefault="00FA235F" w:rsidP="005245A0">
            <w:pPr>
              <w:pStyle w:val="NotesTable-CellPlain"/>
            </w:pPr>
            <w:r w:rsidRPr="005245A0">
              <w:t>–</w:t>
            </w:r>
          </w:p>
        </w:tc>
        <w:tc>
          <w:tcPr>
            <w:tcW w:w="1025" w:type="dxa"/>
            <w:tcBorders>
              <w:bottom w:val="single" w:sz="4" w:space="0" w:color="auto"/>
            </w:tcBorders>
            <w:shd w:val="clear" w:color="auto" w:fill="CCCCCC"/>
            <w:vAlign w:val="center"/>
          </w:tcPr>
          <w:p w14:paraId="038A032A" w14:textId="77777777" w:rsidR="00FA235F" w:rsidRPr="005245A0" w:rsidRDefault="00FA235F" w:rsidP="005245A0">
            <w:pPr>
              <w:pStyle w:val="NotesTable-CellPlain"/>
            </w:pPr>
            <w:r w:rsidRPr="005245A0">
              <w:t>–</w:t>
            </w:r>
          </w:p>
        </w:tc>
        <w:tc>
          <w:tcPr>
            <w:tcW w:w="1025" w:type="dxa"/>
            <w:tcBorders>
              <w:bottom w:val="single" w:sz="4" w:space="0" w:color="auto"/>
            </w:tcBorders>
            <w:shd w:val="clear" w:color="auto" w:fill="CCCCCC"/>
            <w:vAlign w:val="center"/>
          </w:tcPr>
          <w:p w14:paraId="038A032B" w14:textId="77777777" w:rsidR="00FA235F" w:rsidRPr="001B40AC" w:rsidRDefault="00FA235F" w:rsidP="001B40AC">
            <w:pPr>
              <w:pStyle w:val="NotesTable-CellPlain"/>
            </w:pPr>
            <w:r w:rsidRPr="002E53A8">
              <w:t>–</w:t>
            </w:r>
          </w:p>
        </w:tc>
        <w:tc>
          <w:tcPr>
            <w:tcW w:w="340" w:type="dxa"/>
            <w:gridSpan w:val="2"/>
            <w:shd w:val="clear" w:color="auto" w:fill="CCCCCC"/>
            <w:vAlign w:val="center"/>
          </w:tcPr>
          <w:p w14:paraId="038A032C" w14:textId="77777777" w:rsidR="00FA235F" w:rsidRPr="001B40AC" w:rsidRDefault="00FA235F" w:rsidP="001B40AC">
            <w:pPr>
              <w:pStyle w:val="NotesTable-CellPlain"/>
            </w:pPr>
          </w:p>
        </w:tc>
        <w:tc>
          <w:tcPr>
            <w:tcW w:w="1026" w:type="dxa"/>
            <w:tcBorders>
              <w:bottom w:val="single" w:sz="4" w:space="0" w:color="auto"/>
            </w:tcBorders>
            <w:shd w:val="clear" w:color="auto" w:fill="CCCCCC"/>
            <w:vAlign w:val="center"/>
          </w:tcPr>
          <w:p w14:paraId="038A032D" w14:textId="77777777" w:rsidR="00FA235F" w:rsidRPr="001B40AC" w:rsidRDefault="00FA235F" w:rsidP="001B40AC">
            <w:pPr>
              <w:pStyle w:val="NotesTable-CellPlain"/>
            </w:pPr>
            <w:r w:rsidRPr="002E53A8">
              <w:t>–</w:t>
            </w:r>
          </w:p>
        </w:tc>
        <w:tc>
          <w:tcPr>
            <w:tcW w:w="1031" w:type="dxa"/>
            <w:tcBorders>
              <w:bottom w:val="single" w:sz="4" w:space="0" w:color="auto"/>
            </w:tcBorders>
            <w:shd w:val="clear" w:color="auto" w:fill="CCCCCC"/>
            <w:vAlign w:val="center"/>
          </w:tcPr>
          <w:p w14:paraId="038A032E" w14:textId="77777777" w:rsidR="00FA235F" w:rsidRPr="001B40AC" w:rsidRDefault="00FA235F" w:rsidP="001B40AC">
            <w:pPr>
              <w:pStyle w:val="NotesTable-CellPlain"/>
            </w:pPr>
            <w:r w:rsidRPr="002E53A8">
              <w:t>–</w:t>
            </w:r>
          </w:p>
        </w:tc>
        <w:tc>
          <w:tcPr>
            <w:tcW w:w="1026" w:type="dxa"/>
            <w:tcBorders>
              <w:bottom w:val="single" w:sz="4" w:space="0" w:color="auto"/>
            </w:tcBorders>
            <w:shd w:val="clear" w:color="auto" w:fill="CCCCCC"/>
            <w:vAlign w:val="center"/>
          </w:tcPr>
          <w:p w14:paraId="038A032F" w14:textId="77777777" w:rsidR="00FA235F" w:rsidRPr="001B40AC" w:rsidRDefault="00FA235F" w:rsidP="001B40AC">
            <w:pPr>
              <w:pStyle w:val="NotesTable-CellPlain"/>
            </w:pPr>
            <w:r w:rsidRPr="002E53A8">
              <w:t>–</w:t>
            </w:r>
          </w:p>
        </w:tc>
        <w:tc>
          <w:tcPr>
            <w:tcW w:w="1031" w:type="dxa"/>
            <w:tcBorders>
              <w:bottom w:val="single" w:sz="4" w:space="0" w:color="auto"/>
            </w:tcBorders>
            <w:shd w:val="clear" w:color="auto" w:fill="CCCCCC"/>
            <w:vAlign w:val="center"/>
          </w:tcPr>
          <w:p w14:paraId="038A0330" w14:textId="77777777" w:rsidR="00FA235F" w:rsidRPr="001B40AC" w:rsidRDefault="00FA235F" w:rsidP="001B40AC">
            <w:pPr>
              <w:pStyle w:val="NotesTable-CellPlain"/>
            </w:pPr>
            <w:r w:rsidRPr="002E53A8">
              <w:t>–</w:t>
            </w:r>
          </w:p>
        </w:tc>
      </w:tr>
      <w:tr w:rsidR="005E3D34" w14:paraId="038A033F" w14:textId="77777777" w:rsidTr="00E47831">
        <w:trPr>
          <w:cantSplit/>
          <w:trHeight w:val="227"/>
        </w:trPr>
        <w:tc>
          <w:tcPr>
            <w:tcW w:w="1608" w:type="dxa"/>
          </w:tcPr>
          <w:p w14:paraId="038A0332" w14:textId="77777777" w:rsidR="00FA235F" w:rsidRPr="00083F11" w:rsidRDefault="00FA235F" w:rsidP="00D11709">
            <w:pPr>
              <w:pStyle w:val="Note-Refs"/>
            </w:pPr>
          </w:p>
        </w:tc>
        <w:tc>
          <w:tcPr>
            <w:tcW w:w="2886" w:type="dxa"/>
            <w:shd w:val="clear" w:color="auto" w:fill="CCCCCC"/>
            <w:vAlign w:val="bottom"/>
          </w:tcPr>
          <w:p w14:paraId="038A0333" w14:textId="77777777" w:rsidR="00FA235F" w:rsidRPr="00FA235F" w:rsidRDefault="00FA235F">
            <w:pPr>
              <w:pStyle w:val="Statement-ItemBold"/>
            </w:pPr>
            <w:r w:rsidRPr="00FA235F">
              <w:t>Balance as restated</w:t>
            </w:r>
          </w:p>
        </w:tc>
        <w:tc>
          <w:tcPr>
            <w:tcW w:w="1024" w:type="dxa"/>
            <w:tcBorders>
              <w:top w:val="single" w:sz="4" w:space="0" w:color="auto"/>
            </w:tcBorders>
            <w:shd w:val="clear" w:color="auto" w:fill="CCCCCC"/>
          </w:tcPr>
          <w:p w14:paraId="038A0334" w14:textId="77777777" w:rsidR="00FA235F" w:rsidRPr="00083F11" w:rsidRDefault="00FA235F" w:rsidP="00451F7F">
            <w:pPr>
              <w:pStyle w:val="NotesTable-CellBold"/>
              <w:rPr>
                <w:b w:val="0"/>
              </w:rPr>
            </w:pPr>
            <w:r w:rsidRPr="00083F11">
              <w:t>–</w:t>
            </w:r>
          </w:p>
        </w:tc>
        <w:tc>
          <w:tcPr>
            <w:tcW w:w="1025" w:type="dxa"/>
            <w:tcBorders>
              <w:top w:val="single" w:sz="4" w:space="0" w:color="auto"/>
            </w:tcBorders>
            <w:shd w:val="clear" w:color="auto" w:fill="CCCCCC"/>
          </w:tcPr>
          <w:p w14:paraId="038A0335" w14:textId="77777777" w:rsidR="00FA235F" w:rsidRPr="00083F11" w:rsidRDefault="00FA235F" w:rsidP="00451F7F">
            <w:pPr>
              <w:pStyle w:val="NotesTable-CellBold"/>
              <w:rPr>
                <w:b w:val="0"/>
              </w:rPr>
            </w:pPr>
            <w:r w:rsidRPr="00083F11">
              <w:t>–</w:t>
            </w:r>
          </w:p>
        </w:tc>
        <w:tc>
          <w:tcPr>
            <w:tcW w:w="1024" w:type="dxa"/>
            <w:tcBorders>
              <w:top w:val="single" w:sz="4" w:space="0" w:color="auto"/>
            </w:tcBorders>
            <w:shd w:val="clear" w:color="auto" w:fill="CCCCCC"/>
          </w:tcPr>
          <w:p w14:paraId="038A0336" w14:textId="77777777" w:rsidR="00FA235F" w:rsidRPr="00083F11" w:rsidRDefault="00FA235F" w:rsidP="00451F7F">
            <w:pPr>
              <w:pStyle w:val="NotesTable-CellBold"/>
              <w:rPr>
                <w:b w:val="0"/>
              </w:rPr>
            </w:pPr>
            <w:r w:rsidRPr="00083F11">
              <w:t>–</w:t>
            </w:r>
          </w:p>
        </w:tc>
        <w:tc>
          <w:tcPr>
            <w:tcW w:w="1025" w:type="dxa"/>
            <w:tcBorders>
              <w:top w:val="single" w:sz="4" w:space="0" w:color="auto"/>
            </w:tcBorders>
            <w:shd w:val="clear" w:color="auto" w:fill="CCCCCC"/>
          </w:tcPr>
          <w:p w14:paraId="038A0337" w14:textId="77777777" w:rsidR="00FA235F" w:rsidRPr="00083F11" w:rsidRDefault="00FA235F" w:rsidP="00451F7F">
            <w:pPr>
              <w:pStyle w:val="NotesTable-CellBold"/>
              <w:rPr>
                <w:b w:val="0"/>
              </w:rPr>
            </w:pPr>
            <w:r w:rsidRPr="00083F11">
              <w:t>–</w:t>
            </w:r>
          </w:p>
        </w:tc>
        <w:tc>
          <w:tcPr>
            <w:tcW w:w="1025" w:type="dxa"/>
            <w:tcBorders>
              <w:top w:val="single" w:sz="4" w:space="0" w:color="auto"/>
            </w:tcBorders>
            <w:shd w:val="clear" w:color="auto" w:fill="CCCCCC"/>
          </w:tcPr>
          <w:p w14:paraId="038A0338" w14:textId="77777777" w:rsidR="00FA235F" w:rsidRPr="00083F11" w:rsidRDefault="00FA235F" w:rsidP="00451F7F">
            <w:pPr>
              <w:pStyle w:val="NotesTable-CellBold"/>
              <w:rPr>
                <w:b w:val="0"/>
              </w:rPr>
            </w:pPr>
            <w:r w:rsidRPr="00083F11">
              <w:t>–</w:t>
            </w:r>
          </w:p>
        </w:tc>
        <w:tc>
          <w:tcPr>
            <w:tcW w:w="1025" w:type="dxa"/>
            <w:tcBorders>
              <w:top w:val="single" w:sz="4" w:space="0" w:color="auto"/>
            </w:tcBorders>
            <w:shd w:val="clear" w:color="auto" w:fill="CCCCCC"/>
          </w:tcPr>
          <w:p w14:paraId="038A0339" w14:textId="77777777" w:rsidR="00FA235F" w:rsidRPr="00083F11" w:rsidRDefault="00FA235F" w:rsidP="00451F7F">
            <w:pPr>
              <w:pStyle w:val="NotesTable-CellBold"/>
              <w:rPr>
                <w:b w:val="0"/>
              </w:rPr>
            </w:pPr>
            <w:r w:rsidRPr="00083F11">
              <w:t>–</w:t>
            </w:r>
          </w:p>
        </w:tc>
        <w:tc>
          <w:tcPr>
            <w:tcW w:w="340" w:type="dxa"/>
            <w:gridSpan w:val="2"/>
            <w:shd w:val="clear" w:color="auto" w:fill="CCCCCC"/>
          </w:tcPr>
          <w:p w14:paraId="038A033A" w14:textId="77777777" w:rsidR="00FA235F" w:rsidRPr="00083F11" w:rsidRDefault="00FA235F" w:rsidP="00451F7F">
            <w:pPr>
              <w:pStyle w:val="NotesTable-CellBold"/>
            </w:pPr>
          </w:p>
        </w:tc>
        <w:tc>
          <w:tcPr>
            <w:tcW w:w="1026" w:type="dxa"/>
            <w:tcBorders>
              <w:top w:val="single" w:sz="4" w:space="0" w:color="auto"/>
            </w:tcBorders>
            <w:shd w:val="clear" w:color="auto" w:fill="CCCCCC"/>
          </w:tcPr>
          <w:p w14:paraId="038A033B" w14:textId="77777777" w:rsidR="00FA235F" w:rsidRPr="00083F11" w:rsidRDefault="00FA235F" w:rsidP="00451F7F">
            <w:pPr>
              <w:pStyle w:val="NotesTable-CellBold"/>
              <w:rPr>
                <w:b w:val="0"/>
              </w:rPr>
            </w:pPr>
            <w:r w:rsidRPr="00083F11">
              <w:t>–</w:t>
            </w:r>
          </w:p>
        </w:tc>
        <w:tc>
          <w:tcPr>
            <w:tcW w:w="1031" w:type="dxa"/>
            <w:tcBorders>
              <w:top w:val="single" w:sz="4" w:space="0" w:color="auto"/>
            </w:tcBorders>
            <w:shd w:val="clear" w:color="auto" w:fill="CCCCCC"/>
          </w:tcPr>
          <w:p w14:paraId="038A033C" w14:textId="77777777" w:rsidR="00FA235F" w:rsidRPr="00083F11" w:rsidRDefault="00FA235F" w:rsidP="00451F7F">
            <w:pPr>
              <w:pStyle w:val="NotesTable-CellBold"/>
              <w:rPr>
                <w:b w:val="0"/>
              </w:rPr>
            </w:pPr>
            <w:r w:rsidRPr="00083F11">
              <w:t>–</w:t>
            </w:r>
          </w:p>
        </w:tc>
        <w:tc>
          <w:tcPr>
            <w:tcW w:w="1026" w:type="dxa"/>
            <w:tcBorders>
              <w:top w:val="single" w:sz="4" w:space="0" w:color="auto"/>
            </w:tcBorders>
            <w:shd w:val="clear" w:color="auto" w:fill="CCCCCC"/>
          </w:tcPr>
          <w:p w14:paraId="038A033D" w14:textId="77777777" w:rsidR="00FA235F" w:rsidRPr="00083F11" w:rsidRDefault="00FA235F" w:rsidP="00451F7F">
            <w:pPr>
              <w:pStyle w:val="NotesTable-CellBold"/>
              <w:rPr>
                <w:b w:val="0"/>
              </w:rPr>
            </w:pPr>
            <w:r w:rsidRPr="00083F11">
              <w:t>–</w:t>
            </w:r>
          </w:p>
        </w:tc>
        <w:tc>
          <w:tcPr>
            <w:tcW w:w="1031" w:type="dxa"/>
            <w:tcBorders>
              <w:top w:val="single" w:sz="4" w:space="0" w:color="auto"/>
            </w:tcBorders>
            <w:shd w:val="clear" w:color="auto" w:fill="CCCCCC"/>
          </w:tcPr>
          <w:p w14:paraId="038A033E" w14:textId="77777777" w:rsidR="00FA235F" w:rsidRPr="00083F11" w:rsidRDefault="00FA235F" w:rsidP="00451F7F">
            <w:pPr>
              <w:pStyle w:val="NotesTable-CellBold"/>
              <w:rPr>
                <w:b w:val="0"/>
              </w:rPr>
            </w:pPr>
            <w:r w:rsidRPr="00083F11">
              <w:t>–</w:t>
            </w:r>
          </w:p>
        </w:tc>
      </w:tr>
      <w:tr w:rsidR="005E3D34" w14:paraId="038A034D" w14:textId="77777777" w:rsidTr="00E47831">
        <w:trPr>
          <w:cantSplit/>
          <w:trHeight w:val="227"/>
        </w:trPr>
        <w:tc>
          <w:tcPr>
            <w:tcW w:w="1608" w:type="dxa"/>
          </w:tcPr>
          <w:p w14:paraId="038A0340" w14:textId="77777777" w:rsidR="00FA235F" w:rsidRDefault="00FA235F" w:rsidP="00D11709">
            <w:pPr>
              <w:pStyle w:val="Note-Refs"/>
            </w:pPr>
            <w:r>
              <w:t>AASB101.106</w:t>
            </w:r>
            <w:r w:rsidR="008B1A42">
              <w:t>d(i)</w:t>
            </w:r>
          </w:p>
        </w:tc>
        <w:tc>
          <w:tcPr>
            <w:tcW w:w="2886" w:type="dxa"/>
            <w:shd w:val="clear" w:color="auto" w:fill="CCCCCC"/>
            <w:vAlign w:val="bottom"/>
          </w:tcPr>
          <w:p w14:paraId="038A0341" w14:textId="6666E073" w:rsidR="00FA235F" w:rsidRPr="00FA235F" w:rsidRDefault="00AA5977" w:rsidP="00D11709">
            <w:pPr>
              <w:pStyle w:val="NotesTable-ItemPlain"/>
              <w:rPr>
                <w:b/>
              </w:rPr>
            </w:pPr>
            <w:r>
              <w:t>Net operating result</w:t>
            </w:r>
            <w:r w:rsidR="00FA235F" w:rsidRPr="00FA235F" w:rsidDel="00DF5BE1">
              <w:t xml:space="preserve"> </w:t>
            </w:r>
          </w:p>
        </w:tc>
        <w:tc>
          <w:tcPr>
            <w:tcW w:w="1024" w:type="dxa"/>
            <w:shd w:val="clear" w:color="auto" w:fill="CCCCCC"/>
          </w:tcPr>
          <w:p w14:paraId="038A0342" w14:textId="77777777" w:rsidR="00FA235F" w:rsidRDefault="00FA235F" w:rsidP="00451F7F">
            <w:pPr>
              <w:pStyle w:val="NotesTable-CellPlain"/>
            </w:pPr>
            <w:r>
              <w:t>–</w:t>
            </w:r>
          </w:p>
        </w:tc>
        <w:tc>
          <w:tcPr>
            <w:tcW w:w="1025" w:type="dxa"/>
            <w:shd w:val="clear" w:color="auto" w:fill="CCCCCC"/>
          </w:tcPr>
          <w:p w14:paraId="038A0343" w14:textId="77777777" w:rsidR="00FA235F" w:rsidRDefault="00FA235F" w:rsidP="00451F7F">
            <w:pPr>
              <w:pStyle w:val="NotesTable-CellPlain"/>
            </w:pPr>
            <w:r>
              <w:t>–</w:t>
            </w:r>
          </w:p>
        </w:tc>
        <w:tc>
          <w:tcPr>
            <w:tcW w:w="1024" w:type="dxa"/>
            <w:shd w:val="clear" w:color="auto" w:fill="CCCCCC"/>
          </w:tcPr>
          <w:p w14:paraId="038A0344" w14:textId="77777777" w:rsidR="00FA235F" w:rsidRDefault="00FA235F" w:rsidP="00451F7F">
            <w:pPr>
              <w:pStyle w:val="NotesTable-CellPlain"/>
            </w:pPr>
            <w:r>
              <w:t>–</w:t>
            </w:r>
          </w:p>
        </w:tc>
        <w:tc>
          <w:tcPr>
            <w:tcW w:w="1025" w:type="dxa"/>
            <w:shd w:val="clear" w:color="auto" w:fill="CCCCCC"/>
          </w:tcPr>
          <w:p w14:paraId="038A0345" w14:textId="77777777" w:rsidR="00FA235F" w:rsidRDefault="00FA235F" w:rsidP="00451F7F">
            <w:pPr>
              <w:pStyle w:val="NotesTable-CellPlain"/>
            </w:pPr>
            <w:r>
              <w:t>–</w:t>
            </w:r>
          </w:p>
        </w:tc>
        <w:tc>
          <w:tcPr>
            <w:tcW w:w="1025" w:type="dxa"/>
            <w:shd w:val="clear" w:color="auto" w:fill="CCCCCC"/>
          </w:tcPr>
          <w:p w14:paraId="038A0346" w14:textId="77777777" w:rsidR="00FA235F" w:rsidRDefault="00FA235F" w:rsidP="00451F7F">
            <w:pPr>
              <w:pStyle w:val="NotesTable-CellPlain"/>
            </w:pPr>
            <w:r>
              <w:t>–</w:t>
            </w:r>
          </w:p>
        </w:tc>
        <w:tc>
          <w:tcPr>
            <w:tcW w:w="1025" w:type="dxa"/>
            <w:shd w:val="clear" w:color="auto" w:fill="CCCCCC"/>
          </w:tcPr>
          <w:p w14:paraId="038A0347" w14:textId="77777777" w:rsidR="00FA235F" w:rsidRDefault="00FA235F" w:rsidP="00451F7F">
            <w:pPr>
              <w:pStyle w:val="NotesTable-CellPlain"/>
            </w:pPr>
            <w:r>
              <w:t>–</w:t>
            </w:r>
          </w:p>
        </w:tc>
        <w:tc>
          <w:tcPr>
            <w:tcW w:w="340" w:type="dxa"/>
            <w:gridSpan w:val="2"/>
            <w:shd w:val="clear" w:color="auto" w:fill="CCCCCC"/>
          </w:tcPr>
          <w:p w14:paraId="038A0348" w14:textId="77777777" w:rsidR="00FA235F" w:rsidRDefault="00FA235F" w:rsidP="00451F7F">
            <w:pPr>
              <w:pStyle w:val="NotesTable-CellPlain"/>
            </w:pPr>
          </w:p>
        </w:tc>
        <w:tc>
          <w:tcPr>
            <w:tcW w:w="1026" w:type="dxa"/>
            <w:shd w:val="clear" w:color="auto" w:fill="CCCCCC"/>
          </w:tcPr>
          <w:p w14:paraId="038A0349" w14:textId="77777777" w:rsidR="00FA235F" w:rsidRDefault="00FA235F" w:rsidP="00451F7F">
            <w:pPr>
              <w:pStyle w:val="NotesTable-CellPlain"/>
            </w:pPr>
            <w:r>
              <w:t>–</w:t>
            </w:r>
          </w:p>
        </w:tc>
        <w:tc>
          <w:tcPr>
            <w:tcW w:w="1031" w:type="dxa"/>
            <w:shd w:val="clear" w:color="auto" w:fill="CCCCCC"/>
          </w:tcPr>
          <w:p w14:paraId="038A034A" w14:textId="77777777" w:rsidR="00FA235F" w:rsidRDefault="00FA235F" w:rsidP="00451F7F">
            <w:pPr>
              <w:pStyle w:val="NotesTable-CellPlain"/>
            </w:pPr>
            <w:r>
              <w:t>–</w:t>
            </w:r>
          </w:p>
        </w:tc>
        <w:tc>
          <w:tcPr>
            <w:tcW w:w="1026" w:type="dxa"/>
            <w:shd w:val="clear" w:color="auto" w:fill="CCCCCC"/>
          </w:tcPr>
          <w:p w14:paraId="038A034B" w14:textId="77777777" w:rsidR="00FA235F" w:rsidRDefault="00FA235F" w:rsidP="00451F7F">
            <w:pPr>
              <w:pStyle w:val="NotesTable-CellPlain"/>
            </w:pPr>
            <w:r>
              <w:t>–</w:t>
            </w:r>
          </w:p>
        </w:tc>
        <w:tc>
          <w:tcPr>
            <w:tcW w:w="1031" w:type="dxa"/>
            <w:shd w:val="clear" w:color="auto" w:fill="CCCCCC"/>
          </w:tcPr>
          <w:p w14:paraId="038A034C" w14:textId="77777777" w:rsidR="00FA235F" w:rsidRDefault="00FA235F" w:rsidP="00451F7F">
            <w:pPr>
              <w:pStyle w:val="NotesTable-CellPlain"/>
            </w:pPr>
            <w:r>
              <w:t>–</w:t>
            </w:r>
          </w:p>
        </w:tc>
      </w:tr>
      <w:tr w:rsidR="005E3D34" w14:paraId="038A035B" w14:textId="77777777" w:rsidTr="00E47831">
        <w:trPr>
          <w:cantSplit/>
          <w:trHeight w:val="227"/>
        </w:trPr>
        <w:tc>
          <w:tcPr>
            <w:tcW w:w="1608" w:type="dxa"/>
          </w:tcPr>
          <w:p w14:paraId="038A034E" w14:textId="77777777" w:rsidR="00FA235F" w:rsidRDefault="008B1A42" w:rsidP="00D11709">
            <w:pPr>
              <w:pStyle w:val="Note-Refs"/>
              <w:rPr>
                <w:b/>
              </w:rPr>
            </w:pPr>
            <w:r>
              <w:t>AASB101.106d(ii)</w:t>
            </w:r>
          </w:p>
        </w:tc>
        <w:tc>
          <w:tcPr>
            <w:tcW w:w="2886" w:type="dxa"/>
            <w:shd w:val="clear" w:color="auto" w:fill="CCCCCC"/>
            <w:vAlign w:val="bottom"/>
          </w:tcPr>
          <w:p w14:paraId="038A034F" w14:textId="6C189DB9" w:rsidR="00FA235F" w:rsidRPr="00FA235F" w:rsidDel="00DF5BE1" w:rsidRDefault="00AA5977" w:rsidP="00D11709">
            <w:pPr>
              <w:pStyle w:val="NotesTable-ItemPlain"/>
              <w:rPr>
                <w:b/>
              </w:rPr>
            </w:pPr>
            <w:r>
              <w:t>Gain/(loss) on r</w:t>
            </w:r>
            <w:r w:rsidR="00FA235F" w:rsidRPr="00FA235F">
              <w:t xml:space="preserve">evaluation of </w:t>
            </w:r>
            <w:r>
              <w:t>b</w:t>
            </w:r>
            <w:r w:rsidR="00FA235F" w:rsidRPr="00FA235F">
              <w:t>uildings</w:t>
            </w:r>
            <w:r>
              <w:t>, net of tax</w:t>
            </w:r>
          </w:p>
        </w:tc>
        <w:tc>
          <w:tcPr>
            <w:tcW w:w="1024" w:type="dxa"/>
            <w:shd w:val="clear" w:color="auto" w:fill="CCCCCC"/>
          </w:tcPr>
          <w:p w14:paraId="038A0350" w14:textId="77777777" w:rsidR="00FA235F" w:rsidRDefault="00FA235F" w:rsidP="00451F7F">
            <w:pPr>
              <w:pStyle w:val="NotesTable-CellPlain"/>
            </w:pPr>
            <w:r>
              <w:t>–</w:t>
            </w:r>
          </w:p>
        </w:tc>
        <w:tc>
          <w:tcPr>
            <w:tcW w:w="1025" w:type="dxa"/>
            <w:shd w:val="clear" w:color="auto" w:fill="CCCCCC"/>
          </w:tcPr>
          <w:p w14:paraId="038A0351" w14:textId="77777777" w:rsidR="00FA235F" w:rsidRDefault="00FA235F" w:rsidP="00451F7F">
            <w:pPr>
              <w:pStyle w:val="NotesTable-CellPlain"/>
            </w:pPr>
            <w:r>
              <w:t>–</w:t>
            </w:r>
          </w:p>
        </w:tc>
        <w:tc>
          <w:tcPr>
            <w:tcW w:w="1024" w:type="dxa"/>
            <w:shd w:val="clear" w:color="auto" w:fill="CCCCCC"/>
          </w:tcPr>
          <w:p w14:paraId="038A0352" w14:textId="77777777" w:rsidR="00FA235F" w:rsidRDefault="00FA235F" w:rsidP="00451F7F">
            <w:pPr>
              <w:pStyle w:val="NotesTable-CellPlain"/>
            </w:pPr>
            <w:r>
              <w:t>–</w:t>
            </w:r>
          </w:p>
        </w:tc>
        <w:tc>
          <w:tcPr>
            <w:tcW w:w="1025" w:type="dxa"/>
            <w:shd w:val="clear" w:color="auto" w:fill="CCCCCC"/>
          </w:tcPr>
          <w:p w14:paraId="038A0353" w14:textId="77777777" w:rsidR="00FA235F" w:rsidRDefault="00FA235F" w:rsidP="00451F7F">
            <w:pPr>
              <w:pStyle w:val="NotesTable-CellPlain"/>
            </w:pPr>
            <w:r>
              <w:t>–</w:t>
            </w:r>
          </w:p>
        </w:tc>
        <w:tc>
          <w:tcPr>
            <w:tcW w:w="1025" w:type="dxa"/>
            <w:shd w:val="clear" w:color="auto" w:fill="CCCCCC"/>
          </w:tcPr>
          <w:p w14:paraId="038A0354" w14:textId="77777777" w:rsidR="00FA235F" w:rsidRDefault="00FA235F" w:rsidP="00451F7F">
            <w:pPr>
              <w:pStyle w:val="NotesTable-CellPlain"/>
            </w:pPr>
            <w:r>
              <w:t>–</w:t>
            </w:r>
          </w:p>
        </w:tc>
        <w:tc>
          <w:tcPr>
            <w:tcW w:w="1025" w:type="dxa"/>
            <w:shd w:val="clear" w:color="auto" w:fill="CCCCCC"/>
          </w:tcPr>
          <w:p w14:paraId="038A0355" w14:textId="77777777" w:rsidR="00FA235F" w:rsidRDefault="00FA235F" w:rsidP="00451F7F">
            <w:pPr>
              <w:pStyle w:val="NotesTable-CellPlain"/>
            </w:pPr>
            <w:r>
              <w:t>–</w:t>
            </w:r>
          </w:p>
        </w:tc>
        <w:tc>
          <w:tcPr>
            <w:tcW w:w="340" w:type="dxa"/>
            <w:gridSpan w:val="2"/>
            <w:shd w:val="clear" w:color="auto" w:fill="CCCCCC"/>
          </w:tcPr>
          <w:p w14:paraId="038A0356" w14:textId="77777777" w:rsidR="00FA235F" w:rsidRDefault="00FA235F" w:rsidP="00451F7F">
            <w:pPr>
              <w:pStyle w:val="NotesTable-CellPlain"/>
            </w:pPr>
          </w:p>
        </w:tc>
        <w:tc>
          <w:tcPr>
            <w:tcW w:w="1026" w:type="dxa"/>
            <w:shd w:val="clear" w:color="auto" w:fill="CCCCCC"/>
          </w:tcPr>
          <w:p w14:paraId="038A0357" w14:textId="77777777" w:rsidR="00FA235F" w:rsidRDefault="00FA235F" w:rsidP="00451F7F">
            <w:pPr>
              <w:pStyle w:val="NotesTable-CellPlain"/>
            </w:pPr>
            <w:r>
              <w:t>–</w:t>
            </w:r>
          </w:p>
        </w:tc>
        <w:tc>
          <w:tcPr>
            <w:tcW w:w="1031" w:type="dxa"/>
            <w:shd w:val="clear" w:color="auto" w:fill="CCCCCC"/>
          </w:tcPr>
          <w:p w14:paraId="038A0358" w14:textId="77777777" w:rsidR="00FA235F" w:rsidRDefault="00FA235F" w:rsidP="00451F7F">
            <w:pPr>
              <w:pStyle w:val="NotesTable-CellPlain"/>
            </w:pPr>
            <w:r>
              <w:t>–</w:t>
            </w:r>
          </w:p>
        </w:tc>
        <w:tc>
          <w:tcPr>
            <w:tcW w:w="1026" w:type="dxa"/>
            <w:shd w:val="clear" w:color="auto" w:fill="CCCCCC"/>
          </w:tcPr>
          <w:p w14:paraId="038A0359" w14:textId="77777777" w:rsidR="00FA235F" w:rsidRDefault="00FA235F" w:rsidP="00451F7F">
            <w:pPr>
              <w:pStyle w:val="NotesTable-CellPlain"/>
            </w:pPr>
            <w:r>
              <w:t>–</w:t>
            </w:r>
          </w:p>
        </w:tc>
        <w:tc>
          <w:tcPr>
            <w:tcW w:w="1031" w:type="dxa"/>
            <w:shd w:val="clear" w:color="auto" w:fill="CCCCCC"/>
          </w:tcPr>
          <w:p w14:paraId="038A035A" w14:textId="77777777" w:rsidR="00FA235F" w:rsidRDefault="00FA235F" w:rsidP="00451F7F">
            <w:pPr>
              <w:pStyle w:val="NotesTable-CellPlain"/>
            </w:pPr>
            <w:r>
              <w:t>–</w:t>
            </w:r>
          </w:p>
        </w:tc>
      </w:tr>
      <w:tr w:rsidR="005E3D34" w14:paraId="038A0369" w14:textId="77777777" w:rsidTr="00E47831">
        <w:trPr>
          <w:cantSplit/>
          <w:trHeight w:val="227"/>
        </w:trPr>
        <w:tc>
          <w:tcPr>
            <w:tcW w:w="1608" w:type="dxa"/>
          </w:tcPr>
          <w:p w14:paraId="038A035C" w14:textId="77777777" w:rsidR="008B1A42" w:rsidRDefault="008B1A42" w:rsidP="00D11709">
            <w:pPr>
              <w:pStyle w:val="Note-Refs"/>
              <w:rPr>
                <w:b/>
              </w:rPr>
            </w:pPr>
            <w:r w:rsidRPr="0044652C">
              <w:t>AASB101.106d(ii)</w:t>
            </w:r>
          </w:p>
        </w:tc>
        <w:tc>
          <w:tcPr>
            <w:tcW w:w="2886" w:type="dxa"/>
            <w:shd w:val="clear" w:color="auto" w:fill="CCCCCC"/>
            <w:vAlign w:val="bottom"/>
          </w:tcPr>
          <w:p w14:paraId="038A035D" w14:textId="13637AFD" w:rsidR="008B1A42" w:rsidRPr="00FA235F" w:rsidDel="00DF5BE1" w:rsidRDefault="008B1A42" w:rsidP="00D11709">
            <w:pPr>
              <w:pStyle w:val="NotesTable-ItemPlain"/>
              <w:rPr>
                <w:b/>
              </w:rPr>
            </w:pPr>
            <w:r w:rsidRPr="00FA235F">
              <w:t>Gain</w:t>
            </w:r>
            <w:r w:rsidR="00AA5977">
              <w:t>/(loss)</w:t>
            </w:r>
            <w:r w:rsidRPr="00FA235F">
              <w:t xml:space="preserve">on </w:t>
            </w:r>
            <w:r w:rsidR="00AA5977">
              <w:t>revaluation of a</w:t>
            </w:r>
            <w:r w:rsidRPr="00FA235F">
              <w:t>vail</w:t>
            </w:r>
            <w:r w:rsidR="00AA5977">
              <w:t>able</w:t>
            </w:r>
            <w:r w:rsidRPr="00FA235F">
              <w:t xml:space="preserve">-for-sale </w:t>
            </w:r>
            <w:r w:rsidR="00AA5977">
              <w:t>financial assets</w:t>
            </w:r>
          </w:p>
        </w:tc>
        <w:tc>
          <w:tcPr>
            <w:tcW w:w="1024" w:type="dxa"/>
            <w:shd w:val="clear" w:color="auto" w:fill="CCCCCC"/>
          </w:tcPr>
          <w:p w14:paraId="038A035E" w14:textId="77777777" w:rsidR="008B1A42" w:rsidRDefault="008B1A42" w:rsidP="00451F7F">
            <w:pPr>
              <w:pStyle w:val="NotesTable-CellPlain"/>
            </w:pPr>
            <w:r>
              <w:t>–</w:t>
            </w:r>
          </w:p>
        </w:tc>
        <w:tc>
          <w:tcPr>
            <w:tcW w:w="1025" w:type="dxa"/>
            <w:shd w:val="clear" w:color="auto" w:fill="CCCCCC"/>
          </w:tcPr>
          <w:p w14:paraId="038A035F" w14:textId="77777777" w:rsidR="008B1A42" w:rsidRDefault="008B1A42" w:rsidP="00451F7F">
            <w:pPr>
              <w:pStyle w:val="NotesTable-CellPlain"/>
            </w:pPr>
            <w:r>
              <w:t>–</w:t>
            </w:r>
          </w:p>
        </w:tc>
        <w:tc>
          <w:tcPr>
            <w:tcW w:w="1024" w:type="dxa"/>
            <w:shd w:val="clear" w:color="auto" w:fill="CCCCCC"/>
          </w:tcPr>
          <w:p w14:paraId="038A0360" w14:textId="77777777" w:rsidR="008B1A42" w:rsidRDefault="008B1A42" w:rsidP="00451F7F">
            <w:pPr>
              <w:pStyle w:val="NotesTable-CellPlain"/>
            </w:pPr>
            <w:r>
              <w:t>–</w:t>
            </w:r>
          </w:p>
        </w:tc>
        <w:tc>
          <w:tcPr>
            <w:tcW w:w="1025" w:type="dxa"/>
            <w:shd w:val="clear" w:color="auto" w:fill="CCCCCC"/>
          </w:tcPr>
          <w:p w14:paraId="038A0361" w14:textId="77777777" w:rsidR="008B1A42" w:rsidRDefault="008B1A42" w:rsidP="00451F7F">
            <w:pPr>
              <w:pStyle w:val="NotesTable-CellPlain"/>
            </w:pPr>
            <w:r>
              <w:t>–</w:t>
            </w:r>
          </w:p>
        </w:tc>
        <w:tc>
          <w:tcPr>
            <w:tcW w:w="1025" w:type="dxa"/>
            <w:shd w:val="clear" w:color="auto" w:fill="CCCCCC"/>
          </w:tcPr>
          <w:p w14:paraId="038A0362" w14:textId="77777777" w:rsidR="008B1A42" w:rsidRDefault="008B1A42" w:rsidP="00451F7F">
            <w:pPr>
              <w:pStyle w:val="NotesTable-CellPlain"/>
            </w:pPr>
            <w:r>
              <w:t>–</w:t>
            </w:r>
          </w:p>
        </w:tc>
        <w:tc>
          <w:tcPr>
            <w:tcW w:w="1025" w:type="dxa"/>
            <w:shd w:val="clear" w:color="auto" w:fill="CCCCCC"/>
          </w:tcPr>
          <w:p w14:paraId="038A0363" w14:textId="77777777" w:rsidR="008B1A42" w:rsidRDefault="008B1A42" w:rsidP="00451F7F">
            <w:pPr>
              <w:pStyle w:val="NotesTable-CellPlain"/>
            </w:pPr>
            <w:r>
              <w:t>–</w:t>
            </w:r>
          </w:p>
        </w:tc>
        <w:tc>
          <w:tcPr>
            <w:tcW w:w="340" w:type="dxa"/>
            <w:gridSpan w:val="2"/>
            <w:shd w:val="clear" w:color="auto" w:fill="CCCCCC"/>
          </w:tcPr>
          <w:p w14:paraId="038A0364" w14:textId="77777777" w:rsidR="008B1A42" w:rsidRDefault="008B1A42" w:rsidP="00451F7F">
            <w:pPr>
              <w:pStyle w:val="NotesTable-CellPlain"/>
            </w:pPr>
          </w:p>
        </w:tc>
        <w:tc>
          <w:tcPr>
            <w:tcW w:w="1026" w:type="dxa"/>
            <w:shd w:val="clear" w:color="auto" w:fill="CCCCCC"/>
          </w:tcPr>
          <w:p w14:paraId="038A0365" w14:textId="77777777" w:rsidR="008B1A42" w:rsidRDefault="008B1A42" w:rsidP="00451F7F">
            <w:pPr>
              <w:pStyle w:val="NotesTable-CellPlain"/>
            </w:pPr>
            <w:r>
              <w:t>–</w:t>
            </w:r>
          </w:p>
        </w:tc>
        <w:tc>
          <w:tcPr>
            <w:tcW w:w="1031" w:type="dxa"/>
            <w:shd w:val="clear" w:color="auto" w:fill="CCCCCC"/>
          </w:tcPr>
          <w:p w14:paraId="038A0366" w14:textId="77777777" w:rsidR="008B1A42" w:rsidRDefault="008B1A42" w:rsidP="00451F7F">
            <w:pPr>
              <w:pStyle w:val="NotesTable-CellPlain"/>
            </w:pPr>
            <w:r>
              <w:t>–</w:t>
            </w:r>
          </w:p>
        </w:tc>
        <w:tc>
          <w:tcPr>
            <w:tcW w:w="1026" w:type="dxa"/>
            <w:shd w:val="clear" w:color="auto" w:fill="CCCCCC"/>
          </w:tcPr>
          <w:p w14:paraId="038A0367" w14:textId="77777777" w:rsidR="008B1A42" w:rsidRDefault="008B1A42" w:rsidP="00451F7F">
            <w:pPr>
              <w:pStyle w:val="NotesTable-CellPlain"/>
            </w:pPr>
            <w:r>
              <w:t>–</w:t>
            </w:r>
          </w:p>
        </w:tc>
        <w:tc>
          <w:tcPr>
            <w:tcW w:w="1031" w:type="dxa"/>
            <w:shd w:val="clear" w:color="auto" w:fill="CCCCCC"/>
          </w:tcPr>
          <w:p w14:paraId="038A0368" w14:textId="77777777" w:rsidR="008B1A42" w:rsidRDefault="008B1A42" w:rsidP="00451F7F">
            <w:pPr>
              <w:pStyle w:val="NotesTable-CellPlain"/>
            </w:pPr>
            <w:r>
              <w:t>–</w:t>
            </w:r>
          </w:p>
        </w:tc>
      </w:tr>
      <w:tr w:rsidR="005E3D34" w14:paraId="038A0377" w14:textId="77777777" w:rsidTr="00E47831">
        <w:trPr>
          <w:cantSplit/>
          <w:trHeight w:val="227"/>
        </w:trPr>
        <w:tc>
          <w:tcPr>
            <w:tcW w:w="1608" w:type="dxa"/>
          </w:tcPr>
          <w:p w14:paraId="038A036A" w14:textId="77777777" w:rsidR="008B1A42" w:rsidRDefault="008B1A42" w:rsidP="00D11709">
            <w:pPr>
              <w:pStyle w:val="Note-Refs"/>
              <w:rPr>
                <w:b/>
              </w:rPr>
            </w:pPr>
            <w:r w:rsidRPr="0044652C">
              <w:t>AASB101.106d(ii)</w:t>
            </w:r>
          </w:p>
        </w:tc>
        <w:tc>
          <w:tcPr>
            <w:tcW w:w="2886" w:type="dxa"/>
            <w:shd w:val="clear" w:color="auto" w:fill="CCCCCC"/>
            <w:vAlign w:val="bottom"/>
          </w:tcPr>
          <w:p w14:paraId="038A036B" w14:textId="6A71F348" w:rsidR="008B1A42" w:rsidRPr="00FA235F" w:rsidDel="00DF5BE1" w:rsidRDefault="00AA5977" w:rsidP="00D11709">
            <w:pPr>
              <w:pStyle w:val="NotesTable-ItemPlain"/>
              <w:rPr>
                <w:b/>
              </w:rPr>
            </w:pPr>
            <w:r>
              <w:t>Gain/(loss) on c</w:t>
            </w:r>
            <w:r w:rsidR="008B1A42" w:rsidRPr="00FA235F">
              <w:t>ash flow hedges</w:t>
            </w:r>
          </w:p>
        </w:tc>
        <w:tc>
          <w:tcPr>
            <w:tcW w:w="1024" w:type="dxa"/>
            <w:shd w:val="clear" w:color="auto" w:fill="CCCCCC"/>
          </w:tcPr>
          <w:p w14:paraId="038A036C" w14:textId="77777777" w:rsidR="008B1A42" w:rsidRDefault="008B1A42" w:rsidP="00451F7F">
            <w:pPr>
              <w:pStyle w:val="NotesTable-CellPlain"/>
            </w:pPr>
            <w:r>
              <w:t>–</w:t>
            </w:r>
          </w:p>
        </w:tc>
        <w:tc>
          <w:tcPr>
            <w:tcW w:w="1025" w:type="dxa"/>
            <w:shd w:val="clear" w:color="auto" w:fill="CCCCCC"/>
          </w:tcPr>
          <w:p w14:paraId="038A036D" w14:textId="77777777" w:rsidR="008B1A42" w:rsidRDefault="008B1A42" w:rsidP="00451F7F">
            <w:pPr>
              <w:pStyle w:val="NotesTable-CellPlain"/>
            </w:pPr>
            <w:r>
              <w:t>–</w:t>
            </w:r>
          </w:p>
        </w:tc>
        <w:tc>
          <w:tcPr>
            <w:tcW w:w="1024" w:type="dxa"/>
            <w:shd w:val="clear" w:color="auto" w:fill="CCCCCC"/>
          </w:tcPr>
          <w:p w14:paraId="038A036E" w14:textId="77777777" w:rsidR="008B1A42" w:rsidRDefault="008B1A42" w:rsidP="00451F7F">
            <w:pPr>
              <w:pStyle w:val="NotesTable-CellPlain"/>
            </w:pPr>
            <w:r>
              <w:t>–</w:t>
            </w:r>
          </w:p>
        </w:tc>
        <w:tc>
          <w:tcPr>
            <w:tcW w:w="1025" w:type="dxa"/>
            <w:shd w:val="clear" w:color="auto" w:fill="CCCCCC"/>
          </w:tcPr>
          <w:p w14:paraId="038A036F" w14:textId="77777777" w:rsidR="008B1A42" w:rsidRDefault="008B1A42" w:rsidP="00451F7F">
            <w:pPr>
              <w:pStyle w:val="NotesTable-CellPlain"/>
            </w:pPr>
            <w:r>
              <w:t>–</w:t>
            </w:r>
          </w:p>
        </w:tc>
        <w:tc>
          <w:tcPr>
            <w:tcW w:w="1025" w:type="dxa"/>
            <w:shd w:val="clear" w:color="auto" w:fill="CCCCCC"/>
          </w:tcPr>
          <w:p w14:paraId="038A0370" w14:textId="77777777" w:rsidR="008B1A42" w:rsidRDefault="008B1A42" w:rsidP="00451F7F">
            <w:pPr>
              <w:pStyle w:val="NotesTable-CellPlain"/>
            </w:pPr>
            <w:r>
              <w:t>–</w:t>
            </w:r>
          </w:p>
        </w:tc>
        <w:tc>
          <w:tcPr>
            <w:tcW w:w="1025" w:type="dxa"/>
            <w:shd w:val="clear" w:color="auto" w:fill="CCCCCC"/>
          </w:tcPr>
          <w:p w14:paraId="038A0371" w14:textId="77777777" w:rsidR="008B1A42" w:rsidRDefault="008B1A42" w:rsidP="00451F7F">
            <w:pPr>
              <w:pStyle w:val="NotesTable-CellPlain"/>
            </w:pPr>
            <w:r>
              <w:t>–</w:t>
            </w:r>
          </w:p>
        </w:tc>
        <w:tc>
          <w:tcPr>
            <w:tcW w:w="340" w:type="dxa"/>
            <w:gridSpan w:val="2"/>
            <w:shd w:val="clear" w:color="auto" w:fill="CCCCCC"/>
          </w:tcPr>
          <w:p w14:paraId="038A0372" w14:textId="77777777" w:rsidR="008B1A42" w:rsidRDefault="008B1A42" w:rsidP="00451F7F">
            <w:pPr>
              <w:pStyle w:val="NotesTable-CellPlain"/>
            </w:pPr>
          </w:p>
        </w:tc>
        <w:tc>
          <w:tcPr>
            <w:tcW w:w="1026" w:type="dxa"/>
            <w:shd w:val="clear" w:color="auto" w:fill="CCCCCC"/>
          </w:tcPr>
          <w:p w14:paraId="038A0373" w14:textId="77777777" w:rsidR="008B1A42" w:rsidRDefault="008B1A42" w:rsidP="00451F7F">
            <w:pPr>
              <w:pStyle w:val="NotesTable-CellPlain"/>
            </w:pPr>
            <w:r>
              <w:t>–</w:t>
            </w:r>
          </w:p>
        </w:tc>
        <w:tc>
          <w:tcPr>
            <w:tcW w:w="1031" w:type="dxa"/>
            <w:shd w:val="clear" w:color="auto" w:fill="CCCCCC"/>
          </w:tcPr>
          <w:p w14:paraId="038A0374" w14:textId="77777777" w:rsidR="008B1A42" w:rsidRDefault="008B1A42" w:rsidP="00451F7F">
            <w:pPr>
              <w:pStyle w:val="NotesTable-CellPlain"/>
            </w:pPr>
            <w:r>
              <w:t>–</w:t>
            </w:r>
          </w:p>
        </w:tc>
        <w:tc>
          <w:tcPr>
            <w:tcW w:w="1026" w:type="dxa"/>
            <w:shd w:val="clear" w:color="auto" w:fill="CCCCCC"/>
          </w:tcPr>
          <w:p w14:paraId="038A0375" w14:textId="77777777" w:rsidR="008B1A42" w:rsidRDefault="008B1A42" w:rsidP="00451F7F">
            <w:pPr>
              <w:pStyle w:val="NotesTable-CellPlain"/>
            </w:pPr>
            <w:r>
              <w:t>–</w:t>
            </w:r>
          </w:p>
        </w:tc>
        <w:tc>
          <w:tcPr>
            <w:tcW w:w="1031" w:type="dxa"/>
            <w:shd w:val="clear" w:color="auto" w:fill="CCCCCC"/>
          </w:tcPr>
          <w:p w14:paraId="038A0376" w14:textId="77777777" w:rsidR="008B1A42" w:rsidRDefault="008B1A42" w:rsidP="00451F7F">
            <w:pPr>
              <w:pStyle w:val="NotesTable-CellPlain"/>
            </w:pPr>
            <w:r>
              <w:t>–</w:t>
            </w:r>
          </w:p>
        </w:tc>
      </w:tr>
      <w:tr w:rsidR="005E3D34" w14:paraId="038A0385" w14:textId="77777777" w:rsidTr="00E47831">
        <w:trPr>
          <w:cantSplit/>
          <w:trHeight w:val="227"/>
        </w:trPr>
        <w:tc>
          <w:tcPr>
            <w:tcW w:w="1608" w:type="dxa"/>
          </w:tcPr>
          <w:p w14:paraId="038A0378" w14:textId="77777777" w:rsidR="008B1A42" w:rsidRDefault="008B1A42" w:rsidP="00D11709">
            <w:pPr>
              <w:pStyle w:val="Note-Refs"/>
              <w:rPr>
                <w:b/>
              </w:rPr>
            </w:pPr>
            <w:r w:rsidRPr="0044652C">
              <w:t>AASB101.106d(ii)</w:t>
            </w:r>
          </w:p>
        </w:tc>
        <w:tc>
          <w:tcPr>
            <w:tcW w:w="2886" w:type="dxa"/>
            <w:shd w:val="clear" w:color="auto" w:fill="CCCCCC"/>
            <w:vAlign w:val="bottom"/>
          </w:tcPr>
          <w:p w14:paraId="038A0379" w14:textId="77301AEA" w:rsidR="008B1A42" w:rsidRPr="00FA235F" w:rsidDel="00DF5BE1" w:rsidRDefault="008B1A42" w:rsidP="00D11709">
            <w:pPr>
              <w:pStyle w:val="NotesTable-ItemPlain"/>
              <w:rPr>
                <w:b/>
              </w:rPr>
            </w:pPr>
            <w:r w:rsidRPr="00FA235F">
              <w:t>Gain</w:t>
            </w:r>
            <w:r w:rsidR="00AA5977">
              <w:t xml:space="preserve">/(loss) </w:t>
            </w:r>
            <w:r w:rsidRPr="00FA235F">
              <w:t xml:space="preserve">on </w:t>
            </w:r>
            <w:r w:rsidR="00AA5977">
              <w:t>f</w:t>
            </w:r>
            <w:r w:rsidRPr="00FA235F">
              <w:t>oreign exchange</w:t>
            </w:r>
          </w:p>
        </w:tc>
        <w:tc>
          <w:tcPr>
            <w:tcW w:w="1024" w:type="dxa"/>
            <w:shd w:val="clear" w:color="auto" w:fill="CCCCCC"/>
          </w:tcPr>
          <w:p w14:paraId="038A037A" w14:textId="77777777" w:rsidR="008B1A42" w:rsidRDefault="008B1A42" w:rsidP="00451F7F">
            <w:pPr>
              <w:pStyle w:val="NotesTable-CellPlain"/>
            </w:pPr>
            <w:r>
              <w:t>–</w:t>
            </w:r>
          </w:p>
        </w:tc>
        <w:tc>
          <w:tcPr>
            <w:tcW w:w="1025" w:type="dxa"/>
            <w:shd w:val="clear" w:color="auto" w:fill="CCCCCC"/>
          </w:tcPr>
          <w:p w14:paraId="038A037B" w14:textId="77777777" w:rsidR="008B1A42" w:rsidRDefault="008B1A42" w:rsidP="00451F7F">
            <w:pPr>
              <w:pStyle w:val="NotesTable-CellPlain"/>
            </w:pPr>
            <w:r>
              <w:t>–</w:t>
            </w:r>
          </w:p>
        </w:tc>
        <w:tc>
          <w:tcPr>
            <w:tcW w:w="1024" w:type="dxa"/>
            <w:shd w:val="clear" w:color="auto" w:fill="CCCCCC"/>
          </w:tcPr>
          <w:p w14:paraId="038A037C" w14:textId="77777777" w:rsidR="008B1A42" w:rsidRDefault="008B1A42" w:rsidP="00451F7F">
            <w:pPr>
              <w:pStyle w:val="NotesTable-CellPlain"/>
            </w:pPr>
            <w:r>
              <w:t>–</w:t>
            </w:r>
          </w:p>
        </w:tc>
        <w:tc>
          <w:tcPr>
            <w:tcW w:w="1025" w:type="dxa"/>
            <w:shd w:val="clear" w:color="auto" w:fill="CCCCCC"/>
          </w:tcPr>
          <w:p w14:paraId="038A037D" w14:textId="77777777" w:rsidR="008B1A42" w:rsidRDefault="008B1A42" w:rsidP="00451F7F">
            <w:pPr>
              <w:pStyle w:val="NotesTable-CellPlain"/>
            </w:pPr>
            <w:r>
              <w:t>–</w:t>
            </w:r>
          </w:p>
        </w:tc>
        <w:tc>
          <w:tcPr>
            <w:tcW w:w="1025" w:type="dxa"/>
            <w:shd w:val="clear" w:color="auto" w:fill="CCCCCC"/>
          </w:tcPr>
          <w:p w14:paraId="038A037E" w14:textId="77777777" w:rsidR="008B1A42" w:rsidRDefault="008B1A42" w:rsidP="00451F7F">
            <w:pPr>
              <w:pStyle w:val="NotesTable-CellPlain"/>
            </w:pPr>
            <w:r>
              <w:t>–</w:t>
            </w:r>
          </w:p>
        </w:tc>
        <w:tc>
          <w:tcPr>
            <w:tcW w:w="1025" w:type="dxa"/>
            <w:shd w:val="clear" w:color="auto" w:fill="CCCCCC"/>
          </w:tcPr>
          <w:p w14:paraId="038A037F" w14:textId="77777777" w:rsidR="008B1A42" w:rsidRDefault="008B1A42" w:rsidP="00451F7F">
            <w:pPr>
              <w:pStyle w:val="NotesTable-CellPlain"/>
            </w:pPr>
            <w:r>
              <w:t>–</w:t>
            </w:r>
          </w:p>
        </w:tc>
        <w:tc>
          <w:tcPr>
            <w:tcW w:w="340" w:type="dxa"/>
            <w:gridSpan w:val="2"/>
            <w:shd w:val="clear" w:color="auto" w:fill="CCCCCC"/>
          </w:tcPr>
          <w:p w14:paraId="038A0380" w14:textId="77777777" w:rsidR="008B1A42" w:rsidRDefault="008B1A42" w:rsidP="00451F7F">
            <w:pPr>
              <w:pStyle w:val="NotesTable-CellPlain"/>
            </w:pPr>
          </w:p>
        </w:tc>
        <w:tc>
          <w:tcPr>
            <w:tcW w:w="1026" w:type="dxa"/>
            <w:shd w:val="clear" w:color="auto" w:fill="CCCCCC"/>
          </w:tcPr>
          <w:p w14:paraId="038A0381" w14:textId="77777777" w:rsidR="008B1A42" w:rsidRDefault="008B1A42" w:rsidP="00451F7F">
            <w:pPr>
              <w:pStyle w:val="NotesTable-CellPlain"/>
            </w:pPr>
            <w:r>
              <w:t>–</w:t>
            </w:r>
          </w:p>
        </w:tc>
        <w:tc>
          <w:tcPr>
            <w:tcW w:w="1031" w:type="dxa"/>
            <w:shd w:val="clear" w:color="auto" w:fill="CCCCCC"/>
          </w:tcPr>
          <w:p w14:paraId="038A0382" w14:textId="77777777" w:rsidR="008B1A42" w:rsidRDefault="008B1A42" w:rsidP="00451F7F">
            <w:pPr>
              <w:pStyle w:val="NotesTable-CellPlain"/>
            </w:pPr>
            <w:r>
              <w:t>–</w:t>
            </w:r>
          </w:p>
        </w:tc>
        <w:tc>
          <w:tcPr>
            <w:tcW w:w="1026" w:type="dxa"/>
            <w:shd w:val="clear" w:color="auto" w:fill="CCCCCC"/>
          </w:tcPr>
          <w:p w14:paraId="038A0383" w14:textId="77777777" w:rsidR="008B1A42" w:rsidRDefault="008B1A42" w:rsidP="00451F7F">
            <w:pPr>
              <w:pStyle w:val="NotesTable-CellPlain"/>
            </w:pPr>
            <w:r>
              <w:t>–</w:t>
            </w:r>
          </w:p>
        </w:tc>
        <w:tc>
          <w:tcPr>
            <w:tcW w:w="1031" w:type="dxa"/>
            <w:shd w:val="clear" w:color="auto" w:fill="CCCCCC"/>
          </w:tcPr>
          <w:p w14:paraId="038A0384" w14:textId="77777777" w:rsidR="008B1A42" w:rsidRDefault="008B1A42" w:rsidP="00451F7F">
            <w:pPr>
              <w:pStyle w:val="NotesTable-CellPlain"/>
            </w:pPr>
            <w:r>
              <w:t>–</w:t>
            </w:r>
          </w:p>
        </w:tc>
      </w:tr>
      <w:tr w:rsidR="005E3D34" w14:paraId="038A0393" w14:textId="77777777" w:rsidTr="00E47831">
        <w:trPr>
          <w:cantSplit/>
          <w:trHeight w:val="227"/>
        </w:trPr>
        <w:tc>
          <w:tcPr>
            <w:tcW w:w="1608" w:type="dxa"/>
          </w:tcPr>
          <w:p w14:paraId="038A0386" w14:textId="77777777" w:rsidR="008B1A42" w:rsidRDefault="008B1A42" w:rsidP="00D11709">
            <w:pPr>
              <w:pStyle w:val="Note-Refs"/>
              <w:rPr>
                <w:b/>
              </w:rPr>
            </w:pPr>
            <w:r w:rsidRPr="0044652C">
              <w:t>AASB101.106d(ii)</w:t>
            </w:r>
          </w:p>
        </w:tc>
        <w:tc>
          <w:tcPr>
            <w:tcW w:w="2886" w:type="dxa"/>
            <w:shd w:val="clear" w:color="auto" w:fill="CCCCCC"/>
            <w:vAlign w:val="bottom"/>
          </w:tcPr>
          <w:p w14:paraId="038A0387" w14:textId="0B858B15" w:rsidR="008B1A42" w:rsidRPr="00FA235F" w:rsidDel="00DF5BE1" w:rsidRDefault="00AA5977" w:rsidP="00D11709">
            <w:pPr>
              <w:pStyle w:val="NotesTable-ItemPlain"/>
              <w:rPr>
                <w:b/>
              </w:rPr>
            </w:pPr>
            <w:r>
              <w:t>Share of other comprehensive income of associate and joint ventures, net of tax</w:t>
            </w:r>
          </w:p>
        </w:tc>
        <w:tc>
          <w:tcPr>
            <w:tcW w:w="1024" w:type="dxa"/>
            <w:shd w:val="clear" w:color="auto" w:fill="CCCCCC"/>
          </w:tcPr>
          <w:p w14:paraId="038A0388" w14:textId="386F8F1B" w:rsidR="008B1A42" w:rsidRDefault="008B1A42" w:rsidP="00451F7F">
            <w:pPr>
              <w:pStyle w:val="NotesTable-CellPlain"/>
            </w:pPr>
            <w:r>
              <w:t>–</w:t>
            </w:r>
          </w:p>
        </w:tc>
        <w:tc>
          <w:tcPr>
            <w:tcW w:w="1025" w:type="dxa"/>
            <w:shd w:val="clear" w:color="auto" w:fill="CCCCCC"/>
          </w:tcPr>
          <w:p w14:paraId="038A0389" w14:textId="3144D36B" w:rsidR="008B1A42" w:rsidRDefault="008B1A42" w:rsidP="00451F7F">
            <w:pPr>
              <w:pStyle w:val="NotesTable-CellPlain"/>
            </w:pPr>
            <w:r>
              <w:t>–</w:t>
            </w:r>
          </w:p>
        </w:tc>
        <w:tc>
          <w:tcPr>
            <w:tcW w:w="1024" w:type="dxa"/>
            <w:shd w:val="clear" w:color="auto" w:fill="CCCCCC"/>
          </w:tcPr>
          <w:p w14:paraId="038A038A" w14:textId="49C1F79B" w:rsidR="008B1A42" w:rsidRDefault="008B1A42" w:rsidP="00451F7F">
            <w:pPr>
              <w:pStyle w:val="NotesTable-CellPlain"/>
            </w:pPr>
            <w:r>
              <w:t>–</w:t>
            </w:r>
          </w:p>
        </w:tc>
        <w:tc>
          <w:tcPr>
            <w:tcW w:w="1025" w:type="dxa"/>
            <w:shd w:val="clear" w:color="auto" w:fill="CCCCCC"/>
          </w:tcPr>
          <w:p w14:paraId="038A038B" w14:textId="107DEB8B" w:rsidR="008B1A42" w:rsidRDefault="008B1A42" w:rsidP="00451F7F">
            <w:pPr>
              <w:pStyle w:val="NotesTable-CellPlain"/>
            </w:pPr>
            <w:r>
              <w:t>–</w:t>
            </w:r>
          </w:p>
        </w:tc>
        <w:tc>
          <w:tcPr>
            <w:tcW w:w="1025" w:type="dxa"/>
            <w:shd w:val="clear" w:color="auto" w:fill="CCCCCC"/>
          </w:tcPr>
          <w:p w14:paraId="038A038C" w14:textId="100AFC4E" w:rsidR="008B1A42" w:rsidRDefault="008B1A42" w:rsidP="00451F7F">
            <w:pPr>
              <w:pStyle w:val="NotesTable-CellPlain"/>
            </w:pPr>
            <w:r>
              <w:t>–</w:t>
            </w:r>
          </w:p>
        </w:tc>
        <w:tc>
          <w:tcPr>
            <w:tcW w:w="1025" w:type="dxa"/>
            <w:shd w:val="clear" w:color="auto" w:fill="CCCCCC"/>
          </w:tcPr>
          <w:p w14:paraId="038A038D" w14:textId="0B31C97A" w:rsidR="008B1A42" w:rsidRDefault="008B1A42" w:rsidP="00451F7F">
            <w:pPr>
              <w:pStyle w:val="NotesTable-CellPlain"/>
            </w:pPr>
            <w:r>
              <w:t>–</w:t>
            </w:r>
          </w:p>
        </w:tc>
        <w:tc>
          <w:tcPr>
            <w:tcW w:w="340" w:type="dxa"/>
            <w:gridSpan w:val="2"/>
            <w:shd w:val="clear" w:color="auto" w:fill="CCCCCC"/>
          </w:tcPr>
          <w:p w14:paraId="038A038E" w14:textId="77777777" w:rsidR="008B1A42" w:rsidRDefault="008B1A42" w:rsidP="00451F7F">
            <w:pPr>
              <w:pStyle w:val="NotesTable-CellPlain"/>
            </w:pPr>
          </w:p>
        </w:tc>
        <w:tc>
          <w:tcPr>
            <w:tcW w:w="1026" w:type="dxa"/>
            <w:shd w:val="clear" w:color="auto" w:fill="CCCCCC"/>
          </w:tcPr>
          <w:p w14:paraId="038A038F" w14:textId="14A14DC9" w:rsidR="008B1A42" w:rsidRDefault="008B1A42" w:rsidP="00451F7F">
            <w:pPr>
              <w:pStyle w:val="NotesTable-CellPlain"/>
            </w:pPr>
            <w:r>
              <w:t>–</w:t>
            </w:r>
          </w:p>
        </w:tc>
        <w:tc>
          <w:tcPr>
            <w:tcW w:w="1031" w:type="dxa"/>
            <w:shd w:val="clear" w:color="auto" w:fill="CCCCCC"/>
          </w:tcPr>
          <w:p w14:paraId="038A0390" w14:textId="506A2F31" w:rsidR="008B1A42" w:rsidRDefault="008B1A42" w:rsidP="00451F7F">
            <w:pPr>
              <w:pStyle w:val="NotesTable-CellPlain"/>
            </w:pPr>
            <w:r>
              <w:t>–</w:t>
            </w:r>
          </w:p>
        </w:tc>
        <w:tc>
          <w:tcPr>
            <w:tcW w:w="1026" w:type="dxa"/>
            <w:shd w:val="clear" w:color="auto" w:fill="CCCCCC"/>
          </w:tcPr>
          <w:p w14:paraId="038A0391" w14:textId="6EC9D7D6" w:rsidR="008B1A42" w:rsidRDefault="008B1A42" w:rsidP="00451F7F">
            <w:pPr>
              <w:pStyle w:val="NotesTable-CellPlain"/>
            </w:pPr>
            <w:r>
              <w:t>–</w:t>
            </w:r>
          </w:p>
        </w:tc>
        <w:tc>
          <w:tcPr>
            <w:tcW w:w="1031" w:type="dxa"/>
            <w:shd w:val="clear" w:color="auto" w:fill="CCCCCC"/>
          </w:tcPr>
          <w:p w14:paraId="038A0392" w14:textId="7DC0F6D2" w:rsidR="008B1A42" w:rsidRDefault="008B1A42" w:rsidP="00451F7F">
            <w:pPr>
              <w:pStyle w:val="NotesTable-CellPlain"/>
            </w:pPr>
            <w:r>
              <w:t>–</w:t>
            </w:r>
          </w:p>
        </w:tc>
      </w:tr>
      <w:tr w:rsidR="00C965C6" w14:paraId="65FBA343" w14:textId="77777777" w:rsidTr="00E47831">
        <w:trPr>
          <w:cantSplit/>
          <w:trHeight w:val="227"/>
        </w:trPr>
        <w:tc>
          <w:tcPr>
            <w:tcW w:w="1608" w:type="dxa"/>
          </w:tcPr>
          <w:p w14:paraId="7B52DFC5" w14:textId="77777777" w:rsidR="00C965C6" w:rsidRDefault="00C965C6" w:rsidP="00D11709">
            <w:pPr>
              <w:pStyle w:val="Note-Refs"/>
            </w:pPr>
          </w:p>
        </w:tc>
        <w:tc>
          <w:tcPr>
            <w:tcW w:w="2886" w:type="dxa"/>
            <w:shd w:val="clear" w:color="auto" w:fill="CCCCCC"/>
            <w:vAlign w:val="bottom"/>
          </w:tcPr>
          <w:p w14:paraId="355F91E9" w14:textId="2EA1CF40" w:rsidR="00C965C6" w:rsidRPr="00FA235F" w:rsidRDefault="00C965C6" w:rsidP="00D11709">
            <w:pPr>
              <w:pStyle w:val="NotesTable-ItemPlain"/>
            </w:pPr>
            <w:r>
              <w:t>Remeasurements of Defined Benefit Plans</w:t>
            </w:r>
          </w:p>
        </w:tc>
        <w:tc>
          <w:tcPr>
            <w:tcW w:w="1024" w:type="dxa"/>
            <w:shd w:val="clear" w:color="auto" w:fill="CCCCCC"/>
          </w:tcPr>
          <w:p w14:paraId="2E6D6F89" w14:textId="4665B409" w:rsidR="00C965C6" w:rsidRDefault="00C965C6" w:rsidP="00451F7F">
            <w:pPr>
              <w:pStyle w:val="NotesTable-CellPlain"/>
            </w:pPr>
            <w:r>
              <w:t>–</w:t>
            </w:r>
          </w:p>
        </w:tc>
        <w:tc>
          <w:tcPr>
            <w:tcW w:w="1025" w:type="dxa"/>
            <w:shd w:val="clear" w:color="auto" w:fill="CCCCCC"/>
          </w:tcPr>
          <w:p w14:paraId="375CB715" w14:textId="46B8A6D8" w:rsidR="00C965C6" w:rsidRDefault="00C965C6" w:rsidP="00451F7F">
            <w:pPr>
              <w:pStyle w:val="NotesTable-CellPlain"/>
            </w:pPr>
            <w:r>
              <w:t>–</w:t>
            </w:r>
          </w:p>
        </w:tc>
        <w:tc>
          <w:tcPr>
            <w:tcW w:w="1024" w:type="dxa"/>
            <w:shd w:val="clear" w:color="auto" w:fill="CCCCCC"/>
          </w:tcPr>
          <w:p w14:paraId="7AE87213" w14:textId="34E583B0" w:rsidR="00C965C6" w:rsidRDefault="00C965C6" w:rsidP="00451F7F">
            <w:pPr>
              <w:pStyle w:val="NotesTable-CellPlain"/>
            </w:pPr>
            <w:r>
              <w:t>–</w:t>
            </w:r>
          </w:p>
        </w:tc>
        <w:tc>
          <w:tcPr>
            <w:tcW w:w="1025" w:type="dxa"/>
            <w:shd w:val="clear" w:color="auto" w:fill="CCCCCC"/>
          </w:tcPr>
          <w:p w14:paraId="426D2DC0" w14:textId="63F9BAE5" w:rsidR="00C965C6" w:rsidRDefault="00C965C6" w:rsidP="00451F7F">
            <w:pPr>
              <w:pStyle w:val="NotesTable-CellPlain"/>
            </w:pPr>
            <w:r>
              <w:t>–</w:t>
            </w:r>
          </w:p>
        </w:tc>
        <w:tc>
          <w:tcPr>
            <w:tcW w:w="1025" w:type="dxa"/>
            <w:shd w:val="clear" w:color="auto" w:fill="CCCCCC"/>
          </w:tcPr>
          <w:p w14:paraId="7180F956" w14:textId="7E83D9B9" w:rsidR="00C965C6" w:rsidRDefault="00C965C6" w:rsidP="00451F7F">
            <w:pPr>
              <w:pStyle w:val="NotesTable-CellPlain"/>
            </w:pPr>
            <w:r>
              <w:t>–</w:t>
            </w:r>
          </w:p>
        </w:tc>
        <w:tc>
          <w:tcPr>
            <w:tcW w:w="1025" w:type="dxa"/>
            <w:shd w:val="clear" w:color="auto" w:fill="CCCCCC"/>
          </w:tcPr>
          <w:p w14:paraId="7BEA493B" w14:textId="23449C0C" w:rsidR="00C965C6" w:rsidRDefault="00C965C6" w:rsidP="00451F7F">
            <w:pPr>
              <w:pStyle w:val="NotesTable-CellPlain"/>
            </w:pPr>
            <w:r>
              <w:t>–</w:t>
            </w:r>
          </w:p>
        </w:tc>
        <w:tc>
          <w:tcPr>
            <w:tcW w:w="340" w:type="dxa"/>
            <w:gridSpan w:val="2"/>
            <w:shd w:val="clear" w:color="auto" w:fill="CCCCCC"/>
          </w:tcPr>
          <w:p w14:paraId="66085956" w14:textId="77777777" w:rsidR="00C965C6" w:rsidRDefault="00C965C6" w:rsidP="00451F7F">
            <w:pPr>
              <w:pStyle w:val="NotesTable-CellPlain"/>
            </w:pPr>
          </w:p>
        </w:tc>
        <w:tc>
          <w:tcPr>
            <w:tcW w:w="1026" w:type="dxa"/>
            <w:shd w:val="clear" w:color="auto" w:fill="CCCCCC"/>
          </w:tcPr>
          <w:p w14:paraId="695830A6" w14:textId="1A234C5B" w:rsidR="00C965C6" w:rsidRDefault="00C965C6" w:rsidP="00451F7F">
            <w:pPr>
              <w:pStyle w:val="NotesTable-CellPlain"/>
            </w:pPr>
            <w:r>
              <w:t>–</w:t>
            </w:r>
          </w:p>
        </w:tc>
        <w:tc>
          <w:tcPr>
            <w:tcW w:w="1031" w:type="dxa"/>
            <w:shd w:val="clear" w:color="auto" w:fill="CCCCCC"/>
          </w:tcPr>
          <w:p w14:paraId="774F4C88" w14:textId="57350A49" w:rsidR="00C965C6" w:rsidRDefault="00C965C6" w:rsidP="00451F7F">
            <w:pPr>
              <w:pStyle w:val="NotesTable-CellPlain"/>
            </w:pPr>
            <w:r>
              <w:t>–</w:t>
            </w:r>
          </w:p>
        </w:tc>
        <w:tc>
          <w:tcPr>
            <w:tcW w:w="1026" w:type="dxa"/>
            <w:shd w:val="clear" w:color="auto" w:fill="CCCCCC"/>
          </w:tcPr>
          <w:p w14:paraId="383803C1" w14:textId="28D87A72" w:rsidR="00C965C6" w:rsidRDefault="00C965C6" w:rsidP="00451F7F">
            <w:pPr>
              <w:pStyle w:val="NotesTable-CellPlain"/>
            </w:pPr>
            <w:r>
              <w:t>–</w:t>
            </w:r>
          </w:p>
        </w:tc>
        <w:tc>
          <w:tcPr>
            <w:tcW w:w="1031" w:type="dxa"/>
            <w:shd w:val="clear" w:color="auto" w:fill="CCCCCC"/>
          </w:tcPr>
          <w:p w14:paraId="57F4D0D0" w14:textId="13DE3EC9" w:rsidR="00C965C6" w:rsidRDefault="00C965C6" w:rsidP="00451F7F">
            <w:pPr>
              <w:pStyle w:val="NotesTable-CellPlain"/>
            </w:pPr>
            <w:r>
              <w:t>–</w:t>
            </w:r>
          </w:p>
        </w:tc>
      </w:tr>
      <w:tr w:rsidR="00C965C6" w14:paraId="2AE34106" w14:textId="77777777" w:rsidTr="00E47831">
        <w:trPr>
          <w:cantSplit/>
          <w:trHeight w:val="227"/>
        </w:trPr>
        <w:tc>
          <w:tcPr>
            <w:tcW w:w="1608" w:type="dxa"/>
          </w:tcPr>
          <w:p w14:paraId="2676684F" w14:textId="77777777" w:rsidR="00C965C6" w:rsidRDefault="00C965C6" w:rsidP="00D11709">
            <w:pPr>
              <w:pStyle w:val="Note-Refs"/>
            </w:pPr>
          </w:p>
        </w:tc>
        <w:tc>
          <w:tcPr>
            <w:tcW w:w="2886" w:type="dxa"/>
            <w:shd w:val="clear" w:color="auto" w:fill="CCCCCC"/>
            <w:vAlign w:val="bottom"/>
          </w:tcPr>
          <w:p w14:paraId="278C72C5" w14:textId="11C931A7" w:rsidR="00C965C6" w:rsidRPr="00FA235F" w:rsidRDefault="00C965C6" w:rsidP="00D11709">
            <w:pPr>
              <w:pStyle w:val="NotesTable-ItemPlain"/>
            </w:pPr>
            <w:r>
              <w:t>Transfer from revaluation reserves to retained surplus for asset sales</w:t>
            </w:r>
          </w:p>
        </w:tc>
        <w:tc>
          <w:tcPr>
            <w:tcW w:w="1024" w:type="dxa"/>
            <w:shd w:val="clear" w:color="auto" w:fill="CCCCCC"/>
          </w:tcPr>
          <w:p w14:paraId="521BC1C3" w14:textId="501B508D" w:rsidR="00C965C6" w:rsidRDefault="00C965C6" w:rsidP="00451F7F">
            <w:pPr>
              <w:pStyle w:val="NotesTable-CellPlain"/>
            </w:pPr>
            <w:r>
              <w:t>–</w:t>
            </w:r>
          </w:p>
        </w:tc>
        <w:tc>
          <w:tcPr>
            <w:tcW w:w="1025" w:type="dxa"/>
            <w:shd w:val="clear" w:color="auto" w:fill="CCCCCC"/>
          </w:tcPr>
          <w:p w14:paraId="0DE539A6" w14:textId="42EE1F84" w:rsidR="00C965C6" w:rsidRDefault="00C965C6" w:rsidP="00451F7F">
            <w:pPr>
              <w:pStyle w:val="NotesTable-CellPlain"/>
            </w:pPr>
            <w:r>
              <w:t>–</w:t>
            </w:r>
          </w:p>
        </w:tc>
        <w:tc>
          <w:tcPr>
            <w:tcW w:w="1024" w:type="dxa"/>
            <w:shd w:val="clear" w:color="auto" w:fill="CCCCCC"/>
          </w:tcPr>
          <w:p w14:paraId="2DE146AF" w14:textId="443BF32E" w:rsidR="00C965C6" w:rsidRDefault="00C965C6" w:rsidP="00451F7F">
            <w:pPr>
              <w:pStyle w:val="NotesTable-CellPlain"/>
            </w:pPr>
            <w:r>
              <w:t>–</w:t>
            </w:r>
          </w:p>
        </w:tc>
        <w:tc>
          <w:tcPr>
            <w:tcW w:w="1025" w:type="dxa"/>
            <w:shd w:val="clear" w:color="auto" w:fill="CCCCCC"/>
          </w:tcPr>
          <w:p w14:paraId="366175F3" w14:textId="4AECF896" w:rsidR="00C965C6" w:rsidRDefault="00C965C6" w:rsidP="00451F7F">
            <w:pPr>
              <w:pStyle w:val="NotesTable-CellPlain"/>
            </w:pPr>
            <w:r>
              <w:t>–</w:t>
            </w:r>
          </w:p>
        </w:tc>
        <w:tc>
          <w:tcPr>
            <w:tcW w:w="1025" w:type="dxa"/>
            <w:shd w:val="clear" w:color="auto" w:fill="CCCCCC"/>
          </w:tcPr>
          <w:p w14:paraId="53F6C4F7" w14:textId="00097A46" w:rsidR="00C965C6" w:rsidRDefault="00C965C6" w:rsidP="00451F7F">
            <w:pPr>
              <w:pStyle w:val="NotesTable-CellPlain"/>
            </w:pPr>
            <w:r>
              <w:t>–</w:t>
            </w:r>
          </w:p>
        </w:tc>
        <w:tc>
          <w:tcPr>
            <w:tcW w:w="1025" w:type="dxa"/>
            <w:shd w:val="clear" w:color="auto" w:fill="CCCCCC"/>
          </w:tcPr>
          <w:p w14:paraId="3CEF21D4" w14:textId="06A47280" w:rsidR="00C965C6" w:rsidRDefault="00C965C6" w:rsidP="00451F7F">
            <w:pPr>
              <w:pStyle w:val="NotesTable-CellPlain"/>
            </w:pPr>
            <w:r>
              <w:t>–</w:t>
            </w:r>
          </w:p>
        </w:tc>
        <w:tc>
          <w:tcPr>
            <w:tcW w:w="340" w:type="dxa"/>
            <w:gridSpan w:val="2"/>
            <w:shd w:val="clear" w:color="auto" w:fill="CCCCCC"/>
          </w:tcPr>
          <w:p w14:paraId="3CF1A3A6" w14:textId="77777777" w:rsidR="00C965C6" w:rsidRDefault="00C965C6" w:rsidP="00451F7F">
            <w:pPr>
              <w:pStyle w:val="NotesTable-CellPlain"/>
            </w:pPr>
          </w:p>
        </w:tc>
        <w:tc>
          <w:tcPr>
            <w:tcW w:w="1026" w:type="dxa"/>
            <w:shd w:val="clear" w:color="auto" w:fill="CCCCCC"/>
          </w:tcPr>
          <w:p w14:paraId="1D1FE4C8" w14:textId="6DC94C46" w:rsidR="00C965C6" w:rsidRDefault="00C965C6" w:rsidP="00451F7F">
            <w:pPr>
              <w:pStyle w:val="NotesTable-CellPlain"/>
            </w:pPr>
            <w:r>
              <w:t>–</w:t>
            </w:r>
          </w:p>
        </w:tc>
        <w:tc>
          <w:tcPr>
            <w:tcW w:w="1031" w:type="dxa"/>
            <w:shd w:val="clear" w:color="auto" w:fill="CCCCCC"/>
          </w:tcPr>
          <w:p w14:paraId="6B989F73" w14:textId="5E8014A1" w:rsidR="00C965C6" w:rsidRDefault="00C965C6" w:rsidP="00451F7F">
            <w:pPr>
              <w:pStyle w:val="NotesTable-CellPlain"/>
            </w:pPr>
            <w:r>
              <w:t>–</w:t>
            </w:r>
          </w:p>
        </w:tc>
        <w:tc>
          <w:tcPr>
            <w:tcW w:w="1026" w:type="dxa"/>
            <w:shd w:val="clear" w:color="auto" w:fill="CCCCCC"/>
          </w:tcPr>
          <w:p w14:paraId="5929F3F7" w14:textId="72A44E36" w:rsidR="00C965C6" w:rsidRDefault="00C965C6" w:rsidP="00451F7F">
            <w:pPr>
              <w:pStyle w:val="NotesTable-CellPlain"/>
            </w:pPr>
            <w:r>
              <w:t>–</w:t>
            </w:r>
          </w:p>
        </w:tc>
        <w:tc>
          <w:tcPr>
            <w:tcW w:w="1031" w:type="dxa"/>
            <w:shd w:val="clear" w:color="auto" w:fill="CCCCCC"/>
          </w:tcPr>
          <w:p w14:paraId="398127DE" w14:textId="245952C6" w:rsidR="00C965C6" w:rsidRDefault="00C965C6" w:rsidP="00451F7F">
            <w:pPr>
              <w:pStyle w:val="NotesTable-CellPlain"/>
            </w:pPr>
            <w:r>
              <w:t>–</w:t>
            </w:r>
          </w:p>
        </w:tc>
      </w:tr>
      <w:tr w:rsidR="00C965C6" w14:paraId="72D2D20B" w14:textId="77777777" w:rsidTr="00C965C6">
        <w:trPr>
          <w:cantSplit/>
          <w:trHeight w:val="227"/>
        </w:trPr>
        <w:tc>
          <w:tcPr>
            <w:tcW w:w="1608" w:type="dxa"/>
          </w:tcPr>
          <w:p w14:paraId="2ED728FC" w14:textId="77777777" w:rsidR="00C965C6" w:rsidRDefault="00C965C6" w:rsidP="00D11709">
            <w:pPr>
              <w:pStyle w:val="Note-Refs"/>
            </w:pPr>
          </w:p>
        </w:tc>
        <w:tc>
          <w:tcPr>
            <w:tcW w:w="2886" w:type="dxa"/>
            <w:shd w:val="clear" w:color="auto" w:fill="CCCCCC"/>
            <w:vAlign w:val="bottom"/>
          </w:tcPr>
          <w:p w14:paraId="0F4C2816" w14:textId="1CD0D71A" w:rsidR="00C965C6" w:rsidRPr="00FA235F" w:rsidRDefault="00C965C6" w:rsidP="00D11709">
            <w:pPr>
              <w:pStyle w:val="NotesTable-ItemPlain"/>
            </w:pPr>
            <w:r>
              <w:t>Non-controlling equity interest distribution paid</w:t>
            </w:r>
          </w:p>
        </w:tc>
        <w:tc>
          <w:tcPr>
            <w:tcW w:w="1024" w:type="dxa"/>
            <w:tcBorders>
              <w:bottom w:val="single" w:sz="4" w:space="0" w:color="auto"/>
            </w:tcBorders>
            <w:shd w:val="clear" w:color="auto" w:fill="CCCCCC"/>
          </w:tcPr>
          <w:p w14:paraId="77AA93FA" w14:textId="468036D2" w:rsidR="00C965C6" w:rsidRDefault="00C965C6" w:rsidP="00451F7F">
            <w:pPr>
              <w:pStyle w:val="NotesTable-CellPlain"/>
            </w:pPr>
            <w:r>
              <w:t>–</w:t>
            </w:r>
          </w:p>
        </w:tc>
        <w:tc>
          <w:tcPr>
            <w:tcW w:w="1025" w:type="dxa"/>
            <w:tcBorders>
              <w:bottom w:val="single" w:sz="4" w:space="0" w:color="auto"/>
            </w:tcBorders>
            <w:shd w:val="clear" w:color="auto" w:fill="CCCCCC"/>
          </w:tcPr>
          <w:p w14:paraId="65FBE2AB" w14:textId="3FC3E4BD" w:rsidR="00C965C6" w:rsidRDefault="00C965C6" w:rsidP="00451F7F">
            <w:pPr>
              <w:pStyle w:val="NotesTable-CellPlain"/>
            </w:pPr>
            <w:r>
              <w:t>–</w:t>
            </w:r>
          </w:p>
        </w:tc>
        <w:tc>
          <w:tcPr>
            <w:tcW w:w="1024" w:type="dxa"/>
            <w:tcBorders>
              <w:bottom w:val="single" w:sz="4" w:space="0" w:color="auto"/>
            </w:tcBorders>
            <w:shd w:val="clear" w:color="auto" w:fill="CCCCCC"/>
          </w:tcPr>
          <w:p w14:paraId="0B3395E9" w14:textId="592B0751" w:rsidR="00C965C6" w:rsidRDefault="00C965C6" w:rsidP="00451F7F">
            <w:pPr>
              <w:pStyle w:val="NotesTable-CellPlain"/>
            </w:pPr>
            <w:r>
              <w:t>–</w:t>
            </w:r>
          </w:p>
        </w:tc>
        <w:tc>
          <w:tcPr>
            <w:tcW w:w="1025" w:type="dxa"/>
            <w:tcBorders>
              <w:bottom w:val="single" w:sz="4" w:space="0" w:color="auto"/>
            </w:tcBorders>
            <w:shd w:val="clear" w:color="auto" w:fill="CCCCCC"/>
          </w:tcPr>
          <w:p w14:paraId="550AD2AD" w14:textId="62C49467" w:rsidR="00C965C6" w:rsidRDefault="00C965C6" w:rsidP="00451F7F">
            <w:pPr>
              <w:pStyle w:val="NotesTable-CellPlain"/>
            </w:pPr>
            <w:r>
              <w:t>–</w:t>
            </w:r>
          </w:p>
        </w:tc>
        <w:tc>
          <w:tcPr>
            <w:tcW w:w="1025" w:type="dxa"/>
            <w:tcBorders>
              <w:bottom w:val="single" w:sz="4" w:space="0" w:color="auto"/>
            </w:tcBorders>
            <w:shd w:val="clear" w:color="auto" w:fill="CCCCCC"/>
          </w:tcPr>
          <w:p w14:paraId="1B41182F" w14:textId="2A7E156D" w:rsidR="00C965C6" w:rsidRDefault="00C965C6" w:rsidP="00451F7F">
            <w:pPr>
              <w:pStyle w:val="NotesTable-CellPlain"/>
            </w:pPr>
            <w:r>
              <w:t>–</w:t>
            </w:r>
          </w:p>
        </w:tc>
        <w:tc>
          <w:tcPr>
            <w:tcW w:w="1025" w:type="dxa"/>
            <w:tcBorders>
              <w:bottom w:val="single" w:sz="4" w:space="0" w:color="auto"/>
            </w:tcBorders>
            <w:shd w:val="clear" w:color="auto" w:fill="CCCCCC"/>
          </w:tcPr>
          <w:p w14:paraId="2B4974AE" w14:textId="4208C08D" w:rsidR="00C965C6" w:rsidRDefault="00C965C6" w:rsidP="00451F7F">
            <w:pPr>
              <w:pStyle w:val="NotesTable-CellPlain"/>
            </w:pPr>
            <w:r>
              <w:t>–</w:t>
            </w:r>
          </w:p>
        </w:tc>
        <w:tc>
          <w:tcPr>
            <w:tcW w:w="340" w:type="dxa"/>
            <w:gridSpan w:val="2"/>
            <w:shd w:val="clear" w:color="auto" w:fill="CCCCCC"/>
          </w:tcPr>
          <w:p w14:paraId="3C0DF421" w14:textId="77777777" w:rsidR="00C965C6" w:rsidRDefault="00C965C6" w:rsidP="00451F7F">
            <w:pPr>
              <w:pStyle w:val="NotesTable-CellPlain"/>
            </w:pPr>
          </w:p>
        </w:tc>
        <w:tc>
          <w:tcPr>
            <w:tcW w:w="1026" w:type="dxa"/>
            <w:tcBorders>
              <w:bottom w:val="single" w:sz="4" w:space="0" w:color="auto"/>
            </w:tcBorders>
            <w:shd w:val="clear" w:color="auto" w:fill="CCCCCC"/>
          </w:tcPr>
          <w:p w14:paraId="7E5B6350" w14:textId="64CFC5C6" w:rsidR="00C965C6" w:rsidRDefault="00C965C6" w:rsidP="00451F7F">
            <w:pPr>
              <w:pStyle w:val="NotesTable-CellPlain"/>
            </w:pPr>
            <w:r>
              <w:t>–</w:t>
            </w:r>
          </w:p>
        </w:tc>
        <w:tc>
          <w:tcPr>
            <w:tcW w:w="1031" w:type="dxa"/>
            <w:tcBorders>
              <w:bottom w:val="single" w:sz="4" w:space="0" w:color="auto"/>
            </w:tcBorders>
            <w:shd w:val="clear" w:color="auto" w:fill="CCCCCC"/>
          </w:tcPr>
          <w:p w14:paraId="12FDDF4A" w14:textId="11E333FE" w:rsidR="00C965C6" w:rsidRDefault="00C965C6" w:rsidP="00451F7F">
            <w:pPr>
              <w:pStyle w:val="NotesTable-CellPlain"/>
            </w:pPr>
            <w:r>
              <w:t>–</w:t>
            </w:r>
          </w:p>
        </w:tc>
        <w:tc>
          <w:tcPr>
            <w:tcW w:w="1026" w:type="dxa"/>
            <w:tcBorders>
              <w:bottom w:val="single" w:sz="4" w:space="0" w:color="auto"/>
            </w:tcBorders>
            <w:shd w:val="clear" w:color="auto" w:fill="CCCCCC"/>
          </w:tcPr>
          <w:p w14:paraId="306BCAAA" w14:textId="544E62CD" w:rsidR="00C965C6" w:rsidRDefault="00C965C6" w:rsidP="00451F7F">
            <w:pPr>
              <w:pStyle w:val="NotesTable-CellPlain"/>
            </w:pPr>
            <w:r>
              <w:t>–</w:t>
            </w:r>
          </w:p>
        </w:tc>
        <w:tc>
          <w:tcPr>
            <w:tcW w:w="1031" w:type="dxa"/>
            <w:tcBorders>
              <w:bottom w:val="single" w:sz="4" w:space="0" w:color="auto"/>
            </w:tcBorders>
            <w:shd w:val="clear" w:color="auto" w:fill="CCCCCC"/>
          </w:tcPr>
          <w:p w14:paraId="324A98C0" w14:textId="5E312FE8" w:rsidR="00C965C6" w:rsidRDefault="00C965C6" w:rsidP="00451F7F">
            <w:pPr>
              <w:pStyle w:val="NotesTable-CellPlain"/>
            </w:pPr>
            <w:r>
              <w:t>–</w:t>
            </w:r>
          </w:p>
        </w:tc>
      </w:tr>
      <w:tr w:rsidR="005E3D34" w14:paraId="038A03A1" w14:textId="77777777" w:rsidTr="00E47831">
        <w:trPr>
          <w:cantSplit/>
          <w:trHeight w:val="227"/>
        </w:trPr>
        <w:tc>
          <w:tcPr>
            <w:tcW w:w="1608" w:type="dxa"/>
          </w:tcPr>
          <w:p w14:paraId="038A0394" w14:textId="77777777" w:rsidR="00FA235F" w:rsidRDefault="008B1A42" w:rsidP="00D11709">
            <w:pPr>
              <w:pStyle w:val="Note-Refs"/>
              <w:rPr>
                <w:b/>
              </w:rPr>
            </w:pPr>
            <w:r>
              <w:t>AASB101.106d(ii)</w:t>
            </w:r>
          </w:p>
        </w:tc>
        <w:tc>
          <w:tcPr>
            <w:tcW w:w="2886" w:type="dxa"/>
            <w:shd w:val="clear" w:color="auto" w:fill="CCCCCC"/>
            <w:vAlign w:val="bottom"/>
          </w:tcPr>
          <w:p w14:paraId="038A0395" w14:textId="77777777" w:rsidR="00FA235F" w:rsidRPr="00FA235F" w:rsidRDefault="00FA235F" w:rsidP="00D11709">
            <w:pPr>
              <w:pStyle w:val="NotesTable-ItemPlain"/>
              <w:rPr>
                <w:b/>
              </w:rPr>
            </w:pPr>
            <w:r w:rsidRPr="00FA235F">
              <w:t xml:space="preserve">Other comprehensive income </w:t>
            </w:r>
          </w:p>
        </w:tc>
        <w:tc>
          <w:tcPr>
            <w:tcW w:w="1024" w:type="dxa"/>
            <w:tcBorders>
              <w:bottom w:val="single" w:sz="4" w:space="0" w:color="auto"/>
            </w:tcBorders>
            <w:shd w:val="clear" w:color="auto" w:fill="CCCCCC"/>
          </w:tcPr>
          <w:p w14:paraId="038A0396"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97" w14:textId="77777777" w:rsidR="00FA235F" w:rsidRDefault="00FA235F" w:rsidP="00451F7F">
            <w:pPr>
              <w:pStyle w:val="NotesTable-CellPlain"/>
            </w:pPr>
            <w:r>
              <w:t>–</w:t>
            </w:r>
          </w:p>
        </w:tc>
        <w:tc>
          <w:tcPr>
            <w:tcW w:w="1024" w:type="dxa"/>
            <w:tcBorders>
              <w:bottom w:val="single" w:sz="4" w:space="0" w:color="auto"/>
            </w:tcBorders>
            <w:shd w:val="clear" w:color="auto" w:fill="CCCCCC"/>
          </w:tcPr>
          <w:p w14:paraId="038A0398"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99"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9A"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9B" w14:textId="77777777" w:rsidR="00FA235F" w:rsidRDefault="00FA235F" w:rsidP="00451F7F">
            <w:pPr>
              <w:pStyle w:val="NotesTable-CellPlain"/>
            </w:pPr>
            <w:r>
              <w:t>–</w:t>
            </w:r>
          </w:p>
        </w:tc>
        <w:tc>
          <w:tcPr>
            <w:tcW w:w="340" w:type="dxa"/>
            <w:gridSpan w:val="2"/>
            <w:shd w:val="clear" w:color="auto" w:fill="CCCCCC"/>
          </w:tcPr>
          <w:p w14:paraId="038A039C" w14:textId="77777777" w:rsidR="00FA235F" w:rsidRDefault="00FA235F" w:rsidP="00451F7F">
            <w:pPr>
              <w:pStyle w:val="NotesTable-CellPlain"/>
            </w:pPr>
          </w:p>
        </w:tc>
        <w:tc>
          <w:tcPr>
            <w:tcW w:w="1026" w:type="dxa"/>
            <w:tcBorders>
              <w:bottom w:val="single" w:sz="4" w:space="0" w:color="auto"/>
            </w:tcBorders>
            <w:shd w:val="clear" w:color="auto" w:fill="CCCCCC"/>
          </w:tcPr>
          <w:p w14:paraId="038A039D" w14:textId="77777777" w:rsidR="00FA235F" w:rsidRDefault="00FA235F" w:rsidP="00451F7F">
            <w:pPr>
              <w:pStyle w:val="NotesTable-CellPlain"/>
            </w:pPr>
            <w:r>
              <w:t>–</w:t>
            </w:r>
          </w:p>
        </w:tc>
        <w:tc>
          <w:tcPr>
            <w:tcW w:w="1031" w:type="dxa"/>
            <w:tcBorders>
              <w:bottom w:val="single" w:sz="4" w:space="0" w:color="auto"/>
            </w:tcBorders>
            <w:shd w:val="clear" w:color="auto" w:fill="CCCCCC"/>
          </w:tcPr>
          <w:p w14:paraId="038A039E" w14:textId="77777777" w:rsidR="00FA235F" w:rsidRDefault="00FA235F" w:rsidP="00451F7F">
            <w:pPr>
              <w:pStyle w:val="NotesTable-CellPlain"/>
            </w:pPr>
            <w:r>
              <w:t>–</w:t>
            </w:r>
          </w:p>
        </w:tc>
        <w:tc>
          <w:tcPr>
            <w:tcW w:w="1026" w:type="dxa"/>
            <w:tcBorders>
              <w:bottom w:val="single" w:sz="4" w:space="0" w:color="auto"/>
            </w:tcBorders>
            <w:shd w:val="clear" w:color="auto" w:fill="CCCCCC"/>
          </w:tcPr>
          <w:p w14:paraId="038A039F" w14:textId="77777777" w:rsidR="00FA235F" w:rsidRDefault="00FA235F" w:rsidP="00451F7F">
            <w:pPr>
              <w:pStyle w:val="NotesTable-CellPlain"/>
            </w:pPr>
            <w:r>
              <w:t>–</w:t>
            </w:r>
          </w:p>
        </w:tc>
        <w:tc>
          <w:tcPr>
            <w:tcW w:w="1031" w:type="dxa"/>
            <w:tcBorders>
              <w:bottom w:val="single" w:sz="4" w:space="0" w:color="auto"/>
            </w:tcBorders>
            <w:shd w:val="clear" w:color="auto" w:fill="CCCCCC"/>
          </w:tcPr>
          <w:p w14:paraId="038A03A0" w14:textId="77777777" w:rsidR="00FA235F" w:rsidRDefault="00FA235F" w:rsidP="00451F7F">
            <w:pPr>
              <w:pStyle w:val="NotesTable-CellPlain"/>
            </w:pPr>
            <w:r>
              <w:t>–</w:t>
            </w:r>
          </w:p>
        </w:tc>
      </w:tr>
      <w:tr w:rsidR="005E3D34" w14:paraId="038A03AF" w14:textId="77777777" w:rsidTr="00E47831">
        <w:trPr>
          <w:cantSplit/>
          <w:trHeight w:val="227"/>
        </w:trPr>
        <w:tc>
          <w:tcPr>
            <w:tcW w:w="1608" w:type="dxa"/>
          </w:tcPr>
          <w:p w14:paraId="038A03A2" w14:textId="77777777" w:rsidR="00FA235F" w:rsidRDefault="008B1A42" w:rsidP="00D11709">
            <w:pPr>
              <w:pStyle w:val="Note-Refs"/>
              <w:rPr>
                <w:b/>
              </w:rPr>
            </w:pPr>
            <w:r>
              <w:t>AASB101.106a</w:t>
            </w:r>
          </w:p>
        </w:tc>
        <w:tc>
          <w:tcPr>
            <w:tcW w:w="2886" w:type="dxa"/>
            <w:shd w:val="clear" w:color="auto" w:fill="CCCCCC"/>
            <w:vAlign w:val="bottom"/>
          </w:tcPr>
          <w:p w14:paraId="038A03A3" w14:textId="77777777" w:rsidR="00FA235F" w:rsidRPr="00FA235F" w:rsidRDefault="00FA235F">
            <w:pPr>
              <w:pStyle w:val="Statement-ItemBold"/>
            </w:pPr>
            <w:r w:rsidRPr="00FA235F">
              <w:t>Total comprehensive income</w:t>
            </w:r>
          </w:p>
        </w:tc>
        <w:tc>
          <w:tcPr>
            <w:tcW w:w="1024" w:type="dxa"/>
            <w:tcBorders>
              <w:top w:val="single" w:sz="4" w:space="0" w:color="auto"/>
            </w:tcBorders>
            <w:shd w:val="clear" w:color="auto" w:fill="CCCCCC"/>
          </w:tcPr>
          <w:p w14:paraId="038A03A4"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A5" w14:textId="77777777" w:rsidR="00FA235F" w:rsidRPr="00844A98" w:rsidRDefault="00FA235F" w:rsidP="00451F7F">
            <w:pPr>
              <w:pStyle w:val="NotesTable-CellBold"/>
              <w:rPr>
                <w:b w:val="0"/>
              </w:rPr>
            </w:pPr>
            <w:r>
              <w:t>–</w:t>
            </w:r>
          </w:p>
        </w:tc>
        <w:tc>
          <w:tcPr>
            <w:tcW w:w="1024" w:type="dxa"/>
            <w:tcBorders>
              <w:top w:val="single" w:sz="4" w:space="0" w:color="auto"/>
            </w:tcBorders>
            <w:shd w:val="clear" w:color="auto" w:fill="CCCCCC"/>
          </w:tcPr>
          <w:p w14:paraId="038A03A6"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A7"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A8" w14:textId="77777777" w:rsidR="00FA235F" w:rsidRDefault="00FA235F" w:rsidP="00451F7F">
            <w:pPr>
              <w:pStyle w:val="NotesTable-CellBold"/>
              <w:rPr>
                <w:b w:val="0"/>
              </w:rPr>
            </w:pPr>
            <w:r>
              <w:t>–</w:t>
            </w:r>
          </w:p>
        </w:tc>
        <w:tc>
          <w:tcPr>
            <w:tcW w:w="1025" w:type="dxa"/>
            <w:tcBorders>
              <w:top w:val="single" w:sz="4" w:space="0" w:color="auto"/>
            </w:tcBorders>
            <w:shd w:val="clear" w:color="auto" w:fill="CCCCCC"/>
          </w:tcPr>
          <w:p w14:paraId="038A03A9" w14:textId="77777777" w:rsidR="00FA235F" w:rsidRDefault="00FA235F" w:rsidP="00451F7F">
            <w:pPr>
              <w:pStyle w:val="NotesTable-CellBold"/>
              <w:rPr>
                <w:b w:val="0"/>
              </w:rPr>
            </w:pPr>
            <w:r>
              <w:t>–</w:t>
            </w:r>
          </w:p>
        </w:tc>
        <w:tc>
          <w:tcPr>
            <w:tcW w:w="340" w:type="dxa"/>
            <w:gridSpan w:val="2"/>
            <w:shd w:val="clear" w:color="auto" w:fill="CCCCCC"/>
          </w:tcPr>
          <w:p w14:paraId="038A03AA" w14:textId="77777777" w:rsidR="00FA235F" w:rsidRDefault="00FA235F" w:rsidP="00451F7F">
            <w:pPr>
              <w:pStyle w:val="NotesTable-CellBold"/>
            </w:pPr>
          </w:p>
        </w:tc>
        <w:tc>
          <w:tcPr>
            <w:tcW w:w="1026" w:type="dxa"/>
            <w:tcBorders>
              <w:top w:val="single" w:sz="4" w:space="0" w:color="auto"/>
            </w:tcBorders>
            <w:shd w:val="clear" w:color="auto" w:fill="CCCCCC"/>
          </w:tcPr>
          <w:p w14:paraId="038A03AB" w14:textId="77777777" w:rsidR="00FA235F" w:rsidRDefault="00FA235F" w:rsidP="00451F7F">
            <w:pPr>
              <w:pStyle w:val="NotesTable-CellBold"/>
              <w:rPr>
                <w:b w:val="0"/>
              </w:rPr>
            </w:pPr>
            <w:r>
              <w:t>–</w:t>
            </w:r>
          </w:p>
        </w:tc>
        <w:tc>
          <w:tcPr>
            <w:tcW w:w="1031" w:type="dxa"/>
            <w:tcBorders>
              <w:top w:val="single" w:sz="4" w:space="0" w:color="auto"/>
            </w:tcBorders>
            <w:shd w:val="clear" w:color="auto" w:fill="CCCCCC"/>
          </w:tcPr>
          <w:p w14:paraId="038A03AC" w14:textId="77777777" w:rsidR="00FA235F" w:rsidRPr="00844A98" w:rsidRDefault="00FA235F" w:rsidP="00451F7F">
            <w:pPr>
              <w:pStyle w:val="NotesTable-CellBold"/>
              <w:rPr>
                <w:b w:val="0"/>
              </w:rPr>
            </w:pPr>
            <w:r>
              <w:t>–</w:t>
            </w:r>
          </w:p>
        </w:tc>
        <w:tc>
          <w:tcPr>
            <w:tcW w:w="1026" w:type="dxa"/>
            <w:tcBorders>
              <w:top w:val="single" w:sz="4" w:space="0" w:color="auto"/>
            </w:tcBorders>
            <w:shd w:val="clear" w:color="auto" w:fill="CCCCCC"/>
          </w:tcPr>
          <w:p w14:paraId="038A03AD" w14:textId="77777777" w:rsidR="00FA235F" w:rsidRDefault="00FA235F" w:rsidP="00451F7F">
            <w:pPr>
              <w:pStyle w:val="NotesTable-CellBold"/>
              <w:rPr>
                <w:b w:val="0"/>
              </w:rPr>
            </w:pPr>
            <w:r>
              <w:t>–</w:t>
            </w:r>
          </w:p>
        </w:tc>
        <w:tc>
          <w:tcPr>
            <w:tcW w:w="1031" w:type="dxa"/>
            <w:tcBorders>
              <w:top w:val="single" w:sz="4" w:space="0" w:color="auto"/>
            </w:tcBorders>
            <w:shd w:val="clear" w:color="auto" w:fill="CCCCCC"/>
          </w:tcPr>
          <w:p w14:paraId="038A03AE" w14:textId="77777777" w:rsidR="00FA235F" w:rsidRPr="00844A98" w:rsidRDefault="00FA235F" w:rsidP="00451F7F">
            <w:pPr>
              <w:pStyle w:val="NotesTable-CellBold"/>
              <w:rPr>
                <w:b w:val="0"/>
              </w:rPr>
            </w:pPr>
            <w:r>
              <w:t>–</w:t>
            </w:r>
          </w:p>
        </w:tc>
      </w:tr>
      <w:tr w:rsidR="005E3D34" w14:paraId="038A03BD" w14:textId="77777777" w:rsidTr="00E47831">
        <w:trPr>
          <w:cantSplit/>
          <w:trHeight w:val="227"/>
        </w:trPr>
        <w:tc>
          <w:tcPr>
            <w:tcW w:w="1608" w:type="dxa"/>
          </w:tcPr>
          <w:p w14:paraId="038A03B0" w14:textId="77777777" w:rsidR="00FA235F" w:rsidRDefault="00FA235F" w:rsidP="00D11709">
            <w:pPr>
              <w:pStyle w:val="Note-Refs"/>
            </w:pPr>
            <w:r>
              <w:t>AASB101.106</w:t>
            </w:r>
            <w:r w:rsidR="008B1A42">
              <w:t>d(iii)</w:t>
            </w:r>
          </w:p>
        </w:tc>
        <w:tc>
          <w:tcPr>
            <w:tcW w:w="2886" w:type="dxa"/>
            <w:shd w:val="clear" w:color="auto" w:fill="CCCCCC"/>
            <w:vAlign w:val="bottom"/>
          </w:tcPr>
          <w:p w14:paraId="038A03B1" w14:textId="77777777" w:rsidR="00FA235F" w:rsidRPr="00FA235F" w:rsidRDefault="00FA235F" w:rsidP="00D11709">
            <w:pPr>
              <w:pStyle w:val="NotesTable-ItemPlain"/>
              <w:rPr>
                <w:b/>
              </w:rPr>
            </w:pPr>
            <w:r w:rsidRPr="00FA235F">
              <w:t>Distributions to owners</w:t>
            </w:r>
          </w:p>
        </w:tc>
        <w:tc>
          <w:tcPr>
            <w:tcW w:w="1024" w:type="dxa"/>
            <w:shd w:val="clear" w:color="auto" w:fill="CCCCCC"/>
          </w:tcPr>
          <w:p w14:paraId="038A03B2" w14:textId="77777777" w:rsidR="00FA235F" w:rsidRDefault="00FA235F" w:rsidP="00451F7F">
            <w:pPr>
              <w:pStyle w:val="NotesTable-CellPlain"/>
            </w:pPr>
            <w:r>
              <w:t>–</w:t>
            </w:r>
          </w:p>
        </w:tc>
        <w:tc>
          <w:tcPr>
            <w:tcW w:w="1025" w:type="dxa"/>
            <w:shd w:val="clear" w:color="auto" w:fill="CCCCCC"/>
          </w:tcPr>
          <w:p w14:paraId="038A03B3" w14:textId="77777777" w:rsidR="00FA235F" w:rsidRDefault="00FA235F" w:rsidP="00451F7F">
            <w:pPr>
              <w:pStyle w:val="NotesTable-CellPlain"/>
            </w:pPr>
            <w:r>
              <w:t>–</w:t>
            </w:r>
          </w:p>
        </w:tc>
        <w:tc>
          <w:tcPr>
            <w:tcW w:w="1024" w:type="dxa"/>
            <w:shd w:val="clear" w:color="auto" w:fill="CCCCCC"/>
          </w:tcPr>
          <w:p w14:paraId="038A03B4" w14:textId="77777777" w:rsidR="00FA235F" w:rsidRDefault="00FA235F" w:rsidP="00451F7F">
            <w:pPr>
              <w:pStyle w:val="NotesTable-CellPlain"/>
            </w:pPr>
            <w:r>
              <w:t>–</w:t>
            </w:r>
          </w:p>
        </w:tc>
        <w:tc>
          <w:tcPr>
            <w:tcW w:w="1025" w:type="dxa"/>
            <w:shd w:val="clear" w:color="auto" w:fill="CCCCCC"/>
          </w:tcPr>
          <w:p w14:paraId="038A03B5" w14:textId="77777777" w:rsidR="00FA235F" w:rsidRDefault="00FA235F" w:rsidP="00451F7F">
            <w:pPr>
              <w:pStyle w:val="NotesTable-CellPlain"/>
            </w:pPr>
            <w:r>
              <w:t>–</w:t>
            </w:r>
          </w:p>
        </w:tc>
        <w:tc>
          <w:tcPr>
            <w:tcW w:w="1025" w:type="dxa"/>
            <w:shd w:val="clear" w:color="auto" w:fill="CCCCCC"/>
          </w:tcPr>
          <w:p w14:paraId="038A03B6" w14:textId="77777777" w:rsidR="00FA235F" w:rsidRDefault="00FA235F" w:rsidP="00451F7F">
            <w:pPr>
              <w:pStyle w:val="NotesTable-CellPlain"/>
            </w:pPr>
            <w:r>
              <w:t>–</w:t>
            </w:r>
          </w:p>
        </w:tc>
        <w:tc>
          <w:tcPr>
            <w:tcW w:w="1025" w:type="dxa"/>
            <w:shd w:val="clear" w:color="auto" w:fill="CCCCCC"/>
          </w:tcPr>
          <w:p w14:paraId="038A03B7" w14:textId="77777777" w:rsidR="00FA235F" w:rsidRDefault="00FA235F" w:rsidP="00451F7F">
            <w:pPr>
              <w:pStyle w:val="NotesTable-CellPlain"/>
            </w:pPr>
            <w:r>
              <w:t>–</w:t>
            </w:r>
          </w:p>
        </w:tc>
        <w:tc>
          <w:tcPr>
            <w:tcW w:w="340" w:type="dxa"/>
            <w:gridSpan w:val="2"/>
            <w:shd w:val="clear" w:color="auto" w:fill="CCCCCC"/>
          </w:tcPr>
          <w:p w14:paraId="038A03B8" w14:textId="77777777" w:rsidR="00FA235F" w:rsidRDefault="00FA235F" w:rsidP="00451F7F">
            <w:pPr>
              <w:pStyle w:val="NotesTable-CellPlain"/>
            </w:pPr>
          </w:p>
        </w:tc>
        <w:tc>
          <w:tcPr>
            <w:tcW w:w="1026" w:type="dxa"/>
            <w:shd w:val="clear" w:color="auto" w:fill="CCCCCC"/>
          </w:tcPr>
          <w:p w14:paraId="038A03B9" w14:textId="77777777" w:rsidR="00FA235F" w:rsidRDefault="00FA235F" w:rsidP="00451F7F">
            <w:pPr>
              <w:pStyle w:val="NotesTable-CellPlain"/>
            </w:pPr>
            <w:r>
              <w:t>–</w:t>
            </w:r>
          </w:p>
        </w:tc>
        <w:tc>
          <w:tcPr>
            <w:tcW w:w="1031" w:type="dxa"/>
            <w:shd w:val="clear" w:color="auto" w:fill="CCCCCC"/>
          </w:tcPr>
          <w:p w14:paraId="038A03BA" w14:textId="77777777" w:rsidR="00FA235F" w:rsidRDefault="00FA235F" w:rsidP="00451F7F">
            <w:pPr>
              <w:pStyle w:val="NotesTable-CellPlain"/>
            </w:pPr>
            <w:r>
              <w:t>–</w:t>
            </w:r>
          </w:p>
        </w:tc>
        <w:tc>
          <w:tcPr>
            <w:tcW w:w="1026" w:type="dxa"/>
            <w:shd w:val="clear" w:color="auto" w:fill="CCCCCC"/>
          </w:tcPr>
          <w:p w14:paraId="038A03BB" w14:textId="77777777" w:rsidR="00FA235F" w:rsidRDefault="00FA235F" w:rsidP="00451F7F">
            <w:pPr>
              <w:pStyle w:val="NotesTable-CellPlain"/>
            </w:pPr>
            <w:r>
              <w:t>–</w:t>
            </w:r>
          </w:p>
        </w:tc>
        <w:tc>
          <w:tcPr>
            <w:tcW w:w="1031" w:type="dxa"/>
            <w:shd w:val="clear" w:color="auto" w:fill="CCCCCC"/>
          </w:tcPr>
          <w:p w14:paraId="038A03BC" w14:textId="77777777" w:rsidR="00FA235F" w:rsidRDefault="00FA235F" w:rsidP="00451F7F">
            <w:pPr>
              <w:pStyle w:val="NotesTable-CellPlain"/>
            </w:pPr>
            <w:r>
              <w:t>–</w:t>
            </w:r>
          </w:p>
        </w:tc>
      </w:tr>
      <w:tr w:rsidR="005E3D34" w14:paraId="038A03CB" w14:textId="77777777" w:rsidTr="00E47831">
        <w:trPr>
          <w:cantSplit/>
          <w:trHeight w:val="227"/>
        </w:trPr>
        <w:tc>
          <w:tcPr>
            <w:tcW w:w="1608" w:type="dxa"/>
          </w:tcPr>
          <w:p w14:paraId="038A03BE" w14:textId="77777777" w:rsidR="00FA235F" w:rsidRDefault="008B1A42" w:rsidP="00D11709">
            <w:pPr>
              <w:pStyle w:val="Note-Refs"/>
              <w:rPr>
                <w:b/>
              </w:rPr>
            </w:pPr>
            <w:r>
              <w:t>AASB101.106d(iii)</w:t>
            </w:r>
          </w:p>
        </w:tc>
        <w:tc>
          <w:tcPr>
            <w:tcW w:w="2886" w:type="dxa"/>
            <w:shd w:val="clear" w:color="auto" w:fill="CCCCCC"/>
            <w:vAlign w:val="bottom"/>
          </w:tcPr>
          <w:p w14:paraId="038A03BF" w14:textId="77777777" w:rsidR="00FA235F" w:rsidRPr="00FA235F" w:rsidRDefault="00FA235F" w:rsidP="00D11709">
            <w:pPr>
              <w:pStyle w:val="NotesTable-ItemPlain"/>
              <w:rPr>
                <w:b/>
              </w:rPr>
            </w:pPr>
            <w:r w:rsidRPr="00FA235F">
              <w:t>Contributions from owners</w:t>
            </w:r>
          </w:p>
        </w:tc>
        <w:tc>
          <w:tcPr>
            <w:tcW w:w="1024" w:type="dxa"/>
            <w:tcBorders>
              <w:bottom w:val="single" w:sz="4" w:space="0" w:color="auto"/>
            </w:tcBorders>
            <w:shd w:val="clear" w:color="auto" w:fill="CCCCCC"/>
          </w:tcPr>
          <w:p w14:paraId="038A03C0"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C1" w14:textId="77777777" w:rsidR="00FA235F" w:rsidRDefault="00FA235F" w:rsidP="00451F7F">
            <w:pPr>
              <w:pStyle w:val="NotesTable-CellPlain"/>
            </w:pPr>
            <w:r>
              <w:t>–</w:t>
            </w:r>
          </w:p>
        </w:tc>
        <w:tc>
          <w:tcPr>
            <w:tcW w:w="1024" w:type="dxa"/>
            <w:tcBorders>
              <w:bottom w:val="single" w:sz="4" w:space="0" w:color="auto"/>
            </w:tcBorders>
            <w:shd w:val="clear" w:color="auto" w:fill="CCCCCC"/>
          </w:tcPr>
          <w:p w14:paraId="038A03C2"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C3"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C4" w14:textId="77777777" w:rsidR="00FA235F" w:rsidRDefault="00FA235F" w:rsidP="00451F7F">
            <w:pPr>
              <w:pStyle w:val="NotesTable-CellPlain"/>
            </w:pPr>
            <w:r>
              <w:t>–</w:t>
            </w:r>
          </w:p>
        </w:tc>
        <w:tc>
          <w:tcPr>
            <w:tcW w:w="1025" w:type="dxa"/>
            <w:tcBorders>
              <w:bottom w:val="single" w:sz="4" w:space="0" w:color="auto"/>
            </w:tcBorders>
            <w:shd w:val="clear" w:color="auto" w:fill="CCCCCC"/>
          </w:tcPr>
          <w:p w14:paraId="038A03C5" w14:textId="77777777" w:rsidR="00FA235F" w:rsidRDefault="00FA235F" w:rsidP="00451F7F">
            <w:pPr>
              <w:pStyle w:val="NotesTable-CellPlain"/>
            </w:pPr>
            <w:r>
              <w:t>–</w:t>
            </w:r>
          </w:p>
        </w:tc>
        <w:tc>
          <w:tcPr>
            <w:tcW w:w="340" w:type="dxa"/>
            <w:gridSpan w:val="2"/>
            <w:shd w:val="clear" w:color="auto" w:fill="CCCCCC"/>
          </w:tcPr>
          <w:p w14:paraId="038A03C6" w14:textId="77777777" w:rsidR="00FA235F" w:rsidRDefault="00FA235F" w:rsidP="00451F7F">
            <w:pPr>
              <w:pStyle w:val="NotesTable-CellPlain"/>
            </w:pPr>
          </w:p>
        </w:tc>
        <w:tc>
          <w:tcPr>
            <w:tcW w:w="1026" w:type="dxa"/>
            <w:tcBorders>
              <w:bottom w:val="single" w:sz="4" w:space="0" w:color="auto"/>
            </w:tcBorders>
            <w:shd w:val="clear" w:color="auto" w:fill="CCCCCC"/>
          </w:tcPr>
          <w:p w14:paraId="038A03C7" w14:textId="77777777" w:rsidR="00FA235F" w:rsidRDefault="00FA235F" w:rsidP="00451F7F">
            <w:pPr>
              <w:pStyle w:val="NotesTable-CellPlain"/>
            </w:pPr>
            <w:r>
              <w:t>–</w:t>
            </w:r>
          </w:p>
        </w:tc>
        <w:tc>
          <w:tcPr>
            <w:tcW w:w="1031" w:type="dxa"/>
            <w:tcBorders>
              <w:bottom w:val="single" w:sz="4" w:space="0" w:color="auto"/>
            </w:tcBorders>
            <w:shd w:val="clear" w:color="auto" w:fill="CCCCCC"/>
          </w:tcPr>
          <w:p w14:paraId="038A03C8" w14:textId="77777777" w:rsidR="00FA235F" w:rsidRDefault="00FA235F" w:rsidP="00451F7F">
            <w:pPr>
              <w:pStyle w:val="NotesTable-CellPlain"/>
            </w:pPr>
            <w:r>
              <w:t>–</w:t>
            </w:r>
          </w:p>
        </w:tc>
        <w:tc>
          <w:tcPr>
            <w:tcW w:w="1026" w:type="dxa"/>
            <w:tcBorders>
              <w:bottom w:val="single" w:sz="4" w:space="0" w:color="auto"/>
            </w:tcBorders>
            <w:shd w:val="clear" w:color="auto" w:fill="CCCCCC"/>
          </w:tcPr>
          <w:p w14:paraId="038A03C9" w14:textId="77777777" w:rsidR="00FA235F" w:rsidRDefault="00FA235F" w:rsidP="00451F7F">
            <w:pPr>
              <w:pStyle w:val="NotesTable-CellPlain"/>
            </w:pPr>
            <w:r>
              <w:t>–</w:t>
            </w:r>
          </w:p>
        </w:tc>
        <w:tc>
          <w:tcPr>
            <w:tcW w:w="1031" w:type="dxa"/>
            <w:tcBorders>
              <w:bottom w:val="single" w:sz="4" w:space="0" w:color="auto"/>
            </w:tcBorders>
            <w:shd w:val="clear" w:color="auto" w:fill="CCCCCC"/>
          </w:tcPr>
          <w:p w14:paraId="038A03CA" w14:textId="77777777" w:rsidR="00FA235F" w:rsidRDefault="00FA235F" w:rsidP="00451F7F">
            <w:pPr>
              <w:pStyle w:val="NotesTable-CellPlain"/>
            </w:pPr>
            <w:r>
              <w:t>–</w:t>
            </w:r>
          </w:p>
        </w:tc>
      </w:tr>
      <w:tr w:rsidR="005E3D34" w14:paraId="038A03D9" w14:textId="77777777" w:rsidTr="00E47831">
        <w:trPr>
          <w:cantSplit/>
          <w:trHeight w:val="227"/>
        </w:trPr>
        <w:tc>
          <w:tcPr>
            <w:tcW w:w="1608" w:type="dxa"/>
          </w:tcPr>
          <w:p w14:paraId="038A03CC" w14:textId="77777777" w:rsidR="00FA235F" w:rsidRDefault="00FA235F" w:rsidP="00D11709">
            <w:pPr>
              <w:pStyle w:val="Note-Refs"/>
            </w:pPr>
          </w:p>
        </w:tc>
        <w:tc>
          <w:tcPr>
            <w:tcW w:w="2886" w:type="dxa"/>
            <w:shd w:val="clear" w:color="auto" w:fill="CCCCCC"/>
            <w:vAlign w:val="bottom"/>
          </w:tcPr>
          <w:p w14:paraId="038A03CD" w14:textId="5AFFFC62" w:rsidR="00FA235F" w:rsidRPr="00FA235F" w:rsidRDefault="00FA235F">
            <w:pPr>
              <w:pStyle w:val="Statement-ItemBold"/>
            </w:pPr>
            <w:r w:rsidRPr="00FA235F">
              <w:t xml:space="preserve">Balance at 31 December </w:t>
            </w:r>
            <w:r w:rsidR="006864EC">
              <w:t>2013</w:t>
            </w:r>
          </w:p>
        </w:tc>
        <w:tc>
          <w:tcPr>
            <w:tcW w:w="1024" w:type="dxa"/>
            <w:tcBorders>
              <w:top w:val="single" w:sz="4" w:space="0" w:color="auto"/>
            </w:tcBorders>
            <w:shd w:val="clear" w:color="auto" w:fill="CCCCCC"/>
          </w:tcPr>
          <w:p w14:paraId="038A03CE"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CF" w14:textId="77777777" w:rsidR="00FA235F" w:rsidRPr="00844A98" w:rsidRDefault="00FA235F" w:rsidP="00451F7F">
            <w:pPr>
              <w:pStyle w:val="NotesTable-CellBold"/>
              <w:rPr>
                <w:b w:val="0"/>
              </w:rPr>
            </w:pPr>
            <w:r>
              <w:t>–</w:t>
            </w:r>
          </w:p>
        </w:tc>
        <w:tc>
          <w:tcPr>
            <w:tcW w:w="1024" w:type="dxa"/>
            <w:tcBorders>
              <w:top w:val="single" w:sz="4" w:space="0" w:color="auto"/>
            </w:tcBorders>
            <w:shd w:val="clear" w:color="auto" w:fill="CCCCCC"/>
          </w:tcPr>
          <w:p w14:paraId="038A03D0"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D1" w14:textId="77777777" w:rsidR="00FA235F" w:rsidRPr="00844A98" w:rsidRDefault="00FA235F" w:rsidP="00451F7F">
            <w:pPr>
              <w:pStyle w:val="NotesTable-CellBold"/>
              <w:rPr>
                <w:b w:val="0"/>
              </w:rPr>
            </w:pPr>
            <w:r>
              <w:t>–</w:t>
            </w:r>
          </w:p>
        </w:tc>
        <w:tc>
          <w:tcPr>
            <w:tcW w:w="1025" w:type="dxa"/>
            <w:tcBorders>
              <w:top w:val="single" w:sz="4" w:space="0" w:color="auto"/>
            </w:tcBorders>
            <w:shd w:val="clear" w:color="auto" w:fill="CCCCCC"/>
          </w:tcPr>
          <w:p w14:paraId="038A03D2" w14:textId="77777777" w:rsidR="00FA235F" w:rsidRDefault="00FA235F" w:rsidP="00451F7F">
            <w:pPr>
              <w:pStyle w:val="NotesTable-CellBold"/>
              <w:rPr>
                <w:b w:val="0"/>
              </w:rPr>
            </w:pPr>
            <w:r>
              <w:t>–</w:t>
            </w:r>
          </w:p>
        </w:tc>
        <w:tc>
          <w:tcPr>
            <w:tcW w:w="1025" w:type="dxa"/>
            <w:tcBorders>
              <w:top w:val="single" w:sz="4" w:space="0" w:color="auto"/>
            </w:tcBorders>
            <w:shd w:val="clear" w:color="auto" w:fill="CCCCCC"/>
          </w:tcPr>
          <w:p w14:paraId="038A03D3" w14:textId="77777777" w:rsidR="00FA235F" w:rsidRDefault="00FA235F" w:rsidP="00451F7F">
            <w:pPr>
              <w:pStyle w:val="NotesTable-CellBold"/>
              <w:rPr>
                <w:b w:val="0"/>
              </w:rPr>
            </w:pPr>
            <w:r>
              <w:t>–</w:t>
            </w:r>
          </w:p>
        </w:tc>
        <w:tc>
          <w:tcPr>
            <w:tcW w:w="340" w:type="dxa"/>
            <w:gridSpan w:val="2"/>
            <w:shd w:val="clear" w:color="auto" w:fill="CCCCCC"/>
          </w:tcPr>
          <w:p w14:paraId="038A03D4" w14:textId="77777777" w:rsidR="00FA235F" w:rsidRDefault="00FA235F" w:rsidP="00451F7F">
            <w:pPr>
              <w:pStyle w:val="NotesTable-CellBold"/>
            </w:pPr>
          </w:p>
        </w:tc>
        <w:tc>
          <w:tcPr>
            <w:tcW w:w="1026" w:type="dxa"/>
            <w:tcBorders>
              <w:top w:val="single" w:sz="4" w:space="0" w:color="auto"/>
            </w:tcBorders>
            <w:shd w:val="clear" w:color="auto" w:fill="CCCCCC"/>
          </w:tcPr>
          <w:p w14:paraId="038A03D5" w14:textId="77777777" w:rsidR="00FA235F" w:rsidRDefault="00FA235F" w:rsidP="00451F7F">
            <w:pPr>
              <w:pStyle w:val="NotesTable-CellBold"/>
              <w:rPr>
                <w:b w:val="0"/>
              </w:rPr>
            </w:pPr>
            <w:r>
              <w:t>–</w:t>
            </w:r>
          </w:p>
        </w:tc>
        <w:tc>
          <w:tcPr>
            <w:tcW w:w="1031" w:type="dxa"/>
            <w:tcBorders>
              <w:top w:val="single" w:sz="4" w:space="0" w:color="auto"/>
            </w:tcBorders>
            <w:shd w:val="clear" w:color="auto" w:fill="CCCCCC"/>
          </w:tcPr>
          <w:p w14:paraId="038A03D6" w14:textId="77777777" w:rsidR="00FA235F" w:rsidRPr="00844A98" w:rsidRDefault="00FA235F" w:rsidP="00451F7F">
            <w:pPr>
              <w:pStyle w:val="NotesTable-CellBold"/>
              <w:rPr>
                <w:b w:val="0"/>
              </w:rPr>
            </w:pPr>
            <w:r>
              <w:t>–</w:t>
            </w:r>
          </w:p>
        </w:tc>
        <w:tc>
          <w:tcPr>
            <w:tcW w:w="1026" w:type="dxa"/>
            <w:tcBorders>
              <w:top w:val="single" w:sz="4" w:space="0" w:color="auto"/>
            </w:tcBorders>
            <w:shd w:val="clear" w:color="auto" w:fill="CCCCCC"/>
          </w:tcPr>
          <w:p w14:paraId="038A03D7" w14:textId="77777777" w:rsidR="00FA235F" w:rsidRDefault="00FA235F" w:rsidP="00451F7F">
            <w:pPr>
              <w:pStyle w:val="NotesTable-CellBold"/>
              <w:rPr>
                <w:b w:val="0"/>
              </w:rPr>
            </w:pPr>
            <w:r>
              <w:t>–</w:t>
            </w:r>
          </w:p>
        </w:tc>
        <w:tc>
          <w:tcPr>
            <w:tcW w:w="1031" w:type="dxa"/>
            <w:tcBorders>
              <w:top w:val="single" w:sz="4" w:space="0" w:color="auto"/>
            </w:tcBorders>
            <w:shd w:val="clear" w:color="auto" w:fill="CCCCCC"/>
          </w:tcPr>
          <w:p w14:paraId="038A03D8" w14:textId="77777777" w:rsidR="00FA235F" w:rsidRPr="00844A98" w:rsidRDefault="00FA235F" w:rsidP="00451F7F">
            <w:pPr>
              <w:pStyle w:val="NotesTable-CellBold"/>
              <w:rPr>
                <w:b w:val="0"/>
              </w:rPr>
            </w:pPr>
            <w:r>
              <w:t>–</w:t>
            </w:r>
          </w:p>
        </w:tc>
      </w:tr>
    </w:tbl>
    <w:p w14:paraId="06B7EA16" w14:textId="77777777" w:rsidR="00AA5977" w:rsidRPr="000B02BD" w:rsidRDefault="00AA5977" w:rsidP="000B02BD">
      <w:r w:rsidRPr="000B02BD">
        <w:br w:type="page"/>
      </w:r>
    </w:p>
    <w:p w14:paraId="6BFC1EF7" w14:textId="68B86F42" w:rsidR="00AA5977" w:rsidRPr="000B02BD" w:rsidRDefault="00AA5977" w:rsidP="000B02BD">
      <w:r w:rsidRPr="00AD14D6">
        <w:rPr>
          <w:rFonts w:asciiTheme="majorHAnsi" w:hAnsiTheme="majorHAnsi"/>
          <w:b/>
          <w:sz w:val="36"/>
          <w:szCs w:val="36"/>
        </w:rPr>
        <w:lastRenderedPageBreak/>
        <w:t>Statement of Changes in Equity (</w:t>
      </w:r>
      <w:proofErr w:type="spellStart"/>
      <w:r w:rsidR="002254C9" w:rsidRPr="00AD14D6">
        <w:rPr>
          <w:rFonts w:asciiTheme="majorHAnsi" w:hAnsiTheme="majorHAnsi"/>
          <w:b/>
          <w:sz w:val="36"/>
          <w:szCs w:val="36"/>
        </w:rPr>
        <w:t>cont</w:t>
      </w:r>
      <w:proofErr w:type="spellEnd"/>
      <w:proofErr w:type="gramStart"/>
      <w:r w:rsidRPr="00AD14D6">
        <w:rPr>
          <w:rFonts w:asciiTheme="majorHAnsi" w:hAnsiTheme="majorHAnsi"/>
          <w:b/>
          <w:sz w:val="36"/>
          <w:szCs w:val="36"/>
        </w:rPr>
        <w:t>)</w:t>
      </w:r>
      <w:proofErr w:type="gramEnd"/>
      <w:r w:rsidRPr="000B02BD">
        <w:br/>
      </w:r>
      <w:r w:rsidR="002254C9" w:rsidRPr="000B02BD">
        <w:t>f</w:t>
      </w:r>
      <w:r w:rsidRPr="000B02BD">
        <w:t>or the year ended 31 December 2014</w:t>
      </w:r>
    </w:p>
    <w:tbl>
      <w:tblPr>
        <w:tblW w:w="15096" w:type="dxa"/>
        <w:tblLayout w:type="fixed"/>
        <w:tblCellMar>
          <w:left w:w="0" w:type="dxa"/>
          <w:right w:w="0" w:type="dxa"/>
        </w:tblCellMar>
        <w:tblLook w:val="0000" w:firstRow="0" w:lastRow="0" w:firstColumn="0" w:lastColumn="0" w:noHBand="0" w:noVBand="0"/>
      </w:tblPr>
      <w:tblGrid>
        <w:gridCol w:w="1608"/>
        <w:gridCol w:w="2886"/>
        <w:gridCol w:w="1024"/>
        <w:gridCol w:w="1025"/>
        <w:gridCol w:w="1024"/>
        <w:gridCol w:w="1025"/>
        <w:gridCol w:w="1025"/>
        <w:gridCol w:w="1025"/>
        <w:gridCol w:w="340"/>
        <w:gridCol w:w="1026"/>
        <w:gridCol w:w="1031"/>
        <w:gridCol w:w="1026"/>
        <w:gridCol w:w="1031"/>
      </w:tblGrid>
      <w:tr w:rsidR="00AE3CD8" w14:paraId="3E32C492" w14:textId="77777777" w:rsidTr="00162352">
        <w:trPr>
          <w:cantSplit/>
          <w:trHeight w:val="227"/>
        </w:trPr>
        <w:tc>
          <w:tcPr>
            <w:tcW w:w="1608" w:type="dxa"/>
          </w:tcPr>
          <w:p w14:paraId="57084E5F" w14:textId="77777777" w:rsidR="00AE3CD8" w:rsidRPr="00083F11" w:rsidRDefault="00AE3CD8" w:rsidP="00D11709">
            <w:pPr>
              <w:pStyle w:val="Note-Refs"/>
            </w:pPr>
          </w:p>
        </w:tc>
        <w:tc>
          <w:tcPr>
            <w:tcW w:w="2886" w:type="dxa"/>
            <w:shd w:val="clear" w:color="auto" w:fill="CCCCCC"/>
            <w:vAlign w:val="bottom"/>
          </w:tcPr>
          <w:p w14:paraId="74B38659" w14:textId="77777777" w:rsidR="00AE3CD8" w:rsidRPr="00FA235F" w:rsidRDefault="00AE3CD8">
            <w:pPr>
              <w:pStyle w:val="Statement-ItemBold"/>
            </w:pPr>
          </w:p>
        </w:tc>
        <w:tc>
          <w:tcPr>
            <w:tcW w:w="6148" w:type="dxa"/>
            <w:gridSpan w:val="6"/>
            <w:shd w:val="clear" w:color="auto" w:fill="CCCCCC"/>
          </w:tcPr>
          <w:p w14:paraId="3A0CF12C" w14:textId="77777777" w:rsidR="00AE3CD8" w:rsidRDefault="00AE3CD8" w:rsidP="00451F7F">
            <w:pPr>
              <w:pStyle w:val="NotesTable-CellBold"/>
            </w:pPr>
          </w:p>
        </w:tc>
        <w:tc>
          <w:tcPr>
            <w:tcW w:w="4454" w:type="dxa"/>
            <w:gridSpan w:val="5"/>
            <w:shd w:val="clear" w:color="auto" w:fill="CCCCCC"/>
          </w:tcPr>
          <w:p w14:paraId="7E026D94" w14:textId="77777777" w:rsidR="00AE3CD8" w:rsidRDefault="00AE3CD8" w:rsidP="00451F7F">
            <w:pPr>
              <w:pStyle w:val="NotesTable-CellBold"/>
            </w:pPr>
          </w:p>
        </w:tc>
      </w:tr>
      <w:tr w:rsidR="00AE3CD8" w14:paraId="52986A5E" w14:textId="77777777" w:rsidTr="00162352">
        <w:trPr>
          <w:cantSplit/>
          <w:trHeight w:val="227"/>
        </w:trPr>
        <w:tc>
          <w:tcPr>
            <w:tcW w:w="1608" w:type="dxa"/>
          </w:tcPr>
          <w:p w14:paraId="30CD1186" w14:textId="77777777" w:rsidR="00AE3CD8" w:rsidRPr="00083F11" w:rsidRDefault="00AE3CD8" w:rsidP="00D11709">
            <w:pPr>
              <w:pStyle w:val="Note-Refs"/>
            </w:pPr>
          </w:p>
        </w:tc>
        <w:tc>
          <w:tcPr>
            <w:tcW w:w="2886" w:type="dxa"/>
            <w:shd w:val="clear" w:color="auto" w:fill="CCCCCC"/>
            <w:vAlign w:val="bottom"/>
          </w:tcPr>
          <w:p w14:paraId="46260078" w14:textId="77777777" w:rsidR="00AE3CD8" w:rsidRPr="00FA235F" w:rsidRDefault="00AE3CD8">
            <w:pPr>
              <w:pStyle w:val="Statement-ItemBold"/>
            </w:pPr>
          </w:p>
        </w:tc>
        <w:tc>
          <w:tcPr>
            <w:tcW w:w="6148" w:type="dxa"/>
            <w:gridSpan w:val="6"/>
            <w:shd w:val="clear" w:color="auto" w:fill="CCCCCC"/>
          </w:tcPr>
          <w:p w14:paraId="33BDD07A" w14:textId="7FE31A79" w:rsidR="00AE3CD8" w:rsidRDefault="00AE3CD8" w:rsidP="00D11709">
            <w:pPr>
              <w:pStyle w:val="NotesTable-HeadPlain"/>
            </w:pPr>
            <w:r w:rsidRPr="002E53A8">
              <w:t>Consolidated</w:t>
            </w:r>
          </w:p>
        </w:tc>
        <w:tc>
          <w:tcPr>
            <w:tcW w:w="4454" w:type="dxa"/>
            <w:gridSpan w:val="5"/>
            <w:shd w:val="clear" w:color="auto" w:fill="CCCCCC"/>
          </w:tcPr>
          <w:p w14:paraId="4157710A" w14:textId="467B83AD" w:rsidR="00AE3CD8" w:rsidRDefault="00AE3CD8" w:rsidP="00D11709">
            <w:pPr>
              <w:pStyle w:val="NotesTable-HeadPlain"/>
            </w:pPr>
            <w:r w:rsidRPr="002E53A8">
              <w:t>Parent entity</w:t>
            </w:r>
          </w:p>
        </w:tc>
      </w:tr>
      <w:tr w:rsidR="00AE3CD8" w14:paraId="1A87AF00" w14:textId="77777777" w:rsidTr="00D11709">
        <w:trPr>
          <w:cantSplit/>
          <w:trHeight w:val="227"/>
        </w:trPr>
        <w:tc>
          <w:tcPr>
            <w:tcW w:w="1608" w:type="dxa"/>
          </w:tcPr>
          <w:p w14:paraId="7C5505FD" w14:textId="77777777" w:rsidR="00AE3CD8" w:rsidRDefault="00AE3CD8" w:rsidP="00D11709">
            <w:pPr>
              <w:pStyle w:val="Note-Refs"/>
            </w:pPr>
            <w:r>
              <w:t>AASB101.106</w:t>
            </w:r>
          </w:p>
          <w:p w14:paraId="7897C94A" w14:textId="77777777" w:rsidR="00AE3CD8" w:rsidRPr="00083F11" w:rsidRDefault="00AE3CD8" w:rsidP="00D11709">
            <w:pPr>
              <w:pStyle w:val="Note-Refs"/>
            </w:pPr>
          </w:p>
        </w:tc>
        <w:tc>
          <w:tcPr>
            <w:tcW w:w="2886" w:type="dxa"/>
            <w:shd w:val="clear" w:color="auto" w:fill="CCCCCC"/>
            <w:vAlign w:val="bottom"/>
          </w:tcPr>
          <w:p w14:paraId="721221C7" w14:textId="77777777" w:rsidR="00AE3CD8" w:rsidRPr="00FA235F" w:rsidRDefault="00AE3CD8">
            <w:pPr>
              <w:pStyle w:val="Statement-ItemBold"/>
            </w:pPr>
          </w:p>
        </w:tc>
        <w:tc>
          <w:tcPr>
            <w:tcW w:w="1024" w:type="dxa"/>
            <w:shd w:val="clear" w:color="auto" w:fill="CCCCCC"/>
            <w:vAlign w:val="bottom"/>
          </w:tcPr>
          <w:p w14:paraId="3CA6BFE9" w14:textId="4D856E5E" w:rsidR="00AE3CD8" w:rsidRPr="00D11709" w:rsidRDefault="00AE3CD8" w:rsidP="00D11709">
            <w:pPr>
              <w:pStyle w:val="NotesTable-HeadPlain"/>
            </w:pPr>
            <w:r w:rsidRPr="00162352">
              <w:t>Restricted funds</w:t>
            </w:r>
          </w:p>
        </w:tc>
        <w:tc>
          <w:tcPr>
            <w:tcW w:w="1025" w:type="dxa"/>
            <w:shd w:val="clear" w:color="auto" w:fill="CCCCCC"/>
            <w:vAlign w:val="bottom"/>
          </w:tcPr>
          <w:p w14:paraId="641D27C8" w14:textId="12E7FD71" w:rsidR="00AE3CD8" w:rsidRPr="00D11709" w:rsidRDefault="00AE3CD8" w:rsidP="00D11709">
            <w:pPr>
              <w:pStyle w:val="NotesTable-HeadPlain"/>
            </w:pPr>
            <w:r w:rsidRPr="00D11709">
              <w:t>Reserves</w:t>
            </w:r>
          </w:p>
        </w:tc>
        <w:tc>
          <w:tcPr>
            <w:tcW w:w="1024" w:type="dxa"/>
            <w:shd w:val="clear" w:color="auto" w:fill="CCCCCC"/>
            <w:vAlign w:val="bottom"/>
          </w:tcPr>
          <w:p w14:paraId="4D8C1133" w14:textId="68F2A41A" w:rsidR="00AE3CD8" w:rsidRPr="00D11709" w:rsidRDefault="00AE3CD8" w:rsidP="00D11709">
            <w:pPr>
              <w:pStyle w:val="NotesTable-HeadPlain"/>
            </w:pPr>
            <w:r w:rsidRPr="00D11709">
              <w:t>Retained earnings</w:t>
            </w:r>
          </w:p>
        </w:tc>
        <w:tc>
          <w:tcPr>
            <w:tcW w:w="1025" w:type="dxa"/>
            <w:shd w:val="clear" w:color="auto" w:fill="CCCCCC"/>
            <w:vAlign w:val="bottom"/>
          </w:tcPr>
          <w:p w14:paraId="117CC0CD" w14:textId="3F8E614C" w:rsidR="00AE3CD8" w:rsidRPr="00D11709" w:rsidRDefault="00AE3CD8" w:rsidP="00D11709">
            <w:pPr>
              <w:pStyle w:val="NotesTable-HeadPlain"/>
            </w:pPr>
            <w:r w:rsidRPr="00D11709">
              <w:t xml:space="preserve">Total: Owners of the parent </w:t>
            </w:r>
          </w:p>
        </w:tc>
        <w:tc>
          <w:tcPr>
            <w:tcW w:w="1025" w:type="dxa"/>
            <w:shd w:val="clear" w:color="auto" w:fill="CCCCCC"/>
            <w:vAlign w:val="bottom"/>
          </w:tcPr>
          <w:p w14:paraId="79FD21D4" w14:textId="54377102" w:rsidR="00AE3CD8" w:rsidRPr="00D11709" w:rsidRDefault="00AE3CD8" w:rsidP="00D11709">
            <w:pPr>
              <w:pStyle w:val="NotesTable-HeadPlain"/>
            </w:pPr>
            <w:r w:rsidRPr="00D11709">
              <w:t>Non-controlling Interest</w:t>
            </w:r>
          </w:p>
        </w:tc>
        <w:tc>
          <w:tcPr>
            <w:tcW w:w="1025" w:type="dxa"/>
            <w:shd w:val="clear" w:color="auto" w:fill="CCCCCC"/>
            <w:vAlign w:val="bottom"/>
          </w:tcPr>
          <w:p w14:paraId="7F07CC68" w14:textId="6DF72FBE" w:rsidR="00AE3CD8" w:rsidRPr="00D11709" w:rsidRDefault="00AE3CD8" w:rsidP="00D11709">
            <w:pPr>
              <w:pStyle w:val="NotesTable-HeadPlain"/>
            </w:pPr>
            <w:r w:rsidRPr="00D11709">
              <w:t>Total</w:t>
            </w:r>
          </w:p>
        </w:tc>
        <w:tc>
          <w:tcPr>
            <w:tcW w:w="340" w:type="dxa"/>
            <w:shd w:val="clear" w:color="auto" w:fill="CCCCCC"/>
          </w:tcPr>
          <w:p w14:paraId="69399E80" w14:textId="77777777" w:rsidR="00AE3CD8" w:rsidRDefault="00AE3CD8" w:rsidP="00451F7F">
            <w:pPr>
              <w:pStyle w:val="NotesTable-CellBold"/>
            </w:pPr>
          </w:p>
        </w:tc>
        <w:tc>
          <w:tcPr>
            <w:tcW w:w="1026" w:type="dxa"/>
            <w:shd w:val="clear" w:color="auto" w:fill="CCCCCC"/>
            <w:vAlign w:val="bottom"/>
          </w:tcPr>
          <w:p w14:paraId="628283EB" w14:textId="5FDCC080" w:rsidR="00AE3CD8" w:rsidRDefault="00AE3CD8" w:rsidP="00D11709">
            <w:pPr>
              <w:pStyle w:val="NotesTable-HeadPlain"/>
            </w:pPr>
            <w:r w:rsidRPr="00451F7F">
              <w:t>Restricted funds</w:t>
            </w:r>
          </w:p>
        </w:tc>
        <w:tc>
          <w:tcPr>
            <w:tcW w:w="1031" w:type="dxa"/>
            <w:shd w:val="clear" w:color="auto" w:fill="CCCCCC"/>
            <w:vAlign w:val="bottom"/>
          </w:tcPr>
          <w:p w14:paraId="440BAC08" w14:textId="32D1C724" w:rsidR="00AE3CD8" w:rsidRDefault="00AE3CD8" w:rsidP="00D11709">
            <w:pPr>
              <w:pStyle w:val="NotesTable-HeadPlain"/>
            </w:pPr>
            <w:r w:rsidRPr="00451F7F">
              <w:t>Reserves</w:t>
            </w:r>
          </w:p>
        </w:tc>
        <w:tc>
          <w:tcPr>
            <w:tcW w:w="1026" w:type="dxa"/>
            <w:shd w:val="clear" w:color="auto" w:fill="CCCCCC"/>
            <w:vAlign w:val="bottom"/>
          </w:tcPr>
          <w:p w14:paraId="0ED38AB2" w14:textId="34D18559" w:rsidR="00AE3CD8" w:rsidRDefault="00AE3CD8" w:rsidP="00D11709">
            <w:pPr>
              <w:pStyle w:val="NotesTable-HeadPlain"/>
            </w:pPr>
            <w:r w:rsidRPr="00451F7F">
              <w:t>Retained earnings</w:t>
            </w:r>
          </w:p>
        </w:tc>
        <w:tc>
          <w:tcPr>
            <w:tcW w:w="1031" w:type="dxa"/>
            <w:shd w:val="clear" w:color="auto" w:fill="CCCCCC"/>
            <w:vAlign w:val="bottom"/>
          </w:tcPr>
          <w:p w14:paraId="647C95B2" w14:textId="64F575EE" w:rsidR="00AE3CD8" w:rsidRDefault="00AE3CD8" w:rsidP="00D11709">
            <w:pPr>
              <w:pStyle w:val="NotesTable-HeadPlain"/>
            </w:pPr>
            <w:r w:rsidRPr="00451F7F">
              <w:t>Total</w:t>
            </w:r>
            <w:r w:rsidRPr="00451F7F" w:rsidDel="00FA235F">
              <w:t xml:space="preserve"> </w:t>
            </w:r>
          </w:p>
        </w:tc>
      </w:tr>
      <w:tr w:rsidR="005E3D34" w14:paraId="038A03F5" w14:textId="77777777" w:rsidTr="00E47831">
        <w:trPr>
          <w:cantSplit/>
          <w:trHeight w:val="227"/>
        </w:trPr>
        <w:tc>
          <w:tcPr>
            <w:tcW w:w="1608" w:type="dxa"/>
          </w:tcPr>
          <w:p w14:paraId="038A03E8" w14:textId="35B1F2AF" w:rsidR="00FA235F" w:rsidRPr="00083F11" w:rsidRDefault="00FA235F" w:rsidP="00D11709">
            <w:pPr>
              <w:pStyle w:val="Note-Refs"/>
            </w:pPr>
          </w:p>
        </w:tc>
        <w:tc>
          <w:tcPr>
            <w:tcW w:w="2886" w:type="dxa"/>
            <w:shd w:val="clear" w:color="auto" w:fill="CCCCCC"/>
            <w:vAlign w:val="bottom"/>
          </w:tcPr>
          <w:p w14:paraId="038A03E9" w14:textId="29823344" w:rsidR="00FA235F" w:rsidRPr="00FA235F" w:rsidRDefault="00FA235F">
            <w:pPr>
              <w:pStyle w:val="Statement-ItemBold"/>
            </w:pPr>
            <w:r w:rsidRPr="00FA235F">
              <w:t xml:space="preserve">Balance at 1 January </w:t>
            </w:r>
            <w:r w:rsidR="006864EC">
              <w:t>2014</w:t>
            </w:r>
          </w:p>
        </w:tc>
        <w:tc>
          <w:tcPr>
            <w:tcW w:w="1024" w:type="dxa"/>
            <w:shd w:val="clear" w:color="auto" w:fill="CCCCCC"/>
          </w:tcPr>
          <w:p w14:paraId="038A03EA" w14:textId="77777777" w:rsidR="00FA235F" w:rsidRPr="00083F11" w:rsidRDefault="00FA235F" w:rsidP="00451F7F">
            <w:pPr>
              <w:pStyle w:val="NotesTable-CellBold"/>
              <w:rPr>
                <w:b w:val="0"/>
              </w:rPr>
            </w:pPr>
            <w:r>
              <w:t>–</w:t>
            </w:r>
          </w:p>
        </w:tc>
        <w:tc>
          <w:tcPr>
            <w:tcW w:w="1025" w:type="dxa"/>
            <w:shd w:val="clear" w:color="auto" w:fill="CCCCCC"/>
          </w:tcPr>
          <w:p w14:paraId="038A03EB" w14:textId="77777777" w:rsidR="00FA235F" w:rsidRPr="00083F11" w:rsidRDefault="00FA235F" w:rsidP="00451F7F">
            <w:pPr>
              <w:pStyle w:val="NotesTable-CellBold"/>
              <w:rPr>
                <w:b w:val="0"/>
              </w:rPr>
            </w:pPr>
            <w:r>
              <w:t>–</w:t>
            </w:r>
          </w:p>
        </w:tc>
        <w:tc>
          <w:tcPr>
            <w:tcW w:w="1024" w:type="dxa"/>
            <w:shd w:val="clear" w:color="auto" w:fill="CCCCCC"/>
          </w:tcPr>
          <w:p w14:paraId="038A03EC" w14:textId="77777777" w:rsidR="00FA235F" w:rsidRPr="00083F11" w:rsidRDefault="00FA235F" w:rsidP="00451F7F">
            <w:pPr>
              <w:pStyle w:val="NotesTable-CellBold"/>
              <w:rPr>
                <w:b w:val="0"/>
              </w:rPr>
            </w:pPr>
            <w:r>
              <w:t>–</w:t>
            </w:r>
          </w:p>
        </w:tc>
        <w:tc>
          <w:tcPr>
            <w:tcW w:w="1025" w:type="dxa"/>
            <w:shd w:val="clear" w:color="auto" w:fill="CCCCCC"/>
          </w:tcPr>
          <w:p w14:paraId="038A03ED" w14:textId="77777777" w:rsidR="00FA235F" w:rsidRPr="00083F11" w:rsidRDefault="00FA235F" w:rsidP="00451F7F">
            <w:pPr>
              <w:pStyle w:val="NotesTable-CellBold"/>
              <w:rPr>
                <w:b w:val="0"/>
              </w:rPr>
            </w:pPr>
            <w:r>
              <w:t>–</w:t>
            </w:r>
          </w:p>
        </w:tc>
        <w:tc>
          <w:tcPr>
            <w:tcW w:w="1025" w:type="dxa"/>
            <w:shd w:val="clear" w:color="auto" w:fill="CCCCCC"/>
          </w:tcPr>
          <w:p w14:paraId="038A03EE" w14:textId="77777777" w:rsidR="00FA235F" w:rsidRDefault="00FA235F" w:rsidP="00451F7F">
            <w:pPr>
              <w:pStyle w:val="NotesTable-CellBold"/>
              <w:rPr>
                <w:b w:val="0"/>
              </w:rPr>
            </w:pPr>
            <w:r>
              <w:t>–</w:t>
            </w:r>
          </w:p>
        </w:tc>
        <w:tc>
          <w:tcPr>
            <w:tcW w:w="1025" w:type="dxa"/>
            <w:shd w:val="clear" w:color="auto" w:fill="CCCCCC"/>
          </w:tcPr>
          <w:p w14:paraId="038A03EF" w14:textId="77777777" w:rsidR="00FA235F" w:rsidRDefault="00FA235F" w:rsidP="00451F7F">
            <w:pPr>
              <w:pStyle w:val="NotesTable-CellBold"/>
              <w:rPr>
                <w:b w:val="0"/>
              </w:rPr>
            </w:pPr>
            <w:r>
              <w:t>–</w:t>
            </w:r>
          </w:p>
        </w:tc>
        <w:tc>
          <w:tcPr>
            <w:tcW w:w="340" w:type="dxa"/>
            <w:shd w:val="clear" w:color="auto" w:fill="CCCCCC"/>
          </w:tcPr>
          <w:p w14:paraId="038A03F0" w14:textId="77777777" w:rsidR="00FA235F" w:rsidRDefault="00FA235F" w:rsidP="00451F7F">
            <w:pPr>
              <w:pStyle w:val="NotesTable-CellBold"/>
            </w:pPr>
          </w:p>
        </w:tc>
        <w:tc>
          <w:tcPr>
            <w:tcW w:w="1026" w:type="dxa"/>
            <w:shd w:val="clear" w:color="auto" w:fill="CCCCCC"/>
          </w:tcPr>
          <w:p w14:paraId="038A03F1" w14:textId="77777777" w:rsidR="00FA235F" w:rsidRDefault="00FA235F" w:rsidP="00451F7F">
            <w:pPr>
              <w:pStyle w:val="NotesTable-CellBold"/>
              <w:rPr>
                <w:b w:val="0"/>
              </w:rPr>
            </w:pPr>
            <w:r>
              <w:t>–</w:t>
            </w:r>
          </w:p>
        </w:tc>
        <w:tc>
          <w:tcPr>
            <w:tcW w:w="1031" w:type="dxa"/>
            <w:shd w:val="clear" w:color="auto" w:fill="CCCCCC"/>
          </w:tcPr>
          <w:p w14:paraId="038A03F2" w14:textId="77777777" w:rsidR="00FA235F" w:rsidRPr="00083F11" w:rsidRDefault="00FA235F" w:rsidP="00451F7F">
            <w:pPr>
              <w:pStyle w:val="NotesTable-CellBold"/>
              <w:rPr>
                <w:b w:val="0"/>
              </w:rPr>
            </w:pPr>
            <w:r>
              <w:t>–</w:t>
            </w:r>
          </w:p>
        </w:tc>
        <w:tc>
          <w:tcPr>
            <w:tcW w:w="1026" w:type="dxa"/>
            <w:shd w:val="clear" w:color="auto" w:fill="CCCCCC"/>
          </w:tcPr>
          <w:p w14:paraId="038A03F3" w14:textId="77777777" w:rsidR="00FA235F" w:rsidRDefault="00FA235F" w:rsidP="00451F7F">
            <w:pPr>
              <w:pStyle w:val="NotesTable-CellBold"/>
              <w:rPr>
                <w:b w:val="0"/>
              </w:rPr>
            </w:pPr>
            <w:r>
              <w:t>–</w:t>
            </w:r>
          </w:p>
        </w:tc>
        <w:tc>
          <w:tcPr>
            <w:tcW w:w="1031" w:type="dxa"/>
            <w:shd w:val="clear" w:color="auto" w:fill="CCCCCC"/>
          </w:tcPr>
          <w:p w14:paraId="038A03F4" w14:textId="77777777" w:rsidR="00FA235F" w:rsidRPr="00083F11" w:rsidRDefault="00FA235F" w:rsidP="00451F7F">
            <w:pPr>
              <w:pStyle w:val="NotesTable-CellBold"/>
              <w:rPr>
                <w:b w:val="0"/>
              </w:rPr>
            </w:pPr>
            <w:r>
              <w:t>–</w:t>
            </w:r>
          </w:p>
        </w:tc>
      </w:tr>
      <w:tr w:rsidR="009A4B0C" w14:paraId="038A0403" w14:textId="77777777" w:rsidTr="00E47831">
        <w:trPr>
          <w:cantSplit/>
          <w:trHeight w:val="227"/>
        </w:trPr>
        <w:tc>
          <w:tcPr>
            <w:tcW w:w="1608" w:type="dxa"/>
          </w:tcPr>
          <w:p w14:paraId="038A03F6" w14:textId="1D3552B6" w:rsidR="009A4B0C" w:rsidRDefault="009A4B0C" w:rsidP="00D11709">
            <w:pPr>
              <w:pStyle w:val="Note-Refs"/>
            </w:pPr>
            <w:r>
              <w:t>AASB101.106d(i)</w:t>
            </w:r>
          </w:p>
        </w:tc>
        <w:tc>
          <w:tcPr>
            <w:tcW w:w="2886" w:type="dxa"/>
            <w:shd w:val="clear" w:color="auto" w:fill="CCCCCC"/>
            <w:vAlign w:val="bottom"/>
          </w:tcPr>
          <w:p w14:paraId="038A03F7" w14:textId="21B2DECB" w:rsidR="009A4B0C" w:rsidRPr="00FA235F" w:rsidRDefault="009A4B0C" w:rsidP="00D11709">
            <w:pPr>
              <w:pStyle w:val="NotesTable-ItemPlain"/>
              <w:rPr>
                <w:b/>
              </w:rPr>
            </w:pPr>
            <w:r>
              <w:t>Net operating result</w:t>
            </w:r>
            <w:r w:rsidRPr="00FA235F" w:rsidDel="00DF5BE1">
              <w:t xml:space="preserve"> </w:t>
            </w:r>
          </w:p>
        </w:tc>
        <w:tc>
          <w:tcPr>
            <w:tcW w:w="1024" w:type="dxa"/>
            <w:shd w:val="clear" w:color="auto" w:fill="CCCCCC"/>
          </w:tcPr>
          <w:p w14:paraId="038A03F8" w14:textId="6619E0F1" w:rsidR="009A4B0C" w:rsidRDefault="009A4B0C" w:rsidP="00451F7F">
            <w:pPr>
              <w:pStyle w:val="NotesTable-CellPlain"/>
            </w:pPr>
            <w:r>
              <w:t>–</w:t>
            </w:r>
          </w:p>
        </w:tc>
        <w:tc>
          <w:tcPr>
            <w:tcW w:w="1025" w:type="dxa"/>
            <w:shd w:val="clear" w:color="auto" w:fill="CCCCCC"/>
          </w:tcPr>
          <w:p w14:paraId="038A03F9" w14:textId="09D77D88" w:rsidR="009A4B0C" w:rsidRDefault="009A4B0C" w:rsidP="00451F7F">
            <w:pPr>
              <w:pStyle w:val="NotesTable-CellPlain"/>
            </w:pPr>
            <w:r>
              <w:t>–</w:t>
            </w:r>
          </w:p>
        </w:tc>
        <w:tc>
          <w:tcPr>
            <w:tcW w:w="1024" w:type="dxa"/>
            <w:shd w:val="clear" w:color="auto" w:fill="CCCCCC"/>
          </w:tcPr>
          <w:p w14:paraId="038A03FA" w14:textId="2AF7872D" w:rsidR="009A4B0C" w:rsidRDefault="009A4B0C" w:rsidP="00451F7F">
            <w:pPr>
              <w:pStyle w:val="NotesTable-CellPlain"/>
            </w:pPr>
            <w:r>
              <w:t>–</w:t>
            </w:r>
          </w:p>
        </w:tc>
        <w:tc>
          <w:tcPr>
            <w:tcW w:w="1025" w:type="dxa"/>
            <w:shd w:val="clear" w:color="auto" w:fill="CCCCCC"/>
          </w:tcPr>
          <w:p w14:paraId="038A03FB" w14:textId="750988BC" w:rsidR="009A4B0C" w:rsidRDefault="009A4B0C" w:rsidP="00451F7F">
            <w:pPr>
              <w:pStyle w:val="NotesTable-CellPlain"/>
            </w:pPr>
            <w:r>
              <w:t>–</w:t>
            </w:r>
          </w:p>
        </w:tc>
        <w:tc>
          <w:tcPr>
            <w:tcW w:w="1025" w:type="dxa"/>
            <w:shd w:val="clear" w:color="auto" w:fill="CCCCCC"/>
          </w:tcPr>
          <w:p w14:paraId="038A03FC" w14:textId="09CF87C4" w:rsidR="009A4B0C" w:rsidRDefault="009A4B0C" w:rsidP="00451F7F">
            <w:pPr>
              <w:pStyle w:val="NotesTable-CellPlain"/>
            </w:pPr>
            <w:r>
              <w:t>–</w:t>
            </w:r>
          </w:p>
        </w:tc>
        <w:tc>
          <w:tcPr>
            <w:tcW w:w="1025" w:type="dxa"/>
            <w:shd w:val="clear" w:color="auto" w:fill="CCCCCC"/>
          </w:tcPr>
          <w:p w14:paraId="038A03FD" w14:textId="79981A3B" w:rsidR="009A4B0C" w:rsidRDefault="009A4B0C" w:rsidP="00451F7F">
            <w:pPr>
              <w:pStyle w:val="NotesTable-CellPlain"/>
            </w:pPr>
            <w:r>
              <w:t>–</w:t>
            </w:r>
          </w:p>
        </w:tc>
        <w:tc>
          <w:tcPr>
            <w:tcW w:w="340" w:type="dxa"/>
            <w:shd w:val="clear" w:color="auto" w:fill="CCCCCC"/>
          </w:tcPr>
          <w:p w14:paraId="038A03FE" w14:textId="77777777" w:rsidR="009A4B0C" w:rsidRDefault="009A4B0C" w:rsidP="00451F7F">
            <w:pPr>
              <w:pStyle w:val="NotesTable-CellPlain"/>
            </w:pPr>
          </w:p>
        </w:tc>
        <w:tc>
          <w:tcPr>
            <w:tcW w:w="1026" w:type="dxa"/>
            <w:shd w:val="clear" w:color="auto" w:fill="CCCCCC"/>
          </w:tcPr>
          <w:p w14:paraId="038A03FF" w14:textId="5B3333D5" w:rsidR="009A4B0C" w:rsidRDefault="009A4B0C" w:rsidP="00451F7F">
            <w:pPr>
              <w:pStyle w:val="NotesTable-CellPlain"/>
            </w:pPr>
            <w:r>
              <w:t>–</w:t>
            </w:r>
          </w:p>
        </w:tc>
        <w:tc>
          <w:tcPr>
            <w:tcW w:w="1031" w:type="dxa"/>
            <w:shd w:val="clear" w:color="auto" w:fill="CCCCCC"/>
          </w:tcPr>
          <w:p w14:paraId="038A0400" w14:textId="56584985" w:rsidR="009A4B0C" w:rsidRDefault="009A4B0C" w:rsidP="00451F7F">
            <w:pPr>
              <w:pStyle w:val="NotesTable-CellPlain"/>
            </w:pPr>
            <w:r>
              <w:t>–</w:t>
            </w:r>
          </w:p>
        </w:tc>
        <w:tc>
          <w:tcPr>
            <w:tcW w:w="1026" w:type="dxa"/>
            <w:shd w:val="clear" w:color="auto" w:fill="CCCCCC"/>
          </w:tcPr>
          <w:p w14:paraId="038A0401" w14:textId="140956AD" w:rsidR="009A4B0C" w:rsidRDefault="009A4B0C" w:rsidP="00451F7F">
            <w:pPr>
              <w:pStyle w:val="NotesTable-CellPlain"/>
            </w:pPr>
            <w:r>
              <w:t>–</w:t>
            </w:r>
          </w:p>
        </w:tc>
        <w:tc>
          <w:tcPr>
            <w:tcW w:w="1031" w:type="dxa"/>
            <w:shd w:val="clear" w:color="auto" w:fill="CCCCCC"/>
          </w:tcPr>
          <w:p w14:paraId="038A0402" w14:textId="454ED8C7" w:rsidR="009A4B0C" w:rsidRDefault="009A4B0C" w:rsidP="00451F7F">
            <w:pPr>
              <w:pStyle w:val="NotesTable-CellPlain"/>
            </w:pPr>
            <w:r>
              <w:t>–</w:t>
            </w:r>
          </w:p>
        </w:tc>
      </w:tr>
      <w:tr w:rsidR="009A4B0C" w14:paraId="038A0411" w14:textId="77777777" w:rsidTr="00E47831">
        <w:trPr>
          <w:cantSplit/>
          <w:trHeight w:val="227"/>
        </w:trPr>
        <w:tc>
          <w:tcPr>
            <w:tcW w:w="1608" w:type="dxa"/>
          </w:tcPr>
          <w:p w14:paraId="038A0404" w14:textId="1976C723" w:rsidR="009A4B0C" w:rsidRDefault="009A4B0C" w:rsidP="00D11709">
            <w:pPr>
              <w:pStyle w:val="Note-Refs"/>
              <w:rPr>
                <w:b/>
              </w:rPr>
            </w:pPr>
            <w:r>
              <w:t>AASB101.106d(ii)</w:t>
            </w:r>
          </w:p>
        </w:tc>
        <w:tc>
          <w:tcPr>
            <w:tcW w:w="2886" w:type="dxa"/>
            <w:shd w:val="clear" w:color="auto" w:fill="CCCCCC"/>
            <w:vAlign w:val="bottom"/>
          </w:tcPr>
          <w:p w14:paraId="038A0405" w14:textId="7CC23C4A" w:rsidR="009A4B0C" w:rsidRPr="00FA235F" w:rsidRDefault="009A4B0C" w:rsidP="00D11709">
            <w:pPr>
              <w:pStyle w:val="NotesTable-ItemPlain"/>
              <w:rPr>
                <w:b/>
              </w:rPr>
            </w:pPr>
            <w:r>
              <w:t>Gain/(loss) on r</w:t>
            </w:r>
            <w:r w:rsidRPr="00FA235F">
              <w:t xml:space="preserve">evaluation of </w:t>
            </w:r>
            <w:r>
              <w:t>b</w:t>
            </w:r>
            <w:r w:rsidRPr="00FA235F">
              <w:t>uildings</w:t>
            </w:r>
            <w:r>
              <w:t>, net of tax</w:t>
            </w:r>
          </w:p>
        </w:tc>
        <w:tc>
          <w:tcPr>
            <w:tcW w:w="1024" w:type="dxa"/>
            <w:shd w:val="clear" w:color="auto" w:fill="CCCCCC"/>
          </w:tcPr>
          <w:p w14:paraId="038A0406" w14:textId="428FD406" w:rsidR="009A4B0C" w:rsidRDefault="009A4B0C" w:rsidP="00451F7F">
            <w:pPr>
              <w:pStyle w:val="NotesTable-CellPlain"/>
            </w:pPr>
            <w:r>
              <w:t>–</w:t>
            </w:r>
          </w:p>
        </w:tc>
        <w:tc>
          <w:tcPr>
            <w:tcW w:w="1025" w:type="dxa"/>
            <w:shd w:val="clear" w:color="auto" w:fill="CCCCCC"/>
          </w:tcPr>
          <w:p w14:paraId="038A0407" w14:textId="22C5CEA9" w:rsidR="009A4B0C" w:rsidRDefault="009A4B0C" w:rsidP="00451F7F">
            <w:pPr>
              <w:pStyle w:val="NotesTable-CellPlain"/>
            </w:pPr>
            <w:r>
              <w:t>–</w:t>
            </w:r>
          </w:p>
        </w:tc>
        <w:tc>
          <w:tcPr>
            <w:tcW w:w="1024" w:type="dxa"/>
            <w:shd w:val="clear" w:color="auto" w:fill="CCCCCC"/>
          </w:tcPr>
          <w:p w14:paraId="038A0408" w14:textId="1995F320" w:rsidR="009A4B0C" w:rsidRDefault="009A4B0C" w:rsidP="00451F7F">
            <w:pPr>
              <w:pStyle w:val="NotesTable-CellPlain"/>
            </w:pPr>
            <w:r>
              <w:t>–</w:t>
            </w:r>
          </w:p>
        </w:tc>
        <w:tc>
          <w:tcPr>
            <w:tcW w:w="1025" w:type="dxa"/>
            <w:shd w:val="clear" w:color="auto" w:fill="CCCCCC"/>
          </w:tcPr>
          <w:p w14:paraId="038A0409" w14:textId="289CE247" w:rsidR="009A4B0C" w:rsidRDefault="009A4B0C" w:rsidP="00451F7F">
            <w:pPr>
              <w:pStyle w:val="NotesTable-CellPlain"/>
            </w:pPr>
            <w:r>
              <w:t>–</w:t>
            </w:r>
          </w:p>
        </w:tc>
        <w:tc>
          <w:tcPr>
            <w:tcW w:w="1025" w:type="dxa"/>
            <w:shd w:val="clear" w:color="auto" w:fill="CCCCCC"/>
          </w:tcPr>
          <w:p w14:paraId="038A040A" w14:textId="25A1747E" w:rsidR="009A4B0C" w:rsidRDefault="009A4B0C" w:rsidP="00451F7F">
            <w:pPr>
              <w:pStyle w:val="NotesTable-CellPlain"/>
            </w:pPr>
            <w:r>
              <w:t>–</w:t>
            </w:r>
          </w:p>
        </w:tc>
        <w:tc>
          <w:tcPr>
            <w:tcW w:w="1025" w:type="dxa"/>
            <w:shd w:val="clear" w:color="auto" w:fill="CCCCCC"/>
          </w:tcPr>
          <w:p w14:paraId="038A040B" w14:textId="3DFED02D" w:rsidR="009A4B0C" w:rsidRDefault="009A4B0C" w:rsidP="00451F7F">
            <w:pPr>
              <w:pStyle w:val="NotesTable-CellPlain"/>
            </w:pPr>
            <w:r>
              <w:t>–</w:t>
            </w:r>
          </w:p>
        </w:tc>
        <w:tc>
          <w:tcPr>
            <w:tcW w:w="340" w:type="dxa"/>
            <w:shd w:val="clear" w:color="auto" w:fill="CCCCCC"/>
          </w:tcPr>
          <w:p w14:paraId="038A040C" w14:textId="77777777" w:rsidR="009A4B0C" w:rsidRDefault="009A4B0C" w:rsidP="00451F7F">
            <w:pPr>
              <w:pStyle w:val="NotesTable-CellPlain"/>
            </w:pPr>
          </w:p>
        </w:tc>
        <w:tc>
          <w:tcPr>
            <w:tcW w:w="1026" w:type="dxa"/>
            <w:shd w:val="clear" w:color="auto" w:fill="CCCCCC"/>
          </w:tcPr>
          <w:p w14:paraId="038A040D" w14:textId="73853658" w:rsidR="009A4B0C" w:rsidRDefault="009A4B0C" w:rsidP="00451F7F">
            <w:pPr>
              <w:pStyle w:val="NotesTable-CellPlain"/>
            </w:pPr>
            <w:r>
              <w:t>–</w:t>
            </w:r>
          </w:p>
        </w:tc>
        <w:tc>
          <w:tcPr>
            <w:tcW w:w="1031" w:type="dxa"/>
            <w:shd w:val="clear" w:color="auto" w:fill="CCCCCC"/>
          </w:tcPr>
          <w:p w14:paraId="038A040E" w14:textId="5882D2AA" w:rsidR="009A4B0C" w:rsidRDefault="009A4B0C" w:rsidP="00451F7F">
            <w:pPr>
              <w:pStyle w:val="NotesTable-CellPlain"/>
            </w:pPr>
            <w:r>
              <w:t>–</w:t>
            </w:r>
          </w:p>
        </w:tc>
        <w:tc>
          <w:tcPr>
            <w:tcW w:w="1026" w:type="dxa"/>
            <w:shd w:val="clear" w:color="auto" w:fill="CCCCCC"/>
          </w:tcPr>
          <w:p w14:paraId="038A040F" w14:textId="2DD8B7F9" w:rsidR="009A4B0C" w:rsidRDefault="009A4B0C" w:rsidP="00451F7F">
            <w:pPr>
              <w:pStyle w:val="NotesTable-CellPlain"/>
            </w:pPr>
            <w:r>
              <w:t>–</w:t>
            </w:r>
          </w:p>
        </w:tc>
        <w:tc>
          <w:tcPr>
            <w:tcW w:w="1031" w:type="dxa"/>
            <w:shd w:val="clear" w:color="auto" w:fill="CCCCCC"/>
          </w:tcPr>
          <w:p w14:paraId="038A0410" w14:textId="6E169ABB" w:rsidR="009A4B0C" w:rsidRDefault="009A4B0C" w:rsidP="00451F7F">
            <w:pPr>
              <w:pStyle w:val="NotesTable-CellPlain"/>
            </w:pPr>
            <w:r>
              <w:t>–</w:t>
            </w:r>
          </w:p>
        </w:tc>
      </w:tr>
      <w:tr w:rsidR="009A4B0C" w14:paraId="038A041F" w14:textId="77777777" w:rsidTr="00E47831">
        <w:trPr>
          <w:cantSplit/>
          <w:trHeight w:val="227"/>
        </w:trPr>
        <w:tc>
          <w:tcPr>
            <w:tcW w:w="1608" w:type="dxa"/>
          </w:tcPr>
          <w:p w14:paraId="038A0412" w14:textId="743AD883" w:rsidR="009A4B0C" w:rsidRDefault="009A4B0C" w:rsidP="00D11709">
            <w:pPr>
              <w:pStyle w:val="Note-Refs"/>
              <w:rPr>
                <w:b/>
              </w:rPr>
            </w:pPr>
            <w:r w:rsidRPr="0044652C">
              <w:t>AASB101.106d(ii)</w:t>
            </w:r>
          </w:p>
        </w:tc>
        <w:tc>
          <w:tcPr>
            <w:tcW w:w="2886" w:type="dxa"/>
            <w:shd w:val="clear" w:color="auto" w:fill="CCCCCC"/>
            <w:vAlign w:val="bottom"/>
          </w:tcPr>
          <w:p w14:paraId="038A0413" w14:textId="10911F0A" w:rsidR="009A4B0C" w:rsidRPr="00FA235F" w:rsidRDefault="009A4B0C" w:rsidP="00D11709">
            <w:pPr>
              <w:pStyle w:val="NotesTable-ItemPlain"/>
              <w:rPr>
                <w:b/>
              </w:rPr>
            </w:pPr>
            <w:r w:rsidRPr="00FA235F">
              <w:t>Gain</w:t>
            </w:r>
            <w:r>
              <w:t>/(loss)</w:t>
            </w:r>
            <w:r w:rsidRPr="00FA235F">
              <w:t xml:space="preserve">on </w:t>
            </w:r>
            <w:r>
              <w:t>revaluation of a</w:t>
            </w:r>
            <w:r w:rsidRPr="00FA235F">
              <w:t>vail</w:t>
            </w:r>
            <w:r>
              <w:t>able</w:t>
            </w:r>
            <w:r w:rsidRPr="00FA235F">
              <w:t xml:space="preserve">-for-sale </w:t>
            </w:r>
            <w:r>
              <w:t>financial assets</w:t>
            </w:r>
          </w:p>
        </w:tc>
        <w:tc>
          <w:tcPr>
            <w:tcW w:w="1024" w:type="dxa"/>
            <w:shd w:val="clear" w:color="auto" w:fill="CCCCCC"/>
          </w:tcPr>
          <w:p w14:paraId="038A0414" w14:textId="2A608971" w:rsidR="009A4B0C" w:rsidRDefault="009A4B0C" w:rsidP="00451F7F">
            <w:pPr>
              <w:pStyle w:val="NotesTable-CellPlain"/>
            </w:pPr>
            <w:r>
              <w:t>–</w:t>
            </w:r>
          </w:p>
        </w:tc>
        <w:tc>
          <w:tcPr>
            <w:tcW w:w="1025" w:type="dxa"/>
            <w:shd w:val="clear" w:color="auto" w:fill="CCCCCC"/>
          </w:tcPr>
          <w:p w14:paraId="038A0415" w14:textId="5485807A" w:rsidR="009A4B0C" w:rsidRDefault="009A4B0C" w:rsidP="00451F7F">
            <w:pPr>
              <w:pStyle w:val="NotesTable-CellPlain"/>
            </w:pPr>
            <w:r>
              <w:t>–</w:t>
            </w:r>
          </w:p>
        </w:tc>
        <w:tc>
          <w:tcPr>
            <w:tcW w:w="1024" w:type="dxa"/>
            <w:shd w:val="clear" w:color="auto" w:fill="CCCCCC"/>
          </w:tcPr>
          <w:p w14:paraId="038A0416" w14:textId="209EACA7" w:rsidR="009A4B0C" w:rsidRDefault="009A4B0C" w:rsidP="00451F7F">
            <w:pPr>
              <w:pStyle w:val="NotesTable-CellPlain"/>
            </w:pPr>
            <w:r>
              <w:t>–</w:t>
            </w:r>
          </w:p>
        </w:tc>
        <w:tc>
          <w:tcPr>
            <w:tcW w:w="1025" w:type="dxa"/>
            <w:shd w:val="clear" w:color="auto" w:fill="CCCCCC"/>
          </w:tcPr>
          <w:p w14:paraId="038A0417" w14:textId="02523E77" w:rsidR="009A4B0C" w:rsidRDefault="009A4B0C" w:rsidP="00451F7F">
            <w:pPr>
              <w:pStyle w:val="NotesTable-CellPlain"/>
            </w:pPr>
            <w:r>
              <w:t>–</w:t>
            </w:r>
          </w:p>
        </w:tc>
        <w:tc>
          <w:tcPr>
            <w:tcW w:w="1025" w:type="dxa"/>
            <w:shd w:val="clear" w:color="auto" w:fill="CCCCCC"/>
          </w:tcPr>
          <w:p w14:paraId="038A0418" w14:textId="28330CC3" w:rsidR="009A4B0C" w:rsidRDefault="009A4B0C" w:rsidP="00451F7F">
            <w:pPr>
              <w:pStyle w:val="NotesTable-CellPlain"/>
            </w:pPr>
            <w:r>
              <w:t>–</w:t>
            </w:r>
          </w:p>
        </w:tc>
        <w:tc>
          <w:tcPr>
            <w:tcW w:w="1025" w:type="dxa"/>
            <w:shd w:val="clear" w:color="auto" w:fill="CCCCCC"/>
          </w:tcPr>
          <w:p w14:paraId="038A0419" w14:textId="497D4ACA" w:rsidR="009A4B0C" w:rsidRDefault="009A4B0C" w:rsidP="00451F7F">
            <w:pPr>
              <w:pStyle w:val="NotesTable-CellPlain"/>
            </w:pPr>
            <w:r>
              <w:t>–</w:t>
            </w:r>
          </w:p>
        </w:tc>
        <w:tc>
          <w:tcPr>
            <w:tcW w:w="340" w:type="dxa"/>
            <w:shd w:val="clear" w:color="auto" w:fill="CCCCCC"/>
          </w:tcPr>
          <w:p w14:paraId="038A041A" w14:textId="77777777" w:rsidR="009A4B0C" w:rsidRDefault="009A4B0C" w:rsidP="00451F7F">
            <w:pPr>
              <w:pStyle w:val="NotesTable-CellPlain"/>
            </w:pPr>
          </w:p>
        </w:tc>
        <w:tc>
          <w:tcPr>
            <w:tcW w:w="1026" w:type="dxa"/>
            <w:shd w:val="clear" w:color="auto" w:fill="CCCCCC"/>
          </w:tcPr>
          <w:p w14:paraId="038A041B" w14:textId="66AB0FD5" w:rsidR="009A4B0C" w:rsidRDefault="009A4B0C" w:rsidP="00451F7F">
            <w:pPr>
              <w:pStyle w:val="NotesTable-CellPlain"/>
            </w:pPr>
            <w:r>
              <w:t>–</w:t>
            </w:r>
          </w:p>
        </w:tc>
        <w:tc>
          <w:tcPr>
            <w:tcW w:w="1031" w:type="dxa"/>
            <w:shd w:val="clear" w:color="auto" w:fill="CCCCCC"/>
          </w:tcPr>
          <w:p w14:paraId="038A041C" w14:textId="4B8B4029" w:rsidR="009A4B0C" w:rsidRDefault="009A4B0C" w:rsidP="00451F7F">
            <w:pPr>
              <w:pStyle w:val="NotesTable-CellPlain"/>
            </w:pPr>
            <w:r>
              <w:t>–</w:t>
            </w:r>
          </w:p>
        </w:tc>
        <w:tc>
          <w:tcPr>
            <w:tcW w:w="1026" w:type="dxa"/>
            <w:shd w:val="clear" w:color="auto" w:fill="CCCCCC"/>
          </w:tcPr>
          <w:p w14:paraId="038A041D" w14:textId="3829404F" w:rsidR="009A4B0C" w:rsidRDefault="009A4B0C" w:rsidP="00451F7F">
            <w:pPr>
              <w:pStyle w:val="NotesTable-CellPlain"/>
            </w:pPr>
            <w:r>
              <w:t>–</w:t>
            </w:r>
          </w:p>
        </w:tc>
        <w:tc>
          <w:tcPr>
            <w:tcW w:w="1031" w:type="dxa"/>
            <w:shd w:val="clear" w:color="auto" w:fill="CCCCCC"/>
          </w:tcPr>
          <w:p w14:paraId="038A041E" w14:textId="2194E141" w:rsidR="009A4B0C" w:rsidRDefault="009A4B0C" w:rsidP="00451F7F">
            <w:pPr>
              <w:pStyle w:val="NotesTable-CellPlain"/>
            </w:pPr>
            <w:r>
              <w:t>–</w:t>
            </w:r>
          </w:p>
        </w:tc>
      </w:tr>
      <w:tr w:rsidR="009A4B0C" w14:paraId="038A042D" w14:textId="77777777" w:rsidTr="00E47831">
        <w:trPr>
          <w:cantSplit/>
          <w:trHeight w:val="227"/>
        </w:trPr>
        <w:tc>
          <w:tcPr>
            <w:tcW w:w="1608" w:type="dxa"/>
          </w:tcPr>
          <w:p w14:paraId="038A0420" w14:textId="67924A2F" w:rsidR="009A4B0C" w:rsidRDefault="009A4B0C" w:rsidP="00D11709">
            <w:pPr>
              <w:pStyle w:val="Note-Refs"/>
              <w:rPr>
                <w:b/>
              </w:rPr>
            </w:pPr>
            <w:r w:rsidRPr="0044652C">
              <w:t>AASB101.106d(ii)</w:t>
            </w:r>
          </w:p>
        </w:tc>
        <w:tc>
          <w:tcPr>
            <w:tcW w:w="2886" w:type="dxa"/>
            <w:shd w:val="clear" w:color="auto" w:fill="CCCCCC"/>
            <w:vAlign w:val="bottom"/>
          </w:tcPr>
          <w:p w14:paraId="038A0421" w14:textId="7234E987" w:rsidR="009A4B0C" w:rsidRPr="00FA235F" w:rsidRDefault="009A4B0C" w:rsidP="00D11709">
            <w:pPr>
              <w:pStyle w:val="NotesTable-ItemPlain"/>
              <w:rPr>
                <w:b/>
              </w:rPr>
            </w:pPr>
            <w:r>
              <w:t>Gain/(loss) on c</w:t>
            </w:r>
            <w:r w:rsidRPr="00FA235F">
              <w:t>ash flow hedges</w:t>
            </w:r>
          </w:p>
        </w:tc>
        <w:tc>
          <w:tcPr>
            <w:tcW w:w="1024" w:type="dxa"/>
            <w:shd w:val="clear" w:color="auto" w:fill="CCCCCC"/>
          </w:tcPr>
          <w:p w14:paraId="038A0422" w14:textId="72EFD4EE" w:rsidR="009A4B0C" w:rsidRDefault="009A4B0C" w:rsidP="00451F7F">
            <w:pPr>
              <w:pStyle w:val="NotesTable-CellPlain"/>
            </w:pPr>
            <w:r>
              <w:t>–</w:t>
            </w:r>
          </w:p>
        </w:tc>
        <w:tc>
          <w:tcPr>
            <w:tcW w:w="1025" w:type="dxa"/>
            <w:shd w:val="clear" w:color="auto" w:fill="CCCCCC"/>
          </w:tcPr>
          <w:p w14:paraId="038A0423" w14:textId="75C89615" w:rsidR="009A4B0C" w:rsidRDefault="009A4B0C" w:rsidP="00451F7F">
            <w:pPr>
              <w:pStyle w:val="NotesTable-CellPlain"/>
            </w:pPr>
            <w:r>
              <w:t>–</w:t>
            </w:r>
          </w:p>
        </w:tc>
        <w:tc>
          <w:tcPr>
            <w:tcW w:w="1024" w:type="dxa"/>
            <w:shd w:val="clear" w:color="auto" w:fill="CCCCCC"/>
          </w:tcPr>
          <w:p w14:paraId="038A0424" w14:textId="2B32ABED" w:rsidR="009A4B0C" w:rsidRDefault="009A4B0C" w:rsidP="00451F7F">
            <w:pPr>
              <w:pStyle w:val="NotesTable-CellPlain"/>
            </w:pPr>
            <w:r>
              <w:t>–</w:t>
            </w:r>
          </w:p>
        </w:tc>
        <w:tc>
          <w:tcPr>
            <w:tcW w:w="1025" w:type="dxa"/>
            <w:shd w:val="clear" w:color="auto" w:fill="CCCCCC"/>
          </w:tcPr>
          <w:p w14:paraId="038A0425" w14:textId="51FA6628" w:rsidR="009A4B0C" w:rsidRDefault="009A4B0C" w:rsidP="00451F7F">
            <w:pPr>
              <w:pStyle w:val="NotesTable-CellPlain"/>
            </w:pPr>
            <w:r>
              <w:t>–</w:t>
            </w:r>
          </w:p>
        </w:tc>
        <w:tc>
          <w:tcPr>
            <w:tcW w:w="1025" w:type="dxa"/>
            <w:shd w:val="clear" w:color="auto" w:fill="CCCCCC"/>
          </w:tcPr>
          <w:p w14:paraId="038A0426" w14:textId="0E2DFC2E" w:rsidR="009A4B0C" w:rsidRDefault="009A4B0C" w:rsidP="00451F7F">
            <w:pPr>
              <w:pStyle w:val="NotesTable-CellPlain"/>
            </w:pPr>
            <w:r>
              <w:t>–</w:t>
            </w:r>
          </w:p>
        </w:tc>
        <w:tc>
          <w:tcPr>
            <w:tcW w:w="1025" w:type="dxa"/>
            <w:shd w:val="clear" w:color="auto" w:fill="CCCCCC"/>
          </w:tcPr>
          <w:p w14:paraId="038A0427" w14:textId="1530168D" w:rsidR="009A4B0C" w:rsidRDefault="009A4B0C" w:rsidP="00451F7F">
            <w:pPr>
              <w:pStyle w:val="NotesTable-CellPlain"/>
            </w:pPr>
            <w:r>
              <w:t>–</w:t>
            </w:r>
          </w:p>
        </w:tc>
        <w:tc>
          <w:tcPr>
            <w:tcW w:w="340" w:type="dxa"/>
            <w:shd w:val="clear" w:color="auto" w:fill="CCCCCC"/>
          </w:tcPr>
          <w:p w14:paraId="038A0428" w14:textId="77777777" w:rsidR="009A4B0C" w:rsidRDefault="009A4B0C" w:rsidP="00451F7F">
            <w:pPr>
              <w:pStyle w:val="NotesTable-CellPlain"/>
            </w:pPr>
          </w:p>
        </w:tc>
        <w:tc>
          <w:tcPr>
            <w:tcW w:w="1026" w:type="dxa"/>
            <w:shd w:val="clear" w:color="auto" w:fill="CCCCCC"/>
          </w:tcPr>
          <w:p w14:paraId="038A0429" w14:textId="70DDEEA5" w:rsidR="009A4B0C" w:rsidRDefault="009A4B0C" w:rsidP="00451F7F">
            <w:pPr>
              <w:pStyle w:val="NotesTable-CellPlain"/>
            </w:pPr>
            <w:r>
              <w:t>–</w:t>
            </w:r>
          </w:p>
        </w:tc>
        <w:tc>
          <w:tcPr>
            <w:tcW w:w="1031" w:type="dxa"/>
            <w:shd w:val="clear" w:color="auto" w:fill="CCCCCC"/>
          </w:tcPr>
          <w:p w14:paraId="038A042A" w14:textId="0D191E77" w:rsidR="009A4B0C" w:rsidRDefault="009A4B0C" w:rsidP="00451F7F">
            <w:pPr>
              <w:pStyle w:val="NotesTable-CellPlain"/>
            </w:pPr>
            <w:r>
              <w:t>–</w:t>
            </w:r>
          </w:p>
        </w:tc>
        <w:tc>
          <w:tcPr>
            <w:tcW w:w="1026" w:type="dxa"/>
            <w:shd w:val="clear" w:color="auto" w:fill="CCCCCC"/>
          </w:tcPr>
          <w:p w14:paraId="038A042B" w14:textId="17B26BB6" w:rsidR="009A4B0C" w:rsidRDefault="009A4B0C" w:rsidP="00451F7F">
            <w:pPr>
              <w:pStyle w:val="NotesTable-CellPlain"/>
            </w:pPr>
            <w:r>
              <w:t>–</w:t>
            </w:r>
          </w:p>
        </w:tc>
        <w:tc>
          <w:tcPr>
            <w:tcW w:w="1031" w:type="dxa"/>
            <w:shd w:val="clear" w:color="auto" w:fill="CCCCCC"/>
          </w:tcPr>
          <w:p w14:paraId="038A042C" w14:textId="32DAEC9A" w:rsidR="009A4B0C" w:rsidRDefault="009A4B0C" w:rsidP="00451F7F">
            <w:pPr>
              <w:pStyle w:val="NotesTable-CellPlain"/>
            </w:pPr>
            <w:r>
              <w:t>–</w:t>
            </w:r>
          </w:p>
        </w:tc>
      </w:tr>
      <w:tr w:rsidR="009A4B0C" w14:paraId="038A043B" w14:textId="77777777" w:rsidTr="00E47831">
        <w:trPr>
          <w:cantSplit/>
          <w:trHeight w:val="227"/>
        </w:trPr>
        <w:tc>
          <w:tcPr>
            <w:tcW w:w="1608" w:type="dxa"/>
          </w:tcPr>
          <w:p w14:paraId="038A042E" w14:textId="13B38E5D" w:rsidR="009A4B0C" w:rsidRDefault="009A4B0C" w:rsidP="00D11709">
            <w:pPr>
              <w:pStyle w:val="Note-Refs"/>
              <w:rPr>
                <w:b/>
              </w:rPr>
            </w:pPr>
            <w:r w:rsidRPr="0044652C">
              <w:t>AASB101.106d(ii)</w:t>
            </w:r>
          </w:p>
        </w:tc>
        <w:tc>
          <w:tcPr>
            <w:tcW w:w="2886" w:type="dxa"/>
            <w:shd w:val="clear" w:color="auto" w:fill="CCCCCC"/>
            <w:vAlign w:val="bottom"/>
          </w:tcPr>
          <w:p w14:paraId="038A042F" w14:textId="6A694506" w:rsidR="009A4B0C" w:rsidRPr="00FA235F" w:rsidRDefault="009A4B0C" w:rsidP="00D11709">
            <w:pPr>
              <w:pStyle w:val="NotesTable-ItemPlain"/>
              <w:rPr>
                <w:b/>
              </w:rPr>
            </w:pPr>
            <w:r w:rsidRPr="00FA235F">
              <w:t>Gain</w:t>
            </w:r>
            <w:r>
              <w:t xml:space="preserve">/(loss) </w:t>
            </w:r>
            <w:r w:rsidRPr="00FA235F">
              <w:t xml:space="preserve">on </w:t>
            </w:r>
            <w:r>
              <w:t>f</w:t>
            </w:r>
            <w:r w:rsidRPr="00FA235F">
              <w:t>oreign exchange</w:t>
            </w:r>
          </w:p>
        </w:tc>
        <w:tc>
          <w:tcPr>
            <w:tcW w:w="1024" w:type="dxa"/>
            <w:shd w:val="clear" w:color="auto" w:fill="CCCCCC"/>
          </w:tcPr>
          <w:p w14:paraId="038A0430" w14:textId="6389DCB5" w:rsidR="009A4B0C" w:rsidRDefault="009A4B0C" w:rsidP="00451F7F">
            <w:pPr>
              <w:pStyle w:val="NotesTable-CellPlain"/>
            </w:pPr>
            <w:r>
              <w:t>–</w:t>
            </w:r>
          </w:p>
        </w:tc>
        <w:tc>
          <w:tcPr>
            <w:tcW w:w="1025" w:type="dxa"/>
            <w:shd w:val="clear" w:color="auto" w:fill="CCCCCC"/>
          </w:tcPr>
          <w:p w14:paraId="038A0431" w14:textId="3AE4EA50" w:rsidR="009A4B0C" w:rsidRDefault="009A4B0C" w:rsidP="00451F7F">
            <w:pPr>
              <w:pStyle w:val="NotesTable-CellPlain"/>
            </w:pPr>
            <w:r>
              <w:t>–</w:t>
            </w:r>
          </w:p>
        </w:tc>
        <w:tc>
          <w:tcPr>
            <w:tcW w:w="1024" w:type="dxa"/>
            <w:shd w:val="clear" w:color="auto" w:fill="CCCCCC"/>
          </w:tcPr>
          <w:p w14:paraId="038A0432" w14:textId="7AFDE1BD" w:rsidR="009A4B0C" w:rsidRDefault="009A4B0C" w:rsidP="00451F7F">
            <w:pPr>
              <w:pStyle w:val="NotesTable-CellPlain"/>
            </w:pPr>
            <w:r>
              <w:t>–</w:t>
            </w:r>
          </w:p>
        </w:tc>
        <w:tc>
          <w:tcPr>
            <w:tcW w:w="1025" w:type="dxa"/>
            <w:shd w:val="clear" w:color="auto" w:fill="CCCCCC"/>
          </w:tcPr>
          <w:p w14:paraId="038A0433" w14:textId="78CA1854" w:rsidR="009A4B0C" w:rsidRDefault="009A4B0C" w:rsidP="00451F7F">
            <w:pPr>
              <w:pStyle w:val="NotesTable-CellPlain"/>
            </w:pPr>
            <w:r>
              <w:t>–</w:t>
            </w:r>
          </w:p>
        </w:tc>
        <w:tc>
          <w:tcPr>
            <w:tcW w:w="1025" w:type="dxa"/>
            <w:shd w:val="clear" w:color="auto" w:fill="CCCCCC"/>
          </w:tcPr>
          <w:p w14:paraId="038A0434" w14:textId="7C143457" w:rsidR="009A4B0C" w:rsidRDefault="009A4B0C" w:rsidP="00451F7F">
            <w:pPr>
              <w:pStyle w:val="NotesTable-CellPlain"/>
            </w:pPr>
            <w:r>
              <w:t>–</w:t>
            </w:r>
          </w:p>
        </w:tc>
        <w:tc>
          <w:tcPr>
            <w:tcW w:w="1025" w:type="dxa"/>
            <w:shd w:val="clear" w:color="auto" w:fill="CCCCCC"/>
          </w:tcPr>
          <w:p w14:paraId="038A0435" w14:textId="2E28E81D" w:rsidR="009A4B0C" w:rsidRDefault="009A4B0C" w:rsidP="00451F7F">
            <w:pPr>
              <w:pStyle w:val="NotesTable-CellPlain"/>
            </w:pPr>
            <w:r>
              <w:t>–</w:t>
            </w:r>
          </w:p>
        </w:tc>
        <w:tc>
          <w:tcPr>
            <w:tcW w:w="340" w:type="dxa"/>
            <w:shd w:val="clear" w:color="auto" w:fill="CCCCCC"/>
          </w:tcPr>
          <w:p w14:paraId="038A0436" w14:textId="77777777" w:rsidR="009A4B0C" w:rsidRDefault="009A4B0C" w:rsidP="00451F7F">
            <w:pPr>
              <w:pStyle w:val="NotesTable-CellPlain"/>
            </w:pPr>
          </w:p>
        </w:tc>
        <w:tc>
          <w:tcPr>
            <w:tcW w:w="1026" w:type="dxa"/>
            <w:shd w:val="clear" w:color="auto" w:fill="CCCCCC"/>
          </w:tcPr>
          <w:p w14:paraId="038A0437" w14:textId="725D79C6" w:rsidR="009A4B0C" w:rsidRDefault="009A4B0C" w:rsidP="00451F7F">
            <w:pPr>
              <w:pStyle w:val="NotesTable-CellPlain"/>
            </w:pPr>
            <w:r>
              <w:t>–</w:t>
            </w:r>
          </w:p>
        </w:tc>
        <w:tc>
          <w:tcPr>
            <w:tcW w:w="1031" w:type="dxa"/>
            <w:shd w:val="clear" w:color="auto" w:fill="CCCCCC"/>
          </w:tcPr>
          <w:p w14:paraId="038A0438" w14:textId="07158796" w:rsidR="009A4B0C" w:rsidRDefault="009A4B0C" w:rsidP="00451F7F">
            <w:pPr>
              <w:pStyle w:val="NotesTable-CellPlain"/>
            </w:pPr>
            <w:r>
              <w:t>–</w:t>
            </w:r>
          </w:p>
        </w:tc>
        <w:tc>
          <w:tcPr>
            <w:tcW w:w="1026" w:type="dxa"/>
            <w:shd w:val="clear" w:color="auto" w:fill="CCCCCC"/>
          </w:tcPr>
          <w:p w14:paraId="038A0439" w14:textId="5FFF331F" w:rsidR="009A4B0C" w:rsidRDefault="009A4B0C" w:rsidP="00451F7F">
            <w:pPr>
              <w:pStyle w:val="NotesTable-CellPlain"/>
            </w:pPr>
            <w:r>
              <w:t>–</w:t>
            </w:r>
          </w:p>
        </w:tc>
        <w:tc>
          <w:tcPr>
            <w:tcW w:w="1031" w:type="dxa"/>
            <w:shd w:val="clear" w:color="auto" w:fill="CCCCCC"/>
          </w:tcPr>
          <w:p w14:paraId="038A043A" w14:textId="5C591DDA" w:rsidR="009A4B0C" w:rsidRDefault="009A4B0C" w:rsidP="00451F7F">
            <w:pPr>
              <w:pStyle w:val="NotesTable-CellPlain"/>
            </w:pPr>
            <w:r>
              <w:t>–</w:t>
            </w:r>
          </w:p>
        </w:tc>
      </w:tr>
      <w:tr w:rsidR="009A4B0C" w14:paraId="038A0449" w14:textId="77777777" w:rsidTr="00E47831">
        <w:trPr>
          <w:cantSplit/>
          <w:trHeight w:val="227"/>
        </w:trPr>
        <w:tc>
          <w:tcPr>
            <w:tcW w:w="1608" w:type="dxa"/>
          </w:tcPr>
          <w:p w14:paraId="038A043C" w14:textId="61DB1C1E" w:rsidR="009A4B0C" w:rsidRDefault="009A4B0C" w:rsidP="00D11709">
            <w:pPr>
              <w:pStyle w:val="Note-Refs"/>
              <w:rPr>
                <w:b/>
              </w:rPr>
            </w:pPr>
            <w:r w:rsidRPr="0044652C">
              <w:t>AASB101.106d(ii)</w:t>
            </w:r>
          </w:p>
        </w:tc>
        <w:tc>
          <w:tcPr>
            <w:tcW w:w="2886" w:type="dxa"/>
            <w:shd w:val="clear" w:color="auto" w:fill="CCCCCC"/>
            <w:vAlign w:val="bottom"/>
          </w:tcPr>
          <w:p w14:paraId="038A043D" w14:textId="2DD2A8A1" w:rsidR="009A4B0C" w:rsidRPr="00FA235F" w:rsidRDefault="009A4B0C" w:rsidP="00D11709">
            <w:pPr>
              <w:pStyle w:val="NotesTable-ItemPlain"/>
              <w:rPr>
                <w:b/>
              </w:rPr>
            </w:pPr>
            <w:r>
              <w:t>Share of other comprehensive income of associate and joint ventures, net of tax</w:t>
            </w:r>
          </w:p>
        </w:tc>
        <w:tc>
          <w:tcPr>
            <w:tcW w:w="1024" w:type="dxa"/>
            <w:shd w:val="clear" w:color="auto" w:fill="CCCCCC"/>
          </w:tcPr>
          <w:p w14:paraId="038A043E" w14:textId="059BFA64" w:rsidR="009A4B0C" w:rsidRDefault="009A4B0C" w:rsidP="00451F7F">
            <w:pPr>
              <w:pStyle w:val="NotesTable-CellPlain"/>
            </w:pPr>
            <w:r>
              <w:t>–</w:t>
            </w:r>
          </w:p>
        </w:tc>
        <w:tc>
          <w:tcPr>
            <w:tcW w:w="1025" w:type="dxa"/>
            <w:shd w:val="clear" w:color="auto" w:fill="CCCCCC"/>
          </w:tcPr>
          <w:p w14:paraId="038A043F" w14:textId="4BE16FE5" w:rsidR="009A4B0C" w:rsidRDefault="009A4B0C" w:rsidP="00451F7F">
            <w:pPr>
              <w:pStyle w:val="NotesTable-CellPlain"/>
            </w:pPr>
            <w:r>
              <w:t>–</w:t>
            </w:r>
          </w:p>
        </w:tc>
        <w:tc>
          <w:tcPr>
            <w:tcW w:w="1024" w:type="dxa"/>
            <w:shd w:val="clear" w:color="auto" w:fill="CCCCCC"/>
          </w:tcPr>
          <w:p w14:paraId="038A0440" w14:textId="228E8C6B" w:rsidR="009A4B0C" w:rsidRDefault="009A4B0C" w:rsidP="00451F7F">
            <w:pPr>
              <w:pStyle w:val="NotesTable-CellPlain"/>
            </w:pPr>
            <w:r>
              <w:t>–</w:t>
            </w:r>
          </w:p>
        </w:tc>
        <w:tc>
          <w:tcPr>
            <w:tcW w:w="1025" w:type="dxa"/>
            <w:shd w:val="clear" w:color="auto" w:fill="CCCCCC"/>
          </w:tcPr>
          <w:p w14:paraId="038A0441" w14:textId="51ADB1BF" w:rsidR="009A4B0C" w:rsidRDefault="009A4B0C" w:rsidP="00451F7F">
            <w:pPr>
              <w:pStyle w:val="NotesTable-CellPlain"/>
            </w:pPr>
            <w:r>
              <w:t>–</w:t>
            </w:r>
          </w:p>
        </w:tc>
        <w:tc>
          <w:tcPr>
            <w:tcW w:w="1025" w:type="dxa"/>
            <w:shd w:val="clear" w:color="auto" w:fill="CCCCCC"/>
          </w:tcPr>
          <w:p w14:paraId="038A0442" w14:textId="0F88D42A" w:rsidR="009A4B0C" w:rsidRDefault="009A4B0C" w:rsidP="00451F7F">
            <w:pPr>
              <w:pStyle w:val="NotesTable-CellPlain"/>
            </w:pPr>
            <w:r>
              <w:t>–</w:t>
            </w:r>
          </w:p>
        </w:tc>
        <w:tc>
          <w:tcPr>
            <w:tcW w:w="1025" w:type="dxa"/>
            <w:shd w:val="clear" w:color="auto" w:fill="CCCCCC"/>
          </w:tcPr>
          <w:p w14:paraId="038A0443" w14:textId="0F4018B1" w:rsidR="009A4B0C" w:rsidRDefault="009A4B0C" w:rsidP="00451F7F">
            <w:pPr>
              <w:pStyle w:val="NotesTable-CellPlain"/>
            </w:pPr>
            <w:r>
              <w:t>–</w:t>
            </w:r>
          </w:p>
        </w:tc>
        <w:tc>
          <w:tcPr>
            <w:tcW w:w="340" w:type="dxa"/>
            <w:shd w:val="clear" w:color="auto" w:fill="CCCCCC"/>
          </w:tcPr>
          <w:p w14:paraId="038A0444" w14:textId="77777777" w:rsidR="009A4B0C" w:rsidRDefault="009A4B0C" w:rsidP="00451F7F">
            <w:pPr>
              <w:pStyle w:val="NotesTable-CellPlain"/>
            </w:pPr>
          </w:p>
        </w:tc>
        <w:tc>
          <w:tcPr>
            <w:tcW w:w="1026" w:type="dxa"/>
            <w:shd w:val="clear" w:color="auto" w:fill="CCCCCC"/>
          </w:tcPr>
          <w:p w14:paraId="038A0445" w14:textId="28FFF214" w:rsidR="009A4B0C" w:rsidRDefault="009A4B0C" w:rsidP="00451F7F">
            <w:pPr>
              <w:pStyle w:val="NotesTable-CellPlain"/>
            </w:pPr>
            <w:r>
              <w:t>–</w:t>
            </w:r>
          </w:p>
        </w:tc>
        <w:tc>
          <w:tcPr>
            <w:tcW w:w="1031" w:type="dxa"/>
            <w:shd w:val="clear" w:color="auto" w:fill="CCCCCC"/>
          </w:tcPr>
          <w:p w14:paraId="038A0446" w14:textId="7DF6B072" w:rsidR="009A4B0C" w:rsidRDefault="009A4B0C" w:rsidP="00451F7F">
            <w:pPr>
              <w:pStyle w:val="NotesTable-CellPlain"/>
            </w:pPr>
            <w:r>
              <w:t>–</w:t>
            </w:r>
          </w:p>
        </w:tc>
        <w:tc>
          <w:tcPr>
            <w:tcW w:w="1026" w:type="dxa"/>
            <w:shd w:val="clear" w:color="auto" w:fill="CCCCCC"/>
          </w:tcPr>
          <w:p w14:paraId="038A0447" w14:textId="7BDBF4AE" w:rsidR="009A4B0C" w:rsidRDefault="009A4B0C" w:rsidP="00451F7F">
            <w:pPr>
              <w:pStyle w:val="NotesTable-CellPlain"/>
            </w:pPr>
            <w:r>
              <w:t>–</w:t>
            </w:r>
          </w:p>
        </w:tc>
        <w:tc>
          <w:tcPr>
            <w:tcW w:w="1031" w:type="dxa"/>
            <w:shd w:val="clear" w:color="auto" w:fill="CCCCCC"/>
          </w:tcPr>
          <w:p w14:paraId="038A0448" w14:textId="4046AD60" w:rsidR="009A4B0C" w:rsidRDefault="009A4B0C" w:rsidP="00451F7F">
            <w:pPr>
              <w:pStyle w:val="NotesTable-CellPlain"/>
            </w:pPr>
            <w:r>
              <w:t>–</w:t>
            </w:r>
          </w:p>
        </w:tc>
      </w:tr>
      <w:tr w:rsidR="005E3D34" w14:paraId="038A0457" w14:textId="77777777" w:rsidTr="00E47831">
        <w:trPr>
          <w:cantSplit/>
          <w:trHeight w:val="227"/>
        </w:trPr>
        <w:tc>
          <w:tcPr>
            <w:tcW w:w="1608" w:type="dxa"/>
          </w:tcPr>
          <w:p w14:paraId="038A044A" w14:textId="77777777" w:rsidR="008B1A42" w:rsidRDefault="008B1A42" w:rsidP="00D11709">
            <w:pPr>
              <w:pStyle w:val="Note-Refs"/>
              <w:rPr>
                <w:b/>
              </w:rPr>
            </w:pPr>
            <w:r>
              <w:t>AASB101.106d(ii)</w:t>
            </w:r>
          </w:p>
        </w:tc>
        <w:tc>
          <w:tcPr>
            <w:tcW w:w="2886" w:type="dxa"/>
            <w:shd w:val="clear" w:color="auto" w:fill="CCCCCC"/>
            <w:vAlign w:val="bottom"/>
          </w:tcPr>
          <w:p w14:paraId="038A044B" w14:textId="77777777" w:rsidR="008B1A42" w:rsidRPr="00FA235F" w:rsidRDefault="008B1A42" w:rsidP="00D11709">
            <w:pPr>
              <w:pStyle w:val="NotesTable-ItemPlain"/>
              <w:rPr>
                <w:b/>
              </w:rPr>
            </w:pPr>
            <w:r w:rsidRPr="00FA235F">
              <w:t xml:space="preserve">Other comprehensive income </w:t>
            </w:r>
          </w:p>
        </w:tc>
        <w:tc>
          <w:tcPr>
            <w:tcW w:w="1024" w:type="dxa"/>
            <w:tcBorders>
              <w:bottom w:val="single" w:sz="4" w:space="0" w:color="auto"/>
            </w:tcBorders>
            <w:shd w:val="clear" w:color="auto" w:fill="CCCCCC"/>
          </w:tcPr>
          <w:p w14:paraId="038A044C"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4D" w14:textId="77777777" w:rsidR="008B1A42" w:rsidRDefault="008B1A42" w:rsidP="00451F7F">
            <w:pPr>
              <w:pStyle w:val="NotesTable-CellPlain"/>
            </w:pPr>
            <w:r>
              <w:t>–</w:t>
            </w:r>
          </w:p>
        </w:tc>
        <w:tc>
          <w:tcPr>
            <w:tcW w:w="1024" w:type="dxa"/>
            <w:tcBorders>
              <w:bottom w:val="single" w:sz="4" w:space="0" w:color="auto"/>
            </w:tcBorders>
            <w:shd w:val="clear" w:color="auto" w:fill="CCCCCC"/>
          </w:tcPr>
          <w:p w14:paraId="038A044E"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4F"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50"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51" w14:textId="77777777" w:rsidR="008B1A42" w:rsidRDefault="008B1A42" w:rsidP="00451F7F">
            <w:pPr>
              <w:pStyle w:val="NotesTable-CellPlain"/>
            </w:pPr>
            <w:r>
              <w:t>–</w:t>
            </w:r>
          </w:p>
        </w:tc>
        <w:tc>
          <w:tcPr>
            <w:tcW w:w="340" w:type="dxa"/>
            <w:shd w:val="clear" w:color="auto" w:fill="CCCCCC"/>
          </w:tcPr>
          <w:p w14:paraId="038A0452" w14:textId="77777777" w:rsidR="008B1A42" w:rsidRDefault="008B1A42" w:rsidP="00451F7F">
            <w:pPr>
              <w:pStyle w:val="NotesTable-CellPlain"/>
            </w:pPr>
          </w:p>
        </w:tc>
        <w:tc>
          <w:tcPr>
            <w:tcW w:w="1026" w:type="dxa"/>
            <w:tcBorders>
              <w:bottom w:val="single" w:sz="4" w:space="0" w:color="auto"/>
            </w:tcBorders>
            <w:shd w:val="clear" w:color="auto" w:fill="CCCCCC"/>
          </w:tcPr>
          <w:p w14:paraId="038A0453" w14:textId="77777777" w:rsidR="008B1A42" w:rsidRDefault="008B1A42" w:rsidP="00451F7F">
            <w:pPr>
              <w:pStyle w:val="NotesTable-CellPlain"/>
            </w:pPr>
            <w:r>
              <w:t>–</w:t>
            </w:r>
          </w:p>
        </w:tc>
        <w:tc>
          <w:tcPr>
            <w:tcW w:w="1031" w:type="dxa"/>
            <w:tcBorders>
              <w:bottom w:val="single" w:sz="4" w:space="0" w:color="auto"/>
            </w:tcBorders>
            <w:shd w:val="clear" w:color="auto" w:fill="CCCCCC"/>
          </w:tcPr>
          <w:p w14:paraId="038A0454" w14:textId="77777777" w:rsidR="008B1A42" w:rsidRDefault="008B1A42" w:rsidP="00451F7F">
            <w:pPr>
              <w:pStyle w:val="NotesTable-CellPlain"/>
            </w:pPr>
            <w:r>
              <w:t>–</w:t>
            </w:r>
          </w:p>
        </w:tc>
        <w:tc>
          <w:tcPr>
            <w:tcW w:w="1026" w:type="dxa"/>
            <w:tcBorders>
              <w:bottom w:val="single" w:sz="4" w:space="0" w:color="auto"/>
            </w:tcBorders>
            <w:shd w:val="clear" w:color="auto" w:fill="CCCCCC"/>
          </w:tcPr>
          <w:p w14:paraId="038A0455" w14:textId="77777777" w:rsidR="008B1A42" w:rsidRDefault="008B1A42" w:rsidP="00451F7F">
            <w:pPr>
              <w:pStyle w:val="NotesTable-CellPlain"/>
            </w:pPr>
            <w:r>
              <w:t>–</w:t>
            </w:r>
          </w:p>
        </w:tc>
        <w:tc>
          <w:tcPr>
            <w:tcW w:w="1031" w:type="dxa"/>
            <w:tcBorders>
              <w:bottom w:val="single" w:sz="4" w:space="0" w:color="auto"/>
            </w:tcBorders>
            <w:shd w:val="clear" w:color="auto" w:fill="CCCCCC"/>
          </w:tcPr>
          <w:p w14:paraId="038A0456" w14:textId="77777777" w:rsidR="008B1A42" w:rsidRDefault="008B1A42" w:rsidP="00451F7F">
            <w:pPr>
              <w:pStyle w:val="NotesTable-CellPlain"/>
            </w:pPr>
            <w:r>
              <w:t>–</w:t>
            </w:r>
          </w:p>
        </w:tc>
      </w:tr>
      <w:tr w:rsidR="005E3D34" w14:paraId="038A0465" w14:textId="77777777" w:rsidTr="00E47831">
        <w:trPr>
          <w:cantSplit/>
          <w:trHeight w:val="227"/>
        </w:trPr>
        <w:tc>
          <w:tcPr>
            <w:tcW w:w="1608" w:type="dxa"/>
          </w:tcPr>
          <w:p w14:paraId="038A0458" w14:textId="77777777" w:rsidR="008B1A42" w:rsidRPr="00844A98" w:rsidRDefault="008B1A42" w:rsidP="00D11709">
            <w:pPr>
              <w:pStyle w:val="Note-Refs"/>
              <w:rPr>
                <w:b/>
              </w:rPr>
            </w:pPr>
            <w:r>
              <w:t>AASB101.106a</w:t>
            </w:r>
          </w:p>
        </w:tc>
        <w:tc>
          <w:tcPr>
            <w:tcW w:w="2886" w:type="dxa"/>
            <w:shd w:val="clear" w:color="auto" w:fill="CCCCCC"/>
            <w:vAlign w:val="bottom"/>
          </w:tcPr>
          <w:p w14:paraId="038A0459" w14:textId="77777777" w:rsidR="008B1A42" w:rsidRPr="00FA235F" w:rsidRDefault="008B1A42">
            <w:pPr>
              <w:pStyle w:val="Statement-ItemBold"/>
            </w:pPr>
            <w:r w:rsidRPr="00FA235F">
              <w:t>Total comprehensive income</w:t>
            </w:r>
          </w:p>
        </w:tc>
        <w:tc>
          <w:tcPr>
            <w:tcW w:w="1024" w:type="dxa"/>
            <w:tcBorders>
              <w:top w:val="single" w:sz="4" w:space="0" w:color="auto"/>
            </w:tcBorders>
            <w:shd w:val="clear" w:color="auto" w:fill="CCCCCC"/>
          </w:tcPr>
          <w:p w14:paraId="038A045A" w14:textId="77777777" w:rsidR="008B1A42" w:rsidRPr="00844A98" w:rsidRDefault="008B1A42" w:rsidP="00451F7F">
            <w:pPr>
              <w:pStyle w:val="NotesTable-CellBold"/>
              <w:rPr>
                <w:b w:val="0"/>
              </w:rPr>
            </w:pPr>
            <w:r>
              <w:t>–</w:t>
            </w:r>
          </w:p>
        </w:tc>
        <w:tc>
          <w:tcPr>
            <w:tcW w:w="1025" w:type="dxa"/>
            <w:tcBorders>
              <w:top w:val="single" w:sz="4" w:space="0" w:color="auto"/>
            </w:tcBorders>
            <w:shd w:val="clear" w:color="auto" w:fill="CCCCCC"/>
          </w:tcPr>
          <w:p w14:paraId="038A045B" w14:textId="77777777" w:rsidR="008B1A42" w:rsidRPr="00844A98" w:rsidRDefault="008B1A42" w:rsidP="00451F7F">
            <w:pPr>
              <w:pStyle w:val="NotesTable-CellBold"/>
              <w:rPr>
                <w:b w:val="0"/>
              </w:rPr>
            </w:pPr>
            <w:r>
              <w:t>–</w:t>
            </w:r>
          </w:p>
        </w:tc>
        <w:tc>
          <w:tcPr>
            <w:tcW w:w="1024" w:type="dxa"/>
            <w:tcBorders>
              <w:top w:val="single" w:sz="4" w:space="0" w:color="auto"/>
            </w:tcBorders>
            <w:shd w:val="clear" w:color="auto" w:fill="CCCCCC"/>
          </w:tcPr>
          <w:p w14:paraId="038A045C" w14:textId="77777777" w:rsidR="008B1A42" w:rsidRPr="00844A98" w:rsidRDefault="008B1A42" w:rsidP="00451F7F">
            <w:pPr>
              <w:pStyle w:val="NotesTable-CellBold"/>
              <w:rPr>
                <w:b w:val="0"/>
              </w:rPr>
            </w:pPr>
            <w:r>
              <w:t>–</w:t>
            </w:r>
          </w:p>
        </w:tc>
        <w:tc>
          <w:tcPr>
            <w:tcW w:w="1025" w:type="dxa"/>
            <w:tcBorders>
              <w:top w:val="single" w:sz="4" w:space="0" w:color="auto"/>
            </w:tcBorders>
            <w:shd w:val="clear" w:color="auto" w:fill="CCCCCC"/>
          </w:tcPr>
          <w:p w14:paraId="038A045D" w14:textId="77777777" w:rsidR="008B1A42" w:rsidRPr="00844A98" w:rsidDel="00010782" w:rsidRDefault="008B1A42" w:rsidP="00451F7F">
            <w:pPr>
              <w:pStyle w:val="NotesTable-CellBold"/>
              <w:rPr>
                <w:b w:val="0"/>
              </w:rPr>
            </w:pPr>
            <w:r>
              <w:t>–</w:t>
            </w:r>
          </w:p>
        </w:tc>
        <w:tc>
          <w:tcPr>
            <w:tcW w:w="1025" w:type="dxa"/>
            <w:tcBorders>
              <w:top w:val="single" w:sz="4" w:space="0" w:color="auto"/>
            </w:tcBorders>
            <w:shd w:val="clear" w:color="auto" w:fill="CCCCCC"/>
          </w:tcPr>
          <w:p w14:paraId="038A045E" w14:textId="77777777" w:rsidR="008B1A42" w:rsidRDefault="008B1A42" w:rsidP="00451F7F">
            <w:pPr>
              <w:pStyle w:val="NotesTable-CellBold"/>
              <w:rPr>
                <w:b w:val="0"/>
              </w:rPr>
            </w:pPr>
            <w:r>
              <w:t>–</w:t>
            </w:r>
          </w:p>
        </w:tc>
        <w:tc>
          <w:tcPr>
            <w:tcW w:w="1025" w:type="dxa"/>
            <w:tcBorders>
              <w:top w:val="single" w:sz="4" w:space="0" w:color="auto"/>
            </w:tcBorders>
            <w:shd w:val="clear" w:color="auto" w:fill="CCCCCC"/>
          </w:tcPr>
          <w:p w14:paraId="038A045F" w14:textId="77777777" w:rsidR="008B1A42" w:rsidRDefault="008B1A42" w:rsidP="00451F7F">
            <w:pPr>
              <w:pStyle w:val="NotesTable-CellBold"/>
              <w:rPr>
                <w:b w:val="0"/>
              </w:rPr>
            </w:pPr>
            <w:r>
              <w:t>–</w:t>
            </w:r>
          </w:p>
        </w:tc>
        <w:tc>
          <w:tcPr>
            <w:tcW w:w="340" w:type="dxa"/>
            <w:shd w:val="clear" w:color="auto" w:fill="CCCCCC"/>
          </w:tcPr>
          <w:p w14:paraId="038A0460" w14:textId="77777777" w:rsidR="008B1A42" w:rsidRDefault="008B1A42" w:rsidP="00451F7F">
            <w:pPr>
              <w:pStyle w:val="NotesTable-CellBold"/>
            </w:pPr>
          </w:p>
        </w:tc>
        <w:tc>
          <w:tcPr>
            <w:tcW w:w="1026" w:type="dxa"/>
            <w:tcBorders>
              <w:top w:val="single" w:sz="4" w:space="0" w:color="auto"/>
            </w:tcBorders>
            <w:shd w:val="clear" w:color="auto" w:fill="CCCCCC"/>
          </w:tcPr>
          <w:p w14:paraId="038A0461" w14:textId="77777777" w:rsidR="008B1A42" w:rsidRDefault="008B1A42" w:rsidP="00451F7F">
            <w:pPr>
              <w:pStyle w:val="NotesTable-CellBold"/>
              <w:rPr>
                <w:b w:val="0"/>
              </w:rPr>
            </w:pPr>
            <w:r>
              <w:t>–</w:t>
            </w:r>
          </w:p>
        </w:tc>
        <w:tc>
          <w:tcPr>
            <w:tcW w:w="1031" w:type="dxa"/>
            <w:tcBorders>
              <w:top w:val="single" w:sz="4" w:space="0" w:color="auto"/>
            </w:tcBorders>
            <w:shd w:val="clear" w:color="auto" w:fill="CCCCCC"/>
          </w:tcPr>
          <w:p w14:paraId="038A0462" w14:textId="77777777" w:rsidR="008B1A42" w:rsidRPr="00844A98" w:rsidRDefault="008B1A42" w:rsidP="00451F7F">
            <w:pPr>
              <w:pStyle w:val="NotesTable-CellBold"/>
              <w:rPr>
                <w:b w:val="0"/>
              </w:rPr>
            </w:pPr>
            <w:r>
              <w:t>–</w:t>
            </w:r>
          </w:p>
        </w:tc>
        <w:tc>
          <w:tcPr>
            <w:tcW w:w="1026" w:type="dxa"/>
            <w:tcBorders>
              <w:top w:val="single" w:sz="4" w:space="0" w:color="auto"/>
            </w:tcBorders>
            <w:shd w:val="clear" w:color="auto" w:fill="CCCCCC"/>
          </w:tcPr>
          <w:p w14:paraId="038A0463" w14:textId="77777777" w:rsidR="008B1A42" w:rsidRDefault="008B1A42" w:rsidP="00451F7F">
            <w:pPr>
              <w:pStyle w:val="NotesTable-CellBold"/>
              <w:rPr>
                <w:b w:val="0"/>
              </w:rPr>
            </w:pPr>
            <w:r>
              <w:t>–</w:t>
            </w:r>
          </w:p>
        </w:tc>
        <w:tc>
          <w:tcPr>
            <w:tcW w:w="1031" w:type="dxa"/>
            <w:tcBorders>
              <w:top w:val="single" w:sz="4" w:space="0" w:color="auto"/>
            </w:tcBorders>
            <w:shd w:val="clear" w:color="auto" w:fill="CCCCCC"/>
          </w:tcPr>
          <w:p w14:paraId="038A0464" w14:textId="77777777" w:rsidR="008B1A42" w:rsidRPr="00844A98" w:rsidRDefault="008B1A42" w:rsidP="00451F7F">
            <w:pPr>
              <w:pStyle w:val="NotesTable-CellBold"/>
              <w:rPr>
                <w:b w:val="0"/>
              </w:rPr>
            </w:pPr>
            <w:r>
              <w:t>–</w:t>
            </w:r>
          </w:p>
        </w:tc>
      </w:tr>
      <w:tr w:rsidR="00D90319" w14:paraId="520A2D4A" w14:textId="77777777" w:rsidTr="00E47831">
        <w:trPr>
          <w:cantSplit/>
          <w:trHeight w:val="227"/>
        </w:trPr>
        <w:tc>
          <w:tcPr>
            <w:tcW w:w="1608" w:type="dxa"/>
          </w:tcPr>
          <w:p w14:paraId="17284DA6" w14:textId="77777777" w:rsidR="00D90319" w:rsidRDefault="00D90319" w:rsidP="00D11709">
            <w:pPr>
              <w:pStyle w:val="Note-Refs"/>
            </w:pPr>
          </w:p>
        </w:tc>
        <w:tc>
          <w:tcPr>
            <w:tcW w:w="2886" w:type="dxa"/>
            <w:shd w:val="clear" w:color="auto" w:fill="CCCCCC"/>
            <w:vAlign w:val="bottom"/>
          </w:tcPr>
          <w:p w14:paraId="00378EBC" w14:textId="144E9BB9" w:rsidR="00D90319" w:rsidRPr="00FA235F" w:rsidRDefault="00D90319" w:rsidP="00D11709">
            <w:pPr>
              <w:pStyle w:val="NotesTable-ItemPlain"/>
            </w:pPr>
            <w:r>
              <w:t>Transfer to/(from) retained earnings [specify reason]</w:t>
            </w:r>
          </w:p>
        </w:tc>
        <w:tc>
          <w:tcPr>
            <w:tcW w:w="1024" w:type="dxa"/>
            <w:shd w:val="clear" w:color="auto" w:fill="CCCCCC"/>
            <w:vAlign w:val="bottom"/>
          </w:tcPr>
          <w:p w14:paraId="6E6B62F7" w14:textId="26B8D1DD" w:rsidR="00D90319" w:rsidRDefault="00D90319" w:rsidP="00D90319">
            <w:pPr>
              <w:pStyle w:val="NotesTable-CellPlain"/>
            </w:pPr>
            <w:r>
              <w:t>–</w:t>
            </w:r>
          </w:p>
        </w:tc>
        <w:tc>
          <w:tcPr>
            <w:tcW w:w="1025" w:type="dxa"/>
            <w:shd w:val="clear" w:color="auto" w:fill="CCCCCC"/>
            <w:vAlign w:val="bottom"/>
          </w:tcPr>
          <w:p w14:paraId="28C07F11" w14:textId="1B57D3F8" w:rsidR="00D90319" w:rsidRDefault="00D90319" w:rsidP="00D90319">
            <w:pPr>
              <w:pStyle w:val="NotesTable-CellPlain"/>
            </w:pPr>
            <w:r>
              <w:t>–</w:t>
            </w:r>
          </w:p>
        </w:tc>
        <w:tc>
          <w:tcPr>
            <w:tcW w:w="1024" w:type="dxa"/>
            <w:shd w:val="clear" w:color="auto" w:fill="CCCCCC"/>
            <w:vAlign w:val="bottom"/>
          </w:tcPr>
          <w:p w14:paraId="7BD76F16" w14:textId="136B8BEA" w:rsidR="00D90319" w:rsidRDefault="00D90319" w:rsidP="00D90319">
            <w:pPr>
              <w:pStyle w:val="NotesTable-CellPlain"/>
            </w:pPr>
            <w:r>
              <w:t>–</w:t>
            </w:r>
          </w:p>
        </w:tc>
        <w:tc>
          <w:tcPr>
            <w:tcW w:w="1025" w:type="dxa"/>
            <w:shd w:val="clear" w:color="auto" w:fill="CCCCCC"/>
            <w:vAlign w:val="bottom"/>
          </w:tcPr>
          <w:p w14:paraId="12CD9CE0" w14:textId="1FE35A0A" w:rsidR="00D90319" w:rsidRDefault="00D90319" w:rsidP="00D90319">
            <w:pPr>
              <w:pStyle w:val="NotesTable-CellPlain"/>
            </w:pPr>
            <w:r>
              <w:t>–</w:t>
            </w:r>
          </w:p>
        </w:tc>
        <w:tc>
          <w:tcPr>
            <w:tcW w:w="1025" w:type="dxa"/>
            <w:shd w:val="clear" w:color="auto" w:fill="CCCCCC"/>
            <w:vAlign w:val="bottom"/>
          </w:tcPr>
          <w:p w14:paraId="7507F6D8" w14:textId="7001F6CA" w:rsidR="00D90319" w:rsidRDefault="00D90319" w:rsidP="00240B0C">
            <w:pPr>
              <w:pStyle w:val="NotesTable-CellPlain"/>
            </w:pPr>
            <w:r>
              <w:t>–</w:t>
            </w:r>
          </w:p>
        </w:tc>
        <w:tc>
          <w:tcPr>
            <w:tcW w:w="1025" w:type="dxa"/>
            <w:shd w:val="clear" w:color="auto" w:fill="CCCCCC"/>
            <w:vAlign w:val="bottom"/>
          </w:tcPr>
          <w:p w14:paraId="4D95A285" w14:textId="16659653" w:rsidR="00D90319" w:rsidRDefault="00D90319" w:rsidP="00AA5977">
            <w:pPr>
              <w:pStyle w:val="NotesTable-CellPlain"/>
            </w:pPr>
            <w:r>
              <w:t>–</w:t>
            </w:r>
          </w:p>
        </w:tc>
        <w:tc>
          <w:tcPr>
            <w:tcW w:w="340" w:type="dxa"/>
            <w:shd w:val="clear" w:color="auto" w:fill="CCCCCC"/>
            <w:vAlign w:val="bottom"/>
          </w:tcPr>
          <w:p w14:paraId="0088B14C" w14:textId="77777777" w:rsidR="00D90319" w:rsidRDefault="00D90319" w:rsidP="00AA5977">
            <w:pPr>
              <w:pStyle w:val="NotesTable-CellPlain"/>
            </w:pPr>
          </w:p>
        </w:tc>
        <w:tc>
          <w:tcPr>
            <w:tcW w:w="1026" w:type="dxa"/>
            <w:shd w:val="clear" w:color="auto" w:fill="CCCCCC"/>
            <w:vAlign w:val="bottom"/>
          </w:tcPr>
          <w:p w14:paraId="17065015" w14:textId="5244BA0E" w:rsidR="00D90319" w:rsidRDefault="00D90319" w:rsidP="00AA5977">
            <w:pPr>
              <w:pStyle w:val="NotesTable-CellPlain"/>
            </w:pPr>
            <w:r>
              <w:t>–</w:t>
            </w:r>
          </w:p>
        </w:tc>
        <w:tc>
          <w:tcPr>
            <w:tcW w:w="1031" w:type="dxa"/>
            <w:shd w:val="clear" w:color="auto" w:fill="CCCCCC"/>
            <w:vAlign w:val="bottom"/>
          </w:tcPr>
          <w:p w14:paraId="683AF431" w14:textId="31A28500" w:rsidR="00D90319" w:rsidRDefault="00D90319" w:rsidP="004E760A">
            <w:pPr>
              <w:pStyle w:val="NotesTable-CellPlain"/>
            </w:pPr>
            <w:r>
              <w:t>–</w:t>
            </w:r>
          </w:p>
        </w:tc>
        <w:tc>
          <w:tcPr>
            <w:tcW w:w="1026" w:type="dxa"/>
            <w:shd w:val="clear" w:color="auto" w:fill="CCCCCC"/>
            <w:vAlign w:val="bottom"/>
          </w:tcPr>
          <w:p w14:paraId="38B6FAD8" w14:textId="42D529A4" w:rsidR="00D90319" w:rsidRDefault="00D90319" w:rsidP="009B3CEF">
            <w:pPr>
              <w:pStyle w:val="NotesTable-CellPlain"/>
            </w:pPr>
            <w:r>
              <w:t>–</w:t>
            </w:r>
          </w:p>
        </w:tc>
        <w:tc>
          <w:tcPr>
            <w:tcW w:w="1031" w:type="dxa"/>
            <w:shd w:val="clear" w:color="auto" w:fill="CCCCCC"/>
            <w:vAlign w:val="bottom"/>
          </w:tcPr>
          <w:p w14:paraId="5EC1F613" w14:textId="06AB4DDA" w:rsidR="00D90319" w:rsidRDefault="00D90319" w:rsidP="008C7B83">
            <w:pPr>
              <w:pStyle w:val="NotesTable-CellPlain"/>
            </w:pPr>
            <w:r>
              <w:t>–</w:t>
            </w:r>
          </w:p>
        </w:tc>
      </w:tr>
      <w:tr w:rsidR="005E3D34" w14:paraId="038A0473" w14:textId="77777777" w:rsidTr="00E47831">
        <w:trPr>
          <w:cantSplit/>
          <w:trHeight w:val="227"/>
        </w:trPr>
        <w:tc>
          <w:tcPr>
            <w:tcW w:w="1608" w:type="dxa"/>
          </w:tcPr>
          <w:p w14:paraId="038A0466" w14:textId="77777777" w:rsidR="008B1A42" w:rsidRDefault="0080394A" w:rsidP="00D11709">
            <w:pPr>
              <w:pStyle w:val="Note-Refs"/>
            </w:pPr>
            <w:r>
              <w:t>AASB101.106d(iii)</w:t>
            </w:r>
          </w:p>
        </w:tc>
        <w:tc>
          <w:tcPr>
            <w:tcW w:w="2886" w:type="dxa"/>
            <w:shd w:val="clear" w:color="auto" w:fill="CCCCCC"/>
            <w:vAlign w:val="bottom"/>
          </w:tcPr>
          <w:p w14:paraId="038A0467" w14:textId="77777777" w:rsidR="008B1A42" w:rsidRPr="00FA235F" w:rsidRDefault="008B1A42" w:rsidP="00D11709">
            <w:pPr>
              <w:pStyle w:val="NotesTable-ItemPlain"/>
              <w:rPr>
                <w:b/>
              </w:rPr>
            </w:pPr>
            <w:r w:rsidRPr="00FA235F">
              <w:t>Distributions to owners</w:t>
            </w:r>
          </w:p>
        </w:tc>
        <w:tc>
          <w:tcPr>
            <w:tcW w:w="1024" w:type="dxa"/>
            <w:shd w:val="clear" w:color="auto" w:fill="CCCCCC"/>
          </w:tcPr>
          <w:p w14:paraId="038A0468" w14:textId="77777777" w:rsidR="008B1A42" w:rsidRDefault="008B1A42" w:rsidP="00451F7F">
            <w:pPr>
              <w:pStyle w:val="NotesTable-CellPlain"/>
            </w:pPr>
            <w:r>
              <w:t>–</w:t>
            </w:r>
          </w:p>
        </w:tc>
        <w:tc>
          <w:tcPr>
            <w:tcW w:w="1025" w:type="dxa"/>
            <w:shd w:val="clear" w:color="auto" w:fill="CCCCCC"/>
          </w:tcPr>
          <w:p w14:paraId="038A0469" w14:textId="77777777" w:rsidR="008B1A42" w:rsidRDefault="008B1A42" w:rsidP="00451F7F">
            <w:pPr>
              <w:pStyle w:val="NotesTable-CellPlain"/>
            </w:pPr>
            <w:r>
              <w:t>–</w:t>
            </w:r>
          </w:p>
        </w:tc>
        <w:tc>
          <w:tcPr>
            <w:tcW w:w="1024" w:type="dxa"/>
            <w:shd w:val="clear" w:color="auto" w:fill="CCCCCC"/>
          </w:tcPr>
          <w:p w14:paraId="038A046A" w14:textId="77777777" w:rsidR="008B1A42" w:rsidRDefault="008B1A42" w:rsidP="00451F7F">
            <w:pPr>
              <w:pStyle w:val="NotesTable-CellPlain"/>
            </w:pPr>
            <w:r>
              <w:t>–</w:t>
            </w:r>
          </w:p>
        </w:tc>
        <w:tc>
          <w:tcPr>
            <w:tcW w:w="1025" w:type="dxa"/>
            <w:shd w:val="clear" w:color="auto" w:fill="CCCCCC"/>
          </w:tcPr>
          <w:p w14:paraId="038A046B" w14:textId="77777777" w:rsidR="008B1A42" w:rsidRDefault="008B1A42" w:rsidP="00451F7F">
            <w:pPr>
              <w:pStyle w:val="NotesTable-CellPlain"/>
            </w:pPr>
            <w:r>
              <w:t>–</w:t>
            </w:r>
          </w:p>
        </w:tc>
        <w:tc>
          <w:tcPr>
            <w:tcW w:w="1025" w:type="dxa"/>
            <w:shd w:val="clear" w:color="auto" w:fill="CCCCCC"/>
          </w:tcPr>
          <w:p w14:paraId="038A046C" w14:textId="77777777" w:rsidR="008B1A42" w:rsidRDefault="008B1A42" w:rsidP="00451F7F">
            <w:pPr>
              <w:pStyle w:val="NotesTable-CellPlain"/>
            </w:pPr>
            <w:r>
              <w:t>–</w:t>
            </w:r>
          </w:p>
        </w:tc>
        <w:tc>
          <w:tcPr>
            <w:tcW w:w="1025" w:type="dxa"/>
            <w:shd w:val="clear" w:color="auto" w:fill="CCCCCC"/>
          </w:tcPr>
          <w:p w14:paraId="038A046D" w14:textId="77777777" w:rsidR="008B1A42" w:rsidRDefault="008B1A42" w:rsidP="00451F7F">
            <w:pPr>
              <w:pStyle w:val="NotesTable-CellPlain"/>
            </w:pPr>
            <w:r>
              <w:t>–</w:t>
            </w:r>
          </w:p>
        </w:tc>
        <w:tc>
          <w:tcPr>
            <w:tcW w:w="340" w:type="dxa"/>
            <w:shd w:val="clear" w:color="auto" w:fill="CCCCCC"/>
          </w:tcPr>
          <w:p w14:paraId="038A046E" w14:textId="77777777" w:rsidR="008B1A42" w:rsidRDefault="008B1A42" w:rsidP="00451F7F">
            <w:pPr>
              <w:pStyle w:val="NotesTable-CellPlain"/>
            </w:pPr>
          </w:p>
        </w:tc>
        <w:tc>
          <w:tcPr>
            <w:tcW w:w="1026" w:type="dxa"/>
            <w:shd w:val="clear" w:color="auto" w:fill="CCCCCC"/>
          </w:tcPr>
          <w:p w14:paraId="038A046F" w14:textId="77777777" w:rsidR="008B1A42" w:rsidRDefault="008B1A42" w:rsidP="00451F7F">
            <w:pPr>
              <w:pStyle w:val="NotesTable-CellPlain"/>
            </w:pPr>
            <w:r>
              <w:t>–</w:t>
            </w:r>
          </w:p>
        </w:tc>
        <w:tc>
          <w:tcPr>
            <w:tcW w:w="1031" w:type="dxa"/>
            <w:shd w:val="clear" w:color="auto" w:fill="CCCCCC"/>
          </w:tcPr>
          <w:p w14:paraId="038A0470" w14:textId="77777777" w:rsidR="008B1A42" w:rsidRDefault="008B1A42" w:rsidP="00451F7F">
            <w:pPr>
              <w:pStyle w:val="NotesTable-CellPlain"/>
            </w:pPr>
            <w:r>
              <w:t>–</w:t>
            </w:r>
          </w:p>
        </w:tc>
        <w:tc>
          <w:tcPr>
            <w:tcW w:w="1026" w:type="dxa"/>
            <w:shd w:val="clear" w:color="auto" w:fill="CCCCCC"/>
          </w:tcPr>
          <w:p w14:paraId="038A0471" w14:textId="77777777" w:rsidR="008B1A42" w:rsidRDefault="008B1A42" w:rsidP="00451F7F">
            <w:pPr>
              <w:pStyle w:val="NotesTable-CellPlain"/>
            </w:pPr>
            <w:r>
              <w:t>–</w:t>
            </w:r>
          </w:p>
        </w:tc>
        <w:tc>
          <w:tcPr>
            <w:tcW w:w="1031" w:type="dxa"/>
            <w:shd w:val="clear" w:color="auto" w:fill="CCCCCC"/>
          </w:tcPr>
          <w:p w14:paraId="038A0472" w14:textId="77777777" w:rsidR="008B1A42" w:rsidRDefault="008B1A42" w:rsidP="00451F7F">
            <w:pPr>
              <w:pStyle w:val="NotesTable-CellPlain"/>
            </w:pPr>
            <w:r>
              <w:t>–</w:t>
            </w:r>
          </w:p>
        </w:tc>
      </w:tr>
      <w:tr w:rsidR="005E3D34" w14:paraId="038A0481" w14:textId="77777777" w:rsidTr="00E47831">
        <w:trPr>
          <w:cantSplit/>
          <w:trHeight w:val="227"/>
        </w:trPr>
        <w:tc>
          <w:tcPr>
            <w:tcW w:w="1608" w:type="dxa"/>
          </w:tcPr>
          <w:p w14:paraId="038A0474" w14:textId="77777777" w:rsidR="008B1A42" w:rsidRDefault="0080394A" w:rsidP="00D11709">
            <w:pPr>
              <w:pStyle w:val="Note-Refs"/>
              <w:rPr>
                <w:b/>
              </w:rPr>
            </w:pPr>
            <w:r>
              <w:t>AASB101.106d(iii)</w:t>
            </w:r>
          </w:p>
        </w:tc>
        <w:tc>
          <w:tcPr>
            <w:tcW w:w="2886" w:type="dxa"/>
            <w:shd w:val="clear" w:color="auto" w:fill="CCCCCC"/>
            <w:vAlign w:val="bottom"/>
          </w:tcPr>
          <w:p w14:paraId="038A0475" w14:textId="77777777" w:rsidR="008B1A42" w:rsidRPr="00FA235F" w:rsidRDefault="008B1A42" w:rsidP="00D11709">
            <w:pPr>
              <w:pStyle w:val="NotesTable-ItemPlain"/>
              <w:rPr>
                <w:b/>
              </w:rPr>
            </w:pPr>
            <w:r w:rsidRPr="00FA235F">
              <w:t>Contributions from owners</w:t>
            </w:r>
          </w:p>
        </w:tc>
        <w:tc>
          <w:tcPr>
            <w:tcW w:w="1024" w:type="dxa"/>
            <w:tcBorders>
              <w:bottom w:val="single" w:sz="4" w:space="0" w:color="auto"/>
            </w:tcBorders>
            <w:shd w:val="clear" w:color="auto" w:fill="CCCCCC"/>
          </w:tcPr>
          <w:p w14:paraId="038A0476"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77" w14:textId="77777777" w:rsidR="008B1A42" w:rsidRDefault="008B1A42" w:rsidP="00451F7F">
            <w:pPr>
              <w:pStyle w:val="NotesTable-CellPlain"/>
            </w:pPr>
            <w:r>
              <w:t>–</w:t>
            </w:r>
          </w:p>
        </w:tc>
        <w:tc>
          <w:tcPr>
            <w:tcW w:w="1024" w:type="dxa"/>
            <w:tcBorders>
              <w:bottom w:val="single" w:sz="4" w:space="0" w:color="auto"/>
            </w:tcBorders>
            <w:shd w:val="clear" w:color="auto" w:fill="CCCCCC"/>
          </w:tcPr>
          <w:p w14:paraId="038A0478"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79"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7A" w14:textId="77777777" w:rsidR="008B1A42" w:rsidRDefault="008B1A42" w:rsidP="00451F7F">
            <w:pPr>
              <w:pStyle w:val="NotesTable-CellPlain"/>
            </w:pPr>
            <w:r>
              <w:t>–</w:t>
            </w:r>
          </w:p>
        </w:tc>
        <w:tc>
          <w:tcPr>
            <w:tcW w:w="1025" w:type="dxa"/>
            <w:tcBorders>
              <w:bottom w:val="single" w:sz="4" w:space="0" w:color="auto"/>
            </w:tcBorders>
            <w:shd w:val="clear" w:color="auto" w:fill="CCCCCC"/>
          </w:tcPr>
          <w:p w14:paraId="038A047B" w14:textId="77777777" w:rsidR="008B1A42" w:rsidRDefault="008B1A42" w:rsidP="00451F7F">
            <w:pPr>
              <w:pStyle w:val="NotesTable-CellPlain"/>
            </w:pPr>
            <w:r>
              <w:t>–</w:t>
            </w:r>
          </w:p>
        </w:tc>
        <w:tc>
          <w:tcPr>
            <w:tcW w:w="340" w:type="dxa"/>
            <w:shd w:val="clear" w:color="auto" w:fill="CCCCCC"/>
          </w:tcPr>
          <w:p w14:paraId="038A047C" w14:textId="77777777" w:rsidR="008B1A42" w:rsidRDefault="008B1A42" w:rsidP="00451F7F">
            <w:pPr>
              <w:pStyle w:val="NotesTable-CellPlain"/>
            </w:pPr>
          </w:p>
        </w:tc>
        <w:tc>
          <w:tcPr>
            <w:tcW w:w="1026" w:type="dxa"/>
            <w:tcBorders>
              <w:bottom w:val="single" w:sz="4" w:space="0" w:color="auto"/>
            </w:tcBorders>
            <w:shd w:val="clear" w:color="auto" w:fill="CCCCCC"/>
          </w:tcPr>
          <w:p w14:paraId="038A047D" w14:textId="77777777" w:rsidR="008B1A42" w:rsidRDefault="008B1A42" w:rsidP="00451F7F">
            <w:pPr>
              <w:pStyle w:val="NotesTable-CellPlain"/>
            </w:pPr>
            <w:r>
              <w:t>–</w:t>
            </w:r>
          </w:p>
        </w:tc>
        <w:tc>
          <w:tcPr>
            <w:tcW w:w="1031" w:type="dxa"/>
            <w:tcBorders>
              <w:bottom w:val="single" w:sz="4" w:space="0" w:color="auto"/>
            </w:tcBorders>
            <w:shd w:val="clear" w:color="auto" w:fill="CCCCCC"/>
          </w:tcPr>
          <w:p w14:paraId="038A047E" w14:textId="77777777" w:rsidR="008B1A42" w:rsidRDefault="008B1A42" w:rsidP="00451F7F">
            <w:pPr>
              <w:pStyle w:val="NotesTable-CellPlain"/>
            </w:pPr>
            <w:r>
              <w:t>–</w:t>
            </w:r>
          </w:p>
        </w:tc>
        <w:tc>
          <w:tcPr>
            <w:tcW w:w="1026" w:type="dxa"/>
            <w:tcBorders>
              <w:bottom w:val="single" w:sz="4" w:space="0" w:color="auto"/>
            </w:tcBorders>
            <w:shd w:val="clear" w:color="auto" w:fill="CCCCCC"/>
          </w:tcPr>
          <w:p w14:paraId="038A047F" w14:textId="77777777" w:rsidR="008B1A42" w:rsidRDefault="008B1A42" w:rsidP="00451F7F">
            <w:pPr>
              <w:pStyle w:val="NotesTable-CellPlain"/>
            </w:pPr>
            <w:r>
              <w:t>–</w:t>
            </w:r>
          </w:p>
        </w:tc>
        <w:tc>
          <w:tcPr>
            <w:tcW w:w="1031" w:type="dxa"/>
            <w:tcBorders>
              <w:bottom w:val="single" w:sz="4" w:space="0" w:color="auto"/>
            </w:tcBorders>
            <w:shd w:val="clear" w:color="auto" w:fill="CCCCCC"/>
          </w:tcPr>
          <w:p w14:paraId="038A0480" w14:textId="77777777" w:rsidR="008B1A42" w:rsidRDefault="008B1A42" w:rsidP="00451F7F">
            <w:pPr>
              <w:pStyle w:val="NotesTable-CellPlain"/>
            </w:pPr>
            <w:r>
              <w:t>–</w:t>
            </w:r>
          </w:p>
        </w:tc>
      </w:tr>
      <w:tr w:rsidR="005E3D34" w14:paraId="038A048F" w14:textId="77777777" w:rsidTr="00E47831">
        <w:trPr>
          <w:cantSplit/>
          <w:trHeight w:val="227"/>
        </w:trPr>
        <w:tc>
          <w:tcPr>
            <w:tcW w:w="1608" w:type="dxa"/>
          </w:tcPr>
          <w:p w14:paraId="038A0482" w14:textId="77777777" w:rsidR="008B1A42" w:rsidRDefault="008B1A42" w:rsidP="00D11709">
            <w:pPr>
              <w:pStyle w:val="Note-Refs"/>
            </w:pPr>
          </w:p>
        </w:tc>
        <w:tc>
          <w:tcPr>
            <w:tcW w:w="2886" w:type="dxa"/>
            <w:shd w:val="clear" w:color="auto" w:fill="CCCCCC"/>
            <w:vAlign w:val="bottom"/>
          </w:tcPr>
          <w:p w14:paraId="038A0483" w14:textId="02F56E41" w:rsidR="008B1A42" w:rsidRPr="00FA235F" w:rsidRDefault="008B1A42">
            <w:pPr>
              <w:pStyle w:val="Statement-ItemBold"/>
            </w:pPr>
            <w:r w:rsidRPr="00FA235F">
              <w:t xml:space="preserve">Balance at 31 December </w:t>
            </w:r>
            <w:r w:rsidR="006864EC">
              <w:t>2014</w:t>
            </w:r>
          </w:p>
        </w:tc>
        <w:tc>
          <w:tcPr>
            <w:tcW w:w="1024" w:type="dxa"/>
            <w:tcBorders>
              <w:top w:val="single" w:sz="4" w:space="0" w:color="auto"/>
            </w:tcBorders>
            <w:shd w:val="clear" w:color="auto" w:fill="CCCCCC"/>
          </w:tcPr>
          <w:p w14:paraId="038A0484" w14:textId="77777777" w:rsidR="008B1A42" w:rsidRPr="00844A98" w:rsidRDefault="008B1A42" w:rsidP="00451F7F">
            <w:pPr>
              <w:pStyle w:val="NotesTable-CellBold"/>
              <w:rPr>
                <w:b w:val="0"/>
              </w:rPr>
            </w:pPr>
            <w:r>
              <w:t>–</w:t>
            </w:r>
          </w:p>
        </w:tc>
        <w:tc>
          <w:tcPr>
            <w:tcW w:w="1025" w:type="dxa"/>
            <w:tcBorders>
              <w:top w:val="single" w:sz="4" w:space="0" w:color="auto"/>
            </w:tcBorders>
            <w:shd w:val="clear" w:color="auto" w:fill="CCCCCC"/>
          </w:tcPr>
          <w:p w14:paraId="038A0485" w14:textId="77777777" w:rsidR="008B1A42" w:rsidRPr="00844A98" w:rsidRDefault="008B1A42" w:rsidP="00451F7F">
            <w:pPr>
              <w:pStyle w:val="NotesTable-CellBold"/>
              <w:rPr>
                <w:b w:val="0"/>
              </w:rPr>
            </w:pPr>
            <w:r>
              <w:t>–</w:t>
            </w:r>
          </w:p>
        </w:tc>
        <w:tc>
          <w:tcPr>
            <w:tcW w:w="1024" w:type="dxa"/>
            <w:tcBorders>
              <w:top w:val="single" w:sz="4" w:space="0" w:color="auto"/>
            </w:tcBorders>
            <w:shd w:val="clear" w:color="auto" w:fill="CCCCCC"/>
          </w:tcPr>
          <w:p w14:paraId="038A0486" w14:textId="77777777" w:rsidR="008B1A42" w:rsidRPr="00844A98" w:rsidRDefault="008B1A42" w:rsidP="00451F7F">
            <w:pPr>
              <w:pStyle w:val="NotesTable-CellBold"/>
              <w:rPr>
                <w:b w:val="0"/>
              </w:rPr>
            </w:pPr>
            <w:r>
              <w:t>–</w:t>
            </w:r>
          </w:p>
        </w:tc>
        <w:tc>
          <w:tcPr>
            <w:tcW w:w="1025" w:type="dxa"/>
            <w:tcBorders>
              <w:top w:val="single" w:sz="4" w:space="0" w:color="auto"/>
            </w:tcBorders>
            <w:shd w:val="clear" w:color="auto" w:fill="CCCCCC"/>
          </w:tcPr>
          <w:p w14:paraId="038A0487" w14:textId="77777777" w:rsidR="008B1A42" w:rsidRPr="00844A98" w:rsidRDefault="008B1A42" w:rsidP="00451F7F">
            <w:pPr>
              <w:pStyle w:val="NotesTable-CellBold"/>
              <w:rPr>
                <w:b w:val="0"/>
              </w:rPr>
            </w:pPr>
            <w:r>
              <w:t>–</w:t>
            </w:r>
          </w:p>
        </w:tc>
        <w:tc>
          <w:tcPr>
            <w:tcW w:w="1025" w:type="dxa"/>
            <w:tcBorders>
              <w:top w:val="single" w:sz="4" w:space="0" w:color="auto"/>
            </w:tcBorders>
            <w:shd w:val="clear" w:color="auto" w:fill="CCCCCC"/>
          </w:tcPr>
          <w:p w14:paraId="038A0488" w14:textId="77777777" w:rsidR="008B1A42" w:rsidRDefault="008B1A42" w:rsidP="00451F7F">
            <w:pPr>
              <w:pStyle w:val="NotesTable-CellBold"/>
              <w:rPr>
                <w:b w:val="0"/>
              </w:rPr>
            </w:pPr>
            <w:r>
              <w:t>–</w:t>
            </w:r>
          </w:p>
        </w:tc>
        <w:tc>
          <w:tcPr>
            <w:tcW w:w="1025" w:type="dxa"/>
            <w:tcBorders>
              <w:top w:val="single" w:sz="4" w:space="0" w:color="auto"/>
            </w:tcBorders>
            <w:shd w:val="clear" w:color="auto" w:fill="CCCCCC"/>
          </w:tcPr>
          <w:p w14:paraId="038A0489" w14:textId="77777777" w:rsidR="008B1A42" w:rsidRDefault="008B1A42" w:rsidP="00451F7F">
            <w:pPr>
              <w:pStyle w:val="NotesTable-CellBold"/>
              <w:rPr>
                <w:b w:val="0"/>
              </w:rPr>
            </w:pPr>
            <w:r>
              <w:t>–</w:t>
            </w:r>
          </w:p>
        </w:tc>
        <w:tc>
          <w:tcPr>
            <w:tcW w:w="340" w:type="dxa"/>
            <w:shd w:val="clear" w:color="auto" w:fill="CCCCCC"/>
          </w:tcPr>
          <w:p w14:paraId="038A048A" w14:textId="77777777" w:rsidR="008B1A42" w:rsidRDefault="008B1A42" w:rsidP="00451F7F">
            <w:pPr>
              <w:pStyle w:val="NotesTable-CellBold"/>
            </w:pPr>
          </w:p>
        </w:tc>
        <w:tc>
          <w:tcPr>
            <w:tcW w:w="1026" w:type="dxa"/>
            <w:tcBorders>
              <w:top w:val="single" w:sz="4" w:space="0" w:color="auto"/>
            </w:tcBorders>
            <w:shd w:val="clear" w:color="auto" w:fill="CCCCCC"/>
          </w:tcPr>
          <w:p w14:paraId="038A048B" w14:textId="77777777" w:rsidR="008B1A42" w:rsidRDefault="008B1A42" w:rsidP="00451F7F">
            <w:pPr>
              <w:pStyle w:val="NotesTable-CellBold"/>
              <w:rPr>
                <w:b w:val="0"/>
              </w:rPr>
            </w:pPr>
            <w:r>
              <w:t>–</w:t>
            </w:r>
          </w:p>
        </w:tc>
        <w:tc>
          <w:tcPr>
            <w:tcW w:w="1031" w:type="dxa"/>
            <w:tcBorders>
              <w:top w:val="single" w:sz="4" w:space="0" w:color="auto"/>
            </w:tcBorders>
            <w:shd w:val="clear" w:color="auto" w:fill="CCCCCC"/>
          </w:tcPr>
          <w:p w14:paraId="038A048C" w14:textId="77777777" w:rsidR="008B1A42" w:rsidRPr="00844A98" w:rsidRDefault="008B1A42" w:rsidP="00451F7F">
            <w:pPr>
              <w:pStyle w:val="NotesTable-CellBold"/>
              <w:rPr>
                <w:b w:val="0"/>
              </w:rPr>
            </w:pPr>
            <w:r>
              <w:t>–</w:t>
            </w:r>
          </w:p>
        </w:tc>
        <w:tc>
          <w:tcPr>
            <w:tcW w:w="1026" w:type="dxa"/>
            <w:tcBorders>
              <w:top w:val="single" w:sz="4" w:space="0" w:color="auto"/>
            </w:tcBorders>
            <w:shd w:val="clear" w:color="auto" w:fill="CCCCCC"/>
          </w:tcPr>
          <w:p w14:paraId="038A048D" w14:textId="77777777" w:rsidR="008B1A42" w:rsidRDefault="008B1A42" w:rsidP="00451F7F">
            <w:pPr>
              <w:pStyle w:val="NotesTable-CellBold"/>
              <w:rPr>
                <w:b w:val="0"/>
              </w:rPr>
            </w:pPr>
            <w:r>
              <w:t>–</w:t>
            </w:r>
          </w:p>
        </w:tc>
        <w:tc>
          <w:tcPr>
            <w:tcW w:w="1031" w:type="dxa"/>
            <w:tcBorders>
              <w:top w:val="single" w:sz="4" w:space="0" w:color="auto"/>
            </w:tcBorders>
            <w:shd w:val="clear" w:color="auto" w:fill="CCCCCC"/>
          </w:tcPr>
          <w:p w14:paraId="038A048E" w14:textId="77777777" w:rsidR="008B1A42" w:rsidRPr="00844A98" w:rsidRDefault="008B1A42" w:rsidP="00451F7F">
            <w:pPr>
              <w:pStyle w:val="NotesTable-CellBold"/>
              <w:rPr>
                <w:b w:val="0"/>
              </w:rPr>
            </w:pPr>
            <w:r>
              <w:t>–</w:t>
            </w:r>
          </w:p>
        </w:tc>
      </w:tr>
      <w:tr w:rsidR="005E3D34" w14:paraId="038A0492" w14:textId="77777777" w:rsidTr="00E47831">
        <w:trPr>
          <w:cantSplit/>
          <w:trHeight w:val="227"/>
        </w:trPr>
        <w:tc>
          <w:tcPr>
            <w:tcW w:w="1608" w:type="dxa"/>
          </w:tcPr>
          <w:p w14:paraId="038A0490" w14:textId="77777777" w:rsidR="005E3D34" w:rsidRDefault="005E3D34" w:rsidP="00D11709">
            <w:pPr>
              <w:pStyle w:val="Note-Refs"/>
            </w:pPr>
          </w:p>
        </w:tc>
        <w:tc>
          <w:tcPr>
            <w:tcW w:w="13488" w:type="dxa"/>
            <w:gridSpan w:val="12"/>
            <w:shd w:val="clear" w:color="auto" w:fill="CCCCCC"/>
            <w:vAlign w:val="center"/>
          </w:tcPr>
          <w:p w14:paraId="038A0491" w14:textId="77777777" w:rsidR="005E3D34" w:rsidRPr="00695024" w:rsidRDefault="005E3D34" w:rsidP="00D11709">
            <w:pPr>
              <w:pStyle w:val="NotesTable-ItemPlain"/>
            </w:pPr>
            <w:r w:rsidRPr="00D11709">
              <w:t>The above statement of changes in equity should be read</w:t>
            </w:r>
            <w:r w:rsidRPr="00695024">
              <w:t xml:space="preserve"> in conjunction with the accompanying notes.</w:t>
            </w:r>
          </w:p>
        </w:tc>
      </w:tr>
    </w:tbl>
    <w:p w14:paraId="038A0493" w14:textId="77777777" w:rsidR="00085982" w:rsidRDefault="00085982" w:rsidP="007463D7">
      <w:pPr>
        <w:sectPr w:rsidR="00085982" w:rsidSect="00AA5977">
          <w:pgSz w:w="16837" w:h="11905" w:orient="landscape"/>
          <w:pgMar w:top="680" w:right="2274" w:bottom="794" w:left="1383" w:header="1985" w:footer="1094" w:gutter="0"/>
          <w:cols w:space="720"/>
          <w:docGrid w:linePitch="360"/>
        </w:sectPr>
      </w:pPr>
    </w:p>
    <w:p w14:paraId="0F096BA7" w14:textId="1CF4D9B1" w:rsidR="00A4555D" w:rsidRPr="001B501D" w:rsidRDefault="00A4555D" w:rsidP="001A5D4A">
      <w:pPr>
        <w:pStyle w:val="Heading2"/>
        <w:rPr>
          <w:color w:val="2D3E7B" w:themeColor="text2" w:themeShade="BF"/>
        </w:rPr>
      </w:pPr>
      <w:bookmarkStart w:id="208" w:name="_Toc410807599"/>
      <w:bookmarkStart w:id="209" w:name="_Toc410822649"/>
      <w:bookmarkStart w:id="210" w:name="_Toc410823808"/>
      <w:bookmarkStart w:id="211" w:name="_Toc410825044"/>
      <w:bookmarkStart w:id="212" w:name="_Toc410825194"/>
      <w:r w:rsidRPr="001B501D">
        <w:rPr>
          <w:color w:val="2D3E7B" w:themeColor="text2" w:themeShade="BF"/>
        </w:rPr>
        <w:lastRenderedPageBreak/>
        <w:t>Commentary - Statement of changes in equity</w:t>
      </w:r>
      <w:bookmarkEnd w:id="208"/>
      <w:bookmarkEnd w:id="209"/>
      <w:bookmarkEnd w:id="210"/>
      <w:bookmarkEnd w:id="211"/>
      <w:bookmarkEnd w:id="212"/>
    </w:p>
    <w:p w14:paraId="517184B3" w14:textId="77777777" w:rsidR="00A4555D" w:rsidRPr="00AD14D6" w:rsidRDefault="00A4555D" w:rsidP="001A5D4A">
      <w:pPr>
        <w:pStyle w:val="Heading3"/>
        <w:rPr>
          <w:color w:val="2D3E7B" w:themeColor="text2" w:themeShade="BF"/>
        </w:rPr>
      </w:pPr>
      <w:r w:rsidRPr="00AD14D6">
        <w:rPr>
          <w:color w:val="2D3E7B" w:themeColor="text2" w:themeShade="BF"/>
        </w:rPr>
        <w:t>Accounting standard for the statement of changes in equity</w:t>
      </w:r>
    </w:p>
    <w:p w14:paraId="0AFC9721" w14:textId="77777777" w:rsidR="00A4555D" w:rsidRPr="00AD14D6" w:rsidRDefault="00A4555D" w:rsidP="009304CF">
      <w:pPr>
        <w:pStyle w:val="Heading6"/>
      </w:pPr>
      <w:r w:rsidRPr="00AD14D6">
        <w:t>AASB101.Aus1.1</w:t>
      </w:r>
    </w:p>
    <w:p w14:paraId="173E8723" w14:textId="77777777" w:rsidR="00A4555D" w:rsidRPr="00AD14D6" w:rsidRDefault="00A4555D" w:rsidP="001A5D4A">
      <w:pPr>
        <w:rPr>
          <w:color w:val="2D3E7B" w:themeColor="text2" w:themeShade="BF"/>
          <w:szCs w:val="22"/>
        </w:rPr>
      </w:pPr>
      <w:r w:rsidRPr="00AD14D6">
        <w:rPr>
          <w:color w:val="2D3E7B" w:themeColor="text2" w:themeShade="BF"/>
          <w:szCs w:val="22"/>
        </w:rPr>
        <w:t xml:space="preserve">Requirements for the statement of changes in equity are set out in AASB101 </w:t>
      </w:r>
      <w:r w:rsidRPr="002312D2">
        <w:rPr>
          <w:i/>
          <w:color w:val="2D3E7B" w:themeColor="text2" w:themeShade="BF"/>
          <w:szCs w:val="22"/>
        </w:rPr>
        <w:t>Presentation of Financial Statements</w:t>
      </w:r>
      <w:r w:rsidRPr="00AD14D6">
        <w:rPr>
          <w:color w:val="2D3E7B" w:themeColor="text2" w:themeShade="BF"/>
          <w:szCs w:val="22"/>
        </w:rPr>
        <w:t xml:space="preserve">. The standard applies to each entity that is required to prepare financial reports in accordance with Part 2M.3 of the </w:t>
      </w:r>
      <w:r w:rsidRPr="002312D2">
        <w:rPr>
          <w:i/>
          <w:color w:val="2D3E7B" w:themeColor="text2" w:themeShade="BF"/>
          <w:szCs w:val="22"/>
        </w:rPr>
        <w:t>Corporations Act 2001</w:t>
      </w:r>
      <w:r w:rsidRPr="00AD14D6">
        <w:rPr>
          <w:color w:val="2D3E7B" w:themeColor="text2" w:themeShade="BF"/>
          <w:szCs w:val="22"/>
        </w:rPr>
        <w:t xml:space="preserve">, general purpose financial reports of each reporting entity, and to financial reports that are, or are held out to be, general purpose financial reports. </w:t>
      </w:r>
    </w:p>
    <w:p w14:paraId="0055F0B2" w14:textId="77777777" w:rsidR="00A4555D" w:rsidRPr="00AD14D6" w:rsidRDefault="00A4555D" w:rsidP="001A5D4A">
      <w:pPr>
        <w:pStyle w:val="Heading3"/>
        <w:rPr>
          <w:color w:val="2D3E7B" w:themeColor="text2" w:themeShade="BF"/>
        </w:rPr>
      </w:pPr>
      <w:r w:rsidRPr="00AD14D6">
        <w:rPr>
          <w:color w:val="2D3E7B" w:themeColor="text2" w:themeShade="BF"/>
        </w:rPr>
        <w:t>Information to be disclosed</w:t>
      </w:r>
    </w:p>
    <w:p w14:paraId="1558119E" w14:textId="77777777" w:rsidR="00A4555D" w:rsidRPr="00AD14D6" w:rsidRDefault="00A4555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On the face of the statement</w:t>
      </w:r>
    </w:p>
    <w:p w14:paraId="6EA89CB5" w14:textId="77777777" w:rsidR="00A4555D" w:rsidRPr="00AD14D6" w:rsidRDefault="00A4555D" w:rsidP="009304CF">
      <w:pPr>
        <w:pStyle w:val="Heading6"/>
      </w:pPr>
      <w:r w:rsidRPr="00AD14D6">
        <w:t>AASB101.106</w:t>
      </w:r>
    </w:p>
    <w:p w14:paraId="5590C270" w14:textId="77777777" w:rsidR="00A4555D" w:rsidRPr="00AD14D6" w:rsidRDefault="00A4555D" w:rsidP="001A5D4A">
      <w:pPr>
        <w:rPr>
          <w:color w:val="2D3E7B" w:themeColor="text2" w:themeShade="BF"/>
          <w:szCs w:val="22"/>
        </w:rPr>
      </w:pPr>
      <w:r w:rsidRPr="00AD14D6">
        <w:rPr>
          <w:color w:val="2D3E7B" w:themeColor="text2" w:themeShade="BF"/>
          <w:szCs w:val="22"/>
        </w:rPr>
        <w:t>An entity shall present a statement of changes in equity including the following information:</w:t>
      </w:r>
    </w:p>
    <w:p w14:paraId="2AF50920" w14:textId="5934B607" w:rsidR="00A4555D" w:rsidRPr="00AD14D6" w:rsidRDefault="00A4555D" w:rsidP="008E1D9C">
      <w:pPr>
        <w:pStyle w:val="ListParagraph"/>
        <w:numPr>
          <w:ilvl w:val="0"/>
          <w:numId w:val="19"/>
        </w:numPr>
        <w:ind w:left="340" w:hanging="340"/>
        <w:rPr>
          <w:color w:val="2D3E7B" w:themeColor="text2" w:themeShade="BF"/>
          <w:szCs w:val="22"/>
        </w:rPr>
      </w:pPr>
      <w:r w:rsidRPr="00AD14D6">
        <w:rPr>
          <w:color w:val="2D3E7B" w:themeColor="text2" w:themeShade="BF"/>
          <w:szCs w:val="22"/>
        </w:rPr>
        <w:t>total comprehensive income for the period, showing separately the total amounts attributable to owners of the parent and to non-controlling interest;</w:t>
      </w:r>
    </w:p>
    <w:p w14:paraId="64EF8CDA" w14:textId="77A3C294" w:rsidR="00A4555D" w:rsidRPr="00AD14D6" w:rsidRDefault="00A4555D" w:rsidP="008E1D9C">
      <w:pPr>
        <w:pStyle w:val="ListParagraph"/>
        <w:numPr>
          <w:ilvl w:val="0"/>
          <w:numId w:val="19"/>
        </w:numPr>
        <w:ind w:left="340" w:hanging="340"/>
        <w:rPr>
          <w:color w:val="2D3E7B" w:themeColor="text2" w:themeShade="BF"/>
          <w:szCs w:val="22"/>
        </w:rPr>
      </w:pPr>
      <w:r w:rsidRPr="00AD14D6">
        <w:rPr>
          <w:color w:val="2D3E7B" w:themeColor="text2" w:themeShade="BF"/>
          <w:szCs w:val="22"/>
        </w:rPr>
        <w:t>for each component of equity, the effects of retrospective application or retrospective restatement recognised in accordance with AASB108;</w:t>
      </w:r>
    </w:p>
    <w:p w14:paraId="4FABAF8E" w14:textId="21A586D0" w:rsidR="00A4555D" w:rsidRPr="00AD14D6" w:rsidRDefault="00A4555D" w:rsidP="008E1D9C">
      <w:pPr>
        <w:pStyle w:val="ListParagraph"/>
        <w:numPr>
          <w:ilvl w:val="0"/>
          <w:numId w:val="19"/>
        </w:numPr>
        <w:ind w:left="340" w:hanging="340"/>
        <w:rPr>
          <w:color w:val="2D3E7B" w:themeColor="text2" w:themeShade="BF"/>
          <w:szCs w:val="22"/>
        </w:rPr>
      </w:pPr>
      <w:r w:rsidRPr="00AD14D6">
        <w:rPr>
          <w:color w:val="2D3E7B" w:themeColor="text2" w:themeShade="BF"/>
          <w:szCs w:val="22"/>
        </w:rPr>
        <w:t>for each component of equity, a reconciliation between the carrying amount at the beginning and the end of the period, separately disclosing changes resulting from:</w:t>
      </w:r>
    </w:p>
    <w:p w14:paraId="6748C12E" w14:textId="6A68168A" w:rsidR="00A4555D" w:rsidRPr="00AD14D6" w:rsidRDefault="00A4555D" w:rsidP="008E1D9C">
      <w:pPr>
        <w:pStyle w:val="ListParagraph"/>
        <w:numPr>
          <w:ilvl w:val="1"/>
          <w:numId w:val="19"/>
        </w:numPr>
        <w:ind w:left="680" w:hanging="340"/>
        <w:rPr>
          <w:color w:val="2D3E7B" w:themeColor="text2" w:themeShade="BF"/>
          <w:szCs w:val="22"/>
        </w:rPr>
      </w:pPr>
      <w:r w:rsidRPr="00AD14D6">
        <w:rPr>
          <w:color w:val="2D3E7B" w:themeColor="text2" w:themeShade="BF"/>
          <w:szCs w:val="22"/>
        </w:rPr>
        <w:t>profit or loss;</w:t>
      </w:r>
    </w:p>
    <w:p w14:paraId="309F598C" w14:textId="0BAE0ED9" w:rsidR="00A4555D" w:rsidRPr="00AD14D6" w:rsidRDefault="00A4555D" w:rsidP="008E1D9C">
      <w:pPr>
        <w:pStyle w:val="ListParagraph"/>
        <w:numPr>
          <w:ilvl w:val="1"/>
          <w:numId w:val="19"/>
        </w:numPr>
        <w:ind w:left="680" w:hanging="340"/>
        <w:rPr>
          <w:color w:val="2D3E7B" w:themeColor="text2" w:themeShade="BF"/>
          <w:szCs w:val="22"/>
        </w:rPr>
      </w:pPr>
      <w:r w:rsidRPr="00AD14D6">
        <w:rPr>
          <w:color w:val="2D3E7B" w:themeColor="text2" w:themeShade="BF"/>
          <w:szCs w:val="22"/>
        </w:rPr>
        <w:t>other comprehensive income; and</w:t>
      </w:r>
    </w:p>
    <w:p w14:paraId="31B36C9E" w14:textId="1075D83B" w:rsidR="00A4555D" w:rsidRPr="00AD14D6" w:rsidRDefault="00A4555D" w:rsidP="008E1D9C">
      <w:pPr>
        <w:pStyle w:val="ListParagraph"/>
        <w:numPr>
          <w:ilvl w:val="1"/>
          <w:numId w:val="19"/>
        </w:numPr>
        <w:ind w:left="680" w:hanging="340"/>
        <w:rPr>
          <w:color w:val="2D3E7B" w:themeColor="text2" w:themeShade="BF"/>
          <w:szCs w:val="22"/>
        </w:rPr>
      </w:pPr>
      <w:proofErr w:type="gramStart"/>
      <w:r w:rsidRPr="00AD14D6">
        <w:rPr>
          <w:color w:val="2D3E7B" w:themeColor="text2" w:themeShade="BF"/>
          <w:szCs w:val="22"/>
        </w:rPr>
        <w:t>transactions</w:t>
      </w:r>
      <w:proofErr w:type="gramEnd"/>
      <w:r w:rsidRPr="00AD14D6">
        <w:rPr>
          <w:color w:val="2D3E7B" w:themeColor="text2" w:themeShade="BF"/>
          <w:szCs w:val="22"/>
        </w:rPr>
        <w:t xml:space="preserve"> with owners in their capacity as owners, showing separately contributions by and distributions to owners and changes in ownership interests in subsidiaries that do not result In a loss of control.</w:t>
      </w:r>
    </w:p>
    <w:p w14:paraId="24A53935" w14:textId="77777777" w:rsidR="00A4555D" w:rsidRPr="00AD14D6" w:rsidRDefault="00A4555D" w:rsidP="009304CF">
      <w:pPr>
        <w:pStyle w:val="Heading6"/>
      </w:pPr>
      <w:r w:rsidRPr="00AD14D6">
        <w:t>AASB101.107</w:t>
      </w:r>
    </w:p>
    <w:p w14:paraId="7190730D" w14:textId="77777777" w:rsidR="00A4555D" w:rsidRPr="00AD14D6" w:rsidRDefault="00A4555D" w:rsidP="00A4555D">
      <w:pPr>
        <w:rPr>
          <w:color w:val="2D3E7B" w:themeColor="text2" w:themeShade="BF"/>
          <w:szCs w:val="22"/>
        </w:rPr>
      </w:pPr>
      <w:r w:rsidRPr="00AD14D6">
        <w:rPr>
          <w:color w:val="2D3E7B" w:themeColor="text2" w:themeShade="BF"/>
          <w:szCs w:val="22"/>
        </w:rPr>
        <w:t>An entity shall present, either in the statement of changes in equity or in the notes, the amount of dividends recognised as distributions to owners during the period, and the related amount of dividends per share.</w:t>
      </w:r>
    </w:p>
    <w:p w14:paraId="038A04D5" w14:textId="45BB564C" w:rsidR="002800DD" w:rsidRPr="00AD14D6" w:rsidRDefault="00A4555D" w:rsidP="000B02BD">
      <w:pPr>
        <w:rPr>
          <w:szCs w:val="22"/>
        </w:rPr>
      </w:pPr>
      <w:r w:rsidRPr="00AD14D6">
        <w:rPr>
          <w:color w:val="2D3E7B" w:themeColor="text2" w:themeShade="BF"/>
          <w:szCs w:val="22"/>
        </w:rPr>
        <w:t>All line items are mandatory to the extent that they relate to that type of entity. Universities for example, do not undertake financial transactions with owners in their capacity as owners and as such the disclosure of transactions with owners is not required. Disclose only what is required and material.</w:t>
      </w:r>
      <w:r w:rsidR="002800DD" w:rsidRPr="00AD14D6">
        <w:rPr>
          <w:szCs w:val="22"/>
        </w:rPr>
        <w:br w:type="page"/>
      </w:r>
    </w:p>
    <w:p w14:paraId="47603BFD" w14:textId="77777777" w:rsidR="001B501D" w:rsidRPr="000B02BD" w:rsidRDefault="00EF7E08" w:rsidP="000B02BD">
      <w:pPr>
        <w:pStyle w:val="Heading1"/>
      </w:pPr>
      <w:bookmarkStart w:id="213" w:name="_Toc398721462"/>
      <w:bookmarkStart w:id="214" w:name="_Toc398721489"/>
      <w:bookmarkStart w:id="215" w:name="_Toc398721550"/>
      <w:bookmarkStart w:id="216" w:name="_Toc398722001"/>
      <w:bookmarkStart w:id="217" w:name="_Toc398729920"/>
      <w:bookmarkStart w:id="218" w:name="_Toc398731119"/>
      <w:bookmarkStart w:id="219" w:name="_Toc398731407"/>
      <w:bookmarkStart w:id="220" w:name="_Toc406751415"/>
      <w:bookmarkStart w:id="221" w:name="_Toc410807600"/>
      <w:bookmarkStart w:id="222" w:name="_Toc410822650"/>
      <w:bookmarkStart w:id="223" w:name="_Toc411854286"/>
      <w:bookmarkStart w:id="224" w:name="_Toc411854319"/>
      <w:r w:rsidRPr="000B02BD">
        <w:lastRenderedPageBreak/>
        <w:t>Statement of Cash Flows</w:t>
      </w:r>
      <w:bookmarkEnd w:id="213"/>
      <w:bookmarkEnd w:id="214"/>
      <w:bookmarkEnd w:id="215"/>
      <w:bookmarkEnd w:id="216"/>
      <w:bookmarkEnd w:id="217"/>
      <w:bookmarkEnd w:id="218"/>
      <w:bookmarkEnd w:id="219"/>
      <w:bookmarkEnd w:id="220"/>
      <w:bookmarkEnd w:id="221"/>
      <w:bookmarkEnd w:id="222"/>
      <w:bookmarkEnd w:id="223"/>
      <w:bookmarkEnd w:id="224"/>
    </w:p>
    <w:p w14:paraId="038A04D6" w14:textId="51EA33B9" w:rsidR="00EF7E08" w:rsidRPr="000B02BD" w:rsidRDefault="002254C9" w:rsidP="000B02BD">
      <w:proofErr w:type="gramStart"/>
      <w:r w:rsidRPr="000B02BD">
        <w:t>f</w:t>
      </w:r>
      <w:r w:rsidR="00EF7E08" w:rsidRPr="000B02BD">
        <w:t>or</w:t>
      </w:r>
      <w:proofErr w:type="gramEnd"/>
      <w:r w:rsidR="00EF7E08" w:rsidRPr="000B02BD">
        <w:t xml:space="preserve"> the year ended 31 December </w:t>
      </w:r>
      <w:r w:rsidR="006864EC" w:rsidRPr="000B02BD">
        <w:t>2014</w:t>
      </w:r>
    </w:p>
    <w:tbl>
      <w:tblPr>
        <w:tblW w:w="5000" w:type="pct"/>
        <w:tblCellMar>
          <w:left w:w="0" w:type="dxa"/>
          <w:right w:w="0" w:type="dxa"/>
        </w:tblCellMar>
        <w:tblLook w:val="0000" w:firstRow="0" w:lastRow="0" w:firstColumn="0" w:lastColumn="0" w:noHBand="0" w:noVBand="0"/>
      </w:tblPr>
      <w:tblGrid>
        <w:gridCol w:w="1391"/>
        <w:gridCol w:w="5677"/>
        <w:gridCol w:w="452"/>
        <w:gridCol w:w="575"/>
        <w:gridCol w:w="564"/>
        <w:gridCol w:w="552"/>
        <w:gridCol w:w="540"/>
      </w:tblGrid>
      <w:tr w:rsidR="00D54FC2" w14:paraId="038A04DD" w14:textId="77777777" w:rsidTr="00AF78E2">
        <w:trPr>
          <w:cantSplit/>
          <w:trHeight w:hRule="exact" w:val="227"/>
        </w:trPr>
        <w:tc>
          <w:tcPr>
            <w:tcW w:w="713" w:type="pct"/>
            <w:vAlign w:val="center"/>
          </w:tcPr>
          <w:p w14:paraId="038A04D8" w14:textId="77777777" w:rsidR="00D54FC2" w:rsidRDefault="00D54FC2" w:rsidP="00D11709">
            <w:pPr>
              <w:pStyle w:val="Note-Refs"/>
            </w:pPr>
          </w:p>
        </w:tc>
        <w:tc>
          <w:tcPr>
            <w:tcW w:w="2911" w:type="pct"/>
            <w:shd w:val="clear" w:color="auto" w:fill="CDCDCD"/>
            <w:vAlign w:val="bottom"/>
          </w:tcPr>
          <w:p w14:paraId="038A04D9" w14:textId="77777777" w:rsidR="00D54FC2" w:rsidRDefault="00D54FC2">
            <w:pPr>
              <w:pStyle w:val="NotesTable-ItemPlain"/>
            </w:pPr>
          </w:p>
        </w:tc>
        <w:tc>
          <w:tcPr>
            <w:tcW w:w="232" w:type="pct"/>
            <w:shd w:val="clear" w:color="auto" w:fill="CDCDCD"/>
          </w:tcPr>
          <w:p w14:paraId="038A04DA" w14:textId="77777777" w:rsidR="00D54FC2" w:rsidRPr="00D54FC2" w:rsidRDefault="00D54FC2" w:rsidP="005D4154">
            <w:pPr>
              <w:pStyle w:val="NotesTable-Notes"/>
            </w:pPr>
          </w:p>
        </w:tc>
        <w:tc>
          <w:tcPr>
            <w:tcW w:w="584" w:type="pct"/>
            <w:gridSpan w:val="2"/>
            <w:shd w:val="clear" w:color="auto" w:fill="CDCDCD"/>
          </w:tcPr>
          <w:p w14:paraId="038A04DB" w14:textId="77777777" w:rsidR="00D54FC2" w:rsidRDefault="00D54FC2" w:rsidP="001420DF">
            <w:pPr>
              <w:pStyle w:val="NotesTable-HeadPlain"/>
            </w:pPr>
          </w:p>
        </w:tc>
        <w:tc>
          <w:tcPr>
            <w:tcW w:w="560" w:type="pct"/>
            <w:gridSpan w:val="2"/>
            <w:shd w:val="clear" w:color="auto" w:fill="CDCDCD"/>
          </w:tcPr>
          <w:p w14:paraId="038A04DC" w14:textId="77777777" w:rsidR="00D54FC2" w:rsidRDefault="00D54FC2" w:rsidP="00C54AC3">
            <w:pPr>
              <w:pStyle w:val="NotesTable-HeadPlain"/>
            </w:pPr>
          </w:p>
        </w:tc>
      </w:tr>
      <w:tr w:rsidR="00B03530" w14:paraId="038A04E4" w14:textId="77777777" w:rsidTr="00AF78E2">
        <w:trPr>
          <w:cantSplit/>
          <w:trHeight w:val="227"/>
        </w:trPr>
        <w:tc>
          <w:tcPr>
            <w:tcW w:w="713" w:type="pct"/>
            <w:vAlign w:val="center"/>
          </w:tcPr>
          <w:p w14:paraId="038A04DE" w14:textId="77777777" w:rsidR="00B03530" w:rsidRDefault="00B03530" w:rsidP="00D11709">
            <w:pPr>
              <w:pStyle w:val="Note-Refs"/>
            </w:pPr>
            <w:r>
              <w:t>MANDATORY</w:t>
            </w:r>
          </w:p>
          <w:p w14:paraId="038A04DF" w14:textId="77777777" w:rsidR="00B03530" w:rsidRDefault="00B90CFC" w:rsidP="00D11709">
            <w:pPr>
              <w:pStyle w:val="Note-Refs"/>
              <w:rPr>
                <w:sz w:val="20"/>
              </w:rPr>
            </w:pPr>
            <w:r>
              <w:t>EDUCATION</w:t>
            </w:r>
          </w:p>
        </w:tc>
        <w:tc>
          <w:tcPr>
            <w:tcW w:w="2911" w:type="pct"/>
            <w:shd w:val="clear" w:color="auto" w:fill="CDCDCD"/>
            <w:vAlign w:val="bottom"/>
          </w:tcPr>
          <w:p w14:paraId="038A04E0" w14:textId="77777777" w:rsidR="00B03530" w:rsidRDefault="00B03530">
            <w:pPr>
              <w:pStyle w:val="NotesTable-ItemPlain"/>
            </w:pPr>
          </w:p>
        </w:tc>
        <w:tc>
          <w:tcPr>
            <w:tcW w:w="232" w:type="pct"/>
            <w:shd w:val="clear" w:color="auto" w:fill="CDCDCD"/>
          </w:tcPr>
          <w:p w14:paraId="038A04E1" w14:textId="77777777" w:rsidR="00B03530" w:rsidRPr="00D54FC2" w:rsidRDefault="00B03530" w:rsidP="005D4154">
            <w:pPr>
              <w:pStyle w:val="NotesTable-Notes"/>
            </w:pPr>
          </w:p>
        </w:tc>
        <w:tc>
          <w:tcPr>
            <w:tcW w:w="584" w:type="pct"/>
            <w:gridSpan w:val="2"/>
            <w:shd w:val="clear" w:color="auto" w:fill="CDCDCD"/>
          </w:tcPr>
          <w:p w14:paraId="038A04E2" w14:textId="77777777" w:rsidR="00B03530" w:rsidRDefault="00B03530" w:rsidP="001420DF">
            <w:pPr>
              <w:pStyle w:val="NotesTable-HeadPlain"/>
              <w:rPr>
                <w:b/>
              </w:rPr>
            </w:pPr>
            <w:r>
              <w:t>Consolidated</w:t>
            </w:r>
          </w:p>
        </w:tc>
        <w:tc>
          <w:tcPr>
            <w:tcW w:w="560" w:type="pct"/>
            <w:gridSpan w:val="2"/>
            <w:shd w:val="clear" w:color="auto" w:fill="CDCDCD"/>
          </w:tcPr>
          <w:p w14:paraId="038A04E3" w14:textId="77777777" w:rsidR="00B03530" w:rsidRDefault="00B03530" w:rsidP="00C54AC3">
            <w:pPr>
              <w:pStyle w:val="NotesTable-HeadPlain"/>
              <w:rPr>
                <w:b/>
              </w:rPr>
            </w:pPr>
            <w:r>
              <w:t>Parent entity</w:t>
            </w:r>
          </w:p>
        </w:tc>
      </w:tr>
      <w:tr w:rsidR="004023E5" w14:paraId="038A04EC" w14:textId="77777777" w:rsidTr="00AF78E2">
        <w:trPr>
          <w:cantSplit/>
          <w:trHeight w:hRule="exact" w:val="227"/>
        </w:trPr>
        <w:tc>
          <w:tcPr>
            <w:tcW w:w="713" w:type="pct"/>
          </w:tcPr>
          <w:p w14:paraId="038A04E5" w14:textId="77777777" w:rsidR="004023E5" w:rsidRDefault="004023E5" w:rsidP="00D11709">
            <w:pPr>
              <w:pStyle w:val="Note-Refs"/>
            </w:pPr>
          </w:p>
        </w:tc>
        <w:tc>
          <w:tcPr>
            <w:tcW w:w="2911" w:type="pct"/>
            <w:shd w:val="clear" w:color="auto" w:fill="CDCDCD"/>
            <w:vAlign w:val="bottom"/>
          </w:tcPr>
          <w:p w14:paraId="038A04E6" w14:textId="77777777" w:rsidR="004023E5" w:rsidRDefault="004023E5">
            <w:pPr>
              <w:pStyle w:val="NotesTable-ItemPlain"/>
            </w:pPr>
          </w:p>
        </w:tc>
        <w:tc>
          <w:tcPr>
            <w:tcW w:w="232" w:type="pct"/>
            <w:shd w:val="clear" w:color="auto" w:fill="CDCDCD"/>
          </w:tcPr>
          <w:p w14:paraId="038A04E7" w14:textId="77777777" w:rsidR="004023E5" w:rsidRPr="00451F7F" w:rsidRDefault="004023E5" w:rsidP="005D4154">
            <w:pPr>
              <w:pStyle w:val="NotesTable-Notes"/>
            </w:pPr>
            <w:r w:rsidRPr="00D54FC2">
              <w:t>Notes</w:t>
            </w:r>
          </w:p>
        </w:tc>
        <w:tc>
          <w:tcPr>
            <w:tcW w:w="295" w:type="pct"/>
            <w:shd w:val="clear" w:color="auto" w:fill="CDCDCD"/>
          </w:tcPr>
          <w:p w14:paraId="038A04E8" w14:textId="5F3F9F82" w:rsidR="004023E5" w:rsidRDefault="006864EC">
            <w:pPr>
              <w:pStyle w:val="NotesTable-HeadBold"/>
            </w:pPr>
            <w:r>
              <w:t>2014</w:t>
            </w:r>
          </w:p>
        </w:tc>
        <w:tc>
          <w:tcPr>
            <w:tcW w:w="289" w:type="pct"/>
            <w:shd w:val="clear" w:color="auto" w:fill="CDCDCD"/>
          </w:tcPr>
          <w:p w14:paraId="038A04E9" w14:textId="26D732D1" w:rsidR="004023E5" w:rsidRDefault="006864EC" w:rsidP="00C54AC3">
            <w:pPr>
              <w:pStyle w:val="NotesTable-HeadPlain"/>
            </w:pPr>
            <w:r>
              <w:t>2013</w:t>
            </w:r>
          </w:p>
        </w:tc>
        <w:tc>
          <w:tcPr>
            <w:tcW w:w="283" w:type="pct"/>
            <w:shd w:val="clear" w:color="auto" w:fill="CDCDCD"/>
          </w:tcPr>
          <w:p w14:paraId="038A04EA" w14:textId="28C547AE" w:rsidR="004023E5" w:rsidRDefault="006864EC">
            <w:pPr>
              <w:pStyle w:val="NotesTable-HeadBold"/>
            </w:pPr>
            <w:r>
              <w:t>2014</w:t>
            </w:r>
          </w:p>
        </w:tc>
        <w:tc>
          <w:tcPr>
            <w:tcW w:w="277" w:type="pct"/>
            <w:shd w:val="clear" w:color="auto" w:fill="CDCDCD"/>
          </w:tcPr>
          <w:p w14:paraId="038A04EB" w14:textId="335BAA30" w:rsidR="004023E5" w:rsidRDefault="006864EC">
            <w:pPr>
              <w:pStyle w:val="NotesTable-HeadPlain"/>
            </w:pPr>
            <w:r>
              <w:t>2013</w:t>
            </w:r>
          </w:p>
        </w:tc>
      </w:tr>
      <w:tr w:rsidR="004023E5" w14:paraId="038A04F4" w14:textId="77777777" w:rsidTr="00AF78E2">
        <w:trPr>
          <w:cantSplit/>
          <w:trHeight w:hRule="exact" w:val="227"/>
        </w:trPr>
        <w:tc>
          <w:tcPr>
            <w:tcW w:w="713" w:type="pct"/>
          </w:tcPr>
          <w:p w14:paraId="038A04ED" w14:textId="77777777" w:rsidR="004023E5" w:rsidRDefault="004023E5" w:rsidP="00D11709">
            <w:pPr>
              <w:pStyle w:val="Note-Refs"/>
            </w:pPr>
          </w:p>
        </w:tc>
        <w:tc>
          <w:tcPr>
            <w:tcW w:w="2911" w:type="pct"/>
            <w:shd w:val="clear" w:color="auto" w:fill="CDCDCD"/>
            <w:vAlign w:val="bottom"/>
          </w:tcPr>
          <w:p w14:paraId="038A04EE" w14:textId="77777777" w:rsidR="004023E5" w:rsidRDefault="004023E5">
            <w:pPr>
              <w:pStyle w:val="NotesTable-ItemPlain"/>
            </w:pPr>
          </w:p>
        </w:tc>
        <w:tc>
          <w:tcPr>
            <w:tcW w:w="232" w:type="pct"/>
            <w:shd w:val="clear" w:color="auto" w:fill="CDCDCD"/>
          </w:tcPr>
          <w:p w14:paraId="038A04EF" w14:textId="77777777" w:rsidR="004023E5" w:rsidRPr="00D54FC2" w:rsidRDefault="004023E5" w:rsidP="005D4154">
            <w:pPr>
              <w:pStyle w:val="NotesTable-Notes"/>
            </w:pPr>
          </w:p>
        </w:tc>
        <w:tc>
          <w:tcPr>
            <w:tcW w:w="295" w:type="pct"/>
            <w:shd w:val="clear" w:color="auto" w:fill="CDCDCD"/>
          </w:tcPr>
          <w:p w14:paraId="038A04F0" w14:textId="77777777" w:rsidR="004023E5" w:rsidRDefault="004023E5">
            <w:pPr>
              <w:pStyle w:val="NotesTable-HeadBold"/>
            </w:pPr>
            <w:r>
              <w:t>$’000</w:t>
            </w:r>
          </w:p>
        </w:tc>
        <w:tc>
          <w:tcPr>
            <w:tcW w:w="289" w:type="pct"/>
            <w:shd w:val="clear" w:color="auto" w:fill="CDCDCD"/>
          </w:tcPr>
          <w:p w14:paraId="038A04F1" w14:textId="77777777" w:rsidR="004023E5" w:rsidRDefault="004023E5" w:rsidP="00C54AC3">
            <w:pPr>
              <w:pStyle w:val="NotesTable-HeadPlain"/>
            </w:pPr>
            <w:r>
              <w:t>$’000</w:t>
            </w:r>
          </w:p>
        </w:tc>
        <w:tc>
          <w:tcPr>
            <w:tcW w:w="283" w:type="pct"/>
            <w:shd w:val="clear" w:color="auto" w:fill="CDCDCD"/>
          </w:tcPr>
          <w:p w14:paraId="038A04F2" w14:textId="77777777" w:rsidR="004023E5" w:rsidRDefault="004023E5">
            <w:pPr>
              <w:pStyle w:val="NotesTable-HeadBold"/>
            </w:pPr>
            <w:r>
              <w:t>$’000</w:t>
            </w:r>
          </w:p>
        </w:tc>
        <w:tc>
          <w:tcPr>
            <w:tcW w:w="277" w:type="pct"/>
            <w:shd w:val="clear" w:color="auto" w:fill="CDCDCD"/>
          </w:tcPr>
          <w:p w14:paraId="038A04F3" w14:textId="77777777" w:rsidR="004023E5" w:rsidRDefault="004023E5">
            <w:pPr>
              <w:pStyle w:val="NotesTable-HeadPlain"/>
            </w:pPr>
            <w:r>
              <w:t>$’000</w:t>
            </w:r>
          </w:p>
        </w:tc>
      </w:tr>
      <w:tr w:rsidR="004023E5" w14:paraId="038A04FC" w14:textId="77777777" w:rsidTr="00AF78E2">
        <w:trPr>
          <w:cantSplit/>
          <w:trHeight w:hRule="exact" w:val="227"/>
        </w:trPr>
        <w:tc>
          <w:tcPr>
            <w:tcW w:w="713" w:type="pct"/>
          </w:tcPr>
          <w:p w14:paraId="038A04F5" w14:textId="77777777" w:rsidR="004023E5" w:rsidRDefault="004023E5" w:rsidP="00D11709">
            <w:pPr>
              <w:pStyle w:val="Note-Refs"/>
              <w:rPr>
                <w:b/>
              </w:rPr>
            </w:pPr>
            <w:r>
              <w:t>AASB107.10,18a</w:t>
            </w:r>
          </w:p>
        </w:tc>
        <w:tc>
          <w:tcPr>
            <w:tcW w:w="2911" w:type="pct"/>
            <w:shd w:val="clear" w:color="auto" w:fill="CDCDCD"/>
            <w:vAlign w:val="bottom"/>
          </w:tcPr>
          <w:p w14:paraId="038A04F6" w14:textId="77777777" w:rsidR="004023E5" w:rsidRDefault="004023E5">
            <w:pPr>
              <w:pStyle w:val="Statement-ItemBold"/>
            </w:pPr>
            <w:r>
              <w:t>Cash flows from operating activities</w:t>
            </w:r>
          </w:p>
        </w:tc>
        <w:tc>
          <w:tcPr>
            <w:tcW w:w="232" w:type="pct"/>
            <w:shd w:val="clear" w:color="auto" w:fill="CDCDCD"/>
          </w:tcPr>
          <w:p w14:paraId="038A04F7" w14:textId="77777777" w:rsidR="004023E5" w:rsidRPr="00451F7F" w:rsidRDefault="004023E5" w:rsidP="005D4154">
            <w:pPr>
              <w:pStyle w:val="NotesTable-Notes"/>
            </w:pPr>
          </w:p>
        </w:tc>
        <w:tc>
          <w:tcPr>
            <w:tcW w:w="295" w:type="pct"/>
            <w:shd w:val="clear" w:color="auto" w:fill="CDCDCD"/>
          </w:tcPr>
          <w:p w14:paraId="038A04F8" w14:textId="77777777" w:rsidR="004023E5" w:rsidRPr="005A74A0" w:rsidRDefault="004023E5" w:rsidP="00451F7F">
            <w:pPr>
              <w:pStyle w:val="NotesTable-CellBold"/>
            </w:pPr>
          </w:p>
        </w:tc>
        <w:tc>
          <w:tcPr>
            <w:tcW w:w="289" w:type="pct"/>
            <w:shd w:val="clear" w:color="auto" w:fill="CDCDCD"/>
          </w:tcPr>
          <w:p w14:paraId="038A04F9" w14:textId="77777777" w:rsidR="004023E5" w:rsidRPr="005A74A0" w:rsidRDefault="004023E5" w:rsidP="00451F7F">
            <w:pPr>
              <w:pStyle w:val="NotesTable-CellPlain"/>
            </w:pPr>
          </w:p>
        </w:tc>
        <w:tc>
          <w:tcPr>
            <w:tcW w:w="283" w:type="pct"/>
            <w:shd w:val="clear" w:color="auto" w:fill="CDCDCD"/>
          </w:tcPr>
          <w:p w14:paraId="038A04FA" w14:textId="77777777" w:rsidR="004023E5" w:rsidRPr="005A74A0" w:rsidRDefault="004023E5" w:rsidP="00451F7F">
            <w:pPr>
              <w:pStyle w:val="NotesTable-CellBold"/>
            </w:pPr>
          </w:p>
        </w:tc>
        <w:tc>
          <w:tcPr>
            <w:tcW w:w="277" w:type="pct"/>
            <w:shd w:val="clear" w:color="auto" w:fill="CDCDCD"/>
          </w:tcPr>
          <w:p w14:paraId="038A04FB" w14:textId="77777777" w:rsidR="004023E5" w:rsidRPr="005A74A0" w:rsidRDefault="004023E5" w:rsidP="00451F7F">
            <w:pPr>
              <w:pStyle w:val="NotesTable-CellPlain"/>
            </w:pPr>
          </w:p>
        </w:tc>
      </w:tr>
      <w:tr w:rsidR="004023E5" w14:paraId="038A0504" w14:textId="77777777" w:rsidTr="00AF78E2">
        <w:trPr>
          <w:cantSplit/>
          <w:trHeight w:hRule="exact" w:val="227"/>
        </w:trPr>
        <w:tc>
          <w:tcPr>
            <w:tcW w:w="713" w:type="pct"/>
          </w:tcPr>
          <w:p w14:paraId="038A04FD" w14:textId="77777777" w:rsidR="004023E5" w:rsidRDefault="004023E5" w:rsidP="00D11709">
            <w:pPr>
              <w:pStyle w:val="Note-Refs"/>
            </w:pPr>
            <w:r>
              <w:t>AASB107.14b</w:t>
            </w:r>
          </w:p>
        </w:tc>
        <w:tc>
          <w:tcPr>
            <w:tcW w:w="2911" w:type="pct"/>
            <w:shd w:val="clear" w:color="auto" w:fill="CDCDCD"/>
            <w:vAlign w:val="bottom"/>
          </w:tcPr>
          <w:p w14:paraId="038A04FE" w14:textId="77777777" w:rsidR="004023E5" w:rsidRDefault="004023E5" w:rsidP="00D11709">
            <w:pPr>
              <w:pStyle w:val="NotesTable-ItemPlain"/>
              <w:rPr>
                <w:b/>
              </w:rPr>
            </w:pPr>
            <w:r>
              <w:t>Australian Government Grants</w:t>
            </w:r>
          </w:p>
        </w:tc>
        <w:tc>
          <w:tcPr>
            <w:tcW w:w="232" w:type="pct"/>
            <w:shd w:val="clear" w:color="auto" w:fill="CDCDCD"/>
          </w:tcPr>
          <w:p w14:paraId="038A04FF" w14:textId="77777777" w:rsidR="004023E5" w:rsidRPr="00451F7F" w:rsidRDefault="004023E5" w:rsidP="005D4154">
            <w:pPr>
              <w:pStyle w:val="NotesTable-Notes"/>
            </w:pPr>
            <w:r w:rsidRPr="00D54FC2">
              <w:t>3i</w:t>
            </w:r>
          </w:p>
        </w:tc>
        <w:tc>
          <w:tcPr>
            <w:tcW w:w="295" w:type="pct"/>
            <w:shd w:val="clear" w:color="auto" w:fill="CDCDCD"/>
          </w:tcPr>
          <w:p w14:paraId="038A0500" w14:textId="77777777" w:rsidR="004023E5" w:rsidRPr="005A74A0" w:rsidRDefault="004023E5" w:rsidP="00451F7F">
            <w:pPr>
              <w:pStyle w:val="NotesTable-CellBold"/>
            </w:pPr>
            <w:r w:rsidRPr="005A74A0">
              <w:t>–</w:t>
            </w:r>
          </w:p>
        </w:tc>
        <w:tc>
          <w:tcPr>
            <w:tcW w:w="289" w:type="pct"/>
            <w:shd w:val="clear" w:color="auto" w:fill="CDCDCD"/>
          </w:tcPr>
          <w:p w14:paraId="038A0501" w14:textId="77777777" w:rsidR="004023E5" w:rsidRPr="005A74A0" w:rsidRDefault="004023E5" w:rsidP="00451F7F">
            <w:pPr>
              <w:pStyle w:val="NotesTable-CellPlain"/>
            </w:pPr>
            <w:r w:rsidRPr="005A74A0">
              <w:t>–</w:t>
            </w:r>
          </w:p>
        </w:tc>
        <w:tc>
          <w:tcPr>
            <w:tcW w:w="283" w:type="pct"/>
            <w:shd w:val="clear" w:color="auto" w:fill="CDCDCD"/>
          </w:tcPr>
          <w:p w14:paraId="038A0502" w14:textId="77777777" w:rsidR="004023E5" w:rsidRPr="005A74A0" w:rsidRDefault="004023E5" w:rsidP="00451F7F">
            <w:pPr>
              <w:pStyle w:val="NotesTable-CellBold"/>
            </w:pPr>
            <w:r w:rsidRPr="005A74A0">
              <w:t>–</w:t>
            </w:r>
          </w:p>
        </w:tc>
        <w:tc>
          <w:tcPr>
            <w:tcW w:w="277" w:type="pct"/>
            <w:shd w:val="clear" w:color="auto" w:fill="CDCDCD"/>
          </w:tcPr>
          <w:p w14:paraId="038A0503" w14:textId="77777777" w:rsidR="004023E5" w:rsidRPr="005A74A0" w:rsidRDefault="004023E5" w:rsidP="00451F7F">
            <w:pPr>
              <w:pStyle w:val="NotesTable-CellPlain"/>
            </w:pPr>
            <w:r w:rsidRPr="005A74A0">
              <w:t>–</w:t>
            </w:r>
          </w:p>
        </w:tc>
      </w:tr>
      <w:tr w:rsidR="004023E5" w14:paraId="038A050C" w14:textId="77777777" w:rsidTr="00AF78E2">
        <w:trPr>
          <w:cantSplit/>
          <w:trHeight w:hRule="exact" w:val="227"/>
        </w:trPr>
        <w:tc>
          <w:tcPr>
            <w:tcW w:w="713" w:type="pct"/>
          </w:tcPr>
          <w:p w14:paraId="038A0505" w14:textId="77777777" w:rsidR="004023E5" w:rsidRDefault="004023E5" w:rsidP="00D11709">
            <w:pPr>
              <w:pStyle w:val="Note-Refs"/>
            </w:pPr>
          </w:p>
        </w:tc>
        <w:tc>
          <w:tcPr>
            <w:tcW w:w="2911" w:type="pct"/>
            <w:shd w:val="clear" w:color="auto" w:fill="CDCDCD"/>
            <w:vAlign w:val="bottom"/>
          </w:tcPr>
          <w:p w14:paraId="038A0506" w14:textId="77777777" w:rsidR="004023E5" w:rsidRDefault="004023E5" w:rsidP="00D11709">
            <w:pPr>
              <w:pStyle w:val="NotesTable-ItemPlain"/>
              <w:rPr>
                <w:b/>
              </w:rPr>
            </w:pPr>
            <w:r>
              <w:t>OS-HELP (net)</w:t>
            </w:r>
          </w:p>
        </w:tc>
        <w:tc>
          <w:tcPr>
            <w:tcW w:w="232" w:type="pct"/>
            <w:shd w:val="clear" w:color="auto" w:fill="CDCDCD"/>
          </w:tcPr>
          <w:p w14:paraId="038A0507" w14:textId="77777777" w:rsidR="004023E5" w:rsidRPr="00451F7F" w:rsidRDefault="004023E5" w:rsidP="005D4154">
            <w:pPr>
              <w:pStyle w:val="NotesTable-Notes"/>
            </w:pPr>
            <w:r w:rsidRPr="00D54FC2">
              <w:t>3i</w:t>
            </w:r>
          </w:p>
        </w:tc>
        <w:tc>
          <w:tcPr>
            <w:tcW w:w="295" w:type="pct"/>
            <w:shd w:val="clear" w:color="auto" w:fill="CDCDCD"/>
          </w:tcPr>
          <w:p w14:paraId="038A0508" w14:textId="77777777" w:rsidR="004023E5" w:rsidRPr="005A74A0" w:rsidRDefault="004023E5" w:rsidP="00451F7F">
            <w:pPr>
              <w:pStyle w:val="NotesTable-CellBold"/>
            </w:pPr>
            <w:r w:rsidRPr="005A74A0">
              <w:t>–</w:t>
            </w:r>
          </w:p>
        </w:tc>
        <w:tc>
          <w:tcPr>
            <w:tcW w:w="289" w:type="pct"/>
            <w:shd w:val="clear" w:color="auto" w:fill="CDCDCD"/>
          </w:tcPr>
          <w:p w14:paraId="038A0509" w14:textId="77777777" w:rsidR="004023E5" w:rsidRPr="005A74A0" w:rsidRDefault="004023E5" w:rsidP="00451F7F">
            <w:pPr>
              <w:pStyle w:val="NotesTable-CellPlain"/>
            </w:pPr>
            <w:r w:rsidRPr="005A74A0">
              <w:t>–</w:t>
            </w:r>
          </w:p>
        </w:tc>
        <w:tc>
          <w:tcPr>
            <w:tcW w:w="283" w:type="pct"/>
            <w:shd w:val="clear" w:color="auto" w:fill="CDCDCD"/>
          </w:tcPr>
          <w:p w14:paraId="038A050A" w14:textId="77777777" w:rsidR="004023E5" w:rsidRPr="005A74A0" w:rsidRDefault="004023E5" w:rsidP="00451F7F">
            <w:pPr>
              <w:pStyle w:val="NotesTable-CellBold"/>
            </w:pPr>
            <w:r w:rsidRPr="005A74A0">
              <w:t>–</w:t>
            </w:r>
          </w:p>
        </w:tc>
        <w:tc>
          <w:tcPr>
            <w:tcW w:w="277" w:type="pct"/>
            <w:shd w:val="clear" w:color="auto" w:fill="CDCDCD"/>
          </w:tcPr>
          <w:p w14:paraId="038A050B" w14:textId="77777777" w:rsidR="004023E5" w:rsidRPr="005A74A0" w:rsidRDefault="004023E5" w:rsidP="00451F7F">
            <w:pPr>
              <w:pStyle w:val="NotesTable-CellPlain"/>
            </w:pPr>
            <w:r w:rsidRPr="005A74A0">
              <w:t>–</w:t>
            </w:r>
          </w:p>
        </w:tc>
      </w:tr>
      <w:tr w:rsidR="004023E5" w14:paraId="038A0514" w14:textId="77777777" w:rsidTr="00AF78E2">
        <w:trPr>
          <w:cantSplit/>
          <w:trHeight w:hRule="exact" w:val="227"/>
        </w:trPr>
        <w:tc>
          <w:tcPr>
            <w:tcW w:w="713" w:type="pct"/>
          </w:tcPr>
          <w:p w14:paraId="038A050D" w14:textId="77777777" w:rsidR="004023E5" w:rsidRDefault="004023E5" w:rsidP="00D11709">
            <w:pPr>
              <w:pStyle w:val="Note-Refs"/>
            </w:pPr>
          </w:p>
        </w:tc>
        <w:tc>
          <w:tcPr>
            <w:tcW w:w="2911" w:type="pct"/>
            <w:shd w:val="clear" w:color="auto" w:fill="CDCDCD"/>
            <w:vAlign w:val="bottom"/>
          </w:tcPr>
          <w:p w14:paraId="038A050E" w14:textId="77777777" w:rsidR="004023E5" w:rsidRDefault="004023E5" w:rsidP="00D11709">
            <w:pPr>
              <w:pStyle w:val="NotesTable-ItemPlain"/>
              <w:rPr>
                <w:b/>
              </w:rPr>
            </w:pPr>
            <w:r>
              <w:t>Superannuation Supplementation</w:t>
            </w:r>
          </w:p>
        </w:tc>
        <w:tc>
          <w:tcPr>
            <w:tcW w:w="232" w:type="pct"/>
            <w:shd w:val="clear" w:color="auto" w:fill="CDCDCD"/>
          </w:tcPr>
          <w:p w14:paraId="038A050F" w14:textId="77777777" w:rsidR="004023E5" w:rsidRPr="00451F7F" w:rsidRDefault="004023E5" w:rsidP="005D4154">
            <w:pPr>
              <w:pStyle w:val="NotesTable-Notes"/>
            </w:pPr>
            <w:r w:rsidRPr="00D54FC2">
              <w:t>3i</w:t>
            </w:r>
          </w:p>
        </w:tc>
        <w:tc>
          <w:tcPr>
            <w:tcW w:w="295" w:type="pct"/>
            <w:shd w:val="clear" w:color="auto" w:fill="CDCDCD"/>
          </w:tcPr>
          <w:p w14:paraId="038A0510" w14:textId="77777777" w:rsidR="004023E5" w:rsidRPr="005A74A0" w:rsidRDefault="004023E5" w:rsidP="00451F7F">
            <w:pPr>
              <w:pStyle w:val="NotesTable-CellBold"/>
            </w:pPr>
            <w:r w:rsidRPr="005A74A0">
              <w:t>–</w:t>
            </w:r>
          </w:p>
        </w:tc>
        <w:tc>
          <w:tcPr>
            <w:tcW w:w="289" w:type="pct"/>
            <w:shd w:val="clear" w:color="auto" w:fill="CDCDCD"/>
          </w:tcPr>
          <w:p w14:paraId="038A0511" w14:textId="77777777" w:rsidR="004023E5" w:rsidRPr="005A74A0" w:rsidRDefault="004023E5" w:rsidP="00451F7F">
            <w:pPr>
              <w:pStyle w:val="NotesTable-CellPlain"/>
            </w:pPr>
            <w:r w:rsidRPr="005A74A0">
              <w:t>–</w:t>
            </w:r>
          </w:p>
        </w:tc>
        <w:tc>
          <w:tcPr>
            <w:tcW w:w="283" w:type="pct"/>
            <w:shd w:val="clear" w:color="auto" w:fill="CDCDCD"/>
          </w:tcPr>
          <w:p w14:paraId="038A0512" w14:textId="77777777" w:rsidR="004023E5" w:rsidRPr="005A74A0" w:rsidRDefault="004023E5" w:rsidP="00451F7F">
            <w:pPr>
              <w:pStyle w:val="NotesTable-CellBold"/>
            </w:pPr>
            <w:r w:rsidRPr="005A74A0">
              <w:t>–</w:t>
            </w:r>
          </w:p>
        </w:tc>
        <w:tc>
          <w:tcPr>
            <w:tcW w:w="277" w:type="pct"/>
            <w:shd w:val="clear" w:color="auto" w:fill="CDCDCD"/>
          </w:tcPr>
          <w:p w14:paraId="038A0513" w14:textId="77777777" w:rsidR="004023E5" w:rsidRPr="005A74A0" w:rsidRDefault="004023E5" w:rsidP="00451F7F">
            <w:pPr>
              <w:pStyle w:val="NotesTable-CellPlain"/>
            </w:pPr>
            <w:r w:rsidRPr="005A74A0">
              <w:t>–</w:t>
            </w:r>
          </w:p>
        </w:tc>
      </w:tr>
      <w:tr w:rsidR="004023E5" w14:paraId="038A051C" w14:textId="77777777" w:rsidTr="00AF78E2">
        <w:trPr>
          <w:cantSplit/>
          <w:trHeight w:hRule="exact" w:val="227"/>
        </w:trPr>
        <w:tc>
          <w:tcPr>
            <w:tcW w:w="713" w:type="pct"/>
          </w:tcPr>
          <w:p w14:paraId="038A0515" w14:textId="77777777" w:rsidR="004023E5" w:rsidRDefault="004023E5" w:rsidP="00D11709">
            <w:pPr>
              <w:pStyle w:val="Note-Refs"/>
            </w:pPr>
          </w:p>
        </w:tc>
        <w:tc>
          <w:tcPr>
            <w:tcW w:w="2911" w:type="pct"/>
            <w:shd w:val="clear" w:color="auto" w:fill="CDCDCD"/>
            <w:vAlign w:val="bottom"/>
          </w:tcPr>
          <w:p w14:paraId="038A0516" w14:textId="77777777" w:rsidR="004023E5" w:rsidRDefault="004023E5" w:rsidP="00D11709">
            <w:pPr>
              <w:pStyle w:val="NotesTable-ItemPlain"/>
              <w:rPr>
                <w:b/>
              </w:rPr>
            </w:pPr>
            <w:r>
              <w:t>State Government Grants</w:t>
            </w:r>
          </w:p>
        </w:tc>
        <w:tc>
          <w:tcPr>
            <w:tcW w:w="232" w:type="pct"/>
            <w:shd w:val="clear" w:color="auto" w:fill="CDCDCD"/>
          </w:tcPr>
          <w:p w14:paraId="038A0517" w14:textId="77777777" w:rsidR="004023E5" w:rsidRPr="00451F7F" w:rsidRDefault="004023E5" w:rsidP="005D4154">
            <w:pPr>
              <w:pStyle w:val="NotesTable-Notes"/>
            </w:pPr>
          </w:p>
        </w:tc>
        <w:tc>
          <w:tcPr>
            <w:tcW w:w="295" w:type="pct"/>
            <w:shd w:val="clear" w:color="auto" w:fill="CDCDCD"/>
          </w:tcPr>
          <w:p w14:paraId="038A0518" w14:textId="77777777" w:rsidR="004023E5" w:rsidRPr="005A74A0" w:rsidRDefault="004023E5" w:rsidP="00451F7F">
            <w:pPr>
              <w:pStyle w:val="NotesTable-CellBold"/>
            </w:pPr>
            <w:r w:rsidRPr="005A74A0">
              <w:t>–</w:t>
            </w:r>
          </w:p>
        </w:tc>
        <w:tc>
          <w:tcPr>
            <w:tcW w:w="289" w:type="pct"/>
            <w:shd w:val="clear" w:color="auto" w:fill="CDCDCD"/>
          </w:tcPr>
          <w:p w14:paraId="038A0519" w14:textId="77777777" w:rsidR="004023E5" w:rsidRPr="005A74A0" w:rsidRDefault="004023E5" w:rsidP="00451F7F">
            <w:pPr>
              <w:pStyle w:val="NotesTable-CellPlain"/>
            </w:pPr>
            <w:r w:rsidRPr="005A74A0">
              <w:t>–</w:t>
            </w:r>
          </w:p>
        </w:tc>
        <w:tc>
          <w:tcPr>
            <w:tcW w:w="283" w:type="pct"/>
            <w:shd w:val="clear" w:color="auto" w:fill="CDCDCD"/>
          </w:tcPr>
          <w:p w14:paraId="038A051A" w14:textId="77777777" w:rsidR="004023E5" w:rsidRPr="005A74A0" w:rsidRDefault="004023E5" w:rsidP="00451F7F">
            <w:pPr>
              <w:pStyle w:val="NotesTable-CellBold"/>
            </w:pPr>
            <w:r w:rsidRPr="005A74A0">
              <w:t>–</w:t>
            </w:r>
          </w:p>
        </w:tc>
        <w:tc>
          <w:tcPr>
            <w:tcW w:w="277" w:type="pct"/>
            <w:shd w:val="clear" w:color="auto" w:fill="CDCDCD"/>
          </w:tcPr>
          <w:p w14:paraId="038A051B" w14:textId="77777777" w:rsidR="004023E5" w:rsidRPr="005A74A0" w:rsidRDefault="004023E5" w:rsidP="00451F7F">
            <w:pPr>
              <w:pStyle w:val="NotesTable-CellPlain"/>
            </w:pPr>
            <w:r w:rsidRPr="005A74A0">
              <w:t>–</w:t>
            </w:r>
          </w:p>
        </w:tc>
      </w:tr>
      <w:tr w:rsidR="004023E5" w14:paraId="038A0524" w14:textId="77777777" w:rsidTr="00AF78E2">
        <w:trPr>
          <w:cantSplit/>
          <w:trHeight w:hRule="exact" w:val="227"/>
        </w:trPr>
        <w:tc>
          <w:tcPr>
            <w:tcW w:w="713" w:type="pct"/>
          </w:tcPr>
          <w:p w14:paraId="038A051D" w14:textId="77777777" w:rsidR="004023E5" w:rsidRDefault="004023E5" w:rsidP="00D11709">
            <w:pPr>
              <w:pStyle w:val="Note-Refs"/>
            </w:pPr>
          </w:p>
        </w:tc>
        <w:tc>
          <w:tcPr>
            <w:tcW w:w="2911" w:type="pct"/>
            <w:shd w:val="clear" w:color="auto" w:fill="CDCDCD"/>
            <w:vAlign w:val="bottom"/>
          </w:tcPr>
          <w:p w14:paraId="038A051E" w14:textId="77777777" w:rsidR="004023E5" w:rsidRDefault="004023E5" w:rsidP="00D11709">
            <w:pPr>
              <w:pStyle w:val="NotesTable-ItemPlain"/>
              <w:rPr>
                <w:b/>
              </w:rPr>
            </w:pPr>
            <w:r>
              <w:t>Local Government Grants received</w:t>
            </w:r>
          </w:p>
        </w:tc>
        <w:tc>
          <w:tcPr>
            <w:tcW w:w="232" w:type="pct"/>
            <w:shd w:val="clear" w:color="auto" w:fill="CDCDCD"/>
          </w:tcPr>
          <w:p w14:paraId="038A051F" w14:textId="77777777" w:rsidR="004023E5" w:rsidRPr="00D54FC2" w:rsidRDefault="004023E5" w:rsidP="005D4154">
            <w:pPr>
              <w:pStyle w:val="NotesTable-Notes"/>
            </w:pPr>
          </w:p>
        </w:tc>
        <w:tc>
          <w:tcPr>
            <w:tcW w:w="295" w:type="pct"/>
            <w:shd w:val="clear" w:color="auto" w:fill="CDCDCD"/>
          </w:tcPr>
          <w:p w14:paraId="038A0520" w14:textId="77777777" w:rsidR="004023E5" w:rsidRPr="005A74A0" w:rsidRDefault="004023E5" w:rsidP="00451F7F">
            <w:pPr>
              <w:pStyle w:val="NotesTable-CellBold"/>
            </w:pPr>
            <w:r w:rsidRPr="005A74A0">
              <w:t>–</w:t>
            </w:r>
          </w:p>
        </w:tc>
        <w:tc>
          <w:tcPr>
            <w:tcW w:w="289" w:type="pct"/>
            <w:shd w:val="clear" w:color="auto" w:fill="CDCDCD"/>
          </w:tcPr>
          <w:p w14:paraId="038A0521" w14:textId="77777777" w:rsidR="004023E5" w:rsidRPr="005A74A0" w:rsidRDefault="004023E5" w:rsidP="00451F7F">
            <w:pPr>
              <w:pStyle w:val="NotesTable-CellPlain"/>
            </w:pPr>
            <w:r w:rsidRPr="005A74A0">
              <w:t>–</w:t>
            </w:r>
          </w:p>
        </w:tc>
        <w:tc>
          <w:tcPr>
            <w:tcW w:w="283" w:type="pct"/>
            <w:shd w:val="clear" w:color="auto" w:fill="CDCDCD"/>
          </w:tcPr>
          <w:p w14:paraId="038A0522" w14:textId="77777777" w:rsidR="004023E5" w:rsidRPr="005A74A0" w:rsidRDefault="004023E5" w:rsidP="00451F7F">
            <w:pPr>
              <w:pStyle w:val="NotesTable-CellBold"/>
            </w:pPr>
            <w:r w:rsidRPr="005A74A0">
              <w:t>–</w:t>
            </w:r>
          </w:p>
        </w:tc>
        <w:tc>
          <w:tcPr>
            <w:tcW w:w="277" w:type="pct"/>
            <w:shd w:val="clear" w:color="auto" w:fill="CDCDCD"/>
          </w:tcPr>
          <w:p w14:paraId="038A0523" w14:textId="77777777" w:rsidR="004023E5" w:rsidRPr="005A74A0" w:rsidRDefault="004023E5" w:rsidP="00451F7F">
            <w:pPr>
              <w:pStyle w:val="NotesTable-CellPlain"/>
            </w:pPr>
            <w:r w:rsidRPr="005A74A0">
              <w:t>–</w:t>
            </w:r>
          </w:p>
        </w:tc>
      </w:tr>
      <w:tr w:rsidR="004023E5" w14:paraId="038A052C" w14:textId="77777777" w:rsidTr="00AF78E2">
        <w:trPr>
          <w:cantSplit/>
          <w:trHeight w:hRule="exact" w:val="227"/>
        </w:trPr>
        <w:tc>
          <w:tcPr>
            <w:tcW w:w="713" w:type="pct"/>
          </w:tcPr>
          <w:p w14:paraId="038A0525" w14:textId="77777777" w:rsidR="004023E5" w:rsidRDefault="004023E5" w:rsidP="00D11709">
            <w:pPr>
              <w:pStyle w:val="Note-Refs"/>
            </w:pPr>
          </w:p>
        </w:tc>
        <w:tc>
          <w:tcPr>
            <w:tcW w:w="2911" w:type="pct"/>
            <w:shd w:val="clear" w:color="auto" w:fill="CDCDCD"/>
            <w:vAlign w:val="bottom"/>
          </w:tcPr>
          <w:p w14:paraId="038A0526" w14:textId="77777777" w:rsidR="004023E5" w:rsidRDefault="004023E5" w:rsidP="00D11709">
            <w:pPr>
              <w:pStyle w:val="NotesTable-ItemPlain"/>
              <w:rPr>
                <w:b/>
              </w:rPr>
            </w:pPr>
            <w:r>
              <w:t>HECS-HELP – Student payments</w:t>
            </w:r>
          </w:p>
        </w:tc>
        <w:tc>
          <w:tcPr>
            <w:tcW w:w="232" w:type="pct"/>
            <w:shd w:val="clear" w:color="auto" w:fill="CDCDCD"/>
          </w:tcPr>
          <w:p w14:paraId="038A0527" w14:textId="77777777" w:rsidR="004023E5" w:rsidRPr="00451F7F" w:rsidRDefault="004023E5" w:rsidP="005D4154">
            <w:pPr>
              <w:pStyle w:val="NotesTable-Notes"/>
            </w:pPr>
          </w:p>
        </w:tc>
        <w:tc>
          <w:tcPr>
            <w:tcW w:w="295" w:type="pct"/>
            <w:shd w:val="clear" w:color="auto" w:fill="CDCDCD"/>
          </w:tcPr>
          <w:p w14:paraId="038A0528" w14:textId="77777777" w:rsidR="004023E5" w:rsidRPr="005A74A0" w:rsidRDefault="004023E5" w:rsidP="00451F7F">
            <w:pPr>
              <w:pStyle w:val="NotesTable-CellBold"/>
            </w:pPr>
            <w:r w:rsidRPr="005A74A0">
              <w:t>–</w:t>
            </w:r>
          </w:p>
        </w:tc>
        <w:tc>
          <w:tcPr>
            <w:tcW w:w="289" w:type="pct"/>
            <w:shd w:val="clear" w:color="auto" w:fill="CDCDCD"/>
          </w:tcPr>
          <w:p w14:paraId="038A0529" w14:textId="77777777" w:rsidR="004023E5" w:rsidRPr="005A74A0" w:rsidRDefault="004023E5" w:rsidP="00451F7F">
            <w:pPr>
              <w:pStyle w:val="NotesTable-CellPlain"/>
            </w:pPr>
            <w:r w:rsidRPr="005A74A0">
              <w:t>–</w:t>
            </w:r>
          </w:p>
        </w:tc>
        <w:tc>
          <w:tcPr>
            <w:tcW w:w="283" w:type="pct"/>
            <w:shd w:val="clear" w:color="auto" w:fill="CDCDCD"/>
          </w:tcPr>
          <w:p w14:paraId="038A052A" w14:textId="77777777" w:rsidR="004023E5" w:rsidRPr="005A74A0" w:rsidRDefault="004023E5" w:rsidP="00451F7F">
            <w:pPr>
              <w:pStyle w:val="NotesTable-CellBold"/>
            </w:pPr>
            <w:r w:rsidRPr="005A74A0">
              <w:t>–</w:t>
            </w:r>
          </w:p>
        </w:tc>
        <w:tc>
          <w:tcPr>
            <w:tcW w:w="277" w:type="pct"/>
            <w:shd w:val="clear" w:color="auto" w:fill="CDCDCD"/>
          </w:tcPr>
          <w:p w14:paraId="038A052B" w14:textId="77777777" w:rsidR="004023E5" w:rsidRPr="005A74A0" w:rsidRDefault="004023E5" w:rsidP="00451F7F">
            <w:pPr>
              <w:pStyle w:val="NotesTable-CellPlain"/>
            </w:pPr>
            <w:r w:rsidRPr="005A74A0">
              <w:t>–</w:t>
            </w:r>
          </w:p>
        </w:tc>
      </w:tr>
      <w:tr w:rsidR="004023E5" w14:paraId="038A0534" w14:textId="77777777" w:rsidTr="00AF78E2">
        <w:trPr>
          <w:cantSplit/>
          <w:trHeight w:hRule="exact" w:val="227"/>
        </w:trPr>
        <w:tc>
          <w:tcPr>
            <w:tcW w:w="713" w:type="pct"/>
          </w:tcPr>
          <w:p w14:paraId="038A052D" w14:textId="77777777" w:rsidR="004023E5" w:rsidRDefault="004023E5" w:rsidP="00D11709">
            <w:pPr>
              <w:pStyle w:val="Note-Refs"/>
              <w:rPr>
                <w:b/>
              </w:rPr>
            </w:pPr>
            <w:r>
              <w:t>AASB107.14a</w:t>
            </w:r>
          </w:p>
        </w:tc>
        <w:tc>
          <w:tcPr>
            <w:tcW w:w="2911" w:type="pct"/>
            <w:shd w:val="clear" w:color="auto" w:fill="CDCDCD"/>
            <w:vAlign w:val="bottom"/>
          </w:tcPr>
          <w:p w14:paraId="038A052E" w14:textId="77777777" w:rsidR="004023E5" w:rsidRDefault="004023E5" w:rsidP="00D11709">
            <w:pPr>
              <w:pStyle w:val="NotesTable-ItemPlain"/>
              <w:rPr>
                <w:b/>
              </w:rPr>
            </w:pPr>
            <w:r>
              <w:t>Receipts from student fees and other customers</w:t>
            </w:r>
          </w:p>
        </w:tc>
        <w:tc>
          <w:tcPr>
            <w:tcW w:w="232" w:type="pct"/>
            <w:shd w:val="clear" w:color="auto" w:fill="CDCDCD"/>
          </w:tcPr>
          <w:p w14:paraId="038A052F" w14:textId="77777777" w:rsidR="004023E5" w:rsidRPr="00451F7F" w:rsidRDefault="004023E5" w:rsidP="005D4154">
            <w:pPr>
              <w:pStyle w:val="NotesTable-Notes"/>
            </w:pPr>
          </w:p>
        </w:tc>
        <w:tc>
          <w:tcPr>
            <w:tcW w:w="295" w:type="pct"/>
            <w:shd w:val="clear" w:color="auto" w:fill="CDCDCD"/>
          </w:tcPr>
          <w:p w14:paraId="038A0530" w14:textId="77777777" w:rsidR="004023E5" w:rsidRPr="005A74A0" w:rsidRDefault="004023E5" w:rsidP="00451F7F">
            <w:pPr>
              <w:pStyle w:val="NotesTable-CellBold"/>
            </w:pPr>
            <w:r w:rsidRPr="005A74A0">
              <w:t>–</w:t>
            </w:r>
          </w:p>
        </w:tc>
        <w:tc>
          <w:tcPr>
            <w:tcW w:w="289" w:type="pct"/>
            <w:shd w:val="clear" w:color="auto" w:fill="CDCDCD"/>
          </w:tcPr>
          <w:p w14:paraId="038A0531" w14:textId="77777777" w:rsidR="004023E5" w:rsidRPr="005A74A0" w:rsidRDefault="004023E5" w:rsidP="00451F7F">
            <w:pPr>
              <w:pStyle w:val="NotesTable-CellPlain"/>
            </w:pPr>
            <w:r w:rsidRPr="005A74A0">
              <w:t>–</w:t>
            </w:r>
          </w:p>
        </w:tc>
        <w:tc>
          <w:tcPr>
            <w:tcW w:w="283" w:type="pct"/>
            <w:shd w:val="clear" w:color="auto" w:fill="CDCDCD"/>
          </w:tcPr>
          <w:p w14:paraId="038A0532" w14:textId="77777777" w:rsidR="004023E5" w:rsidRPr="005A74A0" w:rsidRDefault="004023E5" w:rsidP="00451F7F">
            <w:pPr>
              <w:pStyle w:val="NotesTable-CellBold"/>
            </w:pPr>
            <w:r w:rsidRPr="005A74A0">
              <w:t>–</w:t>
            </w:r>
          </w:p>
        </w:tc>
        <w:tc>
          <w:tcPr>
            <w:tcW w:w="277" w:type="pct"/>
            <w:shd w:val="clear" w:color="auto" w:fill="CDCDCD"/>
          </w:tcPr>
          <w:p w14:paraId="038A0533" w14:textId="77777777" w:rsidR="004023E5" w:rsidRPr="005A74A0" w:rsidRDefault="004023E5" w:rsidP="00451F7F">
            <w:pPr>
              <w:pStyle w:val="NotesTable-CellPlain"/>
            </w:pPr>
            <w:r w:rsidRPr="005A74A0">
              <w:t>–</w:t>
            </w:r>
          </w:p>
        </w:tc>
      </w:tr>
      <w:tr w:rsidR="004023E5" w14:paraId="038A053C" w14:textId="77777777" w:rsidTr="00AF78E2">
        <w:trPr>
          <w:cantSplit/>
          <w:trHeight w:hRule="exact" w:val="227"/>
        </w:trPr>
        <w:tc>
          <w:tcPr>
            <w:tcW w:w="713" w:type="pct"/>
          </w:tcPr>
          <w:p w14:paraId="038A0535" w14:textId="77777777" w:rsidR="004023E5" w:rsidRDefault="004023E5" w:rsidP="00D11709">
            <w:pPr>
              <w:pStyle w:val="Note-Refs"/>
              <w:rPr>
                <w:b/>
              </w:rPr>
            </w:pPr>
            <w:r>
              <w:t>AASB107.31,33</w:t>
            </w:r>
          </w:p>
        </w:tc>
        <w:tc>
          <w:tcPr>
            <w:tcW w:w="2911" w:type="pct"/>
            <w:shd w:val="clear" w:color="auto" w:fill="CDCDCD"/>
            <w:vAlign w:val="bottom"/>
          </w:tcPr>
          <w:p w14:paraId="038A0536" w14:textId="77777777" w:rsidR="004023E5" w:rsidRDefault="004023E5" w:rsidP="00D11709">
            <w:pPr>
              <w:pStyle w:val="NotesTable-ItemPlain"/>
              <w:rPr>
                <w:b/>
              </w:rPr>
            </w:pPr>
            <w:r>
              <w:t>Dividends received</w:t>
            </w:r>
          </w:p>
        </w:tc>
        <w:tc>
          <w:tcPr>
            <w:tcW w:w="232" w:type="pct"/>
            <w:shd w:val="clear" w:color="auto" w:fill="CDCDCD"/>
          </w:tcPr>
          <w:p w14:paraId="038A0537" w14:textId="77777777" w:rsidR="004023E5" w:rsidRPr="00451F7F" w:rsidRDefault="004023E5" w:rsidP="005D4154">
            <w:pPr>
              <w:pStyle w:val="NotesTable-Notes"/>
            </w:pPr>
          </w:p>
        </w:tc>
        <w:tc>
          <w:tcPr>
            <w:tcW w:w="295" w:type="pct"/>
            <w:shd w:val="clear" w:color="auto" w:fill="CDCDCD"/>
          </w:tcPr>
          <w:p w14:paraId="038A0538" w14:textId="77777777" w:rsidR="004023E5" w:rsidRPr="005A74A0" w:rsidRDefault="004023E5" w:rsidP="00451F7F">
            <w:pPr>
              <w:pStyle w:val="NotesTable-CellBold"/>
            </w:pPr>
            <w:r w:rsidRPr="005A74A0">
              <w:t>–</w:t>
            </w:r>
          </w:p>
        </w:tc>
        <w:tc>
          <w:tcPr>
            <w:tcW w:w="289" w:type="pct"/>
            <w:shd w:val="clear" w:color="auto" w:fill="CDCDCD"/>
          </w:tcPr>
          <w:p w14:paraId="038A0539" w14:textId="77777777" w:rsidR="004023E5" w:rsidRPr="005A74A0" w:rsidRDefault="004023E5" w:rsidP="00451F7F">
            <w:pPr>
              <w:pStyle w:val="NotesTable-CellPlain"/>
            </w:pPr>
            <w:r w:rsidRPr="005A74A0">
              <w:t>–</w:t>
            </w:r>
          </w:p>
        </w:tc>
        <w:tc>
          <w:tcPr>
            <w:tcW w:w="283" w:type="pct"/>
            <w:shd w:val="clear" w:color="auto" w:fill="CDCDCD"/>
          </w:tcPr>
          <w:p w14:paraId="038A053A" w14:textId="77777777" w:rsidR="004023E5" w:rsidRPr="005A74A0" w:rsidRDefault="004023E5" w:rsidP="00451F7F">
            <w:pPr>
              <w:pStyle w:val="NotesTable-CellBold"/>
            </w:pPr>
            <w:r w:rsidRPr="005A74A0">
              <w:t>–</w:t>
            </w:r>
          </w:p>
        </w:tc>
        <w:tc>
          <w:tcPr>
            <w:tcW w:w="277" w:type="pct"/>
            <w:shd w:val="clear" w:color="auto" w:fill="CDCDCD"/>
          </w:tcPr>
          <w:p w14:paraId="038A053B" w14:textId="77777777" w:rsidR="004023E5" w:rsidRPr="005A74A0" w:rsidRDefault="004023E5" w:rsidP="00451F7F">
            <w:pPr>
              <w:pStyle w:val="NotesTable-CellPlain"/>
            </w:pPr>
            <w:r w:rsidRPr="005A74A0">
              <w:t>–</w:t>
            </w:r>
          </w:p>
        </w:tc>
      </w:tr>
      <w:tr w:rsidR="004023E5" w14:paraId="038A0544" w14:textId="77777777" w:rsidTr="00AF78E2">
        <w:trPr>
          <w:cantSplit/>
          <w:trHeight w:hRule="exact" w:val="227"/>
        </w:trPr>
        <w:tc>
          <w:tcPr>
            <w:tcW w:w="713" w:type="pct"/>
          </w:tcPr>
          <w:p w14:paraId="038A053D" w14:textId="77777777" w:rsidR="004023E5" w:rsidRDefault="004023E5" w:rsidP="00D11709">
            <w:pPr>
              <w:pStyle w:val="Note-Refs"/>
              <w:rPr>
                <w:b/>
              </w:rPr>
            </w:pPr>
            <w:r>
              <w:t>AASB107.31,33</w:t>
            </w:r>
          </w:p>
        </w:tc>
        <w:tc>
          <w:tcPr>
            <w:tcW w:w="2911" w:type="pct"/>
            <w:shd w:val="clear" w:color="auto" w:fill="CDCDCD"/>
            <w:vAlign w:val="bottom"/>
          </w:tcPr>
          <w:p w14:paraId="038A053E" w14:textId="77777777" w:rsidR="004023E5" w:rsidRDefault="004023E5" w:rsidP="00D11709">
            <w:pPr>
              <w:pStyle w:val="NotesTable-ItemPlain"/>
              <w:rPr>
                <w:b/>
              </w:rPr>
            </w:pPr>
            <w:r>
              <w:t>Interest received</w:t>
            </w:r>
          </w:p>
        </w:tc>
        <w:tc>
          <w:tcPr>
            <w:tcW w:w="232" w:type="pct"/>
            <w:shd w:val="clear" w:color="auto" w:fill="CDCDCD"/>
          </w:tcPr>
          <w:p w14:paraId="038A053F" w14:textId="77777777" w:rsidR="004023E5" w:rsidRPr="00451F7F" w:rsidRDefault="004023E5" w:rsidP="005D4154">
            <w:pPr>
              <w:pStyle w:val="NotesTable-Notes"/>
            </w:pPr>
          </w:p>
        </w:tc>
        <w:tc>
          <w:tcPr>
            <w:tcW w:w="295" w:type="pct"/>
            <w:shd w:val="clear" w:color="auto" w:fill="CDCDCD"/>
          </w:tcPr>
          <w:p w14:paraId="038A0540" w14:textId="77777777" w:rsidR="004023E5" w:rsidRPr="005A74A0" w:rsidRDefault="004023E5" w:rsidP="00451F7F">
            <w:pPr>
              <w:pStyle w:val="NotesTable-CellBold"/>
            </w:pPr>
            <w:r w:rsidRPr="005A74A0">
              <w:t>–</w:t>
            </w:r>
          </w:p>
        </w:tc>
        <w:tc>
          <w:tcPr>
            <w:tcW w:w="289" w:type="pct"/>
            <w:shd w:val="clear" w:color="auto" w:fill="CDCDCD"/>
          </w:tcPr>
          <w:p w14:paraId="038A0541" w14:textId="77777777" w:rsidR="004023E5" w:rsidRPr="005A74A0" w:rsidRDefault="004023E5" w:rsidP="00451F7F">
            <w:pPr>
              <w:pStyle w:val="NotesTable-CellPlain"/>
            </w:pPr>
            <w:r w:rsidRPr="005A74A0">
              <w:t>–</w:t>
            </w:r>
          </w:p>
        </w:tc>
        <w:tc>
          <w:tcPr>
            <w:tcW w:w="283" w:type="pct"/>
            <w:shd w:val="clear" w:color="auto" w:fill="CDCDCD"/>
          </w:tcPr>
          <w:p w14:paraId="038A0542" w14:textId="77777777" w:rsidR="004023E5" w:rsidRPr="005A74A0" w:rsidRDefault="004023E5" w:rsidP="00451F7F">
            <w:pPr>
              <w:pStyle w:val="NotesTable-CellBold"/>
            </w:pPr>
            <w:r w:rsidRPr="005A74A0">
              <w:t>–</w:t>
            </w:r>
          </w:p>
        </w:tc>
        <w:tc>
          <w:tcPr>
            <w:tcW w:w="277" w:type="pct"/>
            <w:shd w:val="clear" w:color="auto" w:fill="CDCDCD"/>
          </w:tcPr>
          <w:p w14:paraId="038A0543" w14:textId="77777777" w:rsidR="004023E5" w:rsidRPr="005A74A0" w:rsidRDefault="004023E5" w:rsidP="00451F7F">
            <w:pPr>
              <w:pStyle w:val="NotesTable-CellPlain"/>
            </w:pPr>
            <w:r w:rsidRPr="005A74A0">
              <w:t>–</w:t>
            </w:r>
          </w:p>
        </w:tc>
      </w:tr>
      <w:tr w:rsidR="004023E5" w14:paraId="038A054C" w14:textId="77777777" w:rsidTr="00AF78E2">
        <w:trPr>
          <w:cantSplit/>
          <w:trHeight w:hRule="exact" w:val="227"/>
        </w:trPr>
        <w:tc>
          <w:tcPr>
            <w:tcW w:w="713" w:type="pct"/>
          </w:tcPr>
          <w:p w14:paraId="038A0545" w14:textId="77777777" w:rsidR="004023E5" w:rsidRDefault="004023E5" w:rsidP="00D11709">
            <w:pPr>
              <w:pStyle w:val="Note-Refs"/>
              <w:rPr>
                <w:b/>
              </w:rPr>
            </w:pPr>
            <w:r>
              <w:t>AASB107.14c,d</w:t>
            </w:r>
          </w:p>
        </w:tc>
        <w:tc>
          <w:tcPr>
            <w:tcW w:w="2911" w:type="pct"/>
            <w:shd w:val="clear" w:color="auto" w:fill="CDCDCD"/>
            <w:vAlign w:val="bottom"/>
          </w:tcPr>
          <w:p w14:paraId="038A0546" w14:textId="77777777" w:rsidR="004023E5" w:rsidRDefault="004023E5" w:rsidP="00D11709">
            <w:pPr>
              <w:pStyle w:val="NotesTable-ItemPlain"/>
              <w:rPr>
                <w:b/>
              </w:rPr>
            </w:pPr>
            <w:r>
              <w:t>Payments to suppliers and employees (inclusive of GST)</w:t>
            </w:r>
          </w:p>
        </w:tc>
        <w:tc>
          <w:tcPr>
            <w:tcW w:w="232" w:type="pct"/>
            <w:shd w:val="clear" w:color="auto" w:fill="CDCDCD"/>
          </w:tcPr>
          <w:p w14:paraId="038A0547" w14:textId="77777777" w:rsidR="004023E5" w:rsidRPr="00451F7F" w:rsidRDefault="004023E5" w:rsidP="005D4154">
            <w:pPr>
              <w:pStyle w:val="NotesTable-Notes"/>
            </w:pPr>
          </w:p>
        </w:tc>
        <w:tc>
          <w:tcPr>
            <w:tcW w:w="295" w:type="pct"/>
            <w:shd w:val="clear" w:color="auto" w:fill="CDCDCD"/>
          </w:tcPr>
          <w:p w14:paraId="038A0548" w14:textId="77777777" w:rsidR="004023E5" w:rsidRPr="005A74A0" w:rsidRDefault="004023E5" w:rsidP="00451F7F">
            <w:pPr>
              <w:pStyle w:val="NotesTable-CellBold"/>
            </w:pPr>
            <w:r w:rsidRPr="005A74A0">
              <w:t>–</w:t>
            </w:r>
          </w:p>
        </w:tc>
        <w:tc>
          <w:tcPr>
            <w:tcW w:w="289" w:type="pct"/>
            <w:shd w:val="clear" w:color="auto" w:fill="CDCDCD"/>
          </w:tcPr>
          <w:p w14:paraId="038A0549" w14:textId="77777777" w:rsidR="004023E5" w:rsidRPr="005A74A0" w:rsidRDefault="004023E5" w:rsidP="00451F7F">
            <w:pPr>
              <w:pStyle w:val="NotesTable-CellPlain"/>
            </w:pPr>
            <w:r w:rsidRPr="005A74A0">
              <w:t>–</w:t>
            </w:r>
          </w:p>
        </w:tc>
        <w:tc>
          <w:tcPr>
            <w:tcW w:w="283" w:type="pct"/>
            <w:shd w:val="clear" w:color="auto" w:fill="CDCDCD"/>
          </w:tcPr>
          <w:p w14:paraId="038A054A" w14:textId="77777777" w:rsidR="004023E5" w:rsidRPr="005A74A0" w:rsidRDefault="004023E5" w:rsidP="00451F7F">
            <w:pPr>
              <w:pStyle w:val="NotesTable-CellBold"/>
            </w:pPr>
            <w:r w:rsidRPr="005A74A0">
              <w:t>–</w:t>
            </w:r>
          </w:p>
        </w:tc>
        <w:tc>
          <w:tcPr>
            <w:tcW w:w="277" w:type="pct"/>
            <w:shd w:val="clear" w:color="auto" w:fill="CDCDCD"/>
          </w:tcPr>
          <w:p w14:paraId="038A054B" w14:textId="77777777" w:rsidR="004023E5" w:rsidRPr="005A74A0" w:rsidRDefault="004023E5" w:rsidP="00451F7F">
            <w:pPr>
              <w:pStyle w:val="NotesTable-CellPlain"/>
            </w:pPr>
            <w:r w:rsidRPr="005A74A0">
              <w:t>–</w:t>
            </w:r>
          </w:p>
        </w:tc>
      </w:tr>
      <w:tr w:rsidR="004023E5" w14:paraId="038A0554" w14:textId="77777777" w:rsidTr="00AF78E2">
        <w:trPr>
          <w:cantSplit/>
          <w:trHeight w:hRule="exact" w:val="227"/>
        </w:trPr>
        <w:tc>
          <w:tcPr>
            <w:tcW w:w="713" w:type="pct"/>
          </w:tcPr>
          <w:p w14:paraId="038A054D" w14:textId="77777777" w:rsidR="004023E5" w:rsidRDefault="004023E5" w:rsidP="00D11709">
            <w:pPr>
              <w:pStyle w:val="Note-Refs"/>
              <w:rPr>
                <w:b/>
              </w:rPr>
            </w:pPr>
            <w:r>
              <w:t>AASB107.31-33</w:t>
            </w:r>
          </w:p>
        </w:tc>
        <w:tc>
          <w:tcPr>
            <w:tcW w:w="2911" w:type="pct"/>
            <w:shd w:val="clear" w:color="auto" w:fill="CDCDCD"/>
            <w:vAlign w:val="bottom"/>
          </w:tcPr>
          <w:p w14:paraId="038A054E" w14:textId="77777777" w:rsidR="004023E5" w:rsidRDefault="004023E5" w:rsidP="00D11709">
            <w:pPr>
              <w:pStyle w:val="NotesTable-ItemPlain"/>
              <w:rPr>
                <w:b/>
              </w:rPr>
            </w:pPr>
            <w:r>
              <w:t>Interest and other costs of finance</w:t>
            </w:r>
          </w:p>
        </w:tc>
        <w:tc>
          <w:tcPr>
            <w:tcW w:w="232" w:type="pct"/>
            <w:shd w:val="clear" w:color="auto" w:fill="CDCDCD"/>
          </w:tcPr>
          <w:p w14:paraId="038A054F" w14:textId="77777777" w:rsidR="004023E5" w:rsidRPr="00451F7F" w:rsidRDefault="004023E5" w:rsidP="005D4154">
            <w:pPr>
              <w:pStyle w:val="NotesTable-Notes"/>
            </w:pPr>
          </w:p>
        </w:tc>
        <w:tc>
          <w:tcPr>
            <w:tcW w:w="295" w:type="pct"/>
            <w:shd w:val="clear" w:color="auto" w:fill="CDCDCD"/>
          </w:tcPr>
          <w:p w14:paraId="038A0550" w14:textId="77777777" w:rsidR="004023E5" w:rsidRPr="005A74A0" w:rsidRDefault="004023E5" w:rsidP="00451F7F">
            <w:pPr>
              <w:pStyle w:val="NotesTable-CellBold"/>
            </w:pPr>
            <w:r w:rsidRPr="005A74A0">
              <w:t>–</w:t>
            </w:r>
          </w:p>
        </w:tc>
        <w:tc>
          <w:tcPr>
            <w:tcW w:w="289" w:type="pct"/>
            <w:shd w:val="clear" w:color="auto" w:fill="CDCDCD"/>
          </w:tcPr>
          <w:p w14:paraId="038A0551" w14:textId="77777777" w:rsidR="004023E5" w:rsidRPr="005A74A0" w:rsidRDefault="004023E5" w:rsidP="00451F7F">
            <w:pPr>
              <w:pStyle w:val="NotesTable-CellPlain"/>
            </w:pPr>
            <w:r w:rsidRPr="005A74A0">
              <w:t>–</w:t>
            </w:r>
          </w:p>
        </w:tc>
        <w:tc>
          <w:tcPr>
            <w:tcW w:w="283" w:type="pct"/>
            <w:shd w:val="clear" w:color="auto" w:fill="CDCDCD"/>
          </w:tcPr>
          <w:p w14:paraId="038A0552" w14:textId="77777777" w:rsidR="004023E5" w:rsidRPr="005A74A0" w:rsidRDefault="004023E5" w:rsidP="00451F7F">
            <w:pPr>
              <w:pStyle w:val="NotesTable-CellBold"/>
            </w:pPr>
            <w:r w:rsidRPr="005A74A0">
              <w:t>–</w:t>
            </w:r>
          </w:p>
        </w:tc>
        <w:tc>
          <w:tcPr>
            <w:tcW w:w="277" w:type="pct"/>
            <w:shd w:val="clear" w:color="auto" w:fill="CDCDCD"/>
          </w:tcPr>
          <w:p w14:paraId="038A0553" w14:textId="77777777" w:rsidR="004023E5" w:rsidRPr="005A74A0" w:rsidRDefault="004023E5" w:rsidP="00451F7F">
            <w:pPr>
              <w:pStyle w:val="NotesTable-CellPlain"/>
            </w:pPr>
            <w:r w:rsidRPr="005A74A0">
              <w:t>–</w:t>
            </w:r>
          </w:p>
        </w:tc>
      </w:tr>
      <w:tr w:rsidR="004023E5" w14:paraId="038A055C" w14:textId="77777777" w:rsidTr="00AF78E2">
        <w:trPr>
          <w:cantSplit/>
          <w:trHeight w:hRule="exact" w:val="227"/>
        </w:trPr>
        <w:tc>
          <w:tcPr>
            <w:tcW w:w="713" w:type="pct"/>
          </w:tcPr>
          <w:p w14:paraId="038A0555" w14:textId="3A6DD21A" w:rsidR="004023E5" w:rsidRDefault="00BA5173" w:rsidP="00D11709">
            <w:pPr>
              <w:pStyle w:val="Note-Refs"/>
            </w:pPr>
            <w:r>
              <w:t>EDUCATION</w:t>
            </w:r>
          </w:p>
        </w:tc>
        <w:tc>
          <w:tcPr>
            <w:tcW w:w="2911" w:type="pct"/>
            <w:shd w:val="clear" w:color="auto" w:fill="CDCDCD"/>
            <w:vAlign w:val="bottom"/>
          </w:tcPr>
          <w:p w14:paraId="038A0556" w14:textId="77777777" w:rsidR="004023E5" w:rsidRDefault="004023E5" w:rsidP="00D11709">
            <w:pPr>
              <w:pStyle w:val="NotesTable-ItemPlain"/>
              <w:rPr>
                <w:b/>
              </w:rPr>
            </w:pPr>
            <w:r>
              <w:t>GST recovered/paid</w:t>
            </w:r>
          </w:p>
        </w:tc>
        <w:tc>
          <w:tcPr>
            <w:tcW w:w="232" w:type="pct"/>
            <w:shd w:val="clear" w:color="auto" w:fill="CDCDCD"/>
          </w:tcPr>
          <w:p w14:paraId="038A0557" w14:textId="77777777" w:rsidR="004023E5" w:rsidRPr="00451F7F" w:rsidRDefault="004023E5" w:rsidP="005D4154">
            <w:pPr>
              <w:pStyle w:val="NotesTable-Notes"/>
            </w:pPr>
          </w:p>
        </w:tc>
        <w:tc>
          <w:tcPr>
            <w:tcW w:w="295" w:type="pct"/>
            <w:shd w:val="clear" w:color="auto" w:fill="CDCDCD"/>
          </w:tcPr>
          <w:p w14:paraId="038A0558" w14:textId="77777777" w:rsidR="004023E5" w:rsidRPr="005A74A0" w:rsidRDefault="004023E5" w:rsidP="00451F7F">
            <w:pPr>
              <w:pStyle w:val="NotesTable-CellBold"/>
            </w:pPr>
            <w:r w:rsidRPr="005A74A0">
              <w:t>–</w:t>
            </w:r>
          </w:p>
        </w:tc>
        <w:tc>
          <w:tcPr>
            <w:tcW w:w="289" w:type="pct"/>
            <w:shd w:val="clear" w:color="auto" w:fill="CDCDCD"/>
          </w:tcPr>
          <w:p w14:paraId="038A0559" w14:textId="77777777" w:rsidR="004023E5" w:rsidRPr="005A74A0" w:rsidRDefault="004023E5" w:rsidP="00451F7F">
            <w:pPr>
              <w:pStyle w:val="NotesTable-CellPlain"/>
            </w:pPr>
            <w:r w:rsidRPr="005A74A0">
              <w:t>–</w:t>
            </w:r>
          </w:p>
        </w:tc>
        <w:tc>
          <w:tcPr>
            <w:tcW w:w="283" w:type="pct"/>
            <w:shd w:val="clear" w:color="auto" w:fill="CDCDCD"/>
          </w:tcPr>
          <w:p w14:paraId="038A055A" w14:textId="77777777" w:rsidR="004023E5" w:rsidRPr="005A74A0" w:rsidRDefault="004023E5" w:rsidP="00451F7F">
            <w:pPr>
              <w:pStyle w:val="NotesTable-CellBold"/>
            </w:pPr>
            <w:r w:rsidRPr="005A74A0">
              <w:t>–</w:t>
            </w:r>
          </w:p>
        </w:tc>
        <w:tc>
          <w:tcPr>
            <w:tcW w:w="277" w:type="pct"/>
            <w:shd w:val="clear" w:color="auto" w:fill="CDCDCD"/>
          </w:tcPr>
          <w:p w14:paraId="038A055B" w14:textId="77777777" w:rsidR="004023E5" w:rsidRPr="005A74A0" w:rsidRDefault="004023E5" w:rsidP="00451F7F">
            <w:pPr>
              <w:pStyle w:val="NotesTable-CellPlain"/>
            </w:pPr>
            <w:r w:rsidRPr="005A74A0">
              <w:t>–</w:t>
            </w:r>
          </w:p>
        </w:tc>
      </w:tr>
      <w:tr w:rsidR="004023E5" w14:paraId="038A0564" w14:textId="77777777" w:rsidTr="00AF78E2">
        <w:trPr>
          <w:cantSplit/>
          <w:trHeight w:hRule="exact" w:val="227"/>
        </w:trPr>
        <w:tc>
          <w:tcPr>
            <w:tcW w:w="713" w:type="pct"/>
          </w:tcPr>
          <w:p w14:paraId="038A055D" w14:textId="77777777" w:rsidR="004023E5" w:rsidRDefault="004023E5" w:rsidP="00D11709">
            <w:pPr>
              <w:pStyle w:val="Note-Refs"/>
              <w:rPr>
                <w:b/>
              </w:rPr>
            </w:pPr>
            <w:r>
              <w:t>AASB107.14f,35,36</w:t>
            </w:r>
          </w:p>
        </w:tc>
        <w:tc>
          <w:tcPr>
            <w:tcW w:w="2911" w:type="pct"/>
            <w:shd w:val="clear" w:color="auto" w:fill="CDCDCD"/>
            <w:vAlign w:val="bottom"/>
          </w:tcPr>
          <w:p w14:paraId="038A055E" w14:textId="77777777" w:rsidR="004023E5" w:rsidRDefault="004023E5" w:rsidP="00D11709">
            <w:pPr>
              <w:pStyle w:val="NotesTable-ItemPlain"/>
              <w:rPr>
                <w:b/>
              </w:rPr>
            </w:pPr>
            <w:r>
              <w:t>Income taxes paid</w:t>
            </w:r>
          </w:p>
        </w:tc>
        <w:tc>
          <w:tcPr>
            <w:tcW w:w="232" w:type="pct"/>
            <w:shd w:val="clear" w:color="auto" w:fill="CDCDCD"/>
          </w:tcPr>
          <w:p w14:paraId="038A055F" w14:textId="77777777" w:rsidR="004023E5" w:rsidRPr="00D54FC2" w:rsidRDefault="004023E5" w:rsidP="005D4154">
            <w:pPr>
              <w:pStyle w:val="NotesTable-Notes"/>
            </w:pPr>
          </w:p>
        </w:tc>
        <w:tc>
          <w:tcPr>
            <w:tcW w:w="295" w:type="pct"/>
            <w:shd w:val="clear" w:color="auto" w:fill="CDCDCD"/>
          </w:tcPr>
          <w:p w14:paraId="038A0560" w14:textId="77777777" w:rsidR="004023E5" w:rsidRPr="005A74A0" w:rsidRDefault="004023E5" w:rsidP="00451F7F">
            <w:pPr>
              <w:pStyle w:val="NotesTable-CellBold"/>
            </w:pPr>
            <w:r w:rsidRPr="005A74A0">
              <w:t>–</w:t>
            </w:r>
          </w:p>
        </w:tc>
        <w:tc>
          <w:tcPr>
            <w:tcW w:w="289" w:type="pct"/>
            <w:shd w:val="clear" w:color="auto" w:fill="CDCDCD"/>
          </w:tcPr>
          <w:p w14:paraId="038A0561" w14:textId="77777777" w:rsidR="004023E5" w:rsidRPr="005A74A0" w:rsidRDefault="004023E5" w:rsidP="00451F7F">
            <w:pPr>
              <w:pStyle w:val="NotesTable-CellPlain"/>
            </w:pPr>
            <w:r w:rsidRPr="005A74A0">
              <w:t>–</w:t>
            </w:r>
          </w:p>
        </w:tc>
        <w:tc>
          <w:tcPr>
            <w:tcW w:w="283" w:type="pct"/>
            <w:shd w:val="clear" w:color="auto" w:fill="CDCDCD"/>
          </w:tcPr>
          <w:p w14:paraId="038A0562" w14:textId="77777777" w:rsidR="004023E5" w:rsidRPr="005A74A0" w:rsidRDefault="004023E5" w:rsidP="00451F7F">
            <w:pPr>
              <w:pStyle w:val="NotesTable-CellBold"/>
            </w:pPr>
            <w:r w:rsidRPr="005A74A0">
              <w:t>–</w:t>
            </w:r>
          </w:p>
        </w:tc>
        <w:tc>
          <w:tcPr>
            <w:tcW w:w="277" w:type="pct"/>
            <w:shd w:val="clear" w:color="auto" w:fill="CDCDCD"/>
          </w:tcPr>
          <w:p w14:paraId="038A0563" w14:textId="77777777" w:rsidR="004023E5" w:rsidRPr="005A74A0" w:rsidRDefault="004023E5" w:rsidP="00451F7F">
            <w:pPr>
              <w:pStyle w:val="NotesTable-CellPlain"/>
            </w:pPr>
            <w:r w:rsidRPr="005A74A0">
              <w:t>–</w:t>
            </w:r>
          </w:p>
        </w:tc>
      </w:tr>
      <w:tr w:rsidR="004023E5" w14:paraId="038A056C" w14:textId="77777777" w:rsidTr="00AF78E2">
        <w:trPr>
          <w:cantSplit/>
          <w:trHeight w:hRule="exact" w:val="227"/>
        </w:trPr>
        <w:tc>
          <w:tcPr>
            <w:tcW w:w="713" w:type="pct"/>
          </w:tcPr>
          <w:p w14:paraId="038A0565" w14:textId="77777777" w:rsidR="004023E5" w:rsidRDefault="004023E5" w:rsidP="00D11709">
            <w:pPr>
              <w:pStyle w:val="Note-Refs"/>
            </w:pPr>
          </w:p>
        </w:tc>
        <w:tc>
          <w:tcPr>
            <w:tcW w:w="2911" w:type="pct"/>
            <w:shd w:val="clear" w:color="auto" w:fill="CDCDCD"/>
            <w:vAlign w:val="bottom"/>
          </w:tcPr>
          <w:p w14:paraId="038A0566" w14:textId="77777777" w:rsidR="004023E5" w:rsidRDefault="004023E5">
            <w:pPr>
              <w:pStyle w:val="Statement-ItemBold"/>
            </w:pPr>
            <w:r>
              <w:t>Net cash provided by / (used in) operating activities</w:t>
            </w:r>
          </w:p>
        </w:tc>
        <w:tc>
          <w:tcPr>
            <w:tcW w:w="232" w:type="pct"/>
            <w:shd w:val="clear" w:color="auto" w:fill="CDCDCD"/>
          </w:tcPr>
          <w:p w14:paraId="038A0567" w14:textId="77777777" w:rsidR="004023E5" w:rsidRPr="00451F7F" w:rsidRDefault="004023E5" w:rsidP="005D4154">
            <w:pPr>
              <w:pStyle w:val="NotesTable-Notes"/>
            </w:pPr>
            <w:r w:rsidRPr="00D54FC2">
              <w:t>48</w:t>
            </w:r>
          </w:p>
        </w:tc>
        <w:tc>
          <w:tcPr>
            <w:tcW w:w="295" w:type="pct"/>
            <w:tcBorders>
              <w:top w:val="single" w:sz="4" w:space="0" w:color="000000"/>
            </w:tcBorders>
            <w:shd w:val="clear" w:color="auto" w:fill="CDCDCD"/>
          </w:tcPr>
          <w:p w14:paraId="038A0568" w14:textId="77777777" w:rsidR="004023E5" w:rsidRPr="005A74A0" w:rsidRDefault="004023E5" w:rsidP="00451F7F">
            <w:pPr>
              <w:pStyle w:val="NotesTable-CellBold"/>
            </w:pPr>
            <w:r w:rsidRPr="005A74A0">
              <w:t>–</w:t>
            </w:r>
          </w:p>
        </w:tc>
        <w:tc>
          <w:tcPr>
            <w:tcW w:w="289" w:type="pct"/>
            <w:tcBorders>
              <w:top w:val="single" w:sz="4" w:space="0" w:color="000000"/>
            </w:tcBorders>
            <w:shd w:val="clear" w:color="auto" w:fill="CDCDCD"/>
          </w:tcPr>
          <w:p w14:paraId="038A0569" w14:textId="77777777" w:rsidR="004023E5" w:rsidRPr="005A74A0" w:rsidRDefault="004023E5" w:rsidP="00451F7F">
            <w:pPr>
              <w:pStyle w:val="NotesTable-CellPlain"/>
            </w:pPr>
            <w:r w:rsidRPr="005A74A0">
              <w:t>–</w:t>
            </w:r>
          </w:p>
        </w:tc>
        <w:tc>
          <w:tcPr>
            <w:tcW w:w="283" w:type="pct"/>
            <w:tcBorders>
              <w:top w:val="single" w:sz="4" w:space="0" w:color="000000"/>
            </w:tcBorders>
            <w:shd w:val="clear" w:color="auto" w:fill="CDCDCD"/>
          </w:tcPr>
          <w:p w14:paraId="038A056A" w14:textId="77777777" w:rsidR="004023E5" w:rsidRPr="005A74A0" w:rsidRDefault="004023E5" w:rsidP="00451F7F">
            <w:pPr>
              <w:pStyle w:val="NotesTable-CellBold"/>
            </w:pPr>
            <w:r w:rsidRPr="005A74A0">
              <w:t>–</w:t>
            </w:r>
          </w:p>
        </w:tc>
        <w:tc>
          <w:tcPr>
            <w:tcW w:w="277" w:type="pct"/>
            <w:tcBorders>
              <w:top w:val="single" w:sz="4" w:space="0" w:color="000000"/>
            </w:tcBorders>
            <w:shd w:val="clear" w:color="auto" w:fill="CDCDCD"/>
          </w:tcPr>
          <w:p w14:paraId="038A056B" w14:textId="77777777" w:rsidR="004023E5" w:rsidRPr="005A74A0" w:rsidRDefault="004023E5" w:rsidP="00451F7F">
            <w:pPr>
              <w:pStyle w:val="NotesTable-CellPlain"/>
            </w:pPr>
            <w:r w:rsidRPr="005A74A0">
              <w:t>–</w:t>
            </w:r>
          </w:p>
        </w:tc>
      </w:tr>
      <w:tr w:rsidR="004023E5" w14:paraId="038A0574" w14:textId="77777777" w:rsidTr="00AF78E2">
        <w:trPr>
          <w:cantSplit/>
          <w:trHeight w:hRule="exact" w:val="227"/>
        </w:trPr>
        <w:tc>
          <w:tcPr>
            <w:tcW w:w="713" w:type="pct"/>
          </w:tcPr>
          <w:p w14:paraId="038A056D" w14:textId="77777777" w:rsidR="004023E5" w:rsidRDefault="004023E5" w:rsidP="00D11709">
            <w:pPr>
              <w:pStyle w:val="Note-Refs"/>
            </w:pPr>
          </w:p>
        </w:tc>
        <w:tc>
          <w:tcPr>
            <w:tcW w:w="2911" w:type="pct"/>
            <w:shd w:val="clear" w:color="auto" w:fill="CDCDCD"/>
            <w:vAlign w:val="bottom"/>
          </w:tcPr>
          <w:p w14:paraId="038A056E" w14:textId="77777777" w:rsidR="004023E5" w:rsidRDefault="004023E5">
            <w:pPr>
              <w:pStyle w:val="NotesTable-ItemPlain"/>
            </w:pPr>
          </w:p>
        </w:tc>
        <w:tc>
          <w:tcPr>
            <w:tcW w:w="232" w:type="pct"/>
            <w:shd w:val="clear" w:color="auto" w:fill="CDCDCD"/>
          </w:tcPr>
          <w:p w14:paraId="038A056F" w14:textId="77777777" w:rsidR="004023E5" w:rsidRPr="00D54FC2" w:rsidRDefault="004023E5" w:rsidP="005D4154">
            <w:pPr>
              <w:pStyle w:val="NotesTable-Notes"/>
            </w:pPr>
          </w:p>
        </w:tc>
        <w:tc>
          <w:tcPr>
            <w:tcW w:w="295" w:type="pct"/>
            <w:shd w:val="clear" w:color="auto" w:fill="CDCDCD"/>
          </w:tcPr>
          <w:p w14:paraId="038A0570" w14:textId="77777777" w:rsidR="004023E5" w:rsidRPr="005A74A0" w:rsidRDefault="004023E5" w:rsidP="00451F7F">
            <w:pPr>
              <w:pStyle w:val="NotesTable-CellBold"/>
            </w:pPr>
          </w:p>
        </w:tc>
        <w:tc>
          <w:tcPr>
            <w:tcW w:w="289" w:type="pct"/>
            <w:shd w:val="clear" w:color="auto" w:fill="CDCDCD"/>
          </w:tcPr>
          <w:p w14:paraId="038A0571" w14:textId="77777777" w:rsidR="004023E5" w:rsidRPr="005A74A0" w:rsidRDefault="004023E5" w:rsidP="00451F7F">
            <w:pPr>
              <w:pStyle w:val="NotesTable-CellPlain"/>
            </w:pPr>
          </w:p>
        </w:tc>
        <w:tc>
          <w:tcPr>
            <w:tcW w:w="283" w:type="pct"/>
            <w:shd w:val="clear" w:color="auto" w:fill="CDCDCD"/>
          </w:tcPr>
          <w:p w14:paraId="038A0572" w14:textId="77777777" w:rsidR="004023E5" w:rsidRPr="005A74A0" w:rsidRDefault="004023E5" w:rsidP="00451F7F">
            <w:pPr>
              <w:pStyle w:val="NotesTable-CellBold"/>
            </w:pPr>
          </w:p>
        </w:tc>
        <w:tc>
          <w:tcPr>
            <w:tcW w:w="277" w:type="pct"/>
            <w:shd w:val="clear" w:color="auto" w:fill="CDCDCD"/>
          </w:tcPr>
          <w:p w14:paraId="038A0573" w14:textId="77777777" w:rsidR="004023E5" w:rsidRPr="005A74A0" w:rsidRDefault="004023E5" w:rsidP="00451F7F">
            <w:pPr>
              <w:pStyle w:val="NotesTable-CellPlain"/>
            </w:pPr>
          </w:p>
        </w:tc>
      </w:tr>
      <w:tr w:rsidR="004023E5" w14:paraId="038A057C" w14:textId="77777777" w:rsidTr="00AF78E2">
        <w:trPr>
          <w:cantSplit/>
          <w:trHeight w:hRule="exact" w:val="227"/>
        </w:trPr>
        <w:tc>
          <w:tcPr>
            <w:tcW w:w="713" w:type="pct"/>
          </w:tcPr>
          <w:p w14:paraId="038A0575" w14:textId="77777777" w:rsidR="004023E5" w:rsidRDefault="004023E5" w:rsidP="00D11709">
            <w:pPr>
              <w:pStyle w:val="Note-Refs"/>
              <w:rPr>
                <w:b/>
              </w:rPr>
            </w:pPr>
            <w:r>
              <w:t>AASB107.10,21</w:t>
            </w:r>
          </w:p>
        </w:tc>
        <w:tc>
          <w:tcPr>
            <w:tcW w:w="2911" w:type="pct"/>
            <w:shd w:val="clear" w:color="auto" w:fill="CDCDCD"/>
            <w:vAlign w:val="bottom"/>
          </w:tcPr>
          <w:p w14:paraId="038A0576" w14:textId="77777777" w:rsidR="004023E5" w:rsidRDefault="004023E5">
            <w:pPr>
              <w:pStyle w:val="Statement-ItemBold"/>
            </w:pPr>
            <w:r>
              <w:t>Cash flows from investing activities</w:t>
            </w:r>
          </w:p>
        </w:tc>
        <w:tc>
          <w:tcPr>
            <w:tcW w:w="232" w:type="pct"/>
            <w:shd w:val="clear" w:color="auto" w:fill="CDCDCD"/>
          </w:tcPr>
          <w:p w14:paraId="038A0577" w14:textId="77777777" w:rsidR="004023E5" w:rsidRPr="00D54FC2" w:rsidRDefault="004023E5" w:rsidP="005D4154">
            <w:pPr>
              <w:pStyle w:val="NotesTable-Notes"/>
            </w:pPr>
          </w:p>
        </w:tc>
        <w:tc>
          <w:tcPr>
            <w:tcW w:w="295" w:type="pct"/>
            <w:shd w:val="clear" w:color="auto" w:fill="CDCDCD"/>
          </w:tcPr>
          <w:p w14:paraId="038A0578" w14:textId="77777777" w:rsidR="004023E5" w:rsidRPr="005A74A0" w:rsidRDefault="004023E5" w:rsidP="00451F7F">
            <w:pPr>
              <w:pStyle w:val="NotesTable-CellBold"/>
            </w:pPr>
          </w:p>
        </w:tc>
        <w:tc>
          <w:tcPr>
            <w:tcW w:w="289" w:type="pct"/>
            <w:shd w:val="clear" w:color="auto" w:fill="CDCDCD"/>
          </w:tcPr>
          <w:p w14:paraId="038A0579" w14:textId="77777777" w:rsidR="004023E5" w:rsidRPr="005A74A0" w:rsidRDefault="004023E5" w:rsidP="00451F7F">
            <w:pPr>
              <w:pStyle w:val="NotesTable-CellPlain"/>
            </w:pPr>
          </w:p>
        </w:tc>
        <w:tc>
          <w:tcPr>
            <w:tcW w:w="283" w:type="pct"/>
            <w:shd w:val="clear" w:color="auto" w:fill="CDCDCD"/>
          </w:tcPr>
          <w:p w14:paraId="038A057A" w14:textId="77777777" w:rsidR="004023E5" w:rsidRPr="005A74A0" w:rsidRDefault="004023E5" w:rsidP="00451F7F">
            <w:pPr>
              <w:pStyle w:val="NotesTable-CellBold"/>
            </w:pPr>
          </w:p>
        </w:tc>
        <w:tc>
          <w:tcPr>
            <w:tcW w:w="277" w:type="pct"/>
            <w:shd w:val="clear" w:color="auto" w:fill="CDCDCD"/>
          </w:tcPr>
          <w:p w14:paraId="038A057B" w14:textId="77777777" w:rsidR="004023E5" w:rsidRPr="005A74A0" w:rsidRDefault="004023E5" w:rsidP="00451F7F">
            <w:pPr>
              <w:pStyle w:val="NotesTable-CellPlain"/>
            </w:pPr>
          </w:p>
        </w:tc>
      </w:tr>
      <w:tr w:rsidR="004023E5" w14:paraId="038A0584" w14:textId="77777777" w:rsidTr="00AF78E2">
        <w:trPr>
          <w:cantSplit/>
          <w:trHeight w:hRule="exact" w:val="227"/>
        </w:trPr>
        <w:tc>
          <w:tcPr>
            <w:tcW w:w="713" w:type="pct"/>
          </w:tcPr>
          <w:p w14:paraId="038A057D" w14:textId="77777777" w:rsidR="004023E5" w:rsidRDefault="004023E5" w:rsidP="00D11709">
            <w:pPr>
              <w:pStyle w:val="Note-Refs"/>
            </w:pPr>
            <w:r>
              <w:t>AASB107.16b</w:t>
            </w:r>
          </w:p>
        </w:tc>
        <w:tc>
          <w:tcPr>
            <w:tcW w:w="2911" w:type="pct"/>
            <w:shd w:val="clear" w:color="auto" w:fill="CDCDCD"/>
            <w:vAlign w:val="bottom"/>
          </w:tcPr>
          <w:p w14:paraId="038A057E" w14:textId="77777777" w:rsidR="004023E5" w:rsidRDefault="004023E5" w:rsidP="00D11709">
            <w:pPr>
              <w:pStyle w:val="NotesTable-ItemPlain"/>
              <w:rPr>
                <w:b/>
              </w:rPr>
            </w:pPr>
            <w:r>
              <w:t>Proceeds from sale of property, plant and equipment</w:t>
            </w:r>
          </w:p>
        </w:tc>
        <w:tc>
          <w:tcPr>
            <w:tcW w:w="232" w:type="pct"/>
            <w:shd w:val="clear" w:color="auto" w:fill="CDCDCD"/>
            <w:vAlign w:val="bottom"/>
          </w:tcPr>
          <w:p w14:paraId="038A057F" w14:textId="77777777" w:rsidR="004023E5" w:rsidRPr="00D54FC2" w:rsidRDefault="004023E5" w:rsidP="005D4154">
            <w:pPr>
              <w:pStyle w:val="NotesTable-Notes"/>
            </w:pPr>
          </w:p>
        </w:tc>
        <w:tc>
          <w:tcPr>
            <w:tcW w:w="295" w:type="pct"/>
            <w:shd w:val="clear" w:color="auto" w:fill="CDCDCD"/>
            <w:vAlign w:val="bottom"/>
          </w:tcPr>
          <w:p w14:paraId="038A0580" w14:textId="77777777" w:rsidR="004023E5" w:rsidRPr="005A74A0" w:rsidRDefault="004023E5" w:rsidP="00451F7F">
            <w:pPr>
              <w:pStyle w:val="NotesTable-CellBold"/>
            </w:pPr>
            <w:r w:rsidRPr="005A74A0">
              <w:t>–</w:t>
            </w:r>
          </w:p>
        </w:tc>
        <w:tc>
          <w:tcPr>
            <w:tcW w:w="289" w:type="pct"/>
            <w:shd w:val="clear" w:color="auto" w:fill="CDCDCD"/>
            <w:vAlign w:val="bottom"/>
          </w:tcPr>
          <w:p w14:paraId="038A0581" w14:textId="77777777" w:rsidR="004023E5" w:rsidRPr="005A74A0" w:rsidRDefault="004023E5" w:rsidP="00451F7F">
            <w:pPr>
              <w:pStyle w:val="NotesTable-CellPlain"/>
            </w:pPr>
            <w:r w:rsidRPr="005A74A0">
              <w:t>–</w:t>
            </w:r>
          </w:p>
        </w:tc>
        <w:tc>
          <w:tcPr>
            <w:tcW w:w="283" w:type="pct"/>
            <w:shd w:val="clear" w:color="auto" w:fill="CDCDCD"/>
            <w:vAlign w:val="bottom"/>
          </w:tcPr>
          <w:p w14:paraId="038A0582" w14:textId="77777777" w:rsidR="004023E5" w:rsidRPr="005A74A0" w:rsidRDefault="004023E5" w:rsidP="00451F7F">
            <w:pPr>
              <w:pStyle w:val="NotesTable-CellBold"/>
            </w:pPr>
            <w:r w:rsidRPr="005A74A0">
              <w:t>–</w:t>
            </w:r>
          </w:p>
        </w:tc>
        <w:tc>
          <w:tcPr>
            <w:tcW w:w="277" w:type="pct"/>
            <w:shd w:val="clear" w:color="auto" w:fill="CDCDCD"/>
            <w:vAlign w:val="bottom"/>
          </w:tcPr>
          <w:p w14:paraId="038A0583" w14:textId="77777777" w:rsidR="004023E5" w:rsidRPr="005A74A0" w:rsidRDefault="004023E5" w:rsidP="00451F7F">
            <w:pPr>
              <w:pStyle w:val="NotesTable-CellPlain"/>
            </w:pPr>
            <w:r w:rsidRPr="005A74A0">
              <w:t>–</w:t>
            </w:r>
          </w:p>
        </w:tc>
      </w:tr>
      <w:tr w:rsidR="004023E5" w14:paraId="038A058C" w14:textId="77777777" w:rsidTr="00AF78E2">
        <w:trPr>
          <w:cantSplit/>
          <w:trHeight w:hRule="exact" w:val="227"/>
        </w:trPr>
        <w:tc>
          <w:tcPr>
            <w:tcW w:w="713" w:type="pct"/>
          </w:tcPr>
          <w:p w14:paraId="038A0585" w14:textId="77777777" w:rsidR="004023E5" w:rsidRDefault="004023E5" w:rsidP="00D11709">
            <w:pPr>
              <w:pStyle w:val="Note-Refs"/>
              <w:rPr>
                <w:b/>
              </w:rPr>
            </w:pPr>
            <w:r>
              <w:t>AASB107.16a</w:t>
            </w:r>
          </w:p>
        </w:tc>
        <w:tc>
          <w:tcPr>
            <w:tcW w:w="2911" w:type="pct"/>
            <w:shd w:val="clear" w:color="auto" w:fill="CDCDCD"/>
            <w:vAlign w:val="bottom"/>
          </w:tcPr>
          <w:p w14:paraId="038A0586" w14:textId="77777777" w:rsidR="004023E5" w:rsidRDefault="004023E5" w:rsidP="00D11709">
            <w:pPr>
              <w:pStyle w:val="NotesTable-ItemPlain"/>
              <w:rPr>
                <w:b/>
              </w:rPr>
            </w:pPr>
            <w:r>
              <w:t>Payments for property, plant and equipment</w:t>
            </w:r>
          </w:p>
        </w:tc>
        <w:tc>
          <w:tcPr>
            <w:tcW w:w="232" w:type="pct"/>
            <w:shd w:val="clear" w:color="auto" w:fill="CDCDCD"/>
          </w:tcPr>
          <w:p w14:paraId="038A0587" w14:textId="77777777" w:rsidR="004023E5" w:rsidRPr="00451F7F" w:rsidRDefault="004023E5" w:rsidP="005D4154">
            <w:pPr>
              <w:pStyle w:val="NotesTable-Notes"/>
            </w:pPr>
          </w:p>
        </w:tc>
        <w:tc>
          <w:tcPr>
            <w:tcW w:w="295" w:type="pct"/>
            <w:shd w:val="clear" w:color="auto" w:fill="CDCDCD"/>
          </w:tcPr>
          <w:p w14:paraId="038A0588" w14:textId="77777777" w:rsidR="004023E5" w:rsidRPr="005A74A0" w:rsidRDefault="004023E5" w:rsidP="00451F7F">
            <w:pPr>
              <w:pStyle w:val="NotesTable-CellBold"/>
            </w:pPr>
            <w:r w:rsidRPr="005A74A0">
              <w:t>–</w:t>
            </w:r>
          </w:p>
        </w:tc>
        <w:tc>
          <w:tcPr>
            <w:tcW w:w="289" w:type="pct"/>
            <w:shd w:val="clear" w:color="auto" w:fill="CDCDCD"/>
          </w:tcPr>
          <w:p w14:paraId="038A0589" w14:textId="77777777" w:rsidR="004023E5" w:rsidRPr="005A74A0" w:rsidRDefault="004023E5" w:rsidP="00451F7F">
            <w:pPr>
              <w:pStyle w:val="NotesTable-CellPlain"/>
            </w:pPr>
            <w:r w:rsidRPr="005A74A0">
              <w:t>–</w:t>
            </w:r>
          </w:p>
        </w:tc>
        <w:tc>
          <w:tcPr>
            <w:tcW w:w="283" w:type="pct"/>
            <w:shd w:val="clear" w:color="auto" w:fill="CDCDCD"/>
          </w:tcPr>
          <w:p w14:paraId="038A058A" w14:textId="77777777" w:rsidR="004023E5" w:rsidRPr="005A74A0" w:rsidRDefault="004023E5" w:rsidP="00451F7F">
            <w:pPr>
              <w:pStyle w:val="NotesTable-CellBold"/>
            </w:pPr>
            <w:r w:rsidRPr="005A74A0">
              <w:t>–</w:t>
            </w:r>
          </w:p>
        </w:tc>
        <w:tc>
          <w:tcPr>
            <w:tcW w:w="277" w:type="pct"/>
            <w:shd w:val="clear" w:color="auto" w:fill="CDCDCD"/>
          </w:tcPr>
          <w:p w14:paraId="038A058B" w14:textId="77777777" w:rsidR="004023E5" w:rsidRPr="005A74A0" w:rsidRDefault="004023E5" w:rsidP="00451F7F">
            <w:pPr>
              <w:pStyle w:val="NotesTable-CellPlain"/>
            </w:pPr>
            <w:r w:rsidRPr="005A74A0">
              <w:t>–</w:t>
            </w:r>
          </w:p>
        </w:tc>
      </w:tr>
      <w:tr w:rsidR="004023E5" w14:paraId="038A0594" w14:textId="77777777" w:rsidTr="00AF78E2">
        <w:trPr>
          <w:cantSplit/>
          <w:trHeight w:hRule="exact" w:val="227"/>
        </w:trPr>
        <w:tc>
          <w:tcPr>
            <w:tcW w:w="713" w:type="pct"/>
          </w:tcPr>
          <w:p w14:paraId="038A058D" w14:textId="2D88F969" w:rsidR="004023E5" w:rsidRDefault="009A4B0C" w:rsidP="00D11709">
            <w:pPr>
              <w:pStyle w:val="Note-Refs"/>
            </w:pPr>
            <w:r>
              <w:t>AASB107.16</w:t>
            </w:r>
            <w:r w:rsidR="004E760A">
              <w:t>d</w:t>
            </w:r>
          </w:p>
        </w:tc>
        <w:tc>
          <w:tcPr>
            <w:tcW w:w="2911" w:type="pct"/>
            <w:shd w:val="clear" w:color="auto" w:fill="CDCDCD"/>
            <w:vAlign w:val="bottom"/>
          </w:tcPr>
          <w:p w14:paraId="038A058E" w14:textId="77777777" w:rsidR="004023E5" w:rsidRDefault="004023E5" w:rsidP="00D11709">
            <w:pPr>
              <w:pStyle w:val="NotesTable-ItemPlain"/>
              <w:rPr>
                <w:b/>
              </w:rPr>
            </w:pPr>
            <w:r>
              <w:t>Proceeds from sale of financial assets</w:t>
            </w:r>
          </w:p>
        </w:tc>
        <w:tc>
          <w:tcPr>
            <w:tcW w:w="232" w:type="pct"/>
            <w:shd w:val="clear" w:color="auto" w:fill="CDCDCD"/>
          </w:tcPr>
          <w:p w14:paraId="038A058F" w14:textId="77777777" w:rsidR="004023E5" w:rsidRPr="00D54FC2" w:rsidRDefault="004023E5" w:rsidP="005D4154">
            <w:pPr>
              <w:pStyle w:val="NotesTable-Notes"/>
            </w:pPr>
          </w:p>
        </w:tc>
        <w:tc>
          <w:tcPr>
            <w:tcW w:w="295" w:type="pct"/>
            <w:shd w:val="clear" w:color="auto" w:fill="CDCDCD"/>
          </w:tcPr>
          <w:p w14:paraId="038A0590" w14:textId="77777777" w:rsidR="004023E5" w:rsidRPr="005A74A0" w:rsidRDefault="004023E5" w:rsidP="00451F7F">
            <w:pPr>
              <w:pStyle w:val="NotesTable-CellBold"/>
            </w:pPr>
            <w:r w:rsidRPr="005A74A0">
              <w:t>–</w:t>
            </w:r>
          </w:p>
        </w:tc>
        <w:tc>
          <w:tcPr>
            <w:tcW w:w="289" w:type="pct"/>
            <w:shd w:val="clear" w:color="auto" w:fill="CDCDCD"/>
          </w:tcPr>
          <w:p w14:paraId="038A0591" w14:textId="77777777" w:rsidR="004023E5" w:rsidRPr="005A74A0" w:rsidRDefault="004023E5" w:rsidP="00451F7F">
            <w:pPr>
              <w:pStyle w:val="NotesTable-CellPlain"/>
            </w:pPr>
            <w:r w:rsidRPr="005A74A0">
              <w:t>–</w:t>
            </w:r>
          </w:p>
        </w:tc>
        <w:tc>
          <w:tcPr>
            <w:tcW w:w="283" w:type="pct"/>
            <w:shd w:val="clear" w:color="auto" w:fill="CDCDCD"/>
          </w:tcPr>
          <w:p w14:paraId="038A0592" w14:textId="77777777" w:rsidR="004023E5" w:rsidRPr="005A74A0" w:rsidRDefault="004023E5" w:rsidP="00451F7F">
            <w:pPr>
              <w:pStyle w:val="NotesTable-CellBold"/>
            </w:pPr>
            <w:r w:rsidRPr="005A74A0">
              <w:t>–</w:t>
            </w:r>
          </w:p>
        </w:tc>
        <w:tc>
          <w:tcPr>
            <w:tcW w:w="277" w:type="pct"/>
            <w:shd w:val="clear" w:color="auto" w:fill="CDCDCD"/>
          </w:tcPr>
          <w:p w14:paraId="038A0593" w14:textId="77777777" w:rsidR="004023E5" w:rsidRPr="005A74A0" w:rsidRDefault="004023E5" w:rsidP="00451F7F">
            <w:pPr>
              <w:pStyle w:val="NotesTable-CellPlain"/>
            </w:pPr>
            <w:r w:rsidRPr="005A74A0">
              <w:t>–</w:t>
            </w:r>
          </w:p>
        </w:tc>
      </w:tr>
      <w:tr w:rsidR="009A4B0C" w:rsidRPr="005A74A0" w14:paraId="6E7C1F63" w14:textId="77777777" w:rsidTr="00AF78E2">
        <w:trPr>
          <w:cantSplit/>
          <w:trHeight w:hRule="exact" w:val="227"/>
        </w:trPr>
        <w:tc>
          <w:tcPr>
            <w:tcW w:w="713" w:type="pct"/>
          </w:tcPr>
          <w:p w14:paraId="6CF99DDF" w14:textId="7054690B" w:rsidR="009A4B0C" w:rsidRDefault="009A4B0C" w:rsidP="00D11709">
            <w:pPr>
              <w:pStyle w:val="Note-Refs"/>
            </w:pPr>
            <w:r>
              <w:t>AASB107.16</w:t>
            </w:r>
            <w:r w:rsidR="004E760A">
              <w:t>b</w:t>
            </w:r>
          </w:p>
        </w:tc>
        <w:tc>
          <w:tcPr>
            <w:tcW w:w="2911" w:type="pct"/>
            <w:shd w:val="clear" w:color="auto" w:fill="CDCDCD"/>
            <w:vAlign w:val="bottom"/>
          </w:tcPr>
          <w:p w14:paraId="3F2A5A70" w14:textId="77777777" w:rsidR="009A4B0C" w:rsidRDefault="009A4B0C" w:rsidP="00D11709">
            <w:pPr>
              <w:pStyle w:val="NotesTable-ItemPlain"/>
            </w:pPr>
            <w:r>
              <w:t>Proceeds from the sale of discontinued operations</w:t>
            </w:r>
          </w:p>
        </w:tc>
        <w:tc>
          <w:tcPr>
            <w:tcW w:w="232" w:type="pct"/>
            <w:shd w:val="clear" w:color="auto" w:fill="CDCDCD"/>
          </w:tcPr>
          <w:p w14:paraId="56DC6037" w14:textId="77777777" w:rsidR="009A4B0C" w:rsidRPr="00451F7F" w:rsidRDefault="009A4B0C" w:rsidP="005D4154">
            <w:pPr>
              <w:pStyle w:val="NotesTable-Notes"/>
            </w:pPr>
          </w:p>
        </w:tc>
        <w:tc>
          <w:tcPr>
            <w:tcW w:w="295" w:type="pct"/>
            <w:shd w:val="clear" w:color="auto" w:fill="CDCDCD"/>
          </w:tcPr>
          <w:p w14:paraId="5F63FC8A" w14:textId="77777777" w:rsidR="009A4B0C" w:rsidRPr="005A74A0" w:rsidRDefault="009A4B0C" w:rsidP="008C7B83">
            <w:pPr>
              <w:pStyle w:val="NotesTable-CellBold"/>
            </w:pPr>
            <w:r w:rsidRPr="005A74A0">
              <w:t>–</w:t>
            </w:r>
          </w:p>
        </w:tc>
        <w:tc>
          <w:tcPr>
            <w:tcW w:w="289" w:type="pct"/>
            <w:shd w:val="clear" w:color="auto" w:fill="CDCDCD"/>
          </w:tcPr>
          <w:p w14:paraId="19DC1CD1" w14:textId="77777777" w:rsidR="009A4B0C" w:rsidRPr="005A74A0" w:rsidRDefault="009A4B0C" w:rsidP="008C7B83">
            <w:pPr>
              <w:pStyle w:val="NotesTable-CellPlain"/>
            </w:pPr>
            <w:r w:rsidRPr="005A74A0">
              <w:t>–</w:t>
            </w:r>
          </w:p>
        </w:tc>
        <w:tc>
          <w:tcPr>
            <w:tcW w:w="283" w:type="pct"/>
            <w:shd w:val="clear" w:color="auto" w:fill="CDCDCD"/>
          </w:tcPr>
          <w:p w14:paraId="2C4A39DF" w14:textId="77777777" w:rsidR="009A4B0C" w:rsidRPr="005A74A0" w:rsidRDefault="009A4B0C" w:rsidP="008C7B83">
            <w:pPr>
              <w:pStyle w:val="NotesTable-CellBold"/>
            </w:pPr>
            <w:r w:rsidRPr="005A74A0">
              <w:t>–</w:t>
            </w:r>
          </w:p>
        </w:tc>
        <w:tc>
          <w:tcPr>
            <w:tcW w:w="277" w:type="pct"/>
            <w:shd w:val="clear" w:color="auto" w:fill="CDCDCD"/>
          </w:tcPr>
          <w:p w14:paraId="369ADF7A" w14:textId="77777777" w:rsidR="009A4B0C" w:rsidRPr="005A74A0" w:rsidRDefault="009A4B0C" w:rsidP="008C7B83">
            <w:pPr>
              <w:pStyle w:val="NotesTable-CellPlain"/>
            </w:pPr>
            <w:r w:rsidRPr="005A74A0">
              <w:t>–</w:t>
            </w:r>
          </w:p>
        </w:tc>
      </w:tr>
      <w:tr w:rsidR="004023E5" w14:paraId="038A059C" w14:textId="77777777" w:rsidTr="00AF78E2">
        <w:trPr>
          <w:cantSplit/>
          <w:trHeight w:hRule="exact" w:val="227"/>
        </w:trPr>
        <w:tc>
          <w:tcPr>
            <w:tcW w:w="713" w:type="pct"/>
          </w:tcPr>
          <w:p w14:paraId="038A0595" w14:textId="78CD7C7A" w:rsidR="004023E5" w:rsidRDefault="009A4B0C" w:rsidP="00D11709">
            <w:pPr>
              <w:pStyle w:val="Note-Refs"/>
            </w:pPr>
            <w:r>
              <w:t>AASB107.</w:t>
            </w:r>
            <w:r w:rsidR="004E760A">
              <w:t>16c</w:t>
            </w:r>
          </w:p>
        </w:tc>
        <w:tc>
          <w:tcPr>
            <w:tcW w:w="2911" w:type="pct"/>
            <w:shd w:val="clear" w:color="auto" w:fill="CDCDCD"/>
            <w:vAlign w:val="bottom"/>
          </w:tcPr>
          <w:p w14:paraId="038A0596" w14:textId="77777777" w:rsidR="004023E5" w:rsidRDefault="004023E5" w:rsidP="00D11709">
            <w:pPr>
              <w:pStyle w:val="NotesTable-ItemPlain"/>
              <w:rPr>
                <w:b/>
              </w:rPr>
            </w:pPr>
            <w:r>
              <w:t>Payments for financial assets</w:t>
            </w:r>
          </w:p>
        </w:tc>
        <w:tc>
          <w:tcPr>
            <w:tcW w:w="232" w:type="pct"/>
            <w:shd w:val="clear" w:color="auto" w:fill="CDCDCD"/>
          </w:tcPr>
          <w:p w14:paraId="038A0597" w14:textId="77777777" w:rsidR="004023E5" w:rsidRPr="00451F7F" w:rsidRDefault="004023E5" w:rsidP="005D4154">
            <w:pPr>
              <w:pStyle w:val="NotesTable-Notes"/>
            </w:pPr>
          </w:p>
        </w:tc>
        <w:tc>
          <w:tcPr>
            <w:tcW w:w="295" w:type="pct"/>
            <w:shd w:val="clear" w:color="auto" w:fill="CDCDCD"/>
          </w:tcPr>
          <w:p w14:paraId="038A0598" w14:textId="77777777" w:rsidR="004023E5" w:rsidRPr="005A74A0" w:rsidRDefault="004023E5" w:rsidP="00451F7F">
            <w:pPr>
              <w:pStyle w:val="NotesTable-CellBold"/>
            </w:pPr>
            <w:r w:rsidRPr="005A74A0">
              <w:t>–</w:t>
            </w:r>
          </w:p>
        </w:tc>
        <w:tc>
          <w:tcPr>
            <w:tcW w:w="289" w:type="pct"/>
            <w:shd w:val="clear" w:color="auto" w:fill="CDCDCD"/>
          </w:tcPr>
          <w:p w14:paraId="038A0599" w14:textId="77777777" w:rsidR="004023E5" w:rsidRPr="005A74A0" w:rsidRDefault="004023E5" w:rsidP="00451F7F">
            <w:pPr>
              <w:pStyle w:val="NotesTable-CellPlain"/>
            </w:pPr>
            <w:r w:rsidRPr="005A74A0">
              <w:t>–</w:t>
            </w:r>
          </w:p>
        </w:tc>
        <w:tc>
          <w:tcPr>
            <w:tcW w:w="283" w:type="pct"/>
            <w:shd w:val="clear" w:color="auto" w:fill="CDCDCD"/>
          </w:tcPr>
          <w:p w14:paraId="038A059A" w14:textId="77777777" w:rsidR="004023E5" w:rsidRPr="005A74A0" w:rsidRDefault="004023E5" w:rsidP="00451F7F">
            <w:pPr>
              <w:pStyle w:val="NotesTable-CellBold"/>
            </w:pPr>
            <w:r w:rsidRPr="005A74A0">
              <w:t>–</w:t>
            </w:r>
          </w:p>
        </w:tc>
        <w:tc>
          <w:tcPr>
            <w:tcW w:w="277" w:type="pct"/>
            <w:shd w:val="clear" w:color="auto" w:fill="CDCDCD"/>
          </w:tcPr>
          <w:p w14:paraId="038A059B" w14:textId="77777777" w:rsidR="004023E5" w:rsidRPr="005A74A0" w:rsidRDefault="004023E5" w:rsidP="00451F7F">
            <w:pPr>
              <w:pStyle w:val="NotesTable-CellPlain"/>
            </w:pPr>
            <w:r w:rsidRPr="005A74A0">
              <w:t>–</w:t>
            </w:r>
          </w:p>
        </w:tc>
      </w:tr>
      <w:tr w:rsidR="00B436FC" w14:paraId="39161A30" w14:textId="77777777" w:rsidTr="00AF78E2">
        <w:trPr>
          <w:cantSplit/>
          <w:trHeight w:hRule="exact" w:val="227"/>
        </w:trPr>
        <w:tc>
          <w:tcPr>
            <w:tcW w:w="713" w:type="pct"/>
          </w:tcPr>
          <w:p w14:paraId="60777E72" w14:textId="07BAA625" w:rsidR="00B436FC" w:rsidRDefault="00B436FC" w:rsidP="00D11709">
            <w:pPr>
              <w:pStyle w:val="Note-Refs"/>
            </w:pPr>
            <w:r>
              <w:t>AASB107.16f</w:t>
            </w:r>
          </w:p>
        </w:tc>
        <w:tc>
          <w:tcPr>
            <w:tcW w:w="2911" w:type="pct"/>
            <w:shd w:val="clear" w:color="auto" w:fill="CDCDCD"/>
            <w:vAlign w:val="bottom"/>
          </w:tcPr>
          <w:p w14:paraId="633ACBE1" w14:textId="1E848FD7" w:rsidR="00B436FC" w:rsidRDefault="00B436FC" w:rsidP="00D11709">
            <w:pPr>
              <w:pStyle w:val="NotesTable-ItemPlain"/>
            </w:pPr>
            <w:r>
              <w:t>Repayments of loans by related parties</w:t>
            </w:r>
          </w:p>
        </w:tc>
        <w:tc>
          <w:tcPr>
            <w:tcW w:w="232" w:type="pct"/>
            <w:shd w:val="clear" w:color="auto" w:fill="CDCDCD"/>
          </w:tcPr>
          <w:p w14:paraId="61AC693A" w14:textId="77777777" w:rsidR="00B436FC" w:rsidRPr="00D54FC2" w:rsidRDefault="00B436FC" w:rsidP="005D4154">
            <w:pPr>
              <w:pStyle w:val="NotesTable-Notes"/>
            </w:pPr>
          </w:p>
        </w:tc>
        <w:tc>
          <w:tcPr>
            <w:tcW w:w="295" w:type="pct"/>
            <w:shd w:val="clear" w:color="auto" w:fill="CDCDCD"/>
          </w:tcPr>
          <w:p w14:paraId="2E4DC4E4" w14:textId="5E8EFFFF" w:rsidR="00B436FC" w:rsidRPr="005A74A0" w:rsidRDefault="00B436FC" w:rsidP="00451F7F">
            <w:pPr>
              <w:pStyle w:val="NotesTable-CellBold"/>
            </w:pPr>
            <w:r w:rsidRPr="005A74A0">
              <w:t>–</w:t>
            </w:r>
          </w:p>
        </w:tc>
        <w:tc>
          <w:tcPr>
            <w:tcW w:w="289" w:type="pct"/>
            <w:shd w:val="clear" w:color="auto" w:fill="CDCDCD"/>
          </w:tcPr>
          <w:p w14:paraId="78872B1A" w14:textId="2EFFD21F" w:rsidR="00B436FC" w:rsidRPr="005A74A0" w:rsidRDefault="00B436FC" w:rsidP="00451F7F">
            <w:pPr>
              <w:pStyle w:val="NotesTable-CellPlain"/>
            </w:pPr>
            <w:r w:rsidRPr="005A74A0">
              <w:t>–</w:t>
            </w:r>
          </w:p>
        </w:tc>
        <w:tc>
          <w:tcPr>
            <w:tcW w:w="283" w:type="pct"/>
            <w:shd w:val="clear" w:color="auto" w:fill="CDCDCD"/>
          </w:tcPr>
          <w:p w14:paraId="748D8133" w14:textId="272CCC1A" w:rsidR="00B436FC" w:rsidRPr="005A74A0" w:rsidRDefault="00B436FC" w:rsidP="00451F7F">
            <w:pPr>
              <w:pStyle w:val="NotesTable-CellBold"/>
            </w:pPr>
            <w:r w:rsidRPr="005A74A0">
              <w:t>–</w:t>
            </w:r>
          </w:p>
        </w:tc>
        <w:tc>
          <w:tcPr>
            <w:tcW w:w="277" w:type="pct"/>
            <w:shd w:val="clear" w:color="auto" w:fill="CDCDCD"/>
          </w:tcPr>
          <w:p w14:paraId="73A26BFF" w14:textId="7C9EB6F1" w:rsidR="00B436FC" w:rsidRPr="005A74A0" w:rsidRDefault="00B436FC" w:rsidP="00451F7F">
            <w:pPr>
              <w:pStyle w:val="NotesTable-CellPlain"/>
            </w:pPr>
            <w:r w:rsidRPr="005A74A0">
              <w:t>–</w:t>
            </w:r>
          </w:p>
        </w:tc>
      </w:tr>
      <w:tr w:rsidR="00B436FC" w14:paraId="038A05A4" w14:textId="77777777" w:rsidTr="00AF78E2">
        <w:trPr>
          <w:cantSplit/>
          <w:trHeight w:hRule="exact" w:val="227"/>
        </w:trPr>
        <w:tc>
          <w:tcPr>
            <w:tcW w:w="713" w:type="pct"/>
          </w:tcPr>
          <w:p w14:paraId="038A059D" w14:textId="77777777" w:rsidR="00B436FC" w:rsidRDefault="00B436FC" w:rsidP="00D11709">
            <w:pPr>
              <w:pStyle w:val="Note-Refs"/>
              <w:rPr>
                <w:b/>
              </w:rPr>
            </w:pPr>
            <w:r>
              <w:t>AASB107.16e</w:t>
            </w:r>
          </w:p>
        </w:tc>
        <w:tc>
          <w:tcPr>
            <w:tcW w:w="2911" w:type="pct"/>
            <w:shd w:val="clear" w:color="auto" w:fill="CDCDCD"/>
            <w:vAlign w:val="bottom"/>
          </w:tcPr>
          <w:p w14:paraId="038A059E" w14:textId="77777777" w:rsidR="00B436FC" w:rsidRDefault="00B436FC" w:rsidP="00D11709">
            <w:pPr>
              <w:pStyle w:val="NotesTable-ItemPlain"/>
              <w:rPr>
                <w:b/>
              </w:rPr>
            </w:pPr>
            <w:r>
              <w:t>Loans to related parties</w:t>
            </w:r>
          </w:p>
        </w:tc>
        <w:tc>
          <w:tcPr>
            <w:tcW w:w="232" w:type="pct"/>
            <w:shd w:val="clear" w:color="auto" w:fill="CDCDCD"/>
          </w:tcPr>
          <w:p w14:paraId="038A059F" w14:textId="77777777" w:rsidR="00B436FC" w:rsidRPr="00D54FC2" w:rsidRDefault="00B436FC" w:rsidP="005D4154">
            <w:pPr>
              <w:pStyle w:val="NotesTable-Notes"/>
            </w:pPr>
          </w:p>
        </w:tc>
        <w:tc>
          <w:tcPr>
            <w:tcW w:w="295" w:type="pct"/>
            <w:shd w:val="clear" w:color="auto" w:fill="CDCDCD"/>
          </w:tcPr>
          <w:p w14:paraId="038A05A0" w14:textId="77777777" w:rsidR="00B436FC" w:rsidRPr="005A74A0" w:rsidRDefault="00B436FC" w:rsidP="00451F7F">
            <w:pPr>
              <w:pStyle w:val="NotesTable-CellBold"/>
            </w:pPr>
            <w:r w:rsidRPr="005A74A0">
              <w:t>–</w:t>
            </w:r>
          </w:p>
        </w:tc>
        <w:tc>
          <w:tcPr>
            <w:tcW w:w="289" w:type="pct"/>
            <w:shd w:val="clear" w:color="auto" w:fill="CDCDCD"/>
          </w:tcPr>
          <w:p w14:paraId="038A05A1" w14:textId="77777777" w:rsidR="00B436FC" w:rsidRPr="005A74A0" w:rsidRDefault="00B436FC" w:rsidP="00451F7F">
            <w:pPr>
              <w:pStyle w:val="NotesTable-CellPlain"/>
            </w:pPr>
            <w:r w:rsidRPr="005A74A0">
              <w:t>–</w:t>
            </w:r>
          </w:p>
        </w:tc>
        <w:tc>
          <w:tcPr>
            <w:tcW w:w="283" w:type="pct"/>
            <w:shd w:val="clear" w:color="auto" w:fill="CDCDCD"/>
          </w:tcPr>
          <w:p w14:paraId="038A05A2" w14:textId="77777777" w:rsidR="00B436FC" w:rsidRPr="005A74A0" w:rsidRDefault="00B436FC" w:rsidP="00451F7F">
            <w:pPr>
              <w:pStyle w:val="NotesTable-CellBold"/>
            </w:pPr>
            <w:r w:rsidRPr="005A74A0">
              <w:t>–</w:t>
            </w:r>
          </w:p>
        </w:tc>
        <w:tc>
          <w:tcPr>
            <w:tcW w:w="277" w:type="pct"/>
            <w:shd w:val="clear" w:color="auto" w:fill="CDCDCD"/>
          </w:tcPr>
          <w:p w14:paraId="038A05A3" w14:textId="77777777" w:rsidR="00B436FC" w:rsidRPr="005A74A0" w:rsidRDefault="00B436FC" w:rsidP="00451F7F">
            <w:pPr>
              <w:pStyle w:val="NotesTable-CellPlain"/>
            </w:pPr>
            <w:r w:rsidRPr="005A74A0">
              <w:t>–</w:t>
            </w:r>
          </w:p>
        </w:tc>
      </w:tr>
      <w:tr w:rsidR="00B436FC" w14:paraId="038A05B4" w14:textId="77777777" w:rsidTr="00AF78E2">
        <w:trPr>
          <w:cantSplit/>
          <w:trHeight w:hRule="exact" w:val="227"/>
        </w:trPr>
        <w:tc>
          <w:tcPr>
            <w:tcW w:w="713" w:type="pct"/>
          </w:tcPr>
          <w:p w14:paraId="038A05AD" w14:textId="77777777" w:rsidR="00B436FC" w:rsidRDefault="00B436FC" w:rsidP="00D11709">
            <w:pPr>
              <w:pStyle w:val="Note-Refs"/>
            </w:pPr>
          </w:p>
        </w:tc>
        <w:tc>
          <w:tcPr>
            <w:tcW w:w="2911" w:type="pct"/>
            <w:shd w:val="clear" w:color="auto" w:fill="CDCDCD"/>
            <w:vAlign w:val="bottom"/>
          </w:tcPr>
          <w:p w14:paraId="038A05AE" w14:textId="14FFA0EF" w:rsidR="00B436FC" w:rsidRDefault="00B436FC" w:rsidP="00D11709">
            <w:pPr>
              <w:pStyle w:val="NotesTable-ItemPlain"/>
              <w:rPr>
                <w:b/>
              </w:rPr>
            </w:pPr>
            <w:r>
              <w:t xml:space="preserve">Other </w:t>
            </w:r>
            <w:r w:rsidR="00DA18B6">
              <w:t xml:space="preserve">investing </w:t>
            </w:r>
            <w:r>
              <w:t>inflows</w:t>
            </w:r>
          </w:p>
        </w:tc>
        <w:tc>
          <w:tcPr>
            <w:tcW w:w="232" w:type="pct"/>
            <w:shd w:val="clear" w:color="auto" w:fill="CDCDCD"/>
          </w:tcPr>
          <w:p w14:paraId="038A05AF" w14:textId="77777777" w:rsidR="00B436FC" w:rsidRPr="00D54FC2" w:rsidRDefault="00B436FC" w:rsidP="005D4154">
            <w:pPr>
              <w:pStyle w:val="NotesTable-Notes"/>
            </w:pPr>
          </w:p>
        </w:tc>
        <w:tc>
          <w:tcPr>
            <w:tcW w:w="295" w:type="pct"/>
            <w:shd w:val="clear" w:color="auto" w:fill="CDCDCD"/>
          </w:tcPr>
          <w:p w14:paraId="038A05B0" w14:textId="77777777" w:rsidR="00B436FC" w:rsidRPr="005A74A0" w:rsidRDefault="00B436FC" w:rsidP="00451F7F">
            <w:pPr>
              <w:pStyle w:val="NotesTable-CellBold"/>
            </w:pPr>
            <w:r w:rsidRPr="005A74A0">
              <w:t>–</w:t>
            </w:r>
          </w:p>
        </w:tc>
        <w:tc>
          <w:tcPr>
            <w:tcW w:w="289" w:type="pct"/>
            <w:shd w:val="clear" w:color="auto" w:fill="CDCDCD"/>
          </w:tcPr>
          <w:p w14:paraId="038A05B1" w14:textId="77777777" w:rsidR="00B436FC" w:rsidRPr="005A74A0" w:rsidRDefault="00B436FC" w:rsidP="00451F7F">
            <w:pPr>
              <w:pStyle w:val="NotesTable-CellPlain"/>
            </w:pPr>
            <w:r w:rsidRPr="005A74A0">
              <w:t>–</w:t>
            </w:r>
          </w:p>
        </w:tc>
        <w:tc>
          <w:tcPr>
            <w:tcW w:w="283" w:type="pct"/>
            <w:shd w:val="clear" w:color="auto" w:fill="CDCDCD"/>
          </w:tcPr>
          <w:p w14:paraId="038A05B2" w14:textId="77777777" w:rsidR="00B436FC" w:rsidRPr="005A74A0" w:rsidRDefault="00B436FC" w:rsidP="00451F7F">
            <w:pPr>
              <w:pStyle w:val="NotesTable-CellBold"/>
            </w:pPr>
            <w:r w:rsidRPr="005A74A0">
              <w:t>–</w:t>
            </w:r>
          </w:p>
        </w:tc>
        <w:tc>
          <w:tcPr>
            <w:tcW w:w="277" w:type="pct"/>
            <w:shd w:val="clear" w:color="auto" w:fill="CDCDCD"/>
          </w:tcPr>
          <w:p w14:paraId="038A05B3" w14:textId="77777777" w:rsidR="00B436FC" w:rsidRPr="005A74A0" w:rsidRDefault="00B436FC" w:rsidP="00451F7F">
            <w:pPr>
              <w:pStyle w:val="NotesTable-CellPlain"/>
            </w:pPr>
            <w:r w:rsidRPr="005A74A0">
              <w:t>–</w:t>
            </w:r>
          </w:p>
        </w:tc>
      </w:tr>
      <w:tr w:rsidR="00B436FC" w14:paraId="038A05BC" w14:textId="77777777" w:rsidTr="00AF78E2">
        <w:trPr>
          <w:cantSplit/>
          <w:trHeight w:hRule="exact" w:val="227"/>
        </w:trPr>
        <w:tc>
          <w:tcPr>
            <w:tcW w:w="713" w:type="pct"/>
          </w:tcPr>
          <w:p w14:paraId="038A05B5" w14:textId="77777777" w:rsidR="00B436FC" w:rsidRDefault="00B436FC" w:rsidP="00D11709">
            <w:pPr>
              <w:pStyle w:val="Note-Refs"/>
            </w:pPr>
          </w:p>
        </w:tc>
        <w:tc>
          <w:tcPr>
            <w:tcW w:w="2911" w:type="pct"/>
            <w:shd w:val="clear" w:color="auto" w:fill="CDCDCD"/>
            <w:vAlign w:val="bottom"/>
          </w:tcPr>
          <w:p w14:paraId="038A05B6" w14:textId="633CEDCC" w:rsidR="00B436FC" w:rsidRDefault="00B436FC" w:rsidP="00D11709">
            <w:pPr>
              <w:pStyle w:val="NotesTable-ItemPlain"/>
              <w:rPr>
                <w:b/>
              </w:rPr>
            </w:pPr>
            <w:r>
              <w:t>Other</w:t>
            </w:r>
            <w:r w:rsidR="00DA18B6">
              <w:t xml:space="preserve"> investing</w:t>
            </w:r>
            <w:r>
              <w:t xml:space="preserve"> outflows</w:t>
            </w:r>
          </w:p>
        </w:tc>
        <w:tc>
          <w:tcPr>
            <w:tcW w:w="232" w:type="pct"/>
            <w:shd w:val="clear" w:color="auto" w:fill="CDCDCD"/>
          </w:tcPr>
          <w:p w14:paraId="038A05B7" w14:textId="77777777" w:rsidR="00B436FC" w:rsidRPr="00D54FC2" w:rsidRDefault="00B436FC" w:rsidP="005D4154">
            <w:pPr>
              <w:pStyle w:val="NotesTable-Notes"/>
            </w:pPr>
          </w:p>
        </w:tc>
        <w:tc>
          <w:tcPr>
            <w:tcW w:w="295" w:type="pct"/>
            <w:shd w:val="clear" w:color="auto" w:fill="CDCDCD"/>
          </w:tcPr>
          <w:p w14:paraId="038A05B8" w14:textId="77777777" w:rsidR="00B436FC" w:rsidRPr="005A74A0" w:rsidRDefault="00B436FC" w:rsidP="00451F7F">
            <w:pPr>
              <w:pStyle w:val="NotesTable-CellBold"/>
            </w:pPr>
            <w:r w:rsidRPr="005A74A0">
              <w:t>–</w:t>
            </w:r>
          </w:p>
        </w:tc>
        <w:tc>
          <w:tcPr>
            <w:tcW w:w="289" w:type="pct"/>
            <w:shd w:val="clear" w:color="auto" w:fill="CDCDCD"/>
          </w:tcPr>
          <w:p w14:paraId="038A05B9" w14:textId="77777777" w:rsidR="00B436FC" w:rsidRPr="005A74A0" w:rsidRDefault="00B436FC" w:rsidP="00451F7F">
            <w:pPr>
              <w:pStyle w:val="NotesTable-CellPlain"/>
            </w:pPr>
            <w:r w:rsidRPr="005A74A0">
              <w:t>–</w:t>
            </w:r>
          </w:p>
        </w:tc>
        <w:tc>
          <w:tcPr>
            <w:tcW w:w="283" w:type="pct"/>
            <w:shd w:val="clear" w:color="auto" w:fill="CDCDCD"/>
          </w:tcPr>
          <w:p w14:paraId="038A05BA" w14:textId="77777777" w:rsidR="00B436FC" w:rsidRPr="005A74A0" w:rsidRDefault="00B436FC" w:rsidP="00451F7F">
            <w:pPr>
              <w:pStyle w:val="NotesTable-CellBold"/>
            </w:pPr>
            <w:r w:rsidRPr="005A74A0">
              <w:t>–</w:t>
            </w:r>
          </w:p>
        </w:tc>
        <w:tc>
          <w:tcPr>
            <w:tcW w:w="277" w:type="pct"/>
            <w:shd w:val="clear" w:color="auto" w:fill="CDCDCD"/>
          </w:tcPr>
          <w:p w14:paraId="038A05BB" w14:textId="77777777" w:rsidR="00B436FC" w:rsidRPr="005A74A0" w:rsidRDefault="00B436FC" w:rsidP="00451F7F">
            <w:pPr>
              <w:pStyle w:val="NotesTable-CellPlain"/>
            </w:pPr>
            <w:r w:rsidRPr="005A74A0">
              <w:t>–</w:t>
            </w:r>
          </w:p>
        </w:tc>
      </w:tr>
      <w:tr w:rsidR="00B436FC" w14:paraId="038A05C4" w14:textId="77777777" w:rsidTr="00AF78E2">
        <w:trPr>
          <w:cantSplit/>
          <w:trHeight w:hRule="exact" w:val="227"/>
        </w:trPr>
        <w:tc>
          <w:tcPr>
            <w:tcW w:w="713" w:type="pct"/>
          </w:tcPr>
          <w:p w14:paraId="038A05BD" w14:textId="77777777" w:rsidR="00B436FC" w:rsidRDefault="00B436FC" w:rsidP="00D11709">
            <w:pPr>
              <w:pStyle w:val="Note-Refs"/>
            </w:pPr>
          </w:p>
        </w:tc>
        <w:tc>
          <w:tcPr>
            <w:tcW w:w="2911" w:type="pct"/>
            <w:shd w:val="clear" w:color="auto" w:fill="CDCDCD"/>
            <w:vAlign w:val="bottom"/>
          </w:tcPr>
          <w:p w14:paraId="038A05BE" w14:textId="77777777" w:rsidR="00B436FC" w:rsidRDefault="00B436FC">
            <w:pPr>
              <w:pStyle w:val="Statement-ItemBold"/>
            </w:pPr>
            <w:r>
              <w:t>Net cash provided by / (used in) investing activities</w:t>
            </w:r>
          </w:p>
        </w:tc>
        <w:tc>
          <w:tcPr>
            <w:tcW w:w="232" w:type="pct"/>
            <w:shd w:val="clear" w:color="auto" w:fill="CDCDCD"/>
          </w:tcPr>
          <w:p w14:paraId="038A05BF" w14:textId="77777777" w:rsidR="00B436FC" w:rsidRPr="00451F7F" w:rsidRDefault="00B436FC" w:rsidP="005D4154">
            <w:pPr>
              <w:pStyle w:val="NotesTable-Notes"/>
            </w:pPr>
          </w:p>
        </w:tc>
        <w:tc>
          <w:tcPr>
            <w:tcW w:w="295" w:type="pct"/>
            <w:tcBorders>
              <w:top w:val="single" w:sz="4" w:space="0" w:color="000000"/>
            </w:tcBorders>
            <w:shd w:val="clear" w:color="auto" w:fill="CDCDCD"/>
          </w:tcPr>
          <w:p w14:paraId="038A05C0" w14:textId="77777777" w:rsidR="00B436FC" w:rsidRPr="005A74A0" w:rsidRDefault="00B436FC" w:rsidP="00451F7F">
            <w:pPr>
              <w:pStyle w:val="NotesTable-CellBold"/>
            </w:pPr>
            <w:r w:rsidRPr="005A74A0">
              <w:t>–</w:t>
            </w:r>
          </w:p>
        </w:tc>
        <w:tc>
          <w:tcPr>
            <w:tcW w:w="289" w:type="pct"/>
            <w:tcBorders>
              <w:top w:val="single" w:sz="4" w:space="0" w:color="000000"/>
            </w:tcBorders>
            <w:shd w:val="clear" w:color="auto" w:fill="CDCDCD"/>
          </w:tcPr>
          <w:p w14:paraId="038A05C1" w14:textId="77777777" w:rsidR="00B436FC" w:rsidRPr="005A74A0" w:rsidRDefault="00B436FC" w:rsidP="00451F7F">
            <w:pPr>
              <w:pStyle w:val="NotesTable-CellPlain"/>
            </w:pPr>
            <w:r w:rsidRPr="005A74A0">
              <w:t>–</w:t>
            </w:r>
          </w:p>
        </w:tc>
        <w:tc>
          <w:tcPr>
            <w:tcW w:w="283" w:type="pct"/>
            <w:tcBorders>
              <w:top w:val="single" w:sz="4" w:space="0" w:color="000000"/>
            </w:tcBorders>
            <w:shd w:val="clear" w:color="auto" w:fill="CDCDCD"/>
          </w:tcPr>
          <w:p w14:paraId="038A05C2" w14:textId="77777777" w:rsidR="00B436FC" w:rsidRPr="005A74A0" w:rsidRDefault="00B436FC" w:rsidP="00451F7F">
            <w:pPr>
              <w:pStyle w:val="NotesTable-CellBold"/>
            </w:pPr>
            <w:r w:rsidRPr="005A74A0">
              <w:t>–</w:t>
            </w:r>
          </w:p>
        </w:tc>
        <w:tc>
          <w:tcPr>
            <w:tcW w:w="277" w:type="pct"/>
            <w:tcBorders>
              <w:top w:val="single" w:sz="4" w:space="0" w:color="000000"/>
            </w:tcBorders>
            <w:shd w:val="clear" w:color="auto" w:fill="CDCDCD"/>
          </w:tcPr>
          <w:p w14:paraId="038A05C3" w14:textId="77777777" w:rsidR="00B436FC" w:rsidRPr="005A74A0" w:rsidRDefault="00B436FC" w:rsidP="00451F7F">
            <w:pPr>
              <w:pStyle w:val="NotesTable-CellPlain"/>
            </w:pPr>
            <w:r w:rsidRPr="005A74A0">
              <w:t>–</w:t>
            </w:r>
          </w:p>
        </w:tc>
      </w:tr>
      <w:tr w:rsidR="00B436FC" w14:paraId="038A05CC" w14:textId="77777777" w:rsidTr="00AF78E2">
        <w:trPr>
          <w:cantSplit/>
          <w:trHeight w:hRule="exact" w:val="227"/>
        </w:trPr>
        <w:tc>
          <w:tcPr>
            <w:tcW w:w="713" w:type="pct"/>
          </w:tcPr>
          <w:p w14:paraId="038A05C5" w14:textId="77777777" w:rsidR="00B436FC" w:rsidRDefault="00B436FC" w:rsidP="00D11709">
            <w:pPr>
              <w:pStyle w:val="Note-Refs"/>
            </w:pPr>
          </w:p>
        </w:tc>
        <w:tc>
          <w:tcPr>
            <w:tcW w:w="2911" w:type="pct"/>
            <w:shd w:val="clear" w:color="auto" w:fill="CDCDCD"/>
            <w:vAlign w:val="bottom"/>
          </w:tcPr>
          <w:p w14:paraId="038A05C6" w14:textId="77777777" w:rsidR="00B436FC" w:rsidRDefault="00B436FC">
            <w:pPr>
              <w:pStyle w:val="NotesTable-ItemPlain"/>
            </w:pPr>
          </w:p>
        </w:tc>
        <w:tc>
          <w:tcPr>
            <w:tcW w:w="232" w:type="pct"/>
            <w:shd w:val="clear" w:color="auto" w:fill="CDCDCD"/>
          </w:tcPr>
          <w:p w14:paraId="038A05C7" w14:textId="77777777" w:rsidR="00B436FC" w:rsidRPr="00451F7F" w:rsidRDefault="00B436FC" w:rsidP="005D4154">
            <w:pPr>
              <w:pStyle w:val="NotesTable-Notes"/>
            </w:pPr>
          </w:p>
        </w:tc>
        <w:tc>
          <w:tcPr>
            <w:tcW w:w="295" w:type="pct"/>
            <w:shd w:val="clear" w:color="auto" w:fill="CDCDCD"/>
          </w:tcPr>
          <w:p w14:paraId="038A05C8" w14:textId="77777777" w:rsidR="00B436FC" w:rsidRPr="005A74A0" w:rsidRDefault="00B436FC" w:rsidP="00451F7F">
            <w:pPr>
              <w:pStyle w:val="NotesTable-CellBold"/>
            </w:pPr>
          </w:p>
        </w:tc>
        <w:tc>
          <w:tcPr>
            <w:tcW w:w="289" w:type="pct"/>
            <w:shd w:val="clear" w:color="auto" w:fill="CDCDCD"/>
          </w:tcPr>
          <w:p w14:paraId="038A05C9" w14:textId="77777777" w:rsidR="00B436FC" w:rsidRPr="005A74A0" w:rsidRDefault="00B436FC" w:rsidP="00451F7F">
            <w:pPr>
              <w:pStyle w:val="NotesTable-CellPlain"/>
            </w:pPr>
          </w:p>
        </w:tc>
        <w:tc>
          <w:tcPr>
            <w:tcW w:w="283" w:type="pct"/>
            <w:shd w:val="clear" w:color="auto" w:fill="CDCDCD"/>
          </w:tcPr>
          <w:p w14:paraId="038A05CA" w14:textId="77777777" w:rsidR="00B436FC" w:rsidRPr="005A74A0" w:rsidRDefault="00B436FC" w:rsidP="00451F7F">
            <w:pPr>
              <w:pStyle w:val="NotesTable-CellBold"/>
            </w:pPr>
          </w:p>
        </w:tc>
        <w:tc>
          <w:tcPr>
            <w:tcW w:w="277" w:type="pct"/>
            <w:shd w:val="clear" w:color="auto" w:fill="CDCDCD"/>
          </w:tcPr>
          <w:p w14:paraId="038A05CB" w14:textId="77777777" w:rsidR="00B436FC" w:rsidRPr="005A74A0" w:rsidRDefault="00B436FC" w:rsidP="00451F7F">
            <w:pPr>
              <w:pStyle w:val="NotesTable-CellPlain"/>
            </w:pPr>
          </w:p>
        </w:tc>
      </w:tr>
      <w:tr w:rsidR="00B436FC" w14:paraId="038A05D4" w14:textId="77777777" w:rsidTr="00AF78E2">
        <w:trPr>
          <w:cantSplit/>
          <w:trHeight w:hRule="exact" w:val="227"/>
        </w:trPr>
        <w:tc>
          <w:tcPr>
            <w:tcW w:w="713" w:type="pct"/>
          </w:tcPr>
          <w:p w14:paraId="038A05CD" w14:textId="77777777" w:rsidR="00B436FC" w:rsidRDefault="00B436FC" w:rsidP="00D11709">
            <w:pPr>
              <w:pStyle w:val="Note-Refs"/>
              <w:rPr>
                <w:b/>
              </w:rPr>
            </w:pPr>
            <w:r>
              <w:t>AASB107.10,21</w:t>
            </w:r>
          </w:p>
        </w:tc>
        <w:tc>
          <w:tcPr>
            <w:tcW w:w="2911" w:type="pct"/>
            <w:shd w:val="clear" w:color="auto" w:fill="CDCDCD"/>
            <w:vAlign w:val="bottom"/>
          </w:tcPr>
          <w:p w14:paraId="038A05CE" w14:textId="77777777" w:rsidR="00B436FC" w:rsidRDefault="00B436FC">
            <w:pPr>
              <w:pStyle w:val="Statement-ItemBold"/>
            </w:pPr>
            <w:r>
              <w:t>Cash flows from financing activities</w:t>
            </w:r>
          </w:p>
        </w:tc>
        <w:tc>
          <w:tcPr>
            <w:tcW w:w="232" w:type="pct"/>
            <w:shd w:val="clear" w:color="auto" w:fill="CDCDCD"/>
          </w:tcPr>
          <w:p w14:paraId="038A05CF" w14:textId="77777777" w:rsidR="00B436FC" w:rsidRPr="00451F7F" w:rsidRDefault="00B436FC" w:rsidP="005D4154">
            <w:pPr>
              <w:pStyle w:val="NotesTable-Notes"/>
            </w:pPr>
          </w:p>
        </w:tc>
        <w:tc>
          <w:tcPr>
            <w:tcW w:w="295" w:type="pct"/>
            <w:shd w:val="clear" w:color="auto" w:fill="CDCDCD"/>
          </w:tcPr>
          <w:p w14:paraId="038A05D0" w14:textId="77777777" w:rsidR="00B436FC" w:rsidRPr="005A74A0" w:rsidRDefault="00B436FC" w:rsidP="00451F7F">
            <w:pPr>
              <w:pStyle w:val="NotesTable-CellBold"/>
            </w:pPr>
          </w:p>
        </w:tc>
        <w:tc>
          <w:tcPr>
            <w:tcW w:w="289" w:type="pct"/>
            <w:shd w:val="clear" w:color="auto" w:fill="CDCDCD"/>
          </w:tcPr>
          <w:p w14:paraId="038A05D1" w14:textId="77777777" w:rsidR="00B436FC" w:rsidRPr="005A74A0" w:rsidRDefault="00B436FC" w:rsidP="00451F7F">
            <w:pPr>
              <w:pStyle w:val="NotesTable-CellPlain"/>
            </w:pPr>
          </w:p>
        </w:tc>
        <w:tc>
          <w:tcPr>
            <w:tcW w:w="283" w:type="pct"/>
            <w:shd w:val="clear" w:color="auto" w:fill="CDCDCD"/>
          </w:tcPr>
          <w:p w14:paraId="038A05D2" w14:textId="77777777" w:rsidR="00B436FC" w:rsidRPr="005A74A0" w:rsidRDefault="00B436FC" w:rsidP="00451F7F">
            <w:pPr>
              <w:pStyle w:val="NotesTable-CellBold"/>
            </w:pPr>
          </w:p>
        </w:tc>
        <w:tc>
          <w:tcPr>
            <w:tcW w:w="277" w:type="pct"/>
            <w:shd w:val="clear" w:color="auto" w:fill="CDCDCD"/>
          </w:tcPr>
          <w:p w14:paraId="038A05D3" w14:textId="77777777" w:rsidR="00B436FC" w:rsidRPr="005A74A0" w:rsidRDefault="00B436FC" w:rsidP="00451F7F">
            <w:pPr>
              <w:pStyle w:val="NotesTable-CellPlain"/>
            </w:pPr>
          </w:p>
        </w:tc>
      </w:tr>
      <w:tr w:rsidR="00B436FC" w14:paraId="038A05DC" w14:textId="77777777" w:rsidTr="00AF78E2">
        <w:trPr>
          <w:cantSplit/>
          <w:trHeight w:hRule="exact" w:val="227"/>
        </w:trPr>
        <w:tc>
          <w:tcPr>
            <w:tcW w:w="713" w:type="pct"/>
          </w:tcPr>
          <w:p w14:paraId="038A05D5" w14:textId="77777777" w:rsidR="00B436FC" w:rsidRDefault="00B436FC" w:rsidP="00D11709">
            <w:pPr>
              <w:pStyle w:val="Note-Refs"/>
            </w:pPr>
            <w:r>
              <w:t>AASB107.17c</w:t>
            </w:r>
          </w:p>
        </w:tc>
        <w:tc>
          <w:tcPr>
            <w:tcW w:w="2911" w:type="pct"/>
            <w:shd w:val="clear" w:color="auto" w:fill="CDCDCD"/>
            <w:vAlign w:val="bottom"/>
          </w:tcPr>
          <w:p w14:paraId="038A05D6" w14:textId="77777777" w:rsidR="00B436FC" w:rsidRDefault="00B436FC" w:rsidP="00D11709">
            <w:pPr>
              <w:pStyle w:val="NotesTable-ItemPlain"/>
              <w:rPr>
                <w:b/>
              </w:rPr>
            </w:pPr>
            <w:r>
              <w:t>Proceeds from borrowings</w:t>
            </w:r>
          </w:p>
        </w:tc>
        <w:tc>
          <w:tcPr>
            <w:tcW w:w="232" w:type="pct"/>
            <w:shd w:val="clear" w:color="auto" w:fill="CDCDCD"/>
          </w:tcPr>
          <w:p w14:paraId="038A05D7" w14:textId="77777777" w:rsidR="00B436FC" w:rsidRPr="00451F7F" w:rsidRDefault="00B436FC" w:rsidP="005D4154">
            <w:pPr>
              <w:pStyle w:val="NotesTable-Notes"/>
            </w:pPr>
          </w:p>
        </w:tc>
        <w:tc>
          <w:tcPr>
            <w:tcW w:w="295" w:type="pct"/>
            <w:shd w:val="clear" w:color="auto" w:fill="CDCDCD"/>
          </w:tcPr>
          <w:p w14:paraId="038A05D8" w14:textId="77777777" w:rsidR="00B436FC" w:rsidRPr="005A74A0" w:rsidRDefault="00B436FC" w:rsidP="00451F7F">
            <w:pPr>
              <w:pStyle w:val="NotesTable-CellBold"/>
            </w:pPr>
            <w:r w:rsidRPr="005A74A0">
              <w:t>–</w:t>
            </w:r>
          </w:p>
        </w:tc>
        <w:tc>
          <w:tcPr>
            <w:tcW w:w="289" w:type="pct"/>
            <w:shd w:val="clear" w:color="auto" w:fill="CDCDCD"/>
          </w:tcPr>
          <w:p w14:paraId="038A05D9" w14:textId="77777777" w:rsidR="00B436FC" w:rsidRPr="005A74A0" w:rsidRDefault="00B436FC" w:rsidP="00451F7F">
            <w:pPr>
              <w:pStyle w:val="NotesTable-CellPlain"/>
            </w:pPr>
            <w:r w:rsidRPr="005A74A0">
              <w:t>–</w:t>
            </w:r>
          </w:p>
        </w:tc>
        <w:tc>
          <w:tcPr>
            <w:tcW w:w="283" w:type="pct"/>
            <w:shd w:val="clear" w:color="auto" w:fill="CDCDCD"/>
          </w:tcPr>
          <w:p w14:paraId="038A05DA" w14:textId="77777777" w:rsidR="00B436FC" w:rsidRPr="005A74A0" w:rsidRDefault="00B436FC" w:rsidP="00451F7F">
            <w:pPr>
              <w:pStyle w:val="NotesTable-CellBold"/>
            </w:pPr>
            <w:r w:rsidRPr="005A74A0">
              <w:t>–</w:t>
            </w:r>
          </w:p>
        </w:tc>
        <w:tc>
          <w:tcPr>
            <w:tcW w:w="277" w:type="pct"/>
            <w:shd w:val="clear" w:color="auto" w:fill="CDCDCD"/>
          </w:tcPr>
          <w:p w14:paraId="038A05DB" w14:textId="77777777" w:rsidR="00B436FC" w:rsidRPr="005A74A0" w:rsidRDefault="00B436FC" w:rsidP="00451F7F">
            <w:pPr>
              <w:pStyle w:val="NotesTable-CellPlain"/>
            </w:pPr>
            <w:r w:rsidRPr="005A74A0">
              <w:t>–</w:t>
            </w:r>
          </w:p>
        </w:tc>
      </w:tr>
      <w:tr w:rsidR="00B436FC" w14:paraId="038A05E4" w14:textId="77777777" w:rsidTr="00AF78E2">
        <w:trPr>
          <w:cantSplit/>
          <w:trHeight w:hRule="exact" w:val="227"/>
        </w:trPr>
        <w:tc>
          <w:tcPr>
            <w:tcW w:w="713" w:type="pct"/>
          </w:tcPr>
          <w:p w14:paraId="038A05DD" w14:textId="77777777" w:rsidR="00B436FC" w:rsidRDefault="00B436FC" w:rsidP="00D11709">
            <w:pPr>
              <w:pStyle w:val="Note-Refs"/>
              <w:rPr>
                <w:b/>
              </w:rPr>
            </w:pPr>
            <w:r>
              <w:t>AASB107.17d</w:t>
            </w:r>
          </w:p>
        </w:tc>
        <w:tc>
          <w:tcPr>
            <w:tcW w:w="2911" w:type="pct"/>
            <w:shd w:val="clear" w:color="auto" w:fill="CDCDCD"/>
            <w:vAlign w:val="bottom"/>
          </w:tcPr>
          <w:p w14:paraId="038A05DE" w14:textId="77777777" w:rsidR="00B436FC" w:rsidRDefault="00B436FC" w:rsidP="00D11709">
            <w:pPr>
              <w:pStyle w:val="NotesTable-ItemPlain"/>
              <w:rPr>
                <w:b/>
              </w:rPr>
            </w:pPr>
            <w:r>
              <w:t>Repayment of borrowings</w:t>
            </w:r>
          </w:p>
        </w:tc>
        <w:tc>
          <w:tcPr>
            <w:tcW w:w="232" w:type="pct"/>
            <w:shd w:val="clear" w:color="auto" w:fill="CDCDCD"/>
          </w:tcPr>
          <w:p w14:paraId="038A05DF" w14:textId="77777777" w:rsidR="00B436FC" w:rsidRPr="00451F7F" w:rsidRDefault="00B436FC" w:rsidP="005D4154">
            <w:pPr>
              <w:pStyle w:val="NotesTable-Notes"/>
            </w:pPr>
          </w:p>
        </w:tc>
        <w:tc>
          <w:tcPr>
            <w:tcW w:w="295" w:type="pct"/>
            <w:shd w:val="clear" w:color="auto" w:fill="CDCDCD"/>
          </w:tcPr>
          <w:p w14:paraId="038A05E0" w14:textId="77777777" w:rsidR="00B436FC" w:rsidRPr="005A74A0" w:rsidRDefault="00B436FC" w:rsidP="00451F7F">
            <w:pPr>
              <w:pStyle w:val="NotesTable-CellBold"/>
            </w:pPr>
            <w:r w:rsidRPr="005A74A0">
              <w:t>–</w:t>
            </w:r>
          </w:p>
        </w:tc>
        <w:tc>
          <w:tcPr>
            <w:tcW w:w="289" w:type="pct"/>
            <w:shd w:val="clear" w:color="auto" w:fill="CDCDCD"/>
          </w:tcPr>
          <w:p w14:paraId="038A05E1" w14:textId="77777777" w:rsidR="00B436FC" w:rsidRPr="005A74A0" w:rsidRDefault="00B436FC" w:rsidP="00451F7F">
            <w:pPr>
              <w:pStyle w:val="NotesTable-CellPlain"/>
            </w:pPr>
            <w:r w:rsidRPr="005A74A0">
              <w:t>–</w:t>
            </w:r>
          </w:p>
        </w:tc>
        <w:tc>
          <w:tcPr>
            <w:tcW w:w="283" w:type="pct"/>
            <w:shd w:val="clear" w:color="auto" w:fill="CDCDCD"/>
          </w:tcPr>
          <w:p w14:paraId="038A05E2" w14:textId="77777777" w:rsidR="00B436FC" w:rsidRPr="005A74A0" w:rsidRDefault="00B436FC" w:rsidP="00451F7F">
            <w:pPr>
              <w:pStyle w:val="NotesTable-CellBold"/>
            </w:pPr>
            <w:r w:rsidRPr="005A74A0">
              <w:t>–</w:t>
            </w:r>
          </w:p>
        </w:tc>
        <w:tc>
          <w:tcPr>
            <w:tcW w:w="277" w:type="pct"/>
            <w:shd w:val="clear" w:color="auto" w:fill="CDCDCD"/>
          </w:tcPr>
          <w:p w14:paraId="038A05E3" w14:textId="77777777" w:rsidR="00B436FC" w:rsidRPr="005A74A0" w:rsidRDefault="00B436FC" w:rsidP="00451F7F">
            <w:pPr>
              <w:pStyle w:val="NotesTable-CellPlain"/>
            </w:pPr>
            <w:r w:rsidRPr="005A74A0">
              <w:t>–</w:t>
            </w:r>
          </w:p>
        </w:tc>
      </w:tr>
      <w:tr w:rsidR="00B436FC" w14:paraId="038A05EC" w14:textId="77777777" w:rsidTr="00AF78E2">
        <w:trPr>
          <w:cantSplit/>
          <w:trHeight w:hRule="exact" w:val="227"/>
        </w:trPr>
        <w:tc>
          <w:tcPr>
            <w:tcW w:w="713" w:type="pct"/>
          </w:tcPr>
          <w:p w14:paraId="038A05E5" w14:textId="77777777" w:rsidR="00B436FC" w:rsidRDefault="00B436FC" w:rsidP="00D11709">
            <w:pPr>
              <w:pStyle w:val="Note-Refs"/>
            </w:pPr>
            <w:r>
              <w:t>AASB107.17e</w:t>
            </w:r>
          </w:p>
        </w:tc>
        <w:tc>
          <w:tcPr>
            <w:tcW w:w="2911" w:type="pct"/>
            <w:shd w:val="clear" w:color="auto" w:fill="CDCDCD"/>
            <w:vAlign w:val="bottom"/>
          </w:tcPr>
          <w:p w14:paraId="038A05E6" w14:textId="77777777" w:rsidR="00B436FC" w:rsidRDefault="00B436FC" w:rsidP="00D11709">
            <w:pPr>
              <w:pStyle w:val="NotesTable-ItemPlain"/>
              <w:rPr>
                <w:b/>
              </w:rPr>
            </w:pPr>
            <w:r>
              <w:t>Repayment of finance leases</w:t>
            </w:r>
          </w:p>
        </w:tc>
        <w:tc>
          <w:tcPr>
            <w:tcW w:w="232" w:type="pct"/>
            <w:shd w:val="clear" w:color="auto" w:fill="CDCDCD"/>
          </w:tcPr>
          <w:p w14:paraId="038A05E7" w14:textId="77777777" w:rsidR="00B436FC" w:rsidRPr="00451F7F" w:rsidRDefault="00B436FC" w:rsidP="005D4154">
            <w:pPr>
              <w:pStyle w:val="NotesTable-Notes"/>
            </w:pPr>
          </w:p>
        </w:tc>
        <w:tc>
          <w:tcPr>
            <w:tcW w:w="295" w:type="pct"/>
            <w:shd w:val="clear" w:color="auto" w:fill="CDCDCD"/>
          </w:tcPr>
          <w:p w14:paraId="038A05E8" w14:textId="77777777" w:rsidR="00B436FC" w:rsidRPr="005A74A0" w:rsidRDefault="00B436FC" w:rsidP="00451F7F">
            <w:pPr>
              <w:pStyle w:val="NotesTable-CellBold"/>
            </w:pPr>
            <w:r w:rsidRPr="005A74A0">
              <w:t>–</w:t>
            </w:r>
          </w:p>
        </w:tc>
        <w:tc>
          <w:tcPr>
            <w:tcW w:w="289" w:type="pct"/>
            <w:shd w:val="clear" w:color="auto" w:fill="CDCDCD"/>
          </w:tcPr>
          <w:p w14:paraId="038A05E9" w14:textId="77777777" w:rsidR="00B436FC" w:rsidRPr="005A74A0" w:rsidRDefault="00B436FC" w:rsidP="00451F7F">
            <w:pPr>
              <w:pStyle w:val="NotesTable-CellPlain"/>
            </w:pPr>
            <w:r w:rsidRPr="005A74A0">
              <w:t>–</w:t>
            </w:r>
          </w:p>
        </w:tc>
        <w:tc>
          <w:tcPr>
            <w:tcW w:w="283" w:type="pct"/>
            <w:shd w:val="clear" w:color="auto" w:fill="CDCDCD"/>
          </w:tcPr>
          <w:p w14:paraId="038A05EA" w14:textId="77777777" w:rsidR="00B436FC" w:rsidRPr="005A74A0" w:rsidRDefault="00B436FC" w:rsidP="00451F7F">
            <w:pPr>
              <w:pStyle w:val="NotesTable-CellBold"/>
            </w:pPr>
            <w:r w:rsidRPr="005A74A0">
              <w:t>–</w:t>
            </w:r>
          </w:p>
        </w:tc>
        <w:tc>
          <w:tcPr>
            <w:tcW w:w="277" w:type="pct"/>
            <w:shd w:val="clear" w:color="auto" w:fill="CDCDCD"/>
          </w:tcPr>
          <w:p w14:paraId="038A05EB" w14:textId="77777777" w:rsidR="00B436FC" w:rsidRPr="005A74A0" w:rsidRDefault="00B436FC" w:rsidP="00451F7F">
            <w:pPr>
              <w:pStyle w:val="NotesTable-CellPlain"/>
            </w:pPr>
            <w:r w:rsidRPr="005A74A0">
              <w:t>–</w:t>
            </w:r>
          </w:p>
        </w:tc>
      </w:tr>
      <w:tr w:rsidR="00DA18B6" w14:paraId="2916A5CB" w14:textId="77777777" w:rsidTr="00AF78E2">
        <w:trPr>
          <w:cantSplit/>
          <w:trHeight w:hRule="exact" w:val="227"/>
        </w:trPr>
        <w:tc>
          <w:tcPr>
            <w:tcW w:w="713" w:type="pct"/>
          </w:tcPr>
          <w:p w14:paraId="174A2FC2" w14:textId="77777777" w:rsidR="00DA18B6" w:rsidRDefault="00DA18B6" w:rsidP="00D11709">
            <w:pPr>
              <w:pStyle w:val="Note-Refs"/>
            </w:pPr>
          </w:p>
        </w:tc>
        <w:tc>
          <w:tcPr>
            <w:tcW w:w="2911" w:type="pct"/>
            <w:shd w:val="clear" w:color="auto" w:fill="CDCDCD"/>
            <w:vAlign w:val="bottom"/>
          </w:tcPr>
          <w:p w14:paraId="1416EF22" w14:textId="64E336A8" w:rsidR="00DA18B6" w:rsidRDefault="00DA18B6" w:rsidP="00D11709">
            <w:pPr>
              <w:pStyle w:val="NotesTable-ItemPlain"/>
            </w:pPr>
            <w:r>
              <w:t>Other financing inflows</w:t>
            </w:r>
          </w:p>
        </w:tc>
        <w:tc>
          <w:tcPr>
            <w:tcW w:w="232" w:type="pct"/>
            <w:shd w:val="clear" w:color="auto" w:fill="CDCDCD"/>
          </w:tcPr>
          <w:p w14:paraId="4EE0B408" w14:textId="77777777" w:rsidR="00DA18B6" w:rsidRPr="00451F7F" w:rsidRDefault="00DA18B6" w:rsidP="005D4154">
            <w:pPr>
              <w:pStyle w:val="NotesTable-Notes"/>
            </w:pPr>
          </w:p>
        </w:tc>
        <w:tc>
          <w:tcPr>
            <w:tcW w:w="295" w:type="pct"/>
            <w:shd w:val="clear" w:color="auto" w:fill="CDCDCD"/>
          </w:tcPr>
          <w:p w14:paraId="1D677817" w14:textId="708FCB7F" w:rsidR="00DA18B6" w:rsidRPr="005A74A0" w:rsidRDefault="00DA18B6" w:rsidP="00451F7F">
            <w:pPr>
              <w:pStyle w:val="NotesTable-CellBold"/>
            </w:pPr>
            <w:r w:rsidRPr="005A74A0">
              <w:t>–</w:t>
            </w:r>
          </w:p>
        </w:tc>
        <w:tc>
          <w:tcPr>
            <w:tcW w:w="289" w:type="pct"/>
            <w:shd w:val="clear" w:color="auto" w:fill="CDCDCD"/>
          </w:tcPr>
          <w:p w14:paraId="2576D463" w14:textId="577ECC6F" w:rsidR="00DA18B6" w:rsidRPr="005A74A0" w:rsidRDefault="00DA18B6" w:rsidP="00451F7F">
            <w:pPr>
              <w:pStyle w:val="NotesTable-CellPlain"/>
            </w:pPr>
            <w:r w:rsidRPr="005A74A0">
              <w:t>–</w:t>
            </w:r>
          </w:p>
        </w:tc>
        <w:tc>
          <w:tcPr>
            <w:tcW w:w="283" w:type="pct"/>
            <w:shd w:val="clear" w:color="auto" w:fill="CDCDCD"/>
          </w:tcPr>
          <w:p w14:paraId="5ABE9F1F" w14:textId="36759D8F" w:rsidR="00DA18B6" w:rsidRPr="005A74A0" w:rsidRDefault="00DA18B6" w:rsidP="00451F7F">
            <w:pPr>
              <w:pStyle w:val="NotesTable-CellBold"/>
            </w:pPr>
            <w:r w:rsidRPr="005A74A0">
              <w:t>–</w:t>
            </w:r>
          </w:p>
        </w:tc>
        <w:tc>
          <w:tcPr>
            <w:tcW w:w="277" w:type="pct"/>
            <w:shd w:val="clear" w:color="auto" w:fill="CDCDCD"/>
          </w:tcPr>
          <w:p w14:paraId="5DEB5B33" w14:textId="592A4B9E" w:rsidR="00DA18B6" w:rsidRPr="005A74A0" w:rsidRDefault="00DA18B6" w:rsidP="00451F7F">
            <w:pPr>
              <w:pStyle w:val="NotesTable-CellPlain"/>
            </w:pPr>
            <w:r w:rsidRPr="005A74A0">
              <w:t>–</w:t>
            </w:r>
          </w:p>
        </w:tc>
      </w:tr>
      <w:tr w:rsidR="00DA18B6" w14:paraId="20733B53" w14:textId="77777777" w:rsidTr="00AF78E2">
        <w:trPr>
          <w:cantSplit/>
          <w:trHeight w:hRule="exact" w:val="227"/>
        </w:trPr>
        <w:tc>
          <w:tcPr>
            <w:tcW w:w="713" w:type="pct"/>
          </w:tcPr>
          <w:p w14:paraId="213E6C21" w14:textId="77777777" w:rsidR="00DA18B6" w:rsidRDefault="00DA18B6" w:rsidP="00D11709">
            <w:pPr>
              <w:pStyle w:val="Note-Refs"/>
            </w:pPr>
          </w:p>
        </w:tc>
        <w:tc>
          <w:tcPr>
            <w:tcW w:w="2911" w:type="pct"/>
            <w:shd w:val="clear" w:color="auto" w:fill="CDCDCD"/>
            <w:vAlign w:val="bottom"/>
          </w:tcPr>
          <w:p w14:paraId="72C6E0B6" w14:textId="7BB4CA08" w:rsidR="00DA18B6" w:rsidRDefault="00DA18B6" w:rsidP="00D11709">
            <w:pPr>
              <w:pStyle w:val="NotesTable-ItemPlain"/>
            </w:pPr>
            <w:r>
              <w:t>Other financing outflows</w:t>
            </w:r>
          </w:p>
        </w:tc>
        <w:tc>
          <w:tcPr>
            <w:tcW w:w="232" w:type="pct"/>
            <w:shd w:val="clear" w:color="auto" w:fill="CDCDCD"/>
          </w:tcPr>
          <w:p w14:paraId="52A7A532" w14:textId="77777777" w:rsidR="00DA18B6" w:rsidRPr="00451F7F" w:rsidRDefault="00DA18B6" w:rsidP="005D4154">
            <w:pPr>
              <w:pStyle w:val="NotesTable-Notes"/>
            </w:pPr>
          </w:p>
        </w:tc>
        <w:tc>
          <w:tcPr>
            <w:tcW w:w="295" w:type="pct"/>
            <w:tcBorders>
              <w:bottom w:val="single" w:sz="4" w:space="0" w:color="000000"/>
            </w:tcBorders>
            <w:shd w:val="clear" w:color="auto" w:fill="CDCDCD"/>
          </w:tcPr>
          <w:p w14:paraId="04794B68" w14:textId="46A3CFFA" w:rsidR="00DA18B6" w:rsidRPr="005A74A0" w:rsidRDefault="00DA18B6" w:rsidP="00451F7F">
            <w:pPr>
              <w:pStyle w:val="NotesTable-CellBold"/>
            </w:pPr>
            <w:r w:rsidRPr="005A74A0">
              <w:t>–</w:t>
            </w:r>
          </w:p>
        </w:tc>
        <w:tc>
          <w:tcPr>
            <w:tcW w:w="289" w:type="pct"/>
            <w:tcBorders>
              <w:bottom w:val="single" w:sz="4" w:space="0" w:color="000000"/>
            </w:tcBorders>
            <w:shd w:val="clear" w:color="auto" w:fill="CDCDCD"/>
          </w:tcPr>
          <w:p w14:paraId="3C4E78E6" w14:textId="156E9306" w:rsidR="00DA18B6" w:rsidRPr="005A74A0" w:rsidRDefault="00DA18B6" w:rsidP="00451F7F">
            <w:pPr>
              <w:pStyle w:val="NotesTable-CellPlain"/>
            </w:pPr>
            <w:r w:rsidRPr="005A74A0">
              <w:t>–</w:t>
            </w:r>
          </w:p>
        </w:tc>
        <w:tc>
          <w:tcPr>
            <w:tcW w:w="283" w:type="pct"/>
            <w:tcBorders>
              <w:bottom w:val="single" w:sz="4" w:space="0" w:color="000000"/>
            </w:tcBorders>
            <w:shd w:val="clear" w:color="auto" w:fill="CDCDCD"/>
          </w:tcPr>
          <w:p w14:paraId="2980D829" w14:textId="4E0B018E" w:rsidR="00DA18B6" w:rsidRPr="005A74A0" w:rsidRDefault="00DA18B6" w:rsidP="00451F7F">
            <w:pPr>
              <w:pStyle w:val="NotesTable-CellBold"/>
            </w:pPr>
            <w:r w:rsidRPr="005A74A0">
              <w:t>–</w:t>
            </w:r>
          </w:p>
        </w:tc>
        <w:tc>
          <w:tcPr>
            <w:tcW w:w="277" w:type="pct"/>
            <w:tcBorders>
              <w:bottom w:val="single" w:sz="4" w:space="0" w:color="000000"/>
            </w:tcBorders>
            <w:shd w:val="clear" w:color="auto" w:fill="CDCDCD"/>
          </w:tcPr>
          <w:p w14:paraId="4EF1771C" w14:textId="17477D27" w:rsidR="00DA18B6" w:rsidRPr="005A74A0" w:rsidRDefault="00DA18B6" w:rsidP="00451F7F">
            <w:pPr>
              <w:pStyle w:val="NotesTable-CellPlain"/>
            </w:pPr>
            <w:r w:rsidRPr="005A74A0">
              <w:t>–</w:t>
            </w:r>
          </w:p>
        </w:tc>
      </w:tr>
      <w:tr w:rsidR="00B436FC" w14:paraId="038A05F4" w14:textId="77777777" w:rsidTr="00AF78E2">
        <w:trPr>
          <w:cantSplit/>
          <w:trHeight w:hRule="exact" w:val="227"/>
        </w:trPr>
        <w:tc>
          <w:tcPr>
            <w:tcW w:w="713" w:type="pct"/>
          </w:tcPr>
          <w:p w14:paraId="038A05ED" w14:textId="77777777" w:rsidR="00B436FC" w:rsidRDefault="00B436FC" w:rsidP="00D11709">
            <w:pPr>
              <w:pStyle w:val="Note-Refs"/>
            </w:pPr>
          </w:p>
        </w:tc>
        <w:tc>
          <w:tcPr>
            <w:tcW w:w="2911" w:type="pct"/>
            <w:shd w:val="clear" w:color="auto" w:fill="CDCDCD"/>
            <w:vAlign w:val="bottom"/>
          </w:tcPr>
          <w:p w14:paraId="038A05EE" w14:textId="77777777" w:rsidR="00B436FC" w:rsidRDefault="00B436FC">
            <w:pPr>
              <w:pStyle w:val="Statement-ItemBold"/>
            </w:pPr>
            <w:r>
              <w:t>Net cash provided by / (used in) financing activities</w:t>
            </w:r>
          </w:p>
        </w:tc>
        <w:tc>
          <w:tcPr>
            <w:tcW w:w="232" w:type="pct"/>
            <w:shd w:val="clear" w:color="auto" w:fill="CDCDCD"/>
          </w:tcPr>
          <w:p w14:paraId="038A05EF" w14:textId="77777777" w:rsidR="00B436FC" w:rsidRPr="00451F7F" w:rsidRDefault="00B436FC" w:rsidP="005D4154">
            <w:pPr>
              <w:pStyle w:val="NotesTable-Notes"/>
            </w:pPr>
          </w:p>
        </w:tc>
        <w:tc>
          <w:tcPr>
            <w:tcW w:w="295" w:type="pct"/>
            <w:tcBorders>
              <w:top w:val="single" w:sz="4" w:space="0" w:color="000000"/>
              <w:bottom w:val="single" w:sz="4" w:space="0" w:color="auto"/>
            </w:tcBorders>
            <w:shd w:val="clear" w:color="auto" w:fill="CDCDCD"/>
          </w:tcPr>
          <w:p w14:paraId="038A05F0" w14:textId="77777777" w:rsidR="00B436FC" w:rsidRPr="005A74A0" w:rsidRDefault="00B436FC" w:rsidP="00451F7F">
            <w:pPr>
              <w:pStyle w:val="NotesTable-CellBold"/>
            </w:pPr>
            <w:r w:rsidRPr="005A74A0">
              <w:t>–</w:t>
            </w:r>
          </w:p>
        </w:tc>
        <w:tc>
          <w:tcPr>
            <w:tcW w:w="289" w:type="pct"/>
            <w:tcBorders>
              <w:top w:val="single" w:sz="4" w:space="0" w:color="000000"/>
              <w:bottom w:val="single" w:sz="4" w:space="0" w:color="auto"/>
            </w:tcBorders>
            <w:shd w:val="clear" w:color="auto" w:fill="CDCDCD"/>
          </w:tcPr>
          <w:p w14:paraId="038A05F1" w14:textId="77777777" w:rsidR="00B436FC" w:rsidRPr="005A74A0" w:rsidRDefault="00B436FC" w:rsidP="00451F7F">
            <w:pPr>
              <w:pStyle w:val="NotesTable-CellPlain"/>
            </w:pPr>
            <w:r w:rsidRPr="005A74A0">
              <w:t>–</w:t>
            </w:r>
          </w:p>
        </w:tc>
        <w:tc>
          <w:tcPr>
            <w:tcW w:w="283" w:type="pct"/>
            <w:tcBorders>
              <w:top w:val="single" w:sz="4" w:space="0" w:color="000000"/>
              <w:bottom w:val="single" w:sz="4" w:space="0" w:color="auto"/>
            </w:tcBorders>
            <w:shd w:val="clear" w:color="auto" w:fill="CDCDCD"/>
          </w:tcPr>
          <w:p w14:paraId="038A05F2" w14:textId="77777777" w:rsidR="00B436FC" w:rsidRPr="005A74A0" w:rsidRDefault="00B436FC" w:rsidP="00451F7F">
            <w:pPr>
              <w:pStyle w:val="NotesTable-CellBold"/>
            </w:pPr>
            <w:r w:rsidRPr="005A74A0">
              <w:t>–</w:t>
            </w:r>
          </w:p>
        </w:tc>
        <w:tc>
          <w:tcPr>
            <w:tcW w:w="277" w:type="pct"/>
            <w:tcBorders>
              <w:top w:val="single" w:sz="4" w:space="0" w:color="000000"/>
              <w:bottom w:val="single" w:sz="4" w:space="0" w:color="auto"/>
            </w:tcBorders>
            <w:shd w:val="clear" w:color="auto" w:fill="CDCDCD"/>
          </w:tcPr>
          <w:p w14:paraId="038A05F3" w14:textId="77777777" w:rsidR="00B436FC" w:rsidRPr="005A74A0" w:rsidRDefault="00B436FC" w:rsidP="00451F7F">
            <w:pPr>
              <w:pStyle w:val="NotesTable-CellPlain"/>
            </w:pPr>
            <w:r w:rsidRPr="005A74A0">
              <w:t>–</w:t>
            </w:r>
          </w:p>
        </w:tc>
      </w:tr>
      <w:tr w:rsidR="00B436FC" w14:paraId="038A05FC" w14:textId="77777777" w:rsidTr="00AF78E2">
        <w:trPr>
          <w:cantSplit/>
          <w:trHeight w:hRule="exact" w:val="227"/>
        </w:trPr>
        <w:tc>
          <w:tcPr>
            <w:tcW w:w="713" w:type="pct"/>
          </w:tcPr>
          <w:p w14:paraId="038A05F5" w14:textId="77777777" w:rsidR="00B436FC" w:rsidRDefault="00B436FC" w:rsidP="00D11709">
            <w:pPr>
              <w:pStyle w:val="Note-Refs"/>
            </w:pPr>
          </w:p>
        </w:tc>
        <w:tc>
          <w:tcPr>
            <w:tcW w:w="2911" w:type="pct"/>
            <w:shd w:val="clear" w:color="auto" w:fill="CDCDCD"/>
            <w:vAlign w:val="bottom"/>
          </w:tcPr>
          <w:p w14:paraId="038A05F6" w14:textId="77777777" w:rsidR="00B436FC" w:rsidRDefault="00B436FC">
            <w:pPr>
              <w:pStyle w:val="NotesTable-ItemPlain"/>
            </w:pPr>
          </w:p>
        </w:tc>
        <w:tc>
          <w:tcPr>
            <w:tcW w:w="232" w:type="pct"/>
            <w:shd w:val="clear" w:color="auto" w:fill="CDCDCD"/>
          </w:tcPr>
          <w:p w14:paraId="038A05F7" w14:textId="77777777" w:rsidR="00B436FC" w:rsidRPr="00451F7F" w:rsidRDefault="00B436FC" w:rsidP="005D4154">
            <w:pPr>
              <w:pStyle w:val="NotesTable-Notes"/>
            </w:pPr>
          </w:p>
        </w:tc>
        <w:tc>
          <w:tcPr>
            <w:tcW w:w="295" w:type="pct"/>
            <w:tcBorders>
              <w:top w:val="single" w:sz="4" w:space="0" w:color="auto"/>
            </w:tcBorders>
            <w:shd w:val="clear" w:color="auto" w:fill="CDCDCD"/>
          </w:tcPr>
          <w:p w14:paraId="038A05F8" w14:textId="77777777" w:rsidR="00B436FC" w:rsidRPr="005A74A0" w:rsidRDefault="00B436FC" w:rsidP="00451F7F">
            <w:pPr>
              <w:pStyle w:val="NotesTable-CellBold"/>
            </w:pPr>
          </w:p>
        </w:tc>
        <w:tc>
          <w:tcPr>
            <w:tcW w:w="289" w:type="pct"/>
            <w:tcBorders>
              <w:top w:val="single" w:sz="4" w:space="0" w:color="auto"/>
            </w:tcBorders>
            <w:shd w:val="clear" w:color="auto" w:fill="CDCDCD"/>
          </w:tcPr>
          <w:p w14:paraId="038A05F9" w14:textId="77777777" w:rsidR="00B436FC" w:rsidRPr="005A74A0" w:rsidRDefault="00B436FC" w:rsidP="00451F7F">
            <w:pPr>
              <w:pStyle w:val="NotesTable-CellPlain"/>
            </w:pPr>
          </w:p>
        </w:tc>
        <w:tc>
          <w:tcPr>
            <w:tcW w:w="283" w:type="pct"/>
            <w:tcBorders>
              <w:top w:val="single" w:sz="4" w:space="0" w:color="auto"/>
            </w:tcBorders>
            <w:shd w:val="clear" w:color="auto" w:fill="CDCDCD"/>
          </w:tcPr>
          <w:p w14:paraId="038A05FA" w14:textId="77777777" w:rsidR="00B436FC" w:rsidRPr="005A74A0" w:rsidRDefault="00B436FC" w:rsidP="00451F7F">
            <w:pPr>
              <w:pStyle w:val="NotesTable-CellBold"/>
            </w:pPr>
          </w:p>
        </w:tc>
        <w:tc>
          <w:tcPr>
            <w:tcW w:w="277" w:type="pct"/>
            <w:tcBorders>
              <w:top w:val="single" w:sz="4" w:space="0" w:color="auto"/>
            </w:tcBorders>
            <w:shd w:val="clear" w:color="auto" w:fill="CDCDCD"/>
          </w:tcPr>
          <w:p w14:paraId="038A05FB" w14:textId="77777777" w:rsidR="00B436FC" w:rsidRPr="005A74A0" w:rsidRDefault="00B436FC" w:rsidP="00451F7F">
            <w:pPr>
              <w:pStyle w:val="NotesTable-CellPlain"/>
            </w:pPr>
          </w:p>
        </w:tc>
      </w:tr>
      <w:tr w:rsidR="00B436FC" w14:paraId="038A0604" w14:textId="77777777" w:rsidTr="00AF78E2">
        <w:trPr>
          <w:cantSplit/>
          <w:trHeight w:hRule="exact" w:val="227"/>
        </w:trPr>
        <w:tc>
          <w:tcPr>
            <w:tcW w:w="713" w:type="pct"/>
          </w:tcPr>
          <w:p w14:paraId="038A05FD" w14:textId="77777777" w:rsidR="00B436FC" w:rsidRDefault="00B436FC" w:rsidP="00D11709">
            <w:pPr>
              <w:pStyle w:val="Note-Refs"/>
            </w:pPr>
          </w:p>
        </w:tc>
        <w:tc>
          <w:tcPr>
            <w:tcW w:w="2911" w:type="pct"/>
            <w:shd w:val="clear" w:color="auto" w:fill="CDCDCD"/>
            <w:vAlign w:val="bottom"/>
          </w:tcPr>
          <w:p w14:paraId="038A05FE" w14:textId="77777777" w:rsidR="00B436FC" w:rsidRDefault="00B436FC">
            <w:pPr>
              <w:pStyle w:val="Statement-ItemBold"/>
            </w:pPr>
            <w:r>
              <w:t>Net increase / (decrease) in cash and cash equivalents</w:t>
            </w:r>
          </w:p>
        </w:tc>
        <w:tc>
          <w:tcPr>
            <w:tcW w:w="232" w:type="pct"/>
            <w:shd w:val="clear" w:color="auto" w:fill="CDCDCD"/>
          </w:tcPr>
          <w:p w14:paraId="038A05FF" w14:textId="77777777" w:rsidR="00B436FC" w:rsidRPr="00451F7F" w:rsidRDefault="00B436FC" w:rsidP="005D4154">
            <w:pPr>
              <w:pStyle w:val="NotesTable-Notes"/>
            </w:pPr>
          </w:p>
        </w:tc>
        <w:tc>
          <w:tcPr>
            <w:tcW w:w="295" w:type="pct"/>
            <w:shd w:val="clear" w:color="auto" w:fill="CDCDCD"/>
          </w:tcPr>
          <w:p w14:paraId="038A0600" w14:textId="77777777" w:rsidR="00B436FC" w:rsidRPr="005A74A0" w:rsidRDefault="00B436FC" w:rsidP="00451F7F">
            <w:pPr>
              <w:pStyle w:val="NotesTable-CellBold"/>
              <w:rPr>
                <w:bCs/>
              </w:rPr>
            </w:pPr>
            <w:r w:rsidRPr="005A74A0">
              <w:t>–</w:t>
            </w:r>
          </w:p>
        </w:tc>
        <w:tc>
          <w:tcPr>
            <w:tcW w:w="289" w:type="pct"/>
            <w:shd w:val="clear" w:color="auto" w:fill="CDCDCD"/>
          </w:tcPr>
          <w:p w14:paraId="038A0601" w14:textId="77777777" w:rsidR="00B436FC" w:rsidRPr="005A74A0" w:rsidRDefault="00B436FC" w:rsidP="00451F7F">
            <w:pPr>
              <w:pStyle w:val="NotesTable-CellPlain"/>
            </w:pPr>
            <w:r w:rsidRPr="005A74A0">
              <w:t>–</w:t>
            </w:r>
          </w:p>
        </w:tc>
        <w:tc>
          <w:tcPr>
            <w:tcW w:w="283" w:type="pct"/>
            <w:shd w:val="clear" w:color="auto" w:fill="CDCDCD"/>
          </w:tcPr>
          <w:p w14:paraId="038A0602" w14:textId="77777777" w:rsidR="00B436FC" w:rsidRPr="005A74A0" w:rsidRDefault="00B436FC" w:rsidP="00451F7F">
            <w:pPr>
              <w:pStyle w:val="NotesTable-CellBold"/>
            </w:pPr>
            <w:r w:rsidRPr="005A74A0">
              <w:t>–</w:t>
            </w:r>
          </w:p>
        </w:tc>
        <w:tc>
          <w:tcPr>
            <w:tcW w:w="277" w:type="pct"/>
            <w:shd w:val="clear" w:color="auto" w:fill="CDCDCD"/>
          </w:tcPr>
          <w:p w14:paraId="038A0603" w14:textId="77777777" w:rsidR="00B436FC" w:rsidRPr="005A74A0" w:rsidRDefault="00B436FC" w:rsidP="00451F7F">
            <w:pPr>
              <w:pStyle w:val="NotesTable-CellPlain"/>
            </w:pPr>
            <w:r w:rsidRPr="005A74A0">
              <w:t>–</w:t>
            </w:r>
          </w:p>
        </w:tc>
      </w:tr>
      <w:tr w:rsidR="00B436FC" w14:paraId="038A060C" w14:textId="77777777" w:rsidTr="00AF78E2">
        <w:trPr>
          <w:cantSplit/>
          <w:trHeight w:hRule="exact" w:val="454"/>
        </w:trPr>
        <w:tc>
          <w:tcPr>
            <w:tcW w:w="713" w:type="pct"/>
          </w:tcPr>
          <w:p w14:paraId="038A0605" w14:textId="77777777" w:rsidR="00B436FC" w:rsidRDefault="00B436FC" w:rsidP="00D11709">
            <w:pPr>
              <w:pStyle w:val="Note-Refs"/>
            </w:pPr>
          </w:p>
        </w:tc>
        <w:tc>
          <w:tcPr>
            <w:tcW w:w="2911" w:type="pct"/>
            <w:shd w:val="clear" w:color="auto" w:fill="CDCDCD"/>
            <w:vAlign w:val="bottom"/>
          </w:tcPr>
          <w:p w14:paraId="038A0606" w14:textId="77777777" w:rsidR="00B436FC" w:rsidRDefault="00B436FC" w:rsidP="00D11709">
            <w:pPr>
              <w:pStyle w:val="NotesTable-ItemPlain"/>
              <w:rPr>
                <w:b/>
              </w:rPr>
            </w:pPr>
            <w:r>
              <w:t>Cash and cash equivalents at the beginning of the financial year</w:t>
            </w:r>
          </w:p>
        </w:tc>
        <w:tc>
          <w:tcPr>
            <w:tcW w:w="232" w:type="pct"/>
            <w:shd w:val="clear" w:color="auto" w:fill="CDCDCD"/>
          </w:tcPr>
          <w:p w14:paraId="038A0607" w14:textId="77777777" w:rsidR="00B436FC" w:rsidRPr="00451F7F" w:rsidRDefault="00B436FC" w:rsidP="005D4154">
            <w:pPr>
              <w:pStyle w:val="NotesTable-Notes"/>
            </w:pPr>
          </w:p>
        </w:tc>
        <w:tc>
          <w:tcPr>
            <w:tcW w:w="295" w:type="pct"/>
            <w:shd w:val="clear" w:color="auto" w:fill="CDCDCD"/>
          </w:tcPr>
          <w:p w14:paraId="038A0608" w14:textId="77777777" w:rsidR="00B436FC" w:rsidRPr="005A74A0" w:rsidRDefault="00B436FC" w:rsidP="00451F7F">
            <w:pPr>
              <w:pStyle w:val="NotesTable-CellBold"/>
            </w:pPr>
            <w:r w:rsidRPr="005A74A0">
              <w:br/>
              <w:t>–</w:t>
            </w:r>
          </w:p>
        </w:tc>
        <w:tc>
          <w:tcPr>
            <w:tcW w:w="289" w:type="pct"/>
            <w:shd w:val="clear" w:color="auto" w:fill="CDCDCD"/>
          </w:tcPr>
          <w:p w14:paraId="038A0609" w14:textId="77777777" w:rsidR="00B436FC" w:rsidRPr="005A74A0" w:rsidRDefault="00B436FC" w:rsidP="00451F7F">
            <w:pPr>
              <w:pStyle w:val="NotesTable-CellPlain"/>
            </w:pPr>
            <w:r w:rsidRPr="005A74A0">
              <w:br/>
              <w:t>–</w:t>
            </w:r>
          </w:p>
        </w:tc>
        <w:tc>
          <w:tcPr>
            <w:tcW w:w="283" w:type="pct"/>
            <w:shd w:val="clear" w:color="auto" w:fill="CDCDCD"/>
          </w:tcPr>
          <w:p w14:paraId="038A060A" w14:textId="77777777" w:rsidR="00B436FC" w:rsidRPr="005A74A0" w:rsidRDefault="00B436FC" w:rsidP="00451F7F">
            <w:pPr>
              <w:pStyle w:val="NotesTable-CellBold"/>
            </w:pPr>
            <w:r w:rsidRPr="005A74A0">
              <w:br/>
              <w:t>–</w:t>
            </w:r>
          </w:p>
        </w:tc>
        <w:tc>
          <w:tcPr>
            <w:tcW w:w="277" w:type="pct"/>
            <w:shd w:val="clear" w:color="auto" w:fill="CDCDCD"/>
          </w:tcPr>
          <w:p w14:paraId="038A060B" w14:textId="77777777" w:rsidR="00B436FC" w:rsidRPr="005A74A0" w:rsidRDefault="00B436FC" w:rsidP="00451F7F">
            <w:pPr>
              <w:pStyle w:val="NotesTable-CellPlain"/>
            </w:pPr>
            <w:r w:rsidRPr="005A74A0">
              <w:br/>
              <w:t>–</w:t>
            </w:r>
          </w:p>
        </w:tc>
      </w:tr>
      <w:tr w:rsidR="00B436FC" w14:paraId="038A0614" w14:textId="77777777" w:rsidTr="00AF78E2">
        <w:trPr>
          <w:cantSplit/>
          <w:trHeight w:hRule="exact" w:val="454"/>
        </w:trPr>
        <w:tc>
          <w:tcPr>
            <w:tcW w:w="713" w:type="pct"/>
          </w:tcPr>
          <w:p w14:paraId="038A060D" w14:textId="77777777" w:rsidR="00B436FC" w:rsidRDefault="00B436FC" w:rsidP="00D11709">
            <w:pPr>
              <w:pStyle w:val="Note-Refs"/>
              <w:rPr>
                <w:b/>
              </w:rPr>
            </w:pPr>
            <w:r>
              <w:t>AASB107.28</w:t>
            </w:r>
          </w:p>
        </w:tc>
        <w:tc>
          <w:tcPr>
            <w:tcW w:w="2911" w:type="pct"/>
            <w:shd w:val="clear" w:color="auto" w:fill="CDCDCD"/>
            <w:vAlign w:val="bottom"/>
          </w:tcPr>
          <w:p w14:paraId="038A060E" w14:textId="77777777" w:rsidR="00B436FC" w:rsidRDefault="00B436FC" w:rsidP="00D11709">
            <w:pPr>
              <w:pStyle w:val="NotesTable-ItemPlain"/>
              <w:rPr>
                <w:b/>
              </w:rPr>
            </w:pPr>
            <w:r>
              <w:t>Effects of exchange rate changes on cash and cash equivalents</w:t>
            </w:r>
          </w:p>
        </w:tc>
        <w:tc>
          <w:tcPr>
            <w:tcW w:w="232" w:type="pct"/>
            <w:shd w:val="clear" w:color="auto" w:fill="CDCDCD"/>
          </w:tcPr>
          <w:p w14:paraId="038A060F" w14:textId="77777777" w:rsidR="00B436FC" w:rsidRPr="00451F7F" w:rsidRDefault="00B436FC" w:rsidP="005D4154">
            <w:pPr>
              <w:pStyle w:val="NotesTable-Notes"/>
            </w:pPr>
          </w:p>
        </w:tc>
        <w:tc>
          <w:tcPr>
            <w:tcW w:w="295" w:type="pct"/>
            <w:shd w:val="clear" w:color="auto" w:fill="CDCDCD"/>
          </w:tcPr>
          <w:p w14:paraId="038A0610" w14:textId="77777777" w:rsidR="00B436FC" w:rsidRPr="005A74A0" w:rsidRDefault="00B436FC" w:rsidP="00451F7F">
            <w:pPr>
              <w:pStyle w:val="NotesTable-CellBold"/>
            </w:pPr>
            <w:r w:rsidRPr="005A74A0">
              <w:br/>
              <w:t>–</w:t>
            </w:r>
          </w:p>
        </w:tc>
        <w:tc>
          <w:tcPr>
            <w:tcW w:w="289" w:type="pct"/>
            <w:shd w:val="clear" w:color="auto" w:fill="CDCDCD"/>
          </w:tcPr>
          <w:p w14:paraId="038A0611" w14:textId="77777777" w:rsidR="00B436FC" w:rsidRPr="005A74A0" w:rsidRDefault="00B436FC" w:rsidP="00451F7F">
            <w:pPr>
              <w:pStyle w:val="NotesTable-CellPlain"/>
            </w:pPr>
            <w:r w:rsidRPr="005A74A0">
              <w:br/>
              <w:t>–</w:t>
            </w:r>
          </w:p>
        </w:tc>
        <w:tc>
          <w:tcPr>
            <w:tcW w:w="283" w:type="pct"/>
            <w:shd w:val="clear" w:color="auto" w:fill="CDCDCD"/>
          </w:tcPr>
          <w:p w14:paraId="038A0612" w14:textId="77777777" w:rsidR="00B436FC" w:rsidRPr="005A74A0" w:rsidRDefault="00B436FC" w:rsidP="00451F7F">
            <w:pPr>
              <w:pStyle w:val="NotesTable-CellBold"/>
            </w:pPr>
            <w:r w:rsidRPr="005A74A0">
              <w:br/>
              <w:t>–</w:t>
            </w:r>
          </w:p>
        </w:tc>
        <w:tc>
          <w:tcPr>
            <w:tcW w:w="277" w:type="pct"/>
            <w:shd w:val="clear" w:color="auto" w:fill="CDCDCD"/>
          </w:tcPr>
          <w:p w14:paraId="038A0613" w14:textId="77777777" w:rsidR="00B436FC" w:rsidRPr="005A74A0" w:rsidRDefault="00B436FC" w:rsidP="00451F7F">
            <w:pPr>
              <w:pStyle w:val="NotesTable-CellPlain"/>
            </w:pPr>
            <w:r w:rsidRPr="005A74A0">
              <w:br/>
              <w:t>–</w:t>
            </w:r>
          </w:p>
        </w:tc>
      </w:tr>
      <w:tr w:rsidR="00B436FC" w14:paraId="038A061C" w14:textId="77777777" w:rsidTr="00AF78E2">
        <w:trPr>
          <w:cantSplit/>
          <w:trHeight w:val="227"/>
        </w:trPr>
        <w:tc>
          <w:tcPr>
            <w:tcW w:w="713" w:type="pct"/>
          </w:tcPr>
          <w:p w14:paraId="038A0615" w14:textId="77777777" w:rsidR="00B436FC" w:rsidRPr="00985B10" w:rsidRDefault="00B436FC" w:rsidP="00D11709">
            <w:pPr>
              <w:pStyle w:val="Note-Refs"/>
            </w:pPr>
          </w:p>
        </w:tc>
        <w:tc>
          <w:tcPr>
            <w:tcW w:w="2911" w:type="pct"/>
            <w:shd w:val="clear" w:color="auto" w:fill="CDCDCD"/>
            <w:vAlign w:val="bottom"/>
          </w:tcPr>
          <w:p w14:paraId="038A0616" w14:textId="77777777" w:rsidR="00B436FC" w:rsidRDefault="00B436FC">
            <w:pPr>
              <w:pStyle w:val="Statement-ItemBold"/>
            </w:pPr>
            <w:r>
              <w:t>Cash and cash equivalents at the end of the financial year</w:t>
            </w:r>
          </w:p>
        </w:tc>
        <w:tc>
          <w:tcPr>
            <w:tcW w:w="232" w:type="pct"/>
            <w:shd w:val="clear" w:color="auto" w:fill="CDCDCD"/>
          </w:tcPr>
          <w:p w14:paraId="038A0617" w14:textId="40F6EA36" w:rsidR="00B436FC" w:rsidRPr="00451F7F" w:rsidRDefault="00F405B7" w:rsidP="005D4154">
            <w:pPr>
              <w:pStyle w:val="NotesTable-Notes"/>
            </w:pPr>
            <w:r>
              <w:t>18</w:t>
            </w:r>
          </w:p>
        </w:tc>
        <w:tc>
          <w:tcPr>
            <w:tcW w:w="295" w:type="pct"/>
            <w:tcBorders>
              <w:top w:val="single" w:sz="4" w:space="0" w:color="auto"/>
              <w:bottom w:val="single" w:sz="4" w:space="0" w:color="auto"/>
            </w:tcBorders>
            <w:shd w:val="clear" w:color="auto" w:fill="CDCDCD"/>
          </w:tcPr>
          <w:p w14:paraId="038A0618" w14:textId="77777777" w:rsidR="00B436FC" w:rsidRPr="005A74A0" w:rsidRDefault="00B436FC" w:rsidP="00451F7F">
            <w:pPr>
              <w:pStyle w:val="NotesTable-CellBold"/>
            </w:pPr>
            <w:r>
              <w:br/>
            </w:r>
            <w:r w:rsidRPr="005A74A0">
              <w:t>–</w:t>
            </w:r>
          </w:p>
        </w:tc>
        <w:tc>
          <w:tcPr>
            <w:tcW w:w="289" w:type="pct"/>
            <w:tcBorders>
              <w:top w:val="single" w:sz="4" w:space="0" w:color="auto"/>
              <w:bottom w:val="single" w:sz="4" w:space="0" w:color="auto"/>
            </w:tcBorders>
            <w:shd w:val="clear" w:color="auto" w:fill="CDCDCD"/>
          </w:tcPr>
          <w:p w14:paraId="038A0619" w14:textId="77777777" w:rsidR="00B436FC" w:rsidRPr="005A74A0" w:rsidRDefault="00B436FC" w:rsidP="00451F7F">
            <w:pPr>
              <w:pStyle w:val="NotesTable-CellPlain"/>
            </w:pPr>
            <w:r>
              <w:br/>
            </w:r>
            <w:r w:rsidRPr="005A74A0">
              <w:t>–</w:t>
            </w:r>
          </w:p>
        </w:tc>
        <w:tc>
          <w:tcPr>
            <w:tcW w:w="283" w:type="pct"/>
            <w:tcBorders>
              <w:top w:val="single" w:sz="4" w:space="0" w:color="auto"/>
              <w:bottom w:val="single" w:sz="4" w:space="0" w:color="auto"/>
            </w:tcBorders>
            <w:shd w:val="clear" w:color="auto" w:fill="CDCDCD"/>
          </w:tcPr>
          <w:p w14:paraId="038A061A" w14:textId="77777777" w:rsidR="00B436FC" w:rsidRPr="005A74A0" w:rsidRDefault="00B436FC" w:rsidP="00451F7F">
            <w:pPr>
              <w:pStyle w:val="NotesTable-CellBold"/>
            </w:pPr>
            <w:r>
              <w:br/>
            </w:r>
            <w:r w:rsidRPr="005A74A0">
              <w:t>–</w:t>
            </w:r>
          </w:p>
        </w:tc>
        <w:tc>
          <w:tcPr>
            <w:tcW w:w="277" w:type="pct"/>
            <w:tcBorders>
              <w:top w:val="single" w:sz="4" w:space="0" w:color="auto"/>
              <w:bottom w:val="single" w:sz="4" w:space="0" w:color="auto"/>
            </w:tcBorders>
            <w:shd w:val="clear" w:color="auto" w:fill="CDCDCD"/>
          </w:tcPr>
          <w:p w14:paraId="038A061B" w14:textId="77777777" w:rsidR="00B436FC" w:rsidRPr="005A74A0" w:rsidRDefault="00B436FC" w:rsidP="00451F7F">
            <w:pPr>
              <w:pStyle w:val="NotesTable-CellPlain"/>
            </w:pPr>
            <w:r>
              <w:br/>
            </w:r>
            <w:r w:rsidRPr="005A74A0">
              <w:t>–</w:t>
            </w:r>
          </w:p>
        </w:tc>
      </w:tr>
      <w:tr w:rsidR="00B436FC" w14:paraId="038A0624" w14:textId="77777777" w:rsidTr="00AF78E2">
        <w:trPr>
          <w:cantSplit/>
          <w:trHeight w:hRule="exact" w:val="227"/>
        </w:trPr>
        <w:tc>
          <w:tcPr>
            <w:tcW w:w="713" w:type="pct"/>
          </w:tcPr>
          <w:p w14:paraId="038A061D" w14:textId="77777777" w:rsidR="00B436FC" w:rsidRDefault="00B436FC" w:rsidP="00D11709">
            <w:pPr>
              <w:pStyle w:val="Note-Refs"/>
            </w:pPr>
            <w:r>
              <w:t>AASB107.50a</w:t>
            </w:r>
          </w:p>
        </w:tc>
        <w:tc>
          <w:tcPr>
            <w:tcW w:w="2911" w:type="pct"/>
            <w:shd w:val="clear" w:color="auto" w:fill="CDCDCD"/>
            <w:vAlign w:val="bottom"/>
          </w:tcPr>
          <w:p w14:paraId="038A061E" w14:textId="77777777" w:rsidR="00B436FC" w:rsidRDefault="00B436FC" w:rsidP="00D11709">
            <w:pPr>
              <w:pStyle w:val="NotesTable-ItemPlain"/>
              <w:rPr>
                <w:b/>
              </w:rPr>
            </w:pPr>
            <w:r>
              <w:t>Financing arrangements</w:t>
            </w:r>
          </w:p>
        </w:tc>
        <w:tc>
          <w:tcPr>
            <w:tcW w:w="232" w:type="pct"/>
            <w:shd w:val="clear" w:color="auto" w:fill="CDCDCD"/>
          </w:tcPr>
          <w:p w14:paraId="038A061F" w14:textId="5B83EB5D" w:rsidR="00B436FC" w:rsidRPr="00451F7F" w:rsidRDefault="00F405B7" w:rsidP="005D4154">
            <w:pPr>
              <w:pStyle w:val="NotesTable-Notes"/>
            </w:pPr>
            <w:r>
              <w:t>30</w:t>
            </w:r>
          </w:p>
        </w:tc>
        <w:tc>
          <w:tcPr>
            <w:tcW w:w="295" w:type="pct"/>
            <w:tcBorders>
              <w:top w:val="single" w:sz="4" w:space="0" w:color="auto"/>
            </w:tcBorders>
            <w:shd w:val="clear" w:color="auto" w:fill="CDCDCD"/>
          </w:tcPr>
          <w:p w14:paraId="038A0620" w14:textId="77777777" w:rsidR="00B436FC" w:rsidRPr="005A74A0" w:rsidRDefault="00B436FC" w:rsidP="00451F7F">
            <w:pPr>
              <w:pStyle w:val="NotesTable-CellBold"/>
            </w:pPr>
          </w:p>
        </w:tc>
        <w:tc>
          <w:tcPr>
            <w:tcW w:w="289" w:type="pct"/>
            <w:tcBorders>
              <w:top w:val="single" w:sz="4" w:space="0" w:color="auto"/>
            </w:tcBorders>
            <w:shd w:val="clear" w:color="auto" w:fill="CDCDCD"/>
          </w:tcPr>
          <w:p w14:paraId="038A0621" w14:textId="77777777" w:rsidR="00B436FC" w:rsidRPr="005A74A0" w:rsidRDefault="00B436FC" w:rsidP="00451F7F">
            <w:pPr>
              <w:pStyle w:val="NotesTable-CellPlain"/>
            </w:pPr>
          </w:p>
        </w:tc>
        <w:tc>
          <w:tcPr>
            <w:tcW w:w="283" w:type="pct"/>
            <w:tcBorders>
              <w:top w:val="single" w:sz="4" w:space="0" w:color="auto"/>
            </w:tcBorders>
            <w:shd w:val="clear" w:color="auto" w:fill="CDCDCD"/>
          </w:tcPr>
          <w:p w14:paraId="038A0622" w14:textId="77777777" w:rsidR="00B436FC" w:rsidRPr="005A74A0" w:rsidRDefault="00B436FC" w:rsidP="00451F7F">
            <w:pPr>
              <w:pStyle w:val="NotesTable-CellBold"/>
            </w:pPr>
          </w:p>
        </w:tc>
        <w:tc>
          <w:tcPr>
            <w:tcW w:w="277" w:type="pct"/>
            <w:tcBorders>
              <w:top w:val="single" w:sz="4" w:space="0" w:color="auto"/>
            </w:tcBorders>
            <w:shd w:val="clear" w:color="auto" w:fill="CDCDCD"/>
          </w:tcPr>
          <w:p w14:paraId="038A0623" w14:textId="77777777" w:rsidR="00B436FC" w:rsidRPr="005A74A0" w:rsidRDefault="00B436FC" w:rsidP="00451F7F">
            <w:pPr>
              <w:pStyle w:val="NotesTable-CellPlain"/>
            </w:pPr>
          </w:p>
        </w:tc>
      </w:tr>
      <w:tr w:rsidR="00B436FC" w14:paraId="038A062C" w14:textId="77777777" w:rsidTr="00AF78E2">
        <w:trPr>
          <w:cantSplit/>
          <w:trHeight w:hRule="exact" w:val="227"/>
        </w:trPr>
        <w:tc>
          <w:tcPr>
            <w:tcW w:w="713" w:type="pct"/>
          </w:tcPr>
          <w:p w14:paraId="038A0625" w14:textId="77777777" w:rsidR="00B436FC" w:rsidRDefault="00B436FC" w:rsidP="00D11709">
            <w:pPr>
              <w:pStyle w:val="Note-Refs"/>
              <w:rPr>
                <w:b/>
              </w:rPr>
            </w:pPr>
            <w:r>
              <w:t>AASB107.43</w:t>
            </w:r>
          </w:p>
        </w:tc>
        <w:tc>
          <w:tcPr>
            <w:tcW w:w="2911" w:type="pct"/>
            <w:shd w:val="clear" w:color="auto" w:fill="CDCDCD"/>
            <w:vAlign w:val="bottom"/>
          </w:tcPr>
          <w:p w14:paraId="038A0626" w14:textId="77777777" w:rsidR="00B436FC" w:rsidRDefault="00B436FC" w:rsidP="00D11709">
            <w:pPr>
              <w:pStyle w:val="NotesTable-ItemPlain"/>
              <w:rPr>
                <w:b/>
              </w:rPr>
            </w:pPr>
            <w:r>
              <w:t>Non-cash financing and investing activities</w:t>
            </w:r>
          </w:p>
        </w:tc>
        <w:tc>
          <w:tcPr>
            <w:tcW w:w="232" w:type="pct"/>
            <w:shd w:val="clear" w:color="auto" w:fill="CDCDCD"/>
          </w:tcPr>
          <w:p w14:paraId="038A0627" w14:textId="77777777" w:rsidR="00B436FC" w:rsidRPr="00451F7F" w:rsidRDefault="00B436FC" w:rsidP="005D4154">
            <w:pPr>
              <w:pStyle w:val="NotesTable-Notes"/>
            </w:pPr>
            <w:r w:rsidRPr="00D54FC2">
              <w:t>48</w:t>
            </w:r>
          </w:p>
        </w:tc>
        <w:tc>
          <w:tcPr>
            <w:tcW w:w="295" w:type="pct"/>
            <w:shd w:val="clear" w:color="auto" w:fill="CDCDCD"/>
          </w:tcPr>
          <w:p w14:paraId="038A0628" w14:textId="77777777" w:rsidR="00B436FC" w:rsidRPr="005A74A0" w:rsidRDefault="00B436FC" w:rsidP="00451F7F">
            <w:pPr>
              <w:pStyle w:val="NotesTable-CellBold"/>
            </w:pPr>
          </w:p>
        </w:tc>
        <w:tc>
          <w:tcPr>
            <w:tcW w:w="289" w:type="pct"/>
            <w:shd w:val="clear" w:color="auto" w:fill="CDCDCD"/>
          </w:tcPr>
          <w:p w14:paraId="038A0629" w14:textId="77777777" w:rsidR="00B436FC" w:rsidRPr="005A74A0" w:rsidRDefault="00B436FC" w:rsidP="00451F7F">
            <w:pPr>
              <w:pStyle w:val="NotesTable-CellPlain"/>
            </w:pPr>
          </w:p>
        </w:tc>
        <w:tc>
          <w:tcPr>
            <w:tcW w:w="283" w:type="pct"/>
            <w:shd w:val="clear" w:color="auto" w:fill="CDCDCD"/>
          </w:tcPr>
          <w:p w14:paraId="038A062A" w14:textId="77777777" w:rsidR="00B436FC" w:rsidRPr="005A74A0" w:rsidRDefault="00B436FC" w:rsidP="00451F7F">
            <w:pPr>
              <w:pStyle w:val="NotesTable-CellBold"/>
            </w:pPr>
          </w:p>
        </w:tc>
        <w:tc>
          <w:tcPr>
            <w:tcW w:w="277" w:type="pct"/>
            <w:shd w:val="clear" w:color="auto" w:fill="CDCDCD"/>
          </w:tcPr>
          <w:p w14:paraId="038A062B" w14:textId="77777777" w:rsidR="00B436FC" w:rsidRPr="005A74A0" w:rsidRDefault="00B436FC" w:rsidP="00451F7F">
            <w:pPr>
              <w:pStyle w:val="NotesTable-CellPlain"/>
            </w:pPr>
          </w:p>
        </w:tc>
      </w:tr>
      <w:tr w:rsidR="00B436FC" w14:paraId="038A0635" w14:textId="77777777" w:rsidTr="00AF78E2">
        <w:trPr>
          <w:cantSplit/>
          <w:trHeight w:hRule="exact" w:val="454"/>
        </w:trPr>
        <w:tc>
          <w:tcPr>
            <w:tcW w:w="713" w:type="pct"/>
          </w:tcPr>
          <w:p w14:paraId="038A0633" w14:textId="77777777" w:rsidR="00B436FC" w:rsidRDefault="00B436FC" w:rsidP="00D11709">
            <w:pPr>
              <w:pStyle w:val="Note-Refs"/>
            </w:pPr>
          </w:p>
        </w:tc>
        <w:tc>
          <w:tcPr>
            <w:tcW w:w="4287" w:type="pct"/>
            <w:gridSpan w:val="6"/>
            <w:shd w:val="clear" w:color="auto" w:fill="CDCDCD"/>
            <w:vAlign w:val="center"/>
          </w:tcPr>
          <w:p w14:paraId="038A0634" w14:textId="77777777" w:rsidR="00B436FC" w:rsidRPr="005F1EBD" w:rsidRDefault="00B436FC" w:rsidP="00D11709">
            <w:pPr>
              <w:pStyle w:val="NotesTable-ItemPlain"/>
            </w:pPr>
            <w:r w:rsidRPr="005F1EBD">
              <w:t>The above statement of cash flows should be read in conjunction with the accompanying notes.</w:t>
            </w:r>
          </w:p>
        </w:tc>
      </w:tr>
    </w:tbl>
    <w:p w14:paraId="674750D3" w14:textId="69D5BCB9" w:rsidR="001B501D" w:rsidRPr="001B501D" w:rsidRDefault="001B501D" w:rsidP="001A5D4A">
      <w:pPr>
        <w:pStyle w:val="Heading2"/>
        <w:rPr>
          <w:color w:val="2D3E7B" w:themeColor="text2" w:themeShade="BF"/>
        </w:rPr>
      </w:pPr>
      <w:bookmarkStart w:id="225" w:name="_Toc410807601"/>
      <w:bookmarkStart w:id="226" w:name="_Toc410822651"/>
      <w:bookmarkStart w:id="227" w:name="_Toc410823810"/>
      <w:bookmarkStart w:id="228" w:name="_Toc410825046"/>
      <w:bookmarkStart w:id="229" w:name="_Toc410825196"/>
      <w:r w:rsidRPr="001B501D">
        <w:rPr>
          <w:color w:val="2D3E7B" w:themeColor="text2" w:themeShade="BF"/>
        </w:rPr>
        <w:lastRenderedPageBreak/>
        <w:t xml:space="preserve">Commentary </w:t>
      </w:r>
      <w:r w:rsidR="001A5D4A">
        <w:rPr>
          <w:color w:val="2D3E7B" w:themeColor="text2" w:themeShade="BF"/>
        </w:rPr>
        <w:t>-</w:t>
      </w:r>
      <w:r w:rsidRPr="001B501D">
        <w:rPr>
          <w:color w:val="2D3E7B" w:themeColor="text2" w:themeShade="BF"/>
        </w:rPr>
        <w:t xml:space="preserve"> Statement of cash flows</w:t>
      </w:r>
      <w:bookmarkEnd w:id="225"/>
      <w:bookmarkEnd w:id="226"/>
      <w:bookmarkEnd w:id="227"/>
      <w:bookmarkEnd w:id="228"/>
      <w:bookmarkEnd w:id="229"/>
    </w:p>
    <w:p w14:paraId="4867644E" w14:textId="77777777" w:rsidR="001B501D" w:rsidRPr="00AD14D6" w:rsidRDefault="001B501D" w:rsidP="001A5D4A">
      <w:pPr>
        <w:pStyle w:val="Heading3"/>
        <w:rPr>
          <w:color w:val="2D3E7B" w:themeColor="text2" w:themeShade="BF"/>
        </w:rPr>
      </w:pPr>
      <w:r w:rsidRPr="00AD14D6">
        <w:rPr>
          <w:color w:val="2D3E7B" w:themeColor="text2" w:themeShade="BF"/>
        </w:rPr>
        <w:t>Accounting standard for the statement of cash flows</w:t>
      </w:r>
    </w:p>
    <w:p w14:paraId="417FDA34" w14:textId="77777777" w:rsidR="001B501D" w:rsidRPr="00AD14D6" w:rsidRDefault="001B501D" w:rsidP="009304CF">
      <w:pPr>
        <w:pStyle w:val="Heading6"/>
      </w:pPr>
      <w:r w:rsidRPr="00AD14D6">
        <w:t>AASB107.Aus1.1</w:t>
      </w:r>
    </w:p>
    <w:p w14:paraId="60E2DCDF" w14:textId="77777777" w:rsidR="001B501D" w:rsidRPr="00AD14D6" w:rsidRDefault="001B501D" w:rsidP="001A5D4A">
      <w:pPr>
        <w:rPr>
          <w:color w:val="2D3E7B" w:themeColor="text2" w:themeShade="BF"/>
          <w:szCs w:val="22"/>
        </w:rPr>
      </w:pPr>
      <w:r w:rsidRPr="00AD14D6">
        <w:rPr>
          <w:color w:val="2D3E7B" w:themeColor="text2" w:themeShade="BF"/>
          <w:szCs w:val="22"/>
        </w:rPr>
        <w:t xml:space="preserve">Requirements for statement of cash flows are set out in AASB107 </w:t>
      </w:r>
      <w:r w:rsidRPr="002312D2">
        <w:rPr>
          <w:i/>
          <w:color w:val="2D3E7B" w:themeColor="text2" w:themeShade="BF"/>
          <w:szCs w:val="22"/>
        </w:rPr>
        <w:t>Statement of Cash Flows</w:t>
      </w:r>
      <w:r w:rsidRPr="00AD14D6">
        <w:rPr>
          <w:color w:val="2D3E7B" w:themeColor="text2" w:themeShade="BF"/>
          <w:szCs w:val="22"/>
        </w:rPr>
        <w:t xml:space="preserve">. The standard applies to each entity that is required to prepare financial reports in accordance with Part 2M.3 of the </w:t>
      </w:r>
      <w:r w:rsidRPr="002312D2">
        <w:rPr>
          <w:i/>
          <w:color w:val="2D3E7B" w:themeColor="text2" w:themeShade="BF"/>
          <w:szCs w:val="22"/>
        </w:rPr>
        <w:t>Corporations Act 2001</w:t>
      </w:r>
      <w:r w:rsidRPr="00AD14D6">
        <w:rPr>
          <w:color w:val="2D3E7B" w:themeColor="text2" w:themeShade="BF"/>
          <w:szCs w:val="22"/>
        </w:rPr>
        <w:t xml:space="preserve">, general purpose financial reports of each reporting entity, and to financial reports that are, or are held out to be, general purpose financial reports. </w:t>
      </w:r>
    </w:p>
    <w:p w14:paraId="5A52B67E" w14:textId="77777777" w:rsidR="001B501D" w:rsidRPr="00AD14D6" w:rsidRDefault="001B501D" w:rsidP="001A5D4A">
      <w:pPr>
        <w:pStyle w:val="Heading3"/>
        <w:rPr>
          <w:color w:val="2D3E7B" w:themeColor="text2" w:themeShade="BF"/>
        </w:rPr>
      </w:pPr>
      <w:r w:rsidRPr="00AD14D6">
        <w:rPr>
          <w:color w:val="2D3E7B" w:themeColor="text2" w:themeShade="BF"/>
        </w:rPr>
        <w:t>Format</w:t>
      </w:r>
    </w:p>
    <w:p w14:paraId="322FEC58" w14:textId="77777777" w:rsidR="001B501D" w:rsidRPr="00AD14D6" w:rsidRDefault="001B501D" w:rsidP="009304CF">
      <w:pPr>
        <w:pStyle w:val="Heading6"/>
      </w:pPr>
      <w:r w:rsidRPr="00AD14D6">
        <w:t>AASB107.50</w:t>
      </w:r>
    </w:p>
    <w:p w14:paraId="738ACD5F" w14:textId="77777777" w:rsidR="001B501D" w:rsidRPr="00AD14D6" w:rsidRDefault="001B501D" w:rsidP="001A5D4A">
      <w:pPr>
        <w:rPr>
          <w:color w:val="2D3E7B" w:themeColor="text2" w:themeShade="BF"/>
          <w:szCs w:val="22"/>
        </w:rPr>
      </w:pPr>
      <w:r w:rsidRPr="00AD14D6">
        <w:rPr>
          <w:color w:val="2D3E7B" w:themeColor="text2" w:themeShade="BF"/>
          <w:szCs w:val="22"/>
        </w:rPr>
        <w:t xml:space="preserve">Additional line items may be included on the face of the statement, where such presentation is relevant to an understanding of the entity’s cash flows. </w:t>
      </w:r>
    </w:p>
    <w:p w14:paraId="5F5177DA" w14:textId="77777777" w:rsidR="001B501D" w:rsidRPr="00AD14D6" w:rsidRDefault="001B501D" w:rsidP="001A5D4A">
      <w:pPr>
        <w:pStyle w:val="Heading3"/>
        <w:rPr>
          <w:color w:val="2D3E7B" w:themeColor="text2" w:themeShade="BF"/>
        </w:rPr>
      </w:pPr>
      <w:r w:rsidRPr="00AD14D6">
        <w:rPr>
          <w:color w:val="2D3E7B" w:themeColor="text2" w:themeShade="BF"/>
        </w:rPr>
        <w:t>Reporting cash flows</w:t>
      </w:r>
    </w:p>
    <w:p w14:paraId="0374306F" w14:textId="77777777"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From operating activities</w:t>
      </w:r>
    </w:p>
    <w:p w14:paraId="1B72C487" w14:textId="77777777" w:rsidR="001B501D" w:rsidRPr="00AD14D6" w:rsidRDefault="001B501D" w:rsidP="009304CF">
      <w:pPr>
        <w:pStyle w:val="Heading6"/>
      </w:pPr>
      <w:r w:rsidRPr="00AD14D6">
        <w:t>AASB107.18a</w:t>
      </w:r>
    </w:p>
    <w:p w14:paraId="1CEA3D58" w14:textId="77777777" w:rsidR="001B501D" w:rsidRPr="00AD14D6" w:rsidRDefault="001B501D" w:rsidP="001A5D4A">
      <w:pPr>
        <w:rPr>
          <w:color w:val="2D3E7B" w:themeColor="text2" w:themeShade="BF"/>
          <w:szCs w:val="22"/>
        </w:rPr>
      </w:pPr>
      <w:r w:rsidRPr="00AD14D6">
        <w:rPr>
          <w:color w:val="2D3E7B" w:themeColor="text2" w:themeShade="BF"/>
          <w:szCs w:val="22"/>
        </w:rPr>
        <w:t xml:space="preserve">An entity shall report cash flows from operating activities using the direct method, whereby major classes of gross cash receipts and gross cash payments are disclosed. The indirect method as specified in </w:t>
      </w:r>
      <w:proofErr w:type="gramStart"/>
      <w:r w:rsidRPr="00AD14D6">
        <w:rPr>
          <w:color w:val="2D3E7B" w:themeColor="text2" w:themeShade="BF"/>
          <w:szCs w:val="22"/>
        </w:rPr>
        <w:t>AASB107(</w:t>
      </w:r>
      <w:proofErr w:type="gramEnd"/>
      <w:r w:rsidRPr="00AD14D6">
        <w:rPr>
          <w:color w:val="2D3E7B" w:themeColor="text2" w:themeShade="BF"/>
          <w:szCs w:val="22"/>
        </w:rPr>
        <w:t>18)(b) is not to be used.</w:t>
      </w:r>
    </w:p>
    <w:p w14:paraId="3F6B2E61" w14:textId="77777777"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From investing and financing activities</w:t>
      </w:r>
    </w:p>
    <w:p w14:paraId="0DDF26A5" w14:textId="77777777" w:rsidR="001B501D" w:rsidRPr="00AD14D6" w:rsidRDefault="001B501D" w:rsidP="009304CF">
      <w:pPr>
        <w:pStyle w:val="Heading6"/>
      </w:pPr>
      <w:r w:rsidRPr="00AD14D6">
        <w:t>AASB107.21</w:t>
      </w:r>
    </w:p>
    <w:p w14:paraId="31E28608" w14:textId="5A0649C3" w:rsidR="00AE4392" w:rsidRPr="00AD14D6" w:rsidRDefault="001B501D" w:rsidP="001A5D4A">
      <w:pPr>
        <w:rPr>
          <w:rFonts w:asciiTheme="majorHAnsi" w:eastAsiaTheme="majorEastAsia" w:hAnsiTheme="majorHAnsi"/>
          <w:b/>
          <w:bCs/>
          <w:color w:val="2D3E7B" w:themeColor="text2" w:themeShade="BF"/>
          <w:szCs w:val="22"/>
        </w:rPr>
      </w:pPr>
      <w:r w:rsidRPr="00AD14D6">
        <w:rPr>
          <w:color w:val="2D3E7B" w:themeColor="text2" w:themeShade="BF"/>
          <w:szCs w:val="22"/>
        </w:rPr>
        <w:t>An entity shall report separately major classes of gross cash receipts and gross cash payments arising from investing and financing activities, except to the extent that cash flows described in paragraphs 22 and 24 of AASB107 are reported on a net basis (refer to description below).</w:t>
      </w:r>
    </w:p>
    <w:p w14:paraId="5B36360C" w14:textId="3A3582AA"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On a net basis</w:t>
      </w:r>
    </w:p>
    <w:p w14:paraId="49C4635E" w14:textId="44A481DE" w:rsidR="001B501D" w:rsidRPr="001B501D" w:rsidRDefault="001B501D" w:rsidP="009304CF">
      <w:pPr>
        <w:pStyle w:val="Heading6"/>
      </w:pPr>
      <w:r w:rsidRPr="001B501D">
        <w:t>AASB107.22</w:t>
      </w:r>
      <w:proofErr w:type="gramStart"/>
      <w:r w:rsidRPr="001B501D">
        <w:t>,23</w:t>
      </w:r>
      <w:proofErr w:type="gramEnd"/>
    </w:p>
    <w:p w14:paraId="0E24F467" w14:textId="77777777" w:rsidR="001B501D" w:rsidRPr="00AD14D6" w:rsidRDefault="001B501D" w:rsidP="001A5D4A">
      <w:pPr>
        <w:rPr>
          <w:color w:val="2D3E7B" w:themeColor="text2" w:themeShade="BF"/>
          <w:szCs w:val="22"/>
        </w:rPr>
      </w:pPr>
      <w:r w:rsidRPr="00AD14D6">
        <w:rPr>
          <w:color w:val="2D3E7B" w:themeColor="text2" w:themeShade="BF"/>
          <w:szCs w:val="22"/>
        </w:rPr>
        <w:t>Cash flows arising from the following operating, investing or financing activities may be reported on a net basis:</w:t>
      </w:r>
    </w:p>
    <w:p w14:paraId="1255BCF3" w14:textId="5984E527" w:rsidR="001B501D" w:rsidRPr="00AD14D6" w:rsidRDefault="001B501D" w:rsidP="001A5D4A">
      <w:pPr>
        <w:pStyle w:val="ListParagraph"/>
        <w:numPr>
          <w:ilvl w:val="0"/>
          <w:numId w:val="20"/>
        </w:numPr>
        <w:rPr>
          <w:color w:val="2D3E7B" w:themeColor="text2" w:themeShade="BF"/>
          <w:szCs w:val="22"/>
        </w:rPr>
      </w:pPr>
      <w:r w:rsidRPr="00AD14D6">
        <w:rPr>
          <w:color w:val="2D3E7B" w:themeColor="text2" w:themeShade="BF"/>
          <w:szCs w:val="22"/>
        </w:rPr>
        <w:t>cash receipts and payments on behalf of customers when the cash flows reflect the activities of the customer rather than those of the entity (</w:t>
      </w:r>
      <w:proofErr w:type="spellStart"/>
      <w:r w:rsidRPr="00AD14D6">
        <w:rPr>
          <w:color w:val="2D3E7B" w:themeColor="text2" w:themeShade="BF"/>
          <w:szCs w:val="22"/>
        </w:rPr>
        <w:t>eg</w:t>
      </w:r>
      <w:proofErr w:type="spellEnd"/>
      <w:r w:rsidRPr="00AD14D6">
        <w:rPr>
          <w:color w:val="2D3E7B" w:themeColor="text2" w:themeShade="BF"/>
          <w:szCs w:val="22"/>
        </w:rPr>
        <w:t xml:space="preserve"> rents collected on behalf of, and paid over to, the owners of properties); and</w:t>
      </w:r>
    </w:p>
    <w:p w14:paraId="3DFB454D" w14:textId="4AA5D810" w:rsidR="001B501D" w:rsidRPr="00AD14D6" w:rsidRDefault="001B501D" w:rsidP="001A5D4A">
      <w:pPr>
        <w:pStyle w:val="ListParagraph"/>
        <w:numPr>
          <w:ilvl w:val="0"/>
          <w:numId w:val="20"/>
        </w:numPr>
        <w:rPr>
          <w:color w:val="2D3E7B" w:themeColor="text2" w:themeShade="BF"/>
          <w:szCs w:val="22"/>
        </w:rPr>
      </w:pPr>
      <w:proofErr w:type="gramStart"/>
      <w:r w:rsidRPr="00AD14D6">
        <w:rPr>
          <w:color w:val="2D3E7B" w:themeColor="text2" w:themeShade="BF"/>
          <w:szCs w:val="22"/>
        </w:rPr>
        <w:t>cash</w:t>
      </w:r>
      <w:proofErr w:type="gramEnd"/>
      <w:r w:rsidRPr="00AD14D6">
        <w:rPr>
          <w:color w:val="2D3E7B" w:themeColor="text2" w:themeShade="BF"/>
          <w:szCs w:val="22"/>
        </w:rPr>
        <w:t xml:space="preserve"> receipts and payments for items in which the turnover is quick, the amounts are large, and the maturities are short (</w:t>
      </w:r>
      <w:proofErr w:type="spellStart"/>
      <w:r w:rsidRPr="00AD14D6">
        <w:rPr>
          <w:color w:val="2D3E7B" w:themeColor="text2" w:themeShade="BF"/>
          <w:szCs w:val="22"/>
        </w:rPr>
        <w:t>eg</w:t>
      </w:r>
      <w:proofErr w:type="spellEnd"/>
      <w:r w:rsidRPr="00AD14D6">
        <w:rPr>
          <w:color w:val="2D3E7B" w:themeColor="text2" w:themeShade="BF"/>
          <w:szCs w:val="22"/>
        </w:rPr>
        <w:t xml:space="preserve"> advances made for, and repayment of, principal amounts relating to credit card customers).</w:t>
      </w:r>
    </w:p>
    <w:p w14:paraId="700F2F59" w14:textId="77777777"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Goods and Services Tax (GST)</w:t>
      </w:r>
    </w:p>
    <w:p w14:paraId="11984F50" w14:textId="77777777" w:rsidR="001B501D" w:rsidRPr="00AD14D6" w:rsidRDefault="001B501D" w:rsidP="009304CF">
      <w:pPr>
        <w:pStyle w:val="Heading6"/>
      </w:pPr>
      <w:r w:rsidRPr="00AD14D6">
        <w:t>UIG1031.10</w:t>
      </w:r>
    </w:p>
    <w:p w14:paraId="1B276BC8" w14:textId="77777777" w:rsidR="001B501D" w:rsidRPr="00AD14D6" w:rsidRDefault="001B501D" w:rsidP="001A5D4A">
      <w:pPr>
        <w:rPr>
          <w:color w:val="2D3E7B" w:themeColor="text2" w:themeShade="BF"/>
          <w:szCs w:val="22"/>
        </w:rPr>
      </w:pPr>
      <w:r w:rsidRPr="00AD14D6">
        <w:rPr>
          <w:color w:val="2D3E7B" w:themeColor="text2" w:themeShade="BF"/>
          <w:szCs w:val="22"/>
        </w:rPr>
        <w:t>Cash flows shall be included in the statement of cash flows on a gross basis subject to AASB107.</w:t>
      </w:r>
    </w:p>
    <w:p w14:paraId="113E739A" w14:textId="77777777" w:rsidR="001B501D" w:rsidRPr="00AD14D6" w:rsidRDefault="001B501D" w:rsidP="009304CF">
      <w:pPr>
        <w:pStyle w:val="Heading6"/>
      </w:pPr>
      <w:r w:rsidRPr="00AD14D6">
        <w:t>UIG1031.11</w:t>
      </w:r>
    </w:p>
    <w:p w14:paraId="23E5A2F4" w14:textId="77777777" w:rsidR="001B501D" w:rsidRPr="00AD14D6" w:rsidRDefault="001B501D" w:rsidP="001A5D4A">
      <w:pPr>
        <w:rPr>
          <w:color w:val="2D3E7B" w:themeColor="text2" w:themeShade="BF"/>
          <w:szCs w:val="22"/>
        </w:rPr>
      </w:pPr>
      <w:r w:rsidRPr="00AD14D6">
        <w:rPr>
          <w:color w:val="2D3E7B" w:themeColor="text2" w:themeShade="BF"/>
          <w:szCs w:val="22"/>
        </w:rPr>
        <w:t xml:space="preserve">The GST component of cash flows arising from investing and financing activities which is recoverable from, or payable to, the taxation authority shall be classified as operating cash flows and will be included as a net figure of GST recovered/paid, as appropriate. </w:t>
      </w:r>
    </w:p>
    <w:p w14:paraId="06B18BFA" w14:textId="77777777"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Interest and dividends</w:t>
      </w:r>
    </w:p>
    <w:p w14:paraId="6453BB5A" w14:textId="77777777" w:rsidR="001B501D" w:rsidRPr="00AD14D6" w:rsidRDefault="001B501D" w:rsidP="009304CF">
      <w:pPr>
        <w:pStyle w:val="Heading6"/>
      </w:pPr>
      <w:r w:rsidRPr="00AD14D6">
        <w:t>AASB107.31</w:t>
      </w:r>
    </w:p>
    <w:p w14:paraId="7B475B1C" w14:textId="77777777" w:rsidR="001B501D" w:rsidRPr="00AD14D6" w:rsidRDefault="001B501D" w:rsidP="001A5D4A">
      <w:pPr>
        <w:rPr>
          <w:color w:val="2D3E7B" w:themeColor="text2" w:themeShade="BF"/>
          <w:szCs w:val="22"/>
        </w:rPr>
      </w:pPr>
      <w:r w:rsidRPr="00AD14D6">
        <w:rPr>
          <w:color w:val="2D3E7B" w:themeColor="text2" w:themeShade="BF"/>
          <w:szCs w:val="22"/>
        </w:rPr>
        <w:t xml:space="preserve">Cash flows from interest and dividends received and paid shall each be disclosed separately. Each shall be classified in a consistent manner, from period to period, </w:t>
      </w:r>
      <w:proofErr w:type="gramStart"/>
      <w:r w:rsidRPr="00AD14D6">
        <w:rPr>
          <w:color w:val="2D3E7B" w:themeColor="text2" w:themeShade="BF"/>
          <w:szCs w:val="22"/>
        </w:rPr>
        <w:t>as either;</w:t>
      </w:r>
      <w:proofErr w:type="gramEnd"/>
      <w:r w:rsidRPr="00AD14D6">
        <w:rPr>
          <w:color w:val="2D3E7B" w:themeColor="text2" w:themeShade="BF"/>
          <w:szCs w:val="22"/>
        </w:rPr>
        <w:t xml:space="preserve"> operating, investing or financing activities.</w:t>
      </w:r>
    </w:p>
    <w:p w14:paraId="5EA9D9BF" w14:textId="77777777" w:rsidR="001B501D" w:rsidRPr="00AD14D6" w:rsidRDefault="001B501D" w:rsidP="009304CF">
      <w:pPr>
        <w:pStyle w:val="Heading6"/>
      </w:pPr>
      <w:r w:rsidRPr="00AD14D6">
        <w:lastRenderedPageBreak/>
        <w:t>AASB107.33</w:t>
      </w:r>
    </w:p>
    <w:p w14:paraId="038A0697" w14:textId="18687A42" w:rsidR="0033031E" w:rsidRPr="00AD14D6" w:rsidRDefault="001B501D" w:rsidP="001A5D4A">
      <w:pPr>
        <w:rPr>
          <w:color w:val="2D3E7B" w:themeColor="text2" w:themeShade="BF"/>
          <w:szCs w:val="22"/>
        </w:rPr>
      </w:pPr>
      <w:r w:rsidRPr="00AD14D6">
        <w:rPr>
          <w:color w:val="2D3E7B" w:themeColor="text2" w:themeShade="BF"/>
          <w:szCs w:val="22"/>
        </w:rPr>
        <w:t>Interest paid and interest and dividends received are usually classified as operating cash flows for a financial institution. However, there is no consensus on the classification of these cash flows for other entities. Interest paid and interest and dividends received may be classified as operating cash flows because they enter into the determination of net operating result. Alternatively, interest paid and interest and dividends received may be classified as financing cash flows and investing cash flows respectively, because they are costs of obtaining financial resources or returns on investments.</w:t>
      </w:r>
    </w:p>
    <w:p w14:paraId="0E6B873D" w14:textId="77777777" w:rsidR="001B501D" w:rsidRPr="00C90084" w:rsidRDefault="001B501D" w:rsidP="009304CF">
      <w:pPr>
        <w:pStyle w:val="Heading6"/>
      </w:pPr>
      <w:r w:rsidRPr="00C90084">
        <w:t>AASB107.34</w:t>
      </w:r>
    </w:p>
    <w:p w14:paraId="4E2FE7F5" w14:textId="77777777" w:rsidR="001B501D" w:rsidRPr="00AD14D6" w:rsidRDefault="001B501D" w:rsidP="001A5D4A">
      <w:pPr>
        <w:rPr>
          <w:color w:val="2D3E7B" w:themeColor="text2" w:themeShade="BF"/>
          <w:szCs w:val="22"/>
        </w:rPr>
      </w:pPr>
      <w:r w:rsidRPr="00AD14D6">
        <w:rPr>
          <w:color w:val="2D3E7B" w:themeColor="text2" w:themeShade="BF"/>
          <w:szCs w:val="22"/>
        </w:rPr>
        <w:t>Dividends paid shall be classified as a financing cash flow because they are a cost of obtaining financial resources.</w:t>
      </w:r>
    </w:p>
    <w:p w14:paraId="7E17A60B" w14:textId="77777777" w:rsidR="001B501D" w:rsidRPr="00AD14D6" w:rsidRDefault="001B501D" w:rsidP="00AB24D3">
      <w:pPr>
        <w:pStyle w:val="Heading4"/>
        <w:rPr>
          <w:color w:val="2D3E7B" w:themeColor="text2" w:themeShade="BF"/>
          <w14:textFill>
            <w14:solidFill>
              <w14:schemeClr w14:val="tx2">
                <w14:lumMod w14:val="75000"/>
                <w14:lumMod w14:val="75000"/>
              </w14:schemeClr>
            </w14:solidFill>
          </w14:textFill>
        </w:rPr>
      </w:pPr>
      <w:r w:rsidRPr="00AD14D6">
        <w:rPr>
          <w:color w:val="2D3E7B" w:themeColor="text2" w:themeShade="BF"/>
          <w14:textFill>
            <w14:solidFill>
              <w14:schemeClr w14:val="tx2">
                <w14:lumMod w14:val="75000"/>
                <w14:lumMod w14:val="75000"/>
              </w14:schemeClr>
            </w14:solidFill>
          </w14:textFill>
        </w:rPr>
        <w:t>Income taxes</w:t>
      </w:r>
    </w:p>
    <w:p w14:paraId="6C49E822" w14:textId="77777777" w:rsidR="001B501D" w:rsidRPr="00AD14D6" w:rsidRDefault="001B501D" w:rsidP="009304CF">
      <w:pPr>
        <w:pStyle w:val="Heading6"/>
      </w:pPr>
      <w:r w:rsidRPr="00AD14D6">
        <w:t>AASB107.35</w:t>
      </w:r>
    </w:p>
    <w:p w14:paraId="6A5B4F05" w14:textId="77777777" w:rsidR="001B501D" w:rsidRPr="00AD14D6" w:rsidRDefault="001B501D" w:rsidP="001A5D4A">
      <w:pPr>
        <w:rPr>
          <w:color w:val="2D3E7B" w:themeColor="text2" w:themeShade="BF"/>
          <w:szCs w:val="22"/>
        </w:rPr>
      </w:pPr>
      <w:r w:rsidRPr="00AD14D6">
        <w:rPr>
          <w:color w:val="2D3E7B" w:themeColor="text2" w:themeShade="BF"/>
          <w:szCs w:val="22"/>
        </w:rPr>
        <w:t>Cash flows arising from income taxes shall be separately disclosed and shall be classified as cash flows from operating activities unless they can be specifically identified with financing and investing activities.</w:t>
      </w:r>
    </w:p>
    <w:p w14:paraId="74F428D0" w14:textId="77777777" w:rsidR="001B501D" w:rsidRPr="001B501D" w:rsidRDefault="001B501D" w:rsidP="009304CF">
      <w:pPr>
        <w:pStyle w:val="Heading6"/>
      </w:pPr>
      <w:r w:rsidRPr="001B501D">
        <w:t>AASB107.36</w:t>
      </w:r>
    </w:p>
    <w:p w14:paraId="55CEB87C" w14:textId="77777777" w:rsidR="001B501D" w:rsidRPr="001B501D" w:rsidRDefault="001B501D" w:rsidP="001A5D4A">
      <w:pPr>
        <w:rPr>
          <w:color w:val="2D3E7B" w:themeColor="text2" w:themeShade="BF"/>
        </w:rPr>
      </w:pPr>
      <w:r w:rsidRPr="00AD14D6">
        <w:rPr>
          <w:color w:val="2D3E7B" w:themeColor="text2" w:themeShade="BF"/>
          <w:szCs w:val="22"/>
        </w:rPr>
        <w:t xml:space="preserve">Taxes on income arise on transactions that give rise to cash flows that are classified as operating, investing or financing activities in a statement of cash flows. While tax expense may be readily identifiable with investing or financing activities, the related tax cash flows are often impracticable to identify and may arise in a different period from the cash flows of the underlying transaction. Therefore, taxes paid are usually classified as cash flows from operating activities. However, when it is practicable to identify the tax cash flow with an individual transaction that gives rise to cash flows that are classified as investing or financing activities the tax cash flow is classified as an investing or financing activity as appropriate. </w:t>
      </w:r>
      <w:r w:rsidRPr="001B501D">
        <w:rPr>
          <w:color w:val="2D3E7B" w:themeColor="text2" w:themeShade="BF"/>
        </w:rPr>
        <w:t>When tax cash flows are allocated over more than one class of activity, the total amount of taxes paid is disclosed.</w:t>
      </w:r>
    </w:p>
    <w:p w14:paraId="347DEDF6" w14:textId="77777777" w:rsidR="001B501D" w:rsidRPr="008934F0" w:rsidRDefault="001B501D" w:rsidP="00AB24D3">
      <w:pPr>
        <w:pStyle w:val="Heading4"/>
        <w:rPr>
          <w:color w:val="2D3E7B" w:themeColor="text2" w:themeShade="BF"/>
        </w:rPr>
      </w:pPr>
      <w:r w:rsidRPr="008934F0">
        <w:rPr>
          <w:color w:val="2D3E7B" w:themeColor="text2" w:themeShade="BF"/>
        </w:rPr>
        <w:t>Effects of exchange rate changes</w:t>
      </w:r>
    </w:p>
    <w:p w14:paraId="5E1EC890" w14:textId="77777777" w:rsidR="001B501D" w:rsidRPr="008934F0" w:rsidRDefault="001B501D" w:rsidP="009304CF">
      <w:pPr>
        <w:pStyle w:val="Heading6"/>
      </w:pPr>
      <w:r w:rsidRPr="008934F0">
        <w:t>AASB107.28</w:t>
      </w:r>
    </w:p>
    <w:p w14:paraId="5E01201E" w14:textId="77777777" w:rsidR="001B501D" w:rsidRPr="008934F0" w:rsidRDefault="001B501D" w:rsidP="001A5D4A">
      <w:pPr>
        <w:rPr>
          <w:color w:val="2D3E7B" w:themeColor="text2" w:themeShade="BF"/>
          <w:szCs w:val="22"/>
        </w:rPr>
      </w:pPr>
      <w:r w:rsidRPr="008934F0">
        <w:rPr>
          <w:color w:val="2D3E7B" w:themeColor="text2" w:themeShade="BF"/>
          <w:szCs w:val="22"/>
        </w:rPr>
        <w:t xml:space="preserve">Unrealised gains and losses arising from changes in foreign currency exchange rates are not cash flows. However, the effect of exchange </w:t>
      </w:r>
      <w:r w:rsidRPr="00AD14D6">
        <w:rPr>
          <w:color w:val="2D3E7B" w:themeColor="text2" w:themeShade="BF"/>
          <w:szCs w:val="22"/>
        </w:rPr>
        <w:t xml:space="preserve">rate changes on cash and cash equivalents held or due in a foreign currency is reported in the statement of cash flows in order to reconcile cash and cash equivalents at the beginning and the end of the period. This amount is presented separately from cash flows from operating, investing and financing activities and includes the differences, if any, had </w:t>
      </w:r>
      <w:r w:rsidRPr="008934F0">
        <w:rPr>
          <w:color w:val="2D3E7B" w:themeColor="text2" w:themeShade="BF"/>
          <w:szCs w:val="22"/>
        </w:rPr>
        <w:t>those cash flows been reported at end of period exchange rates.</w:t>
      </w:r>
    </w:p>
    <w:p w14:paraId="4110F99D" w14:textId="77777777" w:rsidR="001B501D" w:rsidRPr="008934F0" w:rsidRDefault="001B501D" w:rsidP="009304CF">
      <w:pPr>
        <w:pStyle w:val="Heading6"/>
      </w:pPr>
      <w:r w:rsidRPr="008934F0">
        <w:t>Nil cash flows</w:t>
      </w:r>
    </w:p>
    <w:p w14:paraId="038A06CB" w14:textId="41F19176" w:rsidR="0033031E" w:rsidRPr="00AD14D6" w:rsidRDefault="001B501D">
      <w:pPr>
        <w:rPr>
          <w:szCs w:val="22"/>
        </w:rPr>
      </w:pPr>
      <w:r w:rsidRPr="00AD14D6">
        <w:rPr>
          <w:color w:val="2D3E7B" w:themeColor="text2" w:themeShade="BF"/>
          <w:szCs w:val="22"/>
        </w:rPr>
        <w:t>Where there are no cash flows (and no cash equivalents), ASIC believes it is necessary to include a statement of cash flows showing nil cash flows.</w:t>
      </w:r>
      <w:r w:rsidR="0033031E" w:rsidRPr="00AD14D6">
        <w:rPr>
          <w:szCs w:val="22"/>
        </w:rPr>
        <w:br w:type="page"/>
      </w:r>
    </w:p>
    <w:p w14:paraId="46AC22CE" w14:textId="68D85A2A" w:rsidR="00D65A1C" w:rsidRDefault="00D65A1C" w:rsidP="00D65A1C">
      <w:pPr>
        <w:pStyle w:val="Heading1"/>
      </w:pPr>
      <w:bookmarkStart w:id="230" w:name="_Toc398721463"/>
      <w:bookmarkStart w:id="231" w:name="_Toc398721490"/>
      <w:bookmarkStart w:id="232" w:name="_Toc398721551"/>
      <w:bookmarkStart w:id="233" w:name="_Toc398722002"/>
      <w:bookmarkStart w:id="234" w:name="_Toc398729921"/>
      <w:bookmarkStart w:id="235" w:name="_Toc398731120"/>
      <w:bookmarkStart w:id="236" w:name="_Toc398731408"/>
      <w:bookmarkStart w:id="237" w:name="_Toc406751416"/>
      <w:bookmarkStart w:id="238" w:name="_Toc410807602"/>
      <w:bookmarkStart w:id="239" w:name="_Toc410822652"/>
      <w:bookmarkStart w:id="240" w:name="_Toc411854287"/>
      <w:bookmarkStart w:id="241" w:name="_Toc411854320"/>
      <w:r w:rsidRPr="00D65A1C">
        <w:lastRenderedPageBreak/>
        <w:t>Notes to the financial statements</w:t>
      </w:r>
      <w:bookmarkEnd w:id="230"/>
      <w:bookmarkEnd w:id="231"/>
      <w:bookmarkEnd w:id="232"/>
      <w:bookmarkEnd w:id="233"/>
      <w:bookmarkEnd w:id="234"/>
      <w:bookmarkEnd w:id="235"/>
      <w:bookmarkEnd w:id="236"/>
      <w:bookmarkEnd w:id="237"/>
      <w:bookmarkEnd w:id="238"/>
      <w:bookmarkEnd w:id="239"/>
      <w:bookmarkEnd w:id="240"/>
      <w:bookmarkEnd w:id="241"/>
    </w:p>
    <w:p w14:paraId="1635D0AA" w14:textId="30211835" w:rsidR="00D65A1C" w:rsidRDefault="00D65A1C" w:rsidP="001A5D4A">
      <w:pPr>
        <w:pStyle w:val="TOC1"/>
        <w:rPr>
          <w:rFonts w:cstheme="minorBidi"/>
          <w:noProof/>
          <w:sz w:val="22"/>
          <w:szCs w:val="22"/>
        </w:rPr>
      </w:pPr>
      <w:r>
        <w:fldChar w:fldCharType="begin"/>
      </w:r>
      <w:r>
        <w:instrText xml:space="preserve"> TOC \o "1-1" \u </w:instrText>
      </w:r>
      <w:r>
        <w:fldChar w:fldCharType="separate"/>
      </w:r>
      <w:r>
        <w:rPr>
          <w:noProof/>
        </w:rPr>
        <w:t>Note 1. Summary of significant accounting policies</w:t>
      </w:r>
      <w:r>
        <w:rPr>
          <w:noProof/>
        </w:rPr>
        <w:tab/>
      </w:r>
      <w:r>
        <w:rPr>
          <w:noProof/>
        </w:rPr>
        <w:fldChar w:fldCharType="begin"/>
      </w:r>
      <w:r>
        <w:rPr>
          <w:noProof/>
        </w:rPr>
        <w:instrText xml:space="preserve"> PAGEREF _Toc410822654 \h </w:instrText>
      </w:r>
      <w:r>
        <w:rPr>
          <w:noProof/>
        </w:rPr>
      </w:r>
      <w:r>
        <w:rPr>
          <w:noProof/>
        </w:rPr>
        <w:fldChar w:fldCharType="separate"/>
      </w:r>
      <w:r w:rsidR="002168F3">
        <w:rPr>
          <w:noProof/>
        </w:rPr>
        <w:t>32</w:t>
      </w:r>
      <w:r>
        <w:rPr>
          <w:noProof/>
        </w:rPr>
        <w:fldChar w:fldCharType="end"/>
      </w:r>
    </w:p>
    <w:p w14:paraId="00411824" w14:textId="77777777" w:rsidR="00D65A1C" w:rsidRDefault="00D65A1C" w:rsidP="001A5D4A">
      <w:pPr>
        <w:pStyle w:val="TOC1"/>
        <w:rPr>
          <w:rFonts w:cstheme="minorBidi"/>
          <w:noProof/>
          <w:sz w:val="22"/>
          <w:szCs w:val="22"/>
        </w:rPr>
      </w:pPr>
      <w:r>
        <w:rPr>
          <w:noProof/>
        </w:rPr>
        <w:t>Note 2. Disaggregated information (dual sector and/or operations outside Australia)</w:t>
      </w:r>
      <w:r>
        <w:rPr>
          <w:noProof/>
        </w:rPr>
        <w:tab/>
      </w:r>
      <w:r>
        <w:rPr>
          <w:noProof/>
        </w:rPr>
        <w:fldChar w:fldCharType="begin"/>
      </w:r>
      <w:r>
        <w:rPr>
          <w:noProof/>
        </w:rPr>
        <w:instrText xml:space="preserve"> PAGEREF _Toc410822656 \h </w:instrText>
      </w:r>
      <w:r>
        <w:rPr>
          <w:noProof/>
        </w:rPr>
      </w:r>
      <w:r>
        <w:rPr>
          <w:noProof/>
        </w:rPr>
        <w:fldChar w:fldCharType="separate"/>
      </w:r>
      <w:r w:rsidR="002168F3">
        <w:rPr>
          <w:noProof/>
        </w:rPr>
        <w:t>59</w:t>
      </w:r>
      <w:r>
        <w:rPr>
          <w:noProof/>
        </w:rPr>
        <w:fldChar w:fldCharType="end"/>
      </w:r>
    </w:p>
    <w:p w14:paraId="4ADC2077" w14:textId="205ADF8C" w:rsidR="00D65A1C" w:rsidRDefault="00D65A1C" w:rsidP="001A5D4A">
      <w:pPr>
        <w:pStyle w:val="TOC1"/>
        <w:rPr>
          <w:rFonts w:cstheme="minorBidi"/>
          <w:noProof/>
          <w:sz w:val="22"/>
          <w:szCs w:val="22"/>
        </w:rPr>
      </w:pPr>
      <w:r>
        <w:rPr>
          <w:noProof/>
        </w:rPr>
        <w:t>Note 3. Australian Government financial assistance</w:t>
      </w:r>
      <w:r w:rsidR="00E21724">
        <w:rPr>
          <w:noProof/>
        </w:rPr>
        <w:br/>
      </w:r>
      <w:r>
        <w:rPr>
          <w:noProof/>
        </w:rPr>
        <w:t>including Australian Government loan programs (HELP)</w:t>
      </w:r>
      <w:r>
        <w:rPr>
          <w:noProof/>
        </w:rPr>
        <w:tab/>
      </w:r>
      <w:r>
        <w:rPr>
          <w:noProof/>
        </w:rPr>
        <w:fldChar w:fldCharType="begin"/>
      </w:r>
      <w:r>
        <w:rPr>
          <w:noProof/>
        </w:rPr>
        <w:instrText xml:space="preserve"> PAGEREF _Toc410822658 \h </w:instrText>
      </w:r>
      <w:r>
        <w:rPr>
          <w:noProof/>
        </w:rPr>
      </w:r>
      <w:r>
        <w:rPr>
          <w:noProof/>
        </w:rPr>
        <w:fldChar w:fldCharType="separate"/>
      </w:r>
      <w:r w:rsidR="002168F3">
        <w:rPr>
          <w:noProof/>
        </w:rPr>
        <w:t>60</w:t>
      </w:r>
      <w:r>
        <w:rPr>
          <w:noProof/>
        </w:rPr>
        <w:fldChar w:fldCharType="end"/>
      </w:r>
    </w:p>
    <w:p w14:paraId="2DFA7355" w14:textId="77777777" w:rsidR="00D65A1C" w:rsidRDefault="00D65A1C" w:rsidP="001A5D4A">
      <w:pPr>
        <w:pStyle w:val="TOC1"/>
        <w:rPr>
          <w:rFonts w:cstheme="minorBidi"/>
          <w:noProof/>
          <w:sz w:val="22"/>
          <w:szCs w:val="22"/>
        </w:rPr>
      </w:pPr>
      <w:r>
        <w:rPr>
          <w:noProof/>
        </w:rPr>
        <w:t>Note 4. State and Local Government financial assistance</w:t>
      </w:r>
      <w:r>
        <w:rPr>
          <w:noProof/>
        </w:rPr>
        <w:tab/>
      </w:r>
      <w:r>
        <w:rPr>
          <w:noProof/>
        </w:rPr>
        <w:fldChar w:fldCharType="begin"/>
      </w:r>
      <w:r>
        <w:rPr>
          <w:noProof/>
        </w:rPr>
        <w:instrText xml:space="preserve"> PAGEREF _Toc410822660 \h </w:instrText>
      </w:r>
      <w:r>
        <w:rPr>
          <w:noProof/>
        </w:rPr>
      </w:r>
      <w:r>
        <w:rPr>
          <w:noProof/>
        </w:rPr>
        <w:fldChar w:fldCharType="separate"/>
      </w:r>
      <w:r w:rsidR="002168F3">
        <w:rPr>
          <w:noProof/>
        </w:rPr>
        <w:t>64</w:t>
      </w:r>
      <w:r>
        <w:rPr>
          <w:noProof/>
        </w:rPr>
        <w:fldChar w:fldCharType="end"/>
      </w:r>
    </w:p>
    <w:p w14:paraId="0BEA3D0A" w14:textId="77777777" w:rsidR="00D65A1C" w:rsidRDefault="00D65A1C" w:rsidP="001A5D4A">
      <w:pPr>
        <w:pStyle w:val="TOC1"/>
        <w:rPr>
          <w:rFonts w:cstheme="minorBidi"/>
          <w:noProof/>
          <w:sz w:val="22"/>
          <w:szCs w:val="22"/>
        </w:rPr>
      </w:pPr>
      <w:r>
        <w:rPr>
          <w:noProof/>
        </w:rPr>
        <w:t>Note 5. Fees and charges</w:t>
      </w:r>
      <w:r>
        <w:rPr>
          <w:noProof/>
        </w:rPr>
        <w:tab/>
      </w:r>
      <w:r>
        <w:rPr>
          <w:noProof/>
        </w:rPr>
        <w:fldChar w:fldCharType="begin"/>
      </w:r>
      <w:r>
        <w:rPr>
          <w:noProof/>
        </w:rPr>
        <w:instrText xml:space="preserve"> PAGEREF _Toc410822662 \h </w:instrText>
      </w:r>
      <w:r>
        <w:rPr>
          <w:noProof/>
        </w:rPr>
      </w:r>
      <w:r>
        <w:rPr>
          <w:noProof/>
        </w:rPr>
        <w:fldChar w:fldCharType="separate"/>
      </w:r>
      <w:r w:rsidR="002168F3">
        <w:rPr>
          <w:noProof/>
        </w:rPr>
        <w:t>65</w:t>
      </w:r>
      <w:r>
        <w:rPr>
          <w:noProof/>
        </w:rPr>
        <w:fldChar w:fldCharType="end"/>
      </w:r>
    </w:p>
    <w:p w14:paraId="570C37DC" w14:textId="77777777" w:rsidR="00D65A1C" w:rsidRDefault="00D65A1C" w:rsidP="001A5D4A">
      <w:pPr>
        <w:pStyle w:val="TOC1"/>
        <w:rPr>
          <w:rFonts w:cstheme="minorBidi"/>
          <w:noProof/>
          <w:sz w:val="22"/>
          <w:szCs w:val="22"/>
        </w:rPr>
      </w:pPr>
      <w:r>
        <w:rPr>
          <w:noProof/>
        </w:rPr>
        <w:t>Note 6. Investment revenue and income</w:t>
      </w:r>
      <w:r>
        <w:rPr>
          <w:noProof/>
        </w:rPr>
        <w:tab/>
      </w:r>
      <w:r>
        <w:rPr>
          <w:noProof/>
        </w:rPr>
        <w:fldChar w:fldCharType="begin"/>
      </w:r>
      <w:r>
        <w:rPr>
          <w:noProof/>
        </w:rPr>
        <w:instrText xml:space="preserve"> PAGEREF _Toc410822664 \h </w:instrText>
      </w:r>
      <w:r>
        <w:rPr>
          <w:noProof/>
        </w:rPr>
      </w:r>
      <w:r>
        <w:rPr>
          <w:noProof/>
        </w:rPr>
        <w:fldChar w:fldCharType="separate"/>
      </w:r>
      <w:r w:rsidR="002168F3">
        <w:rPr>
          <w:noProof/>
        </w:rPr>
        <w:t>66</w:t>
      </w:r>
      <w:r>
        <w:rPr>
          <w:noProof/>
        </w:rPr>
        <w:fldChar w:fldCharType="end"/>
      </w:r>
    </w:p>
    <w:p w14:paraId="31C17B94" w14:textId="77777777" w:rsidR="00D65A1C" w:rsidRDefault="00D65A1C" w:rsidP="001A5D4A">
      <w:pPr>
        <w:pStyle w:val="TOC1"/>
        <w:rPr>
          <w:rFonts w:cstheme="minorBidi"/>
          <w:noProof/>
          <w:sz w:val="22"/>
          <w:szCs w:val="22"/>
        </w:rPr>
      </w:pPr>
      <w:r>
        <w:rPr>
          <w:noProof/>
        </w:rPr>
        <w:t>Note 7. Royalties, trademarks and licences</w:t>
      </w:r>
      <w:r>
        <w:rPr>
          <w:noProof/>
        </w:rPr>
        <w:tab/>
      </w:r>
      <w:r>
        <w:rPr>
          <w:noProof/>
        </w:rPr>
        <w:fldChar w:fldCharType="begin"/>
      </w:r>
      <w:r>
        <w:rPr>
          <w:noProof/>
        </w:rPr>
        <w:instrText xml:space="preserve"> PAGEREF _Toc410822666 \h </w:instrText>
      </w:r>
      <w:r>
        <w:rPr>
          <w:noProof/>
        </w:rPr>
      </w:r>
      <w:r>
        <w:rPr>
          <w:noProof/>
        </w:rPr>
        <w:fldChar w:fldCharType="separate"/>
      </w:r>
      <w:r w:rsidR="002168F3">
        <w:rPr>
          <w:noProof/>
        </w:rPr>
        <w:t>67</w:t>
      </w:r>
      <w:r>
        <w:rPr>
          <w:noProof/>
        </w:rPr>
        <w:fldChar w:fldCharType="end"/>
      </w:r>
    </w:p>
    <w:p w14:paraId="66AE9CAD" w14:textId="77777777" w:rsidR="00D65A1C" w:rsidRDefault="00D65A1C" w:rsidP="001A5D4A">
      <w:pPr>
        <w:pStyle w:val="TOC1"/>
        <w:rPr>
          <w:rFonts w:cstheme="minorBidi"/>
          <w:noProof/>
          <w:sz w:val="22"/>
          <w:szCs w:val="22"/>
        </w:rPr>
      </w:pPr>
      <w:r>
        <w:rPr>
          <w:noProof/>
        </w:rPr>
        <w:t>Note 8. Consultancy and contracts</w:t>
      </w:r>
      <w:r>
        <w:rPr>
          <w:noProof/>
        </w:rPr>
        <w:tab/>
      </w:r>
      <w:r>
        <w:rPr>
          <w:noProof/>
        </w:rPr>
        <w:fldChar w:fldCharType="begin"/>
      </w:r>
      <w:r>
        <w:rPr>
          <w:noProof/>
        </w:rPr>
        <w:instrText xml:space="preserve"> PAGEREF _Toc410822667 \h </w:instrText>
      </w:r>
      <w:r>
        <w:rPr>
          <w:noProof/>
        </w:rPr>
      </w:r>
      <w:r>
        <w:rPr>
          <w:noProof/>
        </w:rPr>
        <w:fldChar w:fldCharType="separate"/>
      </w:r>
      <w:r w:rsidR="002168F3">
        <w:rPr>
          <w:noProof/>
        </w:rPr>
        <w:t>67</w:t>
      </w:r>
      <w:r>
        <w:rPr>
          <w:noProof/>
        </w:rPr>
        <w:fldChar w:fldCharType="end"/>
      </w:r>
    </w:p>
    <w:p w14:paraId="2B4C3D68" w14:textId="77777777" w:rsidR="00D65A1C" w:rsidRDefault="00D65A1C" w:rsidP="001A5D4A">
      <w:pPr>
        <w:pStyle w:val="TOC1"/>
        <w:rPr>
          <w:rFonts w:cstheme="minorBidi"/>
          <w:noProof/>
          <w:sz w:val="22"/>
          <w:szCs w:val="22"/>
        </w:rPr>
      </w:pPr>
      <w:r>
        <w:rPr>
          <w:noProof/>
        </w:rPr>
        <w:t>Note 9. Other revenue and income</w:t>
      </w:r>
      <w:r>
        <w:rPr>
          <w:noProof/>
        </w:rPr>
        <w:tab/>
      </w:r>
      <w:r>
        <w:rPr>
          <w:noProof/>
        </w:rPr>
        <w:fldChar w:fldCharType="begin"/>
      </w:r>
      <w:r>
        <w:rPr>
          <w:noProof/>
        </w:rPr>
        <w:instrText xml:space="preserve"> PAGEREF _Toc410822669 \h </w:instrText>
      </w:r>
      <w:r>
        <w:rPr>
          <w:noProof/>
        </w:rPr>
      </w:r>
      <w:r>
        <w:rPr>
          <w:noProof/>
        </w:rPr>
        <w:fldChar w:fldCharType="separate"/>
      </w:r>
      <w:r w:rsidR="002168F3">
        <w:rPr>
          <w:noProof/>
        </w:rPr>
        <w:t>67</w:t>
      </w:r>
      <w:r>
        <w:rPr>
          <w:noProof/>
        </w:rPr>
        <w:fldChar w:fldCharType="end"/>
      </w:r>
    </w:p>
    <w:p w14:paraId="73ECAA91" w14:textId="77777777" w:rsidR="00D65A1C" w:rsidRDefault="00D65A1C" w:rsidP="001A5D4A">
      <w:pPr>
        <w:pStyle w:val="TOC1"/>
        <w:rPr>
          <w:rFonts w:cstheme="minorBidi"/>
          <w:noProof/>
          <w:sz w:val="22"/>
          <w:szCs w:val="22"/>
        </w:rPr>
      </w:pPr>
      <w:r>
        <w:rPr>
          <w:noProof/>
        </w:rPr>
        <w:t>Note 10. Employee related expenses</w:t>
      </w:r>
      <w:r>
        <w:rPr>
          <w:noProof/>
        </w:rPr>
        <w:tab/>
      </w:r>
      <w:r>
        <w:rPr>
          <w:noProof/>
        </w:rPr>
        <w:fldChar w:fldCharType="begin"/>
      </w:r>
      <w:r>
        <w:rPr>
          <w:noProof/>
        </w:rPr>
        <w:instrText xml:space="preserve"> PAGEREF _Toc410822671 \h </w:instrText>
      </w:r>
      <w:r>
        <w:rPr>
          <w:noProof/>
        </w:rPr>
      </w:r>
      <w:r>
        <w:rPr>
          <w:noProof/>
        </w:rPr>
        <w:fldChar w:fldCharType="separate"/>
      </w:r>
      <w:r w:rsidR="002168F3">
        <w:rPr>
          <w:noProof/>
        </w:rPr>
        <w:t>68</w:t>
      </w:r>
      <w:r>
        <w:rPr>
          <w:noProof/>
        </w:rPr>
        <w:fldChar w:fldCharType="end"/>
      </w:r>
    </w:p>
    <w:p w14:paraId="2FBC17F1" w14:textId="77777777" w:rsidR="00D65A1C" w:rsidRDefault="00D65A1C" w:rsidP="001A5D4A">
      <w:pPr>
        <w:pStyle w:val="TOC1"/>
        <w:rPr>
          <w:rFonts w:cstheme="minorBidi"/>
          <w:noProof/>
          <w:sz w:val="22"/>
          <w:szCs w:val="22"/>
        </w:rPr>
      </w:pPr>
      <w:r>
        <w:rPr>
          <w:noProof/>
        </w:rPr>
        <w:t>Note 11. Depreciation and amortisation</w:t>
      </w:r>
      <w:r>
        <w:rPr>
          <w:noProof/>
        </w:rPr>
        <w:tab/>
      </w:r>
      <w:r>
        <w:rPr>
          <w:noProof/>
        </w:rPr>
        <w:fldChar w:fldCharType="begin"/>
      </w:r>
      <w:r>
        <w:rPr>
          <w:noProof/>
        </w:rPr>
        <w:instrText xml:space="preserve"> PAGEREF _Toc410822673 \h </w:instrText>
      </w:r>
      <w:r>
        <w:rPr>
          <w:noProof/>
        </w:rPr>
      </w:r>
      <w:r>
        <w:rPr>
          <w:noProof/>
        </w:rPr>
        <w:fldChar w:fldCharType="separate"/>
      </w:r>
      <w:r w:rsidR="002168F3">
        <w:rPr>
          <w:noProof/>
        </w:rPr>
        <w:t>69</w:t>
      </w:r>
      <w:r>
        <w:rPr>
          <w:noProof/>
        </w:rPr>
        <w:fldChar w:fldCharType="end"/>
      </w:r>
    </w:p>
    <w:p w14:paraId="5DEF45BA" w14:textId="77777777" w:rsidR="00D65A1C" w:rsidRDefault="00D65A1C" w:rsidP="001A5D4A">
      <w:pPr>
        <w:pStyle w:val="TOC1"/>
        <w:rPr>
          <w:rFonts w:cstheme="minorBidi"/>
          <w:noProof/>
          <w:sz w:val="22"/>
          <w:szCs w:val="22"/>
        </w:rPr>
      </w:pPr>
      <w:r>
        <w:rPr>
          <w:noProof/>
        </w:rPr>
        <w:t>Note 12. Repairs and maintenance</w:t>
      </w:r>
      <w:r>
        <w:rPr>
          <w:noProof/>
        </w:rPr>
        <w:tab/>
      </w:r>
      <w:r>
        <w:rPr>
          <w:noProof/>
        </w:rPr>
        <w:fldChar w:fldCharType="begin"/>
      </w:r>
      <w:r>
        <w:rPr>
          <w:noProof/>
        </w:rPr>
        <w:instrText xml:space="preserve"> PAGEREF _Toc410822674 \h </w:instrText>
      </w:r>
      <w:r>
        <w:rPr>
          <w:noProof/>
        </w:rPr>
      </w:r>
      <w:r>
        <w:rPr>
          <w:noProof/>
        </w:rPr>
        <w:fldChar w:fldCharType="separate"/>
      </w:r>
      <w:r w:rsidR="002168F3">
        <w:rPr>
          <w:noProof/>
        </w:rPr>
        <w:t>69</w:t>
      </w:r>
      <w:r>
        <w:rPr>
          <w:noProof/>
        </w:rPr>
        <w:fldChar w:fldCharType="end"/>
      </w:r>
    </w:p>
    <w:p w14:paraId="66B029DE" w14:textId="77777777" w:rsidR="00D65A1C" w:rsidRDefault="00D65A1C" w:rsidP="001A5D4A">
      <w:pPr>
        <w:pStyle w:val="TOC1"/>
        <w:rPr>
          <w:rFonts w:cstheme="minorBidi"/>
          <w:noProof/>
          <w:sz w:val="22"/>
          <w:szCs w:val="22"/>
        </w:rPr>
      </w:pPr>
      <w:r>
        <w:rPr>
          <w:noProof/>
        </w:rPr>
        <w:t>Note 13. Borrowing Costs</w:t>
      </w:r>
      <w:r>
        <w:rPr>
          <w:noProof/>
        </w:rPr>
        <w:tab/>
      </w:r>
      <w:r>
        <w:rPr>
          <w:noProof/>
        </w:rPr>
        <w:fldChar w:fldCharType="begin"/>
      </w:r>
      <w:r>
        <w:rPr>
          <w:noProof/>
        </w:rPr>
        <w:instrText xml:space="preserve"> PAGEREF _Toc410822676 \h </w:instrText>
      </w:r>
      <w:r>
        <w:rPr>
          <w:noProof/>
        </w:rPr>
      </w:r>
      <w:r>
        <w:rPr>
          <w:noProof/>
        </w:rPr>
        <w:fldChar w:fldCharType="separate"/>
      </w:r>
      <w:r w:rsidR="002168F3">
        <w:rPr>
          <w:noProof/>
        </w:rPr>
        <w:t>70</w:t>
      </w:r>
      <w:r>
        <w:rPr>
          <w:noProof/>
        </w:rPr>
        <w:fldChar w:fldCharType="end"/>
      </w:r>
    </w:p>
    <w:p w14:paraId="192EA0FB" w14:textId="77777777" w:rsidR="00D65A1C" w:rsidRDefault="00D65A1C" w:rsidP="001A5D4A">
      <w:pPr>
        <w:pStyle w:val="TOC1"/>
        <w:rPr>
          <w:rFonts w:cstheme="minorBidi"/>
          <w:noProof/>
          <w:sz w:val="22"/>
          <w:szCs w:val="22"/>
        </w:rPr>
      </w:pPr>
      <w:r>
        <w:rPr>
          <w:noProof/>
        </w:rPr>
        <w:t>Note 14. Impairment of assets</w:t>
      </w:r>
      <w:r>
        <w:rPr>
          <w:noProof/>
        </w:rPr>
        <w:tab/>
      </w:r>
      <w:r>
        <w:rPr>
          <w:noProof/>
        </w:rPr>
        <w:fldChar w:fldCharType="begin"/>
      </w:r>
      <w:r>
        <w:rPr>
          <w:noProof/>
        </w:rPr>
        <w:instrText xml:space="preserve"> PAGEREF _Toc410822678 \h </w:instrText>
      </w:r>
      <w:r>
        <w:rPr>
          <w:noProof/>
        </w:rPr>
      </w:r>
      <w:r>
        <w:rPr>
          <w:noProof/>
        </w:rPr>
        <w:fldChar w:fldCharType="separate"/>
      </w:r>
      <w:r w:rsidR="002168F3">
        <w:rPr>
          <w:noProof/>
        </w:rPr>
        <w:t>70</w:t>
      </w:r>
      <w:r>
        <w:rPr>
          <w:noProof/>
        </w:rPr>
        <w:fldChar w:fldCharType="end"/>
      </w:r>
    </w:p>
    <w:p w14:paraId="2CE28065" w14:textId="77777777" w:rsidR="00D65A1C" w:rsidRDefault="00D65A1C" w:rsidP="001A5D4A">
      <w:pPr>
        <w:pStyle w:val="TOC1"/>
        <w:rPr>
          <w:rFonts w:cstheme="minorBidi"/>
          <w:noProof/>
          <w:sz w:val="22"/>
          <w:szCs w:val="22"/>
        </w:rPr>
      </w:pPr>
      <w:r>
        <w:rPr>
          <w:noProof/>
        </w:rPr>
        <w:t>Note 15. Other expenses</w:t>
      </w:r>
      <w:r>
        <w:rPr>
          <w:noProof/>
        </w:rPr>
        <w:tab/>
      </w:r>
      <w:r>
        <w:rPr>
          <w:noProof/>
        </w:rPr>
        <w:fldChar w:fldCharType="begin"/>
      </w:r>
      <w:r>
        <w:rPr>
          <w:noProof/>
        </w:rPr>
        <w:instrText xml:space="preserve"> PAGEREF _Toc410822679 \h </w:instrText>
      </w:r>
      <w:r>
        <w:rPr>
          <w:noProof/>
        </w:rPr>
      </w:r>
      <w:r>
        <w:rPr>
          <w:noProof/>
        </w:rPr>
        <w:fldChar w:fldCharType="separate"/>
      </w:r>
      <w:r w:rsidR="002168F3">
        <w:rPr>
          <w:noProof/>
        </w:rPr>
        <w:t>71</w:t>
      </w:r>
      <w:r>
        <w:rPr>
          <w:noProof/>
        </w:rPr>
        <w:fldChar w:fldCharType="end"/>
      </w:r>
    </w:p>
    <w:p w14:paraId="11A5A39C" w14:textId="77777777" w:rsidR="00D65A1C" w:rsidRDefault="00D65A1C" w:rsidP="001A5D4A">
      <w:pPr>
        <w:pStyle w:val="TOC1"/>
        <w:rPr>
          <w:rFonts w:cstheme="minorBidi"/>
          <w:noProof/>
          <w:sz w:val="22"/>
          <w:szCs w:val="22"/>
        </w:rPr>
      </w:pPr>
      <w:r>
        <w:rPr>
          <w:noProof/>
        </w:rPr>
        <w:t>Note 16. Income tax</w:t>
      </w:r>
      <w:r>
        <w:rPr>
          <w:noProof/>
        </w:rPr>
        <w:tab/>
      </w:r>
      <w:r>
        <w:rPr>
          <w:noProof/>
        </w:rPr>
        <w:fldChar w:fldCharType="begin"/>
      </w:r>
      <w:r>
        <w:rPr>
          <w:noProof/>
        </w:rPr>
        <w:instrText xml:space="preserve"> PAGEREF _Toc410822681 \h </w:instrText>
      </w:r>
      <w:r>
        <w:rPr>
          <w:noProof/>
        </w:rPr>
      </w:r>
      <w:r>
        <w:rPr>
          <w:noProof/>
        </w:rPr>
        <w:fldChar w:fldCharType="separate"/>
      </w:r>
      <w:r w:rsidR="002168F3">
        <w:rPr>
          <w:noProof/>
        </w:rPr>
        <w:t>71</w:t>
      </w:r>
      <w:r>
        <w:rPr>
          <w:noProof/>
        </w:rPr>
        <w:fldChar w:fldCharType="end"/>
      </w:r>
    </w:p>
    <w:p w14:paraId="1216F32A" w14:textId="77777777" w:rsidR="00D65A1C" w:rsidRDefault="00D65A1C" w:rsidP="001A5D4A">
      <w:pPr>
        <w:pStyle w:val="TOC1"/>
        <w:rPr>
          <w:rFonts w:cstheme="minorBidi"/>
          <w:noProof/>
          <w:sz w:val="22"/>
          <w:szCs w:val="22"/>
        </w:rPr>
      </w:pPr>
      <w:r>
        <w:rPr>
          <w:noProof/>
        </w:rPr>
        <w:t>Note 17. Discontinued operations</w:t>
      </w:r>
      <w:r>
        <w:rPr>
          <w:noProof/>
        </w:rPr>
        <w:tab/>
      </w:r>
      <w:r>
        <w:rPr>
          <w:noProof/>
        </w:rPr>
        <w:fldChar w:fldCharType="begin"/>
      </w:r>
      <w:r>
        <w:rPr>
          <w:noProof/>
        </w:rPr>
        <w:instrText xml:space="preserve"> PAGEREF _Toc410822683 \h </w:instrText>
      </w:r>
      <w:r>
        <w:rPr>
          <w:noProof/>
        </w:rPr>
      </w:r>
      <w:r>
        <w:rPr>
          <w:noProof/>
        </w:rPr>
        <w:fldChar w:fldCharType="separate"/>
      </w:r>
      <w:r w:rsidR="002168F3">
        <w:rPr>
          <w:noProof/>
        </w:rPr>
        <w:t>74</w:t>
      </w:r>
      <w:r>
        <w:rPr>
          <w:noProof/>
        </w:rPr>
        <w:fldChar w:fldCharType="end"/>
      </w:r>
    </w:p>
    <w:p w14:paraId="61A36C1E" w14:textId="77777777" w:rsidR="00D65A1C" w:rsidRDefault="00D65A1C" w:rsidP="001A5D4A">
      <w:pPr>
        <w:pStyle w:val="TOC1"/>
        <w:rPr>
          <w:rFonts w:cstheme="minorBidi"/>
          <w:noProof/>
          <w:sz w:val="22"/>
          <w:szCs w:val="22"/>
        </w:rPr>
      </w:pPr>
      <w:r>
        <w:rPr>
          <w:noProof/>
        </w:rPr>
        <w:t>Note 18. Cash and cash equivalents</w:t>
      </w:r>
      <w:r>
        <w:rPr>
          <w:noProof/>
        </w:rPr>
        <w:tab/>
      </w:r>
      <w:r>
        <w:rPr>
          <w:noProof/>
        </w:rPr>
        <w:fldChar w:fldCharType="begin"/>
      </w:r>
      <w:r>
        <w:rPr>
          <w:noProof/>
        </w:rPr>
        <w:instrText xml:space="preserve"> PAGEREF _Toc410822686 \h </w:instrText>
      </w:r>
      <w:r>
        <w:rPr>
          <w:noProof/>
        </w:rPr>
      </w:r>
      <w:r>
        <w:rPr>
          <w:noProof/>
        </w:rPr>
        <w:fldChar w:fldCharType="separate"/>
      </w:r>
      <w:r w:rsidR="002168F3">
        <w:rPr>
          <w:noProof/>
        </w:rPr>
        <w:t>77</w:t>
      </w:r>
      <w:r>
        <w:rPr>
          <w:noProof/>
        </w:rPr>
        <w:fldChar w:fldCharType="end"/>
      </w:r>
    </w:p>
    <w:p w14:paraId="6CE46B07" w14:textId="77777777" w:rsidR="00D65A1C" w:rsidRDefault="00D65A1C" w:rsidP="001A5D4A">
      <w:pPr>
        <w:pStyle w:val="TOC1"/>
        <w:rPr>
          <w:rFonts w:cstheme="minorBidi"/>
          <w:noProof/>
          <w:sz w:val="22"/>
          <w:szCs w:val="22"/>
        </w:rPr>
      </w:pPr>
      <w:r>
        <w:rPr>
          <w:noProof/>
        </w:rPr>
        <w:t>Note 19. Receivables</w:t>
      </w:r>
      <w:r>
        <w:rPr>
          <w:noProof/>
        </w:rPr>
        <w:tab/>
      </w:r>
      <w:r>
        <w:rPr>
          <w:noProof/>
        </w:rPr>
        <w:fldChar w:fldCharType="begin"/>
      </w:r>
      <w:r>
        <w:rPr>
          <w:noProof/>
        </w:rPr>
        <w:instrText xml:space="preserve"> PAGEREF _Toc410822688 \h </w:instrText>
      </w:r>
      <w:r>
        <w:rPr>
          <w:noProof/>
        </w:rPr>
      </w:r>
      <w:r>
        <w:rPr>
          <w:noProof/>
        </w:rPr>
        <w:fldChar w:fldCharType="separate"/>
      </w:r>
      <w:r w:rsidR="002168F3">
        <w:rPr>
          <w:noProof/>
        </w:rPr>
        <w:t>78</w:t>
      </w:r>
      <w:r>
        <w:rPr>
          <w:noProof/>
        </w:rPr>
        <w:fldChar w:fldCharType="end"/>
      </w:r>
    </w:p>
    <w:p w14:paraId="7CCA4B79" w14:textId="77777777" w:rsidR="00D65A1C" w:rsidRDefault="00D65A1C" w:rsidP="001A5D4A">
      <w:pPr>
        <w:pStyle w:val="TOC1"/>
        <w:rPr>
          <w:rFonts w:cstheme="minorBidi"/>
          <w:noProof/>
          <w:sz w:val="22"/>
          <w:szCs w:val="22"/>
        </w:rPr>
      </w:pPr>
      <w:r>
        <w:rPr>
          <w:noProof/>
        </w:rPr>
        <w:t>Note 20. Inventories</w:t>
      </w:r>
      <w:r>
        <w:rPr>
          <w:noProof/>
        </w:rPr>
        <w:tab/>
      </w:r>
      <w:r>
        <w:rPr>
          <w:noProof/>
        </w:rPr>
        <w:fldChar w:fldCharType="begin"/>
      </w:r>
      <w:r>
        <w:rPr>
          <w:noProof/>
        </w:rPr>
        <w:instrText xml:space="preserve"> PAGEREF _Toc410822690 \h </w:instrText>
      </w:r>
      <w:r>
        <w:rPr>
          <w:noProof/>
        </w:rPr>
      </w:r>
      <w:r>
        <w:rPr>
          <w:noProof/>
        </w:rPr>
        <w:fldChar w:fldCharType="separate"/>
      </w:r>
      <w:r w:rsidR="002168F3">
        <w:rPr>
          <w:noProof/>
        </w:rPr>
        <w:t>79</w:t>
      </w:r>
      <w:r>
        <w:rPr>
          <w:noProof/>
        </w:rPr>
        <w:fldChar w:fldCharType="end"/>
      </w:r>
    </w:p>
    <w:p w14:paraId="5F5FBF85" w14:textId="77777777" w:rsidR="00D65A1C" w:rsidRDefault="00D65A1C" w:rsidP="001A5D4A">
      <w:pPr>
        <w:pStyle w:val="TOC1"/>
        <w:rPr>
          <w:rFonts w:cstheme="minorBidi"/>
          <w:noProof/>
          <w:sz w:val="22"/>
          <w:szCs w:val="22"/>
        </w:rPr>
      </w:pPr>
      <w:r>
        <w:rPr>
          <w:noProof/>
        </w:rPr>
        <w:t>Note 21. Other financial assets</w:t>
      </w:r>
      <w:r>
        <w:rPr>
          <w:noProof/>
        </w:rPr>
        <w:tab/>
      </w:r>
      <w:r>
        <w:rPr>
          <w:noProof/>
        </w:rPr>
        <w:fldChar w:fldCharType="begin"/>
      </w:r>
      <w:r>
        <w:rPr>
          <w:noProof/>
        </w:rPr>
        <w:instrText xml:space="preserve"> PAGEREF _Toc410822692 \h </w:instrText>
      </w:r>
      <w:r>
        <w:rPr>
          <w:noProof/>
        </w:rPr>
      </w:r>
      <w:r>
        <w:rPr>
          <w:noProof/>
        </w:rPr>
        <w:fldChar w:fldCharType="separate"/>
      </w:r>
      <w:r w:rsidR="002168F3">
        <w:rPr>
          <w:noProof/>
        </w:rPr>
        <w:t>81</w:t>
      </w:r>
      <w:r>
        <w:rPr>
          <w:noProof/>
        </w:rPr>
        <w:fldChar w:fldCharType="end"/>
      </w:r>
    </w:p>
    <w:p w14:paraId="77433831" w14:textId="77777777" w:rsidR="00D65A1C" w:rsidRDefault="00D65A1C" w:rsidP="001A5D4A">
      <w:pPr>
        <w:pStyle w:val="TOC1"/>
        <w:rPr>
          <w:rFonts w:cstheme="minorBidi"/>
          <w:noProof/>
          <w:sz w:val="22"/>
          <w:szCs w:val="22"/>
        </w:rPr>
      </w:pPr>
      <w:r>
        <w:rPr>
          <w:noProof/>
        </w:rPr>
        <w:t>Note 22. Non-current assets or disposal groups classified as held for sale</w:t>
      </w:r>
      <w:r>
        <w:rPr>
          <w:noProof/>
        </w:rPr>
        <w:tab/>
      </w:r>
      <w:r>
        <w:rPr>
          <w:noProof/>
        </w:rPr>
        <w:fldChar w:fldCharType="begin"/>
      </w:r>
      <w:r>
        <w:rPr>
          <w:noProof/>
        </w:rPr>
        <w:instrText xml:space="preserve"> PAGEREF _Toc410822693 \h </w:instrText>
      </w:r>
      <w:r>
        <w:rPr>
          <w:noProof/>
        </w:rPr>
      </w:r>
      <w:r>
        <w:rPr>
          <w:noProof/>
        </w:rPr>
        <w:fldChar w:fldCharType="separate"/>
      </w:r>
      <w:r w:rsidR="002168F3">
        <w:rPr>
          <w:noProof/>
        </w:rPr>
        <w:t>81</w:t>
      </w:r>
      <w:r>
        <w:rPr>
          <w:noProof/>
        </w:rPr>
        <w:fldChar w:fldCharType="end"/>
      </w:r>
    </w:p>
    <w:p w14:paraId="7F21F040" w14:textId="77777777" w:rsidR="00D65A1C" w:rsidRDefault="00D65A1C" w:rsidP="001A5D4A">
      <w:pPr>
        <w:pStyle w:val="TOC1"/>
        <w:rPr>
          <w:rFonts w:cstheme="minorBidi"/>
          <w:noProof/>
          <w:sz w:val="22"/>
          <w:szCs w:val="22"/>
        </w:rPr>
      </w:pPr>
      <w:r>
        <w:rPr>
          <w:noProof/>
        </w:rPr>
        <w:t>Note 23. Other non-financial assets</w:t>
      </w:r>
      <w:r>
        <w:rPr>
          <w:noProof/>
        </w:rPr>
        <w:tab/>
      </w:r>
      <w:r>
        <w:rPr>
          <w:noProof/>
        </w:rPr>
        <w:fldChar w:fldCharType="begin"/>
      </w:r>
      <w:r>
        <w:rPr>
          <w:noProof/>
        </w:rPr>
        <w:instrText xml:space="preserve"> PAGEREF _Toc410822695 \h </w:instrText>
      </w:r>
      <w:r>
        <w:rPr>
          <w:noProof/>
        </w:rPr>
      </w:r>
      <w:r>
        <w:rPr>
          <w:noProof/>
        </w:rPr>
        <w:fldChar w:fldCharType="separate"/>
      </w:r>
      <w:r w:rsidR="002168F3">
        <w:rPr>
          <w:noProof/>
        </w:rPr>
        <w:t>81</w:t>
      </w:r>
      <w:r>
        <w:rPr>
          <w:noProof/>
        </w:rPr>
        <w:fldChar w:fldCharType="end"/>
      </w:r>
    </w:p>
    <w:p w14:paraId="540AD6A9" w14:textId="77777777" w:rsidR="00D65A1C" w:rsidRDefault="00D65A1C" w:rsidP="001A5D4A">
      <w:pPr>
        <w:pStyle w:val="TOC1"/>
        <w:rPr>
          <w:rFonts w:cstheme="minorBidi"/>
          <w:noProof/>
          <w:sz w:val="22"/>
          <w:szCs w:val="22"/>
        </w:rPr>
      </w:pPr>
      <w:r>
        <w:rPr>
          <w:noProof/>
        </w:rPr>
        <w:t>Note 24. Investments accounted for using the equity method</w:t>
      </w:r>
      <w:r>
        <w:rPr>
          <w:noProof/>
        </w:rPr>
        <w:tab/>
      </w:r>
      <w:r>
        <w:rPr>
          <w:noProof/>
        </w:rPr>
        <w:fldChar w:fldCharType="begin"/>
      </w:r>
      <w:r>
        <w:rPr>
          <w:noProof/>
        </w:rPr>
        <w:instrText xml:space="preserve"> PAGEREF _Toc410822696 \h </w:instrText>
      </w:r>
      <w:r>
        <w:rPr>
          <w:noProof/>
        </w:rPr>
      </w:r>
      <w:r>
        <w:rPr>
          <w:noProof/>
        </w:rPr>
        <w:fldChar w:fldCharType="separate"/>
      </w:r>
      <w:r w:rsidR="002168F3">
        <w:rPr>
          <w:noProof/>
        </w:rPr>
        <w:t>82</w:t>
      </w:r>
      <w:r>
        <w:rPr>
          <w:noProof/>
        </w:rPr>
        <w:fldChar w:fldCharType="end"/>
      </w:r>
    </w:p>
    <w:p w14:paraId="4CEDC2C2" w14:textId="77777777" w:rsidR="00D65A1C" w:rsidRDefault="00D65A1C" w:rsidP="001A5D4A">
      <w:pPr>
        <w:pStyle w:val="TOC1"/>
        <w:rPr>
          <w:rFonts w:cstheme="minorBidi"/>
          <w:noProof/>
          <w:sz w:val="22"/>
          <w:szCs w:val="22"/>
        </w:rPr>
      </w:pPr>
      <w:r>
        <w:rPr>
          <w:noProof/>
        </w:rPr>
        <w:t>Note 25. Investment properties</w:t>
      </w:r>
      <w:r>
        <w:rPr>
          <w:noProof/>
        </w:rPr>
        <w:tab/>
      </w:r>
      <w:r>
        <w:rPr>
          <w:noProof/>
        </w:rPr>
        <w:fldChar w:fldCharType="begin"/>
      </w:r>
      <w:r>
        <w:rPr>
          <w:noProof/>
        </w:rPr>
        <w:instrText xml:space="preserve"> PAGEREF _Toc410822698 \h </w:instrText>
      </w:r>
      <w:r>
        <w:rPr>
          <w:noProof/>
        </w:rPr>
      </w:r>
      <w:r>
        <w:rPr>
          <w:noProof/>
        </w:rPr>
        <w:fldChar w:fldCharType="separate"/>
      </w:r>
      <w:r w:rsidR="002168F3">
        <w:rPr>
          <w:noProof/>
        </w:rPr>
        <w:t>86</w:t>
      </w:r>
      <w:r>
        <w:rPr>
          <w:noProof/>
        </w:rPr>
        <w:fldChar w:fldCharType="end"/>
      </w:r>
    </w:p>
    <w:p w14:paraId="58555A07" w14:textId="77777777" w:rsidR="00D65A1C" w:rsidRDefault="00D65A1C" w:rsidP="001A5D4A">
      <w:pPr>
        <w:pStyle w:val="TOC1"/>
        <w:rPr>
          <w:rFonts w:cstheme="minorBidi"/>
          <w:noProof/>
          <w:sz w:val="22"/>
          <w:szCs w:val="22"/>
        </w:rPr>
      </w:pPr>
      <w:r>
        <w:rPr>
          <w:noProof/>
        </w:rPr>
        <w:t>Note 26. Property, plant and equipment</w:t>
      </w:r>
      <w:r>
        <w:rPr>
          <w:noProof/>
        </w:rPr>
        <w:tab/>
      </w:r>
      <w:r>
        <w:rPr>
          <w:noProof/>
        </w:rPr>
        <w:fldChar w:fldCharType="begin"/>
      </w:r>
      <w:r>
        <w:rPr>
          <w:noProof/>
        </w:rPr>
        <w:instrText xml:space="preserve"> PAGEREF _Toc410822699 \h </w:instrText>
      </w:r>
      <w:r>
        <w:rPr>
          <w:noProof/>
        </w:rPr>
      </w:r>
      <w:r>
        <w:rPr>
          <w:noProof/>
        </w:rPr>
        <w:fldChar w:fldCharType="separate"/>
      </w:r>
      <w:r w:rsidR="002168F3">
        <w:rPr>
          <w:noProof/>
        </w:rPr>
        <w:t>87</w:t>
      </w:r>
      <w:r>
        <w:rPr>
          <w:noProof/>
        </w:rPr>
        <w:fldChar w:fldCharType="end"/>
      </w:r>
    </w:p>
    <w:p w14:paraId="03BED968" w14:textId="77777777" w:rsidR="00D65A1C" w:rsidRDefault="00D65A1C" w:rsidP="001A5D4A">
      <w:pPr>
        <w:pStyle w:val="TOC1"/>
        <w:rPr>
          <w:rFonts w:cstheme="minorBidi"/>
          <w:noProof/>
          <w:sz w:val="22"/>
          <w:szCs w:val="22"/>
        </w:rPr>
      </w:pPr>
      <w:r>
        <w:rPr>
          <w:noProof/>
        </w:rPr>
        <w:t>Note 27. Intangible assets</w:t>
      </w:r>
      <w:r>
        <w:rPr>
          <w:noProof/>
        </w:rPr>
        <w:tab/>
      </w:r>
      <w:r>
        <w:rPr>
          <w:noProof/>
        </w:rPr>
        <w:fldChar w:fldCharType="begin"/>
      </w:r>
      <w:r>
        <w:rPr>
          <w:noProof/>
        </w:rPr>
        <w:instrText xml:space="preserve"> PAGEREF _Toc410822701 \h </w:instrText>
      </w:r>
      <w:r>
        <w:rPr>
          <w:noProof/>
        </w:rPr>
      </w:r>
      <w:r>
        <w:rPr>
          <w:noProof/>
        </w:rPr>
        <w:fldChar w:fldCharType="separate"/>
      </w:r>
      <w:r w:rsidR="002168F3">
        <w:rPr>
          <w:noProof/>
        </w:rPr>
        <w:t>93</w:t>
      </w:r>
      <w:r>
        <w:rPr>
          <w:noProof/>
        </w:rPr>
        <w:fldChar w:fldCharType="end"/>
      </w:r>
    </w:p>
    <w:p w14:paraId="65CD754F" w14:textId="77777777" w:rsidR="00D65A1C" w:rsidRDefault="00D65A1C" w:rsidP="001A5D4A">
      <w:pPr>
        <w:pStyle w:val="TOC1"/>
        <w:rPr>
          <w:rFonts w:cstheme="minorBidi"/>
          <w:noProof/>
          <w:sz w:val="22"/>
          <w:szCs w:val="22"/>
        </w:rPr>
      </w:pPr>
      <w:r>
        <w:rPr>
          <w:noProof/>
        </w:rPr>
        <w:t>Note 28. Deferred tax assets and liabilities</w:t>
      </w:r>
      <w:r>
        <w:rPr>
          <w:noProof/>
        </w:rPr>
        <w:tab/>
      </w:r>
      <w:r>
        <w:rPr>
          <w:noProof/>
        </w:rPr>
        <w:fldChar w:fldCharType="begin"/>
      </w:r>
      <w:r>
        <w:rPr>
          <w:noProof/>
        </w:rPr>
        <w:instrText xml:space="preserve"> PAGEREF _Toc410822703 \h </w:instrText>
      </w:r>
      <w:r>
        <w:rPr>
          <w:noProof/>
        </w:rPr>
      </w:r>
      <w:r>
        <w:rPr>
          <w:noProof/>
        </w:rPr>
        <w:fldChar w:fldCharType="separate"/>
      </w:r>
      <w:r w:rsidR="002168F3">
        <w:rPr>
          <w:noProof/>
        </w:rPr>
        <w:t>95</w:t>
      </w:r>
      <w:r>
        <w:rPr>
          <w:noProof/>
        </w:rPr>
        <w:fldChar w:fldCharType="end"/>
      </w:r>
    </w:p>
    <w:p w14:paraId="0A15BCD4" w14:textId="77777777" w:rsidR="00D65A1C" w:rsidRDefault="00D65A1C" w:rsidP="001A5D4A">
      <w:pPr>
        <w:pStyle w:val="TOC1"/>
        <w:rPr>
          <w:rFonts w:cstheme="minorBidi"/>
          <w:noProof/>
          <w:sz w:val="22"/>
          <w:szCs w:val="22"/>
        </w:rPr>
      </w:pPr>
      <w:r>
        <w:rPr>
          <w:noProof/>
        </w:rPr>
        <w:t>Note 29. Trade and other payables</w:t>
      </w:r>
      <w:r>
        <w:rPr>
          <w:noProof/>
        </w:rPr>
        <w:tab/>
      </w:r>
      <w:r>
        <w:rPr>
          <w:noProof/>
        </w:rPr>
        <w:fldChar w:fldCharType="begin"/>
      </w:r>
      <w:r>
        <w:rPr>
          <w:noProof/>
        </w:rPr>
        <w:instrText xml:space="preserve"> PAGEREF _Toc410822705 \h </w:instrText>
      </w:r>
      <w:r>
        <w:rPr>
          <w:noProof/>
        </w:rPr>
      </w:r>
      <w:r>
        <w:rPr>
          <w:noProof/>
        </w:rPr>
        <w:fldChar w:fldCharType="separate"/>
      </w:r>
      <w:r w:rsidR="002168F3">
        <w:rPr>
          <w:noProof/>
        </w:rPr>
        <w:t>98</w:t>
      </w:r>
      <w:r>
        <w:rPr>
          <w:noProof/>
        </w:rPr>
        <w:fldChar w:fldCharType="end"/>
      </w:r>
    </w:p>
    <w:p w14:paraId="4FBA3E85" w14:textId="77777777" w:rsidR="00D65A1C" w:rsidRDefault="00D65A1C" w:rsidP="001A5D4A">
      <w:pPr>
        <w:pStyle w:val="TOC1"/>
        <w:rPr>
          <w:rFonts w:cstheme="minorBidi"/>
          <w:noProof/>
          <w:sz w:val="22"/>
          <w:szCs w:val="22"/>
        </w:rPr>
      </w:pPr>
      <w:r>
        <w:rPr>
          <w:noProof/>
        </w:rPr>
        <w:t>Note 30. Borrowings</w:t>
      </w:r>
      <w:r>
        <w:rPr>
          <w:noProof/>
        </w:rPr>
        <w:tab/>
      </w:r>
      <w:r>
        <w:rPr>
          <w:noProof/>
        </w:rPr>
        <w:fldChar w:fldCharType="begin"/>
      </w:r>
      <w:r>
        <w:rPr>
          <w:noProof/>
        </w:rPr>
        <w:instrText xml:space="preserve"> PAGEREF _Toc410822707 \h </w:instrText>
      </w:r>
      <w:r>
        <w:rPr>
          <w:noProof/>
        </w:rPr>
      </w:r>
      <w:r>
        <w:rPr>
          <w:noProof/>
        </w:rPr>
        <w:fldChar w:fldCharType="separate"/>
      </w:r>
      <w:r w:rsidR="002168F3">
        <w:rPr>
          <w:noProof/>
        </w:rPr>
        <w:t>99</w:t>
      </w:r>
      <w:r>
        <w:rPr>
          <w:noProof/>
        </w:rPr>
        <w:fldChar w:fldCharType="end"/>
      </w:r>
    </w:p>
    <w:p w14:paraId="31FEFFEC" w14:textId="77777777" w:rsidR="00D65A1C" w:rsidRDefault="00D65A1C" w:rsidP="001A5D4A">
      <w:pPr>
        <w:pStyle w:val="TOC1"/>
        <w:rPr>
          <w:rFonts w:cstheme="minorBidi"/>
          <w:noProof/>
          <w:sz w:val="22"/>
          <w:szCs w:val="22"/>
        </w:rPr>
      </w:pPr>
      <w:r>
        <w:rPr>
          <w:noProof/>
        </w:rPr>
        <w:t>Note 31. Provisions</w:t>
      </w:r>
      <w:r>
        <w:rPr>
          <w:noProof/>
        </w:rPr>
        <w:tab/>
      </w:r>
      <w:r>
        <w:rPr>
          <w:noProof/>
        </w:rPr>
        <w:fldChar w:fldCharType="begin"/>
      </w:r>
      <w:r>
        <w:rPr>
          <w:noProof/>
        </w:rPr>
        <w:instrText xml:space="preserve"> PAGEREF _Toc410822709 \h </w:instrText>
      </w:r>
      <w:r>
        <w:rPr>
          <w:noProof/>
        </w:rPr>
      </w:r>
      <w:r>
        <w:rPr>
          <w:noProof/>
        </w:rPr>
        <w:fldChar w:fldCharType="separate"/>
      </w:r>
      <w:r w:rsidR="002168F3">
        <w:rPr>
          <w:noProof/>
        </w:rPr>
        <w:t>102</w:t>
      </w:r>
      <w:r>
        <w:rPr>
          <w:noProof/>
        </w:rPr>
        <w:fldChar w:fldCharType="end"/>
      </w:r>
    </w:p>
    <w:p w14:paraId="6963BE66" w14:textId="77777777" w:rsidR="00D65A1C" w:rsidRDefault="00D65A1C" w:rsidP="001A5D4A">
      <w:pPr>
        <w:pStyle w:val="TOC1"/>
        <w:rPr>
          <w:rFonts w:cstheme="minorBidi"/>
          <w:noProof/>
          <w:sz w:val="22"/>
          <w:szCs w:val="22"/>
        </w:rPr>
      </w:pPr>
      <w:r>
        <w:rPr>
          <w:noProof/>
        </w:rPr>
        <w:t>Note 32. Other financial liabilities</w:t>
      </w:r>
      <w:r>
        <w:rPr>
          <w:noProof/>
        </w:rPr>
        <w:tab/>
      </w:r>
      <w:r>
        <w:rPr>
          <w:noProof/>
        </w:rPr>
        <w:fldChar w:fldCharType="begin"/>
      </w:r>
      <w:r>
        <w:rPr>
          <w:noProof/>
        </w:rPr>
        <w:instrText xml:space="preserve"> PAGEREF _Toc410822711 \h </w:instrText>
      </w:r>
      <w:r>
        <w:rPr>
          <w:noProof/>
        </w:rPr>
      </w:r>
      <w:r>
        <w:rPr>
          <w:noProof/>
        </w:rPr>
        <w:fldChar w:fldCharType="separate"/>
      </w:r>
      <w:r w:rsidR="002168F3">
        <w:rPr>
          <w:noProof/>
        </w:rPr>
        <w:t>103</w:t>
      </w:r>
      <w:r>
        <w:rPr>
          <w:noProof/>
        </w:rPr>
        <w:fldChar w:fldCharType="end"/>
      </w:r>
    </w:p>
    <w:p w14:paraId="48B00C58" w14:textId="77777777" w:rsidR="00D65A1C" w:rsidRDefault="00D65A1C" w:rsidP="001A5D4A">
      <w:pPr>
        <w:pStyle w:val="TOC1"/>
        <w:rPr>
          <w:rFonts w:cstheme="minorBidi"/>
          <w:noProof/>
          <w:sz w:val="22"/>
          <w:szCs w:val="22"/>
        </w:rPr>
      </w:pPr>
      <w:r>
        <w:rPr>
          <w:noProof/>
        </w:rPr>
        <w:t>Note 33. Current tax liabilities</w:t>
      </w:r>
      <w:r>
        <w:rPr>
          <w:noProof/>
        </w:rPr>
        <w:tab/>
      </w:r>
      <w:r>
        <w:rPr>
          <w:noProof/>
        </w:rPr>
        <w:fldChar w:fldCharType="begin"/>
      </w:r>
      <w:r>
        <w:rPr>
          <w:noProof/>
        </w:rPr>
        <w:instrText xml:space="preserve"> PAGEREF _Toc410822713 \h </w:instrText>
      </w:r>
      <w:r>
        <w:rPr>
          <w:noProof/>
        </w:rPr>
      </w:r>
      <w:r>
        <w:rPr>
          <w:noProof/>
        </w:rPr>
        <w:fldChar w:fldCharType="separate"/>
      </w:r>
      <w:r w:rsidR="002168F3">
        <w:rPr>
          <w:noProof/>
        </w:rPr>
        <w:t>104</w:t>
      </w:r>
      <w:r>
        <w:rPr>
          <w:noProof/>
        </w:rPr>
        <w:fldChar w:fldCharType="end"/>
      </w:r>
    </w:p>
    <w:p w14:paraId="24D657E0" w14:textId="77777777" w:rsidR="00D65A1C" w:rsidRDefault="00D65A1C" w:rsidP="001A5D4A">
      <w:pPr>
        <w:pStyle w:val="TOC1"/>
        <w:rPr>
          <w:rFonts w:cstheme="minorBidi"/>
          <w:noProof/>
          <w:sz w:val="22"/>
          <w:szCs w:val="22"/>
        </w:rPr>
      </w:pPr>
      <w:r>
        <w:rPr>
          <w:noProof/>
        </w:rPr>
        <w:t>Note 34. Other liabilities</w:t>
      </w:r>
      <w:r>
        <w:rPr>
          <w:noProof/>
        </w:rPr>
        <w:tab/>
      </w:r>
      <w:r>
        <w:rPr>
          <w:noProof/>
        </w:rPr>
        <w:fldChar w:fldCharType="begin"/>
      </w:r>
      <w:r>
        <w:rPr>
          <w:noProof/>
        </w:rPr>
        <w:instrText xml:space="preserve"> PAGEREF _Toc410822714 \h </w:instrText>
      </w:r>
      <w:r>
        <w:rPr>
          <w:noProof/>
        </w:rPr>
      </w:r>
      <w:r>
        <w:rPr>
          <w:noProof/>
        </w:rPr>
        <w:fldChar w:fldCharType="separate"/>
      </w:r>
      <w:r w:rsidR="002168F3">
        <w:rPr>
          <w:noProof/>
        </w:rPr>
        <w:t>104</w:t>
      </w:r>
      <w:r>
        <w:rPr>
          <w:noProof/>
        </w:rPr>
        <w:fldChar w:fldCharType="end"/>
      </w:r>
    </w:p>
    <w:p w14:paraId="4DF5DFED" w14:textId="77777777" w:rsidR="00D65A1C" w:rsidRDefault="00D65A1C" w:rsidP="001A5D4A">
      <w:pPr>
        <w:pStyle w:val="TOC1"/>
        <w:rPr>
          <w:rFonts w:cstheme="minorBidi"/>
          <w:noProof/>
          <w:sz w:val="22"/>
          <w:szCs w:val="22"/>
        </w:rPr>
      </w:pPr>
      <w:r>
        <w:rPr>
          <w:noProof/>
        </w:rPr>
        <w:t>Note 35. Restricted funds</w:t>
      </w:r>
      <w:r>
        <w:rPr>
          <w:noProof/>
        </w:rPr>
        <w:tab/>
      </w:r>
      <w:r>
        <w:rPr>
          <w:noProof/>
        </w:rPr>
        <w:fldChar w:fldCharType="begin"/>
      </w:r>
      <w:r>
        <w:rPr>
          <w:noProof/>
        </w:rPr>
        <w:instrText xml:space="preserve"> PAGEREF _Toc410822715 \h </w:instrText>
      </w:r>
      <w:r>
        <w:rPr>
          <w:noProof/>
        </w:rPr>
      </w:r>
      <w:r>
        <w:rPr>
          <w:noProof/>
        </w:rPr>
        <w:fldChar w:fldCharType="separate"/>
      </w:r>
      <w:r w:rsidR="002168F3">
        <w:rPr>
          <w:noProof/>
        </w:rPr>
        <w:t>104</w:t>
      </w:r>
      <w:r>
        <w:rPr>
          <w:noProof/>
        </w:rPr>
        <w:fldChar w:fldCharType="end"/>
      </w:r>
    </w:p>
    <w:p w14:paraId="4611AAEE" w14:textId="77777777" w:rsidR="00D65A1C" w:rsidRDefault="00D65A1C" w:rsidP="001A5D4A">
      <w:pPr>
        <w:pStyle w:val="TOC1"/>
        <w:rPr>
          <w:rFonts w:cstheme="minorBidi"/>
          <w:noProof/>
          <w:sz w:val="22"/>
          <w:szCs w:val="22"/>
        </w:rPr>
      </w:pPr>
      <w:r>
        <w:rPr>
          <w:noProof/>
        </w:rPr>
        <w:t>Note 36. Reserves and retained earnings</w:t>
      </w:r>
      <w:r>
        <w:rPr>
          <w:noProof/>
        </w:rPr>
        <w:tab/>
      </w:r>
      <w:r>
        <w:rPr>
          <w:noProof/>
        </w:rPr>
        <w:fldChar w:fldCharType="begin"/>
      </w:r>
      <w:r>
        <w:rPr>
          <w:noProof/>
        </w:rPr>
        <w:instrText xml:space="preserve"> PAGEREF _Toc410822717 \h </w:instrText>
      </w:r>
      <w:r>
        <w:rPr>
          <w:noProof/>
        </w:rPr>
      </w:r>
      <w:r>
        <w:rPr>
          <w:noProof/>
        </w:rPr>
        <w:fldChar w:fldCharType="separate"/>
      </w:r>
      <w:r w:rsidR="002168F3">
        <w:rPr>
          <w:noProof/>
        </w:rPr>
        <w:t>105</w:t>
      </w:r>
      <w:r>
        <w:rPr>
          <w:noProof/>
        </w:rPr>
        <w:fldChar w:fldCharType="end"/>
      </w:r>
    </w:p>
    <w:p w14:paraId="12019D0C" w14:textId="77777777" w:rsidR="00D65A1C" w:rsidRDefault="00D65A1C" w:rsidP="001A5D4A">
      <w:pPr>
        <w:pStyle w:val="TOC1"/>
        <w:rPr>
          <w:rFonts w:cstheme="minorBidi"/>
          <w:noProof/>
          <w:sz w:val="22"/>
          <w:szCs w:val="22"/>
        </w:rPr>
      </w:pPr>
      <w:r>
        <w:rPr>
          <w:noProof/>
        </w:rPr>
        <w:t>Note 37. Non-controlling interest</w:t>
      </w:r>
      <w:r>
        <w:rPr>
          <w:noProof/>
        </w:rPr>
        <w:tab/>
      </w:r>
      <w:r>
        <w:rPr>
          <w:noProof/>
        </w:rPr>
        <w:fldChar w:fldCharType="begin"/>
      </w:r>
      <w:r>
        <w:rPr>
          <w:noProof/>
        </w:rPr>
        <w:instrText xml:space="preserve"> PAGEREF _Toc410822719 \h </w:instrText>
      </w:r>
      <w:r>
        <w:rPr>
          <w:noProof/>
        </w:rPr>
      </w:r>
      <w:r>
        <w:rPr>
          <w:noProof/>
        </w:rPr>
        <w:fldChar w:fldCharType="separate"/>
      </w:r>
      <w:r w:rsidR="002168F3">
        <w:rPr>
          <w:noProof/>
        </w:rPr>
        <w:t>106</w:t>
      </w:r>
      <w:r>
        <w:rPr>
          <w:noProof/>
        </w:rPr>
        <w:fldChar w:fldCharType="end"/>
      </w:r>
    </w:p>
    <w:p w14:paraId="0E0DC4B1" w14:textId="77777777" w:rsidR="00D65A1C" w:rsidRDefault="00D65A1C" w:rsidP="001A5D4A">
      <w:pPr>
        <w:pStyle w:val="TOC1"/>
        <w:rPr>
          <w:rFonts w:cstheme="minorBidi"/>
          <w:noProof/>
          <w:sz w:val="22"/>
          <w:szCs w:val="22"/>
        </w:rPr>
      </w:pPr>
      <w:r>
        <w:rPr>
          <w:noProof/>
        </w:rPr>
        <w:t>Note 38. Key management personnel disclosures</w:t>
      </w:r>
      <w:r>
        <w:rPr>
          <w:noProof/>
        </w:rPr>
        <w:tab/>
      </w:r>
      <w:r>
        <w:rPr>
          <w:noProof/>
        </w:rPr>
        <w:fldChar w:fldCharType="begin"/>
      </w:r>
      <w:r>
        <w:rPr>
          <w:noProof/>
        </w:rPr>
        <w:instrText xml:space="preserve"> PAGEREF _Toc410822721 \h </w:instrText>
      </w:r>
      <w:r>
        <w:rPr>
          <w:noProof/>
        </w:rPr>
      </w:r>
      <w:r>
        <w:rPr>
          <w:noProof/>
        </w:rPr>
        <w:fldChar w:fldCharType="separate"/>
      </w:r>
      <w:r w:rsidR="002168F3">
        <w:rPr>
          <w:noProof/>
        </w:rPr>
        <w:t>107</w:t>
      </w:r>
      <w:r>
        <w:rPr>
          <w:noProof/>
        </w:rPr>
        <w:fldChar w:fldCharType="end"/>
      </w:r>
    </w:p>
    <w:p w14:paraId="3BB36253" w14:textId="77777777" w:rsidR="00D65A1C" w:rsidRDefault="00D65A1C" w:rsidP="001A5D4A">
      <w:pPr>
        <w:pStyle w:val="TOC1"/>
        <w:rPr>
          <w:rFonts w:cstheme="minorBidi"/>
          <w:noProof/>
          <w:sz w:val="22"/>
          <w:szCs w:val="22"/>
        </w:rPr>
      </w:pPr>
      <w:r>
        <w:rPr>
          <w:noProof/>
        </w:rPr>
        <w:t>Note 39. Remuneration of auditors</w:t>
      </w:r>
      <w:r>
        <w:rPr>
          <w:noProof/>
        </w:rPr>
        <w:tab/>
      </w:r>
      <w:r>
        <w:rPr>
          <w:noProof/>
        </w:rPr>
        <w:fldChar w:fldCharType="begin"/>
      </w:r>
      <w:r>
        <w:rPr>
          <w:noProof/>
        </w:rPr>
        <w:instrText xml:space="preserve"> PAGEREF _Toc410822723 \h </w:instrText>
      </w:r>
      <w:r>
        <w:rPr>
          <w:noProof/>
        </w:rPr>
      </w:r>
      <w:r>
        <w:rPr>
          <w:noProof/>
        </w:rPr>
        <w:fldChar w:fldCharType="separate"/>
      </w:r>
      <w:r w:rsidR="002168F3">
        <w:rPr>
          <w:noProof/>
        </w:rPr>
        <w:t>111</w:t>
      </w:r>
      <w:r>
        <w:rPr>
          <w:noProof/>
        </w:rPr>
        <w:fldChar w:fldCharType="end"/>
      </w:r>
    </w:p>
    <w:p w14:paraId="209B6242" w14:textId="77777777" w:rsidR="00D65A1C" w:rsidRDefault="00D65A1C" w:rsidP="001A5D4A">
      <w:pPr>
        <w:pStyle w:val="TOC1"/>
        <w:rPr>
          <w:rFonts w:cstheme="minorBidi"/>
          <w:noProof/>
          <w:sz w:val="22"/>
          <w:szCs w:val="22"/>
        </w:rPr>
      </w:pPr>
      <w:r>
        <w:rPr>
          <w:noProof/>
        </w:rPr>
        <w:t>Note 40. Contingencies</w:t>
      </w:r>
      <w:r>
        <w:rPr>
          <w:noProof/>
        </w:rPr>
        <w:tab/>
      </w:r>
      <w:r>
        <w:rPr>
          <w:noProof/>
        </w:rPr>
        <w:fldChar w:fldCharType="begin"/>
      </w:r>
      <w:r>
        <w:rPr>
          <w:noProof/>
        </w:rPr>
        <w:instrText xml:space="preserve"> PAGEREF _Toc410822725 \h </w:instrText>
      </w:r>
      <w:r>
        <w:rPr>
          <w:noProof/>
        </w:rPr>
      </w:r>
      <w:r>
        <w:rPr>
          <w:noProof/>
        </w:rPr>
        <w:fldChar w:fldCharType="separate"/>
      </w:r>
      <w:r w:rsidR="002168F3">
        <w:rPr>
          <w:noProof/>
        </w:rPr>
        <w:t>112</w:t>
      </w:r>
      <w:r>
        <w:rPr>
          <w:noProof/>
        </w:rPr>
        <w:fldChar w:fldCharType="end"/>
      </w:r>
    </w:p>
    <w:p w14:paraId="403E90F6" w14:textId="77777777" w:rsidR="00D65A1C" w:rsidRDefault="00D65A1C" w:rsidP="001A5D4A">
      <w:pPr>
        <w:pStyle w:val="TOC1"/>
        <w:rPr>
          <w:rFonts w:cstheme="minorBidi"/>
          <w:noProof/>
          <w:sz w:val="22"/>
          <w:szCs w:val="22"/>
        </w:rPr>
      </w:pPr>
      <w:r>
        <w:rPr>
          <w:noProof/>
        </w:rPr>
        <w:t>Note 41. Commitments</w:t>
      </w:r>
      <w:r>
        <w:rPr>
          <w:noProof/>
        </w:rPr>
        <w:tab/>
      </w:r>
      <w:r>
        <w:rPr>
          <w:noProof/>
        </w:rPr>
        <w:fldChar w:fldCharType="begin"/>
      </w:r>
      <w:r>
        <w:rPr>
          <w:noProof/>
        </w:rPr>
        <w:instrText xml:space="preserve"> PAGEREF _Toc410822727 \h </w:instrText>
      </w:r>
      <w:r>
        <w:rPr>
          <w:noProof/>
        </w:rPr>
      </w:r>
      <w:r>
        <w:rPr>
          <w:noProof/>
        </w:rPr>
        <w:fldChar w:fldCharType="separate"/>
      </w:r>
      <w:r w:rsidR="002168F3">
        <w:rPr>
          <w:noProof/>
        </w:rPr>
        <w:t>114</w:t>
      </w:r>
      <w:r>
        <w:rPr>
          <w:noProof/>
        </w:rPr>
        <w:fldChar w:fldCharType="end"/>
      </w:r>
    </w:p>
    <w:p w14:paraId="7021BDE3" w14:textId="77777777" w:rsidR="00D65A1C" w:rsidRDefault="00D65A1C" w:rsidP="001A5D4A">
      <w:pPr>
        <w:pStyle w:val="TOC1"/>
        <w:rPr>
          <w:rFonts w:cstheme="minorBidi"/>
          <w:noProof/>
          <w:sz w:val="22"/>
          <w:szCs w:val="22"/>
        </w:rPr>
      </w:pPr>
      <w:r>
        <w:rPr>
          <w:noProof/>
        </w:rPr>
        <w:t>Note 42. Related parties</w:t>
      </w:r>
      <w:r>
        <w:rPr>
          <w:noProof/>
        </w:rPr>
        <w:tab/>
      </w:r>
      <w:r>
        <w:rPr>
          <w:noProof/>
        </w:rPr>
        <w:fldChar w:fldCharType="begin"/>
      </w:r>
      <w:r>
        <w:rPr>
          <w:noProof/>
        </w:rPr>
        <w:instrText xml:space="preserve"> PAGEREF _Toc410822729 \h </w:instrText>
      </w:r>
      <w:r>
        <w:rPr>
          <w:noProof/>
        </w:rPr>
      </w:r>
      <w:r>
        <w:rPr>
          <w:noProof/>
        </w:rPr>
        <w:fldChar w:fldCharType="separate"/>
      </w:r>
      <w:r w:rsidR="002168F3">
        <w:rPr>
          <w:noProof/>
        </w:rPr>
        <w:t>116</w:t>
      </w:r>
      <w:r>
        <w:rPr>
          <w:noProof/>
        </w:rPr>
        <w:fldChar w:fldCharType="end"/>
      </w:r>
    </w:p>
    <w:p w14:paraId="69F0A0DA" w14:textId="77777777" w:rsidR="00D65A1C" w:rsidRDefault="00D65A1C" w:rsidP="001A5D4A">
      <w:pPr>
        <w:pStyle w:val="TOC1"/>
        <w:rPr>
          <w:rFonts w:cstheme="minorBidi"/>
          <w:noProof/>
          <w:sz w:val="22"/>
          <w:szCs w:val="22"/>
        </w:rPr>
      </w:pPr>
      <w:r>
        <w:rPr>
          <w:noProof/>
        </w:rPr>
        <w:t>Note 43. Business combinations</w:t>
      </w:r>
      <w:r>
        <w:rPr>
          <w:noProof/>
        </w:rPr>
        <w:tab/>
      </w:r>
      <w:r>
        <w:rPr>
          <w:noProof/>
        </w:rPr>
        <w:fldChar w:fldCharType="begin"/>
      </w:r>
      <w:r>
        <w:rPr>
          <w:noProof/>
        </w:rPr>
        <w:instrText xml:space="preserve"> PAGEREF _Toc410822731 \h </w:instrText>
      </w:r>
      <w:r>
        <w:rPr>
          <w:noProof/>
        </w:rPr>
      </w:r>
      <w:r>
        <w:rPr>
          <w:noProof/>
        </w:rPr>
        <w:fldChar w:fldCharType="separate"/>
      </w:r>
      <w:r w:rsidR="002168F3">
        <w:rPr>
          <w:noProof/>
        </w:rPr>
        <w:t>120</w:t>
      </w:r>
      <w:r>
        <w:rPr>
          <w:noProof/>
        </w:rPr>
        <w:fldChar w:fldCharType="end"/>
      </w:r>
    </w:p>
    <w:p w14:paraId="72DE5F5C" w14:textId="77777777" w:rsidR="00D65A1C" w:rsidRDefault="00D65A1C" w:rsidP="001A5D4A">
      <w:pPr>
        <w:pStyle w:val="TOC1"/>
        <w:rPr>
          <w:rFonts w:cstheme="minorBidi"/>
          <w:noProof/>
          <w:sz w:val="22"/>
          <w:szCs w:val="22"/>
        </w:rPr>
      </w:pPr>
      <w:r>
        <w:rPr>
          <w:noProof/>
        </w:rPr>
        <w:t>Note 44. Subsidiaries</w:t>
      </w:r>
      <w:r>
        <w:rPr>
          <w:noProof/>
        </w:rPr>
        <w:tab/>
      </w:r>
      <w:r>
        <w:rPr>
          <w:noProof/>
        </w:rPr>
        <w:fldChar w:fldCharType="begin"/>
      </w:r>
      <w:r>
        <w:rPr>
          <w:noProof/>
        </w:rPr>
        <w:instrText xml:space="preserve"> PAGEREF _Toc410822733 \h </w:instrText>
      </w:r>
      <w:r>
        <w:rPr>
          <w:noProof/>
        </w:rPr>
      </w:r>
      <w:r>
        <w:rPr>
          <w:noProof/>
        </w:rPr>
        <w:fldChar w:fldCharType="separate"/>
      </w:r>
      <w:r w:rsidR="002168F3">
        <w:rPr>
          <w:noProof/>
        </w:rPr>
        <w:t>122</w:t>
      </w:r>
      <w:r>
        <w:rPr>
          <w:noProof/>
        </w:rPr>
        <w:fldChar w:fldCharType="end"/>
      </w:r>
    </w:p>
    <w:p w14:paraId="271EB997" w14:textId="77777777" w:rsidR="00D65A1C" w:rsidRDefault="00D65A1C" w:rsidP="001A5D4A">
      <w:pPr>
        <w:pStyle w:val="TOC1"/>
        <w:rPr>
          <w:rFonts w:cstheme="minorBidi"/>
          <w:noProof/>
          <w:sz w:val="22"/>
          <w:szCs w:val="22"/>
        </w:rPr>
      </w:pPr>
      <w:r>
        <w:rPr>
          <w:noProof/>
        </w:rPr>
        <w:t>Note 45. Joint operations</w:t>
      </w:r>
      <w:r>
        <w:rPr>
          <w:noProof/>
        </w:rPr>
        <w:tab/>
      </w:r>
      <w:r>
        <w:rPr>
          <w:noProof/>
        </w:rPr>
        <w:fldChar w:fldCharType="begin"/>
      </w:r>
      <w:r>
        <w:rPr>
          <w:noProof/>
        </w:rPr>
        <w:instrText xml:space="preserve"> PAGEREF _Toc410822735 \h </w:instrText>
      </w:r>
      <w:r>
        <w:rPr>
          <w:noProof/>
        </w:rPr>
      </w:r>
      <w:r>
        <w:rPr>
          <w:noProof/>
        </w:rPr>
        <w:fldChar w:fldCharType="separate"/>
      </w:r>
      <w:r w:rsidR="002168F3">
        <w:rPr>
          <w:noProof/>
        </w:rPr>
        <w:t>126</w:t>
      </w:r>
      <w:r>
        <w:rPr>
          <w:noProof/>
        </w:rPr>
        <w:fldChar w:fldCharType="end"/>
      </w:r>
    </w:p>
    <w:p w14:paraId="24181CA9" w14:textId="77777777" w:rsidR="00D65A1C" w:rsidRDefault="00D65A1C" w:rsidP="001A5D4A">
      <w:pPr>
        <w:pStyle w:val="TOC1"/>
        <w:rPr>
          <w:rFonts w:cstheme="minorBidi"/>
          <w:noProof/>
          <w:sz w:val="22"/>
          <w:szCs w:val="22"/>
        </w:rPr>
      </w:pPr>
      <w:r>
        <w:rPr>
          <w:noProof/>
        </w:rPr>
        <w:t>Note 46. Interests in unconsolidated structured entities</w:t>
      </w:r>
      <w:r>
        <w:rPr>
          <w:noProof/>
        </w:rPr>
        <w:tab/>
      </w:r>
      <w:r>
        <w:rPr>
          <w:noProof/>
        </w:rPr>
        <w:fldChar w:fldCharType="begin"/>
      </w:r>
      <w:r>
        <w:rPr>
          <w:noProof/>
        </w:rPr>
        <w:instrText xml:space="preserve"> PAGEREF _Toc410822737 \h </w:instrText>
      </w:r>
      <w:r>
        <w:rPr>
          <w:noProof/>
        </w:rPr>
      </w:r>
      <w:r>
        <w:rPr>
          <w:noProof/>
        </w:rPr>
        <w:fldChar w:fldCharType="separate"/>
      </w:r>
      <w:r w:rsidR="002168F3">
        <w:rPr>
          <w:noProof/>
        </w:rPr>
        <w:t>127</w:t>
      </w:r>
      <w:r>
        <w:rPr>
          <w:noProof/>
        </w:rPr>
        <w:fldChar w:fldCharType="end"/>
      </w:r>
    </w:p>
    <w:p w14:paraId="2A16C627" w14:textId="77777777" w:rsidR="00D65A1C" w:rsidRDefault="00D65A1C" w:rsidP="001A5D4A">
      <w:pPr>
        <w:pStyle w:val="TOC1"/>
        <w:rPr>
          <w:rFonts w:cstheme="minorBidi"/>
          <w:noProof/>
          <w:sz w:val="22"/>
          <w:szCs w:val="22"/>
        </w:rPr>
      </w:pPr>
      <w:r>
        <w:rPr>
          <w:noProof/>
        </w:rPr>
        <w:t>Note 47. Events occurring after the end of the reporting period</w:t>
      </w:r>
      <w:r>
        <w:rPr>
          <w:noProof/>
        </w:rPr>
        <w:tab/>
      </w:r>
      <w:r>
        <w:rPr>
          <w:noProof/>
        </w:rPr>
        <w:fldChar w:fldCharType="begin"/>
      </w:r>
      <w:r>
        <w:rPr>
          <w:noProof/>
        </w:rPr>
        <w:instrText xml:space="preserve"> PAGEREF _Toc410822739 \h </w:instrText>
      </w:r>
      <w:r>
        <w:rPr>
          <w:noProof/>
        </w:rPr>
      </w:r>
      <w:r>
        <w:rPr>
          <w:noProof/>
        </w:rPr>
        <w:fldChar w:fldCharType="separate"/>
      </w:r>
      <w:r w:rsidR="002168F3">
        <w:rPr>
          <w:noProof/>
        </w:rPr>
        <w:t>129</w:t>
      </w:r>
      <w:r>
        <w:rPr>
          <w:noProof/>
        </w:rPr>
        <w:fldChar w:fldCharType="end"/>
      </w:r>
    </w:p>
    <w:p w14:paraId="49C9C723" w14:textId="761DFAF7" w:rsidR="00D65A1C" w:rsidRDefault="00D65A1C" w:rsidP="001A5D4A">
      <w:pPr>
        <w:pStyle w:val="TOC1"/>
        <w:rPr>
          <w:rFonts w:cstheme="minorBidi"/>
          <w:noProof/>
          <w:sz w:val="22"/>
          <w:szCs w:val="22"/>
        </w:rPr>
      </w:pPr>
      <w:r>
        <w:rPr>
          <w:noProof/>
        </w:rPr>
        <w:t>Note 48. Reconciliation of net resu</w:t>
      </w:r>
      <w:r w:rsidR="005E3509">
        <w:rPr>
          <w:noProof/>
        </w:rPr>
        <w:t>lt after income tax to net cash</w:t>
      </w:r>
      <w:r w:rsidR="005E3509">
        <w:rPr>
          <w:noProof/>
        </w:rPr>
        <w:br/>
      </w:r>
      <w:r>
        <w:rPr>
          <w:noProof/>
        </w:rPr>
        <w:t>provided by / (used in) operating activities</w:t>
      </w:r>
      <w:r>
        <w:rPr>
          <w:noProof/>
        </w:rPr>
        <w:tab/>
      </w:r>
      <w:r>
        <w:rPr>
          <w:noProof/>
        </w:rPr>
        <w:fldChar w:fldCharType="begin"/>
      </w:r>
      <w:r>
        <w:rPr>
          <w:noProof/>
        </w:rPr>
        <w:instrText xml:space="preserve"> PAGEREF _Toc410822741 \h </w:instrText>
      </w:r>
      <w:r>
        <w:rPr>
          <w:noProof/>
        </w:rPr>
      </w:r>
      <w:r>
        <w:rPr>
          <w:noProof/>
        </w:rPr>
        <w:fldChar w:fldCharType="separate"/>
      </w:r>
      <w:r w:rsidR="002168F3">
        <w:rPr>
          <w:noProof/>
        </w:rPr>
        <w:t>130</w:t>
      </w:r>
      <w:r>
        <w:rPr>
          <w:noProof/>
        </w:rPr>
        <w:fldChar w:fldCharType="end"/>
      </w:r>
    </w:p>
    <w:p w14:paraId="7F9D3BC4" w14:textId="77777777" w:rsidR="00D65A1C" w:rsidRDefault="00D65A1C" w:rsidP="001A5D4A">
      <w:pPr>
        <w:pStyle w:val="TOC1"/>
        <w:rPr>
          <w:rFonts w:cstheme="minorBidi"/>
          <w:noProof/>
          <w:sz w:val="22"/>
          <w:szCs w:val="22"/>
        </w:rPr>
      </w:pPr>
      <w:r>
        <w:rPr>
          <w:noProof/>
        </w:rPr>
        <w:t>Note 49. Non-cash investing and financing activities</w:t>
      </w:r>
      <w:r>
        <w:rPr>
          <w:noProof/>
        </w:rPr>
        <w:tab/>
      </w:r>
      <w:r>
        <w:rPr>
          <w:noProof/>
        </w:rPr>
        <w:fldChar w:fldCharType="begin"/>
      </w:r>
      <w:r>
        <w:rPr>
          <w:noProof/>
        </w:rPr>
        <w:instrText xml:space="preserve"> PAGEREF _Toc410822743 \h </w:instrText>
      </w:r>
      <w:r>
        <w:rPr>
          <w:noProof/>
        </w:rPr>
      </w:r>
      <w:r>
        <w:rPr>
          <w:noProof/>
        </w:rPr>
        <w:fldChar w:fldCharType="separate"/>
      </w:r>
      <w:r w:rsidR="002168F3">
        <w:rPr>
          <w:noProof/>
        </w:rPr>
        <w:t>130</w:t>
      </w:r>
      <w:r>
        <w:rPr>
          <w:noProof/>
        </w:rPr>
        <w:fldChar w:fldCharType="end"/>
      </w:r>
    </w:p>
    <w:p w14:paraId="0D053B55" w14:textId="77777777" w:rsidR="00D65A1C" w:rsidRDefault="00D65A1C" w:rsidP="001A5D4A">
      <w:pPr>
        <w:pStyle w:val="TOC1"/>
        <w:rPr>
          <w:rFonts w:cstheme="minorBidi"/>
          <w:noProof/>
          <w:sz w:val="22"/>
          <w:szCs w:val="22"/>
        </w:rPr>
      </w:pPr>
      <w:r>
        <w:rPr>
          <w:noProof/>
        </w:rPr>
        <w:t>Note 50. Financial risk management</w:t>
      </w:r>
      <w:r>
        <w:rPr>
          <w:noProof/>
        </w:rPr>
        <w:tab/>
      </w:r>
      <w:r>
        <w:rPr>
          <w:noProof/>
        </w:rPr>
        <w:fldChar w:fldCharType="begin"/>
      </w:r>
      <w:r>
        <w:rPr>
          <w:noProof/>
        </w:rPr>
        <w:instrText xml:space="preserve"> PAGEREF _Toc410822745 \h </w:instrText>
      </w:r>
      <w:r>
        <w:rPr>
          <w:noProof/>
        </w:rPr>
      </w:r>
      <w:r>
        <w:rPr>
          <w:noProof/>
        </w:rPr>
        <w:fldChar w:fldCharType="separate"/>
      </w:r>
      <w:r w:rsidR="002168F3">
        <w:rPr>
          <w:noProof/>
        </w:rPr>
        <w:t>132</w:t>
      </w:r>
      <w:r>
        <w:rPr>
          <w:noProof/>
        </w:rPr>
        <w:fldChar w:fldCharType="end"/>
      </w:r>
    </w:p>
    <w:p w14:paraId="538024CB" w14:textId="77777777" w:rsidR="00D65A1C" w:rsidRDefault="00D65A1C" w:rsidP="001A5D4A">
      <w:pPr>
        <w:pStyle w:val="TOC1"/>
        <w:rPr>
          <w:rFonts w:cstheme="minorBidi"/>
          <w:noProof/>
          <w:sz w:val="22"/>
          <w:szCs w:val="22"/>
        </w:rPr>
      </w:pPr>
      <w:r>
        <w:rPr>
          <w:noProof/>
        </w:rPr>
        <w:t>Note 51. Fair Value Measurements</w:t>
      </w:r>
      <w:r>
        <w:rPr>
          <w:noProof/>
        </w:rPr>
        <w:tab/>
      </w:r>
      <w:r>
        <w:rPr>
          <w:noProof/>
        </w:rPr>
        <w:fldChar w:fldCharType="begin"/>
      </w:r>
      <w:r>
        <w:rPr>
          <w:noProof/>
        </w:rPr>
        <w:instrText xml:space="preserve"> PAGEREF _Toc410822747 \h </w:instrText>
      </w:r>
      <w:r>
        <w:rPr>
          <w:noProof/>
        </w:rPr>
      </w:r>
      <w:r>
        <w:rPr>
          <w:noProof/>
        </w:rPr>
        <w:fldChar w:fldCharType="separate"/>
      </w:r>
      <w:r w:rsidR="002168F3">
        <w:rPr>
          <w:noProof/>
        </w:rPr>
        <w:t>138</w:t>
      </w:r>
      <w:r>
        <w:rPr>
          <w:noProof/>
        </w:rPr>
        <w:fldChar w:fldCharType="end"/>
      </w:r>
    </w:p>
    <w:p w14:paraId="6B5B0BE5" w14:textId="77777777" w:rsidR="00D65A1C" w:rsidRDefault="00D65A1C" w:rsidP="001A5D4A">
      <w:pPr>
        <w:pStyle w:val="TOC1"/>
        <w:rPr>
          <w:rFonts w:cstheme="minorBidi"/>
          <w:noProof/>
          <w:sz w:val="22"/>
          <w:szCs w:val="22"/>
        </w:rPr>
      </w:pPr>
      <w:r>
        <w:rPr>
          <w:noProof/>
        </w:rPr>
        <w:t>Note 52. Defined Benefit Plans</w:t>
      </w:r>
      <w:r>
        <w:rPr>
          <w:noProof/>
        </w:rPr>
        <w:tab/>
      </w:r>
      <w:r>
        <w:rPr>
          <w:noProof/>
        </w:rPr>
        <w:fldChar w:fldCharType="begin"/>
      </w:r>
      <w:r>
        <w:rPr>
          <w:noProof/>
        </w:rPr>
        <w:instrText xml:space="preserve"> PAGEREF _Toc410822749 \h </w:instrText>
      </w:r>
      <w:r>
        <w:rPr>
          <w:noProof/>
        </w:rPr>
      </w:r>
      <w:r>
        <w:rPr>
          <w:noProof/>
        </w:rPr>
        <w:fldChar w:fldCharType="separate"/>
      </w:r>
      <w:r w:rsidR="002168F3">
        <w:rPr>
          <w:noProof/>
        </w:rPr>
        <w:t>146</w:t>
      </w:r>
      <w:r>
        <w:rPr>
          <w:noProof/>
        </w:rPr>
        <w:fldChar w:fldCharType="end"/>
      </w:r>
    </w:p>
    <w:p w14:paraId="37630AA6" w14:textId="77777777" w:rsidR="00D65A1C" w:rsidRDefault="00D65A1C" w:rsidP="001A5D4A">
      <w:pPr>
        <w:pStyle w:val="TOC1"/>
        <w:rPr>
          <w:rFonts w:cstheme="minorBidi"/>
          <w:noProof/>
          <w:sz w:val="22"/>
          <w:szCs w:val="22"/>
        </w:rPr>
      </w:pPr>
      <w:r>
        <w:rPr>
          <w:noProof/>
        </w:rPr>
        <w:t>Note 53. Acquittal of Australian Government financial assistance</w:t>
      </w:r>
      <w:r>
        <w:rPr>
          <w:noProof/>
        </w:rPr>
        <w:tab/>
      </w:r>
      <w:r>
        <w:rPr>
          <w:noProof/>
        </w:rPr>
        <w:fldChar w:fldCharType="begin"/>
      </w:r>
      <w:r>
        <w:rPr>
          <w:noProof/>
        </w:rPr>
        <w:instrText xml:space="preserve"> PAGEREF _Toc410822751 \h </w:instrText>
      </w:r>
      <w:r>
        <w:rPr>
          <w:noProof/>
        </w:rPr>
      </w:r>
      <w:r>
        <w:rPr>
          <w:noProof/>
        </w:rPr>
        <w:fldChar w:fldCharType="separate"/>
      </w:r>
      <w:r w:rsidR="002168F3">
        <w:rPr>
          <w:noProof/>
        </w:rPr>
        <w:t>153</w:t>
      </w:r>
      <w:r>
        <w:rPr>
          <w:noProof/>
        </w:rPr>
        <w:fldChar w:fldCharType="end"/>
      </w:r>
    </w:p>
    <w:p w14:paraId="0AB898D0" w14:textId="36E62284" w:rsidR="001A5D4A" w:rsidRDefault="00D65A1C" w:rsidP="00385848">
      <w:pPr>
        <w:rPr>
          <w:b/>
          <w:bCs/>
          <w:i/>
          <w:iCs/>
        </w:rPr>
      </w:pPr>
      <w:r>
        <w:lastRenderedPageBreak/>
        <w:fldChar w:fldCharType="end"/>
      </w:r>
    </w:p>
    <w:p w14:paraId="224AF5D0" w14:textId="5D7FCBC1" w:rsidR="00C90084" w:rsidRPr="008934F0" w:rsidRDefault="00C90084" w:rsidP="00AD10B5">
      <w:pPr>
        <w:pStyle w:val="Heading2"/>
        <w:rPr>
          <w:color w:val="2D3E7B" w:themeColor="text2" w:themeShade="BF"/>
        </w:rPr>
      </w:pPr>
      <w:bookmarkStart w:id="242" w:name="_Toc410807603"/>
      <w:bookmarkStart w:id="243" w:name="_Toc410822653"/>
      <w:bookmarkStart w:id="244" w:name="_Toc410823812"/>
      <w:bookmarkStart w:id="245" w:name="_Toc410825048"/>
      <w:bookmarkStart w:id="246" w:name="_Toc410825198"/>
      <w:r w:rsidRPr="008934F0">
        <w:rPr>
          <w:color w:val="2D3E7B" w:themeColor="text2" w:themeShade="BF"/>
        </w:rPr>
        <w:t>Commentary - Contents of the notes to the financial statements</w:t>
      </w:r>
      <w:bookmarkEnd w:id="242"/>
      <w:bookmarkEnd w:id="243"/>
      <w:bookmarkEnd w:id="244"/>
      <w:bookmarkEnd w:id="245"/>
      <w:bookmarkEnd w:id="246"/>
    </w:p>
    <w:p w14:paraId="4E059B76" w14:textId="77777777" w:rsidR="00C90084" w:rsidRPr="008934F0" w:rsidRDefault="00C90084" w:rsidP="001A5D4A">
      <w:pPr>
        <w:pStyle w:val="Heading3"/>
        <w:rPr>
          <w:color w:val="2D3E7B" w:themeColor="text2" w:themeShade="BF"/>
        </w:rPr>
      </w:pPr>
      <w:r w:rsidRPr="008934F0">
        <w:rPr>
          <w:color w:val="2D3E7B" w:themeColor="text2" w:themeShade="BF"/>
        </w:rPr>
        <w:t>Content</w:t>
      </w:r>
    </w:p>
    <w:p w14:paraId="4829ED36" w14:textId="77777777" w:rsidR="00C90084" w:rsidRPr="008934F0" w:rsidRDefault="00C90084" w:rsidP="009304CF">
      <w:pPr>
        <w:pStyle w:val="Heading6"/>
      </w:pPr>
      <w:r w:rsidRPr="008934F0">
        <w:t>AASB101.112</w:t>
      </w:r>
    </w:p>
    <w:p w14:paraId="0B7E0750" w14:textId="77777777" w:rsidR="00C90084" w:rsidRPr="008934F0" w:rsidRDefault="00C90084" w:rsidP="001A5D4A">
      <w:pPr>
        <w:rPr>
          <w:color w:val="2D3E7B" w:themeColor="text2" w:themeShade="BF"/>
          <w:szCs w:val="22"/>
        </w:rPr>
      </w:pPr>
      <w:r w:rsidRPr="008934F0">
        <w:rPr>
          <w:color w:val="2D3E7B" w:themeColor="text2" w:themeShade="BF"/>
          <w:szCs w:val="22"/>
        </w:rPr>
        <w:t>The notes to the financial statements of an entity shall:</w:t>
      </w:r>
    </w:p>
    <w:p w14:paraId="6840C454" w14:textId="486A8168" w:rsidR="00C90084" w:rsidRPr="008934F0" w:rsidRDefault="00C90084" w:rsidP="008E1D9C">
      <w:pPr>
        <w:pStyle w:val="ListParagraph"/>
        <w:numPr>
          <w:ilvl w:val="0"/>
          <w:numId w:val="21"/>
        </w:numPr>
        <w:ind w:left="340" w:hanging="340"/>
        <w:rPr>
          <w:color w:val="2D3E7B" w:themeColor="text2" w:themeShade="BF"/>
          <w:szCs w:val="22"/>
        </w:rPr>
      </w:pPr>
      <w:r w:rsidRPr="008934F0">
        <w:rPr>
          <w:color w:val="2D3E7B" w:themeColor="text2" w:themeShade="BF"/>
          <w:szCs w:val="22"/>
        </w:rPr>
        <w:t>present information about the basis of preparation of the financial statements and the specific accounting policies used in accordance with AASB101.117-124;</w:t>
      </w:r>
    </w:p>
    <w:p w14:paraId="232F7598" w14:textId="32D4BFFF" w:rsidR="00C90084" w:rsidRPr="008934F0" w:rsidRDefault="00C90084" w:rsidP="008E1D9C">
      <w:pPr>
        <w:pStyle w:val="ListParagraph"/>
        <w:numPr>
          <w:ilvl w:val="0"/>
          <w:numId w:val="21"/>
        </w:numPr>
        <w:ind w:left="340" w:hanging="340"/>
        <w:rPr>
          <w:color w:val="2D3E7B" w:themeColor="text2" w:themeShade="BF"/>
          <w:szCs w:val="22"/>
        </w:rPr>
      </w:pPr>
      <w:r w:rsidRPr="008934F0">
        <w:rPr>
          <w:color w:val="2D3E7B" w:themeColor="text2" w:themeShade="BF"/>
          <w:szCs w:val="22"/>
        </w:rPr>
        <w:t>disclose the information required by Australian Accounting Standards that is not presented elsewhere in the financial statements; and</w:t>
      </w:r>
    </w:p>
    <w:p w14:paraId="304EE763" w14:textId="072C6918" w:rsidR="00C90084" w:rsidRPr="008934F0" w:rsidRDefault="00C90084" w:rsidP="008E1D9C">
      <w:pPr>
        <w:pStyle w:val="ListParagraph"/>
        <w:numPr>
          <w:ilvl w:val="0"/>
          <w:numId w:val="21"/>
        </w:numPr>
        <w:ind w:left="340" w:hanging="340"/>
        <w:rPr>
          <w:color w:val="2D3E7B" w:themeColor="text2" w:themeShade="BF"/>
          <w:szCs w:val="22"/>
        </w:rPr>
      </w:pPr>
      <w:proofErr w:type="gramStart"/>
      <w:r w:rsidRPr="008934F0">
        <w:rPr>
          <w:color w:val="2D3E7B" w:themeColor="text2" w:themeShade="BF"/>
          <w:szCs w:val="22"/>
        </w:rPr>
        <w:t>provide</w:t>
      </w:r>
      <w:proofErr w:type="gramEnd"/>
      <w:r w:rsidRPr="008934F0">
        <w:rPr>
          <w:color w:val="2D3E7B" w:themeColor="text2" w:themeShade="BF"/>
          <w:szCs w:val="22"/>
        </w:rPr>
        <w:t xml:space="preserve"> information that is not presented elsewhere, but is relevant to an understanding of any of them.</w:t>
      </w:r>
    </w:p>
    <w:p w14:paraId="11AB1BFF" w14:textId="42253E0B" w:rsidR="00C90084" w:rsidRPr="008934F0" w:rsidRDefault="00C90084" w:rsidP="009304CF">
      <w:pPr>
        <w:pStyle w:val="Heading6"/>
      </w:pPr>
      <w:r w:rsidRPr="008934F0">
        <w:t>Education</w:t>
      </w:r>
    </w:p>
    <w:p w14:paraId="6C5DB67D" w14:textId="77777777" w:rsidR="00C90084" w:rsidRPr="008934F0" w:rsidRDefault="00C90084" w:rsidP="001A5D4A">
      <w:pPr>
        <w:rPr>
          <w:color w:val="2D3E7B" w:themeColor="text2" w:themeShade="BF"/>
          <w:szCs w:val="22"/>
        </w:rPr>
      </w:pPr>
      <w:r w:rsidRPr="008934F0">
        <w:rPr>
          <w:color w:val="2D3E7B" w:themeColor="text2" w:themeShade="BF"/>
          <w:szCs w:val="22"/>
        </w:rPr>
        <w:t xml:space="preserve">Mandatory notes have been marked MANDATORY with the mandatory line-items shaded. HEPs are not required to present nil or immaterial balances. </w:t>
      </w:r>
    </w:p>
    <w:p w14:paraId="3EBC125A" w14:textId="77777777" w:rsidR="00C90084" w:rsidRPr="008934F0" w:rsidRDefault="00C90084" w:rsidP="004B3BB4">
      <w:pPr>
        <w:pStyle w:val="Heading3"/>
        <w:rPr>
          <w:color w:val="2D3E7B" w:themeColor="text2" w:themeShade="BF"/>
        </w:rPr>
      </w:pPr>
      <w:r w:rsidRPr="008934F0">
        <w:rPr>
          <w:color w:val="2D3E7B" w:themeColor="text2" w:themeShade="BF"/>
        </w:rPr>
        <w:t xml:space="preserve">Systematic structure </w:t>
      </w:r>
    </w:p>
    <w:p w14:paraId="5018CB54" w14:textId="77777777" w:rsidR="00C90084" w:rsidRPr="008934F0" w:rsidRDefault="00C90084" w:rsidP="009304CF">
      <w:pPr>
        <w:pStyle w:val="Heading6"/>
      </w:pPr>
      <w:r w:rsidRPr="008934F0">
        <w:t>AASB101.113</w:t>
      </w:r>
    </w:p>
    <w:p w14:paraId="623D3E0A" w14:textId="77777777" w:rsidR="00C90084" w:rsidRPr="008934F0" w:rsidRDefault="00C90084" w:rsidP="004B3BB4">
      <w:pPr>
        <w:rPr>
          <w:color w:val="2D3E7B" w:themeColor="text2" w:themeShade="BF"/>
          <w:szCs w:val="22"/>
        </w:rPr>
      </w:pPr>
      <w:r w:rsidRPr="008934F0">
        <w:rPr>
          <w:color w:val="2D3E7B" w:themeColor="text2" w:themeShade="BF"/>
          <w:szCs w:val="22"/>
        </w:rPr>
        <w:t>Notes shall, as far as practicable, be presented in a systematic manner. An entity shall cross-reference each item in the statements of financial position and of comprehensive income, in the separate income statement (if presented), and in the statements of changes in equity and of cash flows to any related information in the notes.</w:t>
      </w:r>
    </w:p>
    <w:p w14:paraId="60CCA81E" w14:textId="77777777" w:rsidR="00C90084" w:rsidRPr="008934F0" w:rsidRDefault="00C90084" w:rsidP="009304CF">
      <w:pPr>
        <w:pStyle w:val="Heading6"/>
      </w:pPr>
      <w:r w:rsidRPr="008934F0">
        <w:t>AASB101.114</w:t>
      </w:r>
    </w:p>
    <w:p w14:paraId="639EE80B" w14:textId="17CCB17B" w:rsidR="00AE4392" w:rsidRPr="008934F0" w:rsidRDefault="00C90084" w:rsidP="004B3BB4">
      <w:pPr>
        <w:rPr>
          <w:color w:val="2D3E7B" w:themeColor="text2" w:themeShade="BF"/>
          <w:szCs w:val="22"/>
        </w:rPr>
      </w:pPr>
      <w:r w:rsidRPr="008934F0">
        <w:rPr>
          <w:color w:val="2D3E7B" w:themeColor="text2" w:themeShade="BF"/>
          <w:szCs w:val="22"/>
        </w:rPr>
        <w:t>Notes are normally presented in the following order, to assist users to understand the financial statements and compare them with financial statements of other entities:</w:t>
      </w:r>
    </w:p>
    <w:p w14:paraId="031289E1" w14:textId="5A3CA551" w:rsidR="00C90084" w:rsidRPr="008934F0" w:rsidRDefault="00C90084" w:rsidP="009304CF">
      <w:pPr>
        <w:pStyle w:val="Heading6"/>
      </w:pPr>
      <w:r w:rsidRPr="008934F0">
        <w:t>AASB101.16</w:t>
      </w:r>
    </w:p>
    <w:p w14:paraId="794024E6" w14:textId="31F30950" w:rsidR="00C90084" w:rsidRPr="008934F0" w:rsidRDefault="00C90084" w:rsidP="008E1D9C">
      <w:pPr>
        <w:pStyle w:val="ListParagraph"/>
        <w:numPr>
          <w:ilvl w:val="0"/>
          <w:numId w:val="22"/>
        </w:numPr>
        <w:ind w:left="340" w:hanging="340"/>
        <w:rPr>
          <w:color w:val="2D3E7B" w:themeColor="text2" w:themeShade="BF"/>
          <w:szCs w:val="22"/>
        </w:rPr>
      </w:pPr>
      <w:r w:rsidRPr="008934F0">
        <w:rPr>
          <w:color w:val="2D3E7B" w:themeColor="text2" w:themeShade="BF"/>
          <w:szCs w:val="22"/>
        </w:rPr>
        <w:t>statement of compliance with International Financial Reporting Standards (IFRS);</w:t>
      </w:r>
    </w:p>
    <w:p w14:paraId="6D53A491" w14:textId="57C3AC3A" w:rsidR="00C90084" w:rsidRPr="008934F0" w:rsidRDefault="00C90084" w:rsidP="008E1D9C">
      <w:pPr>
        <w:pStyle w:val="ListParagraph"/>
        <w:numPr>
          <w:ilvl w:val="0"/>
          <w:numId w:val="22"/>
        </w:numPr>
        <w:ind w:left="340" w:hanging="340"/>
        <w:rPr>
          <w:color w:val="2D3E7B" w:themeColor="text2" w:themeShade="BF"/>
          <w:szCs w:val="22"/>
        </w:rPr>
      </w:pPr>
      <w:r w:rsidRPr="008934F0">
        <w:rPr>
          <w:color w:val="2D3E7B" w:themeColor="text2" w:themeShade="BF"/>
          <w:szCs w:val="22"/>
        </w:rPr>
        <w:t>summary of significant accounting policies;</w:t>
      </w:r>
    </w:p>
    <w:p w14:paraId="1113C052" w14:textId="38F9EA45" w:rsidR="00C90084" w:rsidRPr="00AD10B5" w:rsidRDefault="00C90084" w:rsidP="008E1D9C">
      <w:pPr>
        <w:pStyle w:val="ListParagraph"/>
        <w:numPr>
          <w:ilvl w:val="0"/>
          <w:numId w:val="22"/>
        </w:numPr>
        <w:ind w:left="340" w:hanging="340"/>
        <w:rPr>
          <w:color w:val="2D3E7B" w:themeColor="text2" w:themeShade="BF"/>
          <w:szCs w:val="22"/>
        </w:rPr>
      </w:pPr>
      <w:r w:rsidRPr="008934F0">
        <w:rPr>
          <w:color w:val="2D3E7B" w:themeColor="text2" w:themeShade="BF"/>
          <w:szCs w:val="22"/>
        </w:rPr>
        <w:t xml:space="preserve">supporting information for items presented in the statements of </w:t>
      </w:r>
      <w:r w:rsidRPr="00AD10B5">
        <w:rPr>
          <w:color w:val="2D3E7B" w:themeColor="text2" w:themeShade="BF"/>
          <w:szCs w:val="22"/>
        </w:rPr>
        <w:t>financial position and of comprehensive income, in the separate income statement (if presented), and in the statements of changes in equity and of cash flows, in the order in which each statement and each line item is presented; and</w:t>
      </w:r>
    </w:p>
    <w:p w14:paraId="7F4D62F5" w14:textId="458E29FA" w:rsidR="00C90084" w:rsidRPr="00AD10B5" w:rsidRDefault="00C90084" w:rsidP="008E1D9C">
      <w:pPr>
        <w:pStyle w:val="ListParagraph"/>
        <w:numPr>
          <w:ilvl w:val="0"/>
          <w:numId w:val="22"/>
        </w:numPr>
        <w:ind w:left="340" w:hanging="340"/>
        <w:rPr>
          <w:color w:val="2D3E7B" w:themeColor="text2" w:themeShade="BF"/>
          <w:szCs w:val="22"/>
        </w:rPr>
      </w:pPr>
      <w:r w:rsidRPr="00AD10B5">
        <w:rPr>
          <w:color w:val="2D3E7B" w:themeColor="text2" w:themeShade="BF"/>
          <w:szCs w:val="22"/>
        </w:rPr>
        <w:t>other disclosures including:</w:t>
      </w:r>
    </w:p>
    <w:p w14:paraId="0F815A68" w14:textId="657B7CB7" w:rsidR="00C90084" w:rsidRPr="00AD10B5" w:rsidRDefault="00C90084" w:rsidP="008E1D9C">
      <w:pPr>
        <w:pStyle w:val="ListParagraph"/>
        <w:numPr>
          <w:ilvl w:val="1"/>
          <w:numId w:val="22"/>
        </w:numPr>
        <w:ind w:left="680" w:hanging="340"/>
        <w:rPr>
          <w:color w:val="2D3E7B" w:themeColor="text2" w:themeShade="BF"/>
          <w:szCs w:val="22"/>
        </w:rPr>
      </w:pPr>
      <w:r w:rsidRPr="00AD10B5">
        <w:rPr>
          <w:color w:val="2D3E7B" w:themeColor="text2" w:themeShade="BF"/>
          <w:szCs w:val="22"/>
        </w:rPr>
        <w:t>contingent liabilities and unrecognised contractual commitments; and</w:t>
      </w:r>
    </w:p>
    <w:p w14:paraId="038A0855" w14:textId="728F270C" w:rsidR="0033031E" w:rsidRPr="00AD10B5" w:rsidRDefault="00C90084" w:rsidP="008E1D9C">
      <w:pPr>
        <w:pStyle w:val="ListParagraph"/>
        <w:numPr>
          <w:ilvl w:val="1"/>
          <w:numId w:val="22"/>
        </w:numPr>
        <w:ind w:left="680" w:hanging="340"/>
        <w:rPr>
          <w:color w:val="2D3E7B" w:themeColor="text2" w:themeShade="BF"/>
          <w:szCs w:val="22"/>
        </w:rPr>
      </w:pPr>
      <w:proofErr w:type="gramStart"/>
      <w:r w:rsidRPr="00AD10B5">
        <w:rPr>
          <w:color w:val="2D3E7B" w:themeColor="text2" w:themeShade="BF"/>
          <w:szCs w:val="22"/>
        </w:rPr>
        <w:t>non-financial</w:t>
      </w:r>
      <w:proofErr w:type="gramEnd"/>
      <w:r w:rsidRPr="00AD10B5">
        <w:rPr>
          <w:color w:val="2D3E7B" w:themeColor="text2" w:themeShade="BF"/>
          <w:szCs w:val="22"/>
        </w:rPr>
        <w:t xml:space="preserve"> disclosures; for example, the entity’s financial risk management objectives and policies.</w:t>
      </w:r>
      <w:r w:rsidR="0033031E" w:rsidRPr="00AD10B5">
        <w:rPr>
          <w:color w:val="2D3E7B" w:themeColor="text2" w:themeShade="BF"/>
          <w:szCs w:val="22"/>
        </w:rPr>
        <w:br w:type="page"/>
      </w:r>
    </w:p>
    <w:p w14:paraId="1B29DDC8" w14:textId="0BBE8329" w:rsidR="00B17F9F" w:rsidRPr="00B17F9F" w:rsidRDefault="00B17F9F" w:rsidP="00D61C84">
      <w:pPr>
        <w:pStyle w:val="Heading2"/>
      </w:pPr>
      <w:bookmarkStart w:id="247" w:name="_Toc410807604"/>
      <w:bookmarkStart w:id="248" w:name="_Toc410822654"/>
      <w:proofErr w:type="gramStart"/>
      <w:r w:rsidRPr="00B17F9F">
        <w:lastRenderedPageBreak/>
        <w:t>Note 1.</w:t>
      </w:r>
      <w:proofErr w:type="gramEnd"/>
      <w:r w:rsidR="002636A0">
        <w:t xml:space="preserve"> </w:t>
      </w:r>
      <w:r w:rsidRPr="00B17F9F">
        <w:t>Summary of significant accounting policies</w:t>
      </w:r>
      <w:bookmarkEnd w:id="247"/>
      <w:bookmarkEnd w:id="248"/>
    </w:p>
    <w:p w14:paraId="3C1475F8" w14:textId="2399D65B" w:rsidR="00B17F9F" w:rsidRPr="00CE003B" w:rsidRDefault="00B17F9F" w:rsidP="008934F0">
      <w:pPr>
        <w:pStyle w:val="Heading5"/>
      </w:pPr>
      <w:proofErr w:type="gramStart"/>
      <w:r w:rsidRPr="00CE003B">
        <w:t>AASB101.10e</w:t>
      </w:r>
      <w:r w:rsidR="00CE003B">
        <w:t xml:space="preserve">, </w:t>
      </w:r>
      <w:r w:rsidR="00CE003B" w:rsidRPr="00CE003B">
        <w:t>Mandatory</w:t>
      </w:r>
      <w:r w:rsidR="00CE003B">
        <w:t>.</w:t>
      </w:r>
      <w:proofErr w:type="gramEnd"/>
    </w:p>
    <w:p w14:paraId="26C04E26" w14:textId="77777777" w:rsidR="00B17F9F" w:rsidRPr="00B17F9F" w:rsidRDefault="00B17F9F" w:rsidP="00D61C84">
      <w:r w:rsidRPr="00B17F9F">
        <w:t>The principal accounting policies adopted in the preparation of these financial statements is set out below. These policies have been consistently applied for all years reported unless otherwise stated. The financial statements include separate statements for [HEP] as the parent entity and the consolidated entity consisting of [HEP] and its subsidiaries.</w:t>
      </w:r>
    </w:p>
    <w:p w14:paraId="6EA1F5D3" w14:textId="77777777" w:rsidR="00B17F9F" w:rsidRPr="00B17F9F" w:rsidRDefault="00B17F9F" w:rsidP="008934F0">
      <w:pPr>
        <w:pStyle w:val="Heading5"/>
      </w:pPr>
      <w:r w:rsidRPr="00B17F9F">
        <w:t>AASB101.138a</w:t>
      </w:r>
    </w:p>
    <w:p w14:paraId="56609A62" w14:textId="77777777" w:rsidR="00B17F9F" w:rsidRPr="00B17F9F" w:rsidRDefault="00B17F9F" w:rsidP="00D61C84">
      <w:r w:rsidRPr="00B17F9F">
        <w:t>The principal address of [HEP] is:</w:t>
      </w:r>
    </w:p>
    <w:p w14:paraId="128A838F" w14:textId="77777777" w:rsidR="00B17F9F" w:rsidRPr="00B17F9F" w:rsidRDefault="00B17F9F" w:rsidP="00D61C84">
      <w:pPr>
        <w:pStyle w:val="Heading3"/>
      </w:pPr>
      <w:r w:rsidRPr="00B17F9F">
        <w:t>(a)</w:t>
      </w:r>
      <w:r w:rsidRPr="00B17F9F">
        <w:tab/>
        <w:t xml:space="preserve">Basis of preparation </w:t>
      </w:r>
    </w:p>
    <w:p w14:paraId="66E5B294" w14:textId="77777777" w:rsidR="00B17F9F" w:rsidRPr="00B17F9F" w:rsidRDefault="00B17F9F" w:rsidP="008934F0">
      <w:pPr>
        <w:pStyle w:val="Heading5"/>
      </w:pPr>
      <w:r w:rsidRPr="00B17F9F">
        <w:t>AASB1054.7</w:t>
      </w:r>
    </w:p>
    <w:p w14:paraId="1500C95C" w14:textId="77777777" w:rsidR="00B17F9F" w:rsidRPr="00B17F9F" w:rsidRDefault="00B17F9F" w:rsidP="00D61C84">
      <w:r w:rsidRPr="00B17F9F">
        <w:t xml:space="preserve">The annual financial statements represent the audited general purpose financial statements of [HEP]. They have been prepared on an accrual basis and comply with the Australian Accounting Standards. </w:t>
      </w:r>
    </w:p>
    <w:p w14:paraId="06321BE9" w14:textId="77777777" w:rsidR="00B17F9F" w:rsidRPr="00B17F9F" w:rsidRDefault="00B17F9F" w:rsidP="008934F0">
      <w:pPr>
        <w:pStyle w:val="Heading5"/>
      </w:pPr>
      <w:r w:rsidRPr="00B17F9F">
        <w:t>AASB1053</w:t>
      </w:r>
    </w:p>
    <w:p w14:paraId="4B655B49" w14:textId="77777777" w:rsidR="00B17F9F" w:rsidRPr="00B17F9F" w:rsidRDefault="00B17F9F" w:rsidP="00D61C84">
      <w:r w:rsidRPr="00B17F9F">
        <w:t>[HEP] applies Tier 1 reporting requirements.</w:t>
      </w:r>
    </w:p>
    <w:p w14:paraId="600304F2" w14:textId="77777777" w:rsidR="00B17F9F" w:rsidRPr="00B17F9F" w:rsidRDefault="00B17F9F" w:rsidP="008934F0">
      <w:pPr>
        <w:pStyle w:val="Heading5"/>
      </w:pPr>
      <w:r w:rsidRPr="00B17F9F">
        <w:t>AASB1054.8a</w:t>
      </w:r>
    </w:p>
    <w:p w14:paraId="6EE1A42F" w14:textId="77777777" w:rsidR="00B17F9F" w:rsidRPr="00B17F9F" w:rsidRDefault="00B17F9F" w:rsidP="00D61C84">
      <w:r w:rsidRPr="00B17F9F">
        <w:t>Additionally the statements have been prepared in accordance with following statutory requirements:</w:t>
      </w:r>
    </w:p>
    <w:p w14:paraId="69343B83" w14:textId="10A49642" w:rsidR="00B17F9F" w:rsidRPr="00B17F9F" w:rsidRDefault="00B17F9F" w:rsidP="00D61C84">
      <w:pPr>
        <w:pStyle w:val="ListParagraph"/>
        <w:numPr>
          <w:ilvl w:val="0"/>
          <w:numId w:val="7"/>
        </w:numPr>
      </w:pPr>
      <w:r w:rsidRPr="009B1E46">
        <w:rPr>
          <w:i/>
        </w:rPr>
        <w:t>Higher Education Support Act 2003</w:t>
      </w:r>
      <w:r w:rsidRPr="00B17F9F">
        <w:t xml:space="preserve"> (Financial Statement Guidelines)</w:t>
      </w:r>
    </w:p>
    <w:p w14:paraId="774FE909" w14:textId="4D3B97B7" w:rsidR="00B17F9F" w:rsidRPr="00B17F9F" w:rsidRDefault="00B17F9F" w:rsidP="00D61C84">
      <w:pPr>
        <w:pStyle w:val="ListParagraph"/>
        <w:numPr>
          <w:ilvl w:val="0"/>
          <w:numId w:val="7"/>
        </w:numPr>
      </w:pPr>
      <w:r w:rsidRPr="00B17F9F">
        <w:t xml:space="preserve">[specify state/territory financial management legislation, </w:t>
      </w:r>
      <w:proofErr w:type="spellStart"/>
      <w:r w:rsidRPr="00B17F9F">
        <w:t>eg</w:t>
      </w:r>
      <w:proofErr w:type="spellEnd"/>
      <w:r w:rsidRPr="00B17F9F">
        <w:t xml:space="preserve"> </w:t>
      </w:r>
      <w:proofErr w:type="spellStart"/>
      <w:r w:rsidRPr="00B17F9F">
        <w:t>FMA</w:t>
      </w:r>
      <w:proofErr w:type="spellEnd"/>
      <w:r w:rsidRPr="00B17F9F">
        <w:t xml:space="preserve"> Act]</w:t>
      </w:r>
    </w:p>
    <w:p w14:paraId="78FBDC51" w14:textId="77777777" w:rsidR="00B17F9F" w:rsidRPr="00B17F9F" w:rsidRDefault="00B17F9F" w:rsidP="008934F0">
      <w:pPr>
        <w:pStyle w:val="Heading5"/>
      </w:pPr>
      <w:r w:rsidRPr="00B17F9F">
        <w:t>AASB1054.8b</w:t>
      </w:r>
      <w:r w:rsidRPr="00B17F9F">
        <w:br/>
        <w:t>AASB101.16</w:t>
      </w:r>
    </w:p>
    <w:p w14:paraId="71401911" w14:textId="77777777" w:rsidR="00B17F9F" w:rsidRPr="00B17F9F" w:rsidRDefault="00B17F9F" w:rsidP="00D61C84">
      <w:r w:rsidRPr="00B17F9F">
        <w:t>[HEP] is a not-for-profit entity and these statements have been prepared on that basis. Some of the Australian Accounting Standards requirements for not-for-profit entities are inconsistent with the IFRS requirements.</w:t>
      </w:r>
    </w:p>
    <w:p w14:paraId="6D4792B9" w14:textId="77777777" w:rsidR="00B17F9F" w:rsidRPr="00B17F9F" w:rsidRDefault="00B17F9F" w:rsidP="00AB24D3">
      <w:pPr>
        <w:pStyle w:val="Heading4"/>
      </w:pPr>
      <w:r w:rsidRPr="00B17F9F">
        <w:t>Date of authorisation for issue</w:t>
      </w:r>
    </w:p>
    <w:p w14:paraId="7CDEC833" w14:textId="77777777" w:rsidR="00CE003B" w:rsidRPr="00B17F9F" w:rsidRDefault="00CE003B" w:rsidP="00D61C84">
      <w:pPr>
        <w:pStyle w:val="Heading5"/>
      </w:pPr>
      <w:r w:rsidRPr="00B17F9F">
        <w:t>AASB110.17</w:t>
      </w:r>
    </w:p>
    <w:p w14:paraId="15AA0CB5" w14:textId="77777777" w:rsidR="00B17F9F" w:rsidRPr="00B17F9F" w:rsidRDefault="00B17F9F" w:rsidP="00D61C84">
      <w:r w:rsidRPr="00B17F9F">
        <w:t>The financial statements were authorised for issue by the Board members of [HEP] on [date].</w:t>
      </w:r>
    </w:p>
    <w:p w14:paraId="08225820" w14:textId="6238E31B" w:rsidR="00B17F9F" w:rsidRPr="00B17F9F" w:rsidRDefault="00B17F9F" w:rsidP="00AB24D3">
      <w:pPr>
        <w:pStyle w:val="Heading4"/>
      </w:pPr>
      <w:r w:rsidRPr="00B17F9F">
        <w:t>Historical cost convention</w:t>
      </w:r>
    </w:p>
    <w:p w14:paraId="3CEFC690" w14:textId="77777777" w:rsidR="00CE003B" w:rsidRPr="00B17F9F" w:rsidRDefault="00CE003B" w:rsidP="00D61C84">
      <w:pPr>
        <w:pStyle w:val="Heading5"/>
      </w:pPr>
      <w:r w:rsidRPr="00B17F9F">
        <w:t>AASB101.117a</w:t>
      </w:r>
    </w:p>
    <w:p w14:paraId="6FDBAA9D" w14:textId="77777777" w:rsidR="00B17F9F" w:rsidRPr="00B17F9F" w:rsidRDefault="00B17F9F" w:rsidP="00D61C84">
      <w:r w:rsidRPr="00B17F9F">
        <w:t xml:space="preserve">These financial statements have been prepared under the historical cost convention, as modified by the revaluation of available-for-sale financial assets, financial assets and liabilities (including derivative instruments) at fair value through profit or loss, certain classes of property, plant and equipment and investment property. </w:t>
      </w:r>
    </w:p>
    <w:p w14:paraId="03DDE28B" w14:textId="77777777" w:rsidR="00B17F9F" w:rsidRPr="00B17F9F" w:rsidRDefault="00B17F9F" w:rsidP="00AB24D3">
      <w:pPr>
        <w:pStyle w:val="Heading4"/>
      </w:pPr>
      <w:r w:rsidRPr="00B17F9F">
        <w:t>Critical accounting estimates</w:t>
      </w:r>
    </w:p>
    <w:p w14:paraId="631C0127" w14:textId="77777777" w:rsidR="00CE003B" w:rsidRPr="00B17F9F" w:rsidRDefault="00CE003B" w:rsidP="00D61C84">
      <w:pPr>
        <w:pStyle w:val="Heading5"/>
      </w:pPr>
      <w:r w:rsidRPr="00B17F9F">
        <w:t>AASB101.122</w:t>
      </w:r>
      <w:proofErr w:type="gramStart"/>
      <w:r w:rsidRPr="00B17F9F">
        <w:t>,125</w:t>
      </w:r>
      <w:proofErr w:type="gramEnd"/>
    </w:p>
    <w:p w14:paraId="679FFD72" w14:textId="77777777" w:rsidR="00B17F9F" w:rsidRPr="00B17F9F" w:rsidRDefault="00B17F9F" w:rsidP="00D61C84">
      <w:r w:rsidRPr="00B17F9F">
        <w:t xml:space="preserve">The preparation of financial statements in conformity with Australian Accounting Standards requires the use of certain critical accounting estimates. It also requires management to exercise its judgement in the process of applying [HEP]’s accounting policies. The estimates and underlying assumptions are reviewed on an ongoing basis. The areas involving a higher degree of judgement or complexity, or areas where assumptions and estimates are significant to the financial </w:t>
      </w:r>
      <w:proofErr w:type="gramStart"/>
      <w:r w:rsidRPr="00B17F9F">
        <w:t>statements,</w:t>
      </w:r>
      <w:proofErr w:type="gramEnd"/>
      <w:r w:rsidRPr="00B17F9F">
        <w:t xml:space="preserve"> are disclosed below:</w:t>
      </w:r>
    </w:p>
    <w:p w14:paraId="7FCAEF07" w14:textId="77777777" w:rsidR="00B17F9F" w:rsidRPr="00B17F9F" w:rsidRDefault="00B17F9F" w:rsidP="00D61C84">
      <w:r w:rsidRPr="00B17F9F">
        <w:t>[Describe critical estimates, assumptions and judgements made by management].</w:t>
      </w:r>
    </w:p>
    <w:p w14:paraId="3190C2F1" w14:textId="77777777" w:rsidR="00B17F9F" w:rsidRPr="00B17F9F" w:rsidRDefault="00B17F9F" w:rsidP="00D61C84">
      <w:pPr>
        <w:pStyle w:val="Heading3"/>
      </w:pPr>
      <w:r w:rsidRPr="00B17F9F">
        <w:lastRenderedPageBreak/>
        <w:t xml:space="preserve">(b) </w:t>
      </w:r>
      <w:r w:rsidRPr="00B17F9F">
        <w:tab/>
        <w:t>Basis of consolidation</w:t>
      </w:r>
    </w:p>
    <w:p w14:paraId="44C03C8D" w14:textId="77777777" w:rsidR="00B17F9F" w:rsidRPr="00B17F9F" w:rsidRDefault="00B17F9F" w:rsidP="00AB24D3">
      <w:pPr>
        <w:pStyle w:val="Heading4"/>
      </w:pPr>
      <w:r w:rsidRPr="00B17F9F">
        <w:t>(i) Subsidiaries</w:t>
      </w:r>
    </w:p>
    <w:p w14:paraId="1DDFCAA9" w14:textId="77777777" w:rsidR="00B17F9F" w:rsidRPr="00B17F9F" w:rsidRDefault="00B17F9F" w:rsidP="00D61C84">
      <w:pPr>
        <w:pStyle w:val="Heading5"/>
      </w:pPr>
      <w:r w:rsidRPr="00B17F9F">
        <w:t>AASB127.4</w:t>
      </w:r>
    </w:p>
    <w:p w14:paraId="2D6E7C47" w14:textId="77777777" w:rsidR="00B17F9F" w:rsidRPr="00B17F9F" w:rsidRDefault="00B17F9F" w:rsidP="00D61C84">
      <w:r w:rsidRPr="00B17F9F">
        <w:t>The consolidated financial statements incorporate the assets and liabilities of all subsidiaries of [HEP] (''parent entity'') as at 31 December 2014 and the results of all subsidiaries for the year then ended. [HEP] and its subsidiaries together are referred to in this financial report as the Group or the consolidated entity.</w:t>
      </w:r>
    </w:p>
    <w:p w14:paraId="3545A47A" w14:textId="77777777" w:rsidR="00B17F9F" w:rsidRPr="00B17F9F" w:rsidRDefault="00B17F9F" w:rsidP="00D61C84">
      <w:pPr>
        <w:pStyle w:val="Heading5"/>
      </w:pPr>
      <w:r w:rsidRPr="00B17F9F">
        <w:t>AASB10.6</w:t>
      </w:r>
      <w:proofErr w:type="gramStart"/>
      <w:r w:rsidRPr="00B17F9F">
        <w:t>,7,10,15</w:t>
      </w:r>
      <w:proofErr w:type="gramEnd"/>
    </w:p>
    <w:p w14:paraId="4BC3A154" w14:textId="77777777" w:rsidR="00B17F9F" w:rsidRPr="00B17F9F" w:rsidRDefault="00B17F9F" w:rsidP="00D61C84">
      <w:r w:rsidRPr="00B17F9F">
        <w:t>Subsidiaries are all those entities (including structured entities) over which the Group has control. The Group has control over an investee when it is exposed, or has rights, to variable returns from its involvement with the investee and has the ability to affect those returns through its power over the investee. Power over the investee exists when the Group has existing rights that give it current ability to direct the relevant activities of the investee. The existence and effect of potential voting rights that are currently exercisable or convertible are considered when assessing whether the Group controls another entity. Returns are not necessarily monetary and can be only positive, only negative, or both positive and negative.</w:t>
      </w:r>
    </w:p>
    <w:p w14:paraId="323BBA08" w14:textId="77777777" w:rsidR="00B17F9F" w:rsidRPr="00B17F9F" w:rsidRDefault="00B17F9F" w:rsidP="00D61C84">
      <w:pPr>
        <w:pStyle w:val="Heading5"/>
      </w:pPr>
      <w:r w:rsidRPr="00B17F9F">
        <w:t>AASB10.20</w:t>
      </w:r>
    </w:p>
    <w:p w14:paraId="385CA497" w14:textId="77777777" w:rsidR="00B17F9F" w:rsidRPr="00B17F9F" w:rsidRDefault="00B17F9F" w:rsidP="00D61C84">
      <w:r w:rsidRPr="00B17F9F">
        <w:t>Subsidiaries are fully consolidated from the date on which control is transferred to the Group. They are de-consolidated from the date that control ceases.</w:t>
      </w:r>
    </w:p>
    <w:p w14:paraId="18AEFD26" w14:textId="77777777" w:rsidR="00B17F9F" w:rsidRPr="00B17F9F" w:rsidRDefault="00B17F9F" w:rsidP="00D61C84">
      <w:pPr>
        <w:pStyle w:val="Heading5"/>
      </w:pPr>
      <w:r w:rsidRPr="00B17F9F">
        <w:t>AASB3.4</w:t>
      </w:r>
    </w:p>
    <w:p w14:paraId="0C32606B" w14:textId="77777777" w:rsidR="00B17F9F" w:rsidRPr="00B17F9F" w:rsidRDefault="00B17F9F" w:rsidP="00D61C84">
      <w:r w:rsidRPr="00B17F9F">
        <w:t>The acquisition method of accounting is used to account for the acquisition of subsidiaries by the Group.</w:t>
      </w:r>
    </w:p>
    <w:p w14:paraId="63CCD413" w14:textId="77777777" w:rsidR="00B17F9F" w:rsidRPr="00B17F9F" w:rsidRDefault="00B17F9F" w:rsidP="00D61C84">
      <w:pPr>
        <w:pStyle w:val="Heading5"/>
      </w:pPr>
      <w:r w:rsidRPr="00B17F9F">
        <w:t>AASB10.B86</w:t>
      </w:r>
    </w:p>
    <w:p w14:paraId="43F0C6C7" w14:textId="77777777" w:rsidR="00B17F9F" w:rsidRPr="00B17F9F" w:rsidRDefault="00B17F9F" w:rsidP="00D61C84">
      <w:r w:rsidRPr="00B17F9F">
        <w:t>Intercompany transactions, balances and unrealised gains on transactions between Group companies are eliminated. Unrealised losses are also eliminated unless the transaction provides evidence of the impairment of the asset transferred. Accounting policies of subsidiaries have been changed where necessary to ensure consistency with the policies adopted by the Group.</w:t>
      </w:r>
    </w:p>
    <w:p w14:paraId="010A48B5" w14:textId="77777777" w:rsidR="00B17F9F" w:rsidRPr="00B17F9F" w:rsidRDefault="00B17F9F" w:rsidP="00D61C84">
      <w:pPr>
        <w:pStyle w:val="Heading5"/>
      </w:pPr>
      <w:r w:rsidRPr="00B17F9F">
        <w:t>AASB10.22</w:t>
      </w:r>
    </w:p>
    <w:p w14:paraId="0293FAC9" w14:textId="77777777" w:rsidR="00B17F9F" w:rsidRPr="00B17F9F" w:rsidRDefault="00B17F9F" w:rsidP="00D61C84">
      <w:r w:rsidRPr="00B17F9F">
        <w:t>Non-controlling interests in the results and equity of subsidiaries are shown separately in the consolidated statement of comprehensive income, statement of financial position and statement of changes in equity respectively.</w:t>
      </w:r>
    </w:p>
    <w:p w14:paraId="2A92BE39" w14:textId="66CB7718" w:rsidR="00B17F9F" w:rsidRPr="00B17F9F" w:rsidRDefault="00B17F9F" w:rsidP="00AB24D3">
      <w:pPr>
        <w:pStyle w:val="Heading4"/>
      </w:pPr>
      <w:r w:rsidRPr="00B17F9F">
        <w:t>(ii) Associates</w:t>
      </w:r>
    </w:p>
    <w:p w14:paraId="5A986D8B" w14:textId="77777777" w:rsidR="00B17F9F" w:rsidRPr="00B17F9F" w:rsidRDefault="00B17F9F" w:rsidP="00D61C84">
      <w:pPr>
        <w:pStyle w:val="Heading5"/>
      </w:pPr>
      <w:r w:rsidRPr="00B17F9F">
        <w:t>AASB128.11</w:t>
      </w:r>
      <w:proofErr w:type="gramStart"/>
      <w:r w:rsidRPr="00B17F9F">
        <w:t>,13,35</w:t>
      </w:r>
      <w:proofErr w:type="gramEnd"/>
    </w:p>
    <w:p w14:paraId="24AF495C" w14:textId="77777777" w:rsidR="00B17F9F" w:rsidRPr="00B17F9F" w:rsidRDefault="00B17F9F" w:rsidP="00D61C84">
      <w:r w:rsidRPr="00B17F9F">
        <w:t>Associates are all entities over which the Group has significant influence but not control, generally accompanying a shareholding of between 20% and 50% of the voting rights. Investments in associates are accounted for in the parent entity financial statements using the cost method and in the consolidated financial statements using the equity method of accounting, after initially being recognised at cost. The Group’s investment in associates includes goodwill (net of any accumulated impairment loss) identified on acquisition (refer to note 24).</w:t>
      </w:r>
    </w:p>
    <w:p w14:paraId="2A4345C2" w14:textId="77777777" w:rsidR="00B17F9F" w:rsidRPr="00B17F9F" w:rsidRDefault="00B17F9F" w:rsidP="00D61C84">
      <w:pPr>
        <w:pStyle w:val="Heading5"/>
      </w:pPr>
      <w:r w:rsidRPr="00B17F9F">
        <w:t>AASB128.11</w:t>
      </w:r>
    </w:p>
    <w:p w14:paraId="71D7DCDE" w14:textId="77777777" w:rsidR="00B17F9F" w:rsidRPr="00B17F9F" w:rsidRDefault="00B17F9F" w:rsidP="00D61C84">
      <w:r w:rsidRPr="00B17F9F">
        <w:t>The Group’s share of its associates’ post</w:t>
      </w:r>
      <w:r w:rsidRPr="00B17F9F">
        <w:noBreakHyphen/>
        <w:t>acquisition profits or losses is recognised in the income statement, and its share of post</w:t>
      </w:r>
      <w:r w:rsidRPr="00B17F9F">
        <w:noBreakHyphen/>
        <w:t>acquisition movements in reserves is recognised in reserves. The cumulative post</w:t>
      </w:r>
      <w:r w:rsidRPr="00B17F9F">
        <w:noBreakHyphen/>
        <w:t>acquisition movements are adjusted against the carrying amount of the investment. Dividends receivable from associates are recognised in the parent entity’s income statement, while in the consolidated financial statements they reduce the carrying amount of the investment.</w:t>
      </w:r>
    </w:p>
    <w:p w14:paraId="4EFEAE41" w14:textId="77777777" w:rsidR="00B17F9F" w:rsidRPr="00B17F9F" w:rsidRDefault="00B17F9F" w:rsidP="00D61C84">
      <w:pPr>
        <w:pStyle w:val="Heading5"/>
      </w:pPr>
      <w:bookmarkStart w:id="249" w:name="_Hlk277326997"/>
      <w:r w:rsidRPr="00B17F9F">
        <w:lastRenderedPageBreak/>
        <w:t>AASB128.29</w:t>
      </w:r>
      <w:proofErr w:type="gramStart"/>
      <w:r w:rsidRPr="00B17F9F">
        <w:t>,30</w:t>
      </w:r>
      <w:proofErr w:type="gramEnd"/>
    </w:p>
    <w:p w14:paraId="1B6FE369" w14:textId="77777777" w:rsidR="00B17F9F" w:rsidRPr="00B17F9F" w:rsidRDefault="00B17F9F" w:rsidP="00D61C84">
      <w:r w:rsidRPr="00B17F9F">
        <w:t>When the Group’s share of losses in an associate equals or exceeds its interest in the associate, including any other unsecured receivables, the Group does not recognise further losses, unless it has incurred obligations or made payments on behalf of the associate.</w:t>
      </w:r>
    </w:p>
    <w:bookmarkEnd w:id="249"/>
    <w:p w14:paraId="60DB3584" w14:textId="22C17A1A" w:rsidR="00B17F9F" w:rsidRPr="00B17F9F" w:rsidRDefault="00B17F9F" w:rsidP="00AB24D3">
      <w:pPr>
        <w:pStyle w:val="Heading4"/>
      </w:pPr>
      <w:r w:rsidRPr="00B17F9F">
        <w:t>(iii) Joint arrangements</w:t>
      </w:r>
    </w:p>
    <w:p w14:paraId="3CB045D5" w14:textId="77777777" w:rsidR="00B17F9F" w:rsidRPr="00B17F9F" w:rsidRDefault="00B17F9F" w:rsidP="00D61C84">
      <w:pPr>
        <w:pStyle w:val="Heading5"/>
      </w:pPr>
      <w:r w:rsidRPr="00B17F9F">
        <w:t>Joint operations</w:t>
      </w:r>
    </w:p>
    <w:p w14:paraId="605BDD24" w14:textId="77777777" w:rsidR="00B17F9F" w:rsidRPr="00B17F9F" w:rsidRDefault="00B17F9F" w:rsidP="00D61C84">
      <w:r w:rsidRPr="00B17F9F">
        <w:t>The HEPs share of assets, liabilities, revenue and expenses of a joint operation have been incorporated in the financial statements under the appropriate headings. Details of the joint operation are set out in note 45.</w:t>
      </w:r>
    </w:p>
    <w:p w14:paraId="39F34A9A" w14:textId="77777777" w:rsidR="00B17F9F" w:rsidRPr="00B17F9F" w:rsidRDefault="00B17F9F" w:rsidP="00D61C84">
      <w:pPr>
        <w:pStyle w:val="Heading5"/>
      </w:pPr>
      <w:r w:rsidRPr="00B17F9F">
        <w:t>Joint ventures</w:t>
      </w:r>
    </w:p>
    <w:p w14:paraId="1E133A75" w14:textId="77777777" w:rsidR="00B17F9F" w:rsidRPr="00B17F9F" w:rsidRDefault="00B17F9F" w:rsidP="00D61C84">
      <w:r w:rsidRPr="00B17F9F">
        <w:t>The interest in a joint venture entity is accounted for in the consolidated financial statements using the equity method and is carried at cost by the parent entity. Under the equity method, the share of the profits or losses of the entity is recognised in the income statement, and the share of movements in reserves is recognised in reserves in the statement of comprehensive income and the statement of changes in equity. Details relating to the entity are set out in note 24.</w:t>
      </w:r>
    </w:p>
    <w:p w14:paraId="0870EE8F" w14:textId="55049882" w:rsidR="00B17F9F" w:rsidRPr="00B17F9F" w:rsidRDefault="00B17F9F" w:rsidP="00D61C84">
      <w:pPr>
        <w:pStyle w:val="Heading3"/>
      </w:pPr>
      <w:r w:rsidRPr="00B17F9F">
        <w:t xml:space="preserve">(c) </w:t>
      </w:r>
      <w:r w:rsidRPr="00B17F9F">
        <w:tab/>
        <w:t>Foreign currency translation</w:t>
      </w:r>
    </w:p>
    <w:p w14:paraId="3A7E11D6" w14:textId="77777777" w:rsidR="003D126A" w:rsidRPr="00B17F9F" w:rsidRDefault="003D126A" w:rsidP="008934F0">
      <w:pPr>
        <w:pStyle w:val="Heading5"/>
      </w:pPr>
      <w:r w:rsidRPr="00B17F9F">
        <w:t>AASB101.51D</w:t>
      </w:r>
    </w:p>
    <w:p w14:paraId="176E5D6E" w14:textId="5523AF30" w:rsidR="00B17F9F" w:rsidRPr="00B17F9F" w:rsidRDefault="00B17F9F" w:rsidP="00AB24D3">
      <w:pPr>
        <w:pStyle w:val="Heading4"/>
      </w:pPr>
      <w:r w:rsidRPr="00B17F9F">
        <w:t>(</w:t>
      </w:r>
      <w:proofErr w:type="gramStart"/>
      <w:r w:rsidRPr="00B17F9F">
        <w:t>i</w:t>
      </w:r>
      <w:proofErr w:type="gramEnd"/>
      <w:r w:rsidRPr="00B17F9F">
        <w:t>) Functional and presentation currency</w:t>
      </w:r>
    </w:p>
    <w:p w14:paraId="00030D6C" w14:textId="77777777" w:rsidR="00B17F9F" w:rsidRPr="00B17F9F" w:rsidRDefault="00B17F9F" w:rsidP="00D61C84">
      <w:pPr>
        <w:pStyle w:val="Heading5"/>
      </w:pPr>
      <w:r w:rsidRPr="00B17F9F">
        <w:t>AASB121.9</w:t>
      </w:r>
      <w:proofErr w:type="gramStart"/>
      <w:r w:rsidRPr="00B17F9F">
        <w:t>,17,18</w:t>
      </w:r>
      <w:proofErr w:type="gramEnd"/>
    </w:p>
    <w:p w14:paraId="10268E27" w14:textId="77777777" w:rsidR="00B17F9F" w:rsidRPr="00B17F9F" w:rsidRDefault="00B17F9F" w:rsidP="00D61C84">
      <w:r w:rsidRPr="00B17F9F">
        <w:t>Items included in the financial statements of each of the Group’s entities are measured using the currency of the primary economic environment in which the entity operates (‘the functional currency’). The consolidated financial statements are presented in Australian dollars, which is [HEP]’s functional and presentation currency.</w:t>
      </w:r>
    </w:p>
    <w:p w14:paraId="1FD905C4" w14:textId="4E1A640A" w:rsidR="00B17F9F" w:rsidRPr="00B17F9F" w:rsidRDefault="00B17F9F" w:rsidP="00AB24D3">
      <w:pPr>
        <w:pStyle w:val="Heading4"/>
      </w:pPr>
      <w:r w:rsidRPr="00B17F9F">
        <w:t>(ii) Transactions and balances</w:t>
      </w:r>
    </w:p>
    <w:p w14:paraId="2F64C289" w14:textId="0385615D" w:rsidR="00B17F9F" w:rsidRPr="00B17F9F" w:rsidRDefault="00B17F9F" w:rsidP="00D61C84">
      <w:pPr>
        <w:pStyle w:val="Heading5"/>
      </w:pPr>
      <w:r w:rsidRPr="00B17F9F">
        <w:t>AASB121.21</w:t>
      </w:r>
      <w:proofErr w:type="gramStart"/>
      <w:r w:rsidRPr="00B17F9F">
        <w:t>,28,32</w:t>
      </w:r>
      <w:proofErr w:type="gramEnd"/>
      <w:r w:rsidR="003D126A">
        <w:br/>
      </w:r>
      <w:r w:rsidRPr="00B17F9F">
        <w:t>AASB139.95,102</w:t>
      </w:r>
    </w:p>
    <w:p w14:paraId="4787D910" w14:textId="77777777" w:rsidR="00B17F9F" w:rsidRPr="00B17F9F" w:rsidRDefault="00B17F9F" w:rsidP="00D61C84">
      <w:r w:rsidRPr="00B17F9F">
        <w:t>Foreign currency transactions are translated into the functional currency using the exchange rates prevailing at the dates of the transactions. Foreign exchange gains and losses resulting from the settlement of such transactions and from the translation at year-end exchange rates of monetary assets and liabilities denominated in foreign currencies are recognised in the income statement. Qualifying cash flow hedges and qualifying net investment hedges in a foreign operation shall be accounted for by recognising the portion of the gain or loss determined to be an effective hedge in other comprehensive income and the ineffective portion in profit or loss.</w:t>
      </w:r>
    </w:p>
    <w:p w14:paraId="40D7BEC1" w14:textId="0F857D1B" w:rsidR="00B17F9F" w:rsidRPr="00B17F9F" w:rsidRDefault="00B17F9F" w:rsidP="00D61C84">
      <w:pPr>
        <w:pStyle w:val="Heading5"/>
      </w:pPr>
      <w:r w:rsidRPr="00B17F9F">
        <w:t>AASB121.30</w:t>
      </w:r>
    </w:p>
    <w:p w14:paraId="2FBDC283" w14:textId="77777777" w:rsidR="00B17F9F" w:rsidRPr="00B17F9F" w:rsidRDefault="00B17F9F" w:rsidP="00D61C84">
      <w:r w:rsidRPr="00B17F9F">
        <w:t>If gains or losses on non-monetary items are recognised in other comprehensive income, translation gains or losses are also recognised in other comprehensive income. Similarly, if gains or losses on non-monetary items are recognised in profit or loss, translation gains or losses are also recognised in profit or loss.</w:t>
      </w:r>
    </w:p>
    <w:p w14:paraId="668871F1" w14:textId="0582828A" w:rsidR="00B17F9F" w:rsidRPr="00B17F9F" w:rsidRDefault="00B17F9F" w:rsidP="00AB24D3">
      <w:pPr>
        <w:pStyle w:val="Heading4"/>
      </w:pPr>
      <w:r w:rsidRPr="00B17F9F">
        <w:t>(iii) Group companies</w:t>
      </w:r>
    </w:p>
    <w:p w14:paraId="1B881EC4" w14:textId="77777777" w:rsidR="00B17F9F" w:rsidRPr="00B17F9F" w:rsidRDefault="00B17F9F" w:rsidP="00D61C84">
      <w:pPr>
        <w:pStyle w:val="Heading5"/>
      </w:pPr>
      <w:r w:rsidRPr="00B17F9F">
        <w:t>AASB121.39</w:t>
      </w:r>
    </w:p>
    <w:p w14:paraId="5011147A" w14:textId="77777777" w:rsidR="00B17F9F" w:rsidRPr="00B17F9F" w:rsidRDefault="00B17F9F" w:rsidP="00D61C84">
      <w:r w:rsidRPr="00B17F9F">
        <w:t>The results and financial position of all the Group entities (none of which has the currency of a hyperinflationary economy) that have a functional currency different from the presentation currency are translated into the presentation currency as follows:</w:t>
      </w:r>
    </w:p>
    <w:p w14:paraId="3A4B6CE7" w14:textId="77777777" w:rsidR="00B17F9F" w:rsidRPr="00B17F9F" w:rsidRDefault="00B17F9F" w:rsidP="00D61C84">
      <w:pPr>
        <w:pStyle w:val="Heading5"/>
      </w:pPr>
      <w:r w:rsidRPr="00B17F9F">
        <w:t>AASB121.39</w:t>
      </w:r>
    </w:p>
    <w:p w14:paraId="7A9DB8EC" w14:textId="51FF2379" w:rsidR="00B17F9F" w:rsidRPr="00B17F9F" w:rsidRDefault="00B17F9F" w:rsidP="00F57290">
      <w:pPr>
        <w:pStyle w:val="ListParagraph"/>
        <w:numPr>
          <w:ilvl w:val="0"/>
          <w:numId w:val="23"/>
        </w:numPr>
        <w:ind w:left="680" w:hanging="340"/>
      </w:pPr>
      <w:r w:rsidRPr="00B17F9F">
        <w:t>assets and liabilities for each statement of financial position presented are translated at the closing rate at the end of the reporting period;</w:t>
      </w:r>
    </w:p>
    <w:p w14:paraId="2A1574BA" w14:textId="6817A1F4" w:rsidR="00B17F9F" w:rsidRPr="00B17F9F" w:rsidRDefault="00B17F9F" w:rsidP="00F57290">
      <w:pPr>
        <w:pStyle w:val="ListParagraph"/>
        <w:numPr>
          <w:ilvl w:val="0"/>
          <w:numId w:val="23"/>
        </w:numPr>
        <w:ind w:left="680" w:hanging="340"/>
      </w:pPr>
      <w:r w:rsidRPr="00B17F9F">
        <w:lastRenderedPageBreak/>
        <w:t>income and expenses for each income statement are translated at average exchange rates (unless this is not a reasonable approximation of the cumulative effect of the rates prevailing on the transaction dates, in which case income and expenses are translated at the dates of the transactions); and</w:t>
      </w:r>
    </w:p>
    <w:p w14:paraId="6F47946E" w14:textId="218339F5" w:rsidR="00B17F9F" w:rsidRPr="00B17F9F" w:rsidRDefault="00B17F9F" w:rsidP="00F57290">
      <w:pPr>
        <w:pStyle w:val="ListParagraph"/>
        <w:numPr>
          <w:ilvl w:val="0"/>
          <w:numId w:val="23"/>
        </w:numPr>
        <w:ind w:left="680" w:hanging="340"/>
      </w:pPr>
      <w:proofErr w:type="gramStart"/>
      <w:r w:rsidRPr="00B17F9F">
        <w:t>all</w:t>
      </w:r>
      <w:proofErr w:type="gramEnd"/>
      <w:r w:rsidRPr="00B17F9F">
        <w:t xml:space="preserve"> resulting exchange differences are recognised as a separate component of equity.</w:t>
      </w:r>
    </w:p>
    <w:p w14:paraId="09F8A8ED" w14:textId="77777777" w:rsidR="00B17F9F" w:rsidRPr="00B17F9F" w:rsidRDefault="00B17F9F" w:rsidP="00D61C84">
      <w:pPr>
        <w:pStyle w:val="Heading5"/>
      </w:pPr>
      <w:r w:rsidRPr="00B17F9F">
        <w:t>AASB139.102</w:t>
      </w:r>
    </w:p>
    <w:p w14:paraId="237531A4" w14:textId="77777777" w:rsidR="00B17F9F" w:rsidRPr="00B17F9F" w:rsidRDefault="00B17F9F" w:rsidP="00D61C84">
      <w:r w:rsidRPr="00B17F9F">
        <w:t>On consolidation, exchange differences arising from the translation of any net investment in foreign entities, and of borrowings and other financial instruments designated as hedges of such investments, are accounted for by recognising the effective portion in other comprehensive income and the ineffective portion in the income statement. When a foreign operation is sold or any borrowings forming part of the net investment are repaid, the gain or loss relating to the effective portion of the hedge that has been recognised in other comprehensive income is reclassified from equity to the income statement as a reclassification adjustment.</w:t>
      </w:r>
    </w:p>
    <w:p w14:paraId="05D90BC3" w14:textId="77777777" w:rsidR="00B17F9F" w:rsidRPr="00B17F9F" w:rsidRDefault="00B17F9F" w:rsidP="00D61C84">
      <w:pPr>
        <w:pStyle w:val="Heading5"/>
      </w:pPr>
      <w:r w:rsidRPr="00B17F9F">
        <w:t>AASB121.47</w:t>
      </w:r>
    </w:p>
    <w:p w14:paraId="0B4C5C97" w14:textId="5B0EA538" w:rsidR="00AE4392" w:rsidRDefault="00B17F9F" w:rsidP="00D61C84">
      <w:pPr>
        <w:rPr>
          <w:rFonts w:asciiTheme="majorHAnsi" w:eastAsiaTheme="majorEastAsia" w:hAnsiTheme="majorHAnsi"/>
          <w:b/>
          <w:bCs/>
          <w:sz w:val="26"/>
          <w:szCs w:val="26"/>
        </w:rPr>
      </w:pPr>
      <w:r w:rsidRPr="00B17F9F">
        <w:t>Goodwill and fair value adjustments arising on the acquisition of a foreign entity are treated as assets and liabilities of the foreign entity and translated at the closing rate.</w:t>
      </w:r>
    </w:p>
    <w:p w14:paraId="5C07D17A" w14:textId="72BB0219" w:rsidR="00B17F9F" w:rsidRPr="00B17F9F" w:rsidRDefault="00B17F9F" w:rsidP="00D61C84">
      <w:pPr>
        <w:pStyle w:val="Heading3"/>
      </w:pPr>
      <w:r w:rsidRPr="00B17F9F">
        <w:t xml:space="preserve">(d) </w:t>
      </w:r>
      <w:r w:rsidRPr="00B17F9F">
        <w:tab/>
        <w:t>Revenue recognition</w:t>
      </w:r>
    </w:p>
    <w:p w14:paraId="0C0C3BFE" w14:textId="77777777" w:rsidR="00B17F9F" w:rsidRPr="00B17F9F" w:rsidRDefault="00B17F9F" w:rsidP="00D61C84">
      <w:r w:rsidRPr="00B17F9F">
        <w:t xml:space="preserve">Revenue is measured at the fair value of the consideration received or receivable. Amounts disclosed as revenue are net of </w:t>
      </w:r>
      <w:proofErr w:type="gramStart"/>
      <w:r w:rsidRPr="00B17F9F">
        <w:t>returns,</w:t>
      </w:r>
      <w:proofErr w:type="gramEnd"/>
      <w:r w:rsidRPr="00B17F9F">
        <w:t xml:space="preserve"> trade allowances rebates and amounts collected on behalf of third parties.</w:t>
      </w:r>
    </w:p>
    <w:p w14:paraId="4C662796" w14:textId="68D82D55" w:rsidR="00B17F9F" w:rsidRPr="00B17F9F" w:rsidRDefault="00B17F9F" w:rsidP="00D61C84">
      <w:r w:rsidRPr="00B17F9F">
        <w:t>The Group recognises revenue when the amount of revenue can be reliably measured, it is probable that future economic benefits will flow to the Group and specific criteria have been met for each of the Group’s activities as described below. In some cases this may not be probable until consideration is received</w:t>
      </w:r>
      <w:r w:rsidR="00F57290">
        <w:t xml:space="preserve"> or an uncertainty is removed.</w:t>
      </w:r>
      <w:r w:rsidRPr="00B17F9F">
        <w:t xml:space="preserve"> The Group bases its estimates on historical results, taking into consideration the type of customer, the type of transaction and the specifics of each arrangement. </w:t>
      </w:r>
    </w:p>
    <w:p w14:paraId="060974B2" w14:textId="77777777" w:rsidR="00B17F9F" w:rsidRPr="00B17F9F" w:rsidRDefault="00B17F9F" w:rsidP="00D61C84">
      <w:r w:rsidRPr="00B17F9F">
        <w:t>Revenue is recognised for the major business activities as follows:</w:t>
      </w:r>
    </w:p>
    <w:p w14:paraId="4038FFB2" w14:textId="77777777" w:rsidR="00B17F9F" w:rsidRPr="00B17F9F" w:rsidRDefault="00B17F9F" w:rsidP="00AB24D3">
      <w:pPr>
        <w:pStyle w:val="Heading4"/>
      </w:pPr>
      <w:r w:rsidRPr="00B17F9F">
        <w:t>(i) Government grants</w:t>
      </w:r>
    </w:p>
    <w:p w14:paraId="65B6260E" w14:textId="795EB2A1" w:rsidR="00B17F9F" w:rsidRPr="00B17F9F" w:rsidRDefault="00B17F9F" w:rsidP="00D61C84">
      <w:pPr>
        <w:pStyle w:val="Heading5"/>
      </w:pPr>
      <w:r w:rsidRPr="00B17F9F">
        <w:t xml:space="preserve">AASB118.35a </w:t>
      </w:r>
      <w:r w:rsidR="003D126A">
        <w:br/>
      </w:r>
      <w:r w:rsidRPr="00B17F9F">
        <w:t>AASB1004.8</w:t>
      </w:r>
      <w:proofErr w:type="gramStart"/>
      <w:r w:rsidRPr="00B17F9F">
        <w:t>,9</w:t>
      </w:r>
      <w:proofErr w:type="gramEnd"/>
    </w:p>
    <w:p w14:paraId="17DED17D" w14:textId="77777777" w:rsidR="00B17F9F" w:rsidRPr="00B17F9F" w:rsidRDefault="00B17F9F" w:rsidP="00D61C84">
      <w:r w:rsidRPr="00B17F9F">
        <w:t>Grants from the government are recognised at their fair value where the Group obtains control of the right to receive the grant, it is probable that economic benefits will flow to the Group and it can be reliably measured.</w:t>
      </w:r>
    </w:p>
    <w:p w14:paraId="41C917BC" w14:textId="77777777" w:rsidR="00B17F9F" w:rsidRPr="00B17F9F" w:rsidRDefault="00B17F9F" w:rsidP="00AB24D3">
      <w:pPr>
        <w:pStyle w:val="Heading4"/>
      </w:pPr>
      <w:r w:rsidRPr="00B17F9F">
        <w:t>(ii) HELP payments</w:t>
      </w:r>
    </w:p>
    <w:p w14:paraId="555F5186" w14:textId="77777777" w:rsidR="00B17F9F" w:rsidRPr="00B17F9F" w:rsidRDefault="00B17F9F" w:rsidP="00D61C84">
      <w:r w:rsidRPr="00B17F9F">
        <w:t>Revenue from HELP is categorised into those received from the Australian Government and those received directly from students. Revenue is recognised and measured in accordance with the above disclosure.</w:t>
      </w:r>
    </w:p>
    <w:p w14:paraId="672D3966" w14:textId="77777777" w:rsidR="00B17F9F" w:rsidRPr="00B17F9F" w:rsidRDefault="00B17F9F" w:rsidP="00AB24D3">
      <w:pPr>
        <w:pStyle w:val="Heading4"/>
      </w:pPr>
      <w:r w:rsidRPr="00B17F9F">
        <w:t>(iii) Student fees and charges</w:t>
      </w:r>
    </w:p>
    <w:p w14:paraId="4CFFEFB8" w14:textId="77777777" w:rsidR="00B17F9F" w:rsidRPr="00B17F9F" w:rsidRDefault="00B17F9F" w:rsidP="00D61C84">
      <w:pPr>
        <w:pStyle w:val="Heading5"/>
      </w:pPr>
      <w:r w:rsidRPr="00B17F9F">
        <w:t>AASB118.35a</w:t>
      </w:r>
    </w:p>
    <w:p w14:paraId="038A095F" w14:textId="4B239E2E" w:rsidR="00C94761" w:rsidRDefault="00B17F9F" w:rsidP="00D61C84">
      <w:r w:rsidRPr="00B17F9F">
        <w:t xml:space="preserve">Fees and charges are recognised as income in the year of receipt, except to the extent that fees and charges relate to courses to be held in future periods. Such </w:t>
      </w:r>
      <w:proofErr w:type="gramStart"/>
      <w:r w:rsidRPr="00B17F9F">
        <w:t>receipts (or portion thereof) is</w:t>
      </w:r>
      <w:proofErr w:type="gramEnd"/>
      <w:r w:rsidRPr="00B17F9F">
        <w:t xml:space="preserve"> treated as income in advance in liabilities. Conversely, fees and charges relating to debtors are recognised as revenue in the year to which the prescribed course relates.</w:t>
      </w:r>
      <w:r w:rsidR="00C94761">
        <w:br w:type="page"/>
      </w:r>
    </w:p>
    <w:p w14:paraId="3048C830" w14:textId="0B4490BA" w:rsidR="00B17F9F" w:rsidRPr="00B17F9F" w:rsidRDefault="00B17F9F" w:rsidP="00AB24D3">
      <w:pPr>
        <w:pStyle w:val="Heading4"/>
      </w:pPr>
      <w:proofErr w:type="gramStart"/>
      <w:r w:rsidRPr="00B17F9F">
        <w:lastRenderedPageBreak/>
        <w:t>(iv) Royalties</w:t>
      </w:r>
      <w:proofErr w:type="gramEnd"/>
      <w:r w:rsidRPr="00B17F9F">
        <w:t>, trademarks and licences</w:t>
      </w:r>
    </w:p>
    <w:p w14:paraId="73349946" w14:textId="77777777" w:rsidR="00B17F9F" w:rsidRPr="00B17F9F" w:rsidRDefault="00B17F9F" w:rsidP="00D61C84">
      <w:pPr>
        <w:pStyle w:val="Heading5"/>
      </w:pPr>
      <w:r w:rsidRPr="00B17F9F">
        <w:t>AASB117.39</w:t>
      </w:r>
    </w:p>
    <w:p w14:paraId="43E90957" w14:textId="77777777" w:rsidR="00B17F9F" w:rsidRPr="00B17F9F" w:rsidRDefault="00B17F9F" w:rsidP="00D61C84">
      <w:r w:rsidRPr="00B17F9F">
        <w:t>Revenue from royalties, trademarks and licences is recognised as income when earned.</w:t>
      </w:r>
    </w:p>
    <w:p w14:paraId="7ABFB166" w14:textId="77777777" w:rsidR="00B17F9F" w:rsidRPr="00B17F9F" w:rsidRDefault="00B17F9F" w:rsidP="00AB24D3">
      <w:pPr>
        <w:pStyle w:val="Heading4"/>
      </w:pPr>
      <w:r w:rsidRPr="00B17F9F">
        <w:t>(v) Consultancy and Contracts/ Fee for Service</w:t>
      </w:r>
    </w:p>
    <w:p w14:paraId="27059BF4" w14:textId="77777777" w:rsidR="00B17F9F" w:rsidRPr="00B17F9F" w:rsidRDefault="00B17F9F" w:rsidP="00D61C84">
      <w:pPr>
        <w:pStyle w:val="Heading5"/>
      </w:pPr>
      <w:r w:rsidRPr="00B17F9F">
        <w:t>AASB118.35a</w:t>
      </w:r>
    </w:p>
    <w:p w14:paraId="1D3CA9E6" w14:textId="77777777" w:rsidR="00B17F9F" w:rsidRPr="00B17F9F" w:rsidRDefault="00B17F9F" w:rsidP="00D61C84">
      <w:r w:rsidRPr="00B17F9F">
        <w:t>Contract revenue is recognised in accordance with the percentage of completion method. The stage of completion is measured by reference to labour hours incurred to date as a percentage of estimated total labour hours for each contract.</w:t>
      </w:r>
    </w:p>
    <w:p w14:paraId="7FB93C5C" w14:textId="77777777" w:rsidR="00B17F9F" w:rsidRPr="00B17F9F" w:rsidRDefault="00B17F9F" w:rsidP="00D61C84">
      <w:r w:rsidRPr="00B17F9F">
        <w:t>Other human resources revenue is recognised when the service is provided.</w:t>
      </w:r>
    </w:p>
    <w:p w14:paraId="23038B38" w14:textId="77777777" w:rsidR="00B17F9F" w:rsidRPr="00B17F9F" w:rsidRDefault="00B17F9F" w:rsidP="00AB24D3">
      <w:pPr>
        <w:pStyle w:val="Heading4"/>
      </w:pPr>
      <w:proofErr w:type="gramStart"/>
      <w:r w:rsidRPr="00B17F9F">
        <w:t>(vi) Other</w:t>
      </w:r>
      <w:proofErr w:type="gramEnd"/>
      <w:r w:rsidRPr="00B17F9F">
        <w:t xml:space="preserve"> revenue</w:t>
      </w:r>
    </w:p>
    <w:p w14:paraId="5A00B218" w14:textId="77777777" w:rsidR="00B17F9F" w:rsidRPr="00B17F9F" w:rsidRDefault="00B17F9F" w:rsidP="00D61C84">
      <w:pPr>
        <w:pStyle w:val="Heading5"/>
      </w:pPr>
      <w:r w:rsidRPr="00B17F9F">
        <w:t>AASB117.39</w:t>
      </w:r>
    </w:p>
    <w:p w14:paraId="67BD18E2" w14:textId="77777777" w:rsidR="00B17F9F" w:rsidRPr="00B17F9F" w:rsidRDefault="00B17F9F" w:rsidP="00D61C84">
      <w:r w:rsidRPr="00B17F9F">
        <w:t>[Insert accounting policy here]</w:t>
      </w:r>
    </w:p>
    <w:p w14:paraId="64CCEF5C" w14:textId="66A34AF1" w:rsidR="00B17F9F" w:rsidRPr="00B17F9F" w:rsidRDefault="00B17F9F" w:rsidP="00D61C84">
      <w:pPr>
        <w:pStyle w:val="Heading3"/>
      </w:pPr>
      <w:r w:rsidRPr="00B17F9F">
        <w:t xml:space="preserve">(e) </w:t>
      </w:r>
      <w:r w:rsidRPr="00B17F9F">
        <w:tab/>
        <w:t>Income tax</w:t>
      </w:r>
    </w:p>
    <w:p w14:paraId="25079AFA" w14:textId="77777777" w:rsidR="00B17F9F" w:rsidRPr="00B17F9F" w:rsidRDefault="00B17F9F" w:rsidP="008934F0">
      <w:pPr>
        <w:pStyle w:val="Heading5"/>
      </w:pPr>
      <w:r w:rsidRPr="00B17F9F">
        <w:t>AASB112.46</w:t>
      </w:r>
    </w:p>
    <w:p w14:paraId="2FD13AA5" w14:textId="77777777" w:rsidR="00B17F9F" w:rsidRPr="00B17F9F" w:rsidRDefault="00B17F9F" w:rsidP="00D61C84">
      <w:r w:rsidRPr="00B17F9F">
        <w:t>The income tax expense or income for the period is the tax payable/receivable on the current period’s taxable income based on the national income tax rate for each jurisdiction adjusted by changes in deferred tax assets and liabilities attributable to temporary differences between the tax bases of assets and liabilities and their carrying amounts in the financial statements, and to unused tax losses.</w:t>
      </w:r>
    </w:p>
    <w:p w14:paraId="3DBD0B35" w14:textId="77777777" w:rsidR="00B17F9F" w:rsidRPr="00B17F9F" w:rsidRDefault="00B17F9F" w:rsidP="008934F0">
      <w:pPr>
        <w:pStyle w:val="Heading5"/>
      </w:pPr>
      <w:r w:rsidRPr="00B17F9F">
        <w:t>AASB112.15</w:t>
      </w:r>
      <w:proofErr w:type="gramStart"/>
      <w:r w:rsidRPr="00B17F9F">
        <w:t>,24,47</w:t>
      </w:r>
      <w:proofErr w:type="gramEnd"/>
    </w:p>
    <w:p w14:paraId="1863B531" w14:textId="77777777" w:rsidR="00B17F9F" w:rsidRPr="00B17F9F" w:rsidRDefault="00B17F9F" w:rsidP="00D61C84">
      <w:r w:rsidRPr="00B17F9F">
        <w:t xml:space="preserve">Deferred income tax is provided in full, using the liability method, on temporary differences arising between the tax bases of assets and liabilities and their carrying amounts in the financial statements. However, the deferred income tax is not accounted for if it arises from initial recognition of an asset or liability in a transaction (other than a business combination) that at the time of the transaction affects </w:t>
      </w:r>
      <w:proofErr w:type="gramStart"/>
      <w:r w:rsidRPr="00B17F9F">
        <w:t>neither accounting nor taxable profit or</w:t>
      </w:r>
      <w:proofErr w:type="gramEnd"/>
      <w:r w:rsidRPr="00B17F9F">
        <w:t xml:space="preserve"> loss. Deferred income tax is determined using tax rates (and laws) that have been enacted or substantively enacted by the end of the reporting period and are expected to apply when the related deferred income tax asset is realised or the deferred income tax liability is settled.</w:t>
      </w:r>
    </w:p>
    <w:p w14:paraId="5F9F857F" w14:textId="77777777" w:rsidR="00B17F9F" w:rsidRPr="00B17F9F" w:rsidRDefault="00B17F9F" w:rsidP="008934F0">
      <w:pPr>
        <w:pStyle w:val="Heading5"/>
      </w:pPr>
      <w:r w:rsidRPr="00B17F9F">
        <w:t>AASB112.24</w:t>
      </w:r>
      <w:proofErr w:type="gramStart"/>
      <w:r w:rsidRPr="00B17F9F">
        <w:t>,34</w:t>
      </w:r>
      <w:proofErr w:type="gramEnd"/>
    </w:p>
    <w:p w14:paraId="05D13C58" w14:textId="77777777" w:rsidR="00B17F9F" w:rsidRPr="00B17F9F" w:rsidRDefault="00B17F9F" w:rsidP="00D61C84">
      <w:r w:rsidRPr="00B17F9F">
        <w:t>Deferred tax assets are recognised for deductible temporary differences and unused tax losses, only if it is probable that future taxable amounts will be available to utilise those temporary differences and losses.</w:t>
      </w:r>
    </w:p>
    <w:p w14:paraId="3B67B3D4" w14:textId="77777777" w:rsidR="00B17F9F" w:rsidRPr="00B17F9F" w:rsidRDefault="00B17F9F" w:rsidP="008934F0">
      <w:pPr>
        <w:pStyle w:val="Heading5"/>
      </w:pPr>
      <w:r w:rsidRPr="00B17F9F">
        <w:t>AASB112.39</w:t>
      </w:r>
      <w:proofErr w:type="gramStart"/>
      <w:r w:rsidRPr="00B17F9F">
        <w:t>,44</w:t>
      </w:r>
      <w:proofErr w:type="gramEnd"/>
    </w:p>
    <w:p w14:paraId="146AABED" w14:textId="77777777" w:rsidR="00B17F9F" w:rsidRPr="00B17F9F" w:rsidRDefault="00B17F9F" w:rsidP="00D61C84">
      <w:r w:rsidRPr="00B17F9F">
        <w:t>Deferred tax liabilities and assets are not recognised for temporary differences between the carrying amount and tax bases of investments in controlled entities where the parent entity is able to control the timing of the reversal of the temporary differences and it is probable that the differences will not reverse in the foreseeable future.</w:t>
      </w:r>
    </w:p>
    <w:p w14:paraId="107BF14E" w14:textId="77777777" w:rsidR="00B17F9F" w:rsidRPr="00B17F9F" w:rsidRDefault="00B17F9F" w:rsidP="008934F0">
      <w:pPr>
        <w:pStyle w:val="Heading5"/>
      </w:pPr>
      <w:r w:rsidRPr="00B17F9F">
        <w:t>AASB112.71</w:t>
      </w:r>
      <w:proofErr w:type="gramStart"/>
      <w:r w:rsidRPr="00B17F9F">
        <w:t>,74</w:t>
      </w:r>
      <w:proofErr w:type="gramEnd"/>
    </w:p>
    <w:p w14:paraId="5419802C" w14:textId="77777777" w:rsidR="00B17F9F" w:rsidRPr="00B17F9F" w:rsidRDefault="00B17F9F" w:rsidP="00D61C84">
      <w:r w:rsidRPr="00B17F9F">
        <w:t>Current and deferred tax assets and liabilities relating to the same taxation authority are offset when there is a legally enforceable right to offset current tax assets and liabilities and they are intended to be either settled on a net basis, or the asset is to be realised and the liability settled simultaneously.</w:t>
      </w:r>
    </w:p>
    <w:p w14:paraId="12DBFAAC" w14:textId="77777777" w:rsidR="00B17F9F" w:rsidRPr="00B17F9F" w:rsidRDefault="00B17F9F" w:rsidP="008934F0">
      <w:pPr>
        <w:pStyle w:val="Heading5"/>
      </w:pPr>
      <w:r w:rsidRPr="00B17F9F">
        <w:t>AASB112.61</w:t>
      </w:r>
    </w:p>
    <w:p w14:paraId="1C2C5B53" w14:textId="77777777" w:rsidR="00B17F9F" w:rsidRPr="00B17F9F" w:rsidRDefault="00B17F9F" w:rsidP="00D61C84">
      <w:r w:rsidRPr="00B17F9F">
        <w:t>Current and deferred tax balances attributable to amounts recognised outside profit or loss are also recognised outside profit or loss.</w:t>
      </w:r>
    </w:p>
    <w:p w14:paraId="4B9AC341" w14:textId="77777777" w:rsidR="00B17F9F" w:rsidRPr="00B17F9F" w:rsidRDefault="00B17F9F" w:rsidP="00AB24D3">
      <w:pPr>
        <w:pStyle w:val="Heading4"/>
      </w:pPr>
      <w:r w:rsidRPr="00B17F9F">
        <w:t>Tax consolidation legislation</w:t>
      </w:r>
    </w:p>
    <w:p w14:paraId="66909CD2" w14:textId="77777777" w:rsidR="00B17F9F" w:rsidRPr="00B17F9F" w:rsidRDefault="00B17F9F" w:rsidP="00D61C84">
      <w:r w:rsidRPr="00B17F9F">
        <w:t>[Describe if applicable]</w:t>
      </w:r>
    </w:p>
    <w:p w14:paraId="4A2BFB26" w14:textId="7AE5A662" w:rsidR="00B17F9F" w:rsidRPr="00B17F9F" w:rsidRDefault="00B17F9F" w:rsidP="00D61C84">
      <w:pPr>
        <w:pStyle w:val="Heading3"/>
      </w:pPr>
      <w:r w:rsidRPr="00B17F9F">
        <w:lastRenderedPageBreak/>
        <w:t>(f) Leases</w:t>
      </w:r>
    </w:p>
    <w:p w14:paraId="144EBADF" w14:textId="77777777" w:rsidR="00B17F9F" w:rsidRPr="00B17F9F" w:rsidRDefault="00B17F9F" w:rsidP="008934F0">
      <w:pPr>
        <w:pStyle w:val="Heading5"/>
      </w:pPr>
      <w:r w:rsidRPr="00B17F9F">
        <w:t>AASB117.20</w:t>
      </w:r>
      <w:proofErr w:type="gramStart"/>
      <w:r w:rsidRPr="00B17F9F">
        <w:t>,25</w:t>
      </w:r>
      <w:proofErr w:type="gramEnd"/>
    </w:p>
    <w:p w14:paraId="2B63BD3A" w14:textId="77777777" w:rsidR="00B17F9F" w:rsidRPr="00B17F9F" w:rsidRDefault="00B17F9F" w:rsidP="00D61C84">
      <w:proofErr w:type="gramStart"/>
      <w:r w:rsidRPr="00B17F9F">
        <w:t>Leases of property, plant and equipment where the Group, as lessee, has substantially all the risks and rewards of ownership are classified as finance leases.</w:t>
      </w:r>
      <w:proofErr w:type="gramEnd"/>
      <w:r w:rsidRPr="00B17F9F">
        <w:t xml:space="preserve"> Finance leases are capitalised at the lease’s inception at the lower of the fair value of the leased property and the present value of the minimum lease payments. The corresponding rental obligations, net of finance charges, are included in other short-term and long-term payables. Each lease payment is allocated between the liability and finance cost. The finance cost is charged to the income statement over the lease period so as to produce a constant periodic rate of interest on the remaining balance of the liability for each period. The property, plant and equipment acquired under finance leases are depreciated over the shorter of the asset’s useful life and the lease term.</w:t>
      </w:r>
    </w:p>
    <w:p w14:paraId="15A8B47B" w14:textId="1DE77AA7" w:rsidR="00B17F9F" w:rsidRPr="00B17F9F" w:rsidRDefault="00B17F9F" w:rsidP="008934F0">
      <w:pPr>
        <w:pStyle w:val="Heading5"/>
      </w:pPr>
      <w:r w:rsidRPr="00B17F9F">
        <w:t>AASB117.33</w:t>
      </w:r>
      <w:r w:rsidR="003D126A">
        <w:br/>
      </w:r>
      <w:r w:rsidRPr="00B17F9F">
        <w:t>UIG115.5</w:t>
      </w:r>
    </w:p>
    <w:p w14:paraId="042092D4" w14:textId="77777777" w:rsidR="00B17F9F" w:rsidRPr="00B17F9F" w:rsidRDefault="00B17F9F" w:rsidP="00D61C84">
      <w:r w:rsidRPr="00B17F9F">
        <w:t>Leases in which a significant portion of the risks and rewards of ownership are retained by the lessor are classified as operating leases (note 41). Payments made under operating leases (net of any incentives received from the lessor) are charged to the income statement on a straight-line basis, over the period of the lease.</w:t>
      </w:r>
    </w:p>
    <w:p w14:paraId="0CA5A093" w14:textId="572D04EC" w:rsidR="00B17F9F" w:rsidRPr="00B17F9F" w:rsidRDefault="00B17F9F" w:rsidP="00D61C84">
      <w:pPr>
        <w:pStyle w:val="Heading3"/>
      </w:pPr>
      <w:r w:rsidRPr="00B17F9F">
        <w:t>(g) Business combinations</w:t>
      </w:r>
    </w:p>
    <w:p w14:paraId="36E9E4F0" w14:textId="429BDCF6" w:rsidR="00B17F9F" w:rsidRPr="00B17F9F" w:rsidRDefault="00B17F9F" w:rsidP="008934F0">
      <w:pPr>
        <w:pStyle w:val="Heading5"/>
      </w:pPr>
      <w:r w:rsidRPr="00B17F9F">
        <w:t>AASB3.4</w:t>
      </w:r>
      <w:proofErr w:type="gramStart"/>
      <w:r w:rsidRPr="00B17F9F">
        <w:t>,5,10,19,53</w:t>
      </w:r>
      <w:proofErr w:type="gramEnd"/>
      <w:r w:rsidR="00F75AAC">
        <w:br/>
      </w:r>
      <w:r w:rsidRPr="00B17F9F">
        <w:t>AASB138.36</w:t>
      </w:r>
    </w:p>
    <w:p w14:paraId="4600930B" w14:textId="77777777" w:rsidR="00B17F9F" w:rsidRPr="00B17F9F" w:rsidRDefault="00B17F9F" w:rsidP="00D61C84">
      <w:r w:rsidRPr="00B17F9F">
        <w:t>The acquisition method shall be applied to account for each business combination; this does not include a combination of entities or businesses under common control, the formation of a joint venture, or the acquisition of an asset or a group of assets. The acquisition method requires identification of the acquirer, determining the acquisition date and recognising and measuring the identifiable assets acquired, liabilities assumed, any goodwill or gain from a bargain purchase and any non-controlling interest in the acquiree that are present ownership interests and entitle their holders to a proportionate share of the entity’s net assets in the event of liquidation. Identifiable assets acquired, liabilities assumed and any non-controlling interest in the acquiree shall be recognised separately from goodwill as of the acquisition date. Intangible assets acquired in a business combination are recognised separately from goodwill if they are separable, but only together with a related contract, identifiable asset or liability. Acquisition related costs are expensed in the periods in which they are incurred with the exception of costs to issue debt or equity securities, which are recognised in accordance with AASB132 and AASB139.</w:t>
      </w:r>
    </w:p>
    <w:p w14:paraId="7657BC12" w14:textId="77777777" w:rsidR="00B17F9F" w:rsidRPr="00B17F9F" w:rsidRDefault="00B17F9F" w:rsidP="008934F0">
      <w:pPr>
        <w:pStyle w:val="Heading5"/>
      </w:pPr>
      <w:r w:rsidRPr="00B17F9F">
        <w:t>AASB3.10</w:t>
      </w:r>
      <w:proofErr w:type="gramStart"/>
      <w:r w:rsidRPr="00B17F9F">
        <w:t>,18,19,23,32,33,36</w:t>
      </w:r>
      <w:proofErr w:type="gramEnd"/>
    </w:p>
    <w:p w14:paraId="1ED6F1DB" w14:textId="77777777" w:rsidR="00B17F9F" w:rsidRPr="00B17F9F" w:rsidRDefault="00B17F9F" w:rsidP="00D61C84">
      <w:r w:rsidRPr="00B17F9F">
        <w:t>Identifiable assets acquired and liabilities and contingent liabilities assumed in a business combination are measured initially at their fair values at the acquisition date. Measurement of any non-controlling interest in the acquiree is at fair value or the present ownership instruments’ proportionate share in the recognised amounts of the acquiree’s identifiable net assets. All other components of non-controlling interests shall be measured at their acquisition-date fair values, unless another measurement basis is required by Australian Accounting Standards. Contingent liabilities assumed are recognised as part of the acquisition if there is a present obligation arising from past events and the fair value can be reliably measured. The excess at the acquisition date of the aggregate of the consideration transferred, the amount of any non-controlling interest and any previously held equity interest in the acquiree, over the net amounts of identifiable assets acquired and liabilities assumed is recognised as goodwill (refer to note 1(q)). If the cost of acquisition is less than the fair value of the identifiable net assets of the subsidiary acquired, the difference is recognised directly in the income statement of the acquirer, but only after a reassessment of the identification and measurement of the net assets acquired.</w:t>
      </w:r>
    </w:p>
    <w:p w14:paraId="7CFF2C53" w14:textId="77777777" w:rsidR="00B17F9F" w:rsidRPr="00B17F9F" w:rsidRDefault="00B17F9F" w:rsidP="008934F0">
      <w:pPr>
        <w:pStyle w:val="Heading5"/>
      </w:pPr>
      <w:r w:rsidRPr="00B17F9F">
        <w:lastRenderedPageBreak/>
        <w:t>AASB3.37</w:t>
      </w:r>
      <w:proofErr w:type="gramStart"/>
      <w:r w:rsidRPr="00B17F9F">
        <w:t>,41,42</w:t>
      </w:r>
      <w:proofErr w:type="gramEnd"/>
    </w:p>
    <w:p w14:paraId="645456A0" w14:textId="77777777" w:rsidR="00B17F9F" w:rsidRPr="00B17F9F" w:rsidRDefault="00B17F9F" w:rsidP="00D61C84">
      <w:r w:rsidRPr="00B17F9F">
        <w:t xml:space="preserve">Consideration transferred in a business combination shall be measured at fair value. Where the business combination is achieved in stages, the acquirer shall remeasure previously held equity interest in the acquiree at its acquisition date fair value and recognise the resulting gain or loss in profit or loss. </w:t>
      </w:r>
    </w:p>
    <w:p w14:paraId="42D1B92F" w14:textId="77777777" w:rsidR="00B17F9F" w:rsidRPr="00B17F9F" w:rsidRDefault="00B17F9F" w:rsidP="00D61C84">
      <w:pPr>
        <w:pStyle w:val="Heading3"/>
      </w:pPr>
      <w:r w:rsidRPr="00B17F9F">
        <w:t>(h)</w:t>
      </w:r>
      <w:r w:rsidRPr="00B17F9F">
        <w:tab/>
        <w:t>Impairment of assets</w:t>
      </w:r>
    </w:p>
    <w:p w14:paraId="02BA25C2" w14:textId="77777777" w:rsidR="00B17F9F" w:rsidRPr="00B17F9F" w:rsidRDefault="00B17F9F" w:rsidP="008934F0">
      <w:pPr>
        <w:pStyle w:val="Heading5"/>
      </w:pPr>
      <w:r w:rsidRPr="00B17F9F">
        <w:t>AASB136.9</w:t>
      </w:r>
      <w:proofErr w:type="gramStart"/>
      <w:r w:rsidRPr="00B17F9F">
        <w:t>,10,58,65</w:t>
      </w:r>
      <w:proofErr w:type="gramEnd"/>
    </w:p>
    <w:p w14:paraId="56200254" w14:textId="77777777" w:rsidR="00B17F9F" w:rsidRPr="00B17F9F" w:rsidRDefault="00B17F9F" w:rsidP="00D61C84">
      <w:r w:rsidRPr="00B17F9F">
        <w:t xml:space="preserve">Goodwill and intangible assets that have an indefinite useful life are not subject to amortisation and are tested annually for </w:t>
      </w:r>
      <w:proofErr w:type="gramStart"/>
      <w:r w:rsidRPr="00B17F9F">
        <w:t>impairment,</w:t>
      </w:r>
      <w:proofErr w:type="gramEnd"/>
      <w:r w:rsidRPr="00B17F9F">
        <w:t xml:space="preserve"> or more frequently if events or changes in circumstances indicate that they might be impaired. Other assets are reviewed for impairment whenever events or changes in circumstances indicate that the carrying amount may not be recoverable. An impairment loss is recognised for the amount by which the asset’s carrying amount exceeds its recoverable amount. The recoverable amount is the higher of an asset’s fair value less costs of disposal and value in use. For the purposes of assessing impairment, assets are grouped at the lowest levels for which there are separately identifiable cash flows which are largely independent of the cash inflows from other assets or groups of assets (cash generating units). Non-financial assets other than goodwill that suffered impairment are reviewed for possible reversal of the impairment at each reporting date.</w:t>
      </w:r>
    </w:p>
    <w:p w14:paraId="7EF276D2" w14:textId="77777777" w:rsidR="00B17F9F" w:rsidRPr="00B17F9F" w:rsidRDefault="00B17F9F" w:rsidP="00D61C84">
      <w:pPr>
        <w:pStyle w:val="Heading3"/>
      </w:pPr>
      <w:r w:rsidRPr="00B17F9F">
        <w:t>(i)</w:t>
      </w:r>
      <w:r w:rsidRPr="00B17F9F">
        <w:tab/>
        <w:t>Cash and cash equivalents</w:t>
      </w:r>
    </w:p>
    <w:p w14:paraId="36C5639B" w14:textId="77777777" w:rsidR="00B17F9F" w:rsidRPr="00B17F9F" w:rsidRDefault="00B17F9F" w:rsidP="008934F0">
      <w:pPr>
        <w:pStyle w:val="Heading5"/>
      </w:pPr>
      <w:r w:rsidRPr="00B17F9F">
        <w:t>AASB107.6</w:t>
      </w:r>
      <w:proofErr w:type="gramStart"/>
      <w:r w:rsidRPr="00B17F9F">
        <w:t>,8,46</w:t>
      </w:r>
      <w:proofErr w:type="gramEnd"/>
    </w:p>
    <w:p w14:paraId="4D8B11BE" w14:textId="77777777" w:rsidR="00B17F9F" w:rsidRPr="00B17F9F" w:rsidRDefault="00B17F9F" w:rsidP="00D61C84">
      <w:r w:rsidRPr="00B17F9F">
        <w:t>For statement of cash flows presentation purposes, 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and bank overdrafts. Bank overdrafts are shown within borrowings in current liabilities on the statement of financial position.</w:t>
      </w:r>
    </w:p>
    <w:p w14:paraId="5FC34C58" w14:textId="586AF414" w:rsidR="00B17F9F" w:rsidRPr="00B17F9F" w:rsidRDefault="00B17F9F" w:rsidP="00D61C84">
      <w:pPr>
        <w:pStyle w:val="Heading3"/>
      </w:pPr>
      <w:r w:rsidRPr="00B17F9F">
        <w:t>(j)</w:t>
      </w:r>
      <w:r w:rsidRPr="00B17F9F">
        <w:tab/>
        <w:t>Trade receivables</w:t>
      </w:r>
    </w:p>
    <w:p w14:paraId="698E4CA3" w14:textId="37D5CA1A" w:rsidR="00B17F9F" w:rsidRPr="00B17F9F" w:rsidRDefault="00B17F9F" w:rsidP="008934F0">
      <w:pPr>
        <w:pStyle w:val="Heading5"/>
      </w:pPr>
      <w:r w:rsidRPr="00B17F9F">
        <w:t>AASB7.21</w:t>
      </w:r>
      <w:r w:rsidR="00F75AAC">
        <w:br/>
      </w:r>
      <w:r w:rsidRPr="00B17F9F">
        <w:t>AASB139.46a</w:t>
      </w:r>
    </w:p>
    <w:p w14:paraId="131F0154" w14:textId="77777777" w:rsidR="00B17F9F" w:rsidRPr="00B17F9F" w:rsidRDefault="00B17F9F" w:rsidP="00D61C84">
      <w:r w:rsidRPr="00B17F9F">
        <w:t>Trade receivables are recognised initially at fair value and subsequently measured at amortised cost using the effective interest method, less provision for impairment. Trade receivables are due for settlement no more than 120 days from the date of recognition for land development and resale debtors, and no more than 30 days for other debtors.</w:t>
      </w:r>
    </w:p>
    <w:p w14:paraId="58232CCA" w14:textId="77777777" w:rsidR="00B17F9F" w:rsidRPr="00B17F9F" w:rsidRDefault="00B17F9F" w:rsidP="008934F0">
      <w:pPr>
        <w:pStyle w:val="Heading5"/>
      </w:pPr>
      <w:r w:rsidRPr="00B17F9F">
        <w:t>AASB139.59</w:t>
      </w:r>
    </w:p>
    <w:p w14:paraId="587A3033" w14:textId="77777777" w:rsidR="00B17F9F" w:rsidRPr="00B17F9F" w:rsidRDefault="00B17F9F" w:rsidP="00D61C84">
      <w:r w:rsidRPr="00B17F9F">
        <w:t>Collectability of trade receivables is reviewed on an ongoing basis. Debts which are known to be uncollectible are written off. A provision for impairment of receivables is established when there is objective evidence that the Group will not be able to collect all amounts due according to the original terms of receivables. Significant financial difficulties of the debtor, probability that the debtor will enter bankruptcy or financial reorganisation, and default or delinquency in payments (more than 30 days overdue) are considered indicators that the trade receivable is impaired. The amount of the provision is the difference between the asset’s carrying amount and the present value of estimated future cash flows, discounted at the effective interest rate. Cash flows relating to short-term receivable are not discounted if the effect of discounting is immaterial. The amount of the provision is recognised in the income statement.</w:t>
      </w:r>
    </w:p>
    <w:p w14:paraId="1884068E" w14:textId="77777777" w:rsidR="00B17F9F" w:rsidRPr="00B17F9F" w:rsidRDefault="00B17F9F" w:rsidP="00D61C84">
      <w:pPr>
        <w:pStyle w:val="Heading3"/>
      </w:pPr>
      <w:r w:rsidRPr="00B17F9F">
        <w:t>(k)</w:t>
      </w:r>
      <w:r w:rsidRPr="00B17F9F">
        <w:tab/>
        <w:t>Inventories</w:t>
      </w:r>
    </w:p>
    <w:p w14:paraId="352D2C10" w14:textId="77777777" w:rsidR="00B17F9F" w:rsidRPr="00B17F9F" w:rsidRDefault="00B17F9F" w:rsidP="00AB24D3">
      <w:pPr>
        <w:pStyle w:val="Heading4"/>
      </w:pPr>
      <w:r w:rsidRPr="00B17F9F">
        <w:t>(i) Raw materials and stores, work in progress and finished goods</w:t>
      </w:r>
    </w:p>
    <w:p w14:paraId="2100228E" w14:textId="1FB72123" w:rsidR="00B17F9F" w:rsidRPr="00B17F9F" w:rsidRDefault="00B17F9F" w:rsidP="00D61C84">
      <w:pPr>
        <w:pStyle w:val="Heading5"/>
      </w:pPr>
      <w:r w:rsidRPr="00B17F9F">
        <w:t>AASB102.9</w:t>
      </w:r>
      <w:proofErr w:type="gramStart"/>
      <w:r w:rsidRPr="00B17F9F">
        <w:t>,10,25</w:t>
      </w:r>
      <w:proofErr w:type="gramEnd"/>
      <w:r w:rsidRPr="00B17F9F">
        <w:t>, 36a</w:t>
      </w:r>
    </w:p>
    <w:p w14:paraId="1D3A52AB" w14:textId="77777777" w:rsidR="00B17F9F" w:rsidRPr="00B17F9F" w:rsidRDefault="00B17F9F" w:rsidP="00D61C84">
      <w:r w:rsidRPr="00B17F9F">
        <w:t xml:space="preserve">Raw materials and stores, work in progress and finished goods are stated at the lower of cost and net realisable value. Cost comprises direct materials, direct labour and an appropriate proportion of variable and fixed overhead expenditure, the latter being allocated on the basis of normal operating capacity. Costs are </w:t>
      </w:r>
      <w:r w:rsidRPr="00B17F9F">
        <w:lastRenderedPageBreak/>
        <w:t>assigned to individual items of inventory on the basis of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4B1244F4" w14:textId="77777777" w:rsidR="00B17F9F" w:rsidRPr="00B17F9F" w:rsidRDefault="00B17F9F" w:rsidP="00AB24D3">
      <w:pPr>
        <w:pStyle w:val="Heading4"/>
      </w:pPr>
      <w:r w:rsidRPr="00B17F9F">
        <w:t>(ii) Inventories held for distribution</w:t>
      </w:r>
    </w:p>
    <w:p w14:paraId="16EC17E4" w14:textId="77777777" w:rsidR="00B17F9F" w:rsidRPr="00B17F9F" w:rsidRDefault="00B17F9F" w:rsidP="00D61C84">
      <w:pPr>
        <w:pStyle w:val="Heading5"/>
      </w:pPr>
      <w:r w:rsidRPr="00B17F9F">
        <w:t>AASB102.Aus8.1, Aus8.2</w:t>
      </w:r>
    </w:p>
    <w:p w14:paraId="19894012" w14:textId="1954EC80" w:rsidR="00AE4392" w:rsidRDefault="00B17F9F" w:rsidP="008934F0">
      <w:pPr>
        <w:rPr>
          <w:b/>
          <w:bCs/>
          <w:sz w:val="28"/>
          <w:szCs w:val="28"/>
        </w:rPr>
      </w:pPr>
      <w:r w:rsidRPr="00B17F9F">
        <w:t>[HEP] holds inventories for distribution in the future for no or nominal consideration. The future economic benefit or service potential of the inventory is reflected by the amount [HEP] would need to pay to acquire the economic benefit or service potential if it were necessary to achieve [HEP]’s objectives. Where the economic benefit or service potential cannot be acquired in a market, the replacement cost is estimated. If the purpose of the inventory changes it will be measured as per (i) above.</w:t>
      </w:r>
    </w:p>
    <w:p w14:paraId="7A0FEB00" w14:textId="0B88C8BA" w:rsidR="00B17F9F" w:rsidRPr="00B17F9F" w:rsidRDefault="00B17F9F" w:rsidP="00AB24D3">
      <w:pPr>
        <w:pStyle w:val="Heading4"/>
      </w:pPr>
      <w:r w:rsidRPr="00B17F9F">
        <w:t>(iii) Construction work in progress</w:t>
      </w:r>
    </w:p>
    <w:p w14:paraId="4FB74BDF" w14:textId="77777777" w:rsidR="00B17F9F" w:rsidRPr="00B17F9F" w:rsidRDefault="00B17F9F" w:rsidP="00D61C84">
      <w:pPr>
        <w:pStyle w:val="Heading5"/>
      </w:pPr>
      <w:r w:rsidRPr="00B17F9F">
        <w:t>AASB111.43</w:t>
      </w:r>
      <w:proofErr w:type="gramStart"/>
      <w:r w:rsidRPr="00B17F9F">
        <w:t>,44</w:t>
      </w:r>
      <w:proofErr w:type="gramEnd"/>
    </w:p>
    <w:p w14:paraId="45E68101" w14:textId="77777777" w:rsidR="00B17F9F" w:rsidRPr="00B17F9F" w:rsidRDefault="00B17F9F" w:rsidP="00D61C84">
      <w:r w:rsidRPr="00B17F9F">
        <w:t>Construction work in progress is stated at the aggregate of contract costs incurred to date plus recognised profits less recognised losses and progress billings. If there are contracts where progress billings exceed the aggregate costs incurred plus profits less losses, the net amounts are presented under other liabilities.</w:t>
      </w:r>
    </w:p>
    <w:p w14:paraId="320A3727" w14:textId="77777777" w:rsidR="00B17F9F" w:rsidRPr="00B17F9F" w:rsidRDefault="00B17F9F" w:rsidP="00D61C84">
      <w:pPr>
        <w:pStyle w:val="Heading5"/>
      </w:pPr>
      <w:r w:rsidRPr="00B17F9F">
        <w:t>AASB111.16</w:t>
      </w:r>
    </w:p>
    <w:p w14:paraId="4CF2B1A7" w14:textId="77777777" w:rsidR="00B17F9F" w:rsidRPr="00B17F9F" w:rsidRDefault="00B17F9F" w:rsidP="00D61C84">
      <w:r w:rsidRPr="00B17F9F">
        <w:t>Contract costs include all costs directly related to specific contracts, costs that are specifically chargeable to the customer under the terms of the contract and costs that are attributable to contract activity in general and can be allocated to the contract.</w:t>
      </w:r>
    </w:p>
    <w:p w14:paraId="02438436" w14:textId="77777777" w:rsidR="00B17F9F" w:rsidRPr="00B17F9F" w:rsidRDefault="00B17F9F" w:rsidP="004F3ED9">
      <w:pPr>
        <w:pStyle w:val="Heading3"/>
      </w:pPr>
      <w:r w:rsidRPr="00B17F9F">
        <w:t xml:space="preserve">(l) </w:t>
      </w:r>
      <w:r w:rsidRPr="00B17F9F">
        <w:tab/>
        <w:t>Non-current assets (or disposal groups) held for sale and discontinued operations</w:t>
      </w:r>
    </w:p>
    <w:p w14:paraId="7333CC21" w14:textId="77777777" w:rsidR="00B17F9F" w:rsidRPr="00B17F9F" w:rsidRDefault="00B17F9F" w:rsidP="00D61C84">
      <w:pPr>
        <w:pStyle w:val="Heading5"/>
      </w:pPr>
      <w:r w:rsidRPr="00B17F9F">
        <w:t>AASB5.6</w:t>
      </w:r>
      <w:proofErr w:type="gramStart"/>
      <w:r w:rsidRPr="00B17F9F">
        <w:t>,15</w:t>
      </w:r>
      <w:proofErr w:type="gramEnd"/>
    </w:p>
    <w:p w14:paraId="252AF6E4" w14:textId="77777777" w:rsidR="00B17F9F" w:rsidRPr="00B17F9F" w:rsidRDefault="00B17F9F" w:rsidP="00D61C84">
      <w:r w:rsidRPr="00B17F9F">
        <w:t>Non-current assets (or disposal groups) are classified as held for sale and stated at the lower of their carrying amount and fair value less costs of disposal if their carrying amount will be recovered principally through a sale transaction rather than through continuing use.</w:t>
      </w:r>
    </w:p>
    <w:p w14:paraId="7FF2EE09" w14:textId="77777777" w:rsidR="00B17F9F" w:rsidRPr="00B17F9F" w:rsidRDefault="00B17F9F" w:rsidP="00D61C84">
      <w:pPr>
        <w:pStyle w:val="Heading5"/>
      </w:pPr>
      <w:r w:rsidRPr="00B17F9F">
        <w:t>AASB5.20</w:t>
      </w:r>
      <w:r w:rsidRPr="00B17F9F">
        <w:noBreakHyphen/>
        <w:t>22</w:t>
      </w:r>
    </w:p>
    <w:p w14:paraId="25A2D5FE" w14:textId="77777777" w:rsidR="00B17F9F" w:rsidRPr="00B17F9F" w:rsidRDefault="00B17F9F" w:rsidP="00D61C84">
      <w:r w:rsidRPr="00B17F9F">
        <w:t>An impairment loss is recognised for any initial or subsequent write down of the asset (or disposal group) to fair value less costs to sell. A gain is recognised for any subsequent increases in fair value less costs to sell of an asset (or disposal group), but not in excess of any cumulative impairment loss previously recognised. A gain or loss not previously recognised by the date of the sale of the non</w:t>
      </w:r>
      <w:r w:rsidRPr="00B17F9F">
        <w:noBreakHyphen/>
        <w:t>current asset (or disposal group) is recognised at the date of derecognition.</w:t>
      </w:r>
    </w:p>
    <w:p w14:paraId="101C129B" w14:textId="77777777" w:rsidR="00B17F9F" w:rsidRPr="00B17F9F" w:rsidRDefault="00B17F9F" w:rsidP="00D61C84">
      <w:pPr>
        <w:pStyle w:val="Heading5"/>
      </w:pPr>
      <w:r w:rsidRPr="00B17F9F">
        <w:t>AASB5.25</w:t>
      </w:r>
    </w:p>
    <w:p w14:paraId="20029096" w14:textId="77777777" w:rsidR="00B17F9F" w:rsidRPr="00B17F9F" w:rsidRDefault="00B17F9F" w:rsidP="00D61C84">
      <w:r w:rsidRPr="00B17F9F">
        <w:t>Non-current assets (including those that are part of a disposal group) are not depreciated or amortised while they are classified as held for sale. Interest and other expenses attributable to the liabilities of a disposal group classified as held for sale continue to be recognised.</w:t>
      </w:r>
    </w:p>
    <w:p w14:paraId="4E254DA4" w14:textId="77777777" w:rsidR="00B17F9F" w:rsidRPr="00B17F9F" w:rsidRDefault="00B17F9F" w:rsidP="00D61C84">
      <w:pPr>
        <w:pStyle w:val="Heading5"/>
      </w:pPr>
      <w:r w:rsidRPr="00B17F9F">
        <w:t>AASB5.38</w:t>
      </w:r>
    </w:p>
    <w:p w14:paraId="08206FF0" w14:textId="77777777" w:rsidR="00B17F9F" w:rsidRPr="00B17F9F" w:rsidRDefault="00B17F9F" w:rsidP="00D61C84">
      <w:r w:rsidRPr="00B17F9F">
        <w:t>Non-current assets classified as held for sale and the assets of a disposal group classified as held for sale are presented separately from the other assets in the statement of financial position. The liabilities of a disposal group classified as held for sale are presented separately from other liabilities in the statement of financial position.</w:t>
      </w:r>
    </w:p>
    <w:p w14:paraId="70860839" w14:textId="5B54499E" w:rsidR="00B17F9F" w:rsidRPr="00B17F9F" w:rsidRDefault="00B17F9F" w:rsidP="00D61C84">
      <w:pPr>
        <w:pStyle w:val="Heading3"/>
      </w:pPr>
      <w:r w:rsidRPr="00B17F9F">
        <w:lastRenderedPageBreak/>
        <w:t>(m)</w:t>
      </w:r>
      <w:r w:rsidRPr="00B17F9F">
        <w:tab/>
        <w:t>Investments and other financial assets (</w:t>
      </w:r>
      <w:r w:rsidRPr="00B17F9F">
        <w:rPr>
          <w:color w:val="FF0000"/>
        </w:rPr>
        <w:t>see Appendix 1 if early adopting AASB9</w:t>
      </w:r>
      <w:r w:rsidRPr="00B17F9F">
        <w:t>)</w:t>
      </w:r>
    </w:p>
    <w:p w14:paraId="69780841" w14:textId="77777777" w:rsidR="00B17F9F" w:rsidRPr="00B17F9F" w:rsidRDefault="00B17F9F" w:rsidP="00AB24D3">
      <w:pPr>
        <w:pStyle w:val="Heading4"/>
      </w:pPr>
      <w:r w:rsidRPr="00B17F9F">
        <w:t>Classification</w:t>
      </w:r>
    </w:p>
    <w:p w14:paraId="4478545F" w14:textId="77777777" w:rsidR="00F75AAC" w:rsidRPr="00F75AAC" w:rsidRDefault="00F75AAC" w:rsidP="008934F0">
      <w:pPr>
        <w:pStyle w:val="Heading5"/>
        <w:spacing w:after="0"/>
      </w:pPr>
      <w:r w:rsidRPr="00F75AAC">
        <w:t>AASB7.21</w:t>
      </w:r>
    </w:p>
    <w:p w14:paraId="3CE19675" w14:textId="77777777" w:rsidR="00B17F9F" w:rsidRPr="00B17F9F" w:rsidRDefault="00B17F9F" w:rsidP="008934F0">
      <w:pPr>
        <w:pStyle w:val="Heading5"/>
        <w:spacing w:before="0"/>
      </w:pPr>
      <w:r w:rsidRPr="00B17F9F">
        <w:t>AASB139.45</w:t>
      </w:r>
    </w:p>
    <w:p w14:paraId="3555CF1C" w14:textId="77777777" w:rsidR="00B17F9F" w:rsidRPr="00B17F9F" w:rsidRDefault="00B17F9F" w:rsidP="00D61C84">
      <w:r w:rsidRPr="00B17F9F">
        <w:t>The Group classifies its investments in the following categories: financial assets at fair value through profit or loss, loans and receivables, held-to-maturity investments, and available-for-sale financial assets. The classification depends on the purpose for which the investments were acquired. Management determines the classification of its investments at initial recognition and, in the case of assets classified as held-to-maturity, re-evaluates this designation at each reporting date.</w:t>
      </w:r>
    </w:p>
    <w:p w14:paraId="3B325FAC" w14:textId="77777777" w:rsidR="00B17F9F" w:rsidRPr="00B17F9F" w:rsidRDefault="00B17F9F" w:rsidP="00D61C84">
      <w:pPr>
        <w:pStyle w:val="Heading5"/>
      </w:pPr>
      <w:r w:rsidRPr="00B17F9F">
        <w:t>(i) Financial assets at fair value through profit or loss</w:t>
      </w:r>
    </w:p>
    <w:p w14:paraId="168D29FF" w14:textId="77777777" w:rsidR="00B17F9F" w:rsidRPr="004F3ED9" w:rsidRDefault="00B17F9F" w:rsidP="004F3ED9">
      <w:pPr>
        <w:pStyle w:val="Heading6"/>
      </w:pPr>
      <w:r w:rsidRPr="004F3ED9">
        <w:t>AASB139.9</w:t>
      </w:r>
      <w:proofErr w:type="gramStart"/>
      <w:r w:rsidRPr="004F3ED9">
        <w:t>,45</w:t>
      </w:r>
      <w:proofErr w:type="gramEnd"/>
    </w:p>
    <w:p w14:paraId="4090CD51" w14:textId="77777777" w:rsidR="00B17F9F" w:rsidRPr="00B17F9F" w:rsidRDefault="00B17F9F" w:rsidP="00D61C84">
      <w:r w:rsidRPr="00B17F9F">
        <w:t>Financial assets at fair value through profit or loss include financial assets held for trading. A financial asset is classified in this category if it is acquired principally for the purpose of selling in the short term. Derivatives are classified as held for trading unless they are designated as hedges. Assets in this category are classified as current assets.</w:t>
      </w:r>
    </w:p>
    <w:p w14:paraId="24EDDF85" w14:textId="77777777" w:rsidR="00B17F9F" w:rsidRPr="00B17F9F" w:rsidRDefault="00B17F9F" w:rsidP="00D61C84">
      <w:pPr>
        <w:pStyle w:val="Heading5"/>
      </w:pPr>
      <w:r w:rsidRPr="00B17F9F">
        <w:t>(ii) Loans and receivables</w:t>
      </w:r>
    </w:p>
    <w:p w14:paraId="54A4B92C" w14:textId="77777777" w:rsidR="00B17F9F" w:rsidRPr="004F3ED9" w:rsidRDefault="00B17F9F" w:rsidP="004F3ED9">
      <w:pPr>
        <w:pStyle w:val="Heading5"/>
      </w:pPr>
      <w:r w:rsidRPr="004F3ED9">
        <w:t>AASB139.9</w:t>
      </w:r>
    </w:p>
    <w:p w14:paraId="4E60AE3E" w14:textId="77777777" w:rsidR="00B17F9F" w:rsidRPr="00B17F9F" w:rsidRDefault="00B17F9F" w:rsidP="00D61C84">
      <w:r w:rsidRPr="00B17F9F">
        <w:t xml:space="preserve">Loans and receivables are </w:t>
      </w:r>
      <w:proofErr w:type="spellStart"/>
      <w:r w:rsidRPr="00B17F9F">
        <w:t>non derivative</w:t>
      </w:r>
      <w:proofErr w:type="spellEnd"/>
      <w:r w:rsidRPr="00B17F9F">
        <w:t xml:space="preserve"> financial assets with fixed or determinable payments that are not quoted in an active market. They are included in current assets, except for those with maturities greater than 12 months after the end of the reporting period which are classified as non-current assets. Loans and receivables are included in receivables in the statement of financial position.</w:t>
      </w:r>
    </w:p>
    <w:p w14:paraId="1C6EAF91" w14:textId="77777777" w:rsidR="00B17F9F" w:rsidRPr="00B17F9F" w:rsidRDefault="00B17F9F" w:rsidP="00D61C84">
      <w:pPr>
        <w:pStyle w:val="Heading5"/>
      </w:pPr>
      <w:r w:rsidRPr="00B17F9F">
        <w:t>(iii) Held-to-maturity investments</w:t>
      </w:r>
    </w:p>
    <w:p w14:paraId="5D5219F4" w14:textId="77777777" w:rsidR="00B17F9F" w:rsidRPr="004F3ED9" w:rsidRDefault="00B17F9F" w:rsidP="004F3ED9">
      <w:pPr>
        <w:pStyle w:val="Heading5"/>
      </w:pPr>
      <w:r w:rsidRPr="004F3ED9">
        <w:t>AASB139.9</w:t>
      </w:r>
    </w:p>
    <w:p w14:paraId="31BA7C09" w14:textId="77777777" w:rsidR="00B17F9F" w:rsidRPr="00B17F9F" w:rsidRDefault="00B17F9F" w:rsidP="00D61C84">
      <w:r w:rsidRPr="00B17F9F">
        <w:t>Held-to-maturity investments are non-derivative financial assets with fixed or determinable payments and fixed maturities that the Group’s management has the positive intention and ability to hold to maturity.</w:t>
      </w:r>
    </w:p>
    <w:p w14:paraId="46DA2C24" w14:textId="06637C06" w:rsidR="00B17F9F" w:rsidRPr="00B17F9F" w:rsidRDefault="00B17F9F" w:rsidP="00D61C84">
      <w:pPr>
        <w:pStyle w:val="Heading5"/>
      </w:pPr>
      <w:proofErr w:type="gramStart"/>
      <w:r w:rsidRPr="00B17F9F">
        <w:t>(iv) Available-for-sale</w:t>
      </w:r>
      <w:proofErr w:type="gramEnd"/>
      <w:r w:rsidRPr="00B17F9F">
        <w:t xml:space="preserve"> financial assets</w:t>
      </w:r>
    </w:p>
    <w:p w14:paraId="3ADC482E" w14:textId="77777777" w:rsidR="00B17F9F" w:rsidRPr="004F3ED9" w:rsidRDefault="00B17F9F" w:rsidP="004F3ED9">
      <w:pPr>
        <w:pStyle w:val="Heading6"/>
      </w:pPr>
      <w:r w:rsidRPr="004F3ED9">
        <w:t>AASB139.9</w:t>
      </w:r>
    </w:p>
    <w:p w14:paraId="2FC9E427" w14:textId="77777777" w:rsidR="00B17F9F" w:rsidRPr="00B17F9F" w:rsidRDefault="00B17F9F" w:rsidP="00D61C84">
      <w:r w:rsidRPr="00B17F9F">
        <w:t>Available-for-sale financial assets, comprising principally marketable equity securities, are non-derivatives that are either designated in this category or not classified in any of the other categories. They are included in non-current assets unless management intends to dispose of the investment within 12 months of the end of the reporting period.</w:t>
      </w:r>
    </w:p>
    <w:p w14:paraId="5BF436DF" w14:textId="2C56470C" w:rsidR="00B17F9F" w:rsidRPr="004F3ED9" w:rsidRDefault="00B17F9F" w:rsidP="004F3ED9">
      <w:pPr>
        <w:pStyle w:val="Heading5"/>
      </w:pPr>
      <w:r w:rsidRPr="004F3ED9">
        <w:t>AASB139.38</w:t>
      </w:r>
      <w:proofErr w:type="gramStart"/>
      <w:r w:rsidRPr="004F3ED9">
        <w:t>,43</w:t>
      </w:r>
      <w:proofErr w:type="gramEnd"/>
      <w:r w:rsidR="005B375A" w:rsidRPr="004F3ED9">
        <w:br/>
      </w:r>
      <w:r w:rsidRPr="004F3ED9">
        <w:t>AASB7.B5c</w:t>
      </w:r>
    </w:p>
    <w:p w14:paraId="42E9FE6D" w14:textId="77777777" w:rsidR="00B17F9F" w:rsidRPr="00B17F9F" w:rsidRDefault="00B17F9F" w:rsidP="00D61C84">
      <w:r w:rsidRPr="00B17F9F">
        <w:t xml:space="preserve">Regular purchases and sales of financial assets are recognised on trade date - the date on which the Group commits to purchase or sell the asset. Investments are initially recognised at fair value plus transaction costs for all financial assets not carried at fair value through profit or loss. Financial assets carried at fair value through profit or </w:t>
      </w:r>
      <w:proofErr w:type="gramStart"/>
      <w:r w:rsidRPr="00B17F9F">
        <w:t>loss are</w:t>
      </w:r>
      <w:proofErr w:type="gramEnd"/>
      <w:r w:rsidRPr="00B17F9F">
        <w:t xml:space="preserve"> initially recognised at fair value and transaction costs are expensed in the income statement. Financial assets are derecognised when the rights to receive cash flows from the financial assets have expired or have been transferred and the Group has transferred substantially all the risks and rewards of ownership.</w:t>
      </w:r>
    </w:p>
    <w:p w14:paraId="4D5A447A" w14:textId="77777777" w:rsidR="00B17F9F" w:rsidRPr="004F3ED9" w:rsidRDefault="00B17F9F" w:rsidP="004F3ED9">
      <w:pPr>
        <w:pStyle w:val="Heading5"/>
      </w:pPr>
      <w:r w:rsidRPr="004F3ED9">
        <w:t>AASB139.46</w:t>
      </w:r>
      <w:proofErr w:type="gramStart"/>
      <w:r w:rsidRPr="004F3ED9">
        <w:t>,55a,b</w:t>
      </w:r>
      <w:proofErr w:type="gramEnd"/>
    </w:p>
    <w:p w14:paraId="1B01D078" w14:textId="77777777" w:rsidR="00B17F9F" w:rsidRPr="00B17F9F" w:rsidRDefault="00B17F9F" w:rsidP="00D61C84">
      <w:r w:rsidRPr="00B17F9F">
        <w:t>When securities classified as available-for-sale are sold, the accumulated fair value adjustments recognised in other comprehensive income are included in the income statement as gains and losses from investment securities.</w:t>
      </w:r>
    </w:p>
    <w:p w14:paraId="23DEB521" w14:textId="77777777" w:rsidR="00B17F9F" w:rsidRPr="00B17F9F" w:rsidRDefault="00B17F9F" w:rsidP="00AB24D3">
      <w:pPr>
        <w:pStyle w:val="Heading4"/>
      </w:pPr>
      <w:r w:rsidRPr="00B17F9F">
        <w:lastRenderedPageBreak/>
        <w:t xml:space="preserve">Subsequent measurement </w:t>
      </w:r>
    </w:p>
    <w:p w14:paraId="31D77813" w14:textId="77777777" w:rsidR="00B17F9F" w:rsidRPr="00B17F9F" w:rsidRDefault="00B17F9F" w:rsidP="00D61C84">
      <w:pPr>
        <w:pStyle w:val="Heading5"/>
      </w:pPr>
      <w:r w:rsidRPr="00B17F9F">
        <w:t>AASB139.46</w:t>
      </w:r>
      <w:proofErr w:type="gramStart"/>
      <w:r w:rsidRPr="00B17F9F">
        <w:t>,47</w:t>
      </w:r>
      <w:proofErr w:type="gramEnd"/>
    </w:p>
    <w:p w14:paraId="32263683" w14:textId="77777777" w:rsidR="00B17F9F" w:rsidRPr="00B17F9F" w:rsidRDefault="00B17F9F" w:rsidP="00D61C84">
      <w:r w:rsidRPr="00B17F9F">
        <w:t>Available-for-sale financial assets and financial assets at fair value through profit or loss are subsequently carried at fair value. Loans and receivables and held-to-maturity investments are carried at amortised cost using the effective interest method. Gains or losses arising from changes in the fair value of the ‘financial assets at fair value through profit or loss’ category are included in the income statement within other income or other expenses in the period in which they arise.</w:t>
      </w:r>
    </w:p>
    <w:p w14:paraId="038A0A8A" w14:textId="28B682D3" w:rsidR="00F64DBD" w:rsidRPr="000B02BD" w:rsidRDefault="00B17F9F" w:rsidP="00D61C84">
      <w:r w:rsidRPr="00B17F9F">
        <w:t>Changes in the fair value of a monetary security denominated in a foreign currency and classified as available-for-sale are analysed between translation differences resulting from changes in amortised cost of the security and other changes in the carrying amount of the security (other than interest). The translation differences related to changes in the amortised cost are recognised in profit or loss, and other changes in carrying amount (other than interest) are recognised in equity. Changes in the fair value of other monetary and non-monetary securities classified as available-for-sale are recognised in equity.</w:t>
      </w:r>
    </w:p>
    <w:p w14:paraId="745BEFB0" w14:textId="77777777" w:rsidR="00B17F9F" w:rsidRPr="00B17F9F" w:rsidRDefault="00B17F9F" w:rsidP="00AB24D3">
      <w:pPr>
        <w:pStyle w:val="Heading4"/>
      </w:pPr>
      <w:r w:rsidRPr="00B17F9F">
        <w:t>Fair value</w:t>
      </w:r>
    </w:p>
    <w:p w14:paraId="060731CC" w14:textId="77777777" w:rsidR="00B17F9F" w:rsidRPr="00B17F9F" w:rsidRDefault="00B17F9F" w:rsidP="00D61C84">
      <w:pPr>
        <w:pStyle w:val="Heading5"/>
      </w:pPr>
      <w:r w:rsidRPr="00B17F9F">
        <w:t>AASB13.61</w:t>
      </w:r>
      <w:proofErr w:type="gramStart"/>
      <w:r w:rsidRPr="00B17F9F">
        <w:t>,62</w:t>
      </w:r>
      <w:proofErr w:type="gramEnd"/>
    </w:p>
    <w:p w14:paraId="7D28B5FA" w14:textId="77777777" w:rsidR="00B17F9F" w:rsidRPr="00B17F9F" w:rsidRDefault="00B17F9F" w:rsidP="00D61C84">
      <w:r w:rsidRPr="00B17F9F">
        <w:t>The fair values of investments and other financial assets are based on quoted prices in an active market. If the market for a financial asset is not active (and for unlisted securities), the Group establishes fair value by using valuation techniques, that maximise the use of relevant data. These include reference to the estimated price in an orderly transaction that would take place between market participants at the measurement date. Other valuation techniques used are the cost approach and the income approach based on the characteristics of the asset and the assumptions made by market participants.</w:t>
      </w:r>
    </w:p>
    <w:p w14:paraId="6CFF70C7" w14:textId="77777777" w:rsidR="00B17F9F" w:rsidRPr="00B17F9F" w:rsidRDefault="00B17F9F" w:rsidP="00AB24D3">
      <w:pPr>
        <w:pStyle w:val="Heading4"/>
      </w:pPr>
      <w:r w:rsidRPr="00B17F9F">
        <w:t>Impairment</w:t>
      </w:r>
    </w:p>
    <w:p w14:paraId="1E96631A" w14:textId="77777777" w:rsidR="00B17F9F" w:rsidRPr="00B17F9F" w:rsidRDefault="00B17F9F" w:rsidP="00D61C84">
      <w:pPr>
        <w:pStyle w:val="Heading5"/>
      </w:pPr>
      <w:r w:rsidRPr="00B17F9F">
        <w:t>AASB139.58</w:t>
      </w:r>
      <w:proofErr w:type="gramStart"/>
      <w:r w:rsidRPr="00B17F9F">
        <w:t>,63,67</w:t>
      </w:r>
      <w:proofErr w:type="gramEnd"/>
      <w:r w:rsidRPr="00B17F9F">
        <w:t>-70</w:t>
      </w:r>
    </w:p>
    <w:p w14:paraId="0A64AA00" w14:textId="77777777" w:rsidR="00B17F9F" w:rsidRPr="00B17F9F" w:rsidRDefault="00B17F9F" w:rsidP="00D61C84">
      <w:r w:rsidRPr="00B17F9F">
        <w:t xml:space="preserve">The Group assesses at each balance date whether there is objective evidence that a financial asset or group of financial assets is impaired. In the case of equity securities classified as available-for-sale, a significant or prolonged decline in the fair value of a security below its cost is considered in determining whether the security is impaired. If any such evidence exists for available-for-sale financial assets, the cumulative loss </w:t>
      </w:r>
      <w:r w:rsidRPr="00B17F9F">
        <w:noBreakHyphen/>
        <w:t xml:space="preserve"> measured as the difference between the acquisition cost and the current fair value, less any impairment loss on that financial asset previously recognised in profit or loss </w:t>
      </w:r>
      <w:r w:rsidRPr="00B17F9F">
        <w:noBreakHyphen/>
        <w:t xml:space="preserve"> is removed from equity and recognised in the income statement. Impairment losses recognised in the income statement on equity instruments are not reversed through the income statement.</w:t>
      </w:r>
    </w:p>
    <w:p w14:paraId="287A86C8" w14:textId="4EA993B4" w:rsidR="00B17F9F" w:rsidRPr="00B17F9F" w:rsidRDefault="00B17F9F" w:rsidP="00D61C84">
      <w:pPr>
        <w:pStyle w:val="Heading3"/>
      </w:pPr>
      <w:r w:rsidRPr="00B17F9F">
        <w:t>(n) Derivatives</w:t>
      </w:r>
    </w:p>
    <w:p w14:paraId="7F9175ED" w14:textId="77777777" w:rsidR="00B17F9F" w:rsidRPr="005B375A" w:rsidRDefault="00B17F9F" w:rsidP="008934F0">
      <w:pPr>
        <w:pStyle w:val="Heading5"/>
      </w:pPr>
      <w:r w:rsidRPr="005B375A">
        <w:t>AASB139.88</w:t>
      </w:r>
    </w:p>
    <w:p w14:paraId="0A660C0C" w14:textId="77777777" w:rsidR="00B17F9F" w:rsidRPr="00B17F9F" w:rsidRDefault="00B17F9F" w:rsidP="00D61C84">
      <w:r w:rsidRPr="00B17F9F">
        <w:t>Derivatives are initially recognised at fair value on the date a derivative contract is entered into and are subsequently remeasured to their fair value. The method of recognising the resulting gain or loss depends on whether the derivative is designated as a hedging instrument, and if so, the nature of the item being hedged. The Group designates certain derivatives as either; (1) hedges of the fair value of recognised assets or liabilities or a firm commitment (fair value hedge); or (2) hedges of highly probable forecast transactions (cash flow hedges).</w:t>
      </w:r>
    </w:p>
    <w:p w14:paraId="09B8A4FA" w14:textId="77777777" w:rsidR="00B17F9F" w:rsidRPr="00B17F9F" w:rsidRDefault="00B17F9F" w:rsidP="00AB24D3">
      <w:pPr>
        <w:pStyle w:val="Heading4"/>
      </w:pPr>
      <w:r w:rsidRPr="00B17F9F">
        <w:t>(i) Fair value hedge</w:t>
      </w:r>
    </w:p>
    <w:p w14:paraId="0B9DC63E" w14:textId="77777777" w:rsidR="00B17F9F" w:rsidRPr="00B17F9F" w:rsidRDefault="00B17F9F" w:rsidP="00D61C84">
      <w:pPr>
        <w:pStyle w:val="Heading5"/>
      </w:pPr>
      <w:r w:rsidRPr="00B17F9F">
        <w:t>AASB139.89</w:t>
      </w:r>
    </w:p>
    <w:p w14:paraId="3ECAED93" w14:textId="77777777" w:rsidR="00B17F9F" w:rsidRPr="00B17F9F" w:rsidRDefault="00B17F9F" w:rsidP="00D61C84">
      <w:r w:rsidRPr="00B17F9F">
        <w:t>Changes in the fair value of derivatives that are designated and qualify as fair value hedges are recorded in the income statement, together with any changes in the fair value of the hedged asset or liability that are attributable to the hedged risk.</w:t>
      </w:r>
    </w:p>
    <w:p w14:paraId="1424A573" w14:textId="77777777" w:rsidR="00B17F9F" w:rsidRPr="00B17F9F" w:rsidRDefault="00B17F9F" w:rsidP="00AB24D3">
      <w:pPr>
        <w:pStyle w:val="Heading4"/>
      </w:pPr>
      <w:r w:rsidRPr="00B17F9F">
        <w:lastRenderedPageBreak/>
        <w:t>(ii) Cash flow hedge</w:t>
      </w:r>
    </w:p>
    <w:p w14:paraId="5CEBEE0A" w14:textId="77777777" w:rsidR="00B17F9F" w:rsidRPr="00B17F9F" w:rsidRDefault="00B17F9F" w:rsidP="00D61C84">
      <w:pPr>
        <w:pStyle w:val="Heading5"/>
      </w:pPr>
      <w:r w:rsidRPr="00B17F9F">
        <w:t>AASB139.95</w:t>
      </w:r>
    </w:p>
    <w:p w14:paraId="6217D77D" w14:textId="77777777" w:rsidR="00B17F9F" w:rsidRPr="00B17F9F" w:rsidRDefault="00B17F9F" w:rsidP="00D61C84">
      <w:r w:rsidRPr="00B17F9F">
        <w:t>The effective portion of changes in the fair value of derivatives that are designated and qualify as cash flow hedges is recognised in other comprehensive income. The gain or loss relating to the ineffective portion is recognised immediately in the income statement within other income or other expense.</w:t>
      </w:r>
    </w:p>
    <w:p w14:paraId="685B56A8" w14:textId="77777777" w:rsidR="00B17F9F" w:rsidRPr="00B17F9F" w:rsidRDefault="00B17F9F" w:rsidP="00D61C84">
      <w:pPr>
        <w:pStyle w:val="Heading5"/>
      </w:pPr>
      <w:r w:rsidRPr="00B17F9F">
        <w:t>AASB139.100</w:t>
      </w:r>
    </w:p>
    <w:p w14:paraId="131863F8" w14:textId="77777777" w:rsidR="00B17F9F" w:rsidRPr="00B17F9F" w:rsidRDefault="00B17F9F" w:rsidP="00D61C84">
      <w:r w:rsidRPr="00B17F9F">
        <w:t xml:space="preserve">Amounts that have been recognised in other comprehensive income are reclassified from equity to profit or loss as a reclassification adjustment in the periods when the hedged item affects profit or loss (for instance when the forecast sale that is hedged takes place). The gain or loss relating to the effective portion of interest rate swaps hedging variable rate borrowings is recognised in the income statement within ’borrowing costs’. The gain or loss relating to the effective portion of forward foreign exchange contracts hedging export sales is recognised in the income statement within ‘sales’. </w:t>
      </w:r>
    </w:p>
    <w:p w14:paraId="3BF7D01B" w14:textId="77777777" w:rsidR="00B17F9F" w:rsidRPr="00B17F9F" w:rsidRDefault="00B17F9F" w:rsidP="00D61C84">
      <w:pPr>
        <w:pStyle w:val="Heading5"/>
      </w:pPr>
      <w:r w:rsidRPr="00B17F9F">
        <w:t>AASB139.98</w:t>
      </w:r>
    </w:p>
    <w:p w14:paraId="2CF763E4" w14:textId="77777777" w:rsidR="00B17F9F" w:rsidRPr="00B17F9F" w:rsidRDefault="00B17F9F" w:rsidP="00D61C84">
      <w:r w:rsidRPr="00B17F9F">
        <w:t>However, when the forecast cash flow that is hedged results in the recognition of a non-financial asset (for example, inventory or fixed assets) the gains and losses previously recognised in other comprehensive income are either reclassified as a reclassification adjustment to the income statement or are included in the initial measurement of the cost of the asset. The deferred amounts are ultimately recognised in profit or loss as cost of goods sold in the case of inventory, or as depreciation in the case of fixed assets.</w:t>
      </w:r>
    </w:p>
    <w:p w14:paraId="3D17F7CA" w14:textId="77777777" w:rsidR="00B17F9F" w:rsidRPr="00B17F9F" w:rsidRDefault="00B17F9F" w:rsidP="00D61C84">
      <w:pPr>
        <w:pStyle w:val="Heading5"/>
      </w:pPr>
      <w:r w:rsidRPr="00B17F9F">
        <w:t>AASB139.101</w:t>
      </w:r>
    </w:p>
    <w:p w14:paraId="5B89C2C5" w14:textId="77777777" w:rsidR="00B17F9F" w:rsidRPr="00B17F9F" w:rsidRDefault="00B17F9F" w:rsidP="00D61C84">
      <w:r w:rsidRPr="00B17F9F">
        <w:t>When a hedging instrument expires or is sold or terminated, or when a hedge no longer meets the criteria for hedge accounting, any cumulative gain or loss that has been recognised in other comprehensive income from the period when the hedge was effective shall remain separately in equity until the forecast transaction occurs. When a forecast transaction is no longer expected to occur, the cumulative gain or loss that was recognised in other comprehensive income shall be reclassified to profit or loss as a reclassification adjustment.</w:t>
      </w:r>
    </w:p>
    <w:p w14:paraId="5053FF30" w14:textId="62018FF0" w:rsidR="00B17F9F" w:rsidRPr="00B17F9F" w:rsidRDefault="00B17F9F" w:rsidP="00AB24D3">
      <w:pPr>
        <w:pStyle w:val="Heading4"/>
      </w:pPr>
      <w:r w:rsidRPr="00B17F9F">
        <w:t>(iii) Derivatives that do not qualify for hedge accounting</w:t>
      </w:r>
    </w:p>
    <w:p w14:paraId="4171C461" w14:textId="77777777" w:rsidR="00B17F9F" w:rsidRPr="00B17F9F" w:rsidRDefault="00B17F9F" w:rsidP="00D61C84">
      <w:pPr>
        <w:pStyle w:val="Heading5"/>
      </w:pPr>
      <w:r w:rsidRPr="00B17F9F">
        <w:t>AASB139.55a</w:t>
      </w:r>
    </w:p>
    <w:p w14:paraId="4487A550" w14:textId="77777777" w:rsidR="00B17F9F" w:rsidRPr="00B17F9F" w:rsidRDefault="00B17F9F" w:rsidP="00D61C84">
      <w:r w:rsidRPr="00B17F9F">
        <w:t>Certain derivative instruments do not qualify for hedge accounting. Changes in the fair value of any derivative instrument that does not qualify for hedge accounting are recognised immediately in the income statement and are included in other income or other expenses.</w:t>
      </w:r>
    </w:p>
    <w:p w14:paraId="58AF8A22" w14:textId="5A943343" w:rsidR="00B17F9F" w:rsidRPr="00B17F9F" w:rsidRDefault="00B17F9F" w:rsidP="00D61C84">
      <w:pPr>
        <w:pStyle w:val="Heading3"/>
      </w:pPr>
      <w:r w:rsidRPr="00B17F9F">
        <w:t>(o) Fair value measurement</w:t>
      </w:r>
    </w:p>
    <w:p w14:paraId="61532ABF" w14:textId="77777777" w:rsidR="00B17F9F" w:rsidRPr="00B17F9F" w:rsidRDefault="00B17F9F" w:rsidP="008934F0">
      <w:pPr>
        <w:pStyle w:val="Heading5"/>
      </w:pPr>
      <w:r w:rsidRPr="00B17F9F">
        <w:t>AASB13</w:t>
      </w:r>
    </w:p>
    <w:p w14:paraId="4E9BBD8C" w14:textId="77777777" w:rsidR="00B17F9F" w:rsidRPr="00B17F9F" w:rsidRDefault="00B17F9F" w:rsidP="00D61C84">
      <w:r w:rsidRPr="00B17F9F">
        <w:t xml:space="preserve">The fair value of assets and liabilities must be measured for recognition and disclosure purposes. </w:t>
      </w:r>
    </w:p>
    <w:p w14:paraId="7888EA04" w14:textId="77777777" w:rsidR="00B17F9F" w:rsidRPr="00B17F9F" w:rsidRDefault="00B17F9F" w:rsidP="008934F0">
      <w:pPr>
        <w:pStyle w:val="Heading5"/>
      </w:pPr>
      <w:r w:rsidRPr="00B17F9F">
        <w:t>AASB13.72</w:t>
      </w:r>
    </w:p>
    <w:p w14:paraId="3786937D" w14:textId="77777777" w:rsidR="00B17F9F" w:rsidRPr="00B17F9F" w:rsidRDefault="00B17F9F" w:rsidP="00D61C84">
      <w:pPr>
        <w:rPr>
          <w:highlight w:val="yellow"/>
        </w:rPr>
      </w:pPr>
      <w:r w:rsidRPr="00B17F9F">
        <w:t>The Group classifies fair value measurements using a fair value hierarchy that reflects the significance of the inputs used in making the measurements.</w:t>
      </w:r>
    </w:p>
    <w:p w14:paraId="59635FC7" w14:textId="77777777" w:rsidR="00B17F9F" w:rsidRPr="00B17F9F" w:rsidRDefault="00B17F9F" w:rsidP="008934F0">
      <w:pPr>
        <w:pStyle w:val="Heading5"/>
      </w:pPr>
      <w:r w:rsidRPr="00B17F9F">
        <w:t>AASB13.70</w:t>
      </w:r>
    </w:p>
    <w:p w14:paraId="545E47A2" w14:textId="77777777" w:rsidR="00B17F9F" w:rsidRPr="00B17F9F" w:rsidRDefault="00B17F9F" w:rsidP="00D61C84">
      <w:pPr>
        <w:rPr>
          <w:highlight w:val="yellow"/>
        </w:rPr>
      </w:pPr>
      <w:r w:rsidRPr="00B17F9F">
        <w:t>The fair value of assets or liabilities traded in active markets (such as publicly traded derivatives, and trading and available-for-sale securities) is based on quoted market prices for identical assets or liabilities at the end of the reporting period (level 1). The quoted market price used for assets held by the Group is the most representative of fair value in the circumstances within the bid-ask spread.</w:t>
      </w:r>
    </w:p>
    <w:p w14:paraId="02E2911F" w14:textId="77777777" w:rsidR="00B17F9F" w:rsidRPr="00B17F9F" w:rsidRDefault="00B17F9F" w:rsidP="00D61C84">
      <w:pPr>
        <w:rPr>
          <w:highlight w:val="yellow"/>
        </w:rPr>
      </w:pPr>
      <w:r w:rsidRPr="00B17F9F">
        <w:t xml:space="preserve">The fair value of assets or liabilities that are not traded in an active market (for example, over-the-counter derivatives) is determined using valuation techniques. The Group uses a variety of methods and makes assumptions that are based on market conditions existing at each balance date. Quoted market prices or dealer quotes for similar instruments (level 2) are used for long-term debt instruments held. Other </w:t>
      </w:r>
      <w:r w:rsidRPr="00B17F9F">
        <w:lastRenderedPageBreak/>
        <w:t>techniques that are not based on observable market data (level 3), such as estimated discounted cash flows, are used to determine fair value for the remaining assets and liabilities. The fair value of interest-rate swaps is calculated as the present value of the estimated future cash flows. The fair value of forward exchange contracts is determined using forward exchange market rates at the end of the reporting period. The level in the fair value hierarchy is determined on the basis of the lowest level input that is significant to the fair value measurement in its entirety.</w:t>
      </w:r>
    </w:p>
    <w:p w14:paraId="3A3B820E" w14:textId="77777777" w:rsidR="00B17F9F" w:rsidRPr="00B17F9F" w:rsidRDefault="00B17F9F" w:rsidP="008934F0">
      <w:pPr>
        <w:pStyle w:val="Heading5"/>
      </w:pPr>
      <w:r w:rsidRPr="00B17F9F">
        <w:t>AASB13.27</w:t>
      </w:r>
    </w:p>
    <w:p w14:paraId="17F918FF" w14:textId="77777777" w:rsidR="00B17F9F" w:rsidRPr="00B17F9F" w:rsidRDefault="00B17F9F" w:rsidP="00D61C84">
      <w:pPr>
        <w:rPr>
          <w:highlight w:val="yellow"/>
        </w:rPr>
      </w:pPr>
      <w:r w:rsidRPr="00B17F9F">
        <w:t xml:space="preserve">Fair value measurement of non-financial assets is based on the highest and best use of the asset. The Group considers market participants use of, or purchase of the asset, to use it in a manner that would be highest and best use. </w:t>
      </w:r>
    </w:p>
    <w:p w14:paraId="2F2FEE4B" w14:textId="77777777" w:rsidR="00B17F9F" w:rsidRPr="00B17F9F" w:rsidRDefault="00B17F9F" w:rsidP="008934F0">
      <w:pPr>
        <w:pStyle w:val="Heading5"/>
      </w:pPr>
      <w:r w:rsidRPr="00B17F9F">
        <w:t>AASB7.29a</w:t>
      </w:r>
    </w:p>
    <w:p w14:paraId="5CD58F08" w14:textId="77777777" w:rsidR="00B17F9F" w:rsidRPr="00B17F9F" w:rsidRDefault="00B17F9F" w:rsidP="00D61C84">
      <w:pPr>
        <w:rPr>
          <w:highlight w:val="yellow"/>
        </w:rPr>
      </w:pPr>
      <w:r w:rsidRPr="00B17F9F">
        <w:t>The carrying value less impairment provision of trade receivables and payables are assumed to approximate their fair values due to their short-term nature. The fair value of financial liabilities for disclosure purposes is estimated by discounting the future contractual cash flows at the current market interest rate that is available to the Group for similar financial instruments.</w:t>
      </w:r>
    </w:p>
    <w:p w14:paraId="038A0B0B" w14:textId="1247358B" w:rsidR="003D199E" w:rsidRPr="000B02BD" w:rsidRDefault="00B17F9F" w:rsidP="00D61C84">
      <w:r w:rsidRPr="000B02BD">
        <w:t>The Department encourages the application of the fair value method for depreciating assets.</w:t>
      </w:r>
      <w:bookmarkStart w:id="250" w:name="CursorPositionBM"/>
      <w:bookmarkEnd w:id="250"/>
    </w:p>
    <w:p w14:paraId="730C4389" w14:textId="027F6723" w:rsidR="00B17F9F" w:rsidRPr="00B17F9F" w:rsidRDefault="00B17F9F" w:rsidP="00D61C84">
      <w:pPr>
        <w:pStyle w:val="Heading3"/>
      </w:pPr>
      <w:r w:rsidRPr="00B17F9F">
        <w:t>(p) Property, plant and equipment</w:t>
      </w:r>
    </w:p>
    <w:p w14:paraId="65FAAC3B" w14:textId="56D79F5A" w:rsidR="00B17F9F" w:rsidRPr="00B17F9F" w:rsidRDefault="00B17F9F" w:rsidP="008934F0">
      <w:pPr>
        <w:pStyle w:val="Heading5"/>
      </w:pPr>
      <w:r w:rsidRPr="00B17F9F">
        <w:t>AASB116.73a</w:t>
      </w:r>
      <w:r w:rsidR="005B375A">
        <w:br/>
      </w:r>
      <w:r w:rsidRPr="00B17F9F">
        <w:t>AASB116.35b</w:t>
      </w:r>
      <w:r w:rsidR="005B375A">
        <w:br/>
      </w:r>
      <w:r w:rsidRPr="00B17F9F">
        <w:t>AASB116.17</w:t>
      </w:r>
      <w:r w:rsidR="005B375A">
        <w:br/>
      </w:r>
      <w:r w:rsidRPr="00B17F9F">
        <w:t>AASB139.98b</w:t>
      </w:r>
    </w:p>
    <w:p w14:paraId="5CAE45EC" w14:textId="77777777" w:rsidR="00B17F9F" w:rsidRPr="00B17F9F" w:rsidRDefault="00B17F9F" w:rsidP="00D61C84">
      <w:r w:rsidRPr="00B17F9F">
        <w:t>Land and buildings (except for investment properties – refer to note 1(</w:t>
      </w:r>
      <w:proofErr w:type="spellStart"/>
      <w:proofErr w:type="gramStart"/>
      <w:r w:rsidRPr="00B17F9F">
        <w:t>aa</w:t>
      </w:r>
      <w:proofErr w:type="spellEnd"/>
      <w:proofErr w:type="gramEnd"/>
      <w:r w:rsidRPr="00B17F9F">
        <w:t xml:space="preserve">)) are shown at fair value, based on periodic, but at least triennial, valuations by external independent valuers, less subsequent depreciation for buildings. Any accumulated depreciation at the date of revaluation is eliminated against the gross carrying amount of the asset and the net amount is restated to the revalued amount of the asset. All other property, plant and equipment </w:t>
      </w:r>
      <w:proofErr w:type="gramStart"/>
      <w:r w:rsidRPr="00B17F9F">
        <w:t>is</w:t>
      </w:r>
      <w:proofErr w:type="gramEnd"/>
      <w:r w:rsidRPr="00B17F9F">
        <w:t xml:space="preserve"> stated at historical cost less depreciation. Historical cost includes expenditure that is directly attributable to the acquisition of the items. Cost may also include gains or losses that were recognised in other comprehensive income on qualifying cash flow hedges of foreign currency purchases of property, plant and equipment. [Amend disclosures as required]</w:t>
      </w:r>
    </w:p>
    <w:p w14:paraId="0EB7E0AE" w14:textId="77777777" w:rsidR="00B17F9F" w:rsidRPr="00B17F9F" w:rsidRDefault="00B17F9F" w:rsidP="008934F0">
      <w:pPr>
        <w:pStyle w:val="Heading5"/>
      </w:pPr>
      <w:r w:rsidRPr="00B17F9F">
        <w:t>AASB116.12</w:t>
      </w:r>
    </w:p>
    <w:p w14:paraId="3F33373F" w14:textId="77777777" w:rsidR="00B17F9F" w:rsidRPr="00B17F9F" w:rsidRDefault="00B17F9F" w:rsidP="00D61C84">
      <w:r w:rsidRPr="00B17F9F">
        <w:t>Subsequent costs are included in the asset’s carrying amount or recognised as a separate asset, as appropriate, only when it is probable that future economic benefits associated with the item will flow to the Group and the cost of the item can be measured reliably. All other repairs and maintenance are charged to the income statement during the financial period in which they are incurred.</w:t>
      </w:r>
    </w:p>
    <w:p w14:paraId="0457B9DA" w14:textId="77777777" w:rsidR="00B17F9F" w:rsidRPr="00B17F9F" w:rsidRDefault="00B17F9F" w:rsidP="008934F0">
      <w:pPr>
        <w:pStyle w:val="Heading5"/>
      </w:pPr>
      <w:r w:rsidRPr="00B17F9F">
        <w:t>AASB116.39</w:t>
      </w:r>
    </w:p>
    <w:p w14:paraId="3481A0EF" w14:textId="77777777" w:rsidR="00B17F9F" w:rsidRPr="00B17F9F" w:rsidRDefault="00B17F9F" w:rsidP="00D61C84">
      <w:r w:rsidRPr="00B17F9F">
        <w:t>Increases in the carrying amounts arising on revaluation of land and buildings are recognised, net of tax, in other comprehensive income and accumulated in equity under the heading of revaluation surplus. To the extent that the increase reverses a decrease previously recognised in profit or loss, the increase is first recognised in profit or loss. Decreases that reverse previous increases of the same asset class are also recognised in other comprehensive income to the extent of the remaining reserve attributable to the asset class. All other decreases are charged to the income statement.</w:t>
      </w:r>
    </w:p>
    <w:p w14:paraId="269AF1DA" w14:textId="77777777" w:rsidR="00B17F9F" w:rsidRPr="00B17F9F" w:rsidRDefault="00B17F9F" w:rsidP="008934F0">
      <w:pPr>
        <w:pStyle w:val="Heading5"/>
      </w:pPr>
      <w:r w:rsidRPr="00B17F9F">
        <w:t>AASB116.50</w:t>
      </w:r>
      <w:proofErr w:type="gramStart"/>
      <w:r w:rsidRPr="00B17F9F">
        <w:t>,73b</w:t>
      </w:r>
      <w:proofErr w:type="gramEnd"/>
    </w:p>
    <w:p w14:paraId="75F64C65" w14:textId="6877D902" w:rsidR="00B31ABF" w:rsidRDefault="00B17F9F" w:rsidP="00D61C84">
      <w:r w:rsidRPr="000B02BD">
        <w:t>Land is not depreciated. Depreciation on other assets is calculated using the straight line method to allocate their cost or revalued amounts, net of their residual values, over their estimated useful lives, as follows:</w:t>
      </w:r>
    </w:p>
    <w:p w14:paraId="58CD1EDB" w14:textId="77777777" w:rsidR="00B31ABF" w:rsidRDefault="00B31ABF">
      <w:pPr>
        <w:spacing w:after="0"/>
      </w:pPr>
      <w:r>
        <w:br w:type="page"/>
      </w:r>
    </w:p>
    <w:p w14:paraId="220527C4" w14:textId="6940CC9B" w:rsidR="00B17F9F" w:rsidRPr="00B17F9F" w:rsidRDefault="00B17F9F" w:rsidP="008934F0">
      <w:pPr>
        <w:pStyle w:val="Heading5"/>
      </w:pPr>
      <w:proofErr w:type="spellStart"/>
      <w:r w:rsidRPr="00B17F9F">
        <w:lastRenderedPageBreak/>
        <w:t>AASB116.73c</w:t>
      </w:r>
      <w:proofErr w:type="spellEnd"/>
    </w:p>
    <w:tbl>
      <w:tblPr>
        <w:tblStyle w:val="MediumGrid3-Accent5"/>
        <w:tblW w:w="5000" w:type="pct"/>
        <w:tblLook w:val="06A0" w:firstRow="1" w:lastRow="0" w:firstColumn="1" w:lastColumn="0" w:noHBand="1" w:noVBand="1"/>
      </w:tblPr>
      <w:tblGrid>
        <w:gridCol w:w="4705"/>
        <w:gridCol w:w="3209"/>
        <w:gridCol w:w="2053"/>
      </w:tblGrid>
      <w:tr w:rsidR="005B375A" w:rsidRPr="005B375A" w14:paraId="116B4B27" w14:textId="77777777" w:rsidTr="00F852D8">
        <w:trPr>
          <w:cnfStyle w:val="100000000000" w:firstRow="1" w:lastRow="0" w:firstColumn="0" w:lastColumn="0" w:oddVBand="0" w:evenVBand="0" w:oddHBand="0" w:evenHBand="0" w:firstRowFirstColumn="0" w:firstRowLastColumn="0" w:lastRowFirstColumn="0" w:lastRowLastColumn="0"/>
          <w:cantSplit/>
          <w:trHeight w:val="159"/>
          <w:tblHeader/>
        </w:trPr>
        <w:tc>
          <w:tcPr>
            <w:cnfStyle w:val="001000000000" w:firstRow="0" w:lastRow="0" w:firstColumn="1" w:lastColumn="0" w:oddVBand="0" w:evenVBand="0" w:oddHBand="0" w:evenHBand="0" w:firstRowFirstColumn="0" w:firstRowLastColumn="0" w:lastRowFirstColumn="0" w:lastRowLastColumn="0"/>
            <w:tcW w:w="2360" w:type="pct"/>
          </w:tcPr>
          <w:p w14:paraId="5377C464" w14:textId="77777777" w:rsidR="005B375A" w:rsidRPr="005B375A" w:rsidRDefault="005B375A" w:rsidP="00D61C84">
            <w:r w:rsidRPr="005B375A">
              <w:t>Depreciable assets</w:t>
            </w:r>
          </w:p>
        </w:tc>
        <w:tc>
          <w:tcPr>
            <w:tcW w:w="1610" w:type="pct"/>
          </w:tcPr>
          <w:p w14:paraId="34B603A6" w14:textId="77777777" w:rsidR="005B375A" w:rsidRPr="005B375A" w:rsidRDefault="005B375A" w:rsidP="00D61C84">
            <w:pPr>
              <w:jc w:val="right"/>
              <w:cnfStyle w:val="100000000000" w:firstRow="1" w:lastRow="0" w:firstColumn="0" w:lastColumn="0" w:oddVBand="0" w:evenVBand="0" w:oddHBand="0" w:evenHBand="0" w:firstRowFirstColumn="0" w:firstRowLastColumn="0" w:lastRowFirstColumn="0" w:lastRowLastColumn="0"/>
            </w:pPr>
            <w:r w:rsidRPr="005B375A">
              <w:t>2014</w:t>
            </w:r>
          </w:p>
        </w:tc>
        <w:tc>
          <w:tcPr>
            <w:tcW w:w="1030" w:type="pct"/>
          </w:tcPr>
          <w:p w14:paraId="45B6D08B" w14:textId="77777777" w:rsidR="005B375A" w:rsidRPr="005B375A" w:rsidRDefault="005B375A" w:rsidP="00D61C84">
            <w:pPr>
              <w:jc w:val="right"/>
              <w:cnfStyle w:val="100000000000" w:firstRow="1" w:lastRow="0" w:firstColumn="0" w:lastColumn="0" w:oddVBand="0" w:evenVBand="0" w:oddHBand="0" w:evenHBand="0" w:firstRowFirstColumn="0" w:firstRowLastColumn="0" w:lastRowFirstColumn="0" w:lastRowLastColumn="0"/>
            </w:pPr>
            <w:r w:rsidRPr="005B375A">
              <w:t>2013</w:t>
            </w:r>
          </w:p>
        </w:tc>
      </w:tr>
      <w:tr w:rsidR="005B375A" w:rsidRPr="005B375A" w14:paraId="7226A901" w14:textId="77777777" w:rsidTr="00F852D8">
        <w:trPr>
          <w:cantSplit/>
          <w:trHeight w:val="159"/>
        </w:trPr>
        <w:tc>
          <w:tcPr>
            <w:cnfStyle w:val="001000000000" w:firstRow="0" w:lastRow="0" w:firstColumn="1" w:lastColumn="0" w:oddVBand="0" w:evenVBand="0" w:oddHBand="0" w:evenHBand="0" w:firstRowFirstColumn="0" w:firstRowLastColumn="0" w:lastRowFirstColumn="0" w:lastRowLastColumn="0"/>
            <w:tcW w:w="2360" w:type="pct"/>
          </w:tcPr>
          <w:p w14:paraId="5C2EC4CC" w14:textId="4C50D8A8" w:rsidR="005B375A" w:rsidRPr="005B375A" w:rsidRDefault="005B375A" w:rsidP="00D61C84">
            <w:r w:rsidRPr="005B375A">
              <w:t>Buildings</w:t>
            </w:r>
          </w:p>
        </w:tc>
        <w:tc>
          <w:tcPr>
            <w:tcW w:w="1610" w:type="pct"/>
          </w:tcPr>
          <w:p w14:paraId="0940B7B4"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25-40 years</w:t>
            </w:r>
          </w:p>
        </w:tc>
        <w:tc>
          <w:tcPr>
            <w:tcW w:w="1030" w:type="pct"/>
          </w:tcPr>
          <w:p w14:paraId="12D435F5"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25-40 years</w:t>
            </w:r>
          </w:p>
        </w:tc>
      </w:tr>
      <w:tr w:rsidR="005B375A" w:rsidRPr="005B375A" w14:paraId="294F71D5" w14:textId="77777777" w:rsidTr="00F852D8">
        <w:trPr>
          <w:cantSplit/>
          <w:trHeight w:val="159"/>
        </w:trPr>
        <w:tc>
          <w:tcPr>
            <w:cnfStyle w:val="001000000000" w:firstRow="0" w:lastRow="0" w:firstColumn="1" w:lastColumn="0" w:oddVBand="0" w:evenVBand="0" w:oddHBand="0" w:evenHBand="0" w:firstRowFirstColumn="0" w:firstRowLastColumn="0" w:lastRowFirstColumn="0" w:lastRowLastColumn="0"/>
            <w:tcW w:w="2360" w:type="pct"/>
          </w:tcPr>
          <w:p w14:paraId="502E839F" w14:textId="5F5B481D" w:rsidR="005B375A" w:rsidRPr="005B375A" w:rsidRDefault="005B375A" w:rsidP="00D61C84">
            <w:r w:rsidRPr="005B375A">
              <w:t>Machinery</w:t>
            </w:r>
          </w:p>
        </w:tc>
        <w:tc>
          <w:tcPr>
            <w:tcW w:w="1610" w:type="pct"/>
          </w:tcPr>
          <w:p w14:paraId="237C5922"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10-15 years</w:t>
            </w:r>
          </w:p>
        </w:tc>
        <w:tc>
          <w:tcPr>
            <w:tcW w:w="1030" w:type="pct"/>
          </w:tcPr>
          <w:p w14:paraId="7474362E"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10-15 years</w:t>
            </w:r>
          </w:p>
        </w:tc>
      </w:tr>
      <w:tr w:rsidR="005B375A" w:rsidRPr="005B375A" w14:paraId="3636D5D0" w14:textId="77777777" w:rsidTr="00F852D8">
        <w:trPr>
          <w:cantSplit/>
          <w:trHeight w:val="159"/>
        </w:trPr>
        <w:tc>
          <w:tcPr>
            <w:cnfStyle w:val="001000000000" w:firstRow="0" w:lastRow="0" w:firstColumn="1" w:lastColumn="0" w:oddVBand="0" w:evenVBand="0" w:oddHBand="0" w:evenHBand="0" w:firstRowFirstColumn="0" w:firstRowLastColumn="0" w:lastRowFirstColumn="0" w:lastRowLastColumn="0"/>
            <w:tcW w:w="2360" w:type="pct"/>
          </w:tcPr>
          <w:p w14:paraId="67CEBA3D" w14:textId="7B79C570" w:rsidR="005B375A" w:rsidRPr="005B375A" w:rsidRDefault="005B375A" w:rsidP="00D61C84">
            <w:r w:rsidRPr="005B375A">
              <w:t>Vehicles</w:t>
            </w:r>
          </w:p>
        </w:tc>
        <w:tc>
          <w:tcPr>
            <w:tcW w:w="1610" w:type="pct"/>
          </w:tcPr>
          <w:p w14:paraId="00CBA967"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3-5 years</w:t>
            </w:r>
          </w:p>
        </w:tc>
        <w:tc>
          <w:tcPr>
            <w:tcW w:w="1030" w:type="pct"/>
          </w:tcPr>
          <w:p w14:paraId="202E95D5"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3-5 years</w:t>
            </w:r>
          </w:p>
        </w:tc>
      </w:tr>
      <w:tr w:rsidR="005B375A" w:rsidRPr="005B375A" w14:paraId="6293D8C0" w14:textId="77777777" w:rsidTr="00F852D8">
        <w:trPr>
          <w:cantSplit/>
          <w:trHeight w:val="159"/>
        </w:trPr>
        <w:tc>
          <w:tcPr>
            <w:cnfStyle w:val="001000000000" w:firstRow="0" w:lastRow="0" w:firstColumn="1" w:lastColumn="0" w:oddVBand="0" w:evenVBand="0" w:oddHBand="0" w:evenHBand="0" w:firstRowFirstColumn="0" w:firstRowLastColumn="0" w:lastRowFirstColumn="0" w:lastRowLastColumn="0"/>
            <w:tcW w:w="2360" w:type="pct"/>
          </w:tcPr>
          <w:p w14:paraId="70B54BD6" w14:textId="31CC3376" w:rsidR="005B375A" w:rsidRPr="005B375A" w:rsidRDefault="005B375A" w:rsidP="00D61C84">
            <w:r w:rsidRPr="005B375A">
              <w:t>Furniture, fittings and equipment</w:t>
            </w:r>
          </w:p>
        </w:tc>
        <w:tc>
          <w:tcPr>
            <w:tcW w:w="1610" w:type="pct"/>
          </w:tcPr>
          <w:p w14:paraId="762B4CF8"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3-8 years</w:t>
            </w:r>
          </w:p>
        </w:tc>
        <w:tc>
          <w:tcPr>
            <w:tcW w:w="1030" w:type="pct"/>
          </w:tcPr>
          <w:p w14:paraId="7634CC70"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3-8 years</w:t>
            </w:r>
          </w:p>
        </w:tc>
      </w:tr>
      <w:tr w:rsidR="005B375A" w:rsidRPr="005B375A" w14:paraId="5C2DEF43" w14:textId="77777777" w:rsidTr="00F852D8">
        <w:trPr>
          <w:cantSplit/>
          <w:trHeight w:val="159"/>
        </w:trPr>
        <w:tc>
          <w:tcPr>
            <w:cnfStyle w:val="001000000000" w:firstRow="0" w:lastRow="0" w:firstColumn="1" w:lastColumn="0" w:oddVBand="0" w:evenVBand="0" w:oddHBand="0" w:evenHBand="0" w:firstRowFirstColumn="0" w:firstRowLastColumn="0" w:lastRowFirstColumn="0" w:lastRowLastColumn="0"/>
            <w:tcW w:w="2360" w:type="pct"/>
          </w:tcPr>
          <w:p w14:paraId="5CEF2586" w14:textId="617971D1" w:rsidR="005B375A" w:rsidRPr="005B375A" w:rsidRDefault="005B375A" w:rsidP="00D61C84">
            <w:r w:rsidRPr="005B375A">
              <w:t>[Specify]</w:t>
            </w:r>
          </w:p>
        </w:tc>
        <w:tc>
          <w:tcPr>
            <w:tcW w:w="1610" w:type="pct"/>
          </w:tcPr>
          <w:p w14:paraId="5D7F7579"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x-x years</w:t>
            </w:r>
          </w:p>
        </w:tc>
        <w:tc>
          <w:tcPr>
            <w:tcW w:w="1030" w:type="pct"/>
          </w:tcPr>
          <w:p w14:paraId="7DCA7D18" w14:textId="77777777" w:rsidR="005B375A" w:rsidRPr="005B375A" w:rsidRDefault="005B375A" w:rsidP="00D61C84">
            <w:pPr>
              <w:jc w:val="right"/>
              <w:cnfStyle w:val="000000000000" w:firstRow="0" w:lastRow="0" w:firstColumn="0" w:lastColumn="0" w:oddVBand="0" w:evenVBand="0" w:oddHBand="0" w:evenHBand="0" w:firstRowFirstColumn="0" w:firstRowLastColumn="0" w:lastRowFirstColumn="0" w:lastRowLastColumn="0"/>
            </w:pPr>
            <w:r w:rsidRPr="005B375A">
              <w:t>x -x years</w:t>
            </w:r>
          </w:p>
        </w:tc>
      </w:tr>
    </w:tbl>
    <w:p w14:paraId="6238033A" w14:textId="77777777" w:rsidR="00B17F9F" w:rsidRPr="00B17F9F" w:rsidRDefault="00B17F9F" w:rsidP="008934F0">
      <w:pPr>
        <w:pStyle w:val="Heading5"/>
      </w:pPr>
      <w:r w:rsidRPr="00B17F9F">
        <w:t>AASB116.51</w:t>
      </w:r>
    </w:p>
    <w:p w14:paraId="19E0B58B" w14:textId="77777777" w:rsidR="00B17F9F" w:rsidRPr="00B17F9F" w:rsidRDefault="00B17F9F" w:rsidP="00D61C84">
      <w:r w:rsidRPr="00B17F9F">
        <w:t>The assets’ residual values and useful lives are reviewed, and adjusted if appropriate, at the end of each reporting period.</w:t>
      </w:r>
    </w:p>
    <w:p w14:paraId="15338247" w14:textId="77777777" w:rsidR="00B17F9F" w:rsidRPr="00B17F9F" w:rsidRDefault="00B17F9F" w:rsidP="008934F0">
      <w:pPr>
        <w:pStyle w:val="Heading5"/>
      </w:pPr>
      <w:r w:rsidRPr="00B17F9F">
        <w:t>AASB136.59</w:t>
      </w:r>
    </w:p>
    <w:p w14:paraId="7419A798" w14:textId="77777777" w:rsidR="00B17F9F" w:rsidRPr="00B17F9F" w:rsidRDefault="00B17F9F" w:rsidP="00D61C84">
      <w:r w:rsidRPr="00B17F9F">
        <w:t>An asset’s carrying amount is written down immediately to its recoverable amount if the asset’s carrying amount is greater than its estimated recoverable amount.</w:t>
      </w:r>
    </w:p>
    <w:p w14:paraId="2D015EFE" w14:textId="34A9EF8A" w:rsidR="00B17F9F" w:rsidRPr="00B17F9F" w:rsidRDefault="00B17F9F" w:rsidP="00D61C84">
      <w:pPr>
        <w:pStyle w:val="Heading3"/>
      </w:pPr>
      <w:r w:rsidRPr="00B17F9F">
        <w:t>(q)</w:t>
      </w:r>
      <w:r w:rsidR="005820FE">
        <w:t xml:space="preserve"> </w:t>
      </w:r>
      <w:r w:rsidRPr="00B17F9F">
        <w:t>Repairs and Maintenance</w:t>
      </w:r>
    </w:p>
    <w:p w14:paraId="035AF604" w14:textId="77777777" w:rsidR="00B17F9F" w:rsidRPr="00B17F9F" w:rsidRDefault="00B17F9F" w:rsidP="00D61C84">
      <w:r w:rsidRPr="00B17F9F">
        <w:t>Repairs and maintenance costs are recognised as expenses as incurred, except where they relate to the replacement of a component of an asset, in which case, the costs are capitalised and depreciated. Other routine operating maintenance, repair and minor renewal costs are also recognised as expenses, as incurred.</w:t>
      </w:r>
    </w:p>
    <w:p w14:paraId="75C1FAF7" w14:textId="58BF5BB3" w:rsidR="00B17F9F" w:rsidRPr="00B17F9F" w:rsidRDefault="00B17F9F" w:rsidP="00D61C84">
      <w:pPr>
        <w:pStyle w:val="Heading3"/>
      </w:pPr>
      <w:r w:rsidRPr="00B17F9F">
        <w:t>(r)</w:t>
      </w:r>
      <w:r w:rsidR="005820FE">
        <w:t xml:space="preserve"> </w:t>
      </w:r>
      <w:r w:rsidRPr="00B17F9F">
        <w:t>Intangible Assets</w:t>
      </w:r>
    </w:p>
    <w:p w14:paraId="17DE3852" w14:textId="77777777" w:rsidR="00B17F9F" w:rsidRPr="00B17F9F" w:rsidRDefault="00B17F9F" w:rsidP="00AB24D3">
      <w:pPr>
        <w:pStyle w:val="Heading4"/>
      </w:pPr>
      <w:r w:rsidRPr="00B17F9F">
        <w:t>(i) Research</w:t>
      </w:r>
    </w:p>
    <w:p w14:paraId="43236021" w14:textId="77777777" w:rsidR="00B17F9F" w:rsidRPr="00B17F9F" w:rsidRDefault="00B17F9F" w:rsidP="00D61C84">
      <w:pPr>
        <w:pStyle w:val="Heading5"/>
      </w:pPr>
      <w:r w:rsidRPr="00B17F9F">
        <w:t>AASB138.8</w:t>
      </w:r>
      <w:proofErr w:type="gramStart"/>
      <w:r w:rsidRPr="00B17F9F">
        <w:t>,54</w:t>
      </w:r>
      <w:proofErr w:type="gramEnd"/>
    </w:p>
    <w:p w14:paraId="3F2BB0A0" w14:textId="77777777" w:rsidR="00B17F9F" w:rsidRPr="00B17F9F" w:rsidRDefault="00B17F9F" w:rsidP="00D61C84">
      <w:r w:rsidRPr="00B17F9F">
        <w:t>Expenditure on research activities is recognised in the income statement as an expense, when it is incurred.</w:t>
      </w:r>
    </w:p>
    <w:p w14:paraId="31D3BA65" w14:textId="77777777" w:rsidR="00B17F9F" w:rsidRPr="00B17F9F" w:rsidRDefault="00B17F9F" w:rsidP="00AB24D3">
      <w:pPr>
        <w:pStyle w:val="Heading4"/>
      </w:pPr>
      <w:r w:rsidRPr="00B17F9F">
        <w:t>(ii) Development</w:t>
      </w:r>
    </w:p>
    <w:p w14:paraId="22A27249" w14:textId="77777777" w:rsidR="00B17F9F" w:rsidRPr="00B17F9F" w:rsidRDefault="00B17F9F" w:rsidP="00D61C84">
      <w:pPr>
        <w:pStyle w:val="Heading5"/>
      </w:pPr>
      <w:r w:rsidRPr="00B17F9F">
        <w:t>AASB138.8</w:t>
      </w:r>
      <w:proofErr w:type="gramStart"/>
      <w:r w:rsidRPr="00B17F9F">
        <w:t>,54</w:t>
      </w:r>
      <w:proofErr w:type="gramEnd"/>
    </w:p>
    <w:p w14:paraId="4D0719D5" w14:textId="77777777" w:rsidR="00B17F9F" w:rsidRPr="00B17F9F" w:rsidRDefault="00B17F9F" w:rsidP="00D61C84">
      <w:r w:rsidRPr="00B17F9F">
        <w:t>[Specify accounting policy for recognition of development expenditure]</w:t>
      </w:r>
    </w:p>
    <w:p w14:paraId="185D4130" w14:textId="416BA45E" w:rsidR="00B17F9F" w:rsidRPr="00B17F9F" w:rsidRDefault="00B17F9F" w:rsidP="00AB24D3">
      <w:pPr>
        <w:pStyle w:val="Heading4"/>
      </w:pPr>
      <w:r w:rsidRPr="00B17F9F">
        <w:t>(iii) Goodwill</w:t>
      </w:r>
    </w:p>
    <w:p w14:paraId="4C9A84C3" w14:textId="77777777" w:rsidR="00B17F9F" w:rsidRPr="00B17F9F" w:rsidRDefault="00B17F9F" w:rsidP="00D61C84">
      <w:pPr>
        <w:pStyle w:val="Heading5"/>
      </w:pPr>
      <w:r w:rsidRPr="00B17F9F">
        <w:t>AASB3.32</w:t>
      </w:r>
      <w:proofErr w:type="gramStart"/>
      <w:r w:rsidRPr="00B17F9F">
        <w:t>,33,54</w:t>
      </w:r>
      <w:proofErr w:type="gramEnd"/>
    </w:p>
    <w:p w14:paraId="5EE3FAC4" w14:textId="77777777" w:rsidR="00B17F9F" w:rsidRPr="00B17F9F" w:rsidRDefault="00B17F9F" w:rsidP="00D61C84">
      <w:r w:rsidRPr="00B17F9F">
        <w:t>Goodwill represents the excess of the aggregate of the fair value measurement of the consideration transferred in an acquisition, the amount of any non-controlling interest and any previously held equity interest in the acquiree, over the fair value of the Group’s share of the net identifiable assets of the acquiree at the date of acquisition. Goodwill on acquisitions of subsidiaries is included in intangible assets. Goodwill on acquisitions of associates is included in investments in associates. Goodwill is not amortised, instead it is tested for impairment annually, or more frequently if events or changes in circumstances indicate that it might be impaired, and is carried at cost less accumulated impairment losses. Gains and losses on the disposal of an entity include the carrying amount of goodwill relating to the entity sold.</w:t>
      </w:r>
    </w:p>
    <w:p w14:paraId="5EF5A2FD" w14:textId="3B7D7F82" w:rsidR="00B17F9F" w:rsidRPr="00B17F9F" w:rsidRDefault="00CD5812" w:rsidP="00AB24D3">
      <w:pPr>
        <w:pStyle w:val="Heading4"/>
      </w:pPr>
      <w:r w:rsidRPr="00B17F9F">
        <w:t xml:space="preserve"> </w:t>
      </w:r>
      <w:proofErr w:type="gramStart"/>
      <w:r w:rsidR="00B17F9F" w:rsidRPr="00B17F9F">
        <w:t>(iv) Trademarks</w:t>
      </w:r>
      <w:proofErr w:type="gramEnd"/>
      <w:r w:rsidR="00B17F9F" w:rsidRPr="00B17F9F">
        <w:t xml:space="preserve"> and licences</w:t>
      </w:r>
    </w:p>
    <w:p w14:paraId="58917F8F" w14:textId="77777777" w:rsidR="00CD5812" w:rsidRPr="00B17F9F" w:rsidRDefault="00CD5812" w:rsidP="00CD5812">
      <w:pPr>
        <w:pStyle w:val="Heading5"/>
      </w:pPr>
      <w:r w:rsidRPr="00B17F9F">
        <w:t>AASB138.74</w:t>
      </w:r>
      <w:proofErr w:type="gramStart"/>
      <w:r w:rsidRPr="00B17F9F">
        <w:t>,97,118a</w:t>
      </w:r>
      <w:proofErr w:type="gramEnd"/>
      <w:r w:rsidRPr="00B17F9F">
        <w:t>-b</w:t>
      </w:r>
    </w:p>
    <w:p w14:paraId="4D19485E" w14:textId="77777777" w:rsidR="00B17F9F" w:rsidRPr="00B17F9F" w:rsidRDefault="00B17F9F" w:rsidP="00D61C84">
      <w:r w:rsidRPr="00B17F9F">
        <w:t>Trademarks and licences have a finite useful life and are carried at cost less accumulated amortisation and impairment losses. Amortisation is calculated using the straight-line method to allocate the cost of trademarks and licences over their estimated useful lives, which vary from 3-5 years.</w:t>
      </w:r>
    </w:p>
    <w:p w14:paraId="3D859C5A" w14:textId="6CA45C5D" w:rsidR="00B17F9F" w:rsidRPr="00B17F9F" w:rsidRDefault="00B17F9F" w:rsidP="00B31ABF">
      <w:pPr>
        <w:pStyle w:val="Heading3"/>
      </w:pPr>
      <w:r w:rsidRPr="00B17F9F">
        <w:lastRenderedPageBreak/>
        <w:t>(s) Trade and other payables</w:t>
      </w:r>
    </w:p>
    <w:p w14:paraId="49CC0CB9" w14:textId="77777777" w:rsidR="00B17F9F" w:rsidRPr="00B17F9F" w:rsidRDefault="00B17F9F" w:rsidP="00D61C84">
      <w:pPr>
        <w:pStyle w:val="Heading5"/>
      </w:pPr>
      <w:r w:rsidRPr="00B17F9F">
        <w:t>AASB7.21</w:t>
      </w:r>
    </w:p>
    <w:p w14:paraId="341101DB" w14:textId="77777777" w:rsidR="00B17F9F" w:rsidRPr="00B17F9F" w:rsidRDefault="00B17F9F" w:rsidP="00D61C84">
      <w:r w:rsidRPr="00B17F9F">
        <w:t>These amounts represent liabilities for goods and services provided to the Group prior to the end of financial year, which are unpaid. The amounts are unsecured and are usually paid within 30 days of recognition.</w:t>
      </w:r>
    </w:p>
    <w:p w14:paraId="7988752F" w14:textId="0D4496EC" w:rsidR="00B17F9F" w:rsidRPr="00B17F9F" w:rsidRDefault="00B17F9F" w:rsidP="00D61C84">
      <w:pPr>
        <w:pStyle w:val="Heading3"/>
      </w:pPr>
      <w:r w:rsidRPr="00B17F9F">
        <w:t>(t)</w:t>
      </w:r>
      <w:r w:rsidR="005820FE">
        <w:t xml:space="preserve"> </w:t>
      </w:r>
      <w:r w:rsidRPr="00B17F9F">
        <w:t>Borrowings</w:t>
      </w:r>
    </w:p>
    <w:p w14:paraId="608EF113" w14:textId="101E029E" w:rsidR="00B17F9F" w:rsidRPr="00B17F9F" w:rsidRDefault="00B17F9F" w:rsidP="00CD5812">
      <w:pPr>
        <w:pStyle w:val="Heading5"/>
      </w:pPr>
      <w:r w:rsidRPr="00B17F9F">
        <w:t>AASB132.43</w:t>
      </w:r>
      <w:proofErr w:type="gramStart"/>
      <w:r w:rsidRPr="00B17F9F">
        <w:t>,47</w:t>
      </w:r>
      <w:proofErr w:type="gramEnd"/>
      <w:r w:rsidR="000F5FC8">
        <w:br/>
      </w:r>
      <w:r w:rsidRPr="00B17F9F">
        <w:t>AASB7.21</w:t>
      </w:r>
    </w:p>
    <w:p w14:paraId="66C3594B" w14:textId="77777777" w:rsidR="00B17F9F" w:rsidRPr="00B17F9F" w:rsidRDefault="00B17F9F" w:rsidP="00D61C84">
      <w:r w:rsidRPr="00B17F9F">
        <w:t>Borrowings are initially recognised at fair value, net of transaction costs incurred. Borrowings are subsequently measured at amortised cost. Any difference between the proceeds (net of transaction costs) and the redemption amount is recognised in the income statement over the period of the borrowings using the effective interest method. Fees paid on the establishment of loan facilities, which are not an incremental cost relating to the actual draw-down of the facility, are recognised as prepayments and amortised on a straight-line basis over the term of the facility.</w:t>
      </w:r>
    </w:p>
    <w:p w14:paraId="03E6B9C4" w14:textId="2DDC5073" w:rsidR="00B17F9F" w:rsidRPr="00B17F9F" w:rsidRDefault="00B17F9F" w:rsidP="00CD5812">
      <w:pPr>
        <w:pStyle w:val="Heading5"/>
      </w:pPr>
      <w:r w:rsidRPr="00B17F9F">
        <w:t>AASB132.18</w:t>
      </w:r>
      <w:r w:rsidR="000F5FC8">
        <w:br/>
      </w:r>
      <w:r w:rsidRPr="00B17F9F">
        <w:t>AASB7.21</w:t>
      </w:r>
    </w:p>
    <w:p w14:paraId="45714F2C" w14:textId="77777777" w:rsidR="00B17F9F" w:rsidRPr="00B17F9F" w:rsidRDefault="00B17F9F" w:rsidP="00D61C84">
      <w:r w:rsidRPr="00B17F9F">
        <w:t>Preference shares, which are mandatorily redeemable on a specific date, are classified as liabilities. The dividends paid on these preference shares are recognised in the income statement as borrowing costs.</w:t>
      </w:r>
    </w:p>
    <w:p w14:paraId="379CE647" w14:textId="780715CE" w:rsidR="00B17F9F" w:rsidRPr="00B17F9F" w:rsidRDefault="00B17F9F" w:rsidP="00CD5812">
      <w:pPr>
        <w:pStyle w:val="Heading5"/>
      </w:pPr>
      <w:r w:rsidRPr="00B17F9F">
        <w:t>AASB132.18</w:t>
      </w:r>
      <w:proofErr w:type="gramStart"/>
      <w:r w:rsidRPr="00B17F9F">
        <w:t>,</w:t>
      </w:r>
      <w:proofErr w:type="gramEnd"/>
      <w:r w:rsidR="000F5FC8">
        <w:br/>
      </w:r>
      <w:r w:rsidRPr="00B17F9F">
        <w:t>28,AG31a</w:t>
      </w:r>
    </w:p>
    <w:p w14:paraId="193AF6A8" w14:textId="77777777" w:rsidR="00B17F9F" w:rsidRPr="00B17F9F" w:rsidRDefault="00B17F9F" w:rsidP="00D61C84">
      <w:r w:rsidRPr="00B17F9F">
        <w:t>The fair value of the liability portion of a convertible bond is determined using a market interest rate for an equivalent non-convertible bond. This amount is recorded as a liability on an amortised cost basis until extinguished on conversion or maturity of the bonds. The remainder of the proceeds is allocated to the conversion option. This is recognised and included in shareholders’ equity, net of income tax effects.</w:t>
      </w:r>
    </w:p>
    <w:p w14:paraId="08794CFE" w14:textId="77777777" w:rsidR="00B17F9F" w:rsidRPr="00B17F9F" w:rsidRDefault="00B17F9F" w:rsidP="00CD5812">
      <w:pPr>
        <w:pStyle w:val="Heading5"/>
      </w:pPr>
      <w:r w:rsidRPr="00B17F9F">
        <w:t>AASB139.39, 41</w:t>
      </w:r>
    </w:p>
    <w:p w14:paraId="308B6CA3" w14:textId="77777777" w:rsidR="00B17F9F" w:rsidRPr="00B17F9F" w:rsidRDefault="00B17F9F" w:rsidP="00D61C84">
      <w:r w:rsidRPr="00B17F9F">
        <w:t>Borrowings are removed from the statement of financial position when the obligation specified in the contract is discharged, cancelled or expired. The difference between the carrying amount of a financial liability that has been extinguished or transferred to another party and the consideration paid, including any non-cash assets transferred or liabilities assumed, is recognised in other income or other expenses.</w:t>
      </w:r>
    </w:p>
    <w:p w14:paraId="4E39FD4D" w14:textId="77777777" w:rsidR="00B17F9F" w:rsidRPr="00B17F9F" w:rsidRDefault="00B17F9F" w:rsidP="00CD5812">
      <w:pPr>
        <w:pStyle w:val="Heading5"/>
      </w:pPr>
      <w:r w:rsidRPr="00B17F9F">
        <w:t>AASB101.69, 73</w:t>
      </w:r>
    </w:p>
    <w:p w14:paraId="21B74DCA" w14:textId="77777777" w:rsidR="00B17F9F" w:rsidRPr="00B17F9F" w:rsidRDefault="00B17F9F" w:rsidP="00D61C84">
      <w:r w:rsidRPr="00B17F9F">
        <w:t>Borrowings are classified as current liabilities unless the Group has an unconditional right to defer settlement of the liability for at least 12 months after the end of the reporting period and does not expect to settle the liability for at least 12 months after the end of the reporting period.</w:t>
      </w:r>
    </w:p>
    <w:p w14:paraId="3F0CA44F" w14:textId="50259E6F" w:rsidR="00B17F9F" w:rsidRPr="00B17F9F" w:rsidRDefault="005820FE" w:rsidP="00D61C84">
      <w:pPr>
        <w:pStyle w:val="Heading3"/>
      </w:pPr>
      <w:r>
        <w:t xml:space="preserve">(u) </w:t>
      </w:r>
      <w:r w:rsidR="00B17F9F" w:rsidRPr="00B17F9F">
        <w:t>Borrowing costs</w:t>
      </w:r>
    </w:p>
    <w:p w14:paraId="42A43035" w14:textId="77777777" w:rsidR="00CD5812" w:rsidRPr="00B17F9F" w:rsidRDefault="00CD5812" w:rsidP="00CD5812">
      <w:pPr>
        <w:pStyle w:val="Heading5"/>
      </w:pPr>
      <w:r w:rsidRPr="00B17F9F">
        <w:t>AASB123</w:t>
      </w:r>
    </w:p>
    <w:p w14:paraId="4D404A91" w14:textId="77777777" w:rsidR="00B17F9F" w:rsidRPr="00B17F9F" w:rsidRDefault="00B17F9F" w:rsidP="00D61C84">
      <w:r w:rsidRPr="00B17F9F">
        <w:t>Borrowing costs incurred for the construction of any qualifying asset are capitalised during the period of time that is required to complete and prepare the asset for its intended use or sale. Other borrowing costs are expensed. [Amend disclosures as required]</w:t>
      </w:r>
    </w:p>
    <w:p w14:paraId="6C293E9B" w14:textId="77777777" w:rsidR="00B17F9F" w:rsidRPr="00B17F9F" w:rsidRDefault="00B17F9F" w:rsidP="00D61C84">
      <w:r w:rsidRPr="00B17F9F">
        <w:t>Finance charges in respect of finance leases, and exchange differences arising from foreign currency borrowings to the extent that they are regarded as an adjustment to interest costs are included in the definition of borrowing costs.</w:t>
      </w:r>
    </w:p>
    <w:p w14:paraId="3943EA27" w14:textId="15752863" w:rsidR="00B17F9F" w:rsidRPr="00B17F9F" w:rsidRDefault="00B17F9F" w:rsidP="00D61C84">
      <w:pPr>
        <w:pStyle w:val="Heading3"/>
      </w:pPr>
      <w:r w:rsidRPr="00B17F9F">
        <w:lastRenderedPageBreak/>
        <w:t>(v)</w:t>
      </w:r>
      <w:r w:rsidR="005820FE">
        <w:t xml:space="preserve"> </w:t>
      </w:r>
      <w:r w:rsidRPr="00B17F9F">
        <w:t>Provisions</w:t>
      </w:r>
    </w:p>
    <w:p w14:paraId="7D7AA2FF" w14:textId="77777777" w:rsidR="00B17F9F" w:rsidRPr="00B17F9F" w:rsidRDefault="00B17F9F" w:rsidP="00CD5812">
      <w:pPr>
        <w:pStyle w:val="Heading5"/>
      </w:pPr>
      <w:r w:rsidRPr="00B17F9F">
        <w:t>AASB137.14</w:t>
      </w:r>
      <w:proofErr w:type="gramStart"/>
      <w:r w:rsidRPr="00B17F9F">
        <w:t>,24,63</w:t>
      </w:r>
      <w:proofErr w:type="gramEnd"/>
    </w:p>
    <w:p w14:paraId="64CBFFC1" w14:textId="77777777" w:rsidR="00B17F9F" w:rsidRPr="00B17F9F" w:rsidRDefault="00B17F9F" w:rsidP="00D61C84">
      <w:r w:rsidRPr="00B17F9F">
        <w:t>Provisions for legal claims and service warranties are recognised when: the Group has a present legal or constructive obligation as a result of past events; it is probable that an outflow of resources will be required to settle the obligation and the amount can be reliably estimated.</w:t>
      </w:r>
    </w:p>
    <w:p w14:paraId="011F7758" w14:textId="77777777" w:rsidR="00B17F9F" w:rsidRPr="00B17F9F" w:rsidRDefault="00B17F9F" w:rsidP="00D61C84">
      <w:r w:rsidRPr="00B17F9F">
        <w:t>Provisions are not recognised for future operating losses.</w:t>
      </w:r>
    </w:p>
    <w:p w14:paraId="210DECE6" w14:textId="77777777" w:rsidR="00B17F9F" w:rsidRPr="00B17F9F" w:rsidRDefault="00B17F9F" w:rsidP="00D61C84">
      <w:r w:rsidRPr="00B17F9F">
        <w:t>Where there are a number of similar obligations, the likelihood that an outflow will be required in settlement is determined by considering the class of obligations as a whole. A provision is recognised even if the likelihood of an outflow with respect to any one item included in the same class of obligations may be small.</w:t>
      </w:r>
    </w:p>
    <w:p w14:paraId="2D3D1EBF" w14:textId="77777777" w:rsidR="00B17F9F" w:rsidRPr="00B17F9F" w:rsidRDefault="00B17F9F" w:rsidP="00CD5812">
      <w:pPr>
        <w:pStyle w:val="Heading5"/>
      </w:pPr>
      <w:r w:rsidRPr="00B17F9F">
        <w:t>AASB137.36</w:t>
      </w:r>
      <w:proofErr w:type="gramStart"/>
      <w:r w:rsidRPr="00B17F9F">
        <w:t>,45,47,60</w:t>
      </w:r>
      <w:proofErr w:type="gramEnd"/>
    </w:p>
    <w:p w14:paraId="1CD1454E" w14:textId="77777777" w:rsidR="00B17F9F" w:rsidRPr="00B17F9F" w:rsidRDefault="00B17F9F" w:rsidP="00D61C84">
      <w:r w:rsidRPr="00B17F9F">
        <w:t>Provisions are measured at the present value of management’s best estimate of the expenditure required to settle the present obligation at the end of the reporting period. The discount rate used to determine the present value reflects current market assessments of the time value of money and the risks specific to the liability. The increase in the provision due to the passage of time is recognised as a finance cost.</w:t>
      </w:r>
    </w:p>
    <w:p w14:paraId="29A90958" w14:textId="38C55B90" w:rsidR="00B17F9F" w:rsidRPr="00B17F9F" w:rsidRDefault="00B17F9F" w:rsidP="00D61C84">
      <w:pPr>
        <w:pStyle w:val="Heading3"/>
      </w:pPr>
      <w:r w:rsidRPr="00B17F9F">
        <w:t>(w)</w:t>
      </w:r>
      <w:r w:rsidR="005820FE">
        <w:t xml:space="preserve"> </w:t>
      </w:r>
      <w:r w:rsidRPr="00B17F9F">
        <w:t>Employee benefits</w:t>
      </w:r>
    </w:p>
    <w:p w14:paraId="06E748CF" w14:textId="77777777" w:rsidR="00B17F9F" w:rsidRPr="00B17F9F" w:rsidRDefault="00B17F9F" w:rsidP="00AB24D3">
      <w:pPr>
        <w:pStyle w:val="Heading4"/>
      </w:pPr>
      <w:r w:rsidRPr="00B17F9F">
        <w:t>(i) Short-term obligations</w:t>
      </w:r>
    </w:p>
    <w:p w14:paraId="71E0E804" w14:textId="77777777" w:rsidR="00B17F9F" w:rsidRPr="00B17F9F" w:rsidRDefault="00B17F9F" w:rsidP="00D61C84">
      <w:pPr>
        <w:pStyle w:val="Heading5"/>
      </w:pPr>
      <w:r w:rsidRPr="00B17F9F">
        <w:t>AASB119.10</w:t>
      </w:r>
      <w:proofErr w:type="gramStart"/>
      <w:r w:rsidRPr="00B17F9F">
        <w:t>,11,13</w:t>
      </w:r>
      <w:proofErr w:type="gramEnd"/>
    </w:p>
    <w:p w14:paraId="5C31D1D8" w14:textId="77777777" w:rsidR="00B17F9F" w:rsidRPr="00B17F9F" w:rsidRDefault="00B17F9F" w:rsidP="00D61C84">
      <w:r w:rsidRPr="00B17F9F">
        <w:t>Liabilities for short-term employee benefits including wages and salaries, non-monetary benefits and profit-sharing bonuses are measured at the amount expected to be paid when the liability is settled, if it is expected to be settled wholly before twelve months after the end of the reporting period, and is recognised in other payables. Liabilities for non-accumulating sick leave are recognised when the leave is taken and measured at the rates payable.</w:t>
      </w:r>
    </w:p>
    <w:p w14:paraId="49469DFF" w14:textId="77777777" w:rsidR="00B17F9F" w:rsidRPr="00B17F9F" w:rsidRDefault="00B17F9F" w:rsidP="00AB24D3">
      <w:pPr>
        <w:pStyle w:val="Heading4"/>
      </w:pPr>
      <w:r w:rsidRPr="00B17F9F">
        <w:t>(ii) Other long-term obligations</w:t>
      </w:r>
    </w:p>
    <w:p w14:paraId="35281847" w14:textId="77777777" w:rsidR="00B17F9F" w:rsidRPr="00B17F9F" w:rsidRDefault="00B17F9F" w:rsidP="00D61C84">
      <w:pPr>
        <w:pStyle w:val="Heading5"/>
      </w:pPr>
      <w:r w:rsidRPr="00B17F9F">
        <w:t>AASB119.153</w:t>
      </w:r>
      <w:proofErr w:type="gramStart"/>
      <w:r w:rsidRPr="00B17F9F">
        <w:t>,154</w:t>
      </w:r>
      <w:proofErr w:type="gramEnd"/>
    </w:p>
    <w:p w14:paraId="2CBF016A" w14:textId="77777777" w:rsidR="00B17F9F" w:rsidRPr="00B17F9F" w:rsidRDefault="00B17F9F" w:rsidP="00D61C84">
      <w:r w:rsidRPr="00B17F9F">
        <w:t xml:space="preserve">The </w:t>
      </w:r>
      <w:proofErr w:type="gramStart"/>
      <w:r w:rsidRPr="00B17F9F">
        <w:t>liability for other long-term benefits are</w:t>
      </w:r>
      <w:proofErr w:type="gramEnd"/>
      <w:r w:rsidRPr="00B17F9F">
        <w:t xml:space="preserve"> those that are not expected to be settled wholly before twelve months after the end of the annual reporting period. Other long-term employee benefits include such things as annual </w:t>
      </w:r>
      <w:proofErr w:type="gramStart"/>
      <w:r w:rsidRPr="00B17F9F">
        <w:t>leave,</w:t>
      </w:r>
      <w:proofErr w:type="gramEnd"/>
      <w:r w:rsidRPr="00B17F9F">
        <w:t xml:space="preserve"> accumulating sick leave and long service leave liabilities.</w:t>
      </w:r>
    </w:p>
    <w:p w14:paraId="4AB8F472" w14:textId="77777777" w:rsidR="00B17F9F" w:rsidRPr="00B17F9F" w:rsidRDefault="00B17F9F" w:rsidP="00D61C84">
      <w:pPr>
        <w:pStyle w:val="Heading5"/>
      </w:pPr>
      <w:r w:rsidRPr="00B17F9F">
        <w:t>AASB119.155</w:t>
      </w:r>
      <w:proofErr w:type="gramStart"/>
      <w:r w:rsidRPr="00B17F9F">
        <w:t>,156</w:t>
      </w:r>
      <w:proofErr w:type="gramEnd"/>
    </w:p>
    <w:p w14:paraId="3486A2B0" w14:textId="77777777" w:rsidR="00B17F9F" w:rsidRPr="00B17F9F" w:rsidRDefault="00B17F9F" w:rsidP="00D61C84">
      <w:r w:rsidRPr="00B17F9F">
        <w:t xml:space="preserve">It is measured at the present value of expected future payments to be made in respect of services provided by employees up to the reporting date using the projected unit credit method. Consideration is given to </w:t>
      </w:r>
      <w:proofErr w:type="gramStart"/>
      <w:r w:rsidRPr="00B17F9F">
        <w:t>expected</w:t>
      </w:r>
      <w:proofErr w:type="gramEnd"/>
      <w:r w:rsidRPr="00B17F9F">
        <w:t xml:space="preserve"> future wage and salary levels, experience of employee departures and periods of service. Expected future payments are discounted using market yields at the reporting date on national government bonds with terms to maturity and currency that match, as closely as possible, the estimated future cash outflows</w:t>
      </w:r>
    </w:p>
    <w:p w14:paraId="11D46DA5" w14:textId="77777777" w:rsidR="00B17F9F" w:rsidRPr="00B17F9F" w:rsidRDefault="00B17F9F" w:rsidP="00D61C84">
      <w:pPr>
        <w:pStyle w:val="Heading5"/>
      </w:pPr>
      <w:r w:rsidRPr="00B17F9F">
        <w:t>AASB101.69d</w:t>
      </w:r>
    </w:p>
    <w:p w14:paraId="1D7EFBC8" w14:textId="77777777" w:rsidR="00B17F9F" w:rsidRPr="00B17F9F" w:rsidRDefault="00B17F9F" w:rsidP="00D61C84">
      <w:r w:rsidRPr="00B17F9F">
        <w:t>Regardless of the expected timing of settlements, provisions made in respect of employee benefits are classified as a current liability, unless there is an unconditional right to defer the settlement of the liability for at least twelve months after the reporting date, in which case it would be classified as a non-current liability.</w:t>
      </w:r>
    </w:p>
    <w:p w14:paraId="2E4622A8" w14:textId="77777777" w:rsidR="00B17F9F" w:rsidRPr="00B17F9F" w:rsidRDefault="00B17F9F" w:rsidP="00AB24D3">
      <w:pPr>
        <w:pStyle w:val="Heading4"/>
      </w:pPr>
      <w:r w:rsidRPr="00B17F9F">
        <w:t>(iii) Profit-sharing and bonus plans [omit if not applicable]</w:t>
      </w:r>
    </w:p>
    <w:p w14:paraId="53AC5D59" w14:textId="77777777" w:rsidR="00B17F9F" w:rsidRPr="00B17F9F" w:rsidRDefault="00B17F9F" w:rsidP="00D61C84">
      <w:pPr>
        <w:pStyle w:val="Heading5"/>
      </w:pPr>
      <w:r w:rsidRPr="00B17F9F">
        <w:t>AASB119.19</w:t>
      </w:r>
    </w:p>
    <w:p w14:paraId="168602C4" w14:textId="77777777" w:rsidR="00B17F9F" w:rsidRPr="00B17F9F" w:rsidRDefault="00B17F9F" w:rsidP="00D61C84">
      <w:r w:rsidRPr="00B17F9F">
        <w:t>The Group recognises a liability and an expense for bonuses and profit-sharing based on a formula that takes into consideration the profit attributable to the company’s shareholders after certain adjustments. The Group recognises a provision where contractually obliged or where there is a past practice that has created a constructive obligation and when a reliable estimate of the obligation can be made.</w:t>
      </w:r>
    </w:p>
    <w:p w14:paraId="16E11EDB" w14:textId="77777777" w:rsidR="00B17F9F" w:rsidRPr="00B17F9F" w:rsidRDefault="00B17F9F" w:rsidP="00AB24D3">
      <w:pPr>
        <w:pStyle w:val="Heading4"/>
      </w:pPr>
      <w:proofErr w:type="gramStart"/>
      <w:r w:rsidRPr="00B17F9F">
        <w:lastRenderedPageBreak/>
        <w:t>(iv) Retirement</w:t>
      </w:r>
      <w:proofErr w:type="gramEnd"/>
      <w:r w:rsidRPr="00B17F9F">
        <w:t xml:space="preserve"> benefit obligations</w:t>
      </w:r>
    </w:p>
    <w:p w14:paraId="556966C3" w14:textId="77777777" w:rsidR="00B17F9F" w:rsidRPr="00B17F9F" w:rsidRDefault="00B17F9F" w:rsidP="00D61C84">
      <w:pPr>
        <w:pStyle w:val="Heading5"/>
      </w:pPr>
      <w:r w:rsidRPr="00B17F9F">
        <w:t>AASB119.120Ab</w:t>
      </w:r>
      <w:proofErr w:type="gramStart"/>
      <w:r w:rsidRPr="00B17F9F">
        <w:t>,121</w:t>
      </w:r>
      <w:proofErr w:type="gramEnd"/>
    </w:p>
    <w:p w14:paraId="47983150" w14:textId="77777777" w:rsidR="00B17F9F" w:rsidRPr="00B17F9F" w:rsidRDefault="00B17F9F" w:rsidP="00D61C84">
      <w:r w:rsidRPr="00B17F9F">
        <w:t>All employees of the Group are entitled to benefits on retirement, disability or death from the Group’s superannuation plan. The Group has a defined benefit section and a defined contribution section within its plan. The defined benefit section provides defined lump sum benefits based on years of service and final average salary. The defined contribution section receives fixed contributions from Group companies and the Group’s legal or constructive obligation is limited to these contributions. The employees of the parent entity are all members of the defined contribution section of the Group’s plan.</w:t>
      </w:r>
    </w:p>
    <w:p w14:paraId="09455C04" w14:textId="77777777" w:rsidR="00B17F9F" w:rsidRPr="00B17F9F" w:rsidRDefault="00B17F9F" w:rsidP="00D61C84">
      <w:pPr>
        <w:pStyle w:val="Heading5"/>
      </w:pPr>
      <w:r w:rsidRPr="00B17F9F">
        <w:t>AASB119.63</w:t>
      </w:r>
      <w:proofErr w:type="gramStart"/>
      <w:r w:rsidRPr="00B17F9F">
        <w:t>,67</w:t>
      </w:r>
      <w:proofErr w:type="gramEnd"/>
    </w:p>
    <w:p w14:paraId="44E7C2AB" w14:textId="77777777" w:rsidR="00B17F9F" w:rsidRPr="00B17F9F" w:rsidRDefault="00B17F9F" w:rsidP="00D61C84">
      <w:r w:rsidRPr="00B17F9F">
        <w:t xml:space="preserve">A liability or asset in respect of defined benefit superannuation plans is recognised in the statement of financial position, and is measured as the present value of the defined benefit obligation at the reporting date less the fair value of the superannuation fund’s assets at that date. The present value of the defined benefit obligation is based on expected future payments which arise from membership of the fund to the reporting date, calculated annually by independent actuaries using the projected unit credit method. Consideration is given to </w:t>
      </w:r>
      <w:proofErr w:type="gramStart"/>
      <w:r w:rsidRPr="00B17F9F">
        <w:t>expected</w:t>
      </w:r>
      <w:proofErr w:type="gramEnd"/>
      <w:r w:rsidRPr="00B17F9F">
        <w:t xml:space="preserve"> future wage and salary levels, experience of employee departures and periods of service.</w:t>
      </w:r>
    </w:p>
    <w:p w14:paraId="7818829B" w14:textId="77777777" w:rsidR="00B17F9F" w:rsidRPr="00B17F9F" w:rsidRDefault="00B17F9F" w:rsidP="00D61C84">
      <w:pPr>
        <w:pStyle w:val="Heading5"/>
      </w:pPr>
      <w:r w:rsidRPr="00B17F9F">
        <w:t>AASB119.83</w:t>
      </w:r>
      <w:proofErr w:type="gramStart"/>
      <w:r w:rsidRPr="00B17F9F">
        <w:t>,Aus83.1</w:t>
      </w:r>
      <w:proofErr w:type="gramEnd"/>
    </w:p>
    <w:p w14:paraId="5F5768F8" w14:textId="77777777" w:rsidR="00B17F9F" w:rsidRPr="00B17F9F" w:rsidRDefault="00B17F9F" w:rsidP="00D61C84">
      <w:r w:rsidRPr="00B17F9F">
        <w:t>Expected future payments are discounted using market yields at the reporting date on national government bonds with terms to maturity and currency that match, as closely as possible, the estimated future cash outflows.</w:t>
      </w:r>
    </w:p>
    <w:p w14:paraId="4705E406" w14:textId="0FEDAE85" w:rsidR="00B17F9F" w:rsidRPr="00B17F9F" w:rsidRDefault="00B17F9F" w:rsidP="00D61C84">
      <w:pPr>
        <w:pStyle w:val="Heading5"/>
      </w:pPr>
      <w:r w:rsidRPr="00B17F9F">
        <w:t>AASB119.135b</w:t>
      </w:r>
      <w:r w:rsidR="008A4686">
        <w:br/>
      </w:r>
      <w:r w:rsidRPr="00B17F9F">
        <w:t>AASB119.120c</w:t>
      </w:r>
    </w:p>
    <w:p w14:paraId="48099E0F" w14:textId="77777777" w:rsidR="00B17F9F" w:rsidRPr="00B17F9F" w:rsidRDefault="00B17F9F" w:rsidP="00D61C84">
      <w:r w:rsidRPr="00B17F9F">
        <w:t>Remeasurement gains and losses arising from experience adjustments and changes in actuarial assumptions are recognised in the period in which they occur, directly in other comprehensive income. They are included in retained earnings in the statement of changes in equity and in the statement of financial position.</w:t>
      </w:r>
    </w:p>
    <w:p w14:paraId="301202DF" w14:textId="77777777" w:rsidR="00B17F9F" w:rsidRPr="00B17F9F" w:rsidRDefault="00B17F9F" w:rsidP="00D61C84">
      <w:pPr>
        <w:pStyle w:val="Heading5"/>
      </w:pPr>
      <w:r w:rsidRPr="00B17F9F">
        <w:t>AASB119.103</w:t>
      </w:r>
    </w:p>
    <w:p w14:paraId="3E04E53A" w14:textId="77777777" w:rsidR="00B17F9F" w:rsidRPr="00B17F9F" w:rsidRDefault="00B17F9F" w:rsidP="00D61C84">
      <w:r w:rsidRPr="00B17F9F">
        <w:t>Past service costs are recognised in profit or loss immediately.</w:t>
      </w:r>
    </w:p>
    <w:p w14:paraId="511B6083" w14:textId="77777777" w:rsidR="00B17F9F" w:rsidRPr="00B17F9F" w:rsidRDefault="00B17F9F" w:rsidP="00D61C84">
      <w:pPr>
        <w:pStyle w:val="Heading5"/>
      </w:pPr>
      <w:r w:rsidRPr="00B17F9F">
        <w:t>AASB119.51b</w:t>
      </w:r>
    </w:p>
    <w:p w14:paraId="22525C7B" w14:textId="77777777" w:rsidR="00B17F9F" w:rsidRPr="00B17F9F" w:rsidRDefault="00B17F9F" w:rsidP="00D61C84">
      <w:r w:rsidRPr="00B17F9F">
        <w:t>Contributions to the defined contribution section of [HEP</w:t>
      </w:r>
      <w:proofErr w:type="gramStart"/>
      <w:r w:rsidRPr="00B17F9F">
        <w:t>]s</w:t>
      </w:r>
      <w:proofErr w:type="gramEnd"/>
      <w:r w:rsidRPr="00B17F9F">
        <w:t xml:space="preserve"> superannuation fund and other independent defined contribution superannuation funds are recognised as an expense as they become payable. </w:t>
      </w:r>
    </w:p>
    <w:p w14:paraId="5799C3CA" w14:textId="48D7D594" w:rsidR="00B17F9F" w:rsidRPr="00B17F9F" w:rsidRDefault="00B17F9F" w:rsidP="00AB24D3">
      <w:pPr>
        <w:pStyle w:val="Heading4"/>
      </w:pPr>
      <w:r w:rsidRPr="00B17F9F">
        <w:t>(v) Deferred government benefit for superannuation</w:t>
      </w:r>
    </w:p>
    <w:p w14:paraId="40F90AD4" w14:textId="14871CFD" w:rsidR="00B17F9F" w:rsidRPr="00B17F9F" w:rsidRDefault="008A4686" w:rsidP="00CD5812">
      <w:pPr>
        <w:pStyle w:val="Heading5"/>
      </w:pPr>
      <w:r w:rsidRPr="00B17F9F">
        <w:t>Education</w:t>
      </w:r>
    </w:p>
    <w:p w14:paraId="2D2136D1" w14:textId="77777777" w:rsidR="00B17F9F" w:rsidRPr="00B17F9F" w:rsidRDefault="00B17F9F" w:rsidP="00D61C84">
      <w:r w:rsidRPr="00B17F9F">
        <w:t>In accordance with the 1998 instructions issued by the Department of Education, Training and Youth Affairs (DETYA) now known as the Department of Education (Education), the effects of the unfunded superannuation liabilities of [HEP] and its controlled entities were recorded in the Income Statement and the Statement of Financial Position for the first time in 1998. The prior years’ practice had been to disclose liabilities by way of a note to the financial statements.</w:t>
      </w:r>
    </w:p>
    <w:p w14:paraId="724482EA" w14:textId="77777777" w:rsidR="00B17F9F" w:rsidRPr="00B17F9F" w:rsidRDefault="00B17F9F" w:rsidP="00D61C84">
      <w:r w:rsidRPr="00B17F9F">
        <w:t>The unfunded liabilities recorded in the Statement of Financial Position under Provisions have been determined by [actuary] and relate to [describe]. [Describe methodology of measurement by actuary]</w:t>
      </w:r>
    </w:p>
    <w:p w14:paraId="65DCBA0A" w14:textId="77777777" w:rsidR="00B17F9F" w:rsidRPr="00B17F9F" w:rsidRDefault="00B17F9F" w:rsidP="00D61C84">
      <w:r w:rsidRPr="00B17F9F">
        <w:t>Deferred government benefits for superannuation are the amounts recognised as reimbursement rights as they are the amounts expected to be received from the Australian Government for the emerging costs of the superannuation funds for the life of the liability.</w:t>
      </w:r>
    </w:p>
    <w:p w14:paraId="097E3086" w14:textId="77777777" w:rsidR="00B17F9F" w:rsidRPr="00B17F9F" w:rsidRDefault="00B17F9F" w:rsidP="00D61C84">
      <w:r w:rsidRPr="00B17F9F">
        <w:t xml:space="preserve">Note 52 </w:t>
      </w:r>
      <w:proofErr w:type="gramStart"/>
      <w:r w:rsidRPr="00B17F9F">
        <w:t>discloses</w:t>
      </w:r>
      <w:proofErr w:type="gramEnd"/>
      <w:r w:rsidRPr="00B17F9F">
        <w:t xml:space="preserve"> specific treatment.</w:t>
      </w:r>
    </w:p>
    <w:p w14:paraId="0B0B7E94" w14:textId="77777777" w:rsidR="00B17F9F" w:rsidRPr="00B17F9F" w:rsidRDefault="00B17F9F" w:rsidP="00AB24D3">
      <w:pPr>
        <w:pStyle w:val="Heading4"/>
      </w:pPr>
      <w:proofErr w:type="gramStart"/>
      <w:r w:rsidRPr="00B17F9F">
        <w:lastRenderedPageBreak/>
        <w:t>(vi) Termination</w:t>
      </w:r>
      <w:proofErr w:type="gramEnd"/>
      <w:r w:rsidRPr="00B17F9F">
        <w:t xml:space="preserve"> benefits</w:t>
      </w:r>
    </w:p>
    <w:p w14:paraId="5303B241" w14:textId="77777777" w:rsidR="00B17F9F" w:rsidRPr="00B17F9F" w:rsidRDefault="00B17F9F" w:rsidP="00D61C84">
      <w:pPr>
        <w:pStyle w:val="Heading5"/>
      </w:pPr>
      <w:r w:rsidRPr="00B17F9F">
        <w:t>AASB119.159</w:t>
      </w:r>
      <w:proofErr w:type="gramStart"/>
      <w:r w:rsidRPr="00B17F9F">
        <w:t>,165,169</w:t>
      </w:r>
      <w:proofErr w:type="gramEnd"/>
    </w:p>
    <w:p w14:paraId="4FDA542F" w14:textId="77777777" w:rsidR="00B17F9F" w:rsidRPr="00B17F9F" w:rsidRDefault="00B17F9F" w:rsidP="00D61C84">
      <w:r w:rsidRPr="00B17F9F">
        <w:t>Termination benefits are payable when employment is terminated before the normal retirement date, or when an employee accepts an offer of benefits in exchange for the termination of employment. The Group recognises the expense and liability for termination benefits either when it can no longer withdraw the offer of those benefits or when it has recognised costs for restructuring within the scope of AASB137 that involves the payment of termination benefits. The expense and liability are recognised when the Group is demonstrably committed to either terminating the employment of current employees according to a detailed formal plan without possibility of withdrawal or providing termination benefits as a result of an offer made to encourage voluntary redundancy.</w:t>
      </w:r>
    </w:p>
    <w:p w14:paraId="636BBCA6" w14:textId="77777777" w:rsidR="00B17F9F" w:rsidRPr="00B17F9F" w:rsidRDefault="00B17F9F" w:rsidP="00D61C84">
      <w:r w:rsidRPr="00B17F9F">
        <w:t>Termination benefits are measured on initial recognition and subsequent changes are measured and recognised in accordance with the nature of the employee benefit. Benefits expected to be settled wholly within twelve months are measured at the undiscounted amount expected to be paid. Benefits not expected to be settled before twelve months after the end of the reporting period are discounted to present value.</w:t>
      </w:r>
    </w:p>
    <w:p w14:paraId="659437D5" w14:textId="0055E1F3" w:rsidR="00B17F9F" w:rsidRPr="00B17F9F" w:rsidRDefault="00B17F9F" w:rsidP="00D61C84">
      <w:pPr>
        <w:pStyle w:val="Heading3"/>
      </w:pPr>
      <w:r w:rsidRPr="00B17F9F">
        <w:t>(x)</w:t>
      </w:r>
      <w:r w:rsidR="008A4686">
        <w:t xml:space="preserve"> </w:t>
      </w:r>
      <w:r w:rsidRPr="00B17F9F">
        <w:t>Rounding of amounts</w:t>
      </w:r>
    </w:p>
    <w:p w14:paraId="022ED92C" w14:textId="77777777" w:rsidR="00B17F9F" w:rsidRPr="00B17F9F" w:rsidRDefault="00B17F9F" w:rsidP="00CD5812">
      <w:pPr>
        <w:pStyle w:val="Heading5"/>
      </w:pPr>
      <w:r w:rsidRPr="00B17F9F">
        <w:t>AASB101.51e</w:t>
      </w:r>
    </w:p>
    <w:p w14:paraId="5A4E2AF3" w14:textId="77777777" w:rsidR="00B17F9F" w:rsidRPr="00B17F9F" w:rsidRDefault="00B17F9F" w:rsidP="00D61C84">
      <w:r w:rsidRPr="00B17F9F">
        <w:t>Amounts in the financial statements have been rounded off in accordance with Class Order 98/100 as amended by Class Order 04/667 issued by the Australian Securities and Investment Commission (ASIC), relating to the ‘rounding off’ of amounts in the financial statements. Amounts have been rounded off to the nearest thousand dollars.</w:t>
      </w:r>
    </w:p>
    <w:p w14:paraId="01530D22" w14:textId="4DA90162" w:rsidR="00B17F9F" w:rsidRPr="00B17F9F" w:rsidRDefault="00B17F9F" w:rsidP="00D61C84">
      <w:pPr>
        <w:pStyle w:val="Heading3"/>
      </w:pPr>
      <w:r w:rsidRPr="00B17F9F">
        <w:t>(y)</w:t>
      </w:r>
      <w:r w:rsidR="008A4686">
        <w:t xml:space="preserve"> </w:t>
      </w:r>
      <w:r w:rsidRPr="00B17F9F">
        <w:t>Web site costs</w:t>
      </w:r>
    </w:p>
    <w:p w14:paraId="1F5D6FAE" w14:textId="0BF9CB29" w:rsidR="00B17F9F" w:rsidRPr="00B17F9F" w:rsidRDefault="00B17F9F" w:rsidP="00CD5812">
      <w:pPr>
        <w:pStyle w:val="Heading5"/>
      </w:pPr>
      <w:r w:rsidRPr="00B17F9F">
        <w:t>UIG132.8</w:t>
      </w:r>
      <w:r w:rsidR="008A4686">
        <w:br/>
      </w:r>
      <w:r w:rsidRPr="00B17F9F">
        <w:t>AASB138.21</w:t>
      </w:r>
      <w:proofErr w:type="gramStart"/>
      <w:r w:rsidRPr="00B17F9F">
        <w:t>,57,69</w:t>
      </w:r>
      <w:proofErr w:type="gramEnd"/>
    </w:p>
    <w:p w14:paraId="25FEA5F7" w14:textId="77777777" w:rsidR="00B17F9F" w:rsidRPr="00B17F9F" w:rsidRDefault="00B17F9F" w:rsidP="00D61C84">
      <w:r w:rsidRPr="00B17F9F">
        <w:t xml:space="preserve">Costs in relation to web sites controlled by a subsidiary arising from development are recognised as an intangible asset if, and only if, in addition to complying with the general requirements described in AASB138.21 for recognition and initial measurement, the subsidiary can satisfy the requirements in AASB138.57. When these criteria cannot be satisfied, all expenditure on developing such a web site shall be recognised as an expense when incurred. Expenditure on start–up activities is recognised as an expense when incurred. </w:t>
      </w:r>
    </w:p>
    <w:p w14:paraId="451A4B79" w14:textId="3C12551D" w:rsidR="00B17F9F" w:rsidRPr="00B17F9F" w:rsidRDefault="00B17F9F" w:rsidP="00D61C84">
      <w:pPr>
        <w:pStyle w:val="Heading3"/>
      </w:pPr>
      <w:r w:rsidRPr="00B17F9F">
        <w:t>(z)</w:t>
      </w:r>
      <w:r w:rsidR="005820FE">
        <w:t xml:space="preserve"> </w:t>
      </w:r>
      <w:r w:rsidRPr="00B17F9F">
        <w:t>Goods and Services Tax (GST)</w:t>
      </w:r>
    </w:p>
    <w:p w14:paraId="1CCE4B35" w14:textId="77777777" w:rsidR="00B17F9F" w:rsidRPr="00B17F9F" w:rsidRDefault="00B17F9F" w:rsidP="00CD5812">
      <w:pPr>
        <w:pStyle w:val="Heading5"/>
      </w:pPr>
      <w:r w:rsidRPr="00B17F9F">
        <w:t>UIG1031.6</w:t>
      </w:r>
      <w:proofErr w:type="gramStart"/>
      <w:r w:rsidRPr="00B17F9F">
        <w:t>,7</w:t>
      </w:r>
      <w:proofErr w:type="gramEnd"/>
    </w:p>
    <w:p w14:paraId="3127F976" w14:textId="77777777" w:rsidR="00B17F9F" w:rsidRPr="00B17F9F" w:rsidRDefault="00B17F9F" w:rsidP="00D61C84">
      <w:r w:rsidRPr="00B17F9F">
        <w:t>Revenues, expenses and assets are recognised net of the amount of associated GST, unless the GST incurred is not recoverable from the taxation authority. In this case, it is recognised as part of the cost of acquisition of the asset or as part of the expense.</w:t>
      </w:r>
    </w:p>
    <w:p w14:paraId="2972A10E" w14:textId="77777777" w:rsidR="00B17F9F" w:rsidRPr="00B17F9F" w:rsidRDefault="00B17F9F" w:rsidP="00CD5812">
      <w:pPr>
        <w:pStyle w:val="Heading5"/>
      </w:pPr>
      <w:r w:rsidRPr="00B17F9F">
        <w:t>UIG1031.8</w:t>
      </w:r>
      <w:proofErr w:type="gramStart"/>
      <w:r w:rsidRPr="00B17F9F">
        <w:t>,9</w:t>
      </w:r>
      <w:proofErr w:type="gramEnd"/>
    </w:p>
    <w:p w14:paraId="2D997060" w14:textId="77777777" w:rsidR="00B17F9F" w:rsidRPr="00B17F9F" w:rsidRDefault="00B17F9F" w:rsidP="00D61C84">
      <w:r w:rsidRPr="00B17F9F">
        <w:t>Receivables and payables are stated inclusive of the amount of GST receivable or payable. The net amount of GST recoverable from, or payable to, the taxation authority is included with other receivables or payables in the statement of financial position.</w:t>
      </w:r>
    </w:p>
    <w:p w14:paraId="09BE7486" w14:textId="77777777" w:rsidR="00B17F9F" w:rsidRPr="00B17F9F" w:rsidRDefault="00B17F9F" w:rsidP="00CD5812">
      <w:pPr>
        <w:pStyle w:val="Heading5"/>
      </w:pPr>
      <w:r w:rsidRPr="00B17F9F">
        <w:t>UIG1031.10</w:t>
      </w:r>
      <w:proofErr w:type="gramStart"/>
      <w:r w:rsidRPr="00B17F9F">
        <w:t>,11</w:t>
      </w:r>
      <w:proofErr w:type="gramEnd"/>
    </w:p>
    <w:p w14:paraId="6A88F645" w14:textId="0CAD4EA0" w:rsidR="00B17F9F" w:rsidRPr="00B17F9F" w:rsidRDefault="00B17F9F" w:rsidP="00D61C84">
      <w:r w:rsidRPr="00B17F9F">
        <w:t>Cash flows are presented on a gross basis. The GST components of cash flows arising from investing or financing activities which are recoverable f</w:t>
      </w:r>
      <w:r w:rsidR="00D113FB">
        <w:t>ro</w:t>
      </w:r>
      <w:r w:rsidRPr="00B17F9F">
        <w:t>m, or payable to the taxation authority, are presented as operating cash flows.</w:t>
      </w:r>
    </w:p>
    <w:p w14:paraId="4185F668" w14:textId="18CA1FA2" w:rsidR="00B17F9F" w:rsidRPr="00B17F9F" w:rsidRDefault="00B17F9F" w:rsidP="00D61C84">
      <w:pPr>
        <w:pStyle w:val="Heading3"/>
      </w:pPr>
      <w:r w:rsidRPr="00B17F9F">
        <w:lastRenderedPageBreak/>
        <w:t>(</w:t>
      </w:r>
      <w:proofErr w:type="spellStart"/>
      <w:proofErr w:type="gramStart"/>
      <w:r w:rsidR="008A4686">
        <w:t>a</w:t>
      </w:r>
      <w:r w:rsidRPr="00B17F9F">
        <w:t>a</w:t>
      </w:r>
      <w:proofErr w:type="spellEnd"/>
      <w:proofErr w:type="gramEnd"/>
      <w:r w:rsidRPr="00B17F9F">
        <w:t>)</w:t>
      </w:r>
      <w:r w:rsidR="005820FE">
        <w:t xml:space="preserve"> </w:t>
      </w:r>
      <w:r w:rsidRPr="00B17F9F">
        <w:t>Investment properties</w:t>
      </w:r>
    </w:p>
    <w:p w14:paraId="4B4AD2A4" w14:textId="77777777" w:rsidR="00B17F9F" w:rsidRPr="00B17F9F" w:rsidRDefault="00B17F9F" w:rsidP="00CD5812">
      <w:pPr>
        <w:pStyle w:val="Heading5"/>
      </w:pPr>
      <w:r w:rsidRPr="00B17F9F">
        <w:t>AASB140.Aus9.1</w:t>
      </w:r>
    </w:p>
    <w:p w14:paraId="107FB5C6" w14:textId="77777777" w:rsidR="00B17F9F" w:rsidRPr="00B17F9F" w:rsidRDefault="00B17F9F" w:rsidP="00D61C84">
      <w:r w:rsidRPr="00B17F9F">
        <w:t>[Include as appropriate]</w:t>
      </w:r>
    </w:p>
    <w:p w14:paraId="0E6D1864" w14:textId="77777777" w:rsidR="00B17F9F" w:rsidRPr="00B17F9F" w:rsidRDefault="00B17F9F" w:rsidP="00D61C84">
      <w:r w:rsidRPr="00B17F9F">
        <w:t>Investment properties exclude properties held to meet service delivery objectives of [HEP].</w:t>
      </w:r>
    </w:p>
    <w:p w14:paraId="147297F0" w14:textId="77777777" w:rsidR="00B17F9F" w:rsidRPr="00B17F9F" w:rsidRDefault="00B17F9F" w:rsidP="00CD5812">
      <w:pPr>
        <w:pStyle w:val="Heading5"/>
      </w:pPr>
      <w:r w:rsidRPr="00B17F9F">
        <w:t>AASB140.Aus20.1</w:t>
      </w:r>
    </w:p>
    <w:p w14:paraId="0B3B9720" w14:textId="77777777" w:rsidR="00B17F9F" w:rsidRPr="00B17F9F" w:rsidRDefault="00B17F9F" w:rsidP="00D61C84">
      <w:r w:rsidRPr="00B17F9F">
        <w:t>Investment properties are initially recognised at cost. Costs incurred subsequent to initial acquisition are capitalised when it is probable that future economic benefits in excess of the originally assessed performance of the asset will flow to [HEP]. Where an investment property is acquired at no cost or for nominal consideration, its cost shall be deemed to be its fair value as at the date of acquisition.</w:t>
      </w:r>
    </w:p>
    <w:p w14:paraId="4157D977" w14:textId="4F14B587" w:rsidR="00B17F9F" w:rsidRPr="00B17F9F" w:rsidRDefault="00B17F9F" w:rsidP="00CD5812">
      <w:pPr>
        <w:pStyle w:val="Heading5"/>
      </w:pPr>
      <w:r w:rsidRPr="00B17F9F">
        <w:t>AASB140.75a</w:t>
      </w:r>
      <w:proofErr w:type="gramStart"/>
      <w:r w:rsidRPr="00B17F9F">
        <w:t>,75d</w:t>
      </w:r>
      <w:proofErr w:type="gramEnd"/>
      <w:r w:rsidR="008A4686">
        <w:br/>
      </w:r>
      <w:r w:rsidRPr="00B17F9F">
        <w:t>AASB13.91a,93d</w:t>
      </w:r>
    </w:p>
    <w:p w14:paraId="623E8797" w14:textId="77777777" w:rsidR="00B17F9F" w:rsidRPr="00B17F9F" w:rsidRDefault="00B17F9F" w:rsidP="00D61C84">
      <w:r w:rsidRPr="00B17F9F">
        <w:t>Subsequent to initial recognition at cost, investment property is carried at fair value, which is based on active market prices of similar properties, adjusted, if necessary, for any difference in the nature, location or condition of the specific asset. If this information is not available, the Group uses alternative valuation methods such as recent prices in less active markets or discounted cash flow projections. These valuations are reviewed annually by a member of the Australian Property Institute. Changes in fair values are recorded in the income statement as part of the other income.</w:t>
      </w:r>
    </w:p>
    <w:p w14:paraId="666C997B" w14:textId="77777777" w:rsidR="00B17F9F" w:rsidRPr="00B17F9F" w:rsidRDefault="00B17F9F" w:rsidP="00CD5812">
      <w:pPr>
        <w:pStyle w:val="Heading5"/>
      </w:pPr>
      <w:r w:rsidRPr="00B17F9F">
        <w:t>AASB140.75f</w:t>
      </w:r>
      <w:r w:rsidRPr="00B17F9F">
        <w:br/>
        <w:t>AASB117.50</w:t>
      </w:r>
    </w:p>
    <w:p w14:paraId="6F48E9BC" w14:textId="77777777" w:rsidR="00B17F9F" w:rsidRPr="00B17F9F" w:rsidRDefault="00B17F9F" w:rsidP="00D61C84">
      <w:r w:rsidRPr="00B17F9F">
        <w:t>Rental revenue from the leasing of investment properties is recognised in the income statement in the periods in which it is receivable, as this represents the pattern of service rendered through the provision of the properties.</w:t>
      </w:r>
    </w:p>
    <w:p w14:paraId="76619E21" w14:textId="44FD33E7" w:rsidR="00B17F9F" w:rsidRPr="00B17F9F" w:rsidRDefault="00B17F9F" w:rsidP="00D61C84">
      <w:pPr>
        <w:pStyle w:val="Heading3"/>
      </w:pPr>
      <w:r w:rsidRPr="00B17F9F">
        <w:t>(</w:t>
      </w:r>
      <w:proofErr w:type="gramStart"/>
      <w:r w:rsidRPr="00B17F9F">
        <w:t>ab</w:t>
      </w:r>
      <w:proofErr w:type="gramEnd"/>
      <w:r w:rsidRPr="00B17F9F">
        <w:t>)</w:t>
      </w:r>
      <w:r w:rsidR="005820FE">
        <w:t xml:space="preserve"> </w:t>
      </w:r>
      <w:r w:rsidRPr="00B17F9F">
        <w:t>Comparative amounts</w:t>
      </w:r>
    </w:p>
    <w:p w14:paraId="0162BAE2" w14:textId="77777777" w:rsidR="00B17F9F" w:rsidRPr="00B17F9F" w:rsidRDefault="00B17F9F" w:rsidP="00D61C84">
      <w:r w:rsidRPr="00B17F9F">
        <w:t>Where necessary, comparative information has been reclassified to enhance comparability in respect of changes in presentation adopted in the current year.</w:t>
      </w:r>
    </w:p>
    <w:p w14:paraId="0D22B6D0" w14:textId="4CC6EC84" w:rsidR="00B17F9F" w:rsidRPr="00B17F9F" w:rsidRDefault="00B17F9F" w:rsidP="00D61C84">
      <w:pPr>
        <w:pStyle w:val="Heading3"/>
      </w:pPr>
      <w:r w:rsidRPr="00B17F9F">
        <w:t>(</w:t>
      </w:r>
      <w:proofErr w:type="gramStart"/>
      <w:r w:rsidRPr="00B17F9F">
        <w:t>ac</w:t>
      </w:r>
      <w:proofErr w:type="gramEnd"/>
      <w:r w:rsidRPr="00B17F9F">
        <w:t>)</w:t>
      </w:r>
      <w:r w:rsidR="005820FE">
        <w:t xml:space="preserve"> </w:t>
      </w:r>
      <w:r w:rsidRPr="00B17F9F">
        <w:t>Financial guarantee contracts</w:t>
      </w:r>
    </w:p>
    <w:p w14:paraId="300862E6" w14:textId="77777777" w:rsidR="00CD5812" w:rsidRPr="00B17F9F" w:rsidRDefault="00CD5812" w:rsidP="00CD5812">
      <w:pPr>
        <w:pStyle w:val="Heading5"/>
      </w:pPr>
      <w:r w:rsidRPr="00B17F9F">
        <w:t>AASB139.47c</w:t>
      </w:r>
    </w:p>
    <w:p w14:paraId="3915EA87" w14:textId="77777777" w:rsidR="00B17F9F" w:rsidRPr="00B17F9F" w:rsidRDefault="00B17F9F" w:rsidP="00D61C84">
      <w:r w:rsidRPr="00B17F9F">
        <w:t xml:space="preserve">Financial guarantee contracts are recognised as a financial liability at the time the guarantee is issued. The liability is initially measured at fair value and subsequently at the higher of the amount determined in accordance with AASB137 </w:t>
      </w:r>
      <w:r w:rsidRPr="00011B6F">
        <w:rPr>
          <w:i/>
        </w:rPr>
        <w:t>Provisions, Contingent Liabilities and Contingent Assets</w:t>
      </w:r>
      <w:r w:rsidRPr="00B17F9F">
        <w:t xml:space="preserve"> and the amount initially recognised less cumulative amortisation, where appropriate.</w:t>
      </w:r>
    </w:p>
    <w:p w14:paraId="6A9071EC" w14:textId="77777777" w:rsidR="00B17F9F" w:rsidRPr="00B17F9F" w:rsidRDefault="00B17F9F" w:rsidP="00D61C84">
      <w:r w:rsidRPr="00B17F9F">
        <w:t>The fair value of financial guarantees is determined as the present value of the difference in net cash flows between the contractual payments under the debt instrument and the payments that would be required without the guarantee, or the estimated amount that would be payable to a third party for assuming the obligations.</w:t>
      </w:r>
    </w:p>
    <w:p w14:paraId="19451BEE" w14:textId="77777777" w:rsidR="00B17F9F" w:rsidRPr="00B17F9F" w:rsidRDefault="00B17F9F" w:rsidP="00D61C84">
      <w:r w:rsidRPr="00B17F9F">
        <w:t>Where guarantees in relation to loans or other payables of subsidiaries or associates are provided for no compensation, the fair values are accounted for as contributions and recognised as part of the cost of the investment.</w:t>
      </w:r>
    </w:p>
    <w:p w14:paraId="58D49EC6" w14:textId="77777777" w:rsidR="00B17F9F" w:rsidRPr="00B17F9F" w:rsidRDefault="00B17F9F" w:rsidP="00D61C84">
      <w:pPr>
        <w:pStyle w:val="Heading3"/>
      </w:pPr>
      <w:r w:rsidRPr="00B17F9F">
        <w:t>(</w:t>
      </w:r>
      <w:proofErr w:type="gramStart"/>
      <w:r w:rsidRPr="00B17F9F">
        <w:t>ad</w:t>
      </w:r>
      <w:proofErr w:type="gramEnd"/>
      <w:r w:rsidRPr="00B17F9F">
        <w:t>) Correction of prior period errors</w:t>
      </w:r>
    </w:p>
    <w:p w14:paraId="6765E2E5" w14:textId="51FCBDB0" w:rsidR="00B17F9F" w:rsidRPr="00B17F9F" w:rsidRDefault="00CD5812" w:rsidP="00CD5812">
      <w:pPr>
        <w:pStyle w:val="Heading4"/>
      </w:pPr>
      <w:r w:rsidRPr="00B17F9F">
        <w:t xml:space="preserve"> </w:t>
      </w:r>
      <w:r w:rsidR="00B17F9F" w:rsidRPr="00B17F9F">
        <w:t>(a) Correction of error in the previous reporting period</w:t>
      </w:r>
    </w:p>
    <w:p w14:paraId="6805F91A" w14:textId="77777777" w:rsidR="00CD5812" w:rsidRPr="00B17F9F" w:rsidRDefault="00CD5812" w:rsidP="00CD5812">
      <w:pPr>
        <w:pStyle w:val="Heading5"/>
      </w:pPr>
      <w:r w:rsidRPr="00B17F9F">
        <w:t>AASB108.49a</w:t>
      </w:r>
      <w:proofErr w:type="gramStart"/>
      <w:r w:rsidRPr="00B17F9F">
        <w:t>,49c</w:t>
      </w:r>
      <w:proofErr w:type="gramEnd"/>
    </w:p>
    <w:p w14:paraId="0264FED2" w14:textId="4832576D" w:rsidR="00B17F9F" w:rsidRPr="00B17F9F" w:rsidRDefault="00CD5812" w:rsidP="00CD5812">
      <w:pPr>
        <w:ind w:left="720"/>
      </w:pPr>
      <w:r w:rsidRPr="00B17F9F">
        <w:t xml:space="preserve"> </w:t>
      </w:r>
      <w:r w:rsidR="00B17F9F" w:rsidRPr="00B17F9F">
        <w:t>[Insert details]</w:t>
      </w:r>
    </w:p>
    <w:p w14:paraId="07615573" w14:textId="0C507DEA" w:rsidR="00B17F9F" w:rsidRPr="00B17F9F" w:rsidRDefault="00CD5812" w:rsidP="00CD5812">
      <w:pPr>
        <w:pStyle w:val="Heading4"/>
      </w:pPr>
      <w:r w:rsidRPr="00B17F9F">
        <w:lastRenderedPageBreak/>
        <w:t xml:space="preserve"> </w:t>
      </w:r>
      <w:r w:rsidR="00B17F9F" w:rsidRPr="00B17F9F">
        <w:t>(b) Revision of estimates</w:t>
      </w:r>
    </w:p>
    <w:p w14:paraId="06FB3821" w14:textId="77777777" w:rsidR="00CD5812" w:rsidRPr="00B17F9F" w:rsidRDefault="00CD5812" w:rsidP="00CD5812">
      <w:pPr>
        <w:pStyle w:val="Heading5"/>
      </w:pPr>
      <w:r w:rsidRPr="00B17F9F">
        <w:t>AASB108.39</w:t>
      </w:r>
    </w:p>
    <w:p w14:paraId="791E7976" w14:textId="6EA4ED5A" w:rsidR="00B17F9F" w:rsidRPr="00B17F9F" w:rsidRDefault="00CD5812" w:rsidP="00CD5812">
      <w:pPr>
        <w:ind w:left="720"/>
      </w:pPr>
      <w:r w:rsidRPr="00B17F9F">
        <w:t xml:space="preserve"> </w:t>
      </w:r>
      <w:r w:rsidR="00B17F9F" w:rsidRPr="00B17F9F">
        <w:t>[Insert details]</w:t>
      </w:r>
    </w:p>
    <w:p w14:paraId="724349FD" w14:textId="77777777" w:rsidR="00AE4392" w:rsidRDefault="00AE4392" w:rsidP="00D61C84">
      <w:pPr>
        <w:spacing w:after="0"/>
        <w:rPr>
          <w:rFonts w:asciiTheme="majorHAnsi" w:eastAsiaTheme="majorEastAsia" w:hAnsiTheme="majorHAnsi"/>
          <w:b/>
          <w:bCs/>
          <w:sz w:val="26"/>
          <w:szCs w:val="26"/>
        </w:rPr>
      </w:pPr>
      <w:r>
        <w:br w:type="page"/>
      </w:r>
    </w:p>
    <w:p w14:paraId="437F3FF8" w14:textId="643F7A4A" w:rsidR="00B17F9F" w:rsidRPr="00B17F9F" w:rsidRDefault="00B17F9F" w:rsidP="00D61C84">
      <w:pPr>
        <w:pStyle w:val="Heading3"/>
      </w:pPr>
      <w:r w:rsidRPr="00B17F9F">
        <w:lastRenderedPageBreak/>
        <w:t>(</w:t>
      </w:r>
      <w:proofErr w:type="spellStart"/>
      <w:proofErr w:type="gramStart"/>
      <w:r w:rsidRPr="00B17F9F">
        <w:t>ae</w:t>
      </w:r>
      <w:proofErr w:type="spellEnd"/>
      <w:proofErr w:type="gramEnd"/>
      <w:r w:rsidRPr="00B17F9F">
        <w:t>)</w:t>
      </w:r>
      <w:r w:rsidR="005820FE">
        <w:t xml:space="preserve"> </w:t>
      </w:r>
      <w:r w:rsidRPr="00B17F9F">
        <w:t>New Accounting Standards and Interpretations</w:t>
      </w:r>
    </w:p>
    <w:p w14:paraId="5C69B747" w14:textId="77777777" w:rsidR="00B17F9F" w:rsidRPr="00B17F9F" w:rsidRDefault="00B17F9F" w:rsidP="001A5D4A">
      <w:r w:rsidRPr="00B17F9F">
        <w:t>Certain new Accounting Standards and Interpretations have been published that are not mandatory for 31 December 2014 reporting periods. [HEP]’s assessment of the impact of these new Standards and Interpretations is set out below:</w:t>
      </w:r>
    </w:p>
    <w:tbl>
      <w:tblPr>
        <w:tblStyle w:val="MediumGrid3-Accent5"/>
        <w:tblW w:w="5000" w:type="pct"/>
        <w:tblLook w:val="0620" w:firstRow="1" w:lastRow="0" w:firstColumn="0" w:lastColumn="0" w:noHBand="1" w:noVBand="1"/>
      </w:tblPr>
      <w:tblGrid>
        <w:gridCol w:w="1726"/>
        <w:gridCol w:w="4575"/>
        <w:gridCol w:w="3666"/>
      </w:tblGrid>
      <w:tr w:rsidR="00B25D73" w:rsidRPr="008A4686" w14:paraId="02702CC2" w14:textId="77777777" w:rsidTr="006319C9">
        <w:trPr>
          <w:cnfStyle w:val="100000000000" w:firstRow="1" w:lastRow="0" w:firstColumn="0" w:lastColumn="0" w:oddVBand="0" w:evenVBand="0" w:oddHBand="0" w:evenHBand="0" w:firstRowFirstColumn="0" w:firstRowLastColumn="0" w:lastRowFirstColumn="0" w:lastRowLastColumn="0"/>
          <w:cantSplit/>
          <w:trHeight w:val="161"/>
          <w:tblHeader/>
        </w:trPr>
        <w:tc>
          <w:tcPr>
            <w:tcW w:w="866" w:type="pct"/>
          </w:tcPr>
          <w:p w14:paraId="2084A2D4" w14:textId="77777777" w:rsidR="008A4686" w:rsidRPr="008A4686" w:rsidRDefault="008A4686" w:rsidP="001A5D4A">
            <w:r w:rsidRPr="008A4686">
              <w:t>Standard</w:t>
            </w:r>
          </w:p>
        </w:tc>
        <w:tc>
          <w:tcPr>
            <w:tcW w:w="2295" w:type="pct"/>
          </w:tcPr>
          <w:p w14:paraId="1B675079" w14:textId="77777777" w:rsidR="008A4686" w:rsidRPr="008A4686" w:rsidRDefault="008A4686" w:rsidP="001A5D4A">
            <w:r w:rsidRPr="008A4686">
              <w:t>Application date</w:t>
            </w:r>
          </w:p>
        </w:tc>
        <w:tc>
          <w:tcPr>
            <w:tcW w:w="1839" w:type="pct"/>
          </w:tcPr>
          <w:p w14:paraId="6586E0EF" w14:textId="77777777" w:rsidR="008A4686" w:rsidRPr="008A4686" w:rsidRDefault="008A4686" w:rsidP="001A5D4A">
            <w:r w:rsidRPr="008A4686">
              <w:t>Implications</w:t>
            </w:r>
          </w:p>
        </w:tc>
      </w:tr>
      <w:tr w:rsidR="00B25D73" w:rsidRPr="008A4686" w14:paraId="17A8AAAE" w14:textId="77777777" w:rsidTr="00B25D73">
        <w:trPr>
          <w:trHeight w:val="161"/>
        </w:trPr>
        <w:tc>
          <w:tcPr>
            <w:tcW w:w="866" w:type="pct"/>
          </w:tcPr>
          <w:p w14:paraId="2471D297" w14:textId="77777777" w:rsidR="008A4686" w:rsidRPr="008A4686" w:rsidRDefault="008A4686" w:rsidP="001A5D4A">
            <w:r w:rsidRPr="008A4686">
              <w:t>2010-7</w:t>
            </w:r>
          </w:p>
        </w:tc>
        <w:tc>
          <w:tcPr>
            <w:tcW w:w="2295" w:type="pct"/>
          </w:tcPr>
          <w:p w14:paraId="3DA8A29B" w14:textId="77777777" w:rsidR="008A4686" w:rsidRPr="008A4686" w:rsidRDefault="008A4686" w:rsidP="001A5D4A">
            <w:r w:rsidRPr="008A4686">
              <w:t>1 Jan 2018</w:t>
            </w:r>
          </w:p>
        </w:tc>
        <w:tc>
          <w:tcPr>
            <w:tcW w:w="1839" w:type="pct"/>
          </w:tcPr>
          <w:p w14:paraId="0972E430" w14:textId="77777777" w:rsidR="008A4686" w:rsidRPr="008A4686" w:rsidRDefault="008A4686" w:rsidP="001A5D4A">
            <w:r w:rsidRPr="008A4686">
              <w:t>Not assessed</w:t>
            </w:r>
          </w:p>
        </w:tc>
      </w:tr>
      <w:tr w:rsidR="00B25D73" w:rsidRPr="008A4686" w14:paraId="6A5993A0" w14:textId="77777777" w:rsidTr="00B25D73">
        <w:trPr>
          <w:trHeight w:val="161"/>
        </w:trPr>
        <w:tc>
          <w:tcPr>
            <w:tcW w:w="866" w:type="pct"/>
          </w:tcPr>
          <w:p w14:paraId="3CA89341" w14:textId="77777777" w:rsidR="008A4686" w:rsidRPr="008A4686" w:rsidRDefault="008A4686" w:rsidP="001A5D4A">
            <w:r w:rsidRPr="008A4686">
              <w:t>2014-1</w:t>
            </w:r>
          </w:p>
        </w:tc>
        <w:tc>
          <w:tcPr>
            <w:tcW w:w="2295" w:type="pct"/>
          </w:tcPr>
          <w:p w14:paraId="2A25E760" w14:textId="77777777" w:rsidR="008A4686" w:rsidRPr="008A4686" w:rsidRDefault="008A4686" w:rsidP="001A5D4A">
            <w:r w:rsidRPr="008A4686">
              <w:t>various</w:t>
            </w:r>
          </w:p>
        </w:tc>
        <w:tc>
          <w:tcPr>
            <w:tcW w:w="1839" w:type="pct"/>
          </w:tcPr>
          <w:p w14:paraId="0B2A21A6" w14:textId="77777777" w:rsidR="008A4686" w:rsidRPr="008A4686" w:rsidRDefault="008A4686" w:rsidP="001A5D4A">
            <w:r w:rsidRPr="008A4686">
              <w:t>Not assessed</w:t>
            </w:r>
          </w:p>
        </w:tc>
      </w:tr>
      <w:tr w:rsidR="00B25D73" w:rsidRPr="008A4686" w:rsidDel="00222C37" w14:paraId="3593F200" w14:textId="77777777" w:rsidTr="00B25D73">
        <w:trPr>
          <w:trHeight w:val="161"/>
        </w:trPr>
        <w:tc>
          <w:tcPr>
            <w:tcW w:w="866" w:type="pct"/>
          </w:tcPr>
          <w:p w14:paraId="0981556B" w14:textId="77777777" w:rsidR="008A4686" w:rsidRPr="008A4686" w:rsidDel="00222C37" w:rsidRDefault="008A4686" w:rsidP="001A5D4A">
            <w:r w:rsidRPr="008A4686">
              <w:t>2014-3</w:t>
            </w:r>
          </w:p>
        </w:tc>
        <w:tc>
          <w:tcPr>
            <w:tcW w:w="2295" w:type="pct"/>
          </w:tcPr>
          <w:p w14:paraId="41B699C0" w14:textId="77777777" w:rsidR="008A4686" w:rsidRPr="008A4686" w:rsidDel="00222C37" w:rsidRDefault="008A4686" w:rsidP="001A5D4A">
            <w:r w:rsidRPr="008A4686">
              <w:t>1 Jan 2016 (early adoption permitted)</w:t>
            </w:r>
          </w:p>
        </w:tc>
        <w:tc>
          <w:tcPr>
            <w:tcW w:w="1839" w:type="pct"/>
          </w:tcPr>
          <w:p w14:paraId="15353737" w14:textId="77777777" w:rsidR="008A4686" w:rsidRPr="008A4686" w:rsidDel="00222C37" w:rsidRDefault="008A4686" w:rsidP="001A5D4A">
            <w:r w:rsidRPr="008A4686">
              <w:t>Not assessed</w:t>
            </w:r>
          </w:p>
        </w:tc>
      </w:tr>
      <w:tr w:rsidR="00B25D73" w:rsidRPr="008A4686" w14:paraId="0DD9AE87" w14:textId="77777777" w:rsidTr="00B25D73">
        <w:trPr>
          <w:trHeight w:val="161"/>
        </w:trPr>
        <w:tc>
          <w:tcPr>
            <w:tcW w:w="866" w:type="pct"/>
          </w:tcPr>
          <w:p w14:paraId="07B7CC9C" w14:textId="77777777" w:rsidR="008A4686" w:rsidRPr="008A4686" w:rsidRDefault="008A4686" w:rsidP="001A5D4A">
            <w:r w:rsidRPr="008A4686">
              <w:t>2014-4</w:t>
            </w:r>
          </w:p>
        </w:tc>
        <w:tc>
          <w:tcPr>
            <w:tcW w:w="2295" w:type="pct"/>
          </w:tcPr>
          <w:p w14:paraId="313131A6" w14:textId="77777777" w:rsidR="008A4686" w:rsidRPr="008A4686" w:rsidRDefault="008A4686" w:rsidP="001A5D4A">
            <w:r w:rsidRPr="008A4686">
              <w:t>1 Jan 2016 (early adoption permitted)</w:t>
            </w:r>
          </w:p>
        </w:tc>
        <w:tc>
          <w:tcPr>
            <w:tcW w:w="1839" w:type="pct"/>
          </w:tcPr>
          <w:p w14:paraId="474A70E4" w14:textId="77777777" w:rsidR="008A4686" w:rsidRPr="008A4686" w:rsidRDefault="008A4686" w:rsidP="001A5D4A">
            <w:r w:rsidRPr="008A4686">
              <w:t>Not assessed</w:t>
            </w:r>
          </w:p>
        </w:tc>
      </w:tr>
      <w:tr w:rsidR="00B25D73" w:rsidRPr="008A4686" w14:paraId="5A1F7EEA" w14:textId="77777777" w:rsidTr="00B25D73">
        <w:trPr>
          <w:trHeight w:val="161"/>
        </w:trPr>
        <w:tc>
          <w:tcPr>
            <w:tcW w:w="866" w:type="pct"/>
          </w:tcPr>
          <w:p w14:paraId="73092065" w14:textId="77777777" w:rsidR="008A4686" w:rsidRPr="008A4686" w:rsidRDefault="008A4686" w:rsidP="001A5D4A">
            <w:r w:rsidRPr="008A4686">
              <w:t>[Specify]</w:t>
            </w:r>
          </w:p>
        </w:tc>
        <w:tc>
          <w:tcPr>
            <w:tcW w:w="2295" w:type="pct"/>
          </w:tcPr>
          <w:p w14:paraId="402CBB1A" w14:textId="77777777" w:rsidR="008A4686" w:rsidRPr="008A4686" w:rsidRDefault="008A4686" w:rsidP="001A5D4A">
            <w:r w:rsidRPr="008A4686">
              <w:t>[Specify]</w:t>
            </w:r>
          </w:p>
        </w:tc>
        <w:tc>
          <w:tcPr>
            <w:tcW w:w="1839" w:type="pct"/>
          </w:tcPr>
          <w:p w14:paraId="0F12AA64" w14:textId="77777777" w:rsidR="008A4686" w:rsidRPr="008A4686" w:rsidRDefault="008A4686" w:rsidP="001A5D4A">
            <w:r w:rsidRPr="008A4686">
              <w:t>[Specify]</w:t>
            </w:r>
          </w:p>
        </w:tc>
      </w:tr>
    </w:tbl>
    <w:p w14:paraId="4BB3E91A" w14:textId="305F351A" w:rsidR="00F852D8" w:rsidRPr="004C04A7" w:rsidRDefault="00F852D8" w:rsidP="001A5D4A">
      <w:pPr>
        <w:pStyle w:val="Heading3"/>
        <w:rPr>
          <w:color w:val="2D3E7B" w:themeColor="text2" w:themeShade="BF"/>
        </w:rPr>
      </w:pPr>
      <w:bookmarkStart w:id="251" w:name="_Toc410807605"/>
      <w:bookmarkStart w:id="252" w:name="_Toc410822655"/>
      <w:r w:rsidRPr="004C04A7">
        <w:rPr>
          <w:color w:val="2D3E7B" w:themeColor="text2" w:themeShade="BF"/>
        </w:rPr>
        <w:t xml:space="preserve">Commentary </w:t>
      </w:r>
      <w:r w:rsidR="003710EB" w:rsidRPr="004C04A7">
        <w:rPr>
          <w:color w:val="2D3E7B" w:themeColor="text2" w:themeShade="BF"/>
        </w:rPr>
        <w:t>-</w:t>
      </w:r>
      <w:r w:rsidRPr="004C04A7">
        <w:rPr>
          <w:color w:val="2D3E7B" w:themeColor="text2" w:themeShade="BF"/>
        </w:rPr>
        <w:t xml:space="preserve"> Summary of significant accounting policies</w:t>
      </w:r>
      <w:bookmarkEnd w:id="251"/>
      <w:bookmarkEnd w:id="252"/>
    </w:p>
    <w:p w14:paraId="3A8D348D" w14:textId="7BB98EAA" w:rsidR="00F852D8" w:rsidRPr="008F7914" w:rsidRDefault="003710EB" w:rsidP="009304CF">
      <w:pPr>
        <w:pStyle w:val="Heading6"/>
      </w:pPr>
      <w:r w:rsidRPr="008F7914">
        <w:t>Education</w:t>
      </w:r>
    </w:p>
    <w:p w14:paraId="5625CB21" w14:textId="77777777" w:rsidR="00F852D8" w:rsidRPr="00CD5812" w:rsidRDefault="00F852D8" w:rsidP="001A5D4A">
      <w:pPr>
        <w:rPr>
          <w:color w:val="2D3E7B" w:themeColor="text2" w:themeShade="BF"/>
        </w:rPr>
      </w:pPr>
      <w:r w:rsidRPr="00CD5812">
        <w:rPr>
          <w:color w:val="2D3E7B" w:themeColor="text2" w:themeShade="BF"/>
        </w:rPr>
        <w:t xml:space="preserve">Each HEP is to include or exclude specific accounting policies as it sees fit, bearing in mind information needs of users </w:t>
      </w:r>
    </w:p>
    <w:p w14:paraId="38DF299C" w14:textId="77777777" w:rsidR="00F852D8" w:rsidRPr="00CD5812" w:rsidDel="00074929" w:rsidRDefault="00F852D8" w:rsidP="00AB24D3">
      <w:pPr>
        <w:pStyle w:val="Heading4"/>
        <w:rPr>
          <w:color w:val="2D3E7B" w:themeColor="text2" w:themeShade="BF"/>
        </w:rPr>
      </w:pPr>
      <w:r w:rsidRPr="00CD5812">
        <w:rPr>
          <w:color w:val="2D3E7B" w:themeColor="text2" w:themeShade="BF"/>
        </w:rPr>
        <w:t>Summary of accounting policies</w:t>
      </w:r>
    </w:p>
    <w:p w14:paraId="58F42428" w14:textId="77777777" w:rsidR="00F852D8" w:rsidRPr="00CD5812" w:rsidDel="00074929" w:rsidRDefault="00F852D8" w:rsidP="009304CF">
      <w:pPr>
        <w:pStyle w:val="Heading6"/>
      </w:pPr>
      <w:r w:rsidRPr="00CD5812">
        <w:t>Contents</w:t>
      </w:r>
    </w:p>
    <w:p w14:paraId="2EFD0D8C" w14:textId="77777777" w:rsidR="00F852D8" w:rsidRPr="00CD5812" w:rsidDel="00074929" w:rsidRDefault="00F852D8" w:rsidP="001A5D4A">
      <w:pPr>
        <w:rPr>
          <w:color w:val="2D3E7B" w:themeColor="text2" w:themeShade="BF"/>
        </w:rPr>
      </w:pPr>
      <w:r w:rsidRPr="00CD5812">
        <w:rPr>
          <w:color w:val="2D3E7B" w:themeColor="text2" w:themeShade="BF"/>
        </w:rPr>
        <w:t>A summary of significant accounting policies must include:</w:t>
      </w:r>
    </w:p>
    <w:p w14:paraId="3CFD854F" w14:textId="77777777" w:rsidR="00F852D8" w:rsidRPr="00B40DF8" w:rsidRDefault="00F852D8" w:rsidP="004F3ED9">
      <w:pPr>
        <w:pStyle w:val="Heading6"/>
      </w:pPr>
      <w:r w:rsidRPr="00B40DF8">
        <w:t>AASB101.117a</w:t>
      </w:r>
    </w:p>
    <w:p w14:paraId="64EFEC2F" w14:textId="3706CBB3" w:rsidR="00F852D8" w:rsidRPr="00CD5812" w:rsidDel="00074929" w:rsidRDefault="00F852D8" w:rsidP="00B40DF8">
      <w:pPr>
        <w:pStyle w:val="ListParagraph"/>
        <w:numPr>
          <w:ilvl w:val="0"/>
          <w:numId w:val="24"/>
        </w:numPr>
        <w:ind w:left="340" w:hanging="340"/>
        <w:rPr>
          <w:color w:val="2D3E7B" w:themeColor="text2" w:themeShade="BF"/>
        </w:rPr>
      </w:pPr>
      <w:r w:rsidRPr="00CD5812">
        <w:rPr>
          <w:color w:val="2D3E7B" w:themeColor="text2" w:themeShade="BF"/>
        </w:rPr>
        <w:t>the measurement basis (or bases) used in preparing the financial report; and</w:t>
      </w:r>
    </w:p>
    <w:p w14:paraId="6344A1A9" w14:textId="77777777" w:rsidR="00F852D8" w:rsidRPr="00B40DF8" w:rsidRDefault="00F852D8" w:rsidP="004F3ED9">
      <w:pPr>
        <w:pStyle w:val="Heading6"/>
      </w:pPr>
      <w:r w:rsidRPr="00B40DF8">
        <w:t>AASB101.117b</w:t>
      </w:r>
    </w:p>
    <w:p w14:paraId="5AFAC163" w14:textId="15DD8E59" w:rsidR="00F852D8" w:rsidRPr="00CD5812" w:rsidDel="00074929" w:rsidRDefault="00F852D8" w:rsidP="00B40DF8">
      <w:pPr>
        <w:pStyle w:val="ListParagraph"/>
        <w:numPr>
          <w:ilvl w:val="0"/>
          <w:numId w:val="24"/>
        </w:numPr>
        <w:ind w:left="340" w:hanging="340"/>
        <w:rPr>
          <w:color w:val="2D3E7B" w:themeColor="text2" w:themeShade="BF"/>
        </w:rPr>
      </w:pPr>
      <w:proofErr w:type="gramStart"/>
      <w:r w:rsidRPr="00CD5812">
        <w:rPr>
          <w:color w:val="2D3E7B" w:themeColor="text2" w:themeShade="BF"/>
        </w:rPr>
        <w:t>the</w:t>
      </w:r>
      <w:proofErr w:type="gramEnd"/>
      <w:r w:rsidRPr="00CD5812">
        <w:rPr>
          <w:color w:val="2D3E7B" w:themeColor="text2" w:themeShade="BF"/>
        </w:rPr>
        <w:t xml:space="preserve"> other accounting policies used that are relevant to an understanding of the financial report.</w:t>
      </w:r>
    </w:p>
    <w:p w14:paraId="471B62B4" w14:textId="77777777" w:rsidR="00F852D8" w:rsidRPr="00CD5812" w:rsidDel="00074929" w:rsidRDefault="00F852D8" w:rsidP="009304CF">
      <w:pPr>
        <w:pStyle w:val="Heading6"/>
      </w:pPr>
      <w:r w:rsidRPr="00CD5812">
        <w:t>Whether to disclose an accounting policy</w:t>
      </w:r>
    </w:p>
    <w:p w14:paraId="00A660A5" w14:textId="77777777" w:rsidR="00F852D8" w:rsidRPr="00B40DF8" w:rsidRDefault="00F852D8" w:rsidP="004F3ED9">
      <w:pPr>
        <w:pStyle w:val="Heading6"/>
      </w:pPr>
      <w:r w:rsidRPr="00B40DF8">
        <w:t>AASB101.119</w:t>
      </w:r>
    </w:p>
    <w:p w14:paraId="09D657D6" w14:textId="77777777" w:rsidR="00F852D8" w:rsidRPr="004C04A7" w:rsidDel="00074929" w:rsidRDefault="00F852D8" w:rsidP="001A5D4A">
      <w:pPr>
        <w:rPr>
          <w:color w:val="2D3E7B" w:themeColor="text2" w:themeShade="BF"/>
        </w:rPr>
      </w:pPr>
      <w:r w:rsidRPr="004C04A7">
        <w:rPr>
          <w:color w:val="2D3E7B" w:themeColor="text2" w:themeShade="BF"/>
        </w:rPr>
        <w:t xml:space="preserve">In deciding whether a particular accounting policy should be disclosed, management considers whether disclosure would assist users in understanding how transactions, other events and conditions are reflected in the reported financial performance and financial position. Disclosure of particular accounting policies is especially useful to users when those policies are selected from alternatives allowed in Australian Accounting Standards. Some Australian Accounting Standards specifically require disclosure of particular accounting policies, including choices made by management between different policies they allow. For example, AASB116 </w:t>
      </w:r>
      <w:r w:rsidRPr="00011B6F">
        <w:rPr>
          <w:i/>
          <w:color w:val="2D3E7B" w:themeColor="text2" w:themeShade="BF"/>
        </w:rPr>
        <w:t>Property, Plant and Equipment</w:t>
      </w:r>
      <w:r w:rsidRPr="004C04A7">
        <w:rPr>
          <w:color w:val="2D3E7B" w:themeColor="text2" w:themeShade="BF"/>
        </w:rPr>
        <w:t xml:space="preserve"> </w:t>
      </w:r>
      <w:proofErr w:type="gramStart"/>
      <w:r w:rsidRPr="004C04A7">
        <w:rPr>
          <w:color w:val="2D3E7B" w:themeColor="text2" w:themeShade="BF"/>
        </w:rPr>
        <w:t>requires</w:t>
      </w:r>
      <w:proofErr w:type="gramEnd"/>
      <w:r w:rsidRPr="004C04A7">
        <w:rPr>
          <w:color w:val="2D3E7B" w:themeColor="text2" w:themeShade="BF"/>
        </w:rPr>
        <w:t xml:space="preserve"> disclosure of measurement bases used for classes of property, plant and equipment. AASB123 </w:t>
      </w:r>
      <w:r w:rsidRPr="00011B6F">
        <w:rPr>
          <w:i/>
          <w:color w:val="2D3E7B" w:themeColor="text2" w:themeShade="BF"/>
        </w:rPr>
        <w:t>Borrowing Costs</w:t>
      </w:r>
      <w:r w:rsidRPr="004C04A7">
        <w:rPr>
          <w:color w:val="2D3E7B" w:themeColor="text2" w:themeShade="BF"/>
        </w:rPr>
        <w:t xml:space="preserve"> requires disclosure of whether borrowing costs are recognised immediately as an expense or capitalised as part of the cost of qualifying assets.</w:t>
      </w:r>
    </w:p>
    <w:p w14:paraId="04DE6E80" w14:textId="77777777" w:rsidR="00F852D8" w:rsidRPr="00CD5812" w:rsidRDefault="00F852D8" w:rsidP="00CD5812">
      <w:pPr>
        <w:pStyle w:val="Heading4"/>
        <w:rPr>
          <w:color w:val="2D3E7B" w:themeColor="text2" w:themeShade="BF"/>
        </w:rPr>
      </w:pPr>
      <w:r w:rsidRPr="00CD5812">
        <w:rPr>
          <w:color w:val="2D3E7B" w:themeColor="text2" w:themeShade="BF"/>
        </w:rPr>
        <w:t>(a) Basis of preparation</w:t>
      </w:r>
    </w:p>
    <w:p w14:paraId="4EC1579C" w14:textId="77777777" w:rsidR="00F852D8" w:rsidRPr="004C04A7" w:rsidRDefault="00F852D8" w:rsidP="009304CF">
      <w:pPr>
        <w:pStyle w:val="Heading6"/>
      </w:pPr>
      <w:r w:rsidRPr="004C04A7">
        <w:t>Compliance with Australian Accounting Standards and IFRS</w:t>
      </w:r>
    </w:p>
    <w:p w14:paraId="6A4ACADE" w14:textId="77777777" w:rsidR="00F852D8" w:rsidRPr="00B40DF8" w:rsidRDefault="00F852D8" w:rsidP="004F3ED9">
      <w:pPr>
        <w:pStyle w:val="Heading6"/>
      </w:pPr>
      <w:r w:rsidRPr="00B40DF8">
        <w:t>AASB1054.7</w:t>
      </w:r>
    </w:p>
    <w:p w14:paraId="5255A6A0" w14:textId="77777777" w:rsidR="00F852D8" w:rsidRPr="004C04A7" w:rsidDel="009F558F" w:rsidRDefault="00F852D8" w:rsidP="001A5D4A">
      <w:pPr>
        <w:rPr>
          <w:color w:val="2D3E7B" w:themeColor="text2" w:themeShade="BF"/>
        </w:rPr>
      </w:pPr>
      <w:r w:rsidRPr="004C04A7">
        <w:rPr>
          <w:color w:val="2D3E7B" w:themeColor="text2" w:themeShade="BF"/>
        </w:rPr>
        <w:t>When the financial statements comply with the Australian Accounting Standards, the entity shall make an explicit and unreserved statement of such compliance.</w:t>
      </w:r>
    </w:p>
    <w:p w14:paraId="0FFCDD41" w14:textId="77777777" w:rsidR="00F852D8" w:rsidRPr="00B40DF8" w:rsidRDefault="00F852D8" w:rsidP="004F3ED9">
      <w:pPr>
        <w:pStyle w:val="Heading6"/>
      </w:pPr>
      <w:r w:rsidRPr="00B40DF8">
        <w:t>AASB1048.9</w:t>
      </w:r>
      <w:proofErr w:type="gramStart"/>
      <w:r w:rsidRPr="00B40DF8">
        <w:t>,11</w:t>
      </w:r>
      <w:proofErr w:type="gramEnd"/>
    </w:p>
    <w:p w14:paraId="72C0B691" w14:textId="77777777" w:rsidR="00F852D8" w:rsidRPr="004C04A7" w:rsidDel="009F558F" w:rsidRDefault="00F852D8" w:rsidP="001A5D4A">
      <w:pPr>
        <w:rPr>
          <w:color w:val="2D3E7B" w:themeColor="text2" w:themeShade="BF"/>
        </w:rPr>
      </w:pPr>
      <w:r w:rsidRPr="004C04A7">
        <w:rPr>
          <w:color w:val="2D3E7B" w:themeColor="text2" w:themeShade="BF"/>
        </w:rPr>
        <w:t xml:space="preserve">Compliance with Australian Interpretations is required by AASB1048 Interpretation and Application of Accounting Standards. </w:t>
      </w:r>
    </w:p>
    <w:p w14:paraId="7F47FC63" w14:textId="77777777" w:rsidR="00F852D8" w:rsidRPr="00B40DF8" w:rsidRDefault="00F852D8" w:rsidP="004F3ED9">
      <w:pPr>
        <w:pStyle w:val="Heading6"/>
      </w:pPr>
      <w:r w:rsidRPr="00B40DF8">
        <w:lastRenderedPageBreak/>
        <w:t>AASB101.16</w:t>
      </w:r>
    </w:p>
    <w:p w14:paraId="07AA5C07" w14:textId="77777777" w:rsidR="00F852D8" w:rsidRPr="004C04A7" w:rsidRDefault="00F852D8" w:rsidP="001A5D4A">
      <w:pPr>
        <w:rPr>
          <w:color w:val="2D3E7B" w:themeColor="text2" w:themeShade="BF"/>
        </w:rPr>
      </w:pPr>
      <w:r w:rsidRPr="004C04A7">
        <w:rPr>
          <w:color w:val="2D3E7B" w:themeColor="text2" w:themeShade="BF"/>
        </w:rPr>
        <w:t>An entity whose financial statements and notes comply with IFRS shall make an explicit and unreserved statement of such compliance in the notes. The financial statements and notes shall not be described as complying with IFRS unless they comply with all the requirements of IFRS.</w:t>
      </w:r>
    </w:p>
    <w:p w14:paraId="369514C0" w14:textId="77777777" w:rsidR="00F852D8" w:rsidRPr="004C04A7" w:rsidRDefault="00F852D8" w:rsidP="001A5D4A">
      <w:pPr>
        <w:rPr>
          <w:color w:val="2D3E7B" w:themeColor="text2" w:themeShade="BF"/>
        </w:rPr>
      </w:pPr>
      <w:r w:rsidRPr="004C04A7">
        <w:rPr>
          <w:color w:val="2D3E7B" w:themeColor="text2" w:themeShade="BF"/>
        </w:rPr>
        <w:t>However, a not-for-profit entity is unable to make a statement of explicit and unreserved compliance with IFRS if the entity has applied the not-for-profit provisions of the Australian Accounting Standards that are in some cases inconsistent with IFRS.</w:t>
      </w:r>
    </w:p>
    <w:p w14:paraId="77C4DC64" w14:textId="77777777" w:rsidR="00F852D8" w:rsidRPr="00B40DF8" w:rsidRDefault="00F852D8" w:rsidP="004F3ED9">
      <w:pPr>
        <w:pStyle w:val="Heading6"/>
      </w:pPr>
      <w:r w:rsidRPr="00B40DF8">
        <w:t>AASB101.Aust16.3</w:t>
      </w:r>
    </w:p>
    <w:p w14:paraId="5647DB0B" w14:textId="77777777" w:rsidR="00F852D8" w:rsidRPr="004C04A7" w:rsidRDefault="00F852D8" w:rsidP="001A5D4A">
      <w:pPr>
        <w:rPr>
          <w:color w:val="2D3E7B" w:themeColor="text2" w:themeShade="BF"/>
        </w:rPr>
      </w:pPr>
      <w:r w:rsidRPr="004C04A7">
        <w:rPr>
          <w:color w:val="2D3E7B" w:themeColor="text2" w:themeShade="BF"/>
        </w:rPr>
        <w:t>For example AASB1004 is inconsistent with IFRS and as all HEPs are required to adopt AASB1004, these statements will not comply with IFRS. Additionally, not-for-profit entities are generally excluded from the requirement to make the explicit statement of compliance with IFRS.</w:t>
      </w:r>
    </w:p>
    <w:p w14:paraId="6ECCBF83" w14:textId="77777777" w:rsidR="00F852D8" w:rsidRPr="00CD5812" w:rsidRDefault="00F852D8" w:rsidP="009304CF">
      <w:pPr>
        <w:pStyle w:val="Heading6"/>
      </w:pPr>
      <w:r w:rsidRPr="00CD5812">
        <w:t>Accrual basis of accounting</w:t>
      </w:r>
    </w:p>
    <w:p w14:paraId="3FDBE71F" w14:textId="77777777" w:rsidR="00F852D8" w:rsidRPr="00B40DF8" w:rsidRDefault="00F852D8" w:rsidP="004F3ED9">
      <w:pPr>
        <w:pStyle w:val="Heading6"/>
      </w:pPr>
      <w:r w:rsidRPr="00B40DF8">
        <w:t>AASB101.27</w:t>
      </w:r>
    </w:p>
    <w:p w14:paraId="723E64B4" w14:textId="77777777" w:rsidR="00F852D8" w:rsidRPr="004C04A7" w:rsidRDefault="00F852D8" w:rsidP="001A5D4A">
      <w:pPr>
        <w:rPr>
          <w:color w:val="2D3E7B" w:themeColor="text2" w:themeShade="BF"/>
        </w:rPr>
      </w:pPr>
      <w:r w:rsidRPr="004C04A7">
        <w:rPr>
          <w:color w:val="2D3E7B" w:themeColor="text2" w:themeShade="BF"/>
        </w:rPr>
        <w:t>An entity shall prepare its financial report, except for cash flow information, using the accrual basis of accounting.</w:t>
      </w:r>
    </w:p>
    <w:p w14:paraId="64FCD15B" w14:textId="77777777" w:rsidR="00F852D8" w:rsidRPr="00CD5812" w:rsidRDefault="00F852D8" w:rsidP="009304CF">
      <w:pPr>
        <w:pStyle w:val="Heading6"/>
      </w:pPr>
      <w:r w:rsidRPr="00CD5812">
        <w:t>Where compliance with an Australian Accounting Standard is misleading</w:t>
      </w:r>
    </w:p>
    <w:p w14:paraId="51F875CF" w14:textId="77777777" w:rsidR="00F852D8" w:rsidRPr="00B40DF8" w:rsidRDefault="00F852D8" w:rsidP="004F3ED9">
      <w:pPr>
        <w:pStyle w:val="Heading6"/>
      </w:pPr>
      <w:r w:rsidRPr="00B40DF8">
        <w:t>AASB101.23</w:t>
      </w:r>
    </w:p>
    <w:p w14:paraId="43CC79AA" w14:textId="77777777" w:rsidR="00F852D8" w:rsidRPr="004C04A7" w:rsidRDefault="00F852D8" w:rsidP="001A5D4A">
      <w:pPr>
        <w:rPr>
          <w:color w:val="2D3E7B" w:themeColor="text2" w:themeShade="BF"/>
        </w:rPr>
      </w:pPr>
      <w:r w:rsidRPr="004C04A7">
        <w:rPr>
          <w:color w:val="2D3E7B" w:themeColor="text2" w:themeShade="BF"/>
        </w:rPr>
        <w:t>In the extremely rare circumstances in which management concludes that compliance with a requirement in an Australian Accounting Standard would be so misleading that it would conflict with the objective of financial reports set out in the Framework, the entity shall, to the maximum extent possible, reduce the perceived misleading aspects of compliance by disclosing:</w:t>
      </w:r>
    </w:p>
    <w:p w14:paraId="1FBACD56" w14:textId="2C558031" w:rsidR="00F852D8" w:rsidRPr="004C04A7" w:rsidRDefault="00F852D8" w:rsidP="00B40DF8">
      <w:pPr>
        <w:pStyle w:val="ListParagraph"/>
        <w:numPr>
          <w:ilvl w:val="0"/>
          <w:numId w:val="25"/>
        </w:numPr>
        <w:ind w:left="340" w:hanging="340"/>
        <w:rPr>
          <w:color w:val="2D3E7B" w:themeColor="text2" w:themeShade="BF"/>
        </w:rPr>
      </w:pPr>
      <w:r w:rsidRPr="004C04A7">
        <w:rPr>
          <w:color w:val="2D3E7B" w:themeColor="text2" w:themeShade="BF"/>
        </w:rPr>
        <w:t>the title of the Australian Accounting Standard in question, the nature of the requirement, and the reason why management has concluded that complying with that requirement is so misleading in the circumstances that it conflicts with the objective of financial reports set out in the Framework; and</w:t>
      </w:r>
    </w:p>
    <w:p w14:paraId="05F27510" w14:textId="6E7FB3DF" w:rsidR="00F852D8" w:rsidRPr="004C04A7" w:rsidRDefault="00F852D8" w:rsidP="00B40DF8">
      <w:pPr>
        <w:pStyle w:val="ListParagraph"/>
        <w:numPr>
          <w:ilvl w:val="0"/>
          <w:numId w:val="25"/>
        </w:numPr>
        <w:ind w:left="340" w:hanging="340"/>
        <w:rPr>
          <w:color w:val="2D3E7B" w:themeColor="text2" w:themeShade="BF"/>
        </w:rPr>
      </w:pPr>
      <w:proofErr w:type="gramStart"/>
      <w:r w:rsidRPr="004C04A7">
        <w:rPr>
          <w:color w:val="2D3E7B" w:themeColor="text2" w:themeShade="BF"/>
        </w:rPr>
        <w:t>for</w:t>
      </w:r>
      <w:proofErr w:type="gramEnd"/>
      <w:r w:rsidRPr="004C04A7">
        <w:rPr>
          <w:color w:val="2D3E7B" w:themeColor="text2" w:themeShade="BF"/>
        </w:rPr>
        <w:t xml:space="preserve"> each period presented, the adjustments to each item in the financial reports that management has concluded would be necessary to achieve a fair presentation.</w:t>
      </w:r>
    </w:p>
    <w:p w14:paraId="43BE5ACA" w14:textId="77777777" w:rsidR="00F852D8" w:rsidRPr="00CD5812" w:rsidRDefault="00F852D8" w:rsidP="009304CF">
      <w:pPr>
        <w:pStyle w:val="Heading6"/>
      </w:pPr>
      <w:r w:rsidRPr="00CD5812">
        <w:t xml:space="preserve">Critical accounting estimates </w:t>
      </w:r>
    </w:p>
    <w:p w14:paraId="416DF04A" w14:textId="77777777" w:rsidR="00F852D8" w:rsidRPr="00B40DF8" w:rsidRDefault="00F852D8" w:rsidP="004F3ED9">
      <w:pPr>
        <w:pStyle w:val="Heading6"/>
      </w:pPr>
      <w:r w:rsidRPr="00B40DF8">
        <w:t>Significant judgements</w:t>
      </w:r>
    </w:p>
    <w:p w14:paraId="31A8266B" w14:textId="77777777" w:rsidR="00F852D8" w:rsidRPr="00B40DF8" w:rsidRDefault="00F852D8" w:rsidP="004F3ED9">
      <w:pPr>
        <w:pStyle w:val="Heading6"/>
      </w:pPr>
      <w:r w:rsidRPr="00B40DF8">
        <w:t>AASB101.122</w:t>
      </w:r>
    </w:p>
    <w:p w14:paraId="1AD6A10D" w14:textId="77777777" w:rsidR="00F852D8" w:rsidRPr="004C04A7" w:rsidRDefault="00F852D8" w:rsidP="001A5D4A">
      <w:pPr>
        <w:rPr>
          <w:color w:val="2D3E7B" w:themeColor="text2" w:themeShade="BF"/>
        </w:rPr>
      </w:pPr>
      <w:r w:rsidRPr="004C04A7">
        <w:rPr>
          <w:color w:val="2D3E7B" w:themeColor="text2" w:themeShade="BF"/>
        </w:rPr>
        <w:t>An entity shall disclose, in the summary of significant accounting policies or other notes, the judgements, apart from those involving estimations (refer to ‘Key sources of estimation uncertainty’ paragraph below), management has made in the process of applying the HEP’s accounting policies that have the most significant effect on the amounts recognised in the financial report.</w:t>
      </w:r>
    </w:p>
    <w:p w14:paraId="132164C8" w14:textId="77777777" w:rsidR="00F852D8" w:rsidRPr="00B40DF8" w:rsidRDefault="00F852D8" w:rsidP="004F3ED9">
      <w:pPr>
        <w:pStyle w:val="Heading6"/>
      </w:pPr>
      <w:r w:rsidRPr="00B40DF8">
        <w:t>AASB101.123</w:t>
      </w:r>
    </w:p>
    <w:p w14:paraId="0323F92B" w14:textId="77777777" w:rsidR="00F852D8" w:rsidRPr="004C04A7" w:rsidRDefault="00F852D8" w:rsidP="001A5D4A">
      <w:pPr>
        <w:rPr>
          <w:color w:val="2D3E7B" w:themeColor="text2" w:themeShade="BF"/>
        </w:rPr>
      </w:pPr>
      <w:r w:rsidRPr="004C04A7">
        <w:rPr>
          <w:color w:val="2D3E7B" w:themeColor="text2" w:themeShade="BF"/>
        </w:rPr>
        <w:t>In the process of applying the HEP’s accounting policies, management makes various judgements, apart from those involving estimations, that can significantly affect the amounts recognised in the financial report. For example, management makes judgements in determining:</w:t>
      </w:r>
    </w:p>
    <w:p w14:paraId="14FB49BE" w14:textId="3D70F1FD" w:rsidR="00F852D8" w:rsidRPr="004C04A7" w:rsidRDefault="00F852D8" w:rsidP="00B40DF8">
      <w:pPr>
        <w:pStyle w:val="ListParagraph"/>
        <w:numPr>
          <w:ilvl w:val="0"/>
          <w:numId w:val="26"/>
        </w:numPr>
        <w:ind w:left="340" w:hanging="340"/>
        <w:rPr>
          <w:color w:val="2D3E7B" w:themeColor="text2" w:themeShade="BF"/>
        </w:rPr>
      </w:pPr>
      <w:r w:rsidRPr="004C04A7">
        <w:rPr>
          <w:color w:val="2D3E7B" w:themeColor="text2" w:themeShade="BF"/>
        </w:rPr>
        <w:t>whether financial assets are held</w:t>
      </w:r>
      <w:r w:rsidRPr="004C04A7">
        <w:rPr>
          <w:color w:val="2D3E7B" w:themeColor="text2" w:themeShade="BF"/>
        </w:rPr>
        <w:noBreakHyphen/>
        <w:t>to</w:t>
      </w:r>
      <w:r w:rsidRPr="004C04A7">
        <w:rPr>
          <w:color w:val="2D3E7B" w:themeColor="text2" w:themeShade="BF"/>
        </w:rPr>
        <w:noBreakHyphen/>
        <w:t>maturity investments;</w:t>
      </w:r>
    </w:p>
    <w:p w14:paraId="0D0A5370" w14:textId="6EA12BCD" w:rsidR="00F852D8" w:rsidRPr="004C04A7" w:rsidRDefault="00F852D8" w:rsidP="00B40DF8">
      <w:pPr>
        <w:pStyle w:val="ListParagraph"/>
        <w:numPr>
          <w:ilvl w:val="0"/>
          <w:numId w:val="26"/>
        </w:numPr>
        <w:ind w:left="340" w:hanging="340"/>
        <w:rPr>
          <w:color w:val="2D3E7B" w:themeColor="text2" w:themeShade="BF"/>
        </w:rPr>
      </w:pPr>
      <w:r w:rsidRPr="004C04A7">
        <w:rPr>
          <w:color w:val="2D3E7B" w:themeColor="text2" w:themeShade="BF"/>
        </w:rPr>
        <w:t>when substantially all the significant risks and rewards of ownership of financial assets and leased assets are transferred to other entities;</w:t>
      </w:r>
    </w:p>
    <w:p w14:paraId="22170B74" w14:textId="1F1FD202" w:rsidR="00F852D8" w:rsidRPr="004C04A7" w:rsidRDefault="00F852D8" w:rsidP="00B40DF8">
      <w:pPr>
        <w:pStyle w:val="ListParagraph"/>
        <w:numPr>
          <w:ilvl w:val="0"/>
          <w:numId w:val="26"/>
        </w:numPr>
        <w:ind w:left="340" w:hanging="340"/>
        <w:rPr>
          <w:color w:val="2D3E7B" w:themeColor="text2" w:themeShade="BF"/>
        </w:rPr>
      </w:pPr>
      <w:r w:rsidRPr="004C04A7">
        <w:rPr>
          <w:color w:val="2D3E7B" w:themeColor="text2" w:themeShade="BF"/>
        </w:rPr>
        <w:t>whether, in substance, particular sales of goods are financing arrangements and therefore do not give rise to revenue; and</w:t>
      </w:r>
    </w:p>
    <w:p w14:paraId="6A804AE2" w14:textId="0AD06A81" w:rsidR="00F852D8" w:rsidRPr="004C04A7" w:rsidRDefault="00F852D8" w:rsidP="00B40DF8">
      <w:pPr>
        <w:pStyle w:val="ListParagraph"/>
        <w:numPr>
          <w:ilvl w:val="0"/>
          <w:numId w:val="26"/>
        </w:numPr>
        <w:ind w:left="340" w:hanging="340"/>
        <w:rPr>
          <w:color w:val="2D3E7B" w:themeColor="text2" w:themeShade="BF"/>
        </w:rPr>
      </w:pPr>
      <w:proofErr w:type="gramStart"/>
      <w:r w:rsidRPr="004C04A7">
        <w:rPr>
          <w:color w:val="2D3E7B" w:themeColor="text2" w:themeShade="BF"/>
        </w:rPr>
        <w:t>whether</w:t>
      </w:r>
      <w:proofErr w:type="gramEnd"/>
      <w:r w:rsidRPr="004C04A7">
        <w:rPr>
          <w:color w:val="2D3E7B" w:themeColor="text2" w:themeShade="BF"/>
        </w:rPr>
        <w:t xml:space="preserve"> the substance of the relationship between the entity and a structured entity indicates that the structured entity is controlled by the entity.</w:t>
      </w:r>
    </w:p>
    <w:p w14:paraId="7ADCA89A" w14:textId="77777777" w:rsidR="00F852D8" w:rsidRPr="004C04A7" w:rsidRDefault="00F852D8" w:rsidP="009304CF">
      <w:pPr>
        <w:pStyle w:val="Heading6"/>
      </w:pPr>
      <w:r w:rsidRPr="004C04A7">
        <w:lastRenderedPageBreak/>
        <w:t>Key sources of estimation uncertainty</w:t>
      </w:r>
    </w:p>
    <w:p w14:paraId="36DAC8A2" w14:textId="77777777" w:rsidR="00F852D8" w:rsidRPr="00B40DF8" w:rsidRDefault="00F852D8" w:rsidP="004F3ED9">
      <w:pPr>
        <w:pStyle w:val="Heading6"/>
      </w:pPr>
      <w:r w:rsidRPr="00B40DF8">
        <w:t>AASB101.125</w:t>
      </w:r>
    </w:p>
    <w:p w14:paraId="024FD0DD" w14:textId="77777777" w:rsidR="00F852D8" w:rsidRPr="004C04A7" w:rsidRDefault="00F852D8" w:rsidP="001A5D4A">
      <w:pPr>
        <w:rPr>
          <w:color w:val="2D3E7B" w:themeColor="text2" w:themeShade="BF"/>
        </w:rPr>
      </w:pPr>
      <w:r w:rsidRPr="004C04A7">
        <w:rPr>
          <w:color w:val="2D3E7B" w:themeColor="text2" w:themeShade="BF"/>
        </w:rPr>
        <w:t>The HEP shall disclose in the notes information about the key assumptions concerning the future, and other key sources of estimation uncertainty at the reporting date, that have a significant risk of causing a material adjustment to the carrying amounts of assets and liabilities within the next annual reporting period. In respect of those assets and liabilities, the notes shall include details of:</w:t>
      </w:r>
    </w:p>
    <w:p w14:paraId="32ADE2EF" w14:textId="2B3281E1" w:rsidR="00F852D8" w:rsidRPr="004C04A7" w:rsidRDefault="00F852D8" w:rsidP="00B40DF8">
      <w:pPr>
        <w:pStyle w:val="ListParagraph"/>
        <w:numPr>
          <w:ilvl w:val="0"/>
          <w:numId w:val="27"/>
        </w:numPr>
        <w:ind w:left="340" w:hanging="340"/>
        <w:rPr>
          <w:color w:val="2D3E7B" w:themeColor="text2" w:themeShade="BF"/>
        </w:rPr>
      </w:pPr>
      <w:r w:rsidRPr="004C04A7">
        <w:rPr>
          <w:color w:val="2D3E7B" w:themeColor="text2" w:themeShade="BF"/>
        </w:rPr>
        <w:t>their nature; and</w:t>
      </w:r>
    </w:p>
    <w:p w14:paraId="79C489B7" w14:textId="6CB329BE" w:rsidR="00F852D8" w:rsidRPr="004C04A7" w:rsidRDefault="00F852D8" w:rsidP="00B40DF8">
      <w:pPr>
        <w:pStyle w:val="ListParagraph"/>
        <w:numPr>
          <w:ilvl w:val="0"/>
          <w:numId w:val="27"/>
        </w:numPr>
        <w:ind w:left="340" w:hanging="340"/>
        <w:rPr>
          <w:color w:val="2D3E7B" w:themeColor="text2" w:themeShade="BF"/>
        </w:rPr>
      </w:pPr>
      <w:proofErr w:type="gramStart"/>
      <w:r w:rsidRPr="004C04A7">
        <w:rPr>
          <w:color w:val="2D3E7B" w:themeColor="text2" w:themeShade="BF"/>
        </w:rPr>
        <w:t>their</w:t>
      </w:r>
      <w:proofErr w:type="gramEnd"/>
      <w:r w:rsidRPr="004C04A7">
        <w:rPr>
          <w:color w:val="2D3E7B" w:themeColor="text2" w:themeShade="BF"/>
        </w:rPr>
        <w:t xml:space="preserve"> carrying amount as at the reporting date.</w:t>
      </w:r>
    </w:p>
    <w:p w14:paraId="1A4667FC" w14:textId="77777777" w:rsidR="00F852D8" w:rsidRPr="008F7914" w:rsidRDefault="00F852D8" w:rsidP="00AB24D3">
      <w:pPr>
        <w:pStyle w:val="Heading4"/>
        <w:rPr>
          <w:color w:val="2D3E7B" w:themeColor="text2" w:themeShade="BF"/>
        </w:rPr>
      </w:pPr>
      <w:r w:rsidRPr="008F7914">
        <w:rPr>
          <w:color w:val="2D3E7B" w:themeColor="text2" w:themeShade="BF"/>
        </w:rPr>
        <w:t xml:space="preserve">(b) Basis of consolidation </w:t>
      </w:r>
    </w:p>
    <w:p w14:paraId="6F9DE37E" w14:textId="3FCBAA13" w:rsidR="00F852D8" w:rsidRPr="004C04A7" w:rsidRDefault="00F852D8" w:rsidP="009304CF">
      <w:pPr>
        <w:pStyle w:val="Heading6"/>
      </w:pPr>
      <w:r w:rsidRPr="004C04A7">
        <w:t>AASB127.10</w:t>
      </w:r>
      <w:r w:rsidR="003710EB" w:rsidRPr="004C04A7">
        <w:br/>
      </w:r>
      <w:r w:rsidRPr="004C04A7">
        <w:t>AASB128.26</w:t>
      </w:r>
    </w:p>
    <w:p w14:paraId="7EB9A18D" w14:textId="77777777" w:rsidR="00F852D8" w:rsidRPr="004C04A7" w:rsidRDefault="00F852D8" w:rsidP="001A5D4A">
      <w:pPr>
        <w:rPr>
          <w:color w:val="2D3E7B" w:themeColor="text2" w:themeShade="BF"/>
        </w:rPr>
      </w:pPr>
      <w:r w:rsidRPr="004C04A7">
        <w:rPr>
          <w:color w:val="2D3E7B" w:themeColor="text2" w:themeShade="BF"/>
        </w:rPr>
        <w:t xml:space="preserve">Consistent accounting policies must be employed in the preparation and presentation of consolidated financial statements. Adjustments to achieve consistency must be made where the accounting policies adopted by entities within the consolidated entity are dissimilar (such as the differences between profit and not-for-profit entities) and are not required by another accounting standard. </w:t>
      </w:r>
    </w:p>
    <w:p w14:paraId="056107A7" w14:textId="0F1D9E67" w:rsidR="00F852D8" w:rsidRPr="008F7914" w:rsidRDefault="00F852D8" w:rsidP="00AB24D3">
      <w:pPr>
        <w:pStyle w:val="Heading4"/>
        <w:rPr>
          <w:color w:val="2D3E7B" w:themeColor="text2" w:themeShade="BF"/>
        </w:rPr>
      </w:pPr>
      <w:r w:rsidRPr="008F7914">
        <w:rPr>
          <w:color w:val="2D3E7B" w:themeColor="text2" w:themeShade="BF"/>
        </w:rPr>
        <w:t>(d) Revenue recognition</w:t>
      </w:r>
    </w:p>
    <w:p w14:paraId="766F3A93" w14:textId="77777777" w:rsidR="00F852D8" w:rsidRPr="004C04A7" w:rsidRDefault="00F852D8" w:rsidP="009304CF">
      <w:pPr>
        <w:pStyle w:val="Heading6"/>
      </w:pPr>
      <w:r w:rsidRPr="004C04A7">
        <w:t>AASB118.8</w:t>
      </w:r>
      <w:proofErr w:type="gramStart"/>
      <w:r w:rsidRPr="004C04A7">
        <w:t>,App.21</w:t>
      </w:r>
      <w:proofErr w:type="gramEnd"/>
    </w:p>
    <w:p w14:paraId="73B7B537" w14:textId="062731AF" w:rsidR="00AE4392" w:rsidRDefault="00F852D8" w:rsidP="008F7914">
      <w:pPr>
        <w:rPr>
          <w:rFonts w:asciiTheme="majorHAnsi" w:eastAsiaTheme="majorEastAsia" w:hAnsiTheme="majorHAnsi"/>
          <w:b/>
          <w:bCs/>
          <w:color w:val="2D3E7B" w:themeColor="text2" w:themeShade="BF"/>
          <w:sz w:val="26"/>
          <w:szCs w:val="26"/>
        </w:rPr>
      </w:pPr>
      <w:r w:rsidRPr="004C04A7">
        <w:rPr>
          <w:color w:val="2D3E7B" w:themeColor="text2" w:themeShade="BF"/>
        </w:rPr>
        <w:t>Revenue includes only gross inflows of economic benefits. Where an arrangement exists with another entity which result in the HEP not having exposure to the significant risks and rewards of the transaction, the gross economic inflow would likely be the commission or some other predetermined amount rather than the total inflow.</w:t>
      </w:r>
    </w:p>
    <w:p w14:paraId="40459ABA" w14:textId="23D9C06C" w:rsidR="00F852D8" w:rsidRPr="008F7914" w:rsidRDefault="00F852D8" w:rsidP="00AB24D3">
      <w:pPr>
        <w:pStyle w:val="Heading4"/>
        <w:rPr>
          <w:color w:val="2D3E7B" w:themeColor="text2" w:themeShade="BF"/>
        </w:rPr>
      </w:pPr>
      <w:r w:rsidRPr="008F7914">
        <w:rPr>
          <w:color w:val="2D3E7B" w:themeColor="text2" w:themeShade="BF"/>
        </w:rPr>
        <w:t>(f) Leases</w:t>
      </w:r>
    </w:p>
    <w:p w14:paraId="45F1B315" w14:textId="77777777" w:rsidR="00F852D8" w:rsidRPr="004C04A7" w:rsidRDefault="00F852D8" w:rsidP="009304CF">
      <w:pPr>
        <w:pStyle w:val="Heading6"/>
      </w:pPr>
      <w:r w:rsidRPr="004C04A7">
        <w:t>Arrangements involving the legal form of a lease</w:t>
      </w:r>
    </w:p>
    <w:p w14:paraId="646FF78E" w14:textId="77777777" w:rsidR="00F852D8" w:rsidRPr="00B40DF8" w:rsidRDefault="00F852D8" w:rsidP="004F3ED9">
      <w:pPr>
        <w:pStyle w:val="Heading6"/>
      </w:pPr>
      <w:r w:rsidRPr="00B40DF8">
        <w:t>UIG127.4</w:t>
      </w:r>
      <w:proofErr w:type="gramStart"/>
      <w:r w:rsidRPr="00B40DF8">
        <w:t>,10</w:t>
      </w:r>
      <w:proofErr w:type="gramEnd"/>
    </w:p>
    <w:p w14:paraId="3678F501" w14:textId="77777777" w:rsidR="00F852D8" w:rsidRPr="004C04A7" w:rsidRDefault="00F852D8" w:rsidP="001A5D4A">
      <w:pPr>
        <w:rPr>
          <w:color w:val="2D3E7B" w:themeColor="text2" w:themeShade="BF"/>
        </w:rPr>
      </w:pPr>
      <w:r w:rsidRPr="004C04A7">
        <w:rPr>
          <w:color w:val="2D3E7B" w:themeColor="text2" w:themeShade="BF"/>
        </w:rPr>
        <w:t xml:space="preserve">The accounting for an arrangement in the legal form of a lease must reflect the substance of the arrangement. All aspects and implications of the arrangement must be evaluated to determine its substance, with weight given to those aspects and implications that have an economic effect. All aspects of an arrangement that does not, in substance, involve a lease under AASB117 </w:t>
      </w:r>
      <w:r w:rsidRPr="00011B6F">
        <w:rPr>
          <w:i/>
          <w:color w:val="2D3E7B" w:themeColor="text2" w:themeShade="BF"/>
        </w:rPr>
        <w:t>Leases</w:t>
      </w:r>
      <w:r w:rsidRPr="004C04A7">
        <w:rPr>
          <w:color w:val="2D3E7B" w:themeColor="text2" w:themeShade="BF"/>
        </w:rPr>
        <w:t xml:space="preserve"> must be considered in determining the appropriate disclosures that are necessary to understand the arrangement and the accounting treatment adopted. The following must be disclosed in each period that an arrangement exists:</w:t>
      </w:r>
    </w:p>
    <w:p w14:paraId="3600C398" w14:textId="47043939" w:rsidR="00F852D8" w:rsidRPr="004C04A7" w:rsidRDefault="00F852D8" w:rsidP="00B40DF8">
      <w:pPr>
        <w:pStyle w:val="ListParagraph"/>
        <w:numPr>
          <w:ilvl w:val="0"/>
          <w:numId w:val="28"/>
        </w:numPr>
        <w:ind w:left="340" w:hanging="340"/>
        <w:rPr>
          <w:color w:val="2D3E7B" w:themeColor="text2" w:themeShade="BF"/>
        </w:rPr>
      </w:pPr>
      <w:r w:rsidRPr="004C04A7">
        <w:rPr>
          <w:color w:val="2D3E7B" w:themeColor="text2" w:themeShade="BF"/>
        </w:rPr>
        <w:t>a description of the arrangement including:</w:t>
      </w:r>
    </w:p>
    <w:p w14:paraId="33E40FB8" w14:textId="31593947" w:rsidR="00F852D8" w:rsidRPr="004C04A7" w:rsidRDefault="00F852D8" w:rsidP="00B40DF8">
      <w:pPr>
        <w:pStyle w:val="ListParagraph"/>
        <w:numPr>
          <w:ilvl w:val="2"/>
          <w:numId w:val="28"/>
        </w:numPr>
        <w:ind w:left="680" w:hanging="340"/>
        <w:rPr>
          <w:color w:val="2D3E7B" w:themeColor="text2" w:themeShade="BF"/>
        </w:rPr>
      </w:pPr>
      <w:r w:rsidRPr="004C04A7">
        <w:rPr>
          <w:color w:val="2D3E7B" w:themeColor="text2" w:themeShade="BF"/>
        </w:rPr>
        <w:t>the underlying asset and any restrictions on its use</w:t>
      </w:r>
    </w:p>
    <w:p w14:paraId="43F0518D" w14:textId="59FEA1CB" w:rsidR="00F852D8" w:rsidRPr="004C04A7" w:rsidRDefault="00F852D8" w:rsidP="00B40DF8">
      <w:pPr>
        <w:pStyle w:val="ListParagraph"/>
        <w:numPr>
          <w:ilvl w:val="2"/>
          <w:numId w:val="28"/>
        </w:numPr>
        <w:ind w:left="680" w:hanging="340"/>
        <w:rPr>
          <w:color w:val="2D3E7B" w:themeColor="text2" w:themeShade="BF"/>
        </w:rPr>
      </w:pPr>
      <w:r w:rsidRPr="004C04A7">
        <w:rPr>
          <w:color w:val="2D3E7B" w:themeColor="text2" w:themeShade="BF"/>
        </w:rPr>
        <w:t>the life and other significant terms of the arrangement</w:t>
      </w:r>
    </w:p>
    <w:p w14:paraId="35F4CAAA" w14:textId="61925F0D" w:rsidR="00F852D8" w:rsidRPr="004C04A7" w:rsidRDefault="00F852D8" w:rsidP="00B40DF8">
      <w:pPr>
        <w:pStyle w:val="ListParagraph"/>
        <w:numPr>
          <w:ilvl w:val="2"/>
          <w:numId w:val="28"/>
        </w:numPr>
        <w:ind w:left="680" w:hanging="340"/>
        <w:rPr>
          <w:color w:val="2D3E7B" w:themeColor="text2" w:themeShade="BF"/>
        </w:rPr>
      </w:pPr>
      <w:r w:rsidRPr="004C04A7">
        <w:rPr>
          <w:color w:val="2D3E7B" w:themeColor="text2" w:themeShade="BF"/>
        </w:rPr>
        <w:t>the transactions that are linked together, including any options, and</w:t>
      </w:r>
    </w:p>
    <w:p w14:paraId="72F6146D" w14:textId="7CB2683D" w:rsidR="00F852D8" w:rsidRPr="004C04A7" w:rsidRDefault="00F852D8" w:rsidP="00B40DF8">
      <w:pPr>
        <w:pStyle w:val="ListParagraph"/>
        <w:numPr>
          <w:ilvl w:val="0"/>
          <w:numId w:val="28"/>
        </w:numPr>
        <w:ind w:left="340" w:hanging="340"/>
        <w:rPr>
          <w:color w:val="2D3E7B" w:themeColor="text2" w:themeShade="BF"/>
        </w:rPr>
      </w:pPr>
      <w:proofErr w:type="gramStart"/>
      <w:r w:rsidRPr="004C04A7">
        <w:rPr>
          <w:color w:val="2D3E7B" w:themeColor="text2" w:themeShade="BF"/>
        </w:rPr>
        <w:t>the</w:t>
      </w:r>
      <w:proofErr w:type="gramEnd"/>
      <w:r w:rsidRPr="004C04A7">
        <w:rPr>
          <w:color w:val="2D3E7B" w:themeColor="text2" w:themeShade="BF"/>
        </w:rPr>
        <w:t xml:space="preserve"> accounting treatment applied to any fee received, the amount recognised as revenue in the period, and the line item of the income statement in which it is included.</w:t>
      </w:r>
    </w:p>
    <w:p w14:paraId="2B044F92" w14:textId="77777777" w:rsidR="00F852D8" w:rsidRPr="00B40DF8" w:rsidRDefault="00F852D8" w:rsidP="004F3ED9">
      <w:pPr>
        <w:pStyle w:val="Heading6"/>
      </w:pPr>
      <w:r w:rsidRPr="00B40DF8">
        <w:t>UIG127.11</w:t>
      </w:r>
    </w:p>
    <w:p w14:paraId="5F6D524E" w14:textId="77777777" w:rsidR="00F852D8" w:rsidRPr="004C04A7" w:rsidRDefault="00F852D8" w:rsidP="001A5D4A">
      <w:pPr>
        <w:rPr>
          <w:color w:val="2D3E7B" w:themeColor="text2" w:themeShade="BF"/>
        </w:rPr>
      </w:pPr>
      <w:r w:rsidRPr="004C04A7">
        <w:rPr>
          <w:color w:val="2D3E7B" w:themeColor="text2" w:themeShade="BF"/>
        </w:rPr>
        <w:t>The disclosures required must be provided individually for each arrangement or in aggregate for each class of arrangement. A class is a grouping of arrangements with underlying assets of a similar nature (</w:t>
      </w:r>
      <w:proofErr w:type="spellStart"/>
      <w:r w:rsidRPr="004C04A7">
        <w:rPr>
          <w:color w:val="2D3E7B" w:themeColor="text2" w:themeShade="BF"/>
        </w:rPr>
        <w:t>eg</w:t>
      </w:r>
      <w:proofErr w:type="spellEnd"/>
      <w:r w:rsidRPr="004C04A7">
        <w:rPr>
          <w:color w:val="2D3E7B" w:themeColor="text2" w:themeShade="BF"/>
        </w:rPr>
        <w:t xml:space="preserve"> power plants).</w:t>
      </w:r>
    </w:p>
    <w:p w14:paraId="4D4DD278" w14:textId="77777777" w:rsidR="00F852D8" w:rsidRPr="004C04A7" w:rsidRDefault="00F852D8" w:rsidP="009304CF">
      <w:pPr>
        <w:pStyle w:val="Heading6"/>
      </w:pPr>
      <w:r w:rsidRPr="004C04A7">
        <w:t>Lease incentives</w:t>
      </w:r>
    </w:p>
    <w:p w14:paraId="3D9026A0" w14:textId="77777777" w:rsidR="00F852D8" w:rsidRPr="00B40DF8" w:rsidRDefault="00F852D8" w:rsidP="004F3ED9">
      <w:pPr>
        <w:pStyle w:val="Heading6"/>
      </w:pPr>
      <w:r w:rsidRPr="00B40DF8">
        <w:t>UIG115.3</w:t>
      </w:r>
    </w:p>
    <w:p w14:paraId="5E26AA94" w14:textId="77777777" w:rsidR="00F852D8" w:rsidRPr="004C04A7" w:rsidRDefault="00F852D8" w:rsidP="001A5D4A">
      <w:pPr>
        <w:rPr>
          <w:color w:val="2D3E7B" w:themeColor="text2" w:themeShade="BF"/>
        </w:rPr>
      </w:pPr>
      <w:r w:rsidRPr="004C04A7">
        <w:rPr>
          <w:color w:val="2D3E7B" w:themeColor="text2" w:themeShade="BF"/>
        </w:rPr>
        <w:t>All incentives for the agreement of a new or renewed operating lease shall be recognised as an integral part of the net consideration agreed for the use of the leased asset, irrespective of the incentive’s nature or form or the timing of payments.</w:t>
      </w:r>
    </w:p>
    <w:p w14:paraId="695464BE" w14:textId="77777777" w:rsidR="00F852D8" w:rsidRPr="00B40DF8" w:rsidRDefault="00F852D8" w:rsidP="004F3ED9">
      <w:pPr>
        <w:pStyle w:val="Heading6"/>
      </w:pPr>
      <w:r w:rsidRPr="00B40DF8">
        <w:lastRenderedPageBreak/>
        <w:t>UIG115.4</w:t>
      </w:r>
    </w:p>
    <w:p w14:paraId="65A9A9DC" w14:textId="77777777" w:rsidR="00F852D8" w:rsidRPr="004C04A7" w:rsidRDefault="00F852D8" w:rsidP="001A5D4A">
      <w:pPr>
        <w:rPr>
          <w:color w:val="2D3E7B" w:themeColor="text2" w:themeShade="BF"/>
        </w:rPr>
      </w:pPr>
      <w:r w:rsidRPr="004C04A7">
        <w:rPr>
          <w:color w:val="2D3E7B" w:themeColor="text2" w:themeShade="BF"/>
        </w:rPr>
        <w:t>The lessor shall recognise the aggregate cost of incentives as a reduction in rental income over the lease term, on a straight</w:t>
      </w:r>
      <w:r w:rsidRPr="004C04A7">
        <w:rPr>
          <w:color w:val="2D3E7B" w:themeColor="text2" w:themeShade="BF"/>
        </w:rPr>
        <w:noBreakHyphen/>
        <w:t>line basis unless another systematic basis is representative of the time pattern over which the benefit of the leased asset is diminished.</w:t>
      </w:r>
    </w:p>
    <w:p w14:paraId="44EDAE07" w14:textId="77777777" w:rsidR="00F852D8" w:rsidRPr="00B40DF8" w:rsidRDefault="00F852D8" w:rsidP="004F3ED9">
      <w:pPr>
        <w:pStyle w:val="Heading6"/>
      </w:pPr>
      <w:r w:rsidRPr="00B40DF8">
        <w:t>UIG115.5</w:t>
      </w:r>
    </w:p>
    <w:p w14:paraId="6D3A1AE2" w14:textId="77777777" w:rsidR="00F852D8" w:rsidRPr="004C04A7" w:rsidRDefault="00F852D8" w:rsidP="001A5D4A">
      <w:pPr>
        <w:rPr>
          <w:color w:val="2D3E7B" w:themeColor="text2" w:themeShade="BF"/>
        </w:rPr>
      </w:pPr>
      <w:r w:rsidRPr="004C04A7">
        <w:rPr>
          <w:color w:val="2D3E7B" w:themeColor="text2" w:themeShade="BF"/>
        </w:rPr>
        <w:t>The lessee shall recognise the aggregate benefit of incentives as a reduction of rental expense over the lease term, on a straight line basis unless another systematic basis is representative of the time pattern of the lessee’s benefit from the use of the leased asset.</w:t>
      </w:r>
    </w:p>
    <w:p w14:paraId="194C1576" w14:textId="77777777" w:rsidR="00F852D8" w:rsidRPr="00B40DF8" w:rsidRDefault="00F852D8" w:rsidP="004F3ED9">
      <w:pPr>
        <w:pStyle w:val="Heading6"/>
      </w:pPr>
      <w:r w:rsidRPr="00B40DF8">
        <w:t>UIG115.6</w:t>
      </w:r>
    </w:p>
    <w:p w14:paraId="16E01554" w14:textId="77777777" w:rsidR="00F852D8" w:rsidRPr="004C04A7" w:rsidRDefault="00F852D8" w:rsidP="001A5D4A">
      <w:pPr>
        <w:rPr>
          <w:color w:val="2D3E7B" w:themeColor="text2" w:themeShade="BF"/>
        </w:rPr>
      </w:pPr>
      <w:r w:rsidRPr="004C04A7">
        <w:rPr>
          <w:color w:val="2D3E7B" w:themeColor="text2" w:themeShade="BF"/>
        </w:rPr>
        <w:t>Costs incurred by the lessee, including those in connection with a pre-existing lease (for example costs for termination, relocation or leasehold improvements), shall be accounted for by the lessee in accordance with Australian Accounting Standards applicable to those costs, including costs which are effectively reimbursed through an incentive arrangement.</w:t>
      </w:r>
    </w:p>
    <w:p w14:paraId="7C595A19" w14:textId="77777777" w:rsidR="00F852D8" w:rsidRPr="008F7914" w:rsidRDefault="00F852D8" w:rsidP="00AB24D3">
      <w:pPr>
        <w:pStyle w:val="Heading4"/>
        <w:rPr>
          <w:color w:val="2D3E7B" w:themeColor="text2" w:themeShade="BF"/>
        </w:rPr>
      </w:pPr>
      <w:r w:rsidRPr="008F7914">
        <w:rPr>
          <w:color w:val="2D3E7B" w:themeColor="text2" w:themeShade="BF"/>
        </w:rPr>
        <w:t>(m) Financial assets</w:t>
      </w:r>
    </w:p>
    <w:p w14:paraId="2A9700E9" w14:textId="2FA1E684" w:rsidR="00F852D8" w:rsidRPr="004C04A7" w:rsidRDefault="00F852D8" w:rsidP="009304CF">
      <w:pPr>
        <w:pStyle w:val="Heading6"/>
      </w:pPr>
      <w:r w:rsidRPr="004C04A7">
        <w:t>AASB139.50</w:t>
      </w:r>
      <w:r w:rsidR="00A83916" w:rsidRPr="004C04A7">
        <w:br/>
      </w:r>
      <w:r w:rsidRPr="004C04A7">
        <w:t>AASB7.12</w:t>
      </w:r>
    </w:p>
    <w:p w14:paraId="7E0AB92A" w14:textId="506DA33E" w:rsidR="00F852D8" w:rsidRPr="004C04A7" w:rsidRDefault="00F852D8" w:rsidP="001A5D4A">
      <w:pPr>
        <w:rPr>
          <w:color w:val="2D3E7B" w:themeColor="text2" w:themeShade="BF"/>
        </w:rPr>
      </w:pPr>
      <w:r w:rsidRPr="004C04A7">
        <w:rPr>
          <w:color w:val="2D3E7B" w:themeColor="text2" w:themeShade="BF"/>
        </w:rPr>
        <w:t>In rare circumstances it may be possible to reclassify a financial asset from one category to another in accordance with AASB139 Paragraphs 50, 50B – 50F, and AG8. The appropriate disclosures for any reclassi</w:t>
      </w:r>
      <w:r w:rsidR="00A83916" w:rsidRPr="004C04A7">
        <w:rPr>
          <w:color w:val="2D3E7B" w:themeColor="text2" w:themeShade="BF"/>
        </w:rPr>
        <w:t>fication are outlined in AASB7.</w:t>
      </w:r>
    </w:p>
    <w:p w14:paraId="4F16DCF9" w14:textId="77777777" w:rsidR="00F852D8" w:rsidRPr="008F7914" w:rsidRDefault="00F852D8" w:rsidP="00AB24D3">
      <w:pPr>
        <w:pStyle w:val="Heading4"/>
        <w:rPr>
          <w:color w:val="2D3E7B" w:themeColor="text2" w:themeShade="BF"/>
        </w:rPr>
      </w:pPr>
      <w:r w:rsidRPr="008F7914">
        <w:rPr>
          <w:color w:val="2D3E7B" w:themeColor="text2" w:themeShade="BF"/>
        </w:rPr>
        <w:t>(p) Property, plant and equipment</w:t>
      </w:r>
    </w:p>
    <w:p w14:paraId="3B282F06" w14:textId="77777777" w:rsidR="00F852D8" w:rsidRPr="004C04A7" w:rsidRDefault="00F852D8" w:rsidP="009304CF">
      <w:pPr>
        <w:pStyle w:val="Heading6"/>
      </w:pPr>
      <w:r w:rsidRPr="004C04A7">
        <w:t>AASB116.3</w:t>
      </w:r>
    </w:p>
    <w:p w14:paraId="0FA0C89B" w14:textId="77777777" w:rsidR="00F852D8" w:rsidRPr="004C04A7" w:rsidRDefault="00F852D8" w:rsidP="001A5D4A">
      <w:pPr>
        <w:rPr>
          <w:color w:val="2D3E7B" w:themeColor="text2" w:themeShade="BF"/>
        </w:rPr>
      </w:pPr>
      <w:r w:rsidRPr="004C04A7">
        <w:rPr>
          <w:color w:val="2D3E7B" w:themeColor="text2" w:themeShade="BF"/>
        </w:rPr>
        <w:t xml:space="preserve">AASB116 Property, Plant and Equipment </w:t>
      </w:r>
      <w:proofErr w:type="gramStart"/>
      <w:r w:rsidRPr="004C04A7">
        <w:rPr>
          <w:color w:val="2D3E7B" w:themeColor="text2" w:themeShade="BF"/>
        </w:rPr>
        <w:t>prescribes</w:t>
      </w:r>
      <w:proofErr w:type="gramEnd"/>
      <w:r w:rsidRPr="004C04A7">
        <w:rPr>
          <w:color w:val="2D3E7B" w:themeColor="text2" w:themeShade="BF"/>
        </w:rPr>
        <w:t xml:space="preserve"> the accounting treatment for property, plant and equipment. AASB116 does not apply to:</w:t>
      </w:r>
    </w:p>
    <w:p w14:paraId="00646E00" w14:textId="2116CA4E" w:rsidR="00F852D8" w:rsidRPr="004C04A7" w:rsidRDefault="00F852D8" w:rsidP="00B40DF8">
      <w:pPr>
        <w:pStyle w:val="ListParagraph"/>
        <w:numPr>
          <w:ilvl w:val="0"/>
          <w:numId w:val="29"/>
        </w:numPr>
        <w:ind w:left="340" w:hanging="340"/>
        <w:rPr>
          <w:color w:val="2D3E7B" w:themeColor="text2" w:themeShade="BF"/>
        </w:rPr>
      </w:pPr>
      <w:r w:rsidRPr="004C04A7">
        <w:rPr>
          <w:color w:val="2D3E7B" w:themeColor="text2" w:themeShade="BF"/>
        </w:rPr>
        <w:t>property, plant and equipment classified as held for sale in accordance with AASB5</w:t>
      </w:r>
      <w:r w:rsidRPr="00011B6F">
        <w:rPr>
          <w:i/>
          <w:color w:val="2D3E7B" w:themeColor="text2" w:themeShade="BF"/>
        </w:rPr>
        <w:t xml:space="preserve"> Non-current Assets Held for Sale and Discontinued Operations</w:t>
      </w:r>
      <w:r w:rsidRPr="004C04A7">
        <w:rPr>
          <w:color w:val="2D3E7B" w:themeColor="text2" w:themeShade="BF"/>
        </w:rPr>
        <w:t>;</w:t>
      </w:r>
    </w:p>
    <w:p w14:paraId="5952A87D" w14:textId="499A17D2" w:rsidR="00F852D8" w:rsidRPr="004C04A7" w:rsidRDefault="00F852D8" w:rsidP="00B40DF8">
      <w:pPr>
        <w:pStyle w:val="ListParagraph"/>
        <w:numPr>
          <w:ilvl w:val="0"/>
          <w:numId w:val="29"/>
        </w:numPr>
        <w:ind w:left="340" w:hanging="340"/>
        <w:rPr>
          <w:color w:val="2D3E7B" w:themeColor="text2" w:themeShade="BF"/>
        </w:rPr>
      </w:pPr>
      <w:r w:rsidRPr="004C04A7">
        <w:rPr>
          <w:color w:val="2D3E7B" w:themeColor="text2" w:themeShade="BF"/>
        </w:rPr>
        <w:t>biological assets related to agricultural activity (refer to AASB141 Agriculture);</w:t>
      </w:r>
    </w:p>
    <w:p w14:paraId="2978456F" w14:textId="7184DDA3" w:rsidR="00F852D8" w:rsidRPr="004C04A7" w:rsidRDefault="00F852D8" w:rsidP="00B40DF8">
      <w:pPr>
        <w:pStyle w:val="ListParagraph"/>
        <w:numPr>
          <w:ilvl w:val="0"/>
          <w:numId w:val="29"/>
        </w:numPr>
        <w:ind w:left="340" w:hanging="340"/>
        <w:rPr>
          <w:color w:val="2D3E7B" w:themeColor="text2" w:themeShade="BF"/>
        </w:rPr>
      </w:pPr>
      <w:r w:rsidRPr="004C04A7">
        <w:rPr>
          <w:color w:val="2D3E7B" w:themeColor="text2" w:themeShade="BF"/>
        </w:rPr>
        <w:t xml:space="preserve">the recognition and measurement of exploration and evaluation assets (refer to AASB6 </w:t>
      </w:r>
      <w:r w:rsidRPr="00011B6F">
        <w:rPr>
          <w:i/>
          <w:color w:val="2D3E7B" w:themeColor="text2" w:themeShade="BF"/>
        </w:rPr>
        <w:t>Exploration for and Evaluation of Mineral Resources</w:t>
      </w:r>
      <w:r w:rsidRPr="004C04A7">
        <w:rPr>
          <w:color w:val="2D3E7B" w:themeColor="text2" w:themeShade="BF"/>
        </w:rPr>
        <w:t>); or</w:t>
      </w:r>
    </w:p>
    <w:p w14:paraId="2AC4139A" w14:textId="3C1E58E0" w:rsidR="00F852D8" w:rsidRPr="004C04A7" w:rsidRDefault="00F852D8" w:rsidP="00B40DF8">
      <w:pPr>
        <w:pStyle w:val="ListParagraph"/>
        <w:numPr>
          <w:ilvl w:val="0"/>
          <w:numId w:val="29"/>
        </w:numPr>
        <w:ind w:left="340" w:hanging="340"/>
        <w:rPr>
          <w:color w:val="2D3E7B" w:themeColor="text2" w:themeShade="BF"/>
        </w:rPr>
      </w:pPr>
      <w:proofErr w:type="gramStart"/>
      <w:r w:rsidRPr="004C04A7">
        <w:rPr>
          <w:color w:val="2D3E7B" w:themeColor="text2" w:themeShade="BF"/>
        </w:rPr>
        <w:t>mineral</w:t>
      </w:r>
      <w:proofErr w:type="gramEnd"/>
      <w:r w:rsidRPr="004C04A7">
        <w:rPr>
          <w:color w:val="2D3E7B" w:themeColor="text2" w:themeShade="BF"/>
        </w:rPr>
        <w:t xml:space="preserve"> rights and mineral reserves such as oil, natural gas and similar non</w:t>
      </w:r>
      <w:r w:rsidRPr="004C04A7">
        <w:rPr>
          <w:color w:val="2D3E7B" w:themeColor="text2" w:themeShade="BF"/>
        </w:rPr>
        <w:noBreakHyphen/>
        <w:t>regenerative resources.</w:t>
      </w:r>
    </w:p>
    <w:p w14:paraId="62623134" w14:textId="77777777" w:rsidR="00F852D8" w:rsidRPr="004C04A7" w:rsidRDefault="00F852D8" w:rsidP="001A5D4A">
      <w:pPr>
        <w:rPr>
          <w:color w:val="2D3E7B" w:themeColor="text2" w:themeShade="BF"/>
        </w:rPr>
      </w:pPr>
      <w:r w:rsidRPr="004C04A7">
        <w:rPr>
          <w:color w:val="2D3E7B" w:themeColor="text2" w:themeShade="BF"/>
        </w:rPr>
        <w:t>However, the Standard applies to property, plant and equipment used to develop or maintain the assets described in (b)-(d).</w:t>
      </w:r>
    </w:p>
    <w:p w14:paraId="65D292BD" w14:textId="77777777" w:rsidR="00F852D8" w:rsidRPr="004C04A7" w:rsidRDefault="00F852D8" w:rsidP="009304CF">
      <w:pPr>
        <w:pStyle w:val="Heading6"/>
      </w:pPr>
      <w:r w:rsidRPr="004C04A7">
        <w:t>Revalued amounts as deemed cost</w:t>
      </w:r>
    </w:p>
    <w:p w14:paraId="6FBAF021" w14:textId="77777777" w:rsidR="00F852D8" w:rsidRPr="004C04A7" w:rsidRDefault="00F852D8" w:rsidP="001A5D4A">
      <w:pPr>
        <w:rPr>
          <w:color w:val="2D3E7B" w:themeColor="text2" w:themeShade="BF"/>
        </w:rPr>
      </w:pPr>
      <w:r w:rsidRPr="004C04A7">
        <w:rPr>
          <w:color w:val="2D3E7B" w:themeColor="text2" w:themeShade="BF"/>
        </w:rPr>
        <w:t>Where an entity elected to revert to a cost basis for measuring a class of non-current assets on first applying AASB116 and chose to deem the existing carrying amounts to be their cost, the entity may want to continue to make it clear that cost includes deemed cost for the relevant non-current assets at the date of the change in accounting policy.</w:t>
      </w:r>
    </w:p>
    <w:p w14:paraId="7CD6BDF5" w14:textId="77777777" w:rsidR="00F852D8" w:rsidRPr="004C04A7" w:rsidRDefault="00F852D8" w:rsidP="009304CF">
      <w:pPr>
        <w:pStyle w:val="Heading6"/>
      </w:pPr>
      <w:r w:rsidRPr="004C04A7">
        <w:t>Revaluations</w:t>
      </w:r>
    </w:p>
    <w:p w14:paraId="1DDDD6D8" w14:textId="0FD812FB" w:rsidR="00AE4392" w:rsidRPr="008F7914" w:rsidRDefault="00F852D8" w:rsidP="008F7914">
      <w:pPr>
        <w:rPr>
          <w:color w:val="2D3E7B" w:themeColor="text2" w:themeShade="BF"/>
        </w:rPr>
      </w:pPr>
      <w:r w:rsidRPr="004C04A7">
        <w:rPr>
          <w:color w:val="2D3E7B" w:themeColor="text2" w:themeShade="BF"/>
        </w:rPr>
        <w:t xml:space="preserve">Refer to the commentary on non-current assets </w:t>
      </w:r>
      <w:r w:rsidRPr="004C04A7">
        <w:rPr>
          <w:color w:val="2D3E7B" w:themeColor="text2" w:themeShade="BF"/>
        </w:rPr>
        <w:noBreakHyphen/>
        <w:t xml:space="preserve"> property, plant and equipment (note 26) for further comments on revaluations of non-current assets.</w:t>
      </w:r>
    </w:p>
    <w:p w14:paraId="7D7892C1" w14:textId="69AFF1D8" w:rsidR="00F852D8" w:rsidRPr="008F7914" w:rsidRDefault="00F852D8" w:rsidP="00AB24D3">
      <w:pPr>
        <w:pStyle w:val="Heading4"/>
        <w:rPr>
          <w:color w:val="2D3E7B" w:themeColor="text2" w:themeShade="BF"/>
        </w:rPr>
      </w:pPr>
      <w:r w:rsidRPr="008F7914">
        <w:rPr>
          <w:color w:val="2D3E7B" w:themeColor="text2" w:themeShade="BF"/>
        </w:rPr>
        <w:t>(q) Intangible assets with indefinite lives</w:t>
      </w:r>
    </w:p>
    <w:p w14:paraId="294BD908" w14:textId="77777777" w:rsidR="00F852D8" w:rsidRPr="004C04A7" w:rsidRDefault="00F852D8" w:rsidP="001A5D4A">
      <w:pPr>
        <w:rPr>
          <w:color w:val="2D3E7B" w:themeColor="text2" w:themeShade="BF"/>
        </w:rPr>
      </w:pPr>
      <w:r w:rsidRPr="004C04A7">
        <w:rPr>
          <w:color w:val="2D3E7B" w:themeColor="text2" w:themeShade="BF"/>
        </w:rPr>
        <w:t>The intangible assets (other than goodwill) in a HEP have finite lives. An example accounting policy note for an intangible asset with an indefinite life is set out below.</w:t>
      </w:r>
    </w:p>
    <w:p w14:paraId="55C83FEC" w14:textId="77777777" w:rsidR="00F852D8" w:rsidRPr="004C04A7" w:rsidRDefault="00F852D8" w:rsidP="001A5D4A">
      <w:pPr>
        <w:rPr>
          <w:color w:val="2D3E7B" w:themeColor="text2" w:themeShade="BF"/>
        </w:rPr>
      </w:pPr>
      <w:r w:rsidRPr="004C04A7">
        <w:rPr>
          <w:color w:val="2D3E7B" w:themeColor="text2" w:themeShade="BF"/>
        </w:rPr>
        <w:t xml:space="preserve">The trademark used to identify and distinguish [product name] has a remaining legal life of five years but is renewable every ten years at little cost and is well established. The Group intends to renew the trademark continuously and evidence supports its ability to do so. An analysis of product life cycle studies and market and competitive trends provides evidence that the product will generate net cash inflows for the Group for </w:t>
      </w:r>
      <w:r w:rsidRPr="004C04A7">
        <w:rPr>
          <w:color w:val="2D3E7B" w:themeColor="text2" w:themeShade="BF"/>
        </w:rPr>
        <w:lastRenderedPageBreak/>
        <w:t>an indefinite period. Therefore, the trademark is carried at cost without amortisation, but is tested for impairment in accordance with note 1(h).</w:t>
      </w:r>
    </w:p>
    <w:p w14:paraId="7FCFAF63" w14:textId="7CC67B5F" w:rsidR="003710EB" w:rsidRPr="008F7914" w:rsidRDefault="003710EB" w:rsidP="00AB24D3">
      <w:pPr>
        <w:pStyle w:val="Heading4"/>
        <w:rPr>
          <w:color w:val="2D3E7B" w:themeColor="text2" w:themeShade="BF"/>
        </w:rPr>
      </w:pPr>
      <w:r w:rsidRPr="008F7914">
        <w:rPr>
          <w:color w:val="2D3E7B" w:themeColor="text2" w:themeShade="BF"/>
        </w:rPr>
        <w:t>(u) Borrowing costs</w:t>
      </w:r>
    </w:p>
    <w:p w14:paraId="5D885E60" w14:textId="77777777" w:rsidR="003710EB" w:rsidRPr="004C04A7" w:rsidRDefault="003710EB" w:rsidP="009304CF">
      <w:pPr>
        <w:pStyle w:val="Heading6"/>
      </w:pPr>
      <w:r w:rsidRPr="004C04A7">
        <w:t>AASB123.8</w:t>
      </w:r>
      <w:proofErr w:type="gramStart"/>
      <w:r w:rsidRPr="004C04A7">
        <w:t>,Aus8.1</w:t>
      </w:r>
      <w:proofErr w:type="gramEnd"/>
    </w:p>
    <w:p w14:paraId="53997AFD" w14:textId="77777777" w:rsidR="003710EB" w:rsidRPr="004C04A7" w:rsidRDefault="003710EB" w:rsidP="001A5D4A">
      <w:pPr>
        <w:rPr>
          <w:color w:val="2D3E7B" w:themeColor="text2" w:themeShade="BF"/>
        </w:rPr>
      </w:pPr>
      <w:r w:rsidRPr="004C04A7">
        <w:rPr>
          <w:color w:val="2D3E7B" w:themeColor="text2" w:themeShade="BF"/>
        </w:rPr>
        <w:t xml:space="preserve">AASB123 </w:t>
      </w:r>
      <w:r w:rsidRPr="00C94CF3">
        <w:rPr>
          <w:i/>
          <w:color w:val="2D3E7B" w:themeColor="text2" w:themeShade="BF"/>
        </w:rPr>
        <w:t>Borrowing Costs</w:t>
      </w:r>
      <w:r w:rsidRPr="004C04A7">
        <w:rPr>
          <w:color w:val="2D3E7B" w:themeColor="text2" w:themeShade="BF"/>
        </w:rPr>
        <w:t xml:space="preserve"> permits borrowing costs for not-for-profit entities to be either:</w:t>
      </w:r>
    </w:p>
    <w:p w14:paraId="01CB2E23" w14:textId="1C975703" w:rsidR="003710EB" w:rsidRPr="004C04A7" w:rsidRDefault="003710EB" w:rsidP="00B40DF8">
      <w:pPr>
        <w:pStyle w:val="ListParagraph"/>
        <w:numPr>
          <w:ilvl w:val="0"/>
          <w:numId w:val="30"/>
        </w:numPr>
        <w:ind w:left="340" w:hanging="340"/>
        <w:rPr>
          <w:color w:val="2D3E7B" w:themeColor="text2" w:themeShade="BF"/>
        </w:rPr>
      </w:pPr>
      <w:r w:rsidRPr="004C04A7">
        <w:rPr>
          <w:color w:val="2D3E7B" w:themeColor="text2" w:themeShade="BF"/>
        </w:rPr>
        <w:t>expensed as incurred, regardless of how the borrowings are applied: or</w:t>
      </w:r>
    </w:p>
    <w:p w14:paraId="55361AA8" w14:textId="662A0193" w:rsidR="003710EB" w:rsidRPr="004C04A7" w:rsidRDefault="003710EB" w:rsidP="00B40DF8">
      <w:pPr>
        <w:pStyle w:val="ListParagraph"/>
        <w:numPr>
          <w:ilvl w:val="0"/>
          <w:numId w:val="30"/>
        </w:numPr>
        <w:ind w:left="340" w:hanging="340"/>
        <w:rPr>
          <w:color w:val="2D3E7B" w:themeColor="text2" w:themeShade="BF"/>
        </w:rPr>
      </w:pPr>
      <w:proofErr w:type="gramStart"/>
      <w:r w:rsidRPr="004C04A7">
        <w:rPr>
          <w:color w:val="2D3E7B" w:themeColor="text2" w:themeShade="BF"/>
        </w:rPr>
        <w:t>expensed</w:t>
      </w:r>
      <w:proofErr w:type="gramEnd"/>
      <w:r w:rsidRPr="004C04A7">
        <w:rPr>
          <w:color w:val="2D3E7B" w:themeColor="text2" w:themeShade="BF"/>
        </w:rPr>
        <w:t xml:space="preserve"> as incurred except where they are directly attributable to the acquisition, construction or production of a qualifying asset, in which case, they are capitalised as part of the cost of that asset.</w:t>
      </w:r>
    </w:p>
    <w:p w14:paraId="73C396EF" w14:textId="77777777" w:rsidR="003710EB" w:rsidRPr="008F7914" w:rsidRDefault="003710EB" w:rsidP="009304CF">
      <w:pPr>
        <w:pStyle w:val="Heading6"/>
      </w:pPr>
      <w:r w:rsidRPr="008F7914">
        <w:t>AASB123.Aus26.1</w:t>
      </w:r>
    </w:p>
    <w:p w14:paraId="31824643" w14:textId="77777777" w:rsidR="003710EB" w:rsidRPr="004C04A7" w:rsidRDefault="003710EB" w:rsidP="001A5D4A">
      <w:pPr>
        <w:rPr>
          <w:color w:val="2D3E7B" w:themeColor="text2" w:themeShade="BF"/>
        </w:rPr>
      </w:pPr>
      <w:r w:rsidRPr="004C04A7">
        <w:rPr>
          <w:color w:val="2D3E7B" w:themeColor="text2" w:themeShade="BF"/>
        </w:rPr>
        <w:t>The sample disclosure is based on the second and the Department of Educations preferred option of capitalising borrowing costs when they are directly attributable to acquisition, construction or production of a qualifying asset. Whether the policy is to expense borrowing costs as they are incurred or to capitalise them, the adopted accounting policy must be disclosed by not-for profit entities.</w:t>
      </w:r>
    </w:p>
    <w:p w14:paraId="7E60363D" w14:textId="77777777" w:rsidR="003710EB" w:rsidRPr="008F7914" w:rsidRDefault="003710EB" w:rsidP="00AB24D3">
      <w:pPr>
        <w:pStyle w:val="Heading4"/>
        <w:rPr>
          <w:color w:val="2D3E7B" w:themeColor="text2" w:themeShade="BF"/>
        </w:rPr>
      </w:pPr>
      <w:r w:rsidRPr="008F7914">
        <w:rPr>
          <w:color w:val="2D3E7B" w:themeColor="text2" w:themeShade="BF"/>
        </w:rPr>
        <w:t>(w) Employee benefits</w:t>
      </w:r>
    </w:p>
    <w:p w14:paraId="43E99DEF" w14:textId="77777777" w:rsidR="003710EB" w:rsidRPr="004C04A7" w:rsidRDefault="003710EB" w:rsidP="009304CF">
      <w:pPr>
        <w:pStyle w:val="Heading6"/>
      </w:pPr>
      <w:r w:rsidRPr="004C04A7">
        <w:t>Measurement</w:t>
      </w:r>
    </w:p>
    <w:p w14:paraId="745CA9D8" w14:textId="77777777" w:rsidR="003710EB" w:rsidRPr="00B40DF8" w:rsidRDefault="003710EB" w:rsidP="004F3ED9">
      <w:pPr>
        <w:pStyle w:val="Heading6"/>
      </w:pPr>
      <w:r w:rsidRPr="00B40DF8">
        <w:t>AASB119.11-18</w:t>
      </w:r>
    </w:p>
    <w:p w14:paraId="21ECC360" w14:textId="77777777" w:rsidR="003710EB" w:rsidRPr="004C04A7" w:rsidRDefault="003710EB" w:rsidP="001A5D4A">
      <w:pPr>
        <w:rPr>
          <w:color w:val="2D3E7B" w:themeColor="text2" w:themeShade="BF"/>
        </w:rPr>
      </w:pPr>
      <w:r w:rsidRPr="004C04A7">
        <w:rPr>
          <w:color w:val="2D3E7B" w:themeColor="text2" w:themeShade="BF"/>
        </w:rPr>
        <w:t xml:space="preserve">AASB119.11-18 requires short-term accumulating paid absences to be recognised as an accrued expense, </w:t>
      </w:r>
      <w:proofErr w:type="spellStart"/>
      <w:r w:rsidRPr="004C04A7">
        <w:rPr>
          <w:color w:val="2D3E7B" w:themeColor="text2" w:themeShade="BF"/>
        </w:rPr>
        <w:t>ie</w:t>
      </w:r>
      <w:proofErr w:type="spellEnd"/>
      <w:r w:rsidRPr="004C04A7">
        <w:rPr>
          <w:color w:val="2D3E7B" w:themeColor="text2" w:themeShade="BF"/>
        </w:rPr>
        <w:t xml:space="preserve"> liability to be included as a payable. “Short-term employee benefits” are defined as employee benefits that are expected to be settled wholly</w:t>
      </w:r>
      <w:r w:rsidRPr="004C04A7" w:rsidDel="00F13FDB">
        <w:rPr>
          <w:color w:val="2D3E7B" w:themeColor="text2" w:themeShade="BF"/>
        </w:rPr>
        <w:t xml:space="preserve"> </w:t>
      </w:r>
      <w:r w:rsidRPr="004C04A7">
        <w:rPr>
          <w:color w:val="2D3E7B" w:themeColor="text2" w:themeShade="BF"/>
        </w:rPr>
        <w:t>before twelve months after the end of the reporting period. The example given in AASB119.17 supports this requirement when accounting for situations where the carryover of sick leave is restricted to only one calendar year or the leave is forfeited.</w:t>
      </w:r>
    </w:p>
    <w:p w14:paraId="3084970A" w14:textId="77777777" w:rsidR="003710EB" w:rsidRPr="00B40DF8" w:rsidRDefault="003710EB" w:rsidP="004F3ED9">
      <w:pPr>
        <w:pStyle w:val="Heading6"/>
      </w:pPr>
      <w:r w:rsidRPr="00B40DF8">
        <w:t>AASB119.153-158</w:t>
      </w:r>
    </w:p>
    <w:p w14:paraId="69A334D8" w14:textId="77777777" w:rsidR="003710EB" w:rsidRPr="004C04A7" w:rsidRDefault="003710EB" w:rsidP="001A5D4A">
      <w:pPr>
        <w:rPr>
          <w:color w:val="2D3E7B" w:themeColor="text2" w:themeShade="BF"/>
        </w:rPr>
      </w:pPr>
      <w:r w:rsidRPr="004C04A7">
        <w:rPr>
          <w:color w:val="2D3E7B" w:themeColor="text2" w:themeShade="BF"/>
        </w:rPr>
        <w:t>AASB119.153-158 deals with the measurement of other long-term employee benefits which are defined as employee benefits that are not expected to be settled wholly before twelve months after the end of the annual reporting period.</w:t>
      </w:r>
    </w:p>
    <w:p w14:paraId="63945AFA" w14:textId="798273E7" w:rsidR="003710EB" w:rsidRPr="00B40DF8" w:rsidRDefault="00A83916" w:rsidP="004F3ED9">
      <w:pPr>
        <w:pStyle w:val="Heading6"/>
      </w:pPr>
      <w:r w:rsidRPr="00B40DF8">
        <w:t>Education</w:t>
      </w:r>
    </w:p>
    <w:p w14:paraId="4D730967" w14:textId="77777777" w:rsidR="003710EB" w:rsidRPr="004C04A7" w:rsidRDefault="003710EB" w:rsidP="001A5D4A">
      <w:pPr>
        <w:rPr>
          <w:color w:val="2D3E7B" w:themeColor="text2" w:themeShade="BF"/>
        </w:rPr>
      </w:pPr>
      <w:r w:rsidRPr="004C04A7">
        <w:rPr>
          <w:color w:val="2D3E7B" w:themeColor="text2" w:themeShade="BF"/>
        </w:rPr>
        <w:t xml:space="preserve">It is understood that annual and sick leave provisions under university enterprise bargaining agreements (or equivalent) allow for these leave types to be rolled over for more than twelve months. </w:t>
      </w:r>
    </w:p>
    <w:p w14:paraId="777730E1" w14:textId="77777777" w:rsidR="003710EB" w:rsidRPr="004C04A7" w:rsidRDefault="003710EB" w:rsidP="001A5D4A">
      <w:pPr>
        <w:rPr>
          <w:color w:val="2D3E7B" w:themeColor="text2" w:themeShade="BF"/>
          <w:highlight w:val="yellow"/>
        </w:rPr>
      </w:pPr>
      <w:r w:rsidRPr="004C04A7">
        <w:rPr>
          <w:color w:val="2D3E7B" w:themeColor="text2" w:themeShade="BF"/>
        </w:rPr>
        <w:t xml:space="preserve">If this is the case accumulating paid absences such as annual and sick leave are “other long-term employee benefits” and do not meet the criteria for short-term which requires settlement, wholly, before twelve months after the end of the reporting period. They should therefore be treated as a provision and not an accrual. The ability to accumulate both annual and sick leave for periods in excess of twelve months, with uncertain timing of settlement categorises them as long-term employee benefits, and as such are provisions not accruals. The amount recognised for the provision of annual leave and sick leave shall be the best estimate of the expenditure required to settle the present obligation at the end of the reporting period. </w:t>
      </w:r>
    </w:p>
    <w:p w14:paraId="697DA11C" w14:textId="77777777" w:rsidR="003710EB" w:rsidRPr="00B40DF8" w:rsidRDefault="003710EB" w:rsidP="004F3ED9">
      <w:pPr>
        <w:pStyle w:val="Heading6"/>
      </w:pPr>
      <w:r w:rsidRPr="00B40DF8">
        <w:t>AASB119.9b</w:t>
      </w:r>
    </w:p>
    <w:p w14:paraId="139A8C9D" w14:textId="77777777" w:rsidR="003710EB" w:rsidRPr="004C04A7" w:rsidRDefault="003710EB" w:rsidP="001A5D4A">
      <w:pPr>
        <w:rPr>
          <w:color w:val="2D3E7B" w:themeColor="text2" w:themeShade="BF"/>
          <w:highlight w:val="yellow"/>
        </w:rPr>
      </w:pPr>
      <w:r w:rsidRPr="004C04A7">
        <w:rPr>
          <w:color w:val="2D3E7B" w:themeColor="text2" w:themeShade="BF"/>
        </w:rPr>
        <w:t>AASB119.9b includes paid annual and paid sick leave as examples of short term employee benefits, however these examples must be taken in the context of the International Accounting Standards Board accepted interpretation of how these leave types operate which are not necessarily consistent with the Australian University or Australian Public Service sectors.</w:t>
      </w:r>
    </w:p>
    <w:p w14:paraId="6F42AFE1" w14:textId="77777777" w:rsidR="003710EB" w:rsidRPr="008F7914" w:rsidRDefault="003710EB" w:rsidP="009304CF">
      <w:pPr>
        <w:pStyle w:val="Heading6"/>
      </w:pPr>
      <w:r w:rsidRPr="008F7914">
        <w:t>Disclosure</w:t>
      </w:r>
    </w:p>
    <w:p w14:paraId="6C6243BF" w14:textId="77777777" w:rsidR="003710EB" w:rsidRPr="00B40DF8" w:rsidRDefault="003710EB" w:rsidP="004F3ED9">
      <w:pPr>
        <w:pStyle w:val="Heading6"/>
      </w:pPr>
      <w:r w:rsidRPr="00B40DF8">
        <w:t>AASB101.61</w:t>
      </w:r>
    </w:p>
    <w:p w14:paraId="10CDDDB7" w14:textId="77777777" w:rsidR="003710EB" w:rsidRPr="004C04A7" w:rsidDel="00585E51" w:rsidRDefault="003710EB" w:rsidP="001A5D4A">
      <w:pPr>
        <w:rPr>
          <w:color w:val="2D3E7B" w:themeColor="text2" w:themeShade="BF"/>
        </w:rPr>
      </w:pPr>
      <w:r w:rsidRPr="004C04A7">
        <w:rPr>
          <w:color w:val="2D3E7B" w:themeColor="text2" w:themeShade="BF"/>
        </w:rPr>
        <w:t>Whilst employee benefits such as annual leave are not expected to be settled wholly before twelve months, they are usually due to be settled within twelve months requiring them to be categorised as current. As per AASB101.61, current liabilities are required to be disclosed into amounts expected to be settled a) no more than twelve months after the reporting date, and b) more than twelve months after the reporting date.</w:t>
      </w:r>
    </w:p>
    <w:p w14:paraId="67C662AC" w14:textId="77777777" w:rsidR="003710EB" w:rsidRPr="004C04A7" w:rsidRDefault="003710EB" w:rsidP="009304CF">
      <w:pPr>
        <w:pStyle w:val="Heading6"/>
        <w:rPr>
          <w:highlight w:val="yellow"/>
        </w:rPr>
      </w:pPr>
      <w:r w:rsidRPr="004C04A7">
        <w:lastRenderedPageBreak/>
        <w:t>Retirement benefit obligations</w:t>
      </w:r>
    </w:p>
    <w:p w14:paraId="40C440BB" w14:textId="77777777" w:rsidR="003710EB" w:rsidRPr="00B40DF8" w:rsidRDefault="003710EB" w:rsidP="004F3ED9">
      <w:pPr>
        <w:pStyle w:val="Heading6"/>
      </w:pPr>
      <w:r w:rsidRPr="00B40DF8">
        <w:t>AASB119.58</w:t>
      </w:r>
    </w:p>
    <w:p w14:paraId="43F418CE" w14:textId="77777777" w:rsidR="003710EB" w:rsidRPr="004C04A7" w:rsidRDefault="003710EB" w:rsidP="001A5D4A">
      <w:pPr>
        <w:rPr>
          <w:color w:val="2D3E7B" w:themeColor="text2" w:themeShade="BF"/>
          <w:highlight w:val="yellow"/>
        </w:rPr>
      </w:pPr>
      <w:r w:rsidRPr="004C04A7">
        <w:rPr>
          <w:color w:val="2D3E7B" w:themeColor="text2" w:themeShade="BF"/>
        </w:rPr>
        <w:t>Entities must determine the net defined benefit liability (asset) with sufficient regularity that the amounts recognised in the financial statements do not differ materially from the amounts that would be determined at the end of the reporting period.</w:t>
      </w:r>
    </w:p>
    <w:p w14:paraId="25C9028D" w14:textId="0DA8C9F2" w:rsidR="003710EB" w:rsidRPr="008F7914" w:rsidRDefault="003710EB" w:rsidP="00AB24D3">
      <w:pPr>
        <w:pStyle w:val="Heading4"/>
        <w:rPr>
          <w:color w:val="2D3E7B" w:themeColor="text2" w:themeShade="BF"/>
        </w:rPr>
      </w:pPr>
      <w:r w:rsidRPr="008F7914">
        <w:rPr>
          <w:color w:val="2D3E7B" w:themeColor="text2" w:themeShade="BF"/>
        </w:rPr>
        <w:t>(</w:t>
      </w:r>
      <w:proofErr w:type="gramStart"/>
      <w:r w:rsidRPr="008F7914">
        <w:rPr>
          <w:color w:val="2D3E7B" w:themeColor="text2" w:themeShade="BF"/>
        </w:rPr>
        <w:t>ad</w:t>
      </w:r>
      <w:proofErr w:type="gramEnd"/>
      <w:r w:rsidRPr="008F7914">
        <w:rPr>
          <w:color w:val="2D3E7B" w:themeColor="text2" w:themeShade="BF"/>
        </w:rPr>
        <w:t>) Correction of prior period errors</w:t>
      </w:r>
    </w:p>
    <w:p w14:paraId="0DE25BEC" w14:textId="77777777" w:rsidR="003710EB" w:rsidRPr="004C04A7" w:rsidRDefault="003710EB" w:rsidP="009304CF">
      <w:pPr>
        <w:pStyle w:val="Heading6"/>
      </w:pPr>
      <w:r w:rsidRPr="004C04A7">
        <w:t>Prior period errors</w:t>
      </w:r>
    </w:p>
    <w:p w14:paraId="09666D5C" w14:textId="77777777" w:rsidR="003710EB" w:rsidRPr="00B40DF8" w:rsidRDefault="003710EB" w:rsidP="004F3ED9">
      <w:pPr>
        <w:pStyle w:val="Heading6"/>
      </w:pPr>
      <w:r w:rsidRPr="00B40DF8">
        <w:t>Correction</w:t>
      </w:r>
    </w:p>
    <w:p w14:paraId="397E0DA8" w14:textId="77777777" w:rsidR="003710EB" w:rsidRPr="00B40DF8" w:rsidRDefault="003710EB" w:rsidP="004F3ED9">
      <w:pPr>
        <w:pStyle w:val="Heading6"/>
      </w:pPr>
      <w:r w:rsidRPr="00B40DF8">
        <w:t>AASB108.42</w:t>
      </w:r>
    </w:p>
    <w:p w14:paraId="33DEB874" w14:textId="77777777" w:rsidR="003710EB" w:rsidRPr="004C04A7" w:rsidRDefault="003710EB" w:rsidP="001A5D4A">
      <w:pPr>
        <w:rPr>
          <w:color w:val="2D3E7B" w:themeColor="text2" w:themeShade="BF"/>
        </w:rPr>
      </w:pPr>
      <w:r w:rsidRPr="004C04A7">
        <w:rPr>
          <w:color w:val="2D3E7B" w:themeColor="text2" w:themeShade="BF"/>
        </w:rPr>
        <w:t>Subject to AASB108.43 an entity shall correct material prior period errors retrospectively in the first financial report authorised for issue after their discovery by:</w:t>
      </w:r>
    </w:p>
    <w:p w14:paraId="6086E2C9" w14:textId="042423CA" w:rsidR="003710EB" w:rsidRPr="004C04A7" w:rsidRDefault="003710EB" w:rsidP="004914AC">
      <w:pPr>
        <w:pStyle w:val="ListParagraph"/>
        <w:numPr>
          <w:ilvl w:val="0"/>
          <w:numId w:val="31"/>
        </w:numPr>
        <w:ind w:left="340" w:hanging="340"/>
        <w:rPr>
          <w:color w:val="2D3E7B" w:themeColor="text2" w:themeShade="BF"/>
        </w:rPr>
      </w:pPr>
      <w:r w:rsidRPr="004C04A7">
        <w:rPr>
          <w:color w:val="2D3E7B" w:themeColor="text2" w:themeShade="BF"/>
        </w:rPr>
        <w:t>restating the comparative amounts for the prior period(s) presented in which the error occurred; or</w:t>
      </w:r>
    </w:p>
    <w:p w14:paraId="5B8E7A3A" w14:textId="0E8564D8" w:rsidR="003710EB" w:rsidRPr="004C04A7" w:rsidRDefault="003710EB" w:rsidP="004914AC">
      <w:pPr>
        <w:pStyle w:val="ListParagraph"/>
        <w:numPr>
          <w:ilvl w:val="0"/>
          <w:numId w:val="31"/>
        </w:numPr>
        <w:ind w:left="340" w:hanging="340"/>
        <w:rPr>
          <w:color w:val="2D3E7B" w:themeColor="text2" w:themeShade="BF"/>
        </w:rPr>
      </w:pPr>
      <w:proofErr w:type="gramStart"/>
      <w:r w:rsidRPr="004C04A7">
        <w:rPr>
          <w:color w:val="2D3E7B" w:themeColor="text2" w:themeShade="BF"/>
        </w:rPr>
        <w:t>if</w:t>
      </w:r>
      <w:proofErr w:type="gramEnd"/>
      <w:r w:rsidRPr="004C04A7">
        <w:rPr>
          <w:color w:val="2D3E7B" w:themeColor="text2" w:themeShade="BF"/>
        </w:rPr>
        <w:t xml:space="preserve"> the error occurred before the earliest prior period presented, restating the opening balances of assets, liabilities and equity for the earliest prior period presented.</w:t>
      </w:r>
    </w:p>
    <w:p w14:paraId="6C600A8F" w14:textId="77777777" w:rsidR="003710EB" w:rsidRPr="00B40DF8" w:rsidRDefault="003710EB" w:rsidP="004F3ED9">
      <w:pPr>
        <w:pStyle w:val="Heading6"/>
      </w:pPr>
      <w:r w:rsidRPr="00B40DF8">
        <w:t>AASB108.43</w:t>
      </w:r>
    </w:p>
    <w:p w14:paraId="3B81FFF8" w14:textId="77777777" w:rsidR="003710EB" w:rsidRPr="004C04A7" w:rsidRDefault="003710EB" w:rsidP="001A5D4A">
      <w:pPr>
        <w:rPr>
          <w:color w:val="2D3E7B" w:themeColor="text2" w:themeShade="BF"/>
        </w:rPr>
      </w:pPr>
      <w:r w:rsidRPr="004C04A7">
        <w:rPr>
          <w:color w:val="2D3E7B" w:themeColor="text2" w:themeShade="BF"/>
        </w:rPr>
        <w:t>A prior period error shall be corrected by retrospective restatement except to the extent that it is impracticable to determine either the period-specific effects or the cumulative effect of the error. Retrospective restatement is correcting the recognition, measurement and disclosure of amounts of elements of financial statements as if a prior period error had never occurred.</w:t>
      </w:r>
    </w:p>
    <w:p w14:paraId="665DC274" w14:textId="77777777" w:rsidR="003710EB" w:rsidRPr="00B40DF8" w:rsidRDefault="003710EB" w:rsidP="004F3ED9">
      <w:pPr>
        <w:pStyle w:val="Heading6"/>
      </w:pPr>
      <w:r w:rsidRPr="00B40DF8">
        <w:t>AASB108.44</w:t>
      </w:r>
    </w:p>
    <w:p w14:paraId="35F9C80A" w14:textId="77777777" w:rsidR="003710EB" w:rsidRPr="004C04A7" w:rsidRDefault="003710EB" w:rsidP="001A5D4A">
      <w:pPr>
        <w:rPr>
          <w:color w:val="2D3E7B" w:themeColor="text2" w:themeShade="BF"/>
        </w:rPr>
      </w:pPr>
      <w:r w:rsidRPr="004C04A7">
        <w:rPr>
          <w:color w:val="2D3E7B" w:themeColor="text2" w:themeShade="BF"/>
        </w:rPr>
        <w:t>When it is impracticable to determine the period-specific effects of an error on comparative information for one or more prior periods presented, the entity shall restate the opening balances of assets, liabilities and equity for the earliest period for which retrospective restatement is practicable (which may be the current period).</w:t>
      </w:r>
    </w:p>
    <w:p w14:paraId="56F2625E" w14:textId="77777777" w:rsidR="003710EB" w:rsidRPr="00B40DF8" w:rsidRDefault="003710EB" w:rsidP="004F3ED9">
      <w:pPr>
        <w:pStyle w:val="Heading6"/>
      </w:pPr>
      <w:r w:rsidRPr="00B40DF8">
        <w:t>AASB108.45</w:t>
      </w:r>
    </w:p>
    <w:p w14:paraId="652AFA0C" w14:textId="106BA2DE" w:rsidR="007153D3" w:rsidRDefault="003710EB" w:rsidP="008F7914">
      <w:pPr>
        <w:rPr>
          <w:b/>
          <w:bCs/>
          <w:color w:val="2D3E7B" w:themeColor="text2" w:themeShade="BF"/>
          <w:szCs w:val="22"/>
        </w:rPr>
      </w:pPr>
      <w:r w:rsidRPr="004C04A7">
        <w:rPr>
          <w:color w:val="2D3E7B" w:themeColor="text2" w:themeShade="BF"/>
        </w:rPr>
        <w:t>When it is impracticable to determine the cumulative effect, at the beginning of the current period, of an error on all prior periods, the entity shall restate the comparative information to correct the error prospectively from the earliest date practicable.</w:t>
      </w:r>
    </w:p>
    <w:p w14:paraId="2A59548F" w14:textId="4ADEECB0" w:rsidR="003710EB" w:rsidRPr="008F7914" w:rsidRDefault="003710EB" w:rsidP="009304CF">
      <w:pPr>
        <w:pStyle w:val="Heading6"/>
      </w:pPr>
      <w:r w:rsidRPr="008F7914">
        <w:t>Disclosure</w:t>
      </w:r>
    </w:p>
    <w:p w14:paraId="400DB6CF" w14:textId="77777777" w:rsidR="003710EB" w:rsidRPr="00B40DF8" w:rsidRDefault="003710EB" w:rsidP="004F3ED9">
      <w:pPr>
        <w:pStyle w:val="Heading6"/>
      </w:pPr>
      <w:r w:rsidRPr="00B40DF8">
        <w:t>AASB108.49</w:t>
      </w:r>
    </w:p>
    <w:p w14:paraId="692AFA44" w14:textId="77777777" w:rsidR="003710EB" w:rsidRPr="004C04A7" w:rsidRDefault="003710EB" w:rsidP="001A5D4A">
      <w:pPr>
        <w:rPr>
          <w:color w:val="2D3E7B" w:themeColor="text2" w:themeShade="BF"/>
        </w:rPr>
      </w:pPr>
      <w:r w:rsidRPr="004C04A7">
        <w:rPr>
          <w:color w:val="2D3E7B" w:themeColor="text2" w:themeShade="BF"/>
        </w:rPr>
        <w:t>In applying the above, an entity shall disclose the following:</w:t>
      </w:r>
    </w:p>
    <w:p w14:paraId="31AE4DC6" w14:textId="1634DEEF" w:rsidR="003710EB" w:rsidRPr="004C04A7" w:rsidRDefault="003710EB" w:rsidP="004914AC">
      <w:pPr>
        <w:pStyle w:val="ListParagraph"/>
        <w:numPr>
          <w:ilvl w:val="0"/>
          <w:numId w:val="32"/>
        </w:numPr>
        <w:ind w:left="340" w:hanging="340"/>
        <w:rPr>
          <w:color w:val="2D3E7B" w:themeColor="text2" w:themeShade="BF"/>
        </w:rPr>
      </w:pPr>
      <w:r w:rsidRPr="004C04A7">
        <w:rPr>
          <w:color w:val="2D3E7B" w:themeColor="text2" w:themeShade="BF"/>
        </w:rPr>
        <w:t>the nature of the prior period error;</w:t>
      </w:r>
    </w:p>
    <w:p w14:paraId="693CC935" w14:textId="1D9A956C" w:rsidR="003710EB" w:rsidRPr="004C04A7" w:rsidRDefault="003710EB" w:rsidP="004914AC">
      <w:pPr>
        <w:pStyle w:val="ListParagraph"/>
        <w:numPr>
          <w:ilvl w:val="0"/>
          <w:numId w:val="32"/>
        </w:numPr>
        <w:ind w:left="340" w:hanging="340"/>
        <w:rPr>
          <w:color w:val="2D3E7B" w:themeColor="text2" w:themeShade="BF"/>
        </w:rPr>
      </w:pPr>
      <w:r w:rsidRPr="004C04A7">
        <w:rPr>
          <w:color w:val="2D3E7B" w:themeColor="text2" w:themeShade="BF"/>
        </w:rPr>
        <w:t>for each prior period presented, to the extent practicable, the amount of the correction;</w:t>
      </w:r>
    </w:p>
    <w:p w14:paraId="02D01883" w14:textId="7A1C85FB" w:rsidR="003710EB" w:rsidRPr="004C04A7" w:rsidRDefault="003710EB" w:rsidP="004914AC">
      <w:pPr>
        <w:pStyle w:val="ListParagraph"/>
        <w:numPr>
          <w:ilvl w:val="1"/>
          <w:numId w:val="32"/>
        </w:numPr>
        <w:ind w:left="680" w:hanging="340"/>
        <w:rPr>
          <w:color w:val="2D3E7B" w:themeColor="text2" w:themeShade="BF"/>
        </w:rPr>
      </w:pPr>
      <w:r w:rsidRPr="004C04A7">
        <w:rPr>
          <w:color w:val="2D3E7B" w:themeColor="text2" w:themeShade="BF"/>
        </w:rPr>
        <w:t>each financial statement line item affected; and</w:t>
      </w:r>
    </w:p>
    <w:p w14:paraId="00A12133" w14:textId="26C50F27" w:rsidR="003710EB" w:rsidRPr="004C04A7" w:rsidRDefault="003710EB" w:rsidP="004914AC">
      <w:pPr>
        <w:pStyle w:val="ListParagraph"/>
        <w:numPr>
          <w:ilvl w:val="1"/>
          <w:numId w:val="32"/>
        </w:numPr>
        <w:ind w:left="680" w:hanging="340"/>
        <w:rPr>
          <w:color w:val="2D3E7B" w:themeColor="text2" w:themeShade="BF"/>
        </w:rPr>
      </w:pPr>
      <w:r w:rsidRPr="004C04A7">
        <w:rPr>
          <w:color w:val="2D3E7B" w:themeColor="text2" w:themeShade="BF"/>
        </w:rPr>
        <w:t xml:space="preserve">if AASB133 </w:t>
      </w:r>
      <w:r w:rsidRPr="00C94CF3">
        <w:rPr>
          <w:i/>
          <w:color w:val="2D3E7B" w:themeColor="text2" w:themeShade="BF"/>
        </w:rPr>
        <w:t>Earnings per Share</w:t>
      </w:r>
      <w:r w:rsidRPr="004C04A7">
        <w:rPr>
          <w:color w:val="2D3E7B" w:themeColor="text2" w:themeShade="BF"/>
        </w:rPr>
        <w:t xml:space="preserve"> applies to the entity, for basic and diluted earnings per share </w:t>
      </w:r>
    </w:p>
    <w:p w14:paraId="0A6BFF05" w14:textId="18713CC4" w:rsidR="003710EB" w:rsidRPr="004C04A7" w:rsidRDefault="003710EB" w:rsidP="004914AC">
      <w:pPr>
        <w:pStyle w:val="ListParagraph"/>
        <w:numPr>
          <w:ilvl w:val="0"/>
          <w:numId w:val="32"/>
        </w:numPr>
        <w:ind w:left="340" w:hanging="340"/>
        <w:rPr>
          <w:color w:val="2D3E7B" w:themeColor="text2" w:themeShade="BF"/>
        </w:rPr>
      </w:pPr>
      <w:r w:rsidRPr="004C04A7">
        <w:rPr>
          <w:color w:val="2D3E7B" w:themeColor="text2" w:themeShade="BF"/>
        </w:rPr>
        <w:t>the amount of the correction at the beginning of the earliest prior period presented; and</w:t>
      </w:r>
    </w:p>
    <w:p w14:paraId="1B37749B" w14:textId="61B1C5D0" w:rsidR="003710EB" w:rsidRPr="004C04A7" w:rsidRDefault="003710EB" w:rsidP="004914AC">
      <w:pPr>
        <w:pStyle w:val="ListParagraph"/>
        <w:numPr>
          <w:ilvl w:val="0"/>
          <w:numId w:val="32"/>
        </w:numPr>
        <w:ind w:left="340" w:hanging="340"/>
        <w:rPr>
          <w:color w:val="2D3E7B" w:themeColor="text2" w:themeShade="BF"/>
        </w:rPr>
      </w:pPr>
      <w:proofErr w:type="gramStart"/>
      <w:r w:rsidRPr="004C04A7">
        <w:rPr>
          <w:color w:val="2D3E7B" w:themeColor="text2" w:themeShade="BF"/>
        </w:rPr>
        <w:t>if</w:t>
      </w:r>
      <w:proofErr w:type="gramEnd"/>
      <w:r w:rsidRPr="004C04A7">
        <w:rPr>
          <w:color w:val="2D3E7B" w:themeColor="text2" w:themeShade="BF"/>
        </w:rPr>
        <w:t xml:space="preserve"> retrospective restatement is impracticable for a particular prior period, the circumstances that led to the existence of that condition and a description of how and from when the error has been corrected.</w:t>
      </w:r>
    </w:p>
    <w:p w14:paraId="1B49CEDA" w14:textId="77777777" w:rsidR="003710EB" w:rsidRPr="004C04A7" w:rsidRDefault="003710EB" w:rsidP="001A5D4A">
      <w:pPr>
        <w:rPr>
          <w:color w:val="2D3E7B" w:themeColor="text2" w:themeShade="BF"/>
        </w:rPr>
      </w:pPr>
      <w:r w:rsidRPr="004C04A7">
        <w:rPr>
          <w:color w:val="2D3E7B" w:themeColor="text2" w:themeShade="BF"/>
        </w:rPr>
        <w:t>Financial reports of subsequent periods need not repeat these disclosures.</w:t>
      </w:r>
    </w:p>
    <w:p w14:paraId="4436D396" w14:textId="77777777" w:rsidR="003710EB" w:rsidRPr="004C04A7" w:rsidRDefault="003710EB" w:rsidP="00C94CF3">
      <w:pPr>
        <w:pStyle w:val="Heading6"/>
      </w:pPr>
      <w:r w:rsidRPr="004C04A7">
        <w:t>AASB101.40A</w:t>
      </w:r>
    </w:p>
    <w:p w14:paraId="065FE8AE" w14:textId="77777777" w:rsidR="003710EB" w:rsidRPr="004C04A7" w:rsidRDefault="003710EB" w:rsidP="001A5D4A">
      <w:pPr>
        <w:rPr>
          <w:color w:val="2D3E7B" w:themeColor="text2" w:themeShade="BF"/>
        </w:rPr>
      </w:pPr>
      <w:r w:rsidRPr="004C04A7">
        <w:rPr>
          <w:color w:val="2D3E7B" w:themeColor="text2" w:themeShade="BF"/>
        </w:rPr>
        <w:t>Where an entity makes a retrospective statement of items in its financial statements, the entity must include a third comparative statement of financial position at the beginning of the comparative period. This disclosure should be included in the statement of financial position.</w:t>
      </w:r>
    </w:p>
    <w:p w14:paraId="0D7E3737" w14:textId="77777777" w:rsidR="003710EB" w:rsidRPr="008F7914" w:rsidRDefault="003710EB" w:rsidP="009304CF">
      <w:pPr>
        <w:pStyle w:val="Heading6"/>
      </w:pPr>
      <w:r w:rsidRPr="008F7914">
        <w:lastRenderedPageBreak/>
        <w:t>Changes in accounting estimates</w:t>
      </w:r>
    </w:p>
    <w:p w14:paraId="5F61BD16" w14:textId="77777777" w:rsidR="003710EB" w:rsidRPr="00B40DF8" w:rsidRDefault="003710EB" w:rsidP="004F3ED9">
      <w:pPr>
        <w:pStyle w:val="Heading6"/>
      </w:pPr>
      <w:r w:rsidRPr="00B40DF8">
        <w:t>Recognition</w:t>
      </w:r>
    </w:p>
    <w:p w14:paraId="439FD487" w14:textId="77777777" w:rsidR="003710EB" w:rsidRPr="00B40DF8" w:rsidRDefault="003710EB" w:rsidP="004F3ED9">
      <w:pPr>
        <w:pStyle w:val="Heading6"/>
      </w:pPr>
      <w:r w:rsidRPr="00B40DF8">
        <w:t>AASB108.36</w:t>
      </w:r>
    </w:p>
    <w:p w14:paraId="65A90938" w14:textId="77777777" w:rsidR="003710EB" w:rsidRPr="004C04A7" w:rsidRDefault="003710EB" w:rsidP="001A5D4A">
      <w:pPr>
        <w:rPr>
          <w:color w:val="2D3E7B" w:themeColor="text2" w:themeShade="BF"/>
        </w:rPr>
      </w:pPr>
      <w:r w:rsidRPr="004C04A7">
        <w:rPr>
          <w:color w:val="2D3E7B" w:themeColor="text2" w:themeShade="BF"/>
        </w:rPr>
        <w:t>The effect of a change in an accounting estimate, other than a change to which AASB108.37 applies, shall be recognised prospectively by including it in profit or loss in:</w:t>
      </w:r>
    </w:p>
    <w:p w14:paraId="72197D2B" w14:textId="259141BB" w:rsidR="003710EB" w:rsidRPr="004C04A7" w:rsidRDefault="003710EB" w:rsidP="004914AC">
      <w:pPr>
        <w:pStyle w:val="ListParagraph"/>
        <w:numPr>
          <w:ilvl w:val="0"/>
          <w:numId w:val="33"/>
        </w:numPr>
        <w:ind w:left="340" w:hanging="340"/>
        <w:rPr>
          <w:color w:val="2D3E7B" w:themeColor="text2" w:themeShade="BF"/>
        </w:rPr>
      </w:pPr>
      <w:r w:rsidRPr="004C04A7">
        <w:rPr>
          <w:color w:val="2D3E7B" w:themeColor="text2" w:themeShade="BF"/>
        </w:rPr>
        <w:t>the period of the change, if the change affects that period only, or</w:t>
      </w:r>
    </w:p>
    <w:p w14:paraId="7C54B928" w14:textId="263E89B3" w:rsidR="003710EB" w:rsidRPr="004C04A7" w:rsidRDefault="003710EB" w:rsidP="004914AC">
      <w:pPr>
        <w:pStyle w:val="ListParagraph"/>
        <w:numPr>
          <w:ilvl w:val="0"/>
          <w:numId w:val="33"/>
        </w:numPr>
        <w:ind w:left="340" w:hanging="340"/>
        <w:rPr>
          <w:color w:val="2D3E7B" w:themeColor="text2" w:themeShade="BF"/>
        </w:rPr>
      </w:pPr>
      <w:proofErr w:type="gramStart"/>
      <w:r w:rsidRPr="004C04A7">
        <w:rPr>
          <w:color w:val="2D3E7B" w:themeColor="text2" w:themeShade="BF"/>
        </w:rPr>
        <w:t>period</w:t>
      </w:r>
      <w:proofErr w:type="gramEnd"/>
      <w:r w:rsidRPr="004C04A7">
        <w:rPr>
          <w:color w:val="2D3E7B" w:themeColor="text2" w:themeShade="BF"/>
        </w:rPr>
        <w:t xml:space="preserve"> of the change and future periods, if the change affects both.</w:t>
      </w:r>
    </w:p>
    <w:p w14:paraId="3DFD1938" w14:textId="77777777" w:rsidR="003710EB" w:rsidRPr="00B40DF8" w:rsidRDefault="003710EB" w:rsidP="004F3ED9">
      <w:pPr>
        <w:pStyle w:val="Heading6"/>
      </w:pPr>
      <w:r w:rsidRPr="00B40DF8">
        <w:t>AASB108.37</w:t>
      </w:r>
    </w:p>
    <w:p w14:paraId="31BD562E" w14:textId="77777777" w:rsidR="003710EB" w:rsidRPr="004C04A7" w:rsidRDefault="003710EB" w:rsidP="001A5D4A">
      <w:pPr>
        <w:rPr>
          <w:color w:val="2D3E7B" w:themeColor="text2" w:themeShade="BF"/>
        </w:rPr>
      </w:pPr>
      <w:r w:rsidRPr="004C04A7">
        <w:rPr>
          <w:color w:val="2D3E7B" w:themeColor="text2" w:themeShade="BF"/>
        </w:rPr>
        <w:t>To the extent that a change in an accounting estimate gives rise to changes in assets and liabilities, or relates to an item of equity, it shall be recognised by adjusting the carrying amount of the related asset, liability or equity item in the period of the change.</w:t>
      </w:r>
    </w:p>
    <w:p w14:paraId="56DEC7D4" w14:textId="77777777" w:rsidR="003710EB" w:rsidRPr="004C04A7" w:rsidRDefault="003710EB" w:rsidP="009304CF">
      <w:pPr>
        <w:pStyle w:val="Heading6"/>
      </w:pPr>
      <w:r w:rsidRPr="008F7914">
        <w:t>Disclosure</w:t>
      </w:r>
    </w:p>
    <w:p w14:paraId="3BA4EFD9" w14:textId="77777777" w:rsidR="003710EB" w:rsidRPr="00B40DF8" w:rsidRDefault="003710EB" w:rsidP="004F3ED9">
      <w:pPr>
        <w:pStyle w:val="Heading6"/>
      </w:pPr>
      <w:r w:rsidRPr="00B40DF8">
        <w:t>AASB108.39</w:t>
      </w:r>
    </w:p>
    <w:p w14:paraId="41923DE2" w14:textId="77777777" w:rsidR="003710EB" w:rsidRPr="004C04A7" w:rsidRDefault="003710EB" w:rsidP="001A5D4A">
      <w:pPr>
        <w:rPr>
          <w:color w:val="2D3E7B" w:themeColor="text2" w:themeShade="BF"/>
        </w:rPr>
      </w:pPr>
      <w:r w:rsidRPr="004C04A7">
        <w:rPr>
          <w:color w:val="2D3E7B" w:themeColor="text2" w:themeShade="BF"/>
        </w:rPr>
        <w:t>Disclosure is required of the nature and amount of a change in an accounting estimate that has an effect in the current period or is expected to have an effect in future periods, except for the disclosure of the effect on future periods, when it is impracticable to estimate that effect.</w:t>
      </w:r>
    </w:p>
    <w:p w14:paraId="6F31A502" w14:textId="77777777" w:rsidR="003710EB" w:rsidRPr="00B40DF8" w:rsidRDefault="003710EB" w:rsidP="004F3ED9">
      <w:pPr>
        <w:pStyle w:val="Heading6"/>
      </w:pPr>
      <w:r w:rsidRPr="00B40DF8">
        <w:t>AASB108.40</w:t>
      </w:r>
    </w:p>
    <w:p w14:paraId="5E943144" w14:textId="77777777" w:rsidR="003710EB" w:rsidRPr="004C04A7" w:rsidRDefault="003710EB" w:rsidP="001A5D4A">
      <w:pPr>
        <w:rPr>
          <w:color w:val="2D3E7B" w:themeColor="text2" w:themeShade="BF"/>
        </w:rPr>
      </w:pPr>
      <w:r w:rsidRPr="004C04A7">
        <w:rPr>
          <w:color w:val="2D3E7B" w:themeColor="text2" w:themeShade="BF"/>
        </w:rPr>
        <w:t>If the amount of the effect in future periods is not disclosed because estimating it is impracticable, that fact shall be disclosed.</w:t>
      </w:r>
    </w:p>
    <w:p w14:paraId="053D6EFC" w14:textId="7CA7CAE0" w:rsidR="003710EB" w:rsidRPr="00B40DF8" w:rsidRDefault="003710EB" w:rsidP="004F3ED9">
      <w:pPr>
        <w:pStyle w:val="Heading6"/>
      </w:pPr>
      <w:r w:rsidRPr="00B40DF8">
        <w:t>AASB134.26</w:t>
      </w:r>
    </w:p>
    <w:p w14:paraId="20D772A5" w14:textId="77777777" w:rsidR="003710EB" w:rsidRPr="0096281A" w:rsidRDefault="003710EB" w:rsidP="001A5D4A">
      <w:pPr>
        <w:rPr>
          <w:color w:val="2D3E7B" w:themeColor="text2" w:themeShade="BF"/>
        </w:rPr>
      </w:pPr>
      <w:r w:rsidRPr="004C04A7">
        <w:rPr>
          <w:color w:val="2D3E7B" w:themeColor="text2" w:themeShade="BF"/>
        </w:rPr>
        <w:t xml:space="preserve">If an estimate of an amount reported in an interim period is changed significantly during the final interim period of the annual reporting period but a separate financial report is not published for that final interim period, the nature and amount of that change in estimate shall be disclosed in a note in </w:t>
      </w:r>
      <w:r w:rsidRPr="0096281A">
        <w:rPr>
          <w:color w:val="2D3E7B" w:themeColor="text2" w:themeShade="BF"/>
        </w:rPr>
        <w:t>the annual financial report for that annual reporting period.</w:t>
      </w:r>
    </w:p>
    <w:p w14:paraId="438D77DA" w14:textId="33DF8E28" w:rsidR="003710EB" w:rsidRPr="008F7914" w:rsidRDefault="003710EB" w:rsidP="00AB24D3">
      <w:pPr>
        <w:pStyle w:val="Heading4"/>
        <w:rPr>
          <w:color w:val="2D3E7B" w:themeColor="text2" w:themeShade="BF"/>
        </w:rPr>
      </w:pPr>
      <w:r w:rsidRPr="0096281A">
        <w:rPr>
          <w:color w:val="2D3E7B" w:themeColor="text2" w:themeShade="BF"/>
        </w:rPr>
        <w:t>(</w:t>
      </w:r>
      <w:proofErr w:type="spellStart"/>
      <w:proofErr w:type="gramStart"/>
      <w:r w:rsidRPr="0096281A">
        <w:rPr>
          <w:color w:val="2D3E7B" w:themeColor="text2" w:themeShade="BF"/>
        </w:rPr>
        <w:t>ae</w:t>
      </w:r>
      <w:proofErr w:type="spellEnd"/>
      <w:proofErr w:type="gramEnd"/>
      <w:r w:rsidRPr="0096281A">
        <w:rPr>
          <w:color w:val="2D3E7B" w:themeColor="text2" w:themeShade="BF"/>
        </w:rPr>
        <w:t xml:space="preserve">) New accounting </w:t>
      </w:r>
      <w:r w:rsidRPr="008F7914">
        <w:rPr>
          <w:color w:val="2D3E7B" w:themeColor="text2" w:themeShade="BF"/>
        </w:rPr>
        <w:t>standards and interpretations</w:t>
      </w:r>
    </w:p>
    <w:p w14:paraId="253BAEBA" w14:textId="77777777" w:rsidR="003710EB" w:rsidRPr="004C04A7" w:rsidRDefault="003710EB" w:rsidP="009304CF">
      <w:pPr>
        <w:pStyle w:val="Heading6"/>
      </w:pPr>
      <w:r w:rsidRPr="004C04A7">
        <w:t>AASB108.30</w:t>
      </w:r>
    </w:p>
    <w:p w14:paraId="7DAAE8D0" w14:textId="77777777" w:rsidR="003710EB" w:rsidRPr="004C04A7" w:rsidRDefault="003710EB" w:rsidP="001A5D4A">
      <w:pPr>
        <w:rPr>
          <w:color w:val="2D3E7B" w:themeColor="text2" w:themeShade="BF"/>
        </w:rPr>
      </w:pPr>
      <w:r w:rsidRPr="004C04A7">
        <w:rPr>
          <w:color w:val="2D3E7B" w:themeColor="text2" w:themeShade="BF"/>
        </w:rPr>
        <w:t>When an entity has not applied a new Australian Accounting Standard that has been issued but is not yet effective, the entity shall disclose:</w:t>
      </w:r>
    </w:p>
    <w:p w14:paraId="77EDA4EF" w14:textId="333E6F21" w:rsidR="003710EB" w:rsidRPr="004C04A7" w:rsidRDefault="003710EB" w:rsidP="004914AC">
      <w:pPr>
        <w:pStyle w:val="ListParagraph"/>
        <w:numPr>
          <w:ilvl w:val="0"/>
          <w:numId w:val="34"/>
        </w:numPr>
        <w:ind w:left="340" w:hanging="340"/>
        <w:rPr>
          <w:color w:val="2D3E7B" w:themeColor="text2" w:themeShade="BF"/>
        </w:rPr>
      </w:pPr>
      <w:r w:rsidRPr="004C04A7">
        <w:rPr>
          <w:color w:val="2D3E7B" w:themeColor="text2" w:themeShade="BF"/>
        </w:rPr>
        <w:t>this fact; and</w:t>
      </w:r>
    </w:p>
    <w:p w14:paraId="318AF9F3" w14:textId="1484C6A4" w:rsidR="003710EB" w:rsidRPr="004C04A7" w:rsidRDefault="003710EB" w:rsidP="004914AC">
      <w:pPr>
        <w:pStyle w:val="ListParagraph"/>
        <w:numPr>
          <w:ilvl w:val="0"/>
          <w:numId w:val="34"/>
        </w:numPr>
        <w:ind w:left="340" w:hanging="340"/>
        <w:rPr>
          <w:color w:val="2D3E7B" w:themeColor="text2" w:themeShade="BF"/>
        </w:rPr>
      </w:pPr>
      <w:proofErr w:type="gramStart"/>
      <w:r w:rsidRPr="004C04A7">
        <w:rPr>
          <w:color w:val="2D3E7B" w:themeColor="text2" w:themeShade="BF"/>
        </w:rPr>
        <w:t>known</w:t>
      </w:r>
      <w:proofErr w:type="gramEnd"/>
      <w:r w:rsidRPr="004C04A7">
        <w:rPr>
          <w:color w:val="2D3E7B" w:themeColor="text2" w:themeShade="BF"/>
        </w:rPr>
        <w:t xml:space="preserve"> or reliably estimable information relevant to assessing the possible impact that application of the new Australian Accounting Standard will have on the HEP’s financial report in the period of initial application.</w:t>
      </w:r>
    </w:p>
    <w:p w14:paraId="0F3A30AE" w14:textId="77777777" w:rsidR="003710EB" w:rsidRPr="008F7914" w:rsidRDefault="003710EB" w:rsidP="009304CF">
      <w:pPr>
        <w:pStyle w:val="Heading6"/>
      </w:pPr>
      <w:r w:rsidRPr="008F7914">
        <w:t>AASB108.31</w:t>
      </w:r>
    </w:p>
    <w:p w14:paraId="466A3F74" w14:textId="77777777" w:rsidR="003710EB" w:rsidRPr="004C04A7" w:rsidRDefault="003710EB" w:rsidP="001A5D4A">
      <w:pPr>
        <w:rPr>
          <w:color w:val="2D3E7B" w:themeColor="text2" w:themeShade="BF"/>
        </w:rPr>
      </w:pPr>
      <w:r w:rsidRPr="004C04A7">
        <w:rPr>
          <w:color w:val="2D3E7B" w:themeColor="text2" w:themeShade="BF"/>
        </w:rPr>
        <w:t>In complying with the paragraph above, an entity considers disclosing:</w:t>
      </w:r>
    </w:p>
    <w:p w14:paraId="2D17D245" w14:textId="23D3E967" w:rsidR="003710EB" w:rsidRPr="004C04A7" w:rsidRDefault="003710EB" w:rsidP="004914AC">
      <w:pPr>
        <w:pStyle w:val="ListParagraph"/>
        <w:numPr>
          <w:ilvl w:val="0"/>
          <w:numId w:val="35"/>
        </w:numPr>
        <w:ind w:left="340" w:hanging="340"/>
        <w:rPr>
          <w:color w:val="2D3E7B" w:themeColor="text2" w:themeShade="BF"/>
        </w:rPr>
      </w:pPr>
      <w:r w:rsidRPr="004C04A7">
        <w:rPr>
          <w:color w:val="2D3E7B" w:themeColor="text2" w:themeShade="BF"/>
        </w:rPr>
        <w:t>the title of the new Australian Accounting Standard;</w:t>
      </w:r>
    </w:p>
    <w:p w14:paraId="0E8E3290" w14:textId="7FA5F78F" w:rsidR="003710EB" w:rsidRPr="004C04A7" w:rsidRDefault="003710EB" w:rsidP="004914AC">
      <w:pPr>
        <w:pStyle w:val="ListParagraph"/>
        <w:numPr>
          <w:ilvl w:val="0"/>
          <w:numId w:val="35"/>
        </w:numPr>
        <w:ind w:left="340" w:hanging="340"/>
        <w:rPr>
          <w:color w:val="2D3E7B" w:themeColor="text2" w:themeShade="BF"/>
        </w:rPr>
      </w:pPr>
      <w:r w:rsidRPr="004C04A7">
        <w:rPr>
          <w:color w:val="2D3E7B" w:themeColor="text2" w:themeShade="BF"/>
        </w:rPr>
        <w:t>the nature of the impending change or changes in accounting policy;</w:t>
      </w:r>
    </w:p>
    <w:p w14:paraId="428D3181" w14:textId="1E9BF847" w:rsidR="003710EB" w:rsidRPr="004C04A7" w:rsidRDefault="003710EB" w:rsidP="004914AC">
      <w:pPr>
        <w:pStyle w:val="ListParagraph"/>
        <w:numPr>
          <w:ilvl w:val="0"/>
          <w:numId w:val="35"/>
        </w:numPr>
        <w:ind w:left="340" w:hanging="340"/>
        <w:rPr>
          <w:color w:val="2D3E7B" w:themeColor="text2" w:themeShade="BF"/>
        </w:rPr>
      </w:pPr>
      <w:r w:rsidRPr="004C04A7">
        <w:rPr>
          <w:color w:val="2D3E7B" w:themeColor="text2" w:themeShade="BF"/>
        </w:rPr>
        <w:t>the date by which application of the Standard is required;</w:t>
      </w:r>
    </w:p>
    <w:p w14:paraId="4AA0BDD8" w14:textId="2E45382C" w:rsidR="003710EB" w:rsidRPr="004C04A7" w:rsidRDefault="003710EB" w:rsidP="004914AC">
      <w:pPr>
        <w:pStyle w:val="ListParagraph"/>
        <w:numPr>
          <w:ilvl w:val="0"/>
          <w:numId w:val="35"/>
        </w:numPr>
        <w:ind w:left="340" w:hanging="340"/>
        <w:rPr>
          <w:color w:val="2D3E7B" w:themeColor="text2" w:themeShade="BF"/>
        </w:rPr>
      </w:pPr>
      <w:r w:rsidRPr="004C04A7">
        <w:rPr>
          <w:color w:val="2D3E7B" w:themeColor="text2" w:themeShade="BF"/>
        </w:rPr>
        <w:t>the date as at which it plans to apply the Standard initially; and</w:t>
      </w:r>
    </w:p>
    <w:p w14:paraId="77E3E1BF" w14:textId="06BC2D87" w:rsidR="003710EB" w:rsidRPr="004C04A7" w:rsidRDefault="003710EB" w:rsidP="004914AC">
      <w:pPr>
        <w:pStyle w:val="ListParagraph"/>
        <w:numPr>
          <w:ilvl w:val="0"/>
          <w:numId w:val="35"/>
        </w:numPr>
        <w:ind w:left="340" w:hanging="340"/>
        <w:rPr>
          <w:color w:val="2D3E7B" w:themeColor="text2" w:themeShade="BF"/>
        </w:rPr>
      </w:pPr>
      <w:r w:rsidRPr="004C04A7">
        <w:rPr>
          <w:color w:val="2D3E7B" w:themeColor="text2" w:themeShade="BF"/>
        </w:rPr>
        <w:t>either:</w:t>
      </w:r>
    </w:p>
    <w:p w14:paraId="64C81FE5" w14:textId="2A326A03" w:rsidR="003710EB" w:rsidRPr="004C04A7" w:rsidRDefault="003710EB" w:rsidP="004914AC">
      <w:pPr>
        <w:pStyle w:val="ListParagraph"/>
        <w:numPr>
          <w:ilvl w:val="1"/>
          <w:numId w:val="35"/>
        </w:numPr>
        <w:ind w:left="680" w:hanging="340"/>
        <w:rPr>
          <w:color w:val="2D3E7B" w:themeColor="text2" w:themeShade="BF"/>
        </w:rPr>
      </w:pPr>
      <w:r w:rsidRPr="004C04A7">
        <w:rPr>
          <w:color w:val="2D3E7B" w:themeColor="text2" w:themeShade="BF"/>
        </w:rPr>
        <w:t>a discussion of the impact that initial application of the Standard is expected to have on the entity’s financial report, or</w:t>
      </w:r>
    </w:p>
    <w:p w14:paraId="7E002A48" w14:textId="18F00A4A" w:rsidR="003710EB" w:rsidRPr="004C04A7" w:rsidRDefault="003710EB" w:rsidP="004914AC">
      <w:pPr>
        <w:pStyle w:val="ListParagraph"/>
        <w:numPr>
          <w:ilvl w:val="1"/>
          <w:numId w:val="35"/>
        </w:numPr>
        <w:ind w:left="680" w:hanging="340"/>
        <w:rPr>
          <w:color w:val="2D3E7B" w:themeColor="text2" w:themeShade="BF"/>
        </w:rPr>
      </w:pPr>
      <w:proofErr w:type="gramStart"/>
      <w:r w:rsidRPr="004C04A7">
        <w:rPr>
          <w:color w:val="2D3E7B" w:themeColor="text2" w:themeShade="BF"/>
        </w:rPr>
        <w:t>if</w:t>
      </w:r>
      <w:proofErr w:type="gramEnd"/>
      <w:r w:rsidRPr="004C04A7">
        <w:rPr>
          <w:color w:val="2D3E7B" w:themeColor="text2" w:themeShade="BF"/>
        </w:rPr>
        <w:t xml:space="preserve"> that impact is not known or reasonably estimable, a statement to that effect.</w:t>
      </w:r>
    </w:p>
    <w:p w14:paraId="0F670A84" w14:textId="77777777" w:rsidR="003710EB" w:rsidRPr="008F7914" w:rsidRDefault="003710EB" w:rsidP="001A5D4A">
      <w:pPr>
        <w:rPr>
          <w:color w:val="2D3E7B" w:themeColor="text2" w:themeShade="BF"/>
        </w:rPr>
      </w:pPr>
      <w:r w:rsidRPr="004C04A7">
        <w:rPr>
          <w:color w:val="2D3E7B" w:themeColor="text2" w:themeShade="BF"/>
        </w:rPr>
        <w:t xml:space="preserve">The disclosures in the paragraphs above must be made even if the impact on the entity is not expected to be material. However, there is no need to mention a standard or interpretation if it is clearly not applicable to the entity. For example, most Australian entities will not be affected by UIG 7, which deals with financial </w:t>
      </w:r>
      <w:r w:rsidRPr="004C04A7">
        <w:rPr>
          <w:color w:val="2D3E7B" w:themeColor="text2" w:themeShade="BF"/>
        </w:rPr>
        <w:lastRenderedPageBreak/>
        <w:t xml:space="preserve">reporting of entities operating in hyperinflationary economies, and hence will not need to refer to this interpretation. Where a pronouncement introduces a new accounting option that was not previously available, the entity should explain whether and/or how it </w:t>
      </w:r>
      <w:r w:rsidRPr="008F7914">
        <w:rPr>
          <w:color w:val="2D3E7B" w:themeColor="text2" w:themeShade="BF"/>
        </w:rPr>
        <w:t>expects to use the option in future.</w:t>
      </w:r>
    </w:p>
    <w:p w14:paraId="31D31283" w14:textId="77777777" w:rsidR="003710EB" w:rsidRPr="008F7914" w:rsidRDefault="003710EB" w:rsidP="009304CF">
      <w:pPr>
        <w:pStyle w:val="Heading6"/>
      </w:pPr>
      <w:r w:rsidRPr="008F7914">
        <w:t xml:space="preserve">Changes in </w:t>
      </w:r>
      <w:proofErr w:type="gramStart"/>
      <w:r w:rsidRPr="008F7914">
        <w:t>Accounting</w:t>
      </w:r>
      <w:proofErr w:type="gramEnd"/>
      <w:r w:rsidRPr="008F7914">
        <w:t xml:space="preserve"> policies</w:t>
      </w:r>
    </w:p>
    <w:p w14:paraId="25078E7C" w14:textId="77777777" w:rsidR="003710EB" w:rsidRPr="00B40DF8" w:rsidRDefault="003710EB" w:rsidP="004F3ED9">
      <w:pPr>
        <w:pStyle w:val="Heading6"/>
      </w:pPr>
      <w:r w:rsidRPr="00B40DF8">
        <w:t>Initial application of Australian Accounting Standard</w:t>
      </w:r>
    </w:p>
    <w:p w14:paraId="2DF1FAB2" w14:textId="77777777" w:rsidR="003710EB" w:rsidRPr="00B40DF8" w:rsidRDefault="003710EB" w:rsidP="004F3ED9">
      <w:pPr>
        <w:pStyle w:val="Heading6"/>
      </w:pPr>
      <w:r w:rsidRPr="00B40DF8">
        <w:t>AASB108.28</w:t>
      </w:r>
    </w:p>
    <w:p w14:paraId="372B5BBA" w14:textId="77777777" w:rsidR="003710EB" w:rsidRPr="004C04A7" w:rsidRDefault="003710EB" w:rsidP="001A5D4A">
      <w:pPr>
        <w:rPr>
          <w:color w:val="2D3E7B" w:themeColor="text2" w:themeShade="BF"/>
        </w:rPr>
      </w:pPr>
      <w:r w:rsidRPr="004C04A7">
        <w:rPr>
          <w:color w:val="2D3E7B" w:themeColor="text2" w:themeShade="BF"/>
        </w:rPr>
        <w:t>When initial application of an Australian Accounting Standard has an effect on the current period or any prior period, would have such an effect except that it is impracticable to determine the amount of the adjustment, or might have an effect on future periods, an entity shall disclose:</w:t>
      </w:r>
    </w:p>
    <w:p w14:paraId="3A471075" w14:textId="67AE91C1"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the title of the Australian Accounting Standard;</w:t>
      </w:r>
    </w:p>
    <w:p w14:paraId="20F7A3E2" w14:textId="116404B1"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when applicable, that the change in accounting policy is made in accordance with its transitional provisions;</w:t>
      </w:r>
    </w:p>
    <w:p w14:paraId="3A78C37C" w14:textId="1E40E926"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the nature of the change in accounting policy;</w:t>
      </w:r>
    </w:p>
    <w:p w14:paraId="2E6DDEDC" w14:textId="486EF067"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when applicable, a description of the transitional provisions;</w:t>
      </w:r>
    </w:p>
    <w:p w14:paraId="7BA4FE02" w14:textId="4F0E3B6B"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when applicable, the transitional provisions that might have an effect on future periods;</w:t>
      </w:r>
    </w:p>
    <w:p w14:paraId="4CFA163E" w14:textId="57EAE13B"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for the current period and each prior period presented, to the extent practicable, the amount of the adjustment for each financial statement line item affected;</w:t>
      </w:r>
    </w:p>
    <w:p w14:paraId="3AE89AFF" w14:textId="06EFDD13"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the amount of the adjustment relating to periods before those presented, to the extent practicable; and</w:t>
      </w:r>
    </w:p>
    <w:p w14:paraId="7184324F" w14:textId="310DF578" w:rsidR="003710EB" w:rsidRPr="004C04A7" w:rsidRDefault="003710EB" w:rsidP="004914AC">
      <w:pPr>
        <w:pStyle w:val="ListParagraph"/>
        <w:numPr>
          <w:ilvl w:val="0"/>
          <w:numId w:val="36"/>
        </w:numPr>
        <w:ind w:left="340" w:hanging="340"/>
        <w:rPr>
          <w:color w:val="2D3E7B" w:themeColor="text2" w:themeShade="BF"/>
        </w:rPr>
      </w:pPr>
      <w:r w:rsidRPr="004C04A7">
        <w:rPr>
          <w:color w:val="2D3E7B" w:themeColor="text2" w:themeShade="BF"/>
        </w:rPr>
        <w:t>if retrospective application required by AASB108.19 (a) or (b) is impracticable for a particular prior period, or for periods before those presented, the circumstances that led to the existence of that condition and a description of how and from when the change in accounting policy has been applied.</w:t>
      </w:r>
    </w:p>
    <w:p w14:paraId="25B31D9B" w14:textId="77777777" w:rsidR="003710EB" w:rsidRPr="004C04A7" w:rsidRDefault="003710EB" w:rsidP="001A5D4A">
      <w:pPr>
        <w:rPr>
          <w:color w:val="2D3E7B" w:themeColor="text2" w:themeShade="BF"/>
        </w:rPr>
      </w:pPr>
      <w:r w:rsidRPr="004C04A7">
        <w:rPr>
          <w:color w:val="2D3E7B" w:themeColor="text2" w:themeShade="BF"/>
        </w:rPr>
        <w:t>Financial reports of subsequent periods need not repeat these disclosures.</w:t>
      </w:r>
    </w:p>
    <w:p w14:paraId="00B89F56" w14:textId="77777777" w:rsidR="003710EB" w:rsidRPr="00B40DF8" w:rsidRDefault="003710EB" w:rsidP="004F3ED9">
      <w:pPr>
        <w:pStyle w:val="Heading6"/>
      </w:pPr>
      <w:r w:rsidRPr="00B40DF8">
        <w:t>Voluntary change in accounting policy</w:t>
      </w:r>
    </w:p>
    <w:p w14:paraId="45C5621C" w14:textId="77777777" w:rsidR="003710EB" w:rsidRPr="00B40DF8" w:rsidRDefault="003710EB" w:rsidP="004F3ED9">
      <w:pPr>
        <w:pStyle w:val="Heading6"/>
      </w:pPr>
      <w:r w:rsidRPr="00B40DF8">
        <w:t>AASB108.29</w:t>
      </w:r>
    </w:p>
    <w:p w14:paraId="4051AB08" w14:textId="77777777" w:rsidR="003710EB" w:rsidRPr="004C04A7" w:rsidRDefault="003710EB" w:rsidP="001A5D4A">
      <w:pPr>
        <w:rPr>
          <w:color w:val="2D3E7B" w:themeColor="text2" w:themeShade="BF"/>
        </w:rPr>
      </w:pPr>
      <w:r w:rsidRPr="004C04A7">
        <w:rPr>
          <w:color w:val="2D3E7B" w:themeColor="text2" w:themeShade="BF"/>
        </w:rPr>
        <w:t>When a voluntary change in accounting policy has an effect on the current period or any prior period, would have an effect on that period except that it is impracticable to determine the amount of the adjustment, or might have an effect on future periods, an entity shall disclose:</w:t>
      </w:r>
    </w:p>
    <w:p w14:paraId="66E29F1D" w14:textId="1341D96F" w:rsidR="003710EB" w:rsidRPr="004C04A7" w:rsidRDefault="003710EB" w:rsidP="004914AC">
      <w:pPr>
        <w:pStyle w:val="ListParagraph"/>
        <w:numPr>
          <w:ilvl w:val="0"/>
          <w:numId w:val="37"/>
        </w:numPr>
        <w:ind w:left="340" w:hanging="340"/>
        <w:rPr>
          <w:color w:val="2D3E7B" w:themeColor="text2" w:themeShade="BF"/>
        </w:rPr>
      </w:pPr>
      <w:r w:rsidRPr="004C04A7">
        <w:rPr>
          <w:color w:val="2D3E7B" w:themeColor="text2" w:themeShade="BF"/>
        </w:rPr>
        <w:t>the nature of the change in accounting policy;</w:t>
      </w:r>
    </w:p>
    <w:p w14:paraId="3B5C58E5" w14:textId="199FFB12" w:rsidR="003710EB" w:rsidRPr="004C04A7" w:rsidRDefault="003710EB" w:rsidP="004914AC">
      <w:pPr>
        <w:pStyle w:val="ListParagraph"/>
        <w:numPr>
          <w:ilvl w:val="0"/>
          <w:numId w:val="37"/>
        </w:numPr>
        <w:ind w:left="340" w:hanging="340"/>
        <w:rPr>
          <w:color w:val="2D3E7B" w:themeColor="text2" w:themeShade="BF"/>
        </w:rPr>
      </w:pPr>
      <w:r w:rsidRPr="004C04A7">
        <w:rPr>
          <w:color w:val="2D3E7B" w:themeColor="text2" w:themeShade="BF"/>
        </w:rPr>
        <w:t>the reasons why applying the new accounting policy provides reliable and more relevant information;</w:t>
      </w:r>
    </w:p>
    <w:p w14:paraId="69C9F592" w14:textId="310DB9EA" w:rsidR="003710EB" w:rsidRPr="004C04A7" w:rsidRDefault="003710EB" w:rsidP="004914AC">
      <w:pPr>
        <w:pStyle w:val="ListParagraph"/>
        <w:numPr>
          <w:ilvl w:val="0"/>
          <w:numId w:val="37"/>
        </w:numPr>
        <w:ind w:left="340" w:hanging="340"/>
        <w:rPr>
          <w:color w:val="2D3E7B" w:themeColor="text2" w:themeShade="BF"/>
        </w:rPr>
      </w:pPr>
      <w:r w:rsidRPr="004C04A7">
        <w:rPr>
          <w:color w:val="2D3E7B" w:themeColor="text2" w:themeShade="BF"/>
        </w:rPr>
        <w:t>for the current period and each prior period presented, to the extent practicable, the amount of the adjustment for each financial statement line item affected;</w:t>
      </w:r>
    </w:p>
    <w:p w14:paraId="16303201" w14:textId="14CA03C8" w:rsidR="003710EB" w:rsidRPr="004C04A7" w:rsidRDefault="003710EB" w:rsidP="004914AC">
      <w:pPr>
        <w:pStyle w:val="ListParagraph"/>
        <w:numPr>
          <w:ilvl w:val="0"/>
          <w:numId w:val="37"/>
        </w:numPr>
        <w:ind w:left="340" w:hanging="340"/>
        <w:rPr>
          <w:color w:val="2D3E7B" w:themeColor="text2" w:themeShade="BF"/>
        </w:rPr>
      </w:pPr>
      <w:r w:rsidRPr="004C04A7">
        <w:rPr>
          <w:color w:val="2D3E7B" w:themeColor="text2" w:themeShade="BF"/>
        </w:rPr>
        <w:t>the amount of the adjustment relating to periods before those presented, to the extent practicable; and</w:t>
      </w:r>
    </w:p>
    <w:p w14:paraId="264ABB38" w14:textId="453B891F" w:rsidR="003710EB" w:rsidRPr="004C04A7" w:rsidRDefault="003710EB" w:rsidP="004914AC">
      <w:pPr>
        <w:pStyle w:val="ListParagraph"/>
        <w:numPr>
          <w:ilvl w:val="0"/>
          <w:numId w:val="37"/>
        </w:numPr>
        <w:ind w:left="340" w:hanging="340"/>
        <w:rPr>
          <w:color w:val="2D3E7B" w:themeColor="text2" w:themeShade="BF"/>
        </w:rPr>
      </w:pPr>
      <w:proofErr w:type="gramStart"/>
      <w:r w:rsidRPr="004C04A7">
        <w:rPr>
          <w:color w:val="2D3E7B" w:themeColor="text2" w:themeShade="BF"/>
        </w:rPr>
        <w:t>if</w:t>
      </w:r>
      <w:proofErr w:type="gramEnd"/>
      <w:r w:rsidRPr="004C04A7">
        <w:rPr>
          <w:color w:val="2D3E7B" w:themeColor="text2" w:themeShade="BF"/>
        </w:rPr>
        <w:t xml:space="preserve"> retrospective application is impracticable for a particular prior period, or for periods before those presented, the circumstances that led to the existence of that condition and a description of how and from when the change in accounting policy has been applied.</w:t>
      </w:r>
    </w:p>
    <w:p w14:paraId="75DFA406" w14:textId="77777777" w:rsidR="003710EB" w:rsidRPr="004C04A7" w:rsidRDefault="003710EB" w:rsidP="001A5D4A">
      <w:pPr>
        <w:rPr>
          <w:color w:val="2D3E7B" w:themeColor="text2" w:themeShade="BF"/>
        </w:rPr>
      </w:pPr>
      <w:r w:rsidRPr="004C04A7">
        <w:rPr>
          <w:color w:val="2D3E7B" w:themeColor="text2" w:themeShade="BF"/>
        </w:rPr>
        <w:t>Financial reports of subsequent periods need not repeat these disclosures.</w:t>
      </w:r>
    </w:p>
    <w:p w14:paraId="2659497F" w14:textId="77777777" w:rsidR="004C04A7" w:rsidRPr="006B68EB" w:rsidRDefault="004C04A7" w:rsidP="001A5D4A">
      <w:r w:rsidRPr="006B68EB">
        <w:br w:type="page"/>
      </w:r>
    </w:p>
    <w:p w14:paraId="2FBBF7D9" w14:textId="480F6566" w:rsidR="00E52AAD" w:rsidRDefault="00E52AAD" w:rsidP="00D61C84">
      <w:pPr>
        <w:pStyle w:val="Heading2"/>
      </w:pPr>
      <w:bookmarkStart w:id="253" w:name="_Toc410822656"/>
      <w:proofErr w:type="gramStart"/>
      <w:r w:rsidRPr="00E52AAD">
        <w:lastRenderedPageBreak/>
        <w:t>Note 2.</w:t>
      </w:r>
      <w:proofErr w:type="gramEnd"/>
      <w:r w:rsidRPr="00E52AAD">
        <w:t xml:space="preserve"> Disaggregated information (dual sector and/or operations outside Australia)</w:t>
      </w:r>
      <w:bookmarkEnd w:id="253"/>
    </w:p>
    <w:p w14:paraId="1E97FDA8" w14:textId="77777777" w:rsidR="00E52AAD" w:rsidRPr="00E52AAD" w:rsidRDefault="00E52AAD" w:rsidP="0000701C">
      <w:pPr>
        <w:spacing w:after="0"/>
      </w:pPr>
      <w:r w:rsidRPr="00E52AAD">
        <w:t>Mandatory</w:t>
      </w:r>
    </w:p>
    <w:p w14:paraId="47EAEAC6" w14:textId="77777777" w:rsidR="00E52AAD" w:rsidRPr="00E52AAD" w:rsidRDefault="00E52AAD" w:rsidP="001A5D4A">
      <w:r w:rsidRPr="00E52AAD">
        <w:t>Education</w:t>
      </w:r>
    </w:p>
    <w:tbl>
      <w:tblPr>
        <w:tblW w:w="5000" w:type="pct"/>
        <w:tblCellMar>
          <w:left w:w="0" w:type="dxa"/>
          <w:right w:w="0" w:type="dxa"/>
        </w:tblCellMar>
        <w:tblLook w:val="0000" w:firstRow="0" w:lastRow="0" w:firstColumn="0" w:lastColumn="0" w:noHBand="0" w:noVBand="0"/>
      </w:tblPr>
      <w:tblGrid>
        <w:gridCol w:w="1558"/>
        <w:gridCol w:w="2877"/>
        <w:gridCol w:w="505"/>
        <w:gridCol w:w="866"/>
        <w:gridCol w:w="772"/>
        <w:gridCol w:w="772"/>
        <w:gridCol w:w="866"/>
        <w:gridCol w:w="772"/>
        <w:gridCol w:w="763"/>
      </w:tblGrid>
      <w:tr w:rsidR="00023312" w14:paraId="038A0F66" w14:textId="77777777" w:rsidTr="00FC61D5">
        <w:trPr>
          <w:trHeight w:val="240"/>
        </w:trPr>
        <w:tc>
          <w:tcPr>
            <w:tcW w:w="799" w:type="pct"/>
          </w:tcPr>
          <w:p w14:paraId="038A0F64" w14:textId="77777777" w:rsidR="00023312" w:rsidRDefault="00023312" w:rsidP="001A5D4A">
            <w:pPr>
              <w:pStyle w:val="Note-Refs"/>
            </w:pPr>
          </w:p>
        </w:tc>
        <w:tc>
          <w:tcPr>
            <w:tcW w:w="4201" w:type="pct"/>
            <w:gridSpan w:val="8"/>
            <w:shd w:val="clear" w:color="auto" w:fill="CCCCCC"/>
            <w:vAlign w:val="bottom"/>
          </w:tcPr>
          <w:p w14:paraId="038A0F65" w14:textId="77777777" w:rsidR="00023312" w:rsidRDefault="00023312" w:rsidP="001A5D4A">
            <w:pPr>
              <w:pStyle w:val="Statement-ItemBold"/>
            </w:pPr>
            <w:r>
              <w:t>(a) Industry - Dual Sector Providers [Parent Entity]</w:t>
            </w:r>
          </w:p>
        </w:tc>
      </w:tr>
      <w:tr w:rsidR="00023312" w14:paraId="038A0F70" w14:textId="77777777" w:rsidTr="00E52AAD">
        <w:trPr>
          <w:trHeight w:val="240"/>
        </w:trPr>
        <w:tc>
          <w:tcPr>
            <w:tcW w:w="799" w:type="pct"/>
          </w:tcPr>
          <w:p w14:paraId="038A0F67" w14:textId="77777777" w:rsidR="00023312" w:rsidRDefault="00023312" w:rsidP="001A5D4A">
            <w:pPr>
              <w:pStyle w:val="Note-Refs"/>
            </w:pPr>
          </w:p>
        </w:tc>
        <w:tc>
          <w:tcPr>
            <w:tcW w:w="1475" w:type="pct"/>
            <w:shd w:val="clear" w:color="auto" w:fill="CCCCCC"/>
          </w:tcPr>
          <w:p w14:paraId="038A0F68" w14:textId="77777777" w:rsidR="00023312" w:rsidRDefault="00023312" w:rsidP="001A5D4A">
            <w:pPr>
              <w:pStyle w:val="NotesTable-ItemPlain"/>
            </w:pPr>
          </w:p>
        </w:tc>
        <w:tc>
          <w:tcPr>
            <w:tcW w:w="259" w:type="pct"/>
            <w:shd w:val="clear" w:color="auto" w:fill="CCCCCC"/>
            <w:vAlign w:val="bottom"/>
          </w:tcPr>
          <w:p w14:paraId="038A0F69" w14:textId="77777777" w:rsidR="00023312" w:rsidRDefault="00023312" w:rsidP="001A5D4A">
            <w:pPr>
              <w:pStyle w:val="NotesTable-Notes"/>
              <w:rPr>
                <w:b/>
              </w:rPr>
            </w:pPr>
            <w:r>
              <w:t>Notes</w:t>
            </w:r>
          </w:p>
        </w:tc>
        <w:tc>
          <w:tcPr>
            <w:tcW w:w="444" w:type="pct"/>
            <w:shd w:val="clear" w:color="auto" w:fill="CCCCCC"/>
            <w:vAlign w:val="bottom"/>
          </w:tcPr>
          <w:p w14:paraId="038A0F6A" w14:textId="77777777" w:rsidR="00023312" w:rsidRDefault="00023312" w:rsidP="001A5D4A">
            <w:pPr>
              <w:pStyle w:val="NotesTable-HeadPlain"/>
            </w:pPr>
            <w:r>
              <w:t>Higher Education</w:t>
            </w:r>
          </w:p>
        </w:tc>
        <w:tc>
          <w:tcPr>
            <w:tcW w:w="396" w:type="pct"/>
            <w:shd w:val="clear" w:color="auto" w:fill="CCCCCC"/>
            <w:vAlign w:val="bottom"/>
          </w:tcPr>
          <w:p w14:paraId="038A0F6B" w14:textId="77777777" w:rsidR="00023312" w:rsidRDefault="00023312" w:rsidP="001A5D4A">
            <w:pPr>
              <w:pStyle w:val="NotesTable-HeadPlain"/>
            </w:pPr>
            <w:r>
              <w:t>VET</w:t>
            </w:r>
          </w:p>
        </w:tc>
        <w:tc>
          <w:tcPr>
            <w:tcW w:w="396" w:type="pct"/>
            <w:shd w:val="clear" w:color="auto" w:fill="CCCCCC"/>
            <w:vAlign w:val="bottom"/>
          </w:tcPr>
          <w:p w14:paraId="038A0F6C" w14:textId="77777777" w:rsidR="00023312" w:rsidRDefault="00023312" w:rsidP="001A5D4A">
            <w:pPr>
              <w:pStyle w:val="NotesTable-HeadPlain"/>
            </w:pPr>
            <w:r>
              <w:t>Total Parent</w:t>
            </w:r>
          </w:p>
        </w:tc>
        <w:tc>
          <w:tcPr>
            <w:tcW w:w="444" w:type="pct"/>
            <w:shd w:val="clear" w:color="auto" w:fill="CCCCCC"/>
            <w:vAlign w:val="bottom"/>
          </w:tcPr>
          <w:p w14:paraId="038A0F6D" w14:textId="77777777" w:rsidR="00023312" w:rsidRDefault="00023312" w:rsidP="001A5D4A">
            <w:pPr>
              <w:pStyle w:val="NotesTable-HeadPlain"/>
            </w:pPr>
            <w:r>
              <w:t>Higher Education</w:t>
            </w:r>
          </w:p>
        </w:tc>
        <w:tc>
          <w:tcPr>
            <w:tcW w:w="396" w:type="pct"/>
            <w:shd w:val="clear" w:color="auto" w:fill="CCCCCC"/>
            <w:vAlign w:val="bottom"/>
          </w:tcPr>
          <w:p w14:paraId="038A0F6E" w14:textId="77777777" w:rsidR="00023312" w:rsidRDefault="00023312" w:rsidP="001A5D4A">
            <w:pPr>
              <w:pStyle w:val="NotesTable-HeadPlain"/>
            </w:pPr>
            <w:r>
              <w:t>VET</w:t>
            </w:r>
          </w:p>
        </w:tc>
        <w:tc>
          <w:tcPr>
            <w:tcW w:w="391" w:type="pct"/>
            <w:shd w:val="clear" w:color="auto" w:fill="CCCCCC"/>
            <w:vAlign w:val="bottom"/>
          </w:tcPr>
          <w:p w14:paraId="038A0F6F" w14:textId="77777777" w:rsidR="00023312" w:rsidRDefault="00023312" w:rsidP="001A5D4A">
            <w:pPr>
              <w:pStyle w:val="NotesTable-HeadPlain"/>
            </w:pPr>
            <w:r>
              <w:t>Total Parent</w:t>
            </w:r>
          </w:p>
        </w:tc>
      </w:tr>
      <w:tr w:rsidR="00BB0098" w14:paraId="038A0F7A" w14:textId="77777777" w:rsidTr="00E52AAD">
        <w:trPr>
          <w:trHeight w:val="240"/>
        </w:trPr>
        <w:tc>
          <w:tcPr>
            <w:tcW w:w="799" w:type="pct"/>
          </w:tcPr>
          <w:p w14:paraId="038A0F71" w14:textId="77777777" w:rsidR="00BB0098" w:rsidRDefault="00BB0098" w:rsidP="001A5D4A">
            <w:pPr>
              <w:pStyle w:val="Note-Refs"/>
            </w:pPr>
          </w:p>
        </w:tc>
        <w:tc>
          <w:tcPr>
            <w:tcW w:w="1475" w:type="pct"/>
            <w:shd w:val="clear" w:color="auto" w:fill="CCCCCC"/>
          </w:tcPr>
          <w:p w14:paraId="038A0F72" w14:textId="77777777" w:rsidR="00BB0098" w:rsidRDefault="00BB0098" w:rsidP="001A5D4A">
            <w:pPr>
              <w:pStyle w:val="NotesTable-ItemPlain"/>
            </w:pPr>
          </w:p>
        </w:tc>
        <w:tc>
          <w:tcPr>
            <w:tcW w:w="259" w:type="pct"/>
            <w:shd w:val="clear" w:color="auto" w:fill="CCCCCC"/>
          </w:tcPr>
          <w:p w14:paraId="038A0F73" w14:textId="77777777" w:rsidR="00BB0098" w:rsidRDefault="00BB0098" w:rsidP="001A5D4A">
            <w:pPr>
              <w:pStyle w:val="NotesTable-Notes"/>
            </w:pPr>
          </w:p>
        </w:tc>
        <w:tc>
          <w:tcPr>
            <w:tcW w:w="444" w:type="pct"/>
            <w:shd w:val="clear" w:color="auto" w:fill="CCCCCC"/>
          </w:tcPr>
          <w:p w14:paraId="038A0F74" w14:textId="536F14DE" w:rsidR="00BB0098" w:rsidRDefault="006864EC" w:rsidP="001A5D4A">
            <w:pPr>
              <w:pStyle w:val="NotesTable-HeadBold"/>
            </w:pPr>
            <w:r>
              <w:t>2014</w:t>
            </w:r>
          </w:p>
        </w:tc>
        <w:tc>
          <w:tcPr>
            <w:tcW w:w="396" w:type="pct"/>
            <w:shd w:val="clear" w:color="auto" w:fill="CCCCCC"/>
          </w:tcPr>
          <w:p w14:paraId="038A0F75" w14:textId="67807B36" w:rsidR="00BB0098" w:rsidRDefault="006864EC" w:rsidP="001A5D4A">
            <w:pPr>
              <w:pStyle w:val="NotesTable-HeadBold"/>
            </w:pPr>
            <w:r>
              <w:t>2014</w:t>
            </w:r>
          </w:p>
        </w:tc>
        <w:tc>
          <w:tcPr>
            <w:tcW w:w="396" w:type="pct"/>
            <w:shd w:val="clear" w:color="auto" w:fill="CCCCCC"/>
          </w:tcPr>
          <w:p w14:paraId="038A0F76" w14:textId="4703BC68" w:rsidR="00BB0098" w:rsidRDefault="006864EC" w:rsidP="001A5D4A">
            <w:pPr>
              <w:pStyle w:val="NotesTable-HeadBold"/>
            </w:pPr>
            <w:r>
              <w:t>2014</w:t>
            </w:r>
          </w:p>
        </w:tc>
        <w:tc>
          <w:tcPr>
            <w:tcW w:w="444" w:type="pct"/>
            <w:shd w:val="clear" w:color="auto" w:fill="CCCCCC"/>
          </w:tcPr>
          <w:p w14:paraId="038A0F77" w14:textId="755FA9EF" w:rsidR="00BB0098" w:rsidRDefault="006864EC" w:rsidP="001A5D4A">
            <w:pPr>
              <w:pStyle w:val="NotesTable-HeadPlain"/>
            </w:pPr>
            <w:r>
              <w:t>2013</w:t>
            </w:r>
          </w:p>
        </w:tc>
        <w:tc>
          <w:tcPr>
            <w:tcW w:w="396" w:type="pct"/>
            <w:shd w:val="clear" w:color="auto" w:fill="CCCCCC"/>
          </w:tcPr>
          <w:p w14:paraId="038A0F78" w14:textId="720732F4" w:rsidR="00BB0098" w:rsidRDefault="006864EC" w:rsidP="001A5D4A">
            <w:pPr>
              <w:pStyle w:val="NotesTable-HeadPlain"/>
              <w:rPr>
                <w:b/>
              </w:rPr>
            </w:pPr>
            <w:r>
              <w:t>2013</w:t>
            </w:r>
          </w:p>
        </w:tc>
        <w:tc>
          <w:tcPr>
            <w:tcW w:w="391" w:type="pct"/>
            <w:shd w:val="clear" w:color="auto" w:fill="CCCCCC"/>
          </w:tcPr>
          <w:p w14:paraId="038A0F79" w14:textId="193AA185" w:rsidR="00BB0098" w:rsidRDefault="006864EC" w:rsidP="001A5D4A">
            <w:pPr>
              <w:pStyle w:val="NotesTable-HeadPlain"/>
              <w:rPr>
                <w:b/>
              </w:rPr>
            </w:pPr>
            <w:r>
              <w:t>2013</w:t>
            </w:r>
          </w:p>
        </w:tc>
      </w:tr>
      <w:tr w:rsidR="00BB0098" w14:paraId="038A0F84" w14:textId="77777777" w:rsidTr="00E52AAD">
        <w:trPr>
          <w:trHeight w:val="240"/>
        </w:trPr>
        <w:tc>
          <w:tcPr>
            <w:tcW w:w="799" w:type="pct"/>
          </w:tcPr>
          <w:p w14:paraId="038A0F7B" w14:textId="77777777" w:rsidR="00BB0098" w:rsidRDefault="00BB0098" w:rsidP="001A5D4A">
            <w:pPr>
              <w:pStyle w:val="Note-Refs"/>
            </w:pPr>
          </w:p>
        </w:tc>
        <w:tc>
          <w:tcPr>
            <w:tcW w:w="1475" w:type="pct"/>
            <w:shd w:val="clear" w:color="auto" w:fill="CCCCCC"/>
          </w:tcPr>
          <w:p w14:paraId="038A0F7C" w14:textId="77777777" w:rsidR="00BB0098" w:rsidRDefault="00BB0098" w:rsidP="001A5D4A">
            <w:pPr>
              <w:pStyle w:val="NotesTable-ItemPlain"/>
            </w:pPr>
          </w:p>
        </w:tc>
        <w:tc>
          <w:tcPr>
            <w:tcW w:w="259" w:type="pct"/>
            <w:shd w:val="clear" w:color="auto" w:fill="CCCCCC"/>
          </w:tcPr>
          <w:p w14:paraId="038A0F7D" w14:textId="77777777" w:rsidR="00BB0098" w:rsidRDefault="00BB0098" w:rsidP="001A5D4A">
            <w:pPr>
              <w:pStyle w:val="NotesTable-Notes"/>
            </w:pPr>
          </w:p>
        </w:tc>
        <w:tc>
          <w:tcPr>
            <w:tcW w:w="444" w:type="pct"/>
            <w:shd w:val="clear" w:color="auto" w:fill="CCCCCC"/>
          </w:tcPr>
          <w:p w14:paraId="038A0F7E" w14:textId="77777777" w:rsidR="00BB0098" w:rsidRDefault="00BB0098" w:rsidP="001A5D4A">
            <w:pPr>
              <w:pStyle w:val="NotesTable-HeadBold"/>
            </w:pPr>
            <w:r>
              <w:t>$’000</w:t>
            </w:r>
          </w:p>
        </w:tc>
        <w:tc>
          <w:tcPr>
            <w:tcW w:w="396" w:type="pct"/>
            <w:shd w:val="clear" w:color="auto" w:fill="CCCCCC"/>
          </w:tcPr>
          <w:p w14:paraId="038A0F7F" w14:textId="77777777" w:rsidR="00BB0098" w:rsidRDefault="00BB0098" w:rsidP="001A5D4A">
            <w:pPr>
              <w:pStyle w:val="NotesTable-HeadBold"/>
            </w:pPr>
            <w:r>
              <w:t>$’000</w:t>
            </w:r>
          </w:p>
        </w:tc>
        <w:tc>
          <w:tcPr>
            <w:tcW w:w="396" w:type="pct"/>
            <w:shd w:val="clear" w:color="auto" w:fill="CCCCCC"/>
          </w:tcPr>
          <w:p w14:paraId="038A0F80" w14:textId="77777777" w:rsidR="00BB0098" w:rsidRDefault="00BB0098" w:rsidP="001A5D4A">
            <w:pPr>
              <w:pStyle w:val="NotesTable-HeadBold"/>
            </w:pPr>
            <w:r>
              <w:t>$’000</w:t>
            </w:r>
          </w:p>
        </w:tc>
        <w:tc>
          <w:tcPr>
            <w:tcW w:w="444" w:type="pct"/>
            <w:shd w:val="clear" w:color="auto" w:fill="CCCCCC"/>
          </w:tcPr>
          <w:p w14:paraId="038A0F81" w14:textId="77777777" w:rsidR="00BB0098" w:rsidRDefault="00BB0098" w:rsidP="001A5D4A">
            <w:pPr>
              <w:pStyle w:val="NotesTable-HeadPlain"/>
            </w:pPr>
            <w:r>
              <w:t>$’000</w:t>
            </w:r>
          </w:p>
        </w:tc>
        <w:tc>
          <w:tcPr>
            <w:tcW w:w="396" w:type="pct"/>
            <w:shd w:val="clear" w:color="auto" w:fill="CCCCCC"/>
          </w:tcPr>
          <w:p w14:paraId="038A0F82" w14:textId="77777777" w:rsidR="00BB0098" w:rsidRDefault="00BB0098" w:rsidP="001A5D4A">
            <w:pPr>
              <w:pStyle w:val="NotesTable-HeadPlain"/>
              <w:rPr>
                <w:b/>
              </w:rPr>
            </w:pPr>
            <w:r>
              <w:t>$’000</w:t>
            </w:r>
          </w:p>
        </w:tc>
        <w:tc>
          <w:tcPr>
            <w:tcW w:w="391" w:type="pct"/>
            <w:shd w:val="clear" w:color="auto" w:fill="CCCCCC"/>
          </w:tcPr>
          <w:p w14:paraId="038A0F83" w14:textId="77777777" w:rsidR="00BB0098" w:rsidRDefault="00BB0098" w:rsidP="001A5D4A">
            <w:pPr>
              <w:pStyle w:val="NotesTable-HeadPlain"/>
              <w:rPr>
                <w:b/>
              </w:rPr>
            </w:pPr>
            <w:r>
              <w:t>$’000</w:t>
            </w:r>
          </w:p>
        </w:tc>
      </w:tr>
      <w:tr w:rsidR="00BB0098" w14:paraId="038A0F87" w14:textId="77777777" w:rsidTr="00FC61D5">
        <w:trPr>
          <w:trHeight w:val="240"/>
        </w:trPr>
        <w:tc>
          <w:tcPr>
            <w:tcW w:w="799" w:type="pct"/>
          </w:tcPr>
          <w:p w14:paraId="038A0F85" w14:textId="77777777" w:rsidR="00BB0098" w:rsidRDefault="00BB0098" w:rsidP="001A5D4A">
            <w:pPr>
              <w:pStyle w:val="Note-Refs"/>
            </w:pPr>
          </w:p>
        </w:tc>
        <w:tc>
          <w:tcPr>
            <w:tcW w:w="4201" w:type="pct"/>
            <w:gridSpan w:val="8"/>
            <w:shd w:val="clear" w:color="auto" w:fill="CCCCCC"/>
          </w:tcPr>
          <w:p w14:paraId="038A0F86" w14:textId="77777777" w:rsidR="00BB0098" w:rsidRDefault="00BB0098" w:rsidP="001A5D4A">
            <w:pPr>
              <w:pStyle w:val="NotesTable-ItemPlain"/>
            </w:pPr>
          </w:p>
        </w:tc>
      </w:tr>
      <w:tr w:rsidR="00BB0098" w14:paraId="038A0F8A" w14:textId="77777777" w:rsidTr="00FC61D5">
        <w:trPr>
          <w:trHeight w:val="240"/>
        </w:trPr>
        <w:tc>
          <w:tcPr>
            <w:tcW w:w="799" w:type="pct"/>
          </w:tcPr>
          <w:p w14:paraId="038A0F88" w14:textId="77777777" w:rsidR="00BB0098" w:rsidRDefault="00BB0098" w:rsidP="001A5D4A">
            <w:pPr>
              <w:pStyle w:val="Note-Refs"/>
            </w:pPr>
          </w:p>
        </w:tc>
        <w:tc>
          <w:tcPr>
            <w:tcW w:w="4201" w:type="pct"/>
            <w:gridSpan w:val="8"/>
            <w:shd w:val="clear" w:color="auto" w:fill="CCCCCC"/>
            <w:vAlign w:val="bottom"/>
          </w:tcPr>
          <w:p w14:paraId="038A0F89" w14:textId="6AED3919" w:rsidR="00BB0098" w:rsidRDefault="00BB0098" w:rsidP="001A5D4A">
            <w:pPr>
              <w:pStyle w:val="NotesTable-ItemPlain"/>
              <w:rPr>
                <w:b/>
              </w:rPr>
            </w:pPr>
            <w:r>
              <w:t xml:space="preserve">[Reproduce the face statements, </w:t>
            </w:r>
            <w:proofErr w:type="spellStart"/>
            <w:r w:rsidR="00AB3203">
              <w:t>ie</w:t>
            </w:r>
            <w:proofErr w:type="spellEnd"/>
            <w:r>
              <w:t xml:space="preserve"> the Income </w:t>
            </w:r>
            <w:r w:rsidR="00BB6AC4">
              <w:t>S</w:t>
            </w:r>
            <w:r>
              <w:t xml:space="preserve">tatement, </w:t>
            </w:r>
            <w:r w:rsidR="00977592">
              <w:t xml:space="preserve">Statement of </w:t>
            </w:r>
            <w:r w:rsidR="00BB6AC4">
              <w:t>C</w:t>
            </w:r>
            <w:r w:rsidR="00977592">
              <w:t xml:space="preserve">omprehensive </w:t>
            </w:r>
            <w:r w:rsidR="00BB6AC4">
              <w:t>I</w:t>
            </w:r>
            <w:r w:rsidR="00977592">
              <w:t xml:space="preserve">ncome, </w:t>
            </w:r>
            <w:r w:rsidR="007A534E">
              <w:t>Statement of Financial Position</w:t>
            </w:r>
            <w:r>
              <w:t xml:space="preserve">, Statement of </w:t>
            </w:r>
            <w:r w:rsidR="00BB6AC4">
              <w:t>C</w:t>
            </w:r>
            <w:r>
              <w:t xml:space="preserve">hanges in </w:t>
            </w:r>
            <w:r w:rsidR="00BB6AC4">
              <w:t>E</w:t>
            </w:r>
            <w:r>
              <w:t>quity and Statement of Cash flows, with the column headings as noted above.]</w:t>
            </w:r>
          </w:p>
        </w:tc>
      </w:tr>
      <w:tr w:rsidR="00BB0098" w14:paraId="038A0F8D" w14:textId="77777777" w:rsidTr="00FC61D5">
        <w:trPr>
          <w:trHeight w:val="240"/>
        </w:trPr>
        <w:tc>
          <w:tcPr>
            <w:tcW w:w="799" w:type="pct"/>
          </w:tcPr>
          <w:p w14:paraId="038A0F8B" w14:textId="77777777" w:rsidR="00BB0098" w:rsidRDefault="00BB0098" w:rsidP="001A5D4A">
            <w:pPr>
              <w:pStyle w:val="Note-Refs"/>
            </w:pPr>
          </w:p>
        </w:tc>
        <w:tc>
          <w:tcPr>
            <w:tcW w:w="4201" w:type="pct"/>
            <w:gridSpan w:val="8"/>
            <w:shd w:val="clear" w:color="auto" w:fill="CCCCCC"/>
            <w:vAlign w:val="bottom"/>
          </w:tcPr>
          <w:p w14:paraId="038A0F8C" w14:textId="77777777" w:rsidR="00BB0098" w:rsidRDefault="00BB0098" w:rsidP="001A5D4A">
            <w:pPr>
              <w:pStyle w:val="NotesTable-ItemPlain"/>
            </w:pPr>
          </w:p>
        </w:tc>
      </w:tr>
      <w:tr w:rsidR="00BB0098" w14:paraId="038A0F90" w14:textId="77777777" w:rsidTr="00FC61D5">
        <w:trPr>
          <w:trHeight w:val="240"/>
        </w:trPr>
        <w:tc>
          <w:tcPr>
            <w:tcW w:w="799" w:type="pct"/>
          </w:tcPr>
          <w:p w14:paraId="038A0F8E" w14:textId="614E7554" w:rsidR="00BB0098" w:rsidRDefault="00084F29" w:rsidP="001A5D4A">
            <w:pPr>
              <w:pStyle w:val="Note-Refs"/>
            </w:pPr>
            <w:r>
              <w:t>EDUCATION</w:t>
            </w:r>
          </w:p>
        </w:tc>
        <w:tc>
          <w:tcPr>
            <w:tcW w:w="4201" w:type="pct"/>
            <w:gridSpan w:val="8"/>
            <w:shd w:val="clear" w:color="auto" w:fill="CCCCCC"/>
            <w:vAlign w:val="bottom"/>
          </w:tcPr>
          <w:p w14:paraId="038A0F8F" w14:textId="77777777" w:rsidR="00BB0098" w:rsidRDefault="00BB0098" w:rsidP="001A5D4A">
            <w:pPr>
              <w:pStyle w:val="Statement-ItemBold"/>
            </w:pPr>
            <w:r>
              <w:t>(b) Geographical [Consolidated Entity]</w:t>
            </w:r>
          </w:p>
        </w:tc>
      </w:tr>
      <w:tr w:rsidR="00BB0098" w14:paraId="038A0F96" w14:textId="77777777" w:rsidTr="00E52AAD">
        <w:trPr>
          <w:trHeight w:val="240"/>
        </w:trPr>
        <w:tc>
          <w:tcPr>
            <w:tcW w:w="799" w:type="pct"/>
          </w:tcPr>
          <w:p w14:paraId="038A0F91" w14:textId="77777777" w:rsidR="00BB0098" w:rsidRDefault="00BB0098" w:rsidP="001A5D4A">
            <w:pPr>
              <w:pStyle w:val="Note-Refs"/>
            </w:pPr>
          </w:p>
        </w:tc>
        <w:tc>
          <w:tcPr>
            <w:tcW w:w="1734" w:type="pct"/>
            <w:gridSpan w:val="2"/>
            <w:shd w:val="clear" w:color="auto" w:fill="CCCCCC"/>
          </w:tcPr>
          <w:p w14:paraId="038A0F92" w14:textId="77777777" w:rsidR="00BB0098" w:rsidRDefault="00BB0098" w:rsidP="001A5D4A">
            <w:pPr>
              <w:pStyle w:val="NotesTable-ItemPlain"/>
            </w:pPr>
          </w:p>
        </w:tc>
        <w:tc>
          <w:tcPr>
            <w:tcW w:w="840" w:type="pct"/>
            <w:gridSpan w:val="2"/>
            <w:shd w:val="clear" w:color="auto" w:fill="CCCCCC"/>
            <w:vAlign w:val="bottom"/>
          </w:tcPr>
          <w:p w14:paraId="038A0F93" w14:textId="77777777" w:rsidR="00BB0098" w:rsidRDefault="00BB0098" w:rsidP="001A5D4A">
            <w:pPr>
              <w:pStyle w:val="NotesTable-HeadPlain"/>
              <w:rPr>
                <w:b/>
              </w:rPr>
            </w:pPr>
            <w:r>
              <w:t>Revenue</w:t>
            </w:r>
          </w:p>
        </w:tc>
        <w:tc>
          <w:tcPr>
            <w:tcW w:w="840" w:type="pct"/>
            <w:gridSpan w:val="2"/>
            <w:shd w:val="clear" w:color="auto" w:fill="CCCCCC"/>
            <w:vAlign w:val="bottom"/>
          </w:tcPr>
          <w:p w14:paraId="038A0F94" w14:textId="77777777" w:rsidR="00BB0098" w:rsidRDefault="00BB0098" w:rsidP="001A5D4A">
            <w:pPr>
              <w:pStyle w:val="NotesTable-HeadPlain"/>
              <w:rPr>
                <w:b/>
              </w:rPr>
            </w:pPr>
            <w:r>
              <w:t>Results</w:t>
            </w:r>
          </w:p>
        </w:tc>
        <w:tc>
          <w:tcPr>
            <w:tcW w:w="787" w:type="pct"/>
            <w:gridSpan w:val="2"/>
            <w:shd w:val="clear" w:color="auto" w:fill="CCCCCC"/>
            <w:vAlign w:val="bottom"/>
          </w:tcPr>
          <w:p w14:paraId="038A0F95" w14:textId="77777777" w:rsidR="00BB0098" w:rsidRDefault="00BB0098" w:rsidP="001A5D4A">
            <w:pPr>
              <w:pStyle w:val="NotesTable-HeadPlain"/>
              <w:rPr>
                <w:b/>
              </w:rPr>
            </w:pPr>
            <w:r>
              <w:t>Assets</w:t>
            </w:r>
          </w:p>
        </w:tc>
      </w:tr>
      <w:tr w:rsidR="00BB0098" w14:paraId="038A0F9F" w14:textId="77777777" w:rsidTr="00E52AAD">
        <w:trPr>
          <w:trHeight w:val="240"/>
        </w:trPr>
        <w:tc>
          <w:tcPr>
            <w:tcW w:w="799" w:type="pct"/>
          </w:tcPr>
          <w:p w14:paraId="038A0F97" w14:textId="77777777" w:rsidR="00BB0098" w:rsidRDefault="00BB0098" w:rsidP="001A5D4A">
            <w:pPr>
              <w:pStyle w:val="Note-Refs"/>
            </w:pPr>
          </w:p>
        </w:tc>
        <w:tc>
          <w:tcPr>
            <w:tcW w:w="1734" w:type="pct"/>
            <w:gridSpan w:val="2"/>
            <w:shd w:val="clear" w:color="auto" w:fill="CCCCCC"/>
            <w:vAlign w:val="bottom"/>
          </w:tcPr>
          <w:p w14:paraId="038A0F98" w14:textId="77777777" w:rsidR="00BB0098" w:rsidRDefault="00BB0098" w:rsidP="001A5D4A">
            <w:pPr>
              <w:pStyle w:val="NotesTable-ItemPlain"/>
            </w:pPr>
          </w:p>
        </w:tc>
        <w:tc>
          <w:tcPr>
            <w:tcW w:w="444" w:type="pct"/>
            <w:shd w:val="clear" w:color="auto" w:fill="CCCCCC"/>
          </w:tcPr>
          <w:p w14:paraId="038A0F99" w14:textId="79532DED" w:rsidR="00BB0098" w:rsidRDefault="006864EC" w:rsidP="001A5D4A">
            <w:pPr>
              <w:pStyle w:val="NotesTable-HeadBold"/>
            </w:pPr>
            <w:r>
              <w:t>2014</w:t>
            </w:r>
          </w:p>
        </w:tc>
        <w:tc>
          <w:tcPr>
            <w:tcW w:w="396" w:type="pct"/>
            <w:shd w:val="clear" w:color="auto" w:fill="CCCCCC"/>
          </w:tcPr>
          <w:p w14:paraId="038A0F9A" w14:textId="0715C94C" w:rsidR="00BB0098" w:rsidRDefault="006864EC" w:rsidP="001A5D4A">
            <w:pPr>
              <w:pStyle w:val="NotesTable-CellPlain"/>
              <w:rPr>
                <w:b/>
                <w:lang w:val="en-GB"/>
              </w:rPr>
            </w:pPr>
            <w:r>
              <w:t>2013</w:t>
            </w:r>
          </w:p>
        </w:tc>
        <w:tc>
          <w:tcPr>
            <w:tcW w:w="396" w:type="pct"/>
            <w:shd w:val="clear" w:color="auto" w:fill="CCCCCC"/>
          </w:tcPr>
          <w:p w14:paraId="038A0F9B" w14:textId="69D8272C" w:rsidR="00BB0098" w:rsidRDefault="006864EC" w:rsidP="001A5D4A">
            <w:pPr>
              <w:pStyle w:val="NotesTable-HeadBold"/>
            </w:pPr>
            <w:r>
              <w:t>2014</w:t>
            </w:r>
          </w:p>
        </w:tc>
        <w:tc>
          <w:tcPr>
            <w:tcW w:w="444" w:type="pct"/>
            <w:shd w:val="clear" w:color="auto" w:fill="CCCCCC"/>
          </w:tcPr>
          <w:p w14:paraId="038A0F9C" w14:textId="2463B687" w:rsidR="00BB0098" w:rsidRDefault="006864EC" w:rsidP="001A5D4A">
            <w:pPr>
              <w:pStyle w:val="NotesTable-CellPlain"/>
              <w:rPr>
                <w:b/>
                <w:lang w:val="en-GB"/>
              </w:rPr>
            </w:pPr>
            <w:r>
              <w:t>2013</w:t>
            </w:r>
          </w:p>
        </w:tc>
        <w:tc>
          <w:tcPr>
            <w:tcW w:w="396" w:type="pct"/>
            <w:shd w:val="clear" w:color="auto" w:fill="CCCCCC"/>
          </w:tcPr>
          <w:p w14:paraId="038A0F9D" w14:textId="205E0FF8" w:rsidR="00BB0098" w:rsidRDefault="006864EC" w:rsidP="001A5D4A">
            <w:pPr>
              <w:pStyle w:val="NotesTable-HeadBold"/>
            </w:pPr>
            <w:r>
              <w:t>2014</w:t>
            </w:r>
          </w:p>
        </w:tc>
        <w:tc>
          <w:tcPr>
            <w:tcW w:w="391" w:type="pct"/>
            <w:shd w:val="clear" w:color="auto" w:fill="CCCCCC"/>
          </w:tcPr>
          <w:p w14:paraId="038A0F9E" w14:textId="5397560A" w:rsidR="00BB0098" w:rsidRDefault="006864EC" w:rsidP="001A5D4A">
            <w:pPr>
              <w:pStyle w:val="NotesTable-CellPlain"/>
              <w:rPr>
                <w:b/>
                <w:lang w:val="en-GB"/>
              </w:rPr>
            </w:pPr>
            <w:r>
              <w:t>2013</w:t>
            </w:r>
          </w:p>
        </w:tc>
      </w:tr>
      <w:tr w:rsidR="00BB0098" w14:paraId="038A0FA8" w14:textId="77777777" w:rsidTr="00E52AAD">
        <w:trPr>
          <w:trHeight w:val="240"/>
        </w:trPr>
        <w:tc>
          <w:tcPr>
            <w:tcW w:w="799" w:type="pct"/>
          </w:tcPr>
          <w:p w14:paraId="038A0FA0" w14:textId="77777777" w:rsidR="00BB0098" w:rsidRDefault="00BB0098" w:rsidP="001A5D4A">
            <w:pPr>
              <w:pStyle w:val="Note-Refs"/>
            </w:pPr>
          </w:p>
        </w:tc>
        <w:tc>
          <w:tcPr>
            <w:tcW w:w="1734" w:type="pct"/>
            <w:gridSpan w:val="2"/>
            <w:shd w:val="clear" w:color="auto" w:fill="CCCCCC"/>
            <w:vAlign w:val="bottom"/>
          </w:tcPr>
          <w:p w14:paraId="038A0FA1" w14:textId="77777777" w:rsidR="00BB0098" w:rsidRDefault="00BB0098" w:rsidP="001A5D4A">
            <w:pPr>
              <w:pStyle w:val="NotesTable-ItemPlain"/>
            </w:pPr>
          </w:p>
        </w:tc>
        <w:tc>
          <w:tcPr>
            <w:tcW w:w="444" w:type="pct"/>
            <w:shd w:val="clear" w:color="auto" w:fill="CCCCCC"/>
          </w:tcPr>
          <w:p w14:paraId="038A0FA2" w14:textId="77777777" w:rsidR="00BB0098" w:rsidRDefault="00BB0098" w:rsidP="001A5D4A">
            <w:pPr>
              <w:pStyle w:val="NotesTable-HeadBold"/>
            </w:pPr>
            <w:r>
              <w:t>$’000</w:t>
            </w:r>
          </w:p>
        </w:tc>
        <w:tc>
          <w:tcPr>
            <w:tcW w:w="396" w:type="pct"/>
            <w:shd w:val="clear" w:color="auto" w:fill="CCCCCC"/>
          </w:tcPr>
          <w:p w14:paraId="038A0FA3" w14:textId="77777777" w:rsidR="00BB0098" w:rsidRDefault="00BB0098" w:rsidP="001A5D4A">
            <w:pPr>
              <w:pStyle w:val="NotesTable-CellPlain"/>
              <w:rPr>
                <w:b/>
                <w:lang w:val="en-GB"/>
              </w:rPr>
            </w:pPr>
            <w:r>
              <w:t>$’000</w:t>
            </w:r>
          </w:p>
        </w:tc>
        <w:tc>
          <w:tcPr>
            <w:tcW w:w="396" w:type="pct"/>
            <w:shd w:val="clear" w:color="auto" w:fill="CCCCCC"/>
          </w:tcPr>
          <w:p w14:paraId="038A0FA4" w14:textId="77777777" w:rsidR="00BB0098" w:rsidRDefault="00BB0098" w:rsidP="001A5D4A">
            <w:pPr>
              <w:pStyle w:val="NotesTable-HeadBold"/>
            </w:pPr>
            <w:r>
              <w:t>$’000</w:t>
            </w:r>
          </w:p>
        </w:tc>
        <w:tc>
          <w:tcPr>
            <w:tcW w:w="444" w:type="pct"/>
            <w:shd w:val="clear" w:color="auto" w:fill="CCCCCC"/>
          </w:tcPr>
          <w:p w14:paraId="038A0FA5" w14:textId="77777777" w:rsidR="00BB0098" w:rsidRDefault="00BB0098" w:rsidP="001A5D4A">
            <w:pPr>
              <w:pStyle w:val="NotesTable-CellPlain"/>
              <w:rPr>
                <w:b/>
                <w:lang w:val="en-GB"/>
              </w:rPr>
            </w:pPr>
            <w:r>
              <w:t>$’000</w:t>
            </w:r>
          </w:p>
        </w:tc>
        <w:tc>
          <w:tcPr>
            <w:tcW w:w="396" w:type="pct"/>
            <w:shd w:val="clear" w:color="auto" w:fill="CCCCCC"/>
          </w:tcPr>
          <w:p w14:paraId="038A0FA6" w14:textId="77777777" w:rsidR="00BB0098" w:rsidRDefault="00BB0098" w:rsidP="001A5D4A">
            <w:pPr>
              <w:pStyle w:val="NotesTable-HeadBold"/>
            </w:pPr>
            <w:r>
              <w:t>$’000</w:t>
            </w:r>
          </w:p>
        </w:tc>
        <w:tc>
          <w:tcPr>
            <w:tcW w:w="391" w:type="pct"/>
            <w:shd w:val="clear" w:color="auto" w:fill="CCCCCC"/>
          </w:tcPr>
          <w:p w14:paraId="038A0FA7" w14:textId="77777777" w:rsidR="00BB0098" w:rsidRDefault="00BB0098" w:rsidP="001A5D4A">
            <w:pPr>
              <w:pStyle w:val="NotesTable-CellPlain"/>
              <w:rPr>
                <w:b/>
                <w:lang w:val="en-GB"/>
              </w:rPr>
            </w:pPr>
            <w:r>
              <w:t>$’000</w:t>
            </w:r>
          </w:p>
        </w:tc>
      </w:tr>
      <w:tr w:rsidR="00BB0098" w14:paraId="038A0FB1" w14:textId="77777777" w:rsidTr="00E52AAD">
        <w:trPr>
          <w:trHeight w:val="240"/>
        </w:trPr>
        <w:tc>
          <w:tcPr>
            <w:tcW w:w="799" w:type="pct"/>
          </w:tcPr>
          <w:p w14:paraId="038A0FA9" w14:textId="77777777" w:rsidR="00BB0098" w:rsidRDefault="00BB0098" w:rsidP="001A5D4A">
            <w:pPr>
              <w:pStyle w:val="Note-Refs"/>
            </w:pPr>
          </w:p>
        </w:tc>
        <w:tc>
          <w:tcPr>
            <w:tcW w:w="1734" w:type="pct"/>
            <w:gridSpan w:val="2"/>
            <w:shd w:val="clear" w:color="auto" w:fill="CCCCCC"/>
            <w:vAlign w:val="bottom"/>
          </w:tcPr>
          <w:p w14:paraId="038A0FAA" w14:textId="77777777" w:rsidR="00BB0098" w:rsidRDefault="00BB0098" w:rsidP="001A5D4A">
            <w:pPr>
              <w:pStyle w:val="NotesTable-ItemPlain"/>
              <w:rPr>
                <w:b/>
              </w:rPr>
            </w:pPr>
            <w:r>
              <w:t>Australia</w:t>
            </w:r>
          </w:p>
        </w:tc>
        <w:tc>
          <w:tcPr>
            <w:tcW w:w="444" w:type="pct"/>
            <w:shd w:val="clear" w:color="auto" w:fill="CCCCCC"/>
          </w:tcPr>
          <w:p w14:paraId="038A0FAB" w14:textId="77777777" w:rsidR="00BB0098" w:rsidRDefault="00BB0098" w:rsidP="001A5D4A">
            <w:pPr>
              <w:pStyle w:val="NotesTable-CellBold"/>
              <w:rPr>
                <w:b w:val="0"/>
                <w:lang w:val="en-GB"/>
              </w:rPr>
            </w:pPr>
            <w:r>
              <w:t>–</w:t>
            </w:r>
          </w:p>
        </w:tc>
        <w:tc>
          <w:tcPr>
            <w:tcW w:w="396" w:type="pct"/>
            <w:shd w:val="clear" w:color="auto" w:fill="CCCCCC"/>
          </w:tcPr>
          <w:p w14:paraId="038A0FAC" w14:textId="77777777" w:rsidR="00BB0098" w:rsidRDefault="00BB0098" w:rsidP="001A5D4A">
            <w:pPr>
              <w:pStyle w:val="NotesTable-CellPlain"/>
              <w:rPr>
                <w:b/>
                <w:lang w:val="en-GB"/>
              </w:rPr>
            </w:pPr>
            <w:r>
              <w:t>–</w:t>
            </w:r>
          </w:p>
        </w:tc>
        <w:tc>
          <w:tcPr>
            <w:tcW w:w="396" w:type="pct"/>
            <w:shd w:val="clear" w:color="auto" w:fill="CCCCCC"/>
          </w:tcPr>
          <w:p w14:paraId="038A0FAD" w14:textId="77777777" w:rsidR="00BB0098" w:rsidRDefault="00BB0098" w:rsidP="001A5D4A">
            <w:pPr>
              <w:pStyle w:val="NotesTable-CellBold"/>
              <w:rPr>
                <w:b w:val="0"/>
                <w:lang w:val="en-GB"/>
              </w:rPr>
            </w:pPr>
            <w:r>
              <w:t>–</w:t>
            </w:r>
          </w:p>
        </w:tc>
        <w:tc>
          <w:tcPr>
            <w:tcW w:w="444" w:type="pct"/>
            <w:shd w:val="clear" w:color="auto" w:fill="CCCCCC"/>
          </w:tcPr>
          <w:p w14:paraId="038A0FAE" w14:textId="77777777" w:rsidR="00BB0098" w:rsidRDefault="00BB0098" w:rsidP="001A5D4A">
            <w:pPr>
              <w:pStyle w:val="NotesTable-CellPlain"/>
              <w:rPr>
                <w:b/>
                <w:lang w:val="en-GB"/>
              </w:rPr>
            </w:pPr>
            <w:r>
              <w:t>–</w:t>
            </w:r>
          </w:p>
        </w:tc>
        <w:tc>
          <w:tcPr>
            <w:tcW w:w="396" w:type="pct"/>
            <w:shd w:val="clear" w:color="auto" w:fill="CCCCCC"/>
          </w:tcPr>
          <w:p w14:paraId="038A0FAF" w14:textId="77777777" w:rsidR="00BB0098" w:rsidRDefault="00BB0098" w:rsidP="001A5D4A">
            <w:pPr>
              <w:pStyle w:val="NotesTable-CellBold"/>
              <w:rPr>
                <w:b w:val="0"/>
                <w:lang w:val="en-GB"/>
              </w:rPr>
            </w:pPr>
            <w:r>
              <w:t>–</w:t>
            </w:r>
          </w:p>
        </w:tc>
        <w:tc>
          <w:tcPr>
            <w:tcW w:w="391" w:type="pct"/>
            <w:shd w:val="clear" w:color="auto" w:fill="CCCCCC"/>
          </w:tcPr>
          <w:p w14:paraId="038A0FB0" w14:textId="77777777" w:rsidR="00BB0098" w:rsidRDefault="00BB0098" w:rsidP="001A5D4A">
            <w:pPr>
              <w:pStyle w:val="NotesTable-CellPlain"/>
              <w:rPr>
                <w:b/>
                <w:lang w:val="en-GB"/>
              </w:rPr>
            </w:pPr>
            <w:r>
              <w:t>–</w:t>
            </w:r>
          </w:p>
        </w:tc>
      </w:tr>
      <w:tr w:rsidR="00BB0098" w14:paraId="038A0FBA" w14:textId="77777777" w:rsidTr="00E52AAD">
        <w:trPr>
          <w:trHeight w:val="240"/>
        </w:trPr>
        <w:tc>
          <w:tcPr>
            <w:tcW w:w="799" w:type="pct"/>
          </w:tcPr>
          <w:p w14:paraId="038A0FB2" w14:textId="77777777" w:rsidR="00BB0098" w:rsidRDefault="00BB0098" w:rsidP="001A5D4A">
            <w:pPr>
              <w:pStyle w:val="Note-Refs"/>
            </w:pPr>
          </w:p>
        </w:tc>
        <w:tc>
          <w:tcPr>
            <w:tcW w:w="1734" w:type="pct"/>
            <w:gridSpan w:val="2"/>
            <w:shd w:val="clear" w:color="auto" w:fill="CCCCCC"/>
            <w:vAlign w:val="bottom"/>
          </w:tcPr>
          <w:p w14:paraId="038A0FB3" w14:textId="19F81420" w:rsidR="00BB0098" w:rsidRDefault="00BB0098" w:rsidP="001A5D4A">
            <w:pPr>
              <w:pStyle w:val="NotesTable-ItemPlain"/>
              <w:rPr>
                <w:b/>
              </w:rPr>
            </w:pPr>
            <w:r>
              <w:t>[Specify region]</w:t>
            </w:r>
          </w:p>
        </w:tc>
        <w:tc>
          <w:tcPr>
            <w:tcW w:w="444" w:type="pct"/>
            <w:tcBorders>
              <w:bottom w:val="single" w:sz="4" w:space="0" w:color="auto"/>
            </w:tcBorders>
            <w:shd w:val="clear" w:color="auto" w:fill="CCCCCC"/>
          </w:tcPr>
          <w:p w14:paraId="038A0FB4" w14:textId="77777777" w:rsidR="00BB0098" w:rsidRDefault="00BB0098" w:rsidP="001A5D4A">
            <w:pPr>
              <w:pStyle w:val="NotesTable-CellBold"/>
              <w:rPr>
                <w:b w:val="0"/>
                <w:lang w:val="en-GB"/>
              </w:rPr>
            </w:pPr>
            <w:r>
              <w:t>–</w:t>
            </w:r>
          </w:p>
        </w:tc>
        <w:tc>
          <w:tcPr>
            <w:tcW w:w="396" w:type="pct"/>
            <w:shd w:val="clear" w:color="auto" w:fill="CCCCCC"/>
          </w:tcPr>
          <w:p w14:paraId="038A0FB5" w14:textId="77777777" w:rsidR="00BB0098" w:rsidRDefault="00BB0098" w:rsidP="001A5D4A">
            <w:pPr>
              <w:pStyle w:val="NotesTable-CellPlain"/>
              <w:rPr>
                <w:b/>
                <w:lang w:val="en-GB"/>
              </w:rPr>
            </w:pPr>
            <w:r>
              <w:t>–</w:t>
            </w:r>
          </w:p>
        </w:tc>
        <w:tc>
          <w:tcPr>
            <w:tcW w:w="396" w:type="pct"/>
            <w:shd w:val="clear" w:color="auto" w:fill="CCCCCC"/>
          </w:tcPr>
          <w:p w14:paraId="038A0FB6" w14:textId="77777777" w:rsidR="00BB0098" w:rsidRDefault="00BB0098" w:rsidP="001A5D4A">
            <w:pPr>
              <w:pStyle w:val="NotesTable-CellBold"/>
              <w:rPr>
                <w:b w:val="0"/>
                <w:lang w:val="en-GB"/>
              </w:rPr>
            </w:pPr>
            <w:r>
              <w:t>–</w:t>
            </w:r>
          </w:p>
        </w:tc>
        <w:tc>
          <w:tcPr>
            <w:tcW w:w="444" w:type="pct"/>
            <w:shd w:val="clear" w:color="auto" w:fill="CCCCCC"/>
          </w:tcPr>
          <w:p w14:paraId="038A0FB7" w14:textId="77777777" w:rsidR="00BB0098" w:rsidRDefault="00BB0098" w:rsidP="001A5D4A">
            <w:pPr>
              <w:pStyle w:val="NotesTable-CellPlain"/>
              <w:rPr>
                <w:b/>
                <w:lang w:val="en-GB"/>
              </w:rPr>
            </w:pPr>
            <w:r>
              <w:t>–</w:t>
            </w:r>
          </w:p>
        </w:tc>
        <w:tc>
          <w:tcPr>
            <w:tcW w:w="396" w:type="pct"/>
            <w:shd w:val="clear" w:color="auto" w:fill="CCCCCC"/>
          </w:tcPr>
          <w:p w14:paraId="038A0FB8" w14:textId="77777777" w:rsidR="00BB0098" w:rsidRDefault="00BB0098" w:rsidP="001A5D4A">
            <w:pPr>
              <w:pStyle w:val="NotesTable-CellBold"/>
              <w:rPr>
                <w:b w:val="0"/>
                <w:lang w:val="en-GB"/>
              </w:rPr>
            </w:pPr>
            <w:r>
              <w:t>–</w:t>
            </w:r>
          </w:p>
        </w:tc>
        <w:tc>
          <w:tcPr>
            <w:tcW w:w="391" w:type="pct"/>
            <w:shd w:val="clear" w:color="auto" w:fill="CCCCCC"/>
          </w:tcPr>
          <w:p w14:paraId="038A0FB9" w14:textId="77777777" w:rsidR="00BB0098" w:rsidRDefault="00BB0098" w:rsidP="001A5D4A">
            <w:pPr>
              <w:pStyle w:val="NotesTable-CellPlain"/>
              <w:rPr>
                <w:b/>
                <w:lang w:val="en-GB"/>
              </w:rPr>
            </w:pPr>
            <w:r>
              <w:t>–</w:t>
            </w:r>
          </w:p>
        </w:tc>
      </w:tr>
      <w:tr w:rsidR="00BB0098" w14:paraId="038A0FC3" w14:textId="77777777" w:rsidTr="00E52AAD">
        <w:trPr>
          <w:trHeight w:val="240"/>
        </w:trPr>
        <w:tc>
          <w:tcPr>
            <w:tcW w:w="799" w:type="pct"/>
          </w:tcPr>
          <w:p w14:paraId="038A0FBB" w14:textId="77777777" w:rsidR="00BB0098" w:rsidRDefault="00BB0098" w:rsidP="001A5D4A">
            <w:pPr>
              <w:pStyle w:val="Note-Refs"/>
            </w:pPr>
          </w:p>
        </w:tc>
        <w:tc>
          <w:tcPr>
            <w:tcW w:w="1734" w:type="pct"/>
            <w:gridSpan w:val="2"/>
            <w:shd w:val="clear" w:color="auto" w:fill="CCCCCC"/>
            <w:vAlign w:val="bottom"/>
          </w:tcPr>
          <w:p w14:paraId="038A0FBC" w14:textId="77777777" w:rsidR="00BB0098" w:rsidRDefault="00667234" w:rsidP="001A5D4A">
            <w:pPr>
              <w:pStyle w:val="NotesTable-ItemPlain"/>
            </w:pPr>
            <w:r>
              <w:t>Total</w:t>
            </w:r>
          </w:p>
        </w:tc>
        <w:tc>
          <w:tcPr>
            <w:tcW w:w="444" w:type="pct"/>
            <w:tcBorders>
              <w:top w:val="single" w:sz="4" w:space="0" w:color="auto"/>
            </w:tcBorders>
            <w:shd w:val="clear" w:color="auto" w:fill="CCCCCC"/>
          </w:tcPr>
          <w:p w14:paraId="038A0FBD" w14:textId="77777777" w:rsidR="00BB0098" w:rsidRDefault="00BB0098" w:rsidP="001A5D4A">
            <w:pPr>
              <w:pStyle w:val="NotesTable-CellBold"/>
              <w:rPr>
                <w:b w:val="0"/>
                <w:lang w:val="en-GB"/>
              </w:rPr>
            </w:pPr>
            <w:r>
              <w:t>–</w:t>
            </w:r>
          </w:p>
        </w:tc>
        <w:tc>
          <w:tcPr>
            <w:tcW w:w="396" w:type="pct"/>
            <w:tcBorders>
              <w:top w:val="single" w:sz="4" w:space="0" w:color="000000"/>
            </w:tcBorders>
            <w:shd w:val="clear" w:color="auto" w:fill="CCCCCC"/>
          </w:tcPr>
          <w:p w14:paraId="038A0FBE" w14:textId="77777777" w:rsidR="00BB0098" w:rsidRDefault="00BB0098" w:rsidP="001A5D4A">
            <w:pPr>
              <w:pStyle w:val="NotesTable-CellPlain"/>
              <w:rPr>
                <w:b/>
                <w:lang w:val="en-GB"/>
              </w:rPr>
            </w:pPr>
            <w:r>
              <w:t>–</w:t>
            </w:r>
          </w:p>
        </w:tc>
        <w:tc>
          <w:tcPr>
            <w:tcW w:w="396" w:type="pct"/>
            <w:tcBorders>
              <w:top w:val="single" w:sz="4" w:space="0" w:color="000000"/>
            </w:tcBorders>
            <w:shd w:val="clear" w:color="auto" w:fill="CCCCCC"/>
          </w:tcPr>
          <w:p w14:paraId="038A0FBF" w14:textId="77777777" w:rsidR="00BB0098" w:rsidRDefault="00BB0098" w:rsidP="001A5D4A">
            <w:pPr>
              <w:pStyle w:val="NotesTable-CellBold"/>
              <w:rPr>
                <w:b w:val="0"/>
                <w:lang w:val="en-GB"/>
              </w:rPr>
            </w:pPr>
            <w:r>
              <w:t>–</w:t>
            </w:r>
          </w:p>
        </w:tc>
        <w:tc>
          <w:tcPr>
            <w:tcW w:w="444" w:type="pct"/>
            <w:tcBorders>
              <w:top w:val="single" w:sz="4" w:space="0" w:color="000000"/>
            </w:tcBorders>
            <w:shd w:val="clear" w:color="auto" w:fill="CCCCCC"/>
          </w:tcPr>
          <w:p w14:paraId="038A0FC0" w14:textId="77777777" w:rsidR="00BB0098" w:rsidRDefault="00BB0098" w:rsidP="001A5D4A">
            <w:pPr>
              <w:pStyle w:val="NotesTable-CellPlain"/>
              <w:rPr>
                <w:b/>
                <w:lang w:val="en-GB"/>
              </w:rPr>
            </w:pPr>
            <w:r>
              <w:t>–</w:t>
            </w:r>
          </w:p>
        </w:tc>
        <w:tc>
          <w:tcPr>
            <w:tcW w:w="396" w:type="pct"/>
            <w:tcBorders>
              <w:top w:val="single" w:sz="4" w:space="0" w:color="000000"/>
            </w:tcBorders>
            <w:shd w:val="clear" w:color="auto" w:fill="CCCCCC"/>
          </w:tcPr>
          <w:p w14:paraId="038A0FC1" w14:textId="77777777" w:rsidR="00BB0098" w:rsidRDefault="00BB0098" w:rsidP="001A5D4A">
            <w:pPr>
              <w:pStyle w:val="NotesTable-CellBold"/>
              <w:rPr>
                <w:b w:val="0"/>
                <w:lang w:val="en-GB"/>
              </w:rPr>
            </w:pPr>
            <w:r>
              <w:t>–</w:t>
            </w:r>
          </w:p>
        </w:tc>
        <w:tc>
          <w:tcPr>
            <w:tcW w:w="391" w:type="pct"/>
            <w:tcBorders>
              <w:top w:val="single" w:sz="4" w:space="0" w:color="000000"/>
            </w:tcBorders>
            <w:shd w:val="clear" w:color="auto" w:fill="CCCCCC"/>
          </w:tcPr>
          <w:p w14:paraId="038A0FC2" w14:textId="77777777" w:rsidR="00BB0098" w:rsidRDefault="00BB0098" w:rsidP="001A5D4A">
            <w:pPr>
              <w:pStyle w:val="NotesTable-CellPlain"/>
              <w:rPr>
                <w:b/>
                <w:lang w:val="en-GB"/>
              </w:rPr>
            </w:pPr>
            <w:r>
              <w:t>–</w:t>
            </w:r>
          </w:p>
        </w:tc>
      </w:tr>
      <w:tr w:rsidR="00BB0098" w14:paraId="038A0FCC" w14:textId="77777777" w:rsidTr="00E52AAD">
        <w:trPr>
          <w:trHeight w:val="240"/>
        </w:trPr>
        <w:tc>
          <w:tcPr>
            <w:tcW w:w="799" w:type="pct"/>
          </w:tcPr>
          <w:p w14:paraId="038A0FC4" w14:textId="77777777" w:rsidR="00BB0098" w:rsidRDefault="00BB0098" w:rsidP="001A5D4A">
            <w:pPr>
              <w:pStyle w:val="Note-Refs"/>
            </w:pPr>
          </w:p>
        </w:tc>
        <w:tc>
          <w:tcPr>
            <w:tcW w:w="1734" w:type="pct"/>
            <w:gridSpan w:val="2"/>
            <w:shd w:val="clear" w:color="auto" w:fill="CCCCCC"/>
            <w:vAlign w:val="bottom"/>
          </w:tcPr>
          <w:p w14:paraId="038A0FC5" w14:textId="77777777" w:rsidR="00BB0098" w:rsidRDefault="00BB0098" w:rsidP="001A5D4A">
            <w:pPr>
              <w:pStyle w:val="NotesTable-ItemPlain"/>
              <w:rPr>
                <w:b/>
              </w:rPr>
            </w:pPr>
            <w:r>
              <w:t>Unallocated</w:t>
            </w:r>
          </w:p>
        </w:tc>
        <w:tc>
          <w:tcPr>
            <w:tcW w:w="444" w:type="pct"/>
            <w:tcBorders>
              <w:bottom w:val="single" w:sz="4" w:space="0" w:color="000000"/>
            </w:tcBorders>
            <w:shd w:val="clear" w:color="auto" w:fill="CCCCCC"/>
          </w:tcPr>
          <w:p w14:paraId="038A0FC6" w14:textId="77777777" w:rsidR="00BB0098" w:rsidRDefault="00BB0098" w:rsidP="001A5D4A">
            <w:pPr>
              <w:pStyle w:val="NotesTable-CellBold"/>
              <w:rPr>
                <w:b w:val="0"/>
                <w:lang w:val="en-GB"/>
              </w:rPr>
            </w:pPr>
            <w:r>
              <w:t>–</w:t>
            </w:r>
          </w:p>
        </w:tc>
        <w:tc>
          <w:tcPr>
            <w:tcW w:w="396" w:type="pct"/>
            <w:tcBorders>
              <w:bottom w:val="single" w:sz="4" w:space="0" w:color="000000"/>
            </w:tcBorders>
            <w:shd w:val="clear" w:color="auto" w:fill="CCCCCC"/>
          </w:tcPr>
          <w:p w14:paraId="038A0FC7" w14:textId="77777777" w:rsidR="00BB0098" w:rsidRDefault="00BB0098" w:rsidP="001A5D4A">
            <w:pPr>
              <w:pStyle w:val="NotesTable-CellPlain"/>
              <w:rPr>
                <w:b/>
                <w:lang w:val="en-GB"/>
              </w:rPr>
            </w:pPr>
            <w:r>
              <w:t>–</w:t>
            </w:r>
          </w:p>
        </w:tc>
        <w:tc>
          <w:tcPr>
            <w:tcW w:w="396" w:type="pct"/>
            <w:tcBorders>
              <w:bottom w:val="single" w:sz="4" w:space="0" w:color="000000"/>
            </w:tcBorders>
            <w:shd w:val="clear" w:color="auto" w:fill="CCCCCC"/>
          </w:tcPr>
          <w:p w14:paraId="038A0FC8" w14:textId="77777777" w:rsidR="00BB0098" w:rsidRDefault="00BB0098" w:rsidP="001A5D4A">
            <w:pPr>
              <w:pStyle w:val="NotesTable-CellBold"/>
              <w:rPr>
                <w:b w:val="0"/>
                <w:lang w:val="en-GB"/>
              </w:rPr>
            </w:pPr>
            <w:r>
              <w:t>–</w:t>
            </w:r>
          </w:p>
        </w:tc>
        <w:tc>
          <w:tcPr>
            <w:tcW w:w="444" w:type="pct"/>
            <w:tcBorders>
              <w:bottom w:val="single" w:sz="4" w:space="0" w:color="000000"/>
            </w:tcBorders>
            <w:shd w:val="clear" w:color="auto" w:fill="CCCCCC"/>
          </w:tcPr>
          <w:p w14:paraId="038A0FC9" w14:textId="77777777" w:rsidR="00BB0098" w:rsidRDefault="00BB0098" w:rsidP="001A5D4A">
            <w:pPr>
              <w:pStyle w:val="NotesTable-CellPlain"/>
              <w:rPr>
                <w:b/>
                <w:lang w:val="en-GB"/>
              </w:rPr>
            </w:pPr>
            <w:r>
              <w:t>–</w:t>
            </w:r>
          </w:p>
        </w:tc>
        <w:tc>
          <w:tcPr>
            <w:tcW w:w="396" w:type="pct"/>
            <w:tcBorders>
              <w:bottom w:val="single" w:sz="4" w:space="0" w:color="000000"/>
            </w:tcBorders>
            <w:shd w:val="clear" w:color="auto" w:fill="CCCCCC"/>
          </w:tcPr>
          <w:p w14:paraId="038A0FCA" w14:textId="77777777" w:rsidR="00BB0098" w:rsidRDefault="00BB0098" w:rsidP="001A5D4A">
            <w:pPr>
              <w:pStyle w:val="NotesTable-CellBold"/>
              <w:rPr>
                <w:b w:val="0"/>
                <w:lang w:val="en-GB"/>
              </w:rPr>
            </w:pPr>
            <w:r>
              <w:t>–</w:t>
            </w:r>
          </w:p>
        </w:tc>
        <w:tc>
          <w:tcPr>
            <w:tcW w:w="391" w:type="pct"/>
            <w:tcBorders>
              <w:bottom w:val="single" w:sz="4" w:space="0" w:color="000000"/>
            </w:tcBorders>
            <w:shd w:val="clear" w:color="auto" w:fill="CCCCCC"/>
          </w:tcPr>
          <w:p w14:paraId="038A0FCB" w14:textId="77777777" w:rsidR="00BB0098" w:rsidRDefault="00BB0098" w:rsidP="001A5D4A">
            <w:pPr>
              <w:pStyle w:val="NotesTable-CellPlain"/>
              <w:rPr>
                <w:b/>
                <w:lang w:val="en-GB"/>
              </w:rPr>
            </w:pPr>
            <w:r>
              <w:t>–</w:t>
            </w:r>
          </w:p>
        </w:tc>
      </w:tr>
      <w:tr w:rsidR="00BB0098" w14:paraId="038A0FD5" w14:textId="77777777" w:rsidTr="00E52AAD">
        <w:trPr>
          <w:trHeight w:val="240"/>
        </w:trPr>
        <w:tc>
          <w:tcPr>
            <w:tcW w:w="799" w:type="pct"/>
          </w:tcPr>
          <w:p w14:paraId="038A0FCD" w14:textId="77777777" w:rsidR="00BB0098" w:rsidRDefault="00BB0098" w:rsidP="001A5D4A">
            <w:pPr>
              <w:pStyle w:val="Note-Refs"/>
            </w:pPr>
          </w:p>
        </w:tc>
        <w:tc>
          <w:tcPr>
            <w:tcW w:w="1734" w:type="pct"/>
            <w:gridSpan w:val="2"/>
            <w:shd w:val="clear" w:color="auto" w:fill="CCCCCC"/>
            <w:vAlign w:val="bottom"/>
          </w:tcPr>
          <w:p w14:paraId="038A0FCE" w14:textId="77777777" w:rsidR="00BB0098" w:rsidRDefault="00E52CF7" w:rsidP="001A5D4A">
            <w:pPr>
              <w:pStyle w:val="NotesTable-ItemPlain"/>
            </w:pPr>
            <w:r>
              <w:t>Total</w:t>
            </w:r>
          </w:p>
        </w:tc>
        <w:tc>
          <w:tcPr>
            <w:tcW w:w="444" w:type="pct"/>
            <w:shd w:val="clear" w:color="auto" w:fill="CCCCCC"/>
          </w:tcPr>
          <w:p w14:paraId="038A0FCF" w14:textId="77777777" w:rsidR="00BB0098" w:rsidRDefault="00BB0098" w:rsidP="001A5D4A">
            <w:pPr>
              <w:pStyle w:val="NotesTable-CellBold"/>
              <w:rPr>
                <w:b w:val="0"/>
                <w:lang w:val="en-GB"/>
              </w:rPr>
            </w:pPr>
            <w:r>
              <w:t>–</w:t>
            </w:r>
          </w:p>
        </w:tc>
        <w:tc>
          <w:tcPr>
            <w:tcW w:w="396" w:type="pct"/>
            <w:shd w:val="clear" w:color="auto" w:fill="CCCCCC"/>
          </w:tcPr>
          <w:p w14:paraId="038A0FD0" w14:textId="77777777" w:rsidR="00BB0098" w:rsidRDefault="00BB0098" w:rsidP="001A5D4A">
            <w:pPr>
              <w:pStyle w:val="NotesTable-CellPlain"/>
              <w:rPr>
                <w:b/>
                <w:lang w:val="en-GB"/>
              </w:rPr>
            </w:pPr>
            <w:r>
              <w:t>–</w:t>
            </w:r>
          </w:p>
        </w:tc>
        <w:tc>
          <w:tcPr>
            <w:tcW w:w="396" w:type="pct"/>
            <w:shd w:val="clear" w:color="auto" w:fill="CCCCCC"/>
          </w:tcPr>
          <w:p w14:paraId="038A0FD1" w14:textId="77777777" w:rsidR="00BB0098" w:rsidRDefault="00BB0098" w:rsidP="001A5D4A">
            <w:pPr>
              <w:pStyle w:val="NotesTable-CellBold"/>
              <w:rPr>
                <w:b w:val="0"/>
                <w:lang w:val="en-GB"/>
              </w:rPr>
            </w:pPr>
            <w:r>
              <w:t>–</w:t>
            </w:r>
          </w:p>
        </w:tc>
        <w:tc>
          <w:tcPr>
            <w:tcW w:w="444" w:type="pct"/>
            <w:shd w:val="clear" w:color="auto" w:fill="CCCCCC"/>
          </w:tcPr>
          <w:p w14:paraId="038A0FD2" w14:textId="77777777" w:rsidR="00BB0098" w:rsidRDefault="00BB0098" w:rsidP="001A5D4A">
            <w:pPr>
              <w:pStyle w:val="NotesTable-CellPlain"/>
              <w:rPr>
                <w:b/>
                <w:lang w:val="en-GB"/>
              </w:rPr>
            </w:pPr>
            <w:r>
              <w:t>–</w:t>
            </w:r>
          </w:p>
        </w:tc>
        <w:tc>
          <w:tcPr>
            <w:tcW w:w="396" w:type="pct"/>
            <w:shd w:val="clear" w:color="auto" w:fill="CCCCCC"/>
          </w:tcPr>
          <w:p w14:paraId="038A0FD3" w14:textId="77777777" w:rsidR="00BB0098" w:rsidRDefault="00BB0098" w:rsidP="001A5D4A">
            <w:pPr>
              <w:pStyle w:val="NotesTable-CellBold"/>
              <w:rPr>
                <w:b w:val="0"/>
                <w:lang w:val="en-GB"/>
              </w:rPr>
            </w:pPr>
            <w:r>
              <w:t>–</w:t>
            </w:r>
          </w:p>
        </w:tc>
        <w:tc>
          <w:tcPr>
            <w:tcW w:w="391" w:type="pct"/>
            <w:shd w:val="clear" w:color="auto" w:fill="CCCCCC"/>
          </w:tcPr>
          <w:p w14:paraId="038A0FD4" w14:textId="77777777" w:rsidR="00BB0098" w:rsidRDefault="00BB0098" w:rsidP="001A5D4A">
            <w:pPr>
              <w:pStyle w:val="NotesTable-CellPlain"/>
              <w:rPr>
                <w:b/>
                <w:lang w:val="en-GB"/>
              </w:rPr>
            </w:pPr>
            <w:r>
              <w:t>–</w:t>
            </w:r>
          </w:p>
        </w:tc>
      </w:tr>
      <w:tr w:rsidR="00E52CF7" w14:paraId="038A0FDE" w14:textId="77777777" w:rsidTr="00E52AAD">
        <w:trPr>
          <w:trHeight w:val="240"/>
        </w:trPr>
        <w:tc>
          <w:tcPr>
            <w:tcW w:w="799" w:type="pct"/>
          </w:tcPr>
          <w:p w14:paraId="038A0FD6" w14:textId="77777777" w:rsidR="00E52CF7" w:rsidRDefault="00E52CF7" w:rsidP="001A5D4A">
            <w:pPr>
              <w:pStyle w:val="Note-Refs"/>
            </w:pPr>
          </w:p>
        </w:tc>
        <w:tc>
          <w:tcPr>
            <w:tcW w:w="1734" w:type="pct"/>
            <w:gridSpan w:val="2"/>
            <w:shd w:val="clear" w:color="auto" w:fill="CCCCCC"/>
            <w:vAlign w:val="bottom"/>
          </w:tcPr>
          <w:p w14:paraId="038A0FD7" w14:textId="77777777" w:rsidR="00E52CF7" w:rsidRDefault="00E52CF7" w:rsidP="001A5D4A">
            <w:pPr>
              <w:pStyle w:val="NotesTable-ItemPlain"/>
            </w:pPr>
          </w:p>
        </w:tc>
        <w:tc>
          <w:tcPr>
            <w:tcW w:w="444" w:type="pct"/>
            <w:shd w:val="clear" w:color="auto" w:fill="CCCCCC"/>
          </w:tcPr>
          <w:p w14:paraId="038A0FD8" w14:textId="77777777" w:rsidR="00E52CF7" w:rsidRDefault="00E52CF7" w:rsidP="001A5D4A">
            <w:pPr>
              <w:pStyle w:val="NotesTable-CellBold"/>
            </w:pPr>
          </w:p>
        </w:tc>
        <w:tc>
          <w:tcPr>
            <w:tcW w:w="396" w:type="pct"/>
            <w:shd w:val="clear" w:color="auto" w:fill="CCCCCC"/>
          </w:tcPr>
          <w:p w14:paraId="038A0FD9" w14:textId="77777777" w:rsidR="00E52CF7" w:rsidRDefault="00E52CF7" w:rsidP="001A5D4A">
            <w:pPr>
              <w:pStyle w:val="NotesTable-CellPlain"/>
            </w:pPr>
          </w:p>
        </w:tc>
        <w:tc>
          <w:tcPr>
            <w:tcW w:w="396" w:type="pct"/>
            <w:shd w:val="clear" w:color="auto" w:fill="CCCCCC"/>
          </w:tcPr>
          <w:p w14:paraId="038A0FDA" w14:textId="77777777" w:rsidR="00E52CF7" w:rsidRDefault="00E52CF7" w:rsidP="001A5D4A">
            <w:pPr>
              <w:pStyle w:val="NotesTable-CellBold"/>
            </w:pPr>
          </w:p>
        </w:tc>
        <w:tc>
          <w:tcPr>
            <w:tcW w:w="444" w:type="pct"/>
            <w:shd w:val="clear" w:color="auto" w:fill="CCCCCC"/>
          </w:tcPr>
          <w:p w14:paraId="038A0FDB" w14:textId="77777777" w:rsidR="00E52CF7" w:rsidRDefault="00E52CF7" w:rsidP="001A5D4A">
            <w:pPr>
              <w:pStyle w:val="NotesTable-CellPlain"/>
            </w:pPr>
          </w:p>
        </w:tc>
        <w:tc>
          <w:tcPr>
            <w:tcW w:w="396" w:type="pct"/>
            <w:shd w:val="clear" w:color="auto" w:fill="CCCCCC"/>
          </w:tcPr>
          <w:p w14:paraId="038A0FDC" w14:textId="77777777" w:rsidR="00E52CF7" w:rsidRDefault="00E52CF7" w:rsidP="001A5D4A">
            <w:pPr>
              <w:pStyle w:val="NotesTable-CellBold"/>
            </w:pPr>
          </w:p>
        </w:tc>
        <w:tc>
          <w:tcPr>
            <w:tcW w:w="391" w:type="pct"/>
            <w:shd w:val="clear" w:color="auto" w:fill="CCCCCC"/>
          </w:tcPr>
          <w:p w14:paraId="038A0FDD" w14:textId="77777777" w:rsidR="00E52CF7" w:rsidRDefault="00E52CF7" w:rsidP="001A5D4A">
            <w:pPr>
              <w:pStyle w:val="NotesTable-CellPlain"/>
            </w:pPr>
          </w:p>
        </w:tc>
      </w:tr>
    </w:tbl>
    <w:p w14:paraId="44CAAC9A" w14:textId="3045E5C6" w:rsidR="001B50C6" w:rsidRPr="008B7365" w:rsidRDefault="001B50C6" w:rsidP="001A5D4A">
      <w:pPr>
        <w:pStyle w:val="Heading3"/>
        <w:rPr>
          <w:color w:val="2D3E7B" w:themeColor="text2" w:themeShade="BF"/>
        </w:rPr>
      </w:pPr>
      <w:bookmarkStart w:id="254" w:name="_Toc410807606"/>
      <w:bookmarkStart w:id="255" w:name="_Toc410822657"/>
      <w:r w:rsidRPr="008B7365">
        <w:rPr>
          <w:color w:val="2D3E7B" w:themeColor="text2" w:themeShade="BF"/>
        </w:rPr>
        <w:t>Commentary - Disaggregated information</w:t>
      </w:r>
      <w:bookmarkEnd w:id="254"/>
      <w:bookmarkEnd w:id="255"/>
    </w:p>
    <w:p w14:paraId="568E980E" w14:textId="53C3C059" w:rsidR="001B50C6" w:rsidRPr="008B7365" w:rsidRDefault="001B50C6" w:rsidP="004914AC">
      <w:pPr>
        <w:pStyle w:val="ListParagraph"/>
        <w:numPr>
          <w:ilvl w:val="0"/>
          <w:numId w:val="38"/>
        </w:numPr>
        <w:ind w:left="340" w:hanging="340"/>
        <w:rPr>
          <w:color w:val="2D3E7B" w:themeColor="text2" w:themeShade="BF"/>
        </w:rPr>
      </w:pPr>
      <w:r w:rsidRPr="008B7365">
        <w:rPr>
          <w:color w:val="2D3E7B" w:themeColor="text2" w:themeShade="BF"/>
        </w:rPr>
        <w:t>Part a) of this note applies only to HEPs with dual sector operations (</w:t>
      </w:r>
      <w:proofErr w:type="spellStart"/>
      <w:r w:rsidRPr="008B7365">
        <w:rPr>
          <w:color w:val="2D3E7B" w:themeColor="text2" w:themeShade="BF"/>
        </w:rPr>
        <w:t>ie</w:t>
      </w:r>
      <w:proofErr w:type="spellEnd"/>
      <w:r w:rsidRPr="008B7365">
        <w:rPr>
          <w:color w:val="2D3E7B" w:themeColor="text2" w:themeShade="BF"/>
        </w:rPr>
        <w:t xml:space="preserve"> Higher Education and Vocational Education and Training). Part b) of this note only applies to HEPs with operations outside of Australia.</w:t>
      </w:r>
    </w:p>
    <w:p w14:paraId="4AD1A21D" w14:textId="7267921C" w:rsidR="001B50C6" w:rsidRPr="008B7365" w:rsidRDefault="001B50C6" w:rsidP="004914AC">
      <w:pPr>
        <w:pStyle w:val="ListParagraph"/>
        <w:numPr>
          <w:ilvl w:val="0"/>
          <w:numId w:val="38"/>
        </w:numPr>
        <w:ind w:left="340" w:hanging="340"/>
        <w:rPr>
          <w:color w:val="2D3E7B" w:themeColor="text2" w:themeShade="BF"/>
        </w:rPr>
      </w:pPr>
      <w:r w:rsidRPr="008B7365">
        <w:rPr>
          <w:color w:val="2D3E7B" w:themeColor="text2" w:themeShade="BF"/>
        </w:rPr>
        <w:t>HEPs that do not operate in the VET sector and do not operate outside of Australia are not required to report under this note.</w:t>
      </w:r>
    </w:p>
    <w:p w14:paraId="62512A02" w14:textId="2B7E9FD0" w:rsidR="001B50C6" w:rsidRPr="008B7365" w:rsidRDefault="001B50C6" w:rsidP="004914AC">
      <w:pPr>
        <w:pStyle w:val="ListParagraph"/>
        <w:numPr>
          <w:ilvl w:val="0"/>
          <w:numId w:val="38"/>
        </w:numPr>
        <w:ind w:left="340" w:hanging="340"/>
        <w:rPr>
          <w:color w:val="2D3E7B" w:themeColor="text2" w:themeShade="BF"/>
        </w:rPr>
      </w:pPr>
      <w:r w:rsidRPr="008B7365">
        <w:rPr>
          <w:color w:val="2D3E7B" w:themeColor="text2" w:themeShade="BF"/>
        </w:rPr>
        <w:t>HEPs with dual sector operations are required to provide replicated financial statements with the columns split into the categories shown above, although standards of materiality still apply. The sum of these columns must equal the parent entity.</w:t>
      </w:r>
    </w:p>
    <w:p w14:paraId="5626D5E6" w14:textId="4B6E7E33" w:rsidR="001B50C6" w:rsidRPr="008B7365" w:rsidRDefault="001B50C6" w:rsidP="004914AC">
      <w:pPr>
        <w:pStyle w:val="ListParagraph"/>
        <w:numPr>
          <w:ilvl w:val="0"/>
          <w:numId w:val="38"/>
        </w:numPr>
        <w:ind w:left="340" w:hanging="340"/>
        <w:rPr>
          <w:color w:val="2D3E7B" w:themeColor="text2" w:themeShade="BF"/>
        </w:rPr>
      </w:pPr>
      <w:r w:rsidRPr="008B7365">
        <w:rPr>
          <w:color w:val="2D3E7B" w:themeColor="text2" w:themeShade="BF"/>
        </w:rPr>
        <w:t>HEPs with offshore operations are required to report on the consolidated entity’s result by geographical regions.</w:t>
      </w:r>
    </w:p>
    <w:p w14:paraId="038A1004" w14:textId="11B1D52C" w:rsidR="00AB1F1D" w:rsidRPr="00E52AAD" w:rsidRDefault="001B50C6" w:rsidP="001A5D4A">
      <w:pPr>
        <w:rPr>
          <w:color w:val="2D3E7B" w:themeColor="text2" w:themeShade="BF"/>
        </w:rPr>
      </w:pPr>
      <w:r w:rsidRPr="008B7365">
        <w:rPr>
          <w:color w:val="2D3E7B" w:themeColor="text2" w:themeShade="BF"/>
        </w:rPr>
        <w:t xml:space="preserve">AASB8 </w:t>
      </w:r>
      <w:r w:rsidRPr="00C94CF3">
        <w:rPr>
          <w:i/>
          <w:color w:val="2D3E7B" w:themeColor="text2" w:themeShade="BF"/>
        </w:rPr>
        <w:t>Operating Segments</w:t>
      </w:r>
      <w:r w:rsidRPr="008B7365">
        <w:rPr>
          <w:color w:val="2D3E7B" w:themeColor="text2" w:themeShade="BF"/>
        </w:rPr>
        <w:t xml:space="preserve"> excludes not-for-profit entities and for-profit entities that do not have debt or equity instruments traded in a public market and have not filed, or are not in the process of filing financial statements with a securities commission or other regulatory organisation for the purposes of issuing any class of instruments in a public market from the requirements of the standard. However, it is a mandatory requirement of these Guidelines that a Provider operating within the Higher Education and Vocational Education and Training sectors or delivering courses outside Australia discloses Disaggregated Information (subject to materiality as indicated in the Introduction - Guide to Disclosures).</w:t>
      </w:r>
      <w:r w:rsidR="00AB1F1D" w:rsidRPr="006B68EB">
        <w:br w:type="page"/>
      </w:r>
    </w:p>
    <w:p w14:paraId="66AEB131" w14:textId="18271B69" w:rsidR="00E52AAD" w:rsidRDefault="00E52AAD" w:rsidP="00D61C84">
      <w:pPr>
        <w:pStyle w:val="Heading2"/>
      </w:pPr>
      <w:bookmarkStart w:id="256" w:name="_Toc410822658"/>
      <w:proofErr w:type="gramStart"/>
      <w:r w:rsidRPr="00E52AAD">
        <w:lastRenderedPageBreak/>
        <w:t>Note 3.</w:t>
      </w:r>
      <w:proofErr w:type="gramEnd"/>
      <w:r>
        <w:t xml:space="preserve"> </w:t>
      </w:r>
      <w:r w:rsidRPr="00E52AAD">
        <w:t>Australian Government financial assistance</w:t>
      </w:r>
      <w:r w:rsidR="00D47354">
        <w:t xml:space="preserve"> </w:t>
      </w:r>
      <w:r w:rsidRPr="00E52AAD">
        <w:t>including Australian Government loan programs (HELP)</w:t>
      </w:r>
      <w:bookmarkEnd w:id="256"/>
    </w:p>
    <w:p w14:paraId="4E120E19" w14:textId="77777777" w:rsidR="00E52AAD" w:rsidRPr="00E52AAD" w:rsidRDefault="00E52AAD" w:rsidP="001A5D4A">
      <w:pPr>
        <w:contextualSpacing/>
      </w:pPr>
      <w:r w:rsidRPr="00E52AAD">
        <w:t>Mandatory</w:t>
      </w:r>
    </w:p>
    <w:p w14:paraId="25B3B43E" w14:textId="77777777" w:rsidR="00E52AAD" w:rsidRPr="00E52AAD" w:rsidRDefault="00E52AAD" w:rsidP="001A5D4A">
      <w:pPr>
        <w:contextualSpacing/>
      </w:pPr>
      <w:r w:rsidRPr="00E52AAD">
        <w:t>Education</w:t>
      </w:r>
    </w:p>
    <w:tbl>
      <w:tblPr>
        <w:tblW w:w="5000" w:type="pct"/>
        <w:tblCellMar>
          <w:left w:w="0" w:type="dxa"/>
          <w:right w:w="0" w:type="dxa"/>
        </w:tblCellMar>
        <w:tblLook w:val="0000" w:firstRow="0" w:lastRow="0" w:firstColumn="0" w:lastColumn="0" w:noHBand="0" w:noVBand="0"/>
      </w:tblPr>
      <w:tblGrid>
        <w:gridCol w:w="1072"/>
        <w:gridCol w:w="4986"/>
        <w:gridCol w:w="527"/>
        <w:gridCol w:w="792"/>
        <w:gridCol w:w="792"/>
        <w:gridCol w:w="792"/>
        <w:gridCol w:w="790"/>
      </w:tblGrid>
      <w:tr w:rsidR="00023312" w14:paraId="038A100E" w14:textId="77777777" w:rsidTr="00E52AAD">
        <w:trPr>
          <w:cantSplit/>
          <w:trHeight w:val="227"/>
        </w:trPr>
        <w:tc>
          <w:tcPr>
            <w:tcW w:w="550" w:type="pct"/>
          </w:tcPr>
          <w:p w14:paraId="038A1009" w14:textId="77777777" w:rsidR="00023312" w:rsidRDefault="00023312" w:rsidP="001A5D4A">
            <w:pPr>
              <w:pStyle w:val="Note-Refs"/>
            </w:pPr>
          </w:p>
        </w:tc>
        <w:tc>
          <w:tcPr>
            <w:tcW w:w="2557" w:type="pct"/>
            <w:shd w:val="clear" w:color="auto" w:fill="CCCCCC"/>
            <w:vAlign w:val="bottom"/>
          </w:tcPr>
          <w:p w14:paraId="038A100A" w14:textId="77777777" w:rsidR="00023312" w:rsidRDefault="00023312" w:rsidP="001A5D4A">
            <w:pPr>
              <w:pStyle w:val="NotesTable-ItemPlain"/>
            </w:pPr>
          </w:p>
        </w:tc>
        <w:tc>
          <w:tcPr>
            <w:tcW w:w="270" w:type="pct"/>
            <w:shd w:val="clear" w:color="auto" w:fill="CCCCCC"/>
          </w:tcPr>
          <w:p w14:paraId="038A100B" w14:textId="77777777" w:rsidR="00023312" w:rsidRPr="00FB6423" w:rsidRDefault="00023312" w:rsidP="001A5D4A">
            <w:pPr>
              <w:pStyle w:val="NotesTable-HeadPlain"/>
              <w:rPr>
                <w:b/>
              </w:rPr>
            </w:pPr>
            <w:r w:rsidRPr="00FB6423">
              <w:t>Note</w:t>
            </w:r>
          </w:p>
        </w:tc>
        <w:tc>
          <w:tcPr>
            <w:tcW w:w="812" w:type="pct"/>
            <w:gridSpan w:val="2"/>
            <w:shd w:val="clear" w:color="auto" w:fill="CCCCCC"/>
          </w:tcPr>
          <w:p w14:paraId="038A100C" w14:textId="77777777" w:rsidR="00023312" w:rsidRDefault="00023312" w:rsidP="001A5D4A">
            <w:pPr>
              <w:pStyle w:val="NotesTable-HeadPlain"/>
            </w:pPr>
            <w:r>
              <w:t>Consolidated</w:t>
            </w:r>
          </w:p>
        </w:tc>
        <w:tc>
          <w:tcPr>
            <w:tcW w:w="811" w:type="pct"/>
            <w:gridSpan w:val="2"/>
            <w:shd w:val="clear" w:color="auto" w:fill="CCCCCC"/>
          </w:tcPr>
          <w:p w14:paraId="038A100D" w14:textId="77777777" w:rsidR="00023312" w:rsidRDefault="00023312" w:rsidP="001A5D4A">
            <w:pPr>
              <w:pStyle w:val="NotesTable-HeadPlain"/>
            </w:pPr>
            <w:r>
              <w:t>Parent entity</w:t>
            </w:r>
          </w:p>
        </w:tc>
      </w:tr>
      <w:tr w:rsidR="004023E5" w14:paraId="038A1016" w14:textId="77777777" w:rsidTr="00E52AAD">
        <w:trPr>
          <w:cantSplit/>
          <w:trHeight w:val="227"/>
        </w:trPr>
        <w:tc>
          <w:tcPr>
            <w:tcW w:w="550" w:type="pct"/>
          </w:tcPr>
          <w:p w14:paraId="038A100F" w14:textId="77777777" w:rsidR="004023E5" w:rsidRDefault="004023E5" w:rsidP="001A5D4A">
            <w:pPr>
              <w:pStyle w:val="Note-Refs"/>
            </w:pPr>
          </w:p>
        </w:tc>
        <w:tc>
          <w:tcPr>
            <w:tcW w:w="2557" w:type="pct"/>
            <w:shd w:val="clear" w:color="auto" w:fill="CCCCCC"/>
            <w:vAlign w:val="bottom"/>
          </w:tcPr>
          <w:p w14:paraId="038A1010" w14:textId="77777777" w:rsidR="004023E5" w:rsidRDefault="004023E5" w:rsidP="001A5D4A">
            <w:pPr>
              <w:pStyle w:val="NotesTable-ItemPlain"/>
            </w:pPr>
          </w:p>
        </w:tc>
        <w:tc>
          <w:tcPr>
            <w:tcW w:w="270" w:type="pct"/>
            <w:shd w:val="clear" w:color="auto" w:fill="CCCCCC"/>
          </w:tcPr>
          <w:p w14:paraId="038A1011" w14:textId="77777777" w:rsidR="004023E5" w:rsidRDefault="004023E5" w:rsidP="001A5D4A">
            <w:pPr>
              <w:pStyle w:val="NotesTable-HeadPlain"/>
              <w:rPr>
                <w:shd w:val="clear" w:color="auto" w:fill="00FFFF"/>
              </w:rPr>
            </w:pPr>
          </w:p>
        </w:tc>
        <w:tc>
          <w:tcPr>
            <w:tcW w:w="406" w:type="pct"/>
            <w:shd w:val="clear" w:color="auto" w:fill="CCCCCC"/>
          </w:tcPr>
          <w:p w14:paraId="038A1012" w14:textId="6FCC9944" w:rsidR="004023E5" w:rsidRDefault="006864EC" w:rsidP="001A5D4A">
            <w:pPr>
              <w:pStyle w:val="NotesTable-HeadBold"/>
            </w:pPr>
            <w:r>
              <w:t>2014</w:t>
            </w:r>
          </w:p>
        </w:tc>
        <w:tc>
          <w:tcPr>
            <w:tcW w:w="406" w:type="pct"/>
            <w:shd w:val="clear" w:color="auto" w:fill="CCCCCC"/>
          </w:tcPr>
          <w:p w14:paraId="038A1013" w14:textId="1720CB87" w:rsidR="004023E5" w:rsidRDefault="006864EC" w:rsidP="001A5D4A">
            <w:pPr>
              <w:pStyle w:val="NotesTable-HeadPlain"/>
            </w:pPr>
            <w:r>
              <w:t>2013</w:t>
            </w:r>
          </w:p>
        </w:tc>
        <w:tc>
          <w:tcPr>
            <w:tcW w:w="406" w:type="pct"/>
            <w:shd w:val="clear" w:color="auto" w:fill="CCCCCC"/>
          </w:tcPr>
          <w:p w14:paraId="038A1014" w14:textId="602CBD41" w:rsidR="004023E5" w:rsidRDefault="006864EC" w:rsidP="001A5D4A">
            <w:pPr>
              <w:pStyle w:val="NotesTable-HeadBold"/>
            </w:pPr>
            <w:r>
              <w:t>2014</w:t>
            </w:r>
          </w:p>
        </w:tc>
        <w:tc>
          <w:tcPr>
            <w:tcW w:w="405" w:type="pct"/>
            <w:shd w:val="clear" w:color="auto" w:fill="CCCCCC"/>
          </w:tcPr>
          <w:p w14:paraId="038A1015" w14:textId="2F653DD5" w:rsidR="004023E5" w:rsidRDefault="006864EC" w:rsidP="001A5D4A">
            <w:pPr>
              <w:pStyle w:val="NotesTable-HeadPlain"/>
            </w:pPr>
            <w:r>
              <w:t>2013</w:t>
            </w:r>
          </w:p>
        </w:tc>
      </w:tr>
      <w:tr w:rsidR="004023E5" w14:paraId="038A101E" w14:textId="77777777" w:rsidTr="00E52AAD">
        <w:trPr>
          <w:cantSplit/>
          <w:trHeight w:val="227"/>
        </w:trPr>
        <w:tc>
          <w:tcPr>
            <w:tcW w:w="550" w:type="pct"/>
          </w:tcPr>
          <w:p w14:paraId="038A1017" w14:textId="77777777" w:rsidR="004023E5" w:rsidRDefault="004023E5" w:rsidP="001A5D4A">
            <w:pPr>
              <w:pStyle w:val="Note-Refs"/>
            </w:pPr>
          </w:p>
        </w:tc>
        <w:tc>
          <w:tcPr>
            <w:tcW w:w="2557" w:type="pct"/>
            <w:shd w:val="clear" w:color="auto" w:fill="CCCCCC"/>
            <w:vAlign w:val="bottom"/>
          </w:tcPr>
          <w:p w14:paraId="038A1018" w14:textId="77777777" w:rsidR="004023E5" w:rsidRDefault="004023E5" w:rsidP="001A5D4A">
            <w:pPr>
              <w:pStyle w:val="NotesTable-ItemPlain"/>
            </w:pPr>
          </w:p>
        </w:tc>
        <w:tc>
          <w:tcPr>
            <w:tcW w:w="270" w:type="pct"/>
            <w:shd w:val="clear" w:color="auto" w:fill="CCCCCC"/>
          </w:tcPr>
          <w:p w14:paraId="038A1019" w14:textId="77777777" w:rsidR="004023E5" w:rsidRDefault="004023E5" w:rsidP="001A5D4A">
            <w:pPr>
              <w:pStyle w:val="NotesTable-HeadPlain"/>
              <w:rPr>
                <w:shd w:val="clear" w:color="auto" w:fill="00FFFF"/>
              </w:rPr>
            </w:pPr>
          </w:p>
        </w:tc>
        <w:tc>
          <w:tcPr>
            <w:tcW w:w="406" w:type="pct"/>
            <w:shd w:val="clear" w:color="auto" w:fill="CCCCCC"/>
          </w:tcPr>
          <w:p w14:paraId="038A101A" w14:textId="77777777" w:rsidR="004023E5" w:rsidRDefault="004023E5" w:rsidP="001A5D4A">
            <w:pPr>
              <w:pStyle w:val="NotesTable-HeadBold"/>
            </w:pPr>
            <w:r>
              <w:t>$’000</w:t>
            </w:r>
          </w:p>
        </w:tc>
        <w:tc>
          <w:tcPr>
            <w:tcW w:w="406" w:type="pct"/>
            <w:shd w:val="clear" w:color="auto" w:fill="CCCCCC"/>
          </w:tcPr>
          <w:p w14:paraId="038A101B" w14:textId="77777777" w:rsidR="004023E5" w:rsidRDefault="004023E5" w:rsidP="001A5D4A">
            <w:pPr>
              <w:pStyle w:val="NotesTable-HeadPlain"/>
            </w:pPr>
            <w:r>
              <w:t>$’000</w:t>
            </w:r>
          </w:p>
        </w:tc>
        <w:tc>
          <w:tcPr>
            <w:tcW w:w="406" w:type="pct"/>
            <w:shd w:val="clear" w:color="auto" w:fill="CCCCCC"/>
          </w:tcPr>
          <w:p w14:paraId="038A101C" w14:textId="77777777" w:rsidR="004023E5" w:rsidRDefault="004023E5" w:rsidP="001A5D4A">
            <w:pPr>
              <w:pStyle w:val="NotesTable-HeadBold"/>
            </w:pPr>
            <w:r>
              <w:t>$’000</w:t>
            </w:r>
          </w:p>
        </w:tc>
        <w:tc>
          <w:tcPr>
            <w:tcW w:w="405" w:type="pct"/>
            <w:shd w:val="clear" w:color="auto" w:fill="CCCCCC"/>
          </w:tcPr>
          <w:p w14:paraId="038A101D" w14:textId="77777777" w:rsidR="004023E5" w:rsidRDefault="004023E5" w:rsidP="001A5D4A">
            <w:pPr>
              <w:pStyle w:val="NotesTable-HeadPlain"/>
            </w:pPr>
            <w:r>
              <w:t>$’000</w:t>
            </w:r>
          </w:p>
        </w:tc>
      </w:tr>
      <w:tr w:rsidR="004023E5" w14:paraId="038A1026" w14:textId="77777777" w:rsidTr="00E52AAD">
        <w:trPr>
          <w:cantSplit/>
          <w:trHeight w:val="227"/>
        </w:trPr>
        <w:tc>
          <w:tcPr>
            <w:tcW w:w="550" w:type="pct"/>
          </w:tcPr>
          <w:p w14:paraId="038A101F" w14:textId="77777777" w:rsidR="004023E5" w:rsidRDefault="004023E5" w:rsidP="001A5D4A">
            <w:pPr>
              <w:pStyle w:val="Note-Refs"/>
            </w:pPr>
          </w:p>
        </w:tc>
        <w:tc>
          <w:tcPr>
            <w:tcW w:w="2557" w:type="pct"/>
            <w:shd w:val="clear" w:color="auto" w:fill="CCCCCC"/>
            <w:vAlign w:val="bottom"/>
          </w:tcPr>
          <w:p w14:paraId="038A1020" w14:textId="77777777" w:rsidR="004023E5" w:rsidRDefault="004023E5" w:rsidP="001A5D4A">
            <w:pPr>
              <w:pStyle w:val="Statement-ItemBold"/>
            </w:pPr>
            <w:r>
              <w:t>(a) Commonwealth Grant Scheme and Other Grants</w:t>
            </w:r>
          </w:p>
        </w:tc>
        <w:tc>
          <w:tcPr>
            <w:tcW w:w="270" w:type="pct"/>
            <w:shd w:val="clear" w:color="auto" w:fill="CCCCCC"/>
          </w:tcPr>
          <w:p w14:paraId="038A1021" w14:textId="184BACED" w:rsidR="004023E5" w:rsidRDefault="004023E5" w:rsidP="001A5D4A">
            <w:pPr>
              <w:pStyle w:val="NotesTable-Notes"/>
              <w:rPr>
                <w:b/>
              </w:rPr>
            </w:pPr>
            <w:r>
              <w:t>5</w:t>
            </w:r>
            <w:r w:rsidR="00713AFB">
              <w:t>3</w:t>
            </w:r>
            <w:r w:rsidR="006447BA">
              <w:t>a</w:t>
            </w:r>
          </w:p>
        </w:tc>
        <w:tc>
          <w:tcPr>
            <w:tcW w:w="406" w:type="pct"/>
            <w:shd w:val="clear" w:color="auto" w:fill="CCCCCC"/>
          </w:tcPr>
          <w:p w14:paraId="038A1022" w14:textId="77777777" w:rsidR="004023E5" w:rsidRDefault="004023E5" w:rsidP="001A5D4A">
            <w:pPr>
              <w:pStyle w:val="NotesTable-CellBold"/>
            </w:pPr>
          </w:p>
        </w:tc>
        <w:tc>
          <w:tcPr>
            <w:tcW w:w="406" w:type="pct"/>
            <w:shd w:val="clear" w:color="auto" w:fill="CCCCCC"/>
          </w:tcPr>
          <w:p w14:paraId="038A1023" w14:textId="77777777" w:rsidR="004023E5" w:rsidRPr="00301DCB" w:rsidRDefault="004023E5" w:rsidP="001A5D4A">
            <w:pPr>
              <w:pStyle w:val="NotesTable-CellPlain"/>
            </w:pPr>
          </w:p>
        </w:tc>
        <w:tc>
          <w:tcPr>
            <w:tcW w:w="406" w:type="pct"/>
            <w:shd w:val="clear" w:color="auto" w:fill="CCCCCC"/>
          </w:tcPr>
          <w:p w14:paraId="038A1024" w14:textId="77777777" w:rsidR="004023E5" w:rsidRDefault="004023E5" w:rsidP="001A5D4A">
            <w:pPr>
              <w:pStyle w:val="NotesTable-CellBold"/>
            </w:pPr>
          </w:p>
        </w:tc>
        <w:tc>
          <w:tcPr>
            <w:tcW w:w="405" w:type="pct"/>
            <w:shd w:val="clear" w:color="auto" w:fill="CCCCCC"/>
          </w:tcPr>
          <w:p w14:paraId="038A1025" w14:textId="77777777" w:rsidR="004023E5" w:rsidRDefault="004023E5" w:rsidP="001A5D4A">
            <w:pPr>
              <w:pStyle w:val="NotesTable-CellPlain"/>
            </w:pPr>
          </w:p>
        </w:tc>
      </w:tr>
      <w:tr w:rsidR="004023E5" w14:paraId="038A102E" w14:textId="77777777" w:rsidTr="00E52AAD">
        <w:trPr>
          <w:cantSplit/>
          <w:trHeight w:val="227"/>
        </w:trPr>
        <w:tc>
          <w:tcPr>
            <w:tcW w:w="550" w:type="pct"/>
          </w:tcPr>
          <w:p w14:paraId="038A1027" w14:textId="77777777" w:rsidR="004023E5" w:rsidRDefault="004023E5" w:rsidP="001A5D4A">
            <w:pPr>
              <w:pStyle w:val="Note-Refs"/>
            </w:pPr>
          </w:p>
        </w:tc>
        <w:tc>
          <w:tcPr>
            <w:tcW w:w="2557" w:type="pct"/>
            <w:shd w:val="clear" w:color="auto" w:fill="CCCCCC"/>
            <w:vAlign w:val="bottom"/>
          </w:tcPr>
          <w:p w14:paraId="038A1028" w14:textId="77777777" w:rsidR="004023E5" w:rsidRDefault="004023E5" w:rsidP="001A5D4A">
            <w:pPr>
              <w:pStyle w:val="NotesTable-ItemPlain"/>
              <w:rPr>
                <w:b/>
                <w:vertAlign w:val="superscript"/>
              </w:rPr>
            </w:pPr>
            <w:r>
              <w:t>Commonwealth Grant Scheme</w:t>
            </w:r>
            <w:r>
              <w:rPr>
                <w:vertAlign w:val="superscript"/>
              </w:rPr>
              <w:t>#1</w:t>
            </w:r>
          </w:p>
        </w:tc>
        <w:tc>
          <w:tcPr>
            <w:tcW w:w="270" w:type="pct"/>
            <w:shd w:val="clear" w:color="auto" w:fill="CCCCCC"/>
          </w:tcPr>
          <w:p w14:paraId="038A1029" w14:textId="77777777" w:rsidR="004023E5" w:rsidRDefault="004023E5" w:rsidP="001A5D4A">
            <w:pPr>
              <w:pStyle w:val="NotesTable-Notes"/>
              <w:rPr>
                <w:shd w:val="clear" w:color="auto" w:fill="00FFFF"/>
              </w:rPr>
            </w:pPr>
          </w:p>
        </w:tc>
        <w:tc>
          <w:tcPr>
            <w:tcW w:w="406" w:type="pct"/>
            <w:shd w:val="clear" w:color="auto" w:fill="CCCCCC"/>
          </w:tcPr>
          <w:p w14:paraId="038A102A" w14:textId="77777777" w:rsidR="004023E5" w:rsidRDefault="004023E5" w:rsidP="001A5D4A">
            <w:pPr>
              <w:pStyle w:val="NotesTable-CellBold"/>
            </w:pPr>
            <w:r>
              <w:t>–</w:t>
            </w:r>
          </w:p>
        </w:tc>
        <w:tc>
          <w:tcPr>
            <w:tcW w:w="406" w:type="pct"/>
            <w:shd w:val="clear" w:color="auto" w:fill="CCCCCC"/>
          </w:tcPr>
          <w:p w14:paraId="038A102B" w14:textId="77777777" w:rsidR="004023E5" w:rsidRPr="00301DCB" w:rsidRDefault="004023E5" w:rsidP="001A5D4A">
            <w:pPr>
              <w:pStyle w:val="NotesTable-CellPlain"/>
            </w:pPr>
            <w:r w:rsidRPr="00301DCB">
              <w:t>–</w:t>
            </w:r>
          </w:p>
        </w:tc>
        <w:tc>
          <w:tcPr>
            <w:tcW w:w="406" w:type="pct"/>
            <w:shd w:val="clear" w:color="auto" w:fill="CCCCCC"/>
          </w:tcPr>
          <w:p w14:paraId="038A102C" w14:textId="77777777" w:rsidR="004023E5" w:rsidRDefault="004023E5" w:rsidP="001A5D4A">
            <w:pPr>
              <w:pStyle w:val="NotesTable-CellBold"/>
            </w:pPr>
            <w:r>
              <w:t>–</w:t>
            </w:r>
          </w:p>
        </w:tc>
        <w:tc>
          <w:tcPr>
            <w:tcW w:w="405" w:type="pct"/>
            <w:shd w:val="clear" w:color="auto" w:fill="CCCCCC"/>
          </w:tcPr>
          <w:p w14:paraId="038A102D" w14:textId="77777777" w:rsidR="004023E5" w:rsidRPr="00301DCB" w:rsidRDefault="004023E5" w:rsidP="001A5D4A">
            <w:pPr>
              <w:pStyle w:val="NotesTable-CellPlain"/>
            </w:pPr>
            <w:r w:rsidRPr="00301DCB">
              <w:t>–</w:t>
            </w:r>
          </w:p>
        </w:tc>
      </w:tr>
      <w:tr w:rsidR="004023E5" w14:paraId="038A1036" w14:textId="77777777" w:rsidTr="00E52AAD">
        <w:trPr>
          <w:cantSplit/>
          <w:trHeight w:val="227"/>
        </w:trPr>
        <w:tc>
          <w:tcPr>
            <w:tcW w:w="550" w:type="pct"/>
          </w:tcPr>
          <w:p w14:paraId="038A102F" w14:textId="77777777" w:rsidR="004023E5" w:rsidRDefault="004023E5" w:rsidP="001A5D4A">
            <w:pPr>
              <w:pStyle w:val="Note-Refs"/>
            </w:pPr>
          </w:p>
        </w:tc>
        <w:tc>
          <w:tcPr>
            <w:tcW w:w="2557" w:type="pct"/>
            <w:shd w:val="clear" w:color="auto" w:fill="CCCCCC"/>
            <w:vAlign w:val="bottom"/>
          </w:tcPr>
          <w:p w14:paraId="038A1030" w14:textId="77777777" w:rsidR="004023E5" w:rsidRDefault="004023E5" w:rsidP="001A5D4A">
            <w:pPr>
              <w:pStyle w:val="NotesTable-ItemPlain"/>
              <w:rPr>
                <w:b/>
              </w:rPr>
            </w:pPr>
            <w:r>
              <w:t>Indigenous Support Program</w:t>
            </w:r>
          </w:p>
        </w:tc>
        <w:tc>
          <w:tcPr>
            <w:tcW w:w="270" w:type="pct"/>
            <w:shd w:val="clear" w:color="auto" w:fill="CCCCCC"/>
          </w:tcPr>
          <w:p w14:paraId="038A1031" w14:textId="77777777" w:rsidR="004023E5" w:rsidRDefault="004023E5" w:rsidP="001A5D4A">
            <w:pPr>
              <w:pStyle w:val="NotesTable-Notes"/>
              <w:rPr>
                <w:shd w:val="clear" w:color="auto" w:fill="00FFFF"/>
              </w:rPr>
            </w:pPr>
          </w:p>
        </w:tc>
        <w:tc>
          <w:tcPr>
            <w:tcW w:w="406" w:type="pct"/>
            <w:shd w:val="clear" w:color="auto" w:fill="CCCCCC"/>
          </w:tcPr>
          <w:p w14:paraId="038A1032" w14:textId="77777777" w:rsidR="004023E5" w:rsidRDefault="004023E5" w:rsidP="001A5D4A">
            <w:pPr>
              <w:pStyle w:val="NotesTable-CellBold"/>
            </w:pPr>
            <w:r>
              <w:t>–</w:t>
            </w:r>
          </w:p>
        </w:tc>
        <w:tc>
          <w:tcPr>
            <w:tcW w:w="406" w:type="pct"/>
            <w:shd w:val="clear" w:color="auto" w:fill="CCCCCC"/>
          </w:tcPr>
          <w:p w14:paraId="038A1033" w14:textId="77777777" w:rsidR="004023E5" w:rsidRPr="00301DCB" w:rsidRDefault="004023E5" w:rsidP="001A5D4A">
            <w:pPr>
              <w:pStyle w:val="NotesTable-CellPlain"/>
            </w:pPr>
            <w:r w:rsidRPr="00301DCB">
              <w:t>–</w:t>
            </w:r>
          </w:p>
        </w:tc>
        <w:tc>
          <w:tcPr>
            <w:tcW w:w="406" w:type="pct"/>
            <w:shd w:val="clear" w:color="auto" w:fill="CCCCCC"/>
          </w:tcPr>
          <w:p w14:paraId="038A1034" w14:textId="77777777" w:rsidR="004023E5" w:rsidRDefault="004023E5" w:rsidP="001A5D4A">
            <w:pPr>
              <w:pStyle w:val="NotesTable-CellBold"/>
            </w:pPr>
            <w:r>
              <w:t>–</w:t>
            </w:r>
          </w:p>
        </w:tc>
        <w:tc>
          <w:tcPr>
            <w:tcW w:w="405" w:type="pct"/>
            <w:shd w:val="clear" w:color="auto" w:fill="CCCCCC"/>
          </w:tcPr>
          <w:p w14:paraId="038A1035" w14:textId="77777777" w:rsidR="004023E5" w:rsidRPr="00301DCB" w:rsidRDefault="004023E5" w:rsidP="001A5D4A">
            <w:pPr>
              <w:pStyle w:val="NotesTable-CellPlain"/>
            </w:pPr>
            <w:r w:rsidRPr="00301DCB">
              <w:t>–</w:t>
            </w:r>
          </w:p>
        </w:tc>
      </w:tr>
      <w:tr w:rsidR="004023E5" w14:paraId="038A103E" w14:textId="77777777" w:rsidTr="00E52AAD">
        <w:trPr>
          <w:cantSplit/>
          <w:trHeight w:val="227"/>
        </w:trPr>
        <w:tc>
          <w:tcPr>
            <w:tcW w:w="550" w:type="pct"/>
          </w:tcPr>
          <w:p w14:paraId="038A1037" w14:textId="77777777" w:rsidR="004023E5" w:rsidRDefault="004023E5" w:rsidP="001A5D4A">
            <w:pPr>
              <w:pStyle w:val="Note-Refs"/>
            </w:pPr>
          </w:p>
        </w:tc>
        <w:tc>
          <w:tcPr>
            <w:tcW w:w="2557" w:type="pct"/>
            <w:shd w:val="clear" w:color="auto" w:fill="CCCCCC"/>
            <w:vAlign w:val="bottom"/>
          </w:tcPr>
          <w:p w14:paraId="038A1038" w14:textId="77777777" w:rsidR="004023E5" w:rsidRDefault="004023E5" w:rsidP="001A5D4A">
            <w:pPr>
              <w:pStyle w:val="NotesTable-ItemPlain"/>
              <w:rPr>
                <w:b/>
              </w:rPr>
            </w:pPr>
            <w:r>
              <w:t>Partnership &amp; Participation Program</w:t>
            </w:r>
            <w:r w:rsidRPr="00977679">
              <w:rPr>
                <w:vertAlign w:val="superscript"/>
              </w:rPr>
              <w:t>#</w:t>
            </w:r>
            <w:r>
              <w:rPr>
                <w:vertAlign w:val="superscript"/>
              </w:rPr>
              <w:t>2</w:t>
            </w:r>
          </w:p>
        </w:tc>
        <w:tc>
          <w:tcPr>
            <w:tcW w:w="270" w:type="pct"/>
            <w:shd w:val="clear" w:color="auto" w:fill="CCCCCC"/>
          </w:tcPr>
          <w:p w14:paraId="038A1039" w14:textId="77777777" w:rsidR="004023E5" w:rsidRDefault="004023E5" w:rsidP="001A5D4A">
            <w:pPr>
              <w:pStyle w:val="NotesTable-Notes"/>
              <w:rPr>
                <w:shd w:val="clear" w:color="auto" w:fill="00FFFF"/>
              </w:rPr>
            </w:pPr>
          </w:p>
        </w:tc>
        <w:tc>
          <w:tcPr>
            <w:tcW w:w="406" w:type="pct"/>
            <w:shd w:val="clear" w:color="auto" w:fill="CCCCCC"/>
          </w:tcPr>
          <w:p w14:paraId="038A103A" w14:textId="77777777" w:rsidR="004023E5" w:rsidRDefault="004023E5" w:rsidP="001A5D4A">
            <w:pPr>
              <w:pStyle w:val="NotesTable-CellBold"/>
            </w:pPr>
            <w:r>
              <w:t>–</w:t>
            </w:r>
          </w:p>
        </w:tc>
        <w:tc>
          <w:tcPr>
            <w:tcW w:w="406" w:type="pct"/>
            <w:shd w:val="clear" w:color="auto" w:fill="CCCCCC"/>
          </w:tcPr>
          <w:p w14:paraId="038A103B" w14:textId="77777777" w:rsidR="004023E5" w:rsidRPr="00301DCB" w:rsidRDefault="004023E5" w:rsidP="001A5D4A">
            <w:pPr>
              <w:pStyle w:val="NotesTable-CellPlain"/>
            </w:pPr>
            <w:r w:rsidRPr="00301DCB">
              <w:t>–</w:t>
            </w:r>
          </w:p>
        </w:tc>
        <w:tc>
          <w:tcPr>
            <w:tcW w:w="406" w:type="pct"/>
            <w:shd w:val="clear" w:color="auto" w:fill="CCCCCC"/>
          </w:tcPr>
          <w:p w14:paraId="038A103C" w14:textId="77777777" w:rsidR="004023E5" w:rsidRDefault="004023E5" w:rsidP="001A5D4A">
            <w:pPr>
              <w:pStyle w:val="NotesTable-CellBold"/>
            </w:pPr>
            <w:r>
              <w:t>–</w:t>
            </w:r>
          </w:p>
        </w:tc>
        <w:tc>
          <w:tcPr>
            <w:tcW w:w="405" w:type="pct"/>
            <w:shd w:val="clear" w:color="auto" w:fill="CCCCCC"/>
          </w:tcPr>
          <w:p w14:paraId="038A103D" w14:textId="77777777" w:rsidR="004023E5" w:rsidRPr="00301DCB" w:rsidRDefault="004023E5" w:rsidP="001A5D4A">
            <w:pPr>
              <w:pStyle w:val="NotesTable-CellPlain"/>
            </w:pPr>
            <w:r w:rsidRPr="00301DCB">
              <w:t>–</w:t>
            </w:r>
          </w:p>
        </w:tc>
      </w:tr>
      <w:tr w:rsidR="004023E5" w14:paraId="038A1046" w14:textId="77777777" w:rsidTr="00E52AAD">
        <w:trPr>
          <w:cantSplit/>
          <w:trHeight w:val="227"/>
        </w:trPr>
        <w:tc>
          <w:tcPr>
            <w:tcW w:w="550" w:type="pct"/>
          </w:tcPr>
          <w:p w14:paraId="038A103F" w14:textId="77777777" w:rsidR="004023E5" w:rsidRDefault="004023E5" w:rsidP="001A5D4A">
            <w:pPr>
              <w:pStyle w:val="Note-Refs"/>
            </w:pPr>
          </w:p>
        </w:tc>
        <w:tc>
          <w:tcPr>
            <w:tcW w:w="2557" w:type="pct"/>
            <w:shd w:val="clear" w:color="auto" w:fill="CCCCCC"/>
            <w:vAlign w:val="bottom"/>
          </w:tcPr>
          <w:p w14:paraId="038A1040" w14:textId="77777777" w:rsidR="004023E5" w:rsidRDefault="004023E5" w:rsidP="001A5D4A">
            <w:pPr>
              <w:pStyle w:val="NotesTable-ItemPlain"/>
              <w:rPr>
                <w:b/>
              </w:rPr>
            </w:pPr>
            <w:r>
              <w:t>Disability Support Program</w:t>
            </w:r>
          </w:p>
        </w:tc>
        <w:tc>
          <w:tcPr>
            <w:tcW w:w="270" w:type="pct"/>
            <w:shd w:val="clear" w:color="auto" w:fill="CCCCCC"/>
          </w:tcPr>
          <w:p w14:paraId="038A1041" w14:textId="77777777" w:rsidR="004023E5" w:rsidRDefault="004023E5" w:rsidP="001A5D4A">
            <w:pPr>
              <w:pStyle w:val="NotesTable-Notes"/>
              <w:rPr>
                <w:shd w:val="clear" w:color="auto" w:fill="00FFFF"/>
              </w:rPr>
            </w:pPr>
          </w:p>
        </w:tc>
        <w:tc>
          <w:tcPr>
            <w:tcW w:w="406" w:type="pct"/>
            <w:shd w:val="clear" w:color="auto" w:fill="CCCCCC"/>
          </w:tcPr>
          <w:p w14:paraId="038A1042" w14:textId="77777777" w:rsidR="004023E5" w:rsidRDefault="004023E5" w:rsidP="001A5D4A">
            <w:pPr>
              <w:pStyle w:val="NotesTable-CellBold"/>
            </w:pPr>
            <w:r>
              <w:t>–</w:t>
            </w:r>
          </w:p>
        </w:tc>
        <w:tc>
          <w:tcPr>
            <w:tcW w:w="406" w:type="pct"/>
            <w:shd w:val="clear" w:color="auto" w:fill="CCCCCC"/>
          </w:tcPr>
          <w:p w14:paraId="038A1043" w14:textId="77777777" w:rsidR="004023E5" w:rsidRPr="00301DCB" w:rsidRDefault="004023E5" w:rsidP="001A5D4A">
            <w:pPr>
              <w:pStyle w:val="NotesTable-CellPlain"/>
            </w:pPr>
            <w:r w:rsidRPr="00301DCB">
              <w:t>–</w:t>
            </w:r>
          </w:p>
        </w:tc>
        <w:tc>
          <w:tcPr>
            <w:tcW w:w="406" w:type="pct"/>
            <w:shd w:val="clear" w:color="auto" w:fill="CCCCCC"/>
          </w:tcPr>
          <w:p w14:paraId="038A1044" w14:textId="77777777" w:rsidR="004023E5" w:rsidRDefault="004023E5" w:rsidP="001A5D4A">
            <w:pPr>
              <w:pStyle w:val="NotesTable-CellBold"/>
            </w:pPr>
            <w:r>
              <w:t>–</w:t>
            </w:r>
          </w:p>
        </w:tc>
        <w:tc>
          <w:tcPr>
            <w:tcW w:w="405" w:type="pct"/>
            <w:shd w:val="clear" w:color="auto" w:fill="CCCCCC"/>
          </w:tcPr>
          <w:p w14:paraId="038A1045" w14:textId="77777777" w:rsidR="004023E5" w:rsidRPr="00301DCB" w:rsidRDefault="004023E5" w:rsidP="001A5D4A">
            <w:pPr>
              <w:pStyle w:val="NotesTable-CellPlain"/>
            </w:pPr>
            <w:r w:rsidRPr="00301DCB">
              <w:t>–</w:t>
            </w:r>
          </w:p>
        </w:tc>
      </w:tr>
      <w:tr w:rsidR="004023E5" w14:paraId="038A104E" w14:textId="77777777" w:rsidTr="00E52AAD">
        <w:trPr>
          <w:cantSplit/>
          <w:trHeight w:val="227"/>
        </w:trPr>
        <w:tc>
          <w:tcPr>
            <w:tcW w:w="550" w:type="pct"/>
          </w:tcPr>
          <w:p w14:paraId="038A1047" w14:textId="77777777" w:rsidR="004023E5" w:rsidRDefault="004023E5" w:rsidP="001A5D4A">
            <w:pPr>
              <w:pStyle w:val="Note-Refs"/>
            </w:pPr>
          </w:p>
        </w:tc>
        <w:tc>
          <w:tcPr>
            <w:tcW w:w="2557" w:type="pct"/>
            <w:shd w:val="clear" w:color="auto" w:fill="CCCCCC"/>
            <w:vAlign w:val="bottom"/>
          </w:tcPr>
          <w:p w14:paraId="038A1048" w14:textId="77777777" w:rsidR="004023E5" w:rsidRDefault="004023E5" w:rsidP="001A5D4A">
            <w:pPr>
              <w:pStyle w:val="NotesTable-ItemPlain"/>
              <w:rPr>
                <w:b/>
              </w:rPr>
            </w:pPr>
            <w:r>
              <w:t>Workplace Reform Program</w:t>
            </w:r>
          </w:p>
        </w:tc>
        <w:tc>
          <w:tcPr>
            <w:tcW w:w="270" w:type="pct"/>
            <w:shd w:val="clear" w:color="auto" w:fill="CCCCCC"/>
          </w:tcPr>
          <w:p w14:paraId="038A1049" w14:textId="77777777" w:rsidR="004023E5" w:rsidRDefault="004023E5" w:rsidP="001A5D4A">
            <w:pPr>
              <w:pStyle w:val="NotesTable-Notes"/>
              <w:rPr>
                <w:shd w:val="clear" w:color="auto" w:fill="00FFFF"/>
              </w:rPr>
            </w:pPr>
          </w:p>
        </w:tc>
        <w:tc>
          <w:tcPr>
            <w:tcW w:w="406" w:type="pct"/>
            <w:shd w:val="clear" w:color="auto" w:fill="CCCCCC"/>
          </w:tcPr>
          <w:p w14:paraId="038A104A" w14:textId="77777777" w:rsidR="004023E5" w:rsidRDefault="004023E5" w:rsidP="001A5D4A">
            <w:pPr>
              <w:pStyle w:val="NotesTable-CellBold"/>
            </w:pPr>
            <w:r>
              <w:t>–</w:t>
            </w:r>
          </w:p>
        </w:tc>
        <w:tc>
          <w:tcPr>
            <w:tcW w:w="406" w:type="pct"/>
            <w:shd w:val="clear" w:color="auto" w:fill="CCCCCC"/>
          </w:tcPr>
          <w:p w14:paraId="038A104B" w14:textId="77777777" w:rsidR="004023E5" w:rsidRPr="00301DCB" w:rsidRDefault="004023E5" w:rsidP="001A5D4A">
            <w:pPr>
              <w:pStyle w:val="NotesTable-CellPlain"/>
            </w:pPr>
            <w:r w:rsidRPr="00301DCB">
              <w:t>–</w:t>
            </w:r>
          </w:p>
        </w:tc>
        <w:tc>
          <w:tcPr>
            <w:tcW w:w="406" w:type="pct"/>
            <w:shd w:val="clear" w:color="auto" w:fill="CCCCCC"/>
          </w:tcPr>
          <w:p w14:paraId="038A104C" w14:textId="77777777" w:rsidR="004023E5" w:rsidRDefault="004023E5" w:rsidP="001A5D4A">
            <w:pPr>
              <w:pStyle w:val="NotesTable-CellBold"/>
            </w:pPr>
            <w:r>
              <w:t>–</w:t>
            </w:r>
          </w:p>
        </w:tc>
        <w:tc>
          <w:tcPr>
            <w:tcW w:w="405" w:type="pct"/>
            <w:shd w:val="clear" w:color="auto" w:fill="CCCCCC"/>
          </w:tcPr>
          <w:p w14:paraId="038A104D" w14:textId="77777777" w:rsidR="004023E5" w:rsidRPr="00301DCB" w:rsidRDefault="004023E5" w:rsidP="001A5D4A">
            <w:pPr>
              <w:pStyle w:val="NotesTable-CellPlain"/>
            </w:pPr>
            <w:r w:rsidRPr="00301DCB">
              <w:t>–</w:t>
            </w:r>
          </w:p>
        </w:tc>
      </w:tr>
      <w:tr w:rsidR="004023E5" w14:paraId="038A1056" w14:textId="77777777" w:rsidTr="00E52AAD">
        <w:trPr>
          <w:cantSplit/>
          <w:trHeight w:val="227"/>
        </w:trPr>
        <w:tc>
          <w:tcPr>
            <w:tcW w:w="550" w:type="pct"/>
          </w:tcPr>
          <w:p w14:paraId="038A104F" w14:textId="77777777" w:rsidR="004023E5" w:rsidRDefault="004023E5" w:rsidP="001A5D4A">
            <w:pPr>
              <w:pStyle w:val="Note-Refs"/>
            </w:pPr>
          </w:p>
        </w:tc>
        <w:tc>
          <w:tcPr>
            <w:tcW w:w="2557" w:type="pct"/>
            <w:shd w:val="clear" w:color="auto" w:fill="CCCCCC"/>
            <w:vAlign w:val="bottom"/>
          </w:tcPr>
          <w:p w14:paraId="038A1050" w14:textId="77777777" w:rsidR="004023E5" w:rsidRDefault="004023E5" w:rsidP="001A5D4A">
            <w:pPr>
              <w:pStyle w:val="NotesTable-ItemPlain"/>
              <w:rPr>
                <w:b/>
              </w:rPr>
            </w:pPr>
            <w:r>
              <w:t>Learning &amp; Teaching Performance Fund</w:t>
            </w:r>
          </w:p>
        </w:tc>
        <w:tc>
          <w:tcPr>
            <w:tcW w:w="270" w:type="pct"/>
            <w:shd w:val="clear" w:color="auto" w:fill="CCCCCC"/>
          </w:tcPr>
          <w:p w14:paraId="038A1051" w14:textId="77777777" w:rsidR="004023E5" w:rsidRDefault="004023E5" w:rsidP="001A5D4A">
            <w:pPr>
              <w:pStyle w:val="NotesTable-Notes"/>
              <w:rPr>
                <w:shd w:val="clear" w:color="auto" w:fill="00FFFF"/>
              </w:rPr>
            </w:pPr>
          </w:p>
        </w:tc>
        <w:tc>
          <w:tcPr>
            <w:tcW w:w="406" w:type="pct"/>
            <w:shd w:val="clear" w:color="auto" w:fill="CCCCCC"/>
          </w:tcPr>
          <w:p w14:paraId="038A1052" w14:textId="77777777" w:rsidR="004023E5" w:rsidRDefault="004023E5" w:rsidP="001A5D4A">
            <w:pPr>
              <w:pStyle w:val="NotesTable-CellBold"/>
            </w:pPr>
            <w:r>
              <w:t>–</w:t>
            </w:r>
          </w:p>
        </w:tc>
        <w:tc>
          <w:tcPr>
            <w:tcW w:w="406" w:type="pct"/>
            <w:shd w:val="clear" w:color="auto" w:fill="CCCCCC"/>
          </w:tcPr>
          <w:p w14:paraId="038A1053" w14:textId="77777777" w:rsidR="004023E5" w:rsidRPr="00301DCB" w:rsidRDefault="004023E5" w:rsidP="001A5D4A">
            <w:pPr>
              <w:pStyle w:val="NotesTable-CellPlain"/>
            </w:pPr>
            <w:r w:rsidRPr="00301DCB">
              <w:t>–</w:t>
            </w:r>
          </w:p>
        </w:tc>
        <w:tc>
          <w:tcPr>
            <w:tcW w:w="406" w:type="pct"/>
            <w:shd w:val="clear" w:color="auto" w:fill="CCCCCC"/>
          </w:tcPr>
          <w:p w14:paraId="038A1054" w14:textId="77777777" w:rsidR="004023E5" w:rsidRDefault="004023E5" w:rsidP="001A5D4A">
            <w:pPr>
              <w:pStyle w:val="NotesTable-CellBold"/>
            </w:pPr>
            <w:r>
              <w:t>–</w:t>
            </w:r>
          </w:p>
        </w:tc>
        <w:tc>
          <w:tcPr>
            <w:tcW w:w="405" w:type="pct"/>
            <w:shd w:val="clear" w:color="auto" w:fill="CCCCCC"/>
          </w:tcPr>
          <w:p w14:paraId="038A1055" w14:textId="77777777" w:rsidR="004023E5" w:rsidRPr="00301DCB" w:rsidRDefault="004023E5" w:rsidP="001A5D4A">
            <w:pPr>
              <w:pStyle w:val="NotesTable-CellPlain"/>
            </w:pPr>
            <w:r w:rsidRPr="00301DCB">
              <w:t>–</w:t>
            </w:r>
          </w:p>
        </w:tc>
      </w:tr>
      <w:tr w:rsidR="004023E5" w14:paraId="038A105E" w14:textId="77777777" w:rsidTr="00E52AAD">
        <w:trPr>
          <w:cantSplit/>
          <w:trHeight w:val="227"/>
        </w:trPr>
        <w:tc>
          <w:tcPr>
            <w:tcW w:w="550" w:type="pct"/>
          </w:tcPr>
          <w:p w14:paraId="038A1057" w14:textId="77777777" w:rsidR="004023E5" w:rsidRDefault="004023E5" w:rsidP="001A5D4A">
            <w:pPr>
              <w:pStyle w:val="Note-Refs"/>
            </w:pPr>
          </w:p>
        </w:tc>
        <w:tc>
          <w:tcPr>
            <w:tcW w:w="2557" w:type="pct"/>
            <w:shd w:val="clear" w:color="auto" w:fill="CCCCCC"/>
            <w:vAlign w:val="bottom"/>
          </w:tcPr>
          <w:p w14:paraId="038A1058" w14:textId="29FC6D62" w:rsidR="004023E5" w:rsidRDefault="004023E5" w:rsidP="001A5D4A">
            <w:pPr>
              <w:pStyle w:val="NotesTable-ItemPlain"/>
              <w:rPr>
                <w:b/>
              </w:rPr>
            </w:pPr>
            <w:r>
              <w:t>National Institutes</w:t>
            </w:r>
            <w:r w:rsidR="00B436FC">
              <w:t xml:space="preserve"> Funding</w:t>
            </w:r>
            <w:r>
              <w:t xml:space="preserve"> </w:t>
            </w:r>
          </w:p>
        </w:tc>
        <w:tc>
          <w:tcPr>
            <w:tcW w:w="270" w:type="pct"/>
            <w:shd w:val="clear" w:color="auto" w:fill="CCCCCC"/>
          </w:tcPr>
          <w:p w14:paraId="038A1059" w14:textId="77777777" w:rsidR="004023E5" w:rsidRDefault="004023E5" w:rsidP="001A5D4A">
            <w:pPr>
              <w:pStyle w:val="NotesTable-Notes"/>
              <w:rPr>
                <w:shd w:val="clear" w:color="auto" w:fill="00FFFF"/>
              </w:rPr>
            </w:pPr>
          </w:p>
        </w:tc>
        <w:tc>
          <w:tcPr>
            <w:tcW w:w="406" w:type="pct"/>
            <w:shd w:val="clear" w:color="auto" w:fill="CCCCCC"/>
          </w:tcPr>
          <w:p w14:paraId="038A105A" w14:textId="77777777" w:rsidR="004023E5" w:rsidRDefault="004023E5" w:rsidP="001A5D4A">
            <w:pPr>
              <w:pStyle w:val="NotesTable-CellBold"/>
            </w:pPr>
            <w:r>
              <w:t>–</w:t>
            </w:r>
          </w:p>
        </w:tc>
        <w:tc>
          <w:tcPr>
            <w:tcW w:w="406" w:type="pct"/>
            <w:shd w:val="clear" w:color="auto" w:fill="CCCCCC"/>
          </w:tcPr>
          <w:p w14:paraId="038A105B" w14:textId="77777777" w:rsidR="004023E5" w:rsidRPr="00301DCB" w:rsidRDefault="004023E5" w:rsidP="001A5D4A">
            <w:pPr>
              <w:pStyle w:val="NotesTable-CellPlain"/>
            </w:pPr>
            <w:r w:rsidRPr="00301DCB">
              <w:t>–</w:t>
            </w:r>
          </w:p>
        </w:tc>
        <w:tc>
          <w:tcPr>
            <w:tcW w:w="406" w:type="pct"/>
            <w:shd w:val="clear" w:color="auto" w:fill="CCCCCC"/>
          </w:tcPr>
          <w:p w14:paraId="038A105C" w14:textId="77777777" w:rsidR="004023E5" w:rsidRDefault="004023E5" w:rsidP="001A5D4A">
            <w:pPr>
              <w:pStyle w:val="NotesTable-CellBold"/>
            </w:pPr>
            <w:r>
              <w:t>–</w:t>
            </w:r>
          </w:p>
        </w:tc>
        <w:tc>
          <w:tcPr>
            <w:tcW w:w="405" w:type="pct"/>
            <w:shd w:val="clear" w:color="auto" w:fill="CCCCCC"/>
          </w:tcPr>
          <w:p w14:paraId="038A105D" w14:textId="77777777" w:rsidR="004023E5" w:rsidRPr="00301DCB" w:rsidRDefault="004023E5" w:rsidP="001A5D4A">
            <w:pPr>
              <w:pStyle w:val="NotesTable-CellPlain"/>
            </w:pPr>
            <w:r w:rsidRPr="00301DCB">
              <w:t>–</w:t>
            </w:r>
          </w:p>
        </w:tc>
      </w:tr>
      <w:tr w:rsidR="004023E5" w14:paraId="038A1066" w14:textId="77777777" w:rsidTr="00E52AAD">
        <w:trPr>
          <w:cantSplit/>
          <w:trHeight w:val="227"/>
        </w:trPr>
        <w:tc>
          <w:tcPr>
            <w:tcW w:w="550" w:type="pct"/>
          </w:tcPr>
          <w:p w14:paraId="038A105F" w14:textId="77777777" w:rsidR="004023E5" w:rsidRDefault="004023E5" w:rsidP="001A5D4A">
            <w:pPr>
              <w:pStyle w:val="Note-Refs"/>
            </w:pPr>
          </w:p>
        </w:tc>
        <w:tc>
          <w:tcPr>
            <w:tcW w:w="2557" w:type="pct"/>
            <w:shd w:val="clear" w:color="auto" w:fill="CCCCCC"/>
            <w:vAlign w:val="bottom"/>
          </w:tcPr>
          <w:p w14:paraId="038A1060" w14:textId="77777777" w:rsidR="004023E5" w:rsidRDefault="004023E5" w:rsidP="001A5D4A">
            <w:pPr>
              <w:pStyle w:val="NotesTable-ItemPlain"/>
              <w:rPr>
                <w:b/>
              </w:rPr>
            </w:pPr>
            <w:r>
              <w:t>Capital Development Pool</w:t>
            </w:r>
          </w:p>
        </w:tc>
        <w:tc>
          <w:tcPr>
            <w:tcW w:w="270" w:type="pct"/>
            <w:shd w:val="clear" w:color="auto" w:fill="CCCCCC"/>
          </w:tcPr>
          <w:p w14:paraId="038A1061" w14:textId="77777777" w:rsidR="004023E5" w:rsidRDefault="004023E5" w:rsidP="001A5D4A">
            <w:pPr>
              <w:pStyle w:val="NotesTable-Notes"/>
              <w:rPr>
                <w:shd w:val="clear" w:color="auto" w:fill="00FFFF"/>
              </w:rPr>
            </w:pPr>
          </w:p>
        </w:tc>
        <w:tc>
          <w:tcPr>
            <w:tcW w:w="406" w:type="pct"/>
            <w:shd w:val="clear" w:color="auto" w:fill="CCCCCC"/>
          </w:tcPr>
          <w:p w14:paraId="038A1062" w14:textId="77777777" w:rsidR="004023E5" w:rsidRDefault="004023E5" w:rsidP="001A5D4A">
            <w:pPr>
              <w:pStyle w:val="NotesTable-CellBold"/>
            </w:pPr>
            <w:r>
              <w:t>–</w:t>
            </w:r>
          </w:p>
        </w:tc>
        <w:tc>
          <w:tcPr>
            <w:tcW w:w="406" w:type="pct"/>
            <w:shd w:val="clear" w:color="auto" w:fill="CCCCCC"/>
          </w:tcPr>
          <w:p w14:paraId="038A1063" w14:textId="77777777" w:rsidR="004023E5" w:rsidRPr="00301DCB" w:rsidRDefault="004023E5" w:rsidP="001A5D4A">
            <w:pPr>
              <w:pStyle w:val="NotesTable-CellPlain"/>
            </w:pPr>
            <w:r w:rsidRPr="00301DCB">
              <w:t>–</w:t>
            </w:r>
          </w:p>
        </w:tc>
        <w:tc>
          <w:tcPr>
            <w:tcW w:w="406" w:type="pct"/>
            <w:shd w:val="clear" w:color="auto" w:fill="CCCCCC"/>
          </w:tcPr>
          <w:p w14:paraId="038A1064" w14:textId="77777777" w:rsidR="004023E5" w:rsidRDefault="004023E5" w:rsidP="001A5D4A">
            <w:pPr>
              <w:pStyle w:val="NotesTable-CellBold"/>
            </w:pPr>
            <w:r>
              <w:t>–</w:t>
            </w:r>
          </w:p>
        </w:tc>
        <w:tc>
          <w:tcPr>
            <w:tcW w:w="405" w:type="pct"/>
            <w:shd w:val="clear" w:color="auto" w:fill="CCCCCC"/>
          </w:tcPr>
          <w:p w14:paraId="038A1065" w14:textId="77777777" w:rsidR="004023E5" w:rsidRPr="00301DCB" w:rsidRDefault="004023E5" w:rsidP="001A5D4A">
            <w:pPr>
              <w:pStyle w:val="NotesTable-CellPlain"/>
            </w:pPr>
            <w:r w:rsidRPr="00301DCB">
              <w:t>–</w:t>
            </w:r>
          </w:p>
        </w:tc>
      </w:tr>
      <w:tr w:rsidR="004023E5" w14:paraId="038A106E" w14:textId="77777777" w:rsidTr="00E52AAD">
        <w:trPr>
          <w:cantSplit/>
          <w:trHeight w:val="227"/>
        </w:trPr>
        <w:tc>
          <w:tcPr>
            <w:tcW w:w="550" w:type="pct"/>
          </w:tcPr>
          <w:p w14:paraId="038A1067" w14:textId="77777777" w:rsidR="004023E5" w:rsidRDefault="004023E5" w:rsidP="001A5D4A">
            <w:pPr>
              <w:pStyle w:val="Note-Refs"/>
            </w:pPr>
          </w:p>
        </w:tc>
        <w:tc>
          <w:tcPr>
            <w:tcW w:w="2557" w:type="pct"/>
            <w:shd w:val="clear" w:color="auto" w:fill="CCCCCC"/>
            <w:vAlign w:val="bottom"/>
          </w:tcPr>
          <w:p w14:paraId="038A1068" w14:textId="77777777" w:rsidR="004023E5" w:rsidRDefault="004023E5" w:rsidP="001A5D4A">
            <w:pPr>
              <w:pStyle w:val="NotesTable-ItemPlain"/>
              <w:rPr>
                <w:b/>
                <w:vertAlign w:val="superscript"/>
              </w:rPr>
            </w:pPr>
            <w:r>
              <w:t xml:space="preserve">Diversity and Structural Adjustment Fund </w:t>
            </w:r>
            <w:r>
              <w:rPr>
                <w:vertAlign w:val="superscript"/>
              </w:rPr>
              <w:t>#3</w:t>
            </w:r>
          </w:p>
        </w:tc>
        <w:tc>
          <w:tcPr>
            <w:tcW w:w="270" w:type="pct"/>
            <w:shd w:val="clear" w:color="auto" w:fill="CCCCCC"/>
          </w:tcPr>
          <w:p w14:paraId="038A1069" w14:textId="77777777" w:rsidR="004023E5" w:rsidRDefault="004023E5" w:rsidP="001A5D4A">
            <w:pPr>
              <w:pStyle w:val="NotesTable-Notes"/>
              <w:rPr>
                <w:shd w:val="clear" w:color="auto" w:fill="00FFFF"/>
              </w:rPr>
            </w:pPr>
          </w:p>
        </w:tc>
        <w:tc>
          <w:tcPr>
            <w:tcW w:w="406" w:type="pct"/>
            <w:shd w:val="clear" w:color="auto" w:fill="CCCCCC"/>
          </w:tcPr>
          <w:p w14:paraId="038A106A" w14:textId="77777777" w:rsidR="004023E5" w:rsidRDefault="004023E5" w:rsidP="001A5D4A">
            <w:pPr>
              <w:pStyle w:val="NotesTable-CellBold"/>
            </w:pPr>
            <w:r>
              <w:t>–</w:t>
            </w:r>
          </w:p>
        </w:tc>
        <w:tc>
          <w:tcPr>
            <w:tcW w:w="406" w:type="pct"/>
            <w:shd w:val="clear" w:color="auto" w:fill="CCCCCC"/>
          </w:tcPr>
          <w:p w14:paraId="038A106B" w14:textId="77777777" w:rsidR="004023E5" w:rsidRPr="00301DCB" w:rsidRDefault="004023E5" w:rsidP="001A5D4A">
            <w:pPr>
              <w:pStyle w:val="NotesTable-CellPlain"/>
            </w:pPr>
            <w:r w:rsidRPr="00301DCB">
              <w:t>–</w:t>
            </w:r>
          </w:p>
        </w:tc>
        <w:tc>
          <w:tcPr>
            <w:tcW w:w="406" w:type="pct"/>
            <w:shd w:val="clear" w:color="auto" w:fill="CCCCCC"/>
          </w:tcPr>
          <w:p w14:paraId="038A106C" w14:textId="77777777" w:rsidR="004023E5" w:rsidRDefault="004023E5" w:rsidP="001A5D4A">
            <w:pPr>
              <w:pStyle w:val="NotesTable-CellBold"/>
            </w:pPr>
            <w:r>
              <w:t>–</w:t>
            </w:r>
          </w:p>
        </w:tc>
        <w:tc>
          <w:tcPr>
            <w:tcW w:w="405" w:type="pct"/>
            <w:shd w:val="clear" w:color="auto" w:fill="CCCCCC"/>
          </w:tcPr>
          <w:p w14:paraId="038A106D" w14:textId="77777777" w:rsidR="004023E5" w:rsidRPr="00301DCB" w:rsidRDefault="004023E5" w:rsidP="001A5D4A">
            <w:pPr>
              <w:pStyle w:val="NotesTable-CellPlain"/>
            </w:pPr>
            <w:r w:rsidRPr="00301DCB">
              <w:t>–</w:t>
            </w:r>
          </w:p>
        </w:tc>
      </w:tr>
      <w:tr w:rsidR="004023E5" w14:paraId="038A1076" w14:textId="77777777" w:rsidTr="00E52AAD">
        <w:trPr>
          <w:cantSplit/>
          <w:trHeight w:val="227"/>
        </w:trPr>
        <w:tc>
          <w:tcPr>
            <w:tcW w:w="550" w:type="pct"/>
          </w:tcPr>
          <w:p w14:paraId="038A106F" w14:textId="77777777" w:rsidR="004023E5" w:rsidRDefault="004023E5" w:rsidP="001A5D4A">
            <w:pPr>
              <w:pStyle w:val="Note-Refs"/>
            </w:pPr>
          </w:p>
        </w:tc>
        <w:tc>
          <w:tcPr>
            <w:tcW w:w="2557" w:type="pct"/>
            <w:shd w:val="clear" w:color="auto" w:fill="CCCCCC"/>
            <w:vAlign w:val="bottom"/>
          </w:tcPr>
          <w:p w14:paraId="038A1070" w14:textId="77777777" w:rsidR="004023E5" w:rsidRDefault="004023E5" w:rsidP="001A5D4A">
            <w:pPr>
              <w:pStyle w:val="NotesTable-ItemPlain"/>
              <w:rPr>
                <w:b/>
              </w:rPr>
            </w:pPr>
            <w:r>
              <w:t>Transitional Cost Program</w:t>
            </w:r>
          </w:p>
        </w:tc>
        <w:tc>
          <w:tcPr>
            <w:tcW w:w="270" w:type="pct"/>
            <w:shd w:val="clear" w:color="auto" w:fill="CCCCCC"/>
          </w:tcPr>
          <w:p w14:paraId="038A1071" w14:textId="77777777" w:rsidR="004023E5" w:rsidRDefault="004023E5" w:rsidP="001A5D4A">
            <w:pPr>
              <w:pStyle w:val="NotesTable-Notes"/>
              <w:rPr>
                <w:shd w:val="clear" w:color="auto" w:fill="00FFFF"/>
              </w:rPr>
            </w:pPr>
          </w:p>
        </w:tc>
        <w:tc>
          <w:tcPr>
            <w:tcW w:w="406" w:type="pct"/>
            <w:shd w:val="clear" w:color="auto" w:fill="CCCCCC"/>
          </w:tcPr>
          <w:p w14:paraId="038A1072" w14:textId="77777777" w:rsidR="004023E5" w:rsidRDefault="004023E5" w:rsidP="001A5D4A">
            <w:pPr>
              <w:pStyle w:val="NotesTable-CellBold"/>
            </w:pPr>
            <w:r>
              <w:t>–</w:t>
            </w:r>
          </w:p>
        </w:tc>
        <w:tc>
          <w:tcPr>
            <w:tcW w:w="406" w:type="pct"/>
            <w:shd w:val="clear" w:color="auto" w:fill="CCCCCC"/>
          </w:tcPr>
          <w:p w14:paraId="038A1073" w14:textId="77777777" w:rsidR="004023E5" w:rsidRPr="00301DCB" w:rsidRDefault="004023E5" w:rsidP="001A5D4A">
            <w:pPr>
              <w:pStyle w:val="NotesTable-CellPlain"/>
            </w:pPr>
            <w:r w:rsidRPr="00301DCB">
              <w:t>–</w:t>
            </w:r>
          </w:p>
        </w:tc>
        <w:tc>
          <w:tcPr>
            <w:tcW w:w="406" w:type="pct"/>
            <w:shd w:val="clear" w:color="auto" w:fill="CCCCCC"/>
          </w:tcPr>
          <w:p w14:paraId="038A1074" w14:textId="77777777" w:rsidR="004023E5" w:rsidRDefault="004023E5" w:rsidP="001A5D4A">
            <w:pPr>
              <w:pStyle w:val="NotesTable-CellBold"/>
            </w:pPr>
            <w:r>
              <w:t>–</w:t>
            </w:r>
          </w:p>
        </w:tc>
        <w:tc>
          <w:tcPr>
            <w:tcW w:w="405" w:type="pct"/>
            <w:shd w:val="clear" w:color="auto" w:fill="CCCCCC"/>
          </w:tcPr>
          <w:p w14:paraId="038A1075" w14:textId="77777777" w:rsidR="004023E5" w:rsidRPr="00301DCB" w:rsidRDefault="004023E5" w:rsidP="001A5D4A">
            <w:pPr>
              <w:pStyle w:val="NotesTable-CellPlain"/>
            </w:pPr>
            <w:r w:rsidRPr="00301DCB">
              <w:t>–</w:t>
            </w:r>
          </w:p>
        </w:tc>
      </w:tr>
      <w:tr w:rsidR="004023E5" w14:paraId="038A107E" w14:textId="77777777" w:rsidTr="00E52AAD">
        <w:trPr>
          <w:cantSplit/>
          <w:trHeight w:val="227"/>
        </w:trPr>
        <w:tc>
          <w:tcPr>
            <w:tcW w:w="550" w:type="pct"/>
          </w:tcPr>
          <w:p w14:paraId="038A1077" w14:textId="77777777" w:rsidR="004023E5" w:rsidRDefault="004023E5" w:rsidP="001A5D4A">
            <w:pPr>
              <w:pStyle w:val="Note-Refs"/>
            </w:pPr>
          </w:p>
        </w:tc>
        <w:tc>
          <w:tcPr>
            <w:tcW w:w="2557" w:type="pct"/>
            <w:shd w:val="clear" w:color="auto" w:fill="CCCCCC"/>
            <w:vAlign w:val="bottom"/>
          </w:tcPr>
          <w:p w14:paraId="038A1078" w14:textId="77777777" w:rsidR="004023E5" w:rsidRDefault="004023E5" w:rsidP="001A5D4A">
            <w:pPr>
              <w:pStyle w:val="NotesTable-ItemPlain"/>
              <w:rPr>
                <w:b/>
              </w:rPr>
            </w:pPr>
            <w:r>
              <w:t>Promotion of Excellence in Learning and Teach</w:t>
            </w:r>
            <w:r w:rsidR="00542A27">
              <w:t>ing</w:t>
            </w:r>
          </w:p>
        </w:tc>
        <w:tc>
          <w:tcPr>
            <w:tcW w:w="270" w:type="pct"/>
            <w:shd w:val="clear" w:color="auto" w:fill="CCCCCC"/>
          </w:tcPr>
          <w:p w14:paraId="038A1079" w14:textId="77777777" w:rsidR="004023E5" w:rsidRDefault="004023E5" w:rsidP="001A5D4A">
            <w:pPr>
              <w:pStyle w:val="NotesTable-Notes"/>
              <w:rPr>
                <w:shd w:val="clear" w:color="auto" w:fill="00FFFF"/>
              </w:rPr>
            </w:pPr>
          </w:p>
        </w:tc>
        <w:tc>
          <w:tcPr>
            <w:tcW w:w="406" w:type="pct"/>
            <w:shd w:val="clear" w:color="auto" w:fill="CCCCCC"/>
          </w:tcPr>
          <w:p w14:paraId="038A107A" w14:textId="77777777" w:rsidR="004023E5" w:rsidRDefault="004023E5" w:rsidP="001A5D4A">
            <w:pPr>
              <w:pStyle w:val="NotesTable-CellBold"/>
            </w:pPr>
            <w:r>
              <w:t>–</w:t>
            </w:r>
          </w:p>
        </w:tc>
        <w:tc>
          <w:tcPr>
            <w:tcW w:w="406" w:type="pct"/>
            <w:shd w:val="clear" w:color="auto" w:fill="CCCCCC"/>
          </w:tcPr>
          <w:p w14:paraId="038A107B" w14:textId="77777777" w:rsidR="004023E5" w:rsidRPr="00301DCB" w:rsidRDefault="004023E5" w:rsidP="001A5D4A">
            <w:pPr>
              <w:pStyle w:val="NotesTable-CellPlain"/>
            </w:pPr>
            <w:r w:rsidRPr="00301DCB">
              <w:t>–</w:t>
            </w:r>
          </w:p>
        </w:tc>
        <w:tc>
          <w:tcPr>
            <w:tcW w:w="406" w:type="pct"/>
            <w:shd w:val="clear" w:color="auto" w:fill="CCCCCC"/>
          </w:tcPr>
          <w:p w14:paraId="038A107C" w14:textId="77777777" w:rsidR="004023E5" w:rsidRDefault="004023E5" w:rsidP="001A5D4A">
            <w:pPr>
              <w:pStyle w:val="NotesTable-CellBold"/>
            </w:pPr>
            <w:r>
              <w:t>–</w:t>
            </w:r>
          </w:p>
        </w:tc>
        <w:tc>
          <w:tcPr>
            <w:tcW w:w="405" w:type="pct"/>
            <w:shd w:val="clear" w:color="auto" w:fill="CCCCCC"/>
          </w:tcPr>
          <w:p w14:paraId="038A107D" w14:textId="77777777" w:rsidR="004023E5" w:rsidRPr="00301DCB" w:rsidRDefault="004023E5" w:rsidP="001A5D4A">
            <w:pPr>
              <w:pStyle w:val="NotesTable-CellPlain"/>
            </w:pPr>
            <w:r w:rsidRPr="00301DCB">
              <w:t>–</w:t>
            </w:r>
          </w:p>
        </w:tc>
      </w:tr>
      <w:tr w:rsidR="004023E5" w14:paraId="038A1086" w14:textId="77777777" w:rsidTr="00E52AAD">
        <w:trPr>
          <w:cantSplit/>
          <w:trHeight w:val="227"/>
        </w:trPr>
        <w:tc>
          <w:tcPr>
            <w:tcW w:w="550" w:type="pct"/>
          </w:tcPr>
          <w:p w14:paraId="038A107F" w14:textId="77777777" w:rsidR="004023E5" w:rsidRDefault="004023E5" w:rsidP="001A5D4A">
            <w:pPr>
              <w:pStyle w:val="Note-Refs"/>
            </w:pPr>
          </w:p>
        </w:tc>
        <w:tc>
          <w:tcPr>
            <w:tcW w:w="2557" w:type="pct"/>
            <w:shd w:val="clear" w:color="auto" w:fill="CCCCCC"/>
            <w:vAlign w:val="bottom"/>
          </w:tcPr>
          <w:p w14:paraId="038A1080" w14:textId="77777777" w:rsidR="004023E5" w:rsidRDefault="004023E5" w:rsidP="001A5D4A">
            <w:pPr>
              <w:pStyle w:val="NotesTable-ItemPlain"/>
              <w:rPr>
                <w:b/>
              </w:rPr>
            </w:pPr>
            <w:r>
              <w:t>Reward Funding</w:t>
            </w:r>
          </w:p>
        </w:tc>
        <w:tc>
          <w:tcPr>
            <w:tcW w:w="270" w:type="pct"/>
            <w:shd w:val="clear" w:color="auto" w:fill="CCCCCC"/>
          </w:tcPr>
          <w:p w14:paraId="038A1081" w14:textId="77777777" w:rsidR="004023E5" w:rsidRDefault="004023E5" w:rsidP="001A5D4A">
            <w:pPr>
              <w:pStyle w:val="NotesTable-Notes"/>
              <w:rPr>
                <w:shd w:val="clear" w:color="auto" w:fill="00FFFF"/>
              </w:rPr>
            </w:pPr>
          </w:p>
        </w:tc>
        <w:tc>
          <w:tcPr>
            <w:tcW w:w="406" w:type="pct"/>
            <w:shd w:val="clear" w:color="auto" w:fill="CCCCCC"/>
          </w:tcPr>
          <w:p w14:paraId="038A1082" w14:textId="77777777" w:rsidR="004023E5" w:rsidRDefault="004023E5" w:rsidP="001A5D4A">
            <w:pPr>
              <w:pStyle w:val="NotesTable-CellBold"/>
            </w:pPr>
            <w:r>
              <w:t>–</w:t>
            </w:r>
          </w:p>
        </w:tc>
        <w:tc>
          <w:tcPr>
            <w:tcW w:w="406" w:type="pct"/>
            <w:shd w:val="clear" w:color="auto" w:fill="CCCCCC"/>
          </w:tcPr>
          <w:p w14:paraId="038A1083" w14:textId="77777777" w:rsidR="004023E5" w:rsidRPr="00301DCB" w:rsidRDefault="004023E5" w:rsidP="001A5D4A">
            <w:pPr>
              <w:pStyle w:val="NotesTable-CellPlain"/>
            </w:pPr>
            <w:r w:rsidRPr="00301DCB">
              <w:t>–</w:t>
            </w:r>
          </w:p>
        </w:tc>
        <w:tc>
          <w:tcPr>
            <w:tcW w:w="406" w:type="pct"/>
            <w:shd w:val="clear" w:color="auto" w:fill="CCCCCC"/>
          </w:tcPr>
          <w:p w14:paraId="038A1084" w14:textId="77777777" w:rsidR="004023E5" w:rsidRDefault="004023E5" w:rsidP="001A5D4A">
            <w:pPr>
              <w:pStyle w:val="NotesTable-CellBold"/>
            </w:pPr>
            <w:r>
              <w:t>–</w:t>
            </w:r>
          </w:p>
        </w:tc>
        <w:tc>
          <w:tcPr>
            <w:tcW w:w="405" w:type="pct"/>
            <w:shd w:val="clear" w:color="auto" w:fill="CCCCCC"/>
          </w:tcPr>
          <w:p w14:paraId="038A1085" w14:textId="77777777" w:rsidR="004023E5" w:rsidRPr="00301DCB" w:rsidRDefault="004023E5" w:rsidP="001A5D4A">
            <w:pPr>
              <w:pStyle w:val="NotesTable-CellPlain"/>
            </w:pPr>
            <w:r w:rsidRPr="00301DCB">
              <w:t>–</w:t>
            </w:r>
          </w:p>
        </w:tc>
      </w:tr>
      <w:tr w:rsidR="00E8414C" w14:paraId="0BA46BC1" w14:textId="77777777" w:rsidTr="00E52AAD">
        <w:trPr>
          <w:cantSplit/>
          <w:trHeight w:val="227"/>
        </w:trPr>
        <w:tc>
          <w:tcPr>
            <w:tcW w:w="550" w:type="pct"/>
          </w:tcPr>
          <w:p w14:paraId="099041FF" w14:textId="77777777" w:rsidR="00E8414C" w:rsidRDefault="00E8414C" w:rsidP="001A5D4A">
            <w:pPr>
              <w:pStyle w:val="Note-Refs"/>
            </w:pPr>
          </w:p>
        </w:tc>
        <w:tc>
          <w:tcPr>
            <w:tcW w:w="2557" w:type="pct"/>
            <w:shd w:val="clear" w:color="auto" w:fill="CCCCCC"/>
            <w:vAlign w:val="bottom"/>
          </w:tcPr>
          <w:p w14:paraId="7E409771" w14:textId="3E995847" w:rsidR="00E8414C" w:rsidRDefault="00E8414C" w:rsidP="001A5D4A">
            <w:pPr>
              <w:pStyle w:val="NotesTable-ItemPlain"/>
            </w:pPr>
            <w:r w:rsidRPr="00E8414C">
              <w:t>Australian Maths &amp; Science Partnership Program</w:t>
            </w:r>
          </w:p>
        </w:tc>
        <w:tc>
          <w:tcPr>
            <w:tcW w:w="270" w:type="pct"/>
            <w:shd w:val="clear" w:color="auto" w:fill="CCCCCC"/>
          </w:tcPr>
          <w:p w14:paraId="0EFED904" w14:textId="77777777" w:rsidR="00E8414C" w:rsidRDefault="00E8414C" w:rsidP="001A5D4A">
            <w:pPr>
              <w:pStyle w:val="NotesTable-Notes"/>
              <w:rPr>
                <w:shd w:val="clear" w:color="auto" w:fill="00FFFF"/>
              </w:rPr>
            </w:pPr>
          </w:p>
        </w:tc>
        <w:tc>
          <w:tcPr>
            <w:tcW w:w="406" w:type="pct"/>
            <w:shd w:val="clear" w:color="auto" w:fill="CCCCCC"/>
          </w:tcPr>
          <w:p w14:paraId="61D837CE" w14:textId="43456227" w:rsidR="00E8414C" w:rsidRDefault="00E8414C" w:rsidP="001A5D4A">
            <w:pPr>
              <w:pStyle w:val="NotesTable-CellBold"/>
            </w:pPr>
            <w:r>
              <w:t>–</w:t>
            </w:r>
          </w:p>
        </w:tc>
        <w:tc>
          <w:tcPr>
            <w:tcW w:w="406" w:type="pct"/>
            <w:shd w:val="clear" w:color="auto" w:fill="CCCCCC"/>
          </w:tcPr>
          <w:p w14:paraId="3EE1D35F" w14:textId="57D34291" w:rsidR="00E8414C" w:rsidRPr="00301DCB" w:rsidRDefault="00E8414C" w:rsidP="001A5D4A">
            <w:pPr>
              <w:pStyle w:val="NotesTable-CellPlain"/>
            </w:pPr>
            <w:r w:rsidRPr="00301DCB">
              <w:t>–</w:t>
            </w:r>
          </w:p>
        </w:tc>
        <w:tc>
          <w:tcPr>
            <w:tcW w:w="406" w:type="pct"/>
            <w:shd w:val="clear" w:color="auto" w:fill="CCCCCC"/>
          </w:tcPr>
          <w:p w14:paraId="7876AED0" w14:textId="5EAD8AB1" w:rsidR="00E8414C" w:rsidRDefault="00E8414C" w:rsidP="001A5D4A">
            <w:pPr>
              <w:pStyle w:val="NotesTable-CellBold"/>
            </w:pPr>
            <w:r>
              <w:t>–</w:t>
            </w:r>
          </w:p>
        </w:tc>
        <w:tc>
          <w:tcPr>
            <w:tcW w:w="405" w:type="pct"/>
            <w:shd w:val="clear" w:color="auto" w:fill="CCCCCC"/>
          </w:tcPr>
          <w:p w14:paraId="7C1D5074" w14:textId="42AE9639" w:rsidR="00E8414C" w:rsidRPr="00301DCB" w:rsidRDefault="00E8414C" w:rsidP="001A5D4A">
            <w:pPr>
              <w:pStyle w:val="NotesTable-CellPlain"/>
            </w:pPr>
            <w:r w:rsidRPr="00301DCB">
              <w:t>–</w:t>
            </w:r>
          </w:p>
        </w:tc>
      </w:tr>
      <w:tr w:rsidR="00E8414C" w14:paraId="1CE9452B" w14:textId="77777777" w:rsidTr="00E52AAD">
        <w:trPr>
          <w:cantSplit/>
          <w:trHeight w:val="227"/>
        </w:trPr>
        <w:tc>
          <w:tcPr>
            <w:tcW w:w="550" w:type="pct"/>
          </w:tcPr>
          <w:p w14:paraId="595E05E3" w14:textId="77777777" w:rsidR="00E8414C" w:rsidRDefault="00E8414C" w:rsidP="001A5D4A">
            <w:pPr>
              <w:pStyle w:val="Note-Refs"/>
            </w:pPr>
          </w:p>
        </w:tc>
        <w:tc>
          <w:tcPr>
            <w:tcW w:w="2557" w:type="pct"/>
            <w:shd w:val="clear" w:color="auto" w:fill="CCCCCC"/>
            <w:vAlign w:val="bottom"/>
          </w:tcPr>
          <w:p w14:paraId="0714AE7C" w14:textId="3DD901FB" w:rsidR="00E8414C" w:rsidRDefault="00E8414C" w:rsidP="001A5D4A">
            <w:pPr>
              <w:pStyle w:val="NotesTable-ItemPlain"/>
            </w:pPr>
            <w:r w:rsidRPr="00E8414C">
              <w:t>Improving the Quality of Maths &amp; Science Teaching Programs</w:t>
            </w:r>
          </w:p>
        </w:tc>
        <w:tc>
          <w:tcPr>
            <w:tcW w:w="270" w:type="pct"/>
            <w:shd w:val="clear" w:color="auto" w:fill="CCCCCC"/>
          </w:tcPr>
          <w:p w14:paraId="3F76766E" w14:textId="77777777" w:rsidR="00E8414C" w:rsidRDefault="00E8414C" w:rsidP="001A5D4A">
            <w:pPr>
              <w:pStyle w:val="NotesTable-Notes"/>
              <w:rPr>
                <w:shd w:val="clear" w:color="auto" w:fill="00FFFF"/>
              </w:rPr>
            </w:pPr>
          </w:p>
        </w:tc>
        <w:tc>
          <w:tcPr>
            <w:tcW w:w="406" w:type="pct"/>
            <w:shd w:val="clear" w:color="auto" w:fill="CCCCCC"/>
          </w:tcPr>
          <w:p w14:paraId="3EAA3A52" w14:textId="3EC5CE17" w:rsidR="00E8414C" w:rsidRDefault="00E8414C" w:rsidP="001A5D4A">
            <w:pPr>
              <w:pStyle w:val="NotesTable-CellBold"/>
            </w:pPr>
            <w:r>
              <w:t>–</w:t>
            </w:r>
          </w:p>
        </w:tc>
        <w:tc>
          <w:tcPr>
            <w:tcW w:w="406" w:type="pct"/>
            <w:shd w:val="clear" w:color="auto" w:fill="CCCCCC"/>
          </w:tcPr>
          <w:p w14:paraId="238C25E5" w14:textId="458029D6" w:rsidR="00E8414C" w:rsidRPr="00301DCB" w:rsidRDefault="00E8414C" w:rsidP="001A5D4A">
            <w:pPr>
              <w:pStyle w:val="NotesTable-CellPlain"/>
            </w:pPr>
            <w:r w:rsidRPr="00301DCB">
              <w:t>–</w:t>
            </w:r>
          </w:p>
        </w:tc>
        <w:tc>
          <w:tcPr>
            <w:tcW w:w="406" w:type="pct"/>
            <w:shd w:val="clear" w:color="auto" w:fill="CCCCCC"/>
          </w:tcPr>
          <w:p w14:paraId="52968E51" w14:textId="60D1DCA5" w:rsidR="00E8414C" w:rsidRDefault="00E8414C" w:rsidP="001A5D4A">
            <w:pPr>
              <w:pStyle w:val="NotesTable-CellBold"/>
            </w:pPr>
            <w:r>
              <w:t>–</w:t>
            </w:r>
          </w:p>
        </w:tc>
        <w:tc>
          <w:tcPr>
            <w:tcW w:w="405" w:type="pct"/>
            <w:shd w:val="clear" w:color="auto" w:fill="CCCCCC"/>
          </w:tcPr>
          <w:p w14:paraId="74DEA83E" w14:textId="6E0A80FA" w:rsidR="00E8414C" w:rsidRPr="00301DCB" w:rsidRDefault="00E8414C" w:rsidP="001A5D4A">
            <w:pPr>
              <w:pStyle w:val="NotesTable-CellPlain"/>
            </w:pPr>
            <w:r w:rsidRPr="00301DCB">
              <w:t>–</w:t>
            </w:r>
          </w:p>
        </w:tc>
      </w:tr>
      <w:tr w:rsidR="004023E5" w14:paraId="038A108E" w14:textId="77777777" w:rsidTr="00E52AAD">
        <w:trPr>
          <w:cantSplit/>
          <w:trHeight w:val="227"/>
        </w:trPr>
        <w:tc>
          <w:tcPr>
            <w:tcW w:w="550" w:type="pct"/>
          </w:tcPr>
          <w:p w14:paraId="038A1087" w14:textId="77777777" w:rsidR="004023E5" w:rsidRDefault="004023E5" w:rsidP="001A5D4A">
            <w:pPr>
              <w:pStyle w:val="Note-Refs"/>
            </w:pPr>
          </w:p>
        </w:tc>
        <w:tc>
          <w:tcPr>
            <w:tcW w:w="2557" w:type="pct"/>
            <w:shd w:val="clear" w:color="auto" w:fill="CCCCCC"/>
            <w:vAlign w:val="bottom"/>
          </w:tcPr>
          <w:p w14:paraId="038A1088" w14:textId="77777777" w:rsidR="004023E5" w:rsidRDefault="004023E5" w:rsidP="001A5D4A">
            <w:pPr>
              <w:pStyle w:val="NotesTable-ItemPlain"/>
              <w:rPr>
                <w:b/>
              </w:rPr>
            </w:pPr>
            <w:r>
              <w:t>Other</w:t>
            </w:r>
          </w:p>
        </w:tc>
        <w:tc>
          <w:tcPr>
            <w:tcW w:w="270" w:type="pct"/>
            <w:shd w:val="clear" w:color="auto" w:fill="CCCCCC"/>
          </w:tcPr>
          <w:p w14:paraId="038A1089" w14:textId="77777777" w:rsidR="004023E5" w:rsidRDefault="004023E5" w:rsidP="001A5D4A">
            <w:pPr>
              <w:pStyle w:val="NotesTable-Notes"/>
              <w:rPr>
                <w:shd w:val="clear" w:color="auto" w:fill="00FFFF"/>
              </w:rPr>
            </w:pPr>
          </w:p>
        </w:tc>
        <w:tc>
          <w:tcPr>
            <w:tcW w:w="406" w:type="pct"/>
            <w:tcBorders>
              <w:bottom w:val="single" w:sz="4" w:space="0" w:color="000000"/>
            </w:tcBorders>
            <w:shd w:val="clear" w:color="auto" w:fill="CCCCCC"/>
          </w:tcPr>
          <w:p w14:paraId="038A108A" w14:textId="77777777" w:rsidR="004023E5" w:rsidRDefault="004023E5" w:rsidP="001A5D4A">
            <w:pPr>
              <w:pStyle w:val="NotesTable-CellBold"/>
            </w:pPr>
            <w:r>
              <w:t>–</w:t>
            </w:r>
          </w:p>
        </w:tc>
        <w:tc>
          <w:tcPr>
            <w:tcW w:w="406" w:type="pct"/>
            <w:tcBorders>
              <w:bottom w:val="single" w:sz="4" w:space="0" w:color="000000"/>
            </w:tcBorders>
            <w:shd w:val="clear" w:color="auto" w:fill="CCCCCC"/>
          </w:tcPr>
          <w:p w14:paraId="038A108B" w14:textId="77777777" w:rsidR="004023E5" w:rsidRPr="00301DCB" w:rsidRDefault="004023E5" w:rsidP="001A5D4A">
            <w:pPr>
              <w:pStyle w:val="NotesTable-CellPlain"/>
            </w:pPr>
            <w:r w:rsidRPr="00301DCB">
              <w:t>–</w:t>
            </w:r>
          </w:p>
        </w:tc>
        <w:tc>
          <w:tcPr>
            <w:tcW w:w="406" w:type="pct"/>
            <w:tcBorders>
              <w:bottom w:val="single" w:sz="4" w:space="0" w:color="000000"/>
            </w:tcBorders>
            <w:shd w:val="clear" w:color="auto" w:fill="CCCCCC"/>
          </w:tcPr>
          <w:p w14:paraId="038A108C" w14:textId="77777777" w:rsidR="004023E5" w:rsidRDefault="004023E5" w:rsidP="001A5D4A">
            <w:pPr>
              <w:pStyle w:val="NotesTable-CellBold"/>
            </w:pPr>
            <w:r>
              <w:t>–</w:t>
            </w:r>
          </w:p>
        </w:tc>
        <w:tc>
          <w:tcPr>
            <w:tcW w:w="405" w:type="pct"/>
            <w:tcBorders>
              <w:bottom w:val="single" w:sz="4" w:space="0" w:color="000000"/>
            </w:tcBorders>
            <w:shd w:val="clear" w:color="auto" w:fill="CCCCCC"/>
          </w:tcPr>
          <w:p w14:paraId="038A108D" w14:textId="77777777" w:rsidR="004023E5" w:rsidRPr="00301DCB" w:rsidRDefault="004023E5" w:rsidP="001A5D4A">
            <w:pPr>
              <w:pStyle w:val="NotesTable-CellPlain"/>
            </w:pPr>
            <w:r w:rsidRPr="00301DCB">
              <w:t>–</w:t>
            </w:r>
          </w:p>
        </w:tc>
      </w:tr>
      <w:tr w:rsidR="00301DCB" w14:paraId="038A1096" w14:textId="77777777" w:rsidTr="00E52AAD">
        <w:trPr>
          <w:cantSplit/>
          <w:trHeight w:val="227"/>
        </w:trPr>
        <w:tc>
          <w:tcPr>
            <w:tcW w:w="550" w:type="pct"/>
          </w:tcPr>
          <w:p w14:paraId="038A108F" w14:textId="77777777" w:rsidR="00301DCB" w:rsidRDefault="00301DCB" w:rsidP="001A5D4A">
            <w:pPr>
              <w:pStyle w:val="Note-Refs"/>
            </w:pPr>
          </w:p>
        </w:tc>
        <w:tc>
          <w:tcPr>
            <w:tcW w:w="2557" w:type="pct"/>
            <w:shd w:val="clear" w:color="auto" w:fill="CCCCCC"/>
            <w:vAlign w:val="bottom"/>
          </w:tcPr>
          <w:p w14:paraId="038A1090" w14:textId="77777777" w:rsidR="00301DCB" w:rsidRDefault="00301DCB" w:rsidP="001A5D4A">
            <w:pPr>
              <w:pStyle w:val="NotesTable-ItemPlain"/>
              <w:rPr>
                <w:b/>
              </w:rPr>
            </w:pPr>
            <w:r>
              <w:t>Total Commonwealth Grant Scheme and Other Grants</w:t>
            </w:r>
          </w:p>
        </w:tc>
        <w:tc>
          <w:tcPr>
            <w:tcW w:w="270" w:type="pct"/>
            <w:shd w:val="clear" w:color="auto" w:fill="CCCCCC"/>
          </w:tcPr>
          <w:p w14:paraId="038A1091" w14:textId="77777777" w:rsidR="00301DCB" w:rsidRDefault="00301DCB" w:rsidP="001A5D4A">
            <w:pPr>
              <w:pStyle w:val="NotesTable-Notes"/>
              <w:rPr>
                <w:shd w:val="clear" w:color="auto" w:fill="00FFFF"/>
              </w:rPr>
            </w:pPr>
          </w:p>
        </w:tc>
        <w:tc>
          <w:tcPr>
            <w:tcW w:w="406" w:type="pct"/>
            <w:tcBorders>
              <w:top w:val="single" w:sz="4" w:space="0" w:color="000000"/>
            </w:tcBorders>
            <w:shd w:val="clear" w:color="auto" w:fill="CCCCCC"/>
          </w:tcPr>
          <w:p w14:paraId="038A1092" w14:textId="77777777" w:rsidR="00301DCB" w:rsidRDefault="00301DCB" w:rsidP="001A5D4A">
            <w:pPr>
              <w:pStyle w:val="NotesTable-CellBold"/>
              <w:rPr>
                <w:lang w:val="en-GB"/>
              </w:rPr>
            </w:pPr>
            <w:r>
              <w:t>–</w:t>
            </w:r>
          </w:p>
        </w:tc>
        <w:tc>
          <w:tcPr>
            <w:tcW w:w="406" w:type="pct"/>
            <w:tcBorders>
              <w:top w:val="single" w:sz="4" w:space="0" w:color="000000"/>
            </w:tcBorders>
            <w:shd w:val="clear" w:color="auto" w:fill="CCCCCC"/>
          </w:tcPr>
          <w:p w14:paraId="038A1093" w14:textId="77777777" w:rsidR="00301DCB" w:rsidRPr="00301DCB" w:rsidRDefault="00301DCB" w:rsidP="001A5D4A">
            <w:pPr>
              <w:pStyle w:val="NotesTable-CellPlain"/>
              <w:rPr>
                <w:lang w:val="en-GB"/>
              </w:rPr>
            </w:pPr>
            <w:r w:rsidRPr="00301DCB">
              <w:t>–</w:t>
            </w:r>
          </w:p>
        </w:tc>
        <w:tc>
          <w:tcPr>
            <w:tcW w:w="406" w:type="pct"/>
            <w:tcBorders>
              <w:top w:val="single" w:sz="4" w:space="0" w:color="000000"/>
            </w:tcBorders>
            <w:shd w:val="clear" w:color="auto" w:fill="CCCCCC"/>
          </w:tcPr>
          <w:p w14:paraId="038A1094" w14:textId="77777777" w:rsidR="00301DCB" w:rsidRDefault="00301DCB" w:rsidP="001A5D4A">
            <w:pPr>
              <w:pStyle w:val="NotesTable-CellBold"/>
              <w:rPr>
                <w:lang w:val="en-GB"/>
              </w:rPr>
            </w:pPr>
            <w:r>
              <w:t>–</w:t>
            </w:r>
          </w:p>
        </w:tc>
        <w:tc>
          <w:tcPr>
            <w:tcW w:w="405" w:type="pct"/>
            <w:tcBorders>
              <w:top w:val="single" w:sz="4" w:space="0" w:color="000000"/>
            </w:tcBorders>
            <w:shd w:val="clear" w:color="auto" w:fill="CCCCCC"/>
          </w:tcPr>
          <w:p w14:paraId="038A1095" w14:textId="77777777" w:rsidR="00301DCB" w:rsidRPr="00301DCB" w:rsidRDefault="00301DCB" w:rsidP="001A5D4A">
            <w:pPr>
              <w:pStyle w:val="NotesTable-CellPlain"/>
              <w:rPr>
                <w:lang w:val="en-GB"/>
              </w:rPr>
            </w:pPr>
            <w:r w:rsidRPr="00301DCB">
              <w:t>–</w:t>
            </w:r>
          </w:p>
        </w:tc>
      </w:tr>
      <w:tr w:rsidR="00301DCB" w14:paraId="038A109E" w14:textId="77777777" w:rsidTr="00E52AAD">
        <w:trPr>
          <w:cantSplit/>
          <w:trHeight w:val="227"/>
        </w:trPr>
        <w:tc>
          <w:tcPr>
            <w:tcW w:w="550" w:type="pct"/>
          </w:tcPr>
          <w:p w14:paraId="038A1097" w14:textId="77777777" w:rsidR="00301DCB" w:rsidRDefault="00301DCB" w:rsidP="001A5D4A">
            <w:pPr>
              <w:pStyle w:val="Note-Refs"/>
            </w:pPr>
          </w:p>
        </w:tc>
        <w:tc>
          <w:tcPr>
            <w:tcW w:w="2557" w:type="pct"/>
            <w:shd w:val="clear" w:color="auto" w:fill="CCCCCC"/>
            <w:vAlign w:val="bottom"/>
          </w:tcPr>
          <w:p w14:paraId="038A1098" w14:textId="77777777" w:rsidR="00301DCB" w:rsidRDefault="00301DCB" w:rsidP="001A5D4A">
            <w:pPr>
              <w:pStyle w:val="NotesTable-ItemPlain"/>
            </w:pPr>
          </w:p>
        </w:tc>
        <w:tc>
          <w:tcPr>
            <w:tcW w:w="270" w:type="pct"/>
            <w:shd w:val="clear" w:color="auto" w:fill="CCCCCC"/>
          </w:tcPr>
          <w:p w14:paraId="038A1099" w14:textId="77777777" w:rsidR="00301DCB" w:rsidRPr="00C0248C" w:rsidRDefault="00301DCB" w:rsidP="001A5D4A">
            <w:pPr>
              <w:pStyle w:val="NotesTable-Notes"/>
              <w:rPr>
                <w:shd w:val="clear" w:color="auto" w:fill="00FFFF"/>
              </w:rPr>
            </w:pPr>
          </w:p>
        </w:tc>
        <w:tc>
          <w:tcPr>
            <w:tcW w:w="406" w:type="pct"/>
            <w:shd w:val="clear" w:color="auto" w:fill="CCCCCC"/>
            <w:vAlign w:val="center"/>
          </w:tcPr>
          <w:p w14:paraId="038A109A" w14:textId="77777777" w:rsidR="00301DCB" w:rsidRDefault="00301DCB" w:rsidP="001A5D4A">
            <w:pPr>
              <w:pStyle w:val="NotesTable-CellBold"/>
            </w:pPr>
          </w:p>
        </w:tc>
        <w:tc>
          <w:tcPr>
            <w:tcW w:w="406" w:type="pct"/>
            <w:shd w:val="clear" w:color="auto" w:fill="CCCCCC"/>
            <w:vAlign w:val="center"/>
          </w:tcPr>
          <w:p w14:paraId="038A109B" w14:textId="77777777" w:rsidR="00301DCB" w:rsidRPr="00301DCB" w:rsidRDefault="00301DCB" w:rsidP="001A5D4A">
            <w:pPr>
              <w:pStyle w:val="NotesTable-CellPlain"/>
            </w:pPr>
          </w:p>
        </w:tc>
        <w:tc>
          <w:tcPr>
            <w:tcW w:w="406" w:type="pct"/>
            <w:shd w:val="clear" w:color="auto" w:fill="CCCCCC"/>
            <w:vAlign w:val="center"/>
          </w:tcPr>
          <w:p w14:paraId="038A109C" w14:textId="77777777" w:rsidR="00301DCB" w:rsidRDefault="00301DCB" w:rsidP="001A5D4A">
            <w:pPr>
              <w:pStyle w:val="NotesTable-CellBold"/>
            </w:pPr>
          </w:p>
        </w:tc>
        <w:tc>
          <w:tcPr>
            <w:tcW w:w="405" w:type="pct"/>
            <w:shd w:val="clear" w:color="auto" w:fill="CCCCCC"/>
            <w:vAlign w:val="center"/>
          </w:tcPr>
          <w:p w14:paraId="038A109D" w14:textId="77777777" w:rsidR="00301DCB" w:rsidRPr="00301DCB" w:rsidRDefault="00301DCB" w:rsidP="001A5D4A">
            <w:pPr>
              <w:pStyle w:val="NotesTable-CellPlain"/>
            </w:pPr>
          </w:p>
        </w:tc>
      </w:tr>
      <w:tr w:rsidR="00301DCB" w14:paraId="038A10A6" w14:textId="77777777" w:rsidTr="00E52AAD">
        <w:trPr>
          <w:cantSplit/>
          <w:trHeight w:val="227"/>
        </w:trPr>
        <w:tc>
          <w:tcPr>
            <w:tcW w:w="550" w:type="pct"/>
          </w:tcPr>
          <w:p w14:paraId="038A109F" w14:textId="77777777" w:rsidR="00301DCB" w:rsidRDefault="00301DCB" w:rsidP="001A5D4A">
            <w:pPr>
              <w:pStyle w:val="Note-Refs"/>
            </w:pPr>
          </w:p>
        </w:tc>
        <w:tc>
          <w:tcPr>
            <w:tcW w:w="2557" w:type="pct"/>
            <w:shd w:val="clear" w:color="auto" w:fill="CCCCCC"/>
            <w:vAlign w:val="bottom"/>
          </w:tcPr>
          <w:p w14:paraId="038A10A0" w14:textId="77777777" w:rsidR="00301DCB" w:rsidRDefault="00301DCB" w:rsidP="001A5D4A">
            <w:pPr>
              <w:pStyle w:val="Statement-ItemBold"/>
            </w:pPr>
            <w:r>
              <w:t>(b) Higher Education Loan Programs</w:t>
            </w:r>
          </w:p>
        </w:tc>
        <w:tc>
          <w:tcPr>
            <w:tcW w:w="270" w:type="pct"/>
            <w:shd w:val="clear" w:color="auto" w:fill="CCCCCC"/>
          </w:tcPr>
          <w:p w14:paraId="038A10A1" w14:textId="2A35B06E" w:rsidR="00301DCB" w:rsidRDefault="00301DCB" w:rsidP="001A5D4A">
            <w:pPr>
              <w:pStyle w:val="NotesTable-Notes"/>
              <w:rPr>
                <w:b/>
              </w:rPr>
            </w:pPr>
            <w:r>
              <w:t>5</w:t>
            </w:r>
            <w:r w:rsidR="00713AFB">
              <w:t>3</w:t>
            </w:r>
            <w:r w:rsidR="006447BA">
              <w:t>b</w:t>
            </w:r>
          </w:p>
        </w:tc>
        <w:tc>
          <w:tcPr>
            <w:tcW w:w="406" w:type="pct"/>
            <w:shd w:val="clear" w:color="auto" w:fill="CCCCCC"/>
            <w:vAlign w:val="center"/>
          </w:tcPr>
          <w:p w14:paraId="038A10A2" w14:textId="77777777" w:rsidR="00301DCB" w:rsidRDefault="00301DCB" w:rsidP="001A5D4A">
            <w:pPr>
              <w:pStyle w:val="NotesTable-CellBold"/>
            </w:pPr>
          </w:p>
        </w:tc>
        <w:tc>
          <w:tcPr>
            <w:tcW w:w="406" w:type="pct"/>
            <w:shd w:val="clear" w:color="auto" w:fill="CCCCCC"/>
            <w:vAlign w:val="center"/>
          </w:tcPr>
          <w:p w14:paraId="038A10A3" w14:textId="77777777" w:rsidR="00301DCB" w:rsidRPr="00C0248C" w:rsidRDefault="00301DCB" w:rsidP="001A5D4A">
            <w:pPr>
              <w:pStyle w:val="NotesTable-CellPlain"/>
            </w:pPr>
          </w:p>
        </w:tc>
        <w:tc>
          <w:tcPr>
            <w:tcW w:w="406" w:type="pct"/>
            <w:shd w:val="clear" w:color="auto" w:fill="CCCCCC"/>
            <w:vAlign w:val="center"/>
          </w:tcPr>
          <w:p w14:paraId="038A10A4" w14:textId="77777777" w:rsidR="00301DCB" w:rsidRDefault="00301DCB" w:rsidP="001A5D4A">
            <w:pPr>
              <w:pStyle w:val="NotesTable-CellBold"/>
            </w:pPr>
          </w:p>
        </w:tc>
        <w:tc>
          <w:tcPr>
            <w:tcW w:w="405" w:type="pct"/>
            <w:shd w:val="clear" w:color="auto" w:fill="CCCCCC"/>
            <w:vAlign w:val="center"/>
          </w:tcPr>
          <w:p w14:paraId="038A10A5" w14:textId="77777777" w:rsidR="00301DCB" w:rsidRPr="00C0248C" w:rsidRDefault="00301DCB" w:rsidP="001A5D4A">
            <w:pPr>
              <w:pStyle w:val="NotesTable-CellPlain"/>
            </w:pPr>
          </w:p>
        </w:tc>
      </w:tr>
      <w:tr w:rsidR="00301DCB" w14:paraId="038A10AE" w14:textId="77777777" w:rsidTr="00E52AAD">
        <w:trPr>
          <w:cantSplit/>
          <w:trHeight w:val="227"/>
        </w:trPr>
        <w:tc>
          <w:tcPr>
            <w:tcW w:w="550" w:type="pct"/>
          </w:tcPr>
          <w:p w14:paraId="038A10A7" w14:textId="77777777" w:rsidR="00301DCB" w:rsidRDefault="00301DCB" w:rsidP="001A5D4A">
            <w:pPr>
              <w:pStyle w:val="Note-Refs"/>
            </w:pPr>
          </w:p>
        </w:tc>
        <w:tc>
          <w:tcPr>
            <w:tcW w:w="2557" w:type="pct"/>
            <w:shd w:val="clear" w:color="auto" w:fill="CCCCCC"/>
            <w:vAlign w:val="bottom"/>
          </w:tcPr>
          <w:p w14:paraId="038A10A8" w14:textId="77777777" w:rsidR="00301DCB" w:rsidRDefault="00301DCB" w:rsidP="001A5D4A">
            <w:pPr>
              <w:pStyle w:val="NotesTable-ItemPlain"/>
              <w:rPr>
                <w:b/>
              </w:rPr>
            </w:pPr>
            <w:r>
              <w:t>HECS-HELP</w:t>
            </w:r>
          </w:p>
        </w:tc>
        <w:tc>
          <w:tcPr>
            <w:tcW w:w="270" w:type="pct"/>
            <w:shd w:val="clear" w:color="auto" w:fill="CCCCCC"/>
          </w:tcPr>
          <w:p w14:paraId="038A10A9" w14:textId="77777777" w:rsidR="00301DCB" w:rsidRDefault="00301DCB" w:rsidP="001A5D4A">
            <w:pPr>
              <w:pStyle w:val="NotesTable-Notes"/>
              <w:rPr>
                <w:shd w:val="clear" w:color="auto" w:fill="00FFFF"/>
              </w:rPr>
            </w:pPr>
          </w:p>
        </w:tc>
        <w:tc>
          <w:tcPr>
            <w:tcW w:w="406" w:type="pct"/>
            <w:shd w:val="clear" w:color="auto" w:fill="CCCCCC"/>
          </w:tcPr>
          <w:p w14:paraId="038A10AA" w14:textId="77777777" w:rsidR="00301DCB" w:rsidRDefault="00301DCB" w:rsidP="001A5D4A">
            <w:pPr>
              <w:pStyle w:val="NotesTable-CellBold"/>
            </w:pPr>
            <w:r>
              <w:t>–</w:t>
            </w:r>
          </w:p>
        </w:tc>
        <w:tc>
          <w:tcPr>
            <w:tcW w:w="406" w:type="pct"/>
            <w:shd w:val="clear" w:color="auto" w:fill="CCCCCC"/>
          </w:tcPr>
          <w:p w14:paraId="038A10AB" w14:textId="77777777" w:rsidR="00301DCB" w:rsidRPr="00301DCB" w:rsidRDefault="00301DCB" w:rsidP="001A5D4A">
            <w:pPr>
              <w:pStyle w:val="NotesTable-CellPlain"/>
            </w:pPr>
            <w:r w:rsidRPr="00301DCB">
              <w:t>–</w:t>
            </w:r>
          </w:p>
        </w:tc>
        <w:tc>
          <w:tcPr>
            <w:tcW w:w="406" w:type="pct"/>
            <w:shd w:val="clear" w:color="auto" w:fill="CCCCCC"/>
          </w:tcPr>
          <w:p w14:paraId="038A10AC" w14:textId="77777777" w:rsidR="00301DCB" w:rsidRDefault="00301DCB" w:rsidP="001A5D4A">
            <w:pPr>
              <w:pStyle w:val="NotesTable-CellBold"/>
            </w:pPr>
            <w:r>
              <w:t>–</w:t>
            </w:r>
          </w:p>
        </w:tc>
        <w:tc>
          <w:tcPr>
            <w:tcW w:w="405" w:type="pct"/>
            <w:shd w:val="clear" w:color="auto" w:fill="CCCCCC"/>
          </w:tcPr>
          <w:p w14:paraId="038A10AD" w14:textId="77777777" w:rsidR="00301DCB" w:rsidRPr="00301DCB" w:rsidRDefault="00301DCB" w:rsidP="001A5D4A">
            <w:pPr>
              <w:pStyle w:val="NotesTable-CellPlain"/>
            </w:pPr>
            <w:r w:rsidRPr="00301DCB">
              <w:t>–</w:t>
            </w:r>
          </w:p>
        </w:tc>
      </w:tr>
      <w:tr w:rsidR="00301DCB" w14:paraId="038A10B6" w14:textId="77777777" w:rsidTr="00E52AAD">
        <w:trPr>
          <w:cantSplit/>
          <w:trHeight w:val="227"/>
        </w:trPr>
        <w:tc>
          <w:tcPr>
            <w:tcW w:w="550" w:type="pct"/>
          </w:tcPr>
          <w:p w14:paraId="038A10AF" w14:textId="77777777" w:rsidR="00301DCB" w:rsidRDefault="00301DCB" w:rsidP="001A5D4A">
            <w:pPr>
              <w:pStyle w:val="Note-Refs"/>
            </w:pPr>
          </w:p>
        </w:tc>
        <w:tc>
          <w:tcPr>
            <w:tcW w:w="2557" w:type="pct"/>
            <w:shd w:val="clear" w:color="auto" w:fill="CCCCCC"/>
            <w:vAlign w:val="bottom"/>
          </w:tcPr>
          <w:p w14:paraId="038A10B0" w14:textId="77777777" w:rsidR="00301DCB" w:rsidRDefault="00301DCB" w:rsidP="001A5D4A">
            <w:pPr>
              <w:pStyle w:val="NotesTable-ItemPlain"/>
              <w:rPr>
                <w:b/>
              </w:rPr>
            </w:pPr>
            <w:r>
              <w:t xml:space="preserve">FEE-HELP </w:t>
            </w:r>
            <w:r>
              <w:rPr>
                <w:vertAlign w:val="superscript"/>
              </w:rPr>
              <w:t>#4</w:t>
            </w:r>
          </w:p>
        </w:tc>
        <w:tc>
          <w:tcPr>
            <w:tcW w:w="270" w:type="pct"/>
            <w:shd w:val="clear" w:color="auto" w:fill="CCCCCC"/>
          </w:tcPr>
          <w:p w14:paraId="038A10B1" w14:textId="77777777" w:rsidR="00301DCB" w:rsidRDefault="00301DCB" w:rsidP="001A5D4A">
            <w:pPr>
              <w:pStyle w:val="NotesTable-Notes"/>
              <w:rPr>
                <w:shd w:val="clear" w:color="auto" w:fill="00FFFF"/>
              </w:rPr>
            </w:pPr>
          </w:p>
        </w:tc>
        <w:tc>
          <w:tcPr>
            <w:tcW w:w="406" w:type="pct"/>
            <w:shd w:val="clear" w:color="auto" w:fill="CCCCCC"/>
          </w:tcPr>
          <w:p w14:paraId="038A10B2" w14:textId="77777777" w:rsidR="00301DCB" w:rsidRDefault="00301DCB" w:rsidP="001A5D4A">
            <w:pPr>
              <w:pStyle w:val="NotesTable-CellBold"/>
            </w:pPr>
            <w:r>
              <w:t>–</w:t>
            </w:r>
          </w:p>
        </w:tc>
        <w:tc>
          <w:tcPr>
            <w:tcW w:w="406" w:type="pct"/>
            <w:shd w:val="clear" w:color="auto" w:fill="CCCCCC"/>
          </w:tcPr>
          <w:p w14:paraId="038A10B3" w14:textId="77777777" w:rsidR="00301DCB" w:rsidRPr="00301DCB" w:rsidRDefault="00301DCB" w:rsidP="001A5D4A">
            <w:pPr>
              <w:pStyle w:val="NotesTable-CellPlain"/>
            </w:pPr>
            <w:r w:rsidRPr="00301DCB">
              <w:t>–</w:t>
            </w:r>
          </w:p>
        </w:tc>
        <w:tc>
          <w:tcPr>
            <w:tcW w:w="406" w:type="pct"/>
            <w:shd w:val="clear" w:color="auto" w:fill="CCCCCC"/>
          </w:tcPr>
          <w:p w14:paraId="038A10B4" w14:textId="77777777" w:rsidR="00301DCB" w:rsidRDefault="00301DCB" w:rsidP="001A5D4A">
            <w:pPr>
              <w:pStyle w:val="NotesTable-CellBold"/>
            </w:pPr>
            <w:r>
              <w:t>–</w:t>
            </w:r>
          </w:p>
        </w:tc>
        <w:tc>
          <w:tcPr>
            <w:tcW w:w="405" w:type="pct"/>
            <w:shd w:val="clear" w:color="auto" w:fill="CCCCCC"/>
          </w:tcPr>
          <w:p w14:paraId="038A10B5" w14:textId="77777777" w:rsidR="00301DCB" w:rsidRPr="00301DCB" w:rsidRDefault="00301DCB" w:rsidP="001A5D4A">
            <w:pPr>
              <w:pStyle w:val="NotesTable-CellPlain"/>
            </w:pPr>
            <w:r w:rsidRPr="00301DCB">
              <w:t>–</w:t>
            </w:r>
          </w:p>
        </w:tc>
      </w:tr>
      <w:tr w:rsidR="00301DCB" w14:paraId="038A10BE" w14:textId="77777777" w:rsidTr="00E52AAD">
        <w:trPr>
          <w:cantSplit/>
          <w:trHeight w:val="227"/>
        </w:trPr>
        <w:tc>
          <w:tcPr>
            <w:tcW w:w="550" w:type="pct"/>
          </w:tcPr>
          <w:p w14:paraId="038A10B7" w14:textId="77777777" w:rsidR="00301DCB" w:rsidRDefault="00301DCB" w:rsidP="001A5D4A">
            <w:pPr>
              <w:pStyle w:val="Note-Refs"/>
            </w:pPr>
          </w:p>
        </w:tc>
        <w:tc>
          <w:tcPr>
            <w:tcW w:w="2557" w:type="pct"/>
            <w:shd w:val="clear" w:color="auto" w:fill="CCCCCC"/>
            <w:vAlign w:val="bottom"/>
          </w:tcPr>
          <w:p w14:paraId="038A10B8" w14:textId="77777777" w:rsidR="00301DCB" w:rsidRDefault="00301DCB" w:rsidP="001A5D4A">
            <w:pPr>
              <w:pStyle w:val="NotesTable-ItemPlain"/>
              <w:rPr>
                <w:b/>
              </w:rPr>
            </w:pPr>
            <w:r>
              <w:t>VET FEE-HELP</w:t>
            </w:r>
          </w:p>
        </w:tc>
        <w:tc>
          <w:tcPr>
            <w:tcW w:w="270" w:type="pct"/>
            <w:shd w:val="clear" w:color="auto" w:fill="CCCCCC"/>
          </w:tcPr>
          <w:p w14:paraId="038A10B9" w14:textId="77777777" w:rsidR="00301DCB" w:rsidRDefault="00301DCB" w:rsidP="001A5D4A">
            <w:pPr>
              <w:pStyle w:val="NotesTable-Notes"/>
              <w:rPr>
                <w:shd w:val="clear" w:color="auto" w:fill="00FFFF"/>
              </w:rPr>
            </w:pPr>
          </w:p>
        </w:tc>
        <w:tc>
          <w:tcPr>
            <w:tcW w:w="406" w:type="pct"/>
            <w:shd w:val="clear" w:color="auto" w:fill="CCCCCC"/>
          </w:tcPr>
          <w:p w14:paraId="038A10BA" w14:textId="77777777" w:rsidR="00301DCB" w:rsidRDefault="00301DCB" w:rsidP="001A5D4A">
            <w:pPr>
              <w:pStyle w:val="NotesTable-CellBold"/>
            </w:pPr>
            <w:r>
              <w:t>–</w:t>
            </w:r>
          </w:p>
        </w:tc>
        <w:tc>
          <w:tcPr>
            <w:tcW w:w="406" w:type="pct"/>
            <w:shd w:val="clear" w:color="auto" w:fill="CCCCCC"/>
          </w:tcPr>
          <w:p w14:paraId="038A10BB" w14:textId="77777777" w:rsidR="00301DCB" w:rsidRPr="00301DCB" w:rsidRDefault="00301DCB" w:rsidP="001A5D4A">
            <w:pPr>
              <w:pStyle w:val="NotesTable-CellPlain"/>
            </w:pPr>
            <w:r w:rsidRPr="00301DCB">
              <w:t>–</w:t>
            </w:r>
          </w:p>
        </w:tc>
        <w:tc>
          <w:tcPr>
            <w:tcW w:w="406" w:type="pct"/>
            <w:shd w:val="clear" w:color="auto" w:fill="CCCCCC"/>
          </w:tcPr>
          <w:p w14:paraId="038A10BC" w14:textId="77777777" w:rsidR="00301DCB" w:rsidRDefault="00301DCB" w:rsidP="001A5D4A">
            <w:pPr>
              <w:pStyle w:val="NotesTable-CellBold"/>
            </w:pPr>
            <w:r>
              <w:t>–</w:t>
            </w:r>
          </w:p>
        </w:tc>
        <w:tc>
          <w:tcPr>
            <w:tcW w:w="405" w:type="pct"/>
            <w:shd w:val="clear" w:color="auto" w:fill="CCCCCC"/>
          </w:tcPr>
          <w:p w14:paraId="038A10BD" w14:textId="77777777" w:rsidR="00301DCB" w:rsidRPr="00301DCB" w:rsidRDefault="00301DCB" w:rsidP="001A5D4A">
            <w:pPr>
              <w:pStyle w:val="NotesTable-CellPlain"/>
            </w:pPr>
            <w:r w:rsidRPr="00301DCB">
              <w:t>–</w:t>
            </w:r>
          </w:p>
        </w:tc>
      </w:tr>
      <w:tr w:rsidR="00301DCB" w14:paraId="038A10C6" w14:textId="77777777" w:rsidTr="00E52AAD">
        <w:trPr>
          <w:cantSplit/>
          <w:trHeight w:val="227"/>
        </w:trPr>
        <w:tc>
          <w:tcPr>
            <w:tcW w:w="550" w:type="pct"/>
          </w:tcPr>
          <w:p w14:paraId="038A10BF" w14:textId="77777777" w:rsidR="00301DCB" w:rsidRDefault="00301DCB" w:rsidP="001A5D4A">
            <w:pPr>
              <w:pStyle w:val="Note-Refs"/>
            </w:pPr>
          </w:p>
        </w:tc>
        <w:tc>
          <w:tcPr>
            <w:tcW w:w="2557" w:type="pct"/>
            <w:shd w:val="clear" w:color="auto" w:fill="CCCCCC"/>
            <w:vAlign w:val="bottom"/>
          </w:tcPr>
          <w:p w14:paraId="038A10C0" w14:textId="77777777" w:rsidR="00301DCB" w:rsidRDefault="00301DCB" w:rsidP="001A5D4A">
            <w:pPr>
              <w:pStyle w:val="NotesTable-ItemPlain"/>
              <w:rPr>
                <w:b/>
              </w:rPr>
            </w:pPr>
            <w:r>
              <w:t>SA-HELP</w:t>
            </w:r>
          </w:p>
        </w:tc>
        <w:tc>
          <w:tcPr>
            <w:tcW w:w="270" w:type="pct"/>
            <w:shd w:val="clear" w:color="auto" w:fill="CCCCCC"/>
          </w:tcPr>
          <w:p w14:paraId="038A10C1" w14:textId="77777777" w:rsidR="00301DCB" w:rsidRDefault="00301DCB" w:rsidP="001A5D4A">
            <w:pPr>
              <w:pStyle w:val="NotesTable-Notes"/>
              <w:rPr>
                <w:shd w:val="clear" w:color="auto" w:fill="00FFFF"/>
              </w:rPr>
            </w:pPr>
          </w:p>
        </w:tc>
        <w:tc>
          <w:tcPr>
            <w:tcW w:w="406" w:type="pct"/>
            <w:tcBorders>
              <w:bottom w:val="single" w:sz="4" w:space="0" w:color="000000"/>
            </w:tcBorders>
            <w:shd w:val="clear" w:color="auto" w:fill="CCCCCC"/>
          </w:tcPr>
          <w:p w14:paraId="038A10C2" w14:textId="77777777" w:rsidR="00301DCB" w:rsidRDefault="00301DCB" w:rsidP="001A5D4A">
            <w:pPr>
              <w:pStyle w:val="NotesTable-CellBold"/>
            </w:pPr>
            <w:r>
              <w:t>–</w:t>
            </w:r>
          </w:p>
        </w:tc>
        <w:tc>
          <w:tcPr>
            <w:tcW w:w="406" w:type="pct"/>
            <w:tcBorders>
              <w:bottom w:val="single" w:sz="4" w:space="0" w:color="000000"/>
            </w:tcBorders>
            <w:shd w:val="clear" w:color="auto" w:fill="CCCCCC"/>
          </w:tcPr>
          <w:p w14:paraId="038A10C3" w14:textId="77777777" w:rsidR="00301DCB" w:rsidRPr="00301DCB" w:rsidRDefault="00301DCB" w:rsidP="001A5D4A">
            <w:pPr>
              <w:pStyle w:val="NotesTable-CellPlain"/>
            </w:pPr>
            <w:r w:rsidRPr="00301DCB">
              <w:t>–</w:t>
            </w:r>
          </w:p>
        </w:tc>
        <w:tc>
          <w:tcPr>
            <w:tcW w:w="406" w:type="pct"/>
            <w:tcBorders>
              <w:bottom w:val="single" w:sz="4" w:space="0" w:color="000000"/>
            </w:tcBorders>
            <w:shd w:val="clear" w:color="auto" w:fill="CCCCCC"/>
          </w:tcPr>
          <w:p w14:paraId="038A10C4" w14:textId="77777777" w:rsidR="00301DCB" w:rsidRDefault="00301DCB" w:rsidP="001A5D4A">
            <w:pPr>
              <w:pStyle w:val="NotesTable-CellBold"/>
            </w:pPr>
            <w:r>
              <w:t>–</w:t>
            </w:r>
          </w:p>
        </w:tc>
        <w:tc>
          <w:tcPr>
            <w:tcW w:w="405" w:type="pct"/>
            <w:tcBorders>
              <w:bottom w:val="single" w:sz="4" w:space="0" w:color="000000"/>
            </w:tcBorders>
            <w:shd w:val="clear" w:color="auto" w:fill="CCCCCC"/>
          </w:tcPr>
          <w:p w14:paraId="038A10C5" w14:textId="77777777" w:rsidR="00301DCB" w:rsidRPr="00301DCB" w:rsidRDefault="00301DCB" w:rsidP="001A5D4A">
            <w:pPr>
              <w:pStyle w:val="NotesTable-CellPlain"/>
            </w:pPr>
            <w:r w:rsidRPr="00301DCB">
              <w:t>–</w:t>
            </w:r>
          </w:p>
        </w:tc>
      </w:tr>
      <w:tr w:rsidR="00301DCB" w14:paraId="038A10CE" w14:textId="77777777" w:rsidTr="00E52AAD">
        <w:trPr>
          <w:cantSplit/>
          <w:trHeight w:val="227"/>
        </w:trPr>
        <w:tc>
          <w:tcPr>
            <w:tcW w:w="550" w:type="pct"/>
          </w:tcPr>
          <w:p w14:paraId="038A10C7" w14:textId="77777777" w:rsidR="00301DCB" w:rsidRDefault="00301DCB" w:rsidP="001A5D4A">
            <w:pPr>
              <w:pStyle w:val="Note-Refs"/>
            </w:pPr>
          </w:p>
        </w:tc>
        <w:tc>
          <w:tcPr>
            <w:tcW w:w="2557" w:type="pct"/>
            <w:shd w:val="clear" w:color="auto" w:fill="CCCCCC"/>
            <w:vAlign w:val="bottom"/>
          </w:tcPr>
          <w:p w14:paraId="038A10C8" w14:textId="77777777" w:rsidR="00301DCB" w:rsidRDefault="00301DCB" w:rsidP="001A5D4A">
            <w:pPr>
              <w:pStyle w:val="NotesTable-ItemPlain"/>
              <w:rPr>
                <w:b/>
              </w:rPr>
            </w:pPr>
            <w:r>
              <w:t>Total Higher Education Loan Programs</w:t>
            </w:r>
          </w:p>
        </w:tc>
        <w:tc>
          <w:tcPr>
            <w:tcW w:w="270" w:type="pct"/>
            <w:shd w:val="clear" w:color="auto" w:fill="CCCCCC"/>
          </w:tcPr>
          <w:p w14:paraId="038A10C9" w14:textId="77777777" w:rsidR="00301DCB" w:rsidRDefault="00301DCB" w:rsidP="001A5D4A">
            <w:pPr>
              <w:pStyle w:val="NotesTable-Notes"/>
              <w:rPr>
                <w:shd w:val="clear" w:color="auto" w:fill="00FFFF"/>
              </w:rPr>
            </w:pPr>
          </w:p>
        </w:tc>
        <w:tc>
          <w:tcPr>
            <w:tcW w:w="406" w:type="pct"/>
            <w:tcBorders>
              <w:top w:val="single" w:sz="4" w:space="0" w:color="000000"/>
            </w:tcBorders>
            <w:shd w:val="clear" w:color="auto" w:fill="CCCCCC"/>
            <w:vAlign w:val="bottom"/>
          </w:tcPr>
          <w:p w14:paraId="038A10CA" w14:textId="77777777" w:rsidR="00301DCB" w:rsidRDefault="00301DCB" w:rsidP="001A5D4A">
            <w:pPr>
              <w:pStyle w:val="NotesTable-CellBold"/>
            </w:pPr>
            <w:r>
              <w:t>–</w:t>
            </w:r>
          </w:p>
        </w:tc>
        <w:tc>
          <w:tcPr>
            <w:tcW w:w="406" w:type="pct"/>
            <w:tcBorders>
              <w:top w:val="single" w:sz="4" w:space="0" w:color="000000"/>
            </w:tcBorders>
            <w:shd w:val="clear" w:color="auto" w:fill="CCCCCC"/>
            <w:vAlign w:val="bottom"/>
          </w:tcPr>
          <w:p w14:paraId="038A10CB" w14:textId="77777777" w:rsidR="00301DCB" w:rsidRPr="00301DCB" w:rsidRDefault="00301DCB" w:rsidP="001A5D4A">
            <w:pPr>
              <w:pStyle w:val="NotesTable-CellPlain"/>
            </w:pPr>
            <w:r w:rsidRPr="00301DCB">
              <w:t>–</w:t>
            </w:r>
          </w:p>
        </w:tc>
        <w:tc>
          <w:tcPr>
            <w:tcW w:w="406" w:type="pct"/>
            <w:tcBorders>
              <w:top w:val="single" w:sz="4" w:space="0" w:color="000000"/>
            </w:tcBorders>
            <w:shd w:val="clear" w:color="auto" w:fill="CCCCCC"/>
            <w:vAlign w:val="bottom"/>
          </w:tcPr>
          <w:p w14:paraId="038A10CC" w14:textId="77777777" w:rsidR="00301DCB" w:rsidRDefault="00301DCB" w:rsidP="001A5D4A">
            <w:pPr>
              <w:pStyle w:val="NotesTable-CellBold"/>
            </w:pPr>
            <w:r>
              <w:t>–</w:t>
            </w:r>
          </w:p>
        </w:tc>
        <w:tc>
          <w:tcPr>
            <w:tcW w:w="405" w:type="pct"/>
            <w:tcBorders>
              <w:top w:val="single" w:sz="4" w:space="0" w:color="000000"/>
            </w:tcBorders>
            <w:shd w:val="clear" w:color="auto" w:fill="CCCCCC"/>
            <w:vAlign w:val="bottom"/>
          </w:tcPr>
          <w:p w14:paraId="038A10CD" w14:textId="77777777" w:rsidR="00301DCB" w:rsidRPr="00301DCB" w:rsidRDefault="00301DCB" w:rsidP="001A5D4A">
            <w:pPr>
              <w:pStyle w:val="NotesTable-CellPlain"/>
            </w:pPr>
            <w:r w:rsidRPr="00301DCB">
              <w:t>–</w:t>
            </w:r>
          </w:p>
        </w:tc>
      </w:tr>
      <w:tr w:rsidR="00301DCB" w14:paraId="038A10D6" w14:textId="77777777" w:rsidTr="00E52AAD">
        <w:trPr>
          <w:cantSplit/>
          <w:trHeight w:val="227"/>
        </w:trPr>
        <w:tc>
          <w:tcPr>
            <w:tcW w:w="550" w:type="pct"/>
          </w:tcPr>
          <w:p w14:paraId="038A10CF" w14:textId="77777777" w:rsidR="00301DCB" w:rsidRDefault="00301DCB" w:rsidP="001A5D4A">
            <w:pPr>
              <w:pStyle w:val="Note-Refs"/>
            </w:pPr>
          </w:p>
        </w:tc>
        <w:tc>
          <w:tcPr>
            <w:tcW w:w="2557" w:type="pct"/>
            <w:shd w:val="clear" w:color="auto" w:fill="CCCCCC"/>
            <w:vAlign w:val="bottom"/>
          </w:tcPr>
          <w:p w14:paraId="038A10D0" w14:textId="77777777" w:rsidR="00301DCB" w:rsidRDefault="00301DCB" w:rsidP="001A5D4A">
            <w:pPr>
              <w:pStyle w:val="NotesTable-ItemPlain"/>
            </w:pPr>
          </w:p>
        </w:tc>
        <w:tc>
          <w:tcPr>
            <w:tcW w:w="270" w:type="pct"/>
            <w:shd w:val="clear" w:color="auto" w:fill="CCCCCC"/>
          </w:tcPr>
          <w:p w14:paraId="038A10D1" w14:textId="77777777" w:rsidR="00301DCB" w:rsidRDefault="00301DCB" w:rsidP="001A5D4A">
            <w:pPr>
              <w:pStyle w:val="NotesTable-Notes"/>
              <w:rPr>
                <w:shd w:val="clear" w:color="auto" w:fill="00FFFF"/>
              </w:rPr>
            </w:pPr>
          </w:p>
        </w:tc>
        <w:tc>
          <w:tcPr>
            <w:tcW w:w="406" w:type="pct"/>
            <w:shd w:val="clear" w:color="auto" w:fill="CCCCCC"/>
            <w:vAlign w:val="center"/>
          </w:tcPr>
          <w:p w14:paraId="038A10D2" w14:textId="77777777" w:rsidR="00301DCB" w:rsidRDefault="00301DCB" w:rsidP="001A5D4A">
            <w:pPr>
              <w:pStyle w:val="NotesTable-CellBold"/>
            </w:pPr>
          </w:p>
        </w:tc>
        <w:tc>
          <w:tcPr>
            <w:tcW w:w="406" w:type="pct"/>
            <w:shd w:val="clear" w:color="auto" w:fill="CCCCCC"/>
            <w:vAlign w:val="center"/>
          </w:tcPr>
          <w:p w14:paraId="038A10D3" w14:textId="77777777" w:rsidR="00301DCB" w:rsidRPr="00301DCB" w:rsidRDefault="00301DCB" w:rsidP="001A5D4A">
            <w:pPr>
              <w:pStyle w:val="NotesTable-CellPlain"/>
            </w:pPr>
          </w:p>
        </w:tc>
        <w:tc>
          <w:tcPr>
            <w:tcW w:w="406" w:type="pct"/>
            <w:shd w:val="clear" w:color="auto" w:fill="CCCCCC"/>
            <w:vAlign w:val="center"/>
          </w:tcPr>
          <w:p w14:paraId="038A10D4" w14:textId="77777777" w:rsidR="00301DCB" w:rsidRDefault="00301DCB" w:rsidP="001A5D4A">
            <w:pPr>
              <w:pStyle w:val="NotesTable-CellBold"/>
            </w:pPr>
          </w:p>
        </w:tc>
        <w:tc>
          <w:tcPr>
            <w:tcW w:w="405" w:type="pct"/>
            <w:shd w:val="clear" w:color="auto" w:fill="CCCCCC"/>
            <w:vAlign w:val="center"/>
          </w:tcPr>
          <w:p w14:paraId="038A10D5" w14:textId="77777777" w:rsidR="00301DCB" w:rsidRPr="00301DCB" w:rsidRDefault="00301DCB" w:rsidP="001A5D4A">
            <w:pPr>
              <w:pStyle w:val="NotesTable-CellPlain"/>
            </w:pPr>
          </w:p>
        </w:tc>
      </w:tr>
      <w:tr w:rsidR="00301DCB" w14:paraId="038A10DE" w14:textId="77777777" w:rsidTr="00E52AAD">
        <w:trPr>
          <w:cantSplit/>
          <w:trHeight w:val="227"/>
        </w:trPr>
        <w:tc>
          <w:tcPr>
            <w:tcW w:w="550" w:type="pct"/>
          </w:tcPr>
          <w:p w14:paraId="038A10D7" w14:textId="77777777" w:rsidR="00301DCB" w:rsidRDefault="00301DCB" w:rsidP="001A5D4A">
            <w:pPr>
              <w:pStyle w:val="Note-Refs"/>
            </w:pPr>
          </w:p>
        </w:tc>
        <w:tc>
          <w:tcPr>
            <w:tcW w:w="2557" w:type="pct"/>
            <w:shd w:val="clear" w:color="auto" w:fill="CCCCCC"/>
            <w:vAlign w:val="bottom"/>
          </w:tcPr>
          <w:p w14:paraId="038A10D8" w14:textId="77777777" w:rsidR="00301DCB" w:rsidRDefault="00301DCB" w:rsidP="001A5D4A">
            <w:pPr>
              <w:pStyle w:val="Statement-ItemBold"/>
            </w:pPr>
            <w:r>
              <w:t>(c) Scholarships</w:t>
            </w:r>
          </w:p>
        </w:tc>
        <w:tc>
          <w:tcPr>
            <w:tcW w:w="270" w:type="pct"/>
            <w:shd w:val="clear" w:color="auto" w:fill="CCCCCC"/>
          </w:tcPr>
          <w:p w14:paraId="038A10D9" w14:textId="68BE2581" w:rsidR="00301DCB" w:rsidRDefault="00301DCB" w:rsidP="001A5D4A">
            <w:pPr>
              <w:pStyle w:val="NotesTable-Notes"/>
              <w:rPr>
                <w:b/>
              </w:rPr>
            </w:pPr>
            <w:r>
              <w:t>5</w:t>
            </w:r>
            <w:r w:rsidR="00713AFB">
              <w:t>3</w:t>
            </w:r>
            <w:r w:rsidR="006447BA">
              <w:t>c</w:t>
            </w:r>
          </w:p>
        </w:tc>
        <w:tc>
          <w:tcPr>
            <w:tcW w:w="406" w:type="pct"/>
            <w:shd w:val="clear" w:color="auto" w:fill="CCCCCC"/>
            <w:vAlign w:val="center"/>
          </w:tcPr>
          <w:p w14:paraId="038A10DA" w14:textId="77777777" w:rsidR="00301DCB" w:rsidRDefault="00301DCB" w:rsidP="001A5D4A">
            <w:pPr>
              <w:pStyle w:val="NotesTable-CellBold"/>
            </w:pPr>
          </w:p>
        </w:tc>
        <w:tc>
          <w:tcPr>
            <w:tcW w:w="406" w:type="pct"/>
            <w:shd w:val="clear" w:color="auto" w:fill="CCCCCC"/>
            <w:vAlign w:val="center"/>
          </w:tcPr>
          <w:p w14:paraId="038A10DB" w14:textId="77777777" w:rsidR="00301DCB" w:rsidRPr="00C0248C" w:rsidRDefault="00301DCB" w:rsidP="001A5D4A">
            <w:pPr>
              <w:pStyle w:val="NotesTable-CellPlain"/>
            </w:pPr>
          </w:p>
        </w:tc>
        <w:tc>
          <w:tcPr>
            <w:tcW w:w="406" w:type="pct"/>
            <w:shd w:val="clear" w:color="auto" w:fill="CCCCCC"/>
            <w:vAlign w:val="center"/>
          </w:tcPr>
          <w:p w14:paraId="038A10DC" w14:textId="77777777" w:rsidR="00301DCB" w:rsidRDefault="00301DCB" w:rsidP="001A5D4A">
            <w:pPr>
              <w:pStyle w:val="NotesTable-CellBold"/>
            </w:pPr>
          </w:p>
        </w:tc>
        <w:tc>
          <w:tcPr>
            <w:tcW w:w="405" w:type="pct"/>
            <w:shd w:val="clear" w:color="auto" w:fill="CCCCCC"/>
            <w:vAlign w:val="center"/>
          </w:tcPr>
          <w:p w14:paraId="038A10DD" w14:textId="77777777" w:rsidR="00301DCB" w:rsidRPr="00C0248C" w:rsidRDefault="00301DCB" w:rsidP="001A5D4A">
            <w:pPr>
              <w:pStyle w:val="NotesTable-CellPlain"/>
            </w:pPr>
          </w:p>
        </w:tc>
      </w:tr>
      <w:tr w:rsidR="00301DCB" w14:paraId="038A10E6" w14:textId="77777777" w:rsidTr="00E52AAD">
        <w:trPr>
          <w:cantSplit/>
          <w:trHeight w:val="227"/>
        </w:trPr>
        <w:tc>
          <w:tcPr>
            <w:tcW w:w="550" w:type="pct"/>
          </w:tcPr>
          <w:p w14:paraId="038A10DF" w14:textId="77777777" w:rsidR="00301DCB" w:rsidRDefault="00301DCB" w:rsidP="001A5D4A">
            <w:pPr>
              <w:pStyle w:val="Note-Refs"/>
            </w:pPr>
          </w:p>
        </w:tc>
        <w:tc>
          <w:tcPr>
            <w:tcW w:w="2557" w:type="pct"/>
            <w:shd w:val="clear" w:color="auto" w:fill="CCCCCC"/>
            <w:vAlign w:val="bottom"/>
          </w:tcPr>
          <w:p w14:paraId="038A10E0" w14:textId="77777777" w:rsidR="00301DCB" w:rsidRDefault="00301DCB" w:rsidP="001A5D4A">
            <w:pPr>
              <w:pStyle w:val="NotesTable-ItemPlain"/>
              <w:rPr>
                <w:b/>
              </w:rPr>
            </w:pPr>
            <w:r>
              <w:t>Australian Postgraduate Awards</w:t>
            </w:r>
          </w:p>
        </w:tc>
        <w:tc>
          <w:tcPr>
            <w:tcW w:w="270" w:type="pct"/>
            <w:shd w:val="clear" w:color="auto" w:fill="CCCCCC"/>
          </w:tcPr>
          <w:p w14:paraId="038A10E1" w14:textId="77777777" w:rsidR="00301DCB" w:rsidRDefault="00301DCB" w:rsidP="001A5D4A">
            <w:pPr>
              <w:pStyle w:val="NotesTable-Notes"/>
              <w:rPr>
                <w:shd w:val="clear" w:color="auto" w:fill="00FFFF"/>
              </w:rPr>
            </w:pPr>
          </w:p>
        </w:tc>
        <w:tc>
          <w:tcPr>
            <w:tcW w:w="406" w:type="pct"/>
            <w:shd w:val="clear" w:color="auto" w:fill="CCCCCC"/>
          </w:tcPr>
          <w:p w14:paraId="038A10E2" w14:textId="77777777" w:rsidR="00301DCB" w:rsidRDefault="00301DCB" w:rsidP="001A5D4A">
            <w:pPr>
              <w:pStyle w:val="NotesTable-CellBold"/>
            </w:pPr>
            <w:r>
              <w:t>–</w:t>
            </w:r>
          </w:p>
        </w:tc>
        <w:tc>
          <w:tcPr>
            <w:tcW w:w="406" w:type="pct"/>
            <w:shd w:val="clear" w:color="auto" w:fill="CCCCCC"/>
          </w:tcPr>
          <w:p w14:paraId="038A10E3" w14:textId="77777777" w:rsidR="00301DCB" w:rsidRPr="00301DCB" w:rsidRDefault="00301DCB" w:rsidP="001A5D4A">
            <w:pPr>
              <w:pStyle w:val="NotesTable-CellPlain"/>
            </w:pPr>
            <w:r w:rsidRPr="00301DCB">
              <w:t>–</w:t>
            </w:r>
          </w:p>
        </w:tc>
        <w:tc>
          <w:tcPr>
            <w:tcW w:w="406" w:type="pct"/>
            <w:shd w:val="clear" w:color="auto" w:fill="CCCCCC"/>
          </w:tcPr>
          <w:p w14:paraId="038A10E4" w14:textId="77777777" w:rsidR="00301DCB" w:rsidRDefault="00301DCB" w:rsidP="001A5D4A">
            <w:pPr>
              <w:pStyle w:val="NotesTable-CellBold"/>
            </w:pPr>
            <w:r>
              <w:t>–</w:t>
            </w:r>
          </w:p>
        </w:tc>
        <w:tc>
          <w:tcPr>
            <w:tcW w:w="405" w:type="pct"/>
            <w:shd w:val="clear" w:color="auto" w:fill="CCCCCC"/>
          </w:tcPr>
          <w:p w14:paraId="038A10E5" w14:textId="77777777" w:rsidR="00301DCB" w:rsidRPr="00301DCB" w:rsidRDefault="00301DCB" w:rsidP="001A5D4A">
            <w:pPr>
              <w:pStyle w:val="NotesTable-CellPlain"/>
            </w:pPr>
            <w:r w:rsidRPr="00301DCB">
              <w:t>–</w:t>
            </w:r>
          </w:p>
        </w:tc>
      </w:tr>
      <w:tr w:rsidR="00301DCB" w14:paraId="038A10EE" w14:textId="77777777" w:rsidTr="00E52AAD">
        <w:trPr>
          <w:cantSplit/>
          <w:trHeight w:val="227"/>
        </w:trPr>
        <w:tc>
          <w:tcPr>
            <w:tcW w:w="550" w:type="pct"/>
          </w:tcPr>
          <w:p w14:paraId="038A10E7" w14:textId="77777777" w:rsidR="00301DCB" w:rsidRDefault="00301DCB" w:rsidP="001A5D4A">
            <w:pPr>
              <w:pStyle w:val="Note-Refs"/>
            </w:pPr>
          </w:p>
        </w:tc>
        <w:tc>
          <w:tcPr>
            <w:tcW w:w="2557" w:type="pct"/>
            <w:shd w:val="clear" w:color="auto" w:fill="CCCCCC"/>
            <w:vAlign w:val="bottom"/>
          </w:tcPr>
          <w:p w14:paraId="038A10E8" w14:textId="77777777" w:rsidR="00301DCB" w:rsidRDefault="00301DCB" w:rsidP="001A5D4A">
            <w:pPr>
              <w:pStyle w:val="NotesTable-ItemPlain"/>
              <w:rPr>
                <w:b/>
              </w:rPr>
            </w:pPr>
            <w:r>
              <w:t>International Postgraduate Research Scholarship</w:t>
            </w:r>
          </w:p>
        </w:tc>
        <w:tc>
          <w:tcPr>
            <w:tcW w:w="270" w:type="pct"/>
            <w:shd w:val="clear" w:color="auto" w:fill="CCCCCC"/>
          </w:tcPr>
          <w:p w14:paraId="038A10E9" w14:textId="77777777" w:rsidR="00301DCB" w:rsidRDefault="00301DCB" w:rsidP="001A5D4A">
            <w:pPr>
              <w:pStyle w:val="NotesTable-Notes"/>
              <w:rPr>
                <w:shd w:val="clear" w:color="auto" w:fill="00FFFF"/>
              </w:rPr>
            </w:pPr>
          </w:p>
        </w:tc>
        <w:tc>
          <w:tcPr>
            <w:tcW w:w="406" w:type="pct"/>
            <w:shd w:val="clear" w:color="auto" w:fill="CCCCCC"/>
          </w:tcPr>
          <w:p w14:paraId="038A10EA" w14:textId="77777777" w:rsidR="00301DCB" w:rsidRDefault="00301DCB" w:rsidP="001A5D4A">
            <w:pPr>
              <w:pStyle w:val="NotesTable-CellBold"/>
            </w:pPr>
            <w:r>
              <w:t>–</w:t>
            </w:r>
          </w:p>
        </w:tc>
        <w:tc>
          <w:tcPr>
            <w:tcW w:w="406" w:type="pct"/>
            <w:shd w:val="clear" w:color="auto" w:fill="CCCCCC"/>
          </w:tcPr>
          <w:p w14:paraId="038A10EB" w14:textId="77777777" w:rsidR="00301DCB" w:rsidRPr="00301DCB" w:rsidRDefault="00301DCB" w:rsidP="001A5D4A">
            <w:pPr>
              <w:pStyle w:val="NotesTable-CellPlain"/>
            </w:pPr>
            <w:r w:rsidRPr="00301DCB">
              <w:t>–</w:t>
            </w:r>
          </w:p>
        </w:tc>
        <w:tc>
          <w:tcPr>
            <w:tcW w:w="406" w:type="pct"/>
            <w:shd w:val="clear" w:color="auto" w:fill="CCCCCC"/>
          </w:tcPr>
          <w:p w14:paraId="038A10EC" w14:textId="77777777" w:rsidR="00301DCB" w:rsidRDefault="00301DCB" w:rsidP="001A5D4A">
            <w:pPr>
              <w:pStyle w:val="NotesTable-CellBold"/>
            </w:pPr>
            <w:r>
              <w:t>–</w:t>
            </w:r>
          </w:p>
        </w:tc>
        <w:tc>
          <w:tcPr>
            <w:tcW w:w="405" w:type="pct"/>
            <w:shd w:val="clear" w:color="auto" w:fill="CCCCCC"/>
          </w:tcPr>
          <w:p w14:paraId="038A10ED" w14:textId="77777777" w:rsidR="00301DCB" w:rsidRPr="00301DCB" w:rsidRDefault="00301DCB" w:rsidP="001A5D4A">
            <w:pPr>
              <w:pStyle w:val="NotesTable-CellPlain"/>
            </w:pPr>
            <w:r w:rsidRPr="00301DCB">
              <w:t>–</w:t>
            </w:r>
          </w:p>
        </w:tc>
      </w:tr>
      <w:tr w:rsidR="00301DCB" w14:paraId="038A10F6" w14:textId="77777777" w:rsidTr="00E52AAD">
        <w:trPr>
          <w:cantSplit/>
          <w:trHeight w:val="227"/>
        </w:trPr>
        <w:tc>
          <w:tcPr>
            <w:tcW w:w="550" w:type="pct"/>
          </w:tcPr>
          <w:p w14:paraId="038A10EF" w14:textId="77777777" w:rsidR="00301DCB" w:rsidRDefault="00301DCB" w:rsidP="001A5D4A">
            <w:pPr>
              <w:pStyle w:val="Note-Refs"/>
            </w:pPr>
          </w:p>
        </w:tc>
        <w:tc>
          <w:tcPr>
            <w:tcW w:w="2557" w:type="pct"/>
            <w:shd w:val="clear" w:color="auto" w:fill="CCCCCC"/>
            <w:vAlign w:val="bottom"/>
          </w:tcPr>
          <w:p w14:paraId="038A10F0" w14:textId="77777777" w:rsidR="00301DCB" w:rsidRDefault="00301DCB" w:rsidP="001A5D4A">
            <w:pPr>
              <w:pStyle w:val="NotesTable-ItemPlain"/>
              <w:rPr>
                <w:b/>
              </w:rPr>
            </w:pPr>
            <w:r>
              <w:t xml:space="preserve">Commonwealth Education Cost Scholarships </w:t>
            </w:r>
            <w:r>
              <w:rPr>
                <w:vertAlign w:val="superscript"/>
              </w:rPr>
              <w:t>#5</w:t>
            </w:r>
          </w:p>
        </w:tc>
        <w:tc>
          <w:tcPr>
            <w:tcW w:w="270" w:type="pct"/>
            <w:shd w:val="clear" w:color="auto" w:fill="CCCCCC"/>
          </w:tcPr>
          <w:p w14:paraId="038A10F1" w14:textId="77777777" w:rsidR="00301DCB" w:rsidRDefault="00301DCB" w:rsidP="001A5D4A">
            <w:pPr>
              <w:pStyle w:val="NotesTable-Notes"/>
              <w:rPr>
                <w:shd w:val="clear" w:color="auto" w:fill="00FFFF"/>
              </w:rPr>
            </w:pPr>
          </w:p>
        </w:tc>
        <w:tc>
          <w:tcPr>
            <w:tcW w:w="406" w:type="pct"/>
            <w:shd w:val="clear" w:color="auto" w:fill="CCCCCC"/>
          </w:tcPr>
          <w:p w14:paraId="038A10F2" w14:textId="77777777" w:rsidR="00301DCB" w:rsidRDefault="00301DCB" w:rsidP="001A5D4A">
            <w:pPr>
              <w:pStyle w:val="NotesTable-CellBold"/>
            </w:pPr>
            <w:r>
              <w:t>–</w:t>
            </w:r>
          </w:p>
        </w:tc>
        <w:tc>
          <w:tcPr>
            <w:tcW w:w="406" w:type="pct"/>
            <w:shd w:val="clear" w:color="auto" w:fill="CCCCCC"/>
          </w:tcPr>
          <w:p w14:paraId="038A10F3" w14:textId="77777777" w:rsidR="00301DCB" w:rsidRPr="00301DCB" w:rsidRDefault="00301DCB" w:rsidP="001A5D4A">
            <w:pPr>
              <w:pStyle w:val="NotesTable-CellPlain"/>
            </w:pPr>
            <w:r w:rsidRPr="00301DCB">
              <w:t>–</w:t>
            </w:r>
          </w:p>
        </w:tc>
        <w:tc>
          <w:tcPr>
            <w:tcW w:w="406" w:type="pct"/>
            <w:shd w:val="clear" w:color="auto" w:fill="CCCCCC"/>
          </w:tcPr>
          <w:p w14:paraId="038A10F4" w14:textId="77777777" w:rsidR="00301DCB" w:rsidRDefault="00301DCB" w:rsidP="001A5D4A">
            <w:pPr>
              <w:pStyle w:val="NotesTable-CellBold"/>
            </w:pPr>
            <w:r>
              <w:t>–</w:t>
            </w:r>
          </w:p>
        </w:tc>
        <w:tc>
          <w:tcPr>
            <w:tcW w:w="405" w:type="pct"/>
            <w:shd w:val="clear" w:color="auto" w:fill="CCCCCC"/>
          </w:tcPr>
          <w:p w14:paraId="038A10F5" w14:textId="77777777" w:rsidR="00301DCB" w:rsidRPr="00301DCB" w:rsidRDefault="00301DCB" w:rsidP="001A5D4A">
            <w:pPr>
              <w:pStyle w:val="NotesTable-CellPlain"/>
            </w:pPr>
            <w:r w:rsidRPr="00301DCB">
              <w:t>–</w:t>
            </w:r>
          </w:p>
        </w:tc>
      </w:tr>
      <w:tr w:rsidR="00301DCB" w14:paraId="038A10FE" w14:textId="77777777" w:rsidTr="00E52AAD">
        <w:trPr>
          <w:cantSplit/>
          <w:trHeight w:val="227"/>
        </w:trPr>
        <w:tc>
          <w:tcPr>
            <w:tcW w:w="550" w:type="pct"/>
          </w:tcPr>
          <w:p w14:paraId="038A10F7" w14:textId="77777777" w:rsidR="00301DCB" w:rsidRDefault="00301DCB" w:rsidP="001A5D4A">
            <w:pPr>
              <w:pStyle w:val="Note-Refs"/>
            </w:pPr>
          </w:p>
        </w:tc>
        <w:tc>
          <w:tcPr>
            <w:tcW w:w="2557" w:type="pct"/>
            <w:shd w:val="clear" w:color="auto" w:fill="CCCCCC"/>
            <w:vAlign w:val="bottom"/>
          </w:tcPr>
          <w:p w14:paraId="038A10F8" w14:textId="77777777" w:rsidR="00301DCB" w:rsidRDefault="00301DCB" w:rsidP="001A5D4A">
            <w:pPr>
              <w:pStyle w:val="NotesTable-ItemPlain"/>
              <w:rPr>
                <w:b/>
              </w:rPr>
            </w:pPr>
            <w:r>
              <w:t xml:space="preserve">Commonwealth Accommodation Scholarships </w:t>
            </w:r>
            <w:r>
              <w:rPr>
                <w:vertAlign w:val="superscript"/>
              </w:rPr>
              <w:t>#5</w:t>
            </w:r>
          </w:p>
        </w:tc>
        <w:tc>
          <w:tcPr>
            <w:tcW w:w="270" w:type="pct"/>
            <w:shd w:val="clear" w:color="auto" w:fill="CCCCCC"/>
          </w:tcPr>
          <w:p w14:paraId="038A10F9" w14:textId="77777777" w:rsidR="00301DCB" w:rsidRDefault="00301DCB" w:rsidP="001A5D4A">
            <w:pPr>
              <w:pStyle w:val="NotesTable-Notes"/>
              <w:rPr>
                <w:shd w:val="clear" w:color="auto" w:fill="00FFFF"/>
              </w:rPr>
            </w:pPr>
          </w:p>
        </w:tc>
        <w:tc>
          <w:tcPr>
            <w:tcW w:w="406" w:type="pct"/>
            <w:shd w:val="clear" w:color="auto" w:fill="CCCCCC"/>
          </w:tcPr>
          <w:p w14:paraId="038A10FA" w14:textId="77777777" w:rsidR="00301DCB" w:rsidRDefault="00301DCB" w:rsidP="001A5D4A">
            <w:pPr>
              <w:pStyle w:val="NotesTable-CellBold"/>
            </w:pPr>
            <w:r>
              <w:t>–</w:t>
            </w:r>
          </w:p>
        </w:tc>
        <w:tc>
          <w:tcPr>
            <w:tcW w:w="406" w:type="pct"/>
            <w:shd w:val="clear" w:color="auto" w:fill="CCCCCC"/>
          </w:tcPr>
          <w:p w14:paraId="038A10FB" w14:textId="77777777" w:rsidR="00301DCB" w:rsidRPr="00301DCB" w:rsidRDefault="00301DCB" w:rsidP="001A5D4A">
            <w:pPr>
              <w:pStyle w:val="NotesTable-CellPlain"/>
            </w:pPr>
            <w:r w:rsidRPr="00301DCB">
              <w:t>–</w:t>
            </w:r>
          </w:p>
        </w:tc>
        <w:tc>
          <w:tcPr>
            <w:tcW w:w="406" w:type="pct"/>
            <w:shd w:val="clear" w:color="auto" w:fill="CCCCCC"/>
          </w:tcPr>
          <w:p w14:paraId="038A10FC" w14:textId="77777777" w:rsidR="00301DCB" w:rsidRDefault="00301DCB" w:rsidP="001A5D4A">
            <w:pPr>
              <w:pStyle w:val="NotesTable-CellBold"/>
            </w:pPr>
            <w:r>
              <w:t>–</w:t>
            </w:r>
          </w:p>
        </w:tc>
        <w:tc>
          <w:tcPr>
            <w:tcW w:w="405" w:type="pct"/>
            <w:shd w:val="clear" w:color="auto" w:fill="CCCCCC"/>
          </w:tcPr>
          <w:p w14:paraId="038A10FD" w14:textId="77777777" w:rsidR="00301DCB" w:rsidRPr="00301DCB" w:rsidRDefault="00301DCB" w:rsidP="001A5D4A">
            <w:pPr>
              <w:pStyle w:val="NotesTable-CellPlain"/>
            </w:pPr>
            <w:r w:rsidRPr="00301DCB">
              <w:t>–</w:t>
            </w:r>
          </w:p>
        </w:tc>
      </w:tr>
      <w:tr w:rsidR="00301DCB" w14:paraId="038A1106" w14:textId="77777777" w:rsidTr="00E52AAD">
        <w:trPr>
          <w:cantSplit/>
          <w:trHeight w:val="227"/>
        </w:trPr>
        <w:tc>
          <w:tcPr>
            <w:tcW w:w="550" w:type="pct"/>
          </w:tcPr>
          <w:p w14:paraId="038A10FF" w14:textId="77777777" w:rsidR="00301DCB" w:rsidRDefault="00301DCB" w:rsidP="001A5D4A">
            <w:pPr>
              <w:pStyle w:val="Note-Refs"/>
            </w:pPr>
          </w:p>
        </w:tc>
        <w:tc>
          <w:tcPr>
            <w:tcW w:w="2557" w:type="pct"/>
            <w:shd w:val="clear" w:color="auto" w:fill="CCCCCC"/>
            <w:vAlign w:val="bottom"/>
          </w:tcPr>
          <w:p w14:paraId="038A1100" w14:textId="77777777" w:rsidR="00301DCB" w:rsidRDefault="00301DCB" w:rsidP="001A5D4A">
            <w:pPr>
              <w:pStyle w:val="NotesTable-ItemPlain"/>
              <w:rPr>
                <w:b/>
              </w:rPr>
            </w:pPr>
            <w:r>
              <w:t>Indigenous Access Scholarships</w:t>
            </w:r>
          </w:p>
        </w:tc>
        <w:tc>
          <w:tcPr>
            <w:tcW w:w="270" w:type="pct"/>
            <w:shd w:val="clear" w:color="auto" w:fill="CCCCCC"/>
          </w:tcPr>
          <w:p w14:paraId="038A1101" w14:textId="77777777" w:rsidR="00301DCB" w:rsidRDefault="00301DCB" w:rsidP="001A5D4A">
            <w:pPr>
              <w:pStyle w:val="NotesTable-Notes"/>
              <w:rPr>
                <w:shd w:val="clear" w:color="auto" w:fill="00FFFF"/>
              </w:rPr>
            </w:pPr>
          </w:p>
        </w:tc>
        <w:tc>
          <w:tcPr>
            <w:tcW w:w="406" w:type="pct"/>
            <w:shd w:val="clear" w:color="auto" w:fill="CCCCCC"/>
          </w:tcPr>
          <w:p w14:paraId="038A1102" w14:textId="77777777" w:rsidR="00301DCB" w:rsidRDefault="00301DCB" w:rsidP="001A5D4A">
            <w:pPr>
              <w:pStyle w:val="NotesTable-CellBold"/>
            </w:pPr>
            <w:r>
              <w:t>–</w:t>
            </w:r>
          </w:p>
        </w:tc>
        <w:tc>
          <w:tcPr>
            <w:tcW w:w="406" w:type="pct"/>
            <w:shd w:val="clear" w:color="auto" w:fill="CCCCCC"/>
          </w:tcPr>
          <w:p w14:paraId="038A1103" w14:textId="77777777" w:rsidR="00301DCB" w:rsidRPr="00301DCB" w:rsidRDefault="00301DCB" w:rsidP="001A5D4A">
            <w:pPr>
              <w:pStyle w:val="NotesTable-CellPlain"/>
            </w:pPr>
            <w:r w:rsidRPr="00301DCB">
              <w:t>–</w:t>
            </w:r>
          </w:p>
        </w:tc>
        <w:tc>
          <w:tcPr>
            <w:tcW w:w="406" w:type="pct"/>
            <w:shd w:val="clear" w:color="auto" w:fill="CCCCCC"/>
          </w:tcPr>
          <w:p w14:paraId="038A1104" w14:textId="77777777" w:rsidR="00301DCB" w:rsidRDefault="00301DCB" w:rsidP="001A5D4A">
            <w:pPr>
              <w:pStyle w:val="NotesTable-CellBold"/>
            </w:pPr>
            <w:r>
              <w:t>–</w:t>
            </w:r>
          </w:p>
        </w:tc>
        <w:tc>
          <w:tcPr>
            <w:tcW w:w="405" w:type="pct"/>
            <w:shd w:val="clear" w:color="auto" w:fill="CCCCCC"/>
          </w:tcPr>
          <w:p w14:paraId="038A1105" w14:textId="77777777" w:rsidR="00301DCB" w:rsidRPr="00301DCB" w:rsidRDefault="00301DCB" w:rsidP="001A5D4A">
            <w:pPr>
              <w:pStyle w:val="NotesTable-CellPlain"/>
            </w:pPr>
            <w:r w:rsidRPr="00301DCB">
              <w:t>–</w:t>
            </w:r>
          </w:p>
        </w:tc>
      </w:tr>
      <w:tr w:rsidR="00301DCB" w14:paraId="038A110E" w14:textId="77777777" w:rsidTr="00E52AAD">
        <w:trPr>
          <w:cantSplit/>
          <w:trHeight w:val="227"/>
        </w:trPr>
        <w:tc>
          <w:tcPr>
            <w:tcW w:w="550" w:type="pct"/>
          </w:tcPr>
          <w:p w14:paraId="038A1107" w14:textId="77777777" w:rsidR="00301DCB" w:rsidRDefault="00301DCB" w:rsidP="001A5D4A">
            <w:pPr>
              <w:pStyle w:val="Note-Refs"/>
            </w:pPr>
          </w:p>
        </w:tc>
        <w:tc>
          <w:tcPr>
            <w:tcW w:w="2557" w:type="pct"/>
            <w:shd w:val="clear" w:color="auto" w:fill="CCCCCC"/>
            <w:vAlign w:val="bottom"/>
          </w:tcPr>
          <w:p w14:paraId="038A1108" w14:textId="77777777" w:rsidR="00301DCB" w:rsidRDefault="00301DCB" w:rsidP="001A5D4A">
            <w:pPr>
              <w:pStyle w:val="NotesTable-ItemPlain"/>
              <w:rPr>
                <w:b/>
              </w:rPr>
            </w:pPr>
            <w:r>
              <w:t>Indigenous Staff Scholarships</w:t>
            </w:r>
          </w:p>
        </w:tc>
        <w:tc>
          <w:tcPr>
            <w:tcW w:w="270" w:type="pct"/>
            <w:shd w:val="clear" w:color="auto" w:fill="CCCCCC"/>
          </w:tcPr>
          <w:p w14:paraId="038A1109" w14:textId="77777777" w:rsidR="00301DCB" w:rsidRDefault="00301DCB" w:rsidP="001A5D4A">
            <w:pPr>
              <w:pStyle w:val="NotesTable-Notes"/>
              <w:rPr>
                <w:shd w:val="clear" w:color="auto" w:fill="00FFFF"/>
              </w:rPr>
            </w:pPr>
          </w:p>
        </w:tc>
        <w:tc>
          <w:tcPr>
            <w:tcW w:w="406" w:type="pct"/>
            <w:tcBorders>
              <w:bottom w:val="single" w:sz="4" w:space="0" w:color="000000"/>
            </w:tcBorders>
            <w:shd w:val="clear" w:color="auto" w:fill="CCCCCC"/>
          </w:tcPr>
          <w:p w14:paraId="038A110A" w14:textId="77777777" w:rsidR="00301DCB" w:rsidRDefault="00301DCB" w:rsidP="001A5D4A">
            <w:pPr>
              <w:pStyle w:val="NotesTable-CellBold"/>
            </w:pPr>
            <w:r>
              <w:t>–</w:t>
            </w:r>
          </w:p>
        </w:tc>
        <w:tc>
          <w:tcPr>
            <w:tcW w:w="406" w:type="pct"/>
            <w:tcBorders>
              <w:bottom w:val="single" w:sz="4" w:space="0" w:color="000000"/>
            </w:tcBorders>
            <w:shd w:val="clear" w:color="auto" w:fill="CCCCCC"/>
          </w:tcPr>
          <w:p w14:paraId="038A110B" w14:textId="77777777" w:rsidR="00301DCB" w:rsidRPr="00301DCB" w:rsidRDefault="00301DCB" w:rsidP="001A5D4A">
            <w:pPr>
              <w:pStyle w:val="NotesTable-CellPlain"/>
            </w:pPr>
            <w:r w:rsidRPr="00301DCB">
              <w:t>–</w:t>
            </w:r>
          </w:p>
        </w:tc>
        <w:tc>
          <w:tcPr>
            <w:tcW w:w="406" w:type="pct"/>
            <w:tcBorders>
              <w:bottom w:val="single" w:sz="4" w:space="0" w:color="000000"/>
            </w:tcBorders>
            <w:shd w:val="clear" w:color="auto" w:fill="CCCCCC"/>
          </w:tcPr>
          <w:p w14:paraId="038A110C" w14:textId="77777777" w:rsidR="00301DCB" w:rsidRDefault="00301DCB" w:rsidP="001A5D4A">
            <w:pPr>
              <w:pStyle w:val="NotesTable-CellBold"/>
            </w:pPr>
            <w:r>
              <w:t>–</w:t>
            </w:r>
          </w:p>
        </w:tc>
        <w:tc>
          <w:tcPr>
            <w:tcW w:w="405" w:type="pct"/>
            <w:tcBorders>
              <w:bottom w:val="single" w:sz="4" w:space="0" w:color="000000"/>
            </w:tcBorders>
            <w:shd w:val="clear" w:color="auto" w:fill="CCCCCC"/>
          </w:tcPr>
          <w:p w14:paraId="038A110D" w14:textId="77777777" w:rsidR="00301DCB" w:rsidRPr="00301DCB" w:rsidRDefault="00301DCB" w:rsidP="001A5D4A">
            <w:pPr>
              <w:pStyle w:val="NotesTable-CellPlain"/>
            </w:pPr>
            <w:r w:rsidRPr="00301DCB">
              <w:t>–</w:t>
            </w:r>
          </w:p>
        </w:tc>
      </w:tr>
      <w:tr w:rsidR="00301DCB" w14:paraId="038A1116" w14:textId="77777777" w:rsidTr="00E52AAD">
        <w:trPr>
          <w:cantSplit/>
          <w:trHeight w:val="227"/>
        </w:trPr>
        <w:tc>
          <w:tcPr>
            <w:tcW w:w="550" w:type="pct"/>
          </w:tcPr>
          <w:p w14:paraId="038A110F" w14:textId="77777777" w:rsidR="00301DCB" w:rsidRDefault="00301DCB" w:rsidP="001A5D4A">
            <w:pPr>
              <w:pStyle w:val="Note-Refs"/>
            </w:pPr>
          </w:p>
        </w:tc>
        <w:tc>
          <w:tcPr>
            <w:tcW w:w="2557" w:type="pct"/>
            <w:shd w:val="clear" w:color="auto" w:fill="CCCCCC"/>
            <w:vAlign w:val="bottom"/>
          </w:tcPr>
          <w:p w14:paraId="038A1110" w14:textId="77777777" w:rsidR="00301DCB" w:rsidRDefault="00301DCB" w:rsidP="001A5D4A">
            <w:pPr>
              <w:pStyle w:val="NotesTable-ItemPlain"/>
              <w:rPr>
                <w:b/>
              </w:rPr>
            </w:pPr>
            <w:r>
              <w:t>Total Scholarships</w:t>
            </w:r>
          </w:p>
        </w:tc>
        <w:tc>
          <w:tcPr>
            <w:tcW w:w="270" w:type="pct"/>
            <w:shd w:val="clear" w:color="auto" w:fill="CCCCCC"/>
          </w:tcPr>
          <w:p w14:paraId="038A1111" w14:textId="77777777" w:rsidR="00301DCB" w:rsidRDefault="00301DCB" w:rsidP="001A5D4A">
            <w:pPr>
              <w:pStyle w:val="NotesTable-Notes"/>
              <w:rPr>
                <w:shd w:val="clear" w:color="auto" w:fill="00FFFF"/>
              </w:rPr>
            </w:pPr>
          </w:p>
        </w:tc>
        <w:tc>
          <w:tcPr>
            <w:tcW w:w="406" w:type="pct"/>
            <w:tcBorders>
              <w:top w:val="single" w:sz="4" w:space="0" w:color="000000"/>
            </w:tcBorders>
            <w:shd w:val="clear" w:color="auto" w:fill="CCCCCC"/>
          </w:tcPr>
          <w:p w14:paraId="038A1112" w14:textId="77777777" w:rsidR="00301DCB" w:rsidRDefault="00301DCB" w:rsidP="001A5D4A">
            <w:pPr>
              <w:pStyle w:val="NotesTable-CellBold"/>
            </w:pPr>
            <w:r>
              <w:t>–</w:t>
            </w:r>
          </w:p>
        </w:tc>
        <w:tc>
          <w:tcPr>
            <w:tcW w:w="406" w:type="pct"/>
            <w:tcBorders>
              <w:top w:val="single" w:sz="4" w:space="0" w:color="000000"/>
            </w:tcBorders>
            <w:shd w:val="clear" w:color="auto" w:fill="CCCCCC"/>
          </w:tcPr>
          <w:p w14:paraId="038A1113" w14:textId="77777777" w:rsidR="00301DCB" w:rsidRPr="00301DCB" w:rsidRDefault="00301DCB" w:rsidP="001A5D4A">
            <w:pPr>
              <w:pStyle w:val="NotesTable-CellPlain"/>
            </w:pPr>
            <w:r w:rsidRPr="00301DCB">
              <w:t>–</w:t>
            </w:r>
          </w:p>
        </w:tc>
        <w:tc>
          <w:tcPr>
            <w:tcW w:w="406" w:type="pct"/>
            <w:tcBorders>
              <w:top w:val="single" w:sz="4" w:space="0" w:color="000000"/>
            </w:tcBorders>
            <w:shd w:val="clear" w:color="auto" w:fill="CCCCCC"/>
          </w:tcPr>
          <w:p w14:paraId="038A1114" w14:textId="77777777" w:rsidR="00301DCB" w:rsidRDefault="00301DCB" w:rsidP="001A5D4A">
            <w:pPr>
              <w:pStyle w:val="NotesTable-CellBold"/>
            </w:pPr>
            <w:r>
              <w:t>–</w:t>
            </w:r>
          </w:p>
        </w:tc>
        <w:tc>
          <w:tcPr>
            <w:tcW w:w="405" w:type="pct"/>
            <w:tcBorders>
              <w:top w:val="single" w:sz="4" w:space="0" w:color="000000"/>
            </w:tcBorders>
            <w:shd w:val="clear" w:color="auto" w:fill="CCCCCC"/>
          </w:tcPr>
          <w:p w14:paraId="038A1115" w14:textId="77777777" w:rsidR="00301DCB" w:rsidRPr="00301DCB" w:rsidRDefault="00301DCB" w:rsidP="001A5D4A">
            <w:pPr>
              <w:pStyle w:val="NotesTable-CellPlain"/>
            </w:pPr>
            <w:r w:rsidRPr="00301DCB">
              <w:t>–</w:t>
            </w:r>
          </w:p>
        </w:tc>
      </w:tr>
      <w:tr w:rsidR="00301DCB" w14:paraId="038A111E" w14:textId="77777777" w:rsidTr="00E52AAD">
        <w:trPr>
          <w:cantSplit/>
          <w:trHeight w:val="227"/>
        </w:trPr>
        <w:tc>
          <w:tcPr>
            <w:tcW w:w="550" w:type="pct"/>
          </w:tcPr>
          <w:p w14:paraId="038A1117" w14:textId="77777777" w:rsidR="00301DCB" w:rsidRDefault="00301DCB" w:rsidP="001A5D4A">
            <w:pPr>
              <w:pStyle w:val="Note-Refs"/>
            </w:pPr>
          </w:p>
        </w:tc>
        <w:tc>
          <w:tcPr>
            <w:tcW w:w="2557" w:type="pct"/>
            <w:shd w:val="clear" w:color="auto" w:fill="CCCCCC"/>
            <w:vAlign w:val="bottom"/>
          </w:tcPr>
          <w:p w14:paraId="038A1118" w14:textId="77777777" w:rsidR="00301DCB" w:rsidRDefault="00301DCB" w:rsidP="001A5D4A">
            <w:pPr>
              <w:pStyle w:val="NotesTable-ItemPlain"/>
            </w:pPr>
          </w:p>
        </w:tc>
        <w:tc>
          <w:tcPr>
            <w:tcW w:w="270" w:type="pct"/>
            <w:shd w:val="clear" w:color="auto" w:fill="CCCCCC"/>
          </w:tcPr>
          <w:p w14:paraId="038A1119" w14:textId="77777777" w:rsidR="00301DCB" w:rsidRDefault="00301DCB" w:rsidP="001A5D4A">
            <w:pPr>
              <w:pStyle w:val="NotesTable-Notes"/>
              <w:rPr>
                <w:shd w:val="clear" w:color="auto" w:fill="00FFFF"/>
              </w:rPr>
            </w:pPr>
          </w:p>
        </w:tc>
        <w:tc>
          <w:tcPr>
            <w:tcW w:w="406" w:type="pct"/>
            <w:shd w:val="clear" w:color="auto" w:fill="CCCCCC"/>
            <w:vAlign w:val="center"/>
          </w:tcPr>
          <w:p w14:paraId="038A111A" w14:textId="77777777" w:rsidR="00301DCB" w:rsidRDefault="00301DCB" w:rsidP="001A5D4A">
            <w:pPr>
              <w:pStyle w:val="NotesTable-CellBold"/>
            </w:pPr>
          </w:p>
        </w:tc>
        <w:tc>
          <w:tcPr>
            <w:tcW w:w="406" w:type="pct"/>
            <w:shd w:val="clear" w:color="auto" w:fill="CCCCCC"/>
            <w:vAlign w:val="center"/>
          </w:tcPr>
          <w:p w14:paraId="038A111B" w14:textId="77777777" w:rsidR="00301DCB" w:rsidRPr="00301DCB" w:rsidRDefault="00301DCB" w:rsidP="001A5D4A">
            <w:pPr>
              <w:pStyle w:val="NotesTable-CellPlain"/>
            </w:pPr>
          </w:p>
        </w:tc>
        <w:tc>
          <w:tcPr>
            <w:tcW w:w="406" w:type="pct"/>
            <w:shd w:val="clear" w:color="auto" w:fill="CCCCCC"/>
            <w:vAlign w:val="center"/>
          </w:tcPr>
          <w:p w14:paraId="038A111C" w14:textId="77777777" w:rsidR="00301DCB" w:rsidRDefault="00301DCB" w:rsidP="001A5D4A">
            <w:pPr>
              <w:pStyle w:val="NotesTable-CellBold"/>
            </w:pPr>
          </w:p>
        </w:tc>
        <w:tc>
          <w:tcPr>
            <w:tcW w:w="405" w:type="pct"/>
            <w:shd w:val="clear" w:color="auto" w:fill="CCCCCC"/>
            <w:vAlign w:val="center"/>
          </w:tcPr>
          <w:p w14:paraId="038A111D" w14:textId="77777777" w:rsidR="00301DCB" w:rsidRPr="00301DCB" w:rsidRDefault="00301DCB" w:rsidP="001A5D4A">
            <w:pPr>
              <w:pStyle w:val="NotesTable-CellPlain"/>
            </w:pPr>
          </w:p>
        </w:tc>
      </w:tr>
      <w:tr w:rsidR="00301DCB" w14:paraId="038A1126" w14:textId="77777777" w:rsidTr="00E52AAD">
        <w:trPr>
          <w:cantSplit/>
          <w:trHeight w:val="227"/>
        </w:trPr>
        <w:tc>
          <w:tcPr>
            <w:tcW w:w="550" w:type="pct"/>
          </w:tcPr>
          <w:p w14:paraId="038A111F" w14:textId="77777777" w:rsidR="00301DCB" w:rsidRDefault="00301DCB" w:rsidP="001A5D4A">
            <w:pPr>
              <w:pStyle w:val="Note-Refs"/>
            </w:pPr>
          </w:p>
        </w:tc>
        <w:tc>
          <w:tcPr>
            <w:tcW w:w="2557" w:type="pct"/>
            <w:shd w:val="clear" w:color="auto" w:fill="CCCCCC"/>
            <w:vAlign w:val="bottom"/>
          </w:tcPr>
          <w:p w14:paraId="038A1120" w14:textId="77777777" w:rsidR="00301DCB" w:rsidRDefault="00301DCB" w:rsidP="001A5D4A">
            <w:pPr>
              <w:pStyle w:val="Statement-ItemBold"/>
            </w:pPr>
            <w:r>
              <w:t xml:space="preserve">(d) </w:t>
            </w:r>
            <w:r w:rsidR="00B90CFC">
              <w:t>EDUCATION</w:t>
            </w:r>
            <w:r>
              <w:t xml:space="preserve"> Research</w:t>
            </w:r>
          </w:p>
        </w:tc>
        <w:tc>
          <w:tcPr>
            <w:tcW w:w="270" w:type="pct"/>
            <w:shd w:val="clear" w:color="auto" w:fill="CCCCCC"/>
          </w:tcPr>
          <w:p w14:paraId="038A1121" w14:textId="61B1B2E2" w:rsidR="00301DCB" w:rsidRDefault="006447BA" w:rsidP="001A5D4A">
            <w:pPr>
              <w:pStyle w:val="NotesTable-Notes"/>
              <w:rPr>
                <w:b/>
              </w:rPr>
            </w:pPr>
            <w:r>
              <w:t>5</w:t>
            </w:r>
            <w:r w:rsidR="00713AFB">
              <w:t>3</w:t>
            </w:r>
            <w:r>
              <w:t>d</w:t>
            </w:r>
          </w:p>
        </w:tc>
        <w:tc>
          <w:tcPr>
            <w:tcW w:w="406" w:type="pct"/>
            <w:shd w:val="clear" w:color="auto" w:fill="CCCCCC"/>
            <w:vAlign w:val="center"/>
          </w:tcPr>
          <w:p w14:paraId="038A1122" w14:textId="77777777" w:rsidR="00301DCB" w:rsidRDefault="00301DCB" w:rsidP="001A5D4A">
            <w:pPr>
              <w:pStyle w:val="NotesTable-CellBold"/>
            </w:pPr>
          </w:p>
        </w:tc>
        <w:tc>
          <w:tcPr>
            <w:tcW w:w="406" w:type="pct"/>
            <w:shd w:val="clear" w:color="auto" w:fill="CCCCCC"/>
            <w:vAlign w:val="center"/>
          </w:tcPr>
          <w:p w14:paraId="038A1123" w14:textId="77777777" w:rsidR="00301DCB" w:rsidRPr="00301DCB" w:rsidRDefault="00301DCB" w:rsidP="001A5D4A">
            <w:pPr>
              <w:pStyle w:val="NotesTable-CellPlain"/>
            </w:pPr>
          </w:p>
        </w:tc>
        <w:tc>
          <w:tcPr>
            <w:tcW w:w="406" w:type="pct"/>
            <w:shd w:val="clear" w:color="auto" w:fill="CCCCCC"/>
            <w:vAlign w:val="center"/>
          </w:tcPr>
          <w:p w14:paraId="038A1124" w14:textId="77777777" w:rsidR="00301DCB" w:rsidRDefault="00301DCB" w:rsidP="001A5D4A">
            <w:pPr>
              <w:pStyle w:val="NotesTable-CellBold"/>
            </w:pPr>
          </w:p>
        </w:tc>
        <w:tc>
          <w:tcPr>
            <w:tcW w:w="405" w:type="pct"/>
            <w:shd w:val="clear" w:color="auto" w:fill="CCCCCC"/>
            <w:vAlign w:val="center"/>
          </w:tcPr>
          <w:p w14:paraId="038A1125" w14:textId="77777777" w:rsidR="00301DCB" w:rsidRPr="00301DCB" w:rsidRDefault="00301DCB" w:rsidP="001A5D4A">
            <w:pPr>
              <w:pStyle w:val="NotesTable-CellPlain"/>
            </w:pPr>
          </w:p>
        </w:tc>
      </w:tr>
      <w:tr w:rsidR="00301DCB" w14:paraId="038A112E" w14:textId="77777777" w:rsidTr="00E52AAD">
        <w:trPr>
          <w:cantSplit/>
          <w:trHeight w:val="227"/>
        </w:trPr>
        <w:tc>
          <w:tcPr>
            <w:tcW w:w="550" w:type="pct"/>
          </w:tcPr>
          <w:p w14:paraId="038A1127" w14:textId="77777777" w:rsidR="00301DCB" w:rsidRDefault="00301DCB" w:rsidP="001A5D4A">
            <w:pPr>
              <w:pStyle w:val="Note-Refs"/>
            </w:pPr>
          </w:p>
        </w:tc>
        <w:tc>
          <w:tcPr>
            <w:tcW w:w="2557" w:type="pct"/>
            <w:shd w:val="clear" w:color="auto" w:fill="CCCCCC"/>
            <w:vAlign w:val="bottom"/>
          </w:tcPr>
          <w:p w14:paraId="038A1128" w14:textId="79286CF4" w:rsidR="00301DCB" w:rsidRDefault="00301DCB" w:rsidP="001A5D4A">
            <w:pPr>
              <w:pStyle w:val="NotesTable-ItemPlain"/>
              <w:rPr>
                <w:b/>
              </w:rPr>
            </w:pPr>
            <w:r>
              <w:t xml:space="preserve">Joint Research Engagement Program </w:t>
            </w:r>
          </w:p>
        </w:tc>
        <w:tc>
          <w:tcPr>
            <w:tcW w:w="270" w:type="pct"/>
            <w:shd w:val="clear" w:color="auto" w:fill="CCCCCC"/>
          </w:tcPr>
          <w:p w14:paraId="038A1129" w14:textId="77777777" w:rsidR="00301DCB" w:rsidRDefault="00301DCB" w:rsidP="001A5D4A">
            <w:pPr>
              <w:pStyle w:val="NotesTable-Notes"/>
              <w:rPr>
                <w:shd w:val="clear" w:color="auto" w:fill="00FFFF"/>
              </w:rPr>
            </w:pPr>
          </w:p>
        </w:tc>
        <w:tc>
          <w:tcPr>
            <w:tcW w:w="406" w:type="pct"/>
            <w:shd w:val="clear" w:color="auto" w:fill="CCCCCC"/>
          </w:tcPr>
          <w:p w14:paraId="038A112A" w14:textId="77777777" w:rsidR="00301DCB" w:rsidRDefault="00301DCB" w:rsidP="001A5D4A">
            <w:pPr>
              <w:pStyle w:val="NotesTable-CellBold"/>
            </w:pPr>
            <w:r>
              <w:t>–</w:t>
            </w:r>
          </w:p>
        </w:tc>
        <w:tc>
          <w:tcPr>
            <w:tcW w:w="406" w:type="pct"/>
            <w:shd w:val="clear" w:color="auto" w:fill="CCCCCC"/>
          </w:tcPr>
          <w:p w14:paraId="038A112B" w14:textId="77777777" w:rsidR="00301DCB" w:rsidRPr="00301DCB" w:rsidRDefault="00301DCB" w:rsidP="001A5D4A">
            <w:pPr>
              <w:pStyle w:val="NotesTable-CellPlain"/>
            </w:pPr>
            <w:r w:rsidRPr="00301DCB">
              <w:t>–</w:t>
            </w:r>
          </w:p>
        </w:tc>
        <w:tc>
          <w:tcPr>
            <w:tcW w:w="406" w:type="pct"/>
            <w:shd w:val="clear" w:color="auto" w:fill="CCCCCC"/>
          </w:tcPr>
          <w:p w14:paraId="038A112C" w14:textId="77777777" w:rsidR="00301DCB" w:rsidRDefault="00301DCB" w:rsidP="001A5D4A">
            <w:pPr>
              <w:pStyle w:val="NotesTable-CellBold"/>
            </w:pPr>
            <w:r>
              <w:t>–</w:t>
            </w:r>
          </w:p>
        </w:tc>
        <w:tc>
          <w:tcPr>
            <w:tcW w:w="405" w:type="pct"/>
            <w:shd w:val="clear" w:color="auto" w:fill="CCCCCC"/>
          </w:tcPr>
          <w:p w14:paraId="038A112D" w14:textId="77777777" w:rsidR="00301DCB" w:rsidRPr="00301DCB" w:rsidRDefault="00301DCB" w:rsidP="001A5D4A">
            <w:pPr>
              <w:pStyle w:val="NotesTable-CellPlain"/>
            </w:pPr>
            <w:r w:rsidRPr="00301DCB">
              <w:t>–</w:t>
            </w:r>
          </w:p>
        </w:tc>
      </w:tr>
      <w:tr w:rsidR="00104FE9" w14:paraId="038A1136" w14:textId="77777777" w:rsidTr="00E52AAD">
        <w:trPr>
          <w:cantSplit/>
          <w:trHeight w:val="227"/>
        </w:trPr>
        <w:tc>
          <w:tcPr>
            <w:tcW w:w="550" w:type="pct"/>
          </w:tcPr>
          <w:p w14:paraId="038A112F" w14:textId="77777777" w:rsidR="00104FE9" w:rsidRDefault="00104FE9" w:rsidP="001A5D4A">
            <w:pPr>
              <w:pStyle w:val="Note-Refs"/>
            </w:pPr>
          </w:p>
        </w:tc>
        <w:tc>
          <w:tcPr>
            <w:tcW w:w="2557" w:type="pct"/>
            <w:shd w:val="clear" w:color="auto" w:fill="CCCCCC"/>
            <w:vAlign w:val="bottom"/>
          </w:tcPr>
          <w:p w14:paraId="038A1130" w14:textId="77777777" w:rsidR="00104FE9" w:rsidRPr="006447BA" w:rsidRDefault="00104FE9" w:rsidP="001A5D4A">
            <w:pPr>
              <w:pStyle w:val="NotesTable-ItemPlain"/>
            </w:pPr>
            <w:r>
              <w:t>JRE Engineering Cadetships</w:t>
            </w:r>
          </w:p>
        </w:tc>
        <w:tc>
          <w:tcPr>
            <w:tcW w:w="270" w:type="pct"/>
            <w:shd w:val="clear" w:color="auto" w:fill="CCCCCC"/>
          </w:tcPr>
          <w:p w14:paraId="038A1131" w14:textId="77777777" w:rsidR="00104FE9" w:rsidRDefault="00104FE9" w:rsidP="001A5D4A">
            <w:pPr>
              <w:pStyle w:val="NotesTable-Notes"/>
              <w:rPr>
                <w:shd w:val="clear" w:color="auto" w:fill="00FFFF"/>
              </w:rPr>
            </w:pPr>
          </w:p>
        </w:tc>
        <w:tc>
          <w:tcPr>
            <w:tcW w:w="406" w:type="pct"/>
            <w:shd w:val="clear" w:color="auto" w:fill="CCCCCC"/>
          </w:tcPr>
          <w:p w14:paraId="038A1132" w14:textId="723696AD" w:rsidR="00104FE9" w:rsidRDefault="00104FE9" w:rsidP="001A5D4A">
            <w:pPr>
              <w:pStyle w:val="NotesTable-CellBold"/>
            </w:pPr>
            <w:r>
              <w:t>–</w:t>
            </w:r>
          </w:p>
        </w:tc>
        <w:tc>
          <w:tcPr>
            <w:tcW w:w="406" w:type="pct"/>
            <w:shd w:val="clear" w:color="auto" w:fill="CCCCCC"/>
          </w:tcPr>
          <w:p w14:paraId="038A1133" w14:textId="333F6462" w:rsidR="00104FE9" w:rsidRPr="00301DCB" w:rsidRDefault="00104FE9" w:rsidP="001A5D4A">
            <w:pPr>
              <w:pStyle w:val="NotesTable-CellPlain"/>
            </w:pPr>
            <w:r w:rsidRPr="00301DCB">
              <w:t>–</w:t>
            </w:r>
          </w:p>
        </w:tc>
        <w:tc>
          <w:tcPr>
            <w:tcW w:w="406" w:type="pct"/>
            <w:shd w:val="clear" w:color="auto" w:fill="CCCCCC"/>
          </w:tcPr>
          <w:p w14:paraId="038A1134" w14:textId="21FACF0E" w:rsidR="00104FE9" w:rsidRDefault="00104FE9" w:rsidP="001A5D4A">
            <w:pPr>
              <w:pStyle w:val="NotesTable-CellBold"/>
            </w:pPr>
            <w:r>
              <w:t>–</w:t>
            </w:r>
          </w:p>
        </w:tc>
        <w:tc>
          <w:tcPr>
            <w:tcW w:w="405" w:type="pct"/>
            <w:shd w:val="clear" w:color="auto" w:fill="CCCCCC"/>
          </w:tcPr>
          <w:p w14:paraId="038A1135" w14:textId="2DE6228E" w:rsidR="00104FE9" w:rsidRPr="00301DCB" w:rsidRDefault="00104FE9" w:rsidP="001A5D4A">
            <w:pPr>
              <w:pStyle w:val="NotesTable-CellPlain"/>
            </w:pPr>
            <w:r w:rsidRPr="00301DCB">
              <w:t>–</w:t>
            </w:r>
          </w:p>
        </w:tc>
      </w:tr>
      <w:tr w:rsidR="00301DCB" w14:paraId="038A113E" w14:textId="77777777" w:rsidTr="00E52AAD">
        <w:trPr>
          <w:cantSplit/>
          <w:trHeight w:val="227"/>
        </w:trPr>
        <w:tc>
          <w:tcPr>
            <w:tcW w:w="550" w:type="pct"/>
          </w:tcPr>
          <w:p w14:paraId="038A1137" w14:textId="77777777" w:rsidR="00301DCB" w:rsidRDefault="00301DCB" w:rsidP="001A5D4A">
            <w:pPr>
              <w:pStyle w:val="Note-Refs"/>
            </w:pPr>
          </w:p>
        </w:tc>
        <w:tc>
          <w:tcPr>
            <w:tcW w:w="2557" w:type="pct"/>
            <w:shd w:val="clear" w:color="auto" w:fill="CCCCCC"/>
            <w:vAlign w:val="bottom"/>
          </w:tcPr>
          <w:p w14:paraId="038A1138" w14:textId="77777777" w:rsidR="00301DCB" w:rsidRDefault="00301DCB" w:rsidP="001A5D4A">
            <w:pPr>
              <w:pStyle w:val="NotesTable-ItemPlain"/>
              <w:rPr>
                <w:b/>
              </w:rPr>
            </w:pPr>
            <w:r>
              <w:t>Research Training Scheme</w:t>
            </w:r>
          </w:p>
        </w:tc>
        <w:tc>
          <w:tcPr>
            <w:tcW w:w="270" w:type="pct"/>
            <w:shd w:val="clear" w:color="auto" w:fill="CCCCCC"/>
          </w:tcPr>
          <w:p w14:paraId="038A1139" w14:textId="77777777" w:rsidR="00301DCB" w:rsidRDefault="00301DCB" w:rsidP="001A5D4A">
            <w:pPr>
              <w:pStyle w:val="NotesTable-Notes"/>
              <w:rPr>
                <w:shd w:val="clear" w:color="auto" w:fill="00FFFF"/>
              </w:rPr>
            </w:pPr>
          </w:p>
        </w:tc>
        <w:tc>
          <w:tcPr>
            <w:tcW w:w="406" w:type="pct"/>
            <w:shd w:val="clear" w:color="auto" w:fill="CCCCCC"/>
          </w:tcPr>
          <w:p w14:paraId="038A113A" w14:textId="77777777" w:rsidR="00301DCB" w:rsidRDefault="00301DCB" w:rsidP="001A5D4A">
            <w:pPr>
              <w:pStyle w:val="NotesTable-CellBold"/>
            </w:pPr>
            <w:r>
              <w:t>–</w:t>
            </w:r>
          </w:p>
        </w:tc>
        <w:tc>
          <w:tcPr>
            <w:tcW w:w="406" w:type="pct"/>
            <w:shd w:val="clear" w:color="auto" w:fill="CCCCCC"/>
          </w:tcPr>
          <w:p w14:paraId="038A113B" w14:textId="77777777" w:rsidR="00301DCB" w:rsidRPr="00301DCB" w:rsidRDefault="00301DCB" w:rsidP="001A5D4A">
            <w:pPr>
              <w:pStyle w:val="NotesTable-CellPlain"/>
            </w:pPr>
            <w:r w:rsidRPr="00301DCB">
              <w:t>–</w:t>
            </w:r>
          </w:p>
        </w:tc>
        <w:tc>
          <w:tcPr>
            <w:tcW w:w="406" w:type="pct"/>
            <w:shd w:val="clear" w:color="auto" w:fill="CCCCCC"/>
          </w:tcPr>
          <w:p w14:paraId="038A113C" w14:textId="77777777" w:rsidR="00301DCB" w:rsidRDefault="00301DCB" w:rsidP="001A5D4A">
            <w:pPr>
              <w:pStyle w:val="NotesTable-CellBold"/>
            </w:pPr>
            <w:r>
              <w:t>–</w:t>
            </w:r>
          </w:p>
        </w:tc>
        <w:tc>
          <w:tcPr>
            <w:tcW w:w="405" w:type="pct"/>
            <w:shd w:val="clear" w:color="auto" w:fill="CCCCCC"/>
          </w:tcPr>
          <w:p w14:paraId="038A113D" w14:textId="77777777" w:rsidR="00301DCB" w:rsidRPr="00301DCB" w:rsidRDefault="00301DCB" w:rsidP="001A5D4A">
            <w:pPr>
              <w:pStyle w:val="NotesTable-CellPlain"/>
            </w:pPr>
            <w:r w:rsidRPr="00301DCB">
              <w:t>–</w:t>
            </w:r>
          </w:p>
        </w:tc>
      </w:tr>
      <w:tr w:rsidR="00301DCB" w14:paraId="038A1146" w14:textId="77777777" w:rsidTr="00E52AAD">
        <w:trPr>
          <w:cantSplit/>
          <w:trHeight w:val="227"/>
        </w:trPr>
        <w:tc>
          <w:tcPr>
            <w:tcW w:w="550" w:type="pct"/>
          </w:tcPr>
          <w:p w14:paraId="038A113F" w14:textId="77777777" w:rsidR="00301DCB" w:rsidRDefault="00301DCB" w:rsidP="001A5D4A">
            <w:pPr>
              <w:pStyle w:val="Note-Refs"/>
            </w:pPr>
          </w:p>
        </w:tc>
        <w:tc>
          <w:tcPr>
            <w:tcW w:w="2557" w:type="pct"/>
            <w:shd w:val="clear" w:color="auto" w:fill="CCCCCC"/>
            <w:vAlign w:val="bottom"/>
          </w:tcPr>
          <w:p w14:paraId="038A1140" w14:textId="77777777" w:rsidR="00301DCB" w:rsidRDefault="00301DCB" w:rsidP="001A5D4A">
            <w:pPr>
              <w:pStyle w:val="NotesTable-ItemPlain"/>
              <w:rPr>
                <w:b/>
              </w:rPr>
            </w:pPr>
            <w:r>
              <w:t>Research Infrastructure Block Grants</w:t>
            </w:r>
          </w:p>
        </w:tc>
        <w:tc>
          <w:tcPr>
            <w:tcW w:w="270" w:type="pct"/>
            <w:shd w:val="clear" w:color="auto" w:fill="CCCCCC"/>
          </w:tcPr>
          <w:p w14:paraId="038A1141" w14:textId="77777777" w:rsidR="00301DCB" w:rsidRDefault="00301DCB" w:rsidP="001A5D4A">
            <w:pPr>
              <w:pStyle w:val="NotesTable-Notes"/>
              <w:rPr>
                <w:shd w:val="clear" w:color="auto" w:fill="00FFFF"/>
              </w:rPr>
            </w:pPr>
          </w:p>
        </w:tc>
        <w:tc>
          <w:tcPr>
            <w:tcW w:w="406" w:type="pct"/>
            <w:shd w:val="clear" w:color="auto" w:fill="CCCCCC"/>
          </w:tcPr>
          <w:p w14:paraId="038A1142" w14:textId="77777777" w:rsidR="00301DCB" w:rsidRDefault="00301DCB" w:rsidP="001A5D4A">
            <w:pPr>
              <w:pStyle w:val="NotesTable-CellBold"/>
            </w:pPr>
            <w:r>
              <w:t>–</w:t>
            </w:r>
          </w:p>
        </w:tc>
        <w:tc>
          <w:tcPr>
            <w:tcW w:w="406" w:type="pct"/>
            <w:shd w:val="clear" w:color="auto" w:fill="CCCCCC"/>
          </w:tcPr>
          <w:p w14:paraId="038A1143" w14:textId="77777777" w:rsidR="00301DCB" w:rsidRPr="00301DCB" w:rsidRDefault="00301DCB" w:rsidP="001A5D4A">
            <w:pPr>
              <w:pStyle w:val="NotesTable-CellPlain"/>
            </w:pPr>
            <w:r w:rsidRPr="00301DCB">
              <w:t>–</w:t>
            </w:r>
          </w:p>
        </w:tc>
        <w:tc>
          <w:tcPr>
            <w:tcW w:w="406" w:type="pct"/>
            <w:shd w:val="clear" w:color="auto" w:fill="CCCCCC"/>
          </w:tcPr>
          <w:p w14:paraId="038A1144" w14:textId="77777777" w:rsidR="00301DCB" w:rsidRDefault="00301DCB" w:rsidP="001A5D4A">
            <w:pPr>
              <w:pStyle w:val="NotesTable-CellBold"/>
            </w:pPr>
            <w:r>
              <w:t>–</w:t>
            </w:r>
          </w:p>
        </w:tc>
        <w:tc>
          <w:tcPr>
            <w:tcW w:w="405" w:type="pct"/>
            <w:shd w:val="clear" w:color="auto" w:fill="CCCCCC"/>
          </w:tcPr>
          <w:p w14:paraId="038A1145" w14:textId="77777777" w:rsidR="00301DCB" w:rsidRPr="00301DCB" w:rsidRDefault="00301DCB" w:rsidP="001A5D4A">
            <w:pPr>
              <w:pStyle w:val="NotesTable-CellPlain"/>
              <w:rPr>
                <w:lang w:val="en-GB"/>
              </w:rPr>
            </w:pPr>
            <w:r w:rsidRPr="00301DCB">
              <w:t>–</w:t>
            </w:r>
          </w:p>
        </w:tc>
      </w:tr>
      <w:tr w:rsidR="00301DCB" w14:paraId="038A114E" w14:textId="77777777" w:rsidTr="00E52AAD">
        <w:trPr>
          <w:cantSplit/>
          <w:trHeight w:val="227"/>
        </w:trPr>
        <w:tc>
          <w:tcPr>
            <w:tcW w:w="550" w:type="pct"/>
          </w:tcPr>
          <w:p w14:paraId="038A1147" w14:textId="77777777" w:rsidR="00301DCB" w:rsidRDefault="00301DCB" w:rsidP="001A5D4A">
            <w:pPr>
              <w:pStyle w:val="Note-Refs"/>
            </w:pPr>
          </w:p>
        </w:tc>
        <w:tc>
          <w:tcPr>
            <w:tcW w:w="2557" w:type="pct"/>
            <w:shd w:val="clear" w:color="auto" w:fill="CCCCCC"/>
            <w:vAlign w:val="bottom"/>
          </w:tcPr>
          <w:p w14:paraId="038A1148" w14:textId="77777777" w:rsidR="00301DCB" w:rsidRDefault="00301DCB" w:rsidP="001A5D4A">
            <w:pPr>
              <w:pStyle w:val="NotesTable-ItemPlain"/>
              <w:rPr>
                <w:b/>
              </w:rPr>
            </w:pPr>
            <w:r>
              <w:t>Implementation Assistance Program</w:t>
            </w:r>
          </w:p>
        </w:tc>
        <w:tc>
          <w:tcPr>
            <w:tcW w:w="270" w:type="pct"/>
            <w:shd w:val="clear" w:color="auto" w:fill="CCCCCC"/>
          </w:tcPr>
          <w:p w14:paraId="038A1149" w14:textId="77777777" w:rsidR="00301DCB" w:rsidRDefault="00301DCB" w:rsidP="001A5D4A">
            <w:pPr>
              <w:pStyle w:val="NotesTable-Notes"/>
            </w:pPr>
          </w:p>
        </w:tc>
        <w:tc>
          <w:tcPr>
            <w:tcW w:w="406" w:type="pct"/>
            <w:shd w:val="clear" w:color="auto" w:fill="CCCCCC"/>
          </w:tcPr>
          <w:p w14:paraId="038A114A" w14:textId="77777777" w:rsidR="00301DCB" w:rsidRDefault="00301DCB" w:rsidP="001A5D4A">
            <w:pPr>
              <w:pStyle w:val="NotesTable-CellBold"/>
            </w:pPr>
            <w:r>
              <w:t>–</w:t>
            </w:r>
          </w:p>
        </w:tc>
        <w:tc>
          <w:tcPr>
            <w:tcW w:w="406" w:type="pct"/>
            <w:shd w:val="clear" w:color="auto" w:fill="CCCCCC"/>
          </w:tcPr>
          <w:p w14:paraId="038A114B" w14:textId="77777777" w:rsidR="00301DCB" w:rsidRPr="00301DCB" w:rsidRDefault="00301DCB" w:rsidP="001A5D4A">
            <w:pPr>
              <w:pStyle w:val="NotesTable-CellPlain"/>
            </w:pPr>
            <w:r w:rsidRPr="00301DCB">
              <w:t>–</w:t>
            </w:r>
          </w:p>
        </w:tc>
        <w:tc>
          <w:tcPr>
            <w:tcW w:w="406" w:type="pct"/>
            <w:shd w:val="clear" w:color="auto" w:fill="CCCCCC"/>
          </w:tcPr>
          <w:p w14:paraId="038A114C" w14:textId="77777777" w:rsidR="00301DCB" w:rsidRDefault="00301DCB" w:rsidP="001A5D4A">
            <w:pPr>
              <w:pStyle w:val="NotesTable-CellBold"/>
            </w:pPr>
            <w:r>
              <w:t>–</w:t>
            </w:r>
          </w:p>
        </w:tc>
        <w:tc>
          <w:tcPr>
            <w:tcW w:w="405" w:type="pct"/>
            <w:shd w:val="clear" w:color="auto" w:fill="CCCCCC"/>
          </w:tcPr>
          <w:p w14:paraId="038A114D" w14:textId="77777777" w:rsidR="00301DCB" w:rsidRPr="00301DCB" w:rsidRDefault="00301DCB" w:rsidP="001A5D4A">
            <w:pPr>
              <w:pStyle w:val="NotesTable-CellPlain"/>
            </w:pPr>
            <w:r w:rsidRPr="00301DCB">
              <w:t>–</w:t>
            </w:r>
          </w:p>
        </w:tc>
      </w:tr>
      <w:tr w:rsidR="00301DCB" w14:paraId="038A1156" w14:textId="77777777" w:rsidTr="00E52AAD">
        <w:trPr>
          <w:cantSplit/>
          <w:trHeight w:val="227"/>
        </w:trPr>
        <w:tc>
          <w:tcPr>
            <w:tcW w:w="550" w:type="pct"/>
          </w:tcPr>
          <w:p w14:paraId="038A114F" w14:textId="77777777" w:rsidR="00301DCB" w:rsidRDefault="00301DCB" w:rsidP="001A5D4A">
            <w:pPr>
              <w:pStyle w:val="Note-Refs"/>
            </w:pPr>
          </w:p>
        </w:tc>
        <w:tc>
          <w:tcPr>
            <w:tcW w:w="2557" w:type="pct"/>
            <w:shd w:val="clear" w:color="auto" w:fill="CCCCCC"/>
            <w:vAlign w:val="bottom"/>
          </w:tcPr>
          <w:p w14:paraId="038A1150" w14:textId="77777777" w:rsidR="00301DCB" w:rsidRDefault="00301DCB" w:rsidP="001A5D4A">
            <w:pPr>
              <w:pStyle w:val="NotesTable-ItemPlain"/>
              <w:rPr>
                <w:b/>
              </w:rPr>
            </w:pPr>
            <w:r>
              <w:t>Australian Scheme for Higher Education Repositories</w:t>
            </w:r>
          </w:p>
        </w:tc>
        <w:tc>
          <w:tcPr>
            <w:tcW w:w="270" w:type="pct"/>
            <w:shd w:val="clear" w:color="auto" w:fill="CCCCCC"/>
          </w:tcPr>
          <w:p w14:paraId="038A1151" w14:textId="77777777" w:rsidR="00301DCB" w:rsidRDefault="00301DCB" w:rsidP="001A5D4A">
            <w:pPr>
              <w:pStyle w:val="NotesTable-Notes"/>
            </w:pPr>
          </w:p>
        </w:tc>
        <w:tc>
          <w:tcPr>
            <w:tcW w:w="406" w:type="pct"/>
            <w:shd w:val="clear" w:color="auto" w:fill="CCCCCC"/>
          </w:tcPr>
          <w:p w14:paraId="038A1152" w14:textId="77777777" w:rsidR="00301DCB" w:rsidRDefault="00301DCB" w:rsidP="001A5D4A">
            <w:pPr>
              <w:pStyle w:val="NotesTable-CellBold"/>
            </w:pPr>
            <w:r>
              <w:t>–</w:t>
            </w:r>
          </w:p>
        </w:tc>
        <w:tc>
          <w:tcPr>
            <w:tcW w:w="406" w:type="pct"/>
            <w:shd w:val="clear" w:color="auto" w:fill="CCCCCC"/>
          </w:tcPr>
          <w:p w14:paraId="038A1153" w14:textId="77777777" w:rsidR="00301DCB" w:rsidRPr="00301DCB" w:rsidRDefault="00301DCB" w:rsidP="001A5D4A">
            <w:pPr>
              <w:pStyle w:val="NotesTable-CellPlain"/>
            </w:pPr>
            <w:r w:rsidRPr="00301DCB">
              <w:t>–</w:t>
            </w:r>
          </w:p>
        </w:tc>
        <w:tc>
          <w:tcPr>
            <w:tcW w:w="406" w:type="pct"/>
            <w:shd w:val="clear" w:color="auto" w:fill="CCCCCC"/>
          </w:tcPr>
          <w:p w14:paraId="038A1154" w14:textId="77777777" w:rsidR="00301DCB" w:rsidRDefault="00301DCB" w:rsidP="001A5D4A">
            <w:pPr>
              <w:pStyle w:val="NotesTable-CellBold"/>
            </w:pPr>
            <w:r>
              <w:t>–</w:t>
            </w:r>
          </w:p>
        </w:tc>
        <w:tc>
          <w:tcPr>
            <w:tcW w:w="405" w:type="pct"/>
            <w:shd w:val="clear" w:color="auto" w:fill="CCCCCC"/>
          </w:tcPr>
          <w:p w14:paraId="038A1155" w14:textId="77777777" w:rsidR="00301DCB" w:rsidRPr="00301DCB" w:rsidRDefault="00301DCB" w:rsidP="001A5D4A">
            <w:pPr>
              <w:pStyle w:val="NotesTable-CellPlain"/>
            </w:pPr>
            <w:r w:rsidRPr="00301DCB">
              <w:t>–</w:t>
            </w:r>
          </w:p>
        </w:tc>
      </w:tr>
      <w:tr w:rsidR="00301DCB" w14:paraId="038A115E" w14:textId="77777777" w:rsidTr="00E52AAD">
        <w:trPr>
          <w:cantSplit/>
          <w:trHeight w:val="227"/>
        </w:trPr>
        <w:tc>
          <w:tcPr>
            <w:tcW w:w="550" w:type="pct"/>
          </w:tcPr>
          <w:p w14:paraId="038A1157" w14:textId="77777777" w:rsidR="00301DCB" w:rsidRDefault="00301DCB" w:rsidP="001A5D4A">
            <w:pPr>
              <w:pStyle w:val="Note-Refs"/>
            </w:pPr>
          </w:p>
        </w:tc>
        <w:tc>
          <w:tcPr>
            <w:tcW w:w="2557" w:type="pct"/>
            <w:shd w:val="clear" w:color="auto" w:fill="CCCCCC"/>
            <w:vAlign w:val="bottom"/>
          </w:tcPr>
          <w:p w14:paraId="038A1158" w14:textId="77777777" w:rsidR="00301DCB" w:rsidRDefault="00301DCB" w:rsidP="001A5D4A">
            <w:pPr>
              <w:pStyle w:val="NotesTable-ItemPlain"/>
              <w:rPr>
                <w:b/>
              </w:rPr>
            </w:pPr>
            <w:r>
              <w:t>Commercialisation Training Scheme</w:t>
            </w:r>
          </w:p>
        </w:tc>
        <w:tc>
          <w:tcPr>
            <w:tcW w:w="270" w:type="pct"/>
            <w:shd w:val="clear" w:color="auto" w:fill="CCCCCC"/>
          </w:tcPr>
          <w:p w14:paraId="038A1159" w14:textId="77777777" w:rsidR="00301DCB" w:rsidRDefault="00301DCB" w:rsidP="001A5D4A">
            <w:pPr>
              <w:pStyle w:val="NotesTable-Notes"/>
            </w:pPr>
          </w:p>
        </w:tc>
        <w:tc>
          <w:tcPr>
            <w:tcW w:w="406" w:type="pct"/>
            <w:shd w:val="clear" w:color="auto" w:fill="CCCCCC"/>
          </w:tcPr>
          <w:p w14:paraId="038A115A" w14:textId="77777777" w:rsidR="00301DCB" w:rsidRDefault="00301DCB" w:rsidP="001A5D4A">
            <w:pPr>
              <w:pStyle w:val="NotesTable-CellBold"/>
            </w:pPr>
            <w:r>
              <w:t>–</w:t>
            </w:r>
          </w:p>
        </w:tc>
        <w:tc>
          <w:tcPr>
            <w:tcW w:w="406" w:type="pct"/>
            <w:shd w:val="clear" w:color="auto" w:fill="CCCCCC"/>
          </w:tcPr>
          <w:p w14:paraId="038A115B" w14:textId="77777777" w:rsidR="00301DCB" w:rsidRPr="00301DCB" w:rsidRDefault="00301DCB" w:rsidP="001A5D4A">
            <w:pPr>
              <w:pStyle w:val="NotesTable-CellPlain"/>
            </w:pPr>
            <w:r w:rsidRPr="00301DCB">
              <w:t>–</w:t>
            </w:r>
          </w:p>
        </w:tc>
        <w:tc>
          <w:tcPr>
            <w:tcW w:w="406" w:type="pct"/>
            <w:shd w:val="clear" w:color="auto" w:fill="CCCCCC"/>
          </w:tcPr>
          <w:p w14:paraId="038A115C" w14:textId="77777777" w:rsidR="00301DCB" w:rsidRDefault="00301DCB" w:rsidP="001A5D4A">
            <w:pPr>
              <w:pStyle w:val="NotesTable-CellBold"/>
            </w:pPr>
            <w:r>
              <w:t>–</w:t>
            </w:r>
          </w:p>
        </w:tc>
        <w:tc>
          <w:tcPr>
            <w:tcW w:w="405" w:type="pct"/>
            <w:shd w:val="clear" w:color="auto" w:fill="CCCCCC"/>
          </w:tcPr>
          <w:p w14:paraId="038A115D" w14:textId="77777777" w:rsidR="00301DCB" w:rsidRPr="00301DCB" w:rsidRDefault="00301DCB" w:rsidP="001A5D4A">
            <w:pPr>
              <w:pStyle w:val="NotesTable-CellPlain"/>
            </w:pPr>
            <w:r w:rsidRPr="00301DCB">
              <w:t>–</w:t>
            </w:r>
          </w:p>
        </w:tc>
      </w:tr>
      <w:tr w:rsidR="00301DCB" w14:paraId="038A1166" w14:textId="77777777" w:rsidTr="00E52AAD">
        <w:trPr>
          <w:cantSplit/>
          <w:trHeight w:val="227"/>
        </w:trPr>
        <w:tc>
          <w:tcPr>
            <w:tcW w:w="550" w:type="pct"/>
          </w:tcPr>
          <w:p w14:paraId="038A115F" w14:textId="77777777" w:rsidR="00301DCB" w:rsidRDefault="00301DCB" w:rsidP="001A5D4A">
            <w:pPr>
              <w:pStyle w:val="Note-Refs"/>
            </w:pPr>
          </w:p>
        </w:tc>
        <w:tc>
          <w:tcPr>
            <w:tcW w:w="2557" w:type="pct"/>
            <w:shd w:val="clear" w:color="auto" w:fill="CCCCCC"/>
            <w:vAlign w:val="bottom"/>
          </w:tcPr>
          <w:p w14:paraId="038A1160" w14:textId="77777777" w:rsidR="00301DCB" w:rsidRDefault="00301DCB" w:rsidP="001A5D4A">
            <w:pPr>
              <w:pStyle w:val="NotesTable-ItemPlain"/>
              <w:rPr>
                <w:b/>
              </w:rPr>
            </w:pPr>
            <w:r>
              <w:t>Sustainable Research Excellence in Universities</w:t>
            </w:r>
          </w:p>
        </w:tc>
        <w:tc>
          <w:tcPr>
            <w:tcW w:w="270" w:type="pct"/>
            <w:shd w:val="clear" w:color="auto" w:fill="CCCCCC"/>
          </w:tcPr>
          <w:p w14:paraId="038A1161" w14:textId="77777777" w:rsidR="00301DCB" w:rsidRDefault="00301DCB" w:rsidP="001A5D4A">
            <w:pPr>
              <w:pStyle w:val="NotesTable-Notes"/>
            </w:pPr>
          </w:p>
        </w:tc>
        <w:tc>
          <w:tcPr>
            <w:tcW w:w="406" w:type="pct"/>
            <w:shd w:val="clear" w:color="auto" w:fill="CCCCCC"/>
          </w:tcPr>
          <w:p w14:paraId="038A1162" w14:textId="77777777" w:rsidR="00301DCB" w:rsidRDefault="00301DCB" w:rsidP="001A5D4A">
            <w:pPr>
              <w:pStyle w:val="NotesTable-CellBold"/>
            </w:pPr>
            <w:r>
              <w:t>–</w:t>
            </w:r>
          </w:p>
        </w:tc>
        <w:tc>
          <w:tcPr>
            <w:tcW w:w="406" w:type="pct"/>
            <w:shd w:val="clear" w:color="auto" w:fill="CCCCCC"/>
          </w:tcPr>
          <w:p w14:paraId="038A1163" w14:textId="77777777" w:rsidR="00301DCB" w:rsidRPr="00301DCB" w:rsidRDefault="00301DCB" w:rsidP="001A5D4A">
            <w:pPr>
              <w:pStyle w:val="NotesTable-CellPlain"/>
            </w:pPr>
            <w:r w:rsidRPr="00301DCB">
              <w:t>–</w:t>
            </w:r>
          </w:p>
        </w:tc>
        <w:tc>
          <w:tcPr>
            <w:tcW w:w="406" w:type="pct"/>
            <w:shd w:val="clear" w:color="auto" w:fill="CCCCCC"/>
          </w:tcPr>
          <w:p w14:paraId="038A1164" w14:textId="77777777" w:rsidR="00301DCB" w:rsidRDefault="00301DCB" w:rsidP="001A5D4A">
            <w:pPr>
              <w:pStyle w:val="NotesTable-CellBold"/>
            </w:pPr>
            <w:r>
              <w:t>–</w:t>
            </w:r>
          </w:p>
        </w:tc>
        <w:tc>
          <w:tcPr>
            <w:tcW w:w="405" w:type="pct"/>
            <w:shd w:val="clear" w:color="auto" w:fill="CCCCCC"/>
          </w:tcPr>
          <w:p w14:paraId="038A1165" w14:textId="77777777" w:rsidR="00301DCB" w:rsidRPr="00301DCB" w:rsidRDefault="00301DCB" w:rsidP="001A5D4A">
            <w:pPr>
              <w:pStyle w:val="NotesTable-CellPlain"/>
            </w:pPr>
            <w:r w:rsidRPr="00301DCB">
              <w:t>–</w:t>
            </w:r>
          </w:p>
        </w:tc>
      </w:tr>
      <w:tr w:rsidR="00301DCB" w14:paraId="038A116E" w14:textId="77777777" w:rsidTr="00E52AAD">
        <w:trPr>
          <w:cantSplit/>
          <w:trHeight w:val="227"/>
        </w:trPr>
        <w:tc>
          <w:tcPr>
            <w:tcW w:w="550" w:type="pct"/>
          </w:tcPr>
          <w:p w14:paraId="038A1167" w14:textId="77777777" w:rsidR="00301DCB" w:rsidRDefault="00301DCB" w:rsidP="001A5D4A">
            <w:pPr>
              <w:pStyle w:val="Note-Refs"/>
            </w:pPr>
          </w:p>
        </w:tc>
        <w:tc>
          <w:tcPr>
            <w:tcW w:w="2557" w:type="pct"/>
            <w:shd w:val="clear" w:color="auto" w:fill="CCCCCC"/>
            <w:vAlign w:val="bottom"/>
          </w:tcPr>
          <w:p w14:paraId="038A1168" w14:textId="77777777" w:rsidR="00301DCB" w:rsidRDefault="00301DCB" w:rsidP="001A5D4A">
            <w:pPr>
              <w:pStyle w:val="NotesTable-ItemPlain"/>
              <w:rPr>
                <w:b/>
              </w:rPr>
            </w:pPr>
            <w:r>
              <w:t>Other</w:t>
            </w:r>
          </w:p>
        </w:tc>
        <w:tc>
          <w:tcPr>
            <w:tcW w:w="270" w:type="pct"/>
            <w:shd w:val="clear" w:color="auto" w:fill="CCCCCC"/>
          </w:tcPr>
          <w:p w14:paraId="038A1169" w14:textId="77777777" w:rsidR="00301DCB" w:rsidRDefault="00301DCB" w:rsidP="001A5D4A">
            <w:pPr>
              <w:pStyle w:val="NotesTable-Notes"/>
            </w:pPr>
          </w:p>
        </w:tc>
        <w:tc>
          <w:tcPr>
            <w:tcW w:w="406" w:type="pct"/>
            <w:tcBorders>
              <w:bottom w:val="single" w:sz="4" w:space="0" w:color="000000"/>
            </w:tcBorders>
            <w:shd w:val="clear" w:color="auto" w:fill="CCCCCC"/>
          </w:tcPr>
          <w:p w14:paraId="038A116A" w14:textId="77777777" w:rsidR="00301DCB" w:rsidRDefault="00301DCB" w:rsidP="001A5D4A">
            <w:pPr>
              <w:pStyle w:val="NotesTable-CellBold"/>
            </w:pPr>
            <w:r>
              <w:t>–</w:t>
            </w:r>
          </w:p>
        </w:tc>
        <w:tc>
          <w:tcPr>
            <w:tcW w:w="406" w:type="pct"/>
            <w:tcBorders>
              <w:bottom w:val="single" w:sz="4" w:space="0" w:color="000000"/>
            </w:tcBorders>
            <w:shd w:val="clear" w:color="auto" w:fill="CCCCCC"/>
          </w:tcPr>
          <w:p w14:paraId="038A116B" w14:textId="77777777" w:rsidR="00301DCB" w:rsidRPr="00301DCB" w:rsidRDefault="00301DCB" w:rsidP="001A5D4A">
            <w:pPr>
              <w:pStyle w:val="NotesTable-CellPlain"/>
            </w:pPr>
            <w:r w:rsidRPr="00301DCB">
              <w:t>–</w:t>
            </w:r>
          </w:p>
        </w:tc>
        <w:tc>
          <w:tcPr>
            <w:tcW w:w="406" w:type="pct"/>
            <w:tcBorders>
              <w:bottom w:val="single" w:sz="4" w:space="0" w:color="000000"/>
            </w:tcBorders>
            <w:shd w:val="clear" w:color="auto" w:fill="CCCCCC"/>
          </w:tcPr>
          <w:p w14:paraId="038A116C" w14:textId="77777777" w:rsidR="00301DCB" w:rsidRDefault="00301DCB" w:rsidP="001A5D4A">
            <w:pPr>
              <w:pStyle w:val="NotesTable-CellBold"/>
            </w:pPr>
            <w:r>
              <w:t>–</w:t>
            </w:r>
          </w:p>
        </w:tc>
        <w:tc>
          <w:tcPr>
            <w:tcW w:w="405" w:type="pct"/>
            <w:tcBorders>
              <w:bottom w:val="single" w:sz="4" w:space="0" w:color="000000"/>
            </w:tcBorders>
            <w:shd w:val="clear" w:color="auto" w:fill="CCCCCC"/>
          </w:tcPr>
          <w:p w14:paraId="038A116D" w14:textId="77777777" w:rsidR="00301DCB" w:rsidRPr="00301DCB" w:rsidRDefault="00301DCB" w:rsidP="001A5D4A">
            <w:pPr>
              <w:pStyle w:val="NotesTable-CellPlain"/>
            </w:pPr>
            <w:r w:rsidRPr="00301DCB">
              <w:t>–</w:t>
            </w:r>
          </w:p>
        </w:tc>
      </w:tr>
      <w:tr w:rsidR="00301DCB" w14:paraId="038A1176" w14:textId="77777777" w:rsidTr="00E52AAD">
        <w:trPr>
          <w:cantSplit/>
          <w:trHeight w:val="227"/>
        </w:trPr>
        <w:tc>
          <w:tcPr>
            <w:tcW w:w="550" w:type="pct"/>
          </w:tcPr>
          <w:p w14:paraId="038A116F" w14:textId="77777777" w:rsidR="00301DCB" w:rsidRDefault="00301DCB" w:rsidP="001A5D4A">
            <w:pPr>
              <w:pStyle w:val="Note-Refs"/>
            </w:pPr>
          </w:p>
        </w:tc>
        <w:tc>
          <w:tcPr>
            <w:tcW w:w="2557" w:type="pct"/>
            <w:shd w:val="clear" w:color="auto" w:fill="CCCCCC"/>
            <w:vAlign w:val="bottom"/>
          </w:tcPr>
          <w:p w14:paraId="038A1170" w14:textId="77777777" w:rsidR="00301DCB" w:rsidRDefault="00301DCB" w:rsidP="001A5D4A">
            <w:pPr>
              <w:pStyle w:val="NotesTable-ItemPlain"/>
              <w:rPr>
                <w:b/>
              </w:rPr>
            </w:pPr>
            <w:r>
              <w:t xml:space="preserve">Total </w:t>
            </w:r>
            <w:r w:rsidR="00B90CFC">
              <w:t>EDUCATION</w:t>
            </w:r>
            <w:r>
              <w:t xml:space="preserve"> Research Grants</w:t>
            </w:r>
          </w:p>
        </w:tc>
        <w:tc>
          <w:tcPr>
            <w:tcW w:w="270" w:type="pct"/>
            <w:shd w:val="clear" w:color="auto" w:fill="CCCCCC"/>
          </w:tcPr>
          <w:p w14:paraId="038A1171" w14:textId="77777777" w:rsidR="00301DCB" w:rsidRDefault="00301DCB" w:rsidP="001A5D4A">
            <w:pPr>
              <w:pStyle w:val="NotesTable-Notes"/>
              <w:rPr>
                <w:shd w:val="clear" w:color="auto" w:fill="00FFFF"/>
              </w:rPr>
            </w:pPr>
          </w:p>
        </w:tc>
        <w:tc>
          <w:tcPr>
            <w:tcW w:w="406" w:type="pct"/>
            <w:tcBorders>
              <w:top w:val="single" w:sz="4" w:space="0" w:color="000000"/>
            </w:tcBorders>
            <w:shd w:val="clear" w:color="auto" w:fill="CCCCCC"/>
          </w:tcPr>
          <w:p w14:paraId="038A1172" w14:textId="77777777" w:rsidR="00301DCB" w:rsidRDefault="00301DCB" w:rsidP="001A5D4A">
            <w:pPr>
              <w:pStyle w:val="NotesTable-CellBold"/>
            </w:pPr>
            <w:r>
              <w:t>–</w:t>
            </w:r>
          </w:p>
        </w:tc>
        <w:tc>
          <w:tcPr>
            <w:tcW w:w="406" w:type="pct"/>
            <w:tcBorders>
              <w:top w:val="single" w:sz="4" w:space="0" w:color="000000"/>
            </w:tcBorders>
            <w:shd w:val="clear" w:color="auto" w:fill="CCCCCC"/>
          </w:tcPr>
          <w:p w14:paraId="038A1173" w14:textId="77777777" w:rsidR="00301DCB" w:rsidRPr="00301DCB" w:rsidRDefault="00301DCB" w:rsidP="001A5D4A">
            <w:pPr>
              <w:pStyle w:val="NotesTable-CellPlain"/>
            </w:pPr>
            <w:r w:rsidRPr="00301DCB">
              <w:t>–</w:t>
            </w:r>
          </w:p>
        </w:tc>
        <w:tc>
          <w:tcPr>
            <w:tcW w:w="406" w:type="pct"/>
            <w:tcBorders>
              <w:top w:val="single" w:sz="4" w:space="0" w:color="000000"/>
            </w:tcBorders>
            <w:shd w:val="clear" w:color="auto" w:fill="CCCCCC"/>
          </w:tcPr>
          <w:p w14:paraId="038A1174" w14:textId="77777777" w:rsidR="00301DCB" w:rsidRDefault="00301DCB" w:rsidP="001A5D4A">
            <w:pPr>
              <w:pStyle w:val="NotesTable-CellBold"/>
            </w:pPr>
            <w:r>
              <w:t>–</w:t>
            </w:r>
          </w:p>
        </w:tc>
        <w:tc>
          <w:tcPr>
            <w:tcW w:w="405" w:type="pct"/>
            <w:tcBorders>
              <w:top w:val="single" w:sz="4" w:space="0" w:color="000000"/>
            </w:tcBorders>
            <w:shd w:val="clear" w:color="auto" w:fill="CCCCCC"/>
          </w:tcPr>
          <w:p w14:paraId="038A1175" w14:textId="77777777" w:rsidR="00301DCB" w:rsidRPr="00301DCB" w:rsidRDefault="00301DCB" w:rsidP="001A5D4A">
            <w:pPr>
              <w:pStyle w:val="NotesTable-CellPlain"/>
            </w:pPr>
            <w:r w:rsidRPr="00301DCB">
              <w:t>–</w:t>
            </w:r>
          </w:p>
        </w:tc>
      </w:tr>
    </w:tbl>
    <w:p w14:paraId="37003B4C" w14:textId="77777777" w:rsidR="004914AC" w:rsidRDefault="004914AC">
      <w:r>
        <w:rPr>
          <w:iCs/>
        </w:rPr>
        <w:br w:type="page"/>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00701C" w14:paraId="038A1183" w14:textId="77777777" w:rsidTr="0000701C">
        <w:trPr>
          <w:cantSplit/>
          <w:trHeight w:val="180"/>
        </w:trPr>
        <w:tc>
          <w:tcPr>
            <w:tcW w:w="5000" w:type="pct"/>
            <w:gridSpan w:val="7"/>
          </w:tcPr>
          <w:p w14:paraId="038A1182" w14:textId="7DF37664" w:rsidR="0000701C" w:rsidRPr="0000701C" w:rsidRDefault="0000701C" w:rsidP="00B31ABF">
            <w:pPr>
              <w:pStyle w:val="Note-Refs"/>
              <w:rPr>
                <w:rFonts w:asciiTheme="majorHAnsi" w:hAnsiTheme="majorHAnsi"/>
                <w:b/>
                <w:i/>
                <w:sz w:val="32"/>
                <w:szCs w:val="32"/>
              </w:rPr>
            </w:pPr>
            <w:r w:rsidRPr="006B68EB">
              <w:lastRenderedPageBreak/>
              <w:br w:type="page"/>
            </w:r>
            <w:r>
              <w:rPr>
                <w:rFonts w:asciiTheme="majorHAnsi" w:hAnsiTheme="majorHAnsi"/>
                <w:b/>
                <w:i/>
                <w:sz w:val="32"/>
                <w:szCs w:val="32"/>
              </w:rPr>
              <w:t xml:space="preserve">Note 3. </w:t>
            </w:r>
            <w:r w:rsidRPr="0000701C">
              <w:rPr>
                <w:rFonts w:asciiTheme="majorHAnsi" w:hAnsiTheme="majorHAnsi"/>
                <w:b/>
                <w:i/>
                <w:sz w:val="32"/>
                <w:szCs w:val="32"/>
              </w:rPr>
              <w:t>Australian Government financial assistance including Australian Government loan programs (HELP) (continued)</w:t>
            </w:r>
          </w:p>
        </w:tc>
      </w:tr>
      <w:tr w:rsidR="0000701C" w14:paraId="1E4539D2" w14:textId="77777777" w:rsidTr="0000701C">
        <w:trPr>
          <w:cantSplit/>
          <w:trHeight w:val="180"/>
        </w:trPr>
        <w:tc>
          <w:tcPr>
            <w:tcW w:w="810" w:type="pct"/>
          </w:tcPr>
          <w:p w14:paraId="705A8B17" w14:textId="5C96E5DE" w:rsidR="0000701C" w:rsidRPr="0000701C" w:rsidRDefault="0000701C" w:rsidP="0000701C">
            <w:pPr>
              <w:pStyle w:val="Note-Refs"/>
              <w:rPr>
                <w:rFonts w:asciiTheme="minorHAnsi" w:hAnsiTheme="minorHAnsi" w:cstheme="minorHAnsi"/>
                <w:sz w:val="22"/>
                <w:szCs w:val="22"/>
              </w:rPr>
            </w:pPr>
            <w:r w:rsidRPr="0000701C">
              <w:rPr>
                <w:rFonts w:asciiTheme="minorHAnsi" w:hAnsiTheme="minorHAnsi" w:cstheme="minorHAnsi"/>
                <w:sz w:val="22"/>
                <w:szCs w:val="22"/>
              </w:rPr>
              <w:t>Mandatory</w:t>
            </w:r>
          </w:p>
          <w:p w14:paraId="60A98342" w14:textId="23FD60DF" w:rsidR="0000701C" w:rsidRPr="006B68EB" w:rsidRDefault="0000701C" w:rsidP="0000701C">
            <w:pPr>
              <w:pStyle w:val="Note-Refs"/>
            </w:pPr>
            <w:r w:rsidRPr="0000701C">
              <w:rPr>
                <w:rFonts w:asciiTheme="minorHAnsi" w:hAnsiTheme="minorHAnsi" w:cstheme="minorHAnsi"/>
                <w:sz w:val="22"/>
                <w:szCs w:val="22"/>
              </w:rPr>
              <w:t>Education</w:t>
            </w:r>
          </w:p>
        </w:tc>
        <w:tc>
          <w:tcPr>
            <w:tcW w:w="4190" w:type="pct"/>
            <w:gridSpan w:val="6"/>
            <w:shd w:val="clear" w:color="auto" w:fill="auto"/>
          </w:tcPr>
          <w:p w14:paraId="621D6F57" w14:textId="77777777" w:rsidR="0000701C" w:rsidRPr="0000701C" w:rsidRDefault="0000701C" w:rsidP="001A5D4A">
            <w:pPr>
              <w:rPr>
                <w:rFonts w:asciiTheme="majorHAnsi" w:hAnsiTheme="majorHAnsi"/>
                <w:b/>
                <w:i/>
                <w:sz w:val="32"/>
                <w:szCs w:val="32"/>
              </w:rPr>
            </w:pPr>
          </w:p>
        </w:tc>
      </w:tr>
      <w:tr w:rsidR="00023312" w14:paraId="038A1189" w14:textId="77777777" w:rsidTr="00E52AAD">
        <w:trPr>
          <w:cantSplit/>
          <w:trHeight w:hRule="exact" w:val="227"/>
        </w:trPr>
        <w:tc>
          <w:tcPr>
            <w:tcW w:w="810" w:type="pct"/>
          </w:tcPr>
          <w:p w14:paraId="038A1184" w14:textId="77777777" w:rsidR="00023312" w:rsidRDefault="00023312" w:rsidP="001A5D4A">
            <w:pPr>
              <w:pStyle w:val="Note-Refs"/>
            </w:pPr>
          </w:p>
        </w:tc>
        <w:tc>
          <w:tcPr>
            <w:tcW w:w="2297" w:type="pct"/>
            <w:shd w:val="clear" w:color="auto" w:fill="CDCDCD"/>
            <w:vAlign w:val="bottom"/>
          </w:tcPr>
          <w:p w14:paraId="038A1185" w14:textId="77777777" w:rsidR="00023312" w:rsidRDefault="00023312" w:rsidP="001A5D4A">
            <w:pPr>
              <w:pStyle w:val="NotesTable-ItemPlain"/>
            </w:pPr>
          </w:p>
        </w:tc>
        <w:tc>
          <w:tcPr>
            <w:tcW w:w="270" w:type="pct"/>
            <w:shd w:val="clear" w:color="auto" w:fill="CDCDCD"/>
          </w:tcPr>
          <w:p w14:paraId="038A1186" w14:textId="77777777" w:rsidR="00023312" w:rsidRDefault="00023312" w:rsidP="001A5D4A">
            <w:pPr>
              <w:pStyle w:val="NotesTable-Notes"/>
              <w:rPr>
                <w:b/>
              </w:rPr>
            </w:pPr>
            <w:r>
              <w:t>Notes</w:t>
            </w:r>
          </w:p>
        </w:tc>
        <w:tc>
          <w:tcPr>
            <w:tcW w:w="812" w:type="pct"/>
            <w:gridSpan w:val="2"/>
            <w:shd w:val="clear" w:color="auto" w:fill="CDCDCD"/>
          </w:tcPr>
          <w:p w14:paraId="038A1187" w14:textId="77777777" w:rsidR="00023312" w:rsidRDefault="00023312" w:rsidP="001A5D4A">
            <w:pPr>
              <w:pStyle w:val="NotesTable-HeadPlain"/>
            </w:pPr>
            <w:r>
              <w:t>Consolidated</w:t>
            </w:r>
          </w:p>
        </w:tc>
        <w:tc>
          <w:tcPr>
            <w:tcW w:w="811" w:type="pct"/>
            <w:gridSpan w:val="2"/>
            <w:shd w:val="clear" w:color="auto" w:fill="CDCDCD"/>
          </w:tcPr>
          <w:p w14:paraId="038A1188" w14:textId="77777777" w:rsidR="00023312" w:rsidRDefault="00023312" w:rsidP="001A5D4A">
            <w:pPr>
              <w:pStyle w:val="NotesTable-HeadPlain"/>
            </w:pPr>
            <w:r>
              <w:t>Parent entity</w:t>
            </w:r>
          </w:p>
        </w:tc>
      </w:tr>
      <w:tr w:rsidR="004023E5" w14:paraId="038A1191" w14:textId="77777777" w:rsidTr="00E52AAD">
        <w:trPr>
          <w:cantSplit/>
          <w:trHeight w:hRule="exact" w:val="227"/>
        </w:trPr>
        <w:tc>
          <w:tcPr>
            <w:tcW w:w="810" w:type="pct"/>
          </w:tcPr>
          <w:p w14:paraId="038A118A" w14:textId="77777777" w:rsidR="004023E5" w:rsidRDefault="004023E5" w:rsidP="001A5D4A">
            <w:pPr>
              <w:pStyle w:val="Note-Refs"/>
            </w:pPr>
          </w:p>
        </w:tc>
        <w:tc>
          <w:tcPr>
            <w:tcW w:w="2297" w:type="pct"/>
            <w:shd w:val="clear" w:color="auto" w:fill="CDCDCD"/>
            <w:vAlign w:val="bottom"/>
          </w:tcPr>
          <w:p w14:paraId="038A118B" w14:textId="77777777" w:rsidR="004023E5" w:rsidRDefault="004023E5" w:rsidP="001A5D4A">
            <w:pPr>
              <w:pStyle w:val="NotesTable-ItemPlain"/>
            </w:pPr>
          </w:p>
        </w:tc>
        <w:tc>
          <w:tcPr>
            <w:tcW w:w="270" w:type="pct"/>
            <w:shd w:val="clear" w:color="auto" w:fill="CDCDCD"/>
          </w:tcPr>
          <w:p w14:paraId="038A118C" w14:textId="77777777" w:rsidR="004023E5" w:rsidRDefault="004023E5" w:rsidP="001A5D4A">
            <w:pPr>
              <w:pStyle w:val="NotesTable-Notes"/>
              <w:rPr>
                <w:shd w:val="clear" w:color="auto" w:fill="00FFFF"/>
              </w:rPr>
            </w:pPr>
          </w:p>
        </w:tc>
        <w:tc>
          <w:tcPr>
            <w:tcW w:w="406" w:type="pct"/>
            <w:shd w:val="clear" w:color="auto" w:fill="CDCDCD"/>
          </w:tcPr>
          <w:p w14:paraId="038A118D" w14:textId="5A01D856" w:rsidR="004023E5" w:rsidRDefault="006864EC" w:rsidP="001A5D4A">
            <w:pPr>
              <w:pStyle w:val="NotesTable-HeadBold"/>
            </w:pPr>
            <w:r>
              <w:t>2014</w:t>
            </w:r>
          </w:p>
        </w:tc>
        <w:tc>
          <w:tcPr>
            <w:tcW w:w="406" w:type="pct"/>
            <w:shd w:val="clear" w:color="auto" w:fill="CDCDCD"/>
          </w:tcPr>
          <w:p w14:paraId="038A118E" w14:textId="13D551C8" w:rsidR="004023E5" w:rsidRDefault="006864EC" w:rsidP="001A5D4A">
            <w:pPr>
              <w:pStyle w:val="NotesTable-HeadPlain"/>
            </w:pPr>
            <w:r>
              <w:t>2013</w:t>
            </w:r>
          </w:p>
        </w:tc>
        <w:tc>
          <w:tcPr>
            <w:tcW w:w="406" w:type="pct"/>
            <w:shd w:val="clear" w:color="auto" w:fill="CDCDCD"/>
          </w:tcPr>
          <w:p w14:paraId="038A118F" w14:textId="79AF26C4" w:rsidR="004023E5" w:rsidRDefault="006864EC" w:rsidP="001A5D4A">
            <w:pPr>
              <w:pStyle w:val="NotesTable-HeadBold"/>
            </w:pPr>
            <w:r>
              <w:t>2014</w:t>
            </w:r>
          </w:p>
        </w:tc>
        <w:tc>
          <w:tcPr>
            <w:tcW w:w="405" w:type="pct"/>
            <w:shd w:val="clear" w:color="auto" w:fill="CDCDCD"/>
          </w:tcPr>
          <w:p w14:paraId="038A1190" w14:textId="4F6F277C" w:rsidR="004023E5" w:rsidRDefault="006864EC" w:rsidP="001A5D4A">
            <w:pPr>
              <w:pStyle w:val="NotesTable-HeadPlain"/>
            </w:pPr>
            <w:r>
              <w:t>2013</w:t>
            </w:r>
          </w:p>
        </w:tc>
      </w:tr>
      <w:tr w:rsidR="004023E5" w14:paraId="038A1199" w14:textId="77777777" w:rsidTr="00E52AAD">
        <w:trPr>
          <w:cantSplit/>
          <w:trHeight w:hRule="exact" w:val="227"/>
        </w:trPr>
        <w:tc>
          <w:tcPr>
            <w:tcW w:w="810" w:type="pct"/>
          </w:tcPr>
          <w:p w14:paraId="038A1192" w14:textId="77777777" w:rsidR="004023E5" w:rsidRDefault="004023E5" w:rsidP="001A5D4A">
            <w:pPr>
              <w:pStyle w:val="Note-Refs"/>
            </w:pPr>
          </w:p>
        </w:tc>
        <w:tc>
          <w:tcPr>
            <w:tcW w:w="2297" w:type="pct"/>
            <w:shd w:val="clear" w:color="auto" w:fill="CDCDCD"/>
            <w:vAlign w:val="bottom"/>
          </w:tcPr>
          <w:p w14:paraId="038A1193" w14:textId="77777777" w:rsidR="004023E5" w:rsidRDefault="004023E5" w:rsidP="001A5D4A">
            <w:pPr>
              <w:pStyle w:val="NotesTable-ItemPlain"/>
            </w:pPr>
          </w:p>
        </w:tc>
        <w:tc>
          <w:tcPr>
            <w:tcW w:w="270" w:type="pct"/>
            <w:shd w:val="clear" w:color="auto" w:fill="CDCDCD"/>
          </w:tcPr>
          <w:p w14:paraId="038A1194" w14:textId="77777777" w:rsidR="004023E5" w:rsidRDefault="004023E5" w:rsidP="001A5D4A">
            <w:pPr>
              <w:pStyle w:val="NotesTable-Notes"/>
              <w:rPr>
                <w:shd w:val="clear" w:color="auto" w:fill="00FFFF"/>
              </w:rPr>
            </w:pPr>
          </w:p>
        </w:tc>
        <w:tc>
          <w:tcPr>
            <w:tcW w:w="406" w:type="pct"/>
            <w:shd w:val="clear" w:color="auto" w:fill="CDCDCD"/>
          </w:tcPr>
          <w:p w14:paraId="038A1195" w14:textId="77777777" w:rsidR="004023E5" w:rsidRDefault="004023E5" w:rsidP="001A5D4A">
            <w:pPr>
              <w:pStyle w:val="NotesTable-HeadBold"/>
            </w:pPr>
            <w:r>
              <w:t>$’000</w:t>
            </w:r>
          </w:p>
        </w:tc>
        <w:tc>
          <w:tcPr>
            <w:tcW w:w="406" w:type="pct"/>
            <w:shd w:val="clear" w:color="auto" w:fill="CDCDCD"/>
          </w:tcPr>
          <w:p w14:paraId="038A1196" w14:textId="77777777" w:rsidR="004023E5" w:rsidRDefault="004023E5" w:rsidP="001A5D4A">
            <w:pPr>
              <w:pStyle w:val="NotesTable-HeadPlain"/>
            </w:pPr>
            <w:r>
              <w:t>$’000</w:t>
            </w:r>
          </w:p>
        </w:tc>
        <w:tc>
          <w:tcPr>
            <w:tcW w:w="406" w:type="pct"/>
            <w:shd w:val="clear" w:color="auto" w:fill="CDCDCD"/>
          </w:tcPr>
          <w:p w14:paraId="038A1197" w14:textId="77777777" w:rsidR="004023E5" w:rsidRDefault="004023E5" w:rsidP="001A5D4A">
            <w:pPr>
              <w:pStyle w:val="NotesTable-HeadBold"/>
            </w:pPr>
            <w:r>
              <w:t>$’000</w:t>
            </w:r>
          </w:p>
        </w:tc>
        <w:tc>
          <w:tcPr>
            <w:tcW w:w="405" w:type="pct"/>
            <w:shd w:val="clear" w:color="auto" w:fill="CDCDCD"/>
          </w:tcPr>
          <w:p w14:paraId="038A1198" w14:textId="77777777" w:rsidR="004023E5" w:rsidRDefault="004023E5" w:rsidP="001A5D4A">
            <w:pPr>
              <w:pStyle w:val="NotesTable-HeadPlain"/>
            </w:pPr>
            <w:r>
              <w:t>$’000</w:t>
            </w:r>
          </w:p>
        </w:tc>
      </w:tr>
      <w:tr w:rsidR="004023E5" w14:paraId="038A11A1" w14:textId="77777777" w:rsidTr="00E52AAD">
        <w:trPr>
          <w:cantSplit/>
          <w:trHeight w:hRule="exact" w:val="227"/>
        </w:trPr>
        <w:tc>
          <w:tcPr>
            <w:tcW w:w="810" w:type="pct"/>
          </w:tcPr>
          <w:p w14:paraId="038A119A" w14:textId="77777777" w:rsidR="004023E5" w:rsidRDefault="004023E5" w:rsidP="001A5D4A">
            <w:pPr>
              <w:pStyle w:val="Note-Refs"/>
            </w:pPr>
          </w:p>
        </w:tc>
        <w:tc>
          <w:tcPr>
            <w:tcW w:w="2297" w:type="pct"/>
            <w:shd w:val="clear" w:color="auto" w:fill="CDCDCD"/>
            <w:vAlign w:val="bottom"/>
          </w:tcPr>
          <w:p w14:paraId="038A119B" w14:textId="258FDE97" w:rsidR="004023E5" w:rsidRDefault="004023E5" w:rsidP="001A5D4A">
            <w:pPr>
              <w:pStyle w:val="Statement-ItemBold"/>
            </w:pPr>
            <w:r>
              <w:t>(e) Voluntary Student Unionism</w:t>
            </w:r>
          </w:p>
        </w:tc>
        <w:tc>
          <w:tcPr>
            <w:tcW w:w="270" w:type="pct"/>
            <w:shd w:val="clear" w:color="auto" w:fill="CDCDCD"/>
          </w:tcPr>
          <w:p w14:paraId="038A119C" w14:textId="1EE8B937" w:rsidR="004023E5" w:rsidRDefault="004023E5" w:rsidP="001A5D4A">
            <w:pPr>
              <w:pStyle w:val="NotesTable-Notes"/>
              <w:rPr>
                <w:b/>
              </w:rPr>
            </w:pPr>
            <w:r>
              <w:t>5</w:t>
            </w:r>
            <w:r w:rsidR="00713AFB">
              <w:t>3</w:t>
            </w:r>
            <w:r w:rsidR="006447BA">
              <w:t>e</w:t>
            </w:r>
          </w:p>
        </w:tc>
        <w:tc>
          <w:tcPr>
            <w:tcW w:w="406" w:type="pct"/>
            <w:shd w:val="clear" w:color="auto" w:fill="CDCDCD"/>
            <w:vAlign w:val="center"/>
          </w:tcPr>
          <w:p w14:paraId="038A119D" w14:textId="77777777" w:rsidR="004023E5" w:rsidRDefault="004023E5" w:rsidP="001A5D4A">
            <w:pPr>
              <w:pStyle w:val="NotesTable-CellBold"/>
            </w:pPr>
          </w:p>
        </w:tc>
        <w:tc>
          <w:tcPr>
            <w:tcW w:w="406" w:type="pct"/>
            <w:shd w:val="clear" w:color="auto" w:fill="CDCDCD"/>
            <w:vAlign w:val="center"/>
          </w:tcPr>
          <w:p w14:paraId="038A119E" w14:textId="77777777" w:rsidR="004023E5" w:rsidRDefault="004023E5" w:rsidP="001A5D4A">
            <w:pPr>
              <w:pStyle w:val="NotesTable-CellPlain"/>
            </w:pPr>
          </w:p>
        </w:tc>
        <w:tc>
          <w:tcPr>
            <w:tcW w:w="406" w:type="pct"/>
            <w:shd w:val="clear" w:color="auto" w:fill="CDCDCD"/>
            <w:vAlign w:val="center"/>
          </w:tcPr>
          <w:p w14:paraId="038A119F" w14:textId="77777777" w:rsidR="004023E5" w:rsidRDefault="004023E5" w:rsidP="001A5D4A">
            <w:pPr>
              <w:pStyle w:val="NotesTable-CellBold"/>
            </w:pPr>
          </w:p>
        </w:tc>
        <w:tc>
          <w:tcPr>
            <w:tcW w:w="405" w:type="pct"/>
            <w:shd w:val="clear" w:color="auto" w:fill="CDCDCD"/>
            <w:vAlign w:val="center"/>
          </w:tcPr>
          <w:p w14:paraId="038A11A0" w14:textId="77777777" w:rsidR="004023E5" w:rsidRDefault="004023E5" w:rsidP="001A5D4A">
            <w:pPr>
              <w:pStyle w:val="NotesTable-CellPlain"/>
            </w:pPr>
          </w:p>
        </w:tc>
      </w:tr>
      <w:tr w:rsidR="004023E5" w14:paraId="038A11A9" w14:textId="77777777" w:rsidTr="00E52AAD">
        <w:trPr>
          <w:cantSplit/>
          <w:trHeight w:hRule="exact" w:val="227"/>
        </w:trPr>
        <w:tc>
          <w:tcPr>
            <w:tcW w:w="810" w:type="pct"/>
          </w:tcPr>
          <w:p w14:paraId="038A11A2" w14:textId="77777777" w:rsidR="004023E5" w:rsidRDefault="004023E5" w:rsidP="001A5D4A">
            <w:pPr>
              <w:pStyle w:val="Note-Refs"/>
            </w:pPr>
          </w:p>
        </w:tc>
        <w:tc>
          <w:tcPr>
            <w:tcW w:w="2297" w:type="pct"/>
            <w:shd w:val="clear" w:color="auto" w:fill="CDCDCD"/>
            <w:vAlign w:val="bottom"/>
          </w:tcPr>
          <w:p w14:paraId="038A11A3" w14:textId="77777777" w:rsidR="004023E5" w:rsidRDefault="004023E5" w:rsidP="001A5D4A">
            <w:pPr>
              <w:pStyle w:val="NotesTable-ItemPlain"/>
              <w:rPr>
                <w:b/>
              </w:rPr>
            </w:pPr>
            <w:r>
              <w:t>VSU Transition Fund</w:t>
            </w:r>
          </w:p>
        </w:tc>
        <w:tc>
          <w:tcPr>
            <w:tcW w:w="270" w:type="pct"/>
            <w:shd w:val="clear" w:color="auto" w:fill="CDCDCD"/>
          </w:tcPr>
          <w:p w14:paraId="038A11A4" w14:textId="77777777" w:rsidR="004023E5" w:rsidRDefault="004023E5" w:rsidP="001A5D4A">
            <w:pPr>
              <w:pStyle w:val="NotesTable-Notes"/>
            </w:pPr>
          </w:p>
        </w:tc>
        <w:tc>
          <w:tcPr>
            <w:tcW w:w="406" w:type="pct"/>
            <w:shd w:val="clear" w:color="auto" w:fill="CDCDCD"/>
          </w:tcPr>
          <w:p w14:paraId="038A11A5" w14:textId="77777777" w:rsidR="004023E5" w:rsidRDefault="004023E5" w:rsidP="001A5D4A">
            <w:pPr>
              <w:pStyle w:val="NotesTable-CellBold"/>
            </w:pPr>
            <w:r>
              <w:t>–</w:t>
            </w:r>
          </w:p>
        </w:tc>
        <w:tc>
          <w:tcPr>
            <w:tcW w:w="406" w:type="pct"/>
            <w:shd w:val="clear" w:color="auto" w:fill="CDCDCD"/>
          </w:tcPr>
          <w:p w14:paraId="038A11A6" w14:textId="77777777" w:rsidR="004023E5" w:rsidRDefault="004023E5" w:rsidP="001A5D4A">
            <w:pPr>
              <w:pStyle w:val="StyleNotesTable-CellPlainBold"/>
            </w:pPr>
            <w:r>
              <w:t>–</w:t>
            </w:r>
          </w:p>
        </w:tc>
        <w:tc>
          <w:tcPr>
            <w:tcW w:w="406" w:type="pct"/>
            <w:shd w:val="clear" w:color="auto" w:fill="CDCDCD"/>
          </w:tcPr>
          <w:p w14:paraId="038A11A7" w14:textId="77777777" w:rsidR="004023E5" w:rsidRDefault="004023E5" w:rsidP="001A5D4A">
            <w:pPr>
              <w:pStyle w:val="NotesTable-CellBold"/>
            </w:pPr>
            <w:r>
              <w:t>–</w:t>
            </w:r>
          </w:p>
        </w:tc>
        <w:tc>
          <w:tcPr>
            <w:tcW w:w="405" w:type="pct"/>
            <w:shd w:val="clear" w:color="auto" w:fill="CDCDCD"/>
          </w:tcPr>
          <w:p w14:paraId="038A11A8" w14:textId="77777777" w:rsidR="004023E5" w:rsidRDefault="004023E5" w:rsidP="001A5D4A">
            <w:pPr>
              <w:pStyle w:val="StyleNotesTable-CellPlainBold"/>
            </w:pPr>
            <w:r>
              <w:t>–</w:t>
            </w:r>
          </w:p>
        </w:tc>
      </w:tr>
      <w:tr w:rsidR="004023E5" w14:paraId="038A11B1" w14:textId="77777777" w:rsidTr="00E52AAD">
        <w:trPr>
          <w:cantSplit/>
          <w:trHeight w:hRule="exact" w:val="227"/>
        </w:trPr>
        <w:tc>
          <w:tcPr>
            <w:tcW w:w="810" w:type="pct"/>
          </w:tcPr>
          <w:p w14:paraId="038A11AA" w14:textId="77777777" w:rsidR="004023E5" w:rsidRDefault="004023E5" w:rsidP="001A5D4A">
            <w:pPr>
              <w:pStyle w:val="Note-Refs"/>
            </w:pPr>
          </w:p>
        </w:tc>
        <w:tc>
          <w:tcPr>
            <w:tcW w:w="2297" w:type="pct"/>
            <w:shd w:val="clear" w:color="auto" w:fill="CDCDCD"/>
            <w:vAlign w:val="bottom"/>
          </w:tcPr>
          <w:p w14:paraId="038A11AB" w14:textId="77777777" w:rsidR="004023E5" w:rsidRDefault="004023E5" w:rsidP="001A5D4A">
            <w:pPr>
              <w:pStyle w:val="NotesTable-ItemPlain"/>
              <w:rPr>
                <w:b/>
              </w:rPr>
            </w:pPr>
            <w:r>
              <w:t>Support for Small Businesses</w:t>
            </w:r>
          </w:p>
        </w:tc>
        <w:tc>
          <w:tcPr>
            <w:tcW w:w="270" w:type="pct"/>
            <w:shd w:val="clear" w:color="auto" w:fill="CDCDCD"/>
          </w:tcPr>
          <w:p w14:paraId="038A11AC" w14:textId="77777777" w:rsidR="004023E5" w:rsidRDefault="004023E5" w:rsidP="001A5D4A">
            <w:pPr>
              <w:pStyle w:val="NotesTable-Notes"/>
            </w:pPr>
          </w:p>
        </w:tc>
        <w:tc>
          <w:tcPr>
            <w:tcW w:w="406" w:type="pct"/>
            <w:shd w:val="clear" w:color="auto" w:fill="CDCDCD"/>
          </w:tcPr>
          <w:p w14:paraId="038A11AD" w14:textId="77777777" w:rsidR="004023E5" w:rsidRDefault="004023E5" w:rsidP="001A5D4A">
            <w:pPr>
              <w:pStyle w:val="NotesTable-CellBold"/>
            </w:pPr>
            <w:r>
              <w:t>–</w:t>
            </w:r>
          </w:p>
        </w:tc>
        <w:tc>
          <w:tcPr>
            <w:tcW w:w="406" w:type="pct"/>
            <w:shd w:val="clear" w:color="auto" w:fill="CDCDCD"/>
          </w:tcPr>
          <w:p w14:paraId="038A11AE" w14:textId="77777777" w:rsidR="004023E5" w:rsidRDefault="004023E5" w:rsidP="001A5D4A">
            <w:pPr>
              <w:pStyle w:val="StyleNotesTable-CellPlainBold"/>
            </w:pPr>
            <w:r>
              <w:t>–</w:t>
            </w:r>
          </w:p>
        </w:tc>
        <w:tc>
          <w:tcPr>
            <w:tcW w:w="406" w:type="pct"/>
            <w:shd w:val="clear" w:color="auto" w:fill="CDCDCD"/>
          </w:tcPr>
          <w:p w14:paraId="038A11AF" w14:textId="77777777" w:rsidR="004023E5" w:rsidRDefault="004023E5" w:rsidP="001A5D4A">
            <w:pPr>
              <w:pStyle w:val="NotesTable-CellBold"/>
            </w:pPr>
            <w:r>
              <w:t>–</w:t>
            </w:r>
          </w:p>
        </w:tc>
        <w:tc>
          <w:tcPr>
            <w:tcW w:w="405" w:type="pct"/>
            <w:shd w:val="clear" w:color="auto" w:fill="CDCDCD"/>
          </w:tcPr>
          <w:p w14:paraId="038A11B0" w14:textId="77777777" w:rsidR="004023E5" w:rsidRDefault="004023E5" w:rsidP="001A5D4A">
            <w:pPr>
              <w:pStyle w:val="StyleNotesTable-CellPlainBold"/>
            </w:pPr>
            <w:r>
              <w:t>–</w:t>
            </w:r>
          </w:p>
        </w:tc>
      </w:tr>
      <w:tr w:rsidR="004023E5" w14:paraId="038A11B9" w14:textId="77777777" w:rsidTr="00E52AAD">
        <w:trPr>
          <w:cantSplit/>
          <w:trHeight w:hRule="exact" w:val="227"/>
        </w:trPr>
        <w:tc>
          <w:tcPr>
            <w:tcW w:w="810" w:type="pct"/>
          </w:tcPr>
          <w:p w14:paraId="038A11B2" w14:textId="77777777" w:rsidR="004023E5" w:rsidRDefault="004023E5" w:rsidP="001A5D4A">
            <w:pPr>
              <w:pStyle w:val="Note-Refs"/>
            </w:pPr>
          </w:p>
        </w:tc>
        <w:tc>
          <w:tcPr>
            <w:tcW w:w="2297" w:type="pct"/>
            <w:shd w:val="clear" w:color="auto" w:fill="CDCDCD"/>
            <w:vAlign w:val="bottom"/>
          </w:tcPr>
          <w:p w14:paraId="038A11B3" w14:textId="77777777" w:rsidR="004023E5" w:rsidRDefault="004023E5" w:rsidP="001A5D4A">
            <w:pPr>
              <w:pStyle w:val="NotesTable-ItemPlain"/>
              <w:rPr>
                <w:b/>
              </w:rPr>
            </w:pPr>
            <w:r>
              <w:t>Total VSU</w:t>
            </w:r>
          </w:p>
        </w:tc>
        <w:tc>
          <w:tcPr>
            <w:tcW w:w="270" w:type="pct"/>
            <w:shd w:val="clear" w:color="auto" w:fill="CDCDCD"/>
          </w:tcPr>
          <w:p w14:paraId="038A11B4" w14:textId="77777777" w:rsidR="004023E5" w:rsidRDefault="004023E5" w:rsidP="001A5D4A">
            <w:pPr>
              <w:pStyle w:val="NotesTable-Notes"/>
            </w:pPr>
          </w:p>
        </w:tc>
        <w:tc>
          <w:tcPr>
            <w:tcW w:w="406" w:type="pct"/>
            <w:tcBorders>
              <w:top w:val="single" w:sz="4" w:space="0" w:color="000000"/>
            </w:tcBorders>
            <w:shd w:val="clear" w:color="auto" w:fill="CDCDCD"/>
          </w:tcPr>
          <w:p w14:paraId="038A11B5" w14:textId="77777777" w:rsidR="004023E5" w:rsidRDefault="004023E5" w:rsidP="001A5D4A">
            <w:pPr>
              <w:pStyle w:val="NotesTable-CellBold"/>
            </w:pPr>
            <w:r>
              <w:t>–</w:t>
            </w:r>
          </w:p>
        </w:tc>
        <w:tc>
          <w:tcPr>
            <w:tcW w:w="406" w:type="pct"/>
            <w:tcBorders>
              <w:top w:val="single" w:sz="4" w:space="0" w:color="000000"/>
            </w:tcBorders>
            <w:shd w:val="clear" w:color="auto" w:fill="CDCDCD"/>
          </w:tcPr>
          <w:p w14:paraId="038A11B6" w14:textId="77777777" w:rsidR="004023E5" w:rsidRDefault="004023E5" w:rsidP="001A5D4A">
            <w:pPr>
              <w:pStyle w:val="StyleNotesTable-CellPlainBold"/>
            </w:pPr>
            <w:r>
              <w:t>–</w:t>
            </w:r>
          </w:p>
        </w:tc>
        <w:tc>
          <w:tcPr>
            <w:tcW w:w="406" w:type="pct"/>
            <w:tcBorders>
              <w:top w:val="single" w:sz="4" w:space="0" w:color="000000"/>
            </w:tcBorders>
            <w:shd w:val="clear" w:color="auto" w:fill="CDCDCD"/>
          </w:tcPr>
          <w:p w14:paraId="038A11B7" w14:textId="77777777" w:rsidR="004023E5" w:rsidRDefault="004023E5" w:rsidP="001A5D4A">
            <w:pPr>
              <w:pStyle w:val="NotesTable-CellBold"/>
            </w:pPr>
            <w:r>
              <w:t>–</w:t>
            </w:r>
          </w:p>
        </w:tc>
        <w:tc>
          <w:tcPr>
            <w:tcW w:w="405" w:type="pct"/>
            <w:tcBorders>
              <w:top w:val="single" w:sz="4" w:space="0" w:color="000000"/>
            </w:tcBorders>
            <w:shd w:val="clear" w:color="auto" w:fill="CDCDCD"/>
          </w:tcPr>
          <w:p w14:paraId="038A11B8" w14:textId="77777777" w:rsidR="004023E5" w:rsidRDefault="004023E5" w:rsidP="001A5D4A">
            <w:pPr>
              <w:pStyle w:val="StyleNotesTable-CellPlainBold"/>
            </w:pPr>
            <w:r>
              <w:t>–</w:t>
            </w:r>
          </w:p>
        </w:tc>
      </w:tr>
      <w:tr w:rsidR="004023E5" w14:paraId="038A11C1" w14:textId="77777777" w:rsidTr="00E52AAD">
        <w:trPr>
          <w:cantSplit/>
          <w:trHeight w:hRule="exact" w:val="227"/>
        </w:trPr>
        <w:tc>
          <w:tcPr>
            <w:tcW w:w="810" w:type="pct"/>
          </w:tcPr>
          <w:p w14:paraId="038A11BA" w14:textId="77777777" w:rsidR="004023E5" w:rsidRDefault="004023E5" w:rsidP="001A5D4A">
            <w:pPr>
              <w:pStyle w:val="Note-Refs"/>
            </w:pPr>
          </w:p>
        </w:tc>
        <w:tc>
          <w:tcPr>
            <w:tcW w:w="2297" w:type="pct"/>
            <w:shd w:val="clear" w:color="auto" w:fill="CDCDCD"/>
            <w:vAlign w:val="bottom"/>
          </w:tcPr>
          <w:p w14:paraId="038A11BB" w14:textId="77777777" w:rsidR="004023E5" w:rsidRDefault="004023E5" w:rsidP="001A5D4A">
            <w:pPr>
              <w:pStyle w:val="NotesTable-ItemPlain"/>
            </w:pPr>
          </w:p>
        </w:tc>
        <w:tc>
          <w:tcPr>
            <w:tcW w:w="270" w:type="pct"/>
            <w:shd w:val="clear" w:color="auto" w:fill="CDCDCD"/>
          </w:tcPr>
          <w:p w14:paraId="038A11BC" w14:textId="77777777" w:rsidR="004023E5" w:rsidRDefault="004023E5" w:rsidP="001A5D4A">
            <w:pPr>
              <w:pStyle w:val="NotesTable-Notes"/>
            </w:pPr>
          </w:p>
        </w:tc>
        <w:tc>
          <w:tcPr>
            <w:tcW w:w="406" w:type="pct"/>
            <w:shd w:val="clear" w:color="auto" w:fill="CDCDCD"/>
            <w:vAlign w:val="center"/>
          </w:tcPr>
          <w:p w14:paraId="038A11BD" w14:textId="77777777" w:rsidR="004023E5" w:rsidRDefault="004023E5" w:rsidP="001A5D4A">
            <w:pPr>
              <w:pStyle w:val="NotesTable-CellBold"/>
            </w:pPr>
          </w:p>
        </w:tc>
        <w:tc>
          <w:tcPr>
            <w:tcW w:w="406" w:type="pct"/>
            <w:shd w:val="clear" w:color="auto" w:fill="CDCDCD"/>
            <w:vAlign w:val="center"/>
          </w:tcPr>
          <w:p w14:paraId="038A11BE" w14:textId="77777777" w:rsidR="004023E5" w:rsidRDefault="004023E5" w:rsidP="001A5D4A">
            <w:pPr>
              <w:pStyle w:val="NotesTable-CellPlain"/>
            </w:pPr>
          </w:p>
        </w:tc>
        <w:tc>
          <w:tcPr>
            <w:tcW w:w="406" w:type="pct"/>
            <w:shd w:val="clear" w:color="auto" w:fill="CDCDCD"/>
            <w:vAlign w:val="center"/>
          </w:tcPr>
          <w:p w14:paraId="038A11BF" w14:textId="77777777" w:rsidR="004023E5" w:rsidRDefault="004023E5" w:rsidP="001A5D4A">
            <w:pPr>
              <w:pStyle w:val="NotesTable-CellBold"/>
            </w:pPr>
          </w:p>
        </w:tc>
        <w:tc>
          <w:tcPr>
            <w:tcW w:w="405" w:type="pct"/>
            <w:shd w:val="clear" w:color="auto" w:fill="CDCDCD"/>
            <w:vAlign w:val="center"/>
          </w:tcPr>
          <w:p w14:paraId="038A11C0" w14:textId="77777777" w:rsidR="004023E5" w:rsidRDefault="004023E5" w:rsidP="001A5D4A">
            <w:pPr>
              <w:pStyle w:val="NotesTable-CellPlain"/>
            </w:pPr>
          </w:p>
        </w:tc>
      </w:tr>
      <w:tr w:rsidR="004023E5" w14:paraId="038A11C9" w14:textId="77777777" w:rsidTr="00E52AAD">
        <w:trPr>
          <w:cantSplit/>
          <w:trHeight w:hRule="exact" w:val="227"/>
        </w:trPr>
        <w:tc>
          <w:tcPr>
            <w:tcW w:w="810" w:type="pct"/>
          </w:tcPr>
          <w:p w14:paraId="038A11C2" w14:textId="77777777" w:rsidR="004023E5" w:rsidRDefault="004023E5" w:rsidP="001A5D4A">
            <w:pPr>
              <w:pStyle w:val="Note-Refs"/>
            </w:pPr>
          </w:p>
        </w:tc>
        <w:tc>
          <w:tcPr>
            <w:tcW w:w="2297" w:type="pct"/>
            <w:shd w:val="clear" w:color="auto" w:fill="CDCDCD"/>
            <w:vAlign w:val="bottom"/>
          </w:tcPr>
          <w:p w14:paraId="038A11C3" w14:textId="77777777" w:rsidR="004023E5" w:rsidRDefault="004023E5" w:rsidP="001A5D4A">
            <w:pPr>
              <w:pStyle w:val="Statement-ItemBold"/>
            </w:pPr>
            <w:r>
              <w:t>(f) Other Capital Funding</w:t>
            </w:r>
          </w:p>
        </w:tc>
        <w:tc>
          <w:tcPr>
            <w:tcW w:w="270" w:type="pct"/>
            <w:shd w:val="clear" w:color="auto" w:fill="CDCDCD"/>
          </w:tcPr>
          <w:p w14:paraId="038A11C4" w14:textId="61162E19" w:rsidR="004023E5" w:rsidRDefault="004023E5" w:rsidP="001A5D4A">
            <w:pPr>
              <w:pStyle w:val="NotesTable-Notes"/>
              <w:rPr>
                <w:b/>
              </w:rPr>
            </w:pPr>
            <w:r>
              <w:t>5</w:t>
            </w:r>
            <w:r w:rsidR="00713AFB">
              <w:t>3</w:t>
            </w:r>
            <w:r w:rsidR="006447BA">
              <w:t>f</w:t>
            </w:r>
          </w:p>
        </w:tc>
        <w:tc>
          <w:tcPr>
            <w:tcW w:w="406" w:type="pct"/>
            <w:shd w:val="clear" w:color="auto" w:fill="CDCDCD"/>
          </w:tcPr>
          <w:p w14:paraId="038A11C5" w14:textId="77777777" w:rsidR="004023E5" w:rsidRDefault="004023E5" w:rsidP="001A5D4A">
            <w:pPr>
              <w:pStyle w:val="NotesTable-CellBold"/>
            </w:pPr>
          </w:p>
        </w:tc>
        <w:tc>
          <w:tcPr>
            <w:tcW w:w="406" w:type="pct"/>
            <w:shd w:val="clear" w:color="auto" w:fill="CDCDCD"/>
          </w:tcPr>
          <w:p w14:paraId="038A11C6" w14:textId="77777777" w:rsidR="004023E5" w:rsidRDefault="004023E5" w:rsidP="001A5D4A">
            <w:pPr>
              <w:pStyle w:val="NotesTable-CellPlain"/>
            </w:pPr>
          </w:p>
        </w:tc>
        <w:tc>
          <w:tcPr>
            <w:tcW w:w="406" w:type="pct"/>
            <w:shd w:val="clear" w:color="auto" w:fill="CDCDCD"/>
          </w:tcPr>
          <w:p w14:paraId="038A11C7" w14:textId="77777777" w:rsidR="004023E5" w:rsidRDefault="004023E5" w:rsidP="001A5D4A">
            <w:pPr>
              <w:pStyle w:val="NotesTable-CellBold"/>
            </w:pPr>
          </w:p>
        </w:tc>
        <w:tc>
          <w:tcPr>
            <w:tcW w:w="405" w:type="pct"/>
            <w:shd w:val="clear" w:color="auto" w:fill="CDCDCD"/>
          </w:tcPr>
          <w:p w14:paraId="038A11C8" w14:textId="77777777" w:rsidR="004023E5" w:rsidRDefault="004023E5" w:rsidP="001A5D4A">
            <w:pPr>
              <w:pStyle w:val="NotesTable-CellPlain"/>
            </w:pPr>
          </w:p>
        </w:tc>
      </w:tr>
      <w:tr w:rsidR="004023E5" w14:paraId="038A11D1" w14:textId="77777777" w:rsidTr="00E52AAD">
        <w:trPr>
          <w:cantSplit/>
          <w:trHeight w:hRule="exact" w:val="227"/>
        </w:trPr>
        <w:tc>
          <w:tcPr>
            <w:tcW w:w="810" w:type="pct"/>
          </w:tcPr>
          <w:p w14:paraId="038A11CA" w14:textId="77777777" w:rsidR="004023E5" w:rsidRDefault="004023E5" w:rsidP="001A5D4A">
            <w:pPr>
              <w:pStyle w:val="Note-Refs"/>
            </w:pPr>
          </w:p>
        </w:tc>
        <w:tc>
          <w:tcPr>
            <w:tcW w:w="2297" w:type="pct"/>
            <w:shd w:val="clear" w:color="auto" w:fill="CDCDCD"/>
            <w:vAlign w:val="bottom"/>
          </w:tcPr>
          <w:p w14:paraId="038A11CB" w14:textId="77777777" w:rsidR="004023E5" w:rsidRPr="008C7629" w:rsidRDefault="004023E5" w:rsidP="001A5D4A">
            <w:pPr>
              <w:pStyle w:val="NotesTable-ItemPlain"/>
              <w:rPr>
                <w:b/>
              </w:rPr>
            </w:pPr>
            <w:r w:rsidRPr="008C7629">
              <w:t>Better Universities Renewal Funding</w:t>
            </w:r>
          </w:p>
        </w:tc>
        <w:tc>
          <w:tcPr>
            <w:tcW w:w="270" w:type="pct"/>
            <w:shd w:val="clear" w:color="auto" w:fill="CDCDCD"/>
          </w:tcPr>
          <w:p w14:paraId="038A11CC" w14:textId="77777777" w:rsidR="004023E5" w:rsidRDefault="004023E5" w:rsidP="001A5D4A">
            <w:pPr>
              <w:pStyle w:val="NotesTable-Notes"/>
            </w:pPr>
          </w:p>
        </w:tc>
        <w:tc>
          <w:tcPr>
            <w:tcW w:w="406" w:type="pct"/>
            <w:shd w:val="clear" w:color="auto" w:fill="CDCDCD"/>
          </w:tcPr>
          <w:p w14:paraId="038A11CD" w14:textId="77777777" w:rsidR="004023E5" w:rsidRDefault="004023E5" w:rsidP="001A5D4A">
            <w:pPr>
              <w:pStyle w:val="NotesTable-CellBold"/>
            </w:pPr>
            <w:r>
              <w:t>–</w:t>
            </w:r>
          </w:p>
        </w:tc>
        <w:tc>
          <w:tcPr>
            <w:tcW w:w="406" w:type="pct"/>
            <w:shd w:val="clear" w:color="auto" w:fill="CDCDCD"/>
          </w:tcPr>
          <w:p w14:paraId="038A11CE" w14:textId="77777777" w:rsidR="004023E5" w:rsidRDefault="004023E5" w:rsidP="001A5D4A">
            <w:pPr>
              <w:pStyle w:val="StyleNotesTable-CellPlainBold"/>
            </w:pPr>
            <w:r>
              <w:t>–</w:t>
            </w:r>
          </w:p>
        </w:tc>
        <w:tc>
          <w:tcPr>
            <w:tcW w:w="406" w:type="pct"/>
            <w:shd w:val="clear" w:color="auto" w:fill="CDCDCD"/>
          </w:tcPr>
          <w:p w14:paraId="038A11CF" w14:textId="77777777" w:rsidR="004023E5" w:rsidRDefault="004023E5" w:rsidP="001A5D4A">
            <w:pPr>
              <w:pStyle w:val="NotesTable-CellBold"/>
            </w:pPr>
            <w:r>
              <w:t>–</w:t>
            </w:r>
          </w:p>
        </w:tc>
        <w:tc>
          <w:tcPr>
            <w:tcW w:w="405" w:type="pct"/>
            <w:shd w:val="clear" w:color="auto" w:fill="CDCDCD"/>
          </w:tcPr>
          <w:p w14:paraId="038A11D0" w14:textId="77777777" w:rsidR="004023E5" w:rsidRDefault="004023E5" w:rsidP="001A5D4A">
            <w:pPr>
              <w:pStyle w:val="StyleNotesTable-CellPlainBold"/>
            </w:pPr>
            <w:r>
              <w:t>–</w:t>
            </w:r>
          </w:p>
        </w:tc>
      </w:tr>
      <w:tr w:rsidR="004023E5" w14:paraId="038A11D9" w14:textId="77777777" w:rsidTr="00E52AAD">
        <w:trPr>
          <w:cantSplit/>
          <w:trHeight w:hRule="exact" w:val="227"/>
        </w:trPr>
        <w:tc>
          <w:tcPr>
            <w:tcW w:w="810" w:type="pct"/>
          </w:tcPr>
          <w:p w14:paraId="038A11D2" w14:textId="77777777" w:rsidR="004023E5" w:rsidRDefault="004023E5" w:rsidP="001A5D4A">
            <w:pPr>
              <w:pStyle w:val="Note-Refs"/>
            </w:pPr>
          </w:p>
        </w:tc>
        <w:tc>
          <w:tcPr>
            <w:tcW w:w="2297" w:type="pct"/>
            <w:shd w:val="clear" w:color="auto" w:fill="CDCDCD"/>
            <w:vAlign w:val="bottom"/>
          </w:tcPr>
          <w:p w14:paraId="038A11D3" w14:textId="77777777" w:rsidR="004023E5" w:rsidRPr="008C7629" w:rsidRDefault="004023E5" w:rsidP="001A5D4A">
            <w:pPr>
              <w:pStyle w:val="NotesTable-ItemPlain"/>
              <w:rPr>
                <w:b/>
              </w:rPr>
            </w:pPr>
            <w:r>
              <w:t>Teaching and Learning Capital Fund</w:t>
            </w:r>
          </w:p>
        </w:tc>
        <w:tc>
          <w:tcPr>
            <w:tcW w:w="270" w:type="pct"/>
            <w:shd w:val="clear" w:color="auto" w:fill="CDCDCD"/>
          </w:tcPr>
          <w:p w14:paraId="038A11D4" w14:textId="77777777" w:rsidR="004023E5" w:rsidRDefault="004023E5" w:rsidP="001A5D4A">
            <w:pPr>
              <w:pStyle w:val="NotesTable-Notes"/>
            </w:pPr>
          </w:p>
        </w:tc>
        <w:tc>
          <w:tcPr>
            <w:tcW w:w="406" w:type="pct"/>
            <w:shd w:val="clear" w:color="auto" w:fill="CDCDCD"/>
          </w:tcPr>
          <w:p w14:paraId="038A11D5" w14:textId="77777777" w:rsidR="004023E5" w:rsidRDefault="004023E5" w:rsidP="001A5D4A">
            <w:pPr>
              <w:pStyle w:val="NotesTable-CellBold"/>
            </w:pPr>
            <w:r>
              <w:t>–</w:t>
            </w:r>
          </w:p>
        </w:tc>
        <w:tc>
          <w:tcPr>
            <w:tcW w:w="406" w:type="pct"/>
            <w:shd w:val="clear" w:color="auto" w:fill="CDCDCD"/>
          </w:tcPr>
          <w:p w14:paraId="038A11D6" w14:textId="77777777" w:rsidR="004023E5" w:rsidRDefault="004023E5" w:rsidP="001A5D4A">
            <w:pPr>
              <w:pStyle w:val="StyleNotesTable-CellPlainBold"/>
            </w:pPr>
            <w:r>
              <w:t>–</w:t>
            </w:r>
          </w:p>
        </w:tc>
        <w:tc>
          <w:tcPr>
            <w:tcW w:w="406" w:type="pct"/>
            <w:shd w:val="clear" w:color="auto" w:fill="CDCDCD"/>
          </w:tcPr>
          <w:p w14:paraId="038A11D7" w14:textId="77777777" w:rsidR="004023E5" w:rsidRDefault="004023E5" w:rsidP="001A5D4A">
            <w:pPr>
              <w:pStyle w:val="NotesTable-CellBold"/>
            </w:pPr>
            <w:r>
              <w:t>–</w:t>
            </w:r>
          </w:p>
        </w:tc>
        <w:tc>
          <w:tcPr>
            <w:tcW w:w="405" w:type="pct"/>
            <w:shd w:val="clear" w:color="auto" w:fill="CDCDCD"/>
          </w:tcPr>
          <w:p w14:paraId="038A11D8" w14:textId="77777777" w:rsidR="004023E5" w:rsidRDefault="004023E5" w:rsidP="001A5D4A">
            <w:pPr>
              <w:pStyle w:val="StyleNotesTable-CellPlainBold"/>
            </w:pPr>
            <w:r>
              <w:t>–</w:t>
            </w:r>
          </w:p>
        </w:tc>
      </w:tr>
      <w:tr w:rsidR="004023E5" w14:paraId="038A11E1" w14:textId="77777777" w:rsidTr="00E52AAD">
        <w:trPr>
          <w:cantSplit/>
          <w:trHeight w:hRule="exact" w:val="227"/>
        </w:trPr>
        <w:tc>
          <w:tcPr>
            <w:tcW w:w="810" w:type="pct"/>
          </w:tcPr>
          <w:p w14:paraId="038A11DA" w14:textId="77777777" w:rsidR="004023E5" w:rsidRDefault="004023E5" w:rsidP="001A5D4A">
            <w:pPr>
              <w:pStyle w:val="Note-Refs"/>
            </w:pPr>
          </w:p>
        </w:tc>
        <w:tc>
          <w:tcPr>
            <w:tcW w:w="2297" w:type="pct"/>
            <w:shd w:val="clear" w:color="auto" w:fill="CDCDCD"/>
            <w:vAlign w:val="bottom"/>
          </w:tcPr>
          <w:p w14:paraId="038A11DB" w14:textId="77777777" w:rsidR="004023E5" w:rsidRPr="008C7629" w:rsidRDefault="004023E5" w:rsidP="001A5D4A">
            <w:pPr>
              <w:pStyle w:val="NotesTable-ItemPlain"/>
              <w:rPr>
                <w:b/>
              </w:rPr>
            </w:pPr>
            <w:r>
              <w:t>Education Investment Fund</w:t>
            </w:r>
          </w:p>
        </w:tc>
        <w:tc>
          <w:tcPr>
            <w:tcW w:w="270" w:type="pct"/>
            <w:shd w:val="clear" w:color="auto" w:fill="CDCDCD"/>
          </w:tcPr>
          <w:p w14:paraId="038A11DC" w14:textId="77777777" w:rsidR="004023E5" w:rsidRDefault="004023E5" w:rsidP="001A5D4A">
            <w:pPr>
              <w:pStyle w:val="NotesTable-Notes"/>
            </w:pPr>
          </w:p>
        </w:tc>
        <w:tc>
          <w:tcPr>
            <w:tcW w:w="406" w:type="pct"/>
            <w:tcBorders>
              <w:bottom w:val="single" w:sz="4" w:space="0" w:color="auto"/>
            </w:tcBorders>
            <w:shd w:val="clear" w:color="auto" w:fill="CDCDCD"/>
          </w:tcPr>
          <w:p w14:paraId="038A11DD" w14:textId="77777777" w:rsidR="004023E5" w:rsidRDefault="004023E5" w:rsidP="001A5D4A">
            <w:pPr>
              <w:pStyle w:val="NotesTable-CellBold"/>
            </w:pPr>
            <w:r>
              <w:t>–</w:t>
            </w:r>
          </w:p>
        </w:tc>
        <w:tc>
          <w:tcPr>
            <w:tcW w:w="406" w:type="pct"/>
            <w:tcBorders>
              <w:bottom w:val="single" w:sz="4" w:space="0" w:color="auto"/>
            </w:tcBorders>
            <w:shd w:val="clear" w:color="auto" w:fill="CDCDCD"/>
          </w:tcPr>
          <w:p w14:paraId="038A11DE" w14:textId="77777777" w:rsidR="004023E5" w:rsidRDefault="004023E5" w:rsidP="001A5D4A">
            <w:pPr>
              <w:pStyle w:val="StyleNotesTable-CellPlainBold"/>
            </w:pPr>
            <w:r>
              <w:t>–</w:t>
            </w:r>
          </w:p>
        </w:tc>
        <w:tc>
          <w:tcPr>
            <w:tcW w:w="406" w:type="pct"/>
            <w:tcBorders>
              <w:bottom w:val="single" w:sz="4" w:space="0" w:color="auto"/>
            </w:tcBorders>
            <w:shd w:val="clear" w:color="auto" w:fill="CDCDCD"/>
          </w:tcPr>
          <w:p w14:paraId="038A11DF" w14:textId="77777777" w:rsidR="004023E5" w:rsidRDefault="004023E5" w:rsidP="001A5D4A">
            <w:pPr>
              <w:pStyle w:val="NotesTable-CellBold"/>
            </w:pPr>
            <w:r>
              <w:t>–</w:t>
            </w:r>
          </w:p>
        </w:tc>
        <w:tc>
          <w:tcPr>
            <w:tcW w:w="405" w:type="pct"/>
            <w:tcBorders>
              <w:bottom w:val="single" w:sz="4" w:space="0" w:color="auto"/>
            </w:tcBorders>
            <w:shd w:val="clear" w:color="auto" w:fill="CDCDCD"/>
          </w:tcPr>
          <w:p w14:paraId="038A11E0" w14:textId="77777777" w:rsidR="004023E5" w:rsidRDefault="004023E5" w:rsidP="001A5D4A">
            <w:pPr>
              <w:pStyle w:val="StyleNotesTable-CellPlainBold"/>
            </w:pPr>
            <w:r>
              <w:t>–</w:t>
            </w:r>
          </w:p>
        </w:tc>
      </w:tr>
      <w:tr w:rsidR="004023E5" w14:paraId="038A11E9" w14:textId="77777777" w:rsidTr="00E52AAD">
        <w:trPr>
          <w:cantSplit/>
          <w:trHeight w:hRule="exact" w:val="227"/>
        </w:trPr>
        <w:tc>
          <w:tcPr>
            <w:tcW w:w="810" w:type="pct"/>
          </w:tcPr>
          <w:p w14:paraId="038A11E2" w14:textId="77777777" w:rsidR="004023E5" w:rsidRDefault="004023E5" w:rsidP="001A5D4A">
            <w:pPr>
              <w:pStyle w:val="Note-Refs"/>
            </w:pPr>
          </w:p>
        </w:tc>
        <w:tc>
          <w:tcPr>
            <w:tcW w:w="2297" w:type="pct"/>
            <w:shd w:val="clear" w:color="auto" w:fill="CDCDCD"/>
            <w:vAlign w:val="bottom"/>
          </w:tcPr>
          <w:p w14:paraId="038A11E3" w14:textId="77777777" w:rsidR="004023E5" w:rsidRPr="008C7629" w:rsidRDefault="004023E5" w:rsidP="001A5D4A">
            <w:pPr>
              <w:pStyle w:val="NotesTable-ItemPlain"/>
              <w:rPr>
                <w:b/>
              </w:rPr>
            </w:pPr>
            <w:r>
              <w:t>Total Other Capital Funding</w:t>
            </w:r>
          </w:p>
        </w:tc>
        <w:tc>
          <w:tcPr>
            <w:tcW w:w="270" w:type="pct"/>
            <w:shd w:val="clear" w:color="auto" w:fill="CDCDCD"/>
          </w:tcPr>
          <w:p w14:paraId="038A11E4" w14:textId="77777777" w:rsidR="004023E5" w:rsidRDefault="004023E5" w:rsidP="001A5D4A">
            <w:pPr>
              <w:pStyle w:val="NotesTable-Notes"/>
            </w:pPr>
          </w:p>
        </w:tc>
        <w:tc>
          <w:tcPr>
            <w:tcW w:w="406" w:type="pct"/>
            <w:tcBorders>
              <w:top w:val="single" w:sz="4" w:space="0" w:color="auto"/>
            </w:tcBorders>
            <w:shd w:val="clear" w:color="auto" w:fill="CDCDCD"/>
          </w:tcPr>
          <w:p w14:paraId="038A11E5" w14:textId="77777777" w:rsidR="004023E5" w:rsidRDefault="004023E5" w:rsidP="001A5D4A">
            <w:pPr>
              <w:pStyle w:val="NotesTable-CellBold"/>
            </w:pPr>
            <w:r>
              <w:t>–</w:t>
            </w:r>
          </w:p>
        </w:tc>
        <w:tc>
          <w:tcPr>
            <w:tcW w:w="406" w:type="pct"/>
            <w:tcBorders>
              <w:top w:val="single" w:sz="4" w:space="0" w:color="auto"/>
            </w:tcBorders>
            <w:shd w:val="clear" w:color="auto" w:fill="CDCDCD"/>
          </w:tcPr>
          <w:p w14:paraId="038A11E6" w14:textId="77777777" w:rsidR="004023E5" w:rsidRDefault="004023E5" w:rsidP="001A5D4A">
            <w:pPr>
              <w:pStyle w:val="StyleNotesTable-CellPlainBold"/>
            </w:pPr>
            <w:r>
              <w:t>–</w:t>
            </w:r>
          </w:p>
        </w:tc>
        <w:tc>
          <w:tcPr>
            <w:tcW w:w="406" w:type="pct"/>
            <w:tcBorders>
              <w:top w:val="single" w:sz="4" w:space="0" w:color="auto"/>
            </w:tcBorders>
            <w:shd w:val="clear" w:color="auto" w:fill="CDCDCD"/>
          </w:tcPr>
          <w:p w14:paraId="038A11E7" w14:textId="77777777" w:rsidR="004023E5" w:rsidRDefault="004023E5" w:rsidP="001A5D4A">
            <w:pPr>
              <w:pStyle w:val="NotesTable-CellBold"/>
            </w:pPr>
            <w:r>
              <w:t>–</w:t>
            </w:r>
          </w:p>
        </w:tc>
        <w:tc>
          <w:tcPr>
            <w:tcW w:w="405" w:type="pct"/>
            <w:tcBorders>
              <w:top w:val="single" w:sz="4" w:space="0" w:color="auto"/>
            </w:tcBorders>
            <w:shd w:val="clear" w:color="auto" w:fill="CDCDCD"/>
          </w:tcPr>
          <w:p w14:paraId="038A11E8" w14:textId="77777777" w:rsidR="004023E5" w:rsidRDefault="004023E5" w:rsidP="001A5D4A">
            <w:pPr>
              <w:pStyle w:val="StyleNotesTable-CellPlainBold"/>
            </w:pPr>
            <w:r>
              <w:t>–</w:t>
            </w:r>
          </w:p>
        </w:tc>
      </w:tr>
      <w:tr w:rsidR="004023E5" w14:paraId="038A11F1" w14:textId="77777777" w:rsidTr="00E52AAD">
        <w:trPr>
          <w:cantSplit/>
          <w:trHeight w:hRule="exact" w:val="227"/>
        </w:trPr>
        <w:tc>
          <w:tcPr>
            <w:tcW w:w="810" w:type="pct"/>
          </w:tcPr>
          <w:p w14:paraId="038A11EA" w14:textId="77777777" w:rsidR="004023E5" w:rsidRDefault="004023E5" w:rsidP="001A5D4A">
            <w:pPr>
              <w:pStyle w:val="Note-Refs"/>
            </w:pPr>
          </w:p>
        </w:tc>
        <w:tc>
          <w:tcPr>
            <w:tcW w:w="2297" w:type="pct"/>
            <w:shd w:val="clear" w:color="auto" w:fill="CDCDCD"/>
            <w:vAlign w:val="bottom"/>
          </w:tcPr>
          <w:p w14:paraId="038A11EB" w14:textId="77777777" w:rsidR="004023E5" w:rsidRDefault="004023E5" w:rsidP="001A5D4A">
            <w:pPr>
              <w:pStyle w:val="NotesTable-ItemPlain"/>
            </w:pPr>
          </w:p>
        </w:tc>
        <w:tc>
          <w:tcPr>
            <w:tcW w:w="270" w:type="pct"/>
            <w:shd w:val="clear" w:color="auto" w:fill="CDCDCD"/>
          </w:tcPr>
          <w:p w14:paraId="038A11EC" w14:textId="77777777" w:rsidR="004023E5" w:rsidRDefault="004023E5" w:rsidP="001A5D4A">
            <w:pPr>
              <w:pStyle w:val="NotesTable-Notes"/>
              <w:rPr>
                <w:shd w:val="clear" w:color="auto" w:fill="00FFFF"/>
              </w:rPr>
            </w:pPr>
          </w:p>
        </w:tc>
        <w:tc>
          <w:tcPr>
            <w:tcW w:w="406" w:type="pct"/>
            <w:shd w:val="clear" w:color="auto" w:fill="CDCDCD"/>
            <w:vAlign w:val="center"/>
          </w:tcPr>
          <w:p w14:paraId="038A11ED" w14:textId="77777777" w:rsidR="004023E5" w:rsidRDefault="004023E5" w:rsidP="001A5D4A">
            <w:pPr>
              <w:pStyle w:val="NotesTable-CellBold"/>
            </w:pPr>
          </w:p>
        </w:tc>
        <w:tc>
          <w:tcPr>
            <w:tcW w:w="406" w:type="pct"/>
            <w:shd w:val="clear" w:color="auto" w:fill="CDCDCD"/>
            <w:vAlign w:val="center"/>
          </w:tcPr>
          <w:p w14:paraId="038A11EE" w14:textId="77777777" w:rsidR="004023E5" w:rsidRDefault="004023E5" w:rsidP="001A5D4A">
            <w:pPr>
              <w:pStyle w:val="NotesTable-CellPlain"/>
            </w:pPr>
          </w:p>
        </w:tc>
        <w:tc>
          <w:tcPr>
            <w:tcW w:w="406" w:type="pct"/>
            <w:shd w:val="clear" w:color="auto" w:fill="CDCDCD"/>
            <w:vAlign w:val="center"/>
          </w:tcPr>
          <w:p w14:paraId="038A11EF" w14:textId="77777777" w:rsidR="004023E5" w:rsidRDefault="004023E5" w:rsidP="001A5D4A">
            <w:pPr>
              <w:pStyle w:val="NotesTable-CellBold"/>
            </w:pPr>
          </w:p>
        </w:tc>
        <w:tc>
          <w:tcPr>
            <w:tcW w:w="405" w:type="pct"/>
            <w:shd w:val="clear" w:color="auto" w:fill="CDCDCD"/>
            <w:vAlign w:val="center"/>
          </w:tcPr>
          <w:p w14:paraId="038A11F0" w14:textId="77777777" w:rsidR="004023E5" w:rsidRDefault="004023E5" w:rsidP="001A5D4A">
            <w:pPr>
              <w:pStyle w:val="NotesTable-CellPlain"/>
            </w:pPr>
          </w:p>
        </w:tc>
      </w:tr>
      <w:tr w:rsidR="004023E5" w14:paraId="038A11F9" w14:textId="77777777" w:rsidTr="00E52AAD">
        <w:trPr>
          <w:cantSplit/>
          <w:trHeight w:hRule="exact" w:val="227"/>
        </w:trPr>
        <w:tc>
          <w:tcPr>
            <w:tcW w:w="810" w:type="pct"/>
          </w:tcPr>
          <w:p w14:paraId="038A11F2" w14:textId="77777777" w:rsidR="004023E5" w:rsidRDefault="004023E5" w:rsidP="001A5D4A">
            <w:pPr>
              <w:pStyle w:val="Note-Refs"/>
            </w:pPr>
          </w:p>
        </w:tc>
        <w:tc>
          <w:tcPr>
            <w:tcW w:w="2297" w:type="pct"/>
            <w:shd w:val="clear" w:color="auto" w:fill="CDCDCD"/>
            <w:vAlign w:val="bottom"/>
          </w:tcPr>
          <w:p w14:paraId="038A11F3" w14:textId="77777777" w:rsidR="004023E5" w:rsidRDefault="004023E5" w:rsidP="001A5D4A">
            <w:pPr>
              <w:pStyle w:val="Statement-ItemBold"/>
            </w:pPr>
            <w:r>
              <w:t>(g) Australian Research Council</w:t>
            </w:r>
          </w:p>
        </w:tc>
        <w:tc>
          <w:tcPr>
            <w:tcW w:w="270" w:type="pct"/>
            <w:shd w:val="clear" w:color="auto" w:fill="CDCDCD"/>
          </w:tcPr>
          <w:p w14:paraId="038A11F4" w14:textId="2AF35AFC" w:rsidR="004023E5" w:rsidRDefault="004023E5" w:rsidP="001A5D4A">
            <w:pPr>
              <w:pStyle w:val="NotesTable-Notes"/>
              <w:rPr>
                <w:b/>
              </w:rPr>
            </w:pPr>
            <w:r>
              <w:t>5</w:t>
            </w:r>
            <w:r w:rsidR="00713AFB">
              <w:t>3</w:t>
            </w:r>
            <w:r w:rsidR="006447BA">
              <w:t>g</w:t>
            </w:r>
          </w:p>
        </w:tc>
        <w:tc>
          <w:tcPr>
            <w:tcW w:w="406" w:type="pct"/>
            <w:shd w:val="clear" w:color="auto" w:fill="CDCDCD"/>
            <w:vAlign w:val="center"/>
          </w:tcPr>
          <w:p w14:paraId="038A11F5" w14:textId="77777777" w:rsidR="004023E5" w:rsidRDefault="004023E5" w:rsidP="001A5D4A">
            <w:pPr>
              <w:pStyle w:val="NotesTable-CellBold"/>
            </w:pPr>
          </w:p>
        </w:tc>
        <w:tc>
          <w:tcPr>
            <w:tcW w:w="406" w:type="pct"/>
            <w:shd w:val="clear" w:color="auto" w:fill="CDCDCD"/>
            <w:vAlign w:val="center"/>
          </w:tcPr>
          <w:p w14:paraId="038A11F6" w14:textId="77777777" w:rsidR="004023E5" w:rsidRDefault="004023E5" w:rsidP="001A5D4A">
            <w:pPr>
              <w:pStyle w:val="NotesTable-CellPlain"/>
            </w:pPr>
          </w:p>
        </w:tc>
        <w:tc>
          <w:tcPr>
            <w:tcW w:w="406" w:type="pct"/>
            <w:shd w:val="clear" w:color="auto" w:fill="CDCDCD"/>
            <w:vAlign w:val="center"/>
          </w:tcPr>
          <w:p w14:paraId="038A11F7" w14:textId="77777777" w:rsidR="004023E5" w:rsidRDefault="004023E5" w:rsidP="001A5D4A">
            <w:pPr>
              <w:pStyle w:val="NotesTable-CellBold"/>
            </w:pPr>
          </w:p>
        </w:tc>
        <w:tc>
          <w:tcPr>
            <w:tcW w:w="405" w:type="pct"/>
            <w:shd w:val="clear" w:color="auto" w:fill="CDCDCD"/>
            <w:vAlign w:val="center"/>
          </w:tcPr>
          <w:p w14:paraId="038A11F8" w14:textId="77777777" w:rsidR="004023E5" w:rsidRDefault="004023E5" w:rsidP="001A5D4A">
            <w:pPr>
              <w:pStyle w:val="NotesTable-CellPlain"/>
            </w:pPr>
          </w:p>
        </w:tc>
      </w:tr>
      <w:tr w:rsidR="004023E5" w14:paraId="038A1201" w14:textId="77777777" w:rsidTr="00E52AAD">
        <w:trPr>
          <w:cantSplit/>
          <w:trHeight w:hRule="exact" w:val="227"/>
        </w:trPr>
        <w:tc>
          <w:tcPr>
            <w:tcW w:w="810" w:type="pct"/>
          </w:tcPr>
          <w:p w14:paraId="038A11FA" w14:textId="77777777" w:rsidR="004023E5" w:rsidRDefault="004023E5" w:rsidP="001A5D4A">
            <w:pPr>
              <w:pStyle w:val="Note-Refs"/>
            </w:pPr>
          </w:p>
        </w:tc>
        <w:tc>
          <w:tcPr>
            <w:tcW w:w="2297" w:type="pct"/>
            <w:shd w:val="clear" w:color="auto" w:fill="CDCDCD"/>
            <w:vAlign w:val="bottom"/>
          </w:tcPr>
          <w:p w14:paraId="038A11FB" w14:textId="77777777" w:rsidR="004023E5" w:rsidRDefault="004023E5" w:rsidP="001A5D4A">
            <w:pPr>
              <w:pStyle w:val="NotesTable-ItemPlain"/>
              <w:rPr>
                <w:b/>
              </w:rPr>
            </w:pPr>
            <w:r>
              <w:t>(i) Discovery</w:t>
            </w:r>
          </w:p>
        </w:tc>
        <w:tc>
          <w:tcPr>
            <w:tcW w:w="270" w:type="pct"/>
            <w:shd w:val="clear" w:color="auto" w:fill="CDCDCD"/>
          </w:tcPr>
          <w:p w14:paraId="038A11FC" w14:textId="54F65095" w:rsidR="004023E5" w:rsidRDefault="004023E5" w:rsidP="001A5D4A">
            <w:pPr>
              <w:pStyle w:val="NotesTable-Notes"/>
              <w:rPr>
                <w:b/>
              </w:rPr>
            </w:pPr>
            <w:r>
              <w:t>5</w:t>
            </w:r>
            <w:r w:rsidR="00713AFB">
              <w:t>3</w:t>
            </w:r>
            <w:r w:rsidR="006447BA">
              <w:t>g</w:t>
            </w:r>
            <w:r w:rsidR="002E4826">
              <w:t>(i)</w:t>
            </w:r>
          </w:p>
        </w:tc>
        <w:tc>
          <w:tcPr>
            <w:tcW w:w="406" w:type="pct"/>
            <w:shd w:val="clear" w:color="auto" w:fill="CDCDCD"/>
          </w:tcPr>
          <w:p w14:paraId="038A11FD" w14:textId="77777777" w:rsidR="004023E5" w:rsidRDefault="004023E5" w:rsidP="001A5D4A">
            <w:pPr>
              <w:pStyle w:val="NotesTable-CellBold"/>
            </w:pPr>
          </w:p>
        </w:tc>
        <w:tc>
          <w:tcPr>
            <w:tcW w:w="406" w:type="pct"/>
            <w:shd w:val="clear" w:color="auto" w:fill="CDCDCD"/>
          </w:tcPr>
          <w:p w14:paraId="038A11FE" w14:textId="77777777" w:rsidR="004023E5" w:rsidRDefault="004023E5" w:rsidP="001A5D4A">
            <w:pPr>
              <w:pStyle w:val="NotesTable-CellPlain"/>
            </w:pPr>
          </w:p>
        </w:tc>
        <w:tc>
          <w:tcPr>
            <w:tcW w:w="406" w:type="pct"/>
            <w:shd w:val="clear" w:color="auto" w:fill="CDCDCD"/>
          </w:tcPr>
          <w:p w14:paraId="038A11FF" w14:textId="77777777" w:rsidR="004023E5" w:rsidRDefault="004023E5" w:rsidP="001A5D4A">
            <w:pPr>
              <w:pStyle w:val="NotesTable-CellBold"/>
            </w:pPr>
          </w:p>
        </w:tc>
        <w:tc>
          <w:tcPr>
            <w:tcW w:w="405" w:type="pct"/>
            <w:shd w:val="clear" w:color="auto" w:fill="CDCDCD"/>
          </w:tcPr>
          <w:p w14:paraId="038A1200" w14:textId="77777777" w:rsidR="004023E5" w:rsidRDefault="004023E5" w:rsidP="001A5D4A">
            <w:pPr>
              <w:pStyle w:val="NotesTable-CellPlain"/>
            </w:pPr>
          </w:p>
        </w:tc>
      </w:tr>
      <w:tr w:rsidR="004023E5" w14:paraId="038A1209" w14:textId="77777777" w:rsidTr="00E52AAD">
        <w:trPr>
          <w:cantSplit/>
          <w:trHeight w:hRule="exact" w:val="227"/>
        </w:trPr>
        <w:tc>
          <w:tcPr>
            <w:tcW w:w="810" w:type="pct"/>
          </w:tcPr>
          <w:p w14:paraId="038A1202" w14:textId="77777777" w:rsidR="004023E5" w:rsidRDefault="004023E5" w:rsidP="001A5D4A">
            <w:pPr>
              <w:pStyle w:val="Note-Refs"/>
            </w:pPr>
          </w:p>
        </w:tc>
        <w:tc>
          <w:tcPr>
            <w:tcW w:w="2297" w:type="pct"/>
            <w:shd w:val="clear" w:color="auto" w:fill="CDCDCD"/>
            <w:vAlign w:val="bottom"/>
          </w:tcPr>
          <w:p w14:paraId="038A1203" w14:textId="77777777" w:rsidR="004023E5" w:rsidRDefault="004023E5" w:rsidP="001A5D4A">
            <w:pPr>
              <w:pStyle w:val="NotesTable-ItemPlain"/>
              <w:rPr>
                <w:b/>
              </w:rPr>
            </w:pPr>
            <w:r>
              <w:t>Project</w:t>
            </w:r>
          </w:p>
        </w:tc>
        <w:tc>
          <w:tcPr>
            <w:tcW w:w="270" w:type="pct"/>
            <w:shd w:val="clear" w:color="auto" w:fill="CDCDCD"/>
          </w:tcPr>
          <w:p w14:paraId="038A1204" w14:textId="77777777" w:rsidR="004023E5" w:rsidRDefault="004023E5" w:rsidP="001A5D4A">
            <w:pPr>
              <w:pStyle w:val="NotesTable-Notes"/>
            </w:pPr>
          </w:p>
        </w:tc>
        <w:tc>
          <w:tcPr>
            <w:tcW w:w="406" w:type="pct"/>
            <w:shd w:val="clear" w:color="auto" w:fill="CDCDCD"/>
          </w:tcPr>
          <w:p w14:paraId="038A1205" w14:textId="77777777" w:rsidR="004023E5" w:rsidRDefault="004023E5" w:rsidP="001A5D4A">
            <w:pPr>
              <w:pStyle w:val="NotesTable-CellBold"/>
            </w:pPr>
            <w:r>
              <w:t>–</w:t>
            </w:r>
          </w:p>
        </w:tc>
        <w:tc>
          <w:tcPr>
            <w:tcW w:w="406" w:type="pct"/>
            <w:shd w:val="clear" w:color="auto" w:fill="CDCDCD"/>
          </w:tcPr>
          <w:p w14:paraId="038A1206" w14:textId="77777777" w:rsidR="004023E5" w:rsidRDefault="004023E5" w:rsidP="001A5D4A">
            <w:pPr>
              <w:pStyle w:val="StyleNotesTable-CellPlainBold"/>
            </w:pPr>
            <w:r>
              <w:t>–</w:t>
            </w:r>
          </w:p>
        </w:tc>
        <w:tc>
          <w:tcPr>
            <w:tcW w:w="406" w:type="pct"/>
            <w:shd w:val="clear" w:color="auto" w:fill="CDCDCD"/>
          </w:tcPr>
          <w:p w14:paraId="038A1207" w14:textId="77777777" w:rsidR="004023E5" w:rsidRDefault="004023E5" w:rsidP="001A5D4A">
            <w:pPr>
              <w:pStyle w:val="NotesTable-CellBold"/>
            </w:pPr>
            <w:r>
              <w:t>–</w:t>
            </w:r>
          </w:p>
        </w:tc>
        <w:tc>
          <w:tcPr>
            <w:tcW w:w="405" w:type="pct"/>
            <w:shd w:val="clear" w:color="auto" w:fill="CDCDCD"/>
          </w:tcPr>
          <w:p w14:paraId="038A1208" w14:textId="77777777" w:rsidR="004023E5" w:rsidRDefault="004023E5" w:rsidP="001A5D4A">
            <w:pPr>
              <w:pStyle w:val="StyleNotesTable-CellPlainBold"/>
            </w:pPr>
            <w:r>
              <w:t>–</w:t>
            </w:r>
          </w:p>
        </w:tc>
      </w:tr>
      <w:tr w:rsidR="004023E5" w14:paraId="038A1211" w14:textId="77777777" w:rsidTr="00E52AAD">
        <w:trPr>
          <w:cantSplit/>
          <w:trHeight w:hRule="exact" w:val="227"/>
        </w:trPr>
        <w:tc>
          <w:tcPr>
            <w:tcW w:w="810" w:type="pct"/>
          </w:tcPr>
          <w:p w14:paraId="038A120A" w14:textId="77777777" w:rsidR="004023E5" w:rsidRDefault="004023E5" w:rsidP="001A5D4A">
            <w:pPr>
              <w:pStyle w:val="Note-Refs"/>
            </w:pPr>
          </w:p>
        </w:tc>
        <w:tc>
          <w:tcPr>
            <w:tcW w:w="2297" w:type="pct"/>
            <w:shd w:val="clear" w:color="auto" w:fill="CDCDCD"/>
            <w:vAlign w:val="bottom"/>
          </w:tcPr>
          <w:p w14:paraId="038A120B" w14:textId="087E5892" w:rsidR="004023E5" w:rsidRDefault="004023E5" w:rsidP="001A5D4A">
            <w:pPr>
              <w:pStyle w:val="NotesTable-ItemPlain"/>
              <w:rPr>
                <w:b/>
              </w:rPr>
            </w:pPr>
            <w:r>
              <w:t>Fellowships</w:t>
            </w:r>
            <w:r w:rsidR="00617F15" w:rsidRPr="00F405B7">
              <w:rPr>
                <w:vertAlign w:val="superscript"/>
              </w:rPr>
              <w:t>#</w:t>
            </w:r>
            <w:r w:rsidR="00B813F6">
              <w:rPr>
                <w:vertAlign w:val="superscript"/>
              </w:rPr>
              <w:t>6</w:t>
            </w:r>
          </w:p>
        </w:tc>
        <w:tc>
          <w:tcPr>
            <w:tcW w:w="270" w:type="pct"/>
            <w:shd w:val="clear" w:color="auto" w:fill="CDCDCD"/>
          </w:tcPr>
          <w:p w14:paraId="038A120C" w14:textId="77777777" w:rsidR="004023E5" w:rsidRDefault="004023E5" w:rsidP="001A5D4A">
            <w:pPr>
              <w:pStyle w:val="NotesTable-Notes"/>
            </w:pPr>
          </w:p>
        </w:tc>
        <w:tc>
          <w:tcPr>
            <w:tcW w:w="406" w:type="pct"/>
            <w:shd w:val="clear" w:color="auto" w:fill="CDCDCD"/>
          </w:tcPr>
          <w:p w14:paraId="038A120D" w14:textId="77777777" w:rsidR="004023E5" w:rsidRDefault="004023E5" w:rsidP="001A5D4A">
            <w:pPr>
              <w:pStyle w:val="NotesTable-CellBold"/>
            </w:pPr>
            <w:r>
              <w:t>–</w:t>
            </w:r>
          </w:p>
        </w:tc>
        <w:tc>
          <w:tcPr>
            <w:tcW w:w="406" w:type="pct"/>
            <w:shd w:val="clear" w:color="auto" w:fill="CDCDCD"/>
          </w:tcPr>
          <w:p w14:paraId="038A120E" w14:textId="77777777" w:rsidR="004023E5" w:rsidRDefault="004023E5" w:rsidP="001A5D4A">
            <w:pPr>
              <w:pStyle w:val="StyleNotesTable-CellPlainBold"/>
            </w:pPr>
            <w:r>
              <w:t>–</w:t>
            </w:r>
          </w:p>
        </w:tc>
        <w:tc>
          <w:tcPr>
            <w:tcW w:w="406" w:type="pct"/>
            <w:shd w:val="clear" w:color="auto" w:fill="CDCDCD"/>
          </w:tcPr>
          <w:p w14:paraId="038A120F" w14:textId="77777777" w:rsidR="004023E5" w:rsidRDefault="004023E5" w:rsidP="001A5D4A">
            <w:pPr>
              <w:pStyle w:val="NotesTable-CellBold"/>
            </w:pPr>
            <w:r>
              <w:t>–</w:t>
            </w:r>
          </w:p>
        </w:tc>
        <w:tc>
          <w:tcPr>
            <w:tcW w:w="405" w:type="pct"/>
            <w:shd w:val="clear" w:color="auto" w:fill="CDCDCD"/>
          </w:tcPr>
          <w:p w14:paraId="038A1210" w14:textId="77777777" w:rsidR="004023E5" w:rsidRDefault="004023E5" w:rsidP="001A5D4A">
            <w:pPr>
              <w:pStyle w:val="StyleNotesTable-CellPlainBold"/>
            </w:pPr>
            <w:r>
              <w:t>–</w:t>
            </w:r>
          </w:p>
        </w:tc>
      </w:tr>
      <w:tr w:rsidR="00EF5F7D" w14:paraId="038A1219" w14:textId="77777777" w:rsidTr="00E52AAD">
        <w:trPr>
          <w:cantSplit/>
          <w:trHeight w:hRule="exact" w:val="227"/>
        </w:trPr>
        <w:tc>
          <w:tcPr>
            <w:tcW w:w="810" w:type="pct"/>
          </w:tcPr>
          <w:p w14:paraId="038A1212" w14:textId="77777777" w:rsidR="00EF5F7D" w:rsidRDefault="00EF5F7D" w:rsidP="001A5D4A">
            <w:pPr>
              <w:pStyle w:val="Note-Refs"/>
            </w:pPr>
          </w:p>
        </w:tc>
        <w:tc>
          <w:tcPr>
            <w:tcW w:w="2297" w:type="pct"/>
            <w:shd w:val="clear" w:color="auto" w:fill="CDCDCD"/>
            <w:vAlign w:val="bottom"/>
          </w:tcPr>
          <w:p w14:paraId="038A1213" w14:textId="77777777" w:rsidR="00EF5F7D" w:rsidRDefault="00EF5F7D" w:rsidP="001A5D4A">
            <w:pPr>
              <w:pStyle w:val="NotesTable-ItemPlain"/>
              <w:rPr>
                <w:b/>
              </w:rPr>
            </w:pPr>
            <w:r>
              <w:t>Indigenous Researchers Development</w:t>
            </w:r>
          </w:p>
        </w:tc>
        <w:tc>
          <w:tcPr>
            <w:tcW w:w="270" w:type="pct"/>
            <w:shd w:val="clear" w:color="auto" w:fill="CDCDCD"/>
          </w:tcPr>
          <w:p w14:paraId="038A1214" w14:textId="77777777" w:rsidR="00EF5F7D" w:rsidRDefault="00EF5F7D" w:rsidP="001A5D4A">
            <w:pPr>
              <w:pStyle w:val="NotesTable-Notes"/>
            </w:pPr>
          </w:p>
        </w:tc>
        <w:tc>
          <w:tcPr>
            <w:tcW w:w="406" w:type="pct"/>
            <w:tcBorders>
              <w:bottom w:val="single" w:sz="4" w:space="0" w:color="000000"/>
            </w:tcBorders>
            <w:shd w:val="clear" w:color="auto" w:fill="CDCDCD"/>
          </w:tcPr>
          <w:p w14:paraId="038A1215" w14:textId="77777777" w:rsidR="00EF5F7D" w:rsidRDefault="00EF5F7D" w:rsidP="001A5D4A">
            <w:pPr>
              <w:pStyle w:val="NotesTable-CellBold"/>
            </w:pPr>
            <w:r>
              <w:t>–</w:t>
            </w:r>
          </w:p>
        </w:tc>
        <w:tc>
          <w:tcPr>
            <w:tcW w:w="406" w:type="pct"/>
            <w:tcBorders>
              <w:bottom w:val="single" w:sz="4" w:space="0" w:color="000000"/>
            </w:tcBorders>
            <w:shd w:val="clear" w:color="auto" w:fill="CDCDCD"/>
          </w:tcPr>
          <w:p w14:paraId="038A1216" w14:textId="77777777" w:rsidR="00EF5F7D" w:rsidRDefault="00EF5F7D" w:rsidP="001A5D4A">
            <w:pPr>
              <w:pStyle w:val="StyleNotesTable-CellPlainBold"/>
            </w:pPr>
            <w:r>
              <w:t>–</w:t>
            </w:r>
          </w:p>
        </w:tc>
        <w:tc>
          <w:tcPr>
            <w:tcW w:w="406" w:type="pct"/>
            <w:tcBorders>
              <w:bottom w:val="single" w:sz="4" w:space="0" w:color="000000"/>
            </w:tcBorders>
            <w:shd w:val="clear" w:color="auto" w:fill="CDCDCD"/>
          </w:tcPr>
          <w:p w14:paraId="038A1217" w14:textId="77777777" w:rsidR="00EF5F7D" w:rsidRDefault="00EF5F7D" w:rsidP="001A5D4A">
            <w:pPr>
              <w:pStyle w:val="NotesTable-CellBold"/>
            </w:pPr>
            <w:r>
              <w:t>–</w:t>
            </w:r>
          </w:p>
        </w:tc>
        <w:tc>
          <w:tcPr>
            <w:tcW w:w="405" w:type="pct"/>
            <w:tcBorders>
              <w:bottom w:val="single" w:sz="4" w:space="0" w:color="000000"/>
            </w:tcBorders>
            <w:shd w:val="clear" w:color="auto" w:fill="CDCDCD"/>
          </w:tcPr>
          <w:p w14:paraId="038A1218" w14:textId="77777777" w:rsidR="00EF5F7D" w:rsidRDefault="00EF5F7D" w:rsidP="001A5D4A">
            <w:pPr>
              <w:pStyle w:val="StyleNotesTable-CellPlainBold"/>
            </w:pPr>
            <w:r>
              <w:t>–</w:t>
            </w:r>
          </w:p>
        </w:tc>
      </w:tr>
      <w:tr w:rsidR="004023E5" w14:paraId="038A1221" w14:textId="77777777" w:rsidTr="00E52AAD">
        <w:trPr>
          <w:cantSplit/>
          <w:trHeight w:hRule="exact" w:val="227"/>
        </w:trPr>
        <w:tc>
          <w:tcPr>
            <w:tcW w:w="810" w:type="pct"/>
          </w:tcPr>
          <w:p w14:paraId="038A121A" w14:textId="77777777" w:rsidR="004023E5" w:rsidRDefault="004023E5" w:rsidP="001A5D4A">
            <w:pPr>
              <w:pStyle w:val="Note-Refs"/>
            </w:pPr>
          </w:p>
        </w:tc>
        <w:tc>
          <w:tcPr>
            <w:tcW w:w="2297" w:type="pct"/>
            <w:shd w:val="clear" w:color="auto" w:fill="CDCDCD"/>
            <w:vAlign w:val="bottom"/>
          </w:tcPr>
          <w:p w14:paraId="038A121B" w14:textId="77777777" w:rsidR="004023E5" w:rsidRDefault="004023E5" w:rsidP="001A5D4A">
            <w:pPr>
              <w:pStyle w:val="NotesTable-ItemPlain"/>
              <w:rPr>
                <w:b/>
              </w:rPr>
            </w:pPr>
            <w:r>
              <w:t>Total Discovery</w:t>
            </w:r>
          </w:p>
        </w:tc>
        <w:tc>
          <w:tcPr>
            <w:tcW w:w="270" w:type="pct"/>
            <w:shd w:val="clear" w:color="auto" w:fill="CDCDCD"/>
          </w:tcPr>
          <w:p w14:paraId="038A121C" w14:textId="77777777" w:rsidR="004023E5" w:rsidRDefault="004023E5" w:rsidP="001A5D4A">
            <w:pPr>
              <w:pStyle w:val="NotesTable-Notes"/>
            </w:pPr>
          </w:p>
        </w:tc>
        <w:tc>
          <w:tcPr>
            <w:tcW w:w="406" w:type="pct"/>
            <w:tcBorders>
              <w:top w:val="single" w:sz="4" w:space="0" w:color="000000"/>
            </w:tcBorders>
            <w:shd w:val="clear" w:color="auto" w:fill="CDCDCD"/>
          </w:tcPr>
          <w:p w14:paraId="038A121D" w14:textId="77777777" w:rsidR="004023E5" w:rsidRDefault="004023E5" w:rsidP="001A5D4A">
            <w:pPr>
              <w:pStyle w:val="NotesTable-CellBold"/>
            </w:pPr>
            <w:r>
              <w:t>–</w:t>
            </w:r>
          </w:p>
        </w:tc>
        <w:tc>
          <w:tcPr>
            <w:tcW w:w="406" w:type="pct"/>
            <w:tcBorders>
              <w:top w:val="single" w:sz="4" w:space="0" w:color="000000"/>
            </w:tcBorders>
            <w:shd w:val="clear" w:color="auto" w:fill="CDCDCD"/>
          </w:tcPr>
          <w:p w14:paraId="038A121E" w14:textId="77777777" w:rsidR="004023E5" w:rsidRDefault="004023E5" w:rsidP="001A5D4A">
            <w:pPr>
              <w:pStyle w:val="StyleNotesTable-CellPlainBold"/>
            </w:pPr>
            <w:r>
              <w:t>–</w:t>
            </w:r>
          </w:p>
        </w:tc>
        <w:tc>
          <w:tcPr>
            <w:tcW w:w="406" w:type="pct"/>
            <w:tcBorders>
              <w:top w:val="single" w:sz="4" w:space="0" w:color="000000"/>
            </w:tcBorders>
            <w:shd w:val="clear" w:color="auto" w:fill="CDCDCD"/>
          </w:tcPr>
          <w:p w14:paraId="038A121F" w14:textId="77777777" w:rsidR="004023E5" w:rsidRDefault="004023E5" w:rsidP="001A5D4A">
            <w:pPr>
              <w:pStyle w:val="NotesTable-CellBold"/>
            </w:pPr>
            <w:r>
              <w:t>–</w:t>
            </w:r>
          </w:p>
        </w:tc>
        <w:tc>
          <w:tcPr>
            <w:tcW w:w="405" w:type="pct"/>
            <w:tcBorders>
              <w:top w:val="single" w:sz="4" w:space="0" w:color="000000"/>
            </w:tcBorders>
            <w:shd w:val="clear" w:color="auto" w:fill="CDCDCD"/>
          </w:tcPr>
          <w:p w14:paraId="038A1220" w14:textId="77777777" w:rsidR="004023E5" w:rsidRDefault="004023E5" w:rsidP="001A5D4A">
            <w:pPr>
              <w:pStyle w:val="StyleNotesTable-CellPlainBold"/>
            </w:pPr>
            <w:r>
              <w:t>–</w:t>
            </w:r>
          </w:p>
        </w:tc>
      </w:tr>
      <w:tr w:rsidR="004023E5" w14:paraId="038A1229" w14:textId="77777777" w:rsidTr="00E52AAD">
        <w:trPr>
          <w:cantSplit/>
          <w:trHeight w:hRule="exact" w:val="227"/>
        </w:trPr>
        <w:tc>
          <w:tcPr>
            <w:tcW w:w="810" w:type="pct"/>
          </w:tcPr>
          <w:p w14:paraId="038A1222" w14:textId="77777777" w:rsidR="004023E5" w:rsidRDefault="004023E5" w:rsidP="001A5D4A">
            <w:pPr>
              <w:pStyle w:val="Note-Refs"/>
            </w:pPr>
          </w:p>
        </w:tc>
        <w:tc>
          <w:tcPr>
            <w:tcW w:w="2297" w:type="pct"/>
            <w:shd w:val="clear" w:color="auto" w:fill="CDCDCD"/>
            <w:vAlign w:val="bottom"/>
          </w:tcPr>
          <w:p w14:paraId="038A1223" w14:textId="77777777" w:rsidR="004023E5" w:rsidRDefault="004023E5" w:rsidP="001A5D4A">
            <w:pPr>
              <w:pStyle w:val="NotesTable-ItemPlain"/>
            </w:pPr>
          </w:p>
        </w:tc>
        <w:tc>
          <w:tcPr>
            <w:tcW w:w="270" w:type="pct"/>
            <w:shd w:val="clear" w:color="auto" w:fill="CDCDCD"/>
          </w:tcPr>
          <w:p w14:paraId="038A1224" w14:textId="77777777" w:rsidR="004023E5" w:rsidRDefault="004023E5" w:rsidP="001A5D4A">
            <w:pPr>
              <w:pStyle w:val="NotesTable-Notes"/>
              <w:rPr>
                <w:shd w:val="clear" w:color="auto" w:fill="00FFFF"/>
              </w:rPr>
            </w:pPr>
          </w:p>
        </w:tc>
        <w:tc>
          <w:tcPr>
            <w:tcW w:w="406" w:type="pct"/>
            <w:shd w:val="clear" w:color="auto" w:fill="CDCDCD"/>
            <w:vAlign w:val="center"/>
          </w:tcPr>
          <w:p w14:paraId="038A1225" w14:textId="77777777" w:rsidR="004023E5" w:rsidRDefault="004023E5" w:rsidP="001A5D4A">
            <w:pPr>
              <w:pStyle w:val="NotesTable-CellBold"/>
            </w:pPr>
          </w:p>
        </w:tc>
        <w:tc>
          <w:tcPr>
            <w:tcW w:w="406" w:type="pct"/>
            <w:shd w:val="clear" w:color="auto" w:fill="CDCDCD"/>
            <w:vAlign w:val="center"/>
          </w:tcPr>
          <w:p w14:paraId="038A1226" w14:textId="77777777" w:rsidR="004023E5" w:rsidRDefault="004023E5" w:rsidP="001A5D4A">
            <w:pPr>
              <w:pStyle w:val="NotesTable-CellPlain"/>
            </w:pPr>
          </w:p>
        </w:tc>
        <w:tc>
          <w:tcPr>
            <w:tcW w:w="406" w:type="pct"/>
            <w:shd w:val="clear" w:color="auto" w:fill="CDCDCD"/>
            <w:vAlign w:val="center"/>
          </w:tcPr>
          <w:p w14:paraId="038A1227" w14:textId="77777777" w:rsidR="004023E5" w:rsidRDefault="004023E5" w:rsidP="001A5D4A">
            <w:pPr>
              <w:pStyle w:val="NotesTable-CellBold"/>
            </w:pPr>
          </w:p>
        </w:tc>
        <w:tc>
          <w:tcPr>
            <w:tcW w:w="405" w:type="pct"/>
            <w:shd w:val="clear" w:color="auto" w:fill="CDCDCD"/>
            <w:vAlign w:val="center"/>
          </w:tcPr>
          <w:p w14:paraId="038A1228" w14:textId="77777777" w:rsidR="004023E5" w:rsidRDefault="004023E5" w:rsidP="001A5D4A">
            <w:pPr>
              <w:pStyle w:val="NotesTable-CellPlain"/>
            </w:pPr>
          </w:p>
        </w:tc>
      </w:tr>
      <w:tr w:rsidR="004023E5" w14:paraId="038A1231" w14:textId="77777777" w:rsidTr="00E52AAD">
        <w:trPr>
          <w:cantSplit/>
          <w:trHeight w:hRule="exact" w:val="227"/>
        </w:trPr>
        <w:tc>
          <w:tcPr>
            <w:tcW w:w="810" w:type="pct"/>
          </w:tcPr>
          <w:p w14:paraId="038A122A" w14:textId="77777777" w:rsidR="004023E5" w:rsidRDefault="004023E5" w:rsidP="001A5D4A">
            <w:pPr>
              <w:pStyle w:val="Note-Refs"/>
            </w:pPr>
          </w:p>
        </w:tc>
        <w:tc>
          <w:tcPr>
            <w:tcW w:w="2297" w:type="pct"/>
            <w:shd w:val="clear" w:color="auto" w:fill="CDCDCD"/>
            <w:vAlign w:val="bottom"/>
          </w:tcPr>
          <w:p w14:paraId="038A122B" w14:textId="77777777" w:rsidR="004023E5" w:rsidRDefault="004023E5" w:rsidP="001A5D4A">
            <w:pPr>
              <w:pStyle w:val="NotesTable-ItemPlain"/>
              <w:rPr>
                <w:b/>
              </w:rPr>
            </w:pPr>
            <w:r>
              <w:t>(ii) Linkages</w:t>
            </w:r>
          </w:p>
        </w:tc>
        <w:tc>
          <w:tcPr>
            <w:tcW w:w="270" w:type="pct"/>
            <w:shd w:val="clear" w:color="auto" w:fill="CDCDCD"/>
          </w:tcPr>
          <w:p w14:paraId="038A122C" w14:textId="721896DA" w:rsidR="004023E5" w:rsidRDefault="004023E5" w:rsidP="001A5D4A">
            <w:pPr>
              <w:pStyle w:val="NotesTable-Notes"/>
              <w:rPr>
                <w:b/>
              </w:rPr>
            </w:pPr>
            <w:r>
              <w:t>5</w:t>
            </w:r>
            <w:r w:rsidR="00713AFB">
              <w:t>3</w:t>
            </w:r>
            <w:r w:rsidR="006447BA">
              <w:t>g</w:t>
            </w:r>
            <w:r w:rsidR="002E4826">
              <w:t>(ii)</w:t>
            </w:r>
          </w:p>
        </w:tc>
        <w:tc>
          <w:tcPr>
            <w:tcW w:w="406" w:type="pct"/>
            <w:shd w:val="clear" w:color="auto" w:fill="CDCDCD"/>
          </w:tcPr>
          <w:p w14:paraId="038A122D" w14:textId="77777777" w:rsidR="004023E5" w:rsidRDefault="004023E5" w:rsidP="001A5D4A">
            <w:pPr>
              <w:pStyle w:val="NotesTable-CellBold"/>
            </w:pPr>
          </w:p>
        </w:tc>
        <w:tc>
          <w:tcPr>
            <w:tcW w:w="406" w:type="pct"/>
            <w:shd w:val="clear" w:color="auto" w:fill="CDCDCD"/>
          </w:tcPr>
          <w:p w14:paraId="038A122E" w14:textId="77777777" w:rsidR="004023E5" w:rsidRDefault="004023E5" w:rsidP="001A5D4A">
            <w:pPr>
              <w:pStyle w:val="NotesTable-CellPlain"/>
            </w:pPr>
          </w:p>
        </w:tc>
        <w:tc>
          <w:tcPr>
            <w:tcW w:w="406" w:type="pct"/>
            <w:shd w:val="clear" w:color="auto" w:fill="CDCDCD"/>
          </w:tcPr>
          <w:p w14:paraId="038A122F" w14:textId="77777777" w:rsidR="004023E5" w:rsidRDefault="004023E5" w:rsidP="001A5D4A">
            <w:pPr>
              <w:pStyle w:val="NotesTable-CellBold"/>
            </w:pPr>
          </w:p>
        </w:tc>
        <w:tc>
          <w:tcPr>
            <w:tcW w:w="405" w:type="pct"/>
            <w:shd w:val="clear" w:color="auto" w:fill="CDCDCD"/>
          </w:tcPr>
          <w:p w14:paraId="038A1230" w14:textId="77777777" w:rsidR="004023E5" w:rsidRDefault="004023E5" w:rsidP="001A5D4A">
            <w:pPr>
              <w:pStyle w:val="NotesTable-CellPlain"/>
            </w:pPr>
          </w:p>
        </w:tc>
      </w:tr>
      <w:tr w:rsidR="004023E5" w14:paraId="038A1239" w14:textId="77777777" w:rsidTr="00E52AAD">
        <w:trPr>
          <w:cantSplit/>
          <w:trHeight w:hRule="exact" w:val="227"/>
        </w:trPr>
        <w:tc>
          <w:tcPr>
            <w:tcW w:w="810" w:type="pct"/>
          </w:tcPr>
          <w:p w14:paraId="038A1232" w14:textId="77777777" w:rsidR="004023E5" w:rsidRDefault="004023E5" w:rsidP="001A5D4A">
            <w:pPr>
              <w:pStyle w:val="Note-Refs"/>
            </w:pPr>
          </w:p>
        </w:tc>
        <w:tc>
          <w:tcPr>
            <w:tcW w:w="2297" w:type="pct"/>
            <w:shd w:val="clear" w:color="auto" w:fill="CDCDCD"/>
            <w:vAlign w:val="bottom"/>
          </w:tcPr>
          <w:p w14:paraId="038A1233" w14:textId="1A20B047" w:rsidR="004023E5" w:rsidRDefault="004023E5" w:rsidP="001A5D4A">
            <w:pPr>
              <w:pStyle w:val="NotesTable-ItemPlain"/>
            </w:pPr>
          </w:p>
        </w:tc>
        <w:tc>
          <w:tcPr>
            <w:tcW w:w="270" w:type="pct"/>
            <w:shd w:val="clear" w:color="auto" w:fill="CDCDCD"/>
          </w:tcPr>
          <w:p w14:paraId="038A1234" w14:textId="77777777" w:rsidR="004023E5" w:rsidRDefault="004023E5" w:rsidP="001A5D4A">
            <w:pPr>
              <w:pStyle w:val="NotesTable-Notes"/>
            </w:pPr>
          </w:p>
        </w:tc>
        <w:tc>
          <w:tcPr>
            <w:tcW w:w="406" w:type="pct"/>
            <w:shd w:val="clear" w:color="auto" w:fill="CDCDCD"/>
          </w:tcPr>
          <w:p w14:paraId="038A1235" w14:textId="73174CBC" w:rsidR="004023E5" w:rsidRDefault="004023E5" w:rsidP="001A5D4A">
            <w:pPr>
              <w:pStyle w:val="NotesTable-CellBold"/>
            </w:pPr>
          </w:p>
        </w:tc>
        <w:tc>
          <w:tcPr>
            <w:tcW w:w="406" w:type="pct"/>
            <w:shd w:val="clear" w:color="auto" w:fill="CDCDCD"/>
          </w:tcPr>
          <w:p w14:paraId="038A1236" w14:textId="5FE7CA4C" w:rsidR="004023E5" w:rsidRDefault="004023E5" w:rsidP="001A5D4A">
            <w:pPr>
              <w:pStyle w:val="StyleNotesTable-CellPlainBold"/>
            </w:pPr>
          </w:p>
        </w:tc>
        <w:tc>
          <w:tcPr>
            <w:tcW w:w="406" w:type="pct"/>
            <w:shd w:val="clear" w:color="auto" w:fill="CDCDCD"/>
          </w:tcPr>
          <w:p w14:paraId="038A1237" w14:textId="5A48A524" w:rsidR="004023E5" w:rsidRDefault="004023E5" w:rsidP="001A5D4A">
            <w:pPr>
              <w:pStyle w:val="NotesTable-CellBold"/>
            </w:pPr>
          </w:p>
        </w:tc>
        <w:tc>
          <w:tcPr>
            <w:tcW w:w="405" w:type="pct"/>
            <w:shd w:val="clear" w:color="auto" w:fill="CDCDCD"/>
          </w:tcPr>
          <w:p w14:paraId="038A1238" w14:textId="2FF4469F" w:rsidR="004023E5" w:rsidRDefault="004023E5" w:rsidP="001A5D4A">
            <w:pPr>
              <w:pStyle w:val="StyleNotesTable-CellPlainBold"/>
            </w:pPr>
          </w:p>
        </w:tc>
      </w:tr>
      <w:tr w:rsidR="004023E5" w14:paraId="038A1241" w14:textId="77777777" w:rsidTr="00E52AAD">
        <w:trPr>
          <w:cantSplit/>
          <w:trHeight w:hRule="exact" w:val="227"/>
        </w:trPr>
        <w:tc>
          <w:tcPr>
            <w:tcW w:w="810" w:type="pct"/>
          </w:tcPr>
          <w:p w14:paraId="038A123A" w14:textId="77777777" w:rsidR="004023E5" w:rsidRDefault="004023E5" w:rsidP="001A5D4A">
            <w:pPr>
              <w:pStyle w:val="Note-Refs"/>
            </w:pPr>
          </w:p>
        </w:tc>
        <w:tc>
          <w:tcPr>
            <w:tcW w:w="2297" w:type="pct"/>
            <w:shd w:val="clear" w:color="auto" w:fill="CDCDCD"/>
            <w:vAlign w:val="bottom"/>
          </w:tcPr>
          <w:p w14:paraId="038A123B" w14:textId="77777777" w:rsidR="004023E5" w:rsidRDefault="004023E5" w:rsidP="001A5D4A">
            <w:pPr>
              <w:pStyle w:val="NotesTable-ItemPlain"/>
              <w:rPr>
                <w:b/>
              </w:rPr>
            </w:pPr>
            <w:r>
              <w:t>Infrastructure</w:t>
            </w:r>
          </w:p>
        </w:tc>
        <w:tc>
          <w:tcPr>
            <w:tcW w:w="270" w:type="pct"/>
            <w:shd w:val="clear" w:color="auto" w:fill="CDCDCD"/>
          </w:tcPr>
          <w:p w14:paraId="038A123C" w14:textId="77777777" w:rsidR="004023E5" w:rsidRDefault="004023E5" w:rsidP="001A5D4A">
            <w:pPr>
              <w:pStyle w:val="NotesTable-Notes"/>
              <w:rPr>
                <w:shd w:val="clear" w:color="auto" w:fill="00FFFF"/>
              </w:rPr>
            </w:pPr>
          </w:p>
        </w:tc>
        <w:tc>
          <w:tcPr>
            <w:tcW w:w="406" w:type="pct"/>
            <w:shd w:val="clear" w:color="auto" w:fill="CDCDCD"/>
          </w:tcPr>
          <w:p w14:paraId="038A123D" w14:textId="77777777" w:rsidR="004023E5" w:rsidRDefault="004023E5" w:rsidP="001A5D4A">
            <w:pPr>
              <w:pStyle w:val="NotesTable-CellBold"/>
            </w:pPr>
            <w:r>
              <w:t>–</w:t>
            </w:r>
          </w:p>
        </w:tc>
        <w:tc>
          <w:tcPr>
            <w:tcW w:w="406" w:type="pct"/>
            <w:shd w:val="clear" w:color="auto" w:fill="CDCDCD"/>
          </w:tcPr>
          <w:p w14:paraId="038A123E" w14:textId="77777777" w:rsidR="004023E5" w:rsidRDefault="004023E5" w:rsidP="001A5D4A">
            <w:pPr>
              <w:pStyle w:val="StyleNotesTable-CellPlainBold"/>
            </w:pPr>
            <w:r>
              <w:t>–</w:t>
            </w:r>
          </w:p>
        </w:tc>
        <w:tc>
          <w:tcPr>
            <w:tcW w:w="406" w:type="pct"/>
            <w:shd w:val="clear" w:color="auto" w:fill="CDCDCD"/>
          </w:tcPr>
          <w:p w14:paraId="038A123F" w14:textId="77777777" w:rsidR="004023E5" w:rsidRDefault="004023E5" w:rsidP="001A5D4A">
            <w:pPr>
              <w:pStyle w:val="NotesTable-CellBold"/>
            </w:pPr>
            <w:r>
              <w:t>–</w:t>
            </w:r>
          </w:p>
        </w:tc>
        <w:tc>
          <w:tcPr>
            <w:tcW w:w="405" w:type="pct"/>
            <w:shd w:val="clear" w:color="auto" w:fill="CDCDCD"/>
          </w:tcPr>
          <w:p w14:paraId="038A1240" w14:textId="77777777" w:rsidR="004023E5" w:rsidRDefault="004023E5" w:rsidP="001A5D4A">
            <w:pPr>
              <w:pStyle w:val="StyleNotesTable-CellPlainBold"/>
            </w:pPr>
            <w:r>
              <w:t>–</w:t>
            </w:r>
          </w:p>
        </w:tc>
      </w:tr>
      <w:tr w:rsidR="004023E5" w14:paraId="038A1249" w14:textId="77777777" w:rsidTr="00E52AAD">
        <w:trPr>
          <w:cantSplit/>
          <w:trHeight w:hRule="exact" w:val="227"/>
        </w:trPr>
        <w:tc>
          <w:tcPr>
            <w:tcW w:w="810" w:type="pct"/>
          </w:tcPr>
          <w:p w14:paraId="038A1242" w14:textId="77777777" w:rsidR="004023E5" w:rsidRDefault="004023E5" w:rsidP="001A5D4A">
            <w:pPr>
              <w:pStyle w:val="Note-Refs"/>
            </w:pPr>
          </w:p>
        </w:tc>
        <w:tc>
          <w:tcPr>
            <w:tcW w:w="2297" w:type="pct"/>
            <w:shd w:val="clear" w:color="auto" w:fill="CDCDCD"/>
            <w:vAlign w:val="bottom"/>
          </w:tcPr>
          <w:p w14:paraId="038A1243" w14:textId="77777777" w:rsidR="004023E5" w:rsidRDefault="004023E5" w:rsidP="001A5D4A">
            <w:pPr>
              <w:pStyle w:val="NotesTable-ItemPlain"/>
              <w:rPr>
                <w:b/>
              </w:rPr>
            </w:pPr>
            <w:r>
              <w:t>International</w:t>
            </w:r>
          </w:p>
        </w:tc>
        <w:tc>
          <w:tcPr>
            <w:tcW w:w="270" w:type="pct"/>
            <w:shd w:val="clear" w:color="auto" w:fill="CDCDCD"/>
          </w:tcPr>
          <w:p w14:paraId="038A1244" w14:textId="77777777" w:rsidR="004023E5" w:rsidRDefault="004023E5" w:rsidP="001A5D4A">
            <w:pPr>
              <w:pStyle w:val="NotesTable-Notes"/>
              <w:rPr>
                <w:shd w:val="clear" w:color="auto" w:fill="00FFFF"/>
              </w:rPr>
            </w:pPr>
          </w:p>
        </w:tc>
        <w:tc>
          <w:tcPr>
            <w:tcW w:w="406" w:type="pct"/>
            <w:shd w:val="clear" w:color="auto" w:fill="CDCDCD"/>
          </w:tcPr>
          <w:p w14:paraId="038A1245" w14:textId="77777777" w:rsidR="004023E5" w:rsidRDefault="004023E5" w:rsidP="001A5D4A">
            <w:pPr>
              <w:pStyle w:val="NotesTable-CellBold"/>
            </w:pPr>
            <w:r>
              <w:t>–</w:t>
            </w:r>
          </w:p>
        </w:tc>
        <w:tc>
          <w:tcPr>
            <w:tcW w:w="406" w:type="pct"/>
            <w:shd w:val="clear" w:color="auto" w:fill="CDCDCD"/>
          </w:tcPr>
          <w:p w14:paraId="038A1246" w14:textId="77777777" w:rsidR="004023E5" w:rsidRDefault="004023E5" w:rsidP="001A5D4A">
            <w:pPr>
              <w:pStyle w:val="StyleNotesTable-CellPlainBold"/>
            </w:pPr>
            <w:r>
              <w:t>–</w:t>
            </w:r>
          </w:p>
        </w:tc>
        <w:tc>
          <w:tcPr>
            <w:tcW w:w="406" w:type="pct"/>
            <w:shd w:val="clear" w:color="auto" w:fill="CDCDCD"/>
          </w:tcPr>
          <w:p w14:paraId="038A1247" w14:textId="77777777" w:rsidR="004023E5" w:rsidRDefault="004023E5" w:rsidP="001A5D4A">
            <w:pPr>
              <w:pStyle w:val="NotesTable-CellBold"/>
            </w:pPr>
            <w:r>
              <w:t>–</w:t>
            </w:r>
          </w:p>
        </w:tc>
        <w:tc>
          <w:tcPr>
            <w:tcW w:w="405" w:type="pct"/>
            <w:shd w:val="clear" w:color="auto" w:fill="CDCDCD"/>
          </w:tcPr>
          <w:p w14:paraId="038A1248" w14:textId="77777777" w:rsidR="004023E5" w:rsidRDefault="004023E5" w:rsidP="001A5D4A">
            <w:pPr>
              <w:pStyle w:val="StyleNotesTable-CellPlainBold"/>
            </w:pPr>
            <w:r>
              <w:t>–</w:t>
            </w:r>
          </w:p>
        </w:tc>
      </w:tr>
      <w:tr w:rsidR="004023E5" w14:paraId="038A1251" w14:textId="77777777" w:rsidTr="00E52AAD">
        <w:trPr>
          <w:cantSplit/>
          <w:trHeight w:hRule="exact" w:val="227"/>
        </w:trPr>
        <w:tc>
          <w:tcPr>
            <w:tcW w:w="810" w:type="pct"/>
          </w:tcPr>
          <w:p w14:paraId="038A124A" w14:textId="77777777" w:rsidR="004023E5" w:rsidRDefault="004023E5" w:rsidP="001A5D4A">
            <w:pPr>
              <w:pStyle w:val="Note-Refs"/>
            </w:pPr>
          </w:p>
        </w:tc>
        <w:tc>
          <w:tcPr>
            <w:tcW w:w="2297" w:type="pct"/>
            <w:shd w:val="clear" w:color="auto" w:fill="CDCDCD"/>
            <w:vAlign w:val="bottom"/>
          </w:tcPr>
          <w:p w14:paraId="038A124B" w14:textId="77777777" w:rsidR="004023E5" w:rsidRDefault="004023E5" w:rsidP="001A5D4A">
            <w:pPr>
              <w:pStyle w:val="NotesTable-ItemPlain"/>
              <w:rPr>
                <w:b/>
              </w:rPr>
            </w:pPr>
            <w:r>
              <w:t>Projects</w:t>
            </w:r>
          </w:p>
        </w:tc>
        <w:tc>
          <w:tcPr>
            <w:tcW w:w="270" w:type="pct"/>
            <w:shd w:val="clear" w:color="auto" w:fill="CDCDCD"/>
          </w:tcPr>
          <w:p w14:paraId="038A124C" w14:textId="77777777" w:rsidR="004023E5" w:rsidRDefault="004023E5" w:rsidP="001A5D4A">
            <w:pPr>
              <w:pStyle w:val="NotesTable-Notes"/>
              <w:rPr>
                <w:shd w:val="clear" w:color="auto" w:fill="00FFFF"/>
              </w:rPr>
            </w:pPr>
          </w:p>
        </w:tc>
        <w:tc>
          <w:tcPr>
            <w:tcW w:w="406" w:type="pct"/>
            <w:shd w:val="clear" w:color="auto" w:fill="CDCDCD"/>
          </w:tcPr>
          <w:p w14:paraId="038A124D" w14:textId="77777777" w:rsidR="004023E5" w:rsidRDefault="004023E5" w:rsidP="001A5D4A">
            <w:pPr>
              <w:pStyle w:val="NotesTable-CellBold"/>
            </w:pPr>
            <w:r>
              <w:t>–</w:t>
            </w:r>
          </w:p>
        </w:tc>
        <w:tc>
          <w:tcPr>
            <w:tcW w:w="406" w:type="pct"/>
            <w:shd w:val="clear" w:color="auto" w:fill="CDCDCD"/>
          </w:tcPr>
          <w:p w14:paraId="038A124E" w14:textId="77777777" w:rsidR="004023E5" w:rsidRDefault="004023E5" w:rsidP="001A5D4A">
            <w:pPr>
              <w:pStyle w:val="StyleNotesTable-CellPlainBold"/>
            </w:pPr>
            <w:r>
              <w:t>–</w:t>
            </w:r>
          </w:p>
        </w:tc>
        <w:tc>
          <w:tcPr>
            <w:tcW w:w="406" w:type="pct"/>
            <w:shd w:val="clear" w:color="auto" w:fill="CDCDCD"/>
          </w:tcPr>
          <w:p w14:paraId="038A124F" w14:textId="77777777" w:rsidR="004023E5" w:rsidRDefault="004023E5" w:rsidP="001A5D4A">
            <w:pPr>
              <w:pStyle w:val="NotesTable-CellBold"/>
            </w:pPr>
            <w:r>
              <w:t>–</w:t>
            </w:r>
          </w:p>
        </w:tc>
        <w:tc>
          <w:tcPr>
            <w:tcW w:w="405" w:type="pct"/>
            <w:shd w:val="clear" w:color="auto" w:fill="CDCDCD"/>
          </w:tcPr>
          <w:p w14:paraId="038A1250" w14:textId="77777777" w:rsidR="004023E5" w:rsidRDefault="004023E5" w:rsidP="001A5D4A">
            <w:pPr>
              <w:pStyle w:val="StyleNotesTable-CellPlainBold"/>
            </w:pPr>
            <w:r>
              <w:t>–</w:t>
            </w:r>
          </w:p>
        </w:tc>
      </w:tr>
      <w:tr w:rsidR="00BE2035" w14:paraId="038A1259" w14:textId="77777777" w:rsidTr="00E52AAD">
        <w:trPr>
          <w:cantSplit/>
          <w:trHeight w:hRule="exact" w:val="227"/>
        </w:trPr>
        <w:tc>
          <w:tcPr>
            <w:tcW w:w="810" w:type="pct"/>
          </w:tcPr>
          <w:p w14:paraId="038A1252" w14:textId="77777777" w:rsidR="00BE2035" w:rsidRDefault="00BE2035" w:rsidP="001A5D4A">
            <w:pPr>
              <w:pStyle w:val="Note-Refs"/>
            </w:pPr>
          </w:p>
        </w:tc>
        <w:tc>
          <w:tcPr>
            <w:tcW w:w="2297" w:type="pct"/>
            <w:shd w:val="clear" w:color="auto" w:fill="CDCDCD"/>
            <w:vAlign w:val="bottom"/>
          </w:tcPr>
          <w:p w14:paraId="038A1253" w14:textId="77777777" w:rsidR="00BE2035" w:rsidRDefault="00BE2035" w:rsidP="001A5D4A">
            <w:pPr>
              <w:pStyle w:val="NotesTable-ItemPlain"/>
            </w:pPr>
            <w:r>
              <w:t>Industrial Transformational Research Program</w:t>
            </w:r>
          </w:p>
        </w:tc>
        <w:tc>
          <w:tcPr>
            <w:tcW w:w="270" w:type="pct"/>
            <w:shd w:val="clear" w:color="auto" w:fill="CDCDCD"/>
          </w:tcPr>
          <w:p w14:paraId="038A1254" w14:textId="77777777" w:rsidR="00BE2035" w:rsidRDefault="00BE2035" w:rsidP="001A5D4A">
            <w:pPr>
              <w:pStyle w:val="NotesTable-Notes"/>
              <w:rPr>
                <w:shd w:val="clear" w:color="auto" w:fill="00FFFF"/>
              </w:rPr>
            </w:pPr>
          </w:p>
        </w:tc>
        <w:tc>
          <w:tcPr>
            <w:tcW w:w="406" w:type="pct"/>
            <w:tcBorders>
              <w:bottom w:val="single" w:sz="4" w:space="0" w:color="auto"/>
            </w:tcBorders>
            <w:shd w:val="clear" w:color="auto" w:fill="CDCDCD"/>
          </w:tcPr>
          <w:p w14:paraId="038A1255" w14:textId="77777777" w:rsidR="00BE2035" w:rsidRDefault="00BE2035" w:rsidP="001A5D4A">
            <w:pPr>
              <w:pStyle w:val="NotesTable-CellBold"/>
            </w:pPr>
            <w:r>
              <w:t>–</w:t>
            </w:r>
          </w:p>
        </w:tc>
        <w:tc>
          <w:tcPr>
            <w:tcW w:w="406" w:type="pct"/>
            <w:tcBorders>
              <w:bottom w:val="single" w:sz="4" w:space="0" w:color="auto"/>
            </w:tcBorders>
            <w:shd w:val="clear" w:color="auto" w:fill="CDCDCD"/>
          </w:tcPr>
          <w:p w14:paraId="038A1256" w14:textId="77777777" w:rsidR="00BE2035" w:rsidRDefault="00BE2035" w:rsidP="001A5D4A">
            <w:pPr>
              <w:pStyle w:val="StyleNotesTable-CellPlainBold"/>
            </w:pPr>
            <w:r>
              <w:t>–</w:t>
            </w:r>
          </w:p>
        </w:tc>
        <w:tc>
          <w:tcPr>
            <w:tcW w:w="406" w:type="pct"/>
            <w:tcBorders>
              <w:bottom w:val="single" w:sz="4" w:space="0" w:color="auto"/>
            </w:tcBorders>
            <w:shd w:val="clear" w:color="auto" w:fill="CDCDCD"/>
          </w:tcPr>
          <w:p w14:paraId="038A1257" w14:textId="77777777" w:rsidR="00BE2035" w:rsidRDefault="00BE2035" w:rsidP="001A5D4A">
            <w:pPr>
              <w:pStyle w:val="NotesTable-CellBold"/>
            </w:pPr>
            <w:r>
              <w:t>–</w:t>
            </w:r>
          </w:p>
        </w:tc>
        <w:tc>
          <w:tcPr>
            <w:tcW w:w="405" w:type="pct"/>
            <w:tcBorders>
              <w:bottom w:val="single" w:sz="4" w:space="0" w:color="auto"/>
            </w:tcBorders>
            <w:shd w:val="clear" w:color="auto" w:fill="CDCDCD"/>
          </w:tcPr>
          <w:p w14:paraId="038A1258" w14:textId="77777777" w:rsidR="00BE2035" w:rsidRDefault="00BE2035" w:rsidP="001A5D4A">
            <w:pPr>
              <w:pStyle w:val="StyleNotesTable-CellPlainBold"/>
            </w:pPr>
            <w:r>
              <w:t>–</w:t>
            </w:r>
          </w:p>
        </w:tc>
      </w:tr>
      <w:tr w:rsidR="004023E5" w14:paraId="038A1261" w14:textId="77777777" w:rsidTr="00E52AAD">
        <w:trPr>
          <w:cantSplit/>
          <w:trHeight w:hRule="exact" w:val="227"/>
        </w:trPr>
        <w:tc>
          <w:tcPr>
            <w:tcW w:w="810" w:type="pct"/>
          </w:tcPr>
          <w:p w14:paraId="038A125A" w14:textId="77777777" w:rsidR="004023E5" w:rsidRDefault="004023E5" w:rsidP="001A5D4A">
            <w:pPr>
              <w:pStyle w:val="Note-Refs"/>
            </w:pPr>
          </w:p>
        </w:tc>
        <w:tc>
          <w:tcPr>
            <w:tcW w:w="2297" w:type="pct"/>
            <w:shd w:val="clear" w:color="auto" w:fill="CDCDCD"/>
            <w:vAlign w:val="bottom"/>
          </w:tcPr>
          <w:p w14:paraId="038A125B" w14:textId="77777777" w:rsidR="004023E5" w:rsidRDefault="004023E5" w:rsidP="001A5D4A">
            <w:pPr>
              <w:pStyle w:val="NotesTable-ItemPlain"/>
              <w:rPr>
                <w:b/>
              </w:rPr>
            </w:pPr>
            <w:r>
              <w:t>Total Linkages</w:t>
            </w:r>
          </w:p>
        </w:tc>
        <w:tc>
          <w:tcPr>
            <w:tcW w:w="270" w:type="pct"/>
            <w:shd w:val="clear" w:color="auto" w:fill="CDCDCD"/>
          </w:tcPr>
          <w:p w14:paraId="038A125C" w14:textId="77777777" w:rsidR="004023E5" w:rsidRDefault="004023E5" w:rsidP="001A5D4A">
            <w:pPr>
              <w:pStyle w:val="NotesTable-Notes"/>
              <w:rPr>
                <w:shd w:val="clear" w:color="auto" w:fill="00FFFF"/>
              </w:rPr>
            </w:pPr>
          </w:p>
        </w:tc>
        <w:tc>
          <w:tcPr>
            <w:tcW w:w="406" w:type="pct"/>
            <w:tcBorders>
              <w:top w:val="single" w:sz="4" w:space="0" w:color="auto"/>
            </w:tcBorders>
            <w:shd w:val="clear" w:color="auto" w:fill="CDCDCD"/>
          </w:tcPr>
          <w:p w14:paraId="038A125D" w14:textId="77777777" w:rsidR="004023E5" w:rsidRDefault="004023E5" w:rsidP="001A5D4A">
            <w:pPr>
              <w:pStyle w:val="NotesTable-CellBold"/>
            </w:pPr>
            <w:r>
              <w:t>–</w:t>
            </w:r>
          </w:p>
        </w:tc>
        <w:tc>
          <w:tcPr>
            <w:tcW w:w="406" w:type="pct"/>
            <w:tcBorders>
              <w:top w:val="single" w:sz="4" w:space="0" w:color="auto"/>
            </w:tcBorders>
            <w:shd w:val="clear" w:color="auto" w:fill="CDCDCD"/>
          </w:tcPr>
          <w:p w14:paraId="038A125E" w14:textId="77777777" w:rsidR="004023E5" w:rsidRPr="00451F7F" w:rsidRDefault="004023E5" w:rsidP="001A5D4A">
            <w:pPr>
              <w:pStyle w:val="NotesTable-CellPlain"/>
            </w:pPr>
            <w:r w:rsidRPr="00856635">
              <w:t>–</w:t>
            </w:r>
          </w:p>
        </w:tc>
        <w:tc>
          <w:tcPr>
            <w:tcW w:w="406" w:type="pct"/>
            <w:tcBorders>
              <w:top w:val="single" w:sz="4" w:space="0" w:color="auto"/>
            </w:tcBorders>
            <w:shd w:val="clear" w:color="auto" w:fill="CDCDCD"/>
          </w:tcPr>
          <w:p w14:paraId="038A125F" w14:textId="77777777" w:rsidR="004023E5" w:rsidRPr="00451F7F" w:rsidRDefault="004023E5" w:rsidP="001A5D4A">
            <w:pPr>
              <w:pStyle w:val="NotesTable-CellBold"/>
            </w:pPr>
            <w:r w:rsidRPr="00BE0952">
              <w:t>–</w:t>
            </w:r>
          </w:p>
        </w:tc>
        <w:tc>
          <w:tcPr>
            <w:tcW w:w="405" w:type="pct"/>
            <w:tcBorders>
              <w:top w:val="single" w:sz="4" w:space="0" w:color="auto"/>
            </w:tcBorders>
            <w:shd w:val="clear" w:color="auto" w:fill="CDCDCD"/>
          </w:tcPr>
          <w:p w14:paraId="038A1260" w14:textId="77777777" w:rsidR="004023E5" w:rsidRPr="00451F7F" w:rsidRDefault="004023E5" w:rsidP="001A5D4A">
            <w:pPr>
              <w:pStyle w:val="NotesTable-CellPlain"/>
            </w:pPr>
            <w:r w:rsidRPr="00856635">
              <w:t>–</w:t>
            </w:r>
          </w:p>
        </w:tc>
      </w:tr>
      <w:tr w:rsidR="004023E5" w14:paraId="038A1269" w14:textId="77777777" w:rsidTr="00E52AAD">
        <w:trPr>
          <w:cantSplit/>
          <w:trHeight w:hRule="exact" w:val="227"/>
        </w:trPr>
        <w:tc>
          <w:tcPr>
            <w:tcW w:w="810" w:type="pct"/>
          </w:tcPr>
          <w:p w14:paraId="038A1262" w14:textId="77777777" w:rsidR="004023E5" w:rsidRDefault="004023E5" w:rsidP="001A5D4A">
            <w:pPr>
              <w:pStyle w:val="Note-Refs"/>
            </w:pPr>
          </w:p>
        </w:tc>
        <w:tc>
          <w:tcPr>
            <w:tcW w:w="2297" w:type="pct"/>
            <w:shd w:val="clear" w:color="auto" w:fill="CDCDCD"/>
            <w:vAlign w:val="bottom"/>
          </w:tcPr>
          <w:p w14:paraId="038A1263" w14:textId="77777777" w:rsidR="004023E5" w:rsidRDefault="004023E5" w:rsidP="001A5D4A">
            <w:pPr>
              <w:pStyle w:val="NotesTable-ItemPlain"/>
            </w:pPr>
          </w:p>
        </w:tc>
        <w:tc>
          <w:tcPr>
            <w:tcW w:w="270" w:type="pct"/>
            <w:shd w:val="clear" w:color="auto" w:fill="CDCDCD"/>
          </w:tcPr>
          <w:p w14:paraId="038A1264" w14:textId="77777777" w:rsidR="004023E5" w:rsidRDefault="004023E5" w:rsidP="001A5D4A">
            <w:pPr>
              <w:pStyle w:val="NotesTable-Notes"/>
              <w:rPr>
                <w:shd w:val="clear" w:color="auto" w:fill="00FFFF"/>
              </w:rPr>
            </w:pPr>
          </w:p>
        </w:tc>
        <w:tc>
          <w:tcPr>
            <w:tcW w:w="406" w:type="pct"/>
            <w:shd w:val="clear" w:color="auto" w:fill="CDCDCD"/>
            <w:vAlign w:val="center"/>
          </w:tcPr>
          <w:p w14:paraId="038A1265" w14:textId="77777777" w:rsidR="004023E5" w:rsidRDefault="004023E5" w:rsidP="001A5D4A">
            <w:pPr>
              <w:pStyle w:val="NotesTable-CellBold"/>
            </w:pPr>
          </w:p>
        </w:tc>
        <w:tc>
          <w:tcPr>
            <w:tcW w:w="406" w:type="pct"/>
            <w:shd w:val="clear" w:color="auto" w:fill="CDCDCD"/>
            <w:vAlign w:val="center"/>
          </w:tcPr>
          <w:p w14:paraId="038A1266" w14:textId="77777777" w:rsidR="004023E5" w:rsidRPr="00451F7F" w:rsidRDefault="004023E5" w:rsidP="001A5D4A">
            <w:pPr>
              <w:pStyle w:val="NotesTable-CellPlain"/>
            </w:pPr>
          </w:p>
        </w:tc>
        <w:tc>
          <w:tcPr>
            <w:tcW w:w="406" w:type="pct"/>
            <w:shd w:val="clear" w:color="auto" w:fill="CDCDCD"/>
            <w:vAlign w:val="center"/>
          </w:tcPr>
          <w:p w14:paraId="038A1267" w14:textId="77777777" w:rsidR="004023E5" w:rsidRPr="00451F7F" w:rsidRDefault="004023E5" w:rsidP="001A5D4A">
            <w:pPr>
              <w:pStyle w:val="NotesTable-CellBold"/>
            </w:pPr>
          </w:p>
        </w:tc>
        <w:tc>
          <w:tcPr>
            <w:tcW w:w="405" w:type="pct"/>
            <w:shd w:val="clear" w:color="auto" w:fill="CDCDCD"/>
            <w:vAlign w:val="center"/>
          </w:tcPr>
          <w:p w14:paraId="038A1268" w14:textId="77777777" w:rsidR="004023E5" w:rsidRPr="00451F7F" w:rsidRDefault="004023E5" w:rsidP="001A5D4A">
            <w:pPr>
              <w:pStyle w:val="NotesTable-CellPlain"/>
            </w:pPr>
          </w:p>
        </w:tc>
      </w:tr>
      <w:tr w:rsidR="004023E5" w14:paraId="038A1271" w14:textId="77777777" w:rsidTr="00E52AAD">
        <w:trPr>
          <w:cantSplit/>
          <w:trHeight w:hRule="exact" w:val="227"/>
        </w:trPr>
        <w:tc>
          <w:tcPr>
            <w:tcW w:w="810" w:type="pct"/>
          </w:tcPr>
          <w:p w14:paraId="038A126A" w14:textId="77777777" w:rsidR="004023E5" w:rsidRDefault="004023E5" w:rsidP="001A5D4A">
            <w:pPr>
              <w:pStyle w:val="Note-Refs"/>
            </w:pPr>
          </w:p>
        </w:tc>
        <w:tc>
          <w:tcPr>
            <w:tcW w:w="2297" w:type="pct"/>
            <w:shd w:val="clear" w:color="auto" w:fill="CDCDCD"/>
            <w:vAlign w:val="bottom"/>
          </w:tcPr>
          <w:p w14:paraId="038A126B" w14:textId="77777777" w:rsidR="004023E5" w:rsidRDefault="004023E5" w:rsidP="001A5D4A">
            <w:pPr>
              <w:pStyle w:val="NotesTable-ItemPlain"/>
              <w:rPr>
                <w:b/>
              </w:rPr>
            </w:pPr>
            <w:r>
              <w:t>(iii) Networks and Centres</w:t>
            </w:r>
          </w:p>
        </w:tc>
        <w:tc>
          <w:tcPr>
            <w:tcW w:w="270" w:type="pct"/>
            <w:shd w:val="clear" w:color="auto" w:fill="CDCDCD"/>
          </w:tcPr>
          <w:p w14:paraId="038A126C" w14:textId="346023C7" w:rsidR="004023E5" w:rsidRDefault="004023E5" w:rsidP="001A5D4A">
            <w:pPr>
              <w:pStyle w:val="NotesTable-Notes"/>
              <w:rPr>
                <w:b/>
              </w:rPr>
            </w:pPr>
            <w:r>
              <w:t>5</w:t>
            </w:r>
            <w:r w:rsidR="00713AFB">
              <w:t>3</w:t>
            </w:r>
            <w:r w:rsidR="006447BA">
              <w:t>g</w:t>
            </w:r>
            <w:r w:rsidR="002E4826">
              <w:t>(iii)</w:t>
            </w:r>
          </w:p>
        </w:tc>
        <w:tc>
          <w:tcPr>
            <w:tcW w:w="406" w:type="pct"/>
            <w:shd w:val="clear" w:color="auto" w:fill="CDCDCD"/>
          </w:tcPr>
          <w:p w14:paraId="038A126D" w14:textId="77777777" w:rsidR="004023E5" w:rsidRDefault="004023E5" w:rsidP="001A5D4A">
            <w:pPr>
              <w:pStyle w:val="NotesTable-CellBold"/>
            </w:pPr>
          </w:p>
        </w:tc>
        <w:tc>
          <w:tcPr>
            <w:tcW w:w="406" w:type="pct"/>
            <w:shd w:val="clear" w:color="auto" w:fill="CDCDCD"/>
          </w:tcPr>
          <w:p w14:paraId="038A126E" w14:textId="77777777" w:rsidR="004023E5" w:rsidRPr="00451F7F" w:rsidRDefault="004023E5" w:rsidP="001A5D4A">
            <w:pPr>
              <w:pStyle w:val="NotesTable-CellPlain"/>
            </w:pPr>
          </w:p>
        </w:tc>
        <w:tc>
          <w:tcPr>
            <w:tcW w:w="406" w:type="pct"/>
            <w:shd w:val="clear" w:color="auto" w:fill="CDCDCD"/>
          </w:tcPr>
          <w:p w14:paraId="038A126F" w14:textId="77777777" w:rsidR="004023E5" w:rsidRPr="00451F7F" w:rsidRDefault="004023E5" w:rsidP="001A5D4A">
            <w:pPr>
              <w:pStyle w:val="NotesTable-CellBold"/>
            </w:pPr>
          </w:p>
        </w:tc>
        <w:tc>
          <w:tcPr>
            <w:tcW w:w="405" w:type="pct"/>
            <w:shd w:val="clear" w:color="auto" w:fill="CDCDCD"/>
          </w:tcPr>
          <w:p w14:paraId="038A1270" w14:textId="77777777" w:rsidR="004023E5" w:rsidRPr="00451F7F" w:rsidRDefault="004023E5" w:rsidP="001A5D4A">
            <w:pPr>
              <w:pStyle w:val="NotesTable-CellPlain"/>
            </w:pPr>
          </w:p>
        </w:tc>
      </w:tr>
      <w:tr w:rsidR="004023E5" w14:paraId="038A1279" w14:textId="77777777" w:rsidTr="00E52AAD">
        <w:trPr>
          <w:cantSplit/>
          <w:trHeight w:hRule="exact" w:val="227"/>
        </w:trPr>
        <w:tc>
          <w:tcPr>
            <w:tcW w:w="810" w:type="pct"/>
          </w:tcPr>
          <w:p w14:paraId="038A1272" w14:textId="77777777" w:rsidR="004023E5" w:rsidRDefault="004023E5" w:rsidP="001A5D4A">
            <w:pPr>
              <w:pStyle w:val="Note-Refs"/>
            </w:pPr>
          </w:p>
        </w:tc>
        <w:tc>
          <w:tcPr>
            <w:tcW w:w="2297" w:type="pct"/>
            <w:shd w:val="clear" w:color="auto" w:fill="CDCDCD"/>
            <w:vAlign w:val="bottom"/>
          </w:tcPr>
          <w:p w14:paraId="038A1273" w14:textId="77777777" w:rsidR="004023E5" w:rsidRDefault="004023E5" w:rsidP="001A5D4A">
            <w:pPr>
              <w:pStyle w:val="NotesTable-ItemPlain"/>
              <w:rPr>
                <w:b/>
              </w:rPr>
            </w:pPr>
            <w:r>
              <w:t>Research networks</w:t>
            </w:r>
          </w:p>
        </w:tc>
        <w:tc>
          <w:tcPr>
            <w:tcW w:w="270" w:type="pct"/>
            <w:shd w:val="clear" w:color="auto" w:fill="CDCDCD"/>
          </w:tcPr>
          <w:p w14:paraId="038A1274" w14:textId="77777777" w:rsidR="004023E5" w:rsidRDefault="004023E5" w:rsidP="001A5D4A">
            <w:pPr>
              <w:pStyle w:val="NotesTable-Notes"/>
              <w:rPr>
                <w:shd w:val="clear" w:color="auto" w:fill="00FFFF"/>
              </w:rPr>
            </w:pPr>
          </w:p>
        </w:tc>
        <w:tc>
          <w:tcPr>
            <w:tcW w:w="406" w:type="pct"/>
            <w:shd w:val="clear" w:color="auto" w:fill="CDCDCD"/>
          </w:tcPr>
          <w:p w14:paraId="038A1275" w14:textId="77777777" w:rsidR="004023E5" w:rsidRDefault="004023E5" w:rsidP="001A5D4A">
            <w:pPr>
              <w:pStyle w:val="NotesTable-CellBold"/>
            </w:pPr>
            <w:r>
              <w:t>–</w:t>
            </w:r>
          </w:p>
        </w:tc>
        <w:tc>
          <w:tcPr>
            <w:tcW w:w="406" w:type="pct"/>
            <w:shd w:val="clear" w:color="auto" w:fill="CDCDCD"/>
          </w:tcPr>
          <w:p w14:paraId="038A1276" w14:textId="77777777" w:rsidR="004023E5" w:rsidRPr="00451F7F" w:rsidRDefault="004023E5" w:rsidP="001A5D4A">
            <w:pPr>
              <w:pStyle w:val="NotesTable-CellPlain"/>
            </w:pPr>
            <w:r w:rsidRPr="00856635">
              <w:t>–</w:t>
            </w:r>
          </w:p>
        </w:tc>
        <w:tc>
          <w:tcPr>
            <w:tcW w:w="406" w:type="pct"/>
            <w:shd w:val="clear" w:color="auto" w:fill="CDCDCD"/>
          </w:tcPr>
          <w:p w14:paraId="038A1277" w14:textId="77777777" w:rsidR="004023E5" w:rsidRPr="00451F7F" w:rsidRDefault="004023E5" w:rsidP="001A5D4A">
            <w:pPr>
              <w:pStyle w:val="NotesTable-CellBold"/>
            </w:pPr>
            <w:r w:rsidRPr="00BE0952">
              <w:t>–</w:t>
            </w:r>
          </w:p>
        </w:tc>
        <w:tc>
          <w:tcPr>
            <w:tcW w:w="405" w:type="pct"/>
            <w:shd w:val="clear" w:color="auto" w:fill="CDCDCD"/>
          </w:tcPr>
          <w:p w14:paraId="038A1278" w14:textId="77777777" w:rsidR="004023E5" w:rsidRPr="00451F7F" w:rsidRDefault="004023E5" w:rsidP="001A5D4A">
            <w:pPr>
              <w:pStyle w:val="NotesTable-CellPlain"/>
            </w:pPr>
            <w:r w:rsidRPr="00856635">
              <w:t>–</w:t>
            </w:r>
          </w:p>
        </w:tc>
      </w:tr>
      <w:tr w:rsidR="004023E5" w14:paraId="038A1281" w14:textId="77777777" w:rsidTr="00E52AAD">
        <w:trPr>
          <w:cantSplit/>
          <w:trHeight w:hRule="exact" w:val="227"/>
        </w:trPr>
        <w:tc>
          <w:tcPr>
            <w:tcW w:w="810" w:type="pct"/>
          </w:tcPr>
          <w:p w14:paraId="038A127A" w14:textId="77777777" w:rsidR="004023E5" w:rsidRDefault="004023E5" w:rsidP="001A5D4A">
            <w:pPr>
              <w:pStyle w:val="Note-Refs"/>
            </w:pPr>
          </w:p>
        </w:tc>
        <w:tc>
          <w:tcPr>
            <w:tcW w:w="2297" w:type="pct"/>
            <w:shd w:val="clear" w:color="auto" w:fill="CDCDCD"/>
            <w:vAlign w:val="bottom"/>
          </w:tcPr>
          <w:p w14:paraId="038A127B" w14:textId="77777777" w:rsidR="004023E5" w:rsidRDefault="004023E5" w:rsidP="001A5D4A">
            <w:pPr>
              <w:pStyle w:val="NotesTable-ItemPlain"/>
              <w:rPr>
                <w:b/>
              </w:rPr>
            </w:pPr>
            <w:r>
              <w:t>Centres</w:t>
            </w:r>
          </w:p>
        </w:tc>
        <w:tc>
          <w:tcPr>
            <w:tcW w:w="270" w:type="pct"/>
            <w:shd w:val="clear" w:color="auto" w:fill="CDCDCD"/>
          </w:tcPr>
          <w:p w14:paraId="038A127C" w14:textId="77777777" w:rsidR="004023E5" w:rsidRDefault="004023E5" w:rsidP="001A5D4A">
            <w:pPr>
              <w:pStyle w:val="NotesTable-Notes"/>
              <w:rPr>
                <w:shd w:val="clear" w:color="auto" w:fill="00FFFF"/>
              </w:rPr>
            </w:pPr>
          </w:p>
        </w:tc>
        <w:tc>
          <w:tcPr>
            <w:tcW w:w="406" w:type="pct"/>
            <w:shd w:val="clear" w:color="auto" w:fill="CDCDCD"/>
          </w:tcPr>
          <w:p w14:paraId="038A127D" w14:textId="77777777" w:rsidR="004023E5" w:rsidRDefault="004023E5" w:rsidP="001A5D4A">
            <w:pPr>
              <w:pStyle w:val="NotesTable-CellBold"/>
            </w:pPr>
            <w:r>
              <w:t>–</w:t>
            </w:r>
          </w:p>
        </w:tc>
        <w:tc>
          <w:tcPr>
            <w:tcW w:w="406" w:type="pct"/>
            <w:shd w:val="clear" w:color="auto" w:fill="CDCDCD"/>
          </w:tcPr>
          <w:p w14:paraId="038A127E" w14:textId="77777777" w:rsidR="004023E5" w:rsidRPr="00451F7F" w:rsidRDefault="004023E5" w:rsidP="001A5D4A">
            <w:pPr>
              <w:pStyle w:val="NotesTable-CellPlain"/>
            </w:pPr>
            <w:r w:rsidRPr="00856635">
              <w:t>–</w:t>
            </w:r>
          </w:p>
        </w:tc>
        <w:tc>
          <w:tcPr>
            <w:tcW w:w="406" w:type="pct"/>
            <w:shd w:val="clear" w:color="auto" w:fill="CDCDCD"/>
          </w:tcPr>
          <w:p w14:paraId="038A127F" w14:textId="77777777" w:rsidR="004023E5" w:rsidRPr="00451F7F" w:rsidRDefault="004023E5" w:rsidP="001A5D4A">
            <w:pPr>
              <w:pStyle w:val="NotesTable-CellBold"/>
            </w:pPr>
            <w:r w:rsidRPr="00BE0952">
              <w:t>–</w:t>
            </w:r>
          </w:p>
        </w:tc>
        <w:tc>
          <w:tcPr>
            <w:tcW w:w="405" w:type="pct"/>
            <w:shd w:val="clear" w:color="auto" w:fill="CDCDCD"/>
          </w:tcPr>
          <w:p w14:paraId="038A1280" w14:textId="77777777" w:rsidR="004023E5" w:rsidRPr="00451F7F" w:rsidRDefault="004023E5" w:rsidP="001A5D4A">
            <w:pPr>
              <w:pStyle w:val="NotesTable-CellPlain"/>
            </w:pPr>
            <w:r w:rsidRPr="00856635">
              <w:t>–</w:t>
            </w:r>
          </w:p>
        </w:tc>
      </w:tr>
      <w:tr w:rsidR="004023E5" w14:paraId="038A1289" w14:textId="77777777" w:rsidTr="00E52AAD">
        <w:trPr>
          <w:cantSplit/>
          <w:trHeight w:hRule="exact" w:val="227"/>
        </w:trPr>
        <w:tc>
          <w:tcPr>
            <w:tcW w:w="810" w:type="pct"/>
          </w:tcPr>
          <w:p w14:paraId="038A1282" w14:textId="77777777" w:rsidR="004023E5" w:rsidRDefault="004023E5" w:rsidP="001A5D4A">
            <w:pPr>
              <w:pStyle w:val="Note-Refs"/>
            </w:pPr>
          </w:p>
        </w:tc>
        <w:tc>
          <w:tcPr>
            <w:tcW w:w="2297" w:type="pct"/>
            <w:shd w:val="clear" w:color="auto" w:fill="CDCDCD"/>
            <w:vAlign w:val="bottom"/>
          </w:tcPr>
          <w:p w14:paraId="038A1283" w14:textId="77777777" w:rsidR="004023E5" w:rsidRDefault="004023E5" w:rsidP="001A5D4A">
            <w:pPr>
              <w:pStyle w:val="NotesTable-ItemPlain"/>
              <w:rPr>
                <w:b/>
              </w:rPr>
            </w:pPr>
            <w:r>
              <w:t>Total Networks and Centres</w:t>
            </w:r>
          </w:p>
        </w:tc>
        <w:tc>
          <w:tcPr>
            <w:tcW w:w="270" w:type="pct"/>
            <w:shd w:val="clear" w:color="auto" w:fill="CDCDCD"/>
          </w:tcPr>
          <w:p w14:paraId="038A1284" w14:textId="77777777" w:rsidR="004023E5" w:rsidRDefault="004023E5" w:rsidP="001A5D4A">
            <w:pPr>
              <w:pStyle w:val="NotesTable-Notes"/>
              <w:rPr>
                <w:shd w:val="clear" w:color="auto" w:fill="00FFFF"/>
              </w:rPr>
            </w:pPr>
          </w:p>
        </w:tc>
        <w:tc>
          <w:tcPr>
            <w:tcW w:w="406" w:type="pct"/>
            <w:tcBorders>
              <w:top w:val="single" w:sz="4" w:space="0" w:color="000000"/>
            </w:tcBorders>
            <w:shd w:val="clear" w:color="auto" w:fill="CDCDCD"/>
          </w:tcPr>
          <w:p w14:paraId="038A1285" w14:textId="77777777" w:rsidR="004023E5" w:rsidRDefault="004023E5" w:rsidP="001A5D4A">
            <w:pPr>
              <w:pStyle w:val="NotesTable-CellBold"/>
            </w:pPr>
            <w:r>
              <w:t>–</w:t>
            </w:r>
          </w:p>
        </w:tc>
        <w:tc>
          <w:tcPr>
            <w:tcW w:w="406" w:type="pct"/>
            <w:tcBorders>
              <w:top w:val="single" w:sz="4" w:space="0" w:color="000000"/>
            </w:tcBorders>
            <w:shd w:val="clear" w:color="auto" w:fill="CDCDCD"/>
          </w:tcPr>
          <w:p w14:paraId="038A1286" w14:textId="77777777" w:rsidR="004023E5" w:rsidRPr="00451F7F" w:rsidRDefault="004023E5" w:rsidP="001A5D4A">
            <w:pPr>
              <w:pStyle w:val="NotesTable-CellPlain"/>
            </w:pPr>
            <w:r w:rsidRPr="00856635">
              <w:t>–</w:t>
            </w:r>
          </w:p>
        </w:tc>
        <w:tc>
          <w:tcPr>
            <w:tcW w:w="406" w:type="pct"/>
            <w:tcBorders>
              <w:top w:val="single" w:sz="4" w:space="0" w:color="000000"/>
            </w:tcBorders>
            <w:shd w:val="clear" w:color="auto" w:fill="CDCDCD"/>
          </w:tcPr>
          <w:p w14:paraId="038A1287" w14:textId="77777777" w:rsidR="004023E5" w:rsidRPr="00451F7F" w:rsidRDefault="004023E5" w:rsidP="001A5D4A">
            <w:pPr>
              <w:pStyle w:val="NotesTable-CellBold"/>
            </w:pPr>
            <w:r w:rsidRPr="00BE0952">
              <w:t>–</w:t>
            </w:r>
          </w:p>
        </w:tc>
        <w:tc>
          <w:tcPr>
            <w:tcW w:w="405" w:type="pct"/>
            <w:tcBorders>
              <w:top w:val="single" w:sz="4" w:space="0" w:color="000000"/>
            </w:tcBorders>
            <w:shd w:val="clear" w:color="auto" w:fill="CDCDCD"/>
          </w:tcPr>
          <w:p w14:paraId="038A1288" w14:textId="77777777" w:rsidR="004023E5" w:rsidRPr="00451F7F" w:rsidRDefault="004023E5" w:rsidP="001A5D4A">
            <w:pPr>
              <w:pStyle w:val="NotesTable-CellPlain"/>
            </w:pPr>
            <w:r w:rsidRPr="00856635">
              <w:t>–</w:t>
            </w:r>
          </w:p>
        </w:tc>
      </w:tr>
      <w:tr w:rsidR="00617F15" w14:paraId="038A1291" w14:textId="77777777" w:rsidTr="00E52AAD">
        <w:trPr>
          <w:cantSplit/>
          <w:trHeight w:hRule="exact" w:val="227"/>
        </w:trPr>
        <w:tc>
          <w:tcPr>
            <w:tcW w:w="810" w:type="pct"/>
          </w:tcPr>
          <w:p w14:paraId="038A128A" w14:textId="77777777" w:rsidR="00617F15" w:rsidRDefault="00617F15" w:rsidP="001A5D4A">
            <w:pPr>
              <w:pStyle w:val="Note-Refs"/>
            </w:pPr>
          </w:p>
        </w:tc>
        <w:tc>
          <w:tcPr>
            <w:tcW w:w="2297" w:type="pct"/>
            <w:shd w:val="clear" w:color="auto" w:fill="CDCDCD"/>
            <w:vAlign w:val="bottom"/>
          </w:tcPr>
          <w:p w14:paraId="038A128B" w14:textId="3FE946C5" w:rsidR="00617F15" w:rsidRDefault="00617F15" w:rsidP="001A5D4A">
            <w:pPr>
              <w:pStyle w:val="NotesTable-ItemPlain"/>
            </w:pPr>
            <w:r>
              <w:t>Special Research Initiatives</w:t>
            </w:r>
          </w:p>
        </w:tc>
        <w:tc>
          <w:tcPr>
            <w:tcW w:w="270" w:type="pct"/>
            <w:shd w:val="clear" w:color="auto" w:fill="CDCDCD"/>
          </w:tcPr>
          <w:p w14:paraId="038A128C" w14:textId="77777777" w:rsidR="00617F15" w:rsidRDefault="00617F15" w:rsidP="001A5D4A">
            <w:pPr>
              <w:pStyle w:val="NotesTable-Notes"/>
              <w:rPr>
                <w:shd w:val="clear" w:color="auto" w:fill="00FFFF"/>
              </w:rPr>
            </w:pPr>
          </w:p>
        </w:tc>
        <w:tc>
          <w:tcPr>
            <w:tcW w:w="406" w:type="pct"/>
            <w:shd w:val="clear" w:color="auto" w:fill="CDCDCD"/>
          </w:tcPr>
          <w:p w14:paraId="038A128D" w14:textId="625FF83F" w:rsidR="00617F15" w:rsidRDefault="00617F15" w:rsidP="001A5D4A">
            <w:pPr>
              <w:pStyle w:val="NotesTable-CellBold"/>
            </w:pPr>
            <w:r>
              <w:t>–</w:t>
            </w:r>
          </w:p>
        </w:tc>
        <w:tc>
          <w:tcPr>
            <w:tcW w:w="406" w:type="pct"/>
            <w:shd w:val="clear" w:color="auto" w:fill="CDCDCD"/>
          </w:tcPr>
          <w:p w14:paraId="038A128E" w14:textId="16C37FA7" w:rsidR="00617F15" w:rsidRPr="00451F7F" w:rsidRDefault="00617F15" w:rsidP="001A5D4A">
            <w:pPr>
              <w:pStyle w:val="NotesTable-CellPlain"/>
            </w:pPr>
            <w:r>
              <w:t>–</w:t>
            </w:r>
          </w:p>
        </w:tc>
        <w:tc>
          <w:tcPr>
            <w:tcW w:w="406" w:type="pct"/>
            <w:shd w:val="clear" w:color="auto" w:fill="CDCDCD"/>
          </w:tcPr>
          <w:p w14:paraId="038A128F" w14:textId="6504D952" w:rsidR="00617F15" w:rsidRPr="00451F7F" w:rsidRDefault="00617F15" w:rsidP="001A5D4A">
            <w:pPr>
              <w:pStyle w:val="NotesTable-CellBold"/>
            </w:pPr>
            <w:r>
              <w:t>–</w:t>
            </w:r>
          </w:p>
        </w:tc>
        <w:tc>
          <w:tcPr>
            <w:tcW w:w="405" w:type="pct"/>
            <w:shd w:val="clear" w:color="auto" w:fill="CDCDCD"/>
          </w:tcPr>
          <w:p w14:paraId="038A1290" w14:textId="06120CB6" w:rsidR="00617F15" w:rsidRPr="00451F7F" w:rsidRDefault="00617F15" w:rsidP="001A5D4A">
            <w:pPr>
              <w:pStyle w:val="NotesTable-CellPlain"/>
            </w:pPr>
            <w:r>
              <w:t>–</w:t>
            </w:r>
          </w:p>
        </w:tc>
      </w:tr>
      <w:tr w:rsidR="004404D2" w14:paraId="038A1299" w14:textId="77777777" w:rsidTr="00E52AAD">
        <w:trPr>
          <w:cantSplit/>
          <w:trHeight w:hRule="exact" w:val="227"/>
        </w:trPr>
        <w:tc>
          <w:tcPr>
            <w:tcW w:w="810" w:type="pct"/>
          </w:tcPr>
          <w:p w14:paraId="038A1292" w14:textId="77777777" w:rsidR="004404D2" w:rsidRDefault="004404D2" w:rsidP="001A5D4A">
            <w:pPr>
              <w:pStyle w:val="Note-Refs"/>
            </w:pPr>
          </w:p>
        </w:tc>
        <w:tc>
          <w:tcPr>
            <w:tcW w:w="2297" w:type="pct"/>
            <w:shd w:val="clear" w:color="auto" w:fill="CDCDCD"/>
            <w:vAlign w:val="bottom"/>
          </w:tcPr>
          <w:p w14:paraId="038A1293" w14:textId="77777777" w:rsidR="004404D2" w:rsidRPr="00BF3922" w:rsidRDefault="004404D2" w:rsidP="001A5D4A">
            <w:pPr>
              <w:pStyle w:val="NotesTable-ItemPlain"/>
              <w:rPr>
                <w:b/>
              </w:rPr>
            </w:pPr>
            <w:r w:rsidRPr="00BF3922">
              <w:t>Total ARC</w:t>
            </w:r>
          </w:p>
        </w:tc>
        <w:tc>
          <w:tcPr>
            <w:tcW w:w="270" w:type="pct"/>
            <w:shd w:val="clear" w:color="auto" w:fill="CDCDCD"/>
          </w:tcPr>
          <w:p w14:paraId="038A1294" w14:textId="77777777" w:rsidR="004404D2" w:rsidRPr="00BF3922" w:rsidRDefault="004404D2" w:rsidP="001A5D4A">
            <w:pPr>
              <w:pStyle w:val="NotesTable-Notes"/>
              <w:rPr>
                <w:shd w:val="clear" w:color="auto" w:fill="00FFFF"/>
              </w:rPr>
            </w:pPr>
          </w:p>
        </w:tc>
        <w:tc>
          <w:tcPr>
            <w:tcW w:w="406" w:type="pct"/>
            <w:tcBorders>
              <w:top w:val="single" w:sz="4" w:space="0" w:color="000000"/>
            </w:tcBorders>
            <w:shd w:val="clear" w:color="auto" w:fill="CDCDCD"/>
          </w:tcPr>
          <w:p w14:paraId="038A1295" w14:textId="77777777" w:rsidR="004404D2" w:rsidRPr="00451F7F" w:rsidRDefault="004404D2" w:rsidP="001A5D4A">
            <w:pPr>
              <w:pStyle w:val="NotesTable-CellBold"/>
            </w:pPr>
            <w:r w:rsidRPr="00BE0952">
              <w:t>–</w:t>
            </w:r>
          </w:p>
        </w:tc>
        <w:tc>
          <w:tcPr>
            <w:tcW w:w="406" w:type="pct"/>
            <w:tcBorders>
              <w:top w:val="single" w:sz="4" w:space="0" w:color="000000"/>
            </w:tcBorders>
            <w:shd w:val="clear" w:color="auto" w:fill="CDCDCD"/>
          </w:tcPr>
          <w:p w14:paraId="038A1296" w14:textId="77777777" w:rsidR="004404D2" w:rsidRPr="00451F7F" w:rsidRDefault="004404D2" w:rsidP="001A5D4A">
            <w:pPr>
              <w:pStyle w:val="NotesTable-CellPlain"/>
            </w:pPr>
            <w:r w:rsidRPr="00856635">
              <w:t>–</w:t>
            </w:r>
          </w:p>
        </w:tc>
        <w:tc>
          <w:tcPr>
            <w:tcW w:w="406" w:type="pct"/>
            <w:tcBorders>
              <w:top w:val="single" w:sz="4" w:space="0" w:color="000000"/>
            </w:tcBorders>
            <w:shd w:val="clear" w:color="auto" w:fill="CDCDCD"/>
          </w:tcPr>
          <w:p w14:paraId="038A1297" w14:textId="77777777" w:rsidR="004404D2" w:rsidRPr="00451F7F" w:rsidRDefault="004404D2" w:rsidP="001A5D4A">
            <w:pPr>
              <w:pStyle w:val="NotesTable-CellBold"/>
            </w:pPr>
            <w:r w:rsidRPr="00BE0952">
              <w:t>–</w:t>
            </w:r>
          </w:p>
        </w:tc>
        <w:tc>
          <w:tcPr>
            <w:tcW w:w="405" w:type="pct"/>
            <w:tcBorders>
              <w:top w:val="single" w:sz="4" w:space="0" w:color="000000"/>
            </w:tcBorders>
            <w:shd w:val="clear" w:color="auto" w:fill="CDCDCD"/>
          </w:tcPr>
          <w:p w14:paraId="038A1298" w14:textId="77777777" w:rsidR="004404D2" w:rsidRPr="00451F7F" w:rsidRDefault="004404D2" w:rsidP="001A5D4A">
            <w:pPr>
              <w:pStyle w:val="NotesTable-CellPlain"/>
            </w:pPr>
            <w:r w:rsidRPr="00856635">
              <w:t>–</w:t>
            </w:r>
          </w:p>
        </w:tc>
      </w:tr>
      <w:tr w:rsidR="00FB6423" w14:paraId="038A129C" w14:textId="77777777" w:rsidTr="00FC61D5">
        <w:trPr>
          <w:cantSplit/>
          <w:trHeight w:hRule="exact" w:val="227"/>
        </w:trPr>
        <w:tc>
          <w:tcPr>
            <w:tcW w:w="810" w:type="pct"/>
          </w:tcPr>
          <w:p w14:paraId="038A129A" w14:textId="77777777" w:rsidR="00FB6423" w:rsidRDefault="00FB6423" w:rsidP="001A5D4A">
            <w:pPr>
              <w:pStyle w:val="Note-Refs"/>
            </w:pPr>
          </w:p>
        </w:tc>
        <w:tc>
          <w:tcPr>
            <w:tcW w:w="4190" w:type="pct"/>
            <w:gridSpan w:val="6"/>
            <w:shd w:val="clear" w:color="auto" w:fill="CDCDCD"/>
          </w:tcPr>
          <w:p w14:paraId="038A129B" w14:textId="77777777" w:rsidR="00FB6423" w:rsidRDefault="00FB6423" w:rsidP="001A5D4A">
            <w:pPr>
              <w:pStyle w:val="Contents-numberslist"/>
            </w:pPr>
          </w:p>
        </w:tc>
      </w:tr>
      <w:tr w:rsidR="004023E5" w14:paraId="038A129F" w14:textId="77777777" w:rsidTr="00FC61D5">
        <w:trPr>
          <w:cantSplit/>
          <w:trHeight w:hRule="exact" w:val="454"/>
        </w:trPr>
        <w:tc>
          <w:tcPr>
            <w:tcW w:w="810" w:type="pct"/>
          </w:tcPr>
          <w:p w14:paraId="038A129D" w14:textId="77777777" w:rsidR="004023E5" w:rsidRDefault="004023E5" w:rsidP="001A5D4A">
            <w:pPr>
              <w:pStyle w:val="Note-Refs"/>
            </w:pPr>
          </w:p>
        </w:tc>
        <w:tc>
          <w:tcPr>
            <w:tcW w:w="4190" w:type="pct"/>
            <w:gridSpan w:val="6"/>
            <w:shd w:val="clear" w:color="auto" w:fill="CDCDCD"/>
            <w:vAlign w:val="bottom"/>
          </w:tcPr>
          <w:p w14:paraId="038A129E" w14:textId="77777777" w:rsidR="004023E5" w:rsidRDefault="004023E5" w:rsidP="001A5D4A">
            <w:pPr>
              <w:pStyle w:val="Note-Text"/>
              <w:rPr>
                <w:b/>
                <w:lang w:val="en-GB"/>
              </w:rPr>
            </w:pPr>
            <w:r>
              <w:t>#1</w:t>
            </w:r>
            <w:r w:rsidRPr="00C0248C">
              <w:tab/>
            </w:r>
            <w:r>
              <w:t xml:space="preserve">Includes the basic CGS grant amount, CGS – Regional Loading, CGS – Enabling Loading, Maths </w:t>
            </w:r>
            <w:r w:rsidR="00542A27">
              <w:tab/>
            </w:r>
            <w:r>
              <w:t>and Science Transition Loading and Full Fee Places Transition Loading.</w:t>
            </w:r>
          </w:p>
        </w:tc>
      </w:tr>
      <w:tr w:rsidR="004023E5" w14:paraId="038A12A2" w14:textId="77777777" w:rsidTr="00FC61D5">
        <w:trPr>
          <w:cantSplit/>
          <w:trHeight w:hRule="exact" w:val="227"/>
        </w:trPr>
        <w:tc>
          <w:tcPr>
            <w:tcW w:w="810" w:type="pct"/>
          </w:tcPr>
          <w:p w14:paraId="038A12A0" w14:textId="77777777" w:rsidR="004023E5" w:rsidRDefault="004023E5" w:rsidP="001A5D4A">
            <w:pPr>
              <w:pStyle w:val="Note-Refs"/>
            </w:pPr>
          </w:p>
        </w:tc>
        <w:tc>
          <w:tcPr>
            <w:tcW w:w="4190" w:type="pct"/>
            <w:gridSpan w:val="6"/>
            <w:shd w:val="clear" w:color="auto" w:fill="CDCDCD"/>
            <w:vAlign w:val="bottom"/>
          </w:tcPr>
          <w:p w14:paraId="038A12A1" w14:textId="77777777" w:rsidR="004023E5" w:rsidRDefault="004023E5" w:rsidP="001A5D4A">
            <w:pPr>
              <w:pStyle w:val="Note-Text"/>
              <w:rPr>
                <w:b/>
                <w:lang w:val="en-GB"/>
              </w:rPr>
            </w:pPr>
            <w:r>
              <w:t>#2</w:t>
            </w:r>
            <w:r w:rsidR="00542A27">
              <w:tab/>
            </w:r>
            <w:r>
              <w:t>Includes Equity Support Program</w:t>
            </w:r>
          </w:p>
        </w:tc>
      </w:tr>
      <w:tr w:rsidR="004023E5" w14:paraId="038A12A5" w14:textId="77777777" w:rsidTr="00FC61D5">
        <w:trPr>
          <w:cantSplit/>
          <w:trHeight w:hRule="exact" w:val="227"/>
        </w:trPr>
        <w:tc>
          <w:tcPr>
            <w:tcW w:w="810" w:type="pct"/>
          </w:tcPr>
          <w:p w14:paraId="038A12A3" w14:textId="77777777" w:rsidR="004023E5" w:rsidRDefault="004023E5" w:rsidP="001A5D4A">
            <w:pPr>
              <w:pStyle w:val="Note-Refs"/>
            </w:pPr>
          </w:p>
        </w:tc>
        <w:tc>
          <w:tcPr>
            <w:tcW w:w="4190" w:type="pct"/>
            <w:gridSpan w:val="6"/>
            <w:shd w:val="clear" w:color="auto" w:fill="CDCDCD"/>
            <w:vAlign w:val="bottom"/>
          </w:tcPr>
          <w:p w14:paraId="038A12A4" w14:textId="77777777" w:rsidR="004023E5" w:rsidRDefault="004023E5" w:rsidP="001A5D4A">
            <w:pPr>
              <w:pStyle w:val="Note-Text"/>
              <w:rPr>
                <w:b/>
                <w:lang w:val="en-GB"/>
              </w:rPr>
            </w:pPr>
            <w:r>
              <w:t>#3</w:t>
            </w:r>
            <w:r w:rsidRPr="00C0248C">
              <w:tab/>
            </w:r>
            <w:r>
              <w:t>Includes Collaboration &amp; Structural Adjustment Program</w:t>
            </w:r>
          </w:p>
        </w:tc>
      </w:tr>
      <w:tr w:rsidR="004023E5" w14:paraId="038A12A8" w14:textId="77777777" w:rsidTr="00FC61D5">
        <w:trPr>
          <w:cantSplit/>
          <w:trHeight w:hRule="exact" w:val="454"/>
        </w:trPr>
        <w:tc>
          <w:tcPr>
            <w:tcW w:w="810" w:type="pct"/>
          </w:tcPr>
          <w:p w14:paraId="038A12A6" w14:textId="77777777" w:rsidR="004023E5" w:rsidRDefault="004023E5" w:rsidP="001A5D4A">
            <w:pPr>
              <w:pStyle w:val="Note-Refs"/>
            </w:pPr>
          </w:p>
        </w:tc>
        <w:tc>
          <w:tcPr>
            <w:tcW w:w="4190" w:type="pct"/>
            <w:gridSpan w:val="6"/>
            <w:shd w:val="clear" w:color="auto" w:fill="CDCDCD"/>
            <w:vAlign w:val="bottom"/>
          </w:tcPr>
          <w:p w14:paraId="038A12A7" w14:textId="77777777" w:rsidR="004023E5" w:rsidRDefault="004023E5" w:rsidP="001A5D4A">
            <w:pPr>
              <w:pStyle w:val="Note-Text"/>
              <w:rPr>
                <w:b/>
                <w:lang w:val="en-GB"/>
              </w:rPr>
            </w:pPr>
            <w:r>
              <w:t>#4</w:t>
            </w:r>
            <w:r w:rsidRPr="00C0248C">
              <w:tab/>
            </w:r>
            <w:proofErr w:type="gramStart"/>
            <w:r>
              <w:t>Program</w:t>
            </w:r>
            <w:proofErr w:type="gramEnd"/>
            <w:r>
              <w:t xml:space="preserve"> is in respect of FEE-HELP for Higher Education only and excludes funds received in </w:t>
            </w:r>
            <w:r w:rsidR="00542A27">
              <w:tab/>
            </w:r>
            <w:r>
              <w:t>respect of VET FEE-HELP.</w:t>
            </w:r>
          </w:p>
        </w:tc>
      </w:tr>
      <w:tr w:rsidR="004023E5" w14:paraId="038A12AB" w14:textId="77777777" w:rsidTr="00FC61D5">
        <w:trPr>
          <w:cantSplit/>
          <w:trHeight w:hRule="exact" w:val="454"/>
        </w:trPr>
        <w:tc>
          <w:tcPr>
            <w:tcW w:w="810" w:type="pct"/>
          </w:tcPr>
          <w:p w14:paraId="038A12A9" w14:textId="77777777" w:rsidR="004023E5" w:rsidRDefault="004023E5" w:rsidP="001A5D4A">
            <w:pPr>
              <w:pStyle w:val="Note-Refs"/>
            </w:pPr>
          </w:p>
        </w:tc>
        <w:tc>
          <w:tcPr>
            <w:tcW w:w="4190" w:type="pct"/>
            <w:gridSpan w:val="6"/>
            <w:shd w:val="clear" w:color="auto" w:fill="CDCDCD"/>
            <w:vAlign w:val="bottom"/>
          </w:tcPr>
          <w:p w14:paraId="038A12AA" w14:textId="77777777" w:rsidR="004023E5" w:rsidRDefault="004023E5" w:rsidP="001A5D4A">
            <w:pPr>
              <w:pStyle w:val="Note-Text"/>
              <w:rPr>
                <w:b/>
                <w:lang w:val="en-GB"/>
              </w:rPr>
            </w:pPr>
            <w:r>
              <w:t>#5</w:t>
            </w:r>
            <w:r w:rsidRPr="00C0248C">
              <w:tab/>
            </w:r>
            <w:r>
              <w:t xml:space="preserve">Includes Grandfathered Scholarships, National Priority and National Accommodation Priority </w:t>
            </w:r>
            <w:r w:rsidR="00542A27">
              <w:tab/>
            </w:r>
            <w:r>
              <w:t>Scholarships respectively.</w:t>
            </w:r>
          </w:p>
        </w:tc>
      </w:tr>
      <w:tr w:rsidR="00617F15" w14:paraId="12856F74" w14:textId="77777777" w:rsidTr="00FC61D5">
        <w:trPr>
          <w:cantSplit/>
          <w:trHeight w:hRule="exact" w:val="227"/>
        </w:trPr>
        <w:tc>
          <w:tcPr>
            <w:tcW w:w="810" w:type="pct"/>
          </w:tcPr>
          <w:p w14:paraId="7C4C2218" w14:textId="77777777" w:rsidR="00617F15" w:rsidRDefault="00617F15" w:rsidP="001A5D4A">
            <w:pPr>
              <w:pStyle w:val="Note-Refs"/>
            </w:pPr>
          </w:p>
        </w:tc>
        <w:tc>
          <w:tcPr>
            <w:tcW w:w="4190" w:type="pct"/>
            <w:gridSpan w:val="6"/>
            <w:shd w:val="clear" w:color="auto" w:fill="CDCDCD"/>
            <w:vAlign w:val="bottom"/>
          </w:tcPr>
          <w:p w14:paraId="0FC4F8B2" w14:textId="6749696D" w:rsidR="00617F15" w:rsidRDefault="00617F15" w:rsidP="001A5D4A">
            <w:pPr>
              <w:pStyle w:val="Note-Text"/>
            </w:pPr>
            <w:r>
              <w:t>#</w:t>
            </w:r>
            <w:r w:rsidR="00B813F6">
              <w:t>6</w:t>
            </w:r>
            <w:r>
              <w:tab/>
              <w:t>Includes Early Career Researcher Award</w:t>
            </w:r>
          </w:p>
        </w:tc>
      </w:tr>
      <w:tr w:rsidR="004404D2" w14:paraId="038A12B1" w14:textId="77777777" w:rsidTr="00FC61D5">
        <w:trPr>
          <w:cantSplit/>
          <w:trHeight w:hRule="exact" w:val="227"/>
        </w:trPr>
        <w:tc>
          <w:tcPr>
            <w:tcW w:w="810" w:type="pct"/>
          </w:tcPr>
          <w:p w14:paraId="038A12AF" w14:textId="77777777" w:rsidR="004404D2" w:rsidRDefault="004404D2" w:rsidP="001A5D4A">
            <w:pPr>
              <w:pStyle w:val="Note-Refs"/>
            </w:pPr>
          </w:p>
        </w:tc>
        <w:tc>
          <w:tcPr>
            <w:tcW w:w="4190" w:type="pct"/>
            <w:gridSpan w:val="6"/>
            <w:shd w:val="clear" w:color="auto" w:fill="CDCDCD"/>
            <w:vAlign w:val="bottom"/>
          </w:tcPr>
          <w:p w14:paraId="038A12B0" w14:textId="77777777" w:rsidR="004404D2" w:rsidRDefault="004404D2" w:rsidP="001A5D4A">
            <w:pPr>
              <w:pStyle w:val="Note-Text"/>
            </w:pPr>
          </w:p>
        </w:tc>
      </w:tr>
    </w:tbl>
    <w:p w14:paraId="038A12B2" w14:textId="77777777" w:rsidR="00DF13A7" w:rsidRPr="006B68EB" w:rsidRDefault="00DF13A7" w:rsidP="001A5D4A">
      <w:r w:rsidRPr="006B68EB">
        <w:br w:type="page"/>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00701C" w14:paraId="038A12B6" w14:textId="77777777" w:rsidTr="0000701C">
        <w:trPr>
          <w:trHeight w:val="161"/>
        </w:trPr>
        <w:tc>
          <w:tcPr>
            <w:tcW w:w="5000" w:type="pct"/>
            <w:gridSpan w:val="7"/>
          </w:tcPr>
          <w:p w14:paraId="038A12B5" w14:textId="51988875" w:rsidR="0000701C" w:rsidRPr="0000701C" w:rsidRDefault="0000701C" w:rsidP="001A5D4A">
            <w:pPr>
              <w:rPr>
                <w:rFonts w:asciiTheme="majorHAnsi" w:hAnsiTheme="majorHAnsi"/>
                <w:b/>
                <w:i/>
                <w:sz w:val="32"/>
                <w:szCs w:val="32"/>
              </w:rPr>
            </w:pPr>
            <w:r>
              <w:rPr>
                <w:rFonts w:asciiTheme="majorHAnsi" w:hAnsiTheme="majorHAnsi"/>
                <w:b/>
                <w:i/>
                <w:sz w:val="32"/>
                <w:szCs w:val="32"/>
              </w:rPr>
              <w:lastRenderedPageBreak/>
              <w:t xml:space="preserve">Note 3. </w:t>
            </w:r>
            <w:r w:rsidRPr="0000701C">
              <w:rPr>
                <w:rFonts w:asciiTheme="majorHAnsi" w:hAnsiTheme="majorHAnsi"/>
                <w:b/>
                <w:i/>
                <w:sz w:val="32"/>
                <w:szCs w:val="32"/>
              </w:rPr>
              <w:t>Australian Government financial assistance including Australian Government loan programs (HELP) (continued)</w:t>
            </w:r>
          </w:p>
        </w:tc>
      </w:tr>
      <w:tr w:rsidR="0000701C" w14:paraId="70D10259" w14:textId="77777777" w:rsidTr="0000701C">
        <w:trPr>
          <w:trHeight w:val="161"/>
        </w:trPr>
        <w:tc>
          <w:tcPr>
            <w:tcW w:w="810" w:type="pct"/>
          </w:tcPr>
          <w:p w14:paraId="35D9BAE5" w14:textId="77777777" w:rsidR="0000701C" w:rsidRPr="0000701C" w:rsidRDefault="0000701C" w:rsidP="0000701C">
            <w:pPr>
              <w:pStyle w:val="Note-Refs"/>
              <w:rPr>
                <w:rFonts w:asciiTheme="minorHAnsi" w:hAnsiTheme="minorHAnsi" w:cstheme="minorHAnsi"/>
                <w:sz w:val="22"/>
                <w:szCs w:val="22"/>
              </w:rPr>
            </w:pPr>
            <w:r w:rsidRPr="0000701C">
              <w:rPr>
                <w:rFonts w:asciiTheme="minorHAnsi" w:hAnsiTheme="minorHAnsi" w:cstheme="minorHAnsi"/>
                <w:sz w:val="22"/>
                <w:szCs w:val="22"/>
              </w:rPr>
              <w:t>Mandatory</w:t>
            </w:r>
          </w:p>
          <w:p w14:paraId="1F03681D" w14:textId="7CE3AB6B" w:rsidR="0000701C" w:rsidRDefault="0000701C" w:rsidP="0000701C">
            <w:pPr>
              <w:pStyle w:val="Note-Refs"/>
            </w:pPr>
            <w:r w:rsidRPr="0000701C">
              <w:rPr>
                <w:rFonts w:asciiTheme="minorHAnsi" w:hAnsiTheme="minorHAnsi" w:cstheme="minorHAnsi"/>
                <w:sz w:val="22"/>
                <w:szCs w:val="22"/>
              </w:rPr>
              <w:t>Education</w:t>
            </w:r>
          </w:p>
        </w:tc>
        <w:tc>
          <w:tcPr>
            <w:tcW w:w="4190" w:type="pct"/>
            <w:gridSpan w:val="6"/>
            <w:shd w:val="clear" w:color="auto" w:fill="auto"/>
          </w:tcPr>
          <w:p w14:paraId="60BDEA43" w14:textId="77777777" w:rsidR="0000701C" w:rsidRPr="00E52AAD" w:rsidRDefault="0000701C" w:rsidP="001A5D4A"/>
        </w:tc>
      </w:tr>
      <w:tr w:rsidR="00CE3989" w14:paraId="038A12BC" w14:textId="77777777" w:rsidTr="0000701C">
        <w:trPr>
          <w:trHeight w:hRule="exact" w:val="227"/>
        </w:trPr>
        <w:tc>
          <w:tcPr>
            <w:tcW w:w="810" w:type="pct"/>
          </w:tcPr>
          <w:p w14:paraId="038A12B7" w14:textId="77777777" w:rsidR="00CE3989" w:rsidRDefault="00CE3989" w:rsidP="001A5D4A">
            <w:pPr>
              <w:pStyle w:val="Note-Refs"/>
            </w:pPr>
          </w:p>
        </w:tc>
        <w:tc>
          <w:tcPr>
            <w:tcW w:w="2297" w:type="pct"/>
            <w:shd w:val="clear" w:color="auto" w:fill="CCCCCC"/>
            <w:vAlign w:val="bottom"/>
          </w:tcPr>
          <w:p w14:paraId="038A12B8" w14:textId="77777777" w:rsidR="00CE3989" w:rsidRDefault="00CE3989" w:rsidP="001A5D4A">
            <w:pPr>
              <w:pStyle w:val="NotesTable-ItemPlain"/>
            </w:pPr>
          </w:p>
        </w:tc>
        <w:tc>
          <w:tcPr>
            <w:tcW w:w="270" w:type="pct"/>
            <w:shd w:val="clear" w:color="auto" w:fill="CCCCCC"/>
          </w:tcPr>
          <w:p w14:paraId="038A12B9" w14:textId="77777777" w:rsidR="00CE3989" w:rsidRDefault="00CE3989" w:rsidP="001A5D4A">
            <w:pPr>
              <w:pStyle w:val="Contents-numberslist"/>
            </w:pPr>
          </w:p>
        </w:tc>
        <w:tc>
          <w:tcPr>
            <w:tcW w:w="812" w:type="pct"/>
            <w:gridSpan w:val="2"/>
            <w:shd w:val="clear" w:color="auto" w:fill="CCCCCC"/>
          </w:tcPr>
          <w:p w14:paraId="038A12BA" w14:textId="77777777" w:rsidR="00CE3989" w:rsidRDefault="00CE3989" w:rsidP="001A5D4A">
            <w:pPr>
              <w:snapToGrid w:val="0"/>
              <w:spacing w:line="100" w:lineRule="atLeast"/>
              <w:jc w:val="center"/>
              <w:rPr>
                <w:rFonts w:ascii="Arial" w:hAnsi="Arial" w:cs="Arial"/>
                <w:sz w:val="18"/>
              </w:rPr>
            </w:pPr>
            <w:r>
              <w:rPr>
                <w:rFonts w:ascii="Arial" w:hAnsi="Arial" w:cs="Arial"/>
                <w:sz w:val="18"/>
              </w:rPr>
              <w:t>Consolidated</w:t>
            </w:r>
          </w:p>
        </w:tc>
        <w:tc>
          <w:tcPr>
            <w:tcW w:w="811" w:type="pct"/>
            <w:gridSpan w:val="2"/>
            <w:shd w:val="clear" w:color="auto" w:fill="CCCCCC"/>
          </w:tcPr>
          <w:p w14:paraId="038A12BB" w14:textId="77777777" w:rsidR="00CE3989" w:rsidRDefault="00CE3989" w:rsidP="001A5D4A">
            <w:pPr>
              <w:snapToGrid w:val="0"/>
              <w:spacing w:line="100" w:lineRule="atLeast"/>
              <w:jc w:val="center"/>
              <w:rPr>
                <w:rFonts w:ascii="Arial" w:hAnsi="Arial" w:cs="Arial"/>
                <w:sz w:val="18"/>
              </w:rPr>
            </w:pPr>
            <w:r>
              <w:rPr>
                <w:rFonts w:ascii="Arial" w:hAnsi="Arial" w:cs="Arial"/>
                <w:sz w:val="18"/>
              </w:rPr>
              <w:t>Parent entity</w:t>
            </w:r>
          </w:p>
        </w:tc>
      </w:tr>
      <w:tr w:rsidR="004023E5" w14:paraId="038A12C4" w14:textId="77777777" w:rsidTr="0000701C">
        <w:trPr>
          <w:trHeight w:hRule="exact" w:val="227"/>
        </w:trPr>
        <w:tc>
          <w:tcPr>
            <w:tcW w:w="810" w:type="pct"/>
          </w:tcPr>
          <w:p w14:paraId="038A12BD" w14:textId="77777777" w:rsidR="004023E5" w:rsidRDefault="004023E5" w:rsidP="001A5D4A">
            <w:pPr>
              <w:pStyle w:val="Note-Refs"/>
            </w:pPr>
          </w:p>
        </w:tc>
        <w:tc>
          <w:tcPr>
            <w:tcW w:w="2297" w:type="pct"/>
            <w:shd w:val="clear" w:color="auto" w:fill="CCCCCC"/>
            <w:vAlign w:val="bottom"/>
          </w:tcPr>
          <w:p w14:paraId="038A12BE" w14:textId="77777777" w:rsidR="004023E5" w:rsidRDefault="004023E5" w:rsidP="001A5D4A">
            <w:pPr>
              <w:pStyle w:val="NotesTable-ItemPlain"/>
            </w:pPr>
          </w:p>
        </w:tc>
        <w:tc>
          <w:tcPr>
            <w:tcW w:w="270" w:type="pct"/>
            <w:shd w:val="clear" w:color="auto" w:fill="CCCCCC"/>
          </w:tcPr>
          <w:p w14:paraId="038A12BF" w14:textId="77777777" w:rsidR="004023E5" w:rsidRDefault="004023E5" w:rsidP="001A5D4A">
            <w:pPr>
              <w:pStyle w:val="Contents-numberslist"/>
              <w:rPr>
                <w:shd w:val="clear" w:color="auto" w:fill="00FFFF"/>
              </w:rPr>
            </w:pPr>
          </w:p>
        </w:tc>
        <w:tc>
          <w:tcPr>
            <w:tcW w:w="406" w:type="pct"/>
            <w:shd w:val="clear" w:color="auto" w:fill="CCCCCC"/>
          </w:tcPr>
          <w:p w14:paraId="038A12C0" w14:textId="764AAAAB" w:rsidR="004023E5" w:rsidRDefault="006864EC" w:rsidP="001A5D4A">
            <w:pPr>
              <w:snapToGrid w:val="0"/>
              <w:spacing w:line="100" w:lineRule="atLeast"/>
              <w:jc w:val="center"/>
              <w:rPr>
                <w:rFonts w:ascii="Arial" w:hAnsi="Arial" w:cs="Arial"/>
                <w:b/>
                <w:sz w:val="18"/>
              </w:rPr>
            </w:pPr>
            <w:r>
              <w:rPr>
                <w:rFonts w:ascii="Arial" w:hAnsi="Arial" w:cs="Arial"/>
                <w:b/>
                <w:sz w:val="18"/>
              </w:rPr>
              <w:t>2014</w:t>
            </w:r>
          </w:p>
        </w:tc>
        <w:tc>
          <w:tcPr>
            <w:tcW w:w="406" w:type="pct"/>
            <w:shd w:val="clear" w:color="auto" w:fill="CCCCCC"/>
          </w:tcPr>
          <w:p w14:paraId="038A12C1" w14:textId="29824E2B" w:rsidR="004023E5" w:rsidRDefault="006864EC" w:rsidP="001A5D4A">
            <w:pPr>
              <w:snapToGrid w:val="0"/>
              <w:spacing w:line="100" w:lineRule="atLeast"/>
              <w:jc w:val="center"/>
              <w:rPr>
                <w:rFonts w:ascii="Arial" w:hAnsi="Arial" w:cs="Arial"/>
                <w:sz w:val="18"/>
              </w:rPr>
            </w:pPr>
            <w:r>
              <w:rPr>
                <w:rFonts w:ascii="Arial" w:hAnsi="Arial" w:cs="Arial"/>
                <w:sz w:val="18"/>
              </w:rPr>
              <w:t>2013</w:t>
            </w:r>
          </w:p>
        </w:tc>
        <w:tc>
          <w:tcPr>
            <w:tcW w:w="406" w:type="pct"/>
            <w:shd w:val="clear" w:color="auto" w:fill="CCCCCC"/>
          </w:tcPr>
          <w:p w14:paraId="038A12C2" w14:textId="06FD9E9E" w:rsidR="004023E5" w:rsidRDefault="006864EC" w:rsidP="001A5D4A">
            <w:pPr>
              <w:snapToGrid w:val="0"/>
              <w:spacing w:line="100" w:lineRule="atLeast"/>
              <w:jc w:val="center"/>
              <w:rPr>
                <w:rFonts w:ascii="Arial" w:hAnsi="Arial" w:cs="Arial"/>
                <w:b/>
                <w:sz w:val="18"/>
              </w:rPr>
            </w:pPr>
            <w:r>
              <w:rPr>
                <w:rFonts w:ascii="Arial" w:hAnsi="Arial" w:cs="Arial"/>
                <w:b/>
                <w:sz w:val="18"/>
              </w:rPr>
              <w:t>2014</w:t>
            </w:r>
          </w:p>
        </w:tc>
        <w:tc>
          <w:tcPr>
            <w:tcW w:w="405" w:type="pct"/>
            <w:shd w:val="clear" w:color="auto" w:fill="CCCCCC"/>
          </w:tcPr>
          <w:p w14:paraId="038A12C3" w14:textId="4ABAC274" w:rsidR="004023E5" w:rsidRDefault="006864EC" w:rsidP="001A5D4A">
            <w:pPr>
              <w:snapToGrid w:val="0"/>
              <w:spacing w:line="100" w:lineRule="atLeast"/>
              <w:jc w:val="center"/>
              <w:rPr>
                <w:rFonts w:ascii="Arial" w:hAnsi="Arial" w:cs="Arial"/>
                <w:sz w:val="18"/>
              </w:rPr>
            </w:pPr>
            <w:r>
              <w:rPr>
                <w:rFonts w:ascii="Arial" w:hAnsi="Arial" w:cs="Arial"/>
                <w:sz w:val="18"/>
              </w:rPr>
              <w:t>2013</w:t>
            </w:r>
          </w:p>
        </w:tc>
      </w:tr>
      <w:tr w:rsidR="004023E5" w14:paraId="038A12CC" w14:textId="77777777" w:rsidTr="0000701C">
        <w:trPr>
          <w:trHeight w:hRule="exact" w:val="227"/>
        </w:trPr>
        <w:tc>
          <w:tcPr>
            <w:tcW w:w="810" w:type="pct"/>
          </w:tcPr>
          <w:p w14:paraId="038A12C5" w14:textId="77777777" w:rsidR="004023E5" w:rsidRDefault="004023E5" w:rsidP="001A5D4A">
            <w:pPr>
              <w:pStyle w:val="Note-Refs"/>
            </w:pPr>
          </w:p>
        </w:tc>
        <w:tc>
          <w:tcPr>
            <w:tcW w:w="2297" w:type="pct"/>
            <w:shd w:val="clear" w:color="auto" w:fill="CCCCCC"/>
            <w:vAlign w:val="bottom"/>
          </w:tcPr>
          <w:p w14:paraId="038A12C6" w14:textId="77777777" w:rsidR="004023E5" w:rsidRDefault="004023E5" w:rsidP="001A5D4A">
            <w:pPr>
              <w:pStyle w:val="NotesTable-ItemPlain"/>
            </w:pPr>
          </w:p>
        </w:tc>
        <w:tc>
          <w:tcPr>
            <w:tcW w:w="270" w:type="pct"/>
            <w:shd w:val="clear" w:color="auto" w:fill="CCCCCC"/>
          </w:tcPr>
          <w:p w14:paraId="038A12C7" w14:textId="77777777" w:rsidR="004023E5" w:rsidRDefault="004023E5" w:rsidP="001A5D4A">
            <w:pPr>
              <w:pStyle w:val="Contents-numberslist"/>
              <w:rPr>
                <w:shd w:val="clear" w:color="auto" w:fill="00FFFF"/>
              </w:rPr>
            </w:pPr>
          </w:p>
        </w:tc>
        <w:tc>
          <w:tcPr>
            <w:tcW w:w="406" w:type="pct"/>
            <w:shd w:val="clear" w:color="auto" w:fill="CCCCCC"/>
          </w:tcPr>
          <w:p w14:paraId="038A12C8" w14:textId="77777777" w:rsidR="004023E5" w:rsidRDefault="004023E5" w:rsidP="001A5D4A">
            <w:pPr>
              <w:snapToGrid w:val="0"/>
              <w:spacing w:line="100" w:lineRule="atLeast"/>
              <w:jc w:val="center"/>
              <w:rPr>
                <w:rFonts w:ascii="Arial" w:hAnsi="Arial" w:cs="Arial"/>
                <w:b/>
                <w:sz w:val="18"/>
              </w:rPr>
            </w:pPr>
            <w:r>
              <w:rPr>
                <w:rFonts w:ascii="Arial" w:hAnsi="Arial" w:cs="Arial"/>
                <w:b/>
                <w:sz w:val="18"/>
              </w:rPr>
              <w:t>$’000</w:t>
            </w:r>
          </w:p>
        </w:tc>
        <w:tc>
          <w:tcPr>
            <w:tcW w:w="406" w:type="pct"/>
            <w:shd w:val="clear" w:color="auto" w:fill="CCCCCC"/>
          </w:tcPr>
          <w:p w14:paraId="038A12C9" w14:textId="77777777" w:rsidR="004023E5" w:rsidRDefault="004023E5" w:rsidP="001A5D4A">
            <w:pPr>
              <w:snapToGrid w:val="0"/>
              <w:spacing w:line="100" w:lineRule="atLeast"/>
              <w:jc w:val="center"/>
              <w:rPr>
                <w:rFonts w:ascii="Arial" w:hAnsi="Arial" w:cs="Arial"/>
                <w:sz w:val="18"/>
              </w:rPr>
            </w:pPr>
            <w:r>
              <w:rPr>
                <w:rFonts w:ascii="Arial" w:hAnsi="Arial" w:cs="Arial"/>
                <w:sz w:val="18"/>
              </w:rPr>
              <w:t>$’000</w:t>
            </w:r>
          </w:p>
        </w:tc>
        <w:tc>
          <w:tcPr>
            <w:tcW w:w="406" w:type="pct"/>
            <w:shd w:val="clear" w:color="auto" w:fill="CCCCCC"/>
          </w:tcPr>
          <w:p w14:paraId="038A12CA" w14:textId="77777777" w:rsidR="004023E5" w:rsidRDefault="004023E5" w:rsidP="001A5D4A">
            <w:pPr>
              <w:snapToGrid w:val="0"/>
              <w:spacing w:line="100" w:lineRule="atLeast"/>
              <w:jc w:val="center"/>
              <w:rPr>
                <w:rFonts w:ascii="Arial" w:hAnsi="Arial" w:cs="Arial"/>
                <w:b/>
                <w:sz w:val="18"/>
              </w:rPr>
            </w:pPr>
            <w:r>
              <w:rPr>
                <w:rFonts w:ascii="Arial" w:hAnsi="Arial" w:cs="Arial"/>
                <w:b/>
                <w:sz w:val="18"/>
              </w:rPr>
              <w:t>$’000</w:t>
            </w:r>
          </w:p>
        </w:tc>
        <w:tc>
          <w:tcPr>
            <w:tcW w:w="405" w:type="pct"/>
            <w:shd w:val="clear" w:color="auto" w:fill="CCCCCC"/>
          </w:tcPr>
          <w:p w14:paraId="038A12CB" w14:textId="77777777" w:rsidR="004023E5" w:rsidRDefault="004023E5" w:rsidP="001A5D4A">
            <w:pPr>
              <w:snapToGrid w:val="0"/>
              <w:spacing w:line="100" w:lineRule="atLeast"/>
              <w:jc w:val="center"/>
              <w:rPr>
                <w:rFonts w:ascii="Arial" w:hAnsi="Arial" w:cs="Arial"/>
                <w:sz w:val="18"/>
              </w:rPr>
            </w:pPr>
            <w:r>
              <w:rPr>
                <w:rFonts w:ascii="Arial" w:hAnsi="Arial" w:cs="Arial"/>
                <w:sz w:val="18"/>
              </w:rPr>
              <w:t>$’000</w:t>
            </w:r>
          </w:p>
        </w:tc>
      </w:tr>
      <w:tr w:rsidR="009B1EF5" w14:paraId="038A12CF" w14:textId="77777777" w:rsidTr="00E52AAD">
        <w:trPr>
          <w:trHeight w:hRule="exact" w:val="227"/>
        </w:trPr>
        <w:tc>
          <w:tcPr>
            <w:tcW w:w="810" w:type="pct"/>
          </w:tcPr>
          <w:p w14:paraId="038A12CD" w14:textId="77777777" w:rsidR="009B1EF5" w:rsidRDefault="009B1EF5" w:rsidP="001A5D4A">
            <w:pPr>
              <w:pStyle w:val="Note-Refs"/>
            </w:pPr>
          </w:p>
        </w:tc>
        <w:tc>
          <w:tcPr>
            <w:tcW w:w="4190" w:type="pct"/>
            <w:gridSpan w:val="6"/>
            <w:shd w:val="clear" w:color="auto" w:fill="CCCCCC"/>
            <w:vAlign w:val="bottom"/>
          </w:tcPr>
          <w:p w14:paraId="038A12CE" w14:textId="77777777" w:rsidR="009B1EF5" w:rsidRDefault="009B1EF5" w:rsidP="001A5D4A">
            <w:pPr>
              <w:pStyle w:val="Statement-ItemBold"/>
            </w:pPr>
            <w:r>
              <w:t>(h) Other Australian Government financial assistance</w:t>
            </w:r>
          </w:p>
        </w:tc>
      </w:tr>
      <w:tr w:rsidR="004023E5" w14:paraId="038A12D7" w14:textId="77777777" w:rsidTr="0000701C">
        <w:trPr>
          <w:trHeight w:hRule="exact" w:val="227"/>
        </w:trPr>
        <w:tc>
          <w:tcPr>
            <w:tcW w:w="810" w:type="pct"/>
          </w:tcPr>
          <w:p w14:paraId="038A12D0" w14:textId="77777777" w:rsidR="004023E5" w:rsidRDefault="004023E5" w:rsidP="001A5D4A">
            <w:pPr>
              <w:pStyle w:val="Note-Refs"/>
            </w:pPr>
          </w:p>
        </w:tc>
        <w:tc>
          <w:tcPr>
            <w:tcW w:w="2297" w:type="pct"/>
            <w:shd w:val="clear" w:color="auto" w:fill="CCCCCC"/>
            <w:vAlign w:val="bottom"/>
          </w:tcPr>
          <w:p w14:paraId="038A12D1" w14:textId="77777777" w:rsidR="004023E5" w:rsidRDefault="004023E5" w:rsidP="001A5D4A">
            <w:pPr>
              <w:pStyle w:val="NotesTable-ItemPlain"/>
              <w:rPr>
                <w:b/>
              </w:rPr>
            </w:pPr>
            <w:r>
              <w:t>Non-capital</w:t>
            </w:r>
          </w:p>
        </w:tc>
        <w:tc>
          <w:tcPr>
            <w:tcW w:w="270" w:type="pct"/>
            <w:shd w:val="clear" w:color="auto" w:fill="CCCCCC"/>
          </w:tcPr>
          <w:p w14:paraId="038A12D2" w14:textId="77777777" w:rsidR="004023E5" w:rsidRDefault="004023E5" w:rsidP="001A5D4A">
            <w:pPr>
              <w:pStyle w:val="NotesTable-ItemIndent"/>
              <w:rPr>
                <w:shd w:val="clear" w:color="auto" w:fill="FFFF00"/>
              </w:rPr>
            </w:pPr>
          </w:p>
        </w:tc>
        <w:tc>
          <w:tcPr>
            <w:tcW w:w="406" w:type="pct"/>
            <w:shd w:val="clear" w:color="auto" w:fill="CCCCCC"/>
          </w:tcPr>
          <w:p w14:paraId="038A12D3"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tcPr>
          <w:p w14:paraId="038A12D4"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tcPr>
          <w:p w14:paraId="038A12D5"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tcPr>
          <w:p w14:paraId="038A12D6"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2DF" w14:textId="77777777" w:rsidTr="0000701C">
        <w:trPr>
          <w:trHeight w:hRule="exact" w:val="227"/>
        </w:trPr>
        <w:tc>
          <w:tcPr>
            <w:tcW w:w="810" w:type="pct"/>
          </w:tcPr>
          <w:p w14:paraId="038A12D8" w14:textId="77777777" w:rsidR="004023E5" w:rsidRDefault="004023E5" w:rsidP="001A5D4A">
            <w:pPr>
              <w:pStyle w:val="Note-Refs"/>
            </w:pPr>
          </w:p>
        </w:tc>
        <w:tc>
          <w:tcPr>
            <w:tcW w:w="2297" w:type="pct"/>
            <w:shd w:val="clear" w:color="auto" w:fill="CCCCCC"/>
            <w:vAlign w:val="bottom"/>
          </w:tcPr>
          <w:p w14:paraId="038A12D9" w14:textId="77777777" w:rsidR="004023E5" w:rsidRDefault="004023E5" w:rsidP="001A5D4A">
            <w:pPr>
              <w:pStyle w:val="NotesTable-ItemPlain"/>
              <w:rPr>
                <w:b/>
              </w:rPr>
            </w:pPr>
            <w:r>
              <w:t xml:space="preserve">  [Specify]</w:t>
            </w:r>
          </w:p>
        </w:tc>
        <w:tc>
          <w:tcPr>
            <w:tcW w:w="270" w:type="pct"/>
            <w:shd w:val="clear" w:color="auto" w:fill="CCCCCC"/>
          </w:tcPr>
          <w:p w14:paraId="038A12DA" w14:textId="77777777" w:rsidR="004023E5" w:rsidRDefault="004023E5" w:rsidP="001A5D4A">
            <w:pPr>
              <w:pStyle w:val="NotesTable-ItemIndent"/>
              <w:rPr>
                <w:shd w:val="clear" w:color="auto" w:fill="FFFF00"/>
              </w:rPr>
            </w:pPr>
          </w:p>
        </w:tc>
        <w:tc>
          <w:tcPr>
            <w:tcW w:w="406" w:type="pct"/>
            <w:tcBorders>
              <w:bottom w:val="single" w:sz="4" w:space="0" w:color="auto"/>
            </w:tcBorders>
            <w:shd w:val="clear" w:color="auto" w:fill="CCCCCC"/>
          </w:tcPr>
          <w:p w14:paraId="038A12DB"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tcBorders>
              <w:bottom w:val="single" w:sz="4" w:space="0" w:color="auto"/>
            </w:tcBorders>
            <w:shd w:val="clear" w:color="auto" w:fill="CCCCCC"/>
          </w:tcPr>
          <w:p w14:paraId="038A12DC"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tcBorders>
              <w:bottom w:val="single" w:sz="4" w:space="0" w:color="auto"/>
            </w:tcBorders>
            <w:shd w:val="clear" w:color="auto" w:fill="CCCCCC"/>
          </w:tcPr>
          <w:p w14:paraId="038A12DD"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tcBorders>
              <w:bottom w:val="single" w:sz="4" w:space="0" w:color="auto"/>
            </w:tcBorders>
            <w:shd w:val="clear" w:color="auto" w:fill="CCCCCC"/>
          </w:tcPr>
          <w:p w14:paraId="038A12DE"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2E6" w14:textId="77777777" w:rsidTr="0000701C">
        <w:trPr>
          <w:trHeight w:hRule="exact" w:val="227"/>
        </w:trPr>
        <w:tc>
          <w:tcPr>
            <w:tcW w:w="810" w:type="pct"/>
          </w:tcPr>
          <w:p w14:paraId="038A12E0" w14:textId="77777777" w:rsidR="004023E5" w:rsidRDefault="004023E5" w:rsidP="001A5D4A">
            <w:pPr>
              <w:pStyle w:val="Note-Refs"/>
            </w:pPr>
          </w:p>
        </w:tc>
        <w:tc>
          <w:tcPr>
            <w:tcW w:w="2567" w:type="pct"/>
            <w:gridSpan w:val="2"/>
            <w:shd w:val="clear" w:color="auto" w:fill="CCCCCC"/>
            <w:vAlign w:val="bottom"/>
          </w:tcPr>
          <w:p w14:paraId="038A12E1" w14:textId="77777777" w:rsidR="004023E5" w:rsidRDefault="004023E5" w:rsidP="001A5D4A">
            <w:pPr>
              <w:pStyle w:val="NotesTable-ItemPlain"/>
              <w:rPr>
                <w:b/>
              </w:rPr>
            </w:pPr>
            <w:r>
              <w:t xml:space="preserve">  Total</w:t>
            </w:r>
          </w:p>
        </w:tc>
        <w:tc>
          <w:tcPr>
            <w:tcW w:w="406" w:type="pct"/>
            <w:tcBorders>
              <w:top w:val="single" w:sz="4" w:space="0" w:color="auto"/>
            </w:tcBorders>
            <w:shd w:val="clear" w:color="auto" w:fill="CCCCCC"/>
          </w:tcPr>
          <w:p w14:paraId="038A12E2"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tcBorders>
              <w:top w:val="single" w:sz="4" w:space="0" w:color="auto"/>
            </w:tcBorders>
            <w:shd w:val="clear" w:color="auto" w:fill="CCCCCC"/>
          </w:tcPr>
          <w:p w14:paraId="038A12E3"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tcBorders>
              <w:top w:val="single" w:sz="4" w:space="0" w:color="auto"/>
            </w:tcBorders>
            <w:shd w:val="clear" w:color="auto" w:fill="CCCCCC"/>
          </w:tcPr>
          <w:p w14:paraId="038A12E4"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tcBorders>
              <w:top w:val="single" w:sz="4" w:space="0" w:color="auto"/>
            </w:tcBorders>
            <w:shd w:val="clear" w:color="auto" w:fill="CCCCCC"/>
          </w:tcPr>
          <w:p w14:paraId="038A12E5"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2ED" w14:textId="77777777" w:rsidTr="0000701C">
        <w:trPr>
          <w:trHeight w:hRule="exact" w:val="227"/>
        </w:trPr>
        <w:tc>
          <w:tcPr>
            <w:tcW w:w="810" w:type="pct"/>
          </w:tcPr>
          <w:p w14:paraId="038A12E7" w14:textId="77777777" w:rsidR="004023E5" w:rsidRDefault="004023E5" w:rsidP="001A5D4A">
            <w:pPr>
              <w:pStyle w:val="Note-Refs"/>
            </w:pPr>
          </w:p>
        </w:tc>
        <w:tc>
          <w:tcPr>
            <w:tcW w:w="2567" w:type="pct"/>
            <w:gridSpan w:val="2"/>
            <w:shd w:val="clear" w:color="auto" w:fill="CCCCCC"/>
            <w:vAlign w:val="bottom"/>
          </w:tcPr>
          <w:p w14:paraId="038A12E8" w14:textId="77777777" w:rsidR="004023E5" w:rsidRDefault="004023E5" w:rsidP="001A5D4A">
            <w:pPr>
              <w:pStyle w:val="NotesTable-ItemIndent"/>
            </w:pPr>
          </w:p>
        </w:tc>
        <w:tc>
          <w:tcPr>
            <w:tcW w:w="406" w:type="pct"/>
            <w:shd w:val="clear" w:color="auto" w:fill="CCCCCC"/>
            <w:vAlign w:val="bottom"/>
          </w:tcPr>
          <w:p w14:paraId="038A12E9"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vAlign w:val="bottom"/>
          </w:tcPr>
          <w:p w14:paraId="038A12EA"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vAlign w:val="bottom"/>
          </w:tcPr>
          <w:p w14:paraId="038A12EB"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vAlign w:val="bottom"/>
          </w:tcPr>
          <w:p w14:paraId="038A12EC"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2F4" w14:textId="77777777" w:rsidTr="0000701C">
        <w:trPr>
          <w:trHeight w:hRule="exact" w:val="227"/>
        </w:trPr>
        <w:tc>
          <w:tcPr>
            <w:tcW w:w="810" w:type="pct"/>
          </w:tcPr>
          <w:p w14:paraId="038A12EE" w14:textId="77777777" w:rsidR="004023E5" w:rsidRDefault="004023E5" w:rsidP="001A5D4A">
            <w:pPr>
              <w:pStyle w:val="Note-Refs"/>
            </w:pPr>
          </w:p>
        </w:tc>
        <w:tc>
          <w:tcPr>
            <w:tcW w:w="2567" w:type="pct"/>
            <w:gridSpan w:val="2"/>
            <w:shd w:val="clear" w:color="auto" w:fill="CCCCCC"/>
            <w:vAlign w:val="bottom"/>
          </w:tcPr>
          <w:p w14:paraId="038A12EF" w14:textId="77777777" w:rsidR="004023E5" w:rsidRDefault="004023E5" w:rsidP="001A5D4A">
            <w:pPr>
              <w:pStyle w:val="NotesTable-ItemPlain"/>
              <w:rPr>
                <w:b/>
              </w:rPr>
            </w:pPr>
            <w:r>
              <w:t>Capital</w:t>
            </w:r>
          </w:p>
        </w:tc>
        <w:tc>
          <w:tcPr>
            <w:tcW w:w="406" w:type="pct"/>
            <w:shd w:val="clear" w:color="auto" w:fill="CCCCCC"/>
            <w:vAlign w:val="bottom"/>
          </w:tcPr>
          <w:p w14:paraId="038A12F0"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vAlign w:val="bottom"/>
          </w:tcPr>
          <w:p w14:paraId="038A12F1"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vAlign w:val="bottom"/>
          </w:tcPr>
          <w:p w14:paraId="038A12F2"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vAlign w:val="bottom"/>
          </w:tcPr>
          <w:p w14:paraId="038A12F3"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2FB" w14:textId="77777777" w:rsidTr="0000701C">
        <w:trPr>
          <w:trHeight w:hRule="exact" w:val="227"/>
        </w:trPr>
        <w:tc>
          <w:tcPr>
            <w:tcW w:w="810" w:type="pct"/>
          </w:tcPr>
          <w:p w14:paraId="038A12F5" w14:textId="77777777" w:rsidR="004023E5" w:rsidRDefault="004023E5" w:rsidP="001A5D4A">
            <w:pPr>
              <w:pStyle w:val="Note-Refs"/>
            </w:pPr>
          </w:p>
        </w:tc>
        <w:tc>
          <w:tcPr>
            <w:tcW w:w="2567" w:type="pct"/>
            <w:gridSpan w:val="2"/>
            <w:shd w:val="clear" w:color="auto" w:fill="CCCCCC"/>
            <w:vAlign w:val="bottom"/>
          </w:tcPr>
          <w:p w14:paraId="038A12F6" w14:textId="77777777" w:rsidR="004023E5" w:rsidRDefault="004023E5" w:rsidP="001A5D4A">
            <w:pPr>
              <w:pStyle w:val="NotesTable-ItemPlain"/>
              <w:rPr>
                <w:b/>
              </w:rPr>
            </w:pPr>
            <w:r>
              <w:t xml:space="preserve">  [Specify]</w:t>
            </w:r>
          </w:p>
        </w:tc>
        <w:tc>
          <w:tcPr>
            <w:tcW w:w="406" w:type="pct"/>
            <w:tcBorders>
              <w:bottom w:val="single" w:sz="4" w:space="0" w:color="auto"/>
            </w:tcBorders>
            <w:shd w:val="clear" w:color="auto" w:fill="CCCCCC"/>
          </w:tcPr>
          <w:p w14:paraId="038A12F7"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tcBorders>
              <w:bottom w:val="single" w:sz="4" w:space="0" w:color="auto"/>
            </w:tcBorders>
            <w:shd w:val="clear" w:color="auto" w:fill="CCCCCC"/>
          </w:tcPr>
          <w:p w14:paraId="038A12F8"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tcBorders>
              <w:bottom w:val="single" w:sz="4" w:space="0" w:color="auto"/>
            </w:tcBorders>
            <w:shd w:val="clear" w:color="auto" w:fill="CCCCCC"/>
          </w:tcPr>
          <w:p w14:paraId="038A12F9"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tcBorders>
              <w:bottom w:val="single" w:sz="4" w:space="0" w:color="auto"/>
            </w:tcBorders>
            <w:shd w:val="clear" w:color="auto" w:fill="CCCCCC"/>
          </w:tcPr>
          <w:p w14:paraId="038A12FA"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02" w14:textId="77777777" w:rsidTr="0000701C">
        <w:trPr>
          <w:trHeight w:hRule="exact" w:val="227"/>
        </w:trPr>
        <w:tc>
          <w:tcPr>
            <w:tcW w:w="810" w:type="pct"/>
          </w:tcPr>
          <w:p w14:paraId="038A12FC" w14:textId="77777777" w:rsidR="004023E5" w:rsidRDefault="004023E5" w:rsidP="001A5D4A">
            <w:pPr>
              <w:pStyle w:val="Note-Refs"/>
            </w:pPr>
          </w:p>
        </w:tc>
        <w:tc>
          <w:tcPr>
            <w:tcW w:w="2567" w:type="pct"/>
            <w:gridSpan w:val="2"/>
            <w:shd w:val="clear" w:color="auto" w:fill="CCCCCC"/>
            <w:vAlign w:val="bottom"/>
          </w:tcPr>
          <w:p w14:paraId="038A12FD" w14:textId="77777777" w:rsidR="004023E5" w:rsidRDefault="004023E5" w:rsidP="001A5D4A">
            <w:pPr>
              <w:pStyle w:val="NotesTable-ItemPlain"/>
              <w:rPr>
                <w:b/>
              </w:rPr>
            </w:pPr>
            <w:r>
              <w:t xml:space="preserve">  Total</w:t>
            </w:r>
          </w:p>
        </w:tc>
        <w:tc>
          <w:tcPr>
            <w:tcW w:w="406" w:type="pct"/>
            <w:tcBorders>
              <w:top w:val="single" w:sz="4" w:space="0" w:color="auto"/>
            </w:tcBorders>
            <w:shd w:val="clear" w:color="auto" w:fill="CCCCCC"/>
          </w:tcPr>
          <w:p w14:paraId="038A12FE"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tcBorders>
              <w:top w:val="single" w:sz="4" w:space="0" w:color="auto"/>
            </w:tcBorders>
            <w:shd w:val="clear" w:color="auto" w:fill="CCCCCC"/>
          </w:tcPr>
          <w:p w14:paraId="038A12FF"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tcBorders>
              <w:top w:val="single" w:sz="4" w:space="0" w:color="auto"/>
            </w:tcBorders>
            <w:shd w:val="clear" w:color="auto" w:fill="CCCCCC"/>
          </w:tcPr>
          <w:p w14:paraId="038A1300"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tcBorders>
              <w:top w:val="single" w:sz="4" w:space="0" w:color="auto"/>
            </w:tcBorders>
            <w:shd w:val="clear" w:color="auto" w:fill="CCCCCC"/>
          </w:tcPr>
          <w:p w14:paraId="038A1301"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09" w14:textId="77777777" w:rsidTr="0000701C">
        <w:trPr>
          <w:trHeight w:hRule="exact" w:val="227"/>
        </w:trPr>
        <w:tc>
          <w:tcPr>
            <w:tcW w:w="810" w:type="pct"/>
          </w:tcPr>
          <w:p w14:paraId="038A1303" w14:textId="77777777" w:rsidR="004023E5" w:rsidRDefault="004023E5" w:rsidP="001A5D4A">
            <w:pPr>
              <w:pStyle w:val="Note-Refs"/>
            </w:pPr>
          </w:p>
        </w:tc>
        <w:tc>
          <w:tcPr>
            <w:tcW w:w="2567" w:type="pct"/>
            <w:gridSpan w:val="2"/>
            <w:shd w:val="clear" w:color="auto" w:fill="CCCCCC"/>
            <w:vAlign w:val="bottom"/>
          </w:tcPr>
          <w:p w14:paraId="038A1304" w14:textId="77777777" w:rsidR="004023E5" w:rsidRDefault="004023E5" w:rsidP="001A5D4A">
            <w:pPr>
              <w:pStyle w:val="NotesTable-ItemIndent"/>
            </w:pPr>
          </w:p>
        </w:tc>
        <w:tc>
          <w:tcPr>
            <w:tcW w:w="406" w:type="pct"/>
            <w:shd w:val="clear" w:color="auto" w:fill="CCCCCC"/>
            <w:vAlign w:val="bottom"/>
          </w:tcPr>
          <w:p w14:paraId="038A1305"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vAlign w:val="bottom"/>
          </w:tcPr>
          <w:p w14:paraId="038A1306"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vAlign w:val="bottom"/>
          </w:tcPr>
          <w:p w14:paraId="038A1307"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vAlign w:val="bottom"/>
          </w:tcPr>
          <w:p w14:paraId="038A1308"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310" w14:textId="77777777" w:rsidTr="0000701C">
        <w:trPr>
          <w:trHeight w:hRule="exact" w:val="227"/>
        </w:trPr>
        <w:tc>
          <w:tcPr>
            <w:tcW w:w="810" w:type="pct"/>
          </w:tcPr>
          <w:p w14:paraId="038A130A" w14:textId="77777777" w:rsidR="004023E5" w:rsidRDefault="004023E5" w:rsidP="001A5D4A">
            <w:pPr>
              <w:pStyle w:val="Note-Refs"/>
            </w:pPr>
          </w:p>
        </w:tc>
        <w:tc>
          <w:tcPr>
            <w:tcW w:w="2567" w:type="pct"/>
            <w:gridSpan w:val="2"/>
            <w:shd w:val="clear" w:color="auto" w:fill="CCCCCC"/>
            <w:vAlign w:val="bottom"/>
          </w:tcPr>
          <w:p w14:paraId="038A130B" w14:textId="77777777" w:rsidR="004023E5" w:rsidRDefault="004023E5" w:rsidP="001A5D4A">
            <w:pPr>
              <w:pStyle w:val="NotesTable-ItemPlain"/>
              <w:rPr>
                <w:b/>
              </w:rPr>
            </w:pPr>
            <w:r>
              <w:t>Total other Australian Government financial assistance</w:t>
            </w:r>
          </w:p>
        </w:tc>
        <w:tc>
          <w:tcPr>
            <w:tcW w:w="406" w:type="pct"/>
            <w:shd w:val="clear" w:color="auto" w:fill="CCCCCC"/>
            <w:vAlign w:val="bottom"/>
          </w:tcPr>
          <w:p w14:paraId="038A130C"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shd w:val="clear" w:color="auto" w:fill="CCCCCC"/>
            <w:vAlign w:val="bottom"/>
          </w:tcPr>
          <w:p w14:paraId="038A130D"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shd w:val="clear" w:color="auto" w:fill="CCCCCC"/>
            <w:vAlign w:val="bottom"/>
          </w:tcPr>
          <w:p w14:paraId="038A130E"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shd w:val="clear" w:color="auto" w:fill="CCCCCC"/>
            <w:vAlign w:val="bottom"/>
          </w:tcPr>
          <w:p w14:paraId="038A130F"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17" w14:textId="77777777" w:rsidTr="0000701C">
        <w:trPr>
          <w:trHeight w:hRule="exact" w:val="227"/>
        </w:trPr>
        <w:tc>
          <w:tcPr>
            <w:tcW w:w="810" w:type="pct"/>
          </w:tcPr>
          <w:p w14:paraId="038A1311" w14:textId="77777777" w:rsidR="004023E5" w:rsidRDefault="004023E5" w:rsidP="001A5D4A">
            <w:pPr>
              <w:pStyle w:val="Note-Refs"/>
            </w:pPr>
          </w:p>
        </w:tc>
        <w:tc>
          <w:tcPr>
            <w:tcW w:w="2567" w:type="pct"/>
            <w:gridSpan w:val="2"/>
            <w:shd w:val="clear" w:color="auto" w:fill="CCCCCC"/>
            <w:vAlign w:val="bottom"/>
          </w:tcPr>
          <w:p w14:paraId="038A1312" w14:textId="77777777" w:rsidR="004023E5" w:rsidRDefault="004023E5" w:rsidP="001A5D4A">
            <w:pPr>
              <w:pStyle w:val="NotesTable-ItemIndent"/>
            </w:pPr>
          </w:p>
        </w:tc>
        <w:tc>
          <w:tcPr>
            <w:tcW w:w="406" w:type="pct"/>
            <w:tcBorders>
              <w:bottom w:val="single" w:sz="4" w:space="0" w:color="auto"/>
            </w:tcBorders>
            <w:shd w:val="clear" w:color="auto" w:fill="CCCCCC"/>
          </w:tcPr>
          <w:p w14:paraId="038A1313" w14:textId="77777777" w:rsidR="004023E5" w:rsidRDefault="004023E5" w:rsidP="001A5D4A">
            <w:pPr>
              <w:pStyle w:val="comsubheading"/>
              <w:tabs>
                <w:tab w:val="decimal" w:pos="600"/>
              </w:tabs>
              <w:snapToGrid w:val="0"/>
              <w:spacing w:before="0" w:after="0"/>
              <w:rPr>
                <w:rFonts w:ascii="Arial" w:hAnsi="Arial" w:cs="Arial"/>
                <w:sz w:val="12"/>
                <w:szCs w:val="12"/>
              </w:rPr>
            </w:pPr>
          </w:p>
        </w:tc>
        <w:tc>
          <w:tcPr>
            <w:tcW w:w="406" w:type="pct"/>
            <w:tcBorders>
              <w:bottom w:val="single" w:sz="4" w:space="0" w:color="auto"/>
            </w:tcBorders>
            <w:shd w:val="clear" w:color="auto" w:fill="CCCCCC"/>
          </w:tcPr>
          <w:p w14:paraId="038A1314" w14:textId="77777777" w:rsidR="004023E5" w:rsidRDefault="004023E5" w:rsidP="001A5D4A">
            <w:pPr>
              <w:pStyle w:val="comsubheading"/>
              <w:tabs>
                <w:tab w:val="decimal" w:pos="600"/>
              </w:tabs>
              <w:snapToGrid w:val="0"/>
              <w:spacing w:before="0" w:after="0"/>
              <w:rPr>
                <w:rFonts w:ascii="Arial" w:hAnsi="Arial" w:cs="Arial"/>
                <w:b w:val="0"/>
                <w:sz w:val="12"/>
                <w:szCs w:val="12"/>
              </w:rPr>
            </w:pPr>
          </w:p>
        </w:tc>
        <w:tc>
          <w:tcPr>
            <w:tcW w:w="406" w:type="pct"/>
            <w:tcBorders>
              <w:bottom w:val="single" w:sz="4" w:space="0" w:color="auto"/>
            </w:tcBorders>
            <w:shd w:val="clear" w:color="auto" w:fill="CCCCCC"/>
          </w:tcPr>
          <w:p w14:paraId="038A1315" w14:textId="77777777" w:rsidR="004023E5" w:rsidRDefault="004023E5" w:rsidP="001A5D4A">
            <w:pPr>
              <w:pStyle w:val="comsubheading"/>
              <w:tabs>
                <w:tab w:val="decimal" w:pos="600"/>
              </w:tabs>
              <w:snapToGrid w:val="0"/>
              <w:spacing w:before="0" w:after="0"/>
              <w:rPr>
                <w:rFonts w:ascii="Arial" w:hAnsi="Arial" w:cs="Arial"/>
                <w:sz w:val="12"/>
                <w:szCs w:val="12"/>
              </w:rPr>
            </w:pPr>
          </w:p>
        </w:tc>
        <w:tc>
          <w:tcPr>
            <w:tcW w:w="405" w:type="pct"/>
            <w:tcBorders>
              <w:bottom w:val="single" w:sz="4" w:space="0" w:color="auto"/>
            </w:tcBorders>
            <w:shd w:val="clear" w:color="auto" w:fill="CCCCCC"/>
          </w:tcPr>
          <w:p w14:paraId="038A1316" w14:textId="77777777" w:rsidR="004023E5" w:rsidRDefault="004023E5" w:rsidP="001A5D4A">
            <w:pPr>
              <w:pStyle w:val="comsubheading"/>
              <w:tabs>
                <w:tab w:val="decimal" w:pos="600"/>
              </w:tabs>
              <w:snapToGrid w:val="0"/>
              <w:spacing w:before="0" w:after="0"/>
              <w:rPr>
                <w:rFonts w:ascii="Arial" w:hAnsi="Arial" w:cs="Arial"/>
                <w:b w:val="0"/>
                <w:sz w:val="12"/>
                <w:szCs w:val="12"/>
              </w:rPr>
            </w:pPr>
          </w:p>
        </w:tc>
      </w:tr>
      <w:tr w:rsidR="004023E5" w14:paraId="038A131E" w14:textId="77777777" w:rsidTr="0000701C">
        <w:trPr>
          <w:trHeight w:hRule="exact" w:val="227"/>
        </w:trPr>
        <w:tc>
          <w:tcPr>
            <w:tcW w:w="810" w:type="pct"/>
          </w:tcPr>
          <w:p w14:paraId="038A1318" w14:textId="77777777" w:rsidR="004023E5" w:rsidRDefault="004023E5" w:rsidP="001A5D4A">
            <w:pPr>
              <w:pStyle w:val="Note-Refs"/>
            </w:pPr>
          </w:p>
        </w:tc>
        <w:tc>
          <w:tcPr>
            <w:tcW w:w="2567" w:type="pct"/>
            <w:gridSpan w:val="2"/>
            <w:shd w:val="clear" w:color="auto" w:fill="CCCCCC"/>
            <w:vAlign w:val="bottom"/>
          </w:tcPr>
          <w:p w14:paraId="038A1319" w14:textId="77777777" w:rsidR="004023E5" w:rsidRDefault="004023E5" w:rsidP="001A5D4A">
            <w:pPr>
              <w:pStyle w:val="NotesTable-ItemPlain"/>
              <w:rPr>
                <w:b/>
              </w:rPr>
            </w:pPr>
            <w:r>
              <w:t xml:space="preserve">Total Australian Government financial assistance </w:t>
            </w:r>
          </w:p>
        </w:tc>
        <w:tc>
          <w:tcPr>
            <w:tcW w:w="406" w:type="pct"/>
            <w:tcBorders>
              <w:top w:val="single" w:sz="4" w:space="0" w:color="auto"/>
            </w:tcBorders>
            <w:shd w:val="clear" w:color="auto" w:fill="CCCCCC"/>
            <w:vAlign w:val="bottom"/>
          </w:tcPr>
          <w:p w14:paraId="038A131A"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tcBorders>
              <w:top w:val="single" w:sz="4" w:space="0" w:color="auto"/>
            </w:tcBorders>
            <w:shd w:val="clear" w:color="auto" w:fill="CCCCCC"/>
            <w:vAlign w:val="bottom"/>
          </w:tcPr>
          <w:p w14:paraId="038A131B"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tcBorders>
              <w:top w:val="single" w:sz="4" w:space="0" w:color="auto"/>
            </w:tcBorders>
            <w:shd w:val="clear" w:color="auto" w:fill="CCCCCC"/>
            <w:vAlign w:val="bottom"/>
          </w:tcPr>
          <w:p w14:paraId="038A131C"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tcBorders>
              <w:top w:val="single" w:sz="4" w:space="0" w:color="auto"/>
            </w:tcBorders>
            <w:shd w:val="clear" w:color="auto" w:fill="CCCCCC"/>
            <w:vAlign w:val="bottom"/>
          </w:tcPr>
          <w:p w14:paraId="038A131D"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25" w14:textId="77777777" w:rsidTr="0000701C">
        <w:trPr>
          <w:trHeight w:hRule="exact" w:val="227"/>
        </w:trPr>
        <w:tc>
          <w:tcPr>
            <w:tcW w:w="810" w:type="pct"/>
          </w:tcPr>
          <w:p w14:paraId="038A131F" w14:textId="77777777" w:rsidR="004023E5" w:rsidRDefault="004023E5" w:rsidP="001A5D4A">
            <w:pPr>
              <w:pStyle w:val="Note-Refs"/>
            </w:pPr>
          </w:p>
        </w:tc>
        <w:tc>
          <w:tcPr>
            <w:tcW w:w="2567" w:type="pct"/>
            <w:gridSpan w:val="2"/>
            <w:shd w:val="clear" w:color="auto" w:fill="CCCCCC"/>
            <w:vAlign w:val="bottom"/>
          </w:tcPr>
          <w:p w14:paraId="038A1320" w14:textId="77777777" w:rsidR="004023E5" w:rsidRDefault="004023E5" w:rsidP="001A5D4A">
            <w:pPr>
              <w:pStyle w:val="NotesTable-ItemPlain"/>
            </w:pPr>
          </w:p>
        </w:tc>
        <w:tc>
          <w:tcPr>
            <w:tcW w:w="406" w:type="pct"/>
            <w:shd w:val="clear" w:color="auto" w:fill="CCCCCC"/>
          </w:tcPr>
          <w:p w14:paraId="038A1321"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tcPr>
          <w:p w14:paraId="038A1322"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tcPr>
          <w:p w14:paraId="038A1323"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tcPr>
          <w:p w14:paraId="038A1324"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32C" w14:textId="77777777" w:rsidTr="0000701C">
        <w:trPr>
          <w:trHeight w:hRule="exact" w:val="227"/>
        </w:trPr>
        <w:tc>
          <w:tcPr>
            <w:tcW w:w="810" w:type="pct"/>
          </w:tcPr>
          <w:p w14:paraId="038A1326" w14:textId="77777777" w:rsidR="004023E5" w:rsidRDefault="004023E5" w:rsidP="001A5D4A">
            <w:pPr>
              <w:pStyle w:val="Note-Refs"/>
            </w:pPr>
          </w:p>
        </w:tc>
        <w:tc>
          <w:tcPr>
            <w:tcW w:w="2567" w:type="pct"/>
            <w:gridSpan w:val="2"/>
            <w:shd w:val="clear" w:color="auto" w:fill="CCCCCC"/>
            <w:vAlign w:val="bottom"/>
          </w:tcPr>
          <w:p w14:paraId="038A1327" w14:textId="77777777" w:rsidR="004023E5" w:rsidRDefault="004023E5" w:rsidP="001A5D4A">
            <w:pPr>
              <w:pStyle w:val="NotesTable-ItemPlain"/>
            </w:pPr>
          </w:p>
        </w:tc>
        <w:tc>
          <w:tcPr>
            <w:tcW w:w="406" w:type="pct"/>
            <w:shd w:val="clear" w:color="auto" w:fill="CCCCCC"/>
          </w:tcPr>
          <w:p w14:paraId="038A1328" w14:textId="77777777" w:rsidR="004023E5" w:rsidRDefault="004023E5" w:rsidP="001A5D4A">
            <w:pPr>
              <w:pStyle w:val="comsubheading"/>
              <w:tabs>
                <w:tab w:val="decimal" w:pos="600"/>
              </w:tabs>
              <w:snapToGrid w:val="0"/>
              <w:spacing w:before="0" w:after="0"/>
              <w:rPr>
                <w:rFonts w:ascii="Arial" w:hAnsi="Arial" w:cs="Arial"/>
              </w:rPr>
            </w:pPr>
          </w:p>
        </w:tc>
        <w:tc>
          <w:tcPr>
            <w:tcW w:w="406" w:type="pct"/>
            <w:shd w:val="clear" w:color="auto" w:fill="CCCCCC"/>
          </w:tcPr>
          <w:p w14:paraId="038A1329"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shd w:val="clear" w:color="auto" w:fill="CCCCCC"/>
          </w:tcPr>
          <w:p w14:paraId="038A132A" w14:textId="77777777" w:rsidR="004023E5" w:rsidRDefault="004023E5" w:rsidP="001A5D4A">
            <w:pPr>
              <w:pStyle w:val="comsubheading"/>
              <w:tabs>
                <w:tab w:val="decimal" w:pos="600"/>
              </w:tabs>
              <w:snapToGrid w:val="0"/>
              <w:spacing w:before="0" w:after="0"/>
              <w:rPr>
                <w:rFonts w:ascii="Arial" w:hAnsi="Arial" w:cs="Arial"/>
              </w:rPr>
            </w:pPr>
          </w:p>
        </w:tc>
        <w:tc>
          <w:tcPr>
            <w:tcW w:w="405" w:type="pct"/>
            <w:shd w:val="clear" w:color="auto" w:fill="CCCCCC"/>
          </w:tcPr>
          <w:p w14:paraId="038A132B" w14:textId="77777777" w:rsidR="004023E5" w:rsidRDefault="004023E5" w:rsidP="001A5D4A">
            <w:pPr>
              <w:pStyle w:val="comsubheading"/>
              <w:tabs>
                <w:tab w:val="decimal" w:pos="600"/>
              </w:tabs>
              <w:snapToGrid w:val="0"/>
              <w:spacing w:before="0" w:after="0"/>
              <w:rPr>
                <w:rFonts w:ascii="Arial" w:hAnsi="Arial" w:cs="Arial"/>
                <w:b w:val="0"/>
              </w:rPr>
            </w:pPr>
          </w:p>
        </w:tc>
      </w:tr>
      <w:tr w:rsidR="009B1EF5" w14:paraId="038A132F" w14:textId="77777777" w:rsidTr="00E52AAD">
        <w:trPr>
          <w:trHeight w:hRule="exact" w:val="227"/>
        </w:trPr>
        <w:tc>
          <w:tcPr>
            <w:tcW w:w="810" w:type="pct"/>
          </w:tcPr>
          <w:p w14:paraId="038A132D" w14:textId="77777777" w:rsidR="009B1EF5" w:rsidRDefault="009B1EF5" w:rsidP="001A5D4A">
            <w:pPr>
              <w:pStyle w:val="Note-Refs"/>
            </w:pPr>
          </w:p>
        </w:tc>
        <w:tc>
          <w:tcPr>
            <w:tcW w:w="4190" w:type="pct"/>
            <w:gridSpan w:val="6"/>
            <w:shd w:val="clear" w:color="auto" w:fill="CCCCCC"/>
            <w:vAlign w:val="bottom"/>
          </w:tcPr>
          <w:p w14:paraId="038A132E" w14:textId="77777777" w:rsidR="009B1EF5" w:rsidRDefault="009B1EF5" w:rsidP="001A5D4A">
            <w:pPr>
              <w:pStyle w:val="Statement-ItemBold"/>
            </w:pPr>
            <w:r>
              <w:t>Reconciliation</w:t>
            </w:r>
          </w:p>
        </w:tc>
      </w:tr>
      <w:tr w:rsidR="004023E5" w14:paraId="038A1336" w14:textId="77777777" w:rsidTr="0000701C">
        <w:trPr>
          <w:trHeight w:hRule="exact" w:val="227"/>
        </w:trPr>
        <w:tc>
          <w:tcPr>
            <w:tcW w:w="810" w:type="pct"/>
          </w:tcPr>
          <w:p w14:paraId="038A1330" w14:textId="77777777" w:rsidR="004023E5" w:rsidRDefault="004023E5" w:rsidP="001A5D4A">
            <w:pPr>
              <w:pStyle w:val="Note-Refs"/>
            </w:pPr>
          </w:p>
        </w:tc>
        <w:tc>
          <w:tcPr>
            <w:tcW w:w="2567" w:type="pct"/>
            <w:gridSpan w:val="2"/>
            <w:shd w:val="clear" w:color="auto" w:fill="CCCCCC"/>
            <w:vAlign w:val="bottom"/>
          </w:tcPr>
          <w:p w14:paraId="038A1331" w14:textId="77777777" w:rsidR="004023E5" w:rsidRDefault="004023E5" w:rsidP="001A5D4A">
            <w:pPr>
              <w:pStyle w:val="NotesTable-ItemPlain"/>
              <w:rPr>
                <w:b/>
              </w:rPr>
            </w:pPr>
            <w:r>
              <w:t>Australian Government grants</w:t>
            </w:r>
            <w:r>
              <w:br/>
              <w:t xml:space="preserve">     [a + c + d + e + f + g + h]</w:t>
            </w:r>
          </w:p>
        </w:tc>
        <w:tc>
          <w:tcPr>
            <w:tcW w:w="406" w:type="pct"/>
            <w:shd w:val="clear" w:color="auto" w:fill="CCCCCC"/>
          </w:tcPr>
          <w:p w14:paraId="038A1332"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shd w:val="clear" w:color="auto" w:fill="CCCCCC"/>
          </w:tcPr>
          <w:p w14:paraId="038A1333"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shd w:val="clear" w:color="auto" w:fill="CCCCCC"/>
          </w:tcPr>
          <w:p w14:paraId="038A1334"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shd w:val="clear" w:color="auto" w:fill="CCCCCC"/>
          </w:tcPr>
          <w:p w14:paraId="038A1335"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3D" w14:textId="77777777" w:rsidTr="0000701C">
        <w:trPr>
          <w:trHeight w:hRule="exact" w:val="227"/>
        </w:trPr>
        <w:tc>
          <w:tcPr>
            <w:tcW w:w="810" w:type="pct"/>
          </w:tcPr>
          <w:p w14:paraId="038A1337" w14:textId="77777777" w:rsidR="004023E5" w:rsidRDefault="004023E5" w:rsidP="001A5D4A">
            <w:pPr>
              <w:pStyle w:val="Note-Refs"/>
            </w:pPr>
          </w:p>
        </w:tc>
        <w:tc>
          <w:tcPr>
            <w:tcW w:w="2567" w:type="pct"/>
            <w:gridSpan w:val="2"/>
            <w:shd w:val="clear" w:color="auto" w:fill="CCCCCC"/>
            <w:vAlign w:val="bottom"/>
          </w:tcPr>
          <w:p w14:paraId="038A1338" w14:textId="77777777" w:rsidR="004023E5" w:rsidRDefault="004023E5" w:rsidP="001A5D4A">
            <w:pPr>
              <w:pStyle w:val="NotesTable-ItemPlain"/>
              <w:rPr>
                <w:b/>
              </w:rPr>
            </w:pPr>
            <w:r>
              <w:t>HECS-HELP payments</w:t>
            </w:r>
          </w:p>
        </w:tc>
        <w:tc>
          <w:tcPr>
            <w:tcW w:w="406" w:type="pct"/>
            <w:shd w:val="clear" w:color="auto" w:fill="CCCCCC"/>
          </w:tcPr>
          <w:p w14:paraId="038A1339"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shd w:val="clear" w:color="auto" w:fill="CCCCCC"/>
          </w:tcPr>
          <w:p w14:paraId="038A133A"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shd w:val="clear" w:color="auto" w:fill="CCCCCC"/>
          </w:tcPr>
          <w:p w14:paraId="038A133B"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shd w:val="clear" w:color="auto" w:fill="CCCCCC"/>
          </w:tcPr>
          <w:p w14:paraId="038A133C"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44" w14:textId="77777777" w:rsidTr="0000701C">
        <w:trPr>
          <w:trHeight w:hRule="exact" w:val="227"/>
        </w:trPr>
        <w:tc>
          <w:tcPr>
            <w:tcW w:w="810" w:type="pct"/>
          </w:tcPr>
          <w:p w14:paraId="038A133E" w14:textId="77777777" w:rsidR="004023E5" w:rsidRDefault="004023E5" w:rsidP="001A5D4A">
            <w:pPr>
              <w:pStyle w:val="Note-Refs"/>
            </w:pPr>
          </w:p>
        </w:tc>
        <w:tc>
          <w:tcPr>
            <w:tcW w:w="2567" w:type="pct"/>
            <w:gridSpan w:val="2"/>
            <w:shd w:val="clear" w:color="auto" w:fill="CCCCCC"/>
            <w:vAlign w:val="bottom"/>
          </w:tcPr>
          <w:p w14:paraId="038A133F" w14:textId="77777777" w:rsidR="004023E5" w:rsidRDefault="004023E5" w:rsidP="001A5D4A">
            <w:pPr>
              <w:pStyle w:val="NotesTable-ItemPlain"/>
              <w:rPr>
                <w:b/>
              </w:rPr>
            </w:pPr>
            <w:r>
              <w:t>FEE-HELP payments</w:t>
            </w:r>
          </w:p>
        </w:tc>
        <w:tc>
          <w:tcPr>
            <w:tcW w:w="406" w:type="pct"/>
            <w:shd w:val="clear" w:color="auto" w:fill="CCCCCC"/>
          </w:tcPr>
          <w:p w14:paraId="038A1340"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shd w:val="clear" w:color="auto" w:fill="CCCCCC"/>
          </w:tcPr>
          <w:p w14:paraId="038A1341"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shd w:val="clear" w:color="auto" w:fill="CCCCCC"/>
          </w:tcPr>
          <w:p w14:paraId="038A1342"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shd w:val="clear" w:color="auto" w:fill="CCCCCC"/>
          </w:tcPr>
          <w:p w14:paraId="038A1343"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4023E5" w14:paraId="038A134F" w14:textId="77777777" w:rsidTr="0000701C">
        <w:trPr>
          <w:trHeight w:hRule="exact" w:val="227"/>
        </w:trPr>
        <w:tc>
          <w:tcPr>
            <w:tcW w:w="810" w:type="pct"/>
          </w:tcPr>
          <w:p w14:paraId="038A1345" w14:textId="77777777" w:rsidR="004023E5" w:rsidRDefault="004023E5" w:rsidP="001A5D4A">
            <w:pPr>
              <w:pStyle w:val="Note-Refs"/>
            </w:pPr>
          </w:p>
        </w:tc>
        <w:tc>
          <w:tcPr>
            <w:tcW w:w="2567" w:type="pct"/>
            <w:gridSpan w:val="2"/>
            <w:shd w:val="clear" w:color="auto" w:fill="CCCCCC"/>
            <w:vAlign w:val="bottom"/>
          </w:tcPr>
          <w:p w14:paraId="038A1346" w14:textId="77777777" w:rsidR="004023E5" w:rsidRDefault="004023E5" w:rsidP="001A5D4A">
            <w:pPr>
              <w:pStyle w:val="NotesTable-ItemPlain"/>
              <w:rPr>
                <w:b/>
              </w:rPr>
            </w:pPr>
            <w:r>
              <w:t>VET FEE-HELP payments</w:t>
            </w:r>
          </w:p>
        </w:tc>
        <w:tc>
          <w:tcPr>
            <w:tcW w:w="406" w:type="pct"/>
            <w:vMerge w:val="restart"/>
            <w:shd w:val="clear" w:color="auto" w:fill="CCCCCC"/>
          </w:tcPr>
          <w:p w14:paraId="038A1347"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p w14:paraId="038A1348"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_</w:t>
            </w:r>
          </w:p>
        </w:tc>
        <w:tc>
          <w:tcPr>
            <w:tcW w:w="406" w:type="pct"/>
            <w:vMerge w:val="restart"/>
            <w:shd w:val="clear" w:color="auto" w:fill="CCCCCC"/>
          </w:tcPr>
          <w:p w14:paraId="038A1349"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p w14:paraId="038A134A"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_</w:t>
            </w:r>
          </w:p>
        </w:tc>
        <w:tc>
          <w:tcPr>
            <w:tcW w:w="406" w:type="pct"/>
            <w:vMerge w:val="restart"/>
            <w:shd w:val="clear" w:color="auto" w:fill="CCCCCC"/>
          </w:tcPr>
          <w:p w14:paraId="038A134B"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p w14:paraId="038A134C"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_</w:t>
            </w:r>
          </w:p>
        </w:tc>
        <w:tc>
          <w:tcPr>
            <w:tcW w:w="405" w:type="pct"/>
            <w:vMerge w:val="restart"/>
            <w:shd w:val="clear" w:color="auto" w:fill="CCCCCC"/>
          </w:tcPr>
          <w:p w14:paraId="038A134D"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p w14:paraId="038A134E"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_</w:t>
            </w:r>
          </w:p>
        </w:tc>
      </w:tr>
      <w:tr w:rsidR="004023E5" w14:paraId="038A1356" w14:textId="77777777" w:rsidTr="0000701C">
        <w:trPr>
          <w:trHeight w:hRule="exact" w:val="227"/>
        </w:trPr>
        <w:tc>
          <w:tcPr>
            <w:tcW w:w="810" w:type="pct"/>
          </w:tcPr>
          <w:p w14:paraId="038A1350" w14:textId="77777777" w:rsidR="004023E5" w:rsidRDefault="004023E5" w:rsidP="001A5D4A">
            <w:pPr>
              <w:pStyle w:val="Note-Refs"/>
            </w:pPr>
          </w:p>
        </w:tc>
        <w:tc>
          <w:tcPr>
            <w:tcW w:w="2567" w:type="pct"/>
            <w:gridSpan w:val="2"/>
            <w:shd w:val="clear" w:color="auto" w:fill="CCCCCC"/>
            <w:vAlign w:val="bottom"/>
          </w:tcPr>
          <w:p w14:paraId="038A1351" w14:textId="77777777" w:rsidR="004023E5" w:rsidRDefault="004023E5" w:rsidP="001A5D4A">
            <w:pPr>
              <w:pStyle w:val="NotesTable-ItemPlain"/>
              <w:rPr>
                <w:b/>
              </w:rPr>
            </w:pPr>
            <w:r>
              <w:t>SA-HELP payments</w:t>
            </w:r>
          </w:p>
        </w:tc>
        <w:tc>
          <w:tcPr>
            <w:tcW w:w="406" w:type="pct"/>
            <w:vMerge/>
            <w:tcBorders>
              <w:bottom w:val="single" w:sz="4" w:space="0" w:color="000000"/>
            </w:tcBorders>
            <w:shd w:val="clear" w:color="auto" w:fill="CCCCCC"/>
          </w:tcPr>
          <w:p w14:paraId="038A1352" w14:textId="77777777" w:rsidR="004023E5" w:rsidRDefault="004023E5" w:rsidP="001A5D4A">
            <w:pPr>
              <w:pStyle w:val="comsubheading"/>
              <w:tabs>
                <w:tab w:val="decimal" w:pos="600"/>
              </w:tabs>
              <w:snapToGrid w:val="0"/>
              <w:spacing w:before="0" w:after="0"/>
              <w:rPr>
                <w:rFonts w:ascii="Arial" w:hAnsi="Arial" w:cs="Arial"/>
              </w:rPr>
            </w:pPr>
          </w:p>
        </w:tc>
        <w:tc>
          <w:tcPr>
            <w:tcW w:w="406" w:type="pct"/>
            <w:vMerge/>
            <w:tcBorders>
              <w:bottom w:val="single" w:sz="4" w:space="0" w:color="000000"/>
            </w:tcBorders>
            <w:shd w:val="clear" w:color="auto" w:fill="CCCCCC"/>
          </w:tcPr>
          <w:p w14:paraId="038A1353" w14:textId="77777777" w:rsidR="004023E5" w:rsidRDefault="004023E5" w:rsidP="001A5D4A">
            <w:pPr>
              <w:pStyle w:val="comsubheading"/>
              <w:tabs>
                <w:tab w:val="decimal" w:pos="600"/>
              </w:tabs>
              <w:snapToGrid w:val="0"/>
              <w:spacing w:before="0" w:after="0"/>
              <w:rPr>
                <w:rFonts w:ascii="Arial" w:hAnsi="Arial" w:cs="Arial"/>
                <w:b w:val="0"/>
              </w:rPr>
            </w:pPr>
          </w:p>
        </w:tc>
        <w:tc>
          <w:tcPr>
            <w:tcW w:w="406" w:type="pct"/>
            <w:vMerge/>
            <w:tcBorders>
              <w:bottom w:val="single" w:sz="4" w:space="0" w:color="000000"/>
            </w:tcBorders>
            <w:shd w:val="clear" w:color="auto" w:fill="CCCCCC"/>
          </w:tcPr>
          <w:p w14:paraId="038A1354" w14:textId="77777777" w:rsidR="004023E5" w:rsidRDefault="004023E5" w:rsidP="001A5D4A">
            <w:pPr>
              <w:pStyle w:val="comsubheading"/>
              <w:tabs>
                <w:tab w:val="decimal" w:pos="600"/>
              </w:tabs>
              <w:snapToGrid w:val="0"/>
              <w:spacing w:before="0" w:after="0"/>
              <w:rPr>
                <w:rFonts w:ascii="Arial" w:hAnsi="Arial" w:cs="Arial"/>
              </w:rPr>
            </w:pPr>
          </w:p>
        </w:tc>
        <w:tc>
          <w:tcPr>
            <w:tcW w:w="405" w:type="pct"/>
            <w:vMerge/>
            <w:tcBorders>
              <w:bottom w:val="single" w:sz="4" w:space="0" w:color="000000"/>
            </w:tcBorders>
            <w:shd w:val="clear" w:color="auto" w:fill="CCCCCC"/>
          </w:tcPr>
          <w:p w14:paraId="038A1355" w14:textId="77777777" w:rsidR="004023E5" w:rsidRDefault="004023E5" w:rsidP="001A5D4A">
            <w:pPr>
              <w:pStyle w:val="comsubheading"/>
              <w:tabs>
                <w:tab w:val="decimal" w:pos="600"/>
              </w:tabs>
              <w:snapToGrid w:val="0"/>
              <w:spacing w:before="0" w:after="0"/>
              <w:rPr>
                <w:rFonts w:ascii="Arial" w:hAnsi="Arial" w:cs="Arial"/>
                <w:b w:val="0"/>
              </w:rPr>
            </w:pPr>
          </w:p>
        </w:tc>
      </w:tr>
      <w:tr w:rsidR="004023E5" w14:paraId="038A135D" w14:textId="77777777" w:rsidTr="0000701C">
        <w:trPr>
          <w:trHeight w:hRule="exact" w:val="227"/>
        </w:trPr>
        <w:tc>
          <w:tcPr>
            <w:tcW w:w="810" w:type="pct"/>
          </w:tcPr>
          <w:p w14:paraId="038A1357" w14:textId="77777777" w:rsidR="004023E5" w:rsidRDefault="004023E5" w:rsidP="001A5D4A">
            <w:pPr>
              <w:pStyle w:val="Note-Refs"/>
            </w:pPr>
          </w:p>
        </w:tc>
        <w:tc>
          <w:tcPr>
            <w:tcW w:w="2567" w:type="pct"/>
            <w:gridSpan w:val="2"/>
            <w:shd w:val="clear" w:color="auto" w:fill="CCCCCC"/>
            <w:vAlign w:val="bottom"/>
          </w:tcPr>
          <w:p w14:paraId="038A1358" w14:textId="77777777" w:rsidR="004023E5" w:rsidRDefault="004023E5" w:rsidP="001A5D4A">
            <w:pPr>
              <w:pStyle w:val="NotesTable-ItemPlain"/>
              <w:rPr>
                <w:b/>
              </w:rPr>
            </w:pPr>
            <w:r>
              <w:t xml:space="preserve">Total Australian Government financial assistance </w:t>
            </w:r>
          </w:p>
        </w:tc>
        <w:tc>
          <w:tcPr>
            <w:tcW w:w="406" w:type="pct"/>
            <w:shd w:val="clear" w:color="auto" w:fill="CCCCCC"/>
            <w:vAlign w:val="bottom"/>
          </w:tcPr>
          <w:p w14:paraId="038A1359"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6" w:type="pct"/>
            <w:shd w:val="clear" w:color="auto" w:fill="CCCCCC"/>
            <w:vAlign w:val="bottom"/>
          </w:tcPr>
          <w:p w14:paraId="038A135A"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c>
          <w:tcPr>
            <w:tcW w:w="406" w:type="pct"/>
            <w:shd w:val="clear" w:color="auto" w:fill="CCCCCC"/>
            <w:vAlign w:val="bottom"/>
          </w:tcPr>
          <w:p w14:paraId="038A135B" w14:textId="77777777" w:rsidR="004023E5" w:rsidRDefault="004023E5" w:rsidP="001A5D4A">
            <w:pPr>
              <w:pStyle w:val="comsubheading"/>
              <w:tabs>
                <w:tab w:val="decimal" w:pos="600"/>
              </w:tabs>
              <w:snapToGrid w:val="0"/>
              <w:spacing w:before="0" w:after="0"/>
              <w:rPr>
                <w:rFonts w:ascii="Arial" w:hAnsi="Arial" w:cs="Arial"/>
              </w:rPr>
            </w:pPr>
            <w:r>
              <w:rPr>
                <w:rFonts w:ascii="Arial" w:hAnsi="Arial" w:cs="Arial"/>
              </w:rPr>
              <w:t>–</w:t>
            </w:r>
          </w:p>
        </w:tc>
        <w:tc>
          <w:tcPr>
            <w:tcW w:w="405" w:type="pct"/>
            <w:shd w:val="clear" w:color="auto" w:fill="CCCCCC"/>
            <w:vAlign w:val="bottom"/>
          </w:tcPr>
          <w:p w14:paraId="038A135C" w14:textId="77777777" w:rsidR="004023E5" w:rsidRDefault="004023E5" w:rsidP="001A5D4A">
            <w:pPr>
              <w:pStyle w:val="comsubheading"/>
              <w:tabs>
                <w:tab w:val="decimal" w:pos="600"/>
              </w:tabs>
              <w:snapToGrid w:val="0"/>
              <w:spacing w:before="0" w:after="0"/>
              <w:rPr>
                <w:rFonts w:ascii="Arial" w:hAnsi="Arial" w:cs="Arial"/>
                <w:b w:val="0"/>
              </w:rPr>
            </w:pPr>
            <w:r>
              <w:rPr>
                <w:rFonts w:ascii="Arial" w:hAnsi="Arial" w:cs="Arial"/>
                <w:b w:val="0"/>
              </w:rPr>
              <w:t>–</w:t>
            </w:r>
          </w:p>
        </w:tc>
      </w:tr>
      <w:tr w:rsidR="00DA47B6" w14:paraId="038A1360" w14:textId="77777777" w:rsidTr="00E52AAD">
        <w:trPr>
          <w:trHeight w:hRule="exact" w:val="227"/>
        </w:trPr>
        <w:tc>
          <w:tcPr>
            <w:tcW w:w="810" w:type="pct"/>
          </w:tcPr>
          <w:p w14:paraId="038A135E" w14:textId="77777777" w:rsidR="00DA47B6" w:rsidRDefault="00DA47B6" w:rsidP="001A5D4A">
            <w:pPr>
              <w:pStyle w:val="Note-Refs"/>
            </w:pPr>
          </w:p>
        </w:tc>
        <w:tc>
          <w:tcPr>
            <w:tcW w:w="4190" w:type="pct"/>
            <w:gridSpan w:val="6"/>
            <w:shd w:val="clear" w:color="auto" w:fill="CCCCCC"/>
            <w:vAlign w:val="bottom"/>
          </w:tcPr>
          <w:p w14:paraId="038A135F" w14:textId="77777777" w:rsidR="00DA47B6" w:rsidRDefault="00DA47B6" w:rsidP="001A5D4A">
            <w:pPr>
              <w:pStyle w:val="NotesTable-ItemPlain"/>
            </w:pPr>
          </w:p>
        </w:tc>
      </w:tr>
      <w:tr w:rsidR="00DA47B6" w14:paraId="038A1363" w14:textId="77777777" w:rsidTr="00E52AAD">
        <w:trPr>
          <w:trHeight w:hRule="exact" w:val="227"/>
        </w:trPr>
        <w:tc>
          <w:tcPr>
            <w:tcW w:w="810" w:type="pct"/>
          </w:tcPr>
          <w:p w14:paraId="038A1361" w14:textId="77777777" w:rsidR="00DA47B6" w:rsidRDefault="00DA47B6" w:rsidP="001A5D4A">
            <w:pPr>
              <w:pStyle w:val="Note-Refs"/>
            </w:pPr>
          </w:p>
        </w:tc>
        <w:tc>
          <w:tcPr>
            <w:tcW w:w="4190" w:type="pct"/>
            <w:gridSpan w:val="6"/>
            <w:shd w:val="clear" w:color="auto" w:fill="CCCCCC"/>
            <w:vAlign w:val="bottom"/>
          </w:tcPr>
          <w:p w14:paraId="038A1362" w14:textId="77777777" w:rsidR="00DA47B6" w:rsidRDefault="00DA47B6" w:rsidP="001A5D4A">
            <w:pPr>
              <w:pStyle w:val="NotesTable-ItemPlain"/>
            </w:pPr>
          </w:p>
        </w:tc>
      </w:tr>
      <w:tr w:rsidR="004023E5" w14:paraId="038A1369" w14:textId="77777777" w:rsidTr="0000701C">
        <w:trPr>
          <w:trHeight w:hRule="exact" w:val="227"/>
        </w:trPr>
        <w:tc>
          <w:tcPr>
            <w:tcW w:w="810" w:type="pct"/>
          </w:tcPr>
          <w:p w14:paraId="038A1364" w14:textId="77777777" w:rsidR="004023E5" w:rsidRDefault="004023E5" w:rsidP="001A5D4A">
            <w:pPr>
              <w:pStyle w:val="Note-Refs"/>
            </w:pPr>
          </w:p>
        </w:tc>
        <w:tc>
          <w:tcPr>
            <w:tcW w:w="2297" w:type="pct"/>
            <w:shd w:val="clear" w:color="auto" w:fill="CCCCCC"/>
            <w:vAlign w:val="bottom"/>
          </w:tcPr>
          <w:p w14:paraId="038A1365" w14:textId="77777777" w:rsidR="004023E5" w:rsidRDefault="004023E5" w:rsidP="001A5D4A">
            <w:pPr>
              <w:pStyle w:val="NotesTable-ItemPlain"/>
            </w:pPr>
          </w:p>
        </w:tc>
        <w:tc>
          <w:tcPr>
            <w:tcW w:w="270" w:type="pct"/>
            <w:shd w:val="clear" w:color="auto" w:fill="CCCCCC"/>
          </w:tcPr>
          <w:p w14:paraId="038A1366" w14:textId="77777777" w:rsidR="004023E5" w:rsidRDefault="004023E5" w:rsidP="001A5D4A">
            <w:pPr>
              <w:pStyle w:val="NotesTable-Notes"/>
            </w:pPr>
          </w:p>
        </w:tc>
        <w:tc>
          <w:tcPr>
            <w:tcW w:w="812" w:type="pct"/>
            <w:gridSpan w:val="2"/>
            <w:shd w:val="clear" w:color="auto" w:fill="CCCCCC"/>
          </w:tcPr>
          <w:p w14:paraId="038A1367" w14:textId="77777777" w:rsidR="004023E5" w:rsidRDefault="004023E5" w:rsidP="001A5D4A">
            <w:pPr>
              <w:pStyle w:val="NotesTable-HeadPlain"/>
              <w:rPr>
                <w:b/>
              </w:rPr>
            </w:pPr>
            <w:r>
              <w:t>Consolidated</w:t>
            </w:r>
          </w:p>
        </w:tc>
        <w:tc>
          <w:tcPr>
            <w:tcW w:w="811" w:type="pct"/>
            <w:gridSpan w:val="2"/>
            <w:shd w:val="clear" w:color="auto" w:fill="CCCCCC"/>
          </w:tcPr>
          <w:p w14:paraId="038A1368" w14:textId="77777777" w:rsidR="004023E5" w:rsidRDefault="004023E5" w:rsidP="001A5D4A">
            <w:pPr>
              <w:pStyle w:val="NotesTable-HeadPlain"/>
              <w:rPr>
                <w:b/>
              </w:rPr>
            </w:pPr>
            <w:r>
              <w:t>Parent entity</w:t>
            </w:r>
          </w:p>
        </w:tc>
      </w:tr>
      <w:tr w:rsidR="004023E5" w14:paraId="038A1371" w14:textId="77777777" w:rsidTr="0000701C">
        <w:trPr>
          <w:trHeight w:hRule="exact" w:val="227"/>
        </w:trPr>
        <w:tc>
          <w:tcPr>
            <w:tcW w:w="810" w:type="pct"/>
          </w:tcPr>
          <w:p w14:paraId="038A136A" w14:textId="77777777" w:rsidR="004023E5" w:rsidRDefault="004023E5" w:rsidP="001A5D4A">
            <w:pPr>
              <w:pStyle w:val="Note-Refs"/>
            </w:pPr>
          </w:p>
        </w:tc>
        <w:tc>
          <w:tcPr>
            <w:tcW w:w="2297" w:type="pct"/>
            <w:shd w:val="clear" w:color="auto" w:fill="CCCCCC"/>
            <w:vAlign w:val="bottom"/>
          </w:tcPr>
          <w:p w14:paraId="038A136B" w14:textId="77777777" w:rsidR="004023E5" w:rsidRDefault="004023E5" w:rsidP="001A5D4A">
            <w:pPr>
              <w:pStyle w:val="NotesTable-ItemPlain"/>
            </w:pPr>
          </w:p>
        </w:tc>
        <w:tc>
          <w:tcPr>
            <w:tcW w:w="270" w:type="pct"/>
            <w:shd w:val="clear" w:color="auto" w:fill="CCCCCC"/>
          </w:tcPr>
          <w:p w14:paraId="038A136C" w14:textId="77777777" w:rsidR="004023E5" w:rsidRDefault="004023E5" w:rsidP="001A5D4A">
            <w:pPr>
              <w:pStyle w:val="NotesTable-Notes"/>
              <w:rPr>
                <w:shd w:val="clear" w:color="auto" w:fill="00FFFF"/>
              </w:rPr>
            </w:pPr>
          </w:p>
        </w:tc>
        <w:tc>
          <w:tcPr>
            <w:tcW w:w="406" w:type="pct"/>
            <w:shd w:val="clear" w:color="auto" w:fill="CCCCCC"/>
          </w:tcPr>
          <w:p w14:paraId="038A136D" w14:textId="79C2B8AD" w:rsidR="004023E5" w:rsidRDefault="006864EC" w:rsidP="001A5D4A">
            <w:pPr>
              <w:pStyle w:val="NotesTable-HeadBold"/>
            </w:pPr>
            <w:r>
              <w:t>2014</w:t>
            </w:r>
          </w:p>
        </w:tc>
        <w:tc>
          <w:tcPr>
            <w:tcW w:w="406" w:type="pct"/>
            <w:shd w:val="clear" w:color="auto" w:fill="CCCCCC"/>
          </w:tcPr>
          <w:p w14:paraId="038A136E" w14:textId="3E33AB33" w:rsidR="004023E5" w:rsidRDefault="006864EC" w:rsidP="001A5D4A">
            <w:pPr>
              <w:pStyle w:val="NotesTable-HeadPlain"/>
            </w:pPr>
            <w:r>
              <w:t>2013</w:t>
            </w:r>
          </w:p>
        </w:tc>
        <w:tc>
          <w:tcPr>
            <w:tcW w:w="406" w:type="pct"/>
            <w:shd w:val="clear" w:color="auto" w:fill="CCCCCC"/>
          </w:tcPr>
          <w:p w14:paraId="038A136F" w14:textId="5F3BA203" w:rsidR="004023E5" w:rsidRDefault="006864EC" w:rsidP="001A5D4A">
            <w:pPr>
              <w:pStyle w:val="NotesTable-HeadBold"/>
            </w:pPr>
            <w:r>
              <w:t>2014</w:t>
            </w:r>
          </w:p>
        </w:tc>
        <w:tc>
          <w:tcPr>
            <w:tcW w:w="405" w:type="pct"/>
            <w:shd w:val="clear" w:color="auto" w:fill="CCCCCC"/>
          </w:tcPr>
          <w:p w14:paraId="038A1370" w14:textId="0DC328CE" w:rsidR="004023E5" w:rsidRDefault="006864EC" w:rsidP="001A5D4A">
            <w:pPr>
              <w:pStyle w:val="NotesTable-HeadPlain"/>
            </w:pPr>
            <w:r>
              <w:t>2013</w:t>
            </w:r>
          </w:p>
        </w:tc>
      </w:tr>
      <w:tr w:rsidR="004023E5" w14:paraId="038A1379" w14:textId="77777777" w:rsidTr="0000701C">
        <w:trPr>
          <w:trHeight w:hRule="exact" w:val="227"/>
        </w:trPr>
        <w:tc>
          <w:tcPr>
            <w:tcW w:w="810" w:type="pct"/>
          </w:tcPr>
          <w:p w14:paraId="038A1372" w14:textId="77777777" w:rsidR="004023E5" w:rsidRDefault="004023E5" w:rsidP="001A5D4A">
            <w:pPr>
              <w:pStyle w:val="Note-Refs"/>
            </w:pPr>
          </w:p>
        </w:tc>
        <w:tc>
          <w:tcPr>
            <w:tcW w:w="2297" w:type="pct"/>
            <w:shd w:val="clear" w:color="auto" w:fill="CCCCCC"/>
            <w:vAlign w:val="bottom"/>
          </w:tcPr>
          <w:p w14:paraId="038A1373" w14:textId="77777777" w:rsidR="004023E5" w:rsidRDefault="004023E5" w:rsidP="001A5D4A">
            <w:pPr>
              <w:pStyle w:val="NotesTable-ItemPlain"/>
            </w:pPr>
          </w:p>
        </w:tc>
        <w:tc>
          <w:tcPr>
            <w:tcW w:w="270" w:type="pct"/>
            <w:shd w:val="clear" w:color="auto" w:fill="CCCCCC"/>
          </w:tcPr>
          <w:p w14:paraId="038A1374" w14:textId="77777777" w:rsidR="004023E5" w:rsidRDefault="004023E5" w:rsidP="001A5D4A">
            <w:pPr>
              <w:pStyle w:val="NotesTable-Notes"/>
              <w:rPr>
                <w:shd w:val="clear" w:color="auto" w:fill="00FFFF"/>
              </w:rPr>
            </w:pPr>
          </w:p>
        </w:tc>
        <w:tc>
          <w:tcPr>
            <w:tcW w:w="406" w:type="pct"/>
            <w:shd w:val="clear" w:color="auto" w:fill="CCCCCC"/>
          </w:tcPr>
          <w:p w14:paraId="038A1375" w14:textId="77777777" w:rsidR="004023E5" w:rsidRDefault="004023E5" w:rsidP="001A5D4A">
            <w:pPr>
              <w:pStyle w:val="NotesTable-HeadBold"/>
            </w:pPr>
            <w:r>
              <w:t>$’000</w:t>
            </w:r>
          </w:p>
        </w:tc>
        <w:tc>
          <w:tcPr>
            <w:tcW w:w="406" w:type="pct"/>
            <w:shd w:val="clear" w:color="auto" w:fill="CCCCCC"/>
          </w:tcPr>
          <w:p w14:paraId="038A1376" w14:textId="77777777" w:rsidR="004023E5" w:rsidRDefault="004023E5" w:rsidP="001A5D4A">
            <w:pPr>
              <w:pStyle w:val="NotesTable-HeadPlain"/>
            </w:pPr>
            <w:r>
              <w:t>$’000</w:t>
            </w:r>
          </w:p>
        </w:tc>
        <w:tc>
          <w:tcPr>
            <w:tcW w:w="406" w:type="pct"/>
            <w:shd w:val="clear" w:color="auto" w:fill="CCCCCC"/>
          </w:tcPr>
          <w:p w14:paraId="038A1377" w14:textId="77777777" w:rsidR="004023E5" w:rsidRDefault="004023E5" w:rsidP="001A5D4A">
            <w:pPr>
              <w:pStyle w:val="NotesTable-HeadBold"/>
            </w:pPr>
            <w:r>
              <w:t>$’000</w:t>
            </w:r>
          </w:p>
        </w:tc>
        <w:tc>
          <w:tcPr>
            <w:tcW w:w="405" w:type="pct"/>
            <w:shd w:val="clear" w:color="auto" w:fill="CCCCCC"/>
          </w:tcPr>
          <w:p w14:paraId="038A1378" w14:textId="77777777" w:rsidR="004023E5" w:rsidRDefault="004023E5" w:rsidP="001A5D4A">
            <w:pPr>
              <w:pStyle w:val="NotesTable-HeadPlain"/>
            </w:pPr>
            <w:r>
              <w:t>$’000</w:t>
            </w:r>
          </w:p>
        </w:tc>
      </w:tr>
      <w:tr w:rsidR="004023E5" w14:paraId="038A1381" w14:textId="77777777" w:rsidTr="0000701C">
        <w:trPr>
          <w:trHeight w:hRule="exact" w:val="227"/>
        </w:trPr>
        <w:tc>
          <w:tcPr>
            <w:tcW w:w="810" w:type="pct"/>
          </w:tcPr>
          <w:p w14:paraId="038A137A" w14:textId="77777777" w:rsidR="004023E5" w:rsidRDefault="004023E5" w:rsidP="001A5D4A">
            <w:pPr>
              <w:pStyle w:val="Note-Refs"/>
            </w:pPr>
          </w:p>
        </w:tc>
        <w:tc>
          <w:tcPr>
            <w:tcW w:w="2297" w:type="pct"/>
            <w:shd w:val="clear" w:color="auto" w:fill="CCCCCC"/>
            <w:vAlign w:val="bottom"/>
          </w:tcPr>
          <w:p w14:paraId="038A137B" w14:textId="77777777" w:rsidR="004023E5" w:rsidRDefault="004023E5" w:rsidP="001A5D4A">
            <w:pPr>
              <w:pStyle w:val="Statement-ItemBold"/>
            </w:pPr>
            <w:r>
              <w:t>(i) Australian Government Grants received – cash basis</w:t>
            </w:r>
          </w:p>
        </w:tc>
        <w:tc>
          <w:tcPr>
            <w:tcW w:w="270" w:type="pct"/>
            <w:shd w:val="clear" w:color="auto" w:fill="CCCCCC"/>
          </w:tcPr>
          <w:p w14:paraId="038A137C" w14:textId="77777777" w:rsidR="004023E5" w:rsidRDefault="004023E5" w:rsidP="001A5D4A">
            <w:pPr>
              <w:pStyle w:val="NotesTable-Notes"/>
            </w:pPr>
          </w:p>
        </w:tc>
        <w:tc>
          <w:tcPr>
            <w:tcW w:w="406" w:type="pct"/>
            <w:shd w:val="clear" w:color="auto" w:fill="CCCCCC"/>
          </w:tcPr>
          <w:p w14:paraId="038A137D" w14:textId="77777777" w:rsidR="004023E5" w:rsidRDefault="004023E5" w:rsidP="001A5D4A">
            <w:pPr>
              <w:pStyle w:val="NotesTable-CellBold"/>
            </w:pPr>
          </w:p>
        </w:tc>
        <w:tc>
          <w:tcPr>
            <w:tcW w:w="406" w:type="pct"/>
            <w:shd w:val="clear" w:color="auto" w:fill="CCCCCC"/>
          </w:tcPr>
          <w:p w14:paraId="038A137E" w14:textId="77777777" w:rsidR="004023E5" w:rsidRDefault="004023E5" w:rsidP="001A5D4A">
            <w:pPr>
              <w:pStyle w:val="NotesTable-CellPlain"/>
            </w:pPr>
          </w:p>
        </w:tc>
        <w:tc>
          <w:tcPr>
            <w:tcW w:w="406" w:type="pct"/>
            <w:shd w:val="clear" w:color="auto" w:fill="CCCCCC"/>
          </w:tcPr>
          <w:p w14:paraId="038A137F" w14:textId="77777777" w:rsidR="004023E5" w:rsidRDefault="004023E5" w:rsidP="001A5D4A">
            <w:pPr>
              <w:pStyle w:val="NotesTable-CellBold"/>
            </w:pPr>
          </w:p>
        </w:tc>
        <w:tc>
          <w:tcPr>
            <w:tcW w:w="405" w:type="pct"/>
            <w:shd w:val="clear" w:color="auto" w:fill="CCCCCC"/>
          </w:tcPr>
          <w:p w14:paraId="038A1380" w14:textId="77777777" w:rsidR="004023E5" w:rsidRDefault="004023E5" w:rsidP="001A5D4A">
            <w:pPr>
              <w:pStyle w:val="NotesTable-CellPlain"/>
            </w:pPr>
          </w:p>
        </w:tc>
      </w:tr>
      <w:tr w:rsidR="004023E5" w14:paraId="038A1389" w14:textId="77777777" w:rsidTr="0000701C">
        <w:trPr>
          <w:trHeight w:hRule="exact" w:val="227"/>
        </w:trPr>
        <w:tc>
          <w:tcPr>
            <w:tcW w:w="810" w:type="pct"/>
          </w:tcPr>
          <w:p w14:paraId="038A1382" w14:textId="77777777" w:rsidR="004023E5" w:rsidRDefault="004023E5" w:rsidP="001A5D4A">
            <w:pPr>
              <w:pStyle w:val="Note-Refs"/>
            </w:pPr>
          </w:p>
        </w:tc>
        <w:tc>
          <w:tcPr>
            <w:tcW w:w="2297" w:type="pct"/>
            <w:shd w:val="clear" w:color="auto" w:fill="CCCCCC"/>
            <w:vAlign w:val="bottom"/>
          </w:tcPr>
          <w:p w14:paraId="038A1383" w14:textId="77777777" w:rsidR="004023E5" w:rsidRDefault="004023E5" w:rsidP="001A5D4A">
            <w:pPr>
              <w:pStyle w:val="NotesTable-ItemPlain"/>
              <w:rPr>
                <w:b/>
              </w:rPr>
            </w:pPr>
            <w:r>
              <w:t xml:space="preserve">CGS and Other </w:t>
            </w:r>
            <w:r w:rsidR="00B90CFC">
              <w:t>EDUCATION</w:t>
            </w:r>
            <w:r>
              <w:t xml:space="preserve"> Grants</w:t>
            </w:r>
          </w:p>
        </w:tc>
        <w:tc>
          <w:tcPr>
            <w:tcW w:w="270" w:type="pct"/>
            <w:shd w:val="clear" w:color="auto" w:fill="CCCCCC"/>
          </w:tcPr>
          <w:p w14:paraId="038A1384" w14:textId="065E562A" w:rsidR="004023E5" w:rsidRPr="000263BD" w:rsidRDefault="000263BD" w:rsidP="001A5D4A">
            <w:pPr>
              <w:pStyle w:val="NotesTable-Notes"/>
            </w:pPr>
            <w:r w:rsidRPr="000263BD">
              <w:t>5</w:t>
            </w:r>
            <w:r w:rsidR="00713AFB">
              <w:t>3</w:t>
            </w:r>
            <w:r w:rsidRPr="000263BD">
              <w:t>a</w:t>
            </w:r>
          </w:p>
        </w:tc>
        <w:tc>
          <w:tcPr>
            <w:tcW w:w="406" w:type="pct"/>
            <w:shd w:val="clear" w:color="auto" w:fill="CCCCCC"/>
          </w:tcPr>
          <w:p w14:paraId="038A1385" w14:textId="77777777" w:rsidR="004023E5" w:rsidRDefault="004023E5" w:rsidP="001A5D4A">
            <w:pPr>
              <w:pStyle w:val="NotesTable-CellBold"/>
            </w:pPr>
            <w:r>
              <w:t>–</w:t>
            </w:r>
          </w:p>
        </w:tc>
        <w:tc>
          <w:tcPr>
            <w:tcW w:w="406" w:type="pct"/>
            <w:shd w:val="clear" w:color="auto" w:fill="CCCCCC"/>
          </w:tcPr>
          <w:p w14:paraId="038A1386" w14:textId="77777777" w:rsidR="004023E5" w:rsidRDefault="004023E5" w:rsidP="001A5D4A">
            <w:pPr>
              <w:pStyle w:val="NotesTable-CellPlain"/>
            </w:pPr>
            <w:r>
              <w:t>–</w:t>
            </w:r>
          </w:p>
        </w:tc>
        <w:tc>
          <w:tcPr>
            <w:tcW w:w="406" w:type="pct"/>
            <w:shd w:val="clear" w:color="auto" w:fill="CCCCCC"/>
          </w:tcPr>
          <w:p w14:paraId="038A1387" w14:textId="77777777" w:rsidR="004023E5" w:rsidRDefault="004023E5" w:rsidP="001A5D4A">
            <w:pPr>
              <w:pStyle w:val="NotesTable-CellBold"/>
            </w:pPr>
            <w:r>
              <w:t>–</w:t>
            </w:r>
          </w:p>
        </w:tc>
        <w:tc>
          <w:tcPr>
            <w:tcW w:w="405" w:type="pct"/>
            <w:shd w:val="clear" w:color="auto" w:fill="CCCCCC"/>
          </w:tcPr>
          <w:p w14:paraId="038A1388" w14:textId="77777777" w:rsidR="004023E5" w:rsidRDefault="004023E5" w:rsidP="001A5D4A">
            <w:pPr>
              <w:pStyle w:val="NotesTable-CellPlain"/>
            </w:pPr>
            <w:r>
              <w:t>–</w:t>
            </w:r>
          </w:p>
        </w:tc>
      </w:tr>
      <w:tr w:rsidR="004023E5" w14:paraId="038A1391" w14:textId="77777777" w:rsidTr="0000701C">
        <w:trPr>
          <w:trHeight w:hRule="exact" w:val="227"/>
        </w:trPr>
        <w:tc>
          <w:tcPr>
            <w:tcW w:w="810" w:type="pct"/>
          </w:tcPr>
          <w:p w14:paraId="038A138A" w14:textId="77777777" w:rsidR="004023E5" w:rsidRDefault="004023E5" w:rsidP="001A5D4A">
            <w:pPr>
              <w:pStyle w:val="Note-Refs"/>
            </w:pPr>
          </w:p>
        </w:tc>
        <w:tc>
          <w:tcPr>
            <w:tcW w:w="2297" w:type="pct"/>
            <w:shd w:val="clear" w:color="auto" w:fill="CCCCCC"/>
            <w:vAlign w:val="bottom"/>
          </w:tcPr>
          <w:p w14:paraId="038A138B" w14:textId="77777777" w:rsidR="004023E5" w:rsidRDefault="004023E5" w:rsidP="001A5D4A">
            <w:pPr>
              <w:pStyle w:val="NotesTable-ItemPlain"/>
              <w:rPr>
                <w:b/>
              </w:rPr>
            </w:pPr>
            <w:r>
              <w:t>Higher Education Loan Programs</w:t>
            </w:r>
          </w:p>
        </w:tc>
        <w:tc>
          <w:tcPr>
            <w:tcW w:w="270" w:type="pct"/>
            <w:shd w:val="clear" w:color="auto" w:fill="CCCCCC"/>
          </w:tcPr>
          <w:p w14:paraId="038A138C" w14:textId="6C1C3B62" w:rsidR="004023E5" w:rsidRPr="000263BD" w:rsidRDefault="000263BD" w:rsidP="001A5D4A">
            <w:pPr>
              <w:pStyle w:val="NotesTable-Notes"/>
            </w:pPr>
            <w:r w:rsidRPr="000263BD">
              <w:t>5</w:t>
            </w:r>
            <w:r w:rsidR="00713AFB">
              <w:t>3</w:t>
            </w:r>
            <w:r w:rsidRPr="000263BD">
              <w:t>b</w:t>
            </w:r>
          </w:p>
        </w:tc>
        <w:tc>
          <w:tcPr>
            <w:tcW w:w="406" w:type="pct"/>
            <w:shd w:val="clear" w:color="auto" w:fill="CCCCCC"/>
          </w:tcPr>
          <w:p w14:paraId="038A138D" w14:textId="77777777" w:rsidR="004023E5" w:rsidRDefault="004023E5" w:rsidP="001A5D4A">
            <w:pPr>
              <w:pStyle w:val="NotesTable-CellBold"/>
            </w:pPr>
            <w:r>
              <w:t>–</w:t>
            </w:r>
          </w:p>
        </w:tc>
        <w:tc>
          <w:tcPr>
            <w:tcW w:w="406" w:type="pct"/>
            <w:shd w:val="clear" w:color="auto" w:fill="CCCCCC"/>
          </w:tcPr>
          <w:p w14:paraId="038A138E" w14:textId="77777777" w:rsidR="004023E5" w:rsidRDefault="004023E5" w:rsidP="001A5D4A">
            <w:pPr>
              <w:pStyle w:val="NotesTable-CellPlain"/>
            </w:pPr>
            <w:r>
              <w:t>–</w:t>
            </w:r>
          </w:p>
        </w:tc>
        <w:tc>
          <w:tcPr>
            <w:tcW w:w="406" w:type="pct"/>
            <w:shd w:val="clear" w:color="auto" w:fill="CCCCCC"/>
          </w:tcPr>
          <w:p w14:paraId="038A138F" w14:textId="77777777" w:rsidR="004023E5" w:rsidRDefault="004023E5" w:rsidP="001A5D4A">
            <w:pPr>
              <w:pStyle w:val="NotesTable-CellBold"/>
            </w:pPr>
            <w:r>
              <w:t>–</w:t>
            </w:r>
          </w:p>
        </w:tc>
        <w:tc>
          <w:tcPr>
            <w:tcW w:w="405" w:type="pct"/>
            <w:shd w:val="clear" w:color="auto" w:fill="CCCCCC"/>
          </w:tcPr>
          <w:p w14:paraId="038A1390" w14:textId="77777777" w:rsidR="004023E5" w:rsidRDefault="004023E5" w:rsidP="001A5D4A">
            <w:pPr>
              <w:pStyle w:val="NotesTable-CellPlain"/>
            </w:pPr>
            <w:r>
              <w:t>–</w:t>
            </w:r>
          </w:p>
        </w:tc>
      </w:tr>
      <w:tr w:rsidR="004023E5" w14:paraId="038A1399" w14:textId="77777777" w:rsidTr="0000701C">
        <w:trPr>
          <w:trHeight w:hRule="exact" w:val="227"/>
        </w:trPr>
        <w:tc>
          <w:tcPr>
            <w:tcW w:w="810" w:type="pct"/>
          </w:tcPr>
          <w:p w14:paraId="038A1392" w14:textId="77777777" w:rsidR="004023E5" w:rsidRDefault="004023E5" w:rsidP="001A5D4A">
            <w:pPr>
              <w:pStyle w:val="Note-Refs"/>
            </w:pPr>
          </w:p>
        </w:tc>
        <w:tc>
          <w:tcPr>
            <w:tcW w:w="2297" w:type="pct"/>
            <w:shd w:val="clear" w:color="auto" w:fill="CCCCCC"/>
            <w:vAlign w:val="bottom"/>
          </w:tcPr>
          <w:p w14:paraId="038A1393" w14:textId="77777777" w:rsidR="004023E5" w:rsidRDefault="004023E5" w:rsidP="001A5D4A">
            <w:pPr>
              <w:pStyle w:val="NotesTable-ItemPlain"/>
              <w:rPr>
                <w:b/>
              </w:rPr>
            </w:pPr>
            <w:r>
              <w:t>Scholarships</w:t>
            </w:r>
          </w:p>
        </w:tc>
        <w:tc>
          <w:tcPr>
            <w:tcW w:w="270" w:type="pct"/>
            <w:shd w:val="clear" w:color="auto" w:fill="CCCCCC"/>
          </w:tcPr>
          <w:p w14:paraId="038A1394" w14:textId="121F0C4D" w:rsidR="004023E5" w:rsidRPr="000263BD" w:rsidRDefault="00713AFB" w:rsidP="001A5D4A">
            <w:pPr>
              <w:pStyle w:val="NotesTable-Notes"/>
            </w:pPr>
            <w:r>
              <w:t>53</w:t>
            </w:r>
            <w:r w:rsidR="000263BD" w:rsidRPr="000263BD">
              <w:t>c</w:t>
            </w:r>
          </w:p>
        </w:tc>
        <w:tc>
          <w:tcPr>
            <w:tcW w:w="406" w:type="pct"/>
            <w:shd w:val="clear" w:color="auto" w:fill="CCCCCC"/>
          </w:tcPr>
          <w:p w14:paraId="038A1395" w14:textId="77777777" w:rsidR="004023E5" w:rsidRDefault="004023E5" w:rsidP="001A5D4A">
            <w:pPr>
              <w:pStyle w:val="NotesTable-CellBold"/>
            </w:pPr>
            <w:r>
              <w:t>–</w:t>
            </w:r>
          </w:p>
        </w:tc>
        <w:tc>
          <w:tcPr>
            <w:tcW w:w="406" w:type="pct"/>
            <w:shd w:val="clear" w:color="auto" w:fill="CCCCCC"/>
          </w:tcPr>
          <w:p w14:paraId="038A1396" w14:textId="77777777" w:rsidR="004023E5" w:rsidRDefault="004023E5" w:rsidP="001A5D4A">
            <w:pPr>
              <w:pStyle w:val="NotesTable-CellPlain"/>
            </w:pPr>
            <w:r>
              <w:t>–</w:t>
            </w:r>
          </w:p>
        </w:tc>
        <w:tc>
          <w:tcPr>
            <w:tcW w:w="406" w:type="pct"/>
            <w:shd w:val="clear" w:color="auto" w:fill="CCCCCC"/>
          </w:tcPr>
          <w:p w14:paraId="038A1397" w14:textId="77777777" w:rsidR="004023E5" w:rsidRDefault="004023E5" w:rsidP="001A5D4A">
            <w:pPr>
              <w:pStyle w:val="NotesTable-CellBold"/>
            </w:pPr>
            <w:r>
              <w:t>–</w:t>
            </w:r>
          </w:p>
        </w:tc>
        <w:tc>
          <w:tcPr>
            <w:tcW w:w="405" w:type="pct"/>
            <w:shd w:val="clear" w:color="auto" w:fill="CCCCCC"/>
          </w:tcPr>
          <w:p w14:paraId="038A1398" w14:textId="77777777" w:rsidR="004023E5" w:rsidRDefault="004023E5" w:rsidP="001A5D4A">
            <w:pPr>
              <w:pStyle w:val="NotesTable-CellPlain"/>
            </w:pPr>
            <w:r>
              <w:t>–</w:t>
            </w:r>
          </w:p>
        </w:tc>
      </w:tr>
      <w:tr w:rsidR="004023E5" w14:paraId="038A13A1" w14:textId="77777777" w:rsidTr="0000701C">
        <w:trPr>
          <w:trHeight w:hRule="exact" w:val="227"/>
        </w:trPr>
        <w:tc>
          <w:tcPr>
            <w:tcW w:w="810" w:type="pct"/>
          </w:tcPr>
          <w:p w14:paraId="038A139A" w14:textId="77777777" w:rsidR="004023E5" w:rsidRDefault="004023E5" w:rsidP="001A5D4A">
            <w:pPr>
              <w:pStyle w:val="Note-Refs"/>
            </w:pPr>
          </w:p>
        </w:tc>
        <w:tc>
          <w:tcPr>
            <w:tcW w:w="2297" w:type="pct"/>
            <w:shd w:val="clear" w:color="auto" w:fill="CCCCCC"/>
            <w:vAlign w:val="bottom"/>
          </w:tcPr>
          <w:p w14:paraId="038A139B" w14:textId="77777777" w:rsidR="004023E5" w:rsidRDefault="00B90CFC" w:rsidP="001A5D4A">
            <w:pPr>
              <w:pStyle w:val="NotesTable-ItemPlain"/>
              <w:rPr>
                <w:b/>
              </w:rPr>
            </w:pPr>
            <w:r>
              <w:t>EDUCATION</w:t>
            </w:r>
            <w:r w:rsidR="004023E5">
              <w:t xml:space="preserve"> research</w:t>
            </w:r>
          </w:p>
        </w:tc>
        <w:tc>
          <w:tcPr>
            <w:tcW w:w="270" w:type="pct"/>
            <w:shd w:val="clear" w:color="auto" w:fill="CCCCCC"/>
          </w:tcPr>
          <w:p w14:paraId="038A139C" w14:textId="4C279673" w:rsidR="004023E5" w:rsidRPr="000263BD" w:rsidRDefault="000263BD" w:rsidP="001A5D4A">
            <w:pPr>
              <w:pStyle w:val="NotesTable-Notes"/>
            </w:pPr>
            <w:r w:rsidRPr="000263BD">
              <w:t>5</w:t>
            </w:r>
            <w:r w:rsidR="00713AFB">
              <w:t>3</w:t>
            </w:r>
            <w:r w:rsidRPr="000263BD">
              <w:t>d</w:t>
            </w:r>
          </w:p>
        </w:tc>
        <w:tc>
          <w:tcPr>
            <w:tcW w:w="406" w:type="pct"/>
            <w:shd w:val="clear" w:color="auto" w:fill="CCCCCC"/>
          </w:tcPr>
          <w:p w14:paraId="038A139D" w14:textId="77777777" w:rsidR="004023E5" w:rsidRDefault="004023E5" w:rsidP="001A5D4A">
            <w:pPr>
              <w:pStyle w:val="NotesTable-CellBold"/>
            </w:pPr>
            <w:r>
              <w:t>–</w:t>
            </w:r>
          </w:p>
        </w:tc>
        <w:tc>
          <w:tcPr>
            <w:tcW w:w="406" w:type="pct"/>
            <w:shd w:val="clear" w:color="auto" w:fill="CCCCCC"/>
          </w:tcPr>
          <w:p w14:paraId="038A139E" w14:textId="77777777" w:rsidR="004023E5" w:rsidRDefault="004023E5" w:rsidP="001A5D4A">
            <w:pPr>
              <w:pStyle w:val="NotesTable-CellPlain"/>
            </w:pPr>
            <w:r>
              <w:t>–</w:t>
            </w:r>
          </w:p>
        </w:tc>
        <w:tc>
          <w:tcPr>
            <w:tcW w:w="406" w:type="pct"/>
            <w:shd w:val="clear" w:color="auto" w:fill="CCCCCC"/>
          </w:tcPr>
          <w:p w14:paraId="038A139F" w14:textId="77777777" w:rsidR="004023E5" w:rsidRDefault="004023E5" w:rsidP="001A5D4A">
            <w:pPr>
              <w:pStyle w:val="NotesTable-CellBold"/>
            </w:pPr>
            <w:r>
              <w:t>–</w:t>
            </w:r>
          </w:p>
        </w:tc>
        <w:tc>
          <w:tcPr>
            <w:tcW w:w="405" w:type="pct"/>
            <w:shd w:val="clear" w:color="auto" w:fill="CCCCCC"/>
          </w:tcPr>
          <w:p w14:paraId="038A13A0" w14:textId="77777777" w:rsidR="004023E5" w:rsidRDefault="004023E5" w:rsidP="001A5D4A">
            <w:pPr>
              <w:pStyle w:val="NotesTable-CellPlain"/>
            </w:pPr>
            <w:r>
              <w:t>–</w:t>
            </w:r>
          </w:p>
        </w:tc>
      </w:tr>
      <w:tr w:rsidR="004023E5" w14:paraId="038A13A9" w14:textId="77777777" w:rsidTr="0000701C">
        <w:trPr>
          <w:trHeight w:hRule="exact" w:val="227"/>
        </w:trPr>
        <w:tc>
          <w:tcPr>
            <w:tcW w:w="810" w:type="pct"/>
          </w:tcPr>
          <w:p w14:paraId="038A13A2" w14:textId="77777777" w:rsidR="004023E5" w:rsidRDefault="004023E5" w:rsidP="001A5D4A">
            <w:pPr>
              <w:pStyle w:val="Note-Refs"/>
            </w:pPr>
          </w:p>
        </w:tc>
        <w:tc>
          <w:tcPr>
            <w:tcW w:w="2297" w:type="pct"/>
            <w:shd w:val="clear" w:color="auto" w:fill="CCCCCC"/>
            <w:vAlign w:val="bottom"/>
          </w:tcPr>
          <w:p w14:paraId="038A13A3" w14:textId="77777777" w:rsidR="004023E5" w:rsidRDefault="004023E5" w:rsidP="001A5D4A">
            <w:pPr>
              <w:pStyle w:val="NotesTable-ItemPlain"/>
              <w:rPr>
                <w:b/>
              </w:rPr>
            </w:pPr>
            <w:r>
              <w:t>Voluntary Student Unionism</w:t>
            </w:r>
          </w:p>
        </w:tc>
        <w:tc>
          <w:tcPr>
            <w:tcW w:w="270" w:type="pct"/>
            <w:shd w:val="clear" w:color="auto" w:fill="CCCCCC"/>
          </w:tcPr>
          <w:p w14:paraId="038A13A4" w14:textId="25C3A7A0" w:rsidR="004023E5" w:rsidRPr="000263BD" w:rsidRDefault="000263BD" w:rsidP="001A5D4A">
            <w:pPr>
              <w:pStyle w:val="NotesTable-Notes"/>
            </w:pPr>
            <w:r w:rsidRPr="000263BD">
              <w:t>5</w:t>
            </w:r>
            <w:r w:rsidR="00713AFB">
              <w:t>3</w:t>
            </w:r>
            <w:r w:rsidRPr="000263BD">
              <w:t>e</w:t>
            </w:r>
          </w:p>
        </w:tc>
        <w:tc>
          <w:tcPr>
            <w:tcW w:w="406" w:type="pct"/>
            <w:shd w:val="clear" w:color="auto" w:fill="CCCCCC"/>
          </w:tcPr>
          <w:p w14:paraId="038A13A5" w14:textId="77777777" w:rsidR="004023E5" w:rsidRDefault="004023E5" w:rsidP="001A5D4A">
            <w:pPr>
              <w:pStyle w:val="NotesTable-CellBold"/>
            </w:pPr>
            <w:r>
              <w:t>–</w:t>
            </w:r>
          </w:p>
        </w:tc>
        <w:tc>
          <w:tcPr>
            <w:tcW w:w="406" w:type="pct"/>
            <w:shd w:val="clear" w:color="auto" w:fill="CCCCCC"/>
          </w:tcPr>
          <w:p w14:paraId="038A13A6" w14:textId="77777777" w:rsidR="004023E5" w:rsidRDefault="004023E5" w:rsidP="001A5D4A">
            <w:pPr>
              <w:pStyle w:val="NotesTable-CellPlain"/>
            </w:pPr>
            <w:r>
              <w:t>–</w:t>
            </w:r>
          </w:p>
        </w:tc>
        <w:tc>
          <w:tcPr>
            <w:tcW w:w="406" w:type="pct"/>
            <w:shd w:val="clear" w:color="auto" w:fill="CCCCCC"/>
          </w:tcPr>
          <w:p w14:paraId="038A13A7" w14:textId="77777777" w:rsidR="004023E5" w:rsidRDefault="004023E5" w:rsidP="001A5D4A">
            <w:pPr>
              <w:pStyle w:val="NotesTable-CellBold"/>
            </w:pPr>
            <w:r>
              <w:t>–</w:t>
            </w:r>
          </w:p>
        </w:tc>
        <w:tc>
          <w:tcPr>
            <w:tcW w:w="405" w:type="pct"/>
            <w:shd w:val="clear" w:color="auto" w:fill="CCCCCC"/>
          </w:tcPr>
          <w:p w14:paraId="038A13A8" w14:textId="77777777" w:rsidR="004023E5" w:rsidRDefault="004023E5" w:rsidP="001A5D4A">
            <w:pPr>
              <w:pStyle w:val="NotesTable-CellPlain"/>
            </w:pPr>
            <w:r>
              <w:t>–</w:t>
            </w:r>
          </w:p>
        </w:tc>
      </w:tr>
      <w:tr w:rsidR="004023E5" w14:paraId="038A13B1" w14:textId="77777777" w:rsidTr="0000701C">
        <w:trPr>
          <w:trHeight w:hRule="exact" w:val="227"/>
        </w:trPr>
        <w:tc>
          <w:tcPr>
            <w:tcW w:w="810" w:type="pct"/>
          </w:tcPr>
          <w:p w14:paraId="038A13AA" w14:textId="77777777" w:rsidR="004023E5" w:rsidRDefault="004023E5" w:rsidP="001A5D4A">
            <w:pPr>
              <w:pStyle w:val="Note-Refs"/>
            </w:pPr>
          </w:p>
        </w:tc>
        <w:tc>
          <w:tcPr>
            <w:tcW w:w="2297" w:type="pct"/>
            <w:shd w:val="clear" w:color="auto" w:fill="CCCCCC"/>
            <w:vAlign w:val="bottom"/>
          </w:tcPr>
          <w:p w14:paraId="038A13AB" w14:textId="77777777" w:rsidR="004023E5" w:rsidRDefault="004023E5" w:rsidP="001A5D4A">
            <w:pPr>
              <w:pStyle w:val="NotesTable-ItemPlain"/>
              <w:rPr>
                <w:b/>
              </w:rPr>
            </w:pPr>
            <w:r>
              <w:t>Other Capital Funding</w:t>
            </w:r>
          </w:p>
        </w:tc>
        <w:tc>
          <w:tcPr>
            <w:tcW w:w="270" w:type="pct"/>
            <w:shd w:val="clear" w:color="auto" w:fill="CCCCCC"/>
          </w:tcPr>
          <w:p w14:paraId="038A13AC" w14:textId="5E02638A" w:rsidR="004023E5" w:rsidRPr="000263BD" w:rsidRDefault="000263BD" w:rsidP="001A5D4A">
            <w:pPr>
              <w:pStyle w:val="NotesTable-Notes"/>
            </w:pPr>
            <w:r w:rsidRPr="000263BD">
              <w:t>5</w:t>
            </w:r>
            <w:r w:rsidR="00713AFB">
              <w:t>3</w:t>
            </w:r>
            <w:r w:rsidRPr="000263BD">
              <w:t>f</w:t>
            </w:r>
          </w:p>
        </w:tc>
        <w:tc>
          <w:tcPr>
            <w:tcW w:w="406" w:type="pct"/>
            <w:shd w:val="clear" w:color="auto" w:fill="CCCCCC"/>
          </w:tcPr>
          <w:p w14:paraId="038A13AD" w14:textId="77777777" w:rsidR="004023E5" w:rsidRDefault="004023E5" w:rsidP="001A5D4A">
            <w:pPr>
              <w:pStyle w:val="NotesTable-CellBold"/>
            </w:pPr>
            <w:r>
              <w:t>–</w:t>
            </w:r>
          </w:p>
        </w:tc>
        <w:tc>
          <w:tcPr>
            <w:tcW w:w="406" w:type="pct"/>
            <w:shd w:val="clear" w:color="auto" w:fill="CCCCCC"/>
          </w:tcPr>
          <w:p w14:paraId="038A13AE" w14:textId="77777777" w:rsidR="004023E5" w:rsidRDefault="004023E5" w:rsidP="001A5D4A">
            <w:pPr>
              <w:pStyle w:val="NotesTable-CellPlain"/>
            </w:pPr>
            <w:r>
              <w:t>–</w:t>
            </w:r>
          </w:p>
        </w:tc>
        <w:tc>
          <w:tcPr>
            <w:tcW w:w="406" w:type="pct"/>
            <w:shd w:val="clear" w:color="auto" w:fill="CCCCCC"/>
          </w:tcPr>
          <w:p w14:paraId="038A13AF" w14:textId="77777777" w:rsidR="004023E5" w:rsidRDefault="004023E5" w:rsidP="001A5D4A">
            <w:pPr>
              <w:pStyle w:val="NotesTable-CellBold"/>
            </w:pPr>
            <w:r>
              <w:t>–</w:t>
            </w:r>
          </w:p>
        </w:tc>
        <w:tc>
          <w:tcPr>
            <w:tcW w:w="405" w:type="pct"/>
            <w:shd w:val="clear" w:color="auto" w:fill="CCCCCC"/>
          </w:tcPr>
          <w:p w14:paraId="038A13B0" w14:textId="77777777" w:rsidR="004023E5" w:rsidRDefault="004023E5" w:rsidP="001A5D4A">
            <w:pPr>
              <w:pStyle w:val="NotesTable-CellPlain"/>
            </w:pPr>
            <w:r>
              <w:t>–</w:t>
            </w:r>
          </w:p>
        </w:tc>
      </w:tr>
      <w:tr w:rsidR="004023E5" w14:paraId="038A13B9" w14:textId="77777777" w:rsidTr="0000701C">
        <w:trPr>
          <w:trHeight w:hRule="exact" w:val="227"/>
        </w:trPr>
        <w:tc>
          <w:tcPr>
            <w:tcW w:w="810" w:type="pct"/>
          </w:tcPr>
          <w:p w14:paraId="038A13B2" w14:textId="77777777" w:rsidR="004023E5" w:rsidRDefault="004023E5" w:rsidP="001A5D4A">
            <w:pPr>
              <w:pStyle w:val="Note-Refs"/>
            </w:pPr>
          </w:p>
        </w:tc>
        <w:tc>
          <w:tcPr>
            <w:tcW w:w="2297" w:type="pct"/>
            <w:shd w:val="clear" w:color="auto" w:fill="CCCCCC"/>
            <w:vAlign w:val="bottom"/>
          </w:tcPr>
          <w:p w14:paraId="038A13B3" w14:textId="77777777" w:rsidR="004023E5" w:rsidRDefault="004023E5" w:rsidP="001A5D4A">
            <w:pPr>
              <w:pStyle w:val="NotesTable-ItemPlain"/>
              <w:rPr>
                <w:b/>
              </w:rPr>
            </w:pPr>
            <w:r>
              <w:t>ARC grants – Discovery</w:t>
            </w:r>
          </w:p>
        </w:tc>
        <w:tc>
          <w:tcPr>
            <w:tcW w:w="270" w:type="pct"/>
            <w:shd w:val="clear" w:color="auto" w:fill="CCCCCC"/>
          </w:tcPr>
          <w:p w14:paraId="038A13B4" w14:textId="1CB18ABD" w:rsidR="004023E5" w:rsidRPr="000263BD" w:rsidRDefault="000263BD" w:rsidP="001A5D4A">
            <w:pPr>
              <w:pStyle w:val="NotesTable-Notes"/>
            </w:pPr>
            <w:r w:rsidRPr="000263BD">
              <w:t>5</w:t>
            </w:r>
            <w:r w:rsidR="00713AFB">
              <w:t>3</w:t>
            </w:r>
            <w:r w:rsidRPr="000263BD">
              <w:t>g</w:t>
            </w:r>
          </w:p>
        </w:tc>
        <w:tc>
          <w:tcPr>
            <w:tcW w:w="406" w:type="pct"/>
            <w:shd w:val="clear" w:color="auto" w:fill="CCCCCC"/>
          </w:tcPr>
          <w:p w14:paraId="038A13B5" w14:textId="77777777" w:rsidR="004023E5" w:rsidRDefault="004023E5" w:rsidP="001A5D4A">
            <w:pPr>
              <w:pStyle w:val="NotesTable-CellBold"/>
            </w:pPr>
            <w:r>
              <w:t>–</w:t>
            </w:r>
          </w:p>
        </w:tc>
        <w:tc>
          <w:tcPr>
            <w:tcW w:w="406" w:type="pct"/>
            <w:shd w:val="clear" w:color="auto" w:fill="CCCCCC"/>
          </w:tcPr>
          <w:p w14:paraId="038A13B6" w14:textId="77777777" w:rsidR="004023E5" w:rsidRDefault="004023E5" w:rsidP="001A5D4A">
            <w:pPr>
              <w:pStyle w:val="NotesTable-CellPlain"/>
            </w:pPr>
            <w:r>
              <w:t>–</w:t>
            </w:r>
          </w:p>
        </w:tc>
        <w:tc>
          <w:tcPr>
            <w:tcW w:w="406" w:type="pct"/>
            <w:shd w:val="clear" w:color="auto" w:fill="CCCCCC"/>
          </w:tcPr>
          <w:p w14:paraId="038A13B7" w14:textId="77777777" w:rsidR="004023E5" w:rsidRDefault="004023E5" w:rsidP="001A5D4A">
            <w:pPr>
              <w:pStyle w:val="NotesTable-CellBold"/>
            </w:pPr>
            <w:r>
              <w:t>–</w:t>
            </w:r>
          </w:p>
        </w:tc>
        <w:tc>
          <w:tcPr>
            <w:tcW w:w="405" w:type="pct"/>
            <w:shd w:val="clear" w:color="auto" w:fill="CCCCCC"/>
          </w:tcPr>
          <w:p w14:paraId="038A13B8" w14:textId="77777777" w:rsidR="004023E5" w:rsidRDefault="004023E5" w:rsidP="001A5D4A">
            <w:pPr>
              <w:pStyle w:val="NotesTable-CellPlain"/>
            </w:pPr>
            <w:r>
              <w:t>–</w:t>
            </w:r>
          </w:p>
        </w:tc>
      </w:tr>
      <w:tr w:rsidR="004023E5" w14:paraId="038A13C1" w14:textId="77777777" w:rsidTr="0000701C">
        <w:trPr>
          <w:trHeight w:hRule="exact" w:val="227"/>
        </w:trPr>
        <w:tc>
          <w:tcPr>
            <w:tcW w:w="810" w:type="pct"/>
          </w:tcPr>
          <w:p w14:paraId="038A13BA" w14:textId="77777777" w:rsidR="004023E5" w:rsidRDefault="004023E5" w:rsidP="001A5D4A">
            <w:pPr>
              <w:pStyle w:val="Note-Refs"/>
            </w:pPr>
          </w:p>
        </w:tc>
        <w:tc>
          <w:tcPr>
            <w:tcW w:w="2297" w:type="pct"/>
            <w:shd w:val="clear" w:color="auto" w:fill="CCCCCC"/>
            <w:vAlign w:val="bottom"/>
          </w:tcPr>
          <w:p w14:paraId="038A13BB" w14:textId="77777777" w:rsidR="004023E5" w:rsidRDefault="004023E5" w:rsidP="001A5D4A">
            <w:pPr>
              <w:pStyle w:val="NotesTable-ItemPlain"/>
              <w:rPr>
                <w:b/>
              </w:rPr>
            </w:pPr>
            <w:r>
              <w:t>ARC grants – Linkages</w:t>
            </w:r>
          </w:p>
        </w:tc>
        <w:tc>
          <w:tcPr>
            <w:tcW w:w="270" w:type="pct"/>
            <w:shd w:val="clear" w:color="auto" w:fill="CCCCCC"/>
          </w:tcPr>
          <w:p w14:paraId="038A13BC" w14:textId="622433D3" w:rsidR="004023E5" w:rsidRPr="000263BD" w:rsidRDefault="000263BD" w:rsidP="001A5D4A">
            <w:pPr>
              <w:pStyle w:val="NotesTable-Notes"/>
            </w:pPr>
            <w:r w:rsidRPr="000263BD">
              <w:t>5</w:t>
            </w:r>
            <w:r w:rsidR="00713AFB">
              <w:t>3</w:t>
            </w:r>
            <w:r w:rsidRPr="000263BD">
              <w:t>g</w:t>
            </w:r>
          </w:p>
        </w:tc>
        <w:tc>
          <w:tcPr>
            <w:tcW w:w="406" w:type="pct"/>
            <w:shd w:val="clear" w:color="auto" w:fill="CCCCCC"/>
          </w:tcPr>
          <w:p w14:paraId="038A13BD" w14:textId="77777777" w:rsidR="004023E5" w:rsidRDefault="004023E5" w:rsidP="001A5D4A">
            <w:pPr>
              <w:pStyle w:val="NotesTable-CellBold"/>
            </w:pPr>
            <w:r>
              <w:t>–</w:t>
            </w:r>
          </w:p>
        </w:tc>
        <w:tc>
          <w:tcPr>
            <w:tcW w:w="406" w:type="pct"/>
            <w:shd w:val="clear" w:color="auto" w:fill="CCCCCC"/>
          </w:tcPr>
          <w:p w14:paraId="038A13BE" w14:textId="77777777" w:rsidR="004023E5" w:rsidRDefault="004023E5" w:rsidP="001A5D4A">
            <w:pPr>
              <w:pStyle w:val="NotesTable-CellPlain"/>
            </w:pPr>
            <w:r>
              <w:t>–</w:t>
            </w:r>
          </w:p>
        </w:tc>
        <w:tc>
          <w:tcPr>
            <w:tcW w:w="406" w:type="pct"/>
            <w:shd w:val="clear" w:color="auto" w:fill="CCCCCC"/>
          </w:tcPr>
          <w:p w14:paraId="038A13BF" w14:textId="77777777" w:rsidR="004023E5" w:rsidRDefault="004023E5" w:rsidP="001A5D4A">
            <w:pPr>
              <w:pStyle w:val="NotesTable-CellBold"/>
            </w:pPr>
            <w:r>
              <w:t>–</w:t>
            </w:r>
          </w:p>
        </w:tc>
        <w:tc>
          <w:tcPr>
            <w:tcW w:w="405" w:type="pct"/>
            <w:shd w:val="clear" w:color="auto" w:fill="CCCCCC"/>
          </w:tcPr>
          <w:p w14:paraId="038A13C0" w14:textId="77777777" w:rsidR="004023E5" w:rsidRDefault="004023E5" w:rsidP="001A5D4A">
            <w:pPr>
              <w:pStyle w:val="NotesTable-CellPlain"/>
            </w:pPr>
            <w:r>
              <w:t>–</w:t>
            </w:r>
          </w:p>
        </w:tc>
      </w:tr>
      <w:tr w:rsidR="004023E5" w14:paraId="038A13C9" w14:textId="77777777" w:rsidTr="0000701C">
        <w:trPr>
          <w:trHeight w:hRule="exact" w:val="227"/>
        </w:trPr>
        <w:tc>
          <w:tcPr>
            <w:tcW w:w="810" w:type="pct"/>
          </w:tcPr>
          <w:p w14:paraId="038A13C2" w14:textId="77777777" w:rsidR="004023E5" w:rsidRDefault="004023E5" w:rsidP="001A5D4A">
            <w:pPr>
              <w:pStyle w:val="Note-Refs"/>
            </w:pPr>
          </w:p>
        </w:tc>
        <w:tc>
          <w:tcPr>
            <w:tcW w:w="2297" w:type="pct"/>
            <w:shd w:val="clear" w:color="auto" w:fill="CCCCCC"/>
            <w:vAlign w:val="bottom"/>
          </w:tcPr>
          <w:p w14:paraId="038A13C3" w14:textId="77777777" w:rsidR="004023E5" w:rsidRDefault="004023E5" w:rsidP="001A5D4A">
            <w:pPr>
              <w:pStyle w:val="NotesTable-ItemPlain"/>
              <w:rPr>
                <w:b/>
              </w:rPr>
            </w:pPr>
            <w:r>
              <w:t>ARC grants – Networks and Centres</w:t>
            </w:r>
          </w:p>
        </w:tc>
        <w:tc>
          <w:tcPr>
            <w:tcW w:w="270" w:type="pct"/>
            <w:shd w:val="clear" w:color="auto" w:fill="CCCCCC"/>
          </w:tcPr>
          <w:p w14:paraId="038A13C4" w14:textId="21E50437" w:rsidR="004023E5" w:rsidRPr="000263BD" w:rsidRDefault="000263BD" w:rsidP="001A5D4A">
            <w:pPr>
              <w:pStyle w:val="NotesTable-Notes"/>
            </w:pPr>
            <w:r w:rsidRPr="000263BD">
              <w:t>5</w:t>
            </w:r>
            <w:r w:rsidR="00713AFB">
              <w:t>3</w:t>
            </w:r>
            <w:r w:rsidRPr="000263BD">
              <w:t>g</w:t>
            </w:r>
          </w:p>
        </w:tc>
        <w:tc>
          <w:tcPr>
            <w:tcW w:w="406" w:type="pct"/>
            <w:shd w:val="clear" w:color="auto" w:fill="CCCCCC"/>
          </w:tcPr>
          <w:p w14:paraId="038A13C5" w14:textId="77777777" w:rsidR="004023E5" w:rsidRDefault="004023E5" w:rsidP="001A5D4A">
            <w:pPr>
              <w:pStyle w:val="NotesTable-CellBold"/>
            </w:pPr>
            <w:r>
              <w:t>–</w:t>
            </w:r>
          </w:p>
        </w:tc>
        <w:tc>
          <w:tcPr>
            <w:tcW w:w="406" w:type="pct"/>
            <w:shd w:val="clear" w:color="auto" w:fill="CCCCCC"/>
          </w:tcPr>
          <w:p w14:paraId="038A13C6" w14:textId="77777777" w:rsidR="004023E5" w:rsidRDefault="004023E5" w:rsidP="001A5D4A">
            <w:pPr>
              <w:pStyle w:val="NotesTable-CellPlain"/>
            </w:pPr>
            <w:r>
              <w:t>–</w:t>
            </w:r>
          </w:p>
        </w:tc>
        <w:tc>
          <w:tcPr>
            <w:tcW w:w="406" w:type="pct"/>
            <w:shd w:val="clear" w:color="auto" w:fill="CCCCCC"/>
          </w:tcPr>
          <w:p w14:paraId="038A13C7" w14:textId="77777777" w:rsidR="004023E5" w:rsidRDefault="004023E5" w:rsidP="001A5D4A">
            <w:pPr>
              <w:pStyle w:val="NotesTable-CellBold"/>
            </w:pPr>
            <w:r>
              <w:t>–</w:t>
            </w:r>
          </w:p>
        </w:tc>
        <w:tc>
          <w:tcPr>
            <w:tcW w:w="405" w:type="pct"/>
            <w:shd w:val="clear" w:color="auto" w:fill="CCCCCC"/>
          </w:tcPr>
          <w:p w14:paraId="038A13C8" w14:textId="77777777" w:rsidR="004023E5" w:rsidRDefault="004023E5" w:rsidP="001A5D4A">
            <w:pPr>
              <w:pStyle w:val="NotesTable-CellPlain"/>
            </w:pPr>
            <w:r>
              <w:t>–</w:t>
            </w:r>
          </w:p>
        </w:tc>
      </w:tr>
      <w:tr w:rsidR="004023E5" w14:paraId="038A13D1" w14:textId="77777777" w:rsidTr="0000701C">
        <w:trPr>
          <w:trHeight w:hRule="exact" w:val="227"/>
        </w:trPr>
        <w:tc>
          <w:tcPr>
            <w:tcW w:w="810" w:type="pct"/>
          </w:tcPr>
          <w:p w14:paraId="038A13CA" w14:textId="77777777" w:rsidR="004023E5" w:rsidRDefault="004023E5" w:rsidP="001A5D4A">
            <w:pPr>
              <w:pStyle w:val="Note-Refs"/>
            </w:pPr>
          </w:p>
        </w:tc>
        <w:tc>
          <w:tcPr>
            <w:tcW w:w="2297" w:type="pct"/>
            <w:shd w:val="clear" w:color="auto" w:fill="CCCCCC"/>
            <w:vAlign w:val="bottom"/>
          </w:tcPr>
          <w:p w14:paraId="038A13CB" w14:textId="77777777" w:rsidR="004023E5" w:rsidRDefault="004023E5" w:rsidP="001A5D4A">
            <w:pPr>
              <w:pStyle w:val="NotesTable-ItemPlain"/>
              <w:rPr>
                <w:b/>
              </w:rPr>
            </w:pPr>
            <w:r>
              <w:t>Other Australian Government Grants</w:t>
            </w:r>
          </w:p>
        </w:tc>
        <w:tc>
          <w:tcPr>
            <w:tcW w:w="270" w:type="pct"/>
            <w:shd w:val="clear" w:color="auto" w:fill="CCCCCC"/>
          </w:tcPr>
          <w:p w14:paraId="038A13CC" w14:textId="77777777" w:rsidR="004023E5" w:rsidRPr="000263BD" w:rsidRDefault="004023E5" w:rsidP="001A5D4A">
            <w:pPr>
              <w:pStyle w:val="NotesTable-Notes"/>
              <w:rPr>
                <w:shd w:val="clear" w:color="auto" w:fill="00FFFF"/>
              </w:rPr>
            </w:pPr>
          </w:p>
        </w:tc>
        <w:tc>
          <w:tcPr>
            <w:tcW w:w="406" w:type="pct"/>
            <w:tcBorders>
              <w:bottom w:val="single" w:sz="4" w:space="0" w:color="auto"/>
            </w:tcBorders>
            <w:shd w:val="clear" w:color="auto" w:fill="CCCCCC"/>
          </w:tcPr>
          <w:p w14:paraId="038A13CD" w14:textId="77777777" w:rsidR="004023E5" w:rsidRDefault="004023E5" w:rsidP="001A5D4A">
            <w:pPr>
              <w:pStyle w:val="NotesTable-CellBold"/>
            </w:pPr>
            <w:r>
              <w:t>–</w:t>
            </w:r>
          </w:p>
        </w:tc>
        <w:tc>
          <w:tcPr>
            <w:tcW w:w="406" w:type="pct"/>
            <w:tcBorders>
              <w:bottom w:val="single" w:sz="4" w:space="0" w:color="auto"/>
            </w:tcBorders>
            <w:shd w:val="clear" w:color="auto" w:fill="CCCCCC"/>
          </w:tcPr>
          <w:p w14:paraId="038A13CE" w14:textId="77777777" w:rsidR="004023E5" w:rsidRDefault="004023E5" w:rsidP="001A5D4A">
            <w:pPr>
              <w:pStyle w:val="NotesTable-CellPlain"/>
            </w:pPr>
            <w:r>
              <w:t>–</w:t>
            </w:r>
          </w:p>
        </w:tc>
        <w:tc>
          <w:tcPr>
            <w:tcW w:w="406" w:type="pct"/>
            <w:tcBorders>
              <w:bottom w:val="single" w:sz="4" w:space="0" w:color="auto"/>
            </w:tcBorders>
            <w:shd w:val="clear" w:color="auto" w:fill="CCCCCC"/>
          </w:tcPr>
          <w:p w14:paraId="038A13CF" w14:textId="77777777" w:rsidR="004023E5" w:rsidRDefault="004023E5" w:rsidP="001A5D4A">
            <w:pPr>
              <w:pStyle w:val="NotesTable-CellBold"/>
            </w:pPr>
            <w:r>
              <w:t>–</w:t>
            </w:r>
          </w:p>
        </w:tc>
        <w:tc>
          <w:tcPr>
            <w:tcW w:w="405" w:type="pct"/>
            <w:tcBorders>
              <w:bottom w:val="single" w:sz="4" w:space="0" w:color="auto"/>
            </w:tcBorders>
            <w:shd w:val="clear" w:color="auto" w:fill="CCCCCC"/>
          </w:tcPr>
          <w:p w14:paraId="038A13D0" w14:textId="77777777" w:rsidR="004023E5" w:rsidRDefault="004023E5" w:rsidP="001A5D4A">
            <w:pPr>
              <w:pStyle w:val="NotesTable-CellPlain"/>
            </w:pPr>
            <w:r>
              <w:t>–</w:t>
            </w:r>
          </w:p>
        </w:tc>
      </w:tr>
      <w:tr w:rsidR="004023E5" w14:paraId="038A13D9" w14:textId="77777777" w:rsidTr="0000701C">
        <w:trPr>
          <w:trHeight w:hRule="exact" w:val="454"/>
        </w:trPr>
        <w:tc>
          <w:tcPr>
            <w:tcW w:w="810" w:type="pct"/>
          </w:tcPr>
          <w:p w14:paraId="038A13D2" w14:textId="77777777" w:rsidR="004023E5" w:rsidRDefault="004023E5" w:rsidP="001A5D4A">
            <w:pPr>
              <w:pStyle w:val="Note-Refs"/>
            </w:pPr>
          </w:p>
        </w:tc>
        <w:tc>
          <w:tcPr>
            <w:tcW w:w="2297" w:type="pct"/>
            <w:shd w:val="clear" w:color="auto" w:fill="CCCCCC"/>
            <w:vAlign w:val="bottom"/>
          </w:tcPr>
          <w:p w14:paraId="038A13D3" w14:textId="77777777" w:rsidR="004023E5" w:rsidRDefault="004023E5" w:rsidP="001A5D4A">
            <w:pPr>
              <w:pStyle w:val="NotesTable-ItemPlain"/>
              <w:rPr>
                <w:b/>
              </w:rPr>
            </w:pPr>
            <w:r>
              <w:t>Total Australian Government Grants received – cash basis</w:t>
            </w:r>
          </w:p>
        </w:tc>
        <w:tc>
          <w:tcPr>
            <w:tcW w:w="270" w:type="pct"/>
            <w:shd w:val="clear" w:color="auto" w:fill="CCCCCC"/>
          </w:tcPr>
          <w:p w14:paraId="038A13D4" w14:textId="77777777" w:rsidR="004023E5" w:rsidRDefault="004023E5" w:rsidP="001A5D4A">
            <w:pPr>
              <w:pStyle w:val="NotesTable-Notes"/>
              <w:rPr>
                <w:shd w:val="clear" w:color="auto" w:fill="00FFFF"/>
              </w:rPr>
            </w:pPr>
          </w:p>
        </w:tc>
        <w:tc>
          <w:tcPr>
            <w:tcW w:w="406" w:type="pct"/>
            <w:tcBorders>
              <w:top w:val="single" w:sz="4" w:space="0" w:color="auto"/>
              <w:bottom w:val="single" w:sz="4" w:space="0" w:color="auto"/>
            </w:tcBorders>
            <w:shd w:val="clear" w:color="auto" w:fill="CCCCCC"/>
          </w:tcPr>
          <w:p w14:paraId="038A13D5" w14:textId="77777777" w:rsidR="004023E5" w:rsidRDefault="004023E5" w:rsidP="001A5D4A">
            <w:pPr>
              <w:pStyle w:val="NotesTable-CellBold"/>
            </w:pPr>
            <w:r>
              <w:t>–</w:t>
            </w:r>
          </w:p>
        </w:tc>
        <w:tc>
          <w:tcPr>
            <w:tcW w:w="406" w:type="pct"/>
            <w:tcBorders>
              <w:top w:val="single" w:sz="4" w:space="0" w:color="auto"/>
              <w:bottom w:val="single" w:sz="4" w:space="0" w:color="auto"/>
            </w:tcBorders>
            <w:shd w:val="clear" w:color="auto" w:fill="CCCCCC"/>
          </w:tcPr>
          <w:p w14:paraId="038A13D6" w14:textId="77777777" w:rsidR="004023E5" w:rsidRDefault="004023E5" w:rsidP="001A5D4A">
            <w:pPr>
              <w:pStyle w:val="NotesTable-CellPlain"/>
            </w:pPr>
            <w:r>
              <w:t>–</w:t>
            </w:r>
          </w:p>
        </w:tc>
        <w:tc>
          <w:tcPr>
            <w:tcW w:w="406" w:type="pct"/>
            <w:tcBorders>
              <w:top w:val="single" w:sz="4" w:space="0" w:color="auto"/>
              <w:bottom w:val="single" w:sz="4" w:space="0" w:color="auto"/>
            </w:tcBorders>
            <w:shd w:val="clear" w:color="auto" w:fill="CCCCCC"/>
          </w:tcPr>
          <w:p w14:paraId="038A13D7" w14:textId="77777777" w:rsidR="004023E5" w:rsidRDefault="004023E5" w:rsidP="001A5D4A">
            <w:pPr>
              <w:pStyle w:val="NotesTable-CellBold"/>
            </w:pPr>
            <w:r>
              <w:t>–</w:t>
            </w:r>
          </w:p>
        </w:tc>
        <w:tc>
          <w:tcPr>
            <w:tcW w:w="405" w:type="pct"/>
            <w:tcBorders>
              <w:top w:val="single" w:sz="4" w:space="0" w:color="auto"/>
              <w:bottom w:val="single" w:sz="4" w:space="0" w:color="auto"/>
            </w:tcBorders>
            <w:shd w:val="clear" w:color="auto" w:fill="CCCCCC"/>
          </w:tcPr>
          <w:p w14:paraId="038A13D8" w14:textId="77777777" w:rsidR="004023E5" w:rsidRDefault="004023E5" w:rsidP="001A5D4A">
            <w:pPr>
              <w:pStyle w:val="NotesTable-CellPlain"/>
            </w:pPr>
            <w:r>
              <w:t>–</w:t>
            </w:r>
          </w:p>
        </w:tc>
      </w:tr>
      <w:tr w:rsidR="004023E5" w14:paraId="038A13E1" w14:textId="77777777" w:rsidTr="0000701C">
        <w:trPr>
          <w:trHeight w:hRule="exact" w:val="227"/>
        </w:trPr>
        <w:tc>
          <w:tcPr>
            <w:tcW w:w="810" w:type="pct"/>
          </w:tcPr>
          <w:p w14:paraId="038A13DA" w14:textId="77777777" w:rsidR="004023E5" w:rsidRDefault="004023E5" w:rsidP="001A5D4A">
            <w:pPr>
              <w:pStyle w:val="Note-Refs"/>
            </w:pPr>
          </w:p>
        </w:tc>
        <w:tc>
          <w:tcPr>
            <w:tcW w:w="2297" w:type="pct"/>
            <w:shd w:val="clear" w:color="auto" w:fill="CCCCCC"/>
            <w:vAlign w:val="bottom"/>
          </w:tcPr>
          <w:p w14:paraId="038A13DB" w14:textId="77777777" w:rsidR="004023E5" w:rsidRDefault="004023E5" w:rsidP="001A5D4A">
            <w:pPr>
              <w:pStyle w:val="NotesTable-ItemPlain"/>
              <w:rPr>
                <w:b/>
              </w:rPr>
            </w:pPr>
            <w:r>
              <w:t>OS-HELP (Net)</w:t>
            </w:r>
          </w:p>
        </w:tc>
        <w:tc>
          <w:tcPr>
            <w:tcW w:w="270" w:type="pct"/>
            <w:shd w:val="clear" w:color="auto" w:fill="CCCCCC"/>
          </w:tcPr>
          <w:p w14:paraId="038A13DC" w14:textId="69DF6E4C" w:rsidR="004023E5" w:rsidRDefault="004023E5" w:rsidP="001A5D4A">
            <w:pPr>
              <w:pStyle w:val="NotesTable-Notes"/>
              <w:rPr>
                <w:b/>
                <w:shd w:val="clear" w:color="auto" w:fill="00FFFF"/>
              </w:rPr>
            </w:pPr>
            <w:r>
              <w:t>5</w:t>
            </w:r>
            <w:r w:rsidR="00713AFB">
              <w:t>3</w:t>
            </w:r>
            <w:r w:rsidR="00BE2035">
              <w:t>h</w:t>
            </w:r>
          </w:p>
        </w:tc>
        <w:tc>
          <w:tcPr>
            <w:tcW w:w="406" w:type="pct"/>
            <w:tcBorders>
              <w:top w:val="single" w:sz="4" w:space="0" w:color="auto"/>
            </w:tcBorders>
            <w:shd w:val="clear" w:color="auto" w:fill="CCCCCC"/>
          </w:tcPr>
          <w:p w14:paraId="038A13DD" w14:textId="77777777" w:rsidR="004023E5" w:rsidRDefault="004023E5" w:rsidP="001A5D4A">
            <w:pPr>
              <w:pStyle w:val="NotesTable-CellBold"/>
            </w:pPr>
            <w:r>
              <w:t>–</w:t>
            </w:r>
          </w:p>
        </w:tc>
        <w:tc>
          <w:tcPr>
            <w:tcW w:w="406" w:type="pct"/>
            <w:tcBorders>
              <w:top w:val="single" w:sz="4" w:space="0" w:color="auto"/>
            </w:tcBorders>
            <w:shd w:val="clear" w:color="auto" w:fill="CCCCCC"/>
          </w:tcPr>
          <w:p w14:paraId="038A13DE" w14:textId="77777777" w:rsidR="004023E5" w:rsidRDefault="004023E5" w:rsidP="001A5D4A">
            <w:pPr>
              <w:pStyle w:val="NotesTable-CellPlain"/>
            </w:pPr>
            <w:r>
              <w:t>–</w:t>
            </w:r>
          </w:p>
        </w:tc>
        <w:tc>
          <w:tcPr>
            <w:tcW w:w="406" w:type="pct"/>
            <w:tcBorders>
              <w:top w:val="single" w:sz="4" w:space="0" w:color="auto"/>
            </w:tcBorders>
            <w:shd w:val="clear" w:color="auto" w:fill="CCCCCC"/>
          </w:tcPr>
          <w:p w14:paraId="038A13DF" w14:textId="77777777" w:rsidR="004023E5" w:rsidRDefault="004023E5" w:rsidP="001A5D4A">
            <w:pPr>
              <w:pStyle w:val="NotesTable-CellBold"/>
            </w:pPr>
            <w:r>
              <w:t>–</w:t>
            </w:r>
          </w:p>
        </w:tc>
        <w:tc>
          <w:tcPr>
            <w:tcW w:w="405" w:type="pct"/>
            <w:tcBorders>
              <w:top w:val="single" w:sz="4" w:space="0" w:color="auto"/>
            </w:tcBorders>
            <w:shd w:val="clear" w:color="auto" w:fill="CCCCCC"/>
          </w:tcPr>
          <w:p w14:paraId="038A13E0" w14:textId="77777777" w:rsidR="004023E5" w:rsidRDefault="004023E5" w:rsidP="001A5D4A">
            <w:pPr>
              <w:pStyle w:val="NotesTable-CellPlain"/>
            </w:pPr>
            <w:r>
              <w:t>–</w:t>
            </w:r>
          </w:p>
        </w:tc>
      </w:tr>
      <w:tr w:rsidR="004023E5" w14:paraId="038A13E9" w14:textId="77777777" w:rsidTr="0000701C">
        <w:trPr>
          <w:trHeight w:hRule="exact" w:val="227"/>
        </w:trPr>
        <w:tc>
          <w:tcPr>
            <w:tcW w:w="810" w:type="pct"/>
          </w:tcPr>
          <w:p w14:paraId="038A13E2" w14:textId="77777777" w:rsidR="004023E5" w:rsidRDefault="004023E5" w:rsidP="001A5D4A">
            <w:pPr>
              <w:pStyle w:val="Note-Refs"/>
            </w:pPr>
          </w:p>
        </w:tc>
        <w:tc>
          <w:tcPr>
            <w:tcW w:w="2297" w:type="pct"/>
            <w:shd w:val="clear" w:color="auto" w:fill="CCCCCC"/>
            <w:vAlign w:val="bottom"/>
          </w:tcPr>
          <w:p w14:paraId="038A13E3" w14:textId="77777777" w:rsidR="004023E5" w:rsidRPr="00E71125" w:rsidRDefault="004023E5" w:rsidP="001A5D4A">
            <w:pPr>
              <w:pStyle w:val="NotesTable-ItemPlain"/>
              <w:rPr>
                <w:b/>
              </w:rPr>
            </w:pPr>
            <w:r w:rsidRPr="00E71125">
              <w:t>Superannuation Supplementation</w:t>
            </w:r>
          </w:p>
        </w:tc>
        <w:tc>
          <w:tcPr>
            <w:tcW w:w="270" w:type="pct"/>
            <w:shd w:val="clear" w:color="auto" w:fill="CCCCCC"/>
          </w:tcPr>
          <w:p w14:paraId="038A13E4" w14:textId="3B973BEA" w:rsidR="004023E5" w:rsidRDefault="004023E5" w:rsidP="001A5D4A">
            <w:pPr>
              <w:pStyle w:val="NotesTable-Notes"/>
              <w:rPr>
                <w:b/>
                <w:shd w:val="clear" w:color="auto" w:fill="00FFFF"/>
              </w:rPr>
            </w:pPr>
            <w:r>
              <w:t>5</w:t>
            </w:r>
            <w:r w:rsidR="00713AFB">
              <w:t>3</w:t>
            </w:r>
            <w:r w:rsidR="00BE2035">
              <w:t>i</w:t>
            </w:r>
          </w:p>
        </w:tc>
        <w:tc>
          <w:tcPr>
            <w:tcW w:w="406" w:type="pct"/>
            <w:tcBorders>
              <w:bottom w:val="single" w:sz="4" w:space="0" w:color="auto"/>
            </w:tcBorders>
            <w:shd w:val="clear" w:color="auto" w:fill="CCCCCC"/>
          </w:tcPr>
          <w:p w14:paraId="038A13E5" w14:textId="77777777" w:rsidR="004023E5" w:rsidRDefault="004023E5" w:rsidP="001A5D4A">
            <w:pPr>
              <w:pStyle w:val="NotesTable-CellBold"/>
            </w:pPr>
            <w:r>
              <w:t>–</w:t>
            </w:r>
          </w:p>
        </w:tc>
        <w:tc>
          <w:tcPr>
            <w:tcW w:w="406" w:type="pct"/>
            <w:tcBorders>
              <w:bottom w:val="single" w:sz="4" w:space="0" w:color="auto"/>
            </w:tcBorders>
            <w:shd w:val="clear" w:color="auto" w:fill="CCCCCC"/>
          </w:tcPr>
          <w:p w14:paraId="038A13E6" w14:textId="77777777" w:rsidR="004023E5" w:rsidRDefault="004023E5" w:rsidP="001A5D4A">
            <w:pPr>
              <w:pStyle w:val="NotesTable-CellPlain"/>
            </w:pPr>
            <w:r>
              <w:t>–</w:t>
            </w:r>
          </w:p>
        </w:tc>
        <w:tc>
          <w:tcPr>
            <w:tcW w:w="406" w:type="pct"/>
            <w:tcBorders>
              <w:bottom w:val="single" w:sz="4" w:space="0" w:color="auto"/>
            </w:tcBorders>
            <w:shd w:val="clear" w:color="auto" w:fill="CCCCCC"/>
          </w:tcPr>
          <w:p w14:paraId="038A13E7" w14:textId="77777777" w:rsidR="004023E5" w:rsidRDefault="004023E5" w:rsidP="001A5D4A">
            <w:pPr>
              <w:pStyle w:val="NotesTable-CellBold"/>
            </w:pPr>
            <w:r>
              <w:t>–</w:t>
            </w:r>
          </w:p>
        </w:tc>
        <w:tc>
          <w:tcPr>
            <w:tcW w:w="405" w:type="pct"/>
            <w:tcBorders>
              <w:bottom w:val="single" w:sz="4" w:space="0" w:color="auto"/>
            </w:tcBorders>
            <w:shd w:val="clear" w:color="auto" w:fill="CCCCCC"/>
          </w:tcPr>
          <w:p w14:paraId="038A13E8" w14:textId="77777777" w:rsidR="004023E5" w:rsidRDefault="004023E5" w:rsidP="001A5D4A">
            <w:pPr>
              <w:pStyle w:val="NotesTable-CellPlain"/>
            </w:pPr>
            <w:r>
              <w:t>–</w:t>
            </w:r>
          </w:p>
        </w:tc>
      </w:tr>
      <w:tr w:rsidR="004023E5" w14:paraId="038A13F1" w14:textId="77777777" w:rsidTr="0000701C">
        <w:trPr>
          <w:trHeight w:hRule="exact" w:val="454"/>
        </w:trPr>
        <w:tc>
          <w:tcPr>
            <w:tcW w:w="810" w:type="pct"/>
          </w:tcPr>
          <w:p w14:paraId="038A13EA" w14:textId="77777777" w:rsidR="004023E5" w:rsidRDefault="004023E5" w:rsidP="001A5D4A">
            <w:pPr>
              <w:pStyle w:val="Note-Refs"/>
            </w:pPr>
          </w:p>
        </w:tc>
        <w:tc>
          <w:tcPr>
            <w:tcW w:w="2297" w:type="pct"/>
            <w:shd w:val="clear" w:color="auto" w:fill="CCCCCC"/>
            <w:vAlign w:val="bottom"/>
          </w:tcPr>
          <w:p w14:paraId="038A13EB" w14:textId="77777777" w:rsidR="004023E5" w:rsidRDefault="004023E5" w:rsidP="001A5D4A">
            <w:pPr>
              <w:pStyle w:val="NotesTable-ItemPlain"/>
              <w:rPr>
                <w:b/>
              </w:rPr>
            </w:pPr>
            <w:r>
              <w:t>Total Australian Government funding received – cash basis</w:t>
            </w:r>
          </w:p>
        </w:tc>
        <w:tc>
          <w:tcPr>
            <w:tcW w:w="270" w:type="pct"/>
            <w:shd w:val="clear" w:color="auto" w:fill="CCCCCC"/>
          </w:tcPr>
          <w:p w14:paraId="038A13EC" w14:textId="77777777" w:rsidR="004023E5" w:rsidRDefault="004023E5" w:rsidP="001A5D4A">
            <w:pPr>
              <w:pStyle w:val="NotesTable-Notes"/>
              <w:rPr>
                <w:shd w:val="clear" w:color="auto" w:fill="00FFFF"/>
              </w:rPr>
            </w:pPr>
          </w:p>
        </w:tc>
        <w:tc>
          <w:tcPr>
            <w:tcW w:w="406" w:type="pct"/>
            <w:tcBorders>
              <w:top w:val="single" w:sz="4" w:space="0" w:color="auto"/>
            </w:tcBorders>
            <w:shd w:val="clear" w:color="auto" w:fill="CCCCCC"/>
          </w:tcPr>
          <w:p w14:paraId="038A13ED" w14:textId="77777777" w:rsidR="004023E5" w:rsidRDefault="004023E5" w:rsidP="001A5D4A">
            <w:pPr>
              <w:pStyle w:val="NotesTable-CellBold"/>
            </w:pPr>
            <w:r>
              <w:t>–</w:t>
            </w:r>
          </w:p>
        </w:tc>
        <w:tc>
          <w:tcPr>
            <w:tcW w:w="406" w:type="pct"/>
            <w:tcBorders>
              <w:top w:val="single" w:sz="4" w:space="0" w:color="auto"/>
            </w:tcBorders>
            <w:shd w:val="clear" w:color="auto" w:fill="CCCCCC"/>
          </w:tcPr>
          <w:p w14:paraId="038A13EE" w14:textId="77777777" w:rsidR="004023E5" w:rsidRDefault="004023E5" w:rsidP="001A5D4A">
            <w:pPr>
              <w:pStyle w:val="NotesTable-CellPlain"/>
            </w:pPr>
            <w:r>
              <w:t>–</w:t>
            </w:r>
          </w:p>
        </w:tc>
        <w:tc>
          <w:tcPr>
            <w:tcW w:w="406" w:type="pct"/>
            <w:tcBorders>
              <w:top w:val="single" w:sz="4" w:space="0" w:color="auto"/>
            </w:tcBorders>
            <w:shd w:val="clear" w:color="auto" w:fill="CCCCCC"/>
          </w:tcPr>
          <w:p w14:paraId="038A13EF" w14:textId="77777777" w:rsidR="004023E5" w:rsidRDefault="004023E5" w:rsidP="001A5D4A">
            <w:pPr>
              <w:pStyle w:val="NotesTable-CellBold"/>
            </w:pPr>
            <w:r>
              <w:t>–</w:t>
            </w:r>
          </w:p>
        </w:tc>
        <w:tc>
          <w:tcPr>
            <w:tcW w:w="405" w:type="pct"/>
            <w:tcBorders>
              <w:top w:val="single" w:sz="4" w:space="0" w:color="auto"/>
            </w:tcBorders>
            <w:shd w:val="clear" w:color="auto" w:fill="CCCCCC"/>
          </w:tcPr>
          <w:p w14:paraId="038A13F0" w14:textId="77777777" w:rsidR="004023E5" w:rsidRDefault="004023E5" w:rsidP="001A5D4A">
            <w:pPr>
              <w:pStyle w:val="NotesTable-CellPlain"/>
            </w:pPr>
            <w:r>
              <w:t>–</w:t>
            </w:r>
          </w:p>
        </w:tc>
      </w:tr>
      <w:tr w:rsidR="004023E5" w14:paraId="038A13F4" w14:textId="77777777" w:rsidTr="00E52AAD">
        <w:trPr>
          <w:trHeight w:hRule="exact" w:val="227"/>
        </w:trPr>
        <w:tc>
          <w:tcPr>
            <w:tcW w:w="810" w:type="pct"/>
          </w:tcPr>
          <w:p w14:paraId="038A13F2" w14:textId="77777777" w:rsidR="004023E5" w:rsidRDefault="004023E5" w:rsidP="001A5D4A">
            <w:pPr>
              <w:pStyle w:val="Note-Refs"/>
            </w:pPr>
          </w:p>
        </w:tc>
        <w:tc>
          <w:tcPr>
            <w:tcW w:w="4190" w:type="pct"/>
            <w:gridSpan w:val="6"/>
            <w:shd w:val="clear" w:color="auto" w:fill="CDCDCD"/>
            <w:vAlign w:val="bottom"/>
          </w:tcPr>
          <w:p w14:paraId="038A13F3" w14:textId="77777777" w:rsidR="004023E5" w:rsidRDefault="004023E5" w:rsidP="001A5D4A">
            <w:pPr>
              <w:pStyle w:val="NotesTable-ItemPlain"/>
            </w:pPr>
          </w:p>
        </w:tc>
      </w:tr>
    </w:tbl>
    <w:p w14:paraId="038A13F5" w14:textId="77777777" w:rsidR="00023312" w:rsidRPr="006B68EB" w:rsidRDefault="00CE3989" w:rsidP="001A5D4A">
      <w:r w:rsidRPr="006B68EB">
        <w:br w:type="page"/>
      </w:r>
    </w:p>
    <w:p w14:paraId="1273A682" w14:textId="4E75DF11" w:rsidR="00FD4624" w:rsidRPr="00FD4624" w:rsidRDefault="00FD4624" w:rsidP="001A5D4A">
      <w:pPr>
        <w:pStyle w:val="Heading3"/>
        <w:rPr>
          <w:color w:val="2D3E7B" w:themeColor="text2" w:themeShade="BF"/>
        </w:rPr>
      </w:pPr>
      <w:bookmarkStart w:id="257" w:name="_Toc410807607"/>
      <w:bookmarkStart w:id="258" w:name="_Toc410822659"/>
      <w:r w:rsidRPr="00FD4624">
        <w:rPr>
          <w:color w:val="2D3E7B" w:themeColor="text2" w:themeShade="BF"/>
        </w:rPr>
        <w:lastRenderedPageBreak/>
        <w:t>Commentary – Australian Government financial assistance</w:t>
      </w:r>
      <w:r w:rsidR="00B97683">
        <w:rPr>
          <w:color w:val="2D3E7B" w:themeColor="text2" w:themeShade="BF"/>
        </w:rPr>
        <w:br/>
      </w:r>
      <w:r w:rsidRPr="00FD4624">
        <w:rPr>
          <w:color w:val="2D3E7B" w:themeColor="text2" w:themeShade="BF"/>
        </w:rPr>
        <w:t>including Australian Government loans programs (HELP)</w:t>
      </w:r>
      <w:bookmarkEnd w:id="257"/>
      <w:bookmarkEnd w:id="258"/>
    </w:p>
    <w:p w14:paraId="2F4B0855" w14:textId="3A118B69" w:rsidR="00FD4624" w:rsidRPr="0000701C" w:rsidRDefault="00FD4624" w:rsidP="009304CF">
      <w:pPr>
        <w:pStyle w:val="Heading6"/>
      </w:pPr>
      <w:r w:rsidRPr="0000701C">
        <w:t>Education</w:t>
      </w:r>
    </w:p>
    <w:p w14:paraId="6C8B8024" w14:textId="77777777" w:rsidR="00FD4624" w:rsidRPr="00FD4624" w:rsidRDefault="00FD4624" w:rsidP="009304CF">
      <w:pPr>
        <w:pStyle w:val="Heading6"/>
      </w:pPr>
      <w:r w:rsidRPr="00FD4624">
        <w:t>Revenues</w:t>
      </w:r>
    </w:p>
    <w:p w14:paraId="5E6ABF57" w14:textId="77777777" w:rsidR="00FD4624" w:rsidRPr="00FD4624" w:rsidRDefault="00FD4624" w:rsidP="001A5D4A">
      <w:pPr>
        <w:rPr>
          <w:color w:val="2D3E7B" w:themeColor="text2" w:themeShade="BF"/>
        </w:rPr>
      </w:pPr>
      <w:r w:rsidRPr="00FD4624">
        <w:rPr>
          <w:color w:val="2D3E7B" w:themeColor="text2" w:themeShade="BF"/>
        </w:rPr>
        <w:t xml:space="preserve">Sub-notes (a) to (h) of note 3 refer to Australian Government Financial Assistance on an accruals basis. They are cross-referenced with row C in the acquittal tables in note 53. Note (i) </w:t>
      </w:r>
      <w:proofErr w:type="gramStart"/>
      <w:r w:rsidRPr="00FD4624">
        <w:rPr>
          <w:color w:val="2D3E7B" w:themeColor="text2" w:themeShade="BF"/>
        </w:rPr>
        <w:t>provides</w:t>
      </w:r>
      <w:proofErr w:type="gramEnd"/>
      <w:r w:rsidRPr="00FD4624">
        <w:rPr>
          <w:color w:val="2D3E7B" w:themeColor="text2" w:themeShade="BF"/>
        </w:rPr>
        <w:t xml:space="preserve"> a breakdown of Australian Government Grants received on a cash basis. It is cross-referenced with the statement of cash flows and row A in the acquittal tables in note 53.</w:t>
      </w:r>
    </w:p>
    <w:p w14:paraId="3B2B0285" w14:textId="77777777" w:rsidR="00FD4624" w:rsidRPr="00FD4624" w:rsidRDefault="00FD4624" w:rsidP="009304CF">
      <w:pPr>
        <w:pStyle w:val="Heading6"/>
      </w:pPr>
      <w:r w:rsidRPr="00FD4624">
        <w:t>Required format</w:t>
      </w:r>
    </w:p>
    <w:p w14:paraId="04A28476" w14:textId="77777777" w:rsidR="00FD4624" w:rsidRPr="00FD4624" w:rsidRDefault="00FD4624" w:rsidP="001A5D4A">
      <w:pPr>
        <w:rPr>
          <w:color w:val="2D3E7B" w:themeColor="text2" w:themeShade="BF"/>
        </w:rPr>
      </w:pPr>
      <w:r w:rsidRPr="00FD4624">
        <w:rPr>
          <w:color w:val="2D3E7B" w:themeColor="text2" w:themeShade="BF"/>
        </w:rPr>
        <w:t>To maintain reporting consistency across the sector and for public accountability, the Department of Education requires Australian Government Financial Assistance to be reported in the format provided above.</w:t>
      </w:r>
    </w:p>
    <w:p w14:paraId="1DEB163C" w14:textId="77777777" w:rsidR="00FD4624" w:rsidRPr="00FD4624" w:rsidRDefault="00FD4624" w:rsidP="009304CF">
      <w:pPr>
        <w:pStyle w:val="Heading6"/>
      </w:pPr>
      <w:r w:rsidRPr="00FD4624">
        <w:t>Other Categories</w:t>
      </w:r>
    </w:p>
    <w:p w14:paraId="22195635" w14:textId="77777777" w:rsidR="00FD4624" w:rsidRPr="00FD4624" w:rsidRDefault="00FD4624" w:rsidP="001A5D4A">
      <w:pPr>
        <w:rPr>
          <w:color w:val="2D3E7B" w:themeColor="text2" w:themeShade="BF"/>
        </w:rPr>
      </w:pPr>
      <w:r w:rsidRPr="00FD4624">
        <w:rPr>
          <w:color w:val="2D3E7B" w:themeColor="text2" w:themeShade="BF"/>
        </w:rPr>
        <w:t xml:space="preserve">Commonwealth Grant Scheme and Other Grants is funding provided under the </w:t>
      </w:r>
      <w:r w:rsidRPr="004914AC">
        <w:rPr>
          <w:i/>
          <w:color w:val="2D3E7B" w:themeColor="text2" w:themeShade="BF"/>
        </w:rPr>
        <w:t xml:space="preserve">Higher Education Support Act 2003 </w:t>
      </w:r>
      <w:r w:rsidRPr="00FD4624">
        <w:rPr>
          <w:color w:val="2D3E7B" w:themeColor="text2" w:themeShade="BF"/>
        </w:rPr>
        <w:t>(HESA) for the CGS and Other Grants programs. The Other Education Grants item should only be used for Department of Education provided funding under the HESA “Other Grants” Program.</w:t>
      </w:r>
    </w:p>
    <w:p w14:paraId="02C9AC35" w14:textId="77777777" w:rsidR="00FD4624" w:rsidRPr="00FD4624" w:rsidRDefault="00FD4624" w:rsidP="001A5D4A">
      <w:pPr>
        <w:rPr>
          <w:color w:val="2D3E7B" w:themeColor="text2" w:themeShade="BF"/>
        </w:rPr>
      </w:pPr>
      <w:r w:rsidRPr="00FD4624">
        <w:rPr>
          <w:color w:val="2D3E7B" w:themeColor="text2" w:themeShade="BF"/>
        </w:rPr>
        <w:t xml:space="preserve">Funding provided by the Department of Education that was not provided under the </w:t>
      </w:r>
      <w:proofErr w:type="spellStart"/>
      <w:r w:rsidRPr="00FD4624">
        <w:rPr>
          <w:color w:val="2D3E7B" w:themeColor="text2" w:themeShade="BF"/>
        </w:rPr>
        <w:t>HESA</w:t>
      </w:r>
      <w:proofErr w:type="spellEnd"/>
      <w:r w:rsidRPr="00FD4624">
        <w:rPr>
          <w:color w:val="2D3E7B" w:themeColor="text2" w:themeShade="BF"/>
        </w:rPr>
        <w:t xml:space="preserve"> (</w:t>
      </w:r>
      <w:proofErr w:type="spellStart"/>
      <w:r w:rsidRPr="00FD4624">
        <w:rPr>
          <w:color w:val="2D3E7B" w:themeColor="text2" w:themeShade="BF"/>
        </w:rPr>
        <w:t>ie</w:t>
      </w:r>
      <w:proofErr w:type="spellEnd"/>
      <w:r w:rsidRPr="00FD4624">
        <w:rPr>
          <w:color w:val="2D3E7B" w:themeColor="text2" w:themeShade="BF"/>
        </w:rPr>
        <w:t>, not included in UniPay), and is not explicitly disclosed, should be included under “Other Australian Government financial assistance” at (h).</w:t>
      </w:r>
    </w:p>
    <w:p w14:paraId="53376DE4" w14:textId="77777777" w:rsidR="00FD4624" w:rsidRPr="00FD4624" w:rsidRDefault="00FD4624" w:rsidP="009304CF">
      <w:pPr>
        <w:pStyle w:val="Heading6"/>
      </w:pPr>
      <w:r w:rsidRPr="00FD4624">
        <w:t>Other Australian Government Capital</w:t>
      </w:r>
    </w:p>
    <w:p w14:paraId="0A3261E9" w14:textId="77777777" w:rsidR="00FD4624" w:rsidRPr="00FD4624" w:rsidRDefault="00FD4624" w:rsidP="001A5D4A">
      <w:pPr>
        <w:rPr>
          <w:color w:val="2D3E7B" w:themeColor="text2" w:themeShade="BF"/>
        </w:rPr>
      </w:pPr>
      <w:r w:rsidRPr="00FD4624">
        <w:rPr>
          <w:color w:val="2D3E7B" w:themeColor="text2" w:themeShade="BF"/>
        </w:rPr>
        <w:t>Only ‘tied capital’ funding is included under capital. ‘Tied capital’ is funding received for a specific capital purpose and excludes any capital portion of recurrent funding. Where a single grant received comprises both capital and non-capital components they are to be split accordingly.</w:t>
      </w:r>
    </w:p>
    <w:p w14:paraId="628C2075" w14:textId="77777777" w:rsidR="00FD4624" w:rsidRPr="00FD4624" w:rsidRDefault="00FD4624" w:rsidP="009304CF">
      <w:pPr>
        <w:pStyle w:val="Heading6"/>
      </w:pPr>
      <w:r w:rsidRPr="00FD4624">
        <w:t>OS-HELP</w:t>
      </w:r>
    </w:p>
    <w:p w14:paraId="2E31BAAA" w14:textId="77777777" w:rsidR="00FD4624" w:rsidRPr="00FD4624" w:rsidRDefault="00FD4624" w:rsidP="001A5D4A">
      <w:pPr>
        <w:rPr>
          <w:color w:val="2D3E7B" w:themeColor="text2" w:themeShade="BF"/>
        </w:rPr>
      </w:pPr>
      <w:r w:rsidRPr="00FD4624">
        <w:rPr>
          <w:color w:val="2D3E7B" w:themeColor="text2" w:themeShade="BF"/>
        </w:rPr>
        <w:t>OS-HELP receipts from the Australian Government are not included in the Income Statement. The cash received by the HEP through the loan arrangement does not result in an increase in equity and therefore does not meet the definition of revenue in accordance with AASB118.7. The HEP effectively acts as a transfer agency with regard to the OS-HELP monies received from the Australian Government. The Net OS-HELP amount is the difference between OS-HELP cash received in the year and the amount actually paid to recipients. This net amount is reported in note 3.i and in the Statement of Cash Flows.</w:t>
      </w:r>
    </w:p>
    <w:p w14:paraId="3011659E" w14:textId="77777777" w:rsidR="00FD4624" w:rsidRPr="00FD4624" w:rsidRDefault="00FD4624" w:rsidP="009304CF">
      <w:pPr>
        <w:pStyle w:val="Heading6"/>
      </w:pPr>
      <w:r w:rsidRPr="00FD4624">
        <w:t>Superannuation Supplementation</w:t>
      </w:r>
    </w:p>
    <w:p w14:paraId="5184C604" w14:textId="77777777" w:rsidR="00FD4624" w:rsidRPr="00FD4624" w:rsidRDefault="00FD4624" w:rsidP="001A5D4A">
      <w:pPr>
        <w:rPr>
          <w:color w:val="2D3E7B" w:themeColor="text2" w:themeShade="BF"/>
        </w:rPr>
      </w:pPr>
      <w:r w:rsidRPr="00FD4624">
        <w:rPr>
          <w:color w:val="2D3E7B" w:themeColor="text2" w:themeShade="BF"/>
        </w:rPr>
        <w:t>Superannuation supplementation funding received from the Australian Government is partial settlement of the asset recognised in accordance with AASB119.116 and as such it must not be recognised as revenue as per AASB1004. It is reported in note 3.i and in the Statement of Cash Flows. See note 53 for disclosure of income relevant to the Higher Education Superannuation Program.</w:t>
      </w:r>
    </w:p>
    <w:p w14:paraId="2406D1D8" w14:textId="77777777" w:rsidR="00FD4624" w:rsidRPr="00FD4624" w:rsidRDefault="00FD4624" w:rsidP="009304CF">
      <w:pPr>
        <w:pStyle w:val="Heading6"/>
      </w:pPr>
      <w:r w:rsidRPr="00FD4624">
        <w:t>Revenue recognition</w:t>
      </w:r>
    </w:p>
    <w:p w14:paraId="34AD2336" w14:textId="77777777" w:rsidR="00FD4624" w:rsidRPr="00B40DF8" w:rsidRDefault="00FD4624" w:rsidP="004F3ED9">
      <w:pPr>
        <w:pStyle w:val="Heading6"/>
      </w:pPr>
      <w:r w:rsidRPr="00B40DF8">
        <w:t>AASB1004.12</w:t>
      </w:r>
      <w:proofErr w:type="gramStart"/>
      <w:r w:rsidRPr="00B40DF8">
        <w:t>,14</w:t>
      </w:r>
      <w:proofErr w:type="gramEnd"/>
    </w:p>
    <w:p w14:paraId="712C9CFD" w14:textId="7F01AC12" w:rsidR="002168F3" w:rsidRDefault="00FD4624" w:rsidP="001A5D4A">
      <w:pPr>
        <w:rPr>
          <w:color w:val="2D3E7B" w:themeColor="text2" w:themeShade="BF"/>
        </w:rPr>
      </w:pPr>
      <w:r w:rsidRPr="00FD4624">
        <w:rPr>
          <w:color w:val="2D3E7B" w:themeColor="text2" w:themeShade="BF"/>
        </w:rPr>
        <w:t xml:space="preserve">HEPs are obliged to comply with AASB1004 </w:t>
      </w:r>
      <w:r w:rsidRPr="004914AC">
        <w:rPr>
          <w:i/>
          <w:color w:val="2D3E7B" w:themeColor="text2" w:themeShade="BF"/>
        </w:rPr>
        <w:t>Contributions</w:t>
      </w:r>
      <w:r w:rsidRPr="00FD4624">
        <w:rPr>
          <w:color w:val="2D3E7B" w:themeColor="text2" w:themeShade="BF"/>
        </w:rPr>
        <w:t>. Grants from the government are recognised at their fair value when the Group obtains control of the right to receive the grant, it is probable that economic benefits will flow to the group and it can be reliably measured. An entity does not obtain control of a contribution until it has met conditions or provided services that make it eligible to receive the contribution.</w:t>
      </w:r>
    </w:p>
    <w:p w14:paraId="7E3328D2" w14:textId="77777777" w:rsidR="002168F3" w:rsidRDefault="002168F3">
      <w:pPr>
        <w:spacing w:after="0"/>
        <w:rPr>
          <w:color w:val="2D3E7B" w:themeColor="text2" w:themeShade="BF"/>
        </w:rPr>
      </w:pPr>
      <w:r>
        <w:rPr>
          <w:color w:val="2D3E7B" w:themeColor="text2" w:themeShade="BF"/>
        </w:rPr>
        <w:br w:type="page"/>
      </w:r>
    </w:p>
    <w:p w14:paraId="72EABDCE" w14:textId="436015CA" w:rsidR="00E52AAD" w:rsidRDefault="00E52AAD" w:rsidP="00D61C84">
      <w:pPr>
        <w:pStyle w:val="Heading2"/>
      </w:pPr>
      <w:bookmarkStart w:id="259" w:name="_Toc410822660"/>
      <w:proofErr w:type="gramStart"/>
      <w:r w:rsidRPr="00E52AAD">
        <w:lastRenderedPageBreak/>
        <w:t>Note 4.</w:t>
      </w:r>
      <w:proofErr w:type="gramEnd"/>
      <w:r>
        <w:t xml:space="preserve"> </w:t>
      </w:r>
      <w:r w:rsidRPr="00E52AAD">
        <w:t>State and Local Government financial assistance</w:t>
      </w:r>
      <w:bookmarkEnd w:id="259"/>
    </w:p>
    <w:p w14:paraId="328B3CE7" w14:textId="77777777" w:rsidR="00E52AAD" w:rsidRPr="00E52AAD" w:rsidRDefault="00E52AAD" w:rsidP="001A5D4A">
      <w:r w:rsidRPr="00E52AAD">
        <w:t>147AASB118</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B54AA5" w14:paraId="038A144A" w14:textId="77777777" w:rsidTr="00E52AAD">
        <w:trPr>
          <w:trHeight w:val="180"/>
        </w:trPr>
        <w:tc>
          <w:tcPr>
            <w:tcW w:w="810" w:type="pct"/>
          </w:tcPr>
          <w:p w14:paraId="038A1446" w14:textId="77777777" w:rsidR="00B54AA5" w:rsidRDefault="00B54AA5" w:rsidP="001A5D4A">
            <w:pPr>
              <w:pStyle w:val="Note-Refs"/>
            </w:pPr>
          </w:p>
        </w:tc>
        <w:tc>
          <w:tcPr>
            <w:tcW w:w="2567" w:type="pct"/>
            <w:shd w:val="clear" w:color="auto" w:fill="CCCCCC"/>
          </w:tcPr>
          <w:p w14:paraId="038A1447" w14:textId="77777777" w:rsidR="00B54AA5" w:rsidRDefault="00B54AA5" w:rsidP="001A5D4A">
            <w:pPr>
              <w:pStyle w:val="NotesTable-ItemPlain"/>
            </w:pPr>
          </w:p>
        </w:tc>
        <w:tc>
          <w:tcPr>
            <w:tcW w:w="811" w:type="pct"/>
            <w:gridSpan w:val="2"/>
            <w:shd w:val="clear" w:color="auto" w:fill="CCCCCC"/>
          </w:tcPr>
          <w:p w14:paraId="038A1448" w14:textId="77777777" w:rsidR="00B54AA5" w:rsidRDefault="00B54AA5" w:rsidP="001A5D4A">
            <w:pPr>
              <w:pStyle w:val="NotesTable-HeadPlain"/>
              <w:rPr>
                <w:b/>
              </w:rPr>
            </w:pPr>
            <w:r>
              <w:t>Consolidated</w:t>
            </w:r>
          </w:p>
        </w:tc>
        <w:tc>
          <w:tcPr>
            <w:tcW w:w="811" w:type="pct"/>
            <w:gridSpan w:val="2"/>
            <w:shd w:val="clear" w:color="auto" w:fill="CCCCCC"/>
          </w:tcPr>
          <w:p w14:paraId="038A1449" w14:textId="77777777" w:rsidR="00B54AA5" w:rsidRDefault="00B54AA5" w:rsidP="001A5D4A">
            <w:pPr>
              <w:pStyle w:val="NotesTable-HeadPlain"/>
            </w:pPr>
            <w:r>
              <w:t>Parent entity</w:t>
            </w:r>
          </w:p>
        </w:tc>
      </w:tr>
      <w:tr w:rsidR="00B54AA5" w14:paraId="038A1451" w14:textId="77777777" w:rsidTr="00E52AAD">
        <w:trPr>
          <w:trHeight w:val="180"/>
        </w:trPr>
        <w:tc>
          <w:tcPr>
            <w:tcW w:w="810" w:type="pct"/>
          </w:tcPr>
          <w:p w14:paraId="038A144B" w14:textId="77777777" w:rsidR="00B54AA5" w:rsidRDefault="00B54AA5" w:rsidP="001A5D4A">
            <w:pPr>
              <w:pStyle w:val="Note-Refs"/>
            </w:pPr>
          </w:p>
        </w:tc>
        <w:tc>
          <w:tcPr>
            <w:tcW w:w="2567" w:type="pct"/>
            <w:shd w:val="clear" w:color="auto" w:fill="CCCCCC"/>
          </w:tcPr>
          <w:p w14:paraId="038A144C" w14:textId="77777777" w:rsidR="00B54AA5" w:rsidRDefault="00B54AA5" w:rsidP="001A5D4A">
            <w:pPr>
              <w:pStyle w:val="NotesTable-ItemPlain"/>
            </w:pPr>
          </w:p>
        </w:tc>
        <w:tc>
          <w:tcPr>
            <w:tcW w:w="406" w:type="pct"/>
            <w:shd w:val="clear" w:color="auto" w:fill="CCCCCC"/>
          </w:tcPr>
          <w:p w14:paraId="038A144D" w14:textId="130126E7" w:rsidR="00B54AA5" w:rsidRDefault="006864EC" w:rsidP="001A5D4A">
            <w:pPr>
              <w:pStyle w:val="NotesTable-HeadBold"/>
            </w:pPr>
            <w:r>
              <w:t>2014</w:t>
            </w:r>
          </w:p>
        </w:tc>
        <w:tc>
          <w:tcPr>
            <w:tcW w:w="406" w:type="pct"/>
            <w:shd w:val="clear" w:color="auto" w:fill="CCCCCC"/>
          </w:tcPr>
          <w:p w14:paraId="038A144E" w14:textId="2E3E2B02" w:rsidR="00B54AA5" w:rsidRDefault="006864EC" w:rsidP="001A5D4A">
            <w:pPr>
              <w:pStyle w:val="NotesTable-HeadPlain"/>
            </w:pPr>
            <w:r>
              <w:t>2013</w:t>
            </w:r>
          </w:p>
        </w:tc>
        <w:tc>
          <w:tcPr>
            <w:tcW w:w="406" w:type="pct"/>
            <w:shd w:val="clear" w:color="auto" w:fill="CCCCCC"/>
          </w:tcPr>
          <w:p w14:paraId="038A144F" w14:textId="2204C352" w:rsidR="00B54AA5" w:rsidRDefault="006864EC" w:rsidP="001A5D4A">
            <w:pPr>
              <w:pStyle w:val="NotesTable-HeadBold"/>
            </w:pPr>
            <w:r>
              <w:t>2014</w:t>
            </w:r>
          </w:p>
        </w:tc>
        <w:tc>
          <w:tcPr>
            <w:tcW w:w="406" w:type="pct"/>
            <w:shd w:val="clear" w:color="auto" w:fill="CCCCCC"/>
          </w:tcPr>
          <w:p w14:paraId="038A1450" w14:textId="615E5000" w:rsidR="00B54AA5" w:rsidRDefault="006864EC" w:rsidP="001A5D4A">
            <w:pPr>
              <w:pStyle w:val="NotesTable-HeadPlain"/>
            </w:pPr>
            <w:r>
              <w:t>2013</w:t>
            </w:r>
          </w:p>
        </w:tc>
      </w:tr>
      <w:tr w:rsidR="00B54AA5" w14:paraId="038A1458" w14:textId="77777777" w:rsidTr="00E52AAD">
        <w:trPr>
          <w:trHeight w:val="180"/>
        </w:trPr>
        <w:tc>
          <w:tcPr>
            <w:tcW w:w="810" w:type="pct"/>
          </w:tcPr>
          <w:p w14:paraId="038A1452" w14:textId="77777777" w:rsidR="00B54AA5" w:rsidRDefault="00B54AA5" w:rsidP="001A5D4A">
            <w:pPr>
              <w:pStyle w:val="Note-Refs"/>
            </w:pPr>
          </w:p>
        </w:tc>
        <w:tc>
          <w:tcPr>
            <w:tcW w:w="2567" w:type="pct"/>
            <w:shd w:val="clear" w:color="auto" w:fill="CCCCCC"/>
          </w:tcPr>
          <w:p w14:paraId="038A1453" w14:textId="77777777" w:rsidR="00B54AA5" w:rsidRDefault="00B54AA5" w:rsidP="001A5D4A">
            <w:pPr>
              <w:pStyle w:val="NotesTable-ItemPlain"/>
            </w:pPr>
          </w:p>
        </w:tc>
        <w:tc>
          <w:tcPr>
            <w:tcW w:w="406" w:type="pct"/>
            <w:shd w:val="clear" w:color="auto" w:fill="CCCCCC"/>
          </w:tcPr>
          <w:p w14:paraId="038A1454" w14:textId="77777777" w:rsidR="00B54AA5" w:rsidRDefault="00B54AA5" w:rsidP="001A5D4A">
            <w:pPr>
              <w:pStyle w:val="NotesTable-HeadBold"/>
            </w:pPr>
            <w:r>
              <w:t>$’000</w:t>
            </w:r>
          </w:p>
        </w:tc>
        <w:tc>
          <w:tcPr>
            <w:tcW w:w="406" w:type="pct"/>
            <w:shd w:val="clear" w:color="auto" w:fill="CCCCCC"/>
          </w:tcPr>
          <w:p w14:paraId="038A1455" w14:textId="77777777" w:rsidR="00B54AA5" w:rsidRDefault="00B54AA5" w:rsidP="001A5D4A">
            <w:pPr>
              <w:pStyle w:val="NotesTable-HeadPlain"/>
            </w:pPr>
            <w:r>
              <w:t>$’000</w:t>
            </w:r>
          </w:p>
        </w:tc>
        <w:tc>
          <w:tcPr>
            <w:tcW w:w="406" w:type="pct"/>
            <w:shd w:val="clear" w:color="auto" w:fill="CCCCCC"/>
          </w:tcPr>
          <w:p w14:paraId="038A1456" w14:textId="77777777" w:rsidR="00B54AA5" w:rsidRDefault="00B54AA5" w:rsidP="001A5D4A">
            <w:pPr>
              <w:pStyle w:val="NotesTable-HeadBold"/>
            </w:pPr>
            <w:r>
              <w:t>$’000</w:t>
            </w:r>
          </w:p>
        </w:tc>
        <w:tc>
          <w:tcPr>
            <w:tcW w:w="406" w:type="pct"/>
            <w:shd w:val="clear" w:color="auto" w:fill="CCCCCC"/>
          </w:tcPr>
          <w:p w14:paraId="038A1457" w14:textId="77777777" w:rsidR="00B54AA5" w:rsidRDefault="00B54AA5" w:rsidP="001A5D4A">
            <w:pPr>
              <w:pStyle w:val="NotesTable-HeadPlain"/>
            </w:pPr>
            <w:r>
              <w:t>$’000</w:t>
            </w:r>
          </w:p>
        </w:tc>
      </w:tr>
      <w:tr w:rsidR="00B54AA5" w14:paraId="038A145F" w14:textId="77777777" w:rsidTr="00E52AAD">
        <w:trPr>
          <w:trHeight w:val="180"/>
        </w:trPr>
        <w:tc>
          <w:tcPr>
            <w:tcW w:w="810" w:type="pct"/>
          </w:tcPr>
          <w:p w14:paraId="038A1459" w14:textId="77777777" w:rsidR="00B54AA5" w:rsidRDefault="00B90CFC" w:rsidP="001A5D4A">
            <w:pPr>
              <w:pStyle w:val="Note-Refs"/>
              <w:rPr>
                <w:b/>
              </w:rPr>
            </w:pPr>
            <w:r>
              <w:t>EDUCATION</w:t>
            </w:r>
          </w:p>
        </w:tc>
        <w:tc>
          <w:tcPr>
            <w:tcW w:w="2567" w:type="pct"/>
            <w:shd w:val="clear" w:color="auto" w:fill="CCCCCC"/>
            <w:vAlign w:val="bottom"/>
          </w:tcPr>
          <w:p w14:paraId="038A145A" w14:textId="77777777" w:rsidR="00B54AA5" w:rsidRDefault="00B54AA5" w:rsidP="001A5D4A">
            <w:pPr>
              <w:pStyle w:val="Note-TextHeader"/>
              <w:rPr>
                <w:lang w:val="en-GB"/>
              </w:rPr>
            </w:pPr>
            <w:r>
              <w:t>Non-Capital</w:t>
            </w:r>
          </w:p>
        </w:tc>
        <w:tc>
          <w:tcPr>
            <w:tcW w:w="406" w:type="pct"/>
            <w:shd w:val="clear" w:color="auto" w:fill="CCCCCC"/>
          </w:tcPr>
          <w:p w14:paraId="038A145B" w14:textId="77777777" w:rsidR="00B54AA5" w:rsidRDefault="00B54AA5" w:rsidP="001A5D4A">
            <w:pPr>
              <w:pStyle w:val="NotesTable-CellBold"/>
            </w:pPr>
          </w:p>
        </w:tc>
        <w:tc>
          <w:tcPr>
            <w:tcW w:w="406" w:type="pct"/>
            <w:shd w:val="clear" w:color="auto" w:fill="CCCCCC"/>
          </w:tcPr>
          <w:p w14:paraId="038A145C" w14:textId="77777777" w:rsidR="00B54AA5" w:rsidRDefault="00B54AA5" w:rsidP="001A5D4A">
            <w:pPr>
              <w:pStyle w:val="NotesTable-CellPlain"/>
            </w:pPr>
          </w:p>
        </w:tc>
        <w:tc>
          <w:tcPr>
            <w:tcW w:w="406" w:type="pct"/>
            <w:shd w:val="clear" w:color="auto" w:fill="CCCCCC"/>
          </w:tcPr>
          <w:p w14:paraId="038A145D" w14:textId="77777777" w:rsidR="00B54AA5" w:rsidRDefault="00B54AA5" w:rsidP="001A5D4A">
            <w:pPr>
              <w:pStyle w:val="NotesTable-CellBold"/>
            </w:pPr>
          </w:p>
        </w:tc>
        <w:tc>
          <w:tcPr>
            <w:tcW w:w="406" w:type="pct"/>
            <w:shd w:val="clear" w:color="auto" w:fill="CCCCCC"/>
          </w:tcPr>
          <w:p w14:paraId="038A145E" w14:textId="77777777" w:rsidR="00B54AA5" w:rsidRDefault="00B54AA5" w:rsidP="001A5D4A">
            <w:pPr>
              <w:pStyle w:val="NotesTable-CellPlain"/>
            </w:pPr>
          </w:p>
        </w:tc>
      </w:tr>
      <w:tr w:rsidR="00530B85" w14:paraId="038A1466" w14:textId="77777777" w:rsidTr="00E52AAD">
        <w:trPr>
          <w:trHeight w:val="180"/>
        </w:trPr>
        <w:tc>
          <w:tcPr>
            <w:tcW w:w="810" w:type="pct"/>
          </w:tcPr>
          <w:p w14:paraId="038A1460" w14:textId="77777777" w:rsidR="00530B85" w:rsidRDefault="00530B85" w:rsidP="001A5D4A">
            <w:pPr>
              <w:pStyle w:val="Note-Refs"/>
            </w:pPr>
          </w:p>
        </w:tc>
        <w:tc>
          <w:tcPr>
            <w:tcW w:w="2567" w:type="pct"/>
            <w:shd w:val="clear" w:color="auto" w:fill="CCCCCC"/>
            <w:vAlign w:val="bottom"/>
          </w:tcPr>
          <w:p w14:paraId="038A1461" w14:textId="77777777" w:rsidR="00530B85" w:rsidRDefault="00530B85" w:rsidP="001A5D4A">
            <w:pPr>
              <w:pStyle w:val="NotesTable-ItemPlain"/>
              <w:rPr>
                <w:b/>
              </w:rPr>
            </w:pPr>
            <w:r>
              <w:t>[Specify]</w:t>
            </w:r>
          </w:p>
        </w:tc>
        <w:tc>
          <w:tcPr>
            <w:tcW w:w="406" w:type="pct"/>
            <w:tcBorders>
              <w:bottom w:val="single" w:sz="4" w:space="0" w:color="auto"/>
            </w:tcBorders>
            <w:shd w:val="clear" w:color="auto" w:fill="CCCCCC"/>
          </w:tcPr>
          <w:p w14:paraId="038A1462" w14:textId="77777777" w:rsidR="00530B85" w:rsidRDefault="00530B85" w:rsidP="001A5D4A">
            <w:pPr>
              <w:pStyle w:val="NotesTable-CellBold"/>
            </w:pPr>
            <w:r w:rsidRPr="00593881">
              <w:t>–</w:t>
            </w:r>
          </w:p>
        </w:tc>
        <w:tc>
          <w:tcPr>
            <w:tcW w:w="406" w:type="pct"/>
            <w:tcBorders>
              <w:bottom w:val="single" w:sz="4" w:space="0" w:color="auto"/>
            </w:tcBorders>
            <w:shd w:val="clear" w:color="auto" w:fill="CCCCCC"/>
          </w:tcPr>
          <w:p w14:paraId="038A1463" w14:textId="77777777" w:rsidR="00530B85" w:rsidRDefault="00530B85" w:rsidP="001A5D4A">
            <w:pPr>
              <w:pStyle w:val="NotesTable-CellPlain"/>
            </w:pPr>
            <w:r w:rsidRPr="00593881">
              <w:t>–</w:t>
            </w:r>
          </w:p>
        </w:tc>
        <w:tc>
          <w:tcPr>
            <w:tcW w:w="406" w:type="pct"/>
            <w:tcBorders>
              <w:bottom w:val="single" w:sz="4" w:space="0" w:color="auto"/>
            </w:tcBorders>
            <w:shd w:val="clear" w:color="auto" w:fill="CCCCCC"/>
          </w:tcPr>
          <w:p w14:paraId="038A1464" w14:textId="77777777" w:rsidR="00530B85" w:rsidRDefault="00530B85" w:rsidP="001A5D4A">
            <w:pPr>
              <w:pStyle w:val="NotesTable-CellBold"/>
            </w:pPr>
            <w:r w:rsidRPr="00593881">
              <w:t>–</w:t>
            </w:r>
          </w:p>
        </w:tc>
        <w:tc>
          <w:tcPr>
            <w:tcW w:w="406" w:type="pct"/>
            <w:tcBorders>
              <w:bottom w:val="single" w:sz="4" w:space="0" w:color="auto"/>
            </w:tcBorders>
            <w:shd w:val="clear" w:color="auto" w:fill="CCCCCC"/>
          </w:tcPr>
          <w:p w14:paraId="038A1465" w14:textId="77777777" w:rsidR="00530B85" w:rsidRDefault="00530B85" w:rsidP="001A5D4A">
            <w:pPr>
              <w:pStyle w:val="NotesTable-CellPlain"/>
            </w:pPr>
            <w:r w:rsidRPr="00593881">
              <w:t>–</w:t>
            </w:r>
          </w:p>
        </w:tc>
      </w:tr>
      <w:tr w:rsidR="00530B85" w14:paraId="038A146D" w14:textId="77777777" w:rsidTr="00E52AAD">
        <w:trPr>
          <w:trHeight w:val="180"/>
        </w:trPr>
        <w:tc>
          <w:tcPr>
            <w:tcW w:w="810" w:type="pct"/>
          </w:tcPr>
          <w:p w14:paraId="038A1467" w14:textId="77777777" w:rsidR="00530B85" w:rsidRDefault="00530B85" w:rsidP="001A5D4A">
            <w:pPr>
              <w:pStyle w:val="Note-Refs"/>
            </w:pPr>
          </w:p>
        </w:tc>
        <w:tc>
          <w:tcPr>
            <w:tcW w:w="2567" w:type="pct"/>
            <w:shd w:val="clear" w:color="auto" w:fill="CCCCCC"/>
            <w:vAlign w:val="bottom"/>
          </w:tcPr>
          <w:p w14:paraId="038A1468" w14:textId="77777777" w:rsidR="00530B85" w:rsidRDefault="00530B85" w:rsidP="001A5D4A">
            <w:pPr>
              <w:pStyle w:val="NotesTable-ItemPlain"/>
              <w:rPr>
                <w:b/>
              </w:rPr>
            </w:pPr>
            <w:r>
              <w:t>Total</w:t>
            </w:r>
            <w:r w:rsidR="00B4091D">
              <w:t xml:space="preserve"> Non-capital</w:t>
            </w:r>
          </w:p>
        </w:tc>
        <w:tc>
          <w:tcPr>
            <w:tcW w:w="406" w:type="pct"/>
            <w:tcBorders>
              <w:top w:val="single" w:sz="4" w:space="0" w:color="auto"/>
            </w:tcBorders>
            <w:shd w:val="clear" w:color="auto" w:fill="CCCCCC"/>
          </w:tcPr>
          <w:p w14:paraId="038A1469" w14:textId="77777777" w:rsidR="00530B85" w:rsidRDefault="00530B85" w:rsidP="001A5D4A">
            <w:pPr>
              <w:pStyle w:val="NotesTable-CellBold"/>
            </w:pPr>
            <w:r w:rsidRPr="004C5C5F">
              <w:t>–</w:t>
            </w:r>
          </w:p>
        </w:tc>
        <w:tc>
          <w:tcPr>
            <w:tcW w:w="406" w:type="pct"/>
            <w:tcBorders>
              <w:top w:val="single" w:sz="4" w:space="0" w:color="auto"/>
            </w:tcBorders>
            <w:shd w:val="clear" w:color="auto" w:fill="CCCCCC"/>
          </w:tcPr>
          <w:p w14:paraId="038A146A" w14:textId="77777777" w:rsidR="00530B85" w:rsidRDefault="00530B85" w:rsidP="001A5D4A">
            <w:pPr>
              <w:pStyle w:val="NotesTable-CellPlain"/>
            </w:pPr>
            <w:r w:rsidRPr="004C5C5F">
              <w:t>–</w:t>
            </w:r>
          </w:p>
        </w:tc>
        <w:tc>
          <w:tcPr>
            <w:tcW w:w="406" w:type="pct"/>
            <w:tcBorders>
              <w:top w:val="single" w:sz="4" w:space="0" w:color="auto"/>
            </w:tcBorders>
            <w:shd w:val="clear" w:color="auto" w:fill="CCCCCC"/>
          </w:tcPr>
          <w:p w14:paraId="038A146B" w14:textId="77777777" w:rsidR="00530B85" w:rsidRDefault="00530B85" w:rsidP="001A5D4A">
            <w:pPr>
              <w:pStyle w:val="NotesTable-CellBold"/>
            </w:pPr>
            <w:r w:rsidRPr="004C5C5F">
              <w:t>–</w:t>
            </w:r>
          </w:p>
        </w:tc>
        <w:tc>
          <w:tcPr>
            <w:tcW w:w="406" w:type="pct"/>
            <w:tcBorders>
              <w:top w:val="single" w:sz="4" w:space="0" w:color="auto"/>
            </w:tcBorders>
            <w:shd w:val="clear" w:color="auto" w:fill="CCCCCC"/>
          </w:tcPr>
          <w:p w14:paraId="038A146C" w14:textId="77777777" w:rsidR="00530B85" w:rsidRDefault="00530B85" w:rsidP="001A5D4A">
            <w:pPr>
              <w:pStyle w:val="NotesTable-CellPlain"/>
            </w:pPr>
            <w:r w:rsidRPr="004C5C5F">
              <w:t>–</w:t>
            </w:r>
          </w:p>
        </w:tc>
      </w:tr>
      <w:tr w:rsidR="00B54AA5" w14:paraId="038A1474" w14:textId="77777777" w:rsidTr="00E52AAD">
        <w:trPr>
          <w:trHeight w:hRule="exact" w:val="142"/>
        </w:trPr>
        <w:tc>
          <w:tcPr>
            <w:tcW w:w="810" w:type="pct"/>
          </w:tcPr>
          <w:p w14:paraId="038A146E" w14:textId="77777777" w:rsidR="00B54AA5" w:rsidRDefault="00B54AA5" w:rsidP="001A5D4A">
            <w:pPr>
              <w:pStyle w:val="Note-Refs"/>
            </w:pPr>
          </w:p>
        </w:tc>
        <w:tc>
          <w:tcPr>
            <w:tcW w:w="2567" w:type="pct"/>
            <w:shd w:val="clear" w:color="auto" w:fill="CCCCCC"/>
            <w:vAlign w:val="bottom"/>
          </w:tcPr>
          <w:p w14:paraId="038A146F" w14:textId="77777777" w:rsidR="00B54AA5" w:rsidRDefault="00B54AA5" w:rsidP="001A5D4A">
            <w:pPr>
              <w:pStyle w:val="NotesTable-ItemPlain"/>
            </w:pPr>
          </w:p>
        </w:tc>
        <w:tc>
          <w:tcPr>
            <w:tcW w:w="406" w:type="pct"/>
            <w:shd w:val="clear" w:color="auto" w:fill="CCCCCC"/>
          </w:tcPr>
          <w:p w14:paraId="038A1470" w14:textId="77777777" w:rsidR="00B54AA5" w:rsidRDefault="00B54AA5" w:rsidP="001A5D4A">
            <w:pPr>
              <w:pStyle w:val="NotesTable-CellBold"/>
            </w:pPr>
          </w:p>
        </w:tc>
        <w:tc>
          <w:tcPr>
            <w:tcW w:w="406" w:type="pct"/>
            <w:shd w:val="clear" w:color="auto" w:fill="CCCCCC"/>
          </w:tcPr>
          <w:p w14:paraId="038A1471" w14:textId="77777777" w:rsidR="00B54AA5" w:rsidRDefault="00B54AA5" w:rsidP="001A5D4A">
            <w:pPr>
              <w:pStyle w:val="NotesTable-CellPlain"/>
            </w:pPr>
          </w:p>
        </w:tc>
        <w:tc>
          <w:tcPr>
            <w:tcW w:w="406" w:type="pct"/>
            <w:shd w:val="clear" w:color="auto" w:fill="CCCCCC"/>
          </w:tcPr>
          <w:p w14:paraId="038A1472" w14:textId="77777777" w:rsidR="00B54AA5" w:rsidRDefault="00B54AA5" w:rsidP="001A5D4A">
            <w:pPr>
              <w:pStyle w:val="NotesTable-CellBold"/>
            </w:pPr>
          </w:p>
        </w:tc>
        <w:tc>
          <w:tcPr>
            <w:tcW w:w="406" w:type="pct"/>
            <w:shd w:val="clear" w:color="auto" w:fill="CCCCCC"/>
          </w:tcPr>
          <w:p w14:paraId="038A1473" w14:textId="77777777" w:rsidR="00B54AA5" w:rsidRDefault="00B54AA5" w:rsidP="001A5D4A">
            <w:pPr>
              <w:pStyle w:val="NotesTable-CellPlain"/>
            </w:pPr>
          </w:p>
        </w:tc>
      </w:tr>
      <w:tr w:rsidR="00B54AA5" w14:paraId="038A147B" w14:textId="77777777" w:rsidTr="00E52AAD">
        <w:trPr>
          <w:trHeight w:val="180"/>
        </w:trPr>
        <w:tc>
          <w:tcPr>
            <w:tcW w:w="810" w:type="pct"/>
          </w:tcPr>
          <w:p w14:paraId="038A1475" w14:textId="77777777" w:rsidR="00B54AA5" w:rsidRDefault="00B90CFC" w:rsidP="001A5D4A">
            <w:pPr>
              <w:pStyle w:val="Note-Refs"/>
              <w:rPr>
                <w:b/>
              </w:rPr>
            </w:pPr>
            <w:r>
              <w:t>EDUCATION</w:t>
            </w:r>
          </w:p>
        </w:tc>
        <w:tc>
          <w:tcPr>
            <w:tcW w:w="2567" w:type="pct"/>
            <w:shd w:val="clear" w:color="auto" w:fill="CCCCCC"/>
            <w:vAlign w:val="bottom"/>
          </w:tcPr>
          <w:p w14:paraId="038A1476" w14:textId="77777777" w:rsidR="00B54AA5" w:rsidRDefault="00B54AA5" w:rsidP="001A5D4A">
            <w:pPr>
              <w:pStyle w:val="Note-TextHeader"/>
              <w:rPr>
                <w:lang w:val="en-GB"/>
              </w:rPr>
            </w:pPr>
            <w:r>
              <w:t>Capital</w:t>
            </w:r>
          </w:p>
        </w:tc>
        <w:tc>
          <w:tcPr>
            <w:tcW w:w="406" w:type="pct"/>
            <w:shd w:val="clear" w:color="auto" w:fill="CCCCCC"/>
          </w:tcPr>
          <w:p w14:paraId="038A1477" w14:textId="77777777" w:rsidR="00B54AA5" w:rsidRDefault="00B54AA5" w:rsidP="001A5D4A">
            <w:pPr>
              <w:pStyle w:val="NotesTable-CellBold"/>
            </w:pPr>
          </w:p>
        </w:tc>
        <w:tc>
          <w:tcPr>
            <w:tcW w:w="406" w:type="pct"/>
            <w:shd w:val="clear" w:color="auto" w:fill="CCCCCC"/>
          </w:tcPr>
          <w:p w14:paraId="038A1478" w14:textId="77777777" w:rsidR="00B54AA5" w:rsidRDefault="00B54AA5" w:rsidP="001A5D4A">
            <w:pPr>
              <w:pStyle w:val="NotesTable-CellPlain"/>
            </w:pPr>
          </w:p>
        </w:tc>
        <w:tc>
          <w:tcPr>
            <w:tcW w:w="406" w:type="pct"/>
            <w:shd w:val="clear" w:color="auto" w:fill="CCCCCC"/>
          </w:tcPr>
          <w:p w14:paraId="038A1479" w14:textId="77777777" w:rsidR="00B54AA5" w:rsidRDefault="00B54AA5" w:rsidP="001A5D4A">
            <w:pPr>
              <w:pStyle w:val="NotesTable-CellBold"/>
            </w:pPr>
          </w:p>
        </w:tc>
        <w:tc>
          <w:tcPr>
            <w:tcW w:w="406" w:type="pct"/>
            <w:shd w:val="clear" w:color="auto" w:fill="CCCCCC"/>
          </w:tcPr>
          <w:p w14:paraId="038A147A" w14:textId="77777777" w:rsidR="00B54AA5" w:rsidRDefault="00B54AA5" w:rsidP="001A5D4A">
            <w:pPr>
              <w:pStyle w:val="NotesTable-CellPlain"/>
            </w:pPr>
          </w:p>
        </w:tc>
      </w:tr>
      <w:tr w:rsidR="00530B85" w14:paraId="038A1482" w14:textId="77777777" w:rsidTr="00E52AAD">
        <w:trPr>
          <w:trHeight w:val="180"/>
        </w:trPr>
        <w:tc>
          <w:tcPr>
            <w:tcW w:w="810" w:type="pct"/>
          </w:tcPr>
          <w:p w14:paraId="038A147C" w14:textId="77777777" w:rsidR="00530B85" w:rsidRDefault="00530B85" w:rsidP="001A5D4A">
            <w:pPr>
              <w:pStyle w:val="Note-Refs"/>
            </w:pPr>
          </w:p>
        </w:tc>
        <w:tc>
          <w:tcPr>
            <w:tcW w:w="2567" w:type="pct"/>
            <w:shd w:val="clear" w:color="auto" w:fill="CCCCCC"/>
            <w:vAlign w:val="bottom"/>
          </w:tcPr>
          <w:p w14:paraId="038A147D" w14:textId="77777777" w:rsidR="00530B85" w:rsidRDefault="00530B85" w:rsidP="001A5D4A">
            <w:pPr>
              <w:pStyle w:val="NotesTable-ItemPlain"/>
              <w:rPr>
                <w:b/>
              </w:rPr>
            </w:pPr>
            <w:r>
              <w:t>[Specify]</w:t>
            </w:r>
          </w:p>
        </w:tc>
        <w:tc>
          <w:tcPr>
            <w:tcW w:w="406" w:type="pct"/>
            <w:tcBorders>
              <w:bottom w:val="single" w:sz="4" w:space="0" w:color="auto"/>
            </w:tcBorders>
            <w:shd w:val="clear" w:color="auto" w:fill="CCCCCC"/>
          </w:tcPr>
          <w:p w14:paraId="038A147E" w14:textId="77777777" w:rsidR="00530B85" w:rsidRDefault="00530B85" w:rsidP="001A5D4A">
            <w:pPr>
              <w:pStyle w:val="NotesTable-CellBold"/>
            </w:pPr>
            <w:r w:rsidRPr="006B6A7C">
              <w:t>–</w:t>
            </w:r>
          </w:p>
        </w:tc>
        <w:tc>
          <w:tcPr>
            <w:tcW w:w="406" w:type="pct"/>
            <w:tcBorders>
              <w:bottom w:val="single" w:sz="4" w:space="0" w:color="auto"/>
            </w:tcBorders>
            <w:shd w:val="clear" w:color="auto" w:fill="CCCCCC"/>
          </w:tcPr>
          <w:p w14:paraId="038A147F" w14:textId="77777777" w:rsidR="00530B85" w:rsidRDefault="00530B85" w:rsidP="001A5D4A">
            <w:pPr>
              <w:pStyle w:val="NotesTable-CellPlain"/>
            </w:pPr>
            <w:r w:rsidRPr="006B6A7C">
              <w:t>–</w:t>
            </w:r>
          </w:p>
        </w:tc>
        <w:tc>
          <w:tcPr>
            <w:tcW w:w="406" w:type="pct"/>
            <w:tcBorders>
              <w:bottom w:val="single" w:sz="4" w:space="0" w:color="auto"/>
            </w:tcBorders>
            <w:shd w:val="clear" w:color="auto" w:fill="CCCCCC"/>
          </w:tcPr>
          <w:p w14:paraId="038A1480" w14:textId="77777777" w:rsidR="00530B85" w:rsidRDefault="00530B85" w:rsidP="001A5D4A">
            <w:pPr>
              <w:pStyle w:val="NotesTable-CellBold"/>
            </w:pPr>
            <w:r w:rsidRPr="006B6A7C">
              <w:t>–</w:t>
            </w:r>
          </w:p>
        </w:tc>
        <w:tc>
          <w:tcPr>
            <w:tcW w:w="406" w:type="pct"/>
            <w:tcBorders>
              <w:bottom w:val="single" w:sz="4" w:space="0" w:color="auto"/>
            </w:tcBorders>
            <w:shd w:val="clear" w:color="auto" w:fill="CCCCCC"/>
          </w:tcPr>
          <w:p w14:paraId="038A1481" w14:textId="77777777" w:rsidR="00530B85" w:rsidRDefault="00530B85" w:rsidP="001A5D4A">
            <w:pPr>
              <w:pStyle w:val="NotesTable-CellPlain"/>
            </w:pPr>
            <w:r w:rsidRPr="006B6A7C">
              <w:t>–</w:t>
            </w:r>
          </w:p>
        </w:tc>
      </w:tr>
      <w:tr w:rsidR="00530B85" w14:paraId="038A1489" w14:textId="77777777" w:rsidTr="00E52AAD">
        <w:trPr>
          <w:trHeight w:val="180"/>
        </w:trPr>
        <w:tc>
          <w:tcPr>
            <w:tcW w:w="810" w:type="pct"/>
          </w:tcPr>
          <w:p w14:paraId="038A1483" w14:textId="77777777" w:rsidR="00530B85" w:rsidRDefault="00530B85" w:rsidP="001A5D4A">
            <w:pPr>
              <w:pStyle w:val="Note-Refs"/>
            </w:pPr>
          </w:p>
        </w:tc>
        <w:tc>
          <w:tcPr>
            <w:tcW w:w="2567" w:type="pct"/>
            <w:shd w:val="clear" w:color="auto" w:fill="CCCCCC"/>
            <w:vAlign w:val="bottom"/>
          </w:tcPr>
          <w:p w14:paraId="038A1484" w14:textId="77777777" w:rsidR="00530B85" w:rsidRDefault="00530B85" w:rsidP="001A5D4A">
            <w:pPr>
              <w:pStyle w:val="NotesTable-ItemPlain"/>
              <w:rPr>
                <w:b/>
              </w:rPr>
            </w:pPr>
            <w:r>
              <w:t>Total</w:t>
            </w:r>
            <w:r w:rsidR="00B4091D">
              <w:t xml:space="preserve"> capital</w:t>
            </w:r>
          </w:p>
        </w:tc>
        <w:tc>
          <w:tcPr>
            <w:tcW w:w="406" w:type="pct"/>
            <w:tcBorders>
              <w:top w:val="single" w:sz="4" w:space="0" w:color="auto"/>
              <w:bottom w:val="single" w:sz="4" w:space="0" w:color="000000"/>
            </w:tcBorders>
            <w:shd w:val="clear" w:color="auto" w:fill="CCCCCC"/>
          </w:tcPr>
          <w:p w14:paraId="038A1485" w14:textId="77777777" w:rsidR="00530B85" w:rsidRDefault="00530B85" w:rsidP="001A5D4A">
            <w:pPr>
              <w:pStyle w:val="NotesTable-CellBold"/>
            </w:pPr>
            <w:r w:rsidRPr="006B6A7C">
              <w:t>–</w:t>
            </w:r>
          </w:p>
        </w:tc>
        <w:tc>
          <w:tcPr>
            <w:tcW w:w="406" w:type="pct"/>
            <w:tcBorders>
              <w:top w:val="single" w:sz="4" w:space="0" w:color="auto"/>
              <w:bottom w:val="single" w:sz="4" w:space="0" w:color="000000"/>
            </w:tcBorders>
            <w:shd w:val="clear" w:color="auto" w:fill="CCCCCC"/>
          </w:tcPr>
          <w:p w14:paraId="038A1486" w14:textId="77777777" w:rsidR="00530B85" w:rsidRDefault="00530B85" w:rsidP="001A5D4A">
            <w:pPr>
              <w:pStyle w:val="NotesTable-CellPlain"/>
            </w:pPr>
            <w:r w:rsidRPr="006B6A7C">
              <w:t>–</w:t>
            </w:r>
          </w:p>
        </w:tc>
        <w:tc>
          <w:tcPr>
            <w:tcW w:w="406" w:type="pct"/>
            <w:tcBorders>
              <w:top w:val="single" w:sz="4" w:space="0" w:color="auto"/>
              <w:bottom w:val="single" w:sz="4" w:space="0" w:color="000000"/>
            </w:tcBorders>
            <w:shd w:val="clear" w:color="auto" w:fill="CCCCCC"/>
          </w:tcPr>
          <w:p w14:paraId="038A1487" w14:textId="77777777" w:rsidR="00530B85" w:rsidRDefault="00530B85" w:rsidP="001A5D4A">
            <w:pPr>
              <w:pStyle w:val="NotesTable-CellBold"/>
            </w:pPr>
            <w:r w:rsidRPr="006B6A7C">
              <w:t>–</w:t>
            </w:r>
          </w:p>
        </w:tc>
        <w:tc>
          <w:tcPr>
            <w:tcW w:w="406" w:type="pct"/>
            <w:tcBorders>
              <w:top w:val="single" w:sz="4" w:space="0" w:color="auto"/>
              <w:bottom w:val="single" w:sz="4" w:space="0" w:color="000000"/>
            </w:tcBorders>
            <w:shd w:val="clear" w:color="auto" w:fill="CCCCCC"/>
          </w:tcPr>
          <w:p w14:paraId="038A1488" w14:textId="77777777" w:rsidR="00530B85" w:rsidRDefault="00530B85" w:rsidP="001A5D4A">
            <w:pPr>
              <w:pStyle w:val="NotesTable-CellPlain"/>
            </w:pPr>
            <w:r w:rsidRPr="006B6A7C">
              <w:t>–</w:t>
            </w:r>
          </w:p>
        </w:tc>
      </w:tr>
      <w:tr w:rsidR="00B54AA5" w14:paraId="038A1490" w14:textId="77777777" w:rsidTr="00E52AAD">
        <w:trPr>
          <w:trHeight w:val="180"/>
        </w:trPr>
        <w:tc>
          <w:tcPr>
            <w:tcW w:w="810" w:type="pct"/>
          </w:tcPr>
          <w:p w14:paraId="038A148A" w14:textId="77777777" w:rsidR="00B54AA5" w:rsidRDefault="00B54AA5" w:rsidP="001A5D4A">
            <w:pPr>
              <w:pStyle w:val="Note-Refs"/>
            </w:pPr>
          </w:p>
        </w:tc>
        <w:tc>
          <w:tcPr>
            <w:tcW w:w="2567" w:type="pct"/>
            <w:shd w:val="clear" w:color="auto" w:fill="CCCCCC"/>
            <w:vAlign w:val="bottom"/>
          </w:tcPr>
          <w:p w14:paraId="038A148B" w14:textId="77777777" w:rsidR="00B54AA5" w:rsidRDefault="00B54AA5" w:rsidP="001A5D4A">
            <w:pPr>
              <w:pStyle w:val="NotesTable-ItemPlain"/>
              <w:rPr>
                <w:b/>
              </w:rPr>
            </w:pPr>
            <w:r>
              <w:t>Total State and Local Government financial assistance</w:t>
            </w:r>
          </w:p>
        </w:tc>
        <w:tc>
          <w:tcPr>
            <w:tcW w:w="406" w:type="pct"/>
            <w:tcBorders>
              <w:top w:val="single" w:sz="4" w:space="0" w:color="000000"/>
            </w:tcBorders>
            <w:shd w:val="clear" w:color="auto" w:fill="CCCCCC"/>
          </w:tcPr>
          <w:p w14:paraId="038A148C" w14:textId="77777777" w:rsidR="00B54AA5" w:rsidRDefault="00B54AA5" w:rsidP="001A5D4A">
            <w:pPr>
              <w:pStyle w:val="NotesTable-CellBold"/>
            </w:pPr>
            <w:r>
              <w:t>–</w:t>
            </w:r>
          </w:p>
        </w:tc>
        <w:tc>
          <w:tcPr>
            <w:tcW w:w="406" w:type="pct"/>
            <w:tcBorders>
              <w:top w:val="single" w:sz="4" w:space="0" w:color="000000"/>
            </w:tcBorders>
            <w:shd w:val="clear" w:color="auto" w:fill="CCCCCC"/>
          </w:tcPr>
          <w:p w14:paraId="038A148D" w14:textId="77777777" w:rsidR="00B54AA5" w:rsidRDefault="00B54AA5" w:rsidP="001A5D4A">
            <w:pPr>
              <w:pStyle w:val="NotesTable-CellPlain"/>
            </w:pPr>
            <w:r>
              <w:t>–</w:t>
            </w:r>
          </w:p>
        </w:tc>
        <w:tc>
          <w:tcPr>
            <w:tcW w:w="406" w:type="pct"/>
            <w:tcBorders>
              <w:top w:val="single" w:sz="4" w:space="0" w:color="000000"/>
            </w:tcBorders>
            <w:shd w:val="clear" w:color="auto" w:fill="CCCCCC"/>
          </w:tcPr>
          <w:p w14:paraId="038A148E" w14:textId="77777777" w:rsidR="00B54AA5" w:rsidRDefault="00B54AA5" w:rsidP="001A5D4A">
            <w:pPr>
              <w:pStyle w:val="NotesTable-CellBold"/>
            </w:pPr>
            <w:r>
              <w:t>–</w:t>
            </w:r>
          </w:p>
        </w:tc>
        <w:tc>
          <w:tcPr>
            <w:tcW w:w="406" w:type="pct"/>
            <w:tcBorders>
              <w:top w:val="single" w:sz="4" w:space="0" w:color="000000"/>
            </w:tcBorders>
            <w:shd w:val="clear" w:color="auto" w:fill="CCCCCC"/>
          </w:tcPr>
          <w:p w14:paraId="038A148F" w14:textId="77777777" w:rsidR="00B54AA5" w:rsidRDefault="00B54AA5" w:rsidP="001A5D4A">
            <w:pPr>
              <w:pStyle w:val="NotesTable-CellPlain"/>
            </w:pPr>
            <w:r>
              <w:t>–</w:t>
            </w:r>
          </w:p>
        </w:tc>
      </w:tr>
    </w:tbl>
    <w:p w14:paraId="03B0F0E1" w14:textId="77777777" w:rsidR="00CB724E" w:rsidRPr="00CB724E" w:rsidRDefault="00CB724E" w:rsidP="001A5D4A">
      <w:pPr>
        <w:pStyle w:val="Heading3"/>
        <w:rPr>
          <w:color w:val="2D3E7B" w:themeColor="text2" w:themeShade="BF"/>
        </w:rPr>
      </w:pPr>
      <w:bookmarkStart w:id="260" w:name="_Toc410807608"/>
      <w:bookmarkStart w:id="261" w:name="_Toc410822661"/>
      <w:r w:rsidRPr="00CB724E">
        <w:rPr>
          <w:color w:val="2D3E7B" w:themeColor="text2" w:themeShade="BF"/>
        </w:rPr>
        <w:t>Commentary – State and Local Government financial assistance</w:t>
      </w:r>
      <w:bookmarkEnd w:id="260"/>
      <w:bookmarkEnd w:id="261"/>
    </w:p>
    <w:p w14:paraId="5A3867D2" w14:textId="77777777" w:rsidR="0000701C" w:rsidRPr="0000701C" w:rsidRDefault="0000701C" w:rsidP="0000701C">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Capital</w:t>
      </w:r>
    </w:p>
    <w:p w14:paraId="71B60783" w14:textId="3B787F05" w:rsidR="00CB724E" w:rsidRPr="0000701C" w:rsidRDefault="00CB724E" w:rsidP="009304CF">
      <w:pPr>
        <w:pStyle w:val="Heading6"/>
      </w:pPr>
      <w:r w:rsidRPr="0000701C">
        <w:t>Education</w:t>
      </w:r>
    </w:p>
    <w:p w14:paraId="69249A1C" w14:textId="77777777" w:rsidR="00CB724E" w:rsidRPr="00CB724E" w:rsidRDefault="00CB724E" w:rsidP="001A5D4A">
      <w:pPr>
        <w:rPr>
          <w:color w:val="2D3E7B" w:themeColor="text2" w:themeShade="BF"/>
        </w:rPr>
      </w:pPr>
      <w:r w:rsidRPr="00CB724E">
        <w:rPr>
          <w:color w:val="2D3E7B" w:themeColor="text2" w:themeShade="BF"/>
        </w:rPr>
        <w:t>Only ‘tied capital’ funding is included under capital. ‘Tied capital’ is funding received for a specific capital purpose and excludes any capital portion of recurrent funding. Where a single grant received comprises both capital and non-capital components they are to be split accordingly.</w:t>
      </w:r>
    </w:p>
    <w:p w14:paraId="485E484E" w14:textId="77777777" w:rsidR="00236F7B" w:rsidRDefault="00236F7B">
      <w:pPr>
        <w:spacing w:after="0"/>
        <w:rPr>
          <w:rFonts w:asciiTheme="majorHAnsi" w:eastAsiaTheme="majorEastAsia" w:hAnsiTheme="majorHAnsi"/>
          <w:b/>
          <w:bCs/>
          <w:i/>
          <w:iCs/>
          <w:sz w:val="32"/>
          <w:szCs w:val="28"/>
        </w:rPr>
      </w:pPr>
      <w:bookmarkStart w:id="262" w:name="_Toc410822662"/>
      <w:r>
        <w:br w:type="page"/>
      </w:r>
    </w:p>
    <w:p w14:paraId="14DC6736" w14:textId="4CC1F845" w:rsidR="00E52AAD" w:rsidRDefault="00E52AAD" w:rsidP="00D61C84">
      <w:pPr>
        <w:pStyle w:val="Heading2"/>
      </w:pPr>
      <w:proofErr w:type="gramStart"/>
      <w:r w:rsidRPr="00E52AAD">
        <w:lastRenderedPageBreak/>
        <w:t>Note 5.</w:t>
      </w:r>
      <w:proofErr w:type="gramEnd"/>
      <w:r>
        <w:t xml:space="preserve"> </w:t>
      </w:r>
      <w:r w:rsidRPr="00E52AAD">
        <w:t>Fees and charges</w:t>
      </w:r>
      <w:bookmarkEnd w:id="262"/>
    </w:p>
    <w:p w14:paraId="401E274B" w14:textId="77777777" w:rsidR="00E52AAD" w:rsidRPr="00E52AAD" w:rsidRDefault="00E52AAD" w:rsidP="001A5D4A">
      <w:r w:rsidRPr="00E52AAD">
        <w:t>Mandatory</w:t>
      </w:r>
    </w:p>
    <w:tbl>
      <w:tblPr>
        <w:tblW w:w="5000" w:type="pct"/>
        <w:tblCellMar>
          <w:left w:w="0" w:type="dxa"/>
          <w:right w:w="0" w:type="dxa"/>
        </w:tblCellMar>
        <w:tblLook w:val="0000" w:firstRow="0" w:lastRow="0" w:firstColumn="0" w:lastColumn="0" w:noHBand="0" w:noVBand="0"/>
      </w:tblPr>
      <w:tblGrid>
        <w:gridCol w:w="1579"/>
        <w:gridCol w:w="4481"/>
        <w:gridCol w:w="525"/>
        <w:gridCol w:w="792"/>
        <w:gridCol w:w="792"/>
        <w:gridCol w:w="792"/>
        <w:gridCol w:w="790"/>
      </w:tblGrid>
      <w:tr w:rsidR="00023312" w14:paraId="038A14AF" w14:textId="77777777" w:rsidTr="00E52AAD">
        <w:trPr>
          <w:cantSplit/>
          <w:trHeight w:val="181"/>
        </w:trPr>
        <w:tc>
          <w:tcPr>
            <w:tcW w:w="810" w:type="pct"/>
          </w:tcPr>
          <w:p w14:paraId="038A14AB" w14:textId="77777777" w:rsidR="00023312" w:rsidRDefault="00023312" w:rsidP="001A5D4A">
            <w:pPr>
              <w:pStyle w:val="Note-Refs"/>
            </w:pPr>
            <w:r>
              <w:t>AASB118</w:t>
            </w:r>
          </w:p>
        </w:tc>
        <w:tc>
          <w:tcPr>
            <w:tcW w:w="2567" w:type="pct"/>
            <w:gridSpan w:val="2"/>
          </w:tcPr>
          <w:p w14:paraId="038A14AC" w14:textId="77777777" w:rsidR="00023312" w:rsidRPr="008B0621" w:rsidRDefault="00023312" w:rsidP="001A5D4A">
            <w:pPr>
              <w:pStyle w:val="NotesTable-ItemPlain"/>
            </w:pPr>
          </w:p>
        </w:tc>
        <w:tc>
          <w:tcPr>
            <w:tcW w:w="811" w:type="pct"/>
            <w:gridSpan w:val="2"/>
          </w:tcPr>
          <w:p w14:paraId="038A14AD" w14:textId="77777777" w:rsidR="00023312" w:rsidRDefault="00023312" w:rsidP="001A5D4A">
            <w:pPr>
              <w:pStyle w:val="NotesTable-HeadPlain"/>
              <w:rPr>
                <w:b/>
              </w:rPr>
            </w:pPr>
            <w:r>
              <w:t>Consolidated</w:t>
            </w:r>
          </w:p>
        </w:tc>
        <w:tc>
          <w:tcPr>
            <w:tcW w:w="811" w:type="pct"/>
            <w:gridSpan w:val="2"/>
          </w:tcPr>
          <w:p w14:paraId="038A14AE" w14:textId="77777777" w:rsidR="00023312" w:rsidRDefault="00023312" w:rsidP="001A5D4A">
            <w:pPr>
              <w:pStyle w:val="NotesTable-HeadPlain"/>
            </w:pPr>
            <w:r>
              <w:t>Parent entity</w:t>
            </w:r>
          </w:p>
        </w:tc>
      </w:tr>
      <w:tr w:rsidR="001757EB" w14:paraId="038A14B6" w14:textId="77777777" w:rsidTr="00E52AAD">
        <w:trPr>
          <w:cantSplit/>
          <w:trHeight w:val="181"/>
        </w:trPr>
        <w:tc>
          <w:tcPr>
            <w:tcW w:w="810" w:type="pct"/>
          </w:tcPr>
          <w:p w14:paraId="038A14B0" w14:textId="77777777" w:rsidR="001757EB" w:rsidRDefault="001757EB" w:rsidP="001A5D4A">
            <w:pPr>
              <w:pStyle w:val="Note-Refs"/>
            </w:pPr>
          </w:p>
        </w:tc>
        <w:tc>
          <w:tcPr>
            <w:tcW w:w="2567" w:type="pct"/>
            <w:gridSpan w:val="2"/>
          </w:tcPr>
          <w:p w14:paraId="038A14B1" w14:textId="77777777" w:rsidR="001757EB" w:rsidRPr="008B0621" w:rsidRDefault="001757EB" w:rsidP="001A5D4A">
            <w:pPr>
              <w:pStyle w:val="NotesTable-ItemPlain"/>
            </w:pPr>
          </w:p>
        </w:tc>
        <w:tc>
          <w:tcPr>
            <w:tcW w:w="406" w:type="pct"/>
          </w:tcPr>
          <w:p w14:paraId="038A14B2" w14:textId="7A2FF959" w:rsidR="001757EB" w:rsidRDefault="006864EC" w:rsidP="001A5D4A">
            <w:pPr>
              <w:pStyle w:val="NotesTable-HeadBold"/>
            </w:pPr>
            <w:r>
              <w:t>2014</w:t>
            </w:r>
          </w:p>
        </w:tc>
        <w:tc>
          <w:tcPr>
            <w:tcW w:w="406" w:type="pct"/>
          </w:tcPr>
          <w:p w14:paraId="038A14B3" w14:textId="1D7DB402" w:rsidR="001757EB" w:rsidRDefault="006864EC" w:rsidP="001A5D4A">
            <w:pPr>
              <w:pStyle w:val="NotesTable-HeadPlain"/>
            </w:pPr>
            <w:r>
              <w:t>2013</w:t>
            </w:r>
          </w:p>
        </w:tc>
        <w:tc>
          <w:tcPr>
            <w:tcW w:w="406" w:type="pct"/>
          </w:tcPr>
          <w:p w14:paraId="038A14B4" w14:textId="7A6F811F" w:rsidR="001757EB" w:rsidRDefault="006864EC" w:rsidP="001A5D4A">
            <w:pPr>
              <w:pStyle w:val="NotesTable-HeadBold"/>
            </w:pPr>
            <w:r>
              <w:t>2014</w:t>
            </w:r>
          </w:p>
        </w:tc>
        <w:tc>
          <w:tcPr>
            <w:tcW w:w="406" w:type="pct"/>
          </w:tcPr>
          <w:p w14:paraId="038A14B5" w14:textId="22B97EA5" w:rsidR="001757EB" w:rsidRDefault="006864EC" w:rsidP="001A5D4A">
            <w:pPr>
              <w:pStyle w:val="NotesTable-HeadPlain"/>
            </w:pPr>
            <w:r>
              <w:t>2013</w:t>
            </w:r>
          </w:p>
        </w:tc>
      </w:tr>
      <w:tr w:rsidR="001757EB" w14:paraId="038A14BD" w14:textId="77777777" w:rsidTr="00E52AAD">
        <w:trPr>
          <w:cantSplit/>
          <w:trHeight w:val="181"/>
        </w:trPr>
        <w:tc>
          <w:tcPr>
            <w:tcW w:w="810" w:type="pct"/>
          </w:tcPr>
          <w:p w14:paraId="038A14B7" w14:textId="77777777" w:rsidR="001757EB" w:rsidRDefault="001757EB" w:rsidP="001A5D4A">
            <w:pPr>
              <w:pStyle w:val="Note-Refs"/>
            </w:pPr>
          </w:p>
        </w:tc>
        <w:tc>
          <w:tcPr>
            <w:tcW w:w="2567" w:type="pct"/>
            <w:gridSpan w:val="2"/>
          </w:tcPr>
          <w:p w14:paraId="038A14B8" w14:textId="77777777" w:rsidR="001757EB" w:rsidRPr="008B0621" w:rsidRDefault="001757EB" w:rsidP="001A5D4A">
            <w:pPr>
              <w:pStyle w:val="NotesTable-ItemPlain"/>
            </w:pPr>
          </w:p>
        </w:tc>
        <w:tc>
          <w:tcPr>
            <w:tcW w:w="406" w:type="pct"/>
          </w:tcPr>
          <w:p w14:paraId="038A14B9" w14:textId="77777777" w:rsidR="001757EB" w:rsidRDefault="001757EB" w:rsidP="001A5D4A">
            <w:pPr>
              <w:pStyle w:val="NotesTable-HeadBold"/>
            </w:pPr>
            <w:r>
              <w:t>$’000</w:t>
            </w:r>
          </w:p>
        </w:tc>
        <w:tc>
          <w:tcPr>
            <w:tcW w:w="406" w:type="pct"/>
          </w:tcPr>
          <w:p w14:paraId="038A14BA" w14:textId="77777777" w:rsidR="001757EB" w:rsidRDefault="001757EB" w:rsidP="001A5D4A">
            <w:pPr>
              <w:pStyle w:val="NotesTable-HeadPlain"/>
            </w:pPr>
            <w:r>
              <w:t>$’000</w:t>
            </w:r>
          </w:p>
        </w:tc>
        <w:tc>
          <w:tcPr>
            <w:tcW w:w="406" w:type="pct"/>
          </w:tcPr>
          <w:p w14:paraId="038A14BB" w14:textId="77777777" w:rsidR="001757EB" w:rsidRDefault="001757EB" w:rsidP="001A5D4A">
            <w:pPr>
              <w:pStyle w:val="NotesTable-HeadBold"/>
            </w:pPr>
            <w:r>
              <w:t>$’000</w:t>
            </w:r>
          </w:p>
        </w:tc>
        <w:tc>
          <w:tcPr>
            <w:tcW w:w="406" w:type="pct"/>
          </w:tcPr>
          <w:p w14:paraId="038A14BC" w14:textId="77777777" w:rsidR="001757EB" w:rsidRDefault="001757EB" w:rsidP="001A5D4A">
            <w:pPr>
              <w:pStyle w:val="NotesTable-HeadPlain"/>
            </w:pPr>
            <w:r>
              <w:t>$’000</w:t>
            </w:r>
          </w:p>
        </w:tc>
      </w:tr>
      <w:tr w:rsidR="009B1EF5" w14:paraId="038A14C0" w14:textId="77777777" w:rsidTr="00E52AAD">
        <w:trPr>
          <w:cantSplit/>
          <w:trHeight w:val="181"/>
        </w:trPr>
        <w:tc>
          <w:tcPr>
            <w:tcW w:w="810" w:type="pct"/>
          </w:tcPr>
          <w:p w14:paraId="038A14BE" w14:textId="77777777" w:rsidR="009B1EF5" w:rsidRDefault="00B90CFC" w:rsidP="001A5D4A">
            <w:pPr>
              <w:pStyle w:val="Note-Refs"/>
              <w:rPr>
                <w:b/>
              </w:rPr>
            </w:pPr>
            <w:r>
              <w:t>EDUCATION</w:t>
            </w:r>
            <w:r w:rsidR="009B1EF5">
              <w:t xml:space="preserve"> </w:t>
            </w:r>
          </w:p>
        </w:tc>
        <w:tc>
          <w:tcPr>
            <w:tcW w:w="4190" w:type="pct"/>
            <w:gridSpan w:val="6"/>
            <w:shd w:val="clear" w:color="auto" w:fill="CCCCCC"/>
            <w:vAlign w:val="bottom"/>
          </w:tcPr>
          <w:p w14:paraId="038A14BF" w14:textId="77777777" w:rsidR="009B1EF5" w:rsidRDefault="009B1EF5" w:rsidP="001A5D4A">
            <w:pPr>
              <w:pStyle w:val="Note-TextHeader"/>
              <w:rPr>
                <w:lang w:val="en-GB"/>
              </w:rPr>
            </w:pPr>
            <w:r w:rsidRPr="00C0248C">
              <w:t>Course fees and charges</w:t>
            </w:r>
          </w:p>
        </w:tc>
      </w:tr>
      <w:tr w:rsidR="001757EB" w14:paraId="038A14C7" w14:textId="77777777" w:rsidTr="00E52AAD">
        <w:trPr>
          <w:cantSplit/>
          <w:trHeight w:val="181"/>
        </w:trPr>
        <w:tc>
          <w:tcPr>
            <w:tcW w:w="810" w:type="pct"/>
          </w:tcPr>
          <w:p w14:paraId="038A14C1" w14:textId="77777777" w:rsidR="001757EB" w:rsidRDefault="001757EB" w:rsidP="001A5D4A">
            <w:pPr>
              <w:pStyle w:val="Note-Refs"/>
            </w:pPr>
          </w:p>
        </w:tc>
        <w:tc>
          <w:tcPr>
            <w:tcW w:w="2567" w:type="pct"/>
            <w:gridSpan w:val="2"/>
            <w:shd w:val="clear" w:color="auto" w:fill="CCCCCC"/>
            <w:vAlign w:val="bottom"/>
          </w:tcPr>
          <w:p w14:paraId="038A14C2" w14:textId="0A1AA470" w:rsidR="001757EB" w:rsidRPr="008B0621" w:rsidRDefault="001757EB" w:rsidP="001A5D4A">
            <w:pPr>
              <w:pStyle w:val="NotesTable-ItemPlain"/>
              <w:rPr>
                <w:b/>
              </w:rPr>
            </w:pPr>
            <w:r w:rsidRPr="008B0621">
              <w:t xml:space="preserve">Fee-paying </w:t>
            </w:r>
            <w:r w:rsidR="000A1F43">
              <w:t xml:space="preserve">onshore </w:t>
            </w:r>
            <w:r w:rsidRPr="008B0621">
              <w:t>overseas students</w:t>
            </w:r>
          </w:p>
        </w:tc>
        <w:tc>
          <w:tcPr>
            <w:tcW w:w="406" w:type="pct"/>
            <w:shd w:val="clear" w:color="auto" w:fill="CCCCCC"/>
          </w:tcPr>
          <w:p w14:paraId="038A14C3" w14:textId="77777777" w:rsidR="001757EB" w:rsidRDefault="001757EB" w:rsidP="001A5D4A">
            <w:pPr>
              <w:pStyle w:val="NotesTable-CellBold"/>
            </w:pPr>
            <w:r>
              <w:t>–</w:t>
            </w:r>
          </w:p>
        </w:tc>
        <w:tc>
          <w:tcPr>
            <w:tcW w:w="406" w:type="pct"/>
            <w:shd w:val="clear" w:color="auto" w:fill="CCCCCC"/>
          </w:tcPr>
          <w:p w14:paraId="038A14C4" w14:textId="77777777" w:rsidR="001757EB" w:rsidRDefault="001757EB" w:rsidP="001A5D4A">
            <w:pPr>
              <w:pStyle w:val="NotesTable-CellPlain"/>
            </w:pPr>
            <w:r>
              <w:t>–</w:t>
            </w:r>
          </w:p>
        </w:tc>
        <w:tc>
          <w:tcPr>
            <w:tcW w:w="406" w:type="pct"/>
            <w:shd w:val="clear" w:color="auto" w:fill="CCCCCC"/>
          </w:tcPr>
          <w:p w14:paraId="038A14C5" w14:textId="77777777" w:rsidR="001757EB" w:rsidRDefault="001757EB" w:rsidP="001A5D4A">
            <w:pPr>
              <w:pStyle w:val="NotesTable-CellBold"/>
            </w:pPr>
            <w:r>
              <w:t>–</w:t>
            </w:r>
          </w:p>
        </w:tc>
        <w:tc>
          <w:tcPr>
            <w:tcW w:w="406" w:type="pct"/>
            <w:shd w:val="clear" w:color="auto" w:fill="CCCCCC"/>
          </w:tcPr>
          <w:p w14:paraId="038A14C6" w14:textId="77777777" w:rsidR="001757EB" w:rsidRDefault="001757EB" w:rsidP="001A5D4A">
            <w:pPr>
              <w:pStyle w:val="NotesTable-CellPlain"/>
            </w:pPr>
            <w:r>
              <w:t>–</w:t>
            </w:r>
          </w:p>
        </w:tc>
      </w:tr>
      <w:tr w:rsidR="000A1F43" w14:paraId="288C54D3" w14:textId="77777777" w:rsidTr="00E52AAD">
        <w:trPr>
          <w:cantSplit/>
          <w:trHeight w:val="181"/>
        </w:trPr>
        <w:tc>
          <w:tcPr>
            <w:tcW w:w="810" w:type="pct"/>
          </w:tcPr>
          <w:p w14:paraId="6A872E19" w14:textId="77777777" w:rsidR="000A1F43" w:rsidRDefault="000A1F43" w:rsidP="001A5D4A">
            <w:pPr>
              <w:pStyle w:val="Note-Refs"/>
            </w:pPr>
          </w:p>
        </w:tc>
        <w:tc>
          <w:tcPr>
            <w:tcW w:w="2567" w:type="pct"/>
            <w:gridSpan w:val="2"/>
            <w:shd w:val="clear" w:color="auto" w:fill="CCCCCC"/>
            <w:vAlign w:val="bottom"/>
          </w:tcPr>
          <w:p w14:paraId="5F005A75" w14:textId="2A9EE8DD" w:rsidR="000A1F43" w:rsidRPr="008B0621" w:rsidRDefault="000A1F43" w:rsidP="001A5D4A">
            <w:pPr>
              <w:pStyle w:val="NotesTable-ItemPlain"/>
            </w:pPr>
            <w:r>
              <w:t>Fee-paying offshore overseas students</w:t>
            </w:r>
          </w:p>
        </w:tc>
        <w:tc>
          <w:tcPr>
            <w:tcW w:w="406" w:type="pct"/>
            <w:shd w:val="clear" w:color="auto" w:fill="CCCCCC"/>
          </w:tcPr>
          <w:p w14:paraId="2B9B317E" w14:textId="3E441283" w:rsidR="000A1F43" w:rsidRDefault="000A1F43" w:rsidP="001A5D4A">
            <w:pPr>
              <w:pStyle w:val="NotesTable-CellBold"/>
            </w:pPr>
            <w:r>
              <w:t>–</w:t>
            </w:r>
          </w:p>
        </w:tc>
        <w:tc>
          <w:tcPr>
            <w:tcW w:w="406" w:type="pct"/>
            <w:shd w:val="clear" w:color="auto" w:fill="CCCCCC"/>
          </w:tcPr>
          <w:p w14:paraId="7BC67354" w14:textId="54870A73" w:rsidR="000A1F43" w:rsidRDefault="000A1F43" w:rsidP="001A5D4A">
            <w:pPr>
              <w:pStyle w:val="NotesTable-CellPlain"/>
            </w:pPr>
            <w:r>
              <w:t>–</w:t>
            </w:r>
          </w:p>
        </w:tc>
        <w:tc>
          <w:tcPr>
            <w:tcW w:w="406" w:type="pct"/>
            <w:shd w:val="clear" w:color="auto" w:fill="CCCCCC"/>
          </w:tcPr>
          <w:p w14:paraId="07436570" w14:textId="5BA8B5F7" w:rsidR="000A1F43" w:rsidRDefault="000A1F43" w:rsidP="001A5D4A">
            <w:pPr>
              <w:pStyle w:val="NotesTable-CellBold"/>
            </w:pPr>
            <w:r>
              <w:t>–</w:t>
            </w:r>
          </w:p>
        </w:tc>
        <w:tc>
          <w:tcPr>
            <w:tcW w:w="406" w:type="pct"/>
            <w:shd w:val="clear" w:color="auto" w:fill="CCCCCC"/>
          </w:tcPr>
          <w:p w14:paraId="3F974058" w14:textId="7259BCEA" w:rsidR="000A1F43" w:rsidRDefault="000A1F43" w:rsidP="001A5D4A">
            <w:pPr>
              <w:pStyle w:val="NotesTable-CellPlain"/>
            </w:pPr>
            <w:r>
              <w:t>–</w:t>
            </w:r>
          </w:p>
        </w:tc>
      </w:tr>
      <w:tr w:rsidR="001757EB" w14:paraId="038A14CE" w14:textId="77777777" w:rsidTr="00E52AAD">
        <w:trPr>
          <w:cantSplit/>
          <w:trHeight w:val="181"/>
        </w:trPr>
        <w:tc>
          <w:tcPr>
            <w:tcW w:w="810" w:type="pct"/>
          </w:tcPr>
          <w:p w14:paraId="038A14C8" w14:textId="77777777" w:rsidR="001757EB" w:rsidRDefault="001757EB" w:rsidP="001A5D4A">
            <w:pPr>
              <w:pStyle w:val="Note-Refs"/>
            </w:pPr>
          </w:p>
        </w:tc>
        <w:tc>
          <w:tcPr>
            <w:tcW w:w="2567" w:type="pct"/>
            <w:gridSpan w:val="2"/>
            <w:shd w:val="clear" w:color="auto" w:fill="CCCCCC"/>
            <w:vAlign w:val="bottom"/>
          </w:tcPr>
          <w:p w14:paraId="038A14C9" w14:textId="71584F1E" w:rsidR="001757EB" w:rsidRPr="008B0621" w:rsidRDefault="001757EB" w:rsidP="001A5D4A">
            <w:pPr>
              <w:pStyle w:val="NotesTable-ItemPlain"/>
              <w:rPr>
                <w:b/>
              </w:rPr>
            </w:pPr>
            <w:r w:rsidRPr="008B0621">
              <w:t>Continuing education</w:t>
            </w:r>
          </w:p>
        </w:tc>
        <w:tc>
          <w:tcPr>
            <w:tcW w:w="406" w:type="pct"/>
            <w:shd w:val="clear" w:color="auto" w:fill="CCCCCC"/>
          </w:tcPr>
          <w:p w14:paraId="038A14CA" w14:textId="77777777" w:rsidR="001757EB" w:rsidRDefault="001757EB" w:rsidP="001A5D4A">
            <w:pPr>
              <w:pStyle w:val="NotesTable-CellBold"/>
            </w:pPr>
            <w:r>
              <w:t>–</w:t>
            </w:r>
          </w:p>
        </w:tc>
        <w:tc>
          <w:tcPr>
            <w:tcW w:w="406" w:type="pct"/>
            <w:shd w:val="clear" w:color="auto" w:fill="CCCCCC"/>
          </w:tcPr>
          <w:p w14:paraId="038A14CB" w14:textId="77777777" w:rsidR="001757EB" w:rsidRDefault="001757EB" w:rsidP="001A5D4A">
            <w:pPr>
              <w:pStyle w:val="NotesTable-CellPlain"/>
            </w:pPr>
            <w:r>
              <w:t>–</w:t>
            </w:r>
          </w:p>
        </w:tc>
        <w:tc>
          <w:tcPr>
            <w:tcW w:w="406" w:type="pct"/>
            <w:shd w:val="clear" w:color="auto" w:fill="CCCCCC"/>
          </w:tcPr>
          <w:p w14:paraId="038A14CC" w14:textId="77777777" w:rsidR="001757EB" w:rsidRDefault="001757EB" w:rsidP="001A5D4A">
            <w:pPr>
              <w:pStyle w:val="NotesTable-CellBold"/>
            </w:pPr>
            <w:r>
              <w:t>–</w:t>
            </w:r>
          </w:p>
        </w:tc>
        <w:tc>
          <w:tcPr>
            <w:tcW w:w="406" w:type="pct"/>
            <w:shd w:val="clear" w:color="auto" w:fill="CCCCCC"/>
          </w:tcPr>
          <w:p w14:paraId="038A14CD" w14:textId="77777777" w:rsidR="001757EB" w:rsidRDefault="001757EB" w:rsidP="001A5D4A">
            <w:pPr>
              <w:pStyle w:val="NotesTable-CellPlain"/>
            </w:pPr>
            <w:r>
              <w:t>–</w:t>
            </w:r>
          </w:p>
        </w:tc>
      </w:tr>
      <w:tr w:rsidR="001757EB" w14:paraId="038A14D5" w14:textId="77777777" w:rsidTr="00E52AAD">
        <w:trPr>
          <w:cantSplit/>
          <w:trHeight w:val="181"/>
        </w:trPr>
        <w:tc>
          <w:tcPr>
            <w:tcW w:w="810" w:type="pct"/>
          </w:tcPr>
          <w:p w14:paraId="038A14CF" w14:textId="77777777" w:rsidR="001757EB" w:rsidRDefault="001757EB" w:rsidP="001A5D4A">
            <w:pPr>
              <w:pStyle w:val="Note-Refs"/>
            </w:pPr>
          </w:p>
        </w:tc>
        <w:tc>
          <w:tcPr>
            <w:tcW w:w="2567" w:type="pct"/>
            <w:gridSpan w:val="2"/>
            <w:shd w:val="clear" w:color="auto" w:fill="CCCCCC"/>
            <w:vAlign w:val="bottom"/>
          </w:tcPr>
          <w:p w14:paraId="038A14D0" w14:textId="77777777" w:rsidR="001757EB" w:rsidRPr="008B0621" w:rsidRDefault="001757EB" w:rsidP="001A5D4A">
            <w:pPr>
              <w:pStyle w:val="NotesTable-ItemPlain"/>
              <w:rPr>
                <w:b/>
              </w:rPr>
            </w:pPr>
            <w:r w:rsidRPr="008B0621">
              <w:t>Fee-paying domestic postgraduate students</w:t>
            </w:r>
          </w:p>
        </w:tc>
        <w:tc>
          <w:tcPr>
            <w:tcW w:w="406" w:type="pct"/>
            <w:shd w:val="clear" w:color="auto" w:fill="CCCCCC"/>
          </w:tcPr>
          <w:p w14:paraId="038A14D1" w14:textId="77777777" w:rsidR="001757EB" w:rsidRDefault="001757EB" w:rsidP="001A5D4A">
            <w:pPr>
              <w:pStyle w:val="NotesTable-CellBold"/>
            </w:pPr>
            <w:r>
              <w:t>–</w:t>
            </w:r>
          </w:p>
        </w:tc>
        <w:tc>
          <w:tcPr>
            <w:tcW w:w="406" w:type="pct"/>
            <w:shd w:val="clear" w:color="auto" w:fill="CCCCCC"/>
          </w:tcPr>
          <w:p w14:paraId="038A14D2" w14:textId="77777777" w:rsidR="001757EB" w:rsidRDefault="001757EB" w:rsidP="001A5D4A">
            <w:pPr>
              <w:pStyle w:val="NotesTable-CellPlain"/>
            </w:pPr>
            <w:r>
              <w:t>–</w:t>
            </w:r>
          </w:p>
        </w:tc>
        <w:tc>
          <w:tcPr>
            <w:tcW w:w="406" w:type="pct"/>
            <w:shd w:val="clear" w:color="auto" w:fill="CCCCCC"/>
          </w:tcPr>
          <w:p w14:paraId="038A14D3" w14:textId="77777777" w:rsidR="001757EB" w:rsidRDefault="001757EB" w:rsidP="001A5D4A">
            <w:pPr>
              <w:pStyle w:val="NotesTable-CellBold"/>
            </w:pPr>
            <w:r>
              <w:t>–</w:t>
            </w:r>
          </w:p>
        </w:tc>
        <w:tc>
          <w:tcPr>
            <w:tcW w:w="406" w:type="pct"/>
            <w:shd w:val="clear" w:color="auto" w:fill="CCCCCC"/>
          </w:tcPr>
          <w:p w14:paraId="038A14D4" w14:textId="77777777" w:rsidR="001757EB" w:rsidRDefault="001757EB" w:rsidP="001A5D4A">
            <w:pPr>
              <w:pStyle w:val="NotesTable-CellPlain"/>
            </w:pPr>
            <w:r>
              <w:t>–</w:t>
            </w:r>
          </w:p>
        </w:tc>
      </w:tr>
      <w:tr w:rsidR="001757EB" w14:paraId="038A14DC" w14:textId="77777777" w:rsidTr="00E52AAD">
        <w:trPr>
          <w:cantSplit/>
          <w:trHeight w:val="181"/>
        </w:trPr>
        <w:tc>
          <w:tcPr>
            <w:tcW w:w="810" w:type="pct"/>
          </w:tcPr>
          <w:p w14:paraId="038A14D6" w14:textId="77777777" w:rsidR="001757EB" w:rsidRDefault="001757EB" w:rsidP="001A5D4A">
            <w:pPr>
              <w:pStyle w:val="Note-Refs"/>
            </w:pPr>
          </w:p>
        </w:tc>
        <w:tc>
          <w:tcPr>
            <w:tcW w:w="2567" w:type="pct"/>
            <w:gridSpan w:val="2"/>
            <w:shd w:val="clear" w:color="auto" w:fill="CCCCCC"/>
            <w:vAlign w:val="bottom"/>
          </w:tcPr>
          <w:p w14:paraId="038A14D7" w14:textId="77777777" w:rsidR="001757EB" w:rsidRPr="008B0621" w:rsidRDefault="001757EB" w:rsidP="001A5D4A">
            <w:pPr>
              <w:pStyle w:val="NotesTable-ItemPlain"/>
              <w:rPr>
                <w:b/>
              </w:rPr>
            </w:pPr>
            <w:r w:rsidRPr="008B0621">
              <w:t>Fee-paying domestic undergraduate students</w:t>
            </w:r>
          </w:p>
        </w:tc>
        <w:tc>
          <w:tcPr>
            <w:tcW w:w="406" w:type="pct"/>
            <w:shd w:val="clear" w:color="auto" w:fill="CCCCCC"/>
          </w:tcPr>
          <w:p w14:paraId="038A14D8" w14:textId="77777777" w:rsidR="001757EB" w:rsidRDefault="001757EB" w:rsidP="001A5D4A">
            <w:pPr>
              <w:pStyle w:val="NotesTable-CellBold"/>
            </w:pPr>
            <w:r>
              <w:t>–</w:t>
            </w:r>
          </w:p>
        </w:tc>
        <w:tc>
          <w:tcPr>
            <w:tcW w:w="406" w:type="pct"/>
            <w:shd w:val="clear" w:color="auto" w:fill="CCCCCC"/>
          </w:tcPr>
          <w:p w14:paraId="038A14D9" w14:textId="77777777" w:rsidR="001757EB" w:rsidRDefault="001757EB" w:rsidP="001A5D4A">
            <w:pPr>
              <w:pStyle w:val="NotesTable-CellPlain"/>
            </w:pPr>
            <w:r>
              <w:t>–</w:t>
            </w:r>
          </w:p>
        </w:tc>
        <w:tc>
          <w:tcPr>
            <w:tcW w:w="406" w:type="pct"/>
            <w:shd w:val="clear" w:color="auto" w:fill="CCCCCC"/>
          </w:tcPr>
          <w:p w14:paraId="038A14DA" w14:textId="77777777" w:rsidR="001757EB" w:rsidRDefault="001757EB" w:rsidP="001A5D4A">
            <w:pPr>
              <w:pStyle w:val="NotesTable-CellBold"/>
            </w:pPr>
            <w:r>
              <w:t>–</w:t>
            </w:r>
          </w:p>
        </w:tc>
        <w:tc>
          <w:tcPr>
            <w:tcW w:w="406" w:type="pct"/>
            <w:shd w:val="clear" w:color="auto" w:fill="CCCCCC"/>
          </w:tcPr>
          <w:p w14:paraId="038A14DB" w14:textId="77777777" w:rsidR="001757EB" w:rsidRDefault="001757EB" w:rsidP="001A5D4A">
            <w:pPr>
              <w:pStyle w:val="NotesTable-CellPlain"/>
            </w:pPr>
            <w:r>
              <w:t>–</w:t>
            </w:r>
          </w:p>
        </w:tc>
      </w:tr>
      <w:tr w:rsidR="001757EB" w14:paraId="038A14E3" w14:textId="77777777" w:rsidTr="00E52AAD">
        <w:trPr>
          <w:cantSplit/>
          <w:trHeight w:val="181"/>
        </w:trPr>
        <w:tc>
          <w:tcPr>
            <w:tcW w:w="810" w:type="pct"/>
          </w:tcPr>
          <w:p w14:paraId="038A14DD" w14:textId="77777777" w:rsidR="001757EB" w:rsidRDefault="001757EB" w:rsidP="001A5D4A">
            <w:pPr>
              <w:pStyle w:val="Note-Refs"/>
            </w:pPr>
          </w:p>
        </w:tc>
        <w:tc>
          <w:tcPr>
            <w:tcW w:w="2567" w:type="pct"/>
            <w:gridSpan w:val="2"/>
            <w:shd w:val="clear" w:color="auto" w:fill="CCCCCC"/>
            <w:vAlign w:val="bottom"/>
          </w:tcPr>
          <w:p w14:paraId="038A14DE" w14:textId="77777777" w:rsidR="001757EB" w:rsidRPr="008B0621" w:rsidRDefault="001757EB" w:rsidP="001A5D4A">
            <w:pPr>
              <w:pStyle w:val="NotesTable-ItemPlain"/>
              <w:rPr>
                <w:b/>
              </w:rPr>
            </w:pPr>
            <w:r w:rsidRPr="008B0621">
              <w:t>Fee-paying domestic non-award students</w:t>
            </w:r>
          </w:p>
        </w:tc>
        <w:tc>
          <w:tcPr>
            <w:tcW w:w="406" w:type="pct"/>
            <w:shd w:val="clear" w:color="auto" w:fill="CCCCCC"/>
          </w:tcPr>
          <w:p w14:paraId="038A14DF" w14:textId="77777777" w:rsidR="001757EB" w:rsidRDefault="001757EB" w:rsidP="001A5D4A">
            <w:pPr>
              <w:pStyle w:val="NotesTable-CellBold"/>
            </w:pPr>
            <w:r>
              <w:t>–</w:t>
            </w:r>
          </w:p>
        </w:tc>
        <w:tc>
          <w:tcPr>
            <w:tcW w:w="406" w:type="pct"/>
            <w:shd w:val="clear" w:color="auto" w:fill="CCCCCC"/>
          </w:tcPr>
          <w:p w14:paraId="038A14E0" w14:textId="77777777" w:rsidR="001757EB" w:rsidRDefault="001757EB" w:rsidP="001A5D4A">
            <w:pPr>
              <w:pStyle w:val="NotesTable-CellPlain"/>
            </w:pPr>
            <w:r>
              <w:t>–</w:t>
            </w:r>
          </w:p>
        </w:tc>
        <w:tc>
          <w:tcPr>
            <w:tcW w:w="406" w:type="pct"/>
            <w:shd w:val="clear" w:color="auto" w:fill="CCCCCC"/>
          </w:tcPr>
          <w:p w14:paraId="038A14E1" w14:textId="77777777" w:rsidR="001757EB" w:rsidRDefault="001757EB" w:rsidP="001A5D4A">
            <w:pPr>
              <w:pStyle w:val="NotesTable-CellBold"/>
            </w:pPr>
            <w:r>
              <w:t>–</w:t>
            </w:r>
          </w:p>
        </w:tc>
        <w:tc>
          <w:tcPr>
            <w:tcW w:w="406" w:type="pct"/>
            <w:shd w:val="clear" w:color="auto" w:fill="CCCCCC"/>
          </w:tcPr>
          <w:p w14:paraId="038A14E2" w14:textId="77777777" w:rsidR="001757EB" w:rsidRDefault="001757EB" w:rsidP="001A5D4A">
            <w:pPr>
              <w:pStyle w:val="NotesTable-CellPlain"/>
            </w:pPr>
            <w:r>
              <w:t>–</w:t>
            </w:r>
          </w:p>
        </w:tc>
      </w:tr>
      <w:tr w:rsidR="001757EB" w14:paraId="038A14EA" w14:textId="77777777" w:rsidTr="00E52AAD">
        <w:trPr>
          <w:cantSplit/>
          <w:trHeight w:val="181"/>
        </w:trPr>
        <w:tc>
          <w:tcPr>
            <w:tcW w:w="810" w:type="pct"/>
          </w:tcPr>
          <w:p w14:paraId="038A14E4" w14:textId="77777777" w:rsidR="001757EB" w:rsidRDefault="001757EB" w:rsidP="001A5D4A">
            <w:pPr>
              <w:pStyle w:val="Note-Refs"/>
            </w:pPr>
          </w:p>
        </w:tc>
        <w:tc>
          <w:tcPr>
            <w:tcW w:w="2567" w:type="pct"/>
            <w:gridSpan w:val="2"/>
            <w:shd w:val="clear" w:color="auto" w:fill="CCCCCC"/>
            <w:vAlign w:val="bottom"/>
          </w:tcPr>
          <w:p w14:paraId="038A14E5" w14:textId="77777777" w:rsidR="001757EB" w:rsidRPr="008B0621" w:rsidRDefault="001757EB" w:rsidP="001A5D4A">
            <w:pPr>
              <w:pStyle w:val="NotesTable-ItemPlain"/>
              <w:rPr>
                <w:b/>
              </w:rPr>
            </w:pPr>
            <w:r w:rsidRPr="008B0621">
              <w:t>Other domestic course fees and charges</w:t>
            </w:r>
          </w:p>
        </w:tc>
        <w:tc>
          <w:tcPr>
            <w:tcW w:w="406" w:type="pct"/>
            <w:shd w:val="clear" w:color="auto" w:fill="CCCCCC"/>
          </w:tcPr>
          <w:p w14:paraId="038A14E6" w14:textId="77777777" w:rsidR="001757EB" w:rsidRDefault="001757EB" w:rsidP="001A5D4A">
            <w:pPr>
              <w:pStyle w:val="NotesTable-CellBold"/>
            </w:pPr>
            <w:r>
              <w:t>–</w:t>
            </w:r>
          </w:p>
        </w:tc>
        <w:tc>
          <w:tcPr>
            <w:tcW w:w="406" w:type="pct"/>
            <w:shd w:val="clear" w:color="auto" w:fill="CCCCCC"/>
          </w:tcPr>
          <w:p w14:paraId="038A14E7" w14:textId="77777777" w:rsidR="001757EB" w:rsidRDefault="001757EB" w:rsidP="001A5D4A">
            <w:pPr>
              <w:pStyle w:val="NotesTable-CellPlain"/>
            </w:pPr>
            <w:r>
              <w:t>–</w:t>
            </w:r>
          </w:p>
        </w:tc>
        <w:tc>
          <w:tcPr>
            <w:tcW w:w="406" w:type="pct"/>
            <w:shd w:val="clear" w:color="auto" w:fill="CCCCCC"/>
          </w:tcPr>
          <w:p w14:paraId="038A14E8" w14:textId="77777777" w:rsidR="001757EB" w:rsidRDefault="001757EB" w:rsidP="001A5D4A">
            <w:pPr>
              <w:pStyle w:val="NotesTable-CellBold"/>
            </w:pPr>
            <w:r>
              <w:t>–</w:t>
            </w:r>
          </w:p>
        </w:tc>
        <w:tc>
          <w:tcPr>
            <w:tcW w:w="406" w:type="pct"/>
            <w:shd w:val="clear" w:color="auto" w:fill="CCCCCC"/>
          </w:tcPr>
          <w:p w14:paraId="038A14E9" w14:textId="77777777" w:rsidR="001757EB" w:rsidRDefault="001757EB" w:rsidP="001A5D4A">
            <w:pPr>
              <w:pStyle w:val="NotesTable-CellPlain"/>
            </w:pPr>
            <w:r>
              <w:t>–</w:t>
            </w:r>
          </w:p>
        </w:tc>
      </w:tr>
      <w:tr w:rsidR="001757EB" w14:paraId="038A14F1" w14:textId="77777777" w:rsidTr="00E52AAD">
        <w:trPr>
          <w:cantSplit/>
          <w:trHeight w:val="181"/>
        </w:trPr>
        <w:tc>
          <w:tcPr>
            <w:tcW w:w="810" w:type="pct"/>
          </w:tcPr>
          <w:p w14:paraId="038A14EB" w14:textId="77777777" w:rsidR="001757EB" w:rsidRDefault="001757EB" w:rsidP="001A5D4A">
            <w:pPr>
              <w:pStyle w:val="Note-Refs"/>
            </w:pPr>
          </w:p>
        </w:tc>
        <w:tc>
          <w:tcPr>
            <w:tcW w:w="2567" w:type="pct"/>
            <w:gridSpan w:val="2"/>
            <w:shd w:val="clear" w:color="auto" w:fill="CCCCCC"/>
            <w:vAlign w:val="bottom"/>
          </w:tcPr>
          <w:p w14:paraId="038A14EC" w14:textId="77777777" w:rsidR="001757EB" w:rsidRPr="008B0621" w:rsidRDefault="001757EB" w:rsidP="001A5D4A">
            <w:pPr>
              <w:pStyle w:val="NotesTable-ItemPlain"/>
              <w:rPr>
                <w:b/>
              </w:rPr>
            </w:pPr>
            <w:r w:rsidRPr="008B0621">
              <w:t>[</w:t>
            </w:r>
            <w:r w:rsidRPr="00C0248C">
              <w:t>Specify</w:t>
            </w:r>
            <w:r w:rsidRPr="008B0621">
              <w:t>]</w:t>
            </w:r>
          </w:p>
        </w:tc>
        <w:tc>
          <w:tcPr>
            <w:tcW w:w="406" w:type="pct"/>
            <w:tcBorders>
              <w:bottom w:val="single" w:sz="4" w:space="0" w:color="000000"/>
            </w:tcBorders>
            <w:shd w:val="clear" w:color="auto" w:fill="CCCCCC"/>
          </w:tcPr>
          <w:p w14:paraId="038A14ED" w14:textId="77777777" w:rsidR="001757EB" w:rsidRDefault="001757EB" w:rsidP="001A5D4A">
            <w:pPr>
              <w:pStyle w:val="NotesTable-CellBold"/>
            </w:pPr>
            <w:r>
              <w:t>–</w:t>
            </w:r>
          </w:p>
        </w:tc>
        <w:tc>
          <w:tcPr>
            <w:tcW w:w="406" w:type="pct"/>
            <w:tcBorders>
              <w:bottom w:val="single" w:sz="4" w:space="0" w:color="000000"/>
            </w:tcBorders>
            <w:shd w:val="clear" w:color="auto" w:fill="CCCCCC"/>
          </w:tcPr>
          <w:p w14:paraId="038A14EE" w14:textId="77777777" w:rsidR="001757EB" w:rsidRDefault="001757EB" w:rsidP="001A5D4A">
            <w:pPr>
              <w:pStyle w:val="NotesTable-CellPlain"/>
            </w:pPr>
            <w:r>
              <w:t>–</w:t>
            </w:r>
          </w:p>
        </w:tc>
        <w:tc>
          <w:tcPr>
            <w:tcW w:w="406" w:type="pct"/>
            <w:tcBorders>
              <w:bottom w:val="single" w:sz="4" w:space="0" w:color="000000"/>
            </w:tcBorders>
            <w:shd w:val="clear" w:color="auto" w:fill="CCCCCC"/>
          </w:tcPr>
          <w:p w14:paraId="038A14EF" w14:textId="77777777" w:rsidR="001757EB" w:rsidRDefault="001757EB" w:rsidP="001A5D4A">
            <w:pPr>
              <w:pStyle w:val="NotesTable-CellBold"/>
            </w:pPr>
            <w:r>
              <w:t>–</w:t>
            </w:r>
          </w:p>
        </w:tc>
        <w:tc>
          <w:tcPr>
            <w:tcW w:w="406" w:type="pct"/>
            <w:tcBorders>
              <w:bottom w:val="single" w:sz="4" w:space="0" w:color="000000"/>
            </w:tcBorders>
            <w:shd w:val="clear" w:color="auto" w:fill="CCCCCC"/>
          </w:tcPr>
          <w:p w14:paraId="038A14F0" w14:textId="77777777" w:rsidR="001757EB" w:rsidRDefault="001757EB" w:rsidP="001A5D4A">
            <w:pPr>
              <w:pStyle w:val="NotesTable-CellPlain"/>
            </w:pPr>
            <w:r>
              <w:t>–</w:t>
            </w:r>
          </w:p>
        </w:tc>
      </w:tr>
      <w:tr w:rsidR="001757EB" w14:paraId="038A14F8" w14:textId="77777777" w:rsidTr="00E52AAD">
        <w:trPr>
          <w:cantSplit/>
          <w:trHeight w:val="181"/>
        </w:trPr>
        <w:tc>
          <w:tcPr>
            <w:tcW w:w="810" w:type="pct"/>
          </w:tcPr>
          <w:p w14:paraId="038A14F2" w14:textId="77777777" w:rsidR="001757EB" w:rsidRDefault="001757EB" w:rsidP="001A5D4A">
            <w:pPr>
              <w:pStyle w:val="Note-Refs"/>
            </w:pPr>
          </w:p>
        </w:tc>
        <w:tc>
          <w:tcPr>
            <w:tcW w:w="2567" w:type="pct"/>
            <w:gridSpan w:val="2"/>
            <w:shd w:val="clear" w:color="auto" w:fill="CCCCCC"/>
            <w:vAlign w:val="bottom"/>
          </w:tcPr>
          <w:p w14:paraId="038A14F3" w14:textId="77777777" w:rsidR="001757EB" w:rsidRPr="008B0621" w:rsidRDefault="001757EB" w:rsidP="001A5D4A">
            <w:pPr>
              <w:pStyle w:val="NotesTable-ItemPlain"/>
              <w:rPr>
                <w:b/>
              </w:rPr>
            </w:pPr>
            <w:r w:rsidRPr="008B0621">
              <w:t>Total course fees and charges</w:t>
            </w:r>
          </w:p>
        </w:tc>
        <w:tc>
          <w:tcPr>
            <w:tcW w:w="406" w:type="pct"/>
            <w:tcBorders>
              <w:top w:val="single" w:sz="4" w:space="0" w:color="000000"/>
            </w:tcBorders>
            <w:shd w:val="clear" w:color="auto" w:fill="CCCCCC"/>
          </w:tcPr>
          <w:p w14:paraId="038A14F4" w14:textId="77777777" w:rsidR="001757EB" w:rsidRDefault="001757EB" w:rsidP="001A5D4A">
            <w:pPr>
              <w:pStyle w:val="NotesTable-CellBold"/>
            </w:pPr>
            <w:r>
              <w:t>–</w:t>
            </w:r>
          </w:p>
        </w:tc>
        <w:tc>
          <w:tcPr>
            <w:tcW w:w="406" w:type="pct"/>
            <w:tcBorders>
              <w:top w:val="single" w:sz="4" w:space="0" w:color="000000"/>
            </w:tcBorders>
            <w:shd w:val="clear" w:color="auto" w:fill="CCCCCC"/>
          </w:tcPr>
          <w:p w14:paraId="038A14F5" w14:textId="77777777" w:rsidR="001757EB" w:rsidRDefault="001757EB" w:rsidP="001A5D4A">
            <w:pPr>
              <w:pStyle w:val="NotesTable-CellPlain"/>
            </w:pPr>
            <w:r>
              <w:t>–</w:t>
            </w:r>
          </w:p>
        </w:tc>
        <w:tc>
          <w:tcPr>
            <w:tcW w:w="406" w:type="pct"/>
            <w:tcBorders>
              <w:top w:val="single" w:sz="4" w:space="0" w:color="000000"/>
            </w:tcBorders>
            <w:shd w:val="clear" w:color="auto" w:fill="CCCCCC"/>
          </w:tcPr>
          <w:p w14:paraId="038A14F6" w14:textId="77777777" w:rsidR="001757EB" w:rsidRDefault="001757EB" w:rsidP="001A5D4A">
            <w:pPr>
              <w:pStyle w:val="NotesTable-CellBold"/>
            </w:pPr>
            <w:r>
              <w:t>–</w:t>
            </w:r>
          </w:p>
        </w:tc>
        <w:tc>
          <w:tcPr>
            <w:tcW w:w="406" w:type="pct"/>
            <w:tcBorders>
              <w:top w:val="single" w:sz="4" w:space="0" w:color="000000"/>
            </w:tcBorders>
            <w:shd w:val="clear" w:color="auto" w:fill="CCCCCC"/>
          </w:tcPr>
          <w:p w14:paraId="038A14F7" w14:textId="77777777" w:rsidR="001757EB" w:rsidRDefault="001757EB" w:rsidP="001A5D4A">
            <w:pPr>
              <w:pStyle w:val="NotesTable-CellPlain"/>
            </w:pPr>
            <w:r>
              <w:t>–</w:t>
            </w:r>
          </w:p>
        </w:tc>
      </w:tr>
      <w:tr w:rsidR="009B1EF5" w14:paraId="038A14FB" w14:textId="77777777" w:rsidTr="00E52AAD">
        <w:trPr>
          <w:cantSplit/>
          <w:trHeight w:val="181"/>
        </w:trPr>
        <w:tc>
          <w:tcPr>
            <w:tcW w:w="810" w:type="pct"/>
          </w:tcPr>
          <w:p w14:paraId="038A14F9" w14:textId="77777777" w:rsidR="009B1EF5" w:rsidRDefault="009B1EF5" w:rsidP="001A5D4A">
            <w:pPr>
              <w:pStyle w:val="Note-Refs"/>
            </w:pPr>
          </w:p>
        </w:tc>
        <w:tc>
          <w:tcPr>
            <w:tcW w:w="4190" w:type="pct"/>
            <w:gridSpan w:val="6"/>
            <w:vAlign w:val="bottom"/>
          </w:tcPr>
          <w:p w14:paraId="038A14FA" w14:textId="77777777" w:rsidR="009B1EF5" w:rsidRDefault="009B1EF5" w:rsidP="001A5D4A">
            <w:pPr>
              <w:pStyle w:val="Note-Text"/>
            </w:pPr>
          </w:p>
        </w:tc>
      </w:tr>
      <w:tr w:rsidR="009B1EF5" w14:paraId="038A14FE" w14:textId="77777777" w:rsidTr="00E52AAD">
        <w:trPr>
          <w:cantSplit/>
          <w:trHeight w:val="181"/>
        </w:trPr>
        <w:tc>
          <w:tcPr>
            <w:tcW w:w="810" w:type="pct"/>
          </w:tcPr>
          <w:p w14:paraId="038A14FC" w14:textId="77777777" w:rsidR="009B1EF5" w:rsidRDefault="009B1EF5" w:rsidP="001A5D4A">
            <w:pPr>
              <w:pStyle w:val="Note-Refs"/>
            </w:pPr>
          </w:p>
        </w:tc>
        <w:tc>
          <w:tcPr>
            <w:tcW w:w="4190" w:type="pct"/>
            <w:gridSpan w:val="6"/>
            <w:vAlign w:val="bottom"/>
          </w:tcPr>
          <w:p w14:paraId="038A14FD" w14:textId="77777777" w:rsidR="009B1EF5" w:rsidRDefault="009B1EF5" w:rsidP="001A5D4A">
            <w:pPr>
              <w:pStyle w:val="Note-TextHeader"/>
              <w:rPr>
                <w:lang w:val="en-GB"/>
              </w:rPr>
            </w:pPr>
            <w:r w:rsidRPr="00C0248C">
              <w:t>Other non-course fees and charges</w:t>
            </w:r>
          </w:p>
        </w:tc>
      </w:tr>
      <w:tr w:rsidR="00D366F7" w14:paraId="038A1505" w14:textId="77777777" w:rsidTr="00E52AAD">
        <w:trPr>
          <w:cantSplit/>
          <w:trHeight w:val="181"/>
        </w:trPr>
        <w:tc>
          <w:tcPr>
            <w:tcW w:w="810" w:type="pct"/>
          </w:tcPr>
          <w:p w14:paraId="038A14FF" w14:textId="77777777" w:rsidR="00D366F7" w:rsidRDefault="00D366F7" w:rsidP="001A5D4A">
            <w:pPr>
              <w:pStyle w:val="Note-Refs"/>
              <w:rPr>
                <w:b/>
              </w:rPr>
            </w:pPr>
            <w:r>
              <w:t>EDUCATION</w:t>
            </w:r>
          </w:p>
        </w:tc>
        <w:tc>
          <w:tcPr>
            <w:tcW w:w="2298" w:type="pct"/>
            <w:shd w:val="clear" w:color="auto" w:fill="CCCCCC"/>
            <w:vAlign w:val="bottom"/>
          </w:tcPr>
          <w:p w14:paraId="1A95433B" w14:textId="77777777" w:rsidR="00D366F7" w:rsidRPr="008B0621" w:rsidRDefault="00D366F7" w:rsidP="001A5D4A">
            <w:pPr>
              <w:pStyle w:val="NotesTable-ItemPlain"/>
              <w:rPr>
                <w:b/>
              </w:rPr>
            </w:pPr>
            <w:r w:rsidRPr="008B0621">
              <w:t xml:space="preserve">Student Services </w:t>
            </w:r>
            <w:r>
              <w:t xml:space="preserve">and Amenities </w:t>
            </w:r>
            <w:r w:rsidRPr="008B0621">
              <w:t>Fees from students</w:t>
            </w:r>
          </w:p>
        </w:tc>
        <w:tc>
          <w:tcPr>
            <w:tcW w:w="269" w:type="pct"/>
            <w:shd w:val="clear" w:color="auto" w:fill="CCCCCC"/>
            <w:vAlign w:val="bottom"/>
          </w:tcPr>
          <w:p w14:paraId="038A1500" w14:textId="6B40DD56" w:rsidR="00D366F7" w:rsidRPr="008B0621" w:rsidRDefault="00D366F7" w:rsidP="001A5D4A">
            <w:pPr>
              <w:pStyle w:val="NotesTable-ItemPlain"/>
            </w:pPr>
            <w:r>
              <w:t>54j</w:t>
            </w:r>
          </w:p>
        </w:tc>
        <w:tc>
          <w:tcPr>
            <w:tcW w:w="406" w:type="pct"/>
            <w:shd w:val="clear" w:color="auto" w:fill="CCCCCC"/>
          </w:tcPr>
          <w:p w14:paraId="038A1501" w14:textId="77777777" w:rsidR="00D366F7" w:rsidRDefault="00D366F7" w:rsidP="001A5D4A">
            <w:pPr>
              <w:pStyle w:val="NotesTable-CellBold"/>
            </w:pPr>
            <w:r>
              <w:t>–</w:t>
            </w:r>
          </w:p>
        </w:tc>
        <w:tc>
          <w:tcPr>
            <w:tcW w:w="406" w:type="pct"/>
            <w:shd w:val="clear" w:color="auto" w:fill="CCCCCC"/>
          </w:tcPr>
          <w:p w14:paraId="038A1502" w14:textId="77777777" w:rsidR="00D366F7" w:rsidRDefault="00D366F7" w:rsidP="001A5D4A">
            <w:pPr>
              <w:pStyle w:val="NotesTable-CellPlain"/>
            </w:pPr>
            <w:r>
              <w:t>–</w:t>
            </w:r>
          </w:p>
        </w:tc>
        <w:tc>
          <w:tcPr>
            <w:tcW w:w="406" w:type="pct"/>
            <w:shd w:val="clear" w:color="auto" w:fill="CCCCCC"/>
          </w:tcPr>
          <w:p w14:paraId="038A1503" w14:textId="77777777" w:rsidR="00D366F7" w:rsidRDefault="00D366F7" w:rsidP="001A5D4A">
            <w:pPr>
              <w:pStyle w:val="NotesTable-CellBold"/>
            </w:pPr>
            <w:r>
              <w:t>–</w:t>
            </w:r>
          </w:p>
        </w:tc>
        <w:tc>
          <w:tcPr>
            <w:tcW w:w="406" w:type="pct"/>
            <w:shd w:val="clear" w:color="auto" w:fill="CCCCCC"/>
          </w:tcPr>
          <w:p w14:paraId="038A1504" w14:textId="77777777" w:rsidR="00D366F7" w:rsidRDefault="00D366F7" w:rsidP="001A5D4A">
            <w:pPr>
              <w:pStyle w:val="NotesTable-CellPlain"/>
            </w:pPr>
            <w:r>
              <w:t>–</w:t>
            </w:r>
          </w:p>
        </w:tc>
      </w:tr>
      <w:tr w:rsidR="001757EB" w14:paraId="038A150C" w14:textId="77777777" w:rsidTr="00E52AAD">
        <w:trPr>
          <w:cantSplit/>
          <w:trHeight w:val="181"/>
        </w:trPr>
        <w:tc>
          <w:tcPr>
            <w:tcW w:w="810" w:type="pct"/>
          </w:tcPr>
          <w:p w14:paraId="038A1506" w14:textId="77777777" w:rsidR="001757EB" w:rsidRDefault="001757EB" w:rsidP="001A5D4A">
            <w:pPr>
              <w:pStyle w:val="Note-Refs"/>
            </w:pPr>
          </w:p>
        </w:tc>
        <w:tc>
          <w:tcPr>
            <w:tcW w:w="2567" w:type="pct"/>
            <w:gridSpan w:val="2"/>
            <w:vAlign w:val="bottom"/>
          </w:tcPr>
          <w:p w14:paraId="038A1507" w14:textId="77777777" w:rsidR="001757EB" w:rsidRPr="008B0621" w:rsidRDefault="001757EB" w:rsidP="001A5D4A">
            <w:pPr>
              <w:pStyle w:val="NotesTable-ItemPlain"/>
              <w:rPr>
                <w:b/>
              </w:rPr>
            </w:pPr>
            <w:r w:rsidRPr="008B0621">
              <w:t>[</w:t>
            </w:r>
            <w:r w:rsidRPr="00C0248C">
              <w:t>Specify</w:t>
            </w:r>
            <w:r w:rsidRPr="008B0621">
              <w:t>]</w:t>
            </w:r>
          </w:p>
        </w:tc>
        <w:tc>
          <w:tcPr>
            <w:tcW w:w="406" w:type="pct"/>
            <w:tcBorders>
              <w:bottom w:val="single" w:sz="4" w:space="0" w:color="auto"/>
            </w:tcBorders>
          </w:tcPr>
          <w:p w14:paraId="038A1508" w14:textId="77777777" w:rsidR="001757EB" w:rsidRDefault="001757EB" w:rsidP="001A5D4A">
            <w:pPr>
              <w:pStyle w:val="NotesTable-CellBold"/>
            </w:pPr>
            <w:r>
              <w:t>–</w:t>
            </w:r>
          </w:p>
        </w:tc>
        <w:tc>
          <w:tcPr>
            <w:tcW w:w="406" w:type="pct"/>
            <w:tcBorders>
              <w:bottom w:val="single" w:sz="4" w:space="0" w:color="auto"/>
            </w:tcBorders>
          </w:tcPr>
          <w:p w14:paraId="038A1509" w14:textId="77777777" w:rsidR="001757EB" w:rsidRDefault="001757EB" w:rsidP="001A5D4A">
            <w:pPr>
              <w:pStyle w:val="NotesTable-CellPlain"/>
            </w:pPr>
            <w:r>
              <w:t>–</w:t>
            </w:r>
          </w:p>
        </w:tc>
        <w:tc>
          <w:tcPr>
            <w:tcW w:w="406" w:type="pct"/>
            <w:tcBorders>
              <w:bottom w:val="single" w:sz="4" w:space="0" w:color="auto"/>
            </w:tcBorders>
          </w:tcPr>
          <w:p w14:paraId="038A150A" w14:textId="77777777" w:rsidR="001757EB" w:rsidRDefault="001757EB" w:rsidP="001A5D4A">
            <w:pPr>
              <w:pStyle w:val="NotesTable-CellBold"/>
            </w:pPr>
            <w:r>
              <w:t>–</w:t>
            </w:r>
          </w:p>
        </w:tc>
        <w:tc>
          <w:tcPr>
            <w:tcW w:w="406" w:type="pct"/>
            <w:tcBorders>
              <w:bottom w:val="single" w:sz="4" w:space="0" w:color="auto"/>
            </w:tcBorders>
          </w:tcPr>
          <w:p w14:paraId="038A150B" w14:textId="77777777" w:rsidR="001757EB" w:rsidRDefault="001757EB" w:rsidP="001A5D4A">
            <w:pPr>
              <w:pStyle w:val="NotesTable-CellPlain"/>
            </w:pPr>
            <w:r>
              <w:t>–</w:t>
            </w:r>
          </w:p>
        </w:tc>
      </w:tr>
      <w:tr w:rsidR="001757EB" w14:paraId="038A1513" w14:textId="77777777" w:rsidTr="00E52AAD">
        <w:trPr>
          <w:cantSplit/>
          <w:trHeight w:val="181"/>
        </w:trPr>
        <w:tc>
          <w:tcPr>
            <w:tcW w:w="810" w:type="pct"/>
          </w:tcPr>
          <w:p w14:paraId="038A150D" w14:textId="77777777" w:rsidR="001757EB" w:rsidRDefault="001757EB" w:rsidP="001A5D4A">
            <w:pPr>
              <w:pStyle w:val="Note-Refs"/>
            </w:pPr>
          </w:p>
        </w:tc>
        <w:tc>
          <w:tcPr>
            <w:tcW w:w="2567" w:type="pct"/>
            <w:gridSpan w:val="2"/>
            <w:vAlign w:val="bottom"/>
          </w:tcPr>
          <w:p w14:paraId="038A150E" w14:textId="77777777" w:rsidR="001757EB" w:rsidRPr="008B0621" w:rsidRDefault="001757EB" w:rsidP="001A5D4A">
            <w:pPr>
              <w:pStyle w:val="NotesTable-ItemPlain"/>
              <w:rPr>
                <w:b/>
              </w:rPr>
            </w:pPr>
            <w:r w:rsidRPr="008B0621">
              <w:t>Total other fees and charges</w:t>
            </w:r>
          </w:p>
        </w:tc>
        <w:tc>
          <w:tcPr>
            <w:tcW w:w="406" w:type="pct"/>
            <w:tcBorders>
              <w:top w:val="single" w:sz="4" w:space="0" w:color="auto"/>
              <w:bottom w:val="single" w:sz="4" w:space="0" w:color="auto"/>
            </w:tcBorders>
          </w:tcPr>
          <w:p w14:paraId="038A150F" w14:textId="77777777" w:rsidR="001757EB" w:rsidRDefault="001757EB" w:rsidP="001A5D4A">
            <w:pPr>
              <w:pStyle w:val="NotesTable-CellBold"/>
            </w:pPr>
            <w:r>
              <w:t>–</w:t>
            </w:r>
          </w:p>
        </w:tc>
        <w:tc>
          <w:tcPr>
            <w:tcW w:w="406" w:type="pct"/>
            <w:tcBorders>
              <w:top w:val="single" w:sz="4" w:space="0" w:color="auto"/>
              <w:bottom w:val="single" w:sz="4" w:space="0" w:color="auto"/>
            </w:tcBorders>
          </w:tcPr>
          <w:p w14:paraId="038A1510" w14:textId="77777777" w:rsidR="001757EB" w:rsidRDefault="001757EB" w:rsidP="001A5D4A">
            <w:pPr>
              <w:pStyle w:val="NotesTable-CellPlain"/>
            </w:pPr>
            <w:r>
              <w:t>–</w:t>
            </w:r>
          </w:p>
        </w:tc>
        <w:tc>
          <w:tcPr>
            <w:tcW w:w="406" w:type="pct"/>
            <w:tcBorders>
              <w:top w:val="single" w:sz="4" w:space="0" w:color="auto"/>
              <w:bottom w:val="single" w:sz="4" w:space="0" w:color="auto"/>
            </w:tcBorders>
          </w:tcPr>
          <w:p w14:paraId="038A1511" w14:textId="77777777" w:rsidR="001757EB" w:rsidRDefault="001757EB" w:rsidP="001A5D4A">
            <w:pPr>
              <w:pStyle w:val="NotesTable-CellBold"/>
            </w:pPr>
            <w:r>
              <w:t>–</w:t>
            </w:r>
          </w:p>
        </w:tc>
        <w:tc>
          <w:tcPr>
            <w:tcW w:w="406" w:type="pct"/>
            <w:tcBorders>
              <w:top w:val="single" w:sz="4" w:space="0" w:color="auto"/>
              <w:bottom w:val="single" w:sz="4" w:space="0" w:color="auto"/>
            </w:tcBorders>
          </w:tcPr>
          <w:p w14:paraId="038A1512" w14:textId="77777777" w:rsidR="001757EB" w:rsidRDefault="001757EB" w:rsidP="001A5D4A">
            <w:pPr>
              <w:pStyle w:val="NotesTable-CellPlain"/>
            </w:pPr>
            <w:r>
              <w:t>–</w:t>
            </w:r>
          </w:p>
        </w:tc>
      </w:tr>
      <w:tr w:rsidR="001757EB" w14:paraId="038A151A" w14:textId="77777777" w:rsidTr="00E52AAD">
        <w:trPr>
          <w:cantSplit/>
          <w:trHeight w:val="181"/>
        </w:trPr>
        <w:tc>
          <w:tcPr>
            <w:tcW w:w="810" w:type="pct"/>
          </w:tcPr>
          <w:p w14:paraId="038A1514" w14:textId="77777777" w:rsidR="001757EB" w:rsidRDefault="001757EB" w:rsidP="001A5D4A">
            <w:pPr>
              <w:pStyle w:val="Note-Refs"/>
            </w:pPr>
          </w:p>
        </w:tc>
        <w:tc>
          <w:tcPr>
            <w:tcW w:w="2567" w:type="pct"/>
            <w:gridSpan w:val="2"/>
            <w:vAlign w:val="bottom"/>
          </w:tcPr>
          <w:p w14:paraId="038A1515" w14:textId="77777777" w:rsidR="001757EB" w:rsidRPr="00C0248C" w:rsidRDefault="001757EB" w:rsidP="001A5D4A">
            <w:pPr>
              <w:pStyle w:val="NotesTable-ItemPlain"/>
              <w:rPr>
                <w:b/>
              </w:rPr>
            </w:pPr>
            <w:r w:rsidRPr="00C0248C">
              <w:t>Total fees and charges</w:t>
            </w:r>
          </w:p>
        </w:tc>
        <w:tc>
          <w:tcPr>
            <w:tcW w:w="406" w:type="pct"/>
            <w:tcBorders>
              <w:top w:val="single" w:sz="4" w:space="0" w:color="auto"/>
            </w:tcBorders>
          </w:tcPr>
          <w:p w14:paraId="038A1516" w14:textId="77777777" w:rsidR="001757EB" w:rsidRDefault="001757EB" w:rsidP="001A5D4A">
            <w:pPr>
              <w:pStyle w:val="NotesTable-CellBold"/>
            </w:pPr>
            <w:r>
              <w:t>–</w:t>
            </w:r>
          </w:p>
        </w:tc>
        <w:tc>
          <w:tcPr>
            <w:tcW w:w="406" w:type="pct"/>
            <w:tcBorders>
              <w:top w:val="single" w:sz="4" w:space="0" w:color="auto"/>
            </w:tcBorders>
          </w:tcPr>
          <w:p w14:paraId="038A1517" w14:textId="77777777" w:rsidR="001757EB" w:rsidRDefault="001757EB" w:rsidP="001A5D4A">
            <w:pPr>
              <w:pStyle w:val="NotesTable-CellPlain"/>
            </w:pPr>
            <w:r>
              <w:t>–</w:t>
            </w:r>
          </w:p>
        </w:tc>
        <w:tc>
          <w:tcPr>
            <w:tcW w:w="406" w:type="pct"/>
            <w:tcBorders>
              <w:top w:val="single" w:sz="4" w:space="0" w:color="auto"/>
            </w:tcBorders>
          </w:tcPr>
          <w:p w14:paraId="038A1518" w14:textId="77777777" w:rsidR="001757EB" w:rsidRDefault="001757EB" w:rsidP="001A5D4A">
            <w:pPr>
              <w:pStyle w:val="NotesTable-CellBold"/>
            </w:pPr>
            <w:r>
              <w:t>–</w:t>
            </w:r>
          </w:p>
        </w:tc>
        <w:tc>
          <w:tcPr>
            <w:tcW w:w="406" w:type="pct"/>
            <w:tcBorders>
              <w:top w:val="single" w:sz="4" w:space="0" w:color="auto"/>
            </w:tcBorders>
          </w:tcPr>
          <w:p w14:paraId="038A1519" w14:textId="77777777" w:rsidR="001757EB" w:rsidRDefault="001757EB" w:rsidP="001A5D4A">
            <w:pPr>
              <w:pStyle w:val="NotesTable-CellPlain"/>
            </w:pPr>
            <w:r>
              <w:t>–</w:t>
            </w:r>
          </w:p>
        </w:tc>
      </w:tr>
    </w:tbl>
    <w:p w14:paraId="1259B7ED" w14:textId="77777777" w:rsidR="00CB724E" w:rsidRPr="00CB724E" w:rsidRDefault="00CB724E" w:rsidP="001A5D4A">
      <w:pPr>
        <w:pStyle w:val="Heading3"/>
        <w:rPr>
          <w:color w:val="2D3E7B" w:themeColor="text2" w:themeShade="BF"/>
        </w:rPr>
      </w:pPr>
      <w:bookmarkStart w:id="263" w:name="_Toc410807609"/>
      <w:bookmarkStart w:id="264" w:name="_Toc410822663"/>
      <w:r w:rsidRPr="00CB724E">
        <w:rPr>
          <w:color w:val="2D3E7B" w:themeColor="text2" w:themeShade="BF"/>
        </w:rPr>
        <w:t>Commentary – Fees and charges</w:t>
      </w:r>
      <w:bookmarkEnd w:id="263"/>
      <w:bookmarkEnd w:id="264"/>
    </w:p>
    <w:p w14:paraId="32B3408F" w14:textId="77777777" w:rsidR="00CB724E" w:rsidRPr="0000701C" w:rsidRDefault="00CB724E" w:rsidP="00AB24D3">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Required format</w:t>
      </w:r>
    </w:p>
    <w:p w14:paraId="21C07D4D" w14:textId="31924A3F" w:rsidR="00CB724E" w:rsidRPr="0000701C" w:rsidRDefault="00CB724E" w:rsidP="00E422A6">
      <w:pPr>
        <w:pStyle w:val="Heading6"/>
      </w:pPr>
      <w:r w:rsidRPr="0000701C">
        <w:t>Education</w:t>
      </w:r>
    </w:p>
    <w:p w14:paraId="7093B428" w14:textId="77777777" w:rsidR="00CB724E" w:rsidRPr="0000701C" w:rsidRDefault="00CB724E" w:rsidP="001A5D4A">
      <w:pPr>
        <w:rPr>
          <w:color w:val="2D3E7B" w:themeColor="text2" w:themeShade="BF"/>
        </w:rPr>
      </w:pPr>
      <w:r w:rsidRPr="0000701C">
        <w:rPr>
          <w:color w:val="2D3E7B" w:themeColor="text2" w:themeShade="BF"/>
        </w:rPr>
        <w:t>To maintain reporting consistency across the sector, the Department of Education requires Course Fees and Charges to be reported in the format provided.</w:t>
      </w:r>
    </w:p>
    <w:p w14:paraId="6BFAB5F2" w14:textId="77777777" w:rsidR="00CB724E" w:rsidRPr="0000701C" w:rsidRDefault="00CB724E" w:rsidP="00AB24D3">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Overseas and domestic course fees and charges</w:t>
      </w:r>
    </w:p>
    <w:p w14:paraId="3343A735" w14:textId="77777777" w:rsidR="00CB724E" w:rsidRPr="0000701C" w:rsidRDefault="00CB724E" w:rsidP="001A5D4A">
      <w:pPr>
        <w:rPr>
          <w:color w:val="2D3E7B" w:themeColor="text2" w:themeShade="BF"/>
        </w:rPr>
      </w:pPr>
      <w:r w:rsidRPr="0000701C">
        <w:rPr>
          <w:color w:val="2D3E7B" w:themeColor="text2" w:themeShade="BF"/>
        </w:rPr>
        <w:t>All course fees and charges from overseas students are to be included as “Fee-paying overseas students”, irrespective of the level and type of course being undertaken, and are to be broken down into onshore and offshore delivery categories Fees and charges from domestic students undertaking non-award courses are to be reported as a specific item.</w:t>
      </w:r>
    </w:p>
    <w:p w14:paraId="72227E4E" w14:textId="77777777" w:rsidR="00CB724E" w:rsidRPr="0000701C" w:rsidRDefault="00CB724E" w:rsidP="00AB24D3">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Other non-course fees and charges</w:t>
      </w:r>
    </w:p>
    <w:p w14:paraId="32C4A459" w14:textId="77777777" w:rsidR="00CB724E" w:rsidRPr="0000701C" w:rsidRDefault="00CB724E" w:rsidP="001A5D4A">
      <w:pPr>
        <w:rPr>
          <w:color w:val="2D3E7B" w:themeColor="text2" w:themeShade="BF"/>
        </w:rPr>
      </w:pPr>
      <w:r w:rsidRPr="0000701C">
        <w:rPr>
          <w:color w:val="2D3E7B" w:themeColor="text2" w:themeShade="BF"/>
        </w:rPr>
        <w:t xml:space="preserve">Only major categories of fees and charges need to be shown as individual items; immaterial categories may be grouped as “Other”. Fees and charges included as “Other” must not be greater than 10% of total course fees and charges or other fees and charges accordingly. Examples of such non-course fees and charges are: Amenities and Service fees, Examination fees, </w:t>
      </w:r>
      <w:proofErr w:type="gramStart"/>
      <w:r w:rsidRPr="0000701C">
        <w:rPr>
          <w:color w:val="2D3E7B" w:themeColor="text2" w:themeShade="BF"/>
        </w:rPr>
        <w:t>Late</w:t>
      </w:r>
      <w:proofErr w:type="gramEnd"/>
      <w:r w:rsidRPr="0000701C">
        <w:rPr>
          <w:color w:val="2D3E7B" w:themeColor="text2" w:themeShade="BF"/>
        </w:rPr>
        <w:t xml:space="preserve"> fees, Library fines, Parking fees, Registration fees, Rental charges, Student accommodation, Other fees and charges.</w:t>
      </w:r>
    </w:p>
    <w:p w14:paraId="210ED0D0" w14:textId="77777777" w:rsidR="00CB724E" w:rsidRPr="0000701C" w:rsidRDefault="00CB724E" w:rsidP="00AB24D3">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Consultancy and contract fees</w:t>
      </w:r>
    </w:p>
    <w:p w14:paraId="127776BB" w14:textId="77777777" w:rsidR="00CB724E" w:rsidRPr="00CB724E" w:rsidRDefault="00CB724E" w:rsidP="001A5D4A">
      <w:pPr>
        <w:rPr>
          <w:color w:val="2D3E7B" w:themeColor="text2" w:themeShade="BF"/>
        </w:rPr>
      </w:pPr>
      <w:r w:rsidRPr="0000701C">
        <w:rPr>
          <w:color w:val="2D3E7B" w:themeColor="text2" w:themeShade="BF"/>
        </w:rPr>
        <w:t xml:space="preserve">Consultancy and contract fees are to be shown </w:t>
      </w:r>
      <w:r w:rsidRPr="00CB724E">
        <w:rPr>
          <w:color w:val="2D3E7B" w:themeColor="text2" w:themeShade="BF"/>
        </w:rPr>
        <w:t>as separate revenue items at note 8.</w:t>
      </w:r>
    </w:p>
    <w:p w14:paraId="3E9B1C16" w14:textId="77777777" w:rsidR="00CB724E" w:rsidRPr="0000701C" w:rsidRDefault="00CB724E" w:rsidP="0000701C">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Student Services and Amenities Fees from students</w:t>
      </w:r>
    </w:p>
    <w:p w14:paraId="5F91519B" w14:textId="2CDD2BB0" w:rsidR="004914AC" w:rsidRDefault="00CB724E" w:rsidP="001A5D4A">
      <w:pPr>
        <w:rPr>
          <w:color w:val="2D3E7B" w:themeColor="text2" w:themeShade="BF"/>
        </w:rPr>
      </w:pPr>
      <w:r w:rsidRPr="00CB724E">
        <w:rPr>
          <w:color w:val="2D3E7B" w:themeColor="text2" w:themeShade="BF"/>
        </w:rPr>
        <w:t>SSAF from students should match the acquittals note 53j, which is mandatory.</w:t>
      </w:r>
    </w:p>
    <w:p w14:paraId="3BE1DB1A" w14:textId="77777777" w:rsidR="004914AC" w:rsidRDefault="004914AC">
      <w:pPr>
        <w:spacing w:after="0"/>
        <w:rPr>
          <w:color w:val="2D3E7B" w:themeColor="text2" w:themeShade="BF"/>
        </w:rPr>
      </w:pPr>
      <w:r>
        <w:rPr>
          <w:color w:val="2D3E7B" w:themeColor="text2" w:themeShade="BF"/>
        </w:rPr>
        <w:br w:type="page"/>
      </w:r>
    </w:p>
    <w:p w14:paraId="63A4B081" w14:textId="642BF489" w:rsidR="00E52AAD" w:rsidRPr="00E52AAD" w:rsidRDefault="00E52AAD" w:rsidP="00D61C84">
      <w:pPr>
        <w:pStyle w:val="Heading2"/>
      </w:pPr>
      <w:bookmarkStart w:id="265" w:name="_Toc410822664"/>
      <w:proofErr w:type="gramStart"/>
      <w:r w:rsidRPr="00E52AAD">
        <w:lastRenderedPageBreak/>
        <w:t>Note 6.</w:t>
      </w:r>
      <w:proofErr w:type="gramEnd"/>
      <w:r>
        <w:t xml:space="preserve"> </w:t>
      </w:r>
      <w:r w:rsidRPr="00E52AAD">
        <w:t>Investment revenue and income</w:t>
      </w:r>
      <w:bookmarkEnd w:id="265"/>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1554" w14:textId="77777777" w:rsidTr="00AA28A1">
        <w:trPr>
          <w:cantSplit/>
          <w:trHeight w:val="181"/>
        </w:trPr>
        <w:tc>
          <w:tcPr>
            <w:tcW w:w="810" w:type="pct"/>
          </w:tcPr>
          <w:p w14:paraId="038A1550" w14:textId="77777777" w:rsidR="00023312" w:rsidRDefault="00023312" w:rsidP="001A5D4A">
            <w:pPr>
              <w:pStyle w:val="Note-Refs"/>
            </w:pPr>
          </w:p>
        </w:tc>
        <w:tc>
          <w:tcPr>
            <w:tcW w:w="2567" w:type="pct"/>
            <w:vAlign w:val="bottom"/>
          </w:tcPr>
          <w:p w14:paraId="038A1551" w14:textId="77777777" w:rsidR="00023312" w:rsidRPr="00263413" w:rsidRDefault="00FE029C" w:rsidP="001A5D4A">
            <w:pPr>
              <w:rPr>
                <w:color w:val="FF0000"/>
              </w:rPr>
            </w:pPr>
            <w:r w:rsidRPr="00263413">
              <w:rPr>
                <w:color w:val="FF0000"/>
              </w:rPr>
              <w:t>(see Appendix 1 if early adopting AASB9)</w:t>
            </w:r>
          </w:p>
        </w:tc>
        <w:tc>
          <w:tcPr>
            <w:tcW w:w="811" w:type="pct"/>
            <w:gridSpan w:val="2"/>
          </w:tcPr>
          <w:p w14:paraId="038A1552" w14:textId="77777777" w:rsidR="00023312" w:rsidRDefault="00023312" w:rsidP="001A5D4A">
            <w:pPr>
              <w:pStyle w:val="NotesTable-HeadPlain"/>
              <w:rPr>
                <w:b/>
              </w:rPr>
            </w:pPr>
            <w:r>
              <w:t>Consolidated</w:t>
            </w:r>
          </w:p>
        </w:tc>
        <w:tc>
          <w:tcPr>
            <w:tcW w:w="811" w:type="pct"/>
            <w:gridSpan w:val="2"/>
          </w:tcPr>
          <w:p w14:paraId="038A1553" w14:textId="77777777" w:rsidR="00023312" w:rsidRDefault="00023312" w:rsidP="001A5D4A">
            <w:pPr>
              <w:pStyle w:val="NotesTable-HeadPlain"/>
            </w:pPr>
            <w:r>
              <w:t>Parent entity</w:t>
            </w:r>
          </w:p>
        </w:tc>
      </w:tr>
      <w:tr w:rsidR="001757EB" w14:paraId="038A155B" w14:textId="77777777" w:rsidTr="00AA28A1">
        <w:trPr>
          <w:cantSplit/>
          <w:trHeight w:val="181"/>
        </w:trPr>
        <w:tc>
          <w:tcPr>
            <w:tcW w:w="810" w:type="pct"/>
          </w:tcPr>
          <w:p w14:paraId="038A1555" w14:textId="77777777" w:rsidR="001757EB" w:rsidRDefault="001757EB" w:rsidP="001A5D4A">
            <w:pPr>
              <w:pStyle w:val="Note-Refs"/>
            </w:pPr>
          </w:p>
        </w:tc>
        <w:tc>
          <w:tcPr>
            <w:tcW w:w="2567" w:type="pct"/>
            <w:vAlign w:val="bottom"/>
          </w:tcPr>
          <w:p w14:paraId="038A1556" w14:textId="77777777" w:rsidR="001757EB" w:rsidRDefault="001757EB" w:rsidP="001A5D4A">
            <w:pPr>
              <w:pStyle w:val="NotesTable-ItemPlain"/>
            </w:pPr>
          </w:p>
        </w:tc>
        <w:tc>
          <w:tcPr>
            <w:tcW w:w="406" w:type="pct"/>
          </w:tcPr>
          <w:p w14:paraId="038A1557" w14:textId="413C4780" w:rsidR="001757EB" w:rsidRDefault="006864EC" w:rsidP="001A5D4A">
            <w:pPr>
              <w:pStyle w:val="NotesTable-HeadBold"/>
            </w:pPr>
            <w:r>
              <w:t>2014</w:t>
            </w:r>
          </w:p>
        </w:tc>
        <w:tc>
          <w:tcPr>
            <w:tcW w:w="406" w:type="pct"/>
          </w:tcPr>
          <w:p w14:paraId="038A1558" w14:textId="408FBEE2" w:rsidR="001757EB" w:rsidRDefault="006864EC" w:rsidP="001A5D4A">
            <w:pPr>
              <w:pStyle w:val="NotesTable-HeadPlain"/>
            </w:pPr>
            <w:r>
              <w:t>2013</w:t>
            </w:r>
          </w:p>
        </w:tc>
        <w:tc>
          <w:tcPr>
            <w:tcW w:w="406" w:type="pct"/>
          </w:tcPr>
          <w:p w14:paraId="038A1559" w14:textId="659AC595" w:rsidR="001757EB" w:rsidRDefault="006864EC" w:rsidP="001A5D4A">
            <w:pPr>
              <w:pStyle w:val="NotesTable-HeadBold"/>
            </w:pPr>
            <w:r>
              <w:t>2014</w:t>
            </w:r>
          </w:p>
        </w:tc>
        <w:tc>
          <w:tcPr>
            <w:tcW w:w="406" w:type="pct"/>
          </w:tcPr>
          <w:p w14:paraId="038A155A" w14:textId="7D9ACB07" w:rsidR="001757EB" w:rsidRDefault="006864EC" w:rsidP="001A5D4A">
            <w:pPr>
              <w:pStyle w:val="NotesTable-HeadPlain"/>
            </w:pPr>
            <w:r>
              <w:t>2013</w:t>
            </w:r>
          </w:p>
        </w:tc>
      </w:tr>
      <w:tr w:rsidR="001757EB" w14:paraId="038A1562" w14:textId="77777777" w:rsidTr="00AA28A1">
        <w:trPr>
          <w:cantSplit/>
          <w:trHeight w:val="181"/>
        </w:trPr>
        <w:tc>
          <w:tcPr>
            <w:tcW w:w="810" w:type="pct"/>
          </w:tcPr>
          <w:p w14:paraId="038A155C" w14:textId="77777777" w:rsidR="001757EB" w:rsidRDefault="001757EB" w:rsidP="001A5D4A">
            <w:pPr>
              <w:pStyle w:val="Note-Refs"/>
            </w:pPr>
          </w:p>
        </w:tc>
        <w:tc>
          <w:tcPr>
            <w:tcW w:w="2567" w:type="pct"/>
            <w:vAlign w:val="bottom"/>
          </w:tcPr>
          <w:p w14:paraId="038A155D" w14:textId="77777777" w:rsidR="001757EB" w:rsidRDefault="001757EB" w:rsidP="001A5D4A">
            <w:pPr>
              <w:pStyle w:val="NotesTable-ItemPlain"/>
            </w:pPr>
          </w:p>
        </w:tc>
        <w:tc>
          <w:tcPr>
            <w:tcW w:w="406" w:type="pct"/>
          </w:tcPr>
          <w:p w14:paraId="038A155E" w14:textId="77777777" w:rsidR="001757EB" w:rsidRDefault="001757EB" w:rsidP="001A5D4A">
            <w:pPr>
              <w:pStyle w:val="NotesTable-HeadBold"/>
            </w:pPr>
            <w:r>
              <w:t>$’000</w:t>
            </w:r>
          </w:p>
        </w:tc>
        <w:tc>
          <w:tcPr>
            <w:tcW w:w="406" w:type="pct"/>
          </w:tcPr>
          <w:p w14:paraId="038A155F" w14:textId="77777777" w:rsidR="001757EB" w:rsidRDefault="001757EB" w:rsidP="001A5D4A">
            <w:pPr>
              <w:pStyle w:val="NotesTable-HeadPlain"/>
            </w:pPr>
            <w:r>
              <w:t>$’000</w:t>
            </w:r>
          </w:p>
        </w:tc>
        <w:tc>
          <w:tcPr>
            <w:tcW w:w="406" w:type="pct"/>
          </w:tcPr>
          <w:p w14:paraId="038A1560" w14:textId="77777777" w:rsidR="001757EB" w:rsidRDefault="001757EB" w:rsidP="001A5D4A">
            <w:pPr>
              <w:pStyle w:val="NotesTable-HeadBold"/>
            </w:pPr>
            <w:r>
              <w:t>$’000</w:t>
            </w:r>
          </w:p>
        </w:tc>
        <w:tc>
          <w:tcPr>
            <w:tcW w:w="406" w:type="pct"/>
          </w:tcPr>
          <w:p w14:paraId="038A1561" w14:textId="77777777" w:rsidR="001757EB" w:rsidRDefault="001757EB" w:rsidP="001A5D4A">
            <w:pPr>
              <w:pStyle w:val="NotesTable-HeadPlain"/>
            </w:pPr>
            <w:r>
              <w:t>$’000</w:t>
            </w:r>
          </w:p>
        </w:tc>
      </w:tr>
      <w:tr w:rsidR="001757EB" w14:paraId="038A1569" w14:textId="77777777" w:rsidTr="00AA28A1">
        <w:trPr>
          <w:cantSplit/>
          <w:trHeight w:val="181"/>
        </w:trPr>
        <w:tc>
          <w:tcPr>
            <w:tcW w:w="810" w:type="pct"/>
          </w:tcPr>
          <w:p w14:paraId="038A1563" w14:textId="40A9F69A" w:rsidR="001757EB" w:rsidRDefault="0064304C" w:rsidP="001A5D4A">
            <w:pPr>
              <w:pStyle w:val="Note-Refs"/>
            </w:pPr>
            <w:r>
              <w:t>AASB118.35b</w:t>
            </w:r>
          </w:p>
        </w:tc>
        <w:tc>
          <w:tcPr>
            <w:tcW w:w="2567" w:type="pct"/>
            <w:vAlign w:val="bottom"/>
          </w:tcPr>
          <w:p w14:paraId="038A1564" w14:textId="6B6F8D02" w:rsidR="001757EB" w:rsidRDefault="001757EB" w:rsidP="001A5D4A">
            <w:pPr>
              <w:pStyle w:val="NotesTable-ItemPlain"/>
              <w:rPr>
                <w:b/>
              </w:rPr>
            </w:pPr>
            <w:r>
              <w:t>Interest</w:t>
            </w:r>
            <w:r w:rsidR="006C6D0E">
              <w:t xml:space="preserve"> income:</w:t>
            </w:r>
          </w:p>
        </w:tc>
        <w:tc>
          <w:tcPr>
            <w:tcW w:w="406" w:type="pct"/>
          </w:tcPr>
          <w:p w14:paraId="038A1565" w14:textId="77777777" w:rsidR="001757EB" w:rsidRDefault="001757EB" w:rsidP="001A5D4A">
            <w:pPr>
              <w:pStyle w:val="NotesTable-CellBold"/>
            </w:pPr>
            <w:r>
              <w:t>–</w:t>
            </w:r>
          </w:p>
        </w:tc>
        <w:tc>
          <w:tcPr>
            <w:tcW w:w="406" w:type="pct"/>
          </w:tcPr>
          <w:p w14:paraId="038A1566" w14:textId="77777777" w:rsidR="001757EB" w:rsidRDefault="001757EB" w:rsidP="001A5D4A">
            <w:pPr>
              <w:pStyle w:val="NotesTable-CellPlain"/>
            </w:pPr>
            <w:r>
              <w:t>–</w:t>
            </w:r>
          </w:p>
        </w:tc>
        <w:tc>
          <w:tcPr>
            <w:tcW w:w="406" w:type="pct"/>
          </w:tcPr>
          <w:p w14:paraId="038A1567" w14:textId="77777777" w:rsidR="001757EB" w:rsidRDefault="001757EB" w:rsidP="001A5D4A">
            <w:pPr>
              <w:pStyle w:val="NotesTable-CellBold"/>
            </w:pPr>
            <w:r>
              <w:t>–</w:t>
            </w:r>
          </w:p>
        </w:tc>
        <w:tc>
          <w:tcPr>
            <w:tcW w:w="406" w:type="pct"/>
          </w:tcPr>
          <w:p w14:paraId="038A1568" w14:textId="77777777" w:rsidR="001757EB" w:rsidRDefault="001757EB" w:rsidP="001A5D4A">
            <w:pPr>
              <w:pStyle w:val="NotesTable-CellPlain"/>
            </w:pPr>
            <w:r>
              <w:t>–</w:t>
            </w:r>
          </w:p>
        </w:tc>
      </w:tr>
      <w:tr w:rsidR="006C6D0E" w14:paraId="0005505C" w14:textId="77777777" w:rsidTr="00AA28A1">
        <w:trPr>
          <w:cantSplit/>
          <w:trHeight w:val="181"/>
        </w:trPr>
        <w:tc>
          <w:tcPr>
            <w:tcW w:w="810" w:type="pct"/>
          </w:tcPr>
          <w:p w14:paraId="0457DEA5" w14:textId="77777777" w:rsidR="006C6D0E" w:rsidRDefault="006C6D0E" w:rsidP="001A5D4A">
            <w:pPr>
              <w:pStyle w:val="Note-Refs"/>
            </w:pPr>
          </w:p>
        </w:tc>
        <w:tc>
          <w:tcPr>
            <w:tcW w:w="2567" w:type="pct"/>
            <w:vAlign w:val="bottom"/>
          </w:tcPr>
          <w:p w14:paraId="3A05057B" w14:textId="03D90D25" w:rsidR="006C6D0E" w:rsidRDefault="006C6D0E" w:rsidP="001A5D4A">
            <w:pPr>
              <w:pStyle w:val="NotesTable-ItemIndent"/>
            </w:pPr>
            <w:r>
              <w:t>Bank deposits</w:t>
            </w:r>
          </w:p>
        </w:tc>
        <w:tc>
          <w:tcPr>
            <w:tcW w:w="406" w:type="pct"/>
          </w:tcPr>
          <w:p w14:paraId="6DB01998" w14:textId="25D55356" w:rsidR="006C6D0E" w:rsidRDefault="006C6D0E" w:rsidP="001A5D4A">
            <w:pPr>
              <w:pStyle w:val="NotesTable-CellBold"/>
            </w:pPr>
            <w:r>
              <w:t>–</w:t>
            </w:r>
          </w:p>
        </w:tc>
        <w:tc>
          <w:tcPr>
            <w:tcW w:w="406" w:type="pct"/>
          </w:tcPr>
          <w:p w14:paraId="17D2DB3A" w14:textId="03EAD001" w:rsidR="006C6D0E" w:rsidRPr="00573FFF" w:rsidRDefault="006C6D0E" w:rsidP="001A5D4A">
            <w:pPr>
              <w:pStyle w:val="NotesTable-CellPlain"/>
              <w:rPr>
                <w:b/>
                <w:szCs w:val="22"/>
              </w:rPr>
            </w:pPr>
            <w:r>
              <w:t>–</w:t>
            </w:r>
          </w:p>
        </w:tc>
        <w:tc>
          <w:tcPr>
            <w:tcW w:w="406" w:type="pct"/>
          </w:tcPr>
          <w:p w14:paraId="0F30EF0E" w14:textId="623A7976" w:rsidR="006C6D0E" w:rsidRDefault="006C6D0E" w:rsidP="001A5D4A">
            <w:pPr>
              <w:pStyle w:val="NotesTable-CellBold"/>
            </w:pPr>
            <w:r>
              <w:t>–</w:t>
            </w:r>
          </w:p>
        </w:tc>
        <w:tc>
          <w:tcPr>
            <w:tcW w:w="406" w:type="pct"/>
          </w:tcPr>
          <w:p w14:paraId="634F9B4A" w14:textId="785283CF" w:rsidR="006C6D0E" w:rsidRPr="00573FFF" w:rsidRDefault="006C6D0E" w:rsidP="001A5D4A">
            <w:pPr>
              <w:pStyle w:val="NotesTable-CellPlain"/>
              <w:rPr>
                <w:b/>
                <w:szCs w:val="22"/>
              </w:rPr>
            </w:pPr>
            <w:r>
              <w:t>–</w:t>
            </w:r>
          </w:p>
        </w:tc>
      </w:tr>
      <w:tr w:rsidR="006C6D0E" w14:paraId="7C8134F1" w14:textId="77777777" w:rsidTr="00AA28A1">
        <w:trPr>
          <w:cantSplit/>
          <w:trHeight w:val="181"/>
        </w:trPr>
        <w:tc>
          <w:tcPr>
            <w:tcW w:w="810" w:type="pct"/>
          </w:tcPr>
          <w:p w14:paraId="2F0F57B7" w14:textId="77777777" w:rsidR="006C6D0E" w:rsidRDefault="006C6D0E" w:rsidP="001A5D4A">
            <w:pPr>
              <w:pStyle w:val="Note-Refs"/>
            </w:pPr>
          </w:p>
        </w:tc>
        <w:tc>
          <w:tcPr>
            <w:tcW w:w="2567" w:type="pct"/>
            <w:vAlign w:val="bottom"/>
          </w:tcPr>
          <w:p w14:paraId="7AA4D3AE" w14:textId="47F66756" w:rsidR="006C6D0E" w:rsidRDefault="006C6D0E" w:rsidP="001A5D4A">
            <w:pPr>
              <w:pStyle w:val="NotesTable-ItemIndent"/>
            </w:pPr>
            <w:r>
              <w:t>Available-for-sale investments</w:t>
            </w:r>
          </w:p>
        </w:tc>
        <w:tc>
          <w:tcPr>
            <w:tcW w:w="406" w:type="pct"/>
          </w:tcPr>
          <w:p w14:paraId="2059B000" w14:textId="4BEFFA21" w:rsidR="006C6D0E" w:rsidRDefault="006C6D0E" w:rsidP="001A5D4A">
            <w:pPr>
              <w:pStyle w:val="NotesTable-CellBold"/>
            </w:pPr>
            <w:r>
              <w:t>–</w:t>
            </w:r>
          </w:p>
        </w:tc>
        <w:tc>
          <w:tcPr>
            <w:tcW w:w="406" w:type="pct"/>
          </w:tcPr>
          <w:p w14:paraId="2BC1B828" w14:textId="505BACF6" w:rsidR="006C6D0E" w:rsidRPr="00573FFF" w:rsidRDefault="006C6D0E" w:rsidP="001A5D4A">
            <w:pPr>
              <w:pStyle w:val="NotesTable-CellPlain"/>
              <w:rPr>
                <w:b/>
                <w:szCs w:val="22"/>
              </w:rPr>
            </w:pPr>
            <w:r>
              <w:t>–</w:t>
            </w:r>
          </w:p>
        </w:tc>
        <w:tc>
          <w:tcPr>
            <w:tcW w:w="406" w:type="pct"/>
          </w:tcPr>
          <w:p w14:paraId="41C2AD4C" w14:textId="68074590" w:rsidR="006C6D0E" w:rsidRDefault="006C6D0E" w:rsidP="001A5D4A">
            <w:pPr>
              <w:pStyle w:val="NotesTable-CellBold"/>
            </w:pPr>
            <w:r>
              <w:t>–</w:t>
            </w:r>
          </w:p>
        </w:tc>
        <w:tc>
          <w:tcPr>
            <w:tcW w:w="406" w:type="pct"/>
          </w:tcPr>
          <w:p w14:paraId="647F237C" w14:textId="7A048A3D" w:rsidR="006C6D0E" w:rsidRPr="00573FFF" w:rsidRDefault="006C6D0E" w:rsidP="001A5D4A">
            <w:pPr>
              <w:pStyle w:val="NotesTable-CellPlain"/>
              <w:rPr>
                <w:b/>
                <w:szCs w:val="22"/>
              </w:rPr>
            </w:pPr>
            <w:r>
              <w:t>–</w:t>
            </w:r>
          </w:p>
        </w:tc>
      </w:tr>
      <w:tr w:rsidR="006C6D0E" w14:paraId="19D0D0C3" w14:textId="77777777" w:rsidTr="00AA28A1">
        <w:trPr>
          <w:cantSplit/>
          <w:trHeight w:val="181"/>
        </w:trPr>
        <w:tc>
          <w:tcPr>
            <w:tcW w:w="810" w:type="pct"/>
          </w:tcPr>
          <w:p w14:paraId="5ABC5CB5" w14:textId="77777777" w:rsidR="006C6D0E" w:rsidRDefault="006C6D0E" w:rsidP="001A5D4A">
            <w:pPr>
              <w:pStyle w:val="Note-Refs"/>
            </w:pPr>
          </w:p>
        </w:tc>
        <w:tc>
          <w:tcPr>
            <w:tcW w:w="2567" w:type="pct"/>
            <w:vAlign w:val="bottom"/>
          </w:tcPr>
          <w:p w14:paraId="073D73FC" w14:textId="6A3FC583" w:rsidR="006C6D0E" w:rsidRDefault="006C6D0E" w:rsidP="001A5D4A">
            <w:pPr>
              <w:pStyle w:val="NotesTable-ItemIndent"/>
            </w:pPr>
            <w:r>
              <w:t>Other loans and receivables</w:t>
            </w:r>
          </w:p>
        </w:tc>
        <w:tc>
          <w:tcPr>
            <w:tcW w:w="406" w:type="pct"/>
          </w:tcPr>
          <w:p w14:paraId="5B97310F" w14:textId="1B3839B4" w:rsidR="006C6D0E" w:rsidRDefault="006C6D0E" w:rsidP="001A5D4A">
            <w:pPr>
              <w:pStyle w:val="NotesTable-CellBold"/>
            </w:pPr>
            <w:r>
              <w:t>–</w:t>
            </w:r>
          </w:p>
        </w:tc>
        <w:tc>
          <w:tcPr>
            <w:tcW w:w="406" w:type="pct"/>
          </w:tcPr>
          <w:p w14:paraId="5241F439" w14:textId="570A6550" w:rsidR="006C6D0E" w:rsidRPr="00573FFF" w:rsidRDefault="006C6D0E" w:rsidP="001A5D4A">
            <w:pPr>
              <w:pStyle w:val="NotesTable-CellPlain"/>
              <w:rPr>
                <w:b/>
                <w:szCs w:val="22"/>
              </w:rPr>
            </w:pPr>
            <w:r>
              <w:t>–</w:t>
            </w:r>
          </w:p>
        </w:tc>
        <w:tc>
          <w:tcPr>
            <w:tcW w:w="406" w:type="pct"/>
          </w:tcPr>
          <w:p w14:paraId="47431E80" w14:textId="44DD8D5F" w:rsidR="006C6D0E" w:rsidRDefault="006C6D0E" w:rsidP="001A5D4A">
            <w:pPr>
              <w:pStyle w:val="NotesTable-CellBold"/>
            </w:pPr>
            <w:r>
              <w:t>–</w:t>
            </w:r>
          </w:p>
        </w:tc>
        <w:tc>
          <w:tcPr>
            <w:tcW w:w="406" w:type="pct"/>
          </w:tcPr>
          <w:p w14:paraId="74F5EEA3" w14:textId="02855127" w:rsidR="006C6D0E" w:rsidRPr="00573FFF" w:rsidRDefault="006C6D0E" w:rsidP="001A5D4A">
            <w:pPr>
              <w:pStyle w:val="NotesTable-CellPlain"/>
              <w:rPr>
                <w:b/>
                <w:szCs w:val="22"/>
              </w:rPr>
            </w:pPr>
            <w:r>
              <w:t>–</w:t>
            </w:r>
          </w:p>
        </w:tc>
      </w:tr>
      <w:tr w:rsidR="006C6D0E" w14:paraId="639CD2FA" w14:textId="77777777" w:rsidTr="00AA28A1">
        <w:trPr>
          <w:cantSplit/>
          <w:trHeight w:val="181"/>
        </w:trPr>
        <w:tc>
          <w:tcPr>
            <w:tcW w:w="810" w:type="pct"/>
          </w:tcPr>
          <w:p w14:paraId="44848847" w14:textId="77777777" w:rsidR="006C6D0E" w:rsidRDefault="006C6D0E" w:rsidP="001A5D4A">
            <w:pPr>
              <w:pStyle w:val="Note-Refs"/>
            </w:pPr>
          </w:p>
        </w:tc>
        <w:tc>
          <w:tcPr>
            <w:tcW w:w="2567" w:type="pct"/>
            <w:vAlign w:val="bottom"/>
          </w:tcPr>
          <w:p w14:paraId="2B6CD8D2" w14:textId="2B891A11" w:rsidR="006C6D0E" w:rsidRDefault="006C6D0E" w:rsidP="001A5D4A">
            <w:pPr>
              <w:pStyle w:val="NotesTable-ItemIndent"/>
            </w:pPr>
            <w:r>
              <w:t>Held-to-maturity investments</w:t>
            </w:r>
          </w:p>
        </w:tc>
        <w:tc>
          <w:tcPr>
            <w:tcW w:w="406" w:type="pct"/>
          </w:tcPr>
          <w:p w14:paraId="09C6BFA4" w14:textId="4F86FE43" w:rsidR="006C6D0E" w:rsidRDefault="006C6D0E" w:rsidP="001A5D4A">
            <w:pPr>
              <w:pStyle w:val="NotesTable-CellBold"/>
            </w:pPr>
            <w:r>
              <w:t>–</w:t>
            </w:r>
          </w:p>
        </w:tc>
        <w:tc>
          <w:tcPr>
            <w:tcW w:w="406" w:type="pct"/>
          </w:tcPr>
          <w:p w14:paraId="28B2B7C4" w14:textId="08D539EB" w:rsidR="006C6D0E" w:rsidRPr="00573FFF" w:rsidRDefault="006C6D0E" w:rsidP="001A5D4A">
            <w:pPr>
              <w:pStyle w:val="NotesTable-CellPlain"/>
              <w:rPr>
                <w:b/>
                <w:szCs w:val="22"/>
              </w:rPr>
            </w:pPr>
            <w:r>
              <w:t>–</w:t>
            </w:r>
          </w:p>
        </w:tc>
        <w:tc>
          <w:tcPr>
            <w:tcW w:w="406" w:type="pct"/>
          </w:tcPr>
          <w:p w14:paraId="6B40B517" w14:textId="771BB439" w:rsidR="006C6D0E" w:rsidRDefault="006C6D0E" w:rsidP="001A5D4A">
            <w:pPr>
              <w:pStyle w:val="NotesTable-CellBold"/>
            </w:pPr>
            <w:r>
              <w:t>–</w:t>
            </w:r>
          </w:p>
        </w:tc>
        <w:tc>
          <w:tcPr>
            <w:tcW w:w="406" w:type="pct"/>
          </w:tcPr>
          <w:p w14:paraId="2C7019DC" w14:textId="7CDDF653" w:rsidR="006C6D0E" w:rsidRPr="00573FFF" w:rsidRDefault="006C6D0E" w:rsidP="001A5D4A">
            <w:pPr>
              <w:pStyle w:val="NotesTable-CellPlain"/>
              <w:rPr>
                <w:b/>
                <w:szCs w:val="22"/>
              </w:rPr>
            </w:pPr>
            <w:r>
              <w:t>–</w:t>
            </w:r>
          </w:p>
        </w:tc>
      </w:tr>
      <w:tr w:rsidR="006C6D0E" w14:paraId="2C24109B" w14:textId="77777777" w:rsidTr="00AA28A1">
        <w:trPr>
          <w:cantSplit/>
          <w:trHeight w:val="181"/>
        </w:trPr>
        <w:tc>
          <w:tcPr>
            <w:tcW w:w="810" w:type="pct"/>
          </w:tcPr>
          <w:p w14:paraId="6AE25095" w14:textId="77777777" w:rsidR="006C6D0E" w:rsidRDefault="006C6D0E" w:rsidP="001A5D4A">
            <w:pPr>
              <w:pStyle w:val="Note-Refs"/>
            </w:pPr>
          </w:p>
        </w:tc>
        <w:tc>
          <w:tcPr>
            <w:tcW w:w="2567" w:type="pct"/>
            <w:vAlign w:val="bottom"/>
          </w:tcPr>
          <w:p w14:paraId="073A4311" w14:textId="7E9DE2DF" w:rsidR="006C6D0E" w:rsidRDefault="006C6D0E" w:rsidP="001A5D4A">
            <w:pPr>
              <w:pStyle w:val="NotesTable-ItemIndent"/>
            </w:pPr>
            <w:r>
              <w:t>Impaired financial assets</w:t>
            </w:r>
          </w:p>
        </w:tc>
        <w:tc>
          <w:tcPr>
            <w:tcW w:w="406" w:type="pct"/>
          </w:tcPr>
          <w:p w14:paraId="612B9C0B" w14:textId="5DBDF663" w:rsidR="006C6D0E" w:rsidRDefault="006C6D0E" w:rsidP="001A5D4A">
            <w:pPr>
              <w:pStyle w:val="NotesTable-CellBold"/>
            </w:pPr>
            <w:r>
              <w:t>–</w:t>
            </w:r>
          </w:p>
        </w:tc>
        <w:tc>
          <w:tcPr>
            <w:tcW w:w="406" w:type="pct"/>
          </w:tcPr>
          <w:p w14:paraId="610E4D07" w14:textId="5BA211EC" w:rsidR="006C6D0E" w:rsidRDefault="006C6D0E" w:rsidP="001A5D4A">
            <w:pPr>
              <w:pStyle w:val="NotesTable-CellPlain"/>
            </w:pPr>
            <w:r>
              <w:t>–</w:t>
            </w:r>
          </w:p>
        </w:tc>
        <w:tc>
          <w:tcPr>
            <w:tcW w:w="406" w:type="pct"/>
          </w:tcPr>
          <w:p w14:paraId="7CADE91F" w14:textId="73968264" w:rsidR="006C6D0E" w:rsidRDefault="006C6D0E" w:rsidP="001A5D4A">
            <w:pPr>
              <w:pStyle w:val="NotesTable-CellBold"/>
            </w:pPr>
            <w:r>
              <w:t>–</w:t>
            </w:r>
          </w:p>
        </w:tc>
        <w:tc>
          <w:tcPr>
            <w:tcW w:w="406" w:type="pct"/>
          </w:tcPr>
          <w:p w14:paraId="36D53376" w14:textId="7015399A" w:rsidR="006C6D0E" w:rsidRDefault="006C6D0E" w:rsidP="001A5D4A">
            <w:pPr>
              <w:pStyle w:val="NotesTable-CellPlain"/>
            </w:pPr>
            <w:r>
              <w:t>–</w:t>
            </w:r>
          </w:p>
        </w:tc>
      </w:tr>
      <w:tr w:rsidR="001757EB" w14:paraId="038A1570" w14:textId="77777777" w:rsidTr="00AA28A1">
        <w:trPr>
          <w:cantSplit/>
          <w:trHeight w:val="181"/>
        </w:trPr>
        <w:tc>
          <w:tcPr>
            <w:tcW w:w="810" w:type="pct"/>
          </w:tcPr>
          <w:p w14:paraId="038A156A" w14:textId="77777777" w:rsidR="001757EB" w:rsidRDefault="001757EB" w:rsidP="001A5D4A">
            <w:pPr>
              <w:pStyle w:val="Note-Refs"/>
            </w:pPr>
          </w:p>
        </w:tc>
        <w:tc>
          <w:tcPr>
            <w:tcW w:w="2567" w:type="pct"/>
            <w:vAlign w:val="bottom"/>
          </w:tcPr>
          <w:p w14:paraId="038A156B" w14:textId="794FABC6" w:rsidR="001757EB" w:rsidRDefault="001757EB" w:rsidP="001A5D4A">
            <w:pPr>
              <w:pStyle w:val="NotesTable-ItemPlain"/>
              <w:rPr>
                <w:b/>
              </w:rPr>
            </w:pPr>
            <w:r>
              <w:t>Dividends</w:t>
            </w:r>
            <w:r w:rsidR="006C6D0E">
              <w:t xml:space="preserve"> from equity investments</w:t>
            </w:r>
          </w:p>
        </w:tc>
        <w:tc>
          <w:tcPr>
            <w:tcW w:w="406" w:type="pct"/>
          </w:tcPr>
          <w:p w14:paraId="038A156C" w14:textId="77777777" w:rsidR="001757EB" w:rsidRDefault="001757EB" w:rsidP="001A5D4A">
            <w:pPr>
              <w:pStyle w:val="NotesTable-CellBold"/>
            </w:pPr>
            <w:r>
              <w:t>–</w:t>
            </w:r>
          </w:p>
        </w:tc>
        <w:tc>
          <w:tcPr>
            <w:tcW w:w="406" w:type="pct"/>
          </w:tcPr>
          <w:p w14:paraId="038A156D" w14:textId="77777777" w:rsidR="001757EB" w:rsidRDefault="001757EB" w:rsidP="001A5D4A">
            <w:pPr>
              <w:pStyle w:val="NotesTable-CellPlain"/>
            </w:pPr>
            <w:r>
              <w:t>–</w:t>
            </w:r>
          </w:p>
        </w:tc>
        <w:tc>
          <w:tcPr>
            <w:tcW w:w="406" w:type="pct"/>
          </w:tcPr>
          <w:p w14:paraId="038A156E" w14:textId="77777777" w:rsidR="001757EB" w:rsidRDefault="001757EB" w:rsidP="001A5D4A">
            <w:pPr>
              <w:pStyle w:val="NotesTable-CellBold"/>
            </w:pPr>
            <w:r>
              <w:t>–</w:t>
            </w:r>
          </w:p>
        </w:tc>
        <w:tc>
          <w:tcPr>
            <w:tcW w:w="406" w:type="pct"/>
          </w:tcPr>
          <w:p w14:paraId="038A156F" w14:textId="77777777" w:rsidR="001757EB" w:rsidRDefault="001757EB" w:rsidP="001A5D4A">
            <w:pPr>
              <w:pStyle w:val="NotesTable-CellPlain"/>
            </w:pPr>
            <w:r>
              <w:t>–</w:t>
            </w:r>
          </w:p>
        </w:tc>
      </w:tr>
      <w:tr w:rsidR="001757EB" w14:paraId="038A1577" w14:textId="77777777" w:rsidTr="00AA28A1">
        <w:trPr>
          <w:cantSplit/>
          <w:trHeight w:val="181"/>
        </w:trPr>
        <w:tc>
          <w:tcPr>
            <w:tcW w:w="810" w:type="pct"/>
          </w:tcPr>
          <w:p w14:paraId="038A1571" w14:textId="77777777" w:rsidR="001757EB" w:rsidRDefault="001757EB" w:rsidP="001A5D4A">
            <w:pPr>
              <w:pStyle w:val="Note-Refs"/>
            </w:pPr>
          </w:p>
        </w:tc>
        <w:tc>
          <w:tcPr>
            <w:tcW w:w="2567" w:type="pct"/>
            <w:vAlign w:val="bottom"/>
          </w:tcPr>
          <w:p w14:paraId="038A1572" w14:textId="77777777" w:rsidR="001757EB" w:rsidRDefault="001757EB" w:rsidP="001A5D4A">
            <w:pPr>
              <w:pStyle w:val="NotesTable-ItemPlain"/>
              <w:rPr>
                <w:b/>
              </w:rPr>
            </w:pPr>
            <w:r>
              <w:t>[Specify]</w:t>
            </w:r>
          </w:p>
        </w:tc>
        <w:tc>
          <w:tcPr>
            <w:tcW w:w="406" w:type="pct"/>
          </w:tcPr>
          <w:p w14:paraId="038A1573" w14:textId="77777777" w:rsidR="001757EB" w:rsidRDefault="001757EB" w:rsidP="001A5D4A">
            <w:pPr>
              <w:pStyle w:val="NotesTable-CellBold"/>
            </w:pPr>
            <w:r>
              <w:t>–</w:t>
            </w:r>
          </w:p>
        </w:tc>
        <w:tc>
          <w:tcPr>
            <w:tcW w:w="406" w:type="pct"/>
          </w:tcPr>
          <w:p w14:paraId="038A1574" w14:textId="77777777" w:rsidR="001757EB" w:rsidRDefault="001757EB" w:rsidP="001A5D4A">
            <w:pPr>
              <w:pStyle w:val="NotesTable-CellPlain"/>
            </w:pPr>
            <w:r>
              <w:t>–</w:t>
            </w:r>
          </w:p>
        </w:tc>
        <w:tc>
          <w:tcPr>
            <w:tcW w:w="406" w:type="pct"/>
          </w:tcPr>
          <w:p w14:paraId="038A1575" w14:textId="77777777" w:rsidR="001757EB" w:rsidRDefault="001757EB" w:rsidP="001A5D4A">
            <w:pPr>
              <w:pStyle w:val="NotesTable-CellBold"/>
            </w:pPr>
            <w:r>
              <w:t>–</w:t>
            </w:r>
          </w:p>
        </w:tc>
        <w:tc>
          <w:tcPr>
            <w:tcW w:w="406" w:type="pct"/>
          </w:tcPr>
          <w:p w14:paraId="038A1576" w14:textId="77777777" w:rsidR="001757EB" w:rsidRDefault="001757EB" w:rsidP="001A5D4A">
            <w:pPr>
              <w:pStyle w:val="NotesTable-CellPlain"/>
            </w:pPr>
            <w:r>
              <w:t>–</w:t>
            </w:r>
          </w:p>
        </w:tc>
      </w:tr>
      <w:tr w:rsidR="001757EB" w14:paraId="038A157E" w14:textId="77777777" w:rsidTr="00AA28A1">
        <w:trPr>
          <w:cantSplit/>
          <w:trHeight w:val="181"/>
        </w:trPr>
        <w:tc>
          <w:tcPr>
            <w:tcW w:w="810" w:type="pct"/>
          </w:tcPr>
          <w:p w14:paraId="038A1578" w14:textId="77777777" w:rsidR="001757EB" w:rsidRDefault="001757EB" w:rsidP="001A5D4A">
            <w:pPr>
              <w:pStyle w:val="Note-Refs"/>
            </w:pPr>
          </w:p>
        </w:tc>
        <w:tc>
          <w:tcPr>
            <w:tcW w:w="2567" w:type="pct"/>
            <w:vAlign w:val="bottom"/>
          </w:tcPr>
          <w:p w14:paraId="038A1579" w14:textId="77777777" w:rsidR="001757EB" w:rsidRDefault="001757EB" w:rsidP="001A5D4A">
            <w:pPr>
              <w:pStyle w:val="NotesTable-ItemPlain"/>
              <w:rPr>
                <w:b/>
              </w:rPr>
            </w:pPr>
            <w:r>
              <w:t>Total investment revenue</w:t>
            </w:r>
          </w:p>
        </w:tc>
        <w:tc>
          <w:tcPr>
            <w:tcW w:w="406" w:type="pct"/>
          </w:tcPr>
          <w:p w14:paraId="038A157A" w14:textId="77777777" w:rsidR="001757EB" w:rsidRDefault="001757EB" w:rsidP="001A5D4A">
            <w:pPr>
              <w:pStyle w:val="NotesTable-CellBold"/>
            </w:pPr>
            <w:r>
              <w:t>–</w:t>
            </w:r>
          </w:p>
        </w:tc>
        <w:tc>
          <w:tcPr>
            <w:tcW w:w="406" w:type="pct"/>
          </w:tcPr>
          <w:p w14:paraId="038A157B" w14:textId="77777777" w:rsidR="001757EB" w:rsidRDefault="001757EB" w:rsidP="001A5D4A">
            <w:pPr>
              <w:pStyle w:val="NotesTable-CellPlain"/>
            </w:pPr>
            <w:r>
              <w:t>–</w:t>
            </w:r>
          </w:p>
        </w:tc>
        <w:tc>
          <w:tcPr>
            <w:tcW w:w="406" w:type="pct"/>
          </w:tcPr>
          <w:p w14:paraId="038A157C" w14:textId="77777777" w:rsidR="001757EB" w:rsidRDefault="001757EB" w:rsidP="001A5D4A">
            <w:pPr>
              <w:pStyle w:val="NotesTable-CellBold"/>
            </w:pPr>
            <w:r>
              <w:t>–</w:t>
            </w:r>
          </w:p>
        </w:tc>
        <w:tc>
          <w:tcPr>
            <w:tcW w:w="406" w:type="pct"/>
          </w:tcPr>
          <w:p w14:paraId="038A157D" w14:textId="77777777" w:rsidR="001757EB" w:rsidRDefault="001757EB" w:rsidP="001A5D4A">
            <w:pPr>
              <w:pStyle w:val="NotesTable-CellPlain"/>
            </w:pPr>
            <w:r>
              <w:t>–</w:t>
            </w:r>
          </w:p>
        </w:tc>
      </w:tr>
      <w:tr w:rsidR="000936ED" w14:paraId="038A1581" w14:textId="77777777" w:rsidTr="00AA28A1">
        <w:trPr>
          <w:cantSplit/>
          <w:trHeight w:val="181"/>
        </w:trPr>
        <w:tc>
          <w:tcPr>
            <w:tcW w:w="810" w:type="pct"/>
          </w:tcPr>
          <w:p w14:paraId="038A157F" w14:textId="77777777" w:rsidR="000936ED" w:rsidRDefault="000936ED" w:rsidP="001A5D4A">
            <w:pPr>
              <w:pStyle w:val="Note-Refs"/>
            </w:pPr>
          </w:p>
        </w:tc>
        <w:tc>
          <w:tcPr>
            <w:tcW w:w="4190" w:type="pct"/>
            <w:gridSpan w:val="5"/>
            <w:vAlign w:val="bottom"/>
          </w:tcPr>
          <w:p w14:paraId="038A1580" w14:textId="77777777" w:rsidR="000936ED" w:rsidRDefault="000936ED" w:rsidP="001A5D4A">
            <w:pPr>
              <w:pStyle w:val="NotesTable-ItemPlain"/>
            </w:pPr>
          </w:p>
        </w:tc>
      </w:tr>
      <w:tr w:rsidR="00BF0637" w14:paraId="5E3AB664" w14:textId="77777777" w:rsidTr="00AA28A1">
        <w:trPr>
          <w:cantSplit/>
          <w:trHeight w:val="181"/>
        </w:trPr>
        <w:tc>
          <w:tcPr>
            <w:tcW w:w="810" w:type="pct"/>
          </w:tcPr>
          <w:p w14:paraId="1ADD1F89" w14:textId="013E145E" w:rsidR="00BF0637" w:rsidRDefault="00F959E2" w:rsidP="001A5D4A">
            <w:pPr>
              <w:pStyle w:val="Note-Refs"/>
            </w:pPr>
            <w:r>
              <w:t>AASB7.20b</w:t>
            </w:r>
          </w:p>
        </w:tc>
        <w:tc>
          <w:tcPr>
            <w:tcW w:w="2567" w:type="pct"/>
            <w:vAlign w:val="bottom"/>
          </w:tcPr>
          <w:p w14:paraId="300F7EFF" w14:textId="1EEA38F7" w:rsidR="00BF0637" w:rsidRDefault="00BF0637" w:rsidP="001A5D4A">
            <w:pPr>
              <w:pStyle w:val="NotesTable-ItemPlain"/>
            </w:pPr>
            <w:r>
              <w:t>Total interest income earned on financial assets that are not designated as at fair value through profit or loss</w:t>
            </w:r>
          </w:p>
        </w:tc>
        <w:tc>
          <w:tcPr>
            <w:tcW w:w="406" w:type="pct"/>
            <w:vAlign w:val="bottom"/>
          </w:tcPr>
          <w:p w14:paraId="5D87C744" w14:textId="3BCE1277" w:rsidR="00BF0637" w:rsidRDefault="00BF0637" w:rsidP="001A5D4A">
            <w:pPr>
              <w:pStyle w:val="NotesTable-CellBold"/>
            </w:pPr>
            <w:r>
              <w:t>–</w:t>
            </w:r>
          </w:p>
        </w:tc>
        <w:tc>
          <w:tcPr>
            <w:tcW w:w="406" w:type="pct"/>
            <w:vAlign w:val="bottom"/>
          </w:tcPr>
          <w:p w14:paraId="3CF4523F" w14:textId="6BA737B8" w:rsidR="00BF0637" w:rsidRDefault="00BF0637" w:rsidP="001A5D4A">
            <w:pPr>
              <w:pStyle w:val="NotesTable-CellPlain"/>
            </w:pPr>
            <w:r>
              <w:t>–</w:t>
            </w:r>
          </w:p>
        </w:tc>
        <w:tc>
          <w:tcPr>
            <w:tcW w:w="406" w:type="pct"/>
            <w:vAlign w:val="bottom"/>
          </w:tcPr>
          <w:p w14:paraId="04040CDD" w14:textId="09117B8B" w:rsidR="00BF0637" w:rsidRDefault="00BF0637" w:rsidP="001A5D4A">
            <w:pPr>
              <w:pStyle w:val="NotesTable-CellBold"/>
            </w:pPr>
            <w:r>
              <w:t>–</w:t>
            </w:r>
          </w:p>
        </w:tc>
        <w:tc>
          <w:tcPr>
            <w:tcW w:w="406" w:type="pct"/>
            <w:vAlign w:val="bottom"/>
          </w:tcPr>
          <w:p w14:paraId="2A6E22D3" w14:textId="7EBD33F9" w:rsidR="00BF0637" w:rsidRDefault="00BF0637" w:rsidP="001A5D4A">
            <w:pPr>
              <w:pStyle w:val="NotesTable-CellPlain"/>
            </w:pPr>
            <w:r>
              <w:t>–</w:t>
            </w:r>
          </w:p>
        </w:tc>
      </w:tr>
      <w:tr w:rsidR="00CC70FA" w14:paraId="0B36F24F" w14:textId="77777777" w:rsidTr="00AA28A1">
        <w:trPr>
          <w:cantSplit/>
          <w:trHeight w:val="181"/>
        </w:trPr>
        <w:tc>
          <w:tcPr>
            <w:tcW w:w="810" w:type="pct"/>
          </w:tcPr>
          <w:p w14:paraId="343D7A4F" w14:textId="77777777" w:rsidR="00CC70FA" w:rsidRDefault="00CC70FA" w:rsidP="001A5D4A">
            <w:pPr>
              <w:pStyle w:val="Note-Refs"/>
            </w:pPr>
          </w:p>
        </w:tc>
        <w:tc>
          <w:tcPr>
            <w:tcW w:w="4190" w:type="pct"/>
            <w:gridSpan w:val="5"/>
            <w:vAlign w:val="bottom"/>
          </w:tcPr>
          <w:p w14:paraId="358A06E3" w14:textId="77777777" w:rsidR="00CC70FA" w:rsidRDefault="00CC70FA" w:rsidP="001A5D4A">
            <w:pPr>
              <w:pStyle w:val="NotesTable-ItemPlain"/>
            </w:pPr>
          </w:p>
        </w:tc>
      </w:tr>
      <w:tr w:rsidR="002A14BF" w14:paraId="090E6257" w14:textId="77777777" w:rsidTr="00AA28A1">
        <w:trPr>
          <w:cantSplit/>
          <w:trHeight w:val="181"/>
        </w:trPr>
        <w:tc>
          <w:tcPr>
            <w:tcW w:w="810" w:type="pct"/>
          </w:tcPr>
          <w:p w14:paraId="617F64A7" w14:textId="77777777" w:rsidR="002A14BF" w:rsidRDefault="002A14BF" w:rsidP="001A5D4A">
            <w:pPr>
              <w:pStyle w:val="Note-Refs"/>
            </w:pPr>
          </w:p>
        </w:tc>
        <w:tc>
          <w:tcPr>
            <w:tcW w:w="2567" w:type="pct"/>
            <w:vAlign w:val="bottom"/>
          </w:tcPr>
          <w:p w14:paraId="6F453315" w14:textId="52FF2900" w:rsidR="002A14BF" w:rsidRDefault="00CC70FA" w:rsidP="001A5D4A">
            <w:pPr>
              <w:pStyle w:val="NotesTable-ItemPlain"/>
            </w:pPr>
            <w:r>
              <w:t>Other investment gains and losses:</w:t>
            </w:r>
          </w:p>
        </w:tc>
        <w:tc>
          <w:tcPr>
            <w:tcW w:w="811" w:type="pct"/>
            <w:gridSpan w:val="2"/>
          </w:tcPr>
          <w:p w14:paraId="52B2E518" w14:textId="7D043F12" w:rsidR="002A14BF" w:rsidRDefault="002A14BF" w:rsidP="001A5D4A">
            <w:pPr>
              <w:pStyle w:val="NotesTable-CellPlain"/>
            </w:pPr>
            <w:r>
              <w:t>Consolidated</w:t>
            </w:r>
          </w:p>
        </w:tc>
        <w:tc>
          <w:tcPr>
            <w:tcW w:w="811" w:type="pct"/>
            <w:gridSpan w:val="2"/>
          </w:tcPr>
          <w:p w14:paraId="418AE8B6" w14:textId="26F47EF7" w:rsidR="002A14BF" w:rsidRDefault="002A14BF" w:rsidP="001A5D4A">
            <w:pPr>
              <w:pStyle w:val="NotesTable-CellPlain"/>
            </w:pPr>
            <w:r>
              <w:t>Parent entity</w:t>
            </w:r>
          </w:p>
        </w:tc>
      </w:tr>
      <w:tr w:rsidR="002A14BF" w14:paraId="239BF0DC" w14:textId="77777777" w:rsidTr="00AA28A1">
        <w:trPr>
          <w:cantSplit/>
          <w:trHeight w:val="181"/>
        </w:trPr>
        <w:tc>
          <w:tcPr>
            <w:tcW w:w="810" w:type="pct"/>
          </w:tcPr>
          <w:p w14:paraId="4A6EA5CB" w14:textId="77777777" w:rsidR="002A14BF" w:rsidRDefault="002A14BF" w:rsidP="001A5D4A">
            <w:pPr>
              <w:pStyle w:val="Note-Refs"/>
            </w:pPr>
          </w:p>
        </w:tc>
        <w:tc>
          <w:tcPr>
            <w:tcW w:w="2567" w:type="pct"/>
            <w:vAlign w:val="bottom"/>
          </w:tcPr>
          <w:p w14:paraId="11DB4905" w14:textId="77777777" w:rsidR="002A14BF" w:rsidRDefault="002A14BF" w:rsidP="001A5D4A">
            <w:pPr>
              <w:pStyle w:val="NotesTable-ItemPlain"/>
            </w:pPr>
          </w:p>
        </w:tc>
        <w:tc>
          <w:tcPr>
            <w:tcW w:w="406" w:type="pct"/>
          </w:tcPr>
          <w:p w14:paraId="248D0A5A" w14:textId="23501D83" w:rsidR="002A14BF" w:rsidRDefault="002A14BF" w:rsidP="001A5D4A">
            <w:pPr>
              <w:pStyle w:val="NotesTable-CellBold"/>
            </w:pPr>
            <w:r>
              <w:t>2014</w:t>
            </w:r>
          </w:p>
        </w:tc>
        <w:tc>
          <w:tcPr>
            <w:tcW w:w="406" w:type="pct"/>
          </w:tcPr>
          <w:p w14:paraId="51D2E7C0" w14:textId="5388FD03" w:rsidR="002A14BF" w:rsidRDefault="002A14BF" w:rsidP="001A5D4A">
            <w:pPr>
              <w:pStyle w:val="NotesTable-CellPlain"/>
            </w:pPr>
            <w:r>
              <w:t>2013</w:t>
            </w:r>
          </w:p>
        </w:tc>
        <w:tc>
          <w:tcPr>
            <w:tcW w:w="406" w:type="pct"/>
          </w:tcPr>
          <w:p w14:paraId="23118E6A" w14:textId="495F2E70" w:rsidR="002A14BF" w:rsidRDefault="002A14BF" w:rsidP="001A5D4A">
            <w:pPr>
              <w:pStyle w:val="NotesTable-CellBold"/>
            </w:pPr>
            <w:r>
              <w:t>2014</w:t>
            </w:r>
          </w:p>
        </w:tc>
        <w:tc>
          <w:tcPr>
            <w:tcW w:w="406" w:type="pct"/>
          </w:tcPr>
          <w:p w14:paraId="73912DEE" w14:textId="63854A10" w:rsidR="002A14BF" w:rsidRDefault="002A14BF" w:rsidP="001A5D4A">
            <w:pPr>
              <w:pStyle w:val="NotesTable-CellPlain"/>
            </w:pPr>
            <w:r>
              <w:t>2013</w:t>
            </w:r>
          </w:p>
        </w:tc>
      </w:tr>
      <w:tr w:rsidR="002A14BF" w14:paraId="03CCF6ED" w14:textId="77777777" w:rsidTr="00AA28A1">
        <w:trPr>
          <w:cantSplit/>
          <w:trHeight w:val="181"/>
        </w:trPr>
        <w:tc>
          <w:tcPr>
            <w:tcW w:w="810" w:type="pct"/>
          </w:tcPr>
          <w:p w14:paraId="66ADFAC1" w14:textId="77777777" w:rsidR="002A14BF" w:rsidRDefault="002A14BF" w:rsidP="001A5D4A">
            <w:pPr>
              <w:pStyle w:val="Note-Refs"/>
            </w:pPr>
          </w:p>
        </w:tc>
        <w:tc>
          <w:tcPr>
            <w:tcW w:w="2567" w:type="pct"/>
            <w:vAlign w:val="bottom"/>
          </w:tcPr>
          <w:p w14:paraId="3B79AE5B" w14:textId="59403A35" w:rsidR="002A14BF" w:rsidRDefault="002A14BF" w:rsidP="001A5D4A">
            <w:pPr>
              <w:pStyle w:val="NotesTable-ItemPlain"/>
            </w:pPr>
          </w:p>
        </w:tc>
        <w:tc>
          <w:tcPr>
            <w:tcW w:w="406" w:type="pct"/>
          </w:tcPr>
          <w:p w14:paraId="4622B6A5" w14:textId="0B773DAE" w:rsidR="002A14BF" w:rsidRDefault="002A14BF" w:rsidP="001A5D4A">
            <w:pPr>
              <w:pStyle w:val="NotesTable-CellBold"/>
            </w:pPr>
            <w:r>
              <w:t>$’000</w:t>
            </w:r>
          </w:p>
        </w:tc>
        <w:tc>
          <w:tcPr>
            <w:tcW w:w="406" w:type="pct"/>
          </w:tcPr>
          <w:p w14:paraId="3CC5ACC3" w14:textId="7885E4F8" w:rsidR="002A14BF" w:rsidRDefault="002A14BF" w:rsidP="001A5D4A">
            <w:pPr>
              <w:pStyle w:val="NotesTable-CellPlain"/>
            </w:pPr>
            <w:r>
              <w:t>$’000</w:t>
            </w:r>
          </w:p>
        </w:tc>
        <w:tc>
          <w:tcPr>
            <w:tcW w:w="406" w:type="pct"/>
          </w:tcPr>
          <w:p w14:paraId="06817FFF" w14:textId="43ADF71A" w:rsidR="002A14BF" w:rsidRDefault="002A14BF" w:rsidP="001A5D4A">
            <w:pPr>
              <w:pStyle w:val="NotesTable-CellBold"/>
            </w:pPr>
            <w:r>
              <w:t>$’000</w:t>
            </w:r>
          </w:p>
        </w:tc>
        <w:tc>
          <w:tcPr>
            <w:tcW w:w="406" w:type="pct"/>
          </w:tcPr>
          <w:p w14:paraId="3118143B" w14:textId="03ED87C7" w:rsidR="002A14BF" w:rsidRDefault="002A14BF" w:rsidP="001A5D4A">
            <w:pPr>
              <w:pStyle w:val="NotesTable-CellPlain"/>
            </w:pPr>
            <w:r>
              <w:t>$’000</w:t>
            </w:r>
          </w:p>
        </w:tc>
      </w:tr>
      <w:tr w:rsidR="001757EB" w14:paraId="038A1588" w14:textId="77777777" w:rsidTr="00AA28A1">
        <w:trPr>
          <w:cantSplit/>
          <w:trHeight w:val="181"/>
        </w:trPr>
        <w:tc>
          <w:tcPr>
            <w:tcW w:w="810" w:type="pct"/>
          </w:tcPr>
          <w:p w14:paraId="038A1582" w14:textId="63BB3EBF" w:rsidR="001757EB" w:rsidRDefault="00E034F5" w:rsidP="001A5D4A">
            <w:pPr>
              <w:pStyle w:val="Note-Refs"/>
            </w:pPr>
            <w:r>
              <w:t>AASB7.20</w:t>
            </w:r>
            <w:r w:rsidR="002A14BF">
              <w:t>a</w:t>
            </w:r>
          </w:p>
        </w:tc>
        <w:tc>
          <w:tcPr>
            <w:tcW w:w="2567" w:type="pct"/>
            <w:vAlign w:val="bottom"/>
          </w:tcPr>
          <w:p w14:paraId="038A1583" w14:textId="38E66876" w:rsidR="001757EB" w:rsidRDefault="002A14BF" w:rsidP="001A5D4A">
            <w:pPr>
              <w:pStyle w:val="NotesTable-ItemPlain"/>
              <w:rPr>
                <w:b/>
              </w:rPr>
            </w:pPr>
            <w:r>
              <w:t>Cumulative gain/(loss) reclassified from equity on disposal of available-for-sale investments</w:t>
            </w:r>
          </w:p>
        </w:tc>
        <w:tc>
          <w:tcPr>
            <w:tcW w:w="406" w:type="pct"/>
            <w:vAlign w:val="bottom"/>
          </w:tcPr>
          <w:p w14:paraId="038A1584" w14:textId="77777777" w:rsidR="001757EB" w:rsidRDefault="001757EB" w:rsidP="001A5D4A">
            <w:pPr>
              <w:pStyle w:val="NotesTable-CellBold"/>
            </w:pPr>
            <w:r>
              <w:t>–</w:t>
            </w:r>
          </w:p>
        </w:tc>
        <w:tc>
          <w:tcPr>
            <w:tcW w:w="406" w:type="pct"/>
            <w:vAlign w:val="bottom"/>
          </w:tcPr>
          <w:p w14:paraId="038A1585" w14:textId="77777777" w:rsidR="001757EB" w:rsidRDefault="001757EB" w:rsidP="001A5D4A">
            <w:pPr>
              <w:pStyle w:val="NotesTable-CellPlain"/>
            </w:pPr>
            <w:r>
              <w:t>–</w:t>
            </w:r>
          </w:p>
        </w:tc>
        <w:tc>
          <w:tcPr>
            <w:tcW w:w="406" w:type="pct"/>
            <w:vAlign w:val="bottom"/>
          </w:tcPr>
          <w:p w14:paraId="038A1586" w14:textId="77777777" w:rsidR="001757EB" w:rsidRDefault="001757EB" w:rsidP="001A5D4A">
            <w:pPr>
              <w:pStyle w:val="NotesTable-CellBold"/>
            </w:pPr>
            <w:r>
              <w:t>–</w:t>
            </w:r>
          </w:p>
        </w:tc>
        <w:tc>
          <w:tcPr>
            <w:tcW w:w="406" w:type="pct"/>
            <w:vAlign w:val="bottom"/>
          </w:tcPr>
          <w:p w14:paraId="038A1587" w14:textId="77777777" w:rsidR="001757EB" w:rsidRDefault="001757EB" w:rsidP="001A5D4A">
            <w:pPr>
              <w:pStyle w:val="NotesTable-CellPlain"/>
            </w:pPr>
            <w:r>
              <w:t>–</w:t>
            </w:r>
          </w:p>
        </w:tc>
      </w:tr>
      <w:tr w:rsidR="001757EB" w14:paraId="038A158F" w14:textId="77777777" w:rsidTr="00AA28A1">
        <w:trPr>
          <w:cantSplit/>
          <w:trHeight w:val="181"/>
        </w:trPr>
        <w:tc>
          <w:tcPr>
            <w:tcW w:w="810" w:type="pct"/>
          </w:tcPr>
          <w:p w14:paraId="038A1589" w14:textId="029CDD00" w:rsidR="001757EB" w:rsidRDefault="00B00EBA" w:rsidP="001A5D4A">
            <w:pPr>
              <w:pStyle w:val="Note-Refs"/>
            </w:pPr>
            <w:r>
              <w:t>AASB7.20a</w:t>
            </w:r>
          </w:p>
        </w:tc>
        <w:tc>
          <w:tcPr>
            <w:tcW w:w="2567" w:type="pct"/>
            <w:vAlign w:val="bottom"/>
          </w:tcPr>
          <w:p w14:paraId="038A158A" w14:textId="5D588D39" w:rsidR="001757EB" w:rsidRDefault="002A14BF" w:rsidP="001A5D4A">
            <w:pPr>
              <w:pStyle w:val="NotesTable-ItemPlain"/>
              <w:rPr>
                <w:b/>
              </w:rPr>
            </w:pPr>
            <w:r>
              <w:t>Cumulative loss reclassified from equity on impairment of available-for-sale investments</w:t>
            </w:r>
          </w:p>
        </w:tc>
        <w:tc>
          <w:tcPr>
            <w:tcW w:w="406" w:type="pct"/>
            <w:vAlign w:val="bottom"/>
          </w:tcPr>
          <w:p w14:paraId="038A158B" w14:textId="77777777" w:rsidR="001757EB" w:rsidRDefault="001757EB" w:rsidP="001A5D4A">
            <w:pPr>
              <w:pStyle w:val="NotesTable-CellBold"/>
            </w:pPr>
            <w:r>
              <w:t>–</w:t>
            </w:r>
          </w:p>
        </w:tc>
        <w:tc>
          <w:tcPr>
            <w:tcW w:w="406" w:type="pct"/>
            <w:vAlign w:val="bottom"/>
          </w:tcPr>
          <w:p w14:paraId="038A158C" w14:textId="77777777" w:rsidR="001757EB" w:rsidRDefault="001757EB" w:rsidP="001A5D4A">
            <w:pPr>
              <w:pStyle w:val="NotesTable-CellPlain"/>
            </w:pPr>
            <w:r>
              <w:t>–</w:t>
            </w:r>
          </w:p>
        </w:tc>
        <w:tc>
          <w:tcPr>
            <w:tcW w:w="406" w:type="pct"/>
            <w:vAlign w:val="bottom"/>
          </w:tcPr>
          <w:p w14:paraId="038A158D" w14:textId="77777777" w:rsidR="001757EB" w:rsidRDefault="001757EB" w:rsidP="001A5D4A">
            <w:pPr>
              <w:pStyle w:val="NotesTable-CellBold"/>
            </w:pPr>
            <w:r>
              <w:t>–</w:t>
            </w:r>
          </w:p>
        </w:tc>
        <w:tc>
          <w:tcPr>
            <w:tcW w:w="406" w:type="pct"/>
            <w:vAlign w:val="bottom"/>
          </w:tcPr>
          <w:p w14:paraId="038A158E" w14:textId="77777777" w:rsidR="001757EB" w:rsidRDefault="001757EB" w:rsidP="001A5D4A">
            <w:pPr>
              <w:pStyle w:val="NotesTable-CellPlain"/>
            </w:pPr>
            <w:r>
              <w:t>–</w:t>
            </w:r>
          </w:p>
        </w:tc>
      </w:tr>
      <w:tr w:rsidR="00CC70FA" w14:paraId="50ECED4D" w14:textId="77777777" w:rsidTr="00AA28A1">
        <w:trPr>
          <w:cantSplit/>
          <w:trHeight w:val="181"/>
        </w:trPr>
        <w:tc>
          <w:tcPr>
            <w:tcW w:w="810" w:type="pct"/>
          </w:tcPr>
          <w:p w14:paraId="548EC1B3" w14:textId="56D6FCC6" w:rsidR="00CC70FA" w:rsidRDefault="00CC70FA" w:rsidP="001A5D4A">
            <w:pPr>
              <w:pStyle w:val="Note-Refs"/>
            </w:pPr>
            <w:r>
              <w:t>AASB7.20a</w:t>
            </w:r>
          </w:p>
        </w:tc>
        <w:tc>
          <w:tcPr>
            <w:tcW w:w="2567" w:type="pct"/>
            <w:vAlign w:val="bottom"/>
          </w:tcPr>
          <w:p w14:paraId="03A9DFAD" w14:textId="007AE634" w:rsidR="00CC70FA" w:rsidRPr="00992FA4" w:rsidRDefault="00CC70FA" w:rsidP="001A5D4A">
            <w:pPr>
              <w:pStyle w:val="NotesTable-ItemPlain"/>
            </w:pPr>
            <w:r>
              <w:t>Net g</w:t>
            </w:r>
            <w:r w:rsidRPr="008A2C5C">
              <w:t>ain/</w:t>
            </w:r>
            <w:r>
              <w:t>(</w:t>
            </w:r>
            <w:r w:rsidRPr="008A2C5C">
              <w:t>loss</w:t>
            </w:r>
            <w:r>
              <w:t>)</w:t>
            </w:r>
            <w:r w:rsidRPr="00992FA4">
              <w:t xml:space="preserve"> </w:t>
            </w:r>
            <w:r>
              <w:t>arising on financial assets designated at fair value through profit or loss</w:t>
            </w:r>
          </w:p>
        </w:tc>
        <w:tc>
          <w:tcPr>
            <w:tcW w:w="406" w:type="pct"/>
            <w:vAlign w:val="bottom"/>
          </w:tcPr>
          <w:p w14:paraId="26F695B0" w14:textId="05DDFFC8" w:rsidR="00CC70FA" w:rsidRDefault="00CC70FA" w:rsidP="001A5D4A">
            <w:pPr>
              <w:pStyle w:val="NotesTable-CellBold"/>
            </w:pPr>
            <w:r>
              <w:t>–</w:t>
            </w:r>
          </w:p>
        </w:tc>
        <w:tc>
          <w:tcPr>
            <w:tcW w:w="406" w:type="pct"/>
            <w:vAlign w:val="bottom"/>
          </w:tcPr>
          <w:p w14:paraId="5CD9505C" w14:textId="30AA598D" w:rsidR="00CC70FA" w:rsidRDefault="00CC70FA" w:rsidP="001A5D4A">
            <w:pPr>
              <w:pStyle w:val="NotesTable-CellPlain"/>
            </w:pPr>
            <w:r>
              <w:t>–</w:t>
            </w:r>
          </w:p>
        </w:tc>
        <w:tc>
          <w:tcPr>
            <w:tcW w:w="406" w:type="pct"/>
            <w:vAlign w:val="bottom"/>
          </w:tcPr>
          <w:p w14:paraId="17ECC7F2" w14:textId="123A368D" w:rsidR="00CC70FA" w:rsidRDefault="00CC70FA" w:rsidP="001A5D4A">
            <w:pPr>
              <w:pStyle w:val="NotesTable-CellBold"/>
            </w:pPr>
            <w:r>
              <w:t>–</w:t>
            </w:r>
          </w:p>
        </w:tc>
        <w:tc>
          <w:tcPr>
            <w:tcW w:w="406" w:type="pct"/>
            <w:vAlign w:val="bottom"/>
          </w:tcPr>
          <w:p w14:paraId="71BF3F51" w14:textId="5E4B8385" w:rsidR="00CC70FA" w:rsidRDefault="00CC70FA" w:rsidP="001A5D4A">
            <w:pPr>
              <w:pStyle w:val="NotesTable-CellPlain"/>
            </w:pPr>
            <w:r>
              <w:t>–</w:t>
            </w:r>
          </w:p>
        </w:tc>
      </w:tr>
      <w:tr w:rsidR="00CC70FA" w14:paraId="3B74C534" w14:textId="77777777" w:rsidTr="00AA28A1">
        <w:trPr>
          <w:cantSplit/>
          <w:trHeight w:val="181"/>
        </w:trPr>
        <w:tc>
          <w:tcPr>
            <w:tcW w:w="810" w:type="pct"/>
          </w:tcPr>
          <w:p w14:paraId="2FD41948" w14:textId="10AC257B" w:rsidR="00CC70FA" w:rsidRDefault="00CC70FA" w:rsidP="001A5D4A">
            <w:pPr>
              <w:pStyle w:val="Note-Refs"/>
            </w:pPr>
            <w:r>
              <w:t>AASB7.20a</w:t>
            </w:r>
          </w:p>
        </w:tc>
        <w:tc>
          <w:tcPr>
            <w:tcW w:w="2567" w:type="pct"/>
            <w:vAlign w:val="bottom"/>
          </w:tcPr>
          <w:p w14:paraId="76DAA6A3" w14:textId="5A0C9EE8" w:rsidR="00CC70FA" w:rsidRPr="008A2C5C" w:rsidRDefault="00CC70FA" w:rsidP="001A5D4A">
            <w:pPr>
              <w:pStyle w:val="NotesTable-ItemPlain"/>
            </w:pPr>
            <w:r>
              <w:t>Net g</w:t>
            </w:r>
            <w:r w:rsidRPr="008A2C5C">
              <w:t>ain/</w:t>
            </w:r>
            <w:r>
              <w:t>(</w:t>
            </w:r>
            <w:r w:rsidRPr="008A2C5C">
              <w:t>loss</w:t>
            </w:r>
            <w:r>
              <w:t>)</w:t>
            </w:r>
            <w:r w:rsidRPr="008A2C5C">
              <w:t xml:space="preserve"> </w:t>
            </w:r>
            <w:r>
              <w:t>arising on financial liabilities designated as at fair value through profit or loss</w:t>
            </w:r>
          </w:p>
        </w:tc>
        <w:tc>
          <w:tcPr>
            <w:tcW w:w="406" w:type="pct"/>
            <w:vAlign w:val="bottom"/>
          </w:tcPr>
          <w:p w14:paraId="3D379FFE" w14:textId="3139168E" w:rsidR="00CC70FA" w:rsidRDefault="00CC70FA" w:rsidP="001A5D4A">
            <w:pPr>
              <w:pStyle w:val="NotesTable-CellBold"/>
            </w:pPr>
            <w:r>
              <w:t>–</w:t>
            </w:r>
          </w:p>
        </w:tc>
        <w:tc>
          <w:tcPr>
            <w:tcW w:w="406" w:type="pct"/>
            <w:vAlign w:val="bottom"/>
          </w:tcPr>
          <w:p w14:paraId="1A01B8F4" w14:textId="76230B1E" w:rsidR="00CC70FA" w:rsidRDefault="00CC70FA" w:rsidP="001A5D4A">
            <w:pPr>
              <w:pStyle w:val="NotesTable-CellPlain"/>
            </w:pPr>
            <w:r>
              <w:t>–</w:t>
            </w:r>
          </w:p>
        </w:tc>
        <w:tc>
          <w:tcPr>
            <w:tcW w:w="406" w:type="pct"/>
            <w:vAlign w:val="bottom"/>
          </w:tcPr>
          <w:p w14:paraId="4F212EC6" w14:textId="396E6D51" w:rsidR="00CC70FA" w:rsidRDefault="00CC70FA" w:rsidP="001A5D4A">
            <w:pPr>
              <w:pStyle w:val="NotesTable-CellBold"/>
            </w:pPr>
            <w:r>
              <w:t>–</w:t>
            </w:r>
          </w:p>
        </w:tc>
        <w:tc>
          <w:tcPr>
            <w:tcW w:w="406" w:type="pct"/>
            <w:vAlign w:val="bottom"/>
          </w:tcPr>
          <w:p w14:paraId="470C3C5E" w14:textId="5C649A29" w:rsidR="00CC70FA" w:rsidRDefault="00CC70FA" w:rsidP="001A5D4A">
            <w:pPr>
              <w:pStyle w:val="NotesTable-CellPlain"/>
            </w:pPr>
            <w:r>
              <w:t>–</w:t>
            </w:r>
          </w:p>
        </w:tc>
      </w:tr>
      <w:tr w:rsidR="00CC70FA" w14:paraId="7772E227" w14:textId="77777777" w:rsidTr="00AA28A1">
        <w:trPr>
          <w:cantSplit/>
          <w:trHeight w:val="181"/>
        </w:trPr>
        <w:tc>
          <w:tcPr>
            <w:tcW w:w="810" w:type="pct"/>
          </w:tcPr>
          <w:p w14:paraId="14002807" w14:textId="2AE1DA1A" w:rsidR="00CC70FA" w:rsidRDefault="00CC70FA" w:rsidP="001A5D4A">
            <w:pPr>
              <w:pStyle w:val="Note-Refs"/>
            </w:pPr>
            <w:r>
              <w:t>AASB7.20a</w:t>
            </w:r>
          </w:p>
        </w:tc>
        <w:tc>
          <w:tcPr>
            <w:tcW w:w="2567" w:type="pct"/>
            <w:vAlign w:val="bottom"/>
          </w:tcPr>
          <w:p w14:paraId="650C4399" w14:textId="5A331E19" w:rsidR="00CC70FA" w:rsidRDefault="00CC70FA" w:rsidP="001A5D4A">
            <w:pPr>
              <w:pStyle w:val="NotesTable-ItemPlain"/>
            </w:pPr>
            <w:r>
              <w:t>Net gain/(loss) arising on financial assets classified as held for trading</w:t>
            </w:r>
          </w:p>
        </w:tc>
        <w:tc>
          <w:tcPr>
            <w:tcW w:w="406" w:type="pct"/>
            <w:vAlign w:val="bottom"/>
          </w:tcPr>
          <w:p w14:paraId="228A211F" w14:textId="3B442C45" w:rsidR="00CC70FA" w:rsidRDefault="00CC70FA" w:rsidP="001A5D4A">
            <w:pPr>
              <w:pStyle w:val="NotesTable-CellBold"/>
            </w:pPr>
            <w:r>
              <w:t>–</w:t>
            </w:r>
          </w:p>
        </w:tc>
        <w:tc>
          <w:tcPr>
            <w:tcW w:w="406" w:type="pct"/>
            <w:vAlign w:val="bottom"/>
          </w:tcPr>
          <w:p w14:paraId="28256241" w14:textId="41632351" w:rsidR="00CC70FA" w:rsidRDefault="00CC70FA" w:rsidP="001A5D4A">
            <w:pPr>
              <w:pStyle w:val="NotesTable-CellPlain"/>
            </w:pPr>
            <w:r>
              <w:t>–</w:t>
            </w:r>
          </w:p>
        </w:tc>
        <w:tc>
          <w:tcPr>
            <w:tcW w:w="406" w:type="pct"/>
            <w:vAlign w:val="bottom"/>
          </w:tcPr>
          <w:p w14:paraId="3D370FBC" w14:textId="134EA283" w:rsidR="00CC70FA" w:rsidRDefault="00CC70FA" w:rsidP="001A5D4A">
            <w:pPr>
              <w:pStyle w:val="NotesTable-CellBold"/>
            </w:pPr>
            <w:r>
              <w:t>–</w:t>
            </w:r>
          </w:p>
        </w:tc>
        <w:tc>
          <w:tcPr>
            <w:tcW w:w="406" w:type="pct"/>
            <w:vAlign w:val="bottom"/>
          </w:tcPr>
          <w:p w14:paraId="04637B03" w14:textId="4ABD2506" w:rsidR="00CC70FA" w:rsidRDefault="00CC70FA" w:rsidP="001A5D4A">
            <w:pPr>
              <w:pStyle w:val="NotesTable-CellPlain"/>
            </w:pPr>
            <w:r>
              <w:t>–</w:t>
            </w:r>
          </w:p>
        </w:tc>
      </w:tr>
      <w:tr w:rsidR="00CC70FA" w14:paraId="78149816" w14:textId="77777777" w:rsidTr="00AA28A1">
        <w:trPr>
          <w:cantSplit/>
          <w:trHeight w:val="181"/>
        </w:trPr>
        <w:tc>
          <w:tcPr>
            <w:tcW w:w="810" w:type="pct"/>
          </w:tcPr>
          <w:p w14:paraId="5A0CEC61" w14:textId="1775D9E1" w:rsidR="00CC70FA" w:rsidRDefault="00CC70FA" w:rsidP="001A5D4A">
            <w:pPr>
              <w:pStyle w:val="Note-Refs"/>
            </w:pPr>
            <w:r>
              <w:t>AASB7.20a</w:t>
            </w:r>
          </w:p>
        </w:tc>
        <w:tc>
          <w:tcPr>
            <w:tcW w:w="2567" w:type="pct"/>
            <w:vAlign w:val="bottom"/>
          </w:tcPr>
          <w:p w14:paraId="3CD53AA7" w14:textId="3F620659" w:rsidR="00CC70FA" w:rsidRDefault="00CC70FA" w:rsidP="001A5D4A">
            <w:pPr>
              <w:pStyle w:val="NotesTable-ItemPlain"/>
            </w:pPr>
            <w:r>
              <w:t>Net gain/(loss) arising on financial liabilities classified as held for trading</w:t>
            </w:r>
          </w:p>
        </w:tc>
        <w:tc>
          <w:tcPr>
            <w:tcW w:w="406" w:type="pct"/>
            <w:vAlign w:val="bottom"/>
          </w:tcPr>
          <w:p w14:paraId="5B37E458" w14:textId="5542422D" w:rsidR="00CC70FA" w:rsidRDefault="00CC70FA" w:rsidP="001A5D4A">
            <w:pPr>
              <w:pStyle w:val="NotesTable-CellBold"/>
            </w:pPr>
            <w:r>
              <w:t>–</w:t>
            </w:r>
          </w:p>
        </w:tc>
        <w:tc>
          <w:tcPr>
            <w:tcW w:w="406" w:type="pct"/>
            <w:vAlign w:val="bottom"/>
          </w:tcPr>
          <w:p w14:paraId="0A3FEF58" w14:textId="69F1A0DF" w:rsidR="00CC70FA" w:rsidRDefault="00CC70FA" w:rsidP="001A5D4A">
            <w:pPr>
              <w:pStyle w:val="NotesTable-CellPlain"/>
            </w:pPr>
            <w:r>
              <w:t>–</w:t>
            </w:r>
          </w:p>
        </w:tc>
        <w:tc>
          <w:tcPr>
            <w:tcW w:w="406" w:type="pct"/>
            <w:vAlign w:val="bottom"/>
          </w:tcPr>
          <w:p w14:paraId="51CDC19C" w14:textId="75B573C2" w:rsidR="00CC70FA" w:rsidRDefault="00CC70FA" w:rsidP="001A5D4A">
            <w:pPr>
              <w:pStyle w:val="NotesTable-CellBold"/>
            </w:pPr>
            <w:r>
              <w:t>–</w:t>
            </w:r>
          </w:p>
        </w:tc>
        <w:tc>
          <w:tcPr>
            <w:tcW w:w="406" w:type="pct"/>
            <w:vAlign w:val="bottom"/>
          </w:tcPr>
          <w:p w14:paraId="5D8951D1" w14:textId="4D26D721" w:rsidR="00CC70FA" w:rsidRDefault="00CC70FA" w:rsidP="001A5D4A">
            <w:pPr>
              <w:pStyle w:val="NotesTable-CellPlain"/>
            </w:pPr>
            <w:r>
              <w:t>–</w:t>
            </w:r>
          </w:p>
        </w:tc>
      </w:tr>
      <w:tr w:rsidR="001757EB" w14:paraId="038A1596" w14:textId="77777777" w:rsidTr="00AA28A1">
        <w:trPr>
          <w:cantSplit/>
          <w:trHeight w:val="181"/>
        </w:trPr>
        <w:tc>
          <w:tcPr>
            <w:tcW w:w="810" w:type="pct"/>
          </w:tcPr>
          <w:p w14:paraId="038A1590" w14:textId="77777777" w:rsidR="001757EB" w:rsidRDefault="001757EB" w:rsidP="001A5D4A">
            <w:pPr>
              <w:pStyle w:val="Note-Refs"/>
            </w:pPr>
          </w:p>
        </w:tc>
        <w:tc>
          <w:tcPr>
            <w:tcW w:w="2567" w:type="pct"/>
            <w:vAlign w:val="bottom"/>
          </w:tcPr>
          <w:p w14:paraId="038A1591" w14:textId="77777777" w:rsidR="001757EB" w:rsidRDefault="001757EB" w:rsidP="001A5D4A">
            <w:pPr>
              <w:pStyle w:val="NotesTable-ItemPlain"/>
              <w:rPr>
                <w:b/>
              </w:rPr>
            </w:pPr>
            <w:r>
              <w:t>[Specify]</w:t>
            </w:r>
          </w:p>
        </w:tc>
        <w:tc>
          <w:tcPr>
            <w:tcW w:w="406" w:type="pct"/>
          </w:tcPr>
          <w:p w14:paraId="038A1592" w14:textId="77777777" w:rsidR="001757EB" w:rsidRDefault="001757EB" w:rsidP="001A5D4A">
            <w:pPr>
              <w:pStyle w:val="NotesTable-CellBold"/>
            </w:pPr>
            <w:r>
              <w:t>–</w:t>
            </w:r>
          </w:p>
        </w:tc>
        <w:tc>
          <w:tcPr>
            <w:tcW w:w="406" w:type="pct"/>
          </w:tcPr>
          <w:p w14:paraId="038A1593" w14:textId="77777777" w:rsidR="001757EB" w:rsidRDefault="001757EB" w:rsidP="001A5D4A">
            <w:pPr>
              <w:pStyle w:val="NotesTable-CellPlain"/>
            </w:pPr>
            <w:r>
              <w:t>–</w:t>
            </w:r>
          </w:p>
        </w:tc>
        <w:tc>
          <w:tcPr>
            <w:tcW w:w="406" w:type="pct"/>
          </w:tcPr>
          <w:p w14:paraId="038A1594" w14:textId="77777777" w:rsidR="001757EB" w:rsidRDefault="001757EB" w:rsidP="001A5D4A">
            <w:pPr>
              <w:pStyle w:val="NotesTable-CellBold"/>
            </w:pPr>
            <w:r>
              <w:t>–</w:t>
            </w:r>
          </w:p>
        </w:tc>
        <w:tc>
          <w:tcPr>
            <w:tcW w:w="406" w:type="pct"/>
          </w:tcPr>
          <w:p w14:paraId="038A1595" w14:textId="77777777" w:rsidR="001757EB" w:rsidRDefault="001757EB" w:rsidP="001A5D4A">
            <w:pPr>
              <w:pStyle w:val="NotesTable-CellPlain"/>
            </w:pPr>
            <w:r>
              <w:t>–</w:t>
            </w:r>
          </w:p>
        </w:tc>
      </w:tr>
      <w:tr w:rsidR="001757EB" w14:paraId="038A159D" w14:textId="77777777" w:rsidTr="00AA28A1">
        <w:trPr>
          <w:cantSplit/>
          <w:trHeight w:val="181"/>
        </w:trPr>
        <w:tc>
          <w:tcPr>
            <w:tcW w:w="810" w:type="pct"/>
          </w:tcPr>
          <w:p w14:paraId="038A1597" w14:textId="77777777" w:rsidR="001757EB" w:rsidRDefault="001757EB" w:rsidP="001A5D4A">
            <w:pPr>
              <w:pStyle w:val="Note-Refs"/>
            </w:pPr>
          </w:p>
        </w:tc>
        <w:tc>
          <w:tcPr>
            <w:tcW w:w="2567" w:type="pct"/>
            <w:vAlign w:val="bottom"/>
          </w:tcPr>
          <w:p w14:paraId="038A1598" w14:textId="333CC7E5" w:rsidR="001757EB" w:rsidRDefault="001757EB" w:rsidP="001A5D4A">
            <w:pPr>
              <w:pStyle w:val="NotesTable-ItemPlain"/>
              <w:rPr>
                <w:b/>
              </w:rPr>
            </w:pPr>
            <w:r>
              <w:t>Total other investment income</w:t>
            </w:r>
            <w:r w:rsidR="00EB6512">
              <w:t>/</w:t>
            </w:r>
            <w:r w:rsidR="00CC70FA">
              <w:t>(</w:t>
            </w:r>
            <w:r w:rsidR="00EB6512">
              <w:t>loss</w:t>
            </w:r>
            <w:r w:rsidR="00CC70FA">
              <w:t>)</w:t>
            </w:r>
          </w:p>
        </w:tc>
        <w:tc>
          <w:tcPr>
            <w:tcW w:w="406" w:type="pct"/>
          </w:tcPr>
          <w:p w14:paraId="038A1599" w14:textId="77777777" w:rsidR="001757EB" w:rsidRDefault="001757EB" w:rsidP="001A5D4A">
            <w:pPr>
              <w:pStyle w:val="NotesTable-CellBold"/>
            </w:pPr>
            <w:r>
              <w:t>–</w:t>
            </w:r>
          </w:p>
        </w:tc>
        <w:tc>
          <w:tcPr>
            <w:tcW w:w="406" w:type="pct"/>
          </w:tcPr>
          <w:p w14:paraId="038A159A" w14:textId="77777777" w:rsidR="001757EB" w:rsidRDefault="001757EB" w:rsidP="001A5D4A">
            <w:pPr>
              <w:pStyle w:val="NotesTable-CellPlain"/>
            </w:pPr>
            <w:r>
              <w:t>–</w:t>
            </w:r>
          </w:p>
        </w:tc>
        <w:tc>
          <w:tcPr>
            <w:tcW w:w="406" w:type="pct"/>
          </w:tcPr>
          <w:p w14:paraId="038A159B" w14:textId="77777777" w:rsidR="001757EB" w:rsidRDefault="001757EB" w:rsidP="001A5D4A">
            <w:pPr>
              <w:pStyle w:val="NotesTable-CellBold"/>
            </w:pPr>
            <w:r>
              <w:t>–</w:t>
            </w:r>
          </w:p>
        </w:tc>
        <w:tc>
          <w:tcPr>
            <w:tcW w:w="406" w:type="pct"/>
          </w:tcPr>
          <w:p w14:paraId="038A159C" w14:textId="77777777" w:rsidR="001757EB" w:rsidRDefault="001757EB" w:rsidP="001A5D4A">
            <w:pPr>
              <w:pStyle w:val="NotesTable-CellPlain"/>
            </w:pPr>
            <w:r>
              <w:t>–</w:t>
            </w:r>
          </w:p>
        </w:tc>
      </w:tr>
      <w:tr w:rsidR="001757EB" w14:paraId="038A15B5" w14:textId="77777777" w:rsidTr="00AA28A1">
        <w:trPr>
          <w:cantSplit/>
          <w:trHeight w:val="181"/>
        </w:trPr>
        <w:tc>
          <w:tcPr>
            <w:tcW w:w="810" w:type="pct"/>
          </w:tcPr>
          <w:p w14:paraId="038A15AF" w14:textId="77777777" w:rsidR="001757EB" w:rsidRDefault="001757EB" w:rsidP="001A5D4A">
            <w:pPr>
              <w:pStyle w:val="Note-Refs"/>
            </w:pPr>
          </w:p>
        </w:tc>
        <w:tc>
          <w:tcPr>
            <w:tcW w:w="2567" w:type="pct"/>
            <w:vAlign w:val="bottom"/>
          </w:tcPr>
          <w:p w14:paraId="038A15B0" w14:textId="77777777" w:rsidR="001757EB" w:rsidRDefault="001757EB" w:rsidP="001A5D4A">
            <w:pPr>
              <w:pStyle w:val="NotesTable-ItemPlain"/>
            </w:pPr>
          </w:p>
        </w:tc>
        <w:tc>
          <w:tcPr>
            <w:tcW w:w="406" w:type="pct"/>
          </w:tcPr>
          <w:p w14:paraId="038A15B1" w14:textId="77777777" w:rsidR="001757EB" w:rsidRDefault="001757EB" w:rsidP="001A5D4A">
            <w:pPr>
              <w:pStyle w:val="NotesTable-CellBold"/>
            </w:pPr>
          </w:p>
        </w:tc>
        <w:tc>
          <w:tcPr>
            <w:tcW w:w="406" w:type="pct"/>
          </w:tcPr>
          <w:p w14:paraId="038A15B2" w14:textId="77777777" w:rsidR="001757EB" w:rsidRDefault="001757EB" w:rsidP="001A5D4A">
            <w:pPr>
              <w:pStyle w:val="NotesTable-CellPlain"/>
            </w:pPr>
          </w:p>
        </w:tc>
        <w:tc>
          <w:tcPr>
            <w:tcW w:w="406" w:type="pct"/>
          </w:tcPr>
          <w:p w14:paraId="038A15B3" w14:textId="77777777" w:rsidR="001757EB" w:rsidRDefault="001757EB" w:rsidP="001A5D4A">
            <w:pPr>
              <w:pStyle w:val="NotesTable-CellBold"/>
            </w:pPr>
          </w:p>
        </w:tc>
        <w:tc>
          <w:tcPr>
            <w:tcW w:w="406" w:type="pct"/>
          </w:tcPr>
          <w:p w14:paraId="038A15B4" w14:textId="77777777" w:rsidR="001757EB" w:rsidRDefault="001757EB" w:rsidP="001A5D4A">
            <w:pPr>
              <w:pStyle w:val="NotesTable-CellPlain"/>
            </w:pPr>
          </w:p>
        </w:tc>
      </w:tr>
      <w:tr w:rsidR="001757EB" w14:paraId="038A15BC" w14:textId="77777777" w:rsidTr="00AA28A1">
        <w:trPr>
          <w:cantSplit/>
          <w:trHeight w:val="181"/>
        </w:trPr>
        <w:tc>
          <w:tcPr>
            <w:tcW w:w="810" w:type="pct"/>
          </w:tcPr>
          <w:p w14:paraId="038A15B6" w14:textId="77777777" w:rsidR="001757EB" w:rsidRDefault="001757EB" w:rsidP="001A5D4A">
            <w:pPr>
              <w:pStyle w:val="Note-Refs"/>
            </w:pPr>
          </w:p>
        </w:tc>
        <w:tc>
          <w:tcPr>
            <w:tcW w:w="2567" w:type="pct"/>
            <w:vAlign w:val="bottom"/>
          </w:tcPr>
          <w:p w14:paraId="038A15B7" w14:textId="77777777" w:rsidR="001757EB" w:rsidRDefault="001757EB" w:rsidP="001A5D4A">
            <w:pPr>
              <w:pStyle w:val="NotesTable-ItemPlain"/>
              <w:rPr>
                <w:b/>
              </w:rPr>
            </w:pPr>
            <w:r>
              <w:t>Net investment income</w:t>
            </w:r>
          </w:p>
        </w:tc>
        <w:tc>
          <w:tcPr>
            <w:tcW w:w="406" w:type="pct"/>
          </w:tcPr>
          <w:p w14:paraId="038A15B8" w14:textId="77777777" w:rsidR="001757EB" w:rsidRDefault="001757EB" w:rsidP="001A5D4A">
            <w:pPr>
              <w:pStyle w:val="NotesTable-CellBold"/>
            </w:pPr>
            <w:r>
              <w:t>–</w:t>
            </w:r>
          </w:p>
        </w:tc>
        <w:tc>
          <w:tcPr>
            <w:tcW w:w="406" w:type="pct"/>
          </w:tcPr>
          <w:p w14:paraId="038A15B9" w14:textId="77777777" w:rsidR="001757EB" w:rsidRDefault="001757EB" w:rsidP="001A5D4A">
            <w:pPr>
              <w:pStyle w:val="NotesTable-CellPlain"/>
            </w:pPr>
            <w:r>
              <w:t>–</w:t>
            </w:r>
          </w:p>
        </w:tc>
        <w:tc>
          <w:tcPr>
            <w:tcW w:w="406" w:type="pct"/>
          </w:tcPr>
          <w:p w14:paraId="038A15BA" w14:textId="77777777" w:rsidR="001757EB" w:rsidRDefault="001757EB" w:rsidP="001A5D4A">
            <w:pPr>
              <w:pStyle w:val="NotesTable-CellBold"/>
            </w:pPr>
            <w:r>
              <w:t>–</w:t>
            </w:r>
          </w:p>
        </w:tc>
        <w:tc>
          <w:tcPr>
            <w:tcW w:w="406" w:type="pct"/>
          </w:tcPr>
          <w:p w14:paraId="038A15BB" w14:textId="77777777" w:rsidR="001757EB" w:rsidRDefault="001757EB" w:rsidP="001A5D4A">
            <w:pPr>
              <w:pStyle w:val="NotesTable-CellPlain"/>
            </w:pPr>
            <w:r>
              <w:t>–</w:t>
            </w:r>
          </w:p>
        </w:tc>
      </w:tr>
    </w:tbl>
    <w:p w14:paraId="192A7485" w14:textId="214F90CA" w:rsidR="000B1517" w:rsidRPr="0047767A" w:rsidRDefault="0047767A" w:rsidP="001A5D4A">
      <w:pPr>
        <w:pStyle w:val="Heading3"/>
        <w:rPr>
          <w:color w:val="2D3E7B" w:themeColor="text2" w:themeShade="BF"/>
        </w:rPr>
      </w:pPr>
      <w:bookmarkStart w:id="266" w:name="_Toc410807610"/>
      <w:bookmarkStart w:id="267" w:name="_Toc410822665"/>
      <w:r w:rsidRPr="0047767A">
        <w:rPr>
          <w:color w:val="2D3E7B" w:themeColor="text2" w:themeShade="BF"/>
        </w:rPr>
        <w:t xml:space="preserve">Commentary - </w:t>
      </w:r>
      <w:r w:rsidR="000B1517" w:rsidRPr="0047767A">
        <w:rPr>
          <w:color w:val="2D3E7B" w:themeColor="text2" w:themeShade="BF"/>
        </w:rPr>
        <w:t>Investment income</w:t>
      </w:r>
      <w:bookmarkEnd w:id="266"/>
      <w:bookmarkEnd w:id="267"/>
    </w:p>
    <w:p w14:paraId="346DD8FC" w14:textId="77777777" w:rsidR="000B1517" w:rsidRPr="0000701C" w:rsidRDefault="000B1517" w:rsidP="00E422A6">
      <w:pPr>
        <w:pStyle w:val="Heading6"/>
      </w:pPr>
      <w:r w:rsidRPr="0000701C">
        <w:t>AASB7.20</w:t>
      </w:r>
    </w:p>
    <w:p w14:paraId="752A1DDA" w14:textId="77777777" w:rsidR="000B1517" w:rsidRPr="0047767A" w:rsidRDefault="000B1517" w:rsidP="001A5D4A">
      <w:pPr>
        <w:rPr>
          <w:color w:val="2D3E7B" w:themeColor="text2" w:themeShade="BF"/>
        </w:rPr>
      </w:pPr>
      <w:r w:rsidRPr="0047767A">
        <w:rPr>
          <w:color w:val="2D3E7B" w:themeColor="text2" w:themeShade="BF"/>
        </w:rPr>
        <w:t xml:space="preserve">An entity shall disclose net gains or net losses on financial assets or liabilities at fair value through profit or loss, financial assets or liabilities held for trading, available-for-sale financial assets moved from equity (showing separately the amount of gain or loss recognised in OCI and the amount reclassified from equity) and recognised as profit or loss, held-to-maturity investments, loans and receivables, and financial liabilities measured at amortised cost. </w:t>
      </w:r>
    </w:p>
    <w:p w14:paraId="435F8FCD" w14:textId="77777777" w:rsidR="008710ED" w:rsidRDefault="008710ED" w:rsidP="001A5D4A">
      <w:pPr>
        <w:spacing w:after="0"/>
        <w:rPr>
          <w:rFonts w:asciiTheme="majorHAnsi" w:eastAsiaTheme="majorEastAsia" w:hAnsiTheme="majorHAnsi"/>
          <w:b/>
          <w:bCs/>
          <w:i/>
          <w:iCs/>
          <w:sz w:val="28"/>
          <w:szCs w:val="28"/>
        </w:rPr>
      </w:pPr>
      <w:bookmarkStart w:id="268" w:name="_Toc410807611"/>
      <w:bookmarkStart w:id="269" w:name="_Toc410822666"/>
      <w:r>
        <w:br w:type="page"/>
      </w:r>
    </w:p>
    <w:p w14:paraId="3772F40E" w14:textId="27D8CDE5" w:rsidR="000B1517" w:rsidRDefault="0047767A" w:rsidP="00D61C84">
      <w:pPr>
        <w:pStyle w:val="Heading2"/>
      </w:pPr>
      <w:proofErr w:type="gramStart"/>
      <w:r>
        <w:lastRenderedPageBreak/>
        <w:t>Note 7.</w:t>
      </w:r>
      <w:proofErr w:type="gramEnd"/>
      <w:r>
        <w:t xml:space="preserve"> </w:t>
      </w:r>
      <w:r w:rsidR="000B1517" w:rsidRPr="000B1517">
        <w:t>Royalties, trademarks and licences</w:t>
      </w:r>
      <w:bookmarkEnd w:id="268"/>
      <w:bookmarkEnd w:id="269"/>
    </w:p>
    <w:p w14:paraId="7D50F712" w14:textId="3918F97B" w:rsidR="0047767A" w:rsidRPr="0047767A" w:rsidRDefault="0047767A" w:rsidP="001A5D4A">
      <w:r w:rsidRPr="0047767A">
        <w:t>AASB118</w:t>
      </w:r>
    </w:p>
    <w:tbl>
      <w:tblPr>
        <w:tblW w:w="5000" w:type="pct"/>
        <w:tblInd w:w="-3" w:type="dxa"/>
        <w:tblLayout w:type="fixed"/>
        <w:tblCellMar>
          <w:left w:w="0" w:type="dxa"/>
          <w:right w:w="0" w:type="dxa"/>
        </w:tblCellMar>
        <w:tblLook w:val="0000" w:firstRow="0" w:lastRow="0" w:firstColumn="0" w:lastColumn="0" w:noHBand="0" w:noVBand="0"/>
      </w:tblPr>
      <w:tblGrid>
        <w:gridCol w:w="1527"/>
        <w:gridCol w:w="5026"/>
        <w:gridCol w:w="761"/>
        <w:gridCol w:w="914"/>
        <w:gridCol w:w="762"/>
        <w:gridCol w:w="761"/>
      </w:tblGrid>
      <w:tr w:rsidR="004914AC" w14:paraId="135A9FCF" w14:textId="77777777" w:rsidTr="004914AC">
        <w:trPr>
          <w:trHeight w:val="181"/>
        </w:trPr>
        <w:tc>
          <w:tcPr>
            <w:tcW w:w="1421" w:type="dxa"/>
            <w:vAlign w:val="bottom"/>
          </w:tcPr>
          <w:p w14:paraId="3812D497" w14:textId="77777777" w:rsidR="004914AC" w:rsidRDefault="004914AC" w:rsidP="00022EFA">
            <w:pPr>
              <w:pStyle w:val="Note-Refs"/>
            </w:pPr>
            <w:bookmarkStart w:id="270" w:name="_Toc410822667"/>
          </w:p>
        </w:tc>
        <w:tc>
          <w:tcPr>
            <w:tcW w:w="4678" w:type="dxa"/>
            <w:vAlign w:val="bottom"/>
          </w:tcPr>
          <w:p w14:paraId="45727CBF" w14:textId="77777777" w:rsidR="004914AC" w:rsidRDefault="004914AC" w:rsidP="00022EFA">
            <w:pPr>
              <w:pStyle w:val="NotesTable-ItemPlain"/>
            </w:pPr>
          </w:p>
        </w:tc>
        <w:tc>
          <w:tcPr>
            <w:tcW w:w="1559" w:type="dxa"/>
            <w:gridSpan w:val="2"/>
          </w:tcPr>
          <w:p w14:paraId="542887B3" w14:textId="77777777" w:rsidR="004914AC" w:rsidRDefault="004914AC" w:rsidP="00022EFA">
            <w:pPr>
              <w:pStyle w:val="NotesTable-HeadPlain"/>
              <w:rPr>
                <w:b/>
              </w:rPr>
            </w:pPr>
            <w:r>
              <w:t>Consolidated</w:t>
            </w:r>
          </w:p>
        </w:tc>
        <w:tc>
          <w:tcPr>
            <w:tcW w:w="1417" w:type="dxa"/>
            <w:gridSpan w:val="2"/>
          </w:tcPr>
          <w:p w14:paraId="31EAAF7A" w14:textId="77777777" w:rsidR="004914AC" w:rsidRDefault="004914AC" w:rsidP="00022EFA">
            <w:pPr>
              <w:pStyle w:val="NotesTable-HeadPlain"/>
            </w:pPr>
            <w:r>
              <w:t>Parent entity</w:t>
            </w:r>
          </w:p>
        </w:tc>
      </w:tr>
      <w:tr w:rsidR="004914AC" w14:paraId="03552DB0" w14:textId="77777777" w:rsidTr="004914AC">
        <w:trPr>
          <w:trHeight w:val="181"/>
        </w:trPr>
        <w:tc>
          <w:tcPr>
            <w:tcW w:w="1421" w:type="dxa"/>
            <w:vAlign w:val="bottom"/>
          </w:tcPr>
          <w:p w14:paraId="16B17C6D" w14:textId="77777777" w:rsidR="004914AC" w:rsidRDefault="004914AC" w:rsidP="00022EFA">
            <w:pPr>
              <w:pStyle w:val="Note-Refs"/>
            </w:pPr>
          </w:p>
        </w:tc>
        <w:tc>
          <w:tcPr>
            <w:tcW w:w="4678" w:type="dxa"/>
            <w:vAlign w:val="bottom"/>
          </w:tcPr>
          <w:p w14:paraId="31FF2C3A" w14:textId="77777777" w:rsidR="004914AC" w:rsidRDefault="004914AC" w:rsidP="00022EFA">
            <w:pPr>
              <w:pStyle w:val="NotesTable-ItemPlain"/>
            </w:pPr>
          </w:p>
        </w:tc>
        <w:tc>
          <w:tcPr>
            <w:tcW w:w="708" w:type="dxa"/>
          </w:tcPr>
          <w:p w14:paraId="2550839D" w14:textId="77777777" w:rsidR="004914AC" w:rsidRDefault="004914AC" w:rsidP="00022EFA">
            <w:pPr>
              <w:pStyle w:val="NotesTable-HeadBold"/>
            </w:pPr>
            <w:r>
              <w:t>2014</w:t>
            </w:r>
          </w:p>
        </w:tc>
        <w:tc>
          <w:tcPr>
            <w:tcW w:w="851" w:type="dxa"/>
          </w:tcPr>
          <w:p w14:paraId="1CD5F002" w14:textId="77777777" w:rsidR="004914AC" w:rsidRDefault="004914AC" w:rsidP="00022EFA">
            <w:pPr>
              <w:pStyle w:val="NotesTable-HeadPlain"/>
            </w:pPr>
            <w:r>
              <w:t>2013</w:t>
            </w:r>
          </w:p>
        </w:tc>
        <w:tc>
          <w:tcPr>
            <w:tcW w:w="709" w:type="dxa"/>
          </w:tcPr>
          <w:p w14:paraId="56654BA0" w14:textId="77777777" w:rsidR="004914AC" w:rsidRDefault="004914AC" w:rsidP="00022EFA">
            <w:pPr>
              <w:pStyle w:val="NotesTable-HeadBold"/>
            </w:pPr>
            <w:r>
              <w:t>2014</w:t>
            </w:r>
          </w:p>
        </w:tc>
        <w:tc>
          <w:tcPr>
            <w:tcW w:w="708" w:type="dxa"/>
          </w:tcPr>
          <w:p w14:paraId="07131D3C" w14:textId="77777777" w:rsidR="004914AC" w:rsidRDefault="004914AC" w:rsidP="00022EFA">
            <w:pPr>
              <w:pStyle w:val="NotesTable-HeadPlain"/>
            </w:pPr>
            <w:r>
              <w:t>2013</w:t>
            </w:r>
          </w:p>
        </w:tc>
      </w:tr>
      <w:tr w:rsidR="004914AC" w14:paraId="76825A58" w14:textId="77777777" w:rsidTr="004914AC">
        <w:trPr>
          <w:trHeight w:val="181"/>
        </w:trPr>
        <w:tc>
          <w:tcPr>
            <w:tcW w:w="1421" w:type="dxa"/>
            <w:vAlign w:val="bottom"/>
          </w:tcPr>
          <w:p w14:paraId="75C676D3" w14:textId="77777777" w:rsidR="004914AC" w:rsidRDefault="004914AC" w:rsidP="00022EFA">
            <w:pPr>
              <w:pStyle w:val="Note-Refs"/>
            </w:pPr>
          </w:p>
        </w:tc>
        <w:tc>
          <w:tcPr>
            <w:tcW w:w="4678" w:type="dxa"/>
            <w:vAlign w:val="bottom"/>
          </w:tcPr>
          <w:p w14:paraId="59C97E34" w14:textId="77777777" w:rsidR="004914AC" w:rsidRDefault="004914AC" w:rsidP="00022EFA">
            <w:pPr>
              <w:pStyle w:val="NotesTable-ItemPlain"/>
            </w:pPr>
          </w:p>
        </w:tc>
        <w:tc>
          <w:tcPr>
            <w:tcW w:w="708" w:type="dxa"/>
          </w:tcPr>
          <w:p w14:paraId="21FB83E8" w14:textId="77777777" w:rsidR="004914AC" w:rsidRDefault="004914AC" w:rsidP="00022EFA">
            <w:pPr>
              <w:pStyle w:val="NotesTable-HeadBold"/>
            </w:pPr>
            <w:r>
              <w:t>$’000</w:t>
            </w:r>
          </w:p>
        </w:tc>
        <w:tc>
          <w:tcPr>
            <w:tcW w:w="851" w:type="dxa"/>
          </w:tcPr>
          <w:p w14:paraId="49002E27" w14:textId="77777777" w:rsidR="004914AC" w:rsidRDefault="004914AC" w:rsidP="00022EFA">
            <w:pPr>
              <w:pStyle w:val="NotesTable-HeadPlain"/>
            </w:pPr>
            <w:r>
              <w:t>$’000</w:t>
            </w:r>
          </w:p>
        </w:tc>
        <w:tc>
          <w:tcPr>
            <w:tcW w:w="709" w:type="dxa"/>
          </w:tcPr>
          <w:p w14:paraId="26F763F6" w14:textId="77777777" w:rsidR="004914AC" w:rsidRDefault="004914AC" w:rsidP="00022EFA">
            <w:pPr>
              <w:pStyle w:val="NotesTable-HeadBold"/>
            </w:pPr>
            <w:r>
              <w:t>$’000</w:t>
            </w:r>
          </w:p>
        </w:tc>
        <w:tc>
          <w:tcPr>
            <w:tcW w:w="708" w:type="dxa"/>
          </w:tcPr>
          <w:p w14:paraId="7BC2AD61" w14:textId="77777777" w:rsidR="004914AC" w:rsidRDefault="004914AC" w:rsidP="00022EFA">
            <w:pPr>
              <w:pStyle w:val="NotesTable-HeadPlain"/>
            </w:pPr>
            <w:r>
              <w:t>$’000</w:t>
            </w:r>
          </w:p>
        </w:tc>
      </w:tr>
      <w:tr w:rsidR="004914AC" w14:paraId="2DE55D4B" w14:textId="77777777" w:rsidTr="004914AC">
        <w:trPr>
          <w:trHeight w:val="181"/>
        </w:trPr>
        <w:tc>
          <w:tcPr>
            <w:tcW w:w="1421" w:type="dxa"/>
            <w:vAlign w:val="bottom"/>
          </w:tcPr>
          <w:p w14:paraId="01D0E8C5" w14:textId="77777777" w:rsidR="004914AC" w:rsidRDefault="004914AC" w:rsidP="00022EFA">
            <w:pPr>
              <w:pStyle w:val="Note-Refs"/>
            </w:pPr>
          </w:p>
        </w:tc>
        <w:tc>
          <w:tcPr>
            <w:tcW w:w="4678" w:type="dxa"/>
            <w:vAlign w:val="bottom"/>
          </w:tcPr>
          <w:p w14:paraId="467E785A" w14:textId="77777777" w:rsidR="004914AC" w:rsidRPr="008B0621" w:rsidRDefault="004914AC" w:rsidP="00022EFA">
            <w:pPr>
              <w:pStyle w:val="NotesTable-ItemPlain"/>
              <w:rPr>
                <w:b/>
              </w:rPr>
            </w:pPr>
            <w:r w:rsidRPr="00C0248C">
              <w:t>[Specify</w:t>
            </w:r>
            <w:r w:rsidRPr="008B0621">
              <w:t>]</w:t>
            </w:r>
          </w:p>
        </w:tc>
        <w:tc>
          <w:tcPr>
            <w:tcW w:w="708" w:type="dxa"/>
            <w:tcBorders>
              <w:bottom w:val="single" w:sz="4" w:space="0" w:color="000000"/>
            </w:tcBorders>
          </w:tcPr>
          <w:p w14:paraId="7CDBE3AB" w14:textId="77777777" w:rsidR="004914AC" w:rsidRDefault="004914AC" w:rsidP="00022EFA">
            <w:pPr>
              <w:pStyle w:val="NotesTable-CellBold"/>
            </w:pPr>
            <w:r>
              <w:t>–</w:t>
            </w:r>
          </w:p>
        </w:tc>
        <w:tc>
          <w:tcPr>
            <w:tcW w:w="851" w:type="dxa"/>
            <w:tcBorders>
              <w:bottom w:val="single" w:sz="4" w:space="0" w:color="000000"/>
            </w:tcBorders>
          </w:tcPr>
          <w:p w14:paraId="1ABA1933" w14:textId="77777777" w:rsidR="004914AC" w:rsidRDefault="004914AC" w:rsidP="00022EFA">
            <w:pPr>
              <w:pStyle w:val="NotesTable-CellPlain"/>
            </w:pPr>
            <w:r>
              <w:t>–</w:t>
            </w:r>
          </w:p>
        </w:tc>
        <w:tc>
          <w:tcPr>
            <w:tcW w:w="709" w:type="dxa"/>
            <w:tcBorders>
              <w:bottom w:val="single" w:sz="4" w:space="0" w:color="000000"/>
            </w:tcBorders>
          </w:tcPr>
          <w:p w14:paraId="70657997" w14:textId="77777777" w:rsidR="004914AC" w:rsidRDefault="004914AC" w:rsidP="00022EFA">
            <w:pPr>
              <w:pStyle w:val="NotesTable-CellBold"/>
            </w:pPr>
            <w:r>
              <w:t>–</w:t>
            </w:r>
          </w:p>
        </w:tc>
        <w:tc>
          <w:tcPr>
            <w:tcW w:w="708" w:type="dxa"/>
            <w:tcBorders>
              <w:bottom w:val="single" w:sz="4" w:space="0" w:color="000000"/>
            </w:tcBorders>
          </w:tcPr>
          <w:p w14:paraId="7FF67B4E" w14:textId="77777777" w:rsidR="004914AC" w:rsidRDefault="004914AC" w:rsidP="00022EFA">
            <w:pPr>
              <w:pStyle w:val="NotesTable-CellPlain"/>
            </w:pPr>
            <w:r>
              <w:t>–</w:t>
            </w:r>
          </w:p>
        </w:tc>
      </w:tr>
      <w:tr w:rsidR="004914AC" w14:paraId="747B162F" w14:textId="77777777" w:rsidTr="004914AC">
        <w:trPr>
          <w:trHeight w:val="181"/>
        </w:trPr>
        <w:tc>
          <w:tcPr>
            <w:tcW w:w="1421" w:type="dxa"/>
            <w:vAlign w:val="bottom"/>
          </w:tcPr>
          <w:p w14:paraId="5338C6C2" w14:textId="77777777" w:rsidR="004914AC" w:rsidRDefault="004914AC" w:rsidP="00022EFA">
            <w:pPr>
              <w:pStyle w:val="Note-Refs"/>
            </w:pPr>
          </w:p>
        </w:tc>
        <w:tc>
          <w:tcPr>
            <w:tcW w:w="4678" w:type="dxa"/>
            <w:vAlign w:val="bottom"/>
          </w:tcPr>
          <w:p w14:paraId="442DE960" w14:textId="77777777" w:rsidR="004914AC" w:rsidRDefault="004914AC" w:rsidP="00022EFA">
            <w:pPr>
              <w:pStyle w:val="NotesTable-ItemPlain"/>
              <w:rPr>
                <w:b/>
              </w:rPr>
            </w:pPr>
            <w:r>
              <w:t>Total royalties, trademarks and licences</w:t>
            </w:r>
          </w:p>
        </w:tc>
        <w:tc>
          <w:tcPr>
            <w:tcW w:w="708" w:type="dxa"/>
          </w:tcPr>
          <w:p w14:paraId="305EED1B" w14:textId="77777777" w:rsidR="004914AC" w:rsidRDefault="004914AC" w:rsidP="00022EFA">
            <w:pPr>
              <w:pStyle w:val="NotesTable-CellBold"/>
            </w:pPr>
            <w:r>
              <w:t>–</w:t>
            </w:r>
          </w:p>
        </w:tc>
        <w:tc>
          <w:tcPr>
            <w:tcW w:w="851" w:type="dxa"/>
          </w:tcPr>
          <w:p w14:paraId="44BAE77F" w14:textId="77777777" w:rsidR="004914AC" w:rsidRDefault="004914AC" w:rsidP="00022EFA">
            <w:pPr>
              <w:pStyle w:val="NotesTable-CellPlain"/>
            </w:pPr>
            <w:r>
              <w:t>–</w:t>
            </w:r>
          </w:p>
        </w:tc>
        <w:tc>
          <w:tcPr>
            <w:tcW w:w="709" w:type="dxa"/>
          </w:tcPr>
          <w:p w14:paraId="514FBFF0" w14:textId="77777777" w:rsidR="004914AC" w:rsidRDefault="004914AC" w:rsidP="00022EFA">
            <w:pPr>
              <w:pStyle w:val="NotesTable-CellBold"/>
            </w:pPr>
            <w:r>
              <w:t>–</w:t>
            </w:r>
          </w:p>
        </w:tc>
        <w:tc>
          <w:tcPr>
            <w:tcW w:w="708" w:type="dxa"/>
          </w:tcPr>
          <w:p w14:paraId="7B833AFE" w14:textId="77777777" w:rsidR="004914AC" w:rsidRDefault="004914AC" w:rsidP="00022EFA">
            <w:pPr>
              <w:pStyle w:val="NotesTable-CellPlain"/>
            </w:pPr>
            <w:r>
              <w:t>–</w:t>
            </w:r>
          </w:p>
        </w:tc>
      </w:tr>
    </w:tbl>
    <w:p w14:paraId="365925CA" w14:textId="56971D75" w:rsidR="00AC41C4" w:rsidRPr="00AC41C4" w:rsidRDefault="00AC41C4" w:rsidP="0000701C">
      <w:pPr>
        <w:pStyle w:val="Heading2"/>
      </w:pPr>
      <w:proofErr w:type="gramStart"/>
      <w:r w:rsidRPr="00AC41C4">
        <w:t>Note 8.</w:t>
      </w:r>
      <w:proofErr w:type="gramEnd"/>
      <w:r w:rsidRPr="00AC41C4">
        <w:t xml:space="preserve"> Consultancy and contracts</w:t>
      </w:r>
      <w:bookmarkEnd w:id="270"/>
    </w:p>
    <w:p w14:paraId="7C43C781" w14:textId="77777777" w:rsidR="00AC41C4" w:rsidRPr="00AC41C4" w:rsidRDefault="00AC41C4" w:rsidP="0000701C">
      <w:pPr>
        <w:spacing w:after="0"/>
      </w:pPr>
      <w:r w:rsidRPr="00AC41C4">
        <w:t>Mandatory</w:t>
      </w:r>
    </w:p>
    <w:p w14:paraId="4F49A04A" w14:textId="77777777" w:rsidR="00AC41C4" w:rsidRPr="00AC41C4" w:rsidRDefault="00AC41C4" w:rsidP="001A5D4A">
      <w:r w:rsidRPr="00AC41C4">
        <w:t xml:space="preserve">Education </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367800" w14:paraId="4E131F9B" w14:textId="77777777" w:rsidTr="00FD0D94">
        <w:trPr>
          <w:trHeight w:val="181"/>
        </w:trPr>
        <w:tc>
          <w:tcPr>
            <w:tcW w:w="810" w:type="pct"/>
            <w:vAlign w:val="bottom"/>
          </w:tcPr>
          <w:p w14:paraId="2C20F885" w14:textId="77777777" w:rsidR="00367800" w:rsidRDefault="00367800" w:rsidP="001A5D4A">
            <w:pPr>
              <w:pStyle w:val="Note-Refs"/>
            </w:pPr>
          </w:p>
        </w:tc>
        <w:tc>
          <w:tcPr>
            <w:tcW w:w="2567" w:type="pct"/>
            <w:vAlign w:val="bottom"/>
          </w:tcPr>
          <w:p w14:paraId="07EADB70" w14:textId="77777777" w:rsidR="00367800" w:rsidRDefault="00367800" w:rsidP="001A5D4A">
            <w:pPr>
              <w:pStyle w:val="NotesTable-ItemPlain"/>
            </w:pPr>
          </w:p>
        </w:tc>
        <w:tc>
          <w:tcPr>
            <w:tcW w:w="811" w:type="pct"/>
            <w:gridSpan w:val="2"/>
          </w:tcPr>
          <w:p w14:paraId="57F11859" w14:textId="77777777" w:rsidR="00367800" w:rsidRDefault="00367800" w:rsidP="001A5D4A">
            <w:pPr>
              <w:pStyle w:val="NotesTable-HeadPlain"/>
              <w:rPr>
                <w:b/>
              </w:rPr>
            </w:pPr>
            <w:r>
              <w:t>Consolidated</w:t>
            </w:r>
          </w:p>
        </w:tc>
        <w:tc>
          <w:tcPr>
            <w:tcW w:w="811" w:type="pct"/>
            <w:gridSpan w:val="2"/>
          </w:tcPr>
          <w:p w14:paraId="5740052B" w14:textId="77777777" w:rsidR="00367800" w:rsidRDefault="00367800" w:rsidP="001A5D4A">
            <w:pPr>
              <w:pStyle w:val="NotesTable-HeadPlain"/>
            </w:pPr>
            <w:r>
              <w:t>Parent entity</w:t>
            </w:r>
          </w:p>
        </w:tc>
      </w:tr>
      <w:tr w:rsidR="00367800" w14:paraId="18DC4BDC" w14:textId="77777777" w:rsidTr="00FD0D94">
        <w:trPr>
          <w:trHeight w:val="181"/>
        </w:trPr>
        <w:tc>
          <w:tcPr>
            <w:tcW w:w="810" w:type="pct"/>
            <w:vAlign w:val="bottom"/>
          </w:tcPr>
          <w:p w14:paraId="4EB0671B" w14:textId="77777777" w:rsidR="00367800" w:rsidRDefault="00367800" w:rsidP="001A5D4A">
            <w:pPr>
              <w:pStyle w:val="Note-Refs"/>
            </w:pPr>
          </w:p>
        </w:tc>
        <w:tc>
          <w:tcPr>
            <w:tcW w:w="2567" w:type="pct"/>
            <w:vAlign w:val="bottom"/>
          </w:tcPr>
          <w:p w14:paraId="607062EE" w14:textId="77777777" w:rsidR="00367800" w:rsidRDefault="00367800" w:rsidP="001A5D4A">
            <w:pPr>
              <w:pStyle w:val="NotesTable-ItemPlain"/>
            </w:pPr>
          </w:p>
        </w:tc>
        <w:tc>
          <w:tcPr>
            <w:tcW w:w="406" w:type="pct"/>
          </w:tcPr>
          <w:p w14:paraId="5290226C" w14:textId="77777777" w:rsidR="00367800" w:rsidRDefault="00367800" w:rsidP="001A5D4A">
            <w:pPr>
              <w:pStyle w:val="NotesTable-HeadBold"/>
            </w:pPr>
            <w:r>
              <w:t>2014</w:t>
            </w:r>
          </w:p>
        </w:tc>
        <w:tc>
          <w:tcPr>
            <w:tcW w:w="406" w:type="pct"/>
          </w:tcPr>
          <w:p w14:paraId="7E855A87" w14:textId="77777777" w:rsidR="00367800" w:rsidRDefault="00367800" w:rsidP="001A5D4A">
            <w:pPr>
              <w:pStyle w:val="NotesTable-HeadPlain"/>
            </w:pPr>
            <w:r>
              <w:t>2013</w:t>
            </w:r>
          </w:p>
        </w:tc>
        <w:tc>
          <w:tcPr>
            <w:tcW w:w="406" w:type="pct"/>
          </w:tcPr>
          <w:p w14:paraId="5CEEF051" w14:textId="77777777" w:rsidR="00367800" w:rsidRDefault="00367800" w:rsidP="001A5D4A">
            <w:pPr>
              <w:pStyle w:val="NotesTable-HeadBold"/>
            </w:pPr>
            <w:r>
              <w:t>2014</w:t>
            </w:r>
          </w:p>
        </w:tc>
        <w:tc>
          <w:tcPr>
            <w:tcW w:w="406" w:type="pct"/>
          </w:tcPr>
          <w:p w14:paraId="55863641" w14:textId="77777777" w:rsidR="00367800" w:rsidRDefault="00367800" w:rsidP="001A5D4A">
            <w:pPr>
              <w:pStyle w:val="NotesTable-HeadPlain"/>
            </w:pPr>
            <w:r>
              <w:t>2013</w:t>
            </w:r>
          </w:p>
        </w:tc>
      </w:tr>
      <w:tr w:rsidR="00367800" w14:paraId="51CE53EE" w14:textId="77777777" w:rsidTr="00FD0D94">
        <w:trPr>
          <w:trHeight w:val="181"/>
        </w:trPr>
        <w:tc>
          <w:tcPr>
            <w:tcW w:w="810" w:type="pct"/>
            <w:vAlign w:val="bottom"/>
          </w:tcPr>
          <w:p w14:paraId="5656EE25" w14:textId="77777777" w:rsidR="00367800" w:rsidRDefault="00367800" w:rsidP="001A5D4A">
            <w:pPr>
              <w:pStyle w:val="Note-Refs"/>
            </w:pPr>
          </w:p>
        </w:tc>
        <w:tc>
          <w:tcPr>
            <w:tcW w:w="2567" w:type="pct"/>
            <w:vAlign w:val="bottom"/>
          </w:tcPr>
          <w:p w14:paraId="5FFAD642" w14:textId="77777777" w:rsidR="00367800" w:rsidRDefault="00367800" w:rsidP="001A5D4A">
            <w:pPr>
              <w:pStyle w:val="NotesTable-ItemPlain"/>
            </w:pPr>
          </w:p>
        </w:tc>
        <w:tc>
          <w:tcPr>
            <w:tcW w:w="406" w:type="pct"/>
          </w:tcPr>
          <w:p w14:paraId="34FA937E" w14:textId="77777777" w:rsidR="00367800" w:rsidRDefault="00367800" w:rsidP="001A5D4A">
            <w:pPr>
              <w:pStyle w:val="NotesTable-HeadBold"/>
            </w:pPr>
            <w:r>
              <w:t>$’000</w:t>
            </w:r>
          </w:p>
        </w:tc>
        <w:tc>
          <w:tcPr>
            <w:tcW w:w="406" w:type="pct"/>
          </w:tcPr>
          <w:p w14:paraId="0BF929BC" w14:textId="77777777" w:rsidR="00367800" w:rsidRDefault="00367800" w:rsidP="001A5D4A">
            <w:pPr>
              <w:pStyle w:val="NotesTable-HeadPlain"/>
            </w:pPr>
            <w:r>
              <w:t>$’000</w:t>
            </w:r>
          </w:p>
        </w:tc>
        <w:tc>
          <w:tcPr>
            <w:tcW w:w="406" w:type="pct"/>
          </w:tcPr>
          <w:p w14:paraId="70C2C66B" w14:textId="77777777" w:rsidR="00367800" w:rsidRDefault="00367800" w:rsidP="001A5D4A">
            <w:pPr>
              <w:pStyle w:val="NotesTable-HeadBold"/>
            </w:pPr>
            <w:r>
              <w:t>$’000</w:t>
            </w:r>
          </w:p>
        </w:tc>
        <w:tc>
          <w:tcPr>
            <w:tcW w:w="406" w:type="pct"/>
          </w:tcPr>
          <w:p w14:paraId="7B42EEC1" w14:textId="77777777" w:rsidR="00367800" w:rsidRDefault="00367800" w:rsidP="001A5D4A">
            <w:pPr>
              <w:pStyle w:val="NotesTable-HeadPlain"/>
            </w:pPr>
            <w:r>
              <w:t>$’000</w:t>
            </w:r>
          </w:p>
        </w:tc>
      </w:tr>
      <w:tr w:rsidR="00367800" w14:paraId="11084BF9" w14:textId="77777777" w:rsidTr="00FD0D94">
        <w:trPr>
          <w:trHeight w:val="181"/>
        </w:trPr>
        <w:tc>
          <w:tcPr>
            <w:tcW w:w="810" w:type="pct"/>
            <w:vAlign w:val="bottom"/>
          </w:tcPr>
          <w:p w14:paraId="7376A800" w14:textId="77777777" w:rsidR="00367800" w:rsidRDefault="00367800" w:rsidP="001A5D4A">
            <w:pPr>
              <w:pStyle w:val="Note-Refs"/>
            </w:pPr>
          </w:p>
        </w:tc>
        <w:tc>
          <w:tcPr>
            <w:tcW w:w="2567" w:type="pct"/>
            <w:vAlign w:val="bottom"/>
          </w:tcPr>
          <w:p w14:paraId="2A180056" w14:textId="77777777" w:rsidR="00367800" w:rsidRDefault="00367800" w:rsidP="001A5D4A">
            <w:pPr>
              <w:pStyle w:val="NotesTable-ItemPlain"/>
              <w:rPr>
                <w:b/>
              </w:rPr>
            </w:pPr>
            <w:r>
              <w:t>Consultancy</w:t>
            </w:r>
          </w:p>
        </w:tc>
        <w:tc>
          <w:tcPr>
            <w:tcW w:w="406" w:type="pct"/>
          </w:tcPr>
          <w:p w14:paraId="75D1B224" w14:textId="77777777" w:rsidR="00367800" w:rsidRDefault="00367800" w:rsidP="001A5D4A">
            <w:pPr>
              <w:pStyle w:val="NotesTable-CellBold"/>
            </w:pPr>
            <w:r>
              <w:t>–</w:t>
            </w:r>
          </w:p>
        </w:tc>
        <w:tc>
          <w:tcPr>
            <w:tcW w:w="406" w:type="pct"/>
          </w:tcPr>
          <w:p w14:paraId="08ABF330" w14:textId="77777777" w:rsidR="00367800" w:rsidRDefault="00367800" w:rsidP="001A5D4A">
            <w:pPr>
              <w:pStyle w:val="NotesTable-CellPlain"/>
            </w:pPr>
            <w:r>
              <w:t>–</w:t>
            </w:r>
          </w:p>
        </w:tc>
        <w:tc>
          <w:tcPr>
            <w:tcW w:w="406" w:type="pct"/>
          </w:tcPr>
          <w:p w14:paraId="479D1F53" w14:textId="77777777" w:rsidR="00367800" w:rsidRDefault="00367800" w:rsidP="001A5D4A">
            <w:pPr>
              <w:pStyle w:val="NotesTable-CellBold"/>
            </w:pPr>
            <w:r>
              <w:t>–</w:t>
            </w:r>
          </w:p>
        </w:tc>
        <w:tc>
          <w:tcPr>
            <w:tcW w:w="406" w:type="pct"/>
          </w:tcPr>
          <w:p w14:paraId="71C79767" w14:textId="77777777" w:rsidR="00367800" w:rsidRDefault="00367800" w:rsidP="001A5D4A">
            <w:pPr>
              <w:pStyle w:val="NotesTable-CellPlain"/>
            </w:pPr>
            <w:r>
              <w:t>–</w:t>
            </w:r>
          </w:p>
        </w:tc>
      </w:tr>
      <w:tr w:rsidR="00367800" w14:paraId="57544638" w14:textId="77777777" w:rsidTr="00FD0D94">
        <w:trPr>
          <w:trHeight w:val="181"/>
        </w:trPr>
        <w:tc>
          <w:tcPr>
            <w:tcW w:w="810" w:type="pct"/>
            <w:vAlign w:val="bottom"/>
          </w:tcPr>
          <w:p w14:paraId="0657452F" w14:textId="77777777" w:rsidR="00367800" w:rsidRDefault="00367800" w:rsidP="001A5D4A">
            <w:pPr>
              <w:pStyle w:val="Note-Refs"/>
            </w:pPr>
          </w:p>
        </w:tc>
        <w:tc>
          <w:tcPr>
            <w:tcW w:w="2567" w:type="pct"/>
            <w:vAlign w:val="bottom"/>
          </w:tcPr>
          <w:p w14:paraId="5D05D89D" w14:textId="77777777" w:rsidR="00367800" w:rsidRDefault="00367800" w:rsidP="001A5D4A">
            <w:pPr>
              <w:pStyle w:val="NotesTable-ItemPlain"/>
              <w:rPr>
                <w:b/>
              </w:rPr>
            </w:pPr>
            <w:r>
              <w:t>Contract research</w:t>
            </w:r>
          </w:p>
        </w:tc>
        <w:tc>
          <w:tcPr>
            <w:tcW w:w="406" w:type="pct"/>
          </w:tcPr>
          <w:p w14:paraId="4453F63F" w14:textId="77777777" w:rsidR="00367800" w:rsidRDefault="00367800" w:rsidP="001A5D4A">
            <w:pPr>
              <w:pStyle w:val="NotesTable-CellBold"/>
            </w:pPr>
            <w:r>
              <w:t>–</w:t>
            </w:r>
          </w:p>
        </w:tc>
        <w:tc>
          <w:tcPr>
            <w:tcW w:w="406" w:type="pct"/>
          </w:tcPr>
          <w:p w14:paraId="641AA859" w14:textId="77777777" w:rsidR="00367800" w:rsidRDefault="00367800" w:rsidP="001A5D4A">
            <w:pPr>
              <w:pStyle w:val="NotesTable-CellPlain"/>
            </w:pPr>
            <w:r>
              <w:t>–</w:t>
            </w:r>
          </w:p>
        </w:tc>
        <w:tc>
          <w:tcPr>
            <w:tcW w:w="406" w:type="pct"/>
          </w:tcPr>
          <w:p w14:paraId="6DB959E3" w14:textId="77777777" w:rsidR="00367800" w:rsidRDefault="00367800" w:rsidP="001A5D4A">
            <w:pPr>
              <w:pStyle w:val="NotesTable-CellBold"/>
            </w:pPr>
            <w:r>
              <w:t>–</w:t>
            </w:r>
          </w:p>
        </w:tc>
        <w:tc>
          <w:tcPr>
            <w:tcW w:w="406" w:type="pct"/>
          </w:tcPr>
          <w:p w14:paraId="7ABA4775" w14:textId="77777777" w:rsidR="00367800" w:rsidRDefault="00367800" w:rsidP="001A5D4A">
            <w:pPr>
              <w:pStyle w:val="NotesTable-CellPlain"/>
            </w:pPr>
            <w:r>
              <w:t>–</w:t>
            </w:r>
          </w:p>
        </w:tc>
      </w:tr>
      <w:tr w:rsidR="00367800" w14:paraId="18B1888D" w14:textId="77777777" w:rsidTr="00FD0D94">
        <w:trPr>
          <w:trHeight w:val="181"/>
        </w:trPr>
        <w:tc>
          <w:tcPr>
            <w:tcW w:w="810" w:type="pct"/>
            <w:vAlign w:val="bottom"/>
          </w:tcPr>
          <w:p w14:paraId="5716AFC7" w14:textId="77777777" w:rsidR="00367800" w:rsidRDefault="00367800" w:rsidP="001A5D4A">
            <w:pPr>
              <w:pStyle w:val="Note-Refs"/>
            </w:pPr>
          </w:p>
        </w:tc>
        <w:tc>
          <w:tcPr>
            <w:tcW w:w="2567" w:type="pct"/>
            <w:vAlign w:val="bottom"/>
          </w:tcPr>
          <w:p w14:paraId="1C62528A" w14:textId="77777777" w:rsidR="00367800" w:rsidRDefault="00367800" w:rsidP="001A5D4A">
            <w:pPr>
              <w:pStyle w:val="NotesTable-ItemPlain"/>
              <w:rPr>
                <w:b/>
              </w:rPr>
            </w:pPr>
            <w:r>
              <w:t>Other contract revenue</w:t>
            </w:r>
          </w:p>
        </w:tc>
        <w:tc>
          <w:tcPr>
            <w:tcW w:w="406" w:type="pct"/>
          </w:tcPr>
          <w:p w14:paraId="03054B88" w14:textId="77777777" w:rsidR="00367800" w:rsidRDefault="00367800" w:rsidP="001A5D4A">
            <w:pPr>
              <w:pStyle w:val="NotesTable-CellBold"/>
            </w:pPr>
            <w:r>
              <w:t>–</w:t>
            </w:r>
          </w:p>
        </w:tc>
        <w:tc>
          <w:tcPr>
            <w:tcW w:w="406" w:type="pct"/>
          </w:tcPr>
          <w:p w14:paraId="7D2F5A3F" w14:textId="77777777" w:rsidR="00367800" w:rsidRDefault="00367800" w:rsidP="001A5D4A">
            <w:pPr>
              <w:pStyle w:val="NotesTable-CellPlain"/>
            </w:pPr>
            <w:r>
              <w:t>–</w:t>
            </w:r>
          </w:p>
        </w:tc>
        <w:tc>
          <w:tcPr>
            <w:tcW w:w="406" w:type="pct"/>
          </w:tcPr>
          <w:p w14:paraId="1CA62BC9" w14:textId="77777777" w:rsidR="00367800" w:rsidRDefault="00367800" w:rsidP="001A5D4A">
            <w:pPr>
              <w:pStyle w:val="NotesTable-CellBold"/>
            </w:pPr>
            <w:r>
              <w:t>–</w:t>
            </w:r>
          </w:p>
        </w:tc>
        <w:tc>
          <w:tcPr>
            <w:tcW w:w="406" w:type="pct"/>
          </w:tcPr>
          <w:p w14:paraId="2DEA8308" w14:textId="77777777" w:rsidR="00367800" w:rsidRDefault="00367800" w:rsidP="001A5D4A">
            <w:pPr>
              <w:pStyle w:val="NotesTable-CellPlain"/>
            </w:pPr>
            <w:r>
              <w:t>–</w:t>
            </w:r>
          </w:p>
        </w:tc>
      </w:tr>
      <w:tr w:rsidR="00367800" w14:paraId="395059FD" w14:textId="77777777" w:rsidTr="00FD0D94">
        <w:trPr>
          <w:trHeight w:val="181"/>
        </w:trPr>
        <w:tc>
          <w:tcPr>
            <w:tcW w:w="810" w:type="pct"/>
            <w:vAlign w:val="bottom"/>
          </w:tcPr>
          <w:p w14:paraId="6DD03700" w14:textId="77777777" w:rsidR="00367800" w:rsidRDefault="00367800" w:rsidP="001A5D4A">
            <w:pPr>
              <w:pStyle w:val="Note-Refs"/>
            </w:pPr>
          </w:p>
        </w:tc>
        <w:tc>
          <w:tcPr>
            <w:tcW w:w="2567" w:type="pct"/>
            <w:vAlign w:val="bottom"/>
          </w:tcPr>
          <w:p w14:paraId="67DAFA87" w14:textId="77777777" w:rsidR="00367800" w:rsidRDefault="00367800" w:rsidP="001A5D4A">
            <w:pPr>
              <w:pStyle w:val="NotesTable-ItemPlain"/>
              <w:rPr>
                <w:b/>
              </w:rPr>
            </w:pPr>
            <w:r>
              <w:t>[</w:t>
            </w:r>
            <w:r w:rsidRPr="00C0248C">
              <w:t>Specify</w:t>
            </w:r>
            <w:r>
              <w:t>]</w:t>
            </w:r>
          </w:p>
        </w:tc>
        <w:tc>
          <w:tcPr>
            <w:tcW w:w="406" w:type="pct"/>
            <w:tcBorders>
              <w:bottom w:val="single" w:sz="4" w:space="0" w:color="auto"/>
            </w:tcBorders>
          </w:tcPr>
          <w:p w14:paraId="56C9ECBA" w14:textId="77777777" w:rsidR="00367800" w:rsidRDefault="00367800" w:rsidP="001A5D4A">
            <w:pPr>
              <w:pStyle w:val="NotesTable-CellBold"/>
            </w:pPr>
            <w:r>
              <w:t>–</w:t>
            </w:r>
          </w:p>
        </w:tc>
        <w:tc>
          <w:tcPr>
            <w:tcW w:w="406" w:type="pct"/>
            <w:tcBorders>
              <w:bottom w:val="single" w:sz="4" w:space="0" w:color="auto"/>
            </w:tcBorders>
          </w:tcPr>
          <w:p w14:paraId="1B8B73B0" w14:textId="77777777" w:rsidR="00367800" w:rsidRDefault="00367800" w:rsidP="001A5D4A">
            <w:pPr>
              <w:pStyle w:val="NotesTable-CellPlain"/>
            </w:pPr>
            <w:r>
              <w:t>–</w:t>
            </w:r>
          </w:p>
        </w:tc>
        <w:tc>
          <w:tcPr>
            <w:tcW w:w="406" w:type="pct"/>
            <w:tcBorders>
              <w:bottom w:val="single" w:sz="4" w:space="0" w:color="auto"/>
            </w:tcBorders>
          </w:tcPr>
          <w:p w14:paraId="4FE1F1CA" w14:textId="77777777" w:rsidR="00367800" w:rsidRDefault="00367800" w:rsidP="001A5D4A">
            <w:pPr>
              <w:pStyle w:val="NotesTable-CellBold"/>
            </w:pPr>
            <w:r>
              <w:t>–</w:t>
            </w:r>
          </w:p>
        </w:tc>
        <w:tc>
          <w:tcPr>
            <w:tcW w:w="406" w:type="pct"/>
            <w:tcBorders>
              <w:bottom w:val="single" w:sz="4" w:space="0" w:color="auto"/>
            </w:tcBorders>
          </w:tcPr>
          <w:p w14:paraId="2A05BDD5" w14:textId="77777777" w:rsidR="00367800" w:rsidRDefault="00367800" w:rsidP="001A5D4A">
            <w:pPr>
              <w:pStyle w:val="NotesTable-CellPlain"/>
            </w:pPr>
            <w:r>
              <w:t>–</w:t>
            </w:r>
          </w:p>
        </w:tc>
      </w:tr>
      <w:tr w:rsidR="00367800" w14:paraId="49041EC3" w14:textId="77777777" w:rsidTr="00FD0D94">
        <w:trPr>
          <w:trHeight w:val="181"/>
        </w:trPr>
        <w:tc>
          <w:tcPr>
            <w:tcW w:w="810" w:type="pct"/>
            <w:vAlign w:val="bottom"/>
          </w:tcPr>
          <w:p w14:paraId="5A990EEF" w14:textId="77777777" w:rsidR="00367800" w:rsidRDefault="00367800" w:rsidP="001A5D4A">
            <w:pPr>
              <w:pStyle w:val="Note-Refs"/>
              <w:rPr>
                <w:b/>
              </w:rPr>
            </w:pPr>
            <w:r>
              <w:t>EDUCATION</w:t>
            </w:r>
          </w:p>
        </w:tc>
        <w:tc>
          <w:tcPr>
            <w:tcW w:w="2567" w:type="pct"/>
            <w:shd w:val="clear" w:color="auto" w:fill="CCCCCC"/>
            <w:vAlign w:val="bottom"/>
          </w:tcPr>
          <w:p w14:paraId="3CDEC05D" w14:textId="77777777" w:rsidR="00367800" w:rsidRPr="00C0248C" w:rsidRDefault="00367800" w:rsidP="001A5D4A">
            <w:pPr>
              <w:pStyle w:val="NotesTable-ItemPlain"/>
              <w:rPr>
                <w:b/>
              </w:rPr>
            </w:pPr>
            <w:r w:rsidRPr="00C0248C">
              <w:t>Total consultancy and contracts</w:t>
            </w:r>
          </w:p>
        </w:tc>
        <w:tc>
          <w:tcPr>
            <w:tcW w:w="406" w:type="pct"/>
            <w:tcBorders>
              <w:top w:val="single" w:sz="4" w:space="0" w:color="auto"/>
            </w:tcBorders>
            <w:shd w:val="clear" w:color="auto" w:fill="CCCCCC"/>
          </w:tcPr>
          <w:p w14:paraId="48868BF2" w14:textId="77777777" w:rsidR="00367800" w:rsidRDefault="00367800" w:rsidP="001A5D4A">
            <w:pPr>
              <w:pStyle w:val="NotesTable-CellBold"/>
            </w:pPr>
            <w:r>
              <w:t>–</w:t>
            </w:r>
          </w:p>
        </w:tc>
        <w:tc>
          <w:tcPr>
            <w:tcW w:w="406" w:type="pct"/>
            <w:tcBorders>
              <w:top w:val="single" w:sz="4" w:space="0" w:color="auto"/>
            </w:tcBorders>
            <w:shd w:val="clear" w:color="auto" w:fill="CCCCCC"/>
          </w:tcPr>
          <w:p w14:paraId="6CB3ACC9" w14:textId="77777777" w:rsidR="00367800" w:rsidRDefault="00367800" w:rsidP="001A5D4A">
            <w:pPr>
              <w:pStyle w:val="NotesTable-CellPlain"/>
            </w:pPr>
            <w:r>
              <w:t>–</w:t>
            </w:r>
          </w:p>
        </w:tc>
        <w:tc>
          <w:tcPr>
            <w:tcW w:w="406" w:type="pct"/>
            <w:tcBorders>
              <w:top w:val="single" w:sz="4" w:space="0" w:color="auto"/>
            </w:tcBorders>
            <w:shd w:val="clear" w:color="auto" w:fill="CCCCCC"/>
          </w:tcPr>
          <w:p w14:paraId="43F88E1C" w14:textId="77777777" w:rsidR="00367800" w:rsidRDefault="00367800" w:rsidP="001A5D4A">
            <w:pPr>
              <w:pStyle w:val="NotesTable-CellBold"/>
            </w:pPr>
            <w:r>
              <w:t>–</w:t>
            </w:r>
          </w:p>
        </w:tc>
        <w:tc>
          <w:tcPr>
            <w:tcW w:w="406" w:type="pct"/>
            <w:tcBorders>
              <w:top w:val="single" w:sz="4" w:space="0" w:color="auto"/>
            </w:tcBorders>
            <w:shd w:val="clear" w:color="auto" w:fill="CCCCCC"/>
          </w:tcPr>
          <w:p w14:paraId="3170A203" w14:textId="77777777" w:rsidR="00367800" w:rsidRDefault="00367800" w:rsidP="001A5D4A">
            <w:pPr>
              <w:pStyle w:val="NotesTable-CellPlain"/>
            </w:pPr>
            <w:r>
              <w:t>–</w:t>
            </w:r>
          </w:p>
        </w:tc>
      </w:tr>
    </w:tbl>
    <w:p w14:paraId="59453071" w14:textId="77777777" w:rsidR="0047767A" w:rsidRPr="0047767A" w:rsidRDefault="0047767A" w:rsidP="001A5D4A">
      <w:pPr>
        <w:pStyle w:val="Heading3"/>
        <w:rPr>
          <w:color w:val="2D3E7B" w:themeColor="text2" w:themeShade="BF"/>
        </w:rPr>
      </w:pPr>
      <w:bookmarkStart w:id="271" w:name="_Toc410807612"/>
      <w:bookmarkStart w:id="272" w:name="_Toc410822668"/>
      <w:r w:rsidRPr="0047767A">
        <w:rPr>
          <w:color w:val="2D3E7B" w:themeColor="text2" w:themeShade="BF"/>
        </w:rPr>
        <w:t>Commentary – Consultancy and contracts</w:t>
      </w:r>
      <w:bookmarkEnd w:id="271"/>
      <w:bookmarkEnd w:id="272"/>
    </w:p>
    <w:p w14:paraId="54FA95C2" w14:textId="695BC6C2" w:rsidR="0047767A" w:rsidRPr="0000701C" w:rsidRDefault="0047767A" w:rsidP="00E422A6">
      <w:pPr>
        <w:pStyle w:val="Heading6"/>
      </w:pPr>
      <w:r w:rsidRPr="0000701C">
        <w:t>Education</w:t>
      </w:r>
    </w:p>
    <w:p w14:paraId="2C50212C" w14:textId="77777777" w:rsidR="0047767A" w:rsidRPr="0047767A" w:rsidRDefault="0047767A" w:rsidP="001A5D4A">
      <w:pPr>
        <w:rPr>
          <w:color w:val="2D3E7B" w:themeColor="text2" w:themeShade="BF"/>
        </w:rPr>
      </w:pPr>
      <w:r w:rsidRPr="0047767A">
        <w:rPr>
          <w:color w:val="2D3E7B" w:themeColor="text2" w:themeShade="BF"/>
        </w:rPr>
        <w:t>Australian Government and State government grants are to be reported in notes 3 and 4, respectively.</w:t>
      </w:r>
    </w:p>
    <w:p w14:paraId="4A5E16C6" w14:textId="1A5676AB" w:rsidR="00AC41C4" w:rsidRDefault="00AC41C4" w:rsidP="0000701C">
      <w:pPr>
        <w:pStyle w:val="Heading2"/>
      </w:pPr>
      <w:bookmarkStart w:id="273" w:name="_Toc410822669"/>
      <w:proofErr w:type="gramStart"/>
      <w:r w:rsidRPr="00AC41C4">
        <w:t>Note 9.</w:t>
      </w:r>
      <w:proofErr w:type="gramEnd"/>
      <w:r>
        <w:t xml:space="preserve"> </w:t>
      </w:r>
      <w:r w:rsidRPr="00AC41C4">
        <w:t>Other revenue and income</w:t>
      </w:r>
      <w:bookmarkEnd w:id="273"/>
    </w:p>
    <w:p w14:paraId="3892E787" w14:textId="77777777" w:rsidR="00AC41C4" w:rsidRPr="00AC41C4" w:rsidRDefault="00AC41C4" w:rsidP="0000701C">
      <w:pPr>
        <w:spacing w:after="0"/>
      </w:pPr>
      <w:r w:rsidRPr="00AC41C4">
        <w:t>Mandatory</w:t>
      </w:r>
    </w:p>
    <w:p w14:paraId="76C8EBF3" w14:textId="77777777" w:rsidR="00AC41C4" w:rsidRPr="00AC41C4" w:rsidRDefault="00AC41C4" w:rsidP="001A5D4A">
      <w:r w:rsidRPr="00AC41C4">
        <w:t>AASB118</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023312" w14:paraId="038A164D" w14:textId="77777777" w:rsidTr="00AC41C4">
        <w:trPr>
          <w:cantSplit/>
          <w:trHeight w:val="181"/>
        </w:trPr>
        <w:tc>
          <w:tcPr>
            <w:tcW w:w="810" w:type="pct"/>
          </w:tcPr>
          <w:p w14:paraId="038A1648" w14:textId="77777777" w:rsidR="00023312" w:rsidRDefault="00023312" w:rsidP="001A5D4A">
            <w:pPr>
              <w:pStyle w:val="Note-Refs"/>
            </w:pPr>
          </w:p>
        </w:tc>
        <w:tc>
          <w:tcPr>
            <w:tcW w:w="2297" w:type="pct"/>
          </w:tcPr>
          <w:p w14:paraId="038A1649" w14:textId="77777777" w:rsidR="00023312" w:rsidRDefault="00023312" w:rsidP="001A5D4A">
            <w:pPr>
              <w:pStyle w:val="NotesTable-ItemPlain"/>
            </w:pPr>
          </w:p>
        </w:tc>
        <w:tc>
          <w:tcPr>
            <w:tcW w:w="270" w:type="pct"/>
          </w:tcPr>
          <w:p w14:paraId="038A164A" w14:textId="77777777" w:rsidR="00023312" w:rsidRDefault="00023312" w:rsidP="001A5D4A">
            <w:pPr>
              <w:pStyle w:val="NotesTable-Notes"/>
            </w:pPr>
          </w:p>
        </w:tc>
        <w:tc>
          <w:tcPr>
            <w:tcW w:w="811" w:type="pct"/>
            <w:gridSpan w:val="2"/>
          </w:tcPr>
          <w:p w14:paraId="038A164B" w14:textId="77777777" w:rsidR="00023312" w:rsidRDefault="00023312" w:rsidP="001A5D4A">
            <w:pPr>
              <w:pStyle w:val="NotesTable-HeadPlain"/>
            </w:pPr>
            <w:r>
              <w:t>Consolidated</w:t>
            </w:r>
          </w:p>
        </w:tc>
        <w:tc>
          <w:tcPr>
            <w:tcW w:w="811" w:type="pct"/>
            <w:gridSpan w:val="2"/>
          </w:tcPr>
          <w:p w14:paraId="038A164C" w14:textId="77777777" w:rsidR="00023312" w:rsidRDefault="00023312" w:rsidP="001A5D4A">
            <w:pPr>
              <w:pStyle w:val="NotesTable-HeadPlain"/>
            </w:pPr>
            <w:r>
              <w:t>Parent entity</w:t>
            </w:r>
          </w:p>
        </w:tc>
      </w:tr>
      <w:tr w:rsidR="001757EB" w14:paraId="038A1655" w14:textId="77777777" w:rsidTr="00AC41C4">
        <w:trPr>
          <w:cantSplit/>
          <w:trHeight w:val="181"/>
        </w:trPr>
        <w:tc>
          <w:tcPr>
            <w:tcW w:w="810" w:type="pct"/>
          </w:tcPr>
          <w:p w14:paraId="038A164E" w14:textId="77777777" w:rsidR="001757EB" w:rsidRDefault="001757EB" w:rsidP="001A5D4A">
            <w:pPr>
              <w:pStyle w:val="Note-Refs"/>
            </w:pPr>
          </w:p>
        </w:tc>
        <w:tc>
          <w:tcPr>
            <w:tcW w:w="2297" w:type="pct"/>
          </w:tcPr>
          <w:p w14:paraId="038A164F" w14:textId="77777777" w:rsidR="001757EB" w:rsidRDefault="001757EB" w:rsidP="001A5D4A">
            <w:pPr>
              <w:pStyle w:val="NotesTable-ItemPlain"/>
            </w:pPr>
          </w:p>
        </w:tc>
        <w:tc>
          <w:tcPr>
            <w:tcW w:w="270" w:type="pct"/>
          </w:tcPr>
          <w:p w14:paraId="038A1650" w14:textId="77777777" w:rsidR="001757EB" w:rsidRDefault="001757EB" w:rsidP="001A5D4A">
            <w:pPr>
              <w:pStyle w:val="NotesTable-Notes"/>
            </w:pPr>
          </w:p>
        </w:tc>
        <w:tc>
          <w:tcPr>
            <w:tcW w:w="406" w:type="pct"/>
          </w:tcPr>
          <w:p w14:paraId="038A1651" w14:textId="6304193B" w:rsidR="001757EB" w:rsidRDefault="006864EC" w:rsidP="001A5D4A">
            <w:pPr>
              <w:pStyle w:val="NotesTable-HeadBold"/>
            </w:pPr>
            <w:r>
              <w:t>2014</w:t>
            </w:r>
          </w:p>
        </w:tc>
        <w:tc>
          <w:tcPr>
            <w:tcW w:w="406" w:type="pct"/>
          </w:tcPr>
          <w:p w14:paraId="038A1652" w14:textId="2F48E658" w:rsidR="001757EB" w:rsidRDefault="006864EC" w:rsidP="001A5D4A">
            <w:pPr>
              <w:pStyle w:val="NotesTable-HeadPlain"/>
            </w:pPr>
            <w:r>
              <w:t>2013</w:t>
            </w:r>
          </w:p>
        </w:tc>
        <w:tc>
          <w:tcPr>
            <w:tcW w:w="406" w:type="pct"/>
          </w:tcPr>
          <w:p w14:paraId="038A1653" w14:textId="5A4CF10A" w:rsidR="001757EB" w:rsidRDefault="006864EC" w:rsidP="001A5D4A">
            <w:pPr>
              <w:pStyle w:val="NotesTable-HeadBold"/>
            </w:pPr>
            <w:r>
              <w:t>2014</w:t>
            </w:r>
          </w:p>
        </w:tc>
        <w:tc>
          <w:tcPr>
            <w:tcW w:w="406" w:type="pct"/>
          </w:tcPr>
          <w:p w14:paraId="038A1654" w14:textId="54C7E1C0" w:rsidR="001757EB" w:rsidRDefault="006864EC" w:rsidP="001A5D4A">
            <w:pPr>
              <w:pStyle w:val="NotesTable-HeadPlain"/>
            </w:pPr>
            <w:r>
              <w:t>2013</w:t>
            </w:r>
          </w:p>
        </w:tc>
      </w:tr>
      <w:tr w:rsidR="001757EB" w14:paraId="038A165D" w14:textId="77777777" w:rsidTr="00AC41C4">
        <w:trPr>
          <w:cantSplit/>
          <w:trHeight w:val="181"/>
        </w:trPr>
        <w:tc>
          <w:tcPr>
            <w:tcW w:w="810" w:type="pct"/>
          </w:tcPr>
          <w:p w14:paraId="038A1656" w14:textId="77777777" w:rsidR="001757EB" w:rsidRDefault="001757EB" w:rsidP="001A5D4A">
            <w:pPr>
              <w:pStyle w:val="Note-Refs"/>
            </w:pPr>
          </w:p>
        </w:tc>
        <w:tc>
          <w:tcPr>
            <w:tcW w:w="2297" w:type="pct"/>
          </w:tcPr>
          <w:p w14:paraId="038A1657" w14:textId="77777777" w:rsidR="001757EB" w:rsidRDefault="001757EB" w:rsidP="001A5D4A">
            <w:pPr>
              <w:pStyle w:val="NotesTable-ItemPlain"/>
            </w:pPr>
          </w:p>
        </w:tc>
        <w:tc>
          <w:tcPr>
            <w:tcW w:w="270" w:type="pct"/>
          </w:tcPr>
          <w:p w14:paraId="038A1658" w14:textId="77777777" w:rsidR="001757EB" w:rsidRDefault="001757EB" w:rsidP="001A5D4A">
            <w:pPr>
              <w:pStyle w:val="NotesTable-Notes"/>
            </w:pPr>
          </w:p>
        </w:tc>
        <w:tc>
          <w:tcPr>
            <w:tcW w:w="406" w:type="pct"/>
          </w:tcPr>
          <w:p w14:paraId="038A1659" w14:textId="77777777" w:rsidR="001757EB" w:rsidRDefault="001757EB" w:rsidP="001A5D4A">
            <w:pPr>
              <w:pStyle w:val="NotesTable-HeadBold"/>
            </w:pPr>
            <w:r>
              <w:t>$’000</w:t>
            </w:r>
          </w:p>
        </w:tc>
        <w:tc>
          <w:tcPr>
            <w:tcW w:w="406" w:type="pct"/>
          </w:tcPr>
          <w:p w14:paraId="038A165A" w14:textId="77777777" w:rsidR="001757EB" w:rsidRDefault="001757EB" w:rsidP="001A5D4A">
            <w:pPr>
              <w:pStyle w:val="NotesTable-HeadPlain"/>
            </w:pPr>
            <w:r>
              <w:t>$’000</w:t>
            </w:r>
          </w:p>
        </w:tc>
        <w:tc>
          <w:tcPr>
            <w:tcW w:w="406" w:type="pct"/>
          </w:tcPr>
          <w:p w14:paraId="038A165B" w14:textId="77777777" w:rsidR="001757EB" w:rsidRDefault="001757EB" w:rsidP="001A5D4A">
            <w:pPr>
              <w:pStyle w:val="NotesTable-HeadBold"/>
            </w:pPr>
            <w:r>
              <w:t>$’000</w:t>
            </w:r>
          </w:p>
        </w:tc>
        <w:tc>
          <w:tcPr>
            <w:tcW w:w="406" w:type="pct"/>
          </w:tcPr>
          <w:p w14:paraId="038A165C" w14:textId="77777777" w:rsidR="001757EB" w:rsidRDefault="001757EB" w:rsidP="001A5D4A">
            <w:pPr>
              <w:pStyle w:val="NotesTable-HeadPlain"/>
            </w:pPr>
            <w:r>
              <w:t>$’000</w:t>
            </w:r>
          </w:p>
        </w:tc>
      </w:tr>
      <w:tr w:rsidR="00FE281B" w14:paraId="038A1660" w14:textId="77777777" w:rsidTr="00AC41C4">
        <w:trPr>
          <w:cantSplit/>
          <w:trHeight w:val="181"/>
        </w:trPr>
        <w:tc>
          <w:tcPr>
            <w:tcW w:w="810" w:type="pct"/>
            <w:vAlign w:val="bottom"/>
          </w:tcPr>
          <w:p w14:paraId="038A165E" w14:textId="77777777" w:rsidR="00FE281B" w:rsidRDefault="00B90CFC" w:rsidP="001A5D4A">
            <w:pPr>
              <w:pStyle w:val="Note-Refs"/>
              <w:rPr>
                <w:b/>
              </w:rPr>
            </w:pPr>
            <w:r>
              <w:t>EDUCATION</w:t>
            </w:r>
          </w:p>
        </w:tc>
        <w:tc>
          <w:tcPr>
            <w:tcW w:w="4190" w:type="pct"/>
            <w:gridSpan w:val="6"/>
            <w:shd w:val="clear" w:color="auto" w:fill="CCCCCC"/>
            <w:vAlign w:val="bottom"/>
          </w:tcPr>
          <w:p w14:paraId="038A165F" w14:textId="77777777" w:rsidR="00FE281B" w:rsidRDefault="00FE281B" w:rsidP="001A5D4A">
            <w:pPr>
              <w:pStyle w:val="Note-TextHeader"/>
              <w:rPr>
                <w:lang w:val="en-GB"/>
              </w:rPr>
            </w:pPr>
            <w:r>
              <w:t>Other revenue</w:t>
            </w:r>
          </w:p>
        </w:tc>
      </w:tr>
      <w:tr w:rsidR="001757EB" w14:paraId="038A1668" w14:textId="77777777" w:rsidTr="00AC41C4">
        <w:trPr>
          <w:cantSplit/>
          <w:trHeight w:val="181"/>
        </w:trPr>
        <w:tc>
          <w:tcPr>
            <w:tcW w:w="810" w:type="pct"/>
            <w:vAlign w:val="bottom"/>
          </w:tcPr>
          <w:p w14:paraId="038A1661" w14:textId="77777777" w:rsidR="001757EB" w:rsidRDefault="001757EB" w:rsidP="001A5D4A">
            <w:pPr>
              <w:pStyle w:val="Note-Refs"/>
            </w:pPr>
          </w:p>
        </w:tc>
        <w:tc>
          <w:tcPr>
            <w:tcW w:w="2297" w:type="pct"/>
            <w:shd w:val="clear" w:color="auto" w:fill="CDCDCD"/>
            <w:vAlign w:val="bottom"/>
          </w:tcPr>
          <w:p w14:paraId="038A1662" w14:textId="77777777" w:rsidR="001757EB" w:rsidRDefault="001757EB" w:rsidP="001A5D4A">
            <w:pPr>
              <w:pStyle w:val="NotesTable-ItemPlain"/>
              <w:rPr>
                <w:b/>
              </w:rPr>
            </w:pPr>
            <w:r>
              <w:t>Donations and bequests</w:t>
            </w:r>
          </w:p>
        </w:tc>
        <w:tc>
          <w:tcPr>
            <w:tcW w:w="270" w:type="pct"/>
            <w:shd w:val="clear" w:color="auto" w:fill="CDCDCD"/>
          </w:tcPr>
          <w:p w14:paraId="038A1663" w14:textId="77777777" w:rsidR="001757EB" w:rsidRDefault="001757EB" w:rsidP="001A5D4A">
            <w:pPr>
              <w:pStyle w:val="NotesTable-Notes"/>
            </w:pPr>
          </w:p>
        </w:tc>
        <w:tc>
          <w:tcPr>
            <w:tcW w:w="406" w:type="pct"/>
            <w:shd w:val="clear" w:color="auto" w:fill="CCCCCC"/>
          </w:tcPr>
          <w:p w14:paraId="038A1664" w14:textId="77777777" w:rsidR="001757EB" w:rsidRDefault="001757EB" w:rsidP="001A5D4A">
            <w:pPr>
              <w:pStyle w:val="NotesTable-CellBold"/>
            </w:pPr>
            <w:r>
              <w:t>–</w:t>
            </w:r>
          </w:p>
        </w:tc>
        <w:tc>
          <w:tcPr>
            <w:tcW w:w="406" w:type="pct"/>
            <w:shd w:val="clear" w:color="auto" w:fill="CCCCCC"/>
          </w:tcPr>
          <w:p w14:paraId="038A1665" w14:textId="77777777" w:rsidR="001757EB" w:rsidRDefault="001757EB" w:rsidP="001A5D4A">
            <w:pPr>
              <w:pStyle w:val="NotesTable-CellPlain"/>
            </w:pPr>
            <w:r>
              <w:t>–</w:t>
            </w:r>
          </w:p>
        </w:tc>
        <w:tc>
          <w:tcPr>
            <w:tcW w:w="406" w:type="pct"/>
            <w:shd w:val="clear" w:color="auto" w:fill="CCCCCC"/>
          </w:tcPr>
          <w:p w14:paraId="038A1666" w14:textId="77777777" w:rsidR="001757EB" w:rsidRDefault="001757EB" w:rsidP="001A5D4A">
            <w:pPr>
              <w:pStyle w:val="NotesTable-CellBold"/>
            </w:pPr>
            <w:r>
              <w:t>–</w:t>
            </w:r>
          </w:p>
        </w:tc>
        <w:tc>
          <w:tcPr>
            <w:tcW w:w="406" w:type="pct"/>
            <w:shd w:val="clear" w:color="auto" w:fill="CCCCCC"/>
          </w:tcPr>
          <w:p w14:paraId="038A1667" w14:textId="77777777" w:rsidR="001757EB" w:rsidRDefault="001757EB" w:rsidP="001A5D4A">
            <w:pPr>
              <w:pStyle w:val="NotesTable-CellPlain"/>
            </w:pPr>
            <w:r>
              <w:t>–</w:t>
            </w:r>
          </w:p>
        </w:tc>
      </w:tr>
      <w:tr w:rsidR="001757EB" w14:paraId="038A1670" w14:textId="77777777" w:rsidTr="00AC41C4">
        <w:trPr>
          <w:cantSplit/>
          <w:trHeight w:val="181"/>
        </w:trPr>
        <w:tc>
          <w:tcPr>
            <w:tcW w:w="810" w:type="pct"/>
            <w:vAlign w:val="bottom"/>
          </w:tcPr>
          <w:p w14:paraId="038A1669" w14:textId="77777777" w:rsidR="001757EB" w:rsidRDefault="001757EB" w:rsidP="001A5D4A">
            <w:pPr>
              <w:pStyle w:val="Note-Refs"/>
            </w:pPr>
          </w:p>
        </w:tc>
        <w:tc>
          <w:tcPr>
            <w:tcW w:w="2297" w:type="pct"/>
            <w:shd w:val="clear" w:color="auto" w:fill="CDCDCD"/>
            <w:vAlign w:val="bottom"/>
          </w:tcPr>
          <w:p w14:paraId="038A166A" w14:textId="77777777" w:rsidR="001757EB" w:rsidRDefault="001757EB" w:rsidP="001A5D4A">
            <w:pPr>
              <w:pStyle w:val="NotesTable-ItemPlain"/>
              <w:rPr>
                <w:b/>
              </w:rPr>
            </w:pPr>
            <w:r>
              <w:t>Scholarships and prizes</w:t>
            </w:r>
          </w:p>
        </w:tc>
        <w:tc>
          <w:tcPr>
            <w:tcW w:w="270" w:type="pct"/>
            <w:shd w:val="clear" w:color="auto" w:fill="CDCDCD"/>
          </w:tcPr>
          <w:p w14:paraId="038A166B" w14:textId="77777777" w:rsidR="001757EB" w:rsidRDefault="001757EB" w:rsidP="001A5D4A">
            <w:pPr>
              <w:pStyle w:val="NotesTable-Notes"/>
            </w:pPr>
          </w:p>
        </w:tc>
        <w:tc>
          <w:tcPr>
            <w:tcW w:w="406" w:type="pct"/>
            <w:shd w:val="clear" w:color="auto" w:fill="CCCCCC"/>
          </w:tcPr>
          <w:p w14:paraId="038A166C" w14:textId="77777777" w:rsidR="001757EB" w:rsidRDefault="001757EB" w:rsidP="001A5D4A">
            <w:pPr>
              <w:pStyle w:val="NotesTable-CellBold"/>
            </w:pPr>
            <w:r>
              <w:t>–</w:t>
            </w:r>
          </w:p>
        </w:tc>
        <w:tc>
          <w:tcPr>
            <w:tcW w:w="406" w:type="pct"/>
            <w:shd w:val="clear" w:color="auto" w:fill="CCCCCC"/>
          </w:tcPr>
          <w:p w14:paraId="038A166D" w14:textId="77777777" w:rsidR="001757EB" w:rsidRDefault="001757EB" w:rsidP="001A5D4A">
            <w:pPr>
              <w:pStyle w:val="NotesTable-CellPlain"/>
            </w:pPr>
            <w:r>
              <w:t>–</w:t>
            </w:r>
          </w:p>
        </w:tc>
        <w:tc>
          <w:tcPr>
            <w:tcW w:w="406" w:type="pct"/>
            <w:shd w:val="clear" w:color="auto" w:fill="CCCCCC"/>
          </w:tcPr>
          <w:p w14:paraId="038A166E" w14:textId="77777777" w:rsidR="001757EB" w:rsidRDefault="001757EB" w:rsidP="001A5D4A">
            <w:pPr>
              <w:pStyle w:val="NotesTable-CellBold"/>
            </w:pPr>
            <w:r>
              <w:t>–</w:t>
            </w:r>
          </w:p>
        </w:tc>
        <w:tc>
          <w:tcPr>
            <w:tcW w:w="406" w:type="pct"/>
            <w:shd w:val="clear" w:color="auto" w:fill="CCCCCC"/>
          </w:tcPr>
          <w:p w14:paraId="038A166F" w14:textId="77777777" w:rsidR="001757EB" w:rsidRDefault="001757EB" w:rsidP="001A5D4A">
            <w:pPr>
              <w:pStyle w:val="NotesTable-CellPlain"/>
            </w:pPr>
            <w:r>
              <w:t>–</w:t>
            </w:r>
          </w:p>
        </w:tc>
      </w:tr>
      <w:tr w:rsidR="001757EB" w14:paraId="038A1678" w14:textId="77777777" w:rsidTr="00AC41C4">
        <w:trPr>
          <w:cantSplit/>
          <w:trHeight w:val="181"/>
        </w:trPr>
        <w:tc>
          <w:tcPr>
            <w:tcW w:w="810" w:type="pct"/>
            <w:vAlign w:val="bottom"/>
          </w:tcPr>
          <w:p w14:paraId="038A1671" w14:textId="77777777" w:rsidR="001757EB" w:rsidRDefault="001757EB" w:rsidP="001A5D4A">
            <w:pPr>
              <w:pStyle w:val="Note-Refs"/>
            </w:pPr>
          </w:p>
        </w:tc>
        <w:tc>
          <w:tcPr>
            <w:tcW w:w="2297" w:type="pct"/>
            <w:shd w:val="clear" w:color="auto" w:fill="CCCCCC"/>
            <w:vAlign w:val="bottom"/>
          </w:tcPr>
          <w:p w14:paraId="038A1672" w14:textId="77777777" w:rsidR="001757EB" w:rsidRDefault="001757EB" w:rsidP="001A5D4A">
            <w:pPr>
              <w:pStyle w:val="NotesTable-ItemPlain"/>
              <w:rPr>
                <w:b/>
              </w:rPr>
            </w:pPr>
            <w:r>
              <w:t>Non-government grants</w:t>
            </w:r>
          </w:p>
        </w:tc>
        <w:tc>
          <w:tcPr>
            <w:tcW w:w="270" w:type="pct"/>
            <w:shd w:val="clear" w:color="auto" w:fill="CCCCCC"/>
          </w:tcPr>
          <w:p w14:paraId="038A1673" w14:textId="77777777" w:rsidR="001757EB" w:rsidRDefault="001757EB" w:rsidP="001A5D4A">
            <w:pPr>
              <w:pStyle w:val="NotesTable-Notes"/>
            </w:pPr>
          </w:p>
        </w:tc>
        <w:tc>
          <w:tcPr>
            <w:tcW w:w="406" w:type="pct"/>
            <w:shd w:val="clear" w:color="auto" w:fill="CCCCCC"/>
          </w:tcPr>
          <w:p w14:paraId="038A1674" w14:textId="77777777" w:rsidR="001757EB" w:rsidRDefault="001757EB" w:rsidP="001A5D4A">
            <w:pPr>
              <w:pStyle w:val="NotesTable-CellBold"/>
            </w:pPr>
            <w:r>
              <w:t>–</w:t>
            </w:r>
          </w:p>
        </w:tc>
        <w:tc>
          <w:tcPr>
            <w:tcW w:w="406" w:type="pct"/>
            <w:shd w:val="clear" w:color="auto" w:fill="CCCCCC"/>
          </w:tcPr>
          <w:p w14:paraId="038A1675" w14:textId="77777777" w:rsidR="001757EB" w:rsidRDefault="001757EB" w:rsidP="001A5D4A">
            <w:pPr>
              <w:pStyle w:val="NotesTable-CellPlain"/>
            </w:pPr>
            <w:r>
              <w:t>–</w:t>
            </w:r>
          </w:p>
        </w:tc>
        <w:tc>
          <w:tcPr>
            <w:tcW w:w="406" w:type="pct"/>
            <w:shd w:val="clear" w:color="auto" w:fill="CCCCCC"/>
          </w:tcPr>
          <w:p w14:paraId="038A1676" w14:textId="77777777" w:rsidR="001757EB" w:rsidRDefault="001757EB" w:rsidP="001A5D4A">
            <w:pPr>
              <w:pStyle w:val="NotesTable-CellBold"/>
            </w:pPr>
            <w:r>
              <w:t>–</w:t>
            </w:r>
          </w:p>
        </w:tc>
        <w:tc>
          <w:tcPr>
            <w:tcW w:w="406" w:type="pct"/>
            <w:shd w:val="clear" w:color="auto" w:fill="CCCCCC"/>
          </w:tcPr>
          <w:p w14:paraId="038A1677" w14:textId="77777777" w:rsidR="001757EB" w:rsidRDefault="001757EB" w:rsidP="001A5D4A">
            <w:pPr>
              <w:pStyle w:val="NotesTable-CellPlain"/>
            </w:pPr>
            <w:r>
              <w:t>–</w:t>
            </w:r>
          </w:p>
        </w:tc>
      </w:tr>
      <w:tr w:rsidR="001757EB" w14:paraId="038A1680" w14:textId="77777777" w:rsidTr="00AC41C4">
        <w:trPr>
          <w:cantSplit/>
          <w:trHeight w:val="181"/>
        </w:trPr>
        <w:tc>
          <w:tcPr>
            <w:tcW w:w="810" w:type="pct"/>
          </w:tcPr>
          <w:p w14:paraId="038A1679" w14:textId="77777777" w:rsidR="001757EB" w:rsidRDefault="001757EB" w:rsidP="001A5D4A">
            <w:pPr>
              <w:pStyle w:val="Note-Refs"/>
            </w:pPr>
          </w:p>
        </w:tc>
        <w:tc>
          <w:tcPr>
            <w:tcW w:w="2297" w:type="pct"/>
            <w:vAlign w:val="bottom"/>
          </w:tcPr>
          <w:p w14:paraId="038A167A" w14:textId="77777777" w:rsidR="001757EB" w:rsidRDefault="001757EB" w:rsidP="001A5D4A">
            <w:pPr>
              <w:pStyle w:val="NotesTable-ItemPlain"/>
              <w:rPr>
                <w:b/>
              </w:rPr>
            </w:pPr>
            <w:r>
              <w:t>[Specify]</w:t>
            </w:r>
          </w:p>
        </w:tc>
        <w:tc>
          <w:tcPr>
            <w:tcW w:w="270" w:type="pct"/>
          </w:tcPr>
          <w:p w14:paraId="038A167B" w14:textId="77777777" w:rsidR="001757EB" w:rsidRDefault="001757EB" w:rsidP="001A5D4A">
            <w:pPr>
              <w:pStyle w:val="NotesTable-Notes"/>
            </w:pPr>
          </w:p>
        </w:tc>
        <w:tc>
          <w:tcPr>
            <w:tcW w:w="406" w:type="pct"/>
            <w:tcBorders>
              <w:bottom w:val="single" w:sz="4" w:space="0" w:color="000000"/>
            </w:tcBorders>
          </w:tcPr>
          <w:p w14:paraId="038A167C" w14:textId="77777777" w:rsidR="001757EB" w:rsidRDefault="001757EB" w:rsidP="001A5D4A">
            <w:pPr>
              <w:pStyle w:val="NotesTable-CellBold"/>
            </w:pPr>
            <w:r>
              <w:t>–</w:t>
            </w:r>
          </w:p>
        </w:tc>
        <w:tc>
          <w:tcPr>
            <w:tcW w:w="406" w:type="pct"/>
            <w:tcBorders>
              <w:bottom w:val="single" w:sz="4" w:space="0" w:color="000000"/>
            </w:tcBorders>
          </w:tcPr>
          <w:p w14:paraId="038A167D" w14:textId="77777777" w:rsidR="001757EB" w:rsidRDefault="001757EB" w:rsidP="001A5D4A">
            <w:pPr>
              <w:pStyle w:val="NotesTable-CellPlain"/>
            </w:pPr>
            <w:r>
              <w:t>–</w:t>
            </w:r>
          </w:p>
        </w:tc>
        <w:tc>
          <w:tcPr>
            <w:tcW w:w="406" w:type="pct"/>
            <w:tcBorders>
              <w:bottom w:val="single" w:sz="4" w:space="0" w:color="000000"/>
            </w:tcBorders>
          </w:tcPr>
          <w:p w14:paraId="038A167E" w14:textId="77777777" w:rsidR="001757EB" w:rsidRDefault="001757EB" w:rsidP="001A5D4A">
            <w:pPr>
              <w:pStyle w:val="NotesTable-CellBold"/>
            </w:pPr>
            <w:r>
              <w:t>–</w:t>
            </w:r>
          </w:p>
        </w:tc>
        <w:tc>
          <w:tcPr>
            <w:tcW w:w="406" w:type="pct"/>
            <w:tcBorders>
              <w:bottom w:val="single" w:sz="4" w:space="0" w:color="000000"/>
            </w:tcBorders>
          </w:tcPr>
          <w:p w14:paraId="038A167F" w14:textId="77777777" w:rsidR="001757EB" w:rsidRDefault="001757EB" w:rsidP="001A5D4A">
            <w:pPr>
              <w:pStyle w:val="NotesTable-CellPlain"/>
            </w:pPr>
            <w:r>
              <w:t>–</w:t>
            </w:r>
          </w:p>
        </w:tc>
      </w:tr>
      <w:tr w:rsidR="001757EB" w14:paraId="038A1688" w14:textId="77777777" w:rsidTr="00AC41C4">
        <w:trPr>
          <w:cantSplit/>
          <w:trHeight w:val="181"/>
        </w:trPr>
        <w:tc>
          <w:tcPr>
            <w:tcW w:w="810" w:type="pct"/>
          </w:tcPr>
          <w:p w14:paraId="038A1681" w14:textId="77777777" w:rsidR="001757EB" w:rsidRDefault="001757EB" w:rsidP="001A5D4A">
            <w:pPr>
              <w:pStyle w:val="Note-Refs"/>
            </w:pPr>
          </w:p>
        </w:tc>
        <w:tc>
          <w:tcPr>
            <w:tcW w:w="2297" w:type="pct"/>
            <w:vAlign w:val="bottom"/>
          </w:tcPr>
          <w:p w14:paraId="038A1682" w14:textId="77777777" w:rsidR="001757EB" w:rsidRDefault="001757EB" w:rsidP="001A5D4A">
            <w:pPr>
              <w:pStyle w:val="NotesTable-ItemPlain"/>
              <w:rPr>
                <w:b/>
              </w:rPr>
            </w:pPr>
            <w:r>
              <w:t>Total other revenue</w:t>
            </w:r>
          </w:p>
        </w:tc>
        <w:tc>
          <w:tcPr>
            <w:tcW w:w="270" w:type="pct"/>
          </w:tcPr>
          <w:p w14:paraId="038A1683" w14:textId="77777777" w:rsidR="001757EB" w:rsidRDefault="001757EB" w:rsidP="001A5D4A">
            <w:pPr>
              <w:pStyle w:val="NotesTable-Notes"/>
            </w:pPr>
          </w:p>
        </w:tc>
        <w:tc>
          <w:tcPr>
            <w:tcW w:w="406" w:type="pct"/>
          </w:tcPr>
          <w:p w14:paraId="038A1684" w14:textId="77777777" w:rsidR="001757EB" w:rsidRDefault="001757EB" w:rsidP="001A5D4A">
            <w:pPr>
              <w:pStyle w:val="NotesTable-CellBold"/>
            </w:pPr>
            <w:r>
              <w:t>–</w:t>
            </w:r>
          </w:p>
        </w:tc>
        <w:tc>
          <w:tcPr>
            <w:tcW w:w="406" w:type="pct"/>
          </w:tcPr>
          <w:p w14:paraId="038A1685" w14:textId="77777777" w:rsidR="001757EB" w:rsidRDefault="001757EB" w:rsidP="001A5D4A">
            <w:pPr>
              <w:pStyle w:val="NotesTable-CellPlain"/>
            </w:pPr>
            <w:r>
              <w:t>–</w:t>
            </w:r>
          </w:p>
        </w:tc>
        <w:tc>
          <w:tcPr>
            <w:tcW w:w="406" w:type="pct"/>
          </w:tcPr>
          <w:p w14:paraId="038A1686" w14:textId="77777777" w:rsidR="001757EB" w:rsidRDefault="001757EB" w:rsidP="001A5D4A">
            <w:pPr>
              <w:pStyle w:val="NotesTable-CellBold"/>
            </w:pPr>
            <w:r>
              <w:t>–</w:t>
            </w:r>
          </w:p>
        </w:tc>
        <w:tc>
          <w:tcPr>
            <w:tcW w:w="406" w:type="pct"/>
          </w:tcPr>
          <w:p w14:paraId="038A1687" w14:textId="77777777" w:rsidR="001757EB" w:rsidRDefault="001757EB" w:rsidP="001A5D4A">
            <w:pPr>
              <w:pStyle w:val="NotesTable-CellPlain"/>
            </w:pPr>
            <w:r>
              <w:t>–</w:t>
            </w:r>
          </w:p>
        </w:tc>
      </w:tr>
      <w:tr w:rsidR="001757EB" w14:paraId="038A1690" w14:textId="77777777" w:rsidTr="00AC41C4">
        <w:trPr>
          <w:cantSplit/>
          <w:trHeight w:val="181"/>
        </w:trPr>
        <w:tc>
          <w:tcPr>
            <w:tcW w:w="810" w:type="pct"/>
          </w:tcPr>
          <w:p w14:paraId="038A1689" w14:textId="77777777" w:rsidR="001757EB" w:rsidRDefault="001757EB" w:rsidP="001A5D4A">
            <w:pPr>
              <w:pStyle w:val="Note-Refs"/>
            </w:pPr>
          </w:p>
        </w:tc>
        <w:tc>
          <w:tcPr>
            <w:tcW w:w="2297" w:type="pct"/>
            <w:vAlign w:val="bottom"/>
          </w:tcPr>
          <w:p w14:paraId="038A168A" w14:textId="77777777" w:rsidR="001757EB" w:rsidRDefault="001757EB" w:rsidP="001A5D4A">
            <w:pPr>
              <w:pStyle w:val="NotesTable-ItemPlain"/>
            </w:pPr>
          </w:p>
        </w:tc>
        <w:tc>
          <w:tcPr>
            <w:tcW w:w="270" w:type="pct"/>
          </w:tcPr>
          <w:p w14:paraId="038A168B" w14:textId="77777777" w:rsidR="001757EB" w:rsidRDefault="001757EB" w:rsidP="001A5D4A">
            <w:pPr>
              <w:pStyle w:val="NotesTable-Notes"/>
            </w:pPr>
          </w:p>
        </w:tc>
        <w:tc>
          <w:tcPr>
            <w:tcW w:w="406" w:type="pct"/>
          </w:tcPr>
          <w:p w14:paraId="038A168C" w14:textId="77777777" w:rsidR="001757EB" w:rsidRDefault="001757EB" w:rsidP="001A5D4A">
            <w:pPr>
              <w:pStyle w:val="NotesTable-CellBold"/>
            </w:pPr>
          </w:p>
        </w:tc>
        <w:tc>
          <w:tcPr>
            <w:tcW w:w="406" w:type="pct"/>
          </w:tcPr>
          <w:p w14:paraId="038A168D" w14:textId="77777777" w:rsidR="001757EB" w:rsidRDefault="001757EB" w:rsidP="001A5D4A">
            <w:pPr>
              <w:pStyle w:val="NotesTable-CellPlain"/>
            </w:pPr>
          </w:p>
        </w:tc>
        <w:tc>
          <w:tcPr>
            <w:tcW w:w="406" w:type="pct"/>
          </w:tcPr>
          <w:p w14:paraId="038A168E" w14:textId="77777777" w:rsidR="001757EB" w:rsidRDefault="001757EB" w:rsidP="001A5D4A">
            <w:pPr>
              <w:pStyle w:val="NotesTable-CellBold"/>
            </w:pPr>
          </w:p>
        </w:tc>
        <w:tc>
          <w:tcPr>
            <w:tcW w:w="406" w:type="pct"/>
          </w:tcPr>
          <w:p w14:paraId="038A168F" w14:textId="77777777" w:rsidR="001757EB" w:rsidRDefault="001757EB" w:rsidP="001A5D4A">
            <w:pPr>
              <w:pStyle w:val="NotesTable-CellPlain"/>
            </w:pPr>
          </w:p>
        </w:tc>
      </w:tr>
      <w:tr w:rsidR="00FE281B" w14:paraId="038A1693" w14:textId="77777777" w:rsidTr="00AC41C4">
        <w:trPr>
          <w:cantSplit/>
          <w:trHeight w:val="181"/>
        </w:trPr>
        <w:tc>
          <w:tcPr>
            <w:tcW w:w="810" w:type="pct"/>
          </w:tcPr>
          <w:p w14:paraId="038A1691" w14:textId="77777777" w:rsidR="00FE281B" w:rsidRDefault="00FE281B" w:rsidP="001A5D4A">
            <w:pPr>
              <w:pStyle w:val="Note-Refs"/>
            </w:pPr>
          </w:p>
        </w:tc>
        <w:tc>
          <w:tcPr>
            <w:tcW w:w="4190" w:type="pct"/>
            <w:gridSpan w:val="6"/>
            <w:vAlign w:val="bottom"/>
          </w:tcPr>
          <w:p w14:paraId="038A1692" w14:textId="77777777" w:rsidR="00FE281B" w:rsidRDefault="00FE281B" w:rsidP="001A5D4A">
            <w:pPr>
              <w:pStyle w:val="Note-TextHeader"/>
              <w:rPr>
                <w:lang w:val="en-GB"/>
              </w:rPr>
            </w:pPr>
            <w:r>
              <w:t>Other income</w:t>
            </w:r>
          </w:p>
        </w:tc>
      </w:tr>
      <w:tr w:rsidR="001757EB" w14:paraId="038A169B" w14:textId="77777777" w:rsidTr="00AC41C4">
        <w:trPr>
          <w:cantSplit/>
          <w:trHeight w:val="181"/>
        </w:trPr>
        <w:tc>
          <w:tcPr>
            <w:tcW w:w="810" w:type="pct"/>
          </w:tcPr>
          <w:p w14:paraId="038A1694" w14:textId="77777777" w:rsidR="001757EB" w:rsidRDefault="001757EB" w:rsidP="001A5D4A">
            <w:pPr>
              <w:pStyle w:val="Note-Refs"/>
            </w:pPr>
          </w:p>
        </w:tc>
        <w:tc>
          <w:tcPr>
            <w:tcW w:w="2297" w:type="pct"/>
            <w:vAlign w:val="bottom"/>
          </w:tcPr>
          <w:p w14:paraId="038A1695" w14:textId="77777777" w:rsidR="001757EB" w:rsidRDefault="001757EB" w:rsidP="001A5D4A">
            <w:pPr>
              <w:pStyle w:val="NotesTable-ItemPlain"/>
              <w:rPr>
                <w:b/>
              </w:rPr>
            </w:pPr>
            <w:r>
              <w:t>[Specify]</w:t>
            </w:r>
          </w:p>
        </w:tc>
        <w:tc>
          <w:tcPr>
            <w:tcW w:w="270" w:type="pct"/>
          </w:tcPr>
          <w:p w14:paraId="038A1696" w14:textId="77777777" w:rsidR="001757EB" w:rsidRDefault="001757EB" w:rsidP="001A5D4A">
            <w:pPr>
              <w:pStyle w:val="NotesTable-Notes"/>
            </w:pPr>
          </w:p>
        </w:tc>
        <w:tc>
          <w:tcPr>
            <w:tcW w:w="406" w:type="pct"/>
          </w:tcPr>
          <w:p w14:paraId="038A1697" w14:textId="77777777" w:rsidR="001757EB" w:rsidRDefault="001757EB" w:rsidP="001A5D4A">
            <w:pPr>
              <w:pStyle w:val="NotesTable-CellBold"/>
            </w:pPr>
            <w:r>
              <w:t>–</w:t>
            </w:r>
          </w:p>
        </w:tc>
        <w:tc>
          <w:tcPr>
            <w:tcW w:w="406" w:type="pct"/>
          </w:tcPr>
          <w:p w14:paraId="038A1698" w14:textId="77777777" w:rsidR="001757EB" w:rsidRDefault="001757EB" w:rsidP="001A5D4A">
            <w:pPr>
              <w:pStyle w:val="NotesTable-CellPlain"/>
            </w:pPr>
            <w:r>
              <w:t>–</w:t>
            </w:r>
          </w:p>
        </w:tc>
        <w:tc>
          <w:tcPr>
            <w:tcW w:w="406" w:type="pct"/>
          </w:tcPr>
          <w:p w14:paraId="038A1699" w14:textId="77777777" w:rsidR="001757EB" w:rsidRDefault="001757EB" w:rsidP="001A5D4A">
            <w:pPr>
              <w:pStyle w:val="NotesTable-CellBold"/>
            </w:pPr>
            <w:r>
              <w:t>–</w:t>
            </w:r>
          </w:p>
        </w:tc>
        <w:tc>
          <w:tcPr>
            <w:tcW w:w="406" w:type="pct"/>
          </w:tcPr>
          <w:p w14:paraId="038A169A" w14:textId="77777777" w:rsidR="001757EB" w:rsidRDefault="001757EB" w:rsidP="001A5D4A">
            <w:pPr>
              <w:pStyle w:val="NotesTable-CellPlain"/>
            </w:pPr>
            <w:r>
              <w:t>–</w:t>
            </w:r>
          </w:p>
        </w:tc>
      </w:tr>
      <w:tr w:rsidR="00E9678C" w14:paraId="6199544C" w14:textId="77777777" w:rsidTr="00AC41C4">
        <w:trPr>
          <w:cantSplit/>
          <w:trHeight w:val="181"/>
        </w:trPr>
        <w:tc>
          <w:tcPr>
            <w:tcW w:w="810" w:type="pct"/>
          </w:tcPr>
          <w:p w14:paraId="52755CC7" w14:textId="77777777" w:rsidR="00E9678C" w:rsidRDefault="00E9678C" w:rsidP="001A5D4A">
            <w:pPr>
              <w:pStyle w:val="Note-Refs"/>
            </w:pPr>
          </w:p>
        </w:tc>
        <w:tc>
          <w:tcPr>
            <w:tcW w:w="2297" w:type="pct"/>
            <w:vAlign w:val="bottom"/>
          </w:tcPr>
          <w:p w14:paraId="7B7510C9" w14:textId="7FD4AEC9" w:rsidR="00E9678C" w:rsidRDefault="00E9678C" w:rsidP="001A5D4A">
            <w:pPr>
              <w:pStyle w:val="NotesTable-ItemPlain"/>
            </w:pPr>
            <w:r>
              <w:t xml:space="preserve">Reversal of previously recognised impairment or </w:t>
            </w:r>
            <w:r w:rsidR="002254C9">
              <w:t>write-down</w:t>
            </w:r>
            <w:r>
              <w:t xml:space="preserve"> </w:t>
            </w:r>
            <w:r w:rsidRPr="00E9678C">
              <w:rPr>
                <w:i/>
              </w:rPr>
              <w:t>[</w:t>
            </w:r>
            <w:r>
              <w:rPr>
                <w:i/>
              </w:rPr>
              <w:t xml:space="preserve">include </w:t>
            </w:r>
            <w:r w:rsidRPr="00E9678C">
              <w:rPr>
                <w:i/>
              </w:rPr>
              <w:t>if appropriate]</w:t>
            </w:r>
          </w:p>
        </w:tc>
        <w:tc>
          <w:tcPr>
            <w:tcW w:w="270" w:type="pct"/>
          </w:tcPr>
          <w:p w14:paraId="5511EEB2" w14:textId="77777777" w:rsidR="00E9678C" w:rsidRDefault="00E9678C" w:rsidP="001A5D4A">
            <w:pPr>
              <w:pStyle w:val="NotesTable-Notes"/>
            </w:pPr>
          </w:p>
        </w:tc>
        <w:tc>
          <w:tcPr>
            <w:tcW w:w="406" w:type="pct"/>
            <w:tcBorders>
              <w:bottom w:val="single" w:sz="4" w:space="0" w:color="000000"/>
            </w:tcBorders>
          </w:tcPr>
          <w:p w14:paraId="2BFF1049" w14:textId="67ED9143" w:rsidR="00E9678C" w:rsidRDefault="00E9678C" w:rsidP="001A5D4A">
            <w:pPr>
              <w:pStyle w:val="NotesTable-CellBold"/>
            </w:pPr>
            <w:r>
              <w:t>–</w:t>
            </w:r>
          </w:p>
        </w:tc>
        <w:tc>
          <w:tcPr>
            <w:tcW w:w="406" w:type="pct"/>
            <w:tcBorders>
              <w:bottom w:val="single" w:sz="4" w:space="0" w:color="000000"/>
            </w:tcBorders>
          </w:tcPr>
          <w:p w14:paraId="73209064" w14:textId="1FEAAE41" w:rsidR="00E9678C" w:rsidRDefault="00E9678C" w:rsidP="001A5D4A">
            <w:pPr>
              <w:pStyle w:val="NotesTable-CellPlain"/>
            </w:pPr>
            <w:r>
              <w:t>–</w:t>
            </w:r>
          </w:p>
        </w:tc>
        <w:tc>
          <w:tcPr>
            <w:tcW w:w="406" w:type="pct"/>
            <w:tcBorders>
              <w:bottom w:val="single" w:sz="4" w:space="0" w:color="000000"/>
            </w:tcBorders>
          </w:tcPr>
          <w:p w14:paraId="43503E4B" w14:textId="092BB135" w:rsidR="00E9678C" w:rsidRDefault="00E9678C" w:rsidP="001A5D4A">
            <w:pPr>
              <w:pStyle w:val="NotesTable-CellBold"/>
            </w:pPr>
            <w:r>
              <w:t>–</w:t>
            </w:r>
          </w:p>
        </w:tc>
        <w:tc>
          <w:tcPr>
            <w:tcW w:w="406" w:type="pct"/>
            <w:tcBorders>
              <w:bottom w:val="single" w:sz="4" w:space="0" w:color="000000"/>
            </w:tcBorders>
          </w:tcPr>
          <w:p w14:paraId="7872A7B9" w14:textId="6C39FD91" w:rsidR="00E9678C" w:rsidRDefault="00E9678C" w:rsidP="001A5D4A">
            <w:pPr>
              <w:pStyle w:val="NotesTable-CellPlain"/>
            </w:pPr>
            <w:r>
              <w:t>–</w:t>
            </w:r>
          </w:p>
        </w:tc>
      </w:tr>
      <w:tr w:rsidR="001757EB" w14:paraId="038A16A3" w14:textId="77777777" w:rsidTr="00AC41C4">
        <w:trPr>
          <w:cantSplit/>
          <w:trHeight w:val="181"/>
        </w:trPr>
        <w:tc>
          <w:tcPr>
            <w:tcW w:w="810" w:type="pct"/>
          </w:tcPr>
          <w:p w14:paraId="038A169C" w14:textId="77777777" w:rsidR="001757EB" w:rsidRDefault="001757EB" w:rsidP="001A5D4A">
            <w:pPr>
              <w:pStyle w:val="Note-Refs"/>
            </w:pPr>
          </w:p>
        </w:tc>
        <w:tc>
          <w:tcPr>
            <w:tcW w:w="2297" w:type="pct"/>
            <w:vAlign w:val="bottom"/>
          </w:tcPr>
          <w:p w14:paraId="038A169D" w14:textId="77777777" w:rsidR="001757EB" w:rsidRDefault="001757EB" w:rsidP="001A5D4A">
            <w:pPr>
              <w:pStyle w:val="NotesTable-ItemPlain"/>
              <w:rPr>
                <w:b/>
              </w:rPr>
            </w:pPr>
            <w:r>
              <w:t>Total other income</w:t>
            </w:r>
          </w:p>
        </w:tc>
        <w:tc>
          <w:tcPr>
            <w:tcW w:w="270" w:type="pct"/>
          </w:tcPr>
          <w:p w14:paraId="038A169E" w14:textId="77777777" w:rsidR="001757EB" w:rsidRDefault="001757EB" w:rsidP="001A5D4A">
            <w:pPr>
              <w:pStyle w:val="NotesTable-Notes"/>
            </w:pPr>
          </w:p>
        </w:tc>
        <w:tc>
          <w:tcPr>
            <w:tcW w:w="406" w:type="pct"/>
            <w:tcBorders>
              <w:bottom w:val="single" w:sz="4" w:space="0" w:color="auto"/>
            </w:tcBorders>
          </w:tcPr>
          <w:p w14:paraId="038A169F" w14:textId="77777777" w:rsidR="001757EB" w:rsidRDefault="001757EB" w:rsidP="001A5D4A">
            <w:pPr>
              <w:pStyle w:val="NotesTable-CellBold"/>
            </w:pPr>
            <w:r>
              <w:t>–</w:t>
            </w:r>
          </w:p>
        </w:tc>
        <w:tc>
          <w:tcPr>
            <w:tcW w:w="406" w:type="pct"/>
            <w:tcBorders>
              <w:bottom w:val="single" w:sz="4" w:space="0" w:color="auto"/>
            </w:tcBorders>
          </w:tcPr>
          <w:p w14:paraId="038A16A0" w14:textId="77777777" w:rsidR="001757EB" w:rsidRDefault="001757EB" w:rsidP="001A5D4A">
            <w:pPr>
              <w:pStyle w:val="NotesTable-CellPlain"/>
            </w:pPr>
            <w:r>
              <w:t>–</w:t>
            </w:r>
          </w:p>
        </w:tc>
        <w:tc>
          <w:tcPr>
            <w:tcW w:w="406" w:type="pct"/>
            <w:tcBorders>
              <w:bottom w:val="single" w:sz="4" w:space="0" w:color="auto"/>
            </w:tcBorders>
          </w:tcPr>
          <w:p w14:paraId="038A16A1" w14:textId="77777777" w:rsidR="001757EB" w:rsidRDefault="001757EB" w:rsidP="001A5D4A">
            <w:pPr>
              <w:pStyle w:val="NotesTable-CellBold"/>
            </w:pPr>
            <w:r>
              <w:t>–</w:t>
            </w:r>
          </w:p>
        </w:tc>
        <w:tc>
          <w:tcPr>
            <w:tcW w:w="406" w:type="pct"/>
            <w:tcBorders>
              <w:bottom w:val="single" w:sz="4" w:space="0" w:color="auto"/>
            </w:tcBorders>
          </w:tcPr>
          <w:p w14:paraId="038A16A2" w14:textId="77777777" w:rsidR="001757EB" w:rsidRDefault="001757EB" w:rsidP="001A5D4A">
            <w:pPr>
              <w:pStyle w:val="NotesTable-CellPlain"/>
            </w:pPr>
            <w:r>
              <w:t>–</w:t>
            </w:r>
          </w:p>
        </w:tc>
      </w:tr>
      <w:tr w:rsidR="00E460FE" w14:paraId="038A16AB" w14:textId="77777777" w:rsidTr="00AC41C4">
        <w:trPr>
          <w:cantSplit/>
          <w:trHeight w:val="181"/>
        </w:trPr>
        <w:tc>
          <w:tcPr>
            <w:tcW w:w="810" w:type="pct"/>
          </w:tcPr>
          <w:p w14:paraId="038A16A4" w14:textId="77777777" w:rsidR="00E460FE" w:rsidRDefault="00E460FE" w:rsidP="001A5D4A">
            <w:pPr>
              <w:pStyle w:val="Note-Refs"/>
            </w:pPr>
          </w:p>
        </w:tc>
        <w:tc>
          <w:tcPr>
            <w:tcW w:w="2297" w:type="pct"/>
            <w:vAlign w:val="bottom"/>
          </w:tcPr>
          <w:p w14:paraId="038A16A5" w14:textId="77777777" w:rsidR="00E460FE" w:rsidRDefault="00E460FE" w:rsidP="001A5D4A">
            <w:pPr>
              <w:pStyle w:val="NotesTable-ItemPlain"/>
            </w:pPr>
            <w:r>
              <w:t>Total other revenue and income</w:t>
            </w:r>
          </w:p>
        </w:tc>
        <w:tc>
          <w:tcPr>
            <w:tcW w:w="270" w:type="pct"/>
          </w:tcPr>
          <w:p w14:paraId="038A16A6" w14:textId="77777777" w:rsidR="00E460FE" w:rsidRDefault="00E460FE" w:rsidP="001A5D4A">
            <w:pPr>
              <w:pStyle w:val="NotesTable-Notes"/>
            </w:pPr>
          </w:p>
        </w:tc>
        <w:tc>
          <w:tcPr>
            <w:tcW w:w="406" w:type="pct"/>
            <w:tcBorders>
              <w:top w:val="single" w:sz="4" w:space="0" w:color="auto"/>
            </w:tcBorders>
          </w:tcPr>
          <w:p w14:paraId="038A16A7" w14:textId="77777777" w:rsidR="00E460FE" w:rsidRDefault="00E460FE" w:rsidP="001A5D4A">
            <w:pPr>
              <w:pStyle w:val="NotesTable-CellBold"/>
            </w:pPr>
            <w:r>
              <w:t>–</w:t>
            </w:r>
          </w:p>
        </w:tc>
        <w:tc>
          <w:tcPr>
            <w:tcW w:w="406" w:type="pct"/>
            <w:tcBorders>
              <w:top w:val="single" w:sz="4" w:space="0" w:color="auto"/>
            </w:tcBorders>
          </w:tcPr>
          <w:p w14:paraId="038A16A8" w14:textId="77777777" w:rsidR="00E460FE" w:rsidRDefault="00E460FE" w:rsidP="001A5D4A">
            <w:pPr>
              <w:pStyle w:val="NotesTable-CellPlain"/>
            </w:pPr>
            <w:r>
              <w:t>–</w:t>
            </w:r>
          </w:p>
        </w:tc>
        <w:tc>
          <w:tcPr>
            <w:tcW w:w="406" w:type="pct"/>
            <w:tcBorders>
              <w:top w:val="single" w:sz="4" w:space="0" w:color="auto"/>
            </w:tcBorders>
          </w:tcPr>
          <w:p w14:paraId="038A16A9" w14:textId="77777777" w:rsidR="00E460FE" w:rsidRDefault="00E460FE" w:rsidP="001A5D4A">
            <w:pPr>
              <w:pStyle w:val="NotesTable-CellBold"/>
            </w:pPr>
            <w:r>
              <w:t>–</w:t>
            </w:r>
          </w:p>
        </w:tc>
        <w:tc>
          <w:tcPr>
            <w:tcW w:w="406" w:type="pct"/>
            <w:tcBorders>
              <w:top w:val="single" w:sz="4" w:space="0" w:color="auto"/>
            </w:tcBorders>
          </w:tcPr>
          <w:p w14:paraId="038A16AA" w14:textId="77777777" w:rsidR="00E460FE" w:rsidRDefault="00E460FE" w:rsidP="001A5D4A">
            <w:pPr>
              <w:pStyle w:val="NotesTable-CellPlain"/>
            </w:pPr>
            <w:r>
              <w:t>–</w:t>
            </w:r>
          </w:p>
        </w:tc>
      </w:tr>
    </w:tbl>
    <w:p w14:paraId="4EDF510C" w14:textId="77777777" w:rsidR="0047767A" w:rsidRPr="0047767A" w:rsidRDefault="0047767A" w:rsidP="001A5D4A">
      <w:pPr>
        <w:pStyle w:val="Heading3"/>
        <w:rPr>
          <w:color w:val="2D3E7B" w:themeColor="text2" w:themeShade="BF"/>
        </w:rPr>
      </w:pPr>
      <w:bookmarkStart w:id="274" w:name="_Toc410807613"/>
      <w:bookmarkStart w:id="275" w:name="_Toc410822670"/>
      <w:r w:rsidRPr="0047767A">
        <w:rPr>
          <w:color w:val="2D3E7B" w:themeColor="text2" w:themeShade="BF"/>
        </w:rPr>
        <w:t>Commentary – Other revenue and income</w:t>
      </w:r>
      <w:bookmarkEnd w:id="274"/>
      <w:bookmarkEnd w:id="275"/>
    </w:p>
    <w:p w14:paraId="72890B6A" w14:textId="77777777" w:rsidR="0047767A" w:rsidRPr="0000701C" w:rsidRDefault="0047767A" w:rsidP="00E422A6">
      <w:pPr>
        <w:pStyle w:val="Heading6"/>
      </w:pPr>
      <w:r w:rsidRPr="0000701C">
        <w:t>AASB101.29</w:t>
      </w:r>
    </w:p>
    <w:p w14:paraId="0E87DD25" w14:textId="5934A5C5" w:rsidR="004914AC" w:rsidRDefault="0047767A" w:rsidP="001A5D4A">
      <w:pPr>
        <w:rPr>
          <w:color w:val="2D3E7B" w:themeColor="text2" w:themeShade="BF"/>
        </w:rPr>
      </w:pPr>
      <w:r w:rsidRPr="0047767A">
        <w:rPr>
          <w:color w:val="2D3E7B" w:themeColor="text2" w:themeShade="BF"/>
        </w:rPr>
        <w:t>Only material categories of revenue and income need to be shown as individual items; immaterial categories may be grouped as “Other”. Revenues and incomes included as “Other” must be immaterial both individually and in aggregate, that is, ”Other” must not be greater than 10% of total other revenue or total other income, as appropriate.</w:t>
      </w:r>
    </w:p>
    <w:p w14:paraId="53C86E9A" w14:textId="77777777" w:rsidR="004914AC" w:rsidRDefault="004914AC">
      <w:pPr>
        <w:spacing w:after="0"/>
        <w:rPr>
          <w:color w:val="2D3E7B" w:themeColor="text2" w:themeShade="BF"/>
        </w:rPr>
      </w:pPr>
      <w:r>
        <w:rPr>
          <w:color w:val="2D3E7B" w:themeColor="text2" w:themeShade="BF"/>
        </w:rPr>
        <w:br w:type="page"/>
      </w:r>
    </w:p>
    <w:p w14:paraId="619D46B3" w14:textId="132F6D5E" w:rsidR="00E21378" w:rsidRDefault="00E21378" w:rsidP="0000701C">
      <w:pPr>
        <w:pStyle w:val="Heading2"/>
      </w:pPr>
      <w:bookmarkStart w:id="276" w:name="_Toc410822671"/>
      <w:proofErr w:type="gramStart"/>
      <w:r w:rsidRPr="00E21378">
        <w:lastRenderedPageBreak/>
        <w:t>Note 10.</w:t>
      </w:r>
      <w:proofErr w:type="gramEnd"/>
      <w:r>
        <w:t xml:space="preserve"> </w:t>
      </w:r>
      <w:r w:rsidRPr="00E21378">
        <w:t>Employee related expenses</w:t>
      </w:r>
      <w:bookmarkEnd w:id="276"/>
    </w:p>
    <w:p w14:paraId="53F86AF8" w14:textId="77777777" w:rsidR="00E21378" w:rsidRPr="00E21378" w:rsidRDefault="00E21378" w:rsidP="0000701C">
      <w:pPr>
        <w:spacing w:after="0"/>
      </w:pPr>
      <w:r w:rsidRPr="00E21378">
        <w:t>Mandatory</w:t>
      </w:r>
    </w:p>
    <w:p w14:paraId="7C2C90DE" w14:textId="77777777" w:rsidR="00E21378" w:rsidRPr="00E21378" w:rsidRDefault="00E21378" w:rsidP="001A5D4A">
      <w:r w:rsidRPr="00E21378">
        <w:t>Education</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B57881" w14:paraId="038A1771" w14:textId="77777777" w:rsidTr="00E21378">
        <w:trPr>
          <w:cantSplit/>
          <w:trHeight w:val="181"/>
        </w:trPr>
        <w:tc>
          <w:tcPr>
            <w:tcW w:w="810" w:type="pct"/>
          </w:tcPr>
          <w:p w14:paraId="038A176C" w14:textId="77777777" w:rsidR="00B57881" w:rsidRDefault="00B57881" w:rsidP="001A5D4A">
            <w:pPr>
              <w:pStyle w:val="Note-Refs"/>
            </w:pPr>
          </w:p>
        </w:tc>
        <w:tc>
          <w:tcPr>
            <w:tcW w:w="2297" w:type="pct"/>
            <w:shd w:val="clear" w:color="auto" w:fill="CCCCCC"/>
            <w:vAlign w:val="bottom"/>
          </w:tcPr>
          <w:p w14:paraId="038A176D" w14:textId="77777777" w:rsidR="00B57881" w:rsidRDefault="00B57881" w:rsidP="001A5D4A">
            <w:pPr>
              <w:pStyle w:val="NotesTable-ItemPlain"/>
            </w:pPr>
          </w:p>
        </w:tc>
        <w:tc>
          <w:tcPr>
            <w:tcW w:w="270" w:type="pct"/>
            <w:shd w:val="clear" w:color="auto" w:fill="CCCCCC"/>
          </w:tcPr>
          <w:p w14:paraId="038A176E" w14:textId="77777777" w:rsidR="00B57881" w:rsidRDefault="00B57881" w:rsidP="001A5D4A">
            <w:pPr>
              <w:pStyle w:val="NotesTable-Notes"/>
            </w:pPr>
          </w:p>
        </w:tc>
        <w:tc>
          <w:tcPr>
            <w:tcW w:w="811" w:type="pct"/>
            <w:gridSpan w:val="2"/>
            <w:shd w:val="clear" w:color="auto" w:fill="CCCCCC"/>
          </w:tcPr>
          <w:p w14:paraId="038A176F" w14:textId="77777777" w:rsidR="00B57881" w:rsidRDefault="00B57881" w:rsidP="001A5D4A">
            <w:pPr>
              <w:pStyle w:val="NotesTable-HeadPlain"/>
            </w:pPr>
            <w:r>
              <w:t>Consolidated</w:t>
            </w:r>
          </w:p>
        </w:tc>
        <w:tc>
          <w:tcPr>
            <w:tcW w:w="811" w:type="pct"/>
            <w:gridSpan w:val="2"/>
            <w:shd w:val="clear" w:color="auto" w:fill="CCCCCC"/>
          </w:tcPr>
          <w:p w14:paraId="038A1770" w14:textId="77777777" w:rsidR="00B57881" w:rsidRDefault="00B57881" w:rsidP="001A5D4A">
            <w:pPr>
              <w:pStyle w:val="NotesTable-HeadPlain"/>
            </w:pPr>
            <w:r>
              <w:t>Parent entity</w:t>
            </w:r>
          </w:p>
        </w:tc>
      </w:tr>
      <w:tr w:rsidR="001757EB" w14:paraId="038A1779" w14:textId="77777777" w:rsidTr="00E21378">
        <w:trPr>
          <w:cantSplit/>
          <w:trHeight w:val="181"/>
        </w:trPr>
        <w:tc>
          <w:tcPr>
            <w:tcW w:w="810" w:type="pct"/>
          </w:tcPr>
          <w:p w14:paraId="038A1772" w14:textId="77777777" w:rsidR="001757EB" w:rsidRDefault="001757EB" w:rsidP="001A5D4A">
            <w:pPr>
              <w:pStyle w:val="Note-Refs"/>
            </w:pPr>
          </w:p>
        </w:tc>
        <w:tc>
          <w:tcPr>
            <w:tcW w:w="2297" w:type="pct"/>
            <w:shd w:val="clear" w:color="auto" w:fill="CCCCCC"/>
            <w:vAlign w:val="bottom"/>
          </w:tcPr>
          <w:p w14:paraId="038A1773" w14:textId="77777777" w:rsidR="001757EB" w:rsidRDefault="001757EB" w:rsidP="001A5D4A">
            <w:pPr>
              <w:pStyle w:val="NotesTable-ItemPlain"/>
            </w:pPr>
          </w:p>
        </w:tc>
        <w:tc>
          <w:tcPr>
            <w:tcW w:w="270" w:type="pct"/>
            <w:shd w:val="clear" w:color="auto" w:fill="CCCCCC"/>
          </w:tcPr>
          <w:p w14:paraId="038A1774" w14:textId="77777777" w:rsidR="001757EB" w:rsidRDefault="001757EB" w:rsidP="001A5D4A">
            <w:pPr>
              <w:pStyle w:val="NotesTable-Notes"/>
            </w:pPr>
          </w:p>
        </w:tc>
        <w:tc>
          <w:tcPr>
            <w:tcW w:w="406" w:type="pct"/>
            <w:shd w:val="clear" w:color="auto" w:fill="CCCCCC"/>
          </w:tcPr>
          <w:p w14:paraId="038A1775" w14:textId="132C69C8" w:rsidR="001757EB" w:rsidRDefault="006864EC" w:rsidP="001A5D4A">
            <w:pPr>
              <w:pStyle w:val="NotesTable-HeadBold"/>
            </w:pPr>
            <w:r>
              <w:t>2014</w:t>
            </w:r>
          </w:p>
        </w:tc>
        <w:tc>
          <w:tcPr>
            <w:tcW w:w="406" w:type="pct"/>
            <w:shd w:val="clear" w:color="auto" w:fill="CCCCCC"/>
          </w:tcPr>
          <w:p w14:paraId="038A1776" w14:textId="29E2C7C5" w:rsidR="001757EB" w:rsidRDefault="006864EC" w:rsidP="001A5D4A">
            <w:pPr>
              <w:pStyle w:val="NotesTable-HeadPlain"/>
            </w:pPr>
            <w:r>
              <w:t>2013</w:t>
            </w:r>
          </w:p>
        </w:tc>
        <w:tc>
          <w:tcPr>
            <w:tcW w:w="406" w:type="pct"/>
            <w:shd w:val="clear" w:color="auto" w:fill="CCCCCC"/>
          </w:tcPr>
          <w:p w14:paraId="038A1777" w14:textId="7C168730" w:rsidR="001757EB" w:rsidRDefault="006864EC" w:rsidP="001A5D4A">
            <w:pPr>
              <w:pStyle w:val="NotesTable-HeadBold"/>
            </w:pPr>
            <w:r>
              <w:t>2014</w:t>
            </w:r>
          </w:p>
        </w:tc>
        <w:tc>
          <w:tcPr>
            <w:tcW w:w="406" w:type="pct"/>
            <w:shd w:val="clear" w:color="auto" w:fill="CCCCCC"/>
          </w:tcPr>
          <w:p w14:paraId="038A1778" w14:textId="074D263D" w:rsidR="001757EB" w:rsidRDefault="006864EC" w:rsidP="001A5D4A">
            <w:pPr>
              <w:pStyle w:val="NotesTable-HeadPlain"/>
            </w:pPr>
            <w:r>
              <w:t>2013</w:t>
            </w:r>
          </w:p>
        </w:tc>
      </w:tr>
      <w:tr w:rsidR="001757EB" w14:paraId="038A1781" w14:textId="77777777" w:rsidTr="00E21378">
        <w:trPr>
          <w:cantSplit/>
          <w:trHeight w:val="181"/>
        </w:trPr>
        <w:tc>
          <w:tcPr>
            <w:tcW w:w="810" w:type="pct"/>
          </w:tcPr>
          <w:p w14:paraId="038A177A" w14:textId="77777777" w:rsidR="001757EB" w:rsidRDefault="001757EB" w:rsidP="001A5D4A">
            <w:pPr>
              <w:pStyle w:val="Note-Refs"/>
            </w:pPr>
          </w:p>
        </w:tc>
        <w:tc>
          <w:tcPr>
            <w:tcW w:w="2297" w:type="pct"/>
            <w:shd w:val="clear" w:color="auto" w:fill="CCCCCC"/>
            <w:vAlign w:val="bottom"/>
          </w:tcPr>
          <w:p w14:paraId="038A177B" w14:textId="77777777" w:rsidR="001757EB" w:rsidRDefault="001757EB" w:rsidP="001A5D4A">
            <w:pPr>
              <w:pStyle w:val="NotesTable-ItemPlain"/>
            </w:pPr>
          </w:p>
        </w:tc>
        <w:tc>
          <w:tcPr>
            <w:tcW w:w="270" w:type="pct"/>
            <w:shd w:val="clear" w:color="auto" w:fill="CCCCCC"/>
          </w:tcPr>
          <w:p w14:paraId="038A177C" w14:textId="77777777" w:rsidR="001757EB" w:rsidRDefault="001757EB" w:rsidP="001A5D4A">
            <w:pPr>
              <w:pStyle w:val="NotesTable-Notes"/>
            </w:pPr>
          </w:p>
        </w:tc>
        <w:tc>
          <w:tcPr>
            <w:tcW w:w="406" w:type="pct"/>
            <w:shd w:val="clear" w:color="auto" w:fill="CCCCCC"/>
          </w:tcPr>
          <w:p w14:paraId="038A177D" w14:textId="77777777" w:rsidR="001757EB" w:rsidRDefault="001757EB" w:rsidP="001A5D4A">
            <w:pPr>
              <w:pStyle w:val="NotesTable-HeadBold"/>
            </w:pPr>
            <w:r>
              <w:t>$’000</w:t>
            </w:r>
          </w:p>
        </w:tc>
        <w:tc>
          <w:tcPr>
            <w:tcW w:w="406" w:type="pct"/>
            <w:shd w:val="clear" w:color="auto" w:fill="CCCCCC"/>
          </w:tcPr>
          <w:p w14:paraId="038A177E" w14:textId="77777777" w:rsidR="001757EB" w:rsidRDefault="001757EB" w:rsidP="001A5D4A">
            <w:pPr>
              <w:pStyle w:val="NotesTable-HeadPlain"/>
            </w:pPr>
            <w:r>
              <w:t>$’000</w:t>
            </w:r>
          </w:p>
        </w:tc>
        <w:tc>
          <w:tcPr>
            <w:tcW w:w="406" w:type="pct"/>
            <w:shd w:val="clear" w:color="auto" w:fill="CCCCCC"/>
          </w:tcPr>
          <w:p w14:paraId="038A177F" w14:textId="77777777" w:rsidR="001757EB" w:rsidRDefault="001757EB" w:rsidP="001A5D4A">
            <w:pPr>
              <w:pStyle w:val="NotesTable-HeadBold"/>
            </w:pPr>
            <w:r>
              <w:t>$’000</w:t>
            </w:r>
          </w:p>
        </w:tc>
        <w:tc>
          <w:tcPr>
            <w:tcW w:w="406" w:type="pct"/>
            <w:shd w:val="clear" w:color="auto" w:fill="CCCCCC"/>
          </w:tcPr>
          <w:p w14:paraId="038A1780" w14:textId="77777777" w:rsidR="001757EB" w:rsidRDefault="001757EB" w:rsidP="001A5D4A">
            <w:pPr>
              <w:pStyle w:val="NotesTable-HeadPlain"/>
            </w:pPr>
            <w:r>
              <w:t>$’000</w:t>
            </w:r>
          </w:p>
        </w:tc>
      </w:tr>
      <w:tr w:rsidR="00DD731D" w14:paraId="038A1784" w14:textId="77777777" w:rsidTr="00E21378">
        <w:trPr>
          <w:cantSplit/>
          <w:trHeight w:val="181"/>
        </w:trPr>
        <w:tc>
          <w:tcPr>
            <w:tcW w:w="810" w:type="pct"/>
          </w:tcPr>
          <w:p w14:paraId="038A1782" w14:textId="77777777" w:rsidR="00DD731D" w:rsidRDefault="00DD731D" w:rsidP="001A5D4A">
            <w:pPr>
              <w:pStyle w:val="Note-Refs"/>
            </w:pPr>
          </w:p>
        </w:tc>
        <w:tc>
          <w:tcPr>
            <w:tcW w:w="4190" w:type="pct"/>
            <w:gridSpan w:val="6"/>
            <w:shd w:val="clear" w:color="auto" w:fill="CCCCCC"/>
            <w:vAlign w:val="bottom"/>
          </w:tcPr>
          <w:p w14:paraId="038A1783" w14:textId="77777777" w:rsidR="00DD731D" w:rsidRDefault="00DD731D" w:rsidP="001A5D4A">
            <w:pPr>
              <w:pStyle w:val="Note-TextHeader"/>
              <w:rPr>
                <w:lang w:val="en-GB"/>
              </w:rPr>
            </w:pPr>
            <w:bookmarkStart w:id="277" w:name="OLE_LINK5"/>
            <w:bookmarkStart w:id="278" w:name="OLE_LINK6"/>
            <w:r>
              <w:t>Academic</w:t>
            </w:r>
            <w:bookmarkEnd w:id="277"/>
            <w:bookmarkEnd w:id="278"/>
          </w:p>
        </w:tc>
      </w:tr>
      <w:tr w:rsidR="001757EB" w14:paraId="038A178C" w14:textId="77777777" w:rsidTr="00E21378">
        <w:trPr>
          <w:cantSplit/>
          <w:trHeight w:val="181"/>
        </w:trPr>
        <w:tc>
          <w:tcPr>
            <w:tcW w:w="810" w:type="pct"/>
          </w:tcPr>
          <w:p w14:paraId="038A1785" w14:textId="77777777" w:rsidR="001757EB" w:rsidRDefault="001757EB" w:rsidP="001A5D4A">
            <w:pPr>
              <w:pStyle w:val="Note-Refs"/>
            </w:pPr>
          </w:p>
        </w:tc>
        <w:tc>
          <w:tcPr>
            <w:tcW w:w="2297" w:type="pct"/>
            <w:shd w:val="clear" w:color="auto" w:fill="CCCCCC"/>
            <w:vAlign w:val="bottom"/>
          </w:tcPr>
          <w:p w14:paraId="038A1786" w14:textId="77777777" w:rsidR="001757EB" w:rsidRDefault="001757EB" w:rsidP="001A5D4A">
            <w:pPr>
              <w:pStyle w:val="NotesTable-ItemPlain"/>
              <w:rPr>
                <w:b/>
              </w:rPr>
            </w:pPr>
            <w:r>
              <w:t>Salaries</w:t>
            </w:r>
          </w:p>
        </w:tc>
        <w:tc>
          <w:tcPr>
            <w:tcW w:w="270" w:type="pct"/>
            <w:shd w:val="clear" w:color="auto" w:fill="CCCCCC"/>
          </w:tcPr>
          <w:p w14:paraId="038A1787" w14:textId="77777777" w:rsidR="001757EB" w:rsidRDefault="001757EB" w:rsidP="001A5D4A">
            <w:pPr>
              <w:pStyle w:val="NotesTable-Notes"/>
            </w:pPr>
          </w:p>
        </w:tc>
        <w:tc>
          <w:tcPr>
            <w:tcW w:w="406" w:type="pct"/>
            <w:shd w:val="clear" w:color="auto" w:fill="CCCCCC"/>
          </w:tcPr>
          <w:p w14:paraId="038A1788" w14:textId="77777777" w:rsidR="001757EB" w:rsidRDefault="001757EB" w:rsidP="001A5D4A">
            <w:pPr>
              <w:pStyle w:val="NotesTable-CellBold"/>
            </w:pPr>
            <w:r>
              <w:t>–</w:t>
            </w:r>
          </w:p>
        </w:tc>
        <w:tc>
          <w:tcPr>
            <w:tcW w:w="406" w:type="pct"/>
            <w:shd w:val="clear" w:color="auto" w:fill="CCCCCC"/>
          </w:tcPr>
          <w:p w14:paraId="038A1789" w14:textId="77777777" w:rsidR="001757EB" w:rsidRDefault="001757EB" w:rsidP="001A5D4A">
            <w:pPr>
              <w:pStyle w:val="NotesTable-CellPlain"/>
            </w:pPr>
            <w:r>
              <w:t>–</w:t>
            </w:r>
          </w:p>
        </w:tc>
        <w:tc>
          <w:tcPr>
            <w:tcW w:w="406" w:type="pct"/>
            <w:shd w:val="clear" w:color="auto" w:fill="CCCCCC"/>
          </w:tcPr>
          <w:p w14:paraId="038A178A" w14:textId="77777777" w:rsidR="001757EB" w:rsidRDefault="001757EB" w:rsidP="001A5D4A">
            <w:pPr>
              <w:pStyle w:val="NotesTable-CellBold"/>
            </w:pPr>
            <w:r>
              <w:t>–</w:t>
            </w:r>
          </w:p>
        </w:tc>
        <w:tc>
          <w:tcPr>
            <w:tcW w:w="406" w:type="pct"/>
            <w:shd w:val="clear" w:color="auto" w:fill="CCCCCC"/>
          </w:tcPr>
          <w:p w14:paraId="038A178B" w14:textId="77777777" w:rsidR="001757EB" w:rsidRDefault="001757EB" w:rsidP="001A5D4A">
            <w:pPr>
              <w:pStyle w:val="NotesTable-CellPlain"/>
            </w:pPr>
            <w:r>
              <w:t>–</w:t>
            </w:r>
          </w:p>
        </w:tc>
      </w:tr>
      <w:tr w:rsidR="001757EB" w14:paraId="038A1794" w14:textId="77777777" w:rsidTr="00E21378">
        <w:trPr>
          <w:cantSplit/>
          <w:trHeight w:val="181"/>
        </w:trPr>
        <w:tc>
          <w:tcPr>
            <w:tcW w:w="810" w:type="pct"/>
          </w:tcPr>
          <w:p w14:paraId="038A178D" w14:textId="77777777" w:rsidR="001757EB" w:rsidRDefault="001757EB" w:rsidP="001A5D4A">
            <w:pPr>
              <w:pStyle w:val="Note-Refs"/>
            </w:pPr>
          </w:p>
        </w:tc>
        <w:tc>
          <w:tcPr>
            <w:tcW w:w="2297" w:type="pct"/>
            <w:shd w:val="clear" w:color="auto" w:fill="CCCCCC"/>
            <w:vAlign w:val="bottom"/>
          </w:tcPr>
          <w:p w14:paraId="038A178E" w14:textId="77777777" w:rsidR="001757EB" w:rsidRDefault="001757EB" w:rsidP="001A5D4A">
            <w:pPr>
              <w:pStyle w:val="NotesTable-ItemPlain"/>
              <w:rPr>
                <w:b/>
              </w:rPr>
            </w:pPr>
            <w:r>
              <w:t>Contributions to superannuation and pension schemes</w:t>
            </w:r>
          </w:p>
        </w:tc>
        <w:tc>
          <w:tcPr>
            <w:tcW w:w="270" w:type="pct"/>
            <w:shd w:val="clear" w:color="auto" w:fill="CCCCCC"/>
          </w:tcPr>
          <w:p w14:paraId="038A178F" w14:textId="77777777" w:rsidR="001757EB" w:rsidRDefault="001757EB" w:rsidP="001A5D4A">
            <w:pPr>
              <w:pStyle w:val="NotesTable-Notes"/>
            </w:pPr>
          </w:p>
        </w:tc>
        <w:tc>
          <w:tcPr>
            <w:tcW w:w="406" w:type="pct"/>
            <w:shd w:val="clear" w:color="auto" w:fill="CCCCCC"/>
          </w:tcPr>
          <w:p w14:paraId="038A1790" w14:textId="7868DB85" w:rsidR="001757EB" w:rsidRDefault="001757EB" w:rsidP="001A5D4A">
            <w:pPr>
              <w:pStyle w:val="NotesTable-CellBold"/>
            </w:pPr>
          </w:p>
        </w:tc>
        <w:tc>
          <w:tcPr>
            <w:tcW w:w="406" w:type="pct"/>
            <w:shd w:val="clear" w:color="auto" w:fill="CCCCCC"/>
          </w:tcPr>
          <w:p w14:paraId="038A1791" w14:textId="69BA854F" w:rsidR="001757EB" w:rsidRDefault="001757EB" w:rsidP="001A5D4A">
            <w:pPr>
              <w:pStyle w:val="NotesTable-CellPlain"/>
            </w:pPr>
          </w:p>
        </w:tc>
        <w:tc>
          <w:tcPr>
            <w:tcW w:w="406" w:type="pct"/>
            <w:shd w:val="clear" w:color="auto" w:fill="CCCCCC"/>
          </w:tcPr>
          <w:p w14:paraId="038A1792" w14:textId="33991B9D" w:rsidR="001757EB" w:rsidRDefault="001757EB" w:rsidP="001A5D4A">
            <w:pPr>
              <w:pStyle w:val="NotesTable-CellBold"/>
            </w:pPr>
          </w:p>
        </w:tc>
        <w:tc>
          <w:tcPr>
            <w:tcW w:w="406" w:type="pct"/>
            <w:shd w:val="clear" w:color="auto" w:fill="CCCCCC"/>
          </w:tcPr>
          <w:p w14:paraId="038A1793" w14:textId="13C52FCD" w:rsidR="001757EB" w:rsidRDefault="001757EB" w:rsidP="001A5D4A">
            <w:pPr>
              <w:pStyle w:val="NotesTable-CellPlain"/>
            </w:pPr>
          </w:p>
        </w:tc>
      </w:tr>
      <w:tr w:rsidR="00735188" w14:paraId="38E20A77" w14:textId="77777777" w:rsidTr="00E21378">
        <w:trPr>
          <w:cantSplit/>
          <w:trHeight w:val="181"/>
        </w:trPr>
        <w:tc>
          <w:tcPr>
            <w:tcW w:w="810" w:type="pct"/>
          </w:tcPr>
          <w:p w14:paraId="43128597" w14:textId="77777777" w:rsidR="00735188" w:rsidRDefault="00735188" w:rsidP="001A5D4A">
            <w:pPr>
              <w:pStyle w:val="Note-Refs"/>
            </w:pPr>
          </w:p>
        </w:tc>
        <w:tc>
          <w:tcPr>
            <w:tcW w:w="2297" w:type="pct"/>
            <w:shd w:val="clear" w:color="auto" w:fill="CCCCCC"/>
            <w:vAlign w:val="bottom"/>
          </w:tcPr>
          <w:p w14:paraId="389BCAA5" w14:textId="7AC83E93" w:rsidR="00735188" w:rsidRPr="00735188" w:rsidRDefault="00564BB9" w:rsidP="001A5D4A">
            <w:pPr>
              <w:pStyle w:val="NotesTable-ItemIndent"/>
            </w:pPr>
            <w:r>
              <w:t>C</w:t>
            </w:r>
            <w:r w:rsidR="00735188" w:rsidRPr="00735188">
              <w:t>ontributions</w:t>
            </w:r>
            <w:r>
              <w:t xml:space="preserve"> to funded schemes</w:t>
            </w:r>
          </w:p>
        </w:tc>
        <w:tc>
          <w:tcPr>
            <w:tcW w:w="270" w:type="pct"/>
            <w:shd w:val="clear" w:color="auto" w:fill="CCCCCC"/>
          </w:tcPr>
          <w:p w14:paraId="4BB9FF25" w14:textId="77777777" w:rsidR="00735188" w:rsidRDefault="00735188" w:rsidP="001A5D4A">
            <w:pPr>
              <w:pStyle w:val="NotesTable-Notes"/>
            </w:pPr>
          </w:p>
        </w:tc>
        <w:tc>
          <w:tcPr>
            <w:tcW w:w="406" w:type="pct"/>
            <w:shd w:val="clear" w:color="auto" w:fill="CCCCCC"/>
          </w:tcPr>
          <w:p w14:paraId="397E1B2A" w14:textId="5226FA47" w:rsidR="00735188" w:rsidRDefault="00735188" w:rsidP="001A5D4A">
            <w:pPr>
              <w:pStyle w:val="NotesTable-CellBold"/>
            </w:pPr>
            <w:r>
              <w:t>–</w:t>
            </w:r>
          </w:p>
        </w:tc>
        <w:tc>
          <w:tcPr>
            <w:tcW w:w="406" w:type="pct"/>
            <w:shd w:val="clear" w:color="auto" w:fill="CCCCCC"/>
          </w:tcPr>
          <w:p w14:paraId="35E4E33D" w14:textId="3C5C618A" w:rsidR="00735188" w:rsidRDefault="00735188" w:rsidP="001A5D4A">
            <w:pPr>
              <w:pStyle w:val="NotesTable-CellPlain"/>
            </w:pPr>
            <w:r>
              <w:t>–</w:t>
            </w:r>
          </w:p>
        </w:tc>
        <w:tc>
          <w:tcPr>
            <w:tcW w:w="406" w:type="pct"/>
            <w:shd w:val="clear" w:color="auto" w:fill="CCCCCC"/>
          </w:tcPr>
          <w:p w14:paraId="28EE71DB" w14:textId="3F16CC9D" w:rsidR="00735188" w:rsidRDefault="00735188" w:rsidP="001A5D4A">
            <w:pPr>
              <w:pStyle w:val="NotesTable-CellBold"/>
            </w:pPr>
            <w:r>
              <w:t>–</w:t>
            </w:r>
          </w:p>
        </w:tc>
        <w:tc>
          <w:tcPr>
            <w:tcW w:w="406" w:type="pct"/>
            <w:shd w:val="clear" w:color="auto" w:fill="CCCCCC"/>
          </w:tcPr>
          <w:p w14:paraId="5E92981A" w14:textId="68B488EF" w:rsidR="00735188" w:rsidRDefault="00735188" w:rsidP="001A5D4A">
            <w:pPr>
              <w:pStyle w:val="NotesTable-CellPlain"/>
            </w:pPr>
            <w:r>
              <w:t>–</w:t>
            </w:r>
          </w:p>
        </w:tc>
      </w:tr>
      <w:tr w:rsidR="00735188" w14:paraId="6E3B9B31" w14:textId="77777777" w:rsidTr="00E21378">
        <w:trPr>
          <w:cantSplit/>
          <w:trHeight w:val="181"/>
        </w:trPr>
        <w:tc>
          <w:tcPr>
            <w:tcW w:w="810" w:type="pct"/>
          </w:tcPr>
          <w:p w14:paraId="1B95572D" w14:textId="77777777" w:rsidR="00735188" w:rsidRDefault="00735188" w:rsidP="001A5D4A">
            <w:pPr>
              <w:pStyle w:val="Note-Refs"/>
            </w:pPr>
          </w:p>
        </w:tc>
        <w:tc>
          <w:tcPr>
            <w:tcW w:w="2297" w:type="pct"/>
            <w:shd w:val="clear" w:color="auto" w:fill="CCCCCC"/>
            <w:vAlign w:val="bottom"/>
          </w:tcPr>
          <w:p w14:paraId="4B3E0E06" w14:textId="6F159578" w:rsidR="00735188" w:rsidRPr="00735188" w:rsidRDefault="00564BB9" w:rsidP="001A5D4A">
            <w:pPr>
              <w:pStyle w:val="NotesTable-ItemIndent"/>
            </w:pPr>
            <w:r>
              <w:t>Contributions to unfunded schemes</w:t>
            </w:r>
          </w:p>
        </w:tc>
        <w:tc>
          <w:tcPr>
            <w:tcW w:w="270" w:type="pct"/>
            <w:shd w:val="clear" w:color="auto" w:fill="CCCCCC"/>
          </w:tcPr>
          <w:p w14:paraId="26ACCA42" w14:textId="77777777" w:rsidR="00735188" w:rsidRDefault="00735188" w:rsidP="001A5D4A">
            <w:pPr>
              <w:pStyle w:val="NotesTable-Notes"/>
            </w:pPr>
          </w:p>
        </w:tc>
        <w:tc>
          <w:tcPr>
            <w:tcW w:w="406" w:type="pct"/>
            <w:shd w:val="clear" w:color="auto" w:fill="CCCCCC"/>
          </w:tcPr>
          <w:p w14:paraId="4DD803CB" w14:textId="70F63A39" w:rsidR="00735188" w:rsidRDefault="00735188" w:rsidP="001A5D4A">
            <w:pPr>
              <w:pStyle w:val="NotesTable-CellBold"/>
            </w:pPr>
            <w:r>
              <w:t>–</w:t>
            </w:r>
          </w:p>
        </w:tc>
        <w:tc>
          <w:tcPr>
            <w:tcW w:w="406" w:type="pct"/>
            <w:shd w:val="clear" w:color="auto" w:fill="CCCCCC"/>
          </w:tcPr>
          <w:p w14:paraId="731656F6" w14:textId="31249126" w:rsidR="00735188" w:rsidRDefault="00735188" w:rsidP="001A5D4A">
            <w:pPr>
              <w:pStyle w:val="NotesTable-CellPlain"/>
            </w:pPr>
            <w:r>
              <w:t>–</w:t>
            </w:r>
          </w:p>
        </w:tc>
        <w:tc>
          <w:tcPr>
            <w:tcW w:w="406" w:type="pct"/>
            <w:shd w:val="clear" w:color="auto" w:fill="CCCCCC"/>
          </w:tcPr>
          <w:p w14:paraId="3B1321DD" w14:textId="62E11C9E" w:rsidR="00735188" w:rsidRDefault="00735188" w:rsidP="001A5D4A">
            <w:pPr>
              <w:pStyle w:val="NotesTable-CellBold"/>
            </w:pPr>
            <w:r>
              <w:t>–</w:t>
            </w:r>
          </w:p>
        </w:tc>
        <w:tc>
          <w:tcPr>
            <w:tcW w:w="406" w:type="pct"/>
            <w:shd w:val="clear" w:color="auto" w:fill="CCCCCC"/>
          </w:tcPr>
          <w:p w14:paraId="6806F6EC" w14:textId="7113D3FA" w:rsidR="00735188" w:rsidRDefault="00735188" w:rsidP="001A5D4A">
            <w:pPr>
              <w:pStyle w:val="NotesTable-CellPlain"/>
            </w:pPr>
            <w:r>
              <w:t>–</w:t>
            </w:r>
          </w:p>
        </w:tc>
      </w:tr>
      <w:tr w:rsidR="001757EB" w14:paraId="038A179C" w14:textId="77777777" w:rsidTr="00E21378">
        <w:trPr>
          <w:cantSplit/>
          <w:trHeight w:val="181"/>
        </w:trPr>
        <w:tc>
          <w:tcPr>
            <w:tcW w:w="810" w:type="pct"/>
          </w:tcPr>
          <w:p w14:paraId="038A1795" w14:textId="77777777" w:rsidR="001757EB" w:rsidRDefault="001757EB" w:rsidP="001A5D4A">
            <w:pPr>
              <w:pStyle w:val="Note-Refs"/>
            </w:pPr>
          </w:p>
        </w:tc>
        <w:tc>
          <w:tcPr>
            <w:tcW w:w="2297" w:type="pct"/>
            <w:shd w:val="clear" w:color="auto" w:fill="CCCCCC"/>
            <w:vAlign w:val="bottom"/>
          </w:tcPr>
          <w:p w14:paraId="038A1796" w14:textId="77777777" w:rsidR="001757EB" w:rsidRDefault="001757EB" w:rsidP="001A5D4A">
            <w:pPr>
              <w:pStyle w:val="NotesTable-ItemPlain"/>
              <w:rPr>
                <w:b/>
              </w:rPr>
            </w:pPr>
            <w:r>
              <w:t>Payroll tax</w:t>
            </w:r>
          </w:p>
        </w:tc>
        <w:tc>
          <w:tcPr>
            <w:tcW w:w="270" w:type="pct"/>
            <w:shd w:val="clear" w:color="auto" w:fill="CCCCCC"/>
          </w:tcPr>
          <w:p w14:paraId="038A1797" w14:textId="77777777" w:rsidR="001757EB" w:rsidRDefault="001757EB" w:rsidP="001A5D4A">
            <w:pPr>
              <w:pStyle w:val="NotesTable-Notes"/>
            </w:pPr>
          </w:p>
        </w:tc>
        <w:tc>
          <w:tcPr>
            <w:tcW w:w="406" w:type="pct"/>
            <w:shd w:val="clear" w:color="auto" w:fill="CCCCCC"/>
          </w:tcPr>
          <w:p w14:paraId="038A1798" w14:textId="77777777" w:rsidR="001757EB" w:rsidRDefault="001757EB" w:rsidP="001A5D4A">
            <w:pPr>
              <w:pStyle w:val="NotesTable-CellBold"/>
            </w:pPr>
            <w:r>
              <w:t>–</w:t>
            </w:r>
          </w:p>
        </w:tc>
        <w:tc>
          <w:tcPr>
            <w:tcW w:w="406" w:type="pct"/>
            <w:shd w:val="clear" w:color="auto" w:fill="CCCCCC"/>
          </w:tcPr>
          <w:p w14:paraId="038A1799" w14:textId="77777777" w:rsidR="001757EB" w:rsidRDefault="001757EB" w:rsidP="001A5D4A">
            <w:pPr>
              <w:pStyle w:val="NotesTable-CellPlain"/>
            </w:pPr>
            <w:r>
              <w:t>–</w:t>
            </w:r>
          </w:p>
        </w:tc>
        <w:tc>
          <w:tcPr>
            <w:tcW w:w="406" w:type="pct"/>
            <w:shd w:val="clear" w:color="auto" w:fill="CCCCCC"/>
          </w:tcPr>
          <w:p w14:paraId="038A179A" w14:textId="77777777" w:rsidR="001757EB" w:rsidRDefault="001757EB" w:rsidP="001A5D4A">
            <w:pPr>
              <w:pStyle w:val="NotesTable-CellBold"/>
            </w:pPr>
            <w:r>
              <w:t>–</w:t>
            </w:r>
          </w:p>
        </w:tc>
        <w:tc>
          <w:tcPr>
            <w:tcW w:w="406" w:type="pct"/>
            <w:shd w:val="clear" w:color="auto" w:fill="CCCCCC"/>
          </w:tcPr>
          <w:p w14:paraId="038A179B" w14:textId="77777777" w:rsidR="001757EB" w:rsidRDefault="001757EB" w:rsidP="001A5D4A">
            <w:pPr>
              <w:pStyle w:val="NotesTable-CellPlain"/>
            </w:pPr>
            <w:r>
              <w:t>–</w:t>
            </w:r>
          </w:p>
        </w:tc>
      </w:tr>
      <w:tr w:rsidR="001757EB" w14:paraId="038A17A4" w14:textId="77777777" w:rsidTr="00E21378">
        <w:trPr>
          <w:cantSplit/>
          <w:trHeight w:val="181"/>
        </w:trPr>
        <w:tc>
          <w:tcPr>
            <w:tcW w:w="810" w:type="pct"/>
          </w:tcPr>
          <w:p w14:paraId="038A179D" w14:textId="77777777" w:rsidR="001757EB" w:rsidRDefault="001757EB" w:rsidP="001A5D4A">
            <w:pPr>
              <w:pStyle w:val="Note-Refs"/>
            </w:pPr>
          </w:p>
        </w:tc>
        <w:tc>
          <w:tcPr>
            <w:tcW w:w="2297" w:type="pct"/>
            <w:shd w:val="clear" w:color="auto" w:fill="CCCCCC"/>
            <w:vAlign w:val="bottom"/>
          </w:tcPr>
          <w:p w14:paraId="038A179E" w14:textId="77777777" w:rsidR="001757EB" w:rsidRDefault="001757EB" w:rsidP="001A5D4A">
            <w:pPr>
              <w:pStyle w:val="NotesTable-ItemPlain"/>
              <w:rPr>
                <w:b/>
              </w:rPr>
            </w:pPr>
            <w:r>
              <w:t>Worker’s compensation</w:t>
            </w:r>
          </w:p>
        </w:tc>
        <w:tc>
          <w:tcPr>
            <w:tcW w:w="270" w:type="pct"/>
            <w:shd w:val="clear" w:color="auto" w:fill="CCCCCC"/>
          </w:tcPr>
          <w:p w14:paraId="038A179F" w14:textId="77777777" w:rsidR="001757EB" w:rsidRDefault="001757EB" w:rsidP="001A5D4A">
            <w:pPr>
              <w:pStyle w:val="NotesTable-Notes"/>
            </w:pPr>
          </w:p>
        </w:tc>
        <w:tc>
          <w:tcPr>
            <w:tcW w:w="406" w:type="pct"/>
            <w:shd w:val="clear" w:color="auto" w:fill="CCCCCC"/>
          </w:tcPr>
          <w:p w14:paraId="038A17A0" w14:textId="77777777" w:rsidR="001757EB" w:rsidRDefault="001757EB" w:rsidP="001A5D4A">
            <w:pPr>
              <w:pStyle w:val="NotesTable-CellBold"/>
            </w:pPr>
            <w:r>
              <w:t>–</w:t>
            </w:r>
          </w:p>
        </w:tc>
        <w:tc>
          <w:tcPr>
            <w:tcW w:w="406" w:type="pct"/>
            <w:shd w:val="clear" w:color="auto" w:fill="CCCCCC"/>
          </w:tcPr>
          <w:p w14:paraId="038A17A1" w14:textId="77777777" w:rsidR="001757EB" w:rsidRDefault="001757EB" w:rsidP="001A5D4A">
            <w:pPr>
              <w:pStyle w:val="NotesTable-CellPlain"/>
            </w:pPr>
            <w:r>
              <w:t>–</w:t>
            </w:r>
          </w:p>
        </w:tc>
        <w:tc>
          <w:tcPr>
            <w:tcW w:w="406" w:type="pct"/>
            <w:shd w:val="clear" w:color="auto" w:fill="CCCCCC"/>
          </w:tcPr>
          <w:p w14:paraId="038A17A2" w14:textId="77777777" w:rsidR="001757EB" w:rsidRDefault="001757EB" w:rsidP="001A5D4A">
            <w:pPr>
              <w:pStyle w:val="NotesTable-CellBold"/>
            </w:pPr>
            <w:r>
              <w:t>–</w:t>
            </w:r>
          </w:p>
        </w:tc>
        <w:tc>
          <w:tcPr>
            <w:tcW w:w="406" w:type="pct"/>
            <w:shd w:val="clear" w:color="auto" w:fill="CCCCCC"/>
          </w:tcPr>
          <w:p w14:paraId="038A17A3" w14:textId="77777777" w:rsidR="001757EB" w:rsidRDefault="001757EB" w:rsidP="001A5D4A">
            <w:pPr>
              <w:pStyle w:val="NotesTable-CellPlain"/>
            </w:pPr>
            <w:r>
              <w:t>–</w:t>
            </w:r>
          </w:p>
        </w:tc>
      </w:tr>
      <w:tr w:rsidR="001757EB" w14:paraId="038A17AC" w14:textId="77777777" w:rsidTr="00E21378">
        <w:trPr>
          <w:cantSplit/>
          <w:trHeight w:val="181"/>
        </w:trPr>
        <w:tc>
          <w:tcPr>
            <w:tcW w:w="810" w:type="pct"/>
          </w:tcPr>
          <w:p w14:paraId="038A17A5" w14:textId="77777777" w:rsidR="001757EB" w:rsidRDefault="001757EB" w:rsidP="001A5D4A">
            <w:pPr>
              <w:pStyle w:val="Note-Refs"/>
            </w:pPr>
          </w:p>
        </w:tc>
        <w:tc>
          <w:tcPr>
            <w:tcW w:w="2297" w:type="pct"/>
            <w:shd w:val="clear" w:color="auto" w:fill="CCCCCC"/>
            <w:vAlign w:val="bottom"/>
          </w:tcPr>
          <w:p w14:paraId="038A17A6" w14:textId="77777777" w:rsidR="001757EB" w:rsidRDefault="001757EB" w:rsidP="001A5D4A">
            <w:pPr>
              <w:pStyle w:val="NotesTable-ItemPlain"/>
              <w:rPr>
                <w:b/>
              </w:rPr>
            </w:pPr>
            <w:r>
              <w:t>Long service leave expense</w:t>
            </w:r>
          </w:p>
        </w:tc>
        <w:tc>
          <w:tcPr>
            <w:tcW w:w="270" w:type="pct"/>
            <w:shd w:val="clear" w:color="auto" w:fill="CCCCCC"/>
          </w:tcPr>
          <w:p w14:paraId="038A17A7" w14:textId="77777777" w:rsidR="001757EB" w:rsidRDefault="001757EB" w:rsidP="001A5D4A">
            <w:pPr>
              <w:pStyle w:val="NotesTable-Notes"/>
            </w:pPr>
          </w:p>
        </w:tc>
        <w:tc>
          <w:tcPr>
            <w:tcW w:w="406" w:type="pct"/>
            <w:shd w:val="clear" w:color="auto" w:fill="CCCCCC"/>
          </w:tcPr>
          <w:p w14:paraId="038A17A8" w14:textId="77777777" w:rsidR="001757EB" w:rsidRDefault="001757EB" w:rsidP="001A5D4A">
            <w:pPr>
              <w:pStyle w:val="NotesTable-CellBold"/>
            </w:pPr>
            <w:r>
              <w:t>–</w:t>
            </w:r>
          </w:p>
        </w:tc>
        <w:tc>
          <w:tcPr>
            <w:tcW w:w="406" w:type="pct"/>
            <w:shd w:val="clear" w:color="auto" w:fill="CCCCCC"/>
          </w:tcPr>
          <w:p w14:paraId="038A17A9" w14:textId="77777777" w:rsidR="001757EB" w:rsidRDefault="001757EB" w:rsidP="001A5D4A">
            <w:pPr>
              <w:pStyle w:val="NotesTable-CellPlain"/>
            </w:pPr>
            <w:r>
              <w:t>–</w:t>
            </w:r>
          </w:p>
        </w:tc>
        <w:tc>
          <w:tcPr>
            <w:tcW w:w="406" w:type="pct"/>
            <w:shd w:val="clear" w:color="auto" w:fill="CCCCCC"/>
          </w:tcPr>
          <w:p w14:paraId="038A17AA" w14:textId="77777777" w:rsidR="001757EB" w:rsidRDefault="001757EB" w:rsidP="001A5D4A">
            <w:pPr>
              <w:pStyle w:val="NotesTable-CellBold"/>
            </w:pPr>
            <w:r>
              <w:t>–</w:t>
            </w:r>
          </w:p>
        </w:tc>
        <w:tc>
          <w:tcPr>
            <w:tcW w:w="406" w:type="pct"/>
            <w:shd w:val="clear" w:color="auto" w:fill="CCCCCC"/>
          </w:tcPr>
          <w:p w14:paraId="038A17AB" w14:textId="77777777" w:rsidR="001757EB" w:rsidRDefault="001757EB" w:rsidP="001A5D4A">
            <w:pPr>
              <w:pStyle w:val="NotesTable-CellPlain"/>
            </w:pPr>
            <w:r>
              <w:t>–</w:t>
            </w:r>
          </w:p>
        </w:tc>
      </w:tr>
      <w:tr w:rsidR="001757EB" w14:paraId="038A17B4" w14:textId="77777777" w:rsidTr="00E21378">
        <w:trPr>
          <w:cantSplit/>
          <w:trHeight w:val="181"/>
        </w:trPr>
        <w:tc>
          <w:tcPr>
            <w:tcW w:w="810" w:type="pct"/>
          </w:tcPr>
          <w:p w14:paraId="038A17AD" w14:textId="77777777" w:rsidR="001757EB" w:rsidRDefault="001757EB" w:rsidP="001A5D4A">
            <w:pPr>
              <w:pStyle w:val="Note-Refs"/>
            </w:pPr>
          </w:p>
        </w:tc>
        <w:tc>
          <w:tcPr>
            <w:tcW w:w="2297" w:type="pct"/>
            <w:shd w:val="clear" w:color="auto" w:fill="CCCCCC"/>
            <w:vAlign w:val="bottom"/>
          </w:tcPr>
          <w:p w14:paraId="038A17AE" w14:textId="77777777" w:rsidR="001757EB" w:rsidRDefault="001757EB" w:rsidP="001A5D4A">
            <w:pPr>
              <w:pStyle w:val="NotesTable-ItemPlain"/>
              <w:rPr>
                <w:b/>
              </w:rPr>
            </w:pPr>
            <w:r>
              <w:t>Annual leave</w:t>
            </w:r>
          </w:p>
        </w:tc>
        <w:tc>
          <w:tcPr>
            <w:tcW w:w="270" w:type="pct"/>
            <w:shd w:val="clear" w:color="auto" w:fill="CCCCCC"/>
          </w:tcPr>
          <w:p w14:paraId="038A17AF" w14:textId="77777777" w:rsidR="001757EB" w:rsidRDefault="001757EB" w:rsidP="001A5D4A">
            <w:pPr>
              <w:pStyle w:val="NotesTable-Notes"/>
            </w:pPr>
          </w:p>
        </w:tc>
        <w:tc>
          <w:tcPr>
            <w:tcW w:w="406" w:type="pct"/>
            <w:shd w:val="clear" w:color="auto" w:fill="CCCCCC"/>
          </w:tcPr>
          <w:p w14:paraId="038A17B0" w14:textId="77777777" w:rsidR="001757EB" w:rsidRDefault="001757EB" w:rsidP="001A5D4A">
            <w:pPr>
              <w:pStyle w:val="NotesTable-CellBold"/>
            </w:pPr>
            <w:r>
              <w:t>–</w:t>
            </w:r>
          </w:p>
        </w:tc>
        <w:tc>
          <w:tcPr>
            <w:tcW w:w="406" w:type="pct"/>
            <w:shd w:val="clear" w:color="auto" w:fill="CCCCCC"/>
          </w:tcPr>
          <w:p w14:paraId="038A17B1" w14:textId="77777777" w:rsidR="001757EB" w:rsidRDefault="001757EB" w:rsidP="001A5D4A">
            <w:pPr>
              <w:pStyle w:val="NotesTable-CellPlain"/>
            </w:pPr>
            <w:r>
              <w:t>–</w:t>
            </w:r>
          </w:p>
        </w:tc>
        <w:tc>
          <w:tcPr>
            <w:tcW w:w="406" w:type="pct"/>
            <w:shd w:val="clear" w:color="auto" w:fill="CCCCCC"/>
          </w:tcPr>
          <w:p w14:paraId="038A17B2" w14:textId="77777777" w:rsidR="001757EB" w:rsidRDefault="001757EB" w:rsidP="001A5D4A">
            <w:pPr>
              <w:pStyle w:val="NotesTable-CellBold"/>
            </w:pPr>
            <w:r>
              <w:t>–</w:t>
            </w:r>
          </w:p>
        </w:tc>
        <w:tc>
          <w:tcPr>
            <w:tcW w:w="406" w:type="pct"/>
            <w:shd w:val="clear" w:color="auto" w:fill="CCCCCC"/>
          </w:tcPr>
          <w:p w14:paraId="038A17B3" w14:textId="77777777" w:rsidR="001757EB" w:rsidRDefault="001757EB" w:rsidP="001A5D4A">
            <w:pPr>
              <w:pStyle w:val="NotesTable-CellPlain"/>
            </w:pPr>
            <w:r>
              <w:t>–</w:t>
            </w:r>
          </w:p>
        </w:tc>
      </w:tr>
      <w:tr w:rsidR="001757EB" w14:paraId="038A17BC" w14:textId="77777777" w:rsidTr="00E21378">
        <w:trPr>
          <w:cantSplit/>
          <w:trHeight w:val="181"/>
        </w:trPr>
        <w:tc>
          <w:tcPr>
            <w:tcW w:w="810" w:type="pct"/>
          </w:tcPr>
          <w:p w14:paraId="038A17B5" w14:textId="77777777" w:rsidR="001757EB" w:rsidRDefault="001757EB" w:rsidP="001A5D4A">
            <w:pPr>
              <w:pStyle w:val="Note-Refs"/>
            </w:pPr>
          </w:p>
        </w:tc>
        <w:tc>
          <w:tcPr>
            <w:tcW w:w="2297" w:type="pct"/>
            <w:shd w:val="clear" w:color="auto" w:fill="CCCCCC"/>
            <w:vAlign w:val="bottom"/>
          </w:tcPr>
          <w:p w14:paraId="038A17B6" w14:textId="77777777" w:rsidR="001757EB" w:rsidRDefault="001757EB" w:rsidP="001A5D4A">
            <w:pPr>
              <w:pStyle w:val="NotesTable-ItemPlain"/>
              <w:rPr>
                <w:b/>
              </w:rPr>
            </w:pPr>
            <w:r>
              <w:t>Other</w:t>
            </w:r>
          </w:p>
        </w:tc>
        <w:tc>
          <w:tcPr>
            <w:tcW w:w="270" w:type="pct"/>
            <w:shd w:val="clear" w:color="auto" w:fill="CCCCCC"/>
          </w:tcPr>
          <w:p w14:paraId="038A17B7" w14:textId="77777777" w:rsidR="001757EB" w:rsidRDefault="001757EB" w:rsidP="001A5D4A">
            <w:pPr>
              <w:pStyle w:val="NotesTable-Notes"/>
            </w:pPr>
          </w:p>
        </w:tc>
        <w:tc>
          <w:tcPr>
            <w:tcW w:w="406" w:type="pct"/>
            <w:tcBorders>
              <w:bottom w:val="single" w:sz="4" w:space="0" w:color="000000"/>
            </w:tcBorders>
            <w:shd w:val="clear" w:color="auto" w:fill="CCCCCC"/>
          </w:tcPr>
          <w:p w14:paraId="038A17B8" w14:textId="77777777" w:rsidR="001757EB" w:rsidRDefault="001757EB" w:rsidP="001A5D4A">
            <w:pPr>
              <w:pStyle w:val="NotesTable-CellBold"/>
            </w:pPr>
            <w:r>
              <w:t>–</w:t>
            </w:r>
          </w:p>
        </w:tc>
        <w:tc>
          <w:tcPr>
            <w:tcW w:w="406" w:type="pct"/>
            <w:tcBorders>
              <w:bottom w:val="single" w:sz="4" w:space="0" w:color="000000"/>
            </w:tcBorders>
            <w:shd w:val="clear" w:color="auto" w:fill="CCCCCC"/>
          </w:tcPr>
          <w:p w14:paraId="038A17B9" w14:textId="77777777" w:rsidR="001757EB" w:rsidRDefault="001757EB" w:rsidP="001A5D4A">
            <w:pPr>
              <w:pStyle w:val="NotesTable-CellPlain"/>
            </w:pPr>
            <w:r>
              <w:t>–</w:t>
            </w:r>
          </w:p>
        </w:tc>
        <w:tc>
          <w:tcPr>
            <w:tcW w:w="406" w:type="pct"/>
            <w:tcBorders>
              <w:bottom w:val="single" w:sz="4" w:space="0" w:color="000000"/>
            </w:tcBorders>
            <w:shd w:val="clear" w:color="auto" w:fill="CCCCCC"/>
          </w:tcPr>
          <w:p w14:paraId="038A17BA" w14:textId="77777777" w:rsidR="001757EB" w:rsidRDefault="001757EB" w:rsidP="001A5D4A">
            <w:pPr>
              <w:pStyle w:val="NotesTable-CellBold"/>
            </w:pPr>
            <w:r>
              <w:t>–</w:t>
            </w:r>
          </w:p>
        </w:tc>
        <w:tc>
          <w:tcPr>
            <w:tcW w:w="406" w:type="pct"/>
            <w:tcBorders>
              <w:bottom w:val="single" w:sz="4" w:space="0" w:color="000000"/>
            </w:tcBorders>
            <w:shd w:val="clear" w:color="auto" w:fill="CCCCCC"/>
          </w:tcPr>
          <w:p w14:paraId="038A17BB" w14:textId="77777777" w:rsidR="001757EB" w:rsidRDefault="001757EB" w:rsidP="001A5D4A">
            <w:pPr>
              <w:pStyle w:val="NotesTable-CellPlain"/>
            </w:pPr>
            <w:r>
              <w:t>–</w:t>
            </w:r>
          </w:p>
        </w:tc>
      </w:tr>
      <w:tr w:rsidR="001757EB" w14:paraId="038A17C4" w14:textId="77777777" w:rsidTr="00E21378">
        <w:trPr>
          <w:cantSplit/>
          <w:trHeight w:val="181"/>
        </w:trPr>
        <w:tc>
          <w:tcPr>
            <w:tcW w:w="810" w:type="pct"/>
          </w:tcPr>
          <w:p w14:paraId="038A17BD" w14:textId="77777777" w:rsidR="001757EB" w:rsidRDefault="001757EB" w:rsidP="001A5D4A">
            <w:pPr>
              <w:pStyle w:val="Note-Refs"/>
            </w:pPr>
          </w:p>
        </w:tc>
        <w:tc>
          <w:tcPr>
            <w:tcW w:w="2297" w:type="pct"/>
            <w:shd w:val="clear" w:color="auto" w:fill="CCCCCC"/>
            <w:vAlign w:val="bottom"/>
          </w:tcPr>
          <w:p w14:paraId="038A17BE" w14:textId="77777777" w:rsidR="001757EB" w:rsidRDefault="001757EB" w:rsidP="001A5D4A">
            <w:pPr>
              <w:pStyle w:val="NotesTable-ItemPlain"/>
              <w:rPr>
                <w:b/>
              </w:rPr>
            </w:pPr>
            <w:r>
              <w:t>Total academic</w:t>
            </w:r>
          </w:p>
        </w:tc>
        <w:tc>
          <w:tcPr>
            <w:tcW w:w="270" w:type="pct"/>
            <w:shd w:val="clear" w:color="auto" w:fill="CCCCCC"/>
          </w:tcPr>
          <w:p w14:paraId="038A17BF" w14:textId="77777777" w:rsidR="001757EB" w:rsidRDefault="001757EB" w:rsidP="001A5D4A">
            <w:pPr>
              <w:pStyle w:val="NotesTable-Notes"/>
            </w:pPr>
          </w:p>
        </w:tc>
        <w:tc>
          <w:tcPr>
            <w:tcW w:w="406" w:type="pct"/>
            <w:tcBorders>
              <w:top w:val="single" w:sz="4" w:space="0" w:color="000000"/>
            </w:tcBorders>
            <w:shd w:val="clear" w:color="auto" w:fill="CCCCCC"/>
          </w:tcPr>
          <w:p w14:paraId="038A17C0" w14:textId="77777777" w:rsidR="001757EB" w:rsidRDefault="001757EB" w:rsidP="001A5D4A">
            <w:pPr>
              <w:pStyle w:val="NotesTable-CellBold"/>
            </w:pPr>
            <w:r>
              <w:t>–</w:t>
            </w:r>
          </w:p>
        </w:tc>
        <w:tc>
          <w:tcPr>
            <w:tcW w:w="406" w:type="pct"/>
            <w:tcBorders>
              <w:top w:val="single" w:sz="4" w:space="0" w:color="000000"/>
            </w:tcBorders>
            <w:shd w:val="clear" w:color="auto" w:fill="CCCCCC"/>
          </w:tcPr>
          <w:p w14:paraId="038A17C1" w14:textId="77777777" w:rsidR="001757EB" w:rsidRDefault="001757EB" w:rsidP="001A5D4A">
            <w:pPr>
              <w:pStyle w:val="NotesTable-CellPlain"/>
            </w:pPr>
            <w:r>
              <w:t>–</w:t>
            </w:r>
          </w:p>
        </w:tc>
        <w:tc>
          <w:tcPr>
            <w:tcW w:w="406" w:type="pct"/>
            <w:tcBorders>
              <w:top w:val="single" w:sz="4" w:space="0" w:color="000000"/>
            </w:tcBorders>
            <w:shd w:val="clear" w:color="auto" w:fill="CCCCCC"/>
          </w:tcPr>
          <w:p w14:paraId="038A17C2" w14:textId="77777777" w:rsidR="001757EB" w:rsidRDefault="001757EB" w:rsidP="001A5D4A">
            <w:pPr>
              <w:pStyle w:val="NotesTable-CellBold"/>
            </w:pPr>
            <w:r>
              <w:t>–</w:t>
            </w:r>
          </w:p>
        </w:tc>
        <w:tc>
          <w:tcPr>
            <w:tcW w:w="406" w:type="pct"/>
            <w:tcBorders>
              <w:top w:val="single" w:sz="4" w:space="0" w:color="000000"/>
            </w:tcBorders>
            <w:shd w:val="clear" w:color="auto" w:fill="CCCCCC"/>
          </w:tcPr>
          <w:p w14:paraId="038A17C3" w14:textId="77777777" w:rsidR="001757EB" w:rsidRDefault="001757EB" w:rsidP="001A5D4A">
            <w:pPr>
              <w:pStyle w:val="NotesTable-CellPlain"/>
            </w:pPr>
            <w:r>
              <w:t>–</w:t>
            </w:r>
          </w:p>
        </w:tc>
      </w:tr>
      <w:tr w:rsidR="00FE281B" w14:paraId="038A17C7" w14:textId="77777777" w:rsidTr="00E21378">
        <w:trPr>
          <w:cantSplit/>
          <w:trHeight w:val="181"/>
        </w:trPr>
        <w:tc>
          <w:tcPr>
            <w:tcW w:w="810" w:type="pct"/>
          </w:tcPr>
          <w:p w14:paraId="038A17C5" w14:textId="77777777" w:rsidR="00FE281B" w:rsidRDefault="00FE281B" w:rsidP="001A5D4A">
            <w:pPr>
              <w:pStyle w:val="Note-Refs"/>
            </w:pPr>
          </w:p>
        </w:tc>
        <w:tc>
          <w:tcPr>
            <w:tcW w:w="4190" w:type="pct"/>
            <w:gridSpan w:val="6"/>
            <w:shd w:val="clear" w:color="auto" w:fill="CCCCCC"/>
            <w:vAlign w:val="bottom"/>
          </w:tcPr>
          <w:p w14:paraId="038A17C6" w14:textId="77777777" w:rsidR="00FE281B" w:rsidRDefault="00FE281B" w:rsidP="001A5D4A">
            <w:pPr>
              <w:pStyle w:val="Note-Text"/>
            </w:pPr>
          </w:p>
        </w:tc>
      </w:tr>
      <w:tr w:rsidR="00FE281B" w14:paraId="038A17CA" w14:textId="77777777" w:rsidTr="00E21378">
        <w:trPr>
          <w:cantSplit/>
          <w:trHeight w:val="181"/>
        </w:trPr>
        <w:tc>
          <w:tcPr>
            <w:tcW w:w="810" w:type="pct"/>
          </w:tcPr>
          <w:p w14:paraId="038A17C8" w14:textId="77777777" w:rsidR="00FE281B" w:rsidRDefault="00FE281B" w:rsidP="001A5D4A">
            <w:pPr>
              <w:pStyle w:val="Note-Refs"/>
            </w:pPr>
          </w:p>
        </w:tc>
        <w:tc>
          <w:tcPr>
            <w:tcW w:w="4190" w:type="pct"/>
            <w:gridSpan w:val="6"/>
            <w:shd w:val="clear" w:color="auto" w:fill="CCCCCC"/>
            <w:vAlign w:val="bottom"/>
          </w:tcPr>
          <w:p w14:paraId="038A17C9" w14:textId="77777777" w:rsidR="00FE281B" w:rsidRDefault="00FE281B" w:rsidP="001A5D4A">
            <w:pPr>
              <w:pStyle w:val="Note-TextHeader"/>
              <w:rPr>
                <w:lang w:val="en-GB"/>
              </w:rPr>
            </w:pPr>
            <w:r>
              <w:t>Non-academic</w:t>
            </w:r>
          </w:p>
        </w:tc>
      </w:tr>
      <w:tr w:rsidR="001757EB" w14:paraId="038A17D2" w14:textId="77777777" w:rsidTr="00E21378">
        <w:trPr>
          <w:cantSplit/>
          <w:trHeight w:val="181"/>
        </w:trPr>
        <w:tc>
          <w:tcPr>
            <w:tcW w:w="810" w:type="pct"/>
          </w:tcPr>
          <w:p w14:paraId="038A17CB" w14:textId="77777777" w:rsidR="001757EB" w:rsidRDefault="001757EB" w:rsidP="001A5D4A">
            <w:pPr>
              <w:pStyle w:val="Note-Refs"/>
            </w:pPr>
          </w:p>
        </w:tc>
        <w:tc>
          <w:tcPr>
            <w:tcW w:w="2297" w:type="pct"/>
            <w:shd w:val="clear" w:color="auto" w:fill="CCCCCC"/>
            <w:vAlign w:val="bottom"/>
          </w:tcPr>
          <w:p w14:paraId="038A17CC" w14:textId="77777777" w:rsidR="001757EB" w:rsidRDefault="001757EB" w:rsidP="001A5D4A">
            <w:pPr>
              <w:pStyle w:val="NotesTable-ItemPlain"/>
              <w:rPr>
                <w:b/>
              </w:rPr>
            </w:pPr>
            <w:r>
              <w:t>Salaries</w:t>
            </w:r>
          </w:p>
        </w:tc>
        <w:tc>
          <w:tcPr>
            <w:tcW w:w="270" w:type="pct"/>
            <w:shd w:val="clear" w:color="auto" w:fill="CCCCCC"/>
          </w:tcPr>
          <w:p w14:paraId="038A17CD" w14:textId="77777777" w:rsidR="001757EB" w:rsidRDefault="001757EB" w:rsidP="001A5D4A">
            <w:pPr>
              <w:pStyle w:val="NotesTable-Notes"/>
            </w:pPr>
          </w:p>
        </w:tc>
        <w:tc>
          <w:tcPr>
            <w:tcW w:w="406" w:type="pct"/>
            <w:shd w:val="clear" w:color="auto" w:fill="CCCCCC"/>
          </w:tcPr>
          <w:p w14:paraId="038A17CE" w14:textId="77777777" w:rsidR="001757EB" w:rsidRDefault="001757EB" w:rsidP="001A5D4A">
            <w:pPr>
              <w:pStyle w:val="NotesTable-CellBold"/>
            </w:pPr>
            <w:r>
              <w:t>–</w:t>
            </w:r>
          </w:p>
        </w:tc>
        <w:tc>
          <w:tcPr>
            <w:tcW w:w="406" w:type="pct"/>
            <w:shd w:val="clear" w:color="auto" w:fill="CCCCCC"/>
          </w:tcPr>
          <w:p w14:paraId="038A17CF" w14:textId="77777777" w:rsidR="001757EB" w:rsidRDefault="001757EB" w:rsidP="001A5D4A">
            <w:pPr>
              <w:pStyle w:val="NotesTable-CellPlain"/>
            </w:pPr>
            <w:r>
              <w:t>–</w:t>
            </w:r>
          </w:p>
        </w:tc>
        <w:tc>
          <w:tcPr>
            <w:tcW w:w="406" w:type="pct"/>
            <w:shd w:val="clear" w:color="auto" w:fill="CCCCCC"/>
          </w:tcPr>
          <w:p w14:paraId="038A17D0" w14:textId="77777777" w:rsidR="001757EB" w:rsidRDefault="001757EB" w:rsidP="001A5D4A">
            <w:pPr>
              <w:pStyle w:val="NotesTable-CellBold"/>
            </w:pPr>
            <w:r>
              <w:t>–</w:t>
            </w:r>
          </w:p>
        </w:tc>
        <w:tc>
          <w:tcPr>
            <w:tcW w:w="406" w:type="pct"/>
            <w:shd w:val="clear" w:color="auto" w:fill="CCCCCC"/>
          </w:tcPr>
          <w:p w14:paraId="038A17D1" w14:textId="77777777" w:rsidR="001757EB" w:rsidRDefault="001757EB" w:rsidP="001A5D4A">
            <w:pPr>
              <w:pStyle w:val="NotesTable-CellPlain"/>
            </w:pPr>
            <w:r>
              <w:t>–</w:t>
            </w:r>
          </w:p>
        </w:tc>
      </w:tr>
      <w:tr w:rsidR="001757EB" w14:paraId="038A17DA" w14:textId="77777777" w:rsidTr="00E21378">
        <w:trPr>
          <w:cantSplit/>
          <w:trHeight w:val="181"/>
        </w:trPr>
        <w:tc>
          <w:tcPr>
            <w:tcW w:w="810" w:type="pct"/>
          </w:tcPr>
          <w:p w14:paraId="038A17D3" w14:textId="77777777" w:rsidR="001757EB" w:rsidRDefault="001757EB" w:rsidP="001A5D4A">
            <w:pPr>
              <w:pStyle w:val="Note-Refs"/>
            </w:pPr>
          </w:p>
        </w:tc>
        <w:tc>
          <w:tcPr>
            <w:tcW w:w="2297" w:type="pct"/>
            <w:shd w:val="clear" w:color="auto" w:fill="CCCCCC"/>
            <w:vAlign w:val="bottom"/>
          </w:tcPr>
          <w:p w14:paraId="038A17D4" w14:textId="77777777" w:rsidR="001757EB" w:rsidRDefault="001757EB" w:rsidP="001A5D4A">
            <w:pPr>
              <w:pStyle w:val="NotesTable-ItemPlain"/>
              <w:rPr>
                <w:b/>
              </w:rPr>
            </w:pPr>
            <w:r>
              <w:t>Contributions to superannuation and pension schemes</w:t>
            </w:r>
          </w:p>
        </w:tc>
        <w:tc>
          <w:tcPr>
            <w:tcW w:w="270" w:type="pct"/>
            <w:shd w:val="clear" w:color="auto" w:fill="CCCCCC"/>
          </w:tcPr>
          <w:p w14:paraId="038A17D5" w14:textId="77777777" w:rsidR="001757EB" w:rsidRDefault="001757EB" w:rsidP="001A5D4A">
            <w:pPr>
              <w:pStyle w:val="NotesTable-Notes"/>
            </w:pPr>
          </w:p>
        </w:tc>
        <w:tc>
          <w:tcPr>
            <w:tcW w:w="406" w:type="pct"/>
            <w:shd w:val="clear" w:color="auto" w:fill="CCCCCC"/>
          </w:tcPr>
          <w:p w14:paraId="038A17D6" w14:textId="0EC7962E" w:rsidR="001757EB" w:rsidRDefault="001757EB" w:rsidP="001A5D4A">
            <w:pPr>
              <w:pStyle w:val="NotesTable-CellBold"/>
            </w:pPr>
          </w:p>
        </w:tc>
        <w:tc>
          <w:tcPr>
            <w:tcW w:w="406" w:type="pct"/>
            <w:shd w:val="clear" w:color="auto" w:fill="CCCCCC"/>
          </w:tcPr>
          <w:p w14:paraId="038A17D7" w14:textId="19D919DC" w:rsidR="001757EB" w:rsidRDefault="001757EB" w:rsidP="001A5D4A">
            <w:pPr>
              <w:pStyle w:val="NotesTable-CellPlain"/>
            </w:pPr>
          </w:p>
        </w:tc>
        <w:tc>
          <w:tcPr>
            <w:tcW w:w="406" w:type="pct"/>
            <w:shd w:val="clear" w:color="auto" w:fill="CCCCCC"/>
          </w:tcPr>
          <w:p w14:paraId="038A17D8" w14:textId="38C1DAC6" w:rsidR="001757EB" w:rsidRDefault="001757EB" w:rsidP="001A5D4A">
            <w:pPr>
              <w:pStyle w:val="NotesTable-CellBold"/>
            </w:pPr>
          </w:p>
        </w:tc>
        <w:tc>
          <w:tcPr>
            <w:tcW w:w="406" w:type="pct"/>
            <w:shd w:val="clear" w:color="auto" w:fill="CCCCCC"/>
          </w:tcPr>
          <w:p w14:paraId="038A17D9" w14:textId="7FF2AD33" w:rsidR="001757EB" w:rsidRDefault="001757EB" w:rsidP="001A5D4A">
            <w:pPr>
              <w:pStyle w:val="NotesTable-CellPlain"/>
            </w:pPr>
          </w:p>
        </w:tc>
      </w:tr>
      <w:tr w:rsidR="00735188" w14:paraId="2623C46E" w14:textId="77777777" w:rsidTr="00E21378">
        <w:trPr>
          <w:cantSplit/>
          <w:trHeight w:val="181"/>
        </w:trPr>
        <w:tc>
          <w:tcPr>
            <w:tcW w:w="810" w:type="pct"/>
          </w:tcPr>
          <w:p w14:paraId="0C8625E1" w14:textId="77777777" w:rsidR="00735188" w:rsidRDefault="00735188" w:rsidP="001A5D4A">
            <w:pPr>
              <w:pStyle w:val="Note-Refs"/>
            </w:pPr>
          </w:p>
        </w:tc>
        <w:tc>
          <w:tcPr>
            <w:tcW w:w="2297" w:type="pct"/>
            <w:shd w:val="clear" w:color="auto" w:fill="CCCCCC"/>
            <w:vAlign w:val="bottom"/>
          </w:tcPr>
          <w:p w14:paraId="1167E176" w14:textId="2A141767" w:rsidR="00735188" w:rsidRPr="00735188" w:rsidRDefault="00EB78A1" w:rsidP="001A5D4A">
            <w:pPr>
              <w:pStyle w:val="NotesTable-ItemIndent"/>
            </w:pPr>
            <w:r>
              <w:t>Contributions to funded schemes</w:t>
            </w:r>
          </w:p>
        </w:tc>
        <w:tc>
          <w:tcPr>
            <w:tcW w:w="270" w:type="pct"/>
            <w:shd w:val="clear" w:color="auto" w:fill="CCCCCC"/>
          </w:tcPr>
          <w:p w14:paraId="59413299" w14:textId="77777777" w:rsidR="00735188" w:rsidRDefault="00735188" w:rsidP="001A5D4A">
            <w:pPr>
              <w:pStyle w:val="NotesTable-Notes"/>
            </w:pPr>
          </w:p>
        </w:tc>
        <w:tc>
          <w:tcPr>
            <w:tcW w:w="406" w:type="pct"/>
            <w:shd w:val="clear" w:color="auto" w:fill="CCCCCC"/>
          </w:tcPr>
          <w:p w14:paraId="353F0368" w14:textId="141EF413" w:rsidR="00735188" w:rsidRDefault="00735188" w:rsidP="001A5D4A">
            <w:pPr>
              <w:pStyle w:val="NotesTable-CellBold"/>
            </w:pPr>
            <w:r>
              <w:t>–</w:t>
            </w:r>
          </w:p>
        </w:tc>
        <w:tc>
          <w:tcPr>
            <w:tcW w:w="406" w:type="pct"/>
            <w:shd w:val="clear" w:color="auto" w:fill="CCCCCC"/>
          </w:tcPr>
          <w:p w14:paraId="4D726EDE" w14:textId="028626CB" w:rsidR="00735188" w:rsidRDefault="00735188" w:rsidP="001A5D4A">
            <w:pPr>
              <w:pStyle w:val="NotesTable-CellPlain"/>
            </w:pPr>
            <w:r>
              <w:t>–</w:t>
            </w:r>
          </w:p>
        </w:tc>
        <w:tc>
          <w:tcPr>
            <w:tcW w:w="406" w:type="pct"/>
            <w:shd w:val="clear" w:color="auto" w:fill="CCCCCC"/>
          </w:tcPr>
          <w:p w14:paraId="3A141C6E" w14:textId="6F8ADB76" w:rsidR="00735188" w:rsidRDefault="00735188" w:rsidP="001A5D4A">
            <w:pPr>
              <w:pStyle w:val="NotesTable-CellBold"/>
            </w:pPr>
            <w:r>
              <w:t>–</w:t>
            </w:r>
          </w:p>
        </w:tc>
        <w:tc>
          <w:tcPr>
            <w:tcW w:w="406" w:type="pct"/>
            <w:shd w:val="clear" w:color="auto" w:fill="CCCCCC"/>
          </w:tcPr>
          <w:p w14:paraId="30938360" w14:textId="3D123408" w:rsidR="00735188" w:rsidRDefault="00735188" w:rsidP="001A5D4A">
            <w:pPr>
              <w:pStyle w:val="NotesTable-CellPlain"/>
            </w:pPr>
            <w:r>
              <w:t>–</w:t>
            </w:r>
          </w:p>
        </w:tc>
      </w:tr>
      <w:tr w:rsidR="00735188" w14:paraId="14D237FC" w14:textId="77777777" w:rsidTr="00E21378">
        <w:trPr>
          <w:cantSplit/>
          <w:trHeight w:val="181"/>
        </w:trPr>
        <w:tc>
          <w:tcPr>
            <w:tcW w:w="810" w:type="pct"/>
          </w:tcPr>
          <w:p w14:paraId="3B8533C6" w14:textId="77777777" w:rsidR="00735188" w:rsidRDefault="00735188" w:rsidP="001A5D4A">
            <w:pPr>
              <w:pStyle w:val="Note-Refs"/>
            </w:pPr>
          </w:p>
        </w:tc>
        <w:tc>
          <w:tcPr>
            <w:tcW w:w="2297" w:type="pct"/>
            <w:shd w:val="clear" w:color="auto" w:fill="CCCCCC"/>
            <w:vAlign w:val="bottom"/>
          </w:tcPr>
          <w:p w14:paraId="001FFA31" w14:textId="5FD2992A" w:rsidR="00735188" w:rsidRPr="00735188" w:rsidRDefault="00EB78A1" w:rsidP="001A5D4A">
            <w:pPr>
              <w:pStyle w:val="NotesTable-ItemIndent"/>
            </w:pPr>
            <w:r>
              <w:t>Contributions to unfunded schemes</w:t>
            </w:r>
          </w:p>
        </w:tc>
        <w:tc>
          <w:tcPr>
            <w:tcW w:w="270" w:type="pct"/>
            <w:shd w:val="clear" w:color="auto" w:fill="CCCCCC"/>
          </w:tcPr>
          <w:p w14:paraId="65CDD34F" w14:textId="77777777" w:rsidR="00735188" w:rsidRDefault="00735188" w:rsidP="001A5D4A">
            <w:pPr>
              <w:pStyle w:val="NotesTable-Notes"/>
            </w:pPr>
          </w:p>
        </w:tc>
        <w:tc>
          <w:tcPr>
            <w:tcW w:w="406" w:type="pct"/>
            <w:shd w:val="clear" w:color="auto" w:fill="CCCCCC"/>
          </w:tcPr>
          <w:p w14:paraId="24306FAB" w14:textId="7E62F28A" w:rsidR="00735188" w:rsidRDefault="00735188" w:rsidP="001A5D4A">
            <w:pPr>
              <w:pStyle w:val="NotesTable-CellBold"/>
            </w:pPr>
            <w:r>
              <w:t>–</w:t>
            </w:r>
          </w:p>
        </w:tc>
        <w:tc>
          <w:tcPr>
            <w:tcW w:w="406" w:type="pct"/>
            <w:shd w:val="clear" w:color="auto" w:fill="CCCCCC"/>
          </w:tcPr>
          <w:p w14:paraId="7138BF8C" w14:textId="34FF9DF5" w:rsidR="00735188" w:rsidRDefault="00735188" w:rsidP="001A5D4A">
            <w:pPr>
              <w:pStyle w:val="NotesTable-CellPlain"/>
            </w:pPr>
            <w:r>
              <w:t>–</w:t>
            </w:r>
          </w:p>
        </w:tc>
        <w:tc>
          <w:tcPr>
            <w:tcW w:w="406" w:type="pct"/>
            <w:shd w:val="clear" w:color="auto" w:fill="CCCCCC"/>
          </w:tcPr>
          <w:p w14:paraId="29194231" w14:textId="4D5B8337" w:rsidR="00735188" w:rsidRDefault="00735188" w:rsidP="001A5D4A">
            <w:pPr>
              <w:pStyle w:val="NotesTable-CellBold"/>
            </w:pPr>
            <w:r>
              <w:t>–</w:t>
            </w:r>
          </w:p>
        </w:tc>
        <w:tc>
          <w:tcPr>
            <w:tcW w:w="406" w:type="pct"/>
            <w:shd w:val="clear" w:color="auto" w:fill="CCCCCC"/>
          </w:tcPr>
          <w:p w14:paraId="490D0DAB" w14:textId="4AC5AC32" w:rsidR="00735188" w:rsidRDefault="00735188" w:rsidP="001A5D4A">
            <w:pPr>
              <w:pStyle w:val="NotesTable-CellPlain"/>
            </w:pPr>
            <w:r>
              <w:t>–</w:t>
            </w:r>
          </w:p>
        </w:tc>
      </w:tr>
      <w:tr w:rsidR="00735188" w14:paraId="038A17E2" w14:textId="77777777" w:rsidTr="00E21378">
        <w:trPr>
          <w:cantSplit/>
          <w:trHeight w:val="181"/>
        </w:trPr>
        <w:tc>
          <w:tcPr>
            <w:tcW w:w="810" w:type="pct"/>
          </w:tcPr>
          <w:p w14:paraId="038A17DB" w14:textId="77777777" w:rsidR="00735188" w:rsidRDefault="00735188" w:rsidP="001A5D4A">
            <w:pPr>
              <w:pStyle w:val="Note-Refs"/>
            </w:pPr>
          </w:p>
        </w:tc>
        <w:tc>
          <w:tcPr>
            <w:tcW w:w="2297" w:type="pct"/>
            <w:shd w:val="clear" w:color="auto" w:fill="CCCCCC"/>
            <w:vAlign w:val="bottom"/>
          </w:tcPr>
          <w:p w14:paraId="038A17DC" w14:textId="77777777" w:rsidR="00735188" w:rsidRDefault="00735188" w:rsidP="001A5D4A">
            <w:pPr>
              <w:pStyle w:val="NotesTable-ItemPlain"/>
              <w:rPr>
                <w:b/>
              </w:rPr>
            </w:pPr>
            <w:r>
              <w:t>Payroll tax</w:t>
            </w:r>
          </w:p>
        </w:tc>
        <w:tc>
          <w:tcPr>
            <w:tcW w:w="270" w:type="pct"/>
            <w:shd w:val="clear" w:color="auto" w:fill="CCCCCC"/>
          </w:tcPr>
          <w:p w14:paraId="038A17DD" w14:textId="77777777" w:rsidR="00735188" w:rsidRDefault="00735188" w:rsidP="001A5D4A">
            <w:pPr>
              <w:pStyle w:val="NotesTable-Notes"/>
            </w:pPr>
          </w:p>
        </w:tc>
        <w:tc>
          <w:tcPr>
            <w:tcW w:w="406" w:type="pct"/>
            <w:shd w:val="clear" w:color="auto" w:fill="CCCCCC"/>
          </w:tcPr>
          <w:p w14:paraId="038A17DE" w14:textId="77777777" w:rsidR="00735188" w:rsidRDefault="00735188" w:rsidP="001A5D4A">
            <w:pPr>
              <w:pStyle w:val="NotesTable-CellBold"/>
            </w:pPr>
            <w:r>
              <w:t>–</w:t>
            </w:r>
          </w:p>
        </w:tc>
        <w:tc>
          <w:tcPr>
            <w:tcW w:w="406" w:type="pct"/>
            <w:shd w:val="clear" w:color="auto" w:fill="CCCCCC"/>
          </w:tcPr>
          <w:p w14:paraId="038A17DF" w14:textId="77777777" w:rsidR="00735188" w:rsidRDefault="00735188" w:rsidP="001A5D4A">
            <w:pPr>
              <w:pStyle w:val="NotesTable-CellPlain"/>
            </w:pPr>
            <w:r>
              <w:t>–</w:t>
            </w:r>
          </w:p>
        </w:tc>
        <w:tc>
          <w:tcPr>
            <w:tcW w:w="406" w:type="pct"/>
            <w:shd w:val="clear" w:color="auto" w:fill="CCCCCC"/>
          </w:tcPr>
          <w:p w14:paraId="038A17E0" w14:textId="77777777" w:rsidR="00735188" w:rsidRDefault="00735188" w:rsidP="001A5D4A">
            <w:pPr>
              <w:pStyle w:val="NotesTable-CellBold"/>
            </w:pPr>
            <w:r>
              <w:t>–</w:t>
            </w:r>
          </w:p>
        </w:tc>
        <w:tc>
          <w:tcPr>
            <w:tcW w:w="406" w:type="pct"/>
            <w:shd w:val="clear" w:color="auto" w:fill="CCCCCC"/>
          </w:tcPr>
          <w:p w14:paraId="038A17E1" w14:textId="77777777" w:rsidR="00735188" w:rsidRDefault="00735188" w:rsidP="001A5D4A">
            <w:pPr>
              <w:pStyle w:val="NotesTable-CellPlain"/>
            </w:pPr>
            <w:r>
              <w:t>–</w:t>
            </w:r>
          </w:p>
        </w:tc>
      </w:tr>
      <w:tr w:rsidR="00735188" w14:paraId="038A17EA" w14:textId="77777777" w:rsidTr="00E21378">
        <w:trPr>
          <w:cantSplit/>
          <w:trHeight w:val="181"/>
        </w:trPr>
        <w:tc>
          <w:tcPr>
            <w:tcW w:w="810" w:type="pct"/>
          </w:tcPr>
          <w:p w14:paraId="038A17E3" w14:textId="77777777" w:rsidR="00735188" w:rsidRDefault="00735188" w:rsidP="001A5D4A">
            <w:pPr>
              <w:pStyle w:val="Note-Refs"/>
            </w:pPr>
          </w:p>
        </w:tc>
        <w:tc>
          <w:tcPr>
            <w:tcW w:w="2297" w:type="pct"/>
            <w:shd w:val="clear" w:color="auto" w:fill="CCCCCC"/>
            <w:vAlign w:val="bottom"/>
          </w:tcPr>
          <w:p w14:paraId="038A17E4" w14:textId="77777777" w:rsidR="00735188" w:rsidRDefault="00735188" w:rsidP="001A5D4A">
            <w:pPr>
              <w:pStyle w:val="NotesTable-ItemPlain"/>
              <w:rPr>
                <w:b/>
              </w:rPr>
            </w:pPr>
            <w:r>
              <w:t>Worker’s compensation</w:t>
            </w:r>
          </w:p>
        </w:tc>
        <w:tc>
          <w:tcPr>
            <w:tcW w:w="270" w:type="pct"/>
            <w:shd w:val="clear" w:color="auto" w:fill="CCCCCC"/>
          </w:tcPr>
          <w:p w14:paraId="038A17E5" w14:textId="77777777" w:rsidR="00735188" w:rsidRDefault="00735188" w:rsidP="001A5D4A">
            <w:pPr>
              <w:pStyle w:val="NotesTable-Notes"/>
            </w:pPr>
          </w:p>
        </w:tc>
        <w:tc>
          <w:tcPr>
            <w:tcW w:w="406" w:type="pct"/>
            <w:shd w:val="clear" w:color="auto" w:fill="CCCCCC"/>
          </w:tcPr>
          <w:p w14:paraId="038A17E6" w14:textId="77777777" w:rsidR="00735188" w:rsidRDefault="00735188" w:rsidP="001A5D4A">
            <w:pPr>
              <w:pStyle w:val="NotesTable-CellBold"/>
            </w:pPr>
            <w:r>
              <w:t>–</w:t>
            </w:r>
          </w:p>
        </w:tc>
        <w:tc>
          <w:tcPr>
            <w:tcW w:w="406" w:type="pct"/>
            <w:shd w:val="clear" w:color="auto" w:fill="CCCCCC"/>
          </w:tcPr>
          <w:p w14:paraId="038A17E7" w14:textId="77777777" w:rsidR="00735188" w:rsidRDefault="00735188" w:rsidP="001A5D4A">
            <w:pPr>
              <w:pStyle w:val="NotesTable-CellPlain"/>
            </w:pPr>
            <w:r>
              <w:t>–</w:t>
            </w:r>
          </w:p>
        </w:tc>
        <w:tc>
          <w:tcPr>
            <w:tcW w:w="406" w:type="pct"/>
            <w:shd w:val="clear" w:color="auto" w:fill="CCCCCC"/>
          </w:tcPr>
          <w:p w14:paraId="038A17E8" w14:textId="77777777" w:rsidR="00735188" w:rsidRDefault="00735188" w:rsidP="001A5D4A">
            <w:pPr>
              <w:pStyle w:val="NotesTable-CellBold"/>
            </w:pPr>
            <w:r>
              <w:t>–</w:t>
            </w:r>
          </w:p>
        </w:tc>
        <w:tc>
          <w:tcPr>
            <w:tcW w:w="406" w:type="pct"/>
            <w:shd w:val="clear" w:color="auto" w:fill="CCCCCC"/>
          </w:tcPr>
          <w:p w14:paraId="038A17E9" w14:textId="77777777" w:rsidR="00735188" w:rsidRDefault="00735188" w:rsidP="001A5D4A">
            <w:pPr>
              <w:pStyle w:val="NotesTable-CellPlain"/>
            </w:pPr>
            <w:r>
              <w:t>–</w:t>
            </w:r>
          </w:p>
        </w:tc>
      </w:tr>
      <w:tr w:rsidR="00735188" w14:paraId="038A17F2" w14:textId="77777777" w:rsidTr="00E21378">
        <w:trPr>
          <w:cantSplit/>
          <w:trHeight w:val="181"/>
        </w:trPr>
        <w:tc>
          <w:tcPr>
            <w:tcW w:w="810" w:type="pct"/>
          </w:tcPr>
          <w:p w14:paraId="038A17EB" w14:textId="77777777" w:rsidR="00735188" w:rsidRDefault="00735188" w:rsidP="001A5D4A">
            <w:pPr>
              <w:pStyle w:val="Note-Refs"/>
            </w:pPr>
          </w:p>
        </w:tc>
        <w:tc>
          <w:tcPr>
            <w:tcW w:w="2297" w:type="pct"/>
            <w:shd w:val="clear" w:color="auto" w:fill="CCCCCC"/>
            <w:vAlign w:val="bottom"/>
          </w:tcPr>
          <w:p w14:paraId="038A17EC" w14:textId="77777777" w:rsidR="00735188" w:rsidRDefault="00735188" w:rsidP="001A5D4A">
            <w:pPr>
              <w:pStyle w:val="NotesTable-ItemPlain"/>
              <w:rPr>
                <w:b/>
              </w:rPr>
            </w:pPr>
            <w:r>
              <w:t>Long service leave expense</w:t>
            </w:r>
          </w:p>
        </w:tc>
        <w:tc>
          <w:tcPr>
            <w:tcW w:w="270" w:type="pct"/>
            <w:shd w:val="clear" w:color="auto" w:fill="CCCCCC"/>
          </w:tcPr>
          <w:p w14:paraId="038A17ED" w14:textId="77777777" w:rsidR="00735188" w:rsidRDefault="00735188" w:rsidP="001A5D4A">
            <w:pPr>
              <w:pStyle w:val="NotesTable-Notes"/>
            </w:pPr>
          </w:p>
        </w:tc>
        <w:tc>
          <w:tcPr>
            <w:tcW w:w="406" w:type="pct"/>
            <w:shd w:val="clear" w:color="auto" w:fill="CCCCCC"/>
          </w:tcPr>
          <w:p w14:paraId="038A17EE" w14:textId="77777777" w:rsidR="00735188" w:rsidRDefault="00735188" w:rsidP="001A5D4A">
            <w:pPr>
              <w:pStyle w:val="NotesTable-CellBold"/>
            </w:pPr>
            <w:r>
              <w:t>–</w:t>
            </w:r>
          </w:p>
        </w:tc>
        <w:tc>
          <w:tcPr>
            <w:tcW w:w="406" w:type="pct"/>
            <w:shd w:val="clear" w:color="auto" w:fill="CCCCCC"/>
          </w:tcPr>
          <w:p w14:paraId="038A17EF" w14:textId="77777777" w:rsidR="00735188" w:rsidRDefault="00735188" w:rsidP="001A5D4A">
            <w:pPr>
              <w:pStyle w:val="NotesTable-CellPlain"/>
            </w:pPr>
            <w:r>
              <w:t>–</w:t>
            </w:r>
          </w:p>
        </w:tc>
        <w:tc>
          <w:tcPr>
            <w:tcW w:w="406" w:type="pct"/>
            <w:shd w:val="clear" w:color="auto" w:fill="CCCCCC"/>
          </w:tcPr>
          <w:p w14:paraId="038A17F0" w14:textId="77777777" w:rsidR="00735188" w:rsidRDefault="00735188" w:rsidP="001A5D4A">
            <w:pPr>
              <w:pStyle w:val="NotesTable-CellBold"/>
            </w:pPr>
            <w:r>
              <w:t>–</w:t>
            </w:r>
          </w:p>
        </w:tc>
        <w:tc>
          <w:tcPr>
            <w:tcW w:w="406" w:type="pct"/>
            <w:shd w:val="clear" w:color="auto" w:fill="CCCCCC"/>
          </w:tcPr>
          <w:p w14:paraId="038A17F1" w14:textId="77777777" w:rsidR="00735188" w:rsidRDefault="00735188" w:rsidP="001A5D4A">
            <w:pPr>
              <w:pStyle w:val="NotesTable-CellPlain"/>
            </w:pPr>
            <w:r>
              <w:t>–</w:t>
            </w:r>
          </w:p>
        </w:tc>
      </w:tr>
      <w:tr w:rsidR="00735188" w14:paraId="038A17FA" w14:textId="77777777" w:rsidTr="00E21378">
        <w:trPr>
          <w:cantSplit/>
          <w:trHeight w:val="181"/>
        </w:trPr>
        <w:tc>
          <w:tcPr>
            <w:tcW w:w="810" w:type="pct"/>
          </w:tcPr>
          <w:p w14:paraId="038A17F3" w14:textId="77777777" w:rsidR="00735188" w:rsidRDefault="00735188" w:rsidP="001A5D4A">
            <w:pPr>
              <w:pStyle w:val="Note-Refs"/>
            </w:pPr>
          </w:p>
        </w:tc>
        <w:tc>
          <w:tcPr>
            <w:tcW w:w="2297" w:type="pct"/>
            <w:shd w:val="clear" w:color="auto" w:fill="CCCCCC"/>
            <w:vAlign w:val="bottom"/>
          </w:tcPr>
          <w:p w14:paraId="038A17F4" w14:textId="77777777" w:rsidR="00735188" w:rsidRDefault="00735188" w:rsidP="001A5D4A">
            <w:pPr>
              <w:pStyle w:val="NotesTable-ItemPlain"/>
              <w:rPr>
                <w:b/>
              </w:rPr>
            </w:pPr>
            <w:r>
              <w:t>Annual leave</w:t>
            </w:r>
          </w:p>
        </w:tc>
        <w:tc>
          <w:tcPr>
            <w:tcW w:w="270" w:type="pct"/>
            <w:shd w:val="clear" w:color="auto" w:fill="CCCCCC"/>
          </w:tcPr>
          <w:p w14:paraId="038A17F5" w14:textId="77777777" w:rsidR="00735188" w:rsidRDefault="00735188" w:rsidP="001A5D4A">
            <w:pPr>
              <w:pStyle w:val="NotesTable-Notes"/>
            </w:pPr>
          </w:p>
        </w:tc>
        <w:tc>
          <w:tcPr>
            <w:tcW w:w="406" w:type="pct"/>
            <w:shd w:val="clear" w:color="auto" w:fill="CCCCCC"/>
          </w:tcPr>
          <w:p w14:paraId="038A17F6" w14:textId="77777777" w:rsidR="00735188" w:rsidRDefault="00735188" w:rsidP="001A5D4A">
            <w:pPr>
              <w:pStyle w:val="NotesTable-CellBold"/>
            </w:pPr>
            <w:r>
              <w:t>–</w:t>
            </w:r>
          </w:p>
        </w:tc>
        <w:tc>
          <w:tcPr>
            <w:tcW w:w="406" w:type="pct"/>
            <w:shd w:val="clear" w:color="auto" w:fill="CCCCCC"/>
          </w:tcPr>
          <w:p w14:paraId="038A17F7" w14:textId="77777777" w:rsidR="00735188" w:rsidRDefault="00735188" w:rsidP="001A5D4A">
            <w:pPr>
              <w:pStyle w:val="NotesTable-CellPlain"/>
            </w:pPr>
            <w:r>
              <w:t>–</w:t>
            </w:r>
          </w:p>
        </w:tc>
        <w:tc>
          <w:tcPr>
            <w:tcW w:w="406" w:type="pct"/>
            <w:shd w:val="clear" w:color="auto" w:fill="CCCCCC"/>
          </w:tcPr>
          <w:p w14:paraId="038A17F8" w14:textId="77777777" w:rsidR="00735188" w:rsidRDefault="00735188" w:rsidP="001A5D4A">
            <w:pPr>
              <w:pStyle w:val="NotesTable-CellBold"/>
            </w:pPr>
            <w:r>
              <w:t>–</w:t>
            </w:r>
          </w:p>
        </w:tc>
        <w:tc>
          <w:tcPr>
            <w:tcW w:w="406" w:type="pct"/>
            <w:shd w:val="clear" w:color="auto" w:fill="CCCCCC"/>
          </w:tcPr>
          <w:p w14:paraId="038A17F9" w14:textId="77777777" w:rsidR="00735188" w:rsidRDefault="00735188" w:rsidP="001A5D4A">
            <w:pPr>
              <w:pStyle w:val="NotesTable-CellPlain"/>
            </w:pPr>
            <w:r>
              <w:t>–</w:t>
            </w:r>
          </w:p>
        </w:tc>
      </w:tr>
      <w:tr w:rsidR="00735188" w14:paraId="038A1802" w14:textId="77777777" w:rsidTr="00E21378">
        <w:trPr>
          <w:cantSplit/>
          <w:trHeight w:val="181"/>
        </w:trPr>
        <w:tc>
          <w:tcPr>
            <w:tcW w:w="810" w:type="pct"/>
          </w:tcPr>
          <w:p w14:paraId="038A17FB" w14:textId="77777777" w:rsidR="00735188" w:rsidRDefault="00735188" w:rsidP="001A5D4A">
            <w:pPr>
              <w:pStyle w:val="Note-Refs"/>
            </w:pPr>
          </w:p>
        </w:tc>
        <w:tc>
          <w:tcPr>
            <w:tcW w:w="2297" w:type="pct"/>
            <w:shd w:val="clear" w:color="auto" w:fill="CCCCCC"/>
            <w:vAlign w:val="bottom"/>
          </w:tcPr>
          <w:p w14:paraId="038A17FC" w14:textId="77777777" w:rsidR="00735188" w:rsidRDefault="00735188" w:rsidP="001A5D4A">
            <w:pPr>
              <w:pStyle w:val="NotesTable-ItemPlain"/>
              <w:rPr>
                <w:b/>
              </w:rPr>
            </w:pPr>
            <w:r>
              <w:t>Other</w:t>
            </w:r>
          </w:p>
        </w:tc>
        <w:tc>
          <w:tcPr>
            <w:tcW w:w="270" w:type="pct"/>
            <w:shd w:val="clear" w:color="auto" w:fill="CCCCCC"/>
          </w:tcPr>
          <w:p w14:paraId="038A17FD" w14:textId="77777777" w:rsidR="00735188" w:rsidRDefault="00735188" w:rsidP="001A5D4A">
            <w:pPr>
              <w:pStyle w:val="NotesTable-Notes"/>
            </w:pPr>
          </w:p>
        </w:tc>
        <w:tc>
          <w:tcPr>
            <w:tcW w:w="406" w:type="pct"/>
            <w:tcBorders>
              <w:bottom w:val="single" w:sz="4" w:space="0" w:color="000000"/>
            </w:tcBorders>
            <w:shd w:val="clear" w:color="auto" w:fill="CCCCCC"/>
          </w:tcPr>
          <w:p w14:paraId="038A17FE" w14:textId="77777777" w:rsidR="00735188" w:rsidRDefault="00735188" w:rsidP="001A5D4A">
            <w:pPr>
              <w:pStyle w:val="NotesTable-CellBold"/>
            </w:pPr>
            <w:r>
              <w:t>–</w:t>
            </w:r>
          </w:p>
        </w:tc>
        <w:tc>
          <w:tcPr>
            <w:tcW w:w="406" w:type="pct"/>
            <w:tcBorders>
              <w:bottom w:val="single" w:sz="4" w:space="0" w:color="000000"/>
            </w:tcBorders>
            <w:shd w:val="clear" w:color="auto" w:fill="CCCCCC"/>
          </w:tcPr>
          <w:p w14:paraId="038A17FF" w14:textId="77777777" w:rsidR="00735188" w:rsidRDefault="00735188" w:rsidP="001A5D4A">
            <w:pPr>
              <w:pStyle w:val="NotesTable-CellPlain"/>
            </w:pPr>
            <w:r>
              <w:t>–</w:t>
            </w:r>
          </w:p>
        </w:tc>
        <w:tc>
          <w:tcPr>
            <w:tcW w:w="406" w:type="pct"/>
            <w:tcBorders>
              <w:bottom w:val="single" w:sz="4" w:space="0" w:color="000000"/>
            </w:tcBorders>
            <w:shd w:val="clear" w:color="auto" w:fill="CCCCCC"/>
          </w:tcPr>
          <w:p w14:paraId="038A1800" w14:textId="77777777" w:rsidR="00735188" w:rsidRDefault="00735188" w:rsidP="001A5D4A">
            <w:pPr>
              <w:pStyle w:val="NotesTable-CellBold"/>
            </w:pPr>
            <w:r>
              <w:t>–</w:t>
            </w:r>
          </w:p>
        </w:tc>
        <w:tc>
          <w:tcPr>
            <w:tcW w:w="406" w:type="pct"/>
            <w:tcBorders>
              <w:bottom w:val="single" w:sz="4" w:space="0" w:color="000000"/>
            </w:tcBorders>
            <w:shd w:val="clear" w:color="auto" w:fill="CCCCCC"/>
          </w:tcPr>
          <w:p w14:paraId="038A1801" w14:textId="77777777" w:rsidR="00735188" w:rsidRDefault="00735188" w:rsidP="001A5D4A">
            <w:pPr>
              <w:pStyle w:val="NotesTable-CellPlain"/>
            </w:pPr>
            <w:r>
              <w:t>–</w:t>
            </w:r>
          </w:p>
        </w:tc>
      </w:tr>
      <w:tr w:rsidR="00735188" w14:paraId="038A180A" w14:textId="77777777" w:rsidTr="00E21378">
        <w:trPr>
          <w:cantSplit/>
          <w:trHeight w:val="181"/>
        </w:trPr>
        <w:tc>
          <w:tcPr>
            <w:tcW w:w="810" w:type="pct"/>
          </w:tcPr>
          <w:p w14:paraId="038A1803" w14:textId="77777777" w:rsidR="00735188" w:rsidRDefault="00735188" w:rsidP="001A5D4A">
            <w:pPr>
              <w:pStyle w:val="Note-Refs"/>
            </w:pPr>
          </w:p>
        </w:tc>
        <w:tc>
          <w:tcPr>
            <w:tcW w:w="2297" w:type="pct"/>
            <w:shd w:val="clear" w:color="auto" w:fill="CCCCCC"/>
            <w:vAlign w:val="bottom"/>
          </w:tcPr>
          <w:p w14:paraId="038A1804" w14:textId="77777777" w:rsidR="00735188" w:rsidRDefault="00735188" w:rsidP="001A5D4A">
            <w:pPr>
              <w:pStyle w:val="NotesTable-ItemPlain"/>
              <w:rPr>
                <w:b/>
              </w:rPr>
            </w:pPr>
            <w:r>
              <w:t>Total non-academic</w:t>
            </w:r>
          </w:p>
        </w:tc>
        <w:tc>
          <w:tcPr>
            <w:tcW w:w="270" w:type="pct"/>
            <w:shd w:val="clear" w:color="auto" w:fill="CCCCCC"/>
          </w:tcPr>
          <w:p w14:paraId="038A1805" w14:textId="77777777" w:rsidR="00735188" w:rsidRDefault="00735188" w:rsidP="001A5D4A">
            <w:pPr>
              <w:pStyle w:val="NotesTable-Notes"/>
            </w:pPr>
          </w:p>
        </w:tc>
        <w:tc>
          <w:tcPr>
            <w:tcW w:w="406" w:type="pct"/>
            <w:tcBorders>
              <w:top w:val="single" w:sz="4" w:space="0" w:color="000000"/>
            </w:tcBorders>
            <w:shd w:val="clear" w:color="auto" w:fill="CCCCCC"/>
          </w:tcPr>
          <w:p w14:paraId="038A1806" w14:textId="77777777" w:rsidR="00735188" w:rsidRDefault="00735188" w:rsidP="001A5D4A">
            <w:pPr>
              <w:pStyle w:val="NotesTable-CellBold"/>
            </w:pPr>
            <w:r>
              <w:t>–</w:t>
            </w:r>
          </w:p>
        </w:tc>
        <w:tc>
          <w:tcPr>
            <w:tcW w:w="406" w:type="pct"/>
            <w:tcBorders>
              <w:top w:val="single" w:sz="4" w:space="0" w:color="000000"/>
            </w:tcBorders>
            <w:shd w:val="clear" w:color="auto" w:fill="CCCCCC"/>
          </w:tcPr>
          <w:p w14:paraId="038A1807" w14:textId="77777777" w:rsidR="00735188" w:rsidRDefault="00735188" w:rsidP="001A5D4A">
            <w:pPr>
              <w:pStyle w:val="NotesTable-CellPlain"/>
            </w:pPr>
            <w:r>
              <w:t>–</w:t>
            </w:r>
          </w:p>
        </w:tc>
        <w:tc>
          <w:tcPr>
            <w:tcW w:w="406" w:type="pct"/>
            <w:tcBorders>
              <w:top w:val="single" w:sz="4" w:space="0" w:color="000000"/>
            </w:tcBorders>
            <w:shd w:val="clear" w:color="auto" w:fill="CCCCCC"/>
          </w:tcPr>
          <w:p w14:paraId="038A1808" w14:textId="77777777" w:rsidR="00735188" w:rsidRDefault="00735188" w:rsidP="001A5D4A">
            <w:pPr>
              <w:pStyle w:val="NotesTable-CellBold"/>
            </w:pPr>
            <w:r>
              <w:t>–</w:t>
            </w:r>
          </w:p>
        </w:tc>
        <w:tc>
          <w:tcPr>
            <w:tcW w:w="406" w:type="pct"/>
            <w:tcBorders>
              <w:top w:val="single" w:sz="4" w:space="0" w:color="000000"/>
            </w:tcBorders>
            <w:shd w:val="clear" w:color="auto" w:fill="CCCCCC"/>
          </w:tcPr>
          <w:p w14:paraId="038A1809" w14:textId="77777777" w:rsidR="00735188" w:rsidRDefault="00735188" w:rsidP="001A5D4A">
            <w:pPr>
              <w:pStyle w:val="NotesTable-CellPlain"/>
            </w:pPr>
            <w:r>
              <w:t>–</w:t>
            </w:r>
          </w:p>
        </w:tc>
      </w:tr>
      <w:tr w:rsidR="00735188" w14:paraId="038A1812" w14:textId="77777777" w:rsidTr="00E21378">
        <w:trPr>
          <w:cantSplit/>
          <w:trHeight w:val="181"/>
        </w:trPr>
        <w:tc>
          <w:tcPr>
            <w:tcW w:w="810" w:type="pct"/>
          </w:tcPr>
          <w:p w14:paraId="038A180B" w14:textId="77777777" w:rsidR="00735188" w:rsidRDefault="00735188" w:rsidP="001A5D4A">
            <w:pPr>
              <w:pStyle w:val="Note-Refs"/>
            </w:pPr>
          </w:p>
        </w:tc>
        <w:tc>
          <w:tcPr>
            <w:tcW w:w="2297" w:type="pct"/>
            <w:shd w:val="clear" w:color="auto" w:fill="CCCCCC"/>
            <w:vAlign w:val="bottom"/>
          </w:tcPr>
          <w:p w14:paraId="038A180C" w14:textId="77777777" w:rsidR="00735188" w:rsidRDefault="00735188" w:rsidP="001A5D4A">
            <w:pPr>
              <w:pStyle w:val="NotesTable-ItemPlain"/>
            </w:pPr>
          </w:p>
        </w:tc>
        <w:tc>
          <w:tcPr>
            <w:tcW w:w="270" w:type="pct"/>
            <w:shd w:val="clear" w:color="auto" w:fill="CCCCCC"/>
          </w:tcPr>
          <w:p w14:paraId="038A180D" w14:textId="77777777" w:rsidR="00735188" w:rsidRDefault="00735188" w:rsidP="001A5D4A">
            <w:pPr>
              <w:pStyle w:val="NotesTable-Notes"/>
            </w:pPr>
          </w:p>
        </w:tc>
        <w:tc>
          <w:tcPr>
            <w:tcW w:w="406" w:type="pct"/>
            <w:tcBorders>
              <w:bottom w:val="single" w:sz="4" w:space="0" w:color="auto"/>
            </w:tcBorders>
            <w:shd w:val="clear" w:color="auto" w:fill="CCCCCC"/>
          </w:tcPr>
          <w:p w14:paraId="038A180E" w14:textId="77777777" w:rsidR="00735188" w:rsidRDefault="00735188" w:rsidP="001A5D4A">
            <w:pPr>
              <w:pStyle w:val="NotesTable-CellBold"/>
            </w:pPr>
          </w:p>
        </w:tc>
        <w:tc>
          <w:tcPr>
            <w:tcW w:w="406" w:type="pct"/>
            <w:tcBorders>
              <w:bottom w:val="single" w:sz="4" w:space="0" w:color="auto"/>
            </w:tcBorders>
            <w:shd w:val="clear" w:color="auto" w:fill="CCCCCC"/>
          </w:tcPr>
          <w:p w14:paraId="038A180F" w14:textId="77777777" w:rsidR="00735188" w:rsidRDefault="00735188" w:rsidP="001A5D4A">
            <w:pPr>
              <w:pStyle w:val="NotesTable-CellPlain"/>
            </w:pPr>
          </w:p>
        </w:tc>
        <w:tc>
          <w:tcPr>
            <w:tcW w:w="406" w:type="pct"/>
            <w:tcBorders>
              <w:bottom w:val="single" w:sz="4" w:space="0" w:color="auto"/>
            </w:tcBorders>
            <w:shd w:val="clear" w:color="auto" w:fill="CCCCCC"/>
          </w:tcPr>
          <w:p w14:paraId="038A1810" w14:textId="77777777" w:rsidR="00735188" w:rsidRDefault="00735188" w:rsidP="001A5D4A">
            <w:pPr>
              <w:pStyle w:val="NotesTable-CellBold"/>
            </w:pPr>
          </w:p>
        </w:tc>
        <w:tc>
          <w:tcPr>
            <w:tcW w:w="406" w:type="pct"/>
            <w:tcBorders>
              <w:bottom w:val="single" w:sz="4" w:space="0" w:color="auto"/>
            </w:tcBorders>
            <w:shd w:val="clear" w:color="auto" w:fill="CCCCCC"/>
          </w:tcPr>
          <w:p w14:paraId="038A1811" w14:textId="77777777" w:rsidR="00735188" w:rsidRDefault="00735188" w:rsidP="001A5D4A">
            <w:pPr>
              <w:pStyle w:val="NotesTable-CellPlain"/>
            </w:pPr>
          </w:p>
        </w:tc>
      </w:tr>
      <w:tr w:rsidR="00735188" w14:paraId="038A181A" w14:textId="77777777" w:rsidTr="00E21378">
        <w:trPr>
          <w:cantSplit/>
          <w:trHeight w:val="181"/>
        </w:trPr>
        <w:tc>
          <w:tcPr>
            <w:tcW w:w="810" w:type="pct"/>
          </w:tcPr>
          <w:p w14:paraId="038A1813" w14:textId="77777777" w:rsidR="00735188" w:rsidRDefault="00735188" w:rsidP="001A5D4A">
            <w:pPr>
              <w:pStyle w:val="Note-Refs"/>
            </w:pPr>
          </w:p>
        </w:tc>
        <w:tc>
          <w:tcPr>
            <w:tcW w:w="2297" w:type="pct"/>
            <w:shd w:val="clear" w:color="auto" w:fill="CCCCCC"/>
            <w:vAlign w:val="bottom"/>
          </w:tcPr>
          <w:p w14:paraId="038A1814" w14:textId="77777777" w:rsidR="00735188" w:rsidRDefault="00735188" w:rsidP="001A5D4A">
            <w:pPr>
              <w:pStyle w:val="NotesTable-ItemPlain"/>
              <w:rPr>
                <w:b/>
              </w:rPr>
            </w:pPr>
            <w:r>
              <w:t>Total employee related expenses</w:t>
            </w:r>
          </w:p>
        </w:tc>
        <w:tc>
          <w:tcPr>
            <w:tcW w:w="270" w:type="pct"/>
            <w:shd w:val="clear" w:color="auto" w:fill="CCCCCC"/>
          </w:tcPr>
          <w:p w14:paraId="038A1815" w14:textId="77777777" w:rsidR="00735188" w:rsidRDefault="00735188" w:rsidP="001A5D4A">
            <w:pPr>
              <w:pStyle w:val="NotesTable-Notes"/>
            </w:pPr>
          </w:p>
        </w:tc>
        <w:tc>
          <w:tcPr>
            <w:tcW w:w="406" w:type="pct"/>
            <w:tcBorders>
              <w:top w:val="single" w:sz="4" w:space="0" w:color="auto"/>
            </w:tcBorders>
            <w:shd w:val="clear" w:color="auto" w:fill="CCCCCC"/>
          </w:tcPr>
          <w:p w14:paraId="038A1816" w14:textId="77777777" w:rsidR="00735188" w:rsidRDefault="00735188" w:rsidP="001A5D4A">
            <w:pPr>
              <w:pStyle w:val="NotesTable-CellBold"/>
            </w:pPr>
            <w:r>
              <w:t>–</w:t>
            </w:r>
          </w:p>
        </w:tc>
        <w:tc>
          <w:tcPr>
            <w:tcW w:w="406" w:type="pct"/>
            <w:tcBorders>
              <w:top w:val="single" w:sz="4" w:space="0" w:color="auto"/>
            </w:tcBorders>
            <w:shd w:val="clear" w:color="auto" w:fill="CCCCCC"/>
          </w:tcPr>
          <w:p w14:paraId="038A1817" w14:textId="77777777" w:rsidR="00735188" w:rsidRDefault="00735188" w:rsidP="001A5D4A">
            <w:pPr>
              <w:pStyle w:val="NotesTable-CellPlain"/>
            </w:pPr>
            <w:r>
              <w:t>–</w:t>
            </w:r>
          </w:p>
        </w:tc>
        <w:tc>
          <w:tcPr>
            <w:tcW w:w="406" w:type="pct"/>
            <w:tcBorders>
              <w:top w:val="single" w:sz="4" w:space="0" w:color="auto"/>
            </w:tcBorders>
            <w:shd w:val="clear" w:color="auto" w:fill="CCCCCC"/>
          </w:tcPr>
          <w:p w14:paraId="038A1818" w14:textId="77777777" w:rsidR="00735188" w:rsidRDefault="00735188" w:rsidP="001A5D4A">
            <w:pPr>
              <w:pStyle w:val="NotesTable-CellBold"/>
            </w:pPr>
            <w:r>
              <w:t>–</w:t>
            </w:r>
          </w:p>
        </w:tc>
        <w:tc>
          <w:tcPr>
            <w:tcW w:w="406" w:type="pct"/>
            <w:tcBorders>
              <w:top w:val="single" w:sz="4" w:space="0" w:color="auto"/>
            </w:tcBorders>
            <w:shd w:val="clear" w:color="auto" w:fill="CCCCCC"/>
          </w:tcPr>
          <w:p w14:paraId="038A1819" w14:textId="77777777" w:rsidR="00735188" w:rsidRDefault="00735188" w:rsidP="001A5D4A">
            <w:pPr>
              <w:pStyle w:val="NotesTable-CellPlain"/>
            </w:pPr>
            <w:r>
              <w:t>–</w:t>
            </w:r>
          </w:p>
        </w:tc>
      </w:tr>
      <w:tr w:rsidR="00735188" w14:paraId="038A1822" w14:textId="77777777" w:rsidTr="00E21378">
        <w:trPr>
          <w:cantSplit/>
          <w:trHeight w:val="181"/>
        </w:trPr>
        <w:tc>
          <w:tcPr>
            <w:tcW w:w="810" w:type="pct"/>
          </w:tcPr>
          <w:p w14:paraId="038A181B" w14:textId="77777777" w:rsidR="00735188" w:rsidRDefault="00735188" w:rsidP="001A5D4A">
            <w:pPr>
              <w:pStyle w:val="Note-Refs"/>
            </w:pPr>
          </w:p>
        </w:tc>
        <w:tc>
          <w:tcPr>
            <w:tcW w:w="2297" w:type="pct"/>
            <w:shd w:val="clear" w:color="auto" w:fill="CCCCCC"/>
            <w:vAlign w:val="bottom"/>
          </w:tcPr>
          <w:p w14:paraId="038A181C" w14:textId="77777777" w:rsidR="00735188" w:rsidRDefault="00735188" w:rsidP="001A5D4A">
            <w:pPr>
              <w:pStyle w:val="NotesTable-ItemPlain"/>
            </w:pPr>
          </w:p>
        </w:tc>
        <w:tc>
          <w:tcPr>
            <w:tcW w:w="270" w:type="pct"/>
            <w:shd w:val="clear" w:color="auto" w:fill="CCCCCC"/>
          </w:tcPr>
          <w:p w14:paraId="038A181D" w14:textId="77777777" w:rsidR="00735188" w:rsidRDefault="00735188" w:rsidP="001A5D4A">
            <w:pPr>
              <w:pStyle w:val="NotesTable-Notes"/>
            </w:pPr>
          </w:p>
        </w:tc>
        <w:tc>
          <w:tcPr>
            <w:tcW w:w="406" w:type="pct"/>
            <w:shd w:val="clear" w:color="auto" w:fill="CCCCCC"/>
          </w:tcPr>
          <w:p w14:paraId="038A181E" w14:textId="77777777" w:rsidR="00735188" w:rsidRDefault="00735188" w:rsidP="001A5D4A">
            <w:pPr>
              <w:pStyle w:val="NotesTable-CellBold"/>
            </w:pPr>
          </w:p>
        </w:tc>
        <w:tc>
          <w:tcPr>
            <w:tcW w:w="406" w:type="pct"/>
            <w:shd w:val="clear" w:color="auto" w:fill="CCCCCC"/>
          </w:tcPr>
          <w:p w14:paraId="038A181F" w14:textId="77777777" w:rsidR="00735188" w:rsidRDefault="00735188" w:rsidP="001A5D4A">
            <w:pPr>
              <w:pStyle w:val="NotesTable-CellPlain"/>
            </w:pPr>
          </w:p>
        </w:tc>
        <w:tc>
          <w:tcPr>
            <w:tcW w:w="406" w:type="pct"/>
            <w:shd w:val="clear" w:color="auto" w:fill="CCCCCC"/>
          </w:tcPr>
          <w:p w14:paraId="038A1820" w14:textId="77777777" w:rsidR="00735188" w:rsidRDefault="00735188" w:rsidP="001A5D4A">
            <w:pPr>
              <w:pStyle w:val="NotesTable-CellBold"/>
            </w:pPr>
          </w:p>
        </w:tc>
        <w:tc>
          <w:tcPr>
            <w:tcW w:w="406" w:type="pct"/>
            <w:shd w:val="clear" w:color="auto" w:fill="CCCCCC"/>
          </w:tcPr>
          <w:p w14:paraId="038A1821" w14:textId="77777777" w:rsidR="00735188" w:rsidRDefault="00735188" w:rsidP="001A5D4A">
            <w:pPr>
              <w:pStyle w:val="NotesTable-CellPlain"/>
            </w:pPr>
          </w:p>
        </w:tc>
      </w:tr>
      <w:tr w:rsidR="00735188" w14:paraId="038A182A" w14:textId="77777777" w:rsidTr="00E21378">
        <w:trPr>
          <w:cantSplit/>
          <w:trHeight w:val="181"/>
        </w:trPr>
        <w:tc>
          <w:tcPr>
            <w:tcW w:w="810" w:type="pct"/>
          </w:tcPr>
          <w:p w14:paraId="038A1823" w14:textId="77777777" w:rsidR="00735188" w:rsidRDefault="00735188" w:rsidP="001A5D4A">
            <w:pPr>
              <w:pStyle w:val="Note-Refs"/>
            </w:pPr>
          </w:p>
        </w:tc>
        <w:tc>
          <w:tcPr>
            <w:tcW w:w="2297" w:type="pct"/>
            <w:shd w:val="clear" w:color="auto" w:fill="CCCCCC"/>
            <w:vAlign w:val="bottom"/>
          </w:tcPr>
          <w:p w14:paraId="038A1824" w14:textId="77777777" w:rsidR="00735188" w:rsidRDefault="00735188" w:rsidP="001A5D4A">
            <w:pPr>
              <w:pStyle w:val="NotesTable-ItemPlain"/>
              <w:rPr>
                <w:b/>
              </w:rPr>
            </w:pPr>
            <w:r>
              <w:t>Deferred superannuation expense</w:t>
            </w:r>
          </w:p>
        </w:tc>
        <w:tc>
          <w:tcPr>
            <w:tcW w:w="270" w:type="pct"/>
            <w:shd w:val="clear" w:color="auto" w:fill="CCCCCC"/>
          </w:tcPr>
          <w:p w14:paraId="038A1825" w14:textId="4FCA7FC3" w:rsidR="00735188" w:rsidRDefault="00735188" w:rsidP="001A5D4A">
            <w:pPr>
              <w:pStyle w:val="NotesTable-Notes"/>
              <w:rPr>
                <w:b/>
              </w:rPr>
            </w:pPr>
            <w:r>
              <w:t>5</w:t>
            </w:r>
            <w:r w:rsidR="00F70929">
              <w:t>2</w:t>
            </w:r>
          </w:p>
        </w:tc>
        <w:tc>
          <w:tcPr>
            <w:tcW w:w="406" w:type="pct"/>
            <w:tcBorders>
              <w:bottom w:val="single" w:sz="4" w:space="0" w:color="000000"/>
            </w:tcBorders>
            <w:shd w:val="clear" w:color="auto" w:fill="CCCCCC"/>
          </w:tcPr>
          <w:p w14:paraId="038A1826" w14:textId="77777777" w:rsidR="00735188" w:rsidRDefault="00735188" w:rsidP="001A5D4A">
            <w:pPr>
              <w:pStyle w:val="NotesTable-CellBold"/>
            </w:pPr>
            <w:r>
              <w:t>–</w:t>
            </w:r>
          </w:p>
        </w:tc>
        <w:tc>
          <w:tcPr>
            <w:tcW w:w="406" w:type="pct"/>
            <w:tcBorders>
              <w:bottom w:val="single" w:sz="4" w:space="0" w:color="000000"/>
            </w:tcBorders>
            <w:shd w:val="clear" w:color="auto" w:fill="CCCCCC"/>
          </w:tcPr>
          <w:p w14:paraId="038A1827" w14:textId="77777777" w:rsidR="00735188" w:rsidRDefault="00735188" w:rsidP="001A5D4A">
            <w:pPr>
              <w:pStyle w:val="NotesTable-CellPlain"/>
            </w:pPr>
            <w:r>
              <w:t>–</w:t>
            </w:r>
          </w:p>
        </w:tc>
        <w:tc>
          <w:tcPr>
            <w:tcW w:w="406" w:type="pct"/>
            <w:tcBorders>
              <w:bottom w:val="single" w:sz="4" w:space="0" w:color="000000"/>
            </w:tcBorders>
            <w:shd w:val="clear" w:color="auto" w:fill="CCCCCC"/>
          </w:tcPr>
          <w:p w14:paraId="038A1828" w14:textId="77777777" w:rsidR="00735188" w:rsidRDefault="00735188" w:rsidP="001A5D4A">
            <w:pPr>
              <w:pStyle w:val="NotesTable-CellBold"/>
            </w:pPr>
            <w:r>
              <w:t>–</w:t>
            </w:r>
          </w:p>
        </w:tc>
        <w:tc>
          <w:tcPr>
            <w:tcW w:w="406" w:type="pct"/>
            <w:tcBorders>
              <w:bottom w:val="single" w:sz="4" w:space="0" w:color="000000"/>
            </w:tcBorders>
            <w:shd w:val="clear" w:color="auto" w:fill="CCCCCC"/>
          </w:tcPr>
          <w:p w14:paraId="038A1829" w14:textId="77777777" w:rsidR="00735188" w:rsidRDefault="00735188" w:rsidP="001A5D4A">
            <w:pPr>
              <w:pStyle w:val="NotesTable-CellPlain"/>
            </w:pPr>
            <w:r>
              <w:t>–</w:t>
            </w:r>
          </w:p>
        </w:tc>
      </w:tr>
      <w:tr w:rsidR="00735188" w14:paraId="038A1832" w14:textId="77777777" w:rsidTr="00E21378">
        <w:trPr>
          <w:cantSplit/>
          <w:trHeight w:val="181"/>
        </w:trPr>
        <w:tc>
          <w:tcPr>
            <w:tcW w:w="810" w:type="pct"/>
          </w:tcPr>
          <w:p w14:paraId="038A182B" w14:textId="77777777" w:rsidR="00735188" w:rsidRDefault="00735188" w:rsidP="001A5D4A">
            <w:pPr>
              <w:pStyle w:val="Note-Refs"/>
            </w:pPr>
          </w:p>
        </w:tc>
        <w:tc>
          <w:tcPr>
            <w:tcW w:w="2297" w:type="pct"/>
            <w:shd w:val="clear" w:color="auto" w:fill="CCCCCC"/>
            <w:vAlign w:val="bottom"/>
          </w:tcPr>
          <w:p w14:paraId="038A182C" w14:textId="77777777" w:rsidR="00735188" w:rsidRDefault="00735188" w:rsidP="001A5D4A">
            <w:pPr>
              <w:pStyle w:val="NotesTable-ItemPlain"/>
              <w:rPr>
                <w:b/>
              </w:rPr>
            </w:pPr>
            <w:r>
              <w:t>Total employee related expenses, including deferred government employee benefits for superannuation</w:t>
            </w:r>
          </w:p>
        </w:tc>
        <w:tc>
          <w:tcPr>
            <w:tcW w:w="270" w:type="pct"/>
            <w:shd w:val="clear" w:color="auto" w:fill="CCCCCC"/>
          </w:tcPr>
          <w:p w14:paraId="038A182D" w14:textId="77777777" w:rsidR="00735188" w:rsidRDefault="00735188" w:rsidP="001A5D4A">
            <w:pPr>
              <w:pStyle w:val="NotesTable-Notes"/>
            </w:pPr>
          </w:p>
        </w:tc>
        <w:tc>
          <w:tcPr>
            <w:tcW w:w="406" w:type="pct"/>
            <w:shd w:val="clear" w:color="auto" w:fill="CCCCCC"/>
          </w:tcPr>
          <w:p w14:paraId="038A182E" w14:textId="77777777" w:rsidR="00735188" w:rsidRDefault="00735188" w:rsidP="001A5D4A">
            <w:pPr>
              <w:pStyle w:val="NotesTable-CellBold"/>
            </w:pPr>
            <w:r>
              <w:t>–</w:t>
            </w:r>
          </w:p>
        </w:tc>
        <w:tc>
          <w:tcPr>
            <w:tcW w:w="406" w:type="pct"/>
            <w:shd w:val="clear" w:color="auto" w:fill="CCCCCC"/>
          </w:tcPr>
          <w:p w14:paraId="038A182F" w14:textId="77777777" w:rsidR="00735188" w:rsidRDefault="00735188" w:rsidP="001A5D4A">
            <w:pPr>
              <w:pStyle w:val="NotesTable-CellPlain"/>
            </w:pPr>
            <w:r>
              <w:t>–</w:t>
            </w:r>
          </w:p>
        </w:tc>
        <w:tc>
          <w:tcPr>
            <w:tcW w:w="406" w:type="pct"/>
            <w:shd w:val="clear" w:color="auto" w:fill="CCCCCC"/>
          </w:tcPr>
          <w:p w14:paraId="038A1830" w14:textId="77777777" w:rsidR="00735188" w:rsidRDefault="00735188" w:rsidP="001A5D4A">
            <w:pPr>
              <w:pStyle w:val="NotesTable-CellBold"/>
            </w:pPr>
            <w:r>
              <w:t>–</w:t>
            </w:r>
          </w:p>
        </w:tc>
        <w:tc>
          <w:tcPr>
            <w:tcW w:w="406" w:type="pct"/>
            <w:shd w:val="clear" w:color="auto" w:fill="CCCCCC"/>
          </w:tcPr>
          <w:p w14:paraId="038A1831" w14:textId="77777777" w:rsidR="00735188" w:rsidRDefault="00735188" w:rsidP="001A5D4A">
            <w:pPr>
              <w:pStyle w:val="NotesTable-CellPlain"/>
            </w:pPr>
            <w:r>
              <w:t>–</w:t>
            </w:r>
          </w:p>
        </w:tc>
      </w:tr>
    </w:tbl>
    <w:p w14:paraId="05D1C6D9" w14:textId="77777777" w:rsidR="0047767A" w:rsidRPr="006B68EB" w:rsidRDefault="0047767A" w:rsidP="001A5D4A">
      <w:r w:rsidRPr="006B68EB">
        <w:br w:type="page"/>
      </w:r>
    </w:p>
    <w:p w14:paraId="4EA8CC50" w14:textId="77777777" w:rsidR="0047767A" w:rsidRPr="00CA56AE" w:rsidRDefault="0047767A" w:rsidP="001A5D4A">
      <w:pPr>
        <w:pStyle w:val="Heading3"/>
        <w:rPr>
          <w:color w:val="2D3E7B" w:themeColor="text2" w:themeShade="BF"/>
        </w:rPr>
      </w:pPr>
      <w:bookmarkStart w:id="279" w:name="_Toc410807614"/>
      <w:bookmarkStart w:id="280" w:name="_Toc410822672"/>
      <w:r w:rsidRPr="00CA56AE">
        <w:rPr>
          <w:color w:val="2D3E7B" w:themeColor="text2" w:themeShade="BF"/>
        </w:rPr>
        <w:lastRenderedPageBreak/>
        <w:t>Commentary – Employee related expenses</w:t>
      </w:r>
      <w:bookmarkEnd w:id="279"/>
      <w:bookmarkEnd w:id="280"/>
    </w:p>
    <w:p w14:paraId="5A5F85E4" w14:textId="00B2135F" w:rsidR="0047767A" w:rsidRPr="00CA56AE" w:rsidRDefault="0047767A" w:rsidP="00E422A6">
      <w:pPr>
        <w:pStyle w:val="Heading6"/>
      </w:pPr>
      <w:r w:rsidRPr="0000701C">
        <w:t>Education</w:t>
      </w:r>
    </w:p>
    <w:p w14:paraId="5287129C" w14:textId="77777777" w:rsidR="0047767A" w:rsidRPr="0000701C" w:rsidRDefault="0047767A" w:rsidP="0000701C">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Required format</w:t>
      </w:r>
    </w:p>
    <w:p w14:paraId="4B0E7DD2" w14:textId="77777777" w:rsidR="0047767A" w:rsidRPr="0000701C" w:rsidRDefault="0047767A" w:rsidP="001A5D4A">
      <w:pPr>
        <w:rPr>
          <w:color w:val="2D3E7B" w:themeColor="text2" w:themeShade="BF"/>
        </w:rPr>
      </w:pPr>
      <w:r w:rsidRPr="0000701C">
        <w:rPr>
          <w:color w:val="2D3E7B" w:themeColor="text2" w:themeShade="BF"/>
        </w:rPr>
        <w:t>To maintain reporting consistency across the sector, the Department of Education requires Employee Benefits to be reported in the format provided.</w:t>
      </w:r>
    </w:p>
    <w:p w14:paraId="6DE22A73" w14:textId="77777777" w:rsidR="0047767A" w:rsidRPr="0000701C" w:rsidRDefault="0047767A" w:rsidP="0000701C">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Definition</w:t>
      </w:r>
    </w:p>
    <w:p w14:paraId="0614E87D" w14:textId="77777777" w:rsidR="0047767A" w:rsidRPr="0000701C" w:rsidRDefault="0047767A" w:rsidP="001A5D4A">
      <w:pPr>
        <w:rPr>
          <w:color w:val="2D3E7B" w:themeColor="text2" w:themeShade="BF"/>
        </w:rPr>
      </w:pPr>
      <w:r w:rsidRPr="0000701C">
        <w:rPr>
          <w:color w:val="2D3E7B" w:themeColor="text2" w:themeShade="BF"/>
        </w:rPr>
        <w:t>Please see note 1(w) for a definition of deferred government benefits superannuation.</w:t>
      </w:r>
    </w:p>
    <w:p w14:paraId="4EB82DAA" w14:textId="77777777" w:rsidR="0047767A" w:rsidRPr="0000701C" w:rsidDel="00A6714D" w:rsidRDefault="0047767A" w:rsidP="0000701C">
      <w:pPr>
        <w:pStyle w:val="Heading4"/>
        <w:rPr>
          <w:color w:val="2D3E7B" w:themeColor="text2" w:themeShade="BF"/>
          <w14:textFill>
            <w14:solidFill>
              <w14:schemeClr w14:val="tx2">
                <w14:lumMod w14:val="75000"/>
                <w14:lumMod w14:val="75000"/>
              </w14:schemeClr>
            </w14:solidFill>
          </w14:textFill>
        </w:rPr>
      </w:pPr>
      <w:r w:rsidRPr="0000701C">
        <w:rPr>
          <w:color w:val="2D3E7B" w:themeColor="text2" w:themeShade="BF"/>
          <w14:textFill>
            <w14:solidFill>
              <w14:schemeClr w14:val="tx2">
                <w14:lumMod w14:val="75000"/>
                <w14:lumMod w14:val="75000"/>
              </w14:schemeClr>
            </w14:solidFill>
          </w14:textFill>
        </w:rPr>
        <w:t>Deferred government employee benefits for superannuation</w:t>
      </w:r>
    </w:p>
    <w:p w14:paraId="05EB1318" w14:textId="77777777" w:rsidR="0047767A" w:rsidRPr="00CA56AE" w:rsidDel="00A6714D" w:rsidRDefault="0047767A" w:rsidP="001A5D4A">
      <w:pPr>
        <w:rPr>
          <w:color w:val="2D3E7B" w:themeColor="text2" w:themeShade="BF"/>
        </w:rPr>
      </w:pPr>
      <w:r w:rsidRPr="00CA56AE">
        <w:rPr>
          <w:color w:val="2D3E7B" w:themeColor="text2" w:themeShade="BF"/>
        </w:rPr>
        <w:t>Deferred government employee benefits for superannuation do not have to be apportioned between academic and non-academic. Note that this line item should refer to the net expense as disclosed in note 52. For institutions whose defined benefit plans are fully covered by the Australian Government Higher Education Superannuation Program (HESP), this amount should be nil. The HESP is a cash only program and should not be included in income or expenses.</w:t>
      </w:r>
    </w:p>
    <w:p w14:paraId="471DC2FA" w14:textId="7F0A3C67" w:rsidR="00E21378" w:rsidRPr="00E21378" w:rsidRDefault="00E21378" w:rsidP="0000701C">
      <w:pPr>
        <w:pStyle w:val="Heading2"/>
      </w:pPr>
      <w:bookmarkStart w:id="281" w:name="_Toc410822673"/>
      <w:proofErr w:type="gramStart"/>
      <w:r w:rsidRPr="00E21378">
        <w:t>Note 11.</w:t>
      </w:r>
      <w:proofErr w:type="gramEnd"/>
      <w:r>
        <w:t xml:space="preserve"> </w:t>
      </w:r>
      <w:r w:rsidRPr="00E21378">
        <w:t>Depreciation and amortisation</w:t>
      </w:r>
      <w:bookmarkEnd w:id="281"/>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BF5CB8" w14:paraId="038A186B" w14:textId="77777777" w:rsidTr="00E21378">
        <w:trPr>
          <w:cantSplit/>
          <w:trHeight w:val="181"/>
        </w:trPr>
        <w:tc>
          <w:tcPr>
            <w:tcW w:w="810" w:type="pct"/>
          </w:tcPr>
          <w:p w14:paraId="038A1867" w14:textId="696867BC" w:rsidR="00BF5CB8" w:rsidRDefault="00BF5CB8" w:rsidP="001A5D4A">
            <w:pPr>
              <w:pStyle w:val="Note-Refs"/>
            </w:pPr>
          </w:p>
        </w:tc>
        <w:tc>
          <w:tcPr>
            <w:tcW w:w="2567" w:type="pct"/>
          </w:tcPr>
          <w:p w14:paraId="038A1868" w14:textId="77777777" w:rsidR="00BF5CB8" w:rsidRDefault="00BF5CB8" w:rsidP="001A5D4A">
            <w:pPr>
              <w:pStyle w:val="NotesTable-ItemPlain"/>
            </w:pPr>
          </w:p>
        </w:tc>
        <w:tc>
          <w:tcPr>
            <w:tcW w:w="811" w:type="pct"/>
            <w:gridSpan w:val="2"/>
          </w:tcPr>
          <w:p w14:paraId="038A1869" w14:textId="77777777" w:rsidR="00BF5CB8" w:rsidRDefault="00BF5CB8" w:rsidP="001A5D4A">
            <w:pPr>
              <w:pStyle w:val="NotesTable-HeadPlain"/>
              <w:rPr>
                <w:b/>
              </w:rPr>
            </w:pPr>
            <w:r>
              <w:t>Consolidated</w:t>
            </w:r>
          </w:p>
        </w:tc>
        <w:tc>
          <w:tcPr>
            <w:tcW w:w="811" w:type="pct"/>
            <w:gridSpan w:val="2"/>
          </w:tcPr>
          <w:p w14:paraId="038A186A" w14:textId="77777777" w:rsidR="00BF5CB8" w:rsidRDefault="00BF5CB8" w:rsidP="001A5D4A">
            <w:pPr>
              <w:pStyle w:val="NotesTable-HeadPlain"/>
            </w:pPr>
            <w:r>
              <w:t>Parent entity</w:t>
            </w:r>
          </w:p>
        </w:tc>
      </w:tr>
      <w:tr w:rsidR="00BF5CB8" w14:paraId="038A1872" w14:textId="77777777" w:rsidTr="00E21378">
        <w:trPr>
          <w:cantSplit/>
          <w:trHeight w:val="181"/>
        </w:trPr>
        <w:tc>
          <w:tcPr>
            <w:tcW w:w="810" w:type="pct"/>
          </w:tcPr>
          <w:p w14:paraId="038A186C" w14:textId="77777777" w:rsidR="00BF5CB8" w:rsidRDefault="00BF5CB8" w:rsidP="001A5D4A">
            <w:pPr>
              <w:pStyle w:val="Note-Refs"/>
            </w:pPr>
          </w:p>
        </w:tc>
        <w:tc>
          <w:tcPr>
            <w:tcW w:w="2567" w:type="pct"/>
          </w:tcPr>
          <w:p w14:paraId="038A186D" w14:textId="77777777" w:rsidR="00BF5CB8" w:rsidRDefault="00BF5CB8" w:rsidP="001A5D4A">
            <w:pPr>
              <w:pStyle w:val="NotesTable-ItemPlain"/>
            </w:pPr>
          </w:p>
        </w:tc>
        <w:tc>
          <w:tcPr>
            <w:tcW w:w="406" w:type="pct"/>
          </w:tcPr>
          <w:p w14:paraId="038A186E" w14:textId="35C0B7EB" w:rsidR="00BF5CB8" w:rsidRDefault="006864EC" w:rsidP="001A5D4A">
            <w:pPr>
              <w:pStyle w:val="NotesTable-HeadBold"/>
            </w:pPr>
            <w:r>
              <w:t>2014</w:t>
            </w:r>
          </w:p>
        </w:tc>
        <w:tc>
          <w:tcPr>
            <w:tcW w:w="406" w:type="pct"/>
          </w:tcPr>
          <w:p w14:paraId="038A186F" w14:textId="3D5C9055" w:rsidR="00BF5CB8" w:rsidRDefault="006864EC" w:rsidP="001A5D4A">
            <w:pPr>
              <w:pStyle w:val="NotesTable-HeadPlain"/>
            </w:pPr>
            <w:r>
              <w:t>2013</w:t>
            </w:r>
          </w:p>
        </w:tc>
        <w:tc>
          <w:tcPr>
            <w:tcW w:w="406" w:type="pct"/>
          </w:tcPr>
          <w:p w14:paraId="038A1870" w14:textId="2319DE2E" w:rsidR="00BF5CB8" w:rsidRDefault="006864EC" w:rsidP="001A5D4A">
            <w:pPr>
              <w:pStyle w:val="NotesTable-HeadBold"/>
            </w:pPr>
            <w:r>
              <w:t>2014</w:t>
            </w:r>
          </w:p>
        </w:tc>
        <w:tc>
          <w:tcPr>
            <w:tcW w:w="406" w:type="pct"/>
          </w:tcPr>
          <w:p w14:paraId="038A1871" w14:textId="326D4143" w:rsidR="00BF5CB8" w:rsidRDefault="006864EC" w:rsidP="001A5D4A">
            <w:pPr>
              <w:pStyle w:val="NotesTable-HeadPlain"/>
            </w:pPr>
            <w:r>
              <w:t>2013</w:t>
            </w:r>
          </w:p>
        </w:tc>
      </w:tr>
      <w:tr w:rsidR="00BF5CB8" w14:paraId="038A1879" w14:textId="77777777" w:rsidTr="00E21378">
        <w:trPr>
          <w:cantSplit/>
          <w:trHeight w:val="181"/>
        </w:trPr>
        <w:tc>
          <w:tcPr>
            <w:tcW w:w="810" w:type="pct"/>
          </w:tcPr>
          <w:p w14:paraId="038A1873" w14:textId="77777777" w:rsidR="00BF5CB8" w:rsidRDefault="00BF5CB8" w:rsidP="001A5D4A">
            <w:pPr>
              <w:pStyle w:val="Note-Refs"/>
            </w:pPr>
          </w:p>
        </w:tc>
        <w:tc>
          <w:tcPr>
            <w:tcW w:w="2567" w:type="pct"/>
          </w:tcPr>
          <w:p w14:paraId="038A1874" w14:textId="77777777" w:rsidR="00BF5CB8" w:rsidRDefault="00BF5CB8" w:rsidP="001A5D4A">
            <w:pPr>
              <w:pStyle w:val="NotesTable-ItemPlain"/>
            </w:pPr>
          </w:p>
        </w:tc>
        <w:tc>
          <w:tcPr>
            <w:tcW w:w="406" w:type="pct"/>
          </w:tcPr>
          <w:p w14:paraId="038A1875" w14:textId="77777777" w:rsidR="00BF5CB8" w:rsidRDefault="00BF5CB8" w:rsidP="001A5D4A">
            <w:pPr>
              <w:pStyle w:val="NotesTable-HeadBold"/>
            </w:pPr>
            <w:r>
              <w:t>$’000</w:t>
            </w:r>
          </w:p>
        </w:tc>
        <w:tc>
          <w:tcPr>
            <w:tcW w:w="406" w:type="pct"/>
          </w:tcPr>
          <w:p w14:paraId="038A1876" w14:textId="77777777" w:rsidR="00BF5CB8" w:rsidRDefault="00BF5CB8" w:rsidP="001A5D4A">
            <w:pPr>
              <w:pStyle w:val="NotesTable-HeadPlain"/>
            </w:pPr>
            <w:r>
              <w:t>$’000</w:t>
            </w:r>
          </w:p>
        </w:tc>
        <w:tc>
          <w:tcPr>
            <w:tcW w:w="406" w:type="pct"/>
          </w:tcPr>
          <w:p w14:paraId="038A1877" w14:textId="77777777" w:rsidR="00BF5CB8" w:rsidRDefault="00BF5CB8" w:rsidP="001A5D4A">
            <w:pPr>
              <w:pStyle w:val="NotesTable-HeadBold"/>
            </w:pPr>
            <w:r>
              <w:t>$’000</w:t>
            </w:r>
          </w:p>
        </w:tc>
        <w:tc>
          <w:tcPr>
            <w:tcW w:w="406" w:type="pct"/>
          </w:tcPr>
          <w:p w14:paraId="038A1878" w14:textId="77777777" w:rsidR="00BF5CB8" w:rsidRDefault="00BF5CB8" w:rsidP="001A5D4A">
            <w:pPr>
              <w:pStyle w:val="NotesTable-HeadPlain"/>
            </w:pPr>
            <w:r>
              <w:t>$’000</w:t>
            </w:r>
          </w:p>
        </w:tc>
      </w:tr>
      <w:tr w:rsidR="00AE2053" w14:paraId="038A187C" w14:textId="77777777" w:rsidTr="00E21378">
        <w:trPr>
          <w:cantSplit/>
          <w:trHeight w:val="181"/>
        </w:trPr>
        <w:tc>
          <w:tcPr>
            <w:tcW w:w="810" w:type="pct"/>
          </w:tcPr>
          <w:p w14:paraId="038A187A" w14:textId="65607807" w:rsidR="00AE2053" w:rsidRDefault="00E034F5" w:rsidP="001A5D4A">
            <w:pPr>
              <w:pStyle w:val="Note-Refs"/>
            </w:pPr>
            <w:r>
              <w:t>AASB116.43,48</w:t>
            </w:r>
          </w:p>
        </w:tc>
        <w:tc>
          <w:tcPr>
            <w:tcW w:w="4190" w:type="pct"/>
            <w:gridSpan w:val="5"/>
            <w:vAlign w:val="bottom"/>
          </w:tcPr>
          <w:p w14:paraId="038A187B" w14:textId="77777777" w:rsidR="00AE2053" w:rsidRDefault="00AE2053" w:rsidP="001A5D4A">
            <w:pPr>
              <w:pStyle w:val="Note-TextHeader"/>
              <w:rPr>
                <w:lang w:val="en-GB"/>
              </w:rPr>
            </w:pPr>
            <w:r>
              <w:t>Depreciation</w:t>
            </w:r>
          </w:p>
        </w:tc>
      </w:tr>
      <w:tr w:rsidR="00BF5CB8" w14:paraId="038A1883" w14:textId="77777777" w:rsidTr="00E21378">
        <w:trPr>
          <w:cantSplit/>
          <w:trHeight w:val="181"/>
        </w:trPr>
        <w:tc>
          <w:tcPr>
            <w:tcW w:w="810" w:type="pct"/>
          </w:tcPr>
          <w:p w14:paraId="038A187D" w14:textId="77777777" w:rsidR="00BF5CB8" w:rsidRDefault="00BF5CB8" w:rsidP="001A5D4A">
            <w:pPr>
              <w:pStyle w:val="Note-Refs"/>
            </w:pPr>
          </w:p>
        </w:tc>
        <w:tc>
          <w:tcPr>
            <w:tcW w:w="2567" w:type="pct"/>
            <w:vAlign w:val="bottom"/>
          </w:tcPr>
          <w:p w14:paraId="038A187E" w14:textId="77777777" w:rsidR="00BF5CB8" w:rsidRDefault="00BF5CB8" w:rsidP="001A5D4A">
            <w:pPr>
              <w:pStyle w:val="NotesTable-ItemPlain"/>
              <w:rPr>
                <w:b/>
              </w:rPr>
            </w:pPr>
            <w:r>
              <w:t>Buildings</w:t>
            </w:r>
          </w:p>
        </w:tc>
        <w:tc>
          <w:tcPr>
            <w:tcW w:w="406" w:type="pct"/>
          </w:tcPr>
          <w:p w14:paraId="038A187F" w14:textId="77777777" w:rsidR="00BF5CB8" w:rsidRDefault="00BF5CB8" w:rsidP="001A5D4A">
            <w:pPr>
              <w:pStyle w:val="NotesTable-CellBold"/>
            </w:pPr>
            <w:r>
              <w:t>–</w:t>
            </w:r>
          </w:p>
        </w:tc>
        <w:tc>
          <w:tcPr>
            <w:tcW w:w="406" w:type="pct"/>
          </w:tcPr>
          <w:p w14:paraId="038A1880" w14:textId="77777777" w:rsidR="00BF5CB8" w:rsidRDefault="00BF5CB8" w:rsidP="001A5D4A">
            <w:pPr>
              <w:pStyle w:val="NotesTable-CellPlain"/>
            </w:pPr>
            <w:r>
              <w:t>–</w:t>
            </w:r>
          </w:p>
        </w:tc>
        <w:tc>
          <w:tcPr>
            <w:tcW w:w="406" w:type="pct"/>
          </w:tcPr>
          <w:p w14:paraId="038A1881" w14:textId="77777777" w:rsidR="00BF5CB8" w:rsidRDefault="00BF5CB8" w:rsidP="001A5D4A">
            <w:pPr>
              <w:pStyle w:val="NotesTable-CellBold"/>
            </w:pPr>
            <w:r>
              <w:t>–</w:t>
            </w:r>
          </w:p>
        </w:tc>
        <w:tc>
          <w:tcPr>
            <w:tcW w:w="406" w:type="pct"/>
          </w:tcPr>
          <w:p w14:paraId="038A1882" w14:textId="77777777" w:rsidR="00BF5CB8" w:rsidRDefault="00BF5CB8" w:rsidP="001A5D4A">
            <w:pPr>
              <w:pStyle w:val="NotesTable-CellPlain"/>
            </w:pPr>
            <w:r>
              <w:t>–</w:t>
            </w:r>
          </w:p>
        </w:tc>
      </w:tr>
      <w:tr w:rsidR="00872027" w14:paraId="038A188A" w14:textId="77777777" w:rsidTr="00E21378">
        <w:trPr>
          <w:cantSplit/>
          <w:trHeight w:val="181"/>
        </w:trPr>
        <w:tc>
          <w:tcPr>
            <w:tcW w:w="810" w:type="pct"/>
          </w:tcPr>
          <w:p w14:paraId="038A1884" w14:textId="77777777" w:rsidR="00872027" w:rsidRDefault="00872027" w:rsidP="001A5D4A">
            <w:pPr>
              <w:pStyle w:val="Note-Refs"/>
            </w:pPr>
          </w:p>
        </w:tc>
        <w:tc>
          <w:tcPr>
            <w:tcW w:w="2567" w:type="pct"/>
            <w:vAlign w:val="bottom"/>
          </w:tcPr>
          <w:p w14:paraId="038A1885" w14:textId="77777777" w:rsidR="00872027" w:rsidRDefault="00872027" w:rsidP="001A5D4A">
            <w:pPr>
              <w:pStyle w:val="NotesTable-ItemPlain"/>
            </w:pPr>
            <w:r>
              <w:t>Infrastructure</w:t>
            </w:r>
          </w:p>
        </w:tc>
        <w:tc>
          <w:tcPr>
            <w:tcW w:w="406" w:type="pct"/>
          </w:tcPr>
          <w:p w14:paraId="038A1886" w14:textId="77777777" w:rsidR="00872027" w:rsidRDefault="00872027" w:rsidP="001A5D4A">
            <w:pPr>
              <w:pStyle w:val="NotesTable-CellBold"/>
            </w:pPr>
            <w:r>
              <w:t>–</w:t>
            </w:r>
          </w:p>
        </w:tc>
        <w:tc>
          <w:tcPr>
            <w:tcW w:w="406" w:type="pct"/>
          </w:tcPr>
          <w:p w14:paraId="038A1887" w14:textId="77777777" w:rsidR="00872027" w:rsidRDefault="00872027" w:rsidP="001A5D4A">
            <w:pPr>
              <w:pStyle w:val="NotesTable-CellPlain"/>
            </w:pPr>
            <w:r>
              <w:t>–</w:t>
            </w:r>
          </w:p>
        </w:tc>
        <w:tc>
          <w:tcPr>
            <w:tcW w:w="406" w:type="pct"/>
          </w:tcPr>
          <w:p w14:paraId="038A1888" w14:textId="77777777" w:rsidR="00872027" w:rsidRDefault="00872027" w:rsidP="001A5D4A">
            <w:pPr>
              <w:pStyle w:val="NotesTable-CellBold"/>
            </w:pPr>
            <w:r>
              <w:t>–</w:t>
            </w:r>
          </w:p>
        </w:tc>
        <w:tc>
          <w:tcPr>
            <w:tcW w:w="406" w:type="pct"/>
          </w:tcPr>
          <w:p w14:paraId="038A1889" w14:textId="77777777" w:rsidR="00872027" w:rsidRDefault="00872027" w:rsidP="001A5D4A">
            <w:pPr>
              <w:pStyle w:val="NotesTable-CellPlain"/>
            </w:pPr>
            <w:r>
              <w:t>–</w:t>
            </w:r>
          </w:p>
        </w:tc>
      </w:tr>
      <w:tr w:rsidR="00BF5CB8" w14:paraId="038A1891" w14:textId="77777777" w:rsidTr="00E21378">
        <w:trPr>
          <w:cantSplit/>
          <w:trHeight w:val="181"/>
        </w:trPr>
        <w:tc>
          <w:tcPr>
            <w:tcW w:w="810" w:type="pct"/>
          </w:tcPr>
          <w:p w14:paraId="038A188B" w14:textId="77777777" w:rsidR="00BF5CB8" w:rsidRDefault="00BF5CB8" w:rsidP="001A5D4A">
            <w:pPr>
              <w:pStyle w:val="Note-Refs"/>
            </w:pPr>
          </w:p>
        </w:tc>
        <w:tc>
          <w:tcPr>
            <w:tcW w:w="2567" w:type="pct"/>
            <w:vAlign w:val="bottom"/>
          </w:tcPr>
          <w:p w14:paraId="038A188C" w14:textId="77777777" w:rsidR="00BF5CB8" w:rsidRDefault="00BF5CB8" w:rsidP="001A5D4A">
            <w:pPr>
              <w:pStyle w:val="NotesTable-ItemPlain"/>
              <w:rPr>
                <w:b/>
              </w:rPr>
            </w:pPr>
            <w:r>
              <w:t>Plant and equipment</w:t>
            </w:r>
          </w:p>
        </w:tc>
        <w:tc>
          <w:tcPr>
            <w:tcW w:w="406" w:type="pct"/>
          </w:tcPr>
          <w:p w14:paraId="038A188D" w14:textId="77777777" w:rsidR="00BF5CB8" w:rsidRDefault="00BF5CB8" w:rsidP="001A5D4A">
            <w:pPr>
              <w:pStyle w:val="NotesTable-CellBold"/>
            </w:pPr>
            <w:r>
              <w:t>–</w:t>
            </w:r>
          </w:p>
        </w:tc>
        <w:tc>
          <w:tcPr>
            <w:tcW w:w="406" w:type="pct"/>
          </w:tcPr>
          <w:p w14:paraId="038A188E" w14:textId="77777777" w:rsidR="00BF5CB8" w:rsidRDefault="00BF5CB8" w:rsidP="001A5D4A">
            <w:pPr>
              <w:pStyle w:val="NotesTable-CellPlain"/>
            </w:pPr>
            <w:r>
              <w:t>–</w:t>
            </w:r>
          </w:p>
        </w:tc>
        <w:tc>
          <w:tcPr>
            <w:tcW w:w="406" w:type="pct"/>
          </w:tcPr>
          <w:p w14:paraId="038A188F" w14:textId="77777777" w:rsidR="00BF5CB8" w:rsidRDefault="00BF5CB8" w:rsidP="001A5D4A">
            <w:pPr>
              <w:pStyle w:val="NotesTable-CellBold"/>
            </w:pPr>
            <w:r>
              <w:t>–</w:t>
            </w:r>
          </w:p>
        </w:tc>
        <w:tc>
          <w:tcPr>
            <w:tcW w:w="406" w:type="pct"/>
          </w:tcPr>
          <w:p w14:paraId="038A1890" w14:textId="77777777" w:rsidR="00BF5CB8" w:rsidRDefault="00BF5CB8" w:rsidP="001A5D4A">
            <w:pPr>
              <w:pStyle w:val="NotesTable-CellPlain"/>
            </w:pPr>
            <w:r>
              <w:t>–</w:t>
            </w:r>
          </w:p>
        </w:tc>
      </w:tr>
      <w:tr w:rsidR="00872027" w14:paraId="038A1898" w14:textId="77777777" w:rsidTr="00E21378">
        <w:trPr>
          <w:cantSplit/>
          <w:trHeight w:val="181"/>
        </w:trPr>
        <w:tc>
          <w:tcPr>
            <w:tcW w:w="810" w:type="pct"/>
          </w:tcPr>
          <w:p w14:paraId="038A1892" w14:textId="77777777" w:rsidR="00872027" w:rsidRDefault="00872027" w:rsidP="001A5D4A">
            <w:pPr>
              <w:pStyle w:val="Note-Refs"/>
            </w:pPr>
          </w:p>
        </w:tc>
        <w:tc>
          <w:tcPr>
            <w:tcW w:w="2567" w:type="pct"/>
            <w:vAlign w:val="bottom"/>
          </w:tcPr>
          <w:p w14:paraId="038A1893" w14:textId="77777777" w:rsidR="00872027" w:rsidRDefault="00872027" w:rsidP="001A5D4A">
            <w:pPr>
              <w:pStyle w:val="NotesTable-ItemPlain"/>
            </w:pPr>
            <w:r>
              <w:t>Leasehold improvements</w:t>
            </w:r>
          </w:p>
        </w:tc>
        <w:tc>
          <w:tcPr>
            <w:tcW w:w="406" w:type="pct"/>
          </w:tcPr>
          <w:p w14:paraId="038A1894" w14:textId="77777777" w:rsidR="00872027" w:rsidRDefault="00872027" w:rsidP="001A5D4A">
            <w:pPr>
              <w:pStyle w:val="NotesTable-CellBold"/>
            </w:pPr>
            <w:r>
              <w:t>–</w:t>
            </w:r>
          </w:p>
        </w:tc>
        <w:tc>
          <w:tcPr>
            <w:tcW w:w="406" w:type="pct"/>
          </w:tcPr>
          <w:p w14:paraId="038A1895" w14:textId="77777777" w:rsidR="00872027" w:rsidRDefault="00872027" w:rsidP="001A5D4A">
            <w:pPr>
              <w:pStyle w:val="NotesTable-CellPlain"/>
            </w:pPr>
            <w:r>
              <w:t>–</w:t>
            </w:r>
          </w:p>
        </w:tc>
        <w:tc>
          <w:tcPr>
            <w:tcW w:w="406" w:type="pct"/>
          </w:tcPr>
          <w:p w14:paraId="038A1896" w14:textId="77777777" w:rsidR="00872027" w:rsidRDefault="00872027" w:rsidP="001A5D4A">
            <w:pPr>
              <w:pStyle w:val="NotesTable-CellBold"/>
            </w:pPr>
            <w:r>
              <w:t>–</w:t>
            </w:r>
          </w:p>
        </w:tc>
        <w:tc>
          <w:tcPr>
            <w:tcW w:w="406" w:type="pct"/>
          </w:tcPr>
          <w:p w14:paraId="038A1897" w14:textId="77777777" w:rsidR="00872027" w:rsidRDefault="00872027" w:rsidP="001A5D4A">
            <w:pPr>
              <w:pStyle w:val="NotesTable-CellPlain"/>
            </w:pPr>
            <w:r>
              <w:t>–</w:t>
            </w:r>
          </w:p>
        </w:tc>
      </w:tr>
      <w:tr w:rsidR="00872027" w14:paraId="038A189F" w14:textId="77777777" w:rsidTr="00E21378">
        <w:trPr>
          <w:cantSplit/>
          <w:trHeight w:val="181"/>
        </w:trPr>
        <w:tc>
          <w:tcPr>
            <w:tcW w:w="810" w:type="pct"/>
          </w:tcPr>
          <w:p w14:paraId="038A1899" w14:textId="77777777" w:rsidR="00872027" w:rsidRDefault="00872027" w:rsidP="001A5D4A">
            <w:pPr>
              <w:pStyle w:val="Note-Refs"/>
            </w:pPr>
          </w:p>
        </w:tc>
        <w:tc>
          <w:tcPr>
            <w:tcW w:w="2567" w:type="pct"/>
            <w:vAlign w:val="bottom"/>
          </w:tcPr>
          <w:p w14:paraId="038A189A" w14:textId="77777777" w:rsidR="00872027" w:rsidRDefault="00872027" w:rsidP="001A5D4A">
            <w:pPr>
              <w:pStyle w:val="NotesTable-ItemPlain"/>
            </w:pPr>
            <w:r>
              <w:t>Leased plant and equipment</w:t>
            </w:r>
          </w:p>
        </w:tc>
        <w:tc>
          <w:tcPr>
            <w:tcW w:w="406" w:type="pct"/>
          </w:tcPr>
          <w:p w14:paraId="038A189B" w14:textId="77777777" w:rsidR="00872027" w:rsidRDefault="00872027" w:rsidP="001A5D4A">
            <w:pPr>
              <w:pStyle w:val="NotesTable-CellBold"/>
            </w:pPr>
            <w:r>
              <w:t>–</w:t>
            </w:r>
          </w:p>
        </w:tc>
        <w:tc>
          <w:tcPr>
            <w:tcW w:w="406" w:type="pct"/>
          </w:tcPr>
          <w:p w14:paraId="038A189C" w14:textId="77777777" w:rsidR="00872027" w:rsidRDefault="00872027" w:rsidP="001A5D4A">
            <w:pPr>
              <w:pStyle w:val="NotesTable-CellPlain"/>
            </w:pPr>
            <w:r>
              <w:t>–</w:t>
            </w:r>
          </w:p>
        </w:tc>
        <w:tc>
          <w:tcPr>
            <w:tcW w:w="406" w:type="pct"/>
          </w:tcPr>
          <w:p w14:paraId="038A189D" w14:textId="77777777" w:rsidR="00872027" w:rsidRDefault="00872027" w:rsidP="001A5D4A">
            <w:pPr>
              <w:pStyle w:val="NotesTable-CellBold"/>
            </w:pPr>
            <w:r>
              <w:t>–</w:t>
            </w:r>
          </w:p>
        </w:tc>
        <w:tc>
          <w:tcPr>
            <w:tcW w:w="406" w:type="pct"/>
          </w:tcPr>
          <w:p w14:paraId="038A189E" w14:textId="77777777" w:rsidR="00872027" w:rsidRDefault="00872027" w:rsidP="001A5D4A">
            <w:pPr>
              <w:pStyle w:val="NotesTable-CellPlain"/>
            </w:pPr>
            <w:r>
              <w:t>–</w:t>
            </w:r>
          </w:p>
        </w:tc>
      </w:tr>
      <w:tr w:rsidR="00872027" w14:paraId="038A18A6" w14:textId="77777777" w:rsidTr="00E21378">
        <w:trPr>
          <w:cantSplit/>
          <w:trHeight w:val="181"/>
        </w:trPr>
        <w:tc>
          <w:tcPr>
            <w:tcW w:w="810" w:type="pct"/>
          </w:tcPr>
          <w:p w14:paraId="038A18A0" w14:textId="77777777" w:rsidR="00872027" w:rsidRDefault="00872027" w:rsidP="001A5D4A">
            <w:pPr>
              <w:pStyle w:val="Note-Refs"/>
            </w:pPr>
          </w:p>
        </w:tc>
        <w:tc>
          <w:tcPr>
            <w:tcW w:w="2567" w:type="pct"/>
            <w:vAlign w:val="bottom"/>
          </w:tcPr>
          <w:p w14:paraId="038A18A1" w14:textId="77777777" w:rsidR="00872027" w:rsidRDefault="00872027" w:rsidP="001A5D4A">
            <w:pPr>
              <w:pStyle w:val="NotesTable-ItemPlain"/>
            </w:pPr>
            <w:r>
              <w:t>Library</w:t>
            </w:r>
          </w:p>
        </w:tc>
        <w:tc>
          <w:tcPr>
            <w:tcW w:w="406" w:type="pct"/>
          </w:tcPr>
          <w:p w14:paraId="038A18A2" w14:textId="77777777" w:rsidR="00872027" w:rsidRDefault="00872027" w:rsidP="001A5D4A">
            <w:pPr>
              <w:pStyle w:val="NotesTable-CellBold"/>
            </w:pPr>
            <w:r>
              <w:t>–</w:t>
            </w:r>
          </w:p>
        </w:tc>
        <w:tc>
          <w:tcPr>
            <w:tcW w:w="406" w:type="pct"/>
          </w:tcPr>
          <w:p w14:paraId="038A18A3" w14:textId="77777777" w:rsidR="00872027" w:rsidRDefault="00872027" w:rsidP="001A5D4A">
            <w:pPr>
              <w:pStyle w:val="NotesTable-CellPlain"/>
            </w:pPr>
            <w:r>
              <w:t>–</w:t>
            </w:r>
          </w:p>
        </w:tc>
        <w:tc>
          <w:tcPr>
            <w:tcW w:w="406" w:type="pct"/>
          </w:tcPr>
          <w:p w14:paraId="038A18A4" w14:textId="77777777" w:rsidR="00872027" w:rsidRDefault="00872027" w:rsidP="001A5D4A">
            <w:pPr>
              <w:pStyle w:val="NotesTable-CellBold"/>
            </w:pPr>
            <w:r>
              <w:t>–</w:t>
            </w:r>
          </w:p>
        </w:tc>
        <w:tc>
          <w:tcPr>
            <w:tcW w:w="406" w:type="pct"/>
          </w:tcPr>
          <w:p w14:paraId="038A18A5" w14:textId="77777777" w:rsidR="00872027" w:rsidRDefault="00872027" w:rsidP="001A5D4A">
            <w:pPr>
              <w:pStyle w:val="NotesTable-CellPlain"/>
            </w:pPr>
            <w:r>
              <w:t>–</w:t>
            </w:r>
          </w:p>
        </w:tc>
      </w:tr>
      <w:tr w:rsidR="00BF5CB8" w14:paraId="038A18AD" w14:textId="77777777" w:rsidTr="00E21378">
        <w:trPr>
          <w:cantSplit/>
          <w:trHeight w:val="181"/>
        </w:trPr>
        <w:tc>
          <w:tcPr>
            <w:tcW w:w="810" w:type="pct"/>
          </w:tcPr>
          <w:p w14:paraId="038A18A7" w14:textId="77777777" w:rsidR="00BF5CB8" w:rsidRDefault="00BF5CB8" w:rsidP="001A5D4A">
            <w:pPr>
              <w:pStyle w:val="Note-Refs"/>
            </w:pPr>
          </w:p>
        </w:tc>
        <w:tc>
          <w:tcPr>
            <w:tcW w:w="2567" w:type="pct"/>
            <w:vAlign w:val="bottom"/>
          </w:tcPr>
          <w:p w14:paraId="038A18A8" w14:textId="77777777" w:rsidR="00BF5CB8" w:rsidRDefault="00BF5CB8" w:rsidP="001A5D4A">
            <w:pPr>
              <w:pStyle w:val="NotesTable-ItemPlain"/>
              <w:rPr>
                <w:b/>
              </w:rPr>
            </w:pPr>
            <w:r>
              <w:t>[Specify]</w:t>
            </w:r>
          </w:p>
        </w:tc>
        <w:tc>
          <w:tcPr>
            <w:tcW w:w="406" w:type="pct"/>
            <w:tcBorders>
              <w:bottom w:val="single" w:sz="4" w:space="0" w:color="auto"/>
            </w:tcBorders>
          </w:tcPr>
          <w:p w14:paraId="038A18A9" w14:textId="77777777" w:rsidR="00BF5CB8" w:rsidRDefault="00BF5CB8" w:rsidP="001A5D4A">
            <w:pPr>
              <w:pStyle w:val="NotesTable-CellBold"/>
            </w:pPr>
            <w:r>
              <w:t>–</w:t>
            </w:r>
          </w:p>
        </w:tc>
        <w:tc>
          <w:tcPr>
            <w:tcW w:w="406" w:type="pct"/>
            <w:tcBorders>
              <w:bottom w:val="single" w:sz="4" w:space="0" w:color="auto"/>
            </w:tcBorders>
          </w:tcPr>
          <w:p w14:paraId="038A18AA" w14:textId="77777777" w:rsidR="00BF5CB8" w:rsidRDefault="00BF5CB8" w:rsidP="001A5D4A">
            <w:pPr>
              <w:pStyle w:val="NotesTable-CellPlain"/>
            </w:pPr>
            <w:r>
              <w:t>–</w:t>
            </w:r>
          </w:p>
        </w:tc>
        <w:tc>
          <w:tcPr>
            <w:tcW w:w="406" w:type="pct"/>
            <w:tcBorders>
              <w:bottom w:val="single" w:sz="4" w:space="0" w:color="auto"/>
            </w:tcBorders>
          </w:tcPr>
          <w:p w14:paraId="038A18AB" w14:textId="77777777" w:rsidR="00BF5CB8" w:rsidRDefault="00BF5CB8" w:rsidP="001A5D4A">
            <w:pPr>
              <w:pStyle w:val="NotesTable-CellBold"/>
            </w:pPr>
            <w:r>
              <w:t>–</w:t>
            </w:r>
          </w:p>
        </w:tc>
        <w:tc>
          <w:tcPr>
            <w:tcW w:w="406" w:type="pct"/>
            <w:tcBorders>
              <w:bottom w:val="single" w:sz="4" w:space="0" w:color="auto"/>
            </w:tcBorders>
          </w:tcPr>
          <w:p w14:paraId="038A18AC" w14:textId="77777777" w:rsidR="00BF5CB8" w:rsidRDefault="00BF5CB8" w:rsidP="001A5D4A">
            <w:pPr>
              <w:pStyle w:val="NotesTable-CellPlain"/>
            </w:pPr>
            <w:r>
              <w:t>–</w:t>
            </w:r>
          </w:p>
        </w:tc>
      </w:tr>
      <w:tr w:rsidR="00BF5CB8" w14:paraId="038A18B4" w14:textId="77777777" w:rsidTr="00E21378">
        <w:trPr>
          <w:cantSplit/>
          <w:trHeight w:val="181"/>
        </w:trPr>
        <w:tc>
          <w:tcPr>
            <w:tcW w:w="810" w:type="pct"/>
          </w:tcPr>
          <w:p w14:paraId="038A18AE" w14:textId="77777777" w:rsidR="00BF5CB8" w:rsidRDefault="00BF5CB8" w:rsidP="001A5D4A">
            <w:pPr>
              <w:pStyle w:val="Note-Refs"/>
            </w:pPr>
          </w:p>
        </w:tc>
        <w:tc>
          <w:tcPr>
            <w:tcW w:w="2567" w:type="pct"/>
            <w:vAlign w:val="bottom"/>
          </w:tcPr>
          <w:p w14:paraId="038A18AF" w14:textId="77777777" w:rsidR="00BF5CB8" w:rsidRDefault="00BF5CB8" w:rsidP="001A5D4A">
            <w:pPr>
              <w:pStyle w:val="NotesTable-ItemPlain"/>
              <w:rPr>
                <w:b/>
              </w:rPr>
            </w:pPr>
            <w:r>
              <w:t>Total depreciation</w:t>
            </w:r>
          </w:p>
        </w:tc>
        <w:tc>
          <w:tcPr>
            <w:tcW w:w="406" w:type="pct"/>
            <w:tcBorders>
              <w:top w:val="single" w:sz="4" w:space="0" w:color="auto"/>
            </w:tcBorders>
          </w:tcPr>
          <w:p w14:paraId="038A18B0" w14:textId="77777777" w:rsidR="00BF5CB8" w:rsidRDefault="00BF5CB8" w:rsidP="001A5D4A">
            <w:pPr>
              <w:pStyle w:val="NotesTable-CellBold"/>
            </w:pPr>
            <w:r>
              <w:t>–</w:t>
            </w:r>
          </w:p>
        </w:tc>
        <w:tc>
          <w:tcPr>
            <w:tcW w:w="406" w:type="pct"/>
            <w:tcBorders>
              <w:top w:val="single" w:sz="4" w:space="0" w:color="auto"/>
            </w:tcBorders>
          </w:tcPr>
          <w:p w14:paraId="038A18B1" w14:textId="77777777" w:rsidR="00BF5CB8" w:rsidRDefault="00BF5CB8" w:rsidP="001A5D4A">
            <w:pPr>
              <w:pStyle w:val="NotesTable-CellPlain"/>
            </w:pPr>
            <w:r>
              <w:t>–</w:t>
            </w:r>
          </w:p>
        </w:tc>
        <w:tc>
          <w:tcPr>
            <w:tcW w:w="406" w:type="pct"/>
            <w:tcBorders>
              <w:top w:val="single" w:sz="4" w:space="0" w:color="auto"/>
            </w:tcBorders>
          </w:tcPr>
          <w:p w14:paraId="038A18B2" w14:textId="77777777" w:rsidR="00BF5CB8" w:rsidRDefault="00BF5CB8" w:rsidP="001A5D4A">
            <w:pPr>
              <w:pStyle w:val="NotesTable-CellBold"/>
            </w:pPr>
            <w:r>
              <w:t>–</w:t>
            </w:r>
          </w:p>
        </w:tc>
        <w:tc>
          <w:tcPr>
            <w:tcW w:w="406" w:type="pct"/>
            <w:tcBorders>
              <w:top w:val="single" w:sz="4" w:space="0" w:color="auto"/>
            </w:tcBorders>
          </w:tcPr>
          <w:p w14:paraId="038A18B3" w14:textId="77777777" w:rsidR="00BF5CB8" w:rsidRDefault="00BF5CB8" w:rsidP="001A5D4A">
            <w:pPr>
              <w:pStyle w:val="NotesTable-CellPlain"/>
            </w:pPr>
            <w:r>
              <w:t>–</w:t>
            </w:r>
          </w:p>
        </w:tc>
      </w:tr>
      <w:tr w:rsidR="00AE2053" w14:paraId="038A18B7" w14:textId="77777777" w:rsidTr="00E21378">
        <w:trPr>
          <w:cantSplit/>
          <w:trHeight w:val="181"/>
        </w:trPr>
        <w:tc>
          <w:tcPr>
            <w:tcW w:w="810" w:type="pct"/>
          </w:tcPr>
          <w:p w14:paraId="038A18B5" w14:textId="77777777" w:rsidR="00AE2053" w:rsidRDefault="00AE2053" w:rsidP="001A5D4A">
            <w:pPr>
              <w:pStyle w:val="Note-Refs"/>
            </w:pPr>
          </w:p>
        </w:tc>
        <w:tc>
          <w:tcPr>
            <w:tcW w:w="4190" w:type="pct"/>
            <w:gridSpan w:val="5"/>
            <w:vAlign w:val="bottom"/>
          </w:tcPr>
          <w:p w14:paraId="038A18B6" w14:textId="77777777" w:rsidR="00AE2053" w:rsidRDefault="00AE2053" w:rsidP="001A5D4A">
            <w:pPr>
              <w:pStyle w:val="Note-Text"/>
            </w:pPr>
          </w:p>
        </w:tc>
      </w:tr>
      <w:tr w:rsidR="00AE2053" w14:paraId="038A18BA" w14:textId="77777777" w:rsidTr="00E21378">
        <w:trPr>
          <w:cantSplit/>
          <w:trHeight w:val="181"/>
        </w:trPr>
        <w:tc>
          <w:tcPr>
            <w:tcW w:w="810" w:type="pct"/>
          </w:tcPr>
          <w:p w14:paraId="038A18B8" w14:textId="5B7F464B" w:rsidR="00AE2053" w:rsidRDefault="00E034F5" w:rsidP="001A5D4A">
            <w:pPr>
              <w:pStyle w:val="Note-Refs"/>
            </w:pPr>
            <w:r>
              <w:t>AASB138.118</w:t>
            </w:r>
          </w:p>
        </w:tc>
        <w:tc>
          <w:tcPr>
            <w:tcW w:w="4190" w:type="pct"/>
            <w:gridSpan w:val="5"/>
            <w:vAlign w:val="bottom"/>
          </w:tcPr>
          <w:p w14:paraId="038A18B9" w14:textId="77777777" w:rsidR="00AE2053" w:rsidRDefault="00AE2053" w:rsidP="001A5D4A">
            <w:pPr>
              <w:pStyle w:val="Note-TextHeader"/>
              <w:rPr>
                <w:lang w:val="en-GB"/>
              </w:rPr>
            </w:pPr>
            <w:r>
              <w:t>Amortisation</w:t>
            </w:r>
          </w:p>
        </w:tc>
      </w:tr>
      <w:tr w:rsidR="00BF5CB8" w14:paraId="038A18C1" w14:textId="77777777" w:rsidTr="00E21378">
        <w:trPr>
          <w:cantSplit/>
          <w:trHeight w:val="181"/>
        </w:trPr>
        <w:tc>
          <w:tcPr>
            <w:tcW w:w="810" w:type="pct"/>
          </w:tcPr>
          <w:p w14:paraId="038A18BB" w14:textId="77777777" w:rsidR="00BF5CB8" w:rsidRDefault="00BF5CB8" w:rsidP="001A5D4A">
            <w:pPr>
              <w:pStyle w:val="Note-Refs"/>
            </w:pPr>
          </w:p>
        </w:tc>
        <w:tc>
          <w:tcPr>
            <w:tcW w:w="2567" w:type="pct"/>
            <w:vAlign w:val="bottom"/>
          </w:tcPr>
          <w:p w14:paraId="038A18BC" w14:textId="77777777" w:rsidR="00BF5CB8" w:rsidRDefault="00BF5CB8" w:rsidP="001A5D4A">
            <w:pPr>
              <w:pStyle w:val="NotesTable-ItemPlain"/>
              <w:rPr>
                <w:b/>
              </w:rPr>
            </w:pPr>
            <w:r>
              <w:t>[Specify]</w:t>
            </w:r>
          </w:p>
        </w:tc>
        <w:tc>
          <w:tcPr>
            <w:tcW w:w="406" w:type="pct"/>
            <w:tcBorders>
              <w:bottom w:val="single" w:sz="4" w:space="0" w:color="auto"/>
            </w:tcBorders>
          </w:tcPr>
          <w:p w14:paraId="038A18BD" w14:textId="77777777" w:rsidR="00BF5CB8" w:rsidRDefault="00BF5CB8" w:rsidP="001A5D4A">
            <w:pPr>
              <w:pStyle w:val="NotesTable-CellBold"/>
            </w:pPr>
            <w:r>
              <w:t>–</w:t>
            </w:r>
          </w:p>
        </w:tc>
        <w:tc>
          <w:tcPr>
            <w:tcW w:w="406" w:type="pct"/>
            <w:tcBorders>
              <w:bottom w:val="single" w:sz="4" w:space="0" w:color="auto"/>
            </w:tcBorders>
          </w:tcPr>
          <w:p w14:paraId="038A18BE" w14:textId="77777777" w:rsidR="00BF5CB8" w:rsidRDefault="00BF5CB8" w:rsidP="001A5D4A">
            <w:pPr>
              <w:pStyle w:val="NotesTable-CellPlain"/>
            </w:pPr>
            <w:r>
              <w:t>–</w:t>
            </w:r>
          </w:p>
        </w:tc>
        <w:tc>
          <w:tcPr>
            <w:tcW w:w="406" w:type="pct"/>
            <w:tcBorders>
              <w:bottom w:val="single" w:sz="4" w:space="0" w:color="auto"/>
            </w:tcBorders>
          </w:tcPr>
          <w:p w14:paraId="038A18BF" w14:textId="77777777" w:rsidR="00BF5CB8" w:rsidRDefault="00BF5CB8" w:rsidP="001A5D4A">
            <w:pPr>
              <w:pStyle w:val="NotesTable-CellBold"/>
            </w:pPr>
            <w:r>
              <w:t>–</w:t>
            </w:r>
          </w:p>
        </w:tc>
        <w:tc>
          <w:tcPr>
            <w:tcW w:w="406" w:type="pct"/>
            <w:tcBorders>
              <w:bottom w:val="single" w:sz="4" w:space="0" w:color="auto"/>
            </w:tcBorders>
          </w:tcPr>
          <w:p w14:paraId="038A18C0" w14:textId="77777777" w:rsidR="00BF5CB8" w:rsidRDefault="00BF5CB8" w:rsidP="001A5D4A">
            <w:pPr>
              <w:pStyle w:val="NotesTable-CellPlain"/>
            </w:pPr>
            <w:r>
              <w:t>–</w:t>
            </w:r>
          </w:p>
        </w:tc>
      </w:tr>
      <w:tr w:rsidR="00BF5CB8" w14:paraId="038A18C8" w14:textId="77777777" w:rsidTr="00E21378">
        <w:trPr>
          <w:cantSplit/>
          <w:trHeight w:val="181"/>
        </w:trPr>
        <w:tc>
          <w:tcPr>
            <w:tcW w:w="810" w:type="pct"/>
          </w:tcPr>
          <w:p w14:paraId="038A18C2" w14:textId="77777777" w:rsidR="00BF5CB8" w:rsidRDefault="00BF5CB8" w:rsidP="001A5D4A">
            <w:pPr>
              <w:pStyle w:val="Note-Refs"/>
            </w:pPr>
          </w:p>
        </w:tc>
        <w:tc>
          <w:tcPr>
            <w:tcW w:w="2567" w:type="pct"/>
            <w:vAlign w:val="bottom"/>
          </w:tcPr>
          <w:p w14:paraId="038A18C3" w14:textId="77777777" w:rsidR="00BF5CB8" w:rsidRDefault="00BF5CB8" w:rsidP="001A5D4A">
            <w:pPr>
              <w:pStyle w:val="NotesTable-ItemPlain"/>
              <w:rPr>
                <w:b/>
              </w:rPr>
            </w:pPr>
            <w:r>
              <w:t>Total amortisation</w:t>
            </w:r>
          </w:p>
        </w:tc>
        <w:tc>
          <w:tcPr>
            <w:tcW w:w="406" w:type="pct"/>
            <w:tcBorders>
              <w:top w:val="single" w:sz="4" w:space="0" w:color="auto"/>
              <w:bottom w:val="single" w:sz="4" w:space="0" w:color="auto"/>
            </w:tcBorders>
          </w:tcPr>
          <w:p w14:paraId="038A18C4" w14:textId="77777777" w:rsidR="00BF5CB8" w:rsidRDefault="00BF5CB8" w:rsidP="001A5D4A">
            <w:pPr>
              <w:pStyle w:val="NotesTable-CellBold"/>
            </w:pPr>
            <w:r>
              <w:t>–</w:t>
            </w:r>
          </w:p>
        </w:tc>
        <w:tc>
          <w:tcPr>
            <w:tcW w:w="406" w:type="pct"/>
            <w:tcBorders>
              <w:top w:val="single" w:sz="4" w:space="0" w:color="auto"/>
              <w:bottom w:val="single" w:sz="4" w:space="0" w:color="auto"/>
            </w:tcBorders>
          </w:tcPr>
          <w:p w14:paraId="038A18C5" w14:textId="77777777" w:rsidR="00BF5CB8" w:rsidRDefault="00BF5CB8" w:rsidP="001A5D4A">
            <w:pPr>
              <w:pStyle w:val="NotesTable-CellPlain"/>
            </w:pPr>
            <w:r>
              <w:t>–</w:t>
            </w:r>
          </w:p>
        </w:tc>
        <w:tc>
          <w:tcPr>
            <w:tcW w:w="406" w:type="pct"/>
            <w:tcBorders>
              <w:top w:val="single" w:sz="4" w:space="0" w:color="auto"/>
              <w:bottom w:val="single" w:sz="4" w:space="0" w:color="auto"/>
            </w:tcBorders>
          </w:tcPr>
          <w:p w14:paraId="038A18C6" w14:textId="77777777" w:rsidR="00BF5CB8" w:rsidRDefault="00BF5CB8" w:rsidP="001A5D4A">
            <w:pPr>
              <w:pStyle w:val="NotesTable-CellBold"/>
            </w:pPr>
            <w:r>
              <w:t>–</w:t>
            </w:r>
          </w:p>
        </w:tc>
        <w:tc>
          <w:tcPr>
            <w:tcW w:w="406" w:type="pct"/>
            <w:tcBorders>
              <w:top w:val="single" w:sz="4" w:space="0" w:color="auto"/>
              <w:bottom w:val="single" w:sz="4" w:space="0" w:color="auto"/>
            </w:tcBorders>
          </w:tcPr>
          <w:p w14:paraId="038A18C7" w14:textId="77777777" w:rsidR="00BF5CB8" w:rsidRDefault="00BF5CB8" w:rsidP="001A5D4A">
            <w:pPr>
              <w:pStyle w:val="NotesTable-CellPlain"/>
            </w:pPr>
            <w:r>
              <w:t>–</w:t>
            </w:r>
          </w:p>
        </w:tc>
      </w:tr>
      <w:tr w:rsidR="00BF5CB8" w14:paraId="038A18CF" w14:textId="77777777" w:rsidTr="00E21378">
        <w:trPr>
          <w:cantSplit/>
          <w:trHeight w:val="181"/>
        </w:trPr>
        <w:tc>
          <w:tcPr>
            <w:tcW w:w="810" w:type="pct"/>
          </w:tcPr>
          <w:p w14:paraId="038A18C9" w14:textId="77777777" w:rsidR="00BF5CB8" w:rsidRDefault="00BF5CB8" w:rsidP="001A5D4A">
            <w:pPr>
              <w:pStyle w:val="Note-Refs"/>
            </w:pPr>
          </w:p>
        </w:tc>
        <w:tc>
          <w:tcPr>
            <w:tcW w:w="2567" w:type="pct"/>
            <w:vAlign w:val="bottom"/>
          </w:tcPr>
          <w:p w14:paraId="038A18CA" w14:textId="77777777" w:rsidR="00BF5CB8" w:rsidRDefault="00BF5CB8" w:rsidP="001A5D4A">
            <w:pPr>
              <w:pStyle w:val="NotesTable-ItemPlain"/>
              <w:rPr>
                <w:b/>
              </w:rPr>
            </w:pPr>
            <w:r>
              <w:t>Total depreciation and amortisation</w:t>
            </w:r>
          </w:p>
        </w:tc>
        <w:tc>
          <w:tcPr>
            <w:tcW w:w="406" w:type="pct"/>
            <w:tcBorders>
              <w:top w:val="single" w:sz="4" w:space="0" w:color="auto"/>
            </w:tcBorders>
          </w:tcPr>
          <w:p w14:paraId="038A18CB" w14:textId="77777777" w:rsidR="00BF5CB8" w:rsidRDefault="00BF5CB8" w:rsidP="001A5D4A">
            <w:pPr>
              <w:pStyle w:val="NotesTable-CellBold"/>
            </w:pPr>
            <w:r>
              <w:t>–</w:t>
            </w:r>
          </w:p>
        </w:tc>
        <w:tc>
          <w:tcPr>
            <w:tcW w:w="406" w:type="pct"/>
            <w:tcBorders>
              <w:top w:val="single" w:sz="4" w:space="0" w:color="auto"/>
            </w:tcBorders>
          </w:tcPr>
          <w:p w14:paraId="038A18CC" w14:textId="77777777" w:rsidR="00BF5CB8" w:rsidRDefault="00BF5CB8" w:rsidP="001A5D4A">
            <w:pPr>
              <w:pStyle w:val="NotesTable-CellPlain"/>
            </w:pPr>
            <w:r>
              <w:t>–</w:t>
            </w:r>
          </w:p>
        </w:tc>
        <w:tc>
          <w:tcPr>
            <w:tcW w:w="406" w:type="pct"/>
            <w:tcBorders>
              <w:top w:val="single" w:sz="4" w:space="0" w:color="auto"/>
            </w:tcBorders>
          </w:tcPr>
          <w:p w14:paraId="038A18CD" w14:textId="77777777" w:rsidR="00BF5CB8" w:rsidRDefault="00BF5CB8" w:rsidP="001A5D4A">
            <w:pPr>
              <w:pStyle w:val="NotesTable-CellBold"/>
            </w:pPr>
            <w:r>
              <w:t>–</w:t>
            </w:r>
          </w:p>
        </w:tc>
        <w:tc>
          <w:tcPr>
            <w:tcW w:w="406" w:type="pct"/>
            <w:tcBorders>
              <w:top w:val="single" w:sz="4" w:space="0" w:color="auto"/>
            </w:tcBorders>
          </w:tcPr>
          <w:p w14:paraId="038A18CE" w14:textId="77777777" w:rsidR="00BF5CB8" w:rsidRDefault="00BF5CB8" w:rsidP="001A5D4A">
            <w:pPr>
              <w:pStyle w:val="NotesTable-CellPlain"/>
            </w:pPr>
            <w:r>
              <w:t>–</w:t>
            </w:r>
          </w:p>
        </w:tc>
      </w:tr>
    </w:tbl>
    <w:p w14:paraId="038A18D0" w14:textId="77777777" w:rsidR="005A1557" w:rsidRPr="006B68EB" w:rsidRDefault="005A1557" w:rsidP="001A5D4A"/>
    <w:p w14:paraId="00DBB677" w14:textId="76BDD7B9" w:rsidR="00E21378" w:rsidRDefault="00E21378" w:rsidP="0000701C">
      <w:pPr>
        <w:pStyle w:val="Heading2"/>
      </w:pPr>
      <w:bookmarkStart w:id="282" w:name="_Toc410822674"/>
      <w:proofErr w:type="gramStart"/>
      <w:r w:rsidRPr="00E21378">
        <w:t>Note 12.</w:t>
      </w:r>
      <w:proofErr w:type="gramEnd"/>
      <w:r>
        <w:t xml:space="preserve"> </w:t>
      </w:r>
      <w:r w:rsidRPr="00E21378">
        <w:t>Repairs and maintenance</w:t>
      </w:r>
      <w:bookmarkEnd w:id="282"/>
    </w:p>
    <w:p w14:paraId="4F465BFA" w14:textId="77777777" w:rsidR="00E21378" w:rsidRPr="00E21378" w:rsidRDefault="00E21378" w:rsidP="001A5D4A">
      <w:r w:rsidRPr="00E21378">
        <w:t>Education</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BF5CB8" w14:paraId="038A18D8" w14:textId="77777777" w:rsidTr="00E21378">
        <w:trPr>
          <w:cantSplit/>
          <w:trHeight w:val="181"/>
        </w:trPr>
        <w:tc>
          <w:tcPr>
            <w:tcW w:w="810" w:type="pct"/>
          </w:tcPr>
          <w:p w14:paraId="038A18D4" w14:textId="77777777" w:rsidR="00BF5CB8" w:rsidRDefault="00BF5CB8" w:rsidP="001A5D4A">
            <w:pPr>
              <w:pStyle w:val="Note-Refs"/>
            </w:pPr>
          </w:p>
        </w:tc>
        <w:tc>
          <w:tcPr>
            <w:tcW w:w="2567" w:type="pct"/>
            <w:vAlign w:val="bottom"/>
          </w:tcPr>
          <w:p w14:paraId="038A18D5" w14:textId="77777777" w:rsidR="00BF5CB8" w:rsidRDefault="00BF5CB8" w:rsidP="001A5D4A">
            <w:pPr>
              <w:pStyle w:val="NotesTable-ItemPlain"/>
            </w:pPr>
          </w:p>
        </w:tc>
        <w:tc>
          <w:tcPr>
            <w:tcW w:w="811" w:type="pct"/>
            <w:gridSpan w:val="2"/>
          </w:tcPr>
          <w:p w14:paraId="038A18D6" w14:textId="77777777" w:rsidR="00BF5CB8" w:rsidRDefault="00BF5CB8" w:rsidP="001A5D4A">
            <w:pPr>
              <w:pStyle w:val="NotesTable-HeadPlain"/>
              <w:rPr>
                <w:b/>
              </w:rPr>
            </w:pPr>
            <w:r>
              <w:t>Consolidated</w:t>
            </w:r>
          </w:p>
        </w:tc>
        <w:tc>
          <w:tcPr>
            <w:tcW w:w="811" w:type="pct"/>
            <w:gridSpan w:val="2"/>
          </w:tcPr>
          <w:p w14:paraId="038A18D7" w14:textId="77777777" w:rsidR="00BF5CB8" w:rsidRDefault="00BF5CB8" w:rsidP="001A5D4A">
            <w:pPr>
              <w:pStyle w:val="NotesTable-HeadPlain"/>
            </w:pPr>
            <w:r>
              <w:t>Parent entity</w:t>
            </w:r>
          </w:p>
        </w:tc>
      </w:tr>
      <w:tr w:rsidR="00BF5CB8" w14:paraId="038A18DF" w14:textId="77777777" w:rsidTr="00E21378">
        <w:trPr>
          <w:cantSplit/>
          <w:trHeight w:val="181"/>
        </w:trPr>
        <w:tc>
          <w:tcPr>
            <w:tcW w:w="810" w:type="pct"/>
          </w:tcPr>
          <w:p w14:paraId="038A18D9" w14:textId="77777777" w:rsidR="00BF5CB8" w:rsidRDefault="00BF5CB8" w:rsidP="001A5D4A">
            <w:pPr>
              <w:pStyle w:val="Note-Refs"/>
            </w:pPr>
          </w:p>
        </w:tc>
        <w:tc>
          <w:tcPr>
            <w:tcW w:w="2567" w:type="pct"/>
            <w:vAlign w:val="bottom"/>
          </w:tcPr>
          <w:p w14:paraId="038A18DA" w14:textId="77777777" w:rsidR="00BF5CB8" w:rsidRDefault="00BF5CB8" w:rsidP="001A5D4A">
            <w:pPr>
              <w:pStyle w:val="NotesTable-ItemPlain"/>
            </w:pPr>
          </w:p>
        </w:tc>
        <w:tc>
          <w:tcPr>
            <w:tcW w:w="406" w:type="pct"/>
          </w:tcPr>
          <w:p w14:paraId="038A18DB" w14:textId="246D63CF" w:rsidR="00BF5CB8" w:rsidRDefault="006864EC" w:rsidP="001A5D4A">
            <w:pPr>
              <w:pStyle w:val="NotesTable-HeadBold"/>
            </w:pPr>
            <w:r>
              <w:t>2014</w:t>
            </w:r>
          </w:p>
        </w:tc>
        <w:tc>
          <w:tcPr>
            <w:tcW w:w="406" w:type="pct"/>
          </w:tcPr>
          <w:p w14:paraId="038A18DC" w14:textId="139AC615" w:rsidR="00BF5CB8" w:rsidRDefault="006864EC" w:rsidP="001A5D4A">
            <w:pPr>
              <w:pStyle w:val="NotesTable-HeadPlain"/>
            </w:pPr>
            <w:r>
              <w:t>2013</w:t>
            </w:r>
          </w:p>
        </w:tc>
        <w:tc>
          <w:tcPr>
            <w:tcW w:w="406" w:type="pct"/>
          </w:tcPr>
          <w:p w14:paraId="038A18DD" w14:textId="33ADCADA" w:rsidR="00BF5CB8" w:rsidRDefault="006864EC" w:rsidP="001A5D4A">
            <w:pPr>
              <w:pStyle w:val="NotesTable-HeadBold"/>
            </w:pPr>
            <w:r>
              <w:t>2014</w:t>
            </w:r>
          </w:p>
        </w:tc>
        <w:tc>
          <w:tcPr>
            <w:tcW w:w="406" w:type="pct"/>
          </w:tcPr>
          <w:p w14:paraId="038A18DE" w14:textId="2D4BE204" w:rsidR="00BF5CB8" w:rsidRDefault="006864EC" w:rsidP="001A5D4A">
            <w:pPr>
              <w:pStyle w:val="NotesTable-HeadPlain"/>
            </w:pPr>
            <w:r>
              <w:t>2013</w:t>
            </w:r>
          </w:p>
        </w:tc>
      </w:tr>
      <w:tr w:rsidR="00BF5CB8" w14:paraId="038A18E6" w14:textId="77777777" w:rsidTr="00E21378">
        <w:trPr>
          <w:cantSplit/>
          <w:trHeight w:val="181"/>
        </w:trPr>
        <w:tc>
          <w:tcPr>
            <w:tcW w:w="810" w:type="pct"/>
          </w:tcPr>
          <w:p w14:paraId="038A18E0" w14:textId="77777777" w:rsidR="00BF5CB8" w:rsidRDefault="00BF5CB8" w:rsidP="001A5D4A">
            <w:pPr>
              <w:pStyle w:val="Note-Refs"/>
            </w:pPr>
          </w:p>
        </w:tc>
        <w:tc>
          <w:tcPr>
            <w:tcW w:w="2567" w:type="pct"/>
            <w:vAlign w:val="bottom"/>
          </w:tcPr>
          <w:p w14:paraId="038A18E1" w14:textId="77777777" w:rsidR="00BF5CB8" w:rsidRDefault="00BF5CB8" w:rsidP="001A5D4A">
            <w:pPr>
              <w:pStyle w:val="NotesTable-ItemPlain"/>
            </w:pPr>
          </w:p>
        </w:tc>
        <w:tc>
          <w:tcPr>
            <w:tcW w:w="406" w:type="pct"/>
          </w:tcPr>
          <w:p w14:paraId="038A18E2" w14:textId="77777777" w:rsidR="00BF5CB8" w:rsidRDefault="00BF5CB8" w:rsidP="001A5D4A">
            <w:pPr>
              <w:pStyle w:val="NotesTable-HeadBold"/>
            </w:pPr>
            <w:r>
              <w:t>$’000</w:t>
            </w:r>
          </w:p>
        </w:tc>
        <w:tc>
          <w:tcPr>
            <w:tcW w:w="406" w:type="pct"/>
          </w:tcPr>
          <w:p w14:paraId="038A18E3" w14:textId="77777777" w:rsidR="00BF5CB8" w:rsidRDefault="00BF5CB8" w:rsidP="001A5D4A">
            <w:pPr>
              <w:pStyle w:val="NotesTable-HeadPlain"/>
            </w:pPr>
            <w:r>
              <w:t>$’000</w:t>
            </w:r>
          </w:p>
        </w:tc>
        <w:tc>
          <w:tcPr>
            <w:tcW w:w="406" w:type="pct"/>
          </w:tcPr>
          <w:p w14:paraId="038A18E4" w14:textId="77777777" w:rsidR="00BF5CB8" w:rsidRDefault="00BF5CB8" w:rsidP="001A5D4A">
            <w:pPr>
              <w:pStyle w:val="NotesTable-HeadBold"/>
            </w:pPr>
            <w:r>
              <w:t>$’000</w:t>
            </w:r>
          </w:p>
        </w:tc>
        <w:tc>
          <w:tcPr>
            <w:tcW w:w="406" w:type="pct"/>
          </w:tcPr>
          <w:p w14:paraId="038A18E5" w14:textId="77777777" w:rsidR="00BF5CB8" w:rsidRDefault="00BF5CB8" w:rsidP="001A5D4A">
            <w:pPr>
              <w:pStyle w:val="NotesTable-HeadPlain"/>
            </w:pPr>
            <w:r>
              <w:t>$’000</w:t>
            </w:r>
          </w:p>
        </w:tc>
      </w:tr>
      <w:tr w:rsidR="00AE2053" w14:paraId="038A18E9" w14:textId="77777777" w:rsidTr="00E21378">
        <w:trPr>
          <w:cantSplit/>
          <w:trHeight w:val="181"/>
        </w:trPr>
        <w:tc>
          <w:tcPr>
            <w:tcW w:w="810" w:type="pct"/>
          </w:tcPr>
          <w:p w14:paraId="038A18E7" w14:textId="77777777" w:rsidR="00AE2053" w:rsidRDefault="00AE2053" w:rsidP="001A5D4A">
            <w:pPr>
              <w:pStyle w:val="Note-Refs"/>
            </w:pPr>
          </w:p>
        </w:tc>
        <w:tc>
          <w:tcPr>
            <w:tcW w:w="4190" w:type="pct"/>
            <w:gridSpan w:val="5"/>
            <w:vAlign w:val="bottom"/>
          </w:tcPr>
          <w:p w14:paraId="038A18E8" w14:textId="77777777" w:rsidR="00AE2053" w:rsidRDefault="00AE2053" w:rsidP="001A5D4A">
            <w:pPr>
              <w:pStyle w:val="NotesTable-ItemPlain"/>
            </w:pPr>
          </w:p>
        </w:tc>
      </w:tr>
      <w:tr w:rsidR="00BF5CB8" w14:paraId="038A18F0" w14:textId="77777777" w:rsidTr="00E21378">
        <w:trPr>
          <w:cantSplit/>
          <w:trHeight w:val="181"/>
        </w:trPr>
        <w:tc>
          <w:tcPr>
            <w:tcW w:w="810" w:type="pct"/>
          </w:tcPr>
          <w:p w14:paraId="038A18EA" w14:textId="77777777" w:rsidR="00BF5CB8" w:rsidRPr="00836530" w:rsidRDefault="00BF5CB8" w:rsidP="001A5D4A">
            <w:pPr>
              <w:pStyle w:val="Note-Refs"/>
              <w:rPr>
                <w:b/>
              </w:rPr>
            </w:pPr>
            <w:r w:rsidRPr="00836530">
              <w:t>AASB116</w:t>
            </w:r>
            <w:r>
              <w:t>.</w:t>
            </w:r>
            <w:r w:rsidRPr="00836530">
              <w:t>12</w:t>
            </w:r>
          </w:p>
        </w:tc>
        <w:tc>
          <w:tcPr>
            <w:tcW w:w="2567" w:type="pct"/>
            <w:vAlign w:val="bottom"/>
          </w:tcPr>
          <w:p w14:paraId="038A18EB" w14:textId="77777777" w:rsidR="00BF5CB8" w:rsidRDefault="00BF5CB8" w:rsidP="001A5D4A">
            <w:pPr>
              <w:pStyle w:val="NotesTable-ItemPlain"/>
              <w:rPr>
                <w:b/>
              </w:rPr>
            </w:pPr>
            <w:r>
              <w:t>[Specify]</w:t>
            </w:r>
          </w:p>
        </w:tc>
        <w:tc>
          <w:tcPr>
            <w:tcW w:w="406" w:type="pct"/>
            <w:tcBorders>
              <w:bottom w:val="single" w:sz="4" w:space="0" w:color="auto"/>
            </w:tcBorders>
          </w:tcPr>
          <w:p w14:paraId="038A18EC" w14:textId="77777777" w:rsidR="00BF5CB8" w:rsidRDefault="00BF5CB8" w:rsidP="001A5D4A">
            <w:pPr>
              <w:pStyle w:val="NotesTable-CellBold"/>
            </w:pPr>
            <w:r>
              <w:t>–</w:t>
            </w:r>
          </w:p>
        </w:tc>
        <w:tc>
          <w:tcPr>
            <w:tcW w:w="406" w:type="pct"/>
            <w:tcBorders>
              <w:bottom w:val="single" w:sz="4" w:space="0" w:color="auto"/>
            </w:tcBorders>
          </w:tcPr>
          <w:p w14:paraId="038A18ED" w14:textId="77777777" w:rsidR="00BF5CB8" w:rsidRDefault="00BF5CB8" w:rsidP="001A5D4A">
            <w:pPr>
              <w:pStyle w:val="NotesTable-CellPlain"/>
            </w:pPr>
            <w:r>
              <w:t>–</w:t>
            </w:r>
          </w:p>
        </w:tc>
        <w:tc>
          <w:tcPr>
            <w:tcW w:w="406" w:type="pct"/>
            <w:tcBorders>
              <w:bottom w:val="single" w:sz="4" w:space="0" w:color="auto"/>
            </w:tcBorders>
          </w:tcPr>
          <w:p w14:paraId="038A18EE" w14:textId="77777777" w:rsidR="00BF5CB8" w:rsidRDefault="00BF5CB8" w:rsidP="001A5D4A">
            <w:pPr>
              <w:pStyle w:val="NotesTable-CellBold"/>
            </w:pPr>
            <w:r>
              <w:t>–</w:t>
            </w:r>
          </w:p>
        </w:tc>
        <w:tc>
          <w:tcPr>
            <w:tcW w:w="406" w:type="pct"/>
            <w:tcBorders>
              <w:bottom w:val="single" w:sz="4" w:space="0" w:color="auto"/>
            </w:tcBorders>
          </w:tcPr>
          <w:p w14:paraId="038A18EF" w14:textId="77777777" w:rsidR="00BF5CB8" w:rsidRDefault="00BF5CB8" w:rsidP="001A5D4A">
            <w:pPr>
              <w:pStyle w:val="NotesTable-CellPlain"/>
            </w:pPr>
            <w:r>
              <w:t>–</w:t>
            </w:r>
          </w:p>
        </w:tc>
      </w:tr>
      <w:tr w:rsidR="00BF5CB8" w14:paraId="038A18F7" w14:textId="77777777" w:rsidTr="00E21378">
        <w:trPr>
          <w:cantSplit/>
          <w:trHeight w:val="181"/>
        </w:trPr>
        <w:tc>
          <w:tcPr>
            <w:tcW w:w="810" w:type="pct"/>
          </w:tcPr>
          <w:p w14:paraId="038A18F1" w14:textId="77777777" w:rsidR="00BF5CB8" w:rsidRDefault="00BF5CB8" w:rsidP="001A5D4A">
            <w:pPr>
              <w:pStyle w:val="Note-Refs"/>
            </w:pPr>
          </w:p>
        </w:tc>
        <w:tc>
          <w:tcPr>
            <w:tcW w:w="2567" w:type="pct"/>
            <w:vAlign w:val="bottom"/>
          </w:tcPr>
          <w:p w14:paraId="038A18F2" w14:textId="77777777" w:rsidR="00BF5CB8" w:rsidRDefault="00BF5CB8" w:rsidP="001A5D4A">
            <w:pPr>
              <w:pStyle w:val="NotesTable-ItemPlain"/>
              <w:rPr>
                <w:b/>
              </w:rPr>
            </w:pPr>
            <w:r>
              <w:t>Total repairs and maintenance</w:t>
            </w:r>
          </w:p>
        </w:tc>
        <w:tc>
          <w:tcPr>
            <w:tcW w:w="406" w:type="pct"/>
            <w:tcBorders>
              <w:top w:val="single" w:sz="4" w:space="0" w:color="auto"/>
            </w:tcBorders>
          </w:tcPr>
          <w:p w14:paraId="038A18F3" w14:textId="77777777" w:rsidR="00BF5CB8" w:rsidRDefault="00BF5CB8" w:rsidP="001A5D4A">
            <w:pPr>
              <w:pStyle w:val="NotesTable-CellBold"/>
            </w:pPr>
            <w:r>
              <w:t>–</w:t>
            </w:r>
          </w:p>
        </w:tc>
        <w:tc>
          <w:tcPr>
            <w:tcW w:w="406" w:type="pct"/>
            <w:tcBorders>
              <w:top w:val="single" w:sz="4" w:space="0" w:color="auto"/>
            </w:tcBorders>
          </w:tcPr>
          <w:p w14:paraId="038A18F4" w14:textId="77777777" w:rsidR="00BF5CB8" w:rsidRDefault="00BF5CB8" w:rsidP="001A5D4A">
            <w:pPr>
              <w:pStyle w:val="NotesTable-CellPlain"/>
            </w:pPr>
            <w:r>
              <w:t>–</w:t>
            </w:r>
          </w:p>
        </w:tc>
        <w:tc>
          <w:tcPr>
            <w:tcW w:w="406" w:type="pct"/>
            <w:tcBorders>
              <w:top w:val="single" w:sz="4" w:space="0" w:color="auto"/>
            </w:tcBorders>
          </w:tcPr>
          <w:p w14:paraId="038A18F5" w14:textId="77777777" w:rsidR="00BF5CB8" w:rsidRDefault="00BF5CB8" w:rsidP="001A5D4A">
            <w:pPr>
              <w:pStyle w:val="NotesTable-CellBold"/>
            </w:pPr>
            <w:r>
              <w:t>–</w:t>
            </w:r>
          </w:p>
        </w:tc>
        <w:tc>
          <w:tcPr>
            <w:tcW w:w="406" w:type="pct"/>
            <w:tcBorders>
              <w:top w:val="single" w:sz="4" w:space="0" w:color="auto"/>
            </w:tcBorders>
          </w:tcPr>
          <w:p w14:paraId="038A18F6" w14:textId="77777777" w:rsidR="00BF5CB8" w:rsidRDefault="00BF5CB8" w:rsidP="001A5D4A">
            <w:pPr>
              <w:pStyle w:val="NotesTable-CellPlain"/>
            </w:pPr>
            <w:r>
              <w:t>–</w:t>
            </w:r>
          </w:p>
        </w:tc>
      </w:tr>
    </w:tbl>
    <w:p w14:paraId="01392A03" w14:textId="77777777" w:rsidR="00CA56AE" w:rsidRPr="00891D97" w:rsidRDefault="00CA56AE" w:rsidP="001A5D4A">
      <w:pPr>
        <w:pStyle w:val="Heading3"/>
        <w:rPr>
          <w:color w:val="2D3E7B" w:themeColor="text2" w:themeShade="BF"/>
        </w:rPr>
      </w:pPr>
      <w:bookmarkStart w:id="283" w:name="_Toc410807615"/>
      <w:bookmarkStart w:id="284" w:name="_Toc410822675"/>
      <w:r w:rsidRPr="00891D97">
        <w:rPr>
          <w:color w:val="2D3E7B" w:themeColor="text2" w:themeShade="BF"/>
        </w:rPr>
        <w:t>Commentary – Repairs and maintenance</w:t>
      </w:r>
      <w:bookmarkEnd w:id="283"/>
      <w:bookmarkEnd w:id="284"/>
    </w:p>
    <w:p w14:paraId="6AFFA8B2" w14:textId="77777777" w:rsidR="00CA56AE" w:rsidRPr="00236F7B" w:rsidRDefault="00CA56AE" w:rsidP="00E422A6">
      <w:pPr>
        <w:pStyle w:val="Heading6"/>
      </w:pPr>
      <w:r w:rsidRPr="00236F7B">
        <w:t>AASB116.12</w:t>
      </w:r>
    </w:p>
    <w:p w14:paraId="6CF7AB93" w14:textId="33C1B52A" w:rsidR="002168F3" w:rsidRDefault="00CA56AE" w:rsidP="001A5D4A">
      <w:pPr>
        <w:rPr>
          <w:color w:val="2D3E7B" w:themeColor="text2" w:themeShade="BF"/>
        </w:rPr>
      </w:pPr>
      <w:r w:rsidRPr="00891D97">
        <w:rPr>
          <w:color w:val="2D3E7B" w:themeColor="text2" w:themeShade="BF"/>
        </w:rPr>
        <w:t>Repairs and maintenance costs are recognised as expenses as incurred, except where they relate to the replacement of a component of an asset, in which case, the costs are capitalised and depreciated. Other routine operating maintenance, repair and minor renewal costs are also recognised as expenses, as incurred.</w:t>
      </w:r>
    </w:p>
    <w:p w14:paraId="294FDD8F" w14:textId="77777777" w:rsidR="002168F3" w:rsidRDefault="002168F3">
      <w:pPr>
        <w:spacing w:after="0"/>
        <w:rPr>
          <w:color w:val="2D3E7B" w:themeColor="text2" w:themeShade="BF"/>
        </w:rPr>
      </w:pPr>
      <w:r>
        <w:rPr>
          <w:color w:val="2D3E7B" w:themeColor="text2" w:themeShade="BF"/>
        </w:rPr>
        <w:br w:type="page"/>
      </w:r>
    </w:p>
    <w:p w14:paraId="5E86A773" w14:textId="2617495A" w:rsidR="00E21378" w:rsidRDefault="00E21378" w:rsidP="00236F7B">
      <w:pPr>
        <w:pStyle w:val="Heading2"/>
      </w:pPr>
      <w:bookmarkStart w:id="285" w:name="_Toc410822676"/>
      <w:proofErr w:type="gramStart"/>
      <w:r w:rsidRPr="00E21378">
        <w:lastRenderedPageBreak/>
        <w:t>Note 13.</w:t>
      </w:r>
      <w:proofErr w:type="gramEnd"/>
      <w:r w:rsidRPr="00E21378">
        <w:t xml:space="preserve"> Borrowing Costs</w:t>
      </w:r>
      <w:bookmarkEnd w:id="285"/>
    </w:p>
    <w:p w14:paraId="683D1B23" w14:textId="77777777" w:rsidR="00E21378" w:rsidRPr="00E21378" w:rsidRDefault="00E21378" w:rsidP="001A5D4A">
      <w:r w:rsidRPr="00E21378">
        <w:t>AASB123</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BF5CB8" w14:paraId="038A1913" w14:textId="77777777" w:rsidTr="00E21378">
        <w:trPr>
          <w:cantSplit/>
          <w:trHeight w:val="181"/>
        </w:trPr>
        <w:tc>
          <w:tcPr>
            <w:tcW w:w="810" w:type="pct"/>
          </w:tcPr>
          <w:p w14:paraId="038A190F" w14:textId="77777777" w:rsidR="00BF5CB8" w:rsidRDefault="00BF5CB8" w:rsidP="001A5D4A">
            <w:pPr>
              <w:pStyle w:val="Note-Refs"/>
            </w:pPr>
          </w:p>
        </w:tc>
        <w:tc>
          <w:tcPr>
            <w:tcW w:w="2567" w:type="pct"/>
            <w:vAlign w:val="bottom"/>
          </w:tcPr>
          <w:p w14:paraId="038A1910" w14:textId="77777777" w:rsidR="00BF5CB8" w:rsidRDefault="00BF5CB8" w:rsidP="001A5D4A">
            <w:pPr>
              <w:pStyle w:val="NotesTable-ItemPlain"/>
            </w:pPr>
          </w:p>
        </w:tc>
        <w:tc>
          <w:tcPr>
            <w:tcW w:w="811" w:type="pct"/>
            <w:gridSpan w:val="2"/>
          </w:tcPr>
          <w:p w14:paraId="038A1911" w14:textId="77777777" w:rsidR="00BF5CB8" w:rsidRDefault="00BF5CB8" w:rsidP="001A5D4A">
            <w:pPr>
              <w:pStyle w:val="NotesTable-HeadPlain"/>
              <w:rPr>
                <w:b/>
              </w:rPr>
            </w:pPr>
            <w:r>
              <w:t>Consolidated</w:t>
            </w:r>
          </w:p>
        </w:tc>
        <w:tc>
          <w:tcPr>
            <w:tcW w:w="811" w:type="pct"/>
            <w:gridSpan w:val="2"/>
          </w:tcPr>
          <w:p w14:paraId="038A1912" w14:textId="77777777" w:rsidR="00BF5CB8" w:rsidRDefault="00BF5CB8" w:rsidP="001A5D4A">
            <w:pPr>
              <w:pStyle w:val="NotesTable-HeadPlain"/>
            </w:pPr>
            <w:r>
              <w:t>Parent entity</w:t>
            </w:r>
          </w:p>
        </w:tc>
      </w:tr>
      <w:tr w:rsidR="00BF5CB8" w14:paraId="038A191A" w14:textId="77777777" w:rsidTr="00E21378">
        <w:trPr>
          <w:cantSplit/>
          <w:trHeight w:val="181"/>
        </w:trPr>
        <w:tc>
          <w:tcPr>
            <w:tcW w:w="810" w:type="pct"/>
          </w:tcPr>
          <w:p w14:paraId="038A1914" w14:textId="77777777" w:rsidR="00BF5CB8" w:rsidRDefault="00BF5CB8" w:rsidP="001A5D4A">
            <w:pPr>
              <w:pStyle w:val="Note-Refs"/>
            </w:pPr>
          </w:p>
        </w:tc>
        <w:tc>
          <w:tcPr>
            <w:tcW w:w="2567" w:type="pct"/>
            <w:vAlign w:val="bottom"/>
          </w:tcPr>
          <w:p w14:paraId="038A1915" w14:textId="77777777" w:rsidR="00BF5CB8" w:rsidRDefault="00BF5CB8" w:rsidP="001A5D4A">
            <w:pPr>
              <w:pStyle w:val="NotesTable-ItemPlain"/>
            </w:pPr>
          </w:p>
        </w:tc>
        <w:tc>
          <w:tcPr>
            <w:tcW w:w="406" w:type="pct"/>
          </w:tcPr>
          <w:p w14:paraId="038A1916" w14:textId="532A7E9B" w:rsidR="00BF5CB8" w:rsidRDefault="006864EC" w:rsidP="001A5D4A">
            <w:pPr>
              <w:pStyle w:val="NotesTable-HeadBold"/>
            </w:pPr>
            <w:r>
              <w:t>2014</w:t>
            </w:r>
          </w:p>
        </w:tc>
        <w:tc>
          <w:tcPr>
            <w:tcW w:w="406" w:type="pct"/>
          </w:tcPr>
          <w:p w14:paraId="038A1917" w14:textId="2047E145" w:rsidR="00BF5CB8" w:rsidRDefault="006864EC" w:rsidP="001A5D4A">
            <w:pPr>
              <w:pStyle w:val="NotesTable-HeadPlain"/>
            </w:pPr>
            <w:r>
              <w:t>2013</w:t>
            </w:r>
          </w:p>
        </w:tc>
        <w:tc>
          <w:tcPr>
            <w:tcW w:w="406" w:type="pct"/>
          </w:tcPr>
          <w:p w14:paraId="038A1918" w14:textId="0099C932" w:rsidR="00BF5CB8" w:rsidRDefault="006864EC" w:rsidP="001A5D4A">
            <w:pPr>
              <w:pStyle w:val="NotesTable-HeadBold"/>
            </w:pPr>
            <w:r>
              <w:t>2014</w:t>
            </w:r>
          </w:p>
        </w:tc>
        <w:tc>
          <w:tcPr>
            <w:tcW w:w="406" w:type="pct"/>
          </w:tcPr>
          <w:p w14:paraId="038A1919" w14:textId="26C82E53" w:rsidR="00BF5CB8" w:rsidRDefault="006864EC" w:rsidP="001A5D4A">
            <w:pPr>
              <w:pStyle w:val="NotesTable-HeadPlain"/>
            </w:pPr>
            <w:r>
              <w:t>2013</w:t>
            </w:r>
          </w:p>
        </w:tc>
      </w:tr>
      <w:tr w:rsidR="00BF5CB8" w14:paraId="038A1921" w14:textId="77777777" w:rsidTr="00E21378">
        <w:trPr>
          <w:cantSplit/>
          <w:trHeight w:val="181"/>
        </w:trPr>
        <w:tc>
          <w:tcPr>
            <w:tcW w:w="810" w:type="pct"/>
          </w:tcPr>
          <w:p w14:paraId="038A191B" w14:textId="77777777" w:rsidR="00BF5CB8" w:rsidRDefault="00BF5CB8" w:rsidP="001A5D4A">
            <w:pPr>
              <w:pStyle w:val="Note-Refs"/>
            </w:pPr>
          </w:p>
        </w:tc>
        <w:tc>
          <w:tcPr>
            <w:tcW w:w="2567" w:type="pct"/>
            <w:vAlign w:val="bottom"/>
          </w:tcPr>
          <w:p w14:paraId="038A191C" w14:textId="77777777" w:rsidR="00BF5CB8" w:rsidRDefault="00BF5CB8" w:rsidP="001A5D4A">
            <w:pPr>
              <w:pStyle w:val="NotesTable-ItemPlain"/>
            </w:pPr>
          </w:p>
        </w:tc>
        <w:tc>
          <w:tcPr>
            <w:tcW w:w="406" w:type="pct"/>
          </w:tcPr>
          <w:p w14:paraId="038A191D" w14:textId="77777777" w:rsidR="00BF5CB8" w:rsidRDefault="00BF5CB8" w:rsidP="001A5D4A">
            <w:pPr>
              <w:pStyle w:val="NotesTable-HeadBold"/>
            </w:pPr>
            <w:r>
              <w:t>$’000</w:t>
            </w:r>
          </w:p>
        </w:tc>
        <w:tc>
          <w:tcPr>
            <w:tcW w:w="406" w:type="pct"/>
          </w:tcPr>
          <w:p w14:paraId="038A191E" w14:textId="77777777" w:rsidR="00BF5CB8" w:rsidRDefault="00BF5CB8" w:rsidP="001A5D4A">
            <w:pPr>
              <w:pStyle w:val="NotesTable-HeadPlain"/>
            </w:pPr>
            <w:r>
              <w:t>$’000</w:t>
            </w:r>
          </w:p>
        </w:tc>
        <w:tc>
          <w:tcPr>
            <w:tcW w:w="406" w:type="pct"/>
          </w:tcPr>
          <w:p w14:paraId="038A191F" w14:textId="77777777" w:rsidR="00BF5CB8" w:rsidRDefault="00BF5CB8" w:rsidP="001A5D4A">
            <w:pPr>
              <w:pStyle w:val="NotesTable-HeadBold"/>
            </w:pPr>
            <w:r>
              <w:t>$’000</w:t>
            </w:r>
          </w:p>
        </w:tc>
        <w:tc>
          <w:tcPr>
            <w:tcW w:w="406" w:type="pct"/>
          </w:tcPr>
          <w:p w14:paraId="038A1920" w14:textId="77777777" w:rsidR="00BF5CB8" w:rsidRDefault="00BF5CB8" w:rsidP="001A5D4A">
            <w:pPr>
              <w:pStyle w:val="NotesTable-HeadPlain"/>
            </w:pPr>
            <w:r>
              <w:t>$’000</w:t>
            </w:r>
          </w:p>
        </w:tc>
      </w:tr>
      <w:tr w:rsidR="00BF5CB8" w14:paraId="038A1928" w14:textId="77777777" w:rsidTr="00E21378">
        <w:trPr>
          <w:cantSplit/>
          <w:trHeight w:val="181"/>
        </w:trPr>
        <w:tc>
          <w:tcPr>
            <w:tcW w:w="810" w:type="pct"/>
          </w:tcPr>
          <w:p w14:paraId="038A1922" w14:textId="7285D5B8" w:rsidR="00BF5CB8" w:rsidRDefault="003C7E6A" w:rsidP="001A5D4A">
            <w:pPr>
              <w:pStyle w:val="Note-Refs"/>
            </w:pPr>
            <w:r>
              <w:t>AASB123.6a</w:t>
            </w:r>
          </w:p>
        </w:tc>
        <w:tc>
          <w:tcPr>
            <w:tcW w:w="2567" w:type="pct"/>
            <w:vAlign w:val="bottom"/>
          </w:tcPr>
          <w:p w14:paraId="038A1923" w14:textId="2C0506E1" w:rsidR="00BF5CB8" w:rsidRDefault="003C7E6A" w:rsidP="001A5D4A">
            <w:pPr>
              <w:pStyle w:val="NotesTable-ItemPlain"/>
              <w:rPr>
                <w:b/>
              </w:rPr>
            </w:pPr>
            <w:r>
              <w:t>Interest expense</w:t>
            </w:r>
          </w:p>
        </w:tc>
        <w:tc>
          <w:tcPr>
            <w:tcW w:w="406" w:type="pct"/>
          </w:tcPr>
          <w:p w14:paraId="038A1924" w14:textId="77777777" w:rsidR="00BF5CB8" w:rsidRDefault="00BF5CB8" w:rsidP="001A5D4A">
            <w:pPr>
              <w:pStyle w:val="NotesTable-CellBold"/>
            </w:pPr>
            <w:r>
              <w:t>–</w:t>
            </w:r>
          </w:p>
        </w:tc>
        <w:tc>
          <w:tcPr>
            <w:tcW w:w="406" w:type="pct"/>
          </w:tcPr>
          <w:p w14:paraId="038A1925" w14:textId="77777777" w:rsidR="00BF5CB8" w:rsidRDefault="00BF5CB8" w:rsidP="001A5D4A">
            <w:pPr>
              <w:pStyle w:val="NotesTable-CellPlain"/>
            </w:pPr>
            <w:r>
              <w:t>–</w:t>
            </w:r>
          </w:p>
        </w:tc>
        <w:tc>
          <w:tcPr>
            <w:tcW w:w="406" w:type="pct"/>
          </w:tcPr>
          <w:p w14:paraId="038A1926" w14:textId="77777777" w:rsidR="00BF5CB8" w:rsidRDefault="00BF5CB8" w:rsidP="001A5D4A">
            <w:pPr>
              <w:pStyle w:val="NotesTable-CellBold"/>
            </w:pPr>
            <w:r>
              <w:t>–</w:t>
            </w:r>
          </w:p>
        </w:tc>
        <w:tc>
          <w:tcPr>
            <w:tcW w:w="406" w:type="pct"/>
          </w:tcPr>
          <w:p w14:paraId="038A1927" w14:textId="77777777" w:rsidR="00BF5CB8" w:rsidRDefault="00BF5CB8" w:rsidP="001A5D4A">
            <w:pPr>
              <w:pStyle w:val="NotesTable-CellPlain"/>
            </w:pPr>
            <w:r>
              <w:t>–</w:t>
            </w:r>
          </w:p>
        </w:tc>
      </w:tr>
      <w:tr w:rsidR="00FC4CAA" w14:paraId="638B28EB" w14:textId="77777777" w:rsidTr="00E21378">
        <w:trPr>
          <w:cantSplit/>
          <w:trHeight w:val="181"/>
        </w:trPr>
        <w:tc>
          <w:tcPr>
            <w:tcW w:w="810" w:type="pct"/>
          </w:tcPr>
          <w:p w14:paraId="4248DA05" w14:textId="02853B2C" w:rsidR="00FC4CAA" w:rsidRDefault="00FC4CAA" w:rsidP="001A5D4A">
            <w:pPr>
              <w:pStyle w:val="Note-Refs"/>
            </w:pPr>
            <w:r>
              <w:t>AASB123.6d</w:t>
            </w:r>
          </w:p>
        </w:tc>
        <w:tc>
          <w:tcPr>
            <w:tcW w:w="2567" w:type="pct"/>
            <w:vAlign w:val="bottom"/>
          </w:tcPr>
          <w:p w14:paraId="7FE0B699" w14:textId="4C3BBCB5" w:rsidR="00FC4CAA" w:rsidRDefault="00FC4CAA" w:rsidP="001A5D4A">
            <w:pPr>
              <w:pStyle w:val="NotesTable-ItemPlain"/>
            </w:pPr>
            <w:r>
              <w:t>Finance charges in respect of finance leases</w:t>
            </w:r>
          </w:p>
        </w:tc>
        <w:tc>
          <w:tcPr>
            <w:tcW w:w="406" w:type="pct"/>
            <w:tcBorders>
              <w:bottom w:val="single" w:sz="4" w:space="0" w:color="auto"/>
            </w:tcBorders>
          </w:tcPr>
          <w:p w14:paraId="6ACA020B" w14:textId="2AC34EAA" w:rsidR="00FC4CAA" w:rsidRDefault="00FC4CAA" w:rsidP="001A5D4A">
            <w:pPr>
              <w:pStyle w:val="NotesTable-CellBold"/>
            </w:pPr>
            <w:r>
              <w:t>–</w:t>
            </w:r>
          </w:p>
        </w:tc>
        <w:tc>
          <w:tcPr>
            <w:tcW w:w="406" w:type="pct"/>
            <w:tcBorders>
              <w:bottom w:val="single" w:sz="4" w:space="0" w:color="auto"/>
            </w:tcBorders>
          </w:tcPr>
          <w:p w14:paraId="62BD4094" w14:textId="21AD913F" w:rsidR="00FC4CAA" w:rsidRDefault="00FC4CAA" w:rsidP="001A5D4A">
            <w:pPr>
              <w:pStyle w:val="NotesTable-CellPlain"/>
            </w:pPr>
            <w:r>
              <w:t>–</w:t>
            </w:r>
          </w:p>
        </w:tc>
        <w:tc>
          <w:tcPr>
            <w:tcW w:w="406" w:type="pct"/>
            <w:tcBorders>
              <w:bottom w:val="single" w:sz="4" w:space="0" w:color="auto"/>
            </w:tcBorders>
          </w:tcPr>
          <w:p w14:paraId="11634CDA" w14:textId="1AA9EE4A" w:rsidR="00FC4CAA" w:rsidRDefault="00FC4CAA" w:rsidP="001A5D4A">
            <w:pPr>
              <w:pStyle w:val="NotesTable-CellBold"/>
            </w:pPr>
            <w:r>
              <w:t>–</w:t>
            </w:r>
          </w:p>
        </w:tc>
        <w:tc>
          <w:tcPr>
            <w:tcW w:w="406" w:type="pct"/>
            <w:tcBorders>
              <w:bottom w:val="single" w:sz="4" w:space="0" w:color="auto"/>
            </w:tcBorders>
          </w:tcPr>
          <w:p w14:paraId="29880DEE" w14:textId="04273C8B" w:rsidR="00FC4CAA" w:rsidRDefault="00FC4CAA" w:rsidP="001A5D4A">
            <w:pPr>
              <w:pStyle w:val="NotesTable-CellPlain"/>
            </w:pPr>
            <w:r>
              <w:t>–</w:t>
            </w:r>
          </w:p>
        </w:tc>
      </w:tr>
      <w:tr w:rsidR="00FC4CAA" w14:paraId="038A192F" w14:textId="77777777" w:rsidTr="00E21378">
        <w:trPr>
          <w:cantSplit/>
          <w:trHeight w:val="181"/>
        </w:trPr>
        <w:tc>
          <w:tcPr>
            <w:tcW w:w="810" w:type="pct"/>
          </w:tcPr>
          <w:p w14:paraId="038A1929" w14:textId="77777777" w:rsidR="00FC4CAA" w:rsidRDefault="00FC4CAA" w:rsidP="001A5D4A">
            <w:pPr>
              <w:pStyle w:val="Note-Refs"/>
            </w:pPr>
          </w:p>
        </w:tc>
        <w:tc>
          <w:tcPr>
            <w:tcW w:w="2567" w:type="pct"/>
            <w:vAlign w:val="bottom"/>
          </w:tcPr>
          <w:p w14:paraId="038A192A" w14:textId="4E4BFFE1" w:rsidR="00FC4CAA" w:rsidRDefault="00FC4CAA" w:rsidP="001A5D4A">
            <w:pPr>
              <w:pStyle w:val="NotesTable-ItemPlain"/>
            </w:pPr>
            <w:r>
              <w:t>[Specify]</w:t>
            </w:r>
          </w:p>
        </w:tc>
        <w:tc>
          <w:tcPr>
            <w:tcW w:w="406" w:type="pct"/>
            <w:tcBorders>
              <w:bottom w:val="single" w:sz="4" w:space="0" w:color="auto"/>
            </w:tcBorders>
          </w:tcPr>
          <w:p w14:paraId="038A192B" w14:textId="77777777" w:rsidR="00FC4CAA" w:rsidRDefault="00FC4CAA" w:rsidP="001A5D4A">
            <w:pPr>
              <w:pStyle w:val="NotesTable-CellBold"/>
            </w:pPr>
            <w:r>
              <w:t>–</w:t>
            </w:r>
          </w:p>
        </w:tc>
        <w:tc>
          <w:tcPr>
            <w:tcW w:w="406" w:type="pct"/>
            <w:tcBorders>
              <w:bottom w:val="single" w:sz="4" w:space="0" w:color="auto"/>
            </w:tcBorders>
          </w:tcPr>
          <w:p w14:paraId="038A192C" w14:textId="77777777" w:rsidR="00FC4CAA" w:rsidRDefault="00FC4CAA" w:rsidP="001A5D4A">
            <w:pPr>
              <w:pStyle w:val="NotesTable-CellPlain"/>
            </w:pPr>
            <w:r>
              <w:t>–</w:t>
            </w:r>
          </w:p>
        </w:tc>
        <w:tc>
          <w:tcPr>
            <w:tcW w:w="406" w:type="pct"/>
            <w:tcBorders>
              <w:bottom w:val="single" w:sz="4" w:space="0" w:color="auto"/>
            </w:tcBorders>
          </w:tcPr>
          <w:p w14:paraId="038A192D" w14:textId="77777777" w:rsidR="00FC4CAA" w:rsidRDefault="00FC4CAA" w:rsidP="001A5D4A">
            <w:pPr>
              <w:pStyle w:val="NotesTable-CellBold"/>
            </w:pPr>
            <w:r>
              <w:t>–</w:t>
            </w:r>
          </w:p>
        </w:tc>
        <w:tc>
          <w:tcPr>
            <w:tcW w:w="406" w:type="pct"/>
            <w:tcBorders>
              <w:bottom w:val="single" w:sz="4" w:space="0" w:color="auto"/>
            </w:tcBorders>
          </w:tcPr>
          <w:p w14:paraId="038A192E" w14:textId="77777777" w:rsidR="00FC4CAA" w:rsidRDefault="00FC4CAA" w:rsidP="001A5D4A">
            <w:pPr>
              <w:pStyle w:val="NotesTable-CellPlain"/>
            </w:pPr>
            <w:r>
              <w:t>–</w:t>
            </w:r>
          </w:p>
        </w:tc>
      </w:tr>
      <w:tr w:rsidR="00FC4CAA" w14:paraId="038A1936" w14:textId="77777777" w:rsidTr="00E21378">
        <w:trPr>
          <w:cantSplit/>
          <w:trHeight w:val="181"/>
        </w:trPr>
        <w:tc>
          <w:tcPr>
            <w:tcW w:w="810" w:type="pct"/>
          </w:tcPr>
          <w:p w14:paraId="038A1930" w14:textId="77777777" w:rsidR="00FC4CAA" w:rsidRDefault="00FC4CAA" w:rsidP="001A5D4A">
            <w:pPr>
              <w:pStyle w:val="Note-Refs"/>
              <w:rPr>
                <w:b/>
              </w:rPr>
            </w:pPr>
            <w:r>
              <w:t>AASB123.26a</w:t>
            </w:r>
          </w:p>
        </w:tc>
        <w:tc>
          <w:tcPr>
            <w:tcW w:w="2567" w:type="pct"/>
            <w:vAlign w:val="bottom"/>
          </w:tcPr>
          <w:p w14:paraId="038A1931" w14:textId="77777777" w:rsidR="00FC4CAA" w:rsidRDefault="00FC4CAA" w:rsidP="001A5D4A">
            <w:pPr>
              <w:pStyle w:val="NotesTable-ItemPlain"/>
              <w:rPr>
                <w:b/>
              </w:rPr>
            </w:pPr>
            <w:r>
              <w:t>Less: Amount capitalised</w:t>
            </w:r>
          </w:p>
        </w:tc>
        <w:tc>
          <w:tcPr>
            <w:tcW w:w="406" w:type="pct"/>
            <w:tcBorders>
              <w:top w:val="single" w:sz="4" w:space="0" w:color="auto"/>
              <w:bottom w:val="single" w:sz="4" w:space="0" w:color="auto"/>
            </w:tcBorders>
          </w:tcPr>
          <w:p w14:paraId="038A1932" w14:textId="77777777" w:rsidR="00FC4CAA" w:rsidRDefault="00FC4CAA" w:rsidP="001A5D4A">
            <w:pPr>
              <w:pStyle w:val="NotesTable-CellBold"/>
            </w:pPr>
            <w:r>
              <w:t>–</w:t>
            </w:r>
          </w:p>
        </w:tc>
        <w:tc>
          <w:tcPr>
            <w:tcW w:w="406" w:type="pct"/>
            <w:tcBorders>
              <w:top w:val="single" w:sz="4" w:space="0" w:color="auto"/>
              <w:bottom w:val="single" w:sz="4" w:space="0" w:color="auto"/>
            </w:tcBorders>
          </w:tcPr>
          <w:p w14:paraId="038A1933" w14:textId="77777777" w:rsidR="00FC4CAA" w:rsidRDefault="00FC4CAA" w:rsidP="001A5D4A">
            <w:pPr>
              <w:pStyle w:val="NotesTable-CellPlain"/>
            </w:pPr>
            <w:r>
              <w:t>–</w:t>
            </w:r>
          </w:p>
        </w:tc>
        <w:tc>
          <w:tcPr>
            <w:tcW w:w="406" w:type="pct"/>
            <w:tcBorders>
              <w:top w:val="single" w:sz="4" w:space="0" w:color="auto"/>
              <w:bottom w:val="single" w:sz="4" w:space="0" w:color="auto"/>
            </w:tcBorders>
          </w:tcPr>
          <w:p w14:paraId="038A1934" w14:textId="77777777" w:rsidR="00FC4CAA" w:rsidRDefault="00FC4CAA" w:rsidP="001A5D4A">
            <w:pPr>
              <w:pStyle w:val="NotesTable-CellBold"/>
            </w:pPr>
            <w:r>
              <w:t>–</w:t>
            </w:r>
          </w:p>
        </w:tc>
        <w:tc>
          <w:tcPr>
            <w:tcW w:w="406" w:type="pct"/>
            <w:tcBorders>
              <w:top w:val="single" w:sz="4" w:space="0" w:color="auto"/>
              <w:bottom w:val="single" w:sz="4" w:space="0" w:color="auto"/>
            </w:tcBorders>
          </w:tcPr>
          <w:p w14:paraId="038A1935" w14:textId="77777777" w:rsidR="00FC4CAA" w:rsidRDefault="00FC4CAA" w:rsidP="001A5D4A">
            <w:pPr>
              <w:pStyle w:val="NotesTable-CellPlain"/>
            </w:pPr>
            <w:r>
              <w:t>–</w:t>
            </w:r>
          </w:p>
        </w:tc>
      </w:tr>
      <w:tr w:rsidR="00FC4CAA" w14:paraId="038A193D" w14:textId="77777777" w:rsidTr="00E21378">
        <w:trPr>
          <w:cantSplit/>
          <w:trHeight w:val="181"/>
        </w:trPr>
        <w:tc>
          <w:tcPr>
            <w:tcW w:w="810" w:type="pct"/>
          </w:tcPr>
          <w:p w14:paraId="038A1937" w14:textId="77777777" w:rsidR="00FC4CAA" w:rsidRDefault="00FC4CAA" w:rsidP="001A5D4A">
            <w:pPr>
              <w:pStyle w:val="Note-Refs"/>
            </w:pPr>
          </w:p>
        </w:tc>
        <w:tc>
          <w:tcPr>
            <w:tcW w:w="2567" w:type="pct"/>
            <w:vAlign w:val="bottom"/>
          </w:tcPr>
          <w:p w14:paraId="038A1938" w14:textId="77777777" w:rsidR="00FC4CAA" w:rsidRDefault="00FC4CAA" w:rsidP="001A5D4A">
            <w:pPr>
              <w:pStyle w:val="NotesTable-ItemPlain"/>
              <w:rPr>
                <w:b/>
              </w:rPr>
            </w:pPr>
            <w:r>
              <w:t>Total borrowing costs expensed</w:t>
            </w:r>
          </w:p>
        </w:tc>
        <w:tc>
          <w:tcPr>
            <w:tcW w:w="406" w:type="pct"/>
            <w:tcBorders>
              <w:top w:val="single" w:sz="4" w:space="0" w:color="auto"/>
            </w:tcBorders>
          </w:tcPr>
          <w:p w14:paraId="038A1939" w14:textId="77777777" w:rsidR="00FC4CAA" w:rsidRDefault="00FC4CAA" w:rsidP="001A5D4A">
            <w:pPr>
              <w:pStyle w:val="NotesTable-CellBold"/>
            </w:pPr>
            <w:r>
              <w:t>–</w:t>
            </w:r>
          </w:p>
        </w:tc>
        <w:tc>
          <w:tcPr>
            <w:tcW w:w="406" w:type="pct"/>
            <w:tcBorders>
              <w:top w:val="single" w:sz="4" w:space="0" w:color="auto"/>
            </w:tcBorders>
          </w:tcPr>
          <w:p w14:paraId="038A193A" w14:textId="77777777" w:rsidR="00FC4CAA" w:rsidRDefault="00FC4CAA" w:rsidP="001A5D4A">
            <w:pPr>
              <w:pStyle w:val="NotesTable-CellPlain"/>
            </w:pPr>
            <w:r>
              <w:t>–</w:t>
            </w:r>
          </w:p>
        </w:tc>
        <w:tc>
          <w:tcPr>
            <w:tcW w:w="406" w:type="pct"/>
            <w:tcBorders>
              <w:top w:val="single" w:sz="4" w:space="0" w:color="auto"/>
            </w:tcBorders>
          </w:tcPr>
          <w:p w14:paraId="038A193B" w14:textId="77777777" w:rsidR="00FC4CAA" w:rsidRDefault="00FC4CAA" w:rsidP="001A5D4A">
            <w:pPr>
              <w:pStyle w:val="NotesTable-CellBold"/>
            </w:pPr>
            <w:r>
              <w:t>–</w:t>
            </w:r>
          </w:p>
        </w:tc>
        <w:tc>
          <w:tcPr>
            <w:tcW w:w="406" w:type="pct"/>
            <w:tcBorders>
              <w:top w:val="single" w:sz="4" w:space="0" w:color="auto"/>
            </w:tcBorders>
          </w:tcPr>
          <w:p w14:paraId="038A193C" w14:textId="77777777" w:rsidR="00FC4CAA" w:rsidRDefault="00FC4CAA" w:rsidP="001A5D4A">
            <w:pPr>
              <w:pStyle w:val="NotesTable-CellPlain"/>
            </w:pPr>
            <w:r>
              <w:t>–</w:t>
            </w:r>
          </w:p>
        </w:tc>
      </w:tr>
    </w:tbl>
    <w:p w14:paraId="365CB908" w14:textId="77777777" w:rsidR="00891D97" w:rsidRPr="00891D97" w:rsidRDefault="00891D97" w:rsidP="001A5D4A">
      <w:pPr>
        <w:pStyle w:val="Heading3"/>
        <w:rPr>
          <w:color w:val="2D3E7B" w:themeColor="text2" w:themeShade="BF"/>
        </w:rPr>
      </w:pPr>
      <w:bookmarkStart w:id="286" w:name="_Toc410807616"/>
      <w:bookmarkStart w:id="287" w:name="_Toc410822677"/>
      <w:r w:rsidRPr="00891D97">
        <w:rPr>
          <w:color w:val="2D3E7B" w:themeColor="text2" w:themeShade="BF"/>
        </w:rPr>
        <w:t>Commentary – Borrowing costs</w:t>
      </w:r>
      <w:bookmarkEnd w:id="286"/>
      <w:bookmarkEnd w:id="287"/>
    </w:p>
    <w:p w14:paraId="55EFA292" w14:textId="77777777" w:rsidR="00891D97" w:rsidRPr="00236F7B" w:rsidRDefault="00891D97" w:rsidP="00236F7B">
      <w:pPr>
        <w:pStyle w:val="Heading4"/>
        <w:rPr>
          <w:color w:val="2D3E7B" w:themeColor="text2" w:themeShade="BF"/>
          <w14:textFill>
            <w14:solidFill>
              <w14:schemeClr w14:val="tx2">
                <w14:lumMod w14:val="75000"/>
                <w14:lumMod w14:val="75000"/>
              </w14:schemeClr>
            </w14:solidFill>
          </w14:textFill>
        </w:rPr>
      </w:pPr>
      <w:r w:rsidRPr="00236F7B">
        <w:rPr>
          <w:color w:val="2D3E7B" w:themeColor="text2" w:themeShade="BF"/>
          <w14:textFill>
            <w14:solidFill>
              <w14:schemeClr w14:val="tx2">
                <w14:lumMod w14:val="75000"/>
                <w14:lumMod w14:val="75000"/>
              </w14:schemeClr>
            </w14:solidFill>
          </w14:textFill>
        </w:rPr>
        <w:t>Borrowing costs</w:t>
      </w:r>
    </w:p>
    <w:p w14:paraId="653C9DB8" w14:textId="77777777" w:rsidR="00891D97" w:rsidRPr="00891D97" w:rsidRDefault="00891D97" w:rsidP="00E422A6">
      <w:pPr>
        <w:pStyle w:val="Heading6"/>
      </w:pPr>
      <w:r w:rsidRPr="00891D97">
        <w:t>AASB123.5</w:t>
      </w:r>
      <w:proofErr w:type="gramStart"/>
      <w:r w:rsidRPr="00891D97">
        <w:t>,6</w:t>
      </w:r>
      <w:proofErr w:type="gramEnd"/>
    </w:p>
    <w:p w14:paraId="617B7E26" w14:textId="77777777" w:rsidR="00891D97" w:rsidRPr="00891D97" w:rsidRDefault="00891D97" w:rsidP="001A5D4A">
      <w:pPr>
        <w:rPr>
          <w:color w:val="2D3E7B" w:themeColor="text2" w:themeShade="BF"/>
        </w:rPr>
      </w:pPr>
      <w:r w:rsidRPr="00891D97">
        <w:rPr>
          <w:color w:val="2D3E7B" w:themeColor="text2" w:themeShade="BF"/>
        </w:rPr>
        <w:t>For the purposes of AASB123, borrowing costs (or finance costs) are interest and other costs incurred by an entity in connection with the borrowing of funds. Borrowing costs may include:</w:t>
      </w:r>
    </w:p>
    <w:p w14:paraId="6B4BE3EB" w14:textId="4D851E4F" w:rsidR="00891D97" w:rsidRPr="00891D97" w:rsidRDefault="00891D97" w:rsidP="00022EFA">
      <w:pPr>
        <w:pStyle w:val="ListParagraph"/>
        <w:numPr>
          <w:ilvl w:val="0"/>
          <w:numId w:val="39"/>
        </w:numPr>
        <w:ind w:left="340" w:hanging="340"/>
        <w:rPr>
          <w:color w:val="2D3E7B" w:themeColor="text2" w:themeShade="BF"/>
        </w:rPr>
      </w:pPr>
      <w:r w:rsidRPr="00891D97">
        <w:rPr>
          <w:color w:val="2D3E7B" w:themeColor="text2" w:themeShade="BF"/>
        </w:rPr>
        <w:t>interest expense calculated using the effective interest rate method as described in AASB139</w:t>
      </w:r>
      <w:r w:rsidRPr="00C94CF3">
        <w:rPr>
          <w:i/>
          <w:color w:val="2D3E7B" w:themeColor="text2" w:themeShade="BF"/>
        </w:rPr>
        <w:t xml:space="preserve"> Financial Instruments: Recognition and Measurement;</w:t>
      </w:r>
    </w:p>
    <w:p w14:paraId="44D7DC57" w14:textId="4C9FA1FC" w:rsidR="00891D97" w:rsidRPr="00891D97" w:rsidRDefault="00891D97" w:rsidP="00022EFA">
      <w:pPr>
        <w:pStyle w:val="ListParagraph"/>
        <w:numPr>
          <w:ilvl w:val="0"/>
          <w:numId w:val="39"/>
        </w:numPr>
        <w:ind w:left="340" w:hanging="340"/>
        <w:rPr>
          <w:color w:val="2D3E7B" w:themeColor="text2" w:themeShade="BF"/>
        </w:rPr>
      </w:pPr>
      <w:r w:rsidRPr="00891D97">
        <w:rPr>
          <w:color w:val="2D3E7B" w:themeColor="text2" w:themeShade="BF"/>
        </w:rPr>
        <w:t xml:space="preserve">finance charges in respect of finance leases recognised in accordance with AASB117 </w:t>
      </w:r>
      <w:r w:rsidRPr="00C94CF3">
        <w:rPr>
          <w:i/>
          <w:color w:val="2D3E7B" w:themeColor="text2" w:themeShade="BF"/>
        </w:rPr>
        <w:t>Leases</w:t>
      </w:r>
      <w:r w:rsidRPr="00891D97">
        <w:rPr>
          <w:color w:val="2D3E7B" w:themeColor="text2" w:themeShade="BF"/>
        </w:rPr>
        <w:t xml:space="preserve"> (refer to note 30); and</w:t>
      </w:r>
    </w:p>
    <w:p w14:paraId="5AD9F1AE" w14:textId="4541FC53" w:rsidR="00891D97" w:rsidRPr="00891D97" w:rsidRDefault="00891D97" w:rsidP="00022EFA">
      <w:pPr>
        <w:pStyle w:val="ListParagraph"/>
        <w:numPr>
          <w:ilvl w:val="0"/>
          <w:numId w:val="39"/>
        </w:numPr>
        <w:ind w:left="340" w:hanging="340"/>
        <w:rPr>
          <w:color w:val="2D3E7B" w:themeColor="text2" w:themeShade="BF"/>
        </w:rPr>
      </w:pPr>
      <w:proofErr w:type="gramStart"/>
      <w:r w:rsidRPr="00891D97">
        <w:rPr>
          <w:color w:val="2D3E7B" w:themeColor="text2" w:themeShade="BF"/>
        </w:rPr>
        <w:t>exchange</w:t>
      </w:r>
      <w:proofErr w:type="gramEnd"/>
      <w:r w:rsidRPr="00891D97">
        <w:rPr>
          <w:color w:val="2D3E7B" w:themeColor="text2" w:themeShade="BF"/>
        </w:rPr>
        <w:t xml:space="preserve"> differences arising from foreign currency borrowings to the extent that they are regarded as an adjustment to interest costs.</w:t>
      </w:r>
    </w:p>
    <w:p w14:paraId="617E9B27" w14:textId="6300458A" w:rsidR="006B68EB" w:rsidRPr="006B68EB" w:rsidRDefault="006B68EB" w:rsidP="00236F7B">
      <w:pPr>
        <w:pStyle w:val="Heading2"/>
      </w:pPr>
      <w:bookmarkStart w:id="288" w:name="_Toc410807617"/>
      <w:bookmarkStart w:id="289" w:name="_Toc410822678"/>
      <w:proofErr w:type="gramStart"/>
      <w:r w:rsidRPr="006B68EB">
        <w:t>Note 14</w:t>
      </w:r>
      <w:r>
        <w:t>.</w:t>
      </w:r>
      <w:proofErr w:type="gramEnd"/>
      <w:r>
        <w:t xml:space="preserve"> </w:t>
      </w:r>
      <w:r w:rsidRPr="006B68EB">
        <w:t>Impairment of assets</w:t>
      </w:r>
      <w:bookmarkEnd w:id="288"/>
      <w:bookmarkEnd w:id="289"/>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1965" w14:textId="77777777" w:rsidTr="00FD0D94">
        <w:trPr>
          <w:cantSplit/>
          <w:trHeight w:val="181"/>
        </w:trPr>
        <w:tc>
          <w:tcPr>
            <w:tcW w:w="810" w:type="pct"/>
          </w:tcPr>
          <w:p w14:paraId="038A1961" w14:textId="77777777" w:rsidR="00023312" w:rsidRDefault="00023312" w:rsidP="001A5D4A">
            <w:pPr>
              <w:pStyle w:val="Note-Refs"/>
            </w:pPr>
          </w:p>
        </w:tc>
        <w:tc>
          <w:tcPr>
            <w:tcW w:w="2567" w:type="pct"/>
            <w:vAlign w:val="bottom"/>
          </w:tcPr>
          <w:p w14:paraId="038A1962" w14:textId="77777777" w:rsidR="00023312" w:rsidRDefault="00023312" w:rsidP="001A5D4A">
            <w:pPr>
              <w:pStyle w:val="NotesTable-ItemPlain"/>
            </w:pPr>
          </w:p>
        </w:tc>
        <w:tc>
          <w:tcPr>
            <w:tcW w:w="811" w:type="pct"/>
            <w:gridSpan w:val="2"/>
          </w:tcPr>
          <w:p w14:paraId="038A1963" w14:textId="77777777" w:rsidR="00023312" w:rsidRDefault="00023312" w:rsidP="001A5D4A">
            <w:pPr>
              <w:pStyle w:val="NotesTable-HeadPlain"/>
              <w:rPr>
                <w:b/>
              </w:rPr>
            </w:pPr>
            <w:r>
              <w:t>Consolidated</w:t>
            </w:r>
          </w:p>
        </w:tc>
        <w:tc>
          <w:tcPr>
            <w:tcW w:w="811" w:type="pct"/>
            <w:gridSpan w:val="2"/>
          </w:tcPr>
          <w:p w14:paraId="038A1964" w14:textId="77777777" w:rsidR="00023312" w:rsidRDefault="00023312" w:rsidP="001A5D4A">
            <w:pPr>
              <w:pStyle w:val="NotesTable-HeadPlain"/>
            </w:pPr>
            <w:r>
              <w:t>Parent entity</w:t>
            </w:r>
          </w:p>
        </w:tc>
      </w:tr>
      <w:tr w:rsidR="00BF5CB8" w14:paraId="038A196C" w14:textId="77777777" w:rsidTr="00FD0D94">
        <w:trPr>
          <w:cantSplit/>
          <w:trHeight w:val="181"/>
        </w:trPr>
        <w:tc>
          <w:tcPr>
            <w:tcW w:w="810" w:type="pct"/>
          </w:tcPr>
          <w:p w14:paraId="038A1966" w14:textId="77777777" w:rsidR="00BF5CB8" w:rsidRDefault="00BF5CB8" w:rsidP="001A5D4A">
            <w:pPr>
              <w:pStyle w:val="Note-Refs"/>
            </w:pPr>
          </w:p>
        </w:tc>
        <w:tc>
          <w:tcPr>
            <w:tcW w:w="2567" w:type="pct"/>
            <w:vAlign w:val="bottom"/>
          </w:tcPr>
          <w:p w14:paraId="038A1967" w14:textId="77777777" w:rsidR="00BF5CB8" w:rsidRDefault="00BF5CB8" w:rsidP="001A5D4A">
            <w:pPr>
              <w:pStyle w:val="NotesTable-ItemPlain"/>
            </w:pPr>
          </w:p>
        </w:tc>
        <w:tc>
          <w:tcPr>
            <w:tcW w:w="406" w:type="pct"/>
          </w:tcPr>
          <w:p w14:paraId="038A1968" w14:textId="68A5F19B" w:rsidR="00BF5CB8" w:rsidRDefault="006864EC" w:rsidP="001A5D4A">
            <w:pPr>
              <w:pStyle w:val="NotesTable-HeadBold"/>
            </w:pPr>
            <w:r>
              <w:t>2014</w:t>
            </w:r>
          </w:p>
        </w:tc>
        <w:tc>
          <w:tcPr>
            <w:tcW w:w="406" w:type="pct"/>
          </w:tcPr>
          <w:p w14:paraId="038A1969" w14:textId="4132A947" w:rsidR="00BF5CB8" w:rsidRDefault="006864EC" w:rsidP="001A5D4A">
            <w:pPr>
              <w:pStyle w:val="NotesTable-HeadPlain"/>
            </w:pPr>
            <w:r>
              <w:t>2013</w:t>
            </w:r>
          </w:p>
        </w:tc>
        <w:tc>
          <w:tcPr>
            <w:tcW w:w="406" w:type="pct"/>
          </w:tcPr>
          <w:p w14:paraId="038A196A" w14:textId="4F94E27B" w:rsidR="00BF5CB8" w:rsidRDefault="006864EC" w:rsidP="001A5D4A">
            <w:pPr>
              <w:pStyle w:val="NotesTable-HeadBold"/>
            </w:pPr>
            <w:r>
              <w:t>2014</w:t>
            </w:r>
          </w:p>
        </w:tc>
        <w:tc>
          <w:tcPr>
            <w:tcW w:w="406" w:type="pct"/>
          </w:tcPr>
          <w:p w14:paraId="038A196B" w14:textId="1DC172C9" w:rsidR="00BF5CB8" w:rsidRDefault="006864EC" w:rsidP="001A5D4A">
            <w:pPr>
              <w:pStyle w:val="NotesTable-HeadPlain"/>
            </w:pPr>
            <w:r>
              <w:t>2013</w:t>
            </w:r>
          </w:p>
        </w:tc>
      </w:tr>
      <w:tr w:rsidR="00BF5CB8" w14:paraId="038A1973" w14:textId="77777777" w:rsidTr="00FD0D94">
        <w:trPr>
          <w:cantSplit/>
          <w:trHeight w:val="181"/>
        </w:trPr>
        <w:tc>
          <w:tcPr>
            <w:tcW w:w="810" w:type="pct"/>
          </w:tcPr>
          <w:p w14:paraId="038A196D" w14:textId="77777777" w:rsidR="00BF5CB8" w:rsidRDefault="00BF5CB8" w:rsidP="001A5D4A">
            <w:pPr>
              <w:pStyle w:val="Note-Refs"/>
            </w:pPr>
          </w:p>
        </w:tc>
        <w:tc>
          <w:tcPr>
            <w:tcW w:w="2567" w:type="pct"/>
            <w:vAlign w:val="bottom"/>
          </w:tcPr>
          <w:p w14:paraId="038A196E" w14:textId="77777777" w:rsidR="00BF5CB8" w:rsidRDefault="00BF5CB8" w:rsidP="001A5D4A">
            <w:pPr>
              <w:pStyle w:val="NotesTable-ItemPlain"/>
            </w:pPr>
          </w:p>
        </w:tc>
        <w:tc>
          <w:tcPr>
            <w:tcW w:w="406" w:type="pct"/>
          </w:tcPr>
          <w:p w14:paraId="038A196F" w14:textId="77777777" w:rsidR="00BF5CB8" w:rsidRDefault="00BF5CB8" w:rsidP="001A5D4A">
            <w:pPr>
              <w:pStyle w:val="NotesTable-HeadBold"/>
            </w:pPr>
            <w:r>
              <w:t>$’000</w:t>
            </w:r>
          </w:p>
        </w:tc>
        <w:tc>
          <w:tcPr>
            <w:tcW w:w="406" w:type="pct"/>
          </w:tcPr>
          <w:p w14:paraId="038A1970" w14:textId="77777777" w:rsidR="00BF5CB8" w:rsidRDefault="00BF5CB8" w:rsidP="001A5D4A">
            <w:pPr>
              <w:pStyle w:val="NotesTable-HeadPlain"/>
            </w:pPr>
            <w:r>
              <w:t>$’000</w:t>
            </w:r>
          </w:p>
        </w:tc>
        <w:tc>
          <w:tcPr>
            <w:tcW w:w="406" w:type="pct"/>
          </w:tcPr>
          <w:p w14:paraId="038A1971" w14:textId="77777777" w:rsidR="00BF5CB8" w:rsidRDefault="00BF5CB8" w:rsidP="001A5D4A">
            <w:pPr>
              <w:pStyle w:val="NotesTable-HeadBold"/>
            </w:pPr>
            <w:r>
              <w:t>$’000</w:t>
            </w:r>
          </w:p>
        </w:tc>
        <w:tc>
          <w:tcPr>
            <w:tcW w:w="406" w:type="pct"/>
          </w:tcPr>
          <w:p w14:paraId="038A1972" w14:textId="77777777" w:rsidR="00BF5CB8" w:rsidRDefault="00BF5CB8" w:rsidP="001A5D4A">
            <w:pPr>
              <w:pStyle w:val="NotesTable-HeadPlain"/>
            </w:pPr>
            <w:r>
              <w:t>$’000</w:t>
            </w:r>
          </w:p>
        </w:tc>
      </w:tr>
      <w:tr w:rsidR="00BF5CB8" w14:paraId="038A197A" w14:textId="77777777" w:rsidTr="00FD0D94">
        <w:trPr>
          <w:cantSplit/>
          <w:trHeight w:val="181"/>
        </w:trPr>
        <w:tc>
          <w:tcPr>
            <w:tcW w:w="810" w:type="pct"/>
          </w:tcPr>
          <w:p w14:paraId="038A1974" w14:textId="7492A803" w:rsidR="00BF5CB8" w:rsidRPr="003C7E6A" w:rsidRDefault="00612612" w:rsidP="001A5D4A">
            <w:pPr>
              <w:pStyle w:val="Note-Refs"/>
            </w:pPr>
            <w:r w:rsidRPr="003C7E6A">
              <w:t>AASB136.126</w:t>
            </w:r>
          </w:p>
        </w:tc>
        <w:tc>
          <w:tcPr>
            <w:tcW w:w="2567" w:type="pct"/>
            <w:vAlign w:val="bottom"/>
          </w:tcPr>
          <w:p w14:paraId="038A1975" w14:textId="77777777" w:rsidR="00BF5CB8" w:rsidRDefault="00BF5CB8" w:rsidP="001A5D4A">
            <w:pPr>
              <w:pStyle w:val="NotesTable-ItemPlain"/>
              <w:rPr>
                <w:b/>
              </w:rPr>
            </w:pPr>
            <w:r>
              <w:t>Bad and Doubtful Debts</w:t>
            </w:r>
          </w:p>
        </w:tc>
        <w:tc>
          <w:tcPr>
            <w:tcW w:w="406" w:type="pct"/>
          </w:tcPr>
          <w:p w14:paraId="038A1976" w14:textId="77777777" w:rsidR="00BF5CB8" w:rsidRDefault="00BF5CB8" w:rsidP="001A5D4A">
            <w:pPr>
              <w:pStyle w:val="NotesTable-CellBold"/>
            </w:pPr>
            <w:r>
              <w:t>–</w:t>
            </w:r>
          </w:p>
        </w:tc>
        <w:tc>
          <w:tcPr>
            <w:tcW w:w="406" w:type="pct"/>
          </w:tcPr>
          <w:p w14:paraId="038A1977" w14:textId="77777777" w:rsidR="00BF5CB8" w:rsidRDefault="00BF5CB8" w:rsidP="001A5D4A">
            <w:pPr>
              <w:pStyle w:val="NotesTable-CellPlain"/>
            </w:pPr>
            <w:r>
              <w:t>–</w:t>
            </w:r>
          </w:p>
        </w:tc>
        <w:tc>
          <w:tcPr>
            <w:tcW w:w="406" w:type="pct"/>
          </w:tcPr>
          <w:p w14:paraId="038A1978" w14:textId="77777777" w:rsidR="00BF5CB8" w:rsidRDefault="00BF5CB8" w:rsidP="001A5D4A">
            <w:pPr>
              <w:pStyle w:val="NotesTable-CellBold"/>
            </w:pPr>
            <w:r>
              <w:t>–</w:t>
            </w:r>
          </w:p>
        </w:tc>
        <w:tc>
          <w:tcPr>
            <w:tcW w:w="406" w:type="pct"/>
          </w:tcPr>
          <w:p w14:paraId="038A1979" w14:textId="77777777" w:rsidR="00BF5CB8" w:rsidRDefault="00BF5CB8" w:rsidP="001A5D4A">
            <w:pPr>
              <w:pStyle w:val="NotesTable-CellPlain"/>
            </w:pPr>
            <w:r>
              <w:t>–</w:t>
            </w:r>
          </w:p>
        </w:tc>
      </w:tr>
      <w:tr w:rsidR="00BF5CB8" w14:paraId="038A1981" w14:textId="77777777" w:rsidTr="00FD0D94">
        <w:trPr>
          <w:cantSplit/>
          <w:trHeight w:val="181"/>
        </w:trPr>
        <w:tc>
          <w:tcPr>
            <w:tcW w:w="810" w:type="pct"/>
          </w:tcPr>
          <w:p w14:paraId="038A197B" w14:textId="77777777" w:rsidR="00BF5CB8" w:rsidRDefault="00BF5CB8" w:rsidP="001A5D4A">
            <w:pPr>
              <w:pStyle w:val="Note-Refs"/>
            </w:pPr>
          </w:p>
        </w:tc>
        <w:tc>
          <w:tcPr>
            <w:tcW w:w="2567" w:type="pct"/>
            <w:vAlign w:val="bottom"/>
          </w:tcPr>
          <w:p w14:paraId="038A197C" w14:textId="77777777" w:rsidR="00BF5CB8" w:rsidRDefault="00BF5CB8" w:rsidP="001A5D4A">
            <w:pPr>
              <w:pStyle w:val="NotesTable-ItemPlain"/>
              <w:rPr>
                <w:b/>
              </w:rPr>
            </w:pPr>
            <w:r>
              <w:t>Impairment of Investments</w:t>
            </w:r>
          </w:p>
        </w:tc>
        <w:tc>
          <w:tcPr>
            <w:tcW w:w="406" w:type="pct"/>
          </w:tcPr>
          <w:p w14:paraId="038A197D" w14:textId="77777777" w:rsidR="00BF5CB8" w:rsidRDefault="00BF5CB8" w:rsidP="001A5D4A">
            <w:pPr>
              <w:pStyle w:val="NotesTable-CellBold"/>
            </w:pPr>
            <w:r>
              <w:t>–</w:t>
            </w:r>
          </w:p>
        </w:tc>
        <w:tc>
          <w:tcPr>
            <w:tcW w:w="406" w:type="pct"/>
          </w:tcPr>
          <w:p w14:paraId="038A197E" w14:textId="77777777" w:rsidR="00BF5CB8" w:rsidRDefault="00BF5CB8" w:rsidP="001A5D4A">
            <w:pPr>
              <w:pStyle w:val="NotesTable-CellPlain"/>
            </w:pPr>
            <w:r>
              <w:t>–</w:t>
            </w:r>
          </w:p>
        </w:tc>
        <w:tc>
          <w:tcPr>
            <w:tcW w:w="406" w:type="pct"/>
          </w:tcPr>
          <w:p w14:paraId="038A197F" w14:textId="77777777" w:rsidR="00BF5CB8" w:rsidRDefault="00BF5CB8" w:rsidP="001A5D4A">
            <w:pPr>
              <w:pStyle w:val="NotesTable-CellBold"/>
            </w:pPr>
            <w:r>
              <w:t>–</w:t>
            </w:r>
          </w:p>
        </w:tc>
        <w:tc>
          <w:tcPr>
            <w:tcW w:w="406" w:type="pct"/>
          </w:tcPr>
          <w:p w14:paraId="038A1980" w14:textId="77777777" w:rsidR="00BF5CB8" w:rsidRDefault="00BF5CB8" w:rsidP="001A5D4A">
            <w:pPr>
              <w:pStyle w:val="NotesTable-CellPlain"/>
            </w:pPr>
            <w:r>
              <w:t>–</w:t>
            </w:r>
          </w:p>
        </w:tc>
      </w:tr>
      <w:tr w:rsidR="00BF5CB8" w14:paraId="038A1988" w14:textId="77777777" w:rsidTr="00FD0D94">
        <w:trPr>
          <w:cantSplit/>
          <w:trHeight w:val="181"/>
        </w:trPr>
        <w:tc>
          <w:tcPr>
            <w:tcW w:w="810" w:type="pct"/>
          </w:tcPr>
          <w:p w14:paraId="038A1982" w14:textId="77777777" w:rsidR="00BF5CB8" w:rsidRDefault="00BF5CB8" w:rsidP="001A5D4A">
            <w:pPr>
              <w:pStyle w:val="Note-Refs"/>
            </w:pPr>
          </w:p>
        </w:tc>
        <w:tc>
          <w:tcPr>
            <w:tcW w:w="2567" w:type="pct"/>
            <w:vAlign w:val="bottom"/>
          </w:tcPr>
          <w:p w14:paraId="038A1983" w14:textId="77777777" w:rsidR="00BF5CB8" w:rsidRDefault="00BF5CB8" w:rsidP="001A5D4A">
            <w:pPr>
              <w:pStyle w:val="NotesTable-ItemPlain"/>
              <w:rPr>
                <w:b/>
              </w:rPr>
            </w:pPr>
            <w:r>
              <w:t>[Specify]</w:t>
            </w:r>
          </w:p>
        </w:tc>
        <w:tc>
          <w:tcPr>
            <w:tcW w:w="406" w:type="pct"/>
            <w:tcBorders>
              <w:bottom w:val="single" w:sz="4" w:space="0" w:color="auto"/>
            </w:tcBorders>
          </w:tcPr>
          <w:p w14:paraId="038A1984" w14:textId="77777777" w:rsidR="00BF5CB8" w:rsidRDefault="00BF5CB8" w:rsidP="001A5D4A">
            <w:pPr>
              <w:pStyle w:val="NotesTable-CellBold"/>
            </w:pPr>
            <w:r>
              <w:t>–</w:t>
            </w:r>
          </w:p>
        </w:tc>
        <w:tc>
          <w:tcPr>
            <w:tcW w:w="406" w:type="pct"/>
            <w:tcBorders>
              <w:bottom w:val="single" w:sz="4" w:space="0" w:color="auto"/>
            </w:tcBorders>
          </w:tcPr>
          <w:p w14:paraId="038A1985" w14:textId="77777777" w:rsidR="00BF5CB8" w:rsidRDefault="00BF5CB8" w:rsidP="001A5D4A">
            <w:pPr>
              <w:pStyle w:val="NotesTable-CellPlain"/>
            </w:pPr>
            <w:r>
              <w:t>–</w:t>
            </w:r>
          </w:p>
        </w:tc>
        <w:tc>
          <w:tcPr>
            <w:tcW w:w="406" w:type="pct"/>
            <w:tcBorders>
              <w:bottom w:val="single" w:sz="4" w:space="0" w:color="auto"/>
            </w:tcBorders>
          </w:tcPr>
          <w:p w14:paraId="038A1986" w14:textId="77777777" w:rsidR="00BF5CB8" w:rsidRDefault="00BF5CB8" w:rsidP="001A5D4A">
            <w:pPr>
              <w:pStyle w:val="NotesTable-CellBold"/>
            </w:pPr>
            <w:r>
              <w:t>–</w:t>
            </w:r>
          </w:p>
        </w:tc>
        <w:tc>
          <w:tcPr>
            <w:tcW w:w="406" w:type="pct"/>
            <w:tcBorders>
              <w:bottom w:val="single" w:sz="4" w:space="0" w:color="auto"/>
            </w:tcBorders>
          </w:tcPr>
          <w:p w14:paraId="038A1987" w14:textId="77777777" w:rsidR="00BF5CB8" w:rsidRDefault="00BF5CB8" w:rsidP="001A5D4A">
            <w:pPr>
              <w:pStyle w:val="NotesTable-CellPlain"/>
            </w:pPr>
            <w:r>
              <w:t>–</w:t>
            </w:r>
          </w:p>
        </w:tc>
      </w:tr>
      <w:tr w:rsidR="00BF5CB8" w14:paraId="038A198F" w14:textId="77777777" w:rsidTr="00FD0D94">
        <w:trPr>
          <w:cantSplit/>
          <w:trHeight w:val="181"/>
        </w:trPr>
        <w:tc>
          <w:tcPr>
            <w:tcW w:w="810" w:type="pct"/>
          </w:tcPr>
          <w:p w14:paraId="038A1989" w14:textId="77777777" w:rsidR="00BF5CB8" w:rsidRDefault="00BF5CB8" w:rsidP="001A5D4A">
            <w:pPr>
              <w:pStyle w:val="Note-Refs"/>
            </w:pPr>
          </w:p>
        </w:tc>
        <w:tc>
          <w:tcPr>
            <w:tcW w:w="2567" w:type="pct"/>
            <w:vAlign w:val="bottom"/>
          </w:tcPr>
          <w:p w14:paraId="038A198A" w14:textId="77777777" w:rsidR="00BF5CB8" w:rsidRDefault="00BF5CB8" w:rsidP="001A5D4A">
            <w:pPr>
              <w:pStyle w:val="NotesTable-ItemPlain"/>
              <w:rPr>
                <w:b/>
              </w:rPr>
            </w:pPr>
            <w:r>
              <w:t>Total impairment of assets</w:t>
            </w:r>
          </w:p>
        </w:tc>
        <w:tc>
          <w:tcPr>
            <w:tcW w:w="406" w:type="pct"/>
            <w:tcBorders>
              <w:top w:val="single" w:sz="4" w:space="0" w:color="auto"/>
            </w:tcBorders>
          </w:tcPr>
          <w:p w14:paraId="038A198B" w14:textId="77777777" w:rsidR="00BF5CB8" w:rsidRDefault="00BF5CB8" w:rsidP="001A5D4A">
            <w:pPr>
              <w:pStyle w:val="NotesTable-CellBold"/>
            </w:pPr>
            <w:r>
              <w:t>–</w:t>
            </w:r>
          </w:p>
        </w:tc>
        <w:tc>
          <w:tcPr>
            <w:tcW w:w="406" w:type="pct"/>
            <w:tcBorders>
              <w:top w:val="single" w:sz="4" w:space="0" w:color="auto"/>
            </w:tcBorders>
          </w:tcPr>
          <w:p w14:paraId="038A198C" w14:textId="77777777" w:rsidR="00BF5CB8" w:rsidRDefault="00BF5CB8" w:rsidP="001A5D4A">
            <w:pPr>
              <w:pStyle w:val="NotesTable-CellPlain"/>
            </w:pPr>
            <w:r>
              <w:t>–</w:t>
            </w:r>
          </w:p>
        </w:tc>
        <w:tc>
          <w:tcPr>
            <w:tcW w:w="406" w:type="pct"/>
            <w:tcBorders>
              <w:top w:val="single" w:sz="4" w:space="0" w:color="auto"/>
            </w:tcBorders>
          </w:tcPr>
          <w:p w14:paraId="038A198D" w14:textId="77777777" w:rsidR="00BF5CB8" w:rsidRDefault="00BF5CB8" w:rsidP="001A5D4A">
            <w:pPr>
              <w:pStyle w:val="NotesTable-CellBold"/>
            </w:pPr>
            <w:r>
              <w:t>–</w:t>
            </w:r>
          </w:p>
        </w:tc>
        <w:tc>
          <w:tcPr>
            <w:tcW w:w="406" w:type="pct"/>
            <w:tcBorders>
              <w:top w:val="single" w:sz="4" w:space="0" w:color="auto"/>
            </w:tcBorders>
          </w:tcPr>
          <w:p w14:paraId="038A198E" w14:textId="77777777" w:rsidR="00BF5CB8" w:rsidRDefault="00BF5CB8" w:rsidP="001A5D4A">
            <w:pPr>
              <w:pStyle w:val="NotesTable-CellPlain"/>
            </w:pPr>
            <w:r>
              <w:t>–</w:t>
            </w:r>
          </w:p>
        </w:tc>
      </w:tr>
    </w:tbl>
    <w:p w14:paraId="4298A2E1" w14:textId="77777777" w:rsidR="00236F7B" w:rsidRDefault="00236F7B">
      <w:pPr>
        <w:spacing w:after="0"/>
        <w:rPr>
          <w:rFonts w:asciiTheme="majorHAnsi" w:eastAsiaTheme="majorEastAsia" w:hAnsiTheme="majorHAnsi"/>
          <w:b/>
          <w:bCs/>
          <w:sz w:val="28"/>
          <w:szCs w:val="26"/>
        </w:rPr>
      </w:pPr>
      <w:bookmarkStart w:id="290" w:name="_Toc410807618"/>
      <w:bookmarkStart w:id="291" w:name="_Toc410822679"/>
      <w:r>
        <w:br w:type="page"/>
      </w:r>
    </w:p>
    <w:p w14:paraId="0B016D98" w14:textId="19754304" w:rsidR="006B68EB" w:rsidRDefault="006B68EB" w:rsidP="00236F7B">
      <w:pPr>
        <w:pStyle w:val="Heading2"/>
      </w:pPr>
      <w:proofErr w:type="gramStart"/>
      <w:r w:rsidRPr="006B68EB">
        <w:lastRenderedPageBreak/>
        <w:t>Note 15.</w:t>
      </w:r>
      <w:proofErr w:type="gramEnd"/>
      <w:r>
        <w:t xml:space="preserve"> </w:t>
      </w:r>
      <w:r w:rsidRPr="006B68EB">
        <w:t>Other expenses</w:t>
      </w:r>
      <w:bookmarkEnd w:id="290"/>
      <w:bookmarkEnd w:id="291"/>
    </w:p>
    <w:p w14:paraId="0D504A0F" w14:textId="3A4F11C1" w:rsidR="006B68EB" w:rsidRPr="006B68EB" w:rsidRDefault="006B68EB" w:rsidP="001A5D4A">
      <w:r>
        <w:t>Mandatory</w:t>
      </w:r>
    </w:p>
    <w:tbl>
      <w:tblPr>
        <w:tblW w:w="5000" w:type="pct"/>
        <w:tblCellMar>
          <w:left w:w="0" w:type="dxa"/>
          <w:right w:w="0" w:type="dxa"/>
        </w:tblCellMar>
        <w:tblLook w:val="0000" w:firstRow="0" w:lastRow="0" w:firstColumn="0" w:lastColumn="0" w:noHBand="0" w:noVBand="0"/>
      </w:tblPr>
      <w:tblGrid>
        <w:gridCol w:w="1567"/>
        <w:gridCol w:w="4955"/>
        <w:gridCol w:w="782"/>
        <w:gridCol w:w="784"/>
        <w:gridCol w:w="782"/>
        <w:gridCol w:w="881"/>
      </w:tblGrid>
      <w:tr w:rsidR="009F544F" w14:paraId="038A1998" w14:textId="77777777" w:rsidTr="00FD0D94">
        <w:trPr>
          <w:cantSplit/>
          <w:trHeight w:val="181"/>
        </w:trPr>
        <w:tc>
          <w:tcPr>
            <w:tcW w:w="803" w:type="pct"/>
          </w:tcPr>
          <w:p w14:paraId="038A1994" w14:textId="77777777" w:rsidR="009F544F" w:rsidRDefault="009F544F" w:rsidP="001A5D4A">
            <w:pPr>
              <w:pStyle w:val="Note-Refs"/>
            </w:pPr>
          </w:p>
        </w:tc>
        <w:tc>
          <w:tcPr>
            <w:tcW w:w="2541" w:type="pct"/>
            <w:vAlign w:val="bottom"/>
          </w:tcPr>
          <w:p w14:paraId="038A1995" w14:textId="77777777" w:rsidR="009F544F" w:rsidRDefault="009F544F" w:rsidP="001A5D4A">
            <w:pPr>
              <w:pStyle w:val="NotesTable-ItemPlain"/>
            </w:pPr>
          </w:p>
        </w:tc>
        <w:tc>
          <w:tcPr>
            <w:tcW w:w="803" w:type="pct"/>
            <w:gridSpan w:val="2"/>
          </w:tcPr>
          <w:p w14:paraId="038A1996" w14:textId="77777777" w:rsidR="009F544F" w:rsidRDefault="009F544F" w:rsidP="001A5D4A">
            <w:pPr>
              <w:pStyle w:val="NotesTable-HeadPlain"/>
              <w:rPr>
                <w:b/>
              </w:rPr>
            </w:pPr>
            <w:r>
              <w:t>Consolidated</w:t>
            </w:r>
          </w:p>
        </w:tc>
        <w:tc>
          <w:tcPr>
            <w:tcW w:w="854" w:type="pct"/>
            <w:gridSpan w:val="2"/>
          </w:tcPr>
          <w:p w14:paraId="038A1997" w14:textId="77777777" w:rsidR="009F544F" w:rsidRDefault="009F544F" w:rsidP="001A5D4A">
            <w:pPr>
              <w:pStyle w:val="NotesTable-HeadPlain"/>
            </w:pPr>
            <w:r>
              <w:t>Parent entity</w:t>
            </w:r>
          </w:p>
        </w:tc>
      </w:tr>
      <w:tr w:rsidR="00BF5CB8" w14:paraId="038A199F" w14:textId="77777777" w:rsidTr="00FD0D94">
        <w:trPr>
          <w:cantSplit/>
          <w:trHeight w:val="181"/>
        </w:trPr>
        <w:tc>
          <w:tcPr>
            <w:tcW w:w="803" w:type="pct"/>
          </w:tcPr>
          <w:p w14:paraId="038A1999" w14:textId="77777777" w:rsidR="00BF5CB8" w:rsidRDefault="00BF5CB8" w:rsidP="001A5D4A">
            <w:pPr>
              <w:pStyle w:val="Note-Refs"/>
            </w:pPr>
          </w:p>
        </w:tc>
        <w:tc>
          <w:tcPr>
            <w:tcW w:w="2541" w:type="pct"/>
            <w:vAlign w:val="bottom"/>
          </w:tcPr>
          <w:p w14:paraId="038A199A" w14:textId="77777777" w:rsidR="00BF5CB8" w:rsidRDefault="00BF5CB8" w:rsidP="001A5D4A">
            <w:pPr>
              <w:pStyle w:val="NotesTable-ItemPlain"/>
            </w:pPr>
          </w:p>
        </w:tc>
        <w:tc>
          <w:tcPr>
            <w:tcW w:w="401" w:type="pct"/>
          </w:tcPr>
          <w:p w14:paraId="038A199B" w14:textId="215D444A" w:rsidR="00BF5CB8" w:rsidRDefault="006864EC" w:rsidP="001A5D4A">
            <w:pPr>
              <w:pStyle w:val="NotesTable-HeadBold"/>
            </w:pPr>
            <w:r>
              <w:t>2014</w:t>
            </w:r>
          </w:p>
        </w:tc>
        <w:tc>
          <w:tcPr>
            <w:tcW w:w="401" w:type="pct"/>
          </w:tcPr>
          <w:p w14:paraId="038A199C" w14:textId="1211985D" w:rsidR="00BF5CB8" w:rsidRDefault="006864EC" w:rsidP="001A5D4A">
            <w:pPr>
              <w:pStyle w:val="NotesTable-HeadPlain"/>
            </w:pPr>
            <w:r>
              <w:t>2013</w:t>
            </w:r>
          </w:p>
        </w:tc>
        <w:tc>
          <w:tcPr>
            <w:tcW w:w="401" w:type="pct"/>
          </w:tcPr>
          <w:p w14:paraId="038A199D" w14:textId="480ED438" w:rsidR="00BF5CB8" w:rsidRDefault="006864EC" w:rsidP="001A5D4A">
            <w:pPr>
              <w:pStyle w:val="NotesTable-HeadBold"/>
            </w:pPr>
            <w:r>
              <w:t>2014</w:t>
            </w:r>
          </w:p>
        </w:tc>
        <w:tc>
          <w:tcPr>
            <w:tcW w:w="452" w:type="pct"/>
          </w:tcPr>
          <w:p w14:paraId="038A199E" w14:textId="7BF0372A" w:rsidR="00BF5CB8" w:rsidRDefault="006864EC" w:rsidP="001A5D4A">
            <w:pPr>
              <w:pStyle w:val="NotesTable-HeadPlain"/>
            </w:pPr>
            <w:r>
              <w:t>2013</w:t>
            </w:r>
          </w:p>
        </w:tc>
      </w:tr>
      <w:tr w:rsidR="00BF5CB8" w14:paraId="038A19A6" w14:textId="77777777" w:rsidTr="00FD0D94">
        <w:trPr>
          <w:cantSplit/>
          <w:trHeight w:val="181"/>
        </w:trPr>
        <w:tc>
          <w:tcPr>
            <w:tcW w:w="803" w:type="pct"/>
          </w:tcPr>
          <w:p w14:paraId="038A19A0" w14:textId="77777777" w:rsidR="00BF5CB8" w:rsidRDefault="00BF5CB8" w:rsidP="001A5D4A">
            <w:pPr>
              <w:pStyle w:val="Note-Refs"/>
            </w:pPr>
          </w:p>
        </w:tc>
        <w:tc>
          <w:tcPr>
            <w:tcW w:w="2541" w:type="pct"/>
            <w:vAlign w:val="bottom"/>
          </w:tcPr>
          <w:p w14:paraId="038A19A1" w14:textId="77777777" w:rsidR="00BF5CB8" w:rsidRDefault="00BF5CB8" w:rsidP="001A5D4A">
            <w:pPr>
              <w:pStyle w:val="NotesTable-ItemPlain"/>
            </w:pPr>
          </w:p>
        </w:tc>
        <w:tc>
          <w:tcPr>
            <w:tcW w:w="401" w:type="pct"/>
          </w:tcPr>
          <w:p w14:paraId="038A19A2" w14:textId="77777777" w:rsidR="00BF5CB8" w:rsidRDefault="00BF5CB8" w:rsidP="001A5D4A">
            <w:pPr>
              <w:pStyle w:val="NotesTable-HeadBold"/>
            </w:pPr>
            <w:r>
              <w:t>$’000</w:t>
            </w:r>
          </w:p>
        </w:tc>
        <w:tc>
          <w:tcPr>
            <w:tcW w:w="401" w:type="pct"/>
          </w:tcPr>
          <w:p w14:paraId="038A19A3" w14:textId="77777777" w:rsidR="00BF5CB8" w:rsidRDefault="00BF5CB8" w:rsidP="001A5D4A">
            <w:pPr>
              <w:pStyle w:val="NotesTable-HeadPlain"/>
            </w:pPr>
            <w:r>
              <w:t>$’000</w:t>
            </w:r>
          </w:p>
        </w:tc>
        <w:tc>
          <w:tcPr>
            <w:tcW w:w="401" w:type="pct"/>
          </w:tcPr>
          <w:p w14:paraId="038A19A4" w14:textId="77777777" w:rsidR="00BF5CB8" w:rsidRDefault="00BF5CB8" w:rsidP="001A5D4A">
            <w:pPr>
              <w:pStyle w:val="NotesTable-HeadBold"/>
            </w:pPr>
            <w:r>
              <w:t>$’000</w:t>
            </w:r>
          </w:p>
        </w:tc>
        <w:tc>
          <w:tcPr>
            <w:tcW w:w="452" w:type="pct"/>
          </w:tcPr>
          <w:p w14:paraId="038A19A5" w14:textId="77777777" w:rsidR="00BF5CB8" w:rsidRDefault="00BF5CB8" w:rsidP="001A5D4A">
            <w:pPr>
              <w:pStyle w:val="NotesTable-HeadPlain"/>
            </w:pPr>
            <w:r>
              <w:t>$’000</w:t>
            </w:r>
          </w:p>
        </w:tc>
      </w:tr>
      <w:tr w:rsidR="009F544F" w14:paraId="038A19AD" w14:textId="77777777" w:rsidTr="00FD0D94">
        <w:trPr>
          <w:cantSplit/>
          <w:trHeight w:val="181"/>
        </w:trPr>
        <w:tc>
          <w:tcPr>
            <w:tcW w:w="803" w:type="pct"/>
            <w:vAlign w:val="center"/>
          </w:tcPr>
          <w:p w14:paraId="038A19A7" w14:textId="77777777" w:rsidR="009F544F" w:rsidRDefault="00B90CFC" w:rsidP="001A5D4A">
            <w:pPr>
              <w:pStyle w:val="Note-Refs"/>
              <w:rPr>
                <w:b/>
              </w:rPr>
            </w:pPr>
            <w:r>
              <w:t>EDUCATION</w:t>
            </w:r>
            <w:r w:rsidR="009F544F">
              <w:t xml:space="preserve"> </w:t>
            </w:r>
          </w:p>
        </w:tc>
        <w:tc>
          <w:tcPr>
            <w:tcW w:w="2541" w:type="pct"/>
            <w:shd w:val="clear" w:color="auto" w:fill="CCCCCC"/>
            <w:vAlign w:val="bottom"/>
          </w:tcPr>
          <w:p w14:paraId="038A19A8" w14:textId="77777777" w:rsidR="009F544F" w:rsidRDefault="009F544F" w:rsidP="001A5D4A">
            <w:pPr>
              <w:pStyle w:val="NotesTable-ItemPlain"/>
              <w:rPr>
                <w:b/>
              </w:rPr>
            </w:pPr>
            <w:r>
              <w:t>Scholarships, grants and prizes</w:t>
            </w:r>
          </w:p>
        </w:tc>
        <w:tc>
          <w:tcPr>
            <w:tcW w:w="401" w:type="pct"/>
            <w:shd w:val="clear" w:color="auto" w:fill="CCCCCC"/>
          </w:tcPr>
          <w:p w14:paraId="038A19A9" w14:textId="77777777" w:rsidR="009F544F" w:rsidRDefault="009F544F" w:rsidP="001A5D4A">
            <w:pPr>
              <w:pStyle w:val="NotesTable-CellBold"/>
            </w:pPr>
            <w:r>
              <w:t>–</w:t>
            </w:r>
          </w:p>
        </w:tc>
        <w:tc>
          <w:tcPr>
            <w:tcW w:w="401" w:type="pct"/>
            <w:shd w:val="clear" w:color="auto" w:fill="CCCCCC"/>
          </w:tcPr>
          <w:p w14:paraId="038A19AA" w14:textId="77777777" w:rsidR="009F544F" w:rsidRDefault="009F544F" w:rsidP="001A5D4A">
            <w:pPr>
              <w:pStyle w:val="NotesTable-CellPlain"/>
            </w:pPr>
            <w:r>
              <w:t>–</w:t>
            </w:r>
          </w:p>
        </w:tc>
        <w:tc>
          <w:tcPr>
            <w:tcW w:w="401" w:type="pct"/>
            <w:shd w:val="clear" w:color="auto" w:fill="CCCCCC"/>
          </w:tcPr>
          <w:p w14:paraId="038A19AB" w14:textId="77777777" w:rsidR="009F544F" w:rsidRDefault="009F544F" w:rsidP="001A5D4A">
            <w:pPr>
              <w:pStyle w:val="NotesTable-CellBold"/>
            </w:pPr>
            <w:r>
              <w:t>–</w:t>
            </w:r>
          </w:p>
        </w:tc>
        <w:tc>
          <w:tcPr>
            <w:tcW w:w="452" w:type="pct"/>
            <w:shd w:val="clear" w:color="auto" w:fill="CCCCCC"/>
          </w:tcPr>
          <w:p w14:paraId="038A19AC" w14:textId="77777777" w:rsidR="009F544F" w:rsidRDefault="009F544F" w:rsidP="001A5D4A">
            <w:pPr>
              <w:pStyle w:val="NotesTable-CellPlain"/>
            </w:pPr>
            <w:r>
              <w:t>–</w:t>
            </w:r>
          </w:p>
        </w:tc>
      </w:tr>
      <w:tr w:rsidR="009F544F" w14:paraId="038A19B4" w14:textId="77777777" w:rsidTr="00FD0D94">
        <w:trPr>
          <w:cantSplit/>
          <w:trHeight w:val="181"/>
        </w:trPr>
        <w:tc>
          <w:tcPr>
            <w:tcW w:w="803" w:type="pct"/>
            <w:vAlign w:val="center"/>
          </w:tcPr>
          <w:p w14:paraId="038A19AE" w14:textId="77777777" w:rsidR="009F544F" w:rsidRDefault="009F544F" w:rsidP="001A5D4A">
            <w:pPr>
              <w:pStyle w:val="Note-Refs"/>
            </w:pPr>
          </w:p>
        </w:tc>
        <w:tc>
          <w:tcPr>
            <w:tcW w:w="2541" w:type="pct"/>
            <w:shd w:val="clear" w:color="auto" w:fill="CCCCCC"/>
            <w:vAlign w:val="bottom"/>
          </w:tcPr>
          <w:p w14:paraId="038A19AF" w14:textId="77777777" w:rsidR="009F544F" w:rsidRDefault="009F544F" w:rsidP="001A5D4A">
            <w:pPr>
              <w:pStyle w:val="NotesTable-ItemPlain"/>
              <w:rPr>
                <w:b/>
              </w:rPr>
            </w:pPr>
            <w:r>
              <w:t>Non-capitalised equipment</w:t>
            </w:r>
          </w:p>
        </w:tc>
        <w:tc>
          <w:tcPr>
            <w:tcW w:w="401" w:type="pct"/>
            <w:shd w:val="clear" w:color="auto" w:fill="CCCCCC"/>
          </w:tcPr>
          <w:p w14:paraId="038A19B0" w14:textId="77777777" w:rsidR="009F544F" w:rsidRDefault="009F544F" w:rsidP="001A5D4A">
            <w:pPr>
              <w:pStyle w:val="NotesTable-CellBold"/>
            </w:pPr>
            <w:r>
              <w:t>–</w:t>
            </w:r>
          </w:p>
        </w:tc>
        <w:tc>
          <w:tcPr>
            <w:tcW w:w="401" w:type="pct"/>
            <w:shd w:val="clear" w:color="auto" w:fill="CCCCCC"/>
          </w:tcPr>
          <w:p w14:paraId="038A19B1" w14:textId="77777777" w:rsidR="009F544F" w:rsidRDefault="009F544F" w:rsidP="001A5D4A">
            <w:pPr>
              <w:pStyle w:val="NotesTable-CellPlain"/>
            </w:pPr>
            <w:r>
              <w:t>–</w:t>
            </w:r>
          </w:p>
        </w:tc>
        <w:tc>
          <w:tcPr>
            <w:tcW w:w="401" w:type="pct"/>
            <w:shd w:val="clear" w:color="auto" w:fill="CCCCCC"/>
          </w:tcPr>
          <w:p w14:paraId="038A19B2" w14:textId="77777777" w:rsidR="009F544F" w:rsidRDefault="009F544F" w:rsidP="001A5D4A">
            <w:pPr>
              <w:pStyle w:val="NotesTable-CellBold"/>
            </w:pPr>
            <w:r>
              <w:t>–</w:t>
            </w:r>
          </w:p>
        </w:tc>
        <w:tc>
          <w:tcPr>
            <w:tcW w:w="452" w:type="pct"/>
            <w:shd w:val="clear" w:color="auto" w:fill="CCCCCC"/>
          </w:tcPr>
          <w:p w14:paraId="038A19B3" w14:textId="77777777" w:rsidR="009F544F" w:rsidRDefault="009F544F" w:rsidP="001A5D4A">
            <w:pPr>
              <w:pStyle w:val="NotesTable-CellPlain"/>
            </w:pPr>
            <w:r>
              <w:t>–</w:t>
            </w:r>
          </w:p>
        </w:tc>
      </w:tr>
      <w:tr w:rsidR="009F544F" w14:paraId="038A19BB" w14:textId="77777777" w:rsidTr="00FD0D94">
        <w:trPr>
          <w:cantSplit/>
          <w:trHeight w:val="181"/>
        </w:trPr>
        <w:tc>
          <w:tcPr>
            <w:tcW w:w="803" w:type="pct"/>
            <w:vAlign w:val="center"/>
          </w:tcPr>
          <w:p w14:paraId="038A19B5" w14:textId="77777777" w:rsidR="009F544F" w:rsidRDefault="009F544F" w:rsidP="001A5D4A">
            <w:pPr>
              <w:pStyle w:val="Note-Refs"/>
            </w:pPr>
          </w:p>
        </w:tc>
        <w:tc>
          <w:tcPr>
            <w:tcW w:w="2541" w:type="pct"/>
            <w:shd w:val="clear" w:color="auto" w:fill="CCCCCC"/>
            <w:vAlign w:val="bottom"/>
          </w:tcPr>
          <w:p w14:paraId="038A19B6" w14:textId="77777777" w:rsidR="009F544F" w:rsidRDefault="009F544F" w:rsidP="001A5D4A">
            <w:pPr>
              <w:pStyle w:val="NotesTable-ItemPlain"/>
              <w:rPr>
                <w:b/>
              </w:rPr>
            </w:pPr>
            <w:r>
              <w:t>Advertising, marketing and promotional expenses</w:t>
            </w:r>
          </w:p>
        </w:tc>
        <w:tc>
          <w:tcPr>
            <w:tcW w:w="401" w:type="pct"/>
            <w:shd w:val="clear" w:color="auto" w:fill="CCCCCC"/>
          </w:tcPr>
          <w:p w14:paraId="038A19B7" w14:textId="77777777" w:rsidR="009F544F" w:rsidRDefault="009F544F" w:rsidP="001A5D4A">
            <w:pPr>
              <w:pStyle w:val="NotesTable-CellBold"/>
            </w:pPr>
            <w:r>
              <w:t>–</w:t>
            </w:r>
          </w:p>
        </w:tc>
        <w:tc>
          <w:tcPr>
            <w:tcW w:w="401" w:type="pct"/>
            <w:shd w:val="clear" w:color="auto" w:fill="CCCCCC"/>
          </w:tcPr>
          <w:p w14:paraId="038A19B8" w14:textId="77777777" w:rsidR="009F544F" w:rsidRDefault="009F544F" w:rsidP="001A5D4A">
            <w:pPr>
              <w:pStyle w:val="NotesTable-CellPlain"/>
            </w:pPr>
            <w:r>
              <w:t>–</w:t>
            </w:r>
          </w:p>
        </w:tc>
        <w:tc>
          <w:tcPr>
            <w:tcW w:w="401" w:type="pct"/>
            <w:shd w:val="clear" w:color="auto" w:fill="CCCCCC"/>
          </w:tcPr>
          <w:p w14:paraId="038A19B9" w14:textId="77777777" w:rsidR="009F544F" w:rsidRDefault="009F544F" w:rsidP="001A5D4A">
            <w:pPr>
              <w:pStyle w:val="NotesTable-CellBold"/>
            </w:pPr>
            <w:r>
              <w:t>–</w:t>
            </w:r>
          </w:p>
        </w:tc>
        <w:tc>
          <w:tcPr>
            <w:tcW w:w="452" w:type="pct"/>
            <w:shd w:val="clear" w:color="auto" w:fill="CCCCCC"/>
          </w:tcPr>
          <w:p w14:paraId="038A19BA" w14:textId="77777777" w:rsidR="009F544F" w:rsidRDefault="009F544F" w:rsidP="001A5D4A">
            <w:pPr>
              <w:pStyle w:val="NotesTable-CellPlain"/>
            </w:pPr>
            <w:r>
              <w:t>–</w:t>
            </w:r>
          </w:p>
        </w:tc>
      </w:tr>
      <w:tr w:rsidR="00B36AF3" w14:paraId="038A19C2" w14:textId="77777777" w:rsidTr="00FD0D94">
        <w:trPr>
          <w:cantSplit/>
          <w:trHeight w:val="181"/>
        </w:trPr>
        <w:tc>
          <w:tcPr>
            <w:tcW w:w="803" w:type="pct"/>
          </w:tcPr>
          <w:p w14:paraId="038A19BC" w14:textId="77777777" w:rsidR="00B36AF3" w:rsidRDefault="00B36AF3" w:rsidP="001A5D4A">
            <w:pPr>
              <w:pStyle w:val="Note-Refs"/>
            </w:pPr>
          </w:p>
        </w:tc>
        <w:tc>
          <w:tcPr>
            <w:tcW w:w="2541" w:type="pct"/>
            <w:vAlign w:val="bottom"/>
          </w:tcPr>
          <w:p w14:paraId="038A19BD" w14:textId="77777777" w:rsidR="00B36AF3" w:rsidRDefault="00B36AF3" w:rsidP="001A5D4A">
            <w:pPr>
              <w:pStyle w:val="NotesTable-ItemPlain"/>
              <w:rPr>
                <w:b/>
              </w:rPr>
            </w:pPr>
            <w:r>
              <w:t>[Specify]</w:t>
            </w:r>
          </w:p>
        </w:tc>
        <w:tc>
          <w:tcPr>
            <w:tcW w:w="401" w:type="pct"/>
          </w:tcPr>
          <w:p w14:paraId="038A19BE" w14:textId="77777777" w:rsidR="00B36AF3" w:rsidRDefault="00B36AF3" w:rsidP="001A5D4A">
            <w:pPr>
              <w:pStyle w:val="NotesTable-CellBold"/>
            </w:pPr>
            <w:r>
              <w:t>–</w:t>
            </w:r>
          </w:p>
        </w:tc>
        <w:tc>
          <w:tcPr>
            <w:tcW w:w="401" w:type="pct"/>
          </w:tcPr>
          <w:p w14:paraId="038A19BF" w14:textId="77777777" w:rsidR="00B36AF3" w:rsidRDefault="00B36AF3" w:rsidP="001A5D4A">
            <w:pPr>
              <w:pStyle w:val="NotesTable-CellPlain"/>
              <w:rPr>
                <w:lang w:val="en-GB"/>
              </w:rPr>
            </w:pPr>
            <w:r>
              <w:t>–</w:t>
            </w:r>
          </w:p>
        </w:tc>
        <w:tc>
          <w:tcPr>
            <w:tcW w:w="401" w:type="pct"/>
          </w:tcPr>
          <w:p w14:paraId="038A19C0" w14:textId="77777777" w:rsidR="00B36AF3" w:rsidRDefault="00B36AF3" w:rsidP="001A5D4A">
            <w:pPr>
              <w:pStyle w:val="NotesTable-CellBold"/>
              <w:rPr>
                <w:lang w:val="en-GB"/>
              </w:rPr>
            </w:pPr>
            <w:r>
              <w:t>–</w:t>
            </w:r>
          </w:p>
        </w:tc>
        <w:tc>
          <w:tcPr>
            <w:tcW w:w="452" w:type="pct"/>
          </w:tcPr>
          <w:p w14:paraId="038A19C1" w14:textId="77777777" w:rsidR="00B36AF3" w:rsidRDefault="00B36AF3" w:rsidP="001A5D4A">
            <w:pPr>
              <w:pStyle w:val="NotesTable-CellPlain"/>
              <w:rPr>
                <w:lang w:val="en-GB"/>
              </w:rPr>
            </w:pPr>
            <w:r>
              <w:t>–</w:t>
            </w:r>
          </w:p>
        </w:tc>
      </w:tr>
      <w:tr w:rsidR="00B36AF3" w14:paraId="038A19C9" w14:textId="77777777" w:rsidTr="00FD0D94">
        <w:trPr>
          <w:cantSplit/>
          <w:trHeight w:val="181"/>
        </w:trPr>
        <w:tc>
          <w:tcPr>
            <w:tcW w:w="803" w:type="pct"/>
          </w:tcPr>
          <w:p w14:paraId="038A19C3" w14:textId="77777777" w:rsidR="00B36AF3" w:rsidRDefault="00B36AF3" w:rsidP="001A5D4A">
            <w:pPr>
              <w:pStyle w:val="Note-Refs"/>
            </w:pPr>
          </w:p>
        </w:tc>
        <w:tc>
          <w:tcPr>
            <w:tcW w:w="2541" w:type="pct"/>
            <w:vAlign w:val="bottom"/>
          </w:tcPr>
          <w:p w14:paraId="038A19C4" w14:textId="77777777" w:rsidR="00B36AF3" w:rsidRDefault="00B36AF3" w:rsidP="001A5D4A">
            <w:pPr>
              <w:pStyle w:val="NotesTable-ItemPlain"/>
              <w:rPr>
                <w:b/>
              </w:rPr>
            </w:pPr>
            <w:r>
              <w:t>Miscellaneous</w:t>
            </w:r>
          </w:p>
        </w:tc>
        <w:tc>
          <w:tcPr>
            <w:tcW w:w="401" w:type="pct"/>
            <w:tcBorders>
              <w:bottom w:val="single" w:sz="4" w:space="0" w:color="auto"/>
            </w:tcBorders>
          </w:tcPr>
          <w:p w14:paraId="038A19C5" w14:textId="77777777" w:rsidR="00B36AF3" w:rsidRDefault="00B36AF3" w:rsidP="001A5D4A">
            <w:pPr>
              <w:pStyle w:val="NotesTable-CellBold"/>
            </w:pPr>
            <w:r>
              <w:t>–</w:t>
            </w:r>
          </w:p>
        </w:tc>
        <w:tc>
          <w:tcPr>
            <w:tcW w:w="401" w:type="pct"/>
            <w:tcBorders>
              <w:bottom w:val="single" w:sz="4" w:space="0" w:color="auto"/>
            </w:tcBorders>
          </w:tcPr>
          <w:p w14:paraId="038A19C6" w14:textId="77777777" w:rsidR="00B36AF3" w:rsidRDefault="00B36AF3" w:rsidP="001A5D4A">
            <w:pPr>
              <w:pStyle w:val="NotesTable-CellPlain"/>
            </w:pPr>
            <w:r>
              <w:t>–</w:t>
            </w:r>
          </w:p>
        </w:tc>
        <w:tc>
          <w:tcPr>
            <w:tcW w:w="401" w:type="pct"/>
            <w:tcBorders>
              <w:bottom w:val="single" w:sz="4" w:space="0" w:color="auto"/>
            </w:tcBorders>
          </w:tcPr>
          <w:p w14:paraId="038A19C7" w14:textId="77777777" w:rsidR="00B36AF3" w:rsidRDefault="00B36AF3" w:rsidP="001A5D4A">
            <w:pPr>
              <w:pStyle w:val="NotesTable-CellBold"/>
            </w:pPr>
            <w:r>
              <w:t>–</w:t>
            </w:r>
          </w:p>
        </w:tc>
        <w:tc>
          <w:tcPr>
            <w:tcW w:w="452" w:type="pct"/>
            <w:tcBorders>
              <w:bottom w:val="single" w:sz="4" w:space="0" w:color="auto"/>
            </w:tcBorders>
          </w:tcPr>
          <w:p w14:paraId="038A19C8" w14:textId="77777777" w:rsidR="00B36AF3" w:rsidRDefault="00B36AF3" w:rsidP="001A5D4A">
            <w:pPr>
              <w:pStyle w:val="NotesTable-CellPlain"/>
            </w:pPr>
            <w:r>
              <w:t>–</w:t>
            </w:r>
          </w:p>
        </w:tc>
      </w:tr>
      <w:tr w:rsidR="00B36AF3" w14:paraId="038A19D0" w14:textId="77777777" w:rsidTr="00FD0D94">
        <w:trPr>
          <w:cantSplit/>
          <w:trHeight w:val="181"/>
        </w:trPr>
        <w:tc>
          <w:tcPr>
            <w:tcW w:w="803" w:type="pct"/>
          </w:tcPr>
          <w:p w14:paraId="038A19CA" w14:textId="77777777" w:rsidR="00B36AF3" w:rsidRDefault="00B36AF3" w:rsidP="001A5D4A">
            <w:pPr>
              <w:pStyle w:val="Note-Refs"/>
            </w:pPr>
          </w:p>
        </w:tc>
        <w:tc>
          <w:tcPr>
            <w:tcW w:w="2541" w:type="pct"/>
            <w:vAlign w:val="bottom"/>
          </w:tcPr>
          <w:p w14:paraId="038A19CB" w14:textId="77777777" w:rsidR="00B36AF3" w:rsidRDefault="00B36AF3" w:rsidP="001A5D4A">
            <w:pPr>
              <w:pStyle w:val="NotesTable-ItemPlain"/>
              <w:rPr>
                <w:b/>
              </w:rPr>
            </w:pPr>
            <w:r>
              <w:t>Total other expenses</w:t>
            </w:r>
          </w:p>
        </w:tc>
        <w:tc>
          <w:tcPr>
            <w:tcW w:w="401" w:type="pct"/>
            <w:tcBorders>
              <w:top w:val="single" w:sz="4" w:space="0" w:color="auto"/>
            </w:tcBorders>
          </w:tcPr>
          <w:p w14:paraId="038A19CC" w14:textId="77777777" w:rsidR="00B36AF3" w:rsidRDefault="00B36AF3" w:rsidP="001A5D4A">
            <w:pPr>
              <w:pStyle w:val="NotesTable-CellBold"/>
            </w:pPr>
            <w:r>
              <w:t>–</w:t>
            </w:r>
          </w:p>
        </w:tc>
        <w:tc>
          <w:tcPr>
            <w:tcW w:w="401" w:type="pct"/>
            <w:tcBorders>
              <w:top w:val="single" w:sz="4" w:space="0" w:color="auto"/>
            </w:tcBorders>
          </w:tcPr>
          <w:p w14:paraId="038A19CD" w14:textId="77777777" w:rsidR="00B36AF3" w:rsidRDefault="00B36AF3" w:rsidP="001A5D4A">
            <w:pPr>
              <w:pStyle w:val="NotesTable-CellPlain"/>
            </w:pPr>
            <w:r>
              <w:t>–</w:t>
            </w:r>
          </w:p>
        </w:tc>
        <w:tc>
          <w:tcPr>
            <w:tcW w:w="401" w:type="pct"/>
            <w:tcBorders>
              <w:top w:val="single" w:sz="4" w:space="0" w:color="auto"/>
            </w:tcBorders>
          </w:tcPr>
          <w:p w14:paraId="038A19CE" w14:textId="77777777" w:rsidR="00B36AF3" w:rsidRDefault="00B36AF3" w:rsidP="001A5D4A">
            <w:pPr>
              <w:pStyle w:val="NotesTable-CellBold"/>
            </w:pPr>
            <w:r>
              <w:t>–</w:t>
            </w:r>
          </w:p>
        </w:tc>
        <w:tc>
          <w:tcPr>
            <w:tcW w:w="452" w:type="pct"/>
            <w:tcBorders>
              <w:top w:val="single" w:sz="4" w:space="0" w:color="auto"/>
            </w:tcBorders>
          </w:tcPr>
          <w:p w14:paraId="038A19CF" w14:textId="77777777" w:rsidR="00B36AF3" w:rsidRDefault="00B36AF3" w:rsidP="001A5D4A">
            <w:pPr>
              <w:pStyle w:val="NotesTable-CellPlain"/>
            </w:pPr>
            <w:r>
              <w:t>–</w:t>
            </w:r>
          </w:p>
        </w:tc>
      </w:tr>
    </w:tbl>
    <w:p w14:paraId="0CA9DB6B" w14:textId="192F1171" w:rsidR="00891D97" w:rsidRPr="007F5DE6" w:rsidRDefault="00891D97" w:rsidP="001A5D4A">
      <w:pPr>
        <w:pStyle w:val="Heading3"/>
        <w:rPr>
          <w:color w:val="2D3E7B" w:themeColor="text2" w:themeShade="BF"/>
        </w:rPr>
      </w:pPr>
      <w:bookmarkStart w:id="292" w:name="_Toc410807619"/>
      <w:bookmarkStart w:id="293" w:name="_Toc410822680"/>
      <w:r w:rsidRPr="007F5DE6">
        <w:rPr>
          <w:color w:val="2D3E7B" w:themeColor="text2" w:themeShade="BF"/>
        </w:rPr>
        <w:t>Commentary - Other expenses</w:t>
      </w:r>
      <w:bookmarkEnd w:id="292"/>
      <w:bookmarkEnd w:id="293"/>
    </w:p>
    <w:p w14:paraId="3AC57237" w14:textId="77777777" w:rsidR="00891D97" w:rsidRPr="00236F7B" w:rsidRDefault="00891D97" w:rsidP="00E422A6">
      <w:pPr>
        <w:pStyle w:val="Heading6"/>
      </w:pPr>
      <w:r w:rsidRPr="00236F7B">
        <w:t>AASB101.29</w:t>
      </w:r>
    </w:p>
    <w:p w14:paraId="43BB71A3" w14:textId="77777777" w:rsidR="00891D97" w:rsidRPr="007F5DE6" w:rsidRDefault="00891D97" w:rsidP="001A5D4A">
      <w:pPr>
        <w:rPr>
          <w:color w:val="2D3E7B" w:themeColor="text2" w:themeShade="BF"/>
        </w:rPr>
      </w:pPr>
      <w:r w:rsidRPr="007F5DE6">
        <w:rPr>
          <w:color w:val="2D3E7B" w:themeColor="text2" w:themeShade="BF"/>
        </w:rPr>
        <w:t>Only material categories of other expenses need to be shown as individual items; immaterial categories may be grouped as “Miscellaneous”. Expenses included as “Miscellaneous” must be immaterial both individually and in aggregate, that is, “Miscellaneous” must not be greater than 10% of “total other expenses”.</w:t>
      </w:r>
    </w:p>
    <w:p w14:paraId="6B1346EB" w14:textId="384583DF" w:rsidR="006B68EB" w:rsidRDefault="006B68EB" w:rsidP="00236F7B">
      <w:pPr>
        <w:pStyle w:val="Heading2"/>
      </w:pPr>
      <w:bookmarkStart w:id="294" w:name="_Toc410807620"/>
      <w:bookmarkStart w:id="295" w:name="_Toc410822681"/>
      <w:proofErr w:type="gramStart"/>
      <w:r w:rsidRPr="006B68EB">
        <w:t>Note 16</w:t>
      </w:r>
      <w:r>
        <w:t>.</w:t>
      </w:r>
      <w:proofErr w:type="gramEnd"/>
      <w:r>
        <w:t xml:space="preserve"> </w:t>
      </w:r>
      <w:r w:rsidRPr="006B68EB">
        <w:t>Income tax</w:t>
      </w:r>
      <w:bookmarkEnd w:id="294"/>
      <w:bookmarkEnd w:id="295"/>
    </w:p>
    <w:p w14:paraId="3D6C2E46" w14:textId="7A37FC7B" w:rsidR="00236F7B" w:rsidRPr="00236F7B" w:rsidRDefault="00236F7B" w:rsidP="00236F7B">
      <w:r>
        <w:t>AASB112</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9F544F" w14:paraId="038A19EC" w14:textId="77777777" w:rsidTr="00236F7B">
        <w:trPr>
          <w:cantSplit/>
          <w:trHeight w:val="181"/>
        </w:trPr>
        <w:tc>
          <w:tcPr>
            <w:tcW w:w="810" w:type="pct"/>
          </w:tcPr>
          <w:p w14:paraId="038A19E8" w14:textId="77777777" w:rsidR="00023312" w:rsidRDefault="00023312" w:rsidP="001A5D4A">
            <w:pPr>
              <w:pStyle w:val="Note-Refs"/>
            </w:pPr>
          </w:p>
        </w:tc>
        <w:tc>
          <w:tcPr>
            <w:tcW w:w="2567" w:type="pct"/>
          </w:tcPr>
          <w:p w14:paraId="038A19E9" w14:textId="77777777" w:rsidR="00023312" w:rsidRDefault="00023312" w:rsidP="001A5D4A">
            <w:pPr>
              <w:pStyle w:val="NotesTable-ItemPlain"/>
            </w:pPr>
          </w:p>
        </w:tc>
        <w:tc>
          <w:tcPr>
            <w:tcW w:w="812" w:type="pct"/>
            <w:gridSpan w:val="2"/>
          </w:tcPr>
          <w:p w14:paraId="038A19EA" w14:textId="77777777" w:rsidR="00023312" w:rsidRDefault="00023312" w:rsidP="001A5D4A">
            <w:pPr>
              <w:pStyle w:val="NotesTable-HeadPlain"/>
              <w:rPr>
                <w:b/>
              </w:rPr>
            </w:pPr>
            <w:r>
              <w:t>Consolidated</w:t>
            </w:r>
          </w:p>
        </w:tc>
        <w:tc>
          <w:tcPr>
            <w:tcW w:w="811" w:type="pct"/>
            <w:gridSpan w:val="2"/>
          </w:tcPr>
          <w:p w14:paraId="038A19EB" w14:textId="77777777" w:rsidR="00023312" w:rsidRDefault="00023312" w:rsidP="001A5D4A">
            <w:pPr>
              <w:pStyle w:val="NotesTable-HeadPlain"/>
            </w:pPr>
            <w:r>
              <w:t>Parent entity</w:t>
            </w:r>
          </w:p>
        </w:tc>
      </w:tr>
      <w:tr w:rsidR="00BF5CB8" w14:paraId="038A19F3" w14:textId="77777777" w:rsidTr="00236F7B">
        <w:trPr>
          <w:cantSplit/>
          <w:trHeight w:val="181"/>
        </w:trPr>
        <w:tc>
          <w:tcPr>
            <w:tcW w:w="810" w:type="pct"/>
          </w:tcPr>
          <w:p w14:paraId="038A19ED" w14:textId="77777777" w:rsidR="00BF5CB8" w:rsidRDefault="00BF5CB8" w:rsidP="001A5D4A">
            <w:pPr>
              <w:pStyle w:val="Note-Refs"/>
            </w:pPr>
          </w:p>
        </w:tc>
        <w:tc>
          <w:tcPr>
            <w:tcW w:w="2567" w:type="pct"/>
          </w:tcPr>
          <w:p w14:paraId="038A19EE" w14:textId="77777777" w:rsidR="00BF5CB8" w:rsidRDefault="00BF5CB8" w:rsidP="001A5D4A">
            <w:pPr>
              <w:pStyle w:val="NotesTable-ItemPlain"/>
            </w:pPr>
          </w:p>
        </w:tc>
        <w:tc>
          <w:tcPr>
            <w:tcW w:w="406" w:type="pct"/>
          </w:tcPr>
          <w:p w14:paraId="038A19EF" w14:textId="498149C2" w:rsidR="00BF5CB8" w:rsidRDefault="006864EC" w:rsidP="001A5D4A">
            <w:pPr>
              <w:pStyle w:val="NotesTable-HeadBold"/>
            </w:pPr>
            <w:r>
              <w:t>2014</w:t>
            </w:r>
          </w:p>
        </w:tc>
        <w:tc>
          <w:tcPr>
            <w:tcW w:w="406" w:type="pct"/>
          </w:tcPr>
          <w:p w14:paraId="038A19F0" w14:textId="7FF768EC" w:rsidR="00BF5CB8" w:rsidRDefault="006864EC" w:rsidP="001A5D4A">
            <w:pPr>
              <w:pStyle w:val="NotesTable-HeadPlain"/>
            </w:pPr>
            <w:r>
              <w:t>2013</w:t>
            </w:r>
          </w:p>
        </w:tc>
        <w:tc>
          <w:tcPr>
            <w:tcW w:w="406" w:type="pct"/>
          </w:tcPr>
          <w:p w14:paraId="038A19F1" w14:textId="51811095" w:rsidR="00BF5CB8" w:rsidRDefault="006864EC" w:rsidP="001A5D4A">
            <w:pPr>
              <w:pStyle w:val="NotesTable-HeadBold"/>
            </w:pPr>
            <w:r>
              <w:t>2014</w:t>
            </w:r>
          </w:p>
        </w:tc>
        <w:tc>
          <w:tcPr>
            <w:tcW w:w="405" w:type="pct"/>
          </w:tcPr>
          <w:p w14:paraId="038A19F2" w14:textId="5F65FEB7" w:rsidR="00BF5CB8" w:rsidRDefault="006864EC" w:rsidP="001A5D4A">
            <w:pPr>
              <w:pStyle w:val="NotesTable-HeadPlain"/>
            </w:pPr>
            <w:r>
              <w:t>2013</w:t>
            </w:r>
          </w:p>
        </w:tc>
      </w:tr>
      <w:tr w:rsidR="00BF5CB8" w14:paraId="038A19FA" w14:textId="77777777" w:rsidTr="00236F7B">
        <w:trPr>
          <w:cantSplit/>
          <w:trHeight w:val="181"/>
        </w:trPr>
        <w:tc>
          <w:tcPr>
            <w:tcW w:w="810" w:type="pct"/>
          </w:tcPr>
          <w:p w14:paraId="038A19F4" w14:textId="77777777" w:rsidR="00BF5CB8" w:rsidRDefault="00BF5CB8" w:rsidP="001A5D4A">
            <w:pPr>
              <w:pStyle w:val="Note-Refs"/>
            </w:pPr>
          </w:p>
        </w:tc>
        <w:tc>
          <w:tcPr>
            <w:tcW w:w="2567" w:type="pct"/>
          </w:tcPr>
          <w:p w14:paraId="038A19F5" w14:textId="77777777" w:rsidR="00BF5CB8" w:rsidRDefault="00BF5CB8" w:rsidP="001A5D4A">
            <w:pPr>
              <w:pStyle w:val="NotesTable-ItemPlain"/>
            </w:pPr>
          </w:p>
        </w:tc>
        <w:tc>
          <w:tcPr>
            <w:tcW w:w="406" w:type="pct"/>
          </w:tcPr>
          <w:p w14:paraId="038A19F6" w14:textId="77777777" w:rsidR="00BF5CB8" w:rsidRDefault="00BF5CB8" w:rsidP="001A5D4A">
            <w:pPr>
              <w:pStyle w:val="NotesTable-HeadBold"/>
            </w:pPr>
            <w:r>
              <w:t>$’000</w:t>
            </w:r>
          </w:p>
        </w:tc>
        <w:tc>
          <w:tcPr>
            <w:tcW w:w="406" w:type="pct"/>
          </w:tcPr>
          <w:p w14:paraId="038A19F7" w14:textId="77777777" w:rsidR="00BF5CB8" w:rsidRDefault="00BF5CB8" w:rsidP="001A5D4A">
            <w:pPr>
              <w:pStyle w:val="NotesTable-HeadPlain"/>
            </w:pPr>
            <w:r>
              <w:t>$’000</w:t>
            </w:r>
          </w:p>
        </w:tc>
        <w:tc>
          <w:tcPr>
            <w:tcW w:w="406" w:type="pct"/>
          </w:tcPr>
          <w:p w14:paraId="038A19F8" w14:textId="77777777" w:rsidR="00BF5CB8" w:rsidRDefault="00BF5CB8" w:rsidP="001A5D4A">
            <w:pPr>
              <w:pStyle w:val="NotesTable-HeadBold"/>
            </w:pPr>
            <w:r>
              <w:t>$’000</w:t>
            </w:r>
          </w:p>
        </w:tc>
        <w:tc>
          <w:tcPr>
            <w:tcW w:w="405" w:type="pct"/>
          </w:tcPr>
          <w:p w14:paraId="038A19F9" w14:textId="77777777" w:rsidR="00BF5CB8" w:rsidRDefault="00BF5CB8" w:rsidP="001A5D4A">
            <w:pPr>
              <w:pStyle w:val="NotesTable-HeadPlain"/>
            </w:pPr>
            <w:r>
              <w:t>$’000</w:t>
            </w:r>
          </w:p>
        </w:tc>
      </w:tr>
      <w:tr w:rsidR="00AE2053" w14:paraId="038A19FD" w14:textId="77777777" w:rsidTr="00E21378">
        <w:trPr>
          <w:cantSplit/>
          <w:trHeight w:val="181"/>
        </w:trPr>
        <w:tc>
          <w:tcPr>
            <w:tcW w:w="810" w:type="pct"/>
          </w:tcPr>
          <w:p w14:paraId="038A19FB" w14:textId="77777777" w:rsidR="00AE2053" w:rsidRDefault="00AE2053" w:rsidP="001A5D4A">
            <w:pPr>
              <w:pStyle w:val="Note-Refs"/>
              <w:rPr>
                <w:b/>
              </w:rPr>
            </w:pPr>
            <w:r>
              <w:t>AASB112.79,81g(ii)</w:t>
            </w:r>
          </w:p>
        </w:tc>
        <w:tc>
          <w:tcPr>
            <w:tcW w:w="4190" w:type="pct"/>
            <w:gridSpan w:val="5"/>
            <w:vAlign w:val="bottom"/>
          </w:tcPr>
          <w:p w14:paraId="038A19FC" w14:textId="77777777" w:rsidR="00AE2053" w:rsidRDefault="00A763D8" w:rsidP="001A5D4A">
            <w:pPr>
              <w:pStyle w:val="Note-TextHeader"/>
              <w:rPr>
                <w:lang w:val="en-GB"/>
              </w:rPr>
            </w:pPr>
            <w:r>
              <w:t>(a)</w:t>
            </w:r>
            <w:r>
              <w:tab/>
            </w:r>
            <w:r w:rsidR="00AE2053">
              <w:t>Income tax expense</w:t>
            </w:r>
          </w:p>
        </w:tc>
      </w:tr>
      <w:tr w:rsidR="00BF5CB8" w14:paraId="038A1A04" w14:textId="77777777" w:rsidTr="00236F7B">
        <w:trPr>
          <w:cantSplit/>
          <w:trHeight w:val="181"/>
        </w:trPr>
        <w:tc>
          <w:tcPr>
            <w:tcW w:w="810" w:type="pct"/>
          </w:tcPr>
          <w:p w14:paraId="038A19FE" w14:textId="77777777" w:rsidR="00BF5CB8" w:rsidRDefault="00BF5CB8" w:rsidP="001A5D4A">
            <w:pPr>
              <w:pStyle w:val="Note-Refs"/>
              <w:rPr>
                <w:b/>
              </w:rPr>
            </w:pPr>
            <w:r>
              <w:t>AASB112.80a</w:t>
            </w:r>
          </w:p>
        </w:tc>
        <w:tc>
          <w:tcPr>
            <w:tcW w:w="2567" w:type="pct"/>
            <w:vAlign w:val="bottom"/>
          </w:tcPr>
          <w:p w14:paraId="038A19FF" w14:textId="77777777" w:rsidR="00BF5CB8" w:rsidRDefault="00BF5CB8" w:rsidP="001A5D4A">
            <w:pPr>
              <w:pStyle w:val="NotesTable-ItemPlain"/>
              <w:rPr>
                <w:b/>
              </w:rPr>
            </w:pPr>
            <w:r>
              <w:t>Current tax</w:t>
            </w:r>
          </w:p>
        </w:tc>
        <w:tc>
          <w:tcPr>
            <w:tcW w:w="406" w:type="pct"/>
          </w:tcPr>
          <w:p w14:paraId="038A1A00" w14:textId="77777777" w:rsidR="00BF5CB8" w:rsidRDefault="00BF5CB8" w:rsidP="001A5D4A">
            <w:pPr>
              <w:pStyle w:val="NotesTable-CellBold"/>
            </w:pPr>
            <w:r>
              <w:t>–</w:t>
            </w:r>
          </w:p>
        </w:tc>
        <w:tc>
          <w:tcPr>
            <w:tcW w:w="406" w:type="pct"/>
          </w:tcPr>
          <w:p w14:paraId="038A1A01" w14:textId="77777777" w:rsidR="00BF5CB8" w:rsidRDefault="00BF5CB8" w:rsidP="001A5D4A">
            <w:pPr>
              <w:pStyle w:val="StyleNotesTable-CellPlainBold"/>
            </w:pPr>
            <w:r>
              <w:t>–</w:t>
            </w:r>
          </w:p>
        </w:tc>
        <w:tc>
          <w:tcPr>
            <w:tcW w:w="406" w:type="pct"/>
          </w:tcPr>
          <w:p w14:paraId="038A1A02" w14:textId="77777777" w:rsidR="00BF5CB8" w:rsidRDefault="00BF5CB8" w:rsidP="001A5D4A">
            <w:pPr>
              <w:pStyle w:val="NotesTable-CellBold"/>
            </w:pPr>
            <w:r>
              <w:t>–</w:t>
            </w:r>
          </w:p>
        </w:tc>
        <w:tc>
          <w:tcPr>
            <w:tcW w:w="405" w:type="pct"/>
          </w:tcPr>
          <w:p w14:paraId="038A1A03" w14:textId="77777777" w:rsidR="00BF5CB8" w:rsidRDefault="00BF5CB8" w:rsidP="001A5D4A">
            <w:pPr>
              <w:pStyle w:val="StyleNotesTable-CellPlainBold"/>
            </w:pPr>
            <w:r>
              <w:t>–</w:t>
            </w:r>
          </w:p>
        </w:tc>
      </w:tr>
      <w:tr w:rsidR="00BF5CB8" w14:paraId="038A1A0B" w14:textId="77777777" w:rsidTr="00236F7B">
        <w:trPr>
          <w:cantSplit/>
          <w:trHeight w:val="181"/>
        </w:trPr>
        <w:tc>
          <w:tcPr>
            <w:tcW w:w="810" w:type="pct"/>
          </w:tcPr>
          <w:p w14:paraId="038A1A05" w14:textId="77777777" w:rsidR="00BF5CB8" w:rsidRDefault="00BF5CB8" w:rsidP="001A5D4A">
            <w:pPr>
              <w:pStyle w:val="Note-Refs"/>
              <w:rPr>
                <w:b/>
              </w:rPr>
            </w:pPr>
            <w:r>
              <w:t>AASB112.80c</w:t>
            </w:r>
          </w:p>
        </w:tc>
        <w:tc>
          <w:tcPr>
            <w:tcW w:w="2567" w:type="pct"/>
            <w:vAlign w:val="bottom"/>
          </w:tcPr>
          <w:p w14:paraId="038A1A06" w14:textId="77777777" w:rsidR="00BF5CB8" w:rsidRDefault="00BF5CB8" w:rsidP="001A5D4A">
            <w:pPr>
              <w:pStyle w:val="NotesTable-ItemPlain"/>
              <w:rPr>
                <w:b/>
              </w:rPr>
            </w:pPr>
            <w:r>
              <w:t>Deferred tax</w:t>
            </w:r>
          </w:p>
        </w:tc>
        <w:tc>
          <w:tcPr>
            <w:tcW w:w="406" w:type="pct"/>
          </w:tcPr>
          <w:p w14:paraId="038A1A07" w14:textId="77777777" w:rsidR="00BF5CB8" w:rsidRDefault="00BF5CB8" w:rsidP="001A5D4A">
            <w:pPr>
              <w:pStyle w:val="NotesTable-CellBold"/>
            </w:pPr>
            <w:r>
              <w:t>–</w:t>
            </w:r>
          </w:p>
        </w:tc>
        <w:tc>
          <w:tcPr>
            <w:tcW w:w="406" w:type="pct"/>
          </w:tcPr>
          <w:p w14:paraId="038A1A08" w14:textId="77777777" w:rsidR="00BF5CB8" w:rsidRDefault="00BF5CB8" w:rsidP="001A5D4A">
            <w:pPr>
              <w:pStyle w:val="StyleNotesTable-CellPlainBold"/>
            </w:pPr>
            <w:r>
              <w:t>–</w:t>
            </w:r>
          </w:p>
        </w:tc>
        <w:tc>
          <w:tcPr>
            <w:tcW w:w="406" w:type="pct"/>
          </w:tcPr>
          <w:p w14:paraId="038A1A09" w14:textId="77777777" w:rsidR="00BF5CB8" w:rsidRDefault="00BF5CB8" w:rsidP="001A5D4A">
            <w:pPr>
              <w:pStyle w:val="NotesTable-CellBold"/>
            </w:pPr>
            <w:r>
              <w:t>–</w:t>
            </w:r>
          </w:p>
        </w:tc>
        <w:tc>
          <w:tcPr>
            <w:tcW w:w="405" w:type="pct"/>
          </w:tcPr>
          <w:p w14:paraId="038A1A0A" w14:textId="77777777" w:rsidR="00BF5CB8" w:rsidRDefault="00BF5CB8" w:rsidP="001A5D4A">
            <w:pPr>
              <w:pStyle w:val="StyleNotesTable-CellPlainBold"/>
            </w:pPr>
            <w:r>
              <w:t>–</w:t>
            </w:r>
          </w:p>
        </w:tc>
      </w:tr>
      <w:tr w:rsidR="00BF5CB8" w14:paraId="038A1A12" w14:textId="77777777" w:rsidTr="00236F7B">
        <w:trPr>
          <w:cantSplit/>
          <w:trHeight w:val="181"/>
        </w:trPr>
        <w:tc>
          <w:tcPr>
            <w:tcW w:w="810" w:type="pct"/>
          </w:tcPr>
          <w:p w14:paraId="038A1A0C" w14:textId="77777777" w:rsidR="00BF5CB8" w:rsidRDefault="00BF5CB8" w:rsidP="001A5D4A">
            <w:pPr>
              <w:pStyle w:val="Note-Refs"/>
              <w:rPr>
                <w:b/>
              </w:rPr>
            </w:pPr>
            <w:r>
              <w:t>AASB112.80b</w:t>
            </w:r>
          </w:p>
        </w:tc>
        <w:tc>
          <w:tcPr>
            <w:tcW w:w="2567" w:type="pct"/>
            <w:vAlign w:val="bottom"/>
          </w:tcPr>
          <w:p w14:paraId="038A1A0D" w14:textId="77777777" w:rsidR="00BF5CB8" w:rsidRDefault="00BF5CB8" w:rsidP="001A5D4A">
            <w:pPr>
              <w:pStyle w:val="NotesTable-ItemPlain"/>
              <w:rPr>
                <w:b/>
              </w:rPr>
            </w:pPr>
            <w:r>
              <w:t>Adjustments for current tax of prior periods</w:t>
            </w:r>
          </w:p>
        </w:tc>
        <w:tc>
          <w:tcPr>
            <w:tcW w:w="406" w:type="pct"/>
            <w:tcBorders>
              <w:bottom w:val="single" w:sz="4" w:space="0" w:color="000000"/>
            </w:tcBorders>
          </w:tcPr>
          <w:p w14:paraId="038A1A0E" w14:textId="77777777" w:rsidR="00BF5CB8" w:rsidRDefault="00BF5CB8" w:rsidP="001A5D4A">
            <w:pPr>
              <w:pStyle w:val="NotesTable-CellBold"/>
            </w:pPr>
            <w:r>
              <w:t>–</w:t>
            </w:r>
          </w:p>
        </w:tc>
        <w:tc>
          <w:tcPr>
            <w:tcW w:w="406" w:type="pct"/>
            <w:tcBorders>
              <w:bottom w:val="single" w:sz="4" w:space="0" w:color="000000"/>
            </w:tcBorders>
          </w:tcPr>
          <w:p w14:paraId="038A1A0F" w14:textId="77777777" w:rsidR="00BF5CB8" w:rsidRDefault="00BF5CB8" w:rsidP="001A5D4A">
            <w:pPr>
              <w:pStyle w:val="StyleNotesTable-CellPlainBold"/>
            </w:pPr>
            <w:r>
              <w:t>–</w:t>
            </w:r>
          </w:p>
        </w:tc>
        <w:tc>
          <w:tcPr>
            <w:tcW w:w="406" w:type="pct"/>
            <w:tcBorders>
              <w:bottom w:val="single" w:sz="4" w:space="0" w:color="000000"/>
            </w:tcBorders>
          </w:tcPr>
          <w:p w14:paraId="038A1A10" w14:textId="77777777" w:rsidR="00BF5CB8" w:rsidRDefault="00BF5CB8" w:rsidP="001A5D4A">
            <w:pPr>
              <w:pStyle w:val="NotesTable-CellBold"/>
            </w:pPr>
            <w:r>
              <w:t>–</w:t>
            </w:r>
          </w:p>
        </w:tc>
        <w:tc>
          <w:tcPr>
            <w:tcW w:w="405" w:type="pct"/>
            <w:tcBorders>
              <w:bottom w:val="single" w:sz="4" w:space="0" w:color="000000"/>
            </w:tcBorders>
          </w:tcPr>
          <w:p w14:paraId="038A1A11" w14:textId="77777777" w:rsidR="00BF5CB8" w:rsidRDefault="00BF5CB8" w:rsidP="001A5D4A">
            <w:pPr>
              <w:pStyle w:val="StyleNotesTable-CellPlainBold"/>
            </w:pPr>
            <w:r>
              <w:t>–</w:t>
            </w:r>
          </w:p>
        </w:tc>
      </w:tr>
      <w:tr w:rsidR="00BF5CB8" w14:paraId="038A1A19" w14:textId="77777777" w:rsidTr="00236F7B">
        <w:trPr>
          <w:cantSplit/>
          <w:trHeight w:val="181"/>
        </w:trPr>
        <w:tc>
          <w:tcPr>
            <w:tcW w:w="810" w:type="pct"/>
          </w:tcPr>
          <w:p w14:paraId="038A1A13" w14:textId="77777777" w:rsidR="00BF5CB8" w:rsidRDefault="00BF5CB8" w:rsidP="001A5D4A">
            <w:pPr>
              <w:pStyle w:val="Note-Refs"/>
            </w:pPr>
          </w:p>
        </w:tc>
        <w:tc>
          <w:tcPr>
            <w:tcW w:w="2567" w:type="pct"/>
            <w:vAlign w:val="bottom"/>
          </w:tcPr>
          <w:p w14:paraId="038A1A14" w14:textId="77777777" w:rsidR="00BF5CB8" w:rsidRDefault="009B763A" w:rsidP="001A5D4A">
            <w:pPr>
              <w:pStyle w:val="NotesTable-ItemPlain"/>
            </w:pPr>
            <w:r>
              <w:t>Total</w:t>
            </w:r>
          </w:p>
        </w:tc>
        <w:tc>
          <w:tcPr>
            <w:tcW w:w="406" w:type="pct"/>
            <w:tcBorders>
              <w:top w:val="single" w:sz="4" w:space="0" w:color="000000"/>
            </w:tcBorders>
            <w:vAlign w:val="bottom"/>
          </w:tcPr>
          <w:p w14:paraId="038A1A15" w14:textId="77777777" w:rsidR="00BF5CB8" w:rsidRDefault="00BF5CB8" w:rsidP="001A5D4A">
            <w:pPr>
              <w:pStyle w:val="NotesTable-CellBold"/>
            </w:pPr>
            <w:r>
              <w:t>–</w:t>
            </w:r>
          </w:p>
        </w:tc>
        <w:tc>
          <w:tcPr>
            <w:tcW w:w="406" w:type="pct"/>
            <w:tcBorders>
              <w:top w:val="single" w:sz="4" w:space="0" w:color="000000"/>
            </w:tcBorders>
            <w:vAlign w:val="bottom"/>
          </w:tcPr>
          <w:p w14:paraId="038A1A16" w14:textId="77777777" w:rsidR="00BF5CB8" w:rsidRDefault="00BF5CB8" w:rsidP="001A5D4A">
            <w:pPr>
              <w:pStyle w:val="StyleNotesTable-CellPlainBold"/>
            </w:pPr>
            <w:r>
              <w:t>–</w:t>
            </w:r>
          </w:p>
        </w:tc>
        <w:tc>
          <w:tcPr>
            <w:tcW w:w="406" w:type="pct"/>
            <w:tcBorders>
              <w:top w:val="single" w:sz="4" w:space="0" w:color="000000"/>
            </w:tcBorders>
            <w:vAlign w:val="bottom"/>
          </w:tcPr>
          <w:p w14:paraId="038A1A17" w14:textId="77777777" w:rsidR="00BF5CB8" w:rsidRDefault="00BF5CB8" w:rsidP="001A5D4A">
            <w:pPr>
              <w:pStyle w:val="NotesTable-CellBold"/>
            </w:pPr>
            <w:r>
              <w:t>–</w:t>
            </w:r>
          </w:p>
        </w:tc>
        <w:tc>
          <w:tcPr>
            <w:tcW w:w="405" w:type="pct"/>
            <w:tcBorders>
              <w:top w:val="single" w:sz="4" w:space="0" w:color="000000"/>
            </w:tcBorders>
            <w:vAlign w:val="bottom"/>
          </w:tcPr>
          <w:p w14:paraId="038A1A18" w14:textId="77777777" w:rsidR="00BF5CB8" w:rsidRDefault="00BF5CB8" w:rsidP="001A5D4A">
            <w:pPr>
              <w:pStyle w:val="StyleNotesTable-CellPlainBold"/>
            </w:pPr>
            <w:r>
              <w:t>–</w:t>
            </w:r>
          </w:p>
        </w:tc>
      </w:tr>
      <w:tr w:rsidR="00BF5CB8" w14:paraId="038A1A20" w14:textId="77777777" w:rsidTr="00236F7B">
        <w:trPr>
          <w:cantSplit/>
          <w:trHeight w:val="181"/>
        </w:trPr>
        <w:tc>
          <w:tcPr>
            <w:tcW w:w="810" w:type="pct"/>
          </w:tcPr>
          <w:p w14:paraId="038A1A1A" w14:textId="77777777" w:rsidR="00BF5CB8" w:rsidRDefault="00BF5CB8" w:rsidP="001A5D4A">
            <w:pPr>
              <w:pStyle w:val="Note-Refs"/>
            </w:pPr>
          </w:p>
        </w:tc>
        <w:tc>
          <w:tcPr>
            <w:tcW w:w="2567" w:type="pct"/>
            <w:vAlign w:val="bottom"/>
          </w:tcPr>
          <w:p w14:paraId="038A1A1B" w14:textId="77777777" w:rsidR="00BF5CB8" w:rsidRDefault="00BF5CB8" w:rsidP="001A5D4A">
            <w:pPr>
              <w:pStyle w:val="NotesTable-ItemPlain"/>
            </w:pPr>
          </w:p>
        </w:tc>
        <w:tc>
          <w:tcPr>
            <w:tcW w:w="406" w:type="pct"/>
          </w:tcPr>
          <w:p w14:paraId="038A1A1C" w14:textId="77777777" w:rsidR="00BF5CB8" w:rsidRDefault="00BF5CB8" w:rsidP="001A5D4A">
            <w:pPr>
              <w:pStyle w:val="NotesTable-CellBold"/>
            </w:pPr>
          </w:p>
        </w:tc>
        <w:tc>
          <w:tcPr>
            <w:tcW w:w="406" w:type="pct"/>
          </w:tcPr>
          <w:p w14:paraId="038A1A1D" w14:textId="77777777" w:rsidR="00BF5CB8" w:rsidRDefault="00BF5CB8" w:rsidP="001A5D4A">
            <w:pPr>
              <w:pStyle w:val="NotesTable-CellPlain"/>
            </w:pPr>
          </w:p>
        </w:tc>
        <w:tc>
          <w:tcPr>
            <w:tcW w:w="406" w:type="pct"/>
          </w:tcPr>
          <w:p w14:paraId="038A1A1E" w14:textId="77777777" w:rsidR="00BF5CB8" w:rsidRDefault="00BF5CB8" w:rsidP="001A5D4A">
            <w:pPr>
              <w:pStyle w:val="NotesTable-CellBold"/>
            </w:pPr>
          </w:p>
        </w:tc>
        <w:tc>
          <w:tcPr>
            <w:tcW w:w="405" w:type="pct"/>
          </w:tcPr>
          <w:p w14:paraId="038A1A1F" w14:textId="77777777" w:rsidR="00BF5CB8" w:rsidRDefault="00BF5CB8" w:rsidP="001A5D4A">
            <w:pPr>
              <w:pStyle w:val="NotesTable-CellPlain"/>
            </w:pPr>
          </w:p>
        </w:tc>
      </w:tr>
      <w:tr w:rsidR="00BF5CB8" w14:paraId="038A1A27" w14:textId="77777777" w:rsidTr="00236F7B">
        <w:trPr>
          <w:cantSplit/>
          <w:trHeight w:val="181"/>
        </w:trPr>
        <w:tc>
          <w:tcPr>
            <w:tcW w:w="810" w:type="pct"/>
          </w:tcPr>
          <w:p w14:paraId="038A1A21" w14:textId="77777777" w:rsidR="00BF5CB8" w:rsidRDefault="00BF5CB8" w:rsidP="001A5D4A">
            <w:pPr>
              <w:pStyle w:val="Note-Refs"/>
            </w:pPr>
          </w:p>
        </w:tc>
        <w:tc>
          <w:tcPr>
            <w:tcW w:w="2567" w:type="pct"/>
            <w:vAlign w:val="bottom"/>
          </w:tcPr>
          <w:p w14:paraId="038A1A22" w14:textId="77777777" w:rsidR="00BF5CB8" w:rsidRDefault="00BF5CB8" w:rsidP="001A5D4A">
            <w:pPr>
              <w:pStyle w:val="NotesTable-ItemPlain"/>
              <w:rPr>
                <w:b/>
              </w:rPr>
            </w:pPr>
            <w:r>
              <w:t>Income tax expense is attributable to:</w:t>
            </w:r>
          </w:p>
        </w:tc>
        <w:tc>
          <w:tcPr>
            <w:tcW w:w="406" w:type="pct"/>
          </w:tcPr>
          <w:p w14:paraId="038A1A23" w14:textId="77777777" w:rsidR="00BF5CB8" w:rsidRDefault="00BF5CB8" w:rsidP="001A5D4A">
            <w:pPr>
              <w:pStyle w:val="NotesTable-CellBold"/>
            </w:pPr>
          </w:p>
        </w:tc>
        <w:tc>
          <w:tcPr>
            <w:tcW w:w="406" w:type="pct"/>
          </w:tcPr>
          <w:p w14:paraId="038A1A24" w14:textId="77777777" w:rsidR="00BF5CB8" w:rsidRDefault="00BF5CB8" w:rsidP="001A5D4A">
            <w:pPr>
              <w:pStyle w:val="NotesTable-CellPlain"/>
            </w:pPr>
          </w:p>
        </w:tc>
        <w:tc>
          <w:tcPr>
            <w:tcW w:w="406" w:type="pct"/>
          </w:tcPr>
          <w:p w14:paraId="038A1A25" w14:textId="77777777" w:rsidR="00BF5CB8" w:rsidRDefault="00BF5CB8" w:rsidP="001A5D4A">
            <w:pPr>
              <w:pStyle w:val="NotesTable-CellBold"/>
            </w:pPr>
          </w:p>
        </w:tc>
        <w:tc>
          <w:tcPr>
            <w:tcW w:w="405" w:type="pct"/>
          </w:tcPr>
          <w:p w14:paraId="038A1A26" w14:textId="77777777" w:rsidR="00BF5CB8" w:rsidRDefault="00BF5CB8" w:rsidP="001A5D4A">
            <w:pPr>
              <w:pStyle w:val="NotesTable-CellPlain"/>
            </w:pPr>
          </w:p>
        </w:tc>
      </w:tr>
      <w:tr w:rsidR="00BF5CB8" w14:paraId="038A1A2E" w14:textId="77777777" w:rsidTr="00236F7B">
        <w:trPr>
          <w:cantSplit/>
          <w:trHeight w:val="181"/>
        </w:trPr>
        <w:tc>
          <w:tcPr>
            <w:tcW w:w="810" w:type="pct"/>
          </w:tcPr>
          <w:p w14:paraId="038A1A28" w14:textId="77777777" w:rsidR="00BF5CB8" w:rsidRDefault="00BF5CB8" w:rsidP="001A5D4A">
            <w:pPr>
              <w:pStyle w:val="Note-Refs"/>
            </w:pPr>
          </w:p>
        </w:tc>
        <w:tc>
          <w:tcPr>
            <w:tcW w:w="2567" w:type="pct"/>
            <w:vAlign w:val="bottom"/>
          </w:tcPr>
          <w:p w14:paraId="038A1A29" w14:textId="73583800" w:rsidR="00BF5CB8" w:rsidRDefault="00962B1E" w:rsidP="001A5D4A">
            <w:pPr>
              <w:pStyle w:val="NotesTable-ItemPlain"/>
              <w:rPr>
                <w:b/>
              </w:rPr>
            </w:pPr>
            <w:r>
              <w:t xml:space="preserve">Net </w:t>
            </w:r>
            <w:r w:rsidR="00BF5CB8">
              <w:t>result from continuing operations</w:t>
            </w:r>
          </w:p>
        </w:tc>
        <w:tc>
          <w:tcPr>
            <w:tcW w:w="406" w:type="pct"/>
          </w:tcPr>
          <w:p w14:paraId="038A1A2A" w14:textId="77777777" w:rsidR="00BF5CB8" w:rsidRDefault="00BF5CB8" w:rsidP="001A5D4A">
            <w:pPr>
              <w:pStyle w:val="NotesTable-CellBold"/>
            </w:pPr>
            <w:r>
              <w:t>–</w:t>
            </w:r>
          </w:p>
        </w:tc>
        <w:tc>
          <w:tcPr>
            <w:tcW w:w="406" w:type="pct"/>
          </w:tcPr>
          <w:p w14:paraId="038A1A2B" w14:textId="77777777" w:rsidR="00BF5CB8" w:rsidRDefault="00BF5CB8" w:rsidP="001A5D4A">
            <w:pPr>
              <w:pStyle w:val="StyleNotesTable-CellPlainBold"/>
            </w:pPr>
            <w:r>
              <w:t>–</w:t>
            </w:r>
          </w:p>
        </w:tc>
        <w:tc>
          <w:tcPr>
            <w:tcW w:w="406" w:type="pct"/>
          </w:tcPr>
          <w:p w14:paraId="038A1A2C" w14:textId="77777777" w:rsidR="00BF5CB8" w:rsidRDefault="00BF5CB8" w:rsidP="001A5D4A">
            <w:pPr>
              <w:pStyle w:val="NotesTable-CellBold"/>
            </w:pPr>
            <w:r>
              <w:t>–</w:t>
            </w:r>
          </w:p>
        </w:tc>
        <w:tc>
          <w:tcPr>
            <w:tcW w:w="405" w:type="pct"/>
          </w:tcPr>
          <w:p w14:paraId="038A1A2D" w14:textId="77777777" w:rsidR="00BF5CB8" w:rsidRDefault="00BF5CB8" w:rsidP="001A5D4A">
            <w:pPr>
              <w:pStyle w:val="StyleNotesTable-CellPlainBold"/>
            </w:pPr>
            <w:r>
              <w:t>–</w:t>
            </w:r>
          </w:p>
        </w:tc>
      </w:tr>
      <w:tr w:rsidR="00BF5CB8" w14:paraId="038A1A35" w14:textId="77777777" w:rsidTr="00236F7B">
        <w:trPr>
          <w:cantSplit/>
          <w:trHeight w:val="181"/>
        </w:trPr>
        <w:tc>
          <w:tcPr>
            <w:tcW w:w="810" w:type="pct"/>
          </w:tcPr>
          <w:p w14:paraId="038A1A2F" w14:textId="77777777" w:rsidR="00BF5CB8" w:rsidRDefault="00292BE3" w:rsidP="001A5D4A">
            <w:pPr>
              <w:pStyle w:val="Note-Refs"/>
            </w:pPr>
            <w:r>
              <w:t>AASB5.33b(ii)</w:t>
            </w:r>
          </w:p>
        </w:tc>
        <w:tc>
          <w:tcPr>
            <w:tcW w:w="2567" w:type="pct"/>
            <w:vAlign w:val="bottom"/>
          </w:tcPr>
          <w:p w14:paraId="038A1A30" w14:textId="1A695A4E" w:rsidR="00BF5CB8" w:rsidRDefault="00962B1E" w:rsidP="001A5D4A">
            <w:pPr>
              <w:pStyle w:val="NotesTable-ItemPlain"/>
              <w:rPr>
                <w:b/>
              </w:rPr>
            </w:pPr>
            <w:r>
              <w:t xml:space="preserve">Net </w:t>
            </w:r>
            <w:r w:rsidR="00BF5CB8">
              <w:t>result from discontinued operations</w:t>
            </w:r>
          </w:p>
        </w:tc>
        <w:tc>
          <w:tcPr>
            <w:tcW w:w="406" w:type="pct"/>
            <w:tcBorders>
              <w:bottom w:val="single" w:sz="4" w:space="0" w:color="000000"/>
            </w:tcBorders>
          </w:tcPr>
          <w:p w14:paraId="038A1A31" w14:textId="77777777" w:rsidR="00BF5CB8" w:rsidRDefault="00BF5CB8" w:rsidP="001A5D4A">
            <w:pPr>
              <w:pStyle w:val="NotesTable-CellBold"/>
            </w:pPr>
            <w:r>
              <w:t>–</w:t>
            </w:r>
          </w:p>
        </w:tc>
        <w:tc>
          <w:tcPr>
            <w:tcW w:w="406" w:type="pct"/>
            <w:tcBorders>
              <w:bottom w:val="single" w:sz="4" w:space="0" w:color="000000"/>
            </w:tcBorders>
          </w:tcPr>
          <w:p w14:paraId="038A1A32" w14:textId="77777777" w:rsidR="00BF5CB8" w:rsidRDefault="00BF5CB8" w:rsidP="001A5D4A">
            <w:pPr>
              <w:pStyle w:val="StyleNotesTable-CellPlainBold"/>
            </w:pPr>
            <w:r>
              <w:t>–</w:t>
            </w:r>
          </w:p>
        </w:tc>
        <w:tc>
          <w:tcPr>
            <w:tcW w:w="406" w:type="pct"/>
            <w:tcBorders>
              <w:bottom w:val="single" w:sz="4" w:space="0" w:color="000000"/>
            </w:tcBorders>
          </w:tcPr>
          <w:p w14:paraId="038A1A33" w14:textId="77777777" w:rsidR="00BF5CB8" w:rsidRDefault="00BF5CB8" w:rsidP="001A5D4A">
            <w:pPr>
              <w:pStyle w:val="NotesTable-CellBold"/>
            </w:pPr>
            <w:r>
              <w:t>–</w:t>
            </w:r>
          </w:p>
        </w:tc>
        <w:tc>
          <w:tcPr>
            <w:tcW w:w="405" w:type="pct"/>
            <w:tcBorders>
              <w:bottom w:val="single" w:sz="4" w:space="0" w:color="000000"/>
            </w:tcBorders>
          </w:tcPr>
          <w:p w14:paraId="038A1A34" w14:textId="77777777" w:rsidR="00BF5CB8" w:rsidRDefault="00BF5CB8" w:rsidP="001A5D4A">
            <w:pPr>
              <w:pStyle w:val="StyleNotesTable-CellPlainBold"/>
            </w:pPr>
            <w:r>
              <w:t>–</w:t>
            </w:r>
          </w:p>
        </w:tc>
      </w:tr>
      <w:tr w:rsidR="00BF5CB8" w14:paraId="038A1A3C" w14:textId="77777777" w:rsidTr="00236F7B">
        <w:trPr>
          <w:cantSplit/>
          <w:trHeight w:val="181"/>
        </w:trPr>
        <w:tc>
          <w:tcPr>
            <w:tcW w:w="810" w:type="pct"/>
          </w:tcPr>
          <w:p w14:paraId="038A1A36" w14:textId="77777777" w:rsidR="00BF5CB8" w:rsidRDefault="00BF5CB8" w:rsidP="001A5D4A">
            <w:pPr>
              <w:pStyle w:val="Note-Refs"/>
            </w:pPr>
          </w:p>
        </w:tc>
        <w:tc>
          <w:tcPr>
            <w:tcW w:w="2567" w:type="pct"/>
            <w:vAlign w:val="bottom"/>
          </w:tcPr>
          <w:p w14:paraId="038A1A37" w14:textId="77777777" w:rsidR="00BF5CB8" w:rsidRDefault="00BF5CB8" w:rsidP="001A5D4A">
            <w:pPr>
              <w:pStyle w:val="NotesTable-ItemPlain"/>
              <w:rPr>
                <w:b/>
              </w:rPr>
            </w:pPr>
            <w:r>
              <w:t>Aggregate income tax expense</w:t>
            </w:r>
          </w:p>
        </w:tc>
        <w:tc>
          <w:tcPr>
            <w:tcW w:w="406" w:type="pct"/>
            <w:tcBorders>
              <w:top w:val="single" w:sz="4" w:space="0" w:color="000000"/>
            </w:tcBorders>
          </w:tcPr>
          <w:p w14:paraId="038A1A38" w14:textId="77777777" w:rsidR="00BF5CB8" w:rsidRDefault="00BF5CB8" w:rsidP="001A5D4A">
            <w:pPr>
              <w:pStyle w:val="NotesTable-CellBold"/>
            </w:pPr>
            <w:r>
              <w:t>–</w:t>
            </w:r>
          </w:p>
        </w:tc>
        <w:tc>
          <w:tcPr>
            <w:tcW w:w="406" w:type="pct"/>
            <w:tcBorders>
              <w:top w:val="single" w:sz="4" w:space="0" w:color="000000"/>
            </w:tcBorders>
          </w:tcPr>
          <w:p w14:paraId="038A1A39" w14:textId="77777777" w:rsidR="00BF5CB8" w:rsidRDefault="00BF5CB8" w:rsidP="001A5D4A">
            <w:pPr>
              <w:pStyle w:val="StyleNotesTable-CellPlainBold"/>
            </w:pPr>
            <w:r>
              <w:t>–</w:t>
            </w:r>
          </w:p>
        </w:tc>
        <w:tc>
          <w:tcPr>
            <w:tcW w:w="406" w:type="pct"/>
            <w:tcBorders>
              <w:top w:val="single" w:sz="4" w:space="0" w:color="000000"/>
            </w:tcBorders>
          </w:tcPr>
          <w:p w14:paraId="038A1A3A" w14:textId="77777777" w:rsidR="00BF5CB8" w:rsidRDefault="00BF5CB8" w:rsidP="001A5D4A">
            <w:pPr>
              <w:pStyle w:val="NotesTable-CellBold"/>
            </w:pPr>
            <w:r>
              <w:t>–</w:t>
            </w:r>
          </w:p>
        </w:tc>
        <w:tc>
          <w:tcPr>
            <w:tcW w:w="405" w:type="pct"/>
            <w:tcBorders>
              <w:top w:val="single" w:sz="4" w:space="0" w:color="000000"/>
            </w:tcBorders>
          </w:tcPr>
          <w:p w14:paraId="038A1A3B" w14:textId="77777777" w:rsidR="00BF5CB8" w:rsidRDefault="00BF5CB8" w:rsidP="001A5D4A">
            <w:pPr>
              <w:pStyle w:val="StyleNotesTable-CellPlainBold"/>
            </w:pPr>
            <w:r>
              <w:t>–</w:t>
            </w:r>
          </w:p>
        </w:tc>
      </w:tr>
      <w:tr w:rsidR="00BF5CB8" w14:paraId="038A1A43" w14:textId="77777777" w:rsidTr="00236F7B">
        <w:trPr>
          <w:cantSplit/>
          <w:trHeight w:val="181"/>
        </w:trPr>
        <w:tc>
          <w:tcPr>
            <w:tcW w:w="810" w:type="pct"/>
          </w:tcPr>
          <w:p w14:paraId="038A1A3D" w14:textId="77777777" w:rsidR="00BF5CB8" w:rsidRDefault="00BF5CB8" w:rsidP="001A5D4A">
            <w:pPr>
              <w:pStyle w:val="Note-Refs"/>
            </w:pPr>
          </w:p>
        </w:tc>
        <w:tc>
          <w:tcPr>
            <w:tcW w:w="2567" w:type="pct"/>
            <w:vAlign w:val="bottom"/>
          </w:tcPr>
          <w:p w14:paraId="038A1A3E" w14:textId="77777777" w:rsidR="00BF5CB8" w:rsidRDefault="00BF5CB8" w:rsidP="001A5D4A">
            <w:pPr>
              <w:pStyle w:val="NotesTable-ItemPlain"/>
            </w:pPr>
          </w:p>
        </w:tc>
        <w:tc>
          <w:tcPr>
            <w:tcW w:w="406" w:type="pct"/>
          </w:tcPr>
          <w:p w14:paraId="038A1A3F" w14:textId="77777777" w:rsidR="00BF5CB8" w:rsidRDefault="00BF5CB8" w:rsidP="001A5D4A">
            <w:pPr>
              <w:pStyle w:val="NotesTable-CellBold"/>
            </w:pPr>
          </w:p>
        </w:tc>
        <w:tc>
          <w:tcPr>
            <w:tcW w:w="406" w:type="pct"/>
          </w:tcPr>
          <w:p w14:paraId="038A1A40" w14:textId="77777777" w:rsidR="00BF5CB8" w:rsidRDefault="00BF5CB8" w:rsidP="001A5D4A">
            <w:pPr>
              <w:pStyle w:val="NotesTable-CellPlain"/>
            </w:pPr>
          </w:p>
        </w:tc>
        <w:tc>
          <w:tcPr>
            <w:tcW w:w="406" w:type="pct"/>
          </w:tcPr>
          <w:p w14:paraId="038A1A41" w14:textId="77777777" w:rsidR="00BF5CB8" w:rsidRDefault="00BF5CB8" w:rsidP="001A5D4A">
            <w:pPr>
              <w:pStyle w:val="NotesTable-CellBold"/>
            </w:pPr>
          </w:p>
        </w:tc>
        <w:tc>
          <w:tcPr>
            <w:tcW w:w="405" w:type="pct"/>
          </w:tcPr>
          <w:p w14:paraId="038A1A42" w14:textId="77777777" w:rsidR="00BF5CB8" w:rsidRDefault="00BF5CB8" w:rsidP="001A5D4A">
            <w:pPr>
              <w:pStyle w:val="NotesTable-CellPlain"/>
            </w:pPr>
          </w:p>
        </w:tc>
      </w:tr>
      <w:tr w:rsidR="00BF5CB8" w14:paraId="038A1A4A" w14:textId="77777777" w:rsidTr="00236F7B">
        <w:trPr>
          <w:cantSplit/>
          <w:trHeight w:val="181"/>
        </w:trPr>
        <w:tc>
          <w:tcPr>
            <w:tcW w:w="810" w:type="pct"/>
          </w:tcPr>
          <w:p w14:paraId="038A1A44" w14:textId="77777777" w:rsidR="00BF5CB8" w:rsidRDefault="00BF5CB8" w:rsidP="001A5D4A">
            <w:pPr>
              <w:pStyle w:val="Note-Refs"/>
              <w:rPr>
                <w:b/>
              </w:rPr>
            </w:pPr>
            <w:r>
              <w:t>AASB112.80c</w:t>
            </w:r>
          </w:p>
        </w:tc>
        <w:tc>
          <w:tcPr>
            <w:tcW w:w="2567" w:type="pct"/>
            <w:vAlign w:val="bottom"/>
          </w:tcPr>
          <w:p w14:paraId="038A1A45" w14:textId="77777777" w:rsidR="00BF5CB8" w:rsidRDefault="00BF5CB8" w:rsidP="001A5D4A">
            <w:pPr>
              <w:pStyle w:val="NotesTable-ItemPlain"/>
              <w:rPr>
                <w:b/>
              </w:rPr>
            </w:pPr>
            <w:r>
              <w:t>Deferred income tax (income) / expense included in income tax expense comprises:</w:t>
            </w:r>
          </w:p>
        </w:tc>
        <w:tc>
          <w:tcPr>
            <w:tcW w:w="406" w:type="pct"/>
          </w:tcPr>
          <w:p w14:paraId="038A1A46" w14:textId="77777777" w:rsidR="00BF5CB8" w:rsidRDefault="00BF5CB8" w:rsidP="001A5D4A">
            <w:pPr>
              <w:pStyle w:val="NotesTable-CellBold"/>
            </w:pPr>
          </w:p>
        </w:tc>
        <w:tc>
          <w:tcPr>
            <w:tcW w:w="406" w:type="pct"/>
          </w:tcPr>
          <w:p w14:paraId="038A1A47" w14:textId="77777777" w:rsidR="00BF5CB8" w:rsidRDefault="00BF5CB8" w:rsidP="001A5D4A">
            <w:pPr>
              <w:pStyle w:val="NotesTable-CellPlain"/>
            </w:pPr>
          </w:p>
        </w:tc>
        <w:tc>
          <w:tcPr>
            <w:tcW w:w="406" w:type="pct"/>
          </w:tcPr>
          <w:p w14:paraId="038A1A48" w14:textId="77777777" w:rsidR="00BF5CB8" w:rsidRDefault="00BF5CB8" w:rsidP="001A5D4A">
            <w:pPr>
              <w:pStyle w:val="NotesTable-CellBold"/>
            </w:pPr>
          </w:p>
        </w:tc>
        <w:tc>
          <w:tcPr>
            <w:tcW w:w="405" w:type="pct"/>
          </w:tcPr>
          <w:p w14:paraId="038A1A49" w14:textId="77777777" w:rsidR="00BF5CB8" w:rsidRDefault="00BF5CB8" w:rsidP="001A5D4A">
            <w:pPr>
              <w:pStyle w:val="NotesTable-CellPlain"/>
            </w:pPr>
          </w:p>
        </w:tc>
      </w:tr>
      <w:tr w:rsidR="00BF5CB8" w14:paraId="038A1A51" w14:textId="77777777" w:rsidTr="00236F7B">
        <w:trPr>
          <w:cantSplit/>
          <w:trHeight w:val="181"/>
        </w:trPr>
        <w:tc>
          <w:tcPr>
            <w:tcW w:w="810" w:type="pct"/>
          </w:tcPr>
          <w:p w14:paraId="038A1A4B" w14:textId="77777777" w:rsidR="00BF5CB8" w:rsidRDefault="00BF5CB8" w:rsidP="001A5D4A">
            <w:pPr>
              <w:pStyle w:val="Note-Refs"/>
            </w:pPr>
          </w:p>
        </w:tc>
        <w:tc>
          <w:tcPr>
            <w:tcW w:w="2567" w:type="pct"/>
            <w:vAlign w:val="bottom"/>
          </w:tcPr>
          <w:p w14:paraId="038A1A4C" w14:textId="77777777" w:rsidR="00BF5CB8" w:rsidRDefault="00BF5CB8" w:rsidP="001A5D4A">
            <w:pPr>
              <w:pStyle w:val="NotesTable-ItemPlain"/>
              <w:rPr>
                <w:b/>
              </w:rPr>
            </w:pPr>
            <w:r>
              <w:t xml:space="preserve">Decrease / (increase) in deferred tax assets </w:t>
            </w:r>
          </w:p>
        </w:tc>
        <w:tc>
          <w:tcPr>
            <w:tcW w:w="406" w:type="pct"/>
          </w:tcPr>
          <w:p w14:paraId="038A1A4D" w14:textId="77777777" w:rsidR="00BF5CB8" w:rsidRDefault="00BF5CB8" w:rsidP="001A5D4A">
            <w:pPr>
              <w:pStyle w:val="NotesTable-CellBold"/>
            </w:pPr>
            <w:r>
              <w:t>–</w:t>
            </w:r>
          </w:p>
        </w:tc>
        <w:tc>
          <w:tcPr>
            <w:tcW w:w="406" w:type="pct"/>
          </w:tcPr>
          <w:p w14:paraId="038A1A4E" w14:textId="77777777" w:rsidR="00BF5CB8" w:rsidRDefault="00BF5CB8" w:rsidP="001A5D4A">
            <w:pPr>
              <w:pStyle w:val="StyleNotesTable-CellPlainBold"/>
            </w:pPr>
            <w:r>
              <w:t>–</w:t>
            </w:r>
          </w:p>
        </w:tc>
        <w:tc>
          <w:tcPr>
            <w:tcW w:w="406" w:type="pct"/>
          </w:tcPr>
          <w:p w14:paraId="038A1A4F" w14:textId="77777777" w:rsidR="00BF5CB8" w:rsidRDefault="00BF5CB8" w:rsidP="001A5D4A">
            <w:pPr>
              <w:pStyle w:val="NotesTable-CellBold"/>
            </w:pPr>
            <w:r>
              <w:t>–</w:t>
            </w:r>
          </w:p>
        </w:tc>
        <w:tc>
          <w:tcPr>
            <w:tcW w:w="405" w:type="pct"/>
          </w:tcPr>
          <w:p w14:paraId="038A1A50" w14:textId="77777777" w:rsidR="00BF5CB8" w:rsidRDefault="00BF5CB8" w:rsidP="001A5D4A">
            <w:pPr>
              <w:pStyle w:val="StyleNotesTable-CellPlainBold"/>
            </w:pPr>
            <w:r>
              <w:t>–</w:t>
            </w:r>
          </w:p>
        </w:tc>
      </w:tr>
      <w:tr w:rsidR="00BF5CB8" w14:paraId="038A1A58" w14:textId="77777777" w:rsidTr="00236F7B">
        <w:trPr>
          <w:cantSplit/>
          <w:trHeight w:val="181"/>
        </w:trPr>
        <w:tc>
          <w:tcPr>
            <w:tcW w:w="810" w:type="pct"/>
          </w:tcPr>
          <w:p w14:paraId="038A1A52" w14:textId="77777777" w:rsidR="00BF5CB8" w:rsidRDefault="00BF5CB8" w:rsidP="001A5D4A">
            <w:pPr>
              <w:pStyle w:val="Note-Refs"/>
            </w:pPr>
          </w:p>
        </w:tc>
        <w:tc>
          <w:tcPr>
            <w:tcW w:w="2567" w:type="pct"/>
            <w:vAlign w:val="bottom"/>
          </w:tcPr>
          <w:p w14:paraId="038A1A53" w14:textId="77777777" w:rsidR="00BF5CB8" w:rsidRDefault="00BF5CB8" w:rsidP="001A5D4A">
            <w:pPr>
              <w:pStyle w:val="NotesTable-ItemPlain"/>
              <w:rPr>
                <w:b/>
              </w:rPr>
            </w:pPr>
            <w:r>
              <w:t xml:space="preserve">(Decrease) / increase in deferred tax liabilities </w:t>
            </w:r>
          </w:p>
        </w:tc>
        <w:tc>
          <w:tcPr>
            <w:tcW w:w="406" w:type="pct"/>
            <w:tcBorders>
              <w:bottom w:val="single" w:sz="4" w:space="0" w:color="auto"/>
            </w:tcBorders>
          </w:tcPr>
          <w:p w14:paraId="038A1A54" w14:textId="77777777" w:rsidR="00BF5CB8" w:rsidRDefault="00BF5CB8" w:rsidP="001A5D4A">
            <w:pPr>
              <w:pStyle w:val="NotesTable-CellBold"/>
            </w:pPr>
            <w:r>
              <w:t>–</w:t>
            </w:r>
          </w:p>
        </w:tc>
        <w:tc>
          <w:tcPr>
            <w:tcW w:w="406" w:type="pct"/>
            <w:tcBorders>
              <w:bottom w:val="single" w:sz="4" w:space="0" w:color="auto"/>
            </w:tcBorders>
          </w:tcPr>
          <w:p w14:paraId="038A1A55" w14:textId="77777777" w:rsidR="00BF5CB8" w:rsidRDefault="00BF5CB8" w:rsidP="001A5D4A">
            <w:pPr>
              <w:pStyle w:val="StyleNotesTable-CellPlainBold"/>
            </w:pPr>
            <w:r>
              <w:t>–</w:t>
            </w:r>
          </w:p>
        </w:tc>
        <w:tc>
          <w:tcPr>
            <w:tcW w:w="406" w:type="pct"/>
            <w:tcBorders>
              <w:bottom w:val="single" w:sz="4" w:space="0" w:color="auto"/>
            </w:tcBorders>
          </w:tcPr>
          <w:p w14:paraId="038A1A56" w14:textId="77777777" w:rsidR="00BF5CB8" w:rsidRDefault="00BF5CB8" w:rsidP="001A5D4A">
            <w:pPr>
              <w:pStyle w:val="NotesTable-CellBold"/>
            </w:pPr>
            <w:r>
              <w:t>–</w:t>
            </w:r>
          </w:p>
        </w:tc>
        <w:tc>
          <w:tcPr>
            <w:tcW w:w="405" w:type="pct"/>
            <w:tcBorders>
              <w:bottom w:val="single" w:sz="4" w:space="0" w:color="auto"/>
            </w:tcBorders>
          </w:tcPr>
          <w:p w14:paraId="038A1A57" w14:textId="77777777" w:rsidR="00BF5CB8" w:rsidRDefault="00BF5CB8" w:rsidP="001A5D4A">
            <w:pPr>
              <w:pStyle w:val="StyleNotesTable-CellPlainBold"/>
            </w:pPr>
            <w:r>
              <w:t>–</w:t>
            </w:r>
          </w:p>
        </w:tc>
      </w:tr>
      <w:tr w:rsidR="00BF5CB8" w14:paraId="038A1A5F" w14:textId="77777777" w:rsidTr="00236F7B">
        <w:trPr>
          <w:cantSplit/>
          <w:trHeight w:val="181"/>
        </w:trPr>
        <w:tc>
          <w:tcPr>
            <w:tcW w:w="810" w:type="pct"/>
          </w:tcPr>
          <w:p w14:paraId="038A1A59" w14:textId="77777777" w:rsidR="00BF5CB8" w:rsidRDefault="00BF5CB8" w:rsidP="001A5D4A">
            <w:pPr>
              <w:pStyle w:val="Note-Refs"/>
            </w:pPr>
          </w:p>
        </w:tc>
        <w:tc>
          <w:tcPr>
            <w:tcW w:w="2567" w:type="pct"/>
            <w:vAlign w:val="bottom"/>
          </w:tcPr>
          <w:p w14:paraId="038A1A5A" w14:textId="77777777" w:rsidR="00BF5CB8" w:rsidRDefault="005354E5" w:rsidP="001A5D4A">
            <w:pPr>
              <w:pStyle w:val="NotesTable-ItemPlain"/>
            </w:pPr>
            <w:r>
              <w:t>Total</w:t>
            </w:r>
          </w:p>
        </w:tc>
        <w:tc>
          <w:tcPr>
            <w:tcW w:w="406" w:type="pct"/>
            <w:tcBorders>
              <w:top w:val="single" w:sz="4" w:space="0" w:color="auto"/>
            </w:tcBorders>
          </w:tcPr>
          <w:p w14:paraId="038A1A5B" w14:textId="77777777" w:rsidR="00BF5CB8" w:rsidRDefault="00BF5CB8" w:rsidP="001A5D4A">
            <w:pPr>
              <w:pStyle w:val="NotesTable-CellBold"/>
            </w:pPr>
            <w:r>
              <w:t>–</w:t>
            </w:r>
          </w:p>
        </w:tc>
        <w:tc>
          <w:tcPr>
            <w:tcW w:w="406" w:type="pct"/>
            <w:tcBorders>
              <w:top w:val="single" w:sz="4" w:space="0" w:color="auto"/>
            </w:tcBorders>
          </w:tcPr>
          <w:p w14:paraId="038A1A5C" w14:textId="77777777" w:rsidR="00BF5CB8" w:rsidRDefault="00BF5CB8" w:rsidP="001A5D4A">
            <w:pPr>
              <w:pStyle w:val="StyleNotesTable-CellPlainBold"/>
            </w:pPr>
            <w:r>
              <w:t>–</w:t>
            </w:r>
          </w:p>
        </w:tc>
        <w:tc>
          <w:tcPr>
            <w:tcW w:w="406" w:type="pct"/>
            <w:tcBorders>
              <w:top w:val="single" w:sz="4" w:space="0" w:color="auto"/>
            </w:tcBorders>
          </w:tcPr>
          <w:p w14:paraId="038A1A5D" w14:textId="77777777" w:rsidR="00BF5CB8" w:rsidRDefault="00BF5CB8" w:rsidP="001A5D4A">
            <w:pPr>
              <w:pStyle w:val="NotesTable-CellBold"/>
            </w:pPr>
            <w:r>
              <w:t>–</w:t>
            </w:r>
          </w:p>
        </w:tc>
        <w:tc>
          <w:tcPr>
            <w:tcW w:w="405" w:type="pct"/>
            <w:tcBorders>
              <w:top w:val="single" w:sz="4" w:space="0" w:color="auto"/>
            </w:tcBorders>
          </w:tcPr>
          <w:p w14:paraId="038A1A5E" w14:textId="77777777" w:rsidR="00BF5CB8" w:rsidRDefault="00BF5CB8" w:rsidP="001A5D4A">
            <w:pPr>
              <w:pStyle w:val="StyleNotesTable-CellPlainBold"/>
            </w:pPr>
            <w:r>
              <w:t>–</w:t>
            </w:r>
          </w:p>
        </w:tc>
      </w:tr>
    </w:tbl>
    <w:p w14:paraId="4026A5AB" w14:textId="77777777" w:rsidR="00236F7B" w:rsidRDefault="00236F7B">
      <w:pPr>
        <w:spacing w:after="0"/>
      </w:pPr>
      <w:r>
        <w:br w:type="page"/>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236F7B" w14:paraId="038A1A66" w14:textId="77777777" w:rsidTr="00236F7B">
        <w:trPr>
          <w:cantSplit/>
          <w:trHeight w:val="181"/>
        </w:trPr>
        <w:tc>
          <w:tcPr>
            <w:tcW w:w="3377" w:type="pct"/>
            <w:gridSpan w:val="2"/>
          </w:tcPr>
          <w:p w14:paraId="038A1A61" w14:textId="681D2C1B" w:rsidR="00236F7B" w:rsidRPr="00236F7B" w:rsidRDefault="00236F7B" w:rsidP="00236F7B">
            <w:pPr>
              <w:pStyle w:val="TOC3"/>
              <w:ind w:left="0"/>
            </w:pPr>
            <w:r w:rsidRPr="00236F7B">
              <w:lastRenderedPageBreak/>
              <w:t>Note 16. Income Tax (continued)</w:t>
            </w:r>
          </w:p>
        </w:tc>
        <w:tc>
          <w:tcPr>
            <w:tcW w:w="406" w:type="pct"/>
          </w:tcPr>
          <w:p w14:paraId="038A1A62" w14:textId="77777777" w:rsidR="00236F7B" w:rsidRDefault="00236F7B" w:rsidP="001A5D4A">
            <w:pPr>
              <w:pStyle w:val="NotesTable-CellBold"/>
            </w:pPr>
          </w:p>
        </w:tc>
        <w:tc>
          <w:tcPr>
            <w:tcW w:w="406" w:type="pct"/>
          </w:tcPr>
          <w:p w14:paraId="038A1A63" w14:textId="77777777" w:rsidR="00236F7B" w:rsidRDefault="00236F7B" w:rsidP="001A5D4A">
            <w:pPr>
              <w:pStyle w:val="StyleNotesTable-CellPlainBold"/>
            </w:pPr>
          </w:p>
        </w:tc>
        <w:tc>
          <w:tcPr>
            <w:tcW w:w="406" w:type="pct"/>
          </w:tcPr>
          <w:p w14:paraId="038A1A64" w14:textId="77777777" w:rsidR="00236F7B" w:rsidRDefault="00236F7B" w:rsidP="001A5D4A">
            <w:pPr>
              <w:pStyle w:val="NotesTable-CellBold"/>
            </w:pPr>
          </w:p>
        </w:tc>
        <w:tc>
          <w:tcPr>
            <w:tcW w:w="405" w:type="pct"/>
          </w:tcPr>
          <w:p w14:paraId="038A1A65" w14:textId="77777777" w:rsidR="00236F7B" w:rsidRDefault="00236F7B" w:rsidP="001A5D4A">
            <w:pPr>
              <w:pStyle w:val="StyleNotesTable-CellPlainBold"/>
            </w:pPr>
          </w:p>
        </w:tc>
      </w:tr>
      <w:tr w:rsidR="00236F7B" w14:paraId="0B652AA5" w14:textId="77777777" w:rsidTr="00236F7B">
        <w:trPr>
          <w:cantSplit/>
          <w:trHeight w:val="181"/>
        </w:trPr>
        <w:tc>
          <w:tcPr>
            <w:tcW w:w="3377" w:type="pct"/>
            <w:gridSpan w:val="2"/>
          </w:tcPr>
          <w:p w14:paraId="189EFED1" w14:textId="77777777" w:rsidR="00236F7B" w:rsidRPr="00236F7B" w:rsidRDefault="00236F7B" w:rsidP="00236F7B">
            <w:pPr>
              <w:pStyle w:val="Note-Table1"/>
            </w:pPr>
          </w:p>
        </w:tc>
        <w:tc>
          <w:tcPr>
            <w:tcW w:w="812" w:type="pct"/>
            <w:gridSpan w:val="2"/>
          </w:tcPr>
          <w:p w14:paraId="3C69F220" w14:textId="3E808908" w:rsidR="00236F7B" w:rsidRDefault="00236F7B" w:rsidP="001A5D4A">
            <w:pPr>
              <w:pStyle w:val="StyleNotesTable-CellPlainBold"/>
            </w:pPr>
            <w:r>
              <w:t>Consolidated</w:t>
            </w:r>
          </w:p>
        </w:tc>
        <w:tc>
          <w:tcPr>
            <w:tcW w:w="811" w:type="pct"/>
            <w:gridSpan w:val="2"/>
          </w:tcPr>
          <w:p w14:paraId="40580283" w14:textId="6415C66E" w:rsidR="00236F7B" w:rsidRDefault="00236F7B" w:rsidP="001A5D4A">
            <w:pPr>
              <w:pStyle w:val="StyleNotesTable-CellPlainBold"/>
            </w:pPr>
            <w:r>
              <w:t>Parent entity</w:t>
            </w:r>
          </w:p>
        </w:tc>
      </w:tr>
      <w:tr w:rsidR="00236F7B" w14:paraId="3585A258" w14:textId="77777777" w:rsidTr="00236F7B">
        <w:trPr>
          <w:cantSplit/>
          <w:trHeight w:val="181"/>
        </w:trPr>
        <w:tc>
          <w:tcPr>
            <w:tcW w:w="3377" w:type="pct"/>
            <w:gridSpan w:val="2"/>
          </w:tcPr>
          <w:p w14:paraId="016DB7DE" w14:textId="77777777" w:rsidR="00236F7B" w:rsidRPr="00236F7B" w:rsidRDefault="00236F7B" w:rsidP="00236F7B">
            <w:pPr>
              <w:pStyle w:val="Note-Table1"/>
            </w:pPr>
          </w:p>
        </w:tc>
        <w:tc>
          <w:tcPr>
            <w:tcW w:w="406" w:type="pct"/>
          </w:tcPr>
          <w:p w14:paraId="69336DBA" w14:textId="326A5197" w:rsidR="00236F7B" w:rsidRDefault="00236F7B" w:rsidP="001A5D4A">
            <w:pPr>
              <w:pStyle w:val="NotesTable-CellBold"/>
            </w:pPr>
            <w:r>
              <w:t>2014</w:t>
            </w:r>
          </w:p>
        </w:tc>
        <w:tc>
          <w:tcPr>
            <w:tcW w:w="406" w:type="pct"/>
          </w:tcPr>
          <w:p w14:paraId="75056D9B" w14:textId="33C8C959" w:rsidR="00236F7B" w:rsidRDefault="00236F7B" w:rsidP="001A5D4A">
            <w:pPr>
              <w:pStyle w:val="StyleNotesTable-CellPlainBold"/>
            </w:pPr>
            <w:r>
              <w:t>2013</w:t>
            </w:r>
          </w:p>
        </w:tc>
        <w:tc>
          <w:tcPr>
            <w:tcW w:w="406" w:type="pct"/>
          </w:tcPr>
          <w:p w14:paraId="6C4AD455" w14:textId="6617EFF4" w:rsidR="00236F7B" w:rsidRDefault="00236F7B" w:rsidP="001A5D4A">
            <w:pPr>
              <w:pStyle w:val="NotesTable-CellBold"/>
            </w:pPr>
            <w:r>
              <w:t>2014</w:t>
            </w:r>
          </w:p>
        </w:tc>
        <w:tc>
          <w:tcPr>
            <w:tcW w:w="405" w:type="pct"/>
          </w:tcPr>
          <w:p w14:paraId="0DC0B8FE" w14:textId="3F5D5C93" w:rsidR="00236F7B" w:rsidRDefault="00236F7B" w:rsidP="001A5D4A">
            <w:pPr>
              <w:pStyle w:val="StyleNotesTable-CellPlainBold"/>
            </w:pPr>
            <w:r>
              <w:t>2013</w:t>
            </w:r>
          </w:p>
        </w:tc>
      </w:tr>
      <w:tr w:rsidR="00236F7B" w14:paraId="04478A06" w14:textId="77777777" w:rsidTr="00236F7B">
        <w:trPr>
          <w:cantSplit/>
          <w:trHeight w:val="181"/>
        </w:trPr>
        <w:tc>
          <w:tcPr>
            <w:tcW w:w="3377" w:type="pct"/>
            <w:gridSpan w:val="2"/>
          </w:tcPr>
          <w:p w14:paraId="2E4D4B97" w14:textId="77777777" w:rsidR="00236F7B" w:rsidRPr="00236F7B" w:rsidRDefault="00236F7B" w:rsidP="00236F7B">
            <w:pPr>
              <w:pStyle w:val="Note-Table1"/>
            </w:pPr>
          </w:p>
        </w:tc>
        <w:tc>
          <w:tcPr>
            <w:tcW w:w="406" w:type="pct"/>
          </w:tcPr>
          <w:p w14:paraId="6659A563" w14:textId="38E13DB7" w:rsidR="00236F7B" w:rsidRDefault="00236F7B" w:rsidP="001A5D4A">
            <w:pPr>
              <w:pStyle w:val="NotesTable-CellBold"/>
            </w:pPr>
            <w:r>
              <w:t>$’000</w:t>
            </w:r>
          </w:p>
        </w:tc>
        <w:tc>
          <w:tcPr>
            <w:tcW w:w="406" w:type="pct"/>
          </w:tcPr>
          <w:p w14:paraId="182AB663" w14:textId="34095BEA" w:rsidR="00236F7B" w:rsidRDefault="00236F7B" w:rsidP="001A5D4A">
            <w:pPr>
              <w:pStyle w:val="StyleNotesTable-CellPlainBold"/>
            </w:pPr>
            <w:r>
              <w:t>$’000</w:t>
            </w:r>
          </w:p>
        </w:tc>
        <w:tc>
          <w:tcPr>
            <w:tcW w:w="406" w:type="pct"/>
          </w:tcPr>
          <w:p w14:paraId="39A3AB43" w14:textId="7BB553AF" w:rsidR="00236F7B" w:rsidRDefault="00236F7B" w:rsidP="001A5D4A">
            <w:pPr>
              <w:pStyle w:val="NotesTable-CellBold"/>
            </w:pPr>
            <w:r>
              <w:t>$’000</w:t>
            </w:r>
          </w:p>
        </w:tc>
        <w:tc>
          <w:tcPr>
            <w:tcW w:w="405" w:type="pct"/>
          </w:tcPr>
          <w:p w14:paraId="56EE0520" w14:textId="76584A12" w:rsidR="00236F7B" w:rsidRDefault="00236F7B" w:rsidP="001A5D4A">
            <w:pPr>
              <w:pStyle w:val="StyleNotesTable-CellPlainBold"/>
            </w:pPr>
            <w:r>
              <w:t>$’000</w:t>
            </w:r>
          </w:p>
        </w:tc>
      </w:tr>
      <w:tr w:rsidR="00AE2053" w14:paraId="038A1A69" w14:textId="77777777" w:rsidTr="00E21378">
        <w:trPr>
          <w:cantSplit/>
          <w:trHeight w:val="181"/>
        </w:trPr>
        <w:tc>
          <w:tcPr>
            <w:tcW w:w="810" w:type="pct"/>
          </w:tcPr>
          <w:p w14:paraId="038A1A67" w14:textId="77777777" w:rsidR="00AE2053" w:rsidRDefault="00AE2053" w:rsidP="001A5D4A">
            <w:pPr>
              <w:pStyle w:val="Note-Refs"/>
              <w:rPr>
                <w:b/>
              </w:rPr>
            </w:pPr>
            <w:r>
              <w:t>AASB112.81c(i),84,85</w:t>
            </w:r>
          </w:p>
        </w:tc>
        <w:tc>
          <w:tcPr>
            <w:tcW w:w="4190" w:type="pct"/>
            <w:gridSpan w:val="5"/>
            <w:vAlign w:val="bottom"/>
          </w:tcPr>
          <w:p w14:paraId="038A1A68" w14:textId="77777777" w:rsidR="00AE2053" w:rsidRDefault="00AE2053" w:rsidP="001A5D4A">
            <w:pPr>
              <w:pStyle w:val="Note-TextHeader"/>
              <w:rPr>
                <w:lang w:val="en-GB"/>
              </w:rPr>
            </w:pPr>
            <w:r>
              <w:t>(b)</w:t>
            </w:r>
            <w:r>
              <w:tab/>
              <w:t>Numerical reconciliation of income tax expense to prima facie tax payable</w:t>
            </w:r>
          </w:p>
        </w:tc>
      </w:tr>
      <w:tr w:rsidR="00BF5CB8" w14:paraId="038A1A70" w14:textId="77777777" w:rsidTr="00236F7B">
        <w:trPr>
          <w:cantSplit/>
          <w:trHeight w:val="181"/>
        </w:trPr>
        <w:tc>
          <w:tcPr>
            <w:tcW w:w="810" w:type="pct"/>
          </w:tcPr>
          <w:p w14:paraId="038A1A6A" w14:textId="77777777" w:rsidR="00BF5CB8" w:rsidRDefault="00BF5CB8" w:rsidP="001A5D4A">
            <w:pPr>
              <w:pStyle w:val="Note-Refs"/>
            </w:pPr>
          </w:p>
        </w:tc>
        <w:tc>
          <w:tcPr>
            <w:tcW w:w="2567" w:type="pct"/>
            <w:vAlign w:val="bottom"/>
          </w:tcPr>
          <w:p w14:paraId="038A1A6B" w14:textId="56BA1104" w:rsidR="00BF5CB8" w:rsidRDefault="00962B1E" w:rsidP="001A5D4A">
            <w:pPr>
              <w:pStyle w:val="NotesTable-ItemPlain"/>
              <w:rPr>
                <w:b/>
              </w:rPr>
            </w:pPr>
            <w:r>
              <w:t xml:space="preserve">Net </w:t>
            </w:r>
            <w:r w:rsidR="00BF5CB8">
              <w:t>result before income tax:</w:t>
            </w:r>
          </w:p>
        </w:tc>
        <w:tc>
          <w:tcPr>
            <w:tcW w:w="406" w:type="pct"/>
            <w:tcBorders>
              <w:bottom w:val="single" w:sz="4" w:space="0" w:color="auto"/>
            </w:tcBorders>
          </w:tcPr>
          <w:p w14:paraId="038A1A6C" w14:textId="77777777" w:rsidR="00BF5CB8" w:rsidRDefault="00BF5CB8" w:rsidP="001A5D4A">
            <w:pPr>
              <w:pStyle w:val="NotesTable-CellBold"/>
            </w:pPr>
            <w:r>
              <w:t>–</w:t>
            </w:r>
          </w:p>
        </w:tc>
        <w:tc>
          <w:tcPr>
            <w:tcW w:w="406" w:type="pct"/>
            <w:tcBorders>
              <w:bottom w:val="single" w:sz="4" w:space="0" w:color="auto"/>
            </w:tcBorders>
          </w:tcPr>
          <w:p w14:paraId="038A1A6D" w14:textId="77777777" w:rsidR="00BF5CB8" w:rsidRDefault="00BF5CB8" w:rsidP="001A5D4A">
            <w:pPr>
              <w:pStyle w:val="StyleNotesTable-CellPlainBold"/>
            </w:pPr>
            <w:r>
              <w:t>–</w:t>
            </w:r>
          </w:p>
        </w:tc>
        <w:tc>
          <w:tcPr>
            <w:tcW w:w="406" w:type="pct"/>
            <w:tcBorders>
              <w:bottom w:val="single" w:sz="4" w:space="0" w:color="auto"/>
            </w:tcBorders>
          </w:tcPr>
          <w:p w14:paraId="038A1A6E" w14:textId="77777777" w:rsidR="00BF5CB8" w:rsidRDefault="00BF5CB8" w:rsidP="001A5D4A">
            <w:pPr>
              <w:pStyle w:val="NotesTable-CellBold"/>
            </w:pPr>
            <w:r>
              <w:t>–</w:t>
            </w:r>
          </w:p>
        </w:tc>
        <w:tc>
          <w:tcPr>
            <w:tcW w:w="405" w:type="pct"/>
            <w:tcBorders>
              <w:bottom w:val="single" w:sz="4" w:space="0" w:color="auto"/>
            </w:tcBorders>
          </w:tcPr>
          <w:p w14:paraId="038A1A6F" w14:textId="77777777" w:rsidR="00BF5CB8" w:rsidRDefault="00BF5CB8" w:rsidP="001A5D4A">
            <w:pPr>
              <w:pStyle w:val="StyleNotesTable-CellPlainBold"/>
            </w:pPr>
            <w:r>
              <w:t>–</w:t>
            </w:r>
          </w:p>
        </w:tc>
      </w:tr>
      <w:tr w:rsidR="00BF5CB8" w14:paraId="038A1A77" w14:textId="77777777" w:rsidTr="00236F7B">
        <w:trPr>
          <w:cantSplit/>
          <w:trHeight w:val="181"/>
        </w:trPr>
        <w:tc>
          <w:tcPr>
            <w:tcW w:w="810" w:type="pct"/>
          </w:tcPr>
          <w:p w14:paraId="038A1A71" w14:textId="77777777" w:rsidR="00BF5CB8" w:rsidRDefault="00BF5CB8" w:rsidP="001A5D4A">
            <w:pPr>
              <w:pStyle w:val="Note-Refs"/>
            </w:pPr>
          </w:p>
        </w:tc>
        <w:tc>
          <w:tcPr>
            <w:tcW w:w="2567" w:type="pct"/>
            <w:vAlign w:val="bottom"/>
          </w:tcPr>
          <w:p w14:paraId="038A1A72" w14:textId="77777777" w:rsidR="00BF5CB8" w:rsidRDefault="00BF5CB8" w:rsidP="001A5D4A">
            <w:pPr>
              <w:pStyle w:val="NotesTable-ItemPlain"/>
              <w:rPr>
                <w:b/>
              </w:rPr>
            </w:pPr>
            <w:r>
              <w:t>From continuing operations</w:t>
            </w:r>
          </w:p>
        </w:tc>
        <w:tc>
          <w:tcPr>
            <w:tcW w:w="406" w:type="pct"/>
          </w:tcPr>
          <w:p w14:paraId="038A1A73" w14:textId="77777777" w:rsidR="00BF5CB8" w:rsidRDefault="00BF5CB8" w:rsidP="001A5D4A">
            <w:pPr>
              <w:pStyle w:val="NotesTable-CellBold"/>
            </w:pPr>
            <w:r>
              <w:t>–</w:t>
            </w:r>
          </w:p>
        </w:tc>
        <w:tc>
          <w:tcPr>
            <w:tcW w:w="406" w:type="pct"/>
          </w:tcPr>
          <w:p w14:paraId="038A1A74" w14:textId="77777777" w:rsidR="00BF5CB8" w:rsidRDefault="00BF5CB8" w:rsidP="001A5D4A">
            <w:pPr>
              <w:pStyle w:val="StyleNotesTable-CellPlainBold"/>
            </w:pPr>
            <w:r>
              <w:t>–</w:t>
            </w:r>
          </w:p>
        </w:tc>
        <w:tc>
          <w:tcPr>
            <w:tcW w:w="406" w:type="pct"/>
          </w:tcPr>
          <w:p w14:paraId="038A1A75" w14:textId="77777777" w:rsidR="00BF5CB8" w:rsidRDefault="00BF5CB8" w:rsidP="001A5D4A">
            <w:pPr>
              <w:pStyle w:val="NotesTable-CellBold"/>
            </w:pPr>
            <w:r>
              <w:t>–</w:t>
            </w:r>
          </w:p>
        </w:tc>
        <w:tc>
          <w:tcPr>
            <w:tcW w:w="405" w:type="pct"/>
          </w:tcPr>
          <w:p w14:paraId="038A1A76" w14:textId="77777777" w:rsidR="00BF5CB8" w:rsidRDefault="00BF5CB8" w:rsidP="001A5D4A">
            <w:pPr>
              <w:pStyle w:val="StyleNotesTable-CellPlainBold"/>
            </w:pPr>
            <w:r>
              <w:t>–</w:t>
            </w:r>
          </w:p>
        </w:tc>
      </w:tr>
      <w:tr w:rsidR="00BF5CB8" w14:paraId="038A1A7E" w14:textId="77777777" w:rsidTr="00236F7B">
        <w:trPr>
          <w:cantSplit/>
          <w:trHeight w:val="181"/>
        </w:trPr>
        <w:tc>
          <w:tcPr>
            <w:tcW w:w="810" w:type="pct"/>
          </w:tcPr>
          <w:p w14:paraId="038A1A78" w14:textId="77777777" w:rsidR="00BF5CB8" w:rsidRDefault="00BF5CB8" w:rsidP="001A5D4A">
            <w:pPr>
              <w:pStyle w:val="Note-Refs"/>
            </w:pPr>
          </w:p>
        </w:tc>
        <w:tc>
          <w:tcPr>
            <w:tcW w:w="2567" w:type="pct"/>
            <w:vAlign w:val="bottom"/>
          </w:tcPr>
          <w:p w14:paraId="038A1A79" w14:textId="77777777" w:rsidR="00BF5CB8" w:rsidRDefault="00BF5CB8" w:rsidP="001A5D4A">
            <w:pPr>
              <w:pStyle w:val="NotesTable-ItemPlain"/>
              <w:rPr>
                <w:b/>
              </w:rPr>
            </w:pPr>
            <w:r>
              <w:t>From discontinued operations</w:t>
            </w:r>
          </w:p>
        </w:tc>
        <w:tc>
          <w:tcPr>
            <w:tcW w:w="406" w:type="pct"/>
          </w:tcPr>
          <w:p w14:paraId="038A1A7A" w14:textId="77777777" w:rsidR="00BF5CB8" w:rsidRDefault="00BF5CB8" w:rsidP="001A5D4A">
            <w:pPr>
              <w:pStyle w:val="NotesTable-CellBold"/>
            </w:pPr>
            <w:r>
              <w:t>–</w:t>
            </w:r>
          </w:p>
        </w:tc>
        <w:tc>
          <w:tcPr>
            <w:tcW w:w="406" w:type="pct"/>
          </w:tcPr>
          <w:p w14:paraId="038A1A7B" w14:textId="77777777" w:rsidR="00BF5CB8" w:rsidRDefault="00BF5CB8" w:rsidP="001A5D4A">
            <w:pPr>
              <w:pStyle w:val="StyleNotesTable-CellPlainBold"/>
            </w:pPr>
            <w:r>
              <w:t>–</w:t>
            </w:r>
          </w:p>
        </w:tc>
        <w:tc>
          <w:tcPr>
            <w:tcW w:w="406" w:type="pct"/>
          </w:tcPr>
          <w:p w14:paraId="038A1A7C" w14:textId="77777777" w:rsidR="00BF5CB8" w:rsidRDefault="00BF5CB8" w:rsidP="001A5D4A">
            <w:pPr>
              <w:pStyle w:val="NotesTable-CellBold"/>
            </w:pPr>
            <w:r>
              <w:t>–</w:t>
            </w:r>
          </w:p>
        </w:tc>
        <w:tc>
          <w:tcPr>
            <w:tcW w:w="405" w:type="pct"/>
          </w:tcPr>
          <w:p w14:paraId="038A1A7D" w14:textId="77777777" w:rsidR="00BF5CB8" w:rsidRDefault="00BF5CB8" w:rsidP="001A5D4A">
            <w:pPr>
              <w:pStyle w:val="StyleNotesTable-CellPlainBold"/>
            </w:pPr>
            <w:r>
              <w:t>–</w:t>
            </w:r>
          </w:p>
        </w:tc>
      </w:tr>
      <w:tr w:rsidR="00BF5CB8" w14:paraId="038A1A85" w14:textId="77777777" w:rsidTr="00236F7B">
        <w:trPr>
          <w:cantSplit/>
          <w:trHeight w:val="181"/>
        </w:trPr>
        <w:tc>
          <w:tcPr>
            <w:tcW w:w="810" w:type="pct"/>
          </w:tcPr>
          <w:p w14:paraId="038A1A7F" w14:textId="77777777" w:rsidR="00BF5CB8" w:rsidRDefault="00BF5CB8" w:rsidP="001A5D4A">
            <w:pPr>
              <w:pStyle w:val="Note-Refs"/>
            </w:pPr>
          </w:p>
        </w:tc>
        <w:tc>
          <w:tcPr>
            <w:tcW w:w="2567" w:type="pct"/>
            <w:vAlign w:val="bottom"/>
          </w:tcPr>
          <w:p w14:paraId="038A1A80" w14:textId="77777777" w:rsidR="00BF5CB8" w:rsidRDefault="00BF5CB8" w:rsidP="001A5D4A">
            <w:pPr>
              <w:pStyle w:val="NotesTable-ItemPlain"/>
            </w:pPr>
          </w:p>
        </w:tc>
        <w:tc>
          <w:tcPr>
            <w:tcW w:w="406" w:type="pct"/>
          </w:tcPr>
          <w:p w14:paraId="038A1A81" w14:textId="77777777" w:rsidR="00BF5CB8" w:rsidRDefault="00BF5CB8" w:rsidP="001A5D4A">
            <w:pPr>
              <w:pStyle w:val="NotesTable-CellBold"/>
            </w:pPr>
          </w:p>
        </w:tc>
        <w:tc>
          <w:tcPr>
            <w:tcW w:w="406" w:type="pct"/>
          </w:tcPr>
          <w:p w14:paraId="038A1A82" w14:textId="77777777" w:rsidR="00BF5CB8" w:rsidRDefault="00BF5CB8" w:rsidP="001A5D4A">
            <w:pPr>
              <w:pStyle w:val="NotesTable-CellPlain"/>
            </w:pPr>
          </w:p>
        </w:tc>
        <w:tc>
          <w:tcPr>
            <w:tcW w:w="406" w:type="pct"/>
          </w:tcPr>
          <w:p w14:paraId="038A1A83" w14:textId="77777777" w:rsidR="00BF5CB8" w:rsidRDefault="00BF5CB8" w:rsidP="001A5D4A">
            <w:pPr>
              <w:pStyle w:val="NotesTable-CellBold"/>
            </w:pPr>
          </w:p>
        </w:tc>
        <w:tc>
          <w:tcPr>
            <w:tcW w:w="405" w:type="pct"/>
          </w:tcPr>
          <w:p w14:paraId="038A1A84" w14:textId="77777777" w:rsidR="00BF5CB8" w:rsidRDefault="00BF5CB8" w:rsidP="001A5D4A">
            <w:pPr>
              <w:pStyle w:val="NotesTable-CellPlain"/>
            </w:pPr>
          </w:p>
        </w:tc>
      </w:tr>
      <w:tr w:rsidR="00BF5CB8" w14:paraId="038A1A8C" w14:textId="77777777" w:rsidTr="00236F7B">
        <w:trPr>
          <w:cantSplit/>
          <w:trHeight w:val="181"/>
        </w:trPr>
        <w:tc>
          <w:tcPr>
            <w:tcW w:w="810" w:type="pct"/>
          </w:tcPr>
          <w:p w14:paraId="038A1A86" w14:textId="77777777" w:rsidR="00BF5CB8" w:rsidRDefault="00BF5CB8" w:rsidP="001A5D4A">
            <w:pPr>
              <w:pStyle w:val="Note-Refs"/>
              <w:rPr>
                <w:b/>
              </w:rPr>
            </w:pPr>
            <w:r>
              <w:t>AASB112.81d</w:t>
            </w:r>
          </w:p>
        </w:tc>
        <w:tc>
          <w:tcPr>
            <w:tcW w:w="2567" w:type="pct"/>
            <w:vAlign w:val="bottom"/>
          </w:tcPr>
          <w:p w14:paraId="038A1A87" w14:textId="66E9A378" w:rsidR="00BF5CB8" w:rsidRDefault="00BF5CB8" w:rsidP="001A5D4A">
            <w:pPr>
              <w:pStyle w:val="NotesTable-ItemPlain"/>
              <w:rPr>
                <w:b/>
              </w:rPr>
            </w:pPr>
            <w:r>
              <w:t>Tax at the Australian tax rate of 30% (</w:t>
            </w:r>
            <w:r w:rsidR="006864EC">
              <w:t>2013</w:t>
            </w:r>
            <w:r>
              <w:t xml:space="preserve"> </w:t>
            </w:r>
            <w:r>
              <w:noBreakHyphen/>
              <w:t xml:space="preserve"> 30%)</w:t>
            </w:r>
          </w:p>
        </w:tc>
        <w:tc>
          <w:tcPr>
            <w:tcW w:w="406" w:type="pct"/>
          </w:tcPr>
          <w:p w14:paraId="038A1A88" w14:textId="77777777" w:rsidR="00BF5CB8" w:rsidRDefault="00BF5CB8" w:rsidP="001A5D4A">
            <w:pPr>
              <w:pStyle w:val="NotesTable-CellBold"/>
            </w:pPr>
            <w:r>
              <w:t>–</w:t>
            </w:r>
          </w:p>
        </w:tc>
        <w:tc>
          <w:tcPr>
            <w:tcW w:w="406" w:type="pct"/>
          </w:tcPr>
          <w:p w14:paraId="038A1A89" w14:textId="77777777" w:rsidR="00BF5CB8" w:rsidRDefault="00BF5CB8" w:rsidP="001A5D4A">
            <w:pPr>
              <w:pStyle w:val="StyleNotesTable-CellPlainBold"/>
            </w:pPr>
            <w:r>
              <w:t>–</w:t>
            </w:r>
          </w:p>
        </w:tc>
        <w:tc>
          <w:tcPr>
            <w:tcW w:w="406" w:type="pct"/>
          </w:tcPr>
          <w:p w14:paraId="038A1A8A" w14:textId="77777777" w:rsidR="00BF5CB8" w:rsidRDefault="00BF5CB8" w:rsidP="001A5D4A">
            <w:pPr>
              <w:pStyle w:val="NotesTable-CellBold"/>
            </w:pPr>
            <w:r>
              <w:t>–</w:t>
            </w:r>
          </w:p>
        </w:tc>
        <w:tc>
          <w:tcPr>
            <w:tcW w:w="405" w:type="pct"/>
          </w:tcPr>
          <w:p w14:paraId="038A1A8B" w14:textId="77777777" w:rsidR="00BF5CB8" w:rsidRDefault="00BF5CB8" w:rsidP="001A5D4A">
            <w:pPr>
              <w:pStyle w:val="StyleNotesTable-CellPlainBold"/>
            </w:pPr>
            <w:r>
              <w:t>–</w:t>
            </w:r>
          </w:p>
        </w:tc>
      </w:tr>
      <w:tr w:rsidR="00EB78A1" w14:paraId="038A1A93" w14:textId="77777777" w:rsidTr="00E21378">
        <w:trPr>
          <w:cantSplit/>
          <w:trHeight w:val="181"/>
        </w:trPr>
        <w:tc>
          <w:tcPr>
            <w:tcW w:w="810" w:type="pct"/>
          </w:tcPr>
          <w:p w14:paraId="038A1A8D" w14:textId="77777777" w:rsidR="00EB78A1" w:rsidRDefault="00EB78A1" w:rsidP="001A5D4A">
            <w:pPr>
              <w:pStyle w:val="Note-Refs"/>
            </w:pPr>
          </w:p>
        </w:tc>
        <w:tc>
          <w:tcPr>
            <w:tcW w:w="4190" w:type="pct"/>
            <w:gridSpan w:val="5"/>
            <w:vAlign w:val="bottom"/>
          </w:tcPr>
          <w:p w14:paraId="038A1A92" w14:textId="10ABC40C" w:rsidR="00EB78A1" w:rsidRDefault="00EB78A1" w:rsidP="001A5D4A">
            <w:pPr>
              <w:pStyle w:val="NotesTable-ItemPlain"/>
            </w:pPr>
            <w:r>
              <w:t>Tax effect of amounts which are not deductible / (taxable) in calculating taxable income:</w:t>
            </w:r>
          </w:p>
        </w:tc>
      </w:tr>
      <w:tr w:rsidR="009F544F" w14:paraId="038A1A9A" w14:textId="77777777" w:rsidTr="00236F7B">
        <w:trPr>
          <w:cantSplit/>
          <w:trHeight w:val="181"/>
        </w:trPr>
        <w:tc>
          <w:tcPr>
            <w:tcW w:w="810" w:type="pct"/>
          </w:tcPr>
          <w:p w14:paraId="038A1A94" w14:textId="77777777" w:rsidR="009F544F" w:rsidRDefault="009F544F" w:rsidP="001A5D4A">
            <w:pPr>
              <w:pStyle w:val="Note-Refs"/>
            </w:pPr>
          </w:p>
        </w:tc>
        <w:tc>
          <w:tcPr>
            <w:tcW w:w="2567" w:type="pct"/>
            <w:vAlign w:val="bottom"/>
          </w:tcPr>
          <w:p w14:paraId="038A1A95" w14:textId="77777777" w:rsidR="009F544F" w:rsidRDefault="009F544F" w:rsidP="001A5D4A">
            <w:pPr>
              <w:pStyle w:val="NotesTable-ItemPlain"/>
              <w:rPr>
                <w:b/>
              </w:rPr>
            </w:pPr>
            <w:r>
              <w:t>Goodwill impairment</w:t>
            </w:r>
          </w:p>
        </w:tc>
        <w:tc>
          <w:tcPr>
            <w:tcW w:w="406" w:type="pct"/>
          </w:tcPr>
          <w:p w14:paraId="038A1A96" w14:textId="77777777" w:rsidR="009F544F" w:rsidRDefault="009F544F" w:rsidP="001A5D4A">
            <w:pPr>
              <w:pStyle w:val="NotesTable-CellBold"/>
            </w:pPr>
            <w:r w:rsidRPr="007E37D6">
              <w:t>–</w:t>
            </w:r>
          </w:p>
        </w:tc>
        <w:tc>
          <w:tcPr>
            <w:tcW w:w="406" w:type="pct"/>
          </w:tcPr>
          <w:p w14:paraId="038A1A97" w14:textId="77777777" w:rsidR="009F544F" w:rsidRDefault="009F544F" w:rsidP="001A5D4A">
            <w:pPr>
              <w:pStyle w:val="NotesTable-CellPlain"/>
            </w:pPr>
            <w:r w:rsidRPr="007E37D6">
              <w:t>–</w:t>
            </w:r>
          </w:p>
        </w:tc>
        <w:tc>
          <w:tcPr>
            <w:tcW w:w="406" w:type="pct"/>
          </w:tcPr>
          <w:p w14:paraId="038A1A98" w14:textId="77777777" w:rsidR="009F544F" w:rsidRDefault="009F544F" w:rsidP="001A5D4A">
            <w:pPr>
              <w:pStyle w:val="NotesTable-CellBold"/>
            </w:pPr>
            <w:r w:rsidRPr="007E37D6">
              <w:t>–</w:t>
            </w:r>
          </w:p>
        </w:tc>
        <w:tc>
          <w:tcPr>
            <w:tcW w:w="405" w:type="pct"/>
          </w:tcPr>
          <w:p w14:paraId="038A1A99" w14:textId="77777777" w:rsidR="009F544F" w:rsidRDefault="009F544F" w:rsidP="001A5D4A">
            <w:pPr>
              <w:pStyle w:val="NotesTable-CellPlain"/>
            </w:pPr>
            <w:r w:rsidRPr="007E37D6">
              <w:t>–</w:t>
            </w:r>
          </w:p>
        </w:tc>
      </w:tr>
      <w:tr w:rsidR="00BF5CB8" w14:paraId="038A1AA1" w14:textId="77777777" w:rsidTr="00236F7B">
        <w:trPr>
          <w:cantSplit/>
          <w:trHeight w:val="181"/>
        </w:trPr>
        <w:tc>
          <w:tcPr>
            <w:tcW w:w="810" w:type="pct"/>
          </w:tcPr>
          <w:p w14:paraId="038A1A9B" w14:textId="77777777" w:rsidR="00BF5CB8" w:rsidRDefault="00BF5CB8" w:rsidP="001A5D4A">
            <w:pPr>
              <w:pStyle w:val="Note-Refs"/>
            </w:pPr>
          </w:p>
        </w:tc>
        <w:tc>
          <w:tcPr>
            <w:tcW w:w="2567" w:type="pct"/>
            <w:vAlign w:val="bottom"/>
          </w:tcPr>
          <w:p w14:paraId="038A1A9C" w14:textId="77777777" w:rsidR="00BF5CB8" w:rsidRDefault="00BF5CB8" w:rsidP="001A5D4A">
            <w:pPr>
              <w:pStyle w:val="NotesTable-ItemPlain"/>
              <w:rPr>
                <w:b/>
              </w:rPr>
            </w:pPr>
            <w:r>
              <w:t>Amortisation of intangibles</w:t>
            </w:r>
          </w:p>
        </w:tc>
        <w:tc>
          <w:tcPr>
            <w:tcW w:w="406" w:type="pct"/>
          </w:tcPr>
          <w:p w14:paraId="038A1A9D" w14:textId="77777777" w:rsidR="00BF5CB8" w:rsidRDefault="00BF5CB8" w:rsidP="001A5D4A">
            <w:pPr>
              <w:pStyle w:val="NotesTable-CellBold"/>
            </w:pPr>
            <w:r>
              <w:t>–</w:t>
            </w:r>
          </w:p>
        </w:tc>
        <w:tc>
          <w:tcPr>
            <w:tcW w:w="406" w:type="pct"/>
          </w:tcPr>
          <w:p w14:paraId="038A1A9E" w14:textId="77777777" w:rsidR="00BF5CB8" w:rsidRDefault="00BF5CB8" w:rsidP="001A5D4A">
            <w:pPr>
              <w:pStyle w:val="StyleNotesTable-CellPlainBold"/>
            </w:pPr>
            <w:r>
              <w:t>–</w:t>
            </w:r>
          </w:p>
        </w:tc>
        <w:tc>
          <w:tcPr>
            <w:tcW w:w="406" w:type="pct"/>
          </w:tcPr>
          <w:p w14:paraId="038A1A9F" w14:textId="77777777" w:rsidR="00BF5CB8" w:rsidRDefault="00BF5CB8" w:rsidP="001A5D4A">
            <w:pPr>
              <w:pStyle w:val="NotesTable-CellBold"/>
            </w:pPr>
            <w:r>
              <w:t>–</w:t>
            </w:r>
          </w:p>
        </w:tc>
        <w:tc>
          <w:tcPr>
            <w:tcW w:w="405" w:type="pct"/>
          </w:tcPr>
          <w:p w14:paraId="038A1AA0" w14:textId="77777777" w:rsidR="00BF5CB8" w:rsidRDefault="00BF5CB8" w:rsidP="001A5D4A">
            <w:pPr>
              <w:pStyle w:val="StyleNotesTable-CellPlainBold"/>
            </w:pPr>
            <w:r>
              <w:t>–</w:t>
            </w:r>
          </w:p>
        </w:tc>
      </w:tr>
      <w:tr w:rsidR="009F544F" w14:paraId="038A1AA8" w14:textId="77777777" w:rsidTr="00236F7B">
        <w:trPr>
          <w:cantSplit/>
          <w:trHeight w:val="181"/>
        </w:trPr>
        <w:tc>
          <w:tcPr>
            <w:tcW w:w="810" w:type="pct"/>
          </w:tcPr>
          <w:p w14:paraId="038A1AA2" w14:textId="77777777" w:rsidR="009F544F" w:rsidRDefault="009F544F" w:rsidP="001A5D4A">
            <w:pPr>
              <w:pStyle w:val="Note-Refs"/>
            </w:pPr>
          </w:p>
        </w:tc>
        <w:tc>
          <w:tcPr>
            <w:tcW w:w="2567" w:type="pct"/>
            <w:vAlign w:val="bottom"/>
          </w:tcPr>
          <w:p w14:paraId="038A1AA3" w14:textId="77777777" w:rsidR="009F544F" w:rsidRDefault="009F544F" w:rsidP="001A5D4A">
            <w:pPr>
              <w:pStyle w:val="NotesTable-ItemPlain"/>
              <w:rPr>
                <w:b/>
              </w:rPr>
            </w:pPr>
            <w:r>
              <w:t>Entertainment</w:t>
            </w:r>
          </w:p>
        </w:tc>
        <w:tc>
          <w:tcPr>
            <w:tcW w:w="406" w:type="pct"/>
          </w:tcPr>
          <w:p w14:paraId="038A1AA4" w14:textId="77777777" w:rsidR="009F544F" w:rsidRDefault="009F544F" w:rsidP="001A5D4A">
            <w:pPr>
              <w:pStyle w:val="NotesTable-CellBold"/>
            </w:pPr>
            <w:r w:rsidRPr="00E70541">
              <w:t>–</w:t>
            </w:r>
          </w:p>
        </w:tc>
        <w:tc>
          <w:tcPr>
            <w:tcW w:w="406" w:type="pct"/>
          </w:tcPr>
          <w:p w14:paraId="038A1AA5" w14:textId="77777777" w:rsidR="009F544F" w:rsidRDefault="009F544F" w:rsidP="001A5D4A">
            <w:pPr>
              <w:pStyle w:val="NotesTable-CellPlain"/>
            </w:pPr>
            <w:r w:rsidRPr="00E70541">
              <w:t>–</w:t>
            </w:r>
          </w:p>
        </w:tc>
        <w:tc>
          <w:tcPr>
            <w:tcW w:w="406" w:type="pct"/>
          </w:tcPr>
          <w:p w14:paraId="038A1AA6" w14:textId="77777777" w:rsidR="009F544F" w:rsidRDefault="009F544F" w:rsidP="001A5D4A">
            <w:pPr>
              <w:pStyle w:val="NotesTable-CellBold"/>
            </w:pPr>
            <w:r w:rsidRPr="00E70541">
              <w:t>–</w:t>
            </w:r>
          </w:p>
        </w:tc>
        <w:tc>
          <w:tcPr>
            <w:tcW w:w="405" w:type="pct"/>
          </w:tcPr>
          <w:p w14:paraId="038A1AA7" w14:textId="77777777" w:rsidR="009F544F" w:rsidRDefault="009F544F" w:rsidP="001A5D4A">
            <w:pPr>
              <w:pStyle w:val="NotesTable-CellPlain"/>
            </w:pPr>
            <w:r w:rsidRPr="00E70541">
              <w:t>–</w:t>
            </w:r>
          </w:p>
        </w:tc>
      </w:tr>
      <w:tr w:rsidR="00BF5CB8" w14:paraId="038A1AAF" w14:textId="77777777" w:rsidTr="00236F7B">
        <w:trPr>
          <w:cantSplit/>
          <w:trHeight w:val="181"/>
        </w:trPr>
        <w:tc>
          <w:tcPr>
            <w:tcW w:w="810" w:type="pct"/>
          </w:tcPr>
          <w:p w14:paraId="038A1AA9" w14:textId="77777777" w:rsidR="00BF5CB8" w:rsidRDefault="00BF5CB8" w:rsidP="001A5D4A">
            <w:pPr>
              <w:pStyle w:val="Note-Refs"/>
            </w:pPr>
          </w:p>
        </w:tc>
        <w:tc>
          <w:tcPr>
            <w:tcW w:w="2567" w:type="pct"/>
            <w:vAlign w:val="bottom"/>
          </w:tcPr>
          <w:p w14:paraId="038A1AAA" w14:textId="3B2BA683" w:rsidR="00BF5CB8" w:rsidRDefault="00BF5CB8" w:rsidP="001A5D4A">
            <w:pPr>
              <w:pStyle w:val="NotesTable-ItemPlain"/>
              <w:rPr>
                <w:b/>
              </w:rPr>
            </w:pPr>
            <w:r>
              <w:t>Share of net result of associates</w:t>
            </w:r>
          </w:p>
        </w:tc>
        <w:tc>
          <w:tcPr>
            <w:tcW w:w="406" w:type="pct"/>
          </w:tcPr>
          <w:p w14:paraId="038A1AAB" w14:textId="77777777" w:rsidR="00BF5CB8" w:rsidRDefault="00BF5CB8" w:rsidP="001A5D4A">
            <w:pPr>
              <w:pStyle w:val="NotesTable-CellBold"/>
            </w:pPr>
            <w:r>
              <w:t>–</w:t>
            </w:r>
          </w:p>
        </w:tc>
        <w:tc>
          <w:tcPr>
            <w:tcW w:w="406" w:type="pct"/>
          </w:tcPr>
          <w:p w14:paraId="038A1AAC" w14:textId="77777777" w:rsidR="00BF5CB8" w:rsidRDefault="00BF5CB8" w:rsidP="001A5D4A">
            <w:pPr>
              <w:pStyle w:val="StyleNotesTable-CellPlainBold"/>
            </w:pPr>
            <w:r>
              <w:t>–</w:t>
            </w:r>
          </w:p>
        </w:tc>
        <w:tc>
          <w:tcPr>
            <w:tcW w:w="406" w:type="pct"/>
          </w:tcPr>
          <w:p w14:paraId="038A1AAD" w14:textId="77777777" w:rsidR="00BF5CB8" w:rsidRDefault="00BF5CB8" w:rsidP="001A5D4A">
            <w:pPr>
              <w:pStyle w:val="NotesTable-CellBold"/>
            </w:pPr>
            <w:r>
              <w:t>–</w:t>
            </w:r>
          </w:p>
        </w:tc>
        <w:tc>
          <w:tcPr>
            <w:tcW w:w="405" w:type="pct"/>
          </w:tcPr>
          <w:p w14:paraId="038A1AAE" w14:textId="77777777" w:rsidR="00BF5CB8" w:rsidRDefault="00BF5CB8" w:rsidP="001A5D4A">
            <w:pPr>
              <w:pStyle w:val="StyleNotesTable-CellPlainBold"/>
            </w:pPr>
            <w:r>
              <w:t>–</w:t>
            </w:r>
          </w:p>
        </w:tc>
      </w:tr>
      <w:tr w:rsidR="00BF5CB8" w14:paraId="038A1AB6" w14:textId="77777777" w:rsidTr="00236F7B">
        <w:trPr>
          <w:cantSplit/>
          <w:trHeight w:val="181"/>
        </w:trPr>
        <w:tc>
          <w:tcPr>
            <w:tcW w:w="810" w:type="pct"/>
          </w:tcPr>
          <w:p w14:paraId="038A1AB0" w14:textId="77777777" w:rsidR="00BF5CB8" w:rsidRDefault="00BF5CB8" w:rsidP="001A5D4A">
            <w:pPr>
              <w:pStyle w:val="Note-Refs"/>
            </w:pPr>
          </w:p>
        </w:tc>
        <w:tc>
          <w:tcPr>
            <w:tcW w:w="2567" w:type="pct"/>
            <w:vAlign w:val="bottom"/>
          </w:tcPr>
          <w:p w14:paraId="038A1AB1" w14:textId="77777777" w:rsidR="00BF5CB8" w:rsidRDefault="00BF5CB8" w:rsidP="001A5D4A">
            <w:pPr>
              <w:pStyle w:val="NotesTable-ItemPlain"/>
              <w:rPr>
                <w:b/>
              </w:rPr>
            </w:pPr>
            <w:r>
              <w:t>Tax offset for franked dividends</w:t>
            </w:r>
          </w:p>
        </w:tc>
        <w:tc>
          <w:tcPr>
            <w:tcW w:w="406" w:type="pct"/>
          </w:tcPr>
          <w:p w14:paraId="038A1AB2" w14:textId="77777777" w:rsidR="00BF5CB8" w:rsidRDefault="00BF5CB8" w:rsidP="001A5D4A">
            <w:pPr>
              <w:pStyle w:val="NotesTable-CellBold"/>
            </w:pPr>
            <w:r>
              <w:t>–</w:t>
            </w:r>
          </w:p>
        </w:tc>
        <w:tc>
          <w:tcPr>
            <w:tcW w:w="406" w:type="pct"/>
          </w:tcPr>
          <w:p w14:paraId="038A1AB3" w14:textId="77777777" w:rsidR="00BF5CB8" w:rsidRDefault="00BF5CB8" w:rsidP="001A5D4A">
            <w:pPr>
              <w:pStyle w:val="StyleNotesTable-CellPlainBold"/>
            </w:pPr>
            <w:r>
              <w:t>–</w:t>
            </w:r>
          </w:p>
        </w:tc>
        <w:tc>
          <w:tcPr>
            <w:tcW w:w="406" w:type="pct"/>
          </w:tcPr>
          <w:p w14:paraId="038A1AB4" w14:textId="77777777" w:rsidR="00BF5CB8" w:rsidRDefault="00BF5CB8" w:rsidP="001A5D4A">
            <w:pPr>
              <w:pStyle w:val="NotesTable-CellBold"/>
            </w:pPr>
            <w:r>
              <w:t>–</w:t>
            </w:r>
          </w:p>
        </w:tc>
        <w:tc>
          <w:tcPr>
            <w:tcW w:w="405" w:type="pct"/>
          </w:tcPr>
          <w:p w14:paraId="038A1AB5" w14:textId="77777777" w:rsidR="00BF5CB8" w:rsidRDefault="00BF5CB8" w:rsidP="001A5D4A">
            <w:pPr>
              <w:pStyle w:val="StyleNotesTable-CellPlainBold"/>
            </w:pPr>
            <w:r>
              <w:t>–</w:t>
            </w:r>
          </w:p>
        </w:tc>
      </w:tr>
      <w:tr w:rsidR="00BF5CB8" w14:paraId="038A1ABD" w14:textId="77777777" w:rsidTr="00236F7B">
        <w:trPr>
          <w:cantSplit/>
          <w:trHeight w:val="181"/>
        </w:trPr>
        <w:tc>
          <w:tcPr>
            <w:tcW w:w="810" w:type="pct"/>
          </w:tcPr>
          <w:p w14:paraId="038A1AB7" w14:textId="77777777" w:rsidR="00BF5CB8" w:rsidRDefault="00BF5CB8" w:rsidP="001A5D4A">
            <w:pPr>
              <w:pStyle w:val="Note-Refs"/>
            </w:pPr>
          </w:p>
        </w:tc>
        <w:tc>
          <w:tcPr>
            <w:tcW w:w="2567" w:type="pct"/>
            <w:vAlign w:val="bottom"/>
          </w:tcPr>
          <w:p w14:paraId="038A1AB8" w14:textId="77777777" w:rsidR="00BF5CB8" w:rsidRDefault="00BF5CB8" w:rsidP="001A5D4A">
            <w:pPr>
              <w:pStyle w:val="NotesTable-ItemPlain"/>
              <w:rPr>
                <w:b/>
              </w:rPr>
            </w:pPr>
            <w:r>
              <w:t>Non</w:t>
            </w:r>
            <w:r>
              <w:noBreakHyphen/>
              <w:t>taxable dividends</w:t>
            </w:r>
          </w:p>
        </w:tc>
        <w:tc>
          <w:tcPr>
            <w:tcW w:w="406" w:type="pct"/>
          </w:tcPr>
          <w:p w14:paraId="038A1AB9" w14:textId="77777777" w:rsidR="00BF5CB8" w:rsidRDefault="00BF5CB8" w:rsidP="001A5D4A">
            <w:pPr>
              <w:pStyle w:val="NotesTable-CellBold"/>
            </w:pPr>
            <w:r>
              <w:t>–</w:t>
            </w:r>
          </w:p>
        </w:tc>
        <w:tc>
          <w:tcPr>
            <w:tcW w:w="406" w:type="pct"/>
          </w:tcPr>
          <w:p w14:paraId="038A1ABA" w14:textId="77777777" w:rsidR="00BF5CB8" w:rsidRDefault="00BF5CB8" w:rsidP="001A5D4A">
            <w:pPr>
              <w:pStyle w:val="StyleNotesTable-CellPlainBold"/>
            </w:pPr>
            <w:r>
              <w:t>–</w:t>
            </w:r>
          </w:p>
        </w:tc>
        <w:tc>
          <w:tcPr>
            <w:tcW w:w="406" w:type="pct"/>
          </w:tcPr>
          <w:p w14:paraId="038A1ABB" w14:textId="77777777" w:rsidR="00BF5CB8" w:rsidRDefault="00BF5CB8" w:rsidP="001A5D4A">
            <w:pPr>
              <w:pStyle w:val="NotesTable-CellBold"/>
            </w:pPr>
            <w:r>
              <w:t>–</w:t>
            </w:r>
          </w:p>
        </w:tc>
        <w:tc>
          <w:tcPr>
            <w:tcW w:w="405" w:type="pct"/>
          </w:tcPr>
          <w:p w14:paraId="038A1ABC" w14:textId="77777777" w:rsidR="00BF5CB8" w:rsidRDefault="00BF5CB8" w:rsidP="001A5D4A">
            <w:pPr>
              <w:pStyle w:val="StyleNotesTable-CellPlainBold"/>
            </w:pPr>
            <w:r>
              <w:t>–</w:t>
            </w:r>
          </w:p>
        </w:tc>
      </w:tr>
      <w:tr w:rsidR="00BF5CB8" w14:paraId="038A1AC4" w14:textId="77777777" w:rsidTr="00236F7B">
        <w:trPr>
          <w:cantSplit/>
          <w:trHeight w:val="181"/>
        </w:trPr>
        <w:tc>
          <w:tcPr>
            <w:tcW w:w="810" w:type="pct"/>
          </w:tcPr>
          <w:p w14:paraId="038A1ABE" w14:textId="77777777" w:rsidR="00BF5CB8" w:rsidRDefault="00BF5CB8" w:rsidP="001A5D4A">
            <w:pPr>
              <w:pStyle w:val="Note-Refs"/>
            </w:pPr>
          </w:p>
        </w:tc>
        <w:tc>
          <w:tcPr>
            <w:tcW w:w="2567" w:type="pct"/>
            <w:vAlign w:val="bottom"/>
          </w:tcPr>
          <w:p w14:paraId="038A1ABF" w14:textId="77777777" w:rsidR="00BF5CB8" w:rsidRDefault="00BF5CB8" w:rsidP="001A5D4A">
            <w:pPr>
              <w:pStyle w:val="NotesTable-ItemPlain"/>
              <w:rPr>
                <w:b/>
              </w:rPr>
            </w:pPr>
            <w:r>
              <w:t>Sundry items</w:t>
            </w:r>
          </w:p>
        </w:tc>
        <w:tc>
          <w:tcPr>
            <w:tcW w:w="406" w:type="pct"/>
            <w:tcBorders>
              <w:bottom w:val="single" w:sz="4" w:space="0" w:color="000000"/>
            </w:tcBorders>
          </w:tcPr>
          <w:p w14:paraId="038A1AC0" w14:textId="77777777" w:rsidR="00BF5CB8" w:rsidRDefault="00BF5CB8" w:rsidP="001A5D4A">
            <w:pPr>
              <w:pStyle w:val="NotesTable-CellBold"/>
            </w:pPr>
            <w:r>
              <w:t>–</w:t>
            </w:r>
          </w:p>
        </w:tc>
        <w:tc>
          <w:tcPr>
            <w:tcW w:w="406" w:type="pct"/>
            <w:tcBorders>
              <w:bottom w:val="single" w:sz="4" w:space="0" w:color="000000"/>
            </w:tcBorders>
          </w:tcPr>
          <w:p w14:paraId="038A1AC1" w14:textId="77777777" w:rsidR="00BF5CB8" w:rsidRDefault="00BF5CB8" w:rsidP="001A5D4A">
            <w:pPr>
              <w:pStyle w:val="StyleNotesTable-CellPlainBold"/>
            </w:pPr>
            <w:r>
              <w:t>–</w:t>
            </w:r>
          </w:p>
        </w:tc>
        <w:tc>
          <w:tcPr>
            <w:tcW w:w="406" w:type="pct"/>
            <w:tcBorders>
              <w:bottom w:val="single" w:sz="4" w:space="0" w:color="000000"/>
            </w:tcBorders>
          </w:tcPr>
          <w:p w14:paraId="038A1AC2" w14:textId="77777777" w:rsidR="00BF5CB8" w:rsidRDefault="00BF5CB8" w:rsidP="001A5D4A">
            <w:pPr>
              <w:pStyle w:val="NotesTable-CellBold"/>
            </w:pPr>
            <w:r>
              <w:t>–</w:t>
            </w:r>
          </w:p>
        </w:tc>
        <w:tc>
          <w:tcPr>
            <w:tcW w:w="405" w:type="pct"/>
            <w:tcBorders>
              <w:bottom w:val="single" w:sz="4" w:space="0" w:color="000000"/>
            </w:tcBorders>
          </w:tcPr>
          <w:p w14:paraId="038A1AC3" w14:textId="77777777" w:rsidR="00BF5CB8" w:rsidRDefault="00BF5CB8" w:rsidP="001A5D4A">
            <w:pPr>
              <w:pStyle w:val="StyleNotesTable-CellPlainBold"/>
            </w:pPr>
            <w:r>
              <w:t>–</w:t>
            </w:r>
          </w:p>
        </w:tc>
      </w:tr>
      <w:tr w:rsidR="00BF5CB8" w14:paraId="038A1ACB" w14:textId="77777777" w:rsidTr="00236F7B">
        <w:trPr>
          <w:cantSplit/>
          <w:trHeight w:val="181"/>
        </w:trPr>
        <w:tc>
          <w:tcPr>
            <w:tcW w:w="810" w:type="pct"/>
          </w:tcPr>
          <w:p w14:paraId="038A1AC5" w14:textId="77777777" w:rsidR="00BF5CB8" w:rsidRDefault="00BF5CB8" w:rsidP="001A5D4A">
            <w:pPr>
              <w:pStyle w:val="Note-Refs"/>
            </w:pPr>
          </w:p>
        </w:tc>
        <w:tc>
          <w:tcPr>
            <w:tcW w:w="2567" w:type="pct"/>
            <w:vAlign w:val="bottom"/>
          </w:tcPr>
          <w:p w14:paraId="038A1AC6" w14:textId="77777777" w:rsidR="00BF5CB8" w:rsidRDefault="00BF5CB8" w:rsidP="001A5D4A">
            <w:pPr>
              <w:pStyle w:val="NotesTable-ItemIndent"/>
              <w:rPr>
                <w:b/>
              </w:rPr>
            </w:pPr>
            <w:r>
              <w:t>Sub total</w:t>
            </w:r>
          </w:p>
        </w:tc>
        <w:tc>
          <w:tcPr>
            <w:tcW w:w="406" w:type="pct"/>
            <w:tcBorders>
              <w:bottom w:val="single" w:sz="4" w:space="0" w:color="000000"/>
            </w:tcBorders>
          </w:tcPr>
          <w:p w14:paraId="038A1AC7" w14:textId="77777777" w:rsidR="00BF5CB8" w:rsidRDefault="00BF5CB8" w:rsidP="001A5D4A">
            <w:pPr>
              <w:pStyle w:val="NotesTable-CellBold"/>
            </w:pPr>
            <w:r>
              <w:t>–</w:t>
            </w:r>
          </w:p>
        </w:tc>
        <w:tc>
          <w:tcPr>
            <w:tcW w:w="406" w:type="pct"/>
            <w:tcBorders>
              <w:bottom w:val="single" w:sz="4" w:space="0" w:color="000000"/>
            </w:tcBorders>
          </w:tcPr>
          <w:p w14:paraId="038A1AC8" w14:textId="77777777" w:rsidR="00BF5CB8" w:rsidRDefault="00BF5CB8" w:rsidP="001A5D4A">
            <w:pPr>
              <w:pStyle w:val="StyleNotesTable-CellPlainBold"/>
            </w:pPr>
            <w:r>
              <w:t>–</w:t>
            </w:r>
          </w:p>
        </w:tc>
        <w:tc>
          <w:tcPr>
            <w:tcW w:w="406" w:type="pct"/>
            <w:tcBorders>
              <w:bottom w:val="single" w:sz="4" w:space="0" w:color="000000"/>
            </w:tcBorders>
          </w:tcPr>
          <w:p w14:paraId="038A1AC9" w14:textId="77777777" w:rsidR="00BF5CB8" w:rsidRDefault="00BF5CB8" w:rsidP="001A5D4A">
            <w:pPr>
              <w:pStyle w:val="NotesTable-CellBold"/>
            </w:pPr>
            <w:r>
              <w:t>–</w:t>
            </w:r>
          </w:p>
        </w:tc>
        <w:tc>
          <w:tcPr>
            <w:tcW w:w="405" w:type="pct"/>
            <w:tcBorders>
              <w:bottom w:val="single" w:sz="4" w:space="0" w:color="000000"/>
            </w:tcBorders>
          </w:tcPr>
          <w:p w14:paraId="038A1ACA" w14:textId="77777777" w:rsidR="00BF5CB8" w:rsidRDefault="00BF5CB8" w:rsidP="001A5D4A">
            <w:pPr>
              <w:pStyle w:val="StyleNotesTable-CellPlainBold"/>
            </w:pPr>
            <w:r>
              <w:t>–</w:t>
            </w:r>
          </w:p>
        </w:tc>
      </w:tr>
      <w:tr w:rsidR="00BF5CB8" w14:paraId="038A1AD2" w14:textId="77777777" w:rsidTr="00236F7B">
        <w:trPr>
          <w:cantSplit/>
          <w:trHeight w:val="181"/>
        </w:trPr>
        <w:tc>
          <w:tcPr>
            <w:tcW w:w="810" w:type="pct"/>
          </w:tcPr>
          <w:p w14:paraId="038A1ACC" w14:textId="77777777" w:rsidR="00BF5CB8" w:rsidRDefault="00BF5CB8" w:rsidP="001A5D4A">
            <w:pPr>
              <w:pStyle w:val="Note-Refs"/>
            </w:pPr>
          </w:p>
        </w:tc>
        <w:tc>
          <w:tcPr>
            <w:tcW w:w="2567" w:type="pct"/>
            <w:vAlign w:val="bottom"/>
          </w:tcPr>
          <w:p w14:paraId="038A1ACD" w14:textId="77777777" w:rsidR="00BF5CB8" w:rsidRDefault="00BF5CB8" w:rsidP="001A5D4A">
            <w:pPr>
              <w:pStyle w:val="NotesTable-ItemPlain"/>
              <w:rPr>
                <w:b/>
              </w:rPr>
            </w:pPr>
            <w:r>
              <w:t>Difference in overseas tax rates</w:t>
            </w:r>
          </w:p>
        </w:tc>
        <w:tc>
          <w:tcPr>
            <w:tcW w:w="406" w:type="pct"/>
          </w:tcPr>
          <w:p w14:paraId="038A1ACE" w14:textId="77777777" w:rsidR="00BF5CB8" w:rsidRDefault="00BF5CB8" w:rsidP="001A5D4A">
            <w:pPr>
              <w:pStyle w:val="NotesTable-CellBold"/>
            </w:pPr>
            <w:r>
              <w:t>–</w:t>
            </w:r>
          </w:p>
        </w:tc>
        <w:tc>
          <w:tcPr>
            <w:tcW w:w="406" w:type="pct"/>
          </w:tcPr>
          <w:p w14:paraId="038A1ACF" w14:textId="77777777" w:rsidR="00BF5CB8" w:rsidRDefault="00BF5CB8" w:rsidP="001A5D4A">
            <w:pPr>
              <w:pStyle w:val="StyleNotesTable-CellPlainBold"/>
            </w:pPr>
            <w:r>
              <w:t>–</w:t>
            </w:r>
          </w:p>
        </w:tc>
        <w:tc>
          <w:tcPr>
            <w:tcW w:w="406" w:type="pct"/>
          </w:tcPr>
          <w:p w14:paraId="038A1AD0" w14:textId="77777777" w:rsidR="00BF5CB8" w:rsidRDefault="00BF5CB8" w:rsidP="001A5D4A">
            <w:pPr>
              <w:pStyle w:val="NotesTable-CellBold"/>
            </w:pPr>
            <w:r>
              <w:t>–</w:t>
            </w:r>
          </w:p>
        </w:tc>
        <w:tc>
          <w:tcPr>
            <w:tcW w:w="405" w:type="pct"/>
          </w:tcPr>
          <w:p w14:paraId="038A1AD1" w14:textId="77777777" w:rsidR="00BF5CB8" w:rsidRDefault="00BF5CB8" w:rsidP="001A5D4A">
            <w:pPr>
              <w:pStyle w:val="StyleNotesTable-CellPlainBold"/>
            </w:pPr>
            <w:r>
              <w:t>–</w:t>
            </w:r>
          </w:p>
        </w:tc>
      </w:tr>
      <w:tr w:rsidR="00BF5CB8" w14:paraId="038A1AD9" w14:textId="77777777" w:rsidTr="00236F7B">
        <w:trPr>
          <w:cantSplit/>
          <w:trHeight w:val="181"/>
        </w:trPr>
        <w:tc>
          <w:tcPr>
            <w:tcW w:w="810" w:type="pct"/>
          </w:tcPr>
          <w:p w14:paraId="038A1AD3" w14:textId="77777777" w:rsidR="00BF5CB8" w:rsidRDefault="00BF5CB8" w:rsidP="001A5D4A">
            <w:pPr>
              <w:pStyle w:val="Note-Refs"/>
              <w:rPr>
                <w:b/>
              </w:rPr>
            </w:pPr>
            <w:r>
              <w:t>AASB112.80b</w:t>
            </w:r>
          </w:p>
        </w:tc>
        <w:tc>
          <w:tcPr>
            <w:tcW w:w="2567" w:type="pct"/>
            <w:vAlign w:val="bottom"/>
          </w:tcPr>
          <w:p w14:paraId="038A1AD4" w14:textId="77777777" w:rsidR="00BF5CB8" w:rsidRDefault="00BF5CB8" w:rsidP="001A5D4A">
            <w:pPr>
              <w:pStyle w:val="NotesTable-ItemPlain"/>
              <w:rPr>
                <w:b/>
              </w:rPr>
            </w:pPr>
            <w:r>
              <w:t>Adjustment for current tax of prior periods</w:t>
            </w:r>
          </w:p>
        </w:tc>
        <w:tc>
          <w:tcPr>
            <w:tcW w:w="406" w:type="pct"/>
          </w:tcPr>
          <w:p w14:paraId="038A1AD5" w14:textId="77777777" w:rsidR="00BF5CB8" w:rsidRDefault="00BF5CB8" w:rsidP="001A5D4A">
            <w:pPr>
              <w:pStyle w:val="NotesTable-CellBold"/>
            </w:pPr>
            <w:r>
              <w:t>–</w:t>
            </w:r>
          </w:p>
        </w:tc>
        <w:tc>
          <w:tcPr>
            <w:tcW w:w="406" w:type="pct"/>
          </w:tcPr>
          <w:p w14:paraId="038A1AD6" w14:textId="77777777" w:rsidR="00BF5CB8" w:rsidRDefault="00BF5CB8" w:rsidP="001A5D4A">
            <w:pPr>
              <w:pStyle w:val="StyleNotesTable-CellPlainBold"/>
            </w:pPr>
            <w:r>
              <w:t>–</w:t>
            </w:r>
          </w:p>
        </w:tc>
        <w:tc>
          <w:tcPr>
            <w:tcW w:w="406" w:type="pct"/>
          </w:tcPr>
          <w:p w14:paraId="038A1AD7" w14:textId="77777777" w:rsidR="00BF5CB8" w:rsidRDefault="00BF5CB8" w:rsidP="001A5D4A">
            <w:pPr>
              <w:pStyle w:val="NotesTable-CellBold"/>
            </w:pPr>
            <w:r>
              <w:t>–</w:t>
            </w:r>
          </w:p>
        </w:tc>
        <w:tc>
          <w:tcPr>
            <w:tcW w:w="405" w:type="pct"/>
          </w:tcPr>
          <w:p w14:paraId="038A1AD8" w14:textId="77777777" w:rsidR="00BF5CB8" w:rsidRDefault="00BF5CB8" w:rsidP="001A5D4A">
            <w:pPr>
              <w:pStyle w:val="StyleNotesTable-CellPlainBold"/>
            </w:pPr>
            <w:r>
              <w:t>–</w:t>
            </w:r>
          </w:p>
        </w:tc>
      </w:tr>
      <w:tr w:rsidR="00BF5CB8" w14:paraId="038A1AE0" w14:textId="77777777" w:rsidTr="00236F7B">
        <w:trPr>
          <w:cantSplit/>
          <w:trHeight w:val="181"/>
        </w:trPr>
        <w:tc>
          <w:tcPr>
            <w:tcW w:w="810" w:type="pct"/>
          </w:tcPr>
          <w:p w14:paraId="038A1ADA" w14:textId="77777777" w:rsidR="00BF5CB8" w:rsidRDefault="00BF5CB8" w:rsidP="001A5D4A">
            <w:pPr>
              <w:pStyle w:val="Note-Refs"/>
              <w:rPr>
                <w:b/>
              </w:rPr>
            </w:pPr>
            <w:r>
              <w:t>AASB112.80f</w:t>
            </w:r>
          </w:p>
        </w:tc>
        <w:tc>
          <w:tcPr>
            <w:tcW w:w="2567" w:type="pct"/>
            <w:vAlign w:val="bottom"/>
          </w:tcPr>
          <w:p w14:paraId="038A1ADB" w14:textId="77777777" w:rsidR="00BF5CB8" w:rsidRDefault="00BF5CB8" w:rsidP="001A5D4A">
            <w:pPr>
              <w:pStyle w:val="NotesTable-ItemPlain"/>
              <w:rPr>
                <w:b/>
              </w:rPr>
            </w:pPr>
            <w:r>
              <w:t>Previously unrecognised tax losses used to reduce deferred tax expense</w:t>
            </w:r>
          </w:p>
        </w:tc>
        <w:tc>
          <w:tcPr>
            <w:tcW w:w="406" w:type="pct"/>
          </w:tcPr>
          <w:p w14:paraId="038A1ADC" w14:textId="77777777" w:rsidR="00BF5CB8" w:rsidRDefault="00BF5CB8" w:rsidP="001A5D4A">
            <w:pPr>
              <w:pStyle w:val="NotesTable-CellBold"/>
            </w:pPr>
            <w:r>
              <w:t>–</w:t>
            </w:r>
          </w:p>
        </w:tc>
        <w:tc>
          <w:tcPr>
            <w:tcW w:w="406" w:type="pct"/>
          </w:tcPr>
          <w:p w14:paraId="038A1ADD" w14:textId="77777777" w:rsidR="00BF5CB8" w:rsidRDefault="00BF5CB8" w:rsidP="001A5D4A">
            <w:pPr>
              <w:pStyle w:val="StyleNotesTable-CellPlainBold"/>
            </w:pPr>
            <w:r>
              <w:t>–</w:t>
            </w:r>
          </w:p>
        </w:tc>
        <w:tc>
          <w:tcPr>
            <w:tcW w:w="406" w:type="pct"/>
          </w:tcPr>
          <w:p w14:paraId="038A1ADE" w14:textId="77777777" w:rsidR="00BF5CB8" w:rsidRDefault="00BF5CB8" w:rsidP="001A5D4A">
            <w:pPr>
              <w:pStyle w:val="NotesTable-CellBold"/>
            </w:pPr>
            <w:r>
              <w:t>–</w:t>
            </w:r>
          </w:p>
        </w:tc>
        <w:tc>
          <w:tcPr>
            <w:tcW w:w="405" w:type="pct"/>
          </w:tcPr>
          <w:p w14:paraId="038A1ADF" w14:textId="77777777" w:rsidR="00BF5CB8" w:rsidRDefault="00BF5CB8" w:rsidP="001A5D4A">
            <w:pPr>
              <w:pStyle w:val="StyleNotesTable-CellPlainBold"/>
            </w:pPr>
            <w:r>
              <w:t>–</w:t>
            </w:r>
          </w:p>
        </w:tc>
      </w:tr>
      <w:tr w:rsidR="00BF5CB8" w14:paraId="038A1AE7" w14:textId="77777777" w:rsidTr="00236F7B">
        <w:trPr>
          <w:cantSplit/>
          <w:trHeight w:val="181"/>
        </w:trPr>
        <w:tc>
          <w:tcPr>
            <w:tcW w:w="810" w:type="pct"/>
          </w:tcPr>
          <w:p w14:paraId="038A1AE1" w14:textId="77777777" w:rsidR="00BF5CB8" w:rsidRDefault="00BF5CB8" w:rsidP="001A5D4A">
            <w:pPr>
              <w:pStyle w:val="Note-Refs"/>
              <w:rPr>
                <w:b/>
              </w:rPr>
            </w:pPr>
            <w:r>
              <w:t>AASB112.80e</w:t>
            </w:r>
          </w:p>
        </w:tc>
        <w:tc>
          <w:tcPr>
            <w:tcW w:w="2567" w:type="pct"/>
            <w:vAlign w:val="bottom"/>
          </w:tcPr>
          <w:p w14:paraId="038A1AE2" w14:textId="77777777" w:rsidR="00BF5CB8" w:rsidRDefault="00BF5CB8" w:rsidP="001A5D4A">
            <w:pPr>
              <w:pStyle w:val="NotesTable-ItemPlain"/>
              <w:rPr>
                <w:b/>
              </w:rPr>
            </w:pPr>
            <w:r>
              <w:t>Previously unrecognised tax losses now recouped to reduce current tax expense</w:t>
            </w:r>
          </w:p>
        </w:tc>
        <w:tc>
          <w:tcPr>
            <w:tcW w:w="406" w:type="pct"/>
            <w:tcBorders>
              <w:bottom w:val="single" w:sz="4" w:space="0" w:color="auto"/>
            </w:tcBorders>
          </w:tcPr>
          <w:p w14:paraId="038A1AE3" w14:textId="77777777" w:rsidR="00BF5CB8" w:rsidRDefault="00BF5CB8" w:rsidP="001A5D4A">
            <w:pPr>
              <w:pStyle w:val="NotesTable-CellBold"/>
            </w:pPr>
            <w:r>
              <w:t>–</w:t>
            </w:r>
          </w:p>
        </w:tc>
        <w:tc>
          <w:tcPr>
            <w:tcW w:w="406" w:type="pct"/>
            <w:tcBorders>
              <w:bottom w:val="single" w:sz="4" w:space="0" w:color="auto"/>
            </w:tcBorders>
          </w:tcPr>
          <w:p w14:paraId="038A1AE4" w14:textId="77777777" w:rsidR="00BF5CB8" w:rsidRDefault="00BF5CB8" w:rsidP="001A5D4A">
            <w:pPr>
              <w:pStyle w:val="StyleNotesTable-CellPlainBold"/>
            </w:pPr>
            <w:r>
              <w:t>–</w:t>
            </w:r>
          </w:p>
        </w:tc>
        <w:tc>
          <w:tcPr>
            <w:tcW w:w="406" w:type="pct"/>
            <w:tcBorders>
              <w:bottom w:val="single" w:sz="4" w:space="0" w:color="auto"/>
            </w:tcBorders>
          </w:tcPr>
          <w:p w14:paraId="038A1AE5" w14:textId="77777777" w:rsidR="00BF5CB8" w:rsidRDefault="00BF5CB8" w:rsidP="001A5D4A">
            <w:pPr>
              <w:pStyle w:val="NotesTable-CellBold"/>
            </w:pPr>
            <w:r>
              <w:t>–</w:t>
            </w:r>
          </w:p>
        </w:tc>
        <w:tc>
          <w:tcPr>
            <w:tcW w:w="405" w:type="pct"/>
            <w:tcBorders>
              <w:bottom w:val="single" w:sz="4" w:space="0" w:color="auto"/>
            </w:tcBorders>
          </w:tcPr>
          <w:p w14:paraId="038A1AE6" w14:textId="77777777" w:rsidR="00BF5CB8" w:rsidRDefault="00BF5CB8" w:rsidP="001A5D4A">
            <w:pPr>
              <w:pStyle w:val="StyleNotesTable-CellPlainBold"/>
            </w:pPr>
            <w:r>
              <w:t>–</w:t>
            </w:r>
          </w:p>
        </w:tc>
      </w:tr>
      <w:tr w:rsidR="00BF5CB8" w14:paraId="038A1AEE" w14:textId="77777777" w:rsidTr="00236F7B">
        <w:trPr>
          <w:cantSplit/>
          <w:trHeight w:val="181"/>
        </w:trPr>
        <w:tc>
          <w:tcPr>
            <w:tcW w:w="810" w:type="pct"/>
          </w:tcPr>
          <w:p w14:paraId="038A1AE8" w14:textId="77777777" w:rsidR="00BF5CB8" w:rsidRDefault="00BF5CB8" w:rsidP="001A5D4A">
            <w:pPr>
              <w:pStyle w:val="Note-Refs"/>
            </w:pPr>
          </w:p>
        </w:tc>
        <w:tc>
          <w:tcPr>
            <w:tcW w:w="2567" w:type="pct"/>
            <w:vAlign w:val="bottom"/>
          </w:tcPr>
          <w:p w14:paraId="038A1AE9" w14:textId="77777777" w:rsidR="00BF5CB8" w:rsidRDefault="00BF5CB8" w:rsidP="001A5D4A">
            <w:pPr>
              <w:pStyle w:val="NotesTable-ItemBold"/>
            </w:pPr>
            <w:r>
              <w:t>Total Income tax expense:</w:t>
            </w:r>
          </w:p>
        </w:tc>
        <w:tc>
          <w:tcPr>
            <w:tcW w:w="406" w:type="pct"/>
            <w:tcBorders>
              <w:top w:val="single" w:sz="4" w:space="0" w:color="auto"/>
              <w:bottom w:val="single" w:sz="4" w:space="0" w:color="000000"/>
            </w:tcBorders>
          </w:tcPr>
          <w:p w14:paraId="038A1AEA" w14:textId="77777777" w:rsidR="00BF5CB8" w:rsidRDefault="00BF5CB8" w:rsidP="001A5D4A">
            <w:pPr>
              <w:pStyle w:val="NotesTable-CellBold"/>
            </w:pPr>
            <w:r>
              <w:t>–</w:t>
            </w:r>
          </w:p>
        </w:tc>
        <w:tc>
          <w:tcPr>
            <w:tcW w:w="406" w:type="pct"/>
            <w:tcBorders>
              <w:top w:val="single" w:sz="4" w:space="0" w:color="auto"/>
              <w:bottom w:val="single" w:sz="4" w:space="0" w:color="000000"/>
            </w:tcBorders>
          </w:tcPr>
          <w:p w14:paraId="038A1AEB" w14:textId="77777777" w:rsidR="00BF5CB8" w:rsidRDefault="00BF5CB8" w:rsidP="001A5D4A">
            <w:pPr>
              <w:pStyle w:val="StyleNotesTable-CellPlainBold"/>
            </w:pPr>
            <w:r>
              <w:t>–</w:t>
            </w:r>
          </w:p>
        </w:tc>
        <w:tc>
          <w:tcPr>
            <w:tcW w:w="406" w:type="pct"/>
            <w:tcBorders>
              <w:top w:val="single" w:sz="4" w:space="0" w:color="auto"/>
              <w:bottom w:val="single" w:sz="4" w:space="0" w:color="000000"/>
            </w:tcBorders>
          </w:tcPr>
          <w:p w14:paraId="038A1AEC" w14:textId="77777777" w:rsidR="00BF5CB8" w:rsidRDefault="00BF5CB8" w:rsidP="001A5D4A">
            <w:pPr>
              <w:pStyle w:val="NotesTable-CellBold"/>
            </w:pPr>
            <w:r>
              <w:t>–</w:t>
            </w:r>
          </w:p>
        </w:tc>
        <w:tc>
          <w:tcPr>
            <w:tcW w:w="405" w:type="pct"/>
            <w:tcBorders>
              <w:top w:val="single" w:sz="4" w:space="0" w:color="auto"/>
              <w:bottom w:val="single" w:sz="4" w:space="0" w:color="000000"/>
            </w:tcBorders>
          </w:tcPr>
          <w:p w14:paraId="038A1AED" w14:textId="77777777" w:rsidR="00BF5CB8" w:rsidRDefault="00BF5CB8" w:rsidP="001A5D4A">
            <w:pPr>
              <w:pStyle w:val="StyleNotesTable-CellPlainBold"/>
            </w:pPr>
            <w:r>
              <w:t>–</w:t>
            </w:r>
          </w:p>
        </w:tc>
      </w:tr>
      <w:tr w:rsidR="00BF5CB8" w14:paraId="038A1AF5" w14:textId="77777777" w:rsidTr="00236F7B">
        <w:trPr>
          <w:cantSplit/>
          <w:trHeight w:val="181"/>
        </w:trPr>
        <w:tc>
          <w:tcPr>
            <w:tcW w:w="810" w:type="pct"/>
          </w:tcPr>
          <w:p w14:paraId="038A1AEF" w14:textId="77777777" w:rsidR="00BF5CB8" w:rsidRDefault="00BF5CB8" w:rsidP="001A5D4A">
            <w:pPr>
              <w:pStyle w:val="Note-Refs"/>
            </w:pPr>
          </w:p>
        </w:tc>
        <w:tc>
          <w:tcPr>
            <w:tcW w:w="2567" w:type="pct"/>
            <w:vAlign w:val="bottom"/>
          </w:tcPr>
          <w:p w14:paraId="038A1AF0" w14:textId="77777777" w:rsidR="00BF5CB8" w:rsidRDefault="00BF5CB8" w:rsidP="001A5D4A">
            <w:pPr>
              <w:pStyle w:val="NotesTable-ItemPlain"/>
              <w:rPr>
                <w:b/>
              </w:rPr>
            </w:pPr>
            <w:r>
              <w:t>From continuing operations</w:t>
            </w:r>
          </w:p>
        </w:tc>
        <w:tc>
          <w:tcPr>
            <w:tcW w:w="406" w:type="pct"/>
          </w:tcPr>
          <w:p w14:paraId="038A1AF1" w14:textId="77777777" w:rsidR="00BF5CB8" w:rsidRDefault="00BF5CB8" w:rsidP="001A5D4A">
            <w:pPr>
              <w:pStyle w:val="NotesTable-CellBold"/>
            </w:pPr>
            <w:r>
              <w:t>–</w:t>
            </w:r>
          </w:p>
        </w:tc>
        <w:tc>
          <w:tcPr>
            <w:tcW w:w="406" w:type="pct"/>
          </w:tcPr>
          <w:p w14:paraId="038A1AF2" w14:textId="77777777" w:rsidR="00BF5CB8" w:rsidRDefault="00BF5CB8" w:rsidP="001A5D4A">
            <w:pPr>
              <w:pStyle w:val="StyleNotesTable-CellPlainBold"/>
            </w:pPr>
            <w:r>
              <w:t>–</w:t>
            </w:r>
          </w:p>
        </w:tc>
        <w:tc>
          <w:tcPr>
            <w:tcW w:w="406" w:type="pct"/>
          </w:tcPr>
          <w:p w14:paraId="038A1AF3" w14:textId="77777777" w:rsidR="00BF5CB8" w:rsidRDefault="00BF5CB8" w:rsidP="001A5D4A">
            <w:pPr>
              <w:pStyle w:val="NotesTable-CellBold"/>
            </w:pPr>
            <w:r>
              <w:t>–</w:t>
            </w:r>
          </w:p>
        </w:tc>
        <w:tc>
          <w:tcPr>
            <w:tcW w:w="405" w:type="pct"/>
          </w:tcPr>
          <w:p w14:paraId="038A1AF4" w14:textId="77777777" w:rsidR="00BF5CB8" w:rsidRDefault="00BF5CB8" w:rsidP="001A5D4A">
            <w:pPr>
              <w:pStyle w:val="StyleNotesTable-CellPlainBold"/>
            </w:pPr>
            <w:r>
              <w:t>–</w:t>
            </w:r>
          </w:p>
        </w:tc>
      </w:tr>
      <w:tr w:rsidR="00BF5CB8" w14:paraId="038A1AFC" w14:textId="77777777" w:rsidTr="00236F7B">
        <w:trPr>
          <w:cantSplit/>
          <w:trHeight w:val="181"/>
        </w:trPr>
        <w:tc>
          <w:tcPr>
            <w:tcW w:w="810" w:type="pct"/>
          </w:tcPr>
          <w:p w14:paraId="038A1AF6" w14:textId="77777777" w:rsidR="00BF5CB8" w:rsidRDefault="00BF5CB8" w:rsidP="001A5D4A">
            <w:pPr>
              <w:pStyle w:val="Note-Refs"/>
            </w:pPr>
          </w:p>
        </w:tc>
        <w:tc>
          <w:tcPr>
            <w:tcW w:w="2567" w:type="pct"/>
            <w:vAlign w:val="bottom"/>
          </w:tcPr>
          <w:p w14:paraId="038A1AF7" w14:textId="77777777" w:rsidR="00BF5CB8" w:rsidRDefault="00BF5CB8" w:rsidP="001A5D4A">
            <w:pPr>
              <w:pStyle w:val="NotesTable-ItemPlain"/>
              <w:rPr>
                <w:b/>
              </w:rPr>
            </w:pPr>
            <w:r>
              <w:t>From discontinued operations</w:t>
            </w:r>
          </w:p>
        </w:tc>
        <w:tc>
          <w:tcPr>
            <w:tcW w:w="406" w:type="pct"/>
          </w:tcPr>
          <w:p w14:paraId="038A1AF8" w14:textId="77777777" w:rsidR="00BF5CB8" w:rsidRDefault="00BF5CB8" w:rsidP="001A5D4A">
            <w:pPr>
              <w:pStyle w:val="NotesTable-CellBold"/>
            </w:pPr>
            <w:r>
              <w:t>–</w:t>
            </w:r>
          </w:p>
        </w:tc>
        <w:tc>
          <w:tcPr>
            <w:tcW w:w="406" w:type="pct"/>
          </w:tcPr>
          <w:p w14:paraId="038A1AF9" w14:textId="77777777" w:rsidR="00BF5CB8" w:rsidRDefault="00BF5CB8" w:rsidP="001A5D4A">
            <w:pPr>
              <w:pStyle w:val="StyleNotesTable-CellPlainBold"/>
            </w:pPr>
            <w:r>
              <w:t>–</w:t>
            </w:r>
          </w:p>
        </w:tc>
        <w:tc>
          <w:tcPr>
            <w:tcW w:w="406" w:type="pct"/>
          </w:tcPr>
          <w:p w14:paraId="038A1AFA" w14:textId="77777777" w:rsidR="00BF5CB8" w:rsidRDefault="00BF5CB8" w:rsidP="001A5D4A">
            <w:pPr>
              <w:pStyle w:val="NotesTable-CellBold"/>
            </w:pPr>
            <w:r>
              <w:t>–</w:t>
            </w:r>
          </w:p>
        </w:tc>
        <w:tc>
          <w:tcPr>
            <w:tcW w:w="405" w:type="pct"/>
          </w:tcPr>
          <w:p w14:paraId="038A1AFB" w14:textId="77777777" w:rsidR="00BF5CB8" w:rsidRDefault="00BF5CB8" w:rsidP="001A5D4A">
            <w:pPr>
              <w:pStyle w:val="StyleNotesTable-CellPlainBold"/>
            </w:pPr>
            <w:r>
              <w:t>–</w:t>
            </w:r>
          </w:p>
        </w:tc>
      </w:tr>
      <w:tr w:rsidR="00BF5CB8" w14:paraId="038A1B03" w14:textId="77777777" w:rsidTr="00236F7B">
        <w:trPr>
          <w:cantSplit/>
          <w:trHeight w:val="181"/>
        </w:trPr>
        <w:tc>
          <w:tcPr>
            <w:tcW w:w="810" w:type="pct"/>
          </w:tcPr>
          <w:p w14:paraId="038A1AFD" w14:textId="77777777" w:rsidR="00BF5CB8" w:rsidRDefault="00BF5CB8" w:rsidP="001A5D4A">
            <w:pPr>
              <w:pStyle w:val="Note-Refs"/>
            </w:pPr>
          </w:p>
        </w:tc>
        <w:tc>
          <w:tcPr>
            <w:tcW w:w="2567" w:type="pct"/>
            <w:vAlign w:val="bottom"/>
          </w:tcPr>
          <w:p w14:paraId="038A1AFE" w14:textId="77777777" w:rsidR="00BF5CB8" w:rsidRDefault="00BF5CB8" w:rsidP="001A5D4A">
            <w:pPr>
              <w:pStyle w:val="NotesTable-ItemPlain"/>
            </w:pPr>
          </w:p>
        </w:tc>
        <w:tc>
          <w:tcPr>
            <w:tcW w:w="406" w:type="pct"/>
          </w:tcPr>
          <w:p w14:paraId="038A1AFF" w14:textId="77777777" w:rsidR="00BF5CB8" w:rsidRDefault="00BF5CB8" w:rsidP="001A5D4A">
            <w:pPr>
              <w:pStyle w:val="NotesTable-CellBold"/>
            </w:pPr>
          </w:p>
        </w:tc>
        <w:tc>
          <w:tcPr>
            <w:tcW w:w="406" w:type="pct"/>
          </w:tcPr>
          <w:p w14:paraId="038A1B00" w14:textId="77777777" w:rsidR="00BF5CB8" w:rsidRDefault="00BF5CB8" w:rsidP="001A5D4A">
            <w:pPr>
              <w:pStyle w:val="NotesTable-CellPlain"/>
            </w:pPr>
          </w:p>
        </w:tc>
        <w:tc>
          <w:tcPr>
            <w:tcW w:w="406" w:type="pct"/>
          </w:tcPr>
          <w:p w14:paraId="038A1B01" w14:textId="77777777" w:rsidR="00BF5CB8" w:rsidRDefault="00BF5CB8" w:rsidP="001A5D4A">
            <w:pPr>
              <w:pStyle w:val="NotesTable-CellBold"/>
            </w:pPr>
          </w:p>
        </w:tc>
        <w:tc>
          <w:tcPr>
            <w:tcW w:w="405" w:type="pct"/>
          </w:tcPr>
          <w:p w14:paraId="038A1B02" w14:textId="77777777" w:rsidR="00BF5CB8" w:rsidRDefault="00BF5CB8" w:rsidP="001A5D4A">
            <w:pPr>
              <w:pStyle w:val="NotesTable-CellPlain"/>
            </w:pPr>
          </w:p>
        </w:tc>
      </w:tr>
      <w:tr w:rsidR="00512A42" w14:paraId="038A1B1D" w14:textId="77777777" w:rsidTr="00E21378">
        <w:trPr>
          <w:cantSplit/>
          <w:trHeight w:val="181"/>
        </w:trPr>
        <w:tc>
          <w:tcPr>
            <w:tcW w:w="810" w:type="pct"/>
          </w:tcPr>
          <w:p w14:paraId="038A1B1B" w14:textId="77777777" w:rsidR="00512A42" w:rsidRDefault="00512A42" w:rsidP="001A5D4A">
            <w:pPr>
              <w:pStyle w:val="Note-Refs"/>
            </w:pPr>
          </w:p>
        </w:tc>
        <w:tc>
          <w:tcPr>
            <w:tcW w:w="4190" w:type="pct"/>
            <w:gridSpan w:val="5"/>
            <w:vAlign w:val="bottom"/>
          </w:tcPr>
          <w:p w14:paraId="038A1B1C" w14:textId="77777777" w:rsidR="00512A42" w:rsidRDefault="00512A42" w:rsidP="001A5D4A">
            <w:pPr>
              <w:pStyle w:val="Note-TextHeader"/>
              <w:rPr>
                <w:lang w:val="en-GB"/>
              </w:rPr>
            </w:pPr>
            <w:r>
              <w:t>(c)</w:t>
            </w:r>
            <w:r>
              <w:tab/>
              <w:t>Amounts recognised directly in equity</w:t>
            </w:r>
          </w:p>
        </w:tc>
      </w:tr>
      <w:tr w:rsidR="00512A42" w14:paraId="038A1B20" w14:textId="77777777" w:rsidTr="00E21378">
        <w:trPr>
          <w:cantSplit/>
          <w:trHeight w:val="181"/>
        </w:trPr>
        <w:tc>
          <w:tcPr>
            <w:tcW w:w="810" w:type="pct"/>
          </w:tcPr>
          <w:p w14:paraId="038A1B1E" w14:textId="77777777" w:rsidR="00512A42" w:rsidRDefault="00512A42" w:rsidP="001A5D4A">
            <w:pPr>
              <w:pStyle w:val="Note-Refs"/>
              <w:rPr>
                <w:b/>
              </w:rPr>
            </w:pPr>
            <w:r>
              <w:t>AASB112.81a</w:t>
            </w:r>
          </w:p>
        </w:tc>
        <w:tc>
          <w:tcPr>
            <w:tcW w:w="4190" w:type="pct"/>
            <w:gridSpan w:val="5"/>
            <w:vAlign w:val="bottom"/>
          </w:tcPr>
          <w:p w14:paraId="038A1B1F" w14:textId="149FC430" w:rsidR="00512A42" w:rsidRDefault="00512A42" w:rsidP="001A5D4A">
            <w:pPr>
              <w:pStyle w:val="NotesTable-ItemPlain"/>
              <w:rPr>
                <w:b/>
              </w:rPr>
            </w:pPr>
            <w:r>
              <w:t>Aggregate current and deferred tax arising in the reporting period and not recognised in net result but directly debited or credited to equity:</w:t>
            </w:r>
          </w:p>
        </w:tc>
      </w:tr>
      <w:tr w:rsidR="00023312" w14:paraId="038A1B27" w14:textId="77777777" w:rsidTr="00236F7B">
        <w:trPr>
          <w:cantSplit/>
          <w:trHeight w:val="181"/>
        </w:trPr>
        <w:tc>
          <w:tcPr>
            <w:tcW w:w="810" w:type="pct"/>
          </w:tcPr>
          <w:p w14:paraId="038A1B21" w14:textId="77777777" w:rsidR="00023312" w:rsidRDefault="00023312" w:rsidP="001A5D4A">
            <w:pPr>
              <w:pStyle w:val="Note-Refs"/>
            </w:pPr>
          </w:p>
        </w:tc>
        <w:tc>
          <w:tcPr>
            <w:tcW w:w="2567" w:type="pct"/>
            <w:vAlign w:val="bottom"/>
          </w:tcPr>
          <w:p w14:paraId="038A1B22" w14:textId="77777777" w:rsidR="00023312" w:rsidRDefault="00023312" w:rsidP="001A5D4A">
            <w:pPr>
              <w:pStyle w:val="NotesTable-ItemPlain"/>
              <w:rPr>
                <w:b/>
              </w:rPr>
            </w:pPr>
            <w:r>
              <w:t xml:space="preserve">Current tax </w:t>
            </w:r>
            <w:r>
              <w:noBreakHyphen/>
              <w:t xml:space="preserve"> credited directly to equity </w:t>
            </w:r>
          </w:p>
        </w:tc>
        <w:tc>
          <w:tcPr>
            <w:tcW w:w="406" w:type="pct"/>
          </w:tcPr>
          <w:p w14:paraId="038A1B23" w14:textId="77777777" w:rsidR="00023312" w:rsidRDefault="00023312" w:rsidP="001A5D4A">
            <w:pPr>
              <w:pStyle w:val="NotesTable-CellBold"/>
            </w:pPr>
            <w:r>
              <w:t>–</w:t>
            </w:r>
          </w:p>
        </w:tc>
        <w:tc>
          <w:tcPr>
            <w:tcW w:w="406" w:type="pct"/>
          </w:tcPr>
          <w:p w14:paraId="038A1B24" w14:textId="77777777" w:rsidR="00023312" w:rsidRDefault="00023312" w:rsidP="001A5D4A">
            <w:pPr>
              <w:pStyle w:val="NotesTable-CellPlain"/>
            </w:pPr>
            <w:r>
              <w:t>–</w:t>
            </w:r>
          </w:p>
        </w:tc>
        <w:tc>
          <w:tcPr>
            <w:tcW w:w="406" w:type="pct"/>
          </w:tcPr>
          <w:p w14:paraId="038A1B25" w14:textId="77777777" w:rsidR="00023312" w:rsidRDefault="00023312" w:rsidP="001A5D4A">
            <w:pPr>
              <w:pStyle w:val="NotesTable-CellBold"/>
            </w:pPr>
            <w:r>
              <w:t>–</w:t>
            </w:r>
          </w:p>
        </w:tc>
        <w:tc>
          <w:tcPr>
            <w:tcW w:w="405" w:type="pct"/>
          </w:tcPr>
          <w:p w14:paraId="038A1B26" w14:textId="77777777" w:rsidR="00023312" w:rsidRDefault="00023312" w:rsidP="001A5D4A">
            <w:pPr>
              <w:pStyle w:val="NotesTable-CellPlain"/>
            </w:pPr>
            <w:r>
              <w:t>–</w:t>
            </w:r>
          </w:p>
        </w:tc>
      </w:tr>
      <w:tr w:rsidR="00023312" w14:paraId="038A1B2E" w14:textId="77777777" w:rsidTr="00236F7B">
        <w:trPr>
          <w:cantSplit/>
          <w:trHeight w:val="181"/>
        </w:trPr>
        <w:tc>
          <w:tcPr>
            <w:tcW w:w="810" w:type="pct"/>
          </w:tcPr>
          <w:p w14:paraId="038A1B28" w14:textId="77777777" w:rsidR="00023312" w:rsidRDefault="00023312" w:rsidP="001A5D4A">
            <w:pPr>
              <w:pStyle w:val="Note-Refs"/>
            </w:pPr>
          </w:p>
        </w:tc>
        <w:tc>
          <w:tcPr>
            <w:tcW w:w="2567" w:type="pct"/>
            <w:vAlign w:val="bottom"/>
          </w:tcPr>
          <w:p w14:paraId="038A1B29" w14:textId="77777777" w:rsidR="00023312" w:rsidRDefault="00023312" w:rsidP="001A5D4A">
            <w:pPr>
              <w:pStyle w:val="NotesTable-ItemPlain"/>
              <w:rPr>
                <w:b/>
              </w:rPr>
            </w:pPr>
            <w:r>
              <w:t xml:space="preserve">Net deferred tax </w:t>
            </w:r>
            <w:r>
              <w:noBreakHyphen/>
              <w:t xml:space="preserve"> debited / (credited) directly to equity </w:t>
            </w:r>
          </w:p>
        </w:tc>
        <w:tc>
          <w:tcPr>
            <w:tcW w:w="406" w:type="pct"/>
            <w:tcBorders>
              <w:bottom w:val="single" w:sz="4" w:space="0" w:color="000000"/>
            </w:tcBorders>
          </w:tcPr>
          <w:p w14:paraId="038A1B2A" w14:textId="77777777" w:rsidR="00023312" w:rsidRDefault="00023312" w:rsidP="001A5D4A">
            <w:pPr>
              <w:pStyle w:val="NotesTable-CellBold"/>
            </w:pPr>
            <w:r>
              <w:t>–</w:t>
            </w:r>
          </w:p>
        </w:tc>
        <w:tc>
          <w:tcPr>
            <w:tcW w:w="406" w:type="pct"/>
            <w:tcBorders>
              <w:bottom w:val="single" w:sz="4" w:space="0" w:color="000000"/>
            </w:tcBorders>
          </w:tcPr>
          <w:p w14:paraId="038A1B2B" w14:textId="77777777" w:rsidR="00023312" w:rsidRDefault="00023312" w:rsidP="001A5D4A">
            <w:pPr>
              <w:pStyle w:val="NotesTable-CellPlain"/>
            </w:pPr>
            <w:r>
              <w:t>–</w:t>
            </w:r>
          </w:p>
        </w:tc>
        <w:tc>
          <w:tcPr>
            <w:tcW w:w="406" w:type="pct"/>
            <w:tcBorders>
              <w:bottom w:val="single" w:sz="4" w:space="0" w:color="000000"/>
            </w:tcBorders>
          </w:tcPr>
          <w:p w14:paraId="038A1B2C" w14:textId="77777777" w:rsidR="00023312" w:rsidRDefault="00023312" w:rsidP="001A5D4A">
            <w:pPr>
              <w:pStyle w:val="NotesTable-CellBold"/>
            </w:pPr>
            <w:r>
              <w:t>–</w:t>
            </w:r>
          </w:p>
        </w:tc>
        <w:tc>
          <w:tcPr>
            <w:tcW w:w="405" w:type="pct"/>
            <w:tcBorders>
              <w:bottom w:val="single" w:sz="4" w:space="0" w:color="000000"/>
            </w:tcBorders>
          </w:tcPr>
          <w:p w14:paraId="038A1B2D" w14:textId="77777777" w:rsidR="00023312" w:rsidRDefault="00023312" w:rsidP="001A5D4A">
            <w:pPr>
              <w:pStyle w:val="NotesTable-CellPlain"/>
            </w:pPr>
            <w:r>
              <w:t>–</w:t>
            </w:r>
          </w:p>
        </w:tc>
      </w:tr>
      <w:tr w:rsidR="00780E8A" w14:paraId="038A1B35" w14:textId="77777777" w:rsidTr="00236F7B">
        <w:trPr>
          <w:cantSplit/>
          <w:trHeight w:val="181"/>
        </w:trPr>
        <w:tc>
          <w:tcPr>
            <w:tcW w:w="810" w:type="pct"/>
          </w:tcPr>
          <w:p w14:paraId="038A1B2F" w14:textId="77777777" w:rsidR="00023312" w:rsidRDefault="00023312" w:rsidP="001A5D4A">
            <w:pPr>
              <w:pStyle w:val="Note-Refs"/>
            </w:pPr>
          </w:p>
        </w:tc>
        <w:tc>
          <w:tcPr>
            <w:tcW w:w="2567" w:type="pct"/>
            <w:vAlign w:val="bottom"/>
          </w:tcPr>
          <w:p w14:paraId="038A1B30" w14:textId="77777777" w:rsidR="00023312" w:rsidRDefault="009B763A" w:rsidP="001A5D4A">
            <w:pPr>
              <w:pStyle w:val="NotesTable-ItemPlain"/>
            </w:pPr>
            <w:r>
              <w:t>Total</w:t>
            </w:r>
          </w:p>
        </w:tc>
        <w:tc>
          <w:tcPr>
            <w:tcW w:w="406" w:type="pct"/>
            <w:tcBorders>
              <w:top w:val="single" w:sz="4" w:space="0" w:color="000000"/>
            </w:tcBorders>
          </w:tcPr>
          <w:p w14:paraId="038A1B31" w14:textId="77777777" w:rsidR="00023312" w:rsidRDefault="00023312" w:rsidP="001A5D4A">
            <w:pPr>
              <w:pStyle w:val="NotesTable-CellBold"/>
            </w:pPr>
            <w:r>
              <w:t>–</w:t>
            </w:r>
          </w:p>
        </w:tc>
        <w:tc>
          <w:tcPr>
            <w:tcW w:w="406" w:type="pct"/>
            <w:tcBorders>
              <w:top w:val="single" w:sz="4" w:space="0" w:color="000000"/>
            </w:tcBorders>
          </w:tcPr>
          <w:p w14:paraId="038A1B32" w14:textId="77777777" w:rsidR="00023312" w:rsidRDefault="00023312" w:rsidP="001A5D4A">
            <w:pPr>
              <w:pStyle w:val="NotesTable-CellPlain"/>
            </w:pPr>
            <w:r>
              <w:t>–</w:t>
            </w:r>
          </w:p>
        </w:tc>
        <w:tc>
          <w:tcPr>
            <w:tcW w:w="406" w:type="pct"/>
            <w:tcBorders>
              <w:top w:val="single" w:sz="4" w:space="0" w:color="000000"/>
            </w:tcBorders>
          </w:tcPr>
          <w:p w14:paraId="038A1B33" w14:textId="77777777" w:rsidR="00023312" w:rsidRDefault="00023312" w:rsidP="001A5D4A">
            <w:pPr>
              <w:pStyle w:val="NotesTable-CellBold"/>
            </w:pPr>
            <w:r>
              <w:t>–</w:t>
            </w:r>
          </w:p>
        </w:tc>
        <w:tc>
          <w:tcPr>
            <w:tcW w:w="405" w:type="pct"/>
            <w:tcBorders>
              <w:top w:val="single" w:sz="4" w:space="0" w:color="000000"/>
            </w:tcBorders>
          </w:tcPr>
          <w:p w14:paraId="038A1B34" w14:textId="77777777" w:rsidR="00023312" w:rsidRDefault="00023312" w:rsidP="001A5D4A">
            <w:pPr>
              <w:pStyle w:val="NotesTable-CellPlain"/>
            </w:pPr>
            <w:r>
              <w:t>–</w:t>
            </w:r>
          </w:p>
        </w:tc>
      </w:tr>
      <w:tr w:rsidR="009B763A" w14:paraId="038A1B3C" w14:textId="77777777" w:rsidTr="00236F7B">
        <w:trPr>
          <w:cantSplit/>
          <w:trHeight w:val="181"/>
        </w:trPr>
        <w:tc>
          <w:tcPr>
            <w:tcW w:w="810" w:type="pct"/>
          </w:tcPr>
          <w:p w14:paraId="038A1B36" w14:textId="77777777" w:rsidR="009B763A" w:rsidRDefault="009B763A" w:rsidP="001A5D4A">
            <w:pPr>
              <w:pStyle w:val="Note-Refs"/>
            </w:pPr>
          </w:p>
        </w:tc>
        <w:tc>
          <w:tcPr>
            <w:tcW w:w="2567" w:type="pct"/>
            <w:vAlign w:val="bottom"/>
          </w:tcPr>
          <w:p w14:paraId="038A1B37" w14:textId="77777777" w:rsidR="009B763A" w:rsidRDefault="009B763A" w:rsidP="001A5D4A">
            <w:pPr>
              <w:pStyle w:val="NotesTable-ItemPlain"/>
            </w:pPr>
          </w:p>
        </w:tc>
        <w:tc>
          <w:tcPr>
            <w:tcW w:w="406" w:type="pct"/>
          </w:tcPr>
          <w:p w14:paraId="038A1B38" w14:textId="77777777" w:rsidR="009B763A" w:rsidRDefault="009B763A" w:rsidP="001A5D4A">
            <w:pPr>
              <w:pStyle w:val="NotesTable-CellBold"/>
            </w:pPr>
          </w:p>
        </w:tc>
        <w:tc>
          <w:tcPr>
            <w:tcW w:w="406" w:type="pct"/>
          </w:tcPr>
          <w:p w14:paraId="038A1B39" w14:textId="77777777" w:rsidR="009B763A" w:rsidRDefault="009B763A" w:rsidP="001A5D4A">
            <w:pPr>
              <w:pStyle w:val="NotesTable-CellPlain"/>
            </w:pPr>
          </w:p>
        </w:tc>
        <w:tc>
          <w:tcPr>
            <w:tcW w:w="406" w:type="pct"/>
          </w:tcPr>
          <w:p w14:paraId="038A1B3A" w14:textId="77777777" w:rsidR="009B763A" w:rsidRDefault="009B763A" w:rsidP="001A5D4A">
            <w:pPr>
              <w:pStyle w:val="NotesTable-CellBold"/>
            </w:pPr>
          </w:p>
        </w:tc>
        <w:tc>
          <w:tcPr>
            <w:tcW w:w="405" w:type="pct"/>
          </w:tcPr>
          <w:p w14:paraId="038A1B3B" w14:textId="77777777" w:rsidR="009B763A" w:rsidRDefault="009B763A" w:rsidP="001A5D4A">
            <w:pPr>
              <w:pStyle w:val="NotesTable-CellPlain"/>
            </w:pPr>
          </w:p>
        </w:tc>
      </w:tr>
      <w:tr w:rsidR="00512A42" w14:paraId="038A1B3F" w14:textId="77777777" w:rsidTr="00E21378">
        <w:trPr>
          <w:cantSplit/>
          <w:trHeight w:val="181"/>
        </w:trPr>
        <w:tc>
          <w:tcPr>
            <w:tcW w:w="810" w:type="pct"/>
          </w:tcPr>
          <w:p w14:paraId="038A1B3D" w14:textId="77777777" w:rsidR="00512A42" w:rsidRDefault="00512A42" w:rsidP="001A5D4A">
            <w:pPr>
              <w:pStyle w:val="Note-Refs"/>
            </w:pPr>
          </w:p>
        </w:tc>
        <w:tc>
          <w:tcPr>
            <w:tcW w:w="4190" w:type="pct"/>
            <w:gridSpan w:val="5"/>
            <w:vAlign w:val="bottom"/>
          </w:tcPr>
          <w:p w14:paraId="038A1B3E" w14:textId="77777777" w:rsidR="00512A42" w:rsidRDefault="00512A42" w:rsidP="001A5D4A">
            <w:pPr>
              <w:pStyle w:val="Note-TextHeader"/>
              <w:rPr>
                <w:lang w:val="en-GB"/>
              </w:rPr>
            </w:pPr>
            <w:r>
              <w:t>(d)</w:t>
            </w:r>
            <w:r>
              <w:tab/>
              <w:t>Tax losses</w:t>
            </w:r>
          </w:p>
        </w:tc>
      </w:tr>
      <w:tr w:rsidR="00023312" w14:paraId="038A1B46" w14:textId="77777777" w:rsidTr="00236F7B">
        <w:trPr>
          <w:cantSplit/>
          <w:trHeight w:val="181"/>
        </w:trPr>
        <w:tc>
          <w:tcPr>
            <w:tcW w:w="810" w:type="pct"/>
          </w:tcPr>
          <w:p w14:paraId="038A1B40" w14:textId="77777777" w:rsidR="00023312" w:rsidRDefault="00023312" w:rsidP="001A5D4A">
            <w:pPr>
              <w:pStyle w:val="Note-Refs"/>
              <w:rPr>
                <w:b/>
              </w:rPr>
            </w:pPr>
            <w:r>
              <w:t>AASB112</w:t>
            </w:r>
            <w:r w:rsidR="00592F25">
              <w:t>.</w:t>
            </w:r>
            <w:r>
              <w:t>81e</w:t>
            </w:r>
          </w:p>
        </w:tc>
        <w:tc>
          <w:tcPr>
            <w:tcW w:w="2567" w:type="pct"/>
            <w:vAlign w:val="bottom"/>
          </w:tcPr>
          <w:p w14:paraId="038A1B41" w14:textId="77777777" w:rsidR="00023312" w:rsidRDefault="00023312" w:rsidP="001A5D4A">
            <w:pPr>
              <w:pStyle w:val="NotesTable-ItemPlain"/>
              <w:rPr>
                <w:b/>
              </w:rPr>
            </w:pPr>
            <w:r>
              <w:t>Unused tax losses for which no deferred tax asset has been recognised</w:t>
            </w:r>
          </w:p>
        </w:tc>
        <w:tc>
          <w:tcPr>
            <w:tcW w:w="406" w:type="pct"/>
            <w:tcBorders>
              <w:bottom w:val="single" w:sz="4" w:space="0" w:color="000000"/>
            </w:tcBorders>
            <w:vAlign w:val="bottom"/>
          </w:tcPr>
          <w:p w14:paraId="038A1B42" w14:textId="77777777" w:rsidR="00023312" w:rsidRDefault="00023312" w:rsidP="001A5D4A">
            <w:pPr>
              <w:pStyle w:val="NotesTable-CellBold"/>
            </w:pPr>
            <w:r>
              <w:t>–</w:t>
            </w:r>
          </w:p>
        </w:tc>
        <w:tc>
          <w:tcPr>
            <w:tcW w:w="406" w:type="pct"/>
            <w:tcBorders>
              <w:bottom w:val="single" w:sz="4" w:space="0" w:color="000000"/>
            </w:tcBorders>
            <w:vAlign w:val="bottom"/>
          </w:tcPr>
          <w:p w14:paraId="038A1B43" w14:textId="77777777" w:rsidR="00023312" w:rsidRDefault="00023312" w:rsidP="001A5D4A">
            <w:pPr>
              <w:pStyle w:val="NotesTable-CellPlain"/>
            </w:pPr>
            <w:r>
              <w:t>–</w:t>
            </w:r>
          </w:p>
        </w:tc>
        <w:tc>
          <w:tcPr>
            <w:tcW w:w="406" w:type="pct"/>
            <w:tcBorders>
              <w:bottom w:val="single" w:sz="4" w:space="0" w:color="000000"/>
            </w:tcBorders>
            <w:vAlign w:val="bottom"/>
          </w:tcPr>
          <w:p w14:paraId="038A1B44" w14:textId="77777777" w:rsidR="00023312" w:rsidRDefault="00023312" w:rsidP="001A5D4A">
            <w:pPr>
              <w:pStyle w:val="NotesTable-CellBold"/>
            </w:pPr>
            <w:r>
              <w:t>–</w:t>
            </w:r>
          </w:p>
        </w:tc>
        <w:tc>
          <w:tcPr>
            <w:tcW w:w="405" w:type="pct"/>
            <w:tcBorders>
              <w:bottom w:val="single" w:sz="4" w:space="0" w:color="000000"/>
            </w:tcBorders>
            <w:vAlign w:val="bottom"/>
          </w:tcPr>
          <w:p w14:paraId="038A1B45" w14:textId="77777777" w:rsidR="00023312" w:rsidRDefault="00023312" w:rsidP="001A5D4A">
            <w:pPr>
              <w:pStyle w:val="NotesTable-CellPlain"/>
            </w:pPr>
            <w:r>
              <w:t>–</w:t>
            </w:r>
          </w:p>
        </w:tc>
      </w:tr>
      <w:tr w:rsidR="00780E8A" w14:paraId="038A1B4D" w14:textId="77777777" w:rsidTr="00236F7B">
        <w:trPr>
          <w:cantSplit/>
          <w:trHeight w:val="181"/>
        </w:trPr>
        <w:tc>
          <w:tcPr>
            <w:tcW w:w="810" w:type="pct"/>
          </w:tcPr>
          <w:p w14:paraId="038A1B47" w14:textId="77777777" w:rsidR="00023312" w:rsidRDefault="00023312" w:rsidP="001A5D4A">
            <w:pPr>
              <w:pStyle w:val="Note-Refs"/>
            </w:pPr>
          </w:p>
        </w:tc>
        <w:tc>
          <w:tcPr>
            <w:tcW w:w="2567" w:type="pct"/>
            <w:vAlign w:val="bottom"/>
          </w:tcPr>
          <w:p w14:paraId="038A1B48" w14:textId="77777777" w:rsidR="00023312" w:rsidRDefault="00023312" w:rsidP="001A5D4A">
            <w:pPr>
              <w:pStyle w:val="NotesTable-ItemPlain"/>
              <w:rPr>
                <w:b/>
              </w:rPr>
            </w:pPr>
            <w:r>
              <w:t>Potential tax benefit @ 30%</w:t>
            </w:r>
          </w:p>
        </w:tc>
        <w:tc>
          <w:tcPr>
            <w:tcW w:w="406" w:type="pct"/>
            <w:tcBorders>
              <w:top w:val="single" w:sz="4" w:space="0" w:color="000000"/>
            </w:tcBorders>
          </w:tcPr>
          <w:p w14:paraId="038A1B49" w14:textId="77777777" w:rsidR="00023312" w:rsidRDefault="00023312" w:rsidP="001A5D4A">
            <w:pPr>
              <w:pStyle w:val="NotesTable-CellBold"/>
            </w:pPr>
            <w:r>
              <w:t>–</w:t>
            </w:r>
          </w:p>
        </w:tc>
        <w:tc>
          <w:tcPr>
            <w:tcW w:w="406" w:type="pct"/>
            <w:tcBorders>
              <w:top w:val="single" w:sz="4" w:space="0" w:color="000000"/>
            </w:tcBorders>
          </w:tcPr>
          <w:p w14:paraId="038A1B4A" w14:textId="77777777" w:rsidR="00023312" w:rsidRDefault="00023312" w:rsidP="001A5D4A">
            <w:pPr>
              <w:pStyle w:val="NotesTable-CellPlain"/>
            </w:pPr>
            <w:r>
              <w:t>–</w:t>
            </w:r>
          </w:p>
        </w:tc>
        <w:tc>
          <w:tcPr>
            <w:tcW w:w="406" w:type="pct"/>
            <w:tcBorders>
              <w:top w:val="single" w:sz="4" w:space="0" w:color="000000"/>
            </w:tcBorders>
          </w:tcPr>
          <w:p w14:paraId="038A1B4B" w14:textId="77777777" w:rsidR="00023312" w:rsidRDefault="00023312" w:rsidP="001A5D4A">
            <w:pPr>
              <w:pStyle w:val="NotesTable-CellBold"/>
            </w:pPr>
            <w:r>
              <w:t>–</w:t>
            </w:r>
          </w:p>
        </w:tc>
        <w:tc>
          <w:tcPr>
            <w:tcW w:w="405" w:type="pct"/>
            <w:tcBorders>
              <w:top w:val="single" w:sz="4" w:space="0" w:color="000000"/>
            </w:tcBorders>
          </w:tcPr>
          <w:p w14:paraId="038A1B4C" w14:textId="77777777" w:rsidR="00023312" w:rsidRDefault="00023312" w:rsidP="001A5D4A">
            <w:pPr>
              <w:pStyle w:val="NotesTable-CellPlain"/>
            </w:pPr>
            <w:r>
              <w:t>–</w:t>
            </w:r>
          </w:p>
        </w:tc>
      </w:tr>
      <w:tr w:rsidR="00512A42" w14:paraId="038A1B50" w14:textId="77777777" w:rsidTr="00E21378">
        <w:trPr>
          <w:cantSplit/>
          <w:trHeight w:val="181"/>
        </w:trPr>
        <w:tc>
          <w:tcPr>
            <w:tcW w:w="810" w:type="pct"/>
          </w:tcPr>
          <w:p w14:paraId="038A1B4E" w14:textId="77777777" w:rsidR="00512A42" w:rsidRDefault="00512A42" w:rsidP="001A5D4A">
            <w:pPr>
              <w:pStyle w:val="Note-Refs"/>
            </w:pPr>
          </w:p>
        </w:tc>
        <w:tc>
          <w:tcPr>
            <w:tcW w:w="4190" w:type="pct"/>
            <w:gridSpan w:val="5"/>
            <w:vAlign w:val="bottom"/>
          </w:tcPr>
          <w:p w14:paraId="038A1B4F" w14:textId="77777777" w:rsidR="00512A42" w:rsidRDefault="00512A42" w:rsidP="001A5D4A">
            <w:pPr>
              <w:pStyle w:val="Note-Text"/>
            </w:pPr>
          </w:p>
        </w:tc>
      </w:tr>
      <w:tr w:rsidR="00512A42" w14:paraId="038A1B53" w14:textId="77777777" w:rsidTr="00E21378">
        <w:trPr>
          <w:cantSplit/>
          <w:trHeight w:val="181"/>
        </w:trPr>
        <w:tc>
          <w:tcPr>
            <w:tcW w:w="810" w:type="pct"/>
          </w:tcPr>
          <w:p w14:paraId="038A1B51" w14:textId="77777777" w:rsidR="00512A42" w:rsidRDefault="00512A42" w:rsidP="001A5D4A">
            <w:pPr>
              <w:pStyle w:val="Note-Refs"/>
            </w:pPr>
          </w:p>
        </w:tc>
        <w:tc>
          <w:tcPr>
            <w:tcW w:w="4190" w:type="pct"/>
            <w:gridSpan w:val="5"/>
            <w:vAlign w:val="bottom"/>
          </w:tcPr>
          <w:p w14:paraId="038A1B52" w14:textId="77777777" w:rsidR="00512A42" w:rsidRDefault="00512A42" w:rsidP="001A5D4A">
            <w:pPr>
              <w:pStyle w:val="NotesTable-ItemPlain"/>
              <w:rPr>
                <w:b/>
              </w:rPr>
            </w:pPr>
            <w:r>
              <w:t>All unused tax losses were incurred by Australian entities.</w:t>
            </w:r>
          </w:p>
        </w:tc>
      </w:tr>
      <w:tr w:rsidR="00512A42" w14:paraId="038A1B56" w14:textId="77777777" w:rsidTr="00E21378">
        <w:trPr>
          <w:cantSplit/>
          <w:trHeight w:val="181"/>
        </w:trPr>
        <w:tc>
          <w:tcPr>
            <w:tcW w:w="810" w:type="pct"/>
          </w:tcPr>
          <w:p w14:paraId="038A1B54" w14:textId="77777777" w:rsidR="00512A42" w:rsidRDefault="00512A42" w:rsidP="001A5D4A">
            <w:pPr>
              <w:pStyle w:val="Note-Refs"/>
            </w:pPr>
          </w:p>
        </w:tc>
        <w:tc>
          <w:tcPr>
            <w:tcW w:w="4190" w:type="pct"/>
            <w:gridSpan w:val="5"/>
            <w:vAlign w:val="bottom"/>
          </w:tcPr>
          <w:p w14:paraId="038A1B55" w14:textId="77777777" w:rsidR="00512A42" w:rsidRDefault="00512A42" w:rsidP="001A5D4A">
            <w:pPr>
              <w:pStyle w:val="Note-Text"/>
            </w:pPr>
          </w:p>
        </w:tc>
      </w:tr>
      <w:tr w:rsidR="00512A42" w14:paraId="038A1B59" w14:textId="77777777" w:rsidTr="00E21378">
        <w:trPr>
          <w:cantSplit/>
          <w:trHeight w:val="181"/>
        </w:trPr>
        <w:tc>
          <w:tcPr>
            <w:tcW w:w="810" w:type="pct"/>
          </w:tcPr>
          <w:p w14:paraId="038A1B57" w14:textId="77777777" w:rsidR="00512A42" w:rsidRDefault="00512A42" w:rsidP="001A5D4A">
            <w:pPr>
              <w:pStyle w:val="Note-Refs"/>
            </w:pPr>
          </w:p>
        </w:tc>
        <w:tc>
          <w:tcPr>
            <w:tcW w:w="4190" w:type="pct"/>
            <w:gridSpan w:val="5"/>
            <w:vAlign w:val="bottom"/>
          </w:tcPr>
          <w:p w14:paraId="038A1B58" w14:textId="77777777" w:rsidR="00512A42" w:rsidRDefault="00512A42" w:rsidP="001A5D4A">
            <w:pPr>
              <w:pStyle w:val="Note-TextHeader"/>
              <w:rPr>
                <w:lang w:val="en-GB"/>
              </w:rPr>
            </w:pPr>
            <w:r>
              <w:t>(e)</w:t>
            </w:r>
            <w:r>
              <w:tab/>
              <w:t>Unrecognised temporary differences</w:t>
            </w:r>
          </w:p>
        </w:tc>
      </w:tr>
      <w:tr w:rsidR="00512A42" w14:paraId="038A1B5C" w14:textId="77777777" w:rsidTr="00E21378">
        <w:trPr>
          <w:cantSplit/>
          <w:trHeight w:val="181"/>
        </w:trPr>
        <w:tc>
          <w:tcPr>
            <w:tcW w:w="810" w:type="pct"/>
          </w:tcPr>
          <w:p w14:paraId="038A1B5A" w14:textId="77777777" w:rsidR="00512A42" w:rsidRDefault="00512A42" w:rsidP="001A5D4A">
            <w:pPr>
              <w:pStyle w:val="Note-Refs"/>
              <w:rPr>
                <w:b/>
              </w:rPr>
            </w:pPr>
            <w:r>
              <w:t>AASB112.81f</w:t>
            </w:r>
          </w:p>
        </w:tc>
        <w:tc>
          <w:tcPr>
            <w:tcW w:w="4190" w:type="pct"/>
            <w:gridSpan w:val="5"/>
            <w:vAlign w:val="bottom"/>
          </w:tcPr>
          <w:p w14:paraId="038A1B5B" w14:textId="77777777" w:rsidR="00512A42" w:rsidRDefault="00512A42" w:rsidP="001A5D4A">
            <w:pPr>
              <w:pStyle w:val="NotesTable-ItemPlain"/>
              <w:rPr>
                <w:b/>
              </w:rPr>
            </w:pPr>
            <w:r>
              <w:t>Temporary differences relating to investments in subsidiaries for which deferred tax liabilities have not been recognised include:</w:t>
            </w:r>
          </w:p>
        </w:tc>
      </w:tr>
      <w:tr w:rsidR="00023312" w14:paraId="038A1B63" w14:textId="77777777" w:rsidTr="00236F7B">
        <w:trPr>
          <w:cantSplit/>
          <w:trHeight w:val="181"/>
        </w:trPr>
        <w:tc>
          <w:tcPr>
            <w:tcW w:w="810" w:type="pct"/>
          </w:tcPr>
          <w:p w14:paraId="038A1B5D" w14:textId="77777777" w:rsidR="00023312" w:rsidRDefault="00023312" w:rsidP="001A5D4A">
            <w:pPr>
              <w:pStyle w:val="Note-Refs"/>
            </w:pPr>
          </w:p>
        </w:tc>
        <w:tc>
          <w:tcPr>
            <w:tcW w:w="2567" w:type="pct"/>
            <w:vAlign w:val="bottom"/>
          </w:tcPr>
          <w:p w14:paraId="038A1B5E" w14:textId="77777777" w:rsidR="00023312" w:rsidRDefault="00023312" w:rsidP="001A5D4A">
            <w:pPr>
              <w:pStyle w:val="NotesTable-ItemPlain"/>
              <w:rPr>
                <w:b/>
              </w:rPr>
            </w:pPr>
            <w:r>
              <w:t>Foreign currency translation</w:t>
            </w:r>
          </w:p>
        </w:tc>
        <w:tc>
          <w:tcPr>
            <w:tcW w:w="406" w:type="pct"/>
          </w:tcPr>
          <w:p w14:paraId="038A1B5F" w14:textId="77777777" w:rsidR="00023312" w:rsidRDefault="00023312" w:rsidP="001A5D4A">
            <w:pPr>
              <w:pStyle w:val="NotesTable-CellBold"/>
            </w:pPr>
            <w:r>
              <w:t>–</w:t>
            </w:r>
          </w:p>
        </w:tc>
        <w:tc>
          <w:tcPr>
            <w:tcW w:w="406" w:type="pct"/>
          </w:tcPr>
          <w:p w14:paraId="038A1B60" w14:textId="77777777" w:rsidR="00023312" w:rsidRDefault="00023312" w:rsidP="001A5D4A">
            <w:pPr>
              <w:pStyle w:val="NotesTable-CellPlain"/>
            </w:pPr>
            <w:r>
              <w:t>–</w:t>
            </w:r>
          </w:p>
        </w:tc>
        <w:tc>
          <w:tcPr>
            <w:tcW w:w="406" w:type="pct"/>
          </w:tcPr>
          <w:p w14:paraId="038A1B61" w14:textId="77777777" w:rsidR="00023312" w:rsidRDefault="00023312" w:rsidP="001A5D4A">
            <w:pPr>
              <w:pStyle w:val="NotesTable-CellBold"/>
            </w:pPr>
            <w:r>
              <w:t>–</w:t>
            </w:r>
          </w:p>
        </w:tc>
        <w:tc>
          <w:tcPr>
            <w:tcW w:w="405" w:type="pct"/>
          </w:tcPr>
          <w:p w14:paraId="038A1B62" w14:textId="77777777" w:rsidR="00023312" w:rsidRDefault="00023312" w:rsidP="001A5D4A">
            <w:pPr>
              <w:pStyle w:val="NotesTable-CellPlain"/>
            </w:pPr>
            <w:r>
              <w:t>–</w:t>
            </w:r>
          </w:p>
        </w:tc>
      </w:tr>
      <w:tr w:rsidR="00023312" w14:paraId="038A1B6A" w14:textId="77777777" w:rsidTr="00236F7B">
        <w:trPr>
          <w:cantSplit/>
          <w:trHeight w:val="181"/>
        </w:trPr>
        <w:tc>
          <w:tcPr>
            <w:tcW w:w="810" w:type="pct"/>
          </w:tcPr>
          <w:p w14:paraId="038A1B64" w14:textId="77777777" w:rsidR="00023312" w:rsidRDefault="00023312" w:rsidP="001A5D4A">
            <w:pPr>
              <w:pStyle w:val="Note-Refs"/>
            </w:pPr>
          </w:p>
        </w:tc>
        <w:tc>
          <w:tcPr>
            <w:tcW w:w="2567" w:type="pct"/>
            <w:vAlign w:val="bottom"/>
          </w:tcPr>
          <w:p w14:paraId="038A1B65" w14:textId="77777777" w:rsidR="00023312" w:rsidRDefault="00023312" w:rsidP="001A5D4A">
            <w:pPr>
              <w:pStyle w:val="NotesTable-ItemPlain"/>
              <w:rPr>
                <w:b/>
              </w:rPr>
            </w:pPr>
            <w:r>
              <w:t>Undistributed earnings</w:t>
            </w:r>
          </w:p>
        </w:tc>
        <w:tc>
          <w:tcPr>
            <w:tcW w:w="406" w:type="pct"/>
            <w:tcBorders>
              <w:bottom w:val="single" w:sz="4" w:space="0" w:color="auto"/>
            </w:tcBorders>
          </w:tcPr>
          <w:p w14:paraId="038A1B66" w14:textId="77777777" w:rsidR="00023312" w:rsidRDefault="00023312" w:rsidP="001A5D4A">
            <w:pPr>
              <w:pStyle w:val="NotesTable-CellBold"/>
            </w:pPr>
            <w:r>
              <w:t>–</w:t>
            </w:r>
          </w:p>
        </w:tc>
        <w:tc>
          <w:tcPr>
            <w:tcW w:w="406" w:type="pct"/>
            <w:tcBorders>
              <w:bottom w:val="single" w:sz="4" w:space="0" w:color="auto"/>
            </w:tcBorders>
          </w:tcPr>
          <w:p w14:paraId="038A1B67" w14:textId="77777777" w:rsidR="00023312" w:rsidRDefault="00023312" w:rsidP="001A5D4A">
            <w:pPr>
              <w:pStyle w:val="NotesTable-CellPlain"/>
            </w:pPr>
            <w:r>
              <w:t>–</w:t>
            </w:r>
          </w:p>
        </w:tc>
        <w:tc>
          <w:tcPr>
            <w:tcW w:w="406" w:type="pct"/>
            <w:tcBorders>
              <w:bottom w:val="single" w:sz="4" w:space="0" w:color="auto"/>
            </w:tcBorders>
          </w:tcPr>
          <w:p w14:paraId="038A1B68" w14:textId="77777777" w:rsidR="00023312" w:rsidRDefault="00023312" w:rsidP="001A5D4A">
            <w:pPr>
              <w:pStyle w:val="NotesTable-CellBold"/>
            </w:pPr>
            <w:r>
              <w:t>–</w:t>
            </w:r>
          </w:p>
        </w:tc>
        <w:tc>
          <w:tcPr>
            <w:tcW w:w="405" w:type="pct"/>
            <w:tcBorders>
              <w:bottom w:val="single" w:sz="4" w:space="0" w:color="auto"/>
            </w:tcBorders>
          </w:tcPr>
          <w:p w14:paraId="038A1B69" w14:textId="77777777" w:rsidR="00023312" w:rsidRDefault="00023312" w:rsidP="001A5D4A">
            <w:pPr>
              <w:pStyle w:val="NotesTable-CellPlain"/>
            </w:pPr>
            <w:r>
              <w:t>–</w:t>
            </w:r>
          </w:p>
        </w:tc>
      </w:tr>
      <w:tr w:rsidR="00512A42" w14:paraId="038A1B71" w14:textId="77777777" w:rsidTr="00236F7B">
        <w:trPr>
          <w:cantSplit/>
          <w:trHeight w:val="181"/>
        </w:trPr>
        <w:tc>
          <w:tcPr>
            <w:tcW w:w="810" w:type="pct"/>
          </w:tcPr>
          <w:p w14:paraId="038A1B6B" w14:textId="77777777" w:rsidR="00512A42" w:rsidRDefault="00512A42" w:rsidP="001A5D4A">
            <w:pPr>
              <w:pStyle w:val="Note-Refs"/>
            </w:pPr>
          </w:p>
        </w:tc>
        <w:tc>
          <w:tcPr>
            <w:tcW w:w="2567" w:type="pct"/>
            <w:vAlign w:val="bottom"/>
          </w:tcPr>
          <w:p w14:paraId="038A1B6C" w14:textId="77777777" w:rsidR="00512A42" w:rsidRDefault="009B763A" w:rsidP="001A5D4A">
            <w:pPr>
              <w:pStyle w:val="NotesTable-ItemPlain"/>
            </w:pPr>
            <w:r>
              <w:t>Total</w:t>
            </w:r>
          </w:p>
        </w:tc>
        <w:tc>
          <w:tcPr>
            <w:tcW w:w="406" w:type="pct"/>
            <w:tcBorders>
              <w:top w:val="single" w:sz="4" w:space="0" w:color="auto"/>
            </w:tcBorders>
          </w:tcPr>
          <w:p w14:paraId="038A1B6D" w14:textId="77777777" w:rsidR="00512A42" w:rsidRDefault="00512A42" w:rsidP="001A5D4A">
            <w:pPr>
              <w:pStyle w:val="NotesTable-CellBold"/>
            </w:pPr>
            <w:r>
              <w:t>–</w:t>
            </w:r>
          </w:p>
        </w:tc>
        <w:tc>
          <w:tcPr>
            <w:tcW w:w="406" w:type="pct"/>
            <w:tcBorders>
              <w:top w:val="single" w:sz="4" w:space="0" w:color="auto"/>
            </w:tcBorders>
          </w:tcPr>
          <w:p w14:paraId="038A1B6E" w14:textId="77777777" w:rsidR="00512A42" w:rsidRDefault="00512A42" w:rsidP="001A5D4A">
            <w:pPr>
              <w:pStyle w:val="NotesTable-CellPlain"/>
            </w:pPr>
            <w:r>
              <w:t>–</w:t>
            </w:r>
          </w:p>
        </w:tc>
        <w:tc>
          <w:tcPr>
            <w:tcW w:w="406" w:type="pct"/>
            <w:tcBorders>
              <w:top w:val="single" w:sz="4" w:space="0" w:color="auto"/>
            </w:tcBorders>
          </w:tcPr>
          <w:p w14:paraId="038A1B6F" w14:textId="77777777" w:rsidR="00512A42" w:rsidRDefault="00512A42" w:rsidP="001A5D4A">
            <w:pPr>
              <w:pStyle w:val="NotesTable-CellBold"/>
            </w:pPr>
            <w:r>
              <w:t>–</w:t>
            </w:r>
          </w:p>
        </w:tc>
        <w:tc>
          <w:tcPr>
            <w:tcW w:w="405" w:type="pct"/>
            <w:tcBorders>
              <w:top w:val="single" w:sz="4" w:space="0" w:color="auto"/>
            </w:tcBorders>
          </w:tcPr>
          <w:p w14:paraId="038A1B70" w14:textId="77777777" w:rsidR="00512A42" w:rsidRDefault="00512A42" w:rsidP="001A5D4A">
            <w:pPr>
              <w:pStyle w:val="NotesTable-CellPlain"/>
            </w:pPr>
            <w:r>
              <w:t>–</w:t>
            </w:r>
          </w:p>
        </w:tc>
      </w:tr>
    </w:tbl>
    <w:p w14:paraId="77F18CAB" w14:textId="77777777" w:rsidR="00CE688E" w:rsidRPr="006B68EB" w:rsidRDefault="00CE688E" w:rsidP="001A5D4A">
      <w:r w:rsidRPr="006B68EB">
        <w:br w:type="page"/>
      </w:r>
    </w:p>
    <w:p w14:paraId="3F8D3C81" w14:textId="77777777" w:rsidR="00891D97" w:rsidRPr="00CE688E" w:rsidRDefault="00891D97" w:rsidP="001A5D4A">
      <w:pPr>
        <w:pStyle w:val="Heading3"/>
        <w:rPr>
          <w:color w:val="2D3E7B" w:themeColor="text2" w:themeShade="BF"/>
        </w:rPr>
      </w:pPr>
      <w:bookmarkStart w:id="296" w:name="_Toc410807621"/>
      <w:bookmarkStart w:id="297" w:name="_Toc410822682"/>
      <w:r w:rsidRPr="00CE688E">
        <w:rPr>
          <w:color w:val="2D3E7B" w:themeColor="text2" w:themeShade="BF"/>
        </w:rPr>
        <w:lastRenderedPageBreak/>
        <w:t xml:space="preserve">Commentary </w:t>
      </w:r>
      <w:r w:rsidRPr="00CE688E">
        <w:rPr>
          <w:color w:val="2D3E7B" w:themeColor="text2" w:themeShade="BF"/>
        </w:rPr>
        <w:noBreakHyphen/>
        <w:t xml:space="preserve"> Income tax</w:t>
      </w:r>
      <w:bookmarkEnd w:id="296"/>
      <w:bookmarkEnd w:id="297"/>
    </w:p>
    <w:p w14:paraId="4712D1B3" w14:textId="77777777" w:rsidR="00891D97" w:rsidRPr="00236F7B" w:rsidRDefault="00891D97" w:rsidP="00AB24D3">
      <w:pPr>
        <w:pStyle w:val="Heading4"/>
        <w:rPr>
          <w:color w:val="2D3E7B" w:themeColor="text2" w:themeShade="BF"/>
          <w14:textFill>
            <w14:solidFill>
              <w14:schemeClr w14:val="tx2">
                <w14:lumMod w14:val="75000"/>
                <w14:lumMod w14:val="75000"/>
              </w14:schemeClr>
            </w14:solidFill>
          </w14:textFill>
        </w:rPr>
      </w:pPr>
      <w:r w:rsidRPr="00236F7B">
        <w:rPr>
          <w:color w:val="2D3E7B" w:themeColor="text2" w:themeShade="BF"/>
          <w14:textFill>
            <w14:solidFill>
              <w14:schemeClr w14:val="tx2">
                <w14:lumMod w14:val="75000"/>
                <w14:lumMod w14:val="75000"/>
              </w14:schemeClr>
            </w14:solidFill>
          </w14:textFill>
        </w:rPr>
        <w:t>General requirement</w:t>
      </w:r>
    </w:p>
    <w:p w14:paraId="380395E5" w14:textId="77777777" w:rsidR="00891D97" w:rsidRPr="00CE688E" w:rsidRDefault="00891D97" w:rsidP="00E422A6">
      <w:pPr>
        <w:pStyle w:val="Heading6"/>
      </w:pPr>
      <w:r w:rsidRPr="00CE688E">
        <w:t>AASB112.80</w:t>
      </w:r>
    </w:p>
    <w:p w14:paraId="7C9A522C" w14:textId="77777777" w:rsidR="00891D97" w:rsidRPr="00CE688E" w:rsidRDefault="00891D97" w:rsidP="001A5D4A">
      <w:pPr>
        <w:rPr>
          <w:color w:val="2D3E7B" w:themeColor="text2" w:themeShade="BF"/>
        </w:rPr>
      </w:pPr>
      <w:r w:rsidRPr="00CE688E">
        <w:rPr>
          <w:color w:val="2D3E7B" w:themeColor="text2" w:themeShade="BF"/>
        </w:rPr>
        <w:t xml:space="preserve">AASB112 </w:t>
      </w:r>
      <w:r w:rsidRPr="00C94CF3">
        <w:rPr>
          <w:i/>
          <w:color w:val="2D3E7B" w:themeColor="text2" w:themeShade="BF"/>
        </w:rPr>
        <w:t>Income Taxes</w:t>
      </w:r>
      <w:r w:rsidRPr="00CE688E">
        <w:rPr>
          <w:color w:val="2D3E7B" w:themeColor="text2" w:themeShade="BF"/>
        </w:rPr>
        <w:t xml:space="preserve"> requires separate disclosure of the major components of tax expense / (income). These may include:</w:t>
      </w:r>
    </w:p>
    <w:p w14:paraId="49A21230" w14:textId="5DF3CAB4"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current tax expense / (income)</w:t>
      </w:r>
    </w:p>
    <w:p w14:paraId="5368957C" w14:textId="4EB8E1C6"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any adjustments recognised in the period for current tax of prior periods</w:t>
      </w:r>
    </w:p>
    <w:p w14:paraId="017881B2" w14:textId="59D87892"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the amount of deferred tax expense / (income) relating to the origination and reversal of temporary differences</w:t>
      </w:r>
    </w:p>
    <w:p w14:paraId="2FC7D0C0" w14:textId="5A0367DF"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the amount of deferred tax expense / (income) relating to changes in tax rates or the imposition of new taxes</w:t>
      </w:r>
    </w:p>
    <w:p w14:paraId="5E5020F9" w14:textId="3D868747"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the amount of the benefit arising from a previously unrecognised tax loss, tax credit or temporary difference of a prior period that is used to reduce current tax expense</w:t>
      </w:r>
    </w:p>
    <w:p w14:paraId="030F67A5" w14:textId="38D1AA93"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the amount of the benefit from a previously unrecognised tax loss, tax credit or temporary difference of a prior period that is used to reduce deferred tax expense</w:t>
      </w:r>
    </w:p>
    <w:p w14:paraId="2705FB87" w14:textId="2C15E3A0"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deferred tax expense arising from the write</w:t>
      </w:r>
      <w:r w:rsidRPr="00CE688E">
        <w:rPr>
          <w:color w:val="2D3E7B" w:themeColor="text2" w:themeShade="BF"/>
        </w:rPr>
        <w:noBreakHyphen/>
        <w:t>down, or reversal of a previous write</w:t>
      </w:r>
      <w:r w:rsidRPr="00CE688E">
        <w:rPr>
          <w:color w:val="2D3E7B" w:themeColor="text2" w:themeShade="BF"/>
        </w:rPr>
        <w:noBreakHyphen/>
        <w:t>down, of a deferred tax asset in accordance with AASB112.56, and</w:t>
      </w:r>
    </w:p>
    <w:p w14:paraId="2F1B109C" w14:textId="57D6DD16" w:rsidR="00891D97" w:rsidRPr="00CE688E" w:rsidRDefault="00891D97" w:rsidP="00022EFA">
      <w:pPr>
        <w:pStyle w:val="ListParagraph"/>
        <w:numPr>
          <w:ilvl w:val="0"/>
          <w:numId w:val="40"/>
        </w:numPr>
        <w:ind w:left="340" w:hanging="340"/>
        <w:rPr>
          <w:color w:val="2D3E7B" w:themeColor="text2" w:themeShade="BF"/>
        </w:rPr>
      </w:pPr>
      <w:r w:rsidRPr="00CE688E">
        <w:rPr>
          <w:color w:val="2D3E7B" w:themeColor="text2" w:themeShade="BF"/>
        </w:rPr>
        <w:t>the amount of tax expense / (income) relating to those changes in accounting policies and errors that are included in profit or loss in accordance with AASB108 because they cannot be accounted for retrospectively.</w:t>
      </w:r>
    </w:p>
    <w:p w14:paraId="038A1BA0" w14:textId="77777777" w:rsidR="00130119" w:rsidRPr="006B68EB" w:rsidRDefault="00130119" w:rsidP="001A5D4A">
      <w:bookmarkStart w:id="298" w:name="OLE_LINK1"/>
      <w:bookmarkStart w:id="299" w:name="OLE_LINK2"/>
      <w:bookmarkStart w:id="300" w:name="_Hlk118268405"/>
      <w:bookmarkEnd w:id="298"/>
      <w:bookmarkEnd w:id="299"/>
      <w:bookmarkEnd w:id="300"/>
      <w:r w:rsidRPr="006B68EB">
        <w:br w:type="page"/>
      </w:r>
    </w:p>
    <w:p w14:paraId="58669472" w14:textId="700ABB69" w:rsidR="006B68EB" w:rsidRDefault="006B68EB" w:rsidP="00236F7B">
      <w:pPr>
        <w:pStyle w:val="Heading2"/>
      </w:pPr>
      <w:bookmarkStart w:id="301" w:name="_Toc410807622"/>
      <w:bookmarkStart w:id="302" w:name="_Toc410822683"/>
      <w:proofErr w:type="gramStart"/>
      <w:r w:rsidRPr="006B68EB">
        <w:lastRenderedPageBreak/>
        <w:t>Note 17.</w:t>
      </w:r>
      <w:proofErr w:type="gramEnd"/>
      <w:r>
        <w:t xml:space="preserve"> </w:t>
      </w:r>
      <w:r w:rsidRPr="006B68EB">
        <w:t>Discontinued operations</w:t>
      </w:r>
      <w:bookmarkEnd w:id="301"/>
      <w:bookmarkEnd w:id="302"/>
    </w:p>
    <w:p w14:paraId="1C8C9F24" w14:textId="5CECB811" w:rsidR="006B68EB" w:rsidRPr="006B68EB" w:rsidRDefault="006B68EB" w:rsidP="001A5D4A">
      <w:r w:rsidRPr="006B68EB">
        <w:t>AASB5</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rsidRPr="006B68EB" w14:paraId="038A1BA7" w14:textId="77777777" w:rsidTr="00E21378">
        <w:trPr>
          <w:trHeight w:val="181"/>
        </w:trPr>
        <w:tc>
          <w:tcPr>
            <w:tcW w:w="810" w:type="pct"/>
          </w:tcPr>
          <w:p w14:paraId="038A1BA5" w14:textId="77777777" w:rsidR="00023312" w:rsidRPr="006B68EB" w:rsidRDefault="00023312" w:rsidP="00236F7B">
            <w:pPr>
              <w:pStyle w:val="Note-Refs"/>
            </w:pPr>
            <w:r w:rsidRPr="006B68EB">
              <w:t>ASB5</w:t>
            </w:r>
            <w:r w:rsidR="00592F25" w:rsidRPr="006B68EB">
              <w:t>.</w:t>
            </w:r>
            <w:r w:rsidRPr="006B68EB">
              <w:t>41a,b,d</w:t>
            </w:r>
          </w:p>
        </w:tc>
        <w:tc>
          <w:tcPr>
            <w:tcW w:w="4190" w:type="pct"/>
            <w:gridSpan w:val="5"/>
            <w:vAlign w:val="bottom"/>
          </w:tcPr>
          <w:p w14:paraId="038A1BA6" w14:textId="77777777" w:rsidR="00023312" w:rsidRPr="006B68EB" w:rsidRDefault="00023312" w:rsidP="00236F7B">
            <w:pPr>
              <w:pStyle w:val="Note-TextHeader"/>
            </w:pPr>
            <w:r w:rsidRPr="006B68EB">
              <w:t>(a) [Description of discontinued operation]</w:t>
            </w:r>
          </w:p>
        </w:tc>
      </w:tr>
      <w:tr w:rsidR="00023312" w14:paraId="038A1BAC" w14:textId="77777777" w:rsidTr="00E21378">
        <w:trPr>
          <w:trHeight w:val="181"/>
        </w:trPr>
        <w:tc>
          <w:tcPr>
            <w:tcW w:w="810" w:type="pct"/>
          </w:tcPr>
          <w:p w14:paraId="038A1BA8" w14:textId="77777777" w:rsidR="00023312" w:rsidRDefault="00023312" w:rsidP="001A5D4A">
            <w:pPr>
              <w:pStyle w:val="Note-Refs"/>
            </w:pPr>
          </w:p>
        </w:tc>
        <w:tc>
          <w:tcPr>
            <w:tcW w:w="2567" w:type="pct"/>
            <w:vAlign w:val="bottom"/>
          </w:tcPr>
          <w:p w14:paraId="038A1BA9" w14:textId="77777777" w:rsidR="00023312" w:rsidRDefault="00023312" w:rsidP="001A5D4A">
            <w:pPr>
              <w:pStyle w:val="NotesTable-ItemPlain"/>
            </w:pPr>
          </w:p>
        </w:tc>
        <w:tc>
          <w:tcPr>
            <w:tcW w:w="811" w:type="pct"/>
            <w:gridSpan w:val="2"/>
          </w:tcPr>
          <w:p w14:paraId="038A1BAA" w14:textId="77777777" w:rsidR="00023312" w:rsidRDefault="00023312" w:rsidP="001A5D4A">
            <w:pPr>
              <w:pStyle w:val="NotesTable-HeadPlain"/>
              <w:rPr>
                <w:b/>
              </w:rPr>
            </w:pPr>
            <w:r>
              <w:t>Consolidated</w:t>
            </w:r>
          </w:p>
        </w:tc>
        <w:tc>
          <w:tcPr>
            <w:tcW w:w="811" w:type="pct"/>
            <w:gridSpan w:val="2"/>
          </w:tcPr>
          <w:p w14:paraId="038A1BAB" w14:textId="77777777" w:rsidR="00023312" w:rsidRDefault="00023312" w:rsidP="001A5D4A">
            <w:pPr>
              <w:pStyle w:val="NotesTable-HeadPlain"/>
            </w:pPr>
            <w:r>
              <w:t>Parent entity</w:t>
            </w:r>
          </w:p>
        </w:tc>
      </w:tr>
      <w:tr w:rsidR="00BF5CB8" w14:paraId="038A1BB3" w14:textId="77777777" w:rsidTr="00E21378">
        <w:trPr>
          <w:trHeight w:val="181"/>
        </w:trPr>
        <w:tc>
          <w:tcPr>
            <w:tcW w:w="810" w:type="pct"/>
          </w:tcPr>
          <w:p w14:paraId="038A1BAD" w14:textId="77777777" w:rsidR="00BF5CB8" w:rsidRDefault="00BF5CB8" w:rsidP="001A5D4A">
            <w:pPr>
              <w:pStyle w:val="Note-Refs"/>
            </w:pPr>
          </w:p>
        </w:tc>
        <w:tc>
          <w:tcPr>
            <w:tcW w:w="2567" w:type="pct"/>
            <w:vAlign w:val="bottom"/>
          </w:tcPr>
          <w:p w14:paraId="038A1BAE" w14:textId="77777777" w:rsidR="00BF5CB8" w:rsidRDefault="00BF5CB8" w:rsidP="001A5D4A">
            <w:pPr>
              <w:pStyle w:val="NotesTable-ItemPlain"/>
            </w:pPr>
          </w:p>
        </w:tc>
        <w:tc>
          <w:tcPr>
            <w:tcW w:w="406" w:type="pct"/>
          </w:tcPr>
          <w:p w14:paraId="038A1BAF" w14:textId="3BCCB6E1" w:rsidR="00BF5CB8" w:rsidRDefault="006864EC" w:rsidP="001A5D4A">
            <w:pPr>
              <w:pStyle w:val="NotesTable-HeadBold"/>
            </w:pPr>
            <w:r>
              <w:t>2014</w:t>
            </w:r>
          </w:p>
        </w:tc>
        <w:tc>
          <w:tcPr>
            <w:tcW w:w="406" w:type="pct"/>
          </w:tcPr>
          <w:p w14:paraId="038A1BB0" w14:textId="3790B5DF" w:rsidR="00BF5CB8" w:rsidRDefault="006864EC" w:rsidP="001A5D4A">
            <w:pPr>
              <w:pStyle w:val="NotesTable-HeadPlain"/>
            </w:pPr>
            <w:r>
              <w:t>2013</w:t>
            </w:r>
          </w:p>
        </w:tc>
        <w:tc>
          <w:tcPr>
            <w:tcW w:w="406" w:type="pct"/>
          </w:tcPr>
          <w:p w14:paraId="038A1BB1" w14:textId="459E0793" w:rsidR="00BF5CB8" w:rsidRDefault="006864EC" w:rsidP="001A5D4A">
            <w:pPr>
              <w:pStyle w:val="NotesTable-HeadBold"/>
            </w:pPr>
            <w:r>
              <w:t>2014</w:t>
            </w:r>
          </w:p>
        </w:tc>
        <w:tc>
          <w:tcPr>
            <w:tcW w:w="406" w:type="pct"/>
          </w:tcPr>
          <w:p w14:paraId="038A1BB2" w14:textId="5A956AE4" w:rsidR="00BF5CB8" w:rsidRDefault="006864EC" w:rsidP="001A5D4A">
            <w:pPr>
              <w:pStyle w:val="NotesTable-HeadPlain"/>
            </w:pPr>
            <w:r>
              <w:t>2013</w:t>
            </w:r>
          </w:p>
        </w:tc>
      </w:tr>
      <w:tr w:rsidR="00BF5CB8" w14:paraId="038A1BBA" w14:textId="77777777" w:rsidTr="00E21378">
        <w:trPr>
          <w:trHeight w:val="181"/>
        </w:trPr>
        <w:tc>
          <w:tcPr>
            <w:tcW w:w="810" w:type="pct"/>
          </w:tcPr>
          <w:p w14:paraId="038A1BB4" w14:textId="77777777" w:rsidR="00BF5CB8" w:rsidRDefault="00BF5CB8" w:rsidP="001A5D4A">
            <w:pPr>
              <w:pStyle w:val="Note-Refs"/>
            </w:pPr>
          </w:p>
        </w:tc>
        <w:tc>
          <w:tcPr>
            <w:tcW w:w="2567" w:type="pct"/>
            <w:vAlign w:val="bottom"/>
          </w:tcPr>
          <w:p w14:paraId="038A1BB5" w14:textId="77777777" w:rsidR="00BF5CB8" w:rsidRDefault="00BF5CB8" w:rsidP="001A5D4A">
            <w:pPr>
              <w:pStyle w:val="NotesTable-ItemPlain"/>
            </w:pPr>
          </w:p>
        </w:tc>
        <w:tc>
          <w:tcPr>
            <w:tcW w:w="406" w:type="pct"/>
          </w:tcPr>
          <w:p w14:paraId="038A1BB6" w14:textId="77777777" w:rsidR="00BF5CB8" w:rsidRDefault="00BF5CB8" w:rsidP="001A5D4A">
            <w:pPr>
              <w:pStyle w:val="NotesTable-HeadBold"/>
            </w:pPr>
            <w:r>
              <w:t>$’000</w:t>
            </w:r>
          </w:p>
        </w:tc>
        <w:tc>
          <w:tcPr>
            <w:tcW w:w="406" w:type="pct"/>
          </w:tcPr>
          <w:p w14:paraId="038A1BB7" w14:textId="77777777" w:rsidR="00BF5CB8" w:rsidRDefault="00BF5CB8" w:rsidP="001A5D4A">
            <w:pPr>
              <w:pStyle w:val="NotesTable-HeadPlain"/>
            </w:pPr>
            <w:r>
              <w:t>$’000</w:t>
            </w:r>
          </w:p>
        </w:tc>
        <w:tc>
          <w:tcPr>
            <w:tcW w:w="406" w:type="pct"/>
          </w:tcPr>
          <w:p w14:paraId="038A1BB8" w14:textId="77777777" w:rsidR="00BF5CB8" w:rsidRDefault="00BF5CB8" w:rsidP="001A5D4A">
            <w:pPr>
              <w:pStyle w:val="NotesTable-HeadBold"/>
            </w:pPr>
            <w:r>
              <w:t>$’000</w:t>
            </w:r>
          </w:p>
        </w:tc>
        <w:tc>
          <w:tcPr>
            <w:tcW w:w="406" w:type="pct"/>
          </w:tcPr>
          <w:p w14:paraId="038A1BB9" w14:textId="77777777" w:rsidR="00BF5CB8" w:rsidRDefault="00BF5CB8" w:rsidP="001A5D4A">
            <w:pPr>
              <w:pStyle w:val="NotesTable-HeadPlain"/>
            </w:pPr>
            <w:r>
              <w:t>$’000</w:t>
            </w:r>
          </w:p>
        </w:tc>
      </w:tr>
      <w:tr w:rsidR="00A425BF" w14:paraId="038A1BBD" w14:textId="77777777" w:rsidTr="00E21378">
        <w:trPr>
          <w:trHeight w:val="181"/>
        </w:trPr>
        <w:tc>
          <w:tcPr>
            <w:tcW w:w="810" w:type="pct"/>
          </w:tcPr>
          <w:p w14:paraId="038A1BBB" w14:textId="77777777" w:rsidR="00A425BF" w:rsidRDefault="00A425BF" w:rsidP="001A5D4A">
            <w:pPr>
              <w:pStyle w:val="Note-Refs"/>
            </w:pPr>
          </w:p>
        </w:tc>
        <w:tc>
          <w:tcPr>
            <w:tcW w:w="4190" w:type="pct"/>
            <w:gridSpan w:val="5"/>
            <w:vAlign w:val="bottom"/>
          </w:tcPr>
          <w:p w14:paraId="038A1BBC" w14:textId="77777777" w:rsidR="00A425BF" w:rsidRDefault="00A425BF" w:rsidP="001A5D4A">
            <w:pPr>
              <w:pStyle w:val="Note-TextHeader"/>
              <w:rPr>
                <w:lang w:val="en-GB"/>
              </w:rPr>
            </w:pPr>
            <w:r>
              <w:t>(b) Financial performance and cash flow information</w:t>
            </w:r>
          </w:p>
        </w:tc>
      </w:tr>
      <w:tr w:rsidR="003E289C" w14:paraId="038A1BC0" w14:textId="77777777" w:rsidTr="00E21378">
        <w:trPr>
          <w:trHeight w:val="181"/>
        </w:trPr>
        <w:tc>
          <w:tcPr>
            <w:tcW w:w="810" w:type="pct"/>
          </w:tcPr>
          <w:p w14:paraId="038A1BBE" w14:textId="77777777" w:rsidR="003E289C" w:rsidRDefault="003E289C" w:rsidP="001A5D4A">
            <w:pPr>
              <w:pStyle w:val="Note-Refs"/>
            </w:pPr>
          </w:p>
        </w:tc>
        <w:tc>
          <w:tcPr>
            <w:tcW w:w="4190" w:type="pct"/>
            <w:gridSpan w:val="5"/>
            <w:vAlign w:val="bottom"/>
          </w:tcPr>
          <w:p w14:paraId="038A1BBF" w14:textId="7D5EDD85" w:rsidR="003E289C" w:rsidRDefault="003E289C" w:rsidP="001A5D4A">
            <w:pPr>
              <w:pStyle w:val="NotesTable-ItemPlain"/>
              <w:rPr>
                <w:b/>
              </w:rPr>
            </w:pPr>
            <w:r>
              <w:t>The financial performance and cash flow information presented are for the months ended [date] (</w:t>
            </w:r>
            <w:r w:rsidR="006864EC">
              <w:t>2014</w:t>
            </w:r>
            <w:r>
              <w:t xml:space="preserve"> column) and the year ended 31 December </w:t>
            </w:r>
            <w:r w:rsidR="006864EC">
              <w:t>2013</w:t>
            </w:r>
          </w:p>
        </w:tc>
      </w:tr>
      <w:tr w:rsidR="00BF5CB8" w14:paraId="038A1BC7" w14:textId="77777777" w:rsidTr="00E21378">
        <w:trPr>
          <w:trHeight w:val="181"/>
        </w:trPr>
        <w:tc>
          <w:tcPr>
            <w:tcW w:w="810" w:type="pct"/>
          </w:tcPr>
          <w:p w14:paraId="038A1BC1" w14:textId="77777777" w:rsidR="00BF5CB8" w:rsidRDefault="00BF5CB8" w:rsidP="001A5D4A">
            <w:pPr>
              <w:pStyle w:val="Note-Refs"/>
              <w:rPr>
                <w:b/>
              </w:rPr>
            </w:pPr>
            <w:r>
              <w:t>AASB5.33b(i)</w:t>
            </w:r>
          </w:p>
        </w:tc>
        <w:tc>
          <w:tcPr>
            <w:tcW w:w="2567" w:type="pct"/>
            <w:vAlign w:val="bottom"/>
          </w:tcPr>
          <w:p w14:paraId="038A1BC2" w14:textId="77777777" w:rsidR="00BF5CB8" w:rsidRDefault="00BF5CB8" w:rsidP="001A5D4A">
            <w:pPr>
              <w:pStyle w:val="NotesTable-ItemPlain"/>
              <w:rPr>
                <w:b/>
              </w:rPr>
            </w:pPr>
            <w:r>
              <w:t xml:space="preserve">Revenue </w:t>
            </w:r>
          </w:p>
        </w:tc>
        <w:tc>
          <w:tcPr>
            <w:tcW w:w="406" w:type="pct"/>
          </w:tcPr>
          <w:p w14:paraId="038A1BC3" w14:textId="77777777" w:rsidR="00BF5CB8" w:rsidRDefault="00BF5CB8" w:rsidP="001A5D4A">
            <w:pPr>
              <w:pStyle w:val="NotesTable-CellBold"/>
            </w:pPr>
            <w:r>
              <w:t>–</w:t>
            </w:r>
          </w:p>
        </w:tc>
        <w:tc>
          <w:tcPr>
            <w:tcW w:w="406" w:type="pct"/>
          </w:tcPr>
          <w:p w14:paraId="038A1BC4" w14:textId="77777777" w:rsidR="00BF5CB8" w:rsidRDefault="00BF5CB8" w:rsidP="001A5D4A">
            <w:pPr>
              <w:pStyle w:val="StyleNotesTable-CellPlainBold"/>
            </w:pPr>
            <w:r>
              <w:t>–</w:t>
            </w:r>
          </w:p>
        </w:tc>
        <w:tc>
          <w:tcPr>
            <w:tcW w:w="406" w:type="pct"/>
          </w:tcPr>
          <w:p w14:paraId="038A1BC5" w14:textId="77777777" w:rsidR="00BF5CB8" w:rsidRDefault="00BF5CB8" w:rsidP="001A5D4A">
            <w:pPr>
              <w:pStyle w:val="NotesTable-CellBold"/>
            </w:pPr>
            <w:r>
              <w:t>–</w:t>
            </w:r>
          </w:p>
        </w:tc>
        <w:tc>
          <w:tcPr>
            <w:tcW w:w="406" w:type="pct"/>
          </w:tcPr>
          <w:p w14:paraId="038A1BC6" w14:textId="77777777" w:rsidR="00BF5CB8" w:rsidRDefault="00BF5CB8" w:rsidP="001A5D4A">
            <w:pPr>
              <w:pStyle w:val="StyleNotesTable-CellPlainBold"/>
            </w:pPr>
            <w:r>
              <w:t>–</w:t>
            </w:r>
          </w:p>
        </w:tc>
      </w:tr>
      <w:tr w:rsidR="00BF5CB8" w14:paraId="038A1BCE" w14:textId="77777777" w:rsidTr="00E21378">
        <w:trPr>
          <w:trHeight w:val="181"/>
        </w:trPr>
        <w:tc>
          <w:tcPr>
            <w:tcW w:w="810" w:type="pct"/>
          </w:tcPr>
          <w:p w14:paraId="038A1BC8" w14:textId="77777777" w:rsidR="00BF5CB8" w:rsidRDefault="00BF5CB8" w:rsidP="001A5D4A">
            <w:pPr>
              <w:pStyle w:val="Note-Refs"/>
              <w:rPr>
                <w:b/>
              </w:rPr>
            </w:pPr>
            <w:r>
              <w:t>AASB5.33b(i)</w:t>
            </w:r>
          </w:p>
        </w:tc>
        <w:tc>
          <w:tcPr>
            <w:tcW w:w="2567" w:type="pct"/>
            <w:vAlign w:val="bottom"/>
          </w:tcPr>
          <w:p w14:paraId="038A1BC9" w14:textId="77777777" w:rsidR="00BF5CB8" w:rsidRDefault="00BF5CB8" w:rsidP="001A5D4A">
            <w:pPr>
              <w:pStyle w:val="NotesTable-ItemPlain"/>
              <w:rPr>
                <w:b/>
              </w:rPr>
            </w:pPr>
            <w:r>
              <w:t>Expenses</w:t>
            </w:r>
          </w:p>
        </w:tc>
        <w:tc>
          <w:tcPr>
            <w:tcW w:w="406" w:type="pct"/>
            <w:tcBorders>
              <w:bottom w:val="single" w:sz="4" w:space="0" w:color="000000"/>
            </w:tcBorders>
          </w:tcPr>
          <w:p w14:paraId="038A1BCA" w14:textId="77777777" w:rsidR="00BF5CB8" w:rsidRDefault="00BF5CB8" w:rsidP="001A5D4A">
            <w:pPr>
              <w:pStyle w:val="NotesTable-CellBold"/>
            </w:pPr>
            <w:r>
              <w:t>–</w:t>
            </w:r>
          </w:p>
        </w:tc>
        <w:tc>
          <w:tcPr>
            <w:tcW w:w="406" w:type="pct"/>
            <w:tcBorders>
              <w:bottom w:val="single" w:sz="4" w:space="0" w:color="000000"/>
            </w:tcBorders>
          </w:tcPr>
          <w:p w14:paraId="038A1BCB" w14:textId="77777777" w:rsidR="00BF5CB8" w:rsidRDefault="00BF5CB8" w:rsidP="001A5D4A">
            <w:pPr>
              <w:pStyle w:val="StyleNotesTable-CellPlainBold"/>
            </w:pPr>
            <w:r>
              <w:t>–</w:t>
            </w:r>
          </w:p>
        </w:tc>
        <w:tc>
          <w:tcPr>
            <w:tcW w:w="406" w:type="pct"/>
            <w:tcBorders>
              <w:bottom w:val="single" w:sz="4" w:space="0" w:color="000000"/>
            </w:tcBorders>
          </w:tcPr>
          <w:p w14:paraId="038A1BCC" w14:textId="77777777" w:rsidR="00BF5CB8" w:rsidRDefault="00BF5CB8" w:rsidP="001A5D4A">
            <w:pPr>
              <w:pStyle w:val="NotesTable-CellBold"/>
            </w:pPr>
            <w:r>
              <w:t>–</w:t>
            </w:r>
          </w:p>
        </w:tc>
        <w:tc>
          <w:tcPr>
            <w:tcW w:w="406" w:type="pct"/>
            <w:tcBorders>
              <w:bottom w:val="single" w:sz="4" w:space="0" w:color="000000"/>
            </w:tcBorders>
          </w:tcPr>
          <w:p w14:paraId="038A1BCD" w14:textId="77777777" w:rsidR="00BF5CB8" w:rsidRDefault="00BF5CB8" w:rsidP="001A5D4A">
            <w:pPr>
              <w:pStyle w:val="StyleNotesTable-CellPlainBold"/>
            </w:pPr>
            <w:r>
              <w:t>–</w:t>
            </w:r>
          </w:p>
        </w:tc>
      </w:tr>
      <w:tr w:rsidR="00BF5CB8" w14:paraId="038A1BD5" w14:textId="77777777" w:rsidTr="00E21378">
        <w:trPr>
          <w:trHeight w:val="181"/>
        </w:trPr>
        <w:tc>
          <w:tcPr>
            <w:tcW w:w="810" w:type="pct"/>
          </w:tcPr>
          <w:p w14:paraId="038A1BCF" w14:textId="77777777" w:rsidR="00BF5CB8" w:rsidRDefault="00BF5CB8" w:rsidP="001A5D4A">
            <w:pPr>
              <w:pStyle w:val="Note-Refs"/>
              <w:rPr>
                <w:b/>
              </w:rPr>
            </w:pPr>
            <w:r>
              <w:t>AASB5.33b(i)</w:t>
            </w:r>
          </w:p>
        </w:tc>
        <w:tc>
          <w:tcPr>
            <w:tcW w:w="2567" w:type="pct"/>
            <w:vAlign w:val="bottom"/>
          </w:tcPr>
          <w:p w14:paraId="038A1BD0" w14:textId="50361BAF" w:rsidR="00BF5CB8" w:rsidRDefault="00962B1E" w:rsidP="001A5D4A">
            <w:pPr>
              <w:pStyle w:val="NotesTable-ItemPlain"/>
              <w:rPr>
                <w:b/>
              </w:rPr>
            </w:pPr>
            <w:r>
              <w:t xml:space="preserve">Net </w:t>
            </w:r>
            <w:r w:rsidR="00BF5CB8">
              <w:t>result before income tax</w:t>
            </w:r>
          </w:p>
        </w:tc>
        <w:tc>
          <w:tcPr>
            <w:tcW w:w="406" w:type="pct"/>
            <w:tcBorders>
              <w:top w:val="single" w:sz="4" w:space="0" w:color="000000"/>
            </w:tcBorders>
          </w:tcPr>
          <w:p w14:paraId="038A1BD1" w14:textId="77777777" w:rsidR="00BF5CB8" w:rsidRDefault="00BF5CB8" w:rsidP="001A5D4A">
            <w:pPr>
              <w:pStyle w:val="NotesTable-CellBold"/>
            </w:pPr>
            <w:r>
              <w:t>–</w:t>
            </w:r>
          </w:p>
        </w:tc>
        <w:tc>
          <w:tcPr>
            <w:tcW w:w="406" w:type="pct"/>
            <w:tcBorders>
              <w:top w:val="single" w:sz="4" w:space="0" w:color="000000"/>
            </w:tcBorders>
          </w:tcPr>
          <w:p w14:paraId="038A1BD2" w14:textId="77777777" w:rsidR="00BF5CB8" w:rsidRDefault="00BF5CB8" w:rsidP="001A5D4A">
            <w:pPr>
              <w:pStyle w:val="StyleNotesTable-CellPlainBold"/>
            </w:pPr>
            <w:r>
              <w:t>–</w:t>
            </w:r>
          </w:p>
        </w:tc>
        <w:tc>
          <w:tcPr>
            <w:tcW w:w="406" w:type="pct"/>
            <w:tcBorders>
              <w:top w:val="single" w:sz="4" w:space="0" w:color="000000"/>
            </w:tcBorders>
          </w:tcPr>
          <w:p w14:paraId="038A1BD3" w14:textId="77777777" w:rsidR="00BF5CB8" w:rsidRDefault="00BF5CB8" w:rsidP="001A5D4A">
            <w:pPr>
              <w:pStyle w:val="NotesTable-CellBold"/>
            </w:pPr>
            <w:r>
              <w:t>–</w:t>
            </w:r>
          </w:p>
        </w:tc>
        <w:tc>
          <w:tcPr>
            <w:tcW w:w="406" w:type="pct"/>
            <w:tcBorders>
              <w:top w:val="single" w:sz="4" w:space="0" w:color="000000"/>
            </w:tcBorders>
          </w:tcPr>
          <w:p w14:paraId="038A1BD4" w14:textId="77777777" w:rsidR="00BF5CB8" w:rsidRDefault="00BF5CB8" w:rsidP="001A5D4A">
            <w:pPr>
              <w:pStyle w:val="StyleNotesTable-CellPlainBold"/>
            </w:pPr>
            <w:r>
              <w:t>–</w:t>
            </w:r>
          </w:p>
        </w:tc>
      </w:tr>
      <w:tr w:rsidR="00BF5CB8" w14:paraId="038A1BDC" w14:textId="77777777" w:rsidTr="00E21378">
        <w:trPr>
          <w:trHeight w:val="181"/>
        </w:trPr>
        <w:tc>
          <w:tcPr>
            <w:tcW w:w="810" w:type="pct"/>
          </w:tcPr>
          <w:p w14:paraId="038A1BD6" w14:textId="77777777" w:rsidR="00BF5CB8" w:rsidRDefault="00BF5CB8" w:rsidP="001A5D4A">
            <w:pPr>
              <w:pStyle w:val="Note-Refs"/>
              <w:rPr>
                <w:b/>
              </w:rPr>
            </w:pPr>
            <w:r>
              <w:t>AASB112.81h(ii)</w:t>
            </w:r>
          </w:p>
        </w:tc>
        <w:tc>
          <w:tcPr>
            <w:tcW w:w="2567" w:type="pct"/>
            <w:vAlign w:val="bottom"/>
          </w:tcPr>
          <w:p w14:paraId="038A1BD7" w14:textId="77777777" w:rsidR="00BF5CB8" w:rsidRDefault="00BF5CB8" w:rsidP="001A5D4A">
            <w:pPr>
              <w:pStyle w:val="NotesTable-ItemPlain"/>
              <w:rPr>
                <w:b/>
              </w:rPr>
            </w:pPr>
            <w:r>
              <w:t>Income tax expense</w:t>
            </w:r>
          </w:p>
        </w:tc>
        <w:tc>
          <w:tcPr>
            <w:tcW w:w="406" w:type="pct"/>
            <w:tcBorders>
              <w:bottom w:val="single" w:sz="4" w:space="0" w:color="000000"/>
            </w:tcBorders>
          </w:tcPr>
          <w:p w14:paraId="038A1BD8" w14:textId="77777777" w:rsidR="00BF5CB8" w:rsidRDefault="00BF5CB8" w:rsidP="001A5D4A">
            <w:pPr>
              <w:pStyle w:val="NotesTable-CellBold"/>
            </w:pPr>
            <w:r>
              <w:t>–</w:t>
            </w:r>
          </w:p>
        </w:tc>
        <w:tc>
          <w:tcPr>
            <w:tcW w:w="406" w:type="pct"/>
            <w:tcBorders>
              <w:bottom w:val="single" w:sz="4" w:space="0" w:color="000000"/>
            </w:tcBorders>
          </w:tcPr>
          <w:p w14:paraId="038A1BD9" w14:textId="77777777" w:rsidR="00BF5CB8" w:rsidRDefault="00BF5CB8" w:rsidP="001A5D4A">
            <w:pPr>
              <w:pStyle w:val="NotesTable-CellPlain"/>
            </w:pPr>
            <w:r>
              <w:t>–</w:t>
            </w:r>
          </w:p>
        </w:tc>
        <w:tc>
          <w:tcPr>
            <w:tcW w:w="406" w:type="pct"/>
            <w:tcBorders>
              <w:bottom w:val="single" w:sz="4" w:space="0" w:color="000000"/>
            </w:tcBorders>
          </w:tcPr>
          <w:p w14:paraId="038A1BDA" w14:textId="77777777" w:rsidR="00BF5CB8" w:rsidRDefault="00BF5CB8" w:rsidP="001A5D4A">
            <w:pPr>
              <w:pStyle w:val="NotesTable-CellBold"/>
            </w:pPr>
            <w:r>
              <w:t>–</w:t>
            </w:r>
          </w:p>
        </w:tc>
        <w:tc>
          <w:tcPr>
            <w:tcW w:w="406" w:type="pct"/>
            <w:tcBorders>
              <w:bottom w:val="single" w:sz="4" w:space="0" w:color="000000"/>
            </w:tcBorders>
          </w:tcPr>
          <w:p w14:paraId="038A1BDB" w14:textId="77777777" w:rsidR="00BF5CB8" w:rsidRDefault="00BF5CB8" w:rsidP="001A5D4A">
            <w:pPr>
              <w:pStyle w:val="NotesTable-CellPlain"/>
            </w:pPr>
            <w:r>
              <w:t>–</w:t>
            </w:r>
          </w:p>
        </w:tc>
      </w:tr>
      <w:tr w:rsidR="00BF5CB8" w14:paraId="038A1BE3" w14:textId="77777777" w:rsidTr="00E21378">
        <w:trPr>
          <w:trHeight w:val="181"/>
        </w:trPr>
        <w:tc>
          <w:tcPr>
            <w:tcW w:w="810" w:type="pct"/>
          </w:tcPr>
          <w:p w14:paraId="038A1BDD" w14:textId="77777777" w:rsidR="00BF5CB8" w:rsidRDefault="00BF5CB8" w:rsidP="001A5D4A">
            <w:pPr>
              <w:pStyle w:val="Note-Refs"/>
            </w:pPr>
          </w:p>
        </w:tc>
        <w:tc>
          <w:tcPr>
            <w:tcW w:w="2567" w:type="pct"/>
            <w:vAlign w:val="bottom"/>
          </w:tcPr>
          <w:p w14:paraId="038A1BDE" w14:textId="46D0F5E5" w:rsidR="00BF5CB8" w:rsidRDefault="00962B1E" w:rsidP="001A5D4A">
            <w:pPr>
              <w:pStyle w:val="NotesTable-ItemPlain"/>
              <w:rPr>
                <w:b/>
              </w:rPr>
            </w:pPr>
            <w:r>
              <w:t xml:space="preserve">Net </w:t>
            </w:r>
            <w:r w:rsidR="00BF5CB8">
              <w:t>result after income tax of discontinued operations</w:t>
            </w:r>
          </w:p>
        </w:tc>
        <w:tc>
          <w:tcPr>
            <w:tcW w:w="406" w:type="pct"/>
            <w:tcBorders>
              <w:top w:val="single" w:sz="4" w:space="0" w:color="000000"/>
            </w:tcBorders>
          </w:tcPr>
          <w:p w14:paraId="038A1BDF" w14:textId="77777777" w:rsidR="00BF5CB8" w:rsidRDefault="00BF5CB8" w:rsidP="001A5D4A">
            <w:pPr>
              <w:pStyle w:val="NotesTable-CellBold"/>
            </w:pPr>
            <w:r>
              <w:t>–</w:t>
            </w:r>
          </w:p>
        </w:tc>
        <w:tc>
          <w:tcPr>
            <w:tcW w:w="406" w:type="pct"/>
            <w:tcBorders>
              <w:top w:val="single" w:sz="4" w:space="0" w:color="000000"/>
            </w:tcBorders>
          </w:tcPr>
          <w:p w14:paraId="038A1BE0" w14:textId="77777777" w:rsidR="00BF5CB8" w:rsidRDefault="00BF5CB8" w:rsidP="001A5D4A">
            <w:pPr>
              <w:pStyle w:val="NotesTable-CellPlain"/>
            </w:pPr>
            <w:r>
              <w:t>–</w:t>
            </w:r>
          </w:p>
        </w:tc>
        <w:tc>
          <w:tcPr>
            <w:tcW w:w="406" w:type="pct"/>
            <w:tcBorders>
              <w:top w:val="single" w:sz="4" w:space="0" w:color="000000"/>
            </w:tcBorders>
          </w:tcPr>
          <w:p w14:paraId="038A1BE1" w14:textId="77777777" w:rsidR="00BF5CB8" w:rsidRDefault="00BF5CB8" w:rsidP="001A5D4A">
            <w:pPr>
              <w:pStyle w:val="NotesTable-CellBold"/>
            </w:pPr>
            <w:r>
              <w:t>–</w:t>
            </w:r>
          </w:p>
        </w:tc>
        <w:tc>
          <w:tcPr>
            <w:tcW w:w="406" w:type="pct"/>
            <w:tcBorders>
              <w:top w:val="single" w:sz="4" w:space="0" w:color="000000"/>
            </w:tcBorders>
          </w:tcPr>
          <w:p w14:paraId="038A1BE2" w14:textId="77777777" w:rsidR="00BF5CB8" w:rsidRDefault="00BF5CB8" w:rsidP="001A5D4A">
            <w:pPr>
              <w:pStyle w:val="NotesTable-CellPlain"/>
            </w:pPr>
            <w:r>
              <w:t>–</w:t>
            </w:r>
          </w:p>
        </w:tc>
      </w:tr>
      <w:tr w:rsidR="00BF5CB8" w14:paraId="038A1BEA" w14:textId="77777777" w:rsidTr="00E21378">
        <w:trPr>
          <w:trHeight w:val="181"/>
        </w:trPr>
        <w:tc>
          <w:tcPr>
            <w:tcW w:w="810" w:type="pct"/>
          </w:tcPr>
          <w:p w14:paraId="038A1BE4" w14:textId="77777777" w:rsidR="00BF5CB8" w:rsidRDefault="00BF5CB8" w:rsidP="001A5D4A">
            <w:pPr>
              <w:pStyle w:val="Note-Refs"/>
            </w:pPr>
          </w:p>
        </w:tc>
        <w:tc>
          <w:tcPr>
            <w:tcW w:w="2567" w:type="pct"/>
            <w:vAlign w:val="bottom"/>
          </w:tcPr>
          <w:p w14:paraId="038A1BE5" w14:textId="77777777" w:rsidR="00BF5CB8" w:rsidRDefault="00BF5CB8" w:rsidP="001A5D4A">
            <w:pPr>
              <w:pStyle w:val="NotesTable-ItemPlain"/>
            </w:pPr>
          </w:p>
        </w:tc>
        <w:tc>
          <w:tcPr>
            <w:tcW w:w="406" w:type="pct"/>
          </w:tcPr>
          <w:p w14:paraId="038A1BE6" w14:textId="77777777" w:rsidR="00BF5CB8" w:rsidRDefault="00BF5CB8" w:rsidP="001A5D4A">
            <w:pPr>
              <w:pStyle w:val="NotesTable-CellBold"/>
            </w:pPr>
          </w:p>
        </w:tc>
        <w:tc>
          <w:tcPr>
            <w:tcW w:w="406" w:type="pct"/>
          </w:tcPr>
          <w:p w14:paraId="038A1BE7" w14:textId="77777777" w:rsidR="00BF5CB8" w:rsidRDefault="00BF5CB8" w:rsidP="001A5D4A">
            <w:pPr>
              <w:pStyle w:val="NotesTable-CellPlain"/>
            </w:pPr>
          </w:p>
        </w:tc>
        <w:tc>
          <w:tcPr>
            <w:tcW w:w="406" w:type="pct"/>
          </w:tcPr>
          <w:p w14:paraId="038A1BE8" w14:textId="77777777" w:rsidR="00BF5CB8" w:rsidRDefault="00BF5CB8" w:rsidP="001A5D4A">
            <w:pPr>
              <w:pStyle w:val="NotesTable-CellBold"/>
            </w:pPr>
          </w:p>
        </w:tc>
        <w:tc>
          <w:tcPr>
            <w:tcW w:w="406" w:type="pct"/>
          </w:tcPr>
          <w:p w14:paraId="038A1BE9" w14:textId="77777777" w:rsidR="00BF5CB8" w:rsidRDefault="00BF5CB8" w:rsidP="001A5D4A">
            <w:pPr>
              <w:pStyle w:val="NotesTable-CellPlain"/>
            </w:pPr>
          </w:p>
        </w:tc>
      </w:tr>
      <w:tr w:rsidR="00BF5CB8" w14:paraId="038A1BF1" w14:textId="77777777" w:rsidTr="00E21378">
        <w:trPr>
          <w:trHeight w:val="181"/>
        </w:trPr>
        <w:tc>
          <w:tcPr>
            <w:tcW w:w="810" w:type="pct"/>
          </w:tcPr>
          <w:p w14:paraId="038A1BEB" w14:textId="77777777" w:rsidR="00BF5CB8" w:rsidRDefault="00BF5CB8" w:rsidP="001A5D4A">
            <w:pPr>
              <w:pStyle w:val="Note-Refs"/>
              <w:rPr>
                <w:b/>
              </w:rPr>
            </w:pPr>
            <w:r>
              <w:t>AASB5.33b(iii)</w:t>
            </w:r>
          </w:p>
        </w:tc>
        <w:tc>
          <w:tcPr>
            <w:tcW w:w="2567" w:type="pct"/>
            <w:vAlign w:val="bottom"/>
          </w:tcPr>
          <w:p w14:paraId="038A1BEC" w14:textId="77777777" w:rsidR="00BF5CB8" w:rsidRDefault="00BF5CB8" w:rsidP="001A5D4A">
            <w:pPr>
              <w:pStyle w:val="NotesTable-ItemPlain"/>
              <w:rPr>
                <w:b/>
              </w:rPr>
            </w:pPr>
            <w:r>
              <w:t>Gain on sale of the division before income tax</w:t>
            </w:r>
          </w:p>
        </w:tc>
        <w:tc>
          <w:tcPr>
            <w:tcW w:w="406" w:type="pct"/>
          </w:tcPr>
          <w:p w14:paraId="038A1BED" w14:textId="77777777" w:rsidR="00BF5CB8" w:rsidRDefault="00BF5CB8" w:rsidP="001A5D4A">
            <w:pPr>
              <w:pStyle w:val="NotesTable-CellBold"/>
            </w:pPr>
            <w:r>
              <w:t>–</w:t>
            </w:r>
          </w:p>
        </w:tc>
        <w:tc>
          <w:tcPr>
            <w:tcW w:w="406" w:type="pct"/>
          </w:tcPr>
          <w:p w14:paraId="038A1BEE" w14:textId="77777777" w:rsidR="00BF5CB8" w:rsidRDefault="00BF5CB8" w:rsidP="001A5D4A">
            <w:pPr>
              <w:pStyle w:val="NotesTable-CellPlain"/>
            </w:pPr>
            <w:r>
              <w:t>–</w:t>
            </w:r>
          </w:p>
        </w:tc>
        <w:tc>
          <w:tcPr>
            <w:tcW w:w="406" w:type="pct"/>
          </w:tcPr>
          <w:p w14:paraId="038A1BEF" w14:textId="77777777" w:rsidR="00BF5CB8" w:rsidRDefault="00BF5CB8" w:rsidP="001A5D4A">
            <w:pPr>
              <w:pStyle w:val="NotesTable-CellBold"/>
            </w:pPr>
            <w:r>
              <w:t>–</w:t>
            </w:r>
          </w:p>
        </w:tc>
        <w:tc>
          <w:tcPr>
            <w:tcW w:w="406" w:type="pct"/>
          </w:tcPr>
          <w:p w14:paraId="038A1BF0" w14:textId="77777777" w:rsidR="00BF5CB8" w:rsidRDefault="00BF5CB8" w:rsidP="001A5D4A">
            <w:pPr>
              <w:pStyle w:val="NotesTable-CellPlain"/>
            </w:pPr>
            <w:r>
              <w:t>–</w:t>
            </w:r>
          </w:p>
        </w:tc>
      </w:tr>
      <w:tr w:rsidR="00BF5CB8" w14:paraId="038A1BF8" w14:textId="77777777" w:rsidTr="00E21378">
        <w:trPr>
          <w:trHeight w:val="181"/>
        </w:trPr>
        <w:tc>
          <w:tcPr>
            <w:tcW w:w="810" w:type="pct"/>
          </w:tcPr>
          <w:p w14:paraId="038A1BF2" w14:textId="5303648B" w:rsidR="00BF5CB8" w:rsidRDefault="00BF5CB8" w:rsidP="001A5D4A">
            <w:pPr>
              <w:pStyle w:val="Note-Refs"/>
              <w:rPr>
                <w:b/>
              </w:rPr>
            </w:pPr>
            <w:r>
              <w:rPr>
                <w:szCs w:val="14"/>
                <w:lang w:val="pt-BR"/>
              </w:rPr>
              <w:t>AASB112.81h(i)</w:t>
            </w:r>
            <w:r w:rsidR="001A35D6">
              <w:t xml:space="preserve">  </w:t>
            </w:r>
            <w:r>
              <w:t xml:space="preserve">                      </w:t>
            </w:r>
          </w:p>
        </w:tc>
        <w:tc>
          <w:tcPr>
            <w:tcW w:w="2567" w:type="pct"/>
            <w:vAlign w:val="bottom"/>
          </w:tcPr>
          <w:p w14:paraId="038A1BF3" w14:textId="77777777" w:rsidR="00BF5CB8" w:rsidRDefault="00BF5CB8" w:rsidP="001A5D4A">
            <w:pPr>
              <w:pStyle w:val="NotesTable-ItemPlain"/>
              <w:rPr>
                <w:b/>
              </w:rPr>
            </w:pPr>
            <w:r>
              <w:t>Income tax expense</w:t>
            </w:r>
          </w:p>
        </w:tc>
        <w:tc>
          <w:tcPr>
            <w:tcW w:w="406" w:type="pct"/>
            <w:tcBorders>
              <w:bottom w:val="single" w:sz="4" w:space="0" w:color="000000"/>
            </w:tcBorders>
          </w:tcPr>
          <w:p w14:paraId="038A1BF4" w14:textId="77777777" w:rsidR="00BF5CB8" w:rsidRDefault="00BF5CB8" w:rsidP="001A5D4A">
            <w:pPr>
              <w:pStyle w:val="NotesTable-CellBold"/>
            </w:pPr>
            <w:r>
              <w:t>–</w:t>
            </w:r>
          </w:p>
        </w:tc>
        <w:tc>
          <w:tcPr>
            <w:tcW w:w="406" w:type="pct"/>
            <w:tcBorders>
              <w:bottom w:val="single" w:sz="4" w:space="0" w:color="000000"/>
            </w:tcBorders>
          </w:tcPr>
          <w:p w14:paraId="038A1BF5" w14:textId="77777777" w:rsidR="00BF5CB8" w:rsidRDefault="00BF5CB8" w:rsidP="001A5D4A">
            <w:pPr>
              <w:pStyle w:val="NotesTable-CellPlain"/>
            </w:pPr>
            <w:r>
              <w:t>–</w:t>
            </w:r>
          </w:p>
        </w:tc>
        <w:tc>
          <w:tcPr>
            <w:tcW w:w="406" w:type="pct"/>
            <w:tcBorders>
              <w:bottom w:val="single" w:sz="4" w:space="0" w:color="000000"/>
            </w:tcBorders>
          </w:tcPr>
          <w:p w14:paraId="038A1BF6" w14:textId="77777777" w:rsidR="00BF5CB8" w:rsidRDefault="00BF5CB8" w:rsidP="001A5D4A">
            <w:pPr>
              <w:pStyle w:val="NotesTable-CellBold"/>
            </w:pPr>
            <w:r>
              <w:t>–</w:t>
            </w:r>
          </w:p>
        </w:tc>
        <w:tc>
          <w:tcPr>
            <w:tcW w:w="406" w:type="pct"/>
            <w:tcBorders>
              <w:bottom w:val="single" w:sz="4" w:space="0" w:color="000000"/>
            </w:tcBorders>
          </w:tcPr>
          <w:p w14:paraId="038A1BF7" w14:textId="77777777" w:rsidR="00BF5CB8" w:rsidRDefault="00BF5CB8" w:rsidP="001A5D4A">
            <w:pPr>
              <w:pStyle w:val="NotesTable-CellPlain"/>
            </w:pPr>
            <w:r>
              <w:t>–</w:t>
            </w:r>
          </w:p>
        </w:tc>
      </w:tr>
      <w:tr w:rsidR="00BF5CB8" w14:paraId="038A1BFF" w14:textId="77777777" w:rsidTr="00E21378">
        <w:trPr>
          <w:trHeight w:val="181"/>
        </w:trPr>
        <w:tc>
          <w:tcPr>
            <w:tcW w:w="810" w:type="pct"/>
          </w:tcPr>
          <w:p w14:paraId="038A1BF9" w14:textId="77777777" w:rsidR="00BF5CB8" w:rsidRDefault="00BF5CB8" w:rsidP="001A5D4A">
            <w:pPr>
              <w:pStyle w:val="Note-Refs"/>
            </w:pPr>
          </w:p>
        </w:tc>
        <w:tc>
          <w:tcPr>
            <w:tcW w:w="2567" w:type="pct"/>
            <w:vAlign w:val="bottom"/>
          </w:tcPr>
          <w:p w14:paraId="038A1BFA" w14:textId="77777777" w:rsidR="00BF5CB8" w:rsidRDefault="00BF5CB8" w:rsidP="001A5D4A">
            <w:pPr>
              <w:pStyle w:val="NotesTable-ItemPlain"/>
              <w:rPr>
                <w:b/>
              </w:rPr>
            </w:pPr>
            <w:r>
              <w:t>Gain on sale of the division after income tax</w:t>
            </w:r>
          </w:p>
        </w:tc>
        <w:tc>
          <w:tcPr>
            <w:tcW w:w="406" w:type="pct"/>
            <w:tcBorders>
              <w:top w:val="single" w:sz="4" w:space="0" w:color="000000"/>
            </w:tcBorders>
          </w:tcPr>
          <w:p w14:paraId="038A1BFB" w14:textId="77777777" w:rsidR="00BF5CB8" w:rsidRDefault="00BF5CB8" w:rsidP="001A5D4A">
            <w:pPr>
              <w:pStyle w:val="NotesTable-CellBold"/>
            </w:pPr>
            <w:r>
              <w:t>–</w:t>
            </w:r>
          </w:p>
        </w:tc>
        <w:tc>
          <w:tcPr>
            <w:tcW w:w="406" w:type="pct"/>
            <w:tcBorders>
              <w:top w:val="single" w:sz="4" w:space="0" w:color="000000"/>
            </w:tcBorders>
          </w:tcPr>
          <w:p w14:paraId="038A1BFC" w14:textId="77777777" w:rsidR="00BF5CB8" w:rsidRDefault="00BF5CB8" w:rsidP="001A5D4A">
            <w:pPr>
              <w:pStyle w:val="NotesTable-CellPlain"/>
            </w:pPr>
            <w:r>
              <w:t>–</w:t>
            </w:r>
          </w:p>
        </w:tc>
        <w:tc>
          <w:tcPr>
            <w:tcW w:w="406" w:type="pct"/>
            <w:tcBorders>
              <w:top w:val="single" w:sz="4" w:space="0" w:color="000000"/>
            </w:tcBorders>
          </w:tcPr>
          <w:p w14:paraId="038A1BFD" w14:textId="77777777" w:rsidR="00BF5CB8" w:rsidRDefault="00BF5CB8" w:rsidP="001A5D4A">
            <w:pPr>
              <w:pStyle w:val="NotesTable-CellBold"/>
            </w:pPr>
            <w:r>
              <w:t>–</w:t>
            </w:r>
          </w:p>
        </w:tc>
        <w:tc>
          <w:tcPr>
            <w:tcW w:w="406" w:type="pct"/>
            <w:tcBorders>
              <w:top w:val="single" w:sz="4" w:space="0" w:color="000000"/>
            </w:tcBorders>
          </w:tcPr>
          <w:p w14:paraId="038A1BFE" w14:textId="77777777" w:rsidR="00BF5CB8" w:rsidRDefault="00BF5CB8" w:rsidP="001A5D4A">
            <w:pPr>
              <w:pStyle w:val="NotesTable-CellPlain"/>
            </w:pPr>
            <w:r>
              <w:t>–</w:t>
            </w:r>
          </w:p>
        </w:tc>
      </w:tr>
      <w:tr w:rsidR="00BF5CB8" w14:paraId="038A1C06" w14:textId="77777777" w:rsidTr="00E21378">
        <w:trPr>
          <w:trHeight w:val="181"/>
        </w:trPr>
        <w:tc>
          <w:tcPr>
            <w:tcW w:w="810" w:type="pct"/>
          </w:tcPr>
          <w:p w14:paraId="038A1C00" w14:textId="77777777" w:rsidR="00BF5CB8" w:rsidRDefault="00BF5CB8" w:rsidP="001A5D4A">
            <w:pPr>
              <w:pStyle w:val="Note-Refs"/>
            </w:pPr>
          </w:p>
        </w:tc>
        <w:tc>
          <w:tcPr>
            <w:tcW w:w="2567" w:type="pct"/>
            <w:vAlign w:val="bottom"/>
          </w:tcPr>
          <w:p w14:paraId="038A1C01" w14:textId="77777777" w:rsidR="00BF5CB8" w:rsidRDefault="00BF5CB8" w:rsidP="001A5D4A">
            <w:pPr>
              <w:pStyle w:val="NotesTable-ItemPlain"/>
            </w:pPr>
          </w:p>
        </w:tc>
        <w:tc>
          <w:tcPr>
            <w:tcW w:w="406" w:type="pct"/>
            <w:tcBorders>
              <w:bottom w:val="single" w:sz="4" w:space="0" w:color="auto"/>
            </w:tcBorders>
          </w:tcPr>
          <w:p w14:paraId="038A1C02" w14:textId="77777777" w:rsidR="00BF5CB8" w:rsidRDefault="00BF5CB8" w:rsidP="001A5D4A">
            <w:pPr>
              <w:pStyle w:val="NotesTable-CellBold"/>
            </w:pPr>
          </w:p>
        </w:tc>
        <w:tc>
          <w:tcPr>
            <w:tcW w:w="406" w:type="pct"/>
            <w:tcBorders>
              <w:bottom w:val="single" w:sz="4" w:space="0" w:color="auto"/>
            </w:tcBorders>
          </w:tcPr>
          <w:p w14:paraId="038A1C03" w14:textId="77777777" w:rsidR="00BF5CB8" w:rsidRDefault="00BF5CB8" w:rsidP="001A5D4A">
            <w:pPr>
              <w:pStyle w:val="NotesTable-CellPlain"/>
            </w:pPr>
          </w:p>
        </w:tc>
        <w:tc>
          <w:tcPr>
            <w:tcW w:w="406" w:type="pct"/>
            <w:tcBorders>
              <w:bottom w:val="single" w:sz="4" w:space="0" w:color="auto"/>
            </w:tcBorders>
          </w:tcPr>
          <w:p w14:paraId="038A1C04" w14:textId="77777777" w:rsidR="00BF5CB8" w:rsidRDefault="00BF5CB8" w:rsidP="001A5D4A">
            <w:pPr>
              <w:pStyle w:val="NotesTable-CellBold"/>
            </w:pPr>
          </w:p>
        </w:tc>
        <w:tc>
          <w:tcPr>
            <w:tcW w:w="406" w:type="pct"/>
            <w:tcBorders>
              <w:bottom w:val="single" w:sz="4" w:space="0" w:color="auto"/>
            </w:tcBorders>
          </w:tcPr>
          <w:p w14:paraId="038A1C05" w14:textId="77777777" w:rsidR="00BF5CB8" w:rsidRDefault="00BF5CB8" w:rsidP="001A5D4A">
            <w:pPr>
              <w:pStyle w:val="NotesTable-CellPlain"/>
            </w:pPr>
          </w:p>
        </w:tc>
      </w:tr>
      <w:tr w:rsidR="00BF5CB8" w14:paraId="038A1C0D" w14:textId="77777777" w:rsidTr="00E21378">
        <w:trPr>
          <w:trHeight w:val="181"/>
        </w:trPr>
        <w:tc>
          <w:tcPr>
            <w:tcW w:w="810" w:type="pct"/>
          </w:tcPr>
          <w:p w14:paraId="038A1C07" w14:textId="77777777" w:rsidR="00BF5CB8" w:rsidRDefault="00BF5CB8" w:rsidP="001A5D4A">
            <w:pPr>
              <w:pStyle w:val="Note-Refs"/>
            </w:pPr>
          </w:p>
        </w:tc>
        <w:tc>
          <w:tcPr>
            <w:tcW w:w="2567" w:type="pct"/>
            <w:vAlign w:val="bottom"/>
          </w:tcPr>
          <w:p w14:paraId="038A1C08" w14:textId="77777777" w:rsidR="00BF5CB8" w:rsidRDefault="00BF5CB8" w:rsidP="001A5D4A">
            <w:pPr>
              <w:pStyle w:val="NotesTable-ItemPlain"/>
              <w:rPr>
                <w:b/>
                <w:bCs/>
              </w:rPr>
            </w:pPr>
            <w:r>
              <w:t>Profit/(</w:t>
            </w:r>
            <w:r w:rsidR="00DE5788">
              <w:t>l</w:t>
            </w:r>
            <w:r>
              <w:t>oss) from discontinued operations</w:t>
            </w:r>
          </w:p>
        </w:tc>
        <w:tc>
          <w:tcPr>
            <w:tcW w:w="406" w:type="pct"/>
            <w:tcBorders>
              <w:top w:val="single" w:sz="4" w:space="0" w:color="auto"/>
            </w:tcBorders>
          </w:tcPr>
          <w:p w14:paraId="038A1C09" w14:textId="77777777" w:rsidR="00BF5CB8" w:rsidRDefault="00BF5CB8" w:rsidP="001A5D4A">
            <w:pPr>
              <w:pStyle w:val="NotesTable-CellBold"/>
            </w:pPr>
            <w:r>
              <w:t>–</w:t>
            </w:r>
          </w:p>
        </w:tc>
        <w:tc>
          <w:tcPr>
            <w:tcW w:w="406" w:type="pct"/>
            <w:tcBorders>
              <w:top w:val="single" w:sz="4" w:space="0" w:color="auto"/>
            </w:tcBorders>
          </w:tcPr>
          <w:p w14:paraId="038A1C0A" w14:textId="77777777" w:rsidR="00BF5CB8" w:rsidRDefault="00BF5CB8" w:rsidP="001A5D4A">
            <w:pPr>
              <w:pStyle w:val="NotesTable-CellPlain"/>
            </w:pPr>
            <w:r>
              <w:t>–</w:t>
            </w:r>
          </w:p>
        </w:tc>
        <w:tc>
          <w:tcPr>
            <w:tcW w:w="406" w:type="pct"/>
            <w:tcBorders>
              <w:top w:val="single" w:sz="4" w:space="0" w:color="auto"/>
            </w:tcBorders>
          </w:tcPr>
          <w:p w14:paraId="038A1C0B" w14:textId="77777777" w:rsidR="00BF5CB8" w:rsidRDefault="00BF5CB8" w:rsidP="001A5D4A">
            <w:pPr>
              <w:pStyle w:val="NotesTable-CellBold"/>
            </w:pPr>
            <w:r>
              <w:t>–</w:t>
            </w:r>
          </w:p>
        </w:tc>
        <w:tc>
          <w:tcPr>
            <w:tcW w:w="406" w:type="pct"/>
            <w:tcBorders>
              <w:top w:val="single" w:sz="4" w:space="0" w:color="auto"/>
            </w:tcBorders>
          </w:tcPr>
          <w:p w14:paraId="038A1C0C" w14:textId="77777777" w:rsidR="00BF5CB8" w:rsidRDefault="00BF5CB8" w:rsidP="001A5D4A">
            <w:pPr>
              <w:pStyle w:val="NotesTable-CellPlain"/>
            </w:pPr>
            <w:r>
              <w:t>–</w:t>
            </w:r>
          </w:p>
        </w:tc>
      </w:tr>
      <w:tr w:rsidR="00BF5CB8" w14:paraId="038A1C14" w14:textId="77777777" w:rsidTr="00E21378">
        <w:trPr>
          <w:trHeight w:val="181"/>
        </w:trPr>
        <w:tc>
          <w:tcPr>
            <w:tcW w:w="810" w:type="pct"/>
          </w:tcPr>
          <w:p w14:paraId="038A1C0E" w14:textId="77777777" w:rsidR="00BF5CB8" w:rsidRDefault="00BF5CB8" w:rsidP="001A5D4A">
            <w:pPr>
              <w:pStyle w:val="Note-Refs"/>
            </w:pPr>
          </w:p>
        </w:tc>
        <w:tc>
          <w:tcPr>
            <w:tcW w:w="2567" w:type="pct"/>
            <w:vAlign w:val="bottom"/>
          </w:tcPr>
          <w:p w14:paraId="038A1C0F" w14:textId="77777777" w:rsidR="00BF5CB8" w:rsidRDefault="00BF5CB8" w:rsidP="001A5D4A">
            <w:pPr>
              <w:pStyle w:val="NotesTable-ItemPlain"/>
              <w:rPr>
                <w:vertAlign w:val="superscript"/>
              </w:rPr>
            </w:pPr>
          </w:p>
        </w:tc>
        <w:tc>
          <w:tcPr>
            <w:tcW w:w="406" w:type="pct"/>
          </w:tcPr>
          <w:p w14:paraId="038A1C10" w14:textId="77777777" w:rsidR="00BF5CB8" w:rsidRDefault="00BF5CB8" w:rsidP="001A5D4A">
            <w:pPr>
              <w:pStyle w:val="NotesTable-CellBold"/>
            </w:pPr>
          </w:p>
        </w:tc>
        <w:tc>
          <w:tcPr>
            <w:tcW w:w="406" w:type="pct"/>
          </w:tcPr>
          <w:p w14:paraId="038A1C11" w14:textId="77777777" w:rsidR="00BF5CB8" w:rsidRDefault="00BF5CB8" w:rsidP="001A5D4A">
            <w:pPr>
              <w:pStyle w:val="NotesTable-CellPlain"/>
            </w:pPr>
          </w:p>
        </w:tc>
        <w:tc>
          <w:tcPr>
            <w:tcW w:w="406" w:type="pct"/>
          </w:tcPr>
          <w:p w14:paraId="038A1C12" w14:textId="77777777" w:rsidR="00BF5CB8" w:rsidRDefault="00BF5CB8" w:rsidP="001A5D4A">
            <w:pPr>
              <w:pStyle w:val="NotesTable-CellBold"/>
            </w:pPr>
          </w:p>
        </w:tc>
        <w:tc>
          <w:tcPr>
            <w:tcW w:w="406" w:type="pct"/>
          </w:tcPr>
          <w:p w14:paraId="038A1C13" w14:textId="77777777" w:rsidR="00BF5CB8" w:rsidRDefault="00BF5CB8" w:rsidP="001A5D4A">
            <w:pPr>
              <w:pStyle w:val="NotesTable-CellPlain"/>
            </w:pPr>
          </w:p>
        </w:tc>
      </w:tr>
      <w:tr w:rsidR="00BF5CB8" w14:paraId="038A1C1B" w14:textId="77777777" w:rsidTr="00E21378">
        <w:trPr>
          <w:trHeight w:val="181"/>
        </w:trPr>
        <w:tc>
          <w:tcPr>
            <w:tcW w:w="810" w:type="pct"/>
          </w:tcPr>
          <w:p w14:paraId="038A1C15" w14:textId="77777777" w:rsidR="00BF5CB8" w:rsidRDefault="00BF5CB8" w:rsidP="001A5D4A">
            <w:pPr>
              <w:pStyle w:val="Note-Refs"/>
              <w:rPr>
                <w:b/>
              </w:rPr>
            </w:pPr>
            <w:r>
              <w:t>AASB5.33c</w:t>
            </w:r>
          </w:p>
        </w:tc>
        <w:tc>
          <w:tcPr>
            <w:tcW w:w="2567" w:type="pct"/>
            <w:vAlign w:val="bottom"/>
          </w:tcPr>
          <w:p w14:paraId="038A1C16" w14:textId="77777777" w:rsidR="00BF5CB8" w:rsidRDefault="00BF5CB8" w:rsidP="001A5D4A">
            <w:pPr>
              <w:pStyle w:val="NotesTable-ItemPlain"/>
              <w:rPr>
                <w:b/>
              </w:rPr>
            </w:pPr>
            <w:r>
              <w:t>Net cash inflow from ordinary activities</w:t>
            </w:r>
          </w:p>
        </w:tc>
        <w:tc>
          <w:tcPr>
            <w:tcW w:w="406" w:type="pct"/>
          </w:tcPr>
          <w:p w14:paraId="038A1C17" w14:textId="77777777" w:rsidR="00BF5CB8" w:rsidRDefault="00BF5CB8" w:rsidP="001A5D4A">
            <w:pPr>
              <w:pStyle w:val="NotesTable-CellBold"/>
            </w:pPr>
            <w:r>
              <w:t>–</w:t>
            </w:r>
          </w:p>
        </w:tc>
        <w:tc>
          <w:tcPr>
            <w:tcW w:w="406" w:type="pct"/>
          </w:tcPr>
          <w:p w14:paraId="038A1C18" w14:textId="77777777" w:rsidR="00BF5CB8" w:rsidRDefault="00BF5CB8" w:rsidP="001A5D4A">
            <w:pPr>
              <w:pStyle w:val="NotesTable-CellPlain"/>
            </w:pPr>
            <w:r>
              <w:t>–</w:t>
            </w:r>
          </w:p>
        </w:tc>
        <w:tc>
          <w:tcPr>
            <w:tcW w:w="406" w:type="pct"/>
          </w:tcPr>
          <w:p w14:paraId="038A1C19" w14:textId="77777777" w:rsidR="00BF5CB8" w:rsidRDefault="00BF5CB8" w:rsidP="001A5D4A">
            <w:pPr>
              <w:pStyle w:val="NotesTable-CellBold"/>
            </w:pPr>
            <w:r>
              <w:t>–</w:t>
            </w:r>
          </w:p>
        </w:tc>
        <w:tc>
          <w:tcPr>
            <w:tcW w:w="406" w:type="pct"/>
          </w:tcPr>
          <w:p w14:paraId="038A1C1A" w14:textId="77777777" w:rsidR="00BF5CB8" w:rsidRDefault="00BF5CB8" w:rsidP="001A5D4A">
            <w:pPr>
              <w:pStyle w:val="NotesTable-CellPlain"/>
            </w:pPr>
            <w:r>
              <w:t>–</w:t>
            </w:r>
          </w:p>
        </w:tc>
      </w:tr>
      <w:tr w:rsidR="00BF5CB8" w14:paraId="038A1C22" w14:textId="77777777" w:rsidTr="00E21378">
        <w:trPr>
          <w:trHeight w:val="181"/>
        </w:trPr>
        <w:tc>
          <w:tcPr>
            <w:tcW w:w="810" w:type="pct"/>
          </w:tcPr>
          <w:p w14:paraId="038A1C1C" w14:textId="77777777" w:rsidR="00BF5CB8" w:rsidRDefault="00BF5CB8" w:rsidP="001A5D4A">
            <w:pPr>
              <w:pStyle w:val="Note-Refs"/>
              <w:rPr>
                <w:b/>
              </w:rPr>
            </w:pPr>
            <w:r>
              <w:t>AASB5.33c</w:t>
            </w:r>
          </w:p>
        </w:tc>
        <w:tc>
          <w:tcPr>
            <w:tcW w:w="2567" w:type="pct"/>
            <w:vAlign w:val="bottom"/>
          </w:tcPr>
          <w:p w14:paraId="038A1C1D" w14:textId="77777777" w:rsidR="00BF5CB8" w:rsidRDefault="00BF5CB8" w:rsidP="001A5D4A">
            <w:pPr>
              <w:pStyle w:val="NotesTable-ItemPlain"/>
              <w:rPr>
                <w:b/>
              </w:rPr>
            </w:pPr>
            <w:r>
              <w:t>Net cash / (outflow) from investing activities</w:t>
            </w:r>
          </w:p>
        </w:tc>
        <w:tc>
          <w:tcPr>
            <w:tcW w:w="406" w:type="pct"/>
          </w:tcPr>
          <w:p w14:paraId="038A1C1E" w14:textId="77777777" w:rsidR="00BF5CB8" w:rsidRDefault="00BF5CB8" w:rsidP="001A5D4A">
            <w:pPr>
              <w:pStyle w:val="NotesTable-CellBold"/>
            </w:pPr>
            <w:r>
              <w:t>–</w:t>
            </w:r>
          </w:p>
        </w:tc>
        <w:tc>
          <w:tcPr>
            <w:tcW w:w="406" w:type="pct"/>
          </w:tcPr>
          <w:p w14:paraId="038A1C1F" w14:textId="77777777" w:rsidR="00BF5CB8" w:rsidRDefault="00BF5CB8" w:rsidP="001A5D4A">
            <w:pPr>
              <w:pStyle w:val="NotesTable-CellPlain"/>
            </w:pPr>
            <w:r>
              <w:t>–</w:t>
            </w:r>
          </w:p>
        </w:tc>
        <w:tc>
          <w:tcPr>
            <w:tcW w:w="406" w:type="pct"/>
          </w:tcPr>
          <w:p w14:paraId="038A1C20" w14:textId="77777777" w:rsidR="00BF5CB8" w:rsidRDefault="00BF5CB8" w:rsidP="001A5D4A">
            <w:pPr>
              <w:pStyle w:val="NotesTable-CellBold"/>
            </w:pPr>
            <w:r>
              <w:t>–</w:t>
            </w:r>
          </w:p>
        </w:tc>
        <w:tc>
          <w:tcPr>
            <w:tcW w:w="406" w:type="pct"/>
          </w:tcPr>
          <w:p w14:paraId="038A1C21" w14:textId="77777777" w:rsidR="00BF5CB8" w:rsidRDefault="00BF5CB8" w:rsidP="001A5D4A">
            <w:pPr>
              <w:pStyle w:val="NotesTable-CellPlain"/>
            </w:pPr>
            <w:r>
              <w:t>–</w:t>
            </w:r>
          </w:p>
        </w:tc>
      </w:tr>
      <w:tr w:rsidR="00BF5CB8" w14:paraId="038A1C29" w14:textId="77777777" w:rsidTr="00E21378">
        <w:trPr>
          <w:trHeight w:val="181"/>
        </w:trPr>
        <w:tc>
          <w:tcPr>
            <w:tcW w:w="810" w:type="pct"/>
          </w:tcPr>
          <w:p w14:paraId="038A1C23" w14:textId="77777777" w:rsidR="00BF5CB8" w:rsidRDefault="00BF5CB8" w:rsidP="001A5D4A">
            <w:pPr>
              <w:pStyle w:val="Note-Refs"/>
              <w:rPr>
                <w:b/>
              </w:rPr>
            </w:pPr>
            <w:r>
              <w:t>AASB5.33c</w:t>
            </w:r>
          </w:p>
        </w:tc>
        <w:tc>
          <w:tcPr>
            <w:tcW w:w="2567" w:type="pct"/>
            <w:vAlign w:val="bottom"/>
          </w:tcPr>
          <w:p w14:paraId="038A1C24" w14:textId="77777777" w:rsidR="00BF5CB8" w:rsidRDefault="00BF5CB8" w:rsidP="001A5D4A">
            <w:pPr>
              <w:pStyle w:val="NotesTable-ItemPlain"/>
              <w:rPr>
                <w:b/>
              </w:rPr>
            </w:pPr>
            <w:r>
              <w:t>Net cash / (outflow) from financing activities</w:t>
            </w:r>
          </w:p>
        </w:tc>
        <w:tc>
          <w:tcPr>
            <w:tcW w:w="406" w:type="pct"/>
            <w:tcBorders>
              <w:bottom w:val="single" w:sz="4" w:space="0" w:color="auto"/>
            </w:tcBorders>
          </w:tcPr>
          <w:p w14:paraId="038A1C25" w14:textId="77777777" w:rsidR="00BF5CB8" w:rsidRDefault="00BF5CB8" w:rsidP="001A5D4A">
            <w:pPr>
              <w:pStyle w:val="NotesTable-CellBold"/>
            </w:pPr>
            <w:r>
              <w:t>–</w:t>
            </w:r>
          </w:p>
        </w:tc>
        <w:tc>
          <w:tcPr>
            <w:tcW w:w="406" w:type="pct"/>
            <w:tcBorders>
              <w:bottom w:val="single" w:sz="4" w:space="0" w:color="auto"/>
            </w:tcBorders>
          </w:tcPr>
          <w:p w14:paraId="038A1C26" w14:textId="77777777" w:rsidR="00BF5CB8" w:rsidRDefault="00BF5CB8" w:rsidP="001A5D4A">
            <w:pPr>
              <w:pStyle w:val="NotesTable-CellPlain"/>
            </w:pPr>
            <w:r>
              <w:t>–</w:t>
            </w:r>
          </w:p>
        </w:tc>
        <w:tc>
          <w:tcPr>
            <w:tcW w:w="406" w:type="pct"/>
            <w:tcBorders>
              <w:bottom w:val="single" w:sz="4" w:space="0" w:color="auto"/>
            </w:tcBorders>
          </w:tcPr>
          <w:p w14:paraId="038A1C27" w14:textId="77777777" w:rsidR="00BF5CB8" w:rsidRDefault="00BF5CB8" w:rsidP="001A5D4A">
            <w:pPr>
              <w:pStyle w:val="NotesTable-CellBold"/>
            </w:pPr>
            <w:r>
              <w:t>–</w:t>
            </w:r>
          </w:p>
        </w:tc>
        <w:tc>
          <w:tcPr>
            <w:tcW w:w="406" w:type="pct"/>
            <w:tcBorders>
              <w:bottom w:val="single" w:sz="4" w:space="0" w:color="auto"/>
            </w:tcBorders>
          </w:tcPr>
          <w:p w14:paraId="038A1C28" w14:textId="77777777" w:rsidR="00BF5CB8" w:rsidRDefault="00BF5CB8" w:rsidP="001A5D4A">
            <w:pPr>
              <w:pStyle w:val="NotesTable-CellPlain"/>
            </w:pPr>
            <w:r>
              <w:t>–</w:t>
            </w:r>
          </w:p>
        </w:tc>
      </w:tr>
      <w:tr w:rsidR="00BF5CB8" w14:paraId="038A1C30" w14:textId="77777777" w:rsidTr="00E21378">
        <w:trPr>
          <w:trHeight w:val="181"/>
        </w:trPr>
        <w:tc>
          <w:tcPr>
            <w:tcW w:w="810" w:type="pct"/>
          </w:tcPr>
          <w:p w14:paraId="038A1C2A" w14:textId="77777777" w:rsidR="00BF5CB8" w:rsidRDefault="00BF5CB8" w:rsidP="001A5D4A">
            <w:pPr>
              <w:pStyle w:val="Note-Refs"/>
              <w:rPr>
                <w:shd w:val="clear" w:color="auto" w:fill="FF0000"/>
              </w:rPr>
            </w:pPr>
          </w:p>
        </w:tc>
        <w:tc>
          <w:tcPr>
            <w:tcW w:w="2567" w:type="pct"/>
            <w:vAlign w:val="bottom"/>
          </w:tcPr>
          <w:p w14:paraId="038A1C2B" w14:textId="77777777" w:rsidR="00BF5CB8" w:rsidRDefault="00BF5CB8" w:rsidP="001A5D4A">
            <w:pPr>
              <w:pStyle w:val="NotesTable-ItemPlain"/>
              <w:rPr>
                <w:b/>
              </w:rPr>
            </w:pPr>
            <w:r>
              <w:t>Net increase in cash generated by the division</w:t>
            </w:r>
          </w:p>
        </w:tc>
        <w:tc>
          <w:tcPr>
            <w:tcW w:w="406" w:type="pct"/>
            <w:tcBorders>
              <w:top w:val="single" w:sz="4" w:space="0" w:color="auto"/>
            </w:tcBorders>
          </w:tcPr>
          <w:p w14:paraId="038A1C2C" w14:textId="77777777" w:rsidR="00BF5CB8" w:rsidRDefault="00BF5CB8" w:rsidP="001A5D4A">
            <w:pPr>
              <w:pStyle w:val="NotesTable-CellBold"/>
            </w:pPr>
            <w:r>
              <w:t>–</w:t>
            </w:r>
          </w:p>
        </w:tc>
        <w:tc>
          <w:tcPr>
            <w:tcW w:w="406" w:type="pct"/>
            <w:tcBorders>
              <w:top w:val="single" w:sz="4" w:space="0" w:color="auto"/>
            </w:tcBorders>
          </w:tcPr>
          <w:p w14:paraId="038A1C2D" w14:textId="77777777" w:rsidR="00BF5CB8" w:rsidRDefault="00BF5CB8" w:rsidP="001A5D4A">
            <w:pPr>
              <w:pStyle w:val="NotesTable-CellPlain"/>
            </w:pPr>
            <w:r>
              <w:t>–</w:t>
            </w:r>
          </w:p>
        </w:tc>
        <w:tc>
          <w:tcPr>
            <w:tcW w:w="406" w:type="pct"/>
            <w:tcBorders>
              <w:top w:val="single" w:sz="4" w:space="0" w:color="auto"/>
            </w:tcBorders>
          </w:tcPr>
          <w:p w14:paraId="038A1C2E" w14:textId="77777777" w:rsidR="00BF5CB8" w:rsidRDefault="00BF5CB8" w:rsidP="001A5D4A">
            <w:pPr>
              <w:pStyle w:val="NotesTable-CellBold"/>
            </w:pPr>
            <w:r>
              <w:t>–</w:t>
            </w:r>
          </w:p>
        </w:tc>
        <w:tc>
          <w:tcPr>
            <w:tcW w:w="406" w:type="pct"/>
            <w:tcBorders>
              <w:top w:val="single" w:sz="4" w:space="0" w:color="auto"/>
            </w:tcBorders>
          </w:tcPr>
          <w:p w14:paraId="038A1C2F" w14:textId="77777777" w:rsidR="00BF5CB8" w:rsidRDefault="00BF5CB8" w:rsidP="001A5D4A">
            <w:pPr>
              <w:pStyle w:val="NotesTable-CellPlain"/>
            </w:pPr>
            <w:r>
              <w:t>–</w:t>
            </w:r>
          </w:p>
        </w:tc>
      </w:tr>
      <w:tr w:rsidR="00BF5CB8" w14:paraId="038A1C37" w14:textId="77777777" w:rsidTr="00E21378">
        <w:trPr>
          <w:trHeight w:val="181"/>
        </w:trPr>
        <w:tc>
          <w:tcPr>
            <w:tcW w:w="810" w:type="pct"/>
          </w:tcPr>
          <w:p w14:paraId="038A1C31" w14:textId="77777777" w:rsidR="00BF5CB8" w:rsidRDefault="00BF5CB8" w:rsidP="001A5D4A">
            <w:pPr>
              <w:pStyle w:val="Note-Refs"/>
            </w:pPr>
          </w:p>
        </w:tc>
        <w:tc>
          <w:tcPr>
            <w:tcW w:w="2567" w:type="pct"/>
            <w:vAlign w:val="bottom"/>
          </w:tcPr>
          <w:p w14:paraId="038A1C32" w14:textId="77777777" w:rsidR="00BF5CB8" w:rsidRDefault="00BF5CB8" w:rsidP="001A5D4A">
            <w:pPr>
              <w:pStyle w:val="NotesTable-ItemPlain"/>
            </w:pPr>
          </w:p>
        </w:tc>
        <w:tc>
          <w:tcPr>
            <w:tcW w:w="406" w:type="pct"/>
          </w:tcPr>
          <w:p w14:paraId="038A1C33" w14:textId="77777777" w:rsidR="00BF5CB8" w:rsidRDefault="00BF5CB8" w:rsidP="001A5D4A">
            <w:pPr>
              <w:pStyle w:val="NotesTable-CellBold"/>
            </w:pPr>
          </w:p>
        </w:tc>
        <w:tc>
          <w:tcPr>
            <w:tcW w:w="406" w:type="pct"/>
          </w:tcPr>
          <w:p w14:paraId="038A1C34" w14:textId="77777777" w:rsidR="00BF5CB8" w:rsidRDefault="00BF5CB8" w:rsidP="001A5D4A">
            <w:pPr>
              <w:pStyle w:val="NotesTable-CellPlain"/>
            </w:pPr>
          </w:p>
        </w:tc>
        <w:tc>
          <w:tcPr>
            <w:tcW w:w="406" w:type="pct"/>
          </w:tcPr>
          <w:p w14:paraId="038A1C35" w14:textId="77777777" w:rsidR="00BF5CB8" w:rsidRDefault="00BF5CB8" w:rsidP="001A5D4A">
            <w:pPr>
              <w:pStyle w:val="NotesTable-CellBold"/>
            </w:pPr>
          </w:p>
        </w:tc>
        <w:tc>
          <w:tcPr>
            <w:tcW w:w="406" w:type="pct"/>
          </w:tcPr>
          <w:p w14:paraId="038A1C36" w14:textId="77777777" w:rsidR="00BF5CB8" w:rsidRDefault="00BF5CB8" w:rsidP="001A5D4A">
            <w:pPr>
              <w:pStyle w:val="NotesTable-CellPlain"/>
            </w:pPr>
          </w:p>
        </w:tc>
      </w:tr>
      <w:tr w:rsidR="0014595D" w14:paraId="038A1C3A" w14:textId="77777777" w:rsidTr="00E21378">
        <w:trPr>
          <w:trHeight w:val="181"/>
        </w:trPr>
        <w:tc>
          <w:tcPr>
            <w:tcW w:w="810" w:type="pct"/>
          </w:tcPr>
          <w:p w14:paraId="038A1C38" w14:textId="77777777" w:rsidR="0014595D" w:rsidRDefault="0014595D" w:rsidP="001A5D4A">
            <w:pPr>
              <w:pStyle w:val="Note-Refs"/>
            </w:pPr>
          </w:p>
        </w:tc>
        <w:tc>
          <w:tcPr>
            <w:tcW w:w="4190" w:type="pct"/>
            <w:gridSpan w:val="5"/>
            <w:vAlign w:val="bottom"/>
          </w:tcPr>
          <w:p w14:paraId="038A1C39" w14:textId="77777777" w:rsidR="0014595D" w:rsidRDefault="0014595D" w:rsidP="001A5D4A">
            <w:pPr>
              <w:pStyle w:val="Note-TextHeader"/>
              <w:rPr>
                <w:lang w:val="en-GB"/>
              </w:rPr>
            </w:pPr>
            <w:r w:rsidRPr="00523D0A">
              <w:t>Cash reported in statement of cash flows</w:t>
            </w:r>
          </w:p>
        </w:tc>
      </w:tr>
      <w:tr w:rsidR="00BF5CB8" w14:paraId="038A1C41" w14:textId="77777777" w:rsidTr="00E21378">
        <w:trPr>
          <w:trHeight w:val="181"/>
        </w:trPr>
        <w:tc>
          <w:tcPr>
            <w:tcW w:w="810" w:type="pct"/>
          </w:tcPr>
          <w:p w14:paraId="038A1C3B" w14:textId="77777777" w:rsidR="00BF5CB8" w:rsidRPr="00633A39" w:rsidRDefault="00BF5CB8" w:rsidP="001A5D4A">
            <w:pPr>
              <w:pStyle w:val="Note-Refs"/>
              <w:rPr>
                <w:b/>
              </w:rPr>
            </w:pPr>
            <w:r w:rsidRPr="00633A39">
              <w:t>AASB107.40b</w:t>
            </w:r>
          </w:p>
        </w:tc>
        <w:tc>
          <w:tcPr>
            <w:tcW w:w="2567" w:type="pct"/>
            <w:vAlign w:val="bottom"/>
          </w:tcPr>
          <w:p w14:paraId="038A1C3C" w14:textId="77777777" w:rsidR="00BF5CB8" w:rsidRDefault="00BF5CB8" w:rsidP="001A5D4A">
            <w:pPr>
              <w:pStyle w:val="NotesTable-ItemPlain"/>
              <w:rPr>
                <w:b/>
              </w:rPr>
            </w:pPr>
            <w:r>
              <w:t>Cash consideration received /(paid)</w:t>
            </w:r>
          </w:p>
        </w:tc>
        <w:tc>
          <w:tcPr>
            <w:tcW w:w="406" w:type="pct"/>
          </w:tcPr>
          <w:p w14:paraId="038A1C3D" w14:textId="77777777" w:rsidR="00BF5CB8" w:rsidRDefault="00BF5CB8" w:rsidP="001A5D4A">
            <w:pPr>
              <w:pStyle w:val="NotesTable-CellBold"/>
            </w:pPr>
            <w:r w:rsidRPr="009568D0">
              <w:t>–</w:t>
            </w:r>
          </w:p>
        </w:tc>
        <w:tc>
          <w:tcPr>
            <w:tcW w:w="406" w:type="pct"/>
          </w:tcPr>
          <w:p w14:paraId="038A1C3E" w14:textId="77777777" w:rsidR="00BF5CB8" w:rsidRDefault="00BF5CB8" w:rsidP="001A5D4A">
            <w:pPr>
              <w:pStyle w:val="NotesTable-CellPlain"/>
            </w:pPr>
            <w:r w:rsidRPr="009568D0">
              <w:t>–</w:t>
            </w:r>
          </w:p>
        </w:tc>
        <w:tc>
          <w:tcPr>
            <w:tcW w:w="406" w:type="pct"/>
          </w:tcPr>
          <w:p w14:paraId="038A1C3F" w14:textId="77777777" w:rsidR="00BF5CB8" w:rsidRDefault="00BF5CB8" w:rsidP="001A5D4A">
            <w:pPr>
              <w:pStyle w:val="NotesTable-CellBold"/>
            </w:pPr>
            <w:r w:rsidRPr="009568D0">
              <w:t>–</w:t>
            </w:r>
          </w:p>
        </w:tc>
        <w:tc>
          <w:tcPr>
            <w:tcW w:w="406" w:type="pct"/>
          </w:tcPr>
          <w:p w14:paraId="038A1C40" w14:textId="77777777" w:rsidR="00BF5CB8" w:rsidRDefault="00BF5CB8" w:rsidP="001A5D4A">
            <w:pPr>
              <w:pStyle w:val="NotesTable-CellPlain"/>
            </w:pPr>
            <w:r w:rsidRPr="009568D0">
              <w:t>–</w:t>
            </w:r>
          </w:p>
        </w:tc>
      </w:tr>
      <w:tr w:rsidR="00BF5CB8" w14:paraId="038A1C48" w14:textId="77777777" w:rsidTr="00E21378">
        <w:trPr>
          <w:trHeight w:val="181"/>
        </w:trPr>
        <w:tc>
          <w:tcPr>
            <w:tcW w:w="810" w:type="pct"/>
          </w:tcPr>
          <w:p w14:paraId="038A1C42" w14:textId="77777777" w:rsidR="00BF5CB8" w:rsidRPr="00633A39" w:rsidRDefault="00BF5CB8" w:rsidP="001A5D4A">
            <w:pPr>
              <w:pStyle w:val="Note-Refs"/>
              <w:rPr>
                <w:b/>
              </w:rPr>
            </w:pPr>
            <w:r w:rsidRPr="00633A39">
              <w:t>AASB107.40c</w:t>
            </w:r>
          </w:p>
        </w:tc>
        <w:tc>
          <w:tcPr>
            <w:tcW w:w="2567" w:type="pct"/>
            <w:vAlign w:val="bottom"/>
          </w:tcPr>
          <w:p w14:paraId="038A1C43" w14:textId="77777777" w:rsidR="00BF5CB8" w:rsidRDefault="00BF5CB8" w:rsidP="001A5D4A">
            <w:pPr>
              <w:pStyle w:val="NotesTable-ItemPlain"/>
              <w:rPr>
                <w:b/>
              </w:rPr>
            </w:pPr>
            <w:r>
              <w:t>Cash and cash equivalents lost/(obtained)</w:t>
            </w:r>
          </w:p>
        </w:tc>
        <w:tc>
          <w:tcPr>
            <w:tcW w:w="406" w:type="pct"/>
            <w:tcBorders>
              <w:bottom w:val="single" w:sz="4" w:space="0" w:color="auto"/>
            </w:tcBorders>
          </w:tcPr>
          <w:p w14:paraId="038A1C44" w14:textId="77777777" w:rsidR="00BF5CB8" w:rsidRDefault="00BF5CB8" w:rsidP="001A5D4A">
            <w:pPr>
              <w:pStyle w:val="NotesTable-CellBold"/>
            </w:pPr>
            <w:r w:rsidRPr="009568D0">
              <w:t>–</w:t>
            </w:r>
          </w:p>
        </w:tc>
        <w:tc>
          <w:tcPr>
            <w:tcW w:w="406" w:type="pct"/>
            <w:tcBorders>
              <w:bottom w:val="single" w:sz="4" w:space="0" w:color="auto"/>
            </w:tcBorders>
          </w:tcPr>
          <w:p w14:paraId="038A1C45" w14:textId="77777777" w:rsidR="00BF5CB8" w:rsidRDefault="00BF5CB8" w:rsidP="001A5D4A">
            <w:pPr>
              <w:pStyle w:val="NotesTable-CellPlain"/>
            </w:pPr>
            <w:r w:rsidRPr="009568D0">
              <w:t>–</w:t>
            </w:r>
          </w:p>
        </w:tc>
        <w:tc>
          <w:tcPr>
            <w:tcW w:w="406" w:type="pct"/>
            <w:tcBorders>
              <w:bottom w:val="single" w:sz="4" w:space="0" w:color="auto"/>
            </w:tcBorders>
          </w:tcPr>
          <w:p w14:paraId="038A1C46" w14:textId="77777777" w:rsidR="00BF5CB8" w:rsidRDefault="00BF5CB8" w:rsidP="001A5D4A">
            <w:pPr>
              <w:pStyle w:val="NotesTable-CellBold"/>
            </w:pPr>
            <w:r w:rsidRPr="009568D0">
              <w:t>–</w:t>
            </w:r>
          </w:p>
        </w:tc>
        <w:tc>
          <w:tcPr>
            <w:tcW w:w="406" w:type="pct"/>
            <w:tcBorders>
              <w:bottom w:val="single" w:sz="4" w:space="0" w:color="auto"/>
            </w:tcBorders>
          </w:tcPr>
          <w:p w14:paraId="038A1C47" w14:textId="77777777" w:rsidR="00BF5CB8" w:rsidRDefault="00BF5CB8" w:rsidP="001A5D4A">
            <w:pPr>
              <w:pStyle w:val="NotesTable-CellPlain"/>
            </w:pPr>
            <w:r w:rsidRPr="009568D0">
              <w:t>–</w:t>
            </w:r>
          </w:p>
        </w:tc>
      </w:tr>
      <w:tr w:rsidR="00BF5CB8" w14:paraId="038A1C4F" w14:textId="77777777" w:rsidTr="00E21378">
        <w:trPr>
          <w:trHeight w:val="181"/>
        </w:trPr>
        <w:tc>
          <w:tcPr>
            <w:tcW w:w="810" w:type="pct"/>
          </w:tcPr>
          <w:p w14:paraId="038A1C49" w14:textId="77777777" w:rsidR="00BF5CB8" w:rsidRPr="00633A39" w:rsidRDefault="00BF5CB8" w:rsidP="001A5D4A">
            <w:pPr>
              <w:pStyle w:val="Note-Refs"/>
              <w:rPr>
                <w:b/>
              </w:rPr>
            </w:pPr>
            <w:r w:rsidRPr="00BE2035">
              <w:t>AASB107</w:t>
            </w:r>
            <w:r w:rsidRPr="00633A39">
              <w:t>.39</w:t>
            </w:r>
          </w:p>
        </w:tc>
        <w:tc>
          <w:tcPr>
            <w:tcW w:w="2567" w:type="pct"/>
            <w:vAlign w:val="bottom"/>
          </w:tcPr>
          <w:p w14:paraId="038A1C4A" w14:textId="77777777" w:rsidR="00BF5CB8" w:rsidRDefault="00BF5CB8" w:rsidP="001A5D4A">
            <w:pPr>
              <w:pStyle w:val="NotesTable-ItemPlain"/>
              <w:rPr>
                <w:b/>
              </w:rPr>
            </w:pPr>
            <w:r>
              <w:t xml:space="preserve">Total investing inflows/(outflows) </w:t>
            </w:r>
          </w:p>
        </w:tc>
        <w:tc>
          <w:tcPr>
            <w:tcW w:w="406" w:type="pct"/>
            <w:tcBorders>
              <w:top w:val="single" w:sz="4" w:space="0" w:color="auto"/>
            </w:tcBorders>
            <w:vAlign w:val="bottom"/>
          </w:tcPr>
          <w:p w14:paraId="038A1C4B" w14:textId="77777777" w:rsidR="00BF5CB8" w:rsidRDefault="00BF5CB8" w:rsidP="001A5D4A">
            <w:pPr>
              <w:pStyle w:val="NotesTable-CellBold"/>
            </w:pPr>
            <w:r w:rsidRPr="009568D0">
              <w:t>–</w:t>
            </w:r>
          </w:p>
        </w:tc>
        <w:tc>
          <w:tcPr>
            <w:tcW w:w="406" w:type="pct"/>
            <w:tcBorders>
              <w:top w:val="single" w:sz="4" w:space="0" w:color="auto"/>
            </w:tcBorders>
            <w:vAlign w:val="bottom"/>
          </w:tcPr>
          <w:p w14:paraId="038A1C4C" w14:textId="77777777" w:rsidR="00BF5CB8" w:rsidRDefault="00BF5CB8" w:rsidP="001A5D4A">
            <w:pPr>
              <w:pStyle w:val="NotesTable-CellPlain"/>
            </w:pPr>
            <w:r w:rsidRPr="009568D0">
              <w:t>–</w:t>
            </w:r>
          </w:p>
        </w:tc>
        <w:tc>
          <w:tcPr>
            <w:tcW w:w="406" w:type="pct"/>
            <w:tcBorders>
              <w:top w:val="single" w:sz="4" w:space="0" w:color="auto"/>
            </w:tcBorders>
            <w:vAlign w:val="bottom"/>
          </w:tcPr>
          <w:p w14:paraId="038A1C4D" w14:textId="77777777" w:rsidR="00BF5CB8" w:rsidRDefault="00BF5CB8" w:rsidP="001A5D4A">
            <w:pPr>
              <w:pStyle w:val="NotesTable-CellBold"/>
            </w:pPr>
            <w:r w:rsidRPr="009568D0">
              <w:t>–</w:t>
            </w:r>
          </w:p>
        </w:tc>
        <w:tc>
          <w:tcPr>
            <w:tcW w:w="406" w:type="pct"/>
            <w:tcBorders>
              <w:top w:val="single" w:sz="4" w:space="0" w:color="auto"/>
            </w:tcBorders>
            <w:vAlign w:val="bottom"/>
          </w:tcPr>
          <w:p w14:paraId="038A1C4E" w14:textId="77777777" w:rsidR="00BF5CB8" w:rsidRDefault="00BF5CB8" w:rsidP="001A5D4A">
            <w:pPr>
              <w:pStyle w:val="NotesTable-CellPlain"/>
            </w:pPr>
            <w:r w:rsidRPr="009568D0">
              <w:t>–</w:t>
            </w:r>
          </w:p>
        </w:tc>
      </w:tr>
      <w:tr w:rsidR="00BF5CB8" w14:paraId="038A1C56" w14:textId="77777777" w:rsidTr="00E21378">
        <w:trPr>
          <w:trHeight w:val="181"/>
        </w:trPr>
        <w:tc>
          <w:tcPr>
            <w:tcW w:w="810" w:type="pct"/>
          </w:tcPr>
          <w:p w14:paraId="038A1C50" w14:textId="77777777" w:rsidR="00BF5CB8" w:rsidRDefault="00BF5CB8" w:rsidP="001A5D4A">
            <w:pPr>
              <w:pStyle w:val="Note-Refs"/>
            </w:pPr>
          </w:p>
        </w:tc>
        <w:tc>
          <w:tcPr>
            <w:tcW w:w="2567" w:type="pct"/>
            <w:vAlign w:val="bottom"/>
          </w:tcPr>
          <w:p w14:paraId="038A1C51" w14:textId="77777777" w:rsidR="00BF5CB8" w:rsidRDefault="00BF5CB8" w:rsidP="001A5D4A">
            <w:pPr>
              <w:pStyle w:val="NotesTable-ItemPlain"/>
            </w:pPr>
          </w:p>
        </w:tc>
        <w:tc>
          <w:tcPr>
            <w:tcW w:w="406" w:type="pct"/>
            <w:vAlign w:val="bottom"/>
          </w:tcPr>
          <w:p w14:paraId="038A1C52" w14:textId="77777777" w:rsidR="00BF5CB8" w:rsidRPr="009568D0" w:rsidRDefault="00BF5CB8" w:rsidP="001A5D4A">
            <w:pPr>
              <w:pStyle w:val="NotesTable-CellBold"/>
            </w:pPr>
          </w:p>
        </w:tc>
        <w:tc>
          <w:tcPr>
            <w:tcW w:w="406" w:type="pct"/>
            <w:vAlign w:val="bottom"/>
          </w:tcPr>
          <w:p w14:paraId="038A1C53" w14:textId="77777777" w:rsidR="00BF5CB8" w:rsidRPr="009568D0" w:rsidRDefault="00BF5CB8" w:rsidP="001A5D4A">
            <w:pPr>
              <w:pStyle w:val="NotesTable-CellPlain"/>
            </w:pPr>
          </w:p>
        </w:tc>
        <w:tc>
          <w:tcPr>
            <w:tcW w:w="406" w:type="pct"/>
            <w:vAlign w:val="bottom"/>
          </w:tcPr>
          <w:p w14:paraId="038A1C54" w14:textId="77777777" w:rsidR="00BF5CB8" w:rsidRPr="009568D0" w:rsidRDefault="00BF5CB8" w:rsidP="001A5D4A">
            <w:pPr>
              <w:pStyle w:val="NotesTable-CellBold"/>
            </w:pPr>
          </w:p>
        </w:tc>
        <w:tc>
          <w:tcPr>
            <w:tcW w:w="406" w:type="pct"/>
            <w:vAlign w:val="bottom"/>
          </w:tcPr>
          <w:p w14:paraId="038A1C55" w14:textId="77777777" w:rsidR="00BF5CB8" w:rsidRPr="009568D0" w:rsidRDefault="00BF5CB8" w:rsidP="001A5D4A">
            <w:pPr>
              <w:pStyle w:val="NotesTable-CellPlain"/>
            </w:pPr>
          </w:p>
        </w:tc>
      </w:tr>
      <w:tr w:rsidR="0014595D" w14:paraId="038A1C5A" w14:textId="77777777" w:rsidTr="00E21378">
        <w:trPr>
          <w:trHeight w:val="181"/>
        </w:trPr>
        <w:tc>
          <w:tcPr>
            <w:tcW w:w="810" w:type="pct"/>
          </w:tcPr>
          <w:p w14:paraId="038A1C57" w14:textId="77777777" w:rsidR="0014595D" w:rsidRDefault="0014595D" w:rsidP="001A5D4A">
            <w:pPr>
              <w:pStyle w:val="Note-Refs"/>
              <w:rPr>
                <w:b/>
              </w:rPr>
            </w:pPr>
            <w:r>
              <w:t>AASB5.38</w:t>
            </w:r>
          </w:p>
          <w:p w14:paraId="038A1C58" w14:textId="77777777" w:rsidR="0014595D" w:rsidRDefault="0014595D" w:rsidP="001A5D4A">
            <w:pPr>
              <w:pStyle w:val="Note-Refs"/>
              <w:rPr>
                <w:b/>
              </w:rPr>
            </w:pPr>
            <w:r>
              <w:t>AASB107.40d</w:t>
            </w:r>
          </w:p>
        </w:tc>
        <w:tc>
          <w:tcPr>
            <w:tcW w:w="4190" w:type="pct"/>
            <w:gridSpan w:val="5"/>
            <w:vAlign w:val="bottom"/>
          </w:tcPr>
          <w:p w14:paraId="038A1C59" w14:textId="77777777" w:rsidR="0014595D" w:rsidRDefault="0014595D" w:rsidP="001A5D4A">
            <w:pPr>
              <w:pStyle w:val="Note-TextHeader"/>
              <w:rPr>
                <w:lang w:val="en-GB"/>
              </w:rPr>
            </w:pPr>
            <w:r>
              <w:t>Carrying amounts of assets and liabilities</w:t>
            </w:r>
          </w:p>
        </w:tc>
      </w:tr>
      <w:tr w:rsidR="00BF5CB8" w14:paraId="038A1C61" w14:textId="77777777" w:rsidTr="00E21378">
        <w:trPr>
          <w:trHeight w:val="181"/>
        </w:trPr>
        <w:tc>
          <w:tcPr>
            <w:tcW w:w="810" w:type="pct"/>
          </w:tcPr>
          <w:p w14:paraId="038A1C5B" w14:textId="77777777" w:rsidR="00BF5CB8" w:rsidRDefault="00BF5CB8" w:rsidP="001A5D4A">
            <w:pPr>
              <w:pStyle w:val="Note-Refs"/>
            </w:pPr>
          </w:p>
        </w:tc>
        <w:tc>
          <w:tcPr>
            <w:tcW w:w="2567" w:type="pct"/>
            <w:vAlign w:val="bottom"/>
          </w:tcPr>
          <w:p w14:paraId="038A1C5C" w14:textId="77777777" w:rsidR="00BF5CB8" w:rsidRDefault="00BF5CB8" w:rsidP="001A5D4A">
            <w:pPr>
              <w:pStyle w:val="NotesTable-ItemPlain"/>
              <w:rPr>
                <w:b/>
              </w:rPr>
            </w:pPr>
            <w:r>
              <w:t>[Specify]</w:t>
            </w:r>
          </w:p>
        </w:tc>
        <w:tc>
          <w:tcPr>
            <w:tcW w:w="406" w:type="pct"/>
            <w:tcBorders>
              <w:bottom w:val="single" w:sz="4" w:space="0" w:color="auto"/>
            </w:tcBorders>
          </w:tcPr>
          <w:p w14:paraId="038A1C5D" w14:textId="77777777" w:rsidR="00BF5CB8" w:rsidRDefault="00BF5CB8" w:rsidP="001A5D4A">
            <w:pPr>
              <w:pStyle w:val="NotesTable-CellBold"/>
            </w:pPr>
            <w:r>
              <w:t>–</w:t>
            </w:r>
          </w:p>
        </w:tc>
        <w:tc>
          <w:tcPr>
            <w:tcW w:w="406" w:type="pct"/>
            <w:tcBorders>
              <w:bottom w:val="single" w:sz="4" w:space="0" w:color="auto"/>
            </w:tcBorders>
          </w:tcPr>
          <w:p w14:paraId="038A1C5E" w14:textId="77777777" w:rsidR="00BF5CB8" w:rsidRDefault="00BF5CB8" w:rsidP="001A5D4A">
            <w:pPr>
              <w:pStyle w:val="NotesTable-CellPlain"/>
            </w:pPr>
            <w:r>
              <w:t>–</w:t>
            </w:r>
          </w:p>
        </w:tc>
        <w:tc>
          <w:tcPr>
            <w:tcW w:w="406" w:type="pct"/>
            <w:tcBorders>
              <w:bottom w:val="single" w:sz="4" w:space="0" w:color="auto"/>
            </w:tcBorders>
          </w:tcPr>
          <w:p w14:paraId="038A1C5F" w14:textId="77777777" w:rsidR="00BF5CB8" w:rsidRDefault="00BF5CB8" w:rsidP="001A5D4A">
            <w:pPr>
              <w:pStyle w:val="NotesTable-CellBold"/>
            </w:pPr>
            <w:r>
              <w:t>–</w:t>
            </w:r>
          </w:p>
        </w:tc>
        <w:tc>
          <w:tcPr>
            <w:tcW w:w="406" w:type="pct"/>
            <w:tcBorders>
              <w:bottom w:val="single" w:sz="4" w:space="0" w:color="auto"/>
            </w:tcBorders>
          </w:tcPr>
          <w:p w14:paraId="038A1C60" w14:textId="77777777" w:rsidR="00BF5CB8" w:rsidRDefault="00BF5CB8" w:rsidP="001A5D4A">
            <w:pPr>
              <w:pStyle w:val="NotesTable-CellPlain"/>
            </w:pPr>
            <w:r>
              <w:t>–</w:t>
            </w:r>
          </w:p>
        </w:tc>
      </w:tr>
      <w:tr w:rsidR="00BF5CB8" w14:paraId="038A1C68" w14:textId="77777777" w:rsidTr="00E21378">
        <w:trPr>
          <w:trHeight w:val="181"/>
        </w:trPr>
        <w:tc>
          <w:tcPr>
            <w:tcW w:w="810" w:type="pct"/>
          </w:tcPr>
          <w:p w14:paraId="038A1C62" w14:textId="77777777" w:rsidR="00BF5CB8" w:rsidRDefault="00BF5CB8" w:rsidP="001A5D4A">
            <w:pPr>
              <w:pStyle w:val="Note-Refs"/>
            </w:pPr>
          </w:p>
        </w:tc>
        <w:tc>
          <w:tcPr>
            <w:tcW w:w="2567" w:type="pct"/>
            <w:vAlign w:val="bottom"/>
          </w:tcPr>
          <w:p w14:paraId="038A1C63" w14:textId="77777777" w:rsidR="00BF5CB8" w:rsidRDefault="00BF5CB8" w:rsidP="001A5D4A">
            <w:pPr>
              <w:pStyle w:val="NotesTable-ItemPlain"/>
              <w:rPr>
                <w:b/>
              </w:rPr>
            </w:pPr>
            <w:r>
              <w:t xml:space="preserve">Total </w:t>
            </w:r>
            <w:r w:rsidR="003E289C">
              <w:t>a</w:t>
            </w:r>
            <w:r>
              <w:t>ssets</w:t>
            </w:r>
          </w:p>
        </w:tc>
        <w:tc>
          <w:tcPr>
            <w:tcW w:w="406" w:type="pct"/>
            <w:tcBorders>
              <w:top w:val="single" w:sz="4" w:space="0" w:color="auto"/>
            </w:tcBorders>
          </w:tcPr>
          <w:p w14:paraId="038A1C64" w14:textId="77777777" w:rsidR="00BF5CB8" w:rsidRDefault="00BF5CB8" w:rsidP="001A5D4A">
            <w:pPr>
              <w:pStyle w:val="NotesTable-CellBold"/>
            </w:pPr>
            <w:r>
              <w:t>–</w:t>
            </w:r>
          </w:p>
        </w:tc>
        <w:tc>
          <w:tcPr>
            <w:tcW w:w="406" w:type="pct"/>
            <w:tcBorders>
              <w:top w:val="single" w:sz="4" w:space="0" w:color="auto"/>
            </w:tcBorders>
          </w:tcPr>
          <w:p w14:paraId="038A1C65" w14:textId="77777777" w:rsidR="00BF5CB8" w:rsidRDefault="00BF5CB8" w:rsidP="001A5D4A">
            <w:pPr>
              <w:pStyle w:val="NotesTable-CellPlain"/>
            </w:pPr>
            <w:r>
              <w:t>–</w:t>
            </w:r>
          </w:p>
        </w:tc>
        <w:tc>
          <w:tcPr>
            <w:tcW w:w="406" w:type="pct"/>
            <w:tcBorders>
              <w:top w:val="single" w:sz="4" w:space="0" w:color="auto"/>
            </w:tcBorders>
          </w:tcPr>
          <w:p w14:paraId="038A1C66" w14:textId="77777777" w:rsidR="00BF5CB8" w:rsidRDefault="00BF5CB8" w:rsidP="001A5D4A">
            <w:pPr>
              <w:pStyle w:val="NotesTable-CellBold"/>
            </w:pPr>
            <w:r>
              <w:t>–</w:t>
            </w:r>
          </w:p>
        </w:tc>
        <w:tc>
          <w:tcPr>
            <w:tcW w:w="406" w:type="pct"/>
            <w:tcBorders>
              <w:top w:val="single" w:sz="4" w:space="0" w:color="auto"/>
            </w:tcBorders>
          </w:tcPr>
          <w:p w14:paraId="038A1C67" w14:textId="77777777" w:rsidR="00BF5CB8" w:rsidRDefault="00BF5CB8" w:rsidP="001A5D4A">
            <w:pPr>
              <w:pStyle w:val="NotesTable-CellPlain"/>
            </w:pPr>
            <w:r>
              <w:t>–</w:t>
            </w:r>
          </w:p>
        </w:tc>
      </w:tr>
      <w:tr w:rsidR="00BF5CB8" w14:paraId="038A1C6F" w14:textId="77777777" w:rsidTr="00E21378">
        <w:trPr>
          <w:trHeight w:val="181"/>
        </w:trPr>
        <w:tc>
          <w:tcPr>
            <w:tcW w:w="810" w:type="pct"/>
          </w:tcPr>
          <w:p w14:paraId="038A1C69" w14:textId="77777777" w:rsidR="00BF5CB8" w:rsidRDefault="00BF5CB8" w:rsidP="001A5D4A">
            <w:pPr>
              <w:pStyle w:val="Note-Refs"/>
            </w:pPr>
          </w:p>
        </w:tc>
        <w:tc>
          <w:tcPr>
            <w:tcW w:w="2567" w:type="pct"/>
            <w:vAlign w:val="bottom"/>
          </w:tcPr>
          <w:p w14:paraId="038A1C6A" w14:textId="77777777" w:rsidR="00BF5CB8" w:rsidRDefault="00BF5CB8" w:rsidP="001A5D4A">
            <w:pPr>
              <w:pStyle w:val="NotesTable-ItemPlain"/>
            </w:pPr>
          </w:p>
        </w:tc>
        <w:tc>
          <w:tcPr>
            <w:tcW w:w="406" w:type="pct"/>
          </w:tcPr>
          <w:p w14:paraId="038A1C6B" w14:textId="77777777" w:rsidR="00BF5CB8" w:rsidRDefault="00BF5CB8" w:rsidP="001A5D4A">
            <w:pPr>
              <w:pStyle w:val="NotesTable-CellBold"/>
            </w:pPr>
          </w:p>
        </w:tc>
        <w:tc>
          <w:tcPr>
            <w:tcW w:w="406" w:type="pct"/>
          </w:tcPr>
          <w:p w14:paraId="038A1C6C" w14:textId="77777777" w:rsidR="00BF5CB8" w:rsidRDefault="00BF5CB8" w:rsidP="001A5D4A">
            <w:pPr>
              <w:pStyle w:val="NotesTable-CellPlain"/>
            </w:pPr>
          </w:p>
        </w:tc>
        <w:tc>
          <w:tcPr>
            <w:tcW w:w="406" w:type="pct"/>
          </w:tcPr>
          <w:p w14:paraId="038A1C6D" w14:textId="77777777" w:rsidR="00BF5CB8" w:rsidRDefault="00BF5CB8" w:rsidP="001A5D4A">
            <w:pPr>
              <w:pStyle w:val="NotesTable-CellBold"/>
            </w:pPr>
          </w:p>
        </w:tc>
        <w:tc>
          <w:tcPr>
            <w:tcW w:w="406" w:type="pct"/>
          </w:tcPr>
          <w:p w14:paraId="038A1C6E" w14:textId="77777777" w:rsidR="00BF5CB8" w:rsidRDefault="00BF5CB8" w:rsidP="001A5D4A">
            <w:pPr>
              <w:pStyle w:val="NotesTable-CellPlain"/>
            </w:pPr>
          </w:p>
        </w:tc>
      </w:tr>
      <w:tr w:rsidR="00BF5CB8" w14:paraId="038A1C76" w14:textId="77777777" w:rsidTr="00E21378">
        <w:trPr>
          <w:trHeight w:val="181"/>
        </w:trPr>
        <w:tc>
          <w:tcPr>
            <w:tcW w:w="810" w:type="pct"/>
          </w:tcPr>
          <w:p w14:paraId="038A1C70" w14:textId="77777777" w:rsidR="00BF5CB8" w:rsidRDefault="00BF5CB8" w:rsidP="001A5D4A">
            <w:pPr>
              <w:pStyle w:val="Note-Refs"/>
            </w:pPr>
          </w:p>
        </w:tc>
        <w:tc>
          <w:tcPr>
            <w:tcW w:w="2567" w:type="pct"/>
            <w:vAlign w:val="bottom"/>
          </w:tcPr>
          <w:p w14:paraId="038A1C71" w14:textId="77777777" w:rsidR="00BF5CB8" w:rsidRDefault="00BF5CB8" w:rsidP="001A5D4A">
            <w:pPr>
              <w:pStyle w:val="NotesTable-ItemPlain"/>
              <w:rPr>
                <w:b/>
              </w:rPr>
            </w:pPr>
            <w:r>
              <w:t>[Specify]</w:t>
            </w:r>
          </w:p>
        </w:tc>
        <w:tc>
          <w:tcPr>
            <w:tcW w:w="406" w:type="pct"/>
            <w:tcBorders>
              <w:bottom w:val="single" w:sz="4" w:space="0" w:color="000000"/>
            </w:tcBorders>
          </w:tcPr>
          <w:p w14:paraId="038A1C72" w14:textId="77777777" w:rsidR="00BF5CB8" w:rsidRDefault="00BF5CB8" w:rsidP="001A5D4A">
            <w:pPr>
              <w:pStyle w:val="NotesTable-CellBold"/>
            </w:pPr>
            <w:r>
              <w:t>–</w:t>
            </w:r>
          </w:p>
        </w:tc>
        <w:tc>
          <w:tcPr>
            <w:tcW w:w="406" w:type="pct"/>
            <w:tcBorders>
              <w:bottom w:val="single" w:sz="4" w:space="0" w:color="000000"/>
            </w:tcBorders>
          </w:tcPr>
          <w:p w14:paraId="038A1C73" w14:textId="77777777" w:rsidR="00BF5CB8" w:rsidRDefault="00BF5CB8" w:rsidP="001A5D4A">
            <w:pPr>
              <w:pStyle w:val="NotesTable-CellPlain"/>
            </w:pPr>
            <w:r>
              <w:t>–</w:t>
            </w:r>
          </w:p>
        </w:tc>
        <w:tc>
          <w:tcPr>
            <w:tcW w:w="406" w:type="pct"/>
            <w:tcBorders>
              <w:bottom w:val="single" w:sz="4" w:space="0" w:color="000000"/>
            </w:tcBorders>
          </w:tcPr>
          <w:p w14:paraId="038A1C74" w14:textId="77777777" w:rsidR="00BF5CB8" w:rsidRDefault="00BF5CB8" w:rsidP="001A5D4A">
            <w:pPr>
              <w:pStyle w:val="NotesTable-CellBold"/>
            </w:pPr>
            <w:r>
              <w:t>–</w:t>
            </w:r>
          </w:p>
        </w:tc>
        <w:tc>
          <w:tcPr>
            <w:tcW w:w="406" w:type="pct"/>
            <w:tcBorders>
              <w:bottom w:val="single" w:sz="4" w:space="0" w:color="000000"/>
            </w:tcBorders>
          </w:tcPr>
          <w:p w14:paraId="038A1C75" w14:textId="77777777" w:rsidR="00BF5CB8" w:rsidRDefault="00BF5CB8" w:rsidP="001A5D4A">
            <w:pPr>
              <w:pStyle w:val="NotesTable-CellPlain"/>
            </w:pPr>
            <w:r>
              <w:t>–</w:t>
            </w:r>
          </w:p>
        </w:tc>
      </w:tr>
      <w:tr w:rsidR="00BF5CB8" w14:paraId="038A1C7D" w14:textId="77777777" w:rsidTr="00E21378">
        <w:trPr>
          <w:trHeight w:val="181"/>
        </w:trPr>
        <w:tc>
          <w:tcPr>
            <w:tcW w:w="810" w:type="pct"/>
          </w:tcPr>
          <w:p w14:paraId="038A1C77" w14:textId="77777777" w:rsidR="00BF5CB8" w:rsidRDefault="00BF5CB8" w:rsidP="001A5D4A">
            <w:pPr>
              <w:pStyle w:val="Note-Refs"/>
            </w:pPr>
          </w:p>
        </w:tc>
        <w:tc>
          <w:tcPr>
            <w:tcW w:w="2567" w:type="pct"/>
            <w:vAlign w:val="bottom"/>
          </w:tcPr>
          <w:p w14:paraId="038A1C78" w14:textId="77777777" w:rsidR="00BF5CB8" w:rsidRDefault="00BF5CB8" w:rsidP="001A5D4A">
            <w:pPr>
              <w:pStyle w:val="NotesTable-ItemPlain"/>
              <w:rPr>
                <w:b/>
              </w:rPr>
            </w:pPr>
            <w:r>
              <w:t>Total liabilities</w:t>
            </w:r>
          </w:p>
        </w:tc>
        <w:tc>
          <w:tcPr>
            <w:tcW w:w="406" w:type="pct"/>
            <w:tcBorders>
              <w:top w:val="single" w:sz="4" w:space="0" w:color="000000"/>
            </w:tcBorders>
          </w:tcPr>
          <w:p w14:paraId="038A1C79" w14:textId="77777777" w:rsidR="00BF5CB8" w:rsidRDefault="00BF5CB8" w:rsidP="001A5D4A">
            <w:pPr>
              <w:pStyle w:val="NotesTable-CellBold"/>
            </w:pPr>
            <w:r>
              <w:t>–</w:t>
            </w:r>
          </w:p>
        </w:tc>
        <w:tc>
          <w:tcPr>
            <w:tcW w:w="406" w:type="pct"/>
            <w:tcBorders>
              <w:top w:val="single" w:sz="4" w:space="0" w:color="000000"/>
            </w:tcBorders>
          </w:tcPr>
          <w:p w14:paraId="038A1C7A" w14:textId="77777777" w:rsidR="00BF5CB8" w:rsidRDefault="00BF5CB8" w:rsidP="001A5D4A">
            <w:pPr>
              <w:pStyle w:val="NotesTable-CellPlain"/>
            </w:pPr>
            <w:r>
              <w:t>–</w:t>
            </w:r>
          </w:p>
        </w:tc>
        <w:tc>
          <w:tcPr>
            <w:tcW w:w="406" w:type="pct"/>
            <w:tcBorders>
              <w:top w:val="single" w:sz="4" w:space="0" w:color="000000"/>
            </w:tcBorders>
          </w:tcPr>
          <w:p w14:paraId="038A1C7B" w14:textId="77777777" w:rsidR="00BF5CB8" w:rsidRDefault="00BF5CB8" w:rsidP="001A5D4A">
            <w:pPr>
              <w:pStyle w:val="NotesTable-CellBold"/>
            </w:pPr>
            <w:r>
              <w:t>–</w:t>
            </w:r>
          </w:p>
        </w:tc>
        <w:tc>
          <w:tcPr>
            <w:tcW w:w="406" w:type="pct"/>
            <w:tcBorders>
              <w:top w:val="single" w:sz="4" w:space="0" w:color="000000"/>
            </w:tcBorders>
          </w:tcPr>
          <w:p w14:paraId="038A1C7C" w14:textId="77777777" w:rsidR="00BF5CB8" w:rsidRDefault="00BF5CB8" w:rsidP="001A5D4A">
            <w:pPr>
              <w:pStyle w:val="NotesTable-CellPlain"/>
            </w:pPr>
            <w:r>
              <w:t>–</w:t>
            </w:r>
          </w:p>
        </w:tc>
      </w:tr>
      <w:tr w:rsidR="00BF5CB8" w14:paraId="038A1C84" w14:textId="77777777" w:rsidTr="00E21378">
        <w:trPr>
          <w:trHeight w:val="181"/>
        </w:trPr>
        <w:tc>
          <w:tcPr>
            <w:tcW w:w="810" w:type="pct"/>
          </w:tcPr>
          <w:p w14:paraId="038A1C7E" w14:textId="77777777" w:rsidR="00BF5CB8" w:rsidRDefault="00BF5CB8" w:rsidP="001A5D4A">
            <w:pPr>
              <w:pStyle w:val="Note-Refs"/>
            </w:pPr>
          </w:p>
        </w:tc>
        <w:tc>
          <w:tcPr>
            <w:tcW w:w="2567" w:type="pct"/>
            <w:vAlign w:val="bottom"/>
          </w:tcPr>
          <w:p w14:paraId="038A1C7F" w14:textId="77777777" w:rsidR="00BF5CB8" w:rsidRDefault="00BF5CB8" w:rsidP="001A5D4A">
            <w:pPr>
              <w:pStyle w:val="NotesTable-ItemPlain"/>
            </w:pPr>
          </w:p>
        </w:tc>
        <w:tc>
          <w:tcPr>
            <w:tcW w:w="406" w:type="pct"/>
            <w:tcBorders>
              <w:bottom w:val="single" w:sz="4" w:space="0" w:color="auto"/>
            </w:tcBorders>
          </w:tcPr>
          <w:p w14:paraId="038A1C80" w14:textId="77777777" w:rsidR="00BF5CB8" w:rsidRDefault="00BF5CB8" w:rsidP="001A5D4A">
            <w:pPr>
              <w:pStyle w:val="NotesTable-CellBold"/>
            </w:pPr>
          </w:p>
        </w:tc>
        <w:tc>
          <w:tcPr>
            <w:tcW w:w="406" w:type="pct"/>
            <w:tcBorders>
              <w:bottom w:val="single" w:sz="4" w:space="0" w:color="auto"/>
            </w:tcBorders>
          </w:tcPr>
          <w:p w14:paraId="038A1C81" w14:textId="77777777" w:rsidR="00BF5CB8" w:rsidRDefault="00BF5CB8" w:rsidP="001A5D4A">
            <w:pPr>
              <w:pStyle w:val="NotesTable-CellPlain"/>
            </w:pPr>
          </w:p>
        </w:tc>
        <w:tc>
          <w:tcPr>
            <w:tcW w:w="406" w:type="pct"/>
            <w:tcBorders>
              <w:bottom w:val="single" w:sz="4" w:space="0" w:color="auto"/>
            </w:tcBorders>
          </w:tcPr>
          <w:p w14:paraId="038A1C82" w14:textId="77777777" w:rsidR="00BF5CB8" w:rsidRDefault="00BF5CB8" w:rsidP="001A5D4A">
            <w:pPr>
              <w:pStyle w:val="NotesTable-CellBold"/>
            </w:pPr>
          </w:p>
        </w:tc>
        <w:tc>
          <w:tcPr>
            <w:tcW w:w="406" w:type="pct"/>
            <w:tcBorders>
              <w:bottom w:val="single" w:sz="4" w:space="0" w:color="auto"/>
            </w:tcBorders>
          </w:tcPr>
          <w:p w14:paraId="038A1C83" w14:textId="77777777" w:rsidR="00BF5CB8" w:rsidRDefault="00BF5CB8" w:rsidP="001A5D4A">
            <w:pPr>
              <w:pStyle w:val="NotesTable-CellPlain"/>
            </w:pPr>
          </w:p>
        </w:tc>
      </w:tr>
      <w:tr w:rsidR="00BF5CB8" w14:paraId="038A1C8B" w14:textId="77777777" w:rsidTr="00E21378">
        <w:trPr>
          <w:trHeight w:val="181"/>
        </w:trPr>
        <w:tc>
          <w:tcPr>
            <w:tcW w:w="810" w:type="pct"/>
          </w:tcPr>
          <w:p w14:paraId="038A1C85" w14:textId="77777777" w:rsidR="00BF5CB8" w:rsidRDefault="00BF5CB8" w:rsidP="001A5D4A">
            <w:pPr>
              <w:pStyle w:val="Note-Refs"/>
            </w:pPr>
          </w:p>
        </w:tc>
        <w:tc>
          <w:tcPr>
            <w:tcW w:w="2567" w:type="pct"/>
            <w:vAlign w:val="bottom"/>
          </w:tcPr>
          <w:p w14:paraId="038A1C86" w14:textId="77777777" w:rsidR="00BF5CB8" w:rsidRDefault="00BF5CB8" w:rsidP="001A5D4A">
            <w:pPr>
              <w:pStyle w:val="NotesTable-ItemPlain"/>
              <w:rPr>
                <w:b/>
              </w:rPr>
            </w:pPr>
            <w:r>
              <w:t xml:space="preserve">Net </w:t>
            </w:r>
            <w:r w:rsidR="00DE5788">
              <w:t>a</w:t>
            </w:r>
            <w:r>
              <w:t>ssets</w:t>
            </w:r>
          </w:p>
        </w:tc>
        <w:tc>
          <w:tcPr>
            <w:tcW w:w="406" w:type="pct"/>
            <w:tcBorders>
              <w:top w:val="single" w:sz="4" w:space="0" w:color="auto"/>
            </w:tcBorders>
          </w:tcPr>
          <w:p w14:paraId="038A1C87" w14:textId="77777777" w:rsidR="00BF5CB8" w:rsidRDefault="00BF5CB8" w:rsidP="001A5D4A">
            <w:pPr>
              <w:pStyle w:val="NotesTable-CellBold"/>
            </w:pPr>
            <w:r>
              <w:t>–</w:t>
            </w:r>
          </w:p>
        </w:tc>
        <w:tc>
          <w:tcPr>
            <w:tcW w:w="406" w:type="pct"/>
            <w:tcBorders>
              <w:top w:val="single" w:sz="4" w:space="0" w:color="auto"/>
            </w:tcBorders>
          </w:tcPr>
          <w:p w14:paraId="038A1C88" w14:textId="77777777" w:rsidR="00BF5CB8" w:rsidRDefault="00BF5CB8" w:rsidP="001A5D4A">
            <w:pPr>
              <w:pStyle w:val="NotesTable-CellPlain"/>
            </w:pPr>
            <w:r>
              <w:t>–</w:t>
            </w:r>
          </w:p>
        </w:tc>
        <w:tc>
          <w:tcPr>
            <w:tcW w:w="406" w:type="pct"/>
            <w:tcBorders>
              <w:top w:val="single" w:sz="4" w:space="0" w:color="auto"/>
            </w:tcBorders>
          </w:tcPr>
          <w:p w14:paraId="038A1C89" w14:textId="77777777" w:rsidR="00BF5CB8" w:rsidRDefault="00BF5CB8" w:rsidP="001A5D4A">
            <w:pPr>
              <w:pStyle w:val="NotesTable-CellBold"/>
            </w:pPr>
            <w:r>
              <w:t>–</w:t>
            </w:r>
          </w:p>
        </w:tc>
        <w:tc>
          <w:tcPr>
            <w:tcW w:w="406" w:type="pct"/>
            <w:tcBorders>
              <w:top w:val="single" w:sz="4" w:space="0" w:color="auto"/>
            </w:tcBorders>
          </w:tcPr>
          <w:p w14:paraId="038A1C8A" w14:textId="77777777" w:rsidR="00BF5CB8" w:rsidRDefault="00BF5CB8" w:rsidP="001A5D4A">
            <w:pPr>
              <w:pStyle w:val="NotesTable-CellPlain"/>
            </w:pPr>
            <w:r>
              <w:t>–</w:t>
            </w:r>
          </w:p>
        </w:tc>
      </w:tr>
      <w:tr w:rsidR="00375F6B" w14:paraId="038A1C92" w14:textId="77777777" w:rsidTr="00E21378">
        <w:trPr>
          <w:trHeight w:val="181"/>
        </w:trPr>
        <w:tc>
          <w:tcPr>
            <w:tcW w:w="810" w:type="pct"/>
          </w:tcPr>
          <w:p w14:paraId="038A1C8C" w14:textId="77777777" w:rsidR="00375F6B" w:rsidRDefault="00375F6B" w:rsidP="001A5D4A">
            <w:pPr>
              <w:pStyle w:val="Note-Refs"/>
            </w:pPr>
          </w:p>
        </w:tc>
        <w:tc>
          <w:tcPr>
            <w:tcW w:w="2567" w:type="pct"/>
            <w:vAlign w:val="bottom"/>
          </w:tcPr>
          <w:p w14:paraId="038A1C8D" w14:textId="77777777" w:rsidR="00375F6B" w:rsidRDefault="00375F6B" w:rsidP="001A5D4A">
            <w:pPr>
              <w:pStyle w:val="NotesTable-ItemPlain"/>
            </w:pPr>
          </w:p>
        </w:tc>
        <w:tc>
          <w:tcPr>
            <w:tcW w:w="406" w:type="pct"/>
          </w:tcPr>
          <w:p w14:paraId="038A1C8E" w14:textId="77777777" w:rsidR="00375F6B" w:rsidRDefault="00375F6B" w:rsidP="001A5D4A">
            <w:pPr>
              <w:pStyle w:val="NotesTable-CellBold"/>
            </w:pPr>
          </w:p>
        </w:tc>
        <w:tc>
          <w:tcPr>
            <w:tcW w:w="406" w:type="pct"/>
          </w:tcPr>
          <w:p w14:paraId="038A1C8F" w14:textId="77777777" w:rsidR="00375F6B" w:rsidRDefault="00375F6B" w:rsidP="001A5D4A">
            <w:pPr>
              <w:pStyle w:val="NotesTable-CellPlain"/>
            </w:pPr>
          </w:p>
        </w:tc>
        <w:tc>
          <w:tcPr>
            <w:tcW w:w="406" w:type="pct"/>
          </w:tcPr>
          <w:p w14:paraId="038A1C90" w14:textId="77777777" w:rsidR="00375F6B" w:rsidRDefault="00375F6B" w:rsidP="001A5D4A">
            <w:pPr>
              <w:pStyle w:val="NotesTable-CellBold"/>
            </w:pPr>
          </w:p>
        </w:tc>
        <w:tc>
          <w:tcPr>
            <w:tcW w:w="406" w:type="pct"/>
          </w:tcPr>
          <w:p w14:paraId="038A1C91" w14:textId="77777777" w:rsidR="00375F6B" w:rsidRDefault="00375F6B" w:rsidP="001A5D4A">
            <w:pPr>
              <w:pStyle w:val="NotesTable-CellPlain"/>
            </w:pPr>
          </w:p>
        </w:tc>
      </w:tr>
      <w:tr w:rsidR="00BF5CB8" w14:paraId="038A1C99" w14:textId="77777777" w:rsidTr="00E21378">
        <w:trPr>
          <w:trHeight w:val="181"/>
        </w:trPr>
        <w:tc>
          <w:tcPr>
            <w:tcW w:w="810" w:type="pct"/>
          </w:tcPr>
          <w:p w14:paraId="038A1C93" w14:textId="77777777" w:rsidR="00BF5CB8" w:rsidRDefault="00BF5CB8" w:rsidP="001A5D4A">
            <w:pPr>
              <w:pStyle w:val="Note-Refs"/>
            </w:pPr>
          </w:p>
        </w:tc>
        <w:tc>
          <w:tcPr>
            <w:tcW w:w="2567" w:type="pct"/>
            <w:vAlign w:val="bottom"/>
          </w:tcPr>
          <w:p w14:paraId="038A1C94" w14:textId="77777777" w:rsidR="00BF5CB8" w:rsidRDefault="00BF5CB8" w:rsidP="001A5D4A">
            <w:pPr>
              <w:pStyle w:val="NotesTable-ItemPlain"/>
              <w:rPr>
                <w:b/>
              </w:rPr>
            </w:pPr>
            <w:r>
              <w:t>Details on the sale of the division</w:t>
            </w:r>
          </w:p>
        </w:tc>
        <w:tc>
          <w:tcPr>
            <w:tcW w:w="406" w:type="pct"/>
          </w:tcPr>
          <w:p w14:paraId="038A1C95" w14:textId="77777777" w:rsidR="00BF5CB8" w:rsidRDefault="00BF5CB8" w:rsidP="001A5D4A">
            <w:pPr>
              <w:pStyle w:val="NotesTable-CellBold"/>
            </w:pPr>
          </w:p>
        </w:tc>
        <w:tc>
          <w:tcPr>
            <w:tcW w:w="406" w:type="pct"/>
          </w:tcPr>
          <w:p w14:paraId="038A1C96" w14:textId="77777777" w:rsidR="00BF5CB8" w:rsidRDefault="00BF5CB8" w:rsidP="001A5D4A">
            <w:pPr>
              <w:pStyle w:val="NotesTable-CellPlain"/>
            </w:pPr>
          </w:p>
        </w:tc>
        <w:tc>
          <w:tcPr>
            <w:tcW w:w="406" w:type="pct"/>
          </w:tcPr>
          <w:p w14:paraId="038A1C97" w14:textId="77777777" w:rsidR="00BF5CB8" w:rsidRDefault="00BF5CB8" w:rsidP="001A5D4A">
            <w:pPr>
              <w:pStyle w:val="NotesTable-CellBold"/>
            </w:pPr>
          </w:p>
        </w:tc>
        <w:tc>
          <w:tcPr>
            <w:tcW w:w="406" w:type="pct"/>
          </w:tcPr>
          <w:p w14:paraId="038A1C98" w14:textId="77777777" w:rsidR="00BF5CB8" w:rsidRDefault="00BF5CB8" w:rsidP="001A5D4A">
            <w:pPr>
              <w:pStyle w:val="NotesTable-CellPlain"/>
            </w:pPr>
          </w:p>
        </w:tc>
      </w:tr>
      <w:tr w:rsidR="00BF5CB8" w14:paraId="038A1CA0" w14:textId="77777777" w:rsidTr="00E21378">
        <w:trPr>
          <w:trHeight w:val="181"/>
        </w:trPr>
        <w:tc>
          <w:tcPr>
            <w:tcW w:w="810" w:type="pct"/>
          </w:tcPr>
          <w:p w14:paraId="038A1C9A" w14:textId="77777777" w:rsidR="00BF5CB8" w:rsidRDefault="00BF5CB8" w:rsidP="001A5D4A">
            <w:pPr>
              <w:pStyle w:val="Note-Refs"/>
              <w:rPr>
                <w:b/>
              </w:rPr>
            </w:pPr>
            <w:r>
              <w:t>AASB107.40b</w:t>
            </w:r>
          </w:p>
        </w:tc>
        <w:tc>
          <w:tcPr>
            <w:tcW w:w="2567" w:type="pct"/>
            <w:vAlign w:val="bottom"/>
          </w:tcPr>
          <w:p w14:paraId="038A1C9B" w14:textId="77777777" w:rsidR="00BF5CB8" w:rsidRDefault="00BF5CB8" w:rsidP="001A5D4A">
            <w:pPr>
              <w:pStyle w:val="NotesTable-ItemPlain"/>
              <w:rPr>
                <w:b/>
              </w:rPr>
            </w:pPr>
            <w:r>
              <w:t>Consideration received or receivable:</w:t>
            </w:r>
          </w:p>
        </w:tc>
        <w:tc>
          <w:tcPr>
            <w:tcW w:w="406" w:type="pct"/>
          </w:tcPr>
          <w:p w14:paraId="038A1C9C" w14:textId="77777777" w:rsidR="00BF5CB8" w:rsidRDefault="00BF5CB8" w:rsidP="001A5D4A">
            <w:pPr>
              <w:pStyle w:val="NotesTable-CellBold"/>
            </w:pPr>
          </w:p>
        </w:tc>
        <w:tc>
          <w:tcPr>
            <w:tcW w:w="406" w:type="pct"/>
          </w:tcPr>
          <w:p w14:paraId="038A1C9D" w14:textId="77777777" w:rsidR="00BF5CB8" w:rsidRDefault="00BF5CB8" w:rsidP="001A5D4A">
            <w:pPr>
              <w:pStyle w:val="NotesTable-CellPlain"/>
            </w:pPr>
          </w:p>
        </w:tc>
        <w:tc>
          <w:tcPr>
            <w:tcW w:w="406" w:type="pct"/>
          </w:tcPr>
          <w:p w14:paraId="038A1C9E" w14:textId="77777777" w:rsidR="00BF5CB8" w:rsidRDefault="00BF5CB8" w:rsidP="001A5D4A">
            <w:pPr>
              <w:pStyle w:val="NotesTable-CellBold"/>
            </w:pPr>
          </w:p>
        </w:tc>
        <w:tc>
          <w:tcPr>
            <w:tcW w:w="406" w:type="pct"/>
          </w:tcPr>
          <w:p w14:paraId="038A1C9F" w14:textId="77777777" w:rsidR="00BF5CB8" w:rsidRDefault="00BF5CB8" w:rsidP="001A5D4A">
            <w:pPr>
              <w:pStyle w:val="NotesTable-CellPlain"/>
            </w:pPr>
          </w:p>
        </w:tc>
      </w:tr>
      <w:tr w:rsidR="00BF5CB8" w14:paraId="038A1CA7" w14:textId="77777777" w:rsidTr="00E21378">
        <w:trPr>
          <w:trHeight w:val="181"/>
        </w:trPr>
        <w:tc>
          <w:tcPr>
            <w:tcW w:w="810" w:type="pct"/>
          </w:tcPr>
          <w:p w14:paraId="038A1CA1" w14:textId="77777777" w:rsidR="00BF5CB8" w:rsidRDefault="00BF5CB8" w:rsidP="001A5D4A">
            <w:pPr>
              <w:pStyle w:val="Note-Refs"/>
            </w:pPr>
          </w:p>
        </w:tc>
        <w:tc>
          <w:tcPr>
            <w:tcW w:w="2567" w:type="pct"/>
            <w:vAlign w:val="bottom"/>
          </w:tcPr>
          <w:p w14:paraId="038A1CA2" w14:textId="77777777" w:rsidR="00BF5CB8" w:rsidRDefault="00BF5CB8" w:rsidP="001A5D4A">
            <w:pPr>
              <w:pStyle w:val="NotesTable-ItemPlain"/>
              <w:rPr>
                <w:b/>
              </w:rPr>
            </w:pPr>
            <w:r>
              <w:t>Cash</w:t>
            </w:r>
          </w:p>
        </w:tc>
        <w:tc>
          <w:tcPr>
            <w:tcW w:w="406" w:type="pct"/>
          </w:tcPr>
          <w:p w14:paraId="038A1CA3" w14:textId="77777777" w:rsidR="00BF5CB8" w:rsidRDefault="00BF5CB8" w:rsidP="001A5D4A">
            <w:pPr>
              <w:pStyle w:val="NotesTable-CellBold"/>
            </w:pPr>
            <w:r>
              <w:t>–</w:t>
            </w:r>
          </w:p>
        </w:tc>
        <w:tc>
          <w:tcPr>
            <w:tcW w:w="406" w:type="pct"/>
          </w:tcPr>
          <w:p w14:paraId="038A1CA4" w14:textId="77777777" w:rsidR="00BF5CB8" w:rsidRDefault="00BF5CB8" w:rsidP="001A5D4A">
            <w:pPr>
              <w:pStyle w:val="NotesTable-CellPlain"/>
            </w:pPr>
            <w:r>
              <w:t>–</w:t>
            </w:r>
          </w:p>
        </w:tc>
        <w:tc>
          <w:tcPr>
            <w:tcW w:w="406" w:type="pct"/>
          </w:tcPr>
          <w:p w14:paraId="038A1CA5" w14:textId="77777777" w:rsidR="00BF5CB8" w:rsidRDefault="00BF5CB8" w:rsidP="001A5D4A">
            <w:pPr>
              <w:pStyle w:val="NotesTable-CellBold"/>
            </w:pPr>
            <w:r>
              <w:t>–</w:t>
            </w:r>
          </w:p>
        </w:tc>
        <w:tc>
          <w:tcPr>
            <w:tcW w:w="406" w:type="pct"/>
          </w:tcPr>
          <w:p w14:paraId="038A1CA6" w14:textId="77777777" w:rsidR="00BF5CB8" w:rsidRDefault="00BF5CB8" w:rsidP="001A5D4A">
            <w:pPr>
              <w:pStyle w:val="NotesTable-CellPlain"/>
            </w:pPr>
            <w:r>
              <w:t>–</w:t>
            </w:r>
          </w:p>
        </w:tc>
      </w:tr>
      <w:tr w:rsidR="00BF5CB8" w14:paraId="038A1CAE" w14:textId="77777777" w:rsidTr="00E21378">
        <w:trPr>
          <w:trHeight w:val="181"/>
        </w:trPr>
        <w:tc>
          <w:tcPr>
            <w:tcW w:w="810" w:type="pct"/>
          </w:tcPr>
          <w:p w14:paraId="038A1CA8" w14:textId="77777777" w:rsidR="00BF5CB8" w:rsidRDefault="00BF5CB8" w:rsidP="001A5D4A">
            <w:pPr>
              <w:pStyle w:val="Note-Refs"/>
            </w:pPr>
          </w:p>
        </w:tc>
        <w:tc>
          <w:tcPr>
            <w:tcW w:w="2567" w:type="pct"/>
            <w:vAlign w:val="bottom"/>
          </w:tcPr>
          <w:p w14:paraId="038A1CA9" w14:textId="77777777" w:rsidR="00BF5CB8" w:rsidRDefault="00BF5CB8" w:rsidP="001A5D4A">
            <w:pPr>
              <w:pStyle w:val="NotesTable-ItemPlain"/>
              <w:rPr>
                <w:b/>
                <w:i/>
              </w:rPr>
            </w:pPr>
            <w:r>
              <w:t xml:space="preserve">Present value of amount due on </w:t>
            </w:r>
            <w:r w:rsidRPr="00F33C1D">
              <w:t>[date]</w:t>
            </w:r>
          </w:p>
        </w:tc>
        <w:tc>
          <w:tcPr>
            <w:tcW w:w="406" w:type="pct"/>
            <w:tcBorders>
              <w:bottom w:val="single" w:sz="4" w:space="0" w:color="000000"/>
            </w:tcBorders>
          </w:tcPr>
          <w:p w14:paraId="038A1CAA" w14:textId="77777777" w:rsidR="00BF5CB8" w:rsidRDefault="00BF5CB8" w:rsidP="001A5D4A">
            <w:pPr>
              <w:pStyle w:val="NotesTable-CellBold"/>
            </w:pPr>
            <w:r>
              <w:t>–</w:t>
            </w:r>
          </w:p>
        </w:tc>
        <w:tc>
          <w:tcPr>
            <w:tcW w:w="406" w:type="pct"/>
            <w:tcBorders>
              <w:bottom w:val="single" w:sz="4" w:space="0" w:color="000000"/>
            </w:tcBorders>
          </w:tcPr>
          <w:p w14:paraId="038A1CAB" w14:textId="77777777" w:rsidR="00BF5CB8" w:rsidRDefault="00BF5CB8" w:rsidP="001A5D4A">
            <w:pPr>
              <w:pStyle w:val="NotesTable-CellPlain"/>
            </w:pPr>
            <w:r>
              <w:t>–</w:t>
            </w:r>
          </w:p>
        </w:tc>
        <w:tc>
          <w:tcPr>
            <w:tcW w:w="406" w:type="pct"/>
            <w:tcBorders>
              <w:bottom w:val="single" w:sz="4" w:space="0" w:color="000000"/>
            </w:tcBorders>
          </w:tcPr>
          <w:p w14:paraId="038A1CAC" w14:textId="77777777" w:rsidR="00BF5CB8" w:rsidRDefault="00BF5CB8" w:rsidP="001A5D4A">
            <w:pPr>
              <w:pStyle w:val="NotesTable-CellBold"/>
            </w:pPr>
            <w:r>
              <w:t>–</w:t>
            </w:r>
          </w:p>
        </w:tc>
        <w:tc>
          <w:tcPr>
            <w:tcW w:w="406" w:type="pct"/>
            <w:tcBorders>
              <w:bottom w:val="single" w:sz="4" w:space="0" w:color="000000"/>
            </w:tcBorders>
          </w:tcPr>
          <w:p w14:paraId="038A1CAD" w14:textId="77777777" w:rsidR="00BF5CB8" w:rsidRDefault="00BF5CB8" w:rsidP="001A5D4A">
            <w:pPr>
              <w:pStyle w:val="NotesTable-CellPlain"/>
            </w:pPr>
            <w:r>
              <w:t>–</w:t>
            </w:r>
          </w:p>
        </w:tc>
      </w:tr>
      <w:tr w:rsidR="00BF5CB8" w14:paraId="038A1CB5" w14:textId="77777777" w:rsidTr="00E21378">
        <w:trPr>
          <w:trHeight w:val="181"/>
        </w:trPr>
        <w:tc>
          <w:tcPr>
            <w:tcW w:w="810" w:type="pct"/>
          </w:tcPr>
          <w:p w14:paraId="038A1CAF" w14:textId="77777777" w:rsidR="00BF5CB8" w:rsidRDefault="00BF5CB8" w:rsidP="001A5D4A">
            <w:pPr>
              <w:pStyle w:val="Note-Refs"/>
            </w:pPr>
          </w:p>
        </w:tc>
        <w:tc>
          <w:tcPr>
            <w:tcW w:w="2567" w:type="pct"/>
            <w:vAlign w:val="bottom"/>
          </w:tcPr>
          <w:p w14:paraId="038A1CB0" w14:textId="77777777" w:rsidR="00BF5CB8" w:rsidRDefault="00BF5CB8" w:rsidP="001A5D4A">
            <w:pPr>
              <w:pStyle w:val="NotesTable-ItemPlain"/>
              <w:rPr>
                <w:b/>
              </w:rPr>
            </w:pPr>
            <w:r>
              <w:t>Total disposal consideration</w:t>
            </w:r>
          </w:p>
        </w:tc>
        <w:tc>
          <w:tcPr>
            <w:tcW w:w="406" w:type="pct"/>
            <w:tcBorders>
              <w:top w:val="single" w:sz="4" w:space="0" w:color="000000"/>
            </w:tcBorders>
          </w:tcPr>
          <w:p w14:paraId="038A1CB1" w14:textId="77777777" w:rsidR="00BF5CB8" w:rsidRDefault="00BF5CB8" w:rsidP="001A5D4A">
            <w:pPr>
              <w:pStyle w:val="NotesTable-CellBold"/>
            </w:pPr>
            <w:r>
              <w:t>–</w:t>
            </w:r>
          </w:p>
        </w:tc>
        <w:tc>
          <w:tcPr>
            <w:tcW w:w="406" w:type="pct"/>
            <w:tcBorders>
              <w:top w:val="single" w:sz="4" w:space="0" w:color="000000"/>
            </w:tcBorders>
          </w:tcPr>
          <w:p w14:paraId="038A1CB2" w14:textId="77777777" w:rsidR="00BF5CB8" w:rsidRDefault="00BF5CB8" w:rsidP="001A5D4A">
            <w:pPr>
              <w:pStyle w:val="NotesTable-CellPlain"/>
            </w:pPr>
            <w:r>
              <w:t>–</w:t>
            </w:r>
          </w:p>
        </w:tc>
        <w:tc>
          <w:tcPr>
            <w:tcW w:w="406" w:type="pct"/>
            <w:tcBorders>
              <w:top w:val="single" w:sz="4" w:space="0" w:color="000000"/>
            </w:tcBorders>
          </w:tcPr>
          <w:p w14:paraId="038A1CB3" w14:textId="77777777" w:rsidR="00BF5CB8" w:rsidRDefault="00BF5CB8" w:rsidP="001A5D4A">
            <w:pPr>
              <w:pStyle w:val="NotesTable-CellBold"/>
            </w:pPr>
            <w:r>
              <w:t>–</w:t>
            </w:r>
          </w:p>
        </w:tc>
        <w:tc>
          <w:tcPr>
            <w:tcW w:w="406" w:type="pct"/>
            <w:tcBorders>
              <w:top w:val="single" w:sz="4" w:space="0" w:color="000000"/>
            </w:tcBorders>
          </w:tcPr>
          <w:p w14:paraId="038A1CB4" w14:textId="77777777" w:rsidR="00BF5CB8" w:rsidRDefault="00BF5CB8" w:rsidP="001A5D4A">
            <w:pPr>
              <w:pStyle w:val="NotesTable-CellPlain"/>
            </w:pPr>
            <w:r>
              <w:t>–</w:t>
            </w:r>
          </w:p>
        </w:tc>
      </w:tr>
      <w:tr w:rsidR="00BF5CB8" w14:paraId="038A1CBC" w14:textId="77777777" w:rsidTr="00E21378">
        <w:trPr>
          <w:trHeight w:val="181"/>
        </w:trPr>
        <w:tc>
          <w:tcPr>
            <w:tcW w:w="810" w:type="pct"/>
          </w:tcPr>
          <w:p w14:paraId="038A1CB6" w14:textId="77777777" w:rsidR="00BF5CB8" w:rsidRDefault="00BF5CB8" w:rsidP="001A5D4A">
            <w:pPr>
              <w:pStyle w:val="Note-Refs"/>
            </w:pPr>
          </w:p>
        </w:tc>
        <w:tc>
          <w:tcPr>
            <w:tcW w:w="2567" w:type="pct"/>
            <w:vAlign w:val="bottom"/>
          </w:tcPr>
          <w:p w14:paraId="038A1CB7" w14:textId="77777777" w:rsidR="00BF5CB8" w:rsidRDefault="00BF5CB8" w:rsidP="001A5D4A">
            <w:pPr>
              <w:pStyle w:val="NotesTable-ItemPlain"/>
            </w:pPr>
          </w:p>
        </w:tc>
        <w:tc>
          <w:tcPr>
            <w:tcW w:w="406" w:type="pct"/>
          </w:tcPr>
          <w:p w14:paraId="038A1CB8" w14:textId="77777777" w:rsidR="00BF5CB8" w:rsidRDefault="00BF5CB8" w:rsidP="001A5D4A">
            <w:pPr>
              <w:pStyle w:val="NotesTable-CellBold"/>
            </w:pPr>
          </w:p>
        </w:tc>
        <w:tc>
          <w:tcPr>
            <w:tcW w:w="406" w:type="pct"/>
          </w:tcPr>
          <w:p w14:paraId="038A1CB9" w14:textId="77777777" w:rsidR="00BF5CB8" w:rsidRDefault="00BF5CB8" w:rsidP="001A5D4A">
            <w:pPr>
              <w:pStyle w:val="NotesTable-CellPlain"/>
            </w:pPr>
          </w:p>
        </w:tc>
        <w:tc>
          <w:tcPr>
            <w:tcW w:w="406" w:type="pct"/>
          </w:tcPr>
          <w:p w14:paraId="038A1CBA" w14:textId="77777777" w:rsidR="00BF5CB8" w:rsidRDefault="00BF5CB8" w:rsidP="001A5D4A">
            <w:pPr>
              <w:pStyle w:val="NotesTable-CellBold"/>
            </w:pPr>
          </w:p>
        </w:tc>
        <w:tc>
          <w:tcPr>
            <w:tcW w:w="406" w:type="pct"/>
          </w:tcPr>
          <w:p w14:paraId="038A1CBB" w14:textId="77777777" w:rsidR="00BF5CB8" w:rsidRDefault="00BF5CB8" w:rsidP="001A5D4A">
            <w:pPr>
              <w:pStyle w:val="NotesTable-CellPlain"/>
            </w:pPr>
          </w:p>
        </w:tc>
      </w:tr>
      <w:tr w:rsidR="00BF5CB8" w14:paraId="038A1CC3" w14:textId="77777777" w:rsidTr="00E21378">
        <w:trPr>
          <w:trHeight w:val="181"/>
        </w:trPr>
        <w:tc>
          <w:tcPr>
            <w:tcW w:w="810" w:type="pct"/>
          </w:tcPr>
          <w:p w14:paraId="038A1CBD" w14:textId="77777777" w:rsidR="00BF5CB8" w:rsidRDefault="00BF5CB8" w:rsidP="001A5D4A">
            <w:pPr>
              <w:pStyle w:val="Note-Refs"/>
              <w:rPr>
                <w:b/>
              </w:rPr>
            </w:pPr>
            <w:r>
              <w:t>AASB107.40a</w:t>
            </w:r>
          </w:p>
        </w:tc>
        <w:tc>
          <w:tcPr>
            <w:tcW w:w="2567" w:type="pct"/>
            <w:vAlign w:val="bottom"/>
          </w:tcPr>
          <w:p w14:paraId="038A1CBE" w14:textId="77777777" w:rsidR="00BF5CB8" w:rsidRDefault="00BF5CB8" w:rsidP="001A5D4A">
            <w:pPr>
              <w:pStyle w:val="NotesTable-ItemPlain"/>
              <w:rPr>
                <w:b/>
              </w:rPr>
            </w:pPr>
            <w:r>
              <w:t>Carrying amount of net assets sold</w:t>
            </w:r>
          </w:p>
        </w:tc>
        <w:tc>
          <w:tcPr>
            <w:tcW w:w="406" w:type="pct"/>
            <w:tcBorders>
              <w:bottom w:val="single" w:sz="4" w:space="0" w:color="000000"/>
            </w:tcBorders>
          </w:tcPr>
          <w:p w14:paraId="038A1CBF" w14:textId="77777777" w:rsidR="00BF5CB8" w:rsidRDefault="00BF5CB8" w:rsidP="001A5D4A">
            <w:pPr>
              <w:pStyle w:val="NotesTable-CellBold"/>
            </w:pPr>
            <w:r>
              <w:t>–</w:t>
            </w:r>
          </w:p>
        </w:tc>
        <w:tc>
          <w:tcPr>
            <w:tcW w:w="406" w:type="pct"/>
            <w:tcBorders>
              <w:bottom w:val="single" w:sz="4" w:space="0" w:color="000000"/>
            </w:tcBorders>
          </w:tcPr>
          <w:p w14:paraId="038A1CC0" w14:textId="77777777" w:rsidR="00BF5CB8" w:rsidRDefault="00BF5CB8" w:rsidP="001A5D4A">
            <w:pPr>
              <w:pStyle w:val="NotesTable-CellPlain"/>
            </w:pPr>
            <w:r>
              <w:t>–</w:t>
            </w:r>
          </w:p>
        </w:tc>
        <w:tc>
          <w:tcPr>
            <w:tcW w:w="406" w:type="pct"/>
            <w:tcBorders>
              <w:bottom w:val="single" w:sz="4" w:space="0" w:color="000000"/>
            </w:tcBorders>
          </w:tcPr>
          <w:p w14:paraId="038A1CC1" w14:textId="77777777" w:rsidR="00BF5CB8" w:rsidRDefault="00BF5CB8" w:rsidP="001A5D4A">
            <w:pPr>
              <w:pStyle w:val="NotesTable-CellBold"/>
            </w:pPr>
            <w:r>
              <w:t>–</w:t>
            </w:r>
          </w:p>
        </w:tc>
        <w:tc>
          <w:tcPr>
            <w:tcW w:w="406" w:type="pct"/>
            <w:tcBorders>
              <w:bottom w:val="single" w:sz="4" w:space="0" w:color="000000"/>
            </w:tcBorders>
          </w:tcPr>
          <w:p w14:paraId="038A1CC2" w14:textId="77777777" w:rsidR="00BF5CB8" w:rsidRDefault="00BF5CB8" w:rsidP="001A5D4A">
            <w:pPr>
              <w:pStyle w:val="NotesTable-CellPlain"/>
            </w:pPr>
            <w:r>
              <w:t>–</w:t>
            </w:r>
          </w:p>
        </w:tc>
      </w:tr>
      <w:tr w:rsidR="00BF5CB8" w14:paraId="038A1CCA" w14:textId="77777777" w:rsidTr="00E21378">
        <w:trPr>
          <w:trHeight w:val="181"/>
        </w:trPr>
        <w:tc>
          <w:tcPr>
            <w:tcW w:w="810" w:type="pct"/>
          </w:tcPr>
          <w:p w14:paraId="038A1CC4" w14:textId="77777777" w:rsidR="00BF5CB8" w:rsidRDefault="00BF5CB8" w:rsidP="001A5D4A">
            <w:pPr>
              <w:pStyle w:val="Note-Refs"/>
            </w:pPr>
          </w:p>
        </w:tc>
        <w:tc>
          <w:tcPr>
            <w:tcW w:w="2567" w:type="pct"/>
            <w:vAlign w:val="bottom"/>
          </w:tcPr>
          <w:p w14:paraId="038A1CC5" w14:textId="77777777" w:rsidR="00BF5CB8" w:rsidRDefault="00BF5CB8" w:rsidP="001A5D4A">
            <w:pPr>
              <w:pStyle w:val="NotesTable-ItemPlain"/>
              <w:rPr>
                <w:b/>
              </w:rPr>
            </w:pPr>
            <w:r>
              <w:t>Gain on sale before income tax</w:t>
            </w:r>
          </w:p>
        </w:tc>
        <w:tc>
          <w:tcPr>
            <w:tcW w:w="406" w:type="pct"/>
            <w:tcBorders>
              <w:top w:val="single" w:sz="4" w:space="0" w:color="000000"/>
            </w:tcBorders>
          </w:tcPr>
          <w:p w14:paraId="038A1CC6" w14:textId="77777777" w:rsidR="00BF5CB8" w:rsidRDefault="00BF5CB8" w:rsidP="001A5D4A">
            <w:pPr>
              <w:pStyle w:val="NotesTable-CellBold"/>
            </w:pPr>
            <w:r>
              <w:t>–</w:t>
            </w:r>
          </w:p>
        </w:tc>
        <w:tc>
          <w:tcPr>
            <w:tcW w:w="406" w:type="pct"/>
            <w:tcBorders>
              <w:top w:val="single" w:sz="4" w:space="0" w:color="000000"/>
            </w:tcBorders>
          </w:tcPr>
          <w:p w14:paraId="038A1CC7" w14:textId="77777777" w:rsidR="00BF5CB8" w:rsidRDefault="00BF5CB8" w:rsidP="001A5D4A">
            <w:pPr>
              <w:pStyle w:val="NotesTable-CellPlain"/>
            </w:pPr>
            <w:r>
              <w:t>–</w:t>
            </w:r>
          </w:p>
        </w:tc>
        <w:tc>
          <w:tcPr>
            <w:tcW w:w="406" w:type="pct"/>
            <w:tcBorders>
              <w:top w:val="single" w:sz="4" w:space="0" w:color="000000"/>
            </w:tcBorders>
          </w:tcPr>
          <w:p w14:paraId="038A1CC8" w14:textId="77777777" w:rsidR="00BF5CB8" w:rsidRDefault="00BF5CB8" w:rsidP="001A5D4A">
            <w:pPr>
              <w:pStyle w:val="NotesTable-CellBold"/>
            </w:pPr>
            <w:r>
              <w:t>–</w:t>
            </w:r>
          </w:p>
        </w:tc>
        <w:tc>
          <w:tcPr>
            <w:tcW w:w="406" w:type="pct"/>
            <w:tcBorders>
              <w:top w:val="single" w:sz="4" w:space="0" w:color="000000"/>
            </w:tcBorders>
          </w:tcPr>
          <w:p w14:paraId="038A1CC9" w14:textId="77777777" w:rsidR="00BF5CB8" w:rsidRDefault="00BF5CB8" w:rsidP="001A5D4A">
            <w:pPr>
              <w:pStyle w:val="NotesTable-CellPlain"/>
            </w:pPr>
            <w:r>
              <w:t>–</w:t>
            </w:r>
          </w:p>
        </w:tc>
      </w:tr>
      <w:tr w:rsidR="00BF5CB8" w14:paraId="038A1CD1" w14:textId="77777777" w:rsidTr="00E21378">
        <w:trPr>
          <w:trHeight w:val="181"/>
        </w:trPr>
        <w:tc>
          <w:tcPr>
            <w:tcW w:w="810" w:type="pct"/>
          </w:tcPr>
          <w:p w14:paraId="038A1CCB" w14:textId="77777777" w:rsidR="00BF5CB8" w:rsidRDefault="00BF5CB8" w:rsidP="001A5D4A">
            <w:pPr>
              <w:pStyle w:val="Note-Refs"/>
            </w:pPr>
          </w:p>
        </w:tc>
        <w:tc>
          <w:tcPr>
            <w:tcW w:w="2567" w:type="pct"/>
            <w:vAlign w:val="bottom"/>
          </w:tcPr>
          <w:p w14:paraId="038A1CCC" w14:textId="77777777" w:rsidR="00BF5CB8" w:rsidRDefault="00BF5CB8" w:rsidP="001A5D4A">
            <w:pPr>
              <w:pStyle w:val="NotesTable-ItemPlain"/>
            </w:pPr>
          </w:p>
        </w:tc>
        <w:tc>
          <w:tcPr>
            <w:tcW w:w="406" w:type="pct"/>
          </w:tcPr>
          <w:p w14:paraId="038A1CCD" w14:textId="77777777" w:rsidR="00BF5CB8" w:rsidRDefault="00BF5CB8" w:rsidP="001A5D4A">
            <w:pPr>
              <w:pStyle w:val="NotesTable-CellBold"/>
            </w:pPr>
          </w:p>
        </w:tc>
        <w:tc>
          <w:tcPr>
            <w:tcW w:w="406" w:type="pct"/>
          </w:tcPr>
          <w:p w14:paraId="038A1CCE" w14:textId="77777777" w:rsidR="00BF5CB8" w:rsidRDefault="00BF5CB8" w:rsidP="001A5D4A">
            <w:pPr>
              <w:pStyle w:val="NotesTable-CellPlain"/>
            </w:pPr>
          </w:p>
        </w:tc>
        <w:tc>
          <w:tcPr>
            <w:tcW w:w="406" w:type="pct"/>
          </w:tcPr>
          <w:p w14:paraId="038A1CCF" w14:textId="77777777" w:rsidR="00BF5CB8" w:rsidRDefault="00BF5CB8" w:rsidP="001A5D4A">
            <w:pPr>
              <w:pStyle w:val="NotesTable-CellBold"/>
            </w:pPr>
          </w:p>
        </w:tc>
        <w:tc>
          <w:tcPr>
            <w:tcW w:w="406" w:type="pct"/>
          </w:tcPr>
          <w:p w14:paraId="038A1CD0" w14:textId="77777777" w:rsidR="00BF5CB8" w:rsidRDefault="00BF5CB8" w:rsidP="001A5D4A">
            <w:pPr>
              <w:pStyle w:val="NotesTable-CellPlain"/>
            </w:pPr>
          </w:p>
        </w:tc>
      </w:tr>
      <w:tr w:rsidR="00BF5CB8" w14:paraId="038A1CD8" w14:textId="77777777" w:rsidTr="00E21378">
        <w:trPr>
          <w:trHeight w:val="181"/>
        </w:trPr>
        <w:tc>
          <w:tcPr>
            <w:tcW w:w="810" w:type="pct"/>
          </w:tcPr>
          <w:p w14:paraId="038A1CD2" w14:textId="77777777" w:rsidR="00BF5CB8" w:rsidRDefault="00BF5CB8" w:rsidP="001A5D4A">
            <w:pPr>
              <w:pStyle w:val="Note-Refs"/>
            </w:pPr>
          </w:p>
        </w:tc>
        <w:tc>
          <w:tcPr>
            <w:tcW w:w="2567" w:type="pct"/>
            <w:vAlign w:val="bottom"/>
          </w:tcPr>
          <w:p w14:paraId="038A1CD3" w14:textId="77777777" w:rsidR="00BF5CB8" w:rsidRDefault="00BF5CB8" w:rsidP="001A5D4A">
            <w:pPr>
              <w:pStyle w:val="NotesTable-ItemPlain"/>
              <w:rPr>
                <w:b/>
              </w:rPr>
            </w:pPr>
            <w:r>
              <w:t>Income tax expense</w:t>
            </w:r>
          </w:p>
        </w:tc>
        <w:tc>
          <w:tcPr>
            <w:tcW w:w="406" w:type="pct"/>
            <w:tcBorders>
              <w:bottom w:val="single" w:sz="4" w:space="0" w:color="000000"/>
            </w:tcBorders>
          </w:tcPr>
          <w:p w14:paraId="038A1CD4" w14:textId="77777777" w:rsidR="00BF5CB8" w:rsidRDefault="00BF5CB8" w:rsidP="001A5D4A">
            <w:pPr>
              <w:pStyle w:val="NotesTable-CellBold"/>
            </w:pPr>
            <w:r>
              <w:t>–</w:t>
            </w:r>
          </w:p>
        </w:tc>
        <w:tc>
          <w:tcPr>
            <w:tcW w:w="406" w:type="pct"/>
            <w:tcBorders>
              <w:bottom w:val="single" w:sz="4" w:space="0" w:color="000000"/>
            </w:tcBorders>
          </w:tcPr>
          <w:p w14:paraId="038A1CD5" w14:textId="77777777" w:rsidR="00BF5CB8" w:rsidRDefault="00BF5CB8" w:rsidP="001A5D4A">
            <w:pPr>
              <w:pStyle w:val="NotesTable-CellPlain"/>
            </w:pPr>
            <w:r>
              <w:t>–</w:t>
            </w:r>
          </w:p>
        </w:tc>
        <w:tc>
          <w:tcPr>
            <w:tcW w:w="406" w:type="pct"/>
            <w:tcBorders>
              <w:bottom w:val="single" w:sz="4" w:space="0" w:color="000000"/>
            </w:tcBorders>
          </w:tcPr>
          <w:p w14:paraId="038A1CD6" w14:textId="77777777" w:rsidR="00BF5CB8" w:rsidRDefault="00BF5CB8" w:rsidP="001A5D4A">
            <w:pPr>
              <w:pStyle w:val="NotesTable-CellBold"/>
            </w:pPr>
            <w:r>
              <w:t>–</w:t>
            </w:r>
          </w:p>
        </w:tc>
        <w:tc>
          <w:tcPr>
            <w:tcW w:w="406" w:type="pct"/>
            <w:tcBorders>
              <w:bottom w:val="single" w:sz="4" w:space="0" w:color="000000"/>
            </w:tcBorders>
          </w:tcPr>
          <w:p w14:paraId="038A1CD7" w14:textId="77777777" w:rsidR="00BF5CB8" w:rsidRDefault="00BF5CB8" w:rsidP="001A5D4A">
            <w:pPr>
              <w:pStyle w:val="NotesTable-CellPlain"/>
            </w:pPr>
            <w:r>
              <w:t>–</w:t>
            </w:r>
          </w:p>
        </w:tc>
      </w:tr>
      <w:tr w:rsidR="00BF5CB8" w14:paraId="038A1CDF" w14:textId="77777777" w:rsidTr="00E21378">
        <w:trPr>
          <w:trHeight w:val="181"/>
        </w:trPr>
        <w:tc>
          <w:tcPr>
            <w:tcW w:w="810" w:type="pct"/>
          </w:tcPr>
          <w:p w14:paraId="038A1CD9" w14:textId="77777777" w:rsidR="00BF5CB8" w:rsidRDefault="00BF5CB8" w:rsidP="001A5D4A">
            <w:pPr>
              <w:pStyle w:val="Note-Refs"/>
            </w:pPr>
          </w:p>
        </w:tc>
        <w:tc>
          <w:tcPr>
            <w:tcW w:w="2567" w:type="pct"/>
            <w:vAlign w:val="bottom"/>
          </w:tcPr>
          <w:p w14:paraId="038A1CDA" w14:textId="77777777" w:rsidR="00BF5CB8" w:rsidRDefault="00BF5CB8" w:rsidP="001A5D4A">
            <w:pPr>
              <w:pStyle w:val="NotesTable-ItemPlain"/>
              <w:rPr>
                <w:b/>
              </w:rPr>
            </w:pPr>
            <w:r>
              <w:t>Gain on sale after income tax</w:t>
            </w:r>
          </w:p>
        </w:tc>
        <w:tc>
          <w:tcPr>
            <w:tcW w:w="406" w:type="pct"/>
            <w:tcBorders>
              <w:top w:val="single" w:sz="4" w:space="0" w:color="000000"/>
            </w:tcBorders>
          </w:tcPr>
          <w:p w14:paraId="038A1CDB" w14:textId="77777777" w:rsidR="00BF5CB8" w:rsidRDefault="00BF5CB8" w:rsidP="001A5D4A">
            <w:pPr>
              <w:pStyle w:val="NotesTable-CellBold"/>
            </w:pPr>
            <w:r>
              <w:t>–</w:t>
            </w:r>
          </w:p>
        </w:tc>
        <w:tc>
          <w:tcPr>
            <w:tcW w:w="406" w:type="pct"/>
            <w:tcBorders>
              <w:top w:val="single" w:sz="4" w:space="0" w:color="000000"/>
            </w:tcBorders>
          </w:tcPr>
          <w:p w14:paraId="038A1CDC" w14:textId="77777777" w:rsidR="00BF5CB8" w:rsidRDefault="00BF5CB8" w:rsidP="001A5D4A">
            <w:pPr>
              <w:pStyle w:val="NotesTable-CellPlain"/>
            </w:pPr>
            <w:r>
              <w:t>–</w:t>
            </w:r>
          </w:p>
        </w:tc>
        <w:tc>
          <w:tcPr>
            <w:tcW w:w="406" w:type="pct"/>
            <w:tcBorders>
              <w:top w:val="single" w:sz="4" w:space="0" w:color="000000"/>
            </w:tcBorders>
          </w:tcPr>
          <w:p w14:paraId="038A1CDD" w14:textId="77777777" w:rsidR="00BF5CB8" w:rsidRDefault="00BF5CB8" w:rsidP="001A5D4A">
            <w:pPr>
              <w:pStyle w:val="NotesTable-CellBold"/>
            </w:pPr>
            <w:r>
              <w:t>–</w:t>
            </w:r>
          </w:p>
        </w:tc>
        <w:tc>
          <w:tcPr>
            <w:tcW w:w="406" w:type="pct"/>
            <w:tcBorders>
              <w:top w:val="single" w:sz="4" w:space="0" w:color="000000"/>
            </w:tcBorders>
          </w:tcPr>
          <w:p w14:paraId="038A1CDE" w14:textId="77777777" w:rsidR="00BF5CB8" w:rsidRDefault="00BF5CB8" w:rsidP="001A5D4A">
            <w:pPr>
              <w:pStyle w:val="NotesTable-CellPlain"/>
            </w:pPr>
            <w:r>
              <w:t>–</w:t>
            </w:r>
          </w:p>
        </w:tc>
      </w:tr>
    </w:tbl>
    <w:p w14:paraId="038A1CE0" w14:textId="77777777" w:rsidR="00023312" w:rsidRPr="00AB1F1D" w:rsidRDefault="00AB1F1D" w:rsidP="001A5D4A">
      <w:r>
        <w:br w:type="page"/>
      </w:r>
    </w:p>
    <w:tbl>
      <w:tblPr>
        <w:tblW w:w="5000" w:type="pct"/>
        <w:tblCellMar>
          <w:left w:w="0" w:type="dxa"/>
          <w:right w:w="0" w:type="dxa"/>
        </w:tblCellMar>
        <w:tblLook w:val="0000" w:firstRow="0" w:lastRow="0" w:firstColumn="0" w:lastColumn="0" w:noHBand="0" w:noVBand="0"/>
      </w:tblPr>
      <w:tblGrid>
        <w:gridCol w:w="1581"/>
        <w:gridCol w:w="4477"/>
        <w:gridCol w:w="527"/>
        <w:gridCol w:w="792"/>
        <w:gridCol w:w="792"/>
        <w:gridCol w:w="792"/>
        <w:gridCol w:w="790"/>
      </w:tblGrid>
      <w:tr w:rsidR="00236F7B" w14:paraId="6B909B4C" w14:textId="77777777" w:rsidTr="00236F7B">
        <w:trPr>
          <w:trHeight w:val="181"/>
        </w:trPr>
        <w:tc>
          <w:tcPr>
            <w:tcW w:w="5000" w:type="pct"/>
            <w:gridSpan w:val="7"/>
            <w:shd w:val="clear" w:color="auto" w:fill="auto"/>
          </w:tcPr>
          <w:p w14:paraId="61AAABE0" w14:textId="56F2A7B7" w:rsidR="00236F7B" w:rsidRDefault="00236F7B" w:rsidP="00236F7B">
            <w:pPr>
              <w:pStyle w:val="TOC3"/>
              <w:ind w:left="0"/>
            </w:pPr>
            <w:r>
              <w:lastRenderedPageBreak/>
              <w:t>Note 17. Discontinued operations (continued)</w:t>
            </w:r>
          </w:p>
        </w:tc>
      </w:tr>
      <w:tr w:rsidR="00236F7B" w14:paraId="641EC4E3" w14:textId="77777777" w:rsidTr="00236F7B">
        <w:trPr>
          <w:trHeight w:val="181"/>
        </w:trPr>
        <w:tc>
          <w:tcPr>
            <w:tcW w:w="811" w:type="pct"/>
            <w:shd w:val="clear" w:color="auto" w:fill="auto"/>
          </w:tcPr>
          <w:p w14:paraId="305F8A2A" w14:textId="77777777" w:rsidR="00236F7B" w:rsidRDefault="00236F7B" w:rsidP="00B410E2">
            <w:pPr>
              <w:spacing w:after="0"/>
            </w:pPr>
            <w:r>
              <w:t>AASB5</w:t>
            </w:r>
          </w:p>
          <w:p w14:paraId="52D81FAA" w14:textId="5C442740" w:rsidR="00B410E2" w:rsidRDefault="00B410E2" w:rsidP="00B410E2">
            <w:pPr>
              <w:spacing w:after="0"/>
            </w:pPr>
            <w:r>
              <w:t>Education</w:t>
            </w:r>
          </w:p>
        </w:tc>
        <w:tc>
          <w:tcPr>
            <w:tcW w:w="2296" w:type="pct"/>
            <w:shd w:val="clear" w:color="auto" w:fill="auto"/>
            <w:vAlign w:val="bottom"/>
          </w:tcPr>
          <w:p w14:paraId="48439F97" w14:textId="77777777" w:rsidR="00236F7B" w:rsidRDefault="00236F7B" w:rsidP="001A5D4A">
            <w:pPr>
              <w:pStyle w:val="NotesTable-ItemPlain"/>
            </w:pPr>
          </w:p>
        </w:tc>
        <w:tc>
          <w:tcPr>
            <w:tcW w:w="270" w:type="pct"/>
            <w:shd w:val="clear" w:color="auto" w:fill="auto"/>
          </w:tcPr>
          <w:p w14:paraId="654E2DBC" w14:textId="77777777" w:rsidR="00236F7B" w:rsidRDefault="00236F7B" w:rsidP="001A5D4A">
            <w:pPr>
              <w:snapToGrid w:val="0"/>
              <w:spacing w:line="100" w:lineRule="atLeast"/>
              <w:jc w:val="center"/>
              <w:rPr>
                <w:rFonts w:ascii="Arial" w:hAnsi="Arial" w:cs="Arial"/>
                <w:sz w:val="18"/>
              </w:rPr>
            </w:pPr>
          </w:p>
        </w:tc>
        <w:tc>
          <w:tcPr>
            <w:tcW w:w="812" w:type="pct"/>
            <w:gridSpan w:val="2"/>
            <w:shd w:val="clear" w:color="auto" w:fill="auto"/>
          </w:tcPr>
          <w:p w14:paraId="033D62E3" w14:textId="77777777" w:rsidR="00236F7B" w:rsidRDefault="00236F7B" w:rsidP="001A5D4A">
            <w:pPr>
              <w:pStyle w:val="NotesTable-CellPlain"/>
            </w:pPr>
          </w:p>
        </w:tc>
        <w:tc>
          <w:tcPr>
            <w:tcW w:w="811" w:type="pct"/>
            <w:gridSpan w:val="2"/>
            <w:shd w:val="clear" w:color="auto" w:fill="auto"/>
          </w:tcPr>
          <w:p w14:paraId="65074CEB" w14:textId="77777777" w:rsidR="00236F7B" w:rsidRDefault="00236F7B" w:rsidP="001A5D4A">
            <w:pPr>
              <w:pStyle w:val="NotesTable-CellPlain"/>
            </w:pPr>
          </w:p>
        </w:tc>
      </w:tr>
      <w:tr w:rsidR="00CE5BBB" w14:paraId="67562AA3" w14:textId="77777777" w:rsidTr="00E21378">
        <w:trPr>
          <w:trHeight w:val="181"/>
        </w:trPr>
        <w:tc>
          <w:tcPr>
            <w:tcW w:w="811" w:type="pct"/>
          </w:tcPr>
          <w:p w14:paraId="1B8552D4" w14:textId="3DA2B2B8" w:rsidR="00CE5BBB" w:rsidRDefault="00CE5BBB" w:rsidP="001A5D4A">
            <w:pPr>
              <w:pStyle w:val="Note-Refs"/>
              <w:rPr>
                <w:sz w:val="20"/>
              </w:rPr>
            </w:pPr>
          </w:p>
        </w:tc>
        <w:tc>
          <w:tcPr>
            <w:tcW w:w="2296" w:type="pct"/>
            <w:shd w:val="clear" w:color="auto" w:fill="CCCCCC"/>
            <w:vAlign w:val="bottom"/>
          </w:tcPr>
          <w:p w14:paraId="64C760C3" w14:textId="77777777" w:rsidR="00CE5BBB" w:rsidRDefault="00CE5BBB" w:rsidP="001A5D4A">
            <w:pPr>
              <w:pStyle w:val="NotesTable-ItemPlain"/>
            </w:pPr>
          </w:p>
        </w:tc>
        <w:tc>
          <w:tcPr>
            <w:tcW w:w="270" w:type="pct"/>
            <w:shd w:val="clear" w:color="auto" w:fill="CCCCCC"/>
          </w:tcPr>
          <w:p w14:paraId="4FD7F932" w14:textId="77777777" w:rsidR="00CE5BBB" w:rsidRDefault="00CE5BBB" w:rsidP="001A5D4A">
            <w:pPr>
              <w:snapToGrid w:val="0"/>
              <w:spacing w:line="100" w:lineRule="atLeast"/>
              <w:jc w:val="center"/>
              <w:rPr>
                <w:rFonts w:ascii="Arial" w:hAnsi="Arial" w:cs="Arial"/>
                <w:sz w:val="18"/>
              </w:rPr>
            </w:pPr>
          </w:p>
        </w:tc>
        <w:tc>
          <w:tcPr>
            <w:tcW w:w="812" w:type="pct"/>
            <w:gridSpan w:val="2"/>
            <w:shd w:val="clear" w:color="auto" w:fill="CCCCCC"/>
          </w:tcPr>
          <w:p w14:paraId="2B7FE3A2" w14:textId="77777777" w:rsidR="00CE5BBB" w:rsidRDefault="00CE5BBB" w:rsidP="001A5D4A">
            <w:pPr>
              <w:pStyle w:val="NotesTable-CellPlain"/>
              <w:rPr>
                <w:b/>
              </w:rPr>
            </w:pPr>
            <w:r>
              <w:t>Consolidated</w:t>
            </w:r>
          </w:p>
        </w:tc>
        <w:tc>
          <w:tcPr>
            <w:tcW w:w="811" w:type="pct"/>
            <w:gridSpan w:val="2"/>
            <w:shd w:val="clear" w:color="auto" w:fill="CCCCCC"/>
          </w:tcPr>
          <w:p w14:paraId="644C89FA" w14:textId="77777777" w:rsidR="00CE5BBB" w:rsidRDefault="00CE5BBB" w:rsidP="001A5D4A">
            <w:pPr>
              <w:pStyle w:val="NotesTable-CellPlain"/>
              <w:rPr>
                <w:b/>
              </w:rPr>
            </w:pPr>
            <w:r>
              <w:t>Parent entity</w:t>
            </w:r>
          </w:p>
        </w:tc>
      </w:tr>
      <w:tr w:rsidR="00CE5BBB" w14:paraId="7A3D55BF" w14:textId="77777777" w:rsidTr="00E21378">
        <w:trPr>
          <w:trHeight w:val="181"/>
        </w:trPr>
        <w:tc>
          <w:tcPr>
            <w:tcW w:w="811" w:type="pct"/>
          </w:tcPr>
          <w:p w14:paraId="6FAEA1DA" w14:textId="77777777" w:rsidR="00CE5BBB" w:rsidRDefault="00CE5BBB" w:rsidP="001A5D4A">
            <w:pPr>
              <w:pStyle w:val="Note-Refs"/>
            </w:pPr>
          </w:p>
        </w:tc>
        <w:tc>
          <w:tcPr>
            <w:tcW w:w="2296" w:type="pct"/>
            <w:shd w:val="clear" w:color="auto" w:fill="CCCCCC"/>
            <w:vAlign w:val="bottom"/>
          </w:tcPr>
          <w:p w14:paraId="198424F4" w14:textId="77777777" w:rsidR="00CE5BBB" w:rsidRDefault="00CE5BBB" w:rsidP="001A5D4A">
            <w:pPr>
              <w:pStyle w:val="NotesTable-ItemPlain"/>
            </w:pPr>
          </w:p>
        </w:tc>
        <w:tc>
          <w:tcPr>
            <w:tcW w:w="270" w:type="pct"/>
            <w:shd w:val="clear" w:color="auto" w:fill="CCCCCC"/>
            <w:vAlign w:val="bottom"/>
          </w:tcPr>
          <w:p w14:paraId="7D8A68BF" w14:textId="77777777" w:rsidR="00CE5BBB" w:rsidRDefault="00CE5BBB" w:rsidP="001A5D4A">
            <w:pPr>
              <w:pStyle w:val="NotesTable-Notes"/>
              <w:rPr>
                <w:b/>
              </w:rPr>
            </w:pPr>
            <w:r>
              <w:t>Notes</w:t>
            </w:r>
          </w:p>
        </w:tc>
        <w:tc>
          <w:tcPr>
            <w:tcW w:w="406" w:type="pct"/>
            <w:shd w:val="clear" w:color="auto" w:fill="CCCCCC"/>
          </w:tcPr>
          <w:p w14:paraId="41E16BDC" w14:textId="3B652529" w:rsidR="00CE5BBB" w:rsidRDefault="006864EC" w:rsidP="001A5D4A">
            <w:pPr>
              <w:pStyle w:val="NotesTable-HeadBold"/>
            </w:pPr>
            <w:r>
              <w:t>2014</w:t>
            </w:r>
          </w:p>
        </w:tc>
        <w:tc>
          <w:tcPr>
            <w:tcW w:w="406" w:type="pct"/>
            <w:shd w:val="clear" w:color="auto" w:fill="CCCCCC"/>
          </w:tcPr>
          <w:p w14:paraId="7FF3B627" w14:textId="324F7AAD" w:rsidR="00CE5BBB" w:rsidRDefault="006864EC" w:rsidP="001A5D4A">
            <w:pPr>
              <w:pStyle w:val="NotesTable-HeadPlain"/>
            </w:pPr>
            <w:r>
              <w:t>2013</w:t>
            </w:r>
          </w:p>
        </w:tc>
        <w:tc>
          <w:tcPr>
            <w:tcW w:w="406" w:type="pct"/>
            <w:shd w:val="clear" w:color="auto" w:fill="CCCCCC"/>
          </w:tcPr>
          <w:p w14:paraId="439FF133" w14:textId="2E21FE17" w:rsidR="00CE5BBB" w:rsidRDefault="006864EC" w:rsidP="001A5D4A">
            <w:pPr>
              <w:pStyle w:val="NotesTable-HeadBold"/>
            </w:pPr>
            <w:r>
              <w:t>2014</w:t>
            </w:r>
          </w:p>
        </w:tc>
        <w:tc>
          <w:tcPr>
            <w:tcW w:w="405" w:type="pct"/>
            <w:shd w:val="clear" w:color="auto" w:fill="CCCCCC"/>
          </w:tcPr>
          <w:p w14:paraId="69F51541" w14:textId="691D7785" w:rsidR="00CE5BBB" w:rsidRDefault="006864EC" w:rsidP="001A5D4A">
            <w:pPr>
              <w:pStyle w:val="NotesTable-HeadPlain"/>
            </w:pPr>
            <w:r>
              <w:t>2013</w:t>
            </w:r>
          </w:p>
        </w:tc>
      </w:tr>
      <w:tr w:rsidR="00CE5BBB" w14:paraId="5378E07B" w14:textId="77777777" w:rsidTr="00E21378">
        <w:trPr>
          <w:trHeight w:val="181"/>
        </w:trPr>
        <w:tc>
          <w:tcPr>
            <w:tcW w:w="811" w:type="pct"/>
          </w:tcPr>
          <w:p w14:paraId="1E0F7940" w14:textId="77777777" w:rsidR="00CE5BBB" w:rsidRDefault="00CE5BBB" w:rsidP="001A5D4A">
            <w:pPr>
              <w:pStyle w:val="Note-Refs"/>
            </w:pPr>
          </w:p>
        </w:tc>
        <w:tc>
          <w:tcPr>
            <w:tcW w:w="2296" w:type="pct"/>
            <w:shd w:val="clear" w:color="auto" w:fill="CCCCCC"/>
            <w:vAlign w:val="bottom"/>
          </w:tcPr>
          <w:p w14:paraId="52AB3F46" w14:textId="77777777" w:rsidR="00CE5BBB" w:rsidRDefault="00CE5BBB" w:rsidP="001A5D4A">
            <w:pPr>
              <w:pStyle w:val="NotesTable-ItemPlain"/>
            </w:pPr>
          </w:p>
        </w:tc>
        <w:tc>
          <w:tcPr>
            <w:tcW w:w="270" w:type="pct"/>
            <w:shd w:val="clear" w:color="auto" w:fill="CCCCCC"/>
            <w:vAlign w:val="bottom"/>
          </w:tcPr>
          <w:p w14:paraId="0EA75505" w14:textId="77777777" w:rsidR="00CE5BBB" w:rsidRDefault="00CE5BBB" w:rsidP="001A5D4A">
            <w:pPr>
              <w:pStyle w:val="NotesTable-Notes"/>
            </w:pPr>
          </w:p>
        </w:tc>
        <w:tc>
          <w:tcPr>
            <w:tcW w:w="406" w:type="pct"/>
            <w:shd w:val="clear" w:color="auto" w:fill="CCCCCC"/>
          </w:tcPr>
          <w:p w14:paraId="44756C92" w14:textId="77777777" w:rsidR="00CE5BBB" w:rsidRDefault="00CE5BBB" w:rsidP="001A5D4A">
            <w:pPr>
              <w:pStyle w:val="NotesTable-HeadBold"/>
            </w:pPr>
            <w:r>
              <w:t>$’000</w:t>
            </w:r>
          </w:p>
        </w:tc>
        <w:tc>
          <w:tcPr>
            <w:tcW w:w="406" w:type="pct"/>
            <w:shd w:val="clear" w:color="auto" w:fill="CCCCCC"/>
          </w:tcPr>
          <w:p w14:paraId="67D2E904" w14:textId="77777777" w:rsidR="00CE5BBB" w:rsidRDefault="00CE5BBB" w:rsidP="001A5D4A">
            <w:pPr>
              <w:pStyle w:val="NotesTable-HeadPlain"/>
            </w:pPr>
            <w:r>
              <w:t>$’000</w:t>
            </w:r>
          </w:p>
        </w:tc>
        <w:tc>
          <w:tcPr>
            <w:tcW w:w="406" w:type="pct"/>
            <w:shd w:val="clear" w:color="auto" w:fill="CCCCCC"/>
          </w:tcPr>
          <w:p w14:paraId="21421F56" w14:textId="77777777" w:rsidR="00CE5BBB" w:rsidRDefault="00CE5BBB" w:rsidP="001A5D4A">
            <w:pPr>
              <w:pStyle w:val="NotesTable-HeadBold"/>
            </w:pPr>
            <w:r>
              <w:t>$’000</w:t>
            </w:r>
          </w:p>
        </w:tc>
        <w:tc>
          <w:tcPr>
            <w:tcW w:w="405" w:type="pct"/>
            <w:shd w:val="clear" w:color="auto" w:fill="CCCCCC"/>
          </w:tcPr>
          <w:p w14:paraId="00B8FAC4" w14:textId="77777777" w:rsidR="00CE5BBB" w:rsidRDefault="00CE5BBB" w:rsidP="001A5D4A">
            <w:pPr>
              <w:pStyle w:val="NotesTable-HeadPlain"/>
            </w:pPr>
            <w:r>
              <w:t>$’000</w:t>
            </w:r>
          </w:p>
        </w:tc>
      </w:tr>
      <w:tr w:rsidR="00CE5BBB" w14:paraId="3B97F8CF" w14:textId="77777777" w:rsidTr="00E21378">
        <w:trPr>
          <w:trHeight w:val="181"/>
        </w:trPr>
        <w:tc>
          <w:tcPr>
            <w:tcW w:w="811" w:type="pct"/>
          </w:tcPr>
          <w:p w14:paraId="5F48C020" w14:textId="77777777" w:rsidR="00CE5BBB" w:rsidRDefault="00CE5BBB" w:rsidP="001A5D4A">
            <w:pPr>
              <w:pStyle w:val="Note-Refs"/>
            </w:pPr>
          </w:p>
        </w:tc>
        <w:tc>
          <w:tcPr>
            <w:tcW w:w="2296" w:type="pct"/>
            <w:shd w:val="clear" w:color="auto" w:fill="CCCCCC"/>
            <w:vAlign w:val="bottom"/>
          </w:tcPr>
          <w:p w14:paraId="04FF7115" w14:textId="0928CAAB" w:rsidR="00CE5BBB" w:rsidRDefault="00CE5BBB" w:rsidP="001A5D4A">
            <w:pPr>
              <w:pStyle w:val="Statement-ItemBold"/>
            </w:pPr>
            <w:r>
              <w:t>Income from discontinued operations</w:t>
            </w:r>
          </w:p>
        </w:tc>
        <w:tc>
          <w:tcPr>
            <w:tcW w:w="270" w:type="pct"/>
            <w:shd w:val="clear" w:color="auto" w:fill="CCCCCC"/>
            <w:vAlign w:val="bottom"/>
          </w:tcPr>
          <w:p w14:paraId="56A1E3DB" w14:textId="77777777" w:rsidR="00CE5BBB" w:rsidRDefault="00CE5BBB" w:rsidP="001A5D4A">
            <w:pPr>
              <w:pStyle w:val="NotesTable-Notes"/>
              <w:rPr>
                <w:shd w:val="clear" w:color="auto" w:fill="FFFF00"/>
              </w:rPr>
            </w:pPr>
          </w:p>
        </w:tc>
        <w:tc>
          <w:tcPr>
            <w:tcW w:w="406" w:type="pct"/>
            <w:shd w:val="clear" w:color="auto" w:fill="CCCCCC"/>
            <w:vAlign w:val="bottom"/>
          </w:tcPr>
          <w:p w14:paraId="1BAF2F5D" w14:textId="77777777" w:rsidR="00CE5BBB" w:rsidRDefault="00CE5BBB" w:rsidP="001A5D4A">
            <w:pPr>
              <w:pStyle w:val="NotesTable-CellBold"/>
              <w:rPr>
                <w:szCs w:val="18"/>
              </w:rPr>
            </w:pPr>
          </w:p>
        </w:tc>
        <w:tc>
          <w:tcPr>
            <w:tcW w:w="406" w:type="pct"/>
            <w:shd w:val="clear" w:color="auto" w:fill="CCCCCC"/>
            <w:vAlign w:val="bottom"/>
          </w:tcPr>
          <w:p w14:paraId="2AB8BE5B" w14:textId="77777777" w:rsidR="00CE5BBB" w:rsidRDefault="00CE5BBB" w:rsidP="001A5D4A">
            <w:pPr>
              <w:pStyle w:val="NotesTable-CellPlain"/>
            </w:pPr>
          </w:p>
        </w:tc>
        <w:tc>
          <w:tcPr>
            <w:tcW w:w="406" w:type="pct"/>
            <w:shd w:val="clear" w:color="auto" w:fill="CCCCCC"/>
            <w:vAlign w:val="bottom"/>
          </w:tcPr>
          <w:p w14:paraId="0C6B6C0C" w14:textId="77777777" w:rsidR="00CE5BBB" w:rsidRDefault="00CE5BBB" w:rsidP="001A5D4A">
            <w:pPr>
              <w:pStyle w:val="NotesTable-CellBold"/>
              <w:rPr>
                <w:szCs w:val="18"/>
              </w:rPr>
            </w:pPr>
          </w:p>
        </w:tc>
        <w:tc>
          <w:tcPr>
            <w:tcW w:w="405" w:type="pct"/>
            <w:shd w:val="clear" w:color="auto" w:fill="CCCCCC"/>
            <w:vAlign w:val="bottom"/>
          </w:tcPr>
          <w:p w14:paraId="101CCAAD" w14:textId="77777777" w:rsidR="00CE5BBB" w:rsidRDefault="00CE5BBB" w:rsidP="001A5D4A">
            <w:pPr>
              <w:pStyle w:val="NotesTable-CellPlain"/>
            </w:pPr>
          </w:p>
        </w:tc>
      </w:tr>
      <w:tr w:rsidR="00CE5BBB" w14:paraId="7A4C69DE" w14:textId="77777777" w:rsidTr="00E21378">
        <w:trPr>
          <w:trHeight w:val="181"/>
        </w:trPr>
        <w:tc>
          <w:tcPr>
            <w:tcW w:w="811" w:type="pct"/>
          </w:tcPr>
          <w:p w14:paraId="5030EC3F" w14:textId="77777777" w:rsidR="00CE5BBB" w:rsidRDefault="00CE5BBB" w:rsidP="001A5D4A">
            <w:pPr>
              <w:pStyle w:val="Note-Refs"/>
            </w:pPr>
          </w:p>
        </w:tc>
        <w:tc>
          <w:tcPr>
            <w:tcW w:w="2296" w:type="pct"/>
            <w:shd w:val="clear" w:color="auto" w:fill="CCCCCC"/>
            <w:vAlign w:val="bottom"/>
          </w:tcPr>
          <w:p w14:paraId="7FE41EED" w14:textId="77777777" w:rsidR="00CE5BBB" w:rsidRDefault="00CE5BBB" w:rsidP="001A5D4A">
            <w:pPr>
              <w:pStyle w:val="NotesTable-ItemPlain"/>
              <w:rPr>
                <w:b/>
              </w:rPr>
            </w:pPr>
            <w:r>
              <w:t>Australian Government financial assistance</w:t>
            </w:r>
          </w:p>
        </w:tc>
        <w:tc>
          <w:tcPr>
            <w:tcW w:w="270" w:type="pct"/>
            <w:shd w:val="clear" w:color="auto" w:fill="CCCCCC"/>
            <w:vAlign w:val="bottom"/>
          </w:tcPr>
          <w:p w14:paraId="6D835578" w14:textId="77777777" w:rsidR="00CE5BBB" w:rsidRDefault="00CE5BBB" w:rsidP="001A5D4A">
            <w:pPr>
              <w:pStyle w:val="NotesTable-Notes"/>
            </w:pPr>
          </w:p>
        </w:tc>
        <w:tc>
          <w:tcPr>
            <w:tcW w:w="406" w:type="pct"/>
            <w:shd w:val="clear" w:color="auto" w:fill="CCCCCC"/>
            <w:vAlign w:val="bottom"/>
          </w:tcPr>
          <w:p w14:paraId="6272C1AC" w14:textId="77777777" w:rsidR="00CE5BBB" w:rsidRDefault="00CE5BBB" w:rsidP="001A5D4A">
            <w:pPr>
              <w:pStyle w:val="NotesTable-CellBold"/>
              <w:rPr>
                <w:b w:val="0"/>
              </w:rPr>
            </w:pPr>
            <w:r>
              <w:t>–</w:t>
            </w:r>
          </w:p>
        </w:tc>
        <w:tc>
          <w:tcPr>
            <w:tcW w:w="406" w:type="pct"/>
            <w:shd w:val="clear" w:color="auto" w:fill="CCCCCC"/>
            <w:vAlign w:val="bottom"/>
          </w:tcPr>
          <w:p w14:paraId="677CBEAC" w14:textId="77777777" w:rsidR="00CE5BBB" w:rsidRDefault="00CE5BBB" w:rsidP="001A5D4A">
            <w:pPr>
              <w:pStyle w:val="NotesTable-CellPlain"/>
              <w:rPr>
                <w:b/>
              </w:rPr>
            </w:pPr>
            <w:r>
              <w:t>–</w:t>
            </w:r>
          </w:p>
        </w:tc>
        <w:tc>
          <w:tcPr>
            <w:tcW w:w="406" w:type="pct"/>
            <w:shd w:val="clear" w:color="auto" w:fill="CCCCCC"/>
            <w:vAlign w:val="bottom"/>
          </w:tcPr>
          <w:p w14:paraId="37ABA87F" w14:textId="77777777" w:rsidR="00CE5BBB" w:rsidRDefault="00CE5BBB" w:rsidP="001A5D4A">
            <w:pPr>
              <w:pStyle w:val="NotesTable-CellBold"/>
              <w:rPr>
                <w:b w:val="0"/>
              </w:rPr>
            </w:pPr>
            <w:r>
              <w:t>–</w:t>
            </w:r>
          </w:p>
        </w:tc>
        <w:tc>
          <w:tcPr>
            <w:tcW w:w="405" w:type="pct"/>
            <w:shd w:val="clear" w:color="auto" w:fill="CCCCCC"/>
            <w:vAlign w:val="bottom"/>
          </w:tcPr>
          <w:p w14:paraId="4F6BEC13" w14:textId="77777777" w:rsidR="00CE5BBB" w:rsidRDefault="00CE5BBB" w:rsidP="001A5D4A">
            <w:pPr>
              <w:pStyle w:val="NotesTable-CellPlain"/>
              <w:rPr>
                <w:b/>
              </w:rPr>
            </w:pPr>
            <w:r>
              <w:t>–</w:t>
            </w:r>
          </w:p>
        </w:tc>
      </w:tr>
      <w:tr w:rsidR="00CE5BBB" w14:paraId="7FA5F524" w14:textId="77777777" w:rsidTr="00E21378">
        <w:trPr>
          <w:trHeight w:val="181"/>
        </w:trPr>
        <w:tc>
          <w:tcPr>
            <w:tcW w:w="811" w:type="pct"/>
          </w:tcPr>
          <w:p w14:paraId="6086691A" w14:textId="77777777" w:rsidR="00CE5BBB" w:rsidRDefault="00CE5BBB" w:rsidP="001A5D4A">
            <w:pPr>
              <w:pStyle w:val="Note-Refs"/>
            </w:pPr>
          </w:p>
        </w:tc>
        <w:tc>
          <w:tcPr>
            <w:tcW w:w="2296" w:type="pct"/>
            <w:shd w:val="clear" w:color="auto" w:fill="CCCCCC"/>
            <w:vAlign w:val="bottom"/>
          </w:tcPr>
          <w:p w14:paraId="1F7AE33D" w14:textId="33E265D6" w:rsidR="00CE5BBB" w:rsidRPr="00D11709" w:rsidRDefault="00CE5BBB" w:rsidP="001A5D4A">
            <w:pPr>
              <w:pStyle w:val="NotesTable-ItemIndent"/>
            </w:pPr>
            <w:r w:rsidRPr="00D11709">
              <w:t>Australian Government grants</w:t>
            </w:r>
          </w:p>
        </w:tc>
        <w:tc>
          <w:tcPr>
            <w:tcW w:w="270" w:type="pct"/>
            <w:shd w:val="clear" w:color="auto" w:fill="CCCCCC"/>
            <w:vAlign w:val="bottom"/>
          </w:tcPr>
          <w:p w14:paraId="486C5800" w14:textId="77777777" w:rsidR="00CE5BBB" w:rsidRDefault="00CE5BBB" w:rsidP="001A5D4A">
            <w:pPr>
              <w:pStyle w:val="NotesTable-Notes"/>
            </w:pPr>
            <w:r>
              <w:t>3</w:t>
            </w:r>
          </w:p>
        </w:tc>
        <w:tc>
          <w:tcPr>
            <w:tcW w:w="406" w:type="pct"/>
            <w:shd w:val="clear" w:color="auto" w:fill="CCCCCC"/>
            <w:vAlign w:val="bottom"/>
          </w:tcPr>
          <w:p w14:paraId="7F78E4B8" w14:textId="77777777" w:rsidR="00CE5BBB" w:rsidRDefault="00CE5BBB" w:rsidP="001A5D4A">
            <w:pPr>
              <w:pStyle w:val="NotesTable-CellBold"/>
              <w:rPr>
                <w:b w:val="0"/>
              </w:rPr>
            </w:pPr>
            <w:r>
              <w:t>–</w:t>
            </w:r>
          </w:p>
        </w:tc>
        <w:tc>
          <w:tcPr>
            <w:tcW w:w="406" w:type="pct"/>
            <w:shd w:val="clear" w:color="auto" w:fill="CCCCCC"/>
            <w:vAlign w:val="bottom"/>
          </w:tcPr>
          <w:p w14:paraId="5BEB5630" w14:textId="77777777" w:rsidR="00CE5BBB" w:rsidRDefault="00CE5BBB" w:rsidP="001A5D4A">
            <w:pPr>
              <w:pStyle w:val="NotesTable-CellPlain"/>
              <w:rPr>
                <w:b/>
              </w:rPr>
            </w:pPr>
            <w:r>
              <w:t>–</w:t>
            </w:r>
          </w:p>
        </w:tc>
        <w:tc>
          <w:tcPr>
            <w:tcW w:w="406" w:type="pct"/>
            <w:shd w:val="clear" w:color="auto" w:fill="CCCCCC"/>
            <w:vAlign w:val="bottom"/>
          </w:tcPr>
          <w:p w14:paraId="6E564647" w14:textId="77777777" w:rsidR="00CE5BBB" w:rsidRDefault="00CE5BBB" w:rsidP="001A5D4A">
            <w:pPr>
              <w:pStyle w:val="NotesTable-CellBold"/>
              <w:rPr>
                <w:b w:val="0"/>
              </w:rPr>
            </w:pPr>
            <w:r>
              <w:t>–</w:t>
            </w:r>
          </w:p>
        </w:tc>
        <w:tc>
          <w:tcPr>
            <w:tcW w:w="405" w:type="pct"/>
            <w:shd w:val="clear" w:color="auto" w:fill="CCCCCC"/>
            <w:vAlign w:val="bottom"/>
          </w:tcPr>
          <w:p w14:paraId="7ED2FFA2" w14:textId="77777777" w:rsidR="00CE5BBB" w:rsidRDefault="00CE5BBB" w:rsidP="001A5D4A">
            <w:pPr>
              <w:pStyle w:val="NotesTable-CellPlain"/>
              <w:rPr>
                <w:b/>
              </w:rPr>
            </w:pPr>
            <w:r>
              <w:t>–</w:t>
            </w:r>
          </w:p>
        </w:tc>
      </w:tr>
      <w:tr w:rsidR="00CE5BBB" w14:paraId="1F960E63" w14:textId="77777777" w:rsidTr="00E21378">
        <w:trPr>
          <w:trHeight w:val="181"/>
        </w:trPr>
        <w:tc>
          <w:tcPr>
            <w:tcW w:w="811" w:type="pct"/>
          </w:tcPr>
          <w:p w14:paraId="1CBA59B2" w14:textId="77777777" w:rsidR="00CE5BBB" w:rsidRDefault="00CE5BBB" w:rsidP="001A5D4A">
            <w:pPr>
              <w:pStyle w:val="Note-Refs"/>
            </w:pPr>
          </w:p>
        </w:tc>
        <w:tc>
          <w:tcPr>
            <w:tcW w:w="2296" w:type="pct"/>
            <w:shd w:val="clear" w:color="auto" w:fill="CCCCCC"/>
            <w:vAlign w:val="bottom"/>
          </w:tcPr>
          <w:p w14:paraId="340FBFA1" w14:textId="0F6996D1" w:rsidR="00CE5BBB" w:rsidRPr="00D11709" w:rsidRDefault="00CE5BBB" w:rsidP="001A5D4A">
            <w:pPr>
              <w:pStyle w:val="NotesTable-ItemIndent"/>
            </w:pPr>
            <w:r w:rsidRPr="00D11709">
              <w:t>HELP – Australian Government Payments</w:t>
            </w:r>
          </w:p>
        </w:tc>
        <w:tc>
          <w:tcPr>
            <w:tcW w:w="270" w:type="pct"/>
            <w:shd w:val="clear" w:color="auto" w:fill="CCCCCC"/>
            <w:vAlign w:val="bottom"/>
          </w:tcPr>
          <w:p w14:paraId="5B3765A5" w14:textId="77777777" w:rsidR="00CE5BBB" w:rsidRDefault="00CE5BBB" w:rsidP="001A5D4A">
            <w:pPr>
              <w:pStyle w:val="NotesTable-Notes"/>
            </w:pPr>
            <w:r>
              <w:t>3</w:t>
            </w:r>
          </w:p>
        </w:tc>
        <w:tc>
          <w:tcPr>
            <w:tcW w:w="406" w:type="pct"/>
            <w:shd w:val="clear" w:color="auto" w:fill="CCCCCC"/>
            <w:vAlign w:val="bottom"/>
          </w:tcPr>
          <w:p w14:paraId="774342D4" w14:textId="77777777" w:rsidR="00CE5BBB" w:rsidRDefault="00CE5BBB" w:rsidP="001A5D4A">
            <w:pPr>
              <w:pStyle w:val="NotesTable-CellBold"/>
              <w:rPr>
                <w:b w:val="0"/>
              </w:rPr>
            </w:pPr>
            <w:r>
              <w:t>–</w:t>
            </w:r>
          </w:p>
        </w:tc>
        <w:tc>
          <w:tcPr>
            <w:tcW w:w="406" w:type="pct"/>
            <w:shd w:val="clear" w:color="auto" w:fill="CCCCCC"/>
            <w:vAlign w:val="bottom"/>
          </w:tcPr>
          <w:p w14:paraId="6A67C1B0" w14:textId="77777777" w:rsidR="00CE5BBB" w:rsidRDefault="00CE5BBB" w:rsidP="001A5D4A">
            <w:pPr>
              <w:pStyle w:val="NotesTable-CellPlain"/>
              <w:rPr>
                <w:b/>
              </w:rPr>
            </w:pPr>
            <w:r>
              <w:t>–</w:t>
            </w:r>
          </w:p>
        </w:tc>
        <w:tc>
          <w:tcPr>
            <w:tcW w:w="406" w:type="pct"/>
            <w:shd w:val="clear" w:color="auto" w:fill="CCCCCC"/>
            <w:vAlign w:val="bottom"/>
          </w:tcPr>
          <w:p w14:paraId="297E74C0" w14:textId="77777777" w:rsidR="00CE5BBB" w:rsidRDefault="00CE5BBB" w:rsidP="001A5D4A">
            <w:pPr>
              <w:pStyle w:val="NotesTable-CellBold"/>
              <w:rPr>
                <w:b w:val="0"/>
              </w:rPr>
            </w:pPr>
            <w:r>
              <w:t>–</w:t>
            </w:r>
          </w:p>
        </w:tc>
        <w:tc>
          <w:tcPr>
            <w:tcW w:w="405" w:type="pct"/>
            <w:shd w:val="clear" w:color="auto" w:fill="CCCCCC"/>
            <w:vAlign w:val="bottom"/>
          </w:tcPr>
          <w:p w14:paraId="7351AE3B" w14:textId="77777777" w:rsidR="00CE5BBB" w:rsidRDefault="00CE5BBB" w:rsidP="001A5D4A">
            <w:pPr>
              <w:pStyle w:val="NotesTable-CellPlain"/>
              <w:rPr>
                <w:b/>
              </w:rPr>
            </w:pPr>
            <w:r>
              <w:t>–</w:t>
            </w:r>
          </w:p>
        </w:tc>
      </w:tr>
      <w:tr w:rsidR="00CE5BBB" w14:paraId="204686D7" w14:textId="77777777" w:rsidTr="00E21378">
        <w:trPr>
          <w:trHeight w:val="181"/>
        </w:trPr>
        <w:tc>
          <w:tcPr>
            <w:tcW w:w="811" w:type="pct"/>
          </w:tcPr>
          <w:p w14:paraId="5AB2B6AB" w14:textId="77777777" w:rsidR="00CE5BBB" w:rsidRDefault="00CE5BBB" w:rsidP="001A5D4A">
            <w:pPr>
              <w:pStyle w:val="Note-Refs"/>
            </w:pPr>
          </w:p>
        </w:tc>
        <w:tc>
          <w:tcPr>
            <w:tcW w:w="2296" w:type="pct"/>
            <w:shd w:val="clear" w:color="auto" w:fill="CCCCCC"/>
            <w:vAlign w:val="bottom"/>
          </w:tcPr>
          <w:p w14:paraId="15169BA2" w14:textId="77777777" w:rsidR="00CE5BBB" w:rsidRDefault="00CE5BBB" w:rsidP="001A5D4A">
            <w:pPr>
              <w:pStyle w:val="NotesTable-ItemPlain"/>
              <w:rPr>
                <w:b/>
              </w:rPr>
            </w:pPr>
            <w:r>
              <w:t>State and local Government financial assistance</w:t>
            </w:r>
          </w:p>
        </w:tc>
        <w:tc>
          <w:tcPr>
            <w:tcW w:w="270" w:type="pct"/>
            <w:shd w:val="clear" w:color="auto" w:fill="CCCCCC"/>
            <w:vAlign w:val="bottom"/>
          </w:tcPr>
          <w:p w14:paraId="1F5D63B4" w14:textId="77777777" w:rsidR="00CE5BBB" w:rsidRDefault="00CE5BBB" w:rsidP="001A5D4A">
            <w:pPr>
              <w:pStyle w:val="NotesTable-Notes"/>
            </w:pPr>
            <w:r>
              <w:t>4</w:t>
            </w:r>
          </w:p>
        </w:tc>
        <w:tc>
          <w:tcPr>
            <w:tcW w:w="406" w:type="pct"/>
            <w:shd w:val="clear" w:color="auto" w:fill="CCCCCC"/>
            <w:vAlign w:val="bottom"/>
          </w:tcPr>
          <w:p w14:paraId="5CC6BFAA" w14:textId="77777777" w:rsidR="00CE5BBB" w:rsidRDefault="00CE5BBB" w:rsidP="001A5D4A">
            <w:pPr>
              <w:pStyle w:val="NotesTable-CellBold"/>
              <w:rPr>
                <w:b w:val="0"/>
              </w:rPr>
            </w:pPr>
            <w:r>
              <w:t>–</w:t>
            </w:r>
          </w:p>
        </w:tc>
        <w:tc>
          <w:tcPr>
            <w:tcW w:w="406" w:type="pct"/>
            <w:shd w:val="clear" w:color="auto" w:fill="CCCCCC"/>
            <w:vAlign w:val="bottom"/>
          </w:tcPr>
          <w:p w14:paraId="4FB3BD57" w14:textId="77777777" w:rsidR="00CE5BBB" w:rsidRDefault="00CE5BBB" w:rsidP="001A5D4A">
            <w:pPr>
              <w:pStyle w:val="NotesTable-CellPlain"/>
              <w:rPr>
                <w:b/>
              </w:rPr>
            </w:pPr>
            <w:r>
              <w:t>–</w:t>
            </w:r>
          </w:p>
        </w:tc>
        <w:tc>
          <w:tcPr>
            <w:tcW w:w="406" w:type="pct"/>
            <w:shd w:val="clear" w:color="auto" w:fill="CCCCCC"/>
            <w:vAlign w:val="bottom"/>
          </w:tcPr>
          <w:p w14:paraId="3D73919D" w14:textId="77777777" w:rsidR="00CE5BBB" w:rsidRDefault="00CE5BBB" w:rsidP="001A5D4A">
            <w:pPr>
              <w:pStyle w:val="NotesTable-CellBold"/>
              <w:rPr>
                <w:b w:val="0"/>
              </w:rPr>
            </w:pPr>
            <w:r>
              <w:t>–</w:t>
            </w:r>
          </w:p>
        </w:tc>
        <w:tc>
          <w:tcPr>
            <w:tcW w:w="405" w:type="pct"/>
            <w:shd w:val="clear" w:color="auto" w:fill="CCCCCC"/>
            <w:vAlign w:val="bottom"/>
          </w:tcPr>
          <w:p w14:paraId="15A61A2A" w14:textId="77777777" w:rsidR="00CE5BBB" w:rsidRDefault="00CE5BBB" w:rsidP="001A5D4A">
            <w:pPr>
              <w:pStyle w:val="NotesTable-CellPlain"/>
              <w:rPr>
                <w:b/>
              </w:rPr>
            </w:pPr>
            <w:r>
              <w:t>–</w:t>
            </w:r>
          </w:p>
        </w:tc>
      </w:tr>
      <w:tr w:rsidR="00CE5BBB" w14:paraId="31DF1905" w14:textId="77777777" w:rsidTr="00E21378">
        <w:trPr>
          <w:trHeight w:val="181"/>
        </w:trPr>
        <w:tc>
          <w:tcPr>
            <w:tcW w:w="811" w:type="pct"/>
          </w:tcPr>
          <w:p w14:paraId="4CAFA7D1" w14:textId="77777777" w:rsidR="00CE5BBB" w:rsidRDefault="00CE5BBB" w:rsidP="001A5D4A">
            <w:pPr>
              <w:pStyle w:val="Note-Refs"/>
            </w:pPr>
          </w:p>
        </w:tc>
        <w:tc>
          <w:tcPr>
            <w:tcW w:w="2296" w:type="pct"/>
            <w:shd w:val="clear" w:color="auto" w:fill="CCCCCC"/>
            <w:vAlign w:val="bottom"/>
          </w:tcPr>
          <w:p w14:paraId="09C5E23C" w14:textId="77777777" w:rsidR="00CE5BBB" w:rsidRDefault="00CE5BBB" w:rsidP="001A5D4A">
            <w:pPr>
              <w:pStyle w:val="NotesTable-ItemPlain"/>
              <w:rPr>
                <w:b/>
              </w:rPr>
            </w:pPr>
            <w:r>
              <w:t>HECS-HELP – Student Payments</w:t>
            </w:r>
          </w:p>
        </w:tc>
        <w:tc>
          <w:tcPr>
            <w:tcW w:w="270" w:type="pct"/>
            <w:shd w:val="clear" w:color="auto" w:fill="CCCCCC"/>
            <w:vAlign w:val="bottom"/>
          </w:tcPr>
          <w:p w14:paraId="0784BB18" w14:textId="77777777" w:rsidR="00CE5BBB" w:rsidRDefault="00CE5BBB" w:rsidP="001A5D4A">
            <w:pPr>
              <w:pStyle w:val="NotesTable-Notes"/>
              <w:rPr>
                <w:shd w:val="clear" w:color="auto" w:fill="00FFFF"/>
              </w:rPr>
            </w:pPr>
          </w:p>
        </w:tc>
        <w:tc>
          <w:tcPr>
            <w:tcW w:w="406" w:type="pct"/>
            <w:shd w:val="clear" w:color="auto" w:fill="CCCCCC"/>
            <w:vAlign w:val="bottom"/>
          </w:tcPr>
          <w:p w14:paraId="0A0A2A0A" w14:textId="77777777" w:rsidR="00CE5BBB" w:rsidRDefault="00CE5BBB" w:rsidP="001A5D4A">
            <w:pPr>
              <w:pStyle w:val="NotesTable-CellBold"/>
              <w:rPr>
                <w:b w:val="0"/>
              </w:rPr>
            </w:pPr>
            <w:r>
              <w:t>–</w:t>
            </w:r>
          </w:p>
        </w:tc>
        <w:tc>
          <w:tcPr>
            <w:tcW w:w="406" w:type="pct"/>
            <w:shd w:val="clear" w:color="auto" w:fill="CCCCCC"/>
            <w:vAlign w:val="bottom"/>
          </w:tcPr>
          <w:p w14:paraId="42FB7C74" w14:textId="77777777" w:rsidR="00CE5BBB" w:rsidRDefault="00CE5BBB" w:rsidP="001A5D4A">
            <w:pPr>
              <w:pStyle w:val="NotesTable-CellPlain"/>
              <w:rPr>
                <w:b/>
              </w:rPr>
            </w:pPr>
            <w:r>
              <w:t>–</w:t>
            </w:r>
          </w:p>
        </w:tc>
        <w:tc>
          <w:tcPr>
            <w:tcW w:w="406" w:type="pct"/>
            <w:shd w:val="clear" w:color="auto" w:fill="CCCCCC"/>
            <w:vAlign w:val="bottom"/>
          </w:tcPr>
          <w:p w14:paraId="44E2382B" w14:textId="77777777" w:rsidR="00CE5BBB" w:rsidRDefault="00CE5BBB" w:rsidP="001A5D4A">
            <w:pPr>
              <w:pStyle w:val="NotesTable-CellBold"/>
              <w:rPr>
                <w:b w:val="0"/>
              </w:rPr>
            </w:pPr>
            <w:r>
              <w:t>–</w:t>
            </w:r>
          </w:p>
        </w:tc>
        <w:tc>
          <w:tcPr>
            <w:tcW w:w="405" w:type="pct"/>
            <w:shd w:val="clear" w:color="auto" w:fill="CCCCCC"/>
            <w:vAlign w:val="bottom"/>
          </w:tcPr>
          <w:p w14:paraId="3591B525" w14:textId="77777777" w:rsidR="00CE5BBB" w:rsidRDefault="00CE5BBB" w:rsidP="001A5D4A">
            <w:pPr>
              <w:pStyle w:val="NotesTable-CellPlain"/>
              <w:rPr>
                <w:b/>
              </w:rPr>
            </w:pPr>
            <w:r>
              <w:t>–</w:t>
            </w:r>
          </w:p>
        </w:tc>
      </w:tr>
      <w:tr w:rsidR="00CE5BBB" w14:paraId="491C8CDC" w14:textId="77777777" w:rsidTr="00E21378">
        <w:trPr>
          <w:trHeight w:val="181"/>
        </w:trPr>
        <w:tc>
          <w:tcPr>
            <w:tcW w:w="811" w:type="pct"/>
          </w:tcPr>
          <w:p w14:paraId="56CFA0B8" w14:textId="77777777" w:rsidR="00CE5BBB" w:rsidRDefault="00CE5BBB" w:rsidP="001A5D4A">
            <w:pPr>
              <w:pStyle w:val="Note-Refs"/>
            </w:pPr>
          </w:p>
        </w:tc>
        <w:tc>
          <w:tcPr>
            <w:tcW w:w="2296" w:type="pct"/>
            <w:shd w:val="clear" w:color="auto" w:fill="CCCCCC"/>
            <w:vAlign w:val="bottom"/>
          </w:tcPr>
          <w:p w14:paraId="76558CC1" w14:textId="77777777" w:rsidR="00CE5BBB" w:rsidRDefault="00CE5BBB" w:rsidP="001A5D4A">
            <w:pPr>
              <w:pStyle w:val="NotesTable-ItemPlain"/>
              <w:rPr>
                <w:b/>
              </w:rPr>
            </w:pPr>
            <w:r>
              <w:t>Fees and charges</w:t>
            </w:r>
          </w:p>
        </w:tc>
        <w:tc>
          <w:tcPr>
            <w:tcW w:w="270" w:type="pct"/>
            <w:shd w:val="clear" w:color="auto" w:fill="CCCCCC"/>
            <w:vAlign w:val="bottom"/>
          </w:tcPr>
          <w:p w14:paraId="4B05C71E" w14:textId="77777777" w:rsidR="00CE5BBB" w:rsidRDefault="00CE5BBB" w:rsidP="001A5D4A">
            <w:pPr>
              <w:pStyle w:val="NotesTable-Notes"/>
            </w:pPr>
            <w:r>
              <w:t>5</w:t>
            </w:r>
          </w:p>
        </w:tc>
        <w:tc>
          <w:tcPr>
            <w:tcW w:w="406" w:type="pct"/>
            <w:shd w:val="clear" w:color="auto" w:fill="CCCCCC"/>
            <w:vAlign w:val="bottom"/>
          </w:tcPr>
          <w:p w14:paraId="37B49F3E" w14:textId="77777777" w:rsidR="00CE5BBB" w:rsidRDefault="00CE5BBB" w:rsidP="001A5D4A">
            <w:pPr>
              <w:pStyle w:val="NotesTable-CellBold"/>
              <w:rPr>
                <w:b w:val="0"/>
              </w:rPr>
            </w:pPr>
            <w:r>
              <w:t>–</w:t>
            </w:r>
          </w:p>
        </w:tc>
        <w:tc>
          <w:tcPr>
            <w:tcW w:w="406" w:type="pct"/>
            <w:shd w:val="clear" w:color="auto" w:fill="CCCCCC"/>
            <w:vAlign w:val="bottom"/>
          </w:tcPr>
          <w:p w14:paraId="274DE318" w14:textId="77777777" w:rsidR="00CE5BBB" w:rsidRDefault="00CE5BBB" w:rsidP="001A5D4A">
            <w:pPr>
              <w:pStyle w:val="NotesTable-CellPlain"/>
              <w:rPr>
                <w:b/>
              </w:rPr>
            </w:pPr>
            <w:r>
              <w:t>–</w:t>
            </w:r>
          </w:p>
        </w:tc>
        <w:tc>
          <w:tcPr>
            <w:tcW w:w="406" w:type="pct"/>
            <w:shd w:val="clear" w:color="auto" w:fill="CCCCCC"/>
            <w:vAlign w:val="bottom"/>
          </w:tcPr>
          <w:p w14:paraId="720DD3D3" w14:textId="77777777" w:rsidR="00CE5BBB" w:rsidRDefault="00CE5BBB" w:rsidP="001A5D4A">
            <w:pPr>
              <w:pStyle w:val="NotesTable-CellBold"/>
              <w:rPr>
                <w:b w:val="0"/>
              </w:rPr>
            </w:pPr>
            <w:r>
              <w:t>–</w:t>
            </w:r>
          </w:p>
        </w:tc>
        <w:tc>
          <w:tcPr>
            <w:tcW w:w="405" w:type="pct"/>
            <w:shd w:val="clear" w:color="auto" w:fill="CCCCCC"/>
            <w:vAlign w:val="bottom"/>
          </w:tcPr>
          <w:p w14:paraId="17844A21" w14:textId="77777777" w:rsidR="00CE5BBB" w:rsidRDefault="00CE5BBB" w:rsidP="001A5D4A">
            <w:pPr>
              <w:pStyle w:val="NotesTable-CellPlain"/>
              <w:rPr>
                <w:b/>
              </w:rPr>
            </w:pPr>
            <w:r>
              <w:t>–</w:t>
            </w:r>
          </w:p>
        </w:tc>
      </w:tr>
      <w:tr w:rsidR="00CE5BBB" w14:paraId="3354D37D" w14:textId="77777777" w:rsidTr="00E21378">
        <w:trPr>
          <w:trHeight w:val="181"/>
        </w:trPr>
        <w:tc>
          <w:tcPr>
            <w:tcW w:w="811" w:type="pct"/>
          </w:tcPr>
          <w:p w14:paraId="6754A897" w14:textId="77777777" w:rsidR="00CE5BBB" w:rsidRDefault="00CE5BBB" w:rsidP="001A5D4A">
            <w:pPr>
              <w:pStyle w:val="Note-Refs"/>
            </w:pPr>
          </w:p>
        </w:tc>
        <w:tc>
          <w:tcPr>
            <w:tcW w:w="2296" w:type="pct"/>
            <w:shd w:val="clear" w:color="auto" w:fill="CCCCCC"/>
            <w:vAlign w:val="bottom"/>
          </w:tcPr>
          <w:p w14:paraId="35D48C70" w14:textId="77777777" w:rsidR="00CE5BBB" w:rsidRDefault="00CE5BBB" w:rsidP="001A5D4A">
            <w:pPr>
              <w:pStyle w:val="NotesTable-ItemPlain"/>
              <w:rPr>
                <w:b/>
              </w:rPr>
            </w:pPr>
            <w:r>
              <w:t>Investment revenue</w:t>
            </w:r>
          </w:p>
        </w:tc>
        <w:tc>
          <w:tcPr>
            <w:tcW w:w="270" w:type="pct"/>
            <w:shd w:val="clear" w:color="auto" w:fill="CCCCCC"/>
            <w:vAlign w:val="bottom"/>
          </w:tcPr>
          <w:p w14:paraId="361C6786" w14:textId="77777777" w:rsidR="00CE5BBB" w:rsidRDefault="00CE5BBB" w:rsidP="001A5D4A">
            <w:pPr>
              <w:pStyle w:val="NotesTable-Notes"/>
            </w:pPr>
            <w:r>
              <w:t>6</w:t>
            </w:r>
          </w:p>
        </w:tc>
        <w:tc>
          <w:tcPr>
            <w:tcW w:w="406" w:type="pct"/>
            <w:shd w:val="clear" w:color="auto" w:fill="CCCCCC"/>
            <w:vAlign w:val="bottom"/>
          </w:tcPr>
          <w:p w14:paraId="7ABC5A6A" w14:textId="77777777" w:rsidR="00CE5BBB" w:rsidRDefault="00CE5BBB" w:rsidP="001A5D4A">
            <w:pPr>
              <w:pStyle w:val="NotesTable-CellBold"/>
              <w:rPr>
                <w:b w:val="0"/>
              </w:rPr>
            </w:pPr>
            <w:r>
              <w:t>–</w:t>
            </w:r>
          </w:p>
        </w:tc>
        <w:tc>
          <w:tcPr>
            <w:tcW w:w="406" w:type="pct"/>
            <w:shd w:val="clear" w:color="auto" w:fill="CCCCCC"/>
            <w:vAlign w:val="bottom"/>
          </w:tcPr>
          <w:p w14:paraId="26E59370" w14:textId="77777777" w:rsidR="00CE5BBB" w:rsidRDefault="00CE5BBB" w:rsidP="001A5D4A">
            <w:pPr>
              <w:pStyle w:val="NotesTable-CellPlain"/>
              <w:rPr>
                <w:b/>
              </w:rPr>
            </w:pPr>
            <w:r>
              <w:t>–</w:t>
            </w:r>
          </w:p>
        </w:tc>
        <w:tc>
          <w:tcPr>
            <w:tcW w:w="406" w:type="pct"/>
            <w:shd w:val="clear" w:color="auto" w:fill="CCCCCC"/>
            <w:vAlign w:val="bottom"/>
          </w:tcPr>
          <w:p w14:paraId="5055FE23" w14:textId="77777777" w:rsidR="00CE5BBB" w:rsidRDefault="00CE5BBB" w:rsidP="001A5D4A">
            <w:pPr>
              <w:pStyle w:val="NotesTable-CellBold"/>
              <w:rPr>
                <w:b w:val="0"/>
              </w:rPr>
            </w:pPr>
            <w:r>
              <w:t>–</w:t>
            </w:r>
          </w:p>
        </w:tc>
        <w:tc>
          <w:tcPr>
            <w:tcW w:w="405" w:type="pct"/>
            <w:shd w:val="clear" w:color="auto" w:fill="CCCCCC"/>
            <w:vAlign w:val="bottom"/>
          </w:tcPr>
          <w:p w14:paraId="0E036560" w14:textId="77777777" w:rsidR="00CE5BBB" w:rsidRDefault="00CE5BBB" w:rsidP="001A5D4A">
            <w:pPr>
              <w:pStyle w:val="NotesTable-CellPlain"/>
              <w:rPr>
                <w:b/>
              </w:rPr>
            </w:pPr>
            <w:r>
              <w:t>–</w:t>
            </w:r>
          </w:p>
        </w:tc>
      </w:tr>
      <w:tr w:rsidR="00CE5BBB" w14:paraId="60C26174" w14:textId="77777777" w:rsidTr="00E21378">
        <w:trPr>
          <w:trHeight w:val="181"/>
        </w:trPr>
        <w:tc>
          <w:tcPr>
            <w:tcW w:w="811" w:type="pct"/>
          </w:tcPr>
          <w:p w14:paraId="5842446A" w14:textId="77777777" w:rsidR="00CE5BBB" w:rsidRDefault="00CE5BBB" w:rsidP="001A5D4A">
            <w:pPr>
              <w:pStyle w:val="Note-Refs"/>
            </w:pPr>
          </w:p>
        </w:tc>
        <w:tc>
          <w:tcPr>
            <w:tcW w:w="2296" w:type="pct"/>
            <w:shd w:val="clear" w:color="auto" w:fill="CCCCCC"/>
            <w:vAlign w:val="bottom"/>
          </w:tcPr>
          <w:p w14:paraId="014786D4" w14:textId="77777777" w:rsidR="00CE5BBB" w:rsidRDefault="00CE5BBB" w:rsidP="001A5D4A">
            <w:pPr>
              <w:pStyle w:val="NotesTable-ItemPlain"/>
              <w:rPr>
                <w:b/>
              </w:rPr>
            </w:pPr>
            <w:r>
              <w:t>Royalties, trademarks and licences</w:t>
            </w:r>
          </w:p>
        </w:tc>
        <w:tc>
          <w:tcPr>
            <w:tcW w:w="270" w:type="pct"/>
            <w:shd w:val="clear" w:color="auto" w:fill="CCCCCC"/>
            <w:vAlign w:val="bottom"/>
          </w:tcPr>
          <w:p w14:paraId="300C3135" w14:textId="77777777" w:rsidR="00CE5BBB" w:rsidRDefault="00CE5BBB" w:rsidP="001A5D4A">
            <w:pPr>
              <w:pStyle w:val="NotesTable-Notes"/>
            </w:pPr>
            <w:r>
              <w:t>7</w:t>
            </w:r>
          </w:p>
        </w:tc>
        <w:tc>
          <w:tcPr>
            <w:tcW w:w="406" w:type="pct"/>
            <w:shd w:val="clear" w:color="auto" w:fill="CCCCCC"/>
            <w:vAlign w:val="bottom"/>
          </w:tcPr>
          <w:p w14:paraId="5EC88EF4" w14:textId="77777777" w:rsidR="00CE5BBB" w:rsidRDefault="00CE5BBB" w:rsidP="001A5D4A">
            <w:pPr>
              <w:pStyle w:val="NotesTable-CellBold"/>
              <w:rPr>
                <w:b w:val="0"/>
              </w:rPr>
            </w:pPr>
            <w:r>
              <w:t>–</w:t>
            </w:r>
          </w:p>
        </w:tc>
        <w:tc>
          <w:tcPr>
            <w:tcW w:w="406" w:type="pct"/>
            <w:shd w:val="clear" w:color="auto" w:fill="CCCCCC"/>
            <w:vAlign w:val="bottom"/>
          </w:tcPr>
          <w:p w14:paraId="4F20FDAB" w14:textId="77777777" w:rsidR="00CE5BBB" w:rsidRDefault="00CE5BBB" w:rsidP="001A5D4A">
            <w:pPr>
              <w:pStyle w:val="NotesTable-CellPlain"/>
              <w:rPr>
                <w:b/>
              </w:rPr>
            </w:pPr>
            <w:r>
              <w:t>–</w:t>
            </w:r>
          </w:p>
        </w:tc>
        <w:tc>
          <w:tcPr>
            <w:tcW w:w="406" w:type="pct"/>
            <w:shd w:val="clear" w:color="auto" w:fill="CCCCCC"/>
            <w:vAlign w:val="bottom"/>
          </w:tcPr>
          <w:p w14:paraId="3FB0752B" w14:textId="77777777" w:rsidR="00CE5BBB" w:rsidRDefault="00CE5BBB" w:rsidP="001A5D4A">
            <w:pPr>
              <w:pStyle w:val="NotesTable-CellBold"/>
              <w:rPr>
                <w:b w:val="0"/>
              </w:rPr>
            </w:pPr>
            <w:r>
              <w:t>–</w:t>
            </w:r>
          </w:p>
        </w:tc>
        <w:tc>
          <w:tcPr>
            <w:tcW w:w="405" w:type="pct"/>
            <w:shd w:val="clear" w:color="auto" w:fill="CCCCCC"/>
            <w:vAlign w:val="bottom"/>
          </w:tcPr>
          <w:p w14:paraId="6F8BC99C" w14:textId="77777777" w:rsidR="00CE5BBB" w:rsidRDefault="00CE5BBB" w:rsidP="001A5D4A">
            <w:pPr>
              <w:pStyle w:val="NotesTable-CellPlain"/>
              <w:rPr>
                <w:b/>
              </w:rPr>
            </w:pPr>
            <w:r>
              <w:t>–</w:t>
            </w:r>
          </w:p>
        </w:tc>
      </w:tr>
      <w:tr w:rsidR="00CE5BBB" w14:paraId="29FF4A1F" w14:textId="77777777" w:rsidTr="00E21378">
        <w:trPr>
          <w:trHeight w:val="181"/>
        </w:trPr>
        <w:tc>
          <w:tcPr>
            <w:tcW w:w="811" w:type="pct"/>
          </w:tcPr>
          <w:p w14:paraId="1C217BAE" w14:textId="77777777" w:rsidR="00CE5BBB" w:rsidRDefault="00CE5BBB" w:rsidP="001A5D4A">
            <w:pPr>
              <w:pStyle w:val="Note-Refs"/>
            </w:pPr>
          </w:p>
        </w:tc>
        <w:tc>
          <w:tcPr>
            <w:tcW w:w="2296" w:type="pct"/>
            <w:shd w:val="clear" w:color="auto" w:fill="CCCCCC"/>
            <w:vAlign w:val="bottom"/>
          </w:tcPr>
          <w:p w14:paraId="4B928233" w14:textId="77777777" w:rsidR="00CE5BBB" w:rsidRDefault="00CE5BBB" w:rsidP="001A5D4A">
            <w:pPr>
              <w:pStyle w:val="NotesTable-ItemPlain"/>
              <w:rPr>
                <w:b/>
              </w:rPr>
            </w:pPr>
            <w:r>
              <w:t>Consultancy and contracts</w:t>
            </w:r>
          </w:p>
        </w:tc>
        <w:tc>
          <w:tcPr>
            <w:tcW w:w="270" w:type="pct"/>
            <w:shd w:val="clear" w:color="auto" w:fill="CCCCCC"/>
            <w:vAlign w:val="bottom"/>
          </w:tcPr>
          <w:p w14:paraId="4E99BD03" w14:textId="77777777" w:rsidR="00CE5BBB" w:rsidRDefault="00CE5BBB" w:rsidP="001A5D4A">
            <w:pPr>
              <w:pStyle w:val="NotesTable-Notes"/>
            </w:pPr>
            <w:r>
              <w:t>8</w:t>
            </w:r>
          </w:p>
        </w:tc>
        <w:tc>
          <w:tcPr>
            <w:tcW w:w="406" w:type="pct"/>
            <w:shd w:val="clear" w:color="auto" w:fill="CCCCCC"/>
            <w:vAlign w:val="bottom"/>
          </w:tcPr>
          <w:p w14:paraId="7AF4F7CC" w14:textId="77777777" w:rsidR="00CE5BBB" w:rsidRDefault="00CE5BBB" w:rsidP="001A5D4A">
            <w:pPr>
              <w:pStyle w:val="NotesTable-CellBold"/>
              <w:rPr>
                <w:b w:val="0"/>
              </w:rPr>
            </w:pPr>
            <w:r>
              <w:t>–</w:t>
            </w:r>
          </w:p>
        </w:tc>
        <w:tc>
          <w:tcPr>
            <w:tcW w:w="406" w:type="pct"/>
            <w:shd w:val="clear" w:color="auto" w:fill="CCCCCC"/>
            <w:vAlign w:val="bottom"/>
          </w:tcPr>
          <w:p w14:paraId="22D359E7" w14:textId="77777777" w:rsidR="00CE5BBB" w:rsidRDefault="00CE5BBB" w:rsidP="001A5D4A">
            <w:pPr>
              <w:pStyle w:val="NotesTable-CellPlain"/>
              <w:rPr>
                <w:b/>
              </w:rPr>
            </w:pPr>
            <w:r>
              <w:t>–</w:t>
            </w:r>
          </w:p>
        </w:tc>
        <w:tc>
          <w:tcPr>
            <w:tcW w:w="406" w:type="pct"/>
            <w:shd w:val="clear" w:color="auto" w:fill="CCCCCC"/>
            <w:vAlign w:val="bottom"/>
          </w:tcPr>
          <w:p w14:paraId="212CB216" w14:textId="77777777" w:rsidR="00CE5BBB" w:rsidRDefault="00CE5BBB" w:rsidP="001A5D4A">
            <w:pPr>
              <w:pStyle w:val="NotesTable-CellBold"/>
              <w:rPr>
                <w:b w:val="0"/>
              </w:rPr>
            </w:pPr>
            <w:r>
              <w:t>–</w:t>
            </w:r>
          </w:p>
        </w:tc>
        <w:tc>
          <w:tcPr>
            <w:tcW w:w="405" w:type="pct"/>
            <w:shd w:val="clear" w:color="auto" w:fill="CCCCCC"/>
            <w:vAlign w:val="bottom"/>
          </w:tcPr>
          <w:p w14:paraId="4AB8AE30" w14:textId="77777777" w:rsidR="00CE5BBB" w:rsidRDefault="00CE5BBB" w:rsidP="001A5D4A">
            <w:pPr>
              <w:pStyle w:val="NotesTable-CellPlain"/>
              <w:rPr>
                <w:b/>
              </w:rPr>
            </w:pPr>
            <w:r>
              <w:t>–</w:t>
            </w:r>
          </w:p>
        </w:tc>
      </w:tr>
      <w:tr w:rsidR="00CE5BBB" w14:paraId="3C2A8617" w14:textId="77777777" w:rsidTr="00E21378">
        <w:trPr>
          <w:trHeight w:val="181"/>
        </w:trPr>
        <w:tc>
          <w:tcPr>
            <w:tcW w:w="811" w:type="pct"/>
          </w:tcPr>
          <w:p w14:paraId="41CB4334" w14:textId="77777777" w:rsidR="00CE5BBB" w:rsidRDefault="00CE5BBB" w:rsidP="001A5D4A">
            <w:pPr>
              <w:pStyle w:val="Note-Refs"/>
            </w:pPr>
          </w:p>
        </w:tc>
        <w:tc>
          <w:tcPr>
            <w:tcW w:w="2296" w:type="pct"/>
            <w:shd w:val="clear" w:color="auto" w:fill="CCCCCC"/>
            <w:vAlign w:val="bottom"/>
          </w:tcPr>
          <w:p w14:paraId="2DDE07B8" w14:textId="77777777" w:rsidR="00CE5BBB" w:rsidRDefault="00CE5BBB" w:rsidP="001A5D4A">
            <w:pPr>
              <w:pStyle w:val="NotesTable-ItemPlain"/>
              <w:rPr>
                <w:b/>
              </w:rPr>
            </w:pPr>
            <w:r>
              <w:t>Other Revenue</w:t>
            </w:r>
          </w:p>
        </w:tc>
        <w:tc>
          <w:tcPr>
            <w:tcW w:w="270" w:type="pct"/>
            <w:shd w:val="clear" w:color="auto" w:fill="CCCCCC"/>
            <w:vAlign w:val="bottom"/>
          </w:tcPr>
          <w:p w14:paraId="39DAF1EA" w14:textId="77777777" w:rsidR="00CE5BBB" w:rsidRDefault="00CE5BBB" w:rsidP="001A5D4A">
            <w:pPr>
              <w:pStyle w:val="NotesTable-Notes"/>
            </w:pPr>
            <w:r>
              <w:t>9</w:t>
            </w:r>
          </w:p>
        </w:tc>
        <w:tc>
          <w:tcPr>
            <w:tcW w:w="406" w:type="pct"/>
            <w:tcBorders>
              <w:bottom w:val="single" w:sz="4" w:space="0" w:color="000000"/>
            </w:tcBorders>
            <w:shd w:val="clear" w:color="auto" w:fill="CCCCCC"/>
            <w:vAlign w:val="bottom"/>
          </w:tcPr>
          <w:p w14:paraId="1F7F7035" w14:textId="77777777" w:rsidR="00CE5BBB" w:rsidRDefault="00CE5BBB" w:rsidP="001A5D4A">
            <w:pPr>
              <w:pStyle w:val="NotesTable-CellBold"/>
              <w:rPr>
                <w:b w:val="0"/>
              </w:rPr>
            </w:pPr>
            <w:r>
              <w:t>–</w:t>
            </w:r>
          </w:p>
        </w:tc>
        <w:tc>
          <w:tcPr>
            <w:tcW w:w="406" w:type="pct"/>
            <w:tcBorders>
              <w:bottom w:val="single" w:sz="4" w:space="0" w:color="000000"/>
            </w:tcBorders>
            <w:shd w:val="clear" w:color="auto" w:fill="CCCCCC"/>
            <w:vAlign w:val="bottom"/>
          </w:tcPr>
          <w:p w14:paraId="77005EB1" w14:textId="77777777" w:rsidR="00CE5BBB" w:rsidRDefault="00CE5BBB" w:rsidP="001A5D4A">
            <w:pPr>
              <w:pStyle w:val="NotesTable-CellPlain"/>
              <w:rPr>
                <w:b/>
              </w:rPr>
            </w:pPr>
            <w:r>
              <w:t>–</w:t>
            </w:r>
          </w:p>
        </w:tc>
        <w:tc>
          <w:tcPr>
            <w:tcW w:w="406" w:type="pct"/>
            <w:tcBorders>
              <w:bottom w:val="single" w:sz="4" w:space="0" w:color="000000"/>
            </w:tcBorders>
            <w:shd w:val="clear" w:color="auto" w:fill="CCCCCC"/>
            <w:vAlign w:val="bottom"/>
          </w:tcPr>
          <w:p w14:paraId="643DAA67" w14:textId="77777777" w:rsidR="00CE5BBB" w:rsidRDefault="00CE5BBB" w:rsidP="001A5D4A">
            <w:pPr>
              <w:pStyle w:val="NotesTable-CellBold"/>
              <w:rPr>
                <w:b w:val="0"/>
              </w:rPr>
            </w:pPr>
            <w:r>
              <w:t>–</w:t>
            </w:r>
          </w:p>
        </w:tc>
        <w:tc>
          <w:tcPr>
            <w:tcW w:w="405" w:type="pct"/>
            <w:tcBorders>
              <w:bottom w:val="single" w:sz="4" w:space="0" w:color="000000"/>
            </w:tcBorders>
            <w:shd w:val="clear" w:color="auto" w:fill="CCCCCC"/>
            <w:vAlign w:val="bottom"/>
          </w:tcPr>
          <w:p w14:paraId="2CBF263C" w14:textId="77777777" w:rsidR="00CE5BBB" w:rsidRDefault="00CE5BBB" w:rsidP="001A5D4A">
            <w:pPr>
              <w:pStyle w:val="NotesTable-CellPlain"/>
              <w:rPr>
                <w:b/>
              </w:rPr>
            </w:pPr>
            <w:r>
              <w:t>–</w:t>
            </w:r>
          </w:p>
        </w:tc>
      </w:tr>
      <w:tr w:rsidR="00CE5BBB" w14:paraId="0924666C" w14:textId="77777777" w:rsidTr="00E21378">
        <w:trPr>
          <w:trHeight w:val="181"/>
        </w:trPr>
        <w:tc>
          <w:tcPr>
            <w:tcW w:w="811" w:type="pct"/>
            <w:vAlign w:val="center"/>
          </w:tcPr>
          <w:p w14:paraId="46670655" w14:textId="77777777" w:rsidR="00CE5BBB" w:rsidRDefault="00CE5BBB" w:rsidP="001A5D4A">
            <w:pPr>
              <w:pStyle w:val="Note-Refs"/>
              <w:rPr>
                <w:b/>
              </w:rPr>
            </w:pPr>
            <w:r>
              <w:t>AASB101.82a</w:t>
            </w:r>
          </w:p>
        </w:tc>
        <w:tc>
          <w:tcPr>
            <w:tcW w:w="2296" w:type="pct"/>
            <w:shd w:val="clear" w:color="auto" w:fill="CCCCCC"/>
            <w:vAlign w:val="bottom"/>
          </w:tcPr>
          <w:p w14:paraId="796ACCE2" w14:textId="2EC0C6C7" w:rsidR="00CE5BBB" w:rsidRDefault="00CE5BBB" w:rsidP="001A5D4A">
            <w:pPr>
              <w:pStyle w:val="NotesTable-ItemPlain"/>
            </w:pPr>
            <w:r>
              <w:t xml:space="preserve">Total revenue </w:t>
            </w:r>
            <w:r w:rsidRPr="00911226">
              <w:t>from</w:t>
            </w:r>
            <w:r>
              <w:t xml:space="preserve"> discontinued operations</w:t>
            </w:r>
          </w:p>
        </w:tc>
        <w:tc>
          <w:tcPr>
            <w:tcW w:w="270" w:type="pct"/>
            <w:shd w:val="clear" w:color="auto" w:fill="CCCCCC"/>
            <w:vAlign w:val="bottom"/>
          </w:tcPr>
          <w:p w14:paraId="1142EA6C" w14:textId="77777777" w:rsidR="00CE5BBB" w:rsidRDefault="00CE5BBB" w:rsidP="001A5D4A">
            <w:pPr>
              <w:pStyle w:val="NotesTable-Notes"/>
            </w:pPr>
          </w:p>
        </w:tc>
        <w:tc>
          <w:tcPr>
            <w:tcW w:w="406" w:type="pct"/>
            <w:tcBorders>
              <w:top w:val="single" w:sz="4" w:space="0" w:color="000000"/>
            </w:tcBorders>
            <w:shd w:val="clear" w:color="auto" w:fill="CCCCCC"/>
            <w:vAlign w:val="bottom"/>
          </w:tcPr>
          <w:p w14:paraId="4F27EF80" w14:textId="77777777" w:rsidR="00CE5BBB" w:rsidRDefault="00CE5BBB" w:rsidP="001A5D4A">
            <w:pPr>
              <w:pStyle w:val="NotesTable-CellBold"/>
              <w:rPr>
                <w:b w:val="0"/>
              </w:rPr>
            </w:pPr>
            <w:r>
              <w:t>–</w:t>
            </w:r>
          </w:p>
        </w:tc>
        <w:tc>
          <w:tcPr>
            <w:tcW w:w="406" w:type="pct"/>
            <w:tcBorders>
              <w:top w:val="single" w:sz="4" w:space="0" w:color="000000"/>
            </w:tcBorders>
            <w:shd w:val="clear" w:color="auto" w:fill="CCCCCC"/>
            <w:vAlign w:val="bottom"/>
          </w:tcPr>
          <w:p w14:paraId="4A1BD92A" w14:textId="77777777" w:rsidR="00CE5BBB" w:rsidRDefault="00CE5BBB" w:rsidP="001A5D4A">
            <w:pPr>
              <w:pStyle w:val="NotesTable-CellPlain"/>
              <w:rPr>
                <w:b/>
              </w:rPr>
            </w:pPr>
            <w:r>
              <w:t>–</w:t>
            </w:r>
          </w:p>
        </w:tc>
        <w:tc>
          <w:tcPr>
            <w:tcW w:w="406" w:type="pct"/>
            <w:tcBorders>
              <w:top w:val="single" w:sz="4" w:space="0" w:color="000000"/>
            </w:tcBorders>
            <w:shd w:val="clear" w:color="auto" w:fill="CCCCCC"/>
            <w:vAlign w:val="bottom"/>
          </w:tcPr>
          <w:p w14:paraId="29670E08" w14:textId="77777777" w:rsidR="00CE5BBB" w:rsidRDefault="00CE5BBB" w:rsidP="001A5D4A">
            <w:pPr>
              <w:pStyle w:val="NotesTable-CellBold"/>
              <w:rPr>
                <w:b w:val="0"/>
              </w:rPr>
            </w:pPr>
            <w:r>
              <w:t>–</w:t>
            </w:r>
          </w:p>
        </w:tc>
        <w:tc>
          <w:tcPr>
            <w:tcW w:w="405" w:type="pct"/>
            <w:tcBorders>
              <w:top w:val="single" w:sz="4" w:space="0" w:color="000000"/>
            </w:tcBorders>
            <w:shd w:val="clear" w:color="auto" w:fill="CCCCCC"/>
            <w:vAlign w:val="bottom"/>
          </w:tcPr>
          <w:p w14:paraId="7192005A" w14:textId="77777777" w:rsidR="00CE5BBB" w:rsidRDefault="00CE5BBB" w:rsidP="001A5D4A">
            <w:pPr>
              <w:pStyle w:val="NotesTable-CellPlain"/>
              <w:rPr>
                <w:b/>
              </w:rPr>
            </w:pPr>
            <w:r>
              <w:t>–</w:t>
            </w:r>
          </w:p>
        </w:tc>
      </w:tr>
      <w:tr w:rsidR="00CE5BBB" w14:paraId="7B87C2B8" w14:textId="77777777" w:rsidTr="00E21378">
        <w:trPr>
          <w:trHeight w:val="181"/>
        </w:trPr>
        <w:tc>
          <w:tcPr>
            <w:tcW w:w="811" w:type="pct"/>
          </w:tcPr>
          <w:p w14:paraId="5479FC19" w14:textId="77777777" w:rsidR="00CE5BBB" w:rsidRDefault="00CE5BBB" w:rsidP="001A5D4A">
            <w:pPr>
              <w:pStyle w:val="Note-Refs"/>
            </w:pPr>
          </w:p>
        </w:tc>
        <w:tc>
          <w:tcPr>
            <w:tcW w:w="2296" w:type="pct"/>
            <w:shd w:val="clear" w:color="auto" w:fill="CCCCCC"/>
            <w:vAlign w:val="bottom"/>
          </w:tcPr>
          <w:p w14:paraId="66C93421" w14:textId="77777777" w:rsidR="00CE5BBB" w:rsidRDefault="00CE5BBB" w:rsidP="001A5D4A">
            <w:pPr>
              <w:pStyle w:val="NotesTable-ItemPlain"/>
              <w:rPr>
                <w:b/>
              </w:rPr>
            </w:pPr>
            <w:r>
              <w:t>Gains on disposal of assets</w:t>
            </w:r>
          </w:p>
        </w:tc>
        <w:tc>
          <w:tcPr>
            <w:tcW w:w="270" w:type="pct"/>
            <w:shd w:val="clear" w:color="auto" w:fill="CCCCCC"/>
            <w:vAlign w:val="bottom"/>
          </w:tcPr>
          <w:p w14:paraId="4FE1C927" w14:textId="77777777" w:rsidR="00CE5BBB" w:rsidRDefault="00CE5BBB" w:rsidP="001A5D4A">
            <w:pPr>
              <w:pStyle w:val="NotesTable-Notes"/>
            </w:pPr>
          </w:p>
        </w:tc>
        <w:tc>
          <w:tcPr>
            <w:tcW w:w="406" w:type="pct"/>
            <w:shd w:val="clear" w:color="auto" w:fill="CCCCCC"/>
            <w:vAlign w:val="bottom"/>
          </w:tcPr>
          <w:p w14:paraId="23EEBDFA" w14:textId="77777777" w:rsidR="00CE5BBB" w:rsidRDefault="00CE5BBB" w:rsidP="001A5D4A">
            <w:pPr>
              <w:pStyle w:val="NotesTable-CellBold"/>
              <w:rPr>
                <w:b w:val="0"/>
              </w:rPr>
            </w:pPr>
            <w:r>
              <w:t>–</w:t>
            </w:r>
          </w:p>
        </w:tc>
        <w:tc>
          <w:tcPr>
            <w:tcW w:w="406" w:type="pct"/>
            <w:shd w:val="clear" w:color="auto" w:fill="CCCCCC"/>
            <w:vAlign w:val="bottom"/>
          </w:tcPr>
          <w:p w14:paraId="18FAED60" w14:textId="77777777" w:rsidR="00CE5BBB" w:rsidRPr="006C4169" w:rsidRDefault="00CE5BBB" w:rsidP="001A5D4A">
            <w:pPr>
              <w:pStyle w:val="NotesTable-CellPlain"/>
              <w:rPr>
                <w:b/>
              </w:rPr>
            </w:pPr>
            <w:r w:rsidRPr="006C4169">
              <w:t>–</w:t>
            </w:r>
          </w:p>
        </w:tc>
        <w:tc>
          <w:tcPr>
            <w:tcW w:w="406" w:type="pct"/>
            <w:shd w:val="clear" w:color="auto" w:fill="CCCCCC"/>
            <w:vAlign w:val="bottom"/>
          </w:tcPr>
          <w:p w14:paraId="6D712F46" w14:textId="77777777" w:rsidR="00CE5BBB" w:rsidRDefault="00CE5BBB" w:rsidP="001A5D4A">
            <w:pPr>
              <w:pStyle w:val="NotesTable-CellBold"/>
              <w:rPr>
                <w:b w:val="0"/>
              </w:rPr>
            </w:pPr>
            <w:r>
              <w:t>–</w:t>
            </w:r>
          </w:p>
        </w:tc>
        <w:tc>
          <w:tcPr>
            <w:tcW w:w="405" w:type="pct"/>
            <w:shd w:val="clear" w:color="auto" w:fill="CCCCCC"/>
            <w:vAlign w:val="bottom"/>
          </w:tcPr>
          <w:p w14:paraId="2A2F8180" w14:textId="77777777" w:rsidR="00CE5BBB" w:rsidRPr="006C4169" w:rsidRDefault="00CE5BBB" w:rsidP="001A5D4A">
            <w:pPr>
              <w:pStyle w:val="NotesTable-CellPlain"/>
              <w:rPr>
                <w:b/>
              </w:rPr>
            </w:pPr>
            <w:r w:rsidRPr="006C4169">
              <w:t>–</w:t>
            </w:r>
          </w:p>
        </w:tc>
      </w:tr>
      <w:tr w:rsidR="00CE5BBB" w14:paraId="21DD6048" w14:textId="77777777" w:rsidTr="00E21378">
        <w:trPr>
          <w:trHeight w:val="181"/>
        </w:trPr>
        <w:tc>
          <w:tcPr>
            <w:tcW w:w="811" w:type="pct"/>
          </w:tcPr>
          <w:p w14:paraId="22460807" w14:textId="77777777" w:rsidR="00CE5BBB" w:rsidRDefault="00CE5BBB" w:rsidP="001A5D4A">
            <w:pPr>
              <w:pStyle w:val="Note-Refs"/>
              <w:rPr>
                <w:b/>
              </w:rPr>
            </w:pPr>
            <w:r>
              <w:t>AASB101.82c</w:t>
            </w:r>
          </w:p>
        </w:tc>
        <w:tc>
          <w:tcPr>
            <w:tcW w:w="2296" w:type="pct"/>
            <w:shd w:val="clear" w:color="auto" w:fill="CCCCCC"/>
            <w:vAlign w:val="bottom"/>
          </w:tcPr>
          <w:p w14:paraId="73AEBFB1" w14:textId="77777777" w:rsidR="00CE5BBB" w:rsidRDefault="00CE5BBB" w:rsidP="001A5D4A">
            <w:pPr>
              <w:pStyle w:val="NotesTable-ItemPlain"/>
              <w:rPr>
                <w:b/>
              </w:rPr>
            </w:pPr>
            <w:r>
              <w:t>Share of profit or loss on investments accounted for using the equity method</w:t>
            </w:r>
          </w:p>
        </w:tc>
        <w:tc>
          <w:tcPr>
            <w:tcW w:w="270" w:type="pct"/>
            <w:shd w:val="clear" w:color="auto" w:fill="CCCCCC"/>
            <w:vAlign w:val="bottom"/>
          </w:tcPr>
          <w:p w14:paraId="11FCF0A0" w14:textId="77777777" w:rsidR="00CE5BBB" w:rsidRDefault="00CE5BBB" w:rsidP="001A5D4A">
            <w:pPr>
              <w:pStyle w:val="NotesTable-Notes"/>
              <w:rPr>
                <w:b/>
              </w:rPr>
            </w:pPr>
            <w:r>
              <w:t>25</w:t>
            </w:r>
          </w:p>
        </w:tc>
        <w:tc>
          <w:tcPr>
            <w:tcW w:w="406" w:type="pct"/>
            <w:shd w:val="clear" w:color="auto" w:fill="CCCCCC"/>
            <w:vAlign w:val="bottom"/>
          </w:tcPr>
          <w:p w14:paraId="2FA7DF66" w14:textId="77777777" w:rsidR="00CE5BBB" w:rsidRDefault="00CE5BBB" w:rsidP="001A5D4A">
            <w:pPr>
              <w:pStyle w:val="NotesTable-CellBold"/>
              <w:rPr>
                <w:b w:val="0"/>
              </w:rPr>
            </w:pPr>
            <w:r>
              <w:t>–</w:t>
            </w:r>
          </w:p>
        </w:tc>
        <w:tc>
          <w:tcPr>
            <w:tcW w:w="406" w:type="pct"/>
            <w:shd w:val="clear" w:color="auto" w:fill="CCCCCC"/>
            <w:vAlign w:val="bottom"/>
          </w:tcPr>
          <w:p w14:paraId="56322B83" w14:textId="77777777" w:rsidR="00CE5BBB" w:rsidRDefault="00CE5BBB" w:rsidP="001A5D4A">
            <w:pPr>
              <w:pStyle w:val="NotesTable-CellPlain"/>
              <w:rPr>
                <w:b/>
              </w:rPr>
            </w:pPr>
            <w:r>
              <w:t>–</w:t>
            </w:r>
          </w:p>
        </w:tc>
        <w:tc>
          <w:tcPr>
            <w:tcW w:w="406" w:type="pct"/>
            <w:shd w:val="clear" w:color="auto" w:fill="CCCCCC"/>
            <w:vAlign w:val="bottom"/>
          </w:tcPr>
          <w:p w14:paraId="5DBC2A2A" w14:textId="77777777" w:rsidR="00CE5BBB" w:rsidRDefault="00CE5BBB" w:rsidP="001A5D4A">
            <w:pPr>
              <w:pStyle w:val="NotesTable-CellBold"/>
              <w:rPr>
                <w:b w:val="0"/>
              </w:rPr>
            </w:pPr>
            <w:r>
              <w:t>–</w:t>
            </w:r>
          </w:p>
        </w:tc>
        <w:tc>
          <w:tcPr>
            <w:tcW w:w="405" w:type="pct"/>
            <w:shd w:val="clear" w:color="auto" w:fill="CCCCCC"/>
            <w:vAlign w:val="bottom"/>
          </w:tcPr>
          <w:p w14:paraId="16AA647A" w14:textId="77777777" w:rsidR="00CE5BBB" w:rsidRDefault="00CE5BBB" w:rsidP="001A5D4A">
            <w:pPr>
              <w:pStyle w:val="NotesTable-CellPlain"/>
              <w:rPr>
                <w:b/>
              </w:rPr>
            </w:pPr>
            <w:r>
              <w:t>–</w:t>
            </w:r>
          </w:p>
        </w:tc>
      </w:tr>
      <w:tr w:rsidR="00CE5BBB" w14:paraId="5AC2078A" w14:textId="77777777" w:rsidTr="00E21378">
        <w:trPr>
          <w:trHeight w:val="181"/>
        </w:trPr>
        <w:tc>
          <w:tcPr>
            <w:tcW w:w="811" w:type="pct"/>
          </w:tcPr>
          <w:p w14:paraId="44C37A54" w14:textId="77777777" w:rsidR="00CE5BBB" w:rsidRDefault="00CE5BBB" w:rsidP="001A5D4A">
            <w:pPr>
              <w:pStyle w:val="Note-Refs"/>
            </w:pPr>
          </w:p>
        </w:tc>
        <w:tc>
          <w:tcPr>
            <w:tcW w:w="2296" w:type="pct"/>
            <w:shd w:val="clear" w:color="auto" w:fill="CCCCCC"/>
            <w:vAlign w:val="bottom"/>
          </w:tcPr>
          <w:p w14:paraId="1A38CFFF" w14:textId="77777777" w:rsidR="00CE5BBB" w:rsidRDefault="00CE5BBB" w:rsidP="001A5D4A">
            <w:pPr>
              <w:pStyle w:val="NotesTable-ItemPlain"/>
              <w:rPr>
                <w:b/>
              </w:rPr>
            </w:pPr>
            <w:r>
              <w:t>Other investment income</w:t>
            </w:r>
          </w:p>
        </w:tc>
        <w:tc>
          <w:tcPr>
            <w:tcW w:w="270" w:type="pct"/>
            <w:shd w:val="clear" w:color="auto" w:fill="CCCCCC"/>
            <w:vAlign w:val="bottom"/>
          </w:tcPr>
          <w:p w14:paraId="10901732" w14:textId="77777777" w:rsidR="00CE5BBB" w:rsidRDefault="00CE5BBB" w:rsidP="001A5D4A">
            <w:pPr>
              <w:pStyle w:val="NotesTable-Notes"/>
            </w:pPr>
            <w:r>
              <w:t>6</w:t>
            </w:r>
          </w:p>
        </w:tc>
        <w:tc>
          <w:tcPr>
            <w:tcW w:w="406" w:type="pct"/>
            <w:shd w:val="clear" w:color="auto" w:fill="CCCCCC"/>
            <w:vAlign w:val="bottom"/>
          </w:tcPr>
          <w:p w14:paraId="02D69D6E" w14:textId="77777777" w:rsidR="00CE5BBB" w:rsidRDefault="00CE5BBB" w:rsidP="001A5D4A">
            <w:pPr>
              <w:pStyle w:val="NotesTable-CellBold"/>
              <w:rPr>
                <w:b w:val="0"/>
              </w:rPr>
            </w:pPr>
            <w:r>
              <w:t>–</w:t>
            </w:r>
          </w:p>
        </w:tc>
        <w:tc>
          <w:tcPr>
            <w:tcW w:w="406" w:type="pct"/>
            <w:shd w:val="clear" w:color="auto" w:fill="CCCCCC"/>
            <w:vAlign w:val="bottom"/>
          </w:tcPr>
          <w:p w14:paraId="7E622447" w14:textId="77777777" w:rsidR="00CE5BBB" w:rsidRDefault="00CE5BBB" w:rsidP="001A5D4A">
            <w:pPr>
              <w:pStyle w:val="NotesTable-CellPlain"/>
              <w:rPr>
                <w:b/>
              </w:rPr>
            </w:pPr>
            <w:r>
              <w:t>–</w:t>
            </w:r>
          </w:p>
        </w:tc>
        <w:tc>
          <w:tcPr>
            <w:tcW w:w="406" w:type="pct"/>
            <w:shd w:val="clear" w:color="auto" w:fill="CCCCCC"/>
            <w:vAlign w:val="bottom"/>
          </w:tcPr>
          <w:p w14:paraId="1616B527" w14:textId="77777777" w:rsidR="00CE5BBB" w:rsidRDefault="00CE5BBB" w:rsidP="001A5D4A">
            <w:pPr>
              <w:pStyle w:val="NotesTable-CellBold"/>
              <w:rPr>
                <w:b w:val="0"/>
              </w:rPr>
            </w:pPr>
            <w:r>
              <w:t>–</w:t>
            </w:r>
          </w:p>
        </w:tc>
        <w:tc>
          <w:tcPr>
            <w:tcW w:w="405" w:type="pct"/>
            <w:shd w:val="clear" w:color="auto" w:fill="CCCCCC"/>
            <w:vAlign w:val="bottom"/>
          </w:tcPr>
          <w:p w14:paraId="00305F3B" w14:textId="77777777" w:rsidR="00CE5BBB" w:rsidRDefault="00CE5BBB" w:rsidP="001A5D4A">
            <w:pPr>
              <w:pStyle w:val="NotesTable-CellPlain"/>
              <w:rPr>
                <w:b/>
              </w:rPr>
            </w:pPr>
            <w:r>
              <w:t>–</w:t>
            </w:r>
          </w:p>
        </w:tc>
      </w:tr>
      <w:tr w:rsidR="00CE5BBB" w14:paraId="038AECCE" w14:textId="77777777" w:rsidTr="00E21378">
        <w:trPr>
          <w:trHeight w:val="181"/>
        </w:trPr>
        <w:tc>
          <w:tcPr>
            <w:tcW w:w="811" w:type="pct"/>
          </w:tcPr>
          <w:p w14:paraId="60A8204F" w14:textId="77777777" w:rsidR="00CE5BBB" w:rsidRDefault="00CE5BBB" w:rsidP="001A5D4A">
            <w:pPr>
              <w:pStyle w:val="Note-Refs"/>
            </w:pPr>
          </w:p>
        </w:tc>
        <w:tc>
          <w:tcPr>
            <w:tcW w:w="2296" w:type="pct"/>
            <w:shd w:val="clear" w:color="auto" w:fill="CCCCCC"/>
            <w:vAlign w:val="bottom"/>
          </w:tcPr>
          <w:p w14:paraId="2CEC637F" w14:textId="77777777" w:rsidR="00CE5BBB" w:rsidRDefault="00CE5BBB" w:rsidP="001A5D4A">
            <w:pPr>
              <w:pStyle w:val="NotesTable-ItemPlain"/>
              <w:rPr>
                <w:b/>
              </w:rPr>
            </w:pPr>
            <w:r>
              <w:t>Other Income</w:t>
            </w:r>
          </w:p>
        </w:tc>
        <w:tc>
          <w:tcPr>
            <w:tcW w:w="270" w:type="pct"/>
            <w:shd w:val="clear" w:color="auto" w:fill="CCCCCC"/>
            <w:vAlign w:val="bottom"/>
          </w:tcPr>
          <w:p w14:paraId="03B1CF17" w14:textId="77777777" w:rsidR="00CE5BBB" w:rsidRDefault="00CE5BBB" w:rsidP="001A5D4A">
            <w:pPr>
              <w:pStyle w:val="NotesTable-Notes"/>
            </w:pPr>
            <w:r>
              <w:t>9</w:t>
            </w:r>
          </w:p>
        </w:tc>
        <w:tc>
          <w:tcPr>
            <w:tcW w:w="406" w:type="pct"/>
            <w:shd w:val="clear" w:color="auto" w:fill="CCCCCC"/>
            <w:vAlign w:val="bottom"/>
          </w:tcPr>
          <w:p w14:paraId="57625190" w14:textId="77777777" w:rsidR="00CE5BBB" w:rsidRDefault="00CE5BBB" w:rsidP="001A5D4A">
            <w:pPr>
              <w:pStyle w:val="NotesTable-CellBold"/>
              <w:rPr>
                <w:b w:val="0"/>
              </w:rPr>
            </w:pPr>
            <w:r>
              <w:t>–</w:t>
            </w:r>
          </w:p>
        </w:tc>
        <w:tc>
          <w:tcPr>
            <w:tcW w:w="406" w:type="pct"/>
            <w:shd w:val="clear" w:color="auto" w:fill="CCCCCC"/>
            <w:vAlign w:val="bottom"/>
          </w:tcPr>
          <w:p w14:paraId="71DFE198" w14:textId="77777777" w:rsidR="00CE5BBB" w:rsidRDefault="00CE5BBB" w:rsidP="001A5D4A">
            <w:pPr>
              <w:pStyle w:val="NotesTable-CellBold"/>
            </w:pPr>
            <w:r>
              <w:t>–</w:t>
            </w:r>
          </w:p>
        </w:tc>
        <w:tc>
          <w:tcPr>
            <w:tcW w:w="406" w:type="pct"/>
            <w:shd w:val="clear" w:color="auto" w:fill="CCCCCC"/>
            <w:vAlign w:val="bottom"/>
          </w:tcPr>
          <w:p w14:paraId="34DE6DB8" w14:textId="77777777" w:rsidR="00CE5BBB" w:rsidRDefault="00CE5BBB" w:rsidP="001A5D4A">
            <w:pPr>
              <w:pStyle w:val="NotesTable-CellBold"/>
              <w:rPr>
                <w:b w:val="0"/>
              </w:rPr>
            </w:pPr>
            <w:r>
              <w:t>–</w:t>
            </w:r>
          </w:p>
        </w:tc>
        <w:tc>
          <w:tcPr>
            <w:tcW w:w="405" w:type="pct"/>
            <w:shd w:val="clear" w:color="auto" w:fill="CCCCCC"/>
            <w:vAlign w:val="bottom"/>
          </w:tcPr>
          <w:p w14:paraId="5423FC17" w14:textId="77777777" w:rsidR="00CE5BBB" w:rsidRDefault="00CE5BBB" w:rsidP="001A5D4A">
            <w:pPr>
              <w:pStyle w:val="NotesTable-CellBold"/>
            </w:pPr>
            <w:r>
              <w:t>–</w:t>
            </w:r>
          </w:p>
        </w:tc>
      </w:tr>
      <w:tr w:rsidR="00CE5BBB" w14:paraId="388C66AE" w14:textId="77777777" w:rsidTr="00E21378">
        <w:trPr>
          <w:trHeight w:val="181"/>
        </w:trPr>
        <w:tc>
          <w:tcPr>
            <w:tcW w:w="811" w:type="pct"/>
          </w:tcPr>
          <w:p w14:paraId="03AB4446" w14:textId="77777777" w:rsidR="00CE5BBB" w:rsidRDefault="00CE5BBB" w:rsidP="001A5D4A">
            <w:pPr>
              <w:pStyle w:val="Note-Refs"/>
            </w:pPr>
          </w:p>
        </w:tc>
        <w:tc>
          <w:tcPr>
            <w:tcW w:w="2296" w:type="pct"/>
            <w:shd w:val="clear" w:color="auto" w:fill="CCCCCC"/>
            <w:vAlign w:val="bottom"/>
          </w:tcPr>
          <w:p w14:paraId="5C66F610" w14:textId="0FA6E768" w:rsidR="00CE5BBB" w:rsidRDefault="00CE5BBB" w:rsidP="001A5D4A">
            <w:pPr>
              <w:pStyle w:val="Statement-ItemBold"/>
            </w:pPr>
            <w:r>
              <w:t>Total income from discontinued operations</w:t>
            </w:r>
          </w:p>
        </w:tc>
        <w:tc>
          <w:tcPr>
            <w:tcW w:w="270" w:type="pct"/>
            <w:shd w:val="clear" w:color="auto" w:fill="CCCCCC"/>
            <w:vAlign w:val="bottom"/>
          </w:tcPr>
          <w:p w14:paraId="74FAAC56" w14:textId="77777777" w:rsidR="00CE5BBB" w:rsidRDefault="00CE5BBB" w:rsidP="001A5D4A">
            <w:pPr>
              <w:pStyle w:val="NotesTable-Notes"/>
            </w:pPr>
          </w:p>
        </w:tc>
        <w:tc>
          <w:tcPr>
            <w:tcW w:w="406" w:type="pct"/>
            <w:tcBorders>
              <w:top w:val="single" w:sz="4" w:space="0" w:color="000000"/>
            </w:tcBorders>
            <w:shd w:val="clear" w:color="auto" w:fill="CCCCCC"/>
            <w:vAlign w:val="bottom"/>
          </w:tcPr>
          <w:p w14:paraId="4FB247FE" w14:textId="77777777" w:rsidR="00CE5BBB" w:rsidRDefault="00CE5BBB" w:rsidP="001A5D4A">
            <w:pPr>
              <w:pStyle w:val="NotesTable-CellBold"/>
              <w:rPr>
                <w:b w:val="0"/>
              </w:rPr>
            </w:pPr>
            <w:r>
              <w:t>–</w:t>
            </w:r>
          </w:p>
        </w:tc>
        <w:tc>
          <w:tcPr>
            <w:tcW w:w="406" w:type="pct"/>
            <w:tcBorders>
              <w:top w:val="single" w:sz="4" w:space="0" w:color="000000"/>
            </w:tcBorders>
            <w:shd w:val="clear" w:color="auto" w:fill="CCCCCC"/>
            <w:vAlign w:val="bottom"/>
          </w:tcPr>
          <w:p w14:paraId="0580B2B8" w14:textId="77777777" w:rsidR="00CE5BBB" w:rsidRDefault="00CE5BBB" w:rsidP="001A5D4A">
            <w:pPr>
              <w:pStyle w:val="NotesTable-CellPlain"/>
              <w:rPr>
                <w:b/>
              </w:rPr>
            </w:pPr>
            <w:r>
              <w:t>–</w:t>
            </w:r>
          </w:p>
        </w:tc>
        <w:tc>
          <w:tcPr>
            <w:tcW w:w="406" w:type="pct"/>
            <w:tcBorders>
              <w:top w:val="single" w:sz="4" w:space="0" w:color="000000"/>
            </w:tcBorders>
            <w:shd w:val="clear" w:color="auto" w:fill="CCCCCC"/>
            <w:vAlign w:val="bottom"/>
          </w:tcPr>
          <w:p w14:paraId="3554EF59" w14:textId="77777777" w:rsidR="00CE5BBB" w:rsidRDefault="00CE5BBB" w:rsidP="001A5D4A">
            <w:pPr>
              <w:pStyle w:val="NotesTable-CellBold"/>
              <w:rPr>
                <w:b w:val="0"/>
              </w:rPr>
            </w:pPr>
            <w:r>
              <w:t>–</w:t>
            </w:r>
          </w:p>
        </w:tc>
        <w:tc>
          <w:tcPr>
            <w:tcW w:w="405" w:type="pct"/>
            <w:tcBorders>
              <w:top w:val="single" w:sz="4" w:space="0" w:color="000000"/>
            </w:tcBorders>
            <w:shd w:val="clear" w:color="auto" w:fill="CCCCCC"/>
            <w:vAlign w:val="bottom"/>
          </w:tcPr>
          <w:p w14:paraId="166EED25" w14:textId="77777777" w:rsidR="00CE5BBB" w:rsidRDefault="00CE5BBB" w:rsidP="001A5D4A">
            <w:pPr>
              <w:pStyle w:val="NotesTable-CellPlain"/>
              <w:rPr>
                <w:b/>
              </w:rPr>
            </w:pPr>
            <w:r>
              <w:t>–</w:t>
            </w:r>
          </w:p>
        </w:tc>
      </w:tr>
      <w:tr w:rsidR="00CE5BBB" w14:paraId="3E78B334" w14:textId="77777777" w:rsidTr="00E21378">
        <w:trPr>
          <w:trHeight w:val="181"/>
        </w:trPr>
        <w:tc>
          <w:tcPr>
            <w:tcW w:w="811" w:type="pct"/>
          </w:tcPr>
          <w:p w14:paraId="7D4BEA90" w14:textId="77777777" w:rsidR="00CE5BBB" w:rsidRDefault="00CE5BBB" w:rsidP="001A5D4A">
            <w:pPr>
              <w:pStyle w:val="Note-Refs"/>
            </w:pPr>
          </w:p>
        </w:tc>
        <w:tc>
          <w:tcPr>
            <w:tcW w:w="2296" w:type="pct"/>
            <w:shd w:val="clear" w:color="auto" w:fill="CCCCCC"/>
            <w:vAlign w:val="bottom"/>
          </w:tcPr>
          <w:p w14:paraId="64728FD8" w14:textId="77777777" w:rsidR="00CE5BBB" w:rsidDel="00F80BB0" w:rsidRDefault="00CE5BBB" w:rsidP="001A5D4A">
            <w:pPr>
              <w:pStyle w:val="NotesTable-ItemPlain"/>
            </w:pPr>
          </w:p>
        </w:tc>
        <w:tc>
          <w:tcPr>
            <w:tcW w:w="270" w:type="pct"/>
            <w:shd w:val="clear" w:color="auto" w:fill="CCCCCC"/>
            <w:vAlign w:val="bottom"/>
          </w:tcPr>
          <w:p w14:paraId="1A05434A" w14:textId="77777777" w:rsidR="00CE5BBB" w:rsidRDefault="00CE5BBB" w:rsidP="001A5D4A">
            <w:pPr>
              <w:pStyle w:val="NotesTable-Notes"/>
            </w:pPr>
          </w:p>
        </w:tc>
        <w:tc>
          <w:tcPr>
            <w:tcW w:w="406" w:type="pct"/>
            <w:shd w:val="clear" w:color="auto" w:fill="CCCCCC"/>
            <w:vAlign w:val="bottom"/>
          </w:tcPr>
          <w:p w14:paraId="56F31DFC" w14:textId="77777777" w:rsidR="00CE5BBB" w:rsidRDefault="00CE5BBB" w:rsidP="001A5D4A">
            <w:pPr>
              <w:pStyle w:val="NotesTable-CellBold"/>
            </w:pPr>
          </w:p>
        </w:tc>
        <w:tc>
          <w:tcPr>
            <w:tcW w:w="406" w:type="pct"/>
            <w:shd w:val="clear" w:color="auto" w:fill="CCCCCC"/>
            <w:vAlign w:val="bottom"/>
          </w:tcPr>
          <w:p w14:paraId="47D23DEA" w14:textId="77777777" w:rsidR="00CE5BBB" w:rsidRDefault="00CE5BBB" w:rsidP="001A5D4A">
            <w:pPr>
              <w:pStyle w:val="NotesTable-CellPlain"/>
            </w:pPr>
          </w:p>
        </w:tc>
        <w:tc>
          <w:tcPr>
            <w:tcW w:w="406" w:type="pct"/>
            <w:shd w:val="clear" w:color="auto" w:fill="CCCCCC"/>
            <w:vAlign w:val="bottom"/>
          </w:tcPr>
          <w:p w14:paraId="679E0D07" w14:textId="77777777" w:rsidR="00CE5BBB" w:rsidRDefault="00CE5BBB" w:rsidP="001A5D4A">
            <w:pPr>
              <w:pStyle w:val="NotesTable-CellBold"/>
            </w:pPr>
          </w:p>
        </w:tc>
        <w:tc>
          <w:tcPr>
            <w:tcW w:w="405" w:type="pct"/>
            <w:shd w:val="clear" w:color="auto" w:fill="CCCCCC"/>
            <w:vAlign w:val="bottom"/>
          </w:tcPr>
          <w:p w14:paraId="3566A946" w14:textId="77777777" w:rsidR="00CE5BBB" w:rsidRDefault="00CE5BBB" w:rsidP="001A5D4A">
            <w:pPr>
              <w:pStyle w:val="NotesTable-CellPlain"/>
            </w:pPr>
          </w:p>
        </w:tc>
      </w:tr>
      <w:tr w:rsidR="00CE5BBB" w14:paraId="61E7C65B" w14:textId="77777777" w:rsidTr="00E21378">
        <w:trPr>
          <w:trHeight w:val="181"/>
        </w:trPr>
        <w:tc>
          <w:tcPr>
            <w:tcW w:w="811" w:type="pct"/>
          </w:tcPr>
          <w:p w14:paraId="377FA463" w14:textId="77777777" w:rsidR="00CE5BBB" w:rsidRDefault="00CE5BBB" w:rsidP="001A5D4A">
            <w:pPr>
              <w:pStyle w:val="Note-Refs"/>
            </w:pPr>
          </w:p>
        </w:tc>
        <w:tc>
          <w:tcPr>
            <w:tcW w:w="2296" w:type="pct"/>
            <w:shd w:val="clear" w:color="auto" w:fill="CCCCCC"/>
            <w:vAlign w:val="bottom"/>
          </w:tcPr>
          <w:p w14:paraId="36D24348" w14:textId="05533C6D" w:rsidR="00CE5BBB" w:rsidRDefault="00CE5BBB" w:rsidP="001A5D4A">
            <w:pPr>
              <w:pStyle w:val="Statement-ItemBold"/>
            </w:pPr>
            <w:r>
              <w:t>Expenses from discontinued operations</w:t>
            </w:r>
          </w:p>
        </w:tc>
        <w:tc>
          <w:tcPr>
            <w:tcW w:w="270" w:type="pct"/>
            <w:shd w:val="clear" w:color="auto" w:fill="CCCCCC"/>
            <w:vAlign w:val="bottom"/>
          </w:tcPr>
          <w:p w14:paraId="3B6BE86A" w14:textId="77777777" w:rsidR="00CE5BBB" w:rsidRDefault="00CE5BBB" w:rsidP="001A5D4A">
            <w:pPr>
              <w:pStyle w:val="NotesTable-Notes"/>
            </w:pPr>
          </w:p>
        </w:tc>
        <w:tc>
          <w:tcPr>
            <w:tcW w:w="406" w:type="pct"/>
            <w:shd w:val="clear" w:color="auto" w:fill="CCCCCC"/>
            <w:vAlign w:val="bottom"/>
          </w:tcPr>
          <w:p w14:paraId="35BFFA62" w14:textId="77777777" w:rsidR="00CE5BBB" w:rsidRDefault="00CE5BBB" w:rsidP="001A5D4A">
            <w:pPr>
              <w:pStyle w:val="NotesTable-CellBold"/>
            </w:pPr>
          </w:p>
        </w:tc>
        <w:tc>
          <w:tcPr>
            <w:tcW w:w="406" w:type="pct"/>
            <w:shd w:val="clear" w:color="auto" w:fill="CCCCCC"/>
            <w:vAlign w:val="bottom"/>
          </w:tcPr>
          <w:p w14:paraId="20F54D35" w14:textId="77777777" w:rsidR="00CE5BBB" w:rsidRDefault="00CE5BBB" w:rsidP="001A5D4A">
            <w:pPr>
              <w:pStyle w:val="NotesTable-CellPlain"/>
            </w:pPr>
          </w:p>
        </w:tc>
        <w:tc>
          <w:tcPr>
            <w:tcW w:w="406" w:type="pct"/>
            <w:shd w:val="clear" w:color="auto" w:fill="CCCCCC"/>
            <w:vAlign w:val="bottom"/>
          </w:tcPr>
          <w:p w14:paraId="7D9FA84B" w14:textId="77777777" w:rsidR="00CE5BBB" w:rsidRDefault="00CE5BBB" w:rsidP="001A5D4A">
            <w:pPr>
              <w:pStyle w:val="NotesTable-CellBold"/>
            </w:pPr>
          </w:p>
        </w:tc>
        <w:tc>
          <w:tcPr>
            <w:tcW w:w="405" w:type="pct"/>
            <w:shd w:val="clear" w:color="auto" w:fill="CCCCCC"/>
            <w:vAlign w:val="bottom"/>
          </w:tcPr>
          <w:p w14:paraId="71082E5E" w14:textId="77777777" w:rsidR="00CE5BBB" w:rsidRDefault="00CE5BBB" w:rsidP="001A5D4A">
            <w:pPr>
              <w:pStyle w:val="NotesTable-CellPlain"/>
            </w:pPr>
          </w:p>
        </w:tc>
      </w:tr>
      <w:tr w:rsidR="00CE5BBB" w14:paraId="22D68004" w14:textId="77777777" w:rsidTr="00E21378">
        <w:trPr>
          <w:trHeight w:val="181"/>
        </w:trPr>
        <w:tc>
          <w:tcPr>
            <w:tcW w:w="811" w:type="pct"/>
          </w:tcPr>
          <w:p w14:paraId="13B174CB" w14:textId="77777777" w:rsidR="00CE5BBB" w:rsidRDefault="00CE5BBB" w:rsidP="001A5D4A">
            <w:pPr>
              <w:pStyle w:val="Note-Refs"/>
            </w:pPr>
          </w:p>
        </w:tc>
        <w:tc>
          <w:tcPr>
            <w:tcW w:w="2296" w:type="pct"/>
            <w:shd w:val="clear" w:color="auto" w:fill="CCCCCC"/>
            <w:vAlign w:val="bottom"/>
          </w:tcPr>
          <w:p w14:paraId="19DA3A28" w14:textId="77777777" w:rsidR="00CE5BBB" w:rsidRDefault="00CE5BBB" w:rsidP="001A5D4A">
            <w:pPr>
              <w:pStyle w:val="NotesTable-ItemPlain"/>
              <w:rPr>
                <w:b/>
              </w:rPr>
            </w:pPr>
            <w:r>
              <w:t>Employee related expenses</w:t>
            </w:r>
          </w:p>
        </w:tc>
        <w:tc>
          <w:tcPr>
            <w:tcW w:w="270" w:type="pct"/>
            <w:shd w:val="clear" w:color="auto" w:fill="CCCCCC"/>
            <w:vAlign w:val="bottom"/>
          </w:tcPr>
          <w:p w14:paraId="63F5E307" w14:textId="57E9C903" w:rsidR="00CE5BBB" w:rsidRDefault="00286AE7" w:rsidP="001A5D4A">
            <w:pPr>
              <w:pStyle w:val="NotesTable-Notes"/>
              <w:rPr>
                <w:b/>
              </w:rPr>
            </w:pPr>
            <w:r>
              <w:t>10</w:t>
            </w:r>
          </w:p>
        </w:tc>
        <w:tc>
          <w:tcPr>
            <w:tcW w:w="406" w:type="pct"/>
            <w:shd w:val="clear" w:color="auto" w:fill="CCCCCC"/>
            <w:vAlign w:val="bottom"/>
          </w:tcPr>
          <w:p w14:paraId="6B135CDB" w14:textId="77777777" w:rsidR="00CE5BBB" w:rsidRDefault="00CE5BBB" w:rsidP="001A5D4A">
            <w:pPr>
              <w:pStyle w:val="NotesTable-CellBold"/>
              <w:rPr>
                <w:b w:val="0"/>
              </w:rPr>
            </w:pPr>
            <w:r>
              <w:t>–</w:t>
            </w:r>
          </w:p>
        </w:tc>
        <w:tc>
          <w:tcPr>
            <w:tcW w:w="406" w:type="pct"/>
            <w:shd w:val="clear" w:color="auto" w:fill="CCCCCC"/>
            <w:vAlign w:val="bottom"/>
          </w:tcPr>
          <w:p w14:paraId="60DE2B2D" w14:textId="77777777" w:rsidR="00CE5BBB" w:rsidRDefault="00CE5BBB" w:rsidP="001A5D4A">
            <w:pPr>
              <w:pStyle w:val="NotesTable-CellPlain"/>
              <w:rPr>
                <w:b/>
              </w:rPr>
            </w:pPr>
            <w:r>
              <w:t>–</w:t>
            </w:r>
          </w:p>
        </w:tc>
        <w:tc>
          <w:tcPr>
            <w:tcW w:w="406" w:type="pct"/>
            <w:shd w:val="clear" w:color="auto" w:fill="CCCCCC"/>
            <w:vAlign w:val="bottom"/>
          </w:tcPr>
          <w:p w14:paraId="462B53A9" w14:textId="77777777" w:rsidR="00CE5BBB" w:rsidRDefault="00CE5BBB" w:rsidP="001A5D4A">
            <w:pPr>
              <w:pStyle w:val="NotesTable-CellBold"/>
              <w:rPr>
                <w:b w:val="0"/>
              </w:rPr>
            </w:pPr>
            <w:r>
              <w:t>–</w:t>
            </w:r>
          </w:p>
        </w:tc>
        <w:tc>
          <w:tcPr>
            <w:tcW w:w="405" w:type="pct"/>
            <w:shd w:val="clear" w:color="auto" w:fill="CCCCCC"/>
            <w:vAlign w:val="bottom"/>
          </w:tcPr>
          <w:p w14:paraId="07354CF8" w14:textId="77777777" w:rsidR="00CE5BBB" w:rsidRDefault="00CE5BBB" w:rsidP="001A5D4A">
            <w:pPr>
              <w:pStyle w:val="NotesTable-CellPlain"/>
              <w:rPr>
                <w:b/>
              </w:rPr>
            </w:pPr>
            <w:r>
              <w:t>–</w:t>
            </w:r>
          </w:p>
        </w:tc>
      </w:tr>
      <w:tr w:rsidR="00CE5BBB" w14:paraId="6E779BDB" w14:textId="77777777" w:rsidTr="00E21378">
        <w:trPr>
          <w:trHeight w:val="181"/>
        </w:trPr>
        <w:tc>
          <w:tcPr>
            <w:tcW w:w="811" w:type="pct"/>
          </w:tcPr>
          <w:p w14:paraId="19F9DC97" w14:textId="77777777" w:rsidR="00CE5BBB" w:rsidRDefault="00CE5BBB" w:rsidP="001A5D4A">
            <w:pPr>
              <w:pStyle w:val="Note-Refs"/>
            </w:pPr>
          </w:p>
        </w:tc>
        <w:tc>
          <w:tcPr>
            <w:tcW w:w="2296" w:type="pct"/>
            <w:shd w:val="clear" w:color="auto" w:fill="CCCCCC"/>
            <w:vAlign w:val="bottom"/>
          </w:tcPr>
          <w:p w14:paraId="21905D1B" w14:textId="77777777" w:rsidR="00CE5BBB" w:rsidRDefault="00CE5BBB" w:rsidP="001A5D4A">
            <w:pPr>
              <w:pStyle w:val="NotesTable-ItemPlain"/>
              <w:rPr>
                <w:b/>
              </w:rPr>
            </w:pPr>
            <w:r>
              <w:t>Depreciation and amortisation</w:t>
            </w:r>
          </w:p>
        </w:tc>
        <w:tc>
          <w:tcPr>
            <w:tcW w:w="270" w:type="pct"/>
            <w:shd w:val="clear" w:color="auto" w:fill="CCCCCC"/>
            <w:vAlign w:val="bottom"/>
          </w:tcPr>
          <w:p w14:paraId="3A509CE4" w14:textId="3ED15899" w:rsidR="00CE5BBB" w:rsidRDefault="00286AE7" w:rsidP="001A5D4A">
            <w:pPr>
              <w:pStyle w:val="NotesTable-Notes"/>
              <w:rPr>
                <w:b/>
              </w:rPr>
            </w:pPr>
            <w:r>
              <w:t>11</w:t>
            </w:r>
          </w:p>
        </w:tc>
        <w:tc>
          <w:tcPr>
            <w:tcW w:w="406" w:type="pct"/>
            <w:shd w:val="clear" w:color="auto" w:fill="CCCCCC"/>
            <w:vAlign w:val="bottom"/>
          </w:tcPr>
          <w:p w14:paraId="419FA6A1" w14:textId="77777777" w:rsidR="00CE5BBB" w:rsidRDefault="00CE5BBB" w:rsidP="001A5D4A">
            <w:pPr>
              <w:pStyle w:val="NotesTable-CellBold"/>
              <w:rPr>
                <w:b w:val="0"/>
              </w:rPr>
            </w:pPr>
            <w:r>
              <w:t>–</w:t>
            </w:r>
          </w:p>
        </w:tc>
        <w:tc>
          <w:tcPr>
            <w:tcW w:w="406" w:type="pct"/>
            <w:shd w:val="clear" w:color="auto" w:fill="CCCCCC"/>
            <w:vAlign w:val="bottom"/>
          </w:tcPr>
          <w:p w14:paraId="24C83320" w14:textId="77777777" w:rsidR="00CE5BBB" w:rsidRDefault="00CE5BBB" w:rsidP="001A5D4A">
            <w:pPr>
              <w:pStyle w:val="NotesTable-CellPlain"/>
              <w:rPr>
                <w:b/>
              </w:rPr>
            </w:pPr>
            <w:r>
              <w:t>–</w:t>
            </w:r>
          </w:p>
        </w:tc>
        <w:tc>
          <w:tcPr>
            <w:tcW w:w="406" w:type="pct"/>
            <w:shd w:val="clear" w:color="auto" w:fill="CCCCCC"/>
            <w:vAlign w:val="bottom"/>
          </w:tcPr>
          <w:p w14:paraId="2F5E14CA" w14:textId="77777777" w:rsidR="00CE5BBB" w:rsidRDefault="00CE5BBB" w:rsidP="001A5D4A">
            <w:pPr>
              <w:pStyle w:val="NotesTable-CellBold"/>
              <w:rPr>
                <w:b w:val="0"/>
              </w:rPr>
            </w:pPr>
            <w:r>
              <w:t>–</w:t>
            </w:r>
          </w:p>
        </w:tc>
        <w:tc>
          <w:tcPr>
            <w:tcW w:w="405" w:type="pct"/>
            <w:shd w:val="clear" w:color="auto" w:fill="CCCCCC"/>
            <w:vAlign w:val="bottom"/>
          </w:tcPr>
          <w:p w14:paraId="47504BC5" w14:textId="77777777" w:rsidR="00CE5BBB" w:rsidRDefault="00CE5BBB" w:rsidP="001A5D4A">
            <w:pPr>
              <w:pStyle w:val="NotesTable-CellPlain"/>
              <w:rPr>
                <w:b/>
              </w:rPr>
            </w:pPr>
            <w:r>
              <w:t>–</w:t>
            </w:r>
          </w:p>
        </w:tc>
      </w:tr>
      <w:tr w:rsidR="00CE5BBB" w14:paraId="15120943" w14:textId="77777777" w:rsidTr="00E21378">
        <w:trPr>
          <w:trHeight w:val="181"/>
        </w:trPr>
        <w:tc>
          <w:tcPr>
            <w:tcW w:w="811" w:type="pct"/>
          </w:tcPr>
          <w:p w14:paraId="7DA311D9" w14:textId="77777777" w:rsidR="00CE5BBB" w:rsidRDefault="00CE5BBB" w:rsidP="001A5D4A">
            <w:pPr>
              <w:pStyle w:val="Note-Refs"/>
            </w:pPr>
          </w:p>
        </w:tc>
        <w:tc>
          <w:tcPr>
            <w:tcW w:w="2296" w:type="pct"/>
            <w:shd w:val="clear" w:color="auto" w:fill="CCCCCC"/>
            <w:vAlign w:val="bottom"/>
          </w:tcPr>
          <w:p w14:paraId="73F0A43F" w14:textId="77777777" w:rsidR="00CE5BBB" w:rsidRDefault="00CE5BBB" w:rsidP="001A5D4A">
            <w:pPr>
              <w:pStyle w:val="NotesTable-ItemPlain"/>
              <w:rPr>
                <w:b/>
              </w:rPr>
            </w:pPr>
            <w:r>
              <w:t>Repairs and maintenance</w:t>
            </w:r>
          </w:p>
        </w:tc>
        <w:tc>
          <w:tcPr>
            <w:tcW w:w="270" w:type="pct"/>
            <w:shd w:val="clear" w:color="auto" w:fill="CCCCCC"/>
            <w:vAlign w:val="bottom"/>
          </w:tcPr>
          <w:p w14:paraId="71D9ECCF" w14:textId="0040BDA1" w:rsidR="00CE5BBB" w:rsidRDefault="00286AE7" w:rsidP="001A5D4A">
            <w:pPr>
              <w:pStyle w:val="NotesTable-Notes"/>
              <w:rPr>
                <w:b/>
              </w:rPr>
            </w:pPr>
            <w:r>
              <w:t>12</w:t>
            </w:r>
          </w:p>
        </w:tc>
        <w:tc>
          <w:tcPr>
            <w:tcW w:w="406" w:type="pct"/>
            <w:shd w:val="clear" w:color="auto" w:fill="CCCCCC"/>
            <w:vAlign w:val="bottom"/>
          </w:tcPr>
          <w:p w14:paraId="505EBF01" w14:textId="77777777" w:rsidR="00CE5BBB" w:rsidRDefault="00CE5BBB" w:rsidP="001A5D4A">
            <w:pPr>
              <w:pStyle w:val="NotesTable-CellBold"/>
              <w:rPr>
                <w:b w:val="0"/>
              </w:rPr>
            </w:pPr>
            <w:r>
              <w:t>–</w:t>
            </w:r>
          </w:p>
        </w:tc>
        <w:tc>
          <w:tcPr>
            <w:tcW w:w="406" w:type="pct"/>
            <w:shd w:val="clear" w:color="auto" w:fill="CCCCCC"/>
            <w:vAlign w:val="bottom"/>
          </w:tcPr>
          <w:p w14:paraId="5DD2624D" w14:textId="77777777" w:rsidR="00CE5BBB" w:rsidRDefault="00CE5BBB" w:rsidP="001A5D4A">
            <w:pPr>
              <w:pStyle w:val="NotesTable-CellPlain"/>
              <w:rPr>
                <w:b/>
              </w:rPr>
            </w:pPr>
            <w:r>
              <w:t>–</w:t>
            </w:r>
          </w:p>
        </w:tc>
        <w:tc>
          <w:tcPr>
            <w:tcW w:w="406" w:type="pct"/>
            <w:shd w:val="clear" w:color="auto" w:fill="CCCCCC"/>
            <w:vAlign w:val="bottom"/>
          </w:tcPr>
          <w:p w14:paraId="6B12151D" w14:textId="77777777" w:rsidR="00CE5BBB" w:rsidRDefault="00CE5BBB" w:rsidP="001A5D4A">
            <w:pPr>
              <w:pStyle w:val="NotesTable-CellBold"/>
              <w:rPr>
                <w:b w:val="0"/>
              </w:rPr>
            </w:pPr>
            <w:r>
              <w:t>–</w:t>
            </w:r>
          </w:p>
        </w:tc>
        <w:tc>
          <w:tcPr>
            <w:tcW w:w="405" w:type="pct"/>
            <w:shd w:val="clear" w:color="auto" w:fill="CCCCCC"/>
            <w:vAlign w:val="bottom"/>
          </w:tcPr>
          <w:p w14:paraId="2FC0DE04" w14:textId="77777777" w:rsidR="00CE5BBB" w:rsidRDefault="00CE5BBB" w:rsidP="001A5D4A">
            <w:pPr>
              <w:pStyle w:val="NotesTable-CellPlain"/>
              <w:rPr>
                <w:b/>
              </w:rPr>
            </w:pPr>
            <w:r>
              <w:t>–</w:t>
            </w:r>
          </w:p>
        </w:tc>
      </w:tr>
      <w:tr w:rsidR="00CE5BBB" w14:paraId="452DBF3E" w14:textId="77777777" w:rsidTr="00E21378">
        <w:trPr>
          <w:trHeight w:val="181"/>
        </w:trPr>
        <w:tc>
          <w:tcPr>
            <w:tcW w:w="811" w:type="pct"/>
            <w:vAlign w:val="center"/>
          </w:tcPr>
          <w:p w14:paraId="6FF9FF97" w14:textId="77777777" w:rsidR="00CE5BBB" w:rsidRDefault="00CE5BBB" w:rsidP="001A5D4A">
            <w:pPr>
              <w:pStyle w:val="Note-Refs"/>
              <w:rPr>
                <w:b/>
              </w:rPr>
            </w:pPr>
            <w:r>
              <w:t>AASB101.82b</w:t>
            </w:r>
          </w:p>
        </w:tc>
        <w:tc>
          <w:tcPr>
            <w:tcW w:w="2296" w:type="pct"/>
            <w:shd w:val="clear" w:color="auto" w:fill="CCCCCC"/>
            <w:vAlign w:val="bottom"/>
          </w:tcPr>
          <w:p w14:paraId="64CF4328" w14:textId="77777777" w:rsidR="00CE5BBB" w:rsidRDefault="00CE5BBB" w:rsidP="001A5D4A">
            <w:pPr>
              <w:pStyle w:val="NotesTable-ItemPlain"/>
              <w:rPr>
                <w:b/>
              </w:rPr>
            </w:pPr>
            <w:r>
              <w:t>Borrowing costs</w:t>
            </w:r>
          </w:p>
        </w:tc>
        <w:tc>
          <w:tcPr>
            <w:tcW w:w="270" w:type="pct"/>
            <w:shd w:val="clear" w:color="auto" w:fill="CCCCCC"/>
            <w:vAlign w:val="bottom"/>
          </w:tcPr>
          <w:p w14:paraId="7E5046BF" w14:textId="4EB76702" w:rsidR="00CE5BBB" w:rsidRDefault="00286AE7" w:rsidP="001A5D4A">
            <w:pPr>
              <w:pStyle w:val="NotesTable-Notes"/>
              <w:rPr>
                <w:b/>
              </w:rPr>
            </w:pPr>
            <w:r>
              <w:t>13</w:t>
            </w:r>
          </w:p>
        </w:tc>
        <w:tc>
          <w:tcPr>
            <w:tcW w:w="406" w:type="pct"/>
            <w:shd w:val="clear" w:color="auto" w:fill="CCCCCC"/>
            <w:vAlign w:val="bottom"/>
          </w:tcPr>
          <w:p w14:paraId="68B6F8D5" w14:textId="77777777" w:rsidR="00CE5BBB" w:rsidRDefault="00CE5BBB" w:rsidP="001A5D4A">
            <w:pPr>
              <w:pStyle w:val="NotesTable-CellBold"/>
              <w:rPr>
                <w:b w:val="0"/>
              </w:rPr>
            </w:pPr>
            <w:r>
              <w:t>–</w:t>
            </w:r>
          </w:p>
        </w:tc>
        <w:tc>
          <w:tcPr>
            <w:tcW w:w="406" w:type="pct"/>
            <w:shd w:val="clear" w:color="auto" w:fill="CCCCCC"/>
            <w:vAlign w:val="bottom"/>
          </w:tcPr>
          <w:p w14:paraId="4E74EF80" w14:textId="77777777" w:rsidR="00CE5BBB" w:rsidRDefault="00CE5BBB" w:rsidP="001A5D4A">
            <w:pPr>
              <w:pStyle w:val="NotesTable-CellPlain"/>
              <w:rPr>
                <w:b/>
              </w:rPr>
            </w:pPr>
            <w:r>
              <w:t>–</w:t>
            </w:r>
          </w:p>
        </w:tc>
        <w:tc>
          <w:tcPr>
            <w:tcW w:w="406" w:type="pct"/>
            <w:shd w:val="clear" w:color="auto" w:fill="CCCCCC"/>
            <w:vAlign w:val="bottom"/>
          </w:tcPr>
          <w:p w14:paraId="7714DF75" w14:textId="77777777" w:rsidR="00CE5BBB" w:rsidRDefault="00CE5BBB" w:rsidP="001A5D4A">
            <w:pPr>
              <w:pStyle w:val="NotesTable-CellBold"/>
              <w:rPr>
                <w:b w:val="0"/>
              </w:rPr>
            </w:pPr>
            <w:r>
              <w:t>–</w:t>
            </w:r>
          </w:p>
        </w:tc>
        <w:tc>
          <w:tcPr>
            <w:tcW w:w="405" w:type="pct"/>
            <w:shd w:val="clear" w:color="auto" w:fill="CCCCCC"/>
            <w:vAlign w:val="bottom"/>
          </w:tcPr>
          <w:p w14:paraId="76CD8329" w14:textId="77777777" w:rsidR="00CE5BBB" w:rsidRDefault="00CE5BBB" w:rsidP="001A5D4A">
            <w:pPr>
              <w:pStyle w:val="NotesTable-CellPlain"/>
              <w:rPr>
                <w:b/>
              </w:rPr>
            </w:pPr>
            <w:r>
              <w:t>–</w:t>
            </w:r>
          </w:p>
        </w:tc>
      </w:tr>
      <w:tr w:rsidR="00CE5BBB" w14:paraId="3FF400E0" w14:textId="77777777" w:rsidTr="00E21378">
        <w:trPr>
          <w:trHeight w:val="181"/>
        </w:trPr>
        <w:tc>
          <w:tcPr>
            <w:tcW w:w="811" w:type="pct"/>
          </w:tcPr>
          <w:p w14:paraId="070E9767" w14:textId="77777777" w:rsidR="00CE5BBB" w:rsidRDefault="00CE5BBB" w:rsidP="001A5D4A">
            <w:pPr>
              <w:pStyle w:val="Note-Refs"/>
            </w:pPr>
          </w:p>
        </w:tc>
        <w:tc>
          <w:tcPr>
            <w:tcW w:w="2296" w:type="pct"/>
            <w:shd w:val="clear" w:color="auto" w:fill="CCCCCC"/>
            <w:vAlign w:val="bottom"/>
          </w:tcPr>
          <w:p w14:paraId="55D2F0C8" w14:textId="77777777" w:rsidR="00CE5BBB" w:rsidRDefault="00CE5BBB" w:rsidP="001A5D4A">
            <w:pPr>
              <w:pStyle w:val="NotesTable-ItemPlain"/>
              <w:rPr>
                <w:b/>
              </w:rPr>
            </w:pPr>
            <w:r>
              <w:t>Impairment of assets</w:t>
            </w:r>
          </w:p>
        </w:tc>
        <w:tc>
          <w:tcPr>
            <w:tcW w:w="270" w:type="pct"/>
            <w:shd w:val="clear" w:color="auto" w:fill="CCCCCC"/>
            <w:vAlign w:val="bottom"/>
          </w:tcPr>
          <w:p w14:paraId="186C027F" w14:textId="6CF7A74B" w:rsidR="00CE5BBB" w:rsidRDefault="00286AE7" w:rsidP="001A5D4A">
            <w:pPr>
              <w:pStyle w:val="NotesTable-Notes"/>
              <w:rPr>
                <w:b/>
              </w:rPr>
            </w:pPr>
            <w:r>
              <w:t>14</w:t>
            </w:r>
          </w:p>
        </w:tc>
        <w:tc>
          <w:tcPr>
            <w:tcW w:w="406" w:type="pct"/>
            <w:shd w:val="clear" w:color="auto" w:fill="CCCCCC"/>
            <w:vAlign w:val="bottom"/>
          </w:tcPr>
          <w:p w14:paraId="02A893D0" w14:textId="77777777" w:rsidR="00CE5BBB" w:rsidRDefault="00CE5BBB" w:rsidP="001A5D4A">
            <w:pPr>
              <w:pStyle w:val="NotesTable-CellBold"/>
              <w:rPr>
                <w:b w:val="0"/>
              </w:rPr>
            </w:pPr>
            <w:r>
              <w:t>–</w:t>
            </w:r>
          </w:p>
        </w:tc>
        <w:tc>
          <w:tcPr>
            <w:tcW w:w="406" w:type="pct"/>
            <w:shd w:val="clear" w:color="auto" w:fill="CCCCCC"/>
            <w:vAlign w:val="bottom"/>
          </w:tcPr>
          <w:p w14:paraId="183B4597" w14:textId="77777777" w:rsidR="00CE5BBB" w:rsidRDefault="00CE5BBB" w:rsidP="001A5D4A">
            <w:pPr>
              <w:pStyle w:val="NotesTable-CellPlain"/>
              <w:rPr>
                <w:b/>
              </w:rPr>
            </w:pPr>
            <w:r>
              <w:t>–</w:t>
            </w:r>
          </w:p>
        </w:tc>
        <w:tc>
          <w:tcPr>
            <w:tcW w:w="406" w:type="pct"/>
            <w:shd w:val="clear" w:color="auto" w:fill="CCCCCC"/>
            <w:vAlign w:val="bottom"/>
          </w:tcPr>
          <w:p w14:paraId="34E98015" w14:textId="77777777" w:rsidR="00CE5BBB" w:rsidRDefault="00CE5BBB" w:rsidP="001A5D4A">
            <w:pPr>
              <w:pStyle w:val="NotesTable-CellBold"/>
              <w:rPr>
                <w:b w:val="0"/>
              </w:rPr>
            </w:pPr>
            <w:r>
              <w:t>–</w:t>
            </w:r>
          </w:p>
        </w:tc>
        <w:tc>
          <w:tcPr>
            <w:tcW w:w="405" w:type="pct"/>
            <w:shd w:val="clear" w:color="auto" w:fill="CCCCCC"/>
            <w:vAlign w:val="bottom"/>
          </w:tcPr>
          <w:p w14:paraId="7CE38862" w14:textId="77777777" w:rsidR="00CE5BBB" w:rsidRDefault="00CE5BBB" w:rsidP="001A5D4A">
            <w:pPr>
              <w:pStyle w:val="NotesTable-CellPlain"/>
              <w:rPr>
                <w:b/>
              </w:rPr>
            </w:pPr>
            <w:r>
              <w:t>–</w:t>
            </w:r>
          </w:p>
        </w:tc>
      </w:tr>
      <w:tr w:rsidR="00CE5BBB" w14:paraId="7F468BD7" w14:textId="77777777" w:rsidTr="00E21378">
        <w:trPr>
          <w:trHeight w:val="181"/>
        </w:trPr>
        <w:tc>
          <w:tcPr>
            <w:tcW w:w="811" w:type="pct"/>
          </w:tcPr>
          <w:p w14:paraId="0ED27329" w14:textId="77777777" w:rsidR="00CE5BBB" w:rsidRDefault="00CE5BBB" w:rsidP="001A5D4A">
            <w:pPr>
              <w:pStyle w:val="Note-Refs"/>
            </w:pPr>
          </w:p>
        </w:tc>
        <w:tc>
          <w:tcPr>
            <w:tcW w:w="2296" w:type="pct"/>
            <w:shd w:val="clear" w:color="auto" w:fill="CCCCCC"/>
            <w:vAlign w:val="bottom"/>
          </w:tcPr>
          <w:p w14:paraId="3A98A0F2" w14:textId="443516F1" w:rsidR="00CE5BBB" w:rsidRDefault="00CE5BBB" w:rsidP="001A5D4A">
            <w:pPr>
              <w:pStyle w:val="NotesTable-ItemPlain"/>
              <w:rPr>
                <w:b/>
              </w:rPr>
            </w:pPr>
            <w:r>
              <w:t>Losses on disposal of</w:t>
            </w:r>
            <w:r w:rsidR="001A35D6">
              <w:t xml:space="preserve"> </w:t>
            </w:r>
            <w:r>
              <w:t>assets</w:t>
            </w:r>
          </w:p>
        </w:tc>
        <w:tc>
          <w:tcPr>
            <w:tcW w:w="270" w:type="pct"/>
            <w:shd w:val="clear" w:color="auto" w:fill="CCCCCC"/>
            <w:vAlign w:val="bottom"/>
          </w:tcPr>
          <w:p w14:paraId="0C632E79" w14:textId="77777777" w:rsidR="00CE5BBB" w:rsidRDefault="00CE5BBB" w:rsidP="001A5D4A">
            <w:pPr>
              <w:pStyle w:val="NotesTable-Notes"/>
            </w:pPr>
          </w:p>
        </w:tc>
        <w:tc>
          <w:tcPr>
            <w:tcW w:w="406" w:type="pct"/>
            <w:shd w:val="clear" w:color="auto" w:fill="CCCCCC"/>
            <w:vAlign w:val="bottom"/>
          </w:tcPr>
          <w:p w14:paraId="53FA812B" w14:textId="77777777" w:rsidR="00CE5BBB" w:rsidRDefault="00CE5BBB" w:rsidP="001A5D4A">
            <w:pPr>
              <w:pStyle w:val="NotesTable-CellBold"/>
              <w:rPr>
                <w:b w:val="0"/>
              </w:rPr>
            </w:pPr>
            <w:r>
              <w:t>–</w:t>
            </w:r>
          </w:p>
        </w:tc>
        <w:tc>
          <w:tcPr>
            <w:tcW w:w="406" w:type="pct"/>
            <w:shd w:val="clear" w:color="auto" w:fill="CCCCCC"/>
            <w:vAlign w:val="bottom"/>
          </w:tcPr>
          <w:p w14:paraId="4C3A24B7" w14:textId="77777777" w:rsidR="00CE5BBB" w:rsidRPr="006C4169" w:rsidRDefault="00CE5BBB" w:rsidP="001A5D4A">
            <w:pPr>
              <w:pStyle w:val="NotesTable-CellPlain"/>
              <w:rPr>
                <w:b/>
              </w:rPr>
            </w:pPr>
            <w:r w:rsidRPr="006C4169">
              <w:t>–</w:t>
            </w:r>
          </w:p>
        </w:tc>
        <w:tc>
          <w:tcPr>
            <w:tcW w:w="406" w:type="pct"/>
            <w:shd w:val="clear" w:color="auto" w:fill="CCCCCC"/>
            <w:vAlign w:val="bottom"/>
          </w:tcPr>
          <w:p w14:paraId="6D9F4F01" w14:textId="77777777" w:rsidR="00CE5BBB" w:rsidRDefault="00CE5BBB" w:rsidP="001A5D4A">
            <w:pPr>
              <w:pStyle w:val="NotesTable-CellBold"/>
              <w:rPr>
                <w:b w:val="0"/>
              </w:rPr>
            </w:pPr>
            <w:r>
              <w:t>–</w:t>
            </w:r>
          </w:p>
        </w:tc>
        <w:tc>
          <w:tcPr>
            <w:tcW w:w="405" w:type="pct"/>
            <w:shd w:val="clear" w:color="auto" w:fill="CCCCCC"/>
            <w:vAlign w:val="bottom"/>
          </w:tcPr>
          <w:p w14:paraId="13A6C0FE" w14:textId="77777777" w:rsidR="00CE5BBB" w:rsidRPr="006C4169" w:rsidRDefault="00CE5BBB" w:rsidP="001A5D4A">
            <w:pPr>
              <w:pStyle w:val="NotesTable-CellPlain"/>
              <w:rPr>
                <w:b/>
              </w:rPr>
            </w:pPr>
            <w:r w:rsidRPr="006C4169">
              <w:t>–</w:t>
            </w:r>
          </w:p>
        </w:tc>
      </w:tr>
      <w:tr w:rsidR="00CE5BBB" w14:paraId="43A812A6" w14:textId="77777777" w:rsidTr="00E21378">
        <w:trPr>
          <w:trHeight w:val="181"/>
        </w:trPr>
        <w:tc>
          <w:tcPr>
            <w:tcW w:w="811" w:type="pct"/>
          </w:tcPr>
          <w:p w14:paraId="506FA074" w14:textId="77777777" w:rsidR="00CE5BBB" w:rsidRDefault="00CE5BBB" w:rsidP="001A5D4A">
            <w:pPr>
              <w:pStyle w:val="Note-Refs"/>
            </w:pPr>
          </w:p>
        </w:tc>
        <w:tc>
          <w:tcPr>
            <w:tcW w:w="2296" w:type="pct"/>
            <w:shd w:val="clear" w:color="auto" w:fill="CCCCCC"/>
            <w:vAlign w:val="bottom"/>
          </w:tcPr>
          <w:p w14:paraId="656B6AF7" w14:textId="77777777" w:rsidR="00CE5BBB" w:rsidRDefault="00CE5BBB" w:rsidP="001A5D4A">
            <w:pPr>
              <w:pStyle w:val="NotesTable-ItemPlain"/>
              <w:rPr>
                <w:b/>
              </w:rPr>
            </w:pPr>
            <w:r>
              <w:t>Investment losses</w:t>
            </w:r>
          </w:p>
        </w:tc>
        <w:tc>
          <w:tcPr>
            <w:tcW w:w="270" w:type="pct"/>
            <w:shd w:val="clear" w:color="auto" w:fill="CCCCCC"/>
            <w:vAlign w:val="bottom"/>
          </w:tcPr>
          <w:p w14:paraId="64F363FD" w14:textId="77777777" w:rsidR="00CE5BBB" w:rsidRDefault="00CE5BBB" w:rsidP="001A5D4A">
            <w:pPr>
              <w:pStyle w:val="NotesTable-Notes"/>
            </w:pPr>
            <w:r>
              <w:t>6</w:t>
            </w:r>
          </w:p>
        </w:tc>
        <w:tc>
          <w:tcPr>
            <w:tcW w:w="406" w:type="pct"/>
            <w:shd w:val="clear" w:color="auto" w:fill="CCCCCC"/>
            <w:vAlign w:val="bottom"/>
          </w:tcPr>
          <w:p w14:paraId="684FCE14" w14:textId="77777777" w:rsidR="00CE5BBB" w:rsidRDefault="00CE5BBB" w:rsidP="001A5D4A">
            <w:pPr>
              <w:pStyle w:val="NotesTable-CellBold"/>
              <w:rPr>
                <w:b w:val="0"/>
              </w:rPr>
            </w:pPr>
            <w:r>
              <w:t>–</w:t>
            </w:r>
          </w:p>
        </w:tc>
        <w:tc>
          <w:tcPr>
            <w:tcW w:w="406" w:type="pct"/>
            <w:shd w:val="clear" w:color="auto" w:fill="CCCCCC"/>
            <w:vAlign w:val="bottom"/>
          </w:tcPr>
          <w:p w14:paraId="58A1C80E" w14:textId="77777777" w:rsidR="00CE5BBB" w:rsidRDefault="00CE5BBB" w:rsidP="001A5D4A">
            <w:pPr>
              <w:pStyle w:val="NotesTable-CellPlain"/>
              <w:rPr>
                <w:b/>
              </w:rPr>
            </w:pPr>
            <w:r w:rsidRPr="006C4169">
              <w:t>–</w:t>
            </w:r>
          </w:p>
        </w:tc>
        <w:tc>
          <w:tcPr>
            <w:tcW w:w="406" w:type="pct"/>
            <w:shd w:val="clear" w:color="auto" w:fill="CCCCCC"/>
            <w:vAlign w:val="bottom"/>
          </w:tcPr>
          <w:p w14:paraId="5184A56A" w14:textId="77777777" w:rsidR="00CE5BBB" w:rsidRDefault="00CE5BBB" w:rsidP="001A5D4A">
            <w:pPr>
              <w:pStyle w:val="NotesTable-CellBold"/>
              <w:rPr>
                <w:b w:val="0"/>
              </w:rPr>
            </w:pPr>
            <w:r>
              <w:t>–</w:t>
            </w:r>
          </w:p>
        </w:tc>
        <w:tc>
          <w:tcPr>
            <w:tcW w:w="405" w:type="pct"/>
            <w:shd w:val="clear" w:color="auto" w:fill="CCCCCC"/>
            <w:vAlign w:val="bottom"/>
          </w:tcPr>
          <w:p w14:paraId="68CAB5A9" w14:textId="77777777" w:rsidR="00CE5BBB" w:rsidRDefault="00CE5BBB" w:rsidP="001A5D4A">
            <w:pPr>
              <w:pStyle w:val="NotesTable-CellPlain"/>
              <w:rPr>
                <w:b/>
              </w:rPr>
            </w:pPr>
            <w:r w:rsidRPr="006C4169">
              <w:t>–</w:t>
            </w:r>
          </w:p>
        </w:tc>
      </w:tr>
      <w:tr w:rsidR="00CE5BBB" w14:paraId="02E559DA" w14:textId="77777777" w:rsidTr="00E21378">
        <w:trPr>
          <w:trHeight w:val="181"/>
        </w:trPr>
        <w:tc>
          <w:tcPr>
            <w:tcW w:w="811" w:type="pct"/>
          </w:tcPr>
          <w:p w14:paraId="21E0469E" w14:textId="77777777" w:rsidR="00CE5BBB" w:rsidRDefault="00CE5BBB" w:rsidP="001A5D4A">
            <w:pPr>
              <w:pStyle w:val="Note-Refs"/>
            </w:pPr>
          </w:p>
        </w:tc>
        <w:tc>
          <w:tcPr>
            <w:tcW w:w="2296" w:type="pct"/>
            <w:shd w:val="clear" w:color="auto" w:fill="CCCCCC"/>
            <w:vAlign w:val="bottom"/>
          </w:tcPr>
          <w:p w14:paraId="3401ECD9" w14:textId="77777777" w:rsidR="00CE5BBB" w:rsidRDefault="00CE5BBB" w:rsidP="001A5D4A">
            <w:pPr>
              <w:pStyle w:val="NotesTable-ItemPlain"/>
              <w:rPr>
                <w:b/>
              </w:rPr>
            </w:pPr>
            <w:r>
              <w:t>Deferred Super expense</w:t>
            </w:r>
          </w:p>
        </w:tc>
        <w:tc>
          <w:tcPr>
            <w:tcW w:w="270" w:type="pct"/>
            <w:shd w:val="clear" w:color="auto" w:fill="CCCCCC"/>
            <w:vAlign w:val="bottom"/>
          </w:tcPr>
          <w:p w14:paraId="48E80551" w14:textId="73D9E23A" w:rsidR="00CE5BBB" w:rsidRDefault="00286AE7" w:rsidP="001A5D4A">
            <w:pPr>
              <w:pStyle w:val="NotesTable-Notes"/>
              <w:rPr>
                <w:b/>
              </w:rPr>
            </w:pPr>
            <w:r>
              <w:t>10/52</w:t>
            </w:r>
          </w:p>
        </w:tc>
        <w:tc>
          <w:tcPr>
            <w:tcW w:w="406" w:type="pct"/>
            <w:shd w:val="clear" w:color="auto" w:fill="CCCCCC"/>
            <w:vAlign w:val="bottom"/>
          </w:tcPr>
          <w:p w14:paraId="0820CF05" w14:textId="77777777" w:rsidR="00CE5BBB" w:rsidRDefault="00CE5BBB" w:rsidP="001A5D4A">
            <w:pPr>
              <w:pStyle w:val="NotesTable-CellBold"/>
              <w:rPr>
                <w:b w:val="0"/>
              </w:rPr>
            </w:pPr>
            <w:r>
              <w:t>–</w:t>
            </w:r>
          </w:p>
        </w:tc>
        <w:tc>
          <w:tcPr>
            <w:tcW w:w="406" w:type="pct"/>
            <w:shd w:val="clear" w:color="auto" w:fill="CCCCCC"/>
            <w:vAlign w:val="bottom"/>
          </w:tcPr>
          <w:p w14:paraId="6DB29714" w14:textId="77777777" w:rsidR="00CE5BBB" w:rsidRPr="006C4169" w:rsidRDefault="00CE5BBB" w:rsidP="001A5D4A">
            <w:pPr>
              <w:pStyle w:val="NotesTable-CellPlain"/>
              <w:rPr>
                <w:b/>
              </w:rPr>
            </w:pPr>
            <w:r w:rsidRPr="006C4169">
              <w:t>–</w:t>
            </w:r>
          </w:p>
        </w:tc>
        <w:tc>
          <w:tcPr>
            <w:tcW w:w="406" w:type="pct"/>
            <w:shd w:val="clear" w:color="auto" w:fill="CCCCCC"/>
            <w:vAlign w:val="bottom"/>
          </w:tcPr>
          <w:p w14:paraId="775AD72B" w14:textId="77777777" w:rsidR="00CE5BBB" w:rsidRDefault="00CE5BBB" w:rsidP="001A5D4A">
            <w:pPr>
              <w:pStyle w:val="NotesTable-CellBold"/>
              <w:rPr>
                <w:b w:val="0"/>
              </w:rPr>
            </w:pPr>
            <w:r>
              <w:t>–</w:t>
            </w:r>
          </w:p>
        </w:tc>
        <w:tc>
          <w:tcPr>
            <w:tcW w:w="405" w:type="pct"/>
            <w:shd w:val="clear" w:color="auto" w:fill="CCCCCC"/>
            <w:vAlign w:val="bottom"/>
          </w:tcPr>
          <w:p w14:paraId="72FD8507" w14:textId="77777777" w:rsidR="00CE5BBB" w:rsidRPr="006C4169" w:rsidRDefault="00CE5BBB" w:rsidP="001A5D4A">
            <w:pPr>
              <w:pStyle w:val="NotesTable-CellPlain"/>
              <w:rPr>
                <w:b/>
              </w:rPr>
            </w:pPr>
            <w:r w:rsidRPr="006C4169">
              <w:t>–</w:t>
            </w:r>
          </w:p>
        </w:tc>
      </w:tr>
      <w:tr w:rsidR="00CE5BBB" w14:paraId="072AF132" w14:textId="77777777" w:rsidTr="00E21378">
        <w:trPr>
          <w:trHeight w:val="181"/>
        </w:trPr>
        <w:tc>
          <w:tcPr>
            <w:tcW w:w="811" w:type="pct"/>
          </w:tcPr>
          <w:p w14:paraId="33B4C0DC" w14:textId="77777777" w:rsidR="00CE5BBB" w:rsidRDefault="00CE5BBB" w:rsidP="001A5D4A">
            <w:pPr>
              <w:pStyle w:val="Note-Refs"/>
            </w:pPr>
          </w:p>
        </w:tc>
        <w:tc>
          <w:tcPr>
            <w:tcW w:w="2296" w:type="pct"/>
            <w:shd w:val="clear" w:color="auto" w:fill="CCCCCC"/>
            <w:vAlign w:val="bottom"/>
          </w:tcPr>
          <w:p w14:paraId="38578866" w14:textId="77777777" w:rsidR="00CE5BBB" w:rsidRDefault="00CE5BBB" w:rsidP="001A5D4A">
            <w:pPr>
              <w:pStyle w:val="NotesTable-ItemPlain"/>
              <w:rPr>
                <w:b/>
              </w:rPr>
            </w:pPr>
            <w:r>
              <w:t>Other expenses</w:t>
            </w:r>
          </w:p>
        </w:tc>
        <w:tc>
          <w:tcPr>
            <w:tcW w:w="270" w:type="pct"/>
            <w:shd w:val="clear" w:color="auto" w:fill="CCCCCC"/>
            <w:vAlign w:val="bottom"/>
          </w:tcPr>
          <w:p w14:paraId="11187EAF" w14:textId="08C8C030" w:rsidR="00CE5BBB" w:rsidRDefault="00286AE7" w:rsidP="001A5D4A">
            <w:pPr>
              <w:pStyle w:val="NotesTable-Notes"/>
              <w:rPr>
                <w:b/>
              </w:rPr>
            </w:pPr>
            <w:r>
              <w:t>15</w:t>
            </w:r>
          </w:p>
        </w:tc>
        <w:tc>
          <w:tcPr>
            <w:tcW w:w="406" w:type="pct"/>
            <w:tcBorders>
              <w:bottom w:val="single" w:sz="4" w:space="0" w:color="000000"/>
            </w:tcBorders>
            <w:shd w:val="clear" w:color="auto" w:fill="CCCCCC"/>
            <w:vAlign w:val="bottom"/>
          </w:tcPr>
          <w:p w14:paraId="73C0B9F1" w14:textId="77777777" w:rsidR="00CE5BBB" w:rsidRDefault="00CE5BBB" w:rsidP="001A5D4A">
            <w:pPr>
              <w:pStyle w:val="NotesTable-CellBold"/>
              <w:rPr>
                <w:b w:val="0"/>
              </w:rPr>
            </w:pPr>
            <w:r>
              <w:t>–</w:t>
            </w:r>
          </w:p>
        </w:tc>
        <w:tc>
          <w:tcPr>
            <w:tcW w:w="406" w:type="pct"/>
            <w:tcBorders>
              <w:bottom w:val="single" w:sz="4" w:space="0" w:color="000000"/>
            </w:tcBorders>
            <w:shd w:val="clear" w:color="auto" w:fill="CCCCCC"/>
            <w:vAlign w:val="bottom"/>
          </w:tcPr>
          <w:p w14:paraId="43AA3F7F" w14:textId="77777777" w:rsidR="00CE5BBB" w:rsidRDefault="00CE5BBB" w:rsidP="001A5D4A">
            <w:pPr>
              <w:pStyle w:val="NotesTable-CellPlain"/>
              <w:rPr>
                <w:b/>
              </w:rPr>
            </w:pPr>
            <w:r>
              <w:t>–</w:t>
            </w:r>
          </w:p>
        </w:tc>
        <w:tc>
          <w:tcPr>
            <w:tcW w:w="406" w:type="pct"/>
            <w:tcBorders>
              <w:bottom w:val="single" w:sz="4" w:space="0" w:color="000000"/>
            </w:tcBorders>
            <w:shd w:val="clear" w:color="auto" w:fill="CCCCCC"/>
            <w:vAlign w:val="bottom"/>
          </w:tcPr>
          <w:p w14:paraId="7552C92B" w14:textId="77777777" w:rsidR="00CE5BBB" w:rsidRDefault="00CE5BBB" w:rsidP="001A5D4A">
            <w:pPr>
              <w:pStyle w:val="NotesTable-CellBold"/>
              <w:rPr>
                <w:b w:val="0"/>
              </w:rPr>
            </w:pPr>
            <w:r>
              <w:t>–</w:t>
            </w:r>
          </w:p>
        </w:tc>
        <w:tc>
          <w:tcPr>
            <w:tcW w:w="405" w:type="pct"/>
            <w:tcBorders>
              <w:bottom w:val="single" w:sz="4" w:space="0" w:color="000000"/>
            </w:tcBorders>
            <w:shd w:val="clear" w:color="auto" w:fill="CCCCCC"/>
            <w:vAlign w:val="bottom"/>
          </w:tcPr>
          <w:p w14:paraId="03FC7541" w14:textId="77777777" w:rsidR="00CE5BBB" w:rsidRDefault="00CE5BBB" w:rsidP="001A5D4A">
            <w:pPr>
              <w:pStyle w:val="NotesTable-CellPlain"/>
              <w:rPr>
                <w:b/>
              </w:rPr>
            </w:pPr>
            <w:r>
              <w:t>–</w:t>
            </w:r>
          </w:p>
        </w:tc>
      </w:tr>
      <w:tr w:rsidR="00CE5BBB" w14:paraId="7E40F784" w14:textId="77777777" w:rsidTr="00E21378">
        <w:trPr>
          <w:trHeight w:val="181"/>
        </w:trPr>
        <w:tc>
          <w:tcPr>
            <w:tcW w:w="811" w:type="pct"/>
          </w:tcPr>
          <w:p w14:paraId="1573AF95" w14:textId="77777777" w:rsidR="00CE5BBB" w:rsidRDefault="00CE5BBB" w:rsidP="001A5D4A">
            <w:pPr>
              <w:pStyle w:val="Note-Refs"/>
            </w:pPr>
          </w:p>
        </w:tc>
        <w:tc>
          <w:tcPr>
            <w:tcW w:w="2296" w:type="pct"/>
            <w:shd w:val="clear" w:color="auto" w:fill="CCCCCC"/>
            <w:vAlign w:val="bottom"/>
          </w:tcPr>
          <w:p w14:paraId="1223A53F" w14:textId="27EE9EB7" w:rsidR="00CE5BBB" w:rsidRDefault="00CE5BBB" w:rsidP="001A5D4A">
            <w:pPr>
              <w:pStyle w:val="Statement-ItemBold"/>
            </w:pPr>
            <w:r>
              <w:t>Total expenses from discontinued operations</w:t>
            </w:r>
          </w:p>
        </w:tc>
        <w:tc>
          <w:tcPr>
            <w:tcW w:w="270" w:type="pct"/>
            <w:shd w:val="clear" w:color="auto" w:fill="CCCCCC"/>
            <w:vAlign w:val="bottom"/>
          </w:tcPr>
          <w:p w14:paraId="7C872B9D" w14:textId="77777777" w:rsidR="00CE5BBB" w:rsidRDefault="00CE5BBB" w:rsidP="001A5D4A">
            <w:pPr>
              <w:pStyle w:val="NotesTable-Notes"/>
            </w:pPr>
          </w:p>
        </w:tc>
        <w:tc>
          <w:tcPr>
            <w:tcW w:w="406" w:type="pct"/>
            <w:tcBorders>
              <w:top w:val="single" w:sz="4" w:space="0" w:color="000000"/>
            </w:tcBorders>
            <w:shd w:val="clear" w:color="auto" w:fill="CCCCCC"/>
            <w:vAlign w:val="bottom"/>
          </w:tcPr>
          <w:p w14:paraId="68A11C0C" w14:textId="77777777" w:rsidR="00CE5BBB" w:rsidRDefault="00CE5BBB" w:rsidP="001A5D4A">
            <w:pPr>
              <w:pStyle w:val="NotesTable-CellBold"/>
              <w:rPr>
                <w:b w:val="0"/>
              </w:rPr>
            </w:pPr>
            <w:r>
              <w:t>–</w:t>
            </w:r>
          </w:p>
        </w:tc>
        <w:tc>
          <w:tcPr>
            <w:tcW w:w="406" w:type="pct"/>
            <w:tcBorders>
              <w:top w:val="single" w:sz="4" w:space="0" w:color="000000"/>
            </w:tcBorders>
            <w:shd w:val="clear" w:color="auto" w:fill="CCCCCC"/>
            <w:vAlign w:val="bottom"/>
          </w:tcPr>
          <w:p w14:paraId="07BDD580" w14:textId="77777777" w:rsidR="00CE5BBB" w:rsidRDefault="00CE5BBB" w:rsidP="001A5D4A">
            <w:pPr>
              <w:pStyle w:val="NotesTable-CellPlain"/>
              <w:rPr>
                <w:b/>
              </w:rPr>
            </w:pPr>
            <w:r>
              <w:t>–</w:t>
            </w:r>
          </w:p>
        </w:tc>
        <w:tc>
          <w:tcPr>
            <w:tcW w:w="406" w:type="pct"/>
            <w:tcBorders>
              <w:top w:val="single" w:sz="4" w:space="0" w:color="000000"/>
            </w:tcBorders>
            <w:shd w:val="clear" w:color="auto" w:fill="CCCCCC"/>
            <w:vAlign w:val="bottom"/>
          </w:tcPr>
          <w:p w14:paraId="18B43A83" w14:textId="77777777" w:rsidR="00CE5BBB" w:rsidRDefault="00CE5BBB" w:rsidP="001A5D4A">
            <w:pPr>
              <w:pStyle w:val="NotesTable-CellBold"/>
              <w:rPr>
                <w:b w:val="0"/>
              </w:rPr>
            </w:pPr>
            <w:r>
              <w:t>–</w:t>
            </w:r>
          </w:p>
        </w:tc>
        <w:tc>
          <w:tcPr>
            <w:tcW w:w="405" w:type="pct"/>
            <w:tcBorders>
              <w:top w:val="single" w:sz="4" w:space="0" w:color="000000"/>
            </w:tcBorders>
            <w:shd w:val="clear" w:color="auto" w:fill="CCCCCC"/>
            <w:vAlign w:val="bottom"/>
          </w:tcPr>
          <w:p w14:paraId="5535711B" w14:textId="77777777" w:rsidR="00CE5BBB" w:rsidRDefault="00CE5BBB" w:rsidP="001A5D4A">
            <w:pPr>
              <w:pStyle w:val="NotesTable-CellPlain"/>
              <w:rPr>
                <w:b/>
              </w:rPr>
            </w:pPr>
            <w:r>
              <w:t>–</w:t>
            </w:r>
          </w:p>
        </w:tc>
      </w:tr>
      <w:tr w:rsidR="00CE5BBB" w14:paraId="420087D6" w14:textId="77777777" w:rsidTr="00E21378">
        <w:trPr>
          <w:trHeight w:val="181"/>
        </w:trPr>
        <w:tc>
          <w:tcPr>
            <w:tcW w:w="811" w:type="pct"/>
          </w:tcPr>
          <w:p w14:paraId="1D647393" w14:textId="77777777" w:rsidR="00CE5BBB" w:rsidRDefault="00CE5BBB" w:rsidP="001A5D4A">
            <w:pPr>
              <w:pStyle w:val="Note-Refs"/>
            </w:pPr>
          </w:p>
        </w:tc>
        <w:tc>
          <w:tcPr>
            <w:tcW w:w="2296" w:type="pct"/>
            <w:tcBorders>
              <w:bottom w:val="nil"/>
            </w:tcBorders>
            <w:shd w:val="clear" w:color="auto" w:fill="CCCCCC"/>
            <w:vAlign w:val="bottom"/>
          </w:tcPr>
          <w:p w14:paraId="31B2822E" w14:textId="77777777" w:rsidR="00CE5BBB" w:rsidRDefault="00CE5BBB" w:rsidP="001A5D4A">
            <w:pPr>
              <w:pStyle w:val="NotesTable-ItemPlain"/>
            </w:pPr>
          </w:p>
        </w:tc>
        <w:tc>
          <w:tcPr>
            <w:tcW w:w="270" w:type="pct"/>
            <w:tcBorders>
              <w:bottom w:val="nil"/>
            </w:tcBorders>
            <w:shd w:val="clear" w:color="auto" w:fill="CCCCCC"/>
            <w:vAlign w:val="bottom"/>
          </w:tcPr>
          <w:p w14:paraId="2838E5E5" w14:textId="77777777" w:rsidR="00CE5BBB" w:rsidRDefault="00CE5BBB" w:rsidP="001A5D4A">
            <w:pPr>
              <w:pStyle w:val="NotesTable-Notes"/>
            </w:pPr>
          </w:p>
        </w:tc>
        <w:tc>
          <w:tcPr>
            <w:tcW w:w="406" w:type="pct"/>
            <w:shd w:val="clear" w:color="auto" w:fill="CCCCCC"/>
            <w:vAlign w:val="bottom"/>
          </w:tcPr>
          <w:p w14:paraId="29D84B19" w14:textId="77777777" w:rsidR="00CE5BBB" w:rsidRDefault="00CE5BBB" w:rsidP="001A5D4A">
            <w:pPr>
              <w:pStyle w:val="NotesTable-CellBold"/>
            </w:pPr>
          </w:p>
        </w:tc>
        <w:tc>
          <w:tcPr>
            <w:tcW w:w="406" w:type="pct"/>
            <w:shd w:val="clear" w:color="auto" w:fill="CCCCCC"/>
            <w:vAlign w:val="bottom"/>
          </w:tcPr>
          <w:p w14:paraId="69C5CDCE" w14:textId="77777777" w:rsidR="00CE5BBB" w:rsidRDefault="00CE5BBB" w:rsidP="001A5D4A">
            <w:pPr>
              <w:pStyle w:val="NotesTable-CellPlain"/>
            </w:pPr>
          </w:p>
        </w:tc>
        <w:tc>
          <w:tcPr>
            <w:tcW w:w="406" w:type="pct"/>
            <w:shd w:val="clear" w:color="auto" w:fill="CCCCCC"/>
            <w:vAlign w:val="bottom"/>
          </w:tcPr>
          <w:p w14:paraId="64753BDD" w14:textId="77777777" w:rsidR="00CE5BBB" w:rsidRDefault="00CE5BBB" w:rsidP="001A5D4A">
            <w:pPr>
              <w:pStyle w:val="NotesTable-CellBold"/>
            </w:pPr>
          </w:p>
        </w:tc>
        <w:tc>
          <w:tcPr>
            <w:tcW w:w="405" w:type="pct"/>
            <w:shd w:val="clear" w:color="auto" w:fill="CCCCCC"/>
            <w:vAlign w:val="bottom"/>
          </w:tcPr>
          <w:p w14:paraId="008679EF" w14:textId="77777777" w:rsidR="00CE5BBB" w:rsidRDefault="00CE5BBB" w:rsidP="001A5D4A">
            <w:pPr>
              <w:pStyle w:val="NotesTable-CellPlain"/>
            </w:pPr>
          </w:p>
        </w:tc>
      </w:tr>
      <w:tr w:rsidR="00CE5BBB" w14:paraId="5B420242" w14:textId="77777777" w:rsidTr="00E21378">
        <w:trPr>
          <w:trHeight w:val="181"/>
        </w:trPr>
        <w:tc>
          <w:tcPr>
            <w:tcW w:w="811" w:type="pct"/>
          </w:tcPr>
          <w:p w14:paraId="2967F78F" w14:textId="77777777" w:rsidR="00CE5BBB" w:rsidRDefault="00CE5BBB" w:rsidP="001A5D4A">
            <w:pPr>
              <w:pStyle w:val="Note-Refs"/>
            </w:pPr>
          </w:p>
        </w:tc>
        <w:tc>
          <w:tcPr>
            <w:tcW w:w="2296" w:type="pct"/>
            <w:tcBorders>
              <w:top w:val="nil"/>
            </w:tcBorders>
            <w:shd w:val="clear" w:color="auto" w:fill="CCCCCC"/>
            <w:vAlign w:val="bottom"/>
          </w:tcPr>
          <w:p w14:paraId="1490ED96" w14:textId="77777777" w:rsidR="00CE5BBB" w:rsidRDefault="00CE5BBB" w:rsidP="001A5D4A">
            <w:pPr>
              <w:pStyle w:val="NotesTable-ItemPlain"/>
            </w:pPr>
          </w:p>
        </w:tc>
        <w:tc>
          <w:tcPr>
            <w:tcW w:w="270" w:type="pct"/>
            <w:tcBorders>
              <w:top w:val="nil"/>
            </w:tcBorders>
            <w:shd w:val="clear" w:color="auto" w:fill="CCCCCC"/>
            <w:vAlign w:val="bottom"/>
          </w:tcPr>
          <w:p w14:paraId="16F755A8" w14:textId="77777777" w:rsidR="00CE5BBB" w:rsidRDefault="00CE5BBB" w:rsidP="001A5D4A">
            <w:pPr>
              <w:pStyle w:val="NotesTable-Notes"/>
            </w:pPr>
          </w:p>
        </w:tc>
        <w:tc>
          <w:tcPr>
            <w:tcW w:w="406" w:type="pct"/>
            <w:shd w:val="clear" w:color="auto" w:fill="CCCCCC"/>
            <w:vAlign w:val="bottom"/>
          </w:tcPr>
          <w:p w14:paraId="299DD06B" w14:textId="77777777" w:rsidR="00CE5BBB" w:rsidRDefault="00CE5BBB" w:rsidP="001A5D4A">
            <w:pPr>
              <w:pStyle w:val="NotesTable-CellBold"/>
            </w:pPr>
          </w:p>
        </w:tc>
        <w:tc>
          <w:tcPr>
            <w:tcW w:w="406" w:type="pct"/>
            <w:shd w:val="clear" w:color="auto" w:fill="CCCCCC"/>
            <w:vAlign w:val="bottom"/>
          </w:tcPr>
          <w:p w14:paraId="2651702A" w14:textId="77777777" w:rsidR="00CE5BBB" w:rsidRDefault="00CE5BBB" w:rsidP="001A5D4A">
            <w:pPr>
              <w:pStyle w:val="NotesTable-CellPlain"/>
            </w:pPr>
          </w:p>
        </w:tc>
        <w:tc>
          <w:tcPr>
            <w:tcW w:w="406" w:type="pct"/>
            <w:shd w:val="clear" w:color="auto" w:fill="CCCCCC"/>
            <w:vAlign w:val="bottom"/>
          </w:tcPr>
          <w:p w14:paraId="1D48C630" w14:textId="77777777" w:rsidR="00CE5BBB" w:rsidRDefault="00CE5BBB" w:rsidP="001A5D4A">
            <w:pPr>
              <w:pStyle w:val="NotesTable-CellBold"/>
            </w:pPr>
          </w:p>
        </w:tc>
        <w:tc>
          <w:tcPr>
            <w:tcW w:w="405" w:type="pct"/>
            <w:shd w:val="clear" w:color="auto" w:fill="CCCCCC"/>
            <w:vAlign w:val="bottom"/>
          </w:tcPr>
          <w:p w14:paraId="0BE7EB7E" w14:textId="77777777" w:rsidR="00CE5BBB" w:rsidRDefault="00CE5BBB" w:rsidP="001A5D4A">
            <w:pPr>
              <w:pStyle w:val="NotesTable-CellPlain"/>
            </w:pPr>
          </w:p>
        </w:tc>
      </w:tr>
      <w:tr w:rsidR="00CE5BBB" w14:paraId="6EB73CF1" w14:textId="77777777" w:rsidTr="00E21378">
        <w:trPr>
          <w:trHeight w:val="181"/>
        </w:trPr>
        <w:tc>
          <w:tcPr>
            <w:tcW w:w="811" w:type="pct"/>
          </w:tcPr>
          <w:p w14:paraId="0E5D94BE" w14:textId="77777777" w:rsidR="00CE5BBB" w:rsidRDefault="00CE5BBB" w:rsidP="001A5D4A">
            <w:pPr>
              <w:pStyle w:val="Note-Refs"/>
            </w:pPr>
          </w:p>
        </w:tc>
        <w:tc>
          <w:tcPr>
            <w:tcW w:w="2296" w:type="pct"/>
            <w:shd w:val="clear" w:color="auto" w:fill="CCCCCC"/>
            <w:vAlign w:val="bottom"/>
          </w:tcPr>
          <w:p w14:paraId="371FECAE" w14:textId="59762C8E" w:rsidR="00CE5BBB" w:rsidRDefault="00962B1E" w:rsidP="001A5D4A">
            <w:pPr>
              <w:pStyle w:val="Statement-ItemBold"/>
            </w:pPr>
            <w:r>
              <w:t xml:space="preserve">Net </w:t>
            </w:r>
            <w:r w:rsidR="00CE5BBB">
              <w:t>result before income tax</w:t>
            </w:r>
          </w:p>
        </w:tc>
        <w:tc>
          <w:tcPr>
            <w:tcW w:w="270" w:type="pct"/>
            <w:shd w:val="clear" w:color="auto" w:fill="CCCCCC"/>
            <w:vAlign w:val="bottom"/>
          </w:tcPr>
          <w:p w14:paraId="5EC796C4" w14:textId="77777777" w:rsidR="00CE5BBB" w:rsidRDefault="00CE5BBB" w:rsidP="001A5D4A">
            <w:pPr>
              <w:pStyle w:val="NotesTable-Notes"/>
            </w:pPr>
          </w:p>
        </w:tc>
        <w:tc>
          <w:tcPr>
            <w:tcW w:w="406" w:type="pct"/>
            <w:tcBorders>
              <w:top w:val="single" w:sz="4" w:space="0" w:color="000000"/>
            </w:tcBorders>
            <w:shd w:val="clear" w:color="auto" w:fill="CCCCCC"/>
            <w:vAlign w:val="bottom"/>
          </w:tcPr>
          <w:p w14:paraId="29EFC8F4" w14:textId="77777777" w:rsidR="00CE5BBB" w:rsidRDefault="00CE5BBB" w:rsidP="001A5D4A">
            <w:pPr>
              <w:pStyle w:val="NotesTable-CellBold"/>
              <w:rPr>
                <w:b w:val="0"/>
              </w:rPr>
            </w:pPr>
            <w:r>
              <w:t>–</w:t>
            </w:r>
          </w:p>
        </w:tc>
        <w:tc>
          <w:tcPr>
            <w:tcW w:w="406" w:type="pct"/>
            <w:tcBorders>
              <w:top w:val="single" w:sz="4" w:space="0" w:color="000000"/>
            </w:tcBorders>
            <w:shd w:val="clear" w:color="auto" w:fill="CCCCCC"/>
            <w:vAlign w:val="bottom"/>
          </w:tcPr>
          <w:p w14:paraId="6EFCF3C2" w14:textId="77777777" w:rsidR="00CE5BBB" w:rsidRDefault="00CE5BBB" w:rsidP="001A5D4A">
            <w:pPr>
              <w:pStyle w:val="NotesTable-CellPlain"/>
              <w:rPr>
                <w:b/>
              </w:rPr>
            </w:pPr>
            <w:r>
              <w:t>–</w:t>
            </w:r>
          </w:p>
        </w:tc>
        <w:tc>
          <w:tcPr>
            <w:tcW w:w="406" w:type="pct"/>
            <w:tcBorders>
              <w:top w:val="single" w:sz="4" w:space="0" w:color="000000"/>
            </w:tcBorders>
            <w:shd w:val="clear" w:color="auto" w:fill="CCCCCC"/>
            <w:vAlign w:val="bottom"/>
          </w:tcPr>
          <w:p w14:paraId="79203F60" w14:textId="77777777" w:rsidR="00CE5BBB" w:rsidRDefault="00CE5BBB" w:rsidP="001A5D4A">
            <w:pPr>
              <w:pStyle w:val="NotesTable-CellBold"/>
              <w:rPr>
                <w:b w:val="0"/>
              </w:rPr>
            </w:pPr>
            <w:r>
              <w:t>–</w:t>
            </w:r>
          </w:p>
        </w:tc>
        <w:tc>
          <w:tcPr>
            <w:tcW w:w="405" w:type="pct"/>
            <w:tcBorders>
              <w:top w:val="single" w:sz="4" w:space="0" w:color="000000"/>
            </w:tcBorders>
            <w:shd w:val="clear" w:color="auto" w:fill="CCCCCC"/>
            <w:vAlign w:val="bottom"/>
          </w:tcPr>
          <w:p w14:paraId="652C4746" w14:textId="77777777" w:rsidR="00CE5BBB" w:rsidRDefault="00CE5BBB" w:rsidP="001A5D4A">
            <w:pPr>
              <w:pStyle w:val="NotesTable-CellPlain"/>
              <w:rPr>
                <w:b/>
              </w:rPr>
            </w:pPr>
            <w:r>
              <w:t>–</w:t>
            </w:r>
          </w:p>
        </w:tc>
      </w:tr>
      <w:tr w:rsidR="00CE5BBB" w14:paraId="30779A28" w14:textId="77777777" w:rsidTr="00E21378">
        <w:trPr>
          <w:trHeight w:val="181"/>
        </w:trPr>
        <w:tc>
          <w:tcPr>
            <w:tcW w:w="811" w:type="pct"/>
          </w:tcPr>
          <w:p w14:paraId="06A9D4B4" w14:textId="77777777" w:rsidR="00CE5BBB" w:rsidRDefault="00CE5BBB" w:rsidP="001A5D4A">
            <w:pPr>
              <w:pStyle w:val="Note-Refs"/>
            </w:pPr>
          </w:p>
        </w:tc>
        <w:tc>
          <w:tcPr>
            <w:tcW w:w="2296" w:type="pct"/>
            <w:shd w:val="clear" w:color="auto" w:fill="CCCCCC"/>
            <w:vAlign w:val="bottom"/>
          </w:tcPr>
          <w:p w14:paraId="3C51A747" w14:textId="77777777" w:rsidR="00CE5BBB" w:rsidRDefault="00CE5BBB" w:rsidP="001A5D4A">
            <w:pPr>
              <w:pStyle w:val="NotesTable-ItemPlain"/>
            </w:pPr>
          </w:p>
        </w:tc>
        <w:tc>
          <w:tcPr>
            <w:tcW w:w="270" w:type="pct"/>
            <w:shd w:val="clear" w:color="auto" w:fill="CCCCCC"/>
            <w:vAlign w:val="bottom"/>
          </w:tcPr>
          <w:p w14:paraId="238B16E0" w14:textId="77777777" w:rsidR="00CE5BBB" w:rsidRDefault="00CE5BBB" w:rsidP="001A5D4A">
            <w:pPr>
              <w:pStyle w:val="NotesTable-Notes"/>
            </w:pPr>
          </w:p>
        </w:tc>
        <w:tc>
          <w:tcPr>
            <w:tcW w:w="406" w:type="pct"/>
            <w:shd w:val="clear" w:color="auto" w:fill="CCCCCC"/>
            <w:vAlign w:val="bottom"/>
          </w:tcPr>
          <w:p w14:paraId="29F95F2D" w14:textId="77777777" w:rsidR="00CE5BBB" w:rsidRDefault="00CE5BBB" w:rsidP="001A5D4A">
            <w:pPr>
              <w:pStyle w:val="NotesTable-CellBold"/>
            </w:pPr>
          </w:p>
        </w:tc>
        <w:tc>
          <w:tcPr>
            <w:tcW w:w="406" w:type="pct"/>
            <w:shd w:val="clear" w:color="auto" w:fill="CCCCCC"/>
            <w:vAlign w:val="bottom"/>
          </w:tcPr>
          <w:p w14:paraId="5EC505FB" w14:textId="77777777" w:rsidR="00CE5BBB" w:rsidRDefault="00CE5BBB" w:rsidP="001A5D4A">
            <w:pPr>
              <w:pStyle w:val="NotesTable-CellPlain"/>
            </w:pPr>
          </w:p>
        </w:tc>
        <w:tc>
          <w:tcPr>
            <w:tcW w:w="406" w:type="pct"/>
            <w:shd w:val="clear" w:color="auto" w:fill="CCCCCC"/>
            <w:vAlign w:val="bottom"/>
          </w:tcPr>
          <w:p w14:paraId="478356B5" w14:textId="77777777" w:rsidR="00CE5BBB" w:rsidRDefault="00CE5BBB" w:rsidP="001A5D4A">
            <w:pPr>
              <w:pStyle w:val="NotesTable-CellBold"/>
            </w:pPr>
          </w:p>
        </w:tc>
        <w:tc>
          <w:tcPr>
            <w:tcW w:w="405" w:type="pct"/>
            <w:shd w:val="clear" w:color="auto" w:fill="CCCCCC"/>
            <w:vAlign w:val="bottom"/>
          </w:tcPr>
          <w:p w14:paraId="14A24682" w14:textId="77777777" w:rsidR="00CE5BBB" w:rsidRDefault="00CE5BBB" w:rsidP="001A5D4A">
            <w:pPr>
              <w:pStyle w:val="NotesTable-CellPlain"/>
            </w:pPr>
          </w:p>
        </w:tc>
      </w:tr>
    </w:tbl>
    <w:p w14:paraId="23D7F2F6" w14:textId="77777777" w:rsidR="00BF4F3D" w:rsidRPr="00B410E2" w:rsidRDefault="00BF4F3D" w:rsidP="00B410E2">
      <w:pPr>
        <w:pStyle w:val="Heading3"/>
        <w:rPr>
          <w:color w:val="2D3E7B" w:themeColor="text2" w:themeShade="BF"/>
        </w:rPr>
      </w:pPr>
      <w:bookmarkStart w:id="303" w:name="_Toc410807624"/>
      <w:bookmarkStart w:id="304" w:name="_Toc410822685"/>
      <w:r w:rsidRPr="00B410E2">
        <w:rPr>
          <w:color w:val="2D3E7B" w:themeColor="text2" w:themeShade="BF"/>
        </w:rPr>
        <w:t xml:space="preserve">Commentary </w:t>
      </w:r>
      <w:r w:rsidRPr="00B410E2">
        <w:rPr>
          <w:color w:val="2D3E7B" w:themeColor="text2" w:themeShade="BF"/>
        </w:rPr>
        <w:noBreakHyphen/>
        <w:t xml:space="preserve"> Discontinued operations</w:t>
      </w:r>
      <w:bookmarkEnd w:id="303"/>
      <w:bookmarkEnd w:id="304"/>
    </w:p>
    <w:p w14:paraId="745B7892" w14:textId="77777777" w:rsidR="00BF4F3D" w:rsidRPr="00B410E2" w:rsidRDefault="00BF4F3D" w:rsidP="00AB24D3">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Accounting standards for discontinued operations and disposal groups</w:t>
      </w:r>
    </w:p>
    <w:p w14:paraId="0D100E0A" w14:textId="77777777" w:rsidR="00BF4F3D" w:rsidRPr="00BF4F3D" w:rsidRDefault="00BF4F3D" w:rsidP="001A5D4A">
      <w:pPr>
        <w:rPr>
          <w:color w:val="2D3E7B" w:themeColor="text2" w:themeShade="BF"/>
        </w:rPr>
      </w:pPr>
      <w:r w:rsidRPr="00BF4F3D">
        <w:rPr>
          <w:color w:val="2D3E7B" w:themeColor="text2" w:themeShade="BF"/>
        </w:rPr>
        <w:t>Accounting standards for discontinued operations and disposal groups are contained in AASB5</w:t>
      </w:r>
      <w:r w:rsidRPr="00C94CF3">
        <w:rPr>
          <w:i/>
          <w:color w:val="2D3E7B" w:themeColor="text2" w:themeShade="BF"/>
        </w:rPr>
        <w:t xml:space="preserve"> Non</w:t>
      </w:r>
      <w:r w:rsidRPr="00C94CF3">
        <w:rPr>
          <w:i/>
          <w:color w:val="2D3E7B" w:themeColor="text2" w:themeShade="BF"/>
        </w:rPr>
        <w:noBreakHyphen/>
        <w:t>current Assets Held for Sale and Discontinued Operations</w:t>
      </w:r>
      <w:r w:rsidRPr="00BF4F3D">
        <w:rPr>
          <w:color w:val="2D3E7B" w:themeColor="text2" w:themeShade="BF"/>
        </w:rPr>
        <w:t xml:space="preserve">. The example disclosures are for a discontinued operation of a controlled entity which is material to the economic entity and where the operation was made available for sale in the previous reporting period and was sold during the current reporting period. The disclosures will need to be amended to cover the specific disclosure requirements of AASB5 relevant to the circumstances of each discontinued operation. </w:t>
      </w:r>
    </w:p>
    <w:p w14:paraId="04270AEC" w14:textId="2E68B003" w:rsidR="00BF4F3D" w:rsidRPr="00BF4F3D" w:rsidRDefault="00BF4F3D" w:rsidP="00E422A6">
      <w:pPr>
        <w:pStyle w:val="Heading6"/>
      </w:pPr>
      <w:r w:rsidRPr="00BF4F3D">
        <w:t>Education</w:t>
      </w:r>
    </w:p>
    <w:p w14:paraId="68DAC378" w14:textId="77777777" w:rsidR="00BF4F3D" w:rsidRPr="00BF4F3D" w:rsidRDefault="00BF4F3D" w:rsidP="001A5D4A">
      <w:pPr>
        <w:rPr>
          <w:color w:val="2D3E7B" w:themeColor="text2" w:themeShade="BF"/>
        </w:rPr>
      </w:pPr>
      <w:r w:rsidRPr="00BF4F3D">
        <w:rPr>
          <w:color w:val="2D3E7B" w:themeColor="text2" w:themeShade="BF"/>
        </w:rPr>
        <w:t>The disclosure should contain sufficient detail to enable the reader to differentiate income and expenses from continuing operations with those from discontinued operations.</w:t>
      </w:r>
    </w:p>
    <w:p w14:paraId="6911E6DB" w14:textId="77777777" w:rsidR="00BF4F3D" w:rsidRPr="00B410E2" w:rsidRDefault="00BF4F3D" w:rsidP="00B410E2">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Definitions</w:t>
      </w:r>
    </w:p>
    <w:p w14:paraId="126F4A0A" w14:textId="77777777" w:rsidR="00BF4F3D" w:rsidRPr="00BF4F3D" w:rsidRDefault="00BF4F3D" w:rsidP="004F3ED9">
      <w:pPr>
        <w:pStyle w:val="StyleHeading6Text2"/>
      </w:pPr>
      <w:r w:rsidRPr="00BF4F3D">
        <w:t>Discontinued Operations</w:t>
      </w:r>
    </w:p>
    <w:p w14:paraId="52781F26" w14:textId="77777777" w:rsidR="00BF4F3D" w:rsidRPr="00B40DF8" w:rsidRDefault="00BF4F3D" w:rsidP="004F3ED9">
      <w:pPr>
        <w:pStyle w:val="Heading6"/>
      </w:pPr>
      <w:r w:rsidRPr="00B40DF8">
        <w:t>AASB5.32</w:t>
      </w:r>
      <w:proofErr w:type="gramStart"/>
      <w:r w:rsidRPr="00B40DF8">
        <w:t>,Appendix</w:t>
      </w:r>
      <w:proofErr w:type="gramEnd"/>
      <w:r w:rsidRPr="00B40DF8">
        <w:t xml:space="preserve"> A</w:t>
      </w:r>
    </w:p>
    <w:p w14:paraId="654FD383" w14:textId="77777777" w:rsidR="00BF4F3D" w:rsidRPr="00BF4F3D" w:rsidRDefault="00BF4F3D" w:rsidP="001A5D4A">
      <w:pPr>
        <w:rPr>
          <w:color w:val="2D3E7B" w:themeColor="text2" w:themeShade="BF"/>
        </w:rPr>
      </w:pPr>
      <w:r w:rsidRPr="00BF4F3D">
        <w:rPr>
          <w:color w:val="2D3E7B" w:themeColor="text2" w:themeShade="BF"/>
        </w:rPr>
        <w:t>A discontinued operation is a component of an entity that either has been disposed of or is classified as held for sale and:</w:t>
      </w:r>
    </w:p>
    <w:p w14:paraId="33098052" w14:textId="1588FB7B" w:rsidR="00BF4F3D" w:rsidRPr="00BF4F3D" w:rsidRDefault="00BF4F3D" w:rsidP="001A5D4A">
      <w:pPr>
        <w:pStyle w:val="ListParagraph"/>
        <w:numPr>
          <w:ilvl w:val="0"/>
          <w:numId w:val="41"/>
        </w:numPr>
        <w:rPr>
          <w:color w:val="2D3E7B" w:themeColor="text2" w:themeShade="BF"/>
        </w:rPr>
      </w:pPr>
      <w:r w:rsidRPr="00BF4F3D">
        <w:rPr>
          <w:color w:val="2D3E7B" w:themeColor="text2" w:themeShade="BF"/>
        </w:rPr>
        <w:lastRenderedPageBreak/>
        <w:t>represents a separate major line of business or geographical area of operations;</w:t>
      </w:r>
    </w:p>
    <w:p w14:paraId="40971564" w14:textId="32028B0A" w:rsidR="00BF4F3D" w:rsidRPr="00BF4F3D" w:rsidRDefault="00BF4F3D" w:rsidP="001A5D4A">
      <w:pPr>
        <w:pStyle w:val="ListParagraph"/>
        <w:numPr>
          <w:ilvl w:val="0"/>
          <w:numId w:val="41"/>
        </w:numPr>
        <w:rPr>
          <w:color w:val="2D3E7B" w:themeColor="text2" w:themeShade="BF"/>
        </w:rPr>
      </w:pPr>
      <w:r w:rsidRPr="00BF4F3D">
        <w:rPr>
          <w:color w:val="2D3E7B" w:themeColor="text2" w:themeShade="BF"/>
        </w:rPr>
        <w:t>is part of a single co</w:t>
      </w:r>
      <w:r w:rsidRPr="00BF4F3D">
        <w:rPr>
          <w:color w:val="2D3E7B" w:themeColor="text2" w:themeShade="BF"/>
        </w:rPr>
        <w:noBreakHyphen/>
        <w:t>ordinated plan to dispose of a separate major line of business or geographical area of operations; or</w:t>
      </w:r>
    </w:p>
    <w:p w14:paraId="00821067" w14:textId="3D3C0AC1" w:rsidR="00BF4F3D" w:rsidRPr="00BF4F3D" w:rsidRDefault="00BF4F3D" w:rsidP="001A5D4A">
      <w:pPr>
        <w:pStyle w:val="ListParagraph"/>
        <w:numPr>
          <w:ilvl w:val="0"/>
          <w:numId w:val="41"/>
        </w:numPr>
        <w:rPr>
          <w:color w:val="2D3E7B" w:themeColor="text2" w:themeShade="BF"/>
        </w:rPr>
      </w:pPr>
      <w:proofErr w:type="gramStart"/>
      <w:r w:rsidRPr="00BF4F3D">
        <w:rPr>
          <w:color w:val="2D3E7B" w:themeColor="text2" w:themeShade="BF"/>
        </w:rPr>
        <w:t>is</w:t>
      </w:r>
      <w:proofErr w:type="gramEnd"/>
      <w:r w:rsidRPr="00BF4F3D">
        <w:rPr>
          <w:color w:val="2D3E7B" w:themeColor="text2" w:themeShade="BF"/>
        </w:rPr>
        <w:t xml:space="preserve"> a subsidiary acquired exclusively with a view to resale.</w:t>
      </w:r>
    </w:p>
    <w:p w14:paraId="3D6E29A5" w14:textId="77777777" w:rsidR="00BF4F3D" w:rsidRPr="00B40DF8" w:rsidRDefault="00BF4F3D" w:rsidP="004F3ED9">
      <w:pPr>
        <w:pStyle w:val="Heading6"/>
      </w:pPr>
      <w:r w:rsidRPr="00B40DF8">
        <w:t>AASB5.Appendix A</w:t>
      </w:r>
    </w:p>
    <w:p w14:paraId="46408106" w14:textId="77777777" w:rsidR="00BF4F3D" w:rsidRPr="00BF4F3D" w:rsidRDefault="00BF4F3D" w:rsidP="001A5D4A">
      <w:pPr>
        <w:rPr>
          <w:color w:val="2D3E7B" w:themeColor="text2" w:themeShade="BF"/>
        </w:rPr>
      </w:pPr>
      <w:r w:rsidRPr="00BF4F3D">
        <w:rPr>
          <w:color w:val="2D3E7B" w:themeColor="text2" w:themeShade="BF"/>
        </w:rPr>
        <w:t>A component of an entity comprises operations and cash flows that can be clearly distinguished, operationally and for financial reporting purposes, from the rest of the entity. In other words, a component of an entity will have been a cash</w:t>
      </w:r>
      <w:r w:rsidRPr="00BF4F3D">
        <w:rPr>
          <w:color w:val="2D3E7B" w:themeColor="text2" w:themeShade="BF"/>
        </w:rPr>
        <w:noBreakHyphen/>
        <w:t>generating unit or a group of cash</w:t>
      </w:r>
      <w:r w:rsidRPr="00BF4F3D">
        <w:rPr>
          <w:color w:val="2D3E7B" w:themeColor="text2" w:themeShade="BF"/>
        </w:rPr>
        <w:noBreakHyphen/>
        <w:t>generating units while being held for use.</w:t>
      </w:r>
    </w:p>
    <w:p w14:paraId="01ABEC93" w14:textId="77777777" w:rsidR="00BF4F3D" w:rsidRPr="00B410E2" w:rsidRDefault="00BF4F3D" w:rsidP="00E422A6">
      <w:pPr>
        <w:pStyle w:val="Heading6"/>
      </w:pPr>
      <w:r w:rsidRPr="00B410E2">
        <w:t>Disposal group</w:t>
      </w:r>
    </w:p>
    <w:p w14:paraId="3B9F65F2" w14:textId="77777777" w:rsidR="00BF4F3D" w:rsidRPr="00B40DF8" w:rsidRDefault="00BF4F3D" w:rsidP="004F3ED9">
      <w:pPr>
        <w:pStyle w:val="Heading6"/>
      </w:pPr>
      <w:r w:rsidRPr="00B40DF8">
        <w:t>AASB5.32</w:t>
      </w:r>
      <w:proofErr w:type="gramStart"/>
      <w:r w:rsidRPr="00B40DF8">
        <w:t>,Appendix</w:t>
      </w:r>
      <w:proofErr w:type="gramEnd"/>
      <w:r w:rsidRPr="00B40DF8">
        <w:t xml:space="preserve"> A</w:t>
      </w:r>
    </w:p>
    <w:p w14:paraId="6D16C4A3" w14:textId="77777777" w:rsidR="00BF4F3D" w:rsidRPr="00BF4F3D" w:rsidRDefault="00BF4F3D" w:rsidP="001A5D4A">
      <w:pPr>
        <w:rPr>
          <w:color w:val="2D3E7B" w:themeColor="text2" w:themeShade="BF"/>
        </w:rPr>
      </w:pPr>
      <w:r w:rsidRPr="00BF4F3D">
        <w:rPr>
          <w:color w:val="2D3E7B" w:themeColor="text2" w:themeShade="BF"/>
        </w:rPr>
        <w:t xml:space="preserve">A disposal group is a group of assets to be disposed of, by sale or otherwise, together as a group in a single transaction, and liabilities directly associated with those assets that will be transferred in the transaction. The group includes goodwill acquired in a business combination if the group is a cash generating unit to which goodwill has been allocated in accordance with AASB136 </w:t>
      </w:r>
      <w:r w:rsidRPr="00C94CF3">
        <w:rPr>
          <w:i/>
          <w:color w:val="2D3E7B" w:themeColor="text2" w:themeShade="BF"/>
        </w:rPr>
        <w:t>Impairment of Assets</w:t>
      </w:r>
      <w:r w:rsidRPr="00BF4F3D">
        <w:rPr>
          <w:color w:val="2D3E7B" w:themeColor="text2" w:themeShade="BF"/>
        </w:rPr>
        <w:t xml:space="preserve"> or if it is an operation within such a cash generating unit.</w:t>
      </w:r>
    </w:p>
    <w:p w14:paraId="23755CB3" w14:textId="77777777" w:rsidR="00BF4F3D" w:rsidRPr="00B410E2" w:rsidRDefault="00BF4F3D" w:rsidP="00B410E2">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General requirement</w:t>
      </w:r>
    </w:p>
    <w:p w14:paraId="68721797" w14:textId="77777777" w:rsidR="00BF4F3D" w:rsidRPr="00B410E2" w:rsidRDefault="00BF4F3D" w:rsidP="00E422A6">
      <w:pPr>
        <w:pStyle w:val="Heading6"/>
      </w:pPr>
      <w:r w:rsidRPr="00B410E2">
        <w:t>AASB5.30</w:t>
      </w:r>
    </w:p>
    <w:p w14:paraId="7BFFF084" w14:textId="77777777" w:rsidR="00BF4F3D" w:rsidRPr="00B410E2" w:rsidRDefault="00BF4F3D" w:rsidP="001A5D4A">
      <w:pPr>
        <w:rPr>
          <w:color w:val="2D3E7B" w:themeColor="text2" w:themeShade="BF"/>
        </w:rPr>
      </w:pPr>
      <w:r w:rsidRPr="00B410E2">
        <w:rPr>
          <w:color w:val="2D3E7B" w:themeColor="text2" w:themeShade="BF"/>
        </w:rPr>
        <w:t>An entity shall present and disclose information that enables users of the financial report to evaluate the financial effects of discontinued operations and disposals of non</w:t>
      </w:r>
      <w:r w:rsidRPr="00B410E2">
        <w:rPr>
          <w:color w:val="2D3E7B" w:themeColor="text2" w:themeShade="BF"/>
        </w:rPr>
        <w:noBreakHyphen/>
        <w:t xml:space="preserve">current assets (or disposal groups). </w:t>
      </w:r>
    </w:p>
    <w:p w14:paraId="4F59911E" w14:textId="77777777" w:rsidR="00BF4F3D" w:rsidRPr="00B410E2" w:rsidRDefault="00BF4F3D" w:rsidP="00B410E2">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Discounting of deferred proceeds of sale</w:t>
      </w:r>
    </w:p>
    <w:p w14:paraId="3A21134D" w14:textId="77777777" w:rsidR="00BF4F3D" w:rsidRPr="00B410E2" w:rsidRDefault="00BF4F3D" w:rsidP="00E422A6">
      <w:pPr>
        <w:pStyle w:val="Heading6"/>
      </w:pPr>
      <w:r w:rsidRPr="00B410E2">
        <w:t>AASB118.11</w:t>
      </w:r>
    </w:p>
    <w:p w14:paraId="21EE3DED" w14:textId="77777777" w:rsidR="00BF4F3D" w:rsidRPr="00B410E2" w:rsidRDefault="00BF4F3D" w:rsidP="001A5D4A">
      <w:pPr>
        <w:rPr>
          <w:color w:val="2D3E7B" w:themeColor="text2" w:themeShade="BF"/>
        </w:rPr>
      </w:pPr>
      <w:r w:rsidRPr="00B410E2">
        <w:rPr>
          <w:color w:val="2D3E7B" w:themeColor="text2" w:themeShade="BF"/>
        </w:rPr>
        <w:t>Deferred proceeds of sale of an asset should be discounted to their present value as at the date of sale.</w:t>
      </w:r>
    </w:p>
    <w:p w14:paraId="01E85F0C" w14:textId="77777777" w:rsidR="00BF4F3D" w:rsidRPr="00B410E2" w:rsidRDefault="00BF4F3D" w:rsidP="00B410E2">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Statement of cash flows</w:t>
      </w:r>
    </w:p>
    <w:p w14:paraId="4A9303A9" w14:textId="77777777" w:rsidR="00BF4F3D" w:rsidRPr="00B410E2" w:rsidRDefault="00BF4F3D" w:rsidP="00E422A6">
      <w:pPr>
        <w:pStyle w:val="Heading6"/>
      </w:pPr>
      <w:r w:rsidRPr="00B410E2">
        <w:t>AASB107.40</w:t>
      </w:r>
    </w:p>
    <w:p w14:paraId="05003BFF" w14:textId="7D945088" w:rsidR="00BF4F3D" w:rsidRPr="00B410E2" w:rsidRDefault="00BF4F3D" w:rsidP="001A5D4A">
      <w:pPr>
        <w:rPr>
          <w:color w:val="2D3E7B" w:themeColor="text2" w:themeShade="BF"/>
        </w:rPr>
      </w:pPr>
      <w:r w:rsidRPr="00B410E2">
        <w:rPr>
          <w:color w:val="2D3E7B" w:themeColor="text2" w:themeShade="BF"/>
        </w:rPr>
        <w:t xml:space="preserve">The information referenced to AASB107 </w:t>
      </w:r>
      <w:r w:rsidR="00C94CF3">
        <w:rPr>
          <w:i/>
          <w:color w:val="2D3E7B" w:themeColor="text2" w:themeShade="BF"/>
        </w:rPr>
        <w:t>Statement of Cash F</w:t>
      </w:r>
      <w:r w:rsidRPr="00C94CF3">
        <w:rPr>
          <w:i/>
          <w:color w:val="2D3E7B" w:themeColor="text2" w:themeShade="BF"/>
        </w:rPr>
        <w:t>lows</w:t>
      </w:r>
      <w:r w:rsidRPr="00B410E2">
        <w:rPr>
          <w:color w:val="2D3E7B" w:themeColor="text2" w:themeShade="BF"/>
        </w:rPr>
        <w:t xml:space="preserve"> is included to comply with the requirements of that standard relating to disposals of subsidiaries or other business units. Refer to AASB107.39-42 for detailed guidance on required disclosures with respect to obtaining or losing control of subsidiaries or other business units, in an entity’s statement of cash flows.</w:t>
      </w:r>
    </w:p>
    <w:p w14:paraId="0597F6E8" w14:textId="77777777" w:rsidR="00BF4F3D" w:rsidRPr="00B410E2" w:rsidRDefault="00BF4F3D" w:rsidP="00E422A6">
      <w:pPr>
        <w:pStyle w:val="Heading6"/>
      </w:pPr>
      <w:r w:rsidRPr="00B410E2">
        <w:t>AASB107.40c</w:t>
      </w:r>
    </w:p>
    <w:p w14:paraId="31E7CB58" w14:textId="77777777" w:rsidR="00BF4F3D" w:rsidRPr="00BF4F3D" w:rsidRDefault="00BF4F3D" w:rsidP="001A5D4A">
      <w:pPr>
        <w:rPr>
          <w:color w:val="2D3E7B" w:themeColor="text2" w:themeShade="BF"/>
        </w:rPr>
      </w:pPr>
      <w:r w:rsidRPr="00B410E2">
        <w:rPr>
          <w:color w:val="2D3E7B" w:themeColor="text2" w:themeShade="BF"/>
        </w:rPr>
        <w:t xml:space="preserve">The amount of cash and </w:t>
      </w:r>
      <w:r w:rsidRPr="00BF4F3D">
        <w:rPr>
          <w:color w:val="2D3E7B" w:themeColor="text2" w:themeShade="BF"/>
        </w:rPr>
        <w:t>cash equivalents in the subsidiary or business unit over which control is obtained or lost must also be disclosed. Refer to the commentary on current assets (note 18) for the definitions of cash and cash equivalents.</w:t>
      </w:r>
    </w:p>
    <w:p w14:paraId="4316755F" w14:textId="77777777" w:rsidR="00B410E2" w:rsidRDefault="00B410E2">
      <w:pPr>
        <w:spacing w:after="0"/>
        <w:rPr>
          <w:rFonts w:asciiTheme="majorHAnsi" w:eastAsiaTheme="majorEastAsia" w:hAnsiTheme="majorHAnsi"/>
          <w:b/>
          <w:bCs/>
          <w:i/>
          <w:iCs/>
          <w:sz w:val="32"/>
          <w:szCs w:val="28"/>
        </w:rPr>
      </w:pPr>
      <w:bookmarkStart w:id="305" w:name="_Toc410807625"/>
      <w:bookmarkStart w:id="306" w:name="_Toc410822686"/>
      <w:r>
        <w:br w:type="page"/>
      </w:r>
    </w:p>
    <w:p w14:paraId="725AC580" w14:textId="7BF6B8A4" w:rsidR="001B4E7B" w:rsidRPr="001B4E7B" w:rsidRDefault="001B4E7B" w:rsidP="00B410E2">
      <w:pPr>
        <w:pStyle w:val="Heading2"/>
      </w:pPr>
      <w:proofErr w:type="gramStart"/>
      <w:r w:rsidRPr="001B4E7B">
        <w:lastRenderedPageBreak/>
        <w:t>Note 18.</w:t>
      </w:r>
      <w:proofErr w:type="gramEnd"/>
      <w:r w:rsidR="002636A0">
        <w:t xml:space="preserve"> </w:t>
      </w:r>
      <w:r w:rsidRPr="001B4E7B">
        <w:t>Cash and cash equivalents</w:t>
      </w:r>
      <w:bookmarkEnd w:id="305"/>
      <w:bookmarkEnd w:id="306"/>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1D43" w14:textId="77777777" w:rsidTr="00E21378">
        <w:trPr>
          <w:cantSplit/>
          <w:trHeight w:val="181"/>
        </w:trPr>
        <w:tc>
          <w:tcPr>
            <w:tcW w:w="810" w:type="pct"/>
          </w:tcPr>
          <w:p w14:paraId="038A1D3F" w14:textId="77777777" w:rsidR="00023312" w:rsidRDefault="00023312" w:rsidP="001A5D4A">
            <w:pPr>
              <w:pStyle w:val="Note-Refs"/>
            </w:pPr>
          </w:p>
        </w:tc>
        <w:tc>
          <w:tcPr>
            <w:tcW w:w="2567" w:type="pct"/>
            <w:vAlign w:val="bottom"/>
          </w:tcPr>
          <w:p w14:paraId="038A1D40" w14:textId="77777777" w:rsidR="00023312" w:rsidRDefault="00023312" w:rsidP="001A5D4A">
            <w:pPr>
              <w:pStyle w:val="NotesTable-ItemPlain"/>
            </w:pPr>
          </w:p>
        </w:tc>
        <w:tc>
          <w:tcPr>
            <w:tcW w:w="812" w:type="pct"/>
            <w:gridSpan w:val="2"/>
          </w:tcPr>
          <w:p w14:paraId="038A1D41" w14:textId="77777777" w:rsidR="00023312" w:rsidRDefault="00023312" w:rsidP="001A5D4A">
            <w:pPr>
              <w:pStyle w:val="NotesTable-HeadPlain"/>
              <w:rPr>
                <w:b/>
              </w:rPr>
            </w:pPr>
            <w:r>
              <w:t>Consolidated</w:t>
            </w:r>
          </w:p>
        </w:tc>
        <w:tc>
          <w:tcPr>
            <w:tcW w:w="811" w:type="pct"/>
            <w:gridSpan w:val="2"/>
          </w:tcPr>
          <w:p w14:paraId="038A1D42" w14:textId="77777777" w:rsidR="00023312" w:rsidRDefault="00023312" w:rsidP="001A5D4A">
            <w:pPr>
              <w:pStyle w:val="NotesTable-HeadPlain"/>
            </w:pPr>
            <w:r>
              <w:t>Parent entity</w:t>
            </w:r>
          </w:p>
        </w:tc>
      </w:tr>
      <w:tr w:rsidR="00BF5CB8" w14:paraId="038A1D4A" w14:textId="77777777" w:rsidTr="00E21378">
        <w:trPr>
          <w:cantSplit/>
          <w:trHeight w:val="181"/>
        </w:trPr>
        <w:tc>
          <w:tcPr>
            <w:tcW w:w="810" w:type="pct"/>
          </w:tcPr>
          <w:p w14:paraId="038A1D44" w14:textId="77777777" w:rsidR="00BF5CB8" w:rsidRDefault="00BF5CB8" w:rsidP="001A5D4A">
            <w:pPr>
              <w:pStyle w:val="Note-Refs"/>
            </w:pPr>
          </w:p>
        </w:tc>
        <w:tc>
          <w:tcPr>
            <w:tcW w:w="2567" w:type="pct"/>
            <w:vAlign w:val="bottom"/>
          </w:tcPr>
          <w:p w14:paraId="038A1D45" w14:textId="77777777" w:rsidR="00BF5CB8" w:rsidRDefault="00BF5CB8" w:rsidP="001A5D4A">
            <w:pPr>
              <w:pStyle w:val="NotesTable-ItemPlain"/>
            </w:pPr>
          </w:p>
        </w:tc>
        <w:tc>
          <w:tcPr>
            <w:tcW w:w="406" w:type="pct"/>
          </w:tcPr>
          <w:p w14:paraId="038A1D46" w14:textId="2A7F07E1" w:rsidR="00BF5CB8" w:rsidRDefault="006864EC" w:rsidP="001A5D4A">
            <w:pPr>
              <w:pStyle w:val="NotesTable-HeadBold"/>
            </w:pPr>
            <w:r>
              <w:t>2014</w:t>
            </w:r>
          </w:p>
        </w:tc>
        <w:tc>
          <w:tcPr>
            <w:tcW w:w="406" w:type="pct"/>
          </w:tcPr>
          <w:p w14:paraId="038A1D47" w14:textId="665DFF0E" w:rsidR="00BF5CB8" w:rsidRDefault="006864EC" w:rsidP="001A5D4A">
            <w:pPr>
              <w:pStyle w:val="NotesTable-HeadPlain"/>
            </w:pPr>
            <w:r>
              <w:t>2013</w:t>
            </w:r>
          </w:p>
        </w:tc>
        <w:tc>
          <w:tcPr>
            <w:tcW w:w="406" w:type="pct"/>
          </w:tcPr>
          <w:p w14:paraId="038A1D48" w14:textId="3F0E9E64" w:rsidR="00BF5CB8" w:rsidRDefault="006864EC" w:rsidP="001A5D4A">
            <w:pPr>
              <w:pStyle w:val="NotesTable-HeadBold"/>
            </w:pPr>
            <w:r>
              <w:t>2014</w:t>
            </w:r>
          </w:p>
        </w:tc>
        <w:tc>
          <w:tcPr>
            <w:tcW w:w="405" w:type="pct"/>
          </w:tcPr>
          <w:p w14:paraId="038A1D49" w14:textId="2EDF4828" w:rsidR="00BF5CB8" w:rsidRDefault="006864EC" w:rsidP="001A5D4A">
            <w:pPr>
              <w:pStyle w:val="NotesTable-HeadPlain"/>
            </w:pPr>
            <w:r>
              <w:t>2013</w:t>
            </w:r>
          </w:p>
        </w:tc>
      </w:tr>
      <w:tr w:rsidR="00BF5CB8" w14:paraId="038A1D51" w14:textId="77777777" w:rsidTr="00E21378">
        <w:trPr>
          <w:cantSplit/>
          <w:trHeight w:val="181"/>
        </w:trPr>
        <w:tc>
          <w:tcPr>
            <w:tcW w:w="810" w:type="pct"/>
          </w:tcPr>
          <w:p w14:paraId="038A1D4B" w14:textId="77777777" w:rsidR="00BF5CB8" w:rsidRDefault="00BF5CB8" w:rsidP="001A5D4A">
            <w:pPr>
              <w:pStyle w:val="Note-Refs"/>
            </w:pPr>
          </w:p>
        </w:tc>
        <w:tc>
          <w:tcPr>
            <w:tcW w:w="2567" w:type="pct"/>
            <w:vAlign w:val="bottom"/>
          </w:tcPr>
          <w:p w14:paraId="038A1D4C" w14:textId="77777777" w:rsidR="00BF5CB8" w:rsidRDefault="00BF5CB8" w:rsidP="001A5D4A">
            <w:pPr>
              <w:pStyle w:val="NotesTable-ItemPlain"/>
            </w:pPr>
          </w:p>
        </w:tc>
        <w:tc>
          <w:tcPr>
            <w:tcW w:w="406" w:type="pct"/>
          </w:tcPr>
          <w:p w14:paraId="038A1D4D" w14:textId="77777777" w:rsidR="00BF5CB8" w:rsidRDefault="00BF5CB8" w:rsidP="001A5D4A">
            <w:pPr>
              <w:pStyle w:val="NotesTable-HeadBold"/>
            </w:pPr>
            <w:r>
              <w:t>$’000</w:t>
            </w:r>
          </w:p>
        </w:tc>
        <w:tc>
          <w:tcPr>
            <w:tcW w:w="406" w:type="pct"/>
          </w:tcPr>
          <w:p w14:paraId="038A1D4E" w14:textId="77777777" w:rsidR="00BF5CB8" w:rsidRDefault="00BF5CB8" w:rsidP="001A5D4A">
            <w:pPr>
              <w:pStyle w:val="NotesTable-HeadPlain"/>
            </w:pPr>
            <w:r>
              <w:t>$’000</w:t>
            </w:r>
          </w:p>
        </w:tc>
        <w:tc>
          <w:tcPr>
            <w:tcW w:w="406" w:type="pct"/>
          </w:tcPr>
          <w:p w14:paraId="038A1D4F" w14:textId="77777777" w:rsidR="00BF5CB8" w:rsidRDefault="00BF5CB8" w:rsidP="001A5D4A">
            <w:pPr>
              <w:pStyle w:val="NotesTable-HeadBold"/>
            </w:pPr>
            <w:r>
              <w:t>$’000</w:t>
            </w:r>
          </w:p>
        </w:tc>
        <w:tc>
          <w:tcPr>
            <w:tcW w:w="405" w:type="pct"/>
          </w:tcPr>
          <w:p w14:paraId="038A1D50" w14:textId="77777777" w:rsidR="00BF5CB8" w:rsidRDefault="00BF5CB8" w:rsidP="001A5D4A">
            <w:pPr>
              <w:pStyle w:val="NotesTable-HeadPlain"/>
            </w:pPr>
            <w:r>
              <w:t>$’000</w:t>
            </w:r>
          </w:p>
        </w:tc>
      </w:tr>
      <w:tr w:rsidR="00BF5CB8" w14:paraId="038A1D58" w14:textId="77777777" w:rsidTr="00E21378">
        <w:trPr>
          <w:cantSplit/>
          <w:trHeight w:val="181"/>
        </w:trPr>
        <w:tc>
          <w:tcPr>
            <w:tcW w:w="810" w:type="pct"/>
          </w:tcPr>
          <w:p w14:paraId="038A1D52" w14:textId="77777777" w:rsidR="00BF5CB8" w:rsidRDefault="00BF5CB8" w:rsidP="001A5D4A">
            <w:pPr>
              <w:pStyle w:val="Note-Refs"/>
              <w:rPr>
                <w:b/>
              </w:rPr>
            </w:pPr>
            <w:r>
              <w:t>AASB107.45</w:t>
            </w:r>
          </w:p>
        </w:tc>
        <w:tc>
          <w:tcPr>
            <w:tcW w:w="2567" w:type="pct"/>
            <w:shd w:val="clear" w:color="auto" w:fill="FFFFFF" w:themeFill="background1"/>
            <w:vAlign w:val="bottom"/>
          </w:tcPr>
          <w:p w14:paraId="038A1D53" w14:textId="77777777" w:rsidR="00BF5CB8" w:rsidRDefault="00BF5CB8" w:rsidP="001A5D4A">
            <w:pPr>
              <w:pStyle w:val="NotesTable-ItemPlain"/>
              <w:rPr>
                <w:b/>
              </w:rPr>
            </w:pPr>
            <w:r>
              <w:t>Cash at bank and on hand</w:t>
            </w:r>
          </w:p>
        </w:tc>
        <w:tc>
          <w:tcPr>
            <w:tcW w:w="406" w:type="pct"/>
            <w:shd w:val="clear" w:color="auto" w:fill="FFFFFF" w:themeFill="background1"/>
          </w:tcPr>
          <w:p w14:paraId="038A1D54" w14:textId="77777777" w:rsidR="00BF5CB8" w:rsidRDefault="00BF5CB8" w:rsidP="001A5D4A">
            <w:pPr>
              <w:pStyle w:val="NotesTable-CellBold"/>
            </w:pPr>
            <w:r>
              <w:t>–</w:t>
            </w:r>
          </w:p>
        </w:tc>
        <w:tc>
          <w:tcPr>
            <w:tcW w:w="406" w:type="pct"/>
            <w:shd w:val="clear" w:color="auto" w:fill="FFFFFF" w:themeFill="background1"/>
          </w:tcPr>
          <w:p w14:paraId="038A1D55" w14:textId="77777777" w:rsidR="00BF5CB8" w:rsidRDefault="00BF5CB8" w:rsidP="001A5D4A">
            <w:pPr>
              <w:pStyle w:val="NotesTable-CellPlain"/>
            </w:pPr>
            <w:r>
              <w:t>–</w:t>
            </w:r>
          </w:p>
        </w:tc>
        <w:tc>
          <w:tcPr>
            <w:tcW w:w="406" w:type="pct"/>
            <w:shd w:val="clear" w:color="auto" w:fill="FFFFFF" w:themeFill="background1"/>
          </w:tcPr>
          <w:p w14:paraId="038A1D56" w14:textId="77777777" w:rsidR="00BF5CB8" w:rsidRDefault="00BF5CB8" w:rsidP="001A5D4A">
            <w:pPr>
              <w:pStyle w:val="NotesTable-CellBold"/>
            </w:pPr>
            <w:r>
              <w:t>–</w:t>
            </w:r>
          </w:p>
        </w:tc>
        <w:tc>
          <w:tcPr>
            <w:tcW w:w="405" w:type="pct"/>
            <w:shd w:val="clear" w:color="auto" w:fill="FFFFFF" w:themeFill="background1"/>
          </w:tcPr>
          <w:p w14:paraId="038A1D57" w14:textId="77777777" w:rsidR="00BF5CB8" w:rsidRDefault="00BF5CB8" w:rsidP="001A5D4A">
            <w:pPr>
              <w:pStyle w:val="NotesTable-CellPlain"/>
            </w:pPr>
            <w:r>
              <w:t>–</w:t>
            </w:r>
          </w:p>
        </w:tc>
      </w:tr>
      <w:tr w:rsidR="00BF5CB8" w14:paraId="038A1D5F" w14:textId="77777777" w:rsidTr="00E21378">
        <w:trPr>
          <w:cantSplit/>
          <w:trHeight w:val="181"/>
        </w:trPr>
        <w:tc>
          <w:tcPr>
            <w:tcW w:w="810" w:type="pct"/>
          </w:tcPr>
          <w:p w14:paraId="038A1D59" w14:textId="77777777" w:rsidR="00BF5CB8" w:rsidRDefault="00BF5CB8" w:rsidP="001A5D4A">
            <w:pPr>
              <w:pStyle w:val="Note-Refs"/>
            </w:pPr>
          </w:p>
        </w:tc>
        <w:tc>
          <w:tcPr>
            <w:tcW w:w="2567" w:type="pct"/>
            <w:shd w:val="clear" w:color="auto" w:fill="FFFFFF" w:themeFill="background1"/>
            <w:vAlign w:val="bottom"/>
          </w:tcPr>
          <w:p w14:paraId="038A1D5A" w14:textId="77777777" w:rsidR="00BF5CB8" w:rsidRDefault="00BF5CB8" w:rsidP="001A5D4A">
            <w:pPr>
              <w:pStyle w:val="NotesTable-ItemPlain"/>
              <w:rPr>
                <w:b/>
              </w:rPr>
            </w:pPr>
            <w:r>
              <w:t>Deposits at call</w:t>
            </w:r>
          </w:p>
        </w:tc>
        <w:tc>
          <w:tcPr>
            <w:tcW w:w="406" w:type="pct"/>
            <w:shd w:val="clear" w:color="auto" w:fill="FFFFFF" w:themeFill="background1"/>
          </w:tcPr>
          <w:p w14:paraId="038A1D5B" w14:textId="77777777" w:rsidR="00BF5CB8" w:rsidRDefault="00BF5CB8" w:rsidP="001A5D4A">
            <w:pPr>
              <w:pStyle w:val="NotesTable-CellBold"/>
            </w:pPr>
            <w:r>
              <w:t>–</w:t>
            </w:r>
          </w:p>
        </w:tc>
        <w:tc>
          <w:tcPr>
            <w:tcW w:w="406" w:type="pct"/>
            <w:shd w:val="clear" w:color="auto" w:fill="FFFFFF" w:themeFill="background1"/>
          </w:tcPr>
          <w:p w14:paraId="038A1D5C" w14:textId="77777777" w:rsidR="00BF5CB8" w:rsidRDefault="00BF5CB8" w:rsidP="001A5D4A">
            <w:pPr>
              <w:pStyle w:val="NotesTable-CellPlain"/>
            </w:pPr>
            <w:r>
              <w:t>–</w:t>
            </w:r>
          </w:p>
        </w:tc>
        <w:tc>
          <w:tcPr>
            <w:tcW w:w="406" w:type="pct"/>
            <w:shd w:val="clear" w:color="auto" w:fill="FFFFFF" w:themeFill="background1"/>
          </w:tcPr>
          <w:p w14:paraId="038A1D5D" w14:textId="77777777" w:rsidR="00BF5CB8" w:rsidRDefault="00BF5CB8" w:rsidP="001A5D4A">
            <w:pPr>
              <w:pStyle w:val="NotesTable-CellBold"/>
            </w:pPr>
            <w:r>
              <w:t>–</w:t>
            </w:r>
          </w:p>
        </w:tc>
        <w:tc>
          <w:tcPr>
            <w:tcW w:w="405" w:type="pct"/>
            <w:shd w:val="clear" w:color="auto" w:fill="FFFFFF" w:themeFill="background1"/>
          </w:tcPr>
          <w:p w14:paraId="038A1D5E" w14:textId="77777777" w:rsidR="00BF5CB8" w:rsidRDefault="00BF5CB8" w:rsidP="001A5D4A">
            <w:pPr>
              <w:pStyle w:val="NotesTable-CellPlain"/>
            </w:pPr>
            <w:r>
              <w:t>–</w:t>
            </w:r>
          </w:p>
        </w:tc>
      </w:tr>
      <w:tr w:rsidR="00BF5CB8" w14:paraId="038A1D66" w14:textId="77777777" w:rsidTr="00E21378">
        <w:trPr>
          <w:cantSplit/>
          <w:trHeight w:val="181"/>
        </w:trPr>
        <w:tc>
          <w:tcPr>
            <w:tcW w:w="810" w:type="pct"/>
          </w:tcPr>
          <w:p w14:paraId="038A1D60" w14:textId="77777777" w:rsidR="00BF5CB8" w:rsidRDefault="00BF5CB8" w:rsidP="001A5D4A">
            <w:pPr>
              <w:pStyle w:val="Note-Refs"/>
            </w:pPr>
          </w:p>
        </w:tc>
        <w:tc>
          <w:tcPr>
            <w:tcW w:w="2567" w:type="pct"/>
            <w:shd w:val="clear" w:color="auto" w:fill="FFFFFF" w:themeFill="background1"/>
            <w:vAlign w:val="bottom"/>
          </w:tcPr>
          <w:p w14:paraId="038A1D61" w14:textId="77777777" w:rsidR="00BF5CB8" w:rsidRDefault="00BF5CB8" w:rsidP="001A5D4A">
            <w:pPr>
              <w:pStyle w:val="NotesTable-ItemPlain"/>
              <w:rPr>
                <w:b/>
              </w:rPr>
            </w:pPr>
            <w:r>
              <w:t>Other [</w:t>
            </w:r>
            <w:r w:rsidRPr="00F33C1D">
              <w:t>specify</w:t>
            </w:r>
            <w:r>
              <w:t>]</w:t>
            </w:r>
          </w:p>
        </w:tc>
        <w:tc>
          <w:tcPr>
            <w:tcW w:w="406" w:type="pct"/>
            <w:tcBorders>
              <w:bottom w:val="single" w:sz="4" w:space="0" w:color="000000"/>
            </w:tcBorders>
            <w:shd w:val="clear" w:color="auto" w:fill="FFFFFF" w:themeFill="background1"/>
          </w:tcPr>
          <w:p w14:paraId="038A1D62" w14:textId="77777777" w:rsidR="00BF5CB8" w:rsidRDefault="00BF5CB8" w:rsidP="001A5D4A">
            <w:pPr>
              <w:pStyle w:val="NotesTable-CellBold"/>
            </w:pPr>
            <w:r>
              <w:t>–</w:t>
            </w:r>
          </w:p>
        </w:tc>
        <w:tc>
          <w:tcPr>
            <w:tcW w:w="406" w:type="pct"/>
            <w:tcBorders>
              <w:bottom w:val="single" w:sz="4" w:space="0" w:color="000000"/>
            </w:tcBorders>
            <w:shd w:val="clear" w:color="auto" w:fill="FFFFFF" w:themeFill="background1"/>
          </w:tcPr>
          <w:p w14:paraId="038A1D63" w14:textId="77777777" w:rsidR="00BF5CB8" w:rsidRDefault="00BF5CB8" w:rsidP="001A5D4A">
            <w:pPr>
              <w:pStyle w:val="NotesTable-CellPlain"/>
            </w:pPr>
            <w:r>
              <w:t>–</w:t>
            </w:r>
          </w:p>
        </w:tc>
        <w:tc>
          <w:tcPr>
            <w:tcW w:w="406" w:type="pct"/>
            <w:tcBorders>
              <w:bottom w:val="single" w:sz="4" w:space="0" w:color="000000"/>
            </w:tcBorders>
            <w:shd w:val="clear" w:color="auto" w:fill="FFFFFF" w:themeFill="background1"/>
          </w:tcPr>
          <w:p w14:paraId="038A1D64" w14:textId="77777777" w:rsidR="00BF5CB8" w:rsidRDefault="00BF5CB8" w:rsidP="001A5D4A">
            <w:pPr>
              <w:pStyle w:val="NotesTable-CellBold"/>
            </w:pPr>
            <w:r>
              <w:t>–</w:t>
            </w:r>
          </w:p>
        </w:tc>
        <w:tc>
          <w:tcPr>
            <w:tcW w:w="405" w:type="pct"/>
            <w:tcBorders>
              <w:bottom w:val="single" w:sz="4" w:space="0" w:color="000000"/>
            </w:tcBorders>
            <w:shd w:val="clear" w:color="auto" w:fill="FFFFFF" w:themeFill="background1"/>
          </w:tcPr>
          <w:p w14:paraId="038A1D65" w14:textId="77777777" w:rsidR="00BF5CB8" w:rsidRDefault="00BF5CB8" w:rsidP="001A5D4A">
            <w:pPr>
              <w:pStyle w:val="NotesTable-CellPlain"/>
            </w:pPr>
            <w:r>
              <w:t>–</w:t>
            </w:r>
          </w:p>
        </w:tc>
      </w:tr>
      <w:tr w:rsidR="00BF5CB8" w14:paraId="038A1D6D" w14:textId="77777777" w:rsidTr="00E21378">
        <w:trPr>
          <w:cantSplit/>
          <w:trHeight w:val="181"/>
        </w:trPr>
        <w:tc>
          <w:tcPr>
            <w:tcW w:w="810" w:type="pct"/>
          </w:tcPr>
          <w:p w14:paraId="038A1D67" w14:textId="77777777" w:rsidR="00BF5CB8" w:rsidRDefault="00BF5CB8" w:rsidP="001A5D4A">
            <w:pPr>
              <w:pStyle w:val="Note-Refs"/>
            </w:pPr>
          </w:p>
        </w:tc>
        <w:tc>
          <w:tcPr>
            <w:tcW w:w="2567" w:type="pct"/>
            <w:shd w:val="clear" w:color="auto" w:fill="FFFFFF" w:themeFill="background1"/>
            <w:vAlign w:val="bottom"/>
          </w:tcPr>
          <w:p w14:paraId="038A1D68" w14:textId="77777777" w:rsidR="00BF5CB8" w:rsidRDefault="00BF5CB8" w:rsidP="001A5D4A">
            <w:pPr>
              <w:pStyle w:val="NotesTable-ItemPlain"/>
              <w:rPr>
                <w:b/>
              </w:rPr>
            </w:pPr>
            <w:r>
              <w:t>Total cash and cash equivalents</w:t>
            </w:r>
          </w:p>
        </w:tc>
        <w:tc>
          <w:tcPr>
            <w:tcW w:w="406" w:type="pct"/>
            <w:tcBorders>
              <w:top w:val="single" w:sz="4" w:space="0" w:color="000000"/>
            </w:tcBorders>
            <w:shd w:val="clear" w:color="auto" w:fill="FFFFFF" w:themeFill="background1"/>
          </w:tcPr>
          <w:p w14:paraId="038A1D69" w14:textId="77777777" w:rsidR="00BF5CB8" w:rsidRDefault="00BF5CB8" w:rsidP="001A5D4A">
            <w:pPr>
              <w:pStyle w:val="NotesTable-CellBold"/>
            </w:pPr>
            <w:r>
              <w:t>–</w:t>
            </w:r>
          </w:p>
        </w:tc>
        <w:tc>
          <w:tcPr>
            <w:tcW w:w="406" w:type="pct"/>
            <w:tcBorders>
              <w:top w:val="single" w:sz="4" w:space="0" w:color="000000"/>
            </w:tcBorders>
            <w:shd w:val="clear" w:color="auto" w:fill="FFFFFF" w:themeFill="background1"/>
          </w:tcPr>
          <w:p w14:paraId="038A1D6A" w14:textId="77777777" w:rsidR="00BF5CB8" w:rsidRDefault="00BF5CB8" w:rsidP="001A5D4A">
            <w:pPr>
              <w:pStyle w:val="NotesTable-CellPlain"/>
            </w:pPr>
            <w:r>
              <w:t>–</w:t>
            </w:r>
          </w:p>
        </w:tc>
        <w:tc>
          <w:tcPr>
            <w:tcW w:w="406" w:type="pct"/>
            <w:tcBorders>
              <w:top w:val="single" w:sz="4" w:space="0" w:color="000000"/>
            </w:tcBorders>
            <w:shd w:val="clear" w:color="auto" w:fill="FFFFFF" w:themeFill="background1"/>
          </w:tcPr>
          <w:p w14:paraId="038A1D6B" w14:textId="77777777" w:rsidR="00BF5CB8" w:rsidRDefault="00BF5CB8" w:rsidP="001A5D4A">
            <w:pPr>
              <w:pStyle w:val="NotesTable-CellBold"/>
            </w:pPr>
            <w:r>
              <w:t>–</w:t>
            </w:r>
          </w:p>
        </w:tc>
        <w:tc>
          <w:tcPr>
            <w:tcW w:w="405" w:type="pct"/>
            <w:tcBorders>
              <w:top w:val="single" w:sz="4" w:space="0" w:color="000000"/>
            </w:tcBorders>
            <w:shd w:val="clear" w:color="auto" w:fill="FFFFFF" w:themeFill="background1"/>
          </w:tcPr>
          <w:p w14:paraId="038A1D6C" w14:textId="77777777" w:rsidR="00BF5CB8" w:rsidRDefault="00BF5CB8" w:rsidP="001A5D4A">
            <w:pPr>
              <w:pStyle w:val="NotesTable-CellPlain"/>
            </w:pPr>
            <w:r>
              <w:t>–</w:t>
            </w:r>
          </w:p>
        </w:tc>
      </w:tr>
      <w:tr w:rsidR="00667031" w14:paraId="038A1D70" w14:textId="77777777" w:rsidTr="00E21378">
        <w:trPr>
          <w:cantSplit/>
          <w:trHeight w:val="181"/>
        </w:trPr>
        <w:tc>
          <w:tcPr>
            <w:tcW w:w="810" w:type="pct"/>
          </w:tcPr>
          <w:p w14:paraId="038A1D6E" w14:textId="77777777" w:rsidR="00667031" w:rsidRDefault="00667031" w:rsidP="001A5D4A">
            <w:pPr>
              <w:pStyle w:val="Note-Refs"/>
            </w:pPr>
          </w:p>
        </w:tc>
        <w:tc>
          <w:tcPr>
            <w:tcW w:w="4190" w:type="pct"/>
            <w:gridSpan w:val="5"/>
            <w:vAlign w:val="bottom"/>
          </w:tcPr>
          <w:p w14:paraId="038A1D6F" w14:textId="77777777" w:rsidR="00667031" w:rsidRDefault="00667031" w:rsidP="001A5D4A">
            <w:pPr>
              <w:pStyle w:val="Contents-numberslist"/>
            </w:pPr>
          </w:p>
        </w:tc>
      </w:tr>
      <w:tr w:rsidR="00EB2B28" w14:paraId="038A1D73" w14:textId="77777777" w:rsidTr="00E21378">
        <w:trPr>
          <w:cantSplit/>
          <w:trHeight w:val="181"/>
        </w:trPr>
        <w:tc>
          <w:tcPr>
            <w:tcW w:w="810" w:type="pct"/>
          </w:tcPr>
          <w:p w14:paraId="038A1D71" w14:textId="77777777" w:rsidR="00EB2B28" w:rsidRDefault="00EB2B28" w:rsidP="001A5D4A">
            <w:pPr>
              <w:pStyle w:val="Note-Refs"/>
            </w:pPr>
          </w:p>
        </w:tc>
        <w:tc>
          <w:tcPr>
            <w:tcW w:w="4190" w:type="pct"/>
            <w:gridSpan w:val="5"/>
            <w:vAlign w:val="bottom"/>
          </w:tcPr>
          <w:p w14:paraId="038A1D72" w14:textId="77777777" w:rsidR="00EB2B28" w:rsidRDefault="00EB2B28" w:rsidP="001A5D4A">
            <w:pPr>
              <w:pStyle w:val="Note-TextHeader"/>
            </w:pPr>
            <w:r>
              <w:t>(a)</w:t>
            </w:r>
            <w:r>
              <w:tab/>
              <w:t>Reconciliation to cash at the end of the year</w:t>
            </w:r>
          </w:p>
        </w:tc>
      </w:tr>
      <w:tr w:rsidR="00BF5CB8" w14:paraId="038A1D76" w14:textId="77777777" w:rsidTr="00E21378">
        <w:trPr>
          <w:cantSplit/>
          <w:trHeight w:val="181"/>
        </w:trPr>
        <w:tc>
          <w:tcPr>
            <w:tcW w:w="810" w:type="pct"/>
          </w:tcPr>
          <w:p w14:paraId="038A1D74" w14:textId="77777777" w:rsidR="00BF5CB8" w:rsidRDefault="00BF5CB8" w:rsidP="001A5D4A">
            <w:pPr>
              <w:pStyle w:val="Note-Refs"/>
              <w:rPr>
                <w:b/>
              </w:rPr>
            </w:pPr>
            <w:r>
              <w:t>AASB107.45</w:t>
            </w:r>
          </w:p>
        </w:tc>
        <w:tc>
          <w:tcPr>
            <w:tcW w:w="4190" w:type="pct"/>
            <w:gridSpan w:val="5"/>
            <w:vAlign w:val="bottom"/>
          </w:tcPr>
          <w:p w14:paraId="038A1D75" w14:textId="77777777" w:rsidR="00BF5CB8" w:rsidRDefault="00BF5CB8" w:rsidP="001A5D4A">
            <w:pPr>
              <w:pStyle w:val="NotesTable-ItemPlain"/>
              <w:rPr>
                <w:vertAlign w:val="superscript"/>
              </w:rPr>
            </w:pPr>
            <w:r>
              <w:t xml:space="preserve">The above figures are reconciled to cash at the end of the year as shown in the statement of cash flows as follows: </w:t>
            </w:r>
          </w:p>
        </w:tc>
      </w:tr>
      <w:tr w:rsidR="00BF5CB8" w14:paraId="038A1D7D" w14:textId="77777777" w:rsidTr="00E21378">
        <w:trPr>
          <w:cantSplit/>
          <w:trHeight w:val="181"/>
        </w:trPr>
        <w:tc>
          <w:tcPr>
            <w:tcW w:w="810" w:type="pct"/>
          </w:tcPr>
          <w:p w14:paraId="038A1D77" w14:textId="77777777" w:rsidR="00BF5CB8" w:rsidRDefault="00BF5CB8" w:rsidP="001A5D4A">
            <w:pPr>
              <w:pStyle w:val="Note-Refs"/>
            </w:pPr>
          </w:p>
        </w:tc>
        <w:tc>
          <w:tcPr>
            <w:tcW w:w="2567" w:type="pct"/>
            <w:vAlign w:val="bottom"/>
          </w:tcPr>
          <w:p w14:paraId="038A1D78" w14:textId="77777777" w:rsidR="00BF5CB8" w:rsidRDefault="00BF5CB8" w:rsidP="001A5D4A">
            <w:pPr>
              <w:pStyle w:val="NotesTable-ItemPlain"/>
              <w:rPr>
                <w:b/>
              </w:rPr>
            </w:pPr>
            <w:r>
              <w:t>Balances as above</w:t>
            </w:r>
          </w:p>
        </w:tc>
        <w:tc>
          <w:tcPr>
            <w:tcW w:w="406" w:type="pct"/>
          </w:tcPr>
          <w:p w14:paraId="038A1D79" w14:textId="77777777" w:rsidR="00BF5CB8" w:rsidRDefault="00BF5CB8" w:rsidP="001A5D4A">
            <w:pPr>
              <w:pStyle w:val="NotesTable-CellBold"/>
            </w:pPr>
            <w:r>
              <w:t>–</w:t>
            </w:r>
          </w:p>
        </w:tc>
        <w:tc>
          <w:tcPr>
            <w:tcW w:w="406" w:type="pct"/>
          </w:tcPr>
          <w:p w14:paraId="038A1D7A" w14:textId="77777777" w:rsidR="00BF5CB8" w:rsidRDefault="00BF5CB8" w:rsidP="001A5D4A">
            <w:pPr>
              <w:pStyle w:val="NotesTable-CellPlain"/>
            </w:pPr>
            <w:r>
              <w:t>–</w:t>
            </w:r>
          </w:p>
        </w:tc>
        <w:tc>
          <w:tcPr>
            <w:tcW w:w="406" w:type="pct"/>
          </w:tcPr>
          <w:p w14:paraId="038A1D7B" w14:textId="77777777" w:rsidR="00BF5CB8" w:rsidRDefault="00BF5CB8" w:rsidP="001A5D4A">
            <w:pPr>
              <w:pStyle w:val="NotesTable-CellBold"/>
            </w:pPr>
            <w:r>
              <w:t>–</w:t>
            </w:r>
          </w:p>
        </w:tc>
        <w:tc>
          <w:tcPr>
            <w:tcW w:w="405" w:type="pct"/>
          </w:tcPr>
          <w:p w14:paraId="038A1D7C" w14:textId="77777777" w:rsidR="00BF5CB8" w:rsidRDefault="00BF5CB8" w:rsidP="001A5D4A">
            <w:pPr>
              <w:pStyle w:val="NotesTable-CellPlain"/>
            </w:pPr>
            <w:r>
              <w:t>–</w:t>
            </w:r>
          </w:p>
        </w:tc>
      </w:tr>
      <w:tr w:rsidR="00BF5CB8" w14:paraId="038A1D84" w14:textId="77777777" w:rsidTr="00E21378">
        <w:trPr>
          <w:cantSplit/>
          <w:trHeight w:val="181"/>
        </w:trPr>
        <w:tc>
          <w:tcPr>
            <w:tcW w:w="810" w:type="pct"/>
          </w:tcPr>
          <w:p w14:paraId="038A1D7E" w14:textId="77777777" w:rsidR="00BF5CB8" w:rsidRDefault="00BF5CB8" w:rsidP="001A5D4A">
            <w:pPr>
              <w:pStyle w:val="Note-Refs"/>
              <w:rPr>
                <w:b/>
              </w:rPr>
            </w:pPr>
            <w:r>
              <w:t>AASB107.8</w:t>
            </w:r>
          </w:p>
        </w:tc>
        <w:tc>
          <w:tcPr>
            <w:tcW w:w="2567" w:type="pct"/>
            <w:vAlign w:val="bottom"/>
          </w:tcPr>
          <w:p w14:paraId="038A1D7F" w14:textId="77777777" w:rsidR="00BF5CB8" w:rsidRDefault="00BF5CB8" w:rsidP="001A5D4A">
            <w:pPr>
              <w:pStyle w:val="NotesTable-ItemPlain"/>
              <w:rPr>
                <w:b/>
              </w:rPr>
            </w:pPr>
            <w:r>
              <w:t xml:space="preserve">Less: Bank overdrafts </w:t>
            </w:r>
          </w:p>
        </w:tc>
        <w:tc>
          <w:tcPr>
            <w:tcW w:w="406" w:type="pct"/>
            <w:tcBorders>
              <w:bottom w:val="single" w:sz="4" w:space="0" w:color="000000"/>
            </w:tcBorders>
          </w:tcPr>
          <w:p w14:paraId="038A1D80" w14:textId="77777777" w:rsidR="00BF5CB8" w:rsidRDefault="00BF5CB8" w:rsidP="001A5D4A">
            <w:pPr>
              <w:pStyle w:val="NotesTable-CellBold"/>
            </w:pPr>
            <w:r>
              <w:t>–</w:t>
            </w:r>
          </w:p>
        </w:tc>
        <w:tc>
          <w:tcPr>
            <w:tcW w:w="406" w:type="pct"/>
            <w:tcBorders>
              <w:bottom w:val="single" w:sz="4" w:space="0" w:color="000000"/>
            </w:tcBorders>
          </w:tcPr>
          <w:p w14:paraId="038A1D81" w14:textId="77777777" w:rsidR="00BF5CB8" w:rsidRDefault="00BF5CB8" w:rsidP="001A5D4A">
            <w:pPr>
              <w:pStyle w:val="NotesTable-CellPlain"/>
            </w:pPr>
            <w:r>
              <w:t>–</w:t>
            </w:r>
          </w:p>
        </w:tc>
        <w:tc>
          <w:tcPr>
            <w:tcW w:w="406" w:type="pct"/>
            <w:tcBorders>
              <w:bottom w:val="single" w:sz="4" w:space="0" w:color="000000"/>
            </w:tcBorders>
          </w:tcPr>
          <w:p w14:paraId="038A1D82" w14:textId="77777777" w:rsidR="00BF5CB8" w:rsidRDefault="00BF5CB8" w:rsidP="001A5D4A">
            <w:pPr>
              <w:pStyle w:val="NotesTable-CellBold"/>
            </w:pPr>
            <w:r>
              <w:t>–</w:t>
            </w:r>
          </w:p>
        </w:tc>
        <w:tc>
          <w:tcPr>
            <w:tcW w:w="405" w:type="pct"/>
            <w:tcBorders>
              <w:bottom w:val="single" w:sz="4" w:space="0" w:color="000000"/>
            </w:tcBorders>
          </w:tcPr>
          <w:p w14:paraId="038A1D83" w14:textId="77777777" w:rsidR="00BF5CB8" w:rsidRDefault="00BF5CB8" w:rsidP="001A5D4A">
            <w:pPr>
              <w:pStyle w:val="NotesTable-CellPlain"/>
            </w:pPr>
            <w:r>
              <w:t>–</w:t>
            </w:r>
          </w:p>
        </w:tc>
      </w:tr>
      <w:tr w:rsidR="00BF5CB8" w14:paraId="038A1D8B" w14:textId="77777777" w:rsidTr="00E21378">
        <w:trPr>
          <w:cantSplit/>
          <w:trHeight w:val="181"/>
        </w:trPr>
        <w:tc>
          <w:tcPr>
            <w:tcW w:w="810" w:type="pct"/>
          </w:tcPr>
          <w:p w14:paraId="038A1D85" w14:textId="77777777" w:rsidR="00BF5CB8" w:rsidRDefault="00BF5CB8" w:rsidP="001A5D4A">
            <w:pPr>
              <w:pStyle w:val="Note-Refs"/>
            </w:pPr>
          </w:p>
        </w:tc>
        <w:tc>
          <w:tcPr>
            <w:tcW w:w="2567" w:type="pct"/>
            <w:vAlign w:val="bottom"/>
          </w:tcPr>
          <w:p w14:paraId="038A1D86" w14:textId="77777777" w:rsidR="00BF5CB8" w:rsidRDefault="00BF5CB8" w:rsidP="001A5D4A">
            <w:pPr>
              <w:pStyle w:val="NotesTable-ItemPlain"/>
              <w:rPr>
                <w:b/>
              </w:rPr>
            </w:pPr>
            <w:r>
              <w:t>Balance per statement of cash flows</w:t>
            </w:r>
          </w:p>
        </w:tc>
        <w:tc>
          <w:tcPr>
            <w:tcW w:w="406" w:type="pct"/>
            <w:tcBorders>
              <w:top w:val="single" w:sz="4" w:space="0" w:color="000000"/>
            </w:tcBorders>
          </w:tcPr>
          <w:p w14:paraId="038A1D87" w14:textId="77777777" w:rsidR="00BF5CB8" w:rsidRDefault="00BF5CB8" w:rsidP="001A5D4A">
            <w:pPr>
              <w:pStyle w:val="NotesTable-CellBold"/>
            </w:pPr>
            <w:r>
              <w:t>–</w:t>
            </w:r>
          </w:p>
        </w:tc>
        <w:tc>
          <w:tcPr>
            <w:tcW w:w="406" w:type="pct"/>
            <w:tcBorders>
              <w:top w:val="single" w:sz="4" w:space="0" w:color="000000"/>
            </w:tcBorders>
          </w:tcPr>
          <w:p w14:paraId="038A1D88" w14:textId="77777777" w:rsidR="00BF5CB8" w:rsidRDefault="00BF5CB8" w:rsidP="001A5D4A">
            <w:pPr>
              <w:pStyle w:val="NotesTable-CellPlain"/>
            </w:pPr>
            <w:r>
              <w:t>–</w:t>
            </w:r>
          </w:p>
        </w:tc>
        <w:tc>
          <w:tcPr>
            <w:tcW w:w="406" w:type="pct"/>
            <w:tcBorders>
              <w:top w:val="single" w:sz="4" w:space="0" w:color="000000"/>
            </w:tcBorders>
          </w:tcPr>
          <w:p w14:paraId="038A1D89" w14:textId="77777777" w:rsidR="00BF5CB8" w:rsidRDefault="00BF5CB8" w:rsidP="001A5D4A">
            <w:pPr>
              <w:pStyle w:val="NotesTable-CellBold"/>
            </w:pPr>
            <w:r>
              <w:t>–</w:t>
            </w:r>
          </w:p>
        </w:tc>
        <w:tc>
          <w:tcPr>
            <w:tcW w:w="405" w:type="pct"/>
            <w:tcBorders>
              <w:top w:val="single" w:sz="4" w:space="0" w:color="000000"/>
            </w:tcBorders>
          </w:tcPr>
          <w:p w14:paraId="038A1D8A" w14:textId="77777777" w:rsidR="00BF5CB8" w:rsidRDefault="00BF5CB8" w:rsidP="001A5D4A">
            <w:pPr>
              <w:pStyle w:val="NotesTable-CellPlain"/>
            </w:pPr>
            <w:r>
              <w:t>–</w:t>
            </w:r>
          </w:p>
        </w:tc>
      </w:tr>
      <w:tr w:rsidR="00A37C23" w14:paraId="038A1D8E" w14:textId="77777777" w:rsidTr="00E21378">
        <w:trPr>
          <w:cantSplit/>
          <w:trHeight w:val="181"/>
        </w:trPr>
        <w:tc>
          <w:tcPr>
            <w:tcW w:w="810" w:type="pct"/>
          </w:tcPr>
          <w:p w14:paraId="038A1D8C" w14:textId="77777777" w:rsidR="00A37C23" w:rsidRDefault="00A37C23" w:rsidP="001A5D4A">
            <w:pPr>
              <w:pStyle w:val="Note-Refs"/>
            </w:pPr>
          </w:p>
        </w:tc>
        <w:tc>
          <w:tcPr>
            <w:tcW w:w="4190" w:type="pct"/>
            <w:gridSpan w:val="5"/>
            <w:vAlign w:val="bottom"/>
          </w:tcPr>
          <w:p w14:paraId="038A1D8D" w14:textId="77777777" w:rsidR="00A37C23" w:rsidRDefault="00A37C23" w:rsidP="001A5D4A">
            <w:pPr>
              <w:pStyle w:val="Note-Text"/>
            </w:pPr>
          </w:p>
        </w:tc>
      </w:tr>
      <w:tr w:rsidR="00A37C23" w14:paraId="038A1D91" w14:textId="77777777" w:rsidTr="00E21378">
        <w:trPr>
          <w:cantSplit/>
          <w:trHeight w:val="181"/>
        </w:trPr>
        <w:tc>
          <w:tcPr>
            <w:tcW w:w="810" w:type="pct"/>
          </w:tcPr>
          <w:p w14:paraId="038A1D8F" w14:textId="77777777" w:rsidR="00A37C23" w:rsidRDefault="00A37C23" w:rsidP="001A5D4A">
            <w:pPr>
              <w:pStyle w:val="Note-Refs"/>
            </w:pPr>
          </w:p>
        </w:tc>
        <w:tc>
          <w:tcPr>
            <w:tcW w:w="4190" w:type="pct"/>
            <w:gridSpan w:val="5"/>
            <w:vAlign w:val="bottom"/>
          </w:tcPr>
          <w:p w14:paraId="038A1D90" w14:textId="77777777" w:rsidR="00A37C23" w:rsidRDefault="00A37C23" w:rsidP="001A5D4A">
            <w:pPr>
              <w:pStyle w:val="Note-TextHeader"/>
            </w:pPr>
            <w:r>
              <w:t>(b)</w:t>
            </w:r>
            <w:r>
              <w:tab/>
              <w:t>Cash at bank and on hand</w:t>
            </w:r>
          </w:p>
        </w:tc>
      </w:tr>
      <w:tr w:rsidR="00BF5CB8" w14:paraId="038A1D94" w14:textId="77777777" w:rsidTr="00E21378">
        <w:trPr>
          <w:cantSplit/>
          <w:trHeight w:val="181"/>
        </w:trPr>
        <w:tc>
          <w:tcPr>
            <w:tcW w:w="810" w:type="pct"/>
          </w:tcPr>
          <w:p w14:paraId="038A1D92" w14:textId="77777777" w:rsidR="00BF5CB8" w:rsidRDefault="00BF5CB8" w:rsidP="001A5D4A">
            <w:pPr>
              <w:pStyle w:val="Note-Refs"/>
              <w:rPr>
                <w:b/>
              </w:rPr>
            </w:pPr>
            <w:r>
              <w:t>AASB7.31</w:t>
            </w:r>
          </w:p>
        </w:tc>
        <w:tc>
          <w:tcPr>
            <w:tcW w:w="4190" w:type="pct"/>
            <w:gridSpan w:val="5"/>
            <w:vAlign w:val="bottom"/>
          </w:tcPr>
          <w:p w14:paraId="038A1D93" w14:textId="77777777" w:rsidR="00BF5CB8" w:rsidRDefault="00BF5CB8" w:rsidP="001A5D4A">
            <w:pPr>
              <w:pStyle w:val="Note-Text"/>
              <w:rPr>
                <w:b/>
                <w:lang w:val="en-GB"/>
              </w:rPr>
            </w:pPr>
            <w:r>
              <w:t>These are non-interest bearing.</w:t>
            </w:r>
          </w:p>
        </w:tc>
      </w:tr>
      <w:tr w:rsidR="00A37C23" w14:paraId="038A1D97" w14:textId="77777777" w:rsidTr="00E21378">
        <w:trPr>
          <w:cantSplit/>
          <w:trHeight w:val="181"/>
        </w:trPr>
        <w:tc>
          <w:tcPr>
            <w:tcW w:w="810" w:type="pct"/>
          </w:tcPr>
          <w:p w14:paraId="038A1D95" w14:textId="77777777" w:rsidR="00A37C23" w:rsidRDefault="00A37C23" w:rsidP="001A5D4A">
            <w:pPr>
              <w:pStyle w:val="Note-Refs"/>
            </w:pPr>
          </w:p>
        </w:tc>
        <w:tc>
          <w:tcPr>
            <w:tcW w:w="4190" w:type="pct"/>
            <w:gridSpan w:val="5"/>
            <w:vAlign w:val="bottom"/>
          </w:tcPr>
          <w:p w14:paraId="038A1D96" w14:textId="77777777" w:rsidR="00A37C23" w:rsidRDefault="00A37C23" w:rsidP="001A5D4A">
            <w:pPr>
              <w:pStyle w:val="Note-Text"/>
            </w:pPr>
          </w:p>
        </w:tc>
      </w:tr>
      <w:tr w:rsidR="00A37C23" w14:paraId="038A1D9A" w14:textId="77777777" w:rsidTr="00E21378">
        <w:trPr>
          <w:cantSplit/>
          <w:trHeight w:val="181"/>
        </w:trPr>
        <w:tc>
          <w:tcPr>
            <w:tcW w:w="810" w:type="pct"/>
          </w:tcPr>
          <w:p w14:paraId="038A1D98" w14:textId="77777777" w:rsidR="00A37C23" w:rsidRDefault="00A37C23" w:rsidP="001A5D4A">
            <w:pPr>
              <w:pStyle w:val="Note-Refs"/>
            </w:pPr>
          </w:p>
        </w:tc>
        <w:tc>
          <w:tcPr>
            <w:tcW w:w="4190" w:type="pct"/>
            <w:gridSpan w:val="5"/>
            <w:vAlign w:val="bottom"/>
          </w:tcPr>
          <w:p w14:paraId="038A1D99" w14:textId="77777777" w:rsidR="00A37C23" w:rsidRDefault="00A37C23" w:rsidP="001A5D4A">
            <w:pPr>
              <w:pStyle w:val="Note-TextHeader"/>
            </w:pPr>
            <w:r>
              <w:t>(c)</w:t>
            </w:r>
            <w:r>
              <w:tab/>
              <w:t>Deposits at call</w:t>
            </w:r>
          </w:p>
        </w:tc>
      </w:tr>
      <w:tr w:rsidR="00BF5CB8" w14:paraId="038A1D9D" w14:textId="77777777" w:rsidTr="00E21378">
        <w:trPr>
          <w:cantSplit/>
          <w:trHeight w:val="181"/>
        </w:trPr>
        <w:tc>
          <w:tcPr>
            <w:tcW w:w="810" w:type="pct"/>
          </w:tcPr>
          <w:p w14:paraId="038A1D9B" w14:textId="77777777" w:rsidR="00BF5CB8" w:rsidRDefault="00BF5CB8" w:rsidP="001A5D4A">
            <w:pPr>
              <w:pStyle w:val="Note-Refs"/>
              <w:rPr>
                <w:b/>
              </w:rPr>
            </w:pPr>
            <w:r>
              <w:t>AASB7.31</w:t>
            </w:r>
          </w:p>
        </w:tc>
        <w:tc>
          <w:tcPr>
            <w:tcW w:w="4190" w:type="pct"/>
            <w:gridSpan w:val="5"/>
            <w:vAlign w:val="bottom"/>
          </w:tcPr>
          <w:p w14:paraId="038A1D9C" w14:textId="46DFFA9A" w:rsidR="00BF5CB8" w:rsidRDefault="00BF5CB8" w:rsidP="001A5D4A">
            <w:pPr>
              <w:pStyle w:val="NotesTable-ItemPlain"/>
              <w:rPr>
                <w:b/>
              </w:rPr>
            </w:pPr>
            <w:r>
              <w:t>The deposits are bearing floating interest rates between X% and X% (</w:t>
            </w:r>
            <w:r w:rsidR="006864EC">
              <w:t>2013</w:t>
            </w:r>
            <w:r>
              <w:t xml:space="preserve"> – X% and </w:t>
            </w:r>
            <w:proofErr w:type="gramStart"/>
            <w:r>
              <w:t>X%</w:t>
            </w:r>
            <w:proofErr w:type="gramEnd"/>
            <w:r>
              <w:t>). These deposits have an average maturity of X days.</w:t>
            </w:r>
          </w:p>
        </w:tc>
      </w:tr>
      <w:tr w:rsidR="00BF5CB8" w14:paraId="038A1DA0" w14:textId="77777777" w:rsidTr="00E21378">
        <w:trPr>
          <w:cantSplit/>
          <w:trHeight w:val="181"/>
        </w:trPr>
        <w:tc>
          <w:tcPr>
            <w:tcW w:w="810" w:type="pct"/>
          </w:tcPr>
          <w:p w14:paraId="038A1D9E" w14:textId="77777777" w:rsidR="00BF5CB8" w:rsidRDefault="00BF5CB8" w:rsidP="001A5D4A">
            <w:pPr>
              <w:pStyle w:val="Note-Refs"/>
            </w:pPr>
          </w:p>
        </w:tc>
        <w:tc>
          <w:tcPr>
            <w:tcW w:w="4190" w:type="pct"/>
            <w:gridSpan w:val="5"/>
            <w:vAlign w:val="bottom"/>
          </w:tcPr>
          <w:p w14:paraId="038A1D9F" w14:textId="77777777" w:rsidR="00BF5CB8" w:rsidRDefault="00BF5CB8" w:rsidP="001A5D4A">
            <w:pPr>
              <w:pStyle w:val="Note-Text"/>
            </w:pPr>
          </w:p>
        </w:tc>
      </w:tr>
    </w:tbl>
    <w:p w14:paraId="4DFCAEF8" w14:textId="12B7D909" w:rsidR="00BF4F3D" w:rsidRPr="00BF4F3D" w:rsidRDefault="00BF4F3D" w:rsidP="001A5D4A">
      <w:pPr>
        <w:pStyle w:val="Heading3"/>
        <w:rPr>
          <w:color w:val="2D3E7B" w:themeColor="text2" w:themeShade="BF"/>
        </w:rPr>
      </w:pPr>
      <w:bookmarkStart w:id="307" w:name="_Toc410807626"/>
      <w:bookmarkStart w:id="308" w:name="_Toc410822687"/>
      <w:r w:rsidRPr="00BF4F3D">
        <w:rPr>
          <w:color w:val="2D3E7B" w:themeColor="text2" w:themeShade="BF"/>
        </w:rPr>
        <w:t xml:space="preserve">Commentary </w:t>
      </w:r>
      <w:r w:rsidRPr="00BF4F3D">
        <w:rPr>
          <w:color w:val="2D3E7B" w:themeColor="text2" w:themeShade="BF"/>
        </w:rPr>
        <w:noBreakHyphen/>
        <w:t xml:space="preserve"> Cash and cash equivalents</w:t>
      </w:r>
      <w:bookmarkEnd w:id="307"/>
      <w:bookmarkEnd w:id="308"/>
    </w:p>
    <w:p w14:paraId="05F4895D" w14:textId="77777777" w:rsidR="00BF4F3D" w:rsidRPr="00B410E2" w:rsidRDefault="00BF4F3D" w:rsidP="00AB24D3">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Definitions of cash and cash equivalents</w:t>
      </w:r>
    </w:p>
    <w:p w14:paraId="11467AD9" w14:textId="77777777" w:rsidR="00BF4F3D" w:rsidRPr="00B410E2" w:rsidRDefault="00BF4F3D" w:rsidP="00E422A6">
      <w:pPr>
        <w:pStyle w:val="Heading6"/>
      </w:pPr>
      <w:r w:rsidRPr="00B410E2">
        <w:t>AASB107.6</w:t>
      </w:r>
    </w:p>
    <w:p w14:paraId="57E383F0" w14:textId="77777777" w:rsidR="00BF4F3D" w:rsidRPr="00B410E2" w:rsidRDefault="00BF4F3D" w:rsidP="001A5D4A">
      <w:pPr>
        <w:rPr>
          <w:color w:val="2D3E7B" w:themeColor="text2" w:themeShade="BF"/>
        </w:rPr>
      </w:pPr>
      <w:r w:rsidRPr="00B410E2">
        <w:rPr>
          <w:color w:val="2D3E7B" w:themeColor="text2" w:themeShade="BF"/>
        </w:rPr>
        <w:t>Cash is cash on hand and demand deposits. Cash equivalents are short</w:t>
      </w:r>
      <w:r w:rsidRPr="00B410E2">
        <w:rPr>
          <w:color w:val="2D3E7B" w:themeColor="text2" w:themeShade="BF"/>
        </w:rPr>
        <w:noBreakHyphen/>
        <w:t>term, highly liquid investments that are readily convertible to known amounts of cash and which are subject to insignificant risk of changes in value.</w:t>
      </w:r>
    </w:p>
    <w:p w14:paraId="13B67FE8" w14:textId="77777777" w:rsidR="00BF4F3D" w:rsidRPr="00B410E2" w:rsidRDefault="00BF4F3D" w:rsidP="00AB24D3">
      <w:pPr>
        <w:pStyle w:val="Heading4"/>
        <w:rPr>
          <w:color w:val="2D3E7B" w:themeColor="text2" w:themeShade="BF"/>
          <w14:textFill>
            <w14:solidFill>
              <w14:schemeClr w14:val="tx2">
                <w14:lumMod w14:val="75000"/>
                <w14:lumMod w14:val="75000"/>
              </w14:schemeClr>
            </w14:solidFill>
          </w14:textFill>
        </w:rPr>
      </w:pPr>
      <w:r w:rsidRPr="00B410E2">
        <w:rPr>
          <w:color w:val="2D3E7B" w:themeColor="text2" w:themeShade="BF"/>
          <w14:textFill>
            <w14:solidFill>
              <w14:schemeClr w14:val="tx2">
                <w14:lumMod w14:val="75000"/>
                <w14:lumMod w14:val="75000"/>
              </w14:schemeClr>
            </w14:solidFill>
          </w14:textFill>
        </w:rPr>
        <w:t>Additional disclosures</w:t>
      </w:r>
    </w:p>
    <w:p w14:paraId="00DC3699" w14:textId="77777777" w:rsidR="00BF4F3D" w:rsidRPr="00B410E2" w:rsidRDefault="00BF4F3D" w:rsidP="00E422A6">
      <w:pPr>
        <w:pStyle w:val="Heading6"/>
      </w:pPr>
      <w:r w:rsidRPr="00B410E2">
        <w:t>Cash not available for use</w:t>
      </w:r>
    </w:p>
    <w:p w14:paraId="1B273685" w14:textId="77777777" w:rsidR="00BF4F3D" w:rsidRPr="00B40DF8" w:rsidRDefault="00BF4F3D" w:rsidP="004F3ED9">
      <w:pPr>
        <w:pStyle w:val="Heading6"/>
      </w:pPr>
      <w:r w:rsidRPr="00B40DF8">
        <w:t>AASB107.48</w:t>
      </w:r>
    </w:p>
    <w:p w14:paraId="4A6342DD" w14:textId="77777777" w:rsidR="00BF4F3D" w:rsidRPr="00BF4F3D" w:rsidRDefault="00BF4F3D" w:rsidP="001A5D4A">
      <w:pPr>
        <w:rPr>
          <w:color w:val="2D3E7B" w:themeColor="text2" w:themeShade="BF"/>
        </w:rPr>
      </w:pPr>
      <w:r w:rsidRPr="00BF4F3D">
        <w:rPr>
          <w:color w:val="2D3E7B" w:themeColor="text2" w:themeShade="BF"/>
        </w:rPr>
        <w:t>An entity shall disclose, together with a commentary by management, the amount of significant cash and cash equivalent balances held by the entity that are not available for use by the Group.</w:t>
      </w:r>
    </w:p>
    <w:p w14:paraId="038A1DC3" w14:textId="77777777" w:rsidR="001B6B14" w:rsidRDefault="001B6B14" w:rsidP="001A5D4A">
      <w:r>
        <w:br w:type="page"/>
      </w:r>
    </w:p>
    <w:p w14:paraId="39767DF1" w14:textId="6C15248C" w:rsidR="001B4E7B" w:rsidRDefault="001B4E7B" w:rsidP="00B410E2">
      <w:pPr>
        <w:pStyle w:val="Heading2"/>
      </w:pPr>
      <w:bookmarkStart w:id="309" w:name="_Toc410807627"/>
      <w:bookmarkStart w:id="310" w:name="_Toc410822688"/>
      <w:proofErr w:type="gramStart"/>
      <w:r w:rsidRPr="001B4E7B">
        <w:lastRenderedPageBreak/>
        <w:t>Note 19.</w:t>
      </w:r>
      <w:proofErr w:type="gramEnd"/>
      <w:r>
        <w:t xml:space="preserve"> </w:t>
      </w:r>
      <w:r w:rsidRPr="001B4E7B">
        <w:t>Receivables</w:t>
      </w:r>
      <w:bookmarkEnd w:id="309"/>
      <w:bookmarkEnd w:id="310"/>
    </w:p>
    <w:p w14:paraId="2798A94C" w14:textId="77777777" w:rsidR="001B4E7B" w:rsidRPr="001B4E7B" w:rsidRDefault="001B4E7B" w:rsidP="001A5D4A">
      <w:r w:rsidRPr="001B4E7B">
        <w:t>AASB101</w:t>
      </w:r>
    </w:p>
    <w:tbl>
      <w:tblPr>
        <w:tblW w:w="5000" w:type="pct"/>
        <w:tblCellMar>
          <w:left w:w="0" w:type="dxa"/>
          <w:right w:w="0" w:type="dxa"/>
        </w:tblCellMar>
        <w:tblLook w:val="0000" w:firstRow="0" w:lastRow="0" w:firstColumn="0" w:lastColumn="0" w:noHBand="0" w:noVBand="0"/>
      </w:tblPr>
      <w:tblGrid>
        <w:gridCol w:w="1579"/>
        <w:gridCol w:w="4479"/>
        <w:gridCol w:w="527"/>
        <w:gridCol w:w="792"/>
        <w:gridCol w:w="792"/>
        <w:gridCol w:w="792"/>
        <w:gridCol w:w="790"/>
      </w:tblGrid>
      <w:tr w:rsidR="00C15DFC" w14:paraId="038A1DCC" w14:textId="77777777" w:rsidTr="00E21378">
        <w:trPr>
          <w:trHeight w:val="181"/>
        </w:trPr>
        <w:tc>
          <w:tcPr>
            <w:tcW w:w="810" w:type="pct"/>
          </w:tcPr>
          <w:p w14:paraId="038A1DC7" w14:textId="77777777" w:rsidR="007224A6" w:rsidRDefault="007224A6" w:rsidP="001A5D4A">
            <w:pPr>
              <w:pStyle w:val="Note-Refs"/>
            </w:pPr>
          </w:p>
        </w:tc>
        <w:tc>
          <w:tcPr>
            <w:tcW w:w="2297" w:type="pct"/>
            <w:vAlign w:val="bottom"/>
          </w:tcPr>
          <w:p w14:paraId="038A1DC8" w14:textId="77777777" w:rsidR="007224A6" w:rsidRDefault="007224A6" w:rsidP="001A5D4A">
            <w:pPr>
              <w:pStyle w:val="NotesTable-ItemPlain"/>
            </w:pPr>
          </w:p>
        </w:tc>
        <w:tc>
          <w:tcPr>
            <w:tcW w:w="270" w:type="pct"/>
          </w:tcPr>
          <w:p w14:paraId="038A1DC9" w14:textId="77777777" w:rsidR="007224A6" w:rsidRDefault="007224A6" w:rsidP="001A5D4A">
            <w:pPr>
              <w:pStyle w:val="NotesTable-Notes"/>
            </w:pPr>
          </w:p>
        </w:tc>
        <w:tc>
          <w:tcPr>
            <w:tcW w:w="811" w:type="pct"/>
            <w:gridSpan w:val="2"/>
          </w:tcPr>
          <w:p w14:paraId="038A1DCA" w14:textId="77777777" w:rsidR="007224A6" w:rsidRDefault="007224A6" w:rsidP="001A5D4A">
            <w:pPr>
              <w:pStyle w:val="NotesTable-HeadPlain"/>
            </w:pPr>
            <w:r>
              <w:t>Consolidated</w:t>
            </w:r>
          </w:p>
        </w:tc>
        <w:tc>
          <w:tcPr>
            <w:tcW w:w="811" w:type="pct"/>
            <w:gridSpan w:val="2"/>
          </w:tcPr>
          <w:p w14:paraId="038A1DCB" w14:textId="77777777" w:rsidR="007224A6" w:rsidRDefault="007224A6" w:rsidP="001A5D4A">
            <w:pPr>
              <w:pStyle w:val="NotesTable-HeadPlain"/>
            </w:pPr>
            <w:r>
              <w:t>Parent entity</w:t>
            </w:r>
          </w:p>
        </w:tc>
      </w:tr>
      <w:tr w:rsidR="00C15DFC" w14:paraId="038A1DD4" w14:textId="77777777" w:rsidTr="00E21378">
        <w:trPr>
          <w:trHeight w:val="181"/>
        </w:trPr>
        <w:tc>
          <w:tcPr>
            <w:tcW w:w="810" w:type="pct"/>
          </w:tcPr>
          <w:p w14:paraId="038A1DCD" w14:textId="77777777" w:rsidR="00BF5CB8" w:rsidRDefault="00BF5CB8" w:rsidP="001A5D4A">
            <w:pPr>
              <w:pStyle w:val="Note-Refs"/>
            </w:pPr>
          </w:p>
        </w:tc>
        <w:tc>
          <w:tcPr>
            <w:tcW w:w="2297" w:type="pct"/>
            <w:vAlign w:val="bottom"/>
          </w:tcPr>
          <w:p w14:paraId="038A1DCE" w14:textId="77777777" w:rsidR="00BF5CB8" w:rsidRDefault="00BF5CB8" w:rsidP="001A5D4A">
            <w:pPr>
              <w:pStyle w:val="NotesTable-ItemPlain"/>
            </w:pPr>
          </w:p>
        </w:tc>
        <w:tc>
          <w:tcPr>
            <w:tcW w:w="270" w:type="pct"/>
          </w:tcPr>
          <w:p w14:paraId="038A1DCF" w14:textId="77777777" w:rsidR="00BF5CB8" w:rsidRDefault="00BF5CB8" w:rsidP="001A5D4A">
            <w:pPr>
              <w:pStyle w:val="NotesTable-Notes"/>
            </w:pPr>
          </w:p>
        </w:tc>
        <w:tc>
          <w:tcPr>
            <w:tcW w:w="406" w:type="pct"/>
          </w:tcPr>
          <w:p w14:paraId="038A1DD0" w14:textId="199DB825" w:rsidR="00BF5CB8" w:rsidRDefault="006864EC" w:rsidP="001A5D4A">
            <w:pPr>
              <w:pStyle w:val="NotesTable-HeadBold"/>
            </w:pPr>
            <w:r>
              <w:t>2014</w:t>
            </w:r>
          </w:p>
        </w:tc>
        <w:tc>
          <w:tcPr>
            <w:tcW w:w="406" w:type="pct"/>
          </w:tcPr>
          <w:p w14:paraId="038A1DD1" w14:textId="52AE20E2" w:rsidR="00BF5CB8" w:rsidRDefault="006864EC" w:rsidP="001A5D4A">
            <w:pPr>
              <w:pStyle w:val="NotesTable-HeadPlain"/>
            </w:pPr>
            <w:r>
              <w:t>2013</w:t>
            </w:r>
          </w:p>
        </w:tc>
        <w:tc>
          <w:tcPr>
            <w:tcW w:w="406" w:type="pct"/>
          </w:tcPr>
          <w:p w14:paraId="038A1DD2" w14:textId="7D3055D7" w:rsidR="00BF5CB8" w:rsidRDefault="006864EC" w:rsidP="001A5D4A">
            <w:pPr>
              <w:pStyle w:val="NotesTable-HeadBold"/>
            </w:pPr>
            <w:r>
              <w:t>2014</w:t>
            </w:r>
          </w:p>
        </w:tc>
        <w:tc>
          <w:tcPr>
            <w:tcW w:w="406" w:type="pct"/>
          </w:tcPr>
          <w:p w14:paraId="038A1DD3" w14:textId="425A0DD8" w:rsidR="00BF5CB8" w:rsidRDefault="006864EC" w:rsidP="001A5D4A">
            <w:pPr>
              <w:pStyle w:val="NotesTable-HeadPlain"/>
            </w:pPr>
            <w:r>
              <w:t>2013</w:t>
            </w:r>
          </w:p>
        </w:tc>
      </w:tr>
      <w:tr w:rsidR="00C15DFC" w14:paraId="038A1DDC" w14:textId="77777777" w:rsidTr="00E21378">
        <w:trPr>
          <w:trHeight w:val="181"/>
        </w:trPr>
        <w:tc>
          <w:tcPr>
            <w:tcW w:w="810" w:type="pct"/>
          </w:tcPr>
          <w:p w14:paraId="038A1DD5" w14:textId="77777777" w:rsidR="00BF5CB8" w:rsidRDefault="00BF5CB8" w:rsidP="001A5D4A">
            <w:pPr>
              <w:pStyle w:val="Note-Refs"/>
            </w:pPr>
          </w:p>
        </w:tc>
        <w:tc>
          <w:tcPr>
            <w:tcW w:w="2297" w:type="pct"/>
            <w:vAlign w:val="bottom"/>
          </w:tcPr>
          <w:p w14:paraId="038A1DD6" w14:textId="77777777" w:rsidR="00BF5CB8" w:rsidRDefault="00BF5CB8" w:rsidP="001A5D4A">
            <w:pPr>
              <w:pStyle w:val="NotesTable-ItemPlain"/>
            </w:pPr>
          </w:p>
        </w:tc>
        <w:tc>
          <w:tcPr>
            <w:tcW w:w="270" w:type="pct"/>
          </w:tcPr>
          <w:p w14:paraId="038A1DD7" w14:textId="77777777" w:rsidR="00BF5CB8" w:rsidRDefault="00BF5CB8" w:rsidP="001A5D4A">
            <w:pPr>
              <w:pStyle w:val="NotesTable-Notes"/>
            </w:pPr>
          </w:p>
        </w:tc>
        <w:tc>
          <w:tcPr>
            <w:tcW w:w="406" w:type="pct"/>
          </w:tcPr>
          <w:p w14:paraId="038A1DD8" w14:textId="77777777" w:rsidR="00BF5CB8" w:rsidRDefault="00BF5CB8" w:rsidP="001A5D4A">
            <w:pPr>
              <w:pStyle w:val="NotesTable-HeadBold"/>
            </w:pPr>
            <w:r>
              <w:t>$’000</w:t>
            </w:r>
          </w:p>
        </w:tc>
        <w:tc>
          <w:tcPr>
            <w:tcW w:w="406" w:type="pct"/>
          </w:tcPr>
          <w:p w14:paraId="038A1DD9" w14:textId="77777777" w:rsidR="00BF5CB8" w:rsidRDefault="00BF5CB8" w:rsidP="001A5D4A">
            <w:pPr>
              <w:pStyle w:val="NotesTable-HeadPlain"/>
            </w:pPr>
            <w:r>
              <w:t>$’000</w:t>
            </w:r>
          </w:p>
        </w:tc>
        <w:tc>
          <w:tcPr>
            <w:tcW w:w="406" w:type="pct"/>
          </w:tcPr>
          <w:p w14:paraId="038A1DDA" w14:textId="77777777" w:rsidR="00BF5CB8" w:rsidRDefault="00BF5CB8" w:rsidP="001A5D4A">
            <w:pPr>
              <w:pStyle w:val="NotesTable-HeadBold"/>
            </w:pPr>
            <w:r>
              <w:t>$’000</w:t>
            </w:r>
          </w:p>
        </w:tc>
        <w:tc>
          <w:tcPr>
            <w:tcW w:w="406" w:type="pct"/>
          </w:tcPr>
          <w:p w14:paraId="038A1DDB" w14:textId="77777777" w:rsidR="00BF5CB8" w:rsidRDefault="00BF5CB8" w:rsidP="001A5D4A">
            <w:pPr>
              <w:pStyle w:val="NotesTable-HeadPlain"/>
            </w:pPr>
            <w:r>
              <w:t>$’000</w:t>
            </w:r>
          </w:p>
        </w:tc>
      </w:tr>
      <w:tr w:rsidR="0014595D" w14:paraId="038A1DDF" w14:textId="77777777" w:rsidTr="00E21378">
        <w:trPr>
          <w:trHeight w:val="181"/>
        </w:trPr>
        <w:tc>
          <w:tcPr>
            <w:tcW w:w="810" w:type="pct"/>
          </w:tcPr>
          <w:p w14:paraId="038A1DDD" w14:textId="19635F79" w:rsidR="0014595D" w:rsidRDefault="008F5FDC" w:rsidP="001A5D4A">
            <w:pPr>
              <w:pStyle w:val="Note-Refs"/>
            </w:pPr>
            <w:r>
              <w:t>AASB101.60</w:t>
            </w:r>
          </w:p>
        </w:tc>
        <w:tc>
          <w:tcPr>
            <w:tcW w:w="4190" w:type="pct"/>
            <w:gridSpan w:val="6"/>
            <w:vAlign w:val="bottom"/>
          </w:tcPr>
          <w:p w14:paraId="038A1DDE" w14:textId="77777777" w:rsidR="0014595D" w:rsidRDefault="0014595D" w:rsidP="001A5D4A">
            <w:pPr>
              <w:pStyle w:val="Note-TextHeader"/>
              <w:rPr>
                <w:lang w:val="en-GB"/>
              </w:rPr>
            </w:pPr>
            <w:r>
              <w:t>Current</w:t>
            </w:r>
          </w:p>
        </w:tc>
      </w:tr>
      <w:tr w:rsidR="00C15DFC" w14:paraId="038A1DE7" w14:textId="77777777" w:rsidTr="00E21378">
        <w:trPr>
          <w:trHeight w:val="181"/>
        </w:trPr>
        <w:tc>
          <w:tcPr>
            <w:tcW w:w="810" w:type="pct"/>
          </w:tcPr>
          <w:p w14:paraId="038A1DE0" w14:textId="77777777" w:rsidR="00BF5CB8" w:rsidRDefault="00BF5CB8" w:rsidP="001A5D4A">
            <w:pPr>
              <w:pStyle w:val="Note-Refs"/>
            </w:pPr>
          </w:p>
        </w:tc>
        <w:tc>
          <w:tcPr>
            <w:tcW w:w="2297" w:type="pct"/>
            <w:vAlign w:val="bottom"/>
          </w:tcPr>
          <w:p w14:paraId="038A1DE1" w14:textId="77777777" w:rsidR="00BF5CB8" w:rsidRDefault="00BF5CB8" w:rsidP="001A5D4A">
            <w:pPr>
              <w:pStyle w:val="NotesTable-ItemPlain"/>
              <w:rPr>
                <w:b/>
              </w:rPr>
            </w:pPr>
            <w:r>
              <w:t>Trade receivables</w:t>
            </w:r>
          </w:p>
        </w:tc>
        <w:tc>
          <w:tcPr>
            <w:tcW w:w="270" w:type="pct"/>
          </w:tcPr>
          <w:p w14:paraId="038A1DE2" w14:textId="77777777" w:rsidR="00BF5CB8" w:rsidRDefault="00BF5CB8" w:rsidP="001A5D4A">
            <w:pPr>
              <w:pStyle w:val="NotesTable-Notes"/>
            </w:pPr>
          </w:p>
        </w:tc>
        <w:tc>
          <w:tcPr>
            <w:tcW w:w="406" w:type="pct"/>
          </w:tcPr>
          <w:p w14:paraId="038A1DE3" w14:textId="77777777" w:rsidR="00BF5CB8" w:rsidRDefault="00BF5CB8" w:rsidP="001A5D4A">
            <w:pPr>
              <w:pStyle w:val="NotesTable-CellBold"/>
            </w:pPr>
            <w:r>
              <w:t>–</w:t>
            </w:r>
          </w:p>
        </w:tc>
        <w:tc>
          <w:tcPr>
            <w:tcW w:w="406" w:type="pct"/>
          </w:tcPr>
          <w:p w14:paraId="038A1DE4" w14:textId="77777777" w:rsidR="00BF5CB8" w:rsidRDefault="00BF5CB8" w:rsidP="001A5D4A">
            <w:pPr>
              <w:pStyle w:val="NotesTable-CellPlain"/>
            </w:pPr>
            <w:r>
              <w:t>–</w:t>
            </w:r>
          </w:p>
        </w:tc>
        <w:tc>
          <w:tcPr>
            <w:tcW w:w="406" w:type="pct"/>
          </w:tcPr>
          <w:p w14:paraId="038A1DE5" w14:textId="77777777" w:rsidR="00BF5CB8" w:rsidRDefault="00BF5CB8" w:rsidP="001A5D4A">
            <w:pPr>
              <w:pStyle w:val="NotesTable-CellBold"/>
            </w:pPr>
            <w:r>
              <w:t>–</w:t>
            </w:r>
          </w:p>
        </w:tc>
        <w:tc>
          <w:tcPr>
            <w:tcW w:w="406" w:type="pct"/>
          </w:tcPr>
          <w:p w14:paraId="038A1DE6" w14:textId="77777777" w:rsidR="00BF5CB8" w:rsidRDefault="00BF5CB8" w:rsidP="001A5D4A">
            <w:pPr>
              <w:pStyle w:val="NotesTable-CellPlain"/>
            </w:pPr>
            <w:r>
              <w:t>–</w:t>
            </w:r>
          </w:p>
        </w:tc>
      </w:tr>
      <w:tr w:rsidR="00C15DFC" w14:paraId="038A1DEF" w14:textId="77777777" w:rsidTr="00E21378">
        <w:trPr>
          <w:trHeight w:val="181"/>
        </w:trPr>
        <w:tc>
          <w:tcPr>
            <w:tcW w:w="810" w:type="pct"/>
          </w:tcPr>
          <w:p w14:paraId="038A1DE8" w14:textId="77777777" w:rsidR="00BF5CB8" w:rsidRDefault="00BF5CB8" w:rsidP="001A5D4A">
            <w:pPr>
              <w:pStyle w:val="Note-Refs"/>
            </w:pPr>
          </w:p>
        </w:tc>
        <w:tc>
          <w:tcPr>
            <w:tcW w:w="2297" w:type="pct"/>
            <w:vAlign w:val="bottom"/>
          </w:tcPr>
          <w:p w14:paraId="038A1DE9" w14:textId="77777777" w:rsidR="00BF5CB8" w:rsidRDefault="00BF5CB8" w:rsidP="001A5D4A">
            <w:pPr>
              <w:pStyle w:val="NotesTable-ItemPlain"/>
              <w:rPr>
                <w:b/>
              </w:rPr>
            </w:pPr>
            <w:r>
              <w:t>Student fees</w:t>
            </w:r>
          </w:p>
        </w:tc>
        <w:tc>
          <w:tcPr>
            <w:tcW w:w="270" w:type="pct"/>
          </w:tcPr>
          <w:p w14:paraId="038A1DEA" w14:textId="77777777" w:rsidR="00BF5CB8" w:rsidRDefault="00BF5CB8" w:rsidP="001A5D4A">
            <w:pPr>
              <w:pStyle w:val="NotesTable-Notes"/>
            </w:pPr>
          </w:p>
        </w:tc>
        <w:tc>
          <w:tcPr>
            <w:tcW w:w="406" w:type="pct"/>
          </w:tcPr>
          <w:p w14:paraId="038A1DEB" w14:textId="77777777" w:rsidR="00BF5CB8" w:rsidRDefault="00BF5CB8" w:rsidP="001A5D4A">
            <w:pPr>
              <w:pStyle w:val="NotesTable-CellBold"/>
            </w:pPr>
            <w:r>
              <w:t>–</w:t>
            </w:r>
          </w:p>
        </w:tc>
        <w:tc>
          <w:tcPr>
            <w:tcW w:w="406" w:type="pct"/>
          </w:tcPr>
          <w:p w14:paraId="038A1DEC" w14:textId="77777777" w:rsidR="00BF5CB8" w:rsidRDefault="00BF5CB8" w:rsidP="001A5D4A">
            <w:pPr>
              <w:pStyle w:val="NotesTable-CellPlain"/>
            </w:pPr>
            <w:r>
              <w:t>–</w:t>
            </w:r>
          </w:p>
        </w:tc>
        <w:tc>
          <w:tcPr>
            <w:tcW w:w="406" w:type="pct"/>
          </w:tcPr>
          <w:p w14:paraId="038A1DED" w14:textId="77777777" w:rsidR="00BF5CB8" w:rsidRDefault="00BF5CB8" w:rsidP="001A5D4A">
            <w:pPr>
              <w:pStyle w:val="NotesTable-CellBold"/>
            </w:pPr>
            <w:r>
              <w:t>–</w:t>
            </w:r>
          </w:p>
        </w:tc>
        <w:tc>
          <w:tcPr>
            <w:tcW w:w="406" w:type="pct"/>
          </w:tcPr>
          <w:p w14:paraId="038A1DEE" w14:textId="77777777" w:rsidR="00BF5CB8" w:rsidRDefault="00BF5CB8" w:rsidP="001A5D4A">
            <w:pPr>
              <w:pStyle w:val="NotesTable-CellPlain"/>
            </w:pPr>
            <w:r>
              <w:t>–</w:t>
            </w:r>
          </w:p>
        </w:tc>
      </w:tr>
      <w:tr w:rsidR="00C15DFC" w14:paraId="038A1DF7" w14:textId="77777777" w:rsidTr="00E21378">
        <w:trPr>
          <w:trHeight w:val="181"/>
        </w:trPr>
        <w:tc>
          <w:tcPr>
            <w:tcW w:w="810" w:type="pct"/>
          </w:tcPr>
          <w:p w14:paraId="038A1DF0" w14:textId="77777777" w:rsidR="00BF5CB8" w:rsidRDefault="00BF5CB8" w:rsidP="001A5D4A">
            <w:pPr>
              <w:pStyle w:val="Note-Refs"/>
            </w:pPr>
          </w:p>
        </w:tc>
        <w:tc>
          <w:tcPr>
            <w:tcW w:w="2297" w:type="pct"/>
            <w:vAlign w:val="bottom"/>
          </w:tcPr>
          <w:p w14:paraId="038A1DF1" w14:textId="77777777" w:rsidR="00BF5CB8" w:rsidRDefault="00BF5CB8" w:rsidP="001A5D4A">
            <w:pPr>
              <w:pStyle w:val="NotesTable-ItemPlain"/>
              <w:rPr>
                <w:b/>
              </w:rPr>
            </w:pPr>
            <w:r>
              <w:t>Less: Provision for impaired receivables</w:t>
            </w:r>
          </w:p>
        </w:tc>
        <w:tc>
          <w:tcPr>
            <w:tcW w:w="270" w:type="pct"/>
          </w:tcPr>
          <w:p w14:paraId="038A1DF2" w14:textId="77777777" w:rsidR="00BF5CB8" w:rsidRDefault="00BF5CB8" w:rsidP="001A5D4A">
            <w:pPr>
              <w:pStyle w:val="NotesTable-Notes"/>
            </w:pPr>
          </w:p>
        </w:tc>
        <w:tc>
          <w:tcPr>
            <w:tcW w:w="406" w:type="pct"/>
            <w:tcBorders>
              <w:bottom w:val="single" w:sz="4" w:space="0" w:color="000000"/>
            </w:tcBorders>
          </w:tcPr>
          <w:p w14:paraId="038A1DF3" w14:textId="77777777" w:rsidR="00BF5CB8" w:rsidRDefault="00BF5CB8" w:rsidP="001A5D4A">
            <w:pPr>
              <w:pStyle w:val="NotesTable-CellBold"/>
            </w:pPr>
            <w:r>
              <w:t>–</w:t>
            </w:r>
          </w:p>
        </w:tc>
        <w:tc>
          <w:tcPr>
            <w:tcW w:w="406" w:type="pct"/>
            <w:tcBorders>
              <w:bottom w:val="single" w:sz="4" w:space="0" w:color="000000"/>
            </w:tcBorders>
          </w:tcPr>
          <w:p w14:paraId="038A1DF4" w14:textId="77777777" w:rsidR="00BF5CB8" w:rsidRDefault="00BF5CB8" w:rsidP="001A5D4A">
            <w:pPr>
              <w:pStyle w:val="NotesTable-CellPlain"/>
            </w:pPr>
            <w:r>
              <w:t>–</w:t>
            </w:r>
          </w:p>
        </w:tc>
        <w:tc>
          <w:tcPr>
            <w:tcW w:w="406" w:type="pct"/>
            <w:tcBorders>
              <w:bottom w:val="single" w:sz="4" w:space="0" w:color="000000"/>
            </w:tcBorders>
          </w:tcPr>
          <w:p w14:paraId="038A1DF5" w14:textId="77777777" w:rsidR="00BF5CB8" w:rsidRDefault="00BF5CB8" w:rsidP="001A5D4A">
            <w:pPr>
              <w:pStyle w:val="NotesTable-CellBold"/>
            </w:pPr>
            <w:r>
              <w:t>–</w:t>
            </w:r>
          </w:p>
        </w:tc>
        <w:tc>
          <w:tcPr>
            <w:tcW w:w="406" w:type="pct"/>
            <w:tcBorders>
              <w:bottom w:val="single" w:sz="4" w:space="0" w:color="000000"/>
            </w:tcBorders>
          </w:tcPr>
          <w:p w14:paraId="038A1DF6" w14:textId="77777777" w:rsidR="00BF5CB8" w:rsidRDefault="00BF5CB8" w:rsidP="001A5D4A">
            <w:pPr>
              <w:pStyle w:val="NotesTable-CellPlain"/>
            </w:pPr>
            <w:r>
              <w:t>–</w:t>
            </w:r>
          </w:p>
        </w:tc>
      </w:tr>
      <w:tr w:rsidR="00C15DFC" w14:paraId="038A1DFF" w14:textId="77777777" w:rsidTr="00E21378">
        <w:trPr>
          <w:trHeight w:val="181"/>
        </w:trPr>
        <w:tc>
          <w:tcPr>
            <w:tcW w:w="810" w:type="pct"/>
          </w:tcPr>
          <w:p w14:paraId="038A1DF8" w14:textId="77777777" w:rsidR="00BF5CB8" w:rsidRDefault="00BF5CB8" w:rsidP="001A5D4A">
            <w:pPr>
              <w:pStyle w:val="Note-Refs"/>
            </w:pPr>
          </w:p>
        </w:tc>
        <w:tc>
          <w:tcPr>
            <w:tcW w:w="2297" w:type="pct"/>
            <w:vAlign w:val="bottom"/>
          </w:tcPr>
          <w:p w14:paraId="038A1DF9" w14:textId="77777777" w:rsidR="00BF5CB8" w:rsidRDefault="00152234" w:rsidP="001A5D4A">
            <w:pPr>
              <w:pStyle w:val="NotesTable-ItemIndent"/>
            </w:pPr>
            <w:r>
              <w:t>Subtotal</w:t>
            </w:r>
          </w:p>
        </w:tc>
        <w:tc>
          <w:tcPr>
            <w:tcW w:w="270" w:type="pct"/>
          </w:tcPr>
          <w:p w14:paraId="038A1DFA" w14:textId="77777777" w:rsidR="00BF5CB8" w:rsidRDefault="00BF5CB8" w:rsidP="001A5D4A">
            <w:pPr>
              <w:pStyle w:val="NotesTable-Notes"/>
            </w:pPr>
          </w:p>
        </w:tc>
        <w:tc>
          <w:tcPr>
            <w:tcW w:w="406" w:type="pct"/>
            <w:tcBorders>
              <w:top w:val="single" w:sz="4" w:space="0" w:color="000000"/>
            </w:tcBorders>
          </w:tcPr>
          <w:p w14:paraId="038A1DFB" w14:textId="77777777" w:rsidR="00BF5CB8" w:rsidRDefault="00BF5CB8" w:rsidP="001A5D4A">
            <w:pPr>
              <w:pStyle w:val="NotesTable-CellBold"/>
            </w:pPr>
            <w:r>
              <w:t>–</w:t>
            </w:r>
          </w:p>
        </w:tc>
        <w:tc>
          <w:tcPr>
            <w:tcW w:w="406" w:type="pct"/>
            <w:tcBorders>
              <w:top w:val="single" w:sz="4" w:space="0" w:color="000000"/>
            </w:tcBorders>
          </w:tcPr>
          <w:p w14:paraId="038A1DFC" w14:textId="77777777" w:rsidR="00BF5CB8" w:rsidRDefault="00BF5CB8" w:rsidP="001A5D4A">
            <w:pPr>
              <w:pStyle w:val="NotesTable-CellPlain"/>
            </w:pPr>
            <w:r>
              <w:t>–</w:t>
            </w:r>
          </w:p>
        </w:tc>
        <w:tc>
          <w:tcPr>
            <w:tcW w:w="406" w:type="pct"/>
            <w:tcBorders>
              <w:top w:val="single" w:sz="4" w:space="0" w:color="000000"/>
            </w:tcBorders>
          </w:tcPr>
          <w:p w14:paraId="038A1DFD" w14:textId="77777777" w:rsidR="00BF5CB8" w:rsidRDefault="00BF5CB8" w:rsidP="001A5D4A">
            <w:pPr>
              <w:pStyle w:val="NotesTable-CellBold"/>
            </w:pPr>
            <w:r>
              <w:t>–</w:t>
            </w:r>
          </w:p>
        </w:tc>
        <w:tc>
          <w:tcPr>
            <w:tcW w:w="406" w:type="pct"/>
            <w:tcBorders>
              <w:top w:val="single" w:sz="4" w:space="0" w:color="000000"/>
            </w:tcBorders>
          </w:tcPr>
          <w:p w14:paraId="038A1DFE" w14:textId="77777777" w:rsidR="00BF5CB8" w:rsidRDefault="00BF5CB8" w:rsidP="001A5D4A">
            <w:pPr>
              <w:pStyle w:val="NotesTable-CellPlain"/>
            </w:pPr>
            <w:r>
              <w:t>–</w:t>
            </w:r>
          </w:p>
        </w:tc>
      </w:tr>
      <w:tr w:rsidR="00C15DFC" w14:paraId="038A1E07" w14:textId="77777777" w:rsidTr="00E21378">
        <w:trPr>
          <w:trHeight w:val="181"/>
        </w:trPr>
        <w:tc>
          <w:tcPr>
            <w:tcW w:w="810" w:type="pct"/>
          </w:tcPr>
          <w:p w14:paraId="038A1E00" w14:textId="2062C364" w:rsidR="00BF5CB8" w:rsidRDefault="00663DA3" w:rsidP="001A5D4A">
            <w:pPr>
              <w:pStyle w:val="Note-Refs"/>
            </w:pPr>
            <w:r>
              <w:t>EDUCATION</w:t>
            </w:r>
          </w:p>
        </w:tc>
        <w:tc>
          <w:tcPr>
            <w:tcW w:w="2297" w:type="pct"/>
            <w:shd w:val="clear" w:color="auto" w:fill="CCCCCC"/>
            <w:vAlign w:val="bottom"/>
          </w:tcPr>
          <w:p w14:paraId="038A1E01" w14:textId="04D80C34" w:rsidR="00BF5CB8" w:rsidRDefault="00BF5CB8" w:rsidP="001A5D4A">
            <w:pPr>
              <w:pStyle w:val="NotesTable-ItemPlain"/>
              <w:rPr>
                <w:b/>
              </w:rPr>
            </w:pPr>
            <w:r>
              <w:t xml:space="preserve">Deferred government </w:t>
            </w:r>
            <w:r w:rsidR="000249D5">
              <w:t xml:space="preserve">benefit </w:t>
            </w:r>
            <w:r>
              <w:t>for superannuation</w:t>
            </w:r>
          </w:p>
        </w:tc>
        <w:tc>
          <w:tcPr>
            <w:tcW w:w="270" w:type="pct"/>
            <w:shd w:val="clear" w:color="auto" w:fill="CCCCCC"/>
          </w:tcPr>
          <w:p w14:paraId="038A1E02" w14:textId="1881A152" w:rsidR="00BF5CB8" w:rsidRDefault="00BF5CB8" w:rsidP="001A5D4A">
            <w:pPr>
              <w:pStyle w:val="NotesTable-Notes"/>
              <w:rPr>
                <w:b/>
              </w:rPr>
            </w:pPr>
            <w:r>
              <w:t>5</w:t>
            </w:r>
            <w:r w:rsidR="00F535A7">
              <w:t>2</w:t>
            </w:r>
          </w:p>
        </w:tc>
        <w:tc>
          <w:tcPr>
            <w:tcW w:w="406" w:type="pct"/>
            <w:shd w:val="clear" w:color="auto" w:fill="CCCCCC"/>
          </w:tcPr>
          <w:p w14:paraId="038A1E03" w14:textId="77777777" w:rsidR="00BF5CB8" w:rsidRDefault="00BF5CB8" w:rsidP="001A5D4A">
            <w:pPr>
              <w:pStyle w:val="NotesTable-CellBold"/>
            </w:pPr>
            <w:r>
              <w:t>–</w:t>
            </w:r>
          </w:p>
        </w:tc>
        <w:tc>
          <w:tcPr>
            <w:tcW w:w="406" w:type="pct"/>
            <w:shd w:val="clear" w:color="auto" w:fill="CCCCCC"/>
          </w:tcPr>
          <w:p w14:paraId="038A1E04" w14:textId="77777777" w:rsidR="00BF5CB8" w:rsidRDefault="00BF5CB8" w:rsidP="001A5D4A">
            <w:pPr>
              <w:pStyle w:val="NotesTable-CellPlain"/>
            </w:pPr>
            <w:r>
              <w:t>–</w:t>
            </w:r>
          </w:p>
        </w:tc>
        <w:tc>
          <w:tcPr>
            <w:tcW w:w="406" w:type="pct"/>
            <w:shd w:val="clear" w:color="auto" w:fill="CCCCCC"/>
          </w:tcPr>
          <w:p w14:paraId="038A1E05" w14:textId="77777777" w:rsidR="00BF5CB8" w:rsidRDefault="00BF5CB8" w:rsidP="001A5D4A">
            <w:pPr>
              <w:pStyle w:val="NotesTable-CellBold"/>
            </w:pPr>
            <w:r>
              <w:t>–</w:t>
            </w:r>
          </w:p>
        </w:tc>
        <w:tc>
          <w:tcPr>
            <w:tcW w:w="406" w:type="pct"/>
            <w:shd w:val="clear" w:color="auto" w:fill="CCCCCC"/>
          </w:tcPr>
          <w:p w14:paraId="038A1E06" w14:textId="77777777" w:rsidR="00BF5CB8" w:rsidRDefault="00BF5CB8" w:rsidP="001A5D4A">
            <w:pPr>
              <w:pStyle w:val="NotesTable-CellPlain"/>
            </w:pPr>
            <w:r>
              <w:t>–</w:t>
            </w:r>
          </w:p>
        </w:tc>
      </w:tr>
      <w:tr w:rsidR="00C15DFC" w14:paraId="038A1E0F" w14:textId="77777777" w:rsidTr="00E21378">
        <w:trPr>
          <w:trHeight w:val="181"/>
        </w:trPr>
        <w:tc>
          <w:tcPr>
            <w:tcW w:w="810" w:type="pct"/>
          </w:tcPr>
          <w:p w14:paraId="038A1E08" w14:textId="77777777" w:rsidR="00BF5CB8" w:rsidRDefault="00BF5CB8" w:rsidP="001A5D4A">
            <w:pPr>
              <w:pStyle w:val="Note-Refs"/>
            </w:pPr>
          </w:p>
        </w:tc>
        <w:tc>
          <w:tcPr>
            <w:tcW w:w="2297" w:type="pct"/>
            <w:vAlign w:val="bottom"/>
          </w:tcPr>
          <w:p w14:paraId="038A1E09" w14:textId="77777777" w:rsidR="00BF5CB8" w:rsidRDefault="00BF5CB8" w:rsidP="001A5D4A">
            <w:pPr>
              <w:pStyle w:val="NotesTable-ItemPlain"/>
              <w:rPr>
                <w:b/>
              </w:rPr>
            </w:pPr>
            <w:r>
              <w:t>[Specify]</w:t>
            </w:r>
          </w:p>
        </w:tc>
        <w:tc>
          <w:tcPr>
            <w:tcW w:w="270" w:type="pct"/>
          </w:tcPr>
          <w:p w14:paraId="038A1E0A" w14:textId="77777777" w:rsidR="00BF5CB8" w:rsidRDefault="00BF5CB8" w:rsidP="001A5D4A">
            <w:pPr>
              <w:pStyle w:val="NotesTable-Notes"/>
            </w:pPr>
          </w:p>
        </w:tc>
        <w:tc>
          <w:tcPr>
            <w:tcW w:w="406" w:type="pct"/>
            <w:tcBorders>
              <w:bottom w:val="single" w:sz="4" w:space="0" w:color="000000"/>
            </w:tcBorders>
          </w:tcPr>
          <w:p w14:paraId="038A1E0B" w14:textId="77777777" w:rsidR="00BF5CB8" w:rsidRDefault="00BF5CB8" w:rsidP="001A5D4A">
            <w:pPr>
              <w:pStyle w:val="NotesTable-CellBold"/>
            </w:pPr>
            <w:r>
              <w:t>–</w:t>
            </w:r>
          </w:p>
        </w:tc>
        <w:tc>
          <w:tcPr>
            <w:tcW w:w="406" w:type="pct"/>
            <w:tcBorders>
              <w:bottom w:val="single" w:sz="4" w:space="0" w:color="000000"/>
            </w:tcBorders>
          </w:tcPr>
          <w:p w14:paraId="038A1E0C" w14:textId="77777777" w:rsidR="00BF5CB8" w:rsidRDefault="00BF5CB8" w:rsidP="001A5D4A">
            <w:pPr>
              <w:pStyle w:val="NotesTable-CellPlain"/>
            </w:pPr>
            <w:r>
              <w:t>–</w:t>
            </w:r>
          </w:p>
        </w:tc>
        <w:tc>
          <w:tcPr>
            <w:tcW w:w="406" w:type="pct"/>
            <w:tcBorders>
              <w:bottom w:val="single" w:sz="4" w:space="0" w:color="000000"/>
            </w:tcBorders>
          </w:tcPr>
          <w:p w14:paraId="038A1E0D" w14:textId="77777777" w:rsidR="00BF5CB8" w:rsidRDefault="00BF5CB8" w:rsidP="001A5D4A">
            <w:pPr>
              <w:pStyle w:val="NotesTable-CellBold"/>
            </w:pPr>
            <w:r>
              <w:t>–</w:t>
            </w:r>
          </w:p>
        </w:tc>
        <w:tc>
          <w:tcPr>
            <w:tcW w:w="406" w:type="pct"/>
            <w:tcBorders>
              <w:bottom w:val="single" w:sz="4" w:space="0" w:color="000000"/>
            </w:tcBorders>
          </w:tcPr>
          <w:p w14:paraId="038A1E0E" w14:textId="77777777" w:rsidR="00BF5CB8" w:rsidRDefault="00BF5CB8" w:rsidP="001A5D4A">
            <w:pPr>
              <w:pStyle w:val="NotesTable-CellPlain"/>
            </w:pPr>
            <w:r>
              <w:t>–</w:t>
            </w:r>
          </w:p>
        </w:tc>
      </w:tr>
      <w:tr w:rsidR="00C15DFC" w14:paraId="038A1E17" w14:textId="77777777" w:rsidTr="00E21378">
        <w:trPr>
          <w:trHeight w:val="181"/>
        </w:trPr>
        <w:tc>
          <w:tcPr>
            <w:tcW w:w="810" w:type="pct"/>
          </w:tcPr>
          <w:p w14:paraId="038A1E10" w14:textId="77777777" w:rsidR="00BF5CB8" w:rsidRDefault="00BF5CB8" w:rsidP="001A5D4A">
            <w:pPr>
              <w:pStyle w:val="Note-Refs"/>
            </w:pPr>
          </w:p>
        </w:tc>
        <w:tc>
          <w:tcPr>
            <w:tcW w:w="2297" w:type="pct"/>
            <w:vAlign w:val="bottom"/>
          </w:tcPr>
          <w:p w14:paraId="038A1E11" w14:textId="77777777" w:rsidR="00BF5CB8" w:rsidRDefault="00BF5CB8" w:rsidP="001A5D4A">
            <w:pPr>
              <w:pStyle w:val="NotesTable-ItemPlain"/>
              <w:rPr>
                <w:b/>
              </w:rPr>
            </w:pPr>
            <w:r>
              <w:t>Total current receivables</w:t>
            </w:r>
          </w:p>
        </w:tc>
        <w:tc>
          <w:tcPr>
            <w:tcW w:w="270" w:type="pct"/>
          </w:tcPr>
          <w:p w14:paraId="038A1E12" w14:textId="77777777" w:rsidR="00BF5CB8" w:rsidRDefault="00BF5CB8" w:rsidP="001A5D4A">
            <w:pPr>
              <w:pStyle w:val="NotesTable-Notes"/>
            </w:pPr>
          </w:p>
        </w:tc>
        <w:tc>
          <w:tcPr>
            <w:tcW w:w="406" w:type="pct"/>
            <w:tcBorders>
              <w:top w:val="single" w:sz="4" w:space="0" w:color="000000"/>
              <w:bottom w:val="single" w:sz="4" w:space="0" w:color="000000"/>
            </w:tcBorders>
          </w:tcPr>
          <w:p w14:paraId="038A1E13" w14:textId="77777777" w:rsidR="00BF5CB8" w:rsidRDefault="00BF5CB8" w:rsidP="001A5D4A">
            <w:pPr>
              <w:pStyle w:val="NotesTable-CellBold"/>
            </w:pPr>
            <w:r>
              <w:t>–</w:t>
            </w:r>
          </w:p>
        </w:tc>
        <w:tc>
          <w:tcPr>
            <w:tcW w:w="406" w:type="pct"/>
            <w:tcBorders>
              <w:top w:val="single" w:sz="4" w:space="0" w:color="000000"/>
              <w:bottom w:val="single" w:sz="4" w:space="0" w:color="000000"/>
            </w:tcBorders>
          </w:tcPr>
          <w:p w14:paraId="038A1E14" w14:textId="77777777" w:rsidR="00BF5CB8" w:rsidRDefault="00BF5CB8" w:rsidP="001A5D4A">
            <w:pPr>
              <w:pStyle w:val="NotesTable-CellPlain"/>
            </w:pPr>
            <w:r>
              <w:t>–</w:t>
            </w:r>
          </w:p>
        </w:tc>
        <w:tc>
          <w:tcPr>
            <w:tcW w:w="406" w:type="pct"/>
            <w:tcBorders>
              <w:top w:val="single" w:sz="4" w:space="0" w:color="000000"/>
              <w:bottom w:val="single" w:sz="4" w:space="0" w:color="000000"/>
            </w:tcBorders>
          </w:tcPr>
          <w:p w14:paraId="038A1E15" w14:textId="77777777" w:rsidR="00BF5CB8" w:rsidRDefault="00BF5CB8" w:rsidP="001A5D4A">
            <w:pPr>
              <w:pStyle w:val="NotesTable-CellBold"/>
            </w:pPr>
            <w:r>
              <w:t>–</w:t>
            </w:r>
          </w:p>
        </w:tc>
        <w:tc>
          <w:tcPr>
            <w:tcW w:w="406" w:type="pct"/>
            <w:tcBorders>
              <w:top w:val="single" w:sz="4" w:space="0" w:color="000000"/>
              <w:bottom w:val="single" w:sz="4" w:space="0" w:color="000000"/>
            </w:tcBorders>
          </w:tcPr>
          <w:p w14:paraId="038A1E16" w14:textId="77777777" w:rsidR="00BF5CB8" w:rsidRDefault="00BF5CB8" w:rsidP="001A5D4A">
            <w:pPr>
              <w:pStyle w:val="NotesTable-CellPlain"/>
            </w:pPr>
            <w:r>
              <w:t>–</w:t>
            </w:r>
          </w:p>
        </w:tc>
      </w:tr>
      <w:tr w:rsidR="00E82EBF" w14:paraId="038A1E1A" w14:textId="77777777" w:rsidTr="00E21378">
        <w:trPr>
          <w:trHeight w:val="181"/>
        </w:trPr>
        <w:tc>
          <w:tcPr>
            <w:tcW w:w="810" w:type="pct"/>
          </w:tcPr>
          <w:p w14:paraId="038A1E18" w14:textId="77777777" w:rsidR="00E82EBF" w:rsidRDefault="00E82EBF" w:rsidP="001A5D4A">
            <w:pPr>
              <w:pStyle w:val="Note-Refs"/>
            </w:pPr>
          </w:p>
        </w:tc>
        <w:tc>
          <w:tcPr>
            <w:tcW w:w="4190" w:type="pct"/>
            <w:gridSpan w:val="6"/>
            <w:vAlign w:val="bottom"/>
          </w:tcPr>
          <w:p w14:paraId="038A1E19" w14:textId="77777777" w:rsidR="00E82EBF" w:rsidRDefault="00E82EBF" w:rsidP="001A5D4A">
            <w:pPr>
              <w:pStyle w:val="NotesTable-ItemPlain"/>
            </w:pPr>
          </w:p>
        </w:tc>
      </w:tr>
      <w:tr w:rsidR="0014595D" w14:paraId="038A1E1D" w14:textId="77777777" w:rsidTr="00E21378">
        <w:trPr>
          <w:trHeight w:val="181"/>
        </w:trPr>
        <w:tc>
          <w:tcPr>
            <w:tcW w:w="810" w:type="pct"/>
          </w:tcPr>
          <w:p w14:paraId="038A1E1B" w14:textId="77777777" w:rsidR="0014595D" w:rsidRDefault="0014595D" w:rsidP="001A5D4A">
            <w:pPr>
              <w:pStyle w:val="Note-Refs"/>
            </w:pPr>
          </w:p>
        </w:tc>
        <w:tc>
          <w:tcPr>
            <w:tcW w:w="4190" w:type="pct"/>
            <w:gridSpan w:val="6"/>
            <w:vAlign w:val="bottom"/>
          </w:tcPr>
          <w:p w14:paraId="038A1E1C" w14:textId="77777777" w:rsidR="0014595D" w:rsidRDefault="0014595D" w:rsidP="001A5D4A">
            <w:pPr>
              <w:pStyle w:val="Note-TextHeader"/>
              <w:rPr>
                <w:lang w:val="en-GB"/>
              </w:rPr>
            </w:pPr>
            <w:r>
              <w:t>Non-current</w:t>
            </w:r>
          </w:p>
        </w:tc>
      </w:tr>
      <w:tr w:rsidR="00C15DFC" w14:paraId="038A1E25" w14:textId="77777777" w:rsidTr="00E21378">
        <w:trPr>
          <w:trHeight w:val="181"/>
        </w:trPr>
        <w:tc>
          <w:tcPr>
            <w:tcW w:w="810" w:type="pct"/>
          </w:tcPr>
          <w:p w14:paraId="038A1E1E" w14:textId="77777777" w:rsidR="00BF5CB8" w:rsidRDefault="00BF5CB8" w:rsidP="001A5D4A">
            <w:pPr>
              <w:pStyle w:val="Note-Refs"/>
            </w:pPr>
          </w:p>
        </w:tc>
        <w:tc>
          <w:tcPr>
            <w:tcW w:w="2297" w:type="pct"/>
            <w:vAlign w:val="bottom"/>
          </w:tcPr>
          <w:p w14:paraId="038A1E1F" w14:textId="77777777" w:rsidR="00BF5CB8" w:rsidRDefault="00BF5CB8" w:rsidP="001A5D4A">
            <w:pPr>
              <w:pStyle w:val="NotesTable-ItemPlain"/>
              <w:rPr>
                <w:b/>
              </w:rPr>
            </w:pPr>
            <w:r>
              <w:t>Student fees</w:t>
            </w:r>
          </w:p>
        </w:tc>
        <w:tc>
          <w:tcPr>
            <w:tcW w:w="270" w:type="pct"/>
          </w:tcPr>
          <w:p w14:paraId="038A1E20" w14:textId="77777777" w:rsidR="00BF5CB8" w:rsidRDefault="00BF5CB8" w:rsidP="001A5D4A">
            <w:pPr>
              <w:pStyle w:val="NotesTable-Notes"/>
            </w:pPr>
          </w:p>
        </w:tc>
        <w:tc>
          <w:tcPr>
            <w:tcW w:w="406" w:type="pct"/>
          </w:tcPr>
          <w:p w14:paraId="038A1E21" w14:textId="77777777" w:rsidR="00BF5CB8" w:rsidRDefault="00BF5CB8" w:rsidP="001A5D4A">
            <w:pPr>
              <w:pStyle w:val="NotesTable-CellBold"/>
            </w:pPr>
            <w:r>
              <w:t>–</w:t>
            </w:r>
          </w:p>
        </w:tc>
        <w:tc>
          <w:tcPr>
            <w:tcW w:w="406" w:type="pct"/>
          </w:tcPr>
          <w:p w14:paraId="038A1E22" w14:textId="77777777" w:rsidR="00BF5CB8" w:rsidRDefault="00BF5CB8" w:rsidP="001A5D4A">
            <w:pPr>
              <w:pStyle w:val="NotesTable-CellPlain"/>
            </w:pPr>
            <w:r>
              <w:t>–</w:t>
            </w:r>
          </w:p>
        </w:tc>
        <w:tc>
          <w:tcPr>
            <w:tcW w:w="406" w:type="pct"/>
          </w:tcPr>
          <w:p w14:paraId="038A1E23" w14:textId="77777777" w:rsidR="00BF5CB8" w:rsidRDefault="00BF5CB8" w:rsidP="001A5D4A">
            <w:pPr>
              <w:pStyle w:val="NotesTable-CellBold"/>
            </w:pPr>
            <w:r>
              <w:t>–</w:t>
            </w:r>
          </w:p>
        </w:tc>
        <w:tc>
          <w:tcPr>
            <w:tcW w:w="406" w:type="pct"/>
          </w:tcPr>
          <w:p w14:paraId="038A1E24" w14:textId="77777777" w:rsidR="00BF5CB8" w:rsidRDefault="00BF5CB8" w:rsidP="001A5D4A">
            <w:pPr>
              <w:pStyle w:val="NotesTable-CellPlain"/>
            </w:pPr>
            <w:r>
              <w:t>–</w:t>
            </w:r>
          </w:p>
        </w:tc>
      </w:tr>
      <w:tr w:rsidR="00C15DFC" w14:paraId="038A1E2D" w14:textId="77777777" w:rsidTr="00E21378">
        <w:trPr>
          <w:trHeight w:val="181"/>
        </w:trPr>
        <w:tc>
          <w:tcPr>
            <w:tcW w:w="810" w:type="pct"/>
          </w:tcPr>
          <w:p w14:paraId="038A1E26" w14:textId="77777777" w:rsidR="00BF5CB8" w:rsidRDefault="00BF5CB8" w:rsidP="001A5D4A">
            <w:pPr>
              <w:pStyle w:val="Note-Refs"/>
            </w:pPr>
          </w:p>
        </w:tc>
        <w:tc>
          <w:tcPr>
            <w:tcW w:w="2297" w:type="pct"/>
            <w:vAlign w:val="bottom"/>
          </w:tcPr>
          <w:p w14:paraId="038A1E27" w14:textId="77777777" w:rsidR="00BF5CB8" w:rsidRDefault="00BF5CB8" w:rsidP="001A5D4A">
            <w:pPr>
              <w:pStyle w:val="NotesTable-ItemPlain"/>
              <w:rPr>
                <w:b/>
              </w:rPr>
            </w:pPr>
            <w:r>
              <w:t>Less: Provision for impaired receivables</w:t>
            </w:r>
          </w:p>
        </w:tc>
        <w:tc>
          <w:tcPr>
            <w:tcW w:w="270" w:type="pct"/>
          </w:tcPr>
          <w:p w14:paraId="038A1E28" w14:textId="77777777" w:rsidR="00BF5CB8" w:rsidRDefault="00BF5CB8" w:rsidP="001A5D4A">
            <w:pPr>
              <w:pStyle w:val="NotesTable-Notes"/>
            </w:pPr>
          </w:p>
        </w:tc>
        <w:tc>
          <w:tcPr>
            <w:tcW w:w="406" w:type="pct"/>
            <w:tcBorders>
              <w:bottom w:val="single" w:sz="4" w:space="0" w:color="000000"/>
            </w:tcBorders>
          </w:tcPr>
          <w:p w14:paraId="038A1E29" w14:textId="77777777" w:rsidR="00BF5CB8" w:rsidRDefault="00BF5CB8" w:rsidP="001A5D4A">
            <w:pPr>
              <w:pStyle w:val="NotesTable-CellBold"/>
            </w:pPr>
            <w:r>
              <w:t>–</w:t>
            </w:r>
          </w:p>
        </w:tc>
        <w:tc>
          <w:tcPr>
            <w:tcW w:w="406" w:type="pct"/>
            <w:tcBorders>
              <w:bottom w:val="single" w:sz="4" w:space="0" w:color="000000"/>
            </w:tcBorders>
          </w:tcPr>
          <w:p w14:paraId="038A1E2A" w14:textId="77777777" w:rsidR="00BF5CB8" w:rsidRDefault="00BF5CB8" w:rsidP="001A5D4A">
            <w:pPr>
              <w:pStyle w:val="NotesTable-CellPlain"/>
            </w:pPr>
            <w:r>
              <w:t>–</w:t>
            </w:r>
          </w:p>
        </w:tc>
        <w:tc>
          <w:tcPr>
            <w:tcW w:w="406" w:type="pct"/>
            <w:tcBorders>
              <w:bottom w:val="single" w:sz="4" w:space="0" w:color="000000"/>
            </w:tcBorders>
          </w:tcPr>
          <w:p w14:paraId="038A1E2B" w14:textId="77777777" w:rsidR="00BF5CB8" w:rsidRDefault="00BF5CB8" w:rsidP="001A5D4A">
            <w:pPr>
              <w:pStyle w:val="NotesTable-CellBold"/>
            </w:pPr>
            <w:r>
              <w:t>–</w:t>
            </w:r>
          </w:p>
        </w:tc>
        <w:tc>
          <w:tcPr>
            <w:tcW w:w="406" w:type="pct"/>
            <w:tcBorders>
              <w:bottom w:val="single" w:sz="4" w:space="0" w:color="000000"/>
            </w:tcBorders>
          </w:tcPr>
          <w:p w14:paraId="038A1E2C" w14:textId="77777777" w:rsidR="00BF5CB8" w:rsidRDefault="00BF5CB8" w:rsidP="001A5D4A">
            <w:pPr>
              <w:pStyle w:val="NotesTable-CellPlain"/>
            </w:pPr>
            <w:r>
              <w:t>–</w:t>
            </w:r>
          </w:p>
        </w:tc>
      </w:tr>
      <w:tr w:rsidR="00C15DFC" w14:paraId="038A1E35" w14:textId="77777777" w:rsidTr="00E21378">
        <w:trPr>
          <w:trHeight w:val="181"/>
        </w:trPr>
        <w:tc>
          <w:tcPr>
            <w:tcW w:w="810" w:type="pct"/>
          </w:tcPr>
          <w:p w14:paraId="038A1E2E" w14:textId="77777777" w:rsidR="00BF5CB8" w:rsidRDefault="00BF5CB8" w:rsidP="001A5D4A">
            <w:pPr>
              <w:pStyle w:val="Note-Refs"/>
            </w:pPr>
          </w:p>
        </w:tc>
        <w:tc>
          <w:tcPr>
            <w:tcW w:w="2297" w:type="pct"/>
            <w:vAlign w:val="bottom"/>
          </w:tcPr>
          <w:p w14:paraId="038A1E2F" w14:textId="77777777" w:rsidR="00BF5CB8" w:rsidRDefault="00152234" w:rsidP="001A5D4A">
            <w:pPr>
              <w:pStyle w:val="NotesTable-ItemIndent"/>
            </w:pPr>
            <w:r>
              <w:t>Subtotal</w:t>
            </w:r>
          </w:p>
        </w:tc>
        <w:tc>
          <w:tcPr>
            <w:tcW w:w="270" w:type="pct"/>
          </w:tcPr>
          <w:p w14:paraId="038A1E30" w14:textId="77777777" w:rsidR="00BF5CB8" w:rsidRDefault="00BF5CB8" w:rsidP="001A5D4A">
            <w:pPr>
              <w:pStyle w:val="NotesTable-Notes"/>
            </w:pPr>
          </w:p>
        </w:tc>
        <w:tc>
          <w:tcPr>
            <w:tcW w:w="406" w:type="pct"/>
            <w:tcBorders>
              <w:top w:val="single" w:sz="4" w:space="0" w:color="000000"/>
            </w:tcBorders>
          </w:tcPr>
          <w:p w14:paraId="038A1E31" w14:textId="77777777" w:rsidR="00BF5CB8" w:rsidRDefault="00BF5CB8" w:rsidP="001A5D4A">
            <w:pPr>
              <w:pStyle w:val="NotesTable-CellBold"/>
            </w:pPr>
            <w:r>
              <w:t>–</w:t>
            </w:r>
          </w:p>
        </w:tc>
        <w:tc>
          <w:tcPr>
            <w:tcW w:w="406" w:type="pct"/>
            <w:tcBorders>
              <w:top w:val="single" w:sz="4" w:space="0" w:color="000000"/>
            </w:tcBorders>
          </w:tcPr>
          <w:p w14:paraId="038A1E32" w14:textId="77777777" w:rsidR="00BF5CB8" w:rsidRDefault="00BF5CB8" w:rsidP="001A5D4A">
            <w:pPr>
              <w:pStyle w:val="NotesTable-CellPlain"/>
            </w:pPr>
            <w:r>
              <w:t>–</w:t>
            </w:r>
          </w:p>
        </w:tc>
        <w:tc>
          <w:tcPr>
            <w:tcW w:w="406" w:type="pct"/>
            <w:tcBorders>
              <w:top w:val="single" w:sz="4" w:space="0" w:color="000000"/>
            </w:tcBorders>
          </w:tcPr>
          <w:p w14:paraId="038A1E33" w14:textId="77777777" w:rsidR="00BF5CB8" w:rsidRDefault="00BF5CB8" w:rsidP="001A5D4A">
            <w:pPr>
              <w:pStyle w:val="NotesTable-CellBold"/>
            </w:pPr>
            <w:r>
              <w:t>–</w:t>
            </w:r>
          </w:p>
        </w:tc>
        <w:tc>
          <w:tcPr>
            <w:tcW w:w="406" w:type="pct"/>
            <w:tcBorders>
              <w:top w:val="single" w:sz="4" w:space="0" w:color="000000"/>
            </w:tcBorders>
          </w:tcPr>
          <w:p w14:paraId="038A1E34" w14:textId="77777777" w:rsidR="00BF5CB8" w:rsidRDefault="00BF5CB8" w:rsidP="001A5D4A">
            <w:pPr>
              <w:pStyle w:val="NotesTable-CellPlain"/>
            </w:pPr>
            <w:r>
              <w:t>–</w:t>
            </w:r>
          </w:p>
        </w:tc>
      </w:tr>
      <w:tr w:rsidR="00C15DFC" w14:paraId="038A1E3D" w14:textId="77777777" w:rsidTr="00E21378">
        <w:trPr>
          <w:trHeight w:val="181"/>
        </w:trPr>
        <w:tc>
          <w:tcPr>
            <w:tcW w:w="810" w:type="pct"/>
          </w:tcPr>
          <w:p w14:paraId="038A1E36" w14:textId="00BA9CDA" w:rsidR="00BF5CB8" w:rsidRDefault="00663DA3" w:rsidP="001A5D4A">
            <w:pPr>
              <w:pStyle w:val="Note-Refs"/>
            </w:pPr>
            <w:r>
              <w:t>EDUCATION</w:t>
            </w:r>
          </w:p>
        </w:tc>
        <w:tc>
          <w:tcPr>
            <w:tcW w:w="2297" w:type="pct"/>
            <w:shd w:val="clear" w:color="auto" w:fill="CCCCCC"/>
            <w:vAlign w:val="bottom"/>
          </w:tcPr>
          <w:p w14:paraId="038A1E37" w14:textId="6F58E7DA" w:rsidR="00BF5CB8" w:rsidRDefault="00BF5CB8" w:rsidP="001A5D4A">
            <w:pPr>
              <w:pStyle w:val="NotesTable-ItemPlain"/>
              <w:rPr>
                <w:b/>
              </w:rPr>
            </w:pPr>
            <w:r>
              <w:t xml:space="preserve">Deferred government </w:t>
            </w:r>
            <w:r w:rsidR="000249D5">
              <w:t xml:space="preserve">benefit </w:t>
            </w:r>
            <w:r>
              <w:t>for superannuation</w:t>
            </w:r>
          </w:p>
        </w:tc>
        <w:tc>
          <w:tcPr>
            <w:tcW w:w="270" w:type="pct"/>
            <w:shd w:val="clear" w:color="auto" w:fill="CCCCCC"/>
          </w:tcPr>
          <w:p w14:paraId="038A1E38" w14:textId="40167CE3" w:rsidR="00BF5CB8" w:rsidRDefault="00BF5CB8" w:rsidP="001A5D4A">
            <w:pPr>
              <w:pStyle w:val="NotesTable-Notes"/>
              <w:rPr>
                <w:b/>
              </w:rPr>
            </w:pPr>
            <w:r>
              <w:t>5</w:t>
            </w:r>
            <w:r w:rsidR="00F535A7">
              <w:t>2</w:t>
            </w:r>
          </w:p>
        </w:tc>
        <w:tc>
          <w:tcPr>
            <w:tcW w:w="406" w:type="pct"/>
            <w:shd w:val="clear" w:color="auto" w:fill="CCCCCC"/>
          </w:tcPr>
          <w:p w14:paraId="038A1E39" w14:textId="77777777" w:rsidR="00BF5CB8" w:rsidRDefault="00BF5CB8" w:rsidP="001A5D4A">
            <w:pPr>
              <w:pStyle w:val="NotesTable-CellBold"/>
            </w:pPr>
            <w:r>
              <w:t>–</w:t>
            </w:r>
          </w:p>
        </w:tc>
        <w:tc>
          <w:tcPr>
            <w:tcW w:w="406" w:type="pct"/>
            <w:shd w:val="clear" w:color="auto" w:fill="CCCCCC"/>
          </w:tcPr>
          <w:p w14:paraId="038A1E3A" w14:textId="77777777" w:rsidR="00BF5CB8" w:rsidRDefault="00BF5CB8" w:rsidP="001A5D4A">
            <w:pPr>
              <w:pStyle w:val="NotesTable-CellPlain"/>
            </w:pPr>
            <w:r>
              <w:t>–</w:t>
            </w:r>
          </w:p>
        </w:tc>
        <w:tc>
          <w:tcPr>
            <w:tcW w:w="406" w:type="pct"/>
            <w:shd w:val="clear" w:color="auto" w:fill="CCCCCC"/>
          </w:tcPr>
          <w:p w14:paraId="038A1E3B" w14:textId="77777777" w:rsidR="00BF5CB8" w:rsidRDefault="00BF5CB8" w:rsidP="001A5D4A">
            <w:pPr>
              <w:pStyle w:val="NotesTable-CellBold"/>
            </w:pPr>
            <w:r>
              <w:t>–</w:t>
            </w:r>
          </w:p>
        </w:tc>
        <w:tc>
          <w:tcPr>
            <w:tcW w:w="406" w:type="pct"/>
            <w:shd w:val="clear" w:color="auto" w:fill="CCCCCC"/>
          </w:tcPr>
          <w:p w14:paraId="038A1E3C" w14:textId="77777777" w:rsidR="00BF5CB8" w:rsidRDefault="00BF5CB8" w:rsidP="001A5D4A">
            <w:pPr>
              <w:pStyle w:val="NotesTable-CellPlain"/>
            </w:pPr>
            <w:r>
              <w:t>–</w:t>
            </w:r>
          </w:p>
        </w:tc>
      </w:tr>
      <w:tr w:rsidR="00C15DFC" w14:paraId="038A1E45" w14:textId="77777777" w:rsidTr="00E21378">
        <w:trPr>
          <w:trHeight w:val="181"/>
        </w:trPr>
        <w:tc>
          <w:tcPr>
            <w:tcW w:w="810" w:type="pct"/>
          </w:tcPr>
          <w:p w14:paraId="038A1E3E" w14:textId="77777777" w:rsidR="00BF5CB8" w:rsidRDefault="00BF5CB8" w:rsidP="001A5D4A">
            <w:pPr>
              <w:pStyle w:val="Note-Refs"/>
            </w:pPr>
          </w:p>
        </w:tc>
        <w:tc>
          <w:tcPr>
            <w:tcW w:w="2297" w:type="pct"/>
            <w:vAlign w:val="bottom"/>
          </w:tcPr>
          <w:p w14:paraId="038A1E3F" w14:textId="77777777" w:rsidR="00BF5CB8" w:rsidRDefault="00BF5CB8" w:rsidP="001A5D4A">
            <w:pPr>
              <w:pStyle w:val="NotesTable-ItemPlain"/>
              <w:rPr>
                <w:b/>
              </w:rPr>
            </w:pPr>
            <w:r>
              <w:t>[Specify]</w:t>
            </w:r>
          </w:p>
        </w:tc>
        <w:tc>
          <w:tcPr>
            <w:tcW w:w="270" w:type="pct"/>
          </w:tcPr>
          <w:p w14:paraId="038A1E40" w14:textId="77777777" w:rsidR="00BF5CB8" w:rsidRDefault="00BF5CB8" w:rsidP="001A5D4A">
            <w:pPr>
              <w:pStyle w:val="NotesTable-Notes"/>
            </w:pPr>
          </w:p>
        </w:tc>
        <w:tc>
          <w:tcPr>
            <w:tcW w:w="406" w:type="pct"/>
          </w:tcPr>
          <w:p w14:paraId="038A1E41" w14:textId="77777777" w:rsidR="00BF5CB8" w:rsidRDefault="00BF5CB8" w:rsidP="001A5D4A">
            <w:pPr>
              <w:pStyle w:val="NotesTable-CellBold"/>
            </w:pPr>
            <w:r>
              <w:t>–</w:t>
            </w:r>
          </w:p>
        </w:tc>
        <w:tc>
          <w:tcPr>
            <w:tcW w:w="406" w:type="pct"/>
          </w:tcPr>
          <w:p w14:paraId="038A1E42" w14:textId="77777777" w:rsidR="00BF5CB8" w:rsidRDefault="00BF5CB8" w:rsidP="001A5D4A">
            <w:pPr>
              <w:pStyle w:val="NotesTable-CellPlain"/>
            </w:pPr>
            <w:r>
              <w:t>–</w:t>
            </w:r>
          </w:p>
        </w:tc>
        <w:tc>
          <w:tcPr>
            <w:tcW w:w="406" w:type="pct"/>
          </w:tcPr>
          <w:p w14:paraId="038A1E43" w14:textId="77777777" w:rsidR="00BF5CB8" w:rsidRDefault="00BF5CB8" w:rsidP="001A5D4A">
            <w:pPr>
              <w:pStyle w:val="NotesTable-CellBold"/>
            </w:pPr>
            <w:r>
              <w:t>–</w:t>
            </w:r>
          </w:p>
        </w:tc>
        <w:tc>
          <w:tcPr>
            <w:tcW w:w="406" w:type="pct"/>
          </w:tcPr>
          <w:p w14:paraId="038A1E44" w14:textId="77777777" w:rsidR="00BF5CB8" w:rsidRDefault="00BF5CB8" w:rsidP="001A5D4A">
            <w:pPr>
              <w:pStyle w:val="NotesTable-CellPlain"/>
            </w:pPr>
            <w:r>
              <w:t>–</w:t>
            </w:r>
          </w:p>
        </w:tc>
      </w:tr>
      <w:tr w:rsidR="00C15DFC" w14:paraId="038A1E4D" w14:textId="77777777" w:rsidTr="00E21378">
        <w:trPr>
          <w:trHeight w:val="181"/>
        </w:trPr>
        <w:tc>
          <w:tcPr>
            <w:tcW w:w="810" w:type="pct"/>
          </w:tcPr>
          <w:p w14:paraId="038A1E46" w14:textId="77777777" w:rsidR="00BF5CB8" w:rsidRDefault="00BF5CB8" w:rsidP="001A5D4A">
            <w:pPr>
              <w:pStyle w:val="Note-Refs"/>
            </w:pPr>
          </w:p>
        </w:tc>
        <w:tc>
          <w:tcPr>
            <w:tcW w:w="2297" w:type="pct"/>
            <w:vAlign w:val="bottom"/>
          </w:tcPr>
          <w:p w14:paraId="038A1E47" w14:textId="77777777" w:rsidR="00BF5CB8" w:rsidRDefault="00BF5CB8" w:rsidP="001A5D4A">
            <w:pPr>
              <w:pStyle w:val="NotesTable-ItemPlain"/>
              <w:rPr>
                <w:b/>
              </w:rPr>
            </w:pPr>
            <w:r>
              <w:t>Total non-current receivables</w:t>
            </w:r>
          </w:p>
        </w:tc>
        <w:tc>
          <w:tcPr>
            <w:tcW w:w="270" w:type="pct"/>
          </w:tcPr>
          <w:p w14:paraId="038A1E48" w14:textId="77777777" w:rsidR="00BF5CB8" w:rsidRDefault="00BF5CB8" w:rsidP="001A5D4A">
            <w:pPr>
              <w:pStyle w:val="NotesTable-Notes"/>
            </w:pPr>
          </w:p>
        </w:tc>
        <w:tc>
          <w:tcPr>
            <w:tcW w:w="406" w:type="pct"/>
            <w:tcBorders>
              <w:top w:val="single" w:sz="4" w:space="0" w:color="000000"/>
              <w:bottom w:val="single" w:sz="4" w:space="0" w:color="000000"/>
            </w:tcBorders>
          </w:tcPr>
          <w:p w14:paraId="038A1E49" w14:textId="77777777" w:rsidR="00BF5CB8" w:rsidRDefault="00BF5CB8" w:rsidP="001A5D4A">
            <w:pPr>
              <w:pStyle w:val="NotesTable-CellBold"/>
            </w:pPr>
            <w:r>
              <w:t>–</w:t>
            </w:r>
          </w:p>
        </w:tc>
        <w:tc>
          <w:tcPr>
            <w:tcW w:w="406" w:type="pct"/>
            <w:tcBorders>
              <w:top w:val="single" w:sz="4" w:space="0" w:color="000000"/>
              <w:bottom w:val="single" w:sz="4" w:space="0" w:color="000000"/>
            </w:tcBorders>
          </w:tcPr>
          <w:p w14:paraId="038A1E4A" w14:textId="77777777" w:rsidR="00BF5CB8" w:rsidRDefault="00BF5CB8" w:rsidP="001A5D4A">
            <w:pPr>
              <w:pStyle w:val="NotesTable-CellPlain"/>
            </w:pPr>
            <w:r>
              <w:t>–</w:t>
            </w:r>
          </w:p>
        </w:tc>
        <w:tc>
          <w:tcPr>
            <w:tcW w:w="406" w:type="pct"/>
            <w:tcBorders>
              <w:top w:val="single" w:sz="4" w:space="0" w:color="000000"/>
              <w:bottom w:val="single" w:sz="4" w:space="0" w:color="000000"/>
            </w:tcBorders>
          </w:tcPr>
          <w:p w14:paraId="038A1E4B" w14:textId="77777777" w:rsidR="00BF5CB8" w:rsidRDefault="00BF5CB8" w:rsidP="001A5D4A">
            <w:pPr>
              <w:pStyle w:val="NotesTable-CellBold"/>
            </w:pPr>
            <w:r>
              <w:t>–</w:t>
            </w:r>
          </w:p>
        </w:tc>
        <w:tc>
          <w:tcPr>
            <w:tcW w:w="406" w:type="pct"/>
            <w:tcBorders>
              <w:top w:val="single" w:sz="4" w:space="0" w:color="000000"/>
              <w:bottom w:val="single" w:sz="4" w:space="0" w:color="000000"/>
            </w:tcBorders>
          </w:tcPr>
          <w:p w14:paraId="038A1E4C" w14:textId="77777777" w:rsidR="00BF5CB8" w:rsidRDefault="00BF5CB8" w:rsidP="001A5D4A">
            <w:pPr>
              <w:pStyle w:val="NotesTable-CellPlain"/>
            </w:pPr>
            <w:r>
              <w:t>–</w:t>
            </w:r>
          </w:p>
        </w:tc>
      </w:tr>
      <w:tr w:rsidR="00C15DFC" w14:paraId="038A1E55" w14:textId="77777777" w:rsidTr="00E21378">
        <w:trPr>
          <w:trHeight w:val="181"/>
        </w:trPr>
        <w:tc>
          <w:tcPr>
            <w:tcW w:w="810" w:type="pct"/>
          </w:tcPr>
          <w:p w14:paraId="038A1E4E" w14:textId="77777777" w:rsidR="00BF5CB8" w:rsidRDefault="00BF5CB8" w:rsidP="001A5D4A">
            <w:pPr>
              <w:pStyle w:val="Note-Refs"/>
            </w:pPr>
          </w:p>
        </w:tc>
        <w:tc>
          <w:tcPr>
            <w:tcW w:w="2297" w:type="pct"/>
            <w:vAlign w:val="bottom"/>
          </w:tcPr>
          <w:p w14:paraId="038A1E4F" w14:textId="77777777" w:rsidR="00BF5CB8" w:rsidRDefault="00BF5CB8" w:rsidP="001A5D4A">
            <w:pPr>
              <w:pStyle w:val="NotesTable-ItemPlain"/>
              <w:rPr>
                <w:b/>
              </w:rPr>
            </w:pPr>
            <w:r>
              <w:t>Total receivables</w:t>
            </w:r>
          </w:p>
        </w:tc>
        <w:tc>
          <w:tcPr>
            <w:tcW w:w="270" w:type="pct"/>
          </w:tcPr>
          <w:p w14:paraId="038A1E50" w14:textId="77777777" w:rsidR="00BF5CB8" w:rsidRDefault="00BF5CB8" w:rsidP="001A5D4A">
            <w:pPr>
              <w:pStyle w:val="NotesTable-Notes"/>
            </w:pPr>
          </w:p>
        </w:tc>
        <w:tc>
          <w:tcPr>
            <w:tcW w:w="406" w:type="pct"/>
          </w:tcPr>
          <w:p w14:paraId="038A1E51" w14:textId="77777777" w:rsidR="00BF5CB8" w:rsidRDefault="00BF5CB8" w:rsidP="001A5D4A">
            <w:pPr>
              <w:pStyle w:val="NotesTable-CellBold"/>
            </w:pPr>
            <w:r>
              <w:t>–</w:t>
            </w:r>
          </w:p>
        </w:tc>
        <w:tc>
          <w:tcPr>
            <w:tcW w:w="406" w:type="pct"/>
          </w:tcPr>
          <w:p w14:paraId="038A1E52" w14:textId="77777777" w:rsidR="00BF5CB8" w:rsidRDefault="00BF5CB8" w:rsidP="001A5D4A">
            <w:pPr>
              <w:pStyle w:val="NotesTable-CellPlain"/>
            </w:pPr>
            <w:r>
              <w:t>–</w:t>
            </w:r>
          </w:p>
        </w:tc>
        <w:tc>
          <w:tcPr>
            <w:tcW w:w="406" w:type="pct"/>
          </w:tcPr>
          <w:p w14:paraId="038A1E53" w14:textId="77777777" w:rsidR="00BF5CB8" w:rsidRDefault="00BF5CB8" w:rsidP="001A5D4A">
            <w:pPr>
              <w:pStyle w:val="NotesTable-CellBold"/>
            </w:pPr>
            <w:r>
              <w:t>–</w:t>
            </w:r>
          </w:p>
        </w:tc>
        <w:tc>
          <w:tcPr>
            <w:tcW w:w="406" w:type="pct"/>
          </w:tcPr>
          <w:p w14:paraId="038A1E54" w14:textId="77777777" w:rsidR="00BF5CB8" w:rsidRDefault="00BF5CB8" w:rsidP="001A5D4A">
            <w:pPr>
              <w:pStyle w:val="NotesTable-CellPlain"/>
            </w:pPr>
            <w:r>
              <w:t>–</w:t>
            </w:r>
          </w:p>
        </w:tc>
      </w:tr>
      <w:tr w:rsidR="00BF5CB8" w14:paraId="038A1E58" w14:textId="77777777" w:rsidTr="00E21378">
        <w:trPr>
          <w:trHeight w:val="181"/>
        </w:trPr>
        <w:tc>
          <w:tcPr>
            <w:tcW w:w="810" w:type="pct"/>
          </w:tcPr>
          <w:p w14:paraId="038A1E56" w14:textId="77777777" w:rsidR="00BF5CB8" w:rsidRDefault="00BF5CB8" w:rsidP="001A5D4A">
            <w:pPr>
              <w:pStyle w:val="Note-Refs"/>
            </w:pPr>
          </w:p>
        </w:tc>
        <w:tc>
          <w:tcPr>
            <w:tcW w:w="4190" w:type="pct"/>
            <w:gridSpan w:val="6"/>
            <w:vAlign w:val="bottom"/>
          </w:tcPr>
          <w:p w14:paraId="038A1E57" w14:textId="77777777" w:rsidR="00BF5CB8" w:rsidRDefault="00BF5CB8" w:rsidP="001A5D4A">
            <w:pPr>
              <w:pStyle w:val="NormalText"/>
              <w:snapToGrid w:val="0"/>
              <w:rPr>
                <w:rFonts w:ascii="Arial" w:hAnsi="Arial" w:cs="Arial"/>
                <w:b/>
                <w:sz w:val="18"/>
                <w:szCs w:val="18"/>
              </w:rPr>
            </w:pPr>
          </w:p>
        </w:tc>
      </w:tr>
      <w:tr w:rsidR="00BF5CB8" w14:paraId="038A1E5B" w14:textId="77777777" w:rsidTr="00E21378">
        <w:trPr>
          <w:trHeight w:val="181"/>
        </w:trPr>
        <w:tc>
          <w:tcPr>
            <w:tcW w:w="810" w:type="pct"/>
          </w:tcPr>
          <w:p w14:paraId="038A1E59" w14:textId="77777777" w:rsidR="00BF5CB8" w:rsidRDefault="00BF5CB8" w:rsidP="001A5D4A">
            <w:pPr>
              <w:pStyle w:val="Note-Refs"/>
            </w:pPr>
          </w:p>
        </w:tc>
        <w:tc>
          <w:tcPr>
            <w:tcW w:w="4190" w:type="pct"/>
            <w:gridSpan w:val="6"/>
            <w:vAlign w:val="bottom"/>
          </w:tcPr>
          <w:p w14:paraId="038A1E5A" w14:textId="77777777" w:rsidR="00BF5CB8" w:rsidRDefault="00BF5CB8" w:rsidP="001A5D4A">
            <w:pPr>
              <w:pStyle w:val="Note-TextHeader"/>
              <w:rPr>
                <w:b w:val="0"/>
                <w:lang w:val="en-GB"/>
              </w:rPr>
            </w:pPr>
            <w:r>
              <w:t>(a) Impaired receivables</w:t>
            </w:r>
          </w:p>
        </w:tc>
      </w:tr>
      <w:tr w:rsidR="00BF5CB8" w14:paraId="038A1E5E" w14:textId="77777777" w:rsidTr="00E21378">
        <w:trPr>
          <w:trHeight w:val="181"/>
        </w:trPr>
        <w:tc>
          <w:tcPr>
            <w:tcW w:w="810" w:type="pct"/>
          </w:tcPr>
          <w:p w14:paraId="038A1E5C" w14:textId="77777777" w:rsidR="00BF5CB8" w:rsidRDefault="00BF5CB8" w:rsidP="001A5D4A">
            <w:pPr>
              <w:pStyle w:val="Note-Refs"/>
            </w:pPr>
            <w:r>
              <w:t>AASB7.37b</w:t>
            </w:r>
          </w:p>
        </w:tc>
        <w:tc>
          <w:tcPr>
            <w:tcW w:w="4190" w:type="pct"/>
            <w:gridSpan w:val="6"/>
            <w:vAlign w:val="bottom"/>
          </w:tcPr>
          <w:p w14:paraId="038A1E5D" w14:textId="43BDEB59" w:rsidR="00BF5CB8" w:rsidRDefault="00BF5CB8" w:rsidP="001A5D4A">
            <w:pPr>
              <w:pStyle w:val="NotesTable-ItemPlain"/>
              <w:rPr>
                <w:b/>
              </w:rPr>
            </w:pPr>
            <w:r>
              <w:t xml:space="preserve">As at 31 December </w:t>
            </w:r>
            <w:r w:rsidR="006864EC">
              <w:t>2014</w:t>
            </w:r>
            <w:r>
              <w:t xml:space="preserve"> current receivables of the group with a nominal value of $xx (</w:t>
            </w:r>
            <w:r w:rsidR="006864EC">
              <w:t>2013</w:t>
            </w:r>
            <w:r>
              <w:t>: $xx) were impaired. The amount of the provision was $xx (</w:t>
            </w:r>
            <w:r w:rsidR="006864EC">
              <w:t>2013</w:t>
            </w:r>
            <w:r>
              <w:t>: $xx). The individually impaired receivables mainly relate to wholesalers, which are in unexpectedly difficult economic situations. It was assessed that a portion of the receivables is expected to be recovered.</w:t>
            </w:r>
            <w:r w:rsidR="001A35D6">
              <w:t xml:space="preserve"> </w:t>
            </w:r>
            <w:r>
              <w:t xml:space="preserve">There were no impaired receivables for the parent in </w:t>
            </w:r>
            <w:r w:rsidR="006864EC">
              <w:t>2014</w:t>
            </w:r>
            <w:r>
              <w:t xml:space="preserve"> or </w:t>
            </w:r>
            <w:r w:rsidR="006864EC">
              <w:t>2013</w:t>
            </w:r>
            <w:r>
              <w:t>.</w:t>
            </w:r>
          </w:p>
        </w:tc>
      </w:tr>
      <w:tr w:rsidR="00BF5CB8" w14:paraId="038A1E61" w14:textId="77777777" w:rsidTr="00E21378">
        <w:trPr>
          <w:trHeight w:val="181"/>
        </w:trPr>
        <w:tc>
          <w:tcPr>
            <w:tcW w:w="810" w:type="pct"/>
          </w:tcPr>
          <w:p w14:paraId="038A1E5F" w14:textId="77777777" w:rsidR="00BF5CB8" w:rsidRDefault="00BF5CB8" w:rsidP="001A5D4A">
            <w:pPr>
              <w:pStyle w:val="Note-Refs"/>
            </w:pPr>
          </w:p>
        </w:tc>
        <w:tc>
          <w:tcPr>
            <w:tcW w:w="4190" w:type="pct"/>
            <w:gridSpan w:val="6"/>
            <w:vAlign w:val="bottom"/>
          </w:tcPr>
          <w:p w14:paraId="038A1E60" w14:textId="77777777" w:rsidR="00BF5CB8" w:rsidRDefault="00BF5CB8" w:rsidP="001A5D4A">
            <w:pPr>
              <w:pStyle w:val="NotesTable-ItemPlain"/>
              <w:rPr>
                <w:b/>
              </w:rPr>
            </w:pPr>
            <w:r>
              <w:t>The ageing of these receivables is as follows:</w:t>
            </w:r>
          </w:p>
        </w:tc>
      </w:tr>
      <w:tr w:rsidR="006535F9" w14:paraId="038A1E65" w14:textId="77777777" w:rsidTr="00E21378">
        <w:trPr>
          <w:trHeight w:val="181"/>
        </w:trPr>
        <w:tc>
          <w:tcPr>
            <w:tcW w:w="810" w:type="pct"/>
          </w:tcPr>
          <w:p w14:paraId="038A1E62" w14:textId="77777777" w:rsidR="006535F9" w:rsidRDefault="006535F9" w:rsidP="001A5D4A">
            <w:pPr>
              <w:pStyle w:val="Note-Refs"/>
            </w:pPr>
          </w:p>
        </w:tc>
        <w:tc>
          <w:tcPr>
            <w:tcW w:w="2567" w:type="pct"/>
            <w:gridSpan w:val="2"/>
            <w:vAlign w:val="bottom"/>
          </w:tcPr>
          <w:p w14:paraId="3B181CA0" w14:textId="31254762" w:rsidR="006535F9" w:rsidRDefault="006535F9" w:rsidP="001A5D4A">
            <w:pPr>
              <w:pStyle w:val="NotesTable-ItemPlain"/>
            </w:pPr>
          </w:p>
        </w:tc>
        <w:tc>
          <w:tcPr>
            <w:tcW w:w="811" w:type="pct"/>
            <w:gridSpan w:val="2"/>
            <w:vAlign w:val="bottom"/>
          </w:tcPr>
          <w:p w14:paraId="038A1E63" w14:textId="36CF00A0" w:rsidR="006535F9" w:rsidRDefault="006535F9" w:rsidP="001A5D4A">
            <w:pPr>
              <w:pStyle w:val="NotesTable-ItemPlain"/>
            </w:pPr>
            <w:r>
              <w:t>Consolidated</w:t>
            </w:r>
          </w:p>
        </w:tc>
        <w:tc>
          <w:tcPr>
            <w:tcW w:w="811" w:type="pct"/>
            <w:gridSpan w:val="2"/>
          </w:tcPr>
          <w:p w14:paraId="038A1E64" w14:textId="4BDB6BD9" w:rsidR="006535F9" w:rsidRDefault="006535F9" w:rsidP="001A5D4A">
            <w:pPr>
              <w:pStyle w:val="NotesTable-HeadPlain"/>
              <w:rPr>
                <w:b/>
              </w:rPr>
            </w:pPr>
            <w:r>
              <w:t>Parent</w:t>
            </w:r>
          </w:p>
        </w:tc>
      </w:tr>
      <w:tr w:rsidR="006535F9" w14:paraId="038A1E6A" w14:textId="77777777" w:rsidTr="00E21378">
        <w:trPr>
          <w:trHeight w:val="181"/>
        </w:trPr>
        <w:tc>
          <w:tcPr>
            <w:tcW w:w="810" w:type="pct"/>
            <w:vAlign w:val="bottom"/>
          </w:tcPr>
          <w:p w14:paraId="038A1E66" w14:textId="77777777" w:rsidR="006535F9" w:rsidRDefault="006535F9" w:rsidP="001A5D4A">
            <w:pPr>
              <w:pStyle w:val="Note-Refs"/>
            </w:pPr>
          </w:p>
        </w:tc>
        <w:tc>
          <w:tcPr>
            <w:tcW w:w="2567" w:type="pct"/>
            <w:gridSpan w:val="2"/>
            <w:vAlign w:val="bottom"/>
          </w:tcPr>
          <w:p w14:paraId="406550AC" w14:textId="77777777" w:rsidR="006535F9" w:rsidRDefault="006535F9" w:rsidP="001A5D4A">
            <w:pPr>
              <w:pStyle w:val="NotesTable-ItemPlain"/>
            </w:pPr>
          </w:p>
        </w:tc>
        <w:tc>
          <w:tcPr>
            <w:tcW w:w="406" w:type="pct"/>
            <w:vAlign w:val="bottom"/>
          </w:tcPr>
          <w:p w14:paraId="09D4A35D" w14:textId="541A4338" w:rsidR="006535F9" w:rsidRPr="00D83B6C" w:rsidRDefault="006864EC" w:rsidP="001A5D4A">
            <w:pPr>
              <w:pStyle w:val="NotesTable-CellBold"/>
            </w:pPr>
            <w:r>
              <w:t>2014</w:t>
            </w:r>
          </w:p>
        </w:tc>
        <w:tc>
          <w:tcPr>
            <w:tcW w:w="406" w:type="pct"/>
            <w:vAlign w:val="bottom"/>
          </w:tcPr>
          <w:p w14:paraId="038A1E67" w14:textId="0E9198EF" w:rsidR="006535F9" w:rsidRDefault="006864EC" w:rsidP="001A5D4A">
            <w:pPr>
              <w:pStyle w:val="NotesTable-ItemPlain"/>
            </w:pPr>
            <w:r>
              <w:t>2013</w:t>
            </w:r>
          </w:p>
        </w:tc>
        <w:tc>
          <w:tcPr>
            <w:tcW w:w="406" w:type="pct"/>
            <w:vAlign w:val="bottom"/>
          </w:tcPr>
          <w:p w14:paraId="038A1E68" w14:textId="02A4B749" w:rsidR="006535F9" w:rsidRDefault="006864EC" w:rsidP="001A5D4A">
            <w:pPr>
              <w:pStyle w:val="NotesTable-HeadBold"/>
            </w:pPr>
            <w:r>
              <w:t>2014</w:t>
            </w:r>
          </w:p>
        </w:tc>
        <w:tc>
          <w:tcPr>
            <w:tcW w:w="406" w:type="pct"/>
            <w:vAlign w:val="bottom"/>
          </w:tcPr>
          <w:p w14:paraId="038A1E69" w14:textId="04181050" w:rsidR="006535F9" w:rsidRDefault="006864EC" w:rsidP="001A5D4A">
            <w:pPr>
              <w:pStyle w:val="NotesTable-HeadPlain"/>
            </w:pPr>
            <w:r>
              <w:t>2013</w:t>
            </w:r>
          </w:p>
        </w:tc>
      </w:tr>
      <w:tr w:rsidR="006535F9" w14:paraId="038A1E6F" w14:textId="77777777" w:rsidTr="00E21378">
        <w:trPr>
          <w:trHeight w:val="181"/>
        </w:trPr>
        <w:tc>
          <w:tcPr>
            <w:tcW w:w="810" w:type="pct"/>
            <w:vAlign w:val="bottom"/>
          </w:tcPr>
          <w:p w14:paraId="038A1E6B" w14:textId="77777777" w:rsidR="006535F9" w:rsidRDefault="006535F9" w:rsidP="001A5D4A">
            <w:pPr>
              <w:pStyle w:val="Note-Refs"/>
            </w:pPr>
          </w:p>
        </w:tc>
        <w:tc>
          <w:tcPr>
            <w:tcW w:w="2567" w:type="pct"/>
            <w:gridSpan w:val="2"/>
            <w:vAlign w:val="bottom"/>
          </w:tcPr>
          <w:p w14:paraId="319094AE" w14:textId="77777777" w:rsidR="006535F9" w:rsidRDefault="006535F9" w:rsidP="001A5D4A">
            <w:pPr>
              <w:pStyle w:val="NotesTable-ItemPlain"/>
            </w:pPr>
          </w:p>
        </w:tc>
        <w:tc>
          <w:tcPr>
            <w:tcW w:w="406" w:type="pct"/>
            <w:vAlign w:val="bottom"/>
          </w:tcPr>
          <w:p w14:paraId="12A4A91C" w14:textId="5512A263" w:rsidR="006535F9" w:rsidRPr="00D83B6C" w:rsidRDefault="006535F9" w:rsidP="001A5D4A">
            <w:pPr>
              <w:pStyle w:val="NotesTable-CellBold"/>
            </w:pPr>
            <w:r w:rsidRPr="00D83B6C">
              <w:t>$'000</w:t>
            </w:r>
          </w:p>
        </w:tc>
        <w:tc>
          <w:tcPr>
            <w:tcW w:w="406" w:type="pct"/>
            <w:vAlign w:val="bottom"/>
          </w:tcPr>
          <w:p w14:paraId="038A1E6C" w14:textId="46EC9797" w:rsidR="006535F9" w:rsidRDefault="006535F9" w:rsidP="001A5D4A">
            <w:pPr>
              <w:pStyle w:val="NotesTable-ItemPlain"/>
            </w:pPr>
            <w:r>
              <w:t>$'000</w:t>
            </w:r>
          </w:p>
        </w:tc>
        <w:tc>
          <w:tcPr>
            <w:tcW w:w="406" w:type="pct"/>
            <w:vAlign w:val="bottom"/>
          </w:tcPr>
          <w:p w14:paraId="038A1E6D" w14:textId="77777777" w:rsidR="006535F9" w:rsidRDefault="006535F9" w:rsidP="001A5D4A">
            <w:pPr>
              <w:pStyle w:val="NotesTable-HeadBold"/>
            </w:pPr>
            <w:r>
              <w:t>$'000</w:t>
            </w:r>
          </w:p>
        </w:tc>
        <w:tc>
          <w:tcPr>
            <w:tcW w:w="406" w:type="pct"/>
            <w:vAlign w:val="bottom"/>
          </w:tcPr>
          <w:p w14:paraId="038A1E6E" w14:textId="77777777" w:rsidR="006535F9" w:rsidRDefault="006535F9" w:rsidP="001A5D4A">
            <w:pPr>
              <w:pStyle w:val="NotesTable-HeadPlain"/>
            </w:pPr>
            <w:r>
              <w:t>$'000</w:t>
            </w:r>
          </w:p>
        </w:tc>
      </w:tr>
      <w:tr w:rsidR="006535F9" w14:paraId="038A1E74" w14:textId="77777777" w:rsidTr="00E21378">
        <w:trPr>
          <w:trHeight w:val="181"/>
        </w:trPr>
        <w:tc>
          <w:tcPr>
            <w:tcW w:w="810" w:type="pct"/>
          </w:tcPr>
          <w:p w14:paraId="038A1E70" w14:textId="77777777" w:rsidR="006535F9" w:rsidRDefault="006535F9" w:rsidP="001A5D4A">
            <w:pPr>
              <w:pStyle w:val="Note-Refs"/>
            </w:pPr>
          </w:p>
        </w:tc>
        <w:tc>
          <w:tcPr>
            <w:tcW w:w="2567" w:type="pct"/>
            <w:gridSpan w:val="2"/>
            <w:vAlign w:val="bottom"/>
          </w:tcPr>
          <w:p w14:paraId="16EA66CE" w14:textId="4C358F60" w:rsidR="006535F9" w:rsidRDefault="006535F9" w:rsidP="001A5D4A">
            <w:pPr>
              <w:pStyle w:val="NotesTable-ItemPlain"/>
              <w:rPr>
                <w:b/>
              </w:rPr>
            </w:pPr>
            <w:r>
              <w:t>3 to 6 months</w:t>
            </w:r>
          </w:p>
        </w:tc>
        <w:tc>
          <w:tcPr>
            <w:tcW w:w="406" w:type="pct"/>
          </w:tcPr>
          <w:p w14:paraId="3976B388" w14:textId="7D805DB5" w:rsidR="006535F9" w:rsidRPr="00BF2C18" w:rsidRDefault="006535F9" w:rsidP="001A5D4A">
            <w:pPr>
              <w:pStyle w:val="NotesTable-CellBold"/>
            </w:pPr>
            <w:r w:rsidRPr="00BF2C18">
              <w:t>–</w:t>
            </w:r>
          </w:p>
        </w:tc>
        <w:tc>
          <w:tcPr>
            <w:tcW w:w="406" w:type="pct"/>
          </w:tcPr>
          <w:p w14:paraId="038A1E71" w14:textId="4097F180" w:rsidR="006535F9" w:rsidRPr="00BF2C18" w:rsidRDefault="006535F9" w:rsidP="001A5D4A">
            <w:pPr>
              <w:pStyle w:val="NotesTable-CellPlain"/>
            </w:pPr>
            <w:r w:rsidRPr="00BF2C18">
              <w:t>–</w:t>
            </w:r>
          </w:p>
        </w:tc>
        <w:tc>
          <w:tcPr>
            <w:tcW w:w="406" w:type="pct"/>
          </w:tcPr>
          <w:p w14:paraId="038A1E72" w14:textId="77777777" w:rsidR="006535F9" w:rsidRDefault="006535F9" w:rsidP="001A5D4A">
            <w:pPr>
              <w:pStyle w:val="NotesTable-CellBold"/>
              <w:rPr>
                <w:lang w:val="en-GB"/>
              </w:rPr>
            </w:pPr>
            <w:r w:rsidRPr="00227A09">
              <w:t>–</w:t>
            </w:r>
          </w:p>
        </w:tc>
        <w:tc>
          <w:tcPr>
            <w:tcW w:w="406" w:type="pct"/>
          </w:tcPr>
          <w:p w14:paraId="038A1E73" w14:textId="77777777" w:rsidR="006535F9" w:rsidRDefault="006535F9" w:rsidP="001A5D4A">
            <w:pPr>
              <w:pStyle w:val="NotesTable-CellPlain"/>
              <w:rPr>
                <w:lang w:val="en-GB"/>
              </w:rPr>
            </w:pPr>
            <w:r w:rsidRPr="00227A09">
              <w:t>–</w:t>
            </w:r>
          </w:p>
        </w:tc>
      </w:tr>
      <w:tr w:rsidR="006535F9" w14:paraId="038A1E79" w14:textId="77777777" w:rsidTr="00E21378">
        <w:trPr>
          <w:trHeight w:val="181"/>
        </w:trPr>
        <w:tc>
          <w:tcPr>
            <w:tcW w:w="810" w:type="pct"/>
          </w:tcPr>
          <w:p w14:paraId="038A1E75" w14:textId="77777777" w:rsidR="006535F9" w:rsidRDefault="006535F9" w:rsidP="001A5D4A">
            <w:pPr>
              <w:pStyle w:val="Note-Refs"/>
            </w:pPr>
          </w:p>
        </w:tc>
        <w:tc>
          <w:tcPr>
            <w:tcW w:w="2567" w:type="pct"/>
            <w:gridSpan w:val="2"/>
            <w:vAlign w:val="bottom"/>
          </w:tcPr>
          <w:p w14:paraId="00C86A8E" w14:textId="62E3F195" w:rsidR="006535F9" w:rsidRDefault="006535F9" w:rsidP="001A5D4A">
            <w:pPr>
              <w:pStyle w:val="NotesTable-ItemPlain"/>
              <w:rPr>
                <w:b/>
              </w:rPr>
            </w:pPr>
            <w:r>
              <w:t>Over 6 months</w:t>
            </w:r>
          </w:p>
        </w:tc>
        <w:tc>
          <w:tcPr>
            <w:tcW w:w="406" w:type="pct"/>
            <w:tcBorders>
              <w:bottom w:val="single" w:sz="4" w:space="0" w:color="auto"/>
            </w:tcBorders>
          </w:tcPr>
          <w:p w14:paraId="23AC6948" w14:textId="20188203" w:rsidR="006535F9" w:rsidRPr="00BF2C18" w:rsidRDefault="006535F9" w:rsidP="001A5D4A">
            <w:pPr>
              <w:pStyle w:val="NotesTable-CellBold"/>
            </w:pPr>
            <w:r w:rsidRPr="00BF2C18">
              <w:t>–</w:t>
            </w:r>
          </w:p>
        </w:tc>
        <w:tc>
          <w:tcPr>
            <w:tcW w:w="406" w:type="pct"/>
            <w:tcBorders>
              <w:bottom w:val="single" w:sz="4" w:space="0" w:color="auto"/>
            </w:tcBorders>
          </w:tcPr>
          <w:p w14:paraId="038A1E76" w14:textId="67405DA4" w:rsidR="006535F9" w:rsidRPr="00BF2C18" w:rsidRDefault="006535F9" w:rsidP="001A5D4A">
            <w:pPr>
              <w:pStyle w:val="NotesTable-CellPlain"/>
            </w:pPr>
            <w:r w:rsidRPr="00BF2C18">
              <w:t>–</w:t>
            </w:r>
          </w:p>
        </w:tc>
        <w:tc>
          <w:tcPr>
            <w:tcW w:w="406" w:type="pct"/>
            <w:tcBorders>
              <w:bottom w:val="single" w:sz="4" w:space="0" w:color="auto"/>
            </w:tcBorders>
          </w:tcPr>
          <w:p w14:paraId="038A1E77" w14:textId="77777777" w:rsidR="006535F9" w:rsidRPr="00C0248C" w:rsidRDefault="006535F9" w:rsidP="001A5D4A">
            <w:pPr>
              <w:pStyle w:val="NotesTable-CellBold"/>
            </w:pPr>
            <w:r w:rsidRPr="00227A09">
              <w:t>–</w:t>
            </w:r>
          </w:p>
        </w:tc>
        <w:tc>
          <w:tcPr>
            <w:tcW w:w="406" w:type="pct"/>
            <w:tcBorders>
              <w:bottom w:val="single" w:sz="4" w:space="0" w:color="auto"/>
            </w:tcBorders>
          </w:tcPr>
          <w:p w14:paraId="038A1E78" w14:textId="77777777" w:rsidR="006535F9" w:rsidRDefault="006535F9" w:rsidP="001A5D4A">
            <w:pPr>
              <w:pStyle w:val="StyleNotesTable-CellPlainUnderline1"/>
              <w:rPr>
                <w:lang w:val="en-GB"/>
              </w:rPr>
            </w:pPr>
            <w:r w:rsidRPr="00227A09">
              <w:t>–</w:t>
            </w:r>
          </w:p>
        </w:tc>
      </w:tr>
      <w:tr w:rsidR="006535F9" w14:paraId="038A1E7E" w14:textId="77777777" w:rsidTr="00E21378">
        <w:trPr>
          <w:trHeight w:val="181"/>
        </w:trPr>
        <w:tc>
          <w:tcPr>
            <w:tcW w:w="810" w:type="pct"/>
          </w:tcPr>
          <w:p w14:paraId="038A1E7A" w14:textId="77777777" w:rsidR="006535F9" w:rsidRDefault="006535F9" w:rsidP="001A5D4A">
            <w:pPr>
              <w:pStyle w:val="Note-Refs"/>
            </w:pPr>
          </w:p>
        </w:tc>
        <w:tc>
          <w:tcPr>
            <w:tcW w:w="2567" w:type="pct"/>
            <w:gridSpan w:val="2"/>
            <w:vAlign w:val="bottom"/>
          </w:tcPr>
          <w:p w14:paraId="4B37E160" w14:textId="77B57BA9" w:rsidR="006535F9" w:rsidRDefault="006535F9" w:rsidP="001A5D4A">
            <w:pPr>
              <w:pStyle w:val="NotesTable-ItemPlain"/>
              <w:rPr>
                <w:b/>
              </w:rPr>
            </w:pPr>
            <w:r>
              <w:t>Total current impaired receivables</w:t>
            </w:r>
          </w:p>
        </w:tc>
        <w:tc>
          <w:tcPr>
            <w:tcW w:w="406" w:type="pct"/>
            <w:tcBorders>
              <w:top w:val="single" w:sz="4" w:space="0" w:color="auto"/>
            </w:tcBorders>
          </w:tcPr>
          <w:p w14:paraId="39CE076D" w14:textId="2B555165" w:rsidR="006535F9" w:rsidRPr="00BF2C18" w:rsidRDefault="006535F9" w:rsidP="001A5D4A">
            <w:pPr>
              <w:pStyle w:val="NotesTable-CellBold"/>
            </w:pPr>
            <w:r w:rsidRPr="00BF2C18">
              <w:t>–</w:t>
            </w:r>
          </w:p>
        </w:tc>
        <w:tc>
          <w:tcPr>
            <w:tcW w:w="406" w:type="pct"/>
            <w:tcBorders>
              <w:top w:val="single" w:sz="4" w:space="0" w:color="auto"/>
            </w:tcBorders>
          </w:tcPr>
          <w:p w14:paraId="038A1E7B" w14:textId="032049FD" w:rsidR="006535F9" w:rsidRPr="00BF2C18" w:rsidRDefault="006535F9" w:rsidP="001A5D4A">
            <w:pPr>
              <w:pStyle w:val="NotesTable-CellPlain"/>
            </w:pPr>
            <w:r w:rsidRPr="00BF2C18">
              <w:t>–</w:t>
            </w:r>
          </w:p>
        </w:tc>
        <w:tc>
          <w:tcPr>
            <w:tcW w:w="406" w:type="pct"/>
            <w:tcBorders>
              <w:top w:val="single" w:sz="4" w:space="0" w:color="auto"/>
            </w:tcBorders>
          </w:tcPr>
          <w:p w14:paraId="038A1E7C" w14:textId="77777777" w:rsidR="006535F9" w:rsidRPr="00C0248C" w:rsidRDefault="006535F9" w:rsidP="001A5D4A">
            <w:pPr>
              <w:pStyle w:val="NotesTable-CellBold"/>
            </w:pPr>
            <w:r w:rsidRPr="00227A09">
              <w:t>–</w:t>
            </w:r>
          </w:p>
        </w:tc>
        <w:tc>
          <w:tcPr>
            <w:tcW w:w="406" w:type="pct"/>
            <w:tcBorders>
              <w:top w:val="single" w:sz="4" w:space="0" w:color="auto"/>
            </w:tcBorders>
          </w:tcPr>
          <w:p w14:paraId="038A1E7D" w14:textId="77777777" w:rsidR="006535F9" w:rsidRDefault="006535F9" w:rsidP="001A5D4A">
            <w:pPr>
              <w:pStyle w:val="StyleNotesTable-CellPlainUnderline1"/>
              <w:rPr>
                <w:lang w:val="en-GB"/>
              </w:rPr>
            </w:pPr>
            <w:r w:rsidRPr="00227A09">
              <w:t>–</w:t>
            </w:r>
          </w:p>
        </w:tc>
      </w:tr>
      <w:tr w:rsidR="009F7780" w14:paraId="038A1E81" w14:textId="77777777" w:rsidTr="00E21378">
        <w:trPr>
          <w:cantSplit/>
          <w:trHeight w:hRule="exact" w:val="85"/>
        </w:trPr>
        <w:tc>
          <w:tcPr>
            <w:tcW w:w="810" w:type="pct"/>
          </w:tcPr>
          <w:p w14:paraId="038A1E7F" w14:textId="77777777" w:rsidR="009F7780" w:rsidRDefault="009F7780" w:rsidP="001A5D4A">
            <w:pPr>
              <w:pStyle w:val="Note-Refs"/>
            </w:pPr>
          </w:p>
        </w:tc>
        <w:tc>
          <w:tcPr>
            <w:tcW w:w="4190" w:type="pct"/>
            <w:gridSpan w:val="6"/>
            <w:vAlign w:val="bottom"/>
          </w:tcPr>
          <w:p w14:paraId="038A1E80" w14:textId="77777777" w:rsidR="009F7780" w:rsidRDefault="009F7780" w:rsidP="001A5D4A">
            <w:pPr>
              <w:pStyle w:val="NotesTable-ItemPlain"/>
            </w:pPr>
          </w:p>
        </w:tc>
      </w:tr>
      <w:tr w:rsidR="00BF5CB8" w14:paraId="038A1E84" w14:textId="77777777" w:rsidTr="00E21378">
        <w:trPr>
          <w:cantSplit/>
          <w:trHeight w:val="181"/>
        </w:trPr>
        <w:tc>
          <w:tcPr>
            <w:tcW w:w="810" w:type="pct"/>
          </w:tcPr>
          <w:p w14:paraId="038A1E82" w14:textId="77777777" w:rsidR="00BF5CB8" w:rsidRDefault="00BF5CB8" w:rsidP="001A5D4A">
            <w:pPr>
              <w:pStyle w:val="Note-Refs"/>
            </w:pPr>
            <w:r>
              <w:t>AASB7.37a</w:t>
            </w:r>
          </w:p>
        </w:tc>
        <w:tc>
          <w:tcPr>
            <w:tcW w:w="4190" w:type="pct"/>
            <w:gridSpan w:val="6"/>
            <w:vAlign w:val="bottom"/>
          </w:tcPr>
          <w:p w14:paraId="038A1E83" w14:textId="1CF9404E" w:rsidR="00BF5CB8" w:rsidRDefault="00BF5CB8" w:rsidP="001A5D4A">
            <w:pPr>
              <w:pStyle w:val="NotesTable-ItemPlain"/>
              <w:rPr>
                <w:b/>
              </w:rPr>
            </w:pPr>
            <w:r>
              <w:t xml:space="preserve">As of 31 December </w:t>
            </w:r>
            <w:r w:rsidR="006864EC">
              <w:t>2014</w:t>
            </w:r>
            <w:r>
              <w:t>, trade receivables of $xx (</w:t>
            </w:r>
            <w:r w:rsidR="006864EC">
              <w:t>2013</w:t>
            </w:r>
            <w:r>
              <w:t>: $xx) were past due but not impaired. These relate to a number of independent customers for whom there is no recent history of default. The ageing analysis of these receivables is as follows:</w:t>
            </w:r>
          </w:p>
        </w:tc>
      </w:tr>
      <w:tr w:rsidR="006535F9" w14:paraId="038A1E88" w14:textId="77777777" w:rsidTr="00E21378">
        <w:trPr>
          <w:cantSplit/>
          <w:trHeight w:val="181"/>
        </w:trPr>
        <w:tc>
          <w:tcPr>
            <w:tcW w:w="810" w:type="pct"/>
          </w:tcPr>
          <w:p w14:paraId="038A1E85" w14:textId="77777777" w:rsidR="006535F9" w:rsidRDefault="006535F9" w:rsidP="001A5D4A">
            <w:pPr>
              <w:pStyle w:val="Note-Refs"/>
            </w:pPr>
          </w:p>
        </w:tc>
        <w:tc>
          <w:tcPr>
            <w:tcW w:w="2567" w:type="pct"/>
            <w:gridSpan w:val="2"/>
            <w:vAlign w:val="bottom"/>
          </w:tcPr>
          <w:p w14:paraId="13E08FC4" w14:textId="6F926130" w:rsidR="006535F9" w:rsidRDefault="006535F9" w:rsidP="001A5D4A">
            <w:pPr>
              <w:pStyle w:val="NotesTable-ItemPlain"/>
            </w:pPr>
          </w:p>
        </w:tc>
        <w:tc>
          <w:tcPr>
            <w:tcW w:w="811" w:type="pct"/>
            <w:gridSpan w:val="2"/>
            <w:vAlign w:val="bottom"/>
          </w:tcPr>
          <w:p w14:paraId="038A1E86" w14:textId="7A55E8D3" w:rsidR="006535F9" w:rsidRDefault="006535F9" w:rsidP="001A5D4A">
            <w:pPr>
              <w:pStyle w:val="NotesTable-ItemPlain"/>
            </w:pPr>
            <w:r>
              <w:t>Consolidated</w:t>
            </w:r>
          </w:p>
        </w:tc>
        <w:tc>
          <w:tcPr>
            <w:tcW w:w="811" w:type="pct"/>
            <w:gridSpan w:val="2"/>
          </w:tcPr>
          <w:p w14:paraId="038A1E87" w14:textId="27BDFD7B" w:rsidR="006535F9" w:rsidRPr="00D83B6C" w:rsidRDefault="006535F9" w:rsidP="001A5D4A">
            <w:pPr>
              <w:pStyle w:val="NotesTable-HeadPlain"/>
            </w:pPr>
            <w:r w:rsidRPr="00D83B6C">
              <w:t>Parent</w:t>
            </w:r>
          </w:p>
        </w:tc>
      </w:tr>
      <w:tr w:rsidR="006535F9" w14:paraId="038A1E8D" w14:textId="77777777" w:rsidTr="00E21378">
        <w:trPr>
          <w:cantSplit/>
          <w:trHeight w:val="181"/>
        </w:trPr>
        <w:tc>
          <w:tcPr>
            <w:tcW w:w="810" w:type="pct"/>
            <w:vAlign w:val="bottom"/>
          </w:tcPr>
          <w:p w14:paraId="038A1E89" w14:textId="77777777" w:rsidR="006535F9" w:rsidRDefault="006535F9" w:rsidP="001A5D4A">
            <w:pPr>
              <w:pStyle w:val="Note-Refs"/>
            </w:pPr>
          </w:p>
        </w:tc>
        <w:tc>
          <w:tcPr>
            <w:tcW w:w="2567" w:type="pct"/>
            <w:gridSpan w:val="2"/>
            <w:vAlign w:val="bottom"/>
          </w:tcPr>
          <w:p w14:paraId="4ABAF0C0" w14:textId="77777777" w:rsidR="006535F9" w:rsidRDefault="006535F9" w:rsidP="001A5D4A">
            <w:pPr>
              <w:pStyle w:val="NotesTable-ItemPlain"/>
            </w:pPr>
          </w:p>
        </w:tc>
        <w:tc>
          <w:tcPr>
            <w:tcW w:w="406" w:type="pct"/>
            <w:vAlign w:val="bottom"/>
          </w:tcPr>
          <w:p w14:paraId="00B2DCB5" w14:textId="400EF121" w:rsidR="006535F9" w:rsidRPr="0074467D" w:rsidRDefault="006864EC" w:rsidP="001A5D4A">
            <w:pPr>
              <w:pStyle w:val="NotesTable-CellBold"/>
            </w:pPr>
            <w:r>
              <w:t>2014</w:t>
            </w:r>
          </w:p>
        </w:tc>
        <w:tc>
          <w:tcPr>
            <w:tcW w:w="406" w:type="pct"/>
            <w:vAlign w:val="bottom"/>
          </w:tcPr>
          <w:p w14:paraId="038A1E8A" w14:textId="18455D67" w:rsidR="006535F9" w:rsidRDefault="006864EC" w:rsidP="001A5D4A">
            <w:pPr>
              <w:pStyle w:val="NotesTable-ItemPlain"/>
            </w:pPr>
            <w:r>
              <w:t>2013</w:t>
            </w:r>
          </w:p>
        </w:tc>
        <w:tc>
          <w:tcPr>
            <w:tcW w:w="406" w:type="pct"/>
            <w:vAlign w:val="bottom"/>
          </w:tcPr>
          <w:p w14:paraId="038A1E8B" w14:textId="381CE6CD" w:rsidR="006535F9" w:rsidRDefault="006864EC" w:rsidP="001A5D4A">
            <w:pPr>
              <w:pStyle w:val="NotesTable-HeadBold"/>
            </w:pPr>
            <w:r>
              <w:t>2014</w:t>
            </w:r>
          </w:p>
        </w:tc>
        <w:tc>
          <w:tcPr>
            <w:tcW w:w="406" w:type="pct"/>
            <w:vAlign w:val="bottom"/>
          </w:tcPr>
          <w:p w14:paraId="038A1E8C" w14:textId="47CF0AA8" w:rsidR="006535F9" w:rsidRDefault="006864EC" w:rsidP="001A5D4A">
            <w:pPr>
              <w:pStyle w:val="NotesTable-HeadPlain"/>
            </w:pPr>
            <w:r>
              <w:t>2013</w:t>
            </w:r>
          </w:p>
        </w:tc>
      </w:tr>
      <w:tr w:rsidR="006535F9" w14:paraId="038A1E92" w14:textId="77777777" w:rsidTr="00E21378">
        <w:trPr>
          <w:cantSplit/>
          <w:trHeight w:val="181"/>
        </w:trPr>
        <w:tc>
          <w:tcPr>
            <w:tcW w:w="810" w:type="pct"/>
            <w:vAlign w:val="bottom"/>
          </w:tcPr>
          <w:p w14:paraId="038A1E8E" w14:textId="77777777" w:rsidR="006535F9" w:rsidRDefault="006535F9" w:rsidP="001A5D4A">
            <w:pPr>
              <w:pStyle w:val="Note-Refs"/>
            </w:pPr>
          </w:p>
        </w:tc>
        <w:tc>
          <w:tcPr>
            <w:tcW w:w="2567" w:type="pct"/>
            <w:gridSpan w:val="2"/>
            <w:vAlign w:val="bottom"/>
          </w:tcPr>
          <w:p w14:paraId="0B79C876" w14:textId="77777777" w:rsidR="006535F9" w:rsidRDefault="006535F9" w:rsidP="001A5D4A">
            <w:pPr>
              <w:pStyle w:val="NotesTable-ItemPlain"/>
            </w:pPr>
          </w:p>
        </w:tc>
        <w:tc>
          <w:tcPr>
            <w:tcW w:w="406" w:type="pct"/>
            <w:vAlign w:val="bottom"/>
          </w:tcPr>
          <w:p w14:paraId="5A0C0F49" w14:textId="34AACC28" w:rsidR="006535F9" w:rsidRPr="0074467D" w:rsidRDefault="006535F9" w:rsidP="001A5D4A">
            <w:pPr>
              <w:pStyle w:val="NotesTable-CellBold"/>
            </w:pPr>
            <w:r w:rsidRPr="0074467D">
              <w:t>$'000</w:t>
            </w:r>
          </w:p>
        </w:tc>
        <w:tc>
          <w:tcPr>
            <w:tcW w:w="406" w:type="pct"/>
            <w:vAlign w:val="bottom"/>
          </w:tcPr>
          <w:p w14:paraId="038A1E8F" w14:textId="1766E78F" w:rsidR="006535F9" w:rsidRDefault="006535F9" w:rsidP="001A5D4A">
            <w:pPr>
              <w:pStyle w:val="NotesTable-ItemPlain"/>
            </w:pPr>
            <w:r>
              <w:t>$'000</w:t>
            </w:r>
          </w:p>
        </w:tc>
        <w:tc>
          <w:tcPr>
            <w:tcW w:w="406" w:type="pct"/>
            <w:vAlign w:val="bottom"/>
          </w:tcPr>
          <w:p w14:paraId="038A1E90" w14:textId="77777777" w:rsidR="006535F9" w:rsidRDefault="006535F9" w:rsidP="001A5D4A">
            <w:pPr>
              <w:pStyle w:val="NotesTable-HeadBold"/>
            </w:pPr>
            <w:r>
              <w:t>$'000</w:t>
            </w:r>
          </w:p>
        </w:tc>
        <w:tc>
          <w:tcPr>
            <w:tcW w:w="406" w:type="pct"/>
            <w:vAlign w:val="bottom"/>
          </w:tcPr>
          <w:p w14:paraId="038A1E91" w14:textId="77777777" w:rsidR="006535F9" w:rsidRDefault="006535F9" w:rsidP="001A5D4A">
            <w:pPr>
              <w:pStyle w:val="NotesTable-HeadPlain"/>
            </w:pPr>
            <w:r>
              <w:t>$'000</w:t>
            </w:r>
          </w:p>
        </w:tc>
      </w:tr>
      <w:tr w:rsidR="006535F9" w14:paraId="038A1E97" w14:textId="77777777" w:rsidTr="00E21378">
        <w:trPr>
          <w:cantSplit/>
          <w:trHeight w:val="181"/>
        </w:trPr>
        <w:tc>
          <w:tcPr>
            <w:tcW w:w="810" w:type="pct"/>
          </w:tcPr>
          <w:p w14:paraId="038A1E93" w14:textId="77777777" w:rsidR="006535F9" w:rsidRDefault="006535F9" w:rsidP="001A5D4A">
            <w:pPr>
              <w:pStyle w:val="Note-Refs"/>
            </w:pPr>
          </w:p>
        </w:tc>
        <w:tc>
          <w:tcPr>
            <w:tcW w:w="2567" w:type="pct"/>
            <w:gridSpan w:val="2"/>
            <w:vAlign w:val="bottom"/>
          </w:tcPr>
          <w:p w14:paraId="6DB03622" w14:textId="7107B5CD" w:rsidR="006535F9" w:rsidRDefault="006535F9" w:rsidP="001A5D4A">
            <w:pPr>
              <w:pStyle w:val="NotesTable-ItemPlain"/>
              <w:rPr>
                <w:b/>
              </w:rPr>
            </w:pPr>
            <w:r>
              <w:t>3 to 6 months</w:t>
            </w:r>
          </w:p>
        </w:tc>
        <w:tc>
          <w:tcPr>
            <w:tcW w:w="406" w:type="pct"/>
          </w:tcPr>
          <w:p w14:paraId="1C19A480" w14:textId="61CE284C" w:rsidR="006535F9" w:rsidRDefault="006535F9" w:rsidP="001A5D4A">
            <w:pPr>
              <w:pStyle w:val="NotesTable-CellBold"/>
            </w:pPr>
            <w:r w:rsidRPr="005C3FA5">
              <w:t>–</w:t>
            </w:r>
          </w:p>
        </w:tc>
        <w:tc>
          <w:tcPr>
            <w:tcW w:w="406" w:type="pct"/>
          </w:tcPr>
          <w:p w14:paraId="038A1E94" w14:textId="3CECD329" w:rsidR="006535F9" w:rsidRDefault="006535F9" w:rsidP="001A5D4A">
            <w:pPr>
              <w:pStyle w:val="NotesTable-CellPlain"/>
            </w:pPr>
            <w:r w:rsidRPr="005C3FA5">
              <w:t>–</w:t>
            </w:r>
          </w:p>
        </w:tc>
        <w:tc>
          <w:tcPr>
            <w:tcW w:w="406" w:type="pct"/>
          </w:tcPr>
          <w:p w14:paraId="038A1E95" w14:textId="77777777" w:rsidR="006535F9" w:rsidRDefault="006535F9" w:rsidP="001A5D4A">
            <w:pPr>
              <w:pStyle w:val="NotesTable-CellBold"/>
              <w:rPr>
                <w:lang w:val="en-GB"/>
              </w:rPr>
            </w:pPr>
            <w:r w:rsidRPr="005C3FA5">
              <w:t>–</w:t>
            </w:r>
          </w:p>
        </w:tc>
        <w:tc>
          <w:tcPr>
            <w:tcW w:w="406" w:type="pct"/>
          </w:tcPr>
          <w:p w14:paraId="038A1E96" w14:textId="77777777" w:rsidR="006535F9" w:rsidRDefault="006535F9" w:rsidP="001A5D4A">
            <w:pPr>
              <w:pStyle w:val="NotesTable-CellPlain"/>
              <w:rPr>
                <w:lang w:val="en-GB"/>
              </w:rPr>
            </w:pPr>
            <w:r w:rsidRPr="005C3FA5">
              <w:t>–</w:t>
            </w:r>
          </w:p>
        </w:tc>
      </w:tr>
      <w:tr w:rsidR="006535F9" w14:paraId="038A1E9C" w14:textId="77777777" w:rsidTr="00E21378">
        <w:trPr>
          <w:cantSplit/>
          <w:trHeight w:val="181"/>
        </w:trPr>
        <w:tc>
          <w:tcPr>
            <w:tcW w:w="810" w:type="pct"/>
          </w:tcPr>
          <w:p w14:paraId="038A1E98" w14:textId="77777777" w:rsidR="006535F9" w:rsidRDefault="006535F9" w:rsidP="001A5D4A">
            <w:pPr>
              <w:pStyle w:val="Note-Refs"/>
            </w:pPr>
          </w:p>
        </w:tc>
        <w:tc>
          <w:tcPr>
            <w:tcW w:w="2567" w:type="pct"/>
            <w:gridSpan w:val="2"/>
            <w:vAlign w:val="bottom"/>
          </w:tcPr>
          <w:p w14:paraId="622FB4D5" w14:textId="03914992" w:rsidR="006535F9" w:rsidRDefault="006535F9" w:rsidP="001A5D4A">
            <w:pPr>
              <w:pStyle w:val="NotesTable-ItemPlain"/>
              <w:rPr>
                <w:b/>
              </w:rPr>
            </w:pPr>
            <w:r>
              <w:t>Over 6 months</w:t>
            </w:r>
          </w:p>
        </w:tc>
        <w:tc>
          <w:tcPr>
            <w:tcW w:w="406" w:type="pct"/>
            <w:tcBorders>
              <w:bottom w:val="single" w:sz="4" w:space="0" w:color="auto"/>
            </w:tcBorders>
          </w:tcPr>
          <w:p w14:paraId="5B393EF2" w14:textId="646DA6C8" w:rsidR="006535F9" w:rsidRDefault="006535F9" w:rsidP="001A5D4A">
            <w:pPr>
              <w:pStyle w:val="NotesTable-CellBold"/>
            </w:pPr>
            <w:r w:rsidRPr="005C3FA5">
              <w:t>–</w:t>
            </w:r>
          </w:p>
        </w:tc>
        <w:tc>
          <w:tcPr>
            <w:tcW w:w="406" w:type="pct"/>
            <w:tcBorders>
              <w:bottom w:val="single" w:sz="4" w:space="0" w:color="auto"/>
            </w:tcBorders>
          </w:tcPr>
          <w:p w14:paraId="038A1E99" w14:textId="5DA42D28" w:rsidR="006535F9" w:rsidRDefault="006535F9" w:rsidP="001A5D4A">
            <w:pPr>
              <w:pStyle w:val="NotesTable-CellPlain"/>
            </w:pPr>
            <w:r w:rsidRPr="005C3FA5">
              <w:t>–</w:t>
            </w:r>
          </w:p>
        </w:tc>
        <w:tc>
          <w:tcPr>
            <w:tcW w:w="406" w:type="pct"/>
            <w:tcBorders>
              <w:bottom w:val="single" w:sz="4" w:space="0" w:color="auto"/>
            </w:tcBorders>
          </w:tcPr>
          <w:p w14:paraId="038A1E9A" w14:textId="77777777" w:rsidR="006535F9" w:rsidRPr="00C0248C" w:rsidRDefault="006535F9" w:rsidP="001A5D4A">
            <w:pPr>
              <w:pStyle w:val="NotesTable-CellBold"/>
            </w:pPr>
            <w:r w:rsidRPr="005C3FA5">
              <w:t>–</w:t>
            </w:r>
          </w:p>
        </w:tc>
        <w:tc>
          <w:tcPr>
            <w:tcW w:w="406" w:type="pct"/>
            <w:tcBorders>
              <w:bottom w:val="single" w:sz="4" w:space="0" w:color="auto"/>
            </w:tcBorders>
          </w:tcPr>
          <w:p w14:paraId="038A1E9B" w14:textId="77777777" w:rsidR="006535F9" w:rsidRDefault="006535F9" w:rsidP="001A5D4A">
            <w:pPr>
              <w:pStyle w:val="StyleNotesTable-CellPlainUnderline1"/>
              <w:rPr>
                <w:lang w:val="en-GB"/>
              </w:rPr>
            </w:pPr>
            <w:r w:rsidRPr="005C3FA5">
              <w:t>–</w:t>
            </w:r>
          </w:p>
        </w:tc>
      </w:tr>
      <w:tr w:rsidR="006535F9" w14:paraId="038A1EA1" w14:textId="77777777" w:rsidTr="00E21378">
        <w:trPr>
          <w:cantSplit/>
          <w:trHeight w:val="181"/>
        </w:trPr>
        <w:tc>
          <w:tcPr>
            <w:tcW w:w="810" w:type="pct"/>
          </w:tcPr>
          <w:p w14:paraId="038A1E9D" w14:textId="77777777" w:rsidR="006535F9" w:rsidRDefault="006535F9" w:rsidP="001A5D4A">
            <w:pPr>
              <w:pStyle w:val="Note-Refs"/>
            </w:pPr>
          </w:p>
        </w:tc>
        <w:tc>
          <w:tcPr>
            <w:tcW w:w="2567" w:type="pct"/>
            <w:gridSpan w:val="2"/>
            <w:vAlign w:val="bottom"/>
          </w:tcPr>
          <w:p w14:paraId="7E3EB60A" w14:textId="40C3828B" w:rsidR="006535F9" w:rsidRDefault="006535F9" w:rsidP="001A5D4A">
            <w:pPr>
              <w:pStyle w:val="NotesTable-ItemPlain"/>
              <w:rPr>
                <w:b/>
              </w:rPr>
            </w:pPr>
            <w:r>
              <w:t xml:space="preserve">Total </w:t>
            </w:r>
            <w:r w:rsidR="00BF2C18">
              <w:t xml:space="preserve">past due but not impaired </w:t>
            </w:r>
            <w:r>
              <w:t>trade receivables</w:t>
            </w:r>
          </w:p>
        </w:tc>
        <w:tc>
          <w:tcPr>
            <w:tcW w:w="406" w:type="pct"/>
            <w:tcBorders>
              <w:top w:val="single" w:sz="4" w:space="0" w:color="auto"/>
            </w:tcBorders>
          </w:tcPr>
          <w:p w14:paraId="46DAA554" w14:textId="7E6543F3" w:rsidR="006535F9" w:rsidRDefault="006535F9" w:rsidP="001A5D4A">
            <w:pPr>
              <w:pStyle w:val="NotesTable-CellBold"/>
            </w:pPr>
            <w:r w:rsidRPr="005C3FA5">
              <w:t>–</w:t>
            </w:r>
          </w:p>
        </w:tc>
        <w:tc>
          <w:tcPr>
            <w:tcW w:w="406" w:type="pct"/>
            <w:tcBorders>
              <w:top w:val="single" w:sz="4" w:space="0" w:color="auto"/>
            </w:tcBorders>
          </w:tcPr>
          <w:p w14:paraId="038A1E9E" w14:textId="0DECBB1D" w:rsidR="006535F9" w:rsidRDefault="006535F9" w:rsidP="001A5D4A">
            <w:pPr>
              <w:pStyle w:val="NotesTable-CellPlain"/>
            </w:pPr>
            <w:r w:rsidRPr="005C3FA5">
              <w:t>–</w:t>
            </w:r>
          </w:p>
        </w:tc>
        <w:tc>
          <w:tcPr>
            <w:tcW w:w="406" w:type="pct"/>
            <w:tcBorders>
              <w:top w:val="single" w:sz="4" w:space="0" w:color="auto"/>
            </w:tcBorders>
          </w:tcPr>
          <w:p w14:paraId="038A1E9F" w14:textId="77777777" w:rsidR="006535F9" w:rsidRPr="00C0248C" w:rsidRDefault="006535F9" w:rsidP="001A5D4A">
            <w:pPr>
              <w:pStyle w:val="NotesTable-CellBold"/>
            </w:pPr>
            <w:r w:rsidRPr="005C3FA5">
              <w:t>–</w:t>
            </w:r>
          </w:p>
        </w:tc>
        <w:tc>
          <w:tcPr>
            <w:tcW w:w="406" w:type="pct"/>
            <w:tcBorders>
              <w:top w:val="single" w:sz="4" w:space="0" w:color="auto"/>
            </w:tcBorders>
          </w:tcPr>
          <w:p w14:paraId="038A1EA0" w14:textId="77777777" w:rsidR="006535F9" w:rsidRDefault="006535F9" w:rsidP="001A5D4A">
            <w:pPr>
              <w:pStyle w:val="StyleNotesTable-CellPlainUnderline1"/>
              <w:rPr>
                <w:lang w:val="en-GB"/>
              </w:rPr>
            </w:pPr>
            <w:r w:rsidRPr="005C3FA5">
              <w:t>–</w:t>
            </w:r>
          </w:p>
        </w:tc>
      </w:tr>
    </w:tbl>
    <w:p w14:paraId="038A1EA2" w14:textId="77777777" w:rsidR="001B6B14" w:rsidRPr="001B4E7B" w:rsidRDefault="001B6B14" w:rsidP="001A5D4A">
      <w:r w:rsidRPr="001B4E7B">
        <w:br w:type="page"/>
      </w:r>
    </w:p>
    <w:tbl>
      <w:tblPr>
        <w:tblW w:w="5000" w:type="pct"/>
        <w:tblCellMar>
          <w:left w:w="0" w:type="dxa"/>
          <w:right w:w="0" w:type="dxa"/>
        </w:tblCellMar>
        <w:tblLook w:val="0000" w:firstRow="0" w:lastRow="0" w:firstColumn="0" w:lastColumn="0" w:noHBand="0" w:noVBand="0"/>
      </w:tblPr>
      <w:tblGrid>
        <w:gridCol w:w="1581"/>
        <w:gridCol w:w="5008"/>
        <w:gridCol w:w="790"/>
        <w:gridCol w:w="790"/>
        <w:gridCol w:w="790"/>
        <w:gridCol w:w="792"/>
      </w:tblGrid>
      <w:tr w:rsidR="00B410E2" w14:paraId="33F6E88E" w14:textId="77777777" w:rsidTr="00B410E2">
        <w:trPr>
          <w:trHeight w:val="181"/>
        </w:trPr>
        <w:tc>
          <w:tcPr>
            <w:tcW w:w="5000" w:type="pct"/>
            <w:gridSpan w:val="6"/>
          </w:tcPr>
          <w:p w14:paraId="5BB7C469" w14:textId="3E4D0851" w:rsidR="00B410E2" w:rsidRPr="00BF2C18" w:rsidRDefault="00AE7A0B" w:rsidP="00AE7A0B">
            <w:pPr>
              <w:pStyle w:val="TOC3"/>
              <w:ind w:left="0"/>
            </w:pPr>
            <w:r>
              <w:lastRenderedPageBreak/>
              <w:t>Note 19. Receivables (continued)</w:t>
            </w:r>
          </w:p>
        </w:tc>
      </w:tr>
      <w:tr w:rsidR="00C15DFC" w14:paraId="038A1EAB" w14:textId="77777777" w:rsidTr="00E21378">
        <w:trPr>
          <w:trHeight w:val="181"/>
        </w:trPr>
        <w:tc>
          <w:tcPr>
            <w:tcW w:w="811" w:type="pct"/>
          </w:tcPr>
          <w:p w14:paraId="038A1EA9" w14:textId="2773DB00" w:rsidR="00023312" w:rsidRDefault="00023312" w:rsidP="001A5D4A">
            <w:pPr>
              <w:pStyle w:val="Note-Refs"/>
            </w:pPr>
            <w:r>
              <w:t>AASB7</w:t>
            </w:r>
            <w:r w:rsidR="00592F25">
              <w:t>.</w:t>
            </w:r>
            <w:r>
              <w:t>16</w:t>
            </w:r>
          </w:p>
        </w:tc>
        <w:tc>
          <w:tcPr>
            <w:tcW w:w="4189" w:type="pct"/>
            <w:gridSpan w:val="5"/>
            <w:vAlign w:val="bottom"/>
          </w:tcPr>
          <w:p w14:paraId="038A1EAA" w14:textId="77777777" w:rsidR="00023312" w:rsidRPr="00E47831" w:rsidRDefault="00023312" w:rsidP="001A5D4A">
            <w:pPr>
              <w:pStyle w:val="NotesTable-ItemPlain"/>
            </w:pPr>
            <w:r w:rsidRPr="00BF2C18">
              <w:t>Movements in the provision for impaired receivables are as follows:</w:t>
            </w:r>
          </w:p>
        </w:tc>
      </w:tr>
      <w:tr w:rsidR="0032318D" w14:paraId="038A1EAF" w14:textId="77777777" w:rsidTr="00E21378">
        <w:trPr>
          <w:trHeight w:val="181"/>
        </w:trPr>
        <w:tc>
          <w:tcPr>
            <w:tcW w:w="811" w:type="pct"/>
          </w:tcPr>
          <w:p w14:paraId="038A1EAC" w14:textId="77777777" w:rsidR="0032318D" w:rsidRDefault="0032318D" w:rsidP="001A5D4A">
            <w:pPr>
              <w:pStyle w:val="Note-Refs"/>
            </w:pPr>
          </w:p>
        </w:tc>
        <w:tc>
          <w:tcPr>
            <w:tcW w:w="2568" w:type="pct"/>
            <w:vAlign w:val="bottom"/>
          </w:tcPr>
          <w:p w14:paraId="31003973" w14:textId="2A842510" w:rsidR="0032318D" w:rsidRDefault="0032318D" w:rsidP="001A5D4A">
            <w:pPr>
              <w:pStyle w:val="NotesTable-ItemPlain"/>
            </w:pPr>
          </w:p>
        </w:tc>
        <w:tc>
          <w:tcPr>
            <w:tcW w:w="810" w:type="pct"/>
            <w:gridSpan w:val="2"/>
          </w:tcPr>
          <w:p w14:paraId="038A1EAD" w14:textId="478756A7" w:rsidR="0032318D" w:rsidRDefault="0032318D" w:rsidP="001A5D4A">
            <w:pPr>
              <w:pStyle w:val="NotesTable-ItemPlain"/>
            </w:pPr>
            <w:r>
              <w:t>Consolidated</w:t>
            </w:r>
          </w:p>
        </w:tc>
        <w:tc>
          <w:tcPr>
            <w:tcW w:w="811" w:type="pct"/>
            <w:gridSpan w:val="2"/>
          </w:tcPr>
          <w:p w14:paraId="038A1EAE" w14:textId="4174E822" w:rsidR="0032318D" w:rsidRDefault="0032318D" w:rsidP="001A5D4A">
            <w:pPr>
              <w:pStyle w:val="NotesTable-HeadPlain"/>
              <w:rPr>
                <w:b/>
              </w:rPr>
            </w:pPr>
            <w:r>
              <w:t>Parent</w:t>
            </w:r>
          </w:p>
        </w:tc>
      </w:tr>
      <w:tr w:rsidR="0032318D" w14:paraId="038A1EB4" w14:textId="77777777" w:rsidTr="00E21378">
        <w:trPr>
          <w:trHeight w:val="181"/>
        </w:trPr>
        <w:tc>
          <w:tcPr>
            <w:tcW w:w="811" w:type="pct"/>
            <w:vAlign w:val="bottom"/>
          </w:tcPr>
          <w:p w14:paraId="038A1EB0" w14:textId="77777777" w:rsidR="0032318D" w:rsidRDefault="0032318D" w:rsidP="001A5D4A">
            <w:pPr>
              <w:pStyle w:val="Note-Refs"/>
            </w:pPr>
          </w:p>
        </w:tc>
        <w:tc>
          <w:tcPr>
            <w:tcW w:w="2568" w:type="pct"/>
            <w:vAlign w:val="bottom"/>
          </w:tcPr>
          <w:p w14:paraId="62CBB59E" w14:textId="77777777" w:rsidR="0032318D" w:rsidRDefault="0032318D" w:rsidP="001A5D4A">
            <w:pPr>
              <w:pStyle w:val="NotesTable-ItemPlain"/>
            </w:pPr>
          </w:p>
        </w:tc>
        <w:tc>
          <w:tcPr>
            <w:tcW w:w="405" w:type="pct"/>
            <w:vAlign w:val="bottom"/>
          </w:tcPr>
          <w:p w14:paraId="3C034F22" w14:textId="6CD8B41B" w:rsidR="0032318D" w:rsidRPr="0074467D" w:rsidRDefault="006864EC" w:rsidP="001A5D4A">
            <w:pPr>
              <w:pStyle w:val="NotesTable-HeadBold"/>
            </w:pPr>
            <w:r>
              <w:t>2014</w:t>
            </w:r>
          </w:p>
        </w:tc>
        <w:tc>
          <w:tcPr>
            <w:tcW w:w="405" w:type="pct"/>
            <w:vAlign w:val="bottom"/>
          </w:tcPr>
          <w:p w14:paraId="038A1EB1" w14:textId="22A553F0" w:rsidR="0032318D" w:rsidRDefault="006864EC" w:rsidP="001A5D4A">
            <w:pPr>
              <w:pStyle w:val="NotesTable-ItemPlain"/>
            </w:pPr>
            <w:r>
              <w:t>201</w:t>
            </w:r>
            <w:r w:rsidR="00ED1FCD">
              <w:t>3</w:t>
            </w:r>
          </w:p>
        </w:tc>
        <w:tc>
          <w:tcPr>
            <w:tcW w:w="405" w:type="pct"/>
            <w:vAlign w:val="bottom"/>
          </w:tcPr>
          <w:p w14:paraId="038A1EB2" w14:textId="3740D290" w:rsidR="0032318D" w:rsidRDefault="006864EC" w:rsidP="001A5D4A">
            <w:pPr>
              <w:pStyle w:val="NotesTable-HeadBold"/>
            </w:pPr>
            <w:r>
              <w:t>2014</w:t>
            </w:r>
          </w:p>
        </w:tc>
        <w:tc>
          <w:tcPr>
            <w:tcW w:w="406" w:type="pct"/>
            <w:vAlign w:val="bottom"/>
          </w:tcPr>
          <w:p w14:paraId="038A1EB3" w14:textId="4CDABE5F" w:rsidR="0032318D" w:rsidRDefault="006864EC" w:rsidP="001A5D4A">
            <w:pPr>
              <w:pStyle w:val="NotesTable-HeadPlain"/>
            </w:pPr>
            <w:r>
              <w:t>2013</w:t>
            </w:r>
          </w:p>
        </w:tc>
      </w:tr>
      <w:tr w:rsidR="0032318D" w14:paraId="038A1EB9" w14:textId="77777777" w:rsidTr="00E21378">
        <w:trPr>
          <w:trHeight w:val="181"/>
        </w:trPr>
        <w:tc>
          <w:tcPr>
            <w:tcW w:w="811" w:type="pct"/>
            <w:vAlign w:val="bottom"/>
          </w:tcPr>
          <w:p w14:paraId="038A1EB5" w14:textId="77777777" w:rsidR="0032318D" w:rsidRDefault="0032318D" w:rsidP="001A5D4A">
            <w:pPr>
              <w:pStyle w:val="Note-Refs"/>
            </w:pPr>
          </w:p>
        </w:tc>
        <w:tc>
          <w:tcPr>
            <w:tcW w:w="2568" w:type="pct"/>
            <w:vAlign w:val="bottom"/>
          </w:tcPr>
          <w:p w14:paraId="78C48A1F" w14:textId="77777777" w:rsidR="0032318D" w:rsidRDefault="0032318D" w:rsidP="001A5D4A">
            <w:pPr>
              <w:pStyle w:val="NotesTable-ItemPlain"/>
            </w:pPr>
          </w:p>
        </w:tc>
        <w:tc>
          <w:tcPr>
            <w:tcW w:w="405" w:type="pct"/>
            <w:vAlign w:val="bottom"/>
          </w:tcPr>
          <w:p w14:paraId="26F3CBF6" w14:textId="54CC33EF" w:rsidR="0032318D" w:rsidRPr="0074467D" w:rsidRDefault="0032318D" w:rsidP="001A5D4A">
            <w:pPr>
              <w:pStyle w:val="NotesTable-HeadBold"/>
            </w:pPr>
            <w:r w:rsidRPr="0074467D">
              <w:t>$'000</w:t>
            </w:r>
          </w:p>
        </w:tc>
        <w:tc>
          <w:tcPr>
            <w:tcW w:w="405" w:type="pct"/>
            <w:vAlign w:val="bottom"/>
          </w:tcPr>
          <w:p w14:paraId="038A1EB6" w14:textId="2446065A" w:rsidR="0032318D" w:rsidRDefault="0032318D" w:rsidP="001A5D4A">
            <w:pPr>
              <w:pStyle w:val="NotesTable-ItemPlain"/>
            </w:pPr>
            <w:r>
              <w:t>$'000</w:t>
            </w:r>
          </w:p>
        </w:tc>
        <w:tc>
          <w:tcPr>
            <w:tcW w:w="405" w:type="pct"/>
            <w:vAlign w:val="bottom"/>
          </w:tcPr>
          <w:p w14:paraId="038A1EB7" w14:textId="77777777" w:rsidR="0032318D" w:rsidRDefault="0032318D" w:rsidP="001A5D4A">
            <w:pPr>
              <w:pStyle w:val="NotesTable-HeadBold"/>
            </w:pPr>
            <w:r>
              <w:t>$'000</w:t>
            </w:r>
          </w:p>
        </w:tc>
        <w:tc>
          <w:tcPr>
            <w:tcW w:w="406" w:type="pct"/>
            <w:vAlign w:val="bottom"/>
          </w:tcPr>
          <w:p w14:paraId="038A1EB8" w14:textId="77777777" w:rsidR="0032318D" w:rsidRDefault="0032318D" w:rsidP="001A5D4A">
            <w:pPr>
              <w:pStyle w:val="NotesTable-HeadPlain"/>
            </w:pPr>
            <w:r>
              <w:t>$'000</w:t>
            </w:r>
          </w:p>
        </w:tc>
      </w:tr>
      <w:tr w:rsidR="0032318D" w14:paraId="038A1EBE" w14:textId="77777777" w:rsidTr="00E21378">
        <w:trPr>
          <w:trHeight w:val="181"/>
        </w:trPr>
        <w:tc>
          <w:tcPr>
            <w:tcW w:w="811" w:type="pct"/>
          </w:tcPr>
          <w:p w14:paraId="038A1EBA" w14:textId="77777777" w:rsidR="0032318D" w:rsidRDefault="0032318D" w:rsidP="001A5D4A">
            <w:pPr>
              <w:pStyle w:val="Note-Refs"/>
            </w:pPr>
          </w:p>
        </w:tc>
        <w:tc>
          <w:tcPr>
            <w:tcW w:w="2568" w:type="pct"/>
            <w:vAlign w:val="bottom"/>
          </w:tcPr>
          <w:p w14:paraId="26A21269" w14:textId="03B142CC" w:rsidR="0032318D" w:rsidRPr="004F52B1" w:rsidRDefault="0032318D" w:rsidP="001A5D4A">
            <w:pPr>
              <w:pStyle w:val="NotesTable-ItemPlain"/>
            </w:pPr>
            <w:r>
              <w:t xml:space="preserve">At 1 January </w:t>
            </w:r>
          </w:p>
          <w:p w14:paraId="21FE54A2" w14:textId="32A9200F" w:rsidR="0032318D" w:rsidRDefault="0032318D" w:rsidP="001A5D4A">
            <w:pPr>
              <w:pStyle w:val="NotesTable-ItemPlain"/>
              <w:rPr>
                <w:b/>
              </w:rPr>
            </w:pPr>
            <w:r>
              <w:t>Provision for impairment</w:t>
            </w:r>
          </w:p>
        </w:tc>
        <w:tc>
          <w:tcPr>
            <w:tcW w:w="405" w:type="pct"/>
          </w:tcPr>
          <w:p w14:paraId="3501818D" w14:textId="38F12BD2" w:rsidR="0032318D" w:rsidRPr="00ED1FCD" w:rsidRDefault="0032318D" w:rsidP="001A5D4A">
            <w:pPr>
              <w:pStyle w:val="NotesTable-CellBold"/>
            </w:pPr>
            <w:r w:rsidRPr="00ED1FCD">
              <w:t>–</w:t>
            </w:r>
          </w:p>
        </w:tc>
        <w:tc>
          <w:tcPr>
            <w:tcW w:w="405" w:type="pct"/>
          </w:tcPr>
          <w:p w14:paraId="038A1EBB" w14:textId="2D6E6C42" w:rsidR="0032318D" w:rsidRDefault="0032318D" w:rsidP="001A5D4A">
            <w:pPr>
              <w:pStyle w:val="NotesTable-CellPlain"/>
            </w:pPr>
            <w:r w:rsidRPr="00F15DF1">
              <w:t>–</w:t>
            </w:r>
          </w:p>
        </w:tc>
        <w:tc>
          <w:tcPr>
            <w:tcW w:w="405" w:type="pct"/>
          </w:tcPr>
          <w:p w14:paraId="038A1EBC" w14:textId="77777777" w:rsidR="0032318D" w:rsidRDefault="0032318D" w:rsidP="001A5D4A">
            <w:pPr>
              <w:pStyle w:val="NotesTable-CellBold"/>
              <w:rPr>
                <w:lang w:val="en-GB"/>
              </w:rPr>
            </w:pPr>
            <w:r w:rsidRPr="00F15DF1">
              <w:t>–</w:t>
            </w:r>
          </w:p>
        </w:tc>
        <w:tc>
          <w:tcPr>
            <w:tcW w:w="406" w:type="pct"/>
          </w:tcPr>
          <w:p w14:paraId="038A1EBD" w14:textId="77777777" w:rsidR="0032318D" w:rsidRDefault="0032318D" w:rsidP="001A5D4A">
            <w:pPr>
              <w:pStyle w:val="NotesTable-CellPlain"/>
            </w:pPr>
            <w:r w:rsidRPr="00F15DF1">
              <w:t>–</w:t>
            </w:r>
          </w:p>
        </w:tc>
      </w:tr>
      <w:tr w:rsidR="0032318D" w14:paraId="038A1EC3" w14:textId="77777777" w:rsidTr="00E21378">
        <w:trPr>
          <w:trHeight w:val="181"/>
        </w:trPr>
        <w:tc>
          <w:tcPr>
            <w:tcW w:w="811" w:type="pct"/>
          </w:tcPr>
          <w:p w14:paraId="038A1EBF" w14:textId="77777777" w:rsidR="0032318D" w:rsidRDefault="0032318D" w:rsidP="001A5D4A">
            <w:pPr>
              <w:pStyle w:val="Note-Refs"/>
              <w:rPr>
                <w:b/>
              </w:rPr>
            </w:pPr>
            <w:r>
              <w:t>AASB7.20e</w:t>
            </w:r>
          </w:p>
        </w:tc>
        <w:tc>
          <w:tcPr>
            <w:tcW w:w="2568" w:type="pct"/>
            <w:vAlign w:val="bottom"/>
          </w:tcPr>
          <w:p w14:paraId="1D79F7F9" w14:textId="69D4BA15" w:rsidR="0032318D" w:rsidRDefault="0032318D" w:rsidP="001A5D4A">
            <w:pPr>
              <w:pStyle w:val="NotesTable-ItemPlain"/>
              <w:rPr>
                <w:b/>
              </w:rPr>
            </w:pPr>
            <w:r>
              <w:t>Provision for impairment recognised during the year</w:t>
            </w:r>
          </w:p>
        </w:tc>
        <w:tc>
          <w:tcPr>
            <w:tcW w:w="405" w:type="pct"/>
          </w:tcPr>
          <w:p w14:paraId="6B2ADDCD" w14:textId="4E456FB0" w:rsidR="0032318D" w:rsidRPr="00ED1FCD" w:rsidRDefault="0032318D" w:rsidP="001A5D4A">
            <w:pPr>
              <w:pStyle w:val="NotesTable-CellBold"/>
            </w:pPr>
            <w:r w:rsidRPr="00ED1FCD">
              <w:t>–</w:t>
            </w:r>
          </w:p>
        </w:tc>
        <w:tc>
          <w:tcPr>
            <w:tcW w:w="405" w:type="pct"/>
          </w:tcPr>
          <w:p w14:paraId="038A1EC0" w14:textId="58DAA175" w:rsidR="0032318D" w:rsidRDefault="0032318D" w:rsidP="001A5D4A">
            <w:pPr>
              <w:pStyle w:val="NotesTable-CellPlain"/>
            </w:pPr>
            <w:r w:rsidRPr="00F15DF1">
              <w:t>–</w:t>
            </w:r>
          </w:p>
        </w:tc>
        <w:tc>
          <w:tcPr>
            <w:tcW w:w="405" w:type="pct"/>
          </w:tcPr>
          <w:p w14:paraId="038A1EC1" w14:textId="5670DC45" w:rsidR="0032318D" w:rsidRDefault="0032318D" w:rsidP="001A5D4A">
            <w:pPr>
              <w:pStyle w:val="NotesTable-CellBold"/>
            </w:pPr>
            <w:r w:rsidRPr="00F15DF1">
              <w:t>–</w:t>
            </w:r>
          </w:p>
        </w:tc>
        <w:tc>
          <w:tcPr>
            <w:tcW w:w="406" w:type="pct"/>
          </w:tcPr>
          <w:p w14:paraId="038A1EC2" w14:textId="7823B1BF" w:rsidR="0032318D" w:rsidRDefault="0032318D" w:rsidP="001A5D4A">
            <w:pPr>
              <w:pStyle w:val="NotesTable-CellPlain"/>
            </w:pPr>
            <w:r w:rsidRPr="00F15DF1">
              <w:t>–</w:t>
            </w:r>
          </w:p>
        </w:tc>
      </w:tr>
      <w:tr w:rsidR="0032318D" w14:paraId="038A1EC8" w14:textId="77777777" w:rsidTr="00E21378">
        <w:trPr>
          <w:trHeight w:val="181"/>
        </w:trPr>
        <w:tc>
          <w:tcPr>
            <w:tcW w:w="811" w:type="pct"/>
          </w:tcPr>
          <w:p w14:paraId="038A1EC4" w14:textId="77777777" w:rsidR="0032318D" w:rsidRDefault="0032318D" w:rsidP="001A5D4A">
            <w:pPr>
              <w:pStyle w:val="Note-Refs"/>
            </w:pPr>
          </w:p>
        </w:tc>
        <w:tc>
          <w:tcPr>
            <w:tcW w:w="2568" w:type="pct"/>
            <w:vAlign w:val="bottom"/>
          </w:tcPr>
          <w:p w14:paraId="7B9FAF31" w14:textId="20F3A3D4" w:rsidR="0032318D" w:rsidRDefault="0032318D" w:rsidP="001A5D4A">
            <w:pPr>
              <w:pStyle w:val="NotesTable-ItemPlain"/>
              <w:rPr>
                <w:b/>
              </w:rPr>
            </w:pPr>
            <w:r>
              <w:t>Receivables written off during the year as uncollectible</w:t>
            </w:r>
          </w:p>
        </w:tc>
        <w:tc>
          <w:tcPr>
            <w:tcW w:w="405" w:type="pct"/>
          </w:tcPr>
          <w:p w14:paraId="3810F44C" w14:textId="172AE285" w:rsidR="0032318D" w:rsidRPr="00ED1FCD" w:rsidRDefault="0032318D" w:rsidP="001A5D4A">
            <w:pPr>
              <w:pStyle w:val="NotesTable-CellBold"/>
            </w:pPr>
            <w:r w:rsidRPr="00ED1FCD">
              <w:t>–</w:t>
            </w:r>
          </w:p>
        </w:tc>
        <w:tc>
          <w:tcPr>
            <w:tcW w:w="405" w:type="pct"/>
          </w:tcPr>
          <w:p w14:paraId="038A1EC5" w14:textId="003BF759" w:rsidR="0032318D" w:rsidRDefault="0032318D" w:rsidP="001A5D4A">
            <w:pPr>
              <w:pStyle w:val="NotesTable-CellPlain"/>
            </w:pPr>
            <w:r w:rsidRPr="002E30F2">
              <w:t>–</w:t>
            </w:r>
          </w:p>
        </w:tc>
        <w:tc>
          <w:tcPr>
            <w:tcW w:w="405" w:type="pct"/>
          </w:tcPr>
          <w:p w14:paraId="038A1EC6" w14:textId="77777777" w:rsidR="0032318D" w:rsidRDefault="0032318D" w:rsidP="001A5D4A">
            <w:pPr>
              <w:pStyle w:val="NotesTable-CellBold"/>
              <w:rPr>
                <w:lang w:val="en-GB"/>
              </w:rPr>
            </w:pPr>
            <w:r w:rsidRPr="002E30F2">
              <w:t>–</w:t>
            </w:r>
          </w:p>
        </w:tc>
        <w:tc>
          <w:tcPr>
            <w:tcW w:w="406" w:type="pct"/>
          </w:tcPr>
          <w:p w14:paraId="038A1EC7" w14:textId="77777777" w:rsidR="0032318D" w:rsidRDefault="0032318D" w:rsidP="001A5D4A">
            <w:pPr>
              <w:pStyle w:val="NotesTable-CellPlain"/>
              <w:rPr>
                <w:b/>
              </w:rPr>
            </w:pPr>
            <w:r w:rsidRPr="002E30F2">
              <w:t>–</w:t>
            </w:r>
          </w:p>
        </w:tc>
      </w:tr>
      <w:tr w:rsidR="0032318D" w14:paraId="038A1ECD" w14:textId="77777777" w:rsidTr="00E21378">
        <w:trPr>
          <w:trHeight w:val="181"/>
        </w:trPr>
        <w:tc>
          <w:tcPr>
            <w:tcW w:w="811" w:type="pct"/>
          </w:tcPr>
          <w:p w14:paraId="038A1EC9" w14:textId="77777777" w:rsidR="0032318D" w:rsidRDefault="0032318D" w:rsidP="001A5D4A">
            <w:pPr>
              <w:pStyle w:val="Note-Refs"/>
            </w:pPr>
          </w:p>
        </w:tc>
        <w:tc>
          <w:tcPr>
            <w:tcW w:w="2568" w:type="pct"/>
            <w:vAlign w:val="bottom"/>
          </w:tcPr>
          <w:p w14:paraId="71F0D1F0" w14:textId="3DE0BA95" w:rsidR="0032318D" w:rsidRDefault="0032318D" w:rsidP="001A5D4A">
            <w:pPr>
              <w:pStyle w:val="NotesTable-ItemPlain"/>
              <w:rPr>
                <w:b/>
              </w:rPr>
            </w:pPr>
            <w:r w:rsidRPr="00E156F5">
              <w:t>Unused amount reversed</w:t>
            </w:r>
          </w:p>
        </w:tc>
        <w:tc>
          <w:tcPr>
            <w:tcW w:w="405" w:type="pct"/>
            <w:tcBorders>
              <w:bottom w:val="single" w:sz="4" w:space="0" w:color="auto"/>
            </w:tcBorders>
          </w:tcPr>
          <w:p w14:paraId="3EB2E1B1" w14:textId="6340C9E0" w:rsidR="0032318D" w:rsidRPr="00ED1FCD" w:rsidRDefault="0032318D" w:rsidP="001A5D4A">
            <w:pPr>
              <w:pStyle w:val="NotesTable-CellBold"/>
            </w:pPr>
            <w:r w:rsidRPr="00ED1FCD">
              <w:t>–</w:t>
            </w:r>
          </w:p>
        </w:tc>
        <w:tc>
          <w:tcPr>
            <w:tcW w:w="405" w:type="pct"/>
            <w:tcBorders>
              <w:bottom w:val="single" w:sz="4" w:space="0" w:color="auto"/>
            </w:tcBorders>
          </w:tcPr>
          <w:p w14:paraId="038A1ECA" w14:textId="178CBCDE" w:rsidR="0032318D" w:rsidRDefault="0032318D" w:rsidP="001A5D4A">
            <w:pPr>
              <w:pStyle w:val="NotesTable-CellPlain"/>
            </w:pPr>
            <w:r w:rsidRPr="002E30F2">
              <w:t>–</w:t>
            </w:r>
          </w:p>
        </w:tc>
        <w:tc>
          <w:tcPr>
            <w:tcW w:w="405" w:type="pct"/>
            <w:tcBorders>
              <w:bottom w:val="single" w:sz="4" w:space="0" w:color="auto"/>
            </w:tcBorders>
          </w:tcPr>
          <w:p w14:paraId="038A1ECB" w14:textId="77777777" w:rsidR="0032318D" w:rsidRPr="00C0248C" w:rsidRDefault="0032318D" w:rsidP="001A5D4A">
            <w:pPr>
              <w:pStyle w:val="NotesTable-CellBold"/>
            </w:pPr>
            <w:r w:rsidRPr="002E30F2">
              <w:t>–</w:t>
            </w:r>
          </w:p>
        </w:tc>
        <w:tc>
          <w:tcPr>
            <w:tcW w:w="406" w:type="pct"/>
            <w:tcBorders>
              <w:bottom w:val="single" w:sz="4" w:space="0" w:color="auto"/>
            </w:tcBorders>
          </w:tcPr>
          <w:p w14:paraId="038A1ECC" w14:textId="77777777" w:rsidR="0032318D" w:rsidRDefault="0032318D" w:rsidP="001A5D4A">
            <w:pPr>
              <w:pStyle w:val="NotesTable-CellPlain"/>
            </w:pPr>
            <w:r w:rsidRPr="002E30F2">
              <w:t>–</w:t>
            </w:r>
          </w:p>
        </w:tc>
      </w:tr>
      <w:tr w:rsidR="0032318D" w14:paraId="038A1ED2" w14:textId="77777777" w:rsidTr="00E21378">
        <w:trPr>
          <w:trHeight w:val="181"/>
        </w:trPr>
        <w:tc>
          <w:tcPr>
            <w:tcW w:w="811" w:type="pct"/>
          </w:tcPr>
          <w:p w14:paraId="038A1ECE" w14:textId="77777777" w:rsidR="0032318D" w:rsidRDefault="0032318D" w:rsidP="001A5D4A">
            <w:pPr>
              <w:pStyle w:val="Note-Refs"/>
            </w:pPr>
          </w:p>
        </w:tc>
        <w:tc>
          <w:tcPr>
            <w:tcW w:w="2568" w:type="pct"/>
            <w:vAlign w:val="bottom"/>
          </w:tcPr>
          <w:p w14:paraId="30348618" w14:textId="5353FB1A" w:rsidR="0032318D" w:rsidRPr="00243C24" w:rsidRDefault="0032318D" w:rsidP="001A5D4A">
            <w:pPr>
              <w:pStyle w:val="NotesTable-ItemPlain"/>
              <w:rPr>
                <w:b/>
              </w:rPr>
            </w:pPr>
            <w:r w:rsidRPr="00243C24">
              <w:t>At 31 December</w:t>
            </w:r>
          </w:p>
        </w:tc>
        <w:tc>
          <w:tcPr>
            <w:tcW w:w="405" w:type="pct"/>
            <w:tcBorders>
              <w:top w:val="single" w:sz="4" w:space="0" w:color="auto"/>
            </w:tcBorders>
          </w:tcPr>
          <w:p w14:paraId="6A0912FE" w14:textId="478D941B" w:rsidR="0032318D" w:rsidRPr="00ED1FCD" w:rsidRDefault="0032318D" w:rsidP="001A5D4A">
            <w:pPr>
              <w:pStyle w:val="NotesTable-CellBold"/>
            </w:pPr>
            <w:r w:rsidRPr="00ED1FCD">
              <w:t>–</w:t>
            </w:r>
          </w:p>
        </w:tc>
        <w:tc>
          <w:tcPr>
            <w:tcW w:w="405" w:type="pct"/>
            <w:tcBorders>
              <w:top w:val="single" w:sz="4" w:space="0" w:color="auto"/>
            </w:tcBorders>
          </w:tcPr>
          <w:p w14:paraId="038A1ECF" w14:textId="0D365896" w:rsidR="0032318D" w:rsidRPr="00243C24" w:rsidRDefault="0032318D" w:rsidP="001A5D4A">
            <w:pPr>
              <w:pStyle w:val="NotesTable-CellPlain"/>
            </w:pPr>
            <w:r w:rsidRPr="002E30F2">
              <w:t>–</w:t>
            </w:r>
          </w:p>
        </w:tc>
        <w:tc>
          <w:tcPr>
            <w:tcW w:w="405" w:type="pct"/>
            <w:tcBorders>
              <w:top w:val="single" w:sz="4" w:space="0" w:color="auto"/>
            </w:tcBorders>
          </w:tcPr>
          <w:p w14:paraId="038A1ED0" w14:textId="77777777" w:rsidR="0032318D" w:rsidRPr="00C0248C" w:rsidRDefault="0032318D" w:rsidP="001A5D4A">
            <w:pPr>
              <w:pStyle w:val="NotesTable-CellBold"/>
            </w:pPr>
            <w:r w:rsidRPr="002E30F2">
              <w:t>–</w:t>
            </w:r>
          </w:p>
        </w:tc>
        <w:tc>
          <w:tcPr>
            <w:tcW w:w="406" w:type="pct"/>
            <w:tcBorders>
              <w:top w:val="single" w:sz="4" w:space="0" w:color="auto"/>
            </w:tcBorders>
          </w:tcPr>
          <w:p w14:paraId="038A1ED1" w14:textId="77777777" w:rsidR="0032318D" w:rsidRDefault="0032318D" w:rsidP="001A5D4A">
            <w:pPr>
              <w:pStyle w:val="NotesTable-CellPlain"/>
            </w:pPr>
            <w:r w:rsidRPr="002E30F2">
              <w:t>–</w:t>
            </w:r>
          </w:p>
        </w:tc>
      </w:tr>
      <w:tr w:rsidR="007244D2" w14:paraId="038A1ED5" w14:textId="77777777" w:rsidTr="00E21378">
        <w:trPr>
          <w:cantSplit/>
          <w:trHeight w:hRule="exact" w:val="85"/>
        </w:trPr>
        <w:tc>
          <w:tcPr>
            <w:tcW w:w="811" w:type="pct"/>
          </w:tcPr>
          <w:p w14:paraId="038A1ED3" w14:textId="77777777" w:rsidR="007244D2" w:rsidRDefault="007244D2" w:rsidP="001A5D4A">
            <w:pPr>
              <w:pStyle w:val="Note-Refs"/>
            </w:pPr>
          </w:p>
        </w:tc>
        <w:tc>
          <w:tcPr>
            <w:tcW w:w="4189" w:type="pct"/>
            <w:gridSpan w:val="5"/>
            <w:vAlign w:val="bottom"/>
          </w:tcPr>
          <w:p w14:paraId="038A1ED4" w14:textId="77777777" w:rsidR="007244D2" w:rsidRDefault="007244D2" w:rsidP="001A5D4A">
            <w:pPr>
              <w:pStyle w:val="NotesTable-ItemPlain"/>
            </w:pPr>
          </w:p>
        </w:tc>
      </w:tr>
      <w:tr w:rsidR="00C15DFC" w14:paraId="038A1ED8" w14:textId="77777777" w:rsidTr="00E21378">
        <w:trPr>
          <w:cantSplit/>
          <w:trHeight w:val="181"/>
        </w:trPr>
        <w:tc>
          <w:tcPr>
            <w:tcW w:w="811" w:type="pct"/>
          </w:tcPr>
          <w:p w14:paraId="038A1ED6" w14:textId="77777777" w:rsidR="00023312" w:rsidRDefault="00023312" w:rsidP="001A5D4A">
            <w:pPr>
              <w:pStyle w:val="Note-Refs"/>
            </w:pPr>
          </w:p>
        </w:tc>
        <w:tc>
          <w:tcPr>
            <w:tcW w:w="4189" w:type="pct"/>
            <w:gridSpan w:val="5"/>
            <w:vAlign w:val="bottom"/>
          </w:tcPr>
          <w:p w14:paraId="038A1ED7" w14:textId="48471A98" w:rsidR="00023312" w:rsidRDefault="00023312" w:rsidP="001A5D4A">
            <w:pPr>
              <w:pStyle w:val="NotesTable-ItemPlain"/>
              <w:rPr>
                <w:b/>
              </w:rPr>
            </w:pPr>
            <w:r>
              <w:t>The creation and release of the provision for impaired receivables has been included in ‘other expenses’ in the income statement. Amounts charged to the provision account are generally written off when there is no expectation of recovering additional cash.</w:t>
            </w:r>
          </w:p>
        </w:tc>
      </w:tr>
      <w:tr w:rsidR="0094044F" w14:paraId="038A1EDB" w14:textId="77777777" w:rsidTr="00E21378">
        <w:trPr>
          <w:cantSplit/>
          <w:trHeight w:hRule="exact" w:val="85"/>
        </w:trPr>
        <w:tc>
          <w:tcPr>
            <w:tcW w:w="811" w:type="pct"/>
          </w:tcPr>
          <w:p w14:paraId="038A1ED9" w14:textId="77777777" w:rsidR="0094044F" w:rsidRDefault="0094044F" w:rsidP="001A5D4A">
            <w:pPr>
              <w:pStyle w:val="Note-Refs"/>
            </w:pPr>
          </w:p>
        </w:tc>
        <w:tc>
          <w:tcPr>
            <w:tcW w:w="4189" w:type="pct"/>
            <w:gridSpan w:val="5"/>
            <w:vAlign w:val="bottom"/>
          </w:tcPr>
          <w:p w14:paraId="038A1EDA" w14:textId="77777777" w:rsidR="0094044F" w:rsidRDefault="0094044F" w:rsidP="001A5D4A">
            <w:pPr>
              <w:pStyle w:val="NotesTable-ItemPlain"/>
            </w:pPr>
          </w:p>
        </w:tc>
      </w:tr>
      <w:tr w:rsidR="00C15DFC" w14:paraId="038A1EDE" w14:textId="77777777" w:rsidTr="00E21378">
        <w:trPr>
          <w:cantSplit/>
          <w:trHeight w:val="181"/>
        </w:trPr>
        <w:tc>
          <w:tcPr>
            <w:tcW w:w="811" w:type="pct"/>
          </w:tcPr>
          <w:p w14:paraId="038A1EDC" w14:textId="77777777" w:rsidR="00023312" w:rsidRDefault="00023312" w:rsidP="001A5D4A">
            <w:pPr>
              <w:pStyle w:val="Note-Refs"/>
              <w:rPr>
                <w:b/>
                <w:bCs/>
              </w:rPr>
            </w:pPr>
            <w:r>
              <w:t>AASB7</w:t>
            </w:r>
            <w:r w:rsidR="00592F25">
              <w:t>.</w:t>
            </w:r>
            <w:r>
              <w:t>3</w:t>
            </w:r>
            <w:r w:rsidR="008008EA">
              <w:t>6</w:t>
            </w:r>
            <w:r>
              <w:t>a,b</w:t>
            </w:r>
            <w:r w:rsidR="008008EA">
              <w:t>,c</w:t>
            </w:r>
          </w:p>
        </w:tc>
        <w:tc>
          <w:tcPr>
            <w:tcW w:w="4189" w:type="pct"/>
            <w:gridSpan w:val="5"/>
            <w:vAlign w:val="bottom"/>
          </w:tcPr>
          <w:p w14:paraId="038A1EDD" w14:textId="6AD4172D" w:rsidR="00023312" w:rsidRDefault="00023312" w:rsidP="001A5D4A">
            <w:pPr>
              <w:pStyle w:val="NotesTable-ItemPlain"/>
              <w:rPr>
                <w:b/>
              </w:rPr>
            </w:pPr>
            <w:r>
              <w:t>The other amounts within receivables do not contain impaired assets and are not past due. Based on credit history, it is expected that these amounts will be received when due.</w:t>
            </w:r>
          </w:p>
        </w:tc>
      </w:tr>
    </w:tbl>
    <w:p w14:paraId="465E2D4B" w14:textId="77777777" w:rsidR="00BF4F3D" w:rsidRPr="00AE7A0B" w:rsidRDefault="00BF4F3D" w:rsidP="00AE7A0B">
      <w:pPr>
        <w:pStyle w:val="Heading3"/>
        <w:rPr>
          <w:color w:val="2D3E7B" w:themeColor="text2" w:themeShade="BF"/>
        </w:rPr>
      </w:pPr>
      <w:bookmarkStart w:id="311" w:name="_Toc410807628"/>
      <w:bookmarkStart w:id="312" w:name="_Toc410822689"/>
      <w:r w:rsidRPr="00AE7A0B">
        <w:rPr>
          <w:color w:val="2D3E7B" w:themeColor="text2" w:themeShade="BF"/>
        </w:rPr>
        <w:t>Commentary – Receivables</w:t>
      </w:r>
      <w:bookmarkEnd w:id="311"/>
      <w:bookmarkEnd w:id="312"/>
    </w:p>
    <w:p w14:paraId="57C53BC3" w14:textId="77777777" w:rsidR="00BF4F3D" w:rsidRPr="00AE7A0B" w:rsidRDefault="00BF4F3D" w:rsidP="00AB24D3">
      <w:pPr>
        <w:pStyle w:val="Heading4"/>
        <w:rPr>
          <w:color w:val="2D3E7B" w:themeColor="text2" w:themeShade="BF"/>
          <w14:textFill>
            <w14:solidFill>
              <w14:schemeClr w14:val="tx2">
                <w14:lumMod w14:val="75000"/>
                <w14:lumMod w14:val="75000"/>
              </w14:schemeClr>
            </w14:solidFill>
          </w14:textFill>
        </w:rPr>
      </w:pPr>
      <w:r w:rsidRPr="00AE7A0B">
        <w:rPr>
          <w:color w:val="2D3E7B" w:themeColor="text2" w:themeShade="BF"/>
          <w14:textFill>
            <w14:solidFill>
              <w14:schemeClr w14:val="tx2">
                <w14:lumMod w14:val="75000"/>
                <w14:lumMod w14:val="75000"/>
              </w14:schemeClr>
            </w14:solidFill>
          </w14:textFill>
        </w:rPr>
        <w:t>Fair value</w:t>
      </w:r>
    </w:p>
    <w:p w14:paraId="0562EBC7" w14:textId="77777777" w:rsidR="00BF4F3D" w:rsidRPr="00AE7A0B" w:rsidRDefault="00BF4F3D" w:rsidP="00E422A6">
      <w:pPr>
        <w:pStyle w:val="Heading6"/>
      </w:pPr>
      <w:r w:rsidRPr="00AE7A0B">
        <w:t>AASB7.29a</w:t>
      </w:r>
    </w:p>
    <w:p w14:paraId="4565CC49" w14:textId="77777777" w:rsidR="00BF4F3D" w:rsidRPr="00AE7A0B" w:rsidRDefault="00BF4F3D" w:rsidP="001A5D4A">
      <w:pPr>
        <w:rPr>
          <w:color w:val="2D3E7B" w:themeColor="text2" w:themeShade="BF"/>
        </w:rPr>
      </w:pPr>
      <w:r w:rsidRPr="00AE7A0B">
        <w:rPr>
          <w:color w:val="2D3E7B" w:themeColor="text2" w:themeShade="BF"/>
        </w:rPr>
        <w:t>For financial instruments such as short-term trade receivables and payables, no disclosure of fair value is required when the carrying amount is a reasonable approximation of fair value.</w:t>
      </w:r>
    </w:p>
    <w:p w14:paraId="7D365055" w14:textId="77777777" w:rsidR="00BF4F3D" w:rsidRPr="00AE7A0B" w:rsidRDefault="00BF4F3D" w:rsidP="00AB24D3">
      <w:pPr>
        <w:pStyle w:val="Heading4"/>
        <w:rPr>
          <w:color w:val="2D3E7B" w:themeColor="text2" w:themeShade="BF"/>
          <w14:textFill>
            <w14:solidFill>
              <w14:schemeClr w14:val="tx2">
                <w14:lumMod w14:val="75000"/>
                <w14:lumMod w14:val="75000"/>
              </w14:schemeClr>
            </w14:solidFill>
          </w14:textFill>
        </w:rPr>
      </w:pPr>
      <w:r w:rsidRPr="00AE7A0B">
        <w:rPr>
          <w:color w:val="2D3E7B" w:themeColor="text2" w:themeShade="BF"/>
          <w14:textFill>
            <w14:solidFill>
              <w14:schemeClr w14:val="tx2">
                <w14:lumMod w14:val="75000"/>
                <w14:lumMod w14:val="75000"/>
              </w14:schemeClr>
            </w14:solidFill>
          </w14:textFill>
        </w:rPr>
        <w:t>Impairment of financial assets</w:t>
      </w:r>
    </w:p>
    <w:p w14:paraId="62DCFE0A" w14:textId="77777777" w:rsidR="00BF4F3D" w:rsidRPr="00AE7A0B" w:rsidRDefault="00BF4F3D" w:rsidP="00E422A6">
      <w:pPr>
        <w:pStyle w:val="Heading6"/>
      </w:pPr>
      <w:r w:rsidRPr="00AE7A0B">
        <w:t>AASB7.20d</w:t>
      </w:r>
    </w:p>
    <w:p w14:paraId="5F7FA11D" w14:textId="77777777" w:rsidR="00BF4F3D" w:rsidRPr="00AE7A0B" w:rsidRDefault="00BF4F3D" w:rsidP="001A5D4A">
      <w:pPr>
        <w:rPr>
          <w:color w:val="2D3E7B" w:themeColor="text2" w:themeShade="BF"/>
        </w:rPr>
      </w:pPr>
      <w:r w:rsidRPr="00AE7A0B">
        <w:rPr>
          <w:color w:val="2D3E7B" w:themeColor="text2" w:themeShade="BF"/>
        </w:rPr>
        <w:t>In addition to the nature and amount of any impairment loss recognised in profit or loss, entities shall also disclose the amount of interest income accrued on impaired financial assets, in accordance with AASB139.AG93, where applicable.</w:t>
      </w:r>
    </w:p>
    <w:p w14:paraId="13F81FD6" w14:textId="7E62892A" w:rsidR="001B4E7B" w:rsidRDefault="001B4E7B" w:rsidP="00AE7A0B">
      <w:pPr>
        <w:pStyle w:val="Heading2"/>
      </w:pPr>
      <w:bookmarkStart w:id="313" w:name="_Toc410807629"/>
      <w:bookmarkStart w:id="314" w:name="_Toc410822690"/>
      <w:proofErr w:type="gramStart"/>
      <w:r w:rsidRPr="001B4E7B">
        <w:t>Note 20.</w:t>
      </w:r>
      <w:proofErr w:type="gramEnd"/>
      <w:r>
        <w:t xml:space="preserve"> </w:t>
      </w:r>
      <w:r w:rsidRPr="001B4E7B">
        <w:t>Inventories</w:t>
      </w:r>
      <w:bookmarkEnd w:id="313"/>
      <w:bookmarkEnd w:id="314"/>
    </w:p>
    <w:p w14:paraId="58A46219" w14:textId="77777777" w:rsidR="001B4E7B" w:rsidRPr="001B4E7B" w:rsidRDefault="001B4E7B" w:rsidP="001A5D4A">
      <w:r w:rsidRPr="001B4E7B">
        <w:t>AASB102</w:t>
      </w:r>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1F0A" w14:textId="77777777" w:rsidTr="00E21378">
        <w:trPr>
          <w:cantSplit/>
          <w:trHeight w:val="181"/>
        </w:trPr>
        <w:tc>
          <w:tcPr>
            <w:tcW w:w="810" w:type="pct"/>
            <w:vAlign w:val="bottom"/>
          </w:tcPr>
          <w:p w14:paraId="038A1F06" w14:textId="77777777" w:rsidR="00023312" w:rsidRDefault="00023312" w:rsidP="001A5D4A">
            <w:pPr>
              <w:pStyle w:val="Note-Refs"/>
            </w:pPr>
          </w:p>
        </w:tc>
        <w:tc>
          <w:tcPr>
            <w:tcW w:w="2567" w:type="pct"/>
            <w:vAlign w:val="bottom"/>
          </w:tcPr>
          <w:p w14:paraId="038A1F07" w14:textId="77777777" w:rsidR="00023312" w:rsidRDefault="00023312" w:rsidP="001A5D4A">
            <w:pPr>
              <w:pStyle w:val="NotesTable-ItemPlain"/>
            </w:pPr>
          </w:p>
        </w:tc>
        <w:tc>
          <w:tcPr>
            <w:tcW w:w="811" w:type="pct"/>
            <w:gridSpan w:val="2"/>
          </w:tcPr>
          <w:p w14:paraId="038A1F08" w14:textId="77777777" w:rsidR="00023312" w:rsidRDefault="00023312" w:rsidP="001A5D4A">
            <w:pPr>
              <w:pStyle w:val="NotesTable-HeadPlain"/>
              <w:rPr>
                <w:b/>
              </w:rPr>
            </w:pPr>
            <w:r>
              <w:t>Consolidated</w:t>
            </w:r>
          </w:p>
        </w:tc>
        <w:tc>
          <w:tcPr>
            <w:tcW w:w="811" w:type="pct"/>
            <w:gridSpan w:val="2"/>
          </w:tcPr>
          <w:p w14:paraId="038A1F09" w14:textId="77777777" w:rsidR="00023312" w:rsidRDefault="00023312" w:rsidP="001A5D4A">
            <w:pPr>
              <w:pStyle w:val="NotesTable-HeadPlain"/>
            </w:pPr>
            <w:r>
              <w:t>Parent entity</w:t>
            </w:r>
          </w:p>
        </w:tc>
      </w:tr>
      <w:tr w:rsidR="00BF5CB8" w14:paraId="038A1F11" w14:textId="77777777" w:rsidTr="00E21378">
        <w:trPr>
          <w:cantSplit/>
          <w:trHeight w:val="181"/>
        </w:trPr>
        <w:tc>
          <w:tcPr>
            <w:tcW w:w="810" w:type="pct"/>
            <w:vAlign w:val="bottom"/>
          </w:tcPr>
          <w:p w14:paraId="038A1F0B" w14:textId="77777777" w:rsidR="00BF5CB8" w:rsidRDefault="00BF5CB8" w:rsidP="001A5D4A">
            <w:pPr>
              <w:pStyle w:val="Note-Refs"/>
            </w:pPr>
          </w:p>
        </w:tc>
        <w:tc>
          <w:tcPr>
            <w:tcW w:w="2567" w:type="pct"/>
            <w:vAlign w:val="bottom"/>
          </w:tcPr>
          <w:p w14:paraId="038A1F0C" w14:textId="77777777" w:rsidR="00BF5CB8" w:rsidRDefault="00BF5CB8" w:rsidP="001A5D4A">
            <w:pPr>
              <w:pStyle w:val="NotesTable-ItemPlain"/>
            </w:pPr>
          </w:p>
        </w:tc>
        <w:tc>
          <w:tcPr>
            <w:tcW w:w="406" w:type="pct"/>
          </w:tcPr>
          <w:p w14:paraId="038A1F0D" w14:textId="7EC6171A" w:rsidR="00BF5CB8" w:rsidRDefault="006864EC" w:rsidP="001A5D4A">
            <w:pPr>
              <w:pStyle w:val="NotesTable-HeadBold"/>
            </w:pPr>
            <w:r>
              <w:t>2014</w:t>
            </w:r>
          </w:p>
        </w:tc>
        <w:tc>
          <w:tcPr>
            <w:tcW w:w="406" w:type="pct"/>
          </w:tcPr>
          <w:p w14:paraId="038A1F0E" w14:textId="1071436C" w:rsidR="00BF5CB8" w:rsidRDefault="006864EC" w:rsidP="001A5D4A">
            <w:pPr>
              <w:pStyle w:val="NotesTable-HeadPlain"/>
            </w:pPr>
            <w:r>
              <w:t>2013</w:t>
            </w:r>
          </w:p>
        </w:tc>
        <w:tc>
          <w:tcPr>
            <w:tcW w:w="406" w:type="pct"/>
          </w:tcPr>
          <w:p w14:paraId="038A1F0F" w14:textId="64344D31" w:rsidR="00BF5CB8" w:rsidRDefault="006864EC" w:rsidP="001A5D4A">
            <w:pPr>
              <w:pStyle w:val="NotesTable-HeadBold"/>
            </w:pPr>
            <w:r>
              <w:t>2014</w:t>
            </w:r>
          </w:p>
        </w:tc>
        <w:tc>
          <w:tcPr>
            <w:tcW w:w="406" w:type="pct"/>
          </w:tcPr>
          <w:p w14:paraId="038A1F10" w14:textId="45822B2A" w:rsidR="00BF5CB8" w:rsidRDefault="006864EC" w:rsidP="001A5D4A">
            <w:pPr>
              <w:pStyle w:val="NotesTable-HeadPlain"/>
            </w:pPr>
            <w:r>
              <w:t>2013</w:t>
            </w:r>
          </w:p>
        </w:tc>
      </w:tr>
      <w:tr w:rsidR="00BF5CB8" w14:paraId="038A1F18" w14:textId="77777777" w:rsidTr="00E21378">
        <w:trPr>
          <w:cantSplit/>
          <w:trHeight w:val="181"/>
        </w:trPr>
        <w:tc>
          <w:tcPr>
            <w:tcW w:w="810" w:type="pct"/>
            <w:vAlign w:val="bottom"/>
          </w:tcPr>
          <w:p w14:paraId="038A1F12" w14:textId="77777777" w:rsidR="00BF5CB8" w:rsidRDefault="00BF5CB8" w:rsidP="001A5D4A">
            <w:pPr>
              <w:pStyle w:val="Note-Refs"/>
            </w:pPr>
          </w:p>
        </w:tc>
        <w:tc>
          <w:tcPr>
            <w:tcW w:w="2567" w:type="pct"/>
            <w:vAlign w:val="bottom"/>
          </w:tcPr>
          <w:p w14:paraId="038A1F13" w14:textId="77777777" w:rsidR="00BF5CB8" w:rsidRDefault="00BF5CB8" w:rsidP="001A5D4A">
            <w:pPr>
              <w:pStyle w:val="NotesTable-ItemPlain"/>
            </w:pPr>
          </w:p>
        </w:tc>
        <w:tc>
          <w:tcPr>
            <w:tcW w:w="406" w:type="pct"/>
          </w:tcPr>
          <w:p w14:paraId="038A1F14" w14:textId="77777777" w:rsidR="00BF5CB8" w:rsidRDefault="00BF5CB8" w:rsidP="001A5D4A">
            <w:pPr>
              <w:pStyle w:val="NotesTable-HeadBold"/>
            </w:pPr>
            <w:r>
              <w:t>$’000</w:t>
            </w:r>
          </w:p>
        </w:tc>
        <w:tc>
          <w:tcPr>
            <w:tcW w:w="406" w:type="pct"/>
          </w:tcPr>
          <w:p w14:paraId="038A1F15" w14:textId="77777777" w:rsidR="00BF5CB8" w:rsidRDefault="00BF5CB8" w:rsidP="001A5D4A">
            <w:pPr>
              <w:pStyle w:val="NotesTable-HeadPlain"/>
            </w:pPr>
            <w:r>
              <w:t>$’000</w:t>
            </w:r>
          </w:p>
        </w:tc>
        <w:tc>
          <w:tcPr>
            <w:tcW w:w="406" w:type="pct"/>
          </w:tcPr>
          <w:p w14:paraId="038A1F16" w14:textId="77777777" w:rsidR="00BF5CB8" w:rsidRDefault="00BF5CB8" w:rsidP="001A5D4A">
            <w:pPr>
              <w:pStyle w:val="NotesTable-HeadBold"/>
            </w:pPr>
            <w:r>
              <w:t>$’000</w:t>
            </w:r>
          </w:p>
        </w:tc>
        <w:tc>
          <w:tcPr>
            <w:tcW w:w="406" w:type="pct"/>
          </w:tcPr>
          <w:p w14:paraId="038A1F17" w14:textId="77777777" w:rsidR="00BF5CB8" w:rsidRDefault="00BF5CB8" w:rsidP="001A5D4A">
            <w:pPr>
              <w:pStyle w:val="NotesTable-HeadPlain"/>
            </w:pPr>
            <w:r>
              <w:t>$’000</w:t>
            </w:r>
          </w:p>
        </w:tc>
      </w:tr>
      <w:tr w:rsidR="0014595D" w14:paraId="038A1F1B" w14:textId="77777777" w:rsidTr="00E21378">
        <w:trPr>
          <w:cantSplit/>
          <w:trHeight w:val="181"/>
        </w:trPr>
        <w:tc>
          <w:tcPr>
            <w:tcW w:w="810" w:type="pct"/>
            <w:vAlign w:val="bottom"/>
          </w:tcPr>
          <w:p w14:paraId="038A1F19" w14:textId="77777777" w:rsidR="0014595D" w:rsidRDefault="0014595D" w:rsidP="001A5D4A">
            <w:pPr>
              <w:pStyle w:val="Note-Refs"/>
            </w:pPr>
          </w:p>
        </w:tc>
        <w:tc>
          <w:tcPr>
            <w:tcW w:w="4190" w:type="pct"/>
            <w:gridSpan w:val="5"/>
            <w:vAlign w:val="bottom"/>
          </w:tcPr>
          <w:p w14:paraId="038A1F1A" w14:textId="77777777" w:rsidR="0014595D" w:rsidRDefault="0014595D" w:rsidP="001A5D4A">
            <w:pPr>
              <w:pStyle w:val="Note-TextHeader"/>
              <w:rPr>
                <w:lang w:val="en-GB"/>
              </w:rPr>
            </w:pPr>
            <w:r>
              <w:t>Current</w:t>
            </w:r>
          </w:p>
        </w:tc>
      </w:tr>
      <w:tr w:rsidR="00BF5CB8" w14:paraId="038A1F22" w14:textId="77777777" w:rsidTr="00E21378">
        <w:trPr>
          <w:cantSplit/>
          <w:trHeight w:val="181"/>
        </w:trPr>
        <w:tc>
          <w:tcPr>
            <w:tcW w:w="810" w:type="pct"/>
            <w:vAlign w:val="bottom"/>
          </w:tcPr>
          <w:p w14:paraId="038A1F1C" w14:textId="77777777" w:rsidR="00BF5CB8" w:rsidRDefault="00BF5CB8" w:rsidP="001A5D4A">
            <w:pPr>
              <w:pStyle w:val="Note-Refs"/>
            </w:pPr>
          </w:p>
        </w:tc>
        <w:tc>
          <w:tcPr>
            <w:tcW w:w="2567" w:type="pct"/>
            <w:vAlign w:val="bottom"/>
          </w:tcPr>
          <w:p w14:paraId="038A1F1D" w14:textId="77777777" w:rsidR="00BF5CB8" w:rsidRDefault="00BF5CB8" w:rsidP="001A5D4A">
            <w:pPr>
              <w:pStyle w:val="NotesTable-ItemPlain"/>
              <w:rPr>
                <w:b/>
              </w:rPr>
            </w:pPr>
            <w:r>
              <w:t>[Specify]</w:t>
            </w:r>
          </w:p>
        </w:tc>
        <w:tc>
          <w:tcPr>
            <w:tcW w:w="406" w:type="pct"/>
          </w:tcPr>
          <w:p w14:paraId="038A1F1E" w14:textId="77777777" w:rsidR="00BF5CB8" w:rsidRDefault="00BF5CB8" w:rsidP="001A5D4A">
            <w:pPr>
              <w:pStyle w:val="NotesTable-CellBold"/>
            </w:pPr>
            <w:r>
              <w:t>–</w:t>
            </w:r>
          </w:p>
        </w:tc>
        <w:tc>
          <w:tcPr>
            <w:tcW w:w="406" w:type="pct"/>
          </w:tcPr>
          <w:p w14:paraId="038A1F1F" w14:textId="77777777" w:rsidR="00BF5CB8" w:rsidRDefault="00BF5CB8" w:rsidP="001A5D4A">
            <w:pPr>
              <w:pStyle w:val="NotesTable-CellPlain"/>
            </w:pPr>
            <w:r>
              <w:t>–</w:t>
            </w:r>
          </w:p>
        </w:tc>
        <w:tc>
          <w:tcPr>
            <w:tcW w:w="406" w:type="pct"/>
          </w:tcPr>
          <w:p w14:paraId="038A1F20" w14:textId="77777777" w:rsidR="00BF5CB8" w:rsidRDefault="00BF5CB8" w:rsidP="001A5D4A">
            <w:pPr>
              <w:pStyle w:val="NotesTable-CellBold"/>
            </w:pPr>
            <w:r>
              <w:t>–</w:t>
            </w:r>
          </w:p>
        </w:tc>
        <w:tc>
          <w:tcPr>
            <w:tcW w:w="406" w:type="pct"/>
          </w:tcPr>
          <w:p w14:paraId="038A1F21" w14:textId="77777777" w:rsidR="00BF5CB8" w:rsidRDefault="00BF5CB8" w:rsidP="001A5D4A">
            <w:pPr>
              <w:pStyle w:val="NotesTable-CellPlain"/>
            </w:pPr>
            <w:r>
              <w:t>–</w:t>
            </w:r>
          </w:p>
        </w:tc>
      </w:tr>
      <w:tr w:rsidR="00A437E0" w14:paraId="017A715F" w14:textId="77777777" w:rsidTr="00E21378">
        <w:trPr>
          <w:cantSplit/>
          <w:trHeight w:val="181"/>
        </w:trPr>
        <w:tc>
          <w:tcPr>
            <w:tcW w:w="810" w:type="pct"/>
            <w:vAlign w:val="bottom"/>
          </w:tcPr>
          <w:p w14:paraId="0B670F1A" w14:textId="43C4CBAE" w:rsidR="00A437E0" w:rsidRDefault="00A437E0" w:rsidP="001A5D4A">
            <w:pPr>
              <w:pStyle w:val="Note-Refs"/>
            </w:pPr>
            <w:r>
              <w:t>AASB102.Aus36.1</w:t>
            </w:r>
          </w:p>
        </w:tc>
        <w:tc>
          <w:tcPr>
            <w:tcW w:w="2567" w:type="pct"/>
            <w:vAlign w:val="bottom"/>
          </w:tcPr>
          <w:p w14:paraId="0BBB0CD3" w14:textId="515BF425" w:rsidR="00A437E0" w:rsidRDefault="00A437E0" w:rsidP="001A5D4A">
            <w:pPr>
              <w:pStyle w:val="NotesTable-ItemPlain"/>
            </w:pPr>
            <w:r>
              <w:t>Held for distribution</w:t>
            </w:r>
          </w:p>
        </w:tc>
        <w:tc>
          <w:tcPr>
            <w:tcW w:w="406" w:type="pct"/>
            <w:tcBorders>
              <w:bottom w:val="single" w:sz="4" w:space="0" w:color="000000"/>
            </w:tcBorders>
          </w:tcPr>
          <w:p w14:paraId="21E7ACDB" w14:textId="0D765D51" w:rsidR="00A437E0" w:rsidRDefault="00A437E0" w:rsidP="001A5D4A">
            <w:pPr>
              <w:pStyle w:val="NotesTable-CellBold"/>
            </w:pPr>
            <w:r>
              <w:t>–</w:t>
            </w:r>
          </w:p>
        </w:tc>
        <w:tc>
          <w:tcPr>
            <w:tcW w:w="406" w:type="pct"/>
            <w:tcBorders>
              <w:bottom w:val="single" w:sz="4" w:space="0" w:color="000000"/>
            </w:tcBorders>
          </w:tcPr>
          <w:p w14:paraId="4FDF1BDC" w14:textId="10E6B795" w:rsidR="00A437E0" w:rsidRDefault="00A437E0" w:rsidP="001A5D4A">
            <w:pPr>
              <w:pStyle w:val="NotesTable-CellPlain"/>
            </w:pPr>
            <w:r>
              <w:t>–</w:t>
            </w:r>
          </w:p>
        </w:tc>
        <w:tc>
          <w:tcPr>
            <w:tcW w:w="406" w:type="pct"/>
            <w:tcBorders>
              <w:bottom w:val="single" w:sz="4" w:space="0" w:color="000000"/>
            </w:tcBorders>
          </w:tcPr>
          <w:p w14:paraId="3D3C99A5" w14:textId="7E1D89B8" w:rsidR="00A437E0" w:rsidRDefault="00A437E0" w:rsidP="001A5D4A">
            <w:pPr>
              <w:pStyle w:val="NotesTable-CellBold"/>
            </w:pPr>
            <w:r>
              <w:t>–</w:t>
            </w:r>
          </w:p>
        </w:tc>
        <w:tc>
          <w:tcPr>
            <w:tcW w:w="406" w:type="pct"/>
            <w:tcBorders>
              <w:bottom w:val="single" w:sz="4" w:space="0" w:color="000000"/>
            </w:tcBorders>
          </w:tcPr>
          <w:p w14:paraId="58DF16CC" w14:textId="4E3959B2" w:rsidR="00A437E0" w:rsidRDefault="00A437E0" w:rsidP="001A5D4A">
            <w:pPr>
              <w:pStyle w:val="NotesTable-CellPlain"/>
            </w:pPr>
            <w:r>
              <w:t>–</w:t>
            </w:r>
          </w:p>
        </w:tc>
      </w:tr>
      <w:tr w:rsidR="00BF5CB8" w14:paraId="038A1F29" w14:textId="77777777" w:rsidTr="00E21378">
        <w:trPr>
          <w:cantSplit/>
          <w:trHeight w:val="181"/>
        </w:trPr>
        <w:tc>
          <w:tcPr>
            <w:tcW w:w="810" w:type="pct"/>
            <w:vAlign w:val="bottom"/>
          </w:tcPr>
          <w:p w14:paraId="038A1F23" w14:textId="77777777" w:rsidR="00BF5CB8" w:rsidRDefault="00BF5CB8" w:rsidP="001A5D4A">
            <w:pPr>
              <w:pStyle w:val="Note-Refs"/>
            </w:pPr>
          </w:p>
        </w:tc>
        <w:tc>
          <w:tcPr>
            <w:tcW w:w="2567" w:type="pct"/>
            <w:vAlign w:val="bottom"/>
          </w:tcPr>
          <w:p w14:paraId="038A1F24" w14:textId="77777777" w:rsidR="00BF5CB8" w:rsidRDefault="00BF5CB8" w:rsidP="001A5D4A">
            <w:pPr>
              <w:pStyle w:val="NotesTable-ItemPlain"/>
              <w:rPr>
                <w:b/>
              </w:rPr>
            </w:pPr>
            <w:r>
              <w:t>Total current inventories</w:t>
            </w:r>
          </w:p>
        </w:tc>
        <w:tc>
          <w:tcPr>
            <w:tcW w:w="406" w:type="pct"/>
            <w:tcBorders>
              <w:top w:val="single" w:sz="4" w:space="0" w:color="000000"/>
            </w:tcBorders>
          </w:tcPr>
          <w:p w14:paraId="038A1F25" w14:textId="77777777" w:rsidR="00BF5CB8" w:rsidRDefault="00BF5CB8" w:rsidP="001A5D4A">
            <w:pPr>
              <w:pStyle w:val="NotesTable-CellBold"/>
            </w:pPr>
            <w:r>
              <w:t>–</w:t>
            </w:r>
          </w:p>
        </w:tc>
        <w:tc>
          <w:tcPr>
            <w:tcW w:w="406" w:type="pct"/>
            <w:tcBorders>
              <w:top w:val="single" w:sz="4" w:space="0" w:color="000000"/>
            </w:tcBorders>
          </w:tcPr>
          <w:p w14:paraId="038A1F26" w14:textId="77777777" w:rsidR="00BF5CB8" w:rsidRDefault="00BF5CB8" w:rsidP="001A5D4A">
            <w:pPr>
              <w:pStyle w:val="NotesTable-CellPlain"/>
            </w:pPr>
            <w:r>
              <w:t>–</w:t>
            </w:r>
          </w:p>
        </w:tc>
        <w:tc>
          <w:tcPr>
            <w:tcW w:w="406" w:type="pct"/>
            <w:tcBorders>
              <w:top w:val="single" w:sz="4" w:space="0" w:color="000000"/>
            </w:tcBorders>
          </w:tcPr>
          <w:p w14:paraId="038A1F27" w14:textId="77777777" w:rsidR="00BF5CB8" w:rsidRDefault="00BF5CB8" w:rsidP="001A5D4A">
            <w:pPr>
              <w:pStyle w:val="NotesTable-CellBold"/>
            </w:pPr>
            <w:r>
              <w:t>–</w:t>
            </w:r>
          </w:p>
        </w:tc>
        <w:tc>
          <w:tcPr>
            <w:tcW w:w="406" w:type="pct"/>
            <w:tcBorders>
              <w:top w:val="single" w:sz="4" w:space="0" w:color="000000"/>
            </w:tcBorders>
          </w:tcPr>
          <w:p w14:paraId="038A1F28" w14:textId="77777777" w:rsidR="00BF5CB8" w:rsidRDefault="00BF5CB8" w:rsidP="001A5D4A">
            <w:pPr>
              <w:pStyle w:val="NotesTable-CellPlain"/>
            </w:pPr>
            <w:r>
              <w:t>–</w:t>
            </w:r>
          </w:p>
        </w:tc>
      </w:tr>
      <w:tr w:rsidR="00E82EBF" w14:paraId="038A1F2C" w14:textId="77777777" w:rsidTr="00E21378">
        <w:trPr>
          <w:cantSplit/>
          <w:trHeight w:val="181"/>
        </w:trPr>
        <w:tc>
          <w:tcPr>
            <w:tcW w:w="810" w:type="pct"/>
            <w:vAlign w:val="bottom"/>
          </w:tcPr>
          <w:p w14:paraId="038A1F2A" w14:textId="77777777" w:rsidR="00E82EBF" w:rsidRDefault="00E82EBF" w:rsidP="001A5D4A">
            <w:pPr>
              <w:pStyle w:val="Note-Refs"/>
            </w:pPr>
          </w:p>
        </w:tc>
        <w:tc>
          <w:tcPr>
            <w:tcW w:w="4190" w:type="pct"/>
            <w:gridSpan w:val="5"/>
            <w:vAlign w:val="bottom"/>
          </w:tcPr>
          <w:p w14:paraId="038A1F2B" w14:textId="77777777" w:rsidR="00E82EBF" w:rsidRDefault="00E82EBF" w:rsidP="001A5D4A">
            <w:pPr>
              <w:pStyle w:val="NotesTable-ItemPlain"/>
            </w:pPr>
          </w:p>
        </w:tc>
      </w:tr>
      <w:tr w:rsidR="0014595D" w14:paraId="038A1F2F" w14:textId="77777777" w:rsidTr="00E21378">
        <w:trPr>
          <w:cantSplit/>
          <w:trHeight w:val="181"/>
        </w:trPr>
        <w:tc>
          <w:tcPr>
            <w:tcW w:w="810" w:type="pct"/>
            <w:vAlign w:val="bottom"/>
          </w:tcPr>
          <w:p w14:paraId="038A1F2D" w14:textId="77777777" w:rsidR="0014595D" w:rsidRDefault="0014595D" w:rsidP="001A5D4A">
            <w:pPr>
              <w:pStyle w:val="Note-Refs"/>
            </w:pPr>
          </w:p>
        </w:tc>
        <w:tc>
          <w:tcPr>
            <w:tcW w:w="4190" w:type="pct"/>
            <w:gridSpan w:val="5"/>
            <w:vAlign w:val="bottom"/>
          </w:tcPr>
          <w:p w14:paraId="038A1F2E" w14:textId="77777777" w:rsidR="0014595D" w:rsidRDefault="0014595D" w:rsidP="001A5D4A">
            <w:pPr>
              <w:pStyle w:val="Note-TextHeader"/>
              <w:rPr>
                <w:lang w:val="en-GB"/>
              </w:rPr>
            </w:pPr>
            <w:r>
              <w:t>Non-current</w:t>
            </w:r>
          </w:p>
        </w:tc>
      </w:tr>
      <w:tr w:rsidR="00BF5CB8" w14:paraId="038A1F36" w14:textId="77777777" w:rsidTr="00E21378">
        <w:trPr>
          <w:cantSplit/>
          <w:trHeight w:val="181"/>
        </w:trPr>
        <w:tc>
          <w:tcPr>
            <w:tcW w:w="810" w:type="pct"/>
            <w:vAlign w:val="bottom"/>
          </w:tcPr>
          <w:p w14:paraId="038A1F30" w14:textId="77777777" w:rsidR="00BF5CB8" w:rsidRDefault="00BF5CB8" w:rsidP="001A5D4A">
            <w:pPr>
              <w:pStyle w:val="Note-Refs"/>
            </w:pPr>
          </w:p>
        </w:tc>
        <w:tc>
          <w:tcPr>
            <w:tcW w:w="2567" w:type="pct"/>
            <w:vAlign w:val="bottom"/>
          </w:tcPr>
          <w:p w14:paraId="038A1F31" w14:textId="77777777" w:rsidR="00BF5CB8" w:rsidRDefault="00BF5CB8" w:rsidP="001A5D4A">
            <w:pPr>
              <w:pStyle w:val="NotesTable-ItemPlain"/>
              <w:rPr>
                <w:b/>
              </w:rPr>
            </w:pPr>
            <w:r>
              <w:t>[Specify]</w:t>
            </w:r>
          </w:p>
        </w:tc>
        <w:tc>
          <w:tcPr>
            <w:tcW w:w="406" w:type="pct"/>
          </w:tcPr>
          <w:p w14:paraId="038A1F32" w14:textId="77777777" w:rsidR="00BF5CB8" w:rsidRDefault="00BF5CB8" w:rsidP="001A5D4A">
            <w:pPr>
              <w:pStyle w:val="NotesTable-CellBold"/>
            </w:pPr>
            <w:r>
              <w:t>–</w:t>
            </w:r>
          </w:p>
        </w:tc>
        <w:tc>
          <w:tcPr>
            <w:tcW w:w="406" w:type="pct"/>
          </w:tcPr>
          <w:p w14:paraId="038A1F33" w14:textId="77777777" w:rsidR="00BF5CB8" w:rsidRDefault="00BF5CB8" w:rsidP="001A5D4A">
            <w:pPr>
              <w:pStyle w:val="NotesTable-CellPlain"/>
            </w:pPr>
            <w:r>
              <w:t>–</w:t>
            </w:r>
          </w:p>
        </w:tc>
        <w:tc>
          <w:tcPr>
            <w:tcW w:w="406" w:type="pct"/>
          </w:tcPr>
          <w:p w14:paraId="038A1F34" w14:textId="77777777" w:rsidR="00BF5CB8" w:rsidRDefault="00BF5CB8" w:rsidP="001A5D4A">
            <w:pPr>
              <w:pStyle w:val="NotesTable-CellBold"/>
            </w:pPr>
            <w:r>
              <w:t>–</w:t>
            </w:r>
          </w:p>
        </w:tc>
        <w:tc>
          <w:tcPr>
            <w:tcW w:w="406" w:type="pct"/>
          </w:tcPr>
          <w:p w14:paraId="038A1F35" w14:textId="77777777" w:rsidR="00BF5CB8" w:rsidRDefault="00BF5CB8" w:rsidP="001A5D4A">
            <w:pPr>
              <w:pStyle w:val="NotesTable-CellPlain"/>
            </w:pPr>
            <w:r>
              <w:t>–</w:t>
            </w:r>
          </w:p>
        </w:tc>
      </w:tr>
      <w:tr w:rsidR="00A437E0" w14:paraId="208C9D4B" w14:textId="77777777" w:rsidTr="00E21378">
        <w:trPr>
          <w:cantSplit/>
          <w:trHeight w:val="181"/>
        </w:trPr>
        <w:tc>
          <w:tcPr>
            <w:tcW w:w="810" w:type="pct"/>
            <w:vAlign w:val="bottom"/>
          </w:tcPr>
          <w:p w14:paraId="1C3E9920" w14:textId="6FC6B75D" w:rsidR="00A437E0" w:rsidRDefault="00A437E0" w:rsidP="001A5D4A">
            <w:pPr>
              <w:pStyle w:val="Note-Refs"/>
            </w:pPr>
            <w:r>
              <w:t>AASB102.Aus36.1</w:t>
            </w:r>
          </w:p>
        </w:tc>
        <w:tc>
          <w:tcPr>
            <w:tcW w:w="2567" w:type="pct"/>
            <w:vAlign w:val="bottom"/>
          </w:tcPr>
          <w:p w14:paraId="28851A65" w14:textId="4D7B0BB4" w:rsidR="00A437E0" w:rsidRDefault="00A437E0" w:rsidP="001A5D4A">
            <w:pPr>
              <w:pStyle w:val="NotesTable-ItemPlain"/>
            </w:pPr>
            <w:r>
              <w:t>Held for distribution</w:t>
            </w:r>
          </w:p>
        </w:tc>
        <w:tc>
          <w:tcPr>
            <w:tcW w:w="406" w:type="pct"/>
          </w:tcPr>
          <w:p w14:paraId="15527042" w14:textId="08B0BF4D" w:rsidR="00A437E0" w:rsidRDefault="00A437E0" w:rsidP="001A5D4A">
            <w:pPr>
              <w:pStyle w:val="NotesTable-CellBold"/>
            </w:pPr>
            <w:r>
              <w:t>–</w:t>
            </w:r>
          </w:p>
        </w:tc>
        <w:tc>
          <w:tcPr>
            <w:tcW w:w="406" w:type="pct"/>
          </w:tcPr>
          <w:p w14:paraId="16A9461B" w14:textId="7FA7A89D" w:rsidR="00A437E0" w:rsidRDefault="00A437E0" w:rsidP="001A5D4A">
            <w:pPr>
              <w:pStyle w:val="NotesTable-CellPlain"/>
            </w:pPr>
            <w:r>
              <w:t>–</w:t>
            </w:r>
          </w:p>
        </w:tc>
        <w:tc>
          <w:tcPr>
            <w:tcW w:w="406" w:type="pct"/>
          </w:tcPr>
          <w:p w14:paraId="76F34123" w14:textId="5DFC7F5A" w:rsidR="00A437E0" w:rsidRDefault="00A437E0" w:rsidP="001A5D4A">
            <w:pPr>
              <w:pStyle w:val="NotesTable-CellBold"/>
            </w:pPr>
            <w:r>
              <w:t>–</w:t>
            </w:r>
          </w:p>
        </w:tc>
        <w:tc>
          <w:tcPr>
            <w:tcW w:w="406" w:type="pct"/>
          </w:tcPr>
          <w:p w14:paraId="6D16D8EB" w14:textId="3AAE8453" w:rsidR="00A437E0" w:rsidRDefault="00A437E0" w:rsidP="001A5D4A">
            <w:pPr>
              <w:pStyle w:val="NotesTable-CellPlain"/>
            </w:pPr>
            <w:r>
              <w:t>–</w:t>
            </w:r>
          </w:p>
        </w:tc>
      </w:tr>
      <w:tr w:rsidR="00BF5CB8" w14:paraId="038A1F3D" w14:textId="77777777" w:rsidTr="00E21378">
        <w:trPr>
          <w:cantSplit/>
          <w:trHeight w:val="181"/>
        </w:trPr>
        <w:tc>
          <w:tcPr>
            <w:tcW w:w="810" w:type="pct"/>
            <w:vAlign w:val="bottom"/>
          </w:tcPr>
          <w:p w14:paraId="038A1F37" w14:textId="77777777" w:rsidR="00BF5CB8" w:rsidRDefault="00BF5CB8" w:rsidP="001A5D4A">
            <w:pPr>
              <w:pStyle w:val="Note-Refs"/>
            </w:pPr>
          </w:p>
        </w:tc>
        <w:tc>
          <w:tcPr>
            <w:tcW w:w="2567" w:type="pct"/>
            <w:vAlign w:val="bottom"/>
          </w:tcPr>
          <w:p w14:paraId="038A1F38" w14:textId="77777777" w:rsidR="00BF5CB8" w:rsidRDefault="00BF5CB8" w:rsidP="001A5D4A">
            <w:pPr>
              <w:pStyle w:val="NotesTable-ItemPlain"/>
              <w:rPr>
                <w:b/>
              </w:rPr>
            </w:pPr>
            <w:r>
              <w:t>Total non-current inventories</w:t>
            </w:r>
          </w:p>
        </w:tc>
        <w:tc>
          <w:tcPr>
            <w:tcW w:w="406" w:type="pct"/>
            <w:tcBorders>
              <w:bottom w:val="single" w:sz="4" w:space="0" w:color="000000"/>
            </w:tcBorders>
          </w:tcPr>
          <w:p w14:paraId="038A1F39" w14:textId="77777777" w:rsidR="00BF5CB8" w:rsidRDefault="00BF5CB8" w:rsidP="001A5D4A">
            <w:pPr>
              <w:pStyle w:val="NotesTable-CellBold"/>
            </w:pPr>
            <w:r>
              <w:t>–</w:t>
            </w:r>
          </w:p>
        </w:tc>
        <w:tc>
          <w:tcPr>
            <w:tcW w:w="406" w:type="pct"/>
            <w:tcBorders>
              <w:bottom w:val="single" w:sz="4" w:space="0" w:color="000000"/>
            </w:tcBorders>
          </w:tcPr>
          <w:p w14:paraId="038A1F3A" w14:textId="77777777" w:rsidR="00BF5CB8" w:rsidRDefault="00BF5CB8" w:rsidP="001A5D4A">
            <w:pPr>
              <w:pStyle w:val="NotesTable-CellPlain"/>
            </w:pPr>
            <w:r>
              <w:t>–</w:t>
            </w:r>
          </w:p>
        </w:tc>
        <w:tc>
          <w:tcPr>
            <w:tcW w:w="406" w:type="pct"/>
            <w:tcBorders>
              <w:bottom w:val="single" w:sz="4" w:space="0" w:color="000000"/>
            </w:tcBorders>
          </w:tcPr>
          <w:p w14:paraId="038A1F3B" w14:textId="77777777" w:rsidR="00BF5CB8" w:rsidRDefault="00BF5CB8" w:rsidP="001A5D4A">
            <w:pPr>
              <w:pStyle w:val="NotesTable-CellBold"/>
            </w:pPr>
            <w:r>
              <w:t>–</w:t>
            </w:r>
          </w:p>
        </w:tc>
        <w:tc>
          <w:tcPr>
            <w:tcW w:w="406" w:type="pct"/>
            <w:tcBorders>
              <w:bottom w:val="single" w:sz="4" w:space="0" w:color="000000"/>
            </w:tcBorders>
          </w:tcPr>
          <w:p w14:paraId="038A1F3C" w14:textId="77777777" w:rsidR="00BF5CB8" w:rsidRDefault="00BF5CB8" w:rsidP="001A5D4A">
            <w:pPr>
              <w:pStyle w:val="NotesTable-CellPlain"/>
            </w:pPr>
            <w:r>
              <w:t>–</w:t>
            </w:r>
          </w:p>
        </w:tc>
      </w:tr>
      <w:tr w:rsidR="00BF5CB8" w14:paraId="038A1F44" w14:textId="77777777" w:rsidTr="00E21378">
        <w:trPr>
          <w:cantSplit/>
          <w:trHeight w:val="181"/>
        </w:trPr>
        <w:tc>
          <w:tcPr>
            <w:tcW w:w="810" w:type="pct"/>
            <w:vAlign w:val="bottom"/>
          </w:tcPr>
          <w:p w14:paraId="038A1F3E" w14:textId="77777777" w:rsidR="00BF5CB8" w:rsidRDefault="00BF5CB8" w:rsidP="001A5D4A">
            <w:pPr>
              <w:pStyle w:val="Note-Refs"/>
            </w:pPr>
          </w:p>
        </w:tc>
        <w:tc>
          <w:tcPr>
            <w:tcW w:w="2567" w:type="pct"/>
            <w:vAlign w:val="bottom"/>
          </w:tcPr>
          <w:p w14:paraId="038A1F3F" w14:textId="77777777" w:rsidR="00BF5CB8" w:rsidRDefault="00BF5CB8" w:rsidP="001A5D4A">
            <w:pPr>
              <w:pStyle w:val="NotesTable-ItemPlain"/>
              <w:rPr>
                <w:b/>
              </w:rPr>
            </w:pPr>
            <w:r>
              <w:t>Total inventories</w:t>
            </w:r>
          </w:p>
        </w:tc>
        <w:tc>
          <w:tcPr>
            <w:tcW w:w="406" w:type="pct"/>
          </w:tcPr>
          <w:p w14:paraId="038A1F40" w14:textId="77777777" w:rsidR="00BF5CB8" w:rsidRDefault="00BF5CB8" w:rsidP="001A5D4A">
            <w:pPr>
              <w:pStyle w:val="NotesTable-CellBold"/>
            </w:pPr>
            <w:r>
              <w:t>–</w:t>
            </w:r>
          </w:p>
        </w:tc>
        <w:tc>
          <w:tcPr>
            <w:tcW w:w="406" w:type="pct"/>
          </w:tcPr>
          <w:p w14:paraId="038A1F41" w14:textId="77777777" w:rsidR="00BF5CB8" w:rsidRDefault="00BF5CB8" w:rsidP="001A5D4A">
            <w:pPr>
              <w:pStyle w:val="NotesTable-CellPlain"/>
            </w:pPr>
            <w:r>
              <w:t>–</w:t>
            </w:r>
          </w:p>
        </w:tc>
        <w:tc>
          <w:tcPr>
            <w:tcW w:w="406" w:type="pct"/>
          </w:tcPr>
          <w:p w14:paraId="038A1F42" w14:textId="77777777" w:rsidR="00BF5CB8" w:rsidRDefault="00BF5CB8" w:rsidP="001A5D4A">
            <w:pPr>
              <w:pStyle w:val="NotesTable-CellBold"/>
            </w:pPr>
            <w:r>
              <w:t>–</w:t>
            </w:r>
          </w:p>
        </w:tc>
        <w:tc>
          <w:tcPr>
            <w:tcW w:w="406" w:type="pct"/>
          </w:tcPr>
          <w:p w14:paraId="038A1F43" w14:textId="77777777" w:rsidR="00BF5CB8" w:rsidRDefault="00BF5CB8" w:rsidP="001A5D4A">
            <w:pPr>
              <w:pStyle w:val="NotesTable-CellPlain"/>
            </w:pPr>
            <w:r>
              <w:t>–</w:t>
            </w:r>
          </w:p>
        </w:tc>
      </w:tr>
    </w:tbl>
    <w:p w14:paraId="78322E10" w14:textId="77777777" w:rsidR="00815248" w:rsidRPr="007F5DE6" w:rsidRDefault="00815248" w:rsidP="001A5D4A">
      <w:pPr>
        <w:pStyle w:val="Heading3"/>
        <w:rPr>
          <w:color w:val="2D3E7B" w:themeColor="text2" w:themeShade="BF"/>
        </w:rPr>
      </w:pPr>
      <w:bookmarkStart w:id="315" w:name="_Toc410807630"/>
      <w:bookmarkStart w:id="316" w:name="_Toc410822691"/>
      <w:r w:rsidRPr="007F5DE6">
        <w:rPr>
          <w:color w:val="2D3E7B" w:themeColor="text2" w:themeShade="BF"/>
        </w:rPr>
        <w:t>Commentary – Inventories</w:t>
      </w:r>
      <w:bookmarkEnd w:id="315"/>
      <w:bookmarkEnd w:id="316"/>
    </w:p>
    <w:p w14:paraId="0E7843EA" w14:textId="77777777" w:rsidR="00815248" w:rsidRPr="00AE7A0B" w:rsidRDefault="00815248" w:rsidP="00AB24D3">
      <w:pPr>
        <w:pStyle w:val="Heading4"/>
        <w:rPr>
          <w:color w:val="2D3E7B" w:themeColor="text2" w:themeShade="BF"/>
          <w14:textFill>
            <w14:solidFill>
              <w14:schemeClr w14:val="tx2">
                <w14:lumMod w14:val="75000"/>
                <w14:lumMod w14:val="75000"/>
              </w14:schemeClr>
            </w14:solidFill>
          </w14:textFill>
        </w:rPr>
      </w:pPr>
      <w:r w:rsidRPr="00AE7A0B">
        <w:rPr>
          <w:color w:val="2D3E7B" w:themeColor="text2" w:themeShade="BF"/>
          <w14:textFill>
            <w14:solidFill>
              <w14:schemeClr w14:val="tx2">
                <w14:lumMod w14:val="75000"/>
                <w14:lumMod w14:val="75000"/>
              </w14:schemeClr>
            </w14:solidFill>
          </w14:textFill>
        </w:rPr>
        <w:t xml:space="preserve">Disclosures </w:t>
      </w:r>
    </w:p>
    <w:p w14:paraId="372A2210" w14:textId="77777777" w:rsidR="00815248" w:rsidRPr="007F5DE6" w:rsidRDefault="00815248" w:rsidP="001A5D4A">
      <w:pPr>
        <w:rPr>
          <w:color w:val="2D3E7B" w:themeColor="text2" w:themeShade="BF"/>
        </w:rPr>
      </w:pPr>
      <w:r w:rsidRPr="007F5DE6">
        <w:rPr>
          <w:color w:val="2D3E7B" w:themeColor="text2" w:themeShade="BF"/>
        </w:rPr>
        <w:t xml:space="preserve">Disclosure requirements of AASB102 </w:t>
      </w:r>
      <w:r w:rsidRPr="00C94CF3">
        <w:rPr>
          <w:i/>
          <w:color w:val="2D3E7B" w:themeColor="text2" w:themeShade="BF"/>
        </w:rPr>
        <w:t>Inventories</w:t>
      </w:r>
      <w:r w:rsidRPr="007F5DE6">
        <w:rPr>
          <w:color w:val="2D3E7B" w:themeColor="text2" w:themeShade="BF"/>
        </w:rPr>
        <w:t xml:space="preserve"> that may be applicable are as follows:</w:t>
      </w:r>
    </w:p>
    <w:p w14:paraId="66698C9D" w14:textId="77777777" w:rsidR="00815248" w:rsidRPr="007F5DE6" w:rsidRDefault="00815248" w:rsidP="00E422A6">
      <w:pPr>
        <w:pStyle w:val="Heading6"/>
      </w:pPr>
      <w:r w:rsidRPr="007F5DE6">
        <w:t>AASB102.36f</w:t>
      </w:r>
    </w:p>
    <w:p w14:paraId="50136C10" w14:textId="46EE30D5" w:rsidR="00815248" w:rsidRPr="007F5DE6" w:rsidRDefault="00815248" w:rsidP="00022EFA">
      <w:pPr>
        <w:pStyle w:val="ListParagraph"/>
        <w:numPr>
          <w:ilvl w:val="0"/>
          <w:numId w:val="42"/>
        </w:numPr>
        <w:ind w:left="340" w:hanging="340"/>
        <w:rPr>
          <w:color w:val="2D3E7B" w:themeColor="text2" w:themeShade="BF"/>
        </w:rPr>
      </w:pPr>
      <w:r w:rsidRPr="007F5DE6">
        <w:rPr>
          <w:color w:val="2D3E7B" w:themeColor="text2" w:themeShade="BF"/>
        </w:rPr>
        <w:t>the amount of any reversal of any write</w:t>
      </w:r>
      <w:r w:rsidRPr="007F5DE6">
        <w:rPr>
          <w:color w:val="2D3E7B" w:themeColor="text2" w:themeShade="BF"/>
        </w:rPr>
        <w:noBreakHyphen/>
        <w:t>down that is recognised as a reduction in the amount of inventories recognised as expense in the period in accordance with AASB102.34;</w:t>
      </w:r>
    </w:p>
    <w:p w14:paraId="27EB8305" w14:textId="1425724A" w:rsidR="00815248" w:rsidRPr="007F5DE6" w:rsidRDefault="00815248" w:rsidP="00E422A6">
      <w:pPr>
        <w:pStyle w:val="Heading6"/>
      </w:pPr>
      <w:r w:rsidRPr="007F5DE6">
        <w:t>AASB102.36g</w:t>
      </w:r>
    </w:p>
    <w:p w14:paraId="110E30A9" w14:textId="1E5E8CC9" w:rsidR="00815248" w:rsidRPr="00022EFA" w:rsidRDefault="00815248" w:rsidP="00022EFA">
      <w:pPr>
        <w:pStyle w:val="ListParagraph"/>
        <w:numPr>
          <w:ilvl w:val="0"/>
          <w:numId w:val="42"/>
        </w:numPr>
        <w:ind w:left="340" w:hanging="340"/>
        <w:rPr>
          <w:color w:val="2D3E7B" w:themeColor="text2" w:themeShade="BF"/>
        </w:rPr>
      </w:pPr>
      <w:r w:rsidRPr="00022EFA">
        <w:rPr>
          <w:color w:val="2D3E7B" w:themeColor="text2" w:themeShade="BF"/>
        </w:rPr>
        <w:t>the circumstances or events that led to the reversal of a write</w:t>
      </w:r>
      <w:r w:rsidRPr="00022EFA">
        <w:rPr>
          <w:color w:val="2D3E7B" w:themeColor="text2" w:themeShade="BF"/>
        </w:rPr>
        <w:noBreakHyphen/>
        <w:t>down of inventories in accordance with AASB102.34; and</w:t>
      </w:r>
    </w:p>
    <w:p w14:paraId="686D6EB3" w14:textId="77777777" w:rsidR="00815248" w:rsidRPr="007F5DE6" w:rsidRDefault="00815248" w:rsidP="00E422A6">
      <w:pPr>
        <w:pStyle w:val="Heading6"/>
      </w:pPr>
      <w:r w:rsidRPr="007F5DE6">
        <w:lastRenderedPageBreak/>
        <w:t>AASB102.36h</w:t>
      </w:r>
    </w:p>
    <w:p w14:paraId="493CC8C8" w14:textId="1E0E3BB0" w:rsidR="00815248" w:rsidRPr="00022EFA" w:rsidRDefault="00815248" w:rsidP="00022EFA">
      <w:pPr>
        <w:pStyle w:val="ListParagraph"/>
        <w:numPr>
          <w:ilvl w:val="0"/>
          <w:numId w:val="42"/>
        </w:numPr>
        <w:ind w:left="340" w:hanging="340"/>
        <w:rPr>
          <w:color w:val="2D3E7B" w:themeColor="text2" w:themeShade="BF"/>
        </w:rPr>
      </w:pPr>
      <w:proofErr w:type="gramStart"/>
      <w:r w:rsidRPr="00022EFA">
        <w:rPr>
          <w:color w:val="2D3E7B" w:themeColor="text2" w:themeShade="BF"/>
        </w:rPr>
        <w:t>the</w:t>
      </w:r>
      <w:proofErr w:type="gramEnd"/>
      <w:r w:rsidRPr="00022EFA">
        <w:rPr>
          <w:color w:val="2D3E7B" w:themeColor="text2" w:themeShade="BF"/>
        </w:rPr>
        <w:t xml:space="preserve"> carrying amount of inventories pledged as security for liabilities.</w:t>
      </w:r>
    </w:p>
    <w:p w14:paraId="050648A8" w14:textId="77777777" w:rsidR="00815248" w:rsidRPr="007F5DE6" w:rsidRDefault="00815248" w:rsidP="00E422A6">
      <w:pPr>
        <w:pStyle w:val="Heading6"/>
      </w:pPr>
      <w:r w:rsidRPr="007F5DE6">
        <w:t>Not</w:t>
      </w:r>
      <w:r w:rsidRPr="007F5DE6">
        <w:noBreakHyphen/>
        <w:t>for</w:t>
      </w:r>
      <w:r w:rsidRPr="007F5DE6">
        <w:noBreakHyphen/>
        <w:t>profit entities</w:t>
      </w:r>
    </w:p>
    <w:p w14:paraId="5D1E0330" w14:textId="77777777" w:rsidR="00815248" w:rsidRPr="00B40DF8" w:rsidRDefault="00815248" w:rsidP="004F3ED9">
      <w:pPr>
        <w:pStyle w:val="Heading6"/>
      </w:pPr>
      <w:r w:rsidRPr="00B40DF8">
        <w:t>AASB102.Aus 9.1</w:t>
      </w:r>
    </w:p>
    <w:p w14:paraId="636D1E14" w14:textId="77777777" w:rsidR="00815248" w:rsidRPr="007F5DE6" w:rsidRDefault="00815248" w:rsidP="001A5D4A">
      <w:pPr>
        <w:rPr>
          <w:color w:val="2D3E7B" w:themeColor="text2" w:themeShade="BF"/>
        </w:rPr>
      </w:pPr>
      <w:r w:rsidRPr="007F5DE6">
        <w:rPr>
          <w:color w:val="2D3E7B" w:themeColor="text2" w:themeShade="BF"/>
        </w:rPr>
        <w:t>Not-for-profit entity shall measure inventories held for distribution at cost, adjusted when applicable for any loss of service potential.</w:t>
      </w:r>
    </w:p>
    <w:p w14:paraId="4F64B7BE" w14:textId="77777777" w:rsidR="00815248" w:rsidRPr="007F5DE6" w:rsidRDefault="00815248" w:rsidP="001A5D4A">
      <w:pPr>
        <w:rPr>
          <w:color w:val="2D3E7B" w:themeColor="text2" w:themeShade="BF"/>
        </w:rPr>
      </w:pPr>
      <w:r w:rsidRPr="007F5DE6">
        <w:rPr>
          <w:color w:val="2D3E7B" w:themeColor="text2" w:themeShade="BF"/>
        </w:rPr>
        <w:t>In respect of not</w:t>
      </w:r>
      <w:r w:rsidRPr="007F5DE6">
        <w:rPr>
          <w:color w:val="2D3E7B" w:themeColor="text2" w:themeShade="BF"/>
        </w:rPr>
        <w:noBreakHyphen/>
        <w:t>for</w:t>
      </w:r>
      <w:r w:rsidRPr="007F5DE6">
        <w:rPr>
          <w:color w:val="2D3E7B" w:themeColor="text2" w:themeShade="BF"/>
        </w:rPr>
        <w:noBreakHyphen/>
        <w:t>profit entities, disclosure is required of the following:</w:t>
      </w:r>
    </w:p>
    <w:p w14:paraId="65E9D3B4" w14:textId="3D9187DC" w:rsidR="00815248" w:rsidRPr="00B40DF8" w:rsidRDefault="00815248" w:rsidP="004F3ED9">
      <w:pPr>
        <w:pStyle w:val="Heading6"/>
      </w:pPr>
      <w:r w:rsidRPr="00B40DF8">
        <w:t>AASB102.Aus36.1a</w:t>
      </w:r>
    </w:p>
    <w:p w14:paraId="566B9EDE" w14:textId="34BFDC31"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accounting policies adopted in measuring inventories held for distribution, including the cost formula used;</w:t>
      </w:r>
    </w:p>
    <w:p w14:paraId="79BA9BDD" w14:textId="77777777" w:rsidR="00815248" w:rsidRPr="00B40DF8" w:rsidRDefault="00815248" w:rsidP="004F3ED9">
      <w:pPr>
        <w:pStyle w:val="Heading6"/>
      </w:pPr>
      <w:r w:rsidRPr="00B40DF8">
        <w:t>AASB102.Aus36.1b</w:t>
      </w:r>
    </w:p>
    <w:p w14:paraId="06FA58BC" w14:textId="4ED9CC1A"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total carrying amount of inventories held for distribution and the carrying amount in classifications appropriate to the entity;</w:t>
      </w:r>
    </w:p>
    <w:p w14:paraId="4D2AE9E8" w14:textId="77777777" w:rsidR="00815248" w:rsidRPr="00B40DF8" w:rsidRDefault="00815248" w:rsidP="004F3ED9">
      <w:pPr>
        <w:pStyle w:val="Heading6"/>
      </w:pPr>
      <w:r w:rsidRPr="00B40DF8">
        <w:t>AASB102.Aus36.1c</w:t>
      </w:r>
    </w:p>
    <w:p w14:paraId="025C394F" w14:textId="5A394E60"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amount of inventories held for distribution recognised as an expense during the period in accordance with AASB102.Aus34.1;</w:t>
      </w:r>
    </w:p>
    <w:p w14:paraId="270F3EE1" w14:textId="77777777" w:rsidR="00815248" w:rsidRPr="00B40DF8" w:rsidRDefault="00815248" w:rsidP="004F3ED9">
      <w:pPr>
        <w:pStyle w:val="Heading6"/>
      </w:pPr>
      <w:r w:rsidRPr="00B40DF8">
        <w:t>AASB102.Aus36.1d</w:t>
      </w:r>
    </w:p>
    <w:p w14:paraId="0EEBF38B" w14:textId="7464FBD7"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amount of any write</w:t>
      </w:r>
      <w:r w:rsidRPr="00022EFA">
        <w:rPr>
          <w:color w:val="2D3E7B" w:themeColor="text2" w:themeShade="BF"/>
        </w:rPr>
        <w:noBreakHyphen/>
        <w:t>down of inventories held for distribution recognised as an expense in the period in accordance with AASB102.Aus34.1;</w:t>
      </w:r>
    </w:p>
    <w:p w14:paraId="0CEACFA6" w14:textId="77777777" w:rsidR="00815248" w:rsidRPr="00B40DF8" w:rsidRDefault="00815248" w:rsidP="004F3ED9">
      <w:pPr>
        <w:pStyle w:val="Heading6"/>
      </w:pPr>
      <w:r w:rsidRPr="00B40DF8">
        <w:t>AASB102.Aus36.1e</w:t>
      </w:r>
    </w:p>
    <w:p w14:paraId="272CD6F7" w14:textId="298CEDAA"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amount of any reversal of a write</w:t>
      </w:r>
      <w:r w:rsidRPr="00022EFA">
        <w:rPr>
          <w:color w:val="2D3E7B" w:themeColor="text2" w:themeShade="BF"/>
        </w:rPr>
        <w:noBreakHyphen/>
        <w:t>down of inventories held for distribution in accordance with AASB102.Aus34.1;</w:t>
      </w:r>
    </w:p>
    <w:p w14:paraId="7E3F9C64" w14:textId="77777777" w:rsidR="00815248" w:rsidRPr="00B40DF8" w:rsidRDefault="00815248" w:rsidP="004F3ED9">
      <w:pPr>
        <w:pStyle w:val="Heading6"/>
      </w:pPr>
      <w:r w:rsidRPr="00B40DF8">
        <w:t>AASB102.Aus36.1f</w:t>
      </w:r>
    </w:p>
    <w:p w14:paraId="695FA049" w14:textId="7F3BA21B" w:rsidR="00815248" w:rsidRPr="00022EFA" w:rsidRDefault="00815248" w:rsidP="00022EFA">
      <w:pPr>
        <w:pStyle w:val="ListParagraph"/>
        <w:numPr>
          <w:ilvl w:val="0"/>
          <w:numId w:val="43"/>
        </w:numPr>
        <w:ind w:left="340" w:hanging="340"/>
        <w:rPr>
          <w:color w:val="2D3E7B" w:themeColor="text2" w:themeShade="BF"/>
        </w:rPr>
      </w:pPr>
      <w:r w:rsidRPr="00022EFA">
        <w:rPr>
          <w:color w:val="2D3E7B" w:themeColor="text2" w:themeShade="BF"/>
        </w:rPr>
        <w:t>the circumstances or events that led to the reversal of a write</w:t>
      </w:r>
      <w:r w:rsidRPr="00022EFA">
        <w:rPr>
          <w:color w:val="2D3E7B" w:themeColor="text2" w:themeShade="BF"/>
        </w:rPr>
        <w:noBreakHyphen/>
        <w:t>down of inventories held for distribution in accordance with AASB102.Aus34.1;</w:t>
      </w:r>
    </w:p>
    <w:p w14:paraId="14950962" w14:textId="77777777" w:rsidR="00815248" w:rsidRPr="00B40DF8" w:rsidRDefault="00815248" w:rsidP="004F3ED9">
      <w:pPr>
        <w:pStyle w:val="Heading6"/>
      </w:pPr>
      <w:r w:rsidRPr="00B40DF8">
        <w:t>AASB102.Aus36.1g</w:t>
      </w:r>
    </w:p>
    <w:p w14:paraId="3495A78E" w14:textId="6082376C" w:rsidR="00815248" w:rsidRPr="00022EFA" w:rsidRDefault="00815248" w:rsidP="00022EFA">
      <w:pPr>
        <w:pStyle w:val="ListParagraph"/>
        <w:numPr>
          <w:ilvl w:val="0"/>
          <w:numId w:val="43"/>
        </w:numPr>
        <w:ind w:left="340" w:hanging="340"/>
        <w:rPr>
          <w:color w:val="2D3E7B" w:themeColor="text2" w:themeShade="BF"/>
        </w:rPr>
      </w:pPr>
      <w:proofErr w:type="gramStart"/>
      <w:r w:rsidRPr="00022EFA">
        <w:rPr>
          <w:color w:val="2D3E7B" w:themeColor="text2" w:themeShade="BF"/>
        </w:rPr>
        <w:t>the</w:t>
      </w:r>
      <w:proofErr w:type="gramEnd"/>
      <w:r w:rsidRPr="00022EFA">
        <w:rPr>
          <w:color w:val="2D3E7B" w:themeColor="text2" w:themeShade="BF"/>
        </w:rPr>
        <w:t xml:space="preserve"> carrying amount of inventories held for distribution pledged as security for liabilities.</w:t>
      </w:r>
    </w:p>
    <w:p w14:paraId="50BC83F7" w14:textId="77777777" w:rsidR="002168F3" w:rsidRDefault="002168F3">
      <w:pPr>
        <w:spacing w:after="0"/>
        <w:rPr>
          <w:rFonts w:asciiTheme="majorHAnsi" w:eastAsiaTheme="majorEastAsia" w:hAnsiTheme="majorHAnsi"/>
          <w:b/>
          <w:bCs/>
          <w:i/>
          <w:iCs/>
          <w:sz w:val="32"/>
          <w:szCs w:val="28"/>
        </w:rPr>
      </w:pPr>
      <w:bookmarkStart w:id="317" w:name="_Toc410807631"/>
      <w:bookmarkStart w:id="318" w:name="_Toc410822692"/>
      <w:r>
        <w:br w:type="page"/>
      </w:r>
    </w:p>
    <w:p w14:paraId="3DC64117" w14:textId="77F36D7E" w:rsidR="001B4E7B" w:rsidRDefault="001B4E7B" w:rsidP="00AE7A0B">
      <w:pPr>
        <w:pStyle w:val="Heading2"/>
      </w:pPr>
      <w:proofErr w:type="gramStart"/>
      <w:r w:rsidRPr="001B4E7B">
        <w:lastRenderedPageBreak/>
        <w:t>Note 21.</w:t>
      </w:r>
      <w:proofErr w:type="gramEnd"/>
      <w:r w:rsidR="002636A0">
        <w:t xml:space="preserve"> </w:t>
      </w:r>
      <w:r w:rsidRPr="001B4E7B">
        <w:t>Other financial assets</w:t>
      </w:r>
      <w:bookmarkEnd w:id="317"/>
      <w:bookmarkEnd w:id="318"/>
      <w:r w:rsidRPr="001B4E7B">
        <w:t xml:space="preserve"> </w:t>
      </w:r>
    </w:p>
    <w:p w14:paraId="14EA8776" w14:textId="045B83E6" w:rsidR="001B4E7B" w:rsidRPr="001B4E7B" w:rsidRDefault="001B4E7B" w:rsidP="001A5D4A">
      <w:pPr>
        <w:rPr>
          <w:color w:val="FF0000"/>
        </w:rPr>
      </w:pPr>
      <w:r w:rsidRPr="001B4E7B">
        <w:rPr>
          <w:color w:val="FF0000"/>
        </w:rPr>
        <w:t>(</w:t>
      </w:r>
      <w:proofErr w:type="gramStart"/>
      <w:r w:rsidRPr="001B4E7B">
        <w:rPr>
          <w:color w:val="FF0000"/>
        </w:rPr>
        <w:t>see</w:t>
      </w:r>
      <w:proofErr w:type="gramEnd"/>
      <w:r w:rsidRPr="001B4E7B">
        <w:rPr>
          <w:color w:val="FF0000"/>
        </w:rPr>
        <w:t xml:space="preserve"> Appendix 1 if early adopting AASB9)</w:t>
      </w:r>
    </w:p>
    <w:tbl>
      <w:tblPr>
        <w:tblW w:w="5000" w:type="pct"/>
        <w:tblCellMar>
          <w:left w:w="0" w:type="dxa"/>
          <w:right w:w="0" w:type="dxa"/>
        </w:tblCellMar>
        <w:tblLook w:val="0000" w:firstRow="0" w:lastRow="0" w:firstColumn="0" w:lastColumn="0" w:noHBand="0" w:noVBand="0"/>
      </w:tblPr>
      <w:tblGrid>
        <w:gridCol w:w="1567"/>
        <w:gridCol w:w="5014"/>
        <w:gridCol w:w="792"/>
        <w:gridCol w:w="792"/>
        <w:gridCol w:w="792"/>
        <w:gridCol w:w="794"/>
      </w:tblGrid>
      <w:tr w:rsidR="00FC484E" w14:paraId="038A1F8D" w14:textId="77777777" w:rsidTr="00E21378">
        <w:trPr>
          <w:trHeight w:val="181"/>
        </w:trPr>
        <w:tc>
          <w:tcPr>
            <w:tcW w:w="804" w:type="pct"/>
            <w:vAlign w:val="bottom"/>
          </w:tcPr>
          <w:p w14:paraId="038A1F89" w14:textId="77777777" w:rsidR="00FC484E" w:rsidRDefault="00FC484E" w:rsidP="001A5D4A">
            <w:pPr>
              <w:pStyle w:val="Note-Refs"/>
            </w:pPr>
          </w:p>
        </w:tc>
        <w:tc>
          <w:tcPr>
            <w:tcW w:w="2571" w:type="pct"/>
            <w:vAlign w:val="bottom"/>
          </w:tcPr>
          <w:p w14:paraId="038A1F8A" w14:textId="23126CF4" w:rsidR="00FC484E" w:rsidRDefault="00FC484E" w:rsidP="001A5D4A">
            <w:pPr>
              <w:pStyle w:val="Format-BlankLine"/>
              <w:snapToGrid w:val="0"/>
              <w:rPr>
                <w:rFonts w:ascii="Arial" w:hAnsi="Arial" w:cs="Arial"/>
                <w:sz w:val="18"/>
                <w:szCs w:val="18"/>
              </w:rPr>
            </w:pPr>
          </w:p>
        </w:tc>
        <w:tc>
          <w:tcPr>
            <w:tcW w:w="812" w:type="pct"/>
            <w:gridSpan w:val="2"/>
            <w:vAlign w:val="bottom"/>
          </w:tcPr>
          <w:p w14:paraId="038A1F8B" w14:textId="77777777" w:rsidR="00FC484E" w:rsidRDefault="00FC484E" w:rsidP="001A5D4A">
            <w:pPr>
              <w:pStyle w:val="NotesTable-HeadPlain"/>
              <w:rPr>
                <w:b/>
              </w:rPr>
            </w:pPr>
            <w:r>
              <w:t>Consolidated</w:t>
            </w:r>
          </w:p>
        </w:tc>
        <w:tc>
          <w:tcPr>
            <w:tcW w:w="812" w:type="pct"/>
            <w:gridSpan w:val="2"/>
            <w:vAlign w:val="bottom"/>
          </w:tcPr>
          <w:p w14:paraId="038A1F8C" w14:textId="77777777" w:rsidR="00FC484E" w:rsidRDefault="00FC484E" w:rsidP="001A5D4A">
            <w:pPr>
              <w:pStyle w:val="NotesTable-HeadPlain"/>
              <w:rPr>
                <w:szCs w:val="18"/>
              </w:rPr>
            </w:pPr>
            <w:r>
              <w:t>Parent entity</w:t>
            </w:r>
          </w:p>
        </w:tc>
      </w:tr>
      <w:tr w:rsidR="00CD3EA5" w14:paraId="038A1F94" w14:textId="77777777" w:rsidTr="00E21378">
        <w:trPr>
          <w:trHeight w:val="181"/>
        </w:trPr>
        <w:tc>
          <w:tcPr>
            <w:tcW w:w="804" w:type="pct"/>
            <w:vAlign w:val="bottom"/>
          </w:tcPr>
          <w:p w14:paraId="038A1F8E" w14:textId="451DC164" w:rsidR="00CD3EA5" w:rsidRDefault="00CD3EA5" w:rsidP="001A5D4A">
            <w:pPr>
              <w:pStyle w:val="Note-Refs"/>
            </w:pPr>
            <w:r>
              <w:t xml:space="preserve">AASB7.8a-d, </w:t>
            </w:r>
          </w:p>
        </w:tc>
        <w:tc>
          <w:tcPr>
            <w:tcW w:w="2571" w:type="pct"/>
            <w:vAlign w:val="bottom"/>
          </w:tcPr>
          <w:p w14:paraId="038A1F8F" w14:textId="77777777" w:rsidR="00CD3EA5" w:rsidRDefault="00CD3EA5" w:rsidP="001A5D4A">
            <w:pPr>
              <w:pStyle w:val="NotesTable-ItemPlain"/>
            </w:pPr>
          </w:p>
        </w:tc>
        <w:tc>
          <w:tcPr>
            <w:tcW w:w="406" w:type="pct"/>
            <w:vAlign w:val="bottom"/>
          </w:tcPr>
          <w:p w14:paraId="038A1F90" w14:textId="2DBEC659" w:rsidR="00CD3EA5" w:rsidRDefault="006864EC" w:rsidP="001A5D4A">
            <w:pPr>
              <w:pStyle w:val="NotesTable-HeadBold"/>
            </w:pPr>
            <w:r>
              <w:t>2014</w:t>
            </w:r>
          </w:p>
        </w:tc>
        <w:tc>
          <w:tcPr>
            <w:tcW w:w="406" w:type="pct"/>
            <w:vAlign w:val="bottom"/>
          </w:tcPr>
          <w:p w14:paraId="038A1F91" w14:textId="0ACC00E1" w:rsidR="00CD3EA5" w:rsidRDefault="006864EC" w:rsidP="001A5D4A">
            <w:pPr>
              <w:pStyle w:val="NotesTable-HeadPlain"/>
            </w:pPr>
            <w:r>
              <w:t>2013</w:t>
            </w:r>
          </w:p>
        </w:tc>
        <w:tc>
          <w:tcPr>
            <w:tcW w:w="406" w:type="pct"/>
            <w:vAlign w:val="bottom"/>
          </w:tcPr>
          <w:p w14:paraId="038A1F92" w14:textId="4F4A6239" w:rsidR="00CD3EA5" w:rsidRDefault="006864EC" w:rsidP="001A5D4A">
            <w:pPr>
              <w:pStyle w:val="NotesTable-HeadBold"/>
            </w:pPr>
            <w:r>
              <w:t>2014</w:t>
            </w:r>
          </w:p>
        </w:tc>
        <w:tc>
          <w:tcPr>
            <w:tcW w:w="406" w:type="pct"/>
            <w:vAlign w:val="bottom"/>
          </w:tcPr>
          <w:p w14:paraId="038A1F93" w14:textId="73A6FE2B" w:rsidR="00CD3EA5" w:rsidRDefault="006864EC" w:rsidP="001A5D4A">
            <w:pPr>
              <w:pStyle w:val="NotesTable-HeadPlain"/>
            </w:pPr>
            <w:r>
              <w:t>2013</w:t>
            </w:r>
          </w:p>
        </w:tc>
      </w:tr>
      <w:tr w:rsidR="00CD3EA5" w14:paraId="038A1F9B" w14:textId="77777777" w:rsidTr="00E21378">
        <w:trPr>
          <w:trHeight w:val="181"/>
        </w:trPr>
        <w:tc>
          <w:tcPr>
            <w:tcW w:w="804" w:type="pct"/>
            <w:vAlign w:val="bottom"/>
          </w:tcPr>
          <w:p w14:paraId="038A1F95" w14:textId="21910168" w:rsidR="00CD3EA5" w:rsidRDefault="00CD3EA5" w:rsidP="001A5D4A">
            <w:pPr>
              <w:pStyle w:val="Note-Refs"/>
            </w:pPr>
            <w:r>
              <w:t>AASB101.60</w:t>
            </w:r>
          </w:p>
        </w:tc>
        <w:tc>
          <w:tcPr>
            <w:tcW w:w="2571" w:type="pct"/>
            <w:vAlign w:val="bottom"/>
          </w:tcPr>
          <w:p w14:paraId="038A1F96" w14:textId="77777777" w:rsidR="00CD3EA5" w:rsidRDefault="00CD3EA5" w:rsidP="001A5D4A">
            <w:pPr>
              <w:pStyle w:val="NotesTable-ItemPlain"/>
            </w:pPr>
          </w:p>
        </w:tc>
        <w:tc>
          <w:tcPr>
            <w:tcW w:w="406" w:type="pct"/>
            <w:vAlign w:val="bottom"/>
          </w:tcPr>
          <w:p w14:paraId="038A1F97" w14:textId="77777777" w:rsidR="00CD3EA5" w:rsidRDefault="00CD3EA5" w:rsidP="001A5D4A">
            <w:pPr>
              <w:pStyle w:val="NotesTable-HeadBold"/>
            </w:pPr>
            <w:r>
              <w:t>$'000</w:t>
            </w:r>
          </w:p>
        </w:tc>
        <w:tc>
          <w:tcPr>
            <w:tcW w:w="406" w:type="pct"/>
            <w:vAlign w:val="bottom"/>
          </w:tcPr>
          <w:p w14:paraId="038A1F98" w14:textId="77777777" w:rsidR="00CD3EA5" w:rsidRDefault="00CD3EA5" w:rsidP="001A5D4A">
            <w:pPr>
              <w:pStyle w:val="NotesTable-HeadPlain"/>
            </w:pPr>
            <w:r>
              <w:t>$'000</w:t>
            </w:r>
          </w:p>
        </w:tc>
        <w:tc>
          <w:tcPr>
            <w:tcW w:w="406" w:type="pct"/>
            <w:vAlign w:val="bottom"/>
          </w:tcPr>
          <w:p w14:paraId="038A1F99" w14:textId="77777777" w:rsidR="00CD3EA5" w:rsidRDefault="00CD3EA5" w:rsidP="001A5D4A">
            <w:pPr>
              <w:pStyle w:val="NotesTable-HeadBold"/>
            </w:pPr>
            <w:r>
              <w:t>$'000</w:t>
            </w:r>
          </w:p>
        </w:tc>
        <w:tc>
          <w:tcPr>
            <w:tcW w:w="406" w:type="pct"/>
            <w:vAlign w:val="bottom"/>
          </w:tcPr>
          <w:p w14:paraId="038A1F9A" w14:textId="77777777" w:rsidR="00CD3EA5" w:rsidRDefault="00CD3EA5" w:rsidP="001A5D4A">
            <w:pPr>
              <w:pStyle w:val="NotesTable-HeadPlain"/>
            </w:pPr>
            <w:r>
              <w:t>$'000</w:t>
            </w:r>
          </w:p>
        </w:tc>
      </w:tr>
      <w:tr w:rsidR="00CD3EA5" w14:paraId="038A1F9E" w14:textId="77777777" w:rsidTr="00E21378">
        <w:trPr>
          <w:trHeight w:val="181"/>
        </w:trPr>
        <w:tc>
          <w:tcPr>
            <w:tcW w:w="804" w:type="pct"/>
            <w:vAlign w:val="bottom"/>
          </w:tcPr>
          <w:p w14:paraId="038A1F9C" w14:textId="77777777" w:rsidR="00CD3EA5" w:rsidRDefault="00CD3EA5" w:rsidP="001A5D4A">
            <w:pPr>
              <w:pStyle w:val="Note-Refs"/>
            </w:pPr>
          </w:p>
        </w:tc>
        <w:tc>
          <w:tcPr>
            <w:tcW w:w="4196" w:type="pct"/>
            <w:gridSpan w:val="5"/>
            <w:vAlign w:val="bottom"/>
          </w:tcPr>
          <w:p w14:paraId="038A1F9D" w14:textId="77777777" w:rsidR="00CD3EA5" w:rsidRDefault="00CD3EA5" w:rsidP="001A5D4A">
            <w:pPr>
              <w:pStyle w:val="Note-TextHeader"/>
              <w:rPr>
                <w:lang w:val="en-GB"/>
              </w:rPr>
            </w:pPr>
            <w:r>
              <w:t>Current</w:t>
            </w:r>
          </w:p>
        </w:tc>
      </w:tr>
      <w:tr w:rsidR="00CD3EA5" w14:paraId="038A1FA5" w14:textId="77777777" w:rsidTr="00E21378">
        <w:trPr>
          <w:trHeight w:val="181"/>
        </w:trPr>
        <w:tc>
          <w:tcPr>
            <w:tcW w:w="804" w:type="pct"/>
            <w:vAlign w:val="bottom"/>
          </w:tcPr>
          <w:p w14:paraId="038A1F9F" w14:textId="1F1019F8" w:rsidR="00CD3EA5" w:rsidRDefault="00CD3EA5" w:rsidP="001A5D4A">
            <w:pPr>
              <w:pStyle w:val="Note-Refs"/>
            </w:pPr>
          </w:p>
        </w:tc>
        <w:tc>
          <w:tcPr>
            <w:tcW w:w="2571" w:type="pct"/>
            <w:vAlign w:val="bottom"/>
          </w:tcPr>
          <w:p w14:paraId="038A1FA0" w14:textId="77777777" w:rsidR="00CD3EA5" w:rsidRDefault="00CD3EA5" w:rsidP="001A5D4A">
            <w:pPr>
              <w:pStyle w:val="NotesTable-ItemPlain"/>
              <w:rPr>
                <w:b/>
              </w:rPr>
            </w:pPr>
            <w:r>
              <w:t>Fair value through profit or loss (held for trading)</w:t>
            </w:r>
          </w:p>
        </w:tc>
        <w:tc>
          <w:tcPr>
            <w:tcW w:w="406" w:type="pct"/>
          </w:tcPr>
          <w:p w14:paraId="038A1FA1" w14:textId="77777777" w:rsidR="00CD3EA5" w:rsidRDefault="00CD3EA5" w:rsidP="001A5D4A">
            <w:pPr>
              <w:pStyle w:val="NotesTable-CellBold"/>
            </w:pPr>
            <w:r>
              <w:t>–</w:t>
            </w:r>
          </w:p>
        </w:tc>
        <w:tc>
          <w:tcPr>
            <w:tcW w:w="406" w:type="pct"/>
          </w:tcPr>
          <w:p w14:paraId="038A1FA2" w14:textId="77777777" w:rsidR="00CD3EA5" w:rsidRDefault="00CD3EA5" w:rsidP="001A5D4A">
            <w:pPr>
              <w:pStyle w:val="NotesTable-CellPlain"/>
            </w:pPr>
            <w:r>
              <w:t>–</w:t>
            </w:r>
          </w:p>
        </w:tc>
        <w:tc>
          <w:tcPr>
            <w:tcW w:w="406" w:type="pct"/>
          </w:tcPr>
          <w:p w14:paraId="038A1FA3" w14:textId="77777777" w:rsidR="00CD3EA5" w:rsidRDefault="00CD3EA5" w:rsidP="001A5D4A">
            <w:pPr>
              <w:pStyle w:val="NotesTable-CellBold"/>
            </w:pPr>
            <w:r>
              <w:t>–</w:t>
            </w:r>
          </w:p>
        </w:tc>
        <w:tc>
          <w:tcPr>
            <w:tcW w:w="406" w:type="pct"/>
          </w:tcPr>
          <w:p w14:paraId="038A1FA4" w14:textId="77777777" w:rsidR="00CD3EA5" w:rsidRDefault="00CD3EA5" w:rsidP="001A5D4A">
            <w:pPr>
              <w:pStyle w:val="NotesTable-CellPlain"/>
            </w:pPr>
            <w:r>
              <w:t>–</w:t>
            </w:r>
          </w:p>
        </w:tc>
      </w:tr>
      <w:tr w:rsidR="00CD3EA5" w14:paraId="038A1FAC" w14:textId="77777777" w:rsidTr="00E21378">
        <w:trPr>
          <w:trHeight w:val="181"/>
        </w:trPr>
        <w:tc>
          <w:tcPr>
            <w:tcW w:w="804" w:type="pct"/>
            <w:vAlign w:val="bottom"/>
          </w:tcPr>
          <w:p w14:paraId="038A1FA6" w14:textId="47C0F9EA" w:rsidR="00CD3EA5" w:rsidRDefault="00CD3EA5" w:rsidP="001A5D4A">
            <w:pPr>
              <w:pStyle w:val="Note-Refs"/>
            </w:pPr>
          </w:p>
        </w:tc>
        <w:tc>
          <w:tcPr>
            <w:tcW w:w="2571" w:type="pct"/>
            <w:vAlign w:val="bottom"/>
          </w:tcPr>
          <w:p w14:paraId="038A1FA7" w14:textId="06966306" w:rsidR="00CD3EA5" w:rsidRDefault="00CD3EA5" w:rsidP="001A5D4A">
            <w:pPr>
              <w:pStyle w:val="NotesTable-ItemPlain"/>
              <w:rPr>
                <w:b/>
              </w:rPr>
            </w:pPr>
            <w:r>
              <w:t>Fair value through profit or loss</w:t>
            </w:r>
            <w:r w:rsidR="008C7B83">
              <w:t xml:space="preserve"> (other)</w:t>
            </w:r>
          </w:p>
        </w:tc>
        <w:tc>
          <w:tcPr>
            <w:tcW w:w="406" w:type="pct"/>
          </w:tcPr>
          <w:p w14:paraId="038A1FA8" w14:textId="77777777" w:rsidR="00CD3EA5" w:rsidRDefault="00CD3EA5" w:rsidP="001A5D4A">
            <w:pPr>
              <w:pStyle w:val="NotesTable-CellBold"/>
            </w:pPr>
            <w:r>
              <w:t>–</w:t>
            </w:r>
          </w:p>
        </w:tc>
        <w:tc>
          <w:tcPr>
            <w:tcW w:w="406" w:type="pct"/>
          </w:tcPr>
          <w:p w14:paraId="038A1FA9" w14:textId="77777777" w:rsidR="00CD3EA5" w:rsidRDefault="00CD3EA5" w:rsidP="001A5D4A">
            <w:pPr>
              <w:pStyle w:val="NotesTable-CellPlain"/>
            </w:pPr>
            <w:r>
              <w:t>–</w:t>
            </w:r>
          </w:p>
        </w:tc>
        <w:tc>
          <w:tcPr>
            <w:tcW w:w="406" w:type="pct"/>
          </w:tcPr>
          <w:p w14:paraId="038A1FAA" w14:textId="77777777" w:rsidR="00CD3EA5" w:rsidRDefault="00CD3EA5" w:rsidP="001A5D4A">
            <w:pPr>
              <w:pStyle w:val="NotesTable-CellBold"/>
            </w:pPr>
            <w:r>
              <w:t>–</w:t>
            </w:r>
          </w:p>
        </w:tc>
        <w:tc>
          <w:tcPr>
            <w:tcW w:w="406" w:type="pct"/>
          </w:tcPr>
          <w:p w14:paraId="038A1FAB" w14:textId="77777777" w:rsidR="00CD3EA5" w:rsidRDefault="00CD3EA5" w:rsidP="001A5D4A">
            <w:pPr>
              <w:pStyle w:val="NotesTable-CellPlain"/>
            </w:pPr>
            <w:r>
              <w:t>–</w:t>
            </w:r>
          </w:p>
        </w:tc>
      </w:tr>
      <w:tr w:rsidR="00CD3EA5" w14:paraId="038A1FB3" w14:textId="77777777" w:rsidTr="00E21378">
        <w:trPr>
          <w:trHeight w:val="181"/>
        </w:trPr>
        <w:tc>
          <w:tcPr>
            <w:tcW w:w="804" w:type="pct"/>
            <w:vAlign w:val="bottom"/>
          </w:tcPr>
          <w:p w14:paraId="038A1FAD" w14:textId="6F6C5B4E" w:rsidR="00CD3EA5" w:rsidRDefault="00CD3EA5" w:rsidP="001A5D4A">
            <w:pPr>
              <w:pStyle w:val="Note-Refs"/>
            </w:pPr>
          </w:p>
        </w:tc>
        <w:tc>
          <w:tcPr>
            <w:tcW w:w="2571" w:type="pct"/>
            <w:vAlign w:val="bottom"/>
          </w:tcPr>
          <w:p w14:paraId="038A1FAE" w14:textId="77777777" w:rsidR="00CD3EA5" w:rsidRDefault="00CD3EA5" w:rsidP="001A5D4A">
            <w:pPr>
              <w:pStyle w:val="NotesTable-ItemPlain"/>
              <w:rPr>
                <w:b/>
              </w:rPr>
            </w:pPr>
            <w:r>
              <w:t>Held-to-maturity</w:t>
            </w:r>
          </w:p>
        </w:tc>
        <w:tc>
          <w:tcPr>
            <w:tcW w:w="406" w:type="pct"/>
          </w:tcPr>
          <w:p w14:paraId="038A1FAF" w14:textId="77777777" w:rsidR="00CD3EA5" w:rsidRDefault="00CD3EA5" w:rsidP="001A5D4A">
            <w:pPr>
              <w:pStyle w:val="NotesTable-CellBold"/>
            </w:pPr>
            <w:r>
              <w:t>–</w:t>
            </w:r>
          </w:p>
        </w:tc>
        <w:tc>
          <w:tcPr>
            <w:tcW w:w="406" w:type="pct"/>
          </w:tcPr>
          <w:p w14:paraId="038A1FB0" w14:textId="77777777" w:rsidR="00CD3EA5" w:rsidRDefault="00CD3EA5" w:rsidP="001A5D4A">
            <w:pPr>
              <w:pStyle w:val="NotesTable-CellPlain"/>
            </w:pPr>
            <w:r>
              <w:t>–</w:t>
            </w:r>
          </w:p>
        </w:tc>
        <w:tc>
          <w:tcPr>
            <w:tcW w:w="406" w:type="pct"/>
          </w:tcPr>
          <w:p w14:paraId="038A1FB1" w14:textId="77777777" w:rsidR="00CD3EA5" w:rsidRDefault="00CD3EA5" w:rsidP="001A5D4A">
            <w:pPr>
              <w:pStyle w:val="NotesTable-CellBold"/>
            </w:pPr>
            <w:r>
              <w:t>–</w:t>
            </w:r>
          </w:p>
        </w:tc>
        <w:tc>
          <w:tcPr>
            <w:tcW w:w="406" w:type="pct"/>
          </w:tcPr>
          <w:p w14:paraId="038A1FB2" w14:textId="77777777" w:rsidR="00CD3EA5" w:rsidRDefault="00CD3EA5" w:rsidP="001A5D4A">
            <w:pPr>
              <w:pStyle w:val="NotesTable-CellPlain"/>
            </w:pPr>
            <w:r>
              <w:t>–</w:t>
            </w:r>
          </w:p>
        </w:tc>
      </w:tr>
      <w:tr w:rsidR="00CD3EA5" w14:paraId="038A1FBA" w14:textId="77777777" w:rsidTr="00E21378">
        <w:trPr>
          <w:trHeight w:val="181"/>
        </w:trPr>
        <w:tc>
          <w:tcPr>
            <w:tcW w:w="804" w:type="pct"/>
            <w:vAlign w:val="bottom"/>
          </w:tcPr>
          <w:p w14:paraId="038A1FB4" w14:textId="7A70E5D9" w:rsidR="00CD3EA5" w:rsidRDefault="00CD3EA5" w:rsidP="001A5D4A">
            <w:pPr>
              <w:pStyle w:val="Note-Refs"/>
            </w:pPr>
          </w:p>
        </w:tc>
        <w:tc>
          <w:tcPr>
            <w:tcW w:w="2571" w:type="pct"/>
            <w:vAlign w:val="bottom"/>
          </w:tcPr>
          <w:p w14:paraId="038A1FB5" w14:textId="77777777" w:rsidR="00CD3EA5" w:rsidRDefault="00CD3EA5" w:rsidP="001A5D4A">
            <w:pPr>
              <w:pStyle w:val="NotesTable-ItemPlain"/>
              <w:rPr>
                <w:b/>
              </w:rPr>
            </w:pPr>
            <w:r>
              <w:t>Available for sale</w:t>
            </w:r>
          </w:p>
        </w:tc>
        <w:tc>
          <w:tcPr>
            <w:tcW w:w="406" w:type="pct"/>
          </w:tcPr>
          <w:p w14:paraId="038A1FB6" w14:textId="77777777" w:rsidR="00CD3EA5" w:rsidRDefault="00CD3EA5" w:rsidP="001A5D4A">
            <w:pPr>
              <w:pStyle w:val="NotesTable-CellBold"/>
            </w:pPr>
            <w:r>
              <w:t>–</w:t>
            </w:r>
          </w:p>
        </w:tc>
        <w:tc>
          <w:tcPr>
            <w:tcW w:w="406" w:type="pct"/>
          </w:tcPr>
          <w:p w14:paraId="038A1FB7" w14:textId="77777777" w:rsidR="00CD3EA5" w:rsidRDefault="00CD3EA5" w:rsidP="001A5D4A">
            <w:pPr>
              <w:pStyle w:val="NotesTable-CellPlain"/>
            </w:pPr>
            <w:r>
              <w:t>–</w:t>
            </w:r>
          </w:p>
        </w:tc>
        <w:tc>
          <w:tcPr>
            <w:tcW w:w="406" w:type="pct"/>
          </w:tcPr>
          <w:p w14:paraId="038A1FB8" w14:textId="77777777" w:rsidR="00CD3EA5" w:rsidRDefault="00CD3EA5" w:rsidP="001A5D4A">
            <w:pPr>
              <w:pStyle w:val="NotesTable-CellBold"/>
            </w:pPr>
            <w:r>
              <w:t>–</w:t>
            </w:r>
          </w:p>
        </w:tc>
        <w:tc>
          <w:tcPr>
            <w:tcW w:w="406" w:type="pct"/>
          </w:tcPr>
          <w:p w14:paraId="038A1FB9" w14:textId="77777777" w:rsidR="00CD3EA5" w:rsidRDefault="00CD3EA5" w:rsidP="001A5D4A">
            <w:pPr>
              <w:pStyle w:val="NotesTable-CellPlain"/>
            </w:pPr>
            <w:r>
              <w:t>–</w:t>
            </w:r>
          </w:p>
        </w:tc>
      </w:tr>
      <w:tr w:rsidR="00CD3EA5" w14:paraId="038A1FC1" w14:textId="77777777" w:rsidTr="00E21378">
        <w:trPr>
          <w:trHeight w:val="181"/>
        </w:trPr>
        <w:tc>
          <w:tcPr>
            <w:tcW w:w="804" w:type="pct"/>
            <w:vAlign w:val="bottom"/>
          </w:tcPr>
          <w:p w14:paraId="038A1FBB" w14:textId="04A9F71C" w:rsidR="00CD3EA5" w:rsidRDefault="00CD3EA5" w:rsidP="001A5D4A">
            <w:pPr>
              <w:pStyle w:val="Note-Refs"/>
            </w:pPr>
          </w:p>
        </w:tc>
        <w:tc>
          <w:tcPr>
            <w:tcW w:w="2571" w:type="pct"/>
            <w:vAlign w:val="bottom"/>
          </w:tcPr>
          <w:p w14:paraId="038A1FBC" w14:textId="77777777" w:rsidR="00CD3EA5" w:rsidRDefault="00CD3EA5" w:rsidP="001A5D4A">
            <w:pPr>
              <w:pStyle w:val="NotesTable-ItemPlain"/>
              <w:rPr>
                <w:b/>
              </w:rPr>
            </w:pPr>
            <w:r>
              <w:t>Loans and receivables</w:t>
            </w:r>
          </w:p>
        </w:tc>
        <w:tc>
          <w:tcPr>
            <w:tcW w:w="406" w:type="pct"/>
          </w:tcPr>
          <w:p w14:paraId="038A1FBD" w14:textId="77777777" w:rsidR="00CD3EA5" w:rsidRDefault="00CD3EA5" w:rsidP="001A5D4A">
            <w:pPr>
              <w:pStyle w:val="NotesTable-CellBold"/>
            </w:pPr>
            <w:r>
              <w:t>–</w:t>
            </w:r>
          </w:p>
        </w:tc>
        <w:tc>
          <w:tcPr>
            <w:tcW w:w="406" w:type="pct"/>
          </w:tcPr>
          <w:p w14:paraId="038A1FBE" w14:textId="77777777" w:rsidR="00CD3EA5" w:rsidRDefault="00CD3EA5" w:rsidP="001A5D4A">
            <w:pPr>
              <w:pStyle w:val="NotesTable-CellPlain"/>
            </w:pPr>
            <w:r>
              <w:t>–</w:t>
            </w:r>
          </w:p>
        </w:tc>
        <w:tc>
          <w:tcPr>
            <w:tcW w:w="406" w:type="pct"/>
          </w:tcPr>
          <w:p w14:paraId="038A1FBF" w14:textId="77777777" w:rsidR="00CD3EA5" w:rsidRDefault="00CD3EA5" w:rsidP="001A5D4A">
            <w:pPr>
              <w:pStyle w:val="NotesTable-CellBold"/>
            </w:pPr>
            <w:r>
              <w:t>–</w:t>
            </w:r>
          </w:p>
        </w:tc>
        <w:tc>
          <w:tcPr>
            <w:tcW w:w="406" w:type="pct"/>
          </w:tcPr>
          <w:p w14:paraId="038A1FC0" w14:textId="77777777" w:rsidR="00CD3EA5" w:rsidRDefault="00CD3EA5" w:rsidP="001A5D4A">
            <w:pPr>
              <w:pStyle w:val="NotesTable-CellPlain"/>
            </w:pPr>
            <w:r>
              <w:t>–</w:t>
            </w:r>
          </w:p>
        </w:tc>
      </w:tr>
      <w:tr w:rsidR="00CD3EA5" w14:paraId="038A1FC8" w14:textId="77777777" w:rsidTr="00E21378">
        <w:trPr>
          <w:trHeight w:val="181"/>
        </w:trPr>
        <w:tc>
          <w:tcPr>
            <w:tcW w:w="804" w:type="pct"/>
            <w:vAlign w:val="bottom"/>
          </w:tcPr>
          <w:p w14:paraId="038A1FC2" w14:textId="77777777" w:rsidR="00CD3EA5" w:rsidRDefault="00CD3EA5" w:rsidP="001A5D4A">
            <w:pPr>
              <w:pStyle w:val="Note-Refs"/>
            </w:pPr>
          </w:p>
        </w:tc>
        <w:tc>
          <w:tcPr>
            <w:tcW w:w="2571" w:type="pct"/>
            <w:vAlign w:val="bottom"/>
          </w:tcPr>
          <w:p w14:paraId="038A1FC3" w14:textId="77777777" w:rsidR="00CD3EA5" w:rsidRDefault="00CD3EA5" w:rsidP="001A5D4A">
            <w:pPr>
              <w:pStyle w:val="NotesTable-ItemPlain"/>
              <w:rPr>
                <w:b/>
              </w:rPr>
            </w:pPr>
            <w:r>
              <w:t>[Specify others]</w:t>
            </w:r>
          </w:p>
        </w:tc>
        <w:tc>
          <w:tcPr>
            <w:tcW w:w="406" w:type="pct"/>
            <w:tcBorders>
              <w:bottom w:val="single" w:sz="4" w:space="0" w:color="auto"/>
            </w:tcBorders>
          </w:tcPr>
          <w:p w14:paraId="038A1FC4" w14:textId="77777777" w:rsidR="00CD3EA5" w:rsidRDefault="00CD3EA5" w:rsidP="001A5D4A">
            <w:pPr>
              <w:pStyle w:val="NotesTable-CellBold"/>
            </w:pPr>
            <w:r>
              <w:t>–</w:t>
            </w:r>
          </w:p>
        </w:tc>
        <w:tc>
          <w:tcPr>
            <w:tcW w:w="406" w:type="pct"/>
            <w:tcBorders>
              <w:bottom w:val="single" w:sz="4" w:space="0" w:color="auto"/>
            </w:tcBorders>
          </w:tcPr>
          <w:p w14:paraId="038A1FC5" w14:textId="77777777" w:rsidR="00CD3EA5" w:rsidRDefault="00CD3EA5" w:rsidP="001A5D4A">
            <w:pPr>
              <w:pStyle w:val="NotesTable-CellPlain"/>
            </w:pPr>
            <w:r>
              <w:t>–</w:t>
            </w:r>
          </w:p>
        </w:tc>
        <w:tc>
          <w:tcPr>
            <w:tcW w:w="406" w:type="pct"/>
            <w:tcBorders>
              <w:bottom w:val="single" w:sz="4" w:space="0" w:color="auto"/>
            </w:tcBorders>
          </w:tcPr>
          <w:p w14:paraId="038A1FC6" w14:textId="77777777" w:rsidR="00CD3EA5" w:rsidRDefault="00CD3EA5" w:rsidP="001A5D4A">
            <w:pPr>
              <w:pStyle w:val="NotesTable-CellBold"/>
            </w:pPr>
            <w:r>
              <w:t>–</w:t>
            </w:r>
          </w:p>
        </w:tc>
        <w:tc>
          <w:tcPr>
            <w:tcW w:w="406" w:type="pct"/>
            <w:tcBorders>
              <w:bottom w:val="single" w:sz="4" w:space="0" w:color="auto"/>
            </w:tcBorders>
          </w:tcPr>
          <w:p w14:paraId="038A1FC7" w14:textId="77777777" w:rsidR="00CD3EA5" w:rsidRDefault="00CD3EA5" w:rsidP="001A5D4A">
            <w:pPr>
              <w:pStyle w:val="NotesTable-CellPlain"/>
            </w:pPr>
            <w:r>
              <w:t>–</w:t>
            </w:r>
          </w:p>
        </w:tc>
      </w:tr>
      <w:tr w:rsidR="00CD3EA5" w14:paraId="038A1FCF" w14:textId="77777777" w:rsidTr="00E21378">
        <w:trPr>
          <w:trHeight w:val="181"/>
        </w:trPr>
        <w:tc>
          <w:tcPr>
            <w:tcW w:w="804" w:type="pct"/>
            <w:vAlign w:val="bottom"/>
          </w:tcPr>
          <w:p w14:paraId="038A1FC9" w14:textId="77777777" w:rsidR="00CD3EA5" w:rsidRDefault="00CD3EA5" w:rsidP="001A5D4A">
            <w:pPr>
              <w:pStyle w:val="Note-Refs"/>
            </w:pPr>
          </w:p>
        </w:tc>
        <w:tc>
          <w:tcPr>
            <w:tcW w:w="2571" w:type="pct"/>
            <w:vAlign w:val="bottom"/>
          </w:tcPr>
          <w:p w14:paraId="038A1FCA" w14:textId="77777777" w:rsidR="00CD3EA5" w:rsidRDefault="00CD3EA5" w:rsidP="001A5D4A">
            <w:pPr>
              <w:pStyle w:val="NotesTable-ItemPlain"/>
              <w:rPr>
                <w:b/>
              </w:rPr>
            </w:pPr>
            <w:r>
              <w:t>Total current other financial assets</w:t>
            </w:r>
          </w:p>
        </w:tc>
        <w:tc>
          <w:tcPr>
            <w:tcW w:w="406" w:type="pct"/>
            <w:tcBorders>
              <w:top w:val="single" w:sz="4" w:space="0" w:color="auto"/>
            </w:tcBorders>
          </w:tcPr>
          <w:p w14:paraId="038A1FCB" w14:textId="77777777" w:rsidR="00CD3EA5" w:rsidRDefault="00CD3EA5" w:rsidP="001A5D4A">
            <w:pPr>
              <w:pStyle w:val="NotesTable-CellBold"/>
            </w:pPr>
            <w:r>
              <w:t>–</w:t>
            </w:r>
          </w:p>
        </w:tc>
        <w:tc>
          <w:tcPr>
            <w:tcW w:w="406" w:type="pct"/>
            <w:tcBorders>
              <w:top w:val="single" w:sz="4" w:space="0" w:color="auto"/>
            </w:tcBorders>
          </w:tcPr>
          <w:p w14:paraId="038A1FCC" w14:textId="77777777" w:rsidR="00CD3EA5" w:rsidRDefault="00CD3EA5" w:rsidP="001A5D4A">
            <w:pPr>
              <w:pStyle w:val="NotesTable-CellPlain"/>
            </w:pPr>
            <w:r>
              <w:t>–</w:t>
            </w:r>
          </w:p>
        </w:tc>
        <w:tc>
          <w:tcPr>
            <w:tcW w:w="406" w:type="pct"/>
            <w:tcBorders>
              <w:top w:val="single" w:sz="4" w:space="0" w:color="auto"/>
            </w:tcBorders>
          </w:tcPr>
          <w:p w14:paraId="038A1FCD" w14:textId="77777777" w:rsidR="00CD3EA5" w:rsidRDefault="00CD3EA5" w:rsidP="001A5D4A">
            <w:pPr>
              <w:pStyle w:val="NotesTable-CellBold"/>
            </w:pPr>
            <w:r>
              <w:t>–</w:t>
            </w:r>
          </w:p>
        </w:tc>
        <w:tc>
          <w:tcPr>
            <w:tcW w:w="406" w:type="pct"/>
            <w:tcBorders>
              <w:top w:val="single" w:sz="4" w:space="0" w:color="auto"/>
            </w:tcBorders>
          </w:tcPr>
          <w:p w14:paraId="038A1FCE" w14:textId="77777777" w:rsidR="00CD3EA5" w:rsidRDefault="00CD3EA5" w:rsidP="001A5D4A">
            <w:pPr>
              <w:pStyle w:val="NotesTable-CellPlain"/>
            </w:pPr>
            <w:r>
              <w:t>–</w:t>
            </w:r>
          </w:p>
        </w:tc>
      </w:tr>
      <w:tr w:rsidR="00CD3EA5" w14:paraId="038A1FD2" w14:textId="77777777" w:rsidTr="00E21378">
        <w:trPr>
          <w:trHeight w:val="181"/>
        </w:trPr>
        <w:tc>
          <w:tcPr>
            <w:tcW w:w="804" w:type="pct"/>
            <w:vAlign w:val="bottom"/>
          </w:tcPr>
          <w:p w14:paraId="038A1FD0" w14:textId="77777777" w:rsidR="00CD3EA5" w:rsidRDefault="00CD3EA5" w:rsidP="001A5D4A">
            <w:pPr>
              <w:pStyle w:val="Note-Refs"/>
            </w:pPr>
          </w:p>
        </w:tc>
        <w:tc>
          <w:tcPr>
            <w:tcW w:w="4196" w:type="pct"/>
            <w:gridSpan w:val="5"/>
            <w:vAlign w:val="bottom"/>
          </w:tcPr>
          <w:p w14:paraId="038A1FD1" w14:textId="77777777" w:rsidR="00CD3EA5" w:rsidRDefault="00CD3EA5" w:rsidP="001A5D4A">
            <w:pPr>
              <w:pStyle w:val="NotesTable-ItemPlain"/>
            </w:pPr>
          </w:p>
        </w:tc>
      </w:tr>
      <w:tr w:rsidR="00CD3EA5" w14:paraId="038A1FD5" w14:textId="77777777" w:rsidTr="00E21378">
        <w:trPr>
          <w:trHeight w:val="181"/>
        </w:trPr>
        <w:tc>
          <w:tcPr>
            <w:tcW w:w="804" w:type="pct"/>
            <w:vAlign w:val="bottom"/>
          </w:tcPr>
          <w:p w14:paraId="038A1FD3" w14:textId="77777777" w:rsidR="00CD3EA5" w:rsidRDefault="00CD3EA5" w:rsidP="001A5D4A">
            <w:pPr>
              <w:pStyle w:val="Note-Refs"/>
            </w:pPr>
          </w:p>
        </w:tc>
        <w:tc>
          <w:tcPr>
            <w:tcW w:w="4196" w:type="pct"/>
            <w:gridSpan w:val="5"/>
            <w:vAlign w:val="bottom"/>
          </w:tcPr>
          <w:p w14:paraId="038A1FD4" w14:textId="77777777" w:rsidR="00CD3EA5" w:rsidRDefault="00CD3EA5" w:rsidP="001A5D4A">
            <w:pPr>
              <w:pStyle w:val="Note-TextHeader"/>
              <w:rPr>
                <w:lang w:val="en-GB"/>
              </w:rPr>
            </w:pPr>
            <w:r>
              <w:t>Non-current</w:t>
            </w:r>
          </w:p>
        </w:tc>
      </w:tr>
      <w:tr w:rsidR="00CD3EA5" w14:paraId="038A1FEA" w14:textId="77777777" w:rsidTr="00E21378">
        <w:trPr>
          <w:trHeight w:val="181"/>
        </w:trPr>
        <w:tc>
          <w:tcPr>
            <w:tcW w:w="804" w:type="pct"/>
            <w:vAlign w:val="bottom"/>
          </w:tcPr>
          <w:p w14:paraId="038A1FE4" w14:textId="77777777" w:rsidR="00CD3EA5" w:rsidRDefault="00CD3EA5" w:rsidP="001A5D4A">
            <w:pPr>
              <w:pStyle w:val="Note-Refs"/>
            </w:pPr>
          </w:p>
        </w:tc>
        <w:tc>
          <w:tcPr>
            <w:tcW w:w="2571" w:type="pct"/>
            <w:vAlign w:val="bottom"/>
          </w:tcPr>
          <w:p w14:paraId="038A1FE5" w14:textId="77777777" w:rsidR="00CD3EA5" w:rsidRDefault="00CD3EA5" w:rsidP="001A5D4A">
            <w:pPr>
              <w:pStyle w:val="NotesTable-ItemPlain"/>
              <w:rPr>
                <w:b/>
              </w:rPr>
            </w:pPr>
            <w:r>
              <w:t>Held-to-maturity</w:t>
            </w:r>
          </w:p>
        </w:tc>
        <w:tc>
          <w:tcPr>
            <w:tcW w:w="406" w:type="pct"/>
          </w:tcPr>
          <w:p w14:paraId="038A1FE6" w14:textId="77777777" w:rsidR="00CD3EA5" w:rsidRDefault="00CD3EA5" w:rsidP="001A5D4A">
            <w:pPr>
              <w:pStyle w:val="NotesTable-CellBold"/>
            </w:pPr>
            <w:r>
              <w:t>–</w:t>
            </w:r>
          </w:p>
        </w:tc>
        <w:tc>
          <w:tcPr>
            <w:tcW w:w="406" w:type="pct"/>
          </w:tcPr>
          <w:p w14:paraId="038A1FE7" w14:textId="77777777" w:rsidR="00CD3EA5" w:rsidRDefault="00CD3EA5" w:rsidP="001A5D4A">
            <w:pPr>
              <w:pStyle w:val="NotesTable-CellPlain"/>
            </w:pPr>
            <w:r>
              <w:t>–</w:t>
            </w:r>
          </w:p>
        </w:tc>
        <w:tc>
          <w:tcPr>
            <w:tcW w:w="406" w:type="pct"/>
          </w:tcPr>
          <w:p w14:paraId="038A1FE8" w14:textId="77777777" w:rsidR="00CD3EA5" w:rsidRDefault="00CD3EA5" w:rsidP="001A5D4A">
            <w:pPr>
              <w:pStyle w:val="NotesTable-CellBold"/>
            </w:pPr>
            <w:r>
              <w:t>–</w:t>
            </w:r>
          </w:p>
        </w:tc>
        <w:tc>
          <w:tcPr>
            <w:tcW w:w="406" w:type="pct"/>
          </w:tcPr>
          <w:p w14:paraId="038A1FE9" w14:textId="77777777" w:rsidR="00CD3EA5" w:rsidRDefault="00CD3EA5" w:rsidP="001A5D4A">
            <w:pPr>
              <w:pStyle w:val="NotesTable-CellPlain"/>
            </w:pPr>
            <w:r>
              <w:t>–</w:t>
            </w:r>
          </w:p>
        </w:tc>
      </w:tr>
      <w:tr w:rsidR="00CD3EA5" w14:paraId="038A1FF1" w14:textId="77777777" w:rsidTr="00E21378">
        <w:trPr>
          <w:trHeight w:val="181"/>
        </w:trPr>
        <w:tc>
          <w:tcPr>
            <w:tcW w:w="804" w:type="pct"/>
            <w:vAlign w:val="bottom"/>
          </w:tcPr>
          <w:p w14:paraId="038A1FEB" w14:textId="77777777" w:rsidR="00CD3EA5" w:rsidRDefault="00CD3EA5" w:rsidP="001A5D4A">
            <w:pPr>
              <w:pStyle w:val="Note-Refs"/>
            </w:pPr>
          </w:p>
        </w:tc>
        <w:tc>
          <w:tcPr>
            <w:tcW w:w="2571" w:type="pct"/>
            <w:vAlign w:val="bottom"/>
          </w:tcPr>
          <w:p w14:paraId="038A1FEC" w14:textId="77777777" w:rsidR="00CD3EA5" w:rsidRDefault="00CD3EA5" w:rsidP="001A5D4A">
            <w:pPr>
              <w:pStyle w:val="NotesTable-ItemPlain"/>
              <w:rPr>
                <w:b/>
              </w:rPr>
            </w:pPr>
            <w:r>
              <w:t>Available for sale</w:t>
            </w:r>
          </w:p>
        </w:tc>
        <w:tc>
          <w:tcPr>
            <w:tcW w:w="406" w:type="pct"/>
          </w:tcPr>
          <w:p w14:paraId="038A1FED" w14:textId="77777777" w:rsidR="00CD3EA5" w:rsidRDefault="00CD3EA5" w:rsidP="001A5D4A">
            <w:pPr>
              <w:pStyle w:val="NotesTable-CellBold"/>
            </w:pPr>
            <w:r>
              <w:t>–</w:t>
            </w:r>
          </w:p>
        </w:tc>
        <w:tc>
          <w:tcPr>
            <w:tcW w:w="406" w:type="pct"/>
          </w:tcPr>
          <w:p w14:paraId="038A1FEE" w14:textId="77777777" w:rsidR="00CD3EA5" w:rsidRDefault="00CD3EA5" w:rsidP="001A5D4A">
            <w:pPr>
              <w:pStyle w:val="NotesTable-CellPlain"/>
            </w:pPr>
            <w:r>
              <w:t>–</w:t>
            </w:r>
          </w:p>
        </w:tc>
        <w:tc>
          <w:tcPr>
            <w:tcW w:w="406" w:type="pct"/>
          </w:tcPr>
          <w:p w14:paraId="038A1FEF" w14:textId="77777777" w:rsidR="00CD3EA5" w:rsidRDefault="00CD3EA5" w:rsidP="001A5D4A">
            <w:pPr>
              <w:pStyle w:val="NotesTable-CellBold"/>
            </w:pPr>
            <w:r>
              <w:t>–</w:t>
            </w:r>
          </w:p>
        </w:tc>
        <w:tc>
          <w:tcPr>
            <w:tcW w:w="406" w:type="pct"/>
          </w:tcPr>
          <w:p w14:paraId="038A1FF0" w14:textId="77777777" w:rsidR="00CD3EA5" w:rsidRDefault="00CD3EA5" w:rsidP="001A5D4A">
            <w:pPr>
              <w:pStyle w:val="NotesTable-CellPlain"/>
            </w:pPr>
            <w:r>
              <w:t>–</w:t>
            </w:r>
          </w:p>
        </w:tc>
      </w:tr>
      <w:tr w:rsidR="00CD3EA5" w14:paraId="038A1FF8" w14:textId="77777777" w:rsidTr="00E21378">
        <w:trPr>
          <w:trHeight w:val="181"/>
        </w:trPr>
        <w:tc>
          <w:tcPr>
            <w:tcW w:w="804" w:type="pct"/>
            <w:vAlign w:val="bottom"/>
          </w:tcPr>
          <w:p w14:paraId="038A1FF2" w14:textId="77777777" w:rsidR="00CD3EA5" w:rsidRDefault="00CD3EA5" w:rsidP="001A5D4A">
            <w:pPr>
              <w:pStyle w:val="Note-Refs"/>
            </w:pPr>
          </w:p>
        </w:tc>
        <w:tc>
          <w:tcPr>
            <w:tcW w:w="2571" w:type="pct"/>
            <w:vAlign w:val="bottom"/>
          </w:tcPr>
          <w:p w14:paraId="038A1FF3" w14:textId="77777777" w:rsidR="00CD3EA5" w:rsidRDefault="00CD3EA5" w:rsidP="001A5D4A">
            <w:pPr>
              <w:pStyle w:val="NotesTable-ItemPlain"/>
              <w:rPr>
                <w:b/>
              </w:rPr>
            </w:pPr>
            <w:r>
              <w:t>Loans and receivables</w:t>
            </w:r>
          </w:p>
        </w:tc>
        <w:tc>
          <w:tcPr>
            <w:tcW w:w="406" w:type="pct"/>
          </w:tcPr>
          <w:p w14:paraId="038A1FF4" w14:textId="77777777" w:rsidR="00CD3EA5" w:rsidRDefault="00CD3EA5" w:rsidP="001A5D4A">
            <w:pPr>
              <w:pStyle w:val="NotesTable-CellBold"/>
            </w:pPr>
            <w:r>
              <w:t>–</w:t>
            </w:r>
          </w:p>
        </w:tc>
        <w:tc>
          <w:tcPr>
            <w:tcW w:w="406" w:type="pct"/>
          </w:tcPr>
          <w:p w14:paraId="038A1FF5" w14:textId="77777777" w:rsidR="00CD3EA5" w:rsidRDefault="00CD3EA5" w:rsidP="001A5D4A">
            <w:pPr>
              <w:pStyle w:val="NotesTable-CellPlain"/>
            </w:pPr>
            <w:r>
              <w:t>–</w:t>
            </w:r>
          </w:p>
        </w:tc>
        <w:tc>
          <w:tcPr>
            <w:tcW w:w="406" w:type="pct"/>
          </w:tcPr>
          <w:p w14:paraId="038A1FF6" w14:textId="77777777" w:rsidR="00CD3EA5" w:rsidRDefault="00CD3EA5" w:rsidP="001A5D4A">
            <w:pPr>
              <w:pStyle w:val="NotesTable-CellBold"/>
            </w:pPr>
            <w:r>
              <w:t>–</w:t>
            </w:r>
          </w:p>
        </w:tc>
        <w:tc>
          <w:tcPr>
            <w:tcW w:w="406" w:type="pct"/>
          </w:tcPr>
          <w:p w14:paraId="038A1FF7" w14:textId="77777777" w:rsidR="00CD3EA5" w:rsidRDefault="00CD3EA5" w:rsidP="001A5D4A">
            <w:pPr>
              <w:pStyle w:val="NotesTable-CellPlain"/>
            </w:pPr>
            <w:r>
              <w:t>–</w:t>
            </w:r>
          </w:p>
        </w:tc>
      </w:tr>
      <w:tr w:rsidR="00CD3EA5" w14:paraId="038A1FFF" w14:textId="77777777" w:rsidTr="00E21378">
        <w:trPr>
          <w:trHeight w:val="181"/>
        </w:trPr>
        <w:tc>
          <w:tcPr>
            <w:tcW w:w="804" w:type="pct"/>
            <w:vAlign w:val="bottom"/>
          </w:tcPr>
          <w:p w14:paraId="038A1FF9" w14:textId="77777777" w:rsidR="00CD3EA5" w:rsidRDefault="00CD3EA5" w:rsidP="001A5D4A">
            <w:pPr>
              <w:pStyle w:val="Note-Refs"/>
            </w:pPr>
          </w:p>
        </w:tc>
        <w:tc>
          <w:tcPr>
            <w:tcW w:w="2571" w:type="pct"/>
            <w:vAlign w:val="bottom"/>
          </w:tcPr>
          <w:p w14:paraId="038A1FFA" w14:textId="77777777" w:rsidR="00CD3EA5" w:rsidRDefault="00CD3EA5" w:rsidP="001A5D4A">
            <w:pPr>
              <w:pStyle w:val="NotesTable-ItemPlain"/>
              <w:rPr>
                <w:b/>
              </w:rPr>
            </w:pPr>
            <w:r>
              <w:t>[Specify others]</w:t>
            </w:r>
          </w:p>
        </w:tc>
        <w:tc>
          <w:tcPr>
            <w:tcW w:w="406" w:type="pct"/>
            <w:tcBorders>
              <w:bottom w:val="single" w:sz="4" w:space="0" w:color="000000"/>
            </w:tcBorders>
          </w:tcPr>
          <w:p w14:paraId="038A1FFB" w14:textId="77777777" w:rsidR="00CD3EA5" w:rsidRDefault="00CD3EA5" w:rsidP="001A5D4A">
            <w:pPr>
              <w:pStyle w:val="NotesTable-CellBold"/>
            </w:pPr>
            <w:r>
              <w:t>–</w:t>
            </w:r>
          </w:p>
        </w:tc>
        <w:tc>
          <w:tcPr>
            <w:tcW w:w="406" w:type="pct"/>
            <w:tcBorders>
              <w:bottom w:val="single" w:sz="4" w:space="0" w:color="000000"/>
            </w:tcBorders>
          </w:tcPr>
          <w:p w14:paraId="038A1FFC" w14:textId="77777777" w:rsidR="00CD3EA5" w:rsidRDefault="00CD3EA5" w:rsidP="001A5D4A">
            <w:pPr>
              <w:pStyle w:val="NotesTable-CellPlain"/>
            </w:pPr>
            <w:r>
              <w:t>–</w:t>
            </w:r>
          </w:p>
        </w:tc>
        <w:tc>
          <w:tcPr>
            <w:tcW w:w="406" w:type="pct"/>
            <w:tcBorders>
              <w:bottom w:val="single" w:sz="4" w:space="0" w:color="000000"/>
            </w:tcBorders>
          </w:tcPr>
          <w:p w14:paraId="038A1FFD" w14:textId="77777777" w:rsidR="00CD3EA5" w:rsidRDefault="00CD3EA5" w:rsidP="001A5D4A">
            <w:pPr>
              <w:pStyle w:val="NotesTable-CellBold"/>
            </w:pPr>
            <w:r>
              <w:t>–</w:t>
            </w:r>
          </w:p>
        </w:tc>
        <w:tc>
          <w:tcPr>
            <w:tcW w:w="406" w:type="pct"/>
            <w:tcBorders>
              <w:bottom w:val="single" w:sz="4" w:space="0" w:color="000000"/>
            </w:tcBorders>
          </w:tcPr>
          <w:p w14:paraId="038A1FFE" w14:textId="77777777" w:rsidR="00CD3EA5" w:rsidRDefault="00CD3EA5" w:rsidP="001A5D4A">
            <w:pPr>
              <w:pStyle w:val="NotesTable-CellPlain"/>
            </w:pPr>
            <w:r>
              <w:t>–</w:t>
            </w:r>
          </w:p>
        </w:tc>
      </w:tr>
      <w:tr w:rsidR="00CD3EA5" w14:paraId="038A2006" w14:textId="77777777" w:rsidTr="00E21378">
        <w:trPr>
          <w:trHeight w:val="181"/>
        </w:trPr>
        <w:tc>
          <w:tcPr>
            <w:tcW w:w="804" w:type="pct"/>
            <w:vAlign w:val="bottom"/>
          </w:tcPr>
          <w:p w14:paraId="038A2000" w14:textId="77777777" w:rsidR="00CD3EA5" w:rsidRDefault="00CD3EA5" w:rsidP="001A5D4A">
            <w:pPr>
              <w:pStyle w:val="Note-Refs"/>
            </w:pPr>
          </w:p>
        </w:tc>
        <w:tc>
          <w:tcPr>
            <w:tcW w:w="2571" w:type="pct"/>
            <w:vAlign w:val="bottom"/>
          </w:tcPr>
          <w:p w14:paraId="038A2001" w14:textId="77777777" w:rsidR="00CD3EA5" w:rsidRDefault="00CD3EA5" w:rsidP="001A5D4A">
            <w:pPr>
              <w:pStyle w:val="NotesTable-ItemPlain"/>
              <w:rPr>
                <w:b/>
              </w:rPr>
            </w:pPr>
            <w:r>
              <w:t>Total non-current other financial assets</w:t>
            </w:r>
          </w:p>
        </w:tc>
        <w:tc>
          <w:tcPr>
            <w:tcW w:w="406" w:type="pct"/>
            <w:tcBorders>
              <w:bottom w:val="single" w:sz="4" w:space="0" w:color="auto"/>
            </w:tcBorders>
          </w:tcPr>
          <w:p w14:paraId="038A2002" w14:textId="77777777" w:rsidR="00CD3EA5" w:rsidRDefault="00CD3EA5" w:rsidP="001A5D4A">
            <w:pPr>
              <w:pStyle w:val="NotesTable-CellBold"/>
            </w:pPr>
            <w:r>
              <w:t>–</w:t>
            </w:r>
          </w:p>
        </w:tc>
        <w:tc>
          <w:tcPr>
            <w:tcW w:w="406" w:type="pct"/>
            <w:tcBorders>
              <w:bottom w:val="single" w:sz="4" w:space="0" w:color="auto"/>
            </w:tcBorders>
          </w:tcPr>
          <w:p w14:paraId="038A2003" w14:textId="77777777" w:rsidR="00CD3EA5" w:rsidRDefault="00CD3EA5" w:rsidP="001A5D4A">
            <w:pPr>
              <w:pStyle w:val="NotesTable-CellPlain"/>
            </w:pPr>
            <w:r>
              <w:t>–</w:t>
            </w:r>
          </w:p>
        </w:tc>
        <w:tc>
          <w:tcPr>
            <w:tcW w:w="406" w:type="pct"/>
            <w:tcBorders>
              <w:bottom w:val="single" w:sz="4" w:space="0" w:color="auto"/>
            </w:tcBorders>
          </w:tcPr>
          <w:p w14:paraId="038A2004" w14:textId="77777777" w:rsidR="00CD3EA5" w:rsidRDefault="00CD3EA5" w:rsidP="001A5D4A">
            <w:pPr>
              <w:pStyle w:val="NotesTable-CellBold"/>
            </w:pPr>
            <w:r>
              <w:t>–</w:t>
            </w:r>
          </w:p>
        </w:tc>
        <w:tc>
          <w:tcPr>
            <w:tcW w:w="406" w:type="pct"/>
            <w:tcBorders>
              <w:bottom w:val="single" w:sz="4" w:space="0" w:color="auto"/>
            </w:tcBorders>
          </w:tcPr>
          <w:p w14:paraId="038A2005" w14:textId="77777777" w:rsidR="00CD3EA5" w:rsidRDefault="00CD3EA5" w:rsidP="001A5D4A">
            <w:pPr>
              <w:pStyle w:val="NotesTable-CellPlain"/>
            </w:pPr>
            <w:r>
              <w:t>–</w:t>
            </w:r>
          </w:p>
        </w:tc>
      </w:tr>
      <w:tr w:rsidR="00CD3EA5" w14:paraId="038A200D" w14:textId="77777777" w:rsidTr="00E21378">
        <w:trPr>
          <w:trHeight w:val="181"/>
        </w:trPr>
        <w:tc>
          <w:tcPr>
            <w:tcW w:w="804" w:type="pct"/>
            <w:vAlign w:val="bottom"/>
          </w:tcPr>
          <w:p w14:paraId="038A2007" w14:textId="77777777" w:rsidR="00CD3EA5" w:rsidRDefault="00CD3EA5" w:rsidP="001A5D4A">
            <w:pPr>
              <w:pStyle w:val="Note-Refs"/>
            </w:pPr>
          </w:p>
        </w:tc>
        <w:tc>
          <w:tcPr>
            <w:tcW w:w="2571" w:type="pct"/>
            <w:vAlign w:val="bottom"/>
          </w:tcPr>
          <w:p w14:paraId="038A2008" w14:textId="77777777" w:rsidR="00CD3EA5" w:rsidRDefault="00CD3EA5" w:rsidP="001A5D4A">
            <w:pPr>
              <w:pStyle w:val="NotesTable-ItemPlain"/>
              <w:rPr>
                <w:b/>
              </w:rPr>
            </w:pPr>
            <w:r>
              <w:t>Total other financial assets</w:t>
            </w:r>
          </w:p>
        </w:tc>
        <w:tc>
          <w:tcPr>
            <w:tcW w:w="406" w:type="pct"/>
            <w:tcBorders>
              <w:top w:val="single" w:sz="4" w:space="0" w:color="auto"/>
            </w:tcBorders>
          </w:tcPr>
          <w:p w14:paraId="038A2009" w14:textId="77777777" w:rsidR="00CD3EA5" w:rsidRDefault="00CD3EA5" w:rsidP="001A5D4A">
            <w:pPr>
              <w:pStyle w:val="NotesTable-CellBold"/>
            </w:pPr>
            <w:r>
              <w:t>–</w:t>
            </w:r>
          </w:p>
        </w:tc>
        <w:tc>
          <w:tcPr>
            <w:tcW w:w="406" w:type="pct"/>
            <w:tcBorders>
              <w:top w:val="single" w:sz="4" w:space="0" w:color="auto"/>
            </w:tcBorders>
          </w:tcPr>
          <w:p w14:paraId="038A200A" w14:textId="77777777" w:rsidR="00CD3EA5" w:rsidRDefault="00CD3EA5" w:rsidP="001A5D4A">
            <w:pPr>
              <w:pStyle w:val="NotesTable-CellPlain"/>
            </w:pPr>
            <w:r>
              <w:t>–</w:t>
            </w:r>
          </w:p>
        </w:tc>
        <w:tc>
          <w:tcPr>
            <w:tcW w:w="406" w:type="pct"/>
            <w:tcBorders>
              <w:top w:val="single" w:sz="4" w:space="0" w:color="auto"/>
            </w:tcBorders>
          </w:tcPr>
          <w:p w14:paraId="038A200B" w14:textId="77777777" w:rsidR="00CD3EA5" w:rsidRDefault="00CD3EA5" w:rsidP="001A5D4A">
            <w:pPr>
              <w:pStyle w:val="NotesTable-CellBold"/>
            </w:pPr>
            <w:r>
              <w:t>–</w:t>
            </w:r>
          </w:p>
        </w:tc>
        <w:tc>
          <w:tcPr>
            <w:tcW w:w="406" w:type="pct"/>
            <w:tcBorders>
              <w:top w:val="single" w:sz="4" w:space="0" w:color="auto"/>
            </w:tcBorders>
          </w:tcPr>
          <w:p w14:paraId="038A200C" w14:textId="77777777" w:rsidR="00CD3EA5" w:rsidRDefault="00CD3EA5" w:rsidP="001A5D4A">
            <w:pPr>
              <w:pStyle w:val="NotesTable-CellPlain"/>
            </w:pPr>
            <w:r>
              <w:t>–</w:t>
            </w:r>
          </w:p>
        </w:tc>
      </w:tr>
      <w:tr w:rsidR="00CD3EA5" w14:paraId="038A2010" w14:textId="77777777" w:rsidTr="00E21378">
        <w:trPr>
          <w:cantSplit/>
          <w:trHeight w:hRule="exact" w:val="85"/>
        </w:trPr>
        <w:tc>
          <w:tcPr>
            <w:tcW w:w="804" w:type="pct"/>
            <w:vAlign w:val="bottom"/>
          </w:tcPr>
          <w:p w14:paraId="038A200E" w14:textId="77777777" w:rsidR="00CD3EA5" w:rsidRDefault="00CD3EA5" w:rsidP="001A5D4A">
            <w:pPr>
              <w:pStyle w:val="Note-Refs"/>
            </w:pPr>
          </w:p>
        </w:tc>
        <w:tc>
          <w:tcPr>
            <w:tcW w:w="4196" w:type="pct"/>
            <w:gridSpan w:val="5"/>
            <w:vAlign w:val="bottom"/>
          </w:tcPr>
          <w:p w14:paraId="038A200F" w14:textId="77777777" w:rsidR="00CD3EA5" w:rsidRDefault="00CD3EA5" w:rsidP="001A5D4A">
            <w:pPr>
              <w:pStyle w:val="NotesTable-ItemPlain"/>
            </w:pPr>
          </w:p>
        </w:tc>
      </w:tr>
      <w:tr w:rsidR="00CD3EA5" w14:paraId="038A2013" w14:textId="77777777" w:rsidTr="00E21378">
        <w:trPr>
          <w:cantSplit/>
          <w:trHeight w:val="416"/>
        </w:trPr>
        <w:tc>
          <w:tcPr>
            <w:tcW w:w="804" w:type="pct"/>
            <w:vAlign w:val="bottom"/>
          </w:tcPr>
          <w:p w14:paraId="038A2011" w14:textId="77777777" w:rsidR="00CD3EA5" w:rsidRDefault="00CD3EA5" w:rsidP="001A5D4A">
            <w:pPr>
              <w:pStyle w:val="Note-Refs"/>
            </w:pPr>
          </w:p>
        </w:tc>
        <w:tc>
          <w:tcPr>
            <w:tcW w:w="4196" w:type="pct"/>
            <w:gridSpan w:val="5"/>
            <w:vAlign w:val="bottom"/>
          </w:tcPr>
          <w:p w14:paraId="038A2012" w14:textId="77777777" w:rsidR="00CD3EA5" w:rsidRDefault="00CD3EA5" w:rsidP="001A5D4A">
            <w:pPr>
              <w:pStyle w:val="NotesTable-ItemPlain"/>
              <w:rPr>
                <w:b/>
              </w:rPr>
            </w:pPr>
            <w:r>
              <w:t>Changes in fair values of other financial assets at fair value through profit or loss are recorded in other income in the income statement (note 6 – Investment Income).</w:t>
            </w:r>
          </w:p>
        </w:tc>
      </w:tr>
    </w:tbl>
    <w:p w14:paraId="61E039AB" w14:textId="75AB216A" w:rsidR="001B4E7B" w:rsidRPr="001B4E7B" w:rsidRDefault="001B4E7B" w:rsidP="00AE7A0B">
      <w:pPr>
        <w:pStyle w:val="Heading2"/>
      </w:pPr>
      <w:bookmarkStart w:id="319" w:name="_Toc410807632"/>
      <w:bookmarkStart w:id="320" w:name="_Toc410822693"/>
      <w:proofErr w:type="gramStart"/>
      <w:r w:rsidRPr="001B4E7B">
        <w:t>Note 22.</w:t>
      </w:r>
      <w:proofErr w:type="gramEnd"/>
      <w:r w:rsidRPr="001B4E7B">
        <w:t xml:space="preserve"> Non-current assets or disposal groups classified as held for sale</w:t>
      </w:r>
      <w:bookmarkEnd w:id="319"/>
      <w:bookmarkEnd w:id="320"/>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201C" w14:textId="77777777" w:rsidTr="00E21378">
        <w:trPr>
          <w:cantSplit/>
          <w:trHeight w:hRule="exact" w:val="227"/>
        </w:trPr>
        <w:tc>
          <w:tcPr>
            <w:tcW w:w="810" w:type="pct"/>
          </w:tcPr>
          <w:p w14:paraId="038A2018" w14:textId="77777777" w:rsidR="00023312" w:rsidRDefault="00023312" w:rsidP="001A5D4A">
            <w:pPr>
              <w:pStyle w:val="Note-Refs"/>
            </w:pPr>
          </w:p>
        </w:tc>
        <w:tc>
          <w:tcPr>
            <w:tcW w:w="2567" w:type="pct"/>
            <w:vAlign w:val="bottom"/>
          </w:tcPr>
          <w:p w14:paraId="038A2019" w14:textId="77777777" w:rsidR="00023312" w:rsidRDefault="00023312" w:rsidP="001A5D4A">
            <w:pPr>
              <w:pStyle w:val="NotesTable-ItemPlain"/>
            </w:pPr>
          </w:p>
        </w:tc>
        <w:tc>
          <w:tcPr>
            <w:tcW w:w="811" w:type="pct"/>
            <w:gridSpan w:val="2"/>
          </w:tcPr>
          <w:p w14:paraId="038A201A" w14:textId="77777777" w:rsidR="00023312" w:rsidRDefault="00023312" w:rsidP="001A5D4A">
            <w:pPr>
              <w:pStyle w:val="NotesTable-HeadPlain"/>
              <w:rPr>
                <w:b/>
              </w:rPr>
            </w:pPr>
            <w:r>
              <w:t>Consolidated</w:t>
            </w:r>
          </w:p>
        </w:tc>
        <w:tc>
          <w:tcPr>
            <w:tcW w:w="811" w:type="pct"/>
            <w:gridSpan w:val="2"/>
          </w:tcPr>
          <w:p w14:paraId="038A201B" w14:textId="77777777" w:rsidR="00023312" w:rsidRDefault="00023312" w:rsidP="001A5D4A">
            <w:pPr>
              <w:pStyle w:val="NotesTable-HeadPlain"/>
            </w:pPr>
            <w:r>
              <w:t>Parent entity</w:t>
            </w:r>
          </w:p>
        </w:tc>
      </w:tr>
      <w:tr w:rsidR="00023312" w14:paraId="038A2023" w14:textId="77777777" w:rsidTr="00E21378">
        <w:trPr>
          <w:cantSplit/>
          <w:trHeight w:hRule="exact" w:val="227"/>
        </w:trPr>
        <w:tc>
          <w:tcPr>
            <w:tcW w:w="810" w:type="pct"/>
            <w:vAlign w:val="bottom"/>
          </w:tcPr>
          <w:p w14:paraId="038A201D" w14:textId="77777777" w:rsidR="00023312" w:rsidRDefault="00023312" w:rsidP="001A5D4A">
            <w:pPr>
              <w:pStyle w:val="Note-Refs"/>
            </w:pPr>
          </w:p>
        </w:tc>
        <w:tc>
          <w:tcPr>
            <w:tcW w:w="2567" w:type="pct"/>
            <w:vAlign w:val="bottom"/>
          </w:tcPr>
          <w:p w14:paraId="038A201E" w14:textId="77777777" w:rsidR="00023312" w:rsidRDefault="00023312" w:rsidP="001A5D4A">
            <w:pPr>
              <w:pStyle w:val="NotesTable-ItemPlain"/>
            </w:pPr>
          </w:p>
        </w:tc>
        <w:tc>
          <w:tcPr>
            <w:tcW w:w="406" w:type="pct"/>
            <w:vAlign w:val="bottom"/>
          </w:tcPr>
          <w:p w14:paraId="038A201F" w14:textId="6871B32D" w:rsidR="00023312" w:rsidRDefault="006864EC" w:rsidP="001A5D4A">
            <w:pPr>
              <w:pStyle w:val="NotesTable-HeadBold"/>
            </w:pPr>
            <w:r>
              <w:t>2014</w:t>
            </w:r>
          </w:p>
        </w:tc>
        <w:tc>
          <w:tcPr>
            <w:tcW w:w="406" w:type="pct"/>
            <w:vAlign w:val="bottom"/>
          </w:tcPr>
          <w:p w14:paraId="038A2020" w14:textId="6CF3B36A" w:rsidR="00023312" w:rsidRDefault="006864EC" w:rsidP="001A5D4A">
            <w:pPr>
              <w:pStyle w:val="NotesTable-HeadPlain"/>
            </w:pPr>
            <w:r>
              <w:t>2013</w:t>
            </w:r>
          </w:p>
        </w:tc>
        <w:tc>
          <w:tcPr>
            <w:tcW w:w="406" w:type="pct"/>
            <w:vAlign w:val="bottom"/>
          </w:tcPr>
          <w:p w14:paraId="038A2021" w14:textId="5C36E331" w:rsidR="00023312" w:rsidRDefault="006864EC" w:rsidP="001A5D4A">
            <w:pPr>
              <w:pStyle w:val="NotesTable-HeadBold"/>
            </w:pPr>
            <w:r>
              <w:t>2014</w:t>
            </w:r>
          </w:p>
        </w:tc>
        <w:tc>
          <w:tcPr>
            <w:tcW w:w="406" w:type="pct"/>
            <w:vAlign w:val="bottom"/>
          </w:tcPr>
          <w:p w14:paraId="038A2022" w14:textId="40B6A80A" w:rsidR="00023312" w:rsidRDefault="006864EC" w:rsidP="001A5D4A">
            <w:pPr>
              <w:pStyle w:val="NotesTable-HeadPlain"/>
            </w:pPr>
            <w:r>
              <w:t>2013</w:t>
            </w:r>
          </w:p>
        </w:tc>
      </w:tr>
      <w:tr w:rsidR="00B9401B" w14:paraId="038A202A" w14:textId="77777777" w:rsidTr="00E21378">
        <w:trPr>
          <w:cantSplit/>
          <w:trHeight w:hRule="exact" w:val="227"/>
        </w:trPr>
        <w:tc>
          <w:tcPr>
            <w:tcW w:w="810" w:type="pct"/>
            <w:vAlign w:val="bottom"/>
          </w:tcPr>
          <w:p w14:paraId="038A2024" w14:textId="77777777" w:rsidR="00B9401B" w:rsidRDefault="00B9401B" w:rsidP="001A5D4A">
            <w:pPr>
              <w:pStyle w:val="Note-Refs"/>
            </w:pPr>
          </w:p>
        </w:tc>
        <w:tc>
          <w:tcPr>
            <w:tcW w:w="2567" w:type="pct"/>
            <w:vAlign w:val="bottom"/>
          </w:tcPr>
          <w:p w14:paraId="038A2025" w14:textId="77777777" w:rsidR="00B9401B" w:rsidRDefault="00B9401B" w:rsidP="001A5D4A">
            <w:pPr>
              <w:pStyle w:val="NotesTable-ItemPlain"/>
            </w:pPr>
          </w:p>
        </w:tc>
        <w:tc>
          <w:tcPr>
            <w:tcW w:w="406" w:type="pct"/>
            <w:vAlign w:val="bottom"/>
          </w:tcPr>
          <w:p w14:paraId="038A2026" w14:textId="77777777" w:rsidR="00B9401B" w:rsidRDefault="00B9401B" w:rsidP="001A5D4A">
            <w:pPr>
              <w:pStyle w:val="NotesTable-HeadBold"/>
            </w:pPr>
            <w:r>
              <w:t>$'000</w:t>
            </w:r>
          </w:p>
        </w:tc>
        <w:tc>
          <w:tcPr>
            <w:tcW w:w="406" w:type="pct"/>
            <w:vAlign w:val="bottom"/>
          </w:tcPr>
          <w:p w14:paraId="038A2027" w14:textId="77777777" w:rsidR="00B9401B" w:rsidRDefault="00B9401B" w:rsidP="001A5D4A">
            <w:pPr>
              <w:pStyle w:val="NotesTable-HeadPlain"/>
            </w:pPr>
            <w:r>
              <w:t>$'000</w:t>
            </w:r>
          </w:p>
        </w:tc>
        <w:tc>
          <w:tcPr>
            <w:tcW w:w="406" w:type="pct"/>
            <w:vAlign w:val="bottom"/>
          </w:tcPr>
          <w:p w14:paraId="038A2028" w14:textId="77777777" w:rsidR="00B9401B" w:rsidRDefault="00B9401B" w:rsidP="001A5D4A">
            <w:pPr>
              <w:pStyle w:val="NotesTable-HeadBold"/>
            </w:pPr>
            <w:r>
              <w:t>$'000</w:t>
            </w:r>
          </w:p>
        </w:tc>
        <w:tc>
          <w:tcPr>
            <w:tcW w:w="406" w:type="pct"/>
            <w:vAlign w:val="bottom"/>
          </w:tcPr>
          <w:p w14:paraId="038A2029" w14:textId="77777777" w:rsidR="00B9401B" w:rsidRDefault="00B9401B" w:rsidP="001A5D4A">
            <w:pPr>
              <w:pStyle w:val="NotesTable-HeadPlain"/>
            </w:pPr>
            <w:r>
              <w:t>$'000</w:t>
            </w:r>
          </w:p>
        </w:tc>
      </w:tr>
      <w:tr w:rsidR="00B9401B" w14:paraId="038A2031" w14:textId="77777777" w:rsidTr="00E21378">
        <w:trPr>
          <w:cantSplit/>
          <w:trHeight w:hRule="exact" w:val="227"/>
        </w:trPr>
        <w:tc>
          <w:tcPr>
            <w:tcW w:w="810" w:type="pct"/>
          </w:tcPr>
          <w:p w14:paraId="038A202B" w14:textId="77777777" w:rsidR="00B9401B" w:rsidRDefault="00B9401B" w:rsidP="001A5D4A">
            <w:pPr>
              <w:pStyle w:val="Note-Refs"/>
              <w:rPr>
                <w:b/>
              </w:rPr>
            </w:pPr>
            <w:r>
              <w:t>AASB5.38</w:t>
            </w:r>
          </w:p>
        </w:tc>
        <w:tc>
          <w:tcPr>
            <w:tcW w:w="2567" w:type="pct"/>
            <w:vAlign w:val="bottom"/>
          </w:tcPr>
          <w:p w14:paraId="038A202C" w14:textId="77777777" w:rsidR="00B9401B" w:rsidRDefault="00B9401B" w:rsidP="001A5D4A">
            <w:pPr>
              <w:pStyle w:val="NotesTable-ItemPlain"/>
              <w:rPr>
                <w:b/>
              </w:rPr>
            </w:pPr>
            <w:r>
              <w:t>[</w:t>
            </w:r>
            <w:r w:rsidR="00D73BD5">
              <w:t>Specify</w:t>
            </w:r>
            <w:r>
              <w:t>]</w:t>
            </w:r>
          </w:p>
        </w:tc>
        <w:tc>
          <w:tcPr>
            <w:tcW w:w="406" w:type="pct"/>
            <w:tcBorders>
              <w:bottom w:val="single" w:sz="4" w:space="0" w:color="auto"/>
            </w:tcBorders>
          </w:tcPr>
          <w:p w14:paraId="038A202D" w14:textId="77777777" w:rsidR="00B9401B" w:rsidRDefault="00B9401B" w:rsidP="001A5D4A">
            <w:pPr>
              <w:pStyle w:val="NotesTable-CellBold"/>
            </w:pPr>
            <w:r>
              <w:t>–</w:t>
            </w:r>
          </w:p>
        </w:tc>
        <w:tc>
          <w:tcPr>
            <w:tcW w:w="406" w:type="pct"/>
            <w:tcBorders>
              <w:bottom w:val="single" w:sz="4" w:space="0" w:color="auto"/>
            </w:tcBorders>
          </w:tcPr>
          <w:p w14:paraId="038A202E" w14:textId="77777777" w:rsidR="00B9401B" w:rsidRDefault="00B9401B" w:rsidP="001A5D4A">
            <w:pPr>
              <w:pStyle w:val="NotesTable-CellPlain"/>
            </w:pPr>
            <w:r>
              <w:t>–</w:t>
            </w:r>
          </w:p>
        </w:tc>
        <w:tc>
          <w:tcPr>
            <w:tcW w:w="406" w:type="pct"/>
            <w:tcBorders>
              <w:bottom w:val="single" w:sz="4" w:space="0" w:color="auto"/>
            </w:tcBorders>
          </w:tcPr>
          <w:p w14:paraId="038A202F" w14:textId="77777777" w:rsidR="00B9401B" w:rsidRDefault="00B9401B" w:rsidP="001A5D4A">
            <w:pPr>
              <w:pStyle w:val="NotesTable-CellBold"/>
            </w:pPr>
            <w:r>
              <w:t>–</w:t>
            </w:r>
          </w:p>
        </w:tc>
        <w:tc>
          <w:tcPr>
            <w:tcW w:w="406" w:type="pct"/>
            <w:tcBorders>
              <w:bottom w:val="single" w:sz="4" w:space="0" w:color="auto"/>
            </w:tcBorders>
          </w:tcPr>
          <w:p w14:paraId="038A2030" w14:textId="77777777" w:rsidR="00B9401B" w:rsidRDefault="00B9401B" w:rsidP="001A5D4A">
            <w:pPr>
              <w:pStyle w:val="NotesTable-CellPlain"/>
            </w:pPr>
            <w:r>
              <w:t>–</w:t>
            </w:r>
          </w:p>
        </w:tc>
      </w:tr>
      <w:tr w:rsidR="00F72290" w14:paraId="038A2038" w14:textId="77777777" w:rsidTr="00E21378">
        <w:trPr>
          <w:cantSplit/>
          <w:trHeight w:val="227"/>
        </w:trPr>
        <w:tc>
          <w:tcPr>
            <w:tcW w:w="810" w:type="pct"/>
          </w:tcPr>
          <w:p w14:paraId="038A2032" w14:textId="77777777" w:rsidR="00F72290" w:rsidRDefault="00F72290" w:rsidP="001A5D4A">
            <w:pPr>
              <w:pStyle w:val="Note-Refs"/>
            </w:pPr>
          </w:p>
        </w:tc>
        <w:tc>
          <w:tcPr>
            <w:tcW w:w="2567" w:type="pct"/>
            <w:vAlign w:val="bottom"/>
          </w:tcPr>
          <w:p w14:paraId="038A2033" w14:textId="64C6312F" w:rsidR="00F72290" w:rsidRDefault="00F72290" w:rsidP="001A5D4A">
            <w:pPr>
              <w:pStyle w:val="NotesTable-ItemPlain"/>
              <w:rPr>
                <w:b/>
              </w:rPr>
            </w:pPr>
            <w:r>
              <w:t>Total</w:t>
            </w:r>
            <w:r w:rsidR="00B4091D">
              <w:t xml:space="preserve"> non-current assets </w:t>
            </w:r>
            <w:r w:rsidR="005D298F">
              <w:t xml:space="preserve">or </w:t>
            </w:r>
            <w:r w:rsidR="00B4091D">
              <w:t>disposal groups classified as held for sale</w:t>
            </w:r>
          </w:p>
        </w:tc>
        <w:tc>
          <w:tcPr>
            <w:tcW w:w="406" w:type="pct"/>
            <w:tcBorders>
              <w:top w:val="single" w:sz="4" w:space="0" w:color="auto"/>
            </w:tcBorders>
          </w:tcPr>
          <w:p w14:paraId="038A2034" w14:textId="77777777" w:rsidR="00F72290" w:rsidRDefault="00F72290" w:rsidP="001A5D4A">
            <w:pPr>
              <w:pStyle w:val="NotesTable-CellBold"/>
            </w:pPr>
            <w:r w:rsidRPr="00D7274B">
              <w:t>–</w:t>
            </w:r>
          </w:p>
        </w:tc>
        <w:tc>
          <w:tcPr>
            <w:tcW w:w="406" w:type="pct"/>
            <w:tcBorders>
              <w:top w:val="single" w:sz="4" w:space="0" w:color="auto"/>
            </w:tcBorders>
          </w:tcPr>
          <w:p w14:paraId="038A2035" w14:textId="77777777" w:rsidR="00F72290" w:rsidRDefault="00F72290" w:rsidP="001A5D4A">
            <w:pPr>
              <w:pStyle w:val="NotesTable-CellPlain"/>
            </w:pPr>
            <w:r w:rsidRPr="00D7274B">
              <w:t>–</w:t>
            </w:r>
          </w:p>
        </w:tc>
        <w:tc>
          <w:tcPr>
            <w:tcW w:w="406" w:type="pct"/>
            <w:tcBorders>
              <w:top w:val="single" w:sz="4" w:space="0" w:color="auto"/>
            </w:tcBorders>
          </w:tcPr>
          <w:p w14:paraId="038A2036" w14:textId="77777777" w:rsidR="00F72290" w:rsidRDefault="00F72290" w:rsidP="001A5D4A">
            <w:pPr>
              <w:pStyle w:val="NotesTable-CellBold"/>
            </w:pPr>
            <w:r w:rsidRPr="00D7274B">
              <w:t>–</w:t>
            </w:r>
          </w:p>
        </w:tc>
        <w:tc>
          <w:tcPr>
            <w:tcW w:w="406" w:type="pct"/>
            <w:tcBorders>
              <w:top w:val="single" w:sz="4" w:space="0" w:color="auto"/>
            </w:tcBorders>
          </w:tcPr>
          <w:p w14:paraId="038A2037" w14:textId="77777777" w:rsidR="00F72290" w:rsidRDefault="00F72290" w:rsidP="001A5D4A">
            <w:pPr>
              <w:pStyle w:val="NotesTable-CellPlain"/>
            </w:pPr>
            <w:r w:rsidRPr="00D7274B">
              <w:t>–</w:t>
            </w:r>
          </w:p>
        </w:tc>
      </w:tr>
      <w:tr w:rsidR="006E7B59" w14:paraId="60C09E13" w14:textId="77777777" w:rsidTr="00E21378">
        <w:trPr>
          <w:cantSplit/>
          <w:trHeight w:hRule="exact" w:val="85"/>
        </w:trPr>
        <w:tc>
          <w:tcPr>
            <w:tcW w:w="810" w:type="pct"/>
          </w:tcPr>
          <w:p w14:paraId="0D4639BE" w14:textId="77777777" w:rsidR="006E7B59" w:rsidRDefault="006E7B59" w:rsidP="001A5D4A">
            <w:pPr>
              <w:pStyle w:val="Note-Refs"/>
            </w:pPr>
          </w:p>
        </w:tc>
        <w:tc>
          <w:tcPr>
            <w:tcW w:w="4190" w:type="pct"/>
            <w:gridSpan w:val="5"/>
            <w:vAlign w:val="bottom"/>
          </w:tcPr>
          <w:p w14:paraId="5A21E0F9" w14:textId="77777777" w:rsidR="006E7B59" w:rsidRDefault="006E7B59" w:rsidP="001A5D4A">
            <w:pPr>
              <w:pStyle w:val="NotesTable-ItemPlain"/>
            </w:pPr>
          </w:p>
        </w:tc>
      </w:tr>
      <w:tr w:rsidR="0041402C" w14:paraId="16767CBC" w14:textId="77777777" w:rsidTr="00E21378">
        <w:trPr>
          <w:cantSplit/>
          <w:trHeight w:val="227"/>
        </w:trPr>
        <w:tc>
          <w:tcPr>
            <w:tcW w:w="810" w:type="pct"/>
          </w:tcPr>
          <w:p w14:paraId="6295F769" w14:textId="77777777" w:rsidR="0041402C" w:rsidRDefault="0041402C" w:rsidP="001A5D4A">
            <w:pPr>
              <w:pStyle w:val="Note-Refs"/>
            </w:pPr>
          </w:p>
        </w:tc>
        <w:tc>
          <w:tcPr>
            <w:tcW w:w="4190" w:type="pct"/>
            <w:gridSpan w:val="5"/>
            <w:vAlign w:val="bottom"/>
          </w:tcPr>
          <w:p w14:paraId="4206B5BA" w14:textId="24EA8A93" w:rsidR="0041402C" w:rsidRPr="00D7274B" w:rsidRDefault="0041402C" w:rsidP="001A5D4A">
            <w:pPr>
              <w:pStyle w:val="NotesTable-ItemPlain"/>
            </w:pPr>
            <w:r>
              <w:t xml:space="preserve">NCAs (or disposal groups) held for </w:t>
            </w:r>
            <w:proofErr w:type="gramStart"/>
            <w:r>
              <w:t>sale are</w:t>
            </w:r>
            <w:proofErr w:type="gramEnd"/>
            <w:r>
              <w:t xml:space="preserve"> carried at the lower of the carrying amount of the fair value less costs to sell. For the fair value of the NCA (or disposal group) see note 51.</w:t>
            </w:r>
          </w:p>
        </w:tc>
      </w:tr>
    </w:tbl>
    <w:p w14:paraId="1DBF6099" w14:textId="305336E2" w:rsidR="00A44232" w:rsidRPr="00A44232" w:rsidRDefault="00A44232" w:rsidP="001A5D4A">
      <w:pPr>
        <w:pStyle w:val="Heading3"/>
        <w:rPr>
          <w:color w:val="2D3E7B" w:themeColor="text2" w:themeShade="BF"/>
        </w:rPr>
      </w:pPr>
      <w:bookmarkStart w:id="321" w:name="_Toc410807633"/>
      <w:bookmarkStart w:id="322" w:name="_Toc410822694"/>
      <w:r w:rsidRPr="00A44232">
        <w:rPr>
          <w:color w:val="2D3E7B" w:themeColor="text2" w:themeShade="BF"/>
        </w:rPr>
        <w:t xml:space="preserve">Commentary </w:t>
      </w:r>
      <w:r w:rsidRPr="00A44232">
        <w:rPr>
          <w:color w:val="2D3E7B" w:themeColor="text2" w:themeShade="BF"/>
        </w:rPr>
        <w:noBreakHyphen/>
        <w:t xml:space="preserve"> Non</w:t>
      </w:r>
      <w:r w:rsidRPr="00A44232">
        <w:rPr>
          <w:color w:val="2D3E7B" w:themeColor="text2" w:themeShade="BF"/>
        </w:rPr>
        <w:noBreakHyphen/>
        <w:t>current assets classified as held for sale</w:t>
      </w:r>
      <w:bookmarkEnd w:id="321"/>
      <w:bookmarkEnd w:id="322"/>
    </w:p>
    <w:p w14:paraId="120027D2" w14:textId="77777777" w:rsidR="00A44232" w:rsidRPr="00AE7A0B" w:rsidRDefault="00A44232" w:rsidP="00AB24D3">
      <w:pPr>
        <w:pStyle w:val="Heading4"/>
        <w:rPr>
          <w:color w:val="2D3E7B" w:themeColor="text2" w:themeShade="BF"/>
          <w14:textFill>
            <w14:solidFill>
              <w14:schemeClr w14:val="tx2">
                <w14:lumMod w14:val="75000"/>
                <w14:lumMod w14:val="75000"/>
              </w14:schemeClr>
            </w14:solidFill>
          </w14:textFill>
        </w:rPr>
      </w:pPr>
      <w:r w:rsidRPr="00AE7A0B">
        <w:rPr>
          <w:color w:val="2D3E7B" w:themeColor="text2" w:themeShade="BF"/>
          <w14:textFill>
            <w14:solidFill>
              <w14:schemeClr w14:val="tx2">
                <w14:lumMod w14:val="75000"/>
                <w14:lumMod w14:val="75000"/>
              </w14:schemeClr>
            </w14:solidFill>
          </w14:textFill>
        </w:rPr>
        <w:t>Definition</w:t>
      </w:r>
    </w:p>
    <w:p w14:paraId="2B04508C" w14:textId="77777777" w:rsidR="00A44232" w:rsidRPr="00AE7A0B" w:rsidRDefault="00A44232" w:rsidP="00E422A6">
      <w:pPr>
        <w:pStyle w:val="Heading6"/>
      </w:pPr>
      <w:r w:rsidRPr="00AE7A0B">
        <w:t>AASB5.11</w:t>
      </w:r>
    </w:p>
    <w:p w14:paraId="5F92D99B" w14:textId="77777777" w:rsidR="00A44232" w:rsidRPr="00A44232" w:rsidRDefault="00A44232" w:rsidP="001A5D4A">
      <w:pPr>
        <w:rPr>
          <w:color w:val="2D3E7B" w:themeColor="text2" w:themeShade="BF"/>
        </w:rPr>
      </w:pPr>
      <w:r w:rsidRPr="00AE7A0B">
        <w:rPr>
          <w:color w:val="2D3E7B" w:themeColor="text2" w:themeShade="BF"/>
        </w:rPr>
        <w:t xml:space="preserve">An entity shall classify </w:t>
      </w:r>
      <w:r w:rsidRPr="00A44232">
        <w:rPr>
          <w:color w:val="2D3E7B" w:themeColor="text2" w:themeShade="BF"/>
        </w:rPr>
        <w:t>a non</w:t>
      </w:r>
      <w:r w:rsidRPr="00A44232">
        <w:rPr>
          <w:color w:val="2D3E7B" w:themeColor="text2" w:themeShade="BF"/>
        </w:rPr>
        <w:noBreakHyphen/>
        <w:t>current asset (or disposal group) as held for sale if its carrying amount will be recovered principally through a sale transaction rather than through continuing use. For this to be the case the asset (or disposal group) must be available for immediate sale in its present condition subject only to terms that are usual and customary for sales of such assets (or disposal groups) and its sale must be highly probable.</w:t>
      </w:r>
    </w:p>
    <w:p w14:paraId="72222D16" w14:textId="77777777" w:rsidR="00A44232" w:rsidRPr="00A44232" w:rsidRDefault="00A44232" w:rsidP="00E422A6">
      <w:pPr>
        <w:pStyle w:val="Heading6"/>
      </w:pPr>
      <w:r w:rsidRPr="00A44232">
        <w:t>AASB5.36A</w:t>
      </w:r>
    </w:p>
    <w:p w14:paraId="2428873A" w14:textId="1D3CC973" w:rsidR="00022EFA" w:rsidRDefault="00A44232" w:rsidP="001A5D4A">
      <w:pPr>
        <w:rPr>
          <w:color w:val="2D3E7B" w:themeColor="text2" w:themeShade="BF"/>
        </w:rPr>
      </w:pPr>
      <w:r w:rsidRPr="00A44232">
        <w:rPr>
          <w:color w:val="2D3E7B" w:themeColor="text2" w:themeShade="BF"/>
        </w:rPr>
        <w:t>If an entity is committed to a sale plan involving loss of control of a subsidiary, all of the assets and liabilities of the subsidiary shall be classified as held for sale regardless of whether the entity will retain an interest in the former subsidiary after the sale.</w:t>
      </w:r>
    </w:p>
    <w:p w14:paraId="655B5291" w14:textId="5DC442BF" w:rsidR="001B4E7B" w:rsidRPr="001B4E7B" w:rsidRDefault="001B4E7B" w:rsidP="00AE7A0B">
      <w:pPr>
        <w:pStyle w:val="Heading2"/>
      </w:pPr>
      <w:bookmarkStart w:id="323" w:name="_Toc410807634"/>
      <w:bookmarkStart w:id="324" w:name="_Toc410822695"/>
      <w:proofErr w:type="gramStart"/>
      <w:r w:rsidRPr="001B4E7B">
        <w:t>Note 23.</w:t>
      </w:r>
      <w:proofErr w:type="gramEnd"/>
      <w:r w:rsidR="002636A0">
        <w:t xml:space="preserve"> </w:t>
      </w:r>
      <w:r w:rsidRPr="001B4E7B">
        <w:t>Other non-financial assets</w:t>
      </w:r>
      <w:bookmarkEnd w:id="323"/>
      <w:bookmarkEnd w:id="324"/>
    </w:p>
    <w:tbl>
      <w:tblPr>
        <w:tblW w:w="5000" w:type="pct"/>
        <w:tblCellMar>
          <w:left w:w="0" w:type="dxa"/>
          <w:right w:w="0" w:type="dxa"/>
        </w:tblCellMar>
        <w:tblLook w:val="0000" w:firstRow="0" w:lastRow="0" w:firstColumn="0" w:lastColumn="0" w:noHBand="0" w:noVBand="0"/>
      </w:tblPr>
      <w:tblGrid>
        <w:gridCol w:w="1579"/>
        <w:gridCol w:w="5006"/>
        <w:gridCol w:w="792"/>
        <w:gridCol w:w="792"/>
        <w:gridCol w:w="792"/>
        <w:gridCol w:w="790"/>
      </w:tblGrid>
      <w:tr w:rsidR="00023312" w14:paraId="038A205D" w14:textId="77777777" w:rsidTr="00E21378">
        <w:trPr>
          <w:cantSplit/>
          <w:trHeight w:hRule="exact" w:val="227"/>
        </w:trPr>
        <w:tc>
          <w:tcPr>
            <w:tcW w:w="810" w:type="pct"/>
          </w:tcPr>
          <w:p w14:paraId="038A2059" w14:textId="77777777" w:rsidR="00023312" w:rsidRDefault="00023312" w:rsidP="001A5D4A">
            <w:pPr>
              <w:pStyle w:val="Note-Refs"/>
            </w:pPr>
          </w:p>
        </w:tc>
        <w:tc>
          <w:tcPr>
            <w:tcW w:w="2567" w:type="pct"/>
          </w:tcPr>
          <w:p w14:paraId="038A205A" w14:textId="77777777" w:rsidR="00023312" w:rsidRDefault="00023312" w:rsidP="001A5D4A">
            <w:pPr>
              <w:pStyle w:val="NotesTable-ItemPlain"/>
            </w:pPr>
          </w:p>
        </w:tc>
        <w:tc>
          <w:tcPr>
            <w:tcW w:w="812" w:type="pct"/>
            <w:gridSpan w:val="2"/>
          </w:tcPr>
          <w:p w14:paraId="038A205B" w14:textId="77777777" w:rsidR="00023312" w:rsidRDefault="00023312" w:rsidP="001A5D4A">
            <w:pPr>
              <w:pStyle w:val="NotesTable-HeadPlain"/>
              <w:rPr>
                <w:b/>
              </w:rPr>
            </w:pPr>
            <w:r>
              <w:t>Consolidated</w:t>
            </w:r>
          </w:p>
        </w:tc>
        <w:tc>
          <w:tcPr>
            <w:tcW w:w="811" w:type="pct"/>
            <w:gridSpan w:val="2"/>
          </w:tcPr>
          <w:p w14:paraId="038A205C" w14:textId="77777777" w:rsidR="00023312" w:rsidRDefault="00023312" w:rsidP="001A5D4A">
            <w:pPr>
              <w:pStyle w:val="NotesTable-HeadPlain"/>
            </w:pPr>
            <w:r>
              <w:t>Parent entity</w:t>
            </w:r>
          </w:p>
        </w:tc>
      </w:tr>
      <w:tr w:rsidR="00023312" w14:paraId="038A2064" w14:textId="77777777" w:rsidTr="00E21378">
        <w:trPr>
          <w:cantSplit/>
          <w:trHeight w:hRule="exact" w:val="227"/>
        </w:trPr>
        <w:tc>
          <w:tcPr>
            <w:tcW w:w="810" w:type="pct"/>
            <w:vAlign w:val="bottom"/>
          </w:tcPr>
          <w:p w14:paraId="038A205E" w14:textId="0400BC54" w:rsidR="00023312" w:rsidRDefault="00913AC2" w:rsidP="001A5D4A">
            <w:pPr>
              <w:pStyle w:val="Note-Refs"/>
            </w:pPr>
            <w:r>
              <w:t>AASB101.54m</w:t>
            </w:r>
          </w:p>
        </w:tc>
        <w:tc>
          <w:tcPr>
            <w:tcW w:w="2567" w:type="pct"/>
            <w:vAlign w:val="bottom"/>
          </w:tcPr>
          <w:p w14:paraId="038A205F" w14:textId="77777777" w:rsidR="00023312" w:rsidRDefault="00023312" w:rsidP="001A5D4A">
            <w:pPr>
              <w:pStyle w:val="NotesTable-ItemPlain"/>
            </w:pPr>
          </w:p>
        </w:tc>
        <w:tc>
          <w:tcPr>
            <w:tcW w:w="406" w:type="pct"/>
            <w:vAlign w:val="bottom"/>
          </w:tcPr>
          <w:p w14:paraId="038A2060" w14:textId="3A596E49" w:rsidR="00023312" w:rsidRDefault="006864EC" w:rsidP="001A5D4A">
            <w:pPr>
              <w:pStyle w:val="NotesTable-HeadBold"/>
            </w:pPr>
            <w:r>
              <w:t>2014</w:t>
            </w:r>
          </w:p>
        </w:tc>
        <w:tc>
          <w:tcPr>
            <w:tcW w:w="406" w:type="pct"/>
            <w:vAlign w:val="bottom"/>
          </w:tcPr>
          <w:p w14:paraId="038A2061" w14:textId="13E8BA84" w:rsidR="00023312" w:rsidRDefault="006864EC" w:rsidP="001A5D4A">
            <w:pPr>
              <w:pStyle w:val="NotesTable-HeadPlain"/>
            </w:pPr>
            <w:r>
              <w:t>2013</w:t>
            </w:r>
          </w:p>
        </w:tc>
        <w:tc>
          <w:tcPr>
            <w:tcW w:w="406" w:type="pct"/>
            <w:vAlign w:val="bottom"/>
          </w:tcPr>
          <w:p w14:paraId="038A2062" w14:textId="6248252E" w:rsidR="00023312" w:rsidRDefault="006864EC" w:rsidP="001A5D4A">
            <w:pPr>
              <w:pStyle w:val="NotesTable-HeadBold"/>
            </w:pPr>
            <w:r>
              <w:t>2014</w:t>
            </w:r>
          </w:p>
        </w:tc>
        <w:tc>
          <w:tcPr>
            <w:tcW w:w="405" w:type="pct"/>
            <w:vAlign w:val="bottom"/>
          </w:tcPr>
          <w:p w14:paraId="038A2063" w14:textId="04C73DA4" w:rsidR="00023312" w:rsidRDefault="006864EC" w:rsidP="001A5D4A">
            <w:pPr>
              <w:pStyle w:val="NotesTable-HeadPlain"/>
            </w:pPr>
            <w:r>
              <w:t>2013</w:t>
            </w:r>
          </w:p>
        </w:tc>
      </w:tr>
      <w:tr w:rsidR="00B9401B" w14:paraId="038A206B" w14:textId="77777777" w:rsidTr="00E21378">
        <w:trPr>
          <w:cantSplit/>
          <w:trHeight w:hRule="exact" w:val="227"/>
        </w:trPr>
        <w:tc>
          <w:tcPr>
            <w:tcW w:w="810" w:type="pct"/>
            <w:vAlign w:val="bottom"/>
          </w:tcPr>
          <w:p w14:paraId="038A2065" w14:textId="77777777" w:rsidR="00B9401B" w:rsidRDefault="00B9401B" w:rsidP="001A5D4A">
            <w:pPr>
              <w:pStyle w:val="Note-Refs"/>
            </w:pPr>
          </w:p>
        </w:tc>
        <w:tc>
          <w:tcPr>
            <w:tcW w:w="2567" w:type="pct"/>
            <w:vAlign w:val="bottom"/>
          </w:tcPr>
          <w:p w14:paraId="038A2066" w14:textId="77777777" w:rsidR="00B9401B" w:rsidRDefault="00B9401B" w:rsidP="001A5D4A">
            <w:pPr>
              <w:pStyle w:val="NotesTable-ItemPlain"/>
            </w:pPr>
          </w:p>
        </w:tc>
        <w:tc>
          <w:tcPr>
            <w:tcW w:w="406" w:type="pct"/>
            <w:vAlign w:val="bottom"/>
          </w:tcPr>
          <w:p w14:paraId="038A2067" w14:textId="77777777" w:rsidR="00B9401B" w:rsidRDefault="00B9401B" w:rsidP="001A5D4A">
            <w:pPr>
              <w:pStyle w:val="NotesTable-HeadBold"/>
            </w:pPr>
            <w:r>
              <w:t>$'000</w:t>
            </w:r>
          </w:p>
        </w:tc>
        <w:tc>
          <w:tcPr>
            <w:tcW w:w="406" w:type="pct"/>
            <w:vAlign w:val="bottom"/>
          </w:tcPr>
          <w:p w14:paraId="038A2068" w14:textId="77777777" w:rsidR="00B9401B" w:rsidRDefault="00B9401B" w:rsidP="001A5D4A">
            <w:pPr>
              <w:pStyle w:val="NotesTable-HeadPlain"/>
            </w:pPr>
            <w:r>
              <w:t>$'000</w:t>
            </w:r>
          </w:p>
        </w:tc>
        <w:tc>
          <w:tcPr>
            <w:tcW w:w="406" w:type="pct"/>
            <w:vAlign w:val="bottom"/>
          </w:tcPr>
          <w:p w14:paraId="038A2069" w14:textId="77777777" w:rsidR="00B9401B" w:rsidRDefault="00B9401B" w:rsidP="001A5D4A">
            <w:pPr>
              <w:pStyle w:val="NotesTable-HeadBold"/>
            </w:pPr>
            <w:r>
              <w:t>$'000</w:t>
            </w:r>
          </w:p>
        </w:tc>
        <w:tc>
          <w:tcPr>
            <w:tcW w:w="405" w:type="pct"/>
            <w:vAlign w:val="bottom"/>
          </w:tcPr>
          <w:p w14:paraId="038A206A" w14:textId="77777777" w:rsidR="00B9401B" w:rsidRDefault="00B9401B" w:rsidP="001A5D4A">
            <w:pPr>
              <w:pStyle w:val="NotesTable-HeadPlain"/>
            </w:pPr>
            <w:r>
              <w:t>$'000</w:t>
            </w:r>
          </w:p>
        </w:tc>
      </w:tr>
      <w:tr w:rsidR="00B9401B" w14:paraId="038A2072" w14:textId="77777777" w:rsidTr="00E21378">
        <w:trPr>
          <w:cantSplit/>
          <w:trHeight w:hRule="exact" w:val="227"/>
        </w:trPr>
        <w:tc>
          <w:tcPr>
            <w:tcW w:w="810" w:type="pct"/>
          </w:tcPr>
          <w:p w14:paraId="038A206C" w14:textId="77777777" w:rsidR="00B9401B" w:rsidRDefault="00B9401B" w:rsidP="001A5D4A">
            <w:pPr>
              <w:pStyle w:val="Note-Refs"/>
            </w:pPr>
          </w:p>
        </w:tc>
        <w:tc>
          <w:tcPr>
            <w:tcW w:w="2567" w:type="pct"/>
          </w:tcPr>
          <w:p w14:paraId="038A206D" w14:textId="77777777" w:rsidR="00B9401B" w:rsidRDefault="00B9401B" w:rsidP="001A5D4A">
            <w:pPr>
              <w:pStyle w:val="NotesTable-ItemPlain"/>
              <w:rPr>
                <w:b/>
              </w:rPr>
            </w:pPr>
            <w:r>
              <w:t>[</w:t>
            </w:r>
            <w:r w:rsidR="00D73BD5">
              <w:t>Specify</w:t>
            </w:r>
            <w:r>
              <w:t>]</w:t>
            </w:r>
          </w:p>
        </w:tc>
        <w:tc>
          <w:tcPr>
            <w:tcW w:w="406" w:type="pct"/>
            <w:tcBorders>
              <w:bottom w:val="single" w:sz="4" w:space="0" w:color="000000"/>
            </w:tcBorders>
          </w:tcPr>
          <w:p w14:paraId="038A206E" w14:textId="77777777" w:rsidR="00B9401B" w:rsidRDefault="00B9401B" w:rsidP="001A5D4A">
            <w:pPr>
              <w:pStyle w:val="NotesTable-CellBold"/>
            </w:pPr>
            <w:r>
              <w:t>–</w:t>
            </w:r>
          </w:p>
        </w:tc>
        <w:tc>
          <w:tcPr>
            <w:tcW w:w="406" w:type="pct"/>
            <w:tcBorders>
              <w:bottom w:val="single" w:sz="4" w:space="0" w:color="000000"/>
            </w:tcBorders>
          </w:tcPr>
          <w:p w14:paraId="038A206F" w14:textId="77777777" w:rsidR="00B9401B" w:rsidRDefault="00B9401B" w:rsidP="001A5D4A">
            <w:pPr>
              <w:pStyle w:val="NotesTable-CellPlain"/>
            </w:pPr>
            <w:r>
              <w:t>–</w:t>
            </w:r>
          </w:p>
        </w:tc>
        <w:tc>
          <w:tcPr>
            <w:tcW w:w="406" w:type="pct"/>
            <w:tcBorders>
              <w:bottom w:val="single" w:sz="4" w:space="0" w:color="000000"/>
            </w:tcBorders>
          </w:tcPr>
          <w:p w14:paraId="038A2070" w14:textId="77777777" w:rsidR="00B9401B" w:rsidRDefault="00B9401B" w:rsidP="001A5D4A">
            <w:pPr>
              <w:pStyle w:val="NotesTable-CellBold"/>
            </w:pPr>
            <w:r>
              <w:t>–</w:t>
            </w:r>
          </w:p>
        </w:tc>
        <w:tc>
          <w:tcPr>
            <w:tcW w:w="405" w:type="pct"/>
            <w:tcBorders>
              <w:bottom w:val="single" w:sz="4" w:space="0" w:color="000000"/>
            </w:tcBorders>
          </w:tcPr>
          <w:p w14:paraId="038A2071" w14:textId="77777777" w:rsidR="00B9401B" w:rsidRDefault="00B9401B" w:rsidP="001A5D4A">
            <w:pPr>
              <w:pStyle w:val="NotesTable-CellPlain"/>
            </w:pPr>
            <w:r>
              <w:t>–</w:t>
            </w:r>
          </w:p>
        </w:tc>
      </w:tr>
      <w:tr w:rsidR="00B9401B" w14:paraId="038A2079" w14:textId="77777777" w:rsidTr="00E21378">
        <w:trPr>
          <w:cantSplit/>
          <w:trHeight w:hRule="exact" w:val="227"/>
        </w:trPr>
        <w:tc>
          <w:tcPr>
            <w:tcW w:w="810" w:type="pct"/>
          </w:tcPr>
          <w:p w14:paraId="038A2073" w14:textId="77777777" w:rsidR="00B9401B" w:rsidRDefault="00B9401B" w:rsidP="001A5D4A">
            <w:pPr>
              <w:pStyle w:val="Note-Refs"/>
            </w:pPr>
          </w:p>
        </w:tc>
        <w:tc>
          <w:tcPr>
            <w:tcW w:w="2567" w:type="pct"/>
          </w:tcPr>
          <w:p w14:paraId="038A2074" w14:textId="77777777" w:rsidR="00B9401B" w:rsidRDefault="00DE5788" w:rsidP="001A5D4A">
            <w:pPr>
              <w:pStyle w:val="NotesTable-ItemPlain"/>
              <w:rPr>
                <w:b/>
              </w:rPr>
            </w:pPr>
            <w:r>
              <w:t>Total</w:t>
            </w:r>
            <w:r w:rsidR="004D16B0">
              <w:t xml:space="preserve"> other non-financial assets</w:t>
            </w:r>
          </w:p>
        </w:tc>
        <w:tc>
          <w:tcPr>
            <w:tcW w:w="406" w:type="pct"/>
          </w:tcPr>
          <w:p w14:paraId="038A2075" w14:textId="77777777" w:rsidR="00B9401B" w:rsidRDefault="00B9401B" w:rsidP="001A5D4A">
            <w:pPr>
              <w:pStyle w:val="NotesTable-CellBold"/>
            </w:pPr>
            <w:r>
              <w:t>–</w:t>
            </w:r>
          </w:p>
        </w:tc>
        <w:tc>
          <w:tcPr>
            <w:tcW w:w="406" w:type="pct"/>
          </w:tcPr>
          <w:p w14:paraId="038A2076" w14:textId="77777777" w:rsidR="00B9401B" w:rsidRDefault="00B9401B" w:rsidP="001A5D4A">
            <w:pPr>
              <w:pStyle w:val="NotesTable-CellPlain"/>
            </w:pPr>
            <w:r>
              <w:t>–</w:t>
            </w:r>
          </w:p>
        </w:tc>
        <w:tc>
          <w:tcPr>
            <w:tcW w:w="406" w:type="pct"/>
          </w:tcPr>
          <w:p w14:paraId="038A2077" w14:textId="77777777" w:rsidR="00B9401B" w:rsidRDefault="00B9401B" w:rsidP="001A5D4A">
            <w:pPr>
              <w:pStyle w:val="NotesTable-CellBold"/>
            </w:pPr>
            <w:r>
              <w:t>–</w:t>
            </w:r>
          </w:p>
        </w:tc>
        <w:tc>
          <w:tcPr>
            <w:tcW w:w="405" w:type="pct"/>
          </w:tcPr>
          <w:p w14:paraId="038A2078" w14:textId="77777777" w:rsidR="00B9401B" w:rsidRDefault="00B9401B" w:rsidP="001A5D4A">
            <w:pPr>
              <w:pStyle w:val="NotesTable-CellPlain"/>
            </w:pPr>
            <w:r>
              <w:t>–</w:t>
            </w:r>
          </w:p>
        </w:tc>
      </w:tr>
    </w:tbl>
    <w:p w14:paraId="5957EE69" w14:textId="77777777" w:rsidR="00AE7A0B" w:rsidRPr="002168F3" w:rsidRDefault="00AE7A0B" w:rsidP="002168F3">
      <w:bookmarkStart w:id="325" w:name="_Toc410807635"/>
      <w:bookmarkStart w:id="326" w:name="_Toc410822696"/>
      <w:r>
        <w:br w:type="page"/>
      </w:r>
    </w:p>
    <w:p w14:paraId="199A6AE8" w14:textId="4E9F8902" w:rsidR="001B4E7B" w:rsidRPr="001B4E7B" w:rsidRDefault="001B4E7B" w:rsidP="00AE7A0B">
      <w:pPr>
        <w:pStyle w:val="Heading2"/>
      </w:pPr>
      <w:proofErr w:type="gramStart"/>
      <w:r w:rsidRPr="001B4E7B">
        <w:lastRenderedPageBreak/>
        <w:t>Note 24.</w:t>
      </w:r>
      <w:proofErr w:type="gramEnd"/>
      <w:r w:rsidR="002636A0">
        <w:t xml:space="preserve"> </w:t>
      </w:r>
      <w:r w:rsidRPr="001B4E7B">
        <w:t>Investments accounted for using the equity method</w:t>
      </w:r>
      <w:bookmarkEnd w:id="325"/>
      <w:bookmarkEnd w:id="326"/>
    </w:p>
    <w:tbl>
      <w:tblPr>
        <w:tblW w:w="5000" w:type="pct"/>
        <w:tblCellMar>
          <w:left w:w="0" w:type="dxa"/>
          <w:right w:w="0" w:type="dxa"/>
        </w:tblCellMar>
        <w:tblLook w:val="0000" w:firstRow="0" w:lastRow="0" w:firstColumn="0" w:lastColumn="0" w:noHBand="0" w:noVBand="0"/>
      </w:tblPr>
      <w:tblGrid>
        <w:gridCol w:w="1588"/>
        <w:gridCol w:w="1630"/>
        <w:gridCol w:w="1628"/>
        <w:gridCol w:w="1628"/>
        <w:gridCol w:w="76"/>
        <w:gridCol w:w="21"/>
        <w:gridCol w:w="720"/>
        <w:gridCol w:w="49"/>
        <w:gridCol w:w="21"/>
        <w:gridCol w:w="747"/>
        <w:gridCol w:w="31"/>
        <w:gridCol w:w="12"/>
        <w:gridCol w:w="778"/>
        <w:gridCol w:w="12"/>
        <w:gridCol w:w="12"/>
        <w:gridCol w:w="798"/>
      </w:tblGrid>
      <w:tr w:rsidR="00E97BE3" w14:paraId="192FD8DC" w14:textId="77777777" w:rsidTr="00E21378">
        <w:trPr>
          <w:trHeight w:val="181"/>
        </w:trPr>
        <w:tc>
          <w:tcPr>
            <w:tcW w:w="814" w:type="pct"/>
          </w:tcPr>
          <w:p w14:paraId="6AAEE9C9" w14:textId="77777777" w:rsidR="00E97BE3" w:rsidRDefault="00E97BE3" w:rsidP="001A5D4A">
            <w:pPr>
              <w:pStyle w:val="Note-Refs"/>
            </w:pPr>
          </w:p>
        </w:tc>
        <w:tc>
          <w:tcPr>
            <w:tcW w:w="4186" w:type="pct"/>
            <w:gridSpan w:val="15"/>
            <w:vAlign w:val="bottom"/>
          </w:tcPr>
          <w:p w14:paraId="534BACC5" w14:textId="127C63C3" w:rsidR="00E97BE3" w:rsidRDefault="00A7642E" w:rsidP="001A5D4A">
            <w:pPr>
              <w:pStyle w:val="Note-TextHeader"/>
              <w:numPr>
                <w:ilvl w:val="0"/>
                <w:numId w:val="4"/>
              </w:numPr>
              <w:ind w:left="357" w:hanging="357"/>
            </w:pPr>
            <w:r>
              <w:t>Associates</w:t>
            </w:r>
          </w:p>
        </w:tc>
      </w:tr>
      <w:tr w:rsidR="00A86535" w14:paraId="3EE5918B" w14:textId="77777777" w:rsidTr="00E21378">
        <w:trPr>
          <w:trHeight w:val="181"/>
        </w:trPr>
        <w:tc>
          <w:tcPr>
            <w:tcW w:w="814" w:type="pct"/>
            <w:vMerge w:val="restart"/>
          </w:tcPr>
          <w:p w14:paraId="5B9F3AD9" w14:textId="3AFB26A1" w:rsidR="00A86535" w:rsidRDefault="00A86535" w:rsidP="001A5D4A">
            <w:pPr>
              <w:pStyle w:val="Note-Refs"/>
            </w:pPr>
            <w:r>
              <w:t>AASB12.21bi, AASB12.21biii, AASB12.21a</w:t>
            </w:r>
          </w:p>
        </w:tc>
        <w:tc>
          <w:tcPr>
            <w:tcW w:w="836" w:type="pct"/>
            <w:vMerge w:val="restart"/>
            <w:tcBorders>
              <w:right w:val="single" w:sz="4" w:space="0" w:color="auto"/>
            </w:tcBorders>
          </w:tcPr>
          <w:p w14:paraId="33A30504" w14:textId="77777777" w:rsidR="00A86535" w:rsidRDefault="00A86535" w:rsidP="001A5D4A">
            <w:pPr>
              <w:pStyle w:val="NotesTable-HeadBold"/>
            </w:pPr>
            <w:r>
              <w:t>Name of Entity</w:t>
            </w:r>
          </w:p>
        </w:tc>
        <w:tc>
          <w:tcPr>
            <w:tcW w:w="835" w:type="pct"/>
            <w:vMerge w:val="restart"/>
            <w:tcBorders>
              <w:left w:val="single" w:sz="4" w:space="0" w:color="auto"/>
              <w:right w:val="single" w:sz="4" w:space="0" w:color="auto"/>
            </w:tcBorders>
          </w:tcPr>
          <w:p w14:paraId="10043C94" w14:textId="1B3ACEE6" w:rsidR="00A86535" w:rsidRDefault="00A86535" w:rsidP="001A5D4A">
            <w:pPr>
              <w:pStyle w:val="NotesTable-HeadBold"/>
            </w:pPr>
            <w:r>
              <w:t>Place of business/ Country of incorporation</w:t>
            </w:r>
          </w:p>
        </w:tc>
        <w:tc>
          <w:tcPr>
            <w:tcW w:w="835" w:type="pct"/>
            <w:vMerge w:val="restart"/>
            <w:tcBorders>
              <w:left w:val="single" w:sz="4" w:space="0" w:color="auto"/>
              <w:bottom w:val="single" w:sz="4" w:space="0" w:color="auto"/>
              <w:right w:val="single" w:sz="4" w:space="0" w:color="auto"/>
            </w:tcBorders>
          </w:tcPr>
          <w:p w14:paraId="0D94B03E" w14:textId="3A200AC6" w:rsidR="00A86535" w:rsidRDefault="00A86535" w:rsidP="001A5D4A">
            <w:pPr>
              <w:pStyle w:val="NotesTable-HeadBold"/>
            </w:pPr>
            <w:r>
              <w:t>Measurement method</w:t>
            </w:r>
          </w:p>
        </w:tc>
        <w:tc>
          <w:tcPr>
            <w:tcW w:w="838" w:type="pct"/>
            <w:gridSpan w:val="6"/>
            <w:tcBorders>
              <w:left w:val="single" w:sz="4" w:space="0" w:color="auto"/>
              <w:right w:val="single" w:sz="4" w:space="0" w:color="auto"/>
            </w:tcBorders>
          </w:tcPr>
          <w:p w14:paraId="7E1B1DBC" w14:textId="6194C8CF" w:rsidR="00A86535" w:rsidRDefault="00A86535" w:rsidP="001A5D4A">
            <w:pPr>
              <w:pStyle w:val="NotesTable-HeadBold"/>
            </w:pPr>
            <w:r>
              <w:t>Quoted fair value</w:t>
            </w:r>
          </w:p>
        </w:tc>
        <w:tc>
          <w:tcPr>
            <w:tcW w:w="843" w:type="pct"/>
            <w:gridSpan w:val="6"/>
            <w:tcBorders>
              <w:left w:val="single" w:sz="4" w:space="0" w:color="auto"/>
            </w:tcBorders>
          </w:tcPr>
          <w:p w14:paraId="7150AC0E" w14:textId="77777777" w:rsidR="00A86535" w:rsidRDefault="00A86535" w:rsidP="001A5D4A">
            <w:pPr>
              <w:pStyle w:val="NotesTable-HeadBold"/>
            </w:pPr>
            <w:r>
              <w:t>Ownership Interest %</w:t>
            </w:r>
          </w:p>
        </w:tc>
      </w:tr>
      <w:tr w:rsidR="000D7546" w14:paraId="61E04961" w14:textId="77777777" w:rsidTr="00E21378">
        <w:trPr>
          <w:trHeight w:val="181"/>
        </w:trPr>
        <w:tc>
          <w:tcPr>
            <w:tcW w:w="814" w:type="pct"/>
            <w:vMerge/>
          </w:tcPr>
          <w:p w14:paraId="45952CCA" w14:textId="77777777" w:rsidR="000D7546" w:rsidRDefault="000D7546" w:rsidP="001A5D4A">
            <w:pPr>
              <w:pStyle w:val="Note-Refs"/>
            </w:pPr>
          </w:p>
        </w:tc>
        <w:tc>
          <w:tcPr>
            <w:tcW w:w="836" w:type="pct"/>
            <w:vMerge/>
            <w:tcBorders>
              <w:bottom w:val="single" w:sz="4" w:space="0" w:color="auto"/>
              <w:right w:val="single" w:sz="4" w:space="0" w:color="auto"/>
            </w:tcBorders>
          </w:tcPr>
          <w:p w14:paraId="06E40A97" w14:textId="77777777" w:rsidR="000D7546" w:rsidRDefault="000D7546" w:rsidP="001A5D4A">
            <w:pPr>
              <w:pStyle w:val="NotesTable-HeadBold"/>
            </w:pPr>
          </w:p>
        </w:tc>
        <w:tc>
          <w:tcPr>
            <w:tcW w:w="835" w:type="pct"/>
            <w:vMerge/>
            <w:tcBorders>
              <w:left w:val="single" w:sz="4" w:space="0" w:color="auto"/>
              <w:bottom w:val="single" w:sz="4" w:space="0" w:color="auto"/>
              <w:right w:val="single" w:sz="4" w:space="0" w:color="auto"/>
            </w:tcBorders>
          </w:tcPr>
          <w:p w14:paraId="75770816" w14:textId="77777777" w:rsidR="000D7546" w:rsidRDefault="000D7546" w:rsidP="001A5D4A">
            <w:pPr>
              <w:pStyle w:val="NotesTable-HeadBold"/>
            </w:pPr>
          </w:p>
        </w:tc>
        <w:tc>
          <w:tcPr>
            <w:tcW w:w="835" w:type="pct"/>
            <w:vMerge/>
            <w:tcBorders>
              <w:left w:val="single" w:sz="4" w:space="0" w:color="auto"/>
              <w:bottom w:val="single" w:sz="4" w:space="0" w:color="auto"/>
              <w:right w:val="single" w:sz="4" w:space="0" w:color="auto"/>
            </w:tcBorders>
          </w:tcPr>
          <w:p w14:paraId="727E2DE6" w14:textId="77777777" w:rsidR="000D7546" w:rsidRDefault="000D7546" w:rsidP="001A5D4A">
            <w:pPr>
              <w:pStyle w:val="NotesTable-HeadBold"/>
            </w:pPr>
          </w:p>
        </w:tc>
        <w:tc>
          <w:tcPr>
            <w:tcW w:w="419" w:type="pct"/>
            <w:gridSpan w:val="3"/>
            <w:tcBorders>
              <w:left w:val="single" w:sz="4" w:space="0" w:color="auto"/>
              <w:bottom w:val="single" w:sz="4" w:space="0" w:color="auto"/>
              <w:right w:val="single" w:sz="4" w:space="0" w:color="auto"/>
            </w:tcBorders>
          </w:tcPr>
          <w:p w14:paraId="6FC83733" w14:textId="1BFD46A7" w:rsidR="000D7546" w:rsidRDefault="000D7546" w:rsidP="001A5D4A">
            <w:pPr>
              <w:pStyle w:val="NotesTable-CellBold"/>
            </w:pPr>
            <w:r>
              <w:t>2014</w:t>
            </w:r>
          </w:p>
        </w:tc>
        <w:tc>
          <w:tcPr>
            <w:tcW w:w="419" w:type="pct"/>
            <w:gridSpan w:val="3"/>
            <w:tcBorders>
              <w:left w:val="single" w:sz="4" w:space="0" w:color="auto"/>
              <w:bottom w:val="single" w:sz="4" w:space="0" w:color="auto"/>
              <w:right w:val="single" w:sz="4" w:space="0" w:color="auto"/>
            </w:tcBorders>
          </w:tcPr>
          <w:p w14:paraId="6DB3BEC6" w14:textId="5E8C42D1" w:rsidR="000D7546" w:rsidRDefault="000D7546" w:rsidP="001A5D4A">
            <w:pPr>
              <w:pStyle w:val="NotesTable-CellPlain"/>
            </w:pPr>
            <w:r>
              <w:t>2013</w:t>
            </w:r>
          </w:p>
        </w:tc>
        <w:tc>
          <w:tcPr>
            <w:tcW w:w="421" w:type="pct"/>
            <w:gridSpan w:val="3"/>
            <w:tcBorders>
              <w:left w:val="single" w:sz="4" w:space="0" w:color="auto"/>
              <w:bottom w:val="single" w:sz="4" w:space="0" w:color="auto"/>
            </w:tcBorders>
          </w:tcPr>
          <w:p w14:paraId="3F1F75EC" w14:textId="5A947B2B" w:rsidR="000D7546" w:rsidRDefault="000D7546" w:rsidP="001A5D4A">
            <w:pPr>
              <w:pStyle w:val="NotesTable-CellBold"/>
            </w:pPr>
            <w:r>
              <w:t>2014</w:t>
            </w:r>
          </w:p>
        </w:tc>
        <w:tc>
          <w:tcPr>
            <w:tcW w:w="421" w:type="pct"/>
            <w:gridSpan w:val="3"/>
            <w:tcBorders>
              <w:left w:val="single" w:sz="4" w:space="0" w:color="auto"/>
              <w:bottom w:val="single" w:sz="4" w:space="0" w:color="auto"/>
            </w:tcBorders>
          </w:tcPr>
          <w:p w14:paraId="23AA9343" w14:textId="23D280D2" w:rsidR="000D7546" w:rsidRDefault="000D7546" w:rsidP="001A5D4A">
            <w:pPr>
              <w:pStyle w:val="NotesTable-CellPlain"/>
            </w:pPr>
            <w:r>
              <w:t>2013</w:t>
            </w:r>
          </w:p>
        </w:tc>
      </w:tr>
      <w:tr w:rsidR="00E47831" w14:paraId="6068B9BF" w14:textId="77777777" w:rsidTr="00E21378">
        <w:trPr>
          <w:trHeight w:val="181"/>
        </w:trPr>
        <w:tc>
          <w:tcPr>
            <w:tcW w:w="814" w:type="pct"/>
          </w:tcPr>
          <w:p w14:paraId="1C99A266" w14:textId="77777777" w:rsidR="00E47831" w:rsidRDefault="00E47831" w:rsidP="001A5D4A">
            <w:pPr>
              <w:pStyle w:val="Note-Refs"/>
            </w:pPr>
          </w:p>
        </w:tc>
        <w:tc>
          <w:tcPr>
            <w:tcW w:w="836" w:type="pct"/>
            <w:tcBorders>
              <w:top w:val="single" w:sz="4" w:space="0" w:color="auto"/>
              <w:right w:val="single" w:sz="4" w:space="0" w:color="auto"/>
            </w:tcBorders>
            <w:vAlign w:val="bottom"/>
          </w:tcPr>
          <w:p w14:paraId="4CF7D375" w14:textId="1D782DAE" w:rsidR="00E47831" w:rsidRDefault="00E47831" w:rsidP="001A5D4A">
            <w:pPr>
              <w:pStyle w:val="NotesTable-ItemPlain"/>
            </w:pPr>
            <w:r>
              <w:t>Associate [Specify]</w:t>
            </w:r>
          </w:p>
        </w:tc>
        <w:tc>
          <w:tcPr>
            <w:tcW w:w="835" w:type="pct"/>
            <w:tcBorders>
              <w:top w:val="single" w:sz="4" w:space="0" w:color="auto"/>
              <w:left w:val="single" w:sz="4" w:space="0" w:color="auto"/>
              <w:right w:val="single" w:sz="4" w:space="0" w:color="auto"/>
            </w:tcBorders>
            <w:vAlign w:val="bottom"/>
          </w:tcPr>
          <w:p w14:paraId="5A781661" w14:textId="77777777" w:rsidR="00E47831" w:rsidRDefault="00E47831" w:rsidP="001A5D4A">
            <w:pPr>
              <w:pStyle w:val="NotesTable-ItemPlain"/>
            </w:pPr>
          </w:p>
        </w:tc>
        <w:tc>
          <w:tcPr>
            <w:tcW w:w="835" w:type="pct"/>
            <w:tcBorders>
              <w:top w:val="single" w:sz="4" w:space="0" w:color="auto"/>
              <w:left w:val="single" w:sz="4" w:space="0" w:color="auto"/>
              <w:right w:val="single" w:sz="4" w:space="0" w:color="auto"/>
            </w:tcBorders>
            <w:vAlign w:val="bottom"/>
          </w:tcPr>
          <w:p w14:paraId="4BFF7023" w14:textId="77777777" w:rsidR="00E47831" w:rsidRDefault="00E47831" w:rsidP="001A5D4A">
            <w:pPr>
              <w:pStyle w:val="NotesTable-ItemPlain"/>
            </w:pPr>
          </w:p>
        </w:tc>
        <w:tc>
          <w:tcPr>
            <w:tcW w:w="419" w:type="pct"/>
            <w:gridSpan w:val="3"/>
            <w:tcBorders>
              <w:top w:val="single" w:sz="4" w:space="0" w:color="auto"/>
              <w:left w:val="single" w:sz="4" w:space="0" w:color="auto"/>
              <w:right w:val="single" w:sz="4" w:space="0" w:color="auto"/>
            </w:tcBorders>
            <w:vAlign w:val="bottom"/>
          </w:tcPr>
          <w:p w14:paraId="6BDE170D" w14:textId="77777777" w:rsidR="00E47831" w:rsidRDefault="00E47831" w:rsidP="001A5D4A">
            <w:pPr>
              <w:pStyle w:val="NotesTable-ItemPlain"/>
            </w:pPr>
          </w:p>
        </w:tc>
        <w:tc>
          <w:tcPr>
            <w:tcW w:w="419" w:type="pct"/>
            <w:gridSpan w:val="3"/>
            <w:tcBorders>
              <w:top w:val="single" w:sz="4" w:space="0" w:color="auto"/>
              <w:left w:val="single" w:sz="4" w:space="0" w:color="auto"/>
              <w:right w:val="single" w:sz="4" w:space="0" w:color="auto"/>
            </w:tcBorders>
            <w:vAlign w:val="bottom"/>
          </w:tcPr>
          <w:p w14:paraId="217DD3F2" w14:textId="3069F4B8" w:rsidR="00E47831" w:rsidRDefault="00E47831" w:rsidP="001A5D4A">
            <w:pPr>
              <w:pStyle w:val="NotesTable-ItemPlain"/>
            </w:pPr>
          </w:p>
        </w:tc>
        <w:tc>
          <w:tcPr>
            <w:tcW w:w="421" w:type="pct"/>
            <w:gridSpan w:val="3"/>
            <w:tcBorders>
              <w:top w:val="single" w:sz="4" w:space="0" w:color="auto"/>
              <w:left w:val="single" w:sz="4" w:space="0" w:color="auto"/>
            </w:tcBorders>
            <w:vAlign w:val="bottom"/>
          </w:tcPr>
          <w:p w14:paraId="4A4A69E8" w14:textId="7D0F9A04" w:rsidR="00E47831" w:rsidRDefault="00E47831" w:rsidP="001A5D4A">
            <w:pPr>
              <w:pStyle w:val="NotesTable-CellBold"/>
            </w:pPr>
          </w:p>
        </w:tc>
        <w:tc>
          <w:tcPr>
            <w:tcW w:w="421" w:type="pct"/>
            <w:gridSpan w:val="3"/>
            <w:tcBorders>
              <w:top w:val="single" w:sz="4" w:space="0" w:color="auto"/>
              <w:left w:val="single" w:sz="4" w:space="0" w:color="auto"/>
            </w:tcBorders>
            <w:vAlign w:val="bottom"/>
          </w:tcPr>
          <w:p w14:paraId="7338AD99" w14:textId="383351B6" w:rsidR="00E47831" w:rsidRDefault="00E47831" w:rsidP="001A5D4A">
            <w:pPr>
              <w:pStyle w:val="NotesTable-CellPlain"/>
            </w:pPr>
          </w:p>
        </w:tc>
      </w:tr>
      <w:tr w:rsidR="00E47831" w14:paraId="0CF05F09" w14:textId="77777777" w:rsidTr="00E21378">
        <w:trPr>
          <w:trHeight w:val="181"/>
        </w:trPr>
        <w:tc>
          <w:tcPr>
            <w:tcW w:w="814" w:type="pct"/>
          </w:tcPr>
          <w:p w14:paraId="6C5A76EF" w14:textId="77777777" w:rsidR="00E47831" w:rsidRDefault="00E47831" w:rsidP="001A5D4A">
            <w:pPr>
              <w:pStyle w:val="Note-Refs"/>
            </w:pPr>
          </w:p>
        </w:tc>
        <w:tc>
          <w:tcPr>
            <w:tcW w:w="836" w:type="pct"/>
            <w:tcBorders>
              <w:right w:val="single" w:sz="4" w:space="0" w:color="auto"/>
            </w:tcBorders>
            <w:vAlign w:val="bottom"/>
          </w:tcPr>
          <w:p w14:paraId="304EC3E5" w14:textId="11379C69" w:rsidR="00E47831" w:rsidRDefault="00E47831" w:rsidP="001A5D4A">
            <w:pPr>
              <w:pStyle w:val="NotesTable-ItemPlain"/>
            </w:pPr>
          </w:p>
        </w:tc>
        <w:tc>
          <w:tcPr>
            <w:tcW w:w="835" w:type="pct"/>
            <w:tcBorders>
              <w:left w:val="single" w:sz="4" w:space="0" w:color="auto"/>
              <w:right w:val="single" w:sz="4" w:space="0" w:color="auto"/>
            </w:tcBorders>
            <w:vAlign w:val="bottom"/>
          </w:tcPr>
          <w:p w14:paraId="58BE02B4" w14:textId="77777777" w:rsidR="00E47831" w:rsidRDefault="00E47831" w:rsidP="001A5D4A">
            <w:pPr>
              <w:pStyle w:val="NotesTable-ItemPlain"/>
            </w:pPr>
          </w:p>
        </w:tc>
        <w:tc>
          <w:tcPr>
            <w:tcW w:w="835" w:type="pct"/>
            <w:tcBorders>
              <w:left w:val="single" w:sz="4" w:space="0" w:color="auto"/>
              <w:right w:val="single" w:sz="4" w:space="0" w:color="auto"/>
            </w:tcBorders>
            <w:vAlign w:val="bottom"/>
          </w:tcPr>
          <w:p w14:paraId="0C7A9D6B" w14:textId="77777777" w:rsidR="00E47831" w:rsidRDefault="00E47831" w:rsidP="001A5D4A">
            <w:pPr>
              <w:pStyle w:val="NotesTable-ItemPlain"/>
            </w:pPr>
          </w:p>
        </w:tc>
        <w:tc>
          <w:tcPr>
            <w:tcW w:w="419" w:type="pct"/>
            <w:gridSpan w:val="3"/>
            <w:tcBorders>
              <w:left w:val="single" w:sz="4" w:space="0" w:color="auto"/>
              <w:right w:val="single" w:sz="4" w:space="0" w:color="auto"/>
            </w:tcBorders>
            <w:vAlign w:val="bottom"/>
          </w:tcPr>
          <w:p w14:paraId="25835DB5" w14:textId="77777777" w:rsidR="00E47831" w:rsidRDefault="00E47831" w:rsidP="001A5D4A">
            <w:pPr>
              <w:pStyle w:val="NotesTable-ItemPlain"/>
            </w:pPr>
          </w:p>
        </w:tc>
        <w:tc>
          <w:tcPr>
            <w:tcW w:w="419" w:type="pct"/>
            <w:gridSpan w:val="3"/>
            <w:tcBorders>
              <w:left w:val="single" w:sz="4" w:space="0" w:color="auto"/>
              <w:right w:val="single" w:sz="4" w:space="0" w:color="auto"/>
            </w:tcBorders>
            <w:vAlign w:val="bottom"/>
          </w:tcPr>
          <w:p w14:paraId="56F5C62C" w14:textId="21647258" w:rsidR="00E47831" w:rsidRDefault="00E47831" w:rsidP="001A5D4A">
            <w:pPr>
              <w:pStyle w:val="NotesTable-ItemPlain"/>
            </w:pPr>
          </w:p>
        </w:tc>
        <w:tc>
          <w:tcPr>
            <w:tcW w:w="421" w:type="pct"/>
            <w:gridSpan w:val="3"/>
            <w:tcBorders>
              <w:left w:val="single" w:sz="4" w:space="0" w:color="auto"/>
              <w:right w:val="single" w:sz="4" w:space="0" w:color="auto"/>
            </w:tcBorders>
            <w:vAlign w:val="bottom"/>
          </w:tcPr>
          <w:p w14:paraId="4C6D64DE" w14:textId="77777777" w:rsidR="00E47831" w:rsidRDefault="00E47831" w:rsidP="001A5D4A">
            <w:pPr>
              <w:pStyle w:val="NotesTable-ItemPlain"/>
            </w:pPr>
          </w:p>
        </w:tc>
        <w:tc>
          <w:tcPr>
            <w:tcW w:w="421" w:type="pct"/>
            <w:gridSpan w:val="3"/>
            <w:tcBorders>
              <w:left w:val="single" w:sz="4" w:space="0" w:color="auto"/>
            </w:tcBorders>
            <w:vAlign w:val="bottom"/>
          </w:tcPr>
          <w:p w14:paraId="41203DD1" w14:textId="2728345C" w:rsidR="00E47831" w:rsidRDefault="00E47831" w:rsidP="001A5D4A">
            <w:pPr>
              <w:pStyle w:val="NotesTable-ItemPlain"/>
            </w:pPr>
          </w:p>
        </w:tc>
      </w:tr>
      <w:tr w:rsidR="00A236C1" w14:paraId="77E035B5" w14:textId="77777777" w:rsidTr="00E21378">
        <w:trPr>
          <w:trHeight w:val="181"/>
        </w:trPr>
        <w:tc>
          <w:tcPr>
            <w:tcW w:w="814" w:type="pct"/>
          </w:tcPr>
          <w:p w14:paraId="08D56AF8" w14:textId="77777777" w:rsidR="00A236C1" w:rsidRDefault="00A236C1" w:rsidP="001A5D4A">
            <w:pPr>
              <w:pStyle w:val="Note-Refs"/>
            </w:pPr>
          </w:p>
        </w:tc>
        <w:tc>
          <w:tcPr>
            <w:tcW w:w="4186" w:type="pct"/>
            <w:gridSpan w:val="15"/>
            <w:vAlign w:val="bottom"/>
          </w:tcPr>
          <w:p w14:paraId="7E755F91" w14:textId="77777777" w:rsidR="00A236C1" w:rsidRDefault="00A236C1" w:rsidP="001A5D4A">
            <w:pPr>
              <w:pStyle w:val="NotesTable-ItemPlain"/>
            </w:pPr>
          </w:p>
        </w:tc>
      </w:tr>
      <w:tr w:rsidR="00E97BE3" w14:paraId="2A7AEF5C" w14:textId="77777777" w:rsidTr="00E21378">
        <w:trPr>
          <w:trHeight w:val="181"/>
        </w:trPr>
        <w:tc>
          <w:tcPr>
            <w:tcW w:w="814" w:type="pct"/>
          </w:tcPr>
          <w:p w14:paraId="7C7A8327" w14:textId="77777777" w:rsidR="00E97BE3" w:rsidRDefault="00E97BE3" w:rsidP="001A5D4A">
            <w:pPr>
              <w:pStyle w:val="Note-Refs"/>
              <w:rPr>
                <w:b/>
              </w:rPr>
            </w:pPr>
            <w:r>
              <w:t>AASB12.21b</w:t>
            </w:r>
          </w:p>
        </w:tc>
        <w:tc>
          <w:tcPr>
            <w:tcW w:w="4186" w:type="pct"/>
            <w:gridSpan w:val="15"/>
            <w:vAlign w:val="bottom"/>
          </w:tcPr>
          <w:p w14:paraId="030679CA" w14:textId="463C60A8" w:rsidR="00E97BE3" w:rsidRDefault="00E97BE3" w:rsidP="001A5D4A">
            <w:pPr>
              <w:pStyle w:val="NotesTable-ItemPlain"/>
              <w:rPr>
                <w:b/>
              </w:rPr>
            </w:pPr>
            <w:r>
              <w:t>Summarised financial information for individually material associates is set out below.</w:t>
            </w:r>
          </w:p>
        </w:tc>
      </w:tr>
      <w:tr w:rsidR="00E97BE3" w14:paraId="56247D40" w14:textId="77777777" w:rsidTr="00E21378">
        <w:trPr>
          <w:trHeight w:val="181"/>
        </w:trPr>
        <w:tc>
          <w:tcPr>
            <w:tcW w:w="814" w:type="pct"/>
          </w:tcPr>
          <w:p w14:paraId="493D6002" w14:textId="77777777" w:rsidR="00E97BE3" w:rsidRDefault="00E97BE3" w:rsidP="001A5D4A">
            <w:pPr>
              <w:pStyle w:val="Note-Refs"/>
            </w:pPr>
          </w:p>
        </w:tc>
        <w:tc>
          <w:tcPr>
            <w:tcW w:w="4186" w:type="pct"/>
            <w:gridSpan w:val="15"/>
            <w:vAlign w:val="bottom"/>
          </w:tcPr>
          <w:p w14:paraId="5299176C" w14:textId="77777777" w:rsidR="00E97BE3" w:rsidRDefault="00E97BE3" w:rsidP="001A5D4A">
            <w:pPr>
              <w:pStyle w:val="NotesTable-ItemPlain"/>
            </w:pPr>
          </w:p>
        </w:tc>
      </w:tr>
      <w:tr w:rsidR="00E97BE3" w14:paraId="34AC5F29" w14:textId="77777777" w:rsidTr="00E21378">
        <w:trPr>
          <w:trHeight w:val="181"/>
        </w:trPr>
        <w:tc>
          <w:tcPr>
            <w:tcW w:w="814" w:type="pct"/>
          </w:tcPr>
          <w:p w14:paraId="50E5D31F" w14:textId="77777777" w:rsidR="00E97BE3" w:rsidRDefault="00E97BE3" w:rsidP="001A5D4A">
            <w:pPr>
              <w:pStyle w:val="Note-Refs"/>
            </w:pPr>
          </w:p>
        </w:tc>
        <w:tc>
          <w:tcPr>
            <w:tcW w:w="2545" w:type="pct"/>
            <w:gridSpan w:val="4"/>
            <w:vAlign w:val="bottom"/>
          </w:tcPr>
          <w:p w14:paraId="1BE1220F" w14:textId="77777777" w:rsidR="00E97BE3" w:rsidRDefault="00E97BE3" w:rsidP="001A5D4A">
            <w:pPr>
              <w:pStyle w:val="NotesTable-ItemPlain"/>
            </w:pPr>
          </w:p>
        </w:tc>
        <w:tc>
          <w:tcPr>
            <w:tcW w:w="815" w:type="pct"/>
            <w:gridSpan w:val="6"/>
          </w:tcPr>
          <w:p w14:paraId="26E44C1A" w14:textId="2259D73B" w:rsidR="00E97BE3" w:rsidRDefault="00812DA4" w:rsidP="001A5D4A">
            <w:pPr>
              <w:pStyle w:val="NotesTable-HeadPlain"/>
              <w:rPr>
                <w:b/>
              </w:rPr>
            </w:pPr>
            <w:r>
              <w:t>Associate 1</w:t>
            </w:r>
          </w:p>
        </w:tc>
        <w:tc>
          <w:tcPr>
            <w:tcW w:w="826" w:type="pct"/>
            <w:gridSpan w:val="5"/>
          </w:tcPr>
          <w:p w14:paraId="1F485332" w14:textId="6BA2AF46" w:rsidR="00E97BE3" w:rsidRDefault="00812DA4" w:rsidP="001A5D4A">
            <w:pPr>
              <w:pStyle w:val="NotesTable-HeadPlain"/>
              <w:rPr>
                <w:b/>
              </w:rPr>
            </w:pPr>
            <w:r>
              <w:t>Associate 2</w:t>
            </w:r>
          </w:p>
        </w:tc>
      </w:tr>
      <w:tr w:rsidR="00F33F3C" w14:paraId="73C4B309" w14:textId="77777777" w:rsidTr="00E21378">
        <w:trPr>
          <w:trHeight w:val="181"/>
        </w:trPr>
        <w:tc>
          <w:tcPr>
            <w:tcW w:w="814" w:type="pct"/>
          </w:tcPr>
          <w:p w14:paraId="53CB71FF" w14:textId="77777777" w:rsidR="00E97BE3" w:rsidRDefault="00E97BE3" w:rsidP="001A5D4A">
            <w:pPr>
              <w:pStyle w:val="Note-Refs"/>
            </w:pPr>
          </w:p>
        </w:tc>
        <w:tc>
          <w:tcPr>
            <w:tcW w:w="2545" w:type="pct"/>
            <w:gridSpan w:val="4"/>
            <w:vAlign w:val="bottom"/>
          </w:tcPr>
          <w:p w14:paraId="3EE13621" w14:textId="77777777" w:rsidR="00E97BE3" w:rsidRDefault="00E97BE3" w:rsidP="001A5D4A">
            <w:pPr>
              <w:pStyle w:val="NotesTable-ItemPlain"/>
            </w:pPr>
          </w:p>
        </w:tc>
        <w:tc>
          <w:tcPr>
            <w:tcW w:w="405" w:type="pct"/>
            <w:gridSpan w:val="3"/>
          </w:tcPr>
          <w:p w14:paraId="60E65871" w14:textId="0F74D86B" w:rsidR="00E97BE3" w:rsidRDefault="006E7B59" w:rsidP="001A5D4A">
            <w:pPr>
              <w:pStyle w:val="NotesTable-HeadBold"/>
            </w:pPr>
            <w:r>
              <w:t>2014</w:t>
            </w:r>
          </w:p>
        </w:tc>
        <w:tc>
          <w:tcPr>
            <w:tcW w:w="410" w:type="pct"/>
            <w:gridSpan w:val="3"/>
          </w:tcPr>
          <w:p w14:paraId="7FDBD9B0" w14:textId="109F461C" w:rsidR="00E97BE3" w:rsidRDefault="006E7B59" w:rsidP="001A5D4A">
            <w:pPr>
              <w:pStyle w:val="NotesTable-HeadPlain"/>
            </w:pPr>
            <w:r>
              <w:t>2013</w:t>
            </w:r>
          </w:p>
        </w:tc>
        <w:tc>
          <w:tcPr>
            <w:tcW w:w="411" w:type="pct"/>
            <w:gridSpan w:val="3"/>
          </w:tcPr>
          <w:p w14:paraId="303B31B2" w14:textId="49514D5A" w:rsidR="00E97BE3" w:rsidRDefault="006E7B59" w:rsidP="001A5D4A">
            <w:pPr>
              <w:pStyle w:val="NotesTable-HeadBold"/>
            </w:pPr>
            <w:r>
              <w:t>2014</w:t>
            </w:r>
          </w:p>
        </w:tc>
        <w:tc>
          <w:tcPr>
            <w:tcW w:w="415" w:type="pct"/>
            <w:gridSpan w:val="2"/>
          </w:tcPr>
          <w:p w14:paraId="69EE3DC6" w14:textId="4F1163D7" w:rsidR="00E97BE3" w:rsidRDefault="006E7B59" w:rsidP="001A5D4A">
            <w:pPr>
              <w:pStyle w:val="NotesTable-HeadPlain"/>
            </w:pPr>
            <w:r>
              <w:t>2013</w:t>
            </w:r>
          </w:p>
        </w:tc>
      </w:tr>
      <w:tr w:rsidR="00F33F3C" w14:paraId="79651229" w14:textId="77777777" w:rsidTr="00E21378">
        <w:trPr>
          <w:trHeight w:val="181"/>
        </w:trPr>
        <w:tc>
          <w:tcPr>
            <w:tcW w:w="814" w:type="pct"/>
          </w:tcPr>
          <w:p w14:paraId="5C1565DE" w14:textId="77777777" w:rsidR="00E97BE3" w:rsidRDefault="00E97BE3" w:rsidP="001A5D4A">
            <w:pPr>
              <w:pStyle w:val="Note-Refs"/>
            </w:pPr>
          </w:p>
        </w:tc>
        <w:tc>
          <w:tcPr>
            <w:tcW w:w="2545" w:type="pct"/>
            <w:gridSpan w:val="4"/>
            <w:vAlign w:val="bottom"/>
          </w:tcPr>
          <w:p w14:paraId="3BF1CA65" w14:textId="77777777" w:rsidR="00E97BE3" w:rsidRDefault="00E97BE3" w:rsidP="001A5D4A">
            <w:pPr>
              <w:pStyle w:val="NotesTable-ItemPlain"/>
            </w:pPr>
          </w:p>
        </w:tc>
        <w:tc>
          <w:tcPr>
            <w:tcW w:w="405" w:type="pct"/>
            <w:gridSpan w:val="3"/>
          </w:tcPr>
          <w:p w14:paraId="45EE48E0" w14:textId="77777777" w:rsidR="00E97BE3" w:rsidRDefault="00E97BE3" w:rsidP="001A5D4A">
            <w:pPr>
              <w:pStyle w:val="NotesTable-HeadBold"/>
            </w:pPr>
            <w:r>
              <w:t>$’000</w:t>
            </w:r>
          </w:p>
        </w:tc>
        <w:tc>
          <w:tcPr>
            <w:tcW w:w="410" w:type="pct"/>
            <w:gridSpan w:val="3"/>
          </w:tcPr>
          <w:p w14:paraId="616E9E74" w14:textId="77777777" w:rsidR="00E97BE3" w:rsidRDefault="00E97BE3" w:rsidP="001A5D4A">
            <w:pPr>
              <w:pStyle w:val="NotesTable-HeadPlain"/>
            </w:pPr>
            <w:r>
              <w:t>$’000</w:t>
            </w:r>
          </w:p>
        </w:tc>
        <w:tc>
          <w:tcPr>
            <w:tcW w:w="411" w:type="pct"/>
            <w:gridSpan w:val="3"/>
          </w:tcPr>
          <w:p w14:paraId="6BC1A340" w14:textId="77777777" w:rsidR="00E97BE3" w:rsidRDefault="00E97BE3" w:rsidP="001A5D4A">
            <w:pPr>
              <w:pStyle w:val="NotesTable-HeadBold"/>
            </w:pPr>
            <w:r>
              <w:t>$’000</w:t>
            </w:r>
          </w:p>
        </w:tc>
        <w:tc>
          <w:tcPr>
            <w:tcW w:w="415" w:type="pct"/>
            <w:gridSpan w:val="2"/>
          </w:tcPr>
          <w:p w14:paraId="7EA0C9A7" w14:textId="77777777" w:rsidR="00E97BE3" w:rsidRDefault="00E97BE3" w:rsidP="001A5D4A">
            <w:pPr>
              <w:pStyle w:val="NotesTable-HeadPlain"/>
            </w:pPr>
            <w:r>
              <w:t>$’000</w:t>
            </w:r>
          </w:p>
        </w:tc>
      </w:tr>
      <w:tr w:rsidR="00F33F3C" w14:paraId="03DA3461" w14:textId="77777777" w:rsidTr="00E21378">
        <w:trPr>
          <w:trHeight w:val="181"/>
        </w:trPr>
        <w:tc>
          <w:tcPr>
            <w:tcW w:w="814" w:type="pct"/>
          </w:tcPr>
          <w:p w14:paraId="117A2C30" w14:textId="77777777" w:rsidR="00F33F3C" w:rsidRDefault="00F33F3C" w:rsidP="001A5D4A">
            <w:pPr>
              <w:pStyle w:val="Note-Refs"/>
            </w:pPr>
          </w:p>
        </w:tc>
        <w:tc>
          <w:tcPr>
            <w:tcW w:w="2545" w:type="pct"/>
            <w:gridSpan w:val="4"/>
            <w:vAlign w:val="bottom"/>
          </w:tcPr>
          <w:p w14:paraId="16FDDB85" w14:textId="651813F9" w:rsidR="00F33F3C" w:rsidRDefault="00F33F3C" w:rsidP="001A5D4A">
            <w:pPr>
              <w:pStyle w:val="Note-TextHeader"/>
            </w:pPr>
            <w:r>
              <w:t>Financial Position</w:t>
            </w:r>
          </w:p>
        </w:tc>
        <w:tc>
          <w:tcPr>
            <w:tcW w:w="405" w:type="pct"/>
            <w:gridSpan w:val="3"/>
          </w:tcPr>
          <w:p w14:paraId="23DB4BFE" w14:textId="77777777" w:rsidR="00F33F3C" w:rsidRDefault="00F33F3C" w:rsidP="001A5D4A">
            <w:pPr>
              <w:pStyle w:val="NotesTable-HeadBold"/>
            </w:pPr>
          </w:p>
        </w:tc>
        <w:tc>
          <w:tcPr>
            <w:tcW w:w="410" w:type="pct"/>
            <w:gridSpan w:val="3"/>
          </w:tcPr>
          <w:p w14:paraId="2EFF1E79" w14:textId="77777777" w:rsidR="00F33F3C" w:rsidRDefault="00F33F3C" w:rsidP="001A5D4A">
            <w:pPr>
              <w:pStyle w:val="NotesTable-HeadPlain"/>
            </w:pPr>
          </w:p>
        </w:tc>
        <w:tc>
          <w:tcPr>
            <w:tcW w:w="411" w:type="pct"/>
            <w:gridSpan w:val="3"/>
          </w:tcPr>
          <w:p w14:paraId="0C40E193" w14:textId="77777777" w:rsidR="00F33F3C" w:rsidRDefault="00F33F3C" w:rsidP="001A5D4A">
            <w:pPr>
              <w:pStyle w:val="NotesTable-HeadBold"/>
            </w:pPr>
          </w:p>
        </w:tc>
        <w:tc>
          <w:tcPr>
            <w:tcW w:w="415" w:type="pct"/>
            <w:gridSpan w:val="2"/>
          </w:tcPr>
          <w:p w14:paraId="301A812C" w14:textId="77777777" w:rsidR="00F33F3C" w:rsidRDefault="00F33F3C" w:rsidP="001A5D4A">
            <w:pPr>
              <w:pStyle w:val="NotesTable-HeadPlain"/>
            </w:pPr>
          </w:p>
        </w:tc>
      </w:tr>
      <w:tr w:rsidR="00F33F3C" w14:paraId="23200D5F" w14:textId="77777777" w:rsidTr="00E21378">
        <w:trPr>
          <w:trHeight w:val="181"/>
        </w:trPr>
        <w:tc>
          <w:tcPr>
            <w:tcW w:w="814" w:type="pct"/>
          </w:tcPr>
          <w:p w14:paraId="55531DD8" w14:textId="77777777" w:rsidR="00E97BE3" w:rsidRDefault="00E97BE3" w:rsidP="001A5D4A">
            <w:pPr>
              <w:pStyle w:val="Note-Refs"/>
            </w:pPr>
            <w:r>
              <w:t>AASB12.B12i</w:t>
            </w:r>
          </w:p>
        </w:tc>
        <w:tc>
          <w:tcPr>
            <w:tcW w:w="2545" w:type="pct"/>
            <w:gridSpan w:val="4"/>
            <w:vAlign w:val="bottom"/>
          </w:tcPr>
          <w:p w14:paraId="70ACD22A" w14:textId="77777777" w:rsidR="00E97BE3" w:rsidRDefault="00E97BE3" w:rsidP="001A5D4A">
            <w:pPr>
              <w:pStyle w:val="Note-Text"/>
            </w:pPr>
            <w:r>
              <w:t>Current assets</w:t>
            </w:r>
          </w:p>
        </w:tc>
        <w:tc>
          <w:tcPr>
            <w:tcW w:w="405" w:type="pct"/>
            <w:gridSpan w:val="3"/>
          </w:tcPr>
          <w:p w14:paraId="31078846" w14:textId="77777777" w:rsidR="00E97BE3" w:rsidRDefault="00E97BE3" w:rsidP="001A5D4A">
            <w:pPr>
              <w:pStyle w:val="NotesTable-CellBold"/>
            </w:pPr>
            <w:r>
              <w:t>–</w:t>
            </w:r>
          </w:p>
        </w:tc>
        <w:tc>
          <w:tcPr>
            <w:tcW w:w="410" w:type="pct"/>
            <w:gridSpan w:val="3"/>
          </w:tcPr>
          <w:p w14:paraId="0903B861" w14:textId="77777777" w:rsidR="00E97BE3" w:rsidRDefault="00E97BE3" w:rsidP="001A5D4A">
            <w:pPr>
              <w:pStyle w:val="NotesTable-CellBold"/>
            </w:pPr>
            <w:r>
              <w:t>–</w:t>
            </w:r>
          </w:p>
        </w:tc>
        <w:tc>
          <w:tcPr>
            <w:tcW w:w="411" w:type="pct"/>
            <w:gridSpan w:val="3"/>
          </w:tcPr>
          <w:p w14:paraId="6EC517A2" w14:textId="77777777" w:rsidR="00E97BE3" w:rsidRDefault="00E97BE3" w:rsidP="001A5D4A">
            <w:pPr>
              <w:pStyle w:val="NotesTable-CellPlain"/>
            </w:pPr>
            <w:r>
              <w:t>–</w:t>
            </w:r>
          </w:p>
        </w:tc>
        <w:tc>
          <w:tcPr>
            <w:tcW w:w="415" w:type="pct"/>
            <w:gridSpan w:val="2"/>
          </w:tcPr>
          <w:p w14:paraId="1A289D1C" w14:textId="77777777" w:rsidR="00E97BE3" w:rsidRDefault="00E97BE3" w:rsidP="001A5D4A">
            <w:pPr>
              <w:pStyle w:val="NotesTable-CellBold"/>
            </w:pPr>
            <w:r>
              <w:t>–</w:t>
            </w:r>
          </w:p>
        </w:tc>
      </w:tr>
      <w:tr w:rsidR="00F33F3C" w14:paraId="6FE0ECA6" w14:textId="77777777" w:rsidTr="00E21378">
        <w:trPr>
          <w:trHeight w:val="181"/>
        </w:trPr>
        <w:tc>
          <w:tcPr>
            <w:tcW w:w="814" w:type="pct"/>
          </w:tcPr>
          <w:p w14:paraId="0CF9F416" w14:textId="77777777" w:rsidR="00E97BE3" w:rsidRDefault="00E97BE3" w:rsidP="001A5D4A">
            <w:pPr>
              <w:pStyle w:val="Note-Refs"/>
            </w:pPr>
            <w:r>
              <w:t>AASB12.B12ii</w:t>
            </w:r>
          </w:p>
        </w:tc>
        <w:tc>
          <w:tcPr>
            <w:tcW w:w="2545" w:type="pct"/>
            <w:gridSpan w:val="4"/>
            <w:vAlign w:val="bottom"/>
          </w:tcPr>
          <w:p w14:paraId="6C15A663" w14:textId="77777777" w:rsidR="00E97BE3" w:rsidRDefault="00E97BE3" w:rsidP="001A5D4A">
            <w:pPr>
              <w:pStyle w:val="Note-Text"/>
            </w:pPr>
            <w:r>
              <w:t>Non-current assets</w:t>
            </w:r>
          </w:p>
        </w:tc>
        <w:tc>
          <w:tcPr>
            <w:tcW w:w="405" w:type="pct"/>
            <w:gridSpan w:val="3"/>
            <w:tcBorders>
              <w:bottom w:val="single" w:sz="4" w:space="0" w:color="auto"/>
            </w:tcBorders>
          </w:tcPr>
          <w:p w14:paraId="159D1F3A" w14:textId="77777777" w:rsidR="00E97BE3" w:rsidRDefault="00E97BE3" w:rsidP="001A5D4A">
            <w:pPr>
              <w:pStyle w:val="NotesTable-CellBold"/>
            </w:pPr>
            <w:r>
              <w:t>–</w:t>
            </w:r>
          </w:p>
        </w:tc>
        <w:tc>
          <w:tcPr>
            <w:tcW w:w="410" w:type="pct"/>
            <w:gridSpan w:val="3"/>
            <w:tcBorders>
              <w:bottom w:val="single" w:sz="4" w:space="0" w:color="auto"/>
            </w:tcBorders>
          </w:tcPr>
          <w:p w14:paraId="47C39FE7" w14:textId="77777777" w:rsidR="00E97BE3" w:rsidRDefault="00E97BE3" w:rsidP="001A5D4A">
            <w:pPr>
              <w:pStyle w:val="NotesTable-CellBold"/>
            </w:pPr>
            <w:r>
              <w:t>–</w:t>
            </w:r>
          </w:p>
        </w:tc>
        <w:tc>
          <w:tcPr>
            <w:tcW w:w="411" w:type="pct"/>
            <w:gridSpan w:val="3"/>
            <w:tcBorders>
              <w:bottom w:val="single" w:sz="4" w:space="0" w:color="auto"/>
            </w:tcBorders>
          </w:tcPr>
          <w:p w14:paraId="36DA44B9" w14:textId="77777777" w:rsidR="00E97BE3" w:rsidRDefault="00E97BE3" w:rsidP="001A5D4A">
            <w:pPr>
              <w:pStyle w:val="NotesTable-CellPlain"/>
            </w:pPr>
            <w:r>
              <w:t>–</w:t>
            </w:r>
          </w:p>
        </w:tc>
        <w:tc>
          <w:tcPr>
            <w:tcW w:w="415" w:type="pct"/>
            <w:gridSpan w:val="2"/>
            <w:tcBorders>
              <w:bottom w:val="single" w:sz="4" w:space="0" w:color="auto"/>
            </w:tcBorders>
          </w:tcPr>
          <w:p w14:paraId="6E8B44F2" w14:textId="77777777" w:rsidR="00E97BE3" w:rsidRDefault="00E97BE3" w:rsidP="001A5D4A">
            <w:pPr>
              <w:pStyle w:val="NotesTable-CellBold"/>
            </w:pPr>
            <w:r>
              <w:t>–</w:t>
            </w:r>
          </w:p>
        </w:tc>
      </w:tr>
      <w:tr w:rsidR="00F33F3C" w14:paraId="332733D9" w14:textId="77777777" w:rsidTr="00E21378">
        <w:trPr>
          <w:trHeight w:val="181"/>
        </w:trPr>
        <w:tc>
          <w:tcPr>
            <w:tcW w:w="814" w:type="pct"/>
          </w:tcPr>
          <w:p w14:paraId="22E39C82" w14:textId="77777777" w:rsidR="00E97BE3" w:rsidRDefault="00E97BE3" w:rsidP="001A5D4A">
            <w:pPr>
              <w:pStyle w:val="Note-Refs"/>
              <w:rPr>
                <w:b/>
              </w:rPr>
            </w:pPr>
            <w:r>
              <w:t>AASB128.37b</w:t>
            </w:r>
          </w:p>
        </w:tc>
        <w:tc>
          <w:tcPr>
            <w:tcW w:w="2545" w:type="pct"/>
            <w:gridSpan w:val="4"/>
            <w:vAlign w:val="bottom"/>
          </w:tcPr>
          <w:p w14:paraId="10F7F8FA" w14:textId="77777777" w:rsidR="00E97BE3" w:rsidRDefault="00E97BE3" w:rsidP="001A5D4A">
            <w:pPr>
              <w:pStyle w:val="Note-Text"/>
              <w:rPr>
                <w:b/>
              </w:rPr>
            </w:pPr>
            <w:r>
              <w:t>Total assets</w:t>
            </w:r>
          </w:p>
        </w:tc>
        <w:tc>
          <w:tcPr>
            <w:tcW w:w="405" w:type="pct"/>
            <w:gridSpan w:val="3"/>
            <w:tcBorders>
              <w:top w:val="single" w:sz="4" w:space="0" w:color="auto"/>
            </w:tcBorders>
          </w:tcPr>
          <w:p w14:paraId="141748D1" w14:textId="77777777" w:rsidR="00E97BE3" w:rsidRDefault="00E97BE3" w:rsidP="001A5D4A">
            <w:pPr>
              <w:pStyle w:val="NotesTable-CellBold"/>
            </w:pPr>
            <w:r>
              <w:t>–</w:t>
            </w:r>
          </w:p>
        </w:tc>
        <w:tc>
          <w:tcPr>
            <w:tcW w:w="410" w:type="pct"/>
            <w:gridSpan w:val="3"/>
            <w:tcBorders>
              <w:top w:val="single" w:sz="4" w:space="0" w:color="auto"/>
            </w:tcBorders>
          </w:tcPr>
          <w:p w14:paraId="5C514407" w14:textId="77777777" w:rsidR="00E97BE3" w:rsidRDefault="00E97BE3" w:rsidP="001A5D4A">
            <w:pPr>
              <w:pStyle w:val="NotesTable-CellPlain"/>
            </w:pPr>
            <w:r>
              <w:t>–</w:t>
            </w:r>
          </w:p>
        </w:tc>
        <w:tc>
          <w:tcPr>
            <w:tcW w:w="411" w:type="pct"/>
            <w:gridSpan w:val="3"/>
            <w:tcBorders>
              <w:top w:val="single" w:sz="4" w:space="0" w:color="auto"/>
            </w:tcBorders>
          </w:tcPr>
          <w:p w14:paraId="34ABB309" w14:textId="77777777" w:rsidR="00E97BE3" w:rsidRDefault="00E97BE3" w:rsidP="001A5D4A">
            <w:pPr>
              <w:pStyle w:val="NotesTable-CellBold"/>
            </w:pPr>
            <w:r>
              <w:t>–</w:t>
            </w:r>
          </w:p>
        </w:tc>
        <w:tc>
          <w:tcPr>
            <w:tcW w:w="415" w:type="pct"/>
            <w:gridSpan w:val="2"/>
            <w:tcBorders>
              <w:top w:val="single" w:sz="4" w:space="0" w:color="auto"/>
            </w:tcBorders>
          </w:tcPr>
          <w:p w14:paraId="3A0028BA" w14:textId="77777777" w:rsidR="00E97BE3" w:rsidRDefault="00E97BE3" w:rsidP="001A5D4A">
            <w:pPr>
              <w:pStyle w:val="NotesTable-CellPlain"/>
            </w:pPr>
            <w:r>
              <w:t>–</w:t>
            </w:r>
          </w:p>
        </w:tc>
      </w:tr>
      <w:tr w:rsidR="009E7933" w14:paraId="37C9DE91" w14:textId="77777777" w:rsidTr="00E21378">
        <w:trPr>
          <w:trHeight w:hRule="exact" w:val="85"/>
        </w:trPr>
        <w:tc>
          <w:tcPr>
            <w:tcW w:w="814" w:type="pct"/>
          </w:tcPr>
          <w:p w14:paraId="1BA119F3" w14:textId="77777777" w:rsidR="009E7933" w:rsidRDefault="009E7933" w:rsidP="001A5D4A">
            <w:pPr>
              <w:pStyle w:val="Note-Refs"/>
            </w:pPr>
          </w:p>
        </w:tc>
        <w:tc>
          <w:tcPr>
            <w:tcW w:w="2545" w:type="pct"/>
            <w:gridSpan w:val="4"/>
            <w:vAlign w:val="bottom"/>
          </w:tcPr>
          <w:p w14:paraId="0E6D42DE" w14:textId="77777777" w:rsidR="009E7933" w:rsidRDefault="009E7933" w:rsidP="001A5D4A">
            <w:pPr>
              <w:pStyle w:val="Note-Table1"/>
            </w:pPr>
          </w:p>
        </w:tc>
        <w:tc>
          <w:tcPr>
            <w:tcW w:w="405" w:type="pct"/>
            <w:gridSpan w:val="3"/>
          </w:tcPr>
          <w:p w14:paraId="10AAEBFC" w14:textId="77777777" w:rsidR="009E7933" w:rsidRDefault="009E7933" w:rsidP="001A5D4A">
            <w:pPr>
              <w:pStyle w:val="NotesTable-CellBold"/>
            </w:pPr>
          </w:p>
        </w:tc>
        <w:tc>
          <w:tcPr>
            <w:tcW w:w="410" w:type="pct"/>
            <w:gridSpan w:val="3"/>
          </w:tcPr>
          <w:p w14:paraId="082BD1E8" w14:textId="77777777" w:rsidR="009E7933" w:rsidRDefault="009E7933" w:rsidP="001A5D4A">
            <w:pPr>
              <w:pStyle w:val="NotesTable-CellPlain"/>
            </w:pPr>
          </w:p>
        </w:tc>
        <w:tc>
          <w:tcPr>
            <w:tcW w:w="411" w:type="pct"/>
            <w:gridSpan w:val="3"/>
          </w:tcPr>
          <w:p w14:paraId="14205CF8" w14:textId="77777777" w:rsidR="009E7933" w:rsidRDefault="009E7933" w:rsidP="001A5D4A">
            <w:pPr>
              <w:pStyle w:val="NotesTable-CellBold"/>
            </w:pPr>
          </w:p>
        </w:tc>
        <w:tc>
          <w:tcPr>
            <w:tcW w:w="415" w:type="pct"/>
            <w:gridSpan w:val="2"/>
          </w:tcPr>
          <w:p w14:paraId="389B4599" w14:textId="77777777" w:rsidR="009E7933" w:rsidRDefault="009E7933" w:rsidP="001A5D4A">
            <w:pPr>
              <w:pStyle w:val="NotesTable-CellPlain"/>
            </w:pPr>
          </w:p>
        </w:tc>
      </w:tr>
      <w:tr w:rsidR="00F33F3C" w14:paraId="12FEA967" w14:textId="77777777" w:rsidTr="00E21378">
        <w:trPr>
          <w:trHeight w:val="181"/>
        </w:trPr>
        <w:tc>
          <w:tcPr>
            <w:tcW w:w="814" w:type="pct"/>
          </w:tcPr>
          <w:p w14:paraId="01FCE23A" w14:textId="77777777" w:rsidR="00E97BE3" w:rsidRDefault="00E97BE3" w:rsidP="001A5D4A">
            <w:pPr>
              <w:pStyle w:val="Note-Refs"/>
            </w:pPr>
            <w:r>
              <w:t>AASB12.B12iii</w:t>
            </w:r>
          </w:p>
        </w:tc>
        <w:tc>
          <w:tcPr>
            <w:tcW w:w="2545" w:type="pct"/>
            <w:gridSpan w:val="4"/>
            <w:vAlign w:val="bottom"/>
          </w:tcPr>
          <w:p w14:paraId="5D7F8F1B" w14:textId="77777777" w:rsidR="00E97BE3" w:rsidRDefault="00E97BE3" w:rsidP="001A5D4A">
            <w:pPr>
              <w:pStyle w:val="Note-Text"/>
            </w:pPr>
            <w:r>
              <w:t>Current liabilities</w:t>
            </w:r>
          </w:p>
        </w:tc>
        <w:tc>
          <w:tcPr>
            <w:tcW w:w="405" w:type="pct"/>
            <w:gridSpan w:val="3"/>
          </w:tcPr>
          <w:p w14:paraId="01A1D5F5" w14:textId="77777777" w:rsidR="00E97BE3" w:rsidRDefault="00E97BE3" w:rsidP="001A5D4A">
            <w:pPr>
              <w:pStyle w:val="NotesTable-CellBold"/>
            </w:pPr>
            <w:r>
              <w:t>–</w:t>
            </w:r>
          </w:p>
        </w:tc>
        <w:tc>
          <w:tcPr>
            <w:tcW w:w="410" w:type="pct"/>
            <w:gridSpan w:val="3"/>
          </w:tcPr>
          <w:p w14:paraId="3899C5A3" w14:textId="77777777" w:rsidR="00E97BE3" w:rsidRDefault="00E97BE3" w:rsidP="001A5D4A">
            <w:pPr>
              <w:pStyle w:val="NotesTable-CellPlain"/>
            </w:pPr>
            <w:r>
              <w:t>–</w:t>
            </w:r>
          </w:p>
        </w:tc>
        <w:tc>
          <w:tcPr>
            <w:tcW w:w="411" w:type="pct"/>
            <w:gridSpan w:val="3"/>
          </w:tcPr>
          <w:p w14:paraId="7E3FC971" w14:textId="77777777" w:rsidR="00E97BE3" w:rsidRDefault="00E97BE3" w:rsidP="001A5D4A">
            <w:pPr>
              <w:pStyle w:val="NotesTable-CellBold"/>
            </w:pPr>
            <w:r>
              <w:t>–</w:t>
            </w:r>
          </w:p>
        </w:tc>
        <w:tc>
          <w:tcPr>
            <w:tcW w:w="415" w:type="pct"/>
            <w:gridSpan w:val="2"/>
          </w:tcPr>
          <w:p w14:paraId="701FE770" w14:textId="77777777" w:rsidR="00E97BE3" w:rsidRDefault="00E97BE3" w:rsidP="001A5D4A">
            <w:pPr>
              <w:pStyle w:val="NotesTable-CellPlain"/>
            </w:pPr>
            <w:r>
              <w:t>–</w:t>
            </w:r>
          </w:p>
        </w:tc>
      </w:tr>
      <w:tr w:rsidR="00F33F3C" w14:paraId="2A1173FD" w14:textId="77777777" w:rsidTr="00E21378">
        <w:trPr>
          <w:trHeight w:val="181"/>
        </w:trPr>
        <w:tc>
          <w:tcPr>
            <w:tcW w:w="814" w:type="pct"/>
          </w:tcPr>
          <w:p w14:paraId="6688480A" w14:textId="77777777" w:rsidR="00E97BE3" w:rsidRDefault="00E97BE3" w:rsidP="001A5D4A">
            <w:pPr>
              <w:pStyle w:val="Note-Refs"/>
            </w:pPr>
            <w:r>
              <w:t>AASB12.B12iv</w:t>
            </w:r>
          </w:p>
        </w:tc>
        <w:tc>
          <w:tcPr>
            <w:tcW w:w="2545" w:type="pct"/>
            <w:gridSpan w:val="4"/>
            <w:vAlign w:val="bottom"/>
          </w:tcPr>
          <w:p w14:paraId="15409E3F" w14:textId="77777777" w:rsidR="00E97BE3" w:rsidRDefault="00E97BE3" w:rsidP="001A5D4A">
            <w:pPr>
              <w:pStyle w:val="Note-Text"/>
            </w:pPr>
            <w:r>
              <w:t>Non-current liabilities</w:t>
            </w:r>
          </w:p>
        </w:tc>
        <w:tc>
          <w:tcPr>
            <w:tcW w:w="405" w:type="pct"/>
            <w:gridSpan w:val="3"/>
          </w:tcPr>
          <w:p w14:paraId="6B039EF7" w14:textId="77777777" w:rsidR="00E97BE3" w:rsidRDefault="00E97BE3" w:rsidP="001A5D4A">
            <w:pPr>
              <w:pStyle w:val="NotesTable-CellBold"/>
            </w:pPr>
            <w:r>
              <w:t>–</w:t>
            </w:r>
          </w:p>
        </w:tc>
        <w:tc>
          <w:tcPr>
            <w:tcW w:w="410" w:type="pct"/>
            <w:gridSpan w:val="3"/>
          </w:tcPr>
          <w:p w14:paraId="04F65FE5" w14:textId="77777777" w:rsidR="00E97BE3" w:rsidRDefault="00E97BE3" w:rsidP="001A5D4A">
            <w:pPr>
              <w:pStyle w:val="NotesTable-CellPlain"/>
            </w:pPr>
            <w:r>
              <w:t>–</w:t>
            </w:r>
          </w:p>
        </w:tc>
        <w:tc>
          <w:tcPr>
            <w:tcW w:w="411" w:type="pct"/>
            <w:gridSpan w:val="3"/>
          </w:tcPr>
          <w:p w14:paraId="7AC998E6" w14:textId="77777777" w:rsidR="00E97BE3" w:rsidRDefault="00E97BE3" w:rsidP="001A5D4A">
            <w:pPr>
              <w:pStyle w:val="NotesTable-CellBold"/>
            </w:pPr>
            <w:r>
              <w:t>–</w:t>
            </w:r>
          </w:p>
        </w:tc>
        <w:tc>
          <w:tcPr>
            <w:tcW w:w="415" w:type="pct"/>
            <w:gridSpan w:val="2"/>
          </w:tcPr>
          <w:p w14:paraId="22FB9F0D" w14:textId="77777777" w:rsidR="00E97BE3" w:rsidRDefault="00E97BE3" w:rsidP="001A5D4A">
            <w:pPr>
              <w:pStyle w:val="NotesTable-CellPlain"/>
            </w:pPr>
            <w:r>
              <w:t>–</w:t>
            </w:r>
          </w:p>
        </w:tc>
      </w:tr>
      <w:tr w:rsidR="00F33F3C" w14:paraId="72998455" w14:textId="77777777" w:rsidTr="00E21378">
        <w:trPr>
          <w:trHeight w:val="181"/>
        </w:trPr>
        <w:tc>
          <w:tcPr>
            <w:tcW w:w="814" w:type="pct"/>
          </w:tcPr>
          <w:p w14:paraId="50237B5E" w14:textId="77777777" w:rsidR="00E97BE3" w:rsidRDefault="00E97BE3" w:rsidP="001A5D4A">
            <w:pPr>
              <w:pStyle w:val="Note-Table1"/>
            </w:pPr>
          </w:p>
        </w:tc>
        <w:tc>
          <w:tcPr>
            <w:tcW w:w="2545" w:type="pct"/>
            <w:gridSpan w:val="4"/>
            <w:vAlign w:val="bottom"/>
          </w:tcPr>
          <w:p w14:paraId="7C409F0F" w14:textId="77777777" w:rsidR="00E97BE3" w:rsidRDefault="00E97BE3" w:rsidP="001A5D4A">
            <w:pPr>
              <w:pStyle w:val="Note-Text"/>
              <w:rPr>
                <w:b/>
              </w:rPr>
            </w:pPr>
            <w:r>
              <w:t>Total liabilities</w:t>
            </w:r>
          </w:p>
        </w:tc>
        <w:tc>
          <w:tcPr>
            <w:tcW w:w="405" w:type="pct"/>
            <w:gridSpan w:val="3"/>
          </w:tcPr>
          <w:p w14:paraId="56230174" w14:textId="77777777" w:rsidR="00E97BE3" w:rsidRDefault="00E97BE3" w:rsidP="001A5D4A">
            <w:pPr>
              <w:pStyle w:val="NotesTable-CellBold"/>
            </w:pPr>
            <w:r>
              <w:t>–</w:t>
            </w:r>
          </w:p>
        </w:tc>
        <w:tc>
          <w:tcPr>
            <w:tcW w:w="410" w:type="pct"/>
            <w:gridSpan w:val="3"/>
          </w:tcPr>
          <w:p w14:paraId="17FB947D" w14:textId="77777777" w:rsidR="00E97BE3" w:rsidRDefault="00E97BE3" w:rsidP="001A5D4A">
            <w:pPr>
              <w:pStyle w:val="NotesTable-CellPlain"/>
            </w:pPr>
            <w:r>
              <w:t>–</w:t>
            </w:r>
          </w:p>
        </w:tc>
        <w:tc>
          <w:tcPr>
            <w:tcW w:w="411" w:type="pct"/>
            <w:gridSpan w:val="3"/>
          </w:tcPr>
          <w:p w14:paraId="297C2E9E" w14:textId="77777777" w:rsidR="00E97BE3" w:rsidRDefault="00E97BE3" w:rsidP="001A5D4A">
            <w:pPr>
              <w:pStyle w:val="NotesTable-CellBold"/>
            </w:pPr>
            <w:r>
              <w:t>–</w:t>
            </w:r>
          </w:p>
        </w:tc>
        <w:tc>
          <w:tcPr>
            <w:tcW w:w="415" w:type="pct"/>
            <w:gridSpan w:val="2"/>
          </w:tcPr>
          <w:p w14:paraId="1C152783" w14:textId="77777777" w:rsidR="00E97BE3" w:rsidRDefault="00E97BE3" w:rsidP="001A5D4A">
            <w:pPr>
              <w:pStyle w:val="NotesTable-CellPlain"/>
            </w:pPr>
            <w:r>
              <w:t>–</w:t>
            </w:r>
          </w:p>
        </w:tc>
      </w:tr>
      <w:tr w:rsidR="00F33F3C" w14:paraId="5F70B152" w14:textId="77777777" w:rsidTr="00E21378">
        <w:trPr>
          <w:trHeight w:val="181"/>
        </w:trPr>
        <w:tc>
          <w:tcPr>
            <w:tcW w:w="814" w:type="pct"/>
          </w:tcPr>
          <w:p w14:paraId="0676B67B" w14:textId="77777777" w:rsidR="00E97BE3" w:rsidRDefault="00E97BE3" w:rsidP="001A5D4A">
            <w:pPr>
              <w:pStyle w:val="Note-Refs"/>
            </w:pPr>
          </w:p>
        </w:tc>
        <w:tc>
          <w:tcPr>
            <w:tcW w:w="2545" w:type="pct"/>
            <w:gridSpan w:val="4"/>
            <w:vAlign w:val="bottom"/>
          </w:tcPr>
          <w:p w14:paraId="13433B11" w14:textId="77777777" w:rsidR="00E97BE3" w:rsidRDefault="00E97BE3" w:rsidP="001A5D4A">
            <w:pPr>
              <w:pStyle w:val="Note-Text"/>
              <w:rPr>
                <w:b/>
              </w:rPr>
            </w:pPr>
            <w:r>
              <w:t>Net assets</w:t>
            </w:r>
          </w:p>
        </w:tc>
        <w:tc>
          <w:tcPr>
            <w:tcW w:w="405" w:type="pct"/>
            <w:gridSpan w:val="3"/>
            <w:tcBorders>
              <w:bottom w:val="single" w:sz="4" w:space="0" w:color="auto"/>
            </w:tcBorders>
          </w:tcPr>
          <w:p w14:paraId="153DBF5D" w14:textId="77777777" w:rsidR="00E97BE3" w:rsidRDefault="00E97BE3" w:rsidP="001A5D4A">
            <w:pPr>
              <w:pStyle w:val="NotesTable-CellBold"/>
            </w:pPr>
            <w:r>
              <w:t>–</w:t>
            </w:r>
          </w:p>
        </w:tc>
        <w:tc>
          <w:tcPr>
            <w:tcW w:w="410" w:type="pct"/>
            <w:gridSpan w:val="3"/>
            <w:tcBorders>
              <w:bottom w:val="single" w:sz="4" w:space="0" w:color="auto"/>
            </w:tcBorders>
          </w:tcPr>
          <w:p w14:paraId="7CE3117F" w14:textId="77777777" w:rsidR="00E97BE3" w:rsidRDefault="00E97BE3" w:rsidP="001A5D4A">
            <w:pPr>
              <w:pStyle w:val="NotesTable-CellPlain"/>
            </w:pPr>
            <w:r>
              <w:t>–</w:t>
            </w:r>
          </w:p>
        </w:tc>
        <w:tc>
          <w:tcPr>
            <w:tcW w:w="411" w:type="pct"/>
            <w:gridSpan w:val="3"/>
            <w:tcBorders>
              <w:bottom w:val="single" w:sz="4" w:space="0" w:color="auto"/>
            </w:tcBorders>
          </w:tcPr>
          <w:p w14:paraId="2E23369D" w14:textId="77777777" w:rsidR="00E97BE3" w:rsidRDefault="00E97BE3" w:rsidP="001A5D4A">
            <w:pPr>
              <w:pStyle w:val="NotesTable-CellBold"/>
            </w:pPr>
            <w:r>
              <w:t>–</w:t>
            </w:r>
          </w:p>
        </w:tc>
        <w:tc>
          <w:tcPr>
            <w:tcW w:w="415" w:type="pct"/>
            <w:gridSpan w:val="2"/>
            <w:tcBorders>
              <w:bottom w:val="single" w:sz="4" w:space="0" w:color="auto"/>
            </w:tcBorders>
          </w:tcPr>
          <w:p w14:paraId="17F2FA15" w14:textId="77777777" w:rsidR="00E97BE3" w:rsidRDefault="00E97BE3" w:rsidP="001A5D4A">
            <w:pPr>
              <w:pStyle w:val="NotesTable-CellPlain"/>
            </w:pPr>
            <w:r>
              <w:t>–</w:t>
            </w:r>
          </w:p>
        </w:tc>
      </w:tr>
      <w:tr w:rsidR="00F33F3C" w14:paraId="22324B01" w14:textId="77777777" w:rsidTr="00E21378">
        <w:trPr>
          <w:trHeight w:val="181"/>
        </w:trPr>
        <w:tc>
          <w:tcPr>
            <w:tcW w:w="814" w:type="pct"/>
          </w:tcPr>
          <w:p w14:paraId="014F91C0" w14:textId="77777777" w:rsidR="00E97BE3" w:rsidRDefault="00E97BE3" w:rsidP="001A5D4A">
            <w:pPr>
              <w:pStyle w:val="Note-Refs"/>
            </w:pPr>
          </w:p>
        </w:tc>
        <w:tc>
          <w:tcPr>
            <w:tcW w:w="2545" w:type="pct"/>
            <w:gridSpan w:val="4"/>
            <w:vAlign w:val="bottom"/>
          </w:tcPr>
          <w:p w14:paraId="649728FF" w14:textId="1B3E8A3A" w:rsidR="00E97BE3" w:rsidRDefault="00E97BE3" w:rsidP="001A5D4A">
            <w:pPr>
              <w:pStyle w:val="Note-Text"/>
              <w:rPr>
                <w:b/>
              </w:rPr>
            </w:pPr>
            <w:r>
              <w:t>Share of associate</w:t>
            </w:r>
            <w:r w:rsidR="00043A6F">
              <w:t>s’</w:t>
            </w:r>
            <w:r>
              <w:t xml:space="preserve"> net assets</w:t>
            </w:r>
          </w:p>
        </w:tc>
        <w:tc>
          <w:tcPr>
            <w:tcW w:w="405" w:type="pct"/>
            <w:gridSpan w:val="3"/>
            <w:tcBorders>
              <w:top w:val="single" w:sz="4" w:space="0" w:color="auto"/>
            </w:tcBorders>
          </w:tcPr>
          <w:p w14:paraId="160CABF6" w14:textId="77777777" w:rsidR="00E97BE3" w:rsidRDefault="00E97BE3" w:rsidP="001A5D4A">
            <w:pPr>
              <w:pStyle w:val="NotesTable-CellBold"/>
            </w:pPr>
            <w:r>
              <w:t>–</w:t>
            </w:r>
          </w:p>
        </w:tc>
        <w:tc>
          <w:tcPr>
            <w:tcW w:w="410" w:type="pct"/>
            <w:gridSpan w:val="3"/>
            <w:tcBorders>
              <w:top w:val="single" w:sz="4" w:space="0" w:color="auto"/>
            </w:tcBorders>
          </w:tcPr>
          <w:p w14:paraId="7F2DBBD4" w14:textId="77777777" w:rsidR="00E97BE3" w:rsidRDefault="00E97BE3" w:rsidP="001A5D4A">
            <w:pPr>
              <w:pStyle w:val="NotesTable-CellPlain"/>
            </w:pPr>
            <w:r>
              <w:t>–</w:t>
            </w:r>
          </w:p>
        </w:tc>
        <w:tc>
          <w:tcPr>
            <w:tcW w:w="411" w:type="pct"/>
            <w:gridSpan w:val="3"/>
            <w:tcBorders>
              <w:top w:val="single" w:sz="4" w:space="0" w:color="auto"/>
            </w:tcBorders>
          </w:tcPr>
          <w:p w14:paraId="188BAE74" w14:textId="77777777" w:rsidR="00E97BE3" w:rsidRDefault="00E97BE3" w:rsidP="001A5D4A">
            <w:pPr>
              <w:pStyle w:val="NotesTable-CellBold"/>
            </w:pPr>
            <w:r>
              <w:t>–</w:t>
            </w:r>
          </w:p>
        </w:tc>
        <w:tc>
          <w:tcPr>
            <w:tcW w:w="415" w:type="pct"/>
            <w:gridSpan w:val="2"/>
            <w:tcBorders>
              <w:top w:val="single" w:sz="4" w:space="0" w:color="auto"/>
            </w:tcBorders>
          </w:tcPr>
          <w:p w14:paraId="41B04420" w14:textId="77777777" w:rsidR="00E97BE3" w:rsidRDefault="00E97BE3" w:rsidP="001A5D4A">
            <w:pPr>
              <w:pStyle w:val="NotesTable-CellPlain"/>
            </w:pPr>
            <w:r>
              <w:t>–</w:t>
            </w:r>
          </w:p>
        </w:tc>
      </w:tr>
      <w:tr w:rsidR="00665082" w14:paraId="1121837B" w14:textId="77777777" w:rsidTr="00E21378">
        <w:trPr>
          <w:trHeight w:val="181"/>
        </w:trPr>
        <w:tc>
          <w:tcPr>
            <w:tcW w:w="814" w:type="pct"/>
          </w:tcPr>
          <w:p w14:paraId="1E70A22D" w14:textId="77777777" w:rsidR="00665082" w:rsidRDefault="00665082" w:rsidP="001A5D4A">
            <w:pPr>
              <w:pStyle w:val="Note-Refs"/>
            </w:pPr>
          </w:p>
        </w:tc>
        <w:tc>
          <w:tcPr>
            <w:tcW w:w="4186" w:type="pct"/>
            <w:gridSpan w:val="15"/>
            <w:vAlign w:val="bottom"/>
          </w:tcPr>
          <w:p w14:paraId="2A4AC2D7" w14:textId="655058D5" w:rsidR="00665082" w:rsidRDefault="00665082" w:rsidP="001A5D4A">
            <w:pPr>
              <w:pStyle w:val="NotesTable-HeadPlain"/>
            </w:pPr>
          </w:p>
        </w:tc>
      </w:tr>
      <w:tr w:rsidR="00665082" w14:paraId="25414E33" w14:textId="77777777" w:rsidTr="00E21378">
        <w:trPr>
          <w:trHeight w:val="181"/>
        </w:trPr>
        <w:tc>
          <w:tcPr>
            <w:tcW w:w="814" w:type="pct"/>
          </w:tcPr>
          <w:p w14:paraId="4D396799" w14:textId="15389690" w:rsidR="00665082" w:rsidRDefault="00665082" w:rsidP="001A5D4A">
            <w:pPr>
              <w:pStyle w:val="Note-Refs"/>
            </w:pPr>
            <w:r>
              <w:t>AASB12.B14</w:t>
            </w:r>
          </w:p>
        </w:tc>
        <w:tc>
          <w:tcPr>
            <w:tcW w:w="4186" w:type="pct"/>
            <w:gridSpan w:val="15"/>
            <w:vAlign w:val="bottom"/>
          </w:tcPr>
          <w:p w14:paraId="2E48430E" w14:textId="36C31B75" w:rsidR="00665082" w:rsidRDefault="00665082" w:rsidP="001A5D4A">
            <w:pPr>
              <w:pStyle w:val="Note-TextHeader"/>
              <w:rPr>
                <w:lang w:val="en-GB"/>
              </w:rPr>
            </w:pPr>
            <w:r>
              <w:t>Reconciliation of carrying amounts:</w:t>
            </w:r>
          </w:p>
        </w:tc>
      </w:tr>
      <w:tr w:rsidR="00F33F3C" w14:paraId="3018E177" w14:textId="77777777" w:rsidTr="00E21378">
        <w:trPr>
          <w:trHeight w:val="181"/>
        </w:trPr>
        <w:tc>
          <w:tcPr>
            <w:tcW w:w="814" w:type="pct"/>
          </w:tcPr>
          <w:p w14:paraId="5561B366" w14:textId="553C1238" w:rsidR="00665082" w:rsidRDefault="00665082" w:rsidP="001A5D4A">
            <w:pPr>
              <w:pStyle w:val="Note-Refs"/>
            </w:pPr>
          </w:p>
        </w:tc>
        <w:tc>
          <w:tcPr>
            <w:tcW w:w="2545" w:type="pct"/>
            <w:gridSpan w:val="4"/>
            <w:vAlign w:val="bottom"/>
          </w:tcPr>
          <w:p w14:paraId="202C24BA" w14:textId="241BB002" w:rsidR="00665082" w:rsidRDefault="00665082" w:rsidP="001A5D4A">
            <w:pPr>
              <w:pStyle w:val="Note-Text"/>
            </w:pPr>
            <w:r>
              <w:t xml:space="preserve">Balance at 1 January </w:t>
            </w:r>
          </w:p>
        </w:tc>
        <w:tc>
          <w:tcPr>
            <w:tcW w:w="405" w:type="pct"/>
            <w:gridSpan w:val="3"/>
          </w:tcPr>
          <w:p w14:paraId="5889B0C9" w14:textId="77777777" w:rsidR="00665082" w:rsidRDefault="00665082" w:rsidP="001A5D4A">
            <w:pPr>
              <w:pStyle w:val="NotesTable-CellBold"/>
            </w:pPr>
            <w:r>
              <w:t>–</w:t>
            </w:r>
          </w:p>
        </w:tc>
        <w:tc>
          <w:tcPr>
            <w:tcW w:w="410" w:type="pct"/>
            <w:gridSpan w:val="3"/>
          </w:tcPr>
          <w:p w14:paraId="354FF838" w14:textId="77777777" w:rsidR="00665082" w:rsidRDefault="00665082" w:rsidP="001A5D4A">
            <w:pPr>
              <w:pStyle w:val="NotesTable-CellPlain"/>
            </w:pPr>
            <w:r>
              <w:t>–</w:t>
            </w:r>
          </w:p>
        </w:tc>
        <w:tc>
          <w:tcPr>
            <w:tcW w:w="411" w:type="pct"/>
            <w:gridSpan w:val="3"/>
          </w:tcPr>
          <w:p w14:paraId="57F25715" w14:textId="77777777" w:rsidR="00665082" w:rsidRDefault="00665082" w:rsidP="001A5D4A">
            <w:pPr>
              <w:pStyle w:val="NotesTable-CellBold"/>
            </w:pPr>
            <w:r>
              <w:t>–</w:t>
            </w:r>
          </w:p>
        </w:tc>
        <w:tc>
          <w:tcPr>
            <w:tcW w:w="415" w:type="pct"/>
            <w:gridSpan w:val="2"/>
          </w:tcPr>
          <w:p w14:paraId="07039933" w14:textId="77777777" w:rsidR="00665082" w:rsidRDefault="00665082" w:rsidP="001A5D4A">
            <w:pPr>
              <w:pStyle w:val="NotesTable-CellPlain"/>
            </w:pPr>
            <w:r>
              <w:t>–</w:t>
            </w:r>
          </w:p>
        </w:tc>
      </w:tr>
      <w:tr w:rsidR="00F33F3C" w14:paraId="3DA1E3C4" w14:textId="77777777" w:rsidTr="00E21378">
        <w:trPr>
          <w:trHeight w:val="181"/>
        </w:trPr>
        <w:tc>
          <w:tcPr>
            <w:tcW w:w="814" w:type="pct"/>
          </w:tcPr>
          <w:p w14:paraId="458E64F4" w14:textId="7C93D1D8" w:rsidR="00665082" w:rsidRDefault="00665082" w:rsidP="001A5D4A">
            <w:pPr>
              <w:pStyle w:val="Note-Refs"/>
            </w:pPr>
          </w:p>
        </w:tc>
        <w:tc>
          <w:tcPr>
            <w:tcW w:w="2545" w:type="pct"/>
            <w:gridSpan w:val="4"/>
            <w:vAlign w:val="bottom"/>
          </w:tcPr>
          <w:p w14:paraId="02C3AC80" w14:textId="66A2803F" w:rsidR="00665082" w:rsidRDefault="00665082" w:rsidP="001A5D4A">
            <w:pPr>
              <w:pStyle w:val="Note-Text"/>
            </w:pPr>
            <w:r>
              <w:t>Share of profit for year</w:t>
            </w:r>
          </w:p>
        </w:tc>
        <w:tc>
          <w:tcPr>
            <w:tcW w:w="405" w:type="pct"/>
            <w:gridSpan w:val="3"/>
          </w:tcPr>
          <w:p w14:paraId="27BD6565" w14:textId="77777777" w:rsidR="00665082" w:rsidRDefault="00665082" w:rsidP="001A5D4A">
            <w:pPr>
              <w:pStyle w:val="NotesTable-CellBold"/>
            </w:pPr>
            <w:r>
              <w:t>–</w:t>
            </w:r>
          </w:p>
        </w:tc>
        <w:tc>
          <w:tcPr>
            <w:tcW w:w="410" w:type="pct"/>
            <w:gridSpan w:val="3"/>
          </w:tcPr>
          <w:p w14:paraId="27E7A4B1" w14:textId="77777777" w:rsidR="00665082" w:rsidRDefault="00665082" w:rsidP="001A5D4A">
            <w:pPr>
              <w:pStyle w:val="NotesTable-CellPlain"/>
            </w:pPr>
            <w:r>
              <w:t>–</w:t>
            </w:r>
          </w:p>
        </w:tc>
        <w:tc>
          <w:tcPr>
            <w:tcW w:w="411" w:type="pct"/>
            <w:gridSpan w:val="3"/>
          </w:tcPr>
          <w:p w14:paraId="7CA5F257" w14:textId="77777777" w:rsidR="00665082" w:rsidRDefault="00665082" w:rsidP="001A5D4A">
            <w:pPr>
              <w:pStyle w:val="NotesTable-CellBold"/>
            </w:pPr>
            <w:r>
              <w:t>–</w:t>
            </w:r>
          </w:p>
        </w:tc>
        <w:tc>
          <w:tcPr>
            <w:tcW w:w="415" w:type="pct"/>
            <w:gridSpan w:val="2"/>
          </w:tcPr>
          <w:p w14:paraId="054EDDDC" w14:textId="77777777" w:rsidR="00665082" w:rsidRDefault="00665082" w:rsidP="001A5D4A">
            <w:pPr>
              <w:pStyle w:val="NotesTable-CellPlain"/>
            </w:pPr>
            <w:r>
              <w:t>–</w:t>
            </w:r>
          </w:p>
        </w:tc>
      </w:tr>
      <w:tr w:rsidR="00F33F3C" w14:paraId="3C22081E" w14:textId="77777777" w:rsidTr="00E21378">
        <w:trPr>
          <w:trHeight w:val="181"/>
        </w:trPr>
        <w:tc>
          <w:tcPr>
            <w:tcW w:w="814" w:type="pct"/>
          </w:tcPr>
          <w:p w14:paraId="06AB9B71" w14:textId="4DE65410" w:rsidR="00665082" w:rsidRDefault="00665082" w:rsidP="001A5D4A">
            <w:pPr>
              <w:pStyle w:val="Note-Refs"/>
            </w:pPr>
          </w:p>
        </w:tc>
        <w:tc>
          <w:tcPr>
            <w:tcW w:w="2545" w:type="pct"/>
            <w:gridSpan w:val="4"/>
            <w:vAlign w:val="bottom"/>
          </w:tcPr>
          <w:p w14:paraId="0076EB3D" w14:textId="089BCA83" w:rsidR="00665082" w:rsidRDefault="00665082" w:rsidP="001A5D4A">
            <w:pPr>
              <w:pStyle w:val="Note-Text"/>
              <w:rPr>
                <w:b/>
              </w:rPr>
            </w:pPr>
            <w:r>
              <w:t>Share of other comprehensive income for the period</w:t>
            </w:r>
          </w:p>
        </w:tc>
        <w:tc>
          <w:tcPr>
            <w:tcW w:w="405" w:type="pct"/>
            <w:gridSpan w:val="3"/>
          </w:tcPr>
          <w:p w14:paraId="6D2B2493" w14:textId="77777777" w:rsidR="00665082" w:rsidRDefault="00665082" w:rsidP="001A5D4A">
            <w:pPr>
              <w:pStyle w:val="NotesTable-CellBold"/>
            </w:pPr>
            <w:r>
              <w:t>–</w:t>
            </w:r>
          </w:p>
        </w:tc>
        <w:tc>
          <w:tcPr>
            <w:tcW w:w="410" w:type="pct"/>
            <w:gridSpan w:val="3"/>
          </w:tcPr>
          <w:p w14:paraId="2B271C0F" w14:textId="77777777" w:rsidR="00665082" w:rsidRDefault="00665082" w:rsidP="001A5D4A">
            <w:pPr>
              <w:pStyle w:val="NotesTable-CellPlain"/>
            </w:pPr>
            <w:r>
              <w:t>–</w:t>
            </w:r>
          </w:p>
        </w:tc>
        <w:tc>
          <w:tcPr>
            <w:tcW w:w="411" w:type="pct"/>
            <w:gridSpan w:val="3"/>
          </w:tcPr>
          <w:p w14:paraId="166C25AC" w14:textId="77777777" w:rsidR="00665082" w:rsidRDefault="00665082" w:rsidP="001A5D4A">
            <w:pPr>
              <w:pStyle w:val="NotesTable-CellBold"/>
            </w:pPr>
            <w:r>
              <w:t>–</w:t>
            </w:r>
          </w:p>
        </w:tc>
        <w:tc>
          <w:tcPr>
            <w:tcW w:w="415" w:type="pct"/>
            <w:gridSpan w:val="2"/>
          </w:tcPr>
          <w:p w14:paraId="4DEDF021" w14:textId="77777777" w:rsidR="00665082" w:rsidRDefault="00665082" w:rsidP="001A5D4A">
            <w:pPr>
              <w:pStyle w:val="NotesTable-CellPlain"/>
            </w:pPr>
            <w:r>
              <w:t>–</w:t>
            </w:r>
          </w:p>
        </w:tc>
      </w:tr>
      <w:tr w:rsidR="00F33F3C" w14:paraId="3216F836" w14:textId="77777777" w:rsidTr="00E21378">
        <w:trPr>
          <w:trHeight w:val="181"/>
        </w:trPr>
        <w:tc>
          <w:tcPr>
            <w:tcW w:w="814" w:type="pct"/>
          </w:tcPr>
          <w:p w14:paraId="009E307B" w14:textId="1833C8C0" w:rsidR="00665082" w:rsidRDefault="00665082" w:rsidP="001A5D4A">
            <w:pPr>
              <w:pStyle w:val="Note-Refs"/>
            </w:pPr>
          </w:p>
        </w:tc>
        <w:tc>
          <w:tcPr>
            <w:tcW w:w="2545" w:type="pct"/>
            <w:gridSpan w:val="4"/>
            <w:vAlign w:val="bottom"/>
          </w:tcPr>
          <w:p w14:paraId="4FB6A065" w14:textId="656A4392" w:rsidR="00665082" w:rsidRDefault="00665082" w:rsidP="001A5D4A">
            <w:pPr>
              <w:pStyle w:val="Note-Text"/>
            </w:pPr>
            <w:r>
              <w:t>Dividends</w:t>
            </w:r>
          </w:p>
        </w:tc>
        <w:tc>
          <w:tcPr>
            <w:tcW w:w="405" w:type="pct"/>
            <w:gridSpan w:val="3"/>
          </w:tcPr>
          <w:p w14:paraId="2C3427FF" w14:textId="77777777" w:rsidR="00665082" w:rsidRDefault="00665082" w:rsidP="001A5D4A">
            <w:pPr>
              <w:pStyle w:val="NotesTable-CellBold"/>
            </w:pPr>
            <w:r>
              <w:t>–</w:t>
            </w:r>
          </w:p>
        </w:tc>
        <w:tc>
          <w:tcPr>
            <w:tcW w:w="410" w:type="pct"/>
            <w:gridSpan w:val="3"/>
          </w:tcPr>
          <w:p w14:paraId="67EF36C1" w14:textId="77777777" w:rsidR="00665082" w:rsidRDefault="00665082" w:rsidP="001A5D4A">
            <w:pPr>
              <w:pStyle w:val="NotesTable-CellPlain"/>
            </w:pPr>
            <w:r>
              <w:t>–</w:t>
            </w:r>
          </w:p>
        </w:tc>
        <w:tc>
          <w:tcPr>
            <w:tcW w:w="411" w:type="pct"/>
            <w:gridSpan w:val="3"/>
          </w:tcPr>
          <w:p w14:paraId="5F147123" w14:textId="77777777" w:rsidR="00665082" w:rsidRDefault="00665082" w:rsidP="001A5D4A">
            <w:pPr>
              <w:pStyle w:val="NotesTable-CellBold"/>
            </w:pPr>
            <w:r>
              <w:t>–</w:t>
            </w:r>
          </w:p>
        </w:tc>
        <w:tc>
          <w:tcPr>
            <w:tcW w:w="415" w:type="pct"/>
            <w:gridSpan w:val="2"/>
          </w:tcPr>
          <w:p w14:paraId="2E45428D" w14:textId="77777777" w:rsidR="00665082" w:rsidRDefault="00665082" w:rsidP="001A5D4A">
            <w:pPr>
              <w:pStyle w:val="NotesTable-CellPlain"/>
            </w:pPr>
            <w:r>
              <w:t>–</w:t>
            </w:r>
          </w:p>
        </w:tc>
      </w:tr>
      <w:tr w:rsidR="00F33F3C" w14:paraId="7404AD7D" w14:textId="77777777" w:rsidTr="00E21378">
        <w:trPr>
          <w:trHeight w:val="181"/>
        </w:trPr>
        <w:tc>
          <w:tcPr>
            <w:tcW w:w="814" w:type="pct"/>
          </w:tcPr>
          <w:p w14:paraId="363CF30E" w14:textId="15A9268C" w:rsidR="00665082" w:rsidRDefault="00665082" w:rsidP="001A5D4A">
            <w:pPr>
              <w:pStyle w:val="Note-Refs"/>
            </w:pPr>
          </w:p>
        </w:tc>
        <w:tc>
          <w:tcPr>
            <w:tcW w:w="2545" w:type="pct"/>
            <w:gridSpan w:val="4"/>
            <w:vAlign w:val="bottom"/>
          </w:tcPr>
          <w:p w14:paraId="5B4525D8" w14:textId="1E2EF135" w:rsidR="00665082" w:rsidRDefault="00665082" w:rsidP="001A5D4A">
            <w:pPr>
              <w:pStyle w:val="Note-Text"/>
            </w:pPr>
            <w:r>
              <w:t>Additions/(Disposals)</w:t>
            </w:r>
          </w:p>
        </w:tc>
        <w:tc>
          <w:tcPr>
            <w:tcW w:w="405" w:type="pct"/>
            <w:gridSpan w:val="3"/>
            <w:tcBorders>
              <w:bottom w:val="single" w:sz="4" w:space="0" w:color="auto"/>
            </w:tcBorders>
          </w:tcPr>
          <w:p w14:paraId="06C9AD6F" w14:textId="77777777" w:rsidR="00665082" w:rsidRDefault="00665082" w:rsidP="001A5D4A">
            <w:pPr>
              <w:pStyle w:val="NotesTable-CellBold"/>
            </w:pPr>
            <w:r>
              <w:t>–</w:t>
            </w:r>
          </w:p>
        </w:tc>
        <w:tc>
          <w:tcPr>
            <w:tcW w:w="410" w:type="pct"/>
            <w:gridSpan w:val="3"/>
            <w:tcBorders>
              <w:bottom w:val="single" w:sz="4" w:space="0" w:color="auto"/>
            </w:tcBorders>
          </w:tcPr>
          <w:p w14:paraId="020F2643" w14:textId="77777777" w:rsidR="00665082" w:rsidRDefault="00665082" w:rsidP="001A5D4A">
            <w:pPr>
              <w:pStyle w:val="NotesTable-CellPlain"/>
            </w:pPr>
            <w:r>
              <w:t>–</w:t>
            </w:r>
          </w:p>
        </w:tc>
        <w:tc>
          <w:tcPr>
            <w:tcW w:w="411" w:type="pct"/>
            <w:gridSpan w:val="3"/>
            <w:tcBorders>
              <w:bottom w:val="single" w:sz="4" w:space="0" w:color="auto"/>
            </w:tcBorders>
          </w:tcPr>
          <w:p w14:paraId="1A3B8EE4" w14:textId="77777777" w:rsidR="00665082" w:rsidRDefault="00665082" w:rsidP="001A5D4A">
            <w:pPr>
              <w:pStyle w:val="NotesTable-CellBold"/>
            </w:pPr>
            <w:r>
              <w:t>–</w:t>
            </w:r>
          </w:p>
        </w:tc>
        <w:tc>
          <w:tcPr>
            <w:tcW w:w="415" w:type="pct"/>
            <w:gridSpan w:val="2"/>
            <w:tcBorders>
              <w:bottom w:val="single" w:sz="4" w:space="0" w:color="auto"/>
            </w:tcBorders>
          </w:tcPr>
          <w:p w14:paraId="79E57D4B" w14:textId="77777777" w:rsidR="00665082" w:rsidRDefault="00665082" w:rsidP="001A5D4A">
            <w:pPr>
              <w:pStyle w:val="NotesTable-CellPlain"/>
            </w:pPr>
            <w:r>
              <w:t>–</w:t>
            </w:r>
          </w:p>
        </w:tc>
      </w:tr>
      <w:tr w:rsidR="00F33F3C" w14:paraId="4C0CAB0A" w14:textId="77777777" w:rsidTr="00E21378">
        <w:trPr>
          <w:trHeight w:val="181"/>
        </w:trPr>
        <w:tc>
          <w:tcPr>
            <w:tcW w:w="814" w:type="pct"/>
          </w:tcPr>
          <w:p w14:paraId="72808F5D" w14:textId="77777777" w:rsidR="00665082" w:rsidRDefault="00665082" w:rsidP="001A5D4A">
            <w:pPr>
              <w:pStyle w:val="Note-Refs"/>
            </w:pPr>
          </w:p>
        </w:tc>
        <w:tc>
          <w:tcPr>
            <w:tcW w:w="2545" w:type="pct"/>
            <w:gridSpan w:val="4"/>
            <w:vAlign w:val="bottom"/>
          </w:tcPr>
          <w:p w14:paraId="4908E5D6" w14:textId="09B18707" w:rsidR="00665082" w:rsidRDefault="00665082" w:rsidP="001A5D4A">
            <w:pPr>
              <w:pStyle w:val="Note-Text"/>
              <w:rPr>
                <w:b/>
              </w:rPr>
            </w:pPr>
            <w:r>
              <w:t>Balance at 31 December</w:t>
            </w:r>
          </w:p>
        </w:tc>
        <w:tc>
          <w:tcPr>
            <w:tcW w:w="405" w:type="pct"/>
            <w:gridSpan w:val="3"/>
            <w:tcBorders>
              <w:top w:val="single" w:sz="4" w:space="0" w:color="auto"/>
            </w:tcBorders>
          </w:tcPr>
          <w:p w14:paraId="756610BD" w14:textId="77777777" w:rsidR="00665082" w:rsidRDefault="00665082" w:rsidP="001A5D4A">
            <w:pPr>
              <w:pStyle w:val="NotesTable-CellBold"/>
            </w:pPr>
            <w:r>
              <w:t>–</w:t>
            </w:r>
          </w:p>
        </w:tc>
        <w:tc>
          <w:tcPr>
            <w:tcW w:w="410" w:type="pct"/>
            <w:gridSpan w:val="3"/>
            <w:tcBorders>
              <w:top w:val="single" w:sz="4" w:space="0" w:color="auto"/>
            </w:tcBorders>
          </w:tcPr>
          <w:p w14:paraId="679D263B" w14:textId="77777777" w:rsidR="00665082" w:rsidRDefault="00665082" w:rsidP="001A5D4A">
            <w:pPr>
              <w:pStyle w:val="NotesTable-CellPlain"/>
            </w:pPr>
            <w:r>
              <w:t>–</w:t>
            </w:r>
          </w:p>
        </w:tc>
        <w:tc>
          <w:tcPr>
            <w:tcW w:w="411" w:type="pct"/>
            <w:gridSpan w:val="3"/>
            <w:tcBorders>
              <w:top w:val="single" w:sz="4" w:space="0" w:color="auto"/>
            </w:tcBorders>
          </w:tcPr>
          <w:p w14:paraId="12D0A424" w14:textId="77777777" w:rsidR="00665082" w:rsidRDefault="00665082" w:rsidP="001A5D4A">
            <w:pPr>
              <w:pStyle w:val="NotesTable-CellBold"/>
            </w:pPr>
            <w:r>
              <w:t>–</w:t>
            </w:r>
          </w:p>
        </w:tc>
        <w:tc>
          <w:tcPr>
            <w:tcW w:w="415" w:type="pct"/>
            <w:gridSpan w:val="2"/>
            <w:tcBorders>
              <w:top w:val="single" w:sz="4" w:space="0" w:color="auto"/>
            </w:tcBorders>
          </w:tcPr>
          <w:p w14:paraId="6935B279" w14:textId="77777777" w:rsidR="00665082" w:rsidRDefault="00665082" w:rsidP="001A5D4A">
            <w:pPr>
              <w:pStyle w:val="NotesTable-CellPlain"/>
            </w:pPr>
            <w:r>
              <w:t>–</w:t>
            </w:r>
          </w:p>
        </w:tc>
      </w:tr>
      <w:tr w:rsidR="00F33F3C" w14:paraId="70255B9D" w14:textId="77777777" w:rsidTr="00E21378">
        <w:trPr>
          <w:trHeight w:val="181"/>
        </w:trPr>
        <w:tc>
          <w:tcPr>
            <w:tcW w:w="814" w:type="pct"/>
          </w:tcPr>
          <w:p w14:paraId="0797E766" w14:textId="77777777" w:rsidR="00A236C1" w:rsidRDefault="00A236C1" w:rsidP="001A5D4A">
            <w:pPr>
              <w:pStyle w:val="Note-Refs"/>
            </w:pPr>
          </w:p>
        </w:tc>
        <w:tc>
          <w:tcPr>
            <w:tcW w:w="2545" w:type="pct"/>
            <w:gridSpan w:val="4"/>
            <w:vAlign w:val="bottom"/>
          </w:tcPr>
          <w:p w14:paraId="6994FBAF" w14:textId="77777777" w:rsidR="00A236C1" w:rsidRDefault="00A236C1" w:rsidP="001A5D4A">
            <w:pPr>
              <w:pStyle w:val="NotesTable-ItemPlain"/>
            </w:pPr>
          </w:p>
        </w:tc>
        <w:tc>
          <w:tcPr>
            <w:tcW w:w="405" w:type="pct"/>
            <w:gridSpan w:val="3"/>
          </w:tcPr>
          <w:p w14:paraId="13885B4B" w14:textId="77777777" w:rsidR="00A236C1" w:rsidRDefault="00A236C1" w:rsidP="001A5D4A">
            <w:pPr>
              <w:pStyle w:val="NotesTable-CellBold"/>
            </w:pPr>
          </w:p>
        </w:tc>
        <w:tc>
          <w:tcPr>
            <w:tcW w:w="410" w:type="pct"/>
            <w:gridSpan w:val="3"/>
          </w:tcPr>
          <w:p w14:paraId="7123033E" w14:textId="77777777" w:rsidR="00A236C1" w:rsidRDefault="00A236C1" w:rsidP="001A5D4A">
            <w:pPr>
              <w:pStyle w:val="NotesTable-CellPlain"/>
            </w:pPr>
          </w:p>
        </w:tc>
        <w:tc>
          <w:tcPr>
            <w:tcW w:w="411" w:type="pct"/>
            <w:gridSpan w:val="3"/>
          </w:tcPr>
          <w:p w14:paraId="674047CC" w14:textId="77777777" w:rsidR="00A236C1" w:rsidRDefault="00A236C1" w:rsidP="001A5D4A">
            <w:pPr>
              <w:pStyle w:val="NotesTable-CellBold"/>
            </w:pPr>
          </w:p>
        </w:tc>
        <w:tc>
          <w:tcPr>
            <w:tcW w:w="415" w:type="pct"/>
            <w:gridSpan w:val="2"/>
          </w:tcPr>
          <w:p w14:paraId="280F5B11" w14:textId="77777777" w:rsidR="00A236C1" w:rsidRDefault="00A236C1" w:rsidP="001A5D4A">
            <w:pPr>
              <w:pStyle w:val="NotesTable-CellPlain"/>
            </w:pPr>
          </w:p>
        </w:tc>
      </w:tr>
      <w:tr w:rsidR="00A236C1" w14:paraId="21B0F0AC" w14:textId="77777777" w:rsidTr="00E21378">
        <w:trPr>
          <w:trHeight w:val="181"/>
        </w:trPr>
        <w:tc>
          <w:tcPr>
            <w:tcW w:w="814" w:type="pct"/>
          </w:tcPr>
          <w:p w14:paraId="539D1DB2" w14:textId="77777777" w:rsidR="00A236C1" w:rsidRDefault="00A236C1" w:rsidP="001A5D4A">
            <w:pPr>
              <w:pStyle w:val="Note-Refs"/>
            </w:pPr>
          </w:p>
        </w:tc>
        <w:tc>
          <w:tcPr>
            <w:tcW w:w="4186" w:type="pct"/>
            <w:gridSpan w:val="15"/>
            <w:vAlign w:val="bottom"/>
          </w:tcPr>
          <w:p w14:paraId="4D89272E" w14:textId="77777777" w:rsidR="00A236C1" w:rsidRDefault="00A236C1" w:rsidP="001A5D4A">
            <w:pPr>
              <w:pStyle w:val="Note-TextHeader"/>
              <w:rPr>
                <w:lang w:val="en-GB"/>
              </w:rPr>
            </w:pPr>
            <w:r>
              <w:t>Financial Performance</w:t>
            </w:r>
          </w:p>
        </w:tc>
      </w:tr>
      <w:tr w:rsidR="00A236C1" w14:paraId="2FFCC185" w14:textId="77777777" w:rsidTr="00E21378">
        <w:trPr>
          <w:trHeight w:val="181"/>
        </w:trPr>
        <w:tc>
          <w:tcPr>
            <w:tcW w:w="814" w:type="pct"/>
          </w:tcPr>
          <w:p w14:paraId="4E0293F5" w14:textId="77777777" w:rsidR="00A236C1" w:rsidRDefault="00A236C1" w:rsidP="001A5D4A">
            <w:pPr>
              <w:pStyle w:val="Note-Refs"/>
            </w:pPr>
            <w:r>
              <w:t>AASB12.B12v</w:t>
            </w:r>
          </w:p>
        </w:tc>
        <w:tc>
          <w:tcPr>
            <w:tcW w:w="2556" w:type="pct"/>
            <w:gridSpan w:val="5"/>
            <w:vAlign w:val="bottom"/>
          </w:tcPr>
          <w:p w14:paraId="53F309D3" w14:textId="7397C86C" w:rsidR="00A236C1" w:rsidRDefault="00F54114" w:rsidP="001A5D4A">
            <w:pPr>
              <w:pStyle w:val="Note-Text"/>
            </w:pPr>
            <w:r>
              <w:t>Income</w:t>
            </w:r>
          </w:p>
        </w:tc>
        <w:tc>
          <w:tcPr>
            <w:tcW w:w="405" w:type="pct"/>
            <w:gridSpan w:val="3"/>
          </w:tcPr>
          <w:p w14:paraId="2DCCCC1B" w14:textId="77777777" w:rsidR="00A236C1" w:rsidRDefault="00A236C1" w:rsidP="001A5D4A">
            <w:pPr>
              <w:pStyle w:val="NotesTable-CellBold"/>
            </w:pPr>
            <w:r>
              <w:t>–</w:t>
            </w:r>
          </w:p>
        </w:tc>
        <w:tc>
          <w:tcPr>
            <w:tcW w:w="405" w:type="pct"/>
            <w:gridSpan w:val="3"/>
          </w:tcPr>
          <w:p w14:paraId="24BEE33B" w14:textId="77777777" w:rsidR="00A236C1" w:rsidRDefault="00A236C1" w:rsidP="001A5D4A">
            <w:pPr>
              <w:pStyle w:val="NotesTable-CellPlain"/>
            </w:pPr>
            <w:r>
              <w:t>–</w:t>
            </w:r>
          </w:p>
        </w:tc>
        <w:tc>
          <w:tcPr>
            <w:tcW w:w="411" w:type="pct"/>
            <w:gridSpan w:val="3"/>
          </w:tcPr>
          <w:p w14:paraId="4A20037C" w14:textId="77777777" w:rsidR="00A236C1" w:rsidRDefault="00A236C1" w:rsidP="001A5D4A">
            <w:pPr>
              <w:pStyle w:val="NotesTable-CellBold"/>
            </w:pPr>
            <w:r>
              <w:t>–</w:t>
            </w:r>
          </w:p>
        </w:tc>
        <w:tc>
          <w:tcPr>
            <w:tcW w:w="408" w:type="pct"/>
          </w:tcPr>
          <w:p w14:paraId="4932769A" w14:textId="77777777" w:rsidR="00A236C1" w:rsidRDefault="00A236C1" w:rsidP="001A5D4A">
            <w:pPr>
              <w:pStyle w:val="NotesTable-CellPlain"/>
            </w:pPr>
            <w:r>
              <w:t>–</w:t>
            </w:r>
          </w:p>
        </w:tc>
      </w:tr>
      <w:tr w:rsidR="00A236C1" w14:paraId="36AC616E" w14:textId="77777777" w:rsidTr="00E21378">
        <w:trPr>
          <w:trHeight w:val="181"/>
        </w:trPr>
        <w:tc>
          <w:tcPr>
            <w:tcW w:w="814" w:type="pct"/>
          </w:tcPr>
          <w:p w14:paraId="0E98E16A" w14:textId="77777777" w:rsidR="00A236C1" w:rsidRDefault="00A236C1" w:rsidP="001A5D4A">
            <w:pPr>
              <w:pStyle w:val="Note-Refs"/>
              <w:rPr>
                <w:b/>
              </w:rPr>
            </w:pPr>
            <w:r>
              <w:t>AASB12.B12vi</w:t>
            </w:r>
          </w:p>
        </w:tc>
        <w:tc>
          <w:tcPr>
            <w:tcW w:w="2556" w:type="pct"/>
            <w:gridSpan w:val="5"/>
            <w:vAlign w:val="bottom"/>
          </w:tcPr>
          <w:p w14:paraId="1A0C47AC" w14:textId="77777777" w:rsidR="00A236C1" w:rsidRDefault="00A236C1" w:rsidP="001A5D4A">
            <w:pPr>
              <w:pStyle w:val="Note-Text"/>
              <w:rPr>
                <w:b/>
              </w:rPr>
            </w:pPr>
            <w:r>
              <w:t>Profit/(loss) from continuing operations</w:t>
            </w:r>
          </w:p>
        </w:tc>
        <w:tc>
          <w:tcPr>
            <w:tcW w:w="405" w:type="pct"/>
            <w:gridSpan w:val="3"/>
            <w:tcBorders>
              <w:top w:val="single" w:sz="4" w:space="0" w:color="auto"/>
            </w:tcBorders>
          </w:tcPr>
          <w:p w14:paraId="642652BF" w14:textId="77777777" w:rsidR="00A236C1" w:rsidRDefault="00A236C1" w:rsidP="001A5D4A">
            <w:pPr>
              <w:pStyle w:val="NotesTable-CellBold"/>
            </w:pPr>
            <w:r>
              <w:t>–</w:t>
            </w:r>
          </w:p>
        </w:tc>
        <w:tc>
          <w:tcPr>
            <w:tcW w:w="405" w:type="pct"/>
            <w:gridSpan w:val="3"/>
            <w:tcBorders>
              <w:top w:val="single" w:sz="4" w:space="0" w:color="auto"/>
            </w:tcBorders>
          </w:tcPr>
          <w:p w14:paraId="2D414B3F" w14:textId="77777777" w:rsidR="00A236C1" w:rsidRDefault="00A236C1" w:rsidP="001A5D4A">
            <w:pPr>
              <w:pStyle w:val="NotesTable-CellPlain"/>
            </w:pPr>
            <w:r>
              <w:t>–</w:t>
            </w:r>
          </w:p>
        </w:tc>
        <w:tc>
          <w:tcPr>
            <w:tcW w:w="411" w:type="pct"/>
            <w:gridSpan w:val="3"/>
            <w:tcBorders>
              <w:top w:val="single" w:sz="4" w:space="0" w:color="auto"/>
            </w:tcBorders>
          </w:tcPr>
          <w:p w14:paraId="3CF06BE8" w14:textId="77777777" w:rsidR="00A236C1" w:rsidRDefault="00A236C1" w:rsidP="001A5D4A">
            <w:pPr>
              <w:pStyle w:val="NotesTable-CellBold"/>
            </w:pPr>
            <w:r>
              <w:t>–</w:t>
            </w:r>
          </w:p>
        </w:tc>
        <w:tc>
          <w:tcPr>
            <w:tcW w:w="408" w:type="pct"/>
            <w:tcBorders>
              <w:top w:val="single" w:sz="4" w:space="0" w:color="auto"/>
            </w:tcBorders>
          </w:tcPr>
          <w:p w14:paraId="6E6869B6" w14:textId="77777777" w:rsidR="00A236C1" w:rsidRDefault="00A236C1" w:rsidP="001A5D4A">
            <w:pPr>
              <w:pStyle w:val="NotesTable-CellPlain"/>
            </w:pPr>
            <w:r>
              <w:t>–</w:t>
            </w:r>
          </w:p>
        </w:tc>
      </w:tr>
      <w:tr w:rsidR="00646ABF" w14:paraId="7DE06553" w14:textId="77777777" w:rsidTr="00E21378">
        <w:trPr>
          <w:trHeight w:val="181"/>
        </w:trPr>
        <w:tc>
          <w:tcPr>
            <w:tcW w:w="814" w:type="pct"/>
            <w:vAlign w:val="bottom"/>
          </w:tcPr>
          <w:p w14:paraId="7C1511AB" w14:textId="77777777" w:rsidR="00646ABF" w:rsidRDefault="00646ABF" w:rsidP="001A5D4A">
            <w:pPr>
              <w:pStyle w:val="Note-Refs"/>
            </w:pPr>
          </w:p>
        </w:tc>
        <w:tc>
          <w:tcPr>
            <w:tcW w:w="2556" w:type="pct"/>
            <w:gridSpan w:val="5"/>
            <w:vAlign w:val="bottom"/>
          </w:tcPr>
          <w:p w14:paraId="4F53BA84" w14:textId="249C1E96" w:rsidR="00646ABF" w:rsidRDefault="00646ABF" w:rsidP="001A5D4A">
            <w:pPr>
              <w:pStyle w:val="Note-Text"/>
            </w:pPr>
            <w:r>
              <w:t>Profit/(loss) from continuing operations after income tax</w:t>
            </w:r>
          </w:p>
        </w:tc>
        <w:tc>
          <w:tcPr>
            <w:tcW w:w="405" w:type="pct"/>
            <w:gridSpan w:val="3"/>
          </w:tcPr>
          <w:p w14:paraId="5A273B49" w14:textId="25AFB5C4" w:rsidR="00646ABF" w:rsidRDefault="00646ABF" w:rsidP="001A5D4A">
            <w:pPr>
              <w:pStyle w:val="NotesTable-CellBold"/>
            </w:pPr>
            <w:r>
              <w:t>–</w:t>
            </w:r>
          </w:p>
        </w:tc>
        <w:tc>
          <w:tcPr>
            <w:tcW w:w="405" w:type="pct"/>
            <w:gridSpan w:val="3"/>
          </w:tcPr>
          <w:p w14:paraId="2E1A377D" w14:textId="60DCEAFB" w:rsidR="00646ABF" w:rsidRDefault="00646ABF" w:rsidP="001A5D4A">
            <w:pPr>
              <w:pStyle w:val="NotesTable-CellPlain"/>
            </w:pPr>
            <w:r>
              <w:t>–</w:t>
            </w:r>
          </w:p>
        </w:tc>
        <w:tc>
          <w:tcPr>
            <w:tcW w:w="411" w:type="pct"/>
            <w:gridSpan w:val="3"/>
          </w:tcPr>
          <w:p w14:paraId="3ECF7354" w14:textId="162F83AA" w:rsidR="00646ABF" w:rsidRDefault="00646ABF" w:rsidP="001A5D4A">
            <w:pPr>
              <w:pStyle w:val="NotesTable-CellBold"/>
            </w:pPr>
            <w:r>
              <w:t>–</w:t>
            </w:r>
          </w:p>
        </w:tc>
        <w:tc>
          <w:tcPr>
            <w:tcW w:w="408" w:type="pct"/>
          </w:tcPr>
          <w:p w14:paraId="37882AD8" w14:textId="37DADA7D" w:rsidR="00646ABF" w:rsidRDefault="00646ABF" w:rsidP="001A5D4A">
            <w:pPr>
              <w:pStyle w:val="NotesTable-CellPlain"/>
            </w:pPr>
            <w:r>
              <w:t>–</w:t>
            </w:r>
          </w:p>
        </w:tc>
      </w:tr>
      <w:tr w:rsidR="00A236C1" w14:paraId="1D35BF4F" w14:textId="77777777" w:rsidTr="00E21378">
        <w:trPr>
          <w:trHeight w:val="181"/>
        </w:trPr>
        <w:tc>
          <w:tcPr>
            <w:tcW w:w="814" w:type="pct"/>
            <w:vAlign w:val="bottom"/>
          </w:tcPr>
          <w:p w14:paraId="0E228B9C" w14:textId="77777777" w:rsidR="00A236C1" w:rsidRDefault="00A236C1" w:rsidP="001A5D4A">
            <w:pPr>
              <w:pStyle w:val="Note-Refs"/>
            </w:pPr>
            <w:r>
              <w:t>AASB12.B12vii</w:t>
            </w:r>
          </w:p>
        </w:tc>
        <w:tc>
          <w:tcPr>
            <w:tcW w:w="2556" w:type="pct"/>
            <w:gridSpan w:val="5"/>
            <w:vAlign w:val="bottom"/>
          </w:tcPr>
          <w:p w14:paraId="5E52A08F" w14:textId="77777777" w:rsidR="00A236C1" w:rsidRDefault="00A236C1" w:rsidP="001A5D4A">
            <w:pPr>
              <w:pStyle w:val="Note-Text"/>
            </w:pPr>
            <w:r>
              <w:t>Post tax profit/(loss) from discontinued operations</w:t>
            </w:r>
          </w:p>
        </w:tc>
        <w:tc>
          <w:tcPr>
            <w:tcW w:w="405" w:type="pct"/>
            <w:gridSpan w:val="3"/>
          </w:tcPr>
          <w:p w14:paraId="22E67354" w14:textId="77777777" w:rsidR="00A236C1" w:rsidRDefault="00A236C1" w:rsidP="001A5D4A">
            <w:pPr>
              <w:pStyle w:val="NotesTable-CellBold"/>
            </w:pPr>
            <w:r>
              <w:t>–</w:t>
            </w:r>
          </w:p>
        </w:tc>
        <w:tc>
          <w:tcPr>
            <w:tcW w:w="405" w:type="pct"/>
            <w:gridSpan w:val="3"/>
          </w:tcPr>
          <w:p w14:paraId="7DE32E23" w14:textId="77777777" w:rsidR="00A236C1" w:rsidRDefault="00A236C1" w:rsidP="001A5D4A">
            <w:pPr>
              <w:pStyle w:val="NotesTable-CellPlain"/>
            </w:pPr>
            <w:r>
              <w:t>–</w:t>
            </w:r>
          </w:p>
        </w:tc>
        <w:tc>
          <w:tcPr>
            <w:tcW w:w="411" w:type="pct"/>
            <w:gridSpan w:val="3"/>
          </w:tcPr>
          <w:p w14:paraId="0F6DDFA4" w14:textId="77777777" w:rsidR="00A236C1" w:rsidRDefault="00A236C1" w:rsidP="001A5D4A">
            <w:pPr>
              <w:pStyle w:val="NotesTable-CellBold"/>
            </w:pPr>
            <w:r>
              <w:t>–</w:t>
            </w:r>
          </w:p>
        </w:tc>
        <w:tc>
          <w:tcPr>
            <w:tcW w:w="408" w:type="pct"/>
          </w:tcPr>
          <w:p w14:paraId="052951DA" w14:textId="77777777" w:rsidR="00A236C1" w:rsidRDefault="00A236C1" w:rsidP="001A5D4A">
            <w:pPr>
              <w:pStyle w:val="NotesTable-CellPlain"/>
            </w:pPr>
            <w:r>
              <w:t>–</w:t>
            </w:r>
          </w:p>
        </w:tc>
      </w:tr>
      <w:tr w:rsidR="00A236C1" w14:paraId="5A198234" w14:textId="77777777" w:rsidTr="00E21378">
        <w:trPr>
          <w:trHeight w:val="181"/>
        </w:trPr>
        <w:tc>
          <w:tcPr>
            <w:tcW w:w="814" w:type="pct"/>
            <w:vAlign w:val="bottom"/>
          </w:tcPr>
          <w:p w14:paraId="31F90C7F" w14:textId="77777777" w:rsidR="00A236C1" w:rsidRDefault="00A236C1" w:rsidP="001A5D4A">
            <w:pPr>
              <w:pStyle w:val="Note-Refs"/>
            </w:pPr>
            <w:r>
              <w:t>AASB12.B12viii</w:t>
            </w:r>
          </w:p>
        </w:tc>
        <w:tc>
          <w:tcPr>
            <w:tcW w:w="2556" w:type="pct"/>
            <w:gridSpan w:val="5"/>
            <w:vAlign w:val="bottom"/>
          </w:tcPr>
          <w:p w14:paraId="3A6132F6" w14:textId="77777777" w:rsidR="00A236C1" w:rsidRDefault="00A236C1" w:rsidP="001A5D4A">
            <w:pPr>
              <w:pStyle w:val="Note-Text"/>
            </w:pPr>
            <w:r>
              <w:t>Other comprehensive income</w:t>
            </w:r>
          </w:p>
        </w:tc>
        <w:tc>
          <w:tcPr>
            <w:tcW w:w="405" w:type="pct"/>
            <w:gridSpan w:val="3"/>
            <w:tcBorders>
              <w:bottom w:val="single" w:sz="4" w:space="0" w:color="auto"/>
            </w:tcBorders>
          </w:tcPr>
          <w:p w14:paraId="3DECE481" w14:textId="77777777" w:rsidR="00A236C1" w:rsidRDefault="00A236C1" w:rsidP="001A5D4A">
            <w:pPr>
              <w:pStyle w:val="NotesTable-CellBold"/>
            </w:pPr>
            <w:r>
              <w:t>–</w:t>
            </w:r>
          </w:p>
        </w:tc>
        <w:tc>
          <w:tcPr>
            <w:tcW w:w="405" w:type="pct"/>
            <w:gridSpan w:val="3"/>
            <w:tcBorders>
              <w:bottom w:val="single" w:sz="4" w:space="0" w:color="auto"/>
            </w:tcBorders>
          </w:tcPr>
          <w:p w14:paraId="4406FA3C" w14:textId="77777777" w:rsidR="00A236C1" w:rsidRDefault="00A236C1" w:rsidP="001A5D4A">
            <w:pPr>
              <w:pStyle w:val="NotesTable-CellPlain"/>
            </w:pPr>
            <w:r>
              <w:t>–</w:t>
            </w:r>
          </w:p>
        </w:tc>
        <w:tc>
          <w:tcPr>
            <w:tcW w:w="411" w:type="pct"/>
            <w:gridSpan w:val="3"/>
            <w:tcBorders>
              <w:bottom w:val="single" w:sz="4" w:space="0" w:color="auto"/>
            </w:tcBorders>
          </w:tcPr>
          <w:p w14:paraId="5ABAB3AD" w14:textId="77777777" w:rsidR="00A236C1" w:rsidRDefault="00A236C1" w:rsidP="001A5D4A">
            <w:pPr>
              <w:pStyle w:val="NotesTable-CellBold"/>
            </w:pPr>
            <w:r>
              <w:t>–</w:t>
            </w:r>
          </w:p>
        </w:tc>
        <w:tc>
          <w:tcPr>
            <w:tcW w:w="408" w:type="pct"/>
            <w:tcBorders>
              <w:bottom w:val="single" w:sz="4" w:space="0" w:color="auto"/>
            </w:tcBorders>
          </w:tcPr>
          <w:p w14:paraId="478BD28F" w14:textId="77777777" w:rsidR="00A236C1" w:rsidRDefault="00A236C1" w:rsidP="001A5D4A">
            <w:pPr>
              <w:pStyle w:val="NotesTable-CellPlain"/>
            </w:pPr>
            <w:r>
              <w:t>–</w:t>
            </w:r>
          </w:p>
        </w:tc>
      </w:tr>
      <w:tr w:rsidR="00A236C1" w14:paraId="6449F8F8" w14:textId="77777777" w:rsidTr="00E21378">
        <w:trPr>
          <w:trHeight w:val="181"/>
        </w:trPr>
        <w:tc>
          <w:tcPr>
            <w:tcW w:w="814" w:type="pct"/>
            <w:vAlign w:val="bottom"/>
          </w:tcPr>
          <w:p w14:paraId="1FA4DEF5" w14:textId="77777777" w:rsidR="00A236C1" w:rsidRDefault="00A236C1" w:rsidP="001A5D4A">
            <w:pPr>
              <w:pStyle w:val="Note-Refs"/>
            </w:pPr>
            <w:r>
              <w:t>AASB12.B12ix</w:t>
            </w:r>
          </w:p>
        </w:tc>
        <w:tc>
          <w:tcPr>
            <w:tcW w:w="2556" w:type="pct"/>
            <w:gridSpan w:val="5"/>
            <w:vAlign w:val="bottom"/>
          </w:tcPr>
          <w:p w14:paraId="130A1D38" w14:textId="77777777" w:rsidR="00A236C1" w:rsidRDefault="00A236C1" w:rsidP="001A5D4A">
            <w:pPr>
              <w:pStyle w:val="Note-Text"/>
            </w:pPr>
            <w:r>
              <w:t>Total comprehensive income</w:t>
            </w:r>
          </w:p>
        </w:tc>
        <w:tc>
          <w:tcPr>
            <w:tcW w:w="405" w:type="pct"/>
            <w:gridSpan w:val="3"/>
            <w:tcBorders>
              <w:top w:val="single" w:sz="4" w:space="0" w:color="auto"/>
              <w:bottom w:val="single" w:sz="4" w:space="0" w:color="auto"/>
            </w:tcBorders>
          </w:tcPr>
          <w:p w14:paraId="060FBA60" w14:textId="77777777" w:rsidR="00A236C1" w:rsidRDefault="00A236C1" w:rsidP="001A5D4A">
            <w:pPr>
              <w:pStyle w:val="NotesTable-CellBold"/>
            </w:pPr>
            <w:r>
              <w:t>–</w:t>
            </w:r>
          </w:p>
        </w:tc>
        <w:tc>
          <w:tcPr>
            <w:tcW w:w="405" w:type="pct"/>
            <w:gridSpan w:val="3"/>
            <w:tcBorders>
              <w:top w:val="single" w:sz="4" w:space="0" w:color="auto"/>
              <w:bottom w:val="single" w:sz="4" w:space="0" w:color="auto"/>
            </w:tcBorders>
          </w:tcPr>
          <w:p w14:paraId="246D9DDD" w14:textId="77777777" w:rsidR="00A236C1" w:rsidRDefault="00A236C1" w:rsidP="001A5D4A">
            <w:pPr>
              <w:pStyle w:val="NotesTable-CellPlain"/>
            </w:pPr>
            <w:r>
              <w:t>–</w:t>
            </w:r>
          </w:p>
        </w:tc>
        <w:tc>
          <w:tcPr>
            <w:tcW w:w="411" w:type="pct"/>
            <w:gridSpan w:val="3"/>
            <w:tcBorders>
              <w:top w:val="single" w:sz="4" w:space="0" w:color="auto"/>
              <w:bottom w:val="single" w:sz="4" w:space="0" w:color="auto"/>
            </w:tcBorders>
          </w:tcPr>
          <w:p w14:paraId="1C4DE87A" w14:textId="77777777" w:rsidR="00A236C1" w:rsidRDefault="00A236C1" w:rsidP="001A5D4A">
            <w:pPr>
              <w:pStyle w:val="NotesTable-CellBold"/>
            </w:pPr>
            <w:r>
              <w:t>–</w:t>
            </w:r>
          </w:p>
        </w:tc>
        <w:tc>
          <w:tcPr>
            <w:tcW w:w="408" w:type="pct"/>
            <w:tcBorders>
              <w:top w:val="single" w:sz="4" w:space="0" w:color="auto"/>
              <w:bottom w:val="single" w:sz="4" w:space="0" w:color="auto"/>
            </w:tcBorders>
          </w:tcPr>
          <w:p w14:paraId="73DC44D8" w14:textId="77777777" w:rsidR="00A236C1" w:rsidRDefault="00A236C1" w:rsidP="001A5D4A">
            <w:pPr>
              <w:pStyle w:val="NotesTable-CellPlain"/>
            </w:pPr>
            <w:r>
              <w:t>–</w:t>
            </w:r>
          </w:p>
        </w:tc>
      </w:tr>
      <w:tr w:rsidR="00A236C1" w14:paraId="3FC618E4" w14:textId="77777777" w:rsidTr="00E21378">
        <w:trPr>
          <w:trHeight w:val="181"/>
        </w:trPr>
        <w:tc>
          <w:tcPr>
            <w:tcW w:w="814" w:type="pct"/>
          </w:tcPr>
          <w:p w14:paraId="04E12E85" w14:textId="77777777" w:rsidR="00A236C1" w:rsidRPr="001950AA" w:rsidRDefault="00A236C1" w:rsidP="001A5D4A">
            <w:pPr>
              <w:pStyle w:val="Note-Refs"/>
              <w:rPr>
                <w:b/>
                <w:highlight w:val="yellow"/>
              </w:rPr>
            </w:pPr>
            <w:r w:rsidRPr="00931B52">
              <w:t>AASB128.38</w:t>
            </w:r>
          </w:p>
        </w:tc>
        <w:tc>
          <w:tcPr>
            <w:tcW w:w="2556" w:type="pct"/>
            <w:gridSpan w:val="5"/>
            <w:vAlign w:val="bottom"/>
          </w:tcPr>
          <w:p w14:paraId="4DC2516C" w14:textId="422406DE" w:rsidR="00A236C1" w:rsidRDefault="00A236C1" w:rsidP="001A5D4A">
            <w:pPr>
              <w:pStyle w:val="Note-Text"/>
              <w:rPr>
                <w:b/>
              </w:rPr>
            </w:pPr>
            <w:r>
              <w:t>Share of associ</w:t>
            </w:r>
            <w:r w:rsidR="00043A6F">
              <w:t>ates’</w:t>
            </w:r>
            <w:r>
              <w:t xml:space="preserve"> profit/(loss)</w:t>
            </w:r>
          </w:p>
        </w:tc>
        <w:tc>
          <w:tcPr>
            <w:tcW w:w="405" w:type="pct"/>
            <w:gridSpan w:val="3"/>
            <w:tcBorders>
              <w:top w:val="single" w:sz="4" w:space="0" w:color="auto"/>
            </w:tcBorders>
          </w:tcPr>
          <w:p w14:paraId="32BA8369" w14:textId="77777777" w:rsidR="00A236C1" w:rsidRDefault="00A236C1" w:rsidP="001A5D4A">
            <w:pPr>
              <w:pStyle w:val="NotesTable-CellBold"/>
            </w:pPr>
            <w:r>
              <w:t>–</w:t>
            </w:r>
          </w:p>
        </w:tc>
        <w:tc>
          <w:tcPr>
            <w:tcW w:w="405" w:type="pct"/>
            <w:gridSpan w:val="3"/>
            <w:tcBorders>
              <w:top w:val="single" w:sz="4" w:space="0" w:color="auto"/>
            </w:tcBorders>
          </w:tcPr>
          <w:p w14:paraId="3850318E" w14:textId="77777777" w:rsidR="00A236C1" w:rsidRDefault="00A236C1" w:rsidP="001A5D4A">
            <w:pPr>
              <w:pStyle w:val="NotesTable-CellPlain"/>
            </w:pPr>
            <w:r>
              <w:t>–</w:t>
            </w:r>
          </w:p>
        </w:tc>
        <w:tc>
          <w:tcPr>
            <w:tcW w:w="411" w:type="pct"/>
            <w:gridSpan w:val="3"/>
            <w:tcBorders>
              <w:top w:val="single" w:sz="4" w:space="0" w:color="auto"/>
            </w:tcBorders>
          </w:tcPr>
          <w:p w14:paraId="7789E954" w14:textId="77777777" w:rsidR="00A236C1" w:rsidRDefault="00A236C1" w:rsidP="001A5D4A">
            <w:pPr>
              <w:pStyle w:val="NotesTable-CellBold"/>
            </w:pPr>
            <w:r>
              <w:t>–</w:t>
            </w:r>
          </w:p>
        </w:tc>
        <w:tc>
          <w:tcPr>
            <w:tcW w:w="408" w:type="pct"/>
            <w:tcBorders>
              <w:top w:val="single" w:sz="4" w:space="0" w:color="auto"/>
            </w:tcBorders>
          </w:tcPr>
          <w:p w14:paraId="00C92611" w14:textId="77777777" w:rsidR="00A236C1" w:rsidRDefault="00A236C1" w:rsidP="001A5D4A">
            <w:pPr>
              <w:pStyle w:val="NotesTable-CellPlain"/>
            </w:pPr>
            <w:r>
              <w:t>–</w:t>
            </w:r>
          </w:p>
        </w:tc>
      </w:tr>
    </w:tbl>
    <w:p w14:paraId="24424708" w14:textId="77777777" w:rsidR="00F33F3C" w:rsidRPr="001B4E7B" w:rsidRDefault="00F33F3C" w:rsidP="001A5D4A">
      <w:r w:rsidRPr="001B4E7B">
        <w:br w:type="page"/>
      </w:r>
    </w:p>
    <w:tbl>
      <w:tblPr>
        <w:tblW w:w="5000" w:type="pct"/>
        <w:tblCellMar>
          <w:left w:w="0" w:type="dxa"/>
          <w:right w:w="0" w:type="dxa"/>
        </w:tblCellMar>
        <w:tblLook w:val="0000" w:firstRow="0" w:lastRow="0" w:firstColumn="0" w:lastColumn="0" w:noHBand="0" w:noVBand="0"/>
      </w:tblPr>
      <w:tblGrid>
        <w:gridCol w:w="1583"/>
        <w:gridCol w:w="1626"/>
        <w:gridCol w:w="1626"/>
        <w:gridCol w:w="1626"/>
        <w:gridCol w:w="74"/>
        <w:gridCol w:w="21"/>
        <w:gridCol w:w="718"/>
        <w:gridCol w:w="47"/>
        <w:gridCol w:w="23"/>
        <w:gridCol w:w="743"/>
        <w:gridCol w:w="31"/>
        <w:gridCol w:w="14"/>
        <w:gridCol w:w="788"/>
        <w:gridCol w:w="10"/>
        <w:gridCol w:w="821"/>
      </w:tblGrid>
      <w:tr w:rsidR="00AE7A0B" w14:paraId="517B74B0" w14:textId="77777777" w:rsidTr="00AE7A0B">
        <w:trPr>
          <w:trHeight w:val="181"/>
        </w:trPr>
        <w:tc>
          <w:tcPr>
            <w:tcW w:w="5000" w:type="pct"/>
            <w:gridSpan w:val="15"/>
          </w:tcPr>
          <w:p w14:paraId="3F62EF19" w14:textId="4D07A26A" w:rsidR="00AE7A0B" w:rsidRDefault="00AE7A0B" w:rsidP="00AE7A0B">
            <w:pPr>
              <w:pStyle w:val="TOC3"/>
              <w:ind w:left="0"/>
            </w:pPr>
            <w:r>
              <w:lastRenderedPageBreak/>
              <w:t>Note 24. Investments accounted for using the equity method (continued)</w:t>
            </w:r>
          </w:p>
        </w:tc>
      </w:tr>
      <w:tr w:rsidR="00F33F3C" w14:paraId="7EF9AA99" w14:textId="77777777" w:rsidTr="00AE7A0B">
        <w:trPr>
          <w:trHeight w:val="181"/>
        </w:trPr>
        <w:tc>
          <w:tcPr>
            <w:tcW w:w="811" w:type="pct"/>
          </w:tcPr>
          <w:p w14:paraId="7C02523D" w14:textId="77777777" w:rsidR="00F33F3C" w:rsidRDefault="00F33F3C" w:rsidP="001A5D4A">
            <w:pPr>
              <w:pStyle w:val="Note-Refs"/>
            </w:pPr>
          </w:p>
        </w:tc>
        <w:tc>
          <w:tcPr>
            <w:tcW w:w="4189" w:type="pct"/>
            <w:gridSpan w:val="14"/>
            <w:vAlign w:val="bottom"/>
          </w:tcPr>
          <w:p w14:paraId="0019F5DC" w14:textId="1431A5D1" w:rsidR="00F33F3C" w:rsidRDefault="00FC27E0" w:rsidP="001A5D4A">
            <w:pPr>
              <w:pStyle w:val="Note-TextHeader"/>
              <w:numPr>
                <w:ilvl w:val="0"/>
                <w:numId w:val="4"/>
              </w:numPr>
              <w:ind w:left="357" w:hanging="357"/>
            </w:pPr>
            <w:r>
              <w:t>Joint Ventures</w:t>
            </w:r>
          </w:p>
        </w:tc>
      </w:tr>
      <w:tr w:rsidR="000D7546" w14:paraId="3720907B" w14:textId="77777777" w:rsidTr="00AE7A0B">
        <w:trPr>
          <w:trHeight w:val="181"/>
        </w:trPr>
        <w:tc>
          <w:tcPr>
            <w:tcW w:w="811" w:type="pct"/>
            <w:vMerge w:val="restart"/>
          </w:tcPr>
          <w:p w14:paraId="4B1299D5" w14:textId="77777777" w:rsidR="000D7546" w:rsidRDefault="000D7546" w:rsidP="001A5D4A">
            <w:pPr>
              <w:pStyle w:val="Note-Refs"/>
            </w:pPr>
            <w:r>
              <w:t>AASB12.21bi, AASB12.21biii, AASB12.21a</w:t>
            </w:r>
          </w:p>
        </w:tc>
        <w:tc>
          <w:tcPr>
            <w:tcW w:w="834" w:type="pct"/>
            <w:vMerge w:val="restart"/>
            <w:tcBorders>
              <w:right w:val="single" w:sz="4" w:space="0" w:color="auto"/>
            </w:tcBorders>
          </w:tcPr>
          <w:p w14:paraId="23A45739" w14:textId="77777777" w:rsidR="000D7546" w:rsidRDefault="000D7546" w:rsidP="001A5D4A">
            <w:pPr>
              <w:pStyle w:val="NotesTable-HeadBold"/>
            </w:pPr>
            <w:r>
              <w:t>Name of Entity</w:t>
            </w:r>
          </w:p>
        </w:tc>
        <w:tc>
          <w:tcPr>
            <w:tcW w:w="834" w:type="pct"/>
            <w:vMerge w:val="restart"/>
            <w:tcBorders>
              <w:left w:val="single" w:sz="4" w:space="0" w:color="auto"/>
              <w:right w:val="single" w:sz="4" w:space="0" w:color="auto"/>
            </w:tcBorders>
          </w:tcPr>
          <w:p w14:paraId="72B2ED30" w14:textId="77777777" w:rsidR="000D7546" w:rsidRDefault="000D7546" w:rsidP="001A5D4A">
            <w:pPr>
              <w:pStyle w:val="NotesTable-HeadBold"/>
            </w:pPr>
            <w:r>
              <w:t>Place of business/ Country of incorporation</w:t>
            </w:r>
          </w:p>
        </w:tc>
        <w:tc>
          <w:tcPr>
            <w:tcW w:w="834" w:type="pct"/>
            <w:vMerge w:val="restart"/>
            <w:tcBorders>
              <w:left w:val="single" w:sz="4" w:space="0" w:color="auto"/>
              <w:right w:val="single" w:sz="4" w:space="0" w:color="auto"/>
            </w:tcBorders>
          </w:tcPr>
          <w:p w14:paraId="55422F37" w14:textId="77777777" w:rsidR="000D7546" w:rsidRDefault="000D7546" w:rsidP="001A5D4A">
            <w:pPr>
              <w:pStyle w:val="NotesTable-HeadBold"/>
            </w:pPr>
            <w:r>
              <w:t>Measurement method</w:t>
            </w:r>
          </w:p>
        </w:tc>
        <w:tc>
          <w:tcPr>
            <w:tcW w:w="834" w:type="pct"/>
            <w:gridSpan w:val="6"/>
            <w:tcBorders>
              <w:left w:val="single" w:sz="4" w:space="0" w:color="auto"/>
              <w:right w:val="single" w:sz="4" w:space="0" w:color="auto"/>
            </w:tcBorders>
          </w:tcPr>
          <w:p w14:paraId="671A36A8" w14:textId="77777777" w:rsidR="000D7546" w:rsidRDefault="000D7546" w:rsidP="001A5D4A">
            <w:pPr>
              <w:pStyle w:val="NotesTable-HeadBold"/>
            </w:pPr>
            <w:r>
              <w:t>Quoted fair value</w:t>
            </w:r>
          </w:p>
        </w:tc>
        <w:tc>
          <w:tcPr>
            <w:tcW w:w="853" w:type="pct"/>
            <w:gridSpan w:val="5"/>
            <w:tcBorders>
              <w:left w:val="single" w:sz="4" w:space="0" w:color="auto"/>
            </w:tcBorders>
          </w:tcPr>
          <w:p w14:paraId="73AFB786" w14:textId="77777777" w:rsidR="000D7546" w:rsidRDefault="000D7546" w:rsidP="001A5D4A">
            <w:pPr>
              <w:pStyle w:val="NotesTable-HeadBold"/>
            </w:pPr>
            <w:r>
              <w:t>Ownership Interest %</w:t>
            </w:r>
          </w:p>
        </w:tc>
      </w:tr>
      <w:tr w:rsidR="000D7546" w14:paraId="13AA45BD" w14:textId="77777777" w:rsidTr="00AE7A0B">
        <w:trPr>
          <w:trHeight w:val="181"/>
        </w:trPr>
        <w:tc>
          <w:tcPr>
            <w:tcW w:w="811" w:type="pct"/>
            <w:vMerge/>
          </w:tcPr>
          <w:p w14:paraId="3D1F5C11" w14:textId="77777777" w:rsidR="000D7546" w:rsidRDefault="000D7546" w:rsidP="001A5D4A">
            <w:pPr>
              <w:pStyle w:val="Note-Refs"/>
            </w:pPr>
          </w:p>
        </w:tc>
        <w:tc>
          <w:tcPr>
            <w:tcW w:w="834" w:type="pct"/>
            <w:vMerge/>
            <w:tcBorders>
              <w:bottom w:val="single" w:sz="4" w:space="0" w:color="auto"/>
              <w:right w:val="single" w:sz="4" w:space="0" w:color="auto"/>
            </w:tcBorders>
          </w:tcPr>
          <w:p w14:paraId="771BCBB8" w14:textId="77777777" w:rsidR="000D7546" w:rsidRDefault="000D7546" w:rsidP="001A5D4A">
            <w:pPr>
              <w:pStyle w:val="NotesTable-HeadBold"/>
            </w:pPr>
          </w:p>
        </w:tc>
        <w:tc>
          <w:tcPr>
            <w:tcW w:w="834" w:type="pct"/>
            <w:vMerge/>
            <w:tcBorders>
              <w:left w:val="single" w:sz="4" w:space="0" w:color="auto"/>
              <w:bottom w:val="single" w:sz="4" w:space="0" w:color="auto"/>
              <w:right w:val="single" w:sz="4" w:space="0" w:color="auto"/>
            </w:tcBorders>
          </w:tcPr>
          <w:p w14:paraId="00633FFE" w14:textId="77777777" w:rsidR="000D7546" w:rsidRDefault="000D7546" w:rsidP="001A5D4A">
            <w:pPr>
              <w:pStyle w:val="NotesTable-HeadBold"/>
            </w:pPr>
          </w:p>
        </w:tc>
        <w:tc>
          <w:tcPr>
            <w:tcW w:w="834" w:type="pct"/>
            <w:vMerge/>
            <w:tcBorders>
              <w:left w:val="single" w:sz="4" w:space="0" w:color="auto"/>
              <w:bottom w:val="single" w:sz="4" w:space="0" w:color="auto"/>
              <w:right w:val="single" w:sz="4" w:space="0" w:color="auto"/>
            </w:tcBorders>
          </w:tcPr>
          <w:p w14:paraId="7A9AA732" w14:textId="77777777" w:rsidR="000D7546" w:rsidRDefault="000D7546" w:rsidP="001A5D4A">
            <w:pPr>
              <w:pStyle w:val="NotesTable-HeadBold"/>
            </w:pPr>
          </w:p>
        </w:tc>
        <w:tc>
          <w:tcPr>
            <w:tcW w:w="417" w:type="pct"/>
            <w:gridSpan w:val="3"/>
            <w:tcBorders>
              <w:left w:val="single" w:sz="4" w:space="0" w:color="auto"/>
              <w:bottom w:val="single" w:sz="4" w:space="0" w:color="auto"/>
              <w:right w:val="single" w:sz="4" w:space="0" w:color="auto"/>
            </w:tcBorders>
          </w:tcPr>
          <w:p w14:paraId="5436536E" w14:textId="13AC74C9" w:rsidR="000D7546" w:rsidRDefault="000D7546" w:rsidP="001A5D4A">
            <w:pPr>
              <w:pStyle w:val="NotesTable-CellBold"/>
            </w:pPr>
            <w:r>
              <w:t>2014</w:t>
            </w:r>
          </w:p>
        </w:tc>
        <w:tc>
          <w:tcPr>
            <w:tcW w:w="417" w:type="pct"/>
            <w:gridSpan w:val="3"/>
            <w:tcBorders>
              <w:left w:val="single" w:sz="4" w:space="0" w:color="auto"/>
              <w:bottom w:val="single" w:sz="4" w:space="0" w:color="auto"/>
              <w:right w:val="single" w:sz="4" w:space="0" w:color="auto"/>
            </w:tcBorders>
            <w:vAlign w:val="center"/>
          </w:tcPr>
          <w:p w14:paraId="1A0D24A6" w14:textId="5A090328" w:rsidR="000D7546" w:rsidRDefault="000D7546" w:rsidP="001A5D4A">
            <w:pPr>
              <w:pStyle w:val="NotesTable-CellPlain"/>
            </w:pPr>
            <w:r>
              <w:t>2013</w:t>
            </w:r>
          </w:p>
        </w:tc>
        <w:tc>
          <w:tcPr>
            <w:tcW w:w="427" w:type="pct"/>
            <w:gridSpan w:val="3"/>
            <w:tcBorders>
              <w:left w:val="single" w:sz="4" w:space="0" w:color="auto"/>
              <w:bottom w:val="single" w:sz="4" w:space="0" w:color="auto"/>
            </w:tcBorders>
          </w:tcPr>
          <w:p w14:paraId="16686FA5" w14:textId="26CB01F4" w:rsidR="000D7546" w:rsidRDefault="000D7546" w:rsidP="001A5D4A">
            <w:pPr>
              <w:pStyle w:val="NotesTable-CellBold"/>
            </w:pPr>
            <w:r>
              <w:t>2014</w:t>
            </w:r>
          </w:p>
        </w:tc>
        <w:tc>
          <w:tcPr>
            <w:tcW w:w="426" w:type="pct"/>
            <w:gridSpan w:val="2"/>
            <w:tcBorders>
              <w:left w:val="single" w:sz="4" w:space="0" w:color="auto"/>
              <w:bottom w:val="single" w:sz="4" w:space="0" w:color="auto"/>
            </w:tcBorders>
          </w:tcPr>
          <w:p w14:paraId="0543C35C" w14:textId="5516C11C" w:rsidR="000D7546" w:rsidRDefault="000D7546" w:rsidP="001A5D4A">
            <w:pPr>
              <w:pStyle w:val="NotesTable-CellPlain"/>
            </w:pPr>
            <w:r>
              <w:t>2013</w:t>
            </w:r>
          </w:p>
        </w:tc>
      </w:tr>
      <w:tr w:rsidR="00E47831" w14:paraId="6294E07B" w14:textId="77777777" w:rsidTr="00AE7A0B">
        <w:trPr>
          <w:trHeight w:val="181"/>
        </w:trPr>
        <w:tc>
          <w:tcPr>
            <w:tcW w:w="811" w:type="pct"/>
          </w:tcPr>
          <w:p w14:paraId="7753A1D0" w14:textId="77777777" w:rsidR="00E47831" w:rsidRDefault="00E47831" w:rsidP="001A5D4A">
            <w:pPr>
              <w:pStyle w:val="Note-Refs"/>
            </w:pPr>
          </w:p>
        </w:tc>
        <w:tc>
          <w:tcPr>
            <w:tcW w:w="834" w:type="pct"/>
            <w:tcBorders>
              <w:top w:val="single" w:sz="4" w:space="0" w:color="auto"/>
              <w:right w:val="single" w:sz="4" w:space="0" w:color="auto"/>
            </w:tcBorders>
            <w:vAlign w:val="bottom"/>
          </w:tcPr>
          <w:p w14:paraId="5E738E50" w14:textId="635948F5" w:rsidR="00E47831" w:rsidRDefault="00E47831" w:rsidP="001A5D4A">
            <w:pPr>
              <w:pStyle w:val="NotesTable-ItemPlain"/>
            </w:pPr>
            <w:r>
              <w:t>Joint ventures [Specify]</w:t>
            </w:r>
          </w:p>
        </w:tc>
        <w:tc>
          <w:tcPr>
            <w:tcW w:w="834" w:type="pct"/>
            <w:tcBorders>
              <w:top w:val="single" w:sz="4" w:space="0" w:color="auto"/>
              <w:left w:val="single" w:sz="4" w:space="0" w:color="auto"/>
              <w:right w:val="single" w:sz="4" w:space="0" w:color="auto"/>
            </w:tcBorders>
            <w:vAlign w:val="bottom"/>
          </w:tcPr>
          <w:p w14:paraId="12278688" w14:textId="77777777" w:rsidR="00E47831" w:rsidRDefault="00E47831" w:rsidP="001A5D4A">
            <w:pPr>
              <w:pStyle w:val="NotesTable-ItemPlain"/>
            </w:pPr>
          </w:p>
        </w:tc>
        <w:tc>
          <w:tcPr>
            <w:tcW w:w="834" w:type="pct"/>
            <w:tcBorders>
              <w:top w:val="single" w:sz="4" w:space="0" w:color="auto"/>
              <w:left w:val="single" w:sz="4" w:space="0" w:color="auto"/>
              <w:right w:val="single" w:sz="4" w:space="0" w:color="auto"/>
            </w:tcBorders>
            <w:vAlign w:val="bottom"/>
          </w:tcPr>
          <w:p w14:paraId="1160BF5D" w14:textId="77777777" w:rsidR="00E47831" w:rsidRDefault="00E47831" w:rsidP="001A5D4A">
            <w:pPr>
              <w:pStyle w:val="NotesTable-ItemPlain"/>
            </w:pPr>
          </w:p>
        </w:tc>
        <w:tc>
          <w:tcPr>
            <w:tcW w:w="417" w:type="pct"/>
            <w:gridSpan w:val="3"/>
            <w:tcBorders>
              <w:top w:val="single" w:sz="4" w:space="0" w:color="auto"/>
              <w:left w:val="single" w:sz="4" w:space="0" w:color="auto"/>
              <w:right w:val="single" w:sz="4" w:space="0" w:color="auto"/>
            </w:tcBorders>
            <w:vAlign w:val="bottom"/>
          </w:tcPr>
          <w:p w14:paraId="3A1547EF" w14:textId="77777777" w:rsidR="00E47831" w:rsidRDefault="00E47831" w:rsidP="001A5D4A">
            <w:pPr>
              <w:pStyle w:val="NotesTable-ItemPlain"/>
            </w:pPr>
          </w:p>
        </w:tc>
        <w:tc>
          <w:tcPr>
            <w:tcW w:w="417" w:type="pct"/>
            <w:gridSpan w:val="3"/>
            <w:tcBorders>
              <w:top w:val="single" w:sz="4" w:space="0" w:color="auto"/>
              <w:left w:val="single" w:sz="4" w:space="0" w:color="auto"/>
              <w:right w:val="single" w:sz="4" w:space="0" w:color="auto"/>
            </w:tcBorders>
            <w:vAlign w:val="bottom"/>
          </w:tcPr>
          <w:p w14:paraId="479A0FDA" w14:textId="71969D16" w:rsidR="00E47831" w:rsidRDefault="00E47831" w:rsidP="001A5D4A">
            <w:pPr>
              <w:pStyle w:val="NotesTable-ItemPlain"/>
            </w:pPr>
          </w:p>
        </w:tc>
        <w:tc>
          <w:tcPr>
            <w:tcW w:w="427" w:type="pct"/>
            <w:gridSpan w:val="3"/>
            <w:tcBorders>
              <w:top w:val="single" w:sz="4" w:space="0" w:color="auto"/>
              <w:left w:val="single" w:sz="4" w:space="0" w:color="auto"/>
            </w:tcBorders>
            <w:vAlign w:val="bottom"/>
          </w:tcPr>
          <w:p w14:paraId="1D0B68A1" w14:textId="77777777" w:rsidR="00E47831" w:rsidRDefault="00E47831" w:rsidP="001A5D4A">
            <w:pPr>
              <w:pStyle w:val="NotesTable-ItemPlain"/>
            </w:pPr>
          </w:p>
        </w:tc>
        <w:tc>
          <w:tcPr>
            <w:tcW w:w="426" w:type="pct"/>
            <w:gridSpan w:val="2"/>
            <w:tcBorders>
              <w:top w:val="single" w:sz="4" w:space="0" w:color="auto"/>
              <w:left w:val="single" w:sz="4" w:space="0" w:color="auto"/>
            </w:tcBorders>
            <w:vAlign w:val="bottom"/>
          </w:tcPr>
          <w:p w14:paraId="7C5EF974" w14:textId="58F729CC" w:rsidR="00E47831" w:rsidRDefault="00E47831" w:rsidP="001A5D4A">
            <w:pPr>
              <w:pStyle w:val="NotesTable-ItemPlain"/>
            </w:pPr>
          </w:p>
        </w:tc>
      </w:tr>
      <w:tr w:rsidR="00F33F3C" w14:paraId="64EFE44A" w14:textId="77777777" w:rsidTr="00AE7A0B">
        <w:trPr>
          <w:trHeight w:val="181"/>
        </w:trPr>
        <w:tc>
          <w:tcPr>
            <w:tcW w:w="811" w:type="pct"/>
          </w:tcPr>
          <w:p w14:paraId="71FEDF2C" w14:textId="77777777" w:rsidR="00F33F3C" w:rsidRDefault="00F33F3C" w:rsidP="001A5D4A">
            <w:pPr>
              <w:pStyle w:val="Note-Refs"/>
            </w:pPr>
          </w:p>
        </w:tc>
        <w:tc>
          <w:tcPr>
            <w:tcW w:w="4189" w:type="pct"/>
            <w:gridSpan w:val="14"/>
            <w:vAlign w:val="bottom"/>
          </w:tcPr>
          <w:p w14:paraId="59C490B2" w14:textId="77777777" w:rsidR="00F33F3C" w:rsidRDefault="00F33F3C" w:rsidP="001A5D4A">
            <w:pPr>
              <w:pStyle w:val="NotesTable-ItemPlain"/>
            </w:pPr>
          </w:p>
        </w:tc>
      </w:tr>
      <w:tr w:rsidR="00F33F3C" w14:paraId="659DD96D" w14:textId="77777777" w:rsidTr="00AE7A0B">
        <w:trPr>
          <w:trHeight w:val="181"/>
        </w:trPr>
        <w:tc>
          <w:tcPr>
            <w:tcW w:w="811" w:type="pct"/>
          </w:tcPr>
          <w:p w14:paraId="6215CCBD" w14:textId="77777777" w:rsidR="00F33F3C" w:rsidRDefault="00F33F3C" w:rsidP="001A5D4A">
            <w:pPr>
              <w:pStyle w:val="Note-Refs"/>
              <w:rPr>
                <w:b/>
              </w:rPr>
            </w:pPr>
            <w:r>
              <w:t>AASB12.21b</w:t>
            </w:r>
          </w:p>
        </w:tc>
        <w:tc>
          <w:tcPr>
            <w:tcW w:w="4189" w:type="pct"/>
            <w:gridSpan w:val="14"/>
            <w:vAlign w:val="bottom"/>
          </w:tcPr>
          <w:p w14:paraId="795C510A" w14:textId="7011BC98" w:rsidR="00F33F3C" w:rsidRDefault="00F33F3C" w:rsidP="001A5D4A">
            <w:pPr>
              <w:pStyle w:val="NotesTable-ItemPlain"/>
              <w:rPr>
                <w:b/>
              </w:rPr>
            </w:pPr>
            <w:r>
              <w:t xml:space="preserve">Summarised financial information for individually material </w:t>
            </w:r>
            <w:r w:rsidR="00FC27E0">
              <w:t>joint ventures</w:t>
            </w:r>
            <w:r>
              <w:t xml:space="preserve"> is set out below.</w:t>
            </w:r>
          </w:p>
        </w:tc>
      </w:tr>
      <w:tr w:rsidR="00F33F3C" w14:paraId="1976E744" w14:textId="77777777" w:rsidTr="00AE7A0B">
        <w:trPr>
          <w:trHeight w:val="181"/>
        </w:trPr>
        <w:tc>
          <w:tcPr>
            <w:tcW w:w="811" w:type="pct"/>
          </w:tcPr>
          <w:p w14:paraId="73AB20E8" w14:textId="77777777" w:rsidR="00F33F3C" w:rsidRDefault="00F33F3C" w:rsidP="001A5D4A">
            <w:pPr>
              <w:pStyle w:val="Note-Refs"/>
            </w:pPr>
          </w:p>
        </w:tc>
        <w:tc>
          <w:tcPr>
            <w:tcW w:w="4189" w:type="pct"/>
            <w:gridSpan w:val="14"/>
            <w:vAlign w:val="bottom"/>
          </w:tcPr>
          <w:p w14:paraId="071A5D38" w14:textId="77777777" w:rsidR="00F33F3C" w:rsidRDefault="00F33F3C" w:rsidP="001A5D4A">
            <w:pPr>
              <w:pStyle w:val="NotesTable-ItemPlain"/>
            </w:pPr>
          </w:p>
        </w:tc>
      </w:tr>
      <w:tr w:rsidR="00F33F3C" w14:paraId="32557588" w14:textId="77777777" w:rsidTr="00AE7A0B">
        <w:trPr>
          <w:trHeight w:val="181"/>
        </w:trPr>
        <w:tc>
          <w:tcPr>
            <w:tcW w:w="811" w:type="pct"/>
          </w:tcPr>
          <w:p w14:paraId="0192DED8" w14:textId="77777777" w:rsidR="00F33F3C" w:rsidRDefault="00F33F3C" w:rsidP="001A5D4A">
            <w:pPr>
              <w:pStyle w:val="Note-Refs"/>
            </w:pPr>
          </w:p>
        </w:tc>
        <w:tc>
          <w:tcPr>
            <w:tcW w:w="2540" w:type="pct"/>
            <w:gridSpan w:val="4"/>
            <w:vAlign w:val="bottom"/>
          </w:tcPr>
          <w:p w14:paraId="7A7BAE5A" w14:textId="77777777" w:rsidR="00F33F3C" w:rsidRDefault="00F33F3C" w:rsidP="001A5D4A">
            <w:pPr>
              <w:pStyle w:val="NotesTable-ItemPlain"/>
            </w:pPr>
          </w:p>
        </w:tc>
        <w:tc>
          <w:tcPr>
            <w:tcW w:w="812" w:type="pct"/>
            <w:gridSpan w:val="6"/>
          </w:tcPr>
          <w:p w14:paraId="75DCA123" w14:textId="42B68B86" w:rsidR="00F33F3C" w:rsidRDefault="00FC27E0" w:rsidP="001A5D4A">
            <w:pPr>
              <w:pStyle w:val="NotesTable-HeadPlain"/>
              <w:rPr>
                <w:b/>
              </w:rPr>
            </w:pPr>
            <w:r>
              <w:t>Joint venture</w:t>
            </w:r>
            <w:r w:rsidR="00F33F3C">
              <w:t xml:space="preserve"> 1</w:t>
            </w:r>
          </w:p>
        </w:tc>
        <w:tc>
          <w:tcPr>
            <w:tcW w:w="837" w:type="pct"/>
            <w:gridSpan w:val="4"/>
          </w:tcPr>
          <w:p w14:paraId="2C1EBD6B" w14:textId="1FBE04B4" w:rsidR="00F33F3C" w:rsidRDefault="00FC27E0" w:rsidP="001A5D4A">
            <w:pPr>
              <w:pStyle w:val="NotesTable-HeadPlain"/>
              <w:rPr>
                <w:b/>
              </w:rPr>
            </w:pPr>
            <w:r>
              <w:t>Joint venture</w:t>
            </w:r>
            <w:r w:rsidR="00F33F3C">
              <w:t xml:space="preserve"> 2</w:t>
            </w:r>
          </w:p>
        </w:tc>
      </w:tr>
      <w:tr w:rsidR="00F33F3C" w14:paraId="17F1DC1A" w14:textId="77777777" w:rsidTr="00AE7A0B">
        <w:trPr>
          <w:trHeight w:val="181"/>
        </w:trPr>
        <w:tc>
          <w:tcPr>
            <w:tcW w:w="811" w:type="pct"/>
          </w:tcPr>
          <w:p w14:paraId="138ABD13" w14:textId="77777777" w:rsidR="00F33F3C" w:rsidRDefault="00F33F3C" w:rsidP="001A5D4A">
            <w:pPr>
              <w:pStyle w:val="Note-Refs"/>
            </w:pPr>
          </w:p>
        </w:tc>
        <w:tc>
          <w:tcPr>
            <w:tcW w:w="2540" w:type="pct"/>
            <w:gridSpan w:val="4"/>
            <w:vAlign w:val="bottom"/>
          </w:tcPr>
          <w:p w14:paraId="4C842D23" w14:textId="77777777" w:rsidR="00F33F3C" w:rsidRDefault="00F33F3C" w:rsidP="001A5D4A">
            <w:pPr>
              <w:pStyle w:val="NotesTable-ItemPlain"/>
            </w:pPr>
          </w:p>
        </w:tc>
        <w:tc>
          <w:tcPr>
            <w:tcW w:w="403" w:type="pct"/>
            <w:gridSpan w:val="3"/>
          </w:tcPr>
          <w:p w14:paraId="05C46A24" w14:textId="77777777" w:rsidR="00F33F3C" w:rsidRDefault="00F33F3C" w:rsidP="001A5D4A">
            <w:pPr>
              <w:pStyle w:val="NotesTable-CellBold"/>
            </w:pPr>
            <w:r>
              <w:t>2014</w:t>
            </w:r>
          </w:p>
        </w:tc>
        <w:tc>
          <w:tcPr>
            <w:tcW w:w="409" w:type="pct"/>
            <w:gridSpan w:val="3"/>
          </w:tcPr>
          <w:p w14:paraId="5B28930F" w14:textId="77777777" w:rsidR="00F33F3C" w:rsidRDefault="00F33F3C" w:rsidP="001A5D4A">
            <w:pPr>
              <w:pStyle w:val="NotesTable-CellPlain"/>
              <w:rPr>
                <w:b/>
              </w:rPr>
            </w:pPr>
            <w:r>
              <w:t>2013</w:t>
            </w:r>
          </w:p>
        </w:tc>
        <w:tc>
          <w:tcPr>
            <w:tcW w:w="411" w:type="pct"/>
            <w:gridSpan w:val="2"/>
          </w:tcPr>
          <w:p w14:paraId="3E9E9831" w14:textId="77777777" w:rsidR="00F33F3C" w:rsidRDefault="00F33F3C" w:rsidP="001A5D4A">
            <w:pPr>
              <w:pStyle w:val="NotesTable-CellBold"/>
            </w:pPr>
            <w:r>
              <w:t>2014</w:t>
            </w:r>
          </w:p>
        </w:tc>
        <w:tc>
          <w:tcPr>
            <w:tcW w:w="426" w:type="pct"/>
            <w:gridSpan w:val="2"/>
          </w:tcPr>
          <w:p w14:paraId="65415F4C" w14:textId="77777777" w:rsidR="00F33F3C" w:rsidRDefault="00F33F3C" w:rsidP="001A5D4A">
            <w:pPr>
              <w:pStyle w:val="NotesTable-CellPlain"/>
              <w:rPr>
                <w:b/>
              </w:rPr>
            </w:pPr>
            <w:r>
              <w:t>2013</w:t>
            </w:r>
          </w:p>
        </w:tc>
      </w:tr>
      <w:tr w:rsidR="00F33F3C" w14:paraId="4140B477" w14:textId="77777777" w:rsidTr="00AE7A0B">
        <w:trPr>
          <w:trHeight w:val="181"/>
        </w:trPr>
        <w:tc>
          <w:tcPr>
            <w:tcW w:w="811" w:type="pct"/>
          </w:tcPr>
          <w:p w14:paraId="34957DBB" w14:textId="77777777" w:rsidR="00F33F3C" w:rsidRDefault="00F33F3C" w:rsidP="001A5D4A">
            <w:pPr>
              <w:pStyle w:val="Note-Refs"/>
            </w:pPr>
          </w:p>
        </w:tc>
        <w:tc>
          <w:tcPr>
            <w:tcW w:w="2540" w:type="pct"/>
            <w:gridSpan w:val="4"/>
            <w:vAlign w:val="bottom"/>
          </w:tcPr>
          <w:p w14:paraId="66052FD2" w14:textId="77777777" w:rsidR="00F33F3C" w:rsidRDefault="00F33F3C" w:rsidP="001A5D4A">
            <w:pPr>
              <w:pStyle w:val="NotesTable-ItemPlain"/>
            </w:pPr>
          </w:p>
        </w:tc>
        <w:tc>
          <w:tcPr>
            <w:tcW w:w="403" w:type="pct"/>
            <w:gridSpan w:val="3"/>
          </w:tcPr>
          <w:p w14:paraId="700870AA" w14:textId="77777777" w:rsidR="00F33F3C" w:rsidRDefault="00F33F3C" w:rsidP="001A5D4A">
            <w:pPr>
              <w:pStyle w:val="NotesTable-HeadBold"/>
            </w:pPr>
            <w:r>
              <w:t>$’000</w:t>
            </w:r>
          </w:p>
        </w:tc>
        <w:tc>
          <w:tcPr>
            <w:tcW w:w="409" w:type="pct"/>
            <w:gridSpan w:val="3"/>
          </w:tcPr>
          <w:p w14:paraId="0ED720BF" w14:textId="77777777" w:rsidR="00F33F3C" w:rsidRDefault="00F33F3C" w:rsidP="001A5D4A">
            <w:pPr>
              <w:pStyle w:val="NotesTable-HeadPlain"/>
            </w:pPr>
            <w:r>
              <w:t>$’000</w:t>
            </w:r>
          </w:p>
        </w:tc>
        <w:tc>
          <w:tcPr>
            <w:tcW w:w="411" w:type="pct"/>
            <w:gridSpan w:val="2"/>
          </w:tcPr>
          <w:p w14:paraId="6E1003F2" w14:textId="77777777" w:rsidR="00F33F3C" w:rsidRDefault="00F33F3C" w:rsidP="001A5D4A">
            <w:pPr>
              <w:pStyle w:val="NotesTable-HeadBold"/>
            </w:pPr>
            <w:r>
              <w:t>$’000</w:t>
            </w:r>
          </w:p>
        </w:tc>
        <w:tc>
          <w:tcPr>
            <w:tcW w:w="426" w:type="pct"/>
            <w:gridSpan w:val="2"/>
          </w:tcPr>
          <w:p w14:paraId="77743C78" w14:textId="77777777" w:rsidR="00F33F3C" w:rsidRDefault="00F33F3C" w:rsidP="001A5D4A">
            <w:pPr>
              <w:pStyle w:val="NotesTable-HeadPlain"/>
            </w:pPr>
            <w:r>
              <w:t>$’000</w:t>
            </w:r>
          </w:p>
        </w:tc>
      </w:tr>
      <w:tr w:rsidR="00F33F3C" w14:paraId="1930FF23" w14:textId="77777777" w:rsidTr="00AE7A0B">
        <w:trPr>
          <w:trHeight w:val="181"/>
        </w:trPr>
        <w:tc>
          <w:tcPr>
            <w:tcW w:w="811" w:type="pct"/>
          </w:tcPr>
          <w:p w14:paraId="6A581038" w14:textId="77777777" w:rsidR="00F33F3C" w:rsidRDefault="00F33F3C" w:rsidP="001A5D4A">
            <w:pPr>
              <w:pStyle w:val="Note-Refs"/>
            </w:pPr>
          </w:p>
        </w:tc>
        <w:tc>
          <w:tcPr>
            <w:tcW w:w="2540" w:type="pct"/>
            <w:gridSpan w:val="4"/>
            <w:vAlign w:val="bottom"/>
          </w:tcPr>
          <w:p w14:paraId="4F733020" w14:textId="77777777" w:rsidR="00F33F3C" w:rsidRDefault="00F33F3C" w:rsidP="001A5D4A">
            <w:pPr>
              <w:pStyle w:val="Note-TextHeader"/>
            </w:pPr>
            <w:r>
              <w:t>Financial Position</w:t>
            </w:r>
          </w:p>
        </w:tc>
        <w:tc>
          <w:tcPr>
            <w:tcW w:w="403" w:type="pct"/>
            <w:gridSpan w:val="3"/>
          </w:tcPr>
          <w:p w14:paraId="110A182A" w14:textId="77777777" w:rsidR="00F33F3C" w:rsidRDefault="00F33F3C" w:rsidP="001A5D4A">
            <w:pPr>
              <w:pStyle w:val="NotesTable-HeadBold"/>
            </w:pPr>
          </w:p>
        </w:tc>
        <w:tc>
          <w:tcPr>
            <w:tcW w:w="409" w:type="pct"/>
            <w:gridSpan w:val="3"/>
          </w:tcPr>
          <w:p w14:paraId="4B4DC33F" w14:textId="77777777" w:rsidR="00F33F3C" w:rsidRDefault="00F33F3C" w:rsidP="001A5D4A">
            <w:pPr>
              <w:pStyle w:val="NotesTable-HeadPlain"/>
            </w:pPr>
          </w:p>
        </w:tc>
        <w:tc>
          <w:tcPr>
            <w:tcW w:w="411" w:type="pct"/>
            <w:gridSpan w:val="2"/>
          </w:tcPr>
          <w:p w14:paraId="01482660" w14:textId="77777777" w:rsidR="00F33F3C" w:rsidRDefault="00F33F3C" w:rsidP="001A5D4A">
            <w:pPr>
              <w:pStyle w:val="NotesTable-HeadBold"/>
            </w:pPr>
          </w:p>
        </w:tc>
        <w:tc>
          <w:tcPr>
            <w:tcW w:w="426" w:type="pct"/>
            <w:gridSpan w:val="2"/>
          </w:tcPr>
          <w:p w14:paraId="47F4E639" w14:textId="77777777" w:rsidR="00F33F3C" w:rsidRDefault="00F33F3C" w:rsidP="001A5D4A">
            <w:pPr>
              <w:pStyle w:val="NotesTable-HeadPlain"/>
            </w:pPr>
          </w:p>
        </w:tc>
      </w:tr>
      <w:tr w:rsidR="00F33F3C" w14:paraId="0980797B" w14:textId="77777777" w:rsidTr="00AE7A0B">
        <w:trPr>
          <w:trHeight w:val="181"/>
        </w:trPr>
        <w:tc>
          <w:tcPr>
            <w:tcW w:w="811" w:type="pct"/>
          </w:tcPr>
          <w:p w14:paraId="07B8AC46" w14:textId="77777777" w:rsidR="00F33F3C" w:rsidRDefault="00F33F3C" w:rsidP="001A5D4A">
            <w:pPr>
              <w:pStyle w:val="Note-Refs"/>
            </w:pPr>
            <w:r>
              <w:t>AASB12.B12i</w:t>
            </w:r>
          </w:p>
        </w:tc>
        <w:tc>
          <w:tcPr>
            <w:tcW w:w="2540" w:type="pct"/>
            <w:gridSpan w:val="4"/>
            <w:vAlign w:val="bottom"/>
          </w:tcPr>
          <w:p w14:paraId="52B5A2A4" w14:textId="77777777" w:rsidR="00F33F3C" w:rsidRDefault="00F33F3C" w:rsidP="001A5D4A">
            <w:pPr>
              <w:pStyle w:val="Note-Text"/>
            </w:pPr>
            <w:r>
              <w:t>Current assets</w:t>
            </w:r>
          </w:p>
        </w:tc>
        <w:tc>
          <w:tcPr>
            <w:tcW w:w="403" w:type="pct"/>
            <w:gridSpan w:val="3"/>
          </w:tcPr>
          <w:p w14:paraId="1D2D43AC" w14:textId="77777777" w:rsidR="00F33F3C" w:rsidRDefault="00F33F3C" w:rsidP="001A5D4A">
            <w:pPr>
              <w:pStyle w:val="NotesTable-CellBold"/>
            </w:pPr>
            <w:r>
              <w:t>–</w:t>
            </w:r>
          </w:p>
        </w:tc>
        <w:tc>
          <w:tcPr>
            <w:tcW w:w="409" w:type="pct"/>
            <w:gridSpan w:val="3"/>
          </w:tcPr>
          <w:p w14:paraId="6C89EC02" w14:textId="77777777" w:rsidR="00F33F3C" w:rsidRDefault="00F33F3C" w:rsidP="001A5D4A">
            <w:pPr>
              <w:pStyle w:val="NotesTable-CellPlain"/>
            </w:pPr>
            <w:r>
              <w:t>–</w:t>
            </w:r>
          </w:p>
        </w:tc>
        <w:tc>
          <w:tcPr>
            <w:tcW w:w="411" w:type="pct"/>
            <w:gridSpan w:val="2"/>
          </w:tcPr>
          <w:p w14:paraId="022FF05B" w14:textId="77777777" w:rsidR="00F33F3C" w:rsidRDefault="00F33F3C" w:rsidP="001A5D4A">
            <w:pPr>
              <w:pStyle w:val="NotesTable-CellPlain"/>
            </w:pPr>
            <w:r>
              <w:t>–</w:t>
            </w:r>
          </w:p>
        </w:tc>
        <w:tc>
          <w:tcPr>
            <w:tcW w:w="426" w:type="pct"/>
            <w:gridSpan w:val="2"/>
          </w:tcPr>
          <w:p w14:paraId="04248EA1" w14:textId="77777777" w:rsidR="00F33F3C" w:rsidRDefault="00F33F3C" w:rsidP="001A5D4A">
            <w:pPr>
              <w:pStyle w:val="NotesTable-CellPlain"/>
            </w:pPr>
            <w:r>
              <w:t>–</w:t>
            </w:r>
          </w:p>
        </w:tc>
      </w:tr>
      <w:tr w:rsidR="001C678E" w14:paraId="77781F19" w14:textId="77777777" w:rsidTr="00AE7A0B">
        <w:trPr>
          <w:trHeight w:val="181"/>
        </w:trPr>
        <w:tc>
          <w:tcPr>
            <w:tcW w:w="811" w:type="pct"/>
          </w:tcPr>
          <w:p w14:paraId="57438785" w14:textId="564E031C" w:rsidR="001C678E" w:rsidRDefault="001C678E" w:rsidP="001A5D4A">
            <w:pPr>
              <w:pStyle w:val="Note-Refs"/>
            </w:pPr>
            <w:r>
              <w:t>AASB12.B13a</w:t>
            </w:r>
          </w:p>
        </w:tc>
        <w:tc>
          <w:tcPr>
            <w:tcW w:w="2540" w:type="pct"/>
            <w:gridSpan w:val="4"/>
            <w:vAlign w:val="bottom"/>
          </w:tcPr>
          <w:p w14:paraId="54B2E0B7" w14:textId="09DA1AC6" w:rsidR="001C678E" w:rsidRDefault="001C678E" w:rsidP="001A5D4A">
            <w:pPr>
              <w:pStyle w:val="Note-Text"/>
            </w:pPr>
            <w:r>
              <w:t>Cash and cash equivalents</w:t>
            </w:r>
          </w:p>
        </w:tc>
        <w:tc>
          <w:tcPr>
            <w:tcW w:w="403" w:type="pct"/>
            <w:gridSpan w:val="3"/>
          </w:tcPr>
          <w:p w14:paraId="6D63BFCB" w14:textId="1A131CFA" w:rsidR="001C678E" w:rsidRDefault="001C678E" w:rsidP="001A5D4A">
            <w:pPr>
              <w:pStyle w:val="NotesTable-CellBold"/>
            </w:pPr>
            <w:r>
              <w:t>–</w:t>
            </w:r>
          </w:p>
        </w:tc>
        <w:tc>
          <w:tcPr>
            <w:tcW w:w="409" w:type="pct"/>
            <w:gridSpan w:val="3"/>
          </w:tcPr>
          <w:p w14:paraId="26C1BD7E" w14:textId="6A4B535F" w:rsidR="001C678E" w:rsidRDefault="001C678E" w:rsidP="001A5D4A">
            <w:pPr>
              <w:pStyle w:val="NotesTable-CellPlain"/>
            </w:pPr>
            <w:r>
              <w:t>–</w:t>
            </w:r>
          </w:p>
        </w:tc>
        <w:tc>
          <w:tcPr>
            <w:tcW w:w="411" w:type="pct"/>
            <w:gridSpan w:val="2"/>
          </w:tcPr>
          <w:p w14:paraId="718F5014" w14:textId="66CA5853" w:rsidR="001C678E" w:rsidRDefault="001C678E" w:rsidP="001A5D4A">
            <w:pPr>
              <w:pStyle w:val="NotesTable-CellPlain"/>
            </w:pPr>
            <w:r>
              <w:t>–</w:t>
            </w:r>
          </w:p>
        </w:tc>
        <w:tc>
          <w:tcPr>
            <w:tcW w:w="426" w:type="pct"/>
            <w:gridSpan w:val="2"/>
          </w:tcPr>
          <w:p w14:paraId="22001025" w14:textId="7BAB48CE" w:rsidR="001C678E" w:rsidRDefault="001C678E" w:rsidP="001A5D4A">
            <w:pPr>
              <w:pStyle w:val="NotesTable-CellPlain"/>
            </w:pPr>
            <w:r>
              <w:t>–</w:t>
            </w:r>
          </w:p>
        </w:tc>
      </w:tr>
      <w:tr w:rsidR="00F33F3C" w14:paraId="06BA181F" w14:textId="77777777" w:rsidTr="00AE7A0B">
        <w:trPr>
          <w:trHeight w:val="181"/>
        </w:trPr>
        <w:tc>
          <w:tcPr>
            <w:tcW w:w="811" w:type="pct"/>
          </w:tcPr>
          <w:p w14:paraId="20C116A2" w14:textId="77777777" w:rsidR="00F33F3C" w:rsidRDefault="00F33F3C" w:rsidP="001A5D4A">
            <w:pPr>
              <w:pStyle w:val="Note-Refs"/>
            </w:pPr>
            <w:r>
              <w:t>AASB12.B12ii</w:t>
            </w:r>
          </w:p>
        </w:tc>
        <w:tc>
          <w:tcPr>
            <w:tcW w:w="2540" w:type="pct"/>
            <w:gridSpan w:val="4"/>
            <w:vAlign w:val="bottom"/>
          </w:tcPr>
          <w:p w14:paraId="2A8E047C" w14:textId="77777777" w:rsidR="00F33F3C" w:rsidRDefault="00F33F3C" w:rsidP="001A5D4A">
            <w:pPr>
              <w:pStyle w:val="Note-Text"/>
            </w:pPr>
            <w:r>
              <w:t>Non-current assets</w:t>
            </w:r>
          </w:p>
        </w:tc>
        <w:tc>
          <w:tcPr>
            <w:tcW w:w="403" w:type="pct"/>
            <w:gridSpan w:val="3"/>
            <w:tcBorders>
              <w:bottom w:val="single" w:sz="4" w:space="0" w:color="auto"/>
            </w:tcBorders>
          </w:tcPr>
          <w:p w14:paraId="254EE33A" w14:textId="77777777" w:rsidR="00F33F3C" w:rsidRDefault="00F33F3C" w:rsidP="001A5D4A">
            <w:pPr>
              <w:pStyle w:val="NotesTable-CellBold"/>
            </w:pPr>
            <w:r>
              <w:t>–</w:t>
            </w:r>
          </w:p>
        </w:tc>
        <w:tc>
          <w:tcPr>
            <w:tcW w:w="409" w:type="pct"/>
            <w:gridSpan w:val="3"/>
            <w:tcBorders>
              <w:bottom w:val="single" w:sz="4" w:space="0" w:color="auto"/>
            </w:tcBorders>
          </w:tcPr>
          <w:p w14:paraId="5E6FDF8E" w14:textId="77777777" w:rsidR="00F33F3C" w:rsidRDefault="00F33F3C" w:rsidP="001A5D4A">
            <w:pPr>
              <w:pStyle w:val="NotesTable-CellPlain"/>
            </w:pPr>
            <w:r>
              <w:t>–</w:t>
            </w:r>
          </w:p>
        </w:tc>
        <w:tc>
          <w:tcPr>
            <w:tcW w:w="411" w:type="pct"/>
            <w:gridSpan w:val="2"/>
            <w:tcBorders>
              <w:bottom w:val="single" w:sz="4" w:space="0" w:color="auto"/>
            </w:tcBorders>
          </w:tcPr>
          <w:p w14:paraId="04E0249E" w14:textId="77777777" w:rsidR="00F33F3C" w:rsidRDefault="00F33F3C" w:rsidP="001A5D4A">
            <w:pPr>
              <w:pStyle w:val="NotesTable-CellPlain"/>
            </w:pPr>
            <w:r>
              <w:t>–</w:t>
            </w:r>
          </w:p>
        </w:tc>
        <w:tc>
          <w:tcPr>
            <w:tcW w:w="426" w:type="pct"/>
            <w:gridSpan w:val="2"/>
            <w:tcBorders>
              <w:bottom w:val="single" w:sz="4" w:space="0" w:color="auto"/>
            </w:tcBorders>
          </w:tcPr>
          <w:p w14:paraId="25E96AFC" w14:textId="77777777" w:rsidR="00F33F3C" w:rsidRDefault="00F33F3C" w:rsidP="001A5D4A">
            <w:pPr>
              <w:pStyle w:val="NotesTable-CellPlain"/>
            </w:pPr>
            <w:r>
              <w:t>–</w:t>
            </w:r>
          </w:p>
        </w:tc>
      </w:tr>
      <w:tr w:rsidR="00F33F3C" w14:paraId="7273C7FC" w14:textId="77777777" w:rsidTr="00AE7A0B">
        <w:trPr>
          <w:trHeight w:val="181"/>
        </w:trPr>
        <w:tc>
          <w:tcPr>
            <w:tcW w:w="811" w:type="pct"/>
          </w:tcPr>
          <w:p w14:paraId="2C3C172F" w14:textId="77777777" w:rsidR="00F33F3C" w:rsidRDefault="00F33F3C" w:rsidP="001A5D4A">
            <w:pPr>
              <w:pStyle w:val="Note-Refs"/>
              <w:rPr>
                <w:b/>
              </w:rPr>
            </w:pPr>
            <w:r>
              <w:t>AASB128.37b</w:t>
            </w:r>
          </w:p>
        </w:tc>
        <w:tc>
          <w:tcPr>
            <w:tcW w:w="2540" w:type="pct"/>
            <w:gridSpan w:val="4"/>
            <w:vAlign w:val="bottom"/>
          </w:tcPr>
          <w:p w14:paraId="18522936" w14:textId="77777777" w:rsidR="00F33F3C" w:rsidRDefault="00F33F3C" w:rsidP="001A5D4A">
            <w:pPr>
              <w:pStyle w:val="Note-Text"/>
              <w:rPr>
                <w:b/>
              </w:rPr>
            </w:pPr>
            <w:r>
              <w:t>Total assets</w:t>
            </w:r>
          </w:p>
        </w:tc>
        <w:tc>
          <w:tcPr>
            <w:tcW w:w="403" w:type="pct"/>
            <w:gridSpan w:val="3"/>
            <w:tcBorders>
              <w:top w:val="single" w:sz="4" w:space="0" w:color="auto"/>
            </w:tcBorders>
          </w:tcPr>
          <w:p w14:paraId="2303CCDE" w14:textId="77777777" w:rsidR="00F33F3C" w:rsidRDefault="00F33F3C" w:rsidP="001A5D4A">
            <w:pPr>
              <w:pStyle w:val="NotesTable-CellBold"/>
            </w:pPr>
            <w:r>
              <w:t>–</w:t>
            </w:r>
          </w:p>
        </w:tc>
        <w:tc>
          <w:tcPr>
            <w:tcW w:w="409" w:type="pct"/>
            <w:gridSpan w:val="3"/>
            <w:tcBorders>
              <w:top w:val="single" w:sz="4" w:space="0" w:color="auto"/>
            </w:tcBorders>
          </w:tcPr>
          <w:p w14:paraId="63D728BA" w14:textId="77777777" w:rsidR="00F33F3C" w:rsidRDefault="00F33F3C" w:rsidP="001A5D4A">
            <w:pPr>
              <w:pStyle w:val="NotesTable-CellPlain"/>
            </w:pPr>
            <w:r>
              <w:t>–</w:t>
            </w:r>
          </w:p>
        </w:tc>
        <w:tc>
          <w:tcPr>
            <w:tcW w:w="411" w:type="pct"/>
            <w:gridSpan w:val="2"/>
            <w:tcBorders>
              <w:top w:val="single" w:sz="4" w:space="0" w:color="auto"/>
            </w:tcBorders>
          </w:tcPr>
          <w:p w14:paraId="50425DBB" w14:textId="77777777" w:rsidR="00F33F3C" w:rsidRDefault="00F33F3C" w:rsidP="001A5D4A">
            <w:pPr>
              <w:pStyle w:val="NotesTable-CellBold"/>
            </w:pPr>
            <w:r>
              <w:t>–</w:t>
            </w:r>
          </w:p>
        </w:tc>
        <w:tc>
          <w:tcPr>
            <w:tcW w:w="426" w:type="pct"/>
            <w:gridSpan w:val="2"/>
            <w:tcBorders>
              <w:top w:val="single" w:sz="4" w:space="0" w:color="auto"/>
            </w:tcBorders>
          </w:tcPr>
          <w:p w14:paraId="1D12B9EF" w14:textId="77777777" w:rsidR="00F33F3C" w:rsidRDefault="00F33F3C" w:rsidP="001A5D4A">
            <w:pPr>
              <w:pStyle w:val="NotesTable-CellPlain"/>
            </w:pPr>
            <w:r>
              <w:t>–</w:t>
            </w:r>
          </w:p>
        </w:tc>
      </w:tr>
      <w:tr w:rsidR="001C678E" w14:paraId="41A8AFFE" w14:textId="77777777" w:rsidTr="00AE7A0B">
        <w:trPr>
          <w:trHeight w:hRule="exact" w:val="85"/>
        </w:trPr>
        <w:tc>
          <w:tcPr>
            <w:tcW w:w="811" w:type="pct"/>
          </w:tcPr>
          <w:p w14:paraId="7E8DF177" w14:textId="77777777" w:rsidR="001C678E" w:rsidRDefault="001C678E" w:rsidP="001A5D4A">
            <w:pPr>
              <w:pStyle w:val="Note-Refs"/>
            </w:pPr>
          </w:p>
        </w:tc>
        <w:tc>
          <w:tcPr>
            <w:tcW w:w="2540" w:type="pct"/>
            <w:gridSpan w:val="4"/>
            <w:vAlign w:val="bottom"/>
          </w:tcPr>
          <w:p w14:paraId="26756668" w14:textId="77777777" w:rsidR="001C678E" w:rsidRDefault="001C678E" w:rsidP="001A5D4A">
            <w:pPr>
              <w:pStyle w:val="NotesTable-ItemPlain"/>
            </w:pPr>
          </w:p>
        </w:tc>
        <w:tc>
          <w:tcPr>
            <w:tcW w:w="403" w:type="pct"/>
            <w:gridSpan w:val="3"/>
          </w:tcPr>
          <w:p w14:paraId="00E66725" w14:textId="77777777" w:rsidR="001C678E" w:rsidRDefault="001C678E" w:rsidP="001A5D4A">
            <w:pPr>
              <w:pStyle w:val="NotesTable-CellBold"/>
            </w:pPr>
          </w:p>
        </w:tc>
        <w:tc>
          <w:tcPr>
            <w:tcW w:w="409" w:type="pct"/>
            <w:gridSpan w:val="3"/>
          </w:tcPr>
          <w:p w14:paraId="220FB53C" w14:textId="77777777" w:rsidR="001C678E" w:rsidRDefault="001C678E" w:rsidP="001A5D4A">
            <w:pPr>
              <w:pStyle w:val="NotesTable-CellPlain"/>
            </w:pPr>
          </w:p>
        </w:tc>
        <w:tc>
          <w:tcPr>
            <w:tcW w:w="411" w:type="pct"/>
            <w:gridSpan w:val="2"/>
          </w:tcPr>
          <w:p w14:paraId="4FA87A84" w14:textId="77777777" w:rsidR="001C678E" w:rsidRDefault="001C678E" w:rsidP="001A5D4A">
            <w:pPr>
              <w:pStyle w:val="NotesTable-CellBold"/>
            </w:pPr>
          </w:p>
        </w:tc>
        <w:tc>
          <w:tcPr>
            <w:tcW w:w="426" w:type="pct"/>
            <w:gridSpan w:val="2"/>
          </w:tcPr>
          <w:p w14:paraId="0D70F661" w14:textId="77777777" w:rsidR="001C678E" w:rsidRDefault="001C678E" w:rsidP="001A5D4A">
            <w:pPr>
              <w:pStyle w:val="NotesTable-CellPlain"/>
            </w:pPr>
          </w:p>
        </w:tc>
      </w:tr>
      <w:tr w:rsidR="00F33F3C" w14:paraId="671D88A6" w14:textId="77777777" w:rsidTr="00AE7A0B">
        <w:trPr>
          <w:trHeight w:val="181"/>
        </w:trPr>
        <w:tc>
          <w:tcPr>
            <w:tcW w:w="811" w:type="pct"/>
          </w:tcPr>
          <w:p w14:paraId="5ECBF74C" w14:textId="77777777" w:rsidR="00F33F3C" w:rsidRDefault="00F33F3C" w:rsidP="001A5D4A">
            <w:pPr>
              <w:pStyle w:val="Note-Refs"/>
            </w:pPr>
            <w:r>
              <w:t>AASB12.B12iii</w:t>
            </w:r>
          </w:p>
        </w:tc>
        <w:tc>
          <w:tcPr>
            <w:tcW w:w="2540" w:type="pct"/>
            <w:gridSpan w:val="4"/>
            <w:vAlign w:val="bottom"/>
          </w:tcPr>
          <w:p w14:paraId="51DAF5E6" w14:textId="77777777" w:rsidR="00F33F3C" w:rsidRDefault="00F33F3C" w:rsidP="001A5D4A">
            <w:pPr>
              <w:pStyle w:val="Note-Text"/>
            </w:pPr>
            <w:r>
              <w:t>Current liabilities</w:t>
            </w:r>
          </w:p>
        </w:tc>
        <w:tc>
          <w:tcPr>
            <w:tcW w:w="403" w:type="pct"/>
            <w:gridSpan w:val="3"/>
          </w:tcPr>
          <w:p w14:paraId="581869D8" w14:textId="77777777" w:rsidR="00F33F3C" w:rsidRDefault="00F33F3C" w:rsidP="001A5D4A">
            <w:pPr>
              <w:pStyle w:val="NotesTable-CellBold"/>
            </w:pPr>
            <w:r>
              <w:t>–</w:t>
            </w:r>
          </w:p>
        </w:tc>
        <w:tc>
          <w:tcPr>
            <w:tcW w:w="409" w:type="pct"/>
            <w:gridSpan w:val="3"/>
          </w:tcPr>
          <w:p w14:paraId="3BA175E3" w14:textId="77777777" w:rsidR="00F33F3C" w:rsidRDefault="00F33F3C" w:rsidP="001A5D4A">
            <w:pPr>
              <w:pStyle w:val="NotesTable-CellPlain"/>
            </w:pPr>
            <w:r>
              <w:t>–</w:t>
            </w:r>
          </w:p>
        </w:tc>
        <w:tc>
          <w:tcPr>
            <w:tcW w:w="411" w:type="pct"/>
            <w:gridSpan w:val="2"/>
          </w:tcPr>
          <w:p w14:paraId="3C3446F4" w14:textId="77777777" w:rsidR="00F33F3C" w:rsidRDefault="00F33F3C" w:rsidP="001A5D4A">
            <w:pPr>
              <w:pStyle w:val="NotesTable-CellBold"/>
            </w:pPr>
            <w:r>
              <w:t>–</w:t>
            </w:r>
          </w:p>
        </w:tc>
        <w:tc>
          <w:tcPr>
            <w:tcW w:w="426" w:type="pct"/>
            <w:gridSpan w:val="2"/>
          </w:tcPr>
          <w:p w14:paraId="3C92CF0A" w14:textId="77777777" w:rsidR="00F33F3C" w:rsidRDefault="00F33F3C" w:rsidP="001A5D4A">
            <w:pPr>
              <w:pStyle w:val="NotesTable-CellPlain"/>
            </w:pPr>
            <w:r>
              <w:t>–</w:t>
            </w:r>
          </w:p>
        </w:tc>
      </w:tr>
      <w:tr w:rsidR="001C678E" w14:paraId="22B7BD72" w14:textId="77777777" w:rsidTr="00AE7A0B">
        <w:trPr>
          <w:trHeight w:val="181"/>
        </w:trPr>
        <w:tc>
          <w:tcPr>
            <w:tcW w:w="811" w:type="pct"/>
          </w:tcPr>
          <w:p w14:paraId="02F38B86" w14:textId="7DEB82D2" w:rsidR="001C678E" w:rsidRDefault="001C678E" w:rsidP="001A5D4A">
            <w:pPr>
              <w:pStyle w:val="Note-Refs"/>
            </w:pPr>
            <w:r>
              <w:t>AASB12.B13b</w:t>
            </w:r>
          </w:p>
        </w:tc>
        <w:tc>
          <w:tcPr>
            <w:tcW w:w="2540" w:type="pct"/>
            <w:gridSpan w:val="4"/>
            <w:vAlign w:val="bottom"/>
          </w:tcPr>
          <w:p w14:paraId="543C47D4" w14:textId="0F36E5F1" w:rsidR="001C678E" w:rsidRDefault="001C678E" w:rsidP="001A5D4A">
            <w:pPr>
              <w:pStyle w:val="Note-Text"/>
            </w:pPr>
            <w:r>
              <w:t>Current financial liabilities (excl. trade and other payables and provisions)</w:t>
            </w:r>
          </w:p>
        </w:tc>
        <w:tc>
          <w:tcPr>
            <w:tcW w:w="403" w:type="pct"/>
            <w:gridSpan w:val="3"/>
          </w:tcPr>
          <w:p w14:paraId="279C7A0B" w14:textId="329C059A" w:rsidR="001C678E" w:rsidRDefault="001C678E" w:rsidP="001A5D4A">
            <w:pPr>
              <w:pStyle w:val="NotesTable-CellBold"/>
            </w:pPr>
            <w:r>
              <w:t>–</w:t>
            </w:r>
          </w:p>
        </w:tc>
        <w:tc>
          <w:tcPr>
            <w:tcW w:w="409" w:type="pct"/>
            <w:gridSpan w:val="3"/>
          </w:tcPr>
          <w:p w14:paraId="3902C34D" w14:textId="268FB545" w:rsidR="001C678E" w:rsidRDefault="001C678E" w:rsidP="001A5D4A">
            <w:pPr>
              <w:pStyle w:val="NotesTable-CellPlain"/>
            </w:pPr>
            <w:r>
              <w:t>–</w:t>
            </w:r>
          </w:p>
        </w:tc>
        <w:tc>
          <w:tcPr>
            <w:tcW w:w="411" w:type="pct"/>
            <w:gridSpan w:val="2"/>
          </w:tcPr>
          <w:p w14:paraId="3A0B2981" w14:textId="7229E71D" w:rsidR="001C678E" w:rsidRDefault="001C678E" w:rsidP="001A5D4A">
            <w:pPr>
              <w:pStyle w:val="NotesTable-CellBold"/>
            </w:pPr>
            <w:r>
              <w:t>–</w:t>
            </w:r>
          </w:p>
        </w:tc>
        <w:tc>
          <w:tcPr>
            <w:tcW w:w="426" w:type="pct"/>
            <w:gridSpan w:val="2"/>
          </w:tcPr>
          <w:p w14:paraId="59440D1B" w14:textId="4C943593" w:rsidR="001C678E" w:rsidRDefault="001C678E" w:rsidP="001A5D4A">
            <w:pPr>
              <w:pStyle w:val="NotesTable-CellPlain"/>
            </w:pPr>
            <w:r>
              <w:t>–</w:t>
            </w:r>
          </w:p>
        </w:tc>
      </w:tr>
      <w:tr w:rsidR="00F33F3C" w14:paraId="17169742" w14:textId="77777777" w:rsidTr="00AE7A0B">
        <w:trPr>
          <w:trHeight w:val="181"/>
        </w:trPr>
        <w:tc>
          <w:tcPr>
            <w:tcW w:w="811" w:type="pct"/>
          </w:tcPr>
          <w:p w14:paraId="73103639" w14:textId="77777777" w:rsidR="00F33F3C" w:rsidRDefault="00F33F3C" w:rsidP="001A5D4A">
            <w:pPr>
              <w:pStyle w:val="Note-Refs"/>
            </w:pPr>
            <w:r>
              <w:t>AASB12.B12iv</w:t>
            </w:r>
          </w:p>
        </w:tc>
        <w:tc>
          <w:tcPr>
            <w:tcW w:w="2540" w:type="pct"/>
            <w:gridSpan w:val="4"/>
            <w:vAlign w:val="bottom"/>
          </w:tcPr>
          <w:p w14:paraId="4FFD1474" w14:textId="77777777" w:rsidR="00F33F3C" w:rsidRDefault="00F33F3C" w:rsidP="001A5D4A">
            <w:pPr>
              <w:pStyle w:val="Note-Text"/>
            </w:pPr>
            <w:r>
              <w:t>Non-current liabilities</w:t>
            </w:r>
          </w:p>
        </w:tc>
        <w:tc>
          <w:tcPr>
            <w:tcW w:w="403" w:type="pct"/>
            <w:gridSpan w:val="3"/>
          </w:tcPr>
          <w:p w14:paraId="3B06879F" w14:textId="77777777" w:rsidR="00F33F3C" w:rsidRDefault="00F33F3C" w:rsidP="001A5D4A">
            <w:pPr>
              <w:pStyle w:val="NotesTable-CellBold"/>
            </w:pPr>
            <w:r>
              <w:t>–</w:t>
            </w:r>
          </w:p>
        </w:tc>
        <w:tc>
          <w:tcPr>
            <w:tcW w:w="409" w:type="pct"/>
            <w:gridSpan w:val="3"/>
          </w:tcPr>
          <w:p w14:paraId="048DC4AB" w14:textId="77777777" w:rsidR="00F33F3C" w:rsidRDefault="00F33F3C" w:rsidP="001A5D4A">
            <w:pPr>
              <w:pStyle w:val="NotesTable-CellPlain"/>
            </w:pPr>
            <w:r>
              <w:t>–</w:t>
            </w:r>
          </w:p>
        </w:tc>
        <w:tc>
          <w:tcPr>
            <w:tcW w:w="411" w:type="pct"/>
            <w:gridSpan w:val="2"/>
          </w:tcPr>
          <w:p w14:paraId="4DBE88CC" w14:textId="77777777" w:rsidR="00F33F3C" w:rsidRDefault="00F33F3C" w:rsidP="001A5D4A">
            <w:pPr>
              <w:pStyle w:val="NotesTable-CellBold"/>
            </w:pPr>
            <w:r>
              <w:t>–</w:t>
            </w:r>
          </w:p>
        </w:tc>
        <w:tc>
          <w:tcPr>
            <w:tcW w:w="426" w:type="pct"/>
            <w:gridSpan w:val="2"/>
          </w:tcPr>
          <w:p w14:paraId="2192C830" w14:textId="77777777" w:rsidR="00F33F3C" w:rsidRDefault="00F33F3C" w:rsidP="001A5D4A">
            <w:pPr>
              <w:pStyle w:val="NotesTable-CellPlain"/>
            </w:pPr>
            <w:r>
              <w:t>–</w:t>
            </w:r>
          </w:p>
        </w:tc>
      </w:tr>
      <w:tr w:rsidR="000840FF" w14:paraId="552BA5E9" w14:textId="77777777" w:rsidTr="00AE7A0B">
        <w:trPr>
          <w:trHeight w:val="181"/>
        </w:trPr>
        <w:tc>
          <w:tcPr>
            <w:tcW w:w="811" w:type="pct"/>
          </w:tcPr>
          <w:p w14:paraId="1BF14451" w14:textId="77777777" w:rsidR="000840FF" w:rsidRDefault="000840FF" w:rsidP="001A5D4A">
            <w:pPr>
              <w:pStyle w:val="Note-Refs"/>
            </w:pPr>
          </w:p>
        </w:tc>
        <w:tc>
          <w:tcPr>
            <w:tcW w:w="2540" w:type="pct"/>
            <w:gridSpan w:val="4"/>
            <w:vAlign w:val="bottom"/>
          </w:tcPr>
          <w:p w14:paraId="11D69864" w14:textId="5B9375B7" w:rsidR="000840FF" w:rsidRDefault="000840FF" w:rsidP="001A5D4A">
            <w:pPr>
              <w:pStyle w:val="Note-Text"/>
            </w:pPr>
            <w:r>
              <w:t>Non-c</w:t>
            </w:r>
            <w:r w:rsidRPr="001C678E">
              <w:t>urrent financial liabilities (excl. trade and other payables and provisions)</w:t>
            </w:r>
          </w:p>
        </w:tc>
        <w:tc>
          <w:tcPr>
            <w:tcW w:w="403" w:type="pct"/>
            <w:gridSpan w:val="3"/>
          </w:tcPr>
          <w:p w14:paraId="70A0FA4F" w14:textId="023A3844" w:rsidR="000840FF" w:rsidRDefault="000840FF" w:rsidP="001A5D4A">
            <w:pPr>
              <w:pStyle w:val="NotesTable-CellBold"/>
            </w:pPr>
            <w:r>
              <w:t>–</w:t>
            </w:r>
          </w:p>
        </w:tc>
        <w:tc>
          <w:tcPr>
            <w:tcW w:w="409" w:type="pct"/>
            <w:gridSpan w:val="3"/>
          </w:tcPr>
          <w:p w14:paraId="6AAF9B90" w14:textId="0E8D3F1B" w:rsidR="000840FF" w:rsidRDefault="000840FF" w:rsidP="001A5D4A">
            <w:pPr>
              <w:pStyle w:val="NotesTable-CellPlain"/>
            </w:pPr>
            <w:r>
              <w:t>–</w:t>
            </w:r>
          </w:p>
        </w:tc>
        <w:tc>
          <w:tcPr>
            <w:tcW w:w="411" w:type="pct"/>
            <w:gridSpan w:val="2"/>
          </w:tcPr>
          <w:p w14:paraId="6DEFCEAF" w14:textId="5BBA9D57" w:rsidR="000840FF" w:rsidRDefault="000840FF" w:rsidP="001A5D4A">
            <w:pPr>
              <w:pStyle w:val="NotesTable-CellBold"/>
            </w:pPr>
            <w:r>
              <w:t>–</w:t>
            </w:r>
          </w:p>
        </w:tc>
        <w:tc>
          <w:tcPr>
            <w:tcW w:w="426" w:type="pct"/>
            <w:gridSpan w:val="2"/>
          </w:tcPr>
          <w:p w14:paraId="23D8F494" w14:textId="2132FBBB" w:rsidR="000840FF" w:rsidRDefault="000840FF" w:rsidP="001A5D4A">
            <w:pPr>
              <w:pStyle w:val="NotesTable-CellPlain"/>
            </w:pPr>
            <w:r>
              <w:t>–</w:t>
            </w:r>
          </w:p>
        </w:tc>
      </w:tr>
      <w:tr w:rsidR="00F33F3C" w14:paraId="19B929FE" w14:textId="77777777" w:rsidTr="00AE7A0B">
        <w:trPr>
          <w:trHeight w:val="181"/>
        </w:trPr>
        <w:tc>
          <w:tcPr>
            <w:tcW w:w="811" w:type="pct"/>
          </w:tcPr>
          <w:p w14:paraId="58B56CD5" w14:textId="77777777" w:rsidR="00F33F3C" w:rsidRDefault="00F33F3C" w:rsidP="001A5D4A">
            <w:pPr>
              <w:pStyle w:val="Note-Refs"/>
            </w:pPr>
          </w:p>
        </w:tc>
        <w:tc>
          <w:tcPr>
            <w:tcW w:w="2540" w:type="pct"/>
            <w:gridSpan w:val="4"/>
            <w:vAlign w:val="bottom"/>
          </w:tcPr>
          <w:p w14:paraId="431D0783" w14:textId="77777777" w:rsidR="00F33F3C" w:rsidRDefault="00F33F3C" w:rsidP="001A5D4A">
            <w:pPr>
              <w:pStyle w:val="Note-Text"/>
              <w:rPr>
                <w:b/>
              </w:rPr>
            </w:pPr>
            <w:r>
              <w:t>Total liabilities</w:t>
            </w:r>
          </w:p>
        </w:tc>
        <w:tc>
          <w:tcPr>
            <w:tcW w:w="403" w:type="pct"/>
            <w:gridSpan w:val="3"/>
            <w:tcBorders>
              <w:bottom w:val="single" w:sz="4" w:space="0" w:color="auto"/>
            </w:tcBorders>
          </w:tcPr>
          <w:p w14:paraId="4BB60827" w14:textId="77777777" w:rsidR="00F33F3C" w:rsidRDefault="00F33F3C" w:rsidP="001A5D4A">
            <w:pPr>
              <w:pStyle w:val="NotesTable-CellBold"/>
            </w:pPr>
            <w:r>
              <w:t>–</w:t>
            </w:r>
          </w:p>
        </w:tc>
        <w:tc>
          <w:tcPr>
            <w:tcW w:w="409" w:type="pct"/>
            <w:gridSpan w:val="3"/>
            <w:tcBorders>
              <w:bottom w:val="single" w:sz="4" w:space="0" w:color="auto"/>
            </w:tcBorders>
          </w:tcPr>
          <w:p w14:paraId="216398A9" w14:textId="77777777" w:rsidR="00F33F3C" w:rsidRDefault="00F33F3C" w:rsidP="001A5D4A">
            <w:pPr>
              <w:pStyle w:val="NotesTable-CellPlain"/>
            </w:pPr>
            <w:r>
              <w:t>–</w:t>
            </w:r>
          </w:p>
        </w:tc>
        <w:tc>
          <w:tcPr>
            <w:tcW w:w="411" w:type="pct"/>
            <w:gridSpan w:val="2"/>
            <w:tcBorders>
              <w:bottom w:val="single" w:sz="4" w:space="0" w:color="auto"/>
            </w:tcBorders>
          </w:tcPr>
          <w:p w14:paraId="04E452BB" w14:textId="77777777" w:rsidR="00F33F3C" w:rsidRDefault="00F33F3C" w:rsidP="001A5D4A">
            <w:pPr>
              <w:pStyle w:val="NotesTable-CellBold"/>
            </w:pPr>
            <w:r>
              <w:t>–</w:t>
            </w:r>
          </w:p>
        </w:tc>
        <w:tc>
          <w:tcPr>
            <w:tcW w:w="426" w:type="pct"/>
            <w:gridSpan w:val="2"/>
            <w:tcBorders>
              <w:bottom w:val="single" w:sz="4" w:space="0" w:color="auto"/>
            </w:tcBorders>
          </w:tcPr>
          <w:p w14:paraId="4646806A" w14:textId="77777777" w:rsidR="00F33F3C" w:rsidRDefault="00F33F3C" w:rsidP="001A5D4A">
            <w:pPr>
              <w:pStyle w:val="NotesTable-CellPlain"/>
            </w:pPr>
            <w:r>
              <w:t>–</w:t>
            </w:r>
          </w:p>
        </w:tc>
      </w:tr>
      <w:tr w:rsidR="00F33F3C" w14:paraId="3741198C" w14:textId="77777777" w:rsidTr="00AE7A0B">
        <w:trPr>
          <w:trHeight w:val="181"/>
        </w:trPr>
        <w:tc>
          <w:tcPr>
            <w:tcW w:w="811" w:type="pct"/>
          </w:tcPr>
          <w:p w14:paraId="6F8CB3B0" w14:textId="77777777" w:rsidR="00F33F3C" w:rsidRDefault="00F33F3C" w:rsidP="001A5D4A">
            <w:pPr>
              <w:pStyle w:val="Note-Refs"/>
            </w:pPr>
          </w:p>
        </w:tc>
        <w:tc>
          <w:tcPr>
            <w:tcW w:w="2540" w:type="pct"/>
            <w:gridSpan w:val="4"/>
            <w:vAlign w:val="bottom"/>
          </w:tcPr>
          <w:p w14:paraId="03D64C8B" w14:textId="77777777" w:rsidR="00F33F3C" w:rsidRDefault="00F33F3C" w:rsidP="001A5D4A">
            <w:pPr>
              <w:pStyle w:val="Note-Text"/>
              <w:rPr>
                <w:b/>
              </w:rPr>
            </w:pPr>
            <w:r>
              <w:t>Net assets</w:t>
            </w:r>
          </w:p>
        </w:tc>
        <w:tc>
          <w:tcPr>
            <w:tcW w:w="403" w:type="pct"/>
            <w:gridSpan w:val="3"/>
            <w:tcBorders>
              <w:top w:val="single" w:sz="4" w:space="0" w:color="auto"/>
              <w:bottom w:val="single" w:sz="4" w:space="0" w:color="auto"/>
            </w:tcBorders>
          </w:tcPr>
          <w:p w14:paraId="4F432FA9" w14:textId="77777777" w:rsidR="00F33F3C" w:rsidRDefault="00F33F3C" w:rsidP="001A5D4A">
            <w:pPr>
              <w:pStyle w:val="NotesTable-CellBold"/>
            </w:pPr>
            <w:r>
              <w:t>–</w:t>
            </w:r>
          </w:p>
        </w:tc>
        <w:tc>
          <w:tcPr>
            <w:tcW w:w="409" w:type="pct"/>
            <w:gridSpan w:val="3"/>
            <w:tcBorders>
              <w:top w:val="single" w:sz="4" w:space="0" w:color="auto"/>
              <w:bottom w:val="single" w:sz="4" w:space="0" w:color="auto"/>
            </w:tcBorders>
          </w:tcPr>
          <w:p w14:paraId="5F8844F4" w14:textId="77777777" w:rsidR="00F33F3C" w:rsidRDefault="00F33F3C" w:rsidP="001A5D4A">
            <w:pPr>
              <w:pStyle w:val="NotesTable-CellPlain"/>
            </w:pPr>
            <w:r>
              <w:t>–</w:t>
            </w:r>
          </w:p>
        </w:tc>
        <w:tc>
          <w:tcPr>
            <w:tcW w:w="411" w:type="pct"/>
            <w:gridSpan w:val="2"/>
            <w:tcBorders>
              <w:top w:val="single" w:sz="4" w:space="0" w:color="auto"/>
              <w:bottom w:val="single" w:sz="4" w:space="0" w:color="auto"/>
            </w:tcBorders>
          </w:tcPr>
          <w:p w14:paraId="09CA2753" w14:textId="77777777" w:rsidR="00F33F3C" w:rsidRDefault="00F33F3C" w:rsidP="001A5D4A">
            <w:pPr>
              <w:pStyle w:val="NotesTable-CellBold"/>
            </w:pPr>
            <w:r>
              <w:t>–</w:t>
            </w:r>
          </w:p>
        </w:tc>
        <w:tc>
          <w:tcPr>
            <w:tcW w:w="426" w:type="pct"/>
            <w:gridSpan w:val="2"/>
            <w:tcBorders>
              <w:top w:val="single" w:sz="4" w:space="0" w:color="auto"/>
              <w:bottom w:val="single" w:sz="4" w:space="0" w:color="auto"/>
            </w:tcBorders>
          </w:tcPr>
          <w:p w14:paraId="2B535719" w14:textId="77777777" w:rsidR="00F33F3C" w:rsidRDefault="00F33F3C" w:rsidP="001A5D4A">
            <w:pPr>
              <w:pStyle w:val="NotesTable-CellPlain"/>
            </w:pPr>
            <w:r>
              <w:t>–</w:t>
            </w:r>
          </w:p>
        </w:tc>
      </w:tr>
      <w:tr w:rsidR="00F33F3C" w14:paraId="0DC17ED6" w14:textId="77777777" w:rsidTr="00AE7A0B">
        <w:trPr>
          <w:trHeight w:val="181"/>
        </w:trPr>
        <w:tc>
          <w:tcPr>
            <w:tcW w:w="811" w:type="pct"/>
          </w:tcPr>
          <w:p w14:paraId="577DE3EE" w14:textId="77777777" w:rsidR="00F33F3C" w:rsidRDefault="00F33F3C" w:rsidP="001A5D4A">
            <w:pPr>
              <w:pStyle w:val="Note-Refs"/>
            </w:pPr>
          </w:p>
        </w:tc>
        <w:tc>
          <w:tcPr>
            <w:tcW w:w="2540" w:type="pct"/>
            <w:gridSpan w:val="4"/>
            <w:vAlign w:val="bottom"/>
          </w:tcPr>
          <w:p w14:paraId="139DF3A9" w14:textId="55D97351" w:rsidR="00F33F3C" w:rsidRDefault="00F33F3C" w:rsidP="001A5D4A">
            <w:pPr>
              <w:pStyle w:val="Note-Text"/>
              <w:rPr>
                <w:b/>
              </w:rPr>
            </w:pPr>
            <w:r>
              <w:t xml:space="preserve">Share of </w:t>
            </w:r>
            <w:r w:rsidR="00043A6F">
              <w:t>joint ventures’</w:t>
            </w:r>
            <w:r>
              <w:t xml:space="preserve"> net assets</w:t>
            </w:r>
          </w:p>
        </w:tc>
        <w:tc>
          <w:tcPr>
            <w:tcW w:w="403" w:type="pct"/>
            <w:gridSpan w:val="3"/>
            <w:tcBorders>
              <w:top w:val="single" w:sz="4" w:space="0" w:color="auto"/>
            </w:tcBorders>
          </w:tcPr>
          <w:p w14:paraId="2D9957D6" w14:textId="77777777" w:rsidR="00F33F3C" w:rsidRDefault="00F33F3C" w:rsidP="001A5D4A">
            <w:pPr>
              <w:pStyle w:val="NotesTable-CellBold"/>
            </w:pPr>
            <w:r>
              <w:t>–</w:t>
            </w:r>
          </w:p>
        </w:tc>
        <w:tc>
          <w:tcPr>
            <w:tcW w:w="409" w:type="pct"/>
            <w:gridSpan w:val="3"/>
            <w:tcBorders>
              <w:top w:val="single" w:sz="4" w:space="0" w:color="auto"/>
            </w:tcBorders>
          </w:tcPr>
          <w:p w14:paraId="6ECB847B" w14:textId="77777777" w:rsidR="00F33F3C" w:rsidRDefault="00F33F3C" w:rsidP="001A5D4A">
            <w:pPr>
              <w:pStyle w:val="NotesTable-CellPlain"/>
            </w:pPr>
            <w:r>
              <w:t>–</w:t>
            </w:r>
          </w:p>
        </w:tc>
        <w:tc>
          <w:tcPr>
            <w:tcW w:w="411" w:type="pct"/>
            <w:gridSpan w:val="2"/>
            <w:tcBorders>
              <w:top w:val="single" w:sz="4" w:space="0" w:color="auto"/>
            </w:tcBorders>
          </w:tcPr>
          <w:p w14:paraId="10A6576D" w14:textId="77777777" w:rsidR="00F33F3C" w:rsidRDefault="00F33F3C" w:rsidP="001A5D4A">
            <w:pPr>
              <w:pStyle w:val="NotesTable-CellBold"/>
            </w:pPr>
            <w:r>
              <w:t>–</w:t>
            </w:r>
          </w:p>
        </w:tc>
        <w:tc>
          <w:tcPr>
            <w:tcW w:w="426" w:type="pct"/>
            <w:gridSpan w:val="2"/>
            <w:tcBorders>
              <w:top w:val="single" w:sz="4" w:space="0" w:color="auto"/>
            </w:tcBorders>
          </w:tcPr>
          <w:p w14:paraId="5874A3EC" w14:textId="77777777" w:rsidR="00F33F3C" w:rsidRDefault="00F33F3C" w:rsidP="001A5D4A">
            <w:pPr>
              <w:pStyle w:val="NotesTable-CellPlain"/>
            </w:pPr>
            <w:r>
              <w:t>–</w:t>
            </w:r>
          </w:p>
        </w:tc>
      </w:tr>
      <w:tr w:rsidR="00F33F3C" w14:paraId="0C30387A" w14:textId="77777777" w:rsidTr="00AE7A0B">
        <w:trPr>
          <w:trHeight w:val="181"/>
        </w:trPr>
        <w:tc>
          <w:tcPr>
            <w:tcW w:w="811" w:type="pct"/>
          </w:tcPr>
          <w:p w14:paraId="532B9302" w14:textId="77777777" w:rsidR="00F33F3C" w:rsidRDefault="00F33F3C" w:rsidP="001A5D4A">
            <w:pPr>
              <w:pStyle w:val="Note-Refs"/>
            </w:pPr>
          </w:p>
        </w:tc>
        <w:tc>
          <w:tcPr>
            <w:tcW w:w="4189" w:type="pct"/>
            <w:gridSpan w:val="14"/>
            <w:vAlign w:val="bottom"/>
          </w:tcPr>
          <w:p w14:paraId="49B3A791" w14:textId="77777777" w:rsidR="00F33F3C" w:rsidRDefault="00F33F3C" w:rsidP="001A5D4A">
            <w:pPr>
              <w:pStyle w:val="NotesTable-HeadPlain"/>
            </w:pPr>
          </w:p>
        </w:tc>
      </w:tr>
      <w:tr w:rsidR="00F33F3C" w14:paraId="1884261F" w14:textId="77777777" w:rsidTr="00AE7A0B">
        <w:trPr>
          <w:trHeight w:val="181"/>
        </w:trPr>
        <w:tc>
          <w:tcPr>
            <w:tcW w:w="811" w:type="pct"/>
          </w:tcPr>
          <w:p w14:paraId="30F348C8" w14:textId="77777777" w:rsidR="00F33F3C" w:rsidRDefault="00F33F3C" w:rsidP="001A5D4A">
            <w:pPr>
              <w:pStyle w:val="Note-Refs"/>
            </w:pPr>
            <w:r>
              <w:t>AASB12.B14</w:t>
            </w:r>
          </w:p>
        </w:tc>
        <w:tc>
          <w:tcPr>
            <w:tcW w:w="4189" w:type="pct"/>
            <w:gridSpan w:val="14"/>
            <w:vAlign w:val="bottom"/>
          </w:tcPr>
          <w:p w14:paraId="003BFDCC" w14:textId="77777777" w:rsidR="00F33F3C" w:rsidRDefault="00F33F3C" w:rsidP="001A5D4A">
            <w:pPr>
              <w:pStyle w:val="Note-TextHeader"/>
              <w:rPr>
                <w:lang w:val="en-GB"/>
              </w:rPr>
            </w:pPr>
            <w:r>
              <w:t>Reconciliation of carrying amounts:</w:t>
            </w:r>
          </w:p>
        </w:tc>
      </w:tr>
      <w:tr w:rsidR="00F33F3C" w14:paraId="127DC88E" w14:textId="77777777" w:rsidTr="00AE7A0B">
        <w:trPr>
          <w:trHeight w:val="181"/>
        </w:trPr>
        <w:tc>
          <w:tcPr>
            <w:tcW w:w="811" w:type="pct"/>
          </w:tcPr>
          <w:p w14:paraId="20B730C8" w14:textId="44E63F38" w:rsidR="00F33F3C" w:rsidRDefault="00F33F3C" w:rsidP="001A5D4A">
            <w:pPr>
              <w:pStyle w:val="Note-Refs"/>
            </w:pPr>
          </w:p>
        </w:tc>
        <w:tc>
          <w:tcPr>
            <w:tcW w:w="2540" w:type="pct"/>
            <w:gridSpan w:val="4"/>
            <w:vAlign w:val="bottom"/>
          </w:tcPr>
          <w:p w14:paraId="2ED72F5F" w14:textId="77777777" w:rsidR="00F33F3C" w:rsidRDefault="00F33F3C" w:rsidP="001A5D4A">
            <w:pPr>
              <w:pStyle w:val="Note-Text"/>
            </w:pPr>
            <w:r>
              <w:t xml:space="preserve">Balance at 1 January </w:t>
            </w:r>
          </w:p>
        </w:tc>
        <w:tc>
          <w:tcPr>
            <w:tcW w:w="403" w:type="pct"/>
            <w:gridSpan w:val="3"/>
          </w:tcPr>
          <w:p w14:paraId="10411CD7" w14:textId="77777777" w:rsidR="00F33F3C" w:rsidRDefault="00F33F3C" w:rsidP="001A5D4A">
            <w:pPr>
              <w:pStyle w:val="NotesTable-CellBold"/>
            </w:pPr>
            <w:r>
              <w:t>–</w:t>
            </w:r>
          </w:p>
        </w:tc>
        <w:tc>
          <w:tcPr>
            <w:tcW w:w="409" w:type="pct"/>
            <w:gridSpan w:val="3"/>
          </w:tcPr>
          <w:p w14:paraId="2CFC28F7" w14:textId="77777777" w:rsidR="00F33F3C" w:rsidRDefault="00F33F3C" w:rsidP="001A5D4A">
            <w:pPr>
              <w:pStyle w:val="NotesTable-CellPlain"/>
            </w:pPr>
            <w:r>
              <w:t>–</w:t>
            </w:r>
          </w:p>
        </w:tc>
        <w:tc>
          <w:tcPr>
            <w:tcW w:w="411" w:type="pct"/>
            <w:gridSpan w:val="2"/>
          </w:tcPr>
          <w:p w14:paraId="60BC62CC" w14:textId="77777777" w:rsidR="00F33F3C" w:rsidRDefault="00F33F3C" w:rsidP="001A5D4A">
            <w:pPr>
              <w:pStyle w:val="NotesTable-CellBold"/>
            </w:pPr>
            <w:r>
              <w:t>–</w:t>
            </w:r>
          </w:p>
        </w:tc>
        <w:tc>
          <w:tcPr>
            <w:tcW w:w="426" w:type="pct"/>
            <w:gridSpan w:val="2"/>
          </w:tcPr>
          <w:p w14:paraId="3627087F" w14:textId="77777777" w:rsidR="00F33F3C" w:rsidRDefault="00F33F3C" w:rsidP="001A5D4A">
            <w:pPr>
              <w:pStyle w:val="NotesTable-CellPlain"/>
            </w:pPr>
            <w:r>
              <w:t>–</w:t>
            </w:r>
          </w:p>
        </w:tc>
      </w:tr>
      <w:tr w:rsidR="00F33F3C" w14:paraId="246C0F60" w14:textId="77777777" w:rsidTr="00AE7A0B">
        <w:trPr>
          <w:trHeight w:val="181"/>
        </w:trPr>
        <w:tc>
          <w:tcPr>
            <w:tcW w:w="811" w:type="pct"/>
          </w:tcPr>
          <w:p w14:paraId="7E83AFF2" w14:textId="77777777" w:rsidR="00F33F3C" w:rsidRDefault="00F33F3C" w:rsidP="001A5D4A">
            <w:pPr>
              <w:pStyle w:val="Note-Refs"/>
            </w:pPr>
          </w:p>
        </w:tc>
        <w:tc>
          <w:tcPr>
            <w:tcW w:w="2540" w:type="pct"/>
            <w:gridSpan w:val="4"/>
            <w:vAlign w:val="bottom"/>
          </w:tcPr>
          <w:p w14:paraId="1D01D83E" w14:textId="77777777" w:rsidR="00F33F3C" w:rsidRDefault="00F33F3C" w:rsidP="001A5D4A">
            <w:pPr>
              <w:pStyle w:val="Note-Text"/>
            </w:pPr>
            <w:r>
              <w:t>Share of profit for year</w:t>
            </w:r>
          </w:p>
        </w:tc>
        <w:tc>
          <w:tcPr>
            <w:tcW w:w="403" w:type="pct"/>
            <w:gridSpan w:val="3"/>
          </w:tcPr>
          <w:p w14:paraId="6AD189A1" w14:textId="77777777" w:rsidR="00F33F3C" w:rsidRDefault="00F33F3C" w:rsidP="001A5D4A">
            <w:pPr>
              <w:pStyle w:val="NotesTable-CellBold"/>
            </w:pPr>
            <w:r>
              <w:t>–</w:t>
            </w:r>
          </w:p>
        </w:tc>
        <w:tc>
          <w:tcPr>
            <w:tcW w:w="409" w:type="pct"/>
            <w:gridSpan w:val="3"/>
          </w:tcPr>
          <w:p w14:paraId="0399CDCB" w14:textId="77777777" w:rsidR="00F33F3C" w:rsidRDefault="00F33F3C" w:rsidP="001A5D4A">
            <w:pPr>
              <w:pStyle w:val="NotesTable-CellPlain"/>
            </w:pPr>
            <w:r>
              <w:t>–</w:t>
            </w:r>
          </w:p>
        </w:tc>
        <w:tc>
          <w:tcPr>
            <w:tcW w:w="411" w:type="pct"/>
            <w:gridSpan w:val="2"/>
          </w:tcPr>
          <w:p w14:paraId="3E78923A" w14:textId="77777777" w:rsidR="00F33F3C" w:rsidRDefault="00F33F3C" w:rsidP="001A5D4A">
            <w:pPr>
              <w:pStyle w:val="NotesTable-CellBold"/>
            </w:pPr>
            <w:r>
              <w:t>–</w:t>
            </w:r>
          </w:p>
        </w:tc>
        <w:tc>
          <w:tcPr>
            <w:tcW w:w="426" w:type="pct"/>
            <w:gridSpan w:val="2"/>
          </w:tcPr>
          <w:p w14:paraId="328E9EBA" w14:textId="77777777" w:rsidR="00F33F3C" w:rsidRDefault="00F33F3C" w:rsidP="001A5D4A">
            <w:pPr>
              <w:pStyle w:val="NotesTable-CellPlain"/>
            </w:pPr>
            <w:r>
              <w:t>–</w:t>
            </w:r>
          </w:p>
        </w:tc>
      </w:tr>
      <w:tr w:rsidR="00F33F3C" w14:paraId="7AE59A8C" w14:textId="77777777" w:rsidTr="00AE7A0B">
        <w:trPr>
          <w:trHeight w:val="181"/>
        </w:trPr>
        <w:tc>
          <w:tcPr>
            <w:tcW w:w="811" w:type="pct"/>
          </w:tcPr>
          <w:p w14:paraId="6096AC7E" w14:textId="77777777" w:rsidR="00F33F3C" w:rsidRDefault="00F33F3C" w:rsidP="001A5D4A">
            <w:pPr>
              <w:pStyle w:val="Note-Refs"/>
            </w:pPr>
          </w:p>
        </w:tc>
        <w:tc>
          <w:tcPr>
            <w:tcW w:w="2540" w:type="pct"/>
            <w:gridSpan w:val="4"/>
            <w:vAlign w:val="bottom"/>
          </w:tcPr>
          <w:p w14:paraId="0F6436B7" w14:textId="77777777" w:rsidR="00F33F3C" w:rsidRDefault="00F33F3C" w:rsidP="001A5D4A">
            <w:pPr>
              <w:pStyle w:val="Note-Text"/>
              <w:rPr>
                <w:b/>
              </w:rPr>
            </w:pPr>
            <w:r>
              <w:t>Share of other comprehensive income for the period</w:t>
            </w:r>
          </w:p>
        </w:tc>
        <w:tc>
          <w:tcPr>
            <w:tcW w:w="403" w:type="pct"/>
            <w:gridSpan w:val="3"/>
          </w:tcPr>
          <w:p w14:paraId="1293D543" w14:textId="77777777" w:rsidR="00F33F3C" w:rsidRDefault="00F33F3C" w:rsidP="001A5D4A">
            <w:pPr>
              <w:pStyle w:val="NotesTable-CellBold"/>
            </w:pPr>
            <w:r>
              <w:t>–</w:t>
            </w:r>
          </w:p>
        </w:tc>
        <w:tc>
          <w:tcPr>
            <w:tcW w:w="409" w:type="pct"/>
            <w:gridSpan w:val="3"/>
          </w:tcPr>
          <w:p w14:paraId="4C692974" w14:textId="77777777" w:rsidR="00F33F3C" w:rsidRDefault="00F33F3C" w:rsidP="001A5D4A">
            <w:pPr>
              <w:pStyle w:val="NotesTable-CellPlain"/>
            </w:pPr>
            <w:r>
              <w:t>–</w:t>
            </w:r>
          </w:p>
        </w:tc>
        <w:tc>
          <w:tcPr>
            <w:tcW w:w="411" w:type="pct"/>
            <w:gridSpan w:val="2"/>
          </w:tcPr>
          <w:p w14:paraId="7968373B" w14:textId="77777777" w:rsidR="00F33F3C" w:rsidRDefault="00F33F3C" w:rsidP="001A5D4A">
            <w:pPr>
              <w:pStyle w:val="NotesTable-CellBold"/>
            </w:pPr>
            <w:r>
              <w:t>–</w:t>
            </w:r>
          </w:p>
        </w:tc>
        <w:tc>
          <w:tcPr>
            <w:tcW w:w="426" w:type="pct"/>
            <w:gridSpan w:val="2"/>
          </w:tcPr>
          <w:p w14:paraId="2E1BC872" w14:textId="77777777" w:rsidR="00F33F3C" w:rsidRDefault="00F33F3C" w:rsidP="001A5D4A">
            <w:pPr>
              <w:pStyle w:val="NotesTable-CellPlain"/>
            </w:pPr>
            <w:r>
              <w:t>–</w:t>
            </w:r>
          </w:p>
        </w:tc>
      </w:tr>
      <w:tr w:rsidR="00F33F3C" w14:paraId="38A45D6E" w14:textId="77777777" w:rsidTr="00AE7A0B">
        <w:trPr>
          <w:trHeight w:val="181"/>
        </w:trPr>
        <w:tc>
          <w:tcPr>
            <w:tcW w:w="811" w:type="pct"/>
          </w:tcPr>
          <w:p w14:paraId="5566E498" w14:textId="77777777" w:rsidR="00F33F3C" w:rsidRDefault="00F33F3C" w:rsidP="001A5D4A">
            <w:pPr>
              <w:pStyle w:val="Note-Refs"/>
            </w:pPr>
          </w:p>
        </w:tc>
        <w:tc>
          <w:tcPr>
            <w:tcW w:w="2540" w:type="pct"/>
            <w:gridSpan w:val="4"/>
            <w:vAlign w:val="bottom"/>
          </w:tcPr>
          <w:p w14:paraId="675C7F19" w14:textId="77777777" w:rsidR="00F33F3C" w:rsidRDefault="00F33F3C" w:rsidP="001A5D4A">
            <w:pPr>
              <w:pStyle w:val="Note-Text"/>
            </w:pPr>
            <w:r>
              <w:t>Dividends</w:t>
            </w:r>
          </w:p>
        </w:tc>
        <w:tc>
          <w:tcPr>
            <w:tcW w:w="403" w:type="pct"/>
            <w:gridSpan w:val="3"/>
          </w:tcPr>
          <w:p w14:paraId="6284C0CA" w14:textId="77777777" w:rsidR="00F33F3C" w:rsidRDefault="00F33F3C" w:rsidP="001A5D4A">
            <w:pPr>
              <w:pStyle w:val="NotesTable-CellBold"/>
            </w:pPr>
            <w:r>
              <w:t>–</w:t>
            </w:r>
          </w:p>
        </w:tc>
        <w:tc>
          <w:tcPr>
            <w:tcW w:w="409" w:type="pct"/>
            <w:gridSpan w:val="3"/>
          </w:tcPr>
          <w:p w14:paraId="19E4F601" w14:textId="77777777" w:rsidR="00F33F3C" w:rsidRDefault="00F33F3C" w:rsidP="001A5D4A">
            <w:pPr>
              <w:pStyle w:val="NotesTable-CellPlain"/>
            </w:pPr>
            <w:r>
              <w:t>–</w:t>
            </w:r>
          </w:p>
        </w:tc>
        <w:tc>
          <w:tcPr>
            <w:tcW w:w="411" w:type="pct"/>
            <w:gridSpan w:val="2"/>
          </w:tcPr>
          <w:p w14:paraId="7FBE380F" w14:textId="77777777" w:rsidR="00F33F3C" w:rsidRDefault="00F33F3C" w:rsidP="001A5D4A">
            <w:pPr>
              <w:pStyle w:val="NotesTable-CellBold"/>
            </w:pPr>
            <w:r>
              <w:t>–</w:t>
            </w:r>
          </w:p>
        </w:tc>
        <w:tc>
          <w:tcPr>
            <w:tcW w:w="426" w:type="pct"/>
            <w:gridSpan w:val="2"/>
          </w:tcPr>
          <w:p w14:paraId="3F79A464" w14:textId="77777777" w:rsidR="00F33F3C" w:rsidRDefault="00F33F3C" w:rsidP="001A5D4A">
            <w:pPr>
              <w:pStyle w:val="NotesTable-CellPlain"/>
            </w:pPr>
            <w:r>
              <w:t>–</w:t>
            </w:r>
          </w:p>
        </w:tc>
      </w:tr>
      <w:tr w:rsidR="00F33F3C" w14:paraId="5C475E81" w14:textId="77777777" w:rsidTr="00AE7A0B">
        <w:trPr>
          <w:trHeight w:val="181"/>
        </w:trPr>
        <w:tc>
          <w:tcPr>
            <w:tcW w:w="811" w:type="pct"/>
          </w:tcPr>
          <w:p w14:paraId="14A11B48" w14:textId="77777777" w:rsidR="00F33F3C" w:rsidRDefault="00F33F3C" w:rsidP="001A5D4A">
            <w:pPr>
              <w:pStyle w:val="Note-Refs"/>
            </w:pPr>
          </w:p>
        </w:tc>
        <w:tc>
          <w:tcPr>
            <w:tcW w:w="2540" w:type="pct"/>
            <w:gridSpan w:val="4"/>
            <w:vAlign w:val="bottom"/>
          </w:tcPr>
          <w:p w14:paraId="03A0563A" w14:textId="77777777" w:rsidR="00F33F3C" w:rsidRDefault="00F33F3C" w:rsidP="001A5D4A">
            <w:pPr>
              <w:pStyle w:val="Note-Text"/>
            </w:pPr>
            <w:r>
              <w:t>Additions/(Disposals)</w:t>
            </w:r>
          </w:p>
        </w:tc>
        <w:tc>
          <w:tcPr>
            <w:tcW w:w="403" w:type="pct"/>
            <w:gridSpan w:val="3"/>
            <w:tcBorders>
              <w:bottom w:val="single" w:sz="4" w:space="0" w:color="auto"/>
            </w:tcBorders>
          </w:tcPr>
          <w:p w14:paraId="3918A3F8" w14:textId="77777777" w:rsidR="00F33F3C" w:rsidRDefault="00F33F3C" w:rsidP="001A5D4A">
            <w:pPr>
              <w:pStyle w:val="NotesTable-CellBold"/>
            </w:pPr>
            <w:r>
              <w:t>–</w:t>
            </w:r>
          </w:p>
        </w:tc>
        <w:tc>
          <w:tcPr>
            <w:tcW w:w="409" w:type="pct"/>
            <w:gridSpan w:val="3"/>
            <w:tcBorders>
              <w:bottom w:val="single" w:sz="4" w:space="0" w:color="auto"/>
            </w:tcBorders>
          </w:tcPr>
          <w:p w14:paraId="01574414" w14:textId="77777777" w:rsidR="00F33F3C" w:rsidRDefault="00F33F3C" w:rsidP="001A5D4A">
            <w:pPr>
              <w:pStyle w:val="NotesTable-CellPlain"/>
            </w:pPr>
            <w:r>
              <w:t>–</w:t>
            </w:r>
          </w:p>
        </w:tc>
        <w:tc>
          <w:tcPr>
            <w:tcW w:w="411" w:type="pct"/>
            <w:gridSpan w:val="2"/>
            <w:tcBorders>
              <w:bottom w:val="single" w:sz="4" w:space="0" w:color="auto"/>
            </w:tcBorders>
          </w:tcPr>
          <w:p w14:paraId="0BDB64B9" w14:textId="77777777" w:rsidR="00F33F3C" w:rsidRDefault="00F33F3C" w:rsidP="001A5D4A">
            <w:pPr>
              <w:pStyle w:val="NotesTable-CellBold"/>
            </w:pPr>
            <w:r>
              <w:t>–</w:t>
            </w:r>
          </w:p>
        </w:tc>
        <w:tc>
          <w:tcPr>
            <w:tcW w:w="426" w:type="pct"/>
            <w:gridSpan w:val="2"/>
            <w:tcBorders>
              <w:bottom w:val="single" w:sz="4" w:space="0" w:color="auto"/>
            </w:tcBorders>
          </w:tcPr>
          <w:p w14:paraId="7AB3BC2F" w14:textId="77777777" w:rsidR="00F33F3C" w:rsidRDefault="00F33F3C" w:rsidP="001A5D4A">
            <w:pPr>
              <w:pStyle w:val="NotesTable-CellPlain"/>
            </w:pPr>
            <w:r>
              <w:t>–</w:t>
            </w:r>
          </w:p>
        </w:tc>
      </w:tr>
      <w:tr w:rsidR="00F33F3C" w14:paraId="3B2C4E63" w14:textId="77777777" w:rsidTr="00AE7A0B">
        <w:trPr>
          <w:trHeight w:val="181"/>
        </w:trPr>
        <w:tc>
          <w:tcPr>
            <w:tcW w:w="811" w:type="pct"/>
          </w:tcPr>
          <w:p w14:paraId="39017406" w14:textId="77777777" w:rsidR="00F33F3C" w:rsidRDefault="00F33F3C" w:rsidP="001A5D4A">
            <w:pPr>
              <w:pStyle w:val="Note-Refs"/>
            </w:pPr>
          </w:p>
        </w:tc>
        <w:tc>
          <w:tcPr>
            <w:tcW w:w="2540" w:type="pct"/>
            <w:gridSpan w:val="4"/>
            <w:vAlign w:val="bottom"/>
          </w:tcPr>
          <w:p w14:paraId="07CCD902" w14:textId="77777777" w:rsidR="00F33F3C" w:rsidRDefault="00F33F3C" w:rsidP="001A5D4A">
            <w:pPr>
              <w:pStyle w:val="Note-Text"/>
              <w:rPr>
                <w:b/>
              </w:rPr>
            </w:pPr>
            <w:r>
              <w:t>Balance at 31 December</w:t>
            </w:r>
          </w:p>
        </w:tc>
        <w:tc>
          <w:tcPr>
            <w:tcW w:w="403" w:type="pct"/>
            <w:gridSpan w:val="3"/>
            <w:tcBorders>
              <w:top w:val="single" w:sz="4" w:space="0" w:color="auto"/>
            </w:tcBorders>
          </w:tcPr>
          <w:p w14:paraId="58ADD87F" w14:textId="77777777" w:rsidR="00F33F3C" w:rsidRDefault="00F33F3C" w:rsidP="001A5D4A">
            <w:pPr>
              <w:pStyle w:val="NotesTable-CellBold"/>
            </w:pPr>
            <w:r>
              <w:t>–</w:t>
            </w:r>
          </w:p>
        </w:tc>
        <w:tc>
          <w:tcPr>
            <w:tcW w:w="409" w:type="pct"/>
            <w:gridSpan w:val="3"/>
            <w:tcBorders>
              <w:top w:val="single" w:sz="4" w:space="0" w:color="auto"/>
            </w:tcBorders>
          </w:tcPr>
          <w:p w14:paraId="205777E0" w14:textId="77777777" w:rsidR="00F33F3C" w:rsidRDefault="00F33F3C" w:rsidP="001A5D4A">
            <w:pPr>
              <w:pStyle w:val="NotesTable-CellPlain"/>
            </w:pPr>
            <w:r>
              <w:t>–</w:t>
            </w:r>
          </w:p>
        </w:tc>
        <w:tc>
          <w:tcPr>
            <w:tcW w:w="411" w:type="pct"/>
            <w:gridSpan w:val="2"/>
            <w:tcBorders>
              <w:top w:val="single" w:sz="4" w:space="0" w:color="auto"/>
            </w:tcBorders>
          </w:tcPr>
          <w:p w14:paraId="569E89E4" w14:textId="77777777" w:rsidR="00F33F3C" w:rsidRDefault="00F33F3C" w:rsidP="001A5D4A">
            <w:pPr>
              <w:pStyle w:val="NotesTable-CellBold"/>
            </w:pPr>
            <w:r>
              <w:t>–</w:t>
            </w:r>
          </w:p>
        </w:tc>
        <w:tc>
          <w:tcPr>
            <w:tcW w:w="426" w:type="pct"/>
            <w:gridSpan w:val="2"/>
            <w:tcBorders>
              <w:top w:val="single" w:sz="4" w:space="0" w:color="auto"/>
            </w:tcBorders>
          </w:tcPr>
          <w:p w14:paraId="1B1CCE8A" w14:textId="77777777" w:rsidR="00F33F3C" w:rsidRDefault="00F33F3C" w:rsidP="001A5D4A">
            <w:pPr>
              <w:pStyle w:val="NotesTable-CellPlain"/>
            </w:pPr>
            <w:r>
              <w:t>–</w:t>
            </w:r>
          </w:p>
        </w:tc>
      </w:tr>
      <w:tr w:rsidR="00F33F3C" w14:paraId="465739E7" w14:textId="77777777" w:rsidTr="00AE7A0B">
        <w:trPr>
          <w:trHeight w:val="181"/>
        </w:trPr>
        <w:tc>
          <w:tcPr>
            <w:tcW w:w="811" w:type="pct"/>
          </w:tcPr>
          <w:p w14:paraId="2DC80608" w14:textId="77777777" w:rsidR="00F33F3C" w:rsidRDefault="00F33F3C" w:rsidP="001A5D4A">
            <w:pPr>
              <w:pStyle w:val="Note-Refs"/>
            </w:pPr>
          </w:p>
        </w:tc>
        <w:tc>
          <w:tcPr>
            <w:tcW w:w="2540" w:type="pct"/>
            <w:gridSpan w:val="4"/>
            <w:vAlign w:val="bottom"/>
          </w:tcPr>
          <w:p w14:paraId="6D9C211E" w14:textId="77777777" w:rsidR="00F33F3C" w:rsidRDefault="00F33F3C" w:rsidP="001A5D4A">
            <w:pPr>
              <w:pStyle w:val="NotesTable-ItemPlain"/>
            </w:pPr>
          </w:p>
        </w:tc>
        <w:tc>
          <w:tcPr>
            <w:tcW w:w="403" w:type="pct"/>
            <w:gridSpan w:val="3"/>
          </w:tcPr>
          <w:p w14:paraId="19AF6F4A" w14:textId="77777777" w:rsidR="00F33F3C" w:rsidRDefault="00F33F3C" w:rsidP="001A5D4A">
            <w:pPr>
              <w:pStyle w:val="NotesTable-CellBold"/>
            </w:pPr>
          </w:p>
        </w:tc>
        <w:tc>
          <w:tcPr>
            <w:tcW w:w="409" w:type="pct"/>
            <w:gridSpan w:val="3"/>
          </w:tcPr>
          <w:p w14:paraId="7A4D393B" w14:textId="77777777" w:rsidR="00F33F3C" w:rsidRDefault="00F33F3C" w:rsidP="001A5D4A">
            <w:pPr>
              <w:pStyle w:val="NotesTable-CellPlain"/>
            </w:pPr>
          </w:p>
        </w:tc>
        <w:tc>
          <w:tcPr>
            <w:tcW w:w="411" w:type="pct"/>
            <w:gridSpan w:val="2"/>
          </w:tcPr>
          <w:p w14:paraId="7F9973FB" w14:textId="77777777" w:rsidR="00F33F3C" w:rsidRDefault="00F33F3C" w:rsidP="001A5D4A">
            <w:pPr>
              <w:pStyle w:val="NotesTable-CellBold"/>
            </w:pPr>
          </w:p>
        </w:tc>
        <w:tc>
          <w:tcPr>
            <w:tcW w:w="426" w:type="pct"/>
            <w:gridSpan w:val="2"/>
          </w:tcPr>
          <w:p w14:paraId="3D03656F" w14:textId="77777777" w:rsidR="00F33F3C" w:rsidRDefault="00F33F3C" w:rsidP="001A5D4A">
            <w:pPr>
              <w:pStyle w:val="NotesTable-CellPlain"/>
            </w:pPr>
          </w:p>
        </w:tc>
      </w:tr>
      <w:tr w:rsidR="00F33F3C" w14:paraId="33752FE4" w14:textId="77777777" w:rsidTr="00AE7A0B">
        <w:trPr>
          <w:trHeight w:val="181"/>
        </w:trPr>
        <w:tc>
          <w:tcPr>
            <w:tcW w:w="811" w:type="pct"/>
          </w:tcPr>
          <w:p w14:paraId="1B551FF2" w14:textId="77777777" w:rsidR="00F33F3C" w:rsidRDefault="00F33F3C" w:rsidP="001A5D4A">
            <w:pPr>
              <w:pStyle w:val="Note-Refs"/>
            </w:pPr>
          </w:p>
        </w:tc>
        <w:tc>
          <w:tcPr>
            <w:tcW w:w="4189" w:type="pct"/>
            <w:gridSpan w:val="14"/>
            <w:vAlign w:val="bottom"/>
          </w:tcPr>
          <w:p w14:paraId="2BB75644" w14:textId="77777777" w:rsidR="00F33F3C" w:rsidRDefault="00F33F3C" w:rsidP="001A5D4A">
            <w:pPr>
              <w:pStyle w:val="Note-TextHeader"/>
              <w:rPr>
                <w:lang w:val="en-GB"/>
              </w:rPr>
            </w:pPr>
            <w:r>
              <w:t>Financial Performance</w:t>
            </w:r>
          </w:p>
        </w:tc>
      </w:tr>
      <w:tr w:rsidR="00F33F3C" w14:paraId="58991A4F" w14:textId="77777777" w:rsidTr="00AE7A0B">
        <w:trPr>
          <w:trHeight w:val="181"/>
        </w:trPr>
        <w:tc>
          <w:tcPr>
            <w:tcW w:w="811" w:type="pct"/>
          </w:tcPr>
          <w:p w14:paraId="31BB18B8" w14:textId="77777777" w:rsidR="00F33F3C" w:rsidRDefault="00F33F3C" w:rsidP="001A5D4A">
            <w:pPr>
              <w:pStyle w:val="Note-Refs"/>
            </w:pPr>
            <w:r>
              <w:t>AASB12.B12v</w:t>
            </w:r>
          </w:p>
        </w:tc>
        <w:tc>
          <w:tcPr>
            <w:tcW w:w="2551" w:type="pct"/>
            <w:gridSpan w:val="5"/>
            <w:vAlign w:val="bottom"/>
          </w:tcPr>
          <w:p w14:paraId="71B00AFB" w14:textId="1D57E609" w:rsidR="00F33F3C" w:rsidRDefault="00F54114" w:rsidP="001A5D4A">
            <w:pPr>
              <w:pStyle w:val="Note-Text"/>
            </w:pPr>
            <w:r>
              <w:t>Income</w:t>
            </w:r>
          </w:p>
        </w:tc>
        <w:tc>
          <w:tcPr>
            <w:tcW w:w="404" w:type="pct"/>
            <w:gridSpan w:val="3"/>
          </w:tcPr>
          <w:p w14:paraId="09A22B9C" w14:textId="77777777" w:rsidR="00F33F3C" w:rsidRDefault="00F33F3C" w:rsidP="001A5D4A">
            <w:pPr>
              <w:pStyle w:val="NotesTable-CellBold"/>
            </w:pPr>
            <w:r>
              <w:t>–</w:t>
            </w:r>
          </w:p>
        </w:tc>
        <w:tc>
          <w:tcPr>
            <w:tcW w:w="404" w:type="pct"/>
            <w:gridSpan w:val="3"/>
          </w:tcPr>
          <w:p w14:paraId="2D6FACDB" w14:textId="77777777" w:rsidR="00F33F3C" w:rsidRDefault="00F33F3C" w:rsidP="001A5D4A">
            <w:pPr>
              <w:pStyle w:val="NotesTable-CellPlain"/>
            </w:pPr>
            <w:r>
              <w:t>–</w:t>
            </w:r>
          </w:p>
        </w:tc>
        <w:tc>
          <w:tcPr>
            <w:tcW w:w="409" w:type="pct"/>
            <w:gridSpan w:val="2"/>
          </w:tcPr>
          <w:p w14:paraId="30471557" w14:textId="77777777" w:rsidR="00F33F3C" w:rsidRDefault="00F33F3C" w:rsidP="001A5D4A">
            <w:pPr>
              <w:pStyle w:val="NotesTable-CellBold"/>
            </w:pPr>
            <w:r>
              <w:t>–</w:t>
            </w:r>
          </w:p>
        </w:tc>
        <w:tc>
          <w:tcPr>
            <w:tcW w:w="421" w:type="pct"/>
          </w:tcPr>
          <w:p w14:paraId="320A84E5" w14:textId="77777777" w:rsidR="00F33F3C" w:rsidRDefault="00F33F3C" w:rsidP="001A5D4A">
            <w:pPr>
              <w:pStyle w:val="NotesTable-CellPlain"/>
            </w:pPr>
            <w:r>
              <w:t>–</w:t>
            </w:r>
          </w:p>
        </w:tc>
      </w:tr>
      <w:tr w:rsidR="00F54114" w14:paraId="389611E7" w14:textId="77777777" w:rsidTr="00AE7A0B">
        <w:trPr>
          <w:trHeight w:val="181"/>
        </w:trPr>
        <w:tc>
          <w:tcPr>
            <w:tcW w:w="811" w:type="pct"/>
          </w:tcPr>
          <w:p w14:paraId="18526781" w14:textId="50141664" w:rsidR="00F54114" w:rsidRDefault="00F54114" w:rsidP="001A5D4A">
            <w:pPr>
              <w:pStyle w:val="Note-Refs"/>
            </w:pPr>
            <w:r>
              <w:t>AASB12.B13e</w:t>
            </w:r>
          </w:p>
        </w:tc>
        <w:tc>
          <w:tcPr>
            <w:tcW w:w="2551" w:type="pct"/>
            <w:gridSpan w:val="5"/>
            <w:vAlign w:val="bottom"/>
          </w:tcPr>
          <w:p w14:paraId="2C598672" w14:textId="2DABEC5F" w:rsidR="00F54114" w:rsidRDefault="00F54114" w:rsidP="001A5D4A">
            <w:pPr>
              <w:pStyle w:val="Note-Text"/>
            </w:pPr>
            <w:r>
              <w:t>Interest income</w:t>
            </w:r>
          </w:p>
        </w:tc>
        <w:tc>
          <w:tcPr>
            <w:tcW w:w="404" w:type="pct"/>
            <w:gridSpan w:val="3"/>
          </w:tcPr>
          <w:p w14:paraId="0187A14E" w14:textId="4481ECDE" w:rsidR="00F54114" w:rsidRDefault="00F54114" w:rsidP="001A5D4A">
            <w:pPr>
              <w:pStyle w:val="NotesTable-CellBold"/>
            </w:pPr>
            <w:r>
              <w:t>–</w:t>
            </w:r>
          </w:p>
        </w:tc>
        <w:tc>
          <w:tcPr>
            <w:tcW w:w="404" w:type="pct"/>
            <w:gridSpan w:val="3"/>
          </w:tcPr>
          <w:p w14:paraId="4B43D14D" w14:textId="4768D997" w:rsidR="00F54114" w:rsidRDefault="00F54114" w:rsidP="001A5D4A">
            <w:pPr>
              <w:pStyle w:val="NotesTable-CellPlain"/>
            </w:pPr>
            <w:r>
              <w:t>–</w:t>
            </w:r>
          </w:p>
        </w:tc>
        <w:tc>
          <w:tcPr>
            <w:tcW w:w="409" w:type="pct"/>
            <w:gridSpan w:val="2"/>
          </w:tcPr>
          <w:p w14:paraId="03C15803" w14:textId="1C7040A3" w:rsidR="00F54114" w:rsidRDefault="00F54114" w:rsidP="001A5D4A">
            <w:pPr>
              <w:pStyle w:val="NotesTable-CellBold"/>
            </w:pPr>
            <w:r>
              <w:t>–</w:t>
            </w:r>
          </w:p>
        </w:tc>
        <w:tc>
          <w:tcPr>
            <w:tcW w:w="421" w:type="pct"/>
          </w:tcPr>
          <w:p w14:paraId="2B5A0C49" w14:textId="196C6B55" w:rsidR="00F54114" w:rsidRDefault="00F54114" w:rsidP="001A5D4A">
            <w:pPr>
              <w:pStyle w:val="NotesTable-CellPlain"/>
            </w:pPr>
            <w:r>
              <w:t>–</w:t>
            </w:r>
          </w:p>
        </w:tc>
      </w:tr>
      <w:tr w:rsidR="00F54114" w14:paraId="0BA7817A" w14:textId="77777777" w:rsidTr="00AE7A0B">
        <w:trPr>
          <w:trHeight w:val="181"/>
        </w:trPr>
        <w:tc>
          <w:tcPr>
            <w:tcW w:w="811" w:type="pct"/>
          </w:tcPr>
          <w:p w14:paraId="26AE7947" w14:textId="77777777" w:rsidR="00F54114" w:rsidRDefault="00F54114" w:rsidP="001A5D4A">
            <w:pPr>
              <w:pStyle w:val="Note-Refs"/>
            </w:pPr>
          </w:p>
        </w:tc>
        <w:tc>
          <w:tcPr>
            <w:tcW w:w="2551" w:type="pct"/>
            <w:gridSpan w:val="5"/>
            <w:vAlign w:val="bottom"/>
          </w:tcPr>
          <w:p w14:paraId="0E6F6F0A" w14:textId="3797BD86" w:rsidR="00F54114" w:rsidRDefault="00F54114" w:rsidP="001A5D4A">
            <w:pPr>
              <w:pStyle w:val="Note-Text"/>
            </w:pPr>
            <w:r>
              <w:t>Expenses</w:t>
            </w:r>
          </w:p>
        </w:tc>
        <w:tc>
          <w:tcPr>
            <w:tcW w:w="404" w:type="pct"/>
            <w:gridSpan w:val="3"/>
          </w:tcPr>
          <w:p w14:paraId="640388BB" w14:textId="6F5E659B" w:rsidR="00F54114" w:rsidRDefault="00F54114" w:rsidP="001A5D4A">
            <w:pPr>
              <w:pStyle w:val="NotesTable-CellBold"/>
            </w:pPr>
            <w:r>
              <w:t>–</w:t>
            </w:r>
          </w:p>
        </w:tc>
        <w:tc>
          <w:tcPr>
            <w:tcW w:w="404" w:type="pct"/>
            <w:gridSpan w:val="3"/>
          </w:tcPr>
          <w:p w14:paraId="76A14D50" w14:textId="136CE153" w:rsidR="00F54114" w:rsidRDefault="00F54114" w:rsidP="001A5D4A">
            <w:pPr>
              <w:pStyle w:val="NotesTable-CellPlain"/>
            </w:pPr>
            <w:r>
              <w:t>–</w:t>
            </w:r>
          </w:p>
        </w:tc>
        <w:tc>
          <w:tcPr>
            <w:tcW w:w="409" w:type="pct"/>
            <w:gridSpan w:val="2"/>
          </w:tcPr>
          <w:p w14:paraId="251FFF09" w14:textId="530CE3ED" w:rsidR="00F54114" w:rsidRDefault="00F54114" w:rsidP="001A5D4A">
            <w:pPr>
              <w:pStyle w:val="NotesTable-CellBold"/>
            </w:pPr>
            <w:r>
              <w:t>–</w:t>
            </w:r>
          </w:p>
        </w:tc>
        <w:tc>
          <w:tcPr>
            <w:tcW w:w="421" w:type="pct"/>
          </w:tcPr>
          <w:p w14:paraId="5787B13E" w14:textId="3090CC79" w:rsidR="00F54114" w:rsidRDefault="00F54114" w:rsidP="001A5D4A">
            <w:pPr>
              <w:pStyle w:val="NotesTable-CellPlain"/>
            </w:pPr>
            <w:r>
              <w:t>–</w:t>
            </w:r>
          </w:p>
        </w:tc>
      </w:tr>
      <w:tr w:rsidR="00F54114" w14:paraId="2BAFAA01" w14:textId="77777777" w:rsidTr="00AE7A0B">
        <w:trPr>
          <w:trHeight w:val="181"/>
        </w:trPr>
        <w:tc>
          <w:tcPr>
            <w:tcW w:w="811" w:type="pct"/>
          </w:tcPr>
          <w:p w14:paraId="35AC9F26" w14:textId="534E7C52" w:rsidR="00F54114" w:rsidRDefault="00F54114" w:rsidP="001A5D4A">
            <w:pPr>
              <w:pStyle w:val="Note-Refs"/>
            </w:pPr>
            <w:r>
              <w:t>AASB12.B13f</w:t>
            </w:r>
          </w:p>
        </w:tc>
        <w:tc>
          <w:tcPr>
            <w:tcW w:w="2551" w:type="pct"/>
            <w:gridSpan w:val="5"/>
            <w:vAlign w:val="bottom"/>
          </w:tcPr>
          <w:p w14:paraId="3A624CD9" w14:textId="050429F0" w:rsidR="00F54114" w:rsidRDefault="00F54114" w:rsidP="001A5D4A">
            <w:pPr>
              <w:pStyle w:val="Note-Text"/>
            </w:pPr>
            <w:r>
              <w:t>Interest expense</w:t>
            </w:r>
          </w:p>
        </w:tc>
        <w:tc>
          <w:tcPr>
            <w:tcW w:w="404" w:type="pct"/>
            <w:gridSpan w:val="3"/>
          </w:tcPr>
          <w:p w14:paraId="682AE4B7" w14:textId="3E00FB79" w:rsidR="00F54114" w:rsidRDefault="00F54114" w:rsidP="001A5D4A">
            <w:pPr>
              <w:pStyle w:val="NotesTable-CellBold"/>
            </w:pPr>
            <w:r>
              <w:t>–</w:t>
            </w:r>
          </w:p>
        </w:tc>
        <w:tc>
          <w:tcPr>
            <w:tcW w:w="404" w:type="pct"/>
            <w:gridSpan w:val="3"/>
          </w:tcPr>
          <w:p w14:paraId="5095300C" w14:textId="46BC2FAB" w:rsidR="00F54114" w:rsidRDefault="00F54114" w:rsidP="001A5D4A">
            <w:pPr>
              <w:pStyle w:val="NotesTable-CellPlain"/>
            </w:pPr>
            <w:r>
              <w:t>–</w:t>
            </w:r>
          </w:p>
        </w:tc>
        <w:tc>
          <w:tcPr>
            <w:tcW w:w="409" w:type="pct"/>
            <w:gridSpan w:val="2"/>
          </w:tcPr>
          <w:p w14:paraId="066127F6" w14:textId="3C7D7D60" w:rsidR="00F54114" w:rsidRDefault="00F54114" w:rsidP="001A5D4A">
            <w:pPr>
              <w:pStyle w:val="NotesTable-CellBold"/>
            </w:pPr>
            <w:r>
              <w:t>–</w:t>
            </w:r>
          </w:p>
        </w:tc>
        <w:tc>
          <w:tcPr>
            <w:tcW w:w="421" w:type="pct"/>
          </w:tcPr>
          <w:p w14:paraId="5846B58C" w14:textId="353FA5F1" w:rsidR="00F54114" w:rsidRDefault="00F54114" w:rsidP="001A5D4A">
            <w:pPr>
              <w:pStyle w:val="NotesTable-CellPlain"/>
            </w:pPr>
            <w:r>
              <w:t>–</w:t>
            </w:r>
          </w:p>
        </w:tc>
      </w:tr>
      <w:tr w:rsidR="00F54114" w14:paraId="18A1C041" w14:textId="77777777" w:rsidTr="00AE7A0B">
        <w:trPr>
          <w:trHeight w:val="181"/>
        </w:trPr>
        <w:tc>
          <w:tcPr>
            <w:tcW w:w="811" w:type="pct"/>
          </w:tcPr>
          <w:p w14:paraId="0D19C2A8" w14:textId="0BC98EFE" w:rsidR="00F54114" w:rsidRDefault="00F54114" w:rsidP="001A5D4A">
            <w:pPr>
              <w:pStyle w:val="Note-Refs"/>
            </w:pPr>
            <w:r>
              <w:t>AASB12.13d</w:t>
            </w:r>
          </w:p>
        </w:tc>
        <w:tc>
          <w:tcPr>
            <w:tcW w:w="2551" w:type="pct"/>
            <w:gridSpan w:val="5"/>
            <w:vAlign w:val="bottom"/>
          </w:tcPr>
          <w:p w14:paraId="304D55CA" w14:textId="4E7F5F98" w:rsidR="00F54114" w:rsidRDefault="00F54114" w:rsidP="001A5D4A">
            <w:pPr>
              <w:pStyle w:val="Note-Text"/>
            </w:pPr>
            <w:r>
              <w:t>Depreciation and amortisation</w:t>
            </w:r>
          </w:p>
        </w:tc>
        <w:tc>
          <w:tcPr>
            <w:tcW w:w="404" w:type="pct"/>
            <w:gridSpan w:val="3"/>
          </w:tcPr>
          <w:p w14:paraId="21E0E70C" w14:textId="65CDCEC3" w:rsidR="00F54114" w:rsidRDefault="00F54114" w:rsidP="001A5D4A">
            <w:pPr>
              <w:pStyle w:val="NotesTable-CellBold"/>
            </w:pPr>
            <w:r>
              <w:t>–</w:t>
            </w:r>
          </w:p>
        </w:tc>
        <w:tc>
          <w:tcPr>
            <w:tcW w:w="404" w:type="pct"/>
            <w:gridSpan w:val="3"/>
          </w:tcPr>
          <w:p w14:paraId="4C0C87D5" w14:textId="2382023B" w:rsidR="00F54114" w:rsidRDefault="00F54114" w:rsidP="001A5D4A">
            <w:pPr>
              <w:pStyle w:val="NotesTable-CellPlain"/>
            </w:pPr>
            <w:r>
              <w:t>–</w:t>
            </w:r>
          </w:p>
        </w:tc>
        <w:tc>
          <w:tcPr>
            <w:tcW w:w="409" w:type="pct"/>
            <w:gridSpan w:val="2"/>
          </w:tcPr>
          <w:p w14:paraId="17C3D35E" w14:textId="4D9C60C8" w:rsidR="00F54114" w:rsidRDefault="00F54114" w:rsidP="001A5D4A">
            <w:pPr>
              <w:pStyle w:val="NotesTable-CellBold"/>
            </w:pPr>
            <w:r>
              <w:t>–</w:t>
            </w:r>
          </w:p>
        </w:tc>
        <w:tc>
          <w:tcPr>
            <w:tcW w:w="421" w:type="pct"/>
          </w:tcPr>
          <w:p w14:paraId="4E908095" w14:textId="0339C036" w:rsidR="00F54114" w:rsidRDefault="00F54114" w:rsidP="001A5D4A">
            <w:pPr>
              <w:pStyle w:val="NotesTable-CellPlain"/>
            </w:pPr>
            <w:r>
              <w:t>–</w:t>
            </w:r>
          </w:p>
        </w:tc>
      </w:tr>
      <w:tr w:rsidR="00F54114" w14:paraId="02D3CBFE" w14:textId="77777777" w:rsidTr="00AE7A0B">
        <w:trPr>
          <w:trHeight w:val="181"/>
        </w:trPr>
        <w:tc>
          <w:tcPr>
            <w:tcW w:w="811" w:type="pct"/>
          </w:tcPr>
          <w:p w14:paraId="10593537" w14:textId="57486C2A" w:rsidR="00F54114" w:rsidRDefault="00F54114" w:rsidP="001A5D4A">
            <w:pPr>
              <w:pStyle w:val="Note-Refs"/>
            </w:pPr>
            <w:r>
              <w:t>AASB12.13g</w:t>
            </w:r>
          </w:p>
        </w:tc>
        <w:tc>
          <w:tcPr>
            <w:tcW w:w="2551" w:type="pct"/>
            <w:gridSpan w:val="5"/>
            <w:vAlign w:val="bottom"/>
          </w:tcPr>
          <w:p w14:paraId="495B29EA" w14:textId="11D83F65" w:rsidR="00F54114" w:rsidRDefault="002254C9" w:rsidP="001A5D4A">
            <w:pPr>
              <w:pStyle w:val="Note-Text"/>
            </w:pPr>
            <w:r>
              <w:t>Interest</w:t>
            </w:r>
            <w:r w:rsidR="00F54114">
              <w:t xml:space="preserve"> tax expense</w:t>
            </w:r>
          </w:p>
        </w:tc>
        <w:tc>
          <w:tcPr>
            <w:tcW w:w="404" w:type="pct"/>
            <w:gridSpan w:val="3"/>
          </w:tcPr>
          <w:p w14:paraId="4963D2EB" w14:textId="598F8C24" w:rsidR="00F54114" w:rsidRDefault="00F54114" w:rsidP="001A5D4A">
            <w:pPr>
              <w:pStyle w:val="NotesTable-CellBold"/>
            </w:pPr>
            <w:r>
              <w:t>–</w:t>
            </w:r>
          </w:p>
        </w:tc>
        <w:tc>
          <w:tcPr>
            <w:tcW w:w="404" w:type="pct"/>
            <w:gridSpan w:val="3"/>
          </w:tcPr>
          <w:p w14:paraId="159F6434" w14:textId="73002794" w:rsidR="00F54114" w:rsidRDefault="00F54114" w:rsidP="001A5D4A">
            <w:pPr>
              <w:pStyle w:val="NotesTable-CellPlain"/>
            </w:pPr>
            <w:r>
              <w:t>–</w:t>
            </w:r>
          </w:p>
        </w:tc>
        <w:tc>
          <w:tcPr>
            <w:tcW w:w="409" w:type="pct"/>
            <w:gridSpan w:val="2"/>
          </w:tcPr>
          <w:p w14:paraId="1ED3E8C6" w14:textId="67FB5C30" w:rsidR="00F54114" w:rsidRDefault="00F54114" w:rsidP="001A5D4A">
            <w:pPr>
              <w:pStyle w:val="NotesTable-CellBold"/>
            </w:pPr>
            <w:r>
              <w:t>–</w:t>
            </w:r>
          </w:p>
        </w:tc>
        <w:tc>
          <w:tcPr>
            <w:tcW w:w="421" w:type="pct"/>
          </w:tcPr>
          <w:p w14:paraId="4295AB27" w14:textId="310C8E35" w:rsidR="00F54114" w:rsidRDefault="00F54114" w:rsidP="001A5D4A">
            <w:pPr>
              <w:pStyle w:val="NotesTable-CellPlain"/>
            </w:pPr>
            <w:r>
              <w:t>–</w:t>
            </w:r>
          </w:p>
        </w:tc>
      </w:tr>
      <w:tr w:rsidR="00F33F3C" w14:paraId="3237A2E8" w14:textId="77777777" w:rsidTr="00AE7A0B">
        <w:trPr>
          <w:trHeight w:val="181"/>
        </w:trPr>
        <w:tc>
          <w:tcPr>
            <w:tcW w:w="811" w:type="pct"/>
          </w:tcPr>
          <w:p w14:paraId="04932FBB" w14:textId="77777777" w:rsidR="00F33F3C" w:rsidRDefault="00F33F3C" w:rsidP="001A5D4A">
            <w:pPr>
              <w:pStyle w:val="Note-Refs"/>
              <w:rPr>
                <w:b/>
              </w:rPr>
            </w:pPr>
            <w:r>
              <w:t>AASB12.B12vi</w:t>
            </w:r>
          </w:p>
        </w:tc>
        <w:tc>
          <w:tcPr>
            <w:tcW w:w="2551" w:type="pct"/>
            <w:gridSpan w:val="5"/>
            <w:vAlign w:val="bottom"/>
          </w:tcPr>
          <w:p w14:paraId="1D9AC30C" w14:textId="77777777" w:rsidR="00F33F3C" w:rsidRDefault="00F33F3C" w:rsidP="001A5D4A">
            <w:pPr>
              <w:pStyle w:val="Note-Text"/>
              <w:rPr>
                <w:b/>
              </w:rPr>
            </w:pPr>
            <w:r>
              <w:t>Profit/(loss) from continuing operations</w:t>
            </w:r>
          </w:p>
        </w:tc>
        <w:tc>
          <w:tcPr>
            <w:tcW w:w="404" w:type="pct"/>
            <w:gridSpan w:val="3"/>
            <w:tcBorders>
              <w:top w:val="single" w:sz="4" w:space="0" w:color="auto"/>
            </w:tcBorders>
          </w:tcPr>
          <w:p w14:paraId="553959FB" w14:textId="77777777" w:rsidR="00F33F3C" w:rsidRDefault="00F33F3C" w:rsidP="001A5D4A">
            <w:pPr>
              <w:pStyle w:val="NotesTable-CellBold"/>
            </w:pPr>
            <w:r>
              <w:t>–</w:t>
            </w:r>
          </w:p>
        </w:tc>
        <w:tc>
          <w:tcPr>
            <w:tcW w:w="404" w:type="pct"/>
            <w:gridSpan w:val="3"/>
            <w:tcBorders>
              <w:top w:val="single" w:sz="4" w:space="0" w:color="auto"/>
            </w:tcBorders>
          </w:tcPr>
          <w:p w14:paraId="143DDBFC" w14:textId="77777777" w:rsidR="00F33F3C" w:rsidRDefault="00F33F3C" w:rsidP="001A5D4A">
            <w:pPr>
              <w:pStyle w:val="NotesTable-CellPlain"/>
            </w:pPr>
            <w:r>
              <w:t>–</w:t>
            </w:r>
          </w:p>
        </w:tc>
        <w:tc>
          <w:tcPr>
            <w:tcW w:w="409" w:type="pct"/>
            <w:gridSpan w:val="2"/>
            <w:tcBorders>
              <w:top w:val="single" w:sz="4" w:space="0" w:color="auto"/>
            </w:tcBorders>
          </w:tcPr>
          <w:p w14:paraId="242D184F" w14:textId="77777777" w:rsidR="00F33F3C" w:rsidRDefault="00F33F3C" w:rsidP="001A5D4A">
            <w:pPr>
              <w:pStyle w:val="NotesTable-CellBold"/>
            </w:pPr>
            <w:r>
              <w:t>–</w:t>
            </w:r>
          </w:p>
        </w:tc>
        <w:tc>
          <w:tcPr>
            <w:tcW w:w="421" w:type="pct"/>
            <w:tcBorders>
              <w:top w:val="single" w:sz="4" w:space="0" w:color="auto"/>
            </w:tcBorders>
          </w:tcPr>
          <w:p w14:paraId="710A464B" w14:textId="77777777" w:rsidR="00F33F3C" w:rsidRDefault="00F33F3C" w:rsidP="001A5D4A">
            <w:pPr>
              <w:pStyle w:val="NotesTable-CellPlain"/>
            </w:pPr>
            <w:r>
              <w:t>–</w:t>
            </w:r>
          </w:p>
        </w:tc>
      </w:tr>
      <w:tr w:rsidR="00646ABF" w14:paraId="64AB2955" w14:textId="77777777" w:rsidTr="00AE7A0B">
        <w:trPr>
          <w:trHeight w:val="181"/>
        </w:trPr>
        <w:tc>
          <w:tcPr>
            <w:tcW w:w="811" w:type="pct"/>
            <w:vAlign w:val="bottom"/>
          </w:tcPr>
          <w:p w14:paraId="2628326E" w14:textId="77777777" w:rsidR="00646ABF" w:rsidRDefault="00646ABF" w:rsidP="001A5D4A">
            <w:pPr>
              <w:pStyle w:val="Note-Refs"/>
            </w:pPr>
          </w:p>
        </w:tc>
        <w:tc>
          <w:tcPr>
            <w:tcW w:w="2551" w:type="pct"/>
            <w:gridSpan w:val="5"/>
            <w:vAlign w:val="bottom"/>
          </w:tcPr>
          <w:p w14:paraId="6F237828" w14:textId="75B6906C" w:rsidR="00646ABF" w:rsidRDefault="00646ABF" w:rsidP="001A5D4A">
            <w:pPr>
              <w:pStyle w:val="Note-Text"/>
            </w:pPr>
            <w:r>
              <w:t>Profit/(loss) from continuing operations after income tax</w:t>
            </w:r>
          </w:p>
        </w:tc>
        <w:tc>
          <w:tcPr>
            <w:tcW w:w="404" w:type="pct"/>
            <w:gridSpan w:val="3"/>
          </w:tcPr>
          <w:p w14:paraId="3EC57A56" w14:textId="77CF716C" w:rsidR="00646ABF" w:rsidRDefault="00646ABF" w:rsidP="001A5D4A">
            <w:pPr>
              <w:pStyle w:val="NotesTable-CellBold"/>
            </w:pPr>
            <w:r>
              <w:t>–</w:t>
            </w:r>
          </w:p>
        </w:tc>
        <w:tc>
          <w:tcPr>
            <w:tcW w:w="404" w:type="pct"/>
            <w:gridSpan w:val="3"/>
          </w:tcPr>
          <w:p w14:paraId="38F30CFC" w14:textId="6C3F358A" w:rsidR="00646ABF" w:rsidRDefault="00646ABF" w:rsidP="001A5D4A">
            <w:pPr>
              <w:pStyle w:val="NotesTable-CellPlain"/>
            </w:pPr>
            <w:r>
              <w:t>–</w:t>
            </w:r>
          </w:p>
        </w:tc>
        <w:tc>
          <w:tcPr>
            <w:tcW w:w="409" w:type="pct"/>
            <w:gridSpan w:val="2"/>
          </w:tcPr>
          <w:p w14:paraId="5F45EDEC" w14:textId="4FF5F255" w:rsidR="00646ABF" w:rsidRDefault="00646ABF" w:rsidP="001A5D4A">
            <w:pPr>
              <w:pStyle w:val="NotesTable-CellBold"/>
            </w:pPr>
            <w:r>
              <w:t>–</w:t>
            </w:r>
          </w:p>
        </w:tc>
        <w:tc>
          <w:tcPr>
            <w:tcW w:w="421" w:type="pct"/>
          </w:tcPr>
          <w:p w14:paraId="18C5506D" w14:textId="295E82D1" w:rsidR="00646ABF" w:rsidRDefault="00646ABF" w:rsidP="001A5D4A">
            <w:pPr>
              <w:pStyle w:val="NotesTable-CellPlain"/>
            </w:pPr>
            <w:r>
              <w:t>–</w:t>
            </w:r>
          </w:p>
        </w:tc>
      </w:tr>
      <w:tr w:rsidR="00F33F3C" w14:paraId="4A9633DA" w14:textId="77777777" w:rsidTr="00AE7A0B">
        <w:trPr>
          <w:trHeight w:val="181"/>
        </w:trPr>
        <w:tc>
          <w:tcPr>
            <w:tcW w:w="811" w:type="pct"/>
            <w:vAlign w:val="bottom"/>
          </w:tcPr>
          <w:p w14:paraId="1B717B45" w14:textId="77777777" w:rsidR="00F33F3C" w:rsidRDefault="00F33F3C" w:rsidP="001A5D4A">
            <w:pPr>
              <w:pStyle w:val="Note-Refs"/>
            </w:pPr>
            <w:r>
              <w:t>AASB12.B12vii</w:t>
            </w:r>
          </w:p>
        </w:tc>
        <w:tc>
          <w:tcPr>
            <w:tcW w:w="2551" w:type="pct"/>
            <w:gridSpan w:val="5"/>
            <w:vAlign w:val="bottom"/>
          </w:tcPr>
          <w:p w14:paraId="6B92C980" w14:textId="77777777" w:rsidR="00F33F3C" w:rsidRDefault="00F33F3C" w:rsidP="001A5D4A">
            <w:pPr>
              <w:pStyle w:val="Note-Text"/>
            </w:pPr>
            <w:r>
              <w:t>Post tax profit/(loss) from discontinued operations</w:t>
            </w:r>
          </w:p>
        </w:tc>
        <w:tc>
          <w:tcPr>
            <w:tcW w:w="404" w:type="pct"/>
            <w:gridSpan w:val="3"/>
          </w:tcPr>
          <w:p w14:paraId="79491F9E" w14:textId="77777777" w:rsidR="00F33F3C" w:rsidRDefault="00F33F3C" w:rsidP="001A5D4A">
            <w:pPr>
              <w:pStyle w:val="NotesTable-CellBold"/>
            </w:pPr>
            <w:r>
              <w:t>–</w:t>
            </w:r>
          </w:p>
        </w:tc>
        <w:tc>
          <w:tcPr>
            <w:tcW w:w="404" w:type="pct"/>
            <w:gridSpan w:val="3"/>
          </w:tcPr>
          <w:p w14:paraId="054EF4CD" w14:textId="77777777" w:rsidR="00F33F3C" w:rsidRDefault="00F33F3C" w:rsidP="001A5D4A">
            <w:pPr>
              <w:pStyle w:val="NotesTable-CellPlain"/>
            </w:pPr>
            <w:r>
              <w:t>–</w:t>
            </w:r>
          </w:p>
        </w:tc>
        <w:tc>
          <w:tcPr>
            <w:tcW w:w="409" w:type="pct"/>
            <w:gridSpan w:val="2"/>
          </w:tcPr>
          <w:p w14:paraId="41120E73" w14:textId="77777777" w:rsidR="00F33F3C" w:rsidRDefault="00F33F3C" w:rsidP="001A5D4A">
            <w:pPr>
              <w:pStyle w:val="NotesTable-CellBold"/>
            </w:pPr>
            <w:r>
              <w:t>–</w:t>
            </w:r>
          </w:p>
        </w:tc>
        <w:tc>
          <w:tcPr>
            <w:tcW w:w="421" w:type="pct"/>
          </w:tcPr>
          <w:p w14:paraId="6CC13189" w14:textId="77777777" w:rsidR="00F33F3C" w:rsidRDefault="00F33F3C" w:rsidP="001A5D4A">
            <w:pPr>
              <w:pStyle w:val="NotesTable-CellPlain"/>
            </w:pPr>
            <w:r>
              <w:t>–</w:t>
            </w:r>
          </w:p>
        </w:tc>
      </w:tr>
      <w:tr w:rsidR="00F33F3C" w14:paraId="1C022CFA" w14:textId="77777777" w:rsidTr="00AE7A0B">
        <w:trPr>
          <w:trHeight w:val="181"/>
        </w:trPr>
        <w:tc>
          <w:tcPr>
            <w:tcW w:w="811" w:type="pct"/>
            <w:vAlign w:val="bottom"/>
          </w:tcPr>
          <w:p w14:paraId="7F501F5D" w14:textId="77777777" w:rsidR="00F33F3C" w:rsidRDefault="00F33F3C" w:rsidP="001A5D4A">
            <w:pPr>
              <w:pStyle w:val="Note-Refs"/>
            </w:pPr>
            <w:r>
              <w:t>AASB12.B12viii</w:t>
            </w:r>
          </w:p>
        </w:tc>
        <w:tc>
          <w:tcPr>
            <w:tcW w:w="2551" w:type="pct"/>
            <w:gridSpan w:val="5"/>
            <w:vAlign w:val="bottom"/>
          </w:tcPr>
          <w:p w14:paraId="3FD02593" w14:textId="77777777" w:rsidR="00F33F3C" w:rsidRDefault="00F33F3C" w:rsidP="001A5D4A">
            <w:pPr>
              <w:pStyle w:val="Note-Text"/>
            </w:pPr>
            <w:r>
              <w:t>Other comprehensive income</w:t>
            </w:r>
          </w:p>
        </w:tc>
        <w:tc>
          <w:tcPr>
            <w:tcW w:w="404" w:type="pct"/>
            <w:gridSpan w:val="3"/>
            <w:tcBorders>
              <w:bottom w:val="single" w:sz="4" w:space="0" w:color="auto"/>
            </w:tcBorders>
          </w:tcPr>
          <w:p w14:paraId="2F3E5CBC" w14:textId="77777777" w:rsidR="00F33F3C" w:rsidRDefault="00F33F3C" w:rsidP="001A5D4A">
            <w:pPr>
              <w:pStyle w:val="NotesTable-CellBold"/>
            </w:pPr>
            <w:r>
              <w:t>–</w:t>
            </w:r>
          </w:p>
        </w:tc>
        <w:tc>
          <w:tcPr>
            <w:tcW w:w="404" w:type="pct"/>
            <w:gridSpan w:val="3"/>
            <w:tcBorders>
              <w:bottom w:val="single" w:sz="4" w:space="0" w:color="auto"/>
            </w:tcBorders>
          </w:tcPr>
          <w:p w14:paraId="06785418" w14:textId="77777777" w:rsidR="00F33F3C" w:rsidRDefault="00F33F3C" w:rsidP="001A5D4A">
            <w:pPr>
              <w:pStyle w:val="NotesTable-CellPlain"/>
            </w:pPr>
            <w:r>
              <w:t>–</w:t>
            </w:r>
          </w:p>
        </w:tc>
        <w:tc>
          <w:tcPr>
            <w:tcW w:w="409" w:type="pct"/>
            <w:gridSpan w:val="2"/>
            <w:tcBorders>
              <w:bottom w:val="single" w:sz="4" w:space="0" w:color="auto"/>
            </w:tcBorders>
          </w:tcPr>
          <w:p w14:paraId="513ECE3F" w14:textId="77777777" w:rsidR="00F33F3C" w:rsidRDefault="00F33F3C" w:rsidP="001A5D4A">
            <w:pPr>
              <w:pStyle w:val="NotesTable-CellBold"/>
            </w:pPr>
            <w:r>
              <w:t>–</w:t>
            </w:r>
          </w:p>
        </w:tc>
        <w:tc>
          <w:tcPr>
            <w:tcW w:w="421" w:type="pct"/>
            <w:tcBorders>
              <w:bottom w:val="single" w:sz="4" w:space="0" w:color="auto"/>
            </w:tcBorders>
          </w:tcPr>
          <w:p w14:paraId="717B2332" w14:textId="77777777" w:rsidR="00F33F3C" w:rsidRDefault="00F33F3C" w:rsidP="001A5D4A">
            <w:pPr>
              <w:pStyle w:val="NotesTable-CellPlain"/>
            </w:pPr>
            <w:r>
              <w:t>–</w:t>
            </w:r>
          </w:p>
        </w:tc>
      </w:tr>
      <w:tr w:rsidR="00F33F3C" w14:paraId="35CFA8E2" w14:textId="77777777" w:rsidTr="00AE7A0B">
        <w:trPr>
          <w:trHeight w:val="181"/>
        </w:trPr>
        <w:tc>
          <w:tcPr>
            <w:tcW w:w="811" w:type="pct"/>
            <w:vAlign w:val="bottom"/>
          </w:tcPr>
          <w:p w14:paraId="1A843762" w14:textId="77777777" w:rsidR="00F33F3C" w:rsidRDefault="00F33F3C" w:rsidP="001A5D4A">
            <w:pPr>
              <w:pStyle w:val="Note-Refs"/>
            </w:pPr>
            <w:r>
              <w:t>AASB12.B12ix</w:t>
            </w:r>
          </w:p>
        </w:tc>
        <w:tc>
          <w:tcPr>
            <w:tcW w:w="2551" w:type="pct"/>
            <w:gridSpan w:val="5"/>
            <w:vAlign w:val="bottom"/>
          </w:tcPr>
          <w:p w14:paraId="5D4D65CB" w14:textId="77777777" w:rsidR="00F33F3C" w:rsidRDefault="00F33F3C" w:rsidP="001A5D4A">
            <w:pPr>
              <w:pStyle w:val="Note-Text"/>
            </w:pPr>
            <w:r>
              <w:t>Total comprehensive income</w:t>
            </w:r>
          </w:p>
        </w:tc>
        <w:tc>
          <w:tcPr>
            <w:tcW w:w="404" w:type="pct"/>
            <w:gridSpan w:val="3"/>
            <w:tcBorders>
              <w:top w:val="single" w:sz="4" w:space="0" w:color="auto"/>
              <w:bottom w:val="single" w:sz="4" w:space="0" w:color="auto"/>
            </w:tcBorders>
          </w:tcPr>
          <w:p w14:paraId="7D47099D" w14:textId="77777777" w:rsidR="00F33F3C" w:rsidRDefault="00F33F3C" w:rsidP="001A5D4A">
            <w:pPr>
              <w:pStyle w:val="NotesTable-CellBold"/>
            </w:pPr>
            <w:r>
              <w:t>–</w:t>
            </w:r>
          </w:p>
        </w:tc>
        <w:tc>
          <w:tcPr>
            <w:tcW w:w="404" w:type="pct"/>
            <w:gridSpan w:val="3"/>
            <w:tcBorders>
              <w:top w:val="single" w:sz="4" w:space="0" w:color="auto"/>
              <w:bottom w:val="single" w:sz="4" w:space="0" w:color="auto"/>
            </w:tcBorders>
          </w:tcPr>
          <w:p w14:paraId="2948C951" w14:textId="77777777" w:rsidR="00F33F3C" w:rsidRDefault="00F33F3C" w:rsidP="001A5D4A">
            <w:pPr>
              <w:pStyle w:val="NotesTable-CellPlain"/>
            </w:pPr>
            <w:r>
              <w:t>–</w:t>
            </w:r>
          </w:p>
        </w:tc>
        <w:tc>
          <w:tcPr>
            <w:tcW w:w="409" w:type="pct"/>
            <w:gridSpan w:val="2"/>
            <w:tcBorders>
              <w:top w:val="single" w:sz="4" w:space="0" w:color="auto"/>
              <w:bottom w:val="single" w:sz="4" w:space="0" w:color="auto"/>
            </w:tcBorders>
          </w:tcPr>
          <w:p w14:paraId="685FF6E0" w14:textId="77777777" w:rsidR="00F33F3C" w:rsidRDefault="00F33F3C" w:rsidP="001A5D4A">
            <w:pPr>
              <w:pStyle w:val="NotesTable-CellBold"/>
            </w:pPr>
            <w:r>
              <w:t>–</w:t>
            </w:r>
          </w:p>
        </w:tc>
        <w:tc>
          <w:tcPr>
            <w:tcW w:w="421" w:type="pct"/>
            <w:tcBorders>
              <w:top w:val="single" w:sz="4" w:space="0" w:color="auto"/>
              <w:bottom w:val="single" w:sz="4" w:space="0" w:color="auto"/>
            </w:tcBorders>
          </w:tcPr>
          <w:p w14:paraId="448ED008" w14:textId="77777777" w:rsidR="00F33F3C" w:rsidRDefault="00F33F3C" w:rsidP="001A5D4A">
            <w:pPr>
              <w:pStyle w:val="NotesTable-CellPlain"/>
            </w:pPr>
            <w:r>
              <w:t>–</w:t>
            </w:r>
          </w:p>
        </w:tc>
      </w:tr>
      <w:tr w:rsidR="00F33F3C" w14:paraId="52633EFC" w14:textId="77777777" w:rsidTr="00AE7A0B">
        <w:trPr>
          <w:trHeight w:val="181"/>
        </w:trPr>
        <w:tc>
          <w:tcPr>
            <w:tcW w:w="811" w:type="pct"/>
          </w:tcPr>
          <w:p w14:paraId="7A8EC81B" w14:textId="77777777" w:rsidR="00F33F3C" w:rsidRPr="001950AA" w:rsidRDefault="00F33F3C" w:rsidP="001A5D4A">
            <w:pPr>
              <w:pStyle w:val="Note-Refs"/>
              <w:rPr>
                <w:b/>
                <w:highlight w:val="yellow"/>
              </w:rPr>
            </w:pPr>
            <w:r w:rsidRPr="00931B52">
              <w:t>AASB128.38</w:t>
            </w:r>
          </w:p>
        </w:tc>
        <w:tc>
          <w:tcPr>
            <w:tcW w:w="2551" w:type="pct"/>
            <w:gridSpan w:val="5"/>
            <w:vAlign w:val="bottom"/>
          </w:tcPr>
          <w:p w14:paraId="529FA420" w14:textId="7264145E" w:rsidR="00F33F3C" w:rsidRDefault="00F33F3C" w:rsidP="001A5D4A">
            <w:pPr>
              <w:pStyle w:val="Note-Text"/>
              <w:rPr>
                <w:b/>
              </w:rPr>
            </w:pPr>
            <w:r>
              <w:t xml:space="preserve">Share of </w:t>
            </w:r>
            <w:r w:rsidR="00043A6F">
              <w:t>joint ventures’</w:t>
            </w:r>
            <w:r>
              <w:t xml:space="preserve"> profit/(loss)</w:t>
            </w:r>
          </w:p>
        </w:tc>
        <w:tc>
          <w:tcPr>
            <w:tcW w:w="404" w:type="pct"/>
            <w:gridSpan w:val="3"/>
            <w:tcBorders>
              <w:top w:val="single" w:sz="4" w:space="0" w:color="auto"/>
            </w:tcBorders>
          </w:tcPr>
          <w:p w14:paraId="51684441" w14:textId="77777777" w:rsidR="00F33F3C" w:rsidRDefault="00F33F3C" w:rsidP="001A5D4A">
            <w:pPr>
              <w:pStyle w:val="NotesTable-CellBold"/>
            </w:pPr>
            <w:r>
              <w:t>–</w:t>
            </w:r>
          </w:p>
        </w:tc>
        <w:tc>
          <w:tcPr>
            <w:tcW w:w="404" w:type="pct"/>
            <w:gridSpan w:val="3"/>
            <w:tcBorders>
              <w:top w:val="single" w:sz="4" w:space="0" w:color="auto"/>
            </w:tcBorders>
          </w:tcPr>
          <w:p w14:paraId="280F4948" w14:textId="77777777" w:rsidR="00F33F3C" w:rsidRDefault="00F33F3C" w:rsidP="001A5D4A">
            <w:pPr>
              <w:pStyle w:val="NotesTable-CellPlain"/>
            </w:pPr>
            <w:r>
              <w:t>–</w:t>
            </w:r>
          </w:p>
        </w:tc>
        <w:tc>
          <w:tcPr>
            <w:tcW w:w="409" w:type="pct"/>
            <w:gridSpan w:val="2"/>
            <w:tcBorders>
              <w:top w:val="single" w:sz="4" w:space="0" w:color="auto"/>
            </w:tcBorders>
          </w:tcPr>
          <w:p w14:paraId="6D7B168F" w14:textId="77777777" w:rsidR="00F33F3C" w:rsidRDefault="00F33F3C" w:rsidP="001A5D4A">
            <w:pPr>
              <w:pStyle w:val="NotesTable-CellBold"/>
            </w:pPr>
            <w:r>
              <w:t>–</w:t>
            </w:r>
          </w:p>
        </w:tc>
        <w:tc>
          <w:tcPr>
            <w:tcW w:w="421" w:type="pct"/>
            <w:tcBorders>
              <w:top w:val="single" w:sz="4" w:space="0" w:color="auto"/>
            </w:tcBorders>
          </w:tcPr>
          <w:p w14:paraId="261D7020" w14:textId="77777777" w:rsidR="00F33F3C" w:rsidRDefault="00F33F3C" w:rsidP="001A5D4A">
            <w:pPr>
              <w:pStyle w:val="NotesTable-CellPlain"/>
            </w:pPr>
            <w:r>
              <w:t>–</w:t>
            </w:r>
          </w:p>
        </w:tc>
      </w:tr>
      <w:tr w:rsidR="00FC27E0" w14:paraId="020D2B5C" w14:textId="77777777" w:rsidTr="00AE7A0B">
        <w:trPr>
          <w:trHeight w:hRule="exact" w:val="85"/>
        </w:trPr>
        <w:tc>
          <w:tcPr>
            <w:tcW w:w="811" w:type="pct"/>
            <w:vAlign w:val="bottom"/>
          </w:tcPr>
          <w:p w14:paraId="5AA16037" w14:textId="77777777" w:rsidR="00FC27E0" w:rsidRDefault="00FC27E0" w:rsidP="001A5D4A">
            <w:pPr>
              <w:pStyle w:val="Note-Refs"/>
            </w:pPr>
          </w:p>
        </w:tc>
        <w:tc>
          <w:tcPr>
            <w:tcW w:w="4189" w:type="pct"/>
            <w:gridSpan w:val="14"/>
            <w:vAlign w:val="bottom"/>
          </w:tcPr>
          <w:p w14:paraId="7BF506A7" w14:textId="77777777" w:rsidR="00FC27E0" w:rsidRDefault="00FC27E0" w:rsidP="001A5D4A">
            <w:pPr>
              <w:snapToGrid w:val="0"/>
              <w:spacing w:line="100" w:lineRule="atLeast"/>
              <w:rPr>
                <w:rFonts w:ascii="Arial" w:hAnsi="Arial" w:cs="Arial"/>
                <w:sz w:val="20"/>
              </w:rPr>
            </w:pPr>
          </w:p>
        </w:tc>
      </w:tr>
      <w:tr w:rsidR="00FC27E0" w:rsidRPr="002516F9" w14:paraId="16AEC936" w14:textId="77777777" w:rsidTr="00AE7A0B">
        <w:trPr>
          <w:trHeight w:val="181"/>
        </w:trPr>
        <w:tc>
          <w:tcPr>
            <w:tcW w:w="811" w:type="pct"/>
          </w:tcPr>
          <w:p w14:paraId="4E45111B" w14:textId="77777777" w:rsidR="00FC27E0" w:rsidRDefault="00FC27E0" w:rsidP="001A5D4A">
            <w:pPr>
              <w:pStyle w:val="Note-Refs"/>
            </w:pPr>
            <w:r>
              <w:t>AASB12.22c</w:t>
            </w:r>
          </w:p>
        </w:tc>
        <w:tc>
          <w:tcPr>
            <w:tcW w:w="4189" w:type="pct"/>
            <w:gridSpan w:val="14"/>
            <w:vAlign w:val="bottom"/>
          </w:tcPr>
          <w:p w14:paraId="4AAE2ADA" w14:textId="77777777" w:rsidR="00FC27E0" w:rsidRPr="002516F9" w:rsidRDefault="00FC27E0" w:rsidP="001A5D4A">
            <w:pPr>
              <w:pStyle w:val="Note-Text"/>
              <w:rPr>
                <w:rFonts w:eastAsia="Times New Roman"/>
              </w:rPr>
            </w:pPr>
            <w:r w:rsidRPr="002516F9">
              <w:rPr>
                <w:rFonts w:eastAsia="Times New Roman"/>
              </w:rPr>
              <w:t>[Include the unrecognised share of losses of a joint venture or associate (for the reporting period and cumulatively) if the group has stopped recognising its share of losses when applying the equity method]</w:t>
            </w:r>
          </w:p>
        </w:tc>
      </w:tr>
      <w:tr w:rsidR="00FC27E0" w:rsidRPr="00145EDB" w14:paraId="2B263CA8" w14:textId="77777777" w:rsidTr="00AE7A0B">
        <w:trPr>
          <w:trHeight w:hRule="exact" w:val="85"/>
        </w:trPr>
        <w:tc>
          <w:tcPr>
            <w:tcW w:w="811" w:type="pct"/>
          </w:tcPr>
          <w:p w14:paraId="4A69D231" w14:textId="77777777" w:rsidR="00FC27E0" w:rsidRDefault="00FC27E0" w:rsidP="001A5D4A">
            <w:pPr>
              <w:pStyle w:val="Note-Refs"/>
            </w:pPr>
          </w:p>
        </w:tc>
        <w:tc>
          <w:tcPr>
            <w:tcW w:w="4189" w:type="pct"/>
            <w:gridSpan w:val="14"/>
            <w:vAlign w:val="bottom"/>
          </w:tcPr>
          <w:p w14:paraId="58B176C5" w14:textId="77777777" w:rsidR="00FC27E0" w:rsidRPr="00145EDB" w:rsidRDefault="00FC27E0" w:rsidP="001A5D4A">
            <w:pPr>
              <w:spacing w:line="100" w:lineRule="atLeast"/>
              <w:rPr>
                <w:rFonts w:ascii="Arial" w:eastAsia="Times New Roman" w:hAnsi="Arial" w:cs="Arial"/>
                <w:b/>
                <w:iCs/>
                <w:sz w:val="18"/>
                <w:szCs w:val="20"/>
                <w:lang w:eastAsia="ar-SA"/>
              </w:rPr>
            </w:pPr>
          </w:p>
        </w:tc>
      </w:tr>
      <w:tr w:rsidR="00FC27E0" w:rsidRPr="00931B52" w14:paraId="69A28CAD" w14:textId="77777777" w:rsidTr="00AE7A0B">
        <w:trPr>
          <w:trHeight w:val="181"/>
        </w:trPr>
        <w:tc>
          <w:tcPr>
            <w:tcW w:w="811" w:type="pct"/>
          </w:tcPr>
          <w:p w14:paraId="74F1D1BE" w14:textId="77777777" w:rsidR="00FC27E0" w:rsidRPr="00931B52" w:rsidRDefault="00FC27E0" w:rsidP="001A5D4A">
            <w:pPr>
              <w:pStyle w:val="Note-Refs"/>
            </w:pPr>
            <w:r w:rsidRPr="00931B52">
              <w:t>AASB12.7</w:t>
            </w:r>
          </w:p>
        </w:tc>
        <w:tc>
          <w:tcPr>
            <w:tcW w:w="4189" w:type="pct"/>
            <w:gridSpan w:val="14"/>
            <w:vAlign w:val="bottom"/>
          </w:tcPr>
          <w:p w14:paraId="7C08689F" w14:textId="77777777" w:rsidR="00FC27E0" w:rsidRPr="00931B52" w:rsidRDefault="00FC27E0" w:rsidP="001A5D4A">
            <w:pPr>
              <w:pStyle w:val="Note-Text"/>
              <w:rPr>
                <w:rFonts w:eastAsia="Times New Roman"/>
              </w:rPr>
            </w:pPr>
            <w:r w:rsidRPr="00931B52">
              <w:rPr>
                <w:rFonts w:eastAsia="Times New Roman"/>
              </w:rPr>
              <w:t>[</w:t>
            </w:r>
            <w:r>
              <w:rPr>
                <w:rFonts w:eastAsia="Times New Roman"/>
              </w:rPr>
              <w:t>I</w:t>
            </w:r>
            <w:r w:rsidRPr="00931B52">
              <w:rPr>
                <w:rFonts w:eastAsia="Times New Roman"/>
              </w:rPr>
              <w:t>nclude significant judgements and assumptions made in determining joint control over another entity or significant influence over another entity]</w:t>
            </w:r>
          </w:p>
        </w:tc>
      </w:tr>
      <w:tr w:rsidR="00FC27E0" w:rsidRPr="00145EDB" w14:paraId="5E3EBFF3" w14:textId="77777777" w:rsidTr="00AE7A0B">
        <w:trPr>
          <w:trHeight w:hRule="exact" w:val="85"/>
        </w:trPr>
        <w:tc>
          <w:tcPr>
            <w:tcW w:w="811" w:type="pct"/>
          </w:tcPr>
          <w:p w14:paraId="1BFBBEDD" w14:textId="77777777" w:rsidR="00FC27E0" w:rsidRDefault="00FC27E0" w:rsidP="001A5D4A">
            <w:pPr>
              <w:pStyle w:val="Note-Refs"/>
            </w:pPr>
          </w:p>
        </w:tc>
        <w:tc>
          <w:tcPr>
            <w:tcW w:w="4189" w:type="pct"/>
            <w:gridSpan w:val="14"/>
            <w:vAlign w:val="bottom"/>
          </w:tcPr>
          <w:p w14:paraId="23D5DAFC" w14:textId="77777777" w:rsidR="00FC27E0" w:rsidRPr="00145EDB" w:rsidRDefault="00FC27E0" w:rsidP="001A5D4A">
            <w:pPr>
              <w:spacing w:line="100" w:lineRule="atLeast"/>
              <w:rPr>
                <w:rFonts w:ascii="Arial" w:eastAsia="Times New Roman" w:hAnsi="Arial" w:cs="Arial"/>
                <w:b/>
                <w:iCs/>
                <w:sz w:val="18"/>
                <w:szCs w:val="20"/>
                <w:lang w:eastAsia="ar-SA"/>
              </w:rPr>
            </w:pPr>
          </w:p>
        </w:tc>
      </w:tr>
    </w:tbl>
    <w:p w14:paraId="12B3ADED" w14:textId="77777777" w:rsidR="00022EFA" w:rsidRDefault="00022EFA">
      <w:r>
        <w:rPr>
          <w:b/>
          <w:i/>
        </w:rPr>
        <w:br w:type="page"/>
      </w:r>
    </w:p>
    <w:tbl>
      <w:tblPr>
        <w:tblW w:w="5000" w:type="pct"/>
        <w:tblCellMar>
          <w:left w:w="0" w:type="dxa"/>
          <w:right w:w="0" w:type="dxa"/>
        </w:tblCellMar>
        <w:tblLook w:val="0000" w:firstRow="0" w:lastRow="0" w:firstColumn="0" w:lastColumn="0" w:noHBand="0" w:noVBand="0"/>
      </w:tblPr>
      <w:tblGrid>
        <w:gridCol w:w="1581"/>
        <w:gridCol w:w="5002"/>
        <w:gridCol w:w="792"/>
        <w:gridCol w:w="792"/>
        <w:gridCol w:w="794"/>
        <w:gridCol w:w="790"/>
      </w:tblGrid>
      <w:tr w:rsidR="00AE7A0B" w:rsidRPr="00145EDB" w14:paraId="054122B6" w14:textId="77777777" w:rsidTr="00AE7A0B">
        <w:trPr>
          <w:trHeight w:val="181"/>
        </w:trPr>
        <w:tc>
          <w:tcPr>
            <w:tcW w:w="5000" w:type="pct"/>
            <w:gridSpan w:val="6"/>
          </w:tcPr>
          <w:p w14:paraId="36A223B8" w14:textId="128B1D65" w:rsidR="00AE7A0B" w:rsidRPr="00672CAA" w:rsidRDefault="00B31ABF" w:rsidP="00AE7A0B">
            <w:pPr>
              <w:pStyle w:val="TOC3"/>
              <w:ind w:left="0"/>
              <w:rPr>
                <w:rFonts w:eastAsia="Times New Roman"/>
                <w:lang w:eastAsia="ar-SA"/>
              </w:rPr>
            </w:pPr>
            <w:r>
              <w:rPr>
                <w:rFonts w:eastAsia="Times New Roman"/>
                <w:lang w:eastAsia="ar-SA"/>
              </w:rPr>
              <w:lastRenderedPageBreak/>
              <w:t>Note 24. Investment</w:t>
            </w:r>
            <w:r w:rsidR="00AE7A0B">
              <w:rPr>
                <w:rFonts w:eastAsia="Times New Roman"/>
                <w:lang w:eastAsia="ar-SA"/>
              </w:rPr>
              <w:t>s accounted for using the equity method (continued)</w:t>
            </w:r>
          </w:p>
        </w:tc>
      </w:tr>
      <w:tr w:rsidR="00FC27E0" w:rsidRPr="00145EDB" w14:paraId="2A9D16C4" w14:textId="77777777" w:rsidTr="00AE7A0B">
        <w:trPr>
          <w:trHeight w:val="181"/>
        </w:trPr>
        <w:tc>
          <w:tcPr>
            <w:tcW w:w="811" w:type="pct"/>
          </w:tcPr>
          <w:p w14:paraId="2856B548" w14:textId="77777777" w:rsidR="00FC27E0" w:rsidRDefault="00FC27E0" w:rsidP="001A5D4A">
            <w:pPr>
              <w:pStyle w:val="Note-Refs"/>
            </w:pPr>
          </w:p>
        </w:tc>
        <w:tc>
          <w:tcPr>
            <w:tcW w:w="4189" w:type="pct"/>
            <w:gridSpan w:val="5"/>
            <w:vAlign w:val="bottom"/>
          </w:tcPr>
          <w:p w14:paraId="21754321" w14:textId="77777777" w:rsidR="00FC27E0" w:rsidRPr="00145EDB" w:rsidRDefault="00FC27E0" w:rsidP="001A5D4A">
            <w:pPr>
              <w:spacing w:line="100" w:lineRule="atLeast"/>
              <w:rPr>
                <w:rFonts w:ascii="Arial" w:eastAsia="Times New Roman" w:hAnsi="Arial" w:cs="Arial"/>
                <w:b/>
                <w:iCs/>
                <w:sz w:val="18"/>
                <w:szCs w:val="20"/>
                <w:lang w:eastAsia="ar-SA"/>
              </w:rPr>
            </w:pPr>
            <w:r w:rsidRPr="00672CAA">
              <w:rPr>
                <w:rFonts w:ascii="Arial" w:eastAsia="Times New Roman" w:hAnsi="Arial" w:cs="Arial"/>
                <w:b/>
                <w:iCs/>
                <w:sz w:val="18"/>
                <w:szCs w:val="20"/>
                <w:lang w:eastAsia="ar-SA"/>
              </w:rPr>
              <w:t>Restrictions</w:t>
            </w:r>
          </w:p>
        </w:tc>
      </w:tr>
      <w:tr w:rsidR="00FC27E0" w:rsidRPr="00672CAA" w14:paraId="00321919" w14:textId="77777777" w:rsidTr="00AE7A0B">
        <w:trPr>
          <w:trHeight w:val="181"/>
        </w:trPr>
        <w:tc>
          <w:tcPr>
            <w:tcW w:w="811" w:type="pct"/>
          </w:tcPr>
          <w:p w14:paraId="677F2582" w14:textId="77777777" w:rsidR="00FC27E0" w:rsidRDefault="00FC27E0" w:rsidP="001A5D4A">
            <w:pPr>
              <w:pStyle w:val="Note-Refs"/>
            </w:pPr>
            <w:r>
              <w:t>AASB12.22</w:t>
            </w:r>
          </w:p>
        </w:tc>
        <w:tc>
          <w:tcPr>
            <w:tcW w:w="4189" w:type="pct"/>
            <w:gridSpan w:val="5"/>
            <w:vAlign w:val="bottom"/>
          </w:tcPr>
          <w:p w14:paraId="13CED0EF" w14:textId="4F6405B0" w:rsidR="00FC27E0" w:rsidRPr="00672CAA" w:rsidRDefault="00FC27E0" w:rsidP="001A5D4A">
            <w:pPr>
              <w:pStyle w:val="Note-Text"/>
              <w:rPr>
                <w:rFonts w:eastAsia="Times New Roman"/>
              </w:rPr>
            </w:pPr>
            <w:r w:rsidRPr="00672CAA">
              <w:rPr>
                <w:rFonts w:eastAsia="Times New Roman"/>
              </w:rPr>
              <w:t xml:space="preserve">[Provide details of the nature and extent of any significant restrictions on the ability of joint ventures or associates to transfer funds to the group in the form of cash dividends </w:t>
            </w:r>
            <w:r w:rsidR="006D17DC">
              <w:rPr>
                <w:rFonts w:eastAsia="Times New Roman"/>
              </w:rPr>
              <w:t>or to repay loans or advances]</w:t>
            </w:r>
          </w:p>
        </w:tc>
      </w:tr>
      <w:tr w:rsidR="00FC27E0" w:rsidRPr="00672CAA" w14:paraId="218EE478" w14:textId="77777777" w:rsidTr="00AE7A0B">
        <w:trPr>
          <w:trHeight w:hRule="exact" w:val="85"/>
        </w:trPr>
        <w:tc>
          <w:tcPr>
            <w:tcW w:w="811" w:type="pct"/>
          </w:tcPr>
          <w:p w14:paraId="1CF9975F" w14:textId="77777777" w:rsidR="00FC27E0" w:rsidRDefault="00FC27E0" w:rsidP="001A5D4A">
            <w:pPr>
              <w:pStyle w:val="Note-Refs"/>
            </w:pPr>
          </w:p>
        </w:tc>
        <w:tc>
          <w:tcPr>
            <w:tcW w:w="4189" w:type="pct"/>
            <w:gridSpan w:val="5"/>
            <w:vAlign w:val="bottom"/>
          </w:tcPr>
          <w:p w14:paraId="2E30CF56" w14:textId="77777777" w:rsidR="00FC27E0" w:rsidRPr="00672CAA" w:rsidRDefault="00FC27E0" w:rsidP="001A5D4A">
            <w:pPr>
              <w:spacing w:line="100" w:lineRule="atLeast"/>
              <w:rPr>
                <w:rFonts w:ascii="Arial" w:eastAsia="Times New Roman" w:hAnsi="Arial" w:cs="Arial"/>
                <w:iCs/>
                <w:sz w:val="18"/>
                <w:szCs w:val="20"/>
                <w:lang w:eastAsia="ar-SA"/>
              </w:rPr>
            </w:pPr>
          </w:p>
        </w:tc>
      </w:tr>
      <w:tr w:rsidR="00F920AC" w14:paraId="53850DE8" w14:textId="77777777" w:rsidTr="00022EFA">
        <w:trPr>
          <w:trHeight w:val="159"/>
        </w:trPr>
        <w:tc>
          <w:tcPr>
            <w:tcW w:w="811" w:type="pct"/>
          </w:tcPr>
          <w:p w14:paraId="5E9426A2" w14:textId="77777777" w:rsidR="00F920AC" w:rsidRDefault="00F920AC" w:rsidP="001A5D4A">
            <w:pPr>
              <w:pStyle w:val="Note-Refs"/>
            </w:pPr>
          </w:p>
        </w:tc>
        <w:tc>
          <w:tcPr>
            <w:tcW w:w="4189" w:type="pct"/>
            <w:gridSpan w:val="5"/>
            <w:vAlign w:val="bottom"/>
          </w:tcPr>
          <w:p w14:paraId="3080AD4C" w14:textId="18A02CFA" w:rsidR="00F920AC" w:rsidDel="00F920AC" w:rsidRDefault="001C678E" w:rsidP="001A5D4A">
            <w:pPr>
              <w:pStyle w:val="Note-TextHeader"/>
              <w:numPr>
                <w:ilvl w:val="0"/>
                <w:numId w:val="4"/>
              </w:numPr>
              <w:ind w:left="357" w:hanging="357"/>
            </w:pPr>
            <w:r>
              <w:t>Individually immaterial joint ventures or associates</w:t>
            </w:r>
          </w:p>
        </w:tc>
      </w:tr>
      <w:tr w:rsidR="00F920AC" w14:paraId="6BBE84B4" w14:textId="77777777" w:rsidTr="00022EFA">
        <w:trPr>
          <w:trHeight w:val="159"/>
        </w:trPr>
        <w:tc>
          <w:tcPr>
            <w:tcW w:w="811" w:type="pct"/>
          </w:tcPr>
          <w:p w14:paraId="7D4D809A" w14:textId="2035D77E" w:rsidR="00F920AC" w:rsidRDefault="00F920AC" w:rsidP="001A5D4A">
            <w:pPr>
              <w:pStyle w:val="Note-Refs"/>
            </w:pPr>
            <w:r>
              <w:t>AASB12.B16</w:t>
            </w:r>
          </w:p>
        </w:tc>
        <w:tc>
          <w:tcPr>
            <w:tcW w:w="4189" w:type="pct"/>
            <w:gridSpan w:val="5"/>
            <w:vAlign w:val="bottom"/>
          </w:tcPr>
          <w:p w14:paraId="214B95CC" w14:textId="465CFEE5" w:rsidR="00F920AC" w:rsidDel="00F920AC" w:rsidRDefault="00F920AC" w:rsidP="001A5D4A">
            <w:pPr>
              <w:pStyle w:val="Note-Text"/>
            </w:pPr>
            <w:r w:rsidRPr="00E47831">
              <w:rPr>
                <w:rFonts w:eastAsia="Times New Roman"/>
              </w:rPr>
              <w:t xml:space="preserve">Aggregate carrying amount of interests in joint ventures </w:t>
            </w:r>
            <w:r w:rsidR="00F54114" w:rsidRPr="00E47831">
              <w:rPr>
                <w:rFonts w:eastAsia="Times New Roman"/>
              </w:rPr>
              <w:t xml:space="preserve">and associates </w:t>
            </w:r>
            <w:r w:rsidR="00933136" w:rsidRPr="00E47831">
              <w:rPr>
                <w:rFonts w:eastAsia="Times New Roman"/>
              </w:rPr>
              <w:t xml:space="preserve">accounted for using the equity method </w:t>
            </w:r>
            <w:r w:rsidRPr="00E47831">
              <w:rPr>
                <w:rFonts w:eastAsia="Times New Roman"/>
              </w:rPr>
              <w:t>that are</w:t>
            </w:r>
            <w:r w:rsidR="00E73C31" w:rsidRPr="00E47831">
              <w:rPr>
                <w:rFonts w:eastAsia="Times New Roman"/>
              </w:rPr>
              <w:t xml:space="preserve"> not individually material</w:t>
            </w:r>
            <w:r w:rsidRPr="00E47831">
              <w:rPr>
                <w:rFonts w:eastAsia="Times New Roman"/>
              </w:rPr>
              <w:t xml:space="preserve"> </w:t>
            </w:r>
            <w:r w:rsidR="00646ABF" w:rsidRPr="00E47831">
              <w:rPr>
                <w:rFonts w:eastAsia="Times New Roman"/>
              </w:rPr>
              <w:t>in the consolidated financial statements</w:t>
            </w:r>
            <w:r w:rsidRPr="00E47831">
              <w:rPr>
                <w:rFonts w:eastAsia="Times New Roman"/>
              </w:rPr>
              <w:t>:</w:t>
            </w:r>
          </w:p>
        </w:tc>
      </w:tr>
      <w:tr w:rsidR="00F920AC" w14:paraId="70802655" w14:textId="77777777" w:rsidTr="00022EFA">
        <w:trPr>
          <w:trHeight w:hRule="exact" w:val="85"/>
        </w:trPr>
        <w:tc>
          <w:tcPr>
            <w:tcW w:w="811" w:type="pct"/>
          </w:tcPr>
          <w:p w14:paraId="74825E0A" w14:textId="77777777" w:rsidR="00F920AC" w:rsidRDefault="00F920AC" w:rsidP="001A5D4A">
            <w:pPr>
              <w:pStyle w:val="Note-Refs"/>
            </w:pPr>
          </w:p>
        </w:tc>
        <w:tc>
          <w:tcPr>
            <w:tcW w:w="4189" w:type="pct"/>
            <w:gridSpan w:val="5"/>
            <w:vAlign w:val="bottom"/>
          </w:tcPr>
          <w:p w14:paraId="485E9B7F" w14:textId="77777777" w:rsidR="00F920AC" w:rsidDel="00F920AC" w:rsidRDefault="00F920AC" w:rsidP="001A5D4A">
            <w:pPr>
              <w:pStyle w:val="NotesTable-ItemPlain"/>
            </w:pPr>
          </w:p>
        </w:tc>
      </w:tr>
      <w:tr w:rsidR="007664C4" w14:paraId="0C9C0BFA" w14:textId="77777777" w:rsidTr="00022EFA">
        <w:trPr>
          <w:trHeight w:val="159"/>
        </w:trPr>
        <w:tc>
          <w:tcPr>
            <w:tcW w:w="811" w:type="pct"/>
          </w:tcPr>
          <w:p w14:paraId="0ACB83FA" w14:textId="77777777" w:rsidR="007664C4" w:rsidRDefault="007664C4" w:rsidP="001A5D4A">
            <w:pPr>
              <w:pStyle w:val="Note-Refs"/>
            </w:pPr>
          </w:p>
        </w:tc>
        <w:tc>
          <w:tcPr>
            <w:tcW w:w="2565" w:type="pct"/>
            <w:vAlign w:val="bottom"/>
          </w:tcPr>
          <w:p w14:paraId="3C92D12E" w14:textId="77777777" w:rsidR="007664C4" w:rsidRDefault="007664C4" w:rsidP="001A5D4A">
            <w:pPr>
              <w:pStyle w:val="NotesTable-ItemPlain"/>
            </w:pPr>
          </w:p>
        </w:tc>
        <w:tc>
          <w:tcPr>
            <w:tcW w:w="812" w:type="pct"/>
            <w:gridSpan w:val="2"/>
          </w:tcPr>
          <w:p w14:paraId="43C71E5E" w14:textId="3F5FA538" w:rsidR="007664C4" w:rsidRDefault="00F920AC" w:rsidP="001A5D4A">
            <w:pPr>
              <w:pStyle w:val="NotesTable-CellPlain"/>
            </w:pPr>
            <w:r w:rsidRPr="00B12F08">
              <w:t>Associates</w:t>
            </w:r>
          </w:p>
        </w:tc>
        <w:tc>
          <w:tcPr>
            <w:tcW w:w="812" w:type="pct"/>
            <w:gridSpan w:val="2"/>
          </w:tcPr>
          <w:p w14:paraId="48E4CD12" w14:textId="535236AD" w:rsidR="007664C4" w:rsidRDefault="00F920AC" w:rsidP="001A5D4A">
            <w:pPr>
              <w:pStyle w:val="NotesTable-CellPlain"/>
            </w:pPr>
            <w:r>
              <w:t>Joint Ventures</w:t>
            </w:r>
          </w:p>
        </w:tc>
      </w:tr>
      <w:tr w:rsidR="007664C4" w14:paraId="0F4EBE57" w14:textId="77777777" w:rsidTr="00022EFA">
        <w:trPr>
          <w:trHeight w:val="159"/>
        </w:trPr>
        <w:tc>
          <w:tcPr>
            <w:tcW w:w="811" w:type="pct"/>
          </w:tcPr>
          <w:p w14:paraId="59842087" w14:textId="77777777" w:rsidR="007664C4" w:rsidRDefault="007664C4" w:rsidP="001A5D4A">
            <w:pPr>
              <w:pStyle w:val="Note-Refs"/>
            </w:pPr>
          </w:p>
        </w:tc>
        <w:tc>
          <w:tcPr>
            <w:tcW w:w="2565" w:type="pct"/>
            <w:vAlign w:val="bottom"/>
          </w:tcPr>
          <w:p w14:paraId="3CE0C96A" w14:textId="77777777" w:rsidR="007664C4" w:rsidRDefault="007664C4" w:rsidP="001A5D4A">
            <w:pPr>
              <w:pStyle w:val="NotesTable-ItemPlain"/>
            </w:pPr>
          </w:p>
        </w:tc>
        <w:tc>
          <w:tcPr>
            <w:tcW w:w="406" w:type="pct"/>
          </w:tcPr>
          <w:p w14:paraId="169BB057" w14:textId="5C4B5902" w:rsidR="007664C4" w:rsidRDefault="006E7B59" w:rsidP="001A5D4A">
            <w:pPr>
              <w:pStyle w:val="NotesTable-HeadBold"/>
            </w:pPr>
            <w:r>
              <w:t>2014</w:t>
            </w:r>
          </w:p>
        </w:tc>
        <w:tc>
          <w:tcPr>
            <w:tcW w:w="406" w:type="pct"/>
          </w:tcPr>
          <w:p w14:paraId="6DC8C25C" w14:textId="51A27C2A" w:rsidR="007664C4" w:rsidRDefault="006E7B59" w:rsidP="001A5D4A">
            <w:pPr>
              <w:pStyle w:val="NotesTable-HeadPlain"/>
            </w:pPr>
            <w:r>
              <w:t>2013</w:t>
            </w:r>
          </w:p>
        </w:tc>
        <w:tc>
          <w:tcPr>
            <w:tcW w:w="407" w:type="pct"/>
          </w:tcPr>
          <w:p w14:paraId="49D52B92" w14:textId="61823A50" w:rsidR="007664C4" w:rsidRDefault="007664C4" w:rsidP="001A5D4A">
            <w:pPr>
              <w:pStyle w:val="NotesTable-HeadBold"/>
            </w:pPr>
            <w:r>
              <w:t>201</w:t>
            </w:r>
            <w:r w:rsidR="006E7B59">
              <w:t>4</w:t>
            </w:r>
          </w:p>
        </w:tc>
        <w:tc>
          <w:tcPr>
            <w:tcW w:w="405" w:type="pct"/>
          </w:tcPr>
          <w:p w14:paraId="11F56C77" w14:textId="5C03EDD8" w:rsidR="007664C4" w:rsidRDefault="006E7B59" w:rsidP="001A5D4A">
            <w:pPr>
              <w:pStyle w:val="NotesTable-HeadPlain"/>
            </w:pPr>
            <w:r>
              <w:t>2013</w:t>
            </w:r>
          </w:p>
        </w:tc>
      </w:tr>
      <w:tr w:rsidR="007664C4" w14:paraId="5565C0CA" w14:textId="77777777" w:rsidTr="00022EFA">
        <w:trPr>
          <w:trHeight w:val="159"/>
        </w:trPr>
        <w:tc>
          <w:tcPr>
            <w:tcW w:w="811" w:type="pct"/>
          </w:tcPr>
          <w:p w14:paraId="5AE8D06B" w14:textId="77777777" w:rsidR="007664C4" w:rsidRDefault="007664C4" w:rsidP="001A5D4A">
            <w:pPr>
              <w:pStyle w:val="Note-Refs"/>
            </w:pPr>
          </w:p>
        </w:tc>
        <w:tc>
          <w:tcPr>
            <w:tcW w:w="2565" w:type="pct"/>
            <w:vAlign w:val="bottom"/>
          </w:tcPr>
          <w:p w14:paraId="30907748" w14:textId="77777777" w:rsidR="007664C4" w:rsidRDefault="007664C4" w:rsidP="001A5D4A">
            <w:pPr>
              <w:pStyle w:val="NotesTable-ItemPlain"/>
            </w:pPr>
          </w:p>
        </w:tc>
        <w:tc>
          <w:tcPr>
            <w:tcW w:w="406" w:type="pct"/>
          </w:tcPr>
          <w:p w14:paraId="313CD9E7" w14:textId="77777777" w:rsidR="007664C4" w:rsidRDefault="007664C4" w:rsidP="001A5D4A">
            <w:pPr>
              <w:pStyle w:val="NotesTable-HeadBold"/>
            </w:pPr>
            <w:r>
              <w:t>$’000</w:t>
            </w:r>
          </w:p>
        </w:tc>
        <w:tc>
          <w:tcPr>
            <w:tcW w:w="406" w:type="pct"/>
          </w:tcPr>
          <w:p w14:paraId="0680371B" w14:textId="77777777" w:rsidR="007664C4" w:rsidRDefault="007664C4" w:rsidP="001A5D4A">
            <w:pPr>
              <w:pStyle w:val="NotesTable-HeadPlain"/>
            </w:pPr>
            <w:r>
              <w:t>$’000</w:t>
            </w:r>
          </w:p>
        </w:tc>
        <w:tc>
          <w:tcPr>
            <w:tcW w:w="407" w:type="pct"/>
          </w:tcPr>
          <w:p w14:paraId="7FCEC585" w14:textId="77777777" w:rsidR="007664C4" w:rsidRDefault="007664C4" w:rsidP="001A5D4A">
            <w:pPr>
              <w:pStyle w:val="NotesTable-HeadBold"/>
            </w:pPr>
            <w:r>
              <w:t>$’000</w:t>
            </w:r>
          </w:p>
        </w:tc>
        <w:tc>
          <w:tcPr>
            <w:tcW w:w="405" w:type="pct"/>
          </w:tcPr>
          <w:p w14:paraId="3A7C80CB" w14:textId="77777777" w:rsidR="007664C4" w:rsidRDefault="007664C4" w:rsidP="001A5D4A">
            <w:pPr>
              <w:pStyle w:val="NotesTable-HeadPlain"/>
            </w:pPr>
            <w:r>
              <w:t>$’000</w:t>
            </w:r>
          </w:p>
        </w:tc>
      </w:tr>
      <w:tr w:rsidR="007664C4" w14:paraId="505771B5" w14:textId="77777777" w:rsidTr="00022EFA">
        <w:trPr>
          <w:trHeight w:val="159"/>
        </w:trPr>
        <w:tc>
          <w:tcPr>
            <w:tcW w:w="811" w:type="pct"/>
          </w:tcPr>
          <w:p w14:paraId="3BA1E571" w14:textId="77777777" w:rsidR="007664C4" w:rsidRDefault="007664C4" w:rsidP="001A5D4A">
            <w:pPr>
              <w:pStyle w:val="Note-Refs"/>
            </w:pPr>
          </w:p>
        </w:tc>
        <w:tc>
          <w:tcPr>
            <w:tcW w:w="2565" w:type="pct"/>
            <w:vAlign w:val="bottom"/>
          </w:tcPr>
          <w:p w14:paraId="4CEBF4A5" w14:textId="140862D1" w:rsidR="007664C4" w:rsidRDefault="007664C4" w:rsidP="001A5D4A">
            <w:pPr>
              <w:pStyle w:val="Note-Text"/>
            </w:pPr>
            <w:r>
              <w:t>Profit</w:t>
            </w:r>
            <w:r w:rsidR="00646ABF">
              <w:t>/(</w:t>
            </w:r>
            <w:r>
              <w:t>loss</w:t>
            </w:r>
            <w:r w:rsidR="00646ABF">
              <w:t>)</w:t>
            </w:r>
            <w:r>
              <w:t xml:space="preserve"> from continuing operations</w:t>
            </w:r>
          </w:p>
        </w:tc>
        <w:tc>
          <w:tcPr>
            <w:tcW w:w="406" w:type="pct"/>
          </w:tcPr>
          <w:p w14:paraId="13153A8E" w14:textId="79062C2E" w:rsidR="007664C4" w:rsidRPr="004D66D7" w:rsidRDefault="007664C4" w:rsidP="001A5D4A">
            <w:pPr>
              <w:pStyle w:val="NotesTable-CellBold"/>
            </w:pPr>
            <w:r w:rsidRPr="004D66D7">
              <w:t>–</w:t>
            </w:r>
          </w:p>
        </w:tc>
        <w:tc>
          <w:tcPr>
            <w:tcW w:w="406" w:type="pct"/>
          </w:tcPr>
          <w:p w14:paraId="3074208B" w14:textId="7CD9EC60" w:rsidR="007664C4" w:rsidRPr="00B605F2" w:rsidRDefault="007664C4" w:rsidP="001A5D4A">
            <w:pPr>
              <w:pStyle w:val="NotesTable-CellPlain"/>
            </w:pPr>
            <w:r w:rsidRPr="004D66D7">
              <w:t>–</w:t>
            </w:r>
          </w:p>
        </w:tc>
        <w:tc>
          <w:tcPr>
            <w:tcW w:w="407" w:type="pct"/>
          </w:tcPr>
          <w:p w14:paraId="72114EDB" w14:textId="4F4E0EE4" w:rsidR="007664C4" w:rsidRPr="000C3A74" w:rsidRDefault="007664C4" w:rsidP="001A5D4A">
            <w:pPr>
              <w:pStyle w:val="NotesTable-CellBold"/>
            </w:pPr>
            <w:r w:rsidRPr="00FA6CB2">
              <w:t>–</w:t>
            </w:r>
          </w:p>
        </w:tc>
        <w:tc>
          <w:tcPr>
            <w:tcW w:w="405" w:type="pct"/>
          </w:tcPr>
          <w:p w14:paraId="1D0B2A03" w14:textId="009E2FF3" w:rsidR="007664C4" w:rsidRPr="000C3A74" w:rsidRDefault="007664C4" w:rsidP="001A5D4A">
            <w:pPr>
              <w:pStyle w:val="NotesTable-CellPlain"/>
            </w:pPr>
            <w:r w:rsidRPr="000C3A74">
              <w:t>–</w:t>
            </w:r>
          </w:p>
        </w:tc>
      </w:tr>
      <w:tr w:rsidR="00646ABF" w14:paraId="63F94F9F" w14:textId="77777777" w:rsidTr="00022EFA">
        <w:trPr>
          <w:trHeight w:val="159"/>
        </w:trPr>
        <w:tc>
          <w:tcPr>
            <w:tcW w:w="811" w:type="pct"/>
          </w:tcPr>
          <w:p w14:paraId="07F0AADC" w14:textId="77777777" w:rsidR="00646ABF" w:rsidRDefault="00646ABF" w:rsidP="001A5D4A">
            <w:pPr>
              <w:pStyle w:val="Note-Refs"/>
            </w:pPr>
          </w:p>
        </w:tc>
        <w:tc>
          <w:tcPr>
            <w:tcW w:w="2565" w:type="pct"/>
            <w:vAlign w:val="bottom"/>
          </w:tcPr>
          <w:p w14:paraId="36D77A10" w14:textId="78D1598C" w:rsidR="00646ABF" w:rsidRDefault="00646ABF" w:rsidP="001A5D4A">
            <w:pPr>
              <w:pStyle w:val="Note-Text"/>
            </w:pPr>
            <w:r>
              <w:t>Profit/(loss) from continuing operations after income tax</w:t>
            </w:r>
          </w:p>
        </w:tc>
        <w:tc>
          <w:tcPr>
            <w:tcW w:w="406" w:type="pct"/>
          </w:tcPr>
          <w:p w14:paraId="03727DE0" w14:textId="52FD2FAC" w:rsidR="00646ABF" w:rsidRPr="004D66D7" w:rsidRDefault="00646ABF" w:rsidP="001A5D4A">
            <w:pPr>
              <w:pStyle w:val="NotesTable-CellBold"/>
            </w:pPr>
            <w:r w:rsidRPr="004D66D7">
              <w:t>–</w:t>
            </w:r>
          </w:p>
        </w:tc>
        <w:tc>
          <w:tcPr>
            <w:tcW w:w="406" w:type="pct"/>
          </w:tcPr>
          <w:p w14:paraId="5A53A77B" w14:textId="561ABA97" w:rsidR="00646ABF" w:rsidRPr="004D66D7" w:rsidRDefault="00646ABF" w:rsidP="001A5D4A">
            <w:pPr>
              <w:pStyle w:val="NotesTable-CellPlain"/>
            </w:pPr>
            <w:r w:rsidRPr="004D66D7">
              <w:t>–</w:t>
            </w:r>
          </w:p>
        </w:tc>
        <w:tc>
          <w:tcPr>
            <w:tcW w:w="407" w:type="pct"/>
          </w:tcPr>
          <w:p w14:paraId="564D00DC" w14:textId="5A751C47" w:rsidR="00646ABF" w:rsidRPr="00FA6CB2" w:rsidRDefault="00646ABF" w:rsidP="001A5D4A">
            <w:pPr>
              <w:pStyle w:val="NotesTable-CellBold"/>
            </w:pPr>
            <w:r w:rsidRPr="00FA6CB2">
              <w:t>–</w:t>
            </w:r>
          </w:p>
        </w:tc>
        <w:tc>
          <w:tcPr>
            <w:tcW w:w="405" w:type="pct"/>
          </w:tcPr>
          <w:p w14:paraId="6326D654" w14:textId="59CABF6F" w:rsidR="00646ABF" w:rsidRPr="000C3A74" w:rsidRDefault="00646ABF" w:rsidP="001A5D4A">
            <w:pPr>
              <w:pStyle w:val="NotesTable-CellPlain"/>
            </w:pPr>
            <w:r w:rsidRPr="000C3A74">
              <w:t>–</w:t>
            </w:r>
          </w:p>
        </w:tc>
      </w:tr>
      <w:tr w:rsidR="007664C4" w14:paraId="3AEC62F4" w14:textId="77777777" w:rsidTr="00022EFA">
        <w:trPr>
          <w:trHeight w:val="159"/>
        </w:trPr>
        <w:tc>
          <w:tcPr>
            <w:tcW w:w="811" w:type="pct"/>
          </w:tcPr>
          <w:p w14:paraId="45B20492" w14:textId="77777777" w:rsidR="007664C4" w:rsidRDefault="007664C4" w:rsidP="001A5D4A">
            <w:pPr>
              <w:pStyle w:val="Note-Refs"/>
            </w:pPr>
          </w:p>
        </w:tc>
        <w:tc>
          <w:tcPr>
            <w:tcW w:w="2565" w:type="pct"/>
            <w:vAlign w:val="bottom"/>
          </w:tcPr>
          <w:p w14:paraId="3F74C72C" w14:textId="06959D6F" w:rsidR="007664C4" w:rsidRDefault="007664C4" w:rsidP="001A5D4A">
            <w:pPr>
              <w:pStyle w:val="Note-Text"/>
            </w:pPr>
            <w:r>
              <w:t>Post-tax profit or loss from discontinued operations</w:t>
            </w:r>
          </w:p>
        </w:tc>
        <w:tc>
          <w:tcPr>
            <w:tcW w:w="406" w:type="pct"/>
          </w:tcPr>
          <w:p w14:paraId="7E09A717" w14:textId="21BB7D56" w:rsidR="007664C4" w:rsidRDefault="007664C4" w:rsidP="001A5D4A">
            <w:pPr>
              <w:pStyle w:val="NotesTable-CellBold"/>
            </w:pPr>
            <w:r>
              <w:t>–</w:t>
            </w:r>
          </w:p>
        </w:tc>
        <w:tc>
          <w:tcPr>
            <w:tcW w:w="406" w:type="pct"/>
          </w:tcPr>
          <w:p w14:paraId="535C21D4" w14:textId="30C400FF" w:rsidR="007664C4" w:rsidRDefault="007664C4" w:rsidP="001A5D4A">
            <w:pPr>
              <w:pStyle w:val="NotesTable-CellPlain"/>
            </w:pPr>
            <w:r>
              <w:t>–</w:t>
            </w:r>
          </w:p>
        </w:tc>
        <w:tc>
          <w:tcPr>
            <w:tcW w:w="407" w:type="pct"/>
          </w:tcPr>
          <w:p w14:paraId="108AA141" w14:textId="6A66FC51" w:rsidR="007664C4" w:rsidRDefault="007664C4" w:rsidP="001A5D4A">
            <w:pPr>
              <w:pStyle w:val="NotesTable-CellBold"/>
            </w:pPr>
            <w:r>
              <w:t>–</w:t>
            </w:r>
          </w:p>
        </w:tc>
        <w:tc>
          <w:tcPr>
            <w:tcW w:w="405" w:type="pct"/>
          </w:tcPr>
          <w:p w14:paraId="3158E8EC" w14:textId="0BEAACC9" w:rsidR="007664C4" w:rsidRDefault="007664C4" w:rsidP="001A5D4A">
            <w:pPr>
              <w:pStyle w:val="NotesTable-CellPlain"/>
            </w:pPr>
            <w:r>
              <w:t>–</w:t>
            </w:r>
          </w:p>
        </w:tc>
      </w:tr>
      <w:tr w:rsidR="00F920AC" w14:paraId="4389A201" w14:textId="77777777" w:rsidTr="00022EFA">
        <w:trPr>
          <w:trHeight w:val="159"/>
        </w:trPr>
        <w:tc>
          <w:tcPr>
            <w:tcW w:w="811" w:type="pct"/>
          </w:tcPr>
          <w:p w14:paraId="74E3D284" w14:textId="77777777" w:rsidR="00F920AC" w:rsidRDefault="00F920AC" w:rsidP="001A5D4A">
            <w:pPr>
              <w:pStyle w:val="Note-Refs"/>
            </w:pPr>
          </w:p>
        </w:tc>
        <w:tc>
          <w:tcPr>
            <w:tcW w:w="2565" w:type="pct"/>
            <w:vAlign w:val="bottom"/>
          </w:tcPr>
          <w:p w14:paraId="630FF95A" w14:textId="77777777" w:rsidR="00F920AC" w:rsidRDefault="00F920AC" w:rsidP="001A5D4A">
            <w:pPr>
              <w:pStyle w:val="NotesTable-ItemPlain"/>
            </w:pPr>
          </w:p>
        </w:tc>
        <w:tc>
          <w:tcPr>
            <w:tcW w:w="406" w:type="pct"/>
          </w:tcPr>
          <w:p w14:paraId="76DDE502" w14:textId="77777777" w:rsidR="00F920AC" w:rsidRDefault="00F920AC" w:rsidP="001A5D4A">
            <w:pPr>
              <w:pStyle w:val="NotesTable-CellBold"/>
            </w:pPr>
          </w:p>
        </w:tc>
        <w:tc>
          <w:tcPr>
            <w:tcW w:w="406" w:type="pct"/>
          </w:tcPr>
          <w:p w14:paraId="39A76C79" w14:textId="77777777" w:rsidR="00F920AC" w:rsidRDefault="00F920AC" w:rsidP="001A5D4A">
            <w:pPr>
              <w:pStyle w:val="NotesTable-CellPlain"/>
            </w:pPr>
          </w:p>
        </w:tc>
        <w:tc>
          <w:tcPr>
            <w:tcW w:w="407" w:type="pct"/>
          </w:tcPr>
          <w:p w14:paraId="66F92343" w14:textId="77777777" w:rsidR="00F920AC" w:rsidRDefault="00F920AC" w:rsidP="001A5D4A">
            <w:pPr>
              <w:pStyle w:val="NotesTable-CellBold"/>
            </w:pPr>
          </w:p>
        </w:tc>
        <w:tc>
          <w:tcPr>
            <w:tcW w:w="405" w:type="pct"/>
          </w:tcPr>
          <w:p w14:paraId="7ECAC237" w14:textId="77777777" w:rsidR="00F920AC" w:rsidRDefault="00F920AC" w:rsidP="001A5D4A">
            <w:pPr>
              <w:pStyle w:val="NotesTable-CellPlain"/>
            </w:pPr>
          </w:p>
        </w:tc>
      </w:tr>
      <w:tr w:rsidR="007664C4" w14:paraId="7DD10FD7" w14:textId="77777777" w:rsidTr="00022EFA">
        <w:trPr>
          <w:trHeight w:val="159"/>
        </w:trPr>
        <w:tc>
          <w:tcPr>
            <w:tcW w:w="811" w:type="pct"/>
          </w:tcPr>
          <w:p w14:paraId="199CED7B" w14:textId="77777777" w:rsidR="007664C4" w:rsidRDefault="007664C4" w:rsidP="001A5D4A">
            <w:pPr>
              <w:pStyle w:val="Note-Refs"/>
            </w:pPr>
          </w:p>
        </w:tc>
        <w:tc>
          <w:tcPr>
            <w:tcW w:w="2565" w:type="pct"/>
            <w:vAlign w:val="bottom"/>
          </w:tcPr>
          <w:p w14:paraId="344F3C0F" w14:textId="77777777" w:rsidR="007664C4" w:rsidRDefault="007664C4" w:rsidP="001A5D4A">
            <w:pPr>
              <w:pStyle w:val="Note-Text"/>
            </w:pPr>
            <w:r>
              <w:t>Other comprehensive income</w:t>
            </w:r>
          </w:p>
        </w:tc>
        <w:tc>
          <w:tcPr>
            <w:tcW w:w="406" w:type="pct"/>
          </w:tcPr>
          <w:p w14:paraId="5EBFE403" w14:textId="0E8779A5" w:rsidR="007664C4" w:rsidRDefault="007664C4" w:rsidP="001A5D4A">
            <w:pPr>
              <w:pStyle w:val="NotesTable-CellBold"/>
            </w:pPr>
            <w:r>
              <w:t>–</w:t>
            </w:r>
          </w:p>
        </w:tc>
        <w:tc>
          <w:tcPr>
            <w:tcW w:w="406" w:type="pct"/>
          </w:tcPr>
          <w:p w14:paraId="029B3BC2" w14:textId="7E525620" w:rsidR="007664C4" w:rsidRDefault="007664C4" w:rsidP="001A5D4A">
            <w:pPr>
              <w:pStyle w:val="NotesTable-CellPlain"/>
            </w:pPr>
            <w:r>
              <w:t>–</w:t>
            </w:r>
          </w:p>
        </w:tc>
        <w:tc>
          <w:tcPr>
            <w:tcW w:w="407" w:type="pct"/>
          </w:tcPr>
          <w:p w14:paraId="18502DD6" w14:textId="37BF09C1" w:rsidR="007664C4" w:rsidRDefault="007664C4" w:rsidP="001A5D4A">
            <w:pPr>
              <w:pStyle w:val="NotesTable-CellBold"/>
            </w:pPr>
            <w:r>
              <w:t>–</w:t>
            </w:r>
          </w:p>
        </w:tc>
        <w:tc>
          <w:tcPr>
            <w:tcW w:w="405" w:type="pct"/>
          </w:tcPr>
          <w:p w14:paraId="56FB329A" w14:textId="36E5FBF8" w:rsidR="007664C4" w:rsidRDefault="007664C4" w:rsidP="001A5D4A">
            <w:pPr>
              <w:pStyle w:val="NotesTable-CellPlain"/>
            </w:pPr>
            <w:r>
              <w:t>–</w:t>
            </w:r>
          </w:p>
        </w:tc>
      </w:tr>
      <w:tr w:rsidR="007664C4" w14:paraId="683FF90D" w14:textId="77777777" w:rsidTr="00022EFA">
        <w:trPr>
          <w:trHeight w:val="159"/>
        </w:trPr>
        <w:tc>
          <w:tcPr>
            <w:tcW w:w="811" w:type="pct"/>
          </w:tcPr>
          <w:p w14:paraId="58599966" w14:textId="77777777" w:rsidR="007664C4" w:rsidRDefault="007664C4" w:rsidP="001A5D4A">
            <w:pPr>
              <w:pStyle w:val="Note-Refs"/>
            </w:pPr>
          </w:p>
        </w:tc>
        <w:tc>
          <w:tcPr>
            <w:tcW w:w="2565" w:type="pct"/>
            <w:vAlign w:val="bottom"/>
          </w:tcPr>
          <w:p w14:paraId="005EC649" w14:textId="77777777" w:rsidR="007664C4" w:rsidRDefault="007664C4" w:rsidP="001A5D4A">
            <w:pPr>
              <w:pStyle w:val="Note-Text"/>
            </w:pPr>
            <w:r>
              <w:t>Total comprehensive income</w:t>
            </w:r>
          </w:p>
        </w:tc>
        <w:tc>
          <w:tcPr>
            <w:tcW w:w="406" w:type="pct"/>
          </w:tcPr>
          <w:p w14:paraId="4EE98508" w14:textId="36C33701" w:rsidR="007664C4" w:rsidRDefault="007664C4" w:rsidP="001A5D4A">
            <w:pPr>
              <w:pStyle w:val="NotesTable-CellBold"/>
            </w:pPr>
            <w:r>
              <w:t>–</w:t>
            </w:r>
          </w:p>
        </w:tc>
        <w:tc>
          <w:tcPr>
            <w:tcW w:w="406" w:type="pct"/>
          </w:tcPr>
          <w:p w14:paraId="6FA16BAE" w14:textId="7A21F8A7" w:rsidR="007664C4" w:rsidRDefault="007664C4" w:rsidP="001A5D4A">
            <w:pPr>
              <w:pStyle w:val="NotesTable-CellPlain"/>
            </w:pPr>
            <w:r>
              <w:t>–</w:t>
            </w:r>
          </w:p>
        </w:tc>
        <w:tc>
          <w:tcPr>
            <w:tcW w:w="407" w:type="pct"/>
          </w:tcPr>
          <w:p w14:paraId="1EACF064" w14:textId="044D0FF7" w:rsidR="007664C4" w:rsidRDefault="007664C4" w:rsidP="001A5D4A">
            <w:pPr>
              <w:pStyle w:val="NotesTable-CellBold"/>
            </w:pPr>
            <w:r>
              <w:t>–</w:t>
            </w:r>
          </w:p>
        </w:tc>
        <w:tc>
          <w:tcPr>
            <w:tcW w:w="405" w:type="pct"/>
          </w:tcPr>
          <w:p w14:paraId="6B8F01AB" w14:textId="1B6A1C6C" w:rsidR="007664C4" w:rsidRDefault="007664C4" w:rsidP="001A5D4A">
            <w:pPr>
              <w:pStyle w:val="NotesTable-CellPlain"/>
            </w:pPr>
            <w:r>
              <w:t>–</w:t>
            </w:r>
          </w:p>
        </w:tc>
      </w:tr>
      <w:tr w:rsidR="007664C4" w14:paraId="1C99ABA7" w14:textId="77777777" w:rsidTr="00022EFA">
        <w:trPr>
          <w:trHeight w:val="159"/>
        </w:trPr>
        <w:tc>
          <w:tcPr>
            <w:tcW w:w="811" w:type="pct"/>
          </w:tcPr>
          <w:p w14:paraId="79425258" w14:textId="77777777" w:rsidR="007664C4" w:rsidRDefault="007664C4" w:rsidP="001A5D4A">
            <w:pPr>
              <w:pStyle w:val="Note-Refs"/>
            </w:pPr>
          </w:p>
        </w:tc>
        <w:tc>
          <w:tcPr>
            <w:tcW w:w="2565" w:type="pct"/>
            <w:vAlign w:val="bottom"/>
          </w:tcPr>
          <w:p w14:paraId="005DE605" w14:textId="77777777" w:rsidR="007664C4" w:rsidRDefault="007664C4" w:rsidP="001A5D4A">
            <w:pPr>
              <w:pStyle w:val="NotesTable-ItemPlain"/>
            </w:pPr>
          </w:p>
        </w:tc>
        <w:tc>
          <w:tcPr>
            <w:tcW w:w="406" w:type="pct"/>
            <w:vAlign w:val="bottom"/>
          </w:tcPr>
          <w:p w14:paraId="2D4DFE99" w14:textId="77777777" w:rsidR="007664C4" w:rsidRDefault="007664C4" w:rsidP="001A5D4A">
            <w:pPr>
              <w:pStyle w:val="NotesTable-ItemPlain"/>
            </w:pPr>
          </w:p>
        </w:tc>
        <w:tc>
          <w:tcPr>
            <w:tcW w:w="406" w:type="pct"/>
            <w:vAlign w:val="bottom"/>
          </w:tcPr>
          <w:p w14:paraId="242CF094" w14:textId="77777777" w:rsidR="007664C4" w:rsidRDefault="007664C4" w:rsidP="001A5D4A">
            <w:pPr>
              <w:pStyle w:val="NotesTable-ItemPlain"/>
            </w:pPr>
          </w:p>
        </w:tc>
        <w:tc>
          <w:tcPr>
            <w:tcW w:w="407" w:type="pct"/>
            <w:vAlign w:val="bottom"/>
          </w:tcPr>
          <w:p w14:paraId="6B161A15" w14:textId="77777777" w:rsidR="007664C4" w:rsidRDefault="007664C4" w:rsidP="001A5D4A">
            <w:pPr>
              <w:pStyle w:val="NotesTable-ItemPlain"/>
            </w:pPr>
          </w:p>
        </w:tc>
        <w:tc>
          <w:tcPr>
            <w:tcW w:w="405" w:type="pct"/>
            <w:vAlign w:val="bottom"/>
          </w:tcPr>
          <w:p w14:paraId="49F379EF" w14:textId="77777777" w:rsidR="007664C4" w:rsidRDefault="007664C4" w:rsidP="001A5D4A">
            <w:pPr>
              <w:pStyle w:val="NotesTable-ItemPlain"/>
            </w:pPr>
          </w:p>
        </w:tc>
      </w:tr>
      <w:tr w:rsidR="007664C4" w14:paraId="3F4CED65" w14:textId="77777777" w:rsidTr="00022EFA">
        <w:trPr>
          <w:trHeight w:val="159"/>
        </w:trPr>
        <w:tc>
          <w:tcPr>
            <w:tcW w:w="811" w:type="pct"/>
          </w:tcPr>
          <w:p w14:paraId="7ED36E76" w14:textId="77777777" w:rsidR="007664C4" w:rsidRDefault="007664C4" w:rsidP="001A5D4A">
            <w:pPr>
              <w:pStyle w:val="Note-Refs"/>
              <w:rPr>
                <w:b/>
              </w:rPr>
            </w:pPr>
            <w:r>
              <w:t xml:space="preserve"> AASB12.23</w:t>
            </w:r>
          </w:p>
        </w:tc>
        <w:tc>
          <w:tcPr>
            <w:tcW w:w="4189" w:type="pct"/>
            <w:gridSpan w:val="5"/>
            <w:vAlign w:val="bottom"/>
          </w:tcPr>
          <w:p w14:paraId="10419710" w14:textId="00288F31" w:rsidR="007664C4" w:rsidRDefault="007664C4" w:rsidP="001A5D4A">
            <w:pPr>
              <w:pStyle w:val="Note-Text"/>
              <w:rPr>
                <w:b/>
              </w:rPr>
            </w:pPr>
            <w:r>
              <w:t>Capital commitments</w:t>
            </w:r>
            <w:r w:rsidR="00E73C31">
              <w:t xml:space="preserve"> arising from the Group’s interest in joint </w:t>
            </w:r>
            <w:r w:rsidR="00D30442">
              <w:t xml:space="preserve">arrangements </w:t>
            </w:r>
            <w:r>
              <w:t xml:space="preserve">and contingent liabilities arising from the Group's interests in associates and joint </w:t>
            </w:r>
            <w:r w:rsidR="00D30442">
              <w:t xml:space="preserve">arrangements </w:t>
            </w:r>
            <w:r>
              <w:t xml:space="preserve">are disclosed in notes </w:t>
            </w:r>
            <w:r w:rsidR="00646ABF">
              <w:t xml:space="preserve">41 </w:t>
            </w:r>
            <w:r>
              <w:t xml:space="preserve">and </w:t>
            </w:r>
            <w:r w:rsidR="00646ABF">
              <w:t xml:space="preserve">40 </w:t>
            </w:r>
            <w:r>
              <w:t>respectively.</w:t>
            </w:r>
          </w:p>
        </w:tc>
      </w:tr>
    </w:tbl>
    <w:p w14:paraId="43E782EF" w14:textId="77777777" w:rsidR="00A44232" w:rsidRPr="007F5DE6" w:rsidRDefault="00A44232" w:rsidP="001A5D4A">
      <w:pPr>
        <w:pStyle w:val="Heading3"/>
        <w:rPr>
          <w:color w:val="2D3E7B" w:themeColor="text2" w:themeShade="BF"/>
        </w:rPr>
      </w:pPr>
      <w:bookmarkStart w:id="327" w:name="_Toc410807636"/>
      <w:bookmarkStart w:id="328" w:name="_Toc410822697"/>
      <w:r w:rsidRPr="007F5DE6">
        <w:rPr>
          <w:color w:val="2D3E7B" w:themeColor="text2" w:themeShade="BF"/>
        </w:rPr>
        <w:t>Commentary – Investments accounted for using the equity method</w:t>
      </w:r>
      <w:bookmarkEnd w:id="327"/>
      <w:bookmarkEnd w:id="328"/>
    </w:p>
    <w:p w14:paraId="2E214EA2" w14:textId="77777777" w:rsidR="00A44232" w:rsidRPr="00AE7A0B" w:rsidRDefault="00A44232" w:rsidP="00F94210">
      <w:pPr>
        <w:pStyle w:val="Heading6"/>
      </w:pPr>
      <w:r w:rsidRPr="00AE7A0B">
        <w:t>AASB11.24</w:t>
      </w:r>
    </w:p>
    <w:p w14:paraId="4ED255F2" w14:textId="77777777" w:rsidR="00A44232" w:rsidRPr="00AE7A0B" w:rsidRDefault="00A44232" w:rsidP="001A5D4A">
      <w:pPr>
        <w:rPr>
          <w:color w:val="2D3E7B" w:themeColor="text2" w:themeShade="BF"/>
        </w:rPr>
      </w:pPr>
      <w:r w:rsidRPr="00AE7A0B">
        <w:rPr>
          <w:color w:val="2D3E7B" w:themeColor="text2" w:themeShade="BF"/>
        </w:rPr>
        <w:t>All joint ventures and associates must be accounted for using the equity method under AASB128.</w:t>
      </w:r>
    </w:p>
    <w:p w14:paraId="4BA1EC73" w14:textId="77777777" w:rsidR="00A44232" w:rsidRPr="00AE7A0B" w:rsidRDefault="00A44232" w:rsidP="00F94210">
      <w:pPr>
        <w:pStyle w:val="Heading6"/>
      </w:pPr>
      <w:r w:rsidRPr="00AE7A0B">
        <w:t>AASB12.B16</w:t>
      </w:r>
    </w:p>
    <w:p w14:paraId="1DF8C7F4" w14:textId="77777777" w:rsidR="00A44232" w:rsidRPr="00AE7A0B" w:rsidRDefault="00A44232" w:rsidP="001A5D4A">
      <w:pPr>
        <w:rPr>
          <w:color w:val="2D3E7B" w:themeColor="text2" w:themeShade="BF"/>
        </w:rPr>
      </w:pPr>
      <w:r w:rsidRPr="00AE7A0B">
        <w:rPr>
          <w:color w:val="2D3E7B" w:themeColor="text2" w:themeShade="BF"/>
        </w:rPr>
        <w:t>Interests in joint ventures and associates should be disclosed separately.</w:t>
      </w:r>
    </w:p>
    <w:p w14:paraId="53925987" w14:textId="77777777" w:rsidR="00A44232" w:rsidRPr="00AE7A0B" w:rsidRDefault="00A44232" w:rsidP="00F94210">
      <w:pPr>
        <w:pStyle w:val="Heading6"/>
        <w:rPr>
          <w:highlight w:val="yellow"/>
        </w:rPr>
      </w:pPr>
      <w:r w:rsidRPr="00AE7A0B">
        <w:t>IFRS11 project summary and feedback statement</w:t>
      </w:r>
    </w:p>
    <w:p w14:paraId="30817C2A" w14:textId="77777777" w:rsidR="00A44232" w:rsidRPr="00AE7A0B" w:rsidRDefault="00A44232" w:rsidP="001A5D4A">
      <w:pPr>
        <w:rPr>
          <w:color w:val="2D3E7B" w:themeColor="text2" w:themeShade="BF"/>
        </w:rPr>
      </w:pPr>
      <w:r w:rsidRPr="00AE7A0B">
        <w:rPr>
          <w:color w:val="2D3E7B" w:themeColor="text2" w:themeShade="BF"/>
        </w:rPr>
        <w:t>AASB12 requires HEPs to disclose information that helps users evaluate the nature, extent and financial effects of its interests in joint arrangements and associates, including the nature and effects of its relationship with other parties or investors in the joint arrangement and associates and the nature of the risks associated with those interests.</w:t>
      </w:r>
    </w:p>
    <w:p w14:paraId="656F4E90" w14:textId="77777777" w:rsidR="00A44232" w:rsidRPr="00AE7A0B" w:rsidRDefault="00A44232" w:rsidP="00F94210">
      <w:pPr>
        <w:pStyle w:val="Heading6"/>
        <w:rPr>
          <w:highlight w:val="yellow"/>
        </w:rPr>
      </w:pPr>
      <w:r w:rsidRPr="00AE7A0B">
        <w:t>AASB128.3</w:t>
      </w:r>
      <w:proofErr w:type="gramStart"/>
      <w:r w:rsidRPr="00AE7A0B">
        <w:t>,5</w:t>
      </w:r>
      <w:proofErr w:type="gramEnd"/>
    </w:p>
    <w:p w14:paraId="7A25D42F" w14:textId="77777777" w:rsidR="00A44232" w:rsidRPr="007F5DE6" w:rsidRDefault="00A44232" w:rsidP="001A5D4A">
      <w:pPr>
        <w:rPr>
          <w:color w:val="2D3E7B" w:themeColor="text2" w:themeShade="BF"/>
        </w:rPr>
      </w:pPr>
      <w:r w:rsidRPr="00AE7A0B">
        <w:rPr>
          <w:color w:val="2D3E7B" w:themeColor="text2" w:themeShade="BF"/>
        </w:rPr>
        <w:t xml:space="preserve">An associate is an entity, including </w:t>
      </w:r>
      <w:r w:rsidRPr="007F5DE6">
        <w:rPr>
          <w:color w:val="2D3E7B" w:themeColor="text2" w:themeShade="BF"/>
        </w:rPr>
        <w:t>an unincorporated entity such as a partnership, over which the investor has significant influence and that is neither a subsidiary nor an interest in a joint venture. Significant influence is the power to participate in the financial and operating policy decisions of the investee but is not control or joint control over those policies. If an entity holds, directly or indirectly 20 per cent or more of the voting power of an investee, it is presumed that the entity has significant influence, unless it can be clearly demonstrated that this is not the case. A substantial ownership by another investor does not necessarily preclude an entity from having significant influence.</w:t>
      </w:r>
    </w:p>
    <w:p w14:paraId="7C1893C0" w14:textId="77777777" w:rsidR="00A44232" w:rsidRPr="00AE7A0B" w:rsidDel="00005B8C" w:rsidRDefault="00A44232" w:rsidP="00F94210">
      <w:pPr>
        <w:pStyle w:val="Heading6"/>
      </w:pPr>
      <w:r w:rsidRPr="00AE7A0B">
        <w:t>AASB11.17</w:t>
      </w:r>
      <w:proofErr w:type="gramStart"/>
      <w:r w:rsidRPr="00AE7A0B">
        <w:t>,B14</w:t>
      </w:r>
      <w:proofErr w:type="gramEnd"/>
      <w:r w:rsidRPr="00AE7A0B">
        <w:t>-15</w:t>
      </w:r>
    </w:p>
    <w:p w14:paraId="55E92C80" w14:textId="77777777" w:rsidR="00A44232" w:rsidRPr="00AE7A0B" w:rsidDel="00005B8C" w:rsidRDefault="00A44232" w:rsidP="001A5D4A">
      <w:pPr>
        <w:rPr>
          <w:color w:val="2D3E7B" w:themeColor="text2" w:themeShade="BF"/>
        </w:rPr>
      </w:pPr>
      <w:r w:rsidRPr="00AE7A0B">
        <w:rPr>
          <w:color w:val="2D3E7B" w:themeColor="text2" w:themeShade="BF"/>
        </w:rPr>
        <w:t xml:space="preserve">HEPs should exercise judgement in assessing whether a joint arrangement is a joint operation or a joint venture. Each party to the arrangement should assess its rights and obligations under the arrangement by considering its structure and legal form, including terms agreed by the parties and where relevant other facts and circumstances. </w:t>
      </w:r>
    </w:p>
    <w:p w14:paraId="0672450B" w14:textId="77777777" w:rsidR="00A44232" w:rsidRPr="00AE7A0B" w:rsidRDefault="00A44232" w:rsidP="00F94210">
      <w:pPr>
        <w:pStyle w:val="Heading6"/>
      </w:pPr>
      <w:r w:rsidRPr="00AE7A0B">
        <w:t>AASB11.B18</w:t>
      </w:r>
    </w:p>
    <w:p w14:paraId="68CF71E3" w14:textId="77777777" w:rsidR="00A44232" w:rsidRPr="00AE7A0B" w:rsidRDefault="00A44232" w:rsidP="001A5D4A">
      <w:pPr>
        <w:rPr>
          <w:color w:val="2D3E7B" w:themeColor="text2" w:themeShade="BF"/>
        </w:rPr>
      </w:pPr>
      <w:r w:rsidRPr="00AE7A0B">
        <w:rPr>
          <w:color w:val="2D3E7B" w:themeColor="text2" w:themeShade="BF"/>
        </w:rPr>
        <w:t>When the parties to a joint arrangement have rights to the assets and obligations for the liabilities relating to the joint arrangement, it is a joint operation. Joint operations are disclosed in note 45.</w:t>
      </w:r>
    </w:p>
    <w:p w14:paraId="21A6DC0A" w14:textId="77777777" w:rsidR="00A44232" w:rsidRPr="00AE7A0B" w:rsidRDefault="00A44232" w:rsidP="00F94210">
      <w:pPr>
        <w:pStyle w:val="Heading6"/>
      </w:pPr>
      <w:r w:rsidRPr="00AE7A0B">
        <w:lastRenderedPageBreak/>
        <w:t>AASB11.16</w:t>
      </w:r>
      <w:proofErr w:type="gramStart"/>
      <w:r w:rsidRPr="00AE7A0B">
        <w:t>,24,B23</w:t>
      </w:r>
      <w:proofErr w:type="gramEnd"/>
    </w:p>
    <w:p w14:paraId="19543404" w14:textId="77777777" w:rsidR="00A44232" w:rsidRPr="00AE7A0B" w:rsidRDefault="00A44232" w:rsidP="001A5D4A">
      <w:pPr>
        <w:rPr>
          <w:color w:val="2D3E7B" w:themeColor="text2" w:themeShade="BF"/>
        </w:rPr>
      </w:pPr>
      <w:r w:rsidRPr="00AE7A0B">
        <w:rPr>
          <w:color w:val="2D3E7B" w:themeColor="text2" w:themeShade="BF"/>
        </w:rPr>
        <w:t>When the HEP has rights to the net assets of the joint arrangement (and the assets and liabilities of the arrangement belong to the separate vehicle, not to the separate parties to the arrangement) it is a joint venture and should be accounted for using the equity method. For more guidance see paragraphs B12-33 of AASB11.</w:t>
      </w:r>
    </w:p>
    <w:p w14:paraId="195F1FB9" w14:textId="77777777" w:rsidR="00A44232" w:rsidRPr="00AE7A0B" w:rsidRDefault="00A44232" w:rsidP="00F94210">
      <w:pPr>
        <w:pStyle w:val="Heading6"/>
      </w:pPr>
      <w:r w:rsidRPr="00AE7A0B">
        <w:t>AASB11.B16</w:t>
      </w:r>
      <w:proofErr w:type="gramStart"/>
      <w:r w:rsidRPr="00AE7A0B">
        <w:t>,B23</w:t>
      </w:r>
      <w:proofErr w:type="gramEnd"/>
    </w:p>
    <w:p w14:paraId="7150B081" w14:textId="77777777" w:rsidR="00A44232" w:rsidRPr="00AE7A0B" w:rsidRDefault="00A44232" w:rsidP="001A5D4A">
      <w:pPr>
        <w:rPr>
          <w:color w:val="2D3E7B" w:themeColor="text2" w:themeShade="BF"/>
        </w:rPr>
      </w:pPr>
      <w:r w:rsidRPr="00AE7A0B">
        <w:rPr>
          <w:color w:val="2D3E7B" w:themeColor="text2" w:themeShade="BF"/>
        </w:rPr>
        <w:t>The structure of the joint arrangement can determine its classification. Arrangements not structured through a separate vehicle are joint operations. Arrangements structured through a separate vehicle can be joint operations or joint ventures. HEPs must assess whether the legal form of the separate vehicle classifies the arrangement as a joint venture or joint operation, however the considerations of contractual terms and other factors in paragraph B15 of AASB11 can override this assessment.</w:t>
      </w:r>
    </w:p>
    <w:p w14:paraId="0672D086" w14:textId="228A334F" w:rsidR="00A44232" w:rsidRPr="00AE7A0B" w:rsidRDefault="00A44232" w:rsidP="00F94210">
      <w:pPr>
        <w:pStyle w:val="Heading6"/>
      </w:pPr>
      <w:r w:rsidRPr="00AE7A0B">
        <w:t>AASB128.20</w:t>
      </w:r>
      <w:r w:rsidRPr="00AE7A0B">
        <w:br/>
        <w:t>AASB12.B17</w:t>
      </w:r>
    </w:p>
    <w:p w14:paraId="55E27967" w14:textId="77777777" w:rsidR="00A44232" w:rsidRPr="00AE7A0B" w:rsidRDefault="00A44232" w:rsidP="001A5D4A">
      <w:pPr>
        <w:rPr>
          <w:color w:val="2D3E7B" w:themeColor="text2" w:themeShade="BF"/>
        </w:rPr>
      </w:pPr>
      <w:r w:rsidRPr="00AE7A0B">
        <w:rPr>
          <w:color w:val="2D3E7B" w:themeColor="text2" w:themeShade="BF"/>
        </w:rPr>
        <w:t xml:space="preserve">Equity accounting is not applied when the investment is classified as held for sale in accordance with AASB5 </w:t>
      </w:r>
      <w:r w:rsidRPr="00C94CF3">
        <w:rPr>
          <w:i/>
          <w:color w:val="2D3E7B" w:themeColor="text2" w:themeShade="BF"/>
        </w:rPr>
        <w:t>Non-current Assets Held for Sale and Discontinued Operations</w:t>
      </w:r>
      <w:r w:rsidRPr="00AE7A0B">
        <w:rPr>
          <w:color w:val="2D3E7B" w:themeColor="text2" w:themeShade="BF"/>
        </w:rPr>
        <w:t xml:space="preserve"> (in which case the investment is accounted for in accordance with AASB5), or under certain other circumstances specified in AASB128.17-19.</w:t>
      </w:r>
    </w:p>
    <w:p w14:paraId="2675A200" w14:textId="77777777" w:rsidR="00A44232" w:rsidRPr="00AE7A0B" w:rsidRDefault="00A44232" w:rsidP="00F94210">
      <w:pPr>
        <w:pStyle w:val="Heading6"/>
      </w:pPr>
      <w:r w:rsidRPr="00AE7A0B">
        <w:t>AASB12.B14</w:t>
      </w:r>
    </w:p>
    <w:p w14:paraId="09D4AF7F" w14:textId="77777777" w:rsidR="00A44232" w:rsidRPr="00AE7A0B" w:rsidRDefault="00A44232" w:rsidP="001A5D4A">
      <w:pPr>
        <w:rPr>
          <w:color w:val="2D3E7B" w:themeColor="text2" w:themeShade="BF"/>
        </w:rPr>
      </w:pPr>
      <w:r w:rsidRPr="00AE7A0B">
        <w:rPr>
          <w:color w:val="2D3E7B" w:themeColor="text2" w:themeShade="BF"/>
        </w:rPr>
        <w:t>The summarised financial information described in AASB12.B12-13 is the amounts included in the joint venture or associate’s financial statements, not the parent’s share of those amounts. If the parent’s interest is accounted for using the equity method the joint venture/associate’s financial statement amounts should be adjusted to reflect the adjustments made using the equity method, and a reconciliation of the summarised financial information to its carrying amount will need to be provided.</w:t>
      </w:r>
    </w:p>
    <w:p w14:paraId="4945D6D3" w14:textId="26E2606E" w:rsidR="00A44232" w:rsidRPr="00AE7A0B" w:rsidRDefault="00A44232" w:rsidP="00F94210">
      <w:pPr>
        <w:pStyle w:val="Heading6"/>
      </w:pPr>
      <w:r w:rsidRPr="00AE7A0B">
        <w:t>IFRS11 project summary and feedback statement</w:t>
      </w:r>
      <w:proofErr w:type="gramStart"/>
      <w:r w:rsidRPr="00AE7A0B">
        <w:t>,</w:t>
      </w:r>
      <w:proofErr w:type="gramEnd"/>
      <w:r w:rsidRPr="00AE7A0B">
        <w:br/>
        <w:t>AASB12.B17</w:t>
      </w:r>
    </w:p>
    <w:p w14:paraId="174F2E7A" w14:textId="77777777" w:rsidR="00A44232" w:rsidRPr="00AE7A0B" w:rsidRDefault="00A44232" w:rsidP="001A5D4A">
      <w:pPr>
        <w:rPr>
          <w:color w:val="2D3E7B" w:themeColor="text2" w:themeShade="BF"/>
        </w:rPr>
      </w:pPr>
      <w:r w:rsidRPr="00AE7A0B">
        <w:rPr>
          <w:color w:val="2D3E7B" w:themeColor="text2" w:themeShade="BF"/>
        </w:rPr>
        <w:t>Summarised financial information under AASB12.21 and B12-13 should be disclosed for each individual material joint venture. If the interest in an associate or joint venture is classified as held for sale, the parent is not required to disclose this information.</w:t>
      </w:r>
    </w:p>
    <w:p w14:paraId="1E40365E" w14:textId="77777777" w:rsidR="00A44232" w:rsidRPr="00AE7A0B" w:rsidRDefault="00A44232" w:rsidP="00AE7A0B">
      <w:pPr>
        <w:pStyle w:val="Heading5"/>
        <w:spacing w:after="0"/>
        <w:rPr>
          <w:color w:val="2D3E7B" w:themeColor="text2" w:themeShade="BF"/>
        </w:rPr>
      </w:pPr>
      <w:r w:rsidRPr="00AE7A0B">
        <w:rPr>
          <w:color w:val="2D3E7B" w:themeColor="text2" w:themeShade="BF"/>
        </w:rPr>
        <w:t>AASB12.22b</w:t>
      </w:r>
    </w:p>
    <w:p w14:paraId="20727916" w14:textId="77777777" w:rsidR="00A44232" w:rsidRPr="00AE7A0B" w:rsidRDefault="00A44232" w:rsidP="00AE7A0B">
      <w:pPr>
        <w:pStyle w:val="Heading5"/>
        <w:spacing w:before="0"/>
        <w:rPr>
          <w:color w:val="2D3E7B" w:themeColor="text2" w:themeShade="BF"/>
        </w:rPr>
      </w:pPr>
      <w:r w:rsidRPr="00AE7A0B">
        <w:rPr>
          <w:color w:val="2D3E7B" w:themeColor="text2" w:themeShade="BF"/>
        </w:rPr>
        <w:t>AASB128.33-34</w:t>
      </w:r>
    </w:p>
    <w:p w14:paraId="629BF8AA" w14:textId="77777777" w:rsidR="00A44232" w:rsidRPr="00AE7A0B" w:rsidRDefault="00A44232" w:rsidP="001A5D4A">
      <w:pPr>
        <w:rPr>
          <w:color w:val="2D3E7B" w:themeColor="text2" w:themeShade="BF"/>
        </w:rPr>
      </w:pPr>
      <w:r w:rsidRPr="00AE7A0B">
        <w:rPr>
          <w:color w:val="2D3E7B" w:themeColor="text2" w:themeShade="BF"/>
        </w:rPr>
        <w:t>When the financial statements of a joint venture/associate used in applying the equity method are as of a different date to the group, this fact and the reason for using a different date must be disclosed. When this occurs adjustments should be made to account for the different dates, however this gap can be no longer than 3 months.</w:t>
      </w:r>
    </w:p>
    <w:p w14:paraId="71D04D4C" w14:textId="77777777" w:rsidR="00A44232" w:rsidRPr="00AE7A0B" w:rsidRDefault="00A44232" w:rsidP="00F94210">
      <w:pPr>
        <w:pStyle w:val="Heading6"/>
      </w:pPr>
      <w:r w:rsidRPr="00AE7A0B">
        <w:t>AASB128.26-39</w:t>
      </w:r>
    </w:p>
    <w:p w14:paraId="5F324954" w14:textId="3E07733E" w:rsidR="00022EFA" w:rsidRDefault="00A44232" w:rsidP="001A5D4A">
      <w:pPr>
        <w:rPr>
          <w:color w:val="2D3E7B" w:themeColor="text2" w:themeShade="BF"/>
        </w:rPr>
      </w:pPr>
      <w:r w:rsidRPr="00AE7A0B">
        <w:rPr>
          <w:color w:val="2D3E7B" w:themeColor="text2" w:themeShade="BF"/>
        </w:rPr>
        <w:t xml:space="preserve">Equity method procedures </w:t>
      </w:r>
      <w:r w:rsidRPr="007F5DE6">
        <w:rPr>
          <w:color w:val="2D3E7B" w:themeColor="text2" w:themeShade="BF"/>
        </w:rPr>
        <w:t>are detailed in AASB128.26-39.</w:t>
      </w:r>
    </w:p>
    <w:p w14:paraId="3EDCE405" w14:textId="77777777" w:rsidR="00022EFA" w:rsidRDefault="00022EFA">
      <w:pPr>
        <w:spacing w:after="0"/>
        <w:rPr>
          <w:color w:val="2D3E7B" w:themeColor="text2" w:themeShade="BF"/>
        </w:rPr>
      </w:pPr>
      <w:r>
        <w:rPr>
          <w:color w:val="2D3E7B" w:themeColor="text2" w:themeShade="BF"/>
        </w:rPr>
        <w:br w:type="page"/>
      </w:r>
    </w:p>
    <w:p w14:paraId="519F4DDD" w14:textId="75A8E5F4" w:rsidR="00976BC2" w:rsidRPr="00976BC2" w:rsidRDefault="00976BC2" w:rsidP="00AE7A0B">
      <w:pPr>
        <w:pStyle w:val="Heading2"/>
      </w:pPr>
      <w:bookmarkStart w:id="329" w:name="_Toc410807637"/>
      <w:bookmarkStart w:id="330" w:name="_Toc410822698"/>
      <w:proofErr w:type="gramStart"/>
      <w:r w:rsidRPr="00976BC2">
        <w:lastRenderedPageBreak/>
        <w:t>Note 25.</w:t>
      </w:r>
      <w:proofErr w:type="gramEnd"/>
      <w:r>
        <w:t xml:space="preserve"> </w:t>
      </w:r>
      <w:r w:rsidRPr="00976BC2">
        <w:t>Investment properties</w:t>
      </w:r>
      <w:bookmarkEnd w:id="329"/>
      <w:bookmarkEnd w:id="330"/>
    </w:p>
    <w:tbl>
      <w:tblPr>
        <w:tblW w:w="5000" w:type="pct"/>
        <w:tblCellMar>
          <w:left w:w="0" w:type="dxa"/>
          <w:right w:w="0" w:type="dxa"/>
        </w:tblCellMar>
        <w:tblLook w:val="0000" w:firstRow="0" w:lastRow="0" w:firstColumn="0" w:lastColumn="0" w:noHBand="0" w:noVBand="0"/>
      </w:tblPr>
      <w:tblGrid>
        <w:gridCol w:w="1575"/>
        <w:gridCol w:w="5002"/>
        <w:gridCol w:w="8"/>
        <w:gridCol w:w="782"/>
        <w:gridCol w:w="8"/>
        <w:gridCol w:w="784"/>
        <w:gridCol w:w="8"/>
        <w:gridCol w:w="782"/>
        <w:gridCol w:w="8"/>
        <w:gridCol w:w="794"/>
      </w:tblGrid>
      <w:tr w:rsidR="00FC484E" w14:paraId="038A222B" w14:textId="77777777" w:rsidTr="00E21378">
        <w:trPr>
          <w:trHeight w:val="181"/>
        </w:trPr>
        <w:tc>
          <w:tcPr>
            <w:tcW w:w="808" w:type="pct"/>
          </w:tcPr>
          <w:p w14:paraId="038A2227" w14:textId="77777777" w:rsidR="00023312" w:rsidRDefault="00023312" w:rsidP="001A5D4A">
            <w:pPr>
              <w:pStyle w:val="Note-Refs"/>
            </w:pPr>
          </w:p>
        </w:tc>
        <w:tc>
          <w:tcPr>
            <w:tcW w:w="2569" w:type="pct"/>
            <w:gridSpan w:val="2"/>
            <w:vAlign w:val="bottom"/>
          </w:tcPr>
          <w:p w14:paraId="038A2228" w14:textId="77777777" w:rsidR="00023312" w:rsidRDefault="00023312" w:rsidP="001A5D4A">
            <w:pPr>
              <w:pStyle w:val="NotesTable-ItemPlain"/>
            </w:pPr>
          </w:p>
        </w:tc>
        <w:tc>
          <w:tcPr>
            <w:tcW w:w="811" w:type="pct"/>
            <w:gridSpan w:val="4"/>
          </w:tcPr>
          <w:p w14:paraId="038A2229" w14:textId="77777777" w:rsidR="00023312" w:rsidRDefault="00023312" w:rsidP="001A5D4A">
            <w:pPr>
              <w:pStyle w:val="NotesTable-HeadPlain"/>
              <w:rPr>
                <w:b/>
              </w:rPr>
            </w:pPr>
            <w:r>
              <w:t>Consolidated</w:t>
            </w:r>
          </w:p>
        </w:tc>
        <w:tc>
          <w:tcPr>
            <w:tcW w:w="813" w:type="pct"/>
            <w:gridSpan w:val="3"/>
          </w:tcPr>
          <w:p w14:paraId="038A222A" w14:textId="77777777" w:rsidR="00023312" w:rsidRDefault="00023312" w:rsidP="001A5D4A">
            <w:pPr>
              <w:pStyle w:val="NotesTable-HeadPlain"/>
            </w:pPr>
            <w:r>
              <w:t>Parent entity</w:t>
            </w:r>
          </w:p>
        </w:tc>
      </w:tr>
      <w:tr w:rsidR="00FC484E" w14:paraId="038A2232" w14:textId="77777777" w:rsidTr="00E21378">
        <w:trPr>
          <w:trHeight w:val="181"/>
        </w:trPr>
        <w:tc>
          <w:tcPr>
            <w:tcW w:w="808" w:type="pct"/>
            <w:vAlign w:val="bottom"/>
          </w:tcPr>
          <w:p w14:paraId="038A222C" w14:textId="77777777" w:rsidR="00023312" w:rsidRDefault="00023312" w:rsidP="001A5D4A">
            <w:pPr>
              <w:pStyle w:val="Note-Refs"/>
            </w:pPr>
          </w:p>
        </w:tc>
        <w:tc>
          <w:tcPr>
            <w:tcW w:w="2569" w:type="pct"/>
            <w:gridSpan w:val="2"/>
            <w:vAlign w:val="bottom"/>
          </w:tcPr>
          <w:p w14:paraId="038A222D" w14:textId="77777777" w:rsidR="00023312" w:rsidRDefault="00023312" w:rsidP="001A5D4A">
            <w:pPr>
              <w:pStyle w:val="NotesTable-ItemPlain"/>
            </w:pPr>
          </w:p>
        </w:tc>
        <w:tc>
          <w:tcPr>
            <w:tcW w:w="405" w:type="pct"/>
            <w:gridSpan w:val="2"/>
            <w:vAlign w:val="bottom"/>
          </w:tcPr>
          <w:p w14:paraId="038A222E" w14:textId="6B4ACFFB" w:rsidR="00023312" w:rsidRDefault="006864EC" w:rsidP="001A5D4A">
            <w:pPr>
              <w:pStyle w:val="NotesTable-HeadBold"/>
            </w:pPr>
            <w:r>
              <w:t>2014</w:t>
            </w:r>
          </w:p>
        </w:tc>
        <w:tc>
          <w:tcPr>
            <w:tcW w:w="406" w:type="pct"/>
            <w:gridSpan w:val="2"/>
            <w:vAlign w:val="bottom"/>
          </w:tcPr>
          <w:p w14:paraId="038A222F" w14:textId="3019D3D5" w:rsidR="00023312" w:rsidRDefault="006864EC" w:rsidP="001A5D4A">
            <w:pPr>
              <w:pStyle w:val="NotesTable-HeadPlain"/>
            </w:pPr>
            <w:r>
              <w:t>2013</w:t>
            </w:r>
          </w:p>
        </w:tc>
        <w:tc>
          <w:tcPr>
            <w:tcW w:w="405" w:type="pct"/>
            <w:gridSpan w:val="2"/>
            <w:vAlign w:val="bottom"/>
          </w:tcPr>
          <w:p w14:paraId="038A2230" w14:textId="69E071C3" w:rsidR="00023312" w:rsidRDefault="006864EC" w:rsidP="001A5D4A">
            <w:pPr>
              <w:pStyle w:val="NotesTable-HeadBold"/>
            </w:pPr>
            <w:r>
              <w:t>2014</w:t>
            </w:r>
          </w:p>
        </w:tc>
        <w:tc>
          <w:tcPr>
            <w:tcW w:w="408" w:type="pct"/>
            <w:vAlign w:val="bottom"/>
          </w:tcPr>
          <w:p w14:paraId="038A2231" w14:textId="62792872" w:rsidR="00023312" w:rsidRDefault="006864EC" w:rsidP="001A5D4A">
            <w:pPr>
              <w:pStyle w:val="NotesTable-HeadPlain"/>
            </w:pPr>
            <w:r>
              <w:t>2013</w:t>
            </w:r>
          </w:p>
        </w:tc>
      </w:tr>
      <w:tr w:rsidR="00FC484E" w14:paraId="038A2239" w14:textId="77777777" w:rsidTr="00E21378">
        <w:trPr>
          <w:trHeight w:val="181"/>
        </w:trPr>
        <w:tc>
          <w:tcPr>
            <w:tcW w:w="808" w:type="pct"/>
            <w:vAlign w:val="bottom"/>
          </w:tcPr>
          <w:p w14:paraId="038A2233" w14:textId="77777777" w:rsidR="00023312" w:rsidRDefault="00023312" w:rsidP="001A5D4A">
            <w:pPr>
              <w:pStyle w:val="Note-Refs"/>
            </w:pPr>
          </w:p>
        </w:tc>
        <w:tc>
          <w:tcPr>
            <w:tcW w:w="2569" w:type="pct"/>
            <w:gridSpan w:val="2"/>
            <w:vAlign w:val="bottom"/>
          </w:tcPr>
          <w:p w14:paraId="038A2234" w14:textId="77777777" w:rsidR="00023312" w:rsidRDefault="00023312" w:rsidP="001A5D4A">
            <w:pPr>
              <w:pStyle w:val="NotesTable-ItemPlain"/>
            </w:pPr>
          </w:p>
        </w:tc>
        <w:tc>
          <w:tcPr>
            <w:tcW w:w="405" w:type="pct"/>
            <w:gridSpan w:val="2"/>
            <w:vAlign w:val="bottom"/>
          </w:tcPr>
          <w:p w14:paraId="038A2235" w14:textId="77777777" w:rsidR="00023312" w:rsidRDefault="00023312" w:rsidP="001A5D4A">
            <w:pPr>
              <w:pStyle w:val="NotesTable-HeadBold"/>
            </w:pPr>
            <w:r>
              <w:t>$'000</w:t>
            </w:r>
          </w:p>
        </w:tc>
        <w:tc>
          <w:tcPr>
            <w:tcW w:w="406" w:type="pct"/>
            <w:gridSpan w:val="2"/>
            <w:vAlign w:val="bottom"/>
          </w:tcPr>
          <w:p w14:paraId="038A2236" w14:textId="77777777" w:rsidR="00023312" w:rsidRDefault="00023312" w:rsidP="001A5D4A">
            <w:pPr>
              <w:pStyle w:val="NotesTable-HeadPlain"/>
            </w:pPr>
            <w:r>
              <w:t>$'000</w:t>
            </w:r>
          </w:p>
        </w:tc>
        <w:tc>
          <w:tcPr>
            <w:tcW w:w="405" w:type="pct"/>
            <w:gridSpan w:val="2"/>
            <w:vAlign w:val="bottom"/>
          </w:tcPr>
          <w:p w14:paraId="038A2237" w14:textId="77777777" w:rsidR="00023312" w:rsidRDefault="00023312" w:rsidP="001A5D4A">
            <w:pPr>
              <w:pStyle w:val="NotesTable-HeadBold"/>
            </w:pPr>
            <w:r>
              <w:t>$'000</w:t>
            </w:r>
          </w:p>
        </w:tc>
        <w:tc>
          <w:tcPr>
            <w:tcW w:w="408" w:type="pct"/>
            <w:vAlign w:val="bottom"/>
          </w:tcPr>
          <w:p w14:paraId="038A2238" w14:textId="77777777" w:rsidR="00023312" w:rsidRDefault="00023312" w:rsidP="001A5D4A">
            <w:pPr>
              <w:pStyle w:val="NotesTable-HeadPlain"/>
            </w:pPr>
            <w:r>
              <w:t>$'000</w:t>
            </w:r>
          </w:p>
        </w:tc>
      </w:tr>
      <w:tr w:rsidR="00742371" w14:paraId="038A223C" w14:textId="77777777" w:rsidTr="00E21378">
        <w:trPr>
          <w:trHeight w:val="181"/>
        </w:trPr>
        <w:tc>
          <w:tcPr>
            <w:tcW w:w="808" w:type="pct"/>
          </w:tcPr>
          <w:p w14:paraId="038A223A" w14:textId="77777777" w:rsidR="00742371" w:rsidRDefault="00742371" w:rsidP="001A5D4A">
            <w:pPr>
              <w:pStyle w:val="Note-Refs"/>
            </w:pPr>
          </w:p>
        </w:tc>
        <w:tc>
          <w:tcPr>
            <w:tcW w:w="4192" w:type="pct"/>
            <w:gridSpan w:val="9"/>
            <w:vAlign w:val="bottom"/>
          </w:tcPr>
          <w:p w14:paraId="038A223B" w14:textId="77777777" w:rsidR="00742371" w:rsidRDefault="00742371" w:rsidP="001A5D4A">
            <w:pPr>
              <w:pStyle w:val="Note-TextHeader"/>
              <w:rPr>
                <w:lang w:val="en-GB"/>
              </w:rPr>
            </w:pPr>
            <w:r>
              <w:t>At Fair value</w:t>
            </w:r>
          </w:p>
        </w:tc>
      </w:tr>
      <w:tr w:rsidR="00FC484E" w14:paraId="038A2243" w14:textId="77777777" w:rsidTr="00E21378">
        <w:trPr>
          <w:trHeight w:val="181"/>
        </w:trPr>
        <w:tc>
          <w:tcPr>
            <w:tcW w:w="808" w:type="pct"/>
          </w:tcPr>
          <w:p w14:paraId="038A223D" w14:textId="77777777" w:rsidR="00023312" w:rsidRDefault="00023312" w:rsidP="001A5D4A">
            <w:pPr>
              <w:pStyle w:val="Note-Refs"/>
              <w:rPr>
                <w:b/>
              </w:rPr>
            </w:pPr>
            <w:r>
              <w:t>AASB140</w:t>
            </w:r>
            <w:r w:rsidR="00F96A72">
              <w:t>.</w:t>
            </w:r>
            <w:r>
              <w:t>76</w:t>
            </w:r>
          </w:p>
        </w:tc>
        <w:tc>
          <w:tcPr>
            <w:tcW w:w="2569" w:type="pct"/>
            <w:gridSpan w:val="2"/>
            <w:vAlign w:val="bottom"/>
          </w:tcPr>
          <w:p w14:paraId="038A223E" w14:textId="77777777" w:rsidR="00023312" w:rsidRDefault="00023312" w:rsidP="001A5D4A">
            <w:pPr>
              <w:pStyle w:val="NotesTable-ItemPlain"/>
              <w:rPr>
                <w:b/>
              </w:rPr>
            </w:pPr>
            <w:r>
              <w:t>Opening balance at 1 January</w:t>
            </w:r>
          </w:p>
        </w:tc>
        <w:tc>
          <w:tcPr>
            <w:tcW w:w="405" w:type="pct"/>
            <w:gridSpan w:val="2"/>
          </w:tcPr>
          <w:p w14:paraId="038A223F" w14:textId="77777777" w:rsidR="00023312" w:rsidRDefault="00023312" w:rsidP="001A5D4A">
            <w:pPr>
              <w:pStyle w:val="NotesTable-CellBold"/>
            </w:pPr>
            <w:r>
              <w:t>–</w:t>
            </w:r>
          </w:p>
        </w:tc>
        <w:tc>
          <w:tcPr>
            <w:tcW w:w="406" w:type="pct"/>
            <w:gridSpan w:val="2"/>
          </w:tcPr>
          <w:p w14:paraId="038A2240" w14:textId="77777777" w:rsidR="00023312" w:rsidRDefault="00023312" w:rsidP="001A5D4A">
            <w:pPr>
              <w:pStyle w:val="NotesTable-CellPlain"/>
            </w:pPr>
            <w:r>
              <w:t>–</w:t>
            </w:r>
          </w:p>
        </w:tc>
        <w:tc>
          <w:tcPr>
            <w:tcW w:w="405" w:type="pct"/>
            <w:gridSpan w:val="2"/>
          </w:tcPr>
          <w:p w14:paraId="038A2241" w14:textId="77777777" w:rsidR="00023312" w:rsidRDefault="00023312" w:rsidP="001A5D4A">
            <w:pPr>
              <w:pStyle w:val="NotesTable-CellBold"/>
            </w:pPr>
            <w:r>
              <w:t>–</w:t>
            </w:r>
          </w:p>
        </w:tc>
        <w:tc>
          <w:tcPr>
            <w:tcW w:w="408" w:type="pct"/>
          </w:tcPr>
          <w:p w14:paraId="038A2242" w14:textId="77777777" w:rsidR="00023312" w:rsidRDefault="00023312" w:rsidP="001A5D4A">
            <w:pPr>
              <w:pStyle w:val="NotesTable-CellPlain"/>
            </w:pPr>
            <w:r>
              <w:t>–</w:t>
            </w:r>
          </w:p>
        </w:tc>
      </w:tr>
      <w:tr w:rsidR="00FC484E" w14:paraId="038A224A" w14:textId="77777777" w:rsidTr="00E21378">
        <w:trPr>
          <w:trHeight w:val="181"/>
        </w:trPr>
        <w:tc>
          <w:tcPr>
            <w:tcW w:w="808" w:type="pct"/>
          </w:tcPr>
          <w:p w14:paraId="038A2244" w14:textId="77777777" w:rsidR="00023312" w:rsidRDefault="00023312" w:rsidP="001A5D4A">
            <w:pPr>
              <w:pStyle w:val="Note-Refs"/>
            </w:pPr>
          </w:p>
        </w:tc>
        <w:tc>
          <w:tcPr>
            <w:tcW w:w="2569" w:type="pct"/>
            <w:gridSpan w:val="2"/>
            <w:vAlign w:val="bottom"/>
          </w:tcPr>
          <w:p w14:paraId="038A2245" w14:textId="77777777" w:rsidR="00023312" w:rsidRDefault="00023312" w:rsidP="001A5D4A">
            <w:pPr>
              <w:pStyle w:val="NotesTable-ItemPlain"/>
              <w:rPr>
                <w:b/>
              </w:rPr>
            </w:pPr>
            <w:r>
              <w:t>[Specify]</w:t>
            </w:r>
          </w:p>
        </w:tc>
        <w:tc>
          <w:tcPr>
            <w:tcW w:w="405" w:type="pct"/>
            <w:gridSpan w:val="2"/>
            <w:tcBorders>
              <w:bottom w:val="single" w:sz="4" w:space="0" w:color="000000"/>
            </w:tcBorders>
          </w:tcPr>
          <w:p w14:paraId="038A2246" w14:textId="77777777" w:rsidR="00023312" w:rsidRDefault="00023312" w:rsidP="001A5D4A">
            <w:pPr>
              <w:pStyle w:val="NotesTable-CellBold"/>
            </w:pPr>
            <w:r>
              <w:t>–</w:t>
            </w:r>
          </w:p>
        </w:tc>
        <w:tc>
          <w:tcPr>
            <w:tcW w:w="406" w:type="pct"/>
            <w:gridSpan w:val="2"/>
            <w:tcBorders>
              <w:bottom w:val="single" w:sz="4" w:space="0" w:color="000000"/>
            </w:tcBorders>
          </w:tcPr>
          <w:p w14:paraId="038A2247" w14:textId="77777777" w:rsidR="00023312" w:rsidRDefault="00023312" w:rsidP="001A5D4A">
            <w:pPr>
              <w:pStyle w:val="NotesTable-CellPlain"/>
            </w:pPr>
            <w:r>
              <w:t>–</w:t>
            </w:r>
          </w:p>
        </w:tc>
        <w:tc>
          <w:tcPr>
            <w:tcW w:w="405" w:type="pct"/>
            <w:gridSpan w:val="2"/>
            <w:tcBorders>
              <w:bottom w:val="single" w:sz="4" w:space="0" w:color="000000"/>
            </w:tcBorders>
          </w:tcPr>
          <w:p w14:paraId="038A2248" w14:textId="77777777" w:rsidR="00023312" w:rsidRDefault="00023312" w:rsidP="001A5D4A">
            <w:pPr>
              <w:pStyle w:val="NotesTable-CellBold"/>
            </w:pPr>
            <w:r>
              <w:t>–</w:t>
            </w:r>
          </w:p>
        </w:tc>
        <w:tc>
          <w:tcPr>
            <w:tcW w:w="408" w:type="pct"/>
            <w:tcBorders>
              <w:bottom w:val="single" w:sz="4" w:space="0" w:color="000000"/>
            </w:tcBorders>
          </w:tcPr>
          <w:p w14:paraId="038A2249" w14:textId="77777777" w:rsidR="00023312" w:rsidRDefault="00023312" w:rsidP="001A5D4A">
            <w:pPr>
              <w:pStyle w:val="NotesTable-CellPlain"/>
            </w:pPr>
            <w:r>
              <w:t>–</w:t>
            </w:r>
          </w:p>
        </w:tc>
      </w:tr>
      <w:tr w:rsidR="00FC484E" w14:paraId="038A2251" w14:textId="77777777" w:rsidTr="00E21378">
        <w:trPr>
          <w:trHeight w:val="181"/>
        </w:trPr>
        <w:tc>
          <w:tcPr>
            <w:tcW w:w="808" w:type="pct"/>
          </w:tcPr>
          <w:p w14:paraId="038A224B" w14:textId="77777777" w:rsidR="00023312" w:rsidRDefault="00023312" w:rsidP="001A5D4A">
            <w:pPr>
              <w:pStyle w:val="Note-Refs"/>
              <w:rPr>
                <w:b/>
              </w:rPr>
            </w:pPr>
            <w:r>
              <w:t>AASB140</w:t>
            </w:r>
            <w:r w:rsidR="00F96A72">
              <w:t>.</w:t>
            </w:r>
            <w:r>
              <w:t>76</w:t>
            </w:r>
          </w:p>
        </w:tc>
        <w:tc>
          <w:tcPr>
            <w:tcW w:w="2569" w:type="pct"/>
            <w:gridSpan w:val="2"/>
            <w:vAlign w:val="bottom"/>
          </w:tcPr>
          <w:p w14:paraId="038A224C" w14:textId="77777777" w:rsidR="00023312" w:rsidRDefault="00023312" w:rsidP="001A5D4A">
            <w:pPr>
              <w:pStyle w:val="NotesTable-ItemPlain"/>
              <w:rPr>
                <w:b/>
              </w:rPr>
            </w:pPr>
            <w:r>
              <w:t>Closing balance at 31 December</w:t>
            </w:r>
          </w:p>
        </w:tc>
        <w:tc>
          <w:tcPr>
            <w:tcW w:w="405" w:type="pct"/>
            <w:gridSpan w:val="2"/>
            <w:tcBorders>
              <w:top w:val="single" w:sz="4" w:space="0" w:color="000000"/>
            </w:tcBorders>
          </w:tcPr>
          <w:p w14:paraId="038A224D" w14:textId="77777777" w:rsidR="00023312" w:rsidRDefault="00023312" w:rsidP="001A5D4A">
            <w:pPr>
              <w:pStyle w:val="NotesTable-CellBold"/>
            </w:pPr>
            <w:r>
              <w:t>–</w:t>
            </w:r>
          </w:p>
        </w:tc>
        <w:tc>
          <w:tcPr>
            <w:tcW w:w="406" w:type="pct"/>
            <w:gridSpan w:val="2"/>
            <w:tcBorders>
              <w:top w:val="single" w:sz="4" w:space="0" w:color="000000"/>
            </w:tcBorders>
          </w:tcPr>
          <w:p w14:paraId="038A224E" w14:textId="77777777" w:rsidR="00023312" w:rsidRDefault="00023312" w:rsidP="001A5D4A">
            <w:pPr>
              <w:pStyle w:val="NotesTable-CellPlain"/>
            </w:pPr>
            <w:r>
              <w:t>–</w:t>
            </w:r>
          </w:p>
        </w:tc>
        <w:tc>
          <w:tcPr>
            <w:tcW w:w="405" w:type="pct"/>
            <w:gridSpan w:val="2"/>
            <w:tcBorders>
              <w:top w:val="single" w:sz="4" w:space="0" w:color="000000"/>
            </w:tcBorders>
          </w:tcPr>
          <w:p w14:paraId="038A224F" w14:textId="77777777" w:rsidR="00023312" w:rsidRDefault="00023312" w:rsidP="001A5D4A">
            <w:pPr>
              <w:pStyle w:val="NotesTable-CellBold"/>
            </w:pPr>
            <w:r>
              <w:t>–</w:t>
            </w:r>
          </w:p>
        </w:tc>
        <w:tc>
          <w:tcPr>
            <w:tcW w:w="408" w:type="pct"/>
            <w:tcBorders>
              <w:top w:val="single" w:sz="4" w:space="0" w:color="000000"/>
            </w:tcBorders>
          </w:tcPr>
          <w:p w14:paraId="038A2250" w14:textId="77777777" w:rsidR="00023312" w:rsidRDefault="00023312" w:rsidP="001A5D4A">
            <w:pPr>
              <w:pStyle w:val="NotesTable-CellPlain"/>
            </w:pPr>
            <w:r>
              <w:t>–</w:t>
            </w:r>
          </w:p>
        </w:tc>
      </w:tr>
      <w:tr w:rsidR="004C3893" w14:paraId="038A2254" w14:textId="77777777" w:rsidTr="00E21378">
        <w:trPr>
          <w:trHeight w:val="181"/>
        </w:trPr>
        <w:tc>
          <w:tcPr>
            <w:tcW w:w="808" w:type="pct"/>
          </w:tcPr>
          <w:p w14:paraId="038A2252" w14:textId="77777777" w:rsidR="004C3893" w:rsidRDefault="004C3893" w:rsidP="001A5D4A">
            <w:pPr>
              <w:pStyle w:val="Note-Refs"/>
            </w:pPr>
          </w:p>
        </w:tc>
        <w:tc>
          <w:tcPr>
            <w:tcW w:w="4192" w:type="pct"/>
            <w:gridSpan w:val="9"/>
            <w:vAlign w:val="bottom"/>
          </w:tcPr>
          <w:p w14:paraId="038A2253" w14:textId="77777777" w:rsidR="004C3893" w:rsidRDefault="004C3893" w:rsidP="001A5D4A">
            <w:pPr>
              <w:pStyle w:val="NotesTable-ItemPlain"/>
            </w:pPr>
          </w:p>
        </w:tc>
      </w:tr>
      <w:tr w:rsidR="00933136" w14:paraId="72D0E0CB" w14:textId="77777777" w:rsidTr="00E21378">
        <w:trPr>
          <w:trHeight w:val="181"/>
        </w:trPr>
        <w:tc>
          <w:tcPr>
            <w:tcW w:w="808" w:type="pct"/>
          </w:tcPr>
          <w:p w14:paraId="73D2A87C" w14:textId="77777777" w:rsidR="00933136" w:rsidRDefault="00933136" w:rsidP="001A5D4A">
            <w:pPr>
              <w:pStyle w:val="Note-Refs"/>
            </w:pPr>
          </w:p>
        </w:tc>
        <w:tc>
          <w:tcPr>
            <w:tcW w:w="4192" w:type="pct"/>
            <w:gridSpan w:val="9"/>
            <w:vAlign w:val="bottom"/>
          </w:tcPr>
          <w:p w14:paraId="739694A1" w14:textId="0869351C" w:rsidR="00933136" w:rsidRDefault="00933136" w:rsidP="001A5D4A">
            <w:pPr>
              <w:pStyle w:val="NotesTable-ItemPlain"/>
            </w:pPr>
            <w:r w:rsidRPr="00E47831">
              <w:t>For fair value hierarchy categorisation of investment properties see note 51.</w:t>
            </w:r>
          </w:p>
        </w:tc>
      </w:tr>
      <w:tr w:rsidR="00933136" w14:paraId="07605E57" w14:textId="77777777" w:rsidTr="00E21378">
        <w:trPr>
          <w:trHeight w:val="181"/>
        </w:trPr>
        <w:tc>
          <w:tcPr>
            <w:tcW w:w="808" w:type="pct"/>
          </w:tcPr>
          <w:p w14:paraId="578DDB0E" w14:textId="77777777" w:rsidR="00933136" w:rsidRDefault="00933136" w:rsidP="001A5D4A">
            <w:pPr>
              <w:pStyle w:val="Note-Refs"/>
            </w:pPr>
          </w:p>
        </w:tc>
        <w:tc>
          <w:tcPr>
            <w:tcW w:w="4192" w:type="pct"/>
            <w:gridSpan w:val="9"/>
            <w:vAlign w:val="bottom"/>
          </w:tcPr>
          <w:p w14:paraId="78198DC3" w14:textId="77777777" w:rsidR="00933136" w:rsidRDefault="00933136" w:rsidP="001A5D4A">
            <w:pPr>
              <w:pStyle w:val="NotesTable-ItemPlain"/>
            </w:pPr>
          </w:p>
        </w:tc>
      </w:tr>
      <w:tr w:rsidR="00FC484E" w14:paraId="038A2257" w14:textId="77777777" w:rsidTr="00E21378">
        <w:trPr>
          <w:trHeight w:val="181"/>
        </w:trPr>
        <w:tc>
          <w:tcPr>
            <w:tcW w:w="808" w:type="pct"/>
          </w:tcPr>
          <w:p w14:paraId="038A2255" w14:textId="77777777" w:rsidR="00FC484E" w:rsidRDefault="00FC484E" w:rsidP="001A5D4A">
            <w:pPr>
              <w:pStyle w:val="Note-Refs"/>
              <w:rPr>
                <w:b/>
              </w:rPr>
            </w:pPr>
            <w:r>
              <w:t>AASB140.75f</w:t>
            </w:r>
          </w:p>
        </w:tc>
        <w:tc>
          <w:tcPr>
            <w:tcW w:w="4192" w:type="pct"/>
            <w:gridSpan w:val="9"/>
            <w:vAlign w:val="bottom"/>
          </w:tcPr>
          <w:p w14:paraId="038A2256" w14:textId="39FA6DEB" w:rsidR="00FC484E" w:rsidRPr="000A14F0" w:rsidRDefault="00FC484E" w:rsidP="001A5D4A">
            <w:pPr>
              <w:pStyle w:val="Note-TextHeader"/>
              <w:rPr>
                <w:b w:val="0"/>
                <w:bCs/>
                <w:lang w:val="en-GB"/>
              </w:rPr>
            </w:pPr>
            <w:r w:rsidRPr="000A14F0">
              <w:t>(a)</w:t>
            </w:r>
            <w:r w:rsidRPr="000A14F0">
              <w:tab/>
              <w:t xml:space="preserve">Amounts recognised in </w:t>
            </w:r>
            <w:r w:rsidRPr="00742371">
              <w:t>profit</w:t>
            </w:r>
            <w:r w:rsidRPr="000A14F0">
              <w:t xml:space="preserve"> </w:t>
            </w:r>
            <w:r w:rsidR="00992FA4">
              <w:t>or</w:t>
            </w:r>
            <w:r w:rsidRPr="000A14F0">
              <w:t xml:space="preserve"> loss for investment properties</w:t>
            </w:r>
          </w:p>
        </w:tc>
      </w:tr>
      <w:tr w:rsidR="00FC484E" w14:paraId="038A225F" w14:textId="77777777" w:rsidTr="00E21378">
        <w:trPr>
          <w:trHeight w:val="181"/>
        </w:trPr>
        <w:tc>
          <w:tcPr>
            <w:tcW w:w="808" w:type="pct"/>
          </w:tcPr>
          <w:p w14:paraId="038A225B" w14:textId="77777777" w:rsidR="00023312" w:rsidRDefault="00023312" w:rsidP="001A5D4A">
            <w:pPr>
              <w:pStyle w:val="Note-Refs"/>
            </w:pPr>
          </w:p>
        </w:tc>
        <w:tc>
          <w:tcPr>
            <w:tcW w:w="2565" w:type="pct"/>
            <w:vAlign w:val="bottom"/>
          </w:tcPr>
          <w:p w14:paraId="038A225C" w14:textId="77777777" w:rsidR="00023312" w:rsidRDefault="00023312" w:rsidP="001A5D4A">
            <w:pPr>
              <w:pStyle w:val="NotesTable-ItemPlain"/>
            </w:pPr>
          </w:p>
        </w:tc>
        <w:tc>
          <w:tcPr>
            <w:tcW w:w="811" w:type="pct"/>
            <w:gridSpan w:val="4"/>
          </w:tcPr>
          <w:p w14:paraId="038A225D" w14:textId="77777777" w:rsidR="00023312" w:rsidRDefault="00023312" w:rsidP="001A5D4A">
            <w:pPr>
              <w:pStyle w:val="NotesTable-HeadPlain"/>
              <w:rPr>
                <w:b/>
              </w:rPr>
            </w:pPr>
            <w:r>
              <w:t>Consolidated</w:t>
            </w:r>
          </w:p>
        </w:tc>
        <w:tc>
          <w:tcPr>
            <w:tcW w:w="816" w:type="pct"/>
            <w:gridSpan w:val="4"/>
          </w:tcPr>
          <w:p w14:paraId="038A225E" w14:textId="77777777" w:rsidR="00023312" w:rsidRDefault="00023312" w:rsidP="001A5D4A">
            <w:pPr>
              <w:pStyle w:val="NotesTable-HeadPlain"/>
              <w:rPr>
                <w:b/>
              </w:rPr>
            </w:pPr>
            <w:r>
              <w:t>Parent entity</w:t>
            </w:r>
          </w:p>
        </w:tc>
      </w:tr>
      <w:tr w:rsidR="00FC484E" w14:paraId="038A2266" w14:textId="77777777" w:rsidTr="00E21378">
        <w:trPr>
          <w:trHeight w:val="181"/>
        </w:trPr>
        <w:tc>
          <w:tcPr>
            <w:tcW w:w="808" w:type="pct"/>
            <w:vAlign w:val="bottom"/>
          </w:tcPr>
          <w:p w14:paraId="038A2260" w14:textId="77777777" w:rsidR="00023312" w:rsidRDefault="00023312" w:rsidP="001A5D4A">
            <w:pPr>
              <w:pStyle w:val="Note-Refs"/>
            </w:pPr>
          </w:p>
        </w:tc>
        <w:tc>
          <w:tcPr>
            <w:tcW w:w="2565" w:type="pct"/>
            <w:vAlign w:val="bottom"/>
          </w:tcPr>
          <w:p w14:paraId="038A2261" w14:textId="77777777" w:rsidR="00023312" w:rsidRDefault="00023312" w:rsidP="001A5D4A">
            <w:pPr>
              <w:pStyle w:val="NotesTable-ItemPlain"/>
            </w:pPr>
          </w:p>
        </w:tc>
        <w:tc>
          <w:tcPr>
            <w:tcW w:w="405" w:type="pct"/>
            <w:gridSpan w:val="2"/>
            <w:vAlign w:val="bottom"/>
          </w:tcPr>
          <w:p w14:paraId="038A2262" w14:textId="5D1178C0" w:rsidR="00023312" w:rsidRDefault="006864EC" w:rsidP="001A5D4A">
            <w:pPr>
              <w:pStyle w:val="NotesTable-HeadBold"/>
            </w:pPr>
            <w:r>
              <w:t>2014</w:t>
            </w:r>
          </w:p>
        </w:tc>
        <w:tc>
          <w:tcPr>
            <w:tcW w:w="406" w:type="pct"/>
            <w:gridSpan w:val="2"/>
            <w:vAlign w:val="bottom"/>
          </w:tcPr>
          <w:p w14:paraId="038A2263" w14:textId="025247B4" w:rsidR="00023312" w:rsidRDefault="006864EC" w:rsidP="001A5D4A">
            <w:pPr>
              <w:pStyle w:val="NotesTable-HeadPlain"/>
            </w:pPr>
            <w:r>
              <w:t>2013</w:t>
            </w:r>
          </w:p>
        </w:tc>
        <w:tc>
          <w:tcPr>
            <w:tcW w:w="405" w:type="pct"/>
            <w:gridSpan w:val="2"/>
            <w:vAlign w:val="bottom"/>
          </w:tcPr>
          <w:p w14:paraId="038A2264" w14:textId="299571B9" w:rsidR="00023312" w:rsidRDefault="006864EC" w:rsidP="001A5D4A">
            <w:pPr>
              <w:pStyle w:val="NotesTable-HeadBold"/>
            </w:pPr>
            <w:r>
              <w:t>2014</w:t>
            </w:r>
          </w:p>
        </w:tc>
        <w:tc>
          <w:tcPr>
            <w:tcW w:w="411" w:type="pct"/>
            <w:gridSpan w:val="2"/>
            <w:vAlign w:val="bottom"/>
          </w:tcPr>
          <w:p w14:paraId="038A2265" w14:textId="65389BED" w:rsidR="00023312" w:rsidRDefault="006864EC" w:rsidP="001A5D4A">
            <w:pPr>
              <w:pStyle w:val="NotesTable-HeadPlain"/>
            </w:pPr>
            <w:r>
              <w:t>2013</w:t>
            </w:r>
          </w:p>
        </w:tc>
      </w:tr>
      <w:tr w:rsidR="00FC484E" w14:paraId="038A226D" w14:textId="77777777" w:rsidTr="00E21378">
        <w:trPr>
          <w:trHeight w:val="181"/>
        </w:trPr>
        <w:tc>
          <w:tcPr>
            <w:tcW w:w="808" w:type="pct"/>
            <w:vAlign w:val="bottom"/>
          </w:tcPr>
          <w:p w14:paraId="038A2267" w14:textId="77777777" w:rsidR="00023312" w:rsidRDefault="00023312" w:rsidP="001A5D4A">
            <w:pPr>
              <w:pStyle w:val="Note-Refs"/>
            </w:pPr>
          </w:p>
        </w:tc>
        <w:tc>
          <w:tcPr>
            <w:tcW w:w="2565" w:type="pct"/>
            <w:vAlign w:val="bottom"/>
          </w:tcPr>
          <w:p w14:paraId="038A2268" w14:textId="77777777" w:rsidR="00023312" w:rsidRDefault="00023312" w:rsidP="001A5D4A">
            <w:pPr>
              <w:pStyle w:val="NotesTable-ItemPlain"/>
            </w:pPr>
          </w:p>
        </w:tc>
        <w:tc>
          <w:tcPr>
            <w:tcW w:w="405" w:type="pct"/>
            <w:gridSpan w:val="2"/>
            <w:vAlign w:val="bottom"/>
          </w:tcPr>
          <w:p w14:paraId="038A2269" w14:textId="77777777" w:rsidR="00023312" w:rsidRDefault="004C3893" w:rsidP="001A5D4A">
            <w:pPr>
              <w:pStyle w:val="NotesTable-HeadBold"/>
            </w:pPr>
            <w:r>
              <w:t>$'000</w:t>
            </w:r>
          </w:p>
        </w:tc>
        <w:tc>
          <w:tcPr>
            <w:tcW w:w="406" w:type="pct"/>
            <w:gridSpan w:val="2"/>
            <w:vAlign w:val="bottom"/>
          </w:tcPr>
          <w:p w14:paraId="038A226A" w14:textId="77777777" w:rsidR="00023312" w:rsidRDefault="00023312" w:rsidP="001A5D4A">
            <w:pPr>
              <w:pStyle w:val="NotesTable-HeadPlain"/>
            </w:pPr>
            <w:r>
              <w:t>$'000</w:t>
            </w:r>
          </w:p>
        </w:tc>
        <w:tc>
          <w:tcPr>
            <w:tcW w:w="405" w:type="pct"/>
            <w:gridSpan w:val="2"/>
            <w:vAlign w:val="bottom"/>
          </w:tcPr>
          <w:p w14:paraId="038A226B" w14:textId="77777777" w:rsidR="00023312" w:rsidRDefault="00023312" w:rsidP="001A5D4A">
            <w:pPr>
              <w:pStyle w:val="NotesTable-HeadBold"/>
            </w:pPr>
            <w:r>
              <w:t>$'000</w:t>
            </w:r>
          </w:p>
        </w:tc>
        <w:tc>
          <w:tcPr>
            <w:tcW w:w="411" w:type="pct"/>
            <w:gridSpan w:val="2"/>
            <w:vAlign w:val="bottom"/>
          </w:tcPr>
          <w:p w14:paraId="038A226C" w14:textId="77777777" w:rsidR="00023312" w:rsidRDefault="00023312" w:rsidP="001A5D4A">
            <w:pPr>
              <w:pStyle w:val="NotesTable-HeadPlain"/>
            </w:pPr>
            <w:r>
              <w:t>$'000</w:t>
            </w:r>
          </w:p>
        </w:tc>
      </w:tr>
      <w:tr w:rsidR="00FC484E" w14:paraId="038A2274" w14:textId="77777777" w:rsidTr="00E21378">
        <w:trPr>
          <w:trHeight w:val="181"/>
        </w:trPr>
        <w:tc>
          <w:tcPr>
            <w:tcW w:w="808" w:type="pct"/>
          </w:tcPr>
          <w:p w14:paraId="038A226E" w14:textId="77777777" w:rsidR="00023312" w:rsidRDefault="00023312" w:rsidP="001A5D4A">
            <w:pPr>
              <w:pStyle w:val="Note-Refs"/>
            </w:pPr>
          </w:p>
        </w:tc>
        <w:tc>
          <w:tcPr>
            <w:tcW w:w="2565" w:type="pct"/>
            <w:vAlign w:val="bottom"/>
          </w:tcPr>
          <w:p w14:paraId="038A226F" w14:textId="77777777" w:rsidR="00023312" w:rsidRDefault="00023312" w:rsidP="001A5D4A">
            <w:pPr>
              <w:pStyle w:val="NotesTable-ItemPlain"/>
              <w:rPr>
                <w:b/>
              </w:rPr>
            </w:pPr>
            <w:r>
              <w:t>Rental income</w:t>
            </w:r>
          </w:p>
        </w:tc>
        <w:tc>
          <w:tcPr>
            <w:tcW w:w="405" w:type="pct"/>
            <w:gridSpan w:val="2"/>
          </w:tcPr>
          <w:p w14:paraId="038A2270" w14:textId="77777777" w:rsidR="00023312" w:rsidRDefault="00023312" w:rsidP="001A5D4A">
            <w:pPr>
              <w:pStyle w:val="NotesTable-CellBold"/>
            </w:pPr>
            <w:r>
              <w:t>–</w:t>
            </w:r>
          </w:p>
        </w:tc>
        <w:tc>
          <w:tcPr>
            <w:tcW w:w="406" w:type="pct"/>
            <w:gridSpan w:val="2"/>
          </w:tcPr>
          <w:p w14:paraId="038A2271" w14:textId="77777777" w:rsidR="00023312" w:rsidRDefault="00023312" w:rsidP="001A5D4A">
            <w:pPr>
              <w:pStyle w:val="NotesTable-CellPlain"/>
            </w:pPr>
            <w:r>
              <w:t>–</w:t>
            </w:r>
          </w:p>
        </w:tc>
        <w:tc>
          <w:tcPr>
            <w:tcW w:w="405" w:type="pct"/>
            <w:gridSpan w:val="2"/>
          </w:tcPr>
          <w:p w14:paraId="038A2272" w14:textId="77777777" w:rsidR="00023312" w:rsidRDefault="00023312" w:rsidP="001A5D4A">
            <w:pPr>
              <w:pStyle w:val="NotesTable-CellBold"/>
            </w:pPr>
            <w:r>
              <w:t>–</w:t>
            </w:r>
          </w:p>
        </w:tc>
        <w:tc>
          <w:tcPr>
            <w:tcW w:w="411" w:type="pct"/>
            <w:gridSpan w:val="2"/>
          </w:tcPr>
          <w:p w14:paraId="038A2273" w14:textId="77777777" w:rsidR="00023312" w:rsidRDefault="00023312" w:rsidP="001A5D4A">
            <w:pPr>
              <w:pStyle w:val="NotesTable-CellPlain"/>
            </w:pPr>
            <w:r>
              <w:t>–</w:t>
            </w:r>
          </w:p>
        </w:tc>
      </w:tr>
      <w:tr w:rsidR="00FC484E" w14:paraId="038A227B" w14:textId="77777777" w:rsidTr="00E21378">
        <w:trPr>
          <w:trHeight w:val="181"/>
        </w:trPr>
        <w:tc>
          <w:tcPr>
            <w:tcW w:w="808" w:type="pct"/>
          </w:tcPr>
          <w:p w14:paraId="038A2275" w14:textId="77777777" w:rsidR="00023312" w:rsidRDefault="00023312" w:rsidP="001A5D4A">
            <w:pPr>
              <w:pStyle w:val="Note-Refs"/>
            </w:pPr>
          </w:p>
        </w:tc>
        <w:tc>
          <w:tcPr>
            <w:tcW w:w="2565" w:type="pct"/>
            <w:vAlign w:val="bottom"/>
          </w:tcPr>
          <w:p w14:paraId="038A2276" w14:textId="77777777" w:rsidR="00023312" w:rsidRDefault="00023312" w:rsidP="001A5D4A">
            <w:pPr>
              <w:pStyle w:val="NotesTable-ItemPlain"/>
              <w:rPr>
                <w:b/>
              </w:rPr>
            </w:pPr>
            <w:r>
              <w:t>Direct operating expenses (rent generating properties)</w:t>
            </w:r>
          </w:p>
        </w:tc>
        <w:tc>
          <w:tcPr>
            <w:tcW w:w="405" w:type="pct"/>
            <w:gridSpan w:val="2"/>
          </w:tcPr>
          <w:p w14:paraId="038A2277" w14:textId="77777777" w:rsidR="00023312" w:rsidRDefault="00023312" w:rsidP="001A5D4A">
            <w:pPr>
              <w:pStyle w:val="NotesTable-CellBold"/>
            </w:pPr>
            <w:r>
              <w:t>–</w:t>
            </w:r>
          </w:p>
        </w:tc>
        <w:tc>
          <w:tcPr>
            <w:tcW w:w="406" w:type="pct"/>
            <w:gridSpan w:val="2"/>
          </w:tcPr>
          <w:p w14:paraId="038A2278" w14:textId="77777777" w:rsidR="00023312" w:rsidRDefault="00023312" w:rsidP="001A5D4A">
            <w:pPr>
              <w:pStyle w:val="NotesTable-CellPlain"/>
            </w:pPr>
            <w:r>
              <w:t>–</w:t>
            </w:r>
          </w:p>
        </w:tc>
        <w:tc>
          <w:tcPr>
            <w:tcW w:w="405" w:type="pct"/>
            <w:gridSpan w:val="2"/>
          </w:tcPr>
          <w:p w14:paraId="038A2279" w14:textId="77777777" w:rsidR="00023312" w:rsidRDefault="00023312" w:rsidP="001A5D4A">
            <w:pPr>
              <w:pStyle w:val="NotesTable-CellBold"/>
            </w:pPr>
            <w:r>
              <w:t>–</w:t>
            </w:r>
          </w:p>
        </w:tc>
        <w:tc>
          <w:tcPr>
            <w:tcW w:w="411" w:type="pct"/>
            <w:gridSpan w:val="2"/>
          </w:tcPr>
          <w:p w14:paraId="038A227A" w14:textId="77777777" w:rsidR="00023312" w:rsidRDefault="00023312" w:rsidP="001A5D4A">
            <w:pPr>
              <w:pStyle w:val="NotesTable-CellPlain"/>
            </w:pPr>
            <w:r>
              <w:t>–</w:t>
            </w:r>
          </w:p>
        </w:tc>
      </w:tr>
      <w:tr w:rsidR="00FC484E" w14:paraId="038A2282" w14:textId="77777777" w:rsidTr="00E21378">
        <w:trPr>
          <w:trHeight w:val="181"/>
        </w:trPr>
        <w:tc>
          <w:tcPr>
            <w:tcW w:w="808" w:type="pct"/>
          </w:tcPr>
          <w:p w14:paraId="038A227C" w14:textId="77777777" w:rsidR="00023312" w:rsidRDefault="00023312" w:rsidP="001A5D4A">
            <w:pPr>
              <w:pStyle w:val="Note-Refs"/>
            </w:pPr>
          </w:p>
        </w:tc>
        <w:tc>
          <w:tcPr>
            <w:tcW w:w="2565" w:type="pct"/>
            <w:vAlign w:val="bottom"/>
          </w:tcPr>
          <w:p w14:paraId="038A227D" w14:textId="77777777" w:rsidR="00023312" w:rsidRDefault="00023312" w:rsidP="001A5D4A">
            <w:pPr>
              <w:pStyle w:val="NotesTable-ItemPlain"/>
              <w:rPr>
                <w:b/>
              </w:rPr>
            </w:pPr>
            <w:r>
              <w:t>Other direct operating expenses</w:t>
            </w:r>
          </w:p>
        </w:tc>
        <w:tc>
          <w:tcPr>
            <w:tcW w:w="405" w:type="pct"/>
            <w:gridSpan w:val="2"/>
          </w:tcPr>
          <w:p w14:paraId="038A227E" w14:textId="77777777" w:rsidR="00023312" w:rsidRDefault="00023312" w:rsidP="001A5D4A">
            <w:pPr>
              <w:pStyle w:val="NotesTable-CellBold"/>
            </w:pPr>
            <w:r>
              <w:t>–</w:t>
            </w:r>
          </w:p>
        </w:tc>
        <w:tc>
          <w:tcPr>
            <w:tcW w:w="406" w:type="pct"/>
            <w:gridSpan w:val="2"/>
          </w:tcPr>
          <w:p w14:paraId="038A227F" w14:textId="77777777" w:rsidR="00023312" w:rsidRDefault="00023312" w:rsidP="001A5D4A">
            <w:pPr>
              <w:pStyle w:val="NotesTable-CellPlain"/>
            </w:pPr>
            <w:r>
              <w:t>–</w:t>
            </w:r>
          </w:p>
        </w:tc>
        <w:tc>
          <w:tcPr>
            <w:tcW w:w="405" w:type="pct"/>
            <w:gridSpan w:val="2"/>
          </w:tcPr>
          <w:p w14:paraId="038A2280" w14:textId="77777777" w:rsidR="00023312" w:rsidRDefault="00023312" w:rsidP="001A5D4A">
            <w:pPr>
              <w:pStyle w:val="NotesTable-CellBold"/>
            </w:pPr>
            <w:r>
              <w:t>–</w:t>
            </w:r>
          </w:p>
        </w:tc>
        <w:tc>
          <w:tcPr>
            <w:tcW w:w="411" w:type="pct"/>
            <w:gridSpan w:val="2"/>
          </w:tcPr>
          <w:p w14:paraId="038A2281" w14:textId="77777777" w:rsidR="00023312" w:rsidRDefault="00023312" w:rsidP="001A5D4A">
            <w:pPr>
              <w:pStyle w:val="NotesTable-CellPlain"/>
            </w:pPr>
            <w:r>
              <w:t>–</w:t>
            </w:r>
          </w:p>
        </w:tc>
      </w:tr>
      <w:tr w:rsidR="00FC484E" w14:paraId="038A2289" w14:textId="77777777" w:rsidTr="00E21378">
        <w:trPr>
          <w:trHeight w:val="181"/>
        </w:trPr>
        <w:tc>
          <w:tcPr>
            <w:tcW w:w="808" w:type="pct"/>
          </w:tcPr>
          <w:p w14:paraId="038A2283" w14:textId="77777777" w:rsidR="00023312" w:rsidRDefault="00023312" w:rsidP="001A5D4A">
            <w:pPr>
              <w:pStyle w:val="Note-Refs"/>
            </w:pPr>
          </w:p>
        </w:tc>
        <w:tc>
          <w:tcPr>
            <w:tcW w:w="2565" w:type="pct"/>
            <w:vAlign w:val="bottom"/>
          </w:tcPr>
          <w:p w14:paraId="038A2284" w14:textId="77777777" w:rsidR="00023312" w:rsidRDefault="00023312" w:rsidP="001A5D4A">
            <w:pPr>
              <w:pStyle w:val="NotesTable-ItemPlain"/>
              <w:rPr>
                <w:b/>
              </w:rPr>
            </w:pPr>
            <w:r>
              <w:t>Sale from cost model to fair value pool</w:t>
            </w:r>
          </w:p>
        </w:tc>
        <w:tc>
          <w:tcPr>
            <w:tcW w:w="405" w:type="pct"/>
            <w:gridSpan w:val="2"/>
          </w:tcPr>
          <w:p w14:paraId="038A2285" w14:textId="77777777" w:rsidR="00023312" w:rsidRDefault="00023312" w:rsidP="001A5D4A">
            <w:pPr>
              <w:pStyle w:val="NotesTable-CellBold"/>
            </w:pPr>
            <w:r>
              <w:t>–</w:t>
            </w:r>
          </w:p>
        </w:tc>
        <w:tc>
          <w:tcPr>
            <w:tcW w:w="406" w:type="pct"/>
            <w:gridSpan w:val="2"/>
          </w:tcPr>
          <w:p w14:paraId="038A2286" w14:textId="77777777" w:rsidR="00023312" w:rsidRDefault="00023312" w:rsidP="001A5D4A">
            <w:pPr>
              <w:pStyle w:val="NotesTable-CellPlain"/>
            </w:pPr>
            <w:r>
              <w:t>–</w:t>
            </w:r>
          </w:p>
        </w:tc>
        <w:tc>
          <w:tcPr>
            <w:tcW w:w="405" w:type="pct"/>
            <w:gridSpan w:val="2"/>
          </w:tcPr>
          <w:p w14:paraId="038A2287" w14:textId="77777777" w:rsidR="00023312" w:rsidRDefault="00023312" w:rsidP="001A5D4A">
            <w:pPr>
              <w:pStyle w:val="NotesTable-CellBold"/>
            </w:pPr>
            <w:r>
              <w:t>–</w:t>
            </w:r>
          </w:p>
        </w:tc>
        <w:tc>
          <w:tcPr>
            <w:tcW w:w="411" w:type="pct"/>
            <w:gridSpan w:val="2"/>
          </w:tcPr>
          <w:p w14:paraId="038A2288" w14:textId="77777777" w:rsidR="00023312" w:rsidRDefault="00023312" w:rsidP="001A5D4A">
            <w:pPr>
              <w:pStyle w:val="NotesTable-CellPlain"/>
            </w:pPr>
            <w:r>
              <w:t>–</w:t>
            </w:r>
          </w:p>
        </w:tc>
      </w:tr>
      <w:tr w:rsidR="00FC484E" w14:paraId="038A2290" w14:textId="77777777" w:rsidTr="00E21378">
        <w:trPr>
          <w:trHeight w:val="181"/>
        </w:trPr>
        <w:tc>
          <w:tcPr>
            <w:tcW w:w="808" w:type="pct"/>
          </w:tcPr>
          <w:p w14:paraId="038A228A" w14:textId="77777777" w:rsidR="00023312" w:rsidRDefault="00023312" w:rsidP="001A5D4A">
            <w:pPr>
              <w:pStyle w:val="Note-Refs"/>
            </w:pPr>
          </w:p>
        </w:tc>
        <w:tc>
          <w:tcPr>
            <w:tcW w:w="2565" w:type="pct"/>
            <w:vAlign w:val="bottom"/>
          </w:tcPr>
          <w:p w14:paraId="038A228B" w14:textId="77777777" w:rsidR="00023312" w:rsidRDefault="00023312" w:rsidP="001A5D4A">
            <w:pPr>
              <w:pStyle w:val="NotesTable-ItemPlain"/>
              <w:rPr>
                <w:b/>
              </w:rPr>
            </w:pPr>
            <w:r>
              <w:t>[Specify]</w:t>
            </w:r>
          </w:p>
        </w:tc>
        <w:tc>
          <w:tcPr>
            <w:tcW w:w="405" w:type="pct"/>
            <w:gridSpan w:val="2"/>
            <w:tcBorders>
              <w:bottom w:val="single" w:sz="4" w:space="0" w:color="000000"/>
            </w:tcBorders>
          </w:tcPr>
          <w:p w14:paraId="038A228C" w14:textId="77777777" w:rsidR="00023312" w:rsidRDefault="00023312" w:rsidP="001A5D4A">
            <w:pPr>
              <w:pStyle w:val="NotesTable-CellBold"/>
            </w:pPr>
            <w:r>
              <w:t>–</w:t>
            </w:r>
          </w:p>
        </w:tc>
        <w:tc>
          <w:tcPr>
            <w:tcW w:w="406" w:type="pct"/>
            <w:gridSpan w:val="2"/>
            <w:tcBorders>
              <w:bottom w:val="single" w:sz="4" w:space="0" w:color="000000"/>
            </w:tcBorders>
          </w:tcPr>
          <w:p w14:paraId="038A228D" w14:textId="77777777" w:rsidR="00023312" w:rsidRDefault="00023312" w:rsidP="001A5D4A">
            <w:pPr>
              <w:pStyle w:val="NotesTable-CellPlain"/>
            </w:pPr>
            <w:r>
              <w:t>–</w:t>
            </w:r>
          </w:p>
        </w:tc>
        <w:tc>
          <w:tcPr>
            <w:tcW w:w="405" w:type="pct"/>
            <w:gridSpan w:val="2"/>
            <w:tcBorders>
              <w:bottom w:val="single" w:sz="4" w:space="0" w:color="000000"/>
            </w:tcBorders>
          </w:tcPr>
          <w:p w14:paraId="038A228E" w14:textId="77777777" w:rsidR="00023312" w:rsidRDefault="00023312" w:rsidP="001A5D4A">
            <w:pPr>
              <w:pStyle w:val="NotesTable-CellBold"/>
            </w:pPr>
            <w:r>
              <w:t>–</w:t>
            </w:r>
          </w:p>
        </w:tc>
        <w:tc>
          <w:tcPr>
            <w:tcW w:w="411" w:type="pct"/>
            <w:gridSpan w:val="2"/>
            <w:tcBorders>
              <w:bottom w:val="single" w:sz="4" w:space="0" w:color="000000"/>
            </w:tcBorders>
          </w:tcPr>
          <w:p w14:paraId="038A228F" w14:textId="77777777" w:rsidR="00023312" w:rsidRDefault="00023312" w:rsidP="001A5D4A">
            <w:pPr>
              <w:pStyle w:val="NotesTable-CellPlain"/>
            </w:pPr>
            <w:r>
              <w:t>–</w:t>
            </w:r>
          </w:p>
        </w:tc>
      </w:tr>
      <w:tr w:rsidR="00FC484E" w14:paraId="038A2297" w14:textId="77777777" w:rsidTr="00E21378">
        <w:trPr>
          <w:trHeight w:val="181"/>
        </w:trPr>
        <w:tc>
          <w:tcPr>
            <w:tcW w:w="808" w:type="pct"/>
          </w:tcPr>
          <w:p w14:paraId="038A2291" w14:textId="77777777" w:rsidR="00023312" w:rsidRDefault="00023312" w:rsidP="001A5D4A">
            <w:pPr>
              <w:pStyle w:val="Note-Refs"/>
            </w:pPr>
          </w:p>
        </w:tc>
        <w:tc>
          <w:tcPr>
            <w:tcW w:w="2565" w:type="pct"/>
            <w:vAlign w:val="bottom"/>
          </w:tcPr>
          <w:p w14:paraId="038A2292" w14:textId="57579621" w:rsidR="00023312" w:rsidRDefault="00023312" w:rsidP="001A5D4A">
            <w:pPr>
              <w:pStyle w:val="NotesTable-ItemPlain"/>
              <w:rPr>
                <w:b/>
              </w:rPr>
            </w:pPr>
            <w:r>
              <w:t xml:space="preserve">Total recognised in profit </w:t>
            </w:r>
            <w:r w:rsidR="00992FA4">
              <w:t>or</w:t>
            </w:r>
            <w:r>
              <w:t xml:space="preserve"> loss</w:t>
            </w:r>
          </w:p>
        </w:tc>
        <w:tc>
          <w:tcPr>
            <w:tcW w:w="405" w:type="pct"/>
            <w:gridSpan w:val="2"/>
            <w:tcBorders>
              <w:top w:val="single" w:sz="4" w:space="0" w:color="000000"/>
            </w:tcBorders>
          </w:tcPr>
          <w:p w14:paraId="038A2293" w14:textId="77777777" w:rsidR="00023312" w:rsidRDefault="00023312" w:rsidP="001A5D4A">
            <w:pPr>
              <w:pStyle w:val="NotesTable-CellBold"/>
            </w:pPr>
            <w:r>
              <w:t>–</w:t>
            </w:r>
          </w:p>
        </w:tc>
        <w:tc>
          <w:tcPr>
            <w:tcW w:w="406" w:type="pct"/>
            <w:gridSpan w:val="2"/>
            <w:tcBorders>
              <w:top w:val="single" w:sz="4" w:space="0" w:color="000000"/>
            </w:tcBorders>
          </w:tcPr>
          <w:p w14:paraId="038A2294" w14:textId="77777777" w:rsidR="00023312" w:rsidRDefault="00023312" w:rsidP="001A5D4A">
            <w:pPr>
              <w:pStyle w:val="NotesTable-CellPlain"/>
            </w:pPr>
            <w:r>
              <w:t>–</w:t>
            </w:r>
          </w:p>
        </w:tc>
        <w:tc>
          <w:tcPr>
            <w:tcW w:w="405" w:type="pct"/>
            <w:gridSpan w:val="2"/>
            <w:tcBorders>
              <w:top w:val="single" w:sz="4" w:space="0" w:color="000000"/>
            </w:tcBorders>
          </w:tcPr>
          <w:p w14:paraId="038A2295" w14:textId="77777777" w:rsidR="00023312" w:rsidRDefault="00023312" w:rsidP="001A5D4A">
            <w:pPr>
              <w:pStyle w:val="NotesTable-CellBold"/>
            </w:pPr>
            <w:r>
              <w:t>–</w:t>
            </w:r>
          </w:p>
        </w:tc>
        <w:tc>
          <w:tcPr>
            <w:tcW w:w="411" w:type="pct"/>
            <w:gridSpan w:val="2"/>
            <w:tcBorders>
              <w:top w:val="single" w:sz="4" w:space="0" w:color="000000"/>
            </w:tcBorders>
          </w:tcPr>
          <w:p w14:paraId="038A2296" w14:textId="77777777" w:rsidR="00023312" w:rsidRDefault="00023312" w:rsidP="001A5D4A">
            <w:pPr>
              <w:pStyle w:val="NotesTable-CellPlain"/>
            </w:pPr>
            <w:r>
              <w:t>–</w:t>
            </w:r>
          </w:p>
        </w:tc>
      </w:tr>
      <w:tr w:rsidR="00FC484E" w14:paraId="038A229A" w14:textId="77777777" w:rsidTr="00E21378">
        <w:trPr>
          <w:trHeight w:val="181"/>
        </w:trPr>
        <w:tc>
          <w:tcPr>
            <w:tcW w:w="808" w:type="pct"/>
          </w:tcPr>
          <w:p w14:paraId="038A2298" w14:textId="77777777" w:rsidR="00FC484E" w:rsidRDefault="00FC484E" w:rsidP="001A5D4A">
            <w:pPr>
              <w:pStyle w:val="Note-Refs"/>
            </w:pPr>
          </w:p>
        </w:tc>
        <w:tc>
          <w:tcPr>
            <w:tcW w:w="4192" w:type="pct"/>
            <w:gridSpan w:val="9"/>
            <w:vAlign w:val="bottom"/>
          </w:tcPr>
          <w:p w14:paraId="038A2299" w14:textId="77777777" w:rsidR="00FC484E" w:rsidRDefault="00FC484E" w:rsidP="001A5D4A">
            <w:pPr>
              <w:pStyle w:val="NotesTable-ItemPlain"/>
            </w:pPr>
          </w:p>
        </w:tc>
      </w:tr>
      <w:tr w:rsidR="00FC484E" w14:paraId="038A229D" w14:textId="77777777" w:rsidTr="00E21378">
        <w:trPr>
          <w:trHeight w:val="181"/>
        </w:trPr>
        <w:tc>
          <w:tcPr>
            <w:tcW w:w="808" w:type="pct"/>
          </w:tcPr>
          <w:p w14:paraId="038A229B" w14:textId="77777777" w:rsidR="00FC484E" w:rsidRDefault="00FC484E" w:rsidP="001A5D4A">
            <w:pPr>
              <w:pStyle w:val="Note-Refs"/>
              <w:rPr>
                <w:b/>
              </w:rPr>
            </w:pPr>
            <w:r>
              <w:t>AASB140.75a,d,e</w:t>
            </w:r>
          </w:p>
        </w:tc>
        <w:tc>
          <w:tcPr>
            <w:tcW w:w="4192" w:type="pct"/>
            <w:gridSpan w:val="9"/>
            <w:vAlign w:val="bottom"/>
          </w:tcPr>
          <w:p w14:paraId="038A229C" w14:textId="77777777" w:rsidR="00FC484E" w:rsidRPr="000A14F0" w:rsidRDefault="00FC484E" w:rsidP="001A5D4A">
            <w:pPr>
              <w:pStyle w:val="Note-TextHeader"/>
              <w:rPr>
                <w:b w:val="0"/>
                <w:bCs/>
                <w:lang w:val="en-GB"/>
              </w:rPr>
            </w:pPr>
            <w:r w:rsidRPr="000A14F0">
              <w:t>(b)</w:t>
            </w:r>
            <w:r w:rsidRPr="000A14F0">
              <w:tab/>
              <w:t>Valuation basis</w:t>
            </w:r>
          </w:p>
        </w:tc>
      </w:tr>
      <w:tr w:rsidR="00FC484E" w14:paraId="038A22A0" w14:textId="77777777" w:rsidTr="00E21378">
        <w:trPr>
          <w:trHeight w:val="181"/>
        </w:trPr>
        <w:tc>
          <w:tcPr>
            <w:tcW w:w="808" w:type="pct"/>
          </w:tcPr>
          <w:p w14:paraId="038A229E" w14:textId="77777777" w:rsidR="00FC484E" w:rsidRDefault="00C618E7" w:rsidP="001A5D4A">
            <w:pPr>
              <w:pStyle w:val="Note-Refs"/>
            </w:pPr>
            <w:r>
              <w:t>AASB13.91a,93d</w:t>
            </w:r>
          </w:p>
        </w:tc>
        <w:tc>
          <w:tcPr>
            <w:tcW w:w="4192" w:type="pct"/>
            <w:gridSpan w:val="9"/>
            <w:vAlign w:val="bottom"/>
          </w:tcPr>
          <w:p w14:paraId="038A229F" w14:textId="77777777" w:rsidR="00FC484E" w:rsidRDefault="00FC484E" w:rsidP="001A5D4A">
            <w:pPr>
              <w:pStyle w:val="NotesTable-ItemPlain"/>
              <w:rPr>
                <w:b/>
                <w:bCs/>
              </w:rPr>
            </w:pPr>
            <w:r>
              <w:t>[Specify]</w:t>
            </w:r>
          </w:p>
        </w:tc>
      </w:tr>
      <w:tr w:rsidR="00742371" w14:paraId="038A22A3" w14:textId="77777777" w:rsidTr="00E21378">
        <w:trPr>
          <w:trHeight w:val="181"/>
        </w:trPr>
        <w:tc>
          <w:tcPr>
            <w:tcW w:w="808" w:type="pct"/>
          </w:tcPr>
          <w:p w14:paraId="038A22A1" w14:textId="77777777" w:rsidR="00742371" w:rsidRDefault="00742371" w:rsidP="001A5D4A">
            <w:pPr>
              <w:pStyle w:val="Note-Refs"/>
            </w:pPr>
          </w:p>
        </w:tc>
        <w:tc>
          <w:tcPr>
            <w:tcW w:w="4192" w:type="pct"/>
            <w:gridSpan w:val="9"/>
            <w:vAlign w:val="bottom"/>
          </w:tcPr>
          <w:p w14:paraId="038A22A2" w14:textId="77777777" w:rsidR="00742371" w:rsidRDefault="00742371" w:rsidP="001A5D4A">
            <w:pPr>
              <w:pStyle w:val="NotesTable-ItemPlain"/>
            </w:pPr>
          </w:p>
        </w:tc>
      </w:tr>
      <w:tr w:rsidR="00FC484E" w14:paraId="038A22A6" w14:textId="77777777" w:rsidTr="00E21378">
        <w:trPr>
          <w:trHeight w:val="181"/>
        </w:trPr>
        <w:tc>
          <w:tcPr>
            <w:tcW w:w="808" w:type="pct"/>
          </w:tcPr>
          <w:p w14:paraId="038A22A4" w14:textId="77777777" w:rsidR="00FC484E" w:rsidRDefault="00FC484E" w:rsidP="001A5D4A">
            <w:pPr>
              <w:pStyle w:val="Note-Refs"/>
              <w:rPr>
                <w:b/>
              </w:rPr>
            </w:pPr>
            <w:r>
              <w:t>AASB140.75g</w:t>
            </w:r>
          </w:p>
        </w:tc>
        <w:tc>
          <w:tcPr>
            <w:tcW w:w="4192" w:type="pct"/>
            <w:gridSpan w:val="9"/>
            <w:vAlign w:val="bottom"/>
          </w:tcPr>
          <w:p w14:paraId="038A22A5" w14:textId="77777777" w:rsidR="00FC484E" w:rsidRDefault="00FC484E" w:rsidP="001A5D4A">
            <w:pPr>
              <w:pStyle w:val="Note-TextHeader"/>
              <w:rPr>
                <w:b w:val="0"/>
              </w:rPr>
            </w:pPr>
            <w:r>
              <w:t>(c)</w:t>
            </w:r>
            <w:r>
              <w:tab/>
              <w:t>Non-current assets pledged as security</w:t>
            </w:r>
          </w:p>
        </w:tc>
      </w:tr>
      <w:tr w:rsidR="00FC484E" w14:paraId="038A22A9" w14:textId="77777777" w:rsidTr="00E21378">
        <w:trPr>
          <w:trHeight w:val="181"/>
        </w:trPr>
        <w:tc>
          <w:tcPr>
            <w:tcW w:w="808" w:type="pct"/>
          </w:tcPr>
          <w:p w14:paraId="038A22A7" w14:textId="77777777" w:rsidR="00FC484E" w:rsidRDefault="00FC484E" w:rsidP="001A5D4A">
            <w:pPr>
              <w:pStyle w:val="Note-Refs"/>
            </w:pPr>
          </w:p>
        </w:tc>
        <w:tc>
          <w:tcPr>
            <w:tcW w:w="4192" w:type="pct"/>
            <w:gridSpan w:val="9"/>
            <w:vAlign w:val="bottom"/>
          </w:tcPr>
          <w:p w14:paraId="038A22A8" w14:textId="77777777" w:rsidR="00FC484E" w:rsidRDefault="00FC484E" w:rsidP="001A5D4A">
            <w:pPr>
              <w:pStyle w:val="NotesTable-ItemPlain"/>
              <w:rPr>
                <w:b/>
                <w:bCs/>
              </w:rPr>
            </w:pPr>
            <w:r>
              <w:t>[Specify]</w:t>
            </w:r>
          </w:p>
        </w:tc>
      </w:tr>
      <w:tr w:rsidR="00742371" w14:paraId="038A22AC" w14:textId="77777777" w:rsidTr="00E21378">
        <w:trPr>
          <w:trHeight w:val="181"/>
        </w:trPr>
        <w:tc>
          <w:tcPr>
            <w:tcW w:w="808" w:type="pct"/>
          </w:tcPr>
          <w:p w14:paraId="038A22AA" w14:textId="77777777" w:rsidR="00742371" w:rsidRDefault="00742371" w:rsidP="001A5D4A">
            <w:pPr>
              <w:pStyle w:val="Note-Refs"/>
            </w:pPr>
          </w:p>
        </w:tc>
        <w:tc>
          <w:tcPr>
            <w:tcW w:w="4192" w:type="pct"/>
            <w:gridSpan w:val="9"/>
            <w:vAlign w:val="bottom"/>
          </w:tcPr>
          <w:p w14:paraId="038A22AB" w14:textId="77777777" w:rsidR="00742371" w:rsidRDefault="00742371" w:rsidP="001A5D4A">
            <w:pPr>
              <w:pStyle w:val="NotesTable-ItemPlain"/>
            </w:pPr>
          </w:p>
        </w:tc>
      </w:tr>
      <w:tr w:rsidR="00FC484E" w14:paraId="038A22AF" w14:textId="77777777" w:rsidTr="00E21378">
        <w:trPr>
          <w:trHeight w:val="181"/>
        </w:trPr>
        <w:tc>
          <w:tcPr>
            <w:tcW w:w="808" w:type="pct"/>
          </w:tcPr>
          <w:p w14:paraId="038A22AD" w14:textId="77777777" w:rsidR="00FC484E" w:rsidRDefault="00FC484E" w:rsidP="001A5D4A">
            <w:pPr>
              <w:pStyle w:val="Note-Refs"/>
              <w:rPr>
                <w:b/>
              </w:rPr>
            </w:pPr>
            <w:r>
              <w:t>AASB140.75h</w:t>
            </w:r>
          </w:p>
        </w:tc>
        <w:tc>
          <w:tcPr>
            <w:tcW w:w="4192" w:type="pct"/>
            <w:gridSpan w:val="9"/>
            <w:vAlign w:val="bottom"/>
          </w:tcPr>
          <w:p w14:paraId="038A22AE" w14:textId="77777777" w:rsidR="00FC484E" w:rsidRDefault="00FC484E" w:rsidP="001A5D4A">
            <w:pPr>
              <w:pStyle w:val="Note-TextHeader"/>
              <w:rPr>
                <w:b w:val="0"/>
              </w:rPr>
            </w:pPr>
            <w:r>
              <w:t>(d)</w:t>
            </w:r>
            <w:r>
              <w:tab/>
              <w:t>Contractual obligations</w:t>
            </w:r>
          </w:p>
        </w:tc>
      </w:tr>
      <w:tr w:rsidR="00FC484E" w14:paraId="038A22B2" w14:textId="77777777" w:rsidTr="00E21378">
        <w:trPr>
          <w:trHeight w:val="181"/>
        </w:trPr>
        <w:tc>
          <w:tcPr>
            <w:tcW w:w="808" w:type="pct"/>
          </w:tcPr>
          <w:p w14:paraId="038A22B0" w14:textId="77777777" w:rsidR="00FC484E" w:rsidRDefault="00FC484E" w:rsidP="001A5D4A">
            <w:pPr>
              <w:pStyle w:val="Note-Refs"/>
            </w:pPr>
          </w:p>
        </w:tc>
        <w:tc>
          <w:tcPr>
            <w:tcW w:w="4192" w:type="pct"/>
            <w:gridSpan w:val="9"/>
            <w:vAlign w:val="bottom"/>
          </w:tcPr>
          <w:p w14:paraId="038A22B1" w14:textId="77777777" w:rsidR="00FC484E" w:rsidRDefault="00FC484E" w:rsidP="001A5D4A">
            <w:pPr>
              <w:pStyle w:val="NotesTable-ItemPlain"/>
              <w:rPr>
                <w:b/>
                <w:bCs/>
              </w:rPr>
            </w:pPr>
            <w:r>
              <w:t>[Specify]</w:t>
            </w:r>
          </w:p>
        </w:tc>
      </w:tr>
      <w:tr w:rsidR="00742371" w14:paraId="038A22B5" w14:textId="77777777" w:rsidTr="00E21378">
        <w:trPr>
          <w:trHeight w:val="181"/>
        </w:trPr>
        <w:tc>
          <w:tcPr>
            <w:tcW w:w="808" w:type="pct"/>
          </w:tcPr>
          <w:p w14:paraId="038A22B3" w14:textId="77777777" w:rsidR="00742371" w:rsidRDefault="00742371" w:rsidP="001A5D4A">
            <w:pPr>
              <w:pStyle w:val="Note-Refs"/>
            </w:pPr>
          </w:p>
        </w:tc>
        <w:tc>
          <w:tcPr>
            <w:tcW w:w="4192" w:type="pct"/>
            <w:gridSpan w:val="9"/>
            <w:vAlign w:val="bottom"/>
          </w:tcPr>
          <w:p w14:paraId="038A22B4" w14:textId="77777777" w:rsidR="00742371" w:rsidRDefault="00742371" w:rsidP="001A5D4A">
            <w:pPr>
              <w:pStyle w:val="NotesTable-ItemPlain"/>
            </w:pPr>
          </w:p>
        </w:tc>
      </w:tr>
      <w:tr w:rsidR="00FC484E" w14:paraId="038A22B8" w14:textId="77777777" w:rsidTr="00E21378">
        <w:trPr>
          <w:trHeight w:val="181"/>
        </w:trPr>
        <w:tc>
          <w:tcPr>
            <w:tcW w:w="808" w:type="pct"/>
          </w:tcPr>
          <w:p w14:paraId="038A22B6" w14:textId="77777777" w:rsidR="00FC484E" w:rsidRDefault="00FC484E" w:rsidP="001A5D4A">
            <w:pPr>
              <w:pStyle w:val="Note-Refs"/>
              <w:rPr>
                <w:b/>
              </w:rPr>
            </w:pPr>
            <w:r>
              <w:t>AASB117.56c</w:t>
            </w:r>
          </w:p>
        </w:tc>
        <w:tc>
          <w:tcPr>
            <w:tcW w:w="4192" w:type="pct"/>
            <w:gridSpan w:val="9"/>
            <w:vAlign w:val="bottom"/>
          </w:tcPr>
          <w:p w14:paraId="038A22B7" w14:textId="77777777" w:rsidR="00FC484E" w:rsidRDefault="00FC484E" w:rsidP="001A5D4A">
            <w:pPr>
              <w:pStyle w:val="Note-TextHeader"/>
              <w:rPr>
                <w:b w:val="0"/>
              </w:rPr>
            </w:pPr>
            <w:r>
              <w:t>(e)</w:t>
            </w:r>
            <w:r>
              <w:tab/>
              <w:t>Leasing arrangements</w:t>
            </w:r>
          </w:p>
        </w:tc>
      </w:tr>
      <w:tr w:rsidR="00FC484E" w14:paraId="038A22C0" w14:textId="77777777" w:rsidTr="00E21378">
        <w:trPr>
          <w:trHeight w:val="181"/>
        </w:trPr>
        <w:tc>
          <w:tcPr>
            <w:tcW w:w="808" w:type="pct"/>
          </w:tcPr>
          <w:p w14:paraId="038A22BC" w14:textId="77777777" w:rsidR="00FC484E" w:rsidRDefault="00FC484E" w:rsidP="001A5D4A">
            <w:pPr>
              <w:pStyle w:val="Note-Refs"/>
            </w:pPr>
          </w:p>
        </w:tc>
        <w:tc>
          <w:tcPr>
            <w:tcW w:w="2565" w:type="pct"/>
          </w:tcPr>
          <w:p w14:paraId="038A22BD" w14:textId="2B6A4644" w:rsidR="00FC484E" w:rsidRDefault="00E47831" w:rsidP="001A5D4A">
            <w:pPr>
              <w:pStyle w:val="NotesTable-ItemPlain"/>
            </w:pPr>
            <w:r>
              <w:t>[Specify]</w:t>
            </w:r>
          </w:p>
        </w:tc>
        <w:tc>
          <w:tcPr>
            <w:tcW w:w="811" w:type="pct"/>
            <w:gridSpan w:val="4"/>
          </w:tcPr>
          <w:p w14:paraId="038A22BE" w14:textId="77777777" w:rsidR="00FC484E" w:rsidRDefault="00FC484E" w:rsidP="001A5D4A">
            <w:pPr>
              <w:pStyle w:val="NotesTable-HeadPlain"/>
              <w:rPr>
                <w:b/>
              </w:rPr>
            </w:pPr>
            <w:r>
              <w:t>Consolidated</w:t>
            </w:r>
          </w:p>
        </w:tc>
        <w:tc>
          <w:tcPr>
            <w:tcW w:w="816" w:type="pct"/>
            <w:gridSpan w:val="4"/>
          </w:tcPr>
          <w:p w14:paraId="038A22BF" w14:textId="77777777" w:rsidR="00FC484E" w:rsidRDefault="00FC484E" w:rsidP="001A5D4A">
            <w:pPr>
              <w:pStyle w:val="NotesTable-HeadPlain"/>
              <w:rPr>
                <w:b/>
              </w:rPr>
            </w:pPr>
            <w:r>
              <w:t>Parent entity</w:t>
            </w:r>
          </w:p>
        </w:tc>
      </w:tr>
      <w:tr w:rsidR="00FC484E" w14:paraId="038A22C7" w14:textId="77777777" w:rsidTr="00E21378">
        <w:trPr>
          <w:trHeight w:val="181"/>
        </w:trPr>
        <w:tc>
          <w:tcPr>
            <w:tcW w:w="808" w:type="pct"/>
            <w:vAlign w:val="bottom"/>
          </w:tcPr>
          <w:p w14:paraId="038A22C1" w14:textId="77777777" w:rsidR="00FC484E" w:rsidRDefault="00FC484E" w:rsidP="001A5D4A">
            <w:pPr>
              <w:pStyle w:val="Note-Refs"/>
            </w:pPr>
          </w:p>
        </w:tc>
        <w:tc>
          <w:tcPr>
            <w:tcW w:w="2565" w:type="pct"/>
            <w:vAlign w:val="bottom"/>
          </w:tcPr>
          <w:p w14:paraId="038A22C2" w14:textId="77777777" w:rsidR="00FC484E" w:rsidRDefault="00FC484E" w:rsidP="001A5D4A">
            <w:pPr>
              <w:pStyle w:val="NotesTable-ItemPlain"/>
            </w:pPr>
          </w:p>
        </w:tc>
        <w:tc>
          <w:tcPr>
            <w:tcW w:w="405" w:type="pct"/>
            <w:gridSpan w:val="2"/>
            <w:vAlign w:val="bottom"/>
          </w:tcPr>
          <w:p w14:paraId="038A22C3" w14:textId="47C2BC26" w:rsidR="00FC484E" w:rsidRDefault="006864EC" w:rsidP="001A5D4A">
            <w:pPr>
              <w:pStyle w:val="NotesTable-HeadBold"/>
            </w:pPr>
            <w:r>
              <w:t>2014</w:t>
            </w:r>
          </w:p>
        </w:tc>
        <w:tc>
          <w:tcPr>
            <w:tcW w:w="406" w:type="pct"/>
            <w:gridSpan w:val="2"/>
            <w:vAlign w:val="bottom"/>
          </w:tcPr>
          <w:p w14:paraId="038A22C4" w14:textId="14B8CA9C" w:rsidR="00FC484E" w:rsidRDefault="006864EC" w:rsidP="001A5D4A">
            <w:pPr>
              <w:pStyle w:val="NotesTable-HeadPlain"/>
            </w:pPr>
            <w:r>
              <w:t>2013</w:t>
            </w:r>
          </w:p>
        </w:tc>
        <w:tc>
          <w:tcPr>
            <w:tcW w:w="405" w:type="pct"/>
            <w:gridSpan w:val="2"/>
            <w:vAlign w:val="bottom"/>
          </w:tcPr>
          <w:p w14:paraId="038A22C5" w14:textId="10417D1F" w:rsidR="00FC484E" w:rsidRDefault="006864EC" w:rsidP="001A5D4A">
            <w:pPr>
              <w:pStyle w:val="NotesTable-HeadBold"/>
            </w:pPr>
            <w:r>
              <w:t>2014</w:t>
            </w:r>
          </w:p>
        </w:tc>
        <w:tc>
          <w:tcPr>
            <w:tcW w:w="411" w:type="pct"/>
            <w:gridSpan w:val="2"/>
            <w:vAlign w:val="bottom"/>
          </w:tcPr>
          <w:p w14:paraId="038A22C6" w14:textId="3B69B573" w:rsidR="00FC484E" w:rsidRDefault="006864EC" w:rsidP="001A5D4A">
            <w:pPr>
              <w:pStyle w:val="NotesTable-HeadPlain"/>
            </w:pPr>
            <w:r>
              <w:t>2013</w:t>
            </w:r>
          </w:p>
        </w:tc>
      </w:tr>
      <w:tr w:rsidR="00FC484E" w14:paraId="038A22CE" w14:textId="77777777" w:rsidTr="00E21378">
        <w:trPr>
          <w:trHeight w:val="181"/>
        </w:trPr>
        <w:tc>
          <w:tcPr>
            <w:tcW w:w="808" w:type="pct"/>
            <w:vAlign w:val="bottom"/>
          </w:tcPr>
          <w:p w14:paraId="038A22C8" w14:textId="77777777" w:rsidR="00FC484E" w:rsidRDefault="00FC484E" w:rsidP="001A5D4A">
            <w:pPr>
              <w:pStyle w:val="Note-Refs"/>
            </w:pPr>
          </w:p>
        </w:tc>
        <w:tc>
          <w:tcPr>
            <w:tcW w:w="2565" w:type="pct"/>
            <w:vAlign w:val="bottom"/>
          </w:tcPr>
          <w:p w14:paraId="038A22C9" w14:textId="77777777" w:rsidR="00FC484E" w:rsidRDefault="00FC484E" w:rsidP="001A5D4A">
            <w:pPr>
              <w:pStyle w:val="NotesTable-ItemPlain"/>
            </w:pPr>
          </w:p>
        </w:tc>
        <w:tc>
          <w:tcPr>
            <w:tcW w:w="405" w:type="pct"/>
            <w:gridSpan w:val="2"/>
            <w:vAlign w:val="bottom"/>
          </w:tcPr>
          <w:p w14:paraId="038A22CA" w14:textId="77777777" w:rsidR="00FC484E" w:rsidRDefault="00FC484E" w:rsidP="001A5D4A">
            <w:pPr>
              <w:pStyle w:val="NotesTable-HeadBold"/>
            </w:pPr>
            <w:r>
              <w:t>$'000</w:t>
            </w:r>
          </w:p>
        </w:tc>
        <w:tc>
          <w:tcPr>
            <w:tcW w:w="406" w:type="pct"/>
            <w:gridSpan w:val="2"/>
            <w:vAlign w:val="bottom"/>
          </w:tcPr>
          <w:p w14:paraId="038A22CB" w14:textId="77777777" w:rsidR="00FC484E" w:rsidRDefault="00FC484E" w:rsidP="001A5D4A">
            <w:pPr>
              <w:pStyle w:val="NotesTable-HeadPlain"/>
            </w:pPr>
            <w:r>
              <w:t>$'000</w:t>
            </w:r>
          </w:p>
        </w:tc>
        <w:tc>
          <w:tcPr>
            <w:tcW w:w="405" w:type="pct"/>
            <w:gridSpan w:val="2"/>
            <w:vAlign w:val="bottom"/>
          </w:tcPr>
          <w:p w14:paraId="038A22CC" w14:textId="77777777" w:rsidR="00FC484E" w:rsidRDefault="00FC484E" w:rsidP="001A5D4A">
            <w:pPr>
              <w:pStyle w:val="NotesTable-HeadBold"/>
            </w:pPr>
            <w:r>
              <w:t>$'000</w:t>
            </w:r>
          </w:p>
        </w:tc>
        <w:tc>
          <w:tcPr>
            <w:tcW w:w="411" w:type="pct"/>
            <w:gridSpan w:val="2"/>
            <w:vAlign w:val="bottom"/>
          </w:tcPr>
          <w:p w14:paraId="038A22CD" w14:textId="77777777" w:rsidR="00FC484E" w:rsidRDefault="00FC484E" w:rsidP="001A5D4A">
            <w:pPr>
              <w:pStyle w:val="NotesTable-HeadPlain"/>
            </w:pPr>
            <w:r>
              <w:t>$'000</w:t>
            </w:r>
          </w:p>
        </w:tc>
      </w:tr>
      <w:tr w:rsidR="00FC484E" w14:paraId="038A22D5" w14:textId="77777777" w:rsidTr="00E21378">
        <w:trPr>
          <w:trHeight w:val="181"/>
        </w:trPr>
        <w:tc>
          <w:tcPr>
            <w:tcW w:w="808" w:type="pct"/>
          </w:tcPr>
          <w:p w14:paraId="038A22CF" w14:textId="77777777" w:rsidR="00FC484E" w:rsidRDefault="00FC484E" w:rsidP="001A5D4A">
            <w:pPr>
              <w:pStyle w:val="Note-Refs"/>
              <w:rPr>
                <w:b/>
              </w:rPr>
            </w:pPr>
            <w:r>
              <w:t>AASB117.56a</w:t>
            </w:r>
          </w:p>
        </w:tc>
        <w:tc>
          <w:tcPr>
            <w:tcW w:w="2565" w:type="pct"/>
            <w:vAlign w:val="bottom"/>
          </w:tcPr>
          <w:p w14:paraId="038A22D0" w14:textId="77777777" w:rsidR="00FC484E" w:rsidRDefault="00FC484E" w:rsidP="001A5D4A">
            <w:pPr>
              <w:pStyle w:val="NotesTable-ItemPlain"/>
              <w:rPr>
                <w:b/>
              </w:rPr>
            </w:pPr>
            <w:r>
              <w:t>[Specify]</w:t>
            </w:r>
          </w:p>
        </w:tc>
        <w:tc>
          <w:tcPr>
            <w:tcW w:w="405" w:type="pct"/>
            <w:gridSpan w:val="2"/>
            <w:tcBorders>
              <w:bottom w:val="single" w:sz="4" w:space="0" w:color="000000"/>
            </w:tcBorders>
          </w:tcPr>
          <w:p w14:paraId="038A22D1" w14:textId="77777777" w:rsidR="00FC484E" w:rsidRDefault="00FC484E" w:rsidP="001A5D4A">
            <w:pPr>
              <w:pStyle w:val="NotesTable-CellBold"/>
            </w:pPr>
            <w:r>
              <w:t>–</w:t>
            </w:r>
          </w:p>
        </w:tc>
        <w:tc>
          <w:tcPr>
            <w:tcW w:w="406" w:type="pct"/>
            <w:gridSpan w:val="2"/>
            <w:tcBorders>
              <w:bottom w:val="single" w:sz="4" w:space="0" w:color="000000"/>
            </w:tcBorders>
          </w:tcPr>
          <w:p w14:paraId="038A22D2" w14:textId="77777777" w:rsidR="00FC484E" w:rsidRDefault="00FC484E" w:rsidP="001A5D4A">
            <w:pPr>
              <w:pStyle w:val="NotesTable-CellPlain"/>
            </w:pPr>
            <w:r>
              <w:t>–</w:t>
            </w:r>
          </w:p>
        </w:tc>
        <w:tc>
          <w:tcPr>
            <w:tcW w:w="405" w:type="pct"/>
            <w:gridSpan w:val="2"/>
            <w:tcBorders>
              <w:bottom w:val="single" w:sz="4" w:space="0" w:color="000000"/>
            </w:tcBorders>
          </w:tcPr>
          <w:p w14:paraId="038A22D3" w14:textId="77777777" w:rsidR="00FC484E" w:rsidRDefault="00FC484E" w:rsidP="001A5D4A">
            <w:pPr>
              <w:pStyle w:val="NotesTable-CellBold"/>
            </w:pPr>
            <w:r>
              <w:t>–</w:t>
            </w:r>
          </w:p>
        </w:tc>
        <w:tc>
          <w:tcPr>
            <w:tcW w:w="411" w:type="pct"/>
            <w:gridSpan w:val="2"/>
            <w:tcBorders>
              <w:bottom w:val="single" w:sz="4" w:space="0" w:color="000000"/>
            </w:tcBorders>
          </w:tcPr>
          <w:p w14:paraId="038A22D4" w14:textId="77777777" w:rsidR="00FC484E" w:rsidRDefault="00FC484E" w:rsidP="001A5D4A">
            <w:pPr>
              <w:pStyle w:val="NotesTable-CellPlain"/>
            </w:pPr>
            <w:r>
              <w:t>–</w:t>
            </w:r>
          </w:p>
        </w:tc>
      </w:tr>
      <w:tr w:rsidR="00FC484E" w14:paraId="038A22DC" w14:textId="77777777" w:rsidTr="00E21378">
        <w:trPr>
          <w:trHeight w:val="181"/>
        </w:trPr>
        <w:tc>
          <w:tcPr>
            <w:tcW w:w="808" w:type="pct"/>
          </w:tcPr>
          <w:p w14:paraId="038A22D6" w14:textId="77777777" w:rsidR="00FC484E" w:rsidRDefault="00FC484E" w:rsidP="001A5D4A">
            <w:pPr>
              <w:pStyle w:val="Note-Refs"/>
            </w:pPr>
          </w:p>
        </w:tc>
        <w:tc>
          <w:tcPr>
            <w:tcW w:w="2565" w:type="pct"/>
            <w:vAlign w:val="bottom"/>
          </w:tcPr>
          <w:p w14:paraId="038A22D7" w14:textId="77777777" w:rsidR="00FC484E" w:rsidRDefault="00107FC8" w:rsidP="001A5D4A">
            <w:pPr>
              <w:pStyle w:val="NotesTable-ItemPlain"/>
              <w:rPr>
                <w:b/>
              </w:rPr>
            </w:pPr>
            <w:r>
              <w:t>Total</w:t>
            </w:r>
          </w:p>
        </w:tc>
        <w:tc>
          <w:tcPr>
            <w:tcW w:w="405" w:type="pct"/>
            <w:gridSpan w:val="2"/>
            <w:tcBorders>
              <w:top w:val="single" w:sz="4" w:space="0" w:color="000000"/>
            </w:tcBorders>
          </w:tcPr>
          <w:p w14:paraId="038A22D8" w14:textId="77777777" w:rsidR="00FC484E" w:rsidRDefault="00FC484E" w:rsidP="001A5D4A">
            <w:pPr>
              <w:pStyle w:val="NotesTable-CellBold"/>
            </w:pPr>
            <w:r>
              <w:t>–</w:t>
            </w:r>
          </w:p>
        </w:tc>
        <w:tc>
          <w:tcPr>
            <w:tcW w:w="406" w:type="pct"/>
            <w:gridSpan w:val="2"/>
            <w:tcBorders>
              <w:top w:val="single" w:sz="4" w:space="0" w:color="000000"/>
            </w:tcBorders>
          </w:tcPr>
          <w:p w14:paraId="038A22D9" w14:textId="77777777" w:rsidR="00FC484E" w:rsidRDefault="00FC484E" w:rsidP="001A5D4A">
            <w:pPr>
              <w:pStyle w:val="NotesTable-CellPlain"/>
            </w:pPr>
            <w:r>
              <w:t>–</w:t>
            </w:r>
          </w:p>
        </w:tc>
        <w:tc>
          <w:tcPr>
            <w:tcW w:w="405" w:type="pct"/>
            <w:gridSpan w:val="2"/>
            <w:tcBorders>
              <w:top w:val="single" w:sz="4" w:space="0" w:color="000000"/>
            </w:tcBorders>
          </w:tcPr>
          <w:p w14:paraId="038A22DA" w14:textId="77777777" w:rsidR="00FC484E" w:rsidRDefault="00FC484E" w:rsidP="001A5D4A">
            <w:pPr>
              <w:pStyle w:val="NotesTable-CellBold"/>
            </w:pPr>
            <w:r>
              <w:t>–</w:t>
            </w:r>
          </w:p>
        </w:tc>
        <w:tc>
          <w:tcPr>
            <w:tcW w:w="411" w:type="pct"/>
            <w:gridSpan w:val="2"/>
            <w:tcBorders>
              <w:top w:val="single" w:sz="4" w:space="0" w:color="000000"/>
            </w:tcBorders>
          </w:tcPr>
          <w:p w14:paraId="038A22DB" w14:textId="77777777" w:rsidR="00FC484E" w:rsidRDefault="00FC484E" w:rsidP="001A5D4A">
            <w:pPr>
              <w:pStyle w:val="NotesTable-CellPlain"/>
            </w:pPr>
            <w:r>
              <w:t>–</w:t>
            </w:r>
          </w:p>
        </w:tc>
      </w:tr>
    </w:tbl>
    <w:p w14:paraId="690EDD37" w14:textId="6D7F7713" w:rsidR="00060D59" w:rsidRPr="00976BC2" w:rsidRDefault="00060D59" w:rsidP="001A5D4A"/>
    <w:p w14:paraId="704CF955" w14:textId="73885658" w:rsidR="00060D59" w:rsidRPr="00976BC2" w:rsidRDefault="00060D59" w:rsidP="001A5D4A">
      <w:pPr>
        <w:sectPr w:rsidR="00060D59" w:rsidRPr="00976BC2" w:rsidSect="002312D2">
          <w:pgSz w:w="11905" w:h="16837"/>
          <w:pgMar w:top="1134" w:right="1077" w:bottom="1134" w:left="1077" w:header="850" w:footer="737" w:gutter="0"/>
          <w:cols w:space="720"/>
          <w:docGrid w:linePitch="360"/>
        </w:sectPr>
      </w:pPr>
    </w:p>
    <w:p w14:paraId="69193415" w14:textId="5B5F7739" w:rsidR="00976BC2" w:rsidRPr="00976BC2" w:rsidRDefault="00976BC2" w:rsidP="002E740E">
      <w:pPr>
        <w:pStyle w:val="Heading2"/>
      </w:pPr>
      <w:bookmarkStart w:id="331" w:name="_Toc410807638"/>
      <w:bookmarkStart w:id="332" w:name="_Toc410822699"/>
      <w:proofErr w:type="gramStart"/>
      <w:r w:rsidRPr="00976BC2">
        <w:lastRenderedPageBreak/>
        <w:t>Note 26.</w:t>
      </w:r>
      <w:proofErr w:type="gramEnd"/>
      <w:r w:rsidR="002636A0">
        <w:t xml:space="preserve"> </w:t>
      </w:r>
      <w:r w:rsidRPr="00976BC2">
        <w:t>Property, plant and equipment</w:t>
      </w:r>
      <w:bookmarkEnd w:id="331"/>
      <w:bookmarkEnd w:id="332"/>
    </w:p>
    <w:tbl>
      <w:tblPr>
        <w:tblW w:w="5000" w:type="pct"/>
        <w:tblCellMar>
          <w:left w:w="0" w:type="dxa"/>
          <w:right w:w="0" w:type="dxa"/>
        </w:tblCellMar>
        <w:tblLook w:val="0000" w:firstRow="0" w:lastRow="0" w:firstColumn="0" w:lastColumn="0" w:noHBand="0" w:noVBand="0"/>
      </w:tblPr>
      <w:tblGrid>
        <w:gridCol w:w="1541"/>
        <w:gridCol w:w="3081"/>
        <w:gridCol w:w="1142"/>
        <w:gridCol w:w="1025"/>
        <w:gridCol w:w="1025"/>
        <w:gridCol w:w="1142"/>
        <w:gridCol w:w="1025"/>
        <w:gridCol w:w="1142"/>
        <w:gridCol w:w="1142"/>
        <w:gridCol w:w="1025"/>
        <w:gridCol w:w="1025"/>
        <w:gridCol w:w="1031"/>
      </w:tblGrid>
      <w:tr w:rsidR="00CE0216" w14:paraId="038A22EE" w14:textId="77777777" w:rsidTr="00E21378">
        <w:trPr>
          <w:cantSplit/>
          <w:trHeight w:val="565"/>
        </w:trPr>
        <w:tc>
          <w:tcPr>
            <w:tcW w:w="502" w:type="pct"/>
          </w:tcPr>
          <w:p w14:paraId="038A22E1" w14:textId="77777777" w:rsidR="00CE0216" w:rsidRDefault="00CE0216" w:rsidP="001A5D4A">
            <w:pPr>
              <w:pStyle w:val="Note-Refs"/>
            </w:pPr>
            <w:r>
              <w:t>MANDATORY</w:t>
            </w:r>
          </w:p>
          <w:p w14:paraId="038A22E2" w14:textId="77777777" w:rsidR="00CE0216" w:rsidRDefault="00CE0216" w:rsidP="001A5D4A">
            <w:pPr>
              <w:pStyle w:val="Note-Refs"/>
            </w:pPr>
          </w:p>
        </w:tc>
        <w:tc>
          <w:tcPr>
            <w:tcW w:w="1004" w:type="pct"/>
            <w:shd w:val="clear" w:color="auto" w:fill="CCCCCC"/>
          </w:tcPr>
          <w:p w14:paraId="038A22E3" w14:textId="77777777" w:rsidR="00CE0216" w:rsidRDefault="00CE0216" w:rsidP="001A5D4A">
            <w:pPr>
              <w:pStyle w:val="NotesTable-ItemPlain"/>
            </w:pPr>
          </w:p>
        </w:tc>
        <w:tc>
          <w:tcPr>
            <w:tcW w:w="372" w:type="pct"/>
            <w:shd w:val="clear" w:color="auto" w:fill="CCCCCC"/>
            <w:vAlign w:val="bottom"/>
          </w:tcPr>
          <w:p w14:paraId="038A22E4" w14:textId="77777777" w:rsidR="00CE0216" w:rsidRDefault="00CE0216" w:rsidP="001A5D4A">
            <w:pPr>
              <w:pStyle w:val="NotesTable-HeadPlain"/>
              <w:rPr>
                <w:b/>
              </w:rPr>
            </w:pPr>
            <w:r>
              <w:t>Construction in progress</w:t>
            </w:r>
          </w:p>
        </w:tc>
        <w:tc>
          <w:tcPr>
            <w:tcW w:w="334" w:type="pct"/>
            <w:shd w:val="clear" w:color="auto" w:fill="CCCCCC"/>
            <w:vAlign w:val="bottom"/>
          </w:tcPr>
          <w:p w14:paraId="038A22E5" w14:textId="77777777" w:rsidR="00CE0216" w:rsidRDefault="00CE0216" w:rsidP="001A5D4A">
            <w:pPr>
              <w:pStyle w:val="NotesTable-HeadPlain"/>
            </w:pPr>
            <w:r>
              <w:t>Land</w:t>
            </w:r>
          </w:p>
        </w:tc>
        <w:tc>
          <w:tcPr>
            <w:tcW w:w="334" w:type="pct"/>
            <w:shd w:val="clear" w:color="auto" w:fill="CCCCCC"/>
            <w:vAlign w:val="bottom"/>
          </w:tcPr>
          <w:p w14:paraId="038A22E6" w14:textId="77777777" w:rsidR="00CE0216" w:rsidRDefault="00CE0216" w:rsidP="001A5D4A">
            <w:pPr>
              <w:pStyle w:val="NotesTable-HeadPlain"/>
            </w:pPr>
            <w:r>
              <w:t>Buildings</w:t>
            </w:r>
          </w:p>
        </w:tc>
        <w:tc>
          <w:tcPr>
            <w:tcW w:w="372" w:type="pct"/>
            <w:shd w:val="clear" w:color="auto" w:fill="CCCCCC"/>
            <w:vAlign w:val="bottom"/>
          </w:tcPr>
          <w:p w14:paraId="038A22E7" w14:textId="77777777" w:rsidR="00CE0216" w:rsidRDefault="00CE0216" w:rsidP="001A5D4A">
            <w:pPr>
              <w:pStyle w:val="NotesTable-HeadPlain"/>
            </w:pPr>
            <w:r>
              <w:t>Infrastructure</w:t>
            </w:r>
          </w:p>
        </w:tc>
        <w:tc>
          <w:tcPr>
            <w:tcW w:w="334" w:type="pct"/>
            <w:shd w:val="clear" w:color="auto" w:fill="CCCCCC"/>
            <w:vAlign w:val="bottom"/>
          </w:tcPr>
          <w:p w14:paraId="038A22E8" w14:textId="23FC4A2A" w:rsidR="00CE0216" w:rsidRDefault="00933136" w:rsidP="001A5D4A">
            <w:pPr>
              <w:pStyle w:val="NotesTable-HeadPlain"/>
            </w:pPr>
            <w:r>
              <w:t>P</w:t>
            </w:r>
            <w:r w:rsidR="00CE0216">
              <w:t>lant and equipment*</w:t>
            </w:r>
          </w:p>
        </w:tc>
        <w:tc>
          <w:tcPr>
            <w:tcW w:w="372" w:type="pct"/>
            <w:shd w:val="clear" w:color="auto" w:fill="CCCCCC"/>
            <w:vAlign w:val="bottom"/>
          </w:tcPr>
          <w:p w14:paraId="038A22E9" w14:textId="77777777" w:rsidR="00CE0216" w:rsidRDefault="00CE0216" w:rsidP="001A5D4A">
            <w:pPr>
              <w:pStyle w:val="NotesTable-HeadPlain"/>
            </w:pPr>
            <w:r>
              <w:t>Leasehold improvements</w:t>
            </w:r>
          </w:p>
        </w:tc>
        <w:tc>
          <w:tcPr>
            <w:tcW w:w="372" w:type="pct"/>
            <w:shd w:val="clear" w:color="auto" w:fill="CCCCCC"/>
            <w:vAlign w:val="bottom"/>
          </w:tcPr>
          <w:p w14:paraId="038A22EA" w14:textId="77777777" w:rsidR="00CE0216" w:rsidRDefault="00CE0216" w:rsidP="001A5D4A">
            <w:pPr>
              <w:pStyle w:val="NotesTable-HeadPlain"/>
            </w:pPr>
            <w:r>
              <w:t>Leased plant &amp; equipment</w:t>
            </w:r>
          </w:p>
        </w:tc>
        <w:tc>
          <w:tcPr>
            <w:tcW w:w="334" w:type="pct"/>
            <w:shd w:val="clear" w:color="auto" w:fill="CCCCCC"/>
            <w:vAlign w:val="bottom"/>
          </w:tcPr>
          <w:p w14:paraId="038A22EB" w14:textId="77777777" w:rsidR="00CE0216" w:rsidRDefault="00CE0216" w:rsidP="001A5D4A">
            <w:pPr>
              <w:pStyle w:val="NotesTable-HeadPlain"/>
            </w:pPr>
            <w:r>
              <w:t>Library</w:t>
            </w:r>
          </w:p>
        </w:tc>
        <w:tc>
          <w:tcPr>
            <w:tcW w:w="334" w:type="pct"/>
            <w:shd w:val="clear" w:color="auto" w:fill="CCCCCC"/>
            <w:vAlign w:val="bottom"/>
          </w:tcPr>
          <w:p w14:paraId="038A22EC" w14:textId="20B5E349" w:rsidR="00CE0216" w:rsidRDefault="00CE0216" w:rsidP="001A5D4A">
            <w:pPr>
              <w:pStyle w:val="NotesTable-HeadPlain"/>
            </w:pPr>
            <w:r>
              <w:t>Other plant and equipment**</w:t>
            </w:r>
          </w:p>
        </w:tc>
        <w:tc>
          <w:tcPr>
            <w:tcW w:w="335" w:type="pct"/>
            <w:shd w:val="clear" w:color="auto" w:fill="CCCCCC"/>
            <w:vAlign w:val="bottom"/>
          </w:tcPr>
          <w:p w14:paraId="038A22ED" w14:textId="77777777" w:rsidR="00CE0216" w:rsidRDefault="00CE0216" w:rsidP="001A5D4A">
            <w:pPr>
              <w:pStyle w:val="NotesTable-HeadPlain"/>
            </w:pPr>
            <w:r>
              <w:t>Total</w:t>
            </w:r>
          </w:p>
        </w:tc>
      </w:tr>
      <w:tr w:rsidR="00CE0216" w14:paraId="038A22FB" w14:textId="77777777" w:rsidTr="00E21378">
        <w:trPr>
          <w:cantSplit/>
          <w:trHeight w:val="218"/>
        </w:trPr>
        <w:tc>
          <w:tcPr>
            <w:tcW w:w="502" w:type="pct"/>
          </w:tcPr>
          <w:p w14:paraId="038A22EF" w14:textId="77777777" w:rsidR="00CE0216" w:rsidRDefault="00CE0216" w:rsidP="001A5D4A">
            <w:pPr>
              <w:pStyle w:val="Note-Refs"/>
            </w:pPr>
          </w:p>
        </w:tc>
        <w:tc>
          <w:tcPr>
            <w:tcW w:w="1004" w:type="pct"/>
            <w:shd w:val="clear" w:color="auto" w:fill="CCCCCC"/>
            <w:vAlign w:val="bottom"/>
          </w:tcPr>
          <w:p w14:paraId="038A22F0" w14:textId="77777777" w:rsidR="00CE0216" w:rsidRDefault="00CE0216" w:rsidP="001A5D4A">
            <w:pPr>
              <w:pStyle w:val="NotesTable-ItemBold"/>
            </w:pPr>
            <w:r>
              <w:t>Consolidated</w:t>
            </w:r>
          </w:p>
        </w:tc>
        <w:tc>
          <w:tcPr>
            <w:tcW w:w="372" w:type="pct"/>
            <w:shd w:val="clear" w:color="auto" w:fill="CCCCCC"/>
          </w:tcPr>
          <w:p w14:paraId="038A22F1" w14:textId="77777777" w:rsidR="00CE0216" w:rsidRDefault="00CE0216" w:rsidP="001A5D4A">
            <w:pPr>
              <w:pStyle w:val="NotesTable-CellPlain"/>
              <w:rPr>
                <w:b/>
              </w:rPr>
            </w:pPr>
            <w:r>
              <w:t>$'000</w:t>
            </w:r>
          </w:p>
        </w:tc>
        <w:tc>
          <w:tcPr>
            <w:tcW w:w="334" w:type="pct"/>
            <w:shd w:val="clear" w:color="auto" w:fill="CCCCCC"/>
          </w:tcPr>
          <w:p w14:paraId="038A22F2" w14:textId="77777777" w:rsidR="00CE0216" w:rsidRDefault="00CE0216" w:rsidP="001A5D4A">
            <w:pPr>
              <w:pStyle w:val="NotesTable-CellPlain"/>
              <w:rPr>
                <w:b/>
              </w:rPr>
            </w:pPr>
            <w:r>
              <w:t>$'000</w:t>
            </w:r>
          </w:p>
        </w:tc>
        <w:tc>
          <w:tcPr>
            <w:tcW w:w="334" w:type="pct"/>
            <w:shd w:val="clear" w:color="auto" w:fill="CCCCCC"/>
          </w:tcPr>
          <w:p w14:paraId="038A22F3" w14:textId="77777777" w:rsidR="00CE0216" w:rsidRDefault="00CE0216" w:rsidP="001A5D4A">
            <w:pPr>
              <w:pStyle w:val="NotesTable-CellPlain"/>
              <w:rPr>
                <w:b/>
              </w:rPr>
            </w:pPr>
            <w:r>
              <w:t>$'000</w:t>
            </w:r>
          </w:p>
        </w:tc>
        <w:tc>
          <w:tcPr>
            <w:tcW w:w="372" w:type="pct"/>
            <w:shd w:val="clear" w:color="auto" w:fill="CCCCCC"/>
          </w:tcPr>
          <w:p w14:paraId="038A22F4" w14:textId="77777777" w:rsidR="00CE0216" w:rsidRDefault="00CE0216" w:rsidP="001A5D4A">
            <w:pPr>
              <w:pStyle w:val="NotesTable-CellPlain"/>
              <w:rPr>
                <w:b/>
              </w:rPr>
            </w:pPr>
            <w:r>
              <w:t>$'000</w:t>
            </w:r>
          </w:p>
        </w:tc>
        <w:tc>
          <w:tcPr>
            <w:tcW w:w="334" w:type="pct"/>
            <w:shd w:val="clear" w:color="auto" w:fill="CCCCCC"/>
          </w:tcPr>
          <w:p w14:paraId="038A22F5" w14:textId="77777777" w:rsidR="00CE0216" w:rsidRDefault="00CE0216" w:rsidP="001A5D4A">
            <w:pPr>
              <w:pStyle w:val="NotesTable-CellPlain"/>
              <w:rPr>
                <w:b/>
              </w:rPr>
            </w:pPr>
            <w:r>
              <w:t>$'000</w:t>
            </w:r>
          </w:p>
        </w:tc>
        <w:tc>
          <w:tcPr>
            <w:tcW w:w="372" w:type="pct"/>
            <w:shd w:val="clear" w:color="auto" w:fill="CCCCCC"/>
          </w:tcPr>
          <w:p w14:paraId="038A22F6" w14:textId="77777777" w:rsidR="00CE0216" w:rsidRDefault="00CE0216" w:rsidP="001A5D4A">
            <w:pPr>
              <w:pStyle w:val="NotesTable-CellPlain"/>
              <w:rPr>
                <w:b/>
              </w:rPr>
            </w:pPr>
            <w:r>
              <w:t>$'000</w:t>
            </w:r>
          </w:p>
        </w:tc>
        <w:tc>
          <w:tcPr>
            <w:tcW w:w="372" w:type="pct"/>
            <w:shd w:val="clear" w:color="auto" w:fill="CCCCCC"/>
          </w:tcPr>
          <w:p w14:paraId="038A22F7" w14:textId="77777777" w:rsidR="00CE0216" w:rsidRDefault="00CE0216" w:rsidP="001A5D4A">
            <w:pPr>
              <w:pStyle w:val="NotesTable-CellPlain"/>
              <w:rPr>
                <w:b/>
              </w:rPr>
            </w:pPr>
            <w:r>
              <w:t>$'000</w:t>
            </w:r>
          </w:p>
        </w:tc>
        <w:tc>
          <w:tcPr>
            <w:tcW w:w="334" w:type="pct"/>
            <w:shd w:val="clear" w:color="auto" w:fill="CCCCCC"/>
          </w:tcPr>
          <w:p w14:paraId="038A22F8" w14:textId="77777777" w:rsidR="00CE0216" w:rsidRDefault="00CE0216" w:rsidP="001A5D4A">
            <w:pPr>
              <w:pStyle w:val="NotesTable-CellPlain"/>
              <w:rPr>
                <w:b/>
              </w:rPr>
            </w:pPr>
            <w:r>
              <w:t>$'000</w:t>
            </w:r>
          </w:p>
        </w:tc>
        <w:tc>
          <w:tcPr>
            <w:tcW w:w="334" w:type="pct"/>
            <w:shd w:val="clear" w:color="auto" w:fill="CCCCCC"/>
          </w:tcPr>
          <w:p w14:paraId="038A22F9" w14:textId="77777777" w:rsidR="00CE0216" w:rsidRDefault="00CE0216" w:rsidP="001A5D4A">
            <w:pPr>
              <w:pStyle w:val="NotesTable-CellPlain"/>
              <w:rPr>
                <w:b/>
              </w:rPr>
            </w:pPr>
            <w:r>
              <w:t>$'000</w:t>
            </w:r>
          </w:p>
        </w:tc>
        <w:tc>
          <w:tcPr>
            <w:tcW w:w="335" w:type="pct"/>
            <w:shd w:val="clear" w:color="auto" w:fill="CCCCCC"/>
          </w:tcPr>
          <w:p w14:paraId="038A22FA" w14:textId="77777777" w:rsidR="00CE0216" w:rsidRDefault="00CE0216" w:rsidP="001A5D4A">
            <w:pPr>
              <w:pStyle w:val="NotesTable-CellPlain"/>
              <w:rPr>
                <w:b/>
                <w:lang w:val="en-GB"/>
              </w:rPr>
            </w:pPr>
            <w:r>
              <w:t>$'000</w:t>
            </w:r>
          </w:p>
        </w:tc>
      </w:tr>
      <w:tr w:rsidR="00CE0216" w14:paraId="038A2308" w14:textId="77777777" w:rsidTr="00E21378">
        <w:trPr>
          <w:cantSplit/>
          <w:trHeight w:val="218"/>
        </w:trPr>
        <w:tc>
          <w:tcPr>
            <w:tcW w:w="502" w:type="pct"/>
          </w:tcPr>
          <w:p w14:paraId="038A22FC" w14:textId="77777777" w:rsidR="00CE0216" w:rsidRDefault="00CE0216" w:rsidP="001A5D4A">
            <w:pPr>
              <w:pStyle w:val="Note-Refs"/>
            </w:pPr>
          </w:p>
        </w:tc>
        <w:tc>
          <w:tcPr>
            <w:tcW w:w="1004" w:type="pct"/>
            <w:shd w:val="clear" w:color="auto" w:fill="CCCCCC"/>
            <w:vAlign w:val="bottom"/>
          </w:tcPr>
          <w:p w14:paraId="038A22FD" w14:textId="77777777" w:rsidR="00CE0216" w:rsidRDefault="00CE0216" w:rsidP="001A5D4A">
            <w:pPr>
              <w:pStyle w:val="NotesTable-ItemPlain"/>
            </w:pPr>
          </w:p>
        </w:tc>
        <w:tc>
          <w:tcPr>
            <w:tcW w:w="372" w:type="pct"/>
            <w:shd w:val="clear" w:color="auto" w:fill="CCCCCC"/>
          </w:tcPr>
          <w:p w14:paraId="038A22FE" w14:textId="77777777" w:rsidR="00CE0216" w:rsidRDefault="00CE0216" w:rsidP="001A5D4A">
            <w:pPr>
              <w:pStyle w:val="NotesTable-CellPlain"/>
            </w:pPr>
          </w:p>
        </w:tc>
        <w:tc>
          <w:tcPr>
            <w:tcW w:w="334" w:type="pct"/>
            <w:shd w:val="clear" w:color="auto" w:fill="CCCCCC"/>
          </w:tcPr>
          <w:p w14:paraId="038A22FF" w14:textId="77777777" w:rsidR="00CE0216" w:rsidRDefault="00CE0216" w:rsidP="001A5D4A">
            <w:pPr>
              <w:pStyle w:val="NotesTable-CellPlain"/>
            </w:pPr>
          </w:p>
        </w:tc>
        <w:tc>
          <w:tcPr>
            <w:tcW w:w="334" w:type="pct"/>
            <w:shd w:val="clear" w:color="auto" w:fill="CCCCCC"/>
          </w:tcPr>
          <w:p w14:paraId="038A2300" w14:textId="77777777" w:rsidR="00CE0216" w:rsidRDefault="00CE0216" w:rsidP="001A5D4A">
            <w:pPr>
              <w:pStyle w:val="NotesTable-CellPlain"/>
            </w:pPr>
          </w:p>
        </w:tc>
        <w:tc>
          <w:tcPr>
            <w:tcW w:w="372" w:type="pct"/>
            <w:shd w:val="clear" w:color="auto" w:fill="CCCCCC"/>
          </w:tcPr>
          <w:p w14:paraId="038A2301" w14:textId="77777777" w:rsidR="00CE0216" w:rsidRDefault="00CE0216" w:rsidP="001A5D4A">
            <w:pPr>
              <w:pStyle w:val="NotesTable-CellPlain"/>
            </w:pPr>
          </w:p>
        </w:tc>
        <w:tc>
          <w:tcPr>
            <w:tcW w:w="334" w:type="pct"/>
            <w:shd w:val="clear" w:color="auto" w:fill="CCCCCC"/>
          </w:tcPr>
          <w:p w14:paraId="038A2302" w14:textId="77777777" w:rsidR="00CE0216" w:rsidRDefault="00CE0216" w:rsidP="001A5D4A">
            <w:pPr>
              <w:pStyle w:val="NotesTable-CellPlain"/>
            </w:pPr>
          </w:p>
        </w:tc>
        <w:tc>
          <w:tcPr>
            <w:tcW w:w="372" w:type="pct"/>
            <w:shd w:val="clear" w:color="auto" w:fill="CCCCCC"/>
          </w:tcPr>
          <w:p w14:paraId="038A2303" w14:textId="77777777" w:rsidR="00CE0216" w:rsidRDefault="00CE0216" w:rsidP="001A5D4A">
            <w:pPr>
              <w:pStyle w:val="NotesTable-CellPlain"/>
            </w:pPr>
          </w:p>
        </w:tc>
        <w:tc>
          <w:tcPr>
            <w:tcW w:w="372" w:type="pct"/>
            <w:shd w:val="clear" w:color="auto" w:fill="CCCCCC"/>
          </w:tcPr>
          <w:p w14:paraId="038A2304" w14:textId="77777777" w:rsidR="00CE0216" w:rsidRDefault="00CE0216" w:rsidP="001A5D4A">
            <w:pPr>
              <w:pStyle w:val="NotesTable-CellPlain"/>
            </w:pPr>
          </w:p>
        </w:tc>
        <w:tc>
          <w:tcPr>
            <w:tcW w:w="334" w:type="pct"/>
            <w:shd w:val="clear" w:color="auto" w:fill="CCCCCC"/>
          </w:tcPr>
          <w:p w14:paraId="038A2305" w14:textId="77777777" w:rsidR="00CE0216" w:rsidRDefault="00CE0216" w:rsidP="001A5D4A">
            <w:pPr>
              <w:pStyle w:val="NotesTable-CellPlain"/>
            </w:pPr>
          </w:p>
        </w:tc>
        <w:tc>
          <w:tcPr>
            <w:tcW w:w="334" w:type="pct"/>
            <w:shd w:val="clear" w:color="auto" w:fill="CCCCCC"/>
          </w:tcPr>
          <w:p w14:paraId="038A2306" w14:textId="77777777" w:rsidR="00CE0216" w:rsidRDefault="00CE0216" w:rsidP="001A5D4A">
            <w:pPr>
              <w:pStyle w:val="NotesTable-CellPlain"/>
            </w:pPr>
          </w:p>
        </w:tc>
        <w:tc>
          <w:tcPr>
            <w:tcW w:w="335" w:type="pct"/>
            <w:shd w:val="clear" w:color="auto" w:fill="CCCCCC"/>
          </w:tcPr>
          <w:p w14:paraId="038A2307" w14:textId="77777777" w:rsidR="00CE0216" w:rsidRDefault="00CE0216" w:rsidP="001A5D4A">
            <w:pPr>
              <w:pStyle w:val="NotesTable-CellPlain"/>
            </w:pPr>
          </w:p>
        </w:tc>
      </w:tr>
      <w:tr w:rsidR="00742371" w14:paraId="038A230B" w14:textId="77777777" w:rsidTr="00E21378">
        <w:trPr>
          <w:cantSplit/>
          <w:trHeight w:val="218"/>
        </w:trPr>
        <w:tc>
          <w:tcPr>
            <w:tcW w:w="502" w:type="pct"/>
          </w:tcPr>
          <w:p w14:paraId="038A2309" w14:textId="77777777" w:rsidR="00742371" w:rsidRDefault="00742371" w:rsidP="001A5D4A">
            <w:pPr>
              <w:pStyle w:val="Note-Refs"/>
            </w:pPr>
          </w:p>
        </w:tc>
        <w:tc>
          <w:tcPr>
            <w:tcW w:w="4498" w:type="pct"/>
            <w:gridSpan w:val="11"/>
            <w:shd w:val="clear" w:color="auto" w:fill="CCCCCC"/>
            <w:vAlign w:val="bottom"/>
          </w:tcPr>
          <w:p w14:paraId="038A230A" w14:textId="6162D68A" w:rsidR="00742371" w:rsidRDefault="00742371" w:rsidP="001A5D4A">
            <w:pPr>
              <w:pStyle w:val="Note-TextHeader"/>
              <w:rPr>
                <w:lang w:val="en-GB"/>
              </w:rPr>
            </w:pPr>
            <w:r>
              <w:t xml:space="preserve">At 1 January </w:t>
            </w:r>
            <w:r w:rsidR="006864EC">
              <w:t>2013</w:t>
            </w:r>
          </w:p>
        </w:tc>
      </w:tr>
      <w:tr w:rsidR="00CE0216" w14:paraId="038A2318" w14:textId="77777777" w:rsidTr="00E21378">
        <w:trPr>
          <w:cantSplit/>
          <w:trHeight w:val="218"/>
        </w:trPr>
        <w:tc>
          <w:tcPr>
            <w:tcW w:w="502" w:type="pct"/>
          </w:tcPr>
          <w:p w14:paraId="038A230C" w14:textId="77777777" w:rsidR="00CE0216" w:rsidRDefault="00CE0216" w:rsidP="001A5D4A">
            <w:pPr>
              <w:pStyle w:val="Note-Refs"/>
              <w:rPr>
                <w:b/>
              </w:rPr>
            </w:pPr>
            <w:r>
              <w:t>AASB116.73d</w:t>
            </w:r>
          </w:p>
        </w:tc>
        <w:tc>
          <w:tcPr>
            <w:tcW w:w="1004" w:type="pct"/>
            <w:shd w:val="clear" w:color="auto" w:fill="CCCCCC"/>
            <w:vAlign w:val="bottom"/>
          </w:tcPr>
          <w:p w14:paraId="038A230D" w14:textId="77777777" w:rsidR="00CE0216" w:rsidRDefault="00CE0216" w:rsidP="001A5D4A">
            <w:pPr>
              <w:pStyle w:val="NotesTable-ItemPlain"/>
              <w:rPr>
                <w:b/>
              </w:rPr>
            </w:pPr>
            <w:r>
              <w:t>- Cost</w:t>
            </w:r>
          </w:p>
        </w:tc>
        <w:tc>
          <w:tcPr>
            <w:tcW w:w="372" w:type="pct"/>
            <w:shd w:val="clear" w:color="auto" w:fill="CCCCCC"/>
          </w:tcPr>
          <w:p w14:paraId="038A230E" w14:textId="77777777" w:rsidR="00CE0216" w:rsidRDefault="00CE0216" w:rsidP="001A5D4A">
            <w:pPr>
              <w:pStyle w:val="NotesTable-CellPlain"/>
            </w:pPr>
            <w:r>
              <w:t>–</w:t>
            </w:r>
          </w:p>
        </w:tc>
        <w:tc>
          <w:tcPr>
            <w:tcW w:w="334" w:type="pct"/>
            <w:shd w:val="clear" w:color="auto" w:fill="CCCCCC"/>
          </w:tcPr>
          <w:p w14:paraId="038A230F" w14:textId="77777777" w:rsidR="00CE0216" w:rsidRDefault="00CE0216" w:rsidP="001A5D4A">
            <w:pPr>
              <w:pStyle w:val="NotesTable-CellPlain"/>
            </w:pPr>
            <w:r>
              <w:t>–</w:t>
            </w:r>
          </w:p>
        </w:tc>
        <w:tc>
          <w:tcPr>
            <w:tcW w:w="334" w:type="pct"/>
            <w:shd w:val="clear" w:color="auto" w:fill="CCCCCC"/>
          </w:tcPr>
          <w:p w14:paraId="038A2310" w14:textId="77777777" w:rsidR="00CE0216" w:rsidRDefault="00CE0216" w:rsidP="001A5D4A">
            <w:pPr>
              <w:pStyle w:val="NotesTable-CellPlain"/>
            </w:pPr>
            <w:r>
              <w:t>–</w:t>
            </w:r>
          </w:p>
        </w:tc>
        <w:tc>
          <w:tcPr>
            <w:tcW w:w="372" w:type="pct"/>
            <w:shd w:val="clear" w:color="auto" w:fill="CCCCCC"/>
          </w:tcPr>
          <w:p w14:paraId="038A2311" w14:textId="77777777" w:rsidR="00CE0216" w:rsidRDefault="00CE0216" w:rsidP="001A5D4A">
            <w:pPr>
              <w:pStyle w:val="NotesTable-CellPlain"/>
            </w:pPr>
            <w:r>
              <w:t>–</w:t>
            </w:r>
          </w:p>
        </w:tc>
        <w:tc>
          <w:tcPr>
            <w:tcW w:w="334" w:type="pct"/>
            <w:shd w:val="clear" w:color="auto" w:fill="CCCCCC"/>
          </w:tcPr>
          <w:p w14:paraId="038A2312" w14:textId="77777777" w:rsidR="00CE0216" w:rsidRDefault="00CE0216" w:rsidP="001A5D4A">
            <w:pPr>
              <w:pStyle w:val="NotesTable-CellPlain"/>
            </w:pPr>
            <w:r>
              <w:t>–</w:t>
            </w:r>
          </w:p>
        </w:tc>
        <w:tc>
          <w:tcPr>
            <w:tcW w:w="372" w:type="pct"/>
            <w:shd w:val="clear" w:color="auto" w:fill="CCCCCC"/>
          </w:tcPr>
          <w:p w14:paraId="038A2313" w14:textId="77777777" w:rsidR="00CE0216" w:rsidRDefault="00CE0216" w:rsidP="001A5D4A">
            <w:pPr>
              <w:pStyle w:val="NotesTable-CellPlain"/>
            </w:pPr>
            <w:r>
              <w:t>–</w:t>
            </w:r>
          </w:p>
        </w:tc>
        <w:tc>
          <w:tcPr>
            <w:tcW w:w="372" w:type="pct"/>
            <w:shd w:val="clear" w:color="auto" w:fill="CCCCCC"/>
          </w:tcPr>
          <w:p w14:paraId="038A2314" w14:textId="77777777" w:rsidR="00CE0216" w:rsidRDefault="00CE0216" w:rsidP="001A5D4A">
            <w:pPr>
              <w:pStyle w:val="NotesTable-CellPlain"/>
            </w:pPr>
            <w:r>
              <w:t>–</w:t>
            </w:r>
          </w:p>
        </w:tc>
        <w:tc>
          <w:tcPr>
            <w:tcW w:w="334" w:type="pct"/>
            <w:shd w:val="clear" w:color="auto" w:fill="CCCCCC"/>
          </w:tcPr>
          <w:p w14:paraId="038A2315" w14:textId="77777777" w:rsidR="00CE0216" w:rsidRDefault="00CE0216" w:rsidP="001A5D4A">
            <w:pPr>
              <w:pStyle w:val="NotesTable-CellPlain"/>
            </w:pPr>
            <w:r>
              <w:t>–</w:t>
            </w:r>
          </w:p>
        </w:tc>
        <w:tc>
          <w:tcPr>
            <w:tcW w:w="334" w:type="pct"/>
            <w:shd w:val="clear" w:color="auto" w:fill="CCCCCC"/>
          </w:tcPr>
          <w:p w14:paraId="038A2316" w14:textId="77777777" w:rsidR="00CE0216" w:rsidRDefault="00CE0216" w:rsidP="001A5D4A">
            <w:pPr>
              <w:pStyle w:val="NotesTable-CellPlain"/>
            </w:pPr>
            <w:r>
              <w:t>–</w:t>
            </w:r>
          </w:p>
        </w:tc>
        <w:tc>
          <w:tcPr>
            <w:tcW w:w="335" w:type="pct"/>
            <w:shd w:val="clear" w:color="auto" w:fill="CCCCCC"/>
          </w:tcPr>
          <w:p w14:paraId="038A2317" w14:textId="77777777" w:rsidR="00CE0216" w:rsidRDefault="00CE0216" w:rsidP="001A5D4A">
            <w:pPr>
              <w:pStyle w:val="NotesTable-CellPlain"/>
              <w:rPr>
                <w:lang w:val="en-GB"/>
              </w:rPr>
            </w:pPr>
            <w:r>
              <w:t>–</w:t>
            </w:r>
          </w:p>
        </w:tc>
      </w:tr>
      <w:tr w:rsidR="00CE0216" w14:paraId="038A2325" w14:textId="77777777" w:rsidTr="00E21378">
        <w:trPr>
          <w:cantSplit/>
          <w:trHeight w:val="203"/>
        </w:trPr>
        <w:tc>
          <w:tcPr>
            <w:tcW w:w="502" w:type="pct"/>
          </w:tcPr>
          <w:p w14:paraId="038A2319" w14:textId="77777777" w:rsidR="00CE0216" w:rsidRDefault="00CE0216" w:rsidP="001A5D4A">
            <w:pPr>
              <w:pStyle w:val="Note-Refs"/>
              <w:rPr>
                <w:b/>
              </w:rPr>
            </w:pPr>
            <w:r>
              <w:t>AASB116.73d</w:t>
            </w:r>
          </w:p>
        </w:tc>
        <w:tc>
          <w:tcPr>
            <w:tcW w:w="1004" w:type="pct"/>
            <w:shd w:val="clear" w:color="auto" w:fill="CCCCCC"/>
            <w:vAlign w:val="bottom"/>
          </w:tcPr>
          <w:p w14:paraId="038A231A" w14:textId="77777777" w:rsidR="00CE0216" w:rsidRDefault="00CE0216" w:rsidP="001A5D4A">
            <w:pPr>
              <w:pStyle w:val="NotesTable-ItemPlain"/>
              <w:rPr>
                <w:b/>
              </w:rPr>
            </w:pPr>
            <w:r>
              <w:t>- Valuation</w:t>
            </w:r>
          </w:p>
        </w:tc>
        <w:tc>
          <w:tcPr>
            <w:tcW w:w="372" w:type="pct"/>
            <w:shd w:val="clear" w:color="auto" w:fill="CCCCCC"/>
          </w:tcPr>
          <w:p w14:paraId="038A231B" w14:textId="77777777" w:rsidR="00CE0216" w:rsidRDefault="00CE0216" w:rsidP="001A5D4A">
            <w:pPr>
              <w:pStyle w:val="NotesTable-CellPlain"/>
            </w:pPr>
            <w:r>
              <w:t>–</w:t>
            </w:r>
          </w:p>
        </w:tc>
        <w:tc>
          <w:tcPr>
            <w:tcW w:w="334" w:type="pct"/>
            <w:shd w:val="clear" w:color="auto" w:fill="CCCCCC"/>
          </w:tcPr>
          <w:p w14:paraId="038A231C" w14:textId="77777777" w:rsidR="00CE0216" w:rsidRDefault="00CE0216" w:rsidP="001A5D4A">
            <w:pPr>
              <w:pStyle w:val="NotesTable-CellPlain"/>
            </w:pPr>
            <w:r>
              <w:t>–</w:t>
            </w:r>
          </w:p>
        </w:tc>
        <w:tc>
          <w:tcPr>
            <w:tcW w:w="334" w:type="pct"/>
            <w:shd w:val="clear" w:color="auto" w:fill="CCCCCC"/>
          </w:tcPr>
          <w:p w14:paraId="038A231D" w14:textId="77777777" w:rsidR="00CE0216" w:rsidRDefault="00CE0216" w:rsidP="001A5D4A">
            <w:pPr>
              <w:pStyle w:val="NotesTable-CellPlain"/>
            </w:pPr>
            <w:r>
              <w:t>–</w:t>
            </w:r>
          </w:p>
        </w:tc>
        <w:tc>
          <w:tcPr>
            <w:tcW w:w="372" w:type="pct"/>
            <w:shd w:val="clear" w:color="auto" w:fill="CCCCCC"/>
          </w:tcPr>
          <w:p w14:paraId="038A231E" w14:textId="77777777" w:rsidR="00CE0216" w:rsidRDefault="00CE0216" w:rsidP="001A5D4A">
            <w:pPr>
              <w:pStyle w:val="NotesTable-CellPlain"/>
            </w:pPr>
            <w:r>
              <w:t>–</w:t>
            </w:r>
          </w:p>
        </w:tc>
        <w:tc>
          <w:tcPr>
            <w:tcW w:w="334" w:type="pct"/>
            <w:shd w:val="clear" w:color="auto" w:fill="CCCCCC"/>
          </w:tcPr>
          <w:p w14:paraId="038A231F" w14:textId="77777777" w:rsidR="00CE0216" w:rsidRDefault="00CE0216" w:rsidP="001A5D4A">
            <w:pPr>
              <w:pStyle w:val="NotesTable-CellPlain"/>
            </w:pPr>
            <w:r>
              <w:t>–</w:t>
            </w:r>
          </w:p>
        </w:tc>
        <w:tc>
          <w:tcPr>
            <w:tcW w:w="372" w:type="pct"/>
            <w:shd w:val="clear" w:color="auto" w:fill="CCCCCC"/>
          </w:tcPr>
          <w:p w14:paraId="038A2320" w14:textId="77777777" w:rsidR="00CE0216" w:rsidRDefault="00CE0216" w:rsidP="001A5D4A">
            <w:pPr>
              <w:pStyle w:val="NotesTable-CellPlain"/>
            </w:pPr>
            <w:r>
              <w:t>–</w:t>
            </w:r>
          </w:p>
        </w:tc>
        <w:tc>
          <w:tcPr>
            <w:tcW w:w="372" w:type="pct"/>
            <w:shd w:val="clear" w:color="auto" w:fill="CCCCCC"/>
          </w:tcPr>
          <w:p w14:paraId="038A2321" w14:textId="77777777" w:rsidR="00CE0216" w:rsidRDefault="00CE0216" w:rsidP="001A5D4A">
            <w:pPr>
              <w:pStyle w:val="NotesTable-CellPlain"/>
            </w:pPr>
            <w:r>
              <w:t>–</w:t>
            </w:r>
          </w:p>
        </w:tc>
        <w:tc>
          <w:tcPr>
            <w:tcW w:w="334" w:type="pct"/>
            <w:shd w:val="clear" w:color="auto" w:fill="CCCCCC"/>
          </w:tcPr>
          <w:p w14:paraId="038A2322" w14:textId="77777777" w:rsidR="00CE0216" w:rsidRDefault="00CE0216" w:rsidP="001A5D4A">
            <w:pPr>
              <w:pStyle w:val="NotesTable-CellPlain"/>
            </w:pPr>
            <w:r>
              <w:t>–</w:t>
            </w:r>
          </w:p>
        </w:tc>
        <w:tc>
          <w:tcPr>
            <w:tcW w:w="334" w:type="pct"/>
            <w:shd w:val="clear" w:color="auto" w:fill="CCCCCC"/>
          </w:tcPr>
          <w:p w14:paraId="038A2323" w14:textId="77777777" w:rsidR="00CE0216" w:rsidRDefault="00CE0216" w:rsidP="001A5D4A">
            <w:pPr>
              <w:pStyle w:val="NotesTable-CellPlain"/>
            </w:pPr>
            <w:r>
              <w:t>–</w:t>
            </w:r>
          </w:p>
        </w:tc>
        <w:tc>
          <w:tcPr>
            <w:tcW w:w="335" w:type="pct"/>
            <w:shd w:val="clear" w:color="auto" w:fill="CCCCCC"/>
          </w:tcPr>
          <w:p w14:paraId="038A2324" w14:textId="77777777" w:rsidR="00CE0216" w:rsidRDefault="00CE0216" w:rsidP="001A5D4A">
            <w:pPr>
              <w:pStyle w:val="NotesTable-CellPlain"/>
              <w:rPr>
                <w:lang w:val="en-GB"/>
              </w:rPr>
            </w:pPr>
            <w:r>
              <w:t>–</w:t>
            </w:r>
          </w:p>
        </w:tc>
      </w:tr>
      <w:tr w:rsidR="00CE0216" w14:paraId="038A2332" w14:textId="77777777" w:rsidTr="00E21378">
        <w:trPr>
          <w:cantSplit/>
          <w:trHeight w:val="218"/>
        </w:trPr>
        <w:tc>
          <w:tcPr>
            <w:tcW w:w="502" w:type="pct"/>
          </w:tcPr>
          <w:p w14:paraId="038A2326" w14:textId="77777777" w:rsidR="00CE0216" w:rsidRDefault="00CE0216" w:rsidP="001A5D4A">
            <w:pPr>
              <w:pStyle w:val="Note-Refs"/>
              <w:rPr>
                <w:b/>
              </w:rPr>
            </w:pPr>
            <w:r>
              <w:t>AASB116.73d</w:t>
            </w:r>
          </w:p>
        </w:tc>
        <w:tc>
          <w:tcPr>
            <w:tcW w:w="1004" w:type="pct"/>
            <w:shd w:val="clear" w:color="auto" w:fill="CCCCCC"/>
            <w:vAlign w:val="bottom"/>
          </w:tcPr>
          <w:p w14:paraId="038A2327" w14:textId="717171FB" w:rsidR="00CE0216" w:rsidRDefault="00CE0216" w:rsidP="001A5D4A">
            <w:pPr>
              <w:pStyle w:val="NotesTable-ItemPlain"/>
              <w:rPr>
                <w:b/>
              </w:rPr>
            </w:pPr>
            <w:r>
              <w:t>Accumulated depreciation</w:t>
            </w:r>
            <w:r w:rsidR="00933136">
              <w:t xml:space="preserve"> and impairment</w:t>
            </w:r>
          </w:p>
        </w:tc>
        <w:tc>
          <w:tcPr>
            <w:tcW w:w="372" w:type="pct"/>
            <w:tcBorders>
              <w:bottom w:val="single" w:sz="4" w:space="0" w:color="000000"/>
            </w:tcBorders>
            <w:shd w:val="clear" w:color="auto" w:fill="CCCCCC"/>
          </w:tcPr>
          <w:p w14:paraId="038A2328"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29"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2A"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2B"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2C"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2D"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2E"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2F"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30" w14:textId="77777777" w:rsidR="00CE0216" w:rsidRDefault="00CE0216" w:rsidP="001A5D4A">
            <w:pPr>
              <w:pStyle w:val="NotesTable-CellPlain"/>
            </w:pPr>
            <w:r>
              <w:t>–</w:t>
            </w:r>
          </w:p>
        </w:tc>
        <w:tc>
          <w:tcPr>
            <w:tcW w:w="335" w:type="pct"/>
            <w:tcBorders>
              <w:bottom w:val="single" w:sz="4" w:space="0" w:color="000000"/>
            </w:tcBorders>
            <w:shd w:val="clear" w:color="auto" w:fill="CCCCCC"/>
          </w:tcPr>
          <w:p w14:paraId="038A2331" w14:textId="77777777" w:rsidR="00CE0216" w:rsidRDefault="00CE0216" w:rsidP="001A5D4A">
            <w:pPr>
              <w:pStyle w:val="NotesTable-CellPlain"/>
              <w:rPr>
                <w:lang w:val="en-GB"/>
              </w:rPr>
            </w:pPr>
            <w:r>
              <w:t>–</w:t>
            </w:r>
          </w:p>
        </w:tc>
      </w:tr>
      <w:tr w:rsidR="00CE0216" w14:paraId="038A233F" w14:textId="77777777" w:rsidTr="00E21378">
        <w:trPr>
          <w:cantSplit/>
          <w:trHeight w:val="218"/>
        </w:trPr>
        <w:tc>
          <w:tcPr>
            <w:tcW w:w="502" w:type="pct"/>
          </w:tcPr>
          <w:p w14:paraId="038A2333" w14:textId="77777777" w:rsidR="00CE0216" w:rsidRDefault="00CE0216" w:rsidP="001A5D4A">
            <w:pPr>
              <w:pStyle w:val="Note-Refs"/>
            </w:pPr>
          </w:p>
        </w:tc>
        <w:tc>
          <w:tcPr>
            <w:tcW w:w="1004" w:type="pct"/>
            <w:shd w:val="clear" w:color="auto" w:fill="CCCCCC"/>
            <w:vAlign w:val="bottom"/>
          </w:tcPr>
          <w:p w14:paraId="038A2334" w14:textId="77777777" w:rsidR="00CE0216" w:rsidRDefault="00CE0216" w:rsidP="001A5D4A">
            <w:pPr>
              <w:pStyle w:val="NotesTable-ItemPlain"/>
              <w:rPr>
                <w:b/>
              </w:rPr>
            </w:pPr>
            <w:r>
              <w:t xml:space="preserve">Net book amount </w:t>
            </w:r>
          </w:p>
        </w:tc>
        <w:tc>
          <w:tcPr>
            <w:tcW w:w="372" w:type="pct"/>
            <w:tcBorders>
              <w:top w:val="single" w:sz="4" w:space="0" w:color="000000"/>
            </w:tcBorders>
            <w:shd w:val="clear" w:color="auto" w:fill="CCCCCC"/>
          </w:tcPr>
          <w:p w14:paraId="038A2335"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36"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37"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38"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39"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3A"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3B"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3C"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3D" w14:textId="77777777" w:rsidR="00CE0216" w:rsidRDefault="00CE0216" w:rsidP="001A5D4A">
            <w:pPr>
              <w:pStyle w:val="NotesTable-CellPlain"/>
            </w:pPr>
            <w:r>
              <w:t>–</w:t>
            </w:r>
          </w:p>
        </w:tc>
        <w:tc>
          <w:tcPr>
            <w:tcW w:w="335" w:type="pct"/>
            <w:tcBorders>
              <w:top w:val="single" w:sz="4" w:space="0" w:color="000000"/>
            </w:tcBorders>
            <w:shd w:val="clear" w:color="auto" w:fill="CCCCCC"/>
          </w:tcPr>
          <w:p w14:paraId="038A233E" w14:textId="77777777" w:rsidR="00CE0216" w:rsidRDefault="00CE0216" w:rsidP="001A5D4A">
            <w:pPr>
              <w:pStyle w:val="NotesTable-CellPlain"/>
              <w:rPr>
                <w:lang w:val="en-GB"/>
              </w:rPr>
            </w:pPr>
            <w:r>
              <w:t>–</w:t>
            </w:r>
          </w:p>
        </w:tc>
      </w:tr>
      <w:tr w:rsidR="00D24883" w14:paraId="038A234C" w14:textId="77777777" w:rsidTr="00E21378">
        <w:trPr>
          <w:cantSplit/>
          <w:trHeight w:val="218"/>
        </w:trPr>
        <w:tc>
          <w:tcPr>
            <w:tcW w:w="502" w:type="pct"/>
          </w:tcPr>
          <w:p w14:paraId="038A2340" w14:textId="77777777" w:rsidR="00D24883" w:rsidRDefault="00D24883" w:rsidP="001A5D4A">
            <w:pPr>
              <w:pStyle w:val="Note-Refs"/>
            </w:pPr>
          </w:p>
        </w:tc>
        <w:tc>
          <w:tcPr>
            <w:tcW w:w="1004" w:type="pct"/>
            <w:shd w:val="clear" w:color="auto" w:fill="CCCCCC"/>
            <w:vAlign w:val="bottom"/>
          </w:tcPr>
          <w:p w14:paraId="038A2341" w14:textId="77777777" w:rsidR="00D24883" w:rsidRDefault="00D24883" w:rsidP="001A5D4A">
            <w:pPr>
              <w:pStyle w:val="NotesTable-ItemPlain"/>
            </w:pPr>
          </w:p>
        </w:tc>
        <w:tc>
          <w:tcPr>
            <w:tcW w:w="372" w:type="pct"/>
            <w:shd w:val="clear" w:color="auto" w:fill="CCCCCC"/>
          </w:tcPr>
          <w:p w14:paraId="038A2342" w14:textId="77777777" w:rsidR="00D24883" w:rsidRDefault="00D24883" w:rsidP="001A5D4A">
            <w:pPr>
              <w:pStyle w:val="NotesTable-CellPlain"/>
            </w:pPr>
          </w:p>
        </w:tc>
        <w:tc>
          <w:tcPr>
            <w:tcW w:w="334" w:type="pct"/>
            <w:shd w:val="clear" w:color="auto" w:fill="CCCCCC"/>
          </w:tcPr>
          <w:p w14:paraId="038A2343" w14:textId="77777777" w:rsidR="00D24883" w:rsidRDefault="00D24883" w:rsidP="001A5D4A">
            <w:pPr>
              <w:pStyle w:val="NotesTable-CellPlain"/>
            </w:pPr>
          </w:p>
        </w:tc>
        <w:tc>
          <w:tcPr>
            <w:tcW w:w="334" w:type="pct"/>
            <w:shd w:val="clear" w:color="auto" w:fill="CCCCCC"/>
          </w:tcPr>
          <w:p w14:paraId="038A2344" w14:textId="77777777" w:rsidR="00D24883" w:rsidRDefault="00D24883" w:rsidP="001A5D4A">
            <w:pPr>
              <w:pStyle w:val="NotesTable-CellPlain"/>
            </w:pPr>
          </w:p>
        </w:tc>
        <w:tc>
          <w:tcPr>
            <w:tcW w:w="372" w:type="pct"/>
            <w:shd w:val="clear" w:color="auto" w:fill="CCCCCC"/>
          </w:tcPr>
          <w:p w14:paraId="038A2345" w14:textId="77777777" w:rsidR="00D24883" w:rsidRDefault="00D24883" w:rsidP="001A5D4A">
            <w:pPr>
              <w:pStyle w:val="NotesTable-CellPlain"/>
            </w:pPr>
          </w:p>
        </w:tc>
        <w:tc>
          <w:tcPr>
            <w:tcW w:w="334" w:type="pct"/>
            <w:shd w:val="clear" w:color="auto" w:fill="CCCCCC"/>
          </w:tcPr>
          <w:p w14:paraId="038A2346" w14:textId="77777777" w:rsidR="00D24883" w:rsidRDefault="00D24883" w:rsidP="001A5D4A">
            <w:pPr>
              <w:pStyle w:val="NotesTable-CellPlain"/>
            </w:pPr>
          </w:p>
        </w:tc>
        <w:tc>
          <w:tcPr>
            <w:tcW w:w="372" w:type="pct"/>
            <w:shd w:val="clear" w:color="auto" w:fill="CCCCCC"/>
          </w:tcPr>
          <w:p w14:paraId="038A2347" w14:textId="77777777" w:rsidR="00D24883" w:rsidRDefault="00D24883" w:rsidP="001A5D4A">
            <w:pPr>
              <w:pStyle w:val="NotesTable-CellPlain"/>
            </w:pPr>
          </w:p>
        </w:tc>
        <w:tc>
          <w:tcPr>
            <w:tcW w:w="372" w:type="pct"/>
            <w:shd w:val="clear" w:color="auto" w:fill="CCCCCC"/>
          </w:tcPr>
          <w:p w14:paraId="038A2348" w14:textId="77777777" w:rsidR="00D24883" w:rsidRDefault="00D24883" w:rsidP="001A5D4A">
            <w:pPr>
              <w:pStyle w:val="NotesTable-CellPlain"/>
            </w:pPr>
          </w:p>
        </w:tc>
        <w:tc>
          <w:tcPr>
            <w:tcW w:w="334" w:type="pct"/>
            <w:shd w:val="clear" w:color="auto" w:fill="CCCCCC"/>
          </w:tcPr>
          <w:p w14:paraId="038A2349" w14:textId="77777777" w:rsidR="00D24883" w:rsidRDefault="00D24883" w:rsidP="001A5D4A">
            <w:pPr>
              <w:pStyle w:val="NotesTable-CellPlain"/>
            </w:pPr>
          </w:p>
        </w:tc>
        <w:tc>
          <w:tcPr>
            <w:tcW w:w="334" w:type="pct"/>
            <w:shd w:val="clear" w:color="auto" w:fill="CCCCCC"/>
          </w:tcPr>
          <w:p w14:paraId="038A234A" w14:textId="77777777" w:rsidR="00D24883" w:rsidRDefault="00D24883" w:rsidP="001A5D4A">
            <w:pPr>
              <w:pStyle w:val="NotesTable-CellPlain"/>
            </w:pPr>
          </w:p>
        </w:tc>
        <w:tc>
          <w:tcPr>
            <w:tcW w:w="335" w:type="pct"/>
            <w:shd w:val="clear" w:color="auto" w:fill="CCCCCC"/>
          </w:tcPr>
          <w:p w14:paraId="038A234B" w14:textId="77777777" w:rsidR="00D24883" w:rsidRDefault="00D24883" w:rsidP="001A5D4A">
            <w:pPr>
              <w:pStyle w:val="NotesTable-CellPlain"/>
            </w:pPr>
          </w:p>
        </w:tc>
      </w:tr>
      <w:tr w:rsidR="00742371" w14:paraId="038A234F" w14:textId="77777777" w:rsidTr="00E21378">
        <w:trPr>
          <w:cantSplit/>
          <w:trHeight w:val="218"/>
        </w:trPr>
        <w:tc>
          <w:tcPr>
            <w:tcW w:w="502" w:type="pct"/>
          </w:tcPr>
          <w:p w14:paraId="038A234D" w14:textId="77777777" w:rsidR="00742371" w:rsidRDefault="00742371" w:rsidP="001A5D4A">
            <w:pPr>
              <w:pStyle w:val="Note-Refs"/>
            </w:pPr>
          </w:p>
        </w:tc>
        <w:tc>
          <w:tcPr>
            <w:tcW w:w="4498" w:type="pct"/>
            <w:gridSpan w:val="11"/>
            <w:shd w:val="clear" w:color="auto" w:fill="CCCCCC"/>
            <w:vAlign w:val="bottom"/>
          </w:tcPr>
          <w:p w14:paraId="038A234E" w14:textId="27CD5D34" w:rsidR="00742371" w:rsidRDefault="00742371" w:rsidP="001A5D4A">
            <w:pPr>
              <w:pStyle w:val="Note-TextHeader"/>
              <w:rPr>
                <w:lang w:val="en-GB"/>
              </w:rPr>
            </w:pPr>
            <w:r>
              <w:t xml:space="preserve">Year ended 31 December </w:t>
            </w:r>
            <w:r w:rsidR="006864EC">
              <w:t>2013</w:t>
            </w:r>
          </w:p>
        </w:tc>
      </w:tr>
      <w:tr w:rsidR="00CE0216" w14:paraId="038A235C" w14:textId="77777777" w:rsidTr="00E21378">
        <w:trPr>
          <w:cantSplit/>
          <w:trHeight w:val="218"/>
        </w:trPr>
        <w:tc>
          <w:tcPr>
            <w:tcW w:w="502" w:type="pct"/>
          </w:tcPr>
          <w:p w14:paraId="038A2350" w14:textId="77777777" w:rsidR="00CE0216" w:rsidRDefault="00CE0216" w:rsidP="001A5D4A">
            <w:pPr>
              <w:pStyle w:val="Note-Refs"/>
              <w:rPr>
                <w:b/>
              </w:rPr>
            </w:pPr>
            <w:r>
              <w:t>AASB116.73e</w:t>
            </w:r>
          </w:p>
        </w:tc>
        <w:tc>
          <w:tcPr>
            <w:tcW w:w="1004" w:type="pct"/>
            <w:shd w:val="clear" w:color="auto" w:fill="CCCCCC"/>
            <w:vAlign w:val="bottom"/>
          </w:tcPr>
          <w:p w14:paraId="038A2351" w14:textId="77777777" w:rsidR="00CE0216" w:rsidRDefault="00CE0216" w:rsidP="001A5D4A">
            <w:pPr>
              <w:pStyle w:val="NotesTable-ItemPlain"/>
              <w:rPr>
                <w:b/>
              </w:rPr>
            </w:pPr>
            <w:r>
              <w:t>Opening net book amount</w:t>
            </w:r>
          </w:p>
        </w:tc>
        <w:tc>
          <w:tcPr>
            <w:tcW w:w="372" w:type="pct"/>
            <w:shd w:val="clear" w:color="auto" w:fill="CCCCCC"/>
          </w:tcPr>
          <w:p w14:paraId="038A2352" w14:textId="77777777" w:rsidR="00CE0216" w:rsidRDefault="00CE0216" w:rsidP="001A5D4A">
            <w:pPr>
              <w:pStyle w:val="NotesTable-CellPlain"/>
            </w:pPr>
            <w:r>
              <w:t>–</w:t>
            </w:r>
          </w:p>
        </w:tc>
        <w:tc>
          <w:tcPr>
            <w:tcW w:w="334" w:type="pct"/>
            <w:shd w:val="clear" w:color="auto" w:fill="CCCCCC"/>
          </w:tcPr>
          <w:p w14:paraId="038A2353" w14:textId="77777777" w:rsidR="00CE0216" w:rsidRDefault="00CE0216" w:rsidP="001A5D4A">
            <w:pPr>
              <w:pStyle w:val="NotesTable-CellPlain"/>
            </w:pPr>
            <w:r>
              <w:t>–</w:t>
            </w:r>
          </w:p>
        </w:tc>
        <w:tc>
          <w:tcPr>
            <w:tcW w:w="334" w:type="pct"/>
            <w:shd w:val="clear" w:color="auto" w:fill="CCCCCC"/>
          </w:tcPr>
          <w:p w14:paraId="038A2354" w14:textId="77777777" w:rsidR="00CE0216" w:rsidRDefault="00CE0216" w:rsidP="001A5D4A">
            <w:pPr>
              <w:pStyle w:val="NotesTable-CellPlain"/>
            </w:pPr>
            <w:r>
              <w:t>–</w:t>
            </w:r>
          </w:p>
        </w:tc>
        <w:tc>
          <w:tcPr>
            <w:tcW w:w="372" w:type="pct"/>
            <w:shd w:val="clear" w:color="auto" w:fill="CCCCCC"/>
          </w:tcPr>
          <w:p w14:paraId="038A2355" w14:textId="77777777" w:rsidR="00CE0216" w:rsidRDefault="00CE0216" w:rsidP="001A5D4A">
            <w:pPr>
              <w:pStyle w:val="NotesTable-CellPlain"/>
            </w:pPr>
            <w:r>
              <w:t>–</w:t>
            </w:r>
          </w:p>
        </w:tc>
        <w:tc>
          <w:tcPr>
            <w:tcW w:w="334" w:type="pct"/>
            <w:shd w:val="clear" w:color="auto" w:fill="CCCCCC"/>
          </w:tcPr>
          <w:p w14:paraId="038A2356" w14:textId="77777777" w:rsidR="00CE0216" w:rsidRDefault="00CE0216" w:rsidP="001A5D4A">
            <w:pPr>
              <w:pStyle w:val="NotesTable-CellPlain"/>
            </w:pPr>
            <w:r>
              <w:t>–</w:t>
            </w:r>
          </w:p>
        </w:tc>
        <w:tc>
          <w:tcPr>
            <w:tcW w:w="372" w:type="pct"/>
            <w:shd w:val="clear" w:color="auto" w:fill="CCCCCC"/>
          </w:tcPr>
          <w:p w14:paraId="038A2357" w14:textId="77777777" w:rsidR="00CE0216" w:rsidRDefault="00CE0216" w:rsidP="001A5D4A">
            <w:pPr>
              <w:pStyle w:val="NotesTable-CellPlain"/>
            </w:pPr>
            <w:r>
              <w:t>–</w:t>
            </w:r>
          </w:p>
        </w:tc>
        <w:tc>
          <w:tcPr>
            <w:tcW w:w="372" w:type="pct"/>
            <w:shd w:val="clear" w:color="auto" w:fill="CCCCCC"/>
          </w:tcPr>
          <w:p w14:paraId="038A2358" w14:textId="77777777" w:rsidR="00CE0216" w:rsidRDefault="00CE0216" w:rsidP="001A5D4A">
            <w:pPr>
              <w:pStyle w:val="NotesTable-CellPlain"/>
            </w:pPr>
            <w:r>
              <w:t>–</w:t>
            </w:r>
          </w:p>
        </w:tc>
        <w:tc>
          <w:tcPr>
            <w:tcW w:w="334" w:type="pct"/>
            <w:shd w:val="clear" w:color="auto" w:fill="CCCCCC"/>
          </w:tcPr>
          <w:p w14:paraId="038A2359" w14:textId="77777777" w:rsidR="00CE0216" w:rsidRDefault="00CE0216" w:rsidP="001A5D4A">
            <w:pPr>
              <w:pStyle w:val="NotesTable-CellPlain"/>
            </w:pPr>
            <w:r>
              <w:t>–</w:t>
            </w:r>
          </w:p>
        </w:tc>
        <w:tc>
          <w:tcPr>
            <w:tcW w:w="334" w:type="pct"/>
            <w:shd w:val="clear" w:color="auto" w:fill="CCCCCC"/>
          </w:tcPr>
          <w:p w14:paraId="038A235A" w14:textId="77777777" w:rsidR="00CE0216" w:rsidRDefault="00CE0216" w:rsidP="001A5D4A">
            <w:pPr>
              <w:pStyle w:val="NotesTable-CellPlain"/>
            </w:pPr>
            <w:r>
              <w:t>–</w:t>
            </w:r>
          </w:p>
        </w:tc>
        <w:tc>
          <w:tcPr>
            <w:tcW w:w="335" w:type="pct"/>
            <w:shd w:val="clear" w:color="auto" w:fill="CCCCCC"/>
          </w:tcPr>
          <w:p w14:paraId="038A235B" w14:textId="77777777" w:rsidR="00CE0216" w:rsidRDefault="00CE0216" w:rsidP="001A5D4A">
            <w:pPr>
              <w:pStyle w:val="NotesTable-CellPlain"/>
              <w:rPr>
                <w:lang w:val="en-GB"/>
              </w:rPr>
            </w:pPr>
            <w:r>
              <w:t>–</w:t>
            </w:r>
          </w:p>
        </w:tc>
      </w:tr>
      <w:tr w:rsidR="0099740A" w14:paraId="65938833" w14:textId="77777777" w:rsidTr="00E21378">
        <w:trPr>
          <w:cantSplit/>
          <w:trHeight w:val="218"/>
        </w:trPr>
        <w:tc>
          <w:tcPr>
            <w:tcW w:w="502" w:type="pct"/>
          </w:tcPr>
          <w:p w14:paraId="5DB2E5D9" w14:textId="77777777" w:rsidR="0099740A" w:rsidRDefault="0099740A" w:rsidP="001A5D4A">
            <w:pPr>
              <w:pStyle w:val="Note-Refs"/>
              <w:rPr>
                <w:b/>
              </w:rPr>
            </w:pPr>
            <w:r>
              <w:t>AASB116.73e(i),74b</w:t>
            </w:r>
          </w:p>
        </w:tc>
        <w:tc>
          <w:tcPr>
            <w:tcW w:w="1004" w:type="pct"/>
            <w:shd w:val="clear" w:color="auto" w:fill="CCCCCC"/>
            <w:vAlign w:val="bottom"/>
          </w:tcPr>
          <w:p w14:paraId="33289C1C" w14:textId="77777777" w:rsidR="0099740A" w:rsidRDefault="0099740A" w:rsidP="001A5D4A">
            <w:pPr>
              <w:pStyle w:val="NotesTable-ItemPlain"/>
              <w:rPr>
                <w:b/>
              </w:rPr>
            </w:pPr>
            <w:r>
              <w:t>Additions</w:t>
            </w:r>
          </w:p>
        </w:tc>
        <w:tc>
          <w:tcPr>
            <w:tcW w:w="372" w:type="pct"/>
            <w:shd w:val="clear" w:color="auto" w:fill="CCCCCC"/>
          </w:tcPr>
          <w:p w14:paraId="37F9B5B0" w14:textId="77777777" w:rsidR="0099740A" w:rsidRDefault="0099740A" w:rsidP="001A5D4A">
            <w:pPr>
              <w:pStyle w:val="NotesTable-CellPlain"/>
            </w:pPr>
            <w:r>
              <w:t>–</w:t>
            </w:r>
          </w:p>
        </w:tc>
        <w:tc>
          <w:tcPr>
            <w:tcW w:w="334" w:type="pct"/>
            <w:shd w:val="clear" w:color="auto" w:fill="CCCCCC"/>
          </w:tcPr>
          <w:p w14:paraId="01BC00C6" w14:textId="77777777" w:rsidR="0099740A" w:rsidRDefault="0099740A" w:rsidP="001A5D4A">
            <w:pPr>
              <w:pStyle w:val="NotesTable-CellPlain"/>
            </w:pPr>
            <w:r>
              <w:t>–</w:t>
            </w:r>
          </w:p>
        </w:tc>
        <w:tc>
          <w:tcPr>
            <w:tcW w:w="334" w:type="pct"/>
            <w:shd w:val="clear" w:color="auto" w:fill="CCCCCC"/>
          </w:tcPr>
          <w:p w14:paraId="24766B9F" w14:textId="77777777" w:rsidR="0099740A" w:rsidRDefault="0099740A" w:rsidP="001A5D4A">
            <w:pPr>
              <w:pStyle w:val="NotesTable-CellPlain"/>
            </w:pPr>
            <w:r>
              <w:t>–</w:t>
            </w:r>
          </w:p>
        </w:tc>
        <w:tc>
          <w:tcPr>
            <w:tcW w:w="372" w:type="pct"/>
            <w:shd w:val="clear" w:color="auto" w:fill="CCCCCC"/>
          </w:tcPr>
          <w:p w14:paraId="6E0B755F" w14:textId="77777777" w:rsidR="0099740A" w:rsidRDefault="0099740A" w:rsidP="001A5D4A">
            <w:pPr>
              <w:pStyle w:val="NotesTable-CellPlain"/>
            </w:pPr>
            <w:r>
              <w:t>–</w:t>
            </w:r>
          </w:p>
        </w:tc>
        <w:tc>
          <w:tcPr>
            <w:tcW w:w="334" w:type="pct"/>
            <w:shd w:val="clear" w:color="auto" w:fill="CCCCCC"/>
          </w:tcPr>
          <w:p w14:paraId="48A2C0B6" w14:textId="77777777" w:rsidR="0099740A" w:rsidRDefault="0099740A" w:rsidP="001A5D4A">
            <w:pPr>
              <w:pStyle w:val="NotesTable-CellPlain"/>
            </w:pPr>
            <w:r>
              <w:t>–</w:t>
            </w:r>
          </w:p>
        </w:tc>
        <w:tc>
          <w:tcPr>
            <w:tcW w:w="372" w:type="pct"/>
            <w:shd w:val="clear" w:color="auto" w:fill="CCCCCC"/>
          </w:tcPr>
          <w:p w14:paraId="26C7E20E" w14:textId="77777777" w:rsidR="0099740A" w:rsidRDefault="0099740A" w:rsidP="001A5D4A">
            <w:pPr>
              <w:pStyle w:val="NotesTable-CellPlain"/>
            </w:pPr>
            <w:r>
              <w:t>–</w:t>
            </w:r>
          </w:p>
        </w:tc>
        <w:tc>
          <w:tcPr>
            <w:tcW w:w="372" w:type="pct"/>
            <w:shd w:val="clear" w:color="auto" w:fill="CCCCCC"/>
          </w:tcPr>
          <w:p w14:paraId="5D38080E" w14:textId="77777777" w:rsidR="0099740A" w:rsidRDefault="0099740A" w:rsidP="001A5D4A">
            <w:pPr>
              <w:pStyle w:val="NotesTable-CellPlain"/>
            </w:pPr>
            <w:r>
              <w:t>–</w:t>
            </w:r>
          </w:p>
        </w:tc>
        <w:tc>
          <w:tcPr>
            <w:tcW w:w="334" w:type="pct"/>
            <w:shd w:val="clear" w:color="auto" w:fill="CCCCCC"/>
          </w:tcPr>
          <w:p w14:paraId="4999DA2D" w14:textId="77777777" w:rsidR="0099740A" w:rsidRDefault="0099740A" w:rsidP="001A5D4A">
            <w:pPr>
              <w:pStyle w:val="NotesTable-CellPlain"/>
            </w:pPr>
            <w:r>
              <w:t>–</w:t>
            </w:r>
          </w:p>
        </w:tc>
        <w:tc>
          <w:tcPr>
            <w:tcW w:w="334" w:type="pct"/>
            <w:shd w:val="clear" w:color="auto" w:fill="CCCCCC"/>
          </w:tcPr>
          <w:p w14:paraId="2E53C910" w14:textId="77777777" w:rsidR="0099740A" w:rsidRDefault="0099740A" w:rsidP="001A5D4A">
            <w:pPr>
              <w:pStyle w:val="NotesTable-CellPlain"/>
            </w:pPr>
            <w:r>
              <w:t>–</w:t>
            </w:r>
          </w:p>
        </w:tc>
        <w:tc>
          <w:tcPr>
            <w:tcW w:w="335" w:type="pct"/>
            <w:shd w:val="clear" w:color="auto" w:fill="CCCCCC"/>
          </w:tcPr>
          <w:p w14:paraId="5F55470C" w14:textId="77777777" w:rsidR="0099740A" w:rsidRDefault="0099740A" w:rsidP="001A5D4A">
            <w:pPr>
              <w:pStyle w:val="NotesTable-CellPlain"/>
              <w:rPr>
                <w:lang w:val="en-GB"/>
              </w:rPr>
            </w:pPr>
            <w:r>
              <w:t>–</w:t>
            </w:r>
          </w:p>
        </w:tc>
      </w:tr>
      <w:tr w:rsidR="0099740A" w14:paraId="38D33A77" w14:textId="77777777" w:rsidTr="00E21378">
        <w:trPr>
          <w:cantSplit/>
          <w:trHeight w:val="218"/>
        </w:trPr>
        <w:tc>
          <w:tcPr>
            <w:tcW w:w="502" w:type="pct"/>
          </w:tcPr>
          <w:p w14:paraId="621999BC" w14:textId="77777777" w:rsidR="0099740A" w:rsidRDefault="0099740A" w:rsidP="001A5D4A">
            <w:pPr>
              <w:pStyle w:val="Note-Refs"/>
              <w:rPr>
                <w:b/>
              </w:rPr>
            </w:pPr>
            <w:r>
              <w:t>AASB116.73e(ii)</w:t>
            </w:r>
          </w:p>
        </w:tc>
        <w:tc>
          <w:tcPr>
            <w:tcW w:w="1004" w:type="pct"/>
            <w:shd w:val="clear" w:color="auto" w:fill="CCCCCC"/>
            <w:vAlign w:val="bottom"/>
          </w:tcPr>
          <w:p w14:paraId="0B2B9DFD" w14:textId="77777777" w:rsidR="0099740A" w:rsidRDefault="0099740A" w:rsidP="001A5D4A">
            <w:pPr>
              <w:pStyle w:val="NotesTable-ItemPlain"/>
              <w:rPr>
                <w:b/>
              </w:rPr>
            </w:pPr>
            <w:r>
              <w:t>Assets included in a disposal group classified as held for sale and other disposals</w:t>
            </w:r>
          </w:p>
        </w:tc>
        <w:tc>
          <w:tcPr>
            <w:tcW w:w="372" w:type="pct"/>
            <w:shd w:val="clear" w:color="auto" w:fill="CCCCCC"/>
          </w:tcPr>
          <w:p w14:paraId="23589A79" w14:textId="77777777" w:rsidR="0099740A" w:rsidRDefault="0099740A" w:rsidP="001A5D4A">
            <w:pPr>
              <w:pStyle w:val="NotesTable-CellPlain"/>
            </w:pPr>
            <w:r>
              <w:t>–</w:t>
            </w:r>
          </w:p>
        </w:tc>
        <w:tc>
          <w:tcPr>
            <w:tcW w:w="334" w:type="pct"/>
            <w:shd w:val="clear" w:color="auto" w:fill="CCCCCC"/>
          </w:tcPr>
          <w:p w14:paraId="192AEA34" w14:textId="77777777" w:rsidR="0099740A" w:rsidRDefault="0099740A" w:rsidP="001A5D4A">
            <w:pPr>
              <w:pStyle w:val="NotesTable-CellPlain"/>
            </w:pPr>
            <w:r>
              <w:t>–</w:t>
            </w:r>
          </w:p>
        </w:tc>
        <w:tc>
          <w:tcPr>
            <w:tcW w:w="334" w:type="pct"/>
            <w:shd w:val="clear" w:color="auto" w:fill="CCCCCC"/>
          </w:tcPr>
          <w:p w14:paraId="1E6782FE" w14:textId="77777777" w:rsidR="0099740A" w:rsidRDefault="0099740A" w:rsidP="001A5D4A">
            <w:pPr>
              <w:pStyle w:val="NotesTable-CellPlain"/>
            </w:pPr>
            <w:r>
              <w:t>–</w:t>
            </w:r>
          </w:p>
        </w:tc>
        <w:tc>
          <w:tcPr>
            <w:tcW w:w="372" w:type="pct"/>
            <w:shd w:val="clear" w:color="auto" w:fill="CCCCCC"/>
          </w:tcPr>
          <w:p w14:paraId="0419034C" w14:textId="77777777" w:rsidR="0099740A" w:rsidRDefault="0099740A" w:rsidP="001A5D4A">
            <w:pPr>
              <w:pStyle w:val="NotesTable-CellPlain"/>
            </w:pPr>
            <w:r>
              <w:t>–</w:t>
            </w:r>
          </w:p>
        </w:tc>
        <w:tc>
          <w:tcPr>
            <w:tcW w:w="334" w:type="pct"/>
            <w:shd w:val="clear" w:color="auto" w:fill="CCCCCC"/>
          </w:tcPr>
          <w:p w14:paraId="4EA036DA" w14:textId="77777777" w:rsidR="0099740A" w:rsidRDefault="0099740A" w:rsidP="001A5D4A">
            <w:pPr>
              <w:pStyle w:val="NotesTable-CellPlain"/>
            </w:pPr>
            <w:r>
              <w:t>–</w:t>
            </w:r>
          </w:p>
        </w:tc>
        <w:tc>
          <w:tcPr>
            <w:tcW w:w="372" w:type="pct"/>
            <w:shd w:val="clear" w:color="auto" w:fill="CCCCCC"/>
          </w:tcPr>
          <w:p w14:paraId="73652488" w14:textId="77777777" w:rsidR="0099740A" w:rsidRDefault="0099740A" w:rsidP="001A5D4A">
            <w:pPr>
              <w:pStyle w:val="NotesTable-CellPlain"/>
            </w:pPr>
            <w:r>
              <w:t>–</w:t>
            </w:r>
          </w:p>
        </w:tc>
        <w:tc>
          <w:tcPr>
            <w:tcW w:w="372" w:type="pct"/>
            <w:shd w:val="clear" w:color="auto" w:fill="CCCCCC"/>
          </w:tcPr>
          <w:p w14:paraId="0A375F5C" w14:textId="77777777" w:rsidR="0099740A" w:rsidRDefault="0099740A" w:rsidP="001A5D4A">
            <w:pPr>
              <w:pStyle w:val="NotesTable-CellPlain"/>
            </w:pPr>
            <w:r>
              <w:t>–</w:t>
            </w:r>
          </w:p>
        </w:tc>
        <w:tc>
          <w:tcPr>
            <w:tcW w:w="334" w:type="pct"/>
            <w:shd w:val="clear" w:color="auto" w:fill="CCCCCC"/>
          </w:tcPr>
          <w:p w14:paraId="0951F9C2" w14:textId="77777777" w:rsidR="0099740A" w:rsidRDefault="0099740A" w:rsidP="001A5D4A">
            <w:pPr>
              <w:pStyle w:val="NotesTable-CellPlain"/>
            </w:pPr>
            <w:r>
              <w:t>–</w:t>
            </w:r>
          </w:p>
        </w:tc>
        <w:tc>
          <w:tcPr>
            <w:tcW w:w="334" w:type="pct"/>
            <w:shd w:val="clear" w:color="auto" w:fill="CCCCCC"/>
          </w:tcPr>
          <w:p w14:paraId="28E736D5" w14:textId="77777777" w:rsidR="0099740A" w:rsidRDefault="0099740A" w:rsidP="001A5D4A">
            <w:pPr>
              <w:pStyle w:val="NotesTable-CellPlain"/>
            </w:pPr>
            <w:r>
              <w:t>–</w:t>
            </w:r>
          </w:p>
        </w:tc>
        <w:tc>
          <w:tcPr>
            <w:tcW w:w="335" w:type="pct"/>
            <w:shd w:val="clear" w:color="auto" w:fill="CCCCCC"/>
          </w:tcPr>
          <w:p w14:paraId="492F5B6D" w14:textId="77777777" w:rsidR="0099740A" w:rsidRDefault="0099740A" w:rsidP="001A5D4A">
            <w:pPr>
              <w:pStyle w:val="NotesTable-CellPlain"/>
              <w:rPr>
                <w:lang w:val="en-GB"/>
              </w:rPr>
            </w:pPr>
            <w:r>
              <w:t>–</w:t>
            </w:r>
          </w:p>
        </w:tc>
      </w:tr>
      <w:tr w:rsidR="0099740A" w14:paraId="194689EA" w14:textId="77777777" w:rsidTr="00E21378">
        <w:trPr>
          <w:cantSplit/>
          <w:trHeight w:val="218"/>
        </w:trPr>
        <w:tc>
          <w:tcPr>
            <w:tcW w:w="502" w:type="pct"/>
          </w:tcPr>
          <w:p w14:paraId="08FC2A8A" w14:textId="4225848A" w:rsidR="0099740A" w:rsidDel="0099740A" w:rsidRDefault="0099740A" w:rsidP="001A5D4A">
            <w:pPr>
              <w:pStyle w:val="Note-Refs"/>
            </w:pPr>
            <w:r>
              <w:t>AASB116.73(iii)</w:t>
            </w:r>
          </w:p>
        </w:tc>
        <w:tc>
          <w:tcPr>
            <w:tcW w:w="1004" w:type="pct"/>
            <w:shd w:val="clear" w:color="auto" w:fill="CCCCCC"/>
            <w:vAlign w:val="bottom"/>
          </w:tcPr>
          <w:p w14:paraId="4CF89EE3" w14:textId="345A7441" w:rsidR="0099740A" w:rsidDel="0099740A" w:rsidRDefault="0099740A" w:rsidP="001A5D4A">
            <w:pPr>
              <w:pStyle w:val="NotesTable-ItemPlain"/>
            </w:pPr>
            <w:r>
              <w:t>Acquisitions through business combinations</w:t>
            </w:r>
          </w:p>
        </w:tc>
        <w:tc>
          <w:tcPr>
            <w:tcW w:w="372" w:type="pct"/>
            <w:shd w:val="clear" w:color="auto" w:fill="CCCCCC"/>
          </w:tcPr>
          <w:p w14:paraId="78F4517D" w14:textId="1269A88B" w:rsidR="0099740A" w:rsidDel="0099740A" w:rsidRDefault="0099740A" w:rsidP="001A5D4A">
            <w:pPr>
              <w:pStyle w:val="NotesTable-CellPlain"/>
            </w:pPr>
            <w:r>
              <w:t>–</w:t>
            </w:r>
          </w:p>
        </w:tc>
        <w:tc>
          <w:tcPr>
            <w:tcW w:w="334" w:type="pct"/>
            <w:shd w:val="clear" w:color="auto" w:fill="CCCCCC"/>
          </w:tcPr>
          <w:p w14:paraId="4FE71F3F" w14:textId="7A73A1E0" w:rsidR="0099740A" w:rsidDel="0099740A" w:rsidRDefault="0099740A" w:rsidP="001A5D4A">
            <w:pPr>
              <w:pStyle w:val="NotesTable-CellPlain"/>
            </w:pPr>
            <w:r>
              <w:t>–</w:t>
            </w:r>
          </w:p>
        </w:tc>
        <w:tc>
          <w:tcPr>
            <w:tcW w:w="334" w:type="pct"/>
            <w:shd w:val="clear" w:color="auto" w:fill="CCCCCC"/>
          </w:tcPr>
          <w:p w14:paraId="70A690DF" w14:textId="41161638" w:rsidR="0099740A" w:rsidDel="0099740A" w:rsidRDefault="0099740A" w:rsidP="001A5D4A">
            <w:pPr>
              <w:pStyle w:val="NotesTable-CellPlain"/>
            </w:pPr>
            <w:r>
              <w:t>–</w:t>
            </w:r>
          </w:p>
        </w:tc>
        <w:tc>
          <w:tcPr>
            <w:tcW w:w="372" w:type="pct"/>
            <w:shd w:val="clear" w:color="auto" w:fill="CCCCCC"/>
          </w:tcPr>
          <w:p w14:paraId="4110A4D0" w14:textId="075F4853" w:rsidR="0099740A" w:rsidDel="0099740A" w:rsidRDefault="0099740A" w:rsidP="001A5D4A">
            <w:pPr>
              <w:pStyle w:val="NotesTable-CellPlain"/>
            </w:pPr>
            <w:r>
              <w:t>–</w:t>
            </w:r>
          </w:p>
        </w:tc>
        <w:tc>
          <w:tcPr>
            <w:tcW w:w="334" w:type="pct"/>
            <w:shd w:val="clear" w:color="auto" w:fill="CCCCCC"/>
          </w:tcPr>
          <w:p w14:paraId="368F8552" w14:textId="6D6653CB" w:rsidR="0099740A" w:rsidDel="0099740A" w:rsidRDefault="0099740A" w:rsidP="001A5D4A">
            <w:pPr>
              <w:pStyle w:val="NotesTable-CellPlain"/>
            </w:pPr>
            <w:r>
              <w:t>–</w:t>
            </w:r>
          </w:p>
        </w:tc>
        <w:tc>
          <w:tcPr>
            <w:tcW w:w="372" w:type="pct"/>
            <w:shd w:val="clear" w:color="auto" w:fill="CCCCCC"/>
          </w:tcPr>
          <w:p w14:paraId="3AFA78C0" w14:textId="09A98311" w:rsidR="0099740A" w:rsidDel="0099740A" w:rsidRDefault="0099740A" w:rsidP="001A5D4A">
            <w:pPr>
              <w:pStyle w:val="NotesTable-CellPlain"/>
            </w:pPr>
            <w:r>
              <w:t>–</w:t>
            </w:r>
          </w:p>
        </w:tc>
        <w:tc>
          <w:tcPr>
            <w:tcW w:w="372" w:type="pct"/>
            <w:shd w:val="clear" w:color="auto" w:fill="CCCCCC"/>
          </w:tcPr>
          <w:p w14:paraId="35F72F0C" w14:textId="4715E171" w:rsidR="0099740A" w:rsidDel="0099740A" w:rsidRDefault="0099740A" w:rsidP="001A5D4A">
            <w:pPr>
              <w:pStyle w:val="NotesTable-CellPlain"/>
            </w:pPr>
            <w:r>
              <w:t>–</w:t>
            </w:r>
          </w:p>
        </w:tc>
        <w:tc>
          <w:tcPr>
            <w:tcW w:w="334" w:type="pct"/>
            <w:shd w:val="clear" w:color="auto" w:fill="CCCCCC"/>
          </w:tcPr>
          <w:p w14:paraId="66D4BC45" w14:textId="2D7683B8" w:rsidR="0099740A" w:rsidDel="0099740A" w:rsidRDefault="0099740A" w:rsidP="001A5D4A">
            <w:pPr>
              <w:pStyle w:val="NotesTable-CellPlain"/>
            </w:pPr>
            <w:r>
              <w:t>–</w:t>
            </w:r>
          </w:p>
        </w:tc>
        <w:tc>
          <w:tcPr>
            <w:tcW w:w="334" w:type="pct"/>
            <w:shd w:val="clear" w:color="auto" w:fill="CCCCCC"/>
          </w:tcPr>
          <w:p w14:paraId="0A4785E7" w14:textId="36A7F140" w:rsidR="0099740A" w:rsidDel="0099740A" w:rsidRDefault="0099740A" w:rsidP="001A5D4A">
            <w:pPr>
              <w:pStyle w:val="NotesTable-CellPlain"/>
            </w:pPr>
            <w:r>
              <w:t>–</w:t>
            </w:r>
          </w:p>
        </w:tc>
        <w:tc>
          <w:tcPr>
            <w:tcW w:w="335" w:type="pct"/>
            <w:shd w:val="clear" w:color="auto" w:fill="CCCCCC"/>
          </w:tcPr>
          <w:p w14:paraId="74E8926E" w14:textId="63DF020F" w:rsidR="0099740A" w:rsidDel="0099740A" w:rsidRDefault="0099740A" w:rsidP="001A5D4A">
            <w:pPr>
              <w:pStyle w:val="NotesTable-CellPlain"/>
            </w:pPr>
            <w:r>
              <w:t>–</w:t>
            </w:r>
          </w:p>
        </w:tc>
      </w:tr>
      <w:tr w:rsidR="00CE0216" w14:paraId="038A2376" w14:textId="77777777" w:rsidTr="00E21378">
        <w:trPr>
          <w:cantSplit/>
          <w:trHeight w:val="218"/>
        </w:trPr>
        <w:tc>
          <w:tcPr>
            <w:tcW w:w="502" w:type="pct"/>
          </w:tcPr>
          <w:p w14:paraId="038A236A" w14:textId="77777777" w:rsidR="00CE0216" w:rsidRDefault="00CE0216" w:rsidP="001A5D4A">
            <w:pPr>
              <w:pStyle w:val="Note-Refs"/>
              <w:rPr>
                <w:b/>
              </w:rPr>
            </w:pPr>
            <w:r>
              <w:t>AASB116.73e(iv)</w:t>
            </w:r>
          </w:p>
        </w:tc>
        <w:tc>
          <w:tcPr>
            <w:tcW w:w="1004" w:type="pct"/>
            <w:shd w:val="clear" w:color="auto" w:fill="CCCCCC"/>
            <w:vAlign w:val="bottom"/>
          </w:tcPr>
          <w:p w14:paraId="038A236B" w14:textId="77777777" w:rsidR="00CE0216" w:rsidRDefault="00CE0216" w:rsidP="001A5D4A">
            <w:pPr>
              <w:pStyle w:val="NotesTable-ItemPlain"/>
              <w:rPr>
                <w:b/>
              </w:rPr>
            </w:pPr>
            <w:r>
              <w:t>Revaluation surplus</w:t>
            </w:r>
          </w:p>
        </w:tc>
        <w:tc>
          <w:tcPr>
            <w:tcW w:w="372" w:type="pct"/>
            <w:shd w:val="clear" w:color="auto" w:fill="CCCCCC"/>
          </w:tcPr>
          <w:p w14:paraId="038A236C" w14:textId="77777777" w:rsidR="00CE0216" w:rsidRDefault="00CE0216" w:rsidP="001A5D4A">
            <w:pPr>
              <w:pStyle w:val="NotesTable-CellPlain"/>
            </w:pPr>
            <w:r>
              <w:t>–</w:t>
            </w:r>
          </w:p>
        </w:tc>
        <w:tc>
          <w:tcPr>
            <w:tcW w:w="334" w:type="pct"/>
            <w:shd w:val="clear" w:color="auto" w:fill="CCCCCC"/>
          </w:tcPr>
          <w:p w14:paraId="038A236D" w14:textId="77777777" w:rsidR="00CE0216" w:rsidRDefault="00CE0216" w:rsidP="001A5D4A">
            <w:pPr>
              <w:pStyle w:val="NotesTable-CellPlain"/>
            </w:pPr>
            <w:r>
              <w:t>–</w:t>
            </w:r>
          </w:p>
        </w:tc>
        <w:tc>
          <w:tcPr>
            <w:tcW w:w="334" w:type="pct"/>
            <w:shd w:val="clear" w:color="auto" w:fill="CCCCCC"/>
          </w:tcPr>
          <w:p w14:paraId="038A236E" w14:textId="77777777" w:rsidR="00CE0216" w:rsidRDefault="00CE0216" w:rsidP="001A5D4A">
            <w:pPr>
              <w:pStyle w:val="NotesTable-CellPlain"/>
            </w:pPr>
            <w:r>
              <w:t>–</w:t>
            </w:r>
          </w:p>
        </w:tc>
        <w:tc>
          <w:tcPr>
            <w:tcW w:w="372" w:type="pct"/>
            <w:shd w:val="clear" w:color="auto" w:fill="CCCCCC"/>
          </w:tcPr>
          <w:p w14:paraId="038A236F" w14:textId="77777777" w:rsidR="00CE0216" w:rsidRDefault="00CE0216" w:rsidP="001A5D4A">
            <w:pPr>
              <w:pStyle w:val="NotesTable-CellPlain"/>
            </w:pPr>
            <w:r>
              <w:t>–</w:t>
            </w:r>
          </w:p>
        </w:tc>
        <w:tc>
          <w:tcPr>
            <w:tcW w:w="334" w:type="pct"/>
            <w:shd w:val="clear" w:color="auto" w:fill="CCCCCC"/>
          </w:tcPr>
          <w:p w14:paraId="038A2370" w14:textId="77777777" w:rsidR="00CE0216" w:rsidRDefault="00CE0216" w:rsidP="001A5D4A">
            <w:pPr>
              <w:pStyle w:val="NotesTable-CellPlain"/>
            </w:pPr>
            <w:r>
              <w:t>–</w:t>
            </w:r>
          </w:p>
        </w:tc>
        <w:tc>
          <w:tcPr>
            <w:tcW w:w="372" w:type="pct"/>
            <w:shd w:val="clear" w:color="auto" w:fill="CCCCCC"/>
          </w:tcPr>
          <w:p w14:paraId="038A2371" w14:textId="77777777" w:rsidR="00CE0216" w:rsidRDefault="00CE0216" w:rsidP="001A5D4A">
            <w:pPr>
              <w:pStyle w:val="NotesTable-CellPlain"/>
            </w:pPr>
            <w:r>
              <w:t>–</w:t>
            </w:r>
          </w:p>
        </w:tc>
        <w:tc>
          <w:tcPr>
            <w:tcW w:w="372" w:type="pct"/>
            <w:shd w:val="clear" w:color="auto" w:fill="CCCCCC"/>
          </w:tcPr>
          <w:p w14:paraId="038A2372" w14:textId="77777777" w:rsidR="00CE0216" w:rsidRDefault="00CE0216" w:rsidP="001A5D4A">
            <w:pPr>
              <w:pStyle w:val="NotesTable-CellPlain"/>
            </w:pPr>
            <w:r>
              <w:t>–</w:t>
            </w:r>
          </w:p>
        </w:tc>
        <w:tc>
          <w:tcPr>
            <w:tcW w:w="334" w:type="pct"/>
            <w:shd w:val="clear" w:color="auto" w:fill="CCCCCC"/>
          </w:tcPr>
          <w:p w14:paraId="038A2373" w14:textId="77777777" w:rsidR="00CE0216" w:rsidRDefault="00CE0216" w:rsidP="001A5D4A">
            <w:pPr>
              <w:pStyle w:val="NotesTable-CellPlain"/>
            </w:pPr>
            <w:r>
              <w:t>–</w:t>
            </w:r>
          </w:p>
        </w:tc>
        <w:tc>
          <w:tcPr>
            <w:tcW w:w="334" w:type="pct"/>
            <w:shd w:val="clear" w:color="auto" w:fill="CCCCCC"/>
          </w:tcPr>
          <w:p w14:paraId="038A2374" w14:textId="77777777" w:rsidR="00CE0216" w:rsidRDefault="00CE0216" w:rsidP="001A5D4A">
            <w:pPr>
              <w:pStyle w:val="NotesTable-CellPlain"/>
            </w:pPr>
            <w:r>
              <w:t>–</w:t>
            </w:r>
          </w:p>
        </w:tc>
        <w:tc>
          <w:tcPr>
            <w:tcW w:w="335" w:type="pct"/>
            <w:shd w:val="clear" w:color="auto" w:fill="CCCCCC"/>
          </w:tcPr>
          <w:p w14:paraId="038A2375" w14:textId="77777777" w:rsidR="00CE0216" w:rsidRDefault="00CE0216" w:rsidP="001A5D4A">
            <w:pPr>
              <w:pStyle w:val="NotesTable-CellPlain"/>
              <w:rPr>
                <w:lang w:val="en-GB"/>
              </w:rPr>
            </w:pPr>
            <w:r>
              <w:t>–</w:t>
            </w:r>
          </w:p>
        </w:tc>
      </w:tr>
      <w:tr w:rsidR="0099740A" w14:paraId="197A1989" w14:textId="77777777" w:rsidTr="00E21378">
        <w:trPr>
          <w:cantSplit/>
          <w:trHeight w:val="218"/>
        </w:trPr>
        <w:tc>
          <w:tcPr>
            <w:tcW w:w="502" w:type="pct"/>
          </w:tcPr>
          <w:p w14:paraId="71F4ECA8" w14:textId="42FFA82B" w:rsidR="0099740A" w:rsidDel="0099740A" w:rsidRDefault="0099740A" w:rsidP="001A5D4A">
            <w:pPr>
              <w:pStyle w:val="Note-Refs"/>
            </w:pPr>
            <w:r>
              <w:t>AASB116.73(v)</w:t>
            </w:r>
          </w:p>
        </w:tc>
        <w:tc>
          <w:tcPr>
            <w:tcW w:w="1004" w:type="pct"/>
            <w:shd w:val="clear" w:color="auto" w:fill="CCCCCC"/>
            <w:vAlign w:val="bottom"/>
          </w:tcPr>
          <w:p w14:paraId="5C27EEED" w14:textId="7DF048F5" w:rsidR="0099740A" w:rsidDel="0099740A" w:rsidRDefault="0099740A" w:rsidP="001A5D4A">
            <w:pPr>
              <w:pStyle w:val="NotesTable-ItemPlain"/>
            </w:pPr>
            <w:r>
              <w:t>Impairment losses</w:t>
            </w:r>
          </w:p>
        </w:tc>
        <w:tc>
          <w:tcPr>
            <w:tcW w:w="372" w:type="pct"/>
            <w:shd w:val="clear" w:color="auto" w:fill="CCCCCC"/>
          </w:tcPr>
          <w:p w14:paraId="0305EAB8" w14:textId="65BBF33C" w:rsidR="0099740A" w:rsidDel="0099740A" w:rsidRDefault="0099740A" w:rsidP="001A5D4A">
            <w:pPr>
              <w:pStyle w:val="NotesTable-CellPlain"/>
            </w:pPr>
            <w:r>
              <w:t>–</w:t>
            </w:r>
          </w:p>
        </w:tc>
        <w:tc>
          <w:tcPr>
            <w:tcW w:w="334" w:type="pct"/>
            <w:shd w:val="clear" w:color="auto" w:fill="CCCCCC"/>
          </w:tcPr>
          <w:p w14:paraId="150A488C" w14:textId="766F3E8D" w:rsidR="0099740A" w:rsidDel="0099740A" w:rsidRDefault="0099740A" w:rsidP="001A5D4A">
            <w:pPr>
              <w:pStyle w:val="NotesTable-CellPlain"/>
            </w:pPr>
            <w:r>
              <w:t>–</w:t>
            </w:r>
          </w:p>
        </w:tc>
        <w:tc>
          <w:tcPr>
            <w:tcW w:w="334" w:type="pct"/>
            <w:shd w:val="clear" w:color="auto" w:fill="CCCCCC"/>
          </w:tcPr>
          <w:p w14:paraId="468DE313" w14:textId="24BFADCC" w:rsidR="0099740A" w:rsidDel="0099740A" w:rsidRDefault="0099740A" w:rsidP="001A5D4A">
            <w:pPr>
              <w:pStyle w:val="NotesTable-CellPlain"/>
            </w:pPr>
            <w:r>
              <w:t>–</w:t>
            </w:r>
          </w:p>
        </w:tc>
        <w:tc>
          <w:tcPr>
            <w:tcW w:w="372" w:type="pct"/>
            <w:shd w:val="clear" w:color="auto" w:fill="CCCCCC"/>
          </w:tcPr>
          <w:p w14:paraId="4C4D33EE" w14:textId="687B2746" w:rsidR="0099740A" w:rsidDel="0099740A" w:rsidRDefault="0099740A" w:rsidP="001A5D4A">
            <w:pPr>
              <w:pStyle w:val="NotesTable-CellPlain"/>
            </w:pPr>
            <w:r>
              <w:t>–</w:t>
            </w:r>
          </w:p>
        </w:tc>
        <w:tc>
          <w:tcPr>
            <w:tcW w:w="334" w:type="pct"/>
            <w:shd w:val="clear" w:color="auto" w:fill="CCCCCC"/>
          </w:tcPr>
          <w:p w14:paraId="48CE1E1B" w14:textId="579EA329" w:rsidR="0099740A" w:rsidDel="0099740A" w:rsidRDefault="0099740A" w:rsidP="001A5D4A">
            <w:pPr>
              <w:pStyle w:val="NotesTable-CellPlain"/>
            </w:pPr>
            <w:r>
              <w:t>–</w:t>
            </w:r>
          </w:p>
        </w:tc>
        <w:tc>
          <w:tcPr>
            <w:tcW w:w="372" w:type="pct"/>
            <w:shd w:val="clear" w:color="auto" w:fill="CCCCCC"/>
          </w:tcPr>
          <w:p w14:paraId="2665DA30" w14:textId="7BE649F6" w:rsidR="0099740A" w:rsidDel="0099740A" w:rsidRDefault="0099740A" w:rsidP="001A5D4A">
            <w:pPr>
              <w:pStyle w:val="NotesTable-CellPlain"/>
            </w:pPr>
            <w:r>
              <w:t>–</w:t>
            </w:r>
          </w:p>
        </w:tc>
        <w:tc>
          <w:tcPr>
            <w:tcW w:w="372" w:type="pct"/>
            <w:shd w:val="clear" w:color="auto" w:fill="CCCCCC"/>
          </w:tcPr>
          <w:p w14:paraId="2C7017E4" w14:textId="4CB05C0D" w:rsidR="0099740A" w:rsidDel="0099740A" w:rsidRDefault="0099740A" w:rsidP="001A5D4A">
            <w:pPr>
              <w:pStyle w:val="NotesTable-CellPlain"/>
            </w:pPr>
            <w:r>
              <w:t>–</w:t>
            </w:r>
          </w:p>
        </w:tc>
        <w:tc>
          <w:tcPr>
            <w:tcW w:w="334" w:type="pct"/>
            <w:shd w:val="clear" w:color="auto" w:fill="CCCCCC"/>
          </w:tcPr>
          <w:p w14:paraId="63513EFF" w14:textId="24C837F7" w:rsidR="0099740A" w:rsidDel="0099740A" w:rsidRDefault="0099740A" w:rsidP="001A5D4A">
            <w:pPr>
              <w:pStyle w:val="NotesTable-CellPlain"/>
            </w:pPr>
            <w:r>
              <w:t>–</w:t>
            </w:r>
          </w:p>
        </w:tc>
        <w:tc>
          <w:tcPr>
            <w:tcW w:w="334" w:type="pct"/>
            <w:shd w:val="clear" w:color="auto" w:fill="CCCCCC"/>
          </w:tcPr>
          <w:p w14:paraId="3EEAAD2E" w14:textId="3017BF05" w:rsidR="0099740A" w:rsidDel="0099740A" w:rsidRDefault="0099740A" w:rsidP="001A5D4A">
            <w:pPr>
              <w:pStyle w:val="NotesTable-CellPlain"/>
            </w:pPr>
            <w:r>
              <w:t>–</w:t>
            </w:r>
          </w:p>
        </w:tc>
        <w:tc>
          <w:tcPr>
            <w:tcW w:w="335" w:type="pct"/>
            <w:shd w:val="clear" w:color="auto" w:fill="CCCCCC"/>
          </w:tcPr>
          <w:p w14:paraId="4C0290CE" w14:textId="1A07F6D0" w:rsidR="0099740A" w:rsidDel="0099740A" w:rsidRDefault="0099740A" w:rsidP="001A5D4A">
            <w:pPr>
              <w:pStyle w:val="NotesTable-CellPlain"/>
            </w:pPr>
            <w:r>
              <w:t>–</w:t>
            </w:r>
          </w:p>
        </w:tc>
      </w:tr>
      <w:tr w:rsidR="0099740A" w14:paraId="0B8E7B38" w14:textId="77777777" w:rsidTr="00E21378">
        <w:trPr>
          <w:cantSplit/>
          <w:trHeight w:val="218"/>
        </w:trPr>
        <w:tc>
          <w:tcPr>
            <w:tcW w:w="502" w:type="pct"/>
          </w:tcPr>
          <w:p w14:paraId="69052D1B" w14:textId="64E35D0D" w:rsidR="0099740A" w:rsidRDefault="0099740A" w:rsidP="001A5D4A">
            <w:pPr>
              <w:pStyle w:val="Note-Refs"/>
            </w:pPr>
            <w:r>
              <w:t>AASB116.73e(vi)</w:t>
            </w:r>
          </w:p>
        </w:tc>
        <w:tc>
          <w:tcPr>
            <w:tcW w:w="1004" w:type="pct"/>
            <w:shd w:val="clear" w:color="auto" w:fill="CCCCCC"/>
            <w:vAlign w:val="bottom"/>
          </w:tcPr>
          <w:p w14:paraId="06A04578" w14:textId="5E618B93" w:rsidR="0099740A" w:rsidRDefault="0099740A" w:rsidP="001A5D4A">
            <w:pPr>
              <w:pStyle w:val="NotesTable-ItemPlain"/>
            </w:pPr>
            <w:r>
              <w:t>Impairment loss reversals</w:t>
            </w:r>
          </w:p>
        </w:tc>
        <w:tc>
          <w:tcPr>
            <w:tcW w:w="372" w:type="pct"/>
            <w:shd w:val="clear" w:color="auto" w:fill="CCCCCC"/>
          </w:tcPr>
          <w:p w14:paraId="4D95CC35" w14:textId="3E9454CA" w:rsidR="0099740A" w:rsidDel="0099740A" w:rsidRDefault="0099740A" w:rsidP="001A5D4A">
            <w:pPr>
              <w:pStyle w:val="NotesTable-CellPlain"/>
            </w:pPr>
            <w:r>
              <w:t>–</w:t>
            </w:r>
          </w:p>
        </w:tc>
        <w:tc>
          <w:tcPr>
            <w:tcW w:w="334" w:type="pct"/>
            <w:shd w:val="clear" w:color="auto" w:fill="CCCCCC"/>
          </w:tcPr>
          <w:p w14:paraId="06C7EF44" w14:textId="5B85B14F" w:rsidR="0099740A" w:rsidDel="0099740A" w:rsidRDefault="0099740A" w:rsidP="001A5D4A">
            <w:pPr>
              <w:pStyle w:val="NotesTable-CellPlain"/>
            </w:pPr>
            <w:r>
              <w:t>–</w:t>
            </w:r>
          </w:p>
        </w:tc>
        <w:tc>
          <w:tcPr>
            <w:tcW w:w="334" w:type="pct"/>
            <w:shd w:val="clear" w:color="auto" w:fill="CCCCCC"/>
          </w:tcPr>
          <w:p w14:paraId="3F32A74B" w14:textId="32EFFB11" w:rsidR="0099740A" w:rsidDel="0099740A" w:rsidRDefault="0099740A" w:rsidP="001A5D4A">
            <w:pPr>
              <w:pStyle w:val="NotesTable-CellPlain"/>
            </w:pPr>
            <w:r>
              <w:t>–</w:t>
            </w:r>
          </w:p>
        </w:tc>
        <w:tc>
          <w:tcPr>
            <w:tcW w:w="372" w:type="pct"/>
            <w:shd w:val="clear" w:color="auto" w:fill="CCCCCC"/>
          </w:tcPr>
          <w:p w14:paraId="1548CCCE" w14:textId="3B7F8D13" w:rsidR="0099740A" w:rsidDel="0099740A" w:rsidRDefault="0099740A" w:rsidP="001A5D4A">
            <w:pPr>
              <w:pStyle w:val="NotesTable-CellPlain"/>
            </w:pPr>
            <w:r>
              <w:t>–</w:t>
            </w:r>
          </w:p>
        </w:tc>
        <w:tc>
          <w:tcPr>
            <w:tcW w:w="334" w:type="pct"/>
            <w:shd w:val="clear" w:color="auto" w:fill="CCCCCC"/>
          </w:tcPr>
          <w:p w14:paraId="24E5A52C" w14:textId="2753D9D6" w:rsidR="0099740A" w:rsidDel="0099740A" w:rsidRDefault="0099740A" w:rsidP="001A5D4A">
            <w:pPr>
              <w:pStyle w:val="NotesTable-CellPlain"/>
            </w:pPr>
            <w:r>
              <w:t>–</w:t>
            </w:r>
          </w:p>
        </w:tc>
        <w:tc>
          <w:tcPr>
            <w:tcW w:w="372" w:type="pct"/>
            <w:shd w:val="clear" w:color="auto" w:fill="CCCCCC"/>
          </w:tcPr>
          <w:p w14:paraId="18FE5484" w14:textId="56D8A89A" w:rsidR="0099740A" w:rsidDel="0099740A" w:rsidRDefault="0099740A" w:rsidP="001A5D4A">
            <w:pPr>
              <w:pStyle w:val="NotesTable-CellPlain"/>
            </w:pPr>
            <w:r>
              <w:t>–</w:t>
            </w:r>
          </w:p>
        </w:tc>
        <w:tc>
          <w:tcPr>
            <w:tcW w:w="372" w:type="pct"/>
            <w:shd w:val="clear" w:color="auto" w:fill="CCCCCC"/>
          </w:tcPr>
          <w:p w14:paraId="6FFD0306" w14:textId="50C90F2F" w:rsidR="0099740A" w:rsidDel="0099740A" w:rsidRDefault="0099740A" w:rsidP="001A5D4A">
            <w:pPr>
              <w:pStyle w:val="NotesTable-CellPlain"/>
            </w:pPr>
            <w:r>
              <w:t>–</w:t>
            </w:r>
          </w:p>
        </w:tc>
        <w:tc>
          <w:tcPr>
            <w:tcW w:w="334" w:type="pct"/>
            <w:shd w:val="clear" w:color="auto" w:fill="CCCCCC"/>
          </w:tcPr>
          <w:p w14:paraId="5869EA6D" w14:textId="4C5865D9" w:rsidR="0099740A" w:rsidDel="0099740A" w:rsidRDefault="0099740A" w:rsidP="001A5D4A">
            <w:pPr>
              <w:pStyle w:val="NotesTable-CellPlain"/>
            </w:pPr>
            <w:r>
              <w:t>–</w:t>
            </w:r>
          </w:p>
        </w:tc>
        <w:tc>
          <w:tcPr>
            <w:tcW w:w="334" w:type="pct"/>
            <w:shd w:val="clear" w:color="auto" w:fill="CCCCCC"/>
          </w:tcPr>
          <w:p w14:paraId="72532AFD" w14:textId="7648259F" w:rsidR="0099740A" w:rsidDel="0099740A" w:rsidRDefault="0099740A" w:rsidP="001A5D4A">
            <w:pPr>
              <w:pStyle w:val="NotesTable-CellPlain"/>
            </w:pPr>
            <w:r>
              <w:t>–</w:t>
            </w:r>
          </w:p>
        </w:tc>
        <w:tc>
          <w:tcPr>
            <w:tcW w:w="335" w:type="pct"/>
            <w:shd w:val="clear" w:color="auto" w:fill="CCCCCC"/>
          </w:tcPr>
          <w:p w14:paraId="7BA5327A" w14:textId="48D84543" w:rsidR="0099740A" w:rsidDel="0099740A" w:rsidRDefault="0099740A" w:rsidP="001A5D4A">
            <w:pPr>
              <w:pStyle w:val="NotesTable-CellPlain"/>
            </w:pPr>
            <w:r>
              <w:t>–</w:t>
            </w:r>
          </w:p>
        </w:tc>
      </w:tr>
      <w:tr w:rsidR="00CE0216" w14:paraId="038A23AA" w14:textId="77777777" w:rsidTr="00E21378">
        <w:trPr>
          <w:cantSplit/>
          <w:trHeight w:val="203"/>
        </w:trPr>
        <w:tc>
          <w:tcPr>
            <w:tcW w:w="502" w:type="pct"/>
          </w:tcPr>
          <w:p w14:paraId="038A239E" w14:textId="77777777" w:rsidR="00CE0216" w:rsidRDefault="00CE0216" w:rsidP="001A5D4A">
            <w:pPr>
              <w:pStyle w:val="Note-Refs"/>
              <w:rPr>
                <w:b/>
              </w:rPr>
            </w:pPr>
            <w:r>
              <w:t>AASB116.73e(vii)</w:t>
            </w:r>
          </w:p>
        </w:tc>
        <w:tc>
          <w:tcPr>
            <w:tcW w:w="1004" w:type="pct"/>
            <w:shd w:val="clear" w:color="auto" w:fill="CCCCCC"/>
            <w:vAlign w:val="bottom"/>
          </w:tcPr>
          <w:p w14:paraId="038A239F" w14:textId="77777777" w:rsidR="00CE0216" w:rsidRDefault="00CE0216" w:rsidP="001A5D4A">
            <w:pPr>
              <w:pStyle w:val="NotesTable-ItemPlain"/>
              <w:rPr>
                <w:b/>
              </w:rPr>
            </w:pPr>
            <w:r>
              <w:t xml:space="preserve">Depreciation charge </w:t>
            </w:r>
          </w:p>
        </w:tc>
        <w:tc>
          <w:tcPr>
            <w:tcW w:w="372" w:type="pct"/>
            <w:shd w:val="clear" w:color="auto" w:fill="CCCCCC"/>
          </w:tcPr>
          <w:p w14:paraId="038A23A0" w14:textId="77777777" w:rsidR="00CE0216" w:rsidRDefault="00CE0216" w:rsidP="001A5D4A">
            <w:pPr>
              <w:pStyle w:val="NotesTable-CellPlain"/>
            </w:pPr>
            <w:r>
              <w:t>–</w:t>
            </w:r>
          </w:p>
        </w:tc>
        <w:tc>
          <w:tcPr>
            <w:tcW w:w="334" w:type="pct"/>
            <w:shd w:val="clear" w:color="auto" w:fill="CCCCCC"/>
          </w:tcPr>
          <w:p w14:paraId="038A23A1" w14:textId="77777777" w:rsidR="00CE0216" w:rsidRDefault="00CE0216" w:rsidP="001A5D4A">
            <w:pPr>
              <w:pStyle w:val="NotesTable-CellPlain"/>
            </w:pPr>
            <w:r>
              <w:t>–</w:t>
            </w:r>
          </w:p>
        </w:tc>
        <w:tc>
          <w:tcPr>
            <w:tcW w:w="334" w:type="pct"/>
            <w:shd w:val="clear" w:color="auto" w:fill="CCCCCC"/>
          </w:tcPr>
          <w:p w14:paraId="038A23A2" w14:textId="77777777" w:rsidR="00CE0216" w:rsidRDefault="00CE0216" w:rsidP="001A5D4A">
            <w:pPr>
              <w:pStyle w:val="NotesTable-CellPlain"/>
            </w:pPr>
            <w:r>
              <w:t>–</w:t>
            </w:r>
          </w:p>
        </w:tc>
        <w:tc>
          <w:tcPr>
            <w:tcW w:w="372" w:type="pct"/>
            <w:shd w:val="clear" w:color="auto" w:fill="CCCCCC"/>
          </w:tcPr>
          <w:p w14:paraId="038A23A3" w14:textId="77777777" w:rsidR="00CE0216" w:rsidRDefault="00CE0216" w:rsidP="001A5D4A">
            <w:pPr>
              <w:pStyle w:val="NotesTable-CellPlain"/>
            </w:pPr>
            <w:r>
              <w:t>–</w:t>
            </w:r>
          </w:p>
        </w:tc>
        <w:tc>
          <w:tcPr>
            <w:tcW w:w="334" w:type="pct"/>
            <w:shd w:val="clear" w:color="auto" w:fill="CCCCCC"/>
          </w:tcPr>
          <w:p w14:paraId="038A23A4" w14:textId="77777777" w:rsidR="00CE0216" w:rsidRDefault="00CE0216" w:rsidP="001A5D4A">
            <w:pPr>
              <w:pStyle w:val="NotesTable-CellPlain"/>
            </w:pPr>
            <w:r>
              <w:t>–</w:t>
            </w:r>
          </w:p>
        </w:tc>
        <w:tc>
          <w:tcPr>
            <w:tcW w:w="372" w:type="pct"/>
            <w:shd w:val="clear" w:color="auto" w:fill="CCCCCC"/>
          </w:tcPr>
          <w:p w14:paraId="038A23A5" w14:textId="77777777" w:rsidR="00CE0216" w:rsidRDefault="00CE0216" w:rsidP="001A5D4A">
            <w:pPr>
              <w:pStyle w:val="NotesTable-CellPlain"/>
            </w:pPr>
            <w:r>
              <w:t>–</w:t>
            </w:r>
          </w:p>
        </w:tc>
        <w:tc>
          <w:tcPr>
            <w:tcW w:w="372" w:type="pct"/>
            <w:shd w:val="clear" w:color="auto" w:fill="CCCCCC"/>
          </w:tcPr>
          <w:p w14:paraId="038A23A6" w14:textId="77777777" w:rsidR="00CE0216" w:rsidRDefault="00CE0216" w:rsidP="001A5D4A">
            <w:pPr>
              <w:pStyle w:val="NotesTable-CellPlain"/>
            </w:pPr>
            <w:r>
              <w:t>–</w:t>
            </w:r>
          </w:p>
        </w:tc>
        <w:tc>
          <w:tcPr>
            <w:tcW w:w="334" w:type="pct"/>
            <w:shd w:val="clear" w:color="auto" w:fill="CCCCCC"/>
          </w:tcPr>
          <w:p w14:paraId="038A23A7" w14:textId="77777777" w:rsidR="00CE0216" w:rsidRDefault="00CE0216" w:rsidP="001A5D4A">
            <w:pPr>
              <w:pStyle w:val="NotesTable-CellPlain"/>
            </w:pPr>
            <w:r>
              <w:t>–</w:t>
            </w:r>
          </w:p>
        </w:tc>
        <w:tc>
          <w:tcPr>
            <w:tcW w:w="334" w:type="pct"/>
            <w:shd w:val="clear" w:color="auto" w:fill="CCCCCC"/>
          </w:tcPr>
          <w:p w14:paraId="038A23A8" w14:textId="77777777" w:rsidR="00CE0216" w:rsidRDefault="00CE0216" w:rsidP="001A5D4A">
            <w:pPr>
              <w:pStyle w:val="NotesTable-CellPlain"/>
            </w:pPr>
            <w:r>
              <w:t>–</w:t>
            </w:r>
          </w:p>
        </w:tc>
        <w:tc>
          <w:tcPr>
            <w:tcW w:w="335" w:type="pct"/>
            <w:shd w:val="clear" w:color="auto" w:fill="CCCCCC"/>
          </w:tcPr>
          <w:p w14:paraId="038A23A9" w14:textId="77777777" w:rsidR="00CE0216" w:rsidRDefault="00CE0216" w:rsidP="001A5D4A">
            <w:pPr>
              <w:pStyle w:val="NotesTable-CellPlain"/>
              <w:rPr>
                <w:lang w:val="en-GB"/>
              </w:rPr>
            </w:pPr>
            <w:r>
              <w:t>–</w:t>
            </w:r>
          </w:p>
        </w:tc>
      </w:tr>
      <w:tr w:rsidR="0099740A" w14:paraId="1735F102" w14:textId="77777777" w:rsidTr="00E21378">
        <w:trPr>
          <w:cantSplit/>
          <w:trHeight w:val="218"/>
        </w:trPr>
        <w:tc>
          <w:tcPr>
            <w:tcW w:w="502" w:type="pct"/>
          </w:tcPr>
          <w:p w14:paraId="4B7A2AB8" w14:textId="77777777" w:rsidR="0099740A" w:rsidRDefault="0099740A" w:rsidP="001A5D4A">
            <w:pPr>
              <w:pStyle w:val="Note-Refs"/>
              <w:rPr>
                <w:b/>
              </w:rPr>
            </w:pPr>
            <w:r>
              <w:t>AASB116.73e(viii)</w:t>
            </w:r>
          </w:p>
        </w:tc>
        <w:tc>
          <w:tcPr>
            <w:tcW w:w="1004" w:type="pct"/>
            <w:shd w:val="clear" w:color="auto" w:fill="CCCCCC"/>
            <w:vAlign w:val="bottom"/>
          </w:tcPr>
          <w:p w14:paraId="28C5B521" w14:textId="77777777" w:rsidR="0099740A" w:rsidRDefault="0099740A" w:rsidP="001A5D4A">
            <w:pPr>
              <w:pStyle w:val="NotesTable-ItemPlain"/>
              <w:rPr>
                <w:b/>
              </w:rPr>
            </w:pPr>
            <w:r>
              <w:t>Exchange differences</w:t>
            </w:r>
          </w:p>
        </w:tc>
        <w:tc>
          <w:tcPr>
            <w:tcW w:w="372" w:type="pct"/>
            <w:shd w:val="clear" w:color="auto" w:fill="CCCCCC"/>
          </w:tcPr>
          <w:p w14:paraId="43C27620" w14:textId="77777777" w:rsidR="0099740A" w:rsidRDefault="0099740A" w:rsidP="001A5D4A">
            <w:pPr>
              <w:pStyle w:val="NotesTable-CellPlain"/>
            </w:pPr>
            <w:r>
              <w:t>–</w:t>
            </w:r>
          </w:p>
        </w:tc>
        <w:tc>
          <w:tcPr>
            <w:tcW w:w="334" w:type="pct"/>
            <w:shd w:val="clear" w:color="auto" w:fill="CCCCCC"/>
          </w:tcPr>
          <w:p w14:paraId="163A79E0" w14:textId="77777777" w:rsidR="0099740A" w:rsidRDefault="0099740A" w:rsidP="001A5D4A">
            <w:pPr>
              <w:pStyle w:val="NotesTable-CellPlain"/>
            </w:pPr>
            <w:r>
              <w:t>–</w:t>
            </w:r>
          </w:p>
        </w:tc>
        <w:tc>
          <w:tcPr>
            <w:tcW w:w="334" w:type="pct"/>
            <w:shd w:val="clear" w:color="auto" w:fill="CCCCCC"/>
          </w:tcPr>
          <w:p w14:paraId="5C624E74" w14:textId="77777777" w:rsidR="0099740A" w:rsidRDefault="0099740A" w:rsidP="001A5D4A">
            <w:pPr>
              <w:pStyle w:val="NotesTable-CellPlain"/>
            </w:pPr>
            <w:r>
              <w:t>–</w:t>
            </w:r>
          </w:p>
        </w:tc>
        <w:tc>
          <w:tcPr>
            <w:tcW w:w="372" w:type="pct"/>
            <w:shd w:val="clear" w:color="auto" w:fill="CCCCCC"/>
          </w:tcPr>
          <w:p w14:paraId="4268AE4D" w14:textId="77777777" w:rsidR="0099740A" w:rsidRDefault="0099740A" w:rsidP="001A5D4A">
            <w:pPr>
              <w:pStyle w:val="NotesTable-CellPlain"/>
            </w:pPr>
            <w:r>
              <w:t>–</w:t>
            </w:r>
          </w:p>
        </w:tc>
        <w:tc>
          <w:tcPr>
            <w:tcW w:w="334" w:type="pct"/>
            <w:shd w:val="clear" w:color="auto" w:fill="CCCCCC"/>
          </w:tcPr>
          <w:p w14:paraId="44F3AAF8" w14:textId="77777777" w:rsidR="0099740A" w:rsidRDefault="0099740A" w:rsidP="001A5D4A">
            <w:pPr>
              <w:pStyle w:val="NotesTable-CellPlain"/>
            </w:pPr>
            <w:r>
              <w:t>–</w:t>
            </w:r>
          </w:p>
        </w:tc>
        <w:tc>
          <w:tcPr>
            <w:tcW w:w="372" w:type="pct"/>
            <w:shd w:val="clear" w:color="auto" w:fill="CCCCCC"/>
          </w:tcPr>
          <w:p w14:paraId="52F2D49E" w14:textId="77777777" w:rsidR="0099740A" w:rsidRDefault="0099740A" w:rsidP="001A5D4A">
            <w:pPr>
              <w:pStyle w:val="NotesTable-CellPlain"/>
            </w:pPr>
            <w:r>
              <w:t>–</w:t>
            </w:r>
          </w:p>
        </w:tc>
        <w:tc>
          <w:tcPr>
            <w:tcW w:w="372" w:type="pct"/>
            <w:shd w:val="clear" w:color="auto" w:fill="CCCCCC"/>
          </w:tcPr>
          <w:p w14:paraId="48D39A26" w14:textId="77777777" w:rsidR="0099740A" w:rsidRDefault="0099740A" w:rsidP="001A5D4A">
            <w:pPr>
              <w:pStyle w:val="NotesTable-CellPlain"/>
            </w:pPr>
            <w:r>
              <w:t>–</w:t>
            </w:r>
          </w:p>
        </w:tc>
        <w:tc>
          <w:tcPr>
            <w:tcW w:w="334" w:type="pct"/>
            <w:shd w:val="clear" w:color="auto" w:fill="CCCCCC"/>
          </w:tcPr>
          <w:p w14:paraId="78CD7B18" w14:textId="77777777" w:rsidR="0099740A" w:rsidRDefault="0099740A" w:rsidP="001A5D4A">
            <w:pPr>
              <w:pStyle w:val="NotesTable-CellPlain"/>
            </w:pPr>
            <w:r>
              <w:t>–</w:t>
            </w:r>
          </w:p>
        </w:tc>
        <w:tc>
          <w:tcPr>
            <w:tcW w:w="334" w:type="pct"/>
            <w:shd w:val="clear" w:color="auto" w:fill="CCCCCC"/>
          </w:tcPr>
          <w:p w14:paraId="7DF83902" w14:textId="77777777" w:rsidR="0099740A" w:rsidRDefault="0099740A" w:rsidP="001A5D4A">
            <w:pPr>
              <w:pStyle w:val="NotesTable-CellPlain"/>
            </w:pPr>
            <w:r>
              <w:t>–</w:t>
            </w:r>
          </w:p>
        </w:tc>
        <w:tc>
          <w:tcPr>
            <w:tcW w:w="335" w:type="pct"/>
            <w:shd w:val="clear" w:color="auto" w:fill="CCCCCC"/>
          </w:tcPr>
          <w:p w14:paraId="36AFF425" w14:textId="77777777" w:rsidR="0099740A" w:rsidRDefault="0099740A" w:rsidP="001A5D4A">
            <w:pPr>
              <w:pStyle w:val="NotesTable-CellPlain"/>
              <w:rPr>
                <w:lang w:val="en-GB"/>
              </w:rPr>
            </w:pPr>
            <w:r>
              <w:t>–</w:t>
            </w:r>
          </w:p>
        </w:tc>
      </w:tr>
      <w:tr w:rsidR="00CE0216" w14:paraId="038A23B7" w14:textId="77777777" w:rsidTr="00E21378">
        <w:trPr>
          <w:cantSplit/>
          <w:trHeight w:val="203"/>
        </w:trPr>
        <w:tc>
          <w:tcPr>
            <w:tcW w:w="502" w:type="pct"/>
          </w:tcPr>
          <w:p w14:paraId="038A23AB" w14:textId="797D18F4" w:rsidR="00CE0216" w:rsidRDefault="0099740A" w:rsidP="001A5D4A">
            <w:pPr>
              <w:pStyle w:val="Note-Refs"/>
            </w:pPr>
            <w:r>
              <w:t>AASB116.73e(ix)</w:t>
            </w:r>
          </w:p>
        </w:tc>
        <w:tc>
          <w:tcPr>
            <w:tcW w:w="1004" w:type="pct"/>
            <w:shd w:val="clear" w:color="auto" w:fill="CCCCCC"/>
            <w:vAlign w:val="bottom"/>
          </w:tcPr>
          <w:p w14:paraId="038A23AC" w14:textId="3FACD61F" w:rsidR="00CE0216" w:rsidRDefault="0099740A" w:rsidP="001A5D4A">
            <w:pPr>
              <w:pStyle w:val="NotesTable-ItemPlain"/>
              <w:rPr>
                <w:b/>
              </w:rPr>
            </w:pPr>
            <w:r>
              <w:t xml:space="preserve">Other changes </w:t>
            </w:r>
            <w:r w:rsidR="00CE0216">
              <w:t>[Specify]</w:t>
            </w:r>
          </w:p>
        </w:tc>
        <w:tc>
          <w:tcPr>
            <w:tcW w:w="372" w:type="pct"/>
            <w:tcBorders>
              <w:bottom w:val="single" w:sz="4" w:space="0" w:color="000000"/>
            </w:tcBorders>
            <w:shd w:val="clear" w:color="auto" w:fill="CCCCCC"/>
          </w:tcPr>
          <w:p w14:paraId="038A23AD"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AE"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AF"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B0"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B1"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B2"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B3"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B4"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B5" w14:textId="77777777" w:rsidR="00CE0216" w:rsidRDefault="00CE0216" w:rsidP="001A5D4A">
            <w:pPr>
              <w:pStyle w:val="NotesTable-CellPlain"/>
            </w:pPr>
            <w:r>
              <w:t>–</w:t>
            </w:r>
          </w:p>
        </w:tc>
        <w:tc>
          <w:tcPr>
            <w:tcW w:w="335" w:type="pct"/>
            <w:tcBorders>
              <w:bottom w:val="single" w:sz="4" w:space="0" w:color="000000"/>
            </w:tcBorders>
            <w:shd w:val="clear" w:color="auto" w:fill="CCCCCC"/>
          </w:tcPr>
          <w:p w14:paraId="038A23B6" w14:textId="77777777" w:rsidR="00CE0216" w:rsidRDefault="00CE0216" w:rsidP="001A5D4A">
            <w:pPr>
              <w:pStyle w:val="NotesTable-CellPlain"/>
              <w:rPr>
                <w:lang w:val="en-GB"/>
              </w:rPr>
            </w:pPr>
            <w:r>
              <w:t>–</w:t>
            </w:r>
          </w:p>
        </w:tc>
      </w:tr>
      <w:tr w:rsidR="00CE0216" w14:paraId="038A23C4" w14:textId="77777777" w:rsidTr="00E21378">
        <w:trPr>
          <w:cantSplit/>
          <w:trHeight w:val="203"/>
        </w:trPr>
        <w:tc>
          <w:tcPr>
            <w:tcW w:w="502" w:type="pct"/>
          </w:tcPr>
          <w:p w14:paraId="038A23B8" w14:textId="77777777" w:rsidR="00CE0216" w:rsidRDefault="00CE0216" w:rsidP="001A5D4A">
            <w:pPr>
              <w:pStyle w:val="Note-Refs"/>
              <w:rPr>
                <w:b/>
              </w:rPr>
            </w:pPr>
            <w:r>
              <w:t>AASB116.73e</w:t>
            </w:r>
          </w:p>
        </w:tc>
        <w:tc>
          <w:tcPr>
            <w:tcW w:w="1004" w:type="pct"/>
            <w:shd w:val="clear" w:color="auto" w:fill="CCCCCC"/>
            <w:vAlign w:val="bottom"/>
          </w:tcPr>
          <w:p w14:paraId="038A23B9" w14:textId="77777777" w:rsidR="00CE0216" w:rsidRDefault="00CE0216" w:rsidP="001A5D4A">
            <w:pPr>
              <w:pStyle w:val="NotesTable-ItemPlain"/>
              <w:rPr>
                <w:b/>
              </w:rPr>
            </w:pPr>
            <w:r>
              <w:t>Closing net book amount</w:t>
            </w:r>
          </w:p>
        </w:tc>
        <w:tc>
          <w:tcPr>
            <w:tcW w:w="372" w:type="pct"/>
            <w:tcBorders>
              <w:top w:val="single" w:sz="4" w:space="0" w:color="000000"/>
            </w:tcBorders>
            <w:shd w:val="clear" w:color="auto" w:fill="CCCCCC"/>
          </w:tcPr>
          <w:p w14:paraId="038A23BA"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BB"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BC"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BD"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BE"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BF"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3C0"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C1"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3C2" w14:textId="77777777" w:rsidR="00CE0216" w:rsidRDefault="00CE0216" w:rsidP="001A5D4A">
            <w:pPr>
              <w:pStyle w:val="NotesTable-CellPlain"/>
            </w:pPr>
            <w:r>
              <w:t>–</w:t>
            </w:r>
          </w:p>
        </w:tc>
        <w:tc>
          <w:tcPr>
            <w:tcW w:w="335" w:type="pct"/>
            <w:tcBorders>
              <w:top w:val="single" w:sz="4" w:space="0" w:color="000000"/>
            </w:tcBorders>
            <w:shd w:val="clear" w:color="auto" w:fill="CCCCCC"/>
          </w:tcPr>
          <w:p w14:paraId="038A23C3" w14:textId="77777777" w:rsidR="00CE0216" w:rsidRDefault="00CE0216" w:rsidP="001A5D4A">
            <w:pPr>
              <w:pStyle w:val="NotesTable-CellPlain"/>
              <w:rPr>
                <w:lang w:val="en-GB"/>
              </w:rPr>
            </w:pPr>
            <w:r>
              <w:t>–</w:t>
            </w:r>
          </w:p>
        </w:tc>
      </w:tr>
      <w:tr w:rsidR="00CE0216" w14:paraId="038A23D1" w14:textId="77777777" w:rsidTr="00E21378">
        <w:trPr>
          <w:cantSplit/>
          <w:trHeight w:val="218"/>
        </w:trPr>
        <w:tc>
          <w:tcPr>
            <w:tcW w:w="502" w:type="pct"/>
          </w:tcPr>
          <w:p w14:paraId="038A23C5" w14:textId="77777777" w:rsidR="00CE0216" w:rsidRDefault="00CE0216" w:rsidP="001A5D4A">
            <w:pPr>
              <w:pStyle w:val="Note-Refs"/>
            </w:pPr>
          </w:p>
        </w:tc>
        <w:tc>
          <w:tcPr>
            <w:tcW w:w="1004" w:type="pct"/>
            <w:shd w:val="clear" w:color="auto" w:fill="CCCCCC"/>
            <w:vAlign w:val="bottom"/>
          </w:tcPr>
          <w:p w14:paraId="038A23C6" w14:textId="77777777" w:rsidR="00CE0216" w:rsidRDefault="00CE0216" w:rsidP="001A5D4A">
            <w:pPr>
              <w:pStyle w:val="NotesTable-ItemPlain"/>
            </w:pPr>
          </w:p>
        </w:tc>
        <w:tc>
          <w:tcPr>
            <w:tcW w:w="372" w:type="pct"/>
            <w:shd w:val="clear" w:color="auto" w:fill="CCCCCC"/>
          </w:tcPr>
          <w:p w14:paraId="038A23C7" w14:textId="77777777" w:rsidR="00CE0216" w:rsidRDefault="00CE0216" w:rsidP="001A5D4A">
            <w:pPr>
              <w:pStyle w:val="NotesTable-CellPlain"/>
            </w:pPr>
          </w:p>
        </w:tc>
        <w:tc>
          <w:tcPr>
            <w:tcW w:w="334" w:type="pct"/>
            <w:shd w:val="clear" w:color="auto" w:fill="CCCCCC"/>
          </w:tcPr>
          <w:p w14:paraId="038A23C8" w14:textId="77777777" w:rsidR="00CE0216" w:rsidRDefault="00CE0216" w:rsidP="001A5D4A">
            <w:pPr>
              <w:pStyle w:val="NotesTable-CellPlain"/>
            </w:pPr>
          </w:p>
        </w:tc>
        <w:tc>
          <w:tcPr>
            <w:tcW w:w="334" w:type="pct"/>
            <w:shd w:val="clear" w:color="auto" w:fill="CCCCCC"/>
          </w:tcPr>
          <w:p w14:paraId="038A23C9" w14:textId="77777777" w:rsidR="00CE0216" w:rsidRDefault="00CE0216" w:rsidP="001A5D4A">
            <w:pPr>
              <w:pStyle w:val="NotesTable-CellPlain"/>
            </w:pPr>
          </w:p>
        </w:tc>
        <w:tc>
          <w:tcPr>
            <w:tcW w:w="372" w:type="pct"/>
            <w:shd w:val="clear" w:color="auto" w:fill="CCCCCC"/>
          </w:tcPr>
          <w:p w14:paraId="038A23CA" w14:textId="77777777" w:rsidR="00CE0216" w:rsidRDefault="00CE0216" w:rsidP="001A5D4A">
            <w:pPr>
              <w:pStyle w:val="NotesTable-CellPlain"/>
            </w:pPr>
          </w:p>
        </w:tc>
        <w:tc>
          <w:tcPr>
            <w:tcW w:w="334" w:type="pct"/>
            <w:shd w:val="clear" w:color="auto" w:fill="CCCCCC"/>
          </w:tcPr>
          <w:p w14:paraId="038A23CB" w14:textId="77777777" w:rsidR="00CE0216" w:rsidRDefault="00CE0216" w:rsidP="001A5D4A">
            <w:pPr>
              <w:pStyle w:val="NotesTable-CellPlain"/>
            </w:pPr>
          </w:p>
        </w:tc>
        <w:tc>
          <w:tcPr>
            <w:tcW w:w="372" w:type="pct"/>
            <w:shd w:val="clear" w:color="auto" w:fill="CCCCCC"/>
          </w:tcPr>
          <w:p w14:paraId="038A23CC" w14:textId="77777777" w:rsidR="00CE0216" w:rsidRDefault="00CE0216" w:rsidP="001A5D4A">
            <w:pPr>
              <w:pStyle w:val="NotesTable-CellPlain"/>
            </w:pPr>
          </w:p>
        </w:tc>
        <w:tc>
          <w:tcPr>
            <w:tcW w:w="372" w:type="pct"/>
            <w:shd w:val="clear" w:color="auto" w:fill="CCCCCC"/>
          </w:tcPr>
          <w:p w14:paraId="038A23CD" w14:textId="77777777" w:rsidR="00CE0216" w:rsidRDefault="00CE0216" w:rsidP="001A5D4A">
            <w:pPr>
              <w:pStyle w:val="NotesTable-CellPlain"/>
            </w:pPr>
          </w:p>
        </w:tc>
        <w:tc>
          <w:tcPr>
            <w:tcW w:w="334" w:type="pct"/>
            <w:shd w:val="clear" w:color="auto" w:fill="CCCCCC"/>
          </w:tcPr>
          <w:p w14:paraId="038A23CE" w14:textId="77777777" w:rsidR="00CE0216" w:rsidRDefault="00CE0216" w:rsidP="001A5D4A">
            <w:pPr>
              <w:pStyle w:val="NotesTable-CellPlain"/>
            </w:pPr>
          </w:p>
        </w:tc>
        <w:tc>
          <w:tcPr>
            <w:tcW w:w="334" w:type="pct"/>
            <w:shd w:val="clear" w:color="auto" w:fill="CCCCCC"/>
          </w:tcPr>
          <w:p w14:paraId="038A23CF" w14:textId="77777777" w:rsidR="00CE0216" w:rsidRDefault="00CE0216" w:rsidP="001A5D4A">
            <w:pPr>
              <w:pStyle w:val="NotesTable-CellPlain"/>
            </w:pPr>
          </w:p>
        </w:tc>
        <w:tc>
          <w:tcPr>
            <w:tcW w:w="335" w:type="pct"/>
            <w:shd w:val="clear" w:color="auto" w:fill="CCCCCC"/>
          </w:tcPr>
          <w:p w14:paraId="038A23D0" w14:textId="77777777" w:rsidR="00CE0216" w:rsidRDefault="00CE0216" w:rsidP="001A5D4A">
            <w:pPr>
              <w:pStyle w:val="NotesTable-CellPlain"/>
            </w:pPr>
          </w:p>
        </w:tc>
      </w:tr>
      <w:tr w:rsidR="00742371" w14:paraId="038A23D4" w14:textId="77777777" w:rsidTr="00E21378">
        <w:trPr>
          <w:cantSplit/>
          <w:trHeight w:val="218"/>
        </w:trPr>
        <w:tc>
          <w:tcPr>
            <w:tcW w:w="502" w:type="pct"/>
          </w:tcPr>
          <w:p w14:paraId="038A23D2" w14:textId="77777777" w:rsidR="00742371" w:rsidRDefault="00742371" w:rsidP="001A5D4A">
            <w:pPr>
              <w:pStyle w:val="Note-Refs"/>
            </w:pPr>
          </w:p>
        </w:tc>
        <w:tc>
          <w:tcPr>
            <w:tcW w:w="4498" w:type="pct"/>
            <w:gridSpan w:val="11"/>
            <w:shd w:val="clear" w:color="auto" w:fill="CCCCCC"/>
            <w:vAlign w:val="bottom"/>
          </w:tcPr>
          <w:p w14:paraId="038A23D3" w14:textId="0C7D4B0B" w:rsidR="00742371" w:rsidRDefault="00742371" w:rsidP="001A5D4A">
            <w:pPr>
              <w:pStyle w:val="Note-TextHeader"/>
              <w:rPr>
                <w:lang w:val="en-GB"/>
              </w:rPr>
            </w:pPr>
            <w:r>
              <w:t xml:space="preserve">At 31 December </w:t>
            </w:r>
            <w:r w:rsidR="006864EC">
              <w:t>2013</w:t>
            </w:r>
          </w:p>
        </w:tc>
      </w:tr>
      <w:tr w:rsidR="00CE0216" w14:paraId="038A23E1" w14:textId="77777777" w:rsidTr="00E21378">
        <w:trPr>
          <w:cantSplit/>
          <w:trHeight w:val="218"/>
        </w:trPr>
        <w:tc>
          <w:tcPr>
            <w:tcW w:w="502" w:type="pct"/>
          </w:tcPr>
          <w:p w14:paraId="038A23D5" w14:textId="77777777" w:rsidR="00CE0216" w:rsidRDefault="00CE0216" w:rsidP="001A5D4A">
            <w:pPr>
              <w:pStyle w:val="Note-Refs"/>
              <w:rPr>
                <w:b/>
              </w:rPr>
            </w:pPr>
            <w:r>
              <w:t>AASB116.73d</w:t>
            </w:r>
          </w:p>
        </w:tc>
        <w:tc>
          <w:tcPr>
            <w:tcW w:w="1004" w:type="pct"/>
            <w:shd w:val="clear" w:color="auto" w:fill="CCCCCC"/>
            <w:vAlign w:val="bottom"/>
          </w:tcPr>
          <w:p w14:paraId="038A23D6" w14:textId="77777777" w:rsidR="00CE0216" w:rsidRDefault="00CE0216" w:rsidP="001A5D4A">
            <w:pPr>
              <w:pStyle w:val="NotesTable-ItemPlain"/>
              <w:rPr>
                <w:b/>
              </w:rPr>
            </w:pPr>
            <w:r>
              <w:t>- Cost</w:t>
            </w:r>
          </w:p>
        </w:tc>
        <w:tc>
          <w:tcPr>
            <w:tcW w:w="372" w:type="pct"/>
            <w:shd w:val="clear" w:color="auto" w:fill="CCCCCC"/>
          </w:tcPr>
          <w:p w14:paraId="038A23D7" w14:textId="77777777" w:rsidR="00CE0216" w:rsidRDefault="00CE0216" w:rsidP="001A5D4A">
            <w:pPr>
              <w:pStyle w:val="NotesTable-CellPlain"/>
            </w:pPr>
            <w:r>
              <w:t>–</w:t>
            </w:r>
          </w:p>
        </w:tc>
        <w:tc>
          <w:tcPr>
            <w:tcW w:w="334" w:type="pct"/>
            <w:shd w:val="clear" w:color="auto" w:fill="CCCCCC"/>
          </w:tcPr>
          <w:p w14:paraId="038A23D8" w14:textId="77777777" w:rsidR="00CE0216" w:rsidRDefault="00CE0216" w:rsidP="001A5D4A">
            <w:pPr>
              <w:pStyle w:val="NotesTable-CellPlain"/>
            </w:pPr>
            <w:r>
              <w:t>–</w:t>
            </w:r>
          </w:p>
        </w:tc>
        <w:tc>
          <w:tcPr>
            <w:tcW w:w="334" w:type="pct"/>
            <w:shd w:val="clear" w:color="auto" w:fill="CCCCCC"/>
          </w:tcPr>
          <w:p w14:paraId="038A23D9" w14:textId="77777777" w:rsidR="00CE0216" w:rsidRDefault="00CE0216" w:rsidP="001A5D4A">
            <w:pPr>
              <w:pStyle w:val="NotesTable-CellPlain"/>
            </w:pPr>
            <w:r>
              <w:t>–</w:t>
            </w:r>
          </w:p>
        </w:tc>
        <w:tc>
          <w:tcPr>
            <w:tcW w:w="372" w:type="pct"/>
            <w:shd w:val="clear" w:color="auto" w:fill="CCCCCC"/>
          </w:tcPr>
          <w:p w14:paraId="038A23DA" w14:textId="77777777" w:rsidR="00CE0216" w:rsidRDefault="00CE0216" w:rsidP="001A5D4A">
            <w:pPr>
              <w:pStyle w:val="NotesTable-CellPlain"/>
            </w:pPr>
            <w:r>
              <w:t>–</w:t>
            </w:r>
          </w:p>
        </w:tc>
        <w:tc>
          <w:tcPr>
            <w:tcW w:w="334" w:type="pct"/>
            <w:shd w:val="clear" w:color="auto" w:fill="CCCCCC"/>
          </w:tcPr>
          <w:p w14:paraId="038A23DB" w14:textId="77777777" w:rsidR="00CE0216" w:rsidRDefault="00CE0216" w:rsidP="001A5D4A">
            <w:pPr>
              <w:pStyle w:val="NotesTable-CellPlain"/>
            </w:pPr>
            <w:r>
              <w:t>–</w:t>
            </w:r>
          </w:p>
        </w:tc>
        <w:tc>
          <w:tcPr>
            <w:tcW w:w="372" w:type="pct"/>
            <w:shd w:val="clear" w:color="auto" w:fill="CCCCCC"/>
          </w:tcPr>
          <w:p w14:paraId="038A23DC" w14:textId="77777777" w:rsidR="00CE0216" w:rsidRDefault="00CE0216" w:rsidP="001A5D4A">
            <w:pPr>
              <w:pStyle w:val="NotesTable-CellPlain"/>
            </w:pPr>
            <w:r>
              <w:t>–</w:t>
            </w:r>
          </w:p>
        </w:tc>
        <w:tc>
          <w:tcPr>
            <w:tcW w:w="372" w:type="pct"/>
            <w:shd w:val="clear" w:color="auto" w:fill="CCCCCC"/>
          </w:tcPr>
          <w:p w14:paraId="038A23DD" w14:textId="77777777" w:rsidR="00CE0216" w:rsidRDefault="00CE0216" w:rsidP="001A5D4A">
            <w:pPr>
              <w:pStyle w:val="NotesTable-CellPlain"/>
            </w:pPr>
            <w:r>
              <w:t>–</w:t>
            </w:r>
          </w:p>
        </w:tc>
        <w:tc>
          <w:tcPr>
            <w:tcW w:w="334" w:type="pct"/>
            <w:shd w:val="clear" w:color="auto" w:fill="CCCCCC"/>
          </w:tcPr>
          <w:p w14:paraId="038A23DE" w14:textId="77777777" w:rsidR="00CE0216" w:rsidRDefault="00CE0216" w:rsidP="001A5D4A">
            <w:pPr>
              <w:pStyle w:val="NotesTable-CellPlain"/>
            </w:pPr>
            <w:r>
              <w:t>–</w:t>
            </w:r>
          </w:p>
        </w:tc>
        <w:tc>
          <w:tcPr>
            <w:tcW w:w="334" w:type="pct"/>
            <w:shd w:val="clear" w:color="auto" w:fill="CCCCCC"/>
          </w:tcPr>
          <w:p w14:paraId="038A23DF" w14:textId="77777777" w:rsidR="00CE0216" w:rsidRDefault="00CE0216" w:rsidP="001A5D4A">
            <w:pPr>
              <w:pStyle w:val="NotesTable-CellPlain"/>
            </w:pPr>
            <w:r>
              <w:t>–</w:t>
            </w:r>
          </w:p>
        </w:tc>
        <w:tc>
          <w:tcPr>
            <w:tcW w:w="335" w:type="pct"/>
            <w:shd w:val="clear" w:color="auto" w:fill="CCCCCC"/>
          </w:tcPr>
          <w:p w14:paraId="038A23E0" w14:textId="77777777" w:rsidR="00CE0216" w:rsidRDefault="00CE0216" w:rsidP="001A5D4A">
            <w:pPr>
              <w:pStyle w:val="NotesTable-CellPlain"/>
              <w:rPr>
                <w:lang w:val="en-GB"/>
              </w:rPr>
            </w:pPr>
            <w:r>
              <w:t>–</w:t>
            </w:r>
          </w:p>
        </w:tc>
      </w:tr>
      <w:tr w:rsidR="00CE0216" w14:paraId="038A23EE" w14:textId="77777777" w:rsidTr="00E21378">
        <w:trPr>
          <w:cantSplit/>
          <w:trHeight w:val="203"/>
        </w:trPr>
        <w:tc>
          <w:tcPr>
            <w:tcW w:w="502" w:type="pct"/>
          </w:tcPr>
          <w:p w14:paraId="038A23E2" w14:textId="77777777" w:rsidR="00CE0216" w:rsidRDefault="00CE0216" w:rsidP="001A5D4A">
            <w:pPr>
              <w:pStyle w:val="Note-Refs"/>
              <w:rPr>
                <w:b/>
              </w:rPr>
            </w:pPr>
            <w:r>
              <w:t>AASB116.73d</w:t>
            </w:r>
          </w:p>
        </w:tc>
        <w:tc>
          <w:tcPr>
            <w:tcW w:w="1004" w:type="pct"/>
            <w:shd w:val="clear" w:color="auto" w:fill="CCCCCC"/>
            <w:vAlign w:val="bottom"/>
          </w:tcPr>
          <w:p w14:paraId="038A23E3" w14:textId="77777777" w:rsidR="00CE0216" w:rsidRDefault="00CE0216" w:rsidP="001A5D4A">
            <w:pPr>
              <w:pStyle w:val="NotesTable-ItemPlain"/>
              <w:rPr>
                <w:b/>
              </w:rPr>
            </w:pPr>
            <w:r>
              <w:t>- Valuation</w:t>
            </w:r>
          </w:p>
        </w:tc>
        <w:tc>
          <w:tcPr>
            <w:tcW w:w="372" w:type="pct"/>
            <w:tcBorders>
              <w:bottom w:val="single" w:sz="4" w:space="0" w:color="000000"/>
            </w:tcBorders>
            <w:shd w:val="clear" w:color="auto" w:fill="CCCCCC"/>
          </w:tcPr>
          <w:p w14:paraId="038A23E4"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E5"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E6"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E7"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E8"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E9"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3EA"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EB"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3EC" w14:textId="77777777" w:rsidR="00CE0216" w:rsidRDefault="00CE0216" w:rsidP="001A5D4A">
            <w:pPr>
              <w:pStyle w:val="NotesTable-CellPlain"/>
            </w:pPr>
            <w:r>
              <w:t>–</w:t>
            </w:r>
          </w:p>
        </w:tc>
        <w:tc>
          <w:tcPr>
            <w:tcW w:w="335" w:type="pct"/>
            <w:tcBorders>
              <w:bottom w:val="single" w:sz="4" w:space="0" w:color="000000"/>
            </w:tcBorders>
            <w:shd w:val="clear" w:color="auto" w:fill="CCCCCC"/>
          </w:tcPr>
          <w:p w14:paraId="038A23ED" w14:textId="77777777" w:rsidR="00CE0216" w:rsidRDefault="00CE0216" w:rsidP="001A5D4A">
            <w:pPr>
              <w:pStyle w:val="NotesTable-CellPlain"/>
              <w:rPr>
                <w:lang w:val="en-GB"/>
              </w:rPr>
            </w:pPr>
            <w:r>
              <w:t>–</w:t>
            </w:r>
          </w:p>
        </w:tc>
      </w:tr>
      <w:tr w:rsidR="00CE0216" w14:paraId="038A23FB" w14:textId="77777777" w:rsidTr="00E21378">
        <w:trPr>
          <w:cantSplit/>
          <w:trHeight w:val="218"/>
        </w:trPr>
        <w:tc>
          <w:tcPr>
            <w:tcW w:w="502" w:type="pct"/>
          </w:tcPr>
          <w:p w14:paraId="038A23EF" w14:textId="77777777" w:rsidR="00CE0216" w:rsidRDefault="00CE0216" w:rsidP="001A5D4A">
            <w:pPr>
              <w:pStyle w:val="Note-Refs"/>
              <w:rPr>
                <w:b/>
              </w:rPr>
            </w:pPr>
            <w:r>
              <w:t>AASB116.73d</w:t>
            </w:r>
          </w:p>
        </w:tc>
        <w:tc>
          <w:tcPr>
            <w:tcW w:w="1004" w:type="pct"/>
            <w:shd w:val="clear" w:color="auto" w:fill="CCCCCC"/>
            <w:vAlign w:val="bottom"/>
          </w:tcPr>
          <w:p w14:paraId="038A23F0" w14:textId="78F87DD9" w:rsidR="00CE0216" w:rsidRDefault="00CE0216" w:rsidP="001A5D4A">
            <w:pPr>
              <w:pStyle w:val="NotesTable-ItemPlain"/>
              <w:rPr>
                <w:b/>
              </w:rPr>
            </w:pPr>
            <w:r>
              <w:t>Accumulated depreciation</w:t>
            </w:r>
            <w:r w:rsidR="00933136">
              <w:t xml:space="preserve"> and impairment</w:t>
            </w:r>
          </w:p>
        </w:tc>
        <w:tc>
          <w:tcPr>
            <w:tcW w:w="372" w:type="pct"/>
            <w:tcBorders>
              <w:top w:val="single" w:sz="4" w:space="0" w:color="000000"/>
              <w:bottom w:val="single" w:sz="4" w:space="0" w:color="000000"/>
            </w:tcBorders>
            <w:shd w:val="clear" w:color="auto" w:fill="CCCCCC"/>
          </w:tcPr>
          <w:p w14:paraId="038A23F1"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3F2"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3F3"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3F4"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3F5"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3F6"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3F7"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3F8"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3F9" w14:textId="77777777" w:rsidR="00CE0216" w:rsidRDefault="00CE0216" w:rsidP="001A5D4A">
            <w:pPr>
              <w:pStyle w:val="NotesTable-CellPlain"/>
            </w:pPr>
            <w:r>
              <w:t>–</w:t>
            </w:r>
          </w:p>
        </w:tc>
        <w:tc>
          <w:tcPr>
            <w:tcW w:w="335" w:type="pct"/>
            <w:tcBorders>
              <w:top w:val="single" w:sz="4" w:space="0" w:color="000000"/>
              <w:bottom w:val="single" w:sz="4" w:space="0" w:color="000000"/>
            </w:tcBorders>
            <w:shd w:val="clear" w:color="auto" w:fill="CCCCCC"/>
          </w:tcPr>
          <w:p w14:paraId="038A23FA" w14:textId="77777777" w:rsidR="00CE0216" w:rsidRDefault="00CE0216" w:rsidP="001A5D4A">
            <w:pPr>
              <w:pStyle w:val="NotesTable-CellPlain"/>
              <w:rPr>
                <w:lang w:val="en-GB"/>
              </w:rPr>
            </w:pPr>
            <w:r>
              <w:t>–</w:t>
            </w:r>
          </w:p>
        </w:tc>
      </w:tr>
      <w:tr w:rsidR="00CE0216" w14:paraId="038A2408" w14:textId="77777777" w:rsidTr="00E21378">
        <w:trPr>
          <w:cantSplit/>
          <w:trHeight w:val="218"/>
        </w:trPr>
        <w:tc>
          <w:tcPr>
            <w:tcW w:w="502" w:type="pct"/>
          </w:tcPr>
          <w:p w14:paraId="038A23FC" w14:textId="77777777" w:rsidR="00CE0216" w:rsidRDefault="00CE0216" w:rsidP="001A5D4A">
            <w:pPr>
              <w:pStyle w:val="Note-Refs"/>
            </w:pPr>
          </w:p>
        </w:tc>
        <w:tc>
          <w:tcPr>
            <w:tcW w:w="1004" w:type="pct"/>
            <w:shd w:val="clear" w:color="auto" w:fill="CCCCCC"/>
            <w:vAlign w:val="bottom"/>
          </w:tcPr>
          <w:p w14:paraId="038A23FD" w14:textId="77777777" w:rsidR="00CE0216" w:rsidRDefault="00CE0216" w:rsidP="001A5D4A">
            <w:pPr>
              <w:pStyle w:val="NotesTable-ItemPlain"/>
              <w:rPr>
                <w:b/>
              </w:rPr>
            </w:pPr>
            <w:r>
              <w:t xml:space="preserve">Net book amount </w:t>
            </w:r>
          </w:p>
        </w:tc>
        <w:tc>
          <w:tcPr>
            <w:tcW w:w="372" w:type="pct"/>
            <w:shd w:val="clear" w:color="auto" w:fill="CCCCCC"/>
          </w:tcPr>
          <w:p w14:paraId="038A23FE" w14:textId="77777777" w:rsidR="00CE0216" w:rsidRDefault="00CE0216" w:rsidP="001A5D4A">
            <w:pPr>
              <w:pStyle w:val="NotesTable-CellPlain"/>
            </w:pPr>
            <w:r>
              <w:t>–</w:t>
            </w:r>
          </w:p>
        </w:tc>
        <w:tc>
          <w:tcPr>
            <w:tcW w:w="334" w:type="pct"/>
            <w:shd w:val="clear" w:color="auto" w:fill="CCCCCC"/>
          </w:tcPr>
          <w:p w14:paraId="038A23FF" w14:textId="77777777" w:rsidR="00CE0216" w:rsidRDefault="00CE0216" w:rsidP="001A5D4A">
            <w:pPr>
              <w:pStyle w:val="NotesTable-CellPlain"/>
            </w:pPr>
            <w:r>
              <w:t>–</w:t>
            </w:r>
          </w:p>
        </w:tc>
        <w:tc>
          <w:tcPr>
            <w:tcW w:w="334" w:type="pct"/>
            <w:shd w:val="clear" w:color="auto" w:fill="CCCCCC"/>
          </w:tcPr>
          <w:p w14:paraId="038A2400" w14:textId="77777777" w:rsidR="00CE0216" w:rsidRDefault="00CE0216" w:rsidP="001A5D4A">
            <w:pPr>
              <w:pStyle w:val="NotesTable-CellPlain"/>
            </w:pPr>
            <w:r>
              <w:t>–</w:t>
            </w:r>
          </w:p>
        </w:tc>
        <w:tc>
          <w:tcPr>
            <w:tcW w:w="372" w:type="pct"/>
            <w:shd w:val="clear" w:color="auto" w:fill="CCCCCC"/>
          </w:tcPr>
          <w:p w14:paraId="038A2401" w14:textId="77777777" w:rsidR="00CE0216" w:rsidRDefault="00CE0216" w:rsidP="001A5D4A">
            <w:pPr>
              <w:pStyle w:val="NotesTable-CellPlain"/>
            </w:pPr>
            <w:r>
              <w:t>–</w:t>
            </w:r>
          </w:p>
        </w:tc>
        <w:tc>
          <w:tcPr>
            <w:tcW w:w="334" w:type="pct"/>
            <w:shd w:val="clear" w:color="auto" w:fill="CCCCCC"/>
          </w:tcPr>
          <w:p w14:paraId="038A2402" w14:textId="77777777" w:rsidR="00CE0216" w:rsidRDefault="00CE0216" w:rsidP="001A5D4A">
            <w:pPr>
              <w:pStyle w:val="NotesTable-CellPlain"/>
            </w:pPr>
            <w:r>
              <w:t>–</w:t>
            </w:r>
          </w:p>
        </w:tc>
        <w:tc>
          <w:tcPr>
            <w:tcW w:w="372" w:type="pct"/>
            <w:shd w:val="clear" w:color="auto" w:fill="CCCCCC"/>
          </w:tcPr>
          <w:p w14:paraId="038A2403" w14:textId="77777777" w:rsidR="00CE0216" w:rsidRDefault="00CE0216" w:rsidP="001A5D4A">
            <w:pPr>
              <w:pStyle w:val="NotesTable-CellPlain"/>
            </w:pPr>
            <w:r>
              <w:t>–</w:t>
            </w:r>
          </w:p>
        </w:tc>
        <w:tc>
          <w:tcPr>
            <w:tcW w:w="372" w:type="pct"/>
            <w:shd w:val="clear" w:color="auto" w:fill="CCCCCC"/>
          </w:tcPr>
          <w:p w14:paraId="038A2404" w14:textId="77777777" w:rsidR="00CE0216" w:rsidRDefault="00CE0216" w:rsidP="001A5D4A">
            <w:pPr>
              <w:pStyle w:val="NotesTable-CellPlain"/>
            </w:pPr>
            <w:r>
              <w:t>–</w:t>
            </w:r>
          </w:p>
        </w:tc>
        <w:tc>
          <w:tcPr>
            <w:tcW w:w="334" w:type="pct"/>
            <w:shd w:val="clear" w:color="auto" w:fill="CCCCCC"/>
          </w:tcPr>
          <w:p w14:paraId="038A2405" w14:textId="77777777" w:rsidR="00CE0216" w:rsidRDefault="00CE0216" w:rsidP="001A5D4A">
            <w:pPr>
              <w:pStyle w:val="NotesTable-CellPlain"/>
            </w:pPr>
            <w:r>
              <w:t>–</w:t>
            </w:r>
          </w:p>
        </w:tc>
        <w:tc>
          <w:tcPr>
            <w:tcW w:w="334" w:type="pct"/>
            <w:shd w:val="clear" w:color="auto" w:fill="CCCCCC"/>
          </w:tcPr>
          <w:p w14:paraId="038A2406" w14:textId="77777777" w:rsidR="00CE0216" w:rsidRDefault="00CE0216" w:rsidP="001A5D4A">
            <w:pPr>
              <w:pStyle w:val="NotesTable-CellPlain"/>
            </w:pPr>
            <w:r>
              <w:t>–</w:t>
            </w:r>
          </w:p>
        </w:tc>
        <w:tc>
          <w:tcPr>
            <w:tcW w:w="335" w:type="pct"/>
            <w:shd w:val="clear" w:color="auto" w:fill="CCCCCC"/>
          </w:tcPr>
          <w:p w14:paraId="038A2407" w14:textId="77777777" w:rsidR="00CE0216" w:rsidRDefault="00CE0216" w:rsidP="001A5D4A">
            <w:pPr>
              <w:pStyle w:val="NotesTable-CellPlain"/>
              <w:rPr>
                <w:lang w:val="en-GB"/>
              </w:rPr>
            </w:pPr>
            <w:r>
              <w:t>–</w:t>
            </w:r>
          </w:p>
        </w:tc>
      </w:tr>
    </w:tbl>
    <w:p w14:paraId="038A2409" w14:textId="77777777" w:rsidR="001B6B14" w:rsidRPr="00976BC2" w:rsidRDefault="001B6B14" w:rsidP="001A5D4A">
      <w:r w:rsidRPr="00976BC2">
        <w:br w:type="page"/>
      </w:r>
    </w:p>
    <w:tbl>
      <w:tblPr>
        <w:tblW w:w="5000" w:type="pct"/>
        <w:tblCellMar>
          <w:left w:w="0" w:type="dxa"/>
          <w:right w:w="0" w:type="dxa"/>
        </w:tblCellMar>
        <w:tblLook w:val="0000" w:firstRow="0" w:lastRow="0" w:firstColumn="0" w:lastColumn="0" w:noHBand="0" w:noVBand="0"/>
      </w:tblPr>
      <w:tblGrid>
        <w:gridCol w:w="1541"/>
        <w:gridCol w:w="3078"/>
        <w:gridCol w:w="1142"/>
        <w:gridCol w:w="1025"/>
        <w:gridCol w:w="1025"/>
        <w:gridCol w:w="1142"/>
        <w:gridCol w:w="1025"/>
        <w:gridCol w:w="1142"/>
        <w:gridCol w:w="1142"/>
        <w:gridCol w:w="1025"/>
        <w:gridCol w:w="1025"/>
        <w:gridCol w:w="1034"/>
      </w:tblGrid>
      <w:tr w:rsidR="002E740E" w:rsidRPr="00976BC2" w14:paraId="038A240C" w14:textId="77777777" w:rsidTr="002E740E">
        <w:trPr>
          <w:cantSplit/>
          <w:trHeight w:val="565"/>
        </w:trPr>
        <w:tc>
          <w:tcPr>
            <w:tcW w:w="5000" w:type="pct"/>
            <w:gridSpan w:val="12"/>
          </w:tcPr>
          <w:p w14:paraId="038A240B" w14:textId="0096006E" w:rsidR="002E740E" w:rsidRPr="00976BC2" w:rsidRDefault="002E740E" w:rsidP="002E740E">
            <w:pPr>
              <w:pStyle w:val="TOC3"/>
              <w:ind w:left="0"/>
            </w:pPr>
            <w:r w:rsidRPr="00976BC2">
              <w:lastRenderedPageBreak/>
              <w:t>Note 26.</w:t>
            </w:r>
            <w:r>
              <w:t xml:space="preserve"> </w:t>
            </w:r>
            <w:r w:rsidRPr="00976BC2">
              <w:t>Property, plant and equipment (continued)</w:t>
            </w:r>
          </w:p>
        </w:tc>
      </w:tr>
      <w:tr w:rsidR="00CE0216" w14:paraId="038A241A" w14:textId="77777777" w:rsidTr="002E740E">
        <w:trPr>
          <w:cantSplit/>
          <w:trHeight w:val="565"/>
        </w:trPr>
        <w:tc>
          <w:tcPr>
            <w:tcW w:w="502" w:type="pct"/>
          </w:tcPr>
          <w:p w14:paraId="038A240D" w14:textId="77777777" w:rsidR="00CE0216" w:rsidRDefault="00CE0216" w:rsidP="001A5D4A">
            <w:pPr>
              <w:pStyle w:val="Note-Refs"/>
            </w:pPr>
            <w:r>
              <w:t>MANDATORY</w:t>
            </w:r>
          </w:p>
          <w:p w14:paraId="038A240E" w14:textId="77777777" w:rsidR="00CE0216" w:rsidRDefault="00CE0216" w:rsidP="001A5D4A">
            <w:pPr>
              <w:pStyle w:val="Note-Refs"/>
            </w:pPr>
          </w:p>
        </w:tc>
        <w:tc>
          <w:tcPr>
            <w:tcW w:w="1003" w:type="pct"/>
            <w:shd w:val="clear" w:color="auto" w:fill="CCCCCC"/>
          </w:tcPr>
          <w:p w14:paraId="038A240F" w14:textId="77777777" w:rsidR="00CE0216" w:rsidRDefault="00CE0216" w:rsidP="001A5D4A">
            <w:pPr>
              <w:pStyle w:val="NotesTable-ItemPlain"/>
            </w:pPr>
          </w:p>
        </w:tc>
        <w:tc>
          <w:tcPr>
            <w:tcW w:w="372" w:type="pct"/>
            <w:shd w:val="clear" w:color="auto" w:fill="CCCCCC"/>
            <w:vAlign w:val="bottom"/>
          </w:tcPr>
          <w:p w14:paraId="038A2410" w14:textId="77777777" w:rsidR="00CE0216" w:rsidRDefault="00CE0216" w:rsidP="001A5D4A">
            <w:pPr>
              <w:pStyle w:val="NotesTable-HeadPlain"/>
              <w:rPr>
                <w:b/>
              </w:rPr>
            </w:pPr>
            <w:r>
              <w:t>Construction in progress</w:t>
            </w:r>
          </w:p>
        </w:tc>
        <w:tc>
          <w:tcPr>
            <w:tcW w:w="334" w:type="pct"/>
            <w:shd w:val="clear" w:color="auto" w:fill="CCCCCC"/>
            <w:vAlign w:val="bottom"/>
          </w:tcPr>
          <w:p w14:paraId="038A2411" w14:textId="77777777" w:rsidR="00CE0216" w:rsidRDefault="00CE0216" w:rsidP="001A5D4A">
            <w:pPr>
              <w:pStyle w:val="NotesTable-HeadPlain"/>
            </w:pPr>
            <w:r>
              <w:t>Land</w:t>
            </w:r>
          </w:p>
        </w:tc>
        <w:tc>
          <w:tcPr>
            <w:tcW w:w="334" w:type="pct"/>
            <w:shd w:val="clear" w:color="auto" w:fill="CCCCCC"/>
            <w:vAlign w:val="bottom"/>
          </w:tcPr>
          <w:p w14:paraId="038A2412" w14:textId="77777777" w:rsidR="00CE0216" w:rsidRDefault="00CE0216" w:rsidP="001A5D4A">
            <w:pPr>
              <w:pStyle w:val="NotesTable-HeadPlain"/>
            </w:pPr>
            <w:r>
              <w:t>Buildings</w:t>
            </w:r>
          </w:p>
        </w:tc>
        <w:tc>
          <w:tcPr>
            <w:tcW w:w="372" w:type="pct"/>
            <w:shd w:val="clear" w:color="auto" w:fill="CCCCCC"/>
            <w:vAlign w:val="bottom"/>
          </w:tcPr>
          <w:p w14:paraId="038A2413" w14:textId="77777777" w:rsidR="00CE0216" w:rsidRDefault="00CE0216" w:rsidP="001A5D4A">
            <w:pPr>
              <w:pStyle w:val="NotesTable-HeadPlain"/>
            </w:pPr>
            <w:r>
              <w:t>Infrastructure</w:t>
            </w:r>
          </w:p>
        </w:tc>
        <w:tc>
          <w:tcPr>
            <w:tcW w:w="334" w:type="pct"/>
            <w:shd w:val="clear" w:color="auto" w:fill="CCCCCC"/>
            <w:vAlign w:val="bottom"/>
          </w:tcPr>
          <w:p w14:paraId="038A2414" w14:textId="492ADCC4" w:rsidR="00CE0216" w:rsidRDefault="00CE0216" w:rsidP="001A5D4A">
            <w:pPr>
              <w:pStyle w:val="NotesTable-HeadPlain"/>
            </w:pPr>
            <w:r>
              <w:t>P</w:t>
            </w:r>
            <w:r w:rsidR="00933136">
              <w:t>lant</w:t>
            </w:r>
            <w:r>
              <w:t xml:space="preserve"> and equipment*</w:t>
            </w:r>
          </w:p>
        </w:tc>
        <w:tc>
          <w:tcPr>
            <w:tcW w:w="372" w:type="pct"/>
            <w:shd w:val="clear" w:color="auto" w:fill="CCCCCC"/>
            <w:vAlign w:val="bottom"/>
          </w:tcPr>
          <w:p w14:paraId="038A2415" w14:textId="77777777" w:rsidR="00CE0216" w:rsidRDefault="00CE0216" w:rsidP="001A5D4A">
            <w:pPr>
              <w:pStyle w:val="NotesTable-HeadPlain"/>
            </w:pPr>
            <w:r>
              <w:t>Leasehold improvements</w:t>
            </w:r>
          </w:p>
        </w:tc>
        <w:tc>
          <w:tcPr>
            <w:tcW w:w="372" w:type="pct"/>
            <w:shd w:val="clear" w:color="auto" w:fill="CCCCCC"/>
            <w:vAlign w:val="bottom"/>
          </w:tcPr>
          <w:p w14:paraId="038A2416" w14:textId="77777777" w:rsidR="00CE0216" w:rsidRDefault="00CE0216" w:rsidP="001A5D4A">
            <w:pPr>
              <w:pStyle w:val="NotesTable-HeadPlain"/>
            </w:pPr>
            <w:r>
              <w:t>Leased plant &amp; equipment</w:t>
            </w:r>
          </w:p>
        </w:tc>
        <w:tc>
          <w:tcPr>
            <w:tcW w:w="334" w:type="pct"/>
            <w:shd w:val="clear" w:color="auto" w:fill="CCCCCC"/>
            <w:vAlign w:val="bottom"/>
          </w:tcPr>
          <w:p w14:paraId="038A2417" w14:textId="77777777" w:rsidR="00CE0216" w:rsidRDefault="00CE0216" w:rsidP="001A5D4A">
            <w:pPr>
              <w:pStyle w:val="NotesTable-HeadPlain"/>
            </w:pPr>
            <w:r>
              <w:t>Library</w:t>
            </w:r>
          </w:p>
        </w:tc>
        <w:tc>
          <w:tcPr>
            <w:tcW w:w="334" w:type="pct"/>
            <w:shd w:val="clear" w:color="auto" w:fill="CCCCCC"/>
            <w:vAlign w:val="bottom"/>
          </w:tcPr>
          <w:p w14:paraId="038A2418" w14:textId="0C64263F" w:rsidR="00CE0216" w:rsidRDefault="00CE0216" w:rsidP="001A5D4A">
            <w:pPr>
              <w:pStyle w:val="NotesTable-HeadPlain"/>
            </w:pPr>
            <w:r>
              <w:t>Other plant and equipment**</w:t>
            </w:r>
          </w:p>
        </w:tc>
        <w:tc>
          <w:tcPr>
            <w:tcW w:w="337" w:type="pct"/>
            <w:shd w:val="clear" w:color="auto" w:fill="CCCCCC"/>
            <w:vAlign w:val="bottom"/>
          </w:tcPr>
          <w:p w14:paraId="038A2419" w14:textId="77777777" w:rsidR="00CE0216" w:rsidRDefault="00CE0216" w:rsidP="001A5D4A">
            <w:pPr>
              <w:pStyle w:val="NotesTable-HeadPlain"/>
            </w:pPr>
            <w:r>
              <w:t>Total</w:t>
            </w:r>
          </w:p>
        </w:tc>
      </w:tr>
      <w:tr w:rsidR="00CE0216" w14:paraId="038A2427" w14:textId="77777777" w:rsidTr="002E740E">
        <w:trPr>
          <w:cantSplit/>
          <w:trHeight w:val="218"/>
        </w:trPr>
        <w:tc>
          <w:tcPr>
            <w:tcW w:w="502" w:type="pct"/>
          </w:tcPr>
          <w:p w14:paraId="038A241B" w14:textId="77777777" w:rsidR="00CE0216" w:rsidRDefault="00CE0216" w:rsidP="001A5D4A">
            <w:pPr>
              <w:pStyle w:val="Note-Refs"/>
            </w:pPr>
          </w:p>
        </w:tc>
        <w:tc>
          <w:tcPr>
            <w:tcW w:w="1003" w:type="pct"/>
            <w:shd w:val="clear" w:color="auto" w:fill="CCCCCC"/>
            <w:vAlign w:val="bottom"/>
          </w:tcPr>
          <w:p w14:paraId="038A241C" w14:textId="77777777" w:rsidR="00CE0216" w:rsidRDefault="00CE0216" w:rsidP="001A5D4A">
            <w:pPr>
              <w:pStyle w:val="NotesTable-ItemBold"/>
            </w:pPr>
            <w:r>
              <w:t>Consolidated</w:t>
            </w:r>
          </w:p>
        </w:tc>
        <w:tc>
          <w:tcPr>
            <w:tcW w:w="372" w:type="pct"/>
            <w:shd w:val="clear" w:color="auto" w:fill="CCCCCC"/>
          </w:tcPr>
          <w:p w14:paraId="038A241D" w14:textId="77777777" w:rsidR="00CE0216" w:rsidRDefault="00CE0216" w:rsidP="001A5D4A">
            <w:pPr>
              <w:pStyle w:val="NotesTable-HeadPlain"/>
              <w:rPr>
                <w:b/>
              </w:rPr>
            </w:pPr>
            <w:r>
              <w:t>$'000</w:t>
            </w:r>
          </w:p>
        </w:tc>
        <w:tc>
          <w:tcPr>
            <w:tcW w:w="334" w:type="pct"/>
            <w:shd w:val="clear" w:color="auto" w:fill="CCCCCC"/>
          </w:tcPr>
          <w:p w14:paraId="038A241E" w14:textId="77777777" w:rsidR="00CE0216" w:rsidRDefault="00CE0216" w:rsidP="001A5D4A">
            <w:pPr>
              <w:pStyle w:val="NotesTable-HeadPlain"/>
              <w:rPr>
                <w:b/>
              </w:rPr>
            </w:pPr>
            <w:r>
              <w:t>$'000</w:t>
            </w:r>
          </w:p>
        </w:tc>
        <w:tc>
          <w:tcPr>
            <w:tcW w:w="334" w:type="pct"/>
            <w:shd w:val="clear" w:color="auto" w:fill="CCCCCC"/>
          </w:tcPr>
          <w:p w14:paraId="038A241F" w14:textId="77777777" w:rsidR="00CE0216" w:rsidRDefault="00CE0216" w:rsidP="001A5D4A">
            <w:pPr>
              <w:pStyle w:val="NotesTable-HeadPlain"/>
              <w:rPr>
                <w:b/>
              </w:rPr>
            </w:pPr>
            <w:r>
              <w:t>$'000</w:t>
            </w:r>
          </w:p>
        </w:tc>
        <w:tc>
          <w:tcPr>
            <w:tcW w:w="372" w:type="pct"/>
            <w:shd w:val="clear" w:color="auto" w:fill="CCCCCC"/>
          </w:tcPr>
          <w:p w14:paraId="038A2420" w14:textId="77777777" w:rsidR="00CE0216" w:rsidRDefault="00CE0216" w:rsidP="001A5D4A">
            <w:pPr>
              <w:pStyle w:val="NotesTable-HeadPlain"/>
              <w:rPr>
                <w:b/>
              </w:rPr>
            </w:pPr>
            <w:r>
              <w:t>$'000</w:t>
            </w:r>
          </w:p>
        </w:tc>
        <w:tc>
          <w:tcPr>
            <w:tcW w:w="334" w:type="pct"/>
            <w:shd w:val="clear" w:color="auto" w:fill="CCCCCC"/>
          </w:tcPr>
          <w:p w14:paraId="038A2421" w14:textId="77777777" w:rsidR="00CE0216" w:rsidRDefault="00CE0216" w:rsidP="001A5D4A">
            <w:pPr>
              <w:pStyle w:val="NotesTable-HeadPlain"/>
              <w:rPr>
                <w:b/>
              </w:rPr>
            </w:pPr>
            <w:r>
              <w:t>$'000</w:t>
            </w:r>
          </w:p>
        </w:tc>
        <w:tc>
          <w:tcPr>
            <w:tcW w:w="372" w:type="pct"/>
            <w:shd w:val="clear" w:color="auto" w:fill="CCCCCC"/>
          </w:tcPr>
          <w:p w14:paraId="038A2422" w14:textId="77777777" w:rsidR="00CE0216" w:rsidRDefault="00CE0216" w:rsidP="001A5D4A">
            <w:pPr>
              <w:pStyle w:val="NotesTable-HeadPlain"/>
              <w:rPr>
                <w:b/>
              </w:rPr>
            </w:pPr>
            <w:r>
              <w:t>$'000</w:t>
            </w:r>
          </w:p>
        </w:tc>
        <w:tc>
          <w:tcPr>
            <w:tcW w:w="372" w:type="pct"/>
            <w:shd w:val="clear" w:color="auto" w:fill="CCCCCC"/>
          </w:tcPr>
          <w:p w14:paraId="038A2423" w14:textId="77777777" w:rsidR="00CE0216" w:rsidRDefault="00CE0216" w:rsidP="001A5D4A">
            <w:pPr>
              <w:pStyle w:val="NotesTable-HeadPlain"/>
              <w:rPr>
                <w:b/>
              </w:rPr>
            </w:pPr>
            <w:r>
              <w:t>$'000</w:t>
            </w:r>
          </w:p>
        </w:tc>
        <w:tc>
          <w:tcPr>
            <w:tcW w:w="334" w:type="pct"/>
            <w:shd w:val="clear" w:color="auto" w:fill="CCCCCC"/>
          </w:tcPr>
          <w:p w14:paraId="038A2424" w14:textId="77777777" w:rsidR="00CE0216" w:rsidRDefault="00CE0216" w:rsidP="001A5D4A">
            <w:pPr>
              <w:pStyle w:val="NotesTable-HeadPlain"/>
              <w:rPr>
                <w:b/>
              </w:rPr>
            </w:pPr>
            <w:r>
              <w:t>$'000</w:t>
            </w:r>
          </w:p>
        </w:tc>
        <w:tc>
          <w:tcPr>
            <w:tcW w:w="334" w:type="pct"/>
            <w:shd w:val="clear" w:color="auto" w:fill="CCCCCC"/>
          </w:tcPr>
          <w:p w14:paraId="038A2425" w14:textId="77777777" w:rsidR="00CE0216" w:rsidRDefault="00CE0216" w:rsidP="001A5D4A">
            <w:pPr>
              <w:pStyle w:val="NotesTable-HeadPlain"/>
              <w:rPr>
                <w:b/>
              </w:rPr>
            </w:pPr>
            <w:r>
              <w:t>$'000</w:t>
            </w:r>
          </w:p>
        </w:tc>
        <w:tc>
          <w:tcPr>
            <w:tcW w:w="337" w:type="pct"/>
            <w:shd w:val="clear" w:color="auto" w:fill="CCCCCC"/>
          </w:tcPr>
          <w:p w14:paraId="038A2426" w14:textId="77777777" w:rsidR="00CE0216" w:rsidRDefault="00CE0216" w:rsidP="001A5D4A">
            <w:pPr>
              <w:pStyle w:val="NotesTable-HeadPlain"/>
              <w:rPr>
                <w:b/>
              </w:rPr>
            </w:pPr>
            <w:r>
              <w:t>$'000</w:t>
            </w:r>
          </w:p>
        </w:tc>
      </w:tr>
      <w:tr w:rsidR="00D24883" w14:paraId="038A2434" w14:textId="77777777" w:rsidTr="002E740E">
        <w:trPr>
          <w:cantSplit/>
          <w:trHeight w:val="218"/>
        </w:trPr>
        <w:tc>
          <w:tcPr>
            <w:tcW w:w="502" w:type="pct"/>
          </w:tcPr>
          <w:p w14:paraId="038A2428" w14:textId="77777777" w:rsidR="00D24883" w:rsidRDefault="00D24883" w:rsidP="001A5D4A">
            <w:pPr>
              <w:pStyle w:val="Note-Refs"/>
            </w:pPr>
          </w:p>
        </w:tc>
        <w:tc>
          <w:tcPr>
            <w:tcW w:w="1003" w:type="pct"/>
            <w:shd w:val="clear" w:color="auto" w:fill="CCCCCC"/>
          </w:tcPr>
          <w:p w14:paraId="038A2429" w14:textId="77777777" w:rsidR="00D24883" w:rsidRDefault="00D24883" w:rsidP="001A5D4A">
            <w:pPr>
              <w:pStyle w:val="NotesTable-ItemPlain"/>
            </w:pPr>
          </w:p>
        </w:tc>
        <w:tc>
          <w:tcPr>
            <w:tcW w:w="372" w:type="pct"/>
            <w:shd w:val="clear" w:color="auto" w:fill="CCCCCC"/>
          </w:tcPr>
          <w:p w14:paraId="038A242A" w14:textId="77777777" w:rsidR="00D24883" w:rsidRDefault="00D24883" w:rsidP="001A5D4A">
            <w:pPr>
              <w:pStyle w:val="NotesTable-CellPlain"/>
            </w:pPr>
          </w:p>
        </w:tc>
        <w:tc>
          <w:tcPr>
            <w:tcW w:w="334" w:type="pct"/>
            <w:shd w:val="clear" w:color="auto" w:fill="CCCCCC"/>
          </w:tcPr>
          <w:p w14:paraId="038A242B" w14:textId="77777777" w:rsidR="00D24883" w:rsidRDefault="00D24883" w:rsidP="001A5D4A">
            <w:pPr>
              <w:pStyle w:val="NotesTable-CellPlain"/>
            </w:pPr>
          </w:p>
        </w:tc>
        <w:tc>
          <w:tcPr>
            <w:tcW w:w="334" w:type="pct"/>
            <w:shd w:val="clear" w:color="auto" w:fill="CCCCCC"/>
          </w:tcPr>
          <w:p w14:paraId="038A242C" w14:textId="77777777" w:rsidR="00D24883" w:rsidRDefault="00D24883" w:rsidP="001A5D4A">
            <w:pPr>
              <w:pStyle w:val="NotesTable-CellPlain"/>
            </w:pPr>
          </w:p>
        </w:tc>
        <w:tc>
          <w:tcPr>
            <w:tcW w:w="372" w:type="pct"/>
            <w:shd w:val="clear" w:color="auto" w:fill="CCCCCC"/>
          </w:tcPr>
          <w:p w14:paraId="038A242D" w14:textId="77777777" w:rsidR="00D24883" w:rsidRDefault="00D24883" w:rsidP="001A5D4A">
            <w:pPr>
              <w:pStyle w:val="NotesTable-CellPlain"/>
            </w:pPr>
          </w:p>
        </w:tc>
        <w:tc>
          <w:tcPr>
            <w:tcW w:w="334" w:type="pct"/>
            <w:shd w:val="clear" w:color="auto" w:fill="CCCCCC"/>
          </w:tcPr>
          <w:p w14:paraId="038A242E" w14:textId="77777777" w:rsidR="00D24883" w:rsidRDefault="00D24883" w:rsidP="001A5D4A">
            <w:pPr>
              <w:pStyle w:val="NotesTable-CellPlain"/>
            </w:pPr>
          </w:p>
        </w:tc>
        <w:tc>
          <w:tcPr>
            <w:tcW w:w="372" w:type="pct"/>
            <w:shd w:val="clear" w:color="auto" w:fill="CCCCCC"/>
          </w:tcPr>
          <w:p w14:paraId="038A242F" w14:textId="77777777" w:rsidR="00D24883" w:rsidRDefault="00D24883" w:rsidP="001A5D4A">
            <w:pPr>
              <w:pStyle w:val="NotesTable-CellPlain"/>
            </w:pPr>
          </w:p>
        </w:tc>
        <w:tc>
          <w:tcPr>
            <w:tcW w:w="372" w:type="pct"/>
            <w:shd w:val="clear" w:color="auto" w:fill="CCCCCC"/>
          </w:tcPr>
          <w:p w14:paraId="038A2430" w14:textId="77777777" w:rsidR="00D24883" w:rsidRDefault="00D24883" w:rsidP="001A5D4A">
            <w:pPr>
              <w:pStyle w:val="NotesTable-CellPlain"/>
            </w:pPr>
          </w:p>
        </w:tc>
        <w:tc>
          <w:tcPr>
            <w:tcW w:w="334" w:type="pct"/>
            <w:shd w:val="clear" w:color="auto" w:fill="CCCCCC"/>
          </w:tcPr>
          <w:p w14:paraId="038A2431" w14:textId="77777777" w:rsidR="00D24883" w:rsidRDefault="00D24883" w:rsidP="001A5D4A">
            <w:pPr>
              <w:pStyle w:val="NotesTable-CellPlain"/>
            </w:pPr>
          </w:p>
        </w:tc>
        <w:tc>
          <w:tcPr>
            <w:tcW w:w="334" w:type="pct"/>
            <w:shd w:val="clear" w:color="auto" w:fill="CCCCCC"/>
          </w:tcPr>
          <w:p w14:paraId="038A2432" w14:textId="77777777" w:rsidR="00D24883" w:rsidRDefault="00D24883" w:rsidP="001A5D4A">
            <w:pPr>
              <w:pStyle w:val="NotesTable-CellPlain"/>
            </w:pPr>
          </w:p>
        </w:tc>
        <w:tc>
          <w:tcPr>
            <w:tcW w:w="337" w:type="pct"/>
            <w:shd w:val="clear" w:color="auto" w:fill="CCCCCC"/>
          </w:tcPr>
          <w:p w14:paraId="038A2433" w14:textId="77777777" w:rsidR="00D24883" w:rsidRDefault="00D24883" w:rsidP="001A5D4A">
            <w:pPr>
              <w:pStyle w:val="NotesTable-CellPlain"/>
            </w:pPr>
          </w:p>
        </w:tc>
      </w:tr>
      <w:tr w:rsidR="003C1BBA" w14:paraId="038A2437" w14:textId="77777777" w:rsidTr="00E21378">
        <w:trPr>
          <w:cantSplit/>
          <w:trHeight w:val="218"/>
        </w:trPr>
        <w:tc>
          <w:tcPr>
            <w:tcW w:w="502" w:type="pct"/>
          </w:tcPr>
          <w:p w14:paraId="038A2435" w14:textId="77777777" w:rsidR="003C1BBA" w:rsidRDefault="003C1BBA" w:rsidP="001A5D4A">
            <w:pPr>
              <w:pStyle w:val="Note-Refs"/>
            </w:pPr>
          </w:p>
        </w:tc>
        <w:tc>
          <w:tcPr>
            <w:tcW w:w="4498" w:type="pct"/>
            <w:gridSpan w:val="11"/>
            <w:shd w:val="clear" w:color="auto" w:fill="CCCCCC"/>
            <w:vAlign w:val="bottom"/>
          </w:tcPr>
          <w:p w14:paraId="038A2436" w14:textId="3DB48C7C" w:rsidR="003C1BBA" w:rsidRDefault="003C1BBA" w:rsidP="001A5D4A">
            <w:pPr>
              <w:pStyle w:val="Note-TextHeader"/>
              <w:rPr>
                <w:lang w:val="en-GB"/>
              </w:rPr>
            </w:pPr>
            <w:r>
              <w:t xml:space="preserve">Year ended 31 December </w:t>
            </w:r>
            <w:r w:rsidR="006864EC">
              <w:t>2014</w:t>
            </w:r>
          </w:p>
        </w:tc>
      </w:tr>
      <w:tr w:rsidR="0092710B" w14:paraId="52A319A3" w14:textId="77777777" w:rsidTr="002E740E">
        <w:trPr>
          <w:cantSplit/>
          <w:trHeight w:val="218"/>
        </w:trPr>
        <w:tc>
          <w:tcPr>
            <w:tcW w:w="502" w:type="pct"/>
          </w:tcPr>
          <w:p w14:paraId="1C0BBB31" w14:textId="77777777" w:rsidR="0092710B" w:rsidRDefault="0092710B" w:rsidP="001A5D4A">
            <w:pPr>
              <w:pStyle w:val="Note-Refs"/>
              <w:rPr>
                <w:b/>
              </w:rPr>
            </w:pPr>
            <w:r>
              <w:t>AASB116.73e</w:t>
            </w:r>
          </w:p>
        </w:tc>
        <w:tc>
          <w:tcPr>
            <w:tcW w:w="1003" w:type="pct"/>
            <w:shd w:val="clear" w:color="auto" w:fill="CCCCCC"/>
            <w:vAlign w:val="bottom"/>
          </w:tcPr>
          <w:p w14:paraId="0918F992" w14:textId="77777777" w:rsidR="0092710B" w:rsidRDefault="0092710B" w:rsidP="001A5D4A">
            <w:pPr>
              <w:pStyle w:val="NotesTable-ItemPlain"/>
              <w:rPr>
                <w:b/>
              </w:rPr>
            </w:pPr>
            <w:r>
              <w:t>Opening net book amount</w:t>
            </w:r>
          </w:p>
        </w:tc>
        <w:tc>
          <w:tcPr>
            <w:tcW w:w="372" w:type="pct"/>
            <w:shd w:val="clear" w:color="auto" w:fill="CCCCCC"/>
          </w:tcPr>
          <w:p w14:paraId="1E2AF8B2" w14:textId="77777777" w:rsidR="0092710B" w:rsidRDefault="0092710B" w:rsidP="001A5D4A">
            <w:pPr>
              <w:pStyle w:val="NotesTable-CellPlain"/>
            </w:pPr>
            <w:r>
              <w:t>–</w:t>
            </w:r>
          </w:p>
        </w:tc>
        <w:tc>
          <w:tcPr>
            <w:tcW w:w="334" w:type="pct"/>
            <w:shd w:val="clear" w:color="auto" w:fill="CCCCCC"/>
          </w:tcPr>
          <w:p w14:paraId="71938BA8" w14:textId="77777777" w:rsidR="0092710B" w:rsidRDefault="0092710B" w:rsidP="001A5D4A">
            <w:pPr>
              <w:pStyle w:val="NotesTable-CellPlain"/>
            </w:pPr>
            <w:r>
              <w:t>–</w:t>
            </w:r>
          </w:p>
        </w:tc>
        <w:tc>
          <w:tcPr>
            <w:tcW w:w="334" w:type="pct"/>
            <w:shd w:val="clear" w:color="auto" w:fill="CCCCCC"/>
          </w:tcPr>
          <w:p w14:paraId="44619D10" w14:textId="77777777" w:rsidR="0092710B" w:rsidRDefault="0092710B" w:rsidP="001A5D4A">
            <w:pPr>
              <w:pStyle w:val="NotesTable-CellPlain"/>
            </w:pPr>
            <w:r>
              <w:t>–</w:t>
            </w:r>
          </w:p>
        </w:tc>
        <w:tc>
          <w:tcPr>
            <w:tcW w:w="372" w:type="pct"/>
            <w:shd w:val="clear" w:color="auto" w:fill="CCCCCC"/>
          </w:tcPr>
          <w:p w14:paraId="6FD3359E" w14:textId="77777777" w:rsidR="0092710B" w:rsidRDefault="0092710B" w:rsidP="001A5D4A">
            <w:pPr>
              <w:pStyle w:val="NotesTable-CellPlain"/>
            </w:pPr>
            <w:r>
              <w:t>–</w:t>
            </w:r>
          </w:p>
        </w:tc>
        <w:tc>
          <w:tcPr>
            <w:tcW w:w="334" w:type="pct"/>
            <w:shd w:val="clear" w:color="auto" w:fill="CCCCCC"/>
          </w:tcPr>
          <w:p w14:paraId="14BCE131" w14:textId="77777777" w:rsidR="0092710B" w:rsidRDefault="0092710B" w:rsidP="001A5D4A">
            <w:pPr>
              <w:pStyle w:val="NotesTable-CellPlain"/>
            </w:pPr>
            <w:r>
              <w:t>–</w:t>
            </w:r>
          </w:p>
        </w:tc>
        <w:tc>
          <w:tcPr>
            <w:tcW w:w="372" w:type="pct"/>
            <w:shd w:val="clear" w:color="auto" w:fill="CCCCCC"/>
          </w:tcPr>
          <w:p w14:paraId="2D17D2C5" w14:textId="77777777" w:rsidR="0092710B" w:rsidRDefault="0092710B" w:rsidP="001A5D4A">
            <w:pPr>
              <w:pStyle w:val="NotesTable-CellPlain"/>
            </w:pPr>
            <w:r>
              <w:t>–</w:t>
            </w:r>
          </w:p>
        </w:tc>
        <w:tc>
          <w:tcPr>
            <w:tcW w:w="372" w:type="pct"/>
            <w:shd w:val="clear" w:color="auto" w:fill="CCCCCC"/>
          </w:tcPr>
          <w:p w14:paraId="05FD8B5D" w14:textId="77777777" w:rsidR="0092710B" w:rsidRDefault="0092710B" w:rsidP="001A5D4A">
            <w:pPr>
              <w:pStyle w:val="NotesTable-CellPlain"/>
            </w:pPr>
            <w:r>
              <w:t>–</w:t>
            </w:r>
          </w:p>
        </w:tc>
        <w:tc>
          <w:tcPr>
            <w:tcW w:w="334" w:type="pct"/>
            <w:shd w:val="clear" w:color="auto" w:fill="CCCCCC"/>
          </w:tcPr>
          <w:p w14:paraId="6AD8204F" w14:textId="77777777" w:rsidR="0092710B" w:rsidRDefault="0092710B" w:rsidP="001A5D4A">
            <w:pPr>
              <w:pStyle w:val="NotesTable-CellPlain"/>
            </w:pPr>
            <w:r>
              <w:t>–</w:t>
            </w:r>
          </w:p>
        </w:tc>
        <w:tc>
          <w:tcPr>
            <w:tcW w:w="334" w:type="pct"/>
            <w:shd w:val="clear" w:color="auto" w:fill="CCCCCC"/>
          </w:tcPr>
          <w:p w14:paraId="005C7961" w14:textId="77777777" w:rsidR="0092710B" w:rsidRDefault="0092710B" w:rsidP="001A5D4A">
            <w:pPr>
              <w:pStyle w:val="NotesTable-CellPlain"/>
            </w:pPr>
            <w:r>
              <w:t>–</w:t>
            </w:r>
          </w:p>
        </w:tc>
        <w:tc>
          <w:tcPr>
            <w:tcW w:w="337" w:type="pct"/>
            <w:shd w:val="clear" w:color="auto" w:fill="CCCCCC"/>
          </w:tcPr>
          <w:p w14:paraId="76A92952" w14:textId="77777777" w:rsidR="0092710B" w:rsidRDefault="0092710B" w:rsidP="001A5D4A">
            <w:pPr>
              <w:pStyle w:val="NotesTable-CellPlain"/>
              <w:rPr>
                <w:lang w:val="en-GB"/>
              </w:rPr>
            </w:pPr>
            <w:r>
              <w:t>–</w:t>
            </w:r>
          </w:p>
        </w:tc>
      </w:tr>
      <w:tr w:rsidR="0092710B" w14:paraId="2F3AA019" w14:textId="77777777" w:rsidTr="002E740E">
        <w:trPr>
          <w:cantSplit/>
          <w:trHeight w:val="218"/>
        </w:trPr>
        <w:tc>
          <w:tcPr>
            <w:tcW w:w="502" w:type="pct"/>
          </w:tcPr>
          <w:p w14:paraId="561B6B30" w14:textId="77777777" w:rsidR="0092710B" w:rsidRDefault="0092710B" w:rsidP="001A5D4A">
            <w:pPr>
              <w:pStyle w:val="Note-Refs"/>
              <w:rPr>
                <w:b/>
              </w:rPr>
            </w:pPr>
            <w:r>
              <w:t>AASB116.73e(i),74b</w:t>
            </w:r>
          </w:p>
        </w:tc>
        <w:tc>
          <w:tcPr>
            <w:tcW w:w="1003" w:type="pct"/>
            <w:shd w:val="clear" w:color="auto" w:fill="CCCCCC"/>
            <w:vAlign w:val="bottom"/>
          </w:tcPr>
          <w:p w14:paraId="74EBFCA2" w14:textId="77777777" w:rsidR="0092710B" w:rsidRDefault="0092710B" w:rsidP="001A5D4A">
            <w:pPr>
              <w:pStyle w:val="NotesTable-ItemPlain"/>
              <w:rPr>
                <w:b/>
              </w:rPr>
            </w:pPr>
            <w:r>
              <w:t>Additions</w:t>
            </w:r>
          </w:p>
        </w:tc>
        <w:tc>
          <w:tcPr>
            <w:tcW w:w="372" w:type="pct"/>
            <w:shd w:val="clear" w:color="auto" w:fill="CCCCCC"/>
          </w:tcPr>
          <w:p w14:paraId="1C47B7C8" w14:textId="77777777" w:rsidR="0092710B" w:rsidRDefault="0092710B" w:rsidP="001A5D4A">
            <w:pPr>
              <w:pStyle w:val="NotesTable-CellPlain"/>
            </w:pPr>
            <w:r>
              <w:t>–</w:t>
            </w:r>
          </w:p>
        </w:tc>
        <w:tc>
          <w:tcPr>
            <w:tcW w:w="334" w:type="pct"/>
            <w:shd w:val="clear" w:color="auto" w:fill="CCCCCC"/>
          </w:tcPr>
          <w:p w14:paraId="066240E9" w14:textId="77777777" w:rsidR="0092710B" w:rsidRDefault="0092710B" w:rsidP="001A5D4A">
            <w:pPr>
              <w:pStyle w:val="NotesTable-CellPlain"/>
            </w:pPr>
            <w:r>
              <w:t>–</w:t>
            </w:r>
          </w:p>
        </w:tc>
        <w:tc>
          <w:tcPr>
            <w:tcW w:w="334" w:type="pct"/>
            <w:shd w:val="clear" w:color="auto" w:fill="CCCCCC"/>
          </w:tcPr>
          <w:p w14:paraId="0260E88A" w14:textId="77777777" w:rsidR="0092710B" w:rsidRDefault="0092710B" w:rsidP="001A5D4A">
            <w:pPr>
              <w:pStyle w:val="NotesTable-CellPlain"/>
            </w:pPr>
            <w:r>
              <w:t>–</w:t>
            </w:r>
          </w:p>
        </w:tc>
        <w:tc>
          <w:tcPr>
            <w:tcW w:w="372" w:type="pct"/>
            <w:shd w:val="clear" w:color="auto" w:fill="CCCCCC"/>
          </w:tcPr>
          <w:p w14:paraId="5AC5AAF5" w14:textId="77777777" w:rsidR="0092710B" w:rsidRDefault="0092710B" w:rsidP="001A5D4A">
            <w:pPr>
              <w:pStyle w:val="NotesTable-CellPlain"/>
            </w:pPr>
            <w:r>
              <w:t>–</w:t>
            </w:r>
          </w:p>
        </w:tc>
        <w:tc>
          <w:tcPr>
            <w:tcW w:w="334" w:type="pct"/>
            <w:shd w:val="clear" w:color="auto" w:fill="CCCCCC"/>
          </w:tcPr>
          <w:p w14:paraId="6C3C5504" w14:textId="77777777" w:rsidR="0092710B" w:rsidRDefault="0092710B" w:rsidP="001A5D4A">
            <w:pPr>
              <w:pStyle w:val="NotesTable-CellPlain"/>
            </w:pPr>
            <w:r>
              <w:t>–</w:t>
            </w:r>
          </w:p>
        </w:tc>
        <w:tc>
          <w:tcPr>
            <w:tcW w:w="372" w:type="pct"/>
            <w:shd w:val="clear" w:color="auto" w:fill="CCCCCC"/>
          </w:tcPr>
          <w:p w14:paraId="61966D64" w14:textId="77777777" w:rsidR="0092710B" w:rsidRDefault="0092710B" w:rsidP="001A5D4A">
            <w:pPr>
              <w:pStyle w:val="NotesTable-CellPlain"/>
            </w:pPr>
            <w:r>
              <w:t>–</w:t>
            </w:r>
          </w:p>
        </w:tc>
        <w:tc>
          <w:tcPr>
            <w:tcW w:w="372" w:type="pct"/>
            <w:shd w:val="clear" w:color="auto" w:fill="CCCCCC"/>
          </w:tcPr>
          <w:p w14:paraId="62EF8798" w14:textId="77777777" w:rsidR="0092710B" w:rsidRDefault="0092710B" w:rsidP="001A5D4A">
            <w:pPr>
              <w:pStyle w:val="NotesTable-CellPlain"/>
            </w:pPr>
            <w:r>
              <w:t>–</w:t>
            </w:r>
          </w:p>
        </w:tc>
        <w:tc>
          <w:tcPr>
            <w:tcW w:w="334" w:type="pct"/>
            <w:shd w:val="clear" w:color="auto" w:fill="CCCCCC"/>
          </w:tcPr>
          <w:p w14:paraId="1A31AC23" w14:textId="77777777" w:rsidR="0092710B" w:rsidRDefault="0092710B" w:rsidP="001A5D4A">
            <w:pPr>
              <w:pStyle w:val="NotesTable-CellPlain"/>
            </w:pPr>
            <w:r>
              <w:t>–</w:t>
            </w:r>
          </w:p>
        </w:tc>
        <w:tc>
          <w:tcPr>
            <w:tcW w:w="334" w:type="pct"/>
            <w:shd w:val="clear" w:color="auto" w:fill="CCCCCC"/>
          </w:tcPr>
          <w:p w14:paraId="7EA56CFD" w14:textId="77777777" w:rsidR="0092710B" w:rsidRDefault="0092710B" w:rsidP="001A5D4A">
            <w:pPr>
              <w:pStyle w:val="NotesTable-CellPlain"/>
            </w:pPr>
            <w:r>
              <w:t>–</w:t>
            </w:r>
          </w:p>
        </w:tc>
        <w:tc>
          <w:tcPr>
            <w:tcW w:w="337" w:type="pct"/>
            <w:shd w:val="clear" w:color="auto" w:fill="CCCCCC"/>
          </w:tcPr>
          <w:p w14:paraId="2B53218B" w14:textId="77777777" w:rsidR="0092710B" w:rsidRDefault="0092710B" w:rsidP="001A5D4A">
            <w:pPr>
              <w:pStyle w:val="NotesTable-CellPlain"/>
              <w:rPr>
                <w:lang w:val="en-GB"/>
              </w:rPr>
            </w:pPr>
            <w:r>
              <w:t>–</w:t>
            </w:r>
          </w:p>
        </w:tc>
      </w:tr>
      <w:tr w:rsidR="0092710B" w14:paraId="12C00C1E" w14:textId="77777777" w:rsidTr="002E740E">
        <w:trPr>
          <w:cantSplit/>
          <w:trHeight w:val="218"/>
        </w:trPr>
        <w:tc>
          <w:tcPr>
            <w:tcW w:w="502" w:type="pct"/>
          </w:tcPr>
          <w:p w14:paraId="771CA74F" w14:textId="77777777" w:rsidR="0092710B" w:rsidRDefault="0092710B" w:rsidP="001A5D4A">
            <w:pPr>
              <w:pStyle w:val="Note-Refs"/>
              <w:rPr>
                <w:b/>
              </w:rPr>
            </w:pPr>
            <w:r>
              <w:t>AASB116.73e(ii)</w:t>
            </w:r>
          </w:p>
        </w:tc>
        <w:tc>
          <w:tcPr>
            <w:tcW w:w="1003" w:type="pct"/>
            <w:shd w:val="clear" w:color="auto" w:fill="CCCCCC"/>
            <w:vAlign w:val="bottom"/>
          </w:tcPr>
          <w:p w14:paraId="214B85CD" w14:textId="77777777" w:rsidR="0092710B" w:rsidRDefault="0092710B" w:rsidP="001A5D4A">
            <w:pPr>
              <w:pStyle w:val="NotesTable-ItemPlain"/>
              <w:rPr>
                <w:b/>
              </w:rPr>
            </w:pPr>
            <w:r>
              <w:t>Assets included in a disposal group classified as held for sale and other disposals</w:t>
            </w:r>
          </w:p>
        </w:tc>
        <w:tc>
          <w:tcPr>
            <w:tcW w:w="372" w:type="pct"/>
            <w:shd w:val="clear" w:color="auto" w:fill="CCCCCC"/>
          </w:tcPr>
          <w:p w14:paraId="6958C5F0" w14:textId="77777777" w:rsidR="0092710B" w:rsidRDefault="0092710B" w:rsidP="001A5D4A">
            <w:pPr>
              <w:pStyle w:val="NotesTable-CellPlain"/>
            </w:pPr>
            <w:r>
              <w:t>–</w:t>
            </w:r>
          </w:p>
        </w:tc>
        <w:tc>
          <w:tcPr>
            <w:tcW w:w="334" w:type="pct"/>
            <w:shd w:val="clear" w:color="auto" w:fill="CCCCCC"/>
          </w:tcPr>
          <w:p w14:paraId="0DAE786F" w14:textId="77777777" w:rsidR="0092710B" w:rsidRDefault="0092710B" w:rsidP="001A5D4A">
            <w:pPr>
              <w:pStyle w:val="NotesTable-CellPlain"/>
            </w:pPr>
            <w:r>
              <w:t>–</w:t>
            </w:r>
          </w:p>
        </w:tc>
        <w:tc>
          <w:tcPr>
            <w:tcW w:w="334" w:type="pct"/>
            <w:shd w:val="clear" w:color="auto" w:fill="CCCCCC"/>
          </w:tcPr>
          <w:p w14:paraId="794EF18B" w14:textId="77777777" w:rsidR="0092710B" w:rsidRDefault="0092710B" w:rsidP="001A5D4A">
            <w:pPr>
              <w:pStyle w:val="NotesTable-CellPlain"/>
            </w:pPr>
            <w:r>
              <w:t>–</w:t>
            </w:r>
          </w:p>
        </w:tc>
        <w:tc>
          <w:tcPr>
            <w:tcW w:w="372" w:type="pct"/>
            <w:shd w:val="clear" w:color="auto" w:fill="CCCCCC"/>
          </w:tcPr>
          <w:p w14:paraId="64955CAD" w14:textId="77777777" w:rsidR="0092710B" w:rsidRDefault="0092710B" w:rsidP="001A5D4A">
            <w:pPr>
              <w:pStyle w:val="NotesTable-CellPlain"/>
            </w:pPr>
            <w:r>
              <w:t>–</w:t>
            </w:r>
          </w:p>
        </w:tc>
        <w:tc>
          <w:tcPr>
            <w:tcW w:w="334" w:type="pct"/>
            <w:shd w:val="clear" w:color="auto" w:fill="CCCCCC"/>
          </w:tcPr>
          <w:p w14:paraId="51114A5D" w14:textId="77777777" w:rsidR="0092710B" w:rsidRDefault="0092710B" w:rsidP="001A5D4A">
            <w:pPr>
              <w:pStyle w:val="NotesTable-CellPlain"/>
            </w:pPr>
            <w:r>
              <w:t>–</w:t>
            </w:r>
          </w:p>
        </w:tc>
        <w:tc>
          <w:tcPr>
            <w:tcW w:w="372" w:type="pct"/>
            <w:shd w:val="clear" w:color="auto" w:fill="CCCCCC"/>
          </w:tcPr>
          <w:p w14:paraId="1F5EB2BF" w14:textId="77777777" w:rsidR="0092710B" w:rsidRDefault="0092710B" w:rsidP="001A5D4A">
            <w:pPr>
              <w:pStyle w:val="NotesTable-CellPlain"/>
            </w:pPr>
            <w:r>
              <w:t>–</w:t>
            </w:r>
          </w:p>
        </w:tc>
        <w:tc>
          <w:tcPr>
            <w:tcW w:w="372" w:type="pct"/>
            <w:shd w:val="clear" w:color="auto" w:fill="CCCCCC"/>
          </w:tcPr>
          <w:p w14:paraId="0EFBFE84" w14:textId="77777777" w:rsidR="0092710B" w:rsidRDefault="0092710B" w:rsidP="001A5D4A">
            <w:pPr>
              <w:pStyle w:val="NotesTable-CellPlain"/>
            </w:pPr>
            <w:r>
              <w:t>–</w:t>
            </w:r>
          </w:p>
        </w:tc>
        <w:tc>
          <w:tcPr>
            <w:tcW w:w="334" w:type="pct"/>
            <w:shd w:val="clear" w:color="auto" w:fill="CCCCCC"/>
          </w:tcPr>
          <w:p w14:paraId="745FB91C" w14:textId="77777777" w:rsidR="0092710B" w:rsidRDefault="0092710B" w:rsidP="001A5D4A">
            <w:pPr>
              <w:pStyle w:val="NotesTable-CellPlain"/>
            </w:pPr>
            <w:r>
              <w:t>–</w:t>
            </w:r>
          </w:p>
        </w:tc>
        <w:tc>
          <w:tcPr>
            <w:tcW w:w="334" w:type="pct"/>
            <w:shd w:val="clear" w:color="auto" w:fill="CCCCCC"/>
          </w:tcPr>
          <w:p w14:paraId="174D58FE" w14:textId="77777777" w:rsidR="0092710B" w:rsidRDefault="0092710B" w:rsidP="001A5D4A">
            <w:pPr>
              <w:pStyle w:val="NotesTable-CellPlain"/>
            </w:pPr>
            <w:r>
              <w:t>–</w:t>
            </w:r>
          </w:p>
        </w:tc>
        <w:tc>
          <w:tcPr>
            <w:tcW w:w="337" w:type="pct"/>
            <w:shd w:val="clear" w:color="auto" w:fill="CCCCCC"/>
          </w:tcPr>
          <w:p w14:paraId="0D5BB875" w14:textId="77777777" w:rsidR="0092710B" w:rsidRDefault="0092710B" w:rsidP="001A5D4A">
            <w:pPr>
              <w:pStyle w:val="NotesTable-CellPlain"/>
              <w:rPr>
                <w:lang w:val="en-GB"/>
              </w:rPr>
            </w:pPr>
            <w:r>
              <w:t>–</w:t>
            </w:r>
          </w:p>
        </w:tc>
      </w:tr>
      <w:tr w:rsidR="0092710B" w:rsidDel="0099740A" w14:paraId="2F41A75D" w14:textId="77777777" w:rsidTr="002E740E">
        <w:trPr>
          <w:cantSplit/>
          <w:trHeight w:val="218"/>
        </w:trPr>
        <w:tc>
          <w:tcPr>
            <w:tcW w:w="502" w:type="pct"/>
          </w:tcPr>
          <w:p w14:paraId="6C9D836F" w14:textId="77777777" w:rsidR="0092710B" w:rsidDel="0099740A" w:rsidRDefault="0092710B" w:rsidP="001A5D4A">
            <w:pPr>
              <w:pStyle w:val="Note-Refs"/>
            </w:pPr>
            <w:r>
              <w:t>AASB116.73(iii)</w:t>
            </w:r>
          </w:p>
        </w:tc>
        <w:tc>
          <w:tcPr>
            <w:tcW w:w="1003" w:type="pct"/>
            <w:shd w:val="clear" w:color="auto" w:fill="CCCCCC"/>
            <w:vAlign w:val="bottom"/>
          </w:tcPr>
          <w:p w14:paraId="71C81D6D" w14:textId="77777777" w:rsidR="0092710B" w:rsidDel="0099740A" w:rsidRDefault="0092710B" w:rsidP="001A5D4A">
            <w:pPr>
              <w:pStyle w:val="NotesTable-ItemPlain"/>
            </w:pPr>
            <w:r>
              <w:t>Acquisitions through business combinations</w:t>
            </w:r>
          </w:p>
        </w:tc>
        <w:tc>
          <w:tcPr>
            <w:tcW w:w="372" w:type="pct"/>
            <w:shd w:val="clear" w:color="auto" w:fill="CCCCCC"/>
          </w:tcPr>
          <w:p w14:paraId="251DD237" w14:textId="77777777" w:rsidR="0092710B" w:rsidDel="0099740A" w:rsidRDefault="0092710B" w:rsidP="001A5D4A">
            <w:pPr>
              <w:pStyle w:val="NotesTable-CellPlain"/>
            </w:pPr>
            <w:r>
              <w:t>–</w:t>
            </w:r>
          </w:p>
        </w:tc>
        <w:tc>
          <w:tcPr>
            <w:tcW w:w="334" w:type="pct"/>
            <w:shd w:val="clear" w:color="auto" w:fill="CCCCCC"/>
          </w:tcPr>
          <w:p w14:paraId="041645F3" w14:textId="77777777" w:rsidR="0092710B" w:rsidDel="0099740A" w:rsidRDefault="0092710B" w:rsidP="001A5D4A">
            <w:pPr>
              <w:pStyle w:val="NotesTable-CellPlain"/>
            </w:pPr>
            <w:r>
              <w:t>–</w:t>
            </w:r>
          </w:p>
        </w:tc>
        <w:tc>
          <w:tcPr>
            <w:tcW w:w="334" w:type="pct"/>
            <w:shd w:val="clear" w:color="auto" w:fill="CCCCCC"/>
          </w:tcPr>
          <w:p w14:paraId="65863711" w14:textId="77777777" w:rsidR="0092710B" w:rsidDel="0099740A" w:rsidRDefault="0092710B" w:rsidP="001A5D4A">
            <w:pPr>
              <w:pStyle w:val="NotesTable-CellPlain"/>
            </w:pPr>
            <w:r>
              <w:t>–</w:t>
            </w:r>
          </w:p>
        </w:tc>
        <w:tc>
          <w:tcPr>
            <w:tcW w:w="372" w:type="pct"/>
            <w:shd w:val="clear" w:color="auto" w:fill="CCCCCC"/>
          </w:tcPr>
          <w:p w14:paraId="68FB856E" w14:textId="77777777" w:rsidR="0092710B" w:rsidDel="0099740A" w:rsidRDefault="0092710B" w:rsidP="001A5D4A">
            <w:pPr>
              <w:pStyle w:val="NotesTable-CellPlain"/>
            </w:pPr>
            <w:r>
              <w:t>–</w:t>
            </w:r>
          </w:p>
        </w:tc>
        <w:tc>
          <w:tcPr>
            <w:tcW w:w="334" w:type="pct"/>
            <w:shd w:val="clear" w:color="auto" w:fill="CCCCCC"/>
          </w:tcPr>
          <w:p w14:paraId="143AA947" w14:textId="77777777" w:rsidR="0092710B" w:rsidDel="0099740A" w:rsidRDefault="0092710B" w:rsidP="001A5D4A">
            <w:pPr>
              <w:pStyle w:val="NotesTable-CellPlain"/>
            </w:pPr>
            <w:r>
              <w:t>–</w:t>
            </w:r>
          </w:p>
        </w:tc>
        <w:tc>
          <w:tcPr>
            <w:tcW w:w="372" w:type="pct"/>
            <w:shd w:val="clear" w:color="auto" w:fill="CCCCCC"/>
          </w:tcPr>
          <w:p w14:paraId="297CB3E1" w14:textId="77777777" w:rsidR="0092710B" w:rsidDel="0099740A" w:rsidRDefault="0092710B" w:rsidP="001A5D4A">
            <w:pPr>
              <w:pStyle w:val="NotesTable-CellPlain"/>
            </w:pPr>
            <w:r>
              <w:t>–</w:t>
            </w:r>
          </w:p>
        </w:tc>
        <w:tc>
          <w:tcPr>
            <w:tcW w:w="372" w:type="pct"/>
            <w:shd w:val="clear" w:color="auto" w:fill="CCCCCC"/>
          </w:tcPr>
          <w:p w14:paraId="300D8339" w14:textId="77777777" w:rsidR="0092710B" w:rsidDel="0099740A" w:rsidRDefault="0092710B" w:rsidP="001A5D4A">
            <w:pPr>
              <w:pStyle w:val="NotesTable-CellPlain"/>
            </w:pPr>
            <w:r>
              <w:t>–</w:t>
            </w:r>
          </w:p>
        </w:tc>
        <w:tc>
          <w:tcPr>
            <w:tcW w:w="334" w:type="pct"/>
            <w:shd w:val="clear" w:color="auto" w:fill="CCCCCC"/>
          </w:tcPr>
          <w:p w14:paraId="116FFC4C" w14:textId="77777777" w:rsidR="0092710B" w:rsidDel="0099740A" w:rsidRDefault="0092710B" w:rsidP="001A5D4A">
            <w:pPr>
              <w:pStyle w:val="NotesTable-CellPlain"/>
            </w:pPr>
            <w:r>
              <w:t>–</w:t>
            </w:r>
          </w:p>
        </w:tc>
        <w:tc>
          <w:tcPr>
            <w:tcW w:w="334" w:type="pct"/>
            <w:shd w:val="clear" w:color="auto" w:fill="CCCCCC"/>
          </w:tcPr>
          <w:p w14:paraId="102EBA3E" w14:textId="77777777" w:rsidR="0092710B" w:rsidDel="0099740A" w:rsidRDefault="0092710B" w:rsidP="001A5D4A">
            <w:pPr>
              <w:pStyle w:val="NotesTable-CellPlain"/>
            </w:pPr>
            <w:r>
              <w:t>–</w:t>
            </w:r>
          </w:p>
        </w:tc>
        <w:tc>
          <w:tcPr>
            <w:tcW w:w="337" w:type="pct"/>
            <w:shd w:val="clear" w:color="auto" w:fill="CCCCCC"/>
          </w:tcPr>
          <w:p w14:paraId="6BAB8CB3" w14:textId="77777777" w:rsidR="0092710B" w:rsidDel="0099740A" w:rsidRDefault="0092710B" w:rsidP="001A5D4A">
            <w:pPr>
              <w:pStyle w:val="NotesTable-CellPlain"/>
            </w:pPr>
            <w:r>
              <w:t>–</w:t>
            </w:r>
          </w:p>
        </w:tc>
      </w:tr>
      <w:tr w:rsidR="0092710B" w14:paraId="232FAA10" w14:textId="77777777" w:rsidTr="002E740E">
        <w:trPr>
          <w:cantSplit/>
          <w:trHeight w:val="218"/>
        </w:trPr>
        <w:tc>
          <w:tcPr>
            <w:tcW w:w="502" w:type="pct"/>
          </w:tcPr>
          <w:p w14:paraId="04BE69B0" w14:textId="77777777" w:rsidR="0092710B" w:rsidRDefault="0092710B" w:rsidP="001A5D4A">
            <w:pPr>
              <w:pStyle w:val="Note-Refs"/>
              <w:rPr>
                <w:b/>
              </w:rPr>
            </w:pPr>
            <w:r>
              <w:t>AASB116.73e(iv)</w:t>
            </w:r>
          </w:p>
        </w:tc>
        <w:tc>
          <w:tcPr>
            <w:tcW w:w="1003" w:type="pct"/>
            <w:shd w:val="clear" w:color="auto" w:fill="CCCCCC"/>
            <w:vAlign w:val="bottom"/>
          </w:tcPr>
          <w:p w14:paraId="17E942AE" w14:textId="77777777" w:rsidR="0092710B" w:rsidRDefault="0092710B" w:rsidP="001A5D4A">
            <w:pPr>
              <w:pStyle w:val="NotesTable-ItemPlain"/>
              <w:rPr>
                <w:b/>
              </w:rPr>
            </w:pPr>
            <w:r>
              <w:t>Revaluation surplus</w:t>
            </w:r>
          </w:p>
        </w:tc>
        <w:tc>
          <w:tcPr>
            <w:tcW w:w="372" w:type="pct"/>
            <w:shd w:val="clear" w:color="auto" w:fill="CCCCCC"/>
          </w:tcPr>
          <w:p w14:paraId="6AAFDA76" w14:textId="77777777" w:rsidR="0092710B" w:rsidRDefault="0092710B" w:rsidP="001A5D4A">
            <w:pPr>
              <w:pStyle w:val="NotesTable-CellPlain"/>
            </w:pPr>
            <w:r>
              <w:t>–</w:t>
            </w:r>
          </w:p>
        </w:tc>
        <w:tc>
          <w:tcPr>
            <w:tcW w:w="334" w:type="pct"/>
            <w:shd w:val="clear" w:color="auto" w:fill="CCCCCC"/>
          </w:tcPr>
          <w:p w14:paraId="775CC51E" w14:textId="77777777" w:rsidR="0092710B" w:rsidRDefault="0092710B" w:rsidP="001A5D4A">
            <w:pPr>
              <w:pStyle w:val="NotesTable-CellPlain"/>
            </w:pPr>
            <w:r>
              <w:t>–</w:t>
            </w:r>
          </w:p>
        </w:tc>
        <w:tc>
          <w:tcPr>
            <w:tcW w:w="334" w:type="pct"/>
            <w:shd w:val="clear" w:color="auto" w:fill="CCCCCC"/>
          </w:tcPr>
          <w:p w14:paraId="3D031173" w14:textId="77777777" w:rsidR="0092710B" w:rsidRDefault="0092710B" w:rsidP="001A5D4A">
            <w:pPr>
              <w:pStyle w:val="NotesTable-CellPlain"/>
            </w:pPr>
            <w:r>
              <w:t>–</w:t>
            </w:r>
          </w:p>
        </w:tc>
        <w:tc>
          <w:tcPr>
            <w:tcW w:w="372" w:type="pct"/>
            <w:shd w:val="clear" w:color="auto" w:fill="CCCCCC"/>
          </w:tcPr>
          <w:p w14:paraId="39C144DD" w14:textId="77777777" w:rsidR="0092710B" w:rsidRDefault="0092710B" w:rsidP="001A5D4A">
            <w:pPr>
              <w:pStyle w:val="NotesTable-CellPlain"/>
            </w:pPr>
            <w:r>
              <w:t>–</w:t>
            </w:r>
          </w:p>
        </w:tc>
        <w:tc>
          <w:tcPr>
            <w:tcW w:w="334" w:type="pct"/>
            <w:shd w:val="clear" w:color="auto" w:fill="CCCCCC"/>
          </w:tcPr>
          <w:p w14:paraId="467BB531" w14:textId="77777777" w:rsidR="0092710B" w:rsidRDefault="0092710B" w:rsidP="001A5D4A">
            <w:pPr>
              <w:pStyle w:val="NotesTable-CellPlain"/>
            </w:pPr>
            <w:r>
              <w:t>–</w:t>
            </w:r>
          </w:p>
        </w:tc>
        <w:tc>
          <w:tcPr>
            <w:tcW w:w="372" w:type="pct"/>
            <w:shd w:val="clear" w:color="auto" w:fill="CCCCCC"/>
          </w:tcPr>
          <w:p w14:paraId="12E2E9A7" w14:textId="77777777" w:rsidR="0092710B" w:rsidRDefault="0092710B" w:rsidP="001A5D4A">
            <w:pPr>
              <w:pStyle w:val="NotesTable-CellPlain"/>
            </w:pPr>
            <w:r>
              <w:t>–</w:t>
            </w:r>
          </w:p>
        </w:tc>
        <w:tc>
          <w:tcPr>
            <w:tcW w:w="372" w:type="pct"/>
            <w:shd w:val="clear" w:color="auto" w:fill="CCCCCC"/>
          </w:tcPr>
          <w:p w14:paraId="262A5EC5" w14:textId="77777777" w:rsidR="0092710B" w:rsidRDefault="0092710B" w:rsidP="001A5D4A">
            <w:pPr>
              <w:pStyle w:val="NotesTable-CellPlain"/>
            </w:pPr>
            <w:r>
              <w:t>–</w:t>
            </w:r>
          </w:p>
        </w:tc>
        <w:tc>
          <w:tcPr>
            <w:tcW w:w="334" w:type="pct"/>
            <w:shd w:val="clear" w:color="auto" w:fill="CCCCCC"/>
          </w:tcPr>
          <w:p w14:paraId="428280C3" w14:textId="77777777" w:rsidR="0092710B" w:rsidRDefault="0092710B" w:rsidP="001A5D4A">
            <w:pPr>
              <w:pStyle w:val="NotesTable-CellPlain"/>
            </w:pPr>
            <w:r>
              <w:t>–</w:t>
            </w:r>
          </w:p>
        </w:tc>
        <w:tc>
          <w:tcPr>
            <w:tcW w:w="334" w:type="pct"/>
            <w:shd w:val="clear" w:color="auto" w:fill="CCCCCC"/>
          </w:tcPr>
          <w:p w14:paraId="23928079" w14:textId="77777777" w:rsidR="0092710B" w:rsidRDefault="0092710B" w:rsidP="001A5D4A">
            <w:pPr>
              <w:pStyle w:val="NotesTable-CellPlain"/>
            </w:pPr>
            <w:r>
              <w:t>–</w:t>
            </w:r>
          </w:p>
        </w:tc>
        <w:tc>
          <w:tcPr>
            <w:tcW w:w="337" w:type="pct"/>
            <w:shd w:val="clear" w:color="auto" w:fill="CCCCCC"/>
          </w:tcPr>
          <w:p w14:paraId="46576E4F" w14:textId="77777777" w:rsidR="0092710B" w:rsidRDefault="0092710B" w:rsidP="001A5D4A">
            <w:pPr>
              <w:pStyle w:val="NotesTable-CellPlain"/>
              <w:rPr>
                <w:lang w:val="en-GB"/>
              </w:rPr>
            </w:pPr>
            <w:r>
              <w:t>–</w:t>
            </w:r>
          </w:p>
        </w:tc>
      </w:tr>
      <w:tr w:rsidR="0092710B" w:rsidDel="0099740A" w14:paraId="19B638B2" w14:textId="77777777" w:rsidTr="002E740E">
        <w:trPr>
          <w:cantSplit/>
          <w:trHeight w:val="218"/>
        </w:trPr>
        <w:tc>
          <w:tcPr>
            <w:tcW w:w="502" w:type="pct"/>
          </w:tcPr>
          <w:p w14:paraId="769BE7B9" w14:textId="77777777" w:rsidR="0092710B" w:rsidDel="0099740A" w:rsidRDefault="0092710B" w:rsidP="001A5D4A">
            <w:pPr>
              <w:pStyle w:val="Note-Refs"/>
            </w:pPr>
            <w:r>
              <w:t>AASB116.73(v)</w:t>
            </w:r>
          </w:p>
        </w:tc>
        <w:tc>
          <w:tcPr>
            <w:tcW w:w="1003" w:type="pct"/>
            <w:shd w:val="clear" w:color="auto" w:fill="CCCCCC"/>
            <w:vAlign w:val="bottom"/>
          </w:tcPr>
          <w:p w14:paraId="5615A216" w14:textId="77777777" w:rsidR="0092710B" w:rsidDel="0099740A" w:rsidRDefault="0092710B" w:rsidP="001A5D4A">
            <w:pPr>
              <w:pStyle w:val="NotesTable-ItemPlain"/>
            </w:pPr>
            <w:r>
              <w:t>Impairment losses</w:t>
            </w:r>
          </w:p>
        </w:tc>
        <w:tc>
          <w:tcPr>
            <w:tcW w:w="372" w:type="pct"/>
            <w:shd w:val="clear" w:color="auto" w:fill="CCCCCC"/>
          </w:tcPr>
          <w:p w14:paraId="16F805D4" w14:textId="77777777" w:rsidR="0092710B" w:rsidDel="0099740A" w:rsidRDefault="0092710B" w:rsidP="001A5D4A">
            <w:pPr>
              <w:pStyle w:val="NotesTable-CellPlain"/>
            </w:pPr>
            <w:r>
              <w:t>–</w:t>
            </w:r>
          </w:p>
        </w:tc>
        <w:tc>
          <w:tcPr>
            <w:tcW w:w="334" w:type="pct"/>
            <w:shd w:val="clear" w:color="auto" w:fill="CCCCCC"/>
          </w:tcPr>
          <w:p w14:paraId="440455B4" w14:textId="77777777" w:rsidR="0092710B" w:rsidDel="0099740A" w:rsidRDefault="0092710B" w:rsidP="001A5D4A">
            <w:pPr>
              <w:pStyle w:val="NotesTable-CellPlain"/>
            </w:pPr>
            <w:r>
              <w:t>–</w:t>
            </w:r>
          </w:p>
        </w:tc>
        <w:tc>
          <w:tcPr>
            <w:tcW w:w="334" w:type="pct"/>
            <w:shd w:val="clear" w:color="auto" w:fill="CCCCCC"/>
          </w:tcPr>
          <w:p w14:paraId="7558C35D" w14:textId="77777777" w:rsidR="0092710B" w:rsidDel="0099740A" w:rsidRDefault="0092710B" w:rsidP="001A5D4A">
            <w:pPr>
              <w:pStyle w:val="NotesTable-CellPlain"/>
            </w:pPr>
            <w:r>
              <w:t>–</w:t>
            </w:r>
          </w:p>
        </w:tc>
        <w:tc>
          <w:tcPr>
            <w:tcW w:w="372" w:type="pct"/>
            <w:shd w:val="clear" w:color="auto" w:fill="CCCCCC"/>
          </w:tcPr>
          <w:p w14:paraId="694BB2FB" w14:textId="77777777" w:rsidR="0092710B" w:rsidDel="0099740A" w:rsidRDefault="0092710B" w:rsidP="001A5D4A">
            <w:pPr>
              <w:pStyle w:val="NotesTable-CellPlain"/>
            </w:pPr>
            <w:r>
              <w:t>–</w:t>
            </w:r>
          </w:p>
        </w:tc>
        <w:tc>
          <w:tcPr>
            <w:tcW w:w="334" w:type="pct"/>
            <w:shd w:val="clear" w:color="auto" w:fill="CCCCCC"/>
          </w:tcPr>
          <w:p w14:paraId="181E2C1D" w14:textId="77777777" w:rsidR="0092710B" w:rsidDel="0099740A" w:rsidRDefault="0092710B" w:rsidP="001A5D4A">
            <w:pPr>
              <w:pStyle w:val="NotesTable-CellPlain"/>
            </w:pPr>
            <w:r>
              <w:t>–</w:t>
            </w:r>
          </w:p>
        </w:tc>
        <w:tc>
          <w:tcPr>
            <w:tcW w:w="372" w:type="pct"/>
            <w:shd w:val="clear" w:color="auto" w:fill="CCCCCC"/>
          </w:tcPr>
          <w:p w14:paraId="588F21B6" w14:textId="77777777" w:rsidR="0092710B" w:rsidDel="0099740A" w:rsidRDefault="0092710B" w:rsidP="001A5D4A">
            <w:pPr>
              <w:pStyle w:val="NotesTable-CellPlain"/>
            </w:pPr>
            <w:r>
              <w:t>–</w:t>
            </w:r>
          </w:p>
        </w:tc>
        <w:tc>
          <w:tcPr>
            <w:tcW w:w="372" w:type="pct"/>
            <w:shd w:val="clear" w:color="auto" w:fill="CCCCCC"/>
          </w:tcPr>
          <w:p w14:paraId="060D2068" w14:textId="77777777" w:rsidR="0092710B" w:rsidDel="0099740A" w:rsidRDefault="0092710B" w:rsidP="001A5D4A">
            <w:pPr>
              <w:pStyle w:val="NotesTable-CellPlain"/>
            </w:pPr>
            <w:r>
              <w:t>–</w:t>
            </w:r>
          </w:p>
        </w:tc>
        <w:tc>
          <w:tcPr>
            <w:tcW w:w="334" w:type="pct"/>
            <w:shd w:val="clear" w:color="auto" w:fill="CCCCCC"/>
          </w:tcPr>
          <w:p w14:paraId="40A0EEBA" w14:textId="77777777" w:rsidR="0092710B" w:rsidDel="0099740A" w:rsidRDefault="0092710B" w:rsidP="001A5D4A">
            <w:pPr>
              <w:pStyle w:val="NotesTable-CellPlain"/>
            </w:pPr>
            <w:r>
              <w:t>–</w:t>
            </w:r>
          </w:p>
        </w:tc>
        <w:tc>
          <w:tcPr>
            <w:tcW w:w="334" w:type="pct"/>
            <w:shd w:val="clear" w:color="auto" w:fill="CCCCCC"/>
          </w:tcPr>
          <w:p w14:paraId="78F33134" w14:textId="77777777" w:rsidR="0092710B" w:rsidDel="0099740A" w:rsidRDefault="0092710B" w:rsidP="001A5D4A">
            <w:pPr>
              <w:pStyle w:val="NotesTable-CellPlain"/>
            </w:pPr>
            <w:r>
              <w:t>–</w:t>
            </w:r>
          </w:p>
        </w:tc>
        <w:tc>
          <w:tcPr>
            <w:tcW w:w="337" w:type="pct"/>
            <w:shd w:val="clear" w:color="auto" w:fill="CCCCCC"/>
          </w:tcPr>
          <w:p w14:paraId="24B39DB7" w14:textId="77777777" w:rsidR="0092710B" w:rsidDel="0099740A" w:rsidRDefault="0092710B" w:rsidP="001A5D4A">
            <w:pPr>
              <w:pStyle w:val="NotesTable-CellPlain"/>
            </w:pPr>
            <w:r>
              <w:t>–</w:t>
            </w:r>
          </w:p>
        </w:tc>
      </w:tr>
      <w:tr w:rsidR="0092710B" w:rsidDel="0099740A" w14:paraId="7E9906B2" w14:textId="77777777" w:rsidTr="002E740E">
        <w:trPr>
          <w:cantSplit/>
          <w:trHeight w:val="218"/>
        </w:trPr>
        <w:tc>
          <w:tcPr>
            <w:tcW w:w="502" w:type="pct"/>
          </w:tcPr>
          <w:p w14:paraId="7EA9B584" w14:textId="77777777" w:rsidR="0092710B" w:rsidRDefault="0092710B" w:rsidP="001A5D4A">
            <w:pPr>
              <w:pStyle w:val="Note-Refs"/>
            </w:pPr>
            <w:r>
              <w:t>AASB116.73e(vi)</w:t>
            </w:r>
          </w:p>
        </w:tc>
        <w:tc>
          <w:tcPr>
            <w:tcW w:w="1003" w:type="pct"/>
            <w:shd w:val="clear" w:color="auto" w:fill="CCCCCC"/>
            <w:vAlign w:val="bottom"/>
          </w:tcPr>
          <w:p w14:paraId="4FA57347" w14:textId="77777777" w:rsidR="0092710B" w:rsidRDefault="0092710B" w:rsidP="001A5D4A">
            <w:pPr>
              <w:pStyle w:val="NotesTable-ItemPlain"/>
            </w:pPr>
            <w:r>
              <w:t>Impairment loss reversals</w:t>
            </w:r>
          </w:p>
        </w:tc>
        <w:tc>
          <w:tcPr>
            <w:tcW w:w="372" w:type="pct"/>
            <w:shd w:val="clear" w:color="auto" w:fill="CCCCCC"/>
          </w:tcPr>
          <w:p w14:paraId="19443B0B" w14:textId="77777777" w:rsidR="0092710B" w:rsidDel="0099740A" w:rsidRDefault="0092710B" w:rsidP="001A5D4A">
            <w:pPr>
              <w:pStyle w:val="NotesTable-CellPlain"/>
            </w:pPr>
            <w:r>
              <w:t>–</w:t>
            </w:r>
          </w:p>
        </w:tc>
        <w:tc>
          <w:tcPr>
            <w:tcW w:w="334" w:type="pct"/>
            <w:shd w:val="clear" w:color="auto" w:fill="CCCCCC"/>
          </w:tcPr>
          <w:p w14:paraId="6999DD13" w14:textId="77777777" w:rsidR="0092710B" w:rsidDel="0099740A" w:rsidRDefault="0092710B" w:rsidP="001A5D4A">
            <w:pPr>
              <w:pStyle w:val="NotesTable-CellPlain"/>
            </w:pPr>
            <w:r>
              <w:t>–</w:t>
            </w:r>
          </w:p>
        </w:tc>
        <w:tc>
          <w:tcPr>
            <w:tcW w:w="334" w:type="pct"/>
            <w:shd w:val="clear" w:color="auto" w:fill="CCCCCC"/>
          </w:tcPr>
          <w:p w14:paraId="4EC31810" w14:textId="77777777" w:rsidR="0092710B" w:rsidDel="0099740A" w:rsidRDefault="0092710B" w:rsidP="001A5D4A">
            <w:pPr>
              <w:pStyle w:val="NotesTable-CellPlain"/>
            </w:pPr>
            <w:r>
              <w:t>–</w:t>
            </w:r>
          </w:p>
        </w:tc>
        <w:tc>
          <w:tcPr>
            <w:tcW w:w="372" w:type="pct"/>
            <w:shd w:val="clear" w:color="auto" w:fill="CCCCCC"/>
          </w:tcPr>
          <w:p w14:paraId="2D7F08D0" w14:textId="77777777" w:rsidR="0092710B" w:rsidDel="0099740A" w:rsidRDefault="0092710B" w:rsidP="001A5D4A">
            <w:pPr>
              <w:pStyle w:val="NotesTable-CellPlain"/>
            </w:pPr>
            <w:r>
              <w:t>–</w:t>
            </w:r>
          </w:p>
        </w:tc>
        <w:tc>
          <w:tcPr>
            <w:tcW w:w="334" w:type="pct"/>
            <w:shd w:val="clear" w:color="auto" w:fill="CCCCCC"/>
          </w:tcPr>
          <w:p w14:paraId="7D81D5B9" w14:textId="77777777" w:rsidR="0092710B" w:rsidDel="0099740A" w:rsidRDefault="0092710B" w:rsidP="001A5D4A">
            <w:pPr>
              <w:pStyle w:val="NotesTable-CellPlain"/>
            </w:pPr>
            <w:r>
              <w:t>–</w:t>
            </w:r>
          </w:p>
        </w:tc>
        <w:tc>
          <w:tcPr>
            <w:tcW w:w="372" w:type="pct"/>
            <w:shd w:val="clear" w:color="auto" w:fill="CCCCCC"/>
          </w:tcPr>
          <w:p w14:paraId="78F102F4" w14:textId="77777777" w:rsidR="0092710B" w:rsidDel="0099740A" w:rsidRDefault="0092710B" w:rsidP="001A5D4A">
            <w:pPr>
              <w:pStyle w:val="NotesTable-CellPlain"/>
            </w:pPr>
            <w:r>
              <w:t>–</w:t>
            </w:r>
          </w:p>
        </w:tc>
        <w:tc>
          <w:tcPr>
            <w:tcW w:w="372" w:type="pct"/>
            <w:shd w:val="clear" w:color="auto" w:fill="CCCCCC"/>
          </w:tcPr>
          <w:p w14:paraId="510B484B" w14:textId="77777777" w:rsidR="0092710B" w:rsidDel="0099740A" w:rsidRDefault="0092710B" w:rsidP="001A5D4A">
            <w:pPr>
              <w:pStyle w:val="NotesTable-CellPlain"/>
            </w:pPr>
            <w:r>
              <w:t>–</w:t>
            </w:r>
          </w:p>
        </w:tc>
        <w:tc>
          <w:tcPr>
            <w:tcW w:w="334" w:type="pct"/>
            <w:shd w:val="clear" w:color="auto" w:fill="CCCCCC"/>
          </w:tcPr>
          <w:p w14:paraId="38E1569D" w14:textId="77777777" w:rsidR="0092710B" w:rsidDel="0099740A" w:rsidRDefault="0092710B" w:rsidP="001A5D4A">
            <w:pPr>
              <w:pStyle w:val="NotesTable-CellPlain"/>
            </w:pPr>
            <w:r>
              <w:t>–</w:t>
            </w:r>
          </w:p>
        </w:tc>
        <w:tc>
          <w:tcPr>
            <w:tcW w:w="334" w:type="pct"/>
            <w:shd w:val="clear" w:color="auto" w:fill="CCCCCC"/>
          </w:tcPr>
          <w:p w14:paraId="37C4980E" w14:textId="77777777" w:rsidR="0092710B" w:rsidDel="0099740A" w:rsidRDefault="0092710B" w:rsidP="001A5D4A">
            <w:pPr>
              <w:pStyle w:val="NotesTable-CellPlain"/>
            </w:pPr>
            <w:r>
              <w:t>–</w:t>
            </w:r>
          </w:p>
        </w:tc>
        <w:tc>
          <w:tcPr>
            <w:tcW w:w="337" w:type="pct"/>
            <w:shd w:val="clear" w:color="auto" w:fill="CCCCCC"/>
          </w:tcPr>
          <w:p w14:paraId="0C0A34D2" w14:textId="77777777" w:rsidR="0092710B" w:rsidDel="0099740A" w:rsidRDefault="0092710B" w:rsidP="001A5D4A">
            <w:pPr>
              <w:pStyle w:val="NotesTable-CellPlain"/>
            </w:pPr>
            <w:r>
              <w:t>–</w:t>
            </w:r>
          </w:p>
        </w:tc>
      </w:tr>
      <w:tr w:rsidR="0092710B" w14:paraId="3182F610" w14:textId="77777777" w:rsidTr="002E740E">
        <w:trPr>
          <w:cantSplit/>
          <w:trHeight w:val="203"/>
        </w:trPr>
        <w:tc>
          <w:tcPr>
            <w:tcW w:w="502" w:type="pct"/>
          </w:tcPr>
          <w:p w14:paraId="4FA2D386" w14:textId="77777777" w:rsidR="0092710B" w:rsidRDefault="0092710B" w:rsidP="001A5D4A">
            <w:pPr>
              <w:pStyle w:val="Note-Refs"/>
              <w:rPr>
                <w:b/>
              </w:rPr>
            </w:pPr>
            <w:r>
              <w:t>AASB116.73e(vii)</w:t>
            </w:r>
          </w:p>
        </w:tc>
        <w:tc>
          <w:tcPr>
            <w:tcW w:w="1003" w:type="pct"/>
            <w:shd w:val="clear" w:color="auto" w:fill="CCCCCC"/>
            <w:vAlign w:val="bottom"/>
          </w:tcPr>
          <w:p w14:paraId="34999512" w14:textId="77777777" w:rsidR="0092710B" w:rsidRDefault="0092710B" w:rsidP="001A5D4A">
            <w:pPr>
              <w:pStyle w:val="NotesTable-ItemPlain"/>
              <w:rPr>
                <w:b/>
              </w:rPr>
            </w:pPr>
            <w:r>
              <w:t xml:space="preserve">Depreciation charge </w:t>
            </w:r>
          </w:p>
        </w:tc>
        <w:tc>
          <w:tcPr>
            <w:tcW w:w="372" w:type="pct"/>
            <w:shd w:val="clear" w:color="auto" w:fill="CCCCCC"/>
          </w:tcPr>
          <w:p w14:paraId="02F8A1C5" w14:textId="77777777" w:rsidR="0092710B" w:rsidRDefault="0092710B" w:rsidP="001A5D4A">
            <w:pPr>
              <w:pStyle w:val="NotesTable-CellPlain"/>
            </w:pPr>
            <w:r>
              <w:t>–</w:t>
            </w:r>
          </w:p>
        </w:tc>
        <w:tc>
          <w:tcPr>
            <w:tcW w:w="334" w:type="pct"/>
            <w:shd w:val="clear" w:color="auto" w:fill="CCCCCC"/>
          </w:tcPr>
          <w:p w14:paraId="1762A7F5" w14:textId="77777777" w:rsidR="0092710B" w:rsidRDefault="0092710B" w:rsidP="001A5D4A">
            <w:pPr>
              <w:pStyle w:val="NotesTable-CellPlain"/>
            </w:pPr>
            <w:r>
              <w:t>–</w:t>
            </w:r>
          </w:p>
        </w:tc>
        <w:tc>
          <w:tcPr>
            <w:tcW w:w="334" w:type="pct"/>
            <w:shd w:val="clear" w:color="auto" w:fill="CCCCCC"/>
          </w:tcPr>
          <w:p w14:paraId="3ED22DFC" w14:textId="77777777" w:rsidR="0092710B" w:rsidRDefault="0092710B" w:rsidP="001A5D4A">
            <w:pPr>
              <w:pStyle w:val="NotesTable-CellPlain"/>
            </w:pPr>
            <w:r>
              <w:t>–</w:t>
            </w:r>
          </w:p>
        </w:tc>
        <w:tc>
          <w:tcPr>
            <w:tcW w:w="372" w:type="pct"/>
            <w:shd w:val="clear" w:color="auto" w:fill="CCCCCC"/>
          </w:tcPr>
          <w:p w14:paraId="203AEE12" w14:textId="77777777" w:rsidR="0092710B" w:rsidRDefault="0092710B" w:rsidP="001A5D4A">
            <w:pPr>
              <w:pStyle w:val="NotesTable-CellPlain"/>
            </w:pPr>
            <w:r>
              <w:t>–</w:t>
            </w:r>
          </w:p>
        </w:tc>
        <w:tc>
          <w:tcPr>
            <w:tcW w:w="334" w:type="pct"/>
            <w:shd w:val="clear" w:color="auto" w:fill="CCCCCC"/>
          </w:tcPr>
          <w:p w14:paraId="0FCBF3FF" w14:textId="77777777" w:rsidR="0092710B" w:rsidRDefault="0092710B" w:rsidP="001A5D4A">
            <w:pPr>
              <w:pStyle w:val="NotesTable-CellPlain"/>
            </w:pPr>
            <w:r>
              <w:t>–</w:t>
            </w:r>
          </w:p>
        </w:tc>
        <w:tc>
          <w:tcPr>
            <w:tcW w:w="372" w:type="pct"/>
            <w:shd w:val="clear" w:color="auto" w:fill="CCCCCC"/>
          </w:tcPr>
          <w:p w14:paraId="1E5C2DBE" w14:textId="77777777" w:rsidR="0092710B" w:rsidRDefault="0092710B" w:rsidP="001A5D4A">
            <w:pPr>
              <w:pStyle w:val="NotesTable-CellPlain"/>
            </w:pPr>
            <w:r>
              <w:t>–</w:t>
            </w:r>
          </w:p>
        </w:tc>
        <w:tc>
          <w:tcPr>
            <w:tcW w:w="372" w:type="pct"/>
            <w:shd w:val="clear" w:color="auto" w:fill="CCCCCC"/>
          </w:tcPr>
          <w:p w14:paraId="51539D07" w14:textId="77777777" w:rsidR="0092710B" w:rsidRDefault="0092710B" w:rsidP="001A5D4A">
            <w:pPr>
              <w:pStyle w:val="NotesTable-CellPlain"/>
            </w:pPr>
            <w:r>
              <w:t>–</w:t>
            </w:r>
          </w:p>
        </w:tc>
        <w:tc>
          <w:tcPr>
            <w:tcW w:w="334" w:type="pct"/>
            <w:shd w:val="clear" w:color="auto" w:fill="CCCCCC"/>
          </w:tcPr>
          <w:p w14:paraId="0FBBE891" w14:textId="77777777" w:rsidR="0092710B" w:rsidRDefault="0092710B" w:rsidP="001A5D4A">
            <w:pPr>
              <w:pStyle w:val="NotesTable-CellPlain"/>
            </w:pPr>
            <w:r>
              <w:t>–</w:t>
            </w:r>
          </w:p>
        </w:tc>
        <w:tc>
          <w:tcPr>
            <w:tcW w:w="334" w:type="pct"/>
            <w:shd w:val="clear" w:color="auto" w:fill="CCCCCC"/>
          </w:tcPr>
          <w:p w14:paraId="36D5C00B" w14:textId="77777777" w:rsidR="0092710B" w:rsidRDefault="0092710B" w:rsidP="001A5D4A">
            <w:pPr>
              <w:pStyle w:val="NotesTable-CellPlain"/>
            </w:pPr>
            <w:r>
              <w:t>–</w:t>
            </w:r>
          </w:p>
        </w:tc>
        <w:tc>
          <w:tcPr>
            <w:tcW w:w="337" w:type="pct"/>
            <w:shd w:val="clear" w:color="auto" w:fill="CCCCCC"/>
          </w:tcPr>
          <w:p w14:paraId="413536C5" w14:textId="77777777" w:rsidR="0092710B" w:rsidRDefault="0092710B" w:rsidP="001A5D4A">
            <w:pPr>
              <w:pStyle w:val="NotesTable-CellPlain"/>
              <w:rPr>
                <w:lang w:val="en-GB"/>
              </w:rPr>
            </w:pPr>
            <w:r>
              <w:t>–</w:t>
            </w:r>
          </w:p>
        </w:tc>
      </w:tr>
      <w:tr w:rsidR="0092710B" w14:paraId="473E3F18" w14:textId="77777777" w:rsidTr="002E740E">
        <w:trPr>
          <w:cantSplit/>
          <w:trHeight w:val="218"/>
        </w:trPr>
        <w:tc>
          <w:tcPr>
            <w:tcW w:w="502" w:type="pct"/>
          </w:tcPr>
          <w:p w14:paraId="08269D21" w14:textId="77777777" w:rsidR="0092710B" w:rsidRDefault="0092710B" w:rsidP="001A5D4A">
            <w:pPr>
              <w:pStyle w:val="Note-Refs"/>
              <w:rPr>
                <w:b/>
              </w:rPr>
            </w:pPr>
            <w:r>
              <w:t>AASB116.73e(viii)</w:t>
            </w:r>
          </w:p>
        </w:tc>
        <w:tc>
          <w:tcPr>
            <w:tcW w:w="1003" w:type="pct"/>
            <w:shd w:val="clear" w:color="auto" w:fill="CCCCCC"/>
            <w:vAlign w:val="bottom"/>
          </w:tcPr>
          <w:p w14:paraId="4C66C23F" w14:textId="77777777" w:rsidR="0092710B" w:rsidRDefault="0092710B" w:rsidP="001A5D4A">
            <w:pPr>
              <w:pStyle w:val="NotesTable-ItemPlain"/>
              <w:rPr>
                <w:b/>
              </w:rPr>
            </w:pPr>
            <w:r>
              <w:t>Exchange differences</w:t>
            </w:r>
          </w:p>
        </w:tc>
        <w:tc>
          <w:tcPr>
            <w:tcW w:w="372" w:type="pct"/>
            <w:shd w:val="clear" w:color="auto" w:fill="CCCCCC"/>
          </w:tcPr>
          <w:p w14:paraId="1D36BAC3" w14:textId="77777777" w:rsidR="0092710B" w:rsidRDefault="0092710B" w:rsidP="001A5D4A">
            <w:pPr>
              <w:pStyle w:val="NotesTable-CellPlain"/>
            </w:pPr>
            <w:r>
              <w:t>–</w:t>
            </w:r>
          </w:p>
        </w:tc>
        <w:tc>
          <w:tcPr>
            <w:tcW w:w="334" w:type="pct"/>
            <w:shd w:val="clear" w:color="auto" w:fill="CCCCCC"/>
          </w:tcPr>
          <w:p w14:paraId="57A79671" w14:textId="77777777" w:rsidR="0092710B" w:rsidRDefault="0092710B" w:rsidP="001A5D4A">
            <w:pPr>
              <w:pStyle w:val="NotesTable-CellPlain"/>
            </w:pPr>
            <w:r>
              <w:t>–</w:t>
            </w:r>
          </w:p>
        </w:tc>
        <w:tc>
          <w:tcPr>
            <w:tcW w:w="334" w:type="pct"/>
            <w:shd w:val="clear" w:color="auto" w:fill="CCCCCC"/>
          </w:tcPr>
          <w:p w14:paraId="53435174" w14:textId="77777777" w:rsidR="0092710B" w:rsidRDefault="0092710B" w:rsidP="001A5D4A">
            <w:pPr>
              <w:pStyle w:val="NotesTable-CellPlain"/>
            </w:pPr>
            <w:r>
              <w:t>–</w:t>
            </w:r>
          </w:p>
        </w:tc>
        <w:tc>
          <w:tcPr>
            <w:tcW w:w="372" w:type="pct"/>
            <w:shd w:val="clear" w:color="auto" w:fill="CCCCCC"/>
          </w:tcPr>
          <w:p w14:paraId="5898B844" w14:textId="77777777" w:rsidR="0092710B" w:rsidRDefault="0092710B" w:rsidP="001A5D4A">
            <w:pPr>
              <w:pStyle w:val="NotesTable-CellPlain"/>
            </w:pPr>
            <w:r>
              <w:t>–</w:t>
            </w:r>
          </w:p>
        </w:tc>
        <w:tc>
          <w:tcPr>
            <w:tcW w:w="334" w:type="pct"/>
            <w:shd w:val="clear" w:color="auto" w:fill="CCCCCC"/>
          </w:tcPr>
          <w:p w14:paraId="75E1DC78" w14:textId="77777777" w:rsidR="0092710B" w:rsidRDefault="0092710B" w:rsidP="001A5D4A">
            <w:pPr>
              <w:pStyle w:val="NotesTable-CellPlain"/>
            </w:pPr>
            <w:r>
              <w:t>–</w:t>
            </w:r>
          </w:p>
        </w:tc>
        <w:tc>
          <w:tcPr>
            <w:tcW w:w="372" w:type="pct"/>
            <w:shd w:val="clear" w:color="auto" w:fill="CCCCCC"/>
          </w:tcPr>
          <w:p w14:paraId="74D3EAA4" w14:textId="77777777" w:rsidR="0092710B" w:rsidRDefault="0092710B" w:rsidP="001A5D4A">
            <w:pPr>
              <w:pStyle w:val="NotesTable-CellPlain"/>
            </w:pPr>
            <w:r>
              <w:t>–</w:t>
            </w:r>
          </w:p>
        </w:tc>
        <w:tc>
          <w:tcPr>
            <w:tcW w:w="372" w:type="pct"/>
            <w:shd w:val="clear" w:color="auto" w:fill="CCCCCC"/>
          </w:tcPr>
          <w:p w14:paraId="00DD89F2" w14:textId="77777777" w:rsidR="0092710B" w:rsidRDefault="0092710B" w:rsidP="001A5D4A">
            <w:pPr>
              <w:pStyle w:val="NotesTable-CellPlain"/>
            </w:pPr>
            <w:r>
              <w:t>–</w:t>
            </w:r>
          </w:p>
        </w:tc>
        <w:tc>
          <w:tcPr>
            <w:tcW w:w="334" w:type="pct"/>
            <w:shd w:val="clear" w:color="auto" w:fill="CCCCCC"/>
          </w:tcPr>
          <w:p w14:paraId="4E01BFD6" w14:textId="77777777" w:rsidR="0092710B" w:rsidRDefault="0092710B" w:rsidP="001A5D4A">
            <w:pPr>
              <w:pStyle w:val="NotesTable-CellPlain"/>
            </w:pPr>
            <w:r>
              <w:t>–</w:t>
            </w:r>
          </w:p>
        </w:tc>
        <w:tc>
          <w:tcPr>
            <w:tcW w:w="334" w:type="pct"/>
            <w:shd w:val="clear" w:color="auto" w:fill="CCCCCC"/>
          </w:tcPr>
          <w:p w14:paraId="3429540E" w14:textId="77777777" w:rsidR="0092710B" w:rsidRDefault="0092710B" w:rsidP="001A5D4A">
            <w:pPr>
              <w:pStyle w:val="NotesTable-CellPlain"/>
            </w:pPr>
            <w:r>
              <w:t>–</w:t>
            </w:r>
          </w:p>
        </w:tc>
        <w:tc>
          <w:tcPr>
            <w:tcW w:w="337" w:type="pct"/>
            <w:shd w:val="clear" w:color="auto" w:fill="CCCCCC"/>
          </w:tcPr>
          <w:p w14:paraId="308A5DD3" w14:textId="77777777" w:rsidR="0092710B" w:rsidRDefault="0092710B" w:rsidP="001A5D4A">
            <w:pPr>
              <w:pStyle w:val="NotesTable-CellPlain"/>
              <w:rPr>
                <w:lang w:val="en-GB"/>
              </w:rPr>
            </w:pPr>
            <w:r>
              <w:t>–</w:t>
            </w:r>
          </w:p>
        </w:tc>
      </w:tr>
      <w:tr w:rsidR="0092710B" w14:paraId="13B0F384" w14:textId="77777777" w:rsidTr="002E740E">
        <w:trPr>
          <w:cantSplit/>
          <w:trHeight w:val="203"/>
        </w:trPr>
        <w:tc>
          <w:tcPr>
            <w:tcW w:w="502" w:type="pct"/>
          </w:tcPr>
          <w:p w14:paraId="3A075496" w14:textId="77777777" w:rsidR="0092710B" w:rsidRDefault="0092710B" w:rsidP="001A5D4A">
            <w:pPr>
              <w:pStyle w:val="Note-Refs"/>
            </w:pPr>
            <w:r>
              <w:t>AASB116.73e(ix)</w:t>
            </w:r>
          </w:p>
        </w:tc>
        <w:tc>
          <w:tcPr>
            <w:tcW w:w="1003" w:type="pct"/>
            <w:shd w:val="clear" w:color="auto" w:fill="CCCCCC"/>
            <w:vAlign w:val="bottom"/>
          </w:tcPr>
          <w:p w14:paraId="4644C24D" w14:textId="77777777" w:rsidR="0092710B" w:rsidRDefault="0092710B" w:rsidP="001A5D4A">
            <w:pPr>
              <w:pStyle w:val="NotesTable-ItemPlain"/>
              <w:rPr>
                <w:b/>
              </w:rPr>
            </w:pPr>
            <w:r>
              <w:t>Other changes [Specify]</w:t>
            </w:r>
          </w:p>
        </w:tc>
        <w:tc>
          <w:tcPr>
            <w:tcW w:w="372" w:type="pct"/>
            <w:tcBorders>
              <w:bottom w:val="single" w:sz="4" w:space="0" w:color="000000"/>
            </w:tcBorders>
            <w:shd w:val="clear" w:color="auto" w:fill="CCCCCC"/>
          </w:tcPr>
          <w:p w14:paraId="56DEEC92"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41268CC2"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7EF2C1A5"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41FBC89C"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734BD146"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3EA86B02"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5E1DF9E0"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3F07F186"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2EC971C8" w14:textId="77777777" w:rsidR="0092710B" w:rsidRDefault="0092710B" w:rsidP="001A5D4A">
            <w:pPr>
              <w:pStyle w:val="NotesTable-CellPlain"/>
            </w:pPr>
            <w:r>
              <w:t>–</w:t>
            </w:r>
          </w:p>
        </w:tc>
        <w:tc>
          <w:tcPr>
            <w:tcW w:w="337" w:type="pct"/>
            <w:tcBorders>
              <w:bottom w:val="single" w:sz="4" w:space="0" w:color="000000"/>
            </w:tcBorders>
            <w:shd w:val="clear" w:color="auto" w:fill="CCCCCC"/>
          </w:tcPr>
          <w:p w14:paraId="011EBFCE" w14:textId="77777777" w:rsidR="0092710B" w:rsidRDefault="0092710B" w:rsidP="001A5D4A">
            <w:pPr>
              <w:pStyle w:val="NotesTable-CellPlain"/>
              <w:rPr>
                <w:lang w:val="en-GB"/>
              </w:rPr>
            </w:pPr>
            <w:r>
              <w:t>–</w:t>
            </w:r>
          </w:p>
        </w:tc>
      </w:tr>
      <w:tr w:rsidR="0092710B" w14:paraId="15F21F04" w14:textId="77777777" w:rsidTr="002E740E">
        <w:trPr>
          <w:cantSplit/>
          <w:trHeight w:val="203"/>
        </w:trPr>
        <w:tc>
          <w:tcPr>
            <w:tcW w:w="502" w:type="pct"/>
          </w:tcPr>
          <w:p w14:paraId="067AD2D8" w14:textId="77777777" w:rsidR="0092710B" w:rsidRDefault="0092710B" w:rsidP="001A5D4A">
            <w:pPr>
              <w:pStyle w:val="Note-Refs"/>
              <w:rPr>
                <w:b/>
              </w:rPr>
            </w:pPr>
            <w:r>
              <w:t>AASB116.73e</w:t>
            </w:r>
          </w:p>
        </w:tc>
        <w:tc>
          <w:tcPr>
            <w:tcW w:w="1003" w:type="pct"/>
            <w:shd w:val="clear" w:color="auto" w:fill="CCCCCC"/>
            <w:vAlign w:val="bottom"/>
          </w:tcPr>
          <w:p w14:paraId="30F756D0" w14:textId="77777777" w:rsidR="0092710B" w:rsidRDefault="0092710B" w:rsidP="001A5D4A">
            <w:pPr>
              <w:pStyle w:val="NotesTable-ItemPlain"/>
              <w:rPr>
                <w:b/>
              </w:rPr>
            </w:pPr>
            <w:r>
              <w:t>Closing net book amount</w:t>
            </w:r>
          </w:p>
        </w:tc>
        <w:tc>
          <w:tcPr>
            <w:tcW w:w="372" w:type="pct"/>
            <w:tcBorders>
              <w:top w:val="single" w:sz="4" w:space="0" w:color="000000"/>
            </w:tcBorders>
            <w:shd w:val="clear" w:color="auto" w:fill="CCCCCC"/>
          </w:tcPr>
          <w:p w14:paraId="1BCA3D72"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38A4125F"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0961A171"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017B1C89"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6B0254E3"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537F6D3E"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5A8ED497"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347E825E"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745C1DFF" w14:textId="77777777" w:rsidR="0092710B" w:rsidRDefault="0092710B" w:rsidP="001A5D4A">
            <w:pPr>
              <w:pStyle w:val="NotesTable-CellPlain"/>
            </w:pPr>
            <w:r>
              <w:t>–</w:t>
            </w:r>
          </w:p>
        </w:tc>
        <w:tc>
          <w:tcPr>
            <w:tcW w:w="337" w:type="pct"/>
            <w:tcBorders>
              <w:top w:val="single" w:sz="4" w:space="0" w:color="000000"/>
            </w:tcBorders>
            <w:shd w:val="clear" w:color="auto" w:fill="CCCCCC"/>
          </w:tcPr>
          <w:p w14:paraId="0CF7B547" w14:textId="77777777" w:rsidR="0092710B" w:rsidRDefault="0092710B" w:rsidP="001A5D4A">
            <w:pPr>
              <w:pStyle w:val="NotesTable-CellPlain"/>
              <w:rPr>
                <w:lang w:val="en-GB"/>
              </w:rPr>
            </w:pPr>
            <w:r>
              <w:t>–</w:t>
            </w:r>
          </w:p>
        </w:tc>
      </w:tr>
      <w:tr w:rsidR="00D24883" w14:paraId="038A24B9" w14:textId="77777777" w:rsidTr="002E740E">
        <w:trPr>
          <w:cantSplit/>
          <w:trHeight w:val="218"/>
        </w:trPr>
        <w:tc>
          <w:tcPr>
            <w:tcW w:w="502" w:type="pct"/>
          </w:tcPr>
          <w:p w14:paraId="038A24AD" w14:textId="77777777" w:rsidR="00D24883" w:rsidRDefault="00D24883" w:rsidP="001A5D4A">
            <w:pPr>
              <w:pStyle w:val="Note-Refs"/>
            </w:pPr>
          </w:p>
        </w:tc>
        <w:tc>
          <w:tcPr>
            <w:tcW w:w="1003" w:type="pct"/>
            <w:shd w:val="clear" w:color="auto" w:fill="CCCCCC"/>
            <w:vAlign w:val="bottom"/>
          </w:tcPr>
          <w:p w14:paraId="038A24AE" w14:textId="77777777" w:rsidR="00D24883" w:rsidRDefault="00D24883" w:rsidP="001A5D4A">
            <w:pPr>
              <w:pStyle w:val="NotesTable-ItemPlain"/>
            </w:pPr>
          </w:p>
        </w:tc>
        <w:tc>
          <w:tcPr>
            <w:tcW w:w="372" w:type="pct"/>
            <w:shd w:val="clear" w:color="auto" w:fill="CCCCCC"/>
          </w:tcPr>
          <w:p w14:paraId="038A24AF" w14:textId="77777777" w:rsidR="00D24883" w:rsidRDefault="00D24883" w:rsidP="001A5D4A">
            <w:pPr>
              <w:pStyle w:val="NotesTable-CellPlain"/>
            </w:pPr>
          </w:p>
        </w:tc>
        <w:tc>
          <w:tcPr>
            <w:tcW w:w="334" w:type="pct"/>
            <w:shd w:val="clear" w:color="auto" w:fill="CCCCCC"/>
          </w:tcPr>
          <w:p w14:paraId="038A24B0" w14:textId="77777777" w:rsidR="00D24883" w:rsidRDefault="00D24883" w:rsidP="001A5D4A">
            <w:pPr>
              <w:pStyle w:val="NotesTable-CellPlain"/>
            </w:pPr>
          </w:p>
        </w:tc>
        <w:tc>
          <w:tcPr>
            <w:tcW w:w="334" w:type="pct"/>
            <w:shd w:val="clear" w:color="auto" w:fill="CCCCCC"/>
          </w:tcPr>
          <w:p w14:paraId="038A24B1" w14:textId="77777777" w:rsidR="00D24883" w:rsidRDefault="00D24883" w:rsidP="001A5D4A">
            <w:pPr>
              <w:pStyle w:val="NotesTable-CellPlain"/>
            </w:pPr>
          </w:p>
        </w:tc>
        <w:tc>
          <w:tcPr>
            <w:tcW w:w="372" w:type="pct"/>
            <w:shd w:val="clear" w:color="auto" w:fill="CCCCCC"/>
          </w:tcPr>
          <w:p w14:paraId="038A24B2" w14:textId="77777777" w:rsidR="00D24883" w:rsidRDefault="00D24883" w:rsidP="001A5D4A">
            <w:pPr>
              <w:pStyle w:val="NotesTable-CellPlain"/>
            </w:pPr>
          </w:p>
        </w:tc>
        <w:tc>
          <w:tcPr>
            <w:tcW w:w="334" w:type="pct"/>
            <w:shd w:val="clear" w:color="auto" w:fill="CCCCCC"/>
          </w:tcPr>
          <w:p w14:paraId="038A24B3" w14:textId="77777777" w:rsidR="00D24883" w:rsidRDefault="00D24883" w:rsidP="001A5D4A">
            <w:pPr>
              <w:pStyle w:val="NotesTable-CellPlain"/>
            </w:pPr>
          </w:p>
        </w:tc>
        <w:tc>
          <w:tcPr>
            <w:tcW w:w="372" w:type="pct"/>
            <w:shd w:val="clear" w:color="auto" w:fill="CCCCCC"/>
          </w:tcPr>
          <w:p w14:paraId="038A24B4" w14:textId="77777777" w:rsidR="00D24883" w:rsidRDefault="00D24883" w:rsidP="001A5D4A">
            <w:pPr>
              <w:pStyle w:val="NotesTable-CellPlain"/>
            </w:pPr>
          </w:p>
        </w:tc>
        <w:tc>
          <w:tcPr>
            <w:tcW w:w="372" w:type="pct"/>
            <w:shd w:val="clear" w:color="auto" w:fill="CCCCCC"/>
          </w:tcPr>
          <w:p w14:paraId="038A24B5" w14:textId="77777777" w:rsidR="00D24883" w:rsidRDefault="00D24883" w:rsidP="001A5D4A">
            <w:pPr>
              <w:pStyle w:val="NotesTable-CellPlain"/>
            </w:pPr>
          </w:p>
        </w:tc>
        <w:tc>
          <w:tcPr>
            <w:tcW w:w="334" w:type="pct"/>
            <w:shd w:val="clear" w:color="auto" w:fill="CCCCCC"/>
          </w:tcPr>
          <w:p w14:paraId="038A24B6" w14:textId="77777777" w:rsidR="00D24883" w:rsidRDefault="00D24883" w:rsidP="001A5D4A">
            <w:pPr>
              <w:pStyle w:val="NotesTable-CellPlain"/>
            </w:pPr>
          </w:p>
        </w:tc>
        <w:tc>
          <w:tcPr>
            <w:tcW w:w="334" w:type="pct"/>
            <w:shd w:val="clear" w:color="auto" w:fill="CCCCCC"/>
          </w:tcPr>
          <w:p w14:paraId="038A24B7" w14:textId="77777777" w:rsidR="00D24883" w:rsidRDefault="00D24883" w:rsidP="001A5D4A">
            <w:pPr>
              <w:pStyle w:val="NotesTable-CellPlain"/>
            </w:pPr>
          </w:p>
        </w:tc>
        <w:tc>
          <w:tcPr>
            <w:tcW w:w="337" w:type="pct"/>
            <w:shd w:val="clear" w:color="auto" w:fill="CCCCCC"/>
          </w:tcPr>
          <w:p w14:paraId="038A24B8" w14:textId="77777777" w:rsidR="00D24883" w:rsidRDefault="00D24883" w:rsidP="001A5D4A">
            <w:pPr>
              <w:pStyle w:val="NotesTable-CellPlain"/>
            </w:pPr>
          </w:p>
        </w:tc>
      </w:tr>
      <w:tr w:rsidR="00742371" w14:paraId="038A24BC" w14:textId="77777777" w:rsidTr="00E21378">
        <w:trPr>
          <w:cantSplit/>
          <w:trHeight w:val="218"/>
        </w:trPr>
        <w:tc>
          <w:tcPr>
            <w:tcW w:w="502" w:type="pct"/>
          </w:tcPr>
          <w:p w14:paraId="038A24BA" w14:textId="77777777" w:rsidR="00742371" w:rsidRDefault="00742371" w:rsidP="001A5D4A">
            <w:pPr>
              <w:pStyle w:val="Note-Refs"/>
            </w:pPr>
          </w:p>
        </w:tc>
        <w:tc>
          <w:tcPr>
            <w:tcW w:w="4498" w:type="pct"/>
            <w:gridSpan w:val="11"/>
            <w:shd w:val="clear" w:color="auto" w:fill="CCCCCC"/>
            <w:vAlign w:val="bottom"/>
          </w:tcPr>
          <w:p w14:paraId="038A24BB" w14:textId="527E4052" w:rsidR="00742371" w:rsidRDefault="00742371" w:rsidP="001A5D4A">
            <w:pPr>
              <w:pStyle w:val="Note-TextHeader"/>
              <w:rPr>
                <w:lang w:val="en-GB"/>
              </w:rPr>
            </w:pPr>
            <w:r>
              <w:t xml:space="preserve">At 31 December </w:t>
            </w:r>
            <w:r w:rsidR="006864EC">
              <w:t>2014</w:t>
            </w:r>
          </w:p>
        </w:tc>
      </w:tr>
      <w:tr w:rsidR="00CE0216" w14:paraId="038A24C9" w14:textId="77777777" w:rsidTr="002E740E">
        <w:trPr>
          <w:cantSplit/>
          <w:trHeight w:val="218"/>
        </w:trPr>
        <w:tc>
          <w:tcPr>
            <w:tcW w:w="502" w:type="pct"/>
          </w:tcPr>
          <w:p w14:paraId="038A24BD" w14:textId="77777777" w:rsidR="00CE0216" w:rsidRDefault="00CE0216" w:rsidP="001A5D4A">
            <w:pPr>
              <w:pStyle w:val="Note-Refs"/>
              <w:rPr>
                <w:b/>
              </w:rPr>
            </w:pPr>
            <w:r>
              <w:t>AASB116.73d</w:t>
            </w:r>
          </w:p>
        </w:tc>
        <w:tc>
          <w:tcPr>
            <w:tcW w:w="1003" w:type="pct"/>
            <w:shd w:val="clear" w:color="auto" w:fill="CCCCCC"/>
            <w:vAlign w:val="bottom"/>
          </w:tcPr>
          <w:p w14:paraId="038A24BE" w14:textId="77777777" w:rsidR="00CE0216" w:rsidRDefault="00CE0216" w:rsidP="001A5D4A">
            <w:pPr>
              <w:pStyle w:val="NotesTable-ItemPlain"/>
              <w:rPr>
                <w:b/>
              </w:rPr>
            </w:pPr>
            <w:r>
              <w:t>- Cost</w:t>
            </w:r>
          </w:p>
        </w:tc>
        <w:tc>
          <w:tcPr>
            <w:tcW w:w="372" w:type="pct"/>
            <w:shd w:val="clear" w:color="auto" w:fill="CCCCCC"/>
          </w:tcPr>
          <w:p w14:paraId="038A24BF" w14:textId="77777777" w:rsidR="00CE0216" w:rsidRDefault="00CE0216" w:rsidP="001A5D4A">
            <w:pPr>
              <w:pStyle w:val="NotesTable-CellPlain"/>
            </w:pPr>
            <w:r>
              <w:t>–</w:t>
            </w:r>
          </w:p>
        </w:tc>
        <w:tc>
          <w:tcPr>
            <w:tcW w:w="334" w:type="pct"/>
            <w:shd w:val="clear" w:color="auto" w:fill="CCCCCC"/>
          </w:tcPr>
          <w:p w14:paraId="038A24C0" w14:textId="77777777" w:rsidR="00CE0216" w:rsidRDefault="00CE0216" w:rsidP="001A5D4A">
            <w:pPr>
              <w:pStyle w:val="NotesTable-CellPlain"/>
            </w:pPr>
            <w:r>
              <w:t>–</w:t>
            </w:r>
          </w:p>
        </w:tc>
        <w:tc>
          <w:tcPr>
            <w:tcW w:w="334" w:type="pct"/>
            <w:shd w:val="clear" w:color="auto" w:fill="CCCCCC"/>
          </w:tcPr>
          <w:p w14:paraId="038A24C1" w14:textId="77777777" w:rsidR="00CE0216" w:rsidRDefault="00CE0216" w:rsidP="001A5D4A">
            <w:pPr>
              <w:pStyle w:val="NotesTable-CellPlain"/>
            </w:pPr>
            <w:r>
              <w:t>–</w:t>
            </w:r>
          </w:p>
        </w:tc>
        <w:tc>
          <w:tcPr>
            <w:tcW w:w="372" w:type="pct"/>
            <w:shd w:val="clear" w:color="auto" w:fill="CCCCCC"/>
          </w:tcPr>
          <w:p w14:paraId="038A24C2" w14:textId="77777777" w:rsidR="00CE0216" w:rsidRDefault="00CE0216" w:rsidP="001A5D4A">
            <w:pPr>
              <w:pStyle w:val="NotesTable-CellPlain"/>
            </w:pPr>
            <w:r>
              <w:t>–</w:t>
            </w:r>
          </w:p>
        </w:tc>
        <w:tc>
          <w:tcPr>
            <w:tcW w:w="334" w:type="pct"/>
            <w:shd w:val="clear" w:color="auto" w:fill="CCCCCC"/>
          </w:tcPr>
          <w:p w14:paraId="038A24C3" w14:textId="77777777" w:rsidR="00CE0216" w:rsidRDefault="00CE0216" w:rsidP="001A5D4A">
            <w:pPr>
              <w:pStyle w:val="NotesTable-CellPlain"/>
            </w:pPr>
            <w:r>
              <w:t>–</w:t>
            </w:r>
          </w:p>
        </w:tc>
        <w:tc>
          <w:tcPr>
            <w:tcW w:w="372" w:type="pct"/>
            <w:shd w:val="clear" w:color="auto" w:fill="CCCCCC"/>
          </w:tcPr>
          <w:p w14:paraId="038A24C4" w14:textId="77777777" w:rsidR="00CE0216" w:rsidRDefault="00CE0216" w:rsidP="001A5D4A">
            <w:pPr>
              <w:pStyle w:val="NotesTable-CellPlain"/>
            </w:pPr>
            <w:r>
              <w:t>–</w:t>
            </w:r>
          </w:p>
        </w:tc>
        <w:tc>
          <w:tcPr>
            <w:tcW w:w="372" w:type="pct"/>
            <w:shd w:val="clear" w:color="auto" w:fill="CCCCCC"/>
          </w:tcPr>
          <w:p w14:paraId="038A24C5" w14:textId="77777777" w:rsidR="00CE0216" w:rsidRDefault="00CE0216" w:rsidP="001A5D4A">
            <w:pPr>
              <w:pStyle w:val="NotesTable-CellPlain"/>
            </w:pPr>
            <w:r>
              <w:t>–</w:t>
            </w:r>
          </w:p>
        </w:tc>
        <w:tc>
          <w:tcPr>
            <w:tcW w:w="334" w:type="pct"/>
            <w:shd w:val="clear" w:color="auto" w:fill="CCCCCC"/>
          </w:tcPr>
          <w:p w14:paraId="038A24C6" w14:textId="77777777" w:rsidR="00CE0216" w:rsidRDefault="00CE0216" w:rsidP="001A5D4A">
            <w:pPr>
              <w:pStyle w:val="NotesTable-CellPlain"/>
            </w:pPr>
            <w:r>
              <w:t>–</w:t>
            </w:r>
          </w:p>
        </w:tc>
        <w:tc>
          <w:tcPr>
            <w:tcW w:w="334" w:type="pct"/>
            <w:shd w:val="clear" w:color="auto" w:fill="CCCCCC"/>
          </w:tcPr>
          <w:p w14:paraId="038A24C7" w14:textId="77777777" w:rsidR="00CE0216" w:rsidRDefault="00CE0216" w:rsidP="001A5D4A">
            <w:pPr>
              <w:pStyle w:val="NotesTable-CellPlain"/>
            </w:pPr>
            <w:r>
              <w:t>–</w:t>
            </w:r>
          </w:p>
        </w:tc>
        <w:tc>
          <w:tcPr>
            <w:tcW w:w="337" w:type="pct"/>
            <w:shd w:val="clear" w:color="auto" w:fill="CCCCCC"/>
          </w:tcPr>
          <w:p w14:paraId="038A24C8" w14:textId="77777777" w:rsidR="00CE0216" w:rsidRDefault="00CE0216" w:rsidP="001A5D4A">
            <w:pPr>
              <w:pStyle w:val="NotesTable-CellPlain"/>
              <w:rPr>
                <w:lang w:val="en-GB"/>
              </w:rPr>
            </w:pPr>
            <w:r>
              <w:t>–</w:t>
            </w:r>
          </w:p>
        </w:tc>
      </w:tr>
      <w:tr w:rsidR="00CE0216" w14:paraId="038A24D6" w14:textId="77777777" w:rsidTr="002E740E">
        <w:trPr>
          <w:cantSplit/>
          <w:trHeight w:val="203"/>
        </w:trPr>
        <w:tc>
          <w:tcPr>
            <w:tcW w:w="502" w:type="pct"/>
          </w:tcPr>
          <w:p w14:paraId="038A24CA" w14:textId="77777777" w:rsidR="00CE0216" w:rsidRDefault="00CE0216" w:rsidP="001A5D4A">
            <w:pPr>
              <w:pStyle w:val="Note-Refs"/>
              <w:rPr>
                <w:b/>
              </w:rPr>
            </w:pPr>
            <w:r>
              <w:t>AASB116.73d</w:t>
            </w:r>
          </w:p>
        </w:tc>
        <w:tc>
          <w:tcPr>
            <w:tcW w:w="1003" w:type="pct"/>
            <w:shd w:val="clear" w:color="auto" w:fill="CCCCCC"/>
            <w:vAlign w:val="bottom"/>
          </w:tcPr>
          <w:p w14:paraId="038A24CB" w14:textId="77777777" w:rsidR="00CE0216" w:rsidRDefault="00CE0216" w:rsidP="001A5D4A">
            <w:pPr>
              <w:pStyle w:val="NotesTable-ItemPlain"/>
              <w:rPr>
                <w:b/>
              </w:rPr>
            </w:pPr>
            <w:r>
              <w:t>- Valuation</w:t>
            </w:r>
          </w:p>
        </w:tc>
        <w:tc>
          <w:tcPr>
            <w:tcW w:w="372" w:type="pct"/>
            <w:tcBorders>
              <w:bottom w:val="single" w:sz="4" w:space="0" w:color="000000"/>
            </w:tcBorders>
            <w:shd w:val="clear" w:color="auto" w:fill="CCCCCC"/>
          </w:tcPr>
          <w:p w14:paraId="038A24CC"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4CD"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4CE"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4CF"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4D0"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4D1"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4D2"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4D3"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4D4" w14:textId="77777777" w:rsidR="00CE0216" w:rsidRDefault="00CE0216" w:rsidP="001A5D4A">
            <w:pPr>
              <w:pStyle w:val="NotesTable-CellPlain"/>
            </w:pPr>
            <w:r>
              <w:t>–</w:t>
            </w:r>
          </w:p>
        </w:tc>
        <w:tc>
          <w:tcPr>
            <w:tcW w:w="337" w:type="pct"/>
            <w:tcBorders>
              <w:bottom w:val="single" w:sz="4" w:space="0" w:color="000000"/>
            </w:tcBorders>
            <w:shd w:val="clear" w:color="auto" w:fill="CCCCCC"/>
          </w:tcPr>
          <w:p w14:paraId="038A24D5" w14:textId="77777777" w:rsidR="00CE0216" w:rsidRDefault="00CE0216" w:rsidP="001A5D4A">
            <w:pPr>
              <w:pStyle w:val="NotesTable-CellPlain"/>
              <w:rPr>
                <w:lang w:val="en-GB"/>
              </w:rPr>
            </w:pPr>
            <w:r>
              <w:t>–</w:t>
            </w:r>
          </w:p>
        </w:tc>
      </w:tr>
      <w:tr w:rsidR="00CE0216" w14:paraId="038A24E3" w14:textId="77777777" w:rsidTr="002E740E">
        <w:trPr>
          <w:cantSplit/>
          <w:trHeight w:val="218"/>
        </w:trPr>
        <w:tc>
          <w:tcPr>
            <w:tcW w:w="502" w:type="pct"/>
          </w:tcPr>
          <w:p w14:paraId="038A24D7" w14:textId="77777777" w:rsidR="00CE0216" w:rsidRDefault="00CE0216" w:rsidP="001A5D4A">
            <w:pPr>
              <w:pStyle w:val="Note-Refs"/>
              <w:rPr>
                <w:b/>
              </w:rPr>
            </w:pPr>
            <w:r>
              <w:t>AASB116.73d</w:t>
            </w:r>
          </w:p>
        </w:tc>
        <w:tc>
          <w:tcPr>
            <w:tcW w:w="1003" w:type="pct"/>
            <w:shd w:val="clear" w:color="auto" w:fill="CCCCCC"/>
            <w:vAlign w:val="bottom"/>
          </w:tcPr>
          <w:p w14:paraId="038A24D8" w14:textId="7000E903" w:rsidR="00CE0216" w:rsidRDefault="00CE0216" w:rsidP="001A5D4A">
            <w:pPr>
              <w:pStyle w:val="NotesTable-ItemPlain"/>
              <w:rPr>
                <w:b/>
              </w:rPr>
            </w:pPr>
            <w:r>
              <w:t>Accumulated depreciation</w:t>
            </w:r>
            <w:r w:rsidR="00933136">
              <w:t xml:space="preserve"> and impairment</w:t>
            </w:r>
          </w:p>
        </w:tc>
        <w:tc>
          <w:tcPr>
            <w:tcW w:w="372" w:type="pct"/>
            <w:tcBorders>
              <w:top w:val="single" w:sz="4" w:space="0" w:color="000000"/>
              <w:bottom w:val="single" w:sz="4" w:space="0" w:color="000000"/>
            </w:tcBorders>
            <w:shd w:val="clear" w:color="auto" w:fill="CCCCCC"/>
          </w:tcPr>
          <w:p w14:paraId="038A24D9"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4DA"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4DB"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4DC"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4DD"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4DE"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4DF"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4E0"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4E1" w14:textId="77777777" w:rsidR="00CE0216" w:rsidRDefault="00CE0216" w:rsidP="001A5D4A">
            <w:pPr>
              <w:pStyle w:val="NotesTable-CellPlain"/>
            </w:pPr>
            <w:r>
              <w:t>–</w:t>
            </w:r>
          </w:p>
        </w:tc>
        <w:tc>
          <w:tcPr>
            <w:tcW w:w="337" w:type="pct"/>
            <w:tcBorders>
              <w:top w:val="single" w:sz="4" w:space="0" w:color="000000"/>
              <w:bottom w:val="single" w:sz="4" w:space="0" w:color="000000"/>
            </w:tcBorders>
            <w:shd w:val="clear" w:color="auto" w:fill="CCCCCC"/>
          </w:tcPr>
          <w:p w14:paraId="038A24E2" w14:textId="77777777" w:rsidR="00CE0216" w:rsidRDefault="00CE0216" w:rsidP="001A5D4A">
            <w:pPr>
              <w:pStyle w:val="NotesTable-CellPlain"/>
              <w:rPr>
                <w:lang w:val="en-GB"/>
              </w:rPr>
            </w:pPr>
            <w:r>
              <w:t>–</w:t>
            </w:r>
          </w:p>
        </w:tc>
      </w:tr>
      <w:tr w:rsidR="00CE0216" w14:paraId="038A24F0" w14:textId="77777777" w:rsidTr="002E740E">
        <w:trPr>
          <w:cantSplit/>
          <w:trHeight w:val="218"/>
        </w:trPr>
        <w:tc>
          <w:tcPr>
            <w:tcW w:w="502" w:type="pct"/>
          </w:tcPr>
          <w:p w14:paraId="038A24E4" w14:textId="77777777" w:rsidR="00CE0216" w:rsidRDefault="00CE0216" w:rsidP="001A5D4A">
            <w:pPr>
              <w:pStyle w:val="Note-Refs"/>
            </w:pPr>
          </w:p>
        </w:tc>
        <w:tc>
          <w:tcPr>
            <w:tcW w:w="1003" w:type="pct"/>
            <w:shd w:val="clear" w:color="auto" w:fill="CCCCCC"/>
            <w:vAlign w:val="bottom"/>
          </w:tcPr>
          <w:p w14:paraId="038A24E5" w14:textId="77777777" w:rsidR="00CE0216" w:rsidRDefault="00CE0216" w:rsidP="001A5D4A">
            <w:pPr>
              <w:pStyle w:val="NotesTable-ItemPlain"/>
              <w:rPr>
                <w:b/>
              </w:rPr>
            </w:pPr>
            <w:r>
              <w:t xml:space="preserve">Net book amount </w:t>
            </w:r>
          </w:p>
        </w:tc>
        <w:tc>
          <w:tcPr>
            <w:tcW w:w="372" w:type="pct"/>
            <w:shd w:val="clear" w:color="auto" w:fill="CCCCCC"/>
          </w:tcPr>
          <w:p w14:paraId="038A24E6" w14:textId="77777777" w:rsidR="00CE0216" w:rsidRDefault="00CE0216" w:rsidP="001A5D4A">
            <w:pPr>
              <w:pStyle w:val="NotesTable-CellPlain"/>
            </w:pPr>
            <w:r>
              <w:t>–</w:t>
            </w:r>
          </w:p>
        </w:tc>
        <w:tc>
          <w:tcPr>
            <w:tcW w:w="334" w:type="pct"/>
            <w:shd w:val="clear" w:color="auto" w:fill="CCCCCC"/>
          </w:tcPr>
          <w:p w14:paraId="038A24E7" w14:textId="77777777" w:rsidR="00CE0216" w:rsidRDefault="00CE0216" w:rsidP="001A5D4A">
            <w:pPr>
              <w:pStyle w:val="NotesTable-CellPlain"/>
            </w:pPr>
            <w:r>
              <w:t>–</w:t>
            </w:r>
          </w:p>
        </w:tc>
        <w:tc>
          <w:tcPr>
            <w:tcW w:w="334" w:type="pct"/>
            <w:shd w:val="clear" w:color="auto" w:fill="CCCCCC"/>
          </w:tcPr>
          <w:p w14:paraId="038A24E8" w14:textId="77777777" w:rsidR="00CE0216" w:rsidRDefault="00CE0216" w:rsidP="001A5D4A">
            <w:pPr>
              <w:pStyle w:val="NotesTable-CellPlain"/>
            </w:pPr>
            <w:r>
              <w:t>–</w:t>
            </w:r>
          </w:p>
        </w:tc>
        <w:tc>
          <w:tcPr>
            <w:tcW w:w="372" w:type="pct"/>
            <w:shd w:val="clear" w:color="auto" w:fill="CCCCCC"/>
          </w:tcPr>
          <w:p w14:paraId="038A24E9" w14:textId="77777777" w:rsidR="00CE0216" w:rsidRDefault="00CE0216" w:rsidP="001A5D4A">
            <w:pPr>
              <w:pStyle w:val="NotesTable-CellPlain"/>
            </w:pPr>
            <w:r>
              <w:t>–</w:t>
            </w:r>
          </w:p>
        </w:tc>
        <w:tc>
          <w:tcPr>
            <w:tcW w:w="334" w:type="pct"/>
            <w:shd w:val="clear" w:color="auto" w:fill="CCCCCC"/>
          </w:tcPr>
          <w:p w14:paraId="038A24EA" w14:textId="77777777" w:rsidR="00CE0216" w:rsidRDefault="00CE0216" w:rsidP="001A5D4A">
            <w:pPr>
              <w:pStyle w:val="NotesTable-CellPlain"/>
            </w:pPr>
            <w:r>
              <w:t>–</w:t>
            </w:r>
          </w:p>
        </w:tc>
        <w:tc>
          <w:tcPr>
            <w:tcW w:w="372" w:type="pct"/>
            <w:shd w:val="clear" w:color="auto" w:fill="CCCCCC"/>
          </w:tcPr>
          <w:p w14:paraId="038A24EB" w14:textId="77777777" w:rsidR="00CE0216" w:rsidRDefault="00CE0216" w:rsidP="001A5D4A">
            <w:pPr>
              <w:pStyle w:val="NotesTable-CellPlain"/>
            </w:pPr>
            <w:r>
              <w:t>–</w:t>
            </w:r>
          </w:p>
        </w:tc>
        <w:tc>
          <w:tcPr>
            <w:tcW w:w="372" w:type="pct"/>
            <w:shd w:val="clear" w:color="auto" w:fill="CCCCCC"/>
          </w:tcPr>
          <w:p w14:paraId="038A24EC" w14:textId="77777777" w:rsidR="00CE0216" w:rsidRDefault="00CE0216" w:rsidP="001A5D4A">
            <w:pPr>
              <w:pStyle w:val="NotesTable-CellPlain"/>
            </w:pPr>
            <w:r>
              <w:t>–</w:t>
            </w:r>
          </w:p>
        </w:tc>
        <w:tc>
          <w:tcPr>
            <w:tcW w:w="334" w:type="pct"/>
            <w:shd w:val="clear" w:color="auto" w:fill="CCCCCC"/>
          </w:tcPr>
          <w:p w14:paraId="038A24ED" w14:textId="77777777" w:rsidR="00CE0216" w:rsidRDefault="00CE0216" w:rsidP="001A5D4A">
            <w:pPr>
              <w:pStyle w:val="NotesTable-CellPlain"/>
            </w:pPr>
            <w:r>
              <w:t>–</w:t>
            </w:r>
          </w:p>
        </w:tc>
        <w:tc>
          <w:tcPr>
            <w:tcW w:w="334" w:type="pct"/>
            <w:shd w:val="clear" w:color="auto" w:fill="CCCCCC"/>
          </w:tcPr>
          <w:p w14:paraId="038A24EE" w14:textId="77777777" w:rsidR="00CE0216" w:rsidRDefault="00CE0216" w:rsidP="001A5D4A">
            <w:pPr>
              <w:pStyle w:val="NotesTable-CellPlain"/>
            </w:pPr>
            <w:r>
              <w:t>–</w:t>
            </w:r>
          </w:p>
        </w:tc>
        <w:tc>
          <w:tcPr>
            <w:tcW w:w="337" w:type="pct"/>
            <w:shd w:val="clear" w:color="auto" w:fill="CCCCCC"/>
          </w:tcPr>
          <w:p w14:paraId="038A24EF" w14:textId="77777777" w:rsidR="00CE0216" w:rsidRDefault="00CE0216" w:rsidP="001A5D4A">
            <w:pPr>
              <w:pStyle w:val="NotesTable-CellPlain"/>
              <w:rPr>
                <w:lang w:val="en-GB"/>
              </w:rPr>
            </w:pPr>
            <w:r>
              <w:t>–</w:t>
            </w:r>
          </w:p>
        </w:tc>
      </w:tr>
    </w:tbl>
    <w:p w14:paraId="038A24F1" w14:textId="77777777" w:rsidR="00023312" w:rsidRPr="00976BC2" w:rsidRDefault="001B6B14" w:rsidP="001A5D4A">
      <w:r w:rsidRPr="00976BC2">
        <w:br w:type="page"/>
      </w:r>
    </w:p>
    <w:tbl>
      <w:tblPr>
        <w:tblW w:w="5000" w:type="pct"/>
        <w:tblCellMar>
          <w:left w:w="0" w:type="dxa"/>
          <w:right w:w="0" w:type="dxa"/>
        </w:tblCellMar>
        <w:tblLook w:val="0000" w:firstRow="0" w:lastRow="0" w:firstColumn="0" w:lastColumn="0" w:noHBand="0" w:noVBand="0"/>
      </w:tblPr>
      <w:tblGrid>
        <w:gridCol w:w="1541"/>
        <w:gridCol w:w="3081"/>
        <w:gridCol w:w="1142"/>
        <w:gridCol w:w="1025"/>
        <w:gridCol w:w="1025"/>
        <w:gridCol w:w="1142"/>
        <w:gridCol w:w="1025"/>
        <w:gridCol w:w="1142"/>
        <w:gridCol w:w="1142"/>
        <w:gridCol w:w="1025"/>
        <w:gridCol w:w="1025"/>
        <w:gridCol w:w="1031"/>
      </w:tblGrid>
      <w:tr w:rsidR="002E740E" w14:paraId="038A24F4" w14:textId="77777777" w:rsidTr="002E740E">
        <w:trPr>
          <w:cantSplit/>
          <w:trHeight w:val="565"/>
        </w:trPr>
        <w:tc>
          <w:tcPr>
            <w:tcW w:w="5000" w:type="pct"/>
            <w:gridSpan w:val="12"/>
          </w:tcPr>
          <w:p w14:paraId="038A24F3" w14:textId="384C14EA" w:rsidR="002E740E" w:rsidRPr="00976BC2" w:rsidRDefault="002E740E" w:rsidP="002E740E">
            <w:pPr>
              <w:pStyle w:val="TOC3"/>
              <w:ind w:left="0"/>
            </w:pPr>
            <w:r w:rsidRPr="00976BC2">
              <w:lastRenderedPageBreak/>
              <w:t>Note 26</w:t>
            </w:r>
            <w:r>
              <w:t xml:space="preserve">. </w:t>
            </w:r>
            <w:r w:rsidRPr="00976BC2">
              <w:t>Property, plant and equipment (continued)</w:t>
            </w:r>
          </w:p>
        </w:tc>
      </w:tr>
      <w:tr w:rsidR="00CE0216" w14:paraId="038A2501" w14:textId="77777777" w:rsidTr="002E740E">
        <w:trPr>
          <w:cantSplit/>
          <w:trHeight w:val="565"/>
        </w:trPr>
        <w:tc>
          <w:tcPr>
            <w:tcW w:w="502" w:type="pct"/>
          </w:tcPr>
          <w:p w14:paraId="038A24F5" w14:textId="77777777" w:rsidR="00CE0216" w:rsidRDefault="00CE0216" w:rsidP="001A5D4A">
            <w:pPr>
              <w:pStyle w:val="Note-Refs"/>
            </w:pPr>
            <w:r>
              <w:t>MANDATORY</w:t>
            </w:r>
          </w:p>
        </w:tc>
        <w:tc>
          <w:tcPr>
            <w:tcW w:w="1004" w:type="pct"/>
            <w:shd w:val="clear" w:color="auto" w:fill="CCCCCC"/>
          </w:tcPr>
          <w:p w14:paraId="038A24F6" w14:textId="77777777" w:rsidR="00CE0216" w:rsidRDefault="00CE0216" w:rsidP="001A5D4A">
            <w:pPr>
              <w:pStyle w:val="NotesTable-ItemPlain"/>
            </w:pPr>
          </w:p>
        </w:tc>
        <w:tc>
          <w:tcPr>
            <w:tcW w:w="372" w:type="pct"/>
            <w:shd w:val="clear" w:color="auto" w:fill="CCCCCC"/>
            <w:vAlign w:val="bottom"/>
          </w:tcPr>
          <w:p w14:paraId="038A24F7" w14:textId="77777777" w:rsidR="00CE0216" w:rsidRDefault="00CE0216" w:rsidP="001A5D4A">
            <w:pPr>
              <w:pStyle w:val="NotesTable-HeadPlain"/>
              <w:rPr>
                <w:b/>
              </w:rPr>
            </w:pPr>
            <w:r>
              <w:t>Construction in progress</w:t>
            </w:r>
          </w:p>
        </w:tc>
        <w:tc>
          <w:tcPr>
            <w:tcW w:w="334" w:type="pct"/>
            <w:shd w:val="clear" w:color="auto" w:fill="CCCCCC"/>
            <w:vAlign w:val="bottom"/>
          </w:tcPr>
          <w:p w14:paraId="038A24F8" w14:textId="77777777" w:rsidR="00CE0216" w:rsidRDefault="00CE0216" w:rsidP="001A5D4A">
            <w:pPr>
              <w:pStyle w:val="NotesTable-HeadPlain"/>
            </w:pPr>
            <w:r>
              <w:t>Land</w:t>
            </w:r>
          </w:p>
        </w:tc>
        <w:tc>
          <w:tcPr>
            <w:tcW w:w="334" w:type="pct"/>
            <w:shd w:val="clear" w:color="auto" w:fill="CCCCCC"/>
            <w:vAlign w:val="bottom"/>
          </w:tcPr>
          <w:p w14:paraId="038A24F9" w14:textId="77777777" w:rsidR="00CE0216" w:rsidRDefault="00CE0216" w:rsidP="001A5D4A">
            <w:pPr>
              <w:pStyle w:val="NotesTable-HeadPlain"/>
            </w:pPr>
            <w:r>
              <w:t>Buildings</w:t>
            </w:r>
          </w:p>
        </w:tc>
        <w:tc>
          <w:tcPr>
            <w:tcW w:w="372" w:type="pct"/>
            <w:shd w:val="clear" w:color="auto" w:fill="CCCCCC"/>
            <w:vAlign w:val="bottom"/>
          </w:tcPr>
          <w:p w14:paraId="038A24FA" w14:textId="77777777" w:rsidR="00CE0216" w:rsidRDefault="00CE0216" w:rsidP="001A5D4A">
            <w:pPr>
              <w:pStyle w:val="NotesTable-HeadPlain"/>
            </w:pPr>
            <w:r>
              <w:t>Infrastructure</w:t>
            </w:r>
          </w:p>
        </w:tc>
        <w:tc>
          <w:tcPr>
            <w:tcW w:w="334" w:type="pct"/>
            <w:shd w:val="clear" w:color="auto" w:fill="CCCCCC"/>
            <w:vAlign w:val="bottom"/>
          </w:tcPr>
          <w:p w14:paraId="038A24FB" w14:textId="791BE698" w:rsidR="00CE0216" w:rsidRDefault="00933136" w:rsidP="001A5D4A">
            <w:pPr>
              <w:pStyle w:val="NotesTable-HeadPlain"/>
            </w:pPr>
            <w:r>
              <w:t>P</w:t>
            </w:r>
            <w:r w:rsidR="00CE0216">
              <w:t>lant and equipment*</w:t>
            </w:r>
          </w:p>
        </w:tc>
        <w:tc>
          <w:tcPr>
            <w:tcW w:w="372" w:type="pct"/>
            <w:shd w:val="clear" w:color="auto" w:fill="CCCCCC"/>
            <w:vAlign w:val="bottom"/>
          </w:tcPr>
          <w:p w14:paraId="038A24FC" w14:textId="77777777" w:rsidR="00CE0216" w:rsidRDefault="00CE0216" w:rsidP="001A5D4A">
            <w:pPr>
              <w:pStyle w:val="NotesTable-HeadPlain"/>
            </w:pPr>
            <w:r>
              <w:t>Leasehold improvements</w:t>
            </w:r>
          </w:p>
        </w:tc>
        <w:tc>
          <w:tcPr>
            <w:tcW w:w="372" w:type="pct"/>
            <w:shd w:val="clear" w:color="auto" w:fill="CCCCCC"/>
            <w:vAlign w:val="bottom"/>
          </w:tcPr>
          <w:p w14:paraId="038A24FD" w14:textId="77777777" w:rsidR="00CE0216" w:rsidRDefault="00CE0216" w:rsidP="001A5D4A">
            <w:pPr>
              <w:pStyle w:val="NotesTable-HeadPlain"/>
            </w:pPr>
            <w:r>
              <w:t>Leased plant &amp; equipment</w:t>
            </w:r>
          </w:p>
        </w:tc>
        <w:tc>
          <w:tcPr>
            <w:tcW w:w="334" w:type="pct"/>
            <w:shd w:val="clear" w:color="auto" w:fill="CCCCCC"/>
            <w:vAlign w:val="bottom"/>
          </w:tcPr>
          <w:p w14:paraId="038A24FE" w14:textId="77777777" w:rsidR="00CE0216" w:rsidRDefault="00CE0216" w:rsidP="001A5D4A">
            <w:pPr>
              <w:pStyle w:val="NotesTable-HeadPlain"/>
            </w:pPr>
            <w:r>
              <w:t>Library</w:t>
            </w:r>
          </w:p>
        </w:tc>
        <w:tc>
          <w:tcPr>
            <w:tcW w:w="334" w:type="pct"/>
            <w:shd w:val="clear" w:color="auto" w:fill="CCCCCC"/>
            <w:vAlign w:val="bottom"/>
          </w:tcPr>
          <w:p w14:paraId="038A24FF" w14:textId="3E6A5FC3" w:rsidR="00CE0216" w:rsidRDefault="00CE0216" w:rsidP="001A5D4A">
            <w:pPr>
              <w:pStyle w:val="NotesTable-HeadPlain"/>
            </w:pPr>
            <w:r>
              <w:t>Other plant and equipment**</w:t>
            </w:r>
          </w:p>
        </w:tc>
        <w:tc>
          <w:tcPr>
            <w:tcW w:w="336" w:type="pct"/>
            <w:shd w:val="clear" w:color="auto" w:fill="CCCCCC"/>
            <w:vAlign w:val="bottom"/>
          </w:tcPr>
          <w:p w14:paraId="038A2500" w14:textId="77777777" w:rsidR="00CE0216" w:rsidRDefault="00CE0216" w:rsidP="001A5D4A">
            <w:pPr>
              <w:pStyle w:val="NotesTable-HeadPlain"/>
            </w:pPr>
            <w:r>
              <w:t>Total</w:t>
            </w:r>
          </w:p>
        </w:tc>
      </w:tr>
      <w:tr w:rsidR="00CE0216" w14:paraId="038A250E" w14:textId="77777777" w:rsidTr="002E740E">
        <w:trPr>
          <w:cantSplit/>
          <w:trHeight w:val="218"/>
        </w:trPr>
        <w:tc>
          <w:tcPr>
            <w:tcW w:w="502" w:type="pct"/>
          </w:tcPr>
          <w:p w14:paraId="038A2502" w14:textId="77777777" w:rsidR="00CE0216" w:rsidRDefault="00CE0216" w:rsidP="001A5D4A">
            <w:pPr>
              <w:pStyle w:val="Note-Refs"/>
            </w:pPr>
          </w:p>
        </w:tc>
        <w:tc>
          <w:tcPr>
            <w:tcW w:w="1004" w:type="pct"/>
            <w:shd w:val="clear" w:color="auto" w:fill="CCCCCC"/>
            <w:vAlign w:val="bottom"/>
          </w:tcPr>
          <w:p w14:paraId="038A2503" w14:textId="77777777" w:rsidR="00CE0216" w:rsidRDefault="003C1BBA" w:rsidP="001A5D4A">
            <w:pPr>
              <w:pStyle w:val="NotesTable-ItemBold"/>
            </w:pPr>
            <w:r>
              <w:t>Parent entity</w:t>
            </w:r>
          </w:p>
        </w:tc>
        <w:tc>
          <w:tcPr>
            <w:tcW w:w="372" w:type="pct"/>
            <w:shd w:val="clear" w:color="auto" w:fill="CCCCCC"/>
          </w:tcPr>
          <w:p w14:paraId="038A2504" w14:textId="77777777" w:rsidR="00CE0216" w:rsidRDefault="00CE0216" w:rsidP="001A5D4A">
            <w:pPr>
              <w:pStyle w:val="NotesTable-HeadPlain"/>
              <w:rPr>
                <w:b/>
              </w:rPr>
            </w:pPr>
            <w:r>
              <w:t>$'000</w:t>
            </w:r>
          </w:p>
        </w:tc>
        <w:tc>
          <w:tcPr>
            <w:tcW w:w="334" w:type="pct"/>
            <w:shd w:val="clear" w:color="auto" w:fill="CCCCCC"/>
          </w:tcPr>
          <w:p w14:paraId="038A2505" w14:textId="77777777" w:rsidR="00CE0216" w:rsidRDefault="00CE0216" w:rsidP="001A5D4A">
            <w:pPr>
              <w:pStyle w:val="NotesTable-HeadPlain"/>
              <w:rPr>
                <w:b/>
              </w:rPr>
            </w:pPr>
            <w:r>
              <w:t>$'000</w:t>
            </w:r>
          </w:p>
        </w:tc>
        <w:tc>
          <w:tcPr>
            <w:tcW w:w="334" w:type="pct"/>
            <w:shd w:val="clear" w:color="auto" w:fill="CCCCCC"/>
          </w:tcPr>
          <w:p w14:paraId="038A2506" w14:textId="77777777" w:rsidR="00CE0216" w:rsidRDefault="00CE0216" w:rsidP="001A5D4A">
            <w:pPr>
              <w:pStyle w:val="NotesTable-HeadPlain"/>
              <w:rPr>
                <w:b/>
              </w:rPr>
            </w:pPr>
            <w:r>
              <w:t>$'000</w:t>
            </w:r>
          </w:p>
        </w:tc>
        <w:tc>
          <w:tcPr>
            <w:tcW w:w="372" w:type="pct"/>
            <w:shd w:val="clear" w:color="auto" w:fill="CCCCCC"/>
          </w:tcPr>
          <w:p w14:paraId="038A2507" w14:textId="77777777" w:rsidR="00CE0216" w:rsidRDefault="00CE0216" w:rsidP="001A5D4A">
            <w:pPr>
              <w:pStyle w:val="NotesTable-HeadPlain"/>
              <w:rPr>
                <w:b/>
              </w:rPr>
            </w:pPr>
            <w:r>
              <w:t>$'000</w:t>
            </w:r>
          </w:p>
        </w:tc>
        <w:tc>
          <w:tcPr>
            <w:tcW w:w="334" w:type="pct"/>
            <w:shd w:val="clear" w:color="auto" w:fill="CCCCCC"/>
          </w:tcPr>
          <w:p w14:paraId="038A2508" w14:textId="77777777" w:rsidR="00CE0216" w:rsidRDefault="00CE0216" w:rsidP="001A5D4A">
            <w:pPr>
              <w:pStyle w:val="NotesTable-HeadPlain"/>
              <w:rPr>
                <w:b/>
              </w:rPr>
            </w:pPr>
            <w:r>
              <w:t>$'000</w:t>
            </w:r>
          </w:p>
        </w:tc>
        <w:tc>
          <w:tcPr>
            <w:tcW w:w="372" w:type="pct"/>
            <w:shd w:val="clear" w:color="auto" w:fill="CCCCCC"/>
          </w:tcPr>
          <w:p w14:paraId="038A2509" w14:textId="77777777" w:rsidR="00CE0216" w:rsidRDefault="00CE0216" w:rsidP="001A5D4A">
            <w:pPr>
              <w:pStyle w:val="NotesTable-HeadPlain"/>
              <w:rPr>
                <w:b/>
              </w:rPr>
            </w:pPr>
            <w:r>
              <w:t>$'000</w:t>
            </w:r>
          </w:p>
        </w:tc>
        <w:tc>
          <w:tcPr>
            <w:tcW w:w="372" w:type="pct"/>
            <w:shd w:val="clear" w:color="auto" w:fill="CCCCCC"/>
          </w:tcPr>
          <w:p w14:paraId="038A250A" w14:textId="77777777" w:rsidR="00CE0216" w:rsidRDefault="00CE0216" w:rsidP="001A5D4A">
            <w:pPr>
              <w:pStyle w:val="NotesTable-HeadPlain"/>
              <w:rPr>
                <w:b/>
              </w:rPr>
            </w:pPr>
            <w:r>
              <w:t>$'000</w:t>
            </w:r>
          </w:p>
        </w:tc>
        <w:tc>
          <w:tcPr>
            <w:tcW w:w="334" w:type="pct"/>
            <w:shd w:val="clear" w:color="auto" w:fill="CCCCCC"/>
          </w:tcPr>
          <w:p w14:paraId="038A250B" w14:textId="77777777" w:rsidR="00CE0216" w:rsidRDefault="00CE0216" w:rsidP="001A5D4A">
            <w:pPr>
              <w:pStyle w:val="NotesTable-HeadPlain"/>
              <w:rPr>
                <w:b/>
              </w:rPr>
            </w:pPr>
            <w:r>
              <w:t>$'000</w:t>
            </w:r>
          </w:p>
        </w:tc>
        <w:tc>
          <w:tcPr>
            <w:tcW w:w="334" w:type="pct"/>
            <w:shd w:val="clear" w:color="auto" w:fill="CCCCCC"/>
          </w:tcPr>
          <w:p w14:paraId="038A250C" w14:textId="77777777" w:rsidR="00CE0216" w:rsidRDefault="00CE0216" w:rsidP="001A5D4A">
            <w:pPr>
              <w:pStyle w:val="NotesTable-HeadPlain"/>
              <w:rPr>
                <w:b/>
              </w:rPr>
            </w:pPr>
            <w:r>
              <w:t>$'000</w:t>
            </w:r>
          </w:p>
        </w:tc>
        <w:tc>
          <w:tcPr>
            <w:tcW w:w="336" w:type="pct"/>
            <w:shd w:val="clear" w:color="auto" w:fill="CCCCCC"/>
          </w:tcPr>
          <w:p w14:paraId="038A250D" w14:textId="77777777" w:rsidR="00CE0216" w:rsidRDefault="00CE0216" w:rsidP="001A5D4A">
            <w:pPr>
              <w:pStyle w:val="NotesTable-HeadPlain"/>
              <w:rPr>
                <w:b/>
              </w:rPr>
            </w:pPr>
            <w:r>
              <w:t>$'000</w:t>
            </w:r>
          </w:p>
        </w:tc>
      </w:tr>
      <w:tr w:rsidR="00CE0216" w14:paraId="038A251B" w14:textId="77777777" w:rsidTr="002E740E">
        <w:trPr>
          <w:cantSplit/>
          <w:trHeight w:val="218"/>
        </w:trPr>
        <w:tc>
          <w:tcPr>
            <w:tcW w:w="502" w:type="pct"/>
          </w:tcPr>
          <w:p w14:paraId="038A250F" w14:textId="77777777" w:rsidR="00CE0216" w:rsidRDefault="00CE0216" w:rsidP="001A5D4A">
            <w:pPr>
              <w:pStyle w:val="Note-Refs"/>
            </w:pPr>
          </w:p>
        </w:tc>
        <w:tc>
          <w:tcPr>
            <w:tcW w:w="1004" w:type="pct"/>
            <w:shd w:val="clear" w:color="auto" w:fill="CCCCCC"/>
            <w:vAlign w:val="bottom"/>
          </w:tcPr>
          <w:p w14:paraId="038A2510" w14:textId="77777777" w:rsidR="00CE0216" w:rsidRDefault="00CE0216" w:rsidP="001A5D4A">
            <w:pPr>
              <w:pStyle w:val="NotesTable-ItemPlain"/>
            </w:pPr>
          </w:p>
        </w:tc>
        <w:tc>
          <w:tcPr>
            <w:tcW w:w="372" w:type="pct"/>
            <w:shd w:val="clear" w:color="auto" w:fill="CCCCCC"/>
          </w:tcPr>
          <w:p w14:paraId="038A2511" w14:textId="77777777" w:rsidR="00CE0216" w:rsidRDefault="00CE0216" w:rsidP="001A5D4A">
            <w:pPr>
              <w:pStyle w:val="NotesTable-CellPlain"/>
            </w:pPr>
          </w:p>
        </w:tc>
        <w:tc>
          <w:tcPr>
            <w:tcW w:w="334" w:type="pct"/>
            <w:shd w:val="clear" w:color="auto" w:fill="CCCCCC"/>
          </w:tcPr>
          <w:p w14:paraId="038A2512" w14:textId="77777777" w:rsidR="00CE0216" w:rsidRDefault="00CE0216" w:rsidP="001A5D4A">
            <w:pPr>
              <w:pStyle w:val="NotesTable-CellPlain"/>
            </w:pPr>
          </w:p>
        </w:tc>
        <w:tc>
          <w:tcPr>
            <w:tcW w:w="334" w:type="pct"/>
            <w:shd w:val="clear" w:color="auto" w:fill="CCCCCC"/>
          </w:tcPr>
          <w:p w14:paraId="038A2513" w14:textId="77777777" w:rsidR="00CE0216" w:rsidRDefault="00CE0216" w:rsidP="001A5D4A">
            <w:pPr>
              <w:pStyle w:val="NotesTable-CellPlain"/>
            </w:pPr>
          </w:p>
        </w:tc>
        <w:tc>
          <w:tcPr>
            <w:tcW w:w="372" w:type="pct"/>
            <w:shd w:val="clear" w:color="auto" w:fill="CCCCCC"/>
          </w:tcPr>
          <w:p w14:paraId="038A2514" w14:textId="77777777" w:rsidR="00CE0216" w:rsidRDefault="00CE0216" w:rsidP="001A5D4A">
            <w:pPr>
              <w:pStyle w:val="NotesTable-CellPlain"/>
            </w:pPr>
          </w:p>
        </w:tc>
        <w:tc>
          <w:tcPr>
            <w:tcW w:w="334" w:type="pct"/>
            <w:shd w:val="clear" w:color="auto" w:fill="CCCCCC"/>
          </w:tcPr>
          <w:p w14:paraId="038A2515" w14:textId="77777777" w:rsidR="00CE0216" w:rsidRDefault="00CE0216" w:rsidP="001A5D4A">
            <w:pPr>
              <w:pStyle w:val="NotesTable-CellPlain"/>
            </w:pPr>
          </w:p>
        </w:tc>
        <w:tc>
          <w:tcPr>
            <w:tcW w:w="372" w:type="pct"/>
            <w:shd w:val="clear" w:color="auto" w:fill="CCCCCC"/>
          </w:tcPr>
          <w:p w14:paraId="038A2516" w14:textId="77777777" w:rsidR="00CE0216" w:rsidRDefault="00CE0216" w:rsidP="001A5D4A">
            <w:pPr>
              <w:pStyle w:val="NotesTable-CellPlain"/>
            </w:pPr>
          </w:p>
        </w:tc>
        <w:tc>
          <w:tcPr>
            <w:tcW w:w="372" w:type="pct"/>
            <w:shd w:val="clear" w:color="auto" w:fill="CCCCCC"/>
          </w:tcPr>
          <w:p w14:paraId="038A2517" w14:textId="77777777" w:rsidR="00CE0216" w:rsidRDefault="00CE0216" w:rsidP="001A5D4A">
            <w:pPr>
              <w:pStyle w:val="NotesTable-CellPlain"/>
            </w:pPr>
          </w:p>
        </w:tc>
        <w:tc>
          <w:tcPr>
            <w:tcW w:w="334" w:type="pct"/>
            <w:shd w:val="clear" w:color="auto" w:fill="CCCCCC"/>
          </w:tcPr>
          <w:p w14:paraId="038A2518" w14:textId="77777777" w:rsidR="00CE0216" w:rsidRDefault="00CE0216" w:rsidP="001A5D4A">
            <w:pPr>
              <w:pStyle w:val="NotesTable-CellPlain"/>
            </w:pPr>
          </w:p>
        </w:tc>
        <w:tc>
          <w:tcPr>
            <w:tcW w:w="334" w:type="pct"/>
            <w:shd w:val="clear" w:color="auto" w:fill="CCCCCC"/>
          </w:tcPr>
          <w:p w14:paraId="038A2519" w14:textId="77777777" w:rsidR="00CE0216" w:rsidRDefault="00CE0216" w:rsidP="001A5D4A">
            <w:pPr>
              <w:pStyle w:val="NotesTable-CellPlain"/>
            </w:pPr>
          </w:p>
        </w:tc>
        <w:tc>
          <w:tcPr>
            <w:tcW w:w="336" w:type="pct"/>
            <w:shd w:val="clear" w:color="auto" w:fill="CCCCCC"/>
          </w:tcPr>
          <w:p w14:paraId="038A251A" w14:textId="77777777" w:rsidR="00CE0216" w:rsidRDefault="00CE0216" w:rsidP="001A5D4A">
            <w:pPr>
              <w:pStyle w:val="NotesTable-CellPlain"/>
            </w:pPr>
          </w:p>
        </w:tc>
      </w:tr>
      <w:tr w:rsidR="00742371" w14:paraId="038A251E" w14:textId="77777777" w:rsidTr="00E21378">
        <w:trPr>
          <w:cantSplit/>
          <w:trHeight w:val="218"/>
        </w:trPr>
        <w:tc>
          <w:tcPr>
            <w:tcW w:w="502" w:type="pct"/>
          </w:tcPr>
          <w:p w14:paraId="038A251C" w14:textId="77777777" w:rsidR="00742371" w:rsidRDefault="00742371" w:rsidP="001A5D4A">
            <w:pPr>
              <w:pStyle w:val="Note-Refs"/>
            </w:pPr>
          </w:p>
        </w:tc>
        <w:tc>
          <w:tcPr>
            <w:tcW w:w="4498" w:type="pct"/>
            <w:gridSpan w:val="11"/>
            <w:shd w:val="clear" w:color="auto" w:fill="CCCCCC"/>
            <w:vAlign w:val="bottom"/>
          </w:tcPr>
          <w:p w14:paraId="038A251D" w14:textId="69DB9D85" w:rsidR="00742371" w:rsidRDefault="00742371" w:rsidP="001A5D4A">
            <w:pPr>
              <w:pStyle w:val="Note-TextHeader"/>
              <w:rPr>
                <w:lang w:val="en-GB"/>
              </w:rPr>
            </w:pPr>
            <w:r>
              <w:t xml:space="preserve">At 1 January </w:t>
            </w:r>
            <w:r w:rsidR="006864EC">
              <w:t>2013</w:t>
            </w:r>
          </w:p>
        </w:tc>
      </w:tr>
      <w:tr w:rsidR="00CE0216" w14:paraId="038A252B" w14:textId="77777777" w:rsidTr="002E740E">
        <w:trPr>
          <w:cantSplit/>
          <w:trHeight w:val="218"/>
        </w:trPr>
        <w:tc>
          <w:tcPr>
            <w:tcW w:w="502" w:type="pct"/>
          </w:tcPr>
          <w:p w14:paraId="038A251F" w14:textId="77777777" w:rsidR="00CE0216" w:rsidRDefault="00CE0216" w:rsidP="001A5D4A">
            <w:pPr>
              <w:pStyle w:val="Note-Refs"/>
              <w:rPr>
                <w:b/>
              </w:rPr>
            </w:pPr>
            <w:r>
              <w:t>AASB116.73d</w:t>
            </w:r>
          </w:p>
        </w:tc>
        <w:tc>
          <w:tcPr>
            <w:tcW w:w="1004" w:type="pct"/>
            <w:shd w:val="clear" w:color="auto" w:fill="CCCCCC"/>
            <w:vAlign w:val="bottom"/>
          </w:tcPr>
          <w:p w14:paraId="038A2520" w14:textId="77777777" w:rsidR="00CE0216" w:rsidRDefault="00CE0216" w:rsidP="001A5D4A">
            <w:pPr>
              <w:pStyle w:val="NotesTable-ItemPlain"/>
              <w:rPr>
                <w:b/>
              </w:rPr>
            </w:pPr>
            <w:r>
              <w:t>- Cost</w:t>
            </w:r>
          </w:p>
        </w:tc>
        <w:tc>
          <w:tcPr>
            <w:tcW w:w="372" w:type="pct"/>
            <w:shd w:val="clear" w:color="auto" w:fill="CCCCCC"/>
          </w:tcPr>
          <w:p w14:paraId="038A2521" w14:textId="77777777" w:rsidR="00CE0216" w:rsidRDefault="00CE0216" w:rsidP="001A5D4A">
            <w:pPr>
              <w:pStyle w:val="NotesTable-CellPlain"/>
            </w:pPr>
            <w:r>
              <w:t>–</w:t>
            </w:r>
          </w:p>
        </w:tc>
        <w:tc>
          <w:tcPr>
            <w:tcW w:w="334" w:type="pct"/>
            <w:shd w:val="clear" w:color="auto" w:fill="CCCCCC"/>
          </w:tcPr>
          <w:p w14:paraId="038A2522" w14:textId="77777777" w:rsidR="00CE0216" w:rsidRDefault="00CE0216" w:rsidP="001A5D4A">
            <w:pPr>
              <w:pStyle w:val="NotesTable-CellPlain"/>
            </w:pPr>
            <w:r>
              <w:t>–</w:t>
            </w:r>
          </w:p>
        </w:tc>
        <w:tc>
          <w:tcPr>
            <w:tcW w:w="334" w:type="pct"/>
            <w:shd w:val="clear" w:color="auto" w:fill="CCCCCC"/>
          </w:tcPr>
          <w:p w14:paraId="038A2523" w14:textId="77777777" w:rsidR="00CE0216" w:rsidRDefault="00CE0216" w:rsidP="001A5D4A">
            <w:pPr>
              <w:pStyle w:val="NotesTable-CellPlain"/>
            </w:pPr>
            <w:r>
              <w:t>–</w:t>
            </w:r>
          </w:p>
        </w:tc>
        <w:tc>
          <w:tcPr>
            <w:tcW w:w="372" w:type="pct"/>
            <w:shd w:val="clear" w:color="auto" w:fill="CCCCCC"/>
          </w:tcPr>
          <w:p w14:paraId="038A2524" w14:textId="77777777" w:rsidR="00CE0216" w:rsidRDefault="00CE0216" w:rsidP="001A5D4A">
            <w:pPr>
              <w:pStyle w:val="NotesTable-CellPlain"/>
            </w:pPr>
            <w:r>
              <w:t>–</w:t>
            </w:r>
          </w:p>
        </w:tc>
        <w:tc>
          <w:tcPr>
            <w:tcW w:w="334" w:type="pct"/>
            <w:shd w:val="clear" w:color="auto" w:fill="CCCCCC"/>
          </w:tcPr>
          <w:p w14:paraId="038A2525" w14:textId="77777777" w:rsidR="00CE0216" w:rsidRDefault="00CE0216" w:rsidP="001A5D4A">
            <w:pPr>
              <w:pStyle w:val="NotesTable-CellPlain"/>
            </w:pPr>
            <w:r>
              <w:t>–</w:t>
            </w:r>
          </w:p>
        </w:tc>
        <w:tc>
          <w:tcPr>
            <w:tcW w:w="372" w:type="pct"/>
            <w:shd w:val="clear" w:color="auto" w:fill="CCCCCC"/>
          </w:tcPr>
          <w:p w14:paraId="038A2526" w14:textId="77777777" w:rsidR="00CE0216" w:rsidRDefault="00CE0216" w:rsidP="001A5D4A">
            <w:pPr>
              <w:pStyle w:val="NotesTable-CellPlain"/>
            </w:pPr>
            <w:r>
              <w:t>–</w:t>
            </w:r>
          </w:p>
        </w:tc>
        <w:tc>
          <w:tcPr>
            <w:tcW w:w="372" w:type="pct"/>
            <w:shd w:val="clear" w:color="auto" w:fill="CCCCCC"/>
          </w:tcPr>
          <w:p w14:paraId="038A2527" w14:textId="77777777" w:rsidR="00CE0216" w:rsidRDefault="00CE0216" w:rsidP="001A5D4A">
            <w:pPr>
              <w:pStyle w:val="NotesTable-CellPlain"/>
            </w:pPr>
            <w:r>
              <w:t>–</w:t>
            </w:r>
          </w:p>
        </w:tc>
        <w:tc>
          <w:tcPr>
            <w:tcW w:w="334" w:type="pct"/>
            <w:shd w:val="clear" w:color="auto" w:fill="CCCCCC"/>
          </w:tcPr>
          <w:p w14:paraId="038A2528" w14:textId="77777777" w:rsidR="00CE0216" w:rsidRDefault="00CE0216" w:rsidP="001A5D4A">
            <w:pPr>
              <w:pStyle w:val="NotesTable-CellPlain"/>
            </w:pPr>
            <w:r>
              <w:t>–</w:t>
            </w:r>
          </w:p>
        </w:tc>
        <w:tc>
          <w:tcPr>
            <w:tcW w:w="334" w:type="pct"/>
            <w:shd w:val="clear" w:color="auto" w:fill="CCCCCC"/>
          </w:tcPr>
          <w:p w14:paraId="038A2529" w14:textId="77777777" w:rsidR="00CE0216" w:rsidRDefault="00CE0216" w:rsidP="001A5D4A">
            <w:pPr>
              <w:pStyle w:val="NotesTable-CellPlain"/>
            </w:pPr>
            <w:r>
              <w:t>–</w:t>
            </w:r>
          </w:p>
        </w:tc>
        <w:tc>
          <w:tcPr>
            <w:tcW w:w="336" w:type="pct"/>
            <w:shd w:val="clear" w:color="auto" w:fill="CCCCCC"/>
          </w:tcPr>
          <w:p w14:paraId="038A252A" w14:textId="77777777" w:rsidR="00CE0216" w:rsidRDefault="00CE0216" w:rsidP="001A5D4A">
            <w:pPr>
              <w:pStyle w:val="NotesTable-CellPlain"/>
              <w:rPr>
                <w:lang w:val="en-GB"/>
              </w:rPr>
            </w:pPr>
            <w:r>
              <w:t>–</w:t>
            </w:r>
          </w:p>
        </w:tc>
      </w:tr>
      <w:tr w:rsidR="00CE0216" w14:paraId="038A2538" w14:textId="77777777" w:rsidTr="002E740E">
        <w:trPr>
          <w:cantSplit/>
          <w:trHeight w:val="203"/>
        </w:trPr>
        <w:tc>
          <w:tcPr>
            <w:tcW w:w="502" w:type="pct"/>
          </w:tcPr>
          <w:p w14:paraId="038A252C" w14:textId="77777777" w:rsidR="00CE0216" w:rsidRDefault="00CE0216" w:rsidP="001A5D4A">
            <w:pPr>
              <w:pStyle w:val="Note-Refs"/>
              <w:rPr>
                <w:b/>
              </w:rPr>
            </w:pPr>
            <w:r>
              <w:t>AASB116.73d</w:t>
            </w:r>
          </w:p>
        </w:tc>
        <w:tc>
          <w:tcPr>
            <w:tcW w:w="1004" w:type="pct"/>
            <w:shd w:val="clear" w:color="auto" w:fill="CCCCCC"/>
            <w:vAlign w:val="bottom"/>
          </w:tcPr>
          <w:p w14:paraId="038A252D" w14:textId="77777777" w:rsidR="00CE0216" w:rsidRDefault="00CE0216" w:rsidP="001A5D4A">
            <w:pPr>
              <w:pStyle w:val="NotesTable-ItemPlain"/>
              <w:rPr>
                <w:b/>
              </w:rPr>
            </w:pPr>
            <w:r>
              <w:t>- Valuation</w:t>
            </w:r>
          </w:p>
        </w:tc>
        <w:tc>
          <w:tcPr>
            <w:tcW w:w="372" w:type="pct"/>
            <w:shd w:val="clear" w:color="auto" w:fill="CCCCCC"/>
          </w:tcPr>
          <w:p w14:paraId="038A252E" w14:textId="77777777" w:rsidR="00CE0216" w:rsidRDefault="00CE0216" w:rsidP="001A5D4A">
            <w:pPr>
              <w:pStyle w:val="NotesTable-CellPlain"/>
            </w:pPr>
            <w:r>
              <w:t>–</w:t>
            </w:r>
          </w:p>
        </w:tc>
        <w:tc>
          <w:tcPr>
            <w:tcW w:w="334" w:type="pct"/>
            <w:shd w:val="clear" w:color="auto" w:fill="CCCCCC"/>
          </w:tcPr>
          <w:p w14:paraId="038A252F" w14:textId="77777777" w:rsidR="00CE0216" w:rsidRDefault="00CE0216" w:rsidP="001A5D4A">
            <w:pPr>
              <w:pStyle w:val="NotesTable-CellPlain"/>
            </w:pPr>
            <w:r>
              <w:t>–</w:t>
            </w:r>
          </w:p>
        </w:tc>
        <w:tc>
          <w:tcPr>
            <w:tcW w:w="334" w:type="pct"/>
            <w:shd w:val="clear" w:color="auto" w:fill="CCCCCC"/>
          </w:tcPr>
          <w:p w14:paraId="038A2530" w14:textId="77777777" w:rsidR="00CE0216" w:rsidRDefault="00CE0216" w:rsidP="001A5D4A">
            <w:pPr>
              <w:pStyle w:val="NotesTable-CellPlain"/>
            </w:pPr>
            <w:r>
              <w:t>–</w:t>
            </w:r>
          </w:p>
        </w:tc>
        <w:tc>
          <w:tcPr>
            <w:tcW w:w="372" w:type="pct"/>
            <w:shd w:val="clear" w:color="auto" w:fill="CCCCCC"/>
          </w:tcPr>
          <w:p w14:paraId="038A2531" w14:textId="77777777" w:rsidR="00CE0216" w:rsidRDefault="00CE0216" w:rsidP="001A5D4A">
            <w:pPr>
              <w:pStyle w:val="NotesTable-CellPlain"/>
            </w:pPr>
            <w:r>
              <w:t>–</w:t>
            </w:r>
          </w:p>
        </w:tc>
        <w:tc>
          <w:tcPr>
            <w:tcW w:w="334" w:type="pct"/>
            <w:shd w:val="clear" w:color="auto" w:fill="CCCCCC"/>
          </w:tcPr>
          <w:p w14:paraId="038A2532" w14:textId="77777777" w:rsidR="00CE0216" w:rsidRDefault="00CE0216" w:rsidP="001A5D4A">
            <w:pPr>
              <w:pStyle w:val="NotesTable-CellPlain"/>
            </w:pPr>
            <w:r>
              <w:t>–</w:t>
            </w:r>
          </w:p>
        </w:tc>
        <w:tc>
          <w:tcPr>
            <w:tcW w:w="372" w:type="pct"/>
            <w:shd w:val="clear" w:color="auto" w:fill="CCCCCC"/>
          </w:tcPr>
          <w:p w14:paraId="038A2533" w14:textId="77777777" w:rsidR="00CE0216" w:rsidRDefault="00CE0216" w:rsidP="001A5D4A">
            <w:pPr>
              <w:pStyle w:val="NotesTable-CellPlain"/>
            </w:pPr>
            <w:r>
              <w:t>–</w:t>
            </w:r>
          </w:p>
        </w:tc>
        <w:tc>
          <w:tcPr>
            <w:tcW w:w="372" w:type="pct"/>
            <w:shd w:val="clear" w:color="auto" w:fill="CCCCCC"/>
          </w:tcPr>
          <w:p w14:paraId="038A2534" w14:textId="77777777" w:rsidR="00CE0216" w:rsidRDefault="00CE0216" w:rsidP="001A5D4A">
            <w:pPr>
              <w:pStyle w:val="NotesTable-CellPlain"/>
            </w:pPr>
            <w:r>
              <w:t>–</w:t>
            </w:r>
          </w:p>
        </w:tc>
        <w:tc>
          <w:tcPr>
            <w:tcW w:w="334" w:type="pct"/>
            <w:shd w:val="clear" w:color="auto" w:fill="CCCCCC"/>
          </w:tcPr>
          <w:p w14:paraId="038A2535" w14:textId="77777777" w:rsidR="00CE0216" w:rsidRDefault="00CE0216" w:rsidP="001A5D4A">
            <w:pPr>
              <w:pStyle w:val="NotesTable-CellPlain"/>
            </w:pPr>
            <w:r>
              <w:t>–</w:t>
            </w:r>
          </w:p>
        </w:tc>
        <w:tc>
          <w:tcPr>
            <w:tcW w:w="334" w:type="pct"/>
            <w:shd w:val="clear" w:color="auto" w:fill="CCCCCC"/>
          </w:tcPr>
          <w:p w14:paraId="038A2536" w14:textId="77777777" w:rsidR="00CE0216" w:rsidRDefault="00CE0216" w:rsidP="001A5D4A">
            <w:pPr>
              <w:pStyle w:val="NotesTable-CellPlain"/>
            </w:pPr>
            <w:r>
              <w:t>–</w:t>
            </w:r>
          </w:p>
        </w:tc>
        <w:tc>
          <w:tcPr>
            <w:tcW w:w="336" w:type="pct"/>
            <w:shd w:val="clear" w:color="auto" w:fill="CCCCCC"/>
          </w:tcPr>
          <w:p w14:paraId="038A2537" w14:textId="77777777" w:rsidR="00CE0216" w:rsidRDefault="00CE0216" w:rsidP="001A5D4A">
            <w:pPr>
              <w:pStyle w:val="NotesTable-CellPlain"/>
              <w:rPr>
                <w:lang w:val="en-GB"/>
              </w:rPr>
            </w:pPr>
            <w:r>
              <w:t>–</w:t>
            </w:r>
          </w:p>
        </w:tc>
      </w:tr>
      <w:tr w:rsidR="00CE0216" w14:paraId="038A2545" w14:textId="77777777" w:rsidTr="002E740E">
        <w:trPr>
          <w:cantSplit/>
          <w:trHeight w:val="218"/>
        </w:trPr>
        <w:tc>
          <w:tcPr>
            <w:tcW w:w="502" w:type="pct"/>
          </w:tcPr>
          <w:p w14:paraId="038A2539" w14:textId="77777777" w:rsidR="00CE0216" w:rsidRDefault="00CE0216" w:rsidP="001A5D4A">
            <w:pPr>
              <w:pStyle w:val="Note-Refs"/>
              <w:rPr>
                <w:b/>
              </w:rPr>
            </w:pPr>
            <w:r>
              <w:t>AASB116.73d</w:t>
            </w:r>
          </w:p>
        </w:tc>
        <w:tc>
          <w:tcPr>
            <w:tcW w:w="1004" w:type="pct"/>
            <w:shd w:val="clear" w:color="auto" w:fill="CCCCCC"/>
            <w:vAlign w:val="bottom"/>
          </w:tcPr>
          <w:p w14:paraId="038A253A" w14:textId="6C49663E" w:rsidR="00CE0216" w:rsidRDefault="00CE0216" w:rsidP="001A5D4A">
            <w:pPr>
              <w:pStyle w:val="NotesTable-ItemPlain"/>
              <w:rPr>
                <w:b/>
              </w:rPr>
            </w:pPr>
            <w:r>
              <w:t>Accumulated depreciation</w:t>
            </w:r>
            <w:r w:rsidR="00933136">
              <w:t xml:space="preserve"> and impairment</w:t>
            </w:r>
          </w:p>
        </w:tc>
        <w:tc>
          <w:tcPr>
            <w:tcW w:w="372" w:type="pct"/>
            <w:tcBorders>
              <w:bottom w:val="single" w:sz="4" w:space="0" w:color="000000"/>
            </w:tcBorders>
            <w:shd w:val="clear" w:color="auto" w:fill="CCCCCC"/>
          </w:tcPr>
          <w:p w14:paraId="038A253B"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3C"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3D"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3E"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3F"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40"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41"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42"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43" w14:textId="77777777" w:rsidR="00CE0216" w:rsidRDefault="00CE0216" w:rsidP="001A5D4A">
            <w:pPr>
              <w:pStyle w:val="NotesTable-CellPlain"/>
            </w:pPr>
            <w:r>
              <w:t>–</w:t>
            </w:r>
          </w:p>
        </w:tc>
        <w:tc>
          <w:tcPr>
            <w:tcW w:w="336" w:type="pct"/>
            <w:tcBorders>
              <w:bottom w:val="single" w:sz="4" w:space="0" w:color="000000"/>
            </w:tcBorders>
            <w:shd w:val="clear" w:color="auto" w:fill="CCCCCC"/>
          </w:tcPr>
          <w:p w14:paraId="038A2544" w14:textId="77777777" w:rsidR="00CE0216" w:rsidRDefault="00CE0216" w:rsidP="001A5D4A">
            <w:pPr>
              <w:pStyle w:val="NotesTable-CellPlain"/>
              <w:rPr>
                <w:lang w:val="en-GB"/>
              </w:rPr>
            </w:pPr>
            <w:r>
              <w:t>–</w:t>
            </w:r>
          </w:p>
        </w:tc>
      </w:tr>
      <w:tr w:rsidR="00CE0216" w14:paraId="038A2552" w14:textId="77777777" w:rsidTr="002E740E">
        <w:trPr>
          <w:cantSplit/>
          <w:trHeight w:val="218"/>
        </w:trPr>
        <w:tc>
          <w:tcPr>
            <w:tcW w:w="502" w:type="pct"/>
          </w:tcPr>
          <w:p w14:paraId="038A2546" w14:textId="77777777" w:rsidR="00CE0216" w:rsidRDefault="00CE0216" w:rsidP="001A5D4A">
            <w:pPr>
              <w:pStyle w:val="Note-Refs"/>
            </w:pPr>
          </w:p>
        </w:tc>
        <w:tc>
          <w:tcPr>
            <w:tcW w:w="1004" w:type="pct"/>
            <w:shd w:val="clear" w:color="auto" w:fill="CCCCCC"/>
            <w:vAlign w:val="bottom"/>
          </w:tcPr>
          <w:p w14:paraId="038A2547" w14:textId="77777777" w:rsidR="00CE0216" w:rsidRDefault="00CE0216" w:rsidP="001A5D4A">
            <w:pPr>
              <w:pStyle w:val="NotesTable-ItemPlain"/>
              <w:rPr>
                <w:b/>
              </w:rPr>
            </w:pPr>
            <w:r>
              <w:t xml:space="preserve">Net book amount </w:t>
            </w:r>
          </w:p>
        </w:tc>
        <w:tc>
          <w:tcPr>
            <w:tcW w:w="372" w:type="pct"/>
            <w:tcBorders>
              <w:top w:val="single" w:sz="4" w:space="0" w:color="000000"/>
            </w:tcBorders>
            <w:shd w:val="clear" w:color="auto" w:fill="CCCCCC"/>
          </w:tcPr>
          <w:p w14:paraId="038A2548"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549"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54A"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54B"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54C"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54D" w14:textId="77777777" w:rsidR="00CE0216" w:rsidRDefault="00CE0216" w:rsidP="001A5D4A">
            <w:pPr>
              <w:pStyle w:val="NotesTable-CellPlain"/>
            </w:pPr>
            <w:r>
              <w:t>–</w:t>
            </w:r>
          </w:p>
        </w:tc>
        <w:tc>
          <w:tcPr>
            <w:tcW w:w="372" w:type="pct"/>
            <w:tcBorders>
              <w:top w:val="single" w:sz="4" w:space="0" w:color="000000"/>
            </w:tcBorders>
            <w:shd w:val="clear" w:color="auto" w:fill="CCCCCC"/>
          </w:tcPr>
          <w:p w14:paraId="038A254E"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54F" w14:textId="77777777" w:rsidR="00CE0216" w:rsidRDefault="00CE0216" w:rsidP="001A5D4A">
            <w:pPr>
              <w:pStyle w:val="NotesTable-CellPlain"/>
            </w:pPr>
            <w:r>
              <w:t>–</w:t>
            </w:r>
          </w:p>
        </w:tc>
        <w:tc>
          <w:tcPr>
            <w:tcW w:w="334" w:type="pct"/>
            <w:tcBorders>
              <w:top w:val="single" w:sz="4" w:space="0" w:color="000000"/>
            </w:tcBorders>
            <w:shd w:val="clear" w:color="auto" w:fill="CCCCCC"/>
          </w:tcPr>
          <w:p w14:paraId="038A2550" w14:textId="77777777" w:rsidR="00CE0216" w:rsidRDefault="00CE0216" w:rsidP="001A5D4A">
            <w:pPr>
              <w:pStyle w:val="NotesTable-CellPlain"/>
            </w:pPr>
            <w:r>
              <w:t>–</w:t>
            </w:r>
          </w:p>
        </w:tc>
        <w:tc>
          <w:tcPr>
            <w:tcW w:w="336" w:type="pct"/>
            <w:tcBorders>
              <w:top w:val="single" w:sz="4" w:space="0" w:color="000000"/>
            </w:tcBorders>
            <w:shd w:val="clear" w:color="auto" w:fill="CCCCCC"/>
          </w:tcPr>
          <w:p w14:paraId="038A2551" w14:textId="77777777" w:rsidR="00CE0216" w:rsidRDefault="00CE0216" w:rsidP="001A5D4A">
            <w:pPr>
              <w:pStyle w:val="NotesTable-CellPlain"/>
              <w:rPr>
                <w:lang w:val="en-GB"/>
              </w:rPr>
            </w:pPr>
            <w:r>
              <w:t>–</w:t>
            </w:r>
          </w:p>
        </w:tc>
      </w:tr>
      <w:tr w:rsidR="00D24883" w14:paraId="038A255F" w14:textId="77777777" w:rsidTr="002E740E">
        <w:trPr>
          <w:cantSplit/>
          <w:trHeight w:val="218"/>
        </w:trPr>
        <w:tc>
          <w:tcPr>
            <w:tcW w:w="502" w:type="pct"/>
          </w:tcPr>
          <w:p w14:paraId="038A2553" w14:textId="77777777" w:rsidR="00D24883" w:rsidRDefault="00D24883" w:rsidP="001A5D4A">
            <w:pPr>
              <w:pStyle w:val="Note-Refs"/>
            </w:pPr>
          </w:p>
        </w:tc>
        <w:tc>
          <w:tcPr>
            <w:tcW w:w="1004" w:type="pct"/>
            <w:shd w:val="clear" w:color="auto" w:fill="CCCCCC"/>
            <w:vAlign w:val="bottom"/>
          </w:tcPr>
          <w:p w14:paraId="038A2554" w14:textId="77777777" w:rsidR="00D24883" w:rsidRDefault="00D24883" w:rsidP="001A5D4A">
            <w:pPr>
              <w:pStyle w:val="NotesTable-ItemPlain"/>
            </w:pPr>
          </w:p>
        </w:tc>
        <w:tc>
          <w:tcPr>
            <w:tcW w:w="372" w:type="pct"/>
            <w:shd w:val="clear" w:color="auto" w:fill="CCCCCC"/>
          </w:tcPr>
          <w:p w14:paraId="038A2555" w14:textId="77777777" w:rsidR="00D24883" w:rsidRDefault="00D24883" w:rsidP="001A5D4A">
            <w:pPr>
              <w:pStyle w:val="NotesTable-CellPlain"/>
            </w:pPr>
          </w:p>
        </w:tc>
        <w:tc>
          <w:tcPr>
            <w:tcW w:w="334" w:type="pct"/>
            <w:shd w:val="clear" w:color="auto" w:fill="CCCCCC"/>
          </w:tcPr>
          <w:p w14:paraId="038A2556" w14:textId="77777777" w:rsidR="00D24883" w:rsidRDefault="00D24883" w:rsidP="001A5D4A">
            <w:pPr>
              <w:pStyle w:val="NotesTable-CellPlain"/>
            </w:pPr>
          </w:p>
        </w:tc>
        <w:tc>
          <w:tcPr>
            <w:tcW w:w="334" w:type="pct"/>
            <w:shd w:val="clear" w:color="auto" w:fill="CCCCCC"/>
          </w:tcPr>
          <w:p w14:paraId="038A2557" w14:textId="77777777" w:rsidR="00D24883" w:rsidRDefault="00D24883" w:rsidP="001A5D4A">
            <w:pPr>
              <w:pStyle w:val="NotesTable-CellPlain"/>
            </w:pPr>
          </w:p>
        </w:tc>
        <w:tc>
          <w:tcPr>
            <w:tcW w:w="372" w:type="pct"/>
            <w:shd w:val="clear" w:color="auto" w:fill="CCCCCC"/>
          </w:tcPr>
          <w:p w14:paraId="038A2558" w14:textId="77777777" w:rsidR="00D24883" w:rsidRDefault="00D24883" w:rsidP="001A5D4A">
            <w:pPr>
              <w:pStyle w:val="NotesTable-CellPlain"/>
            </w:pPr>
          </w:p>
        </w:tc>
        <w:tc>
          <w:tcPr>
            <w:tcW w:w="334" w:type="pct"/>
            <w:shd w:val="clear" w:color="auto" w:fill="CCCCCC"/>
          </w:tcPr>
          <w:p w14:paraId="038A2559" w14:textId="77777777" w:rsidR="00D24883" w:rsidRDefault="00D24883" w:rsidP="001A5D4A">
            <w:pPr>
              <w:pStyle w:val="NotesTable-CellPlain"/>
            </w:pPr>
          </w:p>
        </w:tc>
        <w:tc>
          <w:tcPr>
            <w:tcW w:w="372" w:type="pct"/>
            <w:shd w:val="clear" w:color="auto" w:fill="CCCCCC"/>
          </w:tcPr>
          <w:p w14:paraId="038A255A" w14:textId="77777777" w:rsidR="00D24883" w:rsidRDefault="00D24883" w:rsidP="001A5D4A">
            <w:pPr>
              <w:pStyle w:val="NotesTable-CellPlain"/>
            </w:pPr>
          </w:p>
        </w:tc>
        <w:tc>
          <w:tcPr>
            <w:tcW w:w="372" w:type="pct"/>
            <w:shd w:val="clear" w:color="auto" w:fill="CCCCCC"/>
          </w:tcPr>
          <w:p w14:paraId="038A255B" w14:textId="77777777" w:rsidR="00D24883" w:rsidRDefault="00D24883" w:rsidP="001A5D4A">
            <w:pPr>
              <w:pStyle w:val="NotesTable-CellPlain"/>
            </w:pPr>
          </w:p>
        </w:tc>
        <w:tc>
          <w:tcPr>
            <w:tcW w:w="334" w:type="pct"/>
            <w:shd w:val="clear" w:color="auto" w:fill="CCCCCC"/>
          </w:tcPr>
          <w:p w14:paraId="038A255C" w14:textId="77777777" w:rsidR="00D24883" w:rsidRDefault="00D24883" w:rsidP="001A5D4A">
            <w:pPr>
              <w:pStyle w:val="NotesTable-CellPlain"/>
            </w:pPr>
          </w:p>
        </w:tc>
        <w:tc>
          <w:tcPr>
            <w:tcW w:w="334" w:type="pct"/>
            <w:shd w:val="clear" w:color="auto" w:fill="CCCCCC"/>
          </w:tcPr>
          <w:p w14:paraId="038A255D" w14:textId="77777777" w:rsidR="00D24883" w:rsidRDefault="00D24883" w:rsidP="001A5D4A">
            <w:pPr>
              <w:pStyle w:val="NotesTable-CellPlain"/>
            </w:pPr>
          </w:p>
        </w:tc>
        <w:tc>
          <w:tcPr>
            <w:tcW w:w="336" w:type="pct"/>
            <w:shd w:val="clear" w:color="auto" w:fill="CCCCCC"/>
          </w:tcPr>
          <w:p w14:paraId="038A255E" w14:textId="77777777" w:rsidR="00D24883" w:rsidRDefault="00D24883" w:rsidP="001A5D4A">
            <w:pPr>
              <w:pStyle w:val="NotesTable-CellPlain"/>
            </w:pPr>
          </w:p>
        </w:tc>
      </w:tr>
      <w:tr w:rsidR="00742371" w14:paraId="038A2562" w14:textId="77777777" w:rsidTr="00E21378">
        <w:trPr>
          <w:cantSplit/>
          <w:trHeight w:val="218"/>
        </w:trPr>
        <w:tc>
          <w:tcPr>
            <w:tcW w:w="502" w:type="pct"/>
          </w:tcPr>
          <w:p w14:paraId="038A2560" w14:textId="77777777" w:rsidR="00742371" w:rsidRDefault="00742371" w:rsidP="001A5D4A">
            <w:pPr>
              <w:pStyle w:val="Note-Refs"/>
            </w:pPr>
          </w:p>
        </w:tc>
        <w:tc>
          <w:tcPr>
            <w:tcW w:w="4498" w:type="pct"/>
            <w:gridSpan w:val="11"/>
            <w:shd w:val="clear" w:color="auto" w:fill="CCCCCC"/>
            <w:vAlign w:val="bottom"/>
          </w:tcPr>
          <w:p w14:paraId="038A2561" w14:textId="2936DD72" w:rsidR="00742371" w:rsidRDefault="00742371" w:rsidP="001A5D4A">
            <w:pPr>
              <w:pStyle w:val="Note-TextHeader"/>
              <w:rPr>
                <w:lang w:val="en-GB"/>
              </w:rPr>
            </w:pPr>
            <w:r>
              <w:t xml:space="preserve">Year ended 31 December </w:t>
            </w:r>
            <w:r w:rsidR="006864EC">
              <w:t>2013</w:t>
            </w:r>
          </w:p>
        </w:tc>
      </w:tr>
      <w:tr w:rsidR="0092710B" w14:paraId="1025B8D5" w14:textId="77777777" w:rsidTr="002E740E">
        <w:trPr>
          <w:cantSplit/>
          <w:trHeight w:val="218"/>
        </w:trPr>
        <w:tc>
          <w:tcPr>
            <w:tcW w:w="502" w:type="pct"/>
          </w:tcPr>
          <w:p w14:paraId="75D49011" w14:textId="77777777" w:rsidR="0092710B" w:rsidRDefault="0092710B" w:rsidP="001A5D4A">
            <w:pPr>
              <w:pStyle w:val="Note-Refs"/>
              <w:rPr>
                <w:b/>
              </w:rPr>
            </w:pPr>
            <w:r>
              <w:t>AASB116.73e</w:t>
            </w:r>
          </w:p>
        </w:tc>
        <w:tc>
          <w:tcPr>
            <w:tcW w:w="1004" w:type="pct"/>
            <w:shd w:val="clear" w:color="auto" w:fill="CCCCCC"/>
            <w:vAlign w:val="bottom"/>
          </w:tcPr>
          <w:p w14:paraId="76A7C393" w14:textId="77777777" w:rsidR="0092710B" w:rsidRDefault="0092710B" w:rsidP="001A5D4A">
            <w:pPr>
              <w:pStyle w:val="NotesTable-ItemPlain"/>
              <w:rPr>
                <w:b/>
              </w:rPr>
            </w:pPr>
            <w:r>
              <w:t>Opening net book amount</w:t>
            </w:r>
          </w:p>
        </w:tc>
        <w:tc>
          <w:tcPr>
            <w:tcW w:w="372" w:type="pct"/>
            <w:shd w:val="clear" w:color="auto" w:fill="CCCCCC"/>
          </w:tcPr>
          <w:p w14:paraId="1D06D1B8" w14:textId="77777777" w:rsidR="0092710B" w:rsidRDefault="0092710B" w:rsidP="001A5D4A">
            <w:pPr>
              <w:pStyle w:val="NotesTable-CellPlain"/>
            </w:pPr>
            <w:r>
              <w:t>–</w:t>
            </w:r>
          </w:p>
        </w:tc>
        <w:tc>
          <w:tcPr>
            <w:tcW w:w="334" w:type="pct"/>
            <w:shd w:val="clear" w:color="auto" w:fill="CCCCCC"/>
          </w:tcPr>
          <w:p w14:paraId="29A8484D" w14:textId="77777777" w:rsidR="0092710B" w:rsidRDefault="0092710B" w:rsidP="001A5D4A">
            <w:pPr>
              <w:pStyle w:val="NotesTable-CellPlain"/>
            </w:pPr>
            <w:r>
              <w:t>–</w:t>
            </w:r>
          </w:p>
        </w:tc>
        <w:tc>
          <w:tcPr>
            <w:tcW w:w="334" w:type="pct"/>
            <w:shd w:val="clear" w:color="auto" w:fill="CCCCCC"/>
          </w:tcPr>
          <w:p w14:paraId="37EA7E40" w14:textId="77777777" w:rsidR="0092710B" w:rsidRDefault="0092710B" w:rsidP="001A5D4A">
            <w:pPr>
              <w:pStyle w:val="NotesTable-CellPlain"/>
            </w:pPr>
            <w:r>
              <w:t>–</w:t>
            </w:r>
          </w:p>
        </w:tc>
        <w:tc>
          <w:tcPr>
            <w:tcW w:w="372" w:type="pct"/>
            <w:shd w:val="clear" w:color="auto" w:fill="CCCCCC"/>
          </w:tcPr>
          <w:p w14:paraId="39FA33A5" w14:textId="77777777" w:rsidR="0092710B" w:rsidRDefault="0092710B" w:rsidP="001A5D4A">
            <w:pPr>
              <w:pStyle w:val="NotesTable-CellPlain"/>
            </w:pPr>
            <w:r>
              <w:t>–</w:t>
            </w:r>
          </w:p>
        </w:tc>
        <w:tc>
          <w:tcPr>
            <w:tcW w:w="334" w:type="pct"/>
            <w:shd w:val="clear" w:color="auto" w:fill="CCCCCC"/>
          </w:tcPr>
          <w:p w14:paraId="4E9C04FA" w14:textId="77777777" w:rsidR="0092710B" w:rsidRDefault="0092710B" w:rsidP="001A5D4A">
            <w:pPr>
              <w:pStyle w:val="NotesTable-CellPlain"/>
            </w:pPr>
            <w:r>
              <w:t>–</w:t>
            </w:r>
          </w:p>
        </w:tc>
        <w:tc>
          <w:tcPr>
            <w:tcW w:w="372" w:type="pct"/>
            <w:shd w:val="clear" w:color="auto" w:fill="CCCCCC"/>
          </w:tcPr>
          <w:p w14:paraId="5277C1F6" w14:textId="77777777" w:rsidR="0092710B" w:rsidRDefault="0092710B" w:rsidP="001A5D4A">
            <w:pPr>
              <w:pStyle w:val="NotesTable-CellPlain"/>
            </w:pPr>
            <w:r>
              <w:t>–</w:t>
            </w:r>
          </w:p>
        </w:tc>
        <w:tc>
          <w:tcPr>
            <w:tcW w:w="372" w:type="pct"/>
            <w:shd w:val="clear" w:color="auto" w:fill="CCCCCC"/>
          </w:tcPr>
          <w:p w14:paraId="5758DDB9" w14:textId="77777777" w:rsidR="0092710B" w:rsidRDefault="0092710B" w:rsidP="001A5D4A">
            <w:pPr>
              <w:pStyle w:val="NotesTable-CellPlain"/>
            </w:pPr>
            <w:r>
              <w:t>–</w:t>
            </w:r>
          </w:p>
        </w:tc>
        <w:tc>
          <w:tcPr>
            <w:tcW w:w="334" w:type="pct"/>
            <w:shd w:val="clear" w:color="auto" w:fill="CCCCCC"/>
          </w:tcPr>
          <w:p w14:paraId="073ED681" w14:textId="77777777" w:rsidR="0092710B" w:rsidRDefault="0092710B" w:rsidP="001A5D4A">
            <w:pPr>
              <w:pStyle w:val="NotesTable-CellPlain"/>
            </w:pPr>
            <w:r>
              <w:t>–</w:t>
            </w:r>
          </w:p>
        </w:tc>
        <w:tc>
          <w:tcPr>
            <w:tcW w:w="334" w:type="pct"/>
            <w:shd w:val="clear" w:color="auto" w:fill="CCCCCC"/>
          </w:tcPr>
          <w:p w14:paraId="10B7D39B" w14:textId="77777777" w:rsidR="0092710B" w:rsidRDefault="0092710B" w:rsidP="001A5D4A">
            <w:pPr>
              <w:pStyle w:val="NotesTable-CellPlain"/>
            </w:pPr>
            <w:r>
              <w:t>–</w:t>
            </w:r>
          </w:p>
        </w:tc>
        <w:tc>
          <w:tcPr>
            <w:tcW w:w="336" w:type="pct"/>
            <w:shd w:val="clear" w:color="auto" w:fill="CCCCCC"/>
          </w:tcPr>
          <w:p w14:paraId="773D9262" w14:textId="77777777" w:rsidR="0092710B" w:rsidRDefault="0092710B" w:rsidP="001A5D4A">
            <w:pPr>
              <w:pStyle w:val="NotesTable-CellPlain"/>
              <w:rPr>
                <w:lang w:val="en-GB"/>
              </w:rPr>
            </w:pPr>
            <w:r>
              <w:t>–</w:t>
            </w:r>
          </w:p>
        </w:tc>
      </w:tr>
      <w:tr w:rsidR="0092710B" w14:paraId="683AB41D" w14:textId="77777777" w:rsidTr="002E740E">
        <w:trPr>
          <w:cantSplit/>
          <w:trHeight w:val="218"/>
        </w:trPr>
        <w:tc>
          <w:tcPr>
            <w:tcW w:w="502" w:type="pct"/>
          </w:tcPr>
          <w:p w14:paraId="12308731" w14:textId="77777777" w:rsidR="0092710B" w:rsidRDefault="0092710B" w:rsidP="001A5D4A">
            <w:pPr>
              <w:pStyle w:val="Note-Refs"/>
              <w:rPr>
                <w:b/>
              </w:rPr>
            </w:pPr>
            <w:r>
              <w:t>AASB116.73e(i),74b</w:t>
            </w:r>
          </w:p>
        </w:tc>
        <w:tc>
          <w:tcPr>
            <w:tcW w:w="1004" w:type="pct"/>
            <w:shd w:val="clear" w:color="auto" w:fill="CCCCCC"/>
            <w:vAlign w:val="bottom"/>
          </w:tcPr>
          <w:p w14:paraId="6ABF2509" w14:textId="77777777" w:rsidR="0092710B" w:rsidRDefault="0092710B" w:rsidP="001A5D4A">
            <w:pPr>
              <w:pStyle w:val="NotesTable-ItemPlain"/>
              <w:rPr>
                <w:b/>
              </w:rPr>
            </w:pPr>
            <w:r>
              <w:t>Additions</w:t>
            </w:r>
          </w:p>
        </w:tc>
        <w:tc>
          <w:tcPr>
            <w:tcW w:w="372" w:type="pct"/>
            <w:shd w:val="clear" w:color="auto" w:fill="CCCCCC"/>
          </w:tcPr>
          <w:p w14:paraId="41FCB9FD" w14:textId="77777777" w:rsidR="0092710B" w:rsidRDefault="0092710B" w:rsidP="001A5D4A">
            <w:pPr>
              <w:pStyle w:val="NotesTable-CellPlain"/>
            </w:pPr>
            <w:r>
              <w:t>–</w:t>
            </w:r>
          </w:p>
        </w:tc>
        <w:tc>
          <w:tcPr>
            <w:tcW w:w="334" w:type="pct"/>
            <w:shd w:val="clear" w:color="auto" w:fill="CCCCCC"/>
          </w:tcPr>
          <w:p w14:paraId="1777F215" w14:textId="77777777" w:rsidR="0092710B" w:rsidRDefault="0092710B" w:rsidP="001A5D4A">
            <w:pPr>
              <w:pStyle w:val="NotesTable-CellPlain"/>
            </w:pPr>
            <w:r>
              <w:t>–</w:t>
            </w:r>
          </w:p>
        </w:tc>
        <w:tc>
          <w:tcPr>
            <w:tcW w:w="334" w:type="pct"/>
            <w:shd w:val="clear" w:color="auto" w:fill="CCCCCC"/>
          </w:tcPr>
          <w:p w14:paraId="6F8EDAEE" w14:textId="77777777" w:rsidR="0092710B" w:rsidRDefault="0092710B" w:rsidP="001A5D4A">
            <w:pPr>
              <w:pStyle w:val="NotesTable-CellPlain"/>
            </w:pPr>
            <w:r>
              <w:t>–</w:t>
            </w:r>
          </w:p>
        </w:tc>
        <w:tc>
          <w:tcPr>
            <w:tcW w:w="372" w:type="pct"/>
            <w:shd w:val="clear" w:color="auto" w:fill="CCCCCC"/>
          </w:tcPr>
          <w:p w14:paraId="5671CB5B" w14:textId="77777777" w:rsidR="0092710B" w:rsidRDefault="0092710B" w:rsidP="001A5D4A">
            <w:pPr>
              <w:pStyle w:val="NotesTable-CellPlain"/>
            </w:pPr>
            <w:r>
              <w:t>–</w:t>
            </w:r>
          </w:p>
        </w:tc>
        <w:tc>
          <w:tcPr>
            <w:tcW w:w="334" w:type="pct"/>
            <w:shd w:val="clear" w:color="auto" w:fill="CCCCCC"/>
          </w:tcPr>
          <w:p w14:paraId="6693354D" w14:textId="77777777" w:rsidR="0092710B" w:rsidRDefault="0092710B" w:rsidP="001A5D4A">
            <w:pPr>
              <w:pStyle w:val="NotesTable-CellPlain"/>
            </w:pPr>
            <w:r>
              <w:t>–</w:t>
            </w:r>
          </w:p>
        </w:tc>
        <w:tc>
          <w:tcPr>
            <w:tcW w:w="372" w:type="pct"/>
            <w:shd w:val="clear" w:color="auto" w:fill="CCCCCC"/>
          </w:tcPr>
          <w:p w14:paraId="3870C39C" w14:textId="77777777" w:rsidR="0092710B" w:rsidRDefault="0092710B" w:rsidP="001A5D4A">
            <w:pPr>
              <w:pStyle w:val="NotesTable-CellPlain"/>
            </w:pPr>
            <w:r>
              <w:t>–</w:t>
            </w:r>
          </w:p>
        </w:tc>
        <w:tc>
          <w:tcPr>
            <w:tcW w:w="372" w:type="pct"/>
            <w:shd w:val="clear" w:color="auto" w:fill="CCCCCC"/>
          </w:tcPr>
          <w:p w14:paraId="590CFC15" w14:textId="77777777" w:rsidR="0092710B" w:rsidRDefault="0092710B" w:rsidP="001A5D4A">
            <w:pPr>
              <w:pStyle w:val="NotesTable-CellPlain"/>
            </w:pPr>
            <w:r>
              <w:t>–</w:t>
            </w:r>
          </w:p>
        </w:tc>
        <w:tc>
          <w:tcPr>
            <w:tcW w:w="334" w:type="pct"/>
            <w:shd w:val="clear" w:color="auto" w:fill="CCCCCC"/>
          </w:tcPr>
          <w:p w14:paraId="622F853F" w14:textId="77777777" w:rsidR="0092710B" w:rsidRDefault="0092710B" w:rsidP="001A5D4A">
            <w:pPr>
              <w:pStyle w:val="NotesTable-CellPlain"/>
            </w:pPr>
            <w:r>
              <w:t>–</w:t>
            </w:r>
          </w:p>
        </w:tc>
        <w:tc>
          <w:tcPr>
            <w:tcW w:w="334" w:type="pct"/>
            <w:shd w:val="clear" w:color="auto" w:fill="CCCCCC"/>
          </w:tcPr>
          <w:p w14:paraId="5417B700" w14:textId="77777777" w:rsidR="0092710B" w:rsidRDefault="0092710B" w:rsidP="001A5D4A">
            <w:pPr>
              <w:pStyle w:val="NotesTable-CellPlain"/>
            </w:pPr>
            <w:r>
              <w:t>–</w:t>
            </w:r>
          </w:p>
        </w:tc>
        <w:tc>
          <w:tcPr>
            <w:tcW w:w="336" w:type="pct"/>
            <w:shd w:val="clear" w:color="auto" w:fill="CCCCCC"/>
          </w:tcPr>
          <w:p w14:paraId="2CD4512B" w14:textId="77777777" w:rsidR="0092710B" w:rsidRDefault="0092710B" w:rsidP="001A5D4A">
            <w:pPr>
              <w:pStyle w:val="NotesTable-CellPlain"/>
              <w:rPr>
                <w:lang w:val="en-GB"/>
              </w:rPr>
            </w:pPr>
            <w:r>
              <w:t>–</w:t>
            </w:r>
          </w:p>
        </w:tc>
      </w:tr>
      <w:tr w:rsidR="0092710B" w14:paraId="498E6073" w14:textId="77777777" w:rsidTr="002E740E">
        <w:trPr>
          <w:cantSplit/>
          <w:trHeight w:val="218"/>
        </w:trPr>
        <w:tc>
          <w:tcPr>
            <w:tcW w:w="502" w:type="pct"/>
          </w:tcPr>
          <w:p w14:paraId="2F1CA00B" w14:textId="77777777" w:rsidR="0092710B" w:rsidRDefault="0092710B" w:rsidP="001A5D4A">
            <w:pPr>
              <w:pStyle w:val="Note-Refs"/>
              <w:rPr>
                <w:b/>
              </w:rPr>
            </w:pPr>
            <w:r>
              <w:t>AASB116.73e(ii)</w:t>
            </w:r>
          </w:p>
        </w:tc>
        <w:tc>
          <w:tcPr>
            <w:tcW w:w="1004" w:type="pct"/>
            <w:shd w:val="clear" w:color="auto" w:fill="CCCCCC"/>
            <w:vAlign w:val="bottom"/>
          </w:tcPr>
          <w:p w14:paraId="783481DC" w14:textId="77777777" w:rsidR="0092710B" w:rsidRDefault="0092710B" w:rsidP="001A5D4A">
            <w:pPr>
              <w:pStyle w:val="NotesTable-ItemPlain"/>
              <w:rPr>
                <w:b/>
              </w:rPr>
            </w:pPr>
            <w:r>
              <w:t>Assets included in a disposal group classified as held for sale and other disposals</w:t>
            </w:r>
          </w:p>
        </w:tc>
        <w:tc>
          <w:tcPr>
            <w:tcW w:w="372" w:type="pct"/>
            <w:shd w:val="clear" w:color="auto" w:fill="CCCCCC"/>
          </w:tcPr>
          <w:p w14:paraId="1166DA26" w14:textId="77777777" w:rsidR="0092710B" w:rsidRDefault="0092710B" w:rsidP="001A5D4A">
            <w:pPr>
              <w:pStyle w:val="NotesTable-CellPlain"/>
            </w:pPr>
            <w:r>
              <w:t>–</w:t>
            </w:r>
          </w:p>
        </w:tc>
        <w:tc>
          <w:tcPr>
            <w:tcW w:w="334" w:type="pct"/>
            <w:shd w:val="clear" w:color="auto" w:fill="CCCCCC"/>
          </w:tcPr>
          <w:p w14:paraId="31CB95A2" w14:textId="77777777" w:rsidR="0092710B" w:rsidRDefault="0092710B" w:rsidP="001A5D4A">
            <w:pPr>
              <w:pStyle w:val="NotesTable-CellPlain"/>
            </w:pPr>
            <w:r>
              <w:t>–</w:t>
            </w:r>
          </w:p>
        </w:tc>
        <w:tc>
          <w:tcPr>
            <w:tcW w:w="334" w:type="pct"/>
            <w:shd w:val="clear" w:color="auto" w:fill="CCCCCC"/>
          </w:tcPr>
          <w:p w14:paraId="6A3839AC" w14:textId="77777777" w:rsidR="0092710B" w:rsidRDefault="0092710B" w:rsidP="001A5D4A">
            <w:pPr>
              <w:pStyle w:val="NotesTable-CellPlain"/>
            </w:pPr>
            <w:r>
              <w:t>–</w:t>
            </w:r>
          </w:p>
        </w:tc>
        <w:tc>
          <w:tcPr>
            <w:tcW w:w="372" w:type="pct"/>
            <w:shd w:val="clear" w:color="auto" w:fill="CCCCCC"/>
          </w:tcPr>
          <w:p w14:paraId="0A0962D0" w14:textId="77777777" w:rsidR="0092710B" w:rsidRDefault="0092710B" w:rsidP="001A5D4A">
            <w:pPr>
              <w:pStyle w:val="NotesTable-CellPlain"/>
            </w:pPr>
            <w:r>
              <w:t>–</w:t>
            </w:r>
          </w:p>
        </w:tc>
        <w:tc>
          <w:tcPr>
            <w:tcW w:w="334" w:type="pct"/>
            <w:shd w:val="clear" w:color="auto" w:fill="CCCCCC"/>
          </w:tcPr>
          <w:p w14:paraId="25208B8C" w14:textId="77777777" w:rsidR="0092710B" w:rsidRDefault="0092710B" w:rsidP="001A5D4A">
            <w:pPr>
              <w:pStyle w:val="NotesTable-CellPlain"/>
            </w:pPr>
            <w:r>
              <w:t>–</w:t>
            </w:r>
          </w:p>
        </w:tc>
        <w:tc>
          <w:tcPr>
            <w:tcW w:w="372" w:type="pct"/>
            <w:shd w:val="clear" w:color="auto" w:fill="CCCCCC"/>
          </w:tcPr>
          <w:p w14:paraId="6C96465C" w14:textId="77777777" w:rsidR="0092710B" w:rsidRDefault="0092710B" w:rsidP="001A5D4A">
            <w:pPr>
              <w:pStyle w:val="NotesTable-CellPlain"/>
            </w:pPr>
            <w:r>
              <w:t>–</w:t>
            </w:r>
          </w:p>
        </w:tc>
        <w:tc>
          <w:tcPr>
            <w:tcW w:w="372" w:type="pct"/>
            <w:shd w:val="clear" w:color="auto" w:fill="CCCCCC"/>
          </w:tcPr>
          <w:p w14:paraId="5C1622B8" w14:textId="77777777" w:rsidR="0092710B" w:rsidRDefault="0092710B" w:rsidP="001A5D4A">
            <w:pPr>
              <w:pStyle w:val="NotesTable-CellPlain"/>
            </w:pPr>
            <w:r>
              <w:t>–</w:t>
            </w:r>
          </w:p>
        </w:tc>
        <w:tc>
          <w:tcPr>
            <w:tcW w:w="334" w:type="pct"/>
            <w:shd w:val="clear" w:color="auto" w:fill="CCCCCC"/>
          </w:tcPr>
          <w:p w14:paraId="583ECAE1" w14:textId="77777777" w:rsidR="0092710B" w:rsidRDefault="0092710B" w:rsidP="001A5D4A">
            <w:pPr>
              <w:pStyle w:val="NotesTable-CellPlain"/>
            </w:pPr>
            <w:r>
              <w:t>–</w:t>
            </w:r>
          </w:p>
        </w:tc>
        <w:tc>
          <w:tcPr>
            <w:tcW w:w="334" w:type="pct"/>
            <w:shd w:val="clear" w:color="auto" w:fill="CCCCCC"/>
          </w:tcPr>
          <w:p w14:paraId="7BF9F200" w14:textId="77777777" w:rsidR="0092710B" w:rsidRDefault="0092710B" w:rsidP="001A5D4A">
            <w:pPr>
              <w:pStyle w:val="NotesTable-CellPlain"/>
            </w:pPr>
            <w:r>
              <w:t>–</w:t>
            </w:r>
          </w:p>
        </w:tc>
        <w:tc>
          <w:tcPr>
            <w:tcW w:w="336" w:type="pct"/>
            <w:shd w:val="clear" w:color="auto" w:fill="CCCCCC"/>
          </w:tcPr>
          <w:p w14:paraId="3EC5E927" w14:textId="77777777" w:rsidR="0092710B" w:rsidRDefault="0092710B" w:rsidP="001A5D4A">
            <w:pPr>
              <w:pStyle w:val="NotesTable-CellPlain"/>
              <w:rPr>
                <w:lang w:val="en-GB"/>
              </w:rPr>
            </w:pPr>
            <w:r>
              <w:t>–</w:t>
            </w:r>
          </w:p>
        </w:tc>
      </w:tr>
      <w:tr w:rsidR="0092710B" w:rsidDel="0099740A" w14:paraId="13743784" w14:textId="77777777" w:rsidTr="002E740E">
        <w:trPr>
          <w:cantSplit/>
          <w:trHeight w:val="218"/>
        </w:trPr>
        <w:tc>
          <w:tcPr>
            <w:tcW w:w="502" w:type="pct"/>
          </w:tcPr>
          <w:p w14:paraId="7616E91A" w14:textId="77777777" w:rsidR="0092710B" w:rsidDel="0099740A" w:rsidRDefault="0092710B" w:rsidP="001A5D4A">
            <w:pPr>
              <w:pStyle w:val="Note-Refs"/>
            </w:pPr>
            <w:r>
              <w:t>AASB116.73(iii)</w:t>
            </w:r>
          </w:p>
        </w:tc>
        <w:tc>
          <w:tcPr>
            <w:tcW w:w="1004" w:type="pct"/>
            <w:shd w:val="clear" w:color="auto" w:fill="CCCCCC"/>
            <w:vAlign w:val="bottom"/>
          </w:tcPr>
          <w:p w14:paraId="67F975AA" w14:textId="77777777" w:rsidR="0092710B" w:rsidDel="0099740A" w:rsidRDefault="0092710B" w:rsidP="001A5D4A">
            <w:pPr>
              <w:pStyle w:val="NotesTable-ItemPlain"/>
            </w:pPr>
            <w:r>
              <w:t>Acquisitions through business combinations</w:t>
            </w:r>
          </w:p>
        </w:tc>
        <w:tc>
          <w:tcPr>
            <w:tcW w:w="372" w:type="pct"/>
            <w:shd w:val="clear" w:color="auto" w:fill="CCCCCC"/>
          </w:tcPr>
          <w:p w14:paraId="6823F843" w14:textId="77777777" w:rsidR="0092710B" w:rsidDel="0099740A" w:rsidRDefault="0092710B" w:rsidP="001A5D4A">
            <w:pPr>
              <w:pStyle w:val="NotesTable-CellPlain"/>
            </w:pPr>
            <w:r>
              <w:t>–</w:t>
            </w:r>
          </w:p>
        </w:tc>
        <w:tc>
          <w:tcPr>
            <w:tcW w:w="334" w:type="pct"/>
            <w:shd w:val="clear" w:color="auto" w:fill="CCCCCC"/>
          </w:tcPr>
          <w:p w14:paraId="46F805B2" w14:textId="77777777" w:rsidR="0092710B" w:rsidDel="0099740A" w:rsidRDefault="0092710B" w:rsidP="001A5D4A">
            <w:pPr>
              <w:pStyle w:val="NotesTable-CellPlain"/>
            </w:pPr>
            <w:r>
              <w:t>–</w:t>
            </w:r>
          </w:p>
        </w:tc>
        <w:tc>
          <w:tcPr>
            <w:tcW w:w="334" w:type="pct"/>
            <w:shd w:val="clear" w:color="auto" w:fill="CCCCCC"/>
          </w:tcPr>
          <w:p w14:paraId="33FF51F6" w14:textId="77777777" w:rsidR="0092710B" w:rsidDel="0099740A" w:rsidRDefault="0092710B" w:rsidP="001A5D4A">
            <w:pPr>
              <w:pStyle w:val="NotesTable-CellPlain"/>
            </w:pPr>
            <w:r>
              <w:t>–</w:t>
            </w:r>
          </w:p>
        </w:tc>
        <w:tc>
          <w:tcPr>
            <w:tcW w:w="372" w:type="pct"/>
            <w:shd w:val="clear" w:color="auto" w:fill="CCCCCC"/>
          </w:tcPr>
          <w:p w14:paraId="64F80B1A" w14:textId="77777777" w:rsidR="0092710B" w:rsidDel="0099740A" w:rsidRDefault="0092710B" w:rsidP="001A5D4A">
            <w:pPr>
              <w:pStyle w:val="NotesTable-CellPlain"/>
            </w:pPr>
            <w:r>
              <w:t>–</w:t>
            </w:r>
          </w:p>
        </w:tc>
        <w:tc>
          <w:tcPr>
            <w:tcW w:w="334" w:type="pct"/>
            <w:shd w:val="clear" w:color="auto" w:fill="CCCCCC"/>
          </w:tcPr>
          <w:p w14:paraId="1ACEE241" w14:textId="77777777" w:rsidR="0092710B" w:rsidDel="0099740A" w:rsidRDefault="0092710B" w:rsidP="001A5D4A">
            <w:pPr>
              <w:pStyle w:val="NotesTable-CellPlain"/>
            </w:pPr>
            <w:r>
              <w:t>–</w:t>
            </w:r>
          </w:p>
        </w:tc>
        <w:tc>
          <w:tcPr>
            <w:tcW w:w="372" w:type="pct"/>
            <w:shd w:val="clear" w:color="auto" w:fill="CCCCCC"/>
          </w:tcPr>
          <w:p w14:paraId="0DCA8A1E" w14:textId="77777777" w:rsidR="0092710B" w:rsidDel="0099740A" w:rsidRDefault="0092710B" w:rsidP="001A5D4A">
            <w:pPr>
              <w:pStyle w:val="NotesTable-CellPlain"/>
            </w:pPr>
            <w:r>
              <w:t>–</w:t>
            </w:r>
          </w:p>
        </w:tc>
        <w:tc>
          <w:tcPr>
            <w:tcW w:w="372" w:type="pct"/>
            <w:shd w:val="clear" w:color="auto" w:fill="CCCCCC"/>
          </w:tcPr>
          <w:p w14:paraId="2E2164B6" w14:textId="77777777" w:rsidR="0092710B" w:rsidDel="0099740A" w:rsidRDefault="0092710B" w:rsidP="001A5D4A">
            <w:pPr>
              <w:pStyle w:val="NotesTable-CellPlain"/>
            </w:pPr>
            <w:r>
              <w:t>–</w:t>
            </w:r>
          </w:p>
        </w:tc>
        <w:tc>
          <w:tcPr>
            <w:tcW w:w="334" w:type="pct"/>
            <w:shd w:val="clear" w:color="auto" w:fill="CCCCCC"/>
          </w:tcPr>
          <w:p w14:paraId="52215C5A" w14:textId="77777777" w:rsidR="0092710B" w:rsidDel="0099740A" w:rsidRDefault="0092710B" w:rsidP="001A5D4A">
            <w:pPr>
              <w:pStyle w:val="NotesTable-CellPlain"/>
            </w:pPr>
            <w:r>
              <w:t>–</w:t>
            </w:r>
          </w:p>
        </w:tc>
        <w:tc>
          <w:tcPr>
            <w:tcW w:w="334" w:type="pct"/>
            <w:shd w:val="clear" w:color="auto" w:fill="CCCCCC"/>
          </w:tcPr>
          <w:p w14:paraId="64E0D869" w14:textId="77777777" w:rsidR="0092710B" w:rsidDel="0099740A" w:rsidRDefault="0092710B" w:rsidP="001A5D4A">
            <w:pPr>
              <w:pStyle w:val="NotesTable-CellPlain"/>
            </w:pPr>
            <w:r>
              <w:t>–</w:t>
            </w:r>
          </w:p>
        </w:tc>
        <w:tc>
          <w:tcPr>
            <w:tcW w:w="336" w:type="pct"/>
            <w:shd w:val="clear" w:color="auto" w:fill="CCCCCC"/>
          </w:tcPr>
          <w:p w14:paraId="20DB2DAE" w14:textId="77777777" w:rsidR="0092710B" w:rsidDel="0099740A" w:rsidRDefault="0092710B" w:rsidP="001A5D4A">
            <w:pPr>
              <w:pStyle w:val="NotesTable-CellPlain"/>
            </w:pPr>
            <w:r>
              <w:t>–</w:t>
            </w:r>
          </w:p>
        </w:tc>
      </w:tr>
      <w:tr w:rsidR="0092710B" w14:paraId="07C74340" w14:textId="77777777" w:rsidTr="002E740E">
        <w:trPr>
          <w:cantSplit/>
          <w:trHeight w:val="218"/>
        </w:trPr>
        <w:tc>
          <w:tcPr>
            <w:tcW w:w="502" w:type="pct"/>
          </w:tcPr>
          <w:p w14:paraId="6C828B7B" w14:textId="77777777" w:rsidR="0092710B" w:rsidRDefault="0092710B" w:rsidP="001A5D4A">
            <w:pPr>
              <w:pStyle w:val="Note-Refs"/>
              <w:rPr>
                <w:b/>
              </w:rPr>
            </w:pPr>
            <w:r>
              <w:t>AASB116.73e(iv)</w:t>
            </w:r>
          </w:p>
        </w:tc>
        <w:tc>
          <w:tcPr>
            <w:tcW w:w="1004" w:type="pct"/>
            <w:shd w:val="clear" w:color="auto" w:fill="CCCCCC"/>
            <w:vAlign w:val="bottom"/>
          </w:tcPr>
          <w:p w14:paraId="672DE74A" w14:textId="77777777" w:rsidR="0092710B" w:rsidRDefault="0092710B" w:rsidP="001A5D4A">
            <w:pPr>
              <w:pStyle w:val="NotesTable-ItemPlain"/>
              <w:rPr>
                <w:b/>
              </w:rPr>
            </w:pPr>
            <w:r>
              <w:t>Revaluation surplus</w:t>
            </w:r>
          </w:p>
        </w:tc>
        <w:tc>
          <w:tcPr>
            <w:tcW w:w="372" w:type="pct"/>
            <w:shd w:val="clear" w:color="auto" w:fill="CCCCCC"/>
          </w:tcPr>
          <w:p w14:paraId="670EFA97" w14:textId="77777777" w:rsidR="0092710B" w:rsidRDefault="0092710B" w:rsidP="001A5D4A">
            <w:pPr>
              <w:pStyle w:val="NotesTable-CellPlain"/>
            </w:pPr>
            <w:r>
              <w:t>–</w:t>
            </w:r>
          </w:p>
        </w:tc>
        <w:tc>
          <w:tcPr>
            <w:tcW w:w="334" w:type="pct"/>
            <w:shd w:val="clear" w:color="auto" w:fill="CCCCCC"/>
          </w:tcPr>
          <w:p w14:paraId="44B06499" w14:textId="77777777" w:rsidR="0092710B" w:rsidRDefault="0092710B" w:rsidP="001A5D4A">
            <w:pPr>
              <w:pStyle w:val="NotesTable-CellPlain"/>
            </w:pPr>
            <w:r>
              <w:t>–</w:t>
            </w:r>
          </w:p>
        </w:tc>
        <w:tc>
          <w:tcPr>
            <w:tcW w:w="334" w:type="pct"/>
            <w:shd w:val="clear" w:color="auto" w:fill="CCCCCC"/>
          </w:tcPr>
          <w:p w14:paraId="3E101115" w14:textId="77777777" w:rsidR="0092710B" w:rsidRDefault="0092710B" w:rsidP="001A5D4A">
            <w:pPr>
              <w:pStyle w:val="NotesTable-CellPlain"/>
            </w:pPr>
            <w:r>
              <w:t>–</w:t>
            </w:r>
          </w:p>
        </w:tc>
        <w:tc>
          <w:tcPr>
            <w:tcW w:w="372" w:type="pct"/>
            <w:shd w:val="clear" w:color="auto" w:fill="CCCCCC"/>
          </w:tcPr>
          <w:p w14:paraId="096C21C2" w14:textId="77777777" w:rsidR="0092710B" w:rsidRDefault="0092710B" w:rsidP="001A5D4A">
            <w:pPr>
              <w:pStyle w:val="NotesTable-CellPlain"/>
            </w:pPr>
            <w:r>
              <w:t>–</w:t>
            </w:r>
          </w:p>
        </w:tc>
        <w:tc>
          <w:tcPr>
            <w:tcW w:w="334" w:type="pct"/>
            <w:shd w:val="clear" w:color="auto" w:fill="CCCCCC"/>
          </w:tcPr>
          <w:p w14:paraId="1457BBC3" w14:textId="77777777" w:rsidR="0092710B" w:rsidRDefault="0092710B" w:rsidP="001A5D4A">
            <w:pPr>
              <w:pStyle w:val="NotesTable-CellPlain"/>
            </w:pPr>
            <w:r>
              <w:t>–</w:t>
            </w:r>
          </w:p>
        </w:tc>
        <w:tc>
          <w:tcPr>
            <w:tcW w:w="372" w:type="pct"/>
            <w:shd w:val="clear" w:color="auto" w:fill="CCCCCC"/>
          </w:tcPr>
          <w:p w14:paraId="04CAE8BB" w14:textId="77777777" w:rsidR="0092710B" w:rsidRDefault="0092710B" w:rsidP="001A5D4A">
            <w:pPr>
              <w:pStyle w:val="NotesTable-CellPlain"/>
            </w:pPr>
            <w:r>
              <w:t>–</w:t>
            </w:r>
          </w:p>
        </w:tc>
        <w:tc>
          <w:tcPr>
            <w:tcW w:w="372" w:type="pct"/>
            <w:shd w:val="clear" w:color="auto" w:fill="CCCCCC"/>
          </w:tcPr>
          <w:p w14:paraId="774F0CF2" w14:textId="77777777" w:rsidR="0092710B" w:rsidRDefault="0092710B" w:rsidP="001A5D4A">
            <w:pPr>
              <w:pStyle w:val="NotesTable-CellPlain"/>
            </w:pPr>
            <w:r>
              <w:t>–</w:t>
            </w:r>
          </w:p>
        </w:tc>
        <w:tc>
          <w:tcPr>
            <w:tcW w:w="334" w:type="pct"/>
            <w:shd w:val="clear" w:color="auto" w:fill="CCCCCC"/>
          </w:tcPr>
          <w:p w14:paraId="2EB096E7" w14:textId="77777777" w:rsidR="0092710B" w:rsidRDefault="0092710B" w:rsidP="001A5D4A">
            <w:pPr>
              <w:pStyle w:val="NotesTable-CellPlain"/>
            </w:pPr>
            <w:r>
              <w:t>–</w:t>
            </w:r>
          </w:p>
        </w:tc>
        <w:tc>
          <w:tcPr>
            <w:tcW w:w="334" w:type="pct"/>
            <w:shd w:val="clear" w:color="auto" w:fill="CCCCCC"/>
          </w:tcPr>
          <w:p w14:paraId="4799E07A" w14:textId="77777777" w:rsidR="0092710B" w:rsidRDefault="0092710B" w:rsidP="001A5D4A">
            <w:pPr>
              <w:pStyle w:val="NotesTable-CellPlain"/>
            </w:pPr>
            <w:r>
              <w:t>–</w:t>
            </w:r>
          </w:p>
        </w:tc>
        <w:tc>
          <w:tcPr>
            <w:tcW w:w="336" w:type="pct"/>
            <w:shd w:val="clear" w:color="auto" w:fill="CCCCCC"/>
          </w:tcPr>
          <w:p w14:paraId="754589E0" w14:textId="77777777" w:rsidR="0092710B" w:rsidRDefault="0092710B" w:rsidP="001A5D4A">
            <w:pPr>
              <w:pStyle w:val="NotesTable-CellPlain"/>
              <w:rPr>
                <w:lang w:val="en-GB"/>
              </w:rPr>
            </w:pPr>
            <w:r>
              <w:t>–</w:t>
            </w:r>
          </w:p>
        </w:tc>
      </w:tr>
      <w:tr w:rsidR="0092710B" w:rsidDel="0099740A" w14:paraId="65E9D020" w14:textId="77777777" w:rsidTr="002E740E">
        <w:trPr>
          <w:cantSplit/>
          <w:trHeight w:val="218"/>
        </w:trPr>
        <w:tc>
          <w:tcPr>
            <w:tcW w:w="502" w:type="pct"/>
          </w:tcPr>
          <w:p w14:paraId="026B9EE2" w14:textId="77777777" w:rsidR="0092710B" w:rsidDel="0099740A" w:rsidRDefault="0092710B" w:rsidP="001A5D4A">
            <w:pPr>
              <w:pStyle w:val="Note-Refs"/>
            </w:pPr>
            <w:r>
              <w:t>AASB116.73(v)</w:t>
            </w:r>
          </w:p>
        </w:tc>
        <w:tc>
          <w:tcPr>
            <w:tcW w:w="1004" w:type="pct"/>
            <w:shd w:val="clear" w:color="auto" w:fill="CCCCCC"/>
            <w:vAlign w:val="bottom"/>
          </w:tcPr>
          <w:p w14:paraId="75BAF327" w14:textId="77777777" w:rsidR="0092710B" w:rsidDel="0099740A" w:rsidRDefault="0092710B" w:rsidP="001A5D4A">
            <w:pPr>
              <w:pStyle w:val="NotesTable-ItemPlain"/>
            </w:pPr>
            <w:r>
              <w:t>Impairment losses</w:t>
            </w:r>
          </w:p>
        </w:tc>
        <w:tc>
          <w:tcPr>
            <w:tcW w:w="372" w:type="pct"/>
            <w:shd w:val="clear" w:color="auto" w:fill="CCCCCC"/>
          </w:tcPr>
          <w:p w14:paraId="200F2213" w14:textId="77777777" w:rsidR="0092710B" w:rsidDel="0099740A" w:rsidRDefault="0092710B" w:rsidP="001A5D4A">
            <w:pPr>
              <w:pStyle w:val="NotesTable-CellPlain"/>
            </w:pPr>
            <w:r>
              <w:t>–</w:t>
            </w:r>
          </w:p>
        </w:tc>
        <w:tc>
          <w:tcPr>
            <w:tcW w:w="334" w:type="pct"/>
            <w:shd w:val="clear" w:color="auto" w:fill="CCCCCC"/>
          </w:tcPr>
          <w:p w14:paraId="7F9AE387" w14:textId="77777777" w:rsidR="0092710B" w:rsidDel="0099740A" w:rsidRDefault="0092710B" w:rsidP="001A5D4A">
            <w:pPr>
              <w:pStyle w:val="NotesTable-CellPlain"/>
            </w:pPr>
            <w:r>
              <w:t>–</w:t>
            </w:r>
          </w:p>
        </w:tc>
        <w:tc>
          <w:tcPr>
            <w:tcW w:w="334" w:type="pct"/>
            <w:shd w:val="clear" w:color="auto" w:fill="CCCCCC"/>
          </w:tcPr>
          <w:p w14:paraId="7417ADD2" w14:textId="77777777" w:rsidR="0092710B" w:rsidDel="0099740A" w:rsidRDefault="0092710B" w:rsidP="001A5D4A">
            <w:pPr>
              <w:pStyle w:val="NotesTable-CellPlain"/>
            </w:pPr>
            <w:r>
              <w:t>–</w:t>
            </w:r>
          </w:p>
        </w:tc>
        <w:tc>
          <w:tcPr>
            <w:tcW w:w="372" w:type="pct"/>
            <w:shd w:val="clear" w:color="auto" w:fill="CCCCCC"/>
          </w:tcPr>
          <w:p w14:paraId="4B745430" w14:textId="77777777" w:rsidR="0092710B" w:rsidDel="0099740A" w:rsidRDefault="0092710B" w:rsidP="001A5D4A">
            <w:pPr>
              <w:pStyle w:val="NotesTable-CellPlain"/>
            </w:pPr>
            <w:r>
              <w:t>–</w:t>
            </w:r>
          </w:p>
        </w:tc>
        <w:tc>
          <w:tcPr>
            <w:tcW w:w="334" w:type="pct"/>
            <w:shd w:val="clear" w:color="auto" w:fill="CCCCCC"/>
          </w:tcPr>
          <w:p w14:paraId="48CE9BDD" w14:textId="77777777" w:rsidR="0092710B" w:rsidDel="0099740A" w:rsidRDefault="0092710B" w:rsidP="001A5D4A">
            <w:pPr>
              <w:pStyle w:val="NotesTable-CellPlain"/>
            </w:pPr>
            <w:r>
              <w:t>–</w:t>
            </w:r>
          </w:p>
        </w:tc>
        <w:tc>
          <w:tcPr>
            <w:tcW w:w="372" w:type="pct"/>
            <w:shd w:val="clear" w:color="auto" w:fill="CCCCCC"/>
          </w:tcPr>
          <w:p w14:paraId="393E52BD" w14:textId="77777777" w:rsidR="0092710B" w:rsidDel="0099740A" w:rsidRDefault="0092710B" w:rsidP="001A5D4A">
            <w:pPr>
              <w:pStyle w:val="NotesTable-CellPlain"/>
            </w:pPr>
            <w:r>
              <w:t>–</w:t>
            </w:r>
          </w:p>
        </w:tc>
        <w:tc>
          <w:tcPr>
            <w:tcW w:w="372" w:type="pct"/>
            <w:shd w:val="clear" w:color="auto" w:fill="CCCCCC"/>
          </w:tcPr>
          <w:p w14:paraId="26F8F441" w14:textId="77777777" w:rsidR="0092710B" w:rsidDel="0099740A" w:rsidRDefault="0092710B" w:rsidP="001A5D4A">
            <w:pPr>
              <w:pStyle w:val="NotesTable-CellPlain"/>
            </w:pPr>
            <w:r>
              <w:t>–</w:t>
            </w:r>
          </w:p>
        </w:tc>
        <w:tc>
          <w:tcPr>
            <w:tcW w:w="334" w:type="pct"/>
            <w:shd w:val="clear" w:color="auto" w:fill="CCCCCC"/>
          </w:tcPr>
          <w:p w14:paraId="37BF220D" w14:textId="77777777" w:rsidR="0092710B" w:rsidDel="0099740A" w:rsidRDefault="0092710B" w:rsidP="001A5D4A">
            <w:pPr>
              <w:pStyle w:val="NotesTable-CellPlain"/>
            </w:pPr>
            <w:r>
              <w:t>–</w:t>
            </w:r>
          </w:p>
        </w:tc>
        <w:tc>
          <w:tcPr>
            <w:tcW w:w="334" w:type="pct"/>
            <w:shd w:val="clear" w:color="auto" w:fill="CCCCCC"/>
          </w:tcPr>
          <w:p w14:paraId="3A8A2EA8" w14:textId="77777777" w:rsidR="0092710B" w:rsidDel="0099740A" w:rsidRDefault="0092710B" w:rsidP="001A5D4A">
            <w:pPr>
              <w:pStyle w:val="NotesTable-CellPlain"/>
            </w:pPr>
            <w:r>
              <w:t>–</w:t>
            </w:r>
          </w:p>
        </w:tc>
        <w:tc>
          <w:tcPr>
            <w:tcW w:w="336" w:type="pct"/>
            <w:shd w:val="clear" w:color="auto" w:fill="CCCCCC"/>
          </w:tcPr>
          <w:p w14:paraId="622CA604" w14:textId="77777777" w:rsidR="0092710B" w:rsidDel="0099740A" w:rsidRDefault="0092710B" w:rsidP="001A5D4A">
            <w:pPr>
              <w:pStyle w:val="NotesTable-CellPlain"/>
            </w:pPr>
            <w:r>
              <w:t>–</w:t>
            </w:r>
          </w:p>
        </w:tc>
      </w:tr>
      <w:tr w:rsidR="0092710B" w:rsidDel="0099740A" w14:paraId="61A375F1" w14:textId="77777777" w:rsidTr="002E740E">
        <w:trPr>
          <w:cantSplit/>
          <w:trHeight w:val="218"/>
        </w:trPr>
        <w:tc>
          <w:tcPr>
            <w:tcW w:w="502" w:type="pct"/>
          </w:tcPr>
          <w:p w14:paraId="55E2524F" w14:textId="77777777" w:rsidR="0092710B" w:rsidRDefault="0092710B" w:rsidP="001A5D4A">
            <w:pPr>
              <w:pStyle w:val="Note-Refs"/>
            </w:pPr>
            <w:r>
              <w:t>AASB116.73e(vi)</w:t>
            </w:r>
          </w:p>
        </w:tc>
        <w:tc>
          <w:tcPr>
            <w:tcW w:w="1004" w:type="pct"/>
            <w:shd w:val="clear" w:color="auto" w:fill="CCCCCC"/>
            <w:vAlign w:val="bottom"/>
          </w:tcPr>
          <w:p w14:paraId="667C961C" w14:textId="77777777" w:rsidR="0092710B" w:rsidRDefault="0092710B" w:rsidP="001A5D4A">
            <w:pPr>
              <w:pStyle w:val="NotesTable-ItemPlain"/>
            </w:pPr>
            <w:r>
              <w:t>Impairment loss reversals</w:t>
            </w:r>
          </w:p>
        </w:tc>
        <w:tc>
          <w:tcPr>
            <w:tcW w:w="372" w:type="pct"/>
            <w:shd w:val="clear" w:color="auto" w:fill="CCCCCC"/>
          </w:tcPr>
          <w:p w14:paraId="5497A236" w14:textId="77777777" w:rsidR="0092710B" w:rsidDel="0099740A" w:rsidRDefault="0092710B" w:rsidP="001A5D4A">
            <w:pPr>
              <w:pStyle w:val="NotesTable-CellPlain"/>
            </w:pPr>
            <w:r>
              <w:t>–</w:t>
            </w:r>
          </w:p>
        </w:tc>
        <w:tc>
          <w:tcPr>
            <w:tcW w:w="334" w:type="pct"/>
            <w:shd w:val="clear" w:color="auto" w:fill="CCCCCC"/>
          </w:tcPr>
          <w:p w14:paraId="5836DCFD" w14:textId="77777777" w:rsidR="0092710B" w:rsidDel="0099740A" w:rsidRDefault="0092710B" w:rsidP="001A5D4A">
            <w:pPr>
              <w:pStyle w:val="NotesTable-CellPlain"/>
            </w:pPr>
            <w:r>
              <w:t>–</w:t>
            </w:r>
          </w:p>
        </w:tc>
        <w:tc>
          <w:tcPr>
            <w:tcW w:w="334" w:type="pct"/>
            <w:shd w:val="clear" w:color="auto" w:fill="CCCCCC"/>
          </w:tcPr>
          <w:p w14:paraId="4BC8BAEA" w14:textId="77777777" w:rsidR="0092710B" w:rsidDel="0099740A" w:rsidRDefault="0092710B" w:rsidP="001A5D4A">
            <w:pPr>
              <w:pStyle w:val="NotesTable-CellPlain"/>
            </w:pPr>
            <w:r>
              <w:t>–</w:t>
            </w:r>
          </w:p>
        </w:tc>
        <w:tc>
          <w:tcPr>
            <w:tcW w:w="372" w:type="pct"/>
            <w:shd w:val="clear" w:color="auto" w:fill="CCCCCC"/>
          </w:tcPr>
          <w:p w14:paraId="6EB77726" w14:textId="77777777" w:rsidR="0092710B" w:rsidDel="0099740A" w:rsidRDefault="0092710B" w:rsidP="001A5D4A">
            <w:pPr>
              <w:pStyle w:val="NotesTable-CellPlain"/>
            </w:pPr>
            <w:r>
              <w:t>–</w:t>
            </w:r>
          </w:p>
        </w:tc>
        <w:tc>
          <w:tcPr>
            <w:tcW w:w="334" w:type="pct"/>
            <w:shd w:val="clear" w:color="auto" w:fill="CCCCCC"/>
          </w:tcPr>
          <w:p w14:paraId="0F62EC56" w14:textId="77777777" w:rsidR="0092710B" w:rsidDel="0099740A" w:rsidRDefault="0092710B" w:rsidP="001A5D4A">
            <w:pPr>
              <w:pStyle w:val="NotesTable-CellPlain"/>
            </w:pPr>
            <w:r>
              <w:t>–</w:t>
            </w:r>
          </w:p>
        </w:tc>
        <w:tc>
          <w:tcPr>
            <w:tcW w:w="372" w:type="pct"/>
            <w:shd w:val="clear" w:color="auto" w:fill="CCCCCC"/>
          </w:tcPr>
          <w:p w14:paraId="61115890" w14:textId="77777777" w:rsidR="0092710B" w:rsidDel="0099740A" w:rsidRDefault="0092710B" w:rsidP="001A5D4A">
            <w:pPr>
              <w:pStyle w:val="NotesTable-CellPlain"/>
            </w:pPr>
            <w:r>
              <w:t>–</w:t>
            </w:r>
          </w:p>
        </w:tc>
        <w:tc>
          <w:tcPr>
            <w:tcW w:w="372" w:type="pct"/>
            <w:shd w:val="clear" w:color="auto" w:fill="CCCCCC"/>
          </w:tcPr>
          <w:p w14:paraId="717F646D" w14:textId="77777777" w:rsidR="0092710B" w:rsidDel="0099740A" w:rsidRDefault="0092710B" w:rsidP="001A5D4A">
            <w:pPr>
              <w:pStyle w:val="NotesTable-CellPlain"/>
            </w:pPr>
            <w:r>
              <w:t>–</w:t>
            </w:r>
          </w:p>
        </w:tc>
        <w:tc>
          <w:tcPr>
            <w:tcW w:w="334" w:type="pct"/>
            <w:shd w:val="clear" w:color="auto" w:fill="CCCCCC"/>
          </w:tcPr>
          <w:p w14:paraId="3F3C9AD1" w14:textId="77777777" w:rsidR="0092710B" w:rsidDel="0099740A" w:rsidRDefault="0092710B" w:rsidP="001A5D4A">
            <w:pPr>
              <w:pStyle w:val="NotesTable-CellPlain"/>
            </w:pPr>
            <w:r>
              <w:t>–</w:t>
            </w:r>
          </w:p>
        </w:tc>
        <w:tc>
          <w:tcPr>
            <w:tcW w:w="334" w:type="pct"/>
            <w:shd w:val="clear" w:color="auto" w:fill="CCCCCC"/>
          </w:tcPr>
          <w:p w14:paraId="130C0916" w14:textId="77777777" w:rsidR="0092710B" w:rsidDel="0099740A" w:rsidRDefault="0092710B" w:rsidP="001A5D4A">
            <w:pPr>
              <w:pStyle w:val="NotesTable-CellPlain"/>
            </w:pPr>
            <w:r>
              <w:t>–</w:t>
            </w:r>
          </w:p>
        </w:tc>
        <w:tc>
          <w:tcPr>
            <w:tcW w:w="336" w:type="pct"/>
            <w:shd w:val="clear" w:color="auto" w:fill="CCCCCC"/>
          </w:tcPr>
          <w:p w14:paraId="4FC55D91" w14:textId="77777777" w:rsidR="0092710B" w:rsidDel="0099740A" w:rsidRDefault="0092710B" w:rsidP="001A5D4A">
            <w:pPr>
              <w:pStyle w:val="NotesTable-CellPlain"/>
            </w:pPr>
            <w:r>
              <w:t>–</w:t>
            </w:r>
          </w:p>
        </w:tc>
      </w:tr>
      <w:tr w:rsidR="0092710B" w14:paraId="286967EA" w14:textId="77777777" w:rsidTr="002E740E">
        <w:trPr>
          <w:cantSplit/>
          <w:trHeight w:val="203"/>
        </w:trPr>
        <w:tc>
          <w:tcPr>
            <w:tcW w:w="502" w:type="pct"/>
          </w:tcPr>
          <w:p w14:paraId="56F07877" w14:textId="77777777" w:rsidR="0092710B" w:rsidRDefault="0092710B" w:rsidP="001A5D4A">
            <w:pPr>
              <w:pStyle w:val="Note-Refs"/>
              <w:rPr>
                <w:b/>
              </w:rPr>
            </w:pPr>
            <w:r>
              <w:t>AASB116.73e(vii)</w:t>
            </w:r>
          </w:p>
        </w:tc>
        <w:tc>
          <w:tcPr>
            <w:tcW w:w="1004" w:type="pct"/>
            <w:shd w:val="clear" w:color="auto" w:fill="CCCCCC"/>
            <w:vAlign w:val="bottom"/>
          </w:tcPr>
          <w:p w14:paraId="624A45DE" w14:textId="77777777" w:rsidR="0092710B" w:rsidRDefault="0092710B" w:rsidP="001A5D4A">
            <w:pPr>
              <w:pStyle w:val="NotesTable-ItemPlain"/>
              <w:rPr>
                <w:b/>
              </w:rPr>
            </w:pPr>
            <w:r>
              <w:t xml:space="preserve">Depreciation charge </w:t>
            </w:r>
          </w:p>
        </w:tc>
        <w:tc>
          <w:tcPr>
            <w:tcW w:w="372" w:type="pct"/>
            <w:shd w:val="clear" w:color="auto" w:fill="CCCCCC"/>
          </w:tcPr>
          <w:p w14:paraId="56675147" w14:textId="77777777" w:rsidR="0092710B" w:rsidRDefault="0092710B" w:rsidP="001A5D4A">
            <w:pPr>
              <w:pStyle w:val="NotesTable-CellPlain"/>
            </w:pPr>
            <w:r>
              <w:t>–</w:t>
            </w:r>
          </w:p>
        </w:tc>
        <w:tc>
          <w:tcPr>
            <w:tcW w:w="334" w:type="pct"/>
            <w:shd w:val="clear" w:color="auto" w:fill="CCCCCC"/>
          </w:tcPr>
          <w:p w14:paraId="54A605C1" w14:textId="77777777" w:rsidR="0092710B" w:rsidRDefault="0092710B" w:rsidP="001A5D4A">
            <w:pPr>
              <w:pStyle w:val="NotesTable-CellPlain"/>
            </w:pPr>
            <w:r>
              <w:t>–</w:t>
            </w:r>
          </w:p>
        </w:tc>
        <w:tc>
          <w:tcPr>
            <w:tcW w:w="334" w:type="pct"/>
            <w:shd w:val="clear" w:color="auto" w:fill="CCCCCC"/>
          </w:tcPr>
          <w:p w14:paraId="0037ABB6" w14:textId="77777777" w:rsidR="0092710B" w:rsidRDefault="0092710B" w:rsidP="001A5D4A">
            <w:pPr>
              <w:pStyle w:val="NotesTable-CellPlain"/>
            </w:pPr>
            <w:r>
              <w:t>–</w:t>
            </w:r>
          </w:p>
        </w:tc>
        <w:tc>
          <w:tcPr>
            <w:tcW w:w="372" w:type="pct"/>
            <w:shd w:val="clear" w:color="auto" w:fill="CCCCCC"/>
          </w:tcPr>
          <w:p w14:paraId="72C31C7D" w14:textId="77777777" w:rsidR="0092710B" w:rsidRDefault="0092710B" w:rsidP="001A5D4A">
            <w:pPr>
              <w:pStyle w:val="NotesTable-CellPlain"/>
            </w:pPr>
            <w:r>
              <w:t>–</w:t>
            </w:r>
          </w:p>
        </w:tc>
        <w:tc>
          <w:tcPr>
            <w:tcW w:w="334" w:type="pct"/>
            <w:shd w:val="clear" w:color="auto" w:fill="CCCCCC"/>
          </w:tcPr>
          <w:p w14:paraId="4228CA2B" w14:textId="77777777" w:rsidR="0092710B" w:rsidRDefault="0092710B" w:rsidP="001A5D4A">
            <w:pPr>
              <w:pStyle w:val="NotesTable-CellPlain"/>
            </w:pPr>
            <w:r>
              <w:t>–</w:t>
            </w:r>
          </w:p>
        </w:tc>
        <w:tc>
          <w:tcPr>
            <w:tcW w:w="372" w:type="pct"/>
            <w:shd w:val="clear" w:color="auto" w:fill="CCCCCC"/>
          </w:tcPr>
          <w:p w14:paraId="31E0A4EB" w14:textId="77777777" w:rsidR="0092710B" w:rsidRDefault="0092710B" w:rsidP="001A5D4A">
            <w:pPr>
              <w:pStyle w:val="NotesTable-CellPlain"/>
            </w:pPr>
            <w:r>
              <w:t>–</w:t>
            </w:r>
          </w:p>
        </w:tc>
        <w:tc>
          <w:tcPr>
            <w:tcW w:w="372" w:type="pct"/>
            <w:shd w:val="clear" w:color="auto" w:fill="CCCCCC"/>
          </w:tcPr>
          <w:p w14:paraId="1223A849" w14:textId="77777777" w:rsidR="0092710B" w:rsidRDefault="0092710B" w:rsidP="001A5D4A">
            <w:pPr>
              <w:pStyle w:val="NotesTable-CellPlain"/>
            </w:pPr>
            <w:r>
              <w:t>–</w:t>
            </w:r>
          </w:p>
        </w:tc>
        <w:tc>
          <w:tcPr>
            <w:tcW w:w="334" w:type="pct"/>
            <w:shd w:val="clear" w:color="auto" w:fill="CCCCCC"/>
          </w:tcPr>
          <w:p w14:paraId="7CFBB4FC" w14:textId="77777777" w:rsidR="0092710B" w:rsidRDefault="0092710B" w:rsidP="001A5D4A">
            <w:pPr>
              <w:pStyle w:val="NotesTable-CellPlain"/>
            </w:pPr>
            <w:r>
              <w:t>–</w:t>
            </w:r>
          </w:p>
        </w:tc>
        <w:tc>
          <w:tcPr>
            <w:tcW w:w="334" w:type="pct"/>
            <w:shd w:val="clear" w:color="auto" w:fill="CCCCCC"/>
          </w:tcPr>
          <w:p w14:paraId="5F5B17CA" w14:textId="77777777" w:rsidR="0092710B" w:rsidRDefault="0092710B" w:rsidP="001A5D4A">
            <w:pPr>
              <w:pStyle w:val="NotesTable-CellPlain"/>
            </w:pPr>
            <w:r>
              <w:t>–</w:t>
            </w:r>
          </w:p>
        </w:tc>
        <w:tc>
          <w:tcPr>
            <w:tcW w:w="336" w:type="pct"/>
            <w:shd w:val="clear" w:color="auto" w:fill="CCCCCC"/>
          </w:tcPr>
          <w:p w14:paraId="44AC7DF8" w14:textId="77777777" w:rsidR="0092710B" w:rsidRDefault="0092710B" w:rsidP="001A5D4A">
            <w:pPr>
              <w:pStyle w:val="NotesTable-CellPlain"/>
              <w:rPr>
                <w:lang w:val="en-GB"/>
              </w:rPr>
            </w:pPr>
            <w:r>
              <w:t>–</w:t>
            </w:r>
          </w:p>
        </w:tc>
      </w:tr>
      <w:tr w:rsidR="0092710B" w14:paraId="45A8A94B" w14:textId="77777777" w:rsidTr="002E740E">
        <w:trPr>
          <w:cantSplit/>
          <w:trHeight w:val="218"/>
        </w:trPr>
        <w:tc>
          <w:tcPr>
            <w:tcW w:w="502" w:type="pct"/>
          </w:tcPr>
          <w:p w14:paraId="6EC44729" w14:textId="77777777" w:rsidR="0092710B" w:rsidRDefault="0092710B" w:rsidP="001A5D4A">
            <w:pPr>
              <w:pStyle w:val="Note-Refs"/>
              <w:rPr>
                <w:b/>
              </w:rPr>
            </w:pPr>
            <w:r>
              <w:t>AASB116.73e(viii)</w:t>
            </w:r>
          </w:p>
        </w:tc>
        <w:tc>
          <w:tcPr>
            <w:tcW w:w="1004" w:type="pct"/>
            <w:shd w:val="clear" w:color="auto" w:fill="CCCCCC"/>
            <w:vAlign w:val="bottom"/>
          </w:tcPr>
          <w:p w14:paraId="7AEAD0D9" w14:textId="77777777" w:rsidR="0092710B" w:rsidRDefault="0092710B" w:rsidP="001A5D4A">
            <w:pPr>
              <w:pStyle w:val="NotesTable-ItemPlain"/>
              <w:rPr>
                <w:b/>
              </w:rPr>
            </w:pPr>
            <w:r>
              <w:t>Exchange differences</w:t>
            </w:r>
          </w:p>
        </w:tc>
        <w:tc>
          <w:tcPr>
            <w:tcW w:w="372" w:type="pct"/>
            <w:shd w:val="clear" w:color="auto" w:fill="CCCCCC"/>
          </w:tcPr>
          <w:p w14:paraId="1D5B16AF" w14:textId="77777777" w:rsidR="0092710B" w:rsidRDefault="0092710B" w:rsidP="001A5D4A">
            <w:pPr>
              <w:pStyle w:val="NotesTable-CellPlain"/>
            </w:pPr>
            <w:r>
              <w:t>–</w:t>
            </w:r>
          </w:p>
        </w:tc>
        <w:tc>
          <w:tcPr>
            <w:tcW w:w="334" w:type="pct"/>
            <w:shd w:val="clear" w:color="auto" w:fill="CCCCCC"/>
          </w:tcPr>
          <w:p w14:paraId="4A82092C" w14:textId="77777777" w:rsidR="0092710B" w:rsidRDefault="0092710B" w:rsidP="001A5D4A">
            <w:pPr>
              <w:pStyle w:val="NotesTable-CellPlain"/>
            </w:pPr>
            <w:r>
              <w:t>–</w:t>
            </w:r>
          </w:p>
        </w:tc>
        <w:tc>
          <w:tcPr>
            <w:tcW w:w="334" w:type="pct"/>
            <w:shd w:val="clear" w:color="auto" w:fill="CCCCCC"/>
          </w:tcPr>
          <w:p w14:paraId="79A6AF67" w14:textId="77777777" w:rsidR="0092710B" w:rsidRDefault="0092710B" w:rsidP="001A5D4A">
            <w:pPr>
              <w:pStyle w:val="NotesTable-CellPlain"/>
            </w:pPr>
            <w:r>
              <w:t>–</w:t>
            </w:r>
          </w:p>
        </w:tc>
        <w:tc>
          <w:tcPr>
            <w:tcW w:w="372" w:type="pct"/>
            <w:shd w:val="clear" w:color="auto" w:fill="CCCCCC"/>
          </w:tcPr>
          <w:p w14:paraId="0AA3FB22" w14:textId="77777777" w:rsidR="0092710B" w:rsidRDefault="0092710B" w:rsidP="001A5D4A">
            <w:pPr>
              <w:pStyle w:val="NotesTable-CellPlain"/>
            </w:pPr>
            <w:r>
              <w:t>–</w:t>
            </w:r>
          </w:p>
        </w:tc>
        <w:tc>
          <w:tcPr>
            <w:tcW w:w="334" w:type="pct"/>
            <w:shd w:val="clear" w:color="auto" w:fill="CCCCCC"/>
          </w:tcPr>
          <w:p w14:paraId="4FE5EC71" w14:textId="77777777" w:rsidR="0092710B" w:rsidRDefault="0092710B" w:rsidP="001A5D4A">
            <w:pPr>
              <w:pStyle w:val="NotesTable-CellPlain"/>
            </w:pPr>
            <w:r>
              <w:t>–</w:t>
            </w:r>
          </w:p>
        </w:tc>
        <w:tc>
          <w:tcPr>
            <w:tcW w:w="372" w:type="pct"/>
            <w:shd w:val="clear" w:color="auto" w:fill="CCCCCC"/>
          </w:tcPr>
          <w:p w14:paraId="42AC8185" w14:textId="77777777" w:rsidR="0092710B" w:rsidRDefault="0092710B" w:rsidP="001A5D4A">
            <w:pPr>
              <w:pStyle w:val="NotesTable-CellPlain"/>
            </w:pPr>
            <w:r>
              <w:t>–</w:t>
            </w:r>
          </w:p>
        </w:tc>
        <w:tc>
          <w:tcPr>
            <w:tcW w:w="372" w:type="pct"/>
            <w:shd w:val="clear" w:color="auto" w:fill="CCCCCC"/>
          </w:tcPr>
          <w:p w14:paraId="6EF19651" w14:textId="77777777" w:rsidR="0092710B" w:rsidRDefault="0092710B" w:rsidP="001A5D4A">
            <w:pPr>
              <w:pStyle w:val="NotesTable-CellPlain"/>
            </w:pPr>
            <w:r>
              <w:t>–</w:t>
            </w:r>
          </w:p>
        </w:tc>
        <w:tc>
          <w:tcPr>
            <w:tcW w:w="334" w:type="pct"/>
            <w:shd w:val="clear" w:color="auto" w:fill="CCCCCC"/>
          </w:tcPr>
          <w:p w14:paraId="45209ACF" w14:textId="77777777" w:rsidR="0092710B" w:rsidRDefault="0092710B" w:rsidP="001A5D4A">
            <w:pPr>
              <w:pStyle w:val="NotesTable-CellPlain"/>
            </w:pPr>
            <w:r>
              <w:t>–</w:t>
            </w:r>
          </w:p>
        </w:tc>
        <w:tc>
          <w:tcPr>
            <w:tcW w:w="334" w:type="pct"/>
            <w:shd w:val="clear" w:color="auto" w:fill="CCCCCC"/>
          </w:tcPr>
          <w:p w14:paraId="0EDFDAEF" w14:textId="77777777" w:rsidR="0092710B" w:rsidRDefault="0092710B" w:rsidP="001A5D4A">
            <w:pPr>
              <w:pStyle w:val="NotesTable-CellPlain"/>
            </w:pPr>
            <w:r>
              <w:t>–</w:t>
            </w:r>
          </w:p>
        </w:tc>
        <w:tc>
          <w:tcPr>
            <w:tcW w:w="336" w:type="pct"/>
            <w:shd w:val="clear" w:color="auto" w:fill="CCCCCC"/>
          </w:tcPr>
          <w:p w14:paraId="3CDEAD3C" w14:textId="77777777" w:rsidR="0092710B" w:rsidRDefault="0092710B" w:rsidP="001A5D4A">
            <w:pPr>
              <w:pStyle w:val="NotesTable-CellPlain"/>
              <w:rPr>
                <w:lang w:val="en-GB"/>
              </w:rPr>
            </w:pPr>
            <w:r>
              <w:t>–</w:t>
            </w:r>
          </w:p>
        </w:tc>
      </w:tr>
      <w:tr w:rsidR="0092710B" w14:paraId="2D1D80BB" w14:textId="77777777" w:rsidTr="002E740E">
        <w:trPr>
          <w:cantSplit/>
          <w:trHeight w:val="203"/>
        </w:trPr>
        <w:tc>
          <w:tcPr>
            <w:tcW w:w="502" w:type="pct"/>
          </w:tcPr>
          <w:p w14:paraId="72737B8F" w14:textId="77777777" w:rsidR="0092710B" w:rsidRDefault="0092710B" w:rsidP="001A5D4A">
            <w:pPr>
              <w:pStyle w:val="Note-Refs"/>
            </w:pPr>
            <w:r>
              <w:t>AASB116.73e(ix)</w:t>
            </w:r>
          </w:p>
        </w:tc>
        <w:tc>
          <w:tcPr>
            <w:tcW w:w="1004" w:type="pct"/>
            <w:shd w:val="clear" w:color="auto" w:fill="CCCCCC"/>
            <w:vAlign w:val="bottom"/>
          </w:tcPr>
          <w:p w14:paraId="53580A92" w14:textId="77777777" w:rsidR="0092710B" w:rsidRDefault="0092710B" w:rsidP="001A5D4A">
            <w:pPr>
              <w:pStyle w:val="NotesTable-ItemPlain"/>
              <w:rPr>
                <w:b/>
              </w:rPr>
            </w:pPr>
            <w:r>
              <w:t>Other changes [Specify]</w:t>
            </w:r>
          </w:p>
        </w:tc>
        <w:tc>
          <w:tcPr>
            <w:tcW w:w="372" w:type="pct"/>
            <w:tcBorders>
              <w:bottom w:val="single" w:sz="4" w:space="0" w:color="000000"/>
            </w:tcBorders>
            <w:shd w:val="clear" w:color="auto" w:fill="CCCCCC"/>
          </w:tcPr>
          <w:p w14:paraId="739A52FC"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026E867C"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6529FCF7"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16DA793C"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5669B3AF"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301F25F4" w14:textId="77777777" w:rsidR="0092710B" w:rsidRDefault="0092710B" w:rsidP="001A5D4A">
            <w:pPr>
              <w:pStyle w:val="NotesTable-CellPlain"/>
            </w:pPr>
            <w:r>
              <w:t>–</w:t>
            </w:r>
          </w:p>
        </w:tc>
        <w:tc>
          <w:tcPr>
            <w:tcW w:w="372" w:type="pct"/>
            <w:tcBorders>
              <w:bottom w:val="single" w:sz="4" w:space="0" w:color="000000"/>
            </w:tcBorders>
            <w:shd w:val="clear" w:color="auto" w:fill="CCCCCC"/>
          </w:tcPr>
          <w:p w14:paraId="35FFD244"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32323F44"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4CB1CEE5" w14:textId="77777777" w:rsidR="0092710B" w:rsidRDefault="0092710B" w:rsidP="001A5D4A">
            <w:pPr>
              <w:pStyle w:val="NotesTable-CellPlain"/>
            </w:pPr>
            <w:r>
              <w:t>–</w:t>
            </w:r>
          </w:p>
        </w:tc>
        <w:tc>
          <w:tcPr>
            <w:tcW w:w="336" w:type="pct"/>
            <w:tcBorders>
              <w:bottom w:val="single" w:sz="4" w:space="0" w:color="000000"/>
            </w:tcBorders>
            <w:shd w:val="clear" w:color="auto" w:fill="CCCCCC"/>
          </w:tcPr>
          <w:p w14:paraId="5C5B1410" w14:textId="77777777" w:rsidR="0092710B" w:rsidRDefault="0092710B" w:rsidP="001A5D4A">
            <w:pPr>
              <w:pStyle w:val="NotesTable-CellPlain"/>
              <w:rPr>
                <w:lang w:val="en-GB"/>
              </w:rPr>
            </w:pPr>
            <w:r>
              <w:t>–</w:t>
            </w:r>
          </w:p>
        </w:tc>
      </w:tr>
      <w:tr w:rsidR="0092710B" w14:paraId="48E00FC2" w14:textId="77777777" w:rsidTr="002E740E">
        <w:trPr>
          <w:cantSplit/>
          <w:trHeight w:val="203"/>
        </w:trPr>
        <w:tc>
          <w:tcPr>
            <w:tcW w:w="502" w:type="pct"/>
          </w:tcPr>
          <w:p w14:paraId="5FE05462" w14:textId="77777777" w:rsidR="0092710B" w:rsidRDefault="0092710B" w:rsidP="001A5D4A">
            <w:pPr>
              <w:pStyle w:val="Note-Refs"/>
              <w:rPr>
                <w:b/>
              </w:rPr>
            </w:pPr>
            <w:r>
              <w:t>AASB116.73e</w:t>
            </w:r>
          </w:p>
        </w:tc>
        <w:tc>
          <w:tcPr>
            <w:tcW w:w="1004" w:type="pct"/>
            <w:shd w:val="clear" w:color="auto" w:fill="CCCCCC"/>
            <w:vAlign w:val="bottom"/>
          </w:tcPr>
          <w:p w14:paraId="3C121442" w14:textId="77777777" w:rsidR="0092710B" w:rsidRDefault="0092710B" w:rsidP="001A5D4A">
            <w:pPr>
              <w:pStyle w:val="NotesTable-ItemPlain"/>
              <w:rPr>
                <w:b/>
              </w:rPr>
            </w:pPr>
            <w:r>
              <w:t>Closing net book amount</w:t>
            </w:r>
          </w:p>
        </w:tc>
        <w:tc>
          <w:tcPr>
            <w:tcW w:w="372" w:type="pct"/>
            <w:tcBorders>
              <w:top w:val="single" w:sz="4" w:space="0" w:color="000000"/>
            </w:tcBorders>
            <w:shd w:val="clear" w:color="auto" w:fill="CCCCCC"/>
          </w:tcPr>
          <w:p w14:paraId="1CA00DF5"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43442BA6"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294B4943"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48464D88"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4C192B1B"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7C977655" w14:textId="77777777" w:rsidR="0092710B" w:rsidRDefault="0092710B" w:rsidP="001A5D4A">
            <w:pPr>
              <w:pStyle w:val="NotesTable-CellPlain"/>
            </w:pPr>
            <w:r>
              <w:t>–</w:t>
            </w:r>
          </w:p>
        </w:tc>
        <w:tc>
          <w:tcPr>
            <w:tcW w:w="372" w:type="pct"/>
            <w:tcBorders>
              <w:top w:val="single" w:sz="4" w:space="0" w:color="000000"/>
            </w:tcBorders>
            <w:shd w:val="clear" w:color="auto" w:fill="CCCCCC"/>
          </w:tcPr>
          <w:p w14:paraId="59A39EAD"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750B402A"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4BA98BFC" w14:textId="77777777" w:rsidR="0092710B" w:rsidRDefault="0092710B" w:rsidP="001A5D4A">
            <w:pPr>
              <w:pStyle w:val="NotesTable-CellPlain"/>
            </w:pPr>
            <w:r>
              <w:t>–</w:t>
            </w:r>
          </w:p>
        </w:tc>
        <w:tc>
          <w:tcPr>
            <w:tcW w:w="336" w:type="pct"/>
            <w:tcBorders>
              <w:top w:val="single" w:sz="4" w:space="0" w:color="000000"/>
            </w:tcBorders>
            <w:shd w:val="clear" w:color="auto" w:fill="CCCCCC"/>
          </w:tcPr>
          <w:p w14:paraId="426C1EA2" w14:textId="77777777" w:rsidR="0092710B" w:rsidRDefault="0092710B" w:rsidP="001A5D4A">
            <w:pPr>
              <w:pStyle w:val="NotesTable-CellPlain"/>
              <w:rPr>
                <w:lang w:val="en-GB"/>
              </w:rPr>
            </w:pPr>
            <w:r>
              <w:t>–</w:t>
            </w:r>
          </w:p>
        </w:tc>
      </w:tr>
      <w:tr w:rsidR="00CE0216" w14:paraId="038A25D7" w14:textId="77777777" w:rsidTr="002E740E">
        <w:trPr>
          <w:cantSplit/>
          <w:trHeight w:val="218"/>
        </w:trPr>
        <w:tc>
          <w:tcPr>
            <w:tcW w:w="502" w:type="pct"/>
          </w:tcPr>
          <w:p w14:paraId="038A25CB" w14:textId="77777777" w:rsidR="00CE0216" w:rsidRDefault="00CE0216" w:rsidP="001A5D4A">
            <w:pPr>
              <w:pStyle w:val="Note-Refs"/>
            </w:pPr>
          </w:p>
        </w:tc>
        <w:tc>
          <w:tcPr>
            <w:tcW w:w="1004" w:type="pct"/>
            <w:shd w:val="clear" w:color="auto" w:fill="CCCCCC"/>
            <w:vAlign w:val="bottom"/>
          </w:tcPr>
          <w:p w14:paraId="038A25CC" w14:textId="77777777" w:rsidR="00CE0216" w:rsidRDefault="00CE0216" w:rsidP="001A5D4A">
            <w:pPr>
              <w:pStyle w:val="NotesTable-ItemPlain"/>
            </w:pPr>
          </w:p>
        </w:tc>
        <w:tc>
          <w:tcPr>
            <w:tcW w:w="372" w:type="pct"/>
            <w:shd w:val="clear" w:color="auto" w:fill="CCCCCC"/>
          </w:tcPr>
          <w:p w14:paraId="038A25CD" w14:textId="77777777" w:rsidR="00CE0216" w:rsidRDefault="00CE0216" w:rsidP="001A5D4A">
            <w:pPr>
              <w:pStyle w:val="NotesTable-CellPlain"/>
            </w:pPr>
          </w:p>
        </w:tc>
        <w:tc>
          <w:tcPr>
            <w:tcW w:w="334" w:type="pct"/>
            <w:shd w:val="clear" w:color="auto" w:fill="CCCCCC"/>
          </w:tcPr>
          <w:p w14:paraId="038A25CE" w14:textId="77777777" w:rsidR="00CE0216" w:rsidRDefault="00CE0216" w:rsidP="001A5D4A">
            <w:pPr>
              <w:pStyle w:val="NotesTable-CellPlain"/>
            </w:pPr>
          </w:p>
        </w:tc>
        <w:tc>
          <w:tcPr>
            <w:tcW w:w="334" w:type="pct"/>
            <w:shd w:val="clear" w:color="auto" w:fill="CCCCCC"/>
          </w:tcPr>
          <w:p w14:paraId="038A25CF" w14:textId="77777777" w:rsidR="00CE0216" w:rsidRDefault="00CE0216" w:rsidP="001A5D4A">
            <w:pPr>
              <w:pStyle w:val="NotesTable-CellPlain"/>
            </w:pPr>
          </w:p>
        </w:tc>
        <w:tc>
          <w:tcPr>
            <w:tcW w:w="372" w:type="pct"/>
            <w:shd w:val="clear" w:color="auto" w:fill="CCCCCC"/>
          </w:tcPr>
          <w:p w14:paraId="038A25D0" w14:textId="77777777" w:rsidR="00CE0216" w:rsidRDefault="00CE0216" w:rsidP="001A5D4A">
            <w:pPr>
              <w:pStyle w:val="NotesTable-CellPlain"/>
            </w:pPr>
          </w:p>
        </w:tc>
        <w:tc>
          <w:tcPr>
            <w:tcW w:w="334" w:type="pct"/>
            <w:shd w:val="clear" w:color="auto" w:fill="CCCCCC"/>
          </w:tcPr>
          <w:p w14:paraId="038A25D1" w14:textId="77777777" w:rsidR="00CE0216" w:rsidRDefault="00CE0216" w:rsidP="001A5D4A">
            <w:pPr>
              <w:pStyle w:val="NotesTable-CellPlain"/>
            </w:pPr>
          </w:p>
        </w:tc>
        <w:tc>
          <w:tcPr>
            <w:tcW w:w="372" w:type="pct"/>
            <w:shd w:val="clear" w:color="auto" w:fill="CCCCCC"/>
          </w:tcPr>
          <w:p w14:paraId="038A25D2" w14:textId="77777777" w:rsidR="00CE0216" w:rsidRDefault="00CE0216" w:rsidP="001A5D4A">
            <w:pPr>
              <w:pStyle w:val="NotesTable-CellPlain"/>
            </w:pPr>
          </w:p>
        </w:tc>
        <w:tc>
          <w:tcPr>
            <w:tcW w:w="372" w:type="pct"/>
            <w:shd w:val="clear" w:color="auto" w:fill="CCCCCC"/>
          </w:tcPr>
          <w:p w14:paraId="038A25D3" w14:textId="77777777" w:rsidR="00CE0216" w:rsidRDefault="00CE0216" w:rsidP="001A5D4A">
            <w:pPr>
              <w:pStyle w:val="NotesTable-CellPlain"/>
            </w:pPr>
          </w:p>
        </w:tc>
        <w:tc>
          <w:tcPr>
            <w:tcW w:w="334" w:type="pct"/>
            <w:shd w:val="clear" w:color="auto" w:fill="CCCCCC"/>
          </w:tcPr>
          <w:p w14:paraId="038A25D4" w14:textId="77777777" w:rsidR="00CE0216" w:rsidRDefault="00CE0216" w:rsidP="001A5D4A">
            <w:pPr>
              <w:pStyle w:val="NotesTable-CellPlain"/>
            </w:pPr>
          </w:p>
        </w:tc>
        <w:tc>
          <w:tcPr>
            <w:tcW w:w="334" w:type="pct"/>
            <w:shd w:val="clear" w:color="auto" w:fill="CCCCCC"/>
          </w:tcPr>
          <w:p w14:paraId="038A25D5" w14:textId="77777777" w:rsidR="00CE0216" w:rsidRDefault="00CE0216" w:rsidP="001A5D4A">
            <w:pPr>
              <w:pStyle w:val="NotesTable-CellPlain"/>
            </w:pPr>
          </w:p>
        </w:tc>
        <w:tc>
          <w:tcPr>
            <w:tcW w:w="336" w:type="pct"/>
            <w:shd w:val="clear" w:color="auto" w:fill="CCCCCC"/>
          </w:tcPr>
          <w:p w14:paraId="038A25D6" w14:textId="77777777" w:rsidR="00CE0216" w:rsidRDefault="00CE0216" w:rsidP="001A5D4A">
            <w:pPr>
              <w:pStyle w:val="NotesTable-CellPlain"/>
            </w:pPr>
          </w:p>
        </w:tc>
      </w:tr>
      <w:tr w:rsidR="00742371" w14:paraId="038A25DA" w14:textId="77777777" w:rsidTr="00E21378">
        <w:trPr>
          <w:cantSplit/>
          <w:trHeight w:val="218"/>
        </w:trPr>
        <w:tc>
          <w:tcPr>
            <w:tcW w:w="502" w:type="pct"/>
          </w:tcPr>
          <w:p w14:paraId="038A25D8" w14:textId="77777777" w:rsidR="00742371" w:rsidRDefault="00742371" w:rsidP="001A5D4A">
            <w:pPr>
              <w:pStyle w:val="Note-Refs"/>
            </w:pPr>
          </w:p>
        </w:tc>
        <w:tc>
          <w:tcPr>
            <w:tcW w:w="4498" w:type="pct"/>
            <w:gridSpan w:val="11"/>
            <w:shd w:val="clear" w:color="auto" w:fill="CCCCCC"/>
            <w:vAlign w:val="bottom"/>
          </w:tcPr>
          <w:p w14:paraId="038A25D9" w14:textId="38DA27FF" w:rsidR="00742371" w:rsidRDefault="00742371" w:rsidP="001A5D4A">
            <w:pPr>
              <w:pStyle w:val="Note-TextHeader"/>
              <w:rPr>
                <w:lang w:val="en-GB"/>
              </w:rPr>
            </w:pPr>
            <w:r>
              <w:t xml:space="preserve">At 31 December </w:t>
            </w:r>
            <w:r w:rsidR="006864EC">
              <w:t>2013</w:t>
            </w:r>
          </w:p>
        </w:tc>
      </w:tr>
      <w:tr w:rsidR="00CE0216" w14:paraId="038A25E7" w14:textId="77777777" w:rsidTr="002E740E">
        <w:trPr>
          <w:cantSplit/>
          <w:trHeight w:val="218"/>
        </w:trPr>
        <w:tc>
          <w:tcPr>
            <w:tcW w:w="502" w:type="pct"/>
          </w:tcPr>
          <w:p w14:paraId="038A25DB" w14:textId="77777777" w:rsidR="00CE0216" w:rsidRDefault="00CE0216" w:rsidP="001A5D4A">
            <w:pPr>
              <w:pStyle w:val="Note-Refs"/>
              <w:rPr>
                <w:b/>
              </w:rPr>
            </w:pPr>
            <w:r>
              <w:t>AASB116.73d</w:t>
            </w:r>
          </w:p>
        </w:tc>
        <w:tc>
          <w:tcPr>
            <w:tcW w:w="1004" w:type="pct"/>
            <w:shd w:val="clear" w:color="auto" w:fill="CCCCCC"/>
            <w:vAlign w:val="bottom"/>
          </w:tcPr>
          <w:p w14:paraId="038A25DC" w14:textId="77777777" w:rsidR="00CE0216" w:rsidRDefault="00CE0216" w:rsidP="001A5D4A">
            <w:pPr>
              <w:pStyle w:val="NotesTable-ItemPlain"/>
              <w:rPr>
                <w:b/>
              </w:rPr>
            </w:pPr>
            <w:r>
              <w:t>- Cost</w:t>
            </w:r>
          </w:p>
        </w:tc>
        <w:tc>
          <w:tcPr>
            <w:tcW w:w="372" w:type="pct"/>
            <w:shd w:val="clear" w:color="auto" w:fill="CCCCCC"/>
          </w:tcPr>
          <w:p w14:paraId="038A25DD" w14:textId="77777777" w:rsidR="00CE0216" w:rsidRDefault="00CE0216" w:rsidP="001A5D4A">
            <w:pPr>
              <w:pStyle w:val="NotesTable-CellPlain"/>
            </w:pPr>
            <w:r>
              <w:t>–</w:t>
            </w:r>
          </w:p>
        </w:tc>
        <w:tc>
          <w:tcPr>
            <w:tcW w:w="334" w:type="pct"/>
            <w:shd w:val="clear" w:color="auto" w:fill="CCCCCC"/>
          </w:tcPr>
          <w:p w14:paraId="038A25DE" w14:textId="77777777" w:rsidR="00CE0216" w:rsidRDefault="00CE0216" w:rsidP="001A5D4A">
            <w:pPr>
              <w:pStyle w:val="NotesTable-CellPlain"/>
            </w:pPr>
            <w:r>
              <w:t>–</w:t>
            </w:r>
          </w:p>
        </w:tc>
        <w:tc>
          <w:tcPr>
            <w:tcW w:w="334" w:type="pct"/>
            <w:shd w:val="clear" w:color="auto" w:fill="CCCCCC"/>
          </w:tcPr>
          <w:p w14:paraId="038A25DF" w14:textId="77777777" w:rsidR="00CE0216" w:rsidRDefault="00CE0216" w:rsidP="001A5D4A">
            <w:pPr>
              <w:pStyle w:val="NotesTable-CellPlain"/>
            </w:pPr>
            <w:r>
              <w:t>–</w:t>
            </w:r>
          </w:p>
        </w:tc>
        <w:tc>
          <w:tcPr>
            <w:tcW w:w="372" w:type="pct"/>
            <w:shd w:val="clear" w:color="auto" w:fill="CCCCCC"/>
          </w:tcPr>
          <w:p w14:paraId="038A25E0" w14:textId="77777777" w:rsidR="00CE0216" w:rsidRDefault="00CE0216" w:rsidP="001A5D4A">
            <w:pPr>
              <w:pStyle w:val="NotesTable-CellPlain"/>
            </w:pPr>
            <w:r>
              <w:t>–</w:t>
            </w:r>
          </w:p>
        </w:tc>
        <w:tc>
          <w:tcPr>
            <w:tcW w:w="334" w:type="pct"/>
            <w:shd w:val="clear" w:color="auto" w:fill="CCCCCC"/>
          </w:tcPr>
          <w:p w14:paraId="038A25E1" w14:textId="77777777" w:rsidR="00CE0216" w:rsidRDefault="00CE0216" w:rsidP="001A5D4A">
            <w:pPr>
              <w:pStyle w:val="NotesTable-CellPlain"/>
            </w:pPr>
            <w:r>
              <w:t>–</w:t>
            </w:r>
          </w:p>
        </w:tc>
        <w:tc>
          <w:tcPr>
            <w:tcW w:w="372" w:type="pct"/>
            <w:shd w:val="clear" w:color="auto" w:fill="CCCCCC"/>
          </w:tcPr>
          <w:p w14:paraId="038A25E2" w14:textId="77777777" w:rsidR="00CE0216" w:rsidRDefault="00CE0216" w:rsidP="001A5D4A">
            <w:pPr>
              <w:pStyle w:val="NotesTable-CellPlain"/>
            </w:pPr>
            <w:r>
              <w:t>–</w:t>
            </w:r>
          </w:p>
        </w:tc>
        <w:tc>
          <w:tcPr>
            <w:tcW w:w="372" w:type="pct"/>
            <w:shd w:val="clear" w:color="auto" w:fill="CCCCCC"/>
          </w:tcPr>
          <w:p w14:paraId="038A25E3" w14:textId="77777777" w:rsidR="00CE0216" w:rsidRDefault="00CE0216" w:rsidP="001A5D4A">
            <w:pPr>
              <w:pStyle w:val="NotesTable-CellPlain"/>
            </w:pPr>
            <w:r>
              <w:t>–</w:t>
            </w:r>
          </w:p>
        </w:tc>
        <w:tc>
          <w:tcPr>
            <w:tcW w:w="334" w:type="pct"/>
            <w:shd w:val="clear" w:color="auto" w:fill="CCCCCC"/>
          </w:tcPr>
          <w:p w14:paraId="038A25E4" w14:textId="77777777" w:rsidR="00CE0216" w:rsidRDefault="00CE0216" w:rsidP="001A5D4A">
            <w:pPr>
              <w:pStyle w:val="NotesTable-CellPlain"/>
            </w:pPr>
            <w:r>
              <w:t>–</w:t>
            </w:r>
          </w:p>
        </w:tc>
        <w:tc>
          <w:tcPr>
            <w:tcW w:w="334" w:type="pct"/>
            <w:shd w:val="clear" w:color="auto" w:fill="CCCCCC"/>
          </w:tcPr>
          <w:p w14:paraId="038A25E5" w14:textId="77777777" w:rsidR="00CE0216" w:rsidRDefault="00CE0216" w:rsidP="001A5D4A">
            <w:pPr>
              <w:pStyle w:val="NotesTable-CellPlain"/>
            </w:pPr>
            <w:r>
              <w:t>–</w:t>
            </w:r>
          </w:p>
        </w:tc>
        <w:tc>
          <w:tcPr>
            <w:tcW w:w="336" w:type="pct"/>
            <w:shd w:val="clear" w:color="auto" w:fill="CCCCCC"/>
          </w:tcPr>
          <w:p w14:paraId="038A25E6" w14:textId="77777777" w:rsidR="00CE0216" w:rsidRDefault="00CE0216" w:rsidP="001A5D4A">
            <w:pPr>
              <w:pStyle w:val="NotesTable-CellPlain"/>
              <w:rPr>
                <w:lang w:val="en-GB"/>
              </w:rPr>
            </w:pPr>
            <w:r>
              <w:t>–</w:t>
            </w:r>
          </w:p>
        </w:tc>
      </w:tr>
      <w:tr w:rsidR="00CE0216" w14:paraId="038A25F4" w14:textId="77777777" w:rsidTr="002E740E">
        <w:trPr>
          <w:cantSplit/>
          <w:trHeight w:val="203"/>
        </w:trPr>
        <w:tc>
          <w:tcPr>
            <w:tcW w:w="502" w:type="pct"/>
          </w:tcPr>
          <w:p w14:paraId="038A25E8" w14:textId="77777777" w:rsidR="00CE0216" w:rsidRDefault="00CE0216" w:rsidP="001A5D4A">
            <w:pPr>
              <w:pStyle w:val="Note-Refs"/>
              <w:rPr>
                <w:b/>
              </w:rPr>
            </w:pPr>
            <w:r>
              <w:t>AASB116.73d</w:t>
            </w:r>
          </w:p>
        </w:tc>
        <w:tc>
          <w:tcPr>
            <w:tcW w:w="1004" w:type="pct"/>
            <w:shd w:val="clear" w:color="auto" w:fill="CCCCCC"/>
            <w:vAlign w:val="bottom"/>
          </w:tcPr>
          <w:p w14:paraId="038A25E9" w14:textId="77777777" w:rsidR="00CE0216" w:rsidRDefault="00CE0216" w:rsidP="001A5D4A">
            <w:pPr>
              <w:pStyle w:val="NotesTable-ItemPlain"/>
              <w:rPr>
                <w:b/>
              </w:rPr>
            </w:pPr>
            <w:r>
              <w:t>- Valuation</w:t>
            </w:r>
          </w:p>
        </w:tc>
        <w:tc>
          <w:tcPr>
            <w:tcW w:w="372" w:type="pct"/>
            <w:tcBorders>
              <w:bottom w:val="single" w:sz="4" w:space="0" w:color="000000"/>
            </w:tcBorders>
            <w:shd w:val="clear" w:color="auto" w:fill="CCCCCC"/>
          </w:tcPr>
          <w:p w14:paraId="038A25EA"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EB"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EC"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ED"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EE"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EF" w14:textId="77777777" w:rsidR="00CE0216" w:rsidRDefault="00CE0216" w:rsidP="001A5D4A">
            <w:pPr>
              <w:pStyle w:val="NotesTable-CellPlain"/>
            </w:pPr>
            <w:r>
              <w:t>–</w:t>
            </w:r>
          </w:p>
        </w:tc>
        <w:tc>
          <w:tcPr>
            <w:tcW w:w="372" w:type="pct"/>
            <w:tcBorders>
              <w:bottom w:val="single" w:sz="4" w:space="0" w:color="000000"/>
            </w:tcBorders>
            <w:shd w:val="clear" w:color="auto" w:fill="CCCCCC"/>
          </w:tcPr>
          <w:p w14:paraId="038A25F0"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F1"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5F2" w14:textId="77777777" w:rsidR="00CE0216" w:rsidRDefault="00CE0216" w:rsidP="001A5D4A">
            <w:pPr>
              <w:pStyle w:val="NotesTable-CellPlain"/>
            </w:pPr>
            <w:r>
              <w:t>–</w:t>
            </w:r>
          </w:p>
        </w:tc>
        <w:tc>
          <w:tcPr>
            <w:tcW w:w="336" w:type="pct"/>
            <w:tcBorders>
              <w:bottom w:val="single" w:sz="4" w:space="0" w:color="000000"/>
            </w:tcBorders>
            <w:shd w:val="clear" w:color="auto" w:fill="CCCCCC"/>
          </w:tcPr>
          <w:p w14:paraId="038A25F3" w14:textId="77777777" w:rsidR="00CE0216" w:rsidRDefault="00CE0216" w:rsidP="001A5D4A">
            <w:pPr>
              <w:pStyle w:val="NotesTable-CellPlain"/>
              <w:rPr>
                <w:lang w:val="en-GB"/>
              </w:rPr>
            </w:pPr>
            <w:r>
              <w:t>–</w:t>
            </w:r>
          </w:p>
        </w:tc>
      </w:tr>
      <w:tr w:rsidR="00CE0216" w14:paraId="038A2601" w14:textId="77777777" w:rsidTr="002E740E">
        <w:trPr>
          <w:cantSplit/>
          <w:trHeight w:val="218"/>
        </w:trPr>
        <w:tc>
          <w:tcPr>
            <w:tcW w:w="502" w:type="pct"/>
          </w:tcPr>
          <w:p w14:paraId="038A25F5" w14:textId="77777777" w:rsidR="00CE0216" w:rsidRDefault="00CE0216" w:rsidP="001A5D4A">
            <w:pPr>
              <w:pStyle w:val="Note-Refs"/>
              <w:rPr>
                <w:b/>
              </w:rPr>
            </w:pPr>
            <w:r>
              <w:t>AASB116.73d</w:t>
            </w:r>
          </w:p>
        </w:tc>
        <w:tc>
          <w:tcPr>
            <w:tcW w:w="1004" w:type="pct"/>
            <w:shd w:val="clear" w:color="auto" w:fill="CCCCCC"/>
            <w:vAlign w:val="bottom"/>
          </w:tcPr>
          <w:p w14:paraId="038A25F6" w14:textId="11B80EC8" w:rsidR="00CE0216" w:rsidRDefault="00CE0216" w:rsidP="001A5D4A">
            <w:pPr>
              <w:pStyle w:val="NotesTable-ItemPlain"/>
              <w:rPr>
                <w:b/>
              </w:rPr>
            </w:pPr>
            <w:r>
              <w:t>Accumulated depreciation</w:t>
            </w:r>
            <w:r w:rsidR="00F307BB">
              <w:t xml:space="preserve"> and impairment</w:t>
            </w:r>
          </w:p>
        </w:tc>
        <w:tc>
          <w:tcPr>
            <w:tcW w:w="372" w:type="pct"/>
            <w:tcBorders>
              <w:top w:val="single" w:sz="4" w:space="0" w:color="000000"/>
              <w:bottom w:val="single" w:sz="4" w:space="0" w:color="000000"/>
            </w:tcBorders>
            <w:shd w:val="clear" w:color="auto" w:fill="CCCCCC"/>
          </w:tcPr>
          <w:p w14:paraId="038A25F7"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5F8"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5F9"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5FA"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5FB"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5FC" w14:textId="77777777" w:rsidR="00CE0216" w:rsidRDefault="00CE0216" w:rsidP="001A5D4A">
            <w:pPr>
              <w:pStyle w:val="NotesTable-CellPlain"/>
            </w:pPr>
            <w:r>
              <w:t>–</w:t>
            </w:r>
          </w:p>
        </w:tc>
        <w:tc>
          <w:tcPr>
            <w:tcW w:w="372" w:type="pct"/>
            <w:tcBorders>
              <w:top w:val="single" w:sz="4" w:space="0" w:color="000000"/>
              <w:bottom w:val="single" w:sz="4" w:space="0" w:color="000000"/>
            </w:tcBorders>
            <w:shd w:val="clear" w:color="auto" w:fill="CCCCCC"/>
          </w:tcPr>
          <w:p w14:paraId="038A25FD"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5FE"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5FF" w14:textId="77777777" w:rsidR="00CE0216" w:rsidRDefault="00CE0216" w:rsidP="001A5D4A">
            <w:pPr>
              <w:pStyle w:val="NotesTable-CellPlain"/>
            </w:pPr>
            <w:r>
              <w:t>–</w:t>
            </w:r>
          </w:p>
        </w:tc>
        <w:tc>
          <w:tcPr>
            <w:tcW w:w="336" w:type="pct"/>
            <w:tcBorders>
              <w:top w:val="single" w:sz="4" w:space="0" w:color="000000"/>
              <w:bottom w:val="single" w:sz="4" w:space="0" w:color="000000"/>
            </w:tcBorders>
            <w:shd w:val="clear" w:color="auto" w:fill="CCCCCC"/>
          </w:tcPr>
          <w:p w14:paraId="038A2600" w14:textId="77777777" w:rsidR="00CE0216" w:rsidRDefault="00CE0216" w:rsidP="001A5D4A">
            <w:pPr>
              <w:pStyle w:val="NotesTable-CellPlain"/>
              <w:rPr>
                <w:lang w:val="en-GB"/>
              </w:rPr>
            </w:pPr>
            <w:r>
              <w:t>–</w:t>
            </w:r>
          </w:p>
        </w:tc>
      </w:tr>
      <w:tr w:rsidR="00CE0216" w14:paraId="038A260E" w14:textId="77777777" w:rsidTr="002E740E">
        <w:trPr>
          <w:cantSplit/>
          <w:trHeight w:val="218"/>
        </w:trPr>
        <w:tc>
          <w:tcPr>
            <w:tcW w:w="502" w:type="pct"/>
          </w:tcPr>
          <w:p w14:paraId="038A2602" w14:textId="77777777" w:rsidR="00CE0216" w:rsidRDefault="00CE0216" w:rsidP="001A5D4A">
            <w:pPr>
              <w:pStyle w:val="Note-Refs"/>
            </w:pPr>
          </w:p>
        </w:tc>
        <w:tc>
          <w:tcPr>
            <w:tcW w:w="1004" w:type="pct"/>
            <w:shd w:val="clear" w:color="auto" w:fill="CCCCCC"/>
            <w:vAlign w:val="bottom"/>
          </w:tcPr>
          <w:p w14:paraId="038A2603" w14:textId="77777777" w:rsidR="00CE0216" w:rsidRDefault="00CE0216" w:rsidP="001A5D4A">
            <w:pPr>
              <w:pStyle w:val="NotesTable-ItemPlain"/>
              <w:rPr>
                <w:b/>
              </w:rPr>
            </w:pPr>
            <w:r>
              <w:t xml:space="preserve">Net book amount </w:t>
            </w:r>
          </w:p>
        </w:tc>
        <w:tc>
          <w:tcPr>
            <w:tcW w:w="372" w:type="pct"/>
            <w:shd w:val="clear" w:color="auto" w:fill="CCCCCC"/>
          </w:tcPr>
          <w:p w14:paraId="038A2604" w14:textId="77777777" w:rsidR="00CE0216" w:rsidRDefault="00CE0216" w:rsidP="001A5D4A">
            <w:pPr>
              <w:pStyle w:val="NotesTable-CellPlain"/>
            </w:pPr>
            <w:r>
              <w:t>–</w:t>
            </w:r>
          </w:p>
        </w:tc>
        <w:tc>
          <w:tcPr>
            <w:tcW w:w="334" w:type="pct"/>
            <w:shd w:val="clear" w:color="auto" w:fill="CCCCCC"/>
          </w:tcPr>
          <w:p w14:paraId="038A2605" w14:textId="77777777" w:rsidR="00CE0216" w:rsidRDefault="00CE0216" w:rsidP="001A5D4A">
            <w:pPr>
              <w:pStyle w:val="NotesTable-CellPlain"/>
            </w:pPr>
            <w:r>
              <w:t>–</w:t>
            </w:r>
          </w:p>
        </w:tc>
        <w:tc>
          <w:tcPr>
            <w:tcW w:w="334" w:type="pct"/>
            <w:shd w:val="clear" w:color="auto" w:fill="CCCCCC"/>
          </w:tcPr>
          <w:p w14:paraId="038A2606" w14:textId="77777777" w:rsidR="00CE0216" w:rsidRDefault="00CE0216" w:rsidP="001A5D4A">
            <w:pPr>
              <w:pStyle w:val="NotesTable-CellPlain"/>
            </w:pPr>
            <w:r>
              <w:t>–</w:t>
            </w:r>
          </w:p>
        </w:tc>
        <w:tc>
          <w:tcPr>
            <w:tcW w:w="372" w:type="pct"/>
            <w:shd w:val="clear" w:color="auto" w:fill="CCCCCC"/>
          </w:tcPr>
          <w:p w14:paraId="038A2607" w14:textId="77777777" w:rsidR="00CE0216" w:rsidRDefault="00CE0216" w:rsidP="001A5D4A">
            <w:pPr>
              <w:pStyle w:val="NotesTable-CellPlain"/>
            </w:pPr>
            <w:r>
              <w:t>–</w:t>
            </w:r>
          </w:p>
        </w:tc>
        <w:tc>
          <w:tcPr>
            <w:tcW w:w="334" w:type="pct"/>
            <w:shd w:val="clear" w:color="auto" w:fill="CCCCCC"/>
          </w:tcPr>
          <w:p w14:paraId="038A2608" w14:textId="77777777" w:rsidR="00CE0216" w:rsidRDefault="00CE0216" w:rsidP="001A5D4A">
            <w:pPr>
              <w:pStyle w:val="NotesTable-CellPlain"/>
            </w:pPr>
            <w:r>
              <w:t>–</w:t>
            </w:r>
          </w:p>
        </w:tc>
        <w:tc>
          <w:tcPr>
            <w:tcW w:w="372" w:type="pct"/>
            <w:shd w:val="clear" w:color="auto" w:fill="CCCCCC"/>
          </w:tcPr>
          <w:p w14:paraId="038A2609" w14:textId="77777777" w:rsidR="00CE0216" w:rsidRDefault="00CE0216" w:rsidP="001A5D4A">
            <w:pPr>
              <w:pStyle w:val="NotesTable-CellPlain"/>
            </w:pPr>
            <w:r>
              <w:t>–</w:t>
            </w:r>
          </w:p>
        </w:tc>
        <w:tc>
          <w:tcPr>
            <w:tcW w:w="372" w:type="pct"/>
            <w:shd w:val="clear" w:color="auto" w:fill="CCCCCC"/>
          </w:tcPr>
          <w:p w14:paraId="038A260A" w14:textId="77777777" w:rsidR="00CE0216" w:rsidRDefault="00CE0216" w:rsidP="001A5D4A">
            <w:pPr>
              <w:pStyle w:val="NotesTable-CellPlain"/>
            </w:pPr>
            <w:r>
              <w:t>–</w:t>
            </w:r>
          </w:p>
        </w:tc>
        <w:tc>
          <w:tcPr>
            <w:tcW w:w="334" w:type="pct"/>
            <w:shd w:val="clear" w:color="auto" w:fill="CCCCCC"/>
          </w:tcPr>
          <w:p w14:paraId="038A260B" w14:textId="77777777" w:rsidR="00CE0216" w:rsidRDefault="00CE0216" w:rsidP="001A5D4A">
            <w:pPr>
              <w:pStyle w:val="NotesTable-CellPlain"/>
            </w:pPr>
            <w:r>
              <w:t>–</w:t>
            </w:r>
          </w:p>
        </w:tc>
        <w:tc>
          <w:tcPr>
            <w:tcW w:w="334" w:type="pct"/>
            <w:shd w:val="clear" w:color="auto" w:fill="CCCCCC"/>
          </w:tcPr>
          <w:p w14:paraId="038A260C" w14:textId="77777777" w:rsidR="00CE0216" w:rsidRDefault="00CE0216" w:rsidP="001A5D4A">
            <w:pPr>
              <w:pStyle w:val="NotesTable-CellPlain"/>
            </w:pPr>
            <w:r>
              <w:t>–</w:t>
            </w:r>
          </w:p>
        </w:tc>
        <w:tc>
          <w:tcPr>
            <w:tcW w:w="336" w:type="pct"/>
            <w:shd w:val="clear" w:color="auto" w:fill="CCCCCC"/>
          </w:tcPr>
          <w:p w14:paraId="038A260D" w14:textId="77777777" w:rsidR="00CE0216" w:rsidRDefault="00CE0216" w:rsidP="001A5D4A">
            <w:pPr>
              <w:pStyle w:val="NotesTable-CellPlain"/>
              <w:rPr>
                <w:lang w:val="en-GB"/>
              </w:rPr>
            </w:pPr>
            <w:r>
              <w:t>–</w:t>
            </w:r>
          </w:p>
        </w:tc>
      </w:tr>
    </w:tbl>
    <w:p w14:paraId="038A260F" w14:textId="77777777" w:rsidR="00023312" w:rsidRPr="00976BC2" w:rsidRDefault="001B6B14" w:rsidP="001A5D4A">
      <w:r w:rsidRPr="00976BC2">
        <w:br w:type="page"/>
      </w:r>
    </w:p>
    <w:tbl>
      <w:tblPr>
        <w:tblW w:w="5000" w:type="pct"/>
        <w:tblCellMar>
          <w:left w:w="0" w:type="dxa"/>
          <w:right w:w="0" w:type="dxa"/>
        </w:tblCellMar>
        <w:tblLook w:val="0000" w:firstRow="0" w:lastRow="0" w:firstColumn="0" w:lastColumn="0" w:noHBand="0" w:noVBand="0"/>
      </w:tblPr>
      <w:tblGrid>
        <w:gridCol w:w="1543"/>
        <w:gridCol w:w="513"/>
        <w:gridCol w:w="2566"/>
        <w:gridCol w:w="1139"/>
        <w:gridCol w:w="1025"/>
        <w:gridCol w:w="1025"/>
        <w:gridCol w:w="1139"/>
        <w:gridCol w:w="1025"/>
        <w:gridCol w:w="1139"/>
        <w:gridCol w:w="1139"/>
        <w:gridCol w:w="1025"/>
        <w:gridCol w:w="896"/>
        <w:gridCol w:w="129"/>
        <w:gridCol w:w="1022"/>
        <w:gridCol w:w="21"/>
      </w:tblGrid>
      <w:tr w:rsidR="002E740E" w14:paraId="038A2612" w14:textId="77777777" w:rsidTr="002E740E">
        <w:trPr>
          <w:cantSplit/>
          <w:trHeight w:val="565"/>
        </w:trPr>
        <w:tc>
          <w:tcPr>
            <w:tcW w:w="5000" w:type="pct"/>
            <w:gridSpan w:val="15"/>
          </w:tcPr>
          <w:p w14:paraId="038A2611" w14:textId="7921911E" w:rsidR="002E740E" w:rsidRPr="00976BC2" w:rsidRDefault="002E740E" w:rsidP="002E740E">
            <w:pPr>
              <w:pStyle w:val="TOC3"/>
              <w:ind w:left="0"/>
            </w:pPr>
            <w:r w:rsidRPr="00976BC2">
              <w:lastRenderedPageBreak/>
              <w:t>Note 26</w:t>
            </w:r>
            <w:r>
              <w:t xml:space="preserve">. </w:t>
            </w:r>
            <w:r w:rsidRPr="00976BC2">
              <w:t>Property, plant and equipment (continued)</w:t>
            </w:r>
          </w:p>
        </w:tc>
      </w:tr>
      <w:tr w:rsidR="00CE0216" w14:paraId="038A261F" w14:textId="77777777" w:rsidTr="00E21378">
        <w:trPr>
          <w:cantSplit/>
          <w:trHeight w:val="565"/>
        </w:trPr>
        <w:tc>
          <w:tcPr>
            <w:tcW w:w="503" w:type="pct"/>
          </w:tcPr>
          <w:p w14:paraId="038A2613" w14:textId="77777777" w:rsidR="00CE0216" w:rsidRDefault="00CE0216" w:rsidP="001A5D4A">
            <w:pPr>
              <w:pStyle w:val="Note-Refs"/>
            </w:pPr>
            <w:r>
              <w:t>MANDATORY</w:t>
            </w:r>
          </w:p>
        </w:tc>
        <w:tc>
          <w:tcPr>
            <w:tcW w:w="1003" w:type="pct"/>
            <w:gridSpan w:val="2"/>
            <w:shd w:val="clear" w:color="auto" w:fill="CCCCCC"/>
          </w:tcPr>
          <w:p w14:paraId="038A2614" w14:textId="77777777" w:rsidR="00CE0216" w:rsidRDefault="00CE0216" w:rsidP="001A5D4A">
            <w:pPr>
              <w:pStyle w:val="NotesTable-ItemPlain"/>
            </w:pPr>
          </w:p>
        </w:tc>
        <w:tc>
          <w:tcPr>
            <w:tcW w:w="371" w:type="pct"/>
            <w:shd w:val="clear" w:color="auto" w:fill="CCCCCC"/>
            <w:vAlign w:val="bottom"/>
          </w:tcPr>
          <w:p w14:paraId="038A2615" w14:textId="77777777" w:rsidR="00CE0216" w:rsidRDefault="00CE0216" w:rsidP="001A5D4A">
            <w:pPr>
              <w:pStyle w:val="NotesTable-HeadPlain"/>
              <w:rPr>
                <w:b/>
              </w:rPr>
            </w:pPr>
            <w:r>
              <w:t>Construction in progress</w:t>
            </w:r>
          </w:p>
        </w:tc>
        <w:tc>
          <w:tcPr>
            <w:tcW w:w="334" w:type="pct"/>
            <w:shd w:val="clear" w:color="auto" w:fill="CCCCCC"/>
            <w:vAlign w:val="bottom"/>
          </w:tcPr>
          <w:p w14:paraId="038A2616" w14:textId="77777777" w:rsidR="00CE0216" w:rsidRDefault="00CE0216" w:rsidP="001A5D4A">
            <w:pPr>
              <w:pStyle w:val="NotesTable-HeadPlain"/>
            </w:pPr>
            <w:r>
              <w:t>Land</w:t>
            </w:r>
          </w:p>
        </w:tc>
        <w:tc>
          <w:tcPr>
            <w:tcW w:w="334" w:type="pct"/>
            <w:shd w:val="clear" w:color="auto" w:fill="CCCCCC"/>
            <w:vAlign w:val="bottom"/>
          </w:tcPr>
          <w:p w14:paraId="038A2617" w14:textId="77777777" w:rsidR="00CE0216" w:rsidRDefault="00CE0216" w:rsidP="001A5D4A">
            <w:pPr>
              <w:pStyle w:val="NotesTable-HeadPlain"/>
            </w:pPr>
            <w:r>
              <w:t>Buildings</w:t>
            </w:r>
          </w:p>
        </w:tc>
        <w:tc>
          <w:tcPr>
            <w:tcW w:w="371" w:type="pct"/>
            <w:shd w:val="clear" w:color="auto" w:fill="CCCCCC"/>
            <w:vAlign w:val="bottom"/>
          </w:tcPr>
          <w:p w14:paraId="038A2618" w14:textId="77777777" w:rsidR="00CE0216" w:rsidRDefault="00CE0216" w:rsidP="001A5D4A">
            <w:pPr>
              <w:pStyle w:val="NotesTable-HeadPlain"/>
            </w:pPr>
            <w:r>
              <w:t>Infrastructure</w:t>
            </w:r>
          </w:p>
        </w:tc>
        <w:tc>
          <w:tcPr>
            <w:tcW w:w="334" w:type="pct"/>
            <w:shd w:val="clear" w:color="auto" w:fill="CCCCCC"/>
            <w:vAlign w:val="bottom"/>
          </w:tcPr>
          <w:p w14:paraId="038A2619" w14:textId="11E89023" w:rsidR="00CE0216" w:rsidRDefault="00F307BB" w:rsidP="001A5D4A">
            <w:pPr>
              <w:pStyle w:val="NotesTable-HeadPlain"/>
            </w:pPr>
            <w:r>
              <w:t>P</w:t>
            </w:r>
            <w:r w:rsidR="00CE0216">
              <w:t>lant and equipment*</w:t>
            </w:r>
          </w:p>
        </w:tc>
        <w:tc>
          <w:tcPr>
            <w:tcW w:w="371" w:type="pct"/>
            <w:shd w:val="clear" w:color="auto" w:fill="CCCCCC"/>
            <w:vAlign w:val="bottom"/>
          </w:tcPr>
          <w:p w14:paraId="038A261A" w14:textId="77777777" w:rsidR="00CE0216" w:rsidRDefault="00CE0216" w:rsidP="001A5D4A">
            <w:pPr>
              <w:pStyle w:val="NotesTable-HeadPlain"/>
            </w:pPr>
            <w:r>
              <w:t>Leasehold improvements</w:t>
            </w:r>
          </w:p>
        </w:tc>
        <w:tc>
          <w:tcPr>
            <w:tcW w:w="371" w:type="pct"/>
            <w:shd w:val="clear" w:color="auto" w:fill="CCCCCC"/>
            <w:vAlign w:val="bottom"/>
          </w:tcPr>
          <w:p w14:paraId="038A261B" w14:textId="77777777" w:rsidR="00CE0216" w:rsidRDefault="00CE0216" w:rsidP="001A5D4A">
            <w:pPr>
              <w:pStyle w:val="NotesTable-HeadPlain"/>
            </w:pPr>
            <w:r>
              <w:t>Leased plant &amp; equipment</w:t>
            </w:r>
          </w:p>
        </w:tc>
        <w:tc>
          <w:tcPr>
            <w:tcW w:w="334" w:type="pct"/>
            <w:shd w:val="clear" w:color="auto" w:fill="CCCCCC"/>
            <w:vAlign w:val="bottom"/>
          </w:tcPr>
          <w:p w14:paraId="038A261C" w14:textId="77777777" w:rsidR="00CE0216" w:rsidRDefault="00CE0216" w:rsidP="001A5D4A">
            <w:pPr>
              <w:pStyle w:val="NotesTable-HeadPlain"/>
            </w:pPr>
            <w:r>
              <w:t>Library</w:t>
            </w:r>
          </w:p>
        </w:tc>
        <w:tc>
          <w:tcPr>
            <w:tcW w:w="334" w:type="pct"/>
            <w:gridSpan w:val="2"/>
            <w:shd w:val="clear" w:color="auto" w:fill="CCCCCC"/>
            <w:vAlign w:val="bottom"/>
          </w:tcPr>
          <w:p w14:paraId="038A261D" w14:textId="21EE4F74" w:rsidR="00CE0216" w:rsidRDefault="00CE0216" w:rsidP="001A5D4A">
            <w:pPr>
              <w:pStyle w:val="NotesTable-HeadPlain"/>
            </w:pPr>
            <w:r>
              <w:t>Other plant and equipment**</w:t>
            </w:r>
          </w:p>
        </w:tc>
        <w:tc>
          <w:tcPr>
            <w:tcW w:w="340" w:type="pct"/>
            <w:gridSpan w:val="2"/>
            <w:shd w:val="clear" w:color="auto" w:fill="CCCCCC"/>
            <w:vAlign w:val="bottom"/>
          </w:tcPr>
          <w:p w14:paraId="038A261E" w14:textId="77777777" w:rsidR="00CE0216" w:rsidRDefault="00CE0216" w:rsidP="001A5D4A">
            <w:pPr>
              <w:pStyle w:val="NotesTable-HeadPlain"/>
            </w:pPr>
            <w:r>
              <w:t>Total</w:t>
            </w:r>
          </w:p>
        </w:tc>
      </w:tr>
      <w:tr w:rsidR="00CE0216" w14:paraId="038A262C" w14:textId="77777777" w:rsidTr="00E21378">
        <w:trPr>
          <w:cantSplit/>
          <w:trHeight w:val="218"/>
        </w:trPr>
        <w:tc>
          <w:tcPr>
            <w:tcW w:w="503" w:type="pct"/>
          </w:tcPr>
          <w:p w14:paraId="038A2620" w14:textId="77777777" w:rsidR="00CE0216" w:rsidRDefault="00CE0216" w:rsidP="001A5D4A">
            <w:pPr>
              <w:pStyle w:val="Note-Refs"/>
            </w:pPr>
          </w:p>
        </w:tc>
        <w:tc>
          <w:tcPr>
            <w:tcW w:w="1003" w:type="pct"/>
            <w:gridSpan w:val="2"/>
            <w:shd w:val="clear" w:color="auto" w:fill="CCCCCC"/>
            <w:vAlign w:val="bottom"/>
          </w:tcPr>
          <w:p w14:paraId="038A2621" w14:textId="77777777" w:rsidR="00CE0216" w:rsidRDefault="003C1BBA" w:rsidP="001A5D4A">
            <w:pPr>
              <w:pStyle w:val="NotesTable-ItemBold"/>
            </w:pPr>
            <w:r>
              <w:t>Parent entity</w:t>
            </w:r>
          </w:p>
        </w:tc>
        <w:tc>
          <w:tcPr>
            <w:tcW w:w="371" w:type="pct"/>
            <w:shd w:val="clear" w:color="auto" w:fill="CCCCCC"/>
          </w:tcPr>
          <w:p w14:paraId="038A2622" w14:textId="77777777" w:rsidR="00CE0216" w:rsidRDefault="00CE0216" w:rsidP="001A5D4A">
            <w:pPr>
              <w:pStyle w:val="NotesTable-HeadPlain"/>
              <w:rPr>
                <w:b/>
              </w:rPr>
            </w:pPr>
            <w:r>
              <w:t>$'000</w:t>
            </w:r>
          </w:p>
        </w:tc>
        <w:tc>
          <w:tcPr>
            <w:tcW w:w="334" w:type="pct"/>
            <w:shd w:val="clear" w:color="auto" w:fill="CCCCCC"/>
          </w:tcPr>
          <w:p w14:paraId="038A2623" w14:textId="77777777" w:rsidR="00CE0216" w:rsidRDefault="00CE0216" w:rsidP="001A5D4A">
            <w:pPr>
              <w:pStyle w:val="NotesTable-HeadPlain"/>
              <w:rPr>
                <w:b/>
              </w:rPr>
            </w:pPr>
            <w:r>
              <w:t>$'000</w:t>
            </w:r>
          </w:p>
        </w:tc>
        <w:tc>
          <w:tcPr>
            <w:tcW w:w="334" w:type="pct"/>
            <w:shd w:val="clear" w:color="auto" w:fill="CCCCCC"/>
          </w:tcPr>
          <w:p w14:paraId="038A2624" w14:textId="77777777" w:rsidR="00CE0216" w:rsidRDefault="00CE0216" w:rsidP="001A5D4A">
            <w:pPr>
              <w:pStyle w:val="NotesTable-HeadPlain"/>
              <w:rPr>
                <w:b/>
              </w:rPr>
            </w:pPr>
            <w:r>
              <w:t>$'000</w:t>
            </w:r>
          </w:p>
        </w:tc>
        <w:tc>
          <w:tcPr>
            <w:tcW w:w="371" w:type="pct"/>
            <w:shd w:val="clear" w:color="auto" w:fill="CCCCCC"/>
          </w:tcPr>
          <w:p w14:paraId="038A2625" w14:textId="77777777" w:rsidR="00CE0216" w:rsidRDefault="00CE0216" w:rsidP="001A5D4A">
            <w:pPr>
              <w:pStyle w:val="NotesTable-HeadPlain"/>
              <w:rPr>
                <w:b/>
              </w:rPr>
            </w:pPr>
            <w:r>
              <w:t>$'000</w:t>
            </w:r>
          </w:p>
        </w:tc>
        <w:tc>
          <w:tcPr>
            <w:tcW w:w="334" w:type="pct"/>
            <w:shd w:val="clear" w:color="auto" w:fill="CCCCCC"/>
          </w:tcPr>
          <w:p w14:paraId="038A2626" w14:textId="77777777" w:rsidR="00CE0216" w:rsidRDefault="00CE0216" w:rsidP="001A5D4A">
            <w:pPr>
              <w:pStyle w:val="NotesTable-HeadPlain"/>
              <w:rPr>
                <w:b/>
              </w:rPr>
            </w:pPr>
            <w:r>
              <w:t>$'000</w:t>
            </w:r>
          </w:p>
        </w:tc>
        <w:tc>
          <w:tcPr>
            <w:tcW w:w="371" w:type="pct"/>
            <w:shd w:val="clear" w:color="auto" w:fill="CCCCCC"/>
          </w:tcPr>
          <w:p w14:paraId="038A2627" w14:textId="77777777" w:rsidR="00CE0216" w:rsidRDefault="00CE0216" w:rsidP="001A5D4A">
            <w:pPr>
              <w:pStyle w:val="NotesTable-HeadPlain"/>
              <w:rPr>
                <w:b/>
              </w:rPr>
            </w:pPr>
            <w:r>
              <w:t>$'000</w:t>
            </w:r>
          </w:p>
        </w:tc>
        <w:tc>
          <w:tcPr>
            <w:tcW w:w="371" w:type="pct"/>
            <w:shd w:val="clear" w:color="auto" w:fill="CCCCCC"/>
          </w:tcPr>
          <w:p w14:paraId="038A2628" w14:textId="77777777" w:rsidR="00CE0216" w:rsidRDefault="00CE0216" w:rsidP="001A5D4A">
            <w:pPr>
              <w:pStyle w:val="NotesTable-HeadPlain"/>
              <w:rPr>
                <w:b/>
              </w:rPr>
            </w:pPr>
            <w:r>
              <w:t>$'000</w:t>
            </w:r>
          </w:p>
        </w:tc>
        <w:tc>
          <w:tcPr>
            <w:tcW w:w="334" w:type="pct"/>
            <w:shd w:val="clear" w:color="auto" w:fill="CCCCCC"/>
          </w:tcPr>
          <w:p w14:paraId="038A2629" w14:textId="77777777" w:rsidR="00CE0216" w:rsidRDefault="00CE0216" w:rsidP="001A5D4A">
            <w:pPr>
              <w:pStyle w:val="NotesTable-HeadPlain"/>
              <w:rPr>
                <w:b/>
              </w:rPr>
            </w:pPr>
            <w:r>
              <w:t>$'000</w:t>
            </w:r>
          </w:p>
        </w:tc>
        <w:tc>
          <w:tcPr>
            <w:tcW w:w="334" w:type="pct"/>
            <w:gridSpan w:val="2"/>
            <w:shd w:val="clear" w:color="auto" w:fill="CCCCCC"/>
          </w:tcPr>
          <w:p w14:paraId="038A262A" w14:textId="77777777" w:rsidR="00CE0216" w:rsidRDefault="00CE0216" w:rsidP="001A5D4A">
            <w:pPr>
              <w:pStyle w:val="NotesTable-HeadPlain"/>
              <w:rPr>
                <w:b/>
              </w:rPr>
            </w:pPr>
            <w:r>
              <w:t>$'000</w:t>
            </w:r>
          </w:p>
        </w:tc>
        <w:tc>
          <w:tcPr>
            <w:tcW w:w="340" w:type="pct"/>
            <w:gridSpan w:val="2"/>
            <w:shd w:val="clear" w:color="auto" w:fill="CCCCCC"/>
          </w:tcPr>
          <w:p w14:paraId="038A262B" w14:textId="77777777" w:rsidR="00CE0216" w:rsidRDefault="00CE0216" w:rsidP="001A5D4A">
            <w:pPr>
              <w:pStyle w:val="NotesTable-HeadPlain"/>
              <w:rPr>
                <w:b/>
              </w:rPr>
            </w:pPr>
            <w:r>
              <w:t>$'000</w:t>
            </w:r>
          </w:p>
        </w:tc>
      </w:tr>
      <w:tr w:rsidR="00D24883" w14:paraId="038A2639" w14:textId="77777777" w:rsidTr="00E21378">
        <w:trPr>
          <w:cantSplit/>
          <w:trHeight w:val="218"/>
        </w:trPr>
        <w:tc>
          <w:tcPr>
            <w:tcW w:w="503" w:type="pct"/>
          </w:tcPr>
          <w:p w14:paraId="038A262D" w14:textId="77777777" w:rsidR="00D24883" w:rsidRDefault="00D24883" w:rsidP="001A5D4A">
            <w:pPr>
              <w:pStyle w:val="Note-Refs"/>
            </w:pPr>
          </w:p>
        </w:tc>
        <w:tc>
          <w:tcPr>
            <w:tcW w:w="1003" w:type="pct"/>
            <w:gridSpan w:val="2"/>
            <w:shd w:val="clear" w:color="auto" w:fill="CCCCCC"/>
            <w:vAlign w:val="bottom"/>
          </w:tcPr>
          <w:p w14:paraId="038A262E" w14:textId="77777777" w:rsidR="00D24883" w:rsidRDefault="00D24883" w:rsidP="001A5D4A">
            <w:pPr>
              <w:pStyle w:val="NotesTable-ItemPlain"/>
            </w:pPr>
          </w:p>
        </w:tc>
        <w:tc>
          <w:tcPr>
            <w:tcW w:w="371" w:type="pct"/>
            <w:shd w:val="clear" w:color="auto" w:fill="CCCCCC"/>
          </w:tcPr>
          <w:p w14:paraId="038A262F" w14:textId="77777777" w:rsidR="00D24883" w:rsidRDefault="00D24883" w:rsidP="001A5D4A">
            <w:pPr>
              <w:pStyle w:val="NotesTable-CellPlain"/>
            </w:pPr>
          </w:p>
        </w:tc>
        <w:tc>
          <w:tcPr>
            <w:tcW w:w="334" w:type="pct"/>
            <w:shd w:val="clear" w:color="auto" w:fill="CCCCCC"/>
          </w:tcPr>
          <w:p w14:paraId="038A2630" w14:textId="77777777" w:rsidR="00D24883" w:rsidRDefault="00D24883" w:rsidP="001A5D4A">
            <w:pPr>
              <w:pStyle w:val="NotesTable-CellPlain"/>
            </w:pPr>
          </w:p>
        </w:tc>
        <w:tc>
          <w:tcPr>
            <w:tcW w:w="334" w:type="pct"/>
            <w:shd w:val="clear" w:color="auto" w:fill="CCCCCC"/>
          </w:tcPr>
          <w:p w14:paraId="038A2631" w14:textId="77777777" w:rsidR="00D24883" w:rsidRDefault="00D24883" w:rsidP="001A5D4A">
            <w:pPr>
              <w:pStyle w:val="NotesTable-CellPlain"/>
            </w:pPr>
          </w:p>
        </w:tc>
        <w:tc>
          <w:tcPr>
            <w:tcW w:w="371" w:type="pct"/>
            <w:shd w:val="clear" w:color="auto" w:fill="CCCCCC"/>
          </w:tcPr>
          <w:p w14:paraId="038A2632" w14:textId="77777777" w:rsidR="00D24883" w:rsidRDefault="00D24883" w:rsidP="001A5D4A">
            <w:pPr>
              <w:pStyle w:val="NotesTable-CellPlain"/>
            </w:pPr>
          </w:p>
        </w:tc>
        <w:tc>
          <w:tcPr>
            <w:tcW w:w="334" w:type="pct"/>
            <w:shd w:val="clear" w:color="auto" w:fill="CCCCCC"/>
          </w:tcPr>
          <w:p w14:paraId="038A2633" w14:textId="77777777" w:rsidR="00D24883" w:rsidRDefault="00D24883" w:rsidP="001A5D4A">
            <w:pPr>
              <w:pStyle w:val="NotesTable-CellPlain"/>
            </w:pPr>
          </w:p>
        </w:tc>
        <w:tc>
          <w:tcPr>
            <w:tcW w:w="371" w:type="pct"/>
            <w:shd w:val="clear" w:color="auto" w:fill="CCCCCC"/>
          </w:tcPr>
          <w:p w14:paraId="038A2634" w14:textId="77777777" w:rsidR="00D24883" w:rsidRDefault="00D24883" w:rsidP="001A5D4A">
            <w:pPr>
              <w:pStyle w:val="NotesTable-CellPlain"/>
            </w:pPr>
          </w:p>
        </w:tc>
        <w:tc>
          <w:tcPr>
            <w:tcW w:w="371" w:type="pct"/>
            <w:shd w:val="clear" w:color="auto" w:fill="CCCCCC"/>
          </w:tcPr>
          <w:p w14:paraId="038A2635" w14:textId="77777777" w:rsidR="00D24883" w:rsidRDefault="00D24883" w:rsidP="001A5D4A">
            <w:pPr>
              <w:pStyle w:val="NotesTable-CellPlain"/>
            </w:pPr>
          </w:p>
        </w:tc>
        <w:tc>
          <w:tcPr>
            <w:tcW w:w="334" w:type="pct"/>
            <w:shd w:val="clear" w:color="auto" w:fill="CCCCCC"/>
          </w:tcPr>
          <w:p w14:paraId="038A2636" w14:textId="77777777" w:rsidR="00D24883" w:rsidRDefault="00D24883" w:rsidP="001A5D4A">
            <w:pPr>
              <w:pStyle w:val="NotesTable-CellPlain"/>
            </w:pPr>
          </w:p>
        </w:tc>
        <w:tc>
          <w:tcPr>
            <w:tcW w:w="334" w:type="pct"/>
            <w:gridSpan w:val="2"/>
            <w:shd w:val="clear" w:color="auto" w:fill="CCCCCC"/>
          </w:tcPr>
          <w:p w14:paraId="038A2637" w14:textId="77777777" w:rsidR="00D24883" w:rsidRDefault="00D24883" w:rsidP="001A5D4A">
            <w:pPr>
              <w:pStyle w:val="NotesTable-CellPlain"/>
            </w:pPr>
          </w:p>
        </w:tc>
        <w:tc>
          <w:tcPr>
            <w:tcW w:w="340" w:type="pct"/>
            <w:gridSpan w:val="2"/>
            <w:shd w:val="clear" w:color="auto" w:fill="CCCCCC"/>
          </w:tcPr>
          <w:p w14:paraId="038A2638" w14:textId="77777777" w:rsidR="00D24883" w:rsidRDefault="00D24883" w:rsidP="001A5D4A">
            <w:pPr>
              <w:pStyle w:val="NotesTable-CellPlain"/>
            </w:pPr>
          </w:p>
        </w:tc>
      </w:tr>
      <w:tr w:rsidR="00742371" w14:paraId="038A263C" w14:textId="77777777" w:rsidTr="00E21378">
        <w:trPr>
          <w:cantSplit/>
          <w:trHeight w:val="218"/>
        </w:trPr>
        <w:tc>
          <w:tcPr>
            <w:tcW w:w="503" w:type="pct"/>
          </w:tcPr>
          <w:p w14:paraId="038A263A" w14:textId="77777777" w:rsidR="00742371" w:rsidRDefault="00742371" w:rsidP="001A5D4A">
            <w:pPr>
              <w:pStyle w:val="Note-Refs"/>
            </w:pPr>
          </w:p>
        </w:tc>
        <w:tc>
          <w:tcPr>
            <w:tcW w:w="4497" w:type="pct"/>
            <w:gridSpan w:val="14"/>
            <w:shd w:val="clear" w:color="auto" w:fill="CCCCCC"/>
            <w:vAlign w:val="bottom"/>
          </w:tcPr>
          <w:p w14:paraId="038A263B" w14:textId="243D235A" w:rsidR="00742371" w:rsidRDefault="00742371" w:rsidP="001A5D4A">
            <w:pPr>
              <w:pStyle w:val="Note-TextHeader"/>
              <w:rPr>
                <w:lang w:val="en-GB"/>
              </w:rPr>
            </w:pPr>
            <w:r>
              <w:t xml:space="preserve">Year ended 31 December </w:t>
            </w:r>
            <w:r w:rsidR="006864EC">
              <w:t>2014</w:t>
            </w:r>
          </w:p>
        </w:tc>
      </w:tr>
      <w:tr w:rsidR="0092710B" w14:paraId="7FF73F1D" w14:textId="77777777" w:rsidTr="00E21378">
        <w:trPr>
          <w:cantSplit/>
          <w:trHeight w:val="218"/>
        </w:trPr>
        <w:tc>
          <w:tcPr>
            <w:tcW w:w="503" w:type="pct"/>
          </w:tcPr>
          <w:p w14:paraId="7C576D35" w14:textId="77777777" w:rsidR="0092710B" w:rsidRDefault="0092710B" w:rsidP="001A5D4A">
            <w:pPr>
              <w:pStyle w:val="Note-Refs"/>
              <w:rPr>
                <w:b/>
              </w:rPr>
            </w:pPr>
            <w:r>
              <w:t>AASB116.73e</w:t>
            </w:r>
          </w:p>
        </w:tc>
        <w:tc>
          <w:tcPr>
            <w:tcW w:w="1003" w:type="pct"/>
            <w:gridSpan w:val="2"/>
            <w:shd w:val="clear" w:color="auto" w:fill="CCCCCC"/>
            <w:vAlign w:val="bottom"/>
          </w:tcPr>
          <w:p w14:paraId="4105879C" w14:textId="77777777" w:rsidR="0092710B" w:rsidRDefault="0092710B" w:rsidP="001A5D4A">
            <w:pPr>
              <w:pStyle w:val="NotesTable-ItemPlain"/>
              <w:rPr>
                <w:b/>
              </w:rPr>
            </w:pPr>
            <w:r>
              <w:t>Opening net book amount</w:t>
            </w:r>
          </w:p>
        </w:tc>
        <w:tc>
          <w:tcPr>
            <w:tcW w:w="371" w:type="pct"/>
            <w:shd w:val="clear" w:color="auto" w:fill="CCCCCC"/>
          </w:tcPr>
          <w:p w14:paraId="0C30412B" w14:textId="77777777" w:rsidR="0092710B" w:rsidRDefault="0092710B" w:rsidP="001A5D4A">
            <w:pPr>
              <w:pStyle w:val="NotesTable-CellPlain"/>
            </w:pPr>
            <w:r>
              <w:t>–</w:t>
            </w:r>
          </w:p>
        </w:tc>
        <w:tc>
          <w:tcPr>
            <w:tcW w:w="334" w:type="pct"/>
            <w:shd w:val="clear" w:color="auto" w:fill="CCCCCC"/>
          </w:tcPr>
          <w:p w14:paraId="3240CBC4" w14:textId="77777777" w:rsidR="0092710B" w:rsidRDefault="0092710B" w:rsidP="001A5D4A">
            <w:pPr>
              <w:pStyle w:val="NotesTable-CellPlain"/>
            </w:pPr>
            <w:r>
              <w:t>–</w:t>
            </w:r>
          </w:p>
        </w:tc>
        <w:tc>
          <w:tcPr>
            <w:tcW w:w="334" w:type="pct"/>
            <w:shd w:val="clear" w:color="auto" w:fill="CCCCCC"/>
          </w:tcPr>
          <w:p w14:paraId="7AD5DA11" w14:textId="77777777" w:rsidR="0092710B" w:rsidRDefault="0092710B" w:rsidP="001A5D4A">
            <w:pPr>
              <w:pStyle w:val="NotesTable-CellPlain"/>
            </w:pPr>
            <w:r>
              <w:t>–</w:t>
            </w:r>
          </w:p>
        </w:tc>
        <w:tc>
          <w:tcPr>
            <w:tcW w:w="371" w:type="pct"/>
            <w:shd w:val="clear" w:color="auto" w:fill="CCCCCC"/>
          </w:tcPr>
          <w:p w14:paraId="791BC365" w14:textId="77777777" w:rsidR="0092710B" w:rsidRDefault="0092710B" w:rsidP="001A5D4A">
            <w:pPr>
              <w:pStyle w:val="NotesTable-CellPlain"/>
            </w:pPr>
            <w:r>
              <w:t>–</w:t>
            </w:r>
          </w:p>
        </w:tc>
        <w:tc>
          <w:tcPr>
            <w:tcW w:w="334" w:type="pct"/>
            <w:shd w:val="clear" w:color="auto" w:fill="CCCCCC"/>
          </w:tcPr>
          <w:p w14:paraId="3923F83F" w14:textId="77777777" w:rsidR="0092710B" w:rsidRDefault="0092710B" w:rsidP="001A5D4A">
            <w:pPr>
              <w:pStyle w:val="NotesTable-CellPlain"/>
            </w:pPr>
            <w:r>
              <w:t>–</w:t>
            </w:r>
          </w:p>
        </w:tc>
        <w:tc>
          <w:tcPr>
            <w:tcW w:w="371" w:type="pct"/>
            <w:shd w:val="clear" w:color="auto" w:fill="CCCCCC"/>
          </w:tcPr>
          <w:p w14:paraId="33F75AC9" w14:textId="77777777" w:rsidR="0092710B" w:rsidRDefault="0092710B" w:rsidP="001A5D4A">
            <w:pPr>
              <w:pStyle w:val="NotesTable-CellPlain"/>
            </w:pPr>
            <w:r>
              <w:t>–</w:t>
            </w:r>
          </w:p>
        </w:tc>
        <w:tc>
          <w:tcPr>
            <w:tcW w:w="371" w:type="pct"/>
            <w:shd w:val="clear" w:color="auto" w:fill="CCCCCC"/>
          </w:tcPr>
          <w:p w14:paraId="336298F4" w14:textId="77777777" w:rsidR="0092710B" w:rsidRDefault="0092710B" w:rsidP="001A5D4A">
            <w:pPr>
              <w:pStyle w:val="NotesTable-CellPlain"/>
            </w:pPr>
            <w:r>
              <w:t>–</w:t>
            </w:r>
          </w:p>
        </w:tc>
        <w:tc>
          <w:tcPr>
            <w:tcW w:w="334" w:type="pct"/>
            <w:shd w:val="clear" w:color="auto" w:fill="CCCCCC"/>
          </w:tcPr>
          <w:p w14:paraId="68928A80" w14:textId="77777777" w:rsidR="0092710B" w:rsidRDefault="0092710B" w:rsidP="001A5D4A">
            <w:pPr>
              <w:pStyle w:val="NotesTable-CellPlain"/>
            </w:pPr>
            <w:r>
              <w:t>–</w:t>
            </w:r>
          </w:p>
        </w:tc>
        <w:tc>
          <w:tcPr>
            <w:tcW w:w="334" w:type="pct"/>
            <w:gridSpan w:val="2"/>
            <w:shd w:val="clear" w:color="auto" w:fill="CCCCCC"/>
          </w:tcPr>
          <w:p w14:paraId="58D843BD" w14:textId="77777777" w:rsidR="0092710B" w:rsidRDefault="0092710B" w:rsidP="001A5D4A">
            <w:pPr>
              <w:pStyle w:val="NotesTable-CellPlain"/>
            </w:pPr>
            <w:r>
              <w:t>–</w:t>
            </w:r>
          </w:p>
        </w:tc>
        <w:tc>
          <w:tcPr>
            <w:tcW w:w="340" w:type="pct"/>
            <w:gridSpan w:val="2"/>
            <w:shd w:val="clear" w:color="auto" w:fill="CCCCCC"/>
          </w:tcPr>
          <w:p w14:paraId="7BAB916F" w14:textId="77777777" w:rsidR="0092710B" w:rsidRDefault="0092710B" w:rsidP="001A5D4A">
            <w:pPr>
              <w:pStyle w:val="NotesTable-CellPlain"/>
              <w:rPr>
                <w:lang w:val="en-GB"/>
              </w:rPr>
            </w:pPr>
            <w:r>
              <w:t>–</w:t>
            </w:r>
          </w:p>
        </w:tc>
      </w:tr>
      <w:tr w:rsidR="0092710B" w14:paraId="7716E227" w14:textId="77777777" w:rsidTr="00E21378">
        <w:trPr>
          <w:cantSplit/>
          <w:trHeight w:val="218"/>
        </w:trPr>
        <w:tc>
          <w:tcPr>
            <w:tcW w:w="503" w:type="pct"/>
          </w:tcPr>
          <w:p w14:paraId="4B3D3C09" w14:textId="77777777" w:rsidR="0092710B" w:rsidRDefault="0092710B" w:rsidP="001A5D4A">
            <w:pPr>
              <w:pStyle w:val="Note-Refs"/>
              <w:rPr>
                <w:b/>
              </w:rPr>
            </w:pPr>
            <w:r>
              <w:t>AASB116.73e(i),74b</w:t>
            </w:r>
          </w:p>
        </w:tc>
        <w:tc>
          <w:tcPr>
            <w:tcW w:w="1003" w:type="pct"/>
            <w:gridSpan w:val="2"/>
            <w:shd w:val="clear" w:color="auto" w:fill="CCCCCC"/>
            <w:vAlign w:val="bottom"/>
          </w:tcPr>
          <w:p w14:paraId="073512E5" w14:textId="77777777" w:rsidR="0092710B" w:rsidRDefault="0092710B" w:rsidP="001A5D4A">
            <w:pPr>
              <w:pStyle w:val="NotesTable-ItemPlain"/>
              <w:rPr>
                <w:b/>
              </w:rPr>
            </w:pPr>
            <w:r>
              <w:t>Additions</w:t>
            </w:r>
          </w:p>
        </w:tc>
        <w:tc>
          <w:tcPr>
            <w:tcW w:w="371" w:type="pct"/>
            <w:shd w:val="clear" w:color="auto" w:fill="CCCCCC"/>
          </w:tcPr>
          <w:p w14:paraId="1A2284B4" w14:textId="77777777" w:rsidR="0092710B" w:rsidRDefault="0092710B" w:rsidP="001A5D4A">
            <w:pPr>
              <w:pStyle w:val="NotesTable-CellPlain"/>
            </w:pPr>
            <w:r>
              <w:t>–</w:t>
            </w:r>
          </w:p>
        </w:tc>
        <w:tc>
          <w:tcPr>
            <w:tcW w:w="334" w:type="pct"/>
            <w:shd w:val="clear" w:color="auto" w:fill="CCCCCC"/>
          </w:tcPr>
          <w:p w14:paraId="3949B8FE" w14:textId="77777777" w:rsidR="0092710B" w:rsidRDefault="0092710B" w:rsidP="001A5D4A">
            <w:pPr>
              <w:pStyle w:val="NotesTable-CellPlain"/>
            </w:pPr>
            <w:r>
              <w:t>–</w:t>
            </w:r>
          </w:p>
        </w:tc>
        <w:tc>
          <w:tcPr>
            <w:tcW w:w="334" w:type="pct"/>
            <w:shd w:val="clear" w:color="auto" w:fill="CCCCCC"/>
          </w:tcPr>
          <w:p w14:paraId="5C4ACCAD" w14:textId="77777777" w:rsidR="0092710B" w:rsidRDefault="0092710B" w:rsidP="001A5D4A">
            <w:pPr>
              <w:pStyle w:val="NotesTable-CellPlain"/>
            </w:pPr>
            <w:r>
              <w:t>–</w:t>
            </w:r>
          </w:p>
        </w:tc>
        <w:tc>
          <w:tcPr>
            <w:tcW w:w="371" w:type="pct"/>
            <w:shd w:val="clear" w:color="auto" w:fill="CCCCCC"/>
          </w:tcPr>
          <w:p w14:paraId="3C9AF1F9" w14:textId="77777777" w:rsidR="0092710B" w:rsidRDefault="0092710B" w:rsidP="001A5D4A">
            <w:pPr>
              <w:pStyle w:val="NotesTable-CellPlain"/>
            </w:pPr>
            <w:r>
              <w:t>–</w:t>
            </w:r>
          </w:p>
        </w:tc>
        <w:tc>
          <w:tcPr>
            <w:tcW w:w="334" w:type="pct"/>
            <w:shd w:val="clear" w:color="auto" w:fill="CCCCCC"/>
          </w:tcPr>
          <w:p w14:paraId="1F41B13B" w14:textId="77777777" w:rsidR="0092710B" w:rsidRDefault="0092710B" w:rsidP="001A5D4A">
            <w:pPr>
              <w:pStyle w:val="NotesTable-CellPlain"/>
            </w:pPr>
            <w:r>
              <w:t>–</w:t>
            </w:r>
          </w:p>
        </w:tc>
        <w:tc>
          <w:tcPr>
            <w:tcW w:w="371" w:type="pct"/>
            <w:shd w:val="clear" w:color="auto" w:fill="CCCCCC"/>
          </w:tcPr>
          <w:p w14:paraId="3638DAC2" w14:textId="77777777" w:rsidR="0092710B" w:rsidRDefault="0092710B" w:rsidP="001A5D4A">
            <w:pPr>
              <w:pStyle w:val="NotesTable-CellPlain"/>
            </w:pPr>
            <w:r>
              <w:t>–</w:t>
            </w:r>
          </w:p>
        </w:tc>
        <w:tc>
          <w:tcPr>
            <w:tcW w:w="371" w:type="pct"/>
            <w:shd w:val="clear" w:color="auto" w:fill="CCCCCC"/>
          </w:tcPr>
          <w:p w14:paraId="3E2D1267" w14:textId="77777777" w:rsidR="0092710B" w:rsidRDefault="0092710B" w:rsidP="001A5D4A">
            <w:pPr>
              <w:pStyle w:val="NotesTable-CellPlain"/>
            </w:pPr>
            <w:r>
              <w:t>–</w:t>
            </w:r>
          </w:p>
        </w:tc>
        <w:tc>
          <w:tcPr>
            <w:tcW w:w="334" w:type="pct"/>
            <w:shd w:val="clear" w:color="auto" w:fill="CCCCCC"/>
          </w:tcPr>
          <w:p w14:paraId="6227CFA9" w14:textId="77777777" w:rsidR="0092710B" w:rsidRDefault="0092710B" w:rsidP="001A5D4A">
            <w:pPr>
              <w:pStyle w:val="NotesTable-CellPlain"/>
            </w:pPr>
            <w:r>
              <w:t>–</w:t>
            </w:r>
          </w:p>
        </w:tc>
        <w:tc>
          <w:tcPr>
            <w:tcW w:w="334" w:type="pct"/>
            <w:gridSpan w:val="2"/>
            <w:shd w:val="clear" w:color="auto" w:fill="CCCCCC"/>
          </w:tcPr>
          <w:p w14:paraId="2C5662DC" w14:textId="77777777" w:rsidR="0092710B" w:rsidRDefault="0092710B" w:rsidP="001A5D4A">
            <w:pPr>
              <w:pStyle w:val="NotesTable-CellPlain"/>
            </w:pPr>
            <w:r>
              <w:t>–</w:t>
            </w:r>
          </w:p>
        </w:tc>
        <w:tc>
          <w:tcPr>
            <w:tcW w:w="340" w:type="pct"/>
            <w:gridSpan w:val="2"/>
            <w:shd w:val="clear" w:color="auto" w:fill="CCCCCC"/>
          </w:tcPr>
          <w:p w14:paraId="091B4AF2" w14:textId="77777777" w:rsidR="0092710B" w:rsidRDefault="0092710B" w:rsidP="001A5D4A">
            <w:pPr>
              <w:pStyle w:val="NotesTable-CellPlain"/>
              <w:rPr>
                <w:lang w:val="en-GB"/>
              </w:rPr>
            </w:pPr>
            <w:r>
              <w:t>–</w:t>
            </w:r>
          </w:p>
        </w:tc>
      </w:tr>
      <w:tr w:rsidR="0092710B" w14:paraId="52404943" w14:textId="77777777" w:rsidTr="00E21378">
        <w:trPr>
          <w:cantSplit/>
          <w:trHeight w:val="218"/>
        </w:trPr>
        <w:tc>
          <w:tcPr>
            <w:tcW w:w="503" w:type="pct"/>
          </w:tcPr>
          <w:p w14:paraId="43EEF3DE" w14:textId="77777777" w:rsidR="0092710B" w:rsidRDefault="0092710B" w:rsidP="001A5D4A">
            <w:pPr>
              <w:pStyle w:val="Note-Refs"/>
              <w:rPr>
                <w:b/>
              </w:rPr>
            </w:pPr>
            <w:r>
              <w:t>AASB116.73e(ii)</w:t>
            </w:r>
          </w:p>
        </w:tc>
        <w:tc>
          <w:tcPr>
            <w:tcW w:w="1003" w:type="pct"/>
            <w:gridSpan w:val="2"/>
            <w:shd w:val="clear" w:color="auto" w:fill="CCCCCC"/>
            <w:vAlign w:val="bottom"/>
          </w:tcPr>
          <w:p w14:paraId="410E75AC" w14:textId="77777777" w:rsidR="0092710B" w:rsidRDefault="0092710B" w:rsidP="001A5D4A">
            <w:pPr>
              <w:pStyle w:val="NotesTable-ItemPlain"/>
              <w:rPr>
                <w:b/>
              </w:rPr>
            </w:pPr>
            <w:r>
              <w:t>Assets included in a disposal group classified as held for sale and other disposals</w:t>
            </w:r>
          </w:p>
        </w:tc>
        <w:tc>
          <w:tcPr>
            <w:tcW w:w="371" w:type="pct"/>
            <w:shd w:val="clear" w:color="auto" w:fill="CCCCCC"/>
          </w:tcPr>
          <w:p w14:paraId="62C52225" w14:textId="77777777" w:rsidR="0092710B" w:rsidRDefault="0092710B" w:rsidP="001A5D4A">
            <w:pPr>
              <w:pStyle w:val="NotesTable-CellPlain"/>
            </w:pPr>
            <w:r>
              <w:t>–</w:t>
            </w:r>
          </w:p>
        </w:tc>
        <w:tc>
          <w:tcPr>
            <w:tcW w:w="334" w:type="pct"/>
            <w:shd w:val="clear" w:color="auto" w:fill="CCCCCC"/>
          </w:tcPr>
          <w:p w14:paraId="3FBBDD67" w14:textId="77777777" w:rsidR="0092710B" w:rsidRDefault="0092710B" w:rsidP="001A5D4A">
            <w:pPr>
              <w:pStyle w:val="NotesTable-CellPlain"/>
            </w:pPr>
            <w:r>
              <w:t>–</w:t>
            </w:r>
          </w:p>
        </w:tc>
        <w:tc>
          <w:tcPr>
            <w:tcW w:w="334" w:type="pct"/>
            <w:shd w:val="clear" w:color="auto" w:fill="CCCCCC"/>
          </w:tcPr>
          <w:p w14:paraId="25298AD7" w14:textId="77777777" w:rsidR="0092710B" w:rsidRDefault="0092710B" w:rsidP="001A5D4A">
            <w:pPr>
              <w:pStyle w:val="NotesTable-CellPlain"/>
            </w:pPr>
            <w:r>
              <w:t>–</w:t>
            </w:r>
          </w:p>
        </w:tc>
        <w:tc>
          <w:tcPr>
            <w:tcW w:w="371" w:type="pct"/>
            <w:shd w:val="clear" w:color="auto" w:fill="CCCCCC"/>
          </w:tcPr>
          <w:p w14:paraId="45C02C74" w14:textId="77777777" w:rsidR="0092710B" w:rsidRDefault="0092710B" w:rsidP="001A5D4A">
            <w:pPr>
              <w:pStyle w:val="NotesTable-CellPlain"/>
            </w:pPr>
            <w:r>
              <w:t>–</w:t>
            </w:r>
          </w:p>
        </w:tc>
        <w:tc>
          <w:tcPr>
            <w:tcW w:w="334" w:type="pct"/>
            <w:shd w:val="clear" w:color="auto" w:fill="CCCCCC"/>
          </w:tcPr>
          <w:p w14:paraId="78762984" w14:textId="77777777" w:rsidR="0092710B" w:rsidRDefault="0092710B" w:rsidP="001A5D4A">
            <w:pPr>
              <w:pStyle w:val="NotesTable-CellPlain"/>
            </w:pPr>
            <w:r>
              <w:t>–</w:t>
            </w:r>
          </w:p>
        </w:tc>
        <w:tc>
          <w:tcPr>
            <w:tcW w:w="371" w:type="pct"/>
            <w:shd w:val="clear" w:color="auto" w:fill="CCCCCC"/>
          </w:tcPr>
          <w:p w14:paraId="6823A2D0" w14:textId="77777777" w:rsidR="0092710B" w:rsidRDefault="0092710B" w:rsidP="001A5D4A">
            <w:pPr>
              <w:pStyle w:val="NotesTable-CellPlain"/>
            </w:pPr>
            <w:r>
              <w:t>–</w:t>
            </w:r>
          </w:p>
        </w:tc>
        <w:tc>
          <w:tcPr>
            <w:tcW w:w="371" w:type="pct"/>
            <w:shd w:val="clear" w:color="auto" w:fill="CCCCCC"/>
          </w:tcPr>
          <w:p w14:paraId="3A29FB20" w14:textId="77777777" w:rsidR="0092710B" w:rsidRDefault="0092710B" w:rsidP="001A5D4A">
            <w:pPr>
              <w:pStyle w:val="NotesTable-CellPlain"/>
            </w:pPr>
            <w:r>
              <w:t>–</w:t>
            </w:r>
          </w:p>
        </w:tc>
        <w:tc>
          <w:tcPr>
            <w:tcW w:w="334" w:type="pct"/>
            <w:shd w:val="clear" w:color="auto" w:fill="CCCCCC"/>
          </w:tcPr>
          <w:p w14:paraId="7793D43C" w14:textId="77777777" w:rsidR="0092710B" w:rsidRDefault="0092710B" w:rsidP="001A5D4A">
            <w:pPr>
              <w:pStyle w:val="NotesTable-CellPlain"/>
            </w:pPr>
            <w:r>
              <w:t>–</w:t>
            </w:r>
          </w:p>
        </w:tc>
        <w:tc>
          <w:tcPr>
            <w:tcW w:w="334" w:type="pct"/>
            <w:gridSpan w:val="2"/>
            <w:shd w:val="clear" w:color="auto" w:fill="CCCCCC"/>
          </w:tcPr>
          <w:p w14:paraId="7D420B49" w14:textId="77777777" w:rsidR="0092710B" w:rsidRDefault="0092710B" w:rsidP="001A5D4A">
            <w:pPr>
              <w:pStyle w:val="NotesTable-CellPlain"/>
            </w:pPr>
            <w:r>
              <w:t>–</w:t>
            </w:r>
          </w:p>
        </w:tc>
        <w:tc>
          <w:tcPr>
            <w:tcW w:w="340" w:type="pct"/>
            <w:gridSpan w:val="2"/>
            <w:shd w:val="clear" w:color="auto" w:fill="CCCCCC"/>
          </w:tcPr>
          <w:p w14:paraId="69B7FBB5" w14:textId="77777777" w:rsidR="0092710B" w:rsidRDefault="0092710B" w:rsidP="001A5D4A">
            <w:pPr>
              <w:pStyle w:val="NotesTable-CellPlain"/>
              <w:rPr>
                <w:lang w:val="en-GB"/>
              </w:rPr>
            </w:pPr>
            <w:r>
              <w:t>–</w:t>
            </w:r>
          </w:p>
        </w:tc>
      </w:tr>
      <w:tr w:rsidR="0092710B" w:rsidDel="0099740A" w14:paraId="7EACDE1C" w14:textId="77777777" w:rsidTr="00E21378">
        <w:trPr>
          <w:cantSplit/>
          <w:trHeight w:val="218"/>
        </w:trPr>
        <w:tc>
          <w:tcPr>
            <w:tcW w:w="503" w:type="pct"/>
          </w:tcPr>
          <w:p w14:paraId="07476882" w14:textId="77777777" w:rsidR="0092710B" w:rsidDel="0099740A" w:rsidRDefault="0092710B" w:rsidP="001A5D4A">
            <w:pPr>
              <w:pStyle w:val="Note-Refs"/>
            </w:pPr>
            <w:r>
              <w:t>AASB116.73(iii)</w:t>
            </w:r>
          </w:p>
        </w:tc>
        <w:tc>
          <w:tcPr>
            <w:tcW w:w="1003" w:type="pct"/>
            <w:gridSpan w:val="2"/>
            <w:shd w:val="clear" w:color="auto" w:fill="CCCCCC"/>
            <w:vAlign w:val="bottom"/>
          </w:tcPr>
          <w:p w14:paraId="5980FC8C" w14:textId="77777777" w:rsidR="0092710B" w:rsidDel="0099740A" w:rsidRDefault="0092710B" w:rsidP="001A5D4A">
            <w:pPr>
              <w:pStyle w:val="NotesTable-ItemPlain"/>
            </w:pPr>
            <w:r>
              <w:t>Acquisitions through business combinations</w:t>
            </w:r>
          </w:p>
        </w:tc>
        <w:tc>
          <w:tcPr>
            <w:tcW w:w="371" w:type="pct"/>
            <w:shd w:val="clear" w:color="auto" w:fill="CCCCCC"/>
          </w:tcPr>
          <w:p w14:paraId="44655EFA" w14:textId="77777777" w:rsidR="0092710B" w:rsidDel="0099740A" w:rsidRDefault="0092710B" w:rsidP="001A5D4A">
            <w:pPr>
              <w:pStyle w:val="NotesTable-CellPlain"/>
            </w:pPr>
            <w:r>
              <w:t>–</w:t>
            </w:r>
          </w:p>
        </w:tc>
        <w:tc>
          <w:tcPr>
            <w:tcW w:w="334" w:type="pct"/>
            <w:shd w:val="clear" w:color="auto" w:fill="CCCCCC"/>
          </w:tcPr>
          <w:p w14:paraId="7FF967AC" w14:textId="77777777" w:rsidR="0092710B" w:rsidDel="0099740A" w:rsidRDefault="0092710B" w:rsidP="001A5D4A">
            <w:pPr>
              <w:pStyle w:val="NotesTable-CellPlain"/>
            </w:pPr>
            <w:r>
              <w:t>–</w:t>
            </w:r>
          </w:p>
        </w:tc>
        <w:tc>
          <w:tcPr>
            <w:tcW w:w="334" w:type="pct"/>
            <w:shd w:val="clear" w:color="auto" w:fill="CCCCCC"/>
          </w:tcPr>
          <w:p w14:paraId="1E0B1CEF" w14:textId="77777777" w:rsidR="0092710B" w:rsidDel="0099740A" w:rsidRDefault="0092710B" w:rsidP="001A5D4A">
            <w:pPr>
              <w:pStyle w:val="NotesTable-CellPlain"/>
            </w:pPr>
            <w:r>
              <w:t>–</w:t>
            </w:r>
          </w:p>
        </w:tc>
        <w:tc>
          <w:tcPr>
            <w:tcW w:w="371" w:type="pct"/>
            <w:shd w:val="clear" w:color="auto" w:fill="CCCCCC"/>
          </w:tcPr>
          <w:p w14:paraId="2B61C26F" w14:textId="77777777" w:rsidR="0092710B" w:rsidDel="0099740A" w:rsidRDefault="0092710B" w:rsidP="001A5D4A">
            <w:pPr>
              <w:pStyle w:val="NotesTable-CellPlain"/>
            </w:pPr>
            <w:r>
              <w:t>–</w:t>
            </w:r>
          </w:p>
        </w:tc>
        <w:tc>
          <w:tcPr>
            <w:tcW w:w="334" w:type="pct"/>
            <w:shd w:val="clear" w:color="auto" w:fill="CCCCCC"/>
          </w:tcPr>
          <w:p w14:paraId="606CEC59" w14:textId="77777777" w:rsidR="0092710B" w:rsidDel="0099740A" w:rsidRDefault="0092710B" w:rsidP="001A5D4A">
            <w:pPr>
              <w:pStyle w:val="NotesTable-CellPlain"/>
            </w:pPr>
            <w:r>
              <w:t>–</w:t>
            </w:r>
          </w:p>
        </w:tc>
        <w:tc>
          <w:tcPr>
            <w:tcW w:w="371" w:type="pct"/>
            <w:shd w:val="clear" w:color="auto" w:fill="CCCCCC"/>
          </w:tcPr>
          <w:p w14:paraId="4DB3EBDF" w14:textId="77777777" w:rsidR="0092710B" w:rsidDel="0099740A" w:rsidRDefault="0092710B" w:rsidP="001A5D4A">
            <w:pPr>
              <w:pStyle w:val="NotesTable-CellPlain"/>
            </w:pPr>
            <w:r>
              <w:t>–</w:t>
            </w:r>
          </w:p>
        </w:tc>
        <w:tc>
          <w:tcPr>
            <w:tcW w:w="371" w:type="pct"/>
            <w:shd w:val="clear" w:color="auto" w:fill="CCCCCC"/>
          </w:tcPr>
          <w:p w14:paraId="0A6CA62D" w14:textId="77777777" w:rsidR="0092710B" w:rsidDel="0099740A" w:rsidRDefault="0092710B" w:rsidP="001A5D4A">
            <w:pPr>
              <w:pStyle w:val="NotesTable-CellPlain"/>
            </w:pPr>
            <w:r>
              <w:t>–</w:t>
            </w:r>
          </w:p>
        </w:tc>
        <w:tc>
          <w:tcPr>
            <w:tcW w:w="334" w:type="pct"/>
            <w:shd w:val="clear" w:color="auto" w:fill="CCCCCC"/>
          </w:tcPr>
          <w:p w14:paraId="052FCFDD" w14:textId="77777777" w:rsidR="0092710B" w:rsidDel="0099740A" w:rsidRDefault="0092710B" w:rsidP="001A5D4A">
            <w:pPr>
              <w:pStyle w:val="NotesTable-CellPlain"/>
            </w:pPr>
            <w:r>
              <w:t>–</w:t>
            </w:r>
          </w:p>
        </w:tc>
        <w:tc>
          <w:tcPr>
            <w:tcW w:w="334" w:type="pct"/>
            <w:gridSpan w:val="2"/>
            <w:shd w:val="clear" w:color="auto" w:fill="CCCCCC"/>
          </w:tcPr>
          <w:p w14:paraId="1645F7A7" w14:textId="77777777" w:rsidR="0092710B" w:rsidDel="0099740A" w:rsidRDefault="0092710B" w:rsidP="001A5D4A">
            <w:pPr>
              <w:pStyle w:val="NotesTable-CellPlain"/>
            </w:pPr>
            <w:r>
              <w:t>–</w:t>
            </w:r>
          </w:p>
        </w:tc>
        <w:tc>
          <w:tcPr>
            <w:tcW w:w="340" w:type="pct"/>
            <w:gridSpan w:val="2"/>
            <w:shd w:val="clear" w:color="auto" w:fill="CCCCCC"/>
          </w:tcPr>
          <w:p w14:paraId="153A7526" w14:textId="77777777" w:rsidR="0092710B" w:rsidDel="0099740A" w:rsidRDefault="0092710B" w:rsidP="001A5D4A">
            <w:pPr>
              <w:pStyle w:val="NotesTable-CellPlain"/>
            </w:pPr>
            <w:r>
              <w:t>–</w:t>
            </w:r>
          </w:p>
        </w:tc>
      </w:tr>
      <w:tr w:rsidR="0092710B" w14:paraId="0ED6B32F" w14:textId="77777777" w:rsidTr="00E21378">
        <w:trPr>
          <w:cantSplit/>
          <w:trHeight w:val="218"/>
        </w:trPr>
        <w:tc>
          <w:tcPr>
            <w:tcW w:w="503" w:type="pct"/>
          </w:tcPr>
          <w:p w14:paraId="48D1D7ED" w14:textId="77777777" w:rsidR="0092710B" w:rsidRDefault="0092710B" w:rsidP="001A5D4A">
            <w:pPr>
              <w:pStyle w:val="Note-Refs"/>
              <w:rPr>
                <w:b/>
              </w:rPr>
            </w:pPr>
            <w:r>
              <w:t>AASB116.73e(iv)</w:t>
            </w:r>
          </w:p>
        </w:tc>
        <w:tc>
          <w:tcPr>
            <w:tcW w:w="1003" w:type="pct"/>
            <w:gridSpan w:val="2"/>
            <w:shd w:val="clear" w:color="auto" w:fill="CCCCCC"/>
            <w:vAlign w:val="bottom"/>
          </w:tcPr>
          <w:p w14:paraId="35556D66" w14:textId="77777777" w:rsidR="0092710B" w:rsidRDefault="0092710B" w:rsidP="001A5D4A">
            <w:pPr>
              <w:pStyle w:val="NotesTable-ItemPlain"/>
              <w:rPr>
                <w:b/>
              </w:rPr>
            </w:pPr>
            <w:r>
              <w:t>Revaluation surplus</w:t>
            </w:r>
          </w:p>
        </w:tc>
        <w:tc>
          <w:tcPr>
            <w:tcW w:w="371" w:type="pct"/>
            <w:shd w:val="clear" w:color="auto" w:fill="CCCCCC"/>
          </w:tcPr>
          <w:p w14:paraId="2952B4C7" w14:textId="77777777" w:rsidR="0092710B" w:rsidRDefault="0092710B" w:rsidP="001A5D4A">
            <w:pPr>
              <w:pStyle w:val="NotesTable-CellPlain"/>
            </w:pPr>
            <w:r>
              <w:t>–</w:t>
            </w:r>
          </w:p>
        </w:tc>
        <w:tc>
          <w:tcPr>
            <w:tcW w:w="334" w:type="pct"/>
            <w:shd w:val="clear" w:color="auto" w:fill="CCCCCC"/>
          </w:tcPr>
          <w:p w14:paraId="64EDFE26" w14:textId="77777777" w:rsidR="0092710B" w:rsidRDefault="0092710B" w:rsidP="001A5D4A">
            <w:pPr>
              <w:pStyle w:val="NotesTable-CellPlain"/>
            </w:pPr>
            <w:r>
              <w:t>–</w:t>
            </w:r>
          </w:p>
        </w:tc>
        <w:tc>
          <w:tcPr>
            <w:tcW w:w="334" w:type="pct"/>
            <w:shd w:val="clear" w:color="auto" w:fill="CCCCCC"/>
          </w:tcPr>
          <w:p w14:paraId="193BD910" w14:textId="77777777" w:rsidR="0092710B" w:rsidRDefault="0092710B" w:rsidP="001A5D4A">
            <w:pPr>
              <w:pStyle w:val="NotesTable-CellPlain"/>
            </w:pPr>
            <w:r>
              <w:t>–</w:t>
            </w:r>
          </w:p>
        </w:tc>
        <w:tc>
          <w:tcPr>
            <w:tcW w:w="371" w:type="pct"/>
            <w:shd w:val="clear" w:color="auto" w:fill="CCCCCC"/>
          </w:tcPr>
          <w:p w14:paraId="28030BD0" w14:textId="77777777" w:rsidR="0092710B" w:rsidRDefault="0092710B" w:rsidP="001A5D4A">
            <w:pPr>
              <w:pStyle w:val="NotesTable-CellPlain"/>
            </w:pPr>
            <w:r>
              <w:t>–</w:t>
            </w:r>
          </w:p>
        </w:tc>
        <w:tc>
          <w:tcPr>
            <w:tcW w:w="334" w:type="pct"/>
            <w:shd w:val="clear" w:color="auto" w:fill="CCCCCC"/>
          </w:tcPr>
          <w:p w14:paraId="17E8EB9A" w14:textId="77777777" w:rsidR="0092710B" w:rsidRDefault="0092710B" w:rsidP="001A5D4A">
            <w:pPr>
              <w:pStyle w:val="NotesTable-CellPlain"/>
            </w:pPr>
            <w:r>
              <w:t>–</w:t>
            </w:r>
          </w:p>
        </w:tc>
        <w:tc>
          <w:tcPr>
            <w:tcW w:w="371" w:type="pct"/>
            <w:shd w:val="clear" w:color="auto" w:fill="CCCCCC"/>
          </w:tcPr>
          <w:p w14:paraId="5DA33FE5" w14:textId="77777777" w:rsidR="0092710B" w:rsidRDefault="0092710B" w:rsidP="001A5D4A">
            <w:pPr>
              <w:pStyle w:val="NotesTable-CellPlain"/>
            </w:pPr>
            <w:r>
              <w:t>–</w:t>
            </w:r>
          </w:p>
        </w:tc>
        <w:tc>
          <w:tcPr>
            <w:tcW w:w="371" w:type="pct"/>
            <w:shd w:val="clear" w:color="auto" w:fill="CCCCCC"/>
          </w:tcPr>
          <w:p w14:paraId="5AD722EF" w14:textId="77777777" w:rsidR="0092710B" w:rsidRDefault="0092710B" w:rsidP="001A5D4A">
            <w:pPr>
              <w:pStyle w:val="NotesTable-CellPlain"/>
            </w:pPr>
            <w:r>
              <w:t>–</w:t>
            </w:r>
          </w:p>
        </w:tc>
        <w:tc>
          <w:tcPr>
            <w:tcW w:w="334" w:type="pct"/>
            <w:shd w:val="clear" w:color="auto" w:fill="CCCCCC"/>
          </w:tcPr>
          <w:p w14:paraId="0A641680" w14:textId="77777777" w:rsidR="0092710B" w:rsidRDefault="0092710B" w:rsidP="001A5D4A">
            <w:pPr>
              <w:pStyle w:val="NotesTable-CellPlain"/>
            </w:pPr>
            <w:r>
              <w:t>–</w:t>
            </w:r>
          </w:p>
        </w:tc>
        <w:tc>
          <w:tcPr>
            <w:tcW w:w="334" w:type="pct"/>
            <w:gridSpan w:val="2"/>
            <w:shd w:val="clear" w:color="auto" w:fill="CCCCCC"/>
          </w:tcPr>
          <w:p w14:paraId="3CBFE0A7" w14:textId="77777777" w:rsidR="0092710B" w:rsidRDefault="0092710B" w:rsidP="001A5D4A">
            <w:pPr>
              <w:pStyle w:val="NotesTable-CellPlain"/>
            </w:pPr>
            <w:r>
              <w:t>–</w:t>
            </w:r>
          </w:p>
        </w:tc>
        <w:tc>
          <w:tcPr>
            <w:tcW w:w="340" w:type="pct"/>
            <w:gridSpan w:val="2"/>
            <w:shd w:val="clear" w:color="auto" w:fill="CCCCCC"/>
          </w:tcPr>
          <w:p w14:paraId="281A2A54" w14:textId="77777777" w:rsidR="0092710B" w:rsidRDefault="0092710B" w:rsidP="001A5D4A">
            <w:pPr>
              <w:pStyle w:val="NotesTable-CellPlain"/>
              <w:rPr>
                <w:lang w:val="en-GB"/>
              </w:rPr>
            </w:pPr>
            <w:r>
              <w:t>–</w:t>
            </w:r>
          </w:p>
        </w:tc>
      </w:tr>
      <w:tr w:rsidR="0092710B" w:rsidDel="0099740A" w14:paraId="3900802A" w14:textId="77777777" w:rsidTr="00E21378">
        <w:trPr>
          <w:cantSplit/>
          <w:trHeight w:val="218"/>
        </w:trPr>
        <w:tc>
          <w:tcPr>
            <w:tcW w:w="503" w:type="pct"/>
          </w:tcPr>
          <w:p w14:paraId="5DA4BD4E" w14:textId="77777777" w:rsidR="0092710B" w:rsidDel="0099740A" w:rsidRDefault="0092710B" w:rsidP="001A5D4A">
            <w:pPr>
              <w:pStyle w:val="Note-Refs"/>
            </w:pPr>
            <w:r>
              <w:t>AASB116.73(v)</w:t>
            </w:r>
          </w:p>
        </w:tc>
        <w:tc>
          <w:tcPr>
            <w:tcW w:w="1003" w:type="pct"/>
            <w:gridSpan w:val="2"/>
            <w:shd w:val="clear" w:color="auto" w:fill="CCCCCC"/>
            <w:vAlign w:val="bottom"/>
          </w:tcPr>
          <w:p w14:paraId="13FF5220" w14:textId="77777777" w:rsidR="0092710B" w:rsidDel="0099740A" w:rsidRDefault="0092710B" w:rsidP="001A5D4A">
            <w:pPr>
              <w:pStyle w:val="NotesTable-ItemPlain"/>
            </w:pPr>
            <w:r>
              <w:t>Impairment losses</w:t>
            </w:r>
          </w:p>
        </w:tc>
        <w:tc>
          <w:tcPr>
            <w:tcW w:w="371" w:type="pct"/>
            <w:shd w:val="clear" w:color="auto" w:fill="CCCCCC"/>
          </w:tcPr>
          <w:p w14:paraId="44FE419C" w14:textId="77777777" w:rsidR="0092710B" w:rsidDel="0099740A" w:rsidRDefault="0092710B" w:rsidP="001A5D4A">
            <w:pPr>
              <w:pStyle w:val="NotesTable-CellPlain"/>
            </w:pPr>
            <w:r>
              <w:t>–</w:t>
            </w:r>
          </w:p>
        </w:tc>
        <w:tc>
          <w:tcPr>
            <w:tcW w:w="334" w:type="pct"/>
            <w:shd w:val="clear" w:color="auto" w:fill="CCCCCC"/>
          </w:tcPr>
          <w:p w14:paraId="6927C90C" w14:textId="77777777" w:rsidR="0092710B" w:rsidDel="0099740A" w:rsidRDefault="0092710B" w:rsidP="001A5D4A">
            <w:pPr>
              <w:pStyle w:val="NotesTable-CellPlain"/>
            </w:pPr>
            <w:r>
              <w:t>–</w:t>
            </w:r>
          </w:p>
        </w:tc>
        <w:tc>
          <w:tcPr>
            <w:tcW w:w="334" w:type="pct"/>
            <w:shd w:val="clear" w:color="auto" w:fill="CCCCCC"/>
          </w:tcPr>
          <w:p w14:paraId="3658C739" w14:textId="77777777" w:rsidR="0092710B" w:rsidDel="0099740A" w:rsidRDefault="0092710B" w:rsidP="001A5D4A">
            <w:pPr>
              <w:pStyle w:val="NotesTable-CellPlain"/>
            </w:pPr>
            <w:r>
              <w:t>–</w:t>
            </w:r>
          </w:p>
        </w:tc>
        <w:tc>
          <w:tcPr>
            <w:tcW w:w="371" w:type="pct"/>
            <w:shd w:val="clear" w:color="auto" w:fill="CCCCCC"/>
          </w:tcPr>
          <w:p w14:paraId="06DFA4D6" w14:textId="77777777" w:rsidR="0092710B" w:rsidDel="0099740A" w:rsidRDefault="0092710B" w:rsidP="001A5D4A">
            <w:pPr>
              <w:pStyle w:val="NotesTable-CellPlain"/>
            </w:pPr>
            <w:r>
              <w:t>–</w:t>
            </w:r>
          </w:p>
        </w:tc>
        <w:tc>
          <w:tcPr>
            <w:tcW w:w="334" w:type="pct"/>
            <w:shd w:val="clear" w:color="auto" w:fill="CCCCCC"/>
          </w:tcPr>
          <w:p w14:paraId="4CC35206" w14:textId="77777777" w:rsidR="0092710B" w:rsidDel="0099740A" w:rsidRDefault="0092710B" w:rsidP="001A5D4A">
            <w:pPr>
              <w:pStyle w:val="NotesTable-CellPlain"/>
            </w:pPr>
            <w:r>
              <w:t>–</w:t>
            </w:r>
          </w:p>
        </w:tc>
        <w:tc>
          <w:tcPr>
            <w:tcW w:w="371" w:type="pct"/>
            <w:shd w:val="clear" w:color="auto" w:fill="CCCCCC"/>
          </w:tcPr>
          <w:p w14:paraId="7C2E976D" w14:textId="77777777" w:rsidR="0092710B" w:rsidDel="0099740A" w:rsidRDefault="0092710B" w:rsidP="001A5D4A">
            <w:pPr>
              <w:pStyle w:val="NotesTable-CellPlain"/>
            </w:pPr>
            <w:r>
              <w:t>–</w:t>
            </w:r>
          </w:p>
        </w:tc>
        <w:tc>
          <w:tcPr>
            <w:tcW w:w="371" w:type="pct"/>
            <w:shd w:val="clear" w:color="auto" w:fill="CCCCCC"/>
          </w:tcPr>
          <w:p w14:paraId="22743C57" w14:textId="77777777" w:rsidR="0092710B" w:rsidDel="0099740A" w:rsidRDefault="0092710B" w:rsidP="001A5D4A">
            <w:pPr>
              <w:pStyle w:val="NotesTable-CellPlain"/>
            </w:pPr>
            <w:r>
              <w:t>–</w:t>
            </w:r>
          </w:p>
        </w:tc>
        <w:tc>
          <w:tcPr>
            <w:tcW w:w="334" w:type="pct"/>
            <w:shd w:val="clear" w:color="auto" w:fill="CCCCCC"/>
          </w:tcPr>
          <w:p w14:paraId="603BA64D" w14:textId="77777777" w:rsidR="0092710B" w:rsidDel="0099740A" w:rsidRDefault="0092710B" w:rsidP="001A5D4A">
            <w:pPr>
              <w:pStyle w:val="NotesTable-CellPlain"/>
            </w:pPr>
            <w:r>
              <w:t>–</w:t>
            </w:r>
          </w:p>
        </w:tc>
        <w:tc>
          <w:tcPr>
            <w:tcW w:w="334" w:type="pct"/>
            <w:gridSpan w:val="2"/>
            <w:shd w:val="clear" w:color="auto" w:fill="CCCCCC"/>
          </w:tcPr>
          <w:p w14:paraId="6B67C9DD" w14:textId="77777777" w:rsidR="0092710B" w:rsidDel="0099740A" w:rsidRDefault="0092710B" w:rsidP="001A5D4A">
            <w:pPr>
              <w:pStyle w:val="NotesTable-CellPlain"/>
            </w:pPr>
            <w:r>
              <w:t>–</w:t>
            </w:r>
          </w:p>
        </w:tc>
        <w:tc>
          <w:tcPr>
            <w:tcW w:w="340" w:type="pct"/>
            <w:gridSpan w:val="2"/>
            <w:shd w:val="clear" w:color="auto" w:fill="CCCCCC"/>
          </w:tcPr>
          <w:p w14:paraId="07B800B9" w14:textId="77777777" w:rsidR="0092710B" w:rsidDel="0099740A" w:rsidRDefault="0092710B" w:rsidP="001A5D4A">
            <w:pPr>
              <w:pStyle w:val="NotesTable-CellPlain"/>
            </w:pPr>
            <w:r>
              <w:t>–</w:t>
            </w:r>
          </w:p>
        </w:tc>
      </w:tr>
      <w:tr w:rsidR="0092710B" w:rsidDel="0099740A" w14:paraId="07604C96" w14:textId="77777777" w:rsidTr="00E21378">
        <w:trPr>
          <w:cantSplit/>
          <w:trHeight w:val="218"/>
        </w:trPr>
        <w:tc>
          <w:tcPr>
            <w:tcW w:w="503" w:type="pct"/>
          </w:tcPr>
          <w:p w14:paraId="6341A59F" w14:textId="77777777" w:rsidR="0092710B" w:rsidRDefault="0092710B" w:rsidP="001A5D4A">
            <w:pPr>
              <w:pStyle w:val="Note-Refs"/>
            </w:pPr>
            <w:r>
              <w:t>AASB116.73e(vi)</w:t>
            </w:r>
          </w:p>
        </w:tc>
        <w:tc>
          <w:tcPr>
            <w:tcW w:w="1003" w:type="pct"/>
            <w:gridSpan w:val="2"/>
            <w:shd w:val="clear" w:color="auto" w:fill="CCCCCC"/>
            <w:vAlign w:val="bottom"/>
          </w:tcPr>
          <w:p w14:paraId="687BA0D9" w14:textId="77777777" w:rsidR="0092710B" w:rsidRDefault="0092710B" w:rsidP="001A5D4A">
            <w:pPr>
              <w:pStyle w:val="NotesTable-ItemPlain"/>
            </w:pPr>
            <w:r>
              <w:t>Impairment loss reversals</w:t>
            </w:r>
          </w:p>
        </w:tc>
        <w:tc>
          <w:tcPr>
            <w:tcW w:w="371" w:type="pct"/>
            <w:shd w:val="clear" w:color="auto" w:fill="CCCCCC"/>
          </w:tcPr>
          <w:p w14:paraId="69D687BC" w14:textId="77777777" w:rsidR="0092710B" w:rsidDel="0099740A" w:rsidRDefault="0092710B" w:rsidP="001A5D4A">
            <w:pPr>
              <w:pStyle w:val="NotesTable-CellPlain"/>
            </w:pPr>
            <w:r>
              <w:t>–</w:t>
            </w:r>
          </w:p>
        </w:tc>
        <w:tc>
          <w:tcPr>
            <w:tcW w:w="334" w:type="pct"/>
            <w:shd w:val="clear" w:color="auto" w:fill="CCCCCC"/>
          </w:tcPr>
          <w:p w14:paraId="66222E81" w14:textId="77777777" w:rsidR="0092710B" w:rsidDel="0099740A" w:rsidRDefault="0092710B" w:rsidP="001A5D4A">
            <w:pPr>
              <w:pStyle w:val="NotesTable-CellPlain"/>
            </w:pPr>
            <w:r>
              <w:t>–</w:t>
            </w:r>
          </w:p>
        </w:tc>
        <w:tc>
          <w:tcPr>
            <w:tcW w:w="334" w:type="pct"/>
            <w:shd w:val="clear" w:color="auto" w:fill="CCCCCC"/>
          </w:tcPr>
          <w:p w14:paraId="485F0AB1" w14:textId="77777777" w:rsidR="0092710B" w:rsidDel="0099740A" w:rsidRDefault="0092710B" w:rsidP="001A5D4A">
            <w:pPr>
              <w:pStyle w:val="NotesTable-CellPlain"/>
            </w:pPr>
            <w:r>
              <w:t>–</w:t>
            </w:r>
          </w:p>
        </w:tc>
        <w:tc>
          <w:tcPr>
            <w:tcW w:w="371" w:type="pct"/>
            <w:shd w:val="clear" w:color="auto" w:fill="CCCCCC"/>
          </w:tcPr>
          <w:p w14:paraId="0129FD80" w14:textId="77777777" w:rsidR="0092710B" w:rsidDel="0099740A" w:rsidRDefault="0092710B" w:rsidP="001A5D4A">
            <w:pPr>
              <w:pStyle w:val="NotesTable-CellPlain"/>
            </w:pPr>
            <w:r>
              <w:t>–</w:t>
            </w:r>
          </w:p>
        </w:tc>
        <w:tc>
          <w:tcPr>
            <w:tcW w:w="334" w:type="pct"/>
            <w:shd w:val="clear" w:color="auto" w:fill="CCCCCC"/>
          </w:tcPr>
          <w:p w14:paraId="42EEB8C5" w14:textId="77777777" w:rsidR="0092710B" w:rsidDel="0099740A" w:rsidRDefault="0092710B" w:rsidP="001A5D4A">
            <w:pPr>
              <w:pStyle w:val="NotesTable-CellPlain"/>
            </w:pPr>
            <w:r>
              <w:t>–</w:t>
            </w:r>
          </w:p>
        </w:tc>
        <w:tc>
          <w:tcPr>
            <w:tcW w:w="371" w:type="pct"/>
            <w:shd w:val="clear" w:color="auto" w:fill="CCCCCC"/>
          </w:tcPr>
          <w:p w14:paraId="5B3329EB" w14:textId="77777777" w:rsidR="0092710B" w:rsidDel="0099740A" w:rsidRDefault="0092710B" w:rsidP="001A5D4A">
            <w:pPr>
              <w:pStyle w:val="NotesTable-CellPlain"/>
            </w:pPr>
            <w:r>
              <w:t>–</w:t>
            </w:r>
          </w:p>
        </w:tc>
        <w:tc>
          <w:tcPr>
            <w:tcW w:w="371" w:type="pct"/>
            <w:shd w:val="clear" w:color="auto" w:fill="CCCCCC"/>
          </w:tcPr>
          <w:p w14:paraId="54DC0532" w14:textId="77777777" w:rsidR="0092710B" w:rsidDel="0099740A" w:rsidRDefault="0092710B" w:rsidP="001A5D4A">
            <w:pPr>
              <w:pStyle w:val="NotesTable-CellPlain"/>
            </w:pPr>
            <w:r>
              <w:t>–</w:t>
            </w:r>
          </w:p>
        </w:tc>
        <w:tc>
          <w:tcPr>
            <w:tcW w:w="334" w:type="pct"/>
            <w:shd w:val="clear" w:color="auto" w:fill="CCCCCC"/>
          </w:tcPr>
          <w:p w14:paraId="17C02D6D" w14:textId="77777777" w:rsidR="0092710B" w:rsidDel="0099740A" w:rsidRDefault="0092710B" w:rsidP="001A5D4A">
            <w:pPr>
              <w:pStyle w:val="NotesTable-CellPlain"/>
            </w:pPr>
            <w:r>
              <w:t>–</w:t>
            </w:r>
          </w:p>
        </w:tc>
        <w:tc>
          <w:tcPr>
            <w:tcW w:w="334" w:type="pct"/>
            <w:gridSpan w:val="2"/>
            <w:shd w:val="clear" w:color="auto" w:fill="CCCCCC"/>
          </w:tcPr>
          <w:p w14:paraId="429B7568" w14:textId="77777777" w:rsidR="0092710B" w:rsidDel="0099740A" w:rsidRDefault="0092710B" w:rsidP="001A5D4A">
            <w:pPr>
              <w:pStyle w:val="NotesTable-CellPlain"/>
            </w:pPr>
            <w:r>
              <w:t>–</w:t>
            </w:r>
          </w:p>
        </w:tc>
        <w:tc>
          <w:tcPr>
            <w:tcW w:w="340" w:type="pct"/>
            <w:gridSpan w:val="2"/>
            <w:shd w:val="clear" w:color="auto" w:fill="CCCCCC"/>
          </w:tcPr>
          <w:p w14:paraId="60F3E335" w14:textId="77777777" w:rsidR="0092710B" w:rsidDel="0099740A" w:rsidRDefault="0092710B" w:rsidP="001A5D4A">
            <w:pPr>
              <w:pStyle w:val="NotesTable-CellPlain"/>
            </w:pPr>
            <w:r>
              <w:t>–</w:t>
            </w:r>
          </w:p>
        </w:tc>
      </w:tr>
      <w:tr w:rsidR="0092710B" w14:paraId="136926C2" w14:textId="77777777" w:rsidTr="00E21378">
        <w:trPr>
          <w:cantSplit/>
          <w:trHeight w:val="203"/>
        </w:trPr>
        <w:tc>
          <w:tcPr>
            <w:tcW w:w="503" w:type="pct"/>
          </w:tcPr>
          <w:p w14:paraId="1466D24A" w14:textId="77777777" w:rsidR="0092710B" w:rsidRDefault="0092710B" w:rsidP="001A5D4A">
            <w:pPr>
              <w:pStyle w:val="Note-Refs"/>
              <w:rPr>
                <w:b/>
              </w:rPr>
            </w:pPr>
            <w:r>
              <w:t>AASB116.73e(vii)</w:t>
            </w:r>
          </w:p>
        </w:tc>
        <w:tc>
          <w:tcPr>
            <w:tcW w:w="1003" w:type="pct"/>
            <w:gridSpan w:val="2"/>
            <w:shd w:val="clear" w:color="auto" w:fill="CCCCCC"/>
            <w:vAlign w:val="bottom"/>
          </w:tcPr>
          <w:p w14:paraId="479E1269" w14:textId="77777777" w:rsidR="0092710B" w:rsidRDefault="0092710B" w:rsidP="001A5D4A">
            <w:pPr>
              <w:pStyle w:val="NotesTable-ItemPlain"/>
              <w:rPr>
                <w:b/>
              </w:rPr>
            </w:pPr>
            <w:r>
              <w:t xml:space="preserve">Depreciation charge </w:t>
            </w:r>
          </w:p>
        </w:tc>
        <w:tc>
          <w:tcPr>
            <w:tcW w:w="371" w:type="pct"/>
            <w:shd w:val="clear" w:color="auto" w:fill="CCCCCC"/>
          </w:tcPr>
          <w:p w14:paraId="16352276" w14:textId="77777777" w:rsidR="0092710B" w:rsidRDefault="0092710B" w:rsidP="001A5D4A">
            <w:pPr>
              <w:pStyle w:val="NotesTable-CellPlain"/>
            </w:pPr>
            <w:r>
              <w:t>–</w:t>
            </w:r>
          </w:p>
        </w:tc>
        <w:tc>
          <w:tcPr>
            <w:tcW w:w="334" w:type="pct"/>
            <w:shd w:val="clear" w:color="auto" w:fill="CCCCCC"/>
          </w:tcPr>
          <w:p w14:paraId="0F77B3F4" w14:textId="77777777" w:rsidR="0092710B" w:rsidRDefault="0092710B" w:rsidP="001A5D4A">
            <w:pPr>
              <w:pStyle w:val="NotesTable-CellPlain"/>
            </w:pPr>
            <w:r>
              <w:t>–</w:t>
            </w:r>
          </w:p>
        </w:tc>
        <w:tc>
          <w:tcPr>
            <w:tcW w:w="334" w:type="pct"/>
            <w:shd w:val="clear" w:color="auto" w:fill="CCCCCC"/>
          </w:tcPr>
          <w:p w14:paraId="7E3F5C1F" w14:textId="77777777" w:rsidR="0092710B" w:rsidRDefault="0092710B" w:rsidP="001A5D4A">
            <w:pPr>
              <w:pStyle w:val="NotesTable-CellPlain"/>
            </w:pPr>
            <w:r>
              <w:t>–</w:t>
            </w:r>
          </w:p>
        </w:tc>
        <w:tc>
          <w:tcPr>
            <w:tcW w:w="371" w:type="pct"/>
            <w:shd w:val="clear" w:color="auto" w:fill="CCCCCC"/>
          </w:tcPr>
          <w:p w14:paraId="5FBE1236" w14:textId="77777777" w:rsidR="0092710B" w:rsidRDefault="0092710B" w:rsidP="001A5D4A">
            <w:pPr>
              <w:pStyle w:val="NotesTable-CellPlain"/>
            </w:pPr>
            <w:r>
              <w:t>–</w:t>
            </w:r>
          </w:p>
        </w:tc>
        <w:tc>
          <w:tcPr>
            <w:tcW w:w="334" w:type="pct"/>
            <w:shd w:val="clear" w:color="auto" w:fill="CCCCCC"/>
          </w:tcPr>
          <w:p w14:paraId="19CD92B0" w14:textId="77777777" w:rsidR="0092710B" w:rsidRDefault="0092710B" w:rsidP="001A5D4A">
            <w:pPr>
              <w:pStyle w:val="NotesTable-CellPlain"/>
            </w:pPr>
            <w:r>
              <w:t>–</w:t>
            </w:r>
          </w:p>
        </w:tc>
        <w:tc>
          <w:tcPr>
            <w:tcW w:w="371" w:type="pct"/>
            <w:shd w:val="clear" w:color="auto" w:fill="CCCCCC"/>
          </w:tcPr>
          <w:p w14:paraId="7E812115" w14:textId="77777777" w:rsidR="0092710B" w:rsidRDefault="0092710B" w:rsidP="001A5D4A">
            <w:pPr>
              <w:pStyle w:val="NotesTable-CellPlain"/>
            </w:pPr>
            <w:r>
              <w:t>–</w:t>
            </w:r>
          </w:p>
        </w:tc>
        <w:tc>
          <w:tcPr>
            <w:tcW w:w="371" w:type="pct"/>
            <w:shd w:val="clear" w:color="auto" w:fill="CCCCCC"/>
          </w:tcPr>
          <w:p w14:paraId="3ADF16D8" w14:textId="77777777" w:rsidR="0092710B" w:rsidRDefault="0092710B" w:rsidP="001A5D4A">
            <w:pPr>
              <w:pStyle w:val="NotesTable-CellPlain"/>
            </w:pPr>
            <w:r>
              <w:t>–</w:t>
            </w:r>
          </w:p>
        </w:tc>
        <w:tc>
          <w:tcPr>
            <w:tcW w:w="334" w:type="pct"/>
            <w:shd w:val="clear" w:color="auto" w:fill="CCCCCC"/>
          </w:tcPr>
          <w:p w14:paraId="1B7C2BD2" w14:textId="77777777" w:rsidR="0092710B" w:rsidRDefault="0092710B" w:rsidP="001A5D4A">
            <w:pPr>
              <w:pStyle w:val="NotesTable-CellPlain"/>
            </w:pPr>
            <w:r>
              <w:t>–</w:t>
            </w:r>
          </w:p>
        </w:tc>
        <w:tc>
          <w:tcPr>
            <w:tcW w:w="334" w:type="pct"/>
            <w:gridSpan w:val="2"/>
            <w:shd w:val="clear" w:color="auto" w:fill="CCCCCC"/>
          </w:tcPr>
          <w:p w14:paraId="05A9D87B" w14:textId="77777777" w:rsidR="0092710B" w:rsidRDefault="0092710B" w:rsidP="001A5D4A">
            <w:pPr>
              <w:pStyle w:val="NotesTable-CellPlain"/>
            </w:pPr>
            <w:r>
              <w:t>–</w:t>
            </w:r>
          </w:p>
        </w:tc>
        <w:tc>
          <w:tcPr>
            <w:tcW w:w="340" w:type="pct"/>
            <w:gridSpan w:val="2"/>
            <w:shd w:val="clear" w:color="auto" w:fill="CCCCCC"/>
          </w:tcPr>
          <w:p w14:paraId="5FE29B35" w14:textId="77777777" w:rsidR="0092710B" w:rsidRDefault="0092710B" w:rsidP="001A5D4A">
            <w:pPr>
              <w:pStyle w:val="NotesTable-CellPlain"/>
              <w:rPr>
                <w:lang w:val="en-GB"/>
              </w:rPr>
            </w:pPr>
            <w:r>
              <w:t>–</w:t>
            </w:r>
          </w:p>
        </w:tc>
      </w:tr>
      <w:tr w:rsidR="0092710B" w14:paraId="79AEC8ED" w14:textId="77777777" w:rsidTr="00E21378">
        <w:trPr>
          <w:cantSplit/>
          <w:trHeight w:val="218"/>
        </w:trPr>
        <w:tc>
          <w:tcPr>
            <w:tcW w:w="503" w:type="pct"/>
          </w:tcPr>
          <w:p w14:paraId="4400A689" w14:textId="77777777" w:rsidR="0092710B" w:rsidRDefault="0092710B" w:rsidP="001A5D4A">
            <w:pPr>
              <w:pStyle w:val="Note-Refs"/>
              <w:rPr>
                <w:b/>
              </w:rPr>
            </w:pPr>
            <w:r>
              <w:t>AASB116.73e(viii)</w:t>
            </w:r>
          </w:p>
        </w:tc>
        <w:tc>
          <w:tcPr>
            <w:tcW w:w="1003" w:type="pct"/>
            <w:gridSpan w:val="2"/>
            <w:shd w:val="clear" w:color="auto" w:fill="CCCCCC"/>
            <w:vAlign w:val="bottom"/>
          </w:tcPr>
          <w:p w14:paraId="6801A93D" w14:textId="77777777" w:rsidR="0092710B" w:rsidRDefault="0092710B" w:rsidP="001A5D4A">
            <w:pPr>
              <w:pStyle w:val="NotesTable-ItemPlain"/>
              <w:rPr>
                <w:b/>
              </w:rPr>
            </w:pPr>
            <w:r>
              <w:t>Exchange differences</w:t>
            </w:r>
          </w:p>
        </w:tc>
        <w:tc>
          <w:tcPr>
            <w:tcW w:w="371" w:type="pct"/>
            <w:shd w:val="clear" w:color="auto" w:fill="CCCCCC"/>
          </w:tcPr>
          <w:p w14:paraId="22C67057" w14:textId="77777777" w:rsidR="0092710B" w:rsidRDefault="0092710B" w:rsidP="001A5D4A">
            <w:pPr>
              <w:pStyle w:val="NotesTable-CellPlain"/>
            </w:pPr>
            <w:r>
              <w:t>–</w:t>
            </w:r>
          </w:p>
        </w:tc>
        <w:tc>
          <w:tcPr>
            <w:tcW w:w="334" w:type="pct"/>
            <w:shd w:val="clear" w:color="auto" w:fill="CCCCCC"/>
          </w:tcPr>
          <w:p w14:paraId="31D071A7" w14:textId="77777777" w:rsidR="0092710B" w:rsidRDefault="0092710B" w:rsidP="001A5D4A">
            <w:pPr>
              <w:pStyle w:val="NotesTable-CellPlain"/>
            </w:pPr>
            <w:r>
              <w:t>–</w:t>
            </w:r>
          </w:p>
        </w:tc>
        <w:tc>
          <w:tcPr>
            <w:tcW w:w="334" w:type="pct"/>
            <w:shd w:val="clear" w:color="auto" w:fill="CCCCCC"/>
          </w:tcPr>
          <w:p w14:paraId="24A4E86A" w14:textId="77777777" w:rsidR="0092710B" w:rsidRDefault="0092710B" w:rsidP="001A5D4A">
            <w:pPr>
              <w:pStyle w:val="NotesTable-CellPlain"/>
            </w:pPr>
            <w:r>
              <w:t>–</w:t>
            </w:r>
          </w:p>
        </w:tc>
        <w:tc>
          <w:tcPr>
            <w:tcW w:w="371" w:type="pct"/>
            <w:shd w:val="clear" w:color="auto" w:fill="CCCCCC"/>
          </w:tcPr>
          <w:p w14:paraId="6574EEB1" w14:textId="77777777" w:rsidR="0092710B" w:rsidRDefault="0092710B" w:rsidP="001A5D4A">
            <w:pPr>
              <w:pStyle w:val="NotesTable-CellPlain"/>
            </w:pPr>
            <w:r>
              <w:t>–</w:t>
            </w:r>
          </w:p>
        </w:tc>
        <w:tc>
          <w:tcPr>
            <w:tcW w:w="334" w:type="pct"/>
            <w:shd w:val="clear" w:color="auto" w:fill="CCCCCC"/>
          </w:tcPr>
          <w:p w14:paraId="51F5E161" w14:textId="77777777" w:rsidR="0092710B" w:rsidRDefault="0092710B" w:rsidP="001A5D4A">
            <w:pPr>
              <w:pStyle w:val="NotesTable-CellPlain"/>
            </w:pPr>
            <w:r>
              <w:t>–</w:t>
            </w:r>
          </w:p>
        </w:tc>
        <w:tc>
          <w:tcPr>
            <w:tcW w:w="371" w:type="pct"/>
            <w:shd w:val="clear" w:color="auto" w:fill="CCCCCC"/>
          </w:tcPr>
          <w:p w14:paraId="60D42159" w14:textId="77777777" w:rsidR="0092710B" w:rsidRDefault="0092710B" w:rsidP="001A5D4A">
            <w:pPr>
              <w:pStyle w:val="NotesTable-CellPlain"/>
            </w:pPr>
            <w:r>
              <w:t>–</w:t>
            </w:r>
          </w:p>
        </w:tc>
        <w:tc>
          <w:tcPr>
            <w:tcW w:w="371" w:type="pct"/>
            <w:shd w:val="clear" w:color="auto" w:fill="CCCCCC"/>
          </w:tcPr>
          <w:p w14:paraId="45104EBD" w14:textId="77777777" w:rsidR="0092710B" w:rsidRDefault="0092710B" w:rsidP="001A5D4A">
            <w:pPr>
              <w:pStyle w:val="NotesTable-CellPlain"/>
            </w:pPr>
            <w:r>
              <w:t>–</w:t>
            </w:r>
          </w:p>
        </w:tc>
        <w:tc>
          <w:tcPr>
            <w:tcW w:w="334" w:type="pct"/>
            <w:shd w:val="clear" w:color="auto" w:fill="CCCCCC"/>
          </w:tcPr>
          <w:p w14:paraId="1DA988B8" w14:textId="77777777" w:rsidR="0092710B" w:rsidRDefault="0092710B" w:rsidP="001A5D4A">
            <w:pPr>
              <w:pStyle w:val="NotesTable-CellPlain"/>
            </w:pPr>
            <w:r>
              <w:t>–</w:t>
            </w:r>
          </w:p>
        </w:tc>
        <w:tc>
          <w:tcPr>
            <w:tcW w:w="334" w:type="pct"/>
            <w:gridSpan w:val="2"/>
            <w:shd w:val="clear" w:color="auto" w:fill="CCCCCC"/>
          </w:tcPr>
          <w:p w14:paraId="0BEECF71" w14:textId="77777777" w:rsidR="0092710B" w:rsidRDefault="0092710B" w:rsidP="001A5D4A">
            <w:pPr>
              <w:pStyle w:val="NotesTable-CellPlain"/>
            </w:pPr>
            <w:r>
              <w:t>–</w:t>
            </w:r>
          </w:p>
        </w:tc>
        <w:tc>
          <w:tcPr>
            <w:tcW w:w="340" w:type="pct"/>
            <w:gridSpan w:val="2"/>
            <w:shd w:val="clear" w:color="auto" w:fill="CCCCCC"/>
          </w:tcPr>
          <w:p w14:paraId="6398D84C" w14:textId="77777777" w:rsidR="0092710B" w:rsidRDefault="0092710B" w:rsidP="001A5D4A">
            <w:pPr>
              <w:pStyle w:val="NotesTable-CellPlain"/>
              <w:rPr>
                <w:lang w:val="en-GB"/>
              </w:rPr>
            </w:pPr>
            <w:r>
              <w:t>–</w:t>
            </w:r>
          </w:p>
        </w:tc>
      </w:tr>
      <w:tr w:rsidR="0092710B" w14:paraId="1D8253DC" w14:textId="77777777" w:rsidTr="00E21378">
        <w:trPr>
          <w:cantSplit/>
          <w:trHeight w:val="203"/>
        </w:trPr>
        <w:tc>
          <w:tcPr>
            <w:tcW w:w="503" w:type="pct"/>
          </w:tcPr>
          <w:p w14:paraId="415F2CD3" w14:textId="77777777" w:rsidR="0092710B" w:rsidRDefault="0092710B" w:rsidP="001A5D4A">
            <w:pPr>
              <w:pStyle w:val="Note-Refs"/>
            </w:pPr>
            <w:r>
              <w:t>AASB116.73e(ix)</w:t>
            </w:r>
          </w:p>
        </w:tc>
        <w:tc>
          <w:tcPr>
            <w:tcW w:w="1003" w:type="pct"/>
            <w:gridSpan w:val="2"/>
            <w:shd w:val="clear" w:color="auto" w:fill="CCCCCC"/>
            <w:vAlign w:val="bottom"/>
          </w:tcPr>
          <w:p w14:paraId="7B4776BC" w14:textId="77777777" w:rsidR="0092710B" w:rsidRDefault="0092710B" w:rsidP="001A5D4A">
            <w:pPr>
              <w:pStyle w:val="NotesTable-ItemPlain"/>
              <w:rPr>
                <w:b/>
              </w:rPr>
            </w:pPr>
            <w:r>
              <w:t>Other changes [Specify]</w:t>
            </w:r>
          </w:p>
        </w:tc>
        <w:tc>
          <w:tcPr>
            <w:tcW w:w="371" w:type="pct"/>
            <w:tcBorders>
              <w:bottom w:val="single" w:sz="4" w:space="0" w:color="000000"/>
            </w:tcBorders>
            <w:shd w:val="clear" w:color="auto" w:fill="CCCCCC"/>
          </w:tcPr>
          <w:p w14:paraId="7FA31390"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2E327286"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60605838" w14:textId="77777777" w:rsidR="0092710B" w:rsidRDefault="0092710B" w:rsidP="001A5D4A">
            <w:pPr>
              <w:pStyle w:val="NotesTable-CellPlain"/>
            </w:pPr>
            <w:r>
              <w:t>–</w:t>
            </w:r>
          </w:p>
        </w:tc>
        <w:tc>
          <w:tcPr>
            <w:tcW w:w="371" w:type="pct"/>
            <w:tcBorders>
              <w:bottom w:val="single" w:sz="4" w:space="0" w:color="000000"/>
            </w:tcBorders>
            <w:shd w:val="clear" w:color="auto" w:fill="CCCCCC"/>
          </w:tcPr>
          <w:p w14:paraId="6B253881"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0DF596BE" w14:textId="77777777" w:rsidR="0092710B" w:rsidRDefault="0092710B" w:rsidP="001A5D4A">
            <w:pPr>
              <w:pStyle w:val="NotesTable-CellPlain"/>
            </w:pPr>
            <w:r>
              <w:t>–</w:t>
            </w:r>
          </w:p>
        </w:tc>
        <w:tc>
          <w:tcPr>
            <w:tcW w:w="371" w:type="pct"/>
            <w:tcBorders>
              <w:bottom w:val="single" w:sz="4" w:space="0" w:color="000000"/>
            </w:tcBorders>
            <w:shd w:val="clear" w:color="auto" w:fill="CCCCCC"/>
          </w:tcPr>
          <w:p w14:paraId="21A49D77" w14:textId="77777777" w:rsidR="0092710B" w:rsidRDefault="0092710B" w:rsidP="001A5D4A">
            <w:pPr>
              <w:pStyle w:val="NotesTable-CellPlain"/>
            </w:pPr>
            <w:r>
              <w:t>–</w:t>
            </w:r>
          </w:p>
        </w:tc>
        <w:tc>
          <w:tcPr>
            <w:tcW w:w="371" w:type="pct"/>
            <w:tcBorders>
              <w:bottom w:val="single" w:sz="4" w:space="0" w:color="000000"/>
            </w:tcBorders>
            <w:shd w:val="clear" w:color="auto" w:fill="CCCCCC"/>
          </w:tcPr>
          <w:p w14:paraId="433998AD" w14:textId="77777777" w:rsidR="0092710B" w:rsidRDefault="0092710B" w:rsidP="001A5D4A">
            <w:pPr>
              <w:pStyle w:val="NotesTable-CellPlain"/>
            </w:pPr>
            <w:r>
              <w:t>–</w:t>
            </w:r>
          </w:p>
        </w:tc>
        <w:tc>
          <w:tcPr>
            <w:tcW w:w="334" w:type="pct"/>
            <w:tcBorders>
              <w:bottom w:val="single" w:sz="4" w:space="0" w:color="000000"/>
            </w:tcBorders>
            <w:shd w:val="clear" w:color="auto" w:fill="CCCCCC"/>
          </w:tcPr>
          <w:p w14:paraId="13A2F267" w14:textId="77777777" w:rsidR="0092710B" w:rsidRDefault="0092710B" w:rsidP="001A5D4A">
            <w:pPr>
              <w:pStyle w:val="NotesTable-CellPlain"/>
            </w:pPr>
            <w:r>
              <w:t>–</w:t>
            </w:r>
          </w:p>
        </w:tc>
        <w:tc>
          <w:tcPr>
            <w:tcW w:w="334" w:type="pct"/>
            <w:gridSpan w:val="2"/>
            <w:tcBorders>
              <w:bottom w:val="single" w:sz="4" w:space="0" w:color="000000"/>
            </w:tcBorders>
            <w:shd w:val="clear" w:color="auto" w:fill="CCCCCC"/>
          </w:tcPr>
          <w:p w14:paraId="6D3A0CD1" w14:textId="77777777" w:rsidR="0092710B" w:rsidRDefault="0092710B" w:rsidP="001A5D4A">
            <w:pPr>
              <w:pStyle w:val="NotesTable-CellPlain"/>
            </w:pPr>
            <w:r>
              <w:t>–</w:t>
            </w:r>
          </w:p>
        </w:tc>
        <w:tc>
          <w:tcPr>
            <w:tcW w:w="340" w:type="pct"/>
            <w:gridSpan w:val="2"/>
            <w:tcBorders>
              <w:bottom w:val="single" w:sz="4" w:space="0" w:color="000000"/>
            </w:tcBorders>
            <w:shd w:val="clear" w:color="auto" w:fill="CCCCCC"/>
          </w:tcPr>
          <w:p w14:paraId="670A9EFE" w14:textId="77777777" w:rsidR="0092710B" w:rsidRDefault="0092710B" w:rsidP="001A5D4A">
            <w:pPr>
              <w:pStyle w:val="NotesTable-CellPlain"/>
              <w:rPr>
                <w:lang w:val="en-GB"/>
              </w:rPr>
            </w:pPr>
            <w:r>
              <w:t>–</w:t>
            </w:r>
          </w:p>
        </w:tc>
      </w:tr>
      <w:tr w:rsidR="0092710B" w14:paraId="30D1CF00" w14:textId="77777777" w:rsidTr="00E21378">
        <w:trPr>
          <w:cantSplit/>
          <w:trHeight w:val="203"/>
        </w:trPr>
        <w:tc>
          <w:tcPr>
            <w:tcW w:w="503" w:type="pct"/>
          </w:tcPr>
          <w:p w14:paraId="2BD7F3BE" w14:textId="77777777" w:rsidR="0092710B" w:rsidRDefault="0092710B" w:rsidP="001A5D4A">
            <w:pPr>
              <w:pStyle w:val="Note-Refs"/>
              <w:rPr>
                <w:b/>
              </w:rPr>
            </w:pPr>
            <w:r>
              <w:t>AASB116.73e</w:t>
            </w:r>
          </w:p>
        </w:tc>
        <w:tc>
          <w:tcPr>
            <w:tcW w:w="1003" w:type="pct"/>
            <w:gridSpan w:val="2"/>
            <w:shd w:val="clear" w:color="auto" w:fill="CCCCCC"/>
            <w:vAlign w:val="bottom"/>
          </w:tcPr>
          <w:p w14:paraId="16AE8B2E" w14:textId="77777777" w:rsidR="0092710B" w:rsidRDefault="0092710B" w:rsidP="001A5D4A">
            <w:pPr>
              <w:pStyle w:val="NotesTable-ItemPlain"/>
              <w:rPr>
                <w:b/>
              </w:rPr>
            </w:pPr>
            <w:r>
              <w:t>Closing net book amount</w:t>
            </w:r>
          </w:p>
        </w:tc>
        <w:tc>
          <w:tcPr>
            <w:tcW w:w="371" w:type="pct"/>
            <w:tcBorders>
              <w:top w:val="single" w:sz="4" w:space="0" w:color="000000"/>
            </w:tcBorders>
            <w:shd w:val="clear" w:color="auto" w:fill="CCCCCC"/>
          </w:tcPr>
          <w:p w14:paraId="411E1E4E"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3B7D71D3"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56847D2C" w14:textId="77777777" w:rsidR="0092710B" w:rsidRDefault="0092710B" w:rsidP="001A5D4A">
            <w:pPr>
              <w:pStyle w:val="NotesTable-CellPlain"/>
            </w:pPr>
            <w:r>
              <w:t>–</w:t>
            </w:r>
          </w:p>
        </w:tc>
        <w:tc>
          <w:tcPr>
            <w:tcW w:w="371" w:type="pct"/>
            <w:tcBorders>
              <w:top w:val="single" w:sz="4" w:space="0" w:color="000000"/>
            </w:tcBorders>
            <w:shd w:val="clear" w:color="auto" w:fill="CCCCCC"/>
          </w:tcPr>
          <w:p w14:paraId="33C2F2CD"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58E978F0" w14:textId="77777777" w:rsidR="0092710B" w:rsidRDefault="0092710B" w:rsidP="001A5D4A">
            <w:pPr>
              <w:pStyle w:val="NotesTable-CellPlain"/>
            </w:pPr>
            <w:r>
              <w:t>–</w:t>
            </w:r>
          </w:p>
        </w:tc>
        <w:tc>
          <w:tcPr>
            <w:tcW w:w="371" w:type="pct"/>
            <w:tcBorders>
              <w:top w:val="single" w:sz="4" w:space="0" w:color="000000"/>
            </w:tcBorders>
            <w:shd w:val="clear" w:color="auto" w:fill="CCCCCC"/>
          </w:tcPr>
          <w:p w14:paraId="0FD1808F" w14:textId="77777777" w:rsidR="0092710B" w:rsidRDefault="0092710B" w:rsidP="001A5D4A">
            <w:pPr>
              <w:pStyle w:val="NotesTable-CellPlain"/>
            </w:pPr>
            <w:r>
              <w:t>–</w:t>
            </w:r>
          </w:p>
        </w:tc>
        <w:tc>
          <w:tcPr>
            <w:tcW w:w="371" w:type="pct"/>
            <w:tcBorders>
              <w:top w:val="single" w:sz="4" w:space="0" w:color="000000"/>
            </w:tcBorders>
            <w:shd w:val="clear" w:color="auto" w:fill="CCCCCC"/>
          </w:tcPr>
          <w:p w14:paraId="733D9A9B" w14:textId="77777777" w:rsidR="0092710B" w:rsidRDefault="0092710B" w:rsidP="001A5D4A">
            <w:pPr>
              <w:pStyle w:val="NotesTable-CellPlain"/>
            </w:pPr>
            <w:r>
              <w:t>–</w:t>
            </w:r>
          </w:p>
        </w:tc>
        <w:tc>
          <w:tcPr>
            <w:tcW w:w="334" w:type="pct"/>
            <w:tcBorders>
              <w:top w:val="single" w:sz="4" w:space="0" w:color="000000"/>
            </w:tcBorders>
            <w:shd w:val="clear" w:color="auto" w:fill="CCCCCC"/>
          </w:tcPr>
          <w:p w14:paraId="1D61100A" w14:textId="77777777" w:rsidR="0092710B" w:rsidRDefault="0092710B" w:rsidP="001A5D4A">
            <w:pPr>
              <w:pStyle w:val="NotesTable-CellPlain"/>
            </w:pPr>
            <w:r>
              <w:t>–</w:t>
            </w:r>
          </w:p>
        </w:tc>
        <w:tc>
          <w:tcPr>
            <w:tcW w:w="334" w:type="pct"/>
            <w:gridSpan w:val="2"/>
            <w:tcBorders>
              <w:top w:val="single" w:sz="4" w:space="0" w:color="000000"/>
            </w:tcBorders>
            <w:shd w:val="clear" w:color="auto" w:fill="CCCCCC"/>
          </w:tcPr>
          <w:p w14:paraId="2FB1207B" w14:textId="77777777" w:rsidR="0092710B" w:rsidRDefault="0092710B" w:rsidP="001A5D4A">
            <w:pPr>
              <w:pStyle w:val="NotesTable-CellPlain"/>
            </w:pPr>
            <w:r>
              <w:t>–</w:t>
            </w:r>
          </w:p>
        </w:tc>
        <w:tc>
          <w:tcPr>
            <w:tcW w:w="340" w:type="pct"/>
            <w:gridSpan w:val="2"/>
            <w:tcBorders>
              <w:top w:val="single" w:sz="4" w:space="0" w:color="000000"/>
            </w:tcBorders>
            <w:shd w:val="clear" w:color="auto" w:fill="CCCCCC"/>
          </w:tcPr>
          <w:p w14:paraId="3937E826" w14:textId="77777777" w:rsidR="0092710B" w:rsidRDefault="0092710B" w:rsidP="001A5D4A">
            <w:pPr>
              <w:pStyle w:val="NotesTable-CellPlain"/>
              <w:rPr>
                <w:lang w:val="en-GB"/>
              </w:rPr>
            </w:pPr>
            <w:r>
              <w:t>–</w:t>
            </w:r>
          </w:p>
        </w:tc>
      </w:tr>
      <w:tr w:rsidR="00D24883" w14:paraId="038A26B1" w14:textId="77777777" w:rsidTr="00E21378">
        <w:trPr>
          <w:cantSplit/>
          <w:trHeight w:val="218"/>
        </w:trPr>
        <w:tc>
          <w:tcPr>
            <w:tcW w:w="503" w:type="pct"/>
          </w:tcPr>
          <w:p w14:paraId="038A26A5" w14:textId="77777777" w:rsidR="00D24883" w:rsidRDefault="00D24883" w:rsidP="001A5D4A">
            <w:pPr>
              <w:pStyle w:val="Note-Refs"/>
            </w:pPr>
          </w:p>
        </w:tc>
        <w:tc>
          <w:tcPr>
            <w:tcW w:w="1003" w:type="pct"/>
            <w:gridSpan w:val="2"/>
            <w:shd w:val="clear" w:color="auto" w:fill="CCCCCC"/>
            <w:vAlign w:val="bottom"/>
          </w:tcPr>
          <w:p w14:paraId="038A26A6" w14:textId="77777777" w:rsidR="00D24883" w:rsidRDefault="00D24883" w:rsidP="001A5D4A">
            <w:pPr>
              <w:pStyle w:val="NotesTable-ItemPlain"/>
            </w:pPr>
          </w:p>
        </w:tc>
        <w:tc>
          <w:tcPr>
            <w:tcW w:w="371" w:type="pct"/>
            <w:shd w:val="clear" w:color="auto" w:fill="CCCCCC"/>
          </w:tcPr>
          <w:p w14:paraId="038A26A7" w14:textId="77777777" w:rsidR="00D24883" w:rsidRDefault="00D24883" w:rsidP="001A5D4A">
            <w:pPr>
              <w:pStyle w:val="NotesTable-CellPlain"/>
            </w:pPr>
          </w:p>
        </w:tc>
        <w:tc>
          <w:tcPr>
            <w:tcW w:w="334" w:type="pct"/>
            <w:shd w:val="clear" w:color="auto" w:fill="CCCCCC"/>
          </w:tcPr>
          <w:p w14:paraId="038A26A8" w14:textId="77777777" w:rsidR="00D24883" w:rsidRDefault="00D24883" w:rsidP="001A5D4A">
            <w:pPr>
              <w:pStyle w:val="NotesTable-CellPlain"/>
            </w:pPr>
          </w:p>
        </w:tc>
        <w:tc>
          <w:tcPr>
            <w:tcW w:w="334" w:type="pct"/>
            <w:shd w:val="clear" w:color="auto" w:fill="CCCCCC"/>
          </w:tcPr>
          <w:p w14:paraId="038A26A9" w14:textId="77777777" w:rsidR="00D24883" w:rsidRDefault="00D24883" w:rsidP="001A5D4A">
            <w:pPr>
              <w:pStyle w:val="NotesTable-CellPlain"/>
            </w:pPr>
          </w:p>
        </w:tc>
        <w:tc>
          <w:tcPr>
            <w:tcW w:w="371" w:type="pct"/>
            <w:shd w:val="clear" w:color="auto" w:fill="CCCCCC"/>
          </w:tcPr>
          <w:p w14:paraId="038A26AA" w14:textId="77777777" w:rsidR="00D24883" w:rsidRDefault="00D24883" w:rsidP="001A5D4A">
            <w:pPr>
              <w:pStyle w:val="NotesTable-CellPlain"/>
            </w:pPr>
          </w:p>
        </w:tc>
        <w:tc>
          <w:tcPr>
            <w:tcW w:w="334" w:type="pct"/>
            <w:shd w:val="clear" w:color="auto" w:fill="CCCCCC"/>
          </w:tcPr>
          <w:p w14:paraId="038A26AB" w14:textId="77777777" w:rsidR="00D24883" w:rsidRDefault="00D24883" w:rsidP="001A5D4A">
            <w:pPr>
              <w:pStyle w:val="NotesTable-CellPlain"/>
            </w:pPr>
          </w:p>
        </w:tc>
        <w:tc>
          <w:tcPr>
            <w:tcW w:w="371" w:type="pct"/>
            <w:shd w:val="clear" w:color="auto" w:fill="CCCCCC"/>
          </w:tcPr>
          <w:p w14:paraId="038A26AC" w14:textId="77777777" w:rsidR="00D24883" w:rsidRDefault="00D24883" w:rsidP="001A5D4A">
            <w:pPr>
              <w:pStyle w:val="NotesTable-CellPlain"/>
            </w:pPr>
          </w:p>
        </w:tc>
        <w:tc>
          <w:tcPr>
            <w:tcW w:w="371" w:type="pct"/>
            <w:shd w:val="clear" w:color="auto" w:fill="CCCCCC"/>
          </w:tcPr>
          <w:p w14:paraId="038A26AD" w14:textId="77777777" w:rsidR="00D24883" w:rsidRDefault="00D24883" w:rsidP="001A5D4A">
            <w:pPr>
              <w:pStyle w:val="NotesTable-CellPlain"/>
            </w:pPr>
          </w:p>
        </w:tc>
        <w:tc>
          <w:tcPr>
            <w:tcW w:w="334" w:type="pct"/>
            <w:shd w:val="clear" w:color="auto" w:fill="CCCCCC"/>
          </w:tcPr>
          <w:p w14:paraId="038A26AE" w14:textId="77777777" w:rsidR="00D24883" w:rsidRDefault="00D24883" w:rsidP="001A5D4A">
            <w:pPr>
              <w:pStyle w:val="NotesTable-CellPlain"/>
            </w:pPr>
          </w:p>
        </w:tc>
        <w:tc>
          <w:tcPr>
            <w:tcW w:w="334" w:type="pct"/>
            <w:gridSpan w:val="2"/>
            <w:shd w:val="clear" w:color="auto" w:fill="CCCCCC"/>
          </w:tcPr>
          <w:p w14:paraId="038A26AF" w14:textId="77777777" w:rsidR="00D24883" w:rsidRDefault="00D24883" w:rsidP="001A5D4A">
            <w:pPr>
              <w:pStyle w:val="NotesTable-CellPlain"/>
            </w:pPr>
          </w:p>
        </w:tc>
        <w:tc>
          <w:tcPr>
            <w:tcW w:w="340" w:type="pct"/>
            <w:gridSpan w:val="2"/>
            <w:shd w:val="clear" w:color="auto" w:fill="CCCCCC"/>
          </w:tcPr>
          <w:p w14:paraId="038A26B0" w14:textId="77777777" w:rsidR="00D24883" w:rsidRDefault="00D24883" w:rsidP="001A5D4A">
            <w:pPr>
              <w:pStyle w:val="NotesTable-CellPlain"/>
            </w:pPr>
          </w:p>
        </w:tc>
      </w:tr>
      <w:tr w:rsidR="00742371" w14:paraId="038A26B4" w14:textId="77777777" w:rsidTr="00E21378">
        <w:trPr>
          <w:cantSplit/>
          <w:trHeight w:val="218"/>
        </w:trPr>
        <w:tc>
          <w:tcPr>
            <w:tcW w:w="503" w:type="pct"/>
          </w:tcPr>
          <w:p w14:paraId="038A26B2" w14:textId="77777777" w:rsidR="00742371" w:rsidRDefault="00742371" w:rsidP="001A5D4A">
            <w:pPr>
              <w:pStyle w:val="Note-Refs"/>
            </w:pPr>
          </w:p>
        </w:tc>
        <w:tc>
          <w:tcPr>
            <w:tcW w:w="4497" w:type="pct"/>
            <w:gridSpan w:val="14"/>
            <w:shd w:val="clear" w:color="auto" w:fill="CCCCCC"/>
            <w:vAlign w:val="bottom"/>
          </w:tcPr>
          <w:p w14:paraId="038A26B3" w14:textId="48132B62" w:rsidR="00742371" w:rsidRDefault="00742371" w:rsidP="001A5D4A">
            <w:pPr>
              <w:pStyle w:val="Note-TextHeader"/>
              <w:rPr>
                <w:lang w:val="en-GB"/>
              </w:rPr>
            </w:pPr>
            <w:r>
              <w:t>At 31 December</w:t>
            </w:r>
            <w:r w:rsidR="001A35D6">
              <w:t xml:space="preserve"> </w:t>
            </w:r>
            <w:r w:rsidR="006864EC">
              <w:t>2014</w:t>
            </w:r>
          </w:p>
        </w:tc>
      </w:tr>
      <w:tr w:rsidR="00CE0216" w14:paraId="038A26C1" w14:textId="77777777" w:rsidTr="00E21378">
        <w:trPr>
          <w:cantSplit/>
          <w:trHeight w:val="218"/>
        </w:trPr>
        <w:tc>
          <w:tcPr>
            <w:tcW w:w="503" w:type="pct"/>
          </w:tcPr>
          <w:p w14:paraId="038A26B5" w14:textId="77777777" w:rsidR="00CE0216" w:rsidRDefault="00CE0216" w:rsidP="001A5D4A">
            <w:pPr>
              <w:pStyle w:val="Note-Refs"/>
              <w:rPr>
                <w:b/>
              </w:rPr>
            </w:pPr>
            <w:r>
              <w:t>AASB116.73d</w:t>
            </w:r>
          </w:p>
        </w:tc>
        <w:tc>
          <w:tcPr>
            <w:tcW w:w="1003" w:type="pct"/>
            <w:gridSpan w:val="2"/>
            <w:shd w:val="clear" w:color="auto" w:fill="CCCCCC"/>
            <w:vAlign w:val="bottom"/>
          </w:tcPr>
          <w:p w14:paraId="038A26B6" w14:textId="77777777" w:rsidR="00CE0216" w:rsidRDefault="00CE0216" w:rsidP="001A5D4A">
            <w:pPr>
              <w:pStyle w:val="NotesTable-ItemPlain"/>
              <w:rPr>
                <w:b/>
              </w:rPr>
            </w:pPr>
            <w:r>
              <w:t>- Cost</w:t>
            </w:r>
          </w:p>
        </w:tc>
        <w:tc>
          <w:tcPr>
            <w:tcW w:w="371" w:type="pct"/>
            <w:shd w:val="clear" w:color="auto" w:fill="CCCCCC"/>
          </w:tcPr>
          <w:p w14:paraId="038A26B7" w14:textId="77777777" w:rsidR="00CE0216" w:rsidRDefault="00CE0216" w:rsidP="001A5D4A">
            <w:pPr>
              <w:pStyle w:val="NotesTable-CellPlain"/>
            </w:pPr>
            <w:r>
              <w:t>–</w:t>
            </w:r>
          </w:p>
        </w:tc>
        <w:tc>
          <w:tcPr>
            <w:tcW w:w="334" w:type="pct"/>
            <w:shd w:val="clear" w:color="auto" w:fill="CCCCCC"/>
          </w:tcPr>
          <w:p w14:paraId="038A26B8" w14:textId="77777777" w:rsidR="00CE0216" w:rsidRDefault="00CE0216" w:rsidP="001A5D4A">
            <w:pPr>
              <w:pStyle w:val="NotesTable-CellPlain"/>
            </w:pPr>
            <w:r>
              <w:t>–</w:t>
            </w:r>
          </w:p>
        </w:tc>
        <w:tc>
          <w:tcPr>
            <w:tcW w:w="334" w:type="pct"/>
            <w:shd w:val="clear" w:color="auto" w:fill="CCCCCC"/>
          </w:tcPr>
          <w:p w14:paraId="038A26B9" w14:textId="77777777" w:rsidR="00CE0216" w:rsidRDefault="00CE0216" w:rsidP="001A5D4A">
            <w:pPr>
              <w:pStyle w:val="NotesTable-CellPlain"/>
            </w:pPr>
            <w:r>
              <w:t>–</w:t>
            </w:r>
          </w:p>
        </w:tc>
        <w:tc>
          <w:tcPr>
            <w:tcW w:w="371" w:type="pct"/>
            <w:shd w:val="clear" w:color="auto" w:fill="CCCCCC"/>
          </w:tcPr>
          <w:p w14:paraId="038A26BA" w14:textId="77777777" w:rsidR="00CE0216" w:rsidRDefault="00CE0216" w:rsidP="001A5D4A">
            <w:pPr>
              <w:pStyle w:val="NotesTable-CellPlain"/>
            </w:pPr>
            <w:r>
              <w:t>–</w:t>
            </w:r>
          </w:p>
        </w:tc>
        <w:tc>
          <w:tcPr>
            <w:tcW w:w="334" w:type="pct"/>
            <w:shd w:val="clear" w:color="auto" w:fill="CCCCCC"/>
          </w:tcPr>
          <w:p w14:paraId="038A26BB" w14:textId="77777777" w:rsidR="00CE0216" w:rsidRDefault="00CE0216" w:rsidP="001A5D4A">
            <w:pPr>
              <w:pStyle w:val="NotesTable-CellPlain"/>
            </w:pPr>
            <w:r>
              <w:t>–</w:t>
            </w:r>
          </w:p>
        </w:tc>
        <w:tc>
          <w:tcPr>
            <w:tcW w:w="371" w:type="pct"/>
            <w:shd w:val="clear" w:color="auto" w:fill="CCCCCC"/>
          </w:tcPr>
          <w:p w14:paraId="038A26BC" w14:textId="77777777" w:rsidR="00CE0216" w:rsidRDefault="00CE0216" w:rsidP="001A5D4A">
            <w:pPr>
              <w:pStyle w:val="NotesTable-CellPlain"/>
            </w:pPr>
            <w:r>
              <w:t>–</w:t>
            </w:r>
          </w:p>
        </w:tc>
        <w:tc>
          <w:tcPr>
            <w:tcW w:w="371" w:type="pct"/>
            <w:shd w:val="clear" w:color="auto" w:fill="CCCCCC"/>
          </w:tcPr>
          <w:p w14:paraId="038A26BD" w14:textId="77777777" w:rsidR="00CE0216" w:rsidRDefault="00CE0216" w:rsidP="001A5D4A">
            <w:pPr>
              <w:pStyle w:val="NotesTable-CellPlain"/>
            </w:pPr>
            <w:r>
              <w:t>–</w:t>
            </w:r>
          </w:p>
        </w:tc>
        <w:tc>
          <w:tcPr>
            <w:tcW w:w="334" w:type="pct"/>
            <w:shd w:val="clear" w:color="auto" w:fill="CCCCCC"/>
          </w:tcPr>
          <w:p w14:paraId="038A26BE" w14:textId="77777777" w:rsidR="00CE0216" w:rsidRDefault="00CE0216" w:rsidP="001A5D4A">
            <w:pPr>
              <w:pStyle w:val="NotesTable-CellPlain"/>
            </w:pPr>
            <w:r>
              <w:t>–</w:t>
            </w:r>
          </w:p>
        </w:tc>
        <w:tc>
          <w:tcPr>
            <w:tcW w:w="334" w:type="pct"/>
            <w:gridSpan w:val="2"/>
            <w:shd w:val="clear" w:color="auto" w:fill="CCCCCC"/>
          </w:tcPr>
          <w:p w14:paraId="038A26BF" w14:textId="77777777" w:rsidR="00CE0216" w:rsidRDefault="00CE0216" w:rsidP="001A5D4A">
            <w:pPr>
              <w:pStyle w:val="NotesTable-CellPlain"/>
            </w:pPr>
            <w:r>
              <w:t>–</w:t>
            </w:r>
          </w:p>
        </w:tc>
        <w:tc>
          <w:tcPr>
            <w:tcW w:w="340" w:type="pct"/>
            <w:gridSpan w:val="2"/>
            <w:shd w:val="clear" w:color="auto" w:fill="CCCCCC"/>
          </w:tcPr>
          <w:p w14:paraId="038A26C0" w14:textId="77777777" w:rsidR="00CE0216" w:rsidRDefault="00CE0216" w:rsidP="001A5D4A">
            <w:pPr>
              <w:pStyle w:val="NotesTable-CellPlain"/>
              <w:rPr>
                <w:lang w:val="en-GB"/>
              </w:rPr>
            </w:pPr>
            <w:r>
              <w:t>–</w:t>
            </w:r>
          </w:p>
        </w:tc>
      </w:tr>
      <w:tr w:rsidR="00CE0216" w14:paraId="038A26CE" w14:textId="77777777" w:rsidTr="00E21378">
        <w:trPr>
          <w:cantSplit/>
          <w:trHeight w:val="203"/>
        </w:trPr>
        <w:tc>
          <w:tcPr>
            <w:tcW w:w="503" w:type="pct"/>
          </w:tcPr>
          <w:p w14:paraId="038A26C2" w14:textId="77777777" w:rsidR="00CE0216" w:rsidRDefault="00CE0216" w:rsidP="001A5D4A">
            <w:pPr>
              <w:pStyle w:val="Note-Refs"/>
              <w:rPr>
                <w:b/>
              </w:rPr>
            </w:pPr>
            <w:r>
              <w:t>AASB116.73d</w:t>
            </w:r>
          </w:p>
        </w:tc>
        <w:tc>
          <w:tcPr>
            <w:tcW w:w="1003" w:type="pct"/>
            <w:gridSpan w:val="2"/>
            <w:shd w:val="clear" w:color="auto" w:fill="CCCCCC"/>
            <w:vAlign w:val="bottom"/>
          </w:tcPr>
          <w:p w14:paraId="038A26C3" w14:textId="77777777" w:rsidR="00CE0216" w:rsidRDefault="00CE0216" w:rsidP="001A5D4A">
            <w:pPr>
              <w:pStyle w:val="NotesTable-ItemPlain"/>
              <w:rPr>
                <w:b/>
              </w:rPr>
            </w:pPr>
            <w:r>
              <w:t>- Valuation</w:t>
            </w:r>
          </w:p>
        </w:tc>
        <w:tc>
          <w:tcPr>
            <w:tcW w:w="371" w:type="pct"/>
            <w:tcBorders>
              <w:bottom w:val="single" w:sz="4" w:space="0" w:color="000000"/>
            </w:tcBorders>
            <w:shd w:val="clear" w:color="auto" w:fill="CCCCCC"/>
          </w:tcPr>
          <w:p w14:paraId="038A26C4"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6C5"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6C6" w14:textId="77777777" w:rsidR="00CE0216" w:rsidRDefault="00CE0216" w:rsidP="001A5D4A">
            <w:pPr>
              <w:pStyle w:val="NotesTable-CellPlain"/>
            </w:pPr>
            <w:r>
              <w:t>–</w:t>
            </w:r>
          </w:p>
        </w:tc>
        <w:tc>
          <w:tcPr>
            <w:tcW w:w="371" w:type="pct"/>
            <w:tcBorders>
              <w:bottom w:val="single" w:sz="4" w:space="0" w:color="000000"/>
            </w:tcBorders>
            <w:shd w:val="clear" w:color="auto" w:fill="CCCCCC"/>
          </w:tcPr>
          <w:p w14:paraId="038A26C7"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6C8" w14:textId="77777777" w:rsidR="00CE0216" w:rsidRDefault="00CE0216" w:rsidP="001A5D4A">
            <w:pPr>
              <w:pStyle w:val="NotesTable-CellPlain"/>
            </w:pPr>
            <w:r>
              <w:t>–</w:t>
            </w:r>
          </w:p>
        </w:tc>
        <w:tc>
          <w:tcPr>
            <w:tcW w:w="371" w:type="pct"/>
            <w:tcBorders>
              <w:bottom w:val="single" w:sz="4" w:space="0" w:color="000000"/>
            </w:tcBorders>
            <w:shd w:val="clear" w:color="auto" w:fill="CCCCCC"/>
          </w:tcPr>
          <w:p w14:paraId="038A26C9" w14:textId="77777777" w:rsidR="00CE0216" w:rsidRDefault="00CE0216" w:rsidP="001A5D4A">
            <w:pPr>
              <w:pStyle w:val="NotesTable-CellPlain"/>
            </w:pPr>
            <w:r>
              <w:t>–</w:t>
            </w:r>
          </w:p>
        </w:tc>
        <w:tc>
          <w:tcPr>
            <w:tcW w:w="371" w:type="pct"/>
            <w:tcBorders>
              <w:bottom w:val="single" w:sz="4" w:space="0" w:color="000000"/>
            </w:tcBorders>
            <w:shd w:val="clear" w:color="auto" w:fill="CCCCCC"/>
          </w:tcPr>
          <w:p w14:paraId="038A26CA" w14:textId="77777777" w:rsidR="00CE0216" w:rsidRDefault="00CE0216" w:rsidP="001A5D4A">
            <w:pPr>
              <w:pStyle w:val="NotesTable-CellPlain"/>
            </w:pPr>
            <w:r>
              <w:t>–</w:t>
            </w:r>
          </w:p>
        </w:tc>
        <w:tc>
          <w:tcPr>
            <w:tcW w:w="334" w:type="pct"/>
            <w:tcBorders>
              <w:bottom w:val="single" w:sz="4" w:space="0" w:color="000000"/>
            </w:tcBorders>
            <w:shd w:val="clear" w:color="auto" w:fill="CCCCCC"/>
          </w:tcPr>
          <w:p w14:paraId="038A26CB" w14:textId="77777777" w:rsidR="00CE0216" w:rsidRDefault="00CE0216" w:rsidP="001A5D4A">
            <w:pPr>
              <w:pStyle w:val="NotesTable-CellPlain"/>
            </w:pPr>
            <w:r>
              <w:t>–</w:t>
            </w:r>
          </w:p>
        </w:tc>
        <w:tc>
          <w:tcPr>
            <w:tcW w:w="334" w:type="pct"/>
            <w:gridSpan w:val="2"/>
            <w:tcBorders>
              <w:bottom w:val="single" w:sz="4" w:space="0" w:color="000000"/>
            </w:tcBorders>
            <w:shd w:val="clear" w:color="auto" w:fill="CCCCCC"/>
          </w:tcPr>
          <w:p w14:paraId="038A26CC" w14:textId="77777777" w:rsidR="00CE0216" w:rsidRDefault="00CE0216" w:rsidP="001A5D4A">
            <w:pPr>
              <w:pStyle w:val="NotesTable-CellPlain"/>
            </w:pPr>
            <w:r>
              <w:t>–</w:t>
            </w:r>
          </w:p>
        </w:tc>
        <w:tc>
          <w:tcPr>
            <w:tcW w:w="340" w:type="pct"/>
            <w:gridSpan w:val="2"/>
            <w:tcBorders>
              <w:bottom w:val="single" w:sz="4" w:space="0" w:color="000000"/>
            </w:tcBorders>
            <w:shd w:val="clear" w:color="auto" w:fill="CCCCCC"/>
          </w:tcPr>
          <w:p w14:paraId="038A26CD" w14:textId="77777777" w:rsidR="00CE0216" w:rsidRDefault="00CE0216" w:rsidP="001A5D4A">
            <w:pPr>
              <w:pStyle w:val="NotesTable-CellPlain"/>
              <w:rPr>
                <w:lang w:val="en-GB"/>
              </w:rPr>
            </w:pPr>
            <w:r>
              <w:t>–</w:t>
            </w:r>
          </w:p>
        </w:tc>
      </w:tr>
      <w:tr w:rsidR="00CE0216" w14:paraId="038A26DB" w14:textId="77777777" w:rsidTr="00E21378">
        <w:trPr>
          <w:cantSplit/>
          <w:trHeight w:val="218"/>
        </w:trPr>
        <w:tc>
          <w:tcPr>
            <w:tcW w:w="503" w:type="pct"/>
          </w:tcPr>
          <w:p w14:paraId="038A26CF" w14:textId="77777777" w:rsidR="00CE0216" w:rsidRDefault="00CE0216" w:rsidP="001A5D4A">
            <w:pPr>
              <w:pStyle w:val="Note-Refs"/>
              <w:rPr>
                <w:b/>
              </w:rPr>
            </w:pPr>
            <w:r>
              <w:t>AASB116.73d</w:t>
            </w:r>
          </w:p>
        </w:tc>
        <w:tc>
          <w:tcPr>
            <w:tcW w:w="1003" w:type="pct"/>
            <w:gridSpan w:val="2"/>
            <w:shd w:val="clear" w:color="auto" w:fill="CCCCCC"/>
            <w:vAlign w:val="bottom"/>
          </w:tcPr>
          <w:p w14:paraId="038A26D0" w14:textId="2B2DA8F8" w:rsidR="00CE0216" w:rsidRDefault="00CE0216" w:rsidP="001A5D4A">
            <w:pPr>
              <w:pStyle w:val="NotesTable-ItemPlain"/>
              <w:rPr>
                <w:b/>
              </w:rPr>
            </w:pPr>
            <w:r>
              <w:t>Accumulated depreciation</w:t>
            </w:r>
            <w:r w:rsidR="00F307BB">
              <w:t xml:space="preserve"> and impairment</w:t>
            </w:r>
          </w:p>
        </w:tc>
        <w:tc>
          <w:tcPr>
            <w:tcW w:w="371" w:type="pct"/>
            <w:tcBorders>
              <w:top w:val="single" w:sz="4" w:space="0" w:color="000000"/>
              <w:bottom w:val="single" w:sz="4" w:space="0" w:color="000000"/>
            </w:tcBorders>
            <w:shd w:val="clear" w:color="auto" w:fill="CCCCCC"/>
          </w:tcPr>
          <w:p w14:paraId="038A26D1"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6D2"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6D3" w14:textId="77777777" w:rsidR="00CE0216" w:rsidRDefault="00CE0216" w:rsidP="001A5D4A">
            <w:pPr>
              <w:pStyle w:val="NotesTable-CellPlain"/>
            </w:pPr>
            <w:r>
              <w:t>–</w:t>
            </w:r>
          </w:p>
        </w:tc>
        <w:tc>
          <w:tcPr>
            <w:tcW w:w="371" w:type="pct"/>
            <w:tcBorders>
              <w:top w:val="single" w:sz="4" w:space="0" w:color="000000"/>
              <w:bottom w:val="single" w:sz="4" w:space="0" w:color="000000"/>
            </w:tcBorders>
            <w:shd w:val="clear" w:color="auto" w:fill="CCCCCC"/>
          </w:tcPr>
          <w:p w14:paraId="038A26D4"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6D5" w14:textId="77777777" w:rsidR="00CE0216" w:rsidRDefault="00CE0216" w:rsidP="001A5D4A">
            <w:pPr>
              <w:pStyle w:val="NotesTable-CellPlain"/>
            </w:pPr>
            <w:r>
              <w:t>–</w:t>
            </w:r>
          </w:p>
        </w:tc>
        <w:tc>
          <w:tcPr>
            <w:tcW w:w="371" w:type="pct"/>
            <w:tcBorders>
              <w:top w:val="single" w:sz="4" w:space="0" w:color="000000"/>
              <w:bottom w:val="single" w:sz="4" w:space="0" w:color="000000"/>
            </w:tcBorders>
            <w:shd w:val="clear" w:color="auto" w:fill="CCCCCC"/>
          </w:tcPr>
          <w:p w14:paraId="038A26D6" w14:textId="77777777" w:rsidR="00CE0216" w:rsidRDefault="00CE0216" w:rsidP="001A5D4A">
            <w:pPr>
              <w:pStyle w:val="NotesTable-CellPlain"/>
            </w:pPr>
            <w:r>
              <w:t>–</w:t>
            </w:r>
          </w:p>
        </w:tc>
        <w:tc>
          <w:tcPr>
            <w:tcW w:w="371" w:type="pct"/>
            <w:tcBorders>
              <w:top w:val="single" w:sz="4" w:space="0" w:color="000000"/>
              <w:bottom w:val="single" w:sz="4" w:space="0" w:color="000000"/>
            </w:tcBorders>
            <w:shd w:val="clear" w:color="auto" w:fill="CCCCCC"/>
          </w:tcPr>
          <w:p w14:paraId="038A26D7" w14:textId="77777777" w:rsidR="00CE0216" w:rsidRDefault="00CE0216" w:rsidP="001A5D4A">
            <w:pPr>
              <w:pStyle w:val="NotesTable-CellPlain"/>
            </w:pPr>
            <w:r>
              <w:t>–</w:t>
            </w:r>
          </w:p>
        </w:tc>
        <w:tc>
          <w:tcPr>
            <w:tcW w:w="334" w:type="pct"/>
            <w:tcBorders>
              <w:top w:val="single" w:sz="4" w:space="0" w:color="000000"/>
              <w:bottom w:val="single" w:sz="4" w:space="0" w:color="000000"/>
            </w:tcBorders>
            <w:shd w:val="clear" w:color="auto" w:fill="CCCCCC"/>
          </w:tcPr>
          <w:p w14:paraId="038A26D8" w14:textId="77777777" w:rsidR="00CE0216" w:rsidRDefault="00CE0216" w:rsidP="001A5D4A">
            <w:pPr>
              <w:pStyle w:val="NotesTable-CellPlain"/>
            </w:pPr>
            <w:r>
              <w:t>–</w:t>
            </w:r>
          </w:p>
        </w:tc>
        <w:tc>
          <w:tcPr>
            <w:tcW w:w="334" w:type="pct"/>
            <w:gridSpan w:val="2"/>
            <w:tcBorders>
              <w:top w:val="single" w:sz="4" w:space="0" w:color="000000"/>
              <w:bottom w:val="single" w:sz="4" w:space="0" w:color="000000"/>
            </w:tcBorders>
            <w:shd w:val="clear" w:color="auto" w:fill="CCCCCC"/>
          </w:tcPr>
          <w:p w14:paraId="038A26D9" w14:textId="77777777" w:rsidR="00CE0216" w:rsidRDefault="00CE0216" w:rsidP="001A5D4A">
            <w:pPr>
              <w:pStyle w:val="NotesTable-CellPlain"/>
            </w:pPr>
            <w:r>
              <w:t>–</w:t>
            </w:r>
          </w:p>
        </w:tc>
        <w:tc>
          <w:tcPr>
            <w:tcW w:w="340" w:type="pct"/>
            <w:gridSpan w:val="2"/>
            <w:tcBorders>
              <w:top w:val="single" w:sz="4" w:space="0" w:color="000000"/>
              <w:bottom w:val="single" w:sz="4" w:space="0" w:color="000000"/>
            </w:tcBorders>
            <w:shd w:val="clear" w:color="auto" w:fill="CCCCCC"/>
          </w:tcPr>
          <w:p w14:paraId="038A26DA" w14:textId="77777777" w:rsidR="00CE0216" w:rsidRDefault="00CE0216" w:rsidP="001A5D4A">
            <w:pPr>
              <w:pStyle w:val="NotesTable-CellPlain"/>
              <w:rPr>
                <w:lang w:val="en-GB"/>
              </w:rPr>
            </w:pPr>
            <w:r>
              <w:t>–</w:t>
            </w:r>
          </w:p>
        </w:tc>
      </w:tr>
      <w:tr w:rsidR="00CE0216" w14:paraId="038A26E8" w14:textId="77777777" w:rsidTr="00E21378">
        <w:trPr>
          <w:cantSplit/>
          <w:trHeight w:val="218"/>
        </w:trPr>
        <w:tc>
          <w:tcPr>
            <w:tcW w:w="503" w:type="pct"/>
          </w:tcPr>
          <w:p w14:paraId="038A26DC" w14:textId="77777777" w:rsidR="00CE0216" w:rsidRDefault="00CE0216" w:rsidP="001A5D4A">
            <w:pPr>
              <w:pStyle w:val="Note-Refs"/>
            </w:pPr>
          </w:p>
        </w:tc>
        <w:tc>
          <w:tcPr>
            <w:tcW w:w="1003" w:type="pct"/>
            <w:gridSpan w:val="2"/>
            <w:shd w:val="clear" w:color="auto" w:fill="CCCCCC"/>
            <w:vAlign w:val="bottom"/>
          </w:tcPr>
          <w:p w14:paraId="038A26DD" w14:textId="77777777" w:rsidR="00CE0216" w:rsidRDefault="00CE0216" w:rsidP="001A5D4A">
            <w:pPr>
              <w:pStyle w:val="NotesTable-ItemPlain"/>
              <w:rPr>
                <w:b/>
              </w:rPr>
            </w:pPr>
            <w:r>
              <w:t xml:space="preserve">Net book amount </w:t>
            </w:r>
          </w:p>
        </w:tc>
        <w:tc>
          <w:tcPr>
            <w:tcW w:w="371" w:type="pct"/>
            <w:shd w:val="clear" w:color="auto" w:fill="CCCCCC"/>
          </w:tcPr>
          <w:p w14:paraId="038A26DE" w14:textId="77777777" w:rsidR="00CE0216" w:rsidRDefault="00CE0216" w:rsidP="001A5D4A">
            <w:pPr>
              <w:pStyle w:val="NotesTable-CellPlain"/>
            </w:pPr>
            <w:r>
              <w:t>–</w:t>
            </w:r>
          </w:p>
        </w:tc>
        <w:tc>
          <w:tcPr>
            <w:tcW w:w="334" w:type="pct"/>
            <w:shd w:val="clear" w:color="auto" w:fill="CCCCCC"/>
          </w:tcPr>
          <w:p w14:paraId="038A26DF" w14:textId="77777777" w:rsidR="00CE0216" w:rsidRDefault="00CE0216" w:rsidP="001A5D4A">
            <w:pPr>
              <w:pStyle w:val="NotesTable-CellPlain"/>
            </w:pPr>
            <w:r>
              <w:t>–</w:t>
            </w:r>
          </w:p>
        </w:tc>
        <w:tc>
          <w:tcPr>
            <w:tcW w:w="334" w:type="pct"/>
            <w:shd w:val="clear" w:color="auto" w:fill="CCCCCC"/>
          </w:tcPr>
          <w:p w14:paraId="038A26E0" w14:textId="77777777" w:rsidR="00CE0216" w:rsidRDefault="00CE0216" w:rsidP="001A5D4A">
            <w:pPr>
              <w:pStyle w:val="NotesTable-CellPlain"/>
            </w:pPr>
            <w:r>
              <w:t>–</w:t>
            </w:r>
          </w:p>
        </w:tc>
        <w:tc>
          <w:tcPr>
            <w:tcW w:w="371" w:type="pct"/>
            <w:shd w:val="clear" w:color="auto" w:fill="CCCCCC"/>
          </w:tcPr>
          <w:p w14:paraId="038A26E1" w14:textId="77777777" w:rsidR="00CE0216" w:rsidRDefault="00CE0216" w:rsidP="001A5D4A">
            <w:pPr>
              <w:pStyle w:val="NotesTable-CellPlain"/>
            </w:pPr>
            <w:r>
              <w:t>–</w:t>
            </w:r>
          </w:p>
        </w:tc>
        <w:tc>
          <w:tcPr>
            <w:tcW w:w="334" w:type="pct"/>
            <w:shd w:val="clear" w:color="auto" w:fill="CCCCCC"/>
          </w:tcPr>
          <w:p w14:paraId="038A26E2" w14:textId="77777777" w:rsidR="00CE0216" w:rsidRDefault="00CE0216" w:rsidP="001A5D4A">
            <w:pPr>
              <w:pStyle w:val="NotesTable-CellPlain"/>
            </w:pPr>
            <w:r>
              <w:t>–</w:t>
            </w:r>
          </w:p>
        </w:tc>
        <w:tc>
          <w:tcPr>
            <w:tcW w:w="371" w:type="pct"/>
            <w:shd w:val="clear" w:color="auto" w:fill="CCCCCC"/>
          </w:tcPr>
          <w:p w14:paraId="038A26E3" w14:textId="77777777" w:rsidR="00CE0216" w:rsidRDefault="00CE0216" w:rsidP="001A5D4A">
            <w:pPr>
              <w:pStyle w:val="NotesTable-CellPlain"/>
            </w:pPr>
            <w:r>
              <w:t>–</w:t>
            </w:r>
          </w:p>
        </w:tc>
        <w:tc>
          <w:tcPr>
            <w:tcW w:w="371" w:type="pct"/>
            <w:shd w:val="clear" w:color="auto" w:fill="CCCCCC"/>
          </w:tcPr>
          <w:p w14:paraId="038A26E4" w14:textId="77777777" w:rsidR="00CE0216" w:rsidRDefault="00CE0216" w:rsidP="001A5D4A">
            <w:pPr>
              <w:pStyle w:val="NotesTable-CellPlain"/>
            </w:pPr>
            <w:r>
              <w:t>–</w:t>
            </w:r>
          </w:p>
        </w:tc>
        <w:tc>
          <w:tcPr>
            <w:tcW w:w="334" w:type="pct"/>
            <w:shd w:val="clear" w:color="auto" w:fill="CCCCCC"/>
          </w:tcPr>
          <w:p w14:paraId="038A26E5" w14:textId="77777777" w:rsidR="00CE0216" w:rsidRDefault="00CE0216" w:rsidP="001A5D4A">
            <w:pPr>
              <w:pStyle w:val="NotesTable-CellPlain"/>
            </w:pPr>
            <w:r>
              <w:t>–</w:t>
            </w:r>
          </w:p>
        </w:tc>
        <w:tc>
          <w:tcPr>
            <w:tcW w:w="334" w:type="pct"/>
            <w:gridSpan w:val="2"/>
            <w:shd w:val="clear" w:color="auto" w:fill="CCCCCC"/>
          </w:tcPr>
          <w:p w14:paraId="038A26E6" w14:textId="77777777" w:rsidR="00CE0216" w:rsidRDefault="00CE0216" w:rsidP="001A5D4A">
            <w:pPr>
              <w:pStyle w:val="NotesTable-CellPlain"/>
            </w:pPr>
            <w:r>
              <w:t>–</w:t>
            </w:r>
          </w:p>
        </w:tc>
        <w:tc>
          <w:tcPr>
            <w:tcW w:w="340" w:type="pct"/>
            <w:gridSpan w:val="2"/>
            <w:shd w:val="clear" w:color="auto" w:fill="CCCCCC"/>
          </w:tcPr>
          <w:p w14:paraId="038A26E7" w14:textId="77777777" w:rsidR="00CE0216" w:rsidRDefault="00CE0216" w:rsidP="001A5D4A">
            <w:pPr>
              <w:pStyle w:val="NotesTable-CellPlain"/>
              <w:rPr>
                <w:lang w:val="en-GB"/>
              </w:rPr>
            </w:pPr>
            <w:r>
              <w:t>–</w:t>
            </w:r>
          </w:p>
        </w:tc>
      </w:tr>
      <w:tr w:rsidR="00C618E7" w14:paraId="038A26ED" w14:textId="77777777" w:rsidTr="00E21378">
        <w:trPr>
          <w:gridAfter w:val="1"/>
          <w:wAfter w:w="7" w:type="pct"/>
          <w:cantSplit/>
          <w:trHeight w:hRule="exact" w:val="85"/>
        </w:trPr>
        <w:tc>
          <w:tcPr>
            <w:tcW w:w="503" w:type="pct"/>
          </w:tcPr>
          <w:p w14:paraId="038A26E9" w14:textId="77777777" w:rsidR="00C618E7" w:rsidRDefault="00C618E7" w:rsidP="001A5D4A">
            <w:pPr>
              <w:pStyle w:val="Note-Refs"/>
            </w:pPr>
          </w:p>
        </w:tc>
        <w:tc>
          <w:tcPr>
            <w:tcW w:w="167" w:type="pct"/>
          </w:tcPr>
          <w:p w14:paraId="038A26EA" w14:textId="77777777" w:rsidR="00C618E7" w:rsidRDefault="00C618E7" w:rsidP="001A5D4A">
            <w:pPr>
              <w:pStyle w:val="Heading3"/>
              <w:rPr>
                <w:rFonts w:ascii="Arial" w:hAnsi="Arial" w:cs="Arial"/>
                <w:sz w:val="18"/>
                <w:szCs w:val="18"/>
              </w:rPr>
            </w:pPr>
          </w:p>
        </w:tc>
        <w:tc>
          <w:tcPr>
            <w:tcW w:w="3948" w:type="pct"/>
            <w:gridSpan w:val="10"/>
          </w:tcPr>
          <w:p w14:paraId="038A26EB" w14:textId="77777777" w:rsidR="00C618E7" w:rsidRDefault="00C618E7" w:rsidP="001A5D4A">
            <w:pPr>
              <w:pStyle w:val="NotesTable-ItemPlain"/>
            </w:pPr>
          </w:p>
        </w:tc>
        <w:tc>
          <w:tcPr>
            <w:tcW w:w="375" w:type="pct"/>
            <w:gridSpan w:val="2"/>
          </w:tcPr>
          <w:p w14:paraId="038A26EC" w14:textId="77777777" w:rsidR="00C618E7" w:rsidRDefault="00C618E7" w:rsidP="001A5D4A">
            <w:pPr>
              <w:snapToGrid w:val="0"/>
              <w:rPr>
                <w:rFonts w:ascii="Arial" w:hAnsi="Arial" w:cs="Arial"/>
                <w:b/>
                <w:szCs w:val="18"/>
              </w:rPr>
            </w:pPr>
          </w:p>
        </w:tc>
      </w:tr>
      <w:tr w:rsidR="00B47177" w14:paraId="038A26F2" w14:textId="77777777" w:rsidTr="00E21378">
        <w:trPr>
          <w:gridAfter w:val="1"/>
          <w:wAfter w:w="7" w:type="pct"/>
          <w:cantSplit/>
          <w:trHeight w:hRule="exact" w:val="227"/>
        </w:trPr>
        <w:tc>
          <w:tcPr>
            <w:tcW w:w="503" w:type="pct"/>
          </w:tcPr>
          <w:p w14:paraId="038A26EE" w14:textId="77777777" w:rsidR="00CE0216" w:rsidRDefault="00CE0216" w:rsidP="001A5D4A">
            <w:pPr>
              <w:pStyle w:val="Note-Refs"/>
            </w:pPr>
          </w:p>
        </w:tc>
        <w:tc>
          <w:tcPr>
            <w:tcW w:w="167" w:type="pct"/>
          </w:tcPr>
          <w:p w14:paraId="038A26EF" w14:textId="77777777" w:rsidR="00CE0216" w:rsidRDefault="00CE0216" w:rsidP="001A5D4A">
            <w:pPr>
              <w:pStyle w:val="Heading3"/>
              <w:rPr>
                <w:rFonts w:ascii="Arial" w:hAnsi="Arial" w:cs="Arial"/>
                <w:sz w:val="18"/>
                <w:szCs w:val="18"/>
              </w:rPr>
            </w:pPr>
          </w:p>
        </w:tc>
        <w:tc>
          <w:tcPr>
            <w:tcW w:w="3948" w:type="pct"/>
            <w:gridSpan w:val="10"/>
          </w:tcPr>
          <w:p w14:paraId="038A26F0" w14:textId="4E6AEC95" w:rsidR="00CE0216" w:rsidRDefault="00CE0216" w:rsidP="001A5D4A">
            <w:pPr>
              <w:pStyle w:val="NotesTable-ItemPlain"/>
              <w:rPr>
                <w:b/>
              </w:rPr>
            </w:pPr>
            <w:r>
              <w:t>* Plant &amp; equipment includes all operational assets.</w:t>
            </w:r>
          </w:p>
        </w:tc>
        <w:tc>
          <w:tcPr>
            <w:tcW w:w="375" w:type="pct"/>
            <w:gridSpan w:val="2"/>
          </w:tcPr>
          <w:p w14:paraId="038A26F1" w14:textId="77777777" w:rsidR="00CE0216" w:rsidRDefault="00CE0216" w:rsidP="001A5D4A">
            <w:pPr>
              <w:pStyle w:val="NotesTable-ItemPlain"/>
            </w:pPr>
          </w:p>
        </w:tc>
      </w:tr>
      <w:tr w:rsidR="00B47177" w14:paraId="038A26F7" w14:textId="77777777" w:rsidTr="00E21378">
        <w:trPr>
          <w:gridAfter w:val="1"/>
          <w:wAfter w:w="7" w:type="pct"/>
          <w:cantSplit/>
          <w:trHeight w:hRule="exact" w:val="227"/>
        </w:trPr>
        <w:tc>
          <w:tcPr>
            <w:tcW w:w="503" w:type="pct"/>
          </w:tcPr>
          <w:p w14:paraId="038A26F3" w14:textId="77777777" w:rsidR="00CE0216" w:rsidRDefault="00CE0216" w:rsidP="001A5D4A">
            <w:pPr>
              <w:pStyle w:val="Note-Refs"/>
            </w:pPr>
          </w:p>
        </w:tc>
        <w:tc>
          <w:tcPr>
            <w:tcW w:w="167" w:type="pct"/>
          </w:tcPr>
          <w:p w14:paraId="038A26F4" w14:textId="77777777" w:rsidR="00CE0216" w:rsidRDefault="00CE0216" w:rsidP="001A5D4A">
            <w:pPr>
              <w:pStyle w:val="Heading3"/>
              <w:rPr>
                <w:rFonts w:ascii="Arial" w:hAnsi="Arial" w:cs="Arial"/>
                <w:sz w:val="18"/>
                <w:szCs w:val="18"/>
              </w:rPr>
            </w:pPr>
          </w:p>
        </w:tc>
        <w:tc>
          <w:tcPr>
            <w:tcW w:w="3948" w:type="pct"/>
            <w:gridSpan w:val="10"/>
          </w:tcPr>
          <w:p w14:paraId="038A26F5" w14:textId="7702E8FE" w:rsidR="00CE0216" w:rsidRDefault="00CE0216" w:rsidP="001A5D4A">
            <w:pPr>
              <w:pStyle w:val="NotesTable-ItemPlain"/>
              <w:rPr>
                <w:b/>
              </w:rPr>
            </w:pPr>
            <w:r>
              <w:t xml:space="preserve">** Other </w:t>
            </w:r>
            <w:r w:rsidR="00F307BB">
              <w:t>P</w:t>
            </w:r>
            <w:r>
              <w:t>lant &amp; equipment includes non-operational assets such as artworks.</w:t>
            </w:r>
          </w:p>
        </w:tc>
        <w:tc>
          <w:tcPr>
            <w:tcW w:w="375" w:type="pct"/>
            <w:gridSpan w:val="2"/>
          </w:tcPr>
          <w:p w14:paraId="038A26F6" w14:textId="77777777" w:rsidR="00CE0216" w:rsidRDefault="00CE0216" w:rsidP="001A5D4A">
            <w:pPr>
              <w:pStyle w:val="NotesTable-ItemPlain"/>
            </w:pPr>
          </w:p>
        </w:tc>
      </w:tr>
      <w:tr w:rsidR="00B47177" w14:paraId="038A26FC" w14:textId="77777777" w:rsidTr="00E21378">
        <w:trPr>
          <w:gridAfter w:val="1"/>
          <w:wAfter w:w="7" w:type="pct"/>
          <w:cantSplit/>
          <w:trHeight w:hRule="exact" w:val="227"/>
        </w:trPr>
        <w:tc>
          <w:tcPr>
            <w:tcW w:w="503" w:type="pct"/>
          </w:tcPr>
          <w:p w14:paraId="038A26F8" w14:textId="77777777" w:rsidR="00CE0216" w:rsidRDefault="00CE0216" w:rsidP="001A5D4A">
            <w:pPr>
              <w:pStyle w:val="Note-Refs"/>
            </w:pPr>
          </w:p>
        </w:tc>
        <w:tc>
          <w:tcPr>
            <w:tcW w:w="167" w:type="pct"/>
          </w:tcPr>
          <w:p w14:paraId="038A26F9" w14:textId="77777777" w:rsidR="00CE0216" w:rsidRDefault="00CE0216" w:rsidP="001A5D4A">
            <w:pPr>
              <w:pStyle w:val="Heading3"/>
              <w:rPr>
                <w:rFonts w:ascii="Arial" w:hAnsi="Arial" w:cs="Arial"/>
                <w:b w:val="0"/>
                <w:sz w:val="18"/>
                <w:szCs w:val="18"/>
              </w:rPr>
            </w:pPr>
          </w:p>
        </w:tc>
        <w:tc>
          <w:tcPr>
            <w:tcW w:w="3948" w:type="pct"/>
            <w:gridSpan w:val="10"/>
          </w:tcPr>
          <w:p w14:paraId="038A26FA" w14:textId="77777777" w:rsidR="00CE0216" w:rsidRDefault="00CE0216" w:rsidP="001A5D4A">
            <w:pPr>
              <w:pStyle w:val="NotesTable-ItemPlain"/>
              <w:rPr>
                <w:b/>
              </w:rPr>
            </w:pPr>
            <w:r>
              <w:t>(a)</w:t>
            </w:r>
            <w:r>
              <w:tab/>
              <w:t>Valuations of land and buildings</w:t>
            </w:r>
          </w:p>
        </w:tc>
        <w:tc>
          <w:tcPr>
            <w:tcW w:w="375" w:type="pct"/>
            <w:gridSpan w:val="2"/>
          </w:tcPr>
          <w:p w14:paraId="038A26FB" w14:textId="77777777" w:rsidR="00CE0216" w:rsidRDefault="00CE0216" w:rsidP="001A5D4A">
            <w:pPr>
              <w:pStyle w:val="NotesTable-ItemPlain"/>
            </w:pPr>
          </w:p>
        </w:tc>
      </w:tr>
      <w:tr w:rsidR="00B47177" w14:paraId="038A2701" w14:textId="77777777" w:rsidTr="00E21378">
        <w:trPr>
          <w:gridAfter w:val="1"/>
          <w:wAfter w:w="7" w:type="pct"/>
          <w:cantSplit/>
          <w:trHeight w:hRule="exact" w:val="227"/>
        </w:trPr>
        <w:tc>
          <w:tcPr>
            <w:tcW w:w="503" w:type="pct"/>
          </w:tcPr>
          <w:p w14:paraId="038A26FD" w14:textId="77777777" w:rsidR="00CE0216" w:rsidRDefault="00CE0216" w:rsidP="001A5D4A">
            <w:pPr>
              <w:pStyle w:val="Note-Refs"/>
              <w:rPr>
                <w:b/>
              </w:rPr>
            </w:pPr>
            <w:r>
              <w:t>AASB116.77a</w:t>
            </w:r>
            <w:r>
              <w:noBreakHyphen/>
              <w:t>d</w:t>
            </w:r>
          </w:p>
        </w:tc>
        <w:tc>
          <w:tcPr>
            <w:tcW w:w="167" w:type="pct"/>
          </w:tcPr>
          <w:p w14:paraId="038A26FE" w14:textId="77777777" w:rsidR="00CE0216" w:rsidRDefault="00CE0216" w:rsidP="001A5D4A">
            <w:pPr>
              <w:pStyle w:val="NormalText"/>
              <w:snapToGrid w:val="0"/>
              <w:rPr>
                <w:rFonts w:ascii="Arial" w:hAnsi="Arial" w:cs="Arial"/>
                <w:sz w:val="18"/>
                <w:szCs w:val="18"/>
              </w:rPr>
            </w:pPr>
          </w:p>
        </w:tc>
        <w:tc>
          <w:tcPr>
            <w:tcW w:w="3948" w:type="pct"/>
            <w:gridSpan w:val="10"/>
          </w:tcPr>
          <w:p w14:paraId="038A26FF" w14:textId="745923F7" w:rsidR="00CE0216" w:rsidRDefault="006B2FB4" w:rsidP="001A5D4A">
            <w:pPr>
              <w:pStyle w:val="NotesTable-ItemPlain"/>
              <w:rPr>
                <w:b/>
              </w:rPr>
            </w:pPr>
            <w:r>
              <w:tab/>
            </w:r>
            <w:r w:rsidR="00CE0216">
              <w:t>[</w:t>
            </w:r>
            <w:r w:rsidR="00D73BD5">
              <w:t>Specify</w:t>
            </w:r>
            <w:r w:rsidR="00CE0216">
              <w:t>]</w:t>
            </w:r>
          </w:p>
        </w:tc>
        <w:tc>
          <w:tcPr>
            <w:tcW w:w="375" w:type="pct"/>
            <w:gridSpan w:val="2"/>
          </w:tcPr>
          <w:p w14:paraId="038A2700" w14:textId="77777777" w:rsidR="00CE0216" w:rsidRDefault="00CE0216" w:rsidP="001A5D4A">
            <w:pPr>
              <w:pStyle w:val="NotesTable-ItemPlain"/>
            </w:pPr>
          </w:p>
        </w:tc>
      </w:tr>
      <w:tr w:rsidR="00B47177" w14:paraId="038A2706" w14:textId="77777777" w:rsidTr="00E21378">
        <w:trPr>
          <w:gridAfter w:val="1"/>
          <w:wAfter w:w="7" w:type="pct"/>
          <w:cantSplit/>
          <w:trHeight w:hRule="exact" w:val="227"/>
        </w:trPr>
        <w:tc>
          <w:tcPr>
            <w:tcW w:w="503" w:type="pct"/>
          </w:tcPr>
          <w:p w14:paraId="038A2702" w14:textId="77777777" w:rsidR="00CE0216" w:rsidRDefault="00CE0216" w:rsidP="001A5D4A">
            <w:pPr>
              <w:pStyle w:val="Note-Refs"/>
            </w:pPr>
          </w:p>
        </w:tc>
        <w:tc>
          <w:tcPr>
            <w:tcW w:w="167" w:type="pct"/>
          </w:tcPr>
          <w:p w14:paraId="038A2703" w14:textId="77777777" w:rsidR="00CE0216" w:rsidRDefault="00CE0216" w:rsidP="001A5D4A">
            <w:pPr>
              <w:pStyle w:val="Heading3"/>
              <w:rPr>
                <w:rFonts w:ascii="Arial" w:hAnsi="Arial" w:cs="Arial"/>
                <w:b w:val="0"/>
                <w:sz w:val="18"/>
                <w:szCs w:val="18"/>
              </w:rPr>
            </w:pPr>
          </w:p>
        </w:tc>
        <w:tc>
          <w:tcPr>
            <w:tcW w:w="3948" w:type="pct"/>
            <w:gridSpan w:val="10"/>
          </w:tcPr>
          <w:p w14:paraId="038A2704" w14:textId="77777777" w:rsidR="00CE0216" w:rsidRDefault="00CE0216" w:rsidP="001A5D4A">
            <w:pPr>
              <w:pStyle w:val="NotesTable-ItemPlain"/>
              <w:rPr>
                <w:b/>
              </w:rPr>
            </w:pPr>
            <w:r>
              <w:t>(b)</w:t>
            </w:r>
            <w:r>
              <w:tab/>
              <w:t>Non</w:t>
            </w:r>
            <w:r>
              <w:noBreakHyphen/>
              <w:t>current assets pledged as security</w:t>
            </w:r>
          </w:p>
        </w:tc>
        <w:tc>
          <w:tcPr>
            <w:tcW w:w="375" w:type="pct"/>
            <w:gridSpan w:val="2"/>
          </w:tcPr>
          <w:p w14:paraId="038A2705" w14:textId="77777777" w:rsidR="00CE0216" w:rsidRDefault="00CE0216" w:rsidP="001A5D4A">
            <w:pPr>
              <w:pStyle w:val="NotesTable-ItemPlain"/>
            </w:pPr>
          </w:p>
        </w:tc>
      </w:tr>
      <w:tr w:rsidR="00B47177" w14:paraId="038A270B" w14:textId="77777777" w:rsidTr="00E21378">
        <w:trPr>
          <w:gridAfter w:val="1"/>
          <w:wAfter w:w="7" w:type="pct"/>
          <w:cantSplit/>
          <w:trHeight w:hRule="exact" w:val="227"/>
        </w:trPr>
        <w:tc>
          <w:tcPr>
            <w:tcW w:w="503" w:type="pct"/>
          </w:tcPr>
          <w:p w14:paraId="038A2707" w14:textId="77777777" w:rsidR="00CE0216" w:rsidRDefault="00CE0216" w:rsidP="001A5D4A">
            <w:pPr>
              <w:pStyle w:val="Note-Refs"/>
              <w:rPr>
                <w:b/>
              </w:rPr>
            </w:pPr>
            <w:r>
              <w:t>AASB116.74a</w:t>
            </w:r>
          </w:p>
        </w:tc>
        <w:tc>
          <w:tcPr>
            <w:tcW w:w="167" w:type="pct"/>
          </w:tcPr>
          <w:p w14:paraId="038A2708" w14:textId="77777777" w:rsidR="00CE0216" w:rsidRDefault="00CE0216" w:rsidP="001A5D4A">
            <w:pPr>
              <w:pStyle w:val="NormalText"/>
              <w:snapToGrid w:val="0"/>
              <w:rPr>
                <w:rFonts w:ascii="Arial" w:hAnsi="Arial" w:cs="Arial"/>
                <w:sz w:val="18"/>
                <w:szCs w:val="18"/>
              </w:rPr>
            </w:pPr>
          </w:p>
        </w:tc>
        <w:tc>
          <w:tcPr>
            <w:tcW w:w="3948" w:type="pct"/>
            <w:gridSpan w:val="10"/>
          </w:tcPr>
          <w:p w14:paraId="038A2709" w14:textId="1AC5BEFB" w:rsidR="00CE0216" w:rsidRDefault="006B2FB4" w:rsidP="001A5D4A">
            <w:pPr>
              <w:pStyle w:val="NotesTable-ItemPlain"/>
              <w:rPr>
                <w:b/>
              </w:rPr>
            </w:pPr>
            <w:r>
              <w:tab/>
            </w:r>
            <w:r w:rsidR="00CE0216">
              <w:t>[</w:t>
            </w:r>
            <w:r w:rsidR="00D73BD5">
              <w:t>Specify</w:t>
            </w:r>
            <w:r w:rsidR="00CE0216">
              <w:t>]</w:t>
            </w:r>
          </w:p>
        </w:tc>
        <w:tc>
          <w:tcPr>
            <w:tcW w:w="375" w:type="pct"/>
            <w:gridSpan w:val="2"/>
          </w:tcPr>
          <w:p w14:paraId="038A270A" w14:textId="77777777" w:rsidR="00CE0216" w:rsidRDefault="00CE0216" w:rsidP="001A5D4A">
            <w:pPr>
              <w:pStyle w:val="NotesTable-ItemPlain"/>
            </w:pPr>
          </w:p>
        </w:tc>
      </w:tr>
    </w:tbl>
    <w:p w14:paraId="038A270C" w14:textId="77777777" w:rsidR="001B6B14" w:rsidRPr="00976BC2" w:rsidRDefault="001B6B14" w:rsidP="001A5D4A">
      <w:pPr>
        <w:sectPr w:rsidR="001B6B14" w:rsidRPr="00976BC2" w:rsidSect="001B6B14">
          <w:headerReference w:type="even" r:id="rId29"/>
          <w:headerReference w:type="default" r:id="rId30"/>
          <w:footerReference w:type="even" r:id="rId31"/>
          <w:headerReference w:type="first" r:id="rId32"/>
          <w:footerReference w:type="first" r:id="rId33"/>
          <w:pgSz w:w="16837" w:h="11905" w:orient="landscape" w:code="9"/>
          <w:pgMar w:top="1140" w:right="397" w:bottom="1083" w:left="1094" w:header="851" w:footer="794" w:gutter="0"/>
          <w:cols w:space="720"/>
          <w:docGrid w:linePitch="360"/>
        </w:sectPr>
      </w:pPr>
    </w:p>
    <w:p w14:paraId="49CB9527" w14:textId="77777777" w:rsidR="00726BA8" w:rsidRPr="00726BA8" w:rsidRDefault="00726BA8" w:rsidP="001A5D4A">
      <w:pPr>
        <w:pStyle w:val="Heading3"/>
        <w:rPr>
          <w:color w:val="2D3E7B" w:themeColor="text2" w:themeShade="BF"/>
        </w:rPr>
      </w:pPr>
      <w:bookmarkStart w:id="333" w:name="_Toc410807639"/>
      <w:bookmarkStart w:id="334" w:name="_Toc410822700"/>
      <w:r w:rsidRPr="00726BA8">
        <w:rPr>
          <w:color w:val="2D3E7B" w:themeColor="text2" w:themeShade="BF"/>
        </w:rPr>
        <w:lastRenderedPageBreak/>
        <w:t xml:space="preserve">Commentary </w:t>
      </w:r>
      <w:r w:rsidRPr="00726BA8">
        <w:rPr>
          <w:color w:val="2D3E7B" w:themeColor="text2" w:themeShade="BF"/>
        </w:rPr>
        <w:noBreakHyphen/>
        <w:t xml:space="preserve"> Property, plant and equipment</w:t>
      </w:r>
      <w:bookmarkEnd w:id="333"/>
      <w:bookmarkEnd w:id="334"/>
    </w:p>
    <w:p w14:paraId="3E5128B1" w14:textId="77777777" w:rsidR="00726BA8" w:rsidRPr="002E740E" w:rsidRDefault="00726BA8"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 xml:space="preserve">Revaluations </w:t>
      </w:r>
    </w:p>
    <w:p w14:paraId="012B3B64" w14:textId="77777777" w:rsidR="00726BA8" w:rsidRPr="002E740E" w:rsidRDefault="00726BA8" w:rsidP="00F94210">
      <w:pPr>
        <w:pStyle w:val="Heading6"/>
      </w:pPr>
      <w:r w:rsidRPr="002E740E">
        <w:t>Depreciation treatments</w:t>
      </w:r>
    </w:p>
    <w:p w14:paraId="7292264B" w14:textId="77777777" w:rsidR="00726BA8" w:rsidRPr="00B40DF8" w:rsidRDefault="00726BA8" w:rsidP="004F3ED9">
      <w:pPr>
        <w:pStyle w:val="Heading6"/>
      </w:pPr>
      <w:r w:rsidRPr="00B40DF8">
        <w:t>AASB116.35</w:t>
      </w:r>
    </w:p>
    <w:p w14:paraId="6BD40993" w14:textId="77777777" w:rsidR="00726BA8" w:rsidRPr="002E740E" w:rsidRDefault="00726BA8" w:rsidP="001A5D4A">
      <w:pPr>
        <w:rPr>
          <w:color w:val="2D3E7B" w:themeColor="text2" w:themeShade="BF"/>
        </w:rPr>
      </w:pPr>
      <w:r w:rsidRPr="002E740E">
        <w:rPr>
          <w:color w:val="2D3E7B" w:themeColor="text2" w:themeShade="BF"/>
        </w:rPr>
        <w:t>Where an entity revalues depreciable assets, any accumulated depreciation at the date of the revaluation is treated in one of the following ways:</w:t>
      </w:r>
    </w:p>
    <w:p w14:paraId="126CC610" w14:textId="38FBE2F1" w:rsidR="00726BA8" w:rsidRPr="002E740E" w:rsidRDefault="00726BA8" w:rsidP="00022EFA">
      <w:pPr>
        <w:pStyle w:val="ListParagraph"/>
        <w:numPr>
          <w:ilvl w:val="0"/>
          <w:numId w:val="44"/>
        </w:numPr>
        <w:ind w:left="340" w:hanging="340"/>
        <w:rPr>
          <w:color w:val="2D3E7B" w:themeColor="text2" w:themeShade="BF"/>
        </w:rPr>
      </w:pPr>
      <w:proofErr w:type="gramStart"/>
      <w:r w:rsidRPr="002E740E">
        <w:rPr>
          <w:color w:val="2D3E7B" w:themeColor="text2" w:themeShade="BF"/>
        </w:rPr>
        <w:t>restated</w:t>
      </w:r>
      <w:proofErr w:type="gramEnd"/>
      <w:r w:rsidRPr="002E740E">
        <w:rPr>
          <w:color w:val="2D3E7B" w:themeColor="text2" w:themeShade="BF"/>
        </w:rPr>
        <w:t xml:space="preserve"> proportionately with the change in the gross carrying amount of the asset so that the carrying amount of the asset after revaluation equals its revalued amount. This method is often used when an asset is revalued by means of applying an index to its depreciated replacement cost; or</w:t>
      </w:r>
    </w:p>
    <w:p w14:paraId="2D668D7A" w14:textId="6D49D0A9" w:rsidR="00726BA8" w:rsidRPr="002E740E" w:rsidRDefault="00726BA8" w:rsidP="00022EFA">
      <w:pPr>
        <w:pStyle w:val="ListParagraph"/>
        <w:numPr>
          <w:ilvl w:val="0"/>
          <w:numId w:val="44"/>
        </w:numPr>
        <w:ind w:left="340" w:hanging="340"/>
        <w:rPr>
          <w:color w:val="2D3E7B" w:themeColor="text2" w:themeShade="BF"/>
        </w:rPr>
      </w:pPr>
      <w:proofErr w:type="gramStart"/>
      <w:r w:rsidRPr="002E740E">
        <w:rPr>
          <w:color w:val="2D3E7B" w:themeColor="text2" w:themeShade="BF"/>
        </w:rPr>
        <w:t>eliminated</w:t>
      </w:r>
      <w:proofErr w:type="gramEnd"/>
      <w:r w:rsidRPr="002E740E">
        <w:rPr>
          <w:color w:val="2D3E7B" w:themeColor="text2" w:themeShade="BF"/>
        </w:rPr>
        <w:t xml:space="preserve"> against the gross carrying amount of the asset and the net amount restated to the revalued amount of the asset. This method is often used for buildings.</w:t>
      </w:r>
    </w:p>
    <w:p w14:paraId="54C6A551" w14:textId="77777777" w:rsidR="00726BA8" w:rsidRPr="002E740E" w:rsidRDefault="00726BA8" w:rsidP="002E740E">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 xml:space="preserve">Reconciliation </w:t>
      </w:r>
    </w:p>
    <w:p w14:paraId="63C0FD19" w14:textId="77777777" w:rsidR="00726BA8" w:rsidRPr="002E740E" w:rsidRDefault="00726BA8" w:rsidP="00F94210">
      <w:pPr>
        <w:pStyle w:val="Heading6"/>
      </w:pPr>
      <w:r w:rsidRPr="002E740E">
        <w:t>AASB116.73e</w:t>
      </w:r>
    </w:p>
    <w:p w14:paraId="7DBA9EC4" w14:textId="77777777" w:rsidR="00726BA8" w:rsidRPr="00726BA8" w:rsidRDefault="00726BA8" w:rsidP="001A5D4A">
      <w:pPr>
        <w:rPr>
          <w:color w:val="2D3E7B" w:themeColor="text2" w:themeShade="BF"/>
        </w:rPr>
      </w:pPr>
      <w:r w:rsidRPr="00726BA8">
        <w:rPr>
          <w:color w:val="2D3E7B" w:themeColor="text2" w:themeShade="BF"/>
        </w:rPr>
        <w:t>The financial report shall disclose, for each class of property, plant and equipment a reconciliation of the carrying amount at the beginning and end of the period showing:</w:t>
      </w:r>
    </w:p>
    <w:p w14:paraId="22290B27" w14:textId="25036A3A"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additions;</w:t>
      </w:r>
    </w:p>
    <w:p w14:paraId="098B8333" w14:textId="168ACB85"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 xml:space="preserve">assets classified as held for sale or included in a disposal group classified as held for sale in accordance with AASB5 </w:t>
      </w:r>
      <w:r w:rsidRPr="00C94CF3">
        <w:rPr>
          <w:i/>
          <w:color w:val="2D3E7B" w:themeColor="text2" w:themeShade="BF"/>
        </w:rPr>
        <w:t>Non</w:t>
      </w:r>
      <w:r w:rsidRPr="00C94CF3">
        <w:rPr>
          <w:i/>
          <w:color w:val="2D3E7B" w:themeColor="text2" w:themeShade="BF"/>
        </w:rPr>
        <w:noBreakHyphen/>
        <w:t>current Assets Held for Sale and Discontinued Operations</w:t>
      </w:r>
      <w:r w:rsidRPr="00726BA8">
        <w:rPr>
          <w:color w:val="2D3E7B" w:themeColor="text2" w:themeShade="BF"/>
        </w:rPr>
        <w:t xml:space="preserve"> and other disposals;</w:t>
      </w:r>
    </w:p>
    <w:p w14:paraId="30579B55" w14:textId="261FABE5"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acquisitions through business combinations;</w:t>
      </w:r>
    </w:p>
    <w:p w14:paraId="04323513" w14:textId="24FEA489"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 xml:space="preserve">increases or decreases resulting from revaluations under paragraphs AASB116.31, 39, Aus39.1, 40, Aus40.1 and Aus40.2 and from impairment losses recognised or reversed directly in equity in accordance with AASB136 </w:t>
      </w:r>
      <w:r w:rsidRPr="00C94CF3">
        <w:rPr>
          <w:i/>
          <w:color w:val="2D3E7B" w:themeColor="text2" w:themeShade="BF"/>
        </w:rPr>
        <w:t>Impairment of Assets</w:t>
      </w:r>
      <w:r w:rsidRPr="00726BA8">
        <w:rPr>
          <w:color w:val="2D3E7B" w:themeColor="text2" w:themeShade="BF"/>
        </w:rPr>
        <w:t>;</w:t>
      </w:r>
    </w:p>
    <w:p w14:paraId="273B06B9" w14:textId="5489C4B7"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impairment losses recognised in profit or loss in accordance with AASB136;</w:t>
      </w:r>
    </w:p>
    <w:p w14:paraId="53D1FB2D" w14:textId="1EE4937F"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impairment losses reversed in profit or loss in accordance with AASB136;</w:t>
      </w:r>
    </w:p>
    <w:p w14:paraId="767BFC42" w14:textId="072E639C"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depreciation;</w:t>
      </w:r>
    </w:p>
    <w:p w14:paraId="6D92DB98" w14:textId="4EF89EA3" w:rsidR="00726BA8" w:rsidRPr="00726BA8" w:rsidRDefault="00726BA8" w:rsidP="00022EFA">
      <w:pPr>
        <w:pStyle w:val="ListParagraph"/>
        <w:numPr>
          <w:ilvl w:val="0"/>
          <w:numId w:val="45"/>
        </w:numPr>
        <w:ind w:left="340" w:hanging="340"/>
        <w:rPr>
          <w:color w:val="2D3E7B" w:themeColor="text2" w:themeShade="BF"/>
        </w:rPr>
      </w:pPr>
      <w:r w:rsidRPr="00726BA8">
        <w:rPr>
          <w:color w:val="2D3E7B" w:themeColor="text2" w:themeShade="BF"/>
        </w:rPr>
        <w:t>the net exchange differences arising on the translation of the financial statements from the functional currency into a different presentation currency, including the translation of a foreign operation into the presentation currency of the reporting entity; and</w:t>
      </w:r>
    </w:p>
    <w:p w14:paraId="1ABB176D" w14:textId="2D7D6F6B" w:rsidR="00726BA8" w:rsidRPr="00726BA8" w:rsidRDefault="00726BA8" w:rsidP="00022EFA">
      <w:pPr>
        <w:pStyle w:val="ListParagraph"/>
        <w:numPr>
          <w:ilvl w:val="0"/>
          <w:numId w:val="45"/>
        </w:numPr>
        <w:ind w:left="340" w:hanging="340"/>
        <w:rPr>
          <w:color w:val="2D3E7B" w:themeColor="text2" w:themeShade="BF"/>
        </w:rPr>
      </w:pPr>
      <w:proofErr w:type="gramStart"/>
      <w:r w:rsidRPr="00726BA8">
        <w:rPr>
          <w:color w:val="2D3E7B" w:themeColor="text2" w:themeShade="BF"/>
        </w:rPr>
        <w:t>other</w:t>
      </w:r>
      <w:proofErr w:type="gramEnd"/>
      <w:r w:rsidRPr="00726BA8">
        <w:rPr>
          <w:color w:val="2D3E7B" w:themeColor="text2" w:themeShade="BF"/>
        </w:rPr>
        <w:t xml:space="preserve"> changes.</w:t>
      </w:r>
    </w:p>
    <w:p w14:paraId="774D1902" w14:textId="77777777" w:rsidR="008710ED" w:rsidRDefault="008710ED" w:rsidP="001A5D4A">
      <w:pPr>
        <w:spacing w:after="0"/>
        <w:rPr>
          <w:b/>
          <w:bCs/>
          <w:color w:val="2D3E7B" w:themeColor="text2" w:themeShade="BF"/>
          <w:sz w:val="28"/>
          <w:szCs w:val="28"/>
        </w:rPr>
      </w:pPr>
      <w:r>
        <w:rPr>
          <w:color w:val="2D3E7B" w:themeColor="text2" w:themeShade="BF"/>
        </w:rPr>
        <w:br w:type="page"/>
      </w:r>
    </w:p>
    <w:p w14:paraId="710E10DF" w14:textId="13BA90AE" w:rsidR="00726BA8" w:rsidRPr="00726BA8" w:rsidRDefault="00726BA8" w:rsidP="00F94210">
      <w:pPr>
        <w:pStyle w:val="Heading6"/>
      </w:pPr>
      <w:r w:rsidRPr="00726BA8">
        <w:lastRenderedPageBreak/>
        <w:t>Not-for-profit entities</w:t>
      </w:r>
    </w:p>
    <w:p w14:paraId="43AA354B" w14:textId="77777777" w:rsidR="00726BA8" w:rsidRPr="00B40DF8" w:rsidRDefault="00726BA8" w:rsidP="004F3ED9">
      <w:pPr>
        <w:pStyle w:val="Heading6"/>
      </w:pPr>
      <w:r w:rsidRPr="00B40DF8">
        <w:t>AASB116.Aus77.1</w:t>
      </w:r>
    </w:p>
    <w:p w14:paraId="73CB68DE" w14:textId="77777777" w:rsidR="00726BA8" w:rsidRPr="002E740E" w:rsidRDefault="00726BA8" w:rsidP="001A5D4A">
      <w:pPr>
        <w:rPr>
          <w:color w:val="2D3E7B" w:themeColor="text2" w:themeShade="BF"/>
        </w:rPr>
      </w:pPr>
      <w:r w:rsidRPr="002E740E">
        <w:rPr>
          <w:color w:val="2D3E7B" w:themeColor="text2" w:themeShade="BF"/>
        </w:rPr>
        <w:t xml:space="preserve">Notwithstanding </w:t>
      </w:r>
      <w:proofErr w:type="gramStart"/>
      <w:r w:rsidRPr="002E740E">
        <w:rPr>
          <w:color w:val="2D3E7B" w:themeColor="text2" w:themeShade="BF"/>
        </w:rPr>
        <w:t>AASB116.77(</w:t>
      </w:r>
      <w:proofErr w:type="gramEnd"/>
      <w:r w:rsidRPr="002E740E">
        <w:rPr>
          <w:color w:val="2D3E7B" w:themeColor="text2" w:themeShade="BF"/>
        </w:rPr>
        <w:t>e), in respect of not-for-profit entities, for each revalued class of property, plant and equipment, the requirement to disclose the carrying amount that would have been recognised had the assets been carried under the cost model does not apply.</w:t>
      </w:r>
    </w:p>
    <w:p w14:paraId="64448550" w14:textId="77777777" w:rsidR="00726BA8" w:rsidRPr="002E740E" w:rsidRDefault="00726BA8"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Infrastructure</w:t>
      </w:r>
    </w:p>
    <w:p w14:paraId="33BB347E" w14:textId="77777777" w:rsidR="00726BA8" w:rsidRPr="002E740E" w:rsidRDefault="00726BA8" w:rsidP="00F94210">
      <w:pPr>
        <w:pStyle w:val="Heading6"/>
      </w:pPr>
      <w:r w:rsidRPr="002E740E">
        <w:t>UIG interpretation 1030</w:t>
      </w:r>
    </w:p>
    <w:p w14:paraId="2FD984DD" w14:textId="77777777" w:rsidR="00726BA8" w:rsidRPr="002E740E" w:rsidRDefault="00726BA8" w:rsidP="001A5D4A">
      <w:pPr>
        <w:rPr>
          <w:color w:val="2D3E7B" w:themeColor="text2" w:themeShade="BF"/>
        </w:rPr>
      </w:pPr>
      <w:r w:rsidRPr="002E740E">
        <w:rPr>
          <w:color w:val="2D3E7B" w:themeColor="text2" w:themeShade="BF"/>
        </w:rPr>
        <w:t>Infrastructure can be described as long term physical assets that require significant investment in order for the HEP to produce its good and services. Examples include roads, footpaths, sewerage networks, water transport, and transportation systems.</w:t>
      </w:r>
    </w:p>
    <w:p w14:paraId="46CAE9E0" w14:textId="7BA3F83F" w:rsidR="00726BA8" w:rsidRPr="002E740E" w:rsidRDefault="00726BA8" w:rsidP="00F94210">
      <w:pPr>
        <w:pStyle w:val="Heading6"/>
      </w:pPr>
      <w:r w:rsidRPr="002E740E">
        <w:t>Education</w:t>
      </w:r>
    </w:p>
    <w:p w14:paraId="038A2761" w14:textId="22F21FC0" w:rsidR="001B6B14" w:rsidRPr="00976BC2" w:rsidRDefault="00726BA8" w:rsidP="001A5D4A">
      <w:r w:rsidRPr="002E740E">
        <w:rPr>
          <w:color w:val="2D3E7B" w:themeColor="text2" w:themeShade="BF"/>
        </w:rPr>
        <w:t xml:space="preserve">While this item is not mandatory, if the HEP intends to identify infrastructure it must be reported separately from </w:t>
      </w:r>
      <w:r w:rsidRPr="00726BA8">
        <w:rPr>
          <w:color w:val="2D3E7B" w:themeColor="text2" w:themeShade="BF"/>
        </w:rPr>
        <w:t>the other items. It is likely that the Department of Education will mandate this approach in the future.</w:t>
      </w:r>
      <w:r w:rsidR="001B6B14" w:rsidRPr="00976BC2">
        <w:br w:type="page"/>
      </w:r>
    </w:p>
    <w:p w14:paraId="6480C210" w14:textId="6C7ADFDC" w:rsidR="00976BC2" w:rsidRPr="00976BC2" w:rsidRDefault="002636A0" w:rsidP="002E740E">
      <w:pPr>
        <w:pStyle w:val="Heading2"/>
      </w:pPr>
      <w:bookmarkStart w:id="335" w:name="_Toc410807640"/>
      <w:bookmarkStart w:id="336" w:name="_Toc410822701"/>
      <w:proofErr w:type="gramStart"/>
      <w:r>
        <w:lastRenderedPageBreak/>
        <w:t>Note 27.</w:t>
      </w:r>
      <w:proofErr w:type="gramEnd"/>
      <w:r>
        <w:t xml:space="preserve"> </w:t>
      </w:r>
      <w:r w:rsidR="00976BC2" w:rsidRPr="00976BC2">
        <w:t>Intangible assets</w:t>
      </w:r>
      <w:bookmarkEnd w:id="335"/>
      <w:bookmarkEnd w:id="336"/>
    </w:p>
    <w:tbl>
      <w:tblPr>
        <w:tblW w:w="5000" w:type="pct"/>
        <w:tblCellMar>
          <w:left w:w="0" w:type="dxa"/>
          <w:right w:w="0" w:type="dxa"/>
        </w:tblCellMar>
        <w:tblLook w:val="0000" w:firstRow="0" w:lastRow="0" w:firstColumn="0" w:lastColumn="0" w:noHBand="0" w:noVBand="0"/>
      </w:tblPr>
      <w:tblGrid>
        <w:gridCol w:w="1662"/>
        <w:gridCol w:w="4993"/>
        <w:gridCol w:w="1108"/>
        <w:gridCol w:w="833"/>
        <w:gridCol w:w="833"/>
        <w:gridCol w:w="831"/>
      </w:tblGrid>
      <w:tr w:rsidR="00B97D6B" w14:paraId="038A276B" w14:textId="77777777" w:rsidTr="00E21378">
        <w:trPr>
          <w:trHeight w:val="159"/>
        </w:trPr>
        <w:tc>
          <w:tcPr>
            <w:tcW w:w="810" w:type="pct"/>
            <w:vAlign w:val="bottom"/>
          </w:tcPr>
          <w:p w14:paraId="038A2765" w14:textId="77777777" w:rsidR="00B97D6B" w:rsidRDefault="00B97D6B" w:rsidP="001A5D4A">
            <w:pPr>
              <w:pStyle w:val="Note-Refs"/>
            </w:pPr>
          </w:p>
        </w:tc>
        <w:tc>
          <w:tcPr>
            <w:tcW w:w="2433" w:type="pct"/>
            <w:vAlign w:val="bottom"/>
          </w:tcPr>
          <w:p w14:paraId="038A2766" w14:textId="77777777" w:rsidR="00B97D6B" w:rsidRDefault="00B97D6B" w:rsidP="001A5D4A">
            <w:pPr>
              <w:pStyle w:val="NotesTable-ItemPlain"/>
            </w:pPr>
          </w:p>
        </w:tc>
        <w:tc>
          <w:tcPr>
            <w:tcW w:w="540" w:type="pct"/>
            <w:vAlign w:val="bottom"/>
          </w:tcPr>
          <w:p w14:paraId="038A2767" w14:textId="77777777" w:rsidR="00B97D6B" w:rsidRDefault="00B97D6B" w:rsidP="001A5D4A">
            <w:pPr>
              <w:pStyle w:val="NotesTable-HeadPlain"/>
              <w:rPr>
                <w:b/>
              </w:rPr>
            </w:pPr>
            <w:r>
              <w:t>Development costs</w:t>
            </w:r>
          </w:p>
        </w:tc>
        <w:tc>
          <w:tcPr>
            <w:tcW w:w="406" w:type="pct"/>
            <w:vAlign w:val="bottom"/>
          </w:tcPr>
          <w:p w14:paraId="038A2768" w14:textId="77777777" w:rsidR="00B97D6B" w:rsidRDefault="00B97D6B" w:rsidP="001A5D4A">
            <w:pPr>
              <w:pStyle w:val="NotesTable-HeadPlain"/>
            </w:pPr>
            <w:r>
              <w:t>[Specify]</w:t>
            </w:r>
          </w:p>
        </w:tc>
        <w:tc>
          <w:tcPr>
            <w:tcW w:w="406" w:type="pct"/>
            <w:vAlign w:val="bottom"/>
          </w:tcPr>
          <w:p w14:paraId="038A2769" w14:textId="77777777" w:rsidR="00B97D6B" w:rsidRDefault="00B97D6B" w:rsidP="001A5D4A">
            <w:pPr>
              <w:pStyle w:val="NotesTable-HeadPlain"/>
            </w:pPr>
            <w:r>
              <w:t>[Specify]</w:t>
            </w:r>
          </w:p>
        </w:tc>
        <w:tc>
          <w:tcPr>
            <w:tcW w:w="406" w:type="pct"/>
            <w:vAlign w:val="bottom"/>
          </w:tcPr>
          <w:p w14:paraId="038A276A" w14:textId="77777777" w:rsidR="00B97D6B" w:rsidRDefault="00B97D6B" w:rsidP="001A5D4A">
            <w:pPr>
              <w:pStyle w:val="NotesTable-HeadPlain"/>
            </w:pPr>
            <w:r>
              <w:t>Total</w:t>
            </w:r>
          </w:p>
        </w:tc>
      </w:tr>
      <w:tr w:rsidR="00B97D6B" w14:paraId="038A2772" w14:textId="77777777" w:rsidTr="00E21378">
        <w:trPr>
          <w:cantSplit/>
          <w:trHeight w:hRule="exact" w:val="227"/>
        </w:trPr>
        <w:tc>
          <w:tcPr>
            <w:tcW w:w="810" w:type="pct"/>
            <w:vAlign w:val="bottom"/>
          </w:tcPr>
          <w:p w14:paraId="038A276C" w14:textId="77777777" w:rsidR="00B97D6B" w:rsidRDefault="00B97D6B" w:rsidP="001A5D4A">
            <w:pPr>
              <w:pStyle w:val="Note-Refs"/>
            </w:pPr>
          </w:p>
        </w:tc>
        <w:tc>
          <w:tcPr>
            <w:tcW w:w="2433" w:type="pct"/>
            <w:vAlign w:val="bottom"/>
          </w:tcPr>
          <w:p w14:paraId="038A276D" w14:textId="77777777" w:rsidR="00B97D6B" w:rsidRDefault="00054B09" w:rsidP="001A5D4A">
            <w:pPr>
              <w:pStyle w:val="NotesTable-ItemBold"/>
            </w:pPr>
            <w:r>
              <w:t>Consolidated</w:t>
            </w:r>
          </w:p>
        </w:tc>
        <w:tc>
          <w:tcPr>
            <w:tcW w:w="540" w:type="pct"/>
            <w:vAlign w:val="bottom"/>
          </w:tcPr>
          <w:p w14:paraId="038A276E" w14:textId="77777777" w:rsidR="00B97D6B" w:rsidRDefault="00B97D6B" w:rsidP="001A5D4A">
            <w:pPr>
              <w:pStyle w:val="NotesTable-HeadPlain"/>
              <w:rPr>
                <w:b/>
              </w:rPr>
            </w:pPr>
            <w:r>
              <w:t>$’000</w:t>
            </w:r>
          </w:p>
        </w:tc>
        <w:tc>
          <w:tcPr>
            <w:tcW w:w="406" w:type="pct"/>
            <w:vAlign w:val="bottom"/>
          </w:tcPr>
          <w:p w14:paraId="038A276F" w14:textId="77777777" w:rsidR="00B97D6B" w:rsidRDefault="00B97D6B" w:rsidP="001A5D4A">
            <w:pPr>
              <w:pStyle w:val="NotesTable-HeadPlain"/>
              <w:rPr>
                <w:b/>
              </w:rPr>
            </w:pPr>
            <w:r>
              <w:t>$’000</w:t>
            </w:r>
          </w:p>
        </w:tc>
        <w:tc>
          <w:tcPr>
            <w:tcW w:w="406" w:type="pct"/>
            <w:vAlign w:val="bottom"/>
          </w:tcPr>
          <w:p w14:paraId="038A2770" w14:textId="77777777" w:rsidR="00B97D6B" w:rsidRDefault="00B97D6B" w:rsidP="001A5D4A">
            <w:pPr>
              <w:pStyle w:val="NotesTable-HeadPlain"/>
              <w:rPr>
                <w:b/>
              </w:rPr>
            </w:pPr>
            <w:r>
              <w:t>$’000</w:t>
            </w:r>
          </w:p>
        </w:tc>
        <w:tc>
          <w:tcPr>
            <w:tcW w:w="406" w:type="pct"/>
            <w:vAlign w:val="bottom"/>
          </w:tcPr>
          <w:p w14:paraId="038A2771" w14:textId="77777777" w:rsidR="00B97D6B" w:rsidRDefault="00B97D6B" w:rsidP="001A5D4A">
            <w:pPr>
              <w:pStyle w:val="NotesTable-HeadPlain"/>
              <w:rPr>
                <w:b/>
              </w:rPr>
            </w:pPr>
            <w:r>
              <w:t>$’000</w:t>
            </w:r>
          </w:p>
        </w:tc>
      </w:tr>
      <w:tr w:rsidR="00054B09" w14:paraId="038A2776" w14:textId="77777777" w:rsidTr="00E21378">
        <w:trPr>
          <w:cantSplit/>
          <w:trHeight w:hRule="exact" w:val="454"/>
        </w:trPr>
        <w:tc>
          <w:tcPr>
            <w:tcW w:w="810" w:type="pct"/>
            <w:vAlign w:val="bottom"/>
          </w:tcPr>
          <w:p w14:paraId="038A2773" w14:textId="77777777" w:rsidR="00054B09" w:rsidRDefault="00054B09" w:rsidP="001A5D4A">
            <w:pPr>
              <w:pStyle w:val="Note-Refs"/>
              <w:rPr>
                <w:b/>
              </w:rPr>
            </w:pPr>
            <w:r>
              <w:t>AASB3.61,B67d</w:t>
            </w:r>
          </w:p>
          <w:p w14:paraId="038A2774" w14:textId="77777777" w:rsidR="00054B09" w:rsidRDefault="00054B09" w:rsidP="001A5D4A">
            <w:pPr>
              <w:pStyle w:val="Note-Refs"/>
            </w:pPr>
            <w:r>
              <w:t xml:space="preserve">AASB138.118c </w:t>
            </w:r>
          </w:p>
        </w:tc>
        <w:tc>
          <w:tcPr>
            <w:tcW w:w="4190" w:type="pct"/>
            <w:gridSpan w:val="5"/>
            <w:vAlign w:val="bottom"/>
          </w:tcPr>
          <w:p w14:paraId="038A2775" w14:textId="0C4620DF" w:rsidR="00054B09" w:rsidRDefault="00054B09" w:rsidP="001A5D4A">
            <w:pPr>
              <w:pStyle w:val="Note-TextHeader"/>
              <w:rPr>
                <w:lang w:val="en-GB"/>
              </w:rPr>
            </w:pPr>
            <w:r>
              <w:t xml:space="preserve">At 1 January </w:t>
            </w:r>
            <w:r w:rsidR="006864EC">
              <w:t>2013</w:t>
            </w:r>
          </w:p>
        </w:tc>
      </w:tr>
      <w:tr w:rsidR="00B97D6B" w14:paraId="038A277D" w14:textId="77777777" w:rsidTr="00E21378">
        <w:trPr>
          <w:cantSplit/>
          <w:trHeight w:hRule="exact" w:val="227"/>
        </w:trPr>
        <w:tc>
          <w:tcPr>
            <w:tcW w:w="810" w:type="pct"/>
            <w:vAlign w:val="bottom"/>
          </w:tcPr>
          <w:p w14:paraId="038A2777" w14:textId="77777777" w:rsidR="00B97D6B" w:rsidRDefault="00B97D6B" w:rsidP="001A5D4A">
            <w:pPr>
              <w:pStyle w:val="Note-Refs"/>
            </w:pPr>
          </w:p>
        </w:tc>
        <w:tc>
          <w:tcPr>
            <w:tcW w:w="2433" w:type="pct"/>
            <w:vAlign w:val="bottom"/>
          </w:tcPr>
          <w:p w14:paraId="038A2778" w14:textId="77777777" w:rsidR="00B97D6B" w:rsidRDefault="00B97D6B" w:rsidP="001A5D4A">
            <w:pPr>
              <w:pStyle w:val="NotesTable-ItemPlain"/>
              <w:rPr>
                <w:b/>
              </w:rPr>
            </w:pPr>
            <w:r>
              <w:t>Cost</w:t>
            </w:r>
          </w:p>
        </w:tc>
        <w:tc>
          <w:tcPr>
            <w:tcW w:w="540" w:type="pct"/>
            <w:vAlign w:val="bottom"/>
          </w:tcPr>
          <w:p w14:paraId="038A2779" w14:textId="77777777" w:rsidR="00B97D6B" w:rsidRDefault="00B97D6B" w:rsidP="001A5D4A">
            <w:pPr>
              <w:pStyle w:val="NotesTable-CellPlain"/>
            </w:pPr>
            <w:r>
              <w:t>–</w:t>
            </w:r>
          </w:p>
        </w:tc>
        <w:tc>
          <w:tcPr>
            <w:tcW w:w="406" w:type="pct"/>
            <w:vAlign w:val="bottom"/>
          </w:tcPr>
          <w:p w14:paraId="038A277A" w14:textId="77777777" w:rsidR="00B97D6B" w:rsidRDefault="00B97D6B" w:rsidP="001A5D4A">
            <w:pPr>
              <w:pStyle w:val="NotesTable-CellPlain"/>
            </w:pPr>
            <w:r>
              <w:t>–</w:t>
            </w:r>
          </w:p>
        </w:tc>
        <w:tc>
          <w:tcPr>
            <w:tcW w:w="406" w:type="pct"/>
            <w:vAlign w:val="bottom"/>
          </w:tcPr>
          <w:p w14:paraId="038A277B" w14:textId="77777777" w:rsidR="00B97D6B" w:rsidRDefault="00B97D6B" w:rsidP="001A5D4A">
            <w:pPr>
              <w:pStyle w:val="NotesTable-CellPlain"/>
            </w:pPr>
            <w:r>
              <w:t>–</w:t>
            </w:r>
          </w:p>
        </w:tc>
        <w:tc>
          <w:tcPr>
            <w:tcW w:w="406" w:type="pct"/>
            <w:vAlign w:val="bottom"/>
          </w:tcPr>
          <w:p w14:paraId="038A277C" w14:textId="77777777" w:rsidR="00B97D6B" w:rsidRDefault="00B97D6B" w:rsidP="001A5D4A">
            <w:pPr>
              <w:pStyle w:val="NotesTable-CellPlain"/>
            </w:pPr>
            <w:r>
              <w:t>–</w:t>
            </w:r>
          </w:p>
        </w:tc>
      </w:tr>
      <w:tr w:rsidR="00B97D6B" w14:paraId="038A2784" w14:textId="77777777" w:rsidTr="00E21378">
        <w:trPr>
          <w:cantSplit/>
          <w:trHeight w:hRule="exact" w:val="227"/>
        </w:trPr>
        <w:tc>
          <w:tcPr>
            <w:tcW w:w="810" w:type="pct"/>
            <w:vAlign w:val="bottom"/>
          </w:tcPr>
          <w:p w14:paraId="038A277E" w14:textId="77777777" w:rsidR="00B97D6B" w:rsidRDefault="00B97D6B" w:rsidP="001A5D4A">
            <w:pPr>
              <w:pStyle w:val="Note-Refs"/>
            </w:pPr>
          </w:p>
        </w:tc>
        <w:tc>
          <w:tcPr>
            <w:tcW w:w="2433" w:type="pct"/>
            <w:vAlign w:val="bottom"/>
          </w:tcPr>
          <w:p w14:paraId="038A277F" w14:textId="77777777" w:rsidR="00B97D6B" w:rsidRDefault="00B97D6B" w:rsidP="001A5D4A">
            <w:pPr>
              <w:pStyle w:val="NotesTable-ItemPlain"/>
              <w:rPr>
                <w:b/>
              </w:rPr>
            </w:pPr>
            <w:r>
              <w:t>Accumulated amortisation and impairment</w:t>
            </w:r>
          </w:p>
        </w:tc>
        <w:tc>
          <w:tcPr>
            <w:tcW w:w="540" w:type="pct"/>
            <w:tcBorders>
              <w:bottom w:val="single" w:sz="4" w:space="0" w:color="auto"/>
            </w:tcBorders>
            <w:vAlign w:val="bottom"/>
          </w:tcPr>
          <w:p w14:paraId="038A2780" w14:textId="77777777" w:rsidR="00B97D6B" w:rsidRDefault="00B97D6B" w:rsidP="001A5D4A">
            <w:pPr>
              <w:pStyle w:val="NotesTable-CellPlain"/>
            </w:pPr>
            <w:r>
              <w:t>–</w:t>
            </w:r>
          </w:p>
        </w:tc>
        <w:tc>
          <w:tcPr>
            <w:tcW w:w="406" w:type="pct"/>
            <w:tcBorders>
              <w:bottom w:val="single" w:sz="4" w:space="0" w:color="auto"/>
            </w:tcBorders>
            <w:vAlign w:val="bottom"/>
          </w:tcPr>
          <w:p w14:paraId="038A2781" w14:textId="77777777" w:rsidR="00B97D6B" w:rsidRDefault="00B97D6B" w:rsidP="001A5D4A">
            <w:pPr>
              <w:pStyle w:val="NotesTable-CellPlain"/>
            </w:pPr>
            <w:r>
              <w:t>–</w:t>
            </w:r>
          </w:p>
        </w:tc>
        <w:tc>
          <w:tcPr>
            <w:tcW w:w="406" w:type="pct"/>
            <w:tcBorders>
              <w:bottom w:val="single" w:sz="4" w:space="0" w:color="auto"/>
            </w:tcBorders>
            <w:vAlign w:val="bottom"/>
          </w:tcPr>
          <w:p w14:paraId="038A2782" w14:textId="77777777" w:rsidR="00B97D6B" w:rsidRDefault="00B97D6B" w:rsidP="001A5D4A">
            <w:pPr>
              <w:pStyle w:val="NotesTable-CellPlain"/>
            </w:pPr>
            <w:r>
              <w:t>–</w:t>
            </w:r>
          </w:p>
        </w:tc>
        <w:tc>
          <w:tcPr>
            <w:tcW w:w="406" w:type="pct"/>
            <w:tcBorders>
              <w:bottom w:val="single" w:sz="4" w:space="0" w:color="auto"/>
            </w:tcBorders>
            <w:vAlign w:val="bottom"/>
          </w:tcPr>
          <w:p w14:paraId="038A2783" w14:textId="77777777" w:rsidR="00B97D6B" w:rsidRDefault="00B97D6B" w:rsidP="001A5D4A">
            <w:pPr>
              <w:pStyle w:val="NotesTable-CellPlain"/>
            </w:pPr>
            <w:r>
              <w:t>–</w:t>
            </w:r>
          </w:p>
        </w:tc>
      </w:tr>
      <w:tr w:rsidR="00B97D6B" w14:paraId="038A278B" w14:textId="77777777" w:rsidTr="00E21378">
        <w:trPr>
          <w:cantSplit/>
          <w:trHeight w:hRule="exact" w:val="227"/>
        </w:trPr>
        <w:tc>
          <w:tcPr>
            <w:tcW w:w="810" w:type="pct"/>
            <w:vAlign w:val="bottom"/>
          </w:tcPr>
          <w:p w14:paraId="038A2785" w14:textId="77777777" w:rsidR="00B97D6B" w:rsidRDefault="00B97D6B" w:rsidP="001A5D4A">
            <w:pPr>
              <w:pStyle w:val="Note-Refs"/>
            </w:pPr>
          </w:p>
        </w:tc>
        <w:tc>
          <w:tcPr>
            <w:tcW w:w="2433" w:type="pct"/>
            <w:vAlign w:val="bottom"/>
          </w:tcPr>
          <w:p w14:paraId="038A2786" w14:textId="77777777" w:rsidR="00B97D6B" w:rsidRDefault="00B97D6B" w:rsidP="001A5D4A">
            <w:pPr>
              <w:pStyle w:val="NotesTable-ItemPlain"/>
              <w:rPr>
                <w:b/>
              </w:rPr>
            </w:pPr>
            <w:r>
              <w:t>Net book amount</w:t>
            </w:r>
          </w:p>
        </w:tc>
        <w:tc>
          <w:tcPr>
            <w:tcW w:w="540" w:type="pct"/>
            <w:tcBorders>
              <w:top w:val="single" w:sz="4" w:space="0" w:color="auto"/>
            </w:tcBorders>
            <w:vAlign w:val="bottom"/>
          </w:tcPr>
          <w:p w14:paraId="038A2787" w14:textId="77777777" w:rsidR="00B97D6B" w:rsidRDefault="00B97D6B" w:rsidP="001A5D4A">
            <w:pPr>
              <w:pStyle w:val="NotesTable-CellPlain"/>
            </w:pPr>
            <w:r>
              <w:t>–</w:t>
            </w:r>
          </w:p>
        </w:tc>
        <w:tc>
          <w:tcPr>
            <w:tcW w:w="406" w:type="pct"/>
            <w:tcBorders>
              <w:top w:val="single" w:sz="4" w:space="0" w:color="auto"/>
            </w:tcBorders>
            <w:vAlign w:val="bottom"/>
          </w:tcPr>
          <w:p w14:paraId="038A2788" w14:textId="77777777" w:rsidR="00B97D6B" w:rsidRDefault="00B97D6B" w:rsidP="001A5D4A">
            <w:pPr>
              <w:pStyle w:val="NotesTable-CellPlain"/>
            </w:pPr>
            <w:r>
              <w:t>–</w:t>
            </w:r>
          </w:p>
        </w:tc>
        <w:tc>
          <w:tcPr>
            <w:tcW w:w="406" w:type="pct"/>
            <w:tcBorders>
              <w:top w:val="single" w:sz="4" w:space="0" w:color="auto"/>
            </w:tcBorders>
            <w:vAlign w:val="bottom"/>
          </w:tcPr>
          <w:p w14:paraId="038A2789" w14:textId="77777777" w:rsidR="00B97D6B" w:rsidRDefault="00B97D6B" w:rsidP="001A5D4A">
            <w:pPr>
              <w:pStyle w:val="NotesTable-CellPlain"/>
            </w:pPr>
            <w:r>
              <w:t>–</w:t>
            </w:r>
          </w:p>
        </w:tc>
        <w:tc>
          <w:tcPr>
            <w:tcW w:w="406" w:type="pct"/>
            <w:tcBorders>
              <w:top w:val="single" w:sz="4" w:space="0" w:color="auto"/>
            </w:tcBorders>
            <w:vAlign w:val="bottom"/>
          </w:tcPr>
          <w:p w14:paraId="038A278A" w14:textId="77777777" w:rsidR="00B97D6B" w:rsidRDefault="00B97D6B" w:rsidP="001A5D4A">
            <w:pPr>
              <w:pStyle w:val="NotesTable-CellPlain"/>
            </w:pPr>
            <w:r>
              <w:t>–</w:t>
            </w:r>
          </w:p>
        </w:tc>
      </w:tr>
      <w:tr w:rsidR="00054B09" w14:paraId="038A278E" w14:textId="77777777" w:rsidTr="00E21378">
        <w:trPr>
          <w:cantSplit/>
          <w:trHeight w:hRule="exact" w:val="227"/>
        </w:trPr>
        <w:tc>
          <w:tcPr>
            <w:tcW w:w="810" w:type="pct"/>
            <w:vAlign w:val="bottom"/>
          </w:tcPr>
          <w:p w14:paraId="038A278C" w14:textId="77777777" w:rsidR="00054B09" w:rsidRDefault="00054B09" w:rsidP="001A5D4A">
            <w:pPr>
              <w:pStyle w:val="Note-Refs"/>
            </w:pPr>
          </w:p>
        </w:tc>
        <w:tc>
          <w:tcPr>
            <w:tcW w:w="4190" w:type="pct"/>
            <w:gridSpan w:val="5"/>
            <w:vAlign w:val="bottom"/>
          </w:tcPr>
          <w:p w14:paraId="038A278D" w14:textId="77777777" w:rsidR="00054B09" w:rsidRDefault="00054B09" w:rsidP="001A5D4A">
            <w:pPr>
              <w:pStyle w:val="Note-Text"/>
            </w:pPr>
          </w:p>
        </w:tc>
      </w:tr>
      <w:tr w:rsidR="00054B09" w14:paraId="038A2791" w14:textId="77777777" w:rsidTr="00E21378">
        <w:trPr>
          <w:cantSplit/>
          <w:trHeight w:hRule="exact" w:val="227"/>
        </w:trPr>
        <w:tc>
          <w:tcPr>
            <w:tcW w:w="810" w:type="pct"/>
            <w:vAlign w:val="bottom"/>
          </w:tcPr>
          <w:p w14:paraId="038A278F" w14:textId="77777777" w:rsidR="00054B09" w:rsidRDefault="00054B09" w:rsidP="001A5D4A">
            <w:pPr>
              <w:pStyle w:val="Note-Refs"/>
              <w:rPr>
                <w:b/>
              </w:rPr>
            </w:pPr>
            <w:r>
              <w:t>AASB138.118e</w:t>
            </w:r>
          </w:p>
        </w:tc>
        <w:tc>
          <w:tcPr>
            <w:tcW w:w="4190" w:type="pct"/>
            <w:gridSpan w:val="5"/>
            <w:vAlign w:val="bottom"/>
          </w:tcPr>
          <w:p w14:paraId="038A2790" w14:textId="7967D3B0" w:rsidR="00054B09" w:rsidRDefault="00054B09" w:rsidP="001A5D4A">
            <w:pPr>
              <w:pStyle w:val="Note-TextHeader"/>
              <w:rPr>
                <w:lang w:val="en-GB"/>
              </w:rPr>
            </w:pPr>
            <w:r>
              <w:t xml:space="preserve">Year ended 31 December </w:t>
            </w:r>
            <w:r w:rsidR="006864EC">
              <w:t>2013</w:t>
            </w:r>
          </w:p>
        </w:tc>
      </w:tr>
      <w:tr w:rsidR="00B97D6B" w14:paraId="038A2798" w14:textId="77777777" w:rsidTr="00E21378">
        <w:trPr>
          <w:cantSplit/>
          <w:trHeight w:hRule="exact" w:val="227"/>
        </w:trPr>
        <w:tc>
          <w:tcPr>
            <w:tcW w:w="810" w:type="pct"/>
            <w:vAlign w:val="bottom"/>
          </w:tcPr>
          <w:p w14:paraId="038A2792" w14:textId="77777777" w:rsidR="00B97D6B" w:rsidRDefault="00B97D6B" w:rsidP="001A5D4A">
            <w:pPr>
              <w:pStyle w:val="Note-Refs"/>
            </w:pPr>
          </w:p>
        </w:tc>
        <w:tc>
          <w:tcPr>
            <w:tcW w:w="2433" w:type="pct"/>
            <w:vAlign w:val="bottom"/>
          </w:tcPr>
          <w:p w14:paraId="038A2793" w14:textId="77777777" w:rsidR="00B97D6B" w:rsidRDefault="00B97D6B" w:rsidP="001A5D4A">
            <w:pPr>
              <w:pStyle w:val="NotesTable-ItemPlain"/>
              <w:rPr>
                <w:b/>
              </w:rPr>
            </w:pPr>
            <w:r>
              <w:t>Opening net book amount</w:t>
            </w:r>
          </w:p>
        </w:tc>
        <w:tc>
          <w:tcPr>
            <w:tcW w:w="540" w:type="pct"/>
            <w:vAlign w:val="bottom"/>
          </w:tcPr>
          <w:p w14:paraId="038A2794" w14:textId="77777777" w:rsidR="00B97D6B" w:rsidRDefault="00B97D6B" w:rsidP="001A5D4A">
            <w:pPr>
              <w:pStyle w:val="NotesTable-CellPlain"/>
            </w:pPr>
            <w:r>
              <w:t>–</w:t>
            </w:r>
          </w:p>
        </w:tc>
        <w:tc>
          <w:tcPr>
            <w:tcW w:w="406" w:type="pct"/>
            <w:vAlign w:val="bottom"/>
          </w:tcPr>
          <w:p w14:paraId="038A2795" w14:textId="77777777" w:rsidR="00B97D6B" w:rsidRDefault="00B97D6B" w:rsidP="001A5D4A">
            <w:pPr>
              <w:pStyle w:val="NotesTable-CellPlain"/>
            </w:pPr>
            <w:r>
              <w:t>–</w:t>
            </w:r>
          </w:p>
        </w:tc>
        <w:tc>
          <w:tcPr>
            <w:tcW w:w="406" w:type="pct"/>
            <w:vAlign w:val="bottom"/>
          </w:tcPr>
          <w:p w14:paraId="038A2796" w14:textId="77777777" w:rsidR="00B97D6B" w:rsidRDefault="00B97D6B" w:rsidP="001A5D4A">
            <w:pPr>
              <w:pStyle w:val="NotesTable-CellPlain"/>
            </w:pPr>
            <w:r>
              <w:t>–</w:t>
            </w:r>
          </w:p>
        </w:tc>
        <w:tc>
          <w:tcPr>
            <w:tcW w:w="406" w:type="pct"/>
            <w:vAlign w:val="bottom"/>
          </w:tcPr>
          <w:p w14:paraId="038A2797" w14:textId="77777777" w:rsidR="00B97D6B" w:rsidRDefault="00B97D6B" w:rsidP="001A5D4A">
            <w:pPr>
              <w:pStyle w:val="NotesTable-CellPlain"/>
            </w:pPr>
            <w:r>
              <w:t>–</w:t>
            </w:r>
          </w:p>
        </w:tc>
      </w:tr>
      <w:tr w:rsidR="00B45012" w14:paraId="038A279F" w14:textId="77777777" w:rsidTr="00E21378">
        <w:trPr>
          <w:cantSplit/>
          <w:trHeight w:hRule="exact" w:val="227"/>
        </w:trPr>
        <w:tc>
          <w:tcPr>
            <w:tcW w:w="810" w:type="pct"/>
            <w:vAlign w:val="bottom"/>
          </w:tcPr>
          <w:p w14:paraId="038A2799" w14:textId="77777777" w:rsidR="00B45012" w:rsidRDefault="00B45012" w:rsidP="001A5D4A">
            <w:pPr>
              <w:pStyle w:val="Note-Refs"/>
              <w:rPr>
                <w:b/>
              </w:rPr>
            </w:pPr>
            <w:r>
              <w:t>AASB138.118e(i)</w:t>
            </w:r>
          </w:p>
        </w:tc>
        <w:tc>
          <w:tcPr>
            <w:tcW w:w="2433" w:type="pct"/>
            <w:vAlign w:val="bottom"/>
          </w:tcPr>
          <w:p w14:paraId="038A279A" w14:textId="77777777" w:rsidR="00B45012" w:rsidRDefault="00B45012" w:rsidP="001A5D4A">
            <w:pPr>
              <w:pStyle w:val="NotesTable-ItemPlain"/>
              <w:rPr>
                <w:b/>
              </w:rPr>
            </w:pPr>
            <w:r>
              <w:t>Additions - Internal development</w:t>
            </w:r>
          </w:p>
        </w:tc>
        <w:tc>
          <w:tcPr>
            <w:tcW w:w="540" w:type="pct"/>
            <w:vAlign w:val="bottom"/>
          </w:tcPr>
          <w:p w14:paraId="038A279B" w14:textId="77777777" w:rsidR="00B45012" w:rsidRDefault="00B45012" w:rsidP="001A5D4A">
            <w:pPr>
              <w:pStyle w:val="NotesTable-CellPlain"/>
            </w:pPr>
            <w:r>
              <w:t>–</w:t>
            </w:r>
          </w:p>
        </w:tc>
        <w:tc>
          <w:tcPr>
            <w:tcW w:w="406" w:type="pct"/>
            <w:vAlign w:val="bottom"/>
          </w:tcPr>
          <w:p w14:paraId="038A279C" w14:textId="77777777" w:rsidR="00B45012" w:rsidRDefault="00B45012" w:rsidP="001A5D4A">
            <w:pPr>
              <w:pStyle w:val="NotesTable-CellPlain"/>
            </w:pPr>
            <w:r>
              <w:t>–</w:t>
            </w:r>
          </w:p>
        </w:tc>
        <w:tc>
          <w:tcPr>
            <w:tcW w:w="406" w:type="pct"/>
            <w:vAlign w:val="bottom"/>
          </w:tcPr>
          <w:p w14:paraId="038A279D" w14:textId="77777777" w:rsidR="00B45012" w:rsidRDefault="00B45012" w:rsidP="001A5D4A">
            <w:pPr>
              <w:pStyle w:val="NotesTable-CellPlain"/>
            </w:pPr>
            <w:r>
              <w:t>–</w:t>
            </w:r>
          </w:p>
        </w:tc>
        <w:tc>
          <w:tcPr>
            <w:tcW w:w="406" w:type="pct"/>
            <w:vAlign w:val="bottom"/>
          </w:tcPr>
          <w:p w14:paraId="038A279E" w14:textId="77777777" w:rsidR="00B45012" w:rsidRDefault="00B45012" w:rsidP="001A5D4A">
            <w:pPr>
              <w:pStyle w:val="NotesTable-CellPlain"/>
            </w:pPr>
            <w:r>
              <w:t>–</w:t>
            </w:r>
          </w:p>
        </w:tc>
      </w:tr>
      <w:tr w:rsidR="00B97D6B" w14:paraId="038A27A6" w14:textId="77777777" w:rsidTr="00E21378">
        <w:trPr>
          <w:cantSplit/>
          <w:trHeight w:hRule="exact" w:val="227"/>
        </w:trPr>
        <w:tc>
          <w:tcPr>
            <w:tcW w:w="810" w:type="pct"/>
            <w:vAlign w:val="bottom"/>
          </w:tcPr>
          <w:p w14:paraId="038A27A0" w14:textId="77777777" w:rsidR="00B97D6B" w:rsidRDefault="00B97D6B" w:rsidP="001A5D4A">
            <w:pPr>
              <w:pStyle w:val="Note-Refs"/>
              <w:rPr>
                <w:b/>
              </w:rPr>
            </w:pPr>
            <w:r>
              <w:t>AASB138.118e(i)</w:t>
            </w:r>
          </w:p>
        </w:tc>
        <w:tc>
          <w:tcPr>
            <w:tcW w:w="2433" w:type="pct"/>
            <w:vAlign w:val="bottom"/>
          </w:tcPr>
          <w:p w14:paraId="038A27A1" w14:textId="77777777" w:rsidR="00B97D6B" w:rsidRDefault="00B97D6B" w:rsidP="001A5D4A">
            <w:pPr>
              <w:pStyle w:val="NotesTable-ItemPlain"/>
              <w:rPr>
                <w:b/>
              </w:rPr>
            </w:pPr>
            <w:r>
              <w:t>Additions - Acquisition of subsidiary</w:t>
            </w:r>
          </w:p>
        </w:tc>
        <w:tc>
          <w:tcPr>
            <w:tcW w:w="540" w:type="pct"/>
            <w:vAlign w:val="bottom"/>
          </w:tcPr>
          <w:p w14:paraId="038A27A2" w14:textId="77777777" w:rsidR="00B97D6B" w:rsidRDefault="00B97D6B" w:rsidP="001A5D4A">
            <w:pPr>
              <w:pStyle w:val="NotesTable-CellPlain"/>
            </w:pPr>
            <w:r>
              <w:t>–</w:t>
            </w:r>
          </w:p>
        </w:tc>
        <w:tc>
          <w:tcPr>
            <w:tcW w:w="406" w:type="pct"/>
            <w:vAlign w:val="bottom"/>
          </w:tcPr>
          <w:p w14:paraId="038A27A3" w14:textId="77777777" w:rsidR="00B97D6B" w:rsidRDefault="00B97D6B" w:rsidP="001A5D4A">
            <w:pPr>
              <w:pStyle w:val="NotesTable-CellPlain"/>
            </w:pPr>
            <w:r>
              <w:t>–</w:t>
            </w:r>
          </w:p>
        </w:tc>
        <w:tc>
          <w:tcPr>
            <w:tcW w:w="406" w:type="pct"/>
            <w:vAlign w:val="bottom"/>
          </w:tcPr>
          <w:p w14:paraId="038A27A4" w14:textId="77777777" w:rsidR="00B97D6B" w:rsidRDefault="00B97D6B" w:rsidP="001A5D4A">
            <w:pPr>
              <w:pStyle w:val="NotesTable-CellPlain"/>
            </w:pPr>
            <w:r>
              <w:t>–</w:t>
            </w:r>
          </w:p>
        </w:tc>
        <w:tc>
          <w:tcPr>
            <w:tcW w:w="406" w:type="pct"/>
            <w:vAlign w:val="bottom"/>
          </w:tcPr>
          <w:p w14:paraId="038A27A5" w14:textId="77777777" w:rsidR="00B97D6B" w:rsidRDefault="00B97D6B" w:rsidP="001A5D4A">
            <w:pPr>
              <w:pStyle w:val="NotesTable-CellPlain"/>
            </w:pPr>
            <w:r>
              <w:t>–</w:t>
            </w:r>
          </w:p>
        </w:tc>
      </w:tr>
      <w:tr w:rsidR="00B97D6B" w14:paraId="038A27AD" w14:textId="77777777" w:rsidTr="00E21378">
        <w:trPr>
          <w:cantSplit/>
          <w:trHeight w:hRule="exact" w:val="227"/>
        </w:trPr>
        <w:tc>
          <w:tcPr>
            <w:tcW w:w="810" w:type="pct"/>
            <w:vAlign w:val="bottom"/>
          </w:tcPr>
          <w:p w14:paraId="038A27A7" w14:textId="77777777" w:rsidR="00B97D6B" w:rsidRDefault="00B97D6B" w:rsidP="001A5D4A">
            <w:pPr>
              <w:pStyle w:val="Note-Refs"/>
              <w:rPr>
                <w:b/>
              </w:rPr>
            </w:pPr>
            <w:r>
              <w:t>AASB138.118e(i)</w:t>
            </w:r>
          </w:p>
        </w:tc>
        <w:tc>
          <w:tcPr>
            <w:tcW w:w="2433" w:type="pct"/>
            <w:vAlign w:val="bottom"/>
          </w:tcPr>
          <w:p w14:paraId="038A27A8" w14:textId="77777777" w:rsidR="00B97D6B" w:rsidRDefault="00B97D6B" w:rsidP="001A5D4A">
            <w:pPr>
              <w:pStyle w:val="NotesTable-ItemPlain"/>
              <w:rPr>
                <w:b/>
              </w:rPr>
            </w:pPr>
            <w:r>
              <w:t>Additions - Separately acquired</w:t>
            </w:r>
          </w:p>
        </w:tc>
        <w:tc>
          <w:tcPr>
            <w:tcW w:w="540" w:type="pct"/>
            <w:vAlign w:val="bottom"/>
          </w:tcPr>
          <w:p w14:paraId="038A27A9" w14:textId="77777777" w:rsidR="00B97D6B" w:rsidRDefault="00B97D6B" w:rsidP="001A5D4A">
            <w:pPr>
              <w:pStyle w:val="NotesTable-CellPlain"/>
            </w:pPr>
            <w:r>
              <w:t>–</w:t>
            </w:r>
          </w:p>
        </w:tc>
        <w:tc>
          <w:tcPr>
            <w:tcW w:w="406" w:type="pct"/>
            <w:vAlign w:val="bottom"/>
          </w:tcPr>
          <w:p w14:paraId="038A27AA" w14:textId="77777777" w:rsidR="00B97D6B" w:rsidRDefault="00B97D6B" w:rsidP="001A5D4A">
            <w:pPr>
              <w:pStyle w:val="NotesTable-CellPlain"/>
            </w:pPr>
            <w:r>
              <w:t>–</w:t>
            </w:r>
          </w:p>
        </w:tc>
        <w:tc>
          <w:tcPr>
            <w:tcW w:w="406" w:type="pct"/>
            <w:vAlign w:val="bottom"/>
          </w:tcPr>
          <w:p w14:paraId="038A27AB" w14:textId="77777777" w:rsidR="00B97D6B" w:rsidRDefault="00B97D6B" w:rsidP="001A5D4A">
            <w:pPr>
              <w:pStyle w:val="NotesTable-CellPlain"/>
            </w:pPr>
            <w:r>
              <w:t>–</w:t>
            </w:r>
          </w:p>
        </w:tc>
        <w:tc>
          <w:tcPr>
            <w:tcW w:w="406" w:type="pct"/>
            <w:vAlign w:val="bottom"/>
          </w:tcPr>
          <w:p w14:paraId="038A27AC" w14:textId="77777777" w:rsidR="00B97D6B" w:rsidRDefault="00B97D6B" w:rsidP="001A5D4A">
            <w:pPr>
              <w:pStyle w:val="NotesTable-CellPlain"/>
            </w:pPr>
            <w:r>
              <w:t>–</w:t>
            </w:r>
          </w:p>
        </w:tc>
      </w:tr>
      <w:tr w:rsidR="00B97D6B" w14:paraId="038A27B4" w14:textId="77777777" w:rsidTr="00E21378">
        <w:trPr>
          <w:cantSplit/>
          <w:trHeight w:hRule="exact" w:val="227"/>
        </w:trPr>
        <w:tc>
          <w:tcPr>
            <w:tcW w:w="810" w:type="pct"/>
            <w:vAlign w:val="bottom"/>
          </w:tcPr>
          <w:p w14:paraId="038A27AE" w14:textId="77777777" w:rsidR="00B97D6B" w:rsidRDefault="00B97D6B" w:rsidP="001A5D4A">
            <w:pPr>
              <w:pStyle w:val="Note-Refs"/>
              <w:rPr>
                <w:b/>
              </w:rPr>
            </w:pPr>
            <w:r>
              <w:t>AASB138.118e(ii)</w:t>
            </w:r>
          </w:p>
        </w:tc>
        <w:tc>
          <w:tcPr>
            <w:tcW w:w="2433" w:type="pct"/>
            <w:vAlign w:val="bottom"/>
          </w:tcPr>
          <w:p w14:paraId="038A27AF" w14:textId="77777777" w:rsidR="00B97D6B" w:rsidRDefault="00B97D6B" w:rsidP="001A5D4A">
            <w:pPr>
              <w:pStyle w:val="NotesTable-ItemPlain"/>
              <w:rPr>
                <w:b/>
              </w:rPr>
            </w:pPr>
            <w:r>
              <w:t>Disposals</w:t>
            </w:r>
          </w:p>
        </w:tc>
        <w:tc>
          <w:tcPr>
            <w:tcW w:w="540" w:type="pct"/>
            <w:vAlign w:val="bottom"/>
          </w:tcPr>
          <w:p w14:paraId="038A27B0" w14:textId="77777777" w:rsidR="00B97D6B" w:rsidRDefault="00B97D6B" w:rsidP="001A5D4A">
            <w:pPr>
              <w:pStyle w:val="NotesTable-CellPlain"/>
            </w:pPr>
            <w:r>
              <w:t>–</w:t>
            </w:r>
          </w:p>
        </w:tc>
        <w:tc>
          <w:tcPr>
            <w:tcW w:w="406" w:type="pct"/>
            <w:vAlign w:val="bottom"/>
          </w:tcPr>
          <w:p w14:paraId="038A27B1" w14:textId="77777777" w:rsidR="00B97D6B" w:rsidRDefault="00B97D6B" w:rsidP="001A5D4A">
            <w:pPr>
              <w:pStyle w:val="NotesTable-CellPlain"/>
            </w:pPr>
            <w:r>
              <w:t>–</w:t>
            </w:r>
          </w:p>
        </w:tc>
        <w:tc>
          <w:tcPr>
            <w:tcW w:w="406" w:type="pct"/>
            <w:vAlign w:val="bottom"/>
          </w:tcPr>
          <w:p w14:paraId="038A27B2" w14:textId="77777777" w:rsidR="00B97D6B" w:rsidRDefault="00B97D6B" w:rsidP="001A5D4A">
            <w:pPr>
              <w:pStyle w:val="NotesTable-CellPlain"/>
            </w:pPr>
            <w:r>
              <w:t>–</w:t>
            </w:r>
          </w:p>
        </w:tc>
        <w:tc>
          <w:tcPr>
            <w:tcW w:w="406" w:type="pct"/>
            <w:vAlign w:val="bottom"/>
          </w:tcPr>
          <w:p w14:paraId="038A27B3" w14:textId="77777777" w:rsidR="00B97D6B" w:rsidRDefault="00B97D6B" w:rsidP="001A5D4A">
            <w:pPr>
              <w:pStyle w:val="NotesTable-CellPlain"/>
            </w:pPr>
            <w:r>
              <w:t>–</w:t>
            </w:r>
          </w:p>
        </w:tc>
      </w:tr>
      <w:tr w:rsidR="00B97D6B" w14:paraId="038A27BB" w14:textId="77777777" w:rsidTr="00E21378">
        <w:trPr>
          <w:cantSplit/>
          <w:trHeight w:hRule="exact" w:val="227"/>
        </w:trPr>
        <w:tc>
          <w:tcPr>
            <w:tcW w:w="810" w:type="pct"/>
            <w:vAlign w:val="bottom"/>
          </w:tcPr>
          <w:p w14:paraId="038A27B5" w14:textId="77777777" w:rsidR="00B97D6B" w:rsidRDefault="00B97D6B" w:rsidP="001A5D4A">
            <w:pPr>
              <w:pStyle w:val="Note-Refs"/>
              <w:rPr>
                <w:b/>
              </w:rPr>
            </w:pPr>
            <w:r>
              <w:t>AASB138.118e(iv)</w:t>
            </w:r>
          </w:p>
        </w:tc>
        <w:tc>
          <w:tcPr>
            <w:tcW w:w="2433" w:type="pct"/>
            <w:vAlign w:val="bottom"/>
          </w:tcPr>
          <w:p w14:paraId="038A27B6" w14:textId="77777777" w:rsidR="00B97D6B" w:rsidRDefault="00B97D6B" w:rsidP="001A5D4A">
            <w:pPr>
              <w:pStyle w:val="NotesTable-ItemPlain"/>
              <w:rPr>
                <w:b/>
              </w:rPr>
            </w:pPr>
            <w:r>
              <w:t xml:space="preserve">Impairment losses </w:t>
            </w:r>
          </w:p>
        </w:tc>
        <w:tc>
          <w:tcPr>
            <w:tcW w:w="540" w:type="pct"/>
            <w:vAlign w:val="bottom"/>
          </w:tcPr>
          <w:p w14:paraId="038A27B7" w14:textId="77777777" w:rsidR="00B97D6B" w:rsidRDefault="00B97D6B" w:rsidP="001A5D4A">
            <w:pPr>
              <w:pStyle w:val="NotesTable-CellPlain"/>
            </w:pPr>
            <w:r>
              <w:t>–</w:t>
            </w:r>
          </w:p>
        </w:tc>
        <w:tc>
          <w:tcPr>
            <w:tcW w:w="406" w:type="pct"/>
            <w:vAlign w:val="bottom"/>
          </w:tcPr>
          <w:p w14:paraId="038A27B8" w14:textId="77777777" w:rsidR="00B97D6B" w:rsidRDefault="00B97D6B" w:rsidP="001A5D4A">
            <w:pPr>
              <w:pStyle w:val="NotesTable-CellPlain"/>
            </w:pPr>
            <w:r>
              <w:t>–</w:t>
            </w:r>
          </w:p>
        </w:tc>
        <w:tc>
          <w:tcPr>
            <w:tcW w:w="406" w:type="pct"/>
            <w:vAlign w:val="bottom"/>
          </w:tcPr>
          <w:p w14:paraId="038A27B9" w14:textId="77777777" w:rsidR="00B97D6B" w:rsidRDefault="00B97D6B" w:rsidP="001A5D4A">
            <w:pPr>
              <w:pStyle w:val="NotesTable-CellPlain"/>
            </w:pPr>
            <w:r>
              <w:t>–</w:t>
            </w:r>
          </w:p>
        </w:tc>
        <w:tc>
          <w:tcPr>
            <w:tcW w:w="406" w:type="pct"/>
            <w:vAlign w:val="bottom"/>
          </w:tcPr>
          <w:p w14:paraId="038A27BA" w14:textId="77777777" w:rsidR="00B97D6B" w:rsidRDefault="00B97D6B" w:rsidP="001A5D4A">
            <w:pPr>
              <w:pStyle w:val="NotesTable-CellPlain"/>
            </w:pPr>
            <w:r>
              <w:t>–</w:t>
            </w:r>
          </w:p>
        </w:tc>
      </w:tr>
      <w:tr w:rsidR="00B97D6B" w14:paraId="038A27C2" w14:textId="77777777" w:rsidTr="00E21378">
        <w:trPr>
          <w:cantSplit/>
          <w:trHeight w:hRule="exact" w:val="227"/>
        </w:trPr>
        <w:tc>
          <w:tcPr>
            <w:tcW w:w="810" w:type="pct"/>
            <w:vAlign w:val="bottom"/>
          </w:tcPr>
          <w:p w14:paraId="038A27BC" w14:textId="77777777" w:rsidR="00B97D6B" w:rsidRDefault="00B97D6B" w:rsidP="001A5D4A">
            <w:pPr>
              <w:pStyle w:val="Note-Refs"/>
              <w:rPr>
                <w:b/>
              </w:rPr>
            </w:pPr>
            <w:r>
              <w:t>AASB138.118e(vi)</w:t>
            </w:r>
          </w:p>
        </w:tc>
        <w:tc>
          <w:tcPr>
            <w:tcW w:w="2433" w:type="pct"/>
            <w:vAlign w:val="bottom"/>
          </w:tcPr>
          <w:p w14:paraId="038A27BD" w14:textId="77777777" w:rsidR="00B97D6B" w:rsidRDefault="00B97D6B" w:rsidP="001A5D4A">
            <w:pPr>
              <w:pStyle w:val="NotesTable-ItemPlain"/>
              <w:rPr>
                <w:b/>
              </w:rPr>
            </w:pPr>
            <w:r>
              <w:t xml:space="preserve">Amortisation charge </w:t>
            </w:r>
          </w:p>
        </w:tc>
        <w:tc>
          <w:tcPr>
            <w:tcW w:w="540" w:type="pct"/>
            <w:tcBorders>
              <w:bottom w:val="single" w:sz="4" w:space="0" w:color="auto"/>
            </w:tcBorders>
            <w:vAlign w:val="bottom"/>
          </w:tcPr>
          <w:p w14:paraId="038A27BE" w14:textId="77777777" w:rsidR="00B97D6B" w:rsidRDefault="00B97D6B" w:rsidP="001A5D4A">
            <w:pPr>
              <w:pStyle w:val="NotesTable-CellPlain"/>
            </w:pPr>
            <w:r>
              <w:t>–</w:t>
            </w:r>
          </w:p>
        </w:tc>
        <w:tc>
          <w:tcPr>
            <w:tcW w:w="406" w:type="pct"/>
            <w:tcBorders>
              <w:bottom w:val="single" w:sz="4" w:space="0" w:color="auto"/>
            </w:tcBorders>
            <w:vAlign w:val="bottom"/>
          </w:tcPr>
          <w:p w14:paraId="038A27BF" w14:textId="77777777" w:rsidR="00B97D6B" w:rsidRDefault="00B97D6B" w:rsidP="001A5D4A">
            <w:pPr>
              <w:pStyle w:val="NotesTable-CellPlain"/>
            </w:pPr>
            <w:r>
              <w:t>–</w:t>
            </w:r>
          </w:p>
        </w:tc>
        <w:tc>
          <w:tcPr>
            <w:tcW w:w="406" w:type="pct"/>
            <w:tcBorders>
              <w:bottom w:val="single" w:sz="4" w:space="0" w:color="auto"/>
            </w:tcBorders>
            <w:vAlign w:val="bottom"/>
          </w:tcPr>
          <w:p w14:paraId="038A27C0" w14:textId="77777777" w:rsidR="00B97D6B" w:rsidRDefault="00B97D6B" w:rsidP="001A5D4A">
            <w:pPr>
              <w:pStyle w:val="NotesTable-CellPlain"/>
            </w:pPr>
            <w:r>
              <w:t>–</w:t>
            </w:r>
          </w:p>
        </w:tc>
        <w:tc>
          <w:tcPr>
            <w:tcW w:w="406" w:type="pct"/>
            <w:tcBorders>
              <w:bottom w:val="single" w:sz="4" w:space="0" w:color="auto"/>
            </w:tcBorders>
            <w:vAlign w:val="bottom"/>
          </w:tcPr>
          <w:p w14:paraId="038A27C1" w14:textId="77777777" w:rsidR="00B97D6B" w:rsidRDefault="00B97D6B" w:rsidP="001A5D4A">
            <w:pPr>
              <w:pStyle w:val="NotesTable-CellPlain"/>
            </w:pPr>
            <w:r>
              <w:t>–</w:t>
            </w:r>
          </w:p>
        </w:tc>
      </w:tr>
      <w:tr w:rsidR="00B97D6B" w14:paraId="038A27C9" w14:textId="77777777" w:rsidTr="00E21378">
        <w:trPr>
          <w:cantSplit/>
          <w:trHeight w:hRule="exact" w:val="227"/>
        </w:trPr>
        <w:tc>
          <w:tcPr>
            <w:tcW w:w="810" w:type="pct"/>
            <w:vAlign w:val="bottom"/>
          </w:tcPr>
          <w:p w14:paraId="038A27C3" w14:textId="77777777" w:rsidR="00B97D6B" w:rsidRDefault="00B97D6B" w:rsidP="001A5D4A">
            <w:pPr>
              <w:pStyle w:val="Note-Refs"/>
            </w:pPr>
          </w:p>
        </w:tc>
        <w:tc>
          <w:tcPr>
            <w:tcW w:w="2433" w:type="pct"/>
            <w:vAlign w:val="bottom"/>
          </w:tcPr>
          <w:p w14:paraId="038A27C4" w14:textId="77777777" w:rsidR="00B97D6B" w:rsidRDefault="00B97D6B" w:rsidP="001A5D4A">
            <w:pPr>
              <w:pStyle w:val="NotesTable-ItemPlain"/>
              <w:rPr>
                <w:b/>
              </w:rPr>
            </w:pPr>
            <w:r>
              <w:t>Closing net book amount</w:t>
            </w:r>
          </w:p>
        </w:tc>
        <w:tc>
          <w:tcPr>
            <w:tcW w:w="540" w:type="pct"/>
            <w:tcBorders>
              <w:top w:val="single" w:sz="4" w:space="0" w:color="auto"/>
            </w:tcBorders>
            <w:vAlign w:val="bottom"/>
          </w:tcPr>
          <w:p w14:paraId="038A27C5" w14:textId="77777777" w:rsidR="00B97D6B" w:rsidRDefault="00B97D6B" w:rsidP="001A5D4A">
            <w:pPr>
              <w:pStyle w:val="NotesTable-CellPlain"/>
            </w:pPr>
            <w:r>
              <w:t>–</w:t>
            </w:r>
          </w:p>
        </w:tc>
        <w:tc>
          <w:tcPr>
            <w:tcW w:w="406" w:type="pct"/>
            <w:tcBorders>
              <w:top w:val="single" w:sz="4" w:space="0" w:color="auto"/>
            </w:tcBorders>
            <w:vAlign w:val="bottom"/>
          </w:tcPr>
          <w:p w14:paraId="038A27C6" w14:textId="77777777" w:rsidR="00B97D6B" w:rsidRDefault="00B97D6B" w:rsidP="001A5D4A">
            <w:pPr>
              <w:pStyle w:val="NotesTable-CellPlain"/>
            </w:pPr>
            <w:r>
              <w:t>–</w:t>
            </w:r>
          </w:p>
        </w:tc>
        <w:tc>
          <w:tcPr>
            <w:tcW w:w="406" w:type="pct"/>
            <w:tcBorders>
              <w:top w:val="single" w:sz="4" w:space="0" w:color="auto"/>
            </w:tcBorders>
            <w:vAlign w:val="bottom"/>
          </w:tcPr>
          <w:p w14:paraId="038A27C7" w14:textId="77777777" w:rsidR="00B97D6B" w:rsidRDefault="00B97D6B" w:rsidP="001A5D4A">
            <w:pPr>
              <w:pStyle w:val="NotesTable-CellPlain"/>
            </w:pPr>
            <w:r>
              <w:t>–</w:t>
            </w:r>
          </w:p>
        </w:tc>
        <w:tc>
          <w:tcPr>
            <w:tcW w:w="406" w:type="pct"/>
            <w:tcBorders>
              <w:top w:val="single" w:sz="4" w:space="0" w:color="auto"/>
            </w:tcBorders>
            <w:vAlign w:val="bottom"/>
          </w:tcPr>
          <w:p w14:paraId="038A27C8" w14:textId="77777777" w:rsidR="00B97D6B" w:rsidRDefault="00B97D6B" w:rsidP="001A5D4A">
            <w:pPr>
              <w:pStyle w:val="NotesTable-CellPlain"/>
            </w:pPr>
            <w:r>
              <w:t>–</w:t>
            </w:r>
          </w:p>
        </w:tc>
      </w:tr>
      <w:tr w:rsidR="00054B09" w14:paraId="038A27CC" w14:textId="77777777" w:rsidTr="00E21378">
        <w:trPr>
          <w:cantSplit/>
          <w:trHeight w:hRule="exact" w:val="227"/>
        </w:trPr>
        <w:tc>
          <w:tcPr>
            <w:tcW w:w="810" w:type="pct"/>
            <w:vAlign w:val="bottom"/>
          </w:tcPr>
          <w:p w14:paraId="038A27CA" w14:textId="77777777" w:rsidR="00054B09" w:rsidRDefault="00054B09" w:rsidP="001A5D4A">
            <w:pPr>
              <w:pStyle w:val="Note-Refs"/>
            </w:pPr>
          </w:p>
        </w:tc>
        <w:tc>
          <w:tcPr>
            <w:tcW w:w="4190" w:type="pct"/>
            <w:gridSpan w:val="5"/>
            <w:vAlign w:val="bottom"/>
          </w:tcPr>
          <w:p w14:paraId="038A27CB" w14:textId="77777777" w:rsidR="00054B09" w:rsidRDefault="00054B09" w:rsidP="001A5D4A">
            <w:pPr>
              <w:pStyle w:val="NotesTable-ItemPlain"/>
            </w:pPr>
          </w:p>
        </w:tc>
      </w:tr>
      <w:tr w:rsidR="00054B09" w14:paraId="038A27CF" w14:textId="77777777" w:rsidTr="00E21378">
        <w:trPr>
          <w:cantSplit/>
          <w:trHeight w:hRule="exact" w:val="227"/>
        </w:trPr>
        <w:tc>
          <w:tcPr>
            <w:tcW w:w="810" w:type="pct"/>
            <w:vAlign w:val="bottom"/>
          </w:tcPr>
          <w:p w14:paraId="038A27CD" w14:textId="77777777" w:rsidR="00054B09" w:rsidRDefault="00054B09" w:rsidP="001A5D4A">
            <w:pPr>
              <w:pStyle w:val="Note-Refs"/>
              <w:rPr>
                <w:b/>
              </w:rPr>
            </w:pPr>
            <w:r>
              <w:t>AASB138.118c</w:t>
            </w:r>
          </w:p>
        </w:tc>
        <w:tc>
          <w:tcPr>
            <w:tcW w:w="4190" w:type="pct"/>
            <w:gridSpan w:val="5"/>
            <w:vAlign w:val="bottom"/>
          </w:tcPr>
          <w:p w14:paraId="038A27CE" w14:textId="1F310E7C" w:rsidR="00054B09" w:rsidRDefault="00054B09" w:rsidP="001A5D4A">
            <w:pPr>
              <w:pStyle w:val="Note-TextHeader"/>
              <w:rPr>
                <w:lang w:val="en-GB"/>
              </w:rPr>
            </w:pPr>
            <w:r>
              <w:t xml:space="preserve">At 31 December </w:t>
            </w:r>
            <w:r w:rsidR="006864EC">
              <w:t>2013</w:t>
            </w:r>
          </w:p>
        </w:tc>
      </w:tr>
      <w:tr w:rsidR="00B97D6B" w14:paraId="038A27D6" w14:textId="77777777" w:rsidTr="00E21378">
        <w:trPr>
          <w:cantSplit/>
          <w:trHeight w:hRule="exact" w:val="227"/>
        </w:trPr>
        <w:tc>
          <w:tcPr>
            <w:tcW w:w="810" w:type="pct"/>
            <w:vAlign w:val="bottom"/>
          </w:tcPr>
          <w:p w14:paraId="038A27D0" w14:textId="77777777" w:rsidR="00B97D6B" w:rsidRDefault="00B97D6B" w:rsidP="001A5D4A">
            <w:pPr>
              <w:pStyle w:val="Note-Refs"/>
            </w:pPr>
          </w:p>
        </w:tc>
        <w:tc>
          <w:tcPr>
            <w:tcW w:w="2433" w:type="pct"/>
            <w:vAlign w:val="bottom"/>
          </w:tcPr>
          <w:p w14:paraId="038A27D1" w14:textId="77777777" w:rsidR="00B97D6B" w:rsidRDefault="00B97D6B" w:rsidP="001A5D4A">
            <w:pPr>
              <w:pStyle w:val="NotesTable-ItemPlain"/>
              <w:rPr>
                <w:b/>
              </w:rPr>
            </w:pPr>
            <w:r>
              <w:t>Cost</w:t>
            </w:r>
          </w:p>
        </w:tc>
        <w:tc>
          <w:tcPr>
            <w:tcW w:w="540" w:type="pct"/>
            <w:vAlign w:val="bottom"/>
          </w:tcPr>
          <w:p w14:paraId="038A27D2" w14:textId="77777777" w:rsidR="00B97D6B" w:rsidRDefault="00B97D6B" w:rsidP="001A5D4A">
            <w:pPr>
              <w:pStyle w:val="NotesTable-CellPlain"/>
            </w:pPr>
            <w:r>
              <w:t>–</w:t>
            </w:r>
          </w:p>
        </w:tc>
        <w:tc>
          <w:tcPr>
            <w:tcW w:w="406" w:type="pct"/>
            <w:vAlign w:val="bottom"/>
          </w:tcPr>
          <w:p w14:paraId="038A27D3" w14:textId="77777777" w:rsidR="00B97D6B" w:rsidRDefault="00B97D6B" w:rsidP="001A5D4A">
            <w:pPr>
              <w:pStyle w:val="NotesTable-CellPlain"/>
            </w:pPr>
            <w:r>
              <w:t>–</w:t>
            </w:r>
          </w:p>
        </w:tc>
        <w:tc>
          <w:tcPr>
            <w:tcW w:w="406" w:type="pct"/>
            <w:vAlign w:val="bottom"/>
          </w:tcPr>
          <w:p w14:paraId="038A27D4" w14:textId="77777777" w:rsidR="00B97D6B" w:rsidRDefault="00B97D6B" w:rsidP="001A5D4A">
            <w:pPr>
              <w:pStyle w:val="NotesTable-CellPlain"/>
            </w:pPr>
            <w:r>
              <w:t>–</w:t>
            </w:r>
          </w:p>
        </w:tc>
        <w:tc>
          <w:tcPr>
            <w:tcW w:w="406" w:type="pct"/>
            <w:vAlign w:val="bottom"/>
          </w:tcPr>
          <w:p w14:paraId="038A27D5" w14:textId="77777777" w:rsidR="00B97D6B" w:rsidRDefault="00B97D6B" w:rsidP="001A5D4A">
            <w:pPr>
              <w:pStyle w:val="NotesTable-CellPlain"/>
            </w:pPr>
            <w:r>
              <w:t>–</w:t>
            </w:r>
          </w:p>
        </w:tc>
      </w:tr>
      <w:tr w:rsidR="00B97D6B" w14:paraId="038A27DD" w14:textId="77777777" w:rsidTr="00E21378">
        <w:trPr>
          <w:cantSplit/>
          <w:trHeight w:hRule="exact" w:val="227"/>
        </w:trPr>
        <w:tc>
          <w:tcPr>
            <w:tcW w:w="810" w:type="pct"/>
            <w:vAlign w:val="bottom"/>
          </w:tcPr>
          <w:p w14:paraId="038A27D7" w14:textId="77777777" w:rsidR="00B97D6B" w:rsidRDefault="00B97D6B" w:rsidP="001A5D4A">
            <w:pPr>
              <w:pStyle w:val="Note-Refs"/>
            </w:pPr>
          </w:p>
        </w:tc>
        <w:tc>
          <w:tcPr>
            <w:tcW w:w="2433" w:type="pct"/>
            <w:vAlign w:val="bottom"/>
          </w:tcPr>
          <w:p w14:paraId="038A27D8" w14:textId="77777777" w:rsidR="00B97D6B" w:rsidRDefault="00B97D6B" w:rsidP="001A5D4A">
            <w:pPr>
              <w:pStyle w:val="NotesTable-ItemPlain"/>
              <w:rPr>
                <w:b/>
              </w:rPr>
            </w:pPr>
            <w:r>
              <w:t xml:space="preserve">Accumulated amortisation and impairment </w:t>
            </w:r>
          </w:p>
        </w:tc>
        <w:tc>
          <w:tcPr>
            <w:tcW w:w="540" w:type="pct"/>
            <w:tcBorders>
              <w:bottom w:val="single" w:sz="4" w:space="0" w:color="auto"/>
            </w:tcBorders>
            <w:vAlign w:val="bottom"/>
          </w:tcPr>
          <w:p w14:paraId="038A27D9" w14:textId="77777777" w:rsidR="00B97D6B" w:rsidRDefault="00B97D6B" w:rsidP="001A5D4A">
            <w:pPr>
              <w:pStyle w:val="NotesTable-CellPlain"/>
            </w:pPr>
            <w:r>
              <w:t>–</w:t>
            </w:r>
          </w:p>
        </w:tc>
        <w:tc>
          <w:tcPr>
            <w:tcW w:w="406" w:type="pct"/>
            <w:tcBorders>
              <w:bottom w:val="single" w:sz="4" w:space="0" w:color="auto"/>
            </w:tcBorders>
            <w:vAlign w:val="bottom"/>
          </w:tcPr>
          <w:p w14:paraId="038A27DA" w14:textId="77777777" w:rsidR="00B97D6B" w:rsidRDefault="00B97D6B" w:rsidP="001A5D4A">
            <w:pPr>
              <w:pStyle w:val="NotesTable-CellPlain"/>
            </w:pPr>
            <w:r>
              <w:t>–</w:t>
            </w:r>
          </w:p>
        </w:tc>
        <w:tc>
          <w:tcPr>
            <w:tcW w:w="406" w:type="pct"/>
            <w:tcBorders>
              <w:bottom w:val="single" w:sz="4" w:space="0" w:color="auto"/>
            </w:tcBorders>
            <w:vAlign w:val="bottom"/>
          </w:tcPr>
          <w:p w14:paraId="038A27DB" w14:textId="77777777" w:rsidR="00B97D6B" w:rsidRDefault="00B97D6B" w:rsidP="001A5D4A">
            <w:pPr>
              <w:pStyle w:val="NotesTable-CellPlain"/>
            </w:pPr>
            <w:r>
              <w:t>–</w:t>
            </w:r>
          </w:p>
        </w:tc>
        <w:tc>
          <w:tcPr>
            <w:tcW w:w="406" w:type="pct"/>
            <w:tcBorders>
              <w:bottom w:val="single" w:sz="4" w:space="0" w:color="auto"/>
            </w:tcBorders>
            <w:vAlign w:val="bottom"/>
          </w:tcPr>
          <w:p w14:paraId="038A27DC" w14:textId="77777777" w:rsidR="00B97D6B" w:rsidRDefault="00B97D6B" w:rsidP="001A5D4A">
            <w:pPr>
              <w:pStyle w:val="NotesTable-CellPlain"/>
            </w:pPr>
            <w:r>
              <w:t>–</w:t>
            </w:r>
          </w:p>
        </w:tc>
      </w:tr>
      <w:tr w:rsidR="00B97D6B" w14:paraId="038A27E4" w14:textId="77777777" w:rsidTr="00E21378">
        <w:trPr>
          <w:cantSplit/>
          <w:trHeight w:hRule="exact" w:val="227"/>
        </w:trPr>
        <w:tc>
          <w:tcPr>
            <w:tcW w:w="810" w:type="pct"/>
            <w:vAlign w:val="bottom"/>
          </w:tcPr>
          <w:p w14:paraId="038A27DE" w14:textId="77777777" w:rsidR="00B97D6B" w:rsidRDefault="00B97D6B" w:rsidP="001A5D4A">
            <w:pPr>
              <w:pStyle w:val="Note-Refs"/>
            </w:pPr>
          </w:p>
        </w:tc>
        <w:tc>
          <w:tcPr>
            <w:tcW w:w="2433" w:type="pct"/>
            <w:vAlign w:val="bottom"/>
          </w:tcPr>
          <w:p w14:paraId="038A27DF" w14:textId="77777777" w:rsidR="00B97D6B" w:rsidRDefault="00B97D6B" w:rsidP="001A5D4A">
            <w:pPr>
              <w:pStyle w:val="NotesTable-ItemPlain"/>
              <w:rPr>
                <w:b/>
              </w:rPr>
            </w:pPr>
            <w:r>
              <w:t>Net book amount</w:t>
            </w:r>
          </w:p>
        </w:tc>
        <w:tc>
          <w:tcPr>
            <w:tcW w:w="540" w:type="pct"/>
            <w:tcBorders>
              <w:top w:val="single" w:sz="4" w:space="0" w:color="auto"/>
            </w:tcBorders>
            <w:vAlign w:val="bottom"/>
          </w:tcPr>
          <w:p w14:paraId="038A27E0" w14:textId="77777777" w:rsidR="00B97D6B" w:rsidRDefault="00B97D6B" w:rsidP="001A5D4A">
            <w:pPr>
              <w:pStyle w:val="NotesTable-CellPlain"/>
            </w:pPr>
            <w:r>
              <w:t>–</w:t>
            </w:r>
          </w:p>
        </w:tc>
        <w:tc>
          <w:tcPr>
            <w:tcW w:w="406" w:type="pct"/>
            <w:tcBorders>
              <w:top w:val="single" w:sz="4" w:space="0" w:color="auto"/>
            </w:tcBorders>
            <w:vAlign w:val="bottom"/>
          </w:tcPr>
          <w:p w14:paraId="038A27E1" w14:textId="77777777" w:rsidR="00B97D6B" w:rsidRDefault="00B97D6B" w:rsidP="001A5D4A">
            <w:pPr>
              <w:pStyle w:val="NotesTable-CellPlain"/>
            </w:pPr>
            <w:r>
              <w:t>–</w:t>
            </w:r>
          </w:p>
        </w:tc>
        <w:tc>
          <w:tcPr>
            <w:tcW w:w="406" w:type="pct"/>
            <w:tcBorders>
              <w:top w:val="single" w:sz="4" w:space="0" w:color="auto"/>
            </w:tcBorders>
            <w:vAlign w:val="bottom"/>
          </w:tcPr>
          <w:p w14:paraId="038A27E2" w14:textId="77777777" w:rsidR="00B97D6B" w:rsidRDefault="00B97D6B" w:rsidP="001A5D4A">
            <w:pPr>
              <w:pStyle w:val="NotesTable-CellPlain"/>
            </w:pPr>
            <w:r>
              <w:t>–</w:t>
            </w:r>
          </w:p>
        </w:tc>
        <w:tc>
          <w:tcPr>
            <w:tcW w:w="406" w:type="pct"/>
            <w:tcBorders>
              <w:top w:val="single" w:sz="4" w:space="0" w:color="auto"/>
            </w:tcBorders>
            <w:vAlign w:val="bottom"/>
          </w:tcPr>
          <w:p w14:paraId="038A27E3" w14:textId="77777777" w:rsidR="00B97D6B" w:rsidRDefault="00B97D6B" w:rsidP="001A5D4A">
            <w:pPr>
              <w:pStyle w:val="NotesTable-CellPlain"/>
            </w:pPr>
            <w:r>
              <w:t>–</w:t>
            </w:r>
          </w:p>
        </w:tc>
      </w:tr>
      <w:tr w:rsidR="000E0FA0" w14:paraId="038A27E7" w14:textId="77777777" w:rsidTr="00E21378">
        <w:trPr>
          <w:cantSplit/>
          <w:trHeight w:hRule="exact" w:val="227"/>
        </w:trPr>
        <w:tc>
          <w:tcPr>
            <w:tcW w:w="810" w:type="pct"/>
            <w:vAlign w:val="bottom"/>
          </w:tcPr>
          <w:p w14:paraId="038A27E5" w14:textId="77777777" w:rsidR="000E0FA0" w:rsidRDefault="000E0FA0" w:rsidP="001A5D4A">
            <w:pPr>
              <w:pStyle w:val="Note-Refs"/>
            </w:pPr>
          </w:p>
        </w:tc>
        <w:tc>
          <w:tcPr>
            <w:tcW w:w="4190" w:type="pct"/>
            <w:gridSpan w:val="5"/>
            <w:vAlign w:val="bottom"/>
          </w:tcPr>
          <w:p w14:paraId="038A27E6" w14:textId="77777777" w:rsidR="000E0FA0" w:rsidRDefault="000E0FA0" w:rsidP="001A5D4A">
            <w:pPr>
              <w:pStyle w:val="NotesTable-ItemPlain"/>
            </w:pPr>
          </w:p>
        </w:tc>
      </w:tr>
      <w:tr w:rsidR="002322B7" w14:paraId="038A27EE" w14:textId="77777777" w:rsidTr="00E21378">
        <w:trPr>
          <w:cantSplit/>
          <w:trHeight w:val="227"/>
        </w:trPr>
        <w:tc>
          <w:tcPr>
            <w:tcW w:w="810" w:type="pct"/>
            <w:vAlign w:val="bottom"/>
          </w:tcPr>
          <w:p w14:paraId="038A27E8" w14:textId="77777777" w:rsidR="002322B7" w:rsidRDefault="002322B7" w:rsidP="001A5D4A">
            <w:pPr>
              <w:pStyle w:val="Note-Refs"/>
            </w:pPr>
          </w:p>
        </w:tc>
        <w:tc>
          <w:tcPr>
            <w:tcW w:w="2433" w:type="pct"/>
            <w:vAlign w:val="bottom"/>
          </w:tcPr>
          <w:p w14:paraId="038A27E9" w14:textId="77777777" w:rsidR="002322B7" w:rsidRDefault="002322B7" w:rsidP="001A5D4A">
            <w:pPr>
              <w:pStyle w:val="NotesTable-ItemPlain"/>
            </w:pPr>
          </w:p>
        </w:tc>
        <w:tc>
          <w:tcPr>
            <w:tcW w:w="540" w:type="pct"/>
            <w:vAlign w:val="bottom"/>
          </w:tcPr>
          <w:p w14:paraId="038A27EA" w14:textId="77777777" w:rsidR="002322B7" w:rsidRDefault="002322B7" w:rsidP="001A5D4A">
            <w:pPr>
              <w:pStyle w:val="NotesTable-HeadPlain"/>
              <w:rPr>
                <w:b/>
              </w:rPr>
            </w:pPr>
            <w:r>
              <w:t>Development costs</w:t>
            </w:r>
          </w:p>
        </w:tc>
        <w:tc>
          <w:tcPr>
            <w:tcW w:w="406" w:type="pct"/>
            <w:vAlign w:val="bottom"/>
          </w:tcPr>
          <w:p w14:paraId="038A27EB" w14:textId="77777777" w:rsidR="002322B7" w:rsidRDefault="002322B7" w:rsidP="001A5D4A">
            <w:pPr>
              <w:pStyle w:val="NotesTable-HeadPlain"/>
              <w:rPr>
                <w:b/>
              </w:rPr>
            </w:pPr>
            <w:r>
              <w:t>[Specify]</w:t>
            </w:r>
          </w:p>
        </w:tc>
        <w:tc>
          <w:tcPr>
            <w:tcW w:w="406" w:type="pct"/>
            <w:vAlign w:val="bottom"/>
          </w:tcPr>
          <w:p w14:paraId="038A27EC" w14:textId="77777777" w:rsidR="002322B7" w:rsidRDefault="002322B7" w:rsidP="001A5D4A">
            <w:pPr>
              <w:pStyle w:val="NotesTable-HeadPlain"/>
              <w:rPr>
                <w:b/>
              </w:rPr>
            </w:pPr>
            <w:r>
              <w:t>[Specify]</w:t>
            </w:r>
          </w:p>
        </w:tc>
        <w:tc>
          <w:tcPr>
            <w:tcW w:w="406" w:type="pct"/>
            <w:vAlign w:val="bottom"/>
          </w:tcPr>
          <w:p w14:paraId="038A27ED" w14:textId="77777777" w:rsidR="002322B7" w:rsidRDefault="002322B7" w:rsidP="001A5D4A">
            <w:pPr>
              <w:pStyle w:val="NotesTable-HeadPlain"/>
              <w:rPr>
                <w:b/>
              </w:rPr>
            </w:pPr>
            <w:r>
              <w:t>Total</w:t>
            </w:r>
          </w:p>
        </w:tc>
      </w:tr>
      <w:tr w:rsidR="002322B7" w14:paraId="038A27F5" w14:textId="77777777" w:rsidTr="00E21378">
        <w:trPr>
          <w:cantSplit/>
          <w:trHeight w:hRule="exact" w:val="227"/>
        </w:trPr>
        <w:tc>
          <w:tcPr>
            <w:tcW w:w="810" w:type="pct"/>
            <w:vAlign w:val="bottom"/>
          </w:tcPr>
          <w:p w14:paraId="038A27EF" w14:textId="77777777" w:rsidR="002322B7" w:rsidRDefault="002322B7" w:rsidP="001A5D4A">
            <w:pPr>
              <w:pStyle w:val="Note-Refs"/>
            </w:pPr>
          </w:p>
        </w:tc>
        <w:tc>
          <w:tcPr>
            <w:tcW w:w="2433" w:type="pct"/>
            <w:vAlign w:val="bottom"/>
          </w:tcPr>
          <w:p w14:paraId="038A27F0" w14:textId="77777777" w:rsidR="002322B7" w:rsidRDefault="00054B09" w:rsidP="001A5D4A">
            <w:pPr>
              <w:pStyle w:val="NotesTable-ItemBold"/>
            </w:pPr>
            <w:r>
              <w:t>Consolidated</w:t>
            </w:r>
          </w:p>
        </w:tc>
        <w:tc>
          <w:tcPr>
            <w:tcW w:w="540" w:type="pct"/>
            <w:vAlign w:val="bottom"/>
          </w:tcPr>
          <w:p w14:paraId="038A27F1" w14:textId="77777777" w:rsidR="002322B7" w:rsidRDefault="002322B7" w:rsidP="001A5D4A">
            <w:pPr>
              <w:pStyle w:val="NotesTable-HeadPlain"/>
              <w:rPr>
                <w:b/>
              </w:rPr>
            </w:pPr>
            <w:r>
              <w:t>$’000</w:t>
            </w:r>
          </w:p>
        </w:tc>
        <w:tc>
          <w:tcPr>
            <w:tcW w:w="406" w:type="pct"/>
            <w:vAlign w:val="bottom"/>
          </w:tcPr>
          <w:p w14:paraId="038A27F2" w14:textId="77777777" w:rsidR="002322B7" w:rsidRDefault="002322B7" w:rsidP="001A5D4A">
            <w:pPr>
              <w:pStyle w:val="NotesTable-HeadPlain"/>
              <w:rPr>
                <w:b/>
              </w:rPr>
            </w:pPr>
            <w:r>
              <w:t>$’000</w:t>
            </w:r>
          </w:p>
        </w:tc>
        <w:tc>
          <w:tcPr>
            <w:tcW w:w="406" w:type="pct"/>
            <w:vAlign w:val="bottom"/>
          </w:tcPr>
          <w:p w14:paraId="038A27F3" w14:textId="77777777" w:rsidR="002322B7" w:rsidRDefault="002322B7" w:rsidP="001A5D4A">
            <w:pPr>
              <w:pStyle w:val="NotesTable-HeadPlain"/>
              <w:rPr>
                <w:b/>
              </w:rPr>
            </w:pPr>
            <w:r>
              <w:t>$’000</w:t>
            </w:r>
          </w:p>
        </w:tc>
        <w:tc>
          <w:tcPr>
            <w:tcW w:w="406" w:type="pct"/>
            <w:vAlign w:val="bottom"/>
          </w:tcPr>
          <w:p w14:paraId="038A27F4" w14:textId="77777777" w:rsidR="002322B7" w:rsidRDefault="002322B7" w:rsidP="001A5D4A">
            <w:pPr>
              <w:pStyle w:val="NotesTable-HeadPlain"/>
              <w:rPr>
                <w:b/>
              </w:rPr>
            </w:pPr>
            <w:r>
              <w:t>$’000</w:t>
            </w:r>
          </w:p>
        </w:tc>
      </w:tr>
      <w:tr w:rsidR="00054B09" w14:paraId="038A27FC" w14:textId="77777777" w:rsidTr="00E21378">
        <w:trPr>
          <w:cantSplit/>
          <w:trHeight w:hRule="exact" w:val="227"/>
        </w:trPr>
        <w:tc>
          <w:tcPr>
            <w:tcW w:w="810" w:type="pct"/>
            <w:vAlign w:val="bottom"/>
          </w:tcPr>
          <w:p w14:paraId="038A27F6" w14:textId="77777777" w:rsidR="00054B09" w:rsidRPr="00635008" w:rsidRDefault="00054B09" w:rsidP="001A5D4A">
            <w:pPr>
              <w:pStyle w:val="Note-Refs"/>
            </w:pPr>
          </w:p>
        </w:tc>
        <w:tc>
          <w:tcPr>
            <w:tcW w:w="2433" w:type="pct"/>
            <w:vAlign w:val="bottom"/>
          </w:tcPr>
          <w:p w14:paraId="038A27F7" w14:textId="77777777" w:rsidR="00054B09" w:rsidRDefault="00054B09" w:rsidP="001A5D4A">
            <w:pPr>
              <w:pStyle w:val="NotesTable-ItemPlain"/>
            </w:pPr>
          </w:p>
        </w:tc>
        <w:tc>
          <w:tcPr>
            <w:tcW w:w="540" w:type="pct"/>
            <w:vAlign w:val="bottom"/>
          </w:tcPr>
          <w:p w14:paraId="038A27F8" w14:textId="77777777" w:rsidR="00054B09" w:rsidRDefault="00054B09" w:rsidP="001A5D4A">
            <w:pPr>
              <w:pStyle w:val="NotesTable-CellPlain"/>
            </w:pPr>
          </w:p>
        </w:tc>
        <w:tc>
          <w:tcPr>
            <w:tcW w:w="406" w:type="pct"/>
            <w:vAlign w:val="bottom"/>
          </w:tcPr>
          <w:p w14:paraId="038A27F9" w14:textId="77777777" w:rsidR="00054B09" w:rsidRDefault="00054B09" w:rsidP="001A5D4A">
            <w:pPr>
              <w:pStyle w:val="NotesTable-CellPlain"/>
            </w:pPr>
          </w:p>
        </w:tc>
        <w:tc>
          <w:tcPr>
            <w:tcW w:w="406" w:type="pct"/>
            <w:vAlign w:val="bottom"/>
          </w:tcPr>
          <w:p w14:paraId="038A27FA" w14:textId="77777777" w:rsidR="00054B09" w:rsidRDefault="00054B09" w:rsidP="001A5D4A">
            <w:pPr>
              <w:pStyle w:val="NotesTable-CellPlain"/>
            </w:pPr>
          </w:p>
        </w:tc>
        <w:tc>
          <w:tcPr>
            <w:tcW w:w="406" w:type="pct"/>
            <w:vAlign w:val="bottom"/>
          </w:tcPr>
          <w:p w14:paraId="038A27FB" w14:textId="77777777" w:rsidR="00054B09" w:rsidRDefault="00054B09" w:rsidP="001A5D4A">
            <w:pPr>
              <w:pStyle w:val="NotesTable-CellPlain"/>
            </w:pPr>
          </w:p>
        </w:tc>
      </w:tr>
      <w:tr w:rsidR="00054B09" w14:paraId="038A27FF" w14:textId="77777777" w:rsidTr="00E21378">
        <w:trPr>
          <w:cantSplit/>
          <w:trHeight w:hRule="exact" w:val="227"/>
        </w:trPr>
        <w:tc>
          <w:tcPr>
            <w:tcW w:w="810" w:type="pct"/>
            <w:vAlign w:val="bottom"/>
          </w:tcPr>
          <w:p w14:paraId="038A27FD" w14:textId="77777777" w:rsidR="00054B09" w:rsidRDefault="00054B09" w:rsidP="001A5D4A">
            <w:pPr>
              <w:pStyle w:val="Note-Refs"/>
              <w:rPr>
                <w:b/>
              </w:rPr>
            </w:pPr>
            <w:r w:rsidRPr="00635008">
              <w:t>AASB138.118e</w:t>
            </w:r>
          </w:p>
        </w:tc>
        <w:tc>
          <w:tcPr>
            <w:tcW w:w="4190" w:type="pct"/>
            <w:gridSpan w:val="5"/>
            <w:vAlign w:val="bottom"/>
          </w:tcPr>
          <w:p w14:paraId="038A27FE" w14:textId="38057527" w:rsidR="00054B09" w:rsidRDefault="00054B09" w:rsidP="001A5D4A">
            <w:pPr>
              <w:pStyle w:val="Note-TextHeader"/>
              <w:rPr>
                <w:lang w:val="en-GB"/>
              </w:rPr>
            </w:pPr>
            <w:r>
              <w:t xml:space="preserve">Year ended 31 December </w:t>
            </w:r>
            <w:r w:rsidR="006864EC">
              <w:t>2014</w:t>
            </w:r>
          </w:p>
        </w:tc>
      </w:tr>
      <w:tr w:rsidR="002322B7" w14:paraId="038A2806" w14:textId="77777777" w:rsidTr="00E21378">
        <w:trPr>
          <w:cantSplit/>
          <w:trHeight w:hRule="exact" w:val="227"/>
        </w:trPr>
        <w:tc>
          <w:tcPr>
            <w:tcW w:w="810" w:type="pct"/>
            <w:vAlign w:val="bottom"/>
          </w:tcPr>
          <w:p w14:paraId="038A2800" w14:textId="77777777" w:rsidR="002322B7" w:rsidRPr="00635008" w:rsidRDefault="002322B7" w:rsidP="001A5D4A">
            <w:pPr>
              <w:pStyle w:val="Note-Refs"/>
            </w:pPr>
          </w:p>
        </w:tc>
        <w:tc>
          <w:tcPr>
            <w:tcW w:w="2433" w:type="pct"/>
            <w:vAlign w:val="bottom"/>
          </w:tcPr>
          <w:p w14:paraId="038A2801" w14:textId="77777777" w:rsidR="002322B7" w:rsidRDefault="002322B7" w:rsidP="001A5D4A">
            <w:pPr>
              <w:pStyle w:val="NotesTable-ItemPlain"/>
              <w:rPr>
                <w:b/>
              </w:rPr>
            </w:pPr>
            <w:r>
              <w:t>Opening net book amount</w:t>
            </w:r>
          </w:p>
        </w:tc>
        <w:tc>
          <w:tcPr>
            <w:tcW w:w="540" w:type="pct"/>
            <w:vAlign w:val="bottom"/>
          </w:tcPr>
          <w:p w14:paraId="038A2802" w14:textId="77777777" w:rsidR="002322B7" w:rsidRDefault="002322B7" w:rsidP="001A5D4A">
            <w:pPr>
              <w:pStyle w:val="NotesTable-CellPlain"/>
            </w:pPr>
            <w:r>
              <w:t>–</w:t>
            </w:r>
          </w:p>
        </w:tc>
        <w:tc>
          <w:tcPr>
            <w:tcW w:w="406" w:type="pct"/>
            <w:vAlign w:val="bottom"/>
          </w:tcPr>
          <w:p w14:paraId="038A2803" w14:textId="77777777" w:rsidR="002322B7" w:rsidRPr="000A14F0" w:rsidRDefault="002322B7" w:rsidP="001A5D4A">
            <w:pPr>
              <w:pStyle w:val="NotesTable-CellPlain"/>
            </w:pPr>
            <w:r w:rsidRPr="000A14F0">
              <w:t>–</w:t>
            </w:r>
          </w:p>
        </w:tc>
        <w:tc>
          <w:tcPr>
            <w:tcW w:w="406" w:type="pct"/>
            <w:vAlign w:val="bottom"/>
          </w:tcPr>
          <w:p w14:paraId="038A2804" w14:textId="77777777" w:rsidR="002322B7" w:rsidRPr="000A14F0" w:rsidRDefault="002322B7" w:rsidP="001A5D4A">
            <w:pPr>
              <w:pStyle w:val="NotesTable-CellPlain"/>
            </w:pPr>
            <w:r w:rsidRPr="000A14F0">
              <w:t>–</w:t>
            </w:r>
          </w:p>
        </w:tc>
        <w:tc>
          <w:tcPr>
            <w:tcW w:w="406" w:type="pct"/>
            <w:vAlign w:val="bottom"/>
          </w:tcPr>
          <w:p w14:paraId="038A2805" w14:textId="77777777" w:rsidR="002322B7" w:rsidRPr="000A14F0" w:rsidRDefault="002322B7" w:rsidP="001A5D4A">
            <w:pPr>
              <w:pStyle w:val="NotesTable-CellPlain"/>
            </w:pPr>
            <w:r w:rsidRPr="000A14F0">
              <w:t>–</w:t>
            </w:r>
          </w:p>
        </w:tc>
      </w:tr>
      <w:tr w:rsidR="002322B7" w14:paraId="038A280D" w14:textId="77777777" w:rsidTr="00E21378">
        <w:trPr>
          <w:cantSplit/>
          <w:trHeight w:hRule="exact" w:val="227"/>
        </w:trPr>
        <w:tc>
          <w:tcPr>
            <w:tcW w:w="810" w:type="pct"/>
            <w:vAlign w:val="bottom"/>
          </w:tcPr>
          <w:p w14:paraId="038A2807" w14:textId="77777777" w:rsidR="002322B7" w:rsidRPr="00635008" w:rsidRDefault="002322B7" w:rsidP="001A5D4A">
            <w:pPr>
              <w:pStyle w:val="Note-Refs"/>
              <w:rPr>
                <w:b/>
              </w:rPr>
            </w:pPr>
            <w:r w:rsidRPr="00635008">
              <w:t>AASB138.118e(i)</w:t>
            </w:r>
          </w:p>
        </w:tc>
        <w:tc>
          <w:tcPr>
            <w:tcW w:w="2433" w:type="pct"/>
            <w:vAlign w:val="bottom"/>
          </w:tcPr>
          <w:p w14:paraId="038A2808" w14:textId="77777777" w:rsidR="002322B7" w:rsidRDefault="002322B7" w:rsidP="001A5D4A">
            <w:pPr>
              <w:pStyle w:val="NotesTable-ItemPlain"/>
              <w:rPr>
                <w:b/>
              </w:rPr>
            </w:pPr>
            <w:r>
              <w:t>Additions - Internal development</w:t>
            </w:r>
          </w:p>
        </w:tc>
        <w:tc>
          <w:tcPr>
            <w:tcW w:w="540" w:type="pct"/>
            <w:vAlign w:val="bottom"/>
          </w:tcPr>
          <w:p w14:paraId="038A2809" w14:textId="77777777" w:rsidR="002322B7" w:rsidRDefault="002322B7" w:rsidP="001A5D4A">
            <w:pPr>
              <w:pStyle w:val="NotesTable-CellPlain"/>
            </w:pPr>
          </w:p>
        </w:tc>
        <w:tc>
          <w:tcPr>
            <w:tcW w:w="406" w:type="pct"/>
            <w:vAlign w:val="bottom"/>
          </w:tcPr>
          <w:p w14:paraId="038A280A" w14:textId="77777777" w:rsidR="002322B7" w:rsidRPr="000A14F0" w:rsidRDefault="002322B7" w:rsidP="001A5D4A">
            <w:pPr>
              <w:pStyle w:val="NotesTable-CellPlain"/>
            </w:pPr>
          </w:p>
        </w:tc>
        <w:tc>
          <w:tcPr>
            <w:tcW w:w="406" w:type="pct"/>
            <w:vAlign w:val="bottom"/>
          </w:tcPr>
          <w:p w14:paraId="038A280B" w14:textId="77777777" w:rsidR="002322B7" w:rsidRPr="000A14F0" w:rsidRDefault="002322B7" w:rsidP="001A5D4A">
            <w:pPr>
              <w:pStyle w:val="NotesTable-CellPlain"/>
            </w:pPr>
          </w:p>
        </w:tc>
        <w:tc>
          <w:tcPr>
            <w:tcW w:w="406" w:type="pct"/>
            <w:vAlign w:val="bottom"/>
          </w:tcPr>
          <w:p w14:paraId="038A280C" w14:textId="77777777" w:rsidR="002322B7" w:rsidRPr="000A14F0" w:rsidRDefault="002322B7" w:rsidP="001A5D4A">
            <w:pPr>
              <w:pStyle w:val="NotesTable-CellPlain"/>
            </w:pPr>
          </w:p>
        </w:tc>
      </w:tr>
      <w:tr w:rsidR="002322B7" w14:paraId="038A2814" w14:textId="77777777" w:rsidTr="00E21378">
        <w:trPr>
          <w:cantSplit/>
          <w:trHeight w:hRule="exact" w:val="227"/>
        </w:trPr>
        <w:tc>
          <w:tcPr>
            <w:tcW w:w="810" w:type="pct"/>
            <w:vAlign w:val="bottom"/>
          </w:tcPr>
          <w:p w14:paraId="038A280E" w14:textId="77777777" w:rsidR="002322B7" w:rsidRPr="00635008" w:rsidRDefault="002322B7" w:rsidP="001A5D4A">
            <w:pPr>
              <w:pStyle w:val="Note-Refs"/>
              <w:rPr>
                <w:b/>
              </w:rPr>
            </w:pPr>
            <w:r w:rsidRPr="00635008">
              <w:t>AASB138.118e(i)</w:t>
            </w:r>
          </w:p>
        </w:tc>
        <w:tc>
          <w:tcPr>
            <w:tcW w:w="2433" w:type="pct"/>
            <w:vAlign w:val="bottom"/>
          </w:tcPr>
          <w:p w14:paraId="038A280F" w14:textId="77777777" w:rsidR="002322B7" w:rsidRDefault="002322B7" w:rsidP="001A5D4A">
            <w:pPr>
              <w:pStyle w:val="NotesTable-ItemPlain"/>
              <w:rPr>
                <w:b/>
              </w:rPr>
            </w:pPr>
            <w:r>
              <w:t>Additions - Acquisition of subsidiary</w:t>
            </w:r>
          </w:p>
        </w:tc>
        <w:tc>
          <w:tcPr>
            <w:tcW w:w="540" w:type="pct"/>
            <w:vAlign w:val="bottom"/>
          </w:tcPr>
          <w:p w14:paraId="038A2810" w14:textId="77777777" w:rsidR="002322B7" w:rsidRDefault="002322B7" w:rsidP="001A5D4A">
            <w:pPr>
              <w:pStyle w:val="NotesTable-CellPlain"/>
            </w:pPr>
            <w:r>
              <w:t>–</w:t>
            </w:r>
          </w:p>
        </w:tc>
        <w:tc>
          <w:tcPr>
            <w:tcW w:w="406" w:type="pct"/>
            <w:vAlign w:val="bottom"/>
          </w:tcPr>
          <w:p w14:paraId="038A2811" w14:textId="77777777" w:rsidR="002322B7" w:rsidRPr="000A14F0" w:rsidRDefault="002322B7" w:rsidP="001A5D4A">
            <w:pPr>
              <w:pStyle w:val="NotesTable-CellPlain"/>
            </w:pPr>
            <w:r w:rsidRPr="000A14F0">
              <w:t>–</w:t>
            </w:r>
          </w:p>
        </w:tc>
        <w:tc>
          <w:tcPr>
            <w:tcW w:w="406" w:type="pct"/>
            <w:vAlign w:val="bottom"/>
          </w:tcPr>
          <w:p w14:paraId="038A2812" w14:textId="77777777" w:rsidR="002322B7" w:rsidRPr="000A14F0" w:rsidRDefault="002322B7" w:rsidP="001A5D4A">
            <w:pPr>
              <w:pStyle w:val="NotesTable-CellPlain"/>
            </w:pPr>
            <w:r w:rsidRPr="000A14F0">
              <w:t>–</w:t>
            </w:r>
          </w:p>
        </w:tc>
        <w:tc>
          <w:tcPr>
            <w:tcW w:w="406" w:type="pct"/>
            <w:vAlign w:val="bottom"/>
          </w:tcPr>
          <w:p w14:paraId="038A2813" w14:textId="77777777" w:rsidR="002322B7" w:rsidRPr="000A14F0" w:rsidRDefault="002322B7" w:rsidP="001A5D4A">
            <w:pPr>
              <w:pStyle w:val="NotesTable-CellPlain"/>
            </w:pPr>
            <w:r w:rsidRPr="000A14F0">
              <w:t>–</w:t>
            </w:r>
          </w:p>
        </w:tc>
      </w:tr>
      <w:tr w:rsidR="002322B7" w14:paraId="038A281B" w14:textId="77777777" w:rsidTr="00E21378">
        <w:trPr>
          <w:cantSplit/>
          <w:trHeight w:hRule="exact" w:val="227"/>
        </w:trPr>
        <w:tc>
          <w:tcPr>
            <w:tcW w:w="810" w:type="pct"/>
            <w:vAlign w:val="bottom"/>
          </w:tcPr>
          <w:p w14:paraId="038A2815" w14:textId="77777777" w:rsidR="002322B7" w:rsidRPr="00635008" w:rsidRDefault="002322B7" w:rsidP="001A5D4A">
            <w:pPr>
              <w:pStyle w:val="Note-Refs"/>
              <w:rPr>
                <w:b/>
              </w:rPr>
            </w:pPr>
            <w:r w:rsidRPr="00635008">
              <w:t>AASB138.118e(i)</w:t>
            </w:r>
          </w:p>
        </w:tc>
        <w:tc>
          <w:tcPr>
            <w:tcW w:w="2433" w:type="pct"/>
            <w:vAlign w:val="bottom"/>
          </w:tcPr>
          <w:p w14:paraId="038A2816" w14:textId="77777777" w:rsidR="002322B7" w:rsidRDefault="002322B7" w:rsidP="001A5D4A">
            <w:pPr>
              <w:pStyle w:val="NotesTable-ItemPlain"/>
              <w:rPr>
                <w:b/>
              </w:rPr>
            </w:pPr>
            <w:r>
              <w:t>Additions - Separately acquired</w:t>
            </w:r>
          </w:p>
        </w:tc>
        <w:tc>
          <w:tcPr>
            <w:tcW w:w="540" w:type="pct"/>
            <w:vAlign w:val="bottom"/>
          </w:tcPr>
          <w:p w14:paraId="038A2817" w14:textId="77777777" w:rsidR="002322B7" w:rsidRDefault="002322B7" w:rsidP="001A5D4A">
            <w:pPr>
              <w:pStyle w:val="NotesTable-CellPlain"/>
            </w:pPr>
            <w:r>
              <w:t>–</w:t>
            </w:r>
          </w:p>
        </w:tc>
        <w:tc>
          <w:tcPr>
            <w:tcW w:w="406" w:type="pct"/>
            <w:vAlign w:val="bottom"/>
          </w:tcPr>
          <w:p w14:paraId="038A2818" w14:textId="77777777" w:rsidR="002322B7" w:rsidRPr="000A14F0" w:rsidRDefault="002322B7" w:rsidP="001A5D4A">
            <w:pPr>
              <w:pStyle w:val="NotesTable-CellPlain"/>
            </w:pPr>
            <w:r w:rsidRPr="000A14F0">
              <w:t>–</w:t>
            </w:r>
          </w:p>
        </w:tc>
        <w:tc>
          <w:tcPr>
            <w:tcW w:w="406" w:type="pct"/>
            <w:vAlign w:val="bottom"/>
          </w:tcPr>
          <w:p w14:paraId="038A2819" w14:textId="77777777" w:rsidR="002322B7" w:rsidRPr="000A14F0" w:rsidRDefault="002322B7" w:rsidP="001A5D4A">
            <w:pPr>
              <w:pStyle w:val="NotesTable-CellPlain"/>
            </w:pPr>
            <w:r w:rsidRPr="000A14F0">
              <w:t>–</w:t>
            </w:r>
          </w:p>
        </w:tc>
        <w:tc>
          <w:tcPr>
            <w:tcW w:w="406" w:type="pct"/>
            <w:vAlign w:val="bottom"/>
          </w:tcPr>
          <w:p w14:paraId="038A281A" w14:textId="77777777" w:rsidR="002322B7" w:rsidRPr="000A14F0" w:rsidRDefault="002322B7" w:rsidP="001A5D4A">
            <w:pPr>
              <w:pStyle w:val="NotesTable-CellPlain"/>
            </w:pPr>
            <w:r w:rsidRPr="000A14F0">
              <w:t>–</w:t>
            </w:r>
          </w:p>
        </w:tc>
      </w:tr>
      <w:tr w:rsidR="002322B7" w14:paraId="038A2822" w14:textId="77777777" w:rsidTr="00E21378">
        <w:trPr>
          <w:cantSplit/>
          <w:trHeight w:hRule="exact" w:val="227"/>
        </w:trPr>
        <w:tc>
          <w:tcPr>
            <w:tcW w:w="810" w:type="pct"/>
            <w:vAlign w:val="bottom"/>
          </w:tcPr>
          <w:p w14:paraId="038A281C" w14:textId="77777777" w:rsidR="002322B7" w:rsidRPr="00635008" w:rsidRDefault="002322B7" w:rsidP="001A5D4A">
            <w:pPr>
              <w:pStyle w:val="Note-Refs"/>
              <w:rPr>
                <w:b/>
              </w:rPr>
            </w:pPr>
            <w:r w:rsidRPr="00635008">
              <w:t>AASB138.118e(ii)</w:t>
            </w:r>
          </w:p>
        </w:tc>
        <w:tc>
          <w:tcPr>
            <w:tcW w:w="2433" w:type="pct"/>
            <w:vAlign w:val="bottom"/>
          </w:tcPr>
          <w:p w14:paraId="038A281D" w14:textId="77777777" w:rsidR="002322B7" w:rsidRDefault="002322B7" w:rsidP="001A5D4A">
            <w:pPr>
              <w:pStyle w:val="NotesTable-ItemPlain"/>
              <w:rPr>
                <w:b/>
              </w:rPr>
            </w:pPr>
            <w:r>
              <w:t>Disposals</w:t>
            </w:r>
          </w:p>
        </w:tc>
        <w:tc>
          <w:tcPr>
            <w:tcW w:w="540" w:type="pct"/>
            <w:vAlign w:val="bottom"/>
          </w:tcPr>
          <w:p w14:paraId="038A281E" w14:textId="77777777" w:rsidR="002322B7" w:rsidRDefault="002322B7" w:rsidP="001A5D4A">
            <w:pPr>
              <w:pStyle w:val="NotesTable-CellPlain"/>
            </w:pPr>
            <w:r>
              <w:t>–</w:t>
            </w:r>
          </w:p>
        </w:tc>
        <w:tc>
          <w:tcPr>
            <w:tcW w:w="406" w:type="pct"/>
            <w:vAlign w:val="bottom"/>
          </w:tcPr>
          <w:p w14:paraId="038A281F" w14:textId="77777777" w:rsidR="002322B7" w:rsidRPr="000A14F0" w:rsidRDefault="002322B7" w:rsidP="001A5D4A">
            <w:pPr>
              <w:pStyle w:val="NotesTable-CellPlain"/>
            </w:pPr>
            <w:r w:rsidRPr="000A14F0">
              <w:t>–</w:t>
            </w:r>
          </w:p>
        </w:tc>
        <w:tc>
          <w:tcPr>
            <w:tcW w:w="406" w:type="pct"/>
            <w:vAlign w:val="bottom"/>
          </w:tcPr>
          <w:p w14:paraId="038A2820" w14:textId="77777777" w:rsidR="002322B7" w:rsidRPr="000A14F0" w:rsidRDefault="002322B7" w:rsidP="001A5D4A">
            <w:pPr>
              <w:pStyle w:val="NotesTable-CellPlain"/>
            </w:pPr>
            <w:r w:rsidRPr="000A14F0">
              <w:t>–</w:t>
            </w:r>
          </w:p>
        </w:tc>
        <w:tc>
          <w:tcPr>
            <w:tcW w:w="406" w:type="pct"/>
            <w:vAlign w:val="bottom"/>
          </w:tcPr>
          <w:p w14:paraId="038A2821" w14:textId="77777777" w:rsidR="002322B7" w:rsidRPr="000A14F0" w:rsidRDefault="002322B7" w:rsidP="001A5D4A">
            <w:pPr>
              <w:pStyle w:val="NotesTable-CellPlain"/>
            </w:pPr>
            <w:r w:rsidRPr="000A14F0">
              <w:t>–</w:t>
            </w:r>
          </w:p>
        </w:tc>
      </w:tr>
      <w:tr w:rsidR="002322B7" w14:paraId="038A2829" w14:textId="77777777" w:rsidTr="00E21378">
        <w:trPr>
          <w:cantSplit/>
          <w:trHeight w:hRule="exact" w:val="227"/>
        </w:trPr>
        <w:tc>
          <w:tcPr>
            <w:tcW w:w="810" w:type="pct"/>
            <w:vAlign w:val="bottom"/>
          </w:tcPr>
          <w:p w14:paraId="038A2823" w14:textId="77777777" w:rsidR="002322B7" w:rsidRPr="00635008" w:rsidRDefault="002322B7" w:rsidP="001A5D4A">
            <w:pPr>
              <w:pStyle w:val="Note-Refs"/>
              <w:rPr>
                <w:b/>
              </w:rPr>
            </w:pPr>
            <w:r w:rsidRPr="00635008">
              <w:t>AASB138.118e(iv)</w:t>
            </w:r>
          </w:p>
        </w:tc>
        <w:tc>
          <w:tcPr>
            <w:tcW w:w="2433" w:type="pct"/>
            <w:vAlign w:val="bottom"/>
          </w:tcPr>
          <w:p w14:paraId="038A2824" w14:textId="77777777" w:rsidR="002322B7" w:rsidRDefault="002322B7" w:rsidP="001A5D4A">
            <w:pPr>
              <w:pStyle w:val="NotesTable-ItemPlain"/>
              <w:rPr>
                <w:b/>
              </w:rPr>
            </w:pPr>
            <w:r>
              <w:t xml:space="preserve">Impairment losses </w:t>
            </w:r>
          </w:p>
        </w:tc>
        <w:tc>
          <w:tcPr>
            <w:tcW w:w="540" w:type="pct"/>
            <w:vAlign w:val="bottom"/>
          </w:tcPr>
          <w:p w14:paraId="038A2825" w14:textId="77777777" w:rsidR="002322B7" w:rsidRDefault="002322B7" w:rsidP="001A5D4A">
            <w:pPr>
              <w:pStyle w:val="NotesTable-CellPlain"/>
            </w:pPr>
            <w:r>
              <w:t>–</w:t>
            </w:r>
          </w:p>
        </w:tc>
        <w:tc>
          <w:tcPr>
            <w:tcW w:w="406" w:type="pct"/>
            <w:vAlign w:val="bottom"/>
          </w:tcPr>
          <w:p w14:paraId="038A2826" w14:textId="77777777" w:rsidR="002322B7" w:rsidRPr="000A14F0" w:rsidRDefault="002322B7" w:rsidP="001A5D4A">
            <w:pPr>
              <w:pStyle w:val="NotesTable-CellPlain"/>
            </w:pPr>
            <w:r w:rsidRPr="000A14F0">
              <w:t>–</w:t>
            </w:r>
          </w:p>
        </w:tc>
        <w:tc>
          <w:tcPr>
            <w:tcW w:w="406" w:type="pct"/>
            <w:vAlign w:val="bottom"/>
          </w:tcPr>
          <w:p w14:paraId="038A2827" w14:textId="77777777" w:rsidR="002322B7" w:rsidRPr="000A14F0" w:rsidRDefault="002322B7" w:rsidP="001A5D4A">
            <w:pPr>
              <w:pStyle w:val="NotesTable-CellPlain"/>
            </w:pPr>
            <w:r w:rsidRPr="000A14F0">
              <w:t>–</w:t>
            </w:r>
          </w:p>
        </w:tc>
        <w:tc>
          <w:tcPr>
            <w:tcW w:w="406" w:type="pct"/>
            <w:vAlign w:val="bottom"/>
          </w:tcPr>
          <w:p w14:paraId="038A2828" w14:textId="77777777" w:rsidR="002322B7" w:rsidRPr="000A14F0" w:rsidRDefault="002322B7" w:rsidP="001A5D4A">
            <w:pPr>
              <w:pStyle w:val="NotesTable-CellPlain"/>
            </w:pPr>
            <w:r w:rsidRPr="000A14F0">
              <w:t>–</w:t>
            </w:r>
          </w:p>
        </w:tc>
      </w:tr>
      <w:tr w:rsidR="002322B7" w14:paraId="038A2830" w14:textId="77777777" w:rsidTr="00E21378">
        <w:trPr>
          <w:cantSplit/>
          <w:trHeight w:hRule="exact" w:val="227"/>
        </w:trPr>
        <w:tc>
          <w:tcPr>
            <w:tcW w:w="810" w:type="pct"/>
            <w:vAlign w:val="bottom"/>
          </w:tcPr>
          <w:p w14:paraId="038A282A" w14:textId="77777777" w:rsidR="002322B7" w:rsidRPr="00635008" w:rsidRDefault="002322B7" w:rsidP="001A5D4A">
            <w:pPr>
              <w:pStyle w:val="Note-Refs"/>
              <w:rPr>
                <w:b/>
              </w:rPr>
            </w:pPr>
            <w:r w:rsidRPr="00635008">
              <w:t>AASB138.118e(vi)</w:t>
            </w:r>
          </w:p>
        </w:tc>
        <w:tc>
          <w:tcPr>
            <w:tcW w:w="2433" w:type="pct"/>
            <w:vAlign w:val="bottom"/>
          </w:tcPr>
          <w:p w14:paraId="038A282B" w14:textId="77777777" w:rsidR="002322B7" w:rsidRDefault="002322B7" w:rsidP="001A5D4A">
            <w:pPr>
              <w:pStyle w:val="NotesTable-ItemPlain"/>
              <w:rPr>
                <w:b/>
              </w:rPr>
            </w:pPr>
            <w:r>
              <w:t xml:space="preserve">Amortisation charge </w:t>
            </w:r>
          </w:p>
        </w:tc>
        <w:tc>
          <w:tcPr>
            <w:tcW w:w="540" w:type="pct"/>
            <w:tcBorders>
              <w:bottom w:val="single" w:sz="4" w:space="0" w:color="auto"/>
            </w:tcBorders>
            <w:vAlign w:val="bottom"/>
          </w:tcPr>
          <w:p w14:paraId="038A282C" w14:textId="77777777" w:rsidR="002322B7" w:rsidRDefault="002322B7" w:rsidP="001A5D4A">
            <w:pPr>
              <w:pStyle w:val="NotesTable-CellPlain"/>
            </w:pPr>
            <w:r>
              <w:t>–</w:t>
            </w:r>
          </w:p>
        </w:tc>
        <w:tc>
          <w:tcPr>
            <w:tcW w:w="406" w:type="pct"/>
            <w:tcBorders>
              <w:bottom w:val="single" w:sz="4" w:space="0" w:color="auto"/>
            </w:tcBorders>
            <w:vAlign w:val="bottom"/>
          </w:tcPr>
          <w:p w14:paraId="038A282D" w14:textId="77777777" w:rsidR="002322B7" w:rsidRPr="000A14F0" w:rsidRDefault="002322B7" w:rsidP="001A5D4A">
            <w:pPr>
              <w:pStyle w:val="NotesTable-CellPlain"/>
            </w:pPr>
            <w:r w:rsidRPr="000A14F0">
              <w:t>–</w:t>
            </w:r>
          </w:p>
        </w:tc>
        <w:tc>
          <w:tcPr>
            <w:tcW w:w="406" w:type="pct"/>
            <w:tcBorders>
              <w:bottom w:val="single" w:sz="4" w:space="0" w:color="auto"/>
            </w:tcBorders>
            <w:vAlign w:val="bottom"/>
          </w:tcPr>
          <w:p w14:paraId="038A282E" w14:textId="77777777" w:rsidR="002322B7" w:rsidRPr="000A14F0" w:rsidRDefault="002322B7" w:rsidP="001A5D4A">
            <w:pPr>
              <w:pStyle w:val="NotesTable-CellPlain"/>
            </w:pPr>
            <w:r w:rsidRPr="000A14F0">
              <w:t>–</w:t>
            </w:r>
          </w:p>
        </w:tc>
        <w:tc>
          <w:tcPr>
            <w:tcW w:w="406" w:type="pct"/>
            <w:tcBorders>
              <w:bottom w:val="single" w:sz="4" w:space="0" w:color="auto"/>
            </w:tcBorders>
            <w:vAlign w:val="bottom"/>
          </w:tcPr>
          <w:p w14:paraId="038A282F" w14:textId="77777777" w:rsidR="002322B7" w:rsidRPr="000A14F0" w:rsidRDefault="002322B7" w:rsidP="001A5D4A">
            <w:pPr>
              <w:pStyle w:val="NotesTable-CellPlain"/>
            </w:pPr>
            <w:r w:rsidRPr="000A14F0">
              <w:t>–</w:t>
            </w:r>
          </w:p>
        </w:tc>
      </w:tr>
      <w:tr w:rsidR="002322B7" w14:paraId="038A2837" w14:textId="77777777" w:rsidTr="00E21378">
        <w:trPr>
          <w:cantSplit/>
          <w:trHeight w:hRule="exact" w:val="227"/>
        </w:trPr>
        <w:tc>
          <w:tcPr>
            <w:tcW w:w="810" w:type="pct"/>
            <w:vAlign w:val="bottom"/>
          </w:tcPr>
          <w:p w14:paraId="038A2831" w14:textId="77777777" w:rsidR="002322B7" w:rsidRPr="00635008" w:rsidRDefault="002322B7" w:rsidP="001A5D4A">
            <w:pPr>
              <w:pStyle w:val="Note-Refs"/>
            </w:pPr>
          </w:p>
        </w:tc>
        <w:tc>
          <w:tcPr>
            <w:tcW w:w="2433" w:type="pct"/>
            <w:vAlign w:val="bottom"/>
          </w:tcPr>
          <w:p w14:paraId="038A2832" w14:textId="77777777" w:rsidR="002322B7" w:rsidRDefault="002322B7" w:rsidP="001A5D4A">
            <w:pPr>
              <w:pStyle w:val="NotesTable-ItemPlain"/>
              <w:rPr>
                <w:b/>
              </w:rPr>
            </w:pPr>
            <w:r>
              <w:t xml:space="preserve">Closing net book amount </w:t>
            </w:r>
          </w:p>
        </w:tc>
        <w:tc>
          <w:tcPr>
            <w:tcW w:w="540" w:type="pct"/>
            <w:tcBorders>
              <w:top w:val="single" w:sz="4" w:space="0" w:color="auto"/>
            </w:tcBorders>
            <w:vAlign w:val="bottom"/>
          </w:tcPr>
          <w:p w14:paraId="038A2833" w14:textId="77777777" w:rsidR="002322B7" w:rsidRDefault="002322B7" w:rsidP="001A5D4A">
            <w:pPr>
              <w:pStyle w:val="NotesTable-CellPlain"/>
            </w:pPr>
            <w:r>
              <w:t>–</w:t>
            </w:r>
          </w:p>
        </w:tc>
        <w:tc>
          <w:tcPr>
            <w:tcW w:w="406" w:type="pct"/>
            <w:tcBorders>
              <w:top w:val="single" w:sz="4" w:space="0" w:color="auto"/>
            </w:tcBorders>
            <w:vAlign w:val="bottom"/>
          </w:tcPr>
          <w:p w14:paraId="038A2834" w14:textId="77777777" w:rsidR="002322B7" w:rsidRPr="000A14F0" w:rsidRDefault="002322B7" w:rsidP="001A5D4A">
            <w:pPr>
              <w:pStyle w:val="NotesTable-CellPlain"/>
            </w:pPr>
            <w:r w:rsidRPr="000A14F0">
              <w:t>–</w:t>
            </w:r>
          </w:p>
        </w:tc>
        <w:tc>
          <w:tcPr>
            <w:tcW w:w="406" w:type="pct"/>
            <w:tcBorders>
              <w:top w:val="single" w:sz="4" w:space="0" w:color="auto"/>
            </w:tcBorders>
            <w:vAlign w:val="bottom"/>
          </w:tcPr>
          <w:p w14:paraId="038A2835" w14:textId="77777777" w:rsidR="002322B7" w:rsidRPr="000A14F0" w:rsidRDefault="002322B7" w:rsidP="001A5D4A">
            <w:pPr>
              <w:pStyle w:val="NotesTable-CellPlain"/>
            </w:pPr>
            <w:r w:rsidRPr="000A14F0">
              <w:t>–</w:t>
            </w:r>
          </w:p>
        </w:tc>
        <w:tc>
          <w:tcPr>
            <w:tcW w:w="406" w:type="pct"/>
            <w:tcBorders>
              <w:top w:val="single" w:sz="4" w:space="0" w:color="auto"/>
            </w:tcBorders>
            <w:vAlign w:val="bottom"/>
          </w:tcPr>
          <w:p w14:paraId="038A2836" w14:textId="77777777" w:rsidR="002322B7" w:rsidRPr="000A14F0" w:rsidRDefault="002322B7" w:rsidP="001A5D4A">
            <w:pPr>
              <w:pStyle w:val="NotesTable-CellPlain"/>
            </w:pPr>
            <w:r w:rsidRPr="000A14F0">
              <w:t>–</w:t>
            </w:r>
          </w:p>
        </w:tc>
      </w:tr>
      <w:tr w:rsidR="00054B09" w14:paraId="038A283A" w14:textId="77777777" w:rsidTr="00E21378">
        <w:trPr>
          <w:cantSplit/>
          <w:trHeight w:hRule="exact" w:val="227"/>
        </w:trPr>
        <w:tc>
          <w:tcPr>
            <w:tcW w:w="810" w:type="pct"/>
            <w:vAlign w:val="bottom"/>
          </w:tcPr>
          <w:p w14:paraId="038A2838" w14:textId="77777777" w:rsidR="00054B09" w:rsidRPr="00635008" w:rsidRDefault="00054B09" w:rsidP="001A5D4A">
            <w:pPr>
              <w:pStyle w:val="Note-Refs"/>
            </w:pPr>
          </w:p>
        </w:tc>
        <w:tc>
          <w:tcPr>
            <w:tcW w:w="4190" w:type="pct"/>
            <w:gridSpan w:val="5"/>
            <w:vAlign w:val="bottom"/>
          </w:tcPr>
          <w:p w14:paraId="038A2839" w14:textId="77777777" w:rsidR="00054B09" w:rsidRPr="000A14F0" w:rsidRDefault="00054B09" w:rsidP="001A5D4A">
            <w:pPr>
              <w:pStyle w:val="NotesTable-ItemPlain"/>
            </w:pPr>
          </w:p>
        </w:tc>
      </w:tr>
      <w:tr w:rsidR="00054B09" w14:paraId="038A283D" w14:textId="77777777" w:rsidTr="00E21378">
        <w:trPr>
          <w:cantSplit/>
          <w:trHeight w:hRule="exact" w:val="227"/>
        </w:trPr>
        <w:tc>
          <w:tcPr>
            <w:tcW w:w="810" w:type="pct"/>
            <w:vAlign w:val="bottom"/>
          </w:tcPr>
          <w:p w14:paraId="038A283B" w14:textId="77777777" w:rsidR="00054B09" w:rsidRPr="00635008" w:rsidRDefault="00054B09" w:rsidP="001A5D4A">
            <w:pPr>
              <w:pStyle w:val="Note-Refs"/>
              <w:rPr>
                <w:b/>
              </w:rPr>
            </w:pPr>
            <w:r w:rsidRPr="00635008">
              <w:t>AASB138.118c</w:t>
            </w:r>
          </w:p>
        </w:tc>
        <w:tc>
          <w:tcPr>
            <w:tcW w:w="4190" w:type="pct"/>
            <w:gridSpan w:val="5"/>
            <w:vAlign w:val="bottom"/>
          </w:tcPr>
          <w:p w14:paraId="038A283C" w14:textId="446C254C" w:rsidR="00054B09" w:rsidRPr="000A14F0" w:rsidRDefault="00054B09" w:rsidP="001A5D4A">
            <w:pPr>
              <w:pStyle w:val="Note-TextHeader"/>
              <w:rPr>
                <w:lang w:val="en-GB"/>
              </w:rPr>
            </w:pPr>
            <w:r>
              <w:t xml:space="preserve">At 31 December </w:t>
            </w:r>
            <w:r w:rsidR="006864EC">
              <w:t>2014</w:t>
            </w:r>
          </w:p>
        </w:tc>
      </w:tr>
      <w:tr w:rsidR="002322B7" w14:paraId="038A2844" w14:textId="77777777" w:rsidTr="00E21378">
        <w:trPr>
          <w:cantSplit/>
          <w:trHeight w:hRule="exact" w:val="227"/>
        </w:trPr>
        <w:tc>
          <w:tcPr>
            <w:tcW w:w="810" w:type="pct"/>
            <w:vAlign w:val="bottom"/>
          </w:tcPr>
          <w:p w14:paraId="038A283E" w14:textId="77777777" w:rsidR="002322B7" w:rsidRPr="00635008" w:rsidRDefault="002322B7" w:rsidP="001A5D4A">
            <w:pPr>
              <w:pStyle w:val="Note-Refs"/>
            </w:pPr>
          </w:p>
        </w:tc>
        <w:tc>
          <w:tcPr>
            <w:tcW w:w="2433" w:type="pct"/>
            <w:vAlign w:val="bottom"/>
          </w:tcPr>
          <w:p w14:paraId="038A283F" w14:textId="77777777" w:rsidR="002322B7" w:rsidRDefault="002322B7" w:rsidP="001A5D4A">
            <w:pPr>
              <w:pStyle w:val="NotesTable-ItemPlain"/>
              <w:rPr>
                <w:b/>
              </w:rPr>
            </w:pPr>
            <w:r>
              <w:t>Cost</w:t>
            </w:r>
          </w:p>
        </w:tc>
        <w:tc>
          <w:tcPr>
            <w:tcW w:w="540" w:type="pct"/>
            <w:vAlign w:val="bottom"/>
          </w:tcPr>
          <w:p w14:paraId="038A2840" w14:textId="77777777" w:rsidR="002322B7" w:rsidRDefault="002322B7" w:rsidP="001A5D4A">
            <w:pPr>
              <w:pStyle w:val="NotesTable-CellPlain"/>
            </w:pPr>
            <w:r>
              <w:t>–</w:t>
            </w:r>
          </w:p>
        </w:tc>
        <w:tc>
          <w:tcPr>
            <w:tcW w:w="406" w:type="pct"/>
            <w:vAlign w:val="bottom"/>
          </w:tcPr>
          <w:p w14:paraId="038A2841" w14:textId="77777777" w:rsidR="002322B7" w:rsidRPr="000A14F0" w:rsidRDefault="002322B7" w:rsidP="001A5D4A">
            <w:pPr>
              <w:pStyle w:val="NotesTable-CellPlain"/>
            </w:pPr>
            <w:r w:rsidRPr="000A14F0">
              <w:t>–</w:t>
            </w:r>
          </w:p>
        </w:tc>
        <w:tc>
          <w:tcPr>
            <w:tcW w:w="406" w:type="pct"/>
            <w:vAlign w:val="bottom"/>
          </w:tcPr>
          <w:p w14:paraId="038A2842" w14:textId="77777777" w:rsidR="002322B7" w:rsidRPr="000A14F0" w:rsidRDefault="002322B7" w:rsidP="001A5D4A">
            <w:pPr>
              <w:pStyle w:val="NotesTable-CellPlain"/>
            </w:pPr>
            <w:r w:rsidRPr="000A14F0">
              <w:t>–</w:t>
            </w:r>
          </w:p>
        </w:tc>
        <w:tc>
          <w:tcPr>
            <w:tcW w:w="406" w:type="pct"/>
            <w:vAlign w:val="bottom"/>
          </w:tcPr>
          <w:p w14:paraId="038A2843" w14:textId="77777777" w:rsidR="002322B7" w:rsidRPr="000A14F0" w:rsidRDefault="002322B7" w:rsidP="001A5D4A">
            <w:pPr>
              <w:pStyle w:val="NotesTable-CellPlain"/>
            </w:pPr>
            <w:r w:rsidRPr="000A14F0">
              <w:t>–</w:t>
            </w:r>
          </w:p>
        </w:tc>
      </w:tr>
      <w:tr w:rsidR="002322B7" w14:paraId="038A284B" w14:textId="77777777" w:rsidTr="00E21378">
        <w:trPr>
          <w:cantSplit/>
          <w:trHeight w:hRule="exact" w:val="227"/>
        </w:trPr>
        <w:tc>
          <w:tcPr>
            <w:tcW w:w="810" w:type="pct"/>
            <w:vAlign w:val="bottom"/>
          </w:tcPr>
          <w:p w14:paraId="038A2845" w14:textId="77777777" w:rsidR="002322B7" w:rsidRPr="00635008" w:rsidRDefault="002322B7" w:rsidP="001A5D4A">
            <w:pPr>
              <w:pStyle w:val="Note-Refs"/>
            </w:pPr>
          </w:p>
        </w:tc>
        <w:tc>
          <w:tcPr>
            <w:tcW w:w="2433" w:type="pct"/>
            <w:vAlign w:val="bottom"/>
          </w:tcPr>
          <w:p w14:paraId="038A2846" w14:textId="77777777" w:rsidR="002322B7" w:rsidRDefault="002322B7" w:rsidP="001A5D4A">
            <w:pPr>
              <w:pStyle w:val="NotesTable-ItemPlain"/>
              <w:rPr>
                <w:b/>
              </w:rPr>
            </w:pPr>
            <w:r>
              <w:t>Accumulated amortisation and impairment</w:t>
            </w:r>
          </w:p>
        </w:tc>
        <w:tc>
          <w:tcPr>
            <w:tcW w:w="540" w:type="pct"/>
            <w:tcBorders>
              <w:bottom w:val="single" w:sz="4" w:space="0" w:color="auto"/>
            </w:tcBorders>
            <w:vAlign w:val="bottom"/>
          </w:tcPr>
          <w:p w14:paraId="038A2847" w14:textId="77777777" w:rsidR="002322B7" w:rsidRDefault="002322B7" w:rsidP="001A5D4A">
            <w:pPr>
              <w:pStyle w:val="NotesTable-CellPlain"/>
            </w:pPr>
            <w:r>
              <w:t>–</w:t>
            </w:r>
          </w:p>
        </w:tc>
        <w:tc>
          <w:tcPr>
            <w:tcW w:w="406" w:type="pct"/>
            <w:tcBorders>
              <w:bottom w:val="single" w:sz="4" w:space="0" w:color="auto"/>
            </w:tcBorders>
            <w:vAlign w:val="bottom"/>
          </w:tcPr>
          <w:p w14:paraId="038A2848" w14:textId="77777777" w:rsidR="002322B7" w:rsidRPr="000A14F0" w:rsidRDefault="002322B7" w:rsidP="001A5D4A">
            <w:pPr>
              <w:pStyle w:val="NotesTable-CellPlain"/>
            </w:pPr>
            <w:r w:rsidRPr="000A14F0">
              <w:t>–</w:t>
            </w:r>
          </w:p>
        </w:tc>
        <w:tc>
          <w:tcPr>
            <w:tcW w:w="406" w:type="pct"/>
            <w:tcBorders>
              <w:bottom w:val="single" w:sz="4" w:space="0" w:color="auto"/>
            </w:tcBorders>
            <w:vAlign w:val="bottom"/>
          </w:tcPr>
          <w:p w14:paraId="038A2849" w14:textId="77777777" w:rsidR="002322B7" w:rsidRPr="000A14F0" w:rsidRDefault="002322B7" w:rsidP="001A5D4A">
            <w:pPr>
              <w:pStyle w:val="NotesTable-CellPlain"/>
            </w:pPr>
            <w:r w:rsidRPr="000A14F0">
              <w:t>–</w:t>
            </w:r>
          </w:p>
        </w:tc>
        <w:tc>
          <w:tcPr>
            <w:tcW w:w="406" w:type="pct"/>
            <w:tcBorders>
              <w:bottom w:val="single" w:sz="4" w:space="0" w:color="auto"/>
            </w:tcBorders>
            <w:vAlign w:val="bottom"/>
          </w:tcPr>
          <w:p w14:paraId="038A284A" w14:textId="77777777" w:rsidR="002322B7" w:rsidRPr="000A14F0" w:rsidRDefault="002322B7" w:rsidP="001A5D4A">
            <w:pPr>
              <w:pStyle w:val="NotesTable-CellPlain"/>
            </w:pPr>
            <w:r w:rsidRPr="000A14F0">
              <w:t>–</w:t>
            </w:r>
          </w:p>
        </w:tc>
      </w:tr>
      <w:tr w:rsidR="002322B7" w14:paraId="038A2852" w14:textId="77777777" w:rsidTr="00E21378">
        <w:trPr>
          <w:cantSplit/>
          <w:trHeight w:hRule="exact" w:val="227"/>
        </w:trPr>
        <w:tc>
          <w:tcPr>
            <w:tcW w:w="810" w:type="pct"/>
            <w:vAlign w:val="bottom"/>
          </w:tcPr>
          <w:p w14:paraId="038A284C" w14:textId="77777777" w:rsidR="002322B7" w:rsidRPr="00635008" w:rsidRDefault="002322B7" w:rsidP="001A5D4A">
            <w:pPr>
              <w:pStyle w:val="Note-Refs"/>
            </w:pPr>
          </w:p>
        </w:tc>
        <w:tc>
          <w:tcPr>
            <w:tcW w:w="2433" w:type="pct"/>
            <w:vAlign w:val="bottom"/>
          </w:tcPr>
          <w:p w14:paraId="038A284D" w14:textId="77777777" w:rsidR="002322B7" w:rsidRDefault="002322B7" w:rsidP="001A5D4A">
            <w:pPr>
              <w:pStyle w:val="NotesTable-ItemPlain"/>
              <w:rPr>
                <w:b/>
              </w:rPr>
            </w:pPr>
            <w:r>
              <w:t>Net book amount</w:t>
            </w:r>
          </w:p>
        </w:tc>
        <w:tc>
          <w:tcPr>
            <w:tcW w:w="540" w:type="pct"/>
            <w:tcBorders>
              <w:top w:val="single" w:sz="4" w:space="0" w:color="auto"/>
            </w:tcBorders>
            <w:vAlign w:val="bottom"/>
          </w:tcPr>
          <w:p w14:paraId="038A284E" w14:textId="77777777" w:rsidR="002322B7" w:rsidRDefault="002322B7" w:rsidP="001A5D4A">
            <w:pPr>
              <w:pStyle w:val="NotesTable-CellPlain"/>
            </w:pPr>
            <w:r>
              <w:t>–</w:t>
            </w:r>
          </w:p>
        </w:tc>
        <w:tc>
          <w:tcPr>
            <w:tcW w:w="406" w:type="pct"/>
            <w:tcBorders>
              <w:top w:val="single" w:sz="4" w:space="0" w:color="auto"/>
            </w:tcBorders>
            <w:vAlign w:val="bottom"/>
          </w:tcPr>
          <w:p w14:paraId="038A284F" w14:textId="77777777" w:rsidR="002322B7" w:rsidRPr="000A14F0" w:rsidRDefault="002322B7" w:rsidP="001A5D4A">
            <w:pPr>
              <w:pStyle w:val="NotesTable-CellPlain"/>
            </w:pPr>
            <w:r w:rsidRPr="000A14F0">
              <w:t>–</w:t>
            </w:r>
          </w:p>
        </w:tc>
        <w:tc>
          <w:tcPr>
            <w:tcW w:w="406" w:type="pct"/>
            <w:tcBorders>
              <w:top w:val="single" w:sz="4" w:space="0" w:color="auto"/>
            </w:tcBorders>
            <w:vAlign w:val="bottom"/>
          </w:tcPr>
          <w:p w14:paraId="038A2850" w14:textId="77777777" w:rsidR="002322B7" w:rsidRPr="000A14F0" w:rsidRDefault="002322B7" w:rsidP="001A5D4A">
            <w:pPr>
              <w:pStyle w:val="NotesTable-CellPlain"/>
            </w:pPr>
            <w:r w:rsidRPr="000A14F0">
              <w:t>–</w:t>
            </w:r>
          </w:p>
        </w:tc>
        <w:tc>
          <w:tcPr>
            <w:tcW w:w="406" w:type="pct"/>
            <w:tcBorders>
              <w:top w:val="single" w:sz="4" w:space="0" w:color="auto"/>
            </w:tcBorders>
            <w:vAlign w:val="bottom"/>
          </w:tcPr>
          <w:p w14:paraId="038A2851" w14:textId="77777777" w:rsidR="002322B7" w:rsidRPr="000A14F0" w:rsidRDefault="002322B7" w:rsidP="001A5D4A">
            <w:pPr>
              <w:pStyle w:val="NotesTable-CellPlain"/>
            </w:pPr>
            <w:r w:rsidRPr="000A14F0">
              <w:t>–</w:t>
            </w:r>
          </w:p>
        </w:tc>
      </w:tr>
    </w:tbl>
    <w:p w14:paraId="038A2853" w14:textId="45842844" w:rsidR="00AF5F83" w:rsidRPr="00976BC2" w:rsidRDefault="00AF5F83" w:rsidP="001A5D4A"/>
    <w:p w14:paraId="7A09972F" w14:textId="77777777" w:rsidR="00AF5F83" w:rsidRPr="00976BC2" w:rsidRDefault="00AF5F83" w:rsidP="001A5D4A">
      <w:r w:rsidRPr="00976BC2">
        <w:br w:type="page"/>
      </w:r>
    </w:p>
    <w:tbl>
      <w:tblPr>
        <w:tblW w:w="5000" w:type="pct"/>
        <w:tblCellMar>
          <w:left w:w="0" w:type="dxa"/>
          <w:right w:w="0" w:type="dxa"/>
        </w:tblCellMar>
        <w:tblLook w:val="0000" w:firstRow="0" w:lastRow="0" w:firstColumn="0" w:lastColumn="0" w:noHBand="0" w:noVBand="0"/>
      </w:tblPr>
      <w:tblGrid>
        <w:gridCol w:w="1641"/>
        <w:gridCol w:w="4971"/>
        <w:gridCol w:w="1207"/>
        <w:gridCol w:w="815"/>
        <w:gridCol w:w="815"/>
        <w:gridCol w:w="811"/>
      </w:tblGrid>
      <w:tr w:rsidR="002E740E" w:rsidRPr="00976BC2" w14:paraId="65DA6AB0" w14:textId="77777777" w:rsidTr="002E740E">
        <w:trPr>
          <w:trHeight w:val="161"/>
        </w:trPr>
        <w:tc>
          <w:tcPr>
            <w:tcW w:w="5000" w:type="pct"/>
            <w:gridSpan w:val="6"/>
          </w:tcPr>
          <w:p w14:paraId="31E2D38C" w14:textId="2DC95F00" w:rsidR="002E740E" w:rsidRPr="00976BC2" w:rsidRDefault="002E740E" w:rsidP="002E740E">
            <w:pPr>
              <w:pStyle w:val="TOC3"/>
              <w:ind w:left="0"/>
            </w:pPr>
            <w:r w:rsidRPr="00976BC2">
              <w:lastRenderedPageBreak/>
              <w:t>Note 27</w:t>
            </w:r>
            <w:r>
              <w:t xml:space="preserve">. </w:t>
            </w:r>
            <w:r w:rsidRPr="00976BC2">
              <w:t>Intangible assets (continued)</w:t>
            </w:r>
          </w:p>
        </w:tc>
      </w:tr>
      <w:tr w:rsidR="00AF5F83" w14:paraId="16A23AB3" w14:textId="77777777" w:rsidTr="002E740E">
        <w:trPr>
          <w:trHeight w:val="159"/>
        </w:trPr>
        <w:tc>
          <w:tcPr>
            <w:tcW w:w="800" w:type="pct"/>
            <w:vAlign w:val="bottom"/>
          </w:tcPr>
          <w:p w14:paraId="073BD10F" w14:textId="77777777" w:rsidR="00AF5F83" w:rsidRDefault="00AF5F83" w:rsidP="001A5D4A">
            <w:pPr>
              <w:pStyle w:val="Note-Refs"/>
            </w:pPr>
          </w:p>
        </w:tc>
        <w:tc>
          <w:tcPr>
            <w:tcW w:w="2423" w:type="pct"/>
            <w:vAlign w:val="bottom"/>
          </w:tcPr>
          <w:p w14:paraId="1CCFEE3D" w14:textId="77777777" w:rsidR="00AF5F83" w:rsidRDefault="00AF5F83" w:rsidP="001A5D4A">
            <w:pPr>
              <w:pStyle w:val="NotesTable-ItemPlain"/>
            </w:pPr>
          </w:p>
        </w:tc>
        <w:tc>
          <w:tcPr>
            <w:tcW w:w="588" w:type="pct"/>
            <w:vAlign w:val="bottom"/>
          </w:tcPr>
          <w:p w14:paraId="6FF36011" w14:textId="77777777" w:rsidR="00AF5F83" w:rsidRDefault="00AF5F83" w:rsidP="001A5D4A">
            <w:pPr>
              <w:pStyle w:val="NotesTable-HeadPlain"/>
              <w:rPr>
                <w:b/>
              </w:rPr>
            </w:pPr>
            <w:r>
              <w:t>Development costs</w:t>
            </w:r>
          </w:p>
        </w:tc>
        <w:tc>
          <w:tcPr>
            <w:tcW w:w="397" w:type="pct"/>
            <w:vAlign w:val="bottom"/>
          </w:tcPr>
          <w:p w14:paraId="66B95812" w14:textId="77777777" w:rsidR="00AF5F83" w:rsidRDefault="00AF5F83" w:rsidP="001A5D4A">
            <w:pPr>
              <w:pStyle w:val="NotesTable-HeadPlain"/>
            </w:pPr>
            <w:r>
              <w:t>[Specify]</w:t>
            </w:r>
          </w:p>
        </w:tc>
        <w:tc>
          <w:tcPr>
            <w:tcW w:w="397" w:type="pct"/>
            <w:vAlign w:val="bottom"/>
          </w:tcPr>
          <w:p w14:paraId="6F7499F4" w14:textId="77777777" w:rsidR="00AF5F83" w:rsidRDefault="00AF5F83" w:rsidP="001A5D4A">
            <w:pPr>
              <w:pStyle w:val="NotesTable-HeadPlain"/>
            </w:pPr>
            <w:r>
              <w:t>[Specify]</w:t>
            </w:r>
          </w:p>
        </w:tc>
        <w:tc>
          <w:tcPr>
            <w:tcW w:w="396" w:type="pct"/>
            <w:vAlign w:val="bottom"/>
          </w:tcPr>
          <w:p w14:paraId="674329AA" w14:textId="77777777" w:rsidR="00AF5F83" w:rsidRDefault="00AF5F83" w:rsidP="001A5D4A">
            <w:pPr>
              <w:pStyle w:val="NotesTable-HeadPlain"/>
            </w:pPr>
            <w:r>
              <w:t>Total</w:t>
            </w:r>
          </w:p>
        </w:tc>
      </w:tr>
      <w:tr w:rsidR="00AF5F83" w14:paraId="47ECF2CE" w14:textId="77777777" w:rsidTr="002E740E">
        <w:trPr>
          <w:cantSplit/>
          <w:trHeight w:hRule="exact" w:val="227"/>
        </w:trPr>
        <w:tc>
          <w:tcPr>
            <w:tcW w:w="800" w:type="pct"/>
            <w:vAlign w:val="bottom"/>
          </w:tcPr>
          <w:p w14:paraId="68B293A1" w14:textId="77777777" w:rsidR="00AF5F83" w:rsidRDefault="00AF5F83" w:rsidP="001A5D4A">
            <w:pPr>
              <w:pStyle w:val="Note-Refs"/>
            </w:pPr>
          </w:p>
        </w:tc>
        <w:tc>
          <w:tcPr>
            <w:tcW w:w="2423" w:type="pct"/>
            <w:vAlign w:val="bottom"/>
          </w:tcPr>
          <w:p w14:paraId="25D686F1" w14:textId="3FC82173" w:rsidR="00AF5F83" w:rsidRDefault="00AF5F83" w:rsidP="001A5D4A">
            <w:pPr>
              <w:pStyle w:val="NotesTable-ItemBold"/>
            </w:pPr>
            <w:r>
              <w:t>Parent</w:t>
            </w:r>
          </w:p>
        </w:tc>
        <w:tc>
          <w:tcPr>
            <w:tcW w:w="588" w:type="pct"/>
            <w:vAlign w:val="bottom"/>
          </w:tcPr>
          <w:p w14:paraId="3203A444" w14:textId="77777777" w:rsidR="00AF5F83" w:rsidRDefault="00AF5F83" w:rsidP="001A5D4A">
            <w:pPr>
              <w:pStyle w:val="NotesTable-HeadPlain"/>
              <w:rPr>
                <w:b/>
              </w:rPr>
            </w:pPr>
            <w:r>
              <w:t>$’000</w:t>
            </w:r>
          </w:p>
        </w:tc>
        <w:tc>
          <w:tcPr>
            <w:tcW w:w="397" w:type="pct"/>
            <w:vAlign w:val="bottom"/>
          </w:tcPr>
          <w:p w14:paraId="50C1A0F0" w14:textId="77777777" w:rsidR="00AF5F83" w:rsidRDefault="00AF5F83" w:rsidP="001A5D4A">
            <w:pPr>
              <w:pStyle w:val="NotesTable-HeadPlain"/>
              <w:rPr>
                <w:b/>
              </w:rPr>
            </w:pPr>
            <w:r>
              <w:t>$’000</w:t>
            </w:r>
          </w:p>
        </w:tc>
        <w:tc>
          <w:tcPr>
            <w:tcW w:w="397" w:type="pct"/>
            <w:vAlign w:val="bottom"/>
          </w:tcPr>
          <w:p w14:paraId="2F480808" w14:textId="77777777" w:rsidR="00AF5F83" w:rsidRDefault="00AF5F83" w:rsidP="001A5D4A">
            <w:pPr>
              <w:pStyle w:val="NotesTable-HeadPlain"/>
              <w:rPr>
                <w:b/>
              </w:rPr>
            </w:pPr>
            <w:r>
              <w:t>$’000</w:t>
            </w:r>
          </w:p>
        </w:tc>
        <w:tc>
          <w:tcPr>
            <w:tcW w:w="396" w:type="pct"/>
            <w:vAlign w:val="bottom"/>
          </w:tcPr>
          <w:p w14:paraId="7968E382" w14:textId="77777777" w:rsidR="00AF5F83" w:rsidRDefault="00AF5F83" w:rsidP="001A5D4A">
            <w:pPr>
              <w:pStyle w:val="NotesTable-HeadPlain"/>
              <w:rPr>
                <w:b/>
              </w:rPr>
            </w:pPr>
            <w:r>
              <w:t>$’000</w:t>
            </w:r>
          </w:p>
        </w:tc>
      </w:tr>
      <w:tr w:rsidR="00AF5F83" w14:paraId="2434B16D" w14:textId="77777777" w:rsidTr="002E740E">
        <w:trPr>
          <w:cantSplit/>
          <w:trHeight w:hRule="exact" w:val="454"/>
        </w:trPr>
        <w:tc>
          <w:tcPr>
            <w:tcW w:w="800" w:type="pct"/>
            <w:vAlign w:val="bottom"/>
          </w:tcPr>
          <w:p w14:paraId="682B96FC" w14:textId="77777777" w:rsidR="00AF5F83" w:rsidRDefault="00AF5F83" w:rsidP="001A5D4A">
            <w:pPr>
              <w:pStyle w:val="Note-Refs"/>
              <w:rPr>
                <w:b/>
              </w:rPr>
            </w:pPr>
            <w:r>
              <w:t>AASB3.61,B67d</w:t>
            </w:r>
          </w:p>
          <w:p w14:paraId="6B4C2CB1" w14:textId="77777777" w:rsidR="00AF5F83" w:rsidRDefault="00AF5F83" w:rsidP="001A5D4A">
            <w:pPr>
              <w:pStyle w:val="Note-Refs"/>
            </w:pPr>
            <w:r>
              <w:t xml:space="preserve">AASB138.118c </w:t>
            </w:r>
          </w:p>
        </w:tc>
        <w:tc>
          <w:tcPr>
            <w:tcW w:w="4200" w:type="pct"/>
            <w:gridSpan w:val="5"/>
            <w:vAlign w:val="bottom"/>
          </w:tcPr>
          <w:p w14:paraId="645B78C3" w14:textId="03DF9D12" w:rsidR="00AF5F83" w:rsidRDefault="00AF5F83" w:rsidP="001A5D4A">
            <w:pPr>
              <w:pStyle w:val="Note-TextHeader"/>
              <w:rPr>
                <w:lang w:val="en-GB"/>
              </w:rPr>
            </w:pPr>
            <w:r>
              <w:t xml:space="preserve">At 1 January </w:t>
            </w:r>
            <w:r w:rsidR="006864EC">
              <w:t>2013</w:t>
            </w:r>
          </w:p>
        </w:tc>
      </w:tr>
      <w:tr w:rsidR="00AF5F83" w14:paraId="2B70AAC3" w14:textId="77777777" w:rsidTr="002E740E">
        <w:trPr>
          <w:cantSplit/>
          <w:trHeight w:hRule="exact" w:val="227"/>
        </w:trPr>
        <w:tc>
          <w:tcPr>
            <w:tcW w:w="800" w:type="pct"/>
            <w:vAlign w:val="bottom"/>
          </w:tcPr>
          <w:p w14:paraId="14875B3F" w14:textId="77777777" w:rsidR="00AF5F83" w:rsidRDefault="00AF5F83" w:rsidP="001A5D4A">
            <w:pPr>
              <w:pStyle w:val="Note-Refs"/>
            </w:pPr>
          </w:p>
        </w:tc>
        <w:tc>
          <w:tcPr>
            <w:tcW w:w="2423" w:type="pct"/>
            <w:vAlign w:val="bottom"/>
          </w:tcPr>
          <w:p w14:paraId="27C43FA7" w14:textId="77777777" w:rsidR="00AF5F83" w:rsidRDefault="00AF5F83" w:rsidP="001A5D4A">
            <w:pPr>
              <w:pStyle w:val="NotesTable-ItemPlain"/>
              <w:rPr>
                <w:b/>
              </w:rPr>
            </w:pPr>
            <w:r>
              <w:t>Cost</w:t>
            </w:r>
          </w:p>
        </w:tc>
        <w:tc>
          <w:tcPr>
            <w:tcW w:w="588" w:type="pct"/>
            <w:vAlign w:val="bottom"/>
          </w:tcPr>
          <w:p w14:paraId="2ECAB340" w14:textId="77777777" w:rsidR="00AF5F83" w:rsidRDefault="00AF5F83" w:rsidP="001A5D4A">
            <w:pPr>
              <w:pStyle w:val="NotesTable-CellPlain"/>
            </w:pPr>
            <w:r>
              <w:t>–</w:t>
            </w:r>
          </w:p>
        </w:tc>
        <w:tc>
          <w:tcPr>
            <w:tcW w:w="397" w:type="pct"/>
            <w:vAlign w:val="bottom"/>
          </w:tcPr>
          <w:p w14:paraId="314B5FF7" w14:textId="77777777" w:rsidR="00AF5F83" w:rsidRDefault="00AF5F83" w:rsidP="001A5D4A">
            <w:pPr>
              <w:pStyle w:val="NotesTable-CellPlain"/>
            </w:pPr>
            <w:r>
              <w:t>–</w:t>
            </w:r>
          </w:p>
        </w:tc>
        <w:tc>
          <w:tcPr>
            <w:tcW w:w="397" w:type="pct"/>
            <w:vAlign w:val="bottom"/>
          </w:tcPr>
          <w:p w14:paraId="33AD45AC" w14:textId="77777777" w:rsidR="00AF5F83" w:rsidRDefault="00AF5F83" w:rsidP="001A5D4A">
            <w:pPr>
              <w:pStyle w:val="NotesTable-CellPlain"/>
            </w:pPr>
            <w:r>
              <w:t>–</w:t>
            </w:r>
          </w:p>
        </w:tc>
        <w:tc>
          <w:tcPr>
            <w:tcW w:w="396" w:type="pct"/>
            <w:vAlign w:val="bottom"/>
          </w:tcPr>
          <w:p w14:paraId="1956A124" w14:textId="77777777" w:rsidR="00AF5F83" w:rsidRDefault="00AF5F83" w:rsidP="001A5D4A">
            <w:pPr>
              <w:pStyle w:val="NotesTable-CellPlain"/>
            </w:pPr>
            <w:r>
              <w:t>–</w:t>
            </w:r>
          </w:p>
        </w:tc>
      </w:tr>
      <w:tr w:rsidR="00AF5F83" w14:paraId="27AA4D3D" w14:textId="77777777" w:rsidTr="002E740E">
        <w:trPr>
          <w:cantSplit/>
          <w:trHeight w:hRule="exact" w:val="227"/>
        </w:trPr>
        <w:tc>
          <w:tcPr>
            <w:tcW w:w="800" w:type="pct"/>
            <w:vAlign w:val="bottom"/>
          </w:tcPr>
          <w:p w14:paraId="1C53B5A9" w14:textId="77777777" w:rsidR="00AF5F83" w:rsidRDefault="00AF5F83" w:rsidP="001A5D4A">
            <w:pPr>
              <w:pStyle w:val="Note-Refs"/>
            </w:pPr>
          </w:p>
        </w:tc>
        <w:tc>
          <w:tcPr>
            <w:tcW w:w="2423" w:type="pct"/>
            <w:vAlign w:val="bottom"/>
          </w:tcPr>
          <w:p w14:paraId="526CDE6C" w14:textId="77777777" w:rsidR="00AF5F83" w:rsidRDefault="00AF5F83" w:rsidP="001A5D4A">
            <w:pPr>
              <w:pStyle w:val="NotesTable-ItemPlain"/>
              <w:rPr>
                <w:b/>
              </w:rPr>
            </w:pPr>
            <w:r>
              <w:t>Accumulated amortisation and impairment</w:t>
            </w:r>
          </w:p>
        </w:tc>
        <w:tc>
          <w:tcPr>
            <w:tcW w:w="588" w:type="pct"/>
            <w:tcBorders>
              <w:bottom w:val="single" w:sz="4" w:space="0" w:color="auto"/>
            </w:tcBorders>
            <w:vAlign w:val="bottom"/>
          </w:tcPr>
          <w:p w14:paraId="359DC0C2" w14:textId="77777777" w:rsidR="00AF5F83" w:rsidRDefault="00AF5F83" w:rsidP="001A5D4A">
            <w:pPr>
              <w:pStyle w:val="NotesTable-CellPlain"/>
            </w:pPr>
            <w:r>
              <w:t>–</w:t>
            </w:r>
          </w:p>
        </w:tc>
        <w:tc>
          <w:tcPr>
            <w:tcW w:w="397" w:type="pct"/>
            <w:tcBorders>
              <w:bottom w:val="single" w:sz="4" w:space="0" w:color="auto"/>
            </w:tcBorders>
            <w:vAlign w:val="bottom"/>
          </w:tcPr>
          <w:p w14:paraId="7FF89F0D" w14:textId="77777777" w:rsidR="00AF5F83" w:rsidRDefault="00AF5F83" w:rsidP="001A5D4A">
            <w:pPr>
              <w:pStyle w:val="NotesTable-CellPlain"/>
            </w:pPr>
            <w:r>
              <w:t>–</w:t>
            </w:r>
          </w:p>
        </w:tc>
        <w:tc>
          <w:tcPr>
            <w:tcW w:w="397" w:type="pct"/>
            <w:tcBorders>
              <w:bottom w:val="single" w:sz="4" w:space="0" w:color="auto"/>
            </w:tcBorders>
            <w:vAlign w:val="bottom"/>
          </w:tcPr>
          <w:p w14:paraId="7FFAA7FC" w14:textId="77777777" w:rsidR="00AF5F83" w:rsidRDefault="00AF5F83" w:rsidP="001A5D4A">
            <w:pPr>
              <w:pStyle w:val="NotesTable-CellPlain"/>
            </w:pPr>
            <w:r>
              <w:t>–</w:t>
            </w:r>
          </w:p>
        </w:tc>
        <w:tc>
          <w:tcPr>
            <w:tcW w:w="396" w:type="pct"/>
            <w:tcBorders>
              <w:bottom w:val="single" w:sz="4" w:space="0" w:color="auto"/>
            </w:tcBorders>
            <w:vAlign w:val="bottom"/>
          </w:tcPr>
          <w:p w14:paraId="4E0B6EE6" w14:textId="77777777" w:rsidR="00AF5F83" w:rsidRDefault="00AF5F83" w:rsidP="001A5D4A">
            <w:pPr>
              <w:pStyle w:val="NotesTable-CellPlain"/>
            </w:pPr>
            <w:r>
              <w:t>–</w:t>
            </w:r>
          </w:p>
        </w:tc>
      </w:tr>
      <w:tr w:rsidR="00AF5F83" w14:paraId="6536E3B1" w14:textId="77777777" w:rsidTr="002E740E">
        <w:trPr>
          <w:cantSplit/>
          <w:trHeight w:hRule="exact" w:val="227"/>
        </w:trPr>
        <w:tc>
          <w:tcPr>
            <w:tcW w:w="800" w:type="pct"/>
            <w:vAlign w:val="bottom"/>
          </w:tcPr>
          <w:p w14:paraId="4B61F547" w14:textId="77777777" w:rsidR="00AF5F83" w:rsidRDefault="00AF5F83" w:rsidP="001A5D4A">
            <w:pPr>
              <w:pStyle w:val="Note-Refs"/>
            </w:pPr>
          </w:p>
        </w:tc>
        <w:tc>
          <w:tcPr>
            <w:tcW w:w="2423" w:type="pct"/>
            <w:vAlign w:val="bottom"/>
          </w:tcPr>
          <w:p w14:paraId="080B6FA6" w14:textId="77777777" w:rsidR="00AF5F83" w:rsidRDefault="00AF5F83" w:rsidP="001A5D4A">
            <w:pPr>
              <w:pStyle w:val="NotesTable-ItemPlain"/>
              <w:rPr>
                <w:b/>
              </w:rPr>
            </w:pPr>
            <w:r>
              <w:t>Net book amount</w:t>
            </w:r>
          </w:p>
        </w:tc>
        <w:tc>
          <w:tcPr>
            <w:tcW w:w="588" w:type="pct"/>
            <w:tcBorders>
              <w:top w:val="single" w:sz="4" w:space="0" w:color="auto"/>
            </w:tcBorders>
            <w:vAlign w:val="bottom"/>
          </w:tcPr>
          <w:p w14:paraId="39C6F864" w14:textId="77777777" w:rsidR="00AF5F83" w:rsidRDefault="00AF5F83" w:rsidP="001A5D4A">
            <w:pPr>
              <w:pStyle w:val="NotesTable-CellPlain"/>
            </w:pPr>
            <w:r>
              <w:t>–</w:t>
            </w:r>
          </w:p>
        </w:tc>
        <w:tc>
          <w:tcPr>
            <w:tcW w:w="397" w:type="pct"/>
            <w:tcBorders>
              <w:top w:val="single" w:sz="4" w:space="0" w:color="auto"/>
            </w:tcBorders>
            <w:vAlign w:val="bottom"/>
          </w:tcPr>
          <w:p w14:paraId="2133D9F0" w14:textId="77777777" w:rsidR="00AF5F83" w:rsidRDefault="00AF5F83" w:rsidP="001A5D4A">
            <w:pPr>
              <w:pStyle w:val="NotesTable-CellPlain"/>
            </w:pPr>
            <w:r>
              <w:t>–</w:t>
            </w:r>
          </w:p>
        </w:tc>
        <w:tc>
          <w:tcPr>
            <w:tcW w:w="397" w:type="pct"/>
            <w:tcBorders>
              <w:top w:val="single" w:sz="4" w:space="0" w:color="auto"/>
            </w:tcBorders>
            <w:vAlign w:val="bottom"/>
          </w:tcPr>
          <w:p w14:paraId="5D3C9C36" w14:textId="77777777" w:rsidR="00AF5F83" w:rsidRDefault="00AF5F83" w:rsidP="001A5D4A">
            <w:pPr>
              <w:pStyle w:val="NotesTable-CellPlain"/>
            </w:pPr>
            <w:r>
              <w:t>–</w:t>
            </w:r>
          </w:p>
        </w:tc>
        <w:tc>
          <w:tcPr>
            <w:tcW w:w="396" w:type="pct"/>
            <w:tcBorders>
              <w:top w:val="single" w:sz="4" w:space="0" w:color="auto"/>
            </w:tcBorders>
            <w:vAlign w:val="bottom"/>
          </w:tcPr>
          <w:p w14:paraId="79419D27" w14:textId="77777777" w:rsidR="00AF5F83" w:rsidRDefault="00AF5F83" w:rsidP="001A5D4A">
            <w:pPr>
              <w:pStyle w:val="NotesTable-CellPlain"/>
            </w:pPr>
            <w:r>
              <w:t>–</w:t>
            </w:r>
          </w:p>
        </w:tc>
      </w:tr>
      <w:tr w:rsidR="00AF5F83" w14:paraId="28696486" w14:textId="77777777" w:rsidTr="002E740E">
        <w:trPr>
          <w:cantSplit/>
          <w:trHeight w:hRule="exact" w:val="227"/>
        </w:trPr>
        <w:tc>
          <w:tcPr>
            <w:tcW w:w="800" w:type="pct"/>
            <w:vAlign w:val="bottom"/>
          </w:tcPr>
          <w:p w14:paraId="05C9E754" w14:textId="77777777" w:rsidR="00AF5F83" w:rsidRDefault="00AF5F83" w:rsidP="001A5D4A">
            <w:pPr>
              <w:pStyle w:val="Note-Refs"/>
            </w:pPr>
          </w:p>
        </w:tc>
        <w:tc>
          <w:tcPr>
            <w:tcW w:w="4200" w:type="pct"/>
            <w:gridSpan w:val="5"/>
            <w:vAlign w:val="bottom"/>
          </w:tcPr>
          <w:p w14:paraId="2DBC35D1" w14:textId="77777777" w:rsidR="00AF5F83" w:rsidRDefault="00AF5F83" w:rsidP="001A5D4A">
            <w:pPr>
              <w:pStyle w:val="Note-Text"/>
            </w:pPr>
          </w:p>
        </w:tc>
      </w:tr>
      <w:tr w:rsidR="00AF5F83" w14:paraId="67F70532" w14:textId="77777777" w:rsidTr="002E740E">
        <w:trPr>
          <w:cantSplit/>
          <w:trHeight w:hRule="exact" w:val="227"/>
        </w:trPr>
        <w:tc>
          <w:tcPr>
            <w:tcW w:w="800" w:type="pct"/>
            <w:vAlign w:val="bottom"/>
          </w:tcPr>
          <w:p w14:paraId="6E423B19" w14:textId="77777777" w:rsidR="00AF5F83" w:rsidRDefault="00AF5F83" w:rsidP="001A5D4A">
            <w:pPr>
              <w:pStyle w:val="Note-Refs"/>
              <w:rPr>
                <w:b/>
              </w:rPr>
            </w:pPr>
            <w:r>
              <w:t>AASB138.118e</w:t>
            </w:r>
          </w:p>
        </w:tc>
        <w:tc>
          <w:tcPr>
            <w:tcW w:w="4200" w:type="pct"/>
            <w:gridSpan w:val="5"/>
            <w:vAlign w:val="bottom"/>
          </w:tcPr>
          <w:p w14:paraId="7DE226CA" w14:textId="34996174" w:rsidR="00AF5F83" w:rsidRDefault="00AF5F83" w:rsidP="001A5D4A">
            <w:pPr>
              <w:pStyle w:val="Note-TextHeader"/>
              <w:rPr>
                <w:lang w:val="en-GB"/>
              </w:rPr>
            </w:pPr>
            <w:r>
              <w:t xml:space="preserve">Year ended 31 December </w:t>
            </w:r>
            <w:r w:rsidR="006864EC">
              <w:t>2013</w:t>
            </w:r>
          </w:p>
        </w:tc>
      </w:tr>
      <w:tr w:rsidR="00AF5F83" w14:paraId="209321A2" w14:textId="77777777" w:rsidTr="002E740E">
        <w:trPr>
          <w:cantSplit/>
          <w:trHeight w:hRule="exact" w:val="227"/>
        </w:trPr>
        <w:tc>
          <w:tcPr>
            <w:tcW w:w="800" w:type="pct"/>
            <w:vAlign w:val="bottom"/>
          </w:tcPr>
          <w:p w14:paraId="0A8F4C13" w14:textId="77777777" w:rsidR="00AF5F83" w:rsidRDefault="00AF5F83" w:rsidP="001A5D4A">
            <w:pPr>
              <w:pStyle w:val="Note-Refs"/>
            </w:pPr>
          </w:p>
        </w:tc>
        <w:tc>
          <w:tcPr>
            <w:tcW w:w="2423" w:type="pct"/>
            <w:vAlign w:val="bottom"/>
          </w:tcPr>
          <w:p w14:paraId="36662083" w14:textId="77777777" w:rsidR="00AF5F83" w:rsidRDefault="00AF5F83" w:rsidP="001A5D4A">
            <w:pPr>
              <w:pStyle w:val="NotesTable-ItemPlain"/>
              <w:rPr>
                <w:b/>
              </w:rPr>
            </w:pPr>
            <w:r>
              <w:t>Opening net book amount</w:t>
            </w:r>
          </w:p>
        </w:tc>
        <w:tc>
          <w:tcPr>
            <w:tcW w:w="588" w:type="pct"/>
            <w:vAlign w:val="bottom"/>
          </w:tcPr>
          <w:p w14:paraId="06FA107E" w14:textId="77777777" w:rsidR="00AF5F83" w:rsidRDefault="00AF5F83" w:rsidP="001A5D4A">
            <w:pPr>
              <w:pStyle w:val="NotesTable-CellPlain"/>
            </w:pPr>
            <w:r>
              <w:t>–</w:t>
            </w:r>
          </w:p>
        </w:tc>
        <w:tc>
          <w:tcPr>
            <w:tcW w:w="397" w:type="pct"/>
            <w:vAlign w:val="bottom"/>
          </w:tcPr>
          <w:p w14:paraId="42576F84" w14:textId="77777777" w:rsidR="00AF5F83" w:rsidRDefault="00AF5F83" w:rsidP="001A5D4A">
            <w:pPr>
              <w:pStyle w:val="NotesTable-CellPlain"/>
            </w:pPr>
            <w:r>
              <w:t>–</w:t>
            </w:r>
          </w:p>
        </w:tc>
        <w:tc>
          <w:tcPr>
            <w:tcW w:w="397" w:type="pct"/>
            <w:vAlign w:val="bottom"/>
          </w:tcPr>
          <w:p w14:paraId="2F5DE835" w14:textId="77777777" w:rsidR="00AF5F83" w:rsidRDefault="00AF5F83" w:rsidP="001A5D4A">
            <w:pPr>
              <w:pStyle w:val="NotesTable-CellPlain"/>
            </w:pPr>
            <w:r>
              <w:t>–</w:t>
            </w:r>
          </w:p>
        </w:tc>
        <w:tc>
          <w:tcPr>
            <w:tcW w:w="396" w:type="pct"/>
            <w:vAlign w:val="bottom"/>
          </w:tcPr>
          <w:p w14:paraId="40A1F725" w14:textId="77777777" w:rsidR="00AF5F83" w:rsidRDefault="00AF5F83" w:rsidP="001A5D4A">
            <w:pPr>
              <w:pStyle w:val="NotesTable-CellPlain"/>
            </w:pPr>
            <w:r>
              <w:t>–</w:t>
            </w:r>
          </w:p>
        </w:tc>
      </w:tr>
      <w:tr w:rsidR="00AF5F83" w14:paraId="601233ED" w14:textId="77777777" w:rsidTr="002E740E">
        <w:trPr>
          <w:cantSplit/>
          <w:trHeight w:hRule="exact" w:val="227"/>
        </w:trPr>
        <w:tc>
          <w:tcPr>
            <w:tcW w:w="800" w:type="pct"/>
            <w:vAlign w:val="bottom"/>
          </w:tcPr>
          <w:p w14:paraId="477DF980" w14:textId="77777777" w:rsidR="00AF5F83" w:rsidRDefault="00AF5F83" w:rsidP="001A5D4A">
            <w:pPr>
              <w:pStyle w:val="Note-Refs"/>
              <w:rPr>
                <w:b/>
              </w:rPr>
            </w:pPr>
            <w:r>
              <w:t>AASB138.118e(i)</w:t>
            </w:r>
          </w:p>
        </w:tc>
        <w:tc>
          <w:tcPr>
            <w:tcW w:w="2423" w:type="pct"/>
            <w:vAlign w:val="bottom"/>
          </w:tcPr>
          <w:p w14:paraId="46D97F70" w14:textId="77777777" w:rsidR="00AF5F83" w:rsidRDefault="00AF5F83" w:rsidP="001A5D4A">
            <w:pPr>
              <w:pStyle w:val="NotesTable-ItemPlain"/>
              <w:rPr>
                <w:b/>
              </w:rPr>
            </w:pPr>
            <w:r>
              <w:t>Additions - Internal development</w:t>
            </w:r>
          </w:p>
        </w:tc>
        <w:tc>
          <w:tcPr>
            <w:tcW w:w="588" w:type="pct"/>
            <w:vAlign w:val="bottom"/>
          </w:tcPr>
          <w:p w14:paraId="20FAC0A9" w14:textId="77777777" w:rsidR="00AF5F83" w:rsidRDefault="00AF5F83" w:rsidP="001A5D4A">
            <w:pPr>
              <w:pStyle w:val="NotesTable-CellPlain"/>
            </w:pPr>
            <w:r>
              <w:t>–</w:t>
            </w:r>
          </w:p>
        </w:tc>
        <w:tc>
          <w:tcPr>
            <w:tcW w:w="397" w:type="pct"/>
            <w:vAlign w:val="bottom"/>
          </w:tcPr>
          <w:p w14:paraId="4EBDC61F" w14:textId="77777777" w:rsidR="00AF5F83" w:rsidRDefault="00AF5F83" w:rsidP="001A5D4A">
            <w:pPr>
              <w:pStyle w:val="NotesTable-CellPlain"/>
            </w:pPr>
            <w:r>
              <w:t>–</w:t>
            </w:r>
          </w:p>
        </w:tc>
        <w:tc>
          <w:tcPr>
            <w:tcW w:w="397" w:type="pct"/>
            <w:vAlign w:val="bottom"/>
          </w:tcPr>
          <w:p w14:paraId="61666BFA" w14:textId="77777777" w:rsidR="00AF5F83" w:rsidRDefault="00AF5F83" w:rsidP="001A5D4A">
            <w:pPr>
              <w:pStyle w:val="NotesTable-CellPlain"/>
            </w:pPr>
            <w:r>
              <w:t>–</w:t>
            </w:r>
          </w:p>
        </w:tc>
        <w:tc>
          <w:tcPr>
            <w:tcW w:w="396" w:type="pct"/>
            <w:vAlign w:val="bottom"/>
          </w:tcPr>
          <w:p w14:paraId="3149320F" w14:textId="77777777" w:rsidR="00AF5F83" w:rsidRDefault="00AF5F83" w:rsidP="001A5D4A">
            <w:pPr>
              <w:pStyle w:val="NotesTable-CellPlain"/>
            </w:pPr>
            <w:r>
              <w:t>–</w:t>
            </w:r>
          </w:p>
        </w:tc>
      </w:tr>
      <w:tr w:rsidR="00AF5F83" w14:paraId="41A60F3D" w14:textId="77777777" w:rsidTr="002E740E">
        <w:trPr>
          <w:cantSplit/>
          <w:trHeight w:hRule="exact" w:val="227"/>
        </w:trPr>
        <w:tc>
          <w:tcPr>
            <w:tcW w:w="800" w:type="pct"/>
            <w:vAlign w:val="bottom"/>
          </w:tcPr>
          <w:p w14:paraId="355EFA11" w14:textId="77777777" w:rsidR="00AF5F83" w:rsidRDefault="00AF5F83" w:rsidP="001A5D4A">
            <w:pPr>
              <w:pStyle w:val="Note-Refs"/>
              <w:rPr>
                <w:b/>
              </w:rPr>
            </w:pPr>
            <w:r>
              <w:t>AASB138.118e(i)</w:t>
            </w:r>
          </w:p>
        </w:tc>
        <w:tc>
          <w:tcPr>
            <w:tcW w:w="2423" w:type="pct"/>
            <w:vAlign w:val="bottom"/>
          </w:tcPr>
          <w:p w14:paraId="17AC3864" w14:textId="77777777" w:rsidR="00AF5F83" w:rsidRDefault="00AF5F83" w:rsidP="001A5D4A">
            <w:pPr>
              <w:pStyle w:val="NotesTable-ItemPlain"/>
              <w:rPr>
                <w:b/>
              </w:rPr>
            </w:pPr>
            <w:r>
              <w:t>Additions - Acquisition of subsidiary</w:t>
            </w:r>
          </w:p>
        </w:tc>
        <w:tc>
          <w:tcPr>
            <w:tcW w:w="588" w:type="pct"/>
            <w:vAlign w:val="bottom"/>
          </w:tcPr>
          <w:p w14:paraId="44FC227A" w14:textId="77777777" w:rsidR="00AF5F83" w:rsidRDefault="00AF5F83" w:rsidP="001A5D4A">
            <w:pPr>
              <w:pStyle w:val="NotesTable-CellPlain"/>
            </w:pPr>
            <w:r>
              <w:t>–</w:t>
            </w:r>
          </w:p>
        </w:tc>
        <w:tc>
          <w:tcPr>
            <w:tcW w:w="397" w:type="pct"/>
            <w:vAlign w:val="bottom"/>
          </w:tcPr>
          <w:p w14:paraId="17C38D78" w14:textId="77777777" w:rsidR="00AF5F83" w:rsidRDefault="00AF5F83" w:rsidP="001A5D4A">
            <w:pPr>
              <w:pStyle w:val="NotesTable-CellPlain"/>
            </w:pPr>
            <w:r>
              <w:t>–</w:t>
            </w:r>
          </w:p>
        </w:tc>
        <w:tc>
          <w:tcPr>
            <w:tcW w:w="397" w:type="pct"/>
            <w:vAlign w:val="bottom"/>
          </w:tcPr>
          <w:p w14:paraId="441704B1" w14:textId="77777777" w:rsidR="00AF5F83" w:rsidRDefault="00AF5F83" w:rsidP="001A5D4A">
            <w:pPr>
              <w:pStyle w:val="NotesTable-CellPlain"/>
            </w:pPr>
            <w:r>
              <w:t>–</w:t>
            </w:r>
          </w:p>
        </w:tc>
        <w:tc>
          <w:tcPr>
            <w:tcW w:w="396" w:type="pct"/>
            <w:vAlign w:val="bottom"/>
          </w:tcPr>
          <w:p w14:paraId="421BDACF" w14:textId="77777777" w:rsidR="00AF5F83" w:rsidRDefault="00AF5F83" w:rsidP="001A5D4A">
            <w:pPr>
              <w:pStyle w:val="NotesTable-CellPlain"/>
            </w:pPr>
            <w:r>
              <w:t>–</w:t>
            </w:r>
          </w:p>
        </w:tc>
      </w:tr>
      <w:tr w:rsidR="00AF5F83" w14:paraId="11597EB0" w14:textId="77777777" w:rsidTr="002E740E">
        <w:trPr>
          <w:cantSplit/>
          <w:trHeight w:hRule="exact" w:val="227"/>
        </w:trPr>
        <w:tc>
          <w:tcPr>
            <w:tcW w:w="800" w:type="pct"/>
            <w:vAlign w:val="bottom"/>
          </w:tcPr>
          <w:p w14:paraId="1AA38169" w14:textId="77777777" w:rsidR="00AF5F83" w:rsidRDefault="00AF5F83" w:rsidP="001A5D4A">
            <w:pPr>
              <w:pStyle w:val="Note-Refs"/>
              <w:rPr>
                <w:b/>
              </w:rPr>
            </w:pPr>
            <w:r>
              <w:t>AASB138.118e(i)</w:t>
            </w:r>
          </w:p>
        </w:tc>
        <w:tc>
          <w:tcPr>
            <w:tcW w:w="2423" w:type="pct"/>
            <w:vAlign w:val="bottom"/>
          </w:tcPr>
          <w:p w14:paraId="0DA8625A" w14:textId="77777777" w:rsidR="00AF5F83" w:rsidRDefault="00AF5F83" w:rsidP="001A5D4A">
            <w:pPr>
              <w:pStyle w:val="NotesTable-ItemPlain"/>
              <w:rPr>
                <w:b/>
              </w:rPr>
            </w:pPr>
            <w:r>
              <w:t>Additions - Separately acquired</w:t>
            </w:r>
          </w:p>
        </w:tc>
        <w:tc>
          <w:tcPr>
            <w:tcW w:w="588" w:type="pct"/>
            <w:vAlign w:val="bottom"/>
          </w:tcPr>
          <w:p w14:paraId="0FD1DBEF" w14:textId="77777777" w:rsidR="00AF5F83" w:rsidRDefault="00AF5F83" w:rsidP="001A5D4A">
            <w:pPr>
              <w:pStyle w:val="NotesTable-CellPlain"/>
            </w:pPr>
            <w:r>
              <w:t>–</w:t>
            </w:r>
          </w:p>
        </w:tc>
        <w:tc>
          <w:tcPr>
            <w:tcW w:w="397" w:type="pct"/>
            <w:vAlign w:val="bottom"/>
          </w:tcPr>
          <w:p w14:paraId="00EF0D03" w14:textId="77777777" w:rsidR="00AF5F83" w:rsidRDefault="00AF5F83" w:rsidP="001A5D4A">
            <w:pPr>
              <w:pStyle w:val="NotesTable-CellPlain"/>
            </w:pPr>
            <w:r>
              <w:t>–</w:t>
            </w:r>
          </w:p>
        </w:tc>
        <w:tc>
          <w:tcPr>
            <w:tcW w:w="397" w:type="pct"/>
            <w:vAlign w:val="bottom"/>
          </w:tcPr>
          <w:p w14:paraId="6DD2CD81" w14:textId="77777777" w:rsidR="00AF5F83" w:rsidRDefault="00AF5F83" w:rsidP="001A5D4A">
            <w:pPr>
              <w:pStyle w:val="NotesTable-CellPlain"/>
            </w:pPr>
            <w:r>
              <w:t>–</w:t>
            </w:r>
          </w:p>
        </w:tc>
        <w:tc>
          <w:tcPr>
            <w:tcW w:w="396" w:type="pct"/>
            <w:vAlign w:val="bottom"/>
          </w:tcPr>
          <w:p w14:paraId="4B22CE84" w14:textId="77777777" w:rsidR="00AF5F83" w:rsidRDefault="00AF5F83" w:rsidP="001A5D4A">
            <w:pPr>
              <w:pStyle w:val="NotesTable-CellPlain"/>
            </w:pPr>
            <w:r>
              <w:t>–</w:t>
            </w:r>
          </w:p>
        </w:tc>
      </w:tr>
      <w:tr w:rsidR="00AF5F83" w14:paraId="47D34348" w14:textId="77777777" w:rsidTr="002E740E">
        <w:trPr>
          <w:cantSplit/>
          <w:trHeight w:hRule="exact" w:val="227"/>
        </w:trPr>
        <w:tc>
          <w:tcPr>
            <w:tcW w:w="800" w:type="pct"/>
            <w:vAlign w:val="bottom"/>
          </w:tcPr>
          <w:p w14:paraId="315DEC85" w14:textId="77777777" w:rsidR="00AF5F83" w:rsidRDefault="00AF5F83" w:rsidP="001A5D4A">
            <w:pPr>
              <w:pStyle w:val="Note-Refs"/>
              <w:rPr>
                <w:b/>
              </w:rPr>
            </w:pPr>
            <w:r>
              <w:t>AASB138.118e(ii)</w:t>
            </w:r>
          </w:p>
        </w:tc>
        <w:tc>
          <w:tcPr>
            <w:tcW w:w="2423" w:type="pct"/>
            <w:vAlign w:val="bottom"/>
          </w:tcPr>
          <w:p w14:paraId="7B478833" w14:textId="77777777" w:rsidR="00AF5F83" w:rsidRDefault="00AF5F83" w:rsidP="001A5D4A">
            <w:pPr>
              <w:pStyle w:val="NotesTable-ItemPlain"/>
              <w:rPr>
                <w:b/>
              </w:rPr>
            </w:pPr>
            <w:r>
              <w:t>Disposals</w:t>
            </w:r>
          </w:p>
        </w:tc>
        <w:tc>
          <w:tcPr>
            <w:tcW w:w="588" w:type="pct"/>
            <w:vAlign w:val="bottom"/>
          </w:tcPr>
          <w:p w14:paraId="0240FD39" w14:textId="77777777" w:rsidR="00AF5F83" w:rsidRDefault="00AF5F83" w:rsidP="001A5D4A">
            <w:pPr>
              <w:pStyle w:val="NotesTable-CellPlain"/>
            </w:pPr>
            <w:r>
              <w:t>–</w:t>
            </w:r>
          </w:p>
        </w:tc>
        <w:tc>
          <w:tcPr>
            <w:tcW w:w="397" w:type="pct"/>
            <w:vAlign w:val="bottom"/>
          </w:tcPr>
          <w:p w14:paraId="123F2E61" w14:textId="77777777" w:rsidR="00AF5F83" w:rsidRDefault="00AF5F83" w:rsidP="001A5D4A">
            <w:pPr>
              <w:pStyle w:val="NotesTable-CellPlain"/>
            </w:pPr>
            <w:r>
              <w:t>–</w:t>
            </w:r>
          </w:p>
        </w:tc>
        <w:tc>
          <w:tcPr>
            <w:tcW w:w="397" w:type="pct"/>
            <w:vAlign w:val="bottom"/>
          </w:tcPr>
          <w:p w14:paraId="1CE2FB56" w14:textId="77777777" w:rsidR="00AF5F83" w:rsidRDefault="00AF5F83" w:rsidP="001A5D4A">
            <w:pPr>
              <w:pStyle w:val="NotesTable-CellPlain"/>
            </w:pPr>
            <w:r>
              <w:t>–</w:t>
            </w:r>
          </w:p>
        </w:tc>
        <w:tc>
          <w:tcPr>
            <w:tcW w:w="396" w:type="pct"/>
            <w:vAlign w:val="bottom"/>
          </w:tcPr>
          <w:p w14:paraId="4AD0D048" w14:textId="77777777" w:rsidR="00AF5F83" w:rsidRDefault="00AF5F83" w:rsidP="001A5D4A">
            <w:pPr>
              <w:pStyle w:val="NotesTable-CellPlain"/>
            </w:pPr>
            <w:r>
              <w:t>–</w:t>
            </w:r>
          </w:p>
        </w:tc>
      </w:tr>
      <w:tr w:rsidR="00AF5F83" w14:paraId="1252AE62" w14:textId="77777777" w:rsidTr="002E740E">
        <w:trPr>
          <w:cantSplit/>
          <w:trHeight w:hRule="exact" w:val="227"/>
        </w:trPr>
        <w:tc>
          <w:tcPr>
            <w:tcW w:w="800" w:type="pct"/>
            <w:vAlign w:val="bottom"/>
          </w:tcPr>
          <w:p w14:paraId="0EC8F4EE" w14:textId="77777777" w:rsidR="00AF5F83" w:rsidRDefault="00AF5F83" w:rsidP="001A5D4A">
            <w:pPr>
              <w:pStyle w:val="Note-Refs"/>
              <w:rPr>
                <w:b/>
              </w:rPr>
            </w:pPr>
            <w:r>
              <w:t>AASB138.118e(iv)</w:t>
            </w:r>
          </w:p>
        </w:tc>
        <w:tc>
          <w:tcPr>
            <w:tcW w:w="2423" w:type="pct"/>
            <w:vAlign w:val="bottom"/>
          </w:tcPr>
          <w:p w14:paraId="4E6904C9" w14:textId="77777777" w:rsidR="00AF5F83" w:rsidRDefault="00AF5F83" w:rsidP="001A5D4A">
            <w:pPr>
              <w:pStyle w:val="NotesTable-ItemPlain"/>
              <w:rPr>
                <w:b/>
              </w:rPr>
            </w:pPr>
            <w:r>
              <w:t xml:space="preserve">Impairment losses </w:t>
            </w:r>
          </w:p>
        </w:tc>
        <w:tc>
          <w:tcPr>
            <w:tcW w:w="588" w:type="pct"/>
            <w:vAlign w:val="bottom"/>
          </w:tcPr>
          <w:p w14:paraId="2DE960F2" w14:textId="77777777" w:rsidR="00AF5F83" w:rsidRDefault="00AF5F83" w:rsidP="001A5D4A">
            <w:pPr>
              <w:pStyle w:val="NotesTable-CellPlain"/>
            </w:pPr>
            <w:r>
              <w:t>–</w:t>
            </w:r>
          </w:p>
        </w:tc>
        <w:tc>
          <w:tcPr>
            <w:tcW w:w="397" w:type="pct"/>
            <w:vAlign w:val="bottom"/>
          </w:tcPr>
          <w:p w14:paraId="6D38FA27" w14:textId="77777777" w:rsidR="00AF5F83" w:rsidRDefault="00AF5F83" w:rsidP="001A5D4A">
            <w:pPr>
              <w:pStyle w:val="NotesTable-CellPlain"/>
            </w:pPr>
            <w:r>
              <w:t>–</w:t>
            </w:r>
          </w:p>
        </w:tc>
        <w:tc>
          <w:tcPr>
            <w:tcW w:w="397" w:type="pct"/>
            <w:vAlign w:val="bottom"/>
          </w:tcPr>
          <w:p w14:paraId="3DE1ACFE" w14:textId="77777777" w:rsidR="00AF5F83" w:rsidRDefault="00AF5F83" w:rsidP="001A5D4A">
            <w:pPr>
              <w:pStyle w:val="NotesTable-CellPlain"/>
            </w:pPr>
            <w:r>
              <w:t>–</w:t>
            </w:r>
          </w:p>
        </w:tc>
        <w:tc>
          <w:tcPr>
            <w:tcW w:w="396" w:type="pct"/>
            <w:vAlign w:val="bottom"/>
          </w:tcPr>
          <w:p w14:paraId="15B66BCF" w14:textId="77777777" w:rsidR="00AF5F83" w:rsidRDefault="00AF5F83" w:rsidP="001A5D4A">
            <w:pPr>
              <w:pStyle w:val="NotesTable-CellPlain"/>
            </w:pPr>
            <w:r>
              <w:t>–</w:t>
            </w:r>
          </w:p>
        </w:tc>
      </w:tr>
      <w:tr w:rsidR="00AF5F83" w14:paraId="3A92AD4C" w14:textId="77777777" w:rsidTr="002E740E">
        <w:trPr>
          <w:cantSplit/>
          <w:trHeight w:hRule="exact" w:val="227"/>
        </w:trPr>
        <w:tc>
          <w:tcPr>
            <w:tcW w:w="800" w:type="pct"/>
            <w:vAlign w:val="bottom"/>
          </w:tcPr>
          <w:p w14:paraId="08F89256" w14:textId="77777777" w:rsidR="00AF5F83" w:rsidRDefault="00AF5F83" w:rsidP="001A5D4A">
            <w:pPr>
              <w:pStyle w:val="Note-Refs"/>
              <w:rPr>
                <w:b/>
              </w:rPr>
            </w:pPr>
            <w:r>
              <w:t>AASB138.118e(vi)</w:t>
            </w:r>
          </w:p>
        </w:tc>
        <w:tc>
          <w:tcPr>
            <w:tcW w:w="2423" w:type="pct"/>
            <w:vAlign w:val="bottom"/>
          </w:tcPr>
          <w:p w14:paraId="4312B194" w14:textId="77777777" w:rsidR="00AF5F83" w:rsidRDefault="00AF5F83" w:rsidP="001A5D4A">
            <w:pPr>
              <w:pStyle w:val="NotesTable-ItemPlain"/>
              <w:rPr>
                <w:b/>
              </w:rPr>
            </w:pPr>
            <w:r>
              <w:t xml:space="preserve">Amortisation charge </w:t>
            </w:r>
          </w:p>
        </w:tc>
        <w:tc>
          <w:tcPr>
            <w:tcW w:w="588" w:type="pct"/>
            <w:tcBorders>
              <w:bottom w:val="single" w:sz="4" w:space="0" w:color="auto"/>
            </w:tcBorders>
            <w:vAlign w:val="bottom"/>
          </w:tcPr>
          <w:p w14:paraId="3F33476B" w14:textId="77777777" w:rsidR="00AF5F83" w:rsidRDefault="00AF5F83" w:rsidP="001A5D4A">
            <w:pPr>
              <w:pStyle w:val="NotesTable-CellPlain"/>
            </w:pPr>
            <w:r>
              <w:t>–</w:t>
            </w:r>
          </w:p>
        </w:tc>
        <w:tc>
          <w:tcPr>
            <w:tcW w:w="397" w:type="pct"/>
            <w:tcBorders>
              <w:bottom w:val="single" w:sz="4" w:space="0" w:color="auto"/>
            </w:tcBorders>
            <w:vAlign w:val="bottom"/>
          </w:tcPr>
          <w:p w14:paraId="2D47A6BE" w14:textId="77777777" w:rsidR="00AF5F83" w:rsidRDefault="00AF5F83" w:rsidP="001A5D4A">
            <w:pPr>
              <w:pStyle w:val="NotesTable-CellPlain"/>
            </w:pPr>
            <w:r>
              <w:t>–</w:t>
            </w:r>
          </w:p>
        </w:tc>
        <w:tc>
          <w:tcPr>
            <w:tcW w:w="397" w:type="pct"/>
            <w:tcBorders>
              <w:bottom w:val="single" w:sz="4" w:space="0" w:color="auto"/>
            </w:tcBorders>
            <w:vAlign w:val="bottom"/>
          </w:tcPr>
          <w:p w14:paraId="30D49CD1" w14:textId="77777777" w:rsidR="00AF5F83" w:rsidRDefault="00AF5F83" w:rsidP="001A5D4A">
            <w:pPr>
              <w:pStyle w:val="NotesTable-CellPlain"/>
            </w:pPr>
            <w:r>
              <w:t>–</w:t>
            </w:r>
          </w:p>
        </w:tc>
        <w:tc>
          <w:tcPr>
            <w:tcW w:w="396" w:type="pct"/>
            <w:tcBorders>
              <w:bottom w:val="single" w:sz="4" w:space="0" w:color="auto"/>
            </w:tcBorders>
            <w:vAlign w:val="bottom"/>
          </w:tcPr>
          <w:p w14:paraId="6790D6F0" w14:textId="77777777" w:rsidR="00AF5F83" w:rsidRDefault="00AF5F83" w:rsidP="001A5D4A">
            <w:pPr>
              <w:pStyle w:val="NotesTable-CellPlain"/>
            </w:pPr>
            <w:r>
              <w:t>–</w:t>
            </w:r>
          </w:p>
        </w:tc>
      </w:tr>
      <w:tr w:rsidR="00AF5F83" w14:paraId="795BB6BA" w14:textId="77777777" w:rsidTr="002E740E">
        <w:trPr>
          <w:cantSplit/>
          <w:trHeight w:hRule="exact" w:val="227"/>
        </w:trPr>
        <w:tc>
          <w:tcPr>
            <w:tcW w:w="800" w:type="pct"/>
            <w:vAlign w:val="bottom"/>
          </w:tcPr>
          <w:p w14:paraId="280F1CF8" w14:textId="77777777" w:rsidR="00AF5F83" w:rsidRDefault="00AF5F83" w:rsidP="001A5D4A">
            <w:pPr>
              <w:pStyle w:val="Note-Refs"/>
            </w:pPr>
          </w:p>
        </w:tc>
        <w:tc>
          <w:tcPr>
            <w:tcW w:w="2423" w:type="pct"/>
            <w:vAlign w:val="bottom"/>
          </w:tcPr>
          <w:p w14:paraId="66D72032" w14:textId="77777777" w:rsidR="00AF5F83" w:rsidRDefault="00AF5F83" w:rsidP="001A5D4A">
            <w:pPr>
              <w:pStyle w:val="NotesTable-ItemPlain"/>
              <w:rPr>
                <w:b/>
              </w:rPr>
            </w:pPr>
            <w:r>
              <w:t>Closing net book amount</w:t>
            </w:r>
          </w:p>
        </w:tc>
        <w:tc>
          <w:tcPr>
            <w:tcW w:w="588" w:type="pct"/>
            <w:tcBorders>
              <w:top w:val="single" w:sz="4" w:space="0" w:color="auto"/>
            </w:tcBorders>
            <w:vAlign w:val="bottom"/>
          </w:tcPr>
          <w:p w14:paraId="65FB10A7" w14:textId="77777777" w:rsidR="00AF5F83" w:rsidRDefault="00AF5F83" w:rsidP="001A5D4A">
            <w:pPr>
              <w:pStyle w:val="NotesTable-CellPlain"/>
            </w:pPr>
            <w:r>
              <w:t>–</w:t>
            </w:r>
          </w:p>
        </w:tc>
        <w:tc>
          <w:tcPr>
            <w:tcW w:w="397" w:type="pct"/>
            <w:tcBorders>
              <w:top w:val="single" w:sz="4" w:space="0" w:color="auto"/>
            </w:tcBorders>
            <w:vAlign w:val="bottom"/>
          </w:tcPr>
          <w:p w14:paraId="6BBAC57C" w14:textId="77777777" w:rsidR="00AF5F83" w:rsidRDefault="00AF5F83" w:rsidP="001A5D4A">
            <w:pPr>
              <w:pStyle w:val="NotesTable-CellPlain"/>
            </w:pPr>
            <w:r>
              <w:t>–</w:t>
            </w:r>
          </w:p>
        </w:tc>
        <w:tc>
          <w:tcPr>
            <w:tcW w:w="397" w:type="pct"/>
            <w:tcBorders>
              <w:top w:val="single" w:sz="4" w:space="0" w:color="auto"/>
            </w:tcBorders>
            <w:vAlign w:val="bottom"/>
          </w:tcPr>
          <w:p w14:paraId="773718AF" w14:textId="77777777" w:rsidR="00AF5F83" w:rsidRDefault="00AF5F83" w:rsidP="001A5D4A">
            <w:pPr>
              <w:pStyle w:val="NotesTable-CellPlain"/>
            </w:pPr>
            <w:r>
              <w:t>–</w:t>
            </w:r>
          </w:p>
        </w:tc>
        <w:tc>
          <w:tcPr>
            <w:tcW w:w="396" w:type="pct"/>
            <w:tcBorders>
              <w:top w:val="single" w:sz="4" w:space="0" w:color="auto"/>
            </w:tcBorders>
            <w:vAlign w:val="bottom"/>
          </w:tcPr>
          <w:p w14:paraId="17BAEE7C" w14:textId="77777777" w:rsidR="00AF5F83" w:rsidRDefault="00AF5F83" w:rsidP="001A5D4A">
            <w:pPr>
              <w:pStyle w:val="NotesTable-CellPlain"/>
            </w:pPr>
            <w:r>
              <w:t>–</w:t>
            </w:r>
          </w:p>
        </w:tc>
      </w:tr>
      <w:tr w:rsidR="00AF5F83" w14:paraId="5B47CEDF" w14:textId="77777777" w:rsidTr="002E740E">
        <w:trPr>
          <w:cantSplit/>
          <w:trHeight w:hRule="exact" w:val="227"/>
        </w:trPr>
        <w:tc>
          <w:tcPr>
            <w:tcW w:w="800" w:type="pct"/>
            <w:vAlign w:val="bottom"/>
          </w:tcPr>
          <w:p w14:paraId="4E7DF9CD" w14:textId="77777777" w:rsidR="00AF5F83" w:rsidRDefault="00AF5F83" w:rsidP="001A5D4A">
            <w:pPr>
              <w:pStyle w:val="Note-Refs"/>
            </w:pPr>
          </w:p>
        </w:tc>
        <w:tc>
          <w:tcPr>
            <w:tcW w:w="4200" w:type="pct"/>
            <w:gridSpan w:val="5"/>
            <w:vAlign w:val="bottom"/>
          </w:tcPr>
          <w:p w14:paraId="51E50D9B" w14:textId="77777777" w:rsidR="00AF5F83" w:rsidRDefault="00AF5F83" w:rsidP="001A5D4A">
            <w:pPr>
              <w:pStyle w:val="NotesTable-ItemPlain"/>
            </w:pPr>
          </w:p>
        </w:tc>
      </w:tr>
      <w:tr w:rsidR="00AF5F83" w14:paraId="61072201" w14:textId="77777777" w:rsidTr="002E740E">
        <w:trPr>
          <w:cantSplit/>
          <w:trHeight w:hRule="exact" w:val="227"/>
        </w:trPr>
        <w:tc>
          <w:tcPr>
            <w:tcW w:w="800" w:type="pct"/>
            <w:vAlign w:val="bottom"/>
          </w:tcPr>
          <w:p w14:paraId="6CD81980" w14:textId="77777777" w:rsidR="00AF5F83" w:rsidRDefault="00AF5F83" w:rsidP="001A5D4A">
            <w:pPr>
              <w:pStyle w:val="Note-Refs"/>
              <w:rPr>
                <w:b/>
              </w:rPr>
            </w:pPr>
            <w:r>
              <w:t>AASB138.118c</w:t>
            </w:r>
          </w:p>
        </w:tc>
        <w:tc>
          <w:tcPr>
            <w:tcW w:w="4200" w:type="pct"/>
            <w:gridSpan w:val="5"/>
            <w:vAlign w:val="bottom"/>
          </w:tcPr>
          <w:p w14:paraId="39573132" w14:textId="7B3C7588" w:rsidR="00AF5F83" w:rsidRDefault="00AF5F83" w:rsidP="001A5D4A">
            <w:pPr>
              <w:pStyle w:val="Note-TextHeader"/>
              <w:rPr>
                <w:lang w:val="en-GB"/>
              </w:rPr>
            </w:pPr>
            <w:r>
              <w:t xml:space="preserve">At 31 December </w:t>
            </w:r>
            <w:r w:rsidR="006864EC">
              <w:t>2013</w:t>
            </w:r>
          </w:p>
        </w:tc>
      </w:tr>
      <w:tr w:rsidR="00AF5F83" w14:paraId="72FE8090" w14:textId="77777777" w:rsidTr="002E740E">
        <w:trPr>
          <w:cantSplit/>
          <w:trHeight w:hRule="exact" w:val="227"/>
        </w:trPr>
        <w:tc>
          <w:tcPr>
            <w:tcW w:w="800" w:type="pct"/>
            <w:vAlign w:val="bottom"/>
          </w:tcPr>
          <w:p w14:paraId="69B06E35" w14:textId="77777777" w:rsidR="00AF5F83" w:rsidRDefault="00AF5F83" w:rsidP="001A5D4A">
            <w:pPr>
              <w:pStyle w:val="Note-Refs"/>
            </w:pPr>
          </w:p>
        </w:tc>
        <w:tc>
          <w:tcPr>
            <w:tcW w:w="2423" w:type="pct"/>
            <w:vAlign w:val="bottom"/>
          </w:tcPr>
          <w:p w14:paraId="3080CC09" w14:textId="77777777" w:rsidR="00AF5F83" w:rsidRDefault="00AF5F83" w:rsidP="001A5D4A">
            <w:pPr>
              <w:pStyle w:val="NotesTable-ItemPlain"/>
              <w:rPr>
                <w:b/>
              </w:rPr>
            </w:pPr>
            <w:r>
              <w:t>Cost</w:t>
            </w:r>
          </w:p>
        </w:tc>
        <w:tc>
          <w:tcPr>
            <w:tcW w:w="588" w:type="pct"/>
            <w:vAlign w:val="bottom"/>
          </w:tcPr>
          <w:p w14:paraId="58203482" w14:textId="77777777" w:rsidR="00AF5F83" w:rsidRDefault="00AF5F83" w:rsidP="001A5D4A">
            <w:pPr>
              <w:pStyle w:val="NotesTable-CellPlain"/>
            </w:pPr>
            <w:r>
              <w:t>–</w:t>
            </w:r>
          </w:p>
        </w:tc>
        <w:tc>
          <w:tcPr>
            <w:tcW w:w="397" w:type="pct"/>
            <w:vAlign w:val="bottom"/>
          </w:tcPr>
          <w:p w14:paraId="668B44C1" w14:textId="77777777" w:rsidR="00AF5F83" w:rsidRDefault="00AF5F83" w:rsidP="001A5D4A">
            <w:pPr>
              <w:pStyle w:val="NotesTable-CellPlain"/>
            </w:pPr>
            <w:r>
              <w:t>–</w:t>
            </w:r>
          </w:p>
        </w:tc>
        <w:tc>
          <w:tcPr>
            <w:tcW w:w="397" w:type="pct"/>
            <w:vAlign w:val="bottom"/>
          </w:tcPr>
          <w:p w14:paraId="07D97EAD" w14:textId="77777777" w:rsidR="00AF5F83" w:rsidRDefault="00AF5F83" w:rsidP="001A5D4A">
            <w:pPr>
              <w:pStyle w:val="NotesTable-CellPlain"/>
            </w:pPr>
            <w:r>
              <w:t>–</w:t>
            </w:r>
          </w:p>
        </w:tc>
        <w:tc>
          <w:tcPr>
            <w:tcW w:w="396" w:type="pct"/>
            <w:vAlign w:val="bottom"/>
          </w:tcPr>
          <w:p w14:paraId="3DDD6F2A" w14:textId="77777777" w:rsidR="00AF5F83" w:rsidRDefault="00AF5F83" w:rsidP="001A5D4A">
            <w:pPr>
              <w:pStyle w:val="NotesTable-CellPlain"/>
            </w:pPr>
            <w:r>
              <w:t>–</w:t>
            </w:r>
          </w:p>
        </w:tc>
      </w:tr>
      <w:tr w:rsidR="00AF5F83" w14:paraId="49D93CD8" w14:textId="77777777" w:rsidTr="002E740E">
        <w:trPr>
          <w:cantSplit/>
          <w:trHeight w:hRule="exact" w:val="227"/>
        </w:trPr>
        <w:tc>
          <w:tcPr>
            <w:tcW w:w="800" w:type="pct"/>
            <w:vAlign w:val="bottom"/>
          </w:tcPr>
          <w:p w14:paraId="2896FA24" w14:textId="77777777" w:rsidR="00AF5F83" w:rsidRDefault="00AF5F83" w:rsidP="001A5D4A">
            <w:pPr>
              <w:pStyle w:val="Note-Refs"/>
            </w:pPr>
          </w:p>
        </w:tc>
        <w:tc>
          <w:tcPr>
            <w:tcW w:w="2423" w:type="pct"/>
            <w:vAlign w:val="bottom"/>
          </w:tcPr>
          <w:p w14:paraId="43070B39" w14:textId="77777777" w:rsidR="00AF5F83" w:rsidRDefault="00AF5F83" w:rsidP="001A5D4A">
            <w:pPr>
              <w:pStyle w:val="NotesTable-ItemPlain"/>
              <w:rPr>
                <w:b/>
              </w:rPr>
            </w:pPr>
            <w:r>
              <w:t xml:space="preserve">Accumulated amortisation and impairment </w:t>
            </w:r>
          </w:p>
        </w:tc>
        <w:tc>
          <w:tcPr>
            <w:tcW w:w="588" w:type="pct"/>
            <w:tcBorders>
              <w:bottom w:val="single" w:sz="4" w:space="0" w:color="auto"/>
            </w:tcBorders>
            <w:vAlign w:val="bottom"/>
          </w:tcPr>
          <w:p w14:paraId="004662E0" w14:textId="77777777" w:rsidR="00AF5F83" w:rsidRDefault="00AF5F83" w:rsidP="001A5D4A">
            <w:pPr>
              <w:pStyle w:val="NotesTable-CellPlain"/>
            </w:pPr>
            <w:r>
              <w:t>–</w:t>
            </w:r>
          </w:p>
        </w:tc>
        <w:tc>
          <w:tcPr>
            <w:tcW w:w="397" w:type="pct"/>
            <w:tcBorders>
              <w:bottom w:val="single" w:sz="4" w:space="0" w:color="auto"/>
            </w:tcBorders>
            <w:vAlign w:val="bottom"/>
          </w:tcPr>
          <w:p w14:paraId="274BE4B2" w14:textId="77777777" w:rsidR="00AF5F83" w:rsidRDefault="00AF5F83" w:rsidP="001A5D4A">
            <w:pPr>
              <w:pStyle w:val="NotesTable-CellPlain"/>
            </w:pPr>
            <w:r>
              <w:t>–</w:t>
            </w:r>
          </w:p>
        </w:tc>
        <w:tc>
          <w:tcPr>
            <w:tcW w:w="397" w:type="pct"/>
            <w:tcBorders>
              <w:bottom w:val="single" w:sz="4" w:space="0" w:color="auto"/>
            </w:tcBorders>
            <w:vAlign w:val="bottom"/>
          </w:tcPr>
          <w:p w14:paraId="259158C8" w14:textId="77777777" w:rsidR="00AF5F83" w:rsidRDefault="00AF5F83" w:rsidP="001A5D4A">
            <w:pPr>
              <w:pStyle w:val="NotesTable-CellPlain"/>
            </w:pPr>
            <w:r>
              <w:t>–</w:t>
            </w:r>
          </w:p>
        </w:tc>
        <w:tc>
          <w:tcPr>
            <w:tcW w:w="396" w:type="pct"/>
            <w:tcBorders>
              <w:bottom w:val="single" w:sz="4" w:space="0" w:color="auto"/>
            </w:tcBorders>
            <w:vAlign w:val="bottom"/>
          </w:tcPr>
          <w:p w14:paraId="5407C9E5" w14:textId="77777777" w:rsidR="00AF5F83" w:rsidRDefault="00AF5F83" w:rsidP="001A5D4A">
            <w:pPr>
              <w:pStyle w:val="NotesTable-CellPlain"/>
            </w:pPr>
            <w:r>
              <w:t>–</w:t>
            </w:r>
          </w:p>
        </w:tc>
      </w:tr>
      <w:tr w:rsidR="00AF5F83" w14:paraId="5E0EF7C8" w14:textId="77777777" w:rsidTr="002E740E">
        <w:trPr>
          <w:cantSplit/>
          <w:trHeight w:hRule="exact" w:val="227"/>
        </w:trPr>
        <w:tc>
          <w:tcPr>
            <w:tcW w:w="800" w:type="pct"/>
            <w:vAlign w:val="bottom"/>
          </w:tcPr>
          <w:p w14:paraId="2DFFFE77" w14:textId="77777777" w:rsidR="00AF5F83" w:rsidRDefault="00AF5F83" w:rsidP="001A5D4A">
            <w:pPr>
              <w:pStyle w:val="Note-Refs"/>
            </w:pPr>
          </w:p>
        </w:tc>
        <w:tc>
          <w:tcPr>
            <w:tcW w:w="2423" w:type="pct"/>
            <w:vAlign w:val="bottom"/>
          </w:tcPr>
          <w:p w14:paraId="50D1E675" w14:textId="77777777" w:rsidR="00AF5F83" w:rsidRDefault="00AF5F83" w:rsidP="001A5D4A">
            <w:pPr>
              <w:pStyle w:val="NotesTable-ItemPlain"/>
              <w:rPr>
                <w:b/>
              </w:rPr>
            </w:pPr>
            <w:r>
              <w:t>Net book amount</w:t>
            </w:r>
          </w:p>
        </w:tc>
        <w:tc>
          <w:tcPr>
            <w:tcW w:w="588" w:type="pct"/>
            <w:tcBorders>
              <w:top w:val="single" w:sz="4" w:space="0" w:color="auto"/>
            </w:tcBorders>
            <w:vAlign w:val="bottom"/>
          </w:tcPr>
          <w:p w14:paraId="1F82FE6F" w14:textId="77777777" w:rsidR="00AF5F83" w:rsidRDefault="00AF5F83" w:rsidP="001A5D4A">
            <w:pPr>
              <w:pStyle w:val="NotesTable-CellPlain"/>
            </w:pPr>
            <w:r>
              <w:t>–</w:t>
            </w:r>
          </w:p>
        </w:tc>
        <w:tc>
          <w:tcPr>
            <w:tcW w:w="397" w:type="pct"/>
            <w:tcBorders>
              <w:top w:val="single" w:sz="4" w:space="0" w:color="auto"/>
            </w:tcBorders>
            <w:vAlign w:val="bottom"/>
          </w:tcPr>
          <w:p w14:paraId="7F679953" w14:textId="77777777" w:rsidR="00AF5F83" w:rsidRDefault="00AF5F83" w:rsidP="001A5D4A">
            <w:pPr>
              <w:pStyle w:val="NotesTable-CellPlain"/>
            </w:pPr>
            <w:r>
              <w:t>–</w:t>
            </w:r>
          </w:p>
        </w:tc>
        <w:tc>
          <w:tcPr>
            <w:tcW w:w="397" w:type="pct"/>
            <w:tcBorders>
              <w:top w:val="single" w:sz="4" w:space="0" w:color="auto"/>
            </w:tcBorders>
            <w:vAlign w:val="bottom"/>
          </w:tcPr>
          <w:p w14:paraId="4471FD6A" w14:textId="77777777" w:rsidR="00AF5F83" w:rsidRDefault="00AF5F83" w:rsidP="001A5D4A">
            <w:pPr>
              <w:pStyle w:val="NotesTable-CellPlain"/>
            </w:pPr>
            <w:r>
              <w:t>–</w:t>
            </w:r>
          </w:p>
        </w:tc>
        <w:tc>
          <w:tcPr>
            <w:tcW w:w="396" w:type="pct"/>
            <w:tcBorders>
              <w:top w:val="single" w:sz="4" w:space="0" w:color="auto"/>
            </w:tcBorders>
            <w:vAlign w:val="bottom"/>
          </w:tcPr>
          <w:p w14:paraId="64139383" w14:textId="77777777" w:rsidR="00AF5F83" w:rsidRDefault="00AF5F83" w:rsidP="001A5D4A">
            <w:pPr>
              <w:pStyle w:val="NotesTable-CellPlain"/>
            </w:pPr>
            <w:r>
              <w:t>–</w:t>
            </w:r>
          </w:p>
        </w:tc>
      </w:tr>
      <w:tr w:rsidR="00AF5F83" w14:paraId="41FCE1B0" w14:textId="77777777" w:rsidTr="002E740E">
        <w:trPr>
          <w:cantSplit/>
          <w:trHeight w:hRule="exact" w:val="227"/>
        </w:trPr>
        <w:tc>
          <w:tcPr>
            <w:tcW w:w="800" w:type="pct"/>
            <w:vAlign w:val="bottom"/>
          </w:tcPr>
          <w:p w14:paraId="7F44A2C5" w14:textId="77777777" w:rsidR="00AF5F83" w:rsidRDefault="00AF5F83" w:rsidP="001A5D4A">
            <w:pPr>
              <w:pStyle w:val="Note-Refs"/>
            </w:pPr>
          </w:p>
        </w:tc>
        <w:tc>
          <w:tcPr>
            <w:tcW w:w="4200" w:type="pct"/>
            <w:gridSpan w:val="5"/>
            <w:vAlign w:val="bottom"/>
          </w:tcPr>
          <w:p w14:paraId="07256E15" w14:textId="77777777" w:rsidR="00AF5F83" w:rsidRDefault="00AF5F83" w:rsidP="001A5D4A">
            <w:pPr>
              <w:pStyle w:val="NotesTable-ItemPlain"/>
            </w:pPr>
          </w:p>
        </w:tc>
      </w:tr>
      <w:tr w:rsidR="00AF5F83" w14:paraId="5F46048C" w14:textId="77777777" w:rsidTr="002E740E">
        <w:trPr>
          <w:cantSplit/>
          <w:trHeight w:val="227"/>
        </w:trPr>
        <w:tc>
          <w:tcPr>
            <w:tcW w:w="800" w:type="pct"/>
            <w:vAlign w:val="bottom"/>
          </w:tcPr>
          <w:p w14:paraId="1D6AF069" w14:textId="77777777" w:rsidR="00AF5F83" w:rsidRDefault="00AF5F83" w:rsidP="001A5D4A">
            <w:pPr>
              <w:pStyle w:val="Note-Refs"/>
            </w:pPr>
          </w:p>
        </w:tc>
        <w:tc>
          <w:tcPr>
            <w:tcW w:w="2423" w:type="pct"/>
            <w:vAlign w:val="bottom"/>
          </w:tcPr>
          <w:p w14:paraId="2A95ACF6" w14:textId="77777777" w:rsidR="00AF5F83" w:rsidRDefault="00AF5F83" w:rsidP="001A5D4A">
            <w:pPr>
              <w:pStyle w:val="NotesTable-ItemPlain"/>
            </w:pPr>
          </w:p>
        </w:tc>
        <w:tc>
          <w:tcPr>
            <w:tcW w:w="588" w:type="pct"/>
            <w:vAlign w:val="bottom"/>
          </w:tcPr>
          <w:p w14:paraId="4B19116A" w14:textId="77777777" w:rsidR="00AF5F83" w:rsidRDefault="00AF5F83" w:rsidP="001A5D4A">
            <w:pPr>
              <w:pStyle w:val="NotesTable-HeadPlain"/>
              <w:rPr>
                <w:b/>
              </w:rPr>
            </w:pPr>
            <w:r>
              <w:t>Development costs</w:t>
            </w:r>
          </w:p>
        </w:tc>
        <w:tc>
          <w:tcPr>
            <w:tcW w:w="397" w:type="pct"/>
            <w:vAlign w:val="bottom"/>
          </w:tcPr>
          <w:p w14:paraId="1BBDE441" w14:textId="77777777" w:rsidR="00AF5F83" w:rsidRDefault="00AF5F83" w:rsidP="001A5D4A">
            <w:pPr>
              <w:pStyle w:val="NotesTable-HeadPlain"/>
              <w:rPr>
                <w:b/>
              </w:rPr>
            </w:pPr>
            <w:r>
              <w:t>[Specify]</w:t>
            </w:r>
          </w:p>
        </w:tc>
        <w:tc>
          <w:tcPr>
            <w:tcW w:w="397" w:type="pct"/>
            <w:vAlign w:val="bottom"/>
          </w:tcPr>
          <w:p w14:paraId="5EEA55CC" w14:textId="77777777" w:rsidR="00AF5F83" w:rsidRDefault="00AF5F83" w:rsidP="001A5D4A">
            <w:pPr>
              <w:pStyle w:val="NotesTable-HeadPlain"/>
              <w:rPr>
                <w:b/>
              </w:rPr>
            </w:pPr>
            <w:r>
              <w:t>[Specify]</w:t>
            </w:r>
          </w:p>
        </w:tc>
        <w:tc>
          <w:tcPr>
            <w:tcW w:w="396" w:type="pct"/>
            <w:vAlign w:val="bottom"/>
          </w:tcPr>
          <w:p w14:paraId="5EEA5830" w14:textId="77777777" w:rsidR="00AF5F83" w:rsidRDefault="00AF5F83" w:rsidP="001A5D4A">
            <w:pPr>
              <w:pStyle w:val="NotesTable-HeadPlain"/>
              <w:rPr>
                <w:b/>
              </w:rPr>
            </w:pPr>
            <w:r>
              <w:t>Total</w:t>
            </w:r>
          </w:p>
        </w:tc>
      </w:tr>
      <w:tr w:rsidR="00AF5F83" w14:paraId="47882720" w14:textId="77777777" w:rsidTr="002E740E">
        <w:trPr>
          <w:cantSplit/>
          <w:trHeight w:hRule="exact" w:val="227"/>
        </w:trPr>
        <w:tc>
          <w:tcPr>
            <w:tcW w:w="800" w:type="pct"/>
            <w:vAlign w:val="bottom"/>
          </w:tcPr>
          <w:p w14:paraId="1C296A45" w14:textId="77777777" w:rsidR="00AF5F83" w:rsidRDefault="00AF5F83" w:rsidP="001A5D4A">
            <w:pPr>
              <w:pStyle w:val="Note-Refs"/>
            </w:pPr>
          </w:p>
        </w:tc>
        <w:tc>
          <w:tcPr>
            <w:tcW w:w="2423" w:type="pct"/>
            <w:vAlign w:val="bottom"/>
          </w:tcPr>
          <w:p w14:paraId="7BDE92C2" w14:textId="5F44ADDB" w:rsidR="00AF5F83" w:rsidRDefault="00AF5F83" w:rsidP="001A5D4A">
            <w:pPr>
              <w:pStyle w:val="NotesTable-ItemBold"/>
            </w:pPr>
            <w:r>
              <w:t>Parent</w:t>
            </w:r>
          </w:p>
        </w:tc>
        <w:tc>
          <w:tcPr>
            <w:tcW w:w="588" w:type="pct"/>
            <w:vAlign w:val="bottom"/>
          </w:tcPr>
          <w:p w14:paraId="24B11770" w14:textId="77777777" w:rsidR="00AF5F83" w:rsidRDefault="00AF5F83" w:rsidP="001A5D4A">
            <w:pPr>
              <w:pStyle w:val="NotesTable-HeadPlain"/>
              <w:rPr>
                <w:b/>
              </w:rPr>
            </w:pPr>
            <w:r>
              <w:t>$’000</w:t>
            </w:r>
          </w:p>
        </w:tc>
        <w:tc>
          <w:tcPr>
            <w:tcW w:w="397" w:type="pct"/>
            <w:vAlign w:val="bottom"/>
          </w:tcPr>
          <w:p w14:paraId="38DCDA03" w14:textId="77777777" w:rsidR="00AF5F83" w:rsidRDefault="00AF5F83" w:rsidP="001A5D4A">
            <w:pPr>
              <w:pStyle w:val="NotesTable-HeadPlain"/>
              <w:rPr>
                <w:b/>
              </w:rPr>
            </w:pPr>
            <w:r>
              <w:t>$’000</w:t>
            </w:r>
          </w:p>
        </w:tc>
        <w:tc>
          <w:tcPr>
            <w:tcW w:w="397" w:type="pct"/>
            <w:vAlign w:val="bottom"/>
          </w:tcPr>
          <w:p w14:paraId="0BA47305" w14:textId="77777777" w:rsidR="00AF5F83" w:rsidRDefault="00AF5F83" w:rsidP="001A5D4A">
            <w:pPr>
              <w:pStyle w:val="NotesTable-HeadPlain"/>
              <w:rPr>
                <w:b/>
              </w:rPr>
            </w:pPr>
            <w:r>
              <w:t>$’000</w:t>
            </w:r>
          </w:p>
        </w:tc>
        <w:tc>
          <w:tcPr>
            <w:tcW w:w="396" w:type="pct"/>
            <w:vAlign w:val="bottom"/>
          </w:tcPr>
          <w:p w14:paraId="3EDD36B2" w14:textId="77777777" w:rsidR="00AF5F83" w:rsidRDefault="00AF5F83" w:rsidP="001A5D4A">
            <w:pPr>
              <w:pStyle w:val="NotesTable-HeadPlain"/>
              <w:rPr>
                <w:b/>
              </w:rPr>
            </w:pPr>
            <w:r>
              <w:t>$’000</w:t>
            </w:r>
          </w:p>
        </w:tc>
      </w:tr>
      <w:tr w:rsidR="00AF5F83" w14:paraId="68039F4B" w14:textId="77777777" w:rsidTr="002E740E">
        <w:trPr>
          <w:cantSplit/>
          <w:trHeight w:hRule="exact" w:val="227"/>
        </w:trPr>
        <w:tc>
          <w:tcPr>
            <w:tcW w:w="800" w:type="pct"/>
            <w:vAlign w:val="bottom"/>
          </w:tcPr>
          <w:p w14:paraId="4D51D602" w14:textId="77777777" w:rsidR="00AF5F83" w:rsidRPr="00635008" w:rsidRDefault="00AF5F83" w:rsidP="001A5D4A">
            <w:pPr>
              <w:pStyle w:val="Note-Refs"/>
            </w:pPr>
          </w:p>
        </w:tc>
        <w:tc>
          <w:tcPr>
            <w:tcW w:w="2423" w:type="pct"/>
            <w:vAlign w:val="bottom"/>
          </w:tcPr>
          <w:p w14:paraId="578BED55" w14:textId="77777777" w:rsidR="00AF5F83" w:rsidRDefault="00AF5F83" w:rsidP="001A5D4A">
            <w:pPr>
              <w:pStyle w:val="NotesTable-ItemPlain"/>
            </w:pPr>
          </w:p>
        </w:tc>
        <w:tc>
          <w:tcPr>
            <w:tcW w:w="588" w:type="pct"/>
            <w:vAlign w:val="bottom"/>
          </w:tcPr>
          <w:p w14:paraId="2E1CB138" w14:textId="77777777" w:rsidR="00AF5F83" w:rsidRDefault="00AF5F83" w:rsidP="001A5D4A">
            <w:pPr>
              <w:pStyle w:val="NotesTable-CellPlain"/>
            </w:pPr>
          </w:p>
        </w:tc>
        <w:tc>
          <w:tcPr>
            <w:tcW w:w="397" w:type="pct"/>
            <w:vAlign w:val="bottom"/>
          </w:tcPr>
          <w:p w14:paraId="1DC774EE" w14:textId="77777777" w:rsidR="00AF5F83" w:rsidRDefault="00AF5F83" w:rsidP="001A5D4A">
            <w:pPr>
              <w:pStyle w:val="NotesTable-CellPlain"/>
            </w:pPr>
          </w:p>
        </w:tc>
        <w:tc>
          <w:tcPr>
            <w:tcW w:w="397" w:type="pct"/>
            <w:vAlign w:val="bottom"/>
          </w:tcPr>
          <w:p w14:paraId="07DDA229" w14:textId="77777777" w:rsidR="00AF5F83" w:rsidRDefault="00AF5F83" w:rsidP="001A5D4A">
            <w:pPr>
              <w:pStyle w:val="NotesTable-CellPlain"/>
            </w:pPr>
          </w:p>
        </w:tc>
        <w:tc>
          <w:tcPr>
            <w:tcW w:w="396" w:type="pct"/>
            <w:vAlign w:val="bottom"/>
          </w:tcPr>
          <w:p w14:paraId="5CA2AE3F" w14:textId="77777777" w:rsidR="00AF5F83" w:rsidRDefault="00AF5F83" w:rsidP="001A5D4A">
            <w:pPr>
              <w:pStyle w:val="NotesTable-CellPlain"/>
            </w:pPr>
          </w:p>
        </w:tc>
      </w:tr>
      <w:tr w:rsidR="00AF5F83" w14:paraId="2DBDE20A" w14:textId="77777777" w:rsidTr="002E740E">
        <w:trPr>
          <w:cantSplit/>
          <w:trHeight w:hRule="exact" w:val="227"/>
        </w:trPr>
        <w:tc>
          <w:tcPr>
            <w:tcW w:w="800" w:type="pct"/>
            <w:vAlign w:val="bottom"/>
          </w:tcPr>
          <w:p w14:paraId="6E02FC7A" w14:textId="77777777" w:rsidR="00AF5F83" w:rsidRDefault="00AF5F83" w:rsidP="001A5D4A">
            <w:pPr>
              <w:pStyle w:val="Note-Refs"/>
              <w:rPr>
                <w:b/>
              </w:rPr>
            </w:pPr>
            <w:r w:rsidRPr="00635008">
              <w:t>AASB138.118e</w:t>
            </w:r>
          </w:p>
        </w:tc>
        <w:tc>
          <w:tcPr>
            <w:tcW w:w="4200" w:type="pct"/>
            <w:gridSpan w:val="5"/>
            <w:vAlign w:val="bottom"/>
          </w:tcPr>
          <w:p w14:paraId="039CB44F" w14:textId="5975CCCE" w:rsidR="00AF5F83" w:rsidRDefault="00AF5F83" w:rsidP="001A5D4A">
            <w:pPr>
              <w:pStyle w:val="Note-TextHeader"/>
              <w:rPr>
                <w:lang w:val="en-GB"/>
              </w:rPr>
            </w:pPr>
            <w:r>
              <w:t xml:space="preserve">Year ended 31 December </w:t>
            </w:r>
            <w:r w:rsidR="006864EC">
              <w:t>2014</w:t>
            </w:r>
          </w:p>
        </w:tc>
      </w:tr>
      <w:tr w:rsidR="00AF5F83" w14:paraId="70DF9671" w14:textId="77777777" w:rsidTr="002E740E">
        <w:trPr>
          <w:cantSplit/>
          <w:trHeight w:hRule="exact" w:val="227"/>
        </w:trPr>
        <w:tc>
          <w:tcPr>
            <w:tcW w:w="800" w:type="pct"/>
            <w:vAlign w:val="bottom"/>
          </w:tcPr>
          <w:p w14:paraId="68955AF8" w14:textId="77777777" w:rsidR="00AF5F83" w:rsidRPr="00635008" w:rsidRDefault="00AF5F83" w:rsidP="001A5D4A">
            <w:pPr>
              <w:pStyle w:val="Note-Refs"/>
            </w:pPr>
          </w:p>
        </w:tc>
        <w:tc>
          <w:tcPr>
            <w:tcW w:w="2423" w:type="pct"/>
            <w:vAlign w:val="bottom"/>
          </w:tcPr>
          <w:p w14:paraId="44CFC4EB" w14:textId="77777777" w:rsidR="00AF5F83" w:rsidRDefault="00AF5F83" w:rsidP="001A5D4A">
            <w:pPr>
              <w:pStyle w:val="NotesTable-ItemPlain"/>
              <w:rPr>
                <w:b/>
              </w:rPr>
            </w:pPr>
            <w:r>
              <w:t>Opening net book amount</w:t>
            </w:r>
          </w:p>
        </w:tc>
        <w:tc>
          <w:tcPr>
            <w:tcW w:w="588" w:type="pct"/>
            <w:vAlign w:val="bottom"/>
          </w:tcPr>
          <w:p w14:paraId="71C249A1" w14:textId="77777777" w:rsidR="00AF5F83" w:rsidRDefault="00AF5F83" w:rsidP="001A5D4A">
            <w:pPr>
              <w:pStyle w:val="NotesTable-CellPlain"/>
            </w:pPr>
            <w:r>
              <w:t>–</w:t>
            </w:r>
          </w:p>
        </w:tc>
        <w:tc>
          <w:tcPr>
            <w:tcW w:w="397" w:type="pct"/>
            <w:vAlign w:val="bottom"/>
          </w:tcPr>
          <w:p w14:paraId="458F92A9" w14:textId="77777777" w:rsidR="00AF5F83" w:rsidRPr="000A14F0" w:rsidRDefault="00AF5F83" w:rsidP="001A5D4A">
            <w:pPr>
              <w:pStyle w:val="NotesTable-CellPlain"/>
            </w:pPr>
            <w:r w:rsidRPr="000A14F0">
              <w:t>–</w:t>
            </w:r>
          </w:p>
        </w:tc>
        <w:tc>
          <w:tcPr>
            <w:tcW w:w="397" w:type="pct"/>
            <w:vAlign w:val="bottom"/>
          </w:tcPr>
          <w:p w14:paraId="2FFA29E6" w14:textId="77777777" w:rsidR="00AF5F83" w:rsidRPr="000A14F0" w:rsidRDefault="00AF5F83" w:rsidP="001A5D4A">
            <w:pPr>
              <w:pStyle w:val="NotesTable-CellPlain"/>
            </w:pPr>
            <w:r w:rsidRPr="000A14F0">
              <w:t>–</w:t>
            </w:r>
          </w:p>
        </w:tc>
        <w:tc>
          <w:tcPr>
            <w:tcW w:w="396" w:type="pct"/>
            <w:vAlign w:val="bottom"/>
          </w:tcPr>
          <w:p w14:paraId="2B26217E" w14:textId="77777777" w:rsidR="00AF5F83" w:rsidRPr="000A14F0" w:rsidRDefault="00AF5F83" w:rsidP="001A5D4A">
            <w:pPr>
              <w:pStyle w:val="NotesTable-CellPlain"/>
            </w:pPr>
            <w:r w:rsidRPr="000A14F0">
              <w:t>–</w:t>
            </w:r>
          </w:p>
        </w:tc>
      </w:tr>
      <w:tr w:rsidR="00AF5F83" w14:paraId="3B484316" w14:textId="77777777" w:rsidTr="002E740E">
        <w:trPr>
          <w:cantSplit/>
          <w:trHeight w:hRule="exact" w:val="227"/>
        </w:trPr>
        <w:tc>
          <w:tcPr>
            <w:tcW w:w="800" w:type="pct"/>
            <w:vAlign w:val="bottom"/>
          </w:tcPr>
          <w:p w14:paraId="4C9B6BAE" w14:textId="77777777" w:rsidR="00AF5F83" w:rsidRPr="00635008" w:rsidRDefault="00AF5F83" w:rsidP="001A5D4A">
            <w:pPr>
              <w:pStyle w:val="Note-Refs"/>
              <w:rPr>
                <w:b/>
              </w:rPr>
            </w:pPr>
            <w:r w:rsidRPr="00635008">
              <w:t>AASB138.118e(i)</w:t>
            </w:r>
          </w:p>
        </w:tc>
        <w:tc>
          <w:tcPr>
            <w:tcW w:w="2423" w:type="pct"/>
            <w:vAlign w:val="bottom"/>
          </w:tcPr>
          <w:p w14:paraId="017ECB28" w14:textId="77777777" w:rsidR="00AF5F83" w:rsidRDefault="00AF5F83" w:rsidP="001A5D4A">
            <w:pPr>
              <w:pStyle w:val="NotesTable-ItemPlain"/>
              <w:rPr>
                <w:b/>
              </w:rPr>
            </w:pPr>
            <w:r>
              <w:t>Additions - Internal development</w:t>
            </w:r>
          </w:p>
        </w:tc>
        <w:tc>
          <w:tcPr>
            <w:tcW w:w="588" w:type="pct"/>
            <w:vAlign w:val="bottom"/>
          </w:tcPr>
          <w:p w14:paraId="784461F1" w14:textId="77777777" w:rsidR="00AF5F83" w:rsidRDefault="00AF5F83" w:rsidP="001A5D4A">
            <w:pPr>
              <w:pStyle w:val="NotesTable-CellPlain"/>
            </w:pPr>
          </w:p>
        </w:tc>
        <w:tc>
          <w:tcPr>
            <w:tcW w:w="397" w:type="pct"/>
            <w:vAlign w:val="bottom"/>
          </w:tcPr>
          <w:p w14:paraId="726E6564" w14:textId="77777777" w:rsidR="00AF5F83" w:rsidRPr="000A14F0" w:rsidRDefault="00AF5F83" w:rsidP="001A5D4A">
            <w:pPr>
              <w:pStyle w:val="NotesTable-CellPlain"/>
            </w:pPr>
          </w:p>
        </w:tc>
        <w:tc>
          <w:tcPr>
            <w:tcW w:w="397" w:type="pct"/>
            <w:vAlign w:val="bottom"/>
          </w:tcPr>
          <w:p w14:paraId="1034A90A" w14:textId="77777777" w:rsidR="00AF5F83" w:rsidRPr="000A14F0" w:rsidRDefault="00AF5F83" w:rsidP="001A5D4A">
            <w:pPr>
              <w:pStyle w:val="NotesTable-CellPlain"/>
            </w:pPr>
          </w:p>
        </w:tc>
        <w:tc>
          <w:tcPr>
            <w:tcW w:w="396" w:type="pct"/>
            <w:vAlign w:val="bottom"/>
          </w:tcPr>
          <w:p w14:paraId="4F4593E9" w14:textId="77777777" w:rsidR="00AF5F83" w:rsidRPr="000A14F0" w:rsidRDefault="00AF5F83" w:rsidP="001A5D4A">
            <w:pPr>
              <w:pStyle w:val="NotesTable-CellPlain"/>
            </w:pPr>
          </w:p>
        </w:tc>
      </w:tr>
      <w:tr w:rsidR="00AF5F83" w14:paraId="7290C95A" w14:textId="77777777" w:rsidTr="002E740E">
        <w:trPr>
          <w:cantSplit/>
          <w:trHeight w:hRule="exact" w:val="227"/>
        </w:trPr>
        <w:tc>
          <w:tcPr>
            <w:tcW w:w="800" w:type="pct"/>
            <w:vAlign w:val="bottom"/>
          </w:tcPr>
          <w:p w14:paraId="5E427CFB" w14:textId="77777777" w:rsidR="00AF5F83" w:rsidRPr="00635008" w:rsidRDefault="00AF5F83" w:rsidP="001A5D4A">
            <w:pPr>
              <w:pStyle w:val="Note-Refs"/>
              <w:rPr>
                <w:b/>
              </w:rPr>
            </w:pPr>
            <w:r w:rsidRPr="00635008">
              <w:t>AASB138.118e(i)</w:t>
            </w:r>
          </w:p>
        </w:tc>
        <w:tc>
          <w:tcPr>
            <w:tcW w:w="2423" w:type="pct"/>
            <w:vAlign w:val="bottom"/>
          </w:tcPr>
          <w:p w14:paraId="37C188CB" w14:textId="77777777" w:rsidR="00AF5F83" w:rsidRDefault="00AF5F83" w:rsidP="001A5D4A">
            <w:pPr>
              <w:pStyle w:val="NotesTable-ItemPlain"/>
              <w:rPr>
                <w:b/>
              </w:rPr>
            </w:pPr>
            <w:r>
              <w:t>Additions - Acquisition of subsidiary</w:t>
            </w:r>
          </w:p>
        </w:tc>
        <w:tc>
          <w:tcPr>
            <w:tcW w:w="588" w:type="pct"/>
            <w:vAlign w:val="bottom"/>
          </w:tcPr>
          <w:p w14:paraId="16A9A4E5" w14:textId="77777777" w:rsidR="00AF5F83" w:rsidRDefault="00AF5F83" w:rsidP="001A5D4A">
            <w:pPr>
              <w:pStyle w:val="NotesTable-CellPlain"/>
            </w:pPr>
            <w:r>
              <w:t>–</w:t>
            </w:r>
          </w:p>
        </w:tc>
        <w:tc>
          <w:tcPr>
            <w:tcW w:w="397" w:type="pct"/>
            <w:vAlign w:val="bottom"/>
          </w:tcPr>
          <w:p w14:paraId="0527B42B" w14:textId="77777777" w:rsidR="00AF5F83" w:rsidRPr="000A14F0" w:rsidRDefault="00AF5F83" w:rsidP="001A5D4A">
            <w:pPr>
              <w:pStyle w:val="NotesTable-CellPlain"/>
            </w:pPr>
            <w:r w:rsidRPr="000A14F0">
              <w:t>–</w:t>
            </w:r>
          </w:p>
        </w:tc>
        <w:tc>
          <w:tcPr>
            <w:tcW w:w="397" w:type="pct"/>
            <w:vAlign w:val="bottom"/>
          </w:tcPr>
          <w:p w14:paraId="5F379A54" w14:textId="77777777" w:rsidR="00AF5F83" w:rsidRPr="000A14F0" w:rsidRDefault="00AF5F83" w:rsidP="001A5D4A">
            <w:pPr>
              <w:pStyle w:val="NotesTable-CellPlain"/>
            </w:pPr>
            <w:r w:rsidRPr="000A14F0">
              <w:t>–</w:t>
            </w:r>
          </w:p>
        </w:tc>
        <w:tc>
          <w:tcPr>
            <w:tcW w:w="396" w:type="pct"/>
            <w:vAlign w:val="bottom"/>
          </w:tcPr>
          <w:p w14:paraId="73287802" w14:textId="77777777" w:rsidR="00AF5F83" w:rsidRPr="000A14F0" w:rsidRDefault="00AF5F83" w:rsidP="001A5D4A">
            <w:pPr>
              <w:pStyle w:val="NotesTable-CellPlain"/>
            </w:pPr>
            <w:r w:rsidRPr="000A14F0">
              <w:t>–</w:t>
            </w:r>
          </w:p>
        </w:tc>
      </w:tr>
      <w:tr w:rsidR="00AF5F83" w14:paraId="686AD649" w14:textId="77777777" w:rsidTr="002E740E">
        <w:trPr>
          <w:cantSplit/>
          <w:trHeight w:hRule="exact" w:val="227"/>
        </w:trPr>
        <w:tc>
          <w:tcPr>
            <w:tcW w:w="800" w:type="pct"/>
            <w:vAlign w:val="bottom"/>
          </w:tcPr>
          <w:p w14:paraId="37897FCD" w14:textId="77777777" w:rsidR="00AF5F83" w:rsidRPr="00635008" w:rsidRDefault="00AF5F83" w:rsidP="001A5D4A">
            <w:pPr>
              <w:pStyle w:val="Note-Refs"/>
              <w:rPr>
                <w:b/>
              </w:rPr>
            </w:pPr>
            <w:r w:rsidRPr="00635008">
              <w:t>AASB138.118e(i)</w:t>
            </w:r>
          </w:p>
        </w:tc>
        <w:tc>
          <w:tcPr>
            <w:tcW w:w="2423" w:type="pct"/>
            <w:vAlign w:val="bottom"/>
          </w:tcPr>
          <w:p w14:paraId="30F8A9EC" w14:textId="77777777" w:rsidR="00AF5F83" w:rsidRDefault="00AF5F83" w:rsidP="001A5D4A">
            <w:pPr>
              <w:pStyle w:val="NotesTable-ItemPlain"/>
              <w:rPr>
                <w:b/>
              </w:rPr>
            </w:pPr>
            <w:r>
              <w:t>Additions - Separately acquired</w:t>
            </w:r>
          </w:p>
        </w:tc>
        <w:tc>
          <w:tcPr>
            <w:tcW w:w="588" w:type="pct"/>
            <w:vAlign w:val="bottom"/>
          </w:tcPr>
          <w:p w14:paraId="4E9BA364" w14:textId="77777777" w:rsidR="00AF5F83" w:rsidRDefault="00AF5F83" w:rsidP="001A5D4A">
            <w:pPr>
              <w:pStyle w:val="NotesTable-CellPlain"/>
            </w:pPr>
            <w:r>
              <w:t>–</w:t>
            </w:r>
          </w:p>
        </w:tc>
        <w:tc>
          <w:tcPr>
            <w:tcW w:w="397" w:type="pct"/>
            <w:vAlign w:val="bottom"/>
          </w:tcPr>
          <w:p w14:paraId="43D8194E" w14:textId="77777777" w:rsidR="00AF5F83" w:rsidRPr="000A14F0" w:rsidRDefault="00AF5F83" w:rsidP="001A5D4A">
            <w:pPr>
              <w:pStyle w:val="NotesTable-CellPlain"/>
            </w:pPr>
            <w:r w:rsidRPr="000A14F0">
              <w:t>–</w:t>
            </w:r>
          </w:p>
        </w:tc>
        <w:tc>
          <w:tcPr>
            <w:tcW w:w="397" w:type="pct"/>
            <w:vAlign w:val="bottom"/>
          </w:tcPr>
          <w:p w14:paraId="544FA757" w14:textId="77777777" w:rsidR="00AF5F83" w:rsidRPr="000A14F0" w:rsidRDefault="00AF5F83" w:rsidP="001A5D4A">
            <w:pPr>
              <w:pStyle w:val="NotesTable-CellPlain"/>
            </w:pPr>
            <w:r w:rsidRPr="000A14F0">
              <w:t>–</w:t>
            </w:r>
          </w:p>
        </w:tc>
        <w:tc>
          <w:tcPr>
            <w:tcW w:w="396" w:type="pct"/>
            <w:vAlign w:val="bottom"/>
          </w:tcPr>
          <w:p w14:paraId="0ED3A4ED" w14:textId="77777777" w:rsidR="00AF5F83" w:rsidRPr="000A14F0" w:rsidRDefault="00AF5F83" w:rsidP="001A5D4A">
            <w:pPr>
              <w:pStyle w:val="NotesTable-CellPlain"/>
            </w:pPr>
            <w:r w:rsidRPr="000A14F0">
              <w:t>–</w:t>
            </w:r>
          </w:p>
        </w:tc>
      </w:tr>
      <w:tr w:rsidR="00AF5F83" w14:paraId="21C6D578" w14:textId="77777777" w:rsidTr="002E740E">
        <w:trPr>
          <w:cantSplit/>
          <w:trHeight w:hRule="exact" w:val="227"/>
        </w:trPr>
        <w:tc>
          <w:tcPr>
            <w:tcW w:w="800" w:type="pct"/>
            <w:vAlign w:val="bottom"/>
          </w:tcPr>
          <w:p w14:paraId="65ABA594" w14:textId="77777777" w:rsidR="00AF5F83" w:rsidRPr="00635008" w:rsidRDefault="00AF5F83" w:rsidP="001A5D4A">
            <w:pPr>
              <w:pStyle w:val="Note-Refs"/>
              <w:rPr>
                <w:b/>
              </w:rPr>
            </w:pPr>
            <w:r w:rsidRPr="00635008">
              <w:t>AASB138.118e(ii)</w:t>
            </w:r>
          </w:p>
        </w:tc>
        <w:tc>
          <w:tcPr>
            <w:tcW w:w="2423" w:type="pct"/>
            <w:vAlign w:val="bottom"/>
          </w:tcPr>
          <w:p w14:paraId="04FC10A9" w14:textId="77777777" w:rsidR="00AF5F83" w:rsidRDefault="00AF5F83" w:rsidP="001A5D4A">
            <w:pPr>
              <w:pStyle w:val="NotesTable-ItemPlain"/>
              <w:rPr>
                <w:b/>
              </w:rPr>
            </w:pPr>
            <w:r>
              <w:t>Disposals</w:t>
            </w:r>
          </w:p>
        </w:tc>
        <w:tc>
          <w:tcPr>
            <w:tcW w:w="588" w:type="pct"/>
            <w:vAlign w:val="bottom"/>
          </w:tcPr>
          <w:p w14:paraId="5517DA77" w14:textId="77777777" w:rsidR="00AF5F83" w:rsidRDefault="00AF5F83" w:rsidP="001A5D4A">
            <w:pPr>
              <w:pStyle w:val="NotesTable-CellPlain"/>
            </w:pPr>
            <w:r>
              <w:t>–</w:t>
            </w:r>
          </w:p>
        </w:tc>
        <w:tc>
          <w:tcPr>
            <w:tcW w:w="397" w:type="pct"/>
            <w:vAlign w:val="bottom"/>
          </w:tcPr>
          <w:p w14:paraId="0F24F47B" w14:textId="77777777" w:rsidR="00AF5F83" w:rsidRPr="000A14F0" w:rsidRDefault="00AF5F83" w:rsidP="001A5D4A">
            <w:pPr>
              <w:pStyle w:val="NotesTable-CellPlain"/>
            </w:pPr>
            <w:r w:rsidRPr="000A14F0">
              <w:t>–</w:t>
            </w:r>
          </w:p>
        </w:tc>
        <w:tc>
          <w:tcPr>
            <w:tcW w:w="397" w:type="pct"/>
            <w:vAlign w:val="bottom"/>
          </w:tcPr>
          <w:p w14:paraId="17C3BFB8" w14:textId="77777777" w:rsidR="00AF5F83" w:rsidRPr="000A14F0" w:rsidRDefault="00AF5F83" w:rsidP="001A5D4A">
            <w:pPr>
              <w:pStyle w:val="NotesTable-CellPlain"/>
            </w:pPr>
            <w:r w:rsidRPr="000A14F0">
              <w:t>–</w:t>
            </w:r>
          </w:p>
        </w:tc>
        <w:tc>
          <w:tcPr>
            <w:tcW w:w="396" w:type="pct"/>
            <w:vAlign w:val="bottom"/>
          </w:tcPr>
          <w:p w14:paraId="4B9EAFB0" w14:textId="77777777" w:rsidR="00AF5F83" w:rsidRPr="000A14F0" w:rsidRDefault="00AF5F83" w:rsidP="001A5D4A">
            <w:pPr>
              <w:pStyle w:val="NotesTable-CellPlain"/>
            </w:pPr>
            <w:r w:rsidRPr="000A14F0">
              <w:t>–</w:t>
            </w:r>
          </w:p>
        </w:tc>
      </w:tr>
      <w:tr w:rsidR="00AF5F83" w14:paraId="3E0ABDCF" w14:textId="77777777" w:rsidTr="002E740E">
        <w:trPr>
          <w:cantSplit/>
          <w:trHeight w:hRule="exact" w:val="227"/>
        </w:trPr>
        <w:tc>
          <w:tcPr>
            <w:tcW w:w="800" w:type="pct"/>
            <w:vAlign w:val="bottom"/>
          </w:tcPr>
          <w:p w14:paraId="63F830F6" w14:textId="77777777" w:rsidR="00AF5F83" w:rsidRPr="00635008" w:rsidRDefault="00AF5F83" w:rsidP="001A5D4A">
            <w:pPr>
              <w:pStyle w:val="Note-Refs"/>
              <w:rPr>
                <w:b/>
              </w:rPr>
            </w:pPr>
            <w:r w:rsidRPr="00635008">
              <w:t>AASB138.118e(iv)</w:t>
            </w:r>
          </w:p>
        </w:tc>
        <w:tc>
          <w:tcPr>
            <w:tcW w:w="2423" w:type="pct"/>
            <w:vAlign w:val="bottom"/>
          </w:tcPr>
          <w:p w14:paraId="437B3B70" w14:textId="77777777" w:rsidR="00AF5F83" w:rsidRDefault="00AF5F83" w:rsidP="001A5D4A">
            <w:pPr>
              <w:pStyle w:val="NotesTable-ItemPlain"/>
              <w:rPr>
                <w:b/>
              </w:rPr>
            </w:pPr>
            <w:r>
              <w:t xml:space="preserve">Impairment losses </w:t>
            </w:r>
          </w:p>
        </w:tc>
        <w:tc>
          <w:tcPr>
            <w:tcW w:w="588" w:type="pct"/>
            <w:vAlign w:val="bottom"/>
          </w:tcPr>
          <w:p w14:paraId="69A40B01" w14:textId="77777777" w:rsidR="00AF5F83" w:rsidRDefault="00AF5F83" w:rsidP="001A5D4A">
            <w:pPr>
              <w:pStyle w:val="NotesTable-CellPlain"/>
            </w:pPr>
            <w:r>
              <w:t>–</w:t>
            </w:r>
          </w:p>
        </w:tc>
        <w:tc>
          <w:tcPr>
            <w:tcW w:w="397" w:type="pct"/>
            <w:vAlign w:val="bottom"/>
          </w:tcPr>
          <w:p w14:paraId="554724F7" w14:textId="77777777" w:rsidR="00AF5F83" w:rsidRPr="000A14F0" w:rsidRDefault="00AF5F83" w:rsidP="001A5D4A">
            <w:pPr>
              <w:pStyle w:val="NotesTable-CellPlain"/>
            </w:pPr>
            <w:r w:rsidRPr="000A14F0">
              <w:t>–</w:t>
            </w:r>
          </w:p>
        </w:tc>
        <w:tc>
          <w:tcPr>
            <w:tcW w:w="397" w:type="pct"/>
            <w:vAlign w:val="bottom"/>
          </w:tcPr>
          <w:p w14:paraId="2561FE62" w14:textId="77777777" w:rsidR="00AF5F83" w:rsidRPr="000A14F0" w:rsidRDefault="00AF5F83" w:rsidP="001A5D4A">
            <w:pPr>
              <w:pStyle w:val="NotesTable-CellPlain"/>
            </w:pPr>
            <w:r w:rsidRPr="000A14F0">
              <w:t>–</w:t>
            </w:r>
          </w:p>
        </w:tc>
        <w:tc>
          <w:tcPr>
            <w:tcW w:w="396" w:type="pct"/>
            <w:vAlign w:val="bottom"/>
          </w:tcPr>
          <w:p w14:paraId="3B68C999" w14:textId="77777777" w:rsidR="00AF5F83" w:rsidRPr="000A14F0" w:rsidRDefault="00AF5F83" w:rsidP="001A5D4A">
            <w:pPr>
              <w:pStyle w:val="NotesTable-CellPlain"/>
            </w:pPr>
            <w:r w:rsidRPr="000A14F0">
              <w:t>–</w:t>
            </w:r>
          </w:p>
        </w:tc>
      </w:tr>
      <w:tr w:rsidR="00AF5F83" w14:paraId="1AFA6E35" w14:textId="77777777" w:rsidTr="002E740E">
        <w:trPr>
          <w:cantSplit/>
          <w:trHeight w:hRule="exact" w:val="227"/>
        </w:trPr>
        <w:tc>
          <w:tcPr>
            <w:tcW w:w="800" w:type="pct"/>
            <w:vAlign w:val="bottom"/>
          </w:tcPr>
          <w:p w14:paraId="3D209620" w14:textId="77777777" w:rsidR="00AF5F83" w:rsidRPr="00635008" w:rsidRDefault="00AF5F83" w:rsidP="001A5D4A">
            <w:pPr>
              <w:pStyle w:val="Note-Refs"/>
              <w:rPr>
                <w:b/>
              </w:rPr>
            </w:pPr>
            <w:r w:rsidRPr="00635008">
              <w:t>AASB138.118e(vi)</w:t>
            </w:r>
          </w:p>
        </w:tc>
        <w:tc>
          <w:tcPr>
            <w:tcW w:w="2423" w:type="pct"/>
            <w:vAlign w:val="bottom"/>
          </w:tcPr>
          <w:p w14:paraId="262C20FE" w14:textId="77777777" w:rsidR="00AF5F83" w:rsidRDefault="00AF5F83" w:rsidP="001A5D4A">
            <w:pPr>
              <w:pStyle w:val="NotesTable-ItemPlain"/>
              <w:rPr>
                <w:b/>
              </w:rPr>
            </w:pPr>
            <w:r>
              <w:t xml:space="preserve">Amortisation charge </w:t>
            </w:r>
          </w:p>
        </w:tc>
        <w:tc>
          <w:tcPr>
            <w:tcW w:w="588" w:type="pct"/>
            <w:tcBorders>
              <w:bottom w:val="single" w:sz="4" w:space="0" w:color="auto"/>
            </w:tcBorders>
            <w:vAlign w:val="bottom"/>
          </w:tcPr>
          <w:p w14:paraId="05FA822D" w14:textId="77777777" w:rsidR="00AF5F83" w:rsidRDefault="00AF5F83" w:rsidP="001A5D4A">
            <w:pPr>
              <w:pStyle w:val="NotesTable-CellPlain"/>
            </w:pPr>
            <w:r>
              <w:t>–</w:t>
            </w:r>
          </w:p>
        </w:tc>
        <w:tc>
          <w:tcPr>
            <w:tcW w:w="397" w:type="pct"/>
            <w:tcBorders>
              <w:bottom w:val="single" w:sz="4" w:space="0" w:color="auto"/>
            </w:tcBorders>
            <w:vAlign w:val="bottom"/>
          </w:tcPr>
          <w:p w14:paraId="766099EA" w14:textId="77777777" w:rsidR="00AF5F83" w:rsidRPr="000A14F0" w:rsidRDefault="00AF5F83" w:rsidP="001A5D4A">
            <w:pPr>
              <w:pStyle w:val="NotesTable-CellPlain"/>
            </w:pPr>
            <w:r w:rsidRPr="000A14F0">
              <w:t>–</w:t>
            </w:r>
          </w:p>
        </w:tc>
        <w:tc>
          <w:tcPr>
            <w:tcW w:w="397" w:type="pct"/>
            <w:tcBorders>
              <w:bottom w:val="single" w:sz="4" w:space="0" w:color="auto"/>
            </w:tcBorders>
            <w:vAlign w:val="bottom"/>
          </w:tcPr>
          <w:p w14:paraId="72FD8E3B" w14:textId="77777777" w:rsidR="00AF5F83" w:rsidRPr="000A14F0" w:rsidRDefault="00AF5F83" w:rsidP="001A5D4A">
            <w:pPr>
              <w:pStyle w:val="NotesTable-CellPlain"/>
            </w:pPr>
            <w:r w:rsidRPr="000A14F0">
              <w:t>–</w:t>
            </w:r>
          </w:p>
        </w:tc>
        <w:tc>
          <w:tcPr>
            <w:tcW w:w="396" w:type="pct"/>
            <w:tcBorders>
              <w:bottom w:val="single" w:sz="4" w:space="0" w:color="auto"/>
            </w:tcBorders>
            <w:vAlign w:val="bottom"/>
          </w:tcPr>
          <w:p w14:paraId="044660C1" w14:textId="77777777" w:rsidR="00AF5F83" w:rsidRPr="000A14F0" w:rsidRDefault="00AF5F83" w:rsidP="001A5D4A">
            <w:pPr>
              <w:pStyle w:val="NotesTable-CellPlain"/>
            </w:pPr>
            <w:r w:rsidRPr="000A14F0">
              <w:t>–</w:t>
            </w:r>
          </w:p>
        </w:tc>
      </w:tr>
      <w:tr w:rsidR="00AF5F83" w14:paraId="522787A2" w14:textId="77777777" w:rsidTr="002E740E">
        <w:trPr>
          <w:cantSplit/>
          <w:trHeight w:hRule="exact" w:val="227"/>
        </w:trPr>
        <w:tc>
          <w:tcPr>
            <w:tcW w:w="800" w:type="pct"/>
            <w:vAlign w:val="bottom"/>
          </w:tcPr>
          <w:p w14:paraId="1462B389" w14:textId="77777777" w:rsidR="00AF5F83" w:rsidRPr="00635008" w:rsidRDefault="00AF5F83" w:rsidP="001A5D4A">
            <w:pPr>
              <w:pStyle w:val="Note-Refs"/>
            </w:pPr>
          </w:p>
        </w:tc>
        <w:tc>
          <w:tcPr>
            <w:tcW w:w="2423" w:type="pct"/>
            <w:vAlign w:val="bottom"/>
          </w:tcPr>
          <w:p w14:paraId="298E3ECD" w14:textId="77777777" w:rsidR="00AF5F83" w:rsidRDefault="00AF5F83" w:rsidP="001A5D4A">
            <w:pPr>
              <w:pStyle w:val="NotesTable-ItemPlain"/>
              <w:rPr>
                <w:b/>
              </w:rPr>
            </w:pPr>
            <w:r>
              <w:t xml:space="preserve">Closing net book amount </w:t>
            </w:r>
          </w:p>
        </w:tc>
        <w:tc>
          <w:tcPr>
            <w:tcW w:w="588" w:type="pct"/>
            <w:tcBorders>
              <w:top w:val="single" w:sz="4" w:space="0" w:color="auto"/>
            </w:tcBorders>
            <w:vAlign w:val="bottom"/>
          </w:tcPr>
          <w:p w14:paraId="510C0282" w14:textId="77777777" w:rsidR="00AF5F83" w:rsidRDefault="00AF5F83" w:rsidP="001A5D4A">
            <w:pPr>
              <w:pStyle w:val="NotesTable-CellPlain"/>
            </w:pPr>
            <w:r>
              <w:t>–</w:t>
            </w:r>
          </w:p>
        </w:tc>
        <w:tc>
          <w:tcPr>
            <w:tcW w:w="397" w:type="pct"/>
            <w:tcBorders>
              <w:top w:val="single" w:sz="4" w:space="0" w:color="auto"/>
            </w:tcBorders>
            <w:vAlign w:val="bottom"/>
          </w:tcPr>
          <w:p w14:paraId="54C90C5E" w14:textId="77777777" w:rsidR="00AF5F83" w:rsidRPr="000A14F0" w:rsidRDefault="00AF5F83" w:rsidP="001A5D4A">
            <w:pPr>
              <w:pStyle w:val="NotesTable-CellPlain"/>
            </w:pPr>
            <w:r w:rsidRPr="000A14F0">
              <w:t>–</w:t>
            </w:r>
          </w:p>
        </w:tc>
        <w:tc>
          <w:tcPr>
            <w:tcW w:w="397" w:type="pct"/>
            <w:tcBorders>
              <w:top w:val="single" w:sz="4" w:space="0" w:color="auto"/>
            </w:tcBorders>
            <w:vAlign w:val="bottom"/>
          </w:tcPr>
          <w:p w14:paraId="3FEC5581" w14:textId="77777777" w:rsidR="00AF5F83" w:rsidRPr="000A14F0" w:rsidRDefault="00AF5F83" w:rsidP="001A5D4A">
            <w:pPr>
              <w:pStyle w:val="NotesTable-CellPlain"/>
            </w:pPr>
            <w:r w:rsidRPr="000A14F0">
              <w:t>–</w:t>
            </w:r>
          </w:p>
        </w:tc>
        <w:tc>
          <w:tcPr>
            <w:tcW w:w="396" w:type="pct"/>
            <w:tcBorders>
              <w:top w:val="single" w:sz="4" w:space="0" w:color="auto"/>
            </w:tcBorders>
            <w:vAlign w:val="bottom"/>
          </w:tcPr>
          <w:p w14:paraId="68990A28" w14:textId="77777777" w:rsidR="00AF5F83" w:rsidRPr="000A14F0" w:rsidRDefault="00AF5F83" w:rsidP="001A5D4A">
            <w:pPr>
              <w:pStyle w:val="NotesTable-CellPlain"/>
            </w:pPr>
            <w:r w:rsidRPr="000A14F0">
              <w:t>–</w:t>
            </w:r>
          </w:p>
        </w:tc>
      </w:tr>
      <w:tr w:rsidR="00AF5F83" w14:paraId="609D4B58" w14:textId="77777777" w:rsidTr="002E740E">
        <w:trPr>
          <w:cantSplit/>
          <w:trHeight w:hRule="exact" w:val="227"/>
        </w:trPr>
        <w:tc>
          <w:tcPr>
            <w:tcW w:w="800" w:type="pct"/>
            <w:vAlign w:val="bottom"/>
          </w:tcPr>
          <w:p w14:paraId="518B294B" w14:textId="77777777" w:rsidR="00AF5F83" w:rsidRPr="00635008" w:rsidRDefault="00AF5F83" w:rsidP="001A5D4A">
            <w:pPr>
              <w:pStyle w:val="Note-Refs"/>
            </w:pPr>
          </w:p>
        </w:tc>
        <w:tc>
          <w:tcPr>
            <w:tcW w:w="4200" w:type="pct"/>
            <w:gridSpan w:val="5"/>
            <w:vAlign w:val="bottom"/>
          </w:tcPr>
          <w:p w14:paraId="62BBFB1C" w14:textId="77777777" w:rsidR="00AF5F83" w:rsidRPr="000A14F0" w:rsidRDefault="00AF5F83" w:rsidP="001A5D4A">
            <w:pPr>
              <w:pStyle w:val="NotesTable-ItemPlain"/>
            </w:pPr>
          </w:p>
        </w:tc>
      </w:tr>
      <w:tr w:rsidR="00AF5F83" w14:paraId="25CF06DD" w14:textId="77777777" w:rsidTr="002E740E">
        <w:trPr>
          <w:cantSplit/>
          <w:trHeight w:hRule="exact" w:val="227"/>
        </w:trPr>
        <w:tc>
          <w:tcPr>
            <w:tcW w:w="800" w:type="pct"/>
            <w:vAlign w:val="bottom"/>
          </w:tcPr>
          <w:p w14:paraId="0D605792" w14:textId="77777777" w:rsidR="00AF5F83" w:rsidRPr="00635008" w:rsidRDefault="00AF5F83" w:rsidP="001A5D4A">
            <w:pPr>
              <w:pStyle w:val="Note-Refs"/>
              <w:rPr>
                <w:b/>
              </w:rPr>
            </w:pPr>
            <w:r w:rsidRPr="00635008">
              <w:t>AASB138.118c</w:t>
            </w:r>
          </w:p>
        </w:tc>
        <w:tc>
          <w:tcPr>
            <w:tcW w:w="4200" w:type="pct"/>
            <w:gridSpan w:val="5"/>
            <w:vAlign w:val="bottom"/>
          </w:tcPr>
          <w:p w14:paraId="440C4565" w14:textId="173ED1FB" w:rsidR="00AF5F83" w:rsidRPr="000A14F0" w:rsidRDefault="00AF5F83" w:rsidP="001A5D4A">
            <w:pPr>
              <w:pStyle w:val="Note-TextHeader"/>
              <w:rPr>
                <w:lang w:val="en-GB"/>
              </w:rPr>
            </w:pPr>
            <w:r>
              <w:t xml:space="preserve">At 31 December </w:t>
            </w:r>
            <w:r w:rsidR="006864EC">
              <w:t>2014</w:t>
            </w:r>
          </w:p>
        </w:tc>
      </w:tr>
      <w:tr w:rsidR="00AF5F83" w14:paraId="4CA62368" w14:textId="77777777" w:rsidTr="002E740E">
        <w:trPr>
          <w:cantSplit/>
          <w:trHeight w:hRule="exact" w:val="227"/>
        </w:trPr>
        <w:tc>
          <w:tcPr>
            <w:tcW w:w="800" w:type="pct"/>
            <w:vAlign w:val="bottom"/>
          </w:tcPr>
          <w:p w14:paraId="12471797" w14:textId="77777777" w:rsidR="00AF5F83" w:rsidRPr="00635008" w:rsidRDefault="00AF5F83" w:rsidP="001A5D4A">
            <w:pPr>
              <w:pStyle w:val="Note-Refs"/>
            </w:pPr>
          </w:p>
        </w:tc>
        <w:tc>
          <w:tcPr>
            <w:tcW w:w="2423" w:type="pct"/>
            <w:vAlign w:val="bottom"/>
          </w:tcPr>
          <w:p w14:paraId="4C60C463" w14:textId="77777777" w:rsidR="00AF5F83" w:rsidRDefault="00AF5F83" w:rsidP="001A5D4A">
            <w:pPr>
              <w:pStyle w:val="NotesTable-ItemPlain"/>
              <w:rPr>
                <w:b/>
              </w:rPr>
            </w:pPr>
            <w:r>
              <w:t>Cost</w:t>
            </w:r>
          </w:p>
        </w:tc>
        <w:tc>
          <w:tcPr>
            <w:tcW w:w="588" w:type="pct"/>
            <w:vAlign w:val="bottom"/>
          </w:tcPr>
          <w:p w14:paraId="375ADD36" w14:textId="77777777" w:rsidR="00AF5F83" w:rsidRDefault="00AF5F83" w:rsidP="001A5D4A">
            <w:pPr>
              <w:pStyle w:val="NotesTable-CellPlain"/>
            </w:pPr>
            <w:r>
              <w:t>–</w:t>
            </w:r>
          </w:p>
        </w:tc>
        <w:tc>
          <w:tcPr>
            <w:tcW w:w="397" w:type="pct"/>
            <w:vAlign w:val="bottom"/>
          </w:tcPr>
          <w:p w14:paraId="33E532E4" w14:textId="77777777" w:rsidR="00AF5F83" w:rsidRPr="000A14F0" w:rsidRDefault="00AF5F83" w:rsidP="001A5D4A">
            <w:pPr>
              <w:pStyle w:val="NotesTable-CellPlain"/>
            </w:pPr>
            <w:r w:rsidRPr="000A14F0">
              <w:t>–</w:t>
            </w:r>
          </w:p>
        </w:tc>
        <w:tc>
          <w:tcPr>
            <w:tcW w:w="397" w:type="pct"/>
            <w:vAlign w:val="bottom"/>
          </w:tcPr>
          <w:p w14:paraId="7ADE193C" w14:textId="77777777" w:rsidR="00AF5F83" w:rsidRPr="000A14F0" w:rsidRDefault="00AF5F83" w:rsidP="001A5D4A">
            <w:pPr>
              <w:pStyle w:val="NotesTable-CellPlain"/>
            </w:pPr>
            <w:r w:rsidRPr="000A14F0">
              <w:t>–</w:t>
            </w:r>
          </w:p>
        </w:tc>
        <w:tc>
          <w:tcPr>
            <w:tcW w:w="396" w:type="pct"/>
            <w:vAlign w:val="bottom"/>
          </w:tcPr>
          <w:p w14:paraId="357B0CC8" w14:textId="77777777" w:rsidR="00AF5F83" w:rsidRPr="000A14F0" w:rsidRDefault="00AF5F83" w:rsidP="001A5D4A">
            <w:pPr>
              <w:pStyle w:val="NotesTable-CellPlain"/>
            </w:pPr>
            <w:r w:rsidRPr="000A14F0">
              <w:t>–</w:t>
            </w:r>
          </w:p>
        </w:tc>
      </w:tr>
      <w:tr w:rsidR="00AF5F83" w14:paraId="1D5B3635" w14:textId="77777777" w:rsidTr="002E740E">
        <w:trPr>
          <w:cantSplit/>
          <w:trHeight w:hRule="exact" w:val="227"/>
        </w:trPr>
        <w:tc>
          <w:tcPr>
            <w:tcW w:w="800" w:type="pct"/>
            <w:vAlign w:val="bottom"/>
          </w:tcPr>
          <w:p w14:paraId="1CA922F4" w14:textId="77777777" w:rsidR="00AF5F83" w:rsidRPr="00635008" w:rsidRDefault="00AF5F83" w:rsidP="001A5D4A">
            <w:pPr>
              <w:pStyle w:val="Note-Refs"/>
            </w:pPr>
          </w:p>
        </w:tc>
        <w:tc>
          <w:tcPr>
            <w:tcW w:w="2423" w:type="pct"/>
            <w:vAlign w:val="bottom"/>
          </w:tcPr>
          <w:p w14:paraId="1FAE99C6" w14:textId="77777777" w:rsidR="00AF5F83" w:rsidRDefault="00AF5F83" w:rsidP="001A5D4A">
            <w:pPr>
              <w:pStyle w:val="NotesTable-ItemPlain"/>
              <w:rPr>
                <w:b/>
              </w:rPr>
            </w:pPr>
            <w:r>
              <w:t>Accumulated amortisation and impairment</w:t>
            </w:r>
          </w:p>
        </w:tc>
        <w:tc>
          <w:tcPr>
            <w:tcW w:w="588" w:type="pct"/>
            <w:tcBorders>
              <w:bottom w:val="single" w:sz="4" w:space="0" w:color="auto"/>
            </w:tcBorders>
            <w:vAlign w:val="bottom"/>
          </w:tcPr>
          <w:p w14:paraId="084DFE13" w14:textId="77777777" w:rsidR="00AF5F83" w:rsidRDefault="00AF5F83" w:rsidP="001A5D4A">
            <w:pPr>
              <w:pStyle w:val="NotesTable-CellPlain"/>
            </w:pPr>
            <w:r>
              <w:t>–</w:t>
            </w:r>
          </w:p>
        </w:tc>
        <w:tc>
          <w:tcPr>
            <w:tcW w:w="397" w:type="pct"/>
            <w:tcBorders>
              <w:bottom w:val="single" w:sz="4" w:space="0" w:color="auto"/>
            </w:tcBorders>
            <w:vAlign w:val="bottom"/>
          </w:tcPr>
          <w:p w14:paraId="3318DAC5" w14:textId="77777777" w:rsidR="00AF5F83" w:rsidRPr="000A14F0" w:rsidRDefault="00AF5F83" w:rsidP="001A5D4A">
            <w:pPr>
              <w:pStyle w:val="NotesTable-CellPlain"/>
            </w:pPr>
            <w:r w:rsidRPr="000A14F0">
              <w:t>–</w:t>
            </w:r>
          </w:p>
        </w:tc>
        <w:tc>
          <w:tcPr>
            <w:tcW w:w="397" w:type="pct"/>
            <w:tcBorders>
              <w:bottom w:val="single" w:sz="4" w:space="0" w:color="auto"/>
            </w:tcBorders>
            <w:vAlign w:val="bottom"/>
          </w:tcPr>
          <w:p w14:paraId="5B8D966D" w14:textId="77777777" w:rsidR="00AF5F83" w:rsidRPr="000A14F0" w:rsidRDefault="00AF5F83" w:rsidP="001A5D4A">
            <w:pPr>
              <w:pStyle w:val="NotesTable-CellPlain"/>
            </w:pPr>
            <w:r w:rsidRPr="000A14F0">
              <w:t>–</w:t>
            </w:r>
          </w:p>
        </w:tc>
        <w:tc>
          <w:tcPr>
            <w:tcW w:w="396" w:type="pct"/>
            <w:tcBorders>
              <w:bottom w:val="single" w:sz="4" w:space="0" w:color="auto"/>
            </w:tcBorders>
            <w:vAlign w:val="bottom"/>
          </w:tcPr>
          <w:p w14:paraId="61D0ABC9" w14:textId="77777777" w:rsidR="00AF5F83" w:rsidRPr="000A14F0" w:rsidRDefault="00AF5F83" w:rsidP="001A5D4A">
            <w:pPr>
              <w:pStyle w:val="NotesTable-CellPlain"/>
            </w:pPr>
            <w:r w:rsidRPr="000A14F0">
              <w:t>–</w:t>
            </w:r>
          </w:p>
        </w:tc>
      </w:tr>
      <w:tr w:rsidR="00AF5F83" w14:paraId="4892984F" w14:textId="77777777" w:rsidTr="002E740E">
        <w:trPr>
          <w:cantSplit/>
          <w:trHeight w:hRule="exact" w:val="227"/>
        </w:trPr>
        <w:tc>
          <w:tcPr>
            <w:tcW w:w="800" w:type="pct"/>
            <w:vAlign w:val="bottom"/>
          </w:tcPr>
          <w:p w14:paraId="4F3B5037" w14:textId="77777777" w:rsidR="00AF5F83" w:rsidRPr="00635008" w:rsidRDefault="00AF5F83" w:rsidP="001A5D4A">
            <w:pPr>
              <w:pStyle w:val="Note-Refs"/>
            </w:pPr>
          </w:p>
        </w:tc>
        <w:tc>
          <w:tcPr>
            <w:tcW w:w="2423" w:type="pct"/>
            <w:vAlign w:val="bottom"/>
          </w:tcPr>
          <w:p w14:paraId="31813A54" w14:textId="77777777" w:rsidR="00AF5F83" w:rsidRDefault="00AF5F83" w:rsidP="001A5D4A">
            <w:pPr>
              <w:pStyle w:val="NotesTable-ItemPlain"/>
              <w:rPr>
                <w:b/>
              </w:rPr>
            </w:pPr>
            <w:r>
              <w:t>Net book amount</w:t>
            </w:r>
          </w:p>
        </w:tc>
        <w:tc>
          <w:tcPr>
            <w:tcW w:w="588" w:type="pct"/>
            <w:tcBorders>
              <w:top w:val="single" w:sz="4" w:space="0" w:color="auto"/>
            </w:tcBorders>
            <w:vAlign w:val="bottom"/>
          </w:tcPr>
          <w:p w14:paraId="45A77504" w14:textId="77777777" w:rsidR="00AF5F83" w:rsidRDefault="00AF5F83" w:rsidP="001A5D4A">
            <w:pPr>
              <w:pStyle w:val="NotesTable-CellPlain"/>
            </w:pPr>
            <w:r>
              <w:t>–</w:t>
            </w:r>
          </w:p>
        </w:tc>
        <w:tc>
          <w:tcPr>
            <w:tcW w:w="397" w:type="pct"/>
            <w:tcBorders>
              <w:top w:val="single" w:sz="4" w:space="0" w:color="auto"/>
            </w:tcBorders>
            <w:vAlign w:val="bottom"/>
          </w:tcPr>
          <w:p w14:paraId="444105C0" w14:textId="77777777" w:rsidR="00AF5F83" w:rsidRPr="000A14F0" w:rsidRDefault="00AF5F83" w:rsidP="001A5D4A">
            <w:pPr>
              <w:pStyle w:val="NotesTable-CellPlain"/>
            </w:pPr>
            <w:r w:rsidRPr="000A14F0">
              <w:t>–</w:t>
            </w:r>
          </w:p>
        </w:tc>
        <w:tc>
          <w:tcPr>
            <w:tcW w:w="397" w:type="pct"/>
            <w:tcBorders>
              <w:top w:val="single" w:sz="4" w:space="0" w:color="auto"/>
            </w:tcBorders>
            <w:vAlign w:val="bottom"/>
          </w:tcPr>
          <w:p w14:paraId="0D8674CA" w14:textId="77777777" w:rsidR="00AF5F83" w:rsidRPr="000A14F0" w:rsidRDefault="00AF5F83" w:rsidP="001A5D4A">
            <w:pPr>
              <w:pStyle w:val="NotesTable-CellPlain"/>
            </w:pPr>
            <w:r w:rsidRPr="000A14F0">
              <w:t>–</w:t>
            </w:r>
          </w:p>
        </w:tc>
        <w:tc>
          <w:tcPr>
            <w:tcW w:w="396" w:type="pct"/>
            <w:tcBorders>
              <w:top w:val="single" w:sz="4" w:space="0" w:color="auto"/>
            </w:tcBorders>
            <w:vAlign w:val="bottom"/>
          </w:tcPr>
          <w:p w14:paraId="7A3B1B48" w14:textId="77777777" w:rsidR="00AF5F83" w:rsidRPr="000A14F0" w:rsidRDefault="00AF5F83" w:rsidP="001A5D4A">
            <w:pPr>
              <w:pStyle w:val="NotesTable-CellPlain"/>
            </w:pPr>
            <w:r w:rsidRPr="000A14F0">
              <w:t>–</w:t>
            </w:r>
          </w:p>
        </w:tc>
      </w:tr>
    </w:tbl>
    <w:p w14:paraId="4C098E57" w14:textId="77777777" w:rsidR="000F7FFE" w:rsidRPr="00D21CB5" w:rsidRDefault="000F7FFE" w:rsidP="001A5D4A">
      <w:r w:rsidRPr="00D21CB5">
        <w:br w:type="page"/>
      </w:r>
    </w:p>
    <w:p w14:paraId="2EA54484" w14:textId="63C65DCE" w:rsidR="000F7FFE" w:rsidRPr="002E740E" w:rsidRDefault="000F7FFE" w:rsidP="001A5D4A">
      <w:pPr>
        <w:pStyle w:val="Heading3"/>
        <w:rPr>
          <w:color w:val="2D3E7B" w:themeColor="text2" w:themeShade="BF"/>
        </w:rPr>
      </w:pPr>
      <w:bookmarkStart w:id="337" w:name="_Toc410807641"/>
      <w:bookmarkStart w:id="338" w:name="_Toc410822702"/>
      <w:r w:rsidRPr="002E740E">
        <w:rPr>
          <w:color w:val="2D3E7B" w:themeColor="text2" w:themeShade="BF"/>
        </w:rPr>
        <w:lastRenderedPageBreak/>
        <w:t>Commentary – Intangible assets</w:t>
      </w:r>
      <w:bookmarkEnd w:id="337"/>
      <w:bookmarkEnd w:id="338"/>
    </w:p>
    <w:p w14:paraId="4CC53CA4"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Intangible assets</w:t>
      </w:r>
    </w:p>
    <w:p w14:paraId="45B447CE" w14:textId="77777777" w:rsidR="000F7FFE" w:rsidRPr="002E740E" w:rsidRDefault="000F7FFE" w:rsidP="00F94210">
      <w:pPr>
        <w:pStyle w:val="Heading6"/>
      </w:pPr>
      <w:r w:rsidRPr="002E740E">
        <w:t>AASB138.118</w:t>
      </w:r>
    </w:p>
    <w:p w14:paraId="303376B7" w14:textId="77777777" w:rsidR="000F7FFE" w:rsidRPr="002E740E" w:rsidDel="00A807A3" w:rsidRDefault="000F7FFE" w:rsidP="001A5D4A">
      <w:pPr>
        <w:rPr>
          <w:color w:val="2D3E7B" w:themeColor="text2" w:themeShade="BF"/>
        </w:rPr>
      </w:pPr>
      <w:r w:rsidRPr="002E740E">
        <w:rPr>
          <w:color w:val="2D3E7B" w:themeColor="text2" w:themeShade="BF"/>
        </w:rPr>
        <w:t>For additional disclosure requirements, refer to AASB138.118.</w:t>
      </w:r>
    </w:p>
    <w:p w14:paraId="6F12C2E6" w14:textId="77777777" w:rsidR="000F7FFE" w:rsidRPr="002E740E" w:rsidRDefault="000F7FFE" w:rsidP="00F94210">
      <w:pPr>
        <w:pStyle w:val="Heading6"/>
      </w:pPr>
      <w:r w:rsidRPr="002E740E">
        <w:t>AASB3.B67d</w:t>
      </w:r>
    </w:p>
    <w:p w14:paraId="3DCBDF1A" w14:textId="77777777" w:rsidR="000F7FFE" w:rsidRPr="002E740E" w:rsidDel="00A807A3" w:rsidRDefault="000F7FFE" w:rsidP="001A5D4A">
      <w:pPr>
        <w:rPr>
          <w:color w:val="2D3E7B" w:themeColor="text2" w:themeShade="BF"/>
        </w:rPr>
      </w:pPr>
      <w:r w:rsidRPr="002E740E">
        <w:rPr>
          <w:color w:val="2D3E7B" w:themeColor="text2" w:themeShade="BF"/>
        </w:rPr>
        <w:t>For additional disclosure requirements for goodwill arising from business combinations, refer to AASB3.B67d</w:t>
      </w:r>
    </w:p>
    <w:p w14:paraId="4C9D76F0" w14:textId="0FC5426A" w:rsidR="00D21CB5" w:rsidRPr="00D21CB5" w:rsidRDefault="00D21CB5" w:rsidP="002E740E">
      <w:pPr>
        <w:pStyle w:val="Heading2"/>
      </w:pPr>
      <w:bookmarkStart w:id="339" w:name="_Toc410807642"/>
      <w:bookmarkStart w:id="340" w:name="_Toc410822703"/>
      <w:proofErr w:type="gramStart"/>
      <w:r w:rsidRPr="00D21CB5">
        <w:t>Note 28.</w:t>
      </w:r>
      <w:proofErr w:type="gramEnd"/>
      <w:r w:rsidR="002636A0">
        <w:t xml:space="preserve"> </w:t>
      </w:r>
      <w:r w:rsidRPr="00D21CB5">
        <w:t>Deferred tax assets and liabilities</w:t>
      </w:r>
      <w:bookmarkEnd w:id="339"/>
      <w:bookmarkEnd w:id="340"/>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2322B7" w14:paraId="038A2878" w14:textId="77777777" w:rsidTr="00E21378">
        <w:trPr>
          <w:trHeight w:val="181"/>
        </w:trPr>
        <w:tc>
          <w:tcPr>
            <w:tcW w:w="810" w:type="pct"/>
          </w:tcPr>
          <w:p w14:paraId="038A2874" w14:textId="77777777" w:rsidR="00023312" w:rsidRDefault="00023312" w:rsidP="001A5D4A">
            <w:pPr>
              <w:pStyle w:val="Note-Refs"/>
            </w:pPr>
          </w:p>
        </w:tc>
        <w:tc>
          <w:tcPr>
            <w:tcW w:w="2567" w:type="pct"/>
            <w:vAlign w:val="bottom"/>
          </w:tcPr>
          <w:p w14:paraId="038A2875" w14:textId="77777777" w:rsidR="00023312" w:rsidRDefault="00023312" w:rsidP="001A5D4A">
            <w:pPr>
              <w:pStyle w:val="NotesTable-ItemPlain"/>
            </w:pPr>
          </w:p>
        </w:tc>
        <w:tc>
          <w:tcPr>
            <w:tcW w:w="811" w:type="pct"/>
            <w:gridSpan w:val="2"/>
          </w:tcPr>
          <w:p w14:paraId="038A2876" w14:textId="77777777" w:rsidR="00023312" w:rsidRDefault="00023312" w:rsidP="001A5D4A">
            <w:pPr>
              <w:pStyle w:val="NotesTable-HeadPlain"/>
              <w:rPr>
                <w:b/>
              </w:rPr>
            </w:pPr>
            <w:r>
              <w:t>Consolidated</w:t>
            </w:r>
          </w:p>
        </w:tc>
        <w:tc>
          <w:tcPr>
            <w:tcW w:w="811" w:type="pct"/>
            <w:gridSpan w:val="2"/>
          </w:tcPr>
          <w:p w14:paraId="038A2877" w14:textId="77777777" w:rsidR="00023312" w:rsidRDefault="00023312" w:rsidP="001A5D4A">
            <w:pPr>
              <w:pStyle w:val="NotesTable-HeadPlain"/>
            </w:pPr>
            <w:r>
              <w:t>Parent entity</w:t>
            </w:r>
          </w:p>
        </w:tc>
      </w:tr>
      <w:tr w:rsidR="002322B7" w14:paraId="038A287F" w14:textId="77777777" w:rsidTr="00E21378">
        <w:trPr>
          <w:trHeight w:val="181"/>
        </w:trPr>
        <w:tc>
          <w:tcPr>
            <w:tcW w:w="810" w:type="pct"/>
            <w:vAlign w:val="bottom"/>
          </w:tcPr>
          <w:p w14:paraId="038A2879" w14:textId="77777777" w:rsidR="00023312" w:rsidRDefault="00023312" w:rsidP="001A5D4A">
            <w:pPr>
              <w:pStyle w:val="Note-Refs"/>
            </w:pPr>
          </w:p>
        </w:tc>
        <w:tc>
          <w:tcPr>
            <w:tcW w:w="2567" w:type="pct"/>
            <w:vAlign w:val="bottom"/>
          </w:tcPr>
          <w:p w14:paraId="038A287A" w14:textId="77777777" w:rsidR="00023312" w:rsidRDefault="00023312" w:rsidP="001A5D4A">
            <w:pPr>
              <w:pStyle w:val="NotesTable-ItemPlain"/>
            </w:pPr>
          </w:p>
        </w:tc>
        <w:tc>
          <w:tcPr>
            <w:tcW w:w="406" w:type="pct"/>
            <w:vAlign w:val="bottom"/>
          </w:tcPr>
          <w:p w14:paraId="038A287B" w14:textId="600A472C" w:rsidR="00023312" w:rsidRDefault="006864EC" w:rsidP="001A5D4A">
            <w:pPr>
              <w:pStyle w:val="NotesTable-HeadBold"/>
            </w:pPr>
            <w:r>
              <w:t>2014</w:t>
            </w:r>
          </w:p>
        </w:tc>
        <w:tc>
          <w:tcPr>
            <w:tcW w:w="406" w:type="pct"/>
            <w:vAlign w:val="bottom"/>
          </w:tcPr>
          <w:p w14:paraId="038A287C" w14:textId="05595DA5" w:rsidR="00023312" w:rsidRDefault="006864EC" w:rsidP="001A5D4A">
            <w:pPr>
              <w:pStyle w:val="NotesTable-HeadPlain"/>
            </w:pPr>
            <w:r>
              <w:t>2013</w:t>
            </w:r>
          </w:p>
        </w:tc>
        <w:tc>
          <w:tcPr>
            <w:tcW w:w="406" w:type="pct"/>
            <w:vAlign w:val="bottom"/>
          </w:tcPr>
          <w:p w14:paraId="038A287D" w14:textId="506A43AE" w:rsidR="00023312" w:rsidRDefault="006864EC" w:rsidP="001A5D4A">
            <w:pPr>
              <w:pStyle w:val="NotesTable-HeadBold"/>
            </w:pPr>
            <w:r>
              <w:t>2014</w:t>
            </w:r>
          </w:p>
        </w:tc>
        <w:tc>
          <w:tcPr>
            <w:tcW w:w="406" w:type="pct"/>
            <w:vAlign w:val="bottom"/>
          </w:tcPr>
          <w:p w14:paraId="038A287E" w14:textId="17B341A8" w:rsidR="00023312" w:rsidRDefault="006864EC" w:rsidP="001A5D4A">
            <w:pPr>
              <w:pStyle w:val="NotesTable-HeadPlain"/>
            </w:pPr>
            <w:r>
              <w:t>2013</w:t>
            </w:r>
          </w:p>
        </w:tc>
      </w:tr>
      <w:tr w:rsidR="002322B7" w14:paraId="038A2886" w14:textId="77777777" w:rsidTr="00E21378">
        <w:trPr>
          <w:trHeight w:val="181"/>
        </w:trPr>
        <w:tc>
          <w:tcPr>
            <w:tcW w:w="810" w:type="pct"/>
            <w:vAlign w:val="bottom"/>
          </w:tcPr>
          <w:p w14:paraId="038A2880" w14:textId="77777777" w:rsidR="00023312" w:rsidRDefault="00023312" w:rsidP="001A5D4A">
            <w:pPr>
              <w:pStyle w:val="Note-Refs"/>
            </w:pPr>
          </w:p>
        </w:tc>
        <w:tc>
          <w:tcPr>
            <w:tcW w:w="2567" w:type="pct"/>
            <w:vAlign w:val="bottom"/>
          </w:tcPr>
          <w:p w14:paraId="038A2881" w14:textId="77777777" w:rsidR="00023312" w:rsidRDefault="00023312" w:rsidP="001A5D4A">
            <w:pPr>
              <w:pStyle w:val="NotesTable-ItemPlain"/>
            </w:pPr>
          </w:p>
        </w:tc>
        <w:tc>
          <w:tcPr>
            <w:tcW w:w="406" w:type="pct"/>
            <w:vAlign w:val="bottom"/>
          </w:tcPr>
          <w:p w14:paraId="038A2882" w14:textId="77777777" w:rsidR="00023312" w:rsidRDefault="00023312" w:rsidP="001A5D4A">
            <w:pPr>
              <w:pStyle w:val="NotesTable-HeadBold"/>
            </w:pPr>
            <w:r>
              <w:t>$'000</w:t>
            </w:r>
          </w:p>
        </w:tc>
        <w:tc>
          <w:tcPr>
            <w:tcW w:w="406" w:type="pct"/>
            <w:vAlign w:val="bottom"/>
          </w:tcPr>
          <w:p w14:paraId="038A2883" w14:textId="77777777" w:rsidR="00023312" w:rsidRDefault="00023312" w:rsidP="001A5D4A">
            <w:pPr>
              <w:pStyle w:val="NotesTable-HeadPlain"/>
            </w:pPr>
            <w:r>
              <w:t>$'000</w:t>
            </w:r>
          </w:p>
        </w:tc>
        <w:tc>
          <w:tcPr>
            <w:tcW w:w="406" w:type="pct"/>
            <w:vAlign w:val="bottom"/>
          </w:tcPr>
          <w:p w14:paraId="038A2884" w14:textId="77777777" w:rsidR="00023312" w:rsidRDefault="00023312" w:rsidP="001A5D4A">
            <w:pPr>
              <w:pStyle w:val="NotesTable-HeadBold"/>
            </w:pPr>
            <w:r>
              <w:t>$'000</w:t>
            </w:r>
          </w:p>
        </w:tc>
        <w:tc>
          <w:tcPr>
            <w:tcW w:w="406" w:type="pct"/>
            <w:vAlign w:val="bottom"/>
          </w:tcPr>
          <w:p w14:paraId="038A2885" w14:textId="77777777" w:rsidR="00023312" w:rsidRDefault="00023312" w:rsidP="001A5D4A">
            <w:pPr>
              <w:pStyle w:val="NotesTable-HeadPlain"/>
            </w:pPr>
            <w:r>
              <w:t>$'000</w:t>
            </w:r>
          </w:p>
        </w:tc>
      </w:tr>
      <w:tr w:rsidR="00054B09" w14:paraId="038A2889" w14:textId="77777777" w:rsidTr="00E21378">
        <w:trPr>
          <w:trHeight w:val="181"/>
        </w:trPr>
        <w:tc>
          <w:tcPr>
            <w:tcW w:w="810" w:type="pct"/>
          </w:tcPr>
          <w:p w14:paraId="038A2887" w14:textId="77777777" w:rsidR="00054B09" w:rsidRDefault="00054B09" w:rsidP="001A5D4A">
            <w:pPr>
              <w:pStyle w:val="Note-Refs"/>
            </w:pPr>
          </w:p>
        </w:tc>
        <w:tc>
          <w:tcPr>
            <w:tcW w:w="4190" w:type="pct"/>
            <w:gridSpan w:val="5"/>
            <w:vAlign w:val="bottom"/>
          </w:tcPr>
          <w:p w14:paraId="038A2888" w14:textId="77777777" w:rsidR="00054B09" w:rsidRDefault="00054B09" w:rsidP="001A5D4A">
            <w:pPr>
              <w:pStyle w:val="Note-TextHeader"/>
              <w:rPr>
                <w:lang w:val="en-GB"/>
              </w:rPr>
            </w:pPr>
            <w:r>
              <w:t>Deferred tax asset</w:t>
            </w:r>
          </w:p>
        </w:tc>
      </w:tr>
      <w:tr w:rsidR="002322B7" w14:paraId="038A2890" w14:textId="77777777" w:rsidTr="00E21378">
        <w:trPr>
          <w:trHeight w:val="181"/>
        </w:trPr>
        <w:tc>
          <w:tcPr>
            <w:tcW w:w="810" w:type="pct"/>
          </w:tcPr>
          <w:p w14:paraId="038A288A" w14:textId="77777777" w:rsidR="00023312" w:rsidRDefault="00023312" w:rsidP="001A5D4A">
            <w:pPr>
              <w:pStyle w:val="Note-Refs"/>
              <w:rPr>
                <w:b/>
              </w:rPr>
            </w:pPr>
            <w:r>
              <w:t>AASB112</w:t>
            </w:r>
            <w:r w:rsidR="00F96A72">
              <w:t>.</w:t>
            </w:r>
            <w:r>
              <w:t>81g(i)</w:t>
            </w:r>
          </w:p>
        </w:tc>
        <w:tc>
          <w:tcPr>
            <w:tcW w:w="2567" w:type="pct"/>
            <w:vAlign w:val="bottom"/>
          </w:tcPr>
          <w:p w14:paraId="038A288B" w14:textId="730AA6E9" w:rsidR="00023312" w:rsidRDefault="00023312" w:rsidP="001A5D4A">
            <w:pPr>
              <w:pStyle w:val="NotesTable-ItemPlain"/>
              <w:rPr>
                <w:b/>
              </w:rPr>
            </w:pPr>
            <w:r>
              <w:t>The balance comprises temporary differences attributable</w:t>
            </w:r>
            <w:r w:rsidR="001A35D6">
              <w:t xml:space="preserve"> </w:t>
            </w:r>
            <w:r>
              <w:t>to:</w:t>
            </w:r>
          </w:p>
        </w:tc>
        <w:tc>
          <w:tcPr>
            <w:tcW w:w="406" w:type="pct"/>
            <w:vAlign w:val="bottom"/>
          </w:tcPr>
          <w:p w14:paraId="038A288C" w14:textId="77777777" w:rsidR="00023312" w:rsidRDefault="00023312" w:rsidP="001A5D4A">
            <w:pPr>
              <w:pStyle w:val="NotesTable-CellBold"/>
            </w:pPr>
          </w:p>
        </w:tc>
        <w:tc>
          <w:tcPr>
            <w:tcW w:w="406" w:type="pct"/>
            <w:vAlign w:val="bottom"/>
          </w:tcPr>
          <w:p w14:paraId="038A288D" w14:textId="77777777" w:rsidR="00023312" w:rsidRDefault="00023312" w:rsidP="001A5D4A">
            <w:pPr>
              <w:pStyle w:val="NotesTable-CellPlain"/>
            </w:pPr>
          </w:p>
        </w:tc>
        <w:tc>
          <w:tcPr>
            <w:tcW w:w="406" w:type="pct"/>
            <w:vAlign w:val="bottom"/>
          </w:tcPr>
          <w:p w14:paraId="038A288E" w14:textId="77777777" w:rsidR="00023312" w:rsidRDefault="00023312" w:rsidP="001A5D4A">
            <w:pPr>
              <w:pStyle w:val="NotesTable-CellBold"/>
            </w:pPr>
          </w:p>
        </w:tc>
        <w:tc>
          <w:tcPr>
            <w:tcW w:w="406" w:type="pct"/>
            <w:vAlign w:val="bottom"/>
          </w:tcPr>
          <w:p w14:paraId="038A288F" w14:textId="77777777" w:rsidR="00023312" w:rsidRDefault="00023312" w:rsidP="001A5D4A">
            <w:pPr>
              <w:pStyle w:val="NotesTable-CellPlain"/>
            </w:pPr>
          </w:p>
        </w:tc>
      </w:tr>
      <w:tr w:rsidR="00152234" w14:paraId="038A2897" w14:textId="77777777" w:rsidTr="00E21378">
        <w:trPr>
          <w:trHeight w:val="181"/>
        </w:trPr>
        <w:tc>
          <w:tcPr>
            <w:tcW w:w="810" w:type="pct"/>
          </w:tcPr>
          <w:p w14:paraId="038A2891" w14:textId="77777777" w:rsidR="00152234" w:rsidRDefault="00152234" w:rsidP="001A5D4A">
            <w:pPr>
              <w:pStyle w:val="Note-Refs"/>
            </w:pPr>
          </w:p>
        </w:tc>
        <w:tc>
          <w:tcPr>
            <w:tcW w:w="2567" w:type="pct"/>
            <w:vAlign w:val="bottom"/>
          </w:tcPr>
          <w:p w14:paraId="038A2892" w14:textId="25981FAD" w:rsidR="00152234" w:rsidRDefault="00152234" w:rsidP="001A5D4A">
            <w:pPr>
              <w:pStyle w:val="NotesTable-ItemPlain"/>
              <w:rPr>
                <w:b/>
              </w:rPr>
            </w:pPr>
            <w:r>
              <w:t xml:space="preserve">Amounts recognised in </w:t>
            </w:r>
            <w:r w:rsidR="00962B1E">
              <w:t xml:space="preserve">net </w:t>
            </w:r>
            <w:r>
              <w:t>result</w:t>
            </w:r>
          </w:p>
        </w:tc>
        <w:tc>
          <w:tcPr>
            <w:tcW w:w="406" w:type="pct"/>
          </w:tcPr>
          <w:p w14:paraId="038A2893" w14:textId="77777777" w:rsidR="00152234" w:rsidRDefault="00152234" w:rsidP="001A5D4A">
            <w:pPr>
              <w:pStyle w:val="NotesTable-CellBold"/>
              <w:rPr>
                <w:lang w:val="en-GB"/>
              </w:rPr>
            </w:pPr>
            <w:r w:rsidRPr="00387F72">
              <w:t>–</w:t>
            </w:r>
          </w:p>
        </w:tc>
        <w:tc>
          <w:tcPr>
            <w:tcW w:w="406" w:type="pct"/>
          </w:tcPr>
          <w:p w14:paraId="038A2894" w14:textId="77777777" w:rsidR="00152234" w:rsidRDefault="00152234" w:rsidP="001A5D4A">
            <w:pPr>
              <w:pStyle w:val="NotesTable-CellPlain"/>
              <w:rPr>
                <w:lang w:val="en-GB"/>
              </w:rPr>
            </w:pPr>
            <w:r w:rsidRPr="00387F72">
              <w:t>–</w:t>
            </w:r>
          </w:p>
        </w:tc>
        <w:tc>
          <w:tcPr>
            <w:tcW w:w="406" w:type="pct"/>
          </w:tcPr>
          <w:p w14:paraId="038A2895" w14:textId="77777777" w:rsidR="00152234" w:rsidRDefault="00152234" w:rsidP="001A5D4A">
            <w:pPr>
              <w:pStyle w:val="NotesTable-CellBold"/>
              <w:rPr>
                <w:lang w:val="en-GB"/>
              </w:rPr>
            </w:pPr>
            <w:r w:rsidRPr="00387F72">
              <w:t>–</w:t>
            </w:r>
          </w:p>
        </w:tc>
        <w:tc>
          <w:tcPr>
            <w:tcW w:w="406" w:type="pct"/>
          </w:tcPr>
          <w:p w14:paraId="038A2896" w14:textId="77777777" w:rsidR="00152234" w:rsidRDefault="00152234" w:rsidP="001A5D4A">
            <w:pPr>
              <w:pStyle w:val="NotesTable-CellPlain"/>
              <w:rPr>
                <w:lang w:val="en-GB"/>
              </w:rPr>
            </w:pPr>
            <w:r w:rsidRPr="00387F72">
              <w:t>–</w:t>
            </w:r>
          </w:p>
        </w:tc>
      </w:tr>
      <w:tr w:rsidR="00152234" w14:paraId="038A289E" w14:textId="77777777" w:rsidTr="00E21378">
        <w:trPr>
          <w:trHeight w:val="181"/>
        </w:trPr>
        <w:tc>
          <w:tcPr>
            <w:tcW w:w="810" w:type="pct"/>
          </w:tcPr>
          <w:p w14:paraId="038A2898" w14:textId="77777777" w:rsidR="00152234" w:rsidRDefault="00152234" w:rsidP="001A5D4A">
            <w:pPr>
              <w:pStyle w:val="Note-Refs"/>
            </w:pPr>
          </w:p>
        </w:tc>
        <w:tc>
          <w:tcPr>
            <w:tcW w:w="2567" w:type="pct"/>
            <w:vAlign w:val="bottom"/>
          </w:tcPr>
          <w:p w14:paraId="038A2899" w14:textId="77777777" w:rsidR="00152234" w:rsidRDefault="00152234" w:rsidP="001A5D4A">
            <w:pPr>
              <w:pStyle w:val="NotesTable-ItemPlain"/>
              <w:rPr>
                <w:b/>
              </w:rPr>
            </w:pPr>
            <w:r>
              <w:t>[Specify]</w:t>
            </w:r>
          </w:p>
        </w:tc>
        <w:tc>
          <w:tcPr>
            <w:tcW w:w="406" w:type="pct"/>
            <w:tcBorders>
              <w:bottom w:val="single" w:sz="4" w:space="0" w:color="000000"/>
            </w:tcBorders>
          </w:tcPr>
          <w:p w14:paraId="038A289A" w14:textId="77777777" w:rsidR="00152234" w:rsidRDefault="00152234" w:rsidP="001A5D4A">
            <w:pPr>
              <w:pStyle w:val="NotesTable-CellBold"/>
              <w:rPr>
                <w:lang w:val="en-GB"/>
              </w:rPr>
            </w:pPr>
            <w:r w:rsidRPr="00387F72">
              <w:t>–</w:t>
            </w:r>
          </w:p>
        </w:tc>
        <w:tc>
          <w:tcPr>
            <w:tcW w:w="406" w:type="pct"/>
            <w:tcBorders>
              <w:bottom w:val="single" w:sz="4" w:space="0" w:color="000000"/>
            </w:tcBorders>
          </w:tcPr>
          <w:p w14:paraId="038A289B" w14:textId="77777777" w:rsidR="00152234" w:rsidRDefault="00152234" w:rsidP="001A5D4A">
            <w:pPr>
              <w:pStyle w:val="NotesTable-CellPlain"/>
              <w:rPr>
                <w:lang w:val="en-GB"/>
              </w:rPr>
            </w:pPr>
            <w:r w:rsidRPr="00387F72">
              <w:t>–</w:t>
            </w:r>
          </w:p>
        </w:tc>
        <w:tc>
          <w:tcPr>
            <w:tcW w:w="406" w:type="pct"/>
            <w:tcBorders>
              <w:bottom w:val="single" w:sz="4" w:space="0" w:color="000000"/>
            </w:tcBorders>
          </w:tcPr>
          <w:p w14:paraId="038A289C" w14:textId="77777777" w:rsidR="00152234" w:rsidRDefault="00152234" w:rsidP="001A5D4A">
            <w:pPr>
              <w:pStyle w:val="NotesTable-CellBold"/>
              <w:rPr>
                <w:lang w:val="en-GB"/>
              </w:rPr>
            </w:pPr>
            <w:r w:rsidRPr="00387F72">
              <w:t>–</w:t>
            </w:r>
          </w:p>
        </w:tc>
        <w:tc>
          <w:tcPr>
            <w:tcW w:w="406" w:type="pct"/>
            <w:tcBorders>
              <w:bottom w:val="single" w:sz="4" w:space="0" w:color="000000"/>
            </w:tcBorders>
          </w:tcPr>
          <w:p w14:paraId="038A289D" w14:textId="77777777" w:rsidR="00152234" w:rsidRDefault="00152234" w:rsidP="001A5D4A">
            <w:pPr>
              <w:pStyle w:val="NotesTable-CellPlain"/>
              <w:rPr>
                <w:lang w:val="en-GB"/>
              </w:rPr>
            </w:pPr>
            <w:r w:rsidRPr="00387F72">
              <w:t>–</w:t>
            </w:r>
          </w:p>
        </w:tc>
      </w:tr>
      <w:tr w:rsidR="00152234" w14:paraId="038A28A5" w14:textId="77777777" w:rsidTr="00E21378">
        <w:trPr>
          <w:trHeight w:val="181"/>
        </w:trPr>
        <w:tc>
          <w:tcPr>
            <w:tcW w:w="810" w:type="pct"/>
          </w:tcPr>
          <w:p w14:paraId="038A289F" w14:textId="77777777" w:rsidR="00152234" w:rsidRDefault="00152234" w:rsidP="001A5D4A">
            <w:pPr>
              <w:pStyle w:val="Note-Refs"/>
            </w:pPr>
          </w:p>
        </w:tc>
        <w:tc>
          <w:tcPr>
            <w:tcW w:w="2567" w:type="pct"/>
            <w:vAlign w:val="bottom"/>
          </w:tcPr>
          <w:p w14:paraId="038A28A0" w14:textId="77777777" w:rsidR="00152234" w:rsidRDefault="00152234" w:rsidP="001A5D4A">
            <w:pPr>
              <w:pStyle w:val="NotesTable-ItemPlain"/>
            </w:pPr>
            <w:r>
              <w:t>Total</w:t>
            </w:r>
            <w:r w:rsidR="002055FE">
              <w:t xml:space="preserve"> deferred tax assets</w:t>
            </w:r>
          </w:p>
        </w:tc>
        <w:tc>
          <w:tcPr>
            <w:tcW w:w="406" w:type="pct"/>
            <w:tcBorders>
              <w:top w:val="single" w:sz="4" w:space="0" w:color="000000"/>
            </w:tcBorders>
          </w:tcPr>
          <w:p w14:paraId="038A28A1" w14:textId="77777777" w:rsidR="00152234" w:rsidRDefault="00152234" w:rsidP="001A5D4A">
            <w:pPr>
              <w:pStyle w:val="NotesTable-CellBold"/>
              <w:rPr>
                <w:lang w:val="en-GB"/>
              </w:rPr>
            </w:pPr>
            <w:r w:rsidRPr="00387F72">
              <w:t>–</w:t>
            </w:r>
          </w:p>
        </w:tc>
        <w:tc>
          <w:tcPr>
            <w:tcW w:w="406" w:type="pct"/>
            <w:tcBorders>
              <w:top w:val="single" w:sz="4" w:space="0" w:color="000000"/>
            </w:tcBorders>
          </w:tcPr>
          <w:p w14:paraId="038A28A2" w14:textId="77777777" w:rsidR="00152234" w:rsidRDefault="00152234" w:rsidP="001A5D4A">
            <w:pPr>
              <w:pStyle w:val="NotesTable-CellPlain"/>
              <w:rPr>
                <w:lang w:val="en-GB"/>
              </w:rPr>
            </w:pPr>
            <w:r w:rsidRPr="00387F72">
              <w:t>–</w:t>
            </w:r>
          </w:p>
        </w:tc>
        <w:tc>
          <w:tcPr>
            <w:tcW w:w="406" w:type="pct"/>
            <w:tcBorders>
              <w:top w:val="single" w:sz="4" w:space="0" w:color="000000"/>
            </w:tcBorders>
          </w:tcPr>
          <w:p w14:paraId="038A28A3" w14:textId="77777777" w:rsidR="00152234" w:rsidRDefault="00152234" w:rsidP="001A5D4A">
            <w:pPr>
              <w:pStyle w:val="NotesTable-CellBold"/>
              <w:rPr>
                <w:lang w:val="en-GB"/>
              </w:rPr>
            </w:pPr>
            <w:r w:rsidRPr="00387F72">
              <w:t>–</w:t>
            </w:r>
          </w:p>
        </w:tc>
        <w:tc>
          <w:tcPr>
            <w:tcW w:w="406" w:type="pct"/>
            <w:tcBorders>
              <w:top w:val="single" w:sz="4" w:space="0" w:color="000000"/>
            </w:tcBorders>
          </w:tcPr>
          <w:p w14:paraId="038A28A4" w14:textId="77777777" w:rsidR="00152234" w:rsidRDefault="00152234" w:rsidP="001A5D4A">
            <w:pPr>
              <w:pStyle w:val="NotesTable-CellPlain"/>
              <w:rPr>
                <w:lang w:val="en-GB"/>
              </w:rPr>
            </w:pPr>
            <w:r w:rsidRPr="00387F72">
              <w:t>–</w:t>
            </w:r>
          </w:p>
        </w:tc>
      </w:tr>
      <w:tr w:rsidR="00F72290" w14:paraId="038A28AC" w14:textId="77777777" w:rsidTr="00E21378">
        <w:trPr>
          <w:trHeight w:val="181"/>
        </w:trPr>
        <w:tc>
          <w:tcPr>
            <w:tcW w:w="810" w:type="pct"/>
          </w:tcPr>
          <w:p w14:paraId="038A28A6" w14:textId="77777777" w:rsidR="00F72290" w:rsidRDefault="00F72290" w:rsidP="001A5D4A">
            <w:pPr>
              <w:pStyle w:val="Note-Refs"/>
            </w:pPr>
          </w:p>
        </w:tc>
        <w:tc>
          <w:tcPr>
            <w:tcW w:w="2567" w:type="pct"/>
            <w:vAlign w:val="bottom"/>
          </w:tcPr>
          <w:p w14:paraId="038A28A7" w14:textId="77777777" w:rsidR="00F72290" w:rsidRDefault="00F72290" w:rsidP="001A5D4A">
            <w:pPr>
              <w:pStyle w:val="NotesTable-ItemPlain"/>
            </w:pPr>
          </w:p>
        </w:tc>
        <w:tc>
          <w:tcPr>
            <w:tcW w:w="406" w:type="pct"/>
            <w:vAlign w:val="bottom"/>
          </w:tcPr>
          <w:p w14:paraId="038A28A8" w14:textId="77777777" w:rsidR="00F72290" w:rsidRDefault="00F72290" w:rsidP="001A5D4A">
            <w:pPr>
              <w:pStyle w:val="NotesTable-CellBold"/>
            </w:pPr>
          </w:p>
        </w:tc>
        <w:tc>
          <w:tcPr>
            <w:tcW w:w="406" w:type="pct"/>
            <w:vAlign w:val="bottom"/>
          </w:tcPr>
          <w:p w14:paraId="038A28A9" w14:textId="77777777" w:rsidR="00F72290" w:rsidRDefault="00F72290" w:rsidP="001A5D4A">
            <w:pPr>
              <w:pStyle w:val="NotesTable-CellPlain"/>
            </w:pPr>
          </w:p>
        </w:tc>
        <w:tc>
          <w:tcPr>
            <w:tcW w:w="406" w:type="pct"/>
            <w:vAlign w:val="bottom"/>
          </w:tcPr>
          <w:p w14:paraId="038A28AA" w14:textId="77777777" w:rsidR="00F72290" w:rsidRDefault="00F72290" w:rsidP="001A5D4A">
            <w:pPr>
              <w:pStyle w:val="NotesTable-CellBold"/>
            </w:pPr>
          </w:p>
        </w:tc>
        <w:tc>
          <w:tcPr>
            <w:tcW w:w="406" w:type="pct"/>
            <w:vAlign w:val="bottom"/>
          </w:tcPr>
          <w:p w14:paraId="038A28AB" w14:textId="77777777" w:rsidR="00F72290" w:rsidRDefault="00F72290" w:rsidP="001A5D4A">
            <w:pPr>
              <w:pStyle w:val="NotesTable-CellPlain"/>
            </w:pPr>
          </w:p>
        </w:tc>
      </w:tr>
      <w:tr w:rsidR="002322B7" w14:paraId="038A28B3" w14:textId="77777777" w:rsidTr="00E21378">
        <w:trPr>
          <w:trHeight w:val="181"/>
        </w:trPr>
        <w:tc>
          <w:tcPr>
            <w:tcW w:w="810" w:type="pct"/>
          </w:tcPr>
          <w:p w14:paraId="038A28AD" w14:textId="77777777" w:rsidR="00023312" w:rsidRDefault="00023312" w:rsidP="001A5D4A">
            <w:pPr>
              <w:pStyle w:val="Note-Refs"/>
            </w:pPr>
          </w:p>
        </w:tc>
        <w:tc>
          <w:tcPr>
            <w:tcW w:w="2567" w:type="pct"/>
            <w:vAlign w:val="bottom"/>
          </w:tcPr>
          <w:p w14:paraId="038A28AE" w14:textId="77777777" w:rsidR="00023312" w:rsidRDefault="00023312" w:rsidP="001A5D4A">
            <w:pPr>
              <w:pStyle w:val="NotesTable-ItemPlain"/>
              <w:rPr>
                <w:b/>
              </w:rPr>
            </w:pPr>
            <w:r>
              <w:t>Amounts recognised directly in equity</w:t>
            </w:r>
          </w:p>
        </w:tc>
        <w:tc>
          <w:tcPr>
            <w:tcW w:w="406" w:type="pct"/>
            <w:vAlign w:val="bottom"/>
          </w:tcPr>
          <w:p w14:paraId="038A28AF" w14:textId="77777777" w:rsidR="00023312" w:rsidRDefault="00023312" w:rsidP="001A5D4A">
            <w:pPr>
              <w:pStyle w:val="NotesTable-CellBold"/>
            </w:pPr>
          </w:p>
        </w:tc>
        <w:tc>
          <w:tcPr>
            <w:tcW w:w="406" w:type="pct"/>
            <w:vAlign w:val="bottom"/>
          </w:tcPr>
          <w:p w14:paraId="038A28B0" w14:textId="77777777" w:rsidR="00023312" w:rsidRDefault="00023312" w:rsidP="001A5D4A">
            <w:pPr>
              <w:pStyle w:val="NotesTable-CellPlain"/>
            </w:pPr>
          </w:p>
        </w:tc>
        <w:tc>
          <w:tcPr>
            <w:tcW w:w="406" w:type="pct"/>
            <w:vAlign w:val="bottom"/>
          </w:tcPr>
          <w:p w14:paraId="038A28B1" w14:textId="77777777" w:rsidR="00023312" w:rsidRDefault="00023312" w:rsidP="001A5D4A">
            <w:pPr>
              <w:pStyle w:val="NotesTable-CellBold"/>
            </w:pPr>
          </w:p>
        </w:tc>
        <w:tc>
          <w:tcPr>
            <w:tcW w:w="406" w:type="pct"/>
            <w:vAlign w:val="bottom"/>
          </w:tcPr>
          <w:p w14:paraId="038A28B2" w14:textId="77777777" w:rsidR="00023312" w:rsidRDefault="00023312" w:rsidP="001A5D4A">
            <w:pPr>
              <w:pStyle w:val="NotesTable-CellPlain"/>
            </w:pPr>
          </w:p>
        </w:tc>
      </w:tr>
      <w:tr w:rsidR="00152234" w14:paraId="038A28BA" w14:textId="77777777" w:rsidTr="00E21378">
        <w:trPr>
          <w:trHeight w:val="181"/>
        </w:trPr>
        <w:tc>
          <w:tcPr>
            <w:tcW w:w="810" w:type="pct"/>
          </w:tcPr>
          <w:p w14:paraId="038A28B4" w14:textId="77777777" w:rsidR="00152234" w:rsidRDefault="00152234" w:rsidP="001A5D4A">
            <w:pPr>
              <w:pStyle w:val="Note-Refs"/>
            </w:pPr>
          </w:p>
        </w:tc>
        <w:tc>
          <w:tcPr>
            <w:tcW w:w="2567" w:type="pct"/>
            <w:vAlign w:val="bottom"/>
          </w:tcPr>
          <w:p w14:paraId="038A28B5" w14:textId="77777777" w:rsidR="00152234" w:rsidRDefault="00152234" w:rsidP="001A5D4A">
            <w:pPr>
              <w:pStyle w:val="NotesTable-ItemPlain"/>
              <w:rPr>
                <w:b/>
              </w:rPr>
            </w:pPr>
            <w:r>
              <w:t>[Specify]</w:t>
            </w:r>
          </w:p>
        </w:tc>
        <w:tc>
          <w:tcPr>
            <w:tcW w:w="406" w:type="pct"/>
            <w:tcBorders>
              <w:bottom w:val="single" w:sz="4" w:space="0" w:color="000000"/>
            </w:tcBorders>
          </w:tcPr>
          <w:p w14:paraId="038A28B6" w14:textId="77777777" w:rsidR="00152234" w:rsidRDefault="00152234" w:rsidP="001A5D4A">
            <w:pPr>
              <w:pStyle w:val="NotesTable-CellBold"/>
              <w:rPr>
                <w:lang w:val="en-GB"/>
              </w:rPr>
            </w:pPr>
            <w:r w:rsidRPr="009B1DBA">
              <w:t>–</w:t>
            </w:r>
          </w:p>
        </w:tc>
        <w:tc>
          <w:tcPr>
            <w:tcW w:w="406" w:type="pct"/>
            <w:tcBorders>
              <w:bottom w:val="single" w:sz="4" w:space="0" w:color="000000"/>
            </w:tcBorders>
          </w:tcPr>
          <w:p w14:paraId="038A28B7" w14:textId="77777777" w:rsidR="00152234" w:rsidRDefault="00152234" w:rsidP="001A5D4A">
            <w:pPr>
              <w:pStyle w:val="NotesTable-CellPlain"/>
              <w:rPr>
                <w:lang w:val="en-GB"/>
              </w:rPr>
            </w:pPr>
            <w:r w:rsidRPr="009B1DBA">
              <w:t>–</w:t>
            </w:r>
          </w:p>
        </w:tc>
        <w:tc>
          <w:tcPr>
            <w:tcW w:w="406" w:type="pct"/>
            <w:tcBorders>
              <w:bottom w:val="single" w:sz="4" w:space="0" w:color="000000"/>
            </w:tcBorders>
          </w:tcPr>
          <w:p w14:paraId="038A28B8" w14:textId="77777777" w:rsidR="00152234" w:rsidRDefault="00152234" w:rsidP="001A5D4A">
            <w:pPr>
              <w:pStyle w:val="NotesTable-CellBold"/>
              <w:rPr>
                <w:lang w:val="en-GB"/>
              </w:rPr>
            </w:pPr>
            <w:r w:rsidRPr="009B1DBA">
              <w:t>–</w:t>
            </w:r>
          </w:p>
        </w:tc>
        <w:tc>
          <w:tcPr>
            <w:tcW w:w="406" w:type="pct"/>
            <w:tcBorders>
              <w:bottom w:val="single" w:sz="4" w:space="0" w:color="000000"/>
            </w:tcBorders>
          </w:tcPr>
          <w:p w14:paraId="038A28B9" w14:textId="77777777" w:rsidR="00152234" w:rsidRDefault="00152234" w:rsidP="001A5D4A">
            <w:pPr>
              <w:pStyle w:val="NotesTable-CellPlain"/>
              <w:rPr>
                <w:lang w:val="en-GB"/>
              </w:rPr>
            </w:pPr>
            <w:r w:rsidRPr="009B1DBA">
              <w:t>–</w:t>
            </w:r>
          </w:p>
        </w:tc>
      </w:tr>
      <w:tr w:rsidR="00152234" w14:paraId="038A28C1" w14:textId="77777777" w:rsidTr="00E21378">
        <w:trPr>
          <w:trHeight w:val="181"/>
        </w:trPr>
        <w:tc>
          <w:tcPr>
            <w:tcW w:w="810" w:type="pct"/>
          </w:tcPr>
          <w:p w14:paraId="038A28BB" w14:textId="77777777" w:rsidR="00152234" w:rsidRDefault="00152234" w:rsidP="001A5D4A">
            <w:pPr>
              <w:pStyle w:val="Note-Refs"/>
            </w:pPr>
          </w:p>
        </w:tc>
        <w:tc>
          <w:tcPr>
            <w:tcW w:w="2567" w:type="pct"/>
            <w:vAlign w:val="bottom"/>
          </w:tcPr>
          <w:p w14:paraId="038A28BC" w14:textId="77777777" w:rsidR="00152234" w:rsidRDefault="00152234" w:rsidP="001A5D4A">
            <w:pPr>
              <w:pStyle w:val="NotesTable-ItemPlain"/>
              <w:rPr>
                <w:b/>
              </w:rPr>
            </w:pPr>
            <w:r>
              <w:t>Total</w:t>
            </w:r>
            <w:r w:rsidR="002055FE">
              <w:t xml:space="preserve"> amounts recognised directly in equity</w:t>
            </w:r>
          </w:p>
        </w:tc>
        <w:tc>
          <w:tcPr>
            <w:tcW w:w="406" w:type="pct"/>
            <w:tcBorders>
              <w:top w:val="single" w:sz="4" w:space="0" w:color="000000"/>
            </w:tcBorders>
          </w:tcPr>
          <w:p w14:paraId="038A28BD" w14:textId="77777777" w:rsidR="00152234" w:rsidRDefault="00152234" w:rsidP="001A5D4A">
            <w:pPr>
              <w:pStyle w:val="NotesTable-CellBold"/>
              <w:rPr>
                <w:lang w:val="en-GB"/>
              </w:rPr>
            </w:pPr>
            <w:r w:rsidRPr="009B1DBA">
              <w:t>–</w:t>
            </w:r>
          </w:p>
        </w:tc>
        <w:tc>
          <w:tcPr>
            <w:tcW w:w="406" w:type="pct"/>
            <w:tcBorders>
              <w:top w:val="single" w:sz="4" w:space="0" w:color="000000"/>
            </w:tcBorders>
          </w:tcPr>
          <w:p w14:paraId="038A28BE" w14:textId="77777777" w:rsidR="00152234" w:rsidRDefault="00152234" w:rsidP="001A5D4A">
            <w:pPr>
              <w:pStyle w:val="NotesTable-CellPlain"/>
              <w:rPr>
                <w:lang w:val="en-GB"/>
              </w:rPr>
            </w:pPr>
            <w:r w:rsidRPr="009B1DBA">
              <w:t>–</w:t>
            </w:r>
          </w:p>
        </w:tc>
        <w:tc>
          <w:tcPr>
            <w:tcW w:w="406" w:type="pct"/>
            <w:tcBorders>
              <w:top w:val="single" w:sz="4" w:space="0" w:color="000000"/>
            </w:tcBorders>
          </w:tcPr>
          <w:p w14:paraId="038A28BF" w14:textId="77777777" w:rsidR="00152234" w:rsidRDefault="00152234" w:rsidP="001A5D4A">
            <w:pPr>
              <w:pStyle w:val="NotesTable-CellBold"/>
              <w:rPr>
                <w:lang w:val="en-GB"/>
              </w:rPr>
            </w:pPr>
            <w:r w:rsidRPr="009B1DBA">
              <w:t>–</w:t>
            </w:r>
          </w:p>
        </w:tc>
        <w:tc>
          <w:tcPr>
            <w:tcW w:w="406" w:type="pct"/>
            <w:tcBorders>
              <w:top w:val="single" w:sz="4" w:space="0" w:color="000000"/>
            </w:tcBorders>
          </w:tcPr>
          <w:p w14:paraId="038A28C0" w14:textId="77777777" w:rsidR="00152234" w:rsidRDefault="00152234" w:rsidP="001A5D4A">
            <w:pPr>
              <w:pStyle w:val="NotesTable-CellPlain"/>
              <w:rPr>
                <w:lang w:val="en-GB"/>
              </w:rPr>
            </w:pPr>
            <w:r w:rsidRPr="009B1DBA">
              <w:t>–</w:t>
            </w:r>
          </w:p>
        </w:tc>
      </w:tr>
      <w:tr w:rsidR="00F72290" w14:paraId="038A28C8" w14:textId="77777777" w:rsidTr="00E21378">
        <w:trPr>
          <w:trHeight w:val="181"/>
        </w:trPr>
        <w:tc>
          <w:tcPr>
            <w:tcW w:w="810" w:type="pct"/>
          </w:tcPr>
          <w:p w14:paraId="038A28C2" w14:textId="77777777" w:rsidR="00F72290" w:rsidRDefault="00F72290" w:rsidP="001A5D4A">
            <w:pPr>
              <w:pStyle w:val="Note-Refs"/>
            </w:pPr>
          </w:p>
        </w:tc>
        <w:tc>
          <w:tcPr>
            <w:tcW w:w="2567" w:type="pct"/>
            <w:vAlign w:val="bottom"/>
          </w:tcPr>
          <w:p w14:paraId="038A28C3" w14:textId="77777777" w:rsidR="00F72290" w:rsidRDefault="00F72290" w:rsidP="001A5D4A">
            <w:pPr>
              <w:pStyle w:val="NotesTable-ItemPlain"/>
            </w:pPr>
          </w:p>
        </w:tc>
        <w:tc>
          <w:tcPr>
            <w:tcW w:w="406" w:type="pct"/>
            <w:vAlign w:val="bottom"/>
          </w:tcPr>
          <w:p w14:paraId="038A28C4" w14:textId="77777777" w:rsidR="00F72290" w:rsidRDefault="00F72290" w:rsidP="001A5D4A">
            <w:pPr>
              <w:pStyle w:val="NotesTable-CellBold"/>
            </w:pPr>
          </w:p>
        </w:tc>
        <w:tc>
          <w:tcPr>
            <w:tcW w:w="406" w:type="pct"/>
            <w:vAlign w:val="bottom"/>
          </w:tcPr>
          <w:p w14:paraId="038A28C5" w14:textId="77777777" w:rsidR="00F72290" w:rsidRDefault="00F72290" w:rsidP="001A5D4A">
            <w:pPr>
              <w:pStyle w:val="NotesTable-CellPlain"/>
            </w:pPr>
          </w:p>
        </w:tc>
        <w:tc>
          <w:tcPr>
            <w:tcW w:w="406" w:type="pct"/>
            <w:vAlign w:val="bottom"/>
          </w:tcPr>
          <w:p w14:paraId="038A28C6" w14:textId="77777777" w:rsidR="00F72290" w:rsidRDefault="00F72290" w:rsidP="001A5D4A">
            <w:pPr>
              <w:pStyle w:val="NotesTable-CellBold"/>
            </w:pPr>
          </w:p>
        </w:tc>
        <w:tc>
          <w:tcPr>
            <w:tcW w:w="406" w:type="pct"/>
            <w:vAlign w:val="bottom"/>
          </w:tcPr>
          <w:p w14:paraId="038A28C7" w14:textId="77777777" w:rsidR="00F72290" w:rsidRDefault="00F72290" w:rsidP="001A5D4A">
            <w:pPr>
              <w:pStyle w:val="NotesTable-CellPlain"/>
            </w:pPr>
          </w:p>
        </w:tc>
      </w:tr>
      <w:tr w:rsidR="00152234" w14:paraId="038A28CF" w14:textId="77777777" w:rsidTr="00E21378">
        <w:trPr>
          <w:trHeight w:val="181"/>
        </w:trPr>
        <w:tc>
          <w:tcPr>
            <w:tcW w:w="810" w:type="pct"/>
          </w:tcPr>
          <w:p w14:paraId="038A28C9" w14:textId="77777777" w:rsidR="00152234" w:rsidRDefault="00152234" w:rsidP="001A5D4A">
            <w:pPr>
              <w:pStyle w:val="Note-Refs"/>
              <w:rPr>
                <w:b/>
              </w:rPr>
            </w:pPr>
            <w:r>
              <w:t>AASB112.74</w:t>
            </w:r>
          </w:p>
        </w:tc>
        <w:tc>
          <w:tcPr>
            <w:tcW w:w="2567" w:type="pct"/>
            <w:vAlign w:val="bottom"/>
          </w:tcPr>
          <w:p w14:paraId="038A28CA" w14:textId="77777777" w:rsidR="00152234" w:rsidRDefault="00152234" w:rsidP="001A5D4A">
            <w:pPr>
              <w:pStyle w:val="NotesTable-ItemPlain"/>
              <w:rPr>
                <w:b/>
              </w:rPr>
            </w:pPr>
            <w:r>
              <w:t>Set</w:t>
            </w:r>
            <w:r>
              <w:noBreakHyphen/>
              <w:t>off of deferred tax liabilitie</w:t>
            </w:r>
            <w:r w:rsidRPr="0028651F">
              <w:t>s</w:t>
            </w:r>
            <w:r w:rsidRPr="00F33C1D">
              <w:t xml:space="preserve"> </w:t>
            </w:r>
            <w:r w:rsidRPr="0028651F">
              <w:t>p</w:t>
            </w:r>
            <w:r>
              <w:t>ursuant to set</w:t>
            </w:r>
            <w:r w:rsidR="002055FE">
              <w:t>-</w:t>
            </w:r>
            <w:r>
              <w:t xml:space="preserve">off provisions </w:t>
            </w:r>
          </w:p>
        </w:tc>
        <w:tc>
          <w:tcPr>
            <w:tcW w:w="406" w:type="pct"/>
            <w:tcBorders>
              <w:bottom w:val="single" w:sz="4" w:space="0" w:color="000000"/>
            </w:tcBorders>
          </w:tcPr>
          <w:p w14:paraId="038A28CB" w14:textId="77777777" w:rsidR="00152234" w:rsidRDefault="00152234" w:rsidP="001A5D4A">
            <w:pPr>
              <w:pStyle w:val="NotesTable-CellBold"/>
              <w:rPr>
                <w:lang w:val="en-GB"/>
              </w:rPr>
            </w:pPr>
            <w:r w:rsidRPr="007662A0">
              <w:t>–</w:t>
            </w:r>
          </w:p>
        </w:tc>
        <w:tc>
          <w:tcPr>
            <w:tcW w:w="406" w:type="pct"/>
            <w:tcBorders>
              <w:bottom w:val="single" w:sz="4" w:space="0" w:color="000000"/>
            </w:tcBorders>
          </w:tcPr>
          <w:p w14:paraId="038A28CC" w14:textId="77777777" w:rsidR="00152234" w:rsidRDefault="00152234" w:rsidP="001A5D4A">
            <w:pPr>
              <w:pStyle w:val="NotesTable-CellPlain"/>
              <w:rPr>
                <w:lang w:val="en-GB"/>
              </w:rPr>
            </w:pPr>
            <w:r w:rsidRPr="007662A0">
              <w:t>–</w:t>
            </w:r>
          </w:p>
        </w:tc>
        <w:tc>
          <w:tcPr>
            <w:tcW w:w="406" w:type="pct"/>
            <w:tcBorders>
              <w:bottom w:val="single" w:sz="4" w:space="0" w:color="000000"/>
            </w:tcBorders>
          </w:tcPr>
          <w:p w14:paraId="038A28CD" w14:textId="77777777" w:rsidR="00152234" w:rsidRDefault="00152234" w:rsidP="001A5D4A">
            <w:pPr>
              <w:pStyle w:val="NotesTable-CellBold"/>
              <w:rPr>
                <w:lang w:val="en-GB"/>
              </w:rPr>
            </w:pPr>
            <w:r w:rsidRPr="007662A0">
              <w:t>–</w:t>
            </w:r>
          </w:p>
        </w:tc>
        <w:tc>
          <w:tcPr>
            <w:tcW w:w="406" w:type="pct"/>
            <w:tcBorders>
              <w:bottom w:val="single" w:sz="4" w:space="0" w:color="000000"/>
            </w:tcBorders>
          </w:tcPr>
          <w:p w14:paraId="038A28CE" w14:textId="77777777" w:rsidR="00152234" w:rsidRDefault="00152234" w:rsidP="001A5D4A">
            <w:pPr>
              <w:pStyle w:val="NotesTable-CellPlain"/>
              <w:rPr>
                <w:lang w:val="en-GB"/>
              </w:rPr>
            </w:pPr>
            <w:r w:rsidRPr="007662A0">
              <w:t>–</w:t>
            </w:r>
          </w:p>
        </w:tc>
      </w:tr>
      <w:tr w:rsidR="00152234" w14:paraId="038A28D6" w14:textId="77777777" w:rsidTr="00E21378">
        <w:trPr>
          <w:trHeight w:val="181"/>
        </w:trPr>
        <w:tc>
          <w:tcPr>
            <w:tcW w:w="810" w:type="pct"/>
          </w:tcPr>
          <w:p w14:paraId="038A28D0" w14:textId="77777777" w:rsidR="00152234" w:rsidRDefault="00152234" w:rsidP="001A5D4A">
            <w:pPr>
              <w:pStyle w:val="Note-Refs"/>
            </w:pPr>
          </w:p>
        </w:tc>
        <w:tc>
          <w:tcPr>
            <w:tcW w:w="2567" w:type="pct"/>
            <w:vAlign w:val="bottom"/>
          </w:tcPr>
          <w:p w14:paraId="038A28D1" w14:textId="77777777" w:rsidR="00152234" w:rsidRDefault="00152234" w:rsidP="001A5D4A">
            <w:pPr>
              <w:pStyle w:val="NotesTable-ItemPlain"/>
              <w:rPr>
                <w:b/>
              </w:rPr>
            </w:pPr>
            <w:r>
              <w:t>Net deferred tax assets</w:t>
            </w:r>
          </w:p>
        </w:tc>
        <w:tc>
          <w:tcPr>
            <w:tcW w:w="406" w:type="pct"/>
          </w:tcPr>
          <w:p w14:paraId="038A28D2" w14:textId="77777777" w:rsidR="00152234" w:rsidRDefault="00152234" w:rsidP="001A5D4A">
            <w:pPr>
              <w:pStyle w:val="NotesTable-CellBold"/>
              <w:rPr>
                <w:lang w:val="en-GB"/>
              </w:rPr>
            </w:pPr>
            <w:r w:rsidRPr="007662A0">
              <w:t>–</w:t>
            </w:r>
          </w:p>
        </w:tc>
        <w:tc>
          <w:tcPr>
            <w:tcW w:w="406" w:type="pct"/>
          </w:tcPr>
          <w:p w14:paraId="038A28D3" w14:textId="77777777" w:rsidR="00152234" w:rsidRDefault="00152234" w:rsidP="001A5D4A">
            <w:pPr>
              <w:pStyle w:val="NotesTable-CellPlain"/>
              <w:rPr>
                <w:lang w:val="en-GB"/>
              </w:rPr>
            </w:pPr>
            <w:r w:rsidRPr="007662A0">
              <w:t>–</w:t>
            </w:r>
          </w:p>
        </w:tc>
        <w:tc>
          <w:tcPr>
            <w:tcW w:w="406" w:type="pct"/>
          </w:tcPr>
          <w:p w14:paraId="038A28D4" w14:textId="77777777" w:rsidR="00152234" w:rsidRDefault="00152234" w:rsidP="001A5D4A">
            <w:pPr>
              <w:pStyle w:val="NotesTable-CellBold"/>
              <w:rPr>
                <w:lang w:val="en-GB"/>
              </w:rPr>
            </w:pPr>
            <w:r w:rsidRPr="007662A0">
              <w:t>–</w:t>
            </w:r>
          </w:p>
        </w:tc>
        <w:tc>
          <w:tcPr>
            <w:tcW w:w="406" w:type="pct"/>
          </w:tcPr>
          <w:p w14:paraId="038A28D5" w14:textId="77777777" w:rsidR="00152234" w:rsidRDefault="00152234" w:rsidP="001A5D4A">
            <w:pPr>
              <w:pStyle w:val="NotesTable-CellPlain"/>
              <w:rPr>
                <w:lang w:val="en-GB"/>
              </w:rPr>
            </w:pPr>
            <w:r w:rsidRPr="007662A0">
              <w:t>–</w:t>
            </w:r>
          </w:p>
        </w:tc>
      </w:tr>
      <w:tr w:rsidR="002322B7" w14:paraId="038A28DD" w14:textId="77777777" w:rsidTr="00E21378">
        <w:trPr>
          <w:trHeight w:val="181"/>
        </w:trPr>
        <w:tc>
          <w:tcPr>
            <w:tcW w:w="810" w:type="pct"/>
          </w:tcPr>
          <w:p w14:paraId="038A28D7" w14:textId="77777777" w:rsidR="00023312" w:rsidRDefault="00023312" w:rsidP="001A5D4A">
            <w:pPr>
              <w:pStyle w:val="Note-Refs"/>
            </w:pPr>
          </w:p>
        </w:tc>
        <w:tc>
          <w:tcPr>
            <w:tcW w:w="2567" w:type="pct"/>
            <w:vAlign w:val="bottom"/>
          </w:tcPr>
          <w:p w14:paraId="038A28D8" w14:textId="77777777" w:rsidR="00023312" w:rsidRDefault="00023312" w:rsidP="001A5D4A">
            <w:pPr>
              <w:pStyle w:val="NotesTable-ItemPlain"/>
            </w:pPr>
          </w:p>
        </w:tc>
        <w:tc>
          <w:tcPr>
            <w:tcW w:w="406" w:type="pct"/>
            <w:vAlign w:val="bottom"/>
          </w:tcPr>
          <w:p w14:paraId="038A28D9" w14:textId="77777777" w:rsidR="00023312" w:rsidRDefault="00023312" w:rsidP="001A5D4A">
            <w:pPr>
              <w:pStyle w:val="NotesTable-CellBold"/>
            </w:pPr>
          </w:p>
        </w:tc>
        <w:tc>
          <w:tcPr>
            <w:tcW w:w="406" w:type="pct"/>
            <w:vAlign w:val="bottom"/>
          </w:tcPr>
          <w:p w14:paraId="038A28DA" w14:textId="77777777" w:rsidR="00023312" w:rsidRDefault="00023312" w:rsidP="001A5D4A">
            <w:pPr>
              <w:pStyle w:val="NotesTable-CellPlain"/>
            </w:pPr>
          </w:p>
        </w:tc>
        <w:tc>
          <w:tcPr>
            <w:tcW w:w="406" w:type="pct"/>
            <w:vAlign w:val="bottom"/>
          </w:tcPr>
          <w:p w14:paraId="038A28DB" w14:textId="77777777" w:rsidR="00023312" w:rsidRDefault="00023312" w:rsidP="001A5D4A">
            <w:pPr>
              <w:pStyle w:val="NotesTable-CellBold"/>
            </w:pPr>
          </w:p>
        </w:tc>
        <w:tc>
          <w:tcPr>
            <w:tcW w:w="406" w:type="pct"/>
            <w:vAlign w:val="bottom"/>
          </w:tcPr>
          <w:p w14:paraId="038A28DC" w14:textId="77777777" w:rsidR="00023312" w:rsidRDefault="00023312" w:rsidP="001A5D4A">
            <w:pPr>
              <w:pStyle w:val="NotesTable-CellPlain"/>
            </w:pPr>
          </w:p>
        </w:tc>
      </w:tr>
      <w:tr w:rsidR="00152234" w14:paraId="038A28E4" w14:textId="77777777" w:rsidTr="00E21378">
        <w:trPr>
          <w:trHeight w:val="181"/>
        </w:trPr>
        <w:tc>
          <w:tcPr>
            <w:tcW w:w="810" w:type="pct"/>
          </w:tcPr>
          <w:p w14:paraId="038A28DE" w14:textId="77777777" w:rsidR="00152234" w:rsidRDefault="00152234" w:rsidP="001A5D4A">
            <w:pPr>
              <w:pStyle w:val="Note-Refs"/>
              <w:rPr>
                <w:b/>
              </w:rPr>
            </w:pPr>
            <w:r>
              <w:t>AASB101.61</w:t>
            </w:r>
            <w:r w:rsidR="00860968">
              <w:t>a</w:t>
            </w:r>
          </w:p>
        </w:tc>
        <w:tc>
          <w:tcPr>
            <w:tcW w:w="2567" w:type="pct"/>
            <w:vAlign w:val="bottom"/>
          </w:tcPr>
          <w:p w14:paraId="038A28DF" w14:textId="77777777" w:rsidR="00152234" w:rsidRDefault="00152234" w:rsidP="001A5D4A">
            <w:pPr>
              <w:pStyle w:val="NotesTable-ItemPlain"/>
              <w:rPr>
                <w:b/>
                <w:vertAlign w:val="superscript"/>
              </w:rPr>
            </w:pPr>
            <w:r>
              <w:t>Deferred tax assets to be recovered within 12 months</w:t>
            </w:r>
            <w:r>
              <w:rPr>
                <w:vertAlign w:val="superscript"/>
              </w:rPr>
              <w:t xml:space="preserve"> </w:t>
            </w:r>
          </w:p>
        </w:tc>
        <w:tc>
          <w:tcPr>
            <w:tcW w:w="406" w:type="pct"/>
            <w:tcBorders>
              <w:bottom w:val="single" w:sz="4" w:space="0" w:color="000000"/>
            </w:tcBorders>
          </w:tcPr>
          <w:p w14:paraId="038A28E0" w14:textId="77777777" w:rsidR="00152234" w:rsidRDefault="00152234" w:rsidP="001A5D4A">
            <w:pPr>
              <w:pStyle w:val="NotesTable-CellBold"/>
              <w:rPr>
                <w:lang w:val="en-GB"/>
              </w:rPr>
            </w:pPr>
            <w:r w:rsidRPr="005D31D7">
              <w:t>–</w:t>
            </w:r>
          </w:p>
        </w:tc>
        <w:tc>
          <w:tcPr>
            <w:tcW w:w="406" w:type="pct"/>
            <w:tcBorders>
              <w:bottom w:val="single" w:sz="4" w:space="0" w:color="000000"/>
            </w:tcBorders>
          </w:tcPr>
          <w:p w14:paraId="038A28E1" w14:textId="77777777" w:rsidR="00152234" w:rsidRDefault="00152234" w:rsidP="001A5D4A">
            <w:pPr>
              <w:pStyle w:val="NotesTable-CellPlain"/>
              <w:rPr>
                <w:lang w:val="en-GB"/>
              </w:rPr>
            </w:pPr>
            <w:r w:rsidRPr="005D31D7">
              <w:t>–</w:t>
            </w:r>
          </w:p>
        </w:tc>
        <w:tc>
          <w:tcPr>
            <w:tcW w:w="406" w:type="pct"/>
            <w:tcBorders>
              <w:bottom w:val="single" w:sz="4" w:space="0" w:color="000000"/>
            </w:tcBorders>
          </w:tcPr>
          <w:p w14:paraId="038A28E2" w14:textId="77777777" w:rsidR="00152234" w:rsidRDefault="00152234" w:rsidP="001A5D4A">
            <w:pPr>
              <w:pStyle w:val="NotesTable-CellBold"/>
              <w:rPr>
                <w:lang w:val="en-GB"/>
              </w:rPr>
            </w:pPr>
            <w:r w:rsidRPr="005D31D7">
              <w:t>–</w:t>
            </w:r>
          </w:p>
        </w:tc>
        <w:tc>
          <w:tcPr>
            <w:tcW w:w="406" w:type="pct"/>
            <w:tcBorders>
              <w:bottom w:val="single" w:sz="4" w:space="0" w:color="000000"/>
            </w:tcBorders>
          </w:tcPr>
          <w:p w14:paraId="038A28E3" w14:textId="77777777" w:rsidR="00152234" w:rsidRDefault="00152234" w:rsidP="001A5D4A">
            <w:pPr>
              <w:pStyle w:val="NotesTable-CellPlain"/>
              <w:rPr>
                <w:lang w:val="en-GB"/>
              </w:rPr>
            </w:pPr>
            <w:r w:rsidRPr="005D31D7">
              <w:t>–</w:t>
            </w:r>
          </w:p>
        </w:tc>
      </w:tr>
      <w:tr w:rsidR="00152234" w14:paraId="038A28EB" w14:textId="77777777" w:rsidTr="00E21378">
        <w:trPr>
          <w:trHeight w:val="181"/>
        </w:trPr>
        <w:tc>
          <w:tcPr>
            <w:tcW w:w="810" w:type="pct"/>
          </w:tcPr>
          <w:p w14:paraId="038A28E5" w14:textId="77777777" w:rsidR="00152234" w:rsidRDefault="00152234" w:rsidP="001A5D4A">
            <w:pPr>
              <w:pStyle w:val="Note-Refs"/>
              <w:rPr>
                <w:b/>
              </w:rPr>
            </w:pPr>
            <w:r>
              <w:t>AASB101.61</w:t>
            </w:r>
            <w:r w:rsidR="00860968">
              <w:t>b</w:t>
            </w:r>
          </w:p>
        </w:tc>
        <w:tc>
          <w:tcPr>
            <w:tcW w:w="2567" w:type="pct"/>
            <w:vAlign w:val="bottom"/>
          </w:tcPr>
          <w:p w14:paraId="038A28E6" w14:textId="77777777" w:rsidR="00152234" w:rsidRDefault="00152234" w:rsidP="001A5D4A">
            <w:pPr>
              <w:pStyle w:val="NotesTable-ItemPlain"/>
              <w:rPr>
                <w:b/>
              </w:rPr>
            </w:pPr>
            <w:r>
              <w:t>Deferred tax assets to be recovered after more than 12 months</w:t>
            </w:r>
          </w:p>
        </w:tc>
        <w:tc>
          <w:tcPr>
            <w:tcW w:w="406" w:type="pct"/>
          </w:tcPr>
          <w:p w14:paraId="038A28E7" w14:textId="77777777" w:rsidR="00152234" w:rsidRDefault="00152234" w:rsidP="001A5D4A">
            <w:pPr>
              <w:pStyle w:val="NotesTable-CellBold"/>
              <w:rPr>
                <w:lang w:val="en-GB"/>
              </w:rPr>
            </w:pPr>
            <w:r w:rsidRPr="005D31D7">
              <w:t>–</w:t>
            </w:r>
          </w:p>
        </w:tc>
        <w:tc>
          <w:tcPr>
            <w:tcW w:w="406" w:type="pct"/>
          </w:tcPr>
          <w:p w14:paraId="038A28E8" w14:textId="77777777" w:rsidR="00152234" w:rsidRDefault="00152234" w:rsidP="001A5D4A">
            <w:pPr>
              <w:pStyle w:val="NotesTable-CellPlain"/>
              <w:rPr>
                <w:lang w:val="en-GB"/>
              </w:rPr>
            </w:pPr>
            <w:r w:rsidRPr="005D31D7">
              <w:t>–</w:t>
            </w:r>
          </w:p>
        </w:tc>
        <w:tc>
          <w:tcPr>
            <w:tcW w:w="406" w:type="pct"/>
          </w:tcPr>
          <w:p w14:paraId="038A28E9" w14:textId="77777777" w:rsidR="00152234" w:rsidRDefault="00152234" w:rsidP="001A5D4A">
            <w:pPr>
              <w:pStyle w:val="NotesTable-CellBold"/>
              <w:rPr>
                <w:lang w:val="en-GB"/>
              </w:rPr>
            </w:pPr>
            <w:r w:rsidRPr="005D31D7">
              <w:t>–</w:t>
            </w:r>
          </w:p>
        </w:tc>
        <w:tc>
          <w:tcPr>
            <w:tcW w:w="406" w:type="pct"/>
          </w:tcPr>
          <w:p w14:paraId="038A28EA" w14:textId="77777777" w:rsidR="00152234" w:rsidRDefault="00152234" w:rsidP="001A5D4A">
            <w:pPr>
              <w:pStyle w:val="NotesTable-CellPlain"/>
              <w:rPr>
                <w:lang w:val="en-GB"/>
              </w:rPr>
            </w:pPr>
            <w:r w:rsidRPr="005D31D7">
              <w:t>–</w:t>
            </w:r>
          </w:p>
        </w:tc>
      </w:tr>
    </w:tbl>
    <w:p w14:paraId="038A28EC" w14:textId="77777777" w:rsidR="002322B7" w:rsidRDefault="002322B7" w:rsidP="001A5D4A"/>
    <w:tbl>
      <w:tblPr>
        <w:tblW w:w="5000" w:type="pct"/>
        <w:tblCellMar>
          <w:left w:w="0" w:type="dxa"/>
          <w:right w:w="0" w:type="dxa"/>
        </w:tblCellMar>
        <w:tblLook w:val="0000" w:firstRow="0" w:lastRow="0" w:firstColumn="0" w:lastColumn="0" w:noHBand="0" w:noVBand="0"/>
      </w:tblPr>
      <w:tblGrid>
        <w:gridCol w:w="1665"/>
        <w:gridCol w:w="3608"/>
        <w:gridCol w:w="834"/>
        <w:gridCol w:w="833"/>
        <w:gridCol w:w="833"/>
        <w:gridCol w:w="833"/>
        <w:gridCol w:w="833"/>
        <w:gridCol w:w="821"/>
      </w:tblGrid>
      <w:tr w:rsidR="002322B7" w14:paraId="038A28F5" w14:textId="77777777" w:rsidTr="00E21378">
        <w:trPr>
          <w:cantSplit/>
          <w:trHeight w:val="181"/>
        </w:trPr>
        <w:tc>
          <w:tcPr>
            <w:tcW w:w="811" w:type="pct"/>
          </w:tcPr>
          <w:p w14:paraId="038A28ED" w14:textId="77777777" w:rsidR="00023312" w:rsidRDefault="00023312" w:rsidP="001A5D4A">
            <w:pPr>
              <w:pStyle w:val="Note-Refs"/>
              <w:rPr>
                <w:b/>
              </w:rPr>
            </w:pPr>
            <w:r>
              <w:t>AASB112</w:t>
            </w:r>
            <w:r w:rsidR="00F96A72">
              <w:t>.</w:t>
            </w:r>
            <w:r>
              <w:t>81g(ii)</w:t>
            </w:r>
          </w:p>
        </w:tc>
        <w:tc>
          <w:tcPr>
            <w:tcW w:w="1758" w:type="pct"/>
            <w:shd w:val="clear" w:color="auto" w:fill="auto"/>
            <w:vAlign w:val="bottom"/>
          </w:tcPr>
          <w:p w14:paraId="038A28EE" w14:textId="45B14272" w:rsidR="00023312" w:rsidRDefault="00023312" w:rsidP="001A5D4A">
            <w:pPr>
              <w:pStyle w:val="NotesTable-ItemBold"/>
            </w:pPr>
            <w:r>
              <w:t xml:space="preserve">Movements </w:t>
            </w:r>
            <w:r w:rsidR="00BA4658">
              <w:t xml:space="preserve">- </w:t>
            </w:r>
            <w:r>
              <w:t>Consolidated</w:t>
            </w:r>
          </w:p>
        </w:tc>
        <w:tc>
          <w:tcPr>
            <w:tcW w:w="406" w:type="pct"/>
            <w:shd w:val="clear" w:color="auto" w:fill="auto"/>
            <w:vAlign w:val="bottom"/>
          </w:tcPr>
          <w:p w14:paraId="038A28EF" w14:textId="77777777" w:rsidR="00023312" w:rsidRDefault="00023312" w:rsidP="001A5D4A">
            <w:pPr>
              <w:pStyle w:val="NotesTable-HeadPlain"/>
              <w:rPr>
                <w:vertAlign w:val="superscript"/>
              </w:rPr>
            </w:pPr>
            <w:r>
              <w:t>[Specify]</w:t>
            </w:r>
            <w:r>
              <w:rPr>
                <w:vertAlign w:val="superscript"/>
              </w:rPr>
              <w:t>1</w:t>
            </w:r>
          </w:p>
        </w:tc>
        <w:tc>
          <w:tcPr>
            <w:tcW w:w="406" w:type="pct"/>
            <w:shd w:val="clear" w:color="auto" w:fill="auto"/>
            <w:vAlign w:val="bottom"/>
          </w:tcPr>
          <w:p w14:paraId="038A28F0" w14:textId="77777777" w:rsidR="00023312" w:rsidRDefault="00023312" w:rsidP="001A5D4A">
            <w:pPr>
              <w:pStyle w:val="NotesTable-HeadPlain"/>
            </w:pPr>
            <w:r>
              <w:t>[Specify]</w:t>
            </w:r>
          </w:p>
        </w:tc>
        <w:tc>
          <w:tcPr>
            <w:tcW w:w="406" w:type="pct"/>
            <w:shd w:val="clear" w:color="auto" w:fill="auto"/>
            <w:vAlign w:val="bottom"/>
          </w:tcPr>
          <w:p w14:paraId="038A28F1" w14:textId="77777777" w:rsidR="00023312" w:rsidRDefault="00023312" w:rsidP="001A5D4A">
            <w:pPr>
              <w:pStyle w:val="NotesTable-HeadPlain"/>
            </w:pPr>
            <w:r>
              <w:t>[Specify]</w:t>
            </w:r>
          </w:p>
        </w:tc>
        <w:tc>
          <w:tcPr>
            <w:tcW w:w="406" w:type="pct"/>
            <w:shd w:val="clear" w:color="auto" w:fill="auto"/>
            <w:vAlign w:val="bottom"/>
          </w:tcPr>
          <w:p w14:paraId="038A28F2" w14:textId="77777777" w:rsidR="00023312" w:rsidRDefault="00023312" w:rsidP="001A5D4A">
            <w:pPr>
              <w:pStyle w:val="NotesTable-HeadPlain"/>
            </w:pPr>
            <w:r>
              <w:t>[Specify]</w:t>
            </w:r>
          </w:p>
        </w:tc>
        <w:tc>
          <w:tcPr>
            <w:tcW w:w="406" w:type="pct"/>
            <w:shd w:val="clear" w:color="auto" w:fill="auto"/>
            <w:vAlign w:val="bottom"/>
          </w:tcPr>
          <w:p w14:paraId="038A28F3" w14:textId="77777777" w:rsidR="00023312" w:rsidRDefault="00023312" w:rsidP="001A5D4A">
            <w:pPr>
              <w:pStyle w:val="NotesTable-HeadPlain"/>
            </w:pPr>
            <w:r>
              <w:t>[Specify]</w:t>
            </w:r>
          </w:p>
        </w:tc>
        <w:tc>
          <w:tcPr>
            <w:tcW w:w="400" w:type="pct"/>
            <w:shd w:val="clear" w:color="auto" w:fill="auto"/>
            <w:vAlign w:val="bottom"/>
          </w:tcPr>
          <w:p w14:paraId="038A28F4" w14:textId="77777777" w:rsidR="00023312" w:rsidRDefault="00023312" w:rsidP="001A5D4A">
            <w:pPr>
              <w:pStyle w:val="NotesTable-HeadPlain"/>
            </w:pPr>
            <w:r>
              <w:t>Total</w:t>
            </w:r>
          </w:p>
        </w:tc>
      </w:tr>
      <w:tr w:rsidR="002322B7" w14:paraId="038A28FE" w14:textId="77777777" w:rsidTr="00E21378">
        <w:trPr>
          <w:cantSplit/>
          <w:trHeight w:val="181"/>
        </w:trPr>
        <w:tc>
          <w:tcPr>
            <w:tcW w:w="811" w:type="pct"/>
          </w:tcPr>
          <w:p w14:paraId="038A28F6" w14:textId="77777777" w:rsidR="00023312" w:rsidRDefault="00023312" w:rsidP="001A5D4A">
            <w:pPr>
              <w:pStyle w:val="Note-Refs"/>
            </w:pPr>
          </w:p>
        </w:tc>
        <w:tc>
          <w:tcPr>
            <w:tcW w:w="1758" w:type="pct"/>
            <w:shd w:val="clear" w:color="auto" w:fill="auto"/>
            <w:vAlign w:val="bottom"/>
          </w:tcPr>
          <w:p w14:paraId="038A28F7" w14:textId="77777777" w:rsidR="00023312" w:rsidRDefault="00023312" w:rsidP="001A5D4A">
            <w:pPr>
              <w:pStyle w:val="NotesTable-ItemPlain"/>
            </w:pPr>
          </w:p>
        </w:tc>
        <w:tc>
          <w:tcPr>
            <w:tcW w:w="406" w:type="pct"/>
            <w:shd w:val="clear" w:color="auto" w:fill="auto"/>
            <w:vAlign w:val="bottom"/>
          </w:tcPr>
          <w:p w14:paraId="038A28F8" w14:textId="77777777" w:rsidR="00023312" w:rsidRDefault="00023312" w:rsidP="001A5D4A">
            <w:pPr>
              <w:pStyle w:val="NotesTable-HeadPlain"/>
              <w:rPr>
                <w:b/>
              </w:rPr>
            </w:pPr>
            <w:r>
              <w:t>$'000</w:t>
            </w:r>
          </w:p>
        </w:tc>
        <w:tc>
          <w:tcPr>
            <w:tcW w:w="406" w:type="pct"/>
            <w:shd w:val="clear" w:color="auto" w:fill="auto"/>
            <w:vAlign w:val="bottom"/>
          </w:tcPr>
          <w:p w14:paraId="038A28F9" w14:textId="77777777" w:rsidR="00023312" w:rsidRDefault="00023312" w:rsidP="001A5D4A">
            <w:pPr>
              <w:pStyle w:val="NotesTable-HeadPlain"/>
              <w:rPr>
                <w:b/>
              </w:rPr>
            </w:pPr>
            <w:r>
              <w:t>$'000</w:t>
            </w:r>
          </w:p>
        </w:tc>
        <w:tc>
          <w:tcPr>
            <w:tcW w:w="406" w:type="pct"/>
            <w:shd w:val="clear" w:color="auto" w:fill="auto"/>
            <w:vAlign w:val="bottom"/>
          </w:tcPr>
          <w:p w14:paraId="038A28FA" w14:textId="77777777" w:rsidR="00023312" w:rsidRDefault="00023312" w:rsidP="001A5D4A">
            <w:pPr>
              <w:pStyle w:val="NotesTable-HeadPlain"/>
              <w:rPr>
                <w:b/>
              </w:rPr>
            </w:pPr>
            <w:r>
              <w:t>$'000</w:t>
            </w:r>
          </w:p>
        </w:tc>
        <w:tc>
          <w:tcPr>
            <w:tcW w:w="406" w:type="pct"/>
            <w:shd w:val="clear" w:color="auto" w:fill="auto"/>
            <w:vAlign w:val="bottom"/>
          </w:tcPr>
          <w:p w14:paraId="038A28FB" w14:textId="77777777" w:rsidR="00023312" w:rsidRDefault="00023312" w:rsidP="001A5D4A">
            <w:pPr>
              <w:pStyle w:val="NotesTable-HeadPlain"/>
              <w:rPr>
                <w:b/>
              </w:rPr>
            </w:pPr>
            <w:r>
              <w:t>$'000</w:t>
            </w:r>
          </w:p>
        </w:tc>
        <w:tc>
          <w:tcPr>
            <w:tcW w:w="406" w:type="pct"/>
            <w:shd w:val="clear" w:color="auto" w:fill="auto"/>
            <w:vAlign w:val="bottom"/>
          </w:tcPr>
          <w:p w14:paraId="038A28FC" w14:textId="77777777" w:rsidR="00023312" w:rsidRDefault="00023312" w:rsidP="001A5D4A">
            <w:pPr>
              <w:pStyle w:val="NotesTable-HeadPlain"/>
              <w:rPr>
                <w:b/>
              </w:rPr>
            </w:pPr>
            <w:r>
              <w:t>$'000</w:t>
            </w:r>
          </w:p>
        </w:tc>
        <w:tc>
          <w:tcPr>
            <w:tcW w:w="400" w:type="pct"/>
            <w:shd w:val="clear" w:color="auto" w:fill="auto"/>
            <w:vAlign w:val="bottom"/>
          </w:tcPr>
          <w:p w14:paraId="038A28FD" w14:textId="77777777" w:rsidR="00023312" w:rsidRDefault="00023312" w:rsidP="001A5D4A">
            <w:pPr>
              <w:pStyle w:val="NotesTable-HeadPlain"/>
              <w:rPr>
                <w:b/>
              </w:rPr>
            </w:pPr>
            <w:r>
              <w:t>$'000</w:t>
            </w:r>
          </w:p>
        </w:tc>
      </w:tr>
      <w:tr w:rsidR="00152234" w14:paraId="038A2907" w14:textId="77777777" w:rsidTr="00E21378">
        <w:trPr>
          <w:cantSplit/>
          <w:trHeight w:val="181"/>
        </w:trPr>
        <w:tc>
          <w:tcPr>
            <w:tcW w:w="811" w:type="pct"/>
          </w:tcPr>
          <w:p w14:paraId="038A28FF" w14:textId="77777777" w:rsidR="00152234" w:rsidRDefault="00152234" w:rsidP="001A5D4A">
            <w:pPr>
              <w:pStyle w:val="Note-Refs"/>
            </w:pPr>
          </w:p>
        </w:tc>
        <w:tc>
          <w:tcPr>
            <w:tcW w:w="1758" w:type="pct"/>
            <w:vAlign w:val="bottom"/>
          </w:tcPr>
          <w:p w14:paraId="038A2900" w14:textId="52EA7C88" w:rsidR="00152234" w:rsidRDefault="00152234" w:rsidP="001A5D4A">
            <w:pPr>
              <w:pStyle w:val="NotesTable-ItemBold"/>
            </w:pPr>
            <w:r>
              <w:t xml:space="preserve">At 1 January </w:t>
            </w:r>
            <w:r w:rsidR="006864EC">
              <w:t>2013</w:t>
            </w:r>
          </w:p>
        </w:tc>
        <w:tc>
          <w:tcPr>
            <w:tcW w:w="406" w:type="pct"/>
          </w:tcPr>
          <w:p w14:paraId="038A2901" w14:textId="77777777" w:rsidR="00152234" w:rsidRDefault="00152234" w:rsidP="001A5D4A">
            <w:pPr>
              <w:pStyle w:val="NotesTable-CellPlain"/>
              <w:rPr>
                <w:lang w:val="en-GB"/>
              </w:rPr>
            </w:pPr>
            <w:r w:rsidRPr="00DA5CA3">
              <w:t>–</w:t>
            </w:r>
          </w:p>
        </w:tc>
        <w:tc>
          <w:tcPr>
            <w:tcW w:w="406" w:type="pct"/>
          </w:tcPr>
          <w:p w14:paraId="038A2902" w14:textId="77777777" w:rsidR="00152234" w:rsidRDefault="00152234" w:rsidP="001A5D4A">
            <w:pPr>
              <w:pStyle w:val="NotesTable-CellPlain"/>
              <w:rPr>
                <w:lang w:val="en-GB"/>
              </w:rPr>
            </w:pPr>
            <w:r w:rsidRPr="00DA5CA3">
              <w:t>–</w:t>
            </w:r>
          </w:p>
        </w:tc>
        <w:tc>
          <w:tcPr>
            <w:tcW w:w="406" w:type="pct"/>
          </w:tcPr>
          <w:p w14:paraId="038A2903" w14:textId="77777777" w:rsidR="00152234" w:rsidRDefault="00152234" w:rsidP="001A5D4A">
            <w:pPr>
              <w:pStyle w:val="NotesTable-CellPlain"/>
              <w:rPr>
                <w:lang w:val="en-GB"/>
              </w:rPr>
            </w:pPr>
            <w:r w:rsidRPr="00DA5CA3">
              <w:t>–</w:t>
            </w:r>
          </w:p>
        </w:tc>
        <w:tc>
          <w:tcPr>
            <w:tcW w:w="406" w:type="pct"/>
          </w:tcPr>
          <w:p w14:paraId="038A2904" w14:textId="77777777" w:rsidR="00152234" w:rsidRDefault="00152234" w:rsidP="001A5D4A">
            <w:pPr>
              <w:pStyle w:val="NotesTable-CellPlain"/>
              <w:rPr>
                <w:lang w:val="en-GB"/>
              </w:rPr>
            </w:pPr>
            <w:r w:rsidRPr="00DA5CA3">
              <w:t>–</w:t>
            </w:r>
          </w:p>
        </w:tc>
        <w:tc>
          <w:tcPr>
            <w:tcW w:w="406" w:type="pct"/>
          </w:tcPr>
          <w:p w14:paraId="038A2905" w14:textId="77777777" w:rsidR="00152234" w:rsidRDefault="00152234" w:rsidP="001A5D4A">
            <w:pPr>
              <w:pStyle w:val="NotesTable-CellPlain"/>
              <w:rPr>
                <w:lang w:val="en-GB"/>
              </w:rPr>
            </w:pPr>
            <w:r w:rsidRPr="00DA5CA3">
              <w:t>–</w:t>
            </w:r>
          </w:p>
        </w:tc>
        <w:tc>
          <w:tcPr>
            <w:tcW w:w="400" w:type="pct"/>
          </w:tcPr>
          <w:p w14:paraId="038A2906" w14:textId="77777777" w:rsidR="00152234" w:rsidRDefault="00152234" w:rsidP="001A5D4A">
            <w:pPr>
              <w:pStyle w:val="NotesTable-CellPlain"/>
              <w:rPr>
                <w:lang w:val="en-GB"/>
              </w:rPr>
            </w:pPr>
            <w:r w:rsidRPr="00DA5CA3">
              <w:t>–</w:t>
            </w:r>
          </w:p>
        </w:tc>
      </w:tr>
      <w:tr w:rsidR="00BA4658" w14:paraId="06822990" w14:textId="77777777" w:rsidTr="00E21378">
        <w:trPr>
          <w:cantSplit/>
          <w:trHeight w:val="181"/>
        </w:trPr>
        <w:tc>
          <w:tcPr>
            <w:tcW w:w="811" w:type="pct"/>
          </w:tcPr>
          <w:p w14:paraId="3239F75A" w14:textId="77777777" w:rsidR="00BA4658" w:rsidRDefault="00BA4658" w:rsidP="001A5D4A">
            <w:pPr>
              <w:pStyle w:val="Note-Refs"/>
            </w:pPr>
          </w:p>
        </w:tc>
        <w:tc>
          <w:tcPr>
            <w:tcW w:w="1758" w:type="pct"/>
            <w:vAlign w:val="bottom"/>
          </w:tcPr>
          <w:p w14:paraId="74D2FD27" w14:textId="77777777" w:rsidR="00BA4658" w:rsidRDefault="00BA4658" w:rsidP="001A5D4A">
            <w:pPr>
              <w:pStyle w:val="NotesTable-ItemPlain"/>
            </w:pPr>
          </w:p>
        </w:tc>
        <w:tc>
          <w:tcPr>
            <w:tcW w:w="406" w:type="pct"/>
          </w:tcPr>
          <w:p w14:paraId="5D46A99E" w14:textId="77777777" w:rsidR="00BA4658" w:rsidRPr="00F0051F" w:rsidRDefault="00BA4658" w:rsidP="001A5D4A">
            <w:pPr>
              <w:pStyle w:val="NotesTable-CellPlain"/>
            </w:pPr>
          </w:p>
        </w:tc>
        <w:tc>
          <w:tcPr>
            <w:tcW w:w="406" w:type="pct"/>
          </w:tcPr>
          <w:p w14:paraId="7AE5F42D" w14:textId="77777777" w:rsidR="00BA4658" w:rsidRPr="00F0051F" w:rsidRDefault="00BA4658" w:rsidP="001A5D4A">
            <w:pPr>
              <w:pStyle w:val="NotesTable-CellPlain"/>
            </w:pPr>
          </w:p>
        </w:tc>
        <w:tc>
          <w:tcPr>
            <w:tcW w:w="406" w:type="pct"/>
          </w:tcPr>
          <w:p w14:paraId="62D5641F" w14:textId="77777777" w:rsidR="00BA4658" w:rsidRPr="00F0051F" w:rsidRDefault="00BA4658" w:rsidP="001A5D4A">
            <w:pPr>
              <w:pStyle w:val="NotesTable-CellPlain"/>
            </w:pPr>
          </w:p>
        </w:tc>
        <w:tc>
          <w:tcPr>
            <w:tcW w:w="406" w:type="pct"/>
          </w:tcPr>
          <w:p w14:paraId="2F6EEA2E" w14:textId="77777777" w:rsidR="00BA4658" w:rsidRPr="00F0051F" w:rsidRDefault="00BA4658" w:rsidP="001A5D4A">
            <w:pPr>
              <w:pStyle w:val="NotesTable-CellPlain"/>
            </w:pPr>
          </w:p>
        </w:tc>
        <w:tc>
          <w:tcPr>
            <w:tcW w:w="406" w:type="pct"/>
          </w:tcPr>
          <w:p w14:paraId="4D1AB649" w14:textId="77777777" w:rsidR="00BA4658" w:rsidRPr="00F0051F" w:rsidRDefault="00BA4658" w:rsidP="001A5D4A">
            <w:pPr>
              <w:pStyle w:val="NotesTable-CellPlain"/>
            </w:pPr>
          </w:p>
        </w:tc>
        <w:tc>
          <w:tcPr>
            <w:tcW w:w="400" w:type="pct"/>
          </w:tcPr>
          <w:p w14:paraId="14CFE49D" w14:textId="77777777" w:rsidR="00BA4658" w:rsidRPr="00F0051F" w:rsidRDefault="00BA4658" w:rsidP="001A5D4A">
            <w:pPr>
              <w:pStyle w:val="NotesTable-CellPlain"/>
            </w:pPr>
          </w:p>
        </w:tc>
      </w:tr>
      <w:tr w:rsidR="00152234" w14:paraId="038A2910" w14:textId="77777777" w:rsidTr="00E21378">
        <w:trPr>
          <w:cantSplit/>
          <w:trHeight w:val="181"/>
        </w:trPr>
        <w:tc>
          <w:tcPr>
            <w:tcW w:w="811" w:type="pct"/>
          </w:tcPr>
          <w:p w14:paraId="038A2908" w14:textId="77777777" w:rsidR="00152234" w:rsidRDefault="00152234" w:rsidP="001A5D4A">
            <w:pPr>
              <w:pStyle w:val="Note-Refs"/>
              <w:rPr>
                <w:b/>
              </w:rPr>
            </w:pPr>
            <w:r>
              <w:t>AASB112.81g(ii)</w:t>
            </w:r>
          </w:p>
        </w:tc>
        <w:tc>
          <w:tcPr>
            <w:tcW w:w="1758" w:type="pct"/>
            <w:vAlign w:val="bottom"/>
          </w:tcPr>
          <w:p w14:paraId="038A2909" w14:textId="77777777" w:rsidR="00152234" w:rsidRDefault="00152234" w:rsidP="001A5D4A">
            <w:pPr>
              <w:pStyle w:val="NotesTable-ItemPlain"/>
              <w:rPr>
                <w:b/>
              </w:rPr>
            </w:pPr>
            <w:r>
              <w:t>Charged/(credited) to the income statement</w:t>
            </w:r>
          </w:p>
        </w:tc>
        <w:tc>
          <w:tcPr>
            <w:tcW w:w="406" w:type="pct"/>
          </w:tcPr>
          <w:p w14:paraId="038A290A" w14:textId="77777777" w:rsidR="00152234" w:rsidRDefault="00152234" w:rsidP="001A5D4A">
            <w:pPr>
              <w:pStyle w:val="NotesTable-CellPlain"/>
              <w:rPr>
                <w:lang w:val="en-GB"/>
              </w:rPr>
            </w:pPr>
            <w:r w:rsidRPr="00F0051F">
              <w:t>–</w:t>
            </w:r>
          </w:p>
        </w:tc>
        <w:tc>
          <w:tcPr>
            <w:tcW w:w="406" w:type="pct"/>
          </w:tcPr>
          <w:p w14:paraId="038A290B" w14:textId="77777777" w:rsidR="00152234" w:rsidRDefault="00152234" w:rsidP="001A5D4A">
            <w:pPr>
              <w:pStyle w:val="NotesTable-CellPlain"/>
              <w:rPr>
                <w:lang w:val="en-GB"/>
              </w:rPr>
            </w:pPr>
            <w:r w:rsidRPr="00F0051F">
              <w:t>–</w:t>
            </w:r>
          </w:p>
        </w:tc>
        <w:tc>
          <w:tcPr>
            <w:tcW w:w="406" w:type="pct"/>
          </w:tcPr>
          <w:p w14:paraId="038A290C" w14:textId="77777777" w:rsidR="00152234" w:rsidRDefault="00152234" w:rsidP="001A5D4A">
            <w:pPr>
              <w:pStyle w:val="NotesTable-CellPlain"/>
              <w:rPr>
                <w:lang w:val="en-GB"/>
              </w:rPr>
            </w:pPr>
            <w:r w:rsidRPr="00F0051F">
              <w:t>–</w:t>
            </w:r>
          </w:p>
        </w:tc>
        <w:tc>
          <w:tcPr>
            <w:tcW w:w="406" w:type="pct"/>
          </w:tcPr>
          <w:p w14:paraId="038A290D" w14:textId="77777777" w:rsidR="00152234" w:rsidRDefault="00152234" w:rsidP="001A5D4A">
            <w:pPr>
              <w:pStyle w:val="NotesTable-CellPlain"/>
              <w:rPr>
                <w:lang w:val="en-GB"/>
              </w:rPr>
            </w:pPr>
            <w:r w:rsidRPr="00F0051F">
              <w:t>–</w:t>
            </w:r>
          </w:p>
        </w:tc>
        <w:tc>
          <w:tcPr>
            <w:tcW w:w="406" w:type="pct"/>
          </w:tcPr>
          <w:p w14:paraId="038A290E" w14:textId="77777777" w:rsidR="00152234" w:rsidRDefault="00152234" w:rsidP="001A5D4A">
            <w:pPr>
              <w:pStyle w:val="NotesTable-CellPlain"/>
              <w:rPr>
                <w:lang w:val="en-GB"/>
              </w:rPr>
            </w:pPr>
            <w:r w:rsidRPr="00F0051F">
              <w:t>–</w:t>
            </w:r>
          </w:p>
        </w:tc>
        <w:tc>
          <w:tcPr>
            <w:tcW w:w="400" w:type="pct"/>
          </w:tcPr>
          <w:p w14:paraId="038A290F" w14:textId="77777777" w:rsidR="00152234" w:rsidRDefault="00152234" w:rsidP="001A5D4A">
            <w:pPr>
              <w:pStyle w:val="NotesTable-CellPlain"/>
              <w:rPr>
                <w:lang w:val="en-GB"/>
              </w:rPr>
            </w:pPr>
            <w:r w:rsidRPr="00F0051F">
              <w:t>–</w:t>
            </w:r>
          </w:p>
        </w:tc>
      </w:tr>
      <w:tr w:rsidR="00152234" w14:paraId="038A2919" w14:textId="77777777" w:rsidTr="00E21378">
        <w:trPr>
          <w:cantSplit/>
          <w:trHeight w:val="181"/>
        </w:trPr>
        <w:tc>
          <w:tcPr>
            <w:tcW w:w="811" w:type="pct"/>
          </w:tcPr>
          <w:p w14:paraId="038A2911" w14:textId="77777777" w:rsidR="00152234" w:rsidRDefault="00152234" w:rsidP="001A5D4A">
            <w:pPr>
              <w:pStyle w:val="Note-Refs"/>
              <w:rPr>
                <w:b/>
              </w:rPr>
            </w:pPr>
            <w:r>
              <w:t>AASB112.81a</w:t>
            </w:r>
          </w:p>
        </w:tc>
        <w:tc>
          <w:tcPr>
            <w:tcW w:w="1758" w:type="pct"/>
            <w:vAlign w:val="bottom"/>
          </w:tcPr>
          <w:p w14:paraId="038A2912" w14:textId="77777777" w:rsidR="00152234" w:rsidRDefault="00152234" w:rsidP="001A5D4A">
            <w:pPr>
              <w:pStyle w:val="NotesTable-ItemPlain"/>
              <w:rPr>
                <w:b/>
              </w:rPr>
            </w:pPr>
            <w:r>
              <w:t>Charged directly to equity</w:t>
            </w:r>
          </w:p>
        </w:tc>
        <w:tc>
          <w:tcPr>
            <w:tcW w:w="406" w:type="pct"/>
            <w:tcBorders>
              <w:left w:val="nil"/>
              <w:bottom w:val="single" w:sz="4" w:space="0" w:color="auto"/>
            </w:tcBorders>
          </w:tcPr>
          <w:p w14:paraId="038A2913" w14:textId="77777777" w:rsidR="00152234" w:rsidRDefault="00152234" w:rsidP="001A5D4A">
            <w:pPr>
              <w:pStyle w:val="NotesTable-CellPlain"/>
              <w:rPr>
                <w:lang w:val="en-GB"/>
              </w:rPr>
            </w:pPr>
            <w:r w:rsidRPr="00F0051F">
              <w:t>–</w:t>
            </w:r>
          </w:p>
        </w:tc>
        <w:tc>
          <w:tcPr>
            <w:tcW w:w="406" w:type="pct"/>
            <w:tcBorders>
              <w:bottom w:val="single" w:sz="4" w:space="0" w:color="auto"/>
            </w:tcBorders>
          </w:tcPr>
          <w:p w14:paraId="038A2914" w14:textId="77777777" w:rsidR="00152234" w:rsidRDefault="00152234" w:rsidP="001A5D4A">
            <w:pPr>
              <w:pStyle w:val="NotesTable-CellPlain"/>
              <w:rPr>
                <w:lang w:val="en-GB"/>
              </w:rPr>
            </w:pPr>
            <w:r w:rsidRPr="00F0051F">
              <w:t>–</w:t>
            </w:r>
          </w:p>
        </w:tc>
        <w:tc>
          <w:tcPr>
            <w:tcW w:w="406" w:type="pct"/>
            <w:tcBorders>
              <w:bottom w:val="single" w:sz="4" w:space="0" w:color="auto"/>
            </w:tcBorders>
          </w:tcPr>
          <w:p w14:paraId="038A2915" w14:textId="77777777" w:rsidR="00152234" w:rsidRDefault="00152234" w:rsidP="001A5D4A">
            <w:pPr>
              <w:pStyle w:val="NotesTable-CellPlain"/>
              <w:rPr>
                <w:lang w:val="en-GB"/>
              </w:rPr>
            </w:pPr>
            <w:r w:rsidRPr="00F0051F">
              <w:t>–</w:t>
            </w:r>
          </w:p>
        </w:tc>
        <w:tc>
          <w:tcPr>
            <w:tcW w:w="406" w:type="pct"/>
            <w:tcBorders>
              <w:bottom w:val="single" w:sz="4" w:space="0" w:color="auto"/>
            </w:tcBorders>
          </w:tcPr>
          <w:p w14:paraId="038A2916" w14:textId="77777777" w:rsidR="00152234" w:rsidRDefault="00152234" w:rsidP="001A5D4A">
            <w:pPr>
              <w:pStyle w:val="NotesTable-CellPlain"/>
              <w:rPr>
                <w:lang w:val="en-GB"/>
              </w:rPr>
            </w:pPr>
            <w:r w:rsidRPr="00F0051F">
              <w:t>–</w:t>
            </w:r>
          </w:p>
        </w:tc>
        <w:tc>
          <w:tcPr>
            <w:tcW w:w="406" w:type="pct"/>
            <w:tcBorders>
              <w:bottom w:val="single" w:sz="4" w:space="0" w:color="auto"/>
            </w:tcBorders>
          </w:tcPr>
          <w:p w14:paraId="038A2917" w14:textId="77777777" w:rsidR="00152234" w:rsidRDefault="00152234" w:rsidP="001A5D4A">
            <w:pPr>
              <w:pStyle w:val="NotesTable-CellPlain"/>
              <w:rPr>
                <w:lang w:val="en-GB"/>
              </w:rPr>
            </w:pPr>
            <w:r w:rsidRPr="00F0051F">
              <w:t>–</w:t>
            </w:r>
          </w:p>
        </w:tc>
        <w:tc>
          <w:tcPr>
            <w:tcW w:w="400" w:type="pct"/>
            <w:tcBorders>
              <w:bottom w:val="single" w:sz="4" w:space="0" w:color="auto"/>
            </w:tcBorders>
          </w:tcPr>
          <w:p w14:paraId="038A2918" w14:textId="77777777" w:rsidR="00152234" w:rsidRDefault="00152234" w:rsidP="001A5D4A">
            <w:pPr>
              <w:pStyle w:val="NotesTable-CellPlain"/>
              <w:rPr>
                <w:lang w:val="en-GB"/>
              </w:rPr>
            </w:pPr>
            <w:r w:rsidRPr="00F0051F">
              <w:t>–</w:t>
            </w:r>
          </w:p>
        </w:tc>
      </w:tr>
      <w:tr w:rsidR="00152234" w14:paraId="038A2922" w14:textId="77777777" w:rsidTr="00E21378">
        <w:trPr>
          <w:cantSplit/>
          <w:trHeight w:val="181"/>
        </w:trPr>
        <w:tc>
          <w:tcPr>
            <w:tcW w:w="811" w:type="pct"/>
            <w:vAlign w:val="bottom"/>
          </w:tcPr>
          <w:p w14:paraId="038A291A" w14:textId="77777777" w:rsidR="00152234" w:rsidRDefault="00152234" w:rsidP="001A5D4A">
            <w:pPr>
              <w:pStyle w:val="Note-Refs"/>
            </w:pPr>
          </w:p>
        </w:tc>
        <w:tc>
          <w:tcPr>
            <w:tcW w:w="1758" w:type="pct"/>
            <w:vAlign w:val="bottom"/>
          </w:tcPr>
          <w:p w14:paraId="038A291B" w14:textId="08B85795" w:rsidR="00152234" w:rsidRDefault="00152234" w:rsidP="001A5D4A">
            <w:pPr>
              <w:pStyle w:val="NotesTable-ItemBold"/>
            </w:pPr>
            <w:r>
              <w:t xml:space="preserve">At 31 December </w:t>
            </w:r>
            <w:r w:rsidR="006864EC">
              <w:t>2013</w:t>
            </w:r>
          </w:p>
        </w:tc>
        <w:tc>
          <w:tcPr>
            <w:tcW w:w="406" w:type="pct"/>
            <w:tcBorders>
              <w:top w:val="single" w:sz="4" w:space="0" w:color="auto"/>
              <w:left w:val="nil"/>
            </w:tcBorders>
          </w:tcPr>
          <w:p w14:paraId="038A291C" w14:textId="77777777" w:rsidR="00152234" w:rsidRDefault="00152234" w:rsidP="001A5D4A">
            <w:pPr>
              <w:pStyle w:val="NotesTable-CellPlain"/>
              <w:rPr>
                <w:lang w:val="en-GB"/>
              </w:rPr>
            </w:pPr>
            <w:r w:rsidRPr="00F0051F">
              <w:t>–</w:t>
            </w:r>
          </w:p>
        </w:tc>
        <w:tc>
          <w:tcPr>
            <w:tcW w:w="406" w:type="pct"/>
            <w:tcBorders>
              <w:top w:val="single" w:sz="4" w:space="0" w:color="auto"/>
            </w:tcBorders>
          </w:tcPr>
          <w:p w14:paraId="038A291D" w14:textId="77777777" w:rsidR="00152234" w:rsidRDefault="00152234" w:rsidP="001A5D4A">
            <w:pPr>
              <w:pStyle w:val="NotesTable-CellPlain"/>
              <w:rPr>
                <w:lang w:val="en-GB"/>
              </w:rPr>
            </w:pPr>
            <w:r w:rsidRPr="00F0051F">
              <w:t>–</w:t>
            </w:r>
          </w:p>
        </w:tc>
        <w:tc>
          <w:tcPr>
            <w:tcW w:w="406" w:type="pct"/>
            <w:tcBorders>
              <w:top w:val="single" w:sz="4" w:space="0" w:color="auto"/>
            </w:tcBorders>
          </w:tcPr>
          <w:p w14:paraId="038A291E" w14:textId="77777777" w:rsidR="00152234" w:rsidRDefault="00152234" w:rsidP="001A5D4A">
            <w:pPr>
              <w:pStyle w:val="NotesTable-CellPlain"/>
              <w:rPr>
                <w:lang w:val="en-GB"/>
              </w:rPr>
            </w:pPr>
            <w:r w:rsidRPr="00F0051F">
              <w:t>–</w:t>
            </w:r>
          </w:p>
        </w:tc>
        <w:tc>
          <w:tcPr>
            <w:tcW w:w="406" w:type="pct"/>
            <w:tcBorders>
              <w:top w:val="single" w:sz="4" w:space="0" w:color="auto"/>
            </w:tcBorders>
          </w:tcPr>
          <w:p w14:paraId="038A291F" w14:textId="77777777" w:rsidR="00152234" w:rsidRDefault="00152234" w:rsidP="001A5D4A">
            <w:pPr>
              <w:pStyle w:val="NotesTable-CellPlain"/>
              <w:rPr>
                <w:lang w:val="en-GB"/>
              </w:rPr>
            </w:pPr>
            <w:r w:rsidRPr="00F0051F">
              <w:t>–</w:t>
            </w:r>
          </w:p>
        </w:tc>
        <w:tc>
          <w:tcPr>
            <w:tcW w:w="406" w:type="pct"/>
            <w:tcBorders>
              <w:top w:val="single" w:sz="4" w:space="0" w:color="auto"/>
            </w:tcBorders>
          </w:tcPr>
          <w:p w14:paraId="038A2920" w14:textId="77777777" w:rsidR="00152234" w:rsidRDefault="00152234" w:rsidP="001A5D4A">
            <w:pPr>
              <w:pStyle w:val="NotesTable-CellPlain"/>
              <w:rPr>
                <w:lang w:val="en-GB"/>
              </w:rPr>
            </w:pPr>
            <w:r w:rsidRPr="00F0051F">
              <w:t>–</w:t>
            </w:r>
          </w:p>
        </w:tc>
        <w:tc>
          <w:tcPr>
            <w:tcW w:w="400" w:type="pct"/>
            <w:tcBorders>
              <w:top w:val="single" w:sz="4" w:space="0" w:color="auto"/>
            </w:tcBorders>
          </w:tcPr>
          <w:p w14:paraId="038A2921" w14:textId="77777777" w:rsidR="00152234" w:rsidRDefault="00152234" w:rsidP="001A5D4A">
            <w:pPr>
              <w:pStyle w:val="NotesTable-CellPlain"/>
              <w:rPr>
                <w:lang w:val="en-GB"/>
              </w:rPr>
            </w:pPr>
            <w:r w:rsidRPr="00F0051F">
              <w:t>–</w:t>
            </w:r>
          </w:p>
        </w:tc>
      </w:tr>
      <w:tr w:rsidR="00BA4658" w14:paraId="01080BB9" w14:textId="77777777" w:rsidTr="00E21378">
        <w:trPr>
          <w:cantSplit/>
          <w:trHeight w:val="181"/>
        </w:trPr>
        <w:tc>
          <w:tcPr>
            <w:tcW w:w="811" w:type="pct"/>
          </w:tcPr>
          <w:p w14:paraId="555DDA77" w14:textId="77777777" w:rsidR="00BA4658" w:rsidRDefault="00BA4658" w:rsidP="001A5D4A">
            <w:pPr>
              <w:pStyle w:val="Note-Refs"/>
            </w:pPr>
          </w:p>
        </w:tc>
        <w:tc>
          <w:tcPr>
            <w:tcW w:w="1758" w:type="pct"/>
            <w:vAlign w:val="bottom"/>
          </w:tcPr>
          <w:p w14:paraId="0C92F228" w14:textId="77777777" w:rsidR="00BA4658" w:rsidRDefault="00BA4658" w:rsidP="001A5D4A">
            <w:pPr>
              <w:pStyle w:val="NotesTable-ItemPlain"/>
            </w:pPr>
          </w:p>
        </w:tc>
        <w:tc>
          <w:tcPr>
            <w:tcW w:w="406" w:type="pct"/>
            <w:tcBorders>
              <w:left w:val="nil"/>
            </w:tcBorders>
          </w:tcPr>
          <w:p w14:paraId="7C60A3B9" w14:textId="77777777" w:rsidR="00BA4658" w:rsidRPr="00FB0C3A" w:rsidRDefault="00BA4658" w:rsidP="001A5D4A">
            <w:pPr>
              <w:pStyle w:val="NotesTable-CellPlain"/>
            </w:pPr>
          </w:p>
        </w:tc>
        <w:tc>
          <w:tcPr>
            <w:tcW w:w="406" w:type="pct"/>
          </w:tcPr>
          <w:p w14:paraId="2275DD14" w14:textId="77777777" w:rsidR="00BA4658" w:rsidRPr="00FB0C3A" w:rsidRDefault="00BA4658" w:rsidP="001A5D4A">
            <w:pPr>
              <w:pStyle w:val="NotesTable-CellPlain"/>
            </w:pPr>
          </w:p>
        </w:tc>
        <w:tc>
          <w:tcPr>
            <w:tcW w:w="406" w:type="pct"/>
          </w:tcPr>
          <w:p w14:paraId="1EAF1F42" w14:textId="77777777" w:rsidR="00BA4658" w:rsidRPr="00FB0C3A" w:rsidRDefault="00BA4658" w:rsidP="001A5D4A">
            <w:pPr>
              <w:pStyle w:val="NotesTable-CellPlain"/>
            </w:pPr>
          </w:p>
        </w:tc>
        <w:tc>
          <w:tcPr>
            <w:tcW w:w="406" w:type="pct"/>
          </w:tcPr>
          <w:p w14:paraId="3F4EFC65" w14:textId="77777777" w:rsidR="00BA4658" w:rsidRPr="00FB0C3A" w:rsidRDefault="00BA4658" w:rsidP="001A5D4A">
            <w:pPr>
              <w:pStyle w:val="NotesTable-CellPlain"/>
            </w:pPr>
          </w:p>
        </w:tc>
        <w:tc>
          <w:tcPr>
            <w:tcW w:w="406" w:type="pct"/>
          </w:tcPr>
          <w:p w14:paraId="54358B3A" w14:textId="77777777" w:rsidR="00BA4658" w:rsidRPr="00FB0C3A" w:rsidRDefault="00BA4658" w:rsidP="001A5D4A">
            <w:pPr>
              <w:pStyle w:val="NotesTable-CellPlain"/>
            </w:pPr>
          </w:p>
        </w:tc>
        <w:tc>
          <w:tcPr>
            <w:tcW w:w="400" w:type="pct"/>
          </w:tcPr>
          <w:p w14:paraId="252B166D" w14:textId="77777777" w:rsidR="00BA4658" w:rsidRPr="00FB0C3A" w:rsidRDefault="00BA4658" w:rsidP="001A5D4A">
            <w:pPr>
              <w:pStyle w:val="NotesTable-CellPlain"/>
            </w:pPr>
          </w:p>
        </w:tc>
      </w:tr>
      <w:tr w:rsidR="00152234" w14:paraId="038A292B" w14:textId="77777777" w:rsidTr="00E21378">
        <w:trPr>
          <w:cantSplit/>
          <w:trHeight w:val="181"/>
        </w:trPr>
        <w:tc>
          <w:tcPr>
            <w:tcW w:w="811" w:type="pct"/>
          </w:tcPr>
          <w:p w14:paraId="038A2923" w14:textId="77777777" w:rsidR="00152234" w:rsidRDefault="00152234" w:rsidP="001A5D4A">
            <w:pPr>
              <w:pStyle w:val="Note-Refs"/>
              <w:rPr>
                <w:b/>
              </w:rPr>
            </w:pPr>
            <w:r>
              <w:t>AASB112.81g(ii)</w:t>
            </w:r>
          </w:p>
        </w:tc>
        <w:tc>
          <w:tcPr>
            <w:tcW w:w="1758" w:type="pct"/>
            <w:vAlign w:val="bottom"/>
          </w:tcPr>
          <w:p w14:paraId="038A2924" w14:textId="77777777" w:rsidR="00152234" w:rsidRDefault="00152234" w:rsidP="001A5D4A">
            <w:pPr>
              <w:pStyle w:val="NotesTable-ItemPlain"/>
              <w:rPr>
                <w:b/>
              </w:rPr>
            </w:pPr>
            <w:r>
              <w:t>Charged/(credited) to the income statement</w:t>
            </w:r>
          </w:p>
        </w:tc>
        <w:tc>
          <w:tcPr>
            <w:tcW w:w="406" w:type="pct"/>
            <w:tcBorders>
              <w:left w:val="nil"/>
            </w:tcBorders>
          </w:tcPr>
          <w:p w14:paraId="038A2925" w14:textId="77777777" w:rsidR="00152234" w:rsidRDefault="00152234" w:rsidP="001A5D4A">
            <w:pPr>
              <w:pStyle w:val="NotesTable-CellPlain"/>
              <w:rPr>
                <w:lang w:val="en-GB"/>
              </w:rPr>
            </w:pPr>
            <w:r w:rsidRPr="00FB0C3A">
              <w:t>–</w:t>
            </w:r>
          </w:p>
        </w:tc>
        <w:tc>
          <w:tcPr>
            <w:tcW w:w="406" w:type="pct"/>
          </w:tcPr>
          <w:p w14:paraId="038A2926" w14:textId="77777777" w:rsidR="00152234" w:rsidRDefault="00152234" w:rsidP="001A5D4A">
            <w:pPr>
              <w:pStyle w:val="NotesTable-CellPlain"/>
              <w:rPr>
                <w:lang w:val="en-GB"/>
              </w:rPr>
            </w:pPr>
            <w:r w:rsidRPr="00FB0C3A">
              <w:t>–</w:t>
            </w:r>
          </w:p>
        </w:tc>
        <w:tc>
          <w:tcPr>
            <w:tcW w:w="406" w:type="pct"/>
          </w:tcPr>
          <w:p w14:paraId="038A2927" w14:textId="77777777" w:rsidR="00152234" w:rsidRDefault="00152234" w:rsidP="001A5D4A">
            <w:pPr>
              <w:pStyle w:val="NotesTable-CellPlain"/>
              <w:rPr>
                <w:lang w:val="en-GB"/>
              </w:rPr>
            </w:pPr>
            <w:r w:rsidRPr="00FB0C3A">
              <w:t>–</w:t>
            </w:r>
          </w:p>
        </w:tc>
        <w:tc>
          <w:tcPr>
            <w:tcW w:w="406" w:type="pct"/>
          </w:tcPr>
          <w:p w14:paraId="038A2928" w14:textId="77777777" w:rsidR="00152234" w:rsidRDefault="00152234" w:rsidP="001A5D4A">
            <w:pPr>
              <w:pStyle w:val="NotesTable-CellPlain"/>
              <w:rPr>
                <w:lang w:val="en-GB"/>
              </w:rPr>
            </w:pPr>
            <w:r w:rsidRPr="00FB0C3A">
              <w:t>–</w:t>
            </w:r>
          </w:p>
        </w:tc>
        <w:tc>
          <w:tcPr>
            <w:tcW w:w="406" w:type="pct"/>
          </w:tcPr>
          <w:p w14:paraId="038A2929" w14:textId="77777777" w:rsidR="00152234" w:rsidRDefault="00152234" w:rsidP="001A5D4A">
            <w:pPr>
              <w:pStyle w:val="NotesTable-CellPlain"/>
              <w:rPr>
                <w:lang w:val="en-GB"/>
              </w:rPr>
            </w:pPr>
            <w:r w:rsidRPr="00FB0C3A">
              <w:t>–</w:t>
            </w:r>
          </w:p>
        </w:tc>
        <w:tc>
          <w:tcPr>
            <w:tcW w:w="400" w:type="pct"/>
          </w:tcPr>
          <w:p w14:paraId="038A292A" w14:textId="77777777" w:rsidR="00152234" w:rsidRDefault="00152234" w:rsidP="001A5D4A">
            <w:pPr>
              <w:pStyle w:val="NotesTable-CellPlain"/>
              <w:rPr>
                <w:lang w:val="en-GB"/>
              </w:rPr>
            </w:pPr>
            <w:r w:rsidRPr="00FB0C3A">
              <w:t>–</w:t>
            </w:r>
          </w:p>
        </w:tc>
      </w:tr>
      <w:tr w:rsidR="00152234" w14:paraId="038A2934" w14:textId="77777777" w:rsidTr="00E21378">
        <w:trPr>
          <w:cantSplit/>
          <w:trHeight w:val="181"/>
        </w:trPr>
        <w:tc>
          <w:tcPr>
            <w:tcW w:w="811" w:type="pct"/>
          </w:tcPr>
          <w:p w14:paraId="038A292C" w14:textId="77777777" w:rsidR="00152234" w:rsidRDefault="00152234" w:rsidP="001A5D4A">
            <w:pPr>
              <w:pStyle w:val="Note-Refs"/>
              <w:rPr>
                <w:b/>
              </w:rPr>
            </w:pPr>
            <w:r>
              <w:t>AASB112.81a</w:t>
            </w:r>
          </w:p>
        </w:tc>
        <w:tc>
          <w:tcPr>
            <w:tcW w:w="1758" w:type="pct"/>
            <w:vAlign w:val="bottom"/>
          </w:tcPr>
          <w:p w14:paraId="038A292D" w14:textId="77777777" w:rsidR="00152234" w:rsidRDefault="00152234" w:rsidP="001A5D4A">
            <w:pPr>
              <w:pStyle w:val="NotesTable-ItemPlain"/>
              <w:rPr>
                <w:b/>
              </w:rPr>
            </w:pPr>
            <w:r>
              <w:t>Charged directly to equity</w:t>
            </w:r>
          </w:p>
        </w:tc>
        <w:tc>
          <w:tcPr>
            <w:tcW w:w="406" w:type="pct"/>
            <w:tcBorders>
              <w:left w:val="nil"/>
            </w:tcBorders>
          </w:tcPr>
          <w:p w14:paraId="038A292E" w14:textId="77777777" w:rsidR="00152234" w:rsidRDefault="00152234" w:rsidP="001A5D4A">
            <w:pPr>
              <w:pStyle w:val="NotesTable-CellPlain"/>
              <w:rPr>
                <w:lang w:val="en-GB"/>
              </w:rPr>
            </w:pPr>
            <w:r w:rsidRPr="00FB0C3A">
              <w:t>–</w:t>
            </w:r>
          </w:p>
        </w:tc>
        <w:tc>
          <w:tcPr>
            <w:tcW w:w="406" w:type="pct"/>
          </w:tcPr>
          <w:p w14:paraId="038A292F" w14:textId="77777777" w:rsidR="00152234" w:rsidRDefault="00152234" w:rsidP="001A5D4A">
            <w:pPr>
              <w:pStyle w:val="NotesTable-CellPlain"/>
              <w:rPr>
                <w:lang w:val="en-GB"/>
              </w:rPr>
            </w:pPr>
            <w:r w:rsidRPr="00FB0C3A">
              <w:t>–</w:t>
            </w:r>
          </w:p>
        </w:tc>
        <w:tc>
          <w:tcPr>
            <w:tcW w:w="406" w:type="pct"/>
          </w:tcPr>
          <w:p w14:paraId="038A2930" w14:textId="77777777" w:rsidR="00152234" w:rsidRDefault="00152234" w:rsidP="001A5D4A">
            <w:pPr>
              <w:pStyle w:val="NotesTable-CellPlain"/>
              <w:rPr>
                <w:lang w:val="en-GB"/>
              </w:rPr>
            </w:pPr>
            <w:r w:rsidRPr="00FB0C3A">
              <w:t>–</w:t>
            </w:r>
          </w:p>
        </w:tc>
        <w:tc>
          <w:tcPr>
            <w:tcW w:w="406" w:type="pct"/>
          </w:tcPr>
          <w:p w14:paraId="038A2931" w14:textId="77777777" w:rsidR="00152234" w:rsidRDefault="00152234" w:rsidP="001A5D4A">
            <w:pPr>
              <w:pStyle w:val="NotesTable-CellPlain"/>
              <w:rPr>
                <w:lang w:val="en-GB"/>
              </w:rPr>
            </w:pPr>
            <w:r w:rsidRPr="00FB0C3A">
              <w:t>–</w:t>
            </w:r>
          </w:p>
        </w:tc>
        <w:tc>
          <w:tcPr>
            <w:tcW w:w="406" w:type="pct"/>
          </w:tcPr>
          <w:p w14:paraId="038A2932" w14:textId="77777777" w:rsidR="00152234" w:rsidRDefault="00152234" w:rsidP="001A5D4A">
            <w:pPr>
              <w:pStyle w:val="NotesTable-CellPlain"/>
              <w:rPr>
                <w:lang w:val="en-GB"/>
              </w:rPr>
            </w:pPr>
            <w:r w:rsidRPr="00FB0C3A">
              <w:t>–</w:t>
            </w:r>
          </w:p>
        </w:tc>
        <w:tc>
          <w:tcPr>
            <w:tcW w:w="400" w:type="pct"/>
          </w:tcPr>
          <w:p w14:paraId="038A2933" w14:textId="77777777" w:rsidR="00152234" w:rsidRDefault="00152234" w:rsidP="001A5D4A">
            <w:pPr>
              <w:pStyle w:val="NotesTable-CellPlain"/>
              <w:rPr>
                <w:lang w:val="en-GB"/>
              </w:rPr>
            </w:pPr>
            <w:r w:rsidRPr="00FB0C3A">
              <w:t>–</w:t>
            </w:r>
          </w:p>
        </w:tc>
      </w:tr>
      <w:tr w:rsidR="00152234" w14:paraId="038A293D" w14:textId="77777777" w:rsidTr="00E21378">
        <w:trPr>
          <w:cantSplit/>
          <w:trHeight w:val="181"/>
        </w:trPr>
        <w:tc>
          <w:tcPr>
            <w:tcW w:w="811" w:type="pct"/>
          </w:tcPr>
          <w:p w14:paraId="038A2935" w14:textId="77777777" w:rsidR="00152234" w:rsidRDefault="00152234" w:rsidP="001A5D4A">
            <w:pPr>
              <w:pStyle w:val="Note-Refs"/>
            </w:pPr>
          </w:p>
        </w:tc>
        <w:tc>
          <w:tcPr>
            <w:tcW w:w="1758" w:type="pct"/>
            <w:vAlign w:val="bottom"/>
          </w:tcPr>
          <w:p w14:paraId="038A2936" w14:textId="77777777" w:rsidR="00152234" w:rsidRDefault="00152234" w:rsidP="001A5D4A">
            <w:pPr>
              <w:pStyle w:val="NotesTable-ItemPlain"/>
              <w:rPr>
                <w:b/>
              </w:rPr>
            </w:pPr>
            <w:r>
              <w:t>Acquisition of subsidiary</w:t>
            </w:r>
          </w:p>
        </w:tc>
        <w:tc>
          <w:tcPr>
            <w:tcW w:w="406" w:type="pct"/>
            <w:tcBorders>
              <w:left w:val="nil"/>
              <w:bottom w:val="single" w:sz="4" w:space="0" w:color="auto"/>
            </w:tcBorders>
          </w:tcPr>
          <w:p w14:paraId="038A2937" w14:textId="77777777" w:rsidR="00152234" w:rsidRDefault="00152234" w:rsidP="001A5D4A">
            <w:pPr>
              <w:pStyle w:val="NotesTable-CellPlain"/>
              <w:rPr>
                <w:lang w:val="en-GB"/>
              </w:rPr>
            </w:pPr>
            <w:r w:rsidRPr="00FB0C3A">
              <w:t>–</w:t>
            </w:r>
          </w:p>
        </w:tc>
        <w:tc>
          <w:tcPr>
            <w:tcW w:w="406" w:type="pct"/>
            <w:tcBorders>
              <w:bottom w:val="single" w:sz="4" w:space="0" w:color="auto"/>
            </w:tcBorders>
          </w:tcPr>
          <w:p w14:paraId="038A2938" w14:textId="77777777" w:rsidR="00152234" w:rsidRDefault="00152234" w:rsidP="001A5D4A">
            <w:pPr>
              <w:pStyle w:val="NotesTable-CellPlain"/>
              <w:rPr>
                <w:lang w:val="en-GB"/>
              </w:rPr>
            </w:pPr>
            <w:r w:rsidRPr="00FB0C3A">
              <w:t>–</w:t>
            </w:r>
          </w:p>
        </w:tc>
        <w:tc>
          <w:tcPr>
            <w:tcW w:w="406" w:type="pct"/>
            <w:tcBorders>
              <w:bottom w:val="single" w:sz="4" w:space="0" w:color="auto"/>
            </w:tcBorders>
          </w:tcPr>
          <w:p w14:paraId="038A2939" w14:textId="77777777" w:rsidR="00152234" w:rsidRDefault="00152234" w:rsidP="001A5D4A">
            <w:pPr>
              <w:pStyle w:val="NotesTable-CellPlain"/>
              <w:rPr>
                <w:lang w:val="en-GB"/>
              </w:rPr>
            </w:pPr>
            <w:r w:rsidRPr="00FB0C3A">
              <w:t>–</w:t>
            </w:r>
          </w:p>
        </w:tc>
        <w:tc>
          <w:tcPr>
            <w:tcW w:w="406" w:type="pct"/>
            <w:tcBorders>
              <w:bottom w:val="single" w:sz="4" w:space="0" w:color="auto"/>
            </w:tcBorders>
          </w:tcPr>
          <w:p w14:paraId="038A293A" w14:textId="77777777" w:rsidR="00152234" w:rsidRDefault="00152234" w:rsidP="001A5D4A">
            <w:pPr>
              <w:pStyle w:val="NotesTable-CellPlain"/>
              <w:rPr>
                <w:lang w:val="en-GB"/>
              </w:rPr>
            </w:pPr>
            <w:r w:rsidRPr="00FB0C3A">
              <w:t>–</w:t>
            </w:r>
          </w:p>
        </w:tc>
        <w:tc>
          <w:tcPr>
            <w:tcW w:w="406" w:type="pct"/>
            <w:tcBorders>
              <w:bottom w:val="single" w:sz="4" w:space="0" w:color="auto"/>
            </w:tcBorders>
          </w:tcPr>
          <w:p w14:paraId="038A293B" w14:textId="77777777" w:rsidR="00152234" w:rsidRDefault="00152234" w:rsidP="001A5D4A">
            <w:pPr>
              <w:pStyle w:val="NotesTable-CellPlain"/>
              <w:rPr>
                <w:lang w:val="en-GB"/>
              </w:rPr>
            </w:pPr>
            <w:r w:rsidRPr="00FB0C3A">
              <w:t>–</w:t>
            </w:r>
          </w:p>
        </w:tc>
        <w:tc>
          <w:tcPr>
            <w:tcW w:w="400" w:type="pct"/>
            <w:tcBorders>
              <w:bottom w:val="single" w:sz="4" w:space="0" w:color="auto"/>
            </w:tcBorders>
          </w:tcPr>
          <w:p w14:paraId="038A293C" w14:textId="77777777" w:rsidR="00152234" w:rsidRDefault="00152234" w:rsidP="001A5D4A">
            <w:pPr>
              <w:pStyle w:val="NotesTable-CellPlain"/>
              <w:rPr>
                <w:lang w:val="en-GB"/>
              </w:rPr>
            </w:pPr>
            <w:r w:rsidRPr="00FB0C3A">
              <w:t>–</w:t>
            </w:r>
          </w:p>
        </w:tc>
      </w:tr>
      <w:tr w:rsidR="00152234" w14:paraId="038A2946" w14:textId="77777777" w:rsidTr="00E21378">
        <w:trPr>
          <w:cantSplit/>
          <w:trHeight w:val="181"/>
        </w:trPr>
        <w:tc>
          <w:tcPr>
            <w:tcW w:w="811" w:type="pct"/>
            <w:vAlign w:val="bottom"/>
          </w:tcPr>
          <w:p w14:paraId="038A293E" w14:textId="77777777" w:rsidR="00152234" w:rsidRDefault="00152234" w:rsidP="001A5D4A">
            <w:pPr>
              <w:pStyle w:val="Note-Refs"/>
            </w:pPr>
          </w:p>
        </w:tc>
        <w:tc>
          <w:tcPr>
            <w:tcW w:w="1758" w:type="pct"/>
            <w:vAlign w:val="bottom"/>
          </w:tcPr>
          <w:p w14:paraId="038A293F" w14:textId="2304B15E" w:rsidR="00152234" w:rsidRDefault="00152234" w:rsidP="001A5D4A">
            <w:pPr>
              <w:pStyle w:val="NotesTable-ItemBold"/>
            </w:pPr>
            <w:r>
              <w:t xml:space="preserve">At 31 December </w:t>
            </w:r>
            <w:r w:rsidR="006864EC">
              <w:t>2014</w:t>
            </w:r>
          </w:p>
        </w:tc>
        <w:tc>
          <w:tcPr>
            <w:tcW w:w="406" w:type="pct"/>
            <w:tcBorders>
              <w:top w:val="single" w:sz="4" w:space="0" w:color="auto"/>
              <w:left w:val="nil"/>
            </w:tcBorders>
          </w:tcPr>
          <w:p w14:paraId="038A2940" w14:textId="77777777" w:rsidR="00152234" w:rsidRDefault="00152234" w:rsidP="001A5D4A">
            <w:pPr>
              <w:pStyle w:val="NotesTable-CellPlain"/>
              <w:rPr>
                <w:lang w:val="en-GB"/>
              </w:rPr>
            </w:pPr>
            <w:r w:rsidRPr="00FB0C3A">
              <w:t>–</w:t>
            </w:r>
          </w:p>
        </w:tc>
        <w:tc>
          <w:tcPr>
            <w:tcW w:w="406" w:type="pct"/>
            <w:tcBorders>
              <w:top w:val="single" w:sz="4" w:space="0" w:color="auto"/>
            </w:tcBorders>
          </w:tcPr>
          <w:p w14:paraId="038A2941" w14:textId="77777777" w:rsidR="00152234" w:rsidRDefault="00152234" w:rsidP="001A5D4A">
            <w:pPr>
              <w:pStyle w:val="NotesTable-CellPlain"/>
              <w:rPr>
                <w:lang w:val="en-GB"/>
              </w:rPr>
            </w:pPr>
            <w:r w:rsidRPr="00FB0C3A">
              <w:t>–</w:t>
            </w:r>
          </w:p>
        </w:tc>
        <w:tc>
          <w:tcPr>
            <w:tcW w:w="406" w:type="pct"/>
            <w:tcBorders>
              <w:top w:val="single" w:sz="4" w:space="0" w:color="auto"/>
            </w:tcBorders>
          </w:tcPr>
          <w:p w14:paraId="038A2942" w14:textId="77777777" w:rsidR="00152234" w:rsidRDefault="00152234" w:rsidP="001A5D4A">
            <w:pPr>
              <w:pStyle w:val="NotesTable-CellPlain"/>
              <w:rPr>
                <w:lang w:val="en-GB"/>
              </w:rPr>
            </w:pPr>
            <w:r w:rsidRPr="00FB0C3A">
              <w:t>–</w:t>
            </w:r>
          </w:p>
        </w:tc>
        <w:tc>
          <w:tcPr>
            <w:tcW w:w="406" w:type="pct"/>
            <w:tcBorders>
              <w:top w:val="single" w:sz="4" w:space="0" w:color="auto"/>
            </w:tcBorders>
          </w:tcPr>
          <w:p w14:paraId="038A2943" w14:textId="77777777" w:rsidR="00152234" w:rsidRDefault="00152234" w:rsidP="001A5D4A">
            <w:pPr>
              <w:pStyle w:val="NotesTable-CellPlain"/>
              <w:rPr>
                <w:lang w:val="en-GB"/>
              </w:rPr>
            </w:pPr>
            <w:r w:rsidRPr="00FB0C3A">
              <w:t>–</w:t>
            </w:r>
          </w:p>
        </w:tc>
        <w:tc>
          <w:tcPr>
            <w:tcW w:w="406" w:type="pct"/>
            <w:tcBorders>
              <w:top w:val="single" w:sz="4" w:space="0" w:color="auto"/>
            </w:tcBorders>
          </w:tcPr>
          <w:p w14:paraId="038A2944" w14:textId="77777777" w:rsidR="00152234" w:rsidRDefault="00152234" w:rsidP="001A5D4A">
            <w:pPr>
              <w:pStyle w:val="NotesTable-CellPlain"/>
              <w:rPr>
                <w:lang w:val="en-GB"/>
              </w:rPr>
            </w:pPr>
            <w:r w:rsidRPr="00FB0C3A">
              <w:t>–</w:t>
            </w:r>
          </w:p>
        </w:tc>
        <w:tc>
          <w:tcPr>
            <w:tcW w:w="400" w:type="pct"/>
            <w:tcBorders>
              <w:top w:val="single" w:sz="4" w:space="0" w:color="auto"/>
            </w:tcBorders>
          </w:tcPr>
          <w:p w14:paraId="038A2945" w14:textId="77777777" w:rsidR="00152234" w:rsidRDefault="00152234" w:rsidP="001A5D4A">
            <w:pPr>
              <w:pStyle w:val="NotesTable-CellPlain"/>
              <w:rPr>
                <w:lang w:val="en-GB"/>
              </w:rPr>
            </w:pPr>
            <w:r w:rsidRPr="00FB0C3A">
              <w:t>–</w:t>
            </w:r>
          </w:p>
        </w:tc>
      </w:tr>
      <w:tr w:rsidR="002322B7" w14:paraId="038A294F" w14:textId="77777777" w:rsidTr="00E21378">
        <w:trPr>
          <w:cantSplit/>
          <w:trHeight w:val="181"/>
        </w:trPr>
        <w:tc>
          <w:tcPr>
            <w:tcW w:w="811" w:type="pct"/>
          </w:tcPr>
          <w:p w14:paraId="038A2947" w14:textId="77777777" w:rsidR="00023312" w:rsidRDefault="00023312" w:rsidP="001A5D4A">
            <w:pPr>
              <w:pStyle w:val="Note-Refs"/>
            </w:pPr>
          </w:p>
        </w:tc>
        <w:tc>
          <w:tcPr>
            <w:tcW w:w="1758" w:type="pct"/>
            <w:vAlign w:val="bottom"/>
          </w:tcPr>
          <w:p w14:paraId="038A2948" w14:textId="77777777" w:rsidR="00023312" w:rsidRPr="00411E4E" w:rsidRDefault="00023312" w:rsidP="001A5D4A">
            <w:pPr>
              <w:pStyle w:val="NotesTable-ItemPlain"/>
            </w:pPr>
          </w:p>
        </w:tc>
        <w:tc>
          <w:tcPr>
            <w:tcW w:w="406" w:type="pct"/>
          </w:tcPr>
          <w:p w14:paraId="038A2949" w14:textId="77777777" w:rsidR="00023312" w:rsidRDefault="00023312" w:rsidP="001A5D4A">
            <w:pPr>
              <w:pStyle w:val="NotesTable-CellPlain"/>
            </w:pPr>
          </w:p>
        </w:tc>
        <w:tc>
          <w:tcPr>
            <w:tcW w:w="406" w:type="pct"/>
          </w:tcPr>
          <w:p w14:paraId="038A294A" w14:textId="77777777" w:rsidR="00023312" w:rsidRDefault="00023312" w:rsidP="001A5D4A">
            <w:pPr>
              <w:pStyle w:val="NotesTable-CellPlain"/>
            </w:pPr>
          </w:p>
        </w:tc>
        <w:tc>
          <w:tcPr>
            <w:tcW w:w="406" w:type="pct"/>
          </w:tcPr>
          <w:p w14:paraId="038A294B" w14:textId="77777777" w:rsidR="00023312" w:rsidRDefault="00023312" w:rsidP="001A5D4A">
            <w:pPr>
              <w:pStyle w:val="NotesTable-CellPlain"/>
            </w:pPr>
          </w:p>
        </w:tc>
        <w:tc>
          <w:tcPr>
            <w:tcW w:w="406" w:type="pct"/>
          </w:tcPr>
          <w:p w14:paraId="038A294C" w14:textId="77777777" w:rsidR="00023312" w:rsidRDefault="00023312" w:rsidP="001A5D4A">
            <w:pPr>
              <w:pStyle w:val="NotesTable-CellPlain"/>
            </w:pPr>
          </w:p>
        </w:tc>
        <w:tc>
          <w:tcPr>
            <w:tcW w:w="406" w:type="pct"/>
          </w:tcPr>
          <w:p w14:paraId="038A294D" w14:textId="77777777" w:rsidR="00023312" w:rsidRDefault="00023312" w:rsidP="001A5D4A">
            <w:pPr>
              <w:pStyle w:val="NotesTable-CellPlain"/>
            </w:pPr>
          </w:p>
        </w:tc>
        <w:tc>
          <w:tcPr>
            <w:tcW w:w="400" w:type="pct"/>
          </w:tcPr>
          <w:p w14:paraId="038A294E" w14:textId="77777777" w:rsidR="00023312" w:rsidRDefault="00023312" w:rsidP="001A5D4A">
            <w:pPr>
              <w:pStyle w:val="NotesTable-CellPlain"/>
            </w:pPr>
          </w:p>
        </w:tc>
      </w:tr>
    </w:tbl>
    <w:p w14:paraId="7CD48FF5" w14:textId="77777777" w:rsidR="002E740E" w:rsidRDefault="002E740E">
      <w:pPr>
        <w:spacing w:after="0"/>
      </w:pPr>
      <w:r>
        <w:br w:type="page"/>
      </w:r>
    </w:p>
    <w:p w14:paraId="70EB5EF8" w14:textId="77777777" w:rsidR="00BA4658" w:rsidRDefault="00BA4658" w:rsidP="001A5D4A"/>
    <w:tbl>
      <w:tblPr>
        <w:tblW w:w="5000" w:type="pct"/>
        <w:tblCellMar>
          <w:left w:w="0" w:type="dxa"/>
          <w:right w:w="0" w:type="dxa"/>
        </w:tblCellMar>
        <w:tblLook w:val="0000" w:firstRow="0" w:lastRow="0" w:firstColumn="0" w:lastColumn="0" w:noHBand="0" w:noVBand="0"/>
      </w:tblPr>
      <w:tblGrid>
        <w:gridCol w:w="1663"/>
        <w:gridCol w:w="3603"/>
        <w:gridCol w:w="833"/>
        <w:gridCol w:w="833"/>
        <w:gridCol w:w="833"/>
        <w:gridCol w:w="833"/>
        <w:gridCol w:w="833"/>
        <w:gridCol w:w="829"/>
      </w:tblGrid>
      <w:tr w:rsidR="002E740E" w14:paraId="318CB4A2" w14:textId="77777777" w:rsidTr="002E740E">
        <w:trPr>
          <w:trHeight w:val="181"/>
        </w:trPr>
        <w:tc>
          <w:tcPr>
            <w:tcW w:w="5000" w:type="pct"/>
            <w:gridSpan w:val="8"/>
          </w:tcPr>
          <w:p w14:paraId="3151FE12" w14:textId="7F9232F2" w:rsidR="002E740E" w:rsidRDefault="002E740E" w:rsidP="002E740E">
            <w:pPr>
              <w:pStyle w:val="TOC3"/>
              <w:ind w:left="0"/>
            </w:pPr>
            <w:r>
              <w:t>Note 28. Deferred tax assets and liabilities (continued)</w:t>
            </w:r>
          </w:p>
        </w:tc>
      </w:tr>
      <w:tr w:rsidR="00BA4658" w14:paraId="19215819" w14:textId="77777777" w:rsidTr="002E740E">
        <w:trPr>
          <w:trHeight w:val="181"/>
        </w:trPr>
        <w:tc>
          <w:tcPr>
            <w:tcW w:w="808" w:type="pct"/>
          </w:tcPr>
          <w:p w14:paraId="1BEFCE9E" w14:textId="77777777" w:rsidR="00BA4658" w:rsidRPr="00B447AD" w:rsidRDefault="00BA4658" w:rsidP="001A5D4A">
            <w:pPr>
              <w:pStyle w:val="Note-Refs"/>
            </w:pPr>
            <w:r w:rsidRPr="007673CD">
              <w:t>AASB112.81g(ii)</w:t>
            </w:r>
          </w:p>
        </w:tc>
        <w:tc>
          <w:tcPr>
            <w:tcW w:w="1756" w:type="pct"/>
            <w:shd w:val="clear" w:color="auto" w:fill="auto"/>
            <w:vAlign w:val="bottom"/>
          </w:tcPr>
          <w:p w14:paraId="59D652F9" w14:textId="77777777" w:rsidR="00BA4658" w:rsidRDefault="00BA4658" w:rsidP="001A5D4A">
            <w:pPr>
              <w:pStyle w:val="NotesTable-ItemBold"/>
            </w:pPr>
            <w:r>
              <w:t xml:space="preserve">Movements </w:t>
            </w:r>
            <w:r>
              <w:noBreakHyphen/>
              <w:t xml:space="preserve"> Parent entity</w:t>
            </w:r>
          </w:p>
        </w:tc>
        <w:tc>
          <w:tcPr>
            <w:tcW w:w="406" w:type="pct"/>
            <w:shd w:val="clear" w:color="auto" w:fill="auto"/>
            <w:vAlign w:val="bottom"/>
          </w:tcPr>
          <w:p w14:paraId="0E39F08E" w14:textId="77777777" w:rsidR="00BA4658" w:rsidRDefault="00BA4658" w:rsidP="001A5D4A">
            <w:pPr>
              <w:pStyle w:val="NotesTable-HeadPlain"/>
              <w:rPr>
                <w:b/>
                <w:vertAlign w:val="superscript"/>
              </w:rPr>
            </w:pPr>
            <w:r>
              <w:t>[Specify]</w:t>
            </w:r>
            <w:r>
              <w:rPr>
                <w:vertAlign w:val="superscript"/>
              </w:rPr>
              <w:t xml:space="preserve"> 1</w:t>
            </w:r>
          </w:p>
        </w:tc>
        <w:tc>
          <w:tcPr>
            <w:tcW w:w="406" w:type="pct"/>
            <w:shd w:val="clear" w:color="auto" w:fill="auto"/>
            <w:vAlign w:val="bottom"/>
          </w:tcPr>
          <w:p w14:paraId="5FCE1FBF" w14:textId="77777777" w:rsidR="00BA4658" w:rsidRDefault="00BA4658" w:rsidP="001A5D4A">
            <w:pPr>
              <w:pStyle w:val="NotesTable-HeadPlain"/>
            </w:pPr>
            <w:r>
              <w:t>[Specify]</w:t>
            </w:r>
          </w:p>
        </w:tc>
        <w:tc>
          <w:tcPr>
            <w:tcW w:w="406" w:type="pct"/>
            <w:shd w:val="clear" w:color="auto" w:fill="auto"/>
            <w:vAlign w:val="bottom"/>
          </w:tcPr>
          <w:p w14:paraId="01A4CA04" w14:textId="77777777" w:rsidR="00BA4658" w:rsidRDefault="00BA4658" w:rsidP="001A5D4A">
            <w:pPr>
              <w:pStyle w:val="NotesTable-HeadPlain"/>
            </w:pPr>
            <w:r>
              <w:t>[Specify]</w:t>
            </w:r>
          </w:p>
        </w:tc>
        <w:tc>
          <w:tcPr>
            <w:tcW w:w="406" w:type="pct"/>
            <w:shd w:val="clear" w:color="auto" w:fill="auto"/>
            <w:vAlign w:val="bottom"/>
          </w:tcPr>
          <w:p w14:paraId="29E6B6F3" w14:textId="77777777" w:rsidR="00BA4658" w:rsidRDefault="00BA4658" w:rsidP="001A5D4A">
            <w:pPr>
              <w:pStyle w:val="NotesTable-HeadPlain"/>
            </w:pPr>
            <w:r>
              <w:t>[Specify]</w:t>
            </w:r>
          </w:p>
        </w:tc>
        <w:tc>
          <w:tcPr>
            <w:tcW w:w="406" w:type="pct"/>
            <w:shd w:val="clear" w:color="auto" w:fill="auto"/>
            <w:vAlign w:val="bottom"/>
          </w:tcPr>
          <w:p w14:paraId="1305444D" w14:textId="77777777" w:rsidR="00BA4658" w:rsidRDefault="00BA4658" w:rsidP="001A5D4A">
            <w:pPr>
              <w:pStyle w:val="NotesTable-HeadPlain"/>
            </w:pPr>
            <w:r>
              <w:t>[Specify]</w:t>
            </w:r>
          </w:p>
        </w:tc>
        <w:tc>
          <w:tcPr>
            <w:tcW w:w="405" w:type="pct"/>
            <w:shd w:val="clear" w:color="auto" w:fill="auto"/>
            <w:vAlign w:val="bottom"/>
          </w:tcPr>
          <w:p w14:paraId="4C19E98B" w14:textId="77777777" w:rsidR="00BA4658" w:rsidRDefault="00BA4658" w:rsidP="001A5D4A">
            <w:pPr>
              <w:pStyle w:val="NotesTable-HeadPlain"/>
            </w:pPr>
            <w:r>
              <w:t>Total</w:t>
            </w:r>
          </w:p>
        </w:tc>
      </w:tr>
      <w:tr w:rsidR="00BA4658" w14:paraId="2944C0C2" w14:textId="77777777" w:rsidTr="002E740E">
        <w:trPr>
          <w:trHeight w:val="181"/>
        </w:trPr>
        <w:tc>
          <w:tcPr>
            <w:tcW w:w="808" w:type="pct"/>
          </w:tcPr>
          <w:p w14:paraId="2F3D63BE" w14:textId="77777777" w:rsidR="00BA4658" w:rsidRPr="007673CD" w:rsidRDefault="00BA4658" w:rsidP="001A5D4A">
            <w:pPr>
              <w:pStyle w:val="Note-Refs"/>
            </w:pPr>
          </w:p>
        </w:tc>
        <w:tc>
          <w:tcPr>
            <w:tcW w:w="1756" w:type="pct"/>
            <w:shd w:val="clear" w:color="auto" w:fill="auto"/>
            <w:vAlign w:val="bottom"/>
          </w:tcPr>
          <w:p w14:paraId="61282D63" w14:textId="77777777" w:rsidR="00BA4658" w:rsidRDefault="00BA4658" w:rsidP="001A5D4A">
            <w:pPr>
              <w:pStyle w:val="NotesTable-ItemPlain"/>
            </w:pPr>
          </w:p>
        </w:tc>
        <w:tc>
          <w:tcPr>
            <w:tcW w:w="406" w:type="pct"/>
            <w:shd w:val="clear" w:color="auto" w:fill="auto"/>
            <w:vAlign w:val="bottom"/>
          </w:tcPr>
          <w:p w14:paraId="5D622619" w14:textId="77777777" w:rsidR="00BA4658" w:rsidRDefault="00BA4658" w:rsidP="001A5D4A">
            <w:pPr>
              <w:pStyle w:val="NotesTable-HeadPlain"/>
              <w:rPr>
                <w:b/>
              </w:rPr>
            </w:pPr>
            <w:r>
              <w:t>$'000</w:t>
            </w:r>
          </w:p>
        </w:tc>
        <w:tc>
          <w:tcPr>
            <w:tcW w:w="406" w:type="pct"/>
            <w:shd w:val="clear" w:color="auto" w:fill="auto"/>
            <w:vAlign w:val="bottom"/>
          </w:tcPr>
          <w:p w14:paraId="195C85F2" w14:textId="77777777" w:rsidR="00BA4658" w:rsidRDefault="00BA4658" w:rsidP="001A5D4A">
            <w:pPr>
              <w:pStyle w:val="NotesTable-HeadPlain"/>
              <w:rPr>
                <w:b/>
              </w:rPr>
            </w:pPr>
            <w:r>
              <w:t>$'000</w:t>
            </w:r>
          </w:p>
        </w:tc>
        <w:tc>
          <w:tcPr>
            <w:tcW w:w="406" w:type="pct"/>
            <w:shd w:val="clear" w:color="auto" w:fill="auto"/>
            <w:vAlign w:val="bottom"/>
          </w:tcPr>
          <w:p w14:paraId="0D8B47DE" w14:textId="77777777" w:rsidR="00BA4658" w:rsidRDefault="00BA4658" w:rsidP="001A5D4A">
            <w:pPr>
              <w:pStyle w:val="NotesTable-HeadPlain"/>
              <w:rPr>
                <w:b/>
              </w:rPr>
            </w:pPr>
            <w:r>
              <w:t>$'000</w:t>
            </w:r>
          </w:p>
        </w:tc>
        <w:tc>
          <w:tcPr>
            <w:tcW w:w="406" w:type="pct"/>
            <w:shd w:val="clear" w:color="auto" w:fill="auto"/>
            <w:vAlign w:val="bottom"/>
          </w:tcPr>
          <w:p w14:paraId="3350D6E8" w14:textId="77777777" w:rsidR="00BA4658" w:rsidRDefault="00BA4658" w:rsidP="001A5D4A">
            <w:pPr>
              <w:pStyle w:val="NotesTable-HeadPlain"/>
              <w:rPr>
                <w:b/>
              </w:rPr>
            </w:pPr>
            <w:r>
              <w:t>$'000</w:t>
            </w:r>
          </w:p>
        </w:tc>
        <w:tc>
          <w:tcPr>
            <w:tcW w:w="406" w:type="pct"/>
            <w:shd w:val="clear" w:color="auto" w:fill="auto"/>
            <w:vAlign w:val="bottom"/>
          </w:tcPr>
          <w:p w14:paraId="3F515228" w14:textId="77777777" w:rsidR="00BA4658" w:rsidRDefault="00BA4658" w:rsidP="001A5D4A">
            <w:pPr>
              <w:pStyle w:val="NotesTable-HeadPlain"/>
              <w:rPr>
                <w:b/>
              </w:rPr>
            </w:pPr>
            <w:r>
              <w:t>$'000</w:t>
            </w:r>
          </w:p>
        </w:tc>
        <w:tc>
          <w:tcPr>
            <w:tcW w:w="405" w:type="pct"/>
            <w:shd w:val="clear" w:color="auto" w:fill="auto"/>
            <w:vAlign w:val="bottom"/>
          </w:tcPr>
          <w:p w14:paraId="2DC99423" w14:textId="77777777" w:rsidR="00BA4658" w:rsidRDefault="00BA4658" w:rsidP="001A5D4A">
            <w:pPr>
              <w:pStyle w:val="NotesTable-HeadPlain"/>
              <w:rPr>
                <w:b/>
              </w:rPr>
            </w:pPr>
            <w:r>
              <w:t>$'000</w:t>
            </w:r>
          </w:p>
        </w:tc>
      </w:tr>
      <w:tr w:rsidR="00BA4658" w14:paraId="42C301A2" w14:textId="77777777" w:rsidTr="002E740E">
        <w:trPr>
          <w:trHeight w:val="181"/>
        </w:trPr>
        <w:tc>
          <w:tcPr>
            <w:tcW w:w="808" w:type="pct"/>
          </w:tcPr>
          <w:p w14:paraId="4DA3953D" w14:textId="77777777" w:rsidR="00BA4658" w:rsidRPr="007673CD" w:rsidRDefault="00BA4658" w:rsidP="001A5D4A">
            <w:pPr>
              <w:pStyle w:val="Note-Refs"/>
            </w:pPr>
          </w:p>
        </w:tc>
        <w:tc>
          <w:tcPr>
            <w:tcW w:w="1756" w:type="pct"/>
            <w:vAlign w:val="bottom"/>
          </w:tcPr>
          <w:p w14:paraId="17A118EF" w14:textId="77777777" w:rsidR="00BA4658" w:rsidRDefault="00BA4658" w:rsidP="001A5D4A">
            <w:pPr>
              <w:pStyle w:val="NotesTable-ItemBold"/>
            </w:pPr>
            <w:r>
              <w:t>At 1 January 2013</w:t>
            </w:r>
          </w:p>
        </w:tc>
        <w:tc>
          <w:tcPr>
            <w:tcW w:w="406" w:type="pct"/>
          </w:tcPr>
          <w:p w14:paraId="1A463F26" w14:textId="77777777" w:rsidR="00BA4658" w:rsidRDefault="00BA4658" w:rsidP="001A5D4A">
            <w:pPr>
              <w:pStyle w:val="NotesTable-CellPlain"/>
              <w:rPr>
                <w:lang w:val="en-GB"/>
              </w:rPr>
            </w:pPr>
            <w:r w:rsidRPr="001A3579">
              <w:t>–</w:t>
            </w:r>
          </w:p>
        </w:tc>
        <w:tc>
          <w:tcPr>
            <w:tcW w:w="406" w:type="pct"/>
          </w:tcPr>
          <w:p w14:paraId="13F162BC" w14:textId="77777777" w:rsidR="00BA4658" w:rsidRDefault="00BA4658" w:rsidP="001A5D4A">
            <w:pPr>
              <w:pStyle w:val="NotesTable-CellPlain"/>
              <w:rPr>
                <w:lang w:val="en-GB"/>
              </w:rPr>
            </w:pPr>
            <w:r w:rsidRPr="001A3579">
              <w:t>–</w:t>
            </w:r>
          </w:p>
        </w:tc>
        <w:tc>
          <w:tcPr>
            <w:tcW w:w="406" w:type="pct"/>
          </w:tcPr>
          <w:p w14:paraId="2E65762D" w14:textId="77777777" w:rsidR="00BA4658" w:rsidRDefault="00BA4658" w:rsidP="001A5D4A">
            <w:pPr>
              <w:pStyle w:val="NotesTable-CellPlain"/>
              <w:rPr>
                <w:lang w:val="en-GB"/>
              </w:rPr>
            </w:pPr>
            <w:r w:rsidRPr="001A3579">
              <w:t>–</w:t>
            </w:r>
          </w:p>
        </w:tc>
        <w:tc>
          <w:tcPr>
            <w:tcW w:w="406" w:type="pct"/>
          </w:tcPr>
          <w:p w14:paraId="057378D0" w14:textId="77777777" w:rsidR="00BA4658" w:rsidRDefault="00BA4658" w:rsidP="001A5D4A">
            <w:pPr>
              <w:pStyle w:val="NotesTable-CellPlain"/>
              <w:rPr>
                <w:lang w:val="en-GB"/>
              </w:rPr>
            </w:pPr>
            <w:r w:rsidRPr="001A3579">
              <w:t>–</w:t>
            </w:r>
          </w:p>
        </w:tc>
        <w:tc>
          <w:tcPr>
            <w:tcW w:w="406" w:type="pct"/>
          </w:tcPr>
          <w:p w14:paraId="39EE7C95" w14:textId="77777777" w:rsidR="00BA4658" w:rsidRDefault="00BA4658" w:rsidP="001A5D4A">
            <w:pPr>
              <w:pStyle w:val="NotesTable-CellPlain"/>
              <w:rPr>
                <w:lang w:val="en-GB"/>
              </w:rPr>
            </w:pPr>
            <w:r w:rsidRPr="001A3579">
              <w:t>–</w:t>
            </w:r>
          </w:p>
        </w:tc>
        <w:tc>
          <w:tcPr>
            <w:tcW w:w="405" w:type="pct"/>
          </w:tcPr>
          <w:p w14:paraId="0D2E42BD" w14:textId="77777777" w:rsidR="00BA4658" w:rsidRDefault="00BA4658" w:rsidP="001A5D4A">
            <w:pPr>
              <w:pStyle w:val="NotesTable-CellPlain"/>
              <w:rPr>
                <w:lang w:val="en-GB"/>
              </w:rPr>
            </w:pPr>
            <w:r w:rsidRPr="001A3579">
              <w:t>–</w:t>
            </w:r>
          </w:p>
        </w:tc>
      </w:tr>
      <w:tr w:rsidR="00BA4658" w:rsidRPr="001A3579" w14:paraId="50B6C724" w14:textId="77777777" w:rsidTr="002E740E">
        <w:trPr>
          <w:trHeight w:val="181"/>
        </w:trPr>
        <w:tc>
          <w:tcPr>
            <w:tcW w:w="808" w:type="pct"/>
          </w:tcPr>
          <w:p w14:paraId="4E228DCD" w14:textId="77777777" w:rsidR="00BA4658" w:rsidRPr="007673CD" w:rsidRDefault="00BA4658" w:rsidP="001A5D4A">
            <w:pPr>
              <w:pStyle w:val="Note-Refs"/>
            </w:pPr>
          </w:p>
        </w:tc>
        <w:tc>
          <w:tcPr>
            <w:tcW w:w="1756" w:type="pct"/>
            <w:vAlign w:val="bottom"/>
          </w:tcPr>
          <w:p w14:paraId="1EA6C52B" w14:textId="77777777" w:rsidR="00BA4658" w:rsidRDefault="00BA4658" w:rsidP="001A5D4A">
            <w:pPr>
              <w:pStyle w:val="NotesTable-ItemPlain"/>
            </w:pPr>
          </w:p>
        </w:tc>
        <w:tc>
          <w:tcPr>
            <w:tcW w:w="406" w:type="pct"/>
          </w:tcPr>
          <w:p w14:paraId="7EE6D856" w14:textId="77777777" w:rsidR="00BA4658" w:rsidRPr="001A3579" w:rsidRDefault="00BA4658" w:rsidP="001A5D4A">
            <w:pPr>
              <w:pStyle w:val="NotesTable-CellPlain"/>
            </w:pPr>
          </w:p>
        </w:tc>
        <w:tc>
          <w:tcPr>
            <w:tcW w:w="406" w:type="pct"/>
          </w:tcPr>
          <w:p w14:paraId="790653A6" w14:textId="77777777" w:rsidR="00BA4658" w:rsidRPr="001A3579" w:rsidRDefault="00BA4658" w:rsidP="001A5D4A">
            <w:pPr>
              <w:pStyle w:val="NotesTable-CellPlain"/>
            </w:pPr>
          </w:p>
        </w:tc>
        <w:tc>
          <w:tcPr>
            <w:tcW w:w="406" w:type="pct"/>
          </w:tcPr>
          <w:p w14:paraId="02C4039D" w14:textId="77777777" w:rsidR="00BA4658" w:rsidRPr="001A3579" w:rsidRDefault="00BA4658" w:rsidP="001A5D4A">
            <w:pPr>
              <w:pStyle w:val="NotesTable-CellPlain"/>
            </w:pPr>
          </w:p>
        </w:tc>
        <w:tc>
          <w:tcPr>
            <w:tcW w:w="406" w:type="pct"/>
          </w:tcPr>
          <w:p w14:paraId="34CB5EB3" w14:textId="77777777" w:rsidR="00BA4658" w:rsidRPr="001A3579" w:rsidRDefault="00BA4658" w:rsidP="001A5D4A">
            <w:pPr>
              <w:pStyle w:val="NotesTable-CellPlain"/>
            </w:pPr>
          </w:p>
        </w:tc>
        <w:tc>
          <w:tcPr>
            <w:tcW w:w="406" w:type="pct"/>
          </w:tcPr>
          <w:p w14:paraId="78FCC980" w14:textId="77777777" w:rsidR="00BA4658" w:rsidRPr="001A3579" w:rsidRDefault="00BA4658" w:rsidP="001A5D4A">
            <w:pPr>
              <w:pStyle w:val="NotesTable-CellPlain"/>
            </w:pPr>
          </w:p>
        </w:tc>
        <w:tc>
          <w:tcPr>
            <w:tcW w:w="405" w:type="pct"/>
          </w:tcPr>
          <w:p w14:paraId="14CB277E" w14:textId="77777777" w:rsidR="00BA4658" w:rsidRPr="001A3579" w:rsidRDefault="00BA4658" w:rsidP="001A5D4A">
            <w:pPr>
              <w:pStyle w:val="NotesTable-CellPlain"/>
            </w:pPr>
          </w:p>
        </w:tc>
      </w:tr>
      <w:tr w:rsidR="00BA4658" w14:paraId="2F3DAFAA" w14:textId="77777777" w:rsidTr="002E740E">
        <w:trPr>
          <w:trHeight w:val="181"/>
        </w:trPr>
        <w:tc>
          <w:tcPr>
            <w:tcW w:w="808" w:type="pct"/>
          </w:tcPr>
          <w:p w14:paraId="0F029D07" w14:textId="77777777" w:rsidR="00BA4658" w:rsidRPr="00B447AD" w:rsidRDefault="00BA4658" w:rsidP="001A5D4A">
            <w:pPr>
              <w:pStyle w:val="Note-Refs"/>
              <w:rPr>
                <w:b/>
              </w:rPr>
            </w:pPr>
            <w:r w:rsidRPr="007673CD">
              <w:t>AASB112.81g(ii)</w:t>
            </w:r>
          </w:p>
        </w:tc>
        <w:tc>
          <w:tcPr>
            <w:tcW w:w="1756" w:type="pct"/>
            <w:vAlign w:val="bottom"/>
          </w:tcPr>
          <w:p w14:paraId="724ECD10" w14:textId="77777777" w:rsidR="00BA4658" w:rsidRDefault="00BA4658" w:rsidP="001A5D4A">
            <w:pPr>
              <w:pStyle w:val="NotesTable-ItemPlain"/>
              <w:rPr>
                <w:b/>
              </w:rPr>
            </w:pPr>
            <w:r>
              <w:t>Charged/(credited) to the income statement</w:t>
            </w:r>
          </w:p>
        </w:tc>
        <w:tc>
          <w:tcPr>
            <w:tcW w:w="406" w:type="pct"/>
          </w:tcPr>
          <w:p w14:paraId="541DCF81" w14:textId="77777777" w:rsidR="00BA4658" w:rsidRDefault="00BA4658" w:rsidP="001A5D4A">
            <w:pPr>
              <w:pStyle w:val="NotesTable-CellPlain"/>
              <w:rPr>
                <w:lang w:val="en-GB"/>
              </w:rPr>
            </w:pPr>
            <w:r w:rsidRPr="001A3579">
              <w:t>–</w:t>
            </w:r>
          </w:p>
        </w:tc>
        <w:tc>
          <w:tcPr>
            <w:tcW w:w="406" w:type="pct"/>
          </w:tcPr>
          <w:p w14:paraId="16AE68E6" w14:textId="77777777" w:rsidR="00BA4658" w:rsidRDefault="00BA4658" w:rsidP="001A5D4A">
            <w:pPr>
              <w:pStyle w:val="NotesTable-CellPlain"/>
              <w:rPr>
                <w:lang w:val="en-GB"/>
              </w:rPr>
            </w:pPr>
            <w:r w:rsidRPr="001A3579">
              <w:t>–</w:t>
            </w:r>
          </w:p>
        </w:tc>
        <w:tc>
          <w:tcPr>
            <w:tcW w:w="406" w:type="pct"/>
          </w:tcPr>
          <w:p w14:paraId="3BFAFBA6" w14:textId="77777777" w:rsidR="00BA4658" w:rsidRDefault="00BA4658" w:rsidP="001A5D4A">
            <w:pPr>
              <w:pStyle w:val="NotesTable-CellPlain"/>
              <w:rPr>
                <w:lang w:val="en-GB"/>
              </w:rPr>
            </w:pPr>
            <w:r w:rsidRPr="001A3579">
              <w:t>–</w:t>
            </w:r>
          </w:p>
        </w:tc>
        <w:tc>
          <w:tcPr>
            <w:tcW w:w="406" w:type="pct"/>
          </w:tcPr>
          <w:p w14:paraId="2694DCB5" w14:textId="77777777" w:rsidR="00BA4658" w:rsidRDefault="00BA4658" w:rsidP="001A5D4A">
            <w:pPr>
              <w:pStyle w:val="NotesTable-CellPlain"/>
              <w:rPr>
                <w:lang w:val="en-GB"/>
              </w:rPr>
            </w:pPr>
            <w:r w:rsidRPr="001A3579">
              <w:t>–</w:t>
            </w:r>
          </w:p>
        </w:tc>
        <w:tc>
          <w:tcPr>
            <w:tcW w:w="406" w:type="pct"/>
          </w:tcPr>
          <w:p w14:paraId="37E3D795" w14:textId="77777777" w:rsidR="00BA4658" w:rsidRDefault="00BA4658" w:rsidP="001A5D4A">
            <w:pPr>
              <w:pStyle w:val="NotesTable-CellPlain"/>
              <w:rPr>
                <w:lang w:val="en-GB"/>
              </w:rPr>
            </w:pPr>
            <w:r w:rsidRPr="001A3579">
              <w:t>–</w:t>
            </w:r>
          </w:p>
        </w:tc>
        <w:tc>
          <w:tcPr>
            <w:tcW w:w="405" w:type="pct"/>
          </w:tcPr>
          <w:p w14:paraId="3AD24213" w14:textId="77777777" w:rsidR="00BA4658" w:rsidRDefault="00BA4658" w:rsidP="001A5D4A">
            <w:pPr>
              <w:pStyle w:val="NotesTable-CellPlain"/>
              <w:rPr>
                <w:lang w:val="en-GB"/>
              </w:rPr>
            </w:pPr>
            <w:r w:rsidRPr="001A3579">
              <w:t>–</w:t>
            </w:r>
          </w:p>
        </w:tc>
      </w:tr>
      <w:tr w:rsidR="00BA4658" w14:paraId="1CF2A3FE" w14:textId="77777777" w:rsidTr="002E740E">
        <w:trPr>
          <w:trHeight w:val="181"/>
        </w:trPr>
        <w:tc>
          <w:tcPr>
            <w:tcW w:w="808" w:type="pct"/>
          </w:tcPr>
          <w:p w14:paraId="6C88E1A6" w14:textId="77777777" w:rsidR="00BA4658" w:rsidRPr="00B447AD" w:rsidRDefault="00BA4658" w:rsidP="001A5D4A">
            <w:pPr>
              <w:pStyle w:val="Note-Refs"/>
              <w:rPr>
                <w:b/>
              </w:rPr>
            </w:pPr>
            <w:r w:rsidRPr="007673CD">
              <w:t>AASB112.81a</w:t>
            </w:r>
          </w:p>
        </w:tc>
        <w:tc>
          <w:tcPr>
            <w:tcW w:w="1756" w:type="pct"/>
            <w:vAlign w:val="bottom"/>
          </w:tcPr>
          <w:p w14:paraId="5A4595CA" w14:textId="77777777" w:rsidR="00BA4658" w:rsidRDefault="00BA4658" w:rsidP="001A5D4A">
            <w:pPr>
              <w:pStyle w:val="NotesTable-ItemPlain"/>
              <w:rPr>
                <w:b/>
              </w:rPr>
            </w:pPr>
            <w:r>
              <w:t>Charged directly to equity</w:t>
            </w:r>
          </w:p>
        </w:tc>
        <w:tc>
          <w:tcPr>
            <w:tcW w:w="406" w:type="pct"/>
            <w:tcBorders>
              <w:bottom w:val="single" w:sz="4" w:space="0" w:color="auto"/>
            </w:tcBorders>
          </w:tcPr>
          <w:p w14:paraId="3A904338"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4B6F9735"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13089A42"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4C128CD3"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7EB152FD" w14:textId="77777777" w:rsidR="00BA4658" w:rsidRDefault="00BA4658" w:rsidP="001A5D4A">
            <w:pPr>
              <w:pStyle w:val="NotesTable-CellPlain"/>
              <w:rPr>
                <w:lang w:val="en-GB"/>
              </w:rPr>
            </w:pPr>
            <w:r w:rsidRPr="001A3579">
              <w:t>–</w:t>
            </w:r>
          </w:p>
        </w:tc>
        <w:tc>
          <w:tcPr>
            <w:tcW w:w="405" w:type="pct"/>
            <w:tcBorders>
              <w:bottom w:val="single" w:sz="4" w:space="0" w:color="auto"/>
            </w:tcBorders>
          </w:tcPr>
          <w:p w14:paraId="73C9BA07" w14:textId="77777777" w:rsidR="00BA4658" w:rsidRDefault="00BA4658" w:rsidP="001A5D4A">
            <w:pPr>
              <w:pStyle w:val="NotesTable-CellPlain"/>
              <w:rPr>
                <w:lang w:val="en-GB"/>
              </w:rPr>
            </w:pPr>
            <w:r w:rsidRPr="001A3579">
              <w:t>–</w:t>
            </w:r>
          </w:p>
        </w:tc>
      </w:tr>
      <w:tr w:rsidR="00BA4658" w14:paraId="20A5554C" w14:textId="77777777" w:rsidTr="002E740E">
        <w:trPr>
          <w:trHeight w:val="181"/>
        </w:trPr>
        <w:tc>
          <w:tcPr>
            <w:tcW w:w="808" w:type="pct"/>
            <w:vAlign w:val="bottom"/>
          </w:tcPr>
          <w:p w14:paraId="238A0E15" w14:textId="77777777" w:rsidR="00BA4658" w:rsidRPr="007673CD" w:rsidRDefault="00BA4658" w:rsidP="001A5D4A">
            <w:pPr>
              <w:pStyle w:val="Note-Refs"/>
            </w:pPr>
          </w:p>
        </w:tc>
        <w:tc>
          <w:tcPr>
            <w:tcW w:w="1756" w:type="pct"/>
            <w:vAlign w:val="bottom"/>
          </w:tcPr>
          <w:p w14:paraId="024B080F" w14:textId="77777777" w:rsidR="00BA4658" w:rsidRDefault="00BA4658" w:rsidP="001A5D4A">
            <w:pPr>
              <w:pStyle w:val="NotesTable-ItemBold"/>
            </w:pPr>
            <w:r>
              <w:t>At 31 December 2013</w:t>
            </w:r>
          </w:p>
        </w:tc>
        <w:tc>
          <w:tcPr>
            <w:tcW w:w="406" w:type="pct"/>
            <w:tcBorders>
              <w:top w:val="single" w:sz="4" w:space="0" w:color="auto"/>
              <w:left w:val="nil"/>
            </w:tcBorders>
          </w:tcPr>
          <w:p w14:paraId="1380E56B"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52EDF5AA"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0DF669A8"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413FFEEA"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4F232947" w14:textId="77777777" w:rsidR="00BA4658" w:rsidRDefault="00BA4658" w:rsidP="001A5D4A">
            <w:pPr>
              <w:pStyle w:val="NotesTable-CellPlain"/>
              <w:rPr>
                <w:lang w:val="en-GB"/>
              </w:rPr>
            </w:pPr>
            <w:r w:rsidRPr="001A3579">
              <w:t>–</w:t>
            </w:r>
          </w:p>
        </w:tc>
        <w:tc>
          <w:tcPr>
            <w:tcW w:w="405" w:type="pct"/>
            <w:tcBorders>
              <w:top w:val="single" w:sz="4" w:space="0" w:color="auto"/>
            </w:tcBorders>
          </w:tcPr>
          <w:p w14:paraId="12F37392" w14:textId="77777777" w:rsidR="00BA4658" w:rsidRDefault="00BA4658" w:rsidP="001A5D4A">
            <w:pPr>
              <w:pStyle w:val="NotesTable-CellPlain"/>
              <w:rPr>
                <w:lang w:val="en-GB"/>
              </w:rPr>
            </w:pPr>
            <w:r w:rsidRPr="001A3579">
              <w:t>–</w:t>
            </w:r>
          </w:p>
        </w:tc>
      </w:tr>
      <w:tr w:rsidR="00BA4658" w:rsidRPr="001A3579" w14:paraId="753D54F2" w14:textId="77777777" w:rsidTr="002E740E">
        <w:trPr>
          <w:trHeight w:val="181"/>
        </w:trPr>
        <w:tc>
          <w:tcPr>
            <w:tcW w:w="808" w:type="pct"/>
            <w:vAlign w:val="bottom"/>
          </w:tcPr>
          <w:p w14:paraId="01C6135D" w14:textId="77777777" w:rsidR="00BA4658" w:rsidRPr="007673CD" w:rsidRDefault="00BA4658" w:rsidP="001A5D4A">
            <w:pPr>
              <w:pStyle w:val="Note-Refs"/>
            </w:pPr>
          </w:p>
        </w:tc>
        <w:tc>
          <w:tcPr>
            <w:tcW w:w="1756" w:type="pct"/>
            <w:vAlign w:val="bottom"/>
          </w:tcPr>
          <w:p w14:paraId="26E18697" w14:textId="77777777" w:rsidR="00BA4658" w:rsidRDefault="00BA4658" w:rsidP="001A5D4A">
            <w:pPr>
              <w:pStyle w:val="NotesTable-ItemPlain"/>
            </w:pPr>
          </w:p>
        </w:tc>
        <w:tc>
          <w:tcPr>
            <w:tcW w:w="406" w:type="pct"/>
            <w:tcBorders>
              <w:left w:val="nil"/>
            </w:tcBorders>
          </w:tcPr>
          <w:p w14:paraId="34F5245A" w14:textId="77777777" w:rsidR="00BA4658" w:rsidRPr="001A3579" w:rsidRDefault="00BA4658" w:rsidP="001A5D4A">
            <w:pPr>
              <w:pStyle w:val="NotesTable-CellPlain"/>
            </w:pPr>
          </w:p>
        </w:tc>
        <w:tc>
          <w:tcPr>
            <w:tcW w:w="406" w:type="pct"/>
          </w:tcPr>
          <w:p w14:paraId="3B8064D7" w14:textId="77777777" w:rsidR="00BA4658" w:rsidRPr="001A3579" w:rsidRDefault="00BA4658" w:rsidP="001A5D4A">
            <w:pPr>
              <w:pStyle w:val="NotesTable-CellPlain"/>
            </w:pPr>
          </w:p>
        </w:tc>
        <w:tc>
          <w:tcPr>
            <w:tcW w:w="406" w:type="pct"/>
          </w:tcPr>
          <w:p w14:paraId="47A96545" w14:textId="77777777" w:rsidR="00BA4658" w:rsidRPr="001A3579" w:rsidRDefault="00BA4658" w:rsidP="001A5D4A">
            <w:pPr>
              <w:pStyle w:val="NotesTable-CellPlain"/>
            </w:pPr>
          </w:p>
        </w:tc>
        <w:tc>
          <w:tcPr>
            <w:tcW w:w="406" w:type="pct"/>
          </w:tcPr>
          <w:p w14:paraId="489EE7C0" w14:textId="77777777" w:rsidR="00BA4658" w:rsidRPr="001A3579" w:rsidRDefault="00BA4658" w:rsidP="001A5D4A">
            <w:pPr>
              <w:pStyle w:val="NotesTable-CellPlain"/>
            </w:pPr>
          </w:p>
        </w:tc>
        <w:tc>
          <w:tcPr>
            <w:tcW w:w="406" w:type="pct"/>
          </w:tcPr>
          <w:p w14:paraId="132D88DE" w14:textId="77777777" w:rsidR="00BA4658" w:rsidRPr="001A3579" w:rsidRDefault="00BA4658" w:rsidP="001A5D4A">
            <w:pPr>
              <w:pStyle w:val="NotesTable-CellPlain"/>
            </w:pPr>
          </w:p>
        </w:tc>
        <w:tc>
          <w:tcPr>
            <w:tcW w:w="405" w:type="pct"/>
          </w:tcPr>
          <w:p w14:paraId="54E87780" w14:textId="77777777" w:rsidR="00BA4658" w:rsidRPr="001A3579" w:rsidRDefault="00BA4658" w:rsidP="001A5D4A">
            <w:pPr>
              <w:pStyle w:val="NotesTable-CellPlain"/>
            </w:pPr>
          </w:p>
        </w:tc>
      </w:tr>
      <w:tr w:rsidR="00BA4658" w14:paraId="47D53ECD" w14:textId="77777777" w:rsidTr="002E740E">
        <w:trPr>
          <w:trHeight w:val="181"/>
        </w:trPr>
        <w:tc>
          <w:tcPr>
            <w:tcW w:w="808" w:type="pct"/>
            <w:vAlign w:val="bottom"/>
          </w:tcPr>
          <w:p w14:paraId="4CF0B3E3" w14:textId="77777777" w:rsidR="00BA4658" w:rsidRPr="00B447AD" w:rsidRDefault="00BA4658" w:rsidP="001A5D4A">
            <w:pPr>
              <w:pStyle w:val="Note-Refs"/>
              <w:rPr>
                <w:b/>
              </w:rPr>
            </w:pPr>
            <w:r w:rsidRPr="007673CD">
              <w:t>AASB112.81g(ii)</w:t>
            </w:r>
          </w:p>
        </w:tc>
        <w:tc>
          <w:tcPr>
            <w:tcW w:w="1756" w:type="pct"/>
            <w:vAlign w:val="bottom"/>
          </w:tcPr>
          <w:p w14:paraId="4931DB90" w14:textId="77777777" w:rsidR="00BA4658" w:rsidRDefault="00BA4658" w:rsidP="001A5D4A">
            <w:pPr>
              <w:pStyle w:val="NotesTable-ItemPlain"/>
              <w:rPr>
                <w:b/>
              </w:rPr>
            </w:pPr>
            <w:r>
              <w:t>Charged/(credited) to the income statement</w:t>
            </w:r>
          </w:p>
        </w:tc>
        <w:tc>
          <w:tcPr>
            <w:tcW w:w="406" w:type="pct"/>
            <w:tcBorders>
              <w:left w:val="nil"/>
            </w:tcBorders>
          </w:tcPr>
          <w:p w14:paraId="18C103D3" w14:textId="77777777" w:rsidR="00BA4658" w:rsidRDefault="00BA4658" w:rsidP="001A5D4A">
            <w:pPr>
              <w:pStyle w:val="NotesTable-CellPlain"/>
              <w:rPr>
                <w:lang w:val="en-GB"/>
              </w:rPr>
            </w:pPr>
            <w:r w:rsidRPr="001A3579">
              <w:t>–</w:t>
            </w:r>
          </w:p>
        </w:tc>
        <w:tc>
          <w:tcPr>
            <w:tcW w:w="406" w:type="pct"/>
          </w:tcPr>
          <w:p w14:paraId="3FBC6755" w14:textId="77777777" w:rsidR="00BA4658" w:rsidRDefault="00BA4658" w:rsidP="001A5D4A">
            <w:pPr>
              <w:pStyle w:val="NotesTable-CellPlain"/>
              <w:rPr>
                <w:lang w:val="en-GB"/>
              </w:rPr>
            </w:pPr>
            <w:r w:rsidRPr="001A3579">
              <w:t>–</w:t>
            </w:r>
          </w:p>
        </w:tc>
        <w:tc>
          <w:tcPr>
            <w:tcW w:w="406" w:type="pct"/>
          </w:tcPr>
          <w:p w14:paraId="39D4EBC4" w14:textId="77777777" w:rsidR="00BA4658" w:rsidRDefault="00BA4658" w:rsidP="001A5D4A">
            <w:pPr>
              <w:pStyle w:val="NotesTable-CellPlain"/>
              <w:rPr>
                <w:lang w:val="en-GB"/>
              </w:rPr>
            </w:pPr>
            <w:r w:rsidRPr="001A3579">
              <w:t>–</w:t>
            </w:r>
          </w:p>
        </w:tc>
        <w:tc>
          <w:tcPr>
            <w:tcW w:w="406" w:type="pct"/>
          </w:tcPr>
          <w:p w14:paraId="38658769" w14:textId="77777777" w:rsidR="00BA4658" w:rsidRDefault="00BA4658" w:rsidP="001A5D4A">
            <w:pPr>
              <w:pStyle w:val="NotesTable-CellPlain"/>
              <w:rPr>
                <w:lang w:val="en-GB"/>
              </w:rPr>
            </w:pPr>
            <w:r w:rsidRPr="001A3579">
              <w:t>–</w:t>
            </w:r>
          </w:p>
        </w:tc>
        <w:tc>
          <w:tcPr>
            <w:tcW w:w="406" w:type="pct"/>
          </w:tcPr>
          <w:p w14:paraId="2A088C61" w14:textId="77777777" w:rsidR="00BA4658" w:rsidRDefault="00BA4658" w:rsidP="001A5D4A">
            <w:pPr>
              <w:pStyle w:val="NotesTable-CellPlain"/>
              <w:rPr>
                <w:lang w:val="en-GB"/>
              </w:rPr>
            </w:pPr>
            <w:r w:rsidRPr="001A3579">
              <w:t>–</w:t>
            </w:r>
          </w:p>
        </w:tc>
        <w:tc>
          <w:tcPr>
            <w:tcW w:w="405" w:type="pct"/>
          </w:tcPr>
          <w:p w14:paraId="24FE38C9" w14:textId="77777777" w:rsidR="00BA4658" w:rsidRDefault="00BA4658" w:rsidP="001A5D4A">
            <w:pPr>
              <w:pStyle w:val="NotesTable-CellPlain"/>
              <w:rPr>
                <w:lang w:val="en-GB"/>
              </w:rPr>
            </w:pPr>
            <w:r w:rsidRPr="001A3579">
              <w:t>–</w:t>
            </w:r>
          </w:p>
        </w:tc>
      </w:tr>
      <w:tr w:rsidR="00BA4658" w14:paraId="41D4D165" w14:textId="77777777" w:rsidTr="002E740E">
        <w:trPr>
          <w:trHeight w:val="181"/>
        </w:trPr>
        <w:tc>
          <w:tcPr>
            <w:tcW w:w="808" w:type="pct"/>
            <w:vAlign w:val="bottom"/>
          </w:tcPr>
          <w:p w14:paraId="5AD718C3" w14:textId="77777777" w:rsidR="00BA4658" w:rsidRPr="00B447AD" w:rsidRDefault="00BA4658" w:rsidP="001A5D4A">
            <w:pPr>
              <w:pStyle w:val="Note-Refs"/>
              <w:rPr>
                <w:b/>
              </w:rPr>
            </w:pPr>
            <w:r w:rsidRPr="007673CD">
              <w:t>AASB112.81a</w:t>
            </w:r>
          </w:p>
        </w:tc>
        <w:tc>
          <w:tcPr>
            <w:tcW w:w="1756" w:type="pct"/>
            <w:vAlign w:val="bottom"/>
          </w:tcPr>
          <w:p w14:paraId="08DDC5F6" w14:textId="77777777" w:rsidR="00BA4658" w:rsidRDefault="00BA4658" w:rsidP="001A5D4A">
            <w:pPr>
              <w:pStyle w:val="NotesTable-ItemPlain"/>
              <w:rPr>
                <w:b/>
              </w:rPr>
            </w:pPr>
            <w:r>
              <w:t>Charged directly to equity</w:t>
            </w:r>
          </w:p>
        </w:tc>
        <w:tc>
          <w:tcPr>
            <w:tcW w:w="406" w:type="pct"/>
            <w:tcBorders>
              <w:left w:val="nil"/>
              <w:bottom w:val="single" w:sz="4" w:space="0" w:color="auto"/>
            </w:tcBorders>
          </w:tcPr>
          <w:p w14:paraId="3F002F08"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05191662"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2E7C643A"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751DC881" w14:textId="77777777" w:rsidR="00BA4658" w:rsidRDefault="00BA4658" w:rsidP="001A5D4A">
            <w:pPr>
              <w:pStyle w:val="NotesTable-CellPlain"/>
              <w:rPr>
                <w:lang w:val="en-GB"/>
              </w:rPr>
            </w:pPr>
            <w:r w:rsidRPr="001A3579">
              <w:t>–</w:t>
            </w:r>
          </w:p>
        </w:tc>
        <w:tc>
          <w:tcPr>
            <w:tcW w:w="406" w:type="pct"/>
            <w:tcBorders>
              <w:bottom w:val="single" w:sz="4" w:space="0" w:color="auto"/>
            </w:tcBorders>
          </w:tcPr>
          <w:p w14:paraId="12A1E8FD" w14:textId="77777777" w:rsidR="00BA4658" w:rsidRDefault="00BA4658" w:rsidP="001A5D4A">
            <w:pPr>
              <w:pStyle w:val="NotesTable-CellPlain"/>
              <w:rPr>
                <w:lang w:val="en-GB"/>
              </w:rPr>
            </w:pPr>
            <w:r w:rsidRPr="001A3579">
              <w:t>–</w:t>
            </w:r>
          </w:p>
        </w:tc>
        <w:tc>
          <w:tcPr>
            <w:tcW w:w="405" w:type="pct"/>
            <w:tcBorders>
              <w:bottom w:val="single" w:sz="4" w:space="0" w:color="auto"/>
            </w:tcBorders>
          </w:tcPr>
          <w:p w14:paraId="6873E994" w14:textId="77777777" w:rsidR="00BA4658" w:rsidRDefault="00BA4658" w:rsidP="001A5D4A">
            <w:pPr>
              <w:pStyle w:val="NotesTable-CellPlain"/>
              <w:rPr>
                <w:lang w:val="en-GB"/>
              </w:rPr>
            </w:pPr>
            <w:r w:rsidRPr="001A3579">
              <w:t>–</w:t>
            </w:r>
          </w:p>
        </w:tc>
      </w:tr>
      <w:tr w:rsidR="00BA4658" w14:paraId="41ECD1C9" w14:textId="77777777" w:rsidTr="002E740E">
        <w:trPr>
          <w:trHeight w:val="181"/>
        </w:trPr>
        <w:tc>
          <w:tcPr>
            <w:tcW w:w="808" w:type="pct"/>
            <w:vAlign w:val="bottom"/>
          </w:tcPr>
          <w:p w14:paraId="1C71E87C" w14:textId="77777777" w:rsidR="00BA4658" w:rsidRPr="007673CD" w:rsidRDefault="00BA4658" w:rsidP="001A5D4A">
            <w:pPr>
              <w:pStyle w:val="Note-Refs"/>
            </w:pPr>
          </w:p>
        </w:tc>
        <w:tc>
          <w:tcPr>
            <w:tcW w:w="1756" w:type="pct"/>
            <w:vAlign w:val="bottom"/>
          </w:tcPr>
          <w:p w14:paraId="58F099E3" w14:textId="77777777" w:rsidR="00BA4658" w:rsidRDefault="00BA4658" w:rsidP="001A5D4A">
            <w:pPr>
              <w:pStyle w:val="NotesTable-ItemBold"/>
            </w:pPr>
            <w:r>
              <w:t>At 31 December 2014</w:t>
            </w:r>
          </w:p>
        </w:tc>
        <w:tc>
          <w:tcPr>
            <w:tcW w:w="406" w:type="pct"/>
            <w:tcBorders>
              <w:top w:val="single" w:sz="4" w:space="0" w:color="auto"/>
              <w:left w:val="nil"/>
            </w:tcBorders>
          </w:tcPr>
          <w:p w14:paraId="214C8630"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0FC4A86C"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067DE791"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27295F39" w14:textId="77777777" w:rsidR="00BA4658" w:rsidRDefault="00BA4658" w:rsidP="001A5D4A">
            <w:pPr>
              <w:pStyle w:val="NotesTable-CellPlain"/>
              <w:rPr>
                <w:lang w:val="en-GB"/>
              </w:rPr>
            </w:pPr>
            <w:r w:rsidRPr="001A3579">
              <w:t>–</w:t>
            </w:r>
          </w:p>
        </w:tc>
        <w:tc>
          <w:tcPr>
            <w:tcW w:w="406" w:type="pct"/>
            <w:tcBorders>
              <w:top w:val="single" w:sz="4" w:space="0" w:color="auto"/>
            </w:tcBorders>
          </w:tcPr>
          <w:p w14:paraId="7936D45C" w14:textId="77777777" w:rsidR="00BA4658" w:rsidRDefault="00BA4658" w:rsidP="001A5D4A">
            <w:pPr>
              <w:pStyle w:val="NotesTable-CellPlain"/>
              <w:rPr>
                <w:lang w:val="en-GB"/>
              </w:rPr>
            </w:pPr>
            <w:r w:rsidRPr="001A3579">
              <w:t>–</w:t>
            </w:r>
          </w:p>
        </w:tc>
        <w:tc>
          <w:tcPr>
            <w:tcW w:w="405" w:type="pct"/>
            <w:tcBorders>
              <w:top w:val="single" w:sz="4" w:space="0" w:color="auto"/>
            </w:tcBorders>
          </w:tcPr>
          <w:p w14:paraId="477DD8A3" w14:textId="77777777" w:rsidR="00BA4658" w:rsidRDefault="00BA4658" w:rsidP="001A5D4A">
            <w:pPr>
              <w:pStyle w:val="NotesTable-CellPlain"/>
              <w:rPr>
                <w:lang w:val="en-GB"/>
              </w:rPr>
            </w:pPr>
            <w:r w:rsidRPr="001A3579">
              <w:t>–</w:t>
            </w:r>
          </w:p>
        </w:tc>
      </w:tr>
      <w:tr w:rsidR="00BA4658" w14:paraId="6E203990" w14:textId="77777777" w:rsidTr="002E740E">
        <w:trPr>
          <w:trHeight w:val="181"/>
        </w:trPr>
        <w:tc>
          <w:tcPr>
            <w:tcW w:w="808" w:type="pct"/>
          </w:tcPr>
          <w:p w14:paraId="3538ED6D" w14:textId="77777777" w:rsidR="00BA4658" w:rsidRPr="007673CD" w:rsidRDefault="00BA4658" w:rsidP="001A5D4A">
            <w:pPr>
              <w:pStyle w:val="Note-Refs"/>
            </w:pPr>
          </w:p>
        </w:tc>
        <w:tc>
          <w:tcPr>
            <w:tcW w:w="4192" w:type="pct"/>
            <w:gridSpan w:val="7"/>
            <w:vAlign w:val="bottom"/>
          </w:tcPr>
          <w:p w14:paraId="63F94D88" w14:textId="77777777" w:rsidR="00BA4658" w:rsidRDefault="00BA4658" w:rsidP="001A5D4A">
            <w:pPr>
              <w:pStyle w:val="NotesTable-ItemPlain"/>
              <w:rPr>
                <w:vertAlign w:val="superscript"/>
              </w:rPr>
            </w:pPr>
          </w:p>
        </w:tc>
      </w:tr>
      <w:tr w:rsidR="00BA4658" w14:paraId="13B9971A" w14:textId="77777777" w:rsidTr="002E740E">
        <w:trPr>
          <w:trHeight w:val="181"/>
        </w:trPr>
        <w:tc>
          <w:tcPr>
            <w:tcW w:w="808" w:type="pct"/>
          </w:tcPr>
          <w:p w14:paraId="654D3D60" w14:textId="77777777" w:rsidR="00BA4658" w:rsidRPr="007673CD" w:rsidRDefault="00BA4658" w:rsidP="001A5D4A">
            <w:pPr>
              <w:pStyle w:val="Note-Refs"/>
            </w:pPr>
          </w:p>
        </w:tc>
        <w:tc>
          <w:tcPr>
            <w:tcW w:w="4192" w:type="pct"/>
            <w:gridSpan w:val="7"/>
            <w:vAlign w:val="bottom"/>
          </w:tcPr>
          <w:p w14:paraId="5F3873A6" w14:textId="77777777" w:rsidR="00BA4658" w:rsidRDefault="00BA4658" w:rsidP="001A5D4A">
            <w:pPr>
              <w:pStyle w:val="NotesTable-ItemPlain"/>
              <w:rPr>
                <w:b/>
              </w:rPr>
            </w:pPr>
            <w:r>
              <w:rPr>
                <w:vertAlign w:val="superscript"/>
              </w:rPr>
              <w:t xml:space="preserve">1 </w:t>
            </w:r>
            <w:r w:rsidRPr="00BD0626">
              <w:t>Specify the type of temporary difference</w:t>
            </w:r>
            <w:r>
              <w:t xml:space="preserve"> </w:t>
            </w:r>
          </w:p>
        </w:tc>
      </w:tr>
      <w:tr w:rsidR="002E740E" w14:paraId="65EF57A1" w14:textId="77777777" w:rsidTr="002E740E">
        <w:trPr>
          <w:cantSplit/>
          <w:trHeight w:val="181"/>
        </w:trPr>
        <w:tc>
          <w:tcPr>
            <w:tcW w:w="810" w:type="pct"/>
          </w:tcPr>
          <w:p w14:paraId="4265A45B" w14:textId="77777777" w:rsidR="002E740E" w:rsidRPr="007673CD" w:rsidRDefault="002E740E" w:rsidP="001A5D4A">
            <w:pPr>
              <w:pStyle w:val="Note-Refs"/>
            </w:pPr>
          </w:p>
        </w:tc>
        <w:tc>
          <w:tcPr>
            <w:tcW w:w="2567" w:type="pct"/>
            <w:gridSpan w:val="3"/>
            <w:vAlign w:val="bottom"/>
          </w:tcPr>
          <w:p w14:paraId="505F1F82" w14:textId="77777777" w:rsidR="002E740E" w:rsidRDefault="002E740E" w:rsidP="001A5D4A">
            <w:pPr>
              <w:pStyle w:val="NotesTable-ItemPlain"/>
            </w:pPr>
          </w:p>
        </w:tc>
        <w:tc>
          <w:tcPr>
            <w:tcW w:w="812" w:type="pct"/>
            <w:gridSpan w:val="2"/>
          </w:tcPr>
          <w:p w14:paraId="6C48A001" w14:textId="77777777" w:rsidR="002E740E" w:rsidRDefault="002E740E" w:rsidP="001A5D4A">
            <w:pPr>
              <w:pStyle w:val="NotesTable-HeadPlain"/>
            </w:pPr>
          </w:p>
        </w:tc>
        <w:tc>
          <w:tcPr>
            <w:tcW w:w="811" w:type="pct"/>
            <w:gridSpan w:val="2"/>
          </w:tcPr>
          <w:p w14:paraId="392F4824" w14:textId="77777777" w:rsidR="002E740E" w:rsidRDefault="002E740E" w:rsidP="001A5D4A">
            <w:pPr>
              <w:pStyle w:val="NotesTable-HeadPlain"/>
            </w:pPr>
          </w:p>
        </w:tc>
      </w:tr>
      <w:tr w:rsidR="00B849EF" w14:paraId="038A29AD" w14:textId="77777777" w:rsidTr="002E740E">
        <w:trPr>
          <w:cantSplit/>
          <w:trHeight w:val="181"/>
        </w:trPr>
        <w:tc>
          <w:tcPr>
            <w:tcW w:w="810" w:type="pct"/>
          </w:tcPr>
          <w:p w14:paraId="038A29A9" w14:textId="77777777" w:rsidR="00023312" w:rsidRPr="007673CD" w:rsidRDefault="00023312" w:rsidP="001A5D4A">
            <w:pPr>
              <w:pStyle w:val="Note-Refs"/>
            </w:pPr>
          </w:p>
        </w:tc>
        <w:tc>
          <w:tcPr>
            <w:tcW w:w="2567" w:type="pct"/>
            <w:gridSpan w:val="3"/>
            <w:vAlign w:val="bottom"/>
          </w:tcPr>
          <w:p w14:paraId="038A29AA" w14:textId="77777777" w:rsidR="00023312" w:rsidRDefault="00023312" w:rsidP="001A5D4A">
            <w:pPr>
              <w:pStyle w:val="NotesTable-ItemPlain"/>
            </w:pPr>
          </w:p>
        </w:tc>
        <w:tc>
          <w:tcPr>
            <w:tcW w:w="812" w:type="pct"/>
            <w:gridSpan w:val="2"/>
          </w:tcPr>
          <w:p w14:paraId="038A29AB" w14:textId="77777777" w:rsidR="00023312" w:rsidRDefault="00023312" w:rsidP="001A5D4A">
            <w:pPr>
              <w:pStyle w:val="NotesTable-HeadPlain"/>
            </w:pPr>
            <w:r>
              <w:t>Consolidated</w:t>
            </w:r>
          </w:p>
        </w:tc>
        <w:tc>
          <w:tcPr>
            <w:tcW w:w="811" w:type="pct"/>
            <w:gridSpan w:val="2"/>
          </w:tcPr>
          <w:p w14:paraId="038A29AC" w14:textId="77777777" w:rsidR="00023312" w:rsidRDefault="00023312" w:rsidP="001A5D4A">
            <w:pPr>
              <w:pStyle w:val="NotesTable-HeadPlain"/>
            </w:pPr>
            <w:r>
              <w:t>Parent entity</w:t>
            </w:r>
          </w:p>
        </w:tc>
      </w:tr>
      <w:tr w:rsidR="00BB1874" w14:paraId="038A29B4" w14:textId="77777777" w:rsidTr="002E740E">
        <w:trPr>
          <w:cantSplit/>
          <w:trHeight w:val="181"/>
        </w:trPr>
        <w:tc>
          <w:tcPr>
            <w:tcW w:w="810" w:type="pct"/>
          </w:tcPr>
          <w:p w14:paraId="038A29AE" w14:textId="77777777" w:rsidR="00BB1874" w:rsidRPr="007673CD" w:rsidRDefault="00BB1874" w:rsidP="001A5D4A">
            <w:pPr>
              <w:pStyle w:val="Note-Refs"/>
            </w:pPr>
          </w:p>
        </w:tc>
        <w:tc>
          <w:tcPr>
            <w:tcW w:w="2567" w:type="pct"/>
            <w:gridSpan w:val="3"/>
            <w:vAlign w:val="bottom"/>
          </w:tcPr>
          <w:p w14:paraId="038A29AF" w14:textId="77777777" w:rsidR="00BB1874" w:rsidRDefault="00BB1874" w:rsidP="001A5D4A">
            <w:pPr>
              <w:pStyle w:val="NotesTable-ItemPlain"/>
            </w:pPr>
          </w:p>
        </w:tc>
        <w:tc>
          <w:tcPr>
            <w:tcW w:w="406" w:type="pct"/>
          </w:tcPr>
          <w:p w14:paraId="038A29B0" w14:textId="572F2802" w:rsidR="00BB1874" w:rsidRDefault="006864EC" w:rsidP="001A5D4A">
            <w:pPr>
              <w:pStyle w:val="NotesTable-HeadBold"/>
            </w:pPr>
            <w:r>
              <w:t>2014</w:t>
            </w:r>
          </w:p>
        </w:tc>
        <w:tc>
          <w:tcPr>
            <w:tcW w:w="406" w:type="pct"/>
          </w:tcPr>
          <w:p w14:paraId="038A29B1" w14:textId="471EAF04" w:rsidR="00BB1874" w:rsidRDefault="006864EC" w:rsidP="001A5D4A">
            <w:pPr>
              <w:pStyle w:val="NotesTable-HeadPlain"/>
            </w:pPr>
            <w:r>
              <w:t>2013</w:t>
            </w:r>
          </w:p>
        </w:tc>
        <w:tc>
          <w:tcPr>
            <w:tcW w:w="406" w:type="pct"/>
          </w:tcPr>
          <w:p w14:paraId="038A29B2" w14:textId="7F2D0191" w:rsidR="00BB1874" w:rsidRDefault="006864EC" w:rsidP="001A5D4A">
            <w:pPr>
              <w:pStyle w:val="NotesTable-HeadBold"/>
            </w:pPr>
            <w:r>
              <w:t>2014</w:t>
            </w:r>
          </w:p>
        </w:tc>
        <w:tc>
          <w:tcPr>
            <w:tcW w:w="405" w:type="pct"/>
          </w:tcPr>
          <w:p w14:paraId="038A29B3" w14:textId="7CA22510" w:rsidR="00BB1874" w:rsidRDefault="006864EC" w:rsidP="001A5D4A">
            <w:pPr>
              <w:pStyle w:val="NotesTable-HeadPlain"/>
            </w:pPr>
            <w:r>
              <w:t>2013</w:t>
            </w:r>
          </w:p>
        </w:tc>
      </w:tr>
      <w:tr w:rsidR="00BB1874" w14:paraId="038A29BB" w14:textId="77777777" w:rsidTr="002E740E">
        <w:trPr>
          <w:cantSplit/>
          <w:trHeight w:val="181"/>
        </w:trPr>
        <w:tc>
          <w:tcPr>
            <w:tcW w:w="810" w:type="pct"/>
          </w:tcPr>
          <w:p w14:paraId="038A29B5" w14:textId="77777777" w:rsidR="00BB1874" w:rsidRPr="007673CD" w:rsidRDefault="00BB1874" w:rsidP="001A5D4A">
            <w:pPr>
              <w:pStyle w:val="Note-Refs"/>
            </w:pPr>
          </w:p>
        </w:tc>
        <w:tc>
          <w:tcPr>
            <w:tcW w:w="2567" w:type="pct"/>
            <w:gridSpan w:val="3"/>
            <w:vAlign w:val="bottom"/>
          </w:tcPr>
          <w:p w14:paraId="038A29B6" w14:textId="77777777" w:rsidR="00BB1874" w:rsidRDefault="00BB1874" w:rsidP="001A5D4A">
            <w:pPr>
              <w:pStyle w:val="NotesTable-ItemPlain"/>
            </w:pPr>
          </w:p>
        </w:tc>
        <w:tc>
          <w:tcPr>
            <w:tcW w:w="406" w:type="pct"/>
          </w:tcPr>
          <w:p w14:paraId="038A29B7" w14:textId="77777777" w:rsidR="00BB1874" w:rsidRDefault="00BB1874" w:rsidP="001A5D4A">
            <w:pPr>
              <w:pStyle w:val="NotesTable-HeadBold"/>
            </w:pPr>
            <w:r>
              <w:t>$’000</w:t>
            </w:r>
          </w:p>
        </w:tc>
        <w:tc>
          <w:tcPr>
            <w:tcW w:w="406" w:type="pct"/>
          </w:tcPr>
          <w:p w14:paraId="038A29B8" w14:textId="77777777" w:rsidR="00BB1874" w:rsidRDefault="00BB1874" w:rsidP="001A5D4A">
            <w:pPr>
              <w:pStyle w:val="NotesTable-HeadPlain"/>
            </w:pPr>
            <w:r>
              <w:t>$’000</w:t>
            </w:r>
          </w:p>
        </w:tc>
        <w:tc>
          <w:tcPr>
            <w:tcW w:w="406" w:type="pct"/>
          </w:tcPr>
          <w:p w14:paraId="038A29B9" w14:textId="77777777" w:rsidR="00BB1874" w:rsidRDefault="00BB1874" w:rsidP="001A5D4A">
            <w:pPr>
              <w:pStyle w:val="NotesTable-HeadBold"/>
            </w:pPr>
            <w:r>
              <w:t>$’000</w:t>
            </w:r>
          </w:p>
        </w:tc>
        <w:tc>
          <w:tcPr>
            <w:tcW w:w="405" w:type="pct"/>
          </w:tcPr>
          <w:p w14:paraId="038A29BA" w14:textId="77777777" w:rsidR="00BB1874" w:rsidRDefault="00BB1874" w:rsidP="001A5D4A">
            <w:pPr>
              <w:pStyle w:val="NotesTable-HeadPlain"/>
            </w:pPr>
            <w:r>
              <w:t>$’000</w:t>
            </w:r>
          </w:p>
        </w:tc>
      </w:tr>
      <w:tr w:rsidR="00BB1874" w14:paraId="038A29C2" w14:textId="77777777" w:rsidTr="002E740E">
        <w:trPr>
          <w:cantSplit/>
          <w:trHeight w:val="181"/>
        </w:trPr>
        <w:tc>
          <w:tcPr>
            <w:tcW w:w="810" w:type="pct"/>
          </w:tcPr>
          <w:p w14:paraId="038A29BC" w14:textId="77777777" w:rsidR="00BB1874" w:rsidRPr="007673CD" w:rsidRDefault="00BB1874" w:rsidP="001A5D4A">
            <w:pPr>
              <w:pStyle w:val="Note-Refs"/>
            </w:pPr>
          </w:p>
        </w:tc>
        <w:tc>
          <w:tcPr>
            <w:tcW w:w="2567" w:type="pct"/>
            <w:gridSpan w:val="3"/>
            <w:vAlign w:val="bottom"/>
          </w:tcPr>
          <w:p w14:paraId="038A29BD" w14:textId="77777777" w:rsidR="00BB1874" w:rsidRDefault="00BB1874" w:rsidP="001A5D4A">
            <w:pPr>
              <w:pStyle w:val="NotesTable-ItemBold"/>
            </w:pPr>
            <w:r>
              <w:t>Deferred tax liability</w:t>
            </w:r>
          </w:p>
        </w:tc>
        <w:tc>
          <w:tcPr>
            <w:tcW w:w="406" w:type="pct"/>
          </w:tcPr>
          <w:p w14:paraId="038A29BE" w14:textId="77777777" w:rsidR="00BB1874" w:rsidRDefault="00BB1874" w:rsidP="001A5D4A">
            <w:pPr>
              <w:pStyle w:val="NotesTable-CellBold"/>
            </w:pPr>
          </w:p>
        </w:tc>
        <w:tc>
          <w:tcPr>
            <w:tcW w:w="406" w:type="pct"/>
          </w:tcPr>
          <w:p w14:paraId="038A29BF" w14:textId="77777777" w:rsidR="00BB1874" w:rsidRDefault="00BB1874" w:rsidP="001A5D4A">
            <w:pPr>
              <w:pStyle w:val="NotesTable-CellPlain"/>
            </w:pPr>
          </w:p>
        </w:tc>
        <w:tc>
          <w:tcPr>
            <w:tcW w:w="406" w:type="pct"/>
          </w:tcPr>
          <w:p w14:paraId="038A29C0" w14:textId="77777777" w:rsidR="00BB1874" w:rsidRDefault="00BB1874" w:rsidP="001A5D4A">
            <w:pPr>
              <w:pStyle w:val="NotesTable-CellBold"/>
            </w:pPr>
          </w:p>
        </w:tc>
        <w:tc>
          <w:tcPr>
            <w:tcW w:w="405" w:type="pct"/>
          </w:tcPr>
          <w:p w14:paraId="038A29C1" w14:textId="77777777" w:rsidR="00BB1874" w:rsidRDefault="00BB1874" w:rsidP="001A5D4A">
            <w:pPr>
              <w:pStyle w:val="NotesTable-CellPlain"/>
            </w:pPr>
          </w:p>
        </w:tc>
      </w:tr>
      <w:tr w:rsidR="00BB1874" w14:paraId="038A29C9" w14:textId="77777777" w:rsidTr="002E740E">
        <w:trPr>
          <w:cantSplit/>
          <w:trHeight w:val="181"/>
        </w:trPr>
        <w:tc>
          <w:tcPr>
            <w:tcW w:w="810" w:type="pct"/>
          </w:tcPr>
          <w:p w14:paraId="038A29C3" w14:textId="77777777" w:rsidR="00BB1874" w:rsidRPr="007673CD" w:rsidRDefault="00BB1874" w:rsidP="001A5D4A">
            <w:pPr>
              <w:pStyle w:val="Note-Refs"/>
              <w:rPr>
                <w:shd w:val="clear" w:color="auto" w:fill="FFFF00"/>
              </w:rPr>
            </w:pPr>
          </w:p>
        </w:tc>
        <w:tc>
          <w:tcPr>
            <w:tcW w:w="2567" w:type="pct"/>
            <w:gridSpan w:val="3"/>
            <w:vAlign w:val="bottom"/>
          </w:tcPr>
          <w:p w14:paraId="038A29C4" w14:textId="77777777" w:rsidR="00BB1874" w:rsidRDefault="00BB1874" w:rsidP="001A5D4A">
            <w:pPr>
              <w:pStyle w:val="NotesTable-ItemPlain"/>
            </w:pPr>
          </w:p>
        </w:tc>
        <w:tc>
          <w:tcPr>
            <w:tcW w:w="406" w:type="pct"/>
            <w:vAlign w:val="bottom"/>
          </w:tcPr>
          <w:p w14:paraId="038A29C5" w14:textId="77777777" w:rsidR="00BB1874" w:rsidRDefault="00BB1874" w:rsidP="001A5D4A">
            <w:pPr>
              <w:pStyle w:val="NotesTable-CellBold"/>
            </w:pPr>
          </w:p>
        </w:tc>
        <w:tc>
          <w:tcPr>
            <w:tcW w:w="406" w:type="pct"/>
            <w:vAlign w:val="bottom"/>
          </w:tcPr>
          <w:p w14:paraId="038A29C6" w14:textId="77777777" w:rsidR="00BB1874" w:rsidRDefault="00BB1874" w:rsidP="001A5D4A">
            <w:pPr>
              <w:pStyle w:val="NotesTable-CellPlain"/>
            </w:pPr>
          </w:p>
        </w:tc>
        <w:tc>
          <w:tcPr>
            <w:tcW w:w="406" w:type="pct"/>
            <w:vAlign w:val="bottom"/>
          </w:tcPr>
          <w:p w14:paraId="038A29C7" w14:textId="77777777" w:rsidR="00BB1874" w:rsidRDefault="00BB1874" w:rsidP="001A5D4A">
            <w:pPr>
              <w:pStyle w:val="NotesTable-CellBold"/>
            </w:pPr>
          </w:p>
        </w:tc>
        <w:tc>
          <w:tcPr>
            <w:tcW w:w="405" w:type="pct"/>
            <w:vAlign w:val="bottom"/>
          </w:tcPr>
          <w:p w14:paraId="038A29C8" w14:textId="77777777" w:rsidR="00BB1874" w:rsidRDefault="00BB1874" w:rsidP="001A5D4A">
            <w:pPr>
              <w:pStyle w:val="NotesTable-CellPlain"/>
            </w:pPr>
          </w:p>
        </w:tc>
      </w:tr>
      <w:tr w:rsidR="00152234" w14:paraId="038A29CC" w14:textId="77777777" w:rsidTr="00E21378">
        <w:trPr>
          <w:cantSplit/>
          <w:trHeight w:val="181"/>
        </w:trPr>
        <w:tc>
          <w:tcPr>
            <w:tcW w:w="810" w:type="pct"/>
          </w:tcPr>
          <w:p w14:paraId="038A29CA" w14:textId="77777777" w:rsidR="00152234" w:rsidRPr="007673CD" w:rsidRDefault="00152234" w:rsidP="001A5D4A">
            <w:pPr>
              <w:pStyle w:val="Note-Refs"/>
              <w:rPr>
                <w:b/>
              </w:rPr>
            </w:pPr>
            <w:r w:rsidRPr="007673CD">
              <w:t>AASB112.81g(i)</w:t>
            </w:r>
          </w:p>
        </w:tc>
        <w:tc>
          <w:tcPr>
            <w:tcW w:w="4190" w:type="pct"/>
            <w:gridSpan w:val="7"/>
            <w:vAlign w:val="bottom"/>
          </w:tcPr>
          <w:p w14:paraId="038A29CB" w14:textId="77777777" w:rsidR="00152234" w:rsidRDefault="00152234" w:rsidP="001A5D4A">
            <w:pPr>
              <w:pStyle w:val="NotesTable-ItemBold"/>
            </w:pPr>
            <w:r w:rsidRPr="00E1542A">
              <w:t>The balance comprises temporary differences attributable to:</w:t>
            </w:r>
          </w:p>
        </w:tc>
      </w:tr>
      <w:tr w:rsidR="00BB1874" w14:paraId="038A29D3" w14:textId="77777777" w:rsidTr="002E740E">
        <w:trPr>
          <w:cantSplit/>
          <w:trHeight w:val="181"/>
        </w:trPr>
        <w:tc>
          <w:tcPr>
            <w:tcW w:w="810" w:type="pct"/>
          </w:tcPr>
          <w:p w14:paraId="038A29CD" w14:textId="77777777" w:rsidR="00BB1874" w:rsidRPr="007673CD" w:rsidRDefault="00BB1874" w:rsidP="001A5D4A">
            <w:pPr>
              <w:pStyle w:val="Note-Refs"/>
            </w:pPr>
          </w:p>
        </w:tc>
        <w:tc>
          <w:tcPr>
            <w:tcW w:w="2567" w:type="pct"/>
            <w:gridSpan w:val="3"/>
            <w:vAlign w:val="bottom"/>
          </w:tcPr>
          <w:p w14:paraId="038A29CE" w14:textId="5803EC63" w:rsidR="00BB1874" w:rsidRDefault="00BB1874" w:rsidP="001A5D4A">
            <w:pPr>
              <w:pStyle w:val="NotesTable-ItemPlain"/>
              <w:rPr>
                <w:b/>
              </w:rPr>
            </w:pPr>
            <w:r>
              <w:t xml:space="preserve">Amounts recognised in </w:t>
            </w:r>
            <w:r w:rsidR="00962B1E">
              <w:t xml:space="preserve">net </w:t>
            </w:r>
            <w:r>
              <w:t>result</w:t>
            </w:r>
          </w:p>
        </w:tc>
        <w:tc>
          <w:tcPr>
            <w:tcW w:w="406" w:type="pct"/>
            <w:vAlign w:val="bottom"/>
          </w:tcPr>
          <w:p w14:paraId="038A29CF" w14:textId="77777777" w:rsidR="00BB1874" w:rsidRDefault="00BB1874" w:rsidP="001A5D4A">
            <w:pPr>
              <w:pStyle w:val="NotesTable-CellBold"/>
            </w:pPr>
          </w:p>
        </w:tc>
        <w:tc>
          <w:tcPr>
            <w:tcW w:w="406" w:type="pct"/>
            <w:vAlign w:val="bottom"/>
          </w:tcPr>
          <w:p w14:paraId="038A29D0" w14:textId="77777777" w:rsidR="00BB1874" w:rsidRDefault="00BB1874" w:rsidP="001A5D4A">
            <w:pPr>
              <w:pStyle w:val="NotesTable-CellPlain"/>
            </w:pPr>
          </w:p>
        </w:tc>
        <w:tc>
          <w:tcPr>
            <w:tcW w:w="406" w:type="pct"/>
            <w:vAlign w:val="bottom"/>
          </w:tcPr>
          <w:p w14:paraId="038A29D1" w14:textId="77777777" w:rsidR="00BB1874" w:rsidRDefault="00BB1874" w:rsidP="001A5D4A">
            <w:pPr>
              <w:pStyle w:val="NotesTable-CellBold"/>
            </w:pPr>
          </w:p>
        </w:tc>
        <w:tc>
          <w:tcPr>
            <w:tcW w:w="405" w:type="pct"/>
            <w:vAlign w:val="bottom"/>
          </w:tcPr>
          <w:p w14:paraId="038A29D2" w14:textId="77777777" w:rsidR="00BB1874" w:rsidRDefault="00BB1874" w:rsidP="001A5D4A">
            <w:pPr>
              <w:pStyle w:val="NotesTable-CellPlain"/>
            </w:pPr>
          </w:p>
        </w:tc>
      </w:tr>
      <w:tr w:rsidR="00BB1874" w14:paraId="038A29DA" w14:textId="77777777" w:rsidTr="002E740E">
        <w:trPr>
          <w:cantSplit/>
          <w:trHeight w:val="181"/>
        </w:trPr>
        <w:tc>
          <w:tcPr>
            <w:tcW w:w="810" w:type="pct"/>
          </w:tcPr>
          <w:p w14:paraId="038A29D4" w14:textId="77777777" w:rsidR="00BB1874" w:rsidRPr="007673CD" w:rsidRDefault="00BB1874" w:rsidP="001A5D4A">
            <w:pPr>
              <w:pStyle w:val="Note-Refs"/>
            </w:pPr>
          </w:p>
        </w:tc>
        <w:tc>
          <w:tcPr>
            <w:tcW w:w="2567" w:type="pct"/>
            <w:gridSpan w:val="3"/>
            <w:vAlign w:val="bottom"/>
          </w:tcPr>
          <w:p w14:paraId="038A29D5" w14:textId="77777777" w:rsidR="00BB1874" w:rsidRDefault="00BB1874" w:rsidP="001A5D4A">
            <w:pPr>
              <w:pStyle w:val="NotesTable-ItemPlain"/>
              <w:rPr>
                <w:b/>
              </w:rPr>
            </w:pPr>
            <w:r>
              <w:t>[Specify]</w:t>
            </w:r>
          </w:p>
        </w:tc>
        <w:tc>
          <w:tcPr>
            <w:tcW w:w="406" w:type="pct"/>
            <w:tcBorders>
              <w:bottom w:val="single" w:sz="4" w:space="0" w:color="000000"/>
            </w:tcBorders>
          </w:tcPr>
          <w:p w14:paraId="038A29D6" w14:textId="77777777" w:rsidR="00BB1874" w:rsidRDefault="00BB1874" w:rsidP="001A5D4A">
            <w:pPr>
              <w:pStyle w:val="NotesTable-CellBold"/>
            </w:pPr>
            <w:r>
              <w:t>–</w:t>
            </w:r>
          </w:p>
        </w:tc>
        <w:tc>
          <w:tcPr>
            <w:tcW w:w="406" w:type="pct"/>
            <w:tcBorders>
              <w:bottom w:val="single" w:sz="4" w:space="0" w:color="000000"/>
            </w:tcBorders>
          </w:tcPr>
          <w:p w14:paraId="038A29D7" w14:textId="77777777" w:rsidR="00BB1874" w:rsidRDefault="00BB1874" w:rsidP="001A5D4A">
            <w:pPr>
              <w:pStyle w:val="NotesTable-CellPlain"/>
            </w:pPr>
            <w:r>
              <w:t>–</w:t>
            </w:r>
          </w:p>
        </w:tc>
        <w:tc>
          <w:tcPr>
            <w:tcW w:w="406" w:type="pct"/>
            <w:tcBorders>
              <w:bottom w:val="single" w:sz="4" w:space="0" w:color="000000"/>
            </w:tcBorders>
          </w:tcPr>
          <w:p w14:paraId="038A29D8" w14:textId="77777777" w:rsidR="00BB1874" w:rsidRDefault="00BB1874" w:rsidP="001A5D4A">
            <w:pPr>
              <w:pStyle w:val="NotesTable-CellBold"/>
            </w:pPr>
            <w:r>
              <w:t>–</w:t>
            </w:r>
          </w:p>
        </w:tc>
        <w:tc>
          <w:tcPr>
            <w:tcW w:w="405" w:type="pct"/>
            <w:tcBorders>
              <w:bottom w:val="single" w:sz="4" w:space="0" w:color="000000"/>
            </w:tcBorders>
          </w:tcPr>
          <w:p w14:paraId="038A29D9" w14:textId="77777777" w:rsidR="00BB1874" w:rsidRDefault="00BB1874" w:rsidP="001A5D4A">
            <w:pPr>
              <w:pStyle w:val="NotesTable-CellPlain"/>
            </w:pPr>
            <w:r>
              <w:t>–</w:t>
            </w:r>
          </w:p>
        </w:tc>
      </w:tr>
      <w:tr w:rsidR="00BB1874" w14:paraId="038A29E1" w14:textId="77777777" w:rsidTr="002E740E">
        <w:trPr>
          <w:cantSplit/>
          <w:trHeight w:val="181"/>
        </w:trPr>
        <w:tc>
          <w:tcPr>
            <w:tcW w:w="810" w:type="pct"/>
          </w:tcPr>
          <w:p w14:paraId="038A29DB" w14:textId="77777777" w:rsidR="00BB1874" w:rsidRPr="007673CD" w:rsidRDefault="00BB1874" w:rsidP="001A5D4A">
            <w:pPr>
              <w:pStyle w:val="Note-Refs"/>
            </w:pPr>
          </w:p>
        </w:tc>
        <w:tc>
          <w:tcPr>
            <w:tcW w:w="2567" w:type="pct"/>
            <w:gridSpan w:val="3"/>
            <w:vAlign w:val="bottom"/>
          </w:tcPr>
          <w:p w14:paraId="038A29DC" w14:textId="2990892D" w:rsidR="00BB1874" w:rsidRDefault="00983B59" w:rsidP="001A5D4A">
            <w:pPr>
              <w:pStyle w:val="NotesTable-ItemPlain"/>
            </w:pPr>
            <w:r>
              <w:t>Total</w:t>
            </w:r>
            <w:r w:rsidR="002055FE">
              <w:t xml:space="preserve"> mounts recognised in </w:t>
            </w:r>
            <w:r w:rsidR="00962B1E">
              <w:t xml:space="preserve">net </w:t>
            </w:r>
            <w:r w:rsidR="002055FE">
              <w:t>result</w:t>
            </w:r>
          </w:p>
        </w:tc>
        <w:tc>
          <w:tcPr>
            <w:tcW w:w="406" w:type="pct"/>
            <w:tcBorders>
              <w:top w:val="single" w:sz="4" w:space="0" w:color="000000"/>
            </w:tcBorders>
          </w:tcPr>
          <w:p w14:paraId="038A29DD" w14:textId="77777777" w:rsidR="00BB1874" w:rsidRDefault="00BB1874" w:rsidP="001A5D4A">
            <w:pPr>
              <w:pStyle w:val="NotesTable-CellBold"/>
            </w:pPr>
            <w:r>
              <w:t>–</w:t>
            </w:r>
          </w:p>
        </w:tc>
        <w:tc>
          <w:tcPr>
            <w:tcW w:w="406" w:type="pct"/>
            <w:tcBorders>
              <w:top w:val="single" w:sz="4" w:space="0" w:color="000000"/>
            </w:tcBorders>
          </w:tcPr>
          <w:p w14:paraId="038A29DE" w14:textId="77777777" w:rsidR="00BB1874" w:rsidRDefault="00BB1874" w:rsidP="001A5D4A">
            <w:pPr>
              <w:pStyle w:val="NotesTable-CellPlain"/>
            </w:pPr>
            <w:r>
              <w:t>–</w:t>
            </w:r>
          </w:p>
        </w:tc>
        <w:tc>
          <w:tcPr>
            <w:tcW w:w="406" w:type="pct"/>
            <w:tcBorders>
              <w:top w:val="single" w:sz="4" w:space="0" w:color="000000"/>
            </w:tcBorders>
          </w:tcPr>
          <w:p w14:paraId="038A29DF" w14:textId="77777777" w:rsidR="00BB1874" w:rsidRDefault="00BB1874" w:rsidP="001A5D4A">
            <w:pPr>
              <w:pStyle w:val="NotesTable-CellBold"/>
            </w:pPr>
            <w:r>
              <w:t>–</w:t>
            </w:r>
          </w:p>
        </w:tc>
        <w:tc>
          <w:tcPr>
            <w:tcW w:w="405" w:type="pct"/>
            <w:tcBorders>
              <w:top w:val="single" w:sz="4" w:space="0" w:color="000000"/>
            </w:tcBorders>
          </w:tcPr>
          <w:p w14:paraId="038A29E0" w14:textId="77777777" w:rsidR="00BB1874" w:rsidRDefault="00BB1874" w:rsidP="001A5D4A">
            <w:pPr>
              <w:pStyle w:val="NotesTable-CellPlain"/>
            </w:pPr>
            <w:r>
              <w:t>–</w:t>
            </w:r>
          </w:p>
        </w:tc>
      </w:tr>
      <w:tr w:rsidR="00BB1874" w14:paraId="038A29E8" w14:textId="77777777" w:rsidTr="002E740E">
        <w:trPr>
          <w:cantSplit/>
          <w:trHeight w:val="181"/>
        </w:trPr>
        <w:tc>
          <w:tcPr>
            <w:tcW w:w="810" w:type="pct"/>
          </w:tcPr>
          <w:p w14:paraId="038A29E2" w14:textId="77777777" w:rsidR="00BB1874" w:rsidRPr="007673CD" w:rsidRDefault="00BB1874" w:rsidP="001A5D4A">
            <w:pPr>
              <w:pStyle w:val="Note-Refs"/>
            </w:pPr>
          </w:p>
        </w:tc>
        <w:tc>
          <w:tcPr>
            <w:tcW w:w="2567" w:type="pct"/>
            <w:gridSpan w:val="3"/>
            <w:vAlign w:val="bottom"/>
          </w:tcPr>
          <w:p w14:paraId="038A29E3" w14:textId="77777777" w:rsidR="00BB1874" w:rsidRDefault="00BB1874" w:rsidP="001A5D4A">
            <w:pPr>
              <w:pStyle w:val="NotesTable-ItemPlain"/>
            </w:pPr>
          </w:p>
        </w:tc>
        <w:tc>
          <w:tcPr>
            <w:tcW w:w="406" w:type="pct"/>
            <w:vAlign w:val="bottom"/>
          </w:tcPr>
          <w:p w14:paraId="038A29E4" w14:textId="77777777" w:rsidR="00BB1874" w:rsidRDefault="00BB1874" w:rsidP="001A5D4A">
            <w:pPr>
              <w:pStyle w:val="NotesTable-CellBold"/>
            </w:pPr>
          </w:p>
        </w:tc>
        <w:tc>
          <w:tcPr>
            <w:tcW w:w="406" w:type="pct"/>
            <w:vAlign w:val="bottom"/>
          </w:tcPr>
          <w:p w14:paraId="038A29E5" w14:textId="77777777" w:rsidR="00BB1874" w:rsidRDefault="00BB1874" w:rsidP="001A5D4A">
            <w:pPr>
              <w:pStyle w:val="NotesTable-CellPlain"/>
            </w:pPr>
          </w:p>
        </w:tc>
        <w:tc>
          <w:tcPr>
            <w:tcW w:w="406" w:type="pct"/>
            <w:vAlign w:val="bottom"/>
          </w:tcPr>
          <w:p w14:paraId="038A29E6" w14:textId="77777777" w:rsidR="00BB1874" w:rsidRDefault="00BB1874" w:rsidP="001A5D4A">
            <w:pPr>
              <w:pStyle w:val="NotesTable-CellBold"/>
            </w:pPr>
          </w:p>
        </w:tc>
        <w:tc>
          <w:tcPr>
            <w:tcW w:w="405" w:type="pct"/>
            <w:vAlign w:val="bottom"/>
          </w:tcPr>
          <w:p w14:paraId="038A29E7" w14:textId="77777777" w:rsidR="00BB1874" w:rsidRDefault="00BB1874" w:rsidP="001A5D4A">
            <w:pPr>
              <w:pStyle w:val="NotesTable-CellPlain"/>
            </w:pPr>
          </w:p>
        </w:tc>
      </w:tr>
      <w:tr w:rsidR="00BB1874" w14:paraId="038A29EF" w14:textId="77777777" w:rsidTr="002E740E">
        <w:trPr>
          <w:cantSplit/>
          <w:trHeight w:val="181"/>
        </w:trPr>
        <w:tc>
          <w:tcPr>
            <w:tcW w:w="810" w:type="pct"/>
          </w:tcPr>
          <w:p w14:paraId="038A29E9" w14:textId="77777777" w:rsidR="00BB1874" w:rsidRPr="007673CD" w:rsidRDefault="00BB1874" w:rsidP="001A5D4A">
            <w:pPr>
              <w:pStyle w:val="Note-Refs"/>
            </w:pPr>
          </w:p>
        </w:tc>
        <w:tc>
          <w:tcPr>
            <w:tcW w:w="2567" w:type="pct"/>
            <w:gridSpan w:val="3"/>
            <w:vAlign w:val="bottom"/>
          </w:tcPr>
          <w:p w14:paraId="038A29EA" w14:textId="77777777" w:rsidR="00BB1874" w:rsidRDefault="00BB1874" w:rsidP="001A5D4A">
            <w:pPr>
              <w:pStyle w:val="NotesTable-ItemPlain"/>
              <w:rPr>
                <w:b/>
              </w:rPr>
            </w:pPr>
            <w:r>
              <w:t>Amounts recognised directly in equity</w:t>
            </w:r>
          </w:p>
        </w:tc>
        <w:tc>
          <w:tcPr>
            <w:tcW w:w="406" w:type="pct"/>
            <w:vAlign w:val="bottom"/>
          </w:tcPr>
          <w:p w14:paraId="038A29EB" w14:textId="77777777" w:rsidR="00BB1874" w:rsidRDefault="00BB1874" w:rsidP="001A5D4A">
            <w:pPr>
              <w:pStyle w:val="NotesTable-CellBold"/>
            </w:pPr>
          </w:p>
        </w:tc>
        <w:tc>
          <w:tcPr>
            <w:tcW w:w="406" w:type="pct"/>
            <w:vAlign w:val="bottom"/>
          </w:tcPr>
          <w:p w14:paraId="038A29EC" w14:textId="77777777" w:rsidR="00BB1874" w:rsidRDefault="00BB1874" w:rsidP="001A5D4A">
            <w:pPr>
              <w:pStyle w:val="NotesTable-CellPlain"/>
            </w:pPr>
          </w:p>
        </w:tc>
        <w:tc>
          <w:tcPr>
            <w:tcW w:w="406" w:type="pct"/>
            <w:vAlign w:val="bottom"/>
          </w:tcPr>
          <w:p w14:paraId="038A29ED" w14:textId="77777777" w:rsidR="00BB1874" w:rsidRDefault="00BB1874" w:rsidP="001A5D4A">
            <w:pPr>
              <w:pStyle w:val="NotesTable-CellBold"/>
            </w:pPr>
          </w:p>
        </w:tc>
        <w:tc>
          <w:tcPr>
            <w:tcW w:w="405" w:type="pct"/>
            <w:vAlign w:val="bottom"/>
          </w:tcPr>
          <w:p w14:paraId="038A29EE" w14:textId="77777777" w:rsidR="00BB1874" w:rsidRDefault="00BB1874" w:rsidP="001A5D4A">
            <w:pPr>
              <w:pStyle w:val="NotesTable-CellPlain"/>
            </w:pPr>
          </w:p>
        </w:tc>
      </w:tr>
      <w:tr w:rsidR="00BB1874" w14:paraId="038A29F6" w14:textId="77777777" w:rsidTr="002E740E">
        <w:trPr>
          <w:cantSplit/>
          <w:trHeight w:val="181"/>
        </w:trPr>
        <w:tc>
          <w:tcPr>
            <w:tcW w:w="810" w:type="pct"/>
          </w:tcPr>
          <w:p w14:paraId="038A29F0" w14:textId="77777777" w:rsidR="00BB1874" w:rsidRPr="007673CD" w:rsidRDefault="00BB1874" w:rsidP="001A5D4A">
            <w:pPr>
              <w:pStyle w:val="Note-Refs"/>
            </w:pPr>
          </w:p>
        </w:tc>
        <w:tc>
          <w:tcPr>
            <w:tcW w:w="2567" w:type="pct"/>
            <w:gridSpan w:val="3"/>
            <w:vAlign w:val="bottom"/>
          </w:tcPr>
          <w:p w14:paraId="038A29F1" w14:textId="77777777" w:rsidR="00BB1874" w:rsidRDefault="00BB1874" w:rsidP="001A5D4A">
            <w:pPr>
              <w:pStyle w:val="NotesTable-ItemPlain"/>
              <w:rPr>
                <w:b/>
              </w:rPr>
            </w:pPr>
            <w:r>
              <w:t>[Specify]</w:t>
            </w:r>
          </w:p>
        </w:tc>
        <w:tc>
          <w:tcPr>
            <w:tcW w:w="406" w:type="pct"/>
            <w:tcBorders>
              <w:bottom w:val="single" w:sz="4" w:space="0" w:color="auto"/>
            </w:tcBorders>
          </w:tcPr>
          <w:p w14:paraId="038A29F2" w14:textId="77777777" w:rsidR="00BB1874" w:rsidRDefault="00BB1874" w:rsidP="001A5D4A">
            <w:pPr>
              <w:pStyle w:val="NotesTable-CellBold"/>
            </w:pPr>
            <w:r>
              <w:t>–</w:t>
            </w:r>
          </w:p>
        </w:tc>
        <w:tc>
          <w:tcPr>
            <w:tcW w:w="406" w:type="pct"/>
            <w:tcBorders>
              <w:bottom w:val="single" w:sz="4" w:space="0" w:color="auto"/>
            </w:tcBorders>
          </w:tcPr>
          <w:p w14:paraId="038A29F3" w14:textId="77777777" w:rsidR="00BB1874" w:rsidRDefault="00BB1874" w:rsidP="001A5D4A">
            <w:pPr>
              <w:pStyle w:val="NotesTable-CellPlain"/>
            </w:pPr>
            <w:r>
              <w:t>–</w:t>
            </w:r>
          </w:p>
        </w:tc>
        <w:tc>
          <w:tcPr>
            <w:tcW w:w="406" w:type="pct"/>
            <w:tcBorders>
              <w:bottom w:val="single" w:sz="4" w:space="0" w:color="auto"/>
            </w:tcBorders>
          </w:tcPr>
          <w:p w14:paraId="038A29F4" w14:textId="77777777" w:rsidR="00BB1874" w:rsidRDefault="00BB1874" w:rsidP="001A5D4A">
            <w:pPr>
              <w:pStyle w:val="NotesTable-CellBold"/>
            </w:pPr>
            <w:r>
              <w:t>–</w:t>
            </w:r>
          </w:p>
        </w:tc>
        <w:tc>
          <w:tcPr>
            <w:tcW w:w="405" w:type="pct"/>
            <w:tcBorders>
              <w:bottom w:val="single" w:sz="4" w:space="0" w:color="auto"/>
            </w:tcBorders>
          </w:tcPr>
          <w:p w14:paraId="038A29F5" w14:textId="77777777" w:rsidR="00BB1874" w:rsidRDefault="00BB1874" w:rsidP="001A5D4A">
            <w:pPr>
              <w:pStyle w:val="NotesTable-CellPlain"/>
            </w:pPr>
            <w:r>
              <w:t>–</w:t>
            </w:r>
          </w:p>
        </w:tc>
      </w:tr>
      <w:tr w:rsidR="00D37A02" w14:paraId="038A29FD" w14:textId="77777777" w:rsidTr="002E740E">
        <w:trPr>
          <w:cantSplit/>
          <w:trHeight w:val="181"/>
        </w:trPr>
        <w:tc>
          <w:tcPr>
            <w:tcW w:w="810" w:type="pct"/>
          </w:tcPr>
          <w:p w14:paraId="038A29F7" w14:textId="77777777" w:rsidR="00D37A02" w:rsidRPr="007673CD" w:rsidRDefault="00D37A02" w:rsidP="001A5D4A">
            <w:pPr>
              <w:pStyle w:val="Note-Refs"/>
            </w:pPr>
          </w:p>
        </w:tc>
        <w:tc>
          <w:tcPr>
            <w:tcW w:w="2567" w:type="pct"/>
            <w:gridSpan w:val="3"/>
            <w:vAlign w:val="bottom"/>
          </w:tcPr>
          <w:p w14:paraId="038A29F8" w14:textId="77777777" w:rsidR="00D37A02" w:rsidRDefault="00D37A02" w:rsidP="001A5D4A">
            <w:pPr>
              <w:pStyle w:val="NotesTable-ItemPlain"/>
              <w:rPr>
                <w:b/>
              </w:rPr>
            </w:pPr>
            <w:r>
              <w:t>Total</w:t>
            </w:r>
            <w:r w:rsidR="002055FE">
              <w:t xml:space="preserve"> amounts recognised directly in equity</w:t>
            </w:r>
          </w:p>
        </w:tc>
        <w:tc>
          <w:tcPr>
            <w:tcW w:w="406" w:type="pct"/>
            <w:tcBorders>
              <w:top w:val="single" w:sz="4" w:space="0" w:color="auto"/>
            </w:tcBorders>
          </w:tcPr>
          <w:p w14:paraId="038A29F9" w14:textId="77777777" w:rsidR="00D37A02" w:rsidRDefault="00D37A02" w:rsidP="001A5D4A">
            <w:pPr>
              <w:pStyle w:val="NotesTable-CellBold"/>
            </w:pPr>
            <w:r w:rsidRPr="00F13D42">
              <w:t>–</w:t>
            </w:r>
          </w:p>
        </w:tc>
        <w:tc>
          <w:tcPr>
            <w:tcW w:w="406" w:type="pct"/>
            <w:tcBorders>
              <w:top w:val="single" w:sz="4" w:space="0" w:color="auto"/>
            </w:tcBorders>
          </w:tcPr>
          <w:p w14:paraId="038A29FA" w14:textId="77777777" w:rsidR="00D37A02" w:rsidRDefault="00D37A02" w:rsidP="001A5D4A">
            <w:pPr>
              <w:pStyle w:val="NotesTable-CellPlain"/>
            </w:pPr>
            <w:r w:rsidRPr="00F13D42">
              <w:t>–</w:t>
            </w:r>
          </w:p>
        </w:tc>
        <w:tc>
          <w:tcPr>
            <w:tcW w:w="406" w:type="pct"/>
            <w:tcBorders>
              <w:top w:val="single" w:sz="4" w:space="0" w:color="auto"/>
            </w:tcBorders>
          </w:tcPr>
          <w:p w14:paraId="038A29FB" w14:textId="77777777" w:rsidR="00D37A02" w:rsidRDefault="00D37A02" w:rsidP="001A5D4A">
            <w:pPr>
              <w:pStyle w:val="NotesTable-CellBold"/>
            </w:pPr>
            <w:r w:rsidRPr="00F13D42">
              <w:t>–</w:t>
            </w:r>
          </w:p>
        </w:tc>
        <w:tc>
          <w:tcPr>
            <w:tcW w:w="405" w:type="pct"/>
            <w:tcBorders>
              <w:top w:val="single" w:sz="4" w:space="0" w:color="auto"/>
            </w:tcBorders>
          </w:tcPr>
          <w:p w14:paraId="038A29FC" w14:textId="77777777" w:rsidR="00D37A02" w:rsidRDefault="00D37A02" w:rsidP="001A5D4A">
            <w:pPr>
              <w:pStyle w:val="NotesTable-CellPlain"/>
            </w:pPr>
            <w:r w:rsidRPr="00F13D42">
              <w:t>–</w:t>
            </w:r>
          </w:p>
        </w:tc>
      </w:tr>
      <w:tr w:rsidR="00983B59" w14:paraId="038A2A04" w14:textId="77777777" w:rsidTr="002E740E">
        <w:trPr>
          <w:cantSplit/>
          <w:trHeight w:val="181"/>
        </w:trPr>
        <w:tc>
          <w:tcPr>
            <w:tcW w:w="810" w:type="pct"/>
          </w:tcPr>
          <w:p w14:paraId="038A29FE" w14:textId="77777777" w:rsidR="00983B59" w:rsidRPr="007673CD" w:rsidRDefault="00983B59" w:rsidP="001A5D4A">
            <w:pPr>
              <w:pStyle w:val="Note-Refs"/>
            </w:pPr>
          </w:p>
        </w:tc>
        <w:tc>
          <w:tcPr>
            <w:tcW w:w="2567" w:type="pct"/>
            <w:gridSpan w:val="3"/>
            <w:vAlign w:val="bottom"/>
          </w:tcPr>
          <w:p w14:paraId="038A29FF" w14:textId="77777777" w:rsidR="00983B59" w:rsidRDefault="00983B59" w:rsidP="001A5D4A">
            <w:pPr>
              <w:pStyle w:val="NotesTable-ItemPlain"/>
            </w:pPr>
          </w:p>
        </w:tc>
        <w:tc>
          <w:tcPr>
            <w:tcW w:w="406" w:type="pct"/>
            <w:vAlign w:val="bottom"/>
          </w:tcPr>
          <w:p w14:paraId="038A2A00" w14:textId="77777777" w:rsidR="00983B59" w:rsidRDefault="00983B59" w:rsidP="001A5D4A">
            <w:pPr>
              <w:pStyle w:val="NotesTable-CellBold"/>
            </w:pPr>
          </w:p>
        </w:tc>
        <w:tc>
          <w:tcPr>
            <w:tcW w:w="406" w:type="pct"/>
            <w:vAlign w:val="bottom"/>
          </w:tcPr>
          <w:p w14:paraId="038A2A01" w14:textId="77777777" w:rsidR="00983B59" w:rsidRDefault="00983B59" w:rsidP="001A5D4A">
            <w:pPr>
              <w:pStyle w:val="NotesTable-CellPlain"/>
            </w:pPr>
          </w:p>
        </w:tc>
        <w:tc>
          <w:tcPr>
            <w:tcW w:w="406" w:type="pct"/>
            <w:vAlign w:val="bottom"/>
          </w:tcPr>
          <w:p w14:paraId="038A2A02" w14:textId="77777777" w:rsidR="00983B59" w:rsidRDefault="00983B59" w:rsidP="001A5D4A">
            <w:pPr>
              <w:pStyle w:val="NotesTable-CellBold"/>
            </w:pPr>
          </w:p>
        </w:tc>
        <w:tc>
          <w:tcPr>
            <w:tcW w:w="405" w:type="pct"/>
            <w:vAlign w:val="bottom"/>
          </w:tcPr>
          <w:p w14:paraId="038A2A03" w14:textId="77777777" w:rsidR="00983B59" w:rsidRDefault="00983B59" w:rsidP="001A5D4A">
            <w:pPr>
              <w:pStyle w:val="NotesTable-CellPlain"/>
            </w:pPr>
          </w:p>
        </w:tc>
      </w:tr>
      <w:tr w:rsidR="00BB1874" w14:paraId="038A2A0B" w14:textId="77777777" w:rsidTr="002E740E">
        <w:trPr>
          <w:cantSplit/>
          <w:trHeight w:val="181"/>
        </w:trPr>
        <w:tc>
          <w:tcPr>
            <w:tcW w:w="810" w:type="pct"/>
          </w:tcPr>
          <w:p w14:paraId="038A2A05" w14:textId="77777777" w:rsidR="00BB1874" w:rsidRPr="007673CD" w:rsidRDefault="00BB1874" w:rsidP="001A5D4A">
            <w:pPr>
              <w:pStyle w:val="Note-Refs"/>
              <w:rPr>
                <w:b/>
              </w:rPr>
            </w:pPr>
            <w:r w:rsidRPr="007673CD">
              <w:t>AASB112.74</w:t>
            </w:r>
          </w:p>
        </w:tc>
        <w:tc>
          <w:tcPr>
            <w:tcW w:w="2567" w:type="pct"/>
            <w:gridSpan w:val="3"/>
            <w:vAlign w:val="bottom"/>
          </w:tcPr>
          <w:p w14:paraId="038A2A06" w14:textId="77777777" w:rsidR="00BB1874" w:rsidRDefault="00BB1874" w:rsidP="001A5D4A">
            <w:pPr>
              <w:pStyle w:val="NotesTable-ItemPlain"/>
              <w:rPr>
                <w:b/>
              </w:rPr>
            </w:pPr>
            <w:r>
              <w:t>Set-off of deferred tax liabilities pursuant to set-off provisions</w:t>
            </w:r>
          </w:p>
        </w:tc>
        <w:tc>
          <w:tcPr>
            <w:tcW w:w="406" w:type="pct"/>
            <w:tcBorders>
              <w:bottom w:val="single" w:sz="4" w:space="0" w:color="000000"/>
            </w:tcBorders>
          </w:tcPr>
          <w:p w14:paraId="038A2A07" w14:textId="77777777" w:rsidR="00BB1874" w:rsidRDefault="00BB1874" w:rsidP="001A5D4A">
            <w:pPr>
              <w:pStyle w:val="NotesTable-CellBold"/>
            </w:pPr>
            <w:r>
              <w:t>–</w:t>
            </w:r>
          </w:p>
        </w:tc>
        <w:tc>
          <w:tcPr>
            <w:tcW w:w="406" w:type="pct"/>
            <w:tcBorders>
              <w:bottom w:val="single" w:sz="4" w:space="0" w:color="000000"/>
            </w:tcBorders>
          </w:tcPr>
          <w:p w14:paraId="038A2A08" w14:textId="77777777" w:rsidR="00BB1874" w:rsidRDefault="00BB1874" w:rsidP="001A5D4A">
            <w:pPr>
              <w:pStyle w:val="NotesTable-CellPlain"/>
            </w:pPr>
            <w:r>
              <w:t>–</w:t>
            </w:r>
          </w:p>
        </w:tc>
        <w:tc>
          <w:tcPr>
            <w:tcW w:w="406" w:type="pct"/>
            <w:tcBorders>
              <w:bottom w:val="single" w:sz="4" w:space="0" w:color="000000"/>
            </w:tcBorders>
          </w:tcPr>
          <w:p w14:paraId="038A2A09" w14:textId="77777777" w:rsidR="00BB1874" w:rsidRDefault="00BB1874" w:rsidP="001A5D4A">
            <w:pPr>
              <w:pStyle w:val="NotesTable-CellBold"/>
            </w:pPr>
            <w:r>
              <w:t>–</w:t>
            </w:r>
          </w:p>
        </w:tc>
        <w:tc>
          <w:tcPr>
            <w:tcW w:w="405" w:type="pct"/>
            <w:tcBorders>
              <w:bottom w:val="single" w:sz="4" w:space="0" w:color="000000"/>
            </w:tcBorders>
          </w:tcPr>
          <w:p w14:paraId="038A2A0A" w14:textId="77777777" w:rsidR="00BB1874" w:rsidRDefault="00BB1874" w:rsidP="001A5D4A">
            <w:pPr>
              <w:pStyle w:val="NotesTable-CellPlain"/>
            </w:pPr>
            <w:r>
              <w:t>–</w:t>
            </w:r>
          </w:p>
        </w:tc>
      </w:tr>
      <w:tr w:rsidR="00BB1874" w14:paraId="038A2A12" w14:textId="77777777" w:rsidTr="002E740E">
        <w:trPr>
          <w:cantSplit/>
          <w:trHeight w:val="181"/>
        </w:trPr>
        <w:tc>
          <w:tcPr>
            <w:tcW w:w="810" w:type="pct"/>
          </w:tcPr>
          <w:p w14:paraId="038A2A0C" w14:textId="77777777" w:rsidR="00BB1874" w:rsidRPr="007673CD" w:rsidRDefault="00BB1874" w:rsidP="001A5D4A">
            <w:pPr>
              <w:pStyle w:val="Note-Refs"/>
            </w:pPr>
          </w:p>
        </w:tc>
        <w:tc>
          <w:tcPr>
            <w:tcW w:w="2567" w:type="pct"/>
            <w:gridSpan w:val="3"/>
            <w:vAlign w:val="bottom"/>
          </w:tcPr>
          <w:p w14:paraId="038A2A0D" w14:textId="77777777" w:rsidR="00BB1874" w:rsidRDefault="00BB1874" w:rsidP="001A5D4A">
            <w:pPr>
              <w:pStyle w:val="NotesTable-ItemPlain"/>
              <w:rPr>
                <w:b/>
              </w:rPr>
            </w:pPr>
            <w:r>
              <w:t>Net deferred tax liabilities</w:t>
            </w:r>
          </w:p>
        </w:tc>
        <w:tc>
          <w:tcPr>
            <w:tcW w:w="406" w:type="pct"/>
          </w:tcPr>
          <w:p w14:paraId="038A2A0E" w14:textId="77777777" w:rsidR="00BB1874" w:rsidRDefault="00BB1874" w:rsidP="001A5D4A">
            <w:pPr>
              <w:pStyle w:val="NotesTable-CellBold"/>
            </w:pPr>
            <w:r>
              <w:t>–</w:t>
            </w:r>
          </w:p>
        </w:tc>
        <w:tc>
          <w:tcPr>
            <w:tcW w:w="406" w:type="pct"/>
          </w:tcPr>
          <w:p w14:paraId="038A2A0F" w14:textId="77777777" w:rsidR="00BB1874" w:rsidRDefault="00BB1874" w:rsidP="001A5D4A">
            <w:pPr>
              <w:pStyle w:val="NotesTable-CellPlain"/>
            </w:pPr>
            <w:r>
              <w:t>–</w:t>
            </w:r>
          </w:p>
        </w:tc>
        <w:tc>
          <w:tcPr>
            <w:tcW w:w="406" w:type="pct"/>
          </w:tcPr>
          <w:p w14:paraId="038A2A10" w14:textId="77777777" w:rsidR="00BB1874" w:rsidRDefault="00BB1874" w:rsidP="001A5D4A">
            <w:pPr>
              <w:pStyle w:val="NotesTable-CellBold"/>
            </w:pPr>
            <w:r>
              <w:t>–</w:t>
            </w:r>
          </w:p>
        </w:tc>
        <w:tc>
          <w:tcPr>
            <w:tcW w:w="405" w:type="pct"/>
          </w:tcPr>
          <w:p w14:paraId="038A2A11" w14:textId="77777777" w:rsidR="00BB1874" w:rsidRDefault="00BB1874" w:rsidP="001A5D4A">
            <w:pPr>
              <w:pStyle w:val="NotesTable-CellPlain"/>
            </w:pPr>
            <w:r>
              <w:t>–</w:t>
            </w:r>
          </w:p>
        </w:tc>
      </w:tr>
      <w:tr w:rsidR="00BB1874" w14:paraId="038A2A19" w14:textId="77777777" w:rsidTr="002E740E">
        <w:trPr>
          <w:cantSplit/>
          <w:trHeight w:val="181"/>
        </w:trPr>
        <w:tc>
          <w:tcPr>
            <w:tcW w:w="810" w:type="pct"/>
          </w:tcPr>
          <w:p w14:paraId="038A2A13" w14:textId="77777777" w:rsidR="00BB1874" w:rsidRPr="007673CD" w:rsidRDefault="00BB1874" w:rsidP="001A5D4A">
            <w:pPr>
              <w:pStyle w:val="Note-Refs"/>
            </w:pPr>
          </w:p>
        </w:tc>
        <w:tc>
          <w:tcPr>
            <w:tcW w:w="2567" w:type="pct"/>
            <w:gridSpan w:val="3"/>
            <w:vAlign w:val="bottom"/>
          </w:tcPr>
          <w:p w14:paraId="038A2A14" w14:textId="77777777" w:rsidR="00BB1874" w:rsidRDefault="00BB1874" w:rsidP="001A5D4A">
            <w:pPr>
              <w:pStyle w:val="NotesTable-ItemPlain"/>
            </w:pPr>
          </w:p>
        </w:tc>
        <w:tc>
          <w:tcPr>
            <w:tcW w:w="406" w:type="pct"/>
            <w:vAlign w:val="bottom"/>
          </w:tcPr>
          <w:p w14:paraId="038A2A15" w14:textId="77777777" w:rsidR="00BB1874" w:rsidRDefault="00BB1874" w:rsidP="001A5D4A">
            <w:pPr>
              <w:pStyle w:val="NotesTable-CellBold"/>
            </w:pPr>
          </w:p>
        </w:tc>
        <w:tc>
          <w:tcPr>
            <w:tcW w:w="406" w:type="pct"/>
            <w:vAlign w:val="bottom"/>
          </w:tcPr>
          <w:p w14:paraId="038A2A16" w14:textId="77777777" w:rsidR="00BB1874" w:rsidRDefault="00BB1874" w:rsidP="001A5D4A">
            <w:pPr>
              <w:pStyle w:val="NotesTable-CellPlain"/>
            </w:pPr>
          </w:p>
        </w:tc>
        <w:tc>
          <w:tcPr>
            <w:tcW w:w="406" w:type="pct"/>
            <w:vAlign w:val="bottom"/>
          </w:tcPr>
          <w:p w14:paraId="038A2A17" w14:textId="77777777" w:rsidR="00BB1874" w:rsidRDefault="00BB1874" w:rsidP="001A5D4A">
            <w:pPr>
              <w:pStyle w:val="NotesTable-CellBold"/>
            </w:pPr>
          </w:p>
        </w:tc>
        <w:tc>
          <w:tcPr>
            <w:tcW w:w="405" w:type="pct"/>
            <w:vAlign w:val="bottom"/>
          </w:tcPr>
          <w:p w14:paraId="038A2A18" w14:textId="77777777" w:rsidR="00BB1874" w:rsidRDefault="00BB1874" w:rsidP="001A5D4A">
            <w:pPr>
              <w:pStyle w:val="NotesTable-CellPlain"/>
            </w:pPr>
          </w:p>
        </w:tc>
      </w:tr>
      <w:tr w:rsidR="00BB1874" w14:paraId="038A2A20" w14:textId="77777777" w:rsidTr="002E740E">
        <w:trPr>
          <w:cantSplit/>
          <w:trHeight w:val="181"/>
        </w:trPr>
        <w:tc>
          <w:tcPr>
            <w:tcW w:w="810" w:type="pct"/>
          </w:tcPr>
          <w:p w14:paraId="038A2A1A" w14:textId="77777777" w:rsidR="00BB1874" w:rsidRPr="007673CD" w:rsidRDefault="00BB1874" w:rsidP="001A5D4A">
            <w:pPr>
              <w:pStyle w:val="Note-Refs"/>
              <w:rPr>
                <w:b/>
              </w:rPr>
            </w:pPr>
            <w:r w:rsidRPr="007673CD">
              <w:t>AASB101.61</w:t>
            </w:r>
            <w:r w:rsidR="00860968">
              <w:t>b</w:t>
            </w:r>
          </w:p>
        </w:tc>
        <w:tc>
          <w:tcPr>
            <w:tcW w:w="2567" w:type="pct"/>
            <w:gridSpan w:val="3"/>
            <w:vAlign w:val="bottom"/>
          </w:tcPr>
          <w:p w14:paraId="038A2A1B" w14:textId="77777777" w:rsidR="00BB1874" w:rsidRDefault="00BB1874" w:rsidP="001A5D4A">
            <w:pPr>
              <w:pStyle w:val="NotesTable-ItemPlain"/>
              <w:rPr>
                <w:b/>
              </w:rPr>
            </w:pPr>
            <w:r>
              <w:t>Deferred tax liabilities to be settled after more than 12 months</w:t>
            </w:r>
          </w:p>
        </w:tc>
        <w:tc>
          <w:tcPr>
            <w:tcW w:w="406" w:type="pct"/>
          </w:tcPr>
          <w:p w14:paraId="038A2A1C" w14:textId="77777777" w:rsidR="00BB1874" w:rsidRDefault="00BB1874" w:rsidP="001A5D4A">
            <w:pPr>
              <w:pStyle w:val="NotesTable-CellBold"/>
            </w:pPr>
            <w:r>
              <w:t>–</w:t>
            </w:r>
          </w:p>
        </w:tc>
        <w:tc>
          <w:tcPr>
            <w:tcW w:w="406" w:type="pct"/>
          </w:tcPr>
          <w:p w14:paraId="038A2A1D" w14:textId="77777777" w:rsidR="00BB1874" w:rsidRDefault="00BB1874" w:rsidP="001A5D4A">
            <w:pPr>
              <w:pStyle w:val="NotesTable-CellPlain"/>
            </w:pPr>
            <w:r>
              <w:t>–</w:t>
            </w:r>
          </w:p>
        </w:tc>
        <w:tc>
          <w:tcPr>
            <w:tcW w:w="406" w:type="pct"/>
          </w:tcPr>
          <w:p w14:paraId="038A2A1E" w14:textId="77777777" w:rsidR="00BB1874" w:rsidRDefault="00BB1874" w:rsidP="001A5D4A">
            <w:pPr>
              <w:pStyle w:val="NotesTable-CellBold"/>
            </w:pPr>
            <w:r>
              <w:t>–</w:t>
            </w:r>
          </w:p>
        </w:tc>
        <w:tc>
          <w:tcPr>
            <w:tcW w:w="405" w:type="pct"/>
          </w:tcPr>
          <w:p w14:paraId="038A2A1F" w14:textId="77777777" w:rsidR="00BB1874" w:rsidRDefault="00BB1874" w:rsidP="001A5D4A">
            <w:pPr>
              <w:pStyle w:val="NotesTable-CellPlain"/>
            </w:pPr>
            <w:r>
              <w:t>–</w:t>
            </w:r>
          </w:p>
        </w:tc>
      </w:tr>
      <w:tr w:rsidR="00BB1874" w14:paraId="038A2A27" w14:textId="77777777" w:rsidTr="002E740E">
        <w:trPr>
          <w:cantSplit/>
          <w:trHeight w:val="181"/>
        </w:trPr>
        <w:tc>
          <w:tcPr>
            <w:tcW w:w="810" w:type="pct"/>
          </w:tcPr>
          <w:p w14:paraId="038A2A21" w14:textId="77777777" w:rsidR="00BB1874" w:rsidRPr="007673CD" w:rsidRDefault="00BB1874" w:rsidP="001A5D4A">
            <w:pPr>
              <w:pStyle w:val="Note-Refs"/>
              <w:rPr>
                <w:b/>
              </w:rPr>
            </w:pPr>
            <w:r w:rsidRPr="007673CD">
              <w:t>AASB101.61</w:t>
            </w:r>
            <w:r w:rsidR="00860968">
              <w:t>a</w:t>
            </w:r>
          </w:p>
        </w:tc>
        <w:tc>
          <w:tcPr>
            <w:tcW w:w="2567" w:type="pct"/>
            <w:gridSpan w:val="3"/>
            <w:vAlign w:val="bottom"/>
          </w:tcPr>
          <w:p w14:paraId="038A2A22" w14:textId="77777777" w:rsidR="00BB1874" w:rsidRDefault="00BB1874" w:rsidP="001A5D4A">
            <w:pPr>
              <w:pStyle w:val="NotesTable-ItemPlain"/>
              <w:rPr>
                <w:b/>
              </w:rPr>
            </w:pPr>
            <w:r>
              <w:t>Deferred tax liabilities to be recovered within 12 months</w:t>
            </w:r>
          </w:p>
        </w:tc>
        <w:tc>
          <w:tcPr>
            <w:tcW w:w="406" w:type="pct"/>
            <w:tcBorders>
              <w:bottom w:val="single" w:sz="4" w:space="0" w:color="auto"/>
            </w:tcBorders>
          </w:tcPr>
          <w:p w14:paraId="038A2A23" w14:textId="77777777" w:rsidR="00BB1874" w:rsidRDefault="00BB1874" w:rsidP="001A5D4A">
            <w:pPr>
              <w:pStyle w:val="NotesTable-CellBold"/>
            </w:pPr>
            <w:r>
              <w:t>–</w:t>
            </w:r>
          </w:p>
        </w:tc>
        <w:tc>
          <w:tcPr>
            <w:tcW w:w="406" w:type="pct"/>
            <w:tcBorders>
              <w:bottom w:val="single" w:sz="4" w:space="0" w:color="auto"/>
            </w:tcBorders>
          </w:tcPr>
          <w:p w14:paraId="038A2A24" w14:textId="77777777" w:rsidR="00BB1874" w:rsidRDefault="00BB1874" w:rsidP="001A5D4A">
            <w:pPr>
              <w:pStyle w:val="NotesTable-CellPlain"/>
            </w:pPr>
            <w:r>
              <w:t>–</w:t>
            </w:r>
          </w:p>
        </w:tc>
        <w:tc>
          <w:tcPr>
            <w:tcW w:w="406" w:type="pct"/>
            <w:tcBorders>
              <w:bottom w:val="single" w:sz="4" w:space="0" w:color="auto"/>
            </w:tcBorders>
          </w:tcPr>
          <w:p w14:paraId="038A2A25" w14:textId="77777777" w:rsidR="00BB1874" w:rsidRDefault="00BB1874" w:rsidP="001A5D4A">
            <w:pPr>
              <w:pStyle w:val="NotesTable-CellBold"/>
            </w:pPr>
            <w:r>
              <w:t>–</w:t>
            </w:r>
          </w:p>
        </w:tc>
        <w:tc>
          <w:tcPr>
            <w:tcW w:w="405" w:type="pct"/>
            <w:tcBorders>
              <w:bottom w:val="single" w:sz="4" w:space="0" w:color="auto"/>
            </w:tcBorders>
          </w:tcPr>
          <w:p w14:paraId="038A2A26" w14:textId="77777777" w:rsidR="00BB1874" w:rsidRDefault="00BB1874" w:rsidP="001A5D4A">
            <w:pPr>
              <w:pStyle w:val="NotesTable-CellPlain"/>
            </w:pPr>
            <w:r>
              <w:t>–</w:t>
            </w:r>
          </w:p>
        </w:tc>
      </w:tr>
      <w:tr w:rsidR="00BB1874" w14:paraId="038A2A2E" w14:textId="77777777" w:rsidTr="002E740E">
        <w:trPr>
          <w:cantSplit/>
          <w:trHeight w:val="181"/>
        </w:trPr>
        <w:tc>
          <w:tcPr>
            <w:tcW w:w="810" w:type="pct"/>
          </w:tcPr>
          <w:p w14:paraId="038A2A28" w14:textId="77777777" w:rsidR="00BB1874" w:rsidRPr="007673CD" w:rsidRDefault="00BB1874" w:rsidP="001A5D4A">
            <w:pPr>
              <w:pStyle w:val="Note-Refs"/>
            </w:pPr>
          </w:p>
        </w:tc>
        <w:tc>
          <w:tcPr>
            <w:tcW w:w="2567" w:type="pct"/>
            <w:gridSpan w:val="3"/>
            <w:vAlign w:val="bottom"/>
          </w:tcPr>
          <w:p w14:paraId="038A2A29" w14:textId="77777777" w:rsidR="00BB1874" w:rsidRDefault="00983B59" w:rsidP="001A5D4A">
            <w:pPr>
              <w:pStyle w:val="NotesTable-ItemPlain"/>
              <w:rPr>
                <w:b/>
              </w:rPr>
            </w:pPr>
            <w:r>
              <w:t>Total</w:t>
            </w:r>
            <w:r w:rsidR="002055FE">
              <w:t xml:space="preserve"> deferred tax liabilities</w:t>
            </w:r>
          </w:p>
        </w:tc>
        <w:tc>
          <w:tcPr>
            <w:tcW w:w="406" w:type="pct"/>
            <w:tcBorders>
              <w:top w:val="single" w:sz="4" w:space="0" w:color="auto"/>
            </w:tcBorders>
          </w:tcPr>
          <w:p w14:paraId="038A2A2A" w14:textId="77777777" w:rsidR="00BB1874" w:rsidRDefault="00BB1874" w:rsidP="001A5D4A">
            <w:pPr>
              <w:pStyle w:val="NotesTable-CellBold"/>
            </w:pPr>
            <w:r>
              <w:t>–</w:t>
            </w:r>
          </w:p>
        </w:tc>
        <w:tc>
          <w:tcPr>
            <w:tcW w:w="406" w:type="pct"/>
            <w:tcBorders>
              <w:top w:val="single" w:sz="4" w:space="0" w:color="auto"/>
            </w:tcBorders>
          </w:tcPr>
          <w:p w14:paraId="038A2A2B" w14:textId="77777777" w:rsidR="00BB1874" w:rsidRDefault="00BB1874" w:rsidP="001A5D4A">
            <w:pPr>
              <w:pStyle w:val="NotesTable-CellPlain"/>
            </w:pPr>
            <w:r>
              <w:t>–</w:t>
            </w:r>
          </w:p>
        </w:tc>
        <w:tc>
          <w:tcPr>
            <w:tcW w:w="406" w:type="pct"/>
            <w:tcBorders>
              <w:top w:val="single" w:sz="4" w:space="0" w:color="auto"/>
            </w:tcBorders>
          </w:tcPr>
          <w:p w14:paraId="038A2A2C" w14:textId="77777777" w:rsidR="00BB1874" w:rsidRDefault="00BB1874" w:rsidP="001A5D4A">
            <w:pPr>
              <w:pStyle w:val="NotesTable-CellBold"/>
            </w:pPr>
            <w:r>
              <w:t>–</w:t>
            </w:r>
          </w:p>
        </w:tc>
        <w:tc>
          <w:tcPr>
            <w:tcW w:w="405" w:type="pct"/>
            <w:tcBorders>
              <w:top w:val="single" w:sz="4" w:space="0" w:color="auto"/>
            </w:tcBorders>
          </w:tcPr>
          <w:p w14:paraId="038A2A2D" w14:textId="77777777" w:rsidR="00BB1874" w:rsidRDefault="00BB1874" w:rsidP="001A5D4A">
            <w:pPr>
              <w:pStyle w:val="NotesTable-CellPlain"/>
            </w:pPr>
            <w:r>
              <w:t>–</w:t>
            </w:r>
          </w:p>
        </w:tc>
      </w:tr>
    </w:tbl>
    <w:p w14:paraId="0E288474" w14:textId="77777777" w:rsidR="00BA4658" w:rsidRDefault="00BA4658" w:rsidP="001A5D4A"/>
    <w:tbl>
      <w:tblPr>
        <w:tblW w:w="5000" w:type="pct"/>
        <w:tblCellMar>
          <w:left w:w="0" w:type="dxa"/>
          <w:right w:w="0" w:type="dxa"/>
        </w:tblCellMar>
        <w:tblLook w:val="0000" w:firstRow="0" w:lastRow="0" w:firstColumn="0" w:lastColumn="0" w:noHBand="0" w:noVBand="0"/>
      </w:tblPr>
      <w:tblGrid>
        <w:gridCol w:w="1658"/>
        <w:gridCol w:w="3599"/>
        <w:gridCol w:w="862"/>
        <w:gridCol w:w="829"/>
        <w:gridCol w:w="829"/>
        <w:gridCol w:w="829"/>
        <w:gridCol w:w="829"/>
        <w:gridCol w:w="825"/>
      </w:tblGrid>
      <w:tr w:rsidR="00BA4658" w14:paraId="0096E104" w14:textId="77777777" w:rsidTr="002E740E">
        <w:trPr>
          <w:trHeight w:val="181"/>
        </w:trPr>
        <w:tc>
          <w:tcPr>
            <w:tcW w:w="808" w:type="pct"/>
          </w:tcPr>
          <w:p w14:paraId="436E1382" w14:textId="77777777" w:rsidR="00BA4658" w:rsidRDefault="00BA4658" w:rsidP="001A5D4A">
            <w:pPr>
              <w:pStyle w:val="Note-Refs"/>
            </w:pPr>
            <w:r>
              <w:t>AASB112.81g(ii)</w:t>
            </w:r>
          </w:p>
        </w:tc>
        <w:tc>
          <w:tcPr>
            <w:tcW w:w="1754" w:type="pct"/>
            <w:shd w:val="clear" w:color="auto" w:fill="auto"/>
            <w:vAlign w:val="bottom"/>
          </w:tcPr>
          <w:p w14:paraId="70EF32FF" w14:textId="3E68CA2A" w:rsidR="00BA4658" w:rsidRDefault="00BA4658" w:rsidP="001A5D4A">
            <w:pPr>
              <w:pStyle w:val="NotesTable-ItemBold"/>
            </w:pPr>
            <w:r>
              <w:rPr>
                <w:szCs w:val="18"/>
              </w:rPr>
              <w:t xml:space="preserve">Movements - </w:t>
            </w:r>
            <w:r>
              <w:t>Consolidated</w:t>
            </w:r>
          </w:p>
        </w:tc>
        <w:tc>
          <w:tcPr>
            <w:tcW w:w="420" w:type="pct"/>
            <w:shd w:val="clear" w:color="auto" w:fill="auto"/>
            <w:vAlign w:val="bottom"/>
          </w:tcPr>
          <w:p w14:paraId="23845980" w14:textId="77777777" w:rsidR="00BA4658" w:rsidRDefault="00BA4658" w:rsidP="001A5D4A">
            <w:pPr>
              <w:pStyle w:val="NotesTable-HeadPlain"/>
              <w:rPr>
                <w:b/>
                <w:vertAlign w:val="superscript"/>
              </w:rPr>
            </w:pPr>
            <w:r>
              <w:t>[Specify]</w:t>
            </w:r>
            <w:r>
              <w:rPr>
                <w:vertAlign w:val="superscript"/>
              </w:rPr>
              <w:t>1</w:t>
            </w:r>
          </w:p>
        </w:tc>
        <w:tc>
          <w:tcPr>
            <w:tcW w:w="404" w:type="pct"/>
            <w:shd w:val="clear" w:color="auto" w:fill="auto"/>
            <w:vAlign w:val="bottom"/>
          </w:tcPr>
          <w:p w14:paraId="276A3687" w14:textId="77777777" w:rsidR="00BA4658" w:rsidRDefault="00BA4658" w:rsidP="001A5D4A">
            <w:pPr>
              <w:pStyle w:val="NotesTable-HeadPlain"/>
            </w:pPr>
            <w:r>
              <w:t>[Specify]</w:t>
            </w:r>
          </w:p>
        </w:tc>
        <w:tc>
          <w:tcPr>
            <w:tcW w:w="404" w:type="pct"/>
            <w:shd w:val="clear" w:color="auto" w:fill="auto"/>
            <w:vAlign w:val="bottom"/>
          </w:tcPr>
          <w:p w14:paraId="30BAA745" w14:textId="77777777" w:rsidR="00BA4658" w:rsidRDefault="00BA4658" w:rsidP="001A5D4A">
            <w:pPr>
              <w:pStyle w:val="NotesTable-HeadPlain"/>
            </w:pPr>
            <w:r>
              <w:t>[Specify]</w:t>
            </w:r>
          </w:p>
        </w:tc>
        <w:tc>
          <w:tcPr>
            <w:tcW w:w="404" w:type="pct"/>
            <w:shd w:val="clear" w:color="auto" w:fill="auto"/>
            <w:vAlign w:val="bottom"/>
          </w:tcPr>
          <w:p w14:paraId="03AFCDD3" w14:textId="77777777" w:rsidR="00BA4658" w:rsidRDefault="00BA4658" w:rsidP="001A5D4A">
            <w:pPr>
              <w:pStyle w:val="NotesTable-HeadPlain"/>
            </w:pPr>
            <w:r>
              <w:t>[Specify]</w:t>
            </w:r>
          </w:p>
        </w:tc>
        <w:tc>
          <w:tcPr>
            <w:tcW w:w="404" w:type="pct"/>
            <w:shd w:val="clear" w:color="auto" w:fill="auto"/>
            <w:vAlign w:val="bottom"/>
          </w:tcPr>
          <w:p w14:paraId="0A77BD45" w14:textId="77777777" w:rsidR="00BA4658" w:rsidRDefault="00BA4658" w:rsidP="001A5D4A">
            <w:pPr>
              <w:pStyle w:val="NotesTable-HeadPlain"/>
            </w:pPr>
            <w:r>
              <w:t>[Specify]</w:t>
            </w:r>
          </w:p>
        </w:tc>
        <w:tc>
          <w:tcPr>
            <w:tcW w:w="402" w:type="pct"/>
            <w:shd w:val="clear" w:color="auto" w:fill="auto"/>
            <w:vAlign w:val="bottom"/>
          </w:tcPr>
          <w:p w14:paraId="2EA4BA96" w14:textId="77777777" w:rsidR="00BA4658" w:rsidRDefault="00BA4658" w:rsidP="001A5D4A">
            <w:pPr>
              <w:pStyle w:val="NotesTable-HeadPlain"/>
            </w:pPr>
            <w:r>
              <w:t>Total</w:t>
            </w:r>
          </w:p>
        </w:tc>
      </w:tr>
      <w:tr w:rsidR="00BA4658" w14:paraId="4067660F" w14:textId="77777777" w:rsidTr="002E740E">
        <w:trPr>
          <w:trHeight w:val="181"/>
        </w:trPr>
        <w:tc>
          <w:tcPr>
            <w:tcW w:w="808" w:type="pct"/>
          </w:tcPr>
          <w:p w14:paraId="374305BC" w14:textId="77777777" w:rsidR="00BA4658" w:rsidRDefault="00BA4658" w:rsidP="001A5D4A">
            <w:pPr>
              <w:pStyle w:val="Note-Refs"/>
            </w:pPr>
          </w:p>
        </w:tc>
        <w:tc>
          <w:tcPr>
            <w:tcW w:w="1754" w:type="pct"/>
            <w:shd w:val="clear" w:color="auto" w:fill="auto"/>
            <w:vAlign w:val="bottom"/>
          </w:tcPr>
          <w:p w14:paraId="213FC861" w14:textId="77777777" w:rsidR="00BA4658" w:rsidRDefault="00BA4658" w:rsidP="001A5D4A">
            <w:pPr>
              <w:pStyle w:val="NotesTable-ItemPlain"/>
            </w:pPr>
          </w:p>
        </w:tc>
        <w:tc>
          <w:tcPr>
            <w:tcW w:w="420" w:type="pct"/>
            <w:shd w:val="clear" w:color="auto" w:fill="auto"/>
            <w:vAlign w:val="bottom"/>
          </w:tcPr>
          <w:p w14:paraId="26F6F054" w14:textId="77777777" w:rsidR="00BA4658" w:rsidRDefault="00BA4658" w:rsidP="001A5D4A">
            <w:pPr>
              <w:pStyle w:val="NotesTable-HeadPlain"/>
              <w:rPr>
                <w:b/>
              </w:rPr>
            </w:pPr>
            <w:r>
              <w:t>$'000</w:t>
            </w:r>
          </w:p>
        </w:tc>
        <w:tc>
          <w:tcPr>
            <w:tcW w:w="404" w:type="pct"/>
            <w:shd w:val="clear" w:color="auto" w:fill="auto"/>
            <w:vAlign w:val="bottom"/>
          </w:tcPr>
          <w:p w14:paraId="6A6E9E1B" w14:textId="77777777" w:rsidR="00BA4658" w:rsidRDefault="00BA4658" w:rsidP="001A5D4A">
            <w:pPr>
              <w:pStyle w:val="NotesTable-HeadPlain"/>
              <w:rPr>
                <w:b/>
              </w:rPr>
            </w:pPr>
            <w:r>
              <w:t>$'000</w:t>
            </w:r>
          </w:p>
        </w:tc>
        <w:tc>
          <w:tcPr>
            <w:tcW w:w="404" w:type="pct"/>
            <w:shd w:val="clear" w:color="auto" w:fill="auto"/>
            <w:vAlign w:val="bottom"/>
          </w:tcPr>
          <w:p w14:paraId="30B4589D" w14:textId="77777777" w:rsidR="00BA4658" w:rsidRDefault="00BA4658" w:rsidP="001A5D4A">
            <w:pPr>
              <w:pStyle w:val="NotesTable-HeadPlain"/>
              <w:rPr>
                <w:b/>
              </w:rPr>
            </w:pPr>
            <w:r>
              <w:t>$'000</w:t>
            </w:r>
          </w:p>
        </w:tc>
        <w:tc>
          <w:tcPr>
            <w:tcW w:w="404" w:type="pct"/>
            <w:shd w:val="clear" w:color="auto" w:fill="auto"/>
            <w:vAlign w:val="bottom"/>
          </w:tcPr>
          <w:p w14:paraId="11B83A9B" w14:textId="77777777" w:rsidR="00BA4658" w:rsidRDefault="00BA4658" w:rsidP="001A5D4A">
            <w:pPr>
              <w:pStyle w:val="NotesTable-HeadPlain"/>
              <w:rPr>
                <w:b/>
              </w:rPr>
            </w:pPr>
            <w:r>
              <w:t>$'000</w:t>
            </w:r>
          </w:p>
        </w:tc>
        <w:tc>
          <w:tcPr>
            <w:tcW w:w="404" w:type="pct"/>
            <w:shd w:val="clear" w:color="auto" w:fill="auto"/>
            <w:vAlign w:val="bottom"/>
          </w:tcPr>
          <w:p w14:paraId="63AD0F4B" w14:textId="77777777" w:rsidR="00BA4658" w:rsidRDefault="00BA4658" w:rsidP="001A5D4A">
            <w:pPr>
              <w:pStyle w:val="NotesTable-HeadPlain"/>
              <w:rPr>
                <w:b/>
              </w:rPr>
            </w:pPr>
            <w:r>
              <w:t>$'000</w:t>
            </w:r>
          </w:p>
        </w:tc>
        <w:tc>
          <w:tcPr>
            <w:tcW w:w="402" w:type="pct"/>
            <w:shd w:val="clear" w:color="auto" w:fill="auto"/>
            <w:vAlign w:val="bottom"/>
          </w:tcPr>
          <w:p w14:paraId="013098ED" w14:textId="77777777" w:rsidR="00BA4658" w:rsidRDefault="00BA4658" w:rsidP="001A5D4A">
            <w:pPr>
              <w:pStyle w:val="NotesTable-HeadPlain"/>
              <w:rPr>
                <w:b/>
              </w:rPr>
            </w:pPr>
            <w:r>
              <w:t>$'000</w:t>
            </w:r>
          </w:p>
        </w:tc>
      </w:tr>
      <w:tr w:rsidR="00BA4658" w14:paraId="51C41750" w14:textId="77777777" w:rsidTr="002E740E">
        <w:trPr>
          <w:trHeight w:val="181"/>
        </w:trPr>
        <w:tc>
          <w:tcPr>
            <w:tcW w:w="808" w:type="pct"/>
          </w:tcPr>
          <w:p w14:paraId="59C31C80" w14:textId="77777777" w:rsidR="00BA4658" w:rsidRDefault="00BA4658" w:rsidP="001A5D4A">
            <w:pPr>
              <w:pStyle w:val="Note-Refs"/>
            </w:pPr>
          </w:p>
        </w:tc>
        <w:tc>
          <w:tcPr>
            <w:tcW w:w="1754" w:type="pct"/>
            <w:vAlign w:val="bottom"/>
          </w:tcPr>
          <w:p w14:paraId="2D2931A5" w14:textId="77777777" w:rsidR="00BA4658" w:rsidRDefault="00BA4658" w:rsidP="001A5D4A">
            <w:pPr>
              <w:pStyle w:val="NotesTable-ItemBold"/>
            </w:pPr>
            <w:r>
              <w:t>At 1 January 2013</w:t>
            </w:r>
          </w:p>
        </w:tc>
        <w:tc>
          <w:tcPr>
            <w:tcW w:w="420" w:type="pct"/>
            <w:tcBorders>
              <w:left w:val="nil"/>
            </w:tcBorders>
          </w:tcPr>
          <w:p w14:paraId="206243EF" w14:textId="77777777" w:rsidR="00BA4658" w:rsidRDefault="00BA4658" w:rsidP="001A5D4A">
            <w:pPr>
              <w:pStyle w:val="NotesTable-CellPlain"/>
              <w:rPr>
                <w:lang w:val="en-GB"/>
              </w:rPr>
            </w:pPr>
            <w:r w:rsidRPr="000F5D81">
              <w:t>–</w:t>
            </w:r>
          </w:p>
        </w:tc>
        <w:tc>
          <w:tcPr>
            <w:tcW w:w="404" w:type="pct"/>
          </w:tcPr>
          <w:p w14:paraId="74D4FC1E" w14:textId="77777777" w:rsidR="00BA4658" w:rsidRDefault="00BA4658" w:rsidP="001A5D4A">
            <w:pPr>
              <w:pStyle w:val="NotesTable-CellPlain"/>
              <w:rPr>
                <w:lang w:val="en-GB"/>
              </w:rPr>
            </w:pPr>
            <w:r w:rsidRPr="000F5D81">
              <w:t>–</w:t>
            </w:r>
          </w:p>
        </w:tc>
        <w:tc>
          <w:tcPr>
            <w:tcW w:w="404" w:type="pct"/>
          </w:tcPr>
          <w:p w14:paraId="29D8F200" w14:textId="77777777" w:rsidR="00BA4658" w:rsidRDefault="00BA4658" w:rsidP="001A5D4A">
            <w:pPr>
              <w:pStyle w:val="NotesTable-CellPlain"/>
              <w:rPr>
                <w:lang w:val="en-GB"/>
              </w:rPr>
            </w:pPr>
            <w:r w:rsidRPr="000F5D81">
              <w:t>–</w:t>
            </w:r>
          </w:p>
        </w:tc>
        <w:tc>
          <w:tcPr>
            <w:tcW w:w="404" w:type="pct"/>
          </w:tcPr>
          <w:p w14:paraId="02C8C172" w14:textId="77777777" w:rsidR="00BA4658" w:rsidRDefault="00BA4658" w:rsidP="001A5D4A">
            <w:pPr>
              <w:pStyle w:val="NotesTable-CellPlain"/>
              <w:rPr>
                <w:lang w:val="en-GB"/>
              </w:rPr>
            </w:pPr>
            <w:r w:rsidRPr="000F5D81">
              <w:t>–</w:t>
            </w:r>
          </w:p>
        </w:tc>
        <w:tc>
          <w:tcPr>
            <w:tcW w:w="404" w:type="pct"/>
          </w:tcPr>
          <w:p w14:paraId="6AB1E4EA" w14:textId="77777777" w:rsidR="00BA4658" w:rsidRDefault="00BA4658" w:rsidP="001A5D4A">
            <w:pPr>
              <w:pStyle w:val="NotesTable-CellPlain"/>
              <w:rPr>
                <w:lang w:val="en-GB"/>
              </w:rPr>
            </w:pPr>
            <w:r w:rsidRPr="000F5D81">
              <w:t>–</w:t>
            </w:r>
          </w:p>
        </w:tc>
        <w:tc>
          <w:tcPr>
            <w:tcW w:w="402" w:type="pct"/>
          </w:tcPr>
          <w:p w14:paraId="45A7CF2F" w14:textId="77777777" w:rsidR="00BA4658" w:rsidRDefault="00BA4658" w:rsidP="001A5D4A">
            <w:pPr>
              <w:pStyle w:val="NotesTable-CellPlain"/>
              <w:rPr>
                <w:lang w:val="en-GB"/>
              </w:rPr>
            </w:pPr>
            <w:r w:rsidRPr="000F5D81">
              <w:t>–</w:t>
            </w:r>
          </w:p>
        </w:tc>
      </w:tr>
      <w:tr w:rsidR="00BA4658" w:rsidRPr="000F5D81" w14:paraId="6906F805" w14:textId="77777777" w:rsidTr="002E740E">
        <w:trPr>
          <w:trHeight w:val="181"/>
        </w:trPr>
        <w:tc>
          <w:tcPr>
            <w:tcW w:w="808" w:type="pct"/>
          </w:tcPr>
          <w:p w14:paraId="6ABF3EB6" w14:textId="77777777" w:rsidR="00BA4658" w:rsidRDefault="00BA4658" w:rsidP="001A5D4A">
            <w:pPr>
              <w:pStyle w:val="Note-Refs"/>
            </w:pPr>
          </w:p>
        </w:tc>
        <w:tc>
          <w:tcPr>
            <w:tcW w:w="1754" w:type="pct"/>
            <w:vAlign w:val="bottom"/>
          </w:tcPr>
          <w:p w14:paraId="45D5C67A" w14:textId="77777777" w:rsidR="00BA4658" w:rsidRDefault="00BA4658" w:rsidP="001A5D4A">
            <w:pPr>
              <w:pStyle w:val="NotesTable-ItemPlain"/>
            </w:pPr>
          </w:p>
        </w:tc>
        <w:tc>
          <w:tcPr>
            <w:tcW w:w="420" w:type="pct"/>
            <w:tcBorders>
              <w:left w:val="nil"/>
            </w:tcBorders>
          </w:tcPr>
          <w:p w14:paraId="352C018D" w14:textId="77777777" w:rsidR="00BA4658" w:rsidRPr="000F5D81" w:rsidRDefault="00BA4658" w:rsidP="001A5D4A">
            <w:pPr>
              <w:pStyle w:val="NotesTable-CellPlain"/>
            </w:pPr>
          </w:p>
        </w:tc>
        <w:tc>
          <w:tcPr>
            <w:tcW w:w="404" w:type="pct"/>
          </w:tcPr>
          <w:p w14:paraId="74443FC8" w14:textId="77777777" w:rsidR="00BA4658" w:rsidRPr="000F5D81" w:rsidRDefault="00BA4658" w:rsidP="001A5D4A">
            <w:pPr>
              <w:pStyle w:val="NotesTable-CellPlain"/>
            </w:pPr>
          </w:p>
        </w:tc>
        <w:tc>
          <w:tcPr>
            <w:tcW w:w="404" w:type="pct"/>
          </w:tcPr>
          <w:p w14:paraId="794FD962" w14:textId="77777777" w:rsidR="00BA4658" w:rsidRPr="000F5D81" w:rsidRDefault="00BA4658" w:rsidP="001A5D4A">
            <w:pPr>
              <w:pStyle w:val="NotesTable-CellPlain"/>
            </w:pPr>
          </w:p>
        </w:tc>
        <w:tc>
          <w:tcPr>
            <w:tcW w:w="404" w:type="pct"/>
          </w:tcPr>
          <w:p w14:paraId="07537CDE" w14:textId="77777777" w:rsidR="00BA4658" w:rsidRPr="000F5D81" w:rsidRDefault="00BA4658" w:rsidP="001A5D4A">
            <w:pPr>
              <w:pStyle w:val="NotesTable-CellPlain"/>
            </w:pPr>
          </w:p>
        </w:tc>
        <w:tc>
          <w:tcPr>
            <w:tcW w:w="404" w:type="pct"/>
          </w:tcPr>
          <w:p w14:paraId="28E9F24B" w14:textId="77777777" w:rsidR="00BA4658" w:rsidRPr="000F5D81" w:rsidRDefault="00BA4658" w:rsidP="001A5D4A">
            <w:pPr>
              <w:pStyle w:val="NotesTable-CellPlain"/>
            </w:pPr>
          </w:p>
        </w:tc>
        <w:tc>
          <w:tcPr>
            <w:tcW w:w="402" w:type="pct"/>
          </w:tcPr>
          <w:p w14:paraId="3200F014" w14:textId="77777777" w:rsidR="00BA4658" w:rsidRPr="000F5D81" w:rsidRDefault="00BA4658" w:rsidP="001A5D4A">
            <w:pPr>
              <w:pStyle w:val="NotesTable-CellPlain"/>
            </w:pPr>
          </w:p>
        </w:tc>
      </w:tr>
      <w:tr w:rsidR="00BA4658" w14:paraId="6F9CB277" w14:textId="77777777" w:rsidTr="002E740E">
        <w:trPr>
          <w:trHeight w:val="181"/>
        </w:trPr>
        <w:tc>
          <w:tcPr>
            <w:tcW w:w="808" w:type="pct"/>
          </w:tcPr>
          <w:p w14:paraId="4B65BFF7" w14:textId="77777777" w:rsidR="00BA4658" w:rsidRDefault="00BA4658" w:rsidP="001A5D4A">
            <w:pPr>
              <w:pStyle w:val="Note-Refs"/>
              <w:rPr>
                <w:b/>
              </w:rPr>
            </w:pPr>
            <w:r>
              <w:t>AASB112.81g(ii)</w:t>
            </w:r>
          </w:p>
        </w:tc>
        <w:tc>
          <w:tcPr>
            <w:tcW w:w="1754" w:type="pct"/>
            <w:vAlign w:val="bottom"/>
          </w:tcPr>
          <w:p w14:paraId="19825301" w14:textId="77777777" w:rsidR="00BA4658" w:rsidRDefault="00BA4658" w:rsidP="001A5D4A">
            <w:pPr>
              <w:pStyle w:val="NotesTable-ItemPlain"/>
              <w:rPr>
                <w:b/>
              </w:rPr>
            </w:pPr>
            <w:r>
              <w:t>Charged/(credited) to the income statement</w:t>
            </w:r>
          </w:p>
        </w:tc>
        <w:tc>
          <w:tcPr>
            <w:tcW w:w="420" w:type="pct"/>
            <w:tcBorders>
              <w:left w:val="nil"/>
            </w:tcBorders>
          </w:tcPr>
          <w:p w14:paraId="37B712E6" w14:textId="77777777" w:rsidR="00BA4658" w:rsidRDefault="00BA4658" w:rsidP="001A5D4A">
            <w:pPr>
              <w:pStyle w:val="NotesTable-CellPlain"/>
              <w:rPr>
                <w:lang w:val="en-GB"/>
              </w:rPr>
            </w:pPr>
            <w:r w:rsidRPr="000F5D81">
              <w:t>–</w:t>
            </w:r>
          </w:p>
        </w:tc>
        <w:tc>
          <w:tcPr>
            <w:tcW w:w="404" w:type="pct"/>
          </w:tcPr>
          <w:p w14:paraId="055CCA9D" w14:textId="77777777" w:rsidR="00BA4658" w:rsidRDefault="00BA4658" w:rsidP="001A5D4A">
            <w:pPr>
              <w:pStyle w:val="NotesTable-CellPlain"/>
              <w:rPr>
                <w:lang w:val="en-GB"/>
              </w:rPr>
            </w:pPr>
            <w:r w:rsidRPr="000F5D81">
              <w:t>–</w:t>
            </w:r>
          </w:p>
        </w:tc>
        <w:tc>
          <w:tcPr>
            <w:tcW w:w="404" w:type="pct"/>
          </w:tcPr>
          <w:p w14:paraId="53D5A055" w14:textId="77777777" w:rsidR="00BA4658" w:rsidRDefault="00BA4658" w:rsidP="001A5D4A">
            <w:pPr>
              <w:pStyle w:val="NotesTable-CellPlain"/>
              <w:rPr>
                <w:lang w:val="en-GB"/>
              </w:rPr>
            </w:pPr>
            <w:r w:rsidRPr="000F5D81">
              <w:t>–</w:t>
            </w:r>
          </w:p>
        </w:tc>
        <w:tc>
          <w:tcPr>
            <w:tcW w:w="404" w:type="pct"/>
          </w:tcPr>
          <w:p w14:paraId="4574B8AB" w14:textId="77777777" w:rsidR="00BA4658" w:rsidRDefault="00BA4658" w:rsidP="001A5D4A">
            <w:pPr>
              <w:pStyle w:val="NotesTable-CellPlain"/>
              <w:rPr>
                <w:lang w:val="en-GB"/>
              </w:rPr>
            </w:pPr>
            <w:r w:rsidRPr="000F5D81">
              <w:t>–</w:t>
            </w:r>
          </w:p>
        </w:tc>
        <w:tc>
          <w:tcPr>
            <w:tcW w:w="404" w:type="pct"/>
          </w:tcPr>
          <w:p w14:paraId="29DD3F28" w14:textId="77777777" w:rsidR="00BA4658" w:rsidRDefault="00BA4658" w:rsidP="001A5D4A">
            <w:pPr>
              <w:pStyle w:val="NotesTable-CellPlain"/>
              <w:rPr>
                <w:lang w:val="en-GB"/>
              </w:rPr>
            </w:pPr>
            <w:r w:rsidRPr="000F5D81">
              <w:t>–</w:t>
            </w:r>
          </w:p>
        </w:tc>
        <w:tc>
          <w:tcPr>
            <w:tcW w:w="402" w:type="pct"/>
          </w:tcPr>
          <w:p w14:paraId="27CC9C80" w14:textId="77777777" w:rsidR="00BA4658" w:rsidRDefault="00BA4658" w:rsidP="001A5D4A">
            <w:pPr>
              <w:pStyle w:val="NotesTable-CellPlain"/>
              <w:rPr>
                <w:lang w:val="en-GB"/>
              </w:rPr>
            </w:pPr>
            <w:r w:rsidRPr="000F5D81">
              <w:t>–</w:t>
            </w:r>
          </w:p>
        </w:tc>
      </w:tr>
      <w:tr w:rsidR="00BA4658" w14:paraId="634BC044" w14:textId="77777777" w:rsidTr="002E740E">
        <w:trPr>
          <w:trHeight w:val="181"/>
        </w:trPr>
        <w:tc>
          <w:tcPr>
            <w:tcW w:w="808" w:type="pct"/>
          </w:tcPr>
          <w:p w14:paraId="69776282" w14:textId="77777777" w:rsidR="00BA4658" w:rsidRDefault="00BA4658" w:rsidP="001A5D4A">
            <w:pPr>
              <w:pStyle w:val="Note-Refs"/>
              <w:rPr>
                <w:b/>
              </w:rPr>
            </w:pPr>
            <w:r>
              <w:t>AASB112.81a</w:t>
            </w:r>
          </w:p>
        </w:tc>
        <w:tc>
          <w:tcPr>
            <w:tcW w:w="1754" w:type="pct"/>
            <w:vAlign w:val="bottom"/>
          </w:tcPr>
          <w:p w14:paraId="240B08FE" w14:textId="77777777" w:rsidR="00BA4658" w:rsidRDefault="00BA4658" w:rsidP="001A5D4A">
            <w:pPr>
              <w:pStyle w:val="NotesTable-ItemPlain"/>
              <w:rPr>
                <w:b/>
              </w:rPr>
            </w:pPr>
            <w:r>
              <w:t>Charged directly to equity</w:t>
            </w:r>
          </w:p>
        </w:tc>
        <w:tc>
          <w:tcPr>
            <w:tcW w:w="420" w:type="pct"/>
            <w:tcBorders>
              <w:left w:val="nil"/>
              <w:bottom w:val="single" w:sz="4" w:space="0" w:color="auto"/>
            </w:tcBorders>
          </w:tcPr>
          <w:p w14:paraId="5664C41A"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72C3EC63"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61509516"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6B74683F"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6BD0315E" w14:textId="77777777" w:rsidR="00BA4658" w:rsidRDefault="00BA4658" w:rsidP="001A5D4A">
            <w:pPr>
              <w:pStyle w:val="NotesTable-CellPlain"/>
              <w:rPr>
                <w:lang w:val="en-GB"/>
              </w:rPr>
            </w:pPr>
            <w:r w:rsidRPr="000F5D81">
              <w:t>–</w:t>
            </w:r>
          </w:p>
        </w:tc>
        <w:tc>
          <w:tcPr>
            <w:tcW w:w="402" w:type="pct"/>
            <w:tcBorders>
              <w:bottom w:val="single" w:sz="4" w:space="0" w:color="auto"/>
            </w:tcBorders>
          </w:tcPr>
          <w:p w14:paraId="2D02E659" w14:textId="77777777" w:rsidR="00BA4658" w:rsidRDefault="00BA4658" w:rsidP="001A5D4A">
            <w:pPr>
              <w:pStyle w:val="NotesTable-CellPlain"/>
              <w:rPr>
                <w:lang w:val="en-GB"/>
              </w:rPr>
            </w:pPr>
            <w:r w:rsidRPr="000F5D81">
              <w:t>–</w:t>
            </w:r>
          </w:p>
        </w:tc>
      </w:tr>
      <w:tr w:rsidR="00BA4658" w14:paraId="23076DA1" w14:textId="77777777" w:rsidTr="002E740E">
        <w:trPr>
          <w:trHeight w:val="181"/>
        </w:trPr>
        <w:tc>
          <w:tcPr>
            <w:tcW w:w="808" w:type="pct"/>
            <w:vAlign w:val="bottom"/>
          </w:tcPr>
          <w:p w14:paraId="6C1BEC08" w14:textId="77777777" w:rsidR="00BA4658" w:rsidRDefault="00BA4658" w:rsidP="001A5D4A">
            <w:pPr>
              <w:pStyle w:val="Note-Refs"/>
            </w:pPr>
          </w:p>
        </w:tc>
        <w:tc>
          <w:tcPr>
            <w:tcW w:w="1754" w:type="pct"/>
            <w:vAlign w:val="bottom"/>
          </w:tcPr>
          <w:p w14:paraId="063AEE5D" w14:textId="77777777" w:rsidR="00BA4658" w:rsidRDefault="00BA4658" w:rsidP="001A5D4A">
            <w:pPr>
              <w:pStyle w:val="NotesTable-ItemBold"/>
            </w:pPr>
            <w:r>
              <w:t>At 31 December 2013</w:t>
            </w:r>
          </w:p>
        </w:tc>
        <w:tc>
          <w:tcPr>
            <w:tcW w:w="420" w:type="pct"/>
            <w:tcBorders>
              <w:top w:val="single" w:sz="4" w:space="0" w:color="auto"/>
              <w:left w:val="nil"/>
            </w:tcBorders>
          </w:tcPr>
          <w:p w14:paraId="1DD71837"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5FC8B2D2"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31810F03"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3F29AF12"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3D2E1C3B" w14:textId="77777777" w:rsidR="00BA4658" w:rsidRDefault="00BA4658" w:rsidP="001A5D4A">
            <w:pPr>
              <w:pStyle w:val="NotesTable-CellPlain"/>
              <w:rPr>
                <w:lang w:val="en-GB"/>
              </w:rPr>
            </w:pPr>
            <w:r w:rsidRPr="000F5D81">
              <w:t>–</w:t>
            </w:r>
          </w:p>
        </w:tc>
        <w:tc>
          <w:tcPr>
            <w:tcW w:w="402" w:type="pct"/>
            <w:tcBorders>
              <w:top w:val="single" w:sz="4" w:space="0" w:color="auto"/>
            </w:tcBorders>
          </w:tcPr>
          <w:p w14:paraId="2CFDE358" w14:textId="77777777" w:rsidR="00BA4658" w:rsidRDefault="00BA4658" w:rsidP="001A5D4A">
            <w:pPr>
              <w:pStyle w:val="NotesTable-CellPlain"/>
              <w:rPr>
                <w:lang w:val="en-GB"/>
              </w:rPr>
            </w:pPr>
            <w:r w:rsidRPr="000F5D81">
              <w:t>–</w:t>
            </w:r>
          </w:p>
        </w:tc>
      </w:tr>
      <w:tr w:rsidR="00BA4658" w:rsidRPr="000F5D81" w14:paraId="17B34813" w14:textId="77777777" w:rsidTr="002E740E">
        <w:trPr>
          <w:trHeight w:val="181"/>
        </w:trPr>
        <w:tc>
          <w:tcPr>
            <w:tcW w:w="808" w:type="pct"/>
          </w:tcPr>
          <w:p w14:paraId="6F0577FA" w14:textId="77777777" w:rsidR="00BA4658" w:rsidRDefault="00BA4658" w:rsidP="001A5D4A">
            <w:pPr>
              <w:pStyle w:val="Note-Refs"/>
            </w:pPr>
          </w:p>
        </w:tc>
        <w:tc>
          <w:tcPr>
            <w:tcW w:w="1754" w:type="pct"/>
            <w:vAlign w:val="bottom"/>
          </w:tcPr>
          <w:p w14:paraId="3FD89E64" w14:textId="77777777" w:rsidR="00BA4658" w:rsidRDefault="00BA4658" w:rsidP="001A5D4A">
            <w:pPr>
              <w:pStyle w:val="NotesTable-ItemPlain"/>
            </w:pPr>
          </w:p>
        </w:tc>
        <w:tc>
          <w:tcPr>
            <w:tcW w:w="420" w:type="pct"/>
            <w:tcBorders>
              <w:left w:val="nil"/>
            </w:tcBorders>
          </w:tcPr>
          <w:p w14:paraId="744143CF" w14:textId="77777777" w:rsidR="00BA4658" w:rsidRPr="000F5D81" w:rsidRDefault="00BA4658" w:rsidP="001A5D4A">
            <w:pPr>
              <w:pStyle w:val="NotesTable-CellPlain"/>
            </w:pPr>
          </w:p>
        </w:tc>
        <w:tc>
          <w:tcPr>
            <w:tcW w:w="404" w:type="pct"/>
          </w:tcPr>
          <w:p w14:paraId="06D3421B" w14:textId="77777777" w:rsidR="00BA4658" w:rsidRPr="000F5D81" w:rsidRDefault="00BA4658" w:rsidP="001A5D4A">
            <w:pPr>
              <w:pStyle w:val="NotesTable-CellPlain"/>
            </w:pPr>
          </w:p>
        </w:tc>
        <w:tc>
          <w:tcPr>
            <w:tcW w:w="404" w:type="pct"/>
          </w:tcPr>
          <w:p w14:paraId="719BBA7B" w14:textId="77777777" w:rsidR="00BA4658" w:rsidRPr="000F5D81" w:rsidRDefault="00BA4658" w:rsidP="001A5D4A">
            <w:pPr>
              <w:pStyle w:val="NotesTable-CellPlain"/>
            </w:pPr>
          </w:p>
        </w:tc>
        <w:tc>
          <w:tcPr>
            <w:tcW w:w="404" w:type="pct"/>
          </w:tcPr>
          <w:p w14:paraId="7E4DF51E" w14:textId="77777777" w:rsidR="00BA4658" w:rsidRPr="000F5D81" w:rsidRDefault="00BA4658" w:rsidP="001A5D4A">
            <w:pPr>
              <w:pStyle w:val="NotesTable-CellPlain"/>
            </w:pPr>
          </w:p>
        </w:tc>
        <w:tc>
          <w:tcPr>
            <w:tcW w:w="404" w:type="pct"/>
          </w:tcPr>
          <w:p w14:paraId="0FC18A72" w14:textId="77777777" w:rsidR="00BA4658" w:rsidRPr="000F5D81" w:rsidRDefault="00BA4658" w:rsidP="001A5D4A">
            <w:pPr>
              <w:pStyle w:val="NotesTable-CellPlain"/>
            </w:pPr>
          </w:p>
        </w:tc>
        <w:tc>
          <w:tcPr>
            <w:tcW w:w="402" w:type="pct"/>
          </w:tcPr>
          <w:p w14:paraId="0EE8E559" w14:textId="77777777" w:rsidR="00BA4658" w:rsidRPr="000F5D81" w:rsidRDefault="00BA4658" w:rsidP="001A5D4A">
            <w:pPr>
              <w:pStyle w:val="NotesTable-CellPlain"/>
            </w:pPr>
          </w:p>
        </w:tc>
      </w:tr>
      <w:tr w:rsidR="00BA4658" w14:paraId="781096CD" w14:textId="77777777" w:rsidTr="002E740E">
        <w:trPr>
          <w:trHeight w:val="181"/>
        </w:trPr>
        <w:tc>
          <w:tcPr>
            <w:tcW w:w="808" w:type="pct"/>
          </w:tcPr>
          <w:p w14:paraId="53E0B1FB" w14:textId="77777777" w:rsidR="00BA4658" w:rsidRDefault="00BA4658" w:rsidP="001A5D4A">
            <w:pPr>
              <w:pStyle w:val="Note-Refs"/>
              <w:rPr>
                <w:b/>
              </w:rPr>
            </w:pPr>
            <w:r>
              <w:t>AASB112.81g(ii)</w:t>
            </w:r>
          </w:p>
        </w:tc>
        <w:tc>
          <w:tcPr>
            <w:tcW w:w="1754" w:type="pct"/>
            <w:vAlign w:val="bottom"/>
          </w:tcPr>
          <w:p w14:paraId="6E18C30C" w14:textId="77777777" w:rsidR="00BA4658" w:rsidRDefault="00BA4658" w:rsidP="001A5D4A">
            <w:pPr>
              <w:pStyle w:val="NotesTable-ItemPlain"/>
              <w:rPr>
                <w:b/>
              </w:rPr>
            </w:pPr>
            <w:r>
              <w:t>Charged/(credited) to the income statement</w:t>
            </w:r>
          </w:p>
        </w:tc>
        <w:tc>
          <w:tcPr>
            <w:tcW w:w="420" w:type="pct"/>
            <w:tcBorders>
              <w:left w:val="nil"/>
            </w:tcBorders>
          </w:tcPr>
          <w:p w14:paraId="46FF8D88" w14:textId="77777777" w:rsidR="00BA4658" w:rsidRDefault="00BA4658" w:rsidP="001A5D4A">
            <w:pPr>
              <w:pStyle w:val="NotesTable-CellPlain"/>
              <w:rPr>
                <w:lang w:val="en-GB"/>
              </w:rPr>
            </w:pPr>
            <w:r w:rsidRPr="000F5D81">
              <w:t>–</w:t>
            </w:r>
          </w:p>
        </w:tc>
        <w:tc>
          <w:tcPr>
            <w:tcW w:w="404" w:type="pct"/>
          </w:tcPr>
          <w:p w14:paraId="54E58315" w14:textId="77777777" w:rsidR="00BA4658" w:rsidRDefault="00BA4658" w:rsidP="001A5D4A">
            <w:pPr>
              <w:pStyle w:val="NotesTable-CellPlain"/>
              <w:rPr>
                <w:lang w:val="en-GB"/>
              </w:rPr>
            </w:pPr>
            <w:r w:rsidRPr="000F5D81">
              <w:t>–</w:t>
            </w:r>
          </w:p>
        </w:tc>
        <w:tc>
          <w:tcPr>
            <w:tcW w:w="404" w:type="pct"/>
          </w:tcPr>
          <w:p w14:paraId="03E28CF5" w14:textId="77777777" w:rsidR="00BA4658" w:rsidRDefault="00BA4658" w:rsidP="001A5D4A">
            <w:pPr>
              <w:pStyle w:val="NotesTable-CellPlain"/>
              <w:rPr>
                <w:lang w:val="en-GB"/>
              </w:rPr>
            </w:pPr>
            <w:r w:rsidRPr="000F5D81">
              <w:t>–</w:t>
            </w:r>
          </w:p>
        </w:tc>
        <w:tc>
          <w:tcPr>
            <w:tcW w:w="404" w:type="pct"/>
          </w:tcPr>
          <w:p w14:paraId="25463BB1" w14:textId="77777777" w:rsidR="00BA4658" w:rsidRDefault="00BA4658" w:rsidP="001A5D4A">
            <w:pPr>
              <w:pStyle w:val="NotesTable-CellPlain"/>
              <w:rPr>
                <w:lang w:val="en-GB"/>
              </w:rPr>
            </w:pPr>
            <w:r w:rsidRPr="000F5D81">
              <w:t>–</w:t>
            </w:r>
          </w:p>
        </w:tc>
        <w:tc>
          <w:tcPr>
            <w:tcW w:w="404" w:type="pct"/>
          </w:tcPr>
          <w:p w14:paraId="126CC0FB" w14:textId="77777777" w:rsidR="00BA4658" w:rsidRDefault="00BA4658" w:rsidP="001A5D4A">
            <w:pPr>
              <w:pStyle w:val="NotesTable-CellPlain"/>
              <w:rPr>
                <w:lang w:val="en-GB"/>
              </w:rPr>
            </w:pPr>
            <w:r w:rsidRPr="000F5D81">
              <w:t>–</w:t>
            </w:r>
          </w:p>
        </w:tc>
        <w:tc>
          <w:tcPr>
            <w:tcW w:w="402" w:type="pct"/>
          </w:tcPr>
          <w:p w14:paraId="71342231" w14:textId="77777777" w:rsidR="00BA4658" w:rsidRDefault="00BA4658" w:rsidP="001A5D4A">
            <w:pPr>
              <w:pStyle w:val="NotesTable-CellPlain"/>
              <w:rPr>
                <w:lang w:val="en-GB"/>
              </w:rPr>
            </w:pPr>
            <w:r w:rsidRPr="000F5D81">
              <w:t>–</w:t>
            </w:r>
          </w:p>
        </w:tc>
      </w:tr>
      <w:tr w:rsidR="00BA4658" w14:paraId="0A259384" w14:textId="77777777" w:rsidTr="002E740E">
        <w:trPr>
          <w:trHeight w:val="181"/>
        </w:trPr>
        <w:tc>
          <w:tcPr>
            <w:tcW w:w="808" w:type="pct"/>
            <w:vAlign w:val="bottom"/>
          </w:tcPr>
          <w:p w14:paraId="2F7630FB" w14:textId="77777777" w:rsidR="00BA4658" w:rsidRDefault="00BA4658" w:rsidP="001A5D4A">
            <w:pPr>
              <w:pStyle w:val="Note-Refs"/>
              <w:rPr>
                <w:b/>
              </w:rPr>
            </w:pPr>
            <w:r>
              <w:t>AASB112.81a</w:t>
            </w:r>
          </w:p>
        </w:tc>
        <w:tc>
          <w:tcPr>
            <w:tcW w:w="1754" w:type="pct"/>
            <w:vAlign w:val="bottom"/>
          </w:tcPr>
          <w:p w14:paraId="6441E66C" w14:textId="77777777" w:rsidR="00BA4658" w:rsidRDefault="00BA4658" w:rsidP="001A5D4A">
            <w:pPr>
              <w:pStyle w:val="NotesTable-ItemPlain"/>
              <w:rPr>
                <w:b/>
              </w:rPr>
            </w:pPr>
            <w:r>
              <w:t>Charged directly to equity</w:t>
            </w:r>
          </w:p>
        </w:tc>
        <w:tc>
          <w:tcPr>
            <w:tcW w:w="420" w:type="pct"/>
            <w:tcBorders>
              <w:left w:val="nil"/>
            </w:tcBorders>
          </w:tcPr>
          <w:p w14:paraId="4F31A3E3" w14:textId="77777777" w:rsidR="00BA4658" w:rsidRDefault="00BA4658" w:rsidP="001A5D4A">
            <w:pPr>
              <w:pStyle w:val="NotesTable-CellPlain"/>
              <w:rPr>
                <w:lang w:val="en-GB"/>
              </w:rPr>
            </w:pPr>
            <w:r w:rsidRPr="000F5D81">
              <w:t>–</w:t>
            </w:r>
          </w:p>
        </w:tc>
        <w:tc>
          <w:tcPr>
            <w:tcW w:w="404" w:type="pct"/>
          </w:tcPr>
          <w:p w14:paraId="3E690F76" w14:textId="77777777" w:rsidR="00BA4658" w:rsidRDefault="00BA4658" w:rsidP="001A5D4A">
            <w:pPr>
              <w:pStyle w:val="NotesTable-CellPlain"/>
              <w:rPr>
                <w:lang w:val="en-GB"/>
              </w:rPr>
            </w:pPr>
            <w:r w:rsidRPr="000F5D81">
              <w:t>–</w:t>
            </w:r>
          </w:p>
        </w:tc>
        <w:tc>
          <w:tcPr>
            <w:tcW w:w="404" w:type="pct"/>
          </w:tcPr>
          <w:p w14:paraId="5F82ED18" w14:textId="77777777" w:rsidR="00BA4658" w:rsidRDefault="00BA4658" w:rsidP="001A5D4A">
            <w:pPr>
              <w:pStyle w:val="NotesTable-CellPlain"/>
              <w:rPr>
                <w:lang w:val="en-GB"/>
              </w:rPr>
            </w:pPr>
            <w:r w:rsidRPr="000F5D81">
              <w:t>–</w:t>
            </w:r>
          </w:p>
        </w:tc>
        <w:tc>
          <w:tcPr>
            <w:tcW w:w="404" w:type="pct"/>
          </w:tcPr>
          <w:p w14:paraId="3CCE99A5" w14:textId="77777777" w:rsidR="00BA4658" w:rsidRDefault="00BA4658" w:rsidP="001A5D4A">
            <w:pPr>
              <w:pStyle w:val="NotesTable-CellPlain"/>
              <w:rPr>
                <w:lang w:val="en-GB"/>
              </w:rPr>
            </w:pPr>
            <w:r w:rsidRPr="000F5D81">
              <w:t>–</w:t>
            </w:r>
          </w:p>
        </w:tc>
        <w:tc>
          <w:tcPr>
            <w:tcW w:w="404" w:type="pct"/>
          </w:tcPr>
          <w:p w14:paraId="5CE9264E" w14:textId="77777777" w:rsidR="00BA4658" w:rsidRDefault="00BA4658" w:rsidP="001A5D4A">
            <w:pPr>
              <w:pStyle w:val="NotesTable-CellPlain"/>
              <w:rPr>
                <w:lang w:val="en-GB"/>
              </w:rPr>
            </w:pPr>
            <w:r w:rsidRPr="000F5D81">
              <w:t>–</w:t>
            </w:r>
          </w:p>
        </w:tc>
        <w:tc>
          <w:tcPr>
            <w:tcW w:w="402" w:type="pct"/>
          </w:tcPr>
          <w:p w14:paraId="776F7698" w14:textId="77777777" w:rsidR="00BA4658" w:rsidRDefault="00BA4658" w:rsidP="001A5D4A">
            <w:pPr>
              <w:pStyle w:val="NotesTable-CellPlain"/>
              <w:rPr>
                <w:lang w:val="en-GB"/>
              </w:rPr>
            </w:pPr>
            <w:r w:rsidRPr="000F5D81">
              <w:t>–</w:t>
            </w:r>
          </w:p>
        </w:tc>
      </w:tr>
      <w:tr w:rsidR="00BA4658" w14:paraId="3B2854CA" w14:textId="77777777" w:rsidTr="002E740E">
        <w:trPr>
          <w:trHeight w:val="181"/>
        </w:trPr>
        <w:tc>
          <w:tcPr>
            <w:tcW w:w="808" w:type="pct"/>
            <w:vAlign w:val="bottom"/>
          </w:tcPr>
          <w:p w14:paraId="5E98F0D0" w14:textId="77777777" w:rsidR="00BA4658" w:rsidRDefault="00BA4658" w:rsidP="001A5D4A">
            <w:pPr>
              <w:pStyle w:val="Note-Refs"/>
            </w:pPr>
          </w:p>
        </w:tc>
        <w:tc>
          <w:tcPr>
            <w:tcW w:w="1754" w:type="pct"/>
            <w:vAlign w:val="bottom"/>
          </w:tcPr>
          <w:p w14:paraId="2C5B4ECE" w14:textId="77777777" w:rsidR="00BA4658" w:rsidRDefault="00BA4658" w:rsidP="001A5D4A">
            <w:pPr>
              <w:pStyle w:val="NotesTable-ItemPlain"/>
              <w:rPr>
                <w:b/>
              </w:rPr>
            </w:pPr>
            <w:r>
              <w:t>Acquisition of subsidiary</w:t>
            </w:r>
          </w:p>
        </w:tc>
        <w:tc>
          <w:tcPr>
            <w:tcW w:w="420" w:type="pct"/>
            <w:tcBorders>
              <w:left w:val="nil"/>
              <w:bottom w:val="single" w:sz="4" w:space="0" w:color="auto"/>
            </w:tcBorders>
          </w:tcPr>
          <w:p w14:paraId="45EAF640"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61F5BEAE"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2BA0F35A"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58A48AE0" w14:textId="77777777" w:rsidR="00BA4658" w:rsidRDefault="00BA4658" w:rsidP="001A5D4A">
            <w:pPr>
              <w:pStyle w:val="NotesTable-CellPlain"/>
              <w:rPr>
                <w:lang w:val="en-GB"/>
              </w:rPr>
            </w:pPr>
            <w:r w:rsidRPr="000F5D81">
              <w:t>–</w:t>
            </w:r>
          </w:p>
        </w:tc>
        <w:tc>
          <w:tcPr>
            <w:tcW w:w="404" w:type="pct"/>
            <w:tcBorders>
              <w:bottom w:val="single" w:sz="4" w:space="0" w:color="auto"/>
            </w:tcBorders>
          </w:tcPr>
          <w:p w14:paraId="3B70A2A5" w14:textId="77777777" w:rsidR="00BA4658" w:rsidRDefault="00BA4658" w:rsidP="001A5D4A">
            <w:pPr>
              <w:pStyle w:val="NotesTable-CellPlain"/>
              <w:rPr>
                <w:lang w:val="en-GB"/>
              </w:rPr>
            </w:pPr>
            <w:r w:rsidRPr="000F5D81">
              <w:t>–</w:t>
            </w:r>
          </w:p>
        </w:tc>
        <w:tc>
          <w:tcPr>
            <w:tcW w:w="402" w:type="pct"/>
            <w:tcBorders>
              <w:bottom w:val="single" w:sz="4" w:space="0" w:color="auto"/>
            </w:tcBorders>
          </w:tcPr>
          <w:p w14:paraId="6B1C63AA" w14:textId="77777777" w:rsidR="00BA4658" w:rsidRDefault="00BA4658" w:rsidP="001A5D4A">
            <w:pPr>
              <w:pStyle w:val="NotesTable-CellPlain"/>
              <w:rPr>
                <w:lang w:val="en-GB"/>
              </w:rPr>
            </w:pPr>
            <w:r w:rsidRPr="000F5D81">
              <w:t>–</w:t>
            </w:r>
          </w:p>
        </w:tc>
      </w:tr>
      <w:tr w:rsidR="00BA4658" w14:paraId="5A8A1FD6" w14:textId="77777777" w:rsidTr="002E740E">
        <w:trPr>
          <w:trHeight w:val="181"/>
        </w:trPr>
        <w:tc>
          <w:tcPr>
            <w:tcW w:w="808" w:type="pct"/>
            <w:vAlign w:val="bottom"/>
          </w:tcPr>
          <w:p w14:paraId="15498FBE" w14:textId="77777777" w:rsidR="00BA4658" w:rsidRDefault="00BA4658" w:rsidP="001A5D4A">
            <w:pPr>
              <w:pStyle w:val="Note-Refs"/>
            </w:pPr>
          </w:p>
        </w:tc>
        <w:tc>
          <w:tcPr>
            <w:tcW w:w="1754" w:type="pct"/>
            <w:vAlign w:val="bottom"/>
          </w:tcPr>
          <w:p w14:paraId="421C3501" w14:textId="77777777" w:rsidR="00BA4658" w:rsidRDefault="00BA4658" w:rsidP="001A5D4A">
            <w:pPr>
              <w:pStyle w:val="NotesTable-ItemBold"/>
            </w:pPr>
            <w:r>
              <w:t>At 31 December 2014</w:t>
            </w:r>
          </w:p>
        </w:tc>
        <w:tc>
          <w:tcPr>
            <w:tcW w:w="420" w:type="pct"/>
            <w:tcBorders>
              <w:top w:val="single" w:sz="4" w:space="0" w:color="auto"/>
              <w:left w:val="nil"/>
            </w:tcBorders>
          </w:tcPr>
          <w:p w14:paraId="4F2A3E0E"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229B7EFF"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4263C34B"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0847F91A" w14:textId="77777777" w:rsidR="00BA4658" w:rsidRDefault="00BA4658" w:rsidP="001A5D4A">
            <w:pPr>
              <w:pStyle w:val="NotesTable-CellPlain"/>
              <w:rPr>
                <w:lang w:val="en-GB"/>
              </w:rPr>
            </w:pPr>
            <w:r w:rsidRPr="000F5D81">
              <w:t>–</w:t>
            </w:r>
          </w:p>
        </w:tc>
        <w:tc>
          <w:tcPr>
            <w:tcW w:w="404" w:type="pct"/>
            <w:tcBorders>
              <w:top w:val="single" w:sz="4" w:space="0" w:color="auto"/>
            </w:tcBorders>
          </w:tcPr>
          <w:p w14:paraId="4C2C20A7" w14:textId="77777777" w:rsidR="00BA4658" w:rsidRDefault="00BA4658" w:rsidP="001A5D4A">
            <w:pPr>
              <w:pStyle w:val="NotesTable-CellPlain"/>
              <w:rPr>
                <w:lang w:val="en-GB"/>
              </w:rPr>
            </w:pPr>
            <w:r w:rsidRPr="000F5D81">
              <w:t>–</w:t>
            </w:r>
          </w:p>
        </w:tc>
        <w:tc>
          <w:tcPr>
            <w:tcW w:w="402" w:type="pct"/>
            <w:tcBorders>
              <w:top w:val="single" w:sz="4" w:space="0" w:color="auto"/>
            </w:tcBorders>
          </w:tcPr>
          <w:p w14:paraId="53ED8813" w14:textId="77777777" w:rsidR="00BA4658" w:rsidRDefault="00BA4658" w:rsidP="001A5D4A">
            <w:pPr>
              <w:pStyle w:val="NotesTable-CellPlain"/>
              <w:rPr>
                <w:lang w:val="en-GB"/>
              </w:rPr>
            </w:pPr>
            <w:r w:rsidRPr="000F5D81">
              <w:t>–</w:t>
            </w:r>
          </w:p>
        </w:tc>
      </w:tr>
      <w:tr w:rsidR="00BA4658" w14:paraId="678F43EE" w14:textId="77777777" w:rsidTr="002E740E">
        <w:trPr>
          <w:trHeight w:val="181"/>
        </w:trPr>
        <w:tc>
          <w:tcPr>
            <w:tcW w:w="808" w:type="pct"/>
          </w:tcPr>
          <w:p w14:paraId="7FF433E6" w14:textId="77777777" w:rsidR="00BA4658" w:rsidRDefault="00BA4658" w:rsidP="001A5D4A">
            <w:pPr>
              <w:pStyle w:val="Note-Refs"/>
            </w:pPr>
          </w:p>
        </w:tc>
        <w:tc>
          <w:tcPr>
            <w:tcW w:w="1754" w:type="pct"/>
            <w:vAlign w:val="bottom"/>
          </w:tcPr>
          <w:p w14:paraId="5677F29E" w14:textId="77777777" w:rsidR="00BA4658" w:rsidRDefault="00BA4658" w:rsidP="001A5D4A">
            <w:pPr>
              <w:pStyle w:val="NotesTable-ItemPlain"/>
            </w:pPr>
          </w:p>
        </w:tc>
        <w:tc>
          <w:tcPr>
            <w:tcW w:w="420" w:type="pct"/>
          </w:tcPr>
          <w:p w14:paraId="52A37F2C" w14:textId="77777777" w:rsidR="00BA4658" w:rsidRDefault="00BA4658" w:rsidP="001A5D4A">
            <w:pPr>
              <w:pStyle w:val="NotesTable-CellPlain"/>
            </w:pPr>
          </w:p>
        </w:tc>
        <w:tc>
          <w:tcPr>
            <w:tcW w:w="404" w:type="pct"/>
          </w:tcPr>
          <w:p w14:paraId="6552AAC7" w14:textId="77777777" w:rsidR="00BA4658" w:rsidRDefault="00BA4658" w:rsidP="001A5D4A">
            <w:pPr>
              <w:pStyle w:val="NotesTable-CellPlain"/>
            </w:pPr>
          </w:p>
        </w:tc>
        <w:tc>
          <w:tcPr>
            <w:tcW w:w="404" w:type="pct"/>
          </w:tcPr>
          <w:p w14:paraId="2F6E6E6F" w14:textId="77777777" w:rsidR="00BA4658" w:rsidRDefault="00BA4658" w:rsidP="001A5D4A">
            <w:pPr>
              <w:pStyle w:val="NotesTable-CellPlain"/>
            </w:pPr>
          </w:p>
        </w:tc>
        <w:tc>
          <w:tcPr>
            <w:tcW w:w="404" w:type="pct"/>
          </w:tcPr>
          <w:p w14:paraId="3A8F5F82" w14:textId="77777777" w:rsidR="00BA4658" w:rsidRDefault="00BA4658" w:rsidP="001A5D4A">
            <w:pPr>
              <w:pStyle w:val="NotesTable-CellPlain"/>
            </w:pPr>
          </w:p>
        </w:tc>
        <w:tc>
          <w:tcPr>
            <w:tcW w:w="404" w:type="pct"/>
          </w:tcPr>
          <w:p w14:paraId="294FC722" w14:textId="77777777" w:rsidR="00BA4658" w:rsidRDefault="00BA4658" w:rsidP="001A5D4A">
            <w:pPr>
              <w:pStyle w:val="NotesTable-CellPlain"/>
            </w:pPr>
          </w:p>
        </w:tc>
        <w:tc>
          <w:tcPr>
            <w:tcW w:w="402" w:type="pct"/>
          </w:tcPr>
          <w:p w14:paraId="74973313" w14:textId="77777777" w:rsidR="00BA4658" w:rsidRDefault="00BA4658" w:rsidP="001A5D4A">
            <w:pPr>
              <w:pStyle w:val="NotesTable-CellPlain"/>
            </w:pPr>
          </w:p>
        </w:tc>
      </w:tr>
    </w:tbl>
    <w:p w14:paraId="34262FEA" w14:textId="77777777" w:rsidR="002168F3" w:rsidRDefault="002168F3">
      <w:r>
        <w:rPr>
          <w:b/>
          <w:i/>
        </w:rPr>
        <w:br w:type="page"/>
      </w:r>
    </w:p>
    <w:tbl>
      <w:tblPr>
        <w:tblW w:w="5000" w:type="pct"/>
        <w:tblCellMar>
          <w:left w:w="0" w:type="dxa"/>
          <w:right w:w="0" w:type="dxa"/>
        </w:tblCellMar>
        <w:tblLook w:val="0000" w:firstRow="0" w:lastRow="0" w:firstColumn="0" w:lastColumn="0" w:noHBand="0" w:noVBand="0"/>
      </w:tblPr>
      <w:tblGrid>
        <w:gridCol w:w="1658"/>
        <w:gridCol w:w="3599"/>
        <w:gridCol w:w="862"/>
        <w:gridCol w:w="829"/>
        <w:gridCol w:w="829"/>
        <w:gridCol w:w="829"/>
        <w:gridCol w:w="829"/>
        <w:gridCol w:w="825"/>
      </w:tblGrid>
      <w:tr w:rsidR="002E740E" w14:paraId="0AAA47E0" w14:textId="77777777" w:rsidTr="002E740E">
        <w:trPr>
          <w:trHeight w:val="181"/>
        </w:trPr>
        <w:tc>
          <w:tcPr>
            <w:tcW w:w="5000" w:type="pct"/>
            <w:gridSpan w:val="8"/>
          </w:tcPr>
          <w:p w14:paraId="12F98D31" w14:textId="6B1F8B0C" w:rsidR="002E740E" w:rsidRDefault="002E740E" w:rsidP="002E740E">
            <w:pPr>
              <w:pStyle w:val="TOC3"/>
              <w:ind w:left="0"/>
            </w:pPr>
            <w:r>
              <w:lastRenderedPageBreak/>
              <w:t>Note 28. Deferred tax assets and liabilities (continued)</w:t>
            </w:r>
          </w:p>
        </w:tc>
      </w:tr>
      <w:tr w:rsidR="00BA4658" w14:paraId="0621DCE8" w14:textId="77777777" w:rsidTr="002E740E">
        <w:trPr>
          <w:trHeight w:val="181"/>
        </w:trPr>
        <w:tc>
          <w:tcPr>
            <w:tcW w:w="808" w:type="pct"/>
            <w:vAlign w:val="center"/>
          </w:tcPr>
          <w:p w14:paraId="7E2DEE2E" w14:textId="77777777" w:rsidR="00BA4658" w:rsidRDefault="00BA4658" w:rsidP="002E740E">
            <w:pPr>
              <w:pStyle w:val="Note-Refs"/>
              <w:rPr>
                <w:b/>
              </w:rPr>
            </w:pPr>
            <w:r>
              <w:t>AASB112.81g(ii)</w:t>
            </w:r>
          </w:p>
        </w:tc>
        <w:tc>
          <w:tcPr>
            <w:tcW w:w="1754" w:type="pct"/>
            <w:shd w:val="clear" w:color="auto" w:fill="auto"/>
            <w:vAlign w:val="bottom"/>
          </w:tcPr>
          <w:p w14:paraId="43174A0E" w14:textId="5520878C" w:rsidR="00BA4658" w:rsidRDefault="00BA4658" w:rsidP="001A5D4A">
            <w:pPr>
              <w:pStyle w:val="NotesTable-ItemBold"/>
            </w:pPr>
            <w:r>
              <w:t xml:space="preserve">Movements </w:t>
            </w:r>
            <w:r>
              <w:noBreakHyphen/>
              <w:t xml:space="preserve"> Parent entity</w:t>
            </w:r>
          </w:p>
        </w:tc>
        <w:tc>
          <w:tcPr>
            <w:tcW w:w="420" w:type="pct"/>
            <w:shd w:val="clear" w:color="auto" w:fill="auto"/>
            <w:vAlign w:val="bottom"/>
          </w:tcPr>
          <w:p w14:paraId="6F80D1C7" w14:textId="77777777" w:rsidR="00BA4658" w:rsidRDefault="00BA4658" w:rsidP="001A5D4A">
            <w:pPr>
              <w:pStyle w:val="NotesTable-HeadPlain"/>
              <w:rPr>
                <w:b/>
                <w:vertAlign w:val="superscript"/>
              </w:rPr>
            </w:pPr>
            <w:r>
              <w:t>[Specify]</w:t>
            </w:r>
            <w:r>
              <w:rPr>
                <w:vertAlign w:val="superscript"/>
              </w:rPr>
              <w:t xml:space="preserve"> 1</w:t>
            </w:r>
          </w:p>
        </w:tc>
        <w:tc>
          <w:tcPr>
            <w:tcW w:w="404" w:type="pct"/>
            <w:shd w:val="clear" w:color="auto" w:fill="auto"/>
            <w:vAlign w:val="bottom"/>
          </w:tcPr>
          <w:p w14:paraId="3BFC9F34" w14:textId="77777777" w:rsidR="00BA4658" w:rsidRDefault="00BA4658" w:rsidP="001A5D4A">
            <w:pPr>
              <w:pStyle w:val="NotesTable-HeadPlain"/>
              <w:rPr>
                <w:b/>
              </w:rPr>
            </w:pPr>
            <w:r>
              <w:t>[Specify]</w:t>
            </w:r>
          </w:p>
        </w:tc>
        <w:tc>
          <w:tcPr>
            <w:tcW w:w="404" w:type="pct"/>
            <w:shd w:val="clear" w:color="auto" w:fill="auto"/>
            <w:vAlign w:val="bottom"/>
          </w:tcPr>
          <w:p w14:paraId="6574548C" w14:textId="77777777" w:rsidR="00BA4658" w:rsidRDefault="00BA4658" w:rsidP="001A5D4A">
            <w:pPr>
              <w:pStyle w:val="NotesTable-HeadPlain"/>
              <w:rPr>
                <w:b/>
              </w:rPr>
            </w:pPr>
            <w:r>
              <w:t>[Specify]</w:t>
            </w:r>
          </w:p>
        </w:tc>
        <w:tc>
          <w:tcPr>
            <w:tcW w:w="404" w:type="pct"/>
            <w:shd w:val="clear" w:color="auto" w:fill="auto"/>
            <w:vAlign w:val="bottom"/>
          </w:tcPr>
          <w:p w14:paraId="3ADC63B7" w14:textId="77777777" w:rsidR="00BA4658" w:rsidRDefault="00BA4658" w:rsidP="001A5D4A">
            <w:pPr>
              <w:pStyle w:val="NotesTable-HeadPlain"/>
              <w:rPr>
                <w:b/>
              </w:rPr>
            </w:pPr>
            <w:r>
              <w:t>[Specify]</w:t>
            </w:r>
          </w:p>
        </w:tc>
        <w:tc>
          <w:tcPr>
            <w:tcW w:w="404" w:type="pct"/>
            <w:shd w:val="clear" w:color="auto" w:fill="auto"/>
            <w:vAlign w:val="bottom"/>
          </w:tcPr>
          <w:p w14:paraId="33EA29B0" w14:textId="77777777" w:rsidR="00BA4658" w:rsidRDefault="00BA4658" w:rsidP="001A5D4A">
            <w:pPr>
              <w:pStyle w:val="NotesTable-HeadPlain"/>
              <w:rPr>
                <w:b/>
              </w:rPr>
            </w:pPr>
            <w:r>
              <w:t>[Specify]</w:t>
            </w:r>
          </w:p>
        </w:tc>
        <w:tc>
          <w:tcPr>
            <w:tcW w:w="402" w:type="pct"/>
            <w:shd w:val="clear" w:color="auto" w:fill="auto"/>
            <w:vAlign w:val="bottom"/>
          </w:tcPr>
          <w:p w14:paraId="394E2658" w14:textId="77777777" w:rsidR="00BA4658" w:rsidRDefault="00BA4658" w:rsidP="001A5D4A">
            <w:pPr>
              <w:pStyle w:val="NotesTable-HeadPlain"/>
              <w:rPr>
                <w:b/>
              </w:rPr>
            </w:pPr>
            <w:r>
              <w:t>Total</w:t>
            </w:r>
          </w:p>
        </w:tc>
      </w:tr>
      <w:tr w:rsidR="00BA4658" w14:paraId="034EED15" w14:textId="77777777" w:rsidTr="002E740E">
        <w:trPr>
          <w:trHeight w:val="181"/>
        </w:trPr>
        <w:tc>
          <w:tcPr>
            <w:tcW w:w="808" w:type="pct"/>
          </w:tcPr>
          <w:p w14:paraId="5C246913" w14:textId="77777777" w:rsidR="00BA4658" w:rsidRDefault="00BA4658" w:rsidP="001A5D4A">
            <w:pPr>
              <w:pStyle w:val="Note-Refs"/>
            </w:pPr>
          </w:p>
        </w:tc>
        <w:tc>
          <w:tcPr>
            <w:tcW w:w="1754" w:type="pct"/>
            <w:shd w:val="clear" w:color="auto" w:fill="auto"/>
            <w:vAlign w:val="bottom"/>
          </w:tcPr>
          <w:p w14:paraId="7BDFF1F7" w14:textId="77777777" w:rsidR="00BA4658" w:rsidRDefault="00BA4658" w:rsidP="001A5D4A">
            <w:pPr>
              <w:pStyle w:val="NotesTable-ItemPlain"/>
            </w:pPr>
          </w:p>
        </w:tc>
        <w:tc>
          <w:tcPr>
            <w:tcW w:w="420" w:type="pct"/>
            <w:shd w:val="clear" w:color="auto" w:fill="auto"/>
            <w:vAlign w:val="bottom"/>
          </w:tcPr>
          <w:p w14:paraId="5952786E" w14:textId="77777777" w:rsidR="00BA4658" w:rsidRDefault="00BA4658" w:rsidP="001A5D4A">
            <w:pPr>
              <w:pStyle w:val="NotesTable-HeadPlain"/>
              <w:rPr>
                <w:b/>
              </w:rPr>
            </w:pPr>
            <w:r>
              <w:t>$'000</w:t>
            </w:r>
          </w:p>
        </w:tc>
        <w:tc>
          <w:tcPr>
            <w:tcW w:w="404" w:type="pct"/>
            <w:shd w:val="clear" w:color="auto" w:fill="auto"/>
            <w:vAlign w:val="bottom"/>
          </w:tcPr>
          <w:p w14:paraId="4BE2FCC9" w14:textId="77777777" w:rsidR="00BA4658" w:rsidRDefault="00BA4658" w:rsidP="001A5D4A">
            <w:pPr>
              <w:pStyle w:val="NotesTable-HeadPlain"/>
              <w:rPr>
                <w:b/>
              </w:rPr>
            </w:pPr>
            <w:r>
              <w:t>$'000</w:t>
            </w:r>
          </w:p>
        </w:tc>
        <w:tc>
          <w:tcPr>
            <w:tcW w:w="404" w:type="pct"/>
            <w:shd w:val="clear" w:color="auto" w:fill="auto"/>
            <w:vAlign w:val="bottom"/>
          </w:tcPr>
          <w:p w14:paraId="5E088947" w14:textId="77777777" w:rsidR="00BA4658" w:rsidRDefault="00BA4658" w:rsidP="001A5D4A">
            <w:pPr>
              <w:pStyle w:val="NotesTable-HeadPlain"/>
              <w:rPr>
                <w:b/>
              </w:rPr>
            </w:pPr>
            <w:r>
              <w:t>$'000</w:t>
            </w:r>
          </w:p>
        </w:tc>
        <w:tc>
          <w:tcPr>
            <w:tcW w:w="404" w:type="pct"/>
            <w:shd w:val="clear" w:color="auto" w:fill="auto"/>
            <w:vAlign w:val="bottom"/>
          </w:tcPr>
          <w:p w14:paraId="088755F8" w14:textId="77777777" w:rsidR="00BA4658" w:rsidRDefault="00BA4658" w:rsidP="001A5D4A">
            <w:pPr>
              <w:pStyle w:val="NotesTable-HeadPlain"/>
              <w:rPr>
                <w:b/>
              </w:rPr>
            </w:pPr>
            <w:r>
              <w:t>$'000</w:t>
            </w:r>
          </w:p>
        </w:tc>
        <w:tc>
          <w:tcPr>
            <w:tcW w:w="404" w:type="pct"/>
            <w:shd w:val="clear" w:color="auto" w:fill="auto"/>
            <w:vAlign w:val="bottom"/>
          </w:tcPr>
          <w:p w14:paraId="4AF9B128" w14:textId="77777777" w:rsidR="00BA4658" w:rsidRDefault="00BA4658" w:rsidP="001A5D4A">
            <w:pPr>
              <w:pStyle w:val="NotesTable-HeadPlain"/>
              <w:rPr>
                <w:b/>
              </w:rPr>
            </w:pPr>
            <w:r>
              <w:t>$'000</w:t>
            </w:r>
          </w:p>
        </w:tc>
        <w:tc>
          <w:tcPr>
            <w:tcW w:w="402" w:type="pct"/>
            <w:shd w:val="clear" w:color="auto" w:fill="auto"/>
            <w:vAlign w:val="bottom"/>
          </w:tcPr>
          <w:p w14:paraId="680E2FDC" w14:textId="77777777" w:rsidR="00BA4658" w:rsidRDefault="00BA4658" w:rsidP="001A5D4A">
            <w:pPr>
              <w:pStyle w:val="NotesTable-HeadPlain"/>
              <w:rPr>
                <w:b/>
              </w:rPr>
            </w:pPr>
            <w:r>
              <w:t>$'000</w:t>
            </w:r>
          </w:p>
        </w:tc>
      </w:tr>
      <w:tr w:rsidR="00BA4658" w14:paraId="644AD96A" w14:textId="77777777" w:rsidTr="002E740E">
        <w:trPr>
          <w:trHeight w:val="181"/>
        </w:trPr>
        <w:tc>
          <w:tcPr>
            <w:tcW w:w="808" w:type="pct"/>
          </w:tcPr>
          <w:p w14:paraId="05E9F029" w14:textId="77777777" w:rsidR="00BA4658" w:rsidRDefault="00BA4658" w:rsidP="001A5D4A">
            <w:pPr>
              <w:pStyle w:val="Note-Refs"/>
            </w:pPr>
          </w:p>
        </w:tc>
        <w:tc>
          <w:tcPr>
            <w:tcW w:w="1754" w:type="pct"/>
            <w:vAlign w:val="bottom"/>
          </w:tcPr>
          <w:p w14:paraId="7AAF0AD8" w14:textId="77777777" w:rsidR="00BA4658" w:rsidRDefault="00BA4658" w:rsidP="001A5D4A">
            <w:pPr>
              <w:pStyle w:val="NotesTable-ItemBold"/>
            </w:pPr>
            <w:r>
              <w:t>At 1 January 2013</w:t>
            </w:r>
          </w:p>
        </w:tc>
        <w:tc>
          <w:tcPr>
            <w:tcW w:w="420" w:type="pct"/>
            <w:tcBorders>
              <w:left w:val="nil"/>
            </w:tcBorders>
          </w:tcPr>
          <w:p w14:paraId="283FE8EA" w14:textId="77777777" w:rsidR="00BA4658" w:rsidRDefault="00BA4658" w:rsidP="001A5D4A">
            <w:pPr>
              <w:pStyle w:val="NotesTable-CellPlain"/>
              <w:rPr>
                <w:lang w:val="en-GB"/>
              </w:rPr>
            </w:pPr>
            <w:r w:rsidRPr="00D76974">
              <w:t>–</w:t>
            </w:r>
          </w:p>
        </w:tc>
        <w:tc>
          <w:tcPr>
            <w:tcW w:w="404" w:type="pct"/>
          </w:tcPr>
          <w:p w14:paraId="36D73326" w14:textId="77777777" w:rsidR="00BA4658" w:rsidRDefault="00BA4658" w:rsidP="001A5D4A">
            <w:pPr>
              <w:pStyle w:val="NotesTable-CellPlain"/>
              <w:rPr>
                <w:lang w:val="en-GB"/>
              </w:rPr>
            </w:pPr>
            <w:r w:rsidRPr="00D76974">
              <w:t>–</w:t>
            </w:r>
          </w:p>
        </w:tc>
        <w:tc>
          <w:tcPr>
            <w:tcW w:w="404" w:type="pct"/>
          </w:tcPr>
          <w:p w14:paraId="78D1FFFC" w14:textId="77777777" w:rsidR="00BA4658" w:rsidRDefault="00BA4658" w:rsidP="001A5D4A">
            <w:pPr>
              <w:pStyle w:val="NotesTable-CellPlain"/>
              <w:rPr>
                <w:lang w:val="en-GB"/>
              </w:rPr>
            </w:pPr>
            <w:r w:rsidRPr="00D76974">
              <w:t>–</w:t>
            </w:r>
          </w:p>
        </w:tc>
        <w:tc>
          <w:tcPr>
            <w:tcW w:w="404" w:type="pct"/>
          </w:tcPr>
          <w:p w14:paraId="2B5655D1" w14:textId="77777777" w:rsidR="00BA4658" w:rsidRDefault="00BA4658" w:rsidP="001A5D4A">
            <w:pPr>
              <w:pStyle w:val="NotesTable-CellPlain"/>
              <w:rPr>
                <w:lang w:val="en-GB"/>
              </w:rPr>
            </w:pPr>
            <w:r w:rsidRPr="00D76974">
              <w:t>–</w:t>
            </w:r>
          </w:p>
        </w:tc>
        <w:tc>
          <w:tcPr>
            <w:tcW w:w="404" w:type="pct"/>
          </w:tcPr>
          <w:p w14:paraId="2A2702BA" w14:textId="77777777" w:rsidR="00BA4658" w:rsidRDefault="00BA4658" w:rsidP="001A5D4A">
            <w:pPr>
              <w:pStyle w:val="NotesTable-CellPlain"/>
              <w:rPr>
                <w:lang w:val="en-GB"/>
              </w:rPr>
            </w:pPr>
            <w:r w:rsidRPr="00D76974">
              <w:t>–</w:t>
            </w:r>
          </w:p>
        </w:tc>
        <w:tc>
          <w:tcPr>
            <w:tcW w:w="402" w:type="pct"/>
          </w:tcPr>
          <w:p w14:paraId="35A05E35" w14:textId="77777777" w:rsidR="00BA4658" w:rsidRDefault="00BA4658" w:rsidP="001A5D4A">
            <w:pPr>
              <w:pStyle w:val="NotesTable-CellPlain"/>
              <w:rPr>
                <w:lang w:val="en-GB"/>
              </w:rPr>
            </w:pPr>
            <w:r w:rsidRPr="00D76974">
              <w:t>–</w:t>
            </w:r>
          </w:p>
        </w:tc>
      </w:tr>
      <w:tr w:rsidR="00BA4658" w:rsidRPr="00D76974" w14:paraId="6893E73D" w14:textId="77777777" w:rsidTr="002E740E">
        <w:trPr>
          <w:trHeight w:val="181"/>
        </w:trPr>
        <w:tc>
          <w:tcPr>
            <w:tcW w:w="808" w:type="pct"/>
          </w:tcPr>
          <w:p w14:paraId="2683A042" w14:textId="77777777" w:rsidR="00BA4658" w:rsidRDefault="00BA4658" w:rsidP="001A5D4A">
            <w:pPr>
              <w:pStyle w:val="Note-Refs"/>
            </w:pPr>
          </w:p>
        </w:tc>
        <w:tc>
          <w:tcPr>
            <w:tcW w:w="1754" w:type="pct"/>
            <w:vAlign w:val="bottom"/>
          </w:tcPr>
          <w:p w14:paraId="22A7DB45" w14:textId="77777777" w:rsidR="00BA4658" w:rsidRDefault="00BA4658" w:rsidP="001A5D4A">
            <w:pPr>
              <w:pStyle w:val="NotesTable-ItemPlain"/>
            </w:pPr>
          </w:p>
        </w:tc>
        <w:tc>
          <w:tcPr>
            <w:tcW w:w="420" w:type="pct"/>
            <w:tcBorders>
              <w:left w:val="nil"/>
            </w:tcBorders>
          </w:tcPr>
          <w:p w14:paraId="1C93B0FF" w14:textId="77777777" w:rsidR="00BA4658" w:rsidRPr="00D76974" w:rsidRDefault="00BA4658" w:rsidP="001A5D4A">
            <w:pPr>
              <w:pStyle w:val="NotesTable-CellPlain"/>
            </w:pPr>
          </w:p>
        </w:tc>
        <w:tc>
          <w:tcPr>
            <w:tcW w:w="404" w:type="pct"/>
          </w:tcPr>
          <w:p w14:paraId="68F9F2B0" w14:textId="77777777" w:rsidR="00BA4658" w:rsidRPr="00D76974" w:rsidRDefault="00BA4658" w:rsidP="001A5D4A">
            <w:pPr>
              <w:pStyle w:val="NotesTable-CellPlain"/>
            </w:pPr>
          </w:p>
        </w:tc>
        <w:tc>
          <w:tcPr>
            <w:tcW w:w="404" w:type="pct"/>
          </w:tcPr>
          <w:p w14:paraId="57E031C9" w14:textId="77777777" w:rsidR="00BA4658" w:rsidRPr="00D76974" w:rsidRDefault="00BA4658" w:rsidP="001A5D4A">
            <w:pPr>
              <w:pStyle w:val="NotesTable-CellPlain"/>
            </w:pPr>
          </w:p>
        </w:tc>
        <w:tc>
          <w:tcPr>
            <w:tcW w:w="404" w:type="pct"/>
          </w:tcPr>
          <w:p w14:paraId="4EE2E2C8" w14:textId="77777777" w:rsidR="00BA4658" w:rsidRPr="00D76974" w:rsidRDefault="00BA4658" w:rsidP="001A5D4A">
            <w:pPr>
              <w:pStyle w:val="NotesTable-CellPlain"/>
            </w:pPr>
          </w:p>
        </w:tc>
        <w:tc>
          <w:tcPr>
            <w:tcW w:w="404" w:type="pct"/>
          </w:tcPr>
          <w:p w14:paraId="7122E8AC" w14:textId="77777777" w:rsidR="00BA4658" w:rsidRPr="00D76974" w:rsidRDefault="00BA4658" w:rsidP="001A5D4A">
            <w:pPr>
              <w:pStyle w:val="NotesTable-CellPlain"/>
            </w:pPr>
          </w:p>
        </w:tc>
        <w:tc>
          <w:tcPr>
            <w:tcW w:w="402" w:type="pct"/>
          </w:tcPr>
          <w:p w14:paraId="6344FC67" w14:textId="77777777" w:rsidR="00BA4658" w:rsidRPr="00D76974" w:rsidRDefault="00BA4658" w:rsidP="001A5D4A">
            <w:pPr>
              <w:pStyle w:val="NotesTable-CellPlain"/>
            </w:pPr>
          </w:p>
        </w:tc>
      </w:tr>
      <w:tr w:rsidR="00BA4658" w14:paraId="70525800" w14:textId="77777777" w:rsidTr="002E740E">
        <w:trPr>
          <w:trHeight w:val="181"/>
        </w:trPr>
        <w:tc>
          <w:tcPr>
            <w:tcW w:w="808" w:type="pct"/>
          </w:tcPr>
          <w:p w14:paraId="0D1AF79D" w14:textId="77777777" w:rsidR="00BA4658" w:rsidRDefault="00BA4658" w:rsidP="001A5D4A">
            <w:pPr>
              <w:pStyle w:val="Note-Refs"/>
              <w:rPr>
                <w:b/>
              </w:rPr>
            </w:pPr>
            <w:r>
              <w:t>AASB112.81g(ii)</w:t>
            </w:r>
          </w:p>
        </w:tc>
        <w:tc>
          <w:tcPr>
            <w:tcW w:w="1754" w:type="pct"/>
            <w:vAlign w:val="bottom"/>
          </w:tcPr>
          <w:p w14:paraId="5E99FD74" w14:textId="77777777" w:rsidR="00BA4658" w:rsidRDefault="00BA4658" w:rsidP="001A5D4A">
            <w:pPr>
              <w:pStyle w:val="NotesTable-ItemPlain"/>
              <w:rPr>
                <w:b/>
              </w:rPr>
            </w:pPr>
            <w:r>
              <w:t>Charged/(credited) to the income statement</w:t>
            </w:r>
          </w:p>
        </w:tc>
        <w:tc>
          <w:tcPr>
            <w:tcW w:w="420" w:type="pct"/>
            <w:tcBorders>
              <w:left w:val="nil"/>
            </w:tcBorders>
          </w:tcPr>
          <w:p w14:paraId="549D268D" w14:textId="77777777" w:rsidR="00BA4658" w:rsidRDefault="00BA4658" w:rsidP="001A5D4A">
            <w:pPr>
              <w:pStyle w:val="NotesTable-CellPlain"/>
              <w:rPr>
                <w:lang w:val="en-GB"/>
              </w:rPr>
            </w:pPr>
            <w:r w:rsidRPr="00D76974">
              <w:t>–</w:t>
            </w:r>
          </w:p>
        </w:tc>
        <w:tc>
          <w:tcPr>
            <w:tcW w:w="404" w:type="pct"/>
          </w:tcPr>
          <w:p w14:paraId="2BDCE024" w14:textId="77777777" w:rsidR="00BA4658" w:rsidRDefault="00BA4658" w:rsidP="001A5D4A">
            <w:pPr>
              <w:pStyle w:val="NotesTable-CellPlain"/>
              <w:rPr>
                <w:lang w:val="en-GB"/>
              </w:rPr>
            </w:pPr>
            <w:r w:rsidRPr="00D76974">
              <w:t>–</w:t>
            </w:r>
          </w:p>
        </w:tc>
        <w:tc>
          <w:tcPr>
            <w:tcW w:w="404" w:type="pct"/>
          </w:tcPr>
          <w:p w14:paraId="538F94A7" w14:textId="77777777" w:rsidR="00BA4658" w:rsidRDefault="00BA4658" w:rsidP="001A5D4A">
            <w:pPr>
              <w:pStyle w:val="NotesTable-CellPlain"/>
              <w:rPr>
                <w:lang w:val="en-GB"/>
              </w:rPr>
            </w:pPr>
            <w:r w:rsidRPr="00D76974">
              <w:t>–</w:t>
            </w:r>
          </w:p>
        </w:tc>
        <w:tc>
          <w:tcPr>
            <w:tcW w:w="404" w:type="pct"/>
          </w:tcPr>
          <w:p w14:paraId="4646A0C3" w14:textId="77777777" w:rsidR="00BA4658" w:rsidRDefault="00BA4658" w:rsidP="001A5D4A">
            <w:pPr>
              <w:pStyle w:val="NotesTable-CellPlain"/>
              <w:rPr>
                <w:lang w:val="en-GB"/>
              </w:rPr>
            </w:pPr>
            <w:r w:rsidRPr="00D76974">
              <w:t>–</w:t>
            </w:r>
          </w:p>
        </w:tc>
        <w:tc>
          <w:tcPr>
            <w:tcW w:w="404" w:type="pct"/>
          </w:tcPr>
          <w:p w14:paraId="1E92275E" w14:textId="77777777" w:rsidR="00BA4658" w:rsidRDefault="00BA4658" w:rsidP="001A5D4A">
            <w:pPr>
              <w:pStyle w:val="NotesTable-CellPlain"/>
              <w:rPr>
                <w:lang w:val="en-GB"/>
              </w:rPr>
            </w:pPr>
            <w:r w:rsidRPr="00D76974">
              <w:t>–</w:t>
            </w:r>
          </w:p>
        </w:tc>
        <w:tc>
          <w:tcPr>
            <w:tcW w:w="402" w:type="pct"/>
          </w:tcPr>
          <w:p w14:paraId="67FD0269" w14:textId="77777777" w:rsidR="00BA4658" w:rsidRDefault="00BA4658" w:rsidP="001A5D4A">
            <w:pPr>
              <w:pStyle w:val="NotesTable-CellPlain"/>
              <w:rPr>
                <w:lang w:val="en-GB"/>
              </w:rPr>
            </w:pPr>
            <w:r w:rsidRPr="00D76974">
              <w:t>–</w:t>
            </w:r>
          </w:p>
        </w:tc>
      </w:tr>
      <w:tr w:rsidR="00BA4658" w14:paraId="3D2FFDE2" w14:textId="77777777" w:rsidTr="002E740E">
        <w:trPr>
          <w:trHeight w:val="181"/>
        </w:trPr>
        <w:tc>
          <w:tcPr>
            <w:tcW w:w="808" w:type="pct"/>
          </w:tcPr>
          <w:p w14:paraId="2206DA62" w14:textId="77777777" w:rsidR="00BA4658" w:rsidRDefault="00BA4658" w:rsidP="001A5D4A">
            <w:pPr>
              <w:pStyle w:val="Note-Refs"/>
              <w:rPr>
                <w:b/>
              </w:rPr>
            </w:pPr>
            <w:r>
              <w:t>AASB112.81a</w:t>
            </w:r>
          </w:p>
        </w:tc>
        <w:tc>
          <w:tcPr>
            <w:tcW w:w="1754" w:type="pct"/>
            <w:vAlign w:val="bottom"/>
          </w:tcPr>
          <w:p w14:paraId="7BF4A81B" w14:textId="77777777" w:rsidR="00BA4658" w:rsidRDefault="00BA4658" w:rsidP="001A5D4A">
            <w:pPr>
              <w:pStyle w:val="NotesTable-ItemPlain"/>
              <w:rPr>
                <w:b/>
              </w:rPr>
            </w:pPr>
            <w:r>
              <w:t>Charged directly to equity</w:t>
            </w:r>
          </w:p>
        </w:tc>
        <w:tc>
          <w:tcPr>
            <w:tcW w:w="420" w:type="pct"/>
            <w:tcBorders>
              <w:left w:val="nil"/>
              <w:bottom w:val="single" w:sz="4" w:space="0" w:color="auto"/>
            </w:tcBorders>
          </w:tcPr>
          <w:p w14:paraId="73E21116"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42B66DCE"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6B9F5891"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5B159F9F"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679974A5" w14:textId="77777777" w:rsidR="00BA4658" w:rsidRDefault="00BA4658" w:rsidP="001A5D4A">
            <w:pPr>
              <w:pStyle w:val="NotesTable-CellPlain"/>
              <w:rPr>
                <w:lang w:val="en-GB"/>
              </w:rPr>
            </w:pPr>
            <w:r w:rsidRPr="00D76974">
              <w:t>–</w:t>
            </w:r>
          </w:p>
        </w:tc>
        <w:tc>
          <w:tcPr>
            <w:tcW w:w="402" w:type="pct"/>
            <w:tcBorders>
              <w:bottom w:val="single" w:sz="4" w:space="0" w:color="auto"/>
            </w:tcBorders>
          </w:tcPr>
          <w:p w14:paraId="051CCEA3" w14:textId="77777777" w:rsidR="00BA4658" w:rsidRDefault="00BA4658" w:rsidP="001A5D4A">
            <w:pPr>
              <w:pStyle w:val="NotesTable-CellPlain"/>
              <w:rPr>
                <w:lang w:val="en-GB"/>
              </w:rPr>
            </w:pPr>
            <w:r w:rsidRPr="00D76974">
              <w:t>–</w:t>
            </w:r>
          </w:p>
        </w:tc>
      </w:tr>
      <w:tr w:rsidR="00BA4658" w14:paraId="7DE22EC3" w14:textId="77777777" w:rsidTr="002E740E">
        <w:trPr>
          <w:trHeight w:val="181"/>
        </w:trPr>
        <w:tc>
          <w:tcPr>
            <w:tcW w:w="808" w:type="pct"/>
            <w:vAlign w:val="bottom"/>
          </w:tcPr>
          <w:p w14:paraId="752BA98E" w14:textId="77777777" w:rsidR="00BA4658" w:rsidRDefault="00BA4658" w:rsidP="001A5D4A">
            <w:pPr>
              <w:pStyle w:val="Note-Refs"/>
            </w:pPr>
          </w:p>
        </w:tc>
        <w:tc>
          <w:tcPr>
            <w:tcW w:w="1754" w:type="pct"/>
            <w:vAlign w:val="bottom"/>
          </w:tcPr>
          <w:p w14:paraId="2714A05A" w14:textId="77777777" w:rsidR="00BA4658" w:rsidRDefault="00BA4658" w:rsidP="001A5D4A">
            <w:pPr>
              <w:pStyle w:val="NotesTable-ItemBold"/>
            </w:pPr>
            <w:r>
              <w:t>At 31 December 2013</w:t>
            </w:r>
          </w:p>
        </w:tc>
        <w:tc>
          <w:tcPr>
            <w:tcW w:w="420" w:type="pct"/>
            <w:tcBorders>
              <w:top w:val="single" w:sz="4" w:space="0" w:color="auto"/>
              <w:left w:val="nil"/>
            </w:tcBorders>
          </w:tcPr>
          <w:p w14:paraId="5D586899"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23B18F7F"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6DDAD3C6"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7EFB4E8F"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0A01B8EA" w14:textId="77777777" w:rsidR="00BA4658" w:rsidRDefault="00BA4658" w:rsidP="001A5D4A">
            <w:pPr>
              <w:pStyle w:val="NotesTable-CellPlain"/>
              <w:rPr>
                <w:lang w:val="en-GB"/>
              </w:rPr>
            </w:pPr>
            <w:r w:rsidRPr="00D76974">
              <w:t>–</w:t>
            </w:r>
          </w:p>
        </w:tc>
        <w:tc>
          <w:tcPr>
            <w:tcW w:w="402" w:type="pct"/>
            <w:tcBorders>
              <w:top w:val="single" w:sz="4" w:space="0" w:color="auto"/>
            </w:tcBorders>
          </w:tcPr>
          <w:p w14:paraId="7F1FB14F" w14:textId="77777777" w:rsidR="00BA4658" w:rsidRDefault="00BA4658" w:rsidP="001A5D4A">
            <w:pPr>
              <w:pStyle w:val="NotesTable-CellPlain"/>
              <w:rPr>
                <w:lang w:val="en-GB"/>
              </w:rPr>
            </w:pPr>
            <w:r w:rsidRPr="00D76974">
              <w:t>–</w:t>
            </w:r>
          </w:p>
        </w:tc>
      </w:tr>
      <w:tr w:rsidR="00BA4658" w:rsidRPr="00D76974" w14:paraId="6C968253" w14:textId="77777777" w:rsidTr="002E740E">
        <w:trPr>
          <w:trHeight w:val="181"/>
        </w:trPr>
        <w:tc>
          <w:tcPr>
            <w:tcW w:w="808" w:type="pct"/>
          </w:tcPr>
          <w:p w14:paraId="6928F3D6" w14:textId="77777777" w:rsidR="00BA4658" w:rsidRDefault="00BA4658" w:rsidP="001A5D4A">
            <w:pPr>
              <w:pStyle w:val="Note-Refs"/>
            </w:pPr>
          </w:p>
        </w:tc>
        <w:tc>
          <w:tcPr>
            <w:tcW w:w="1754" w:type="pct"/>
            <w:vAlign w:val="bottom"/>
          </w:tcPr>
          <w:p w14:paraId="631F4277" w14:textId="77777777" w:rsidR="00BA4658" w:rsidRDefault="00BA4658" w:rsidP="001A5D4A">
            <w:pPr>
              <w:pStyle w:val="NotesTable-ItemPlain"/>
            </w:pPr>
          </w:p>
        </w:tc>
        <w:tc>
          <w:tcPr>
            <w:tcW w:w="420" w:type="pct"/>
            <w:tcBorders>
              <w:left w:val="nil"/>
            </w:tcBorders>
          </w:tcPr>
          <w:p w14:paraId="4145B462" w14:textId="77777777" w:rsidR="00BA4658" w:rsidRPr="00D76974" w:rsidRDefault="00BA4658" w:rsidP="001A5D4A">
            <w:pPr>
              <w:pStyle w:val="NotesTable-CellPlain"/>
            </w:pPr>
          </w:p>
        </w:tc>
        <w:tc>
          <w:tcPr>
            <w:tcW w:w="404" w:type="pct"/>
          </w:tcPr>
          <w:p w14:paraId="2A25F5AF" w14:textId="77777777" w:rsidR="00BA4658" w:rsidRPr="00D76974" w:rsidRDefault="00BA4658" w:rsidP="001A5D4A">
            <w:pPr>
              <w:pStyle w:val="NotesTable-CellPlain"/>
            </w:pPr>
          </w:p>
        </w:tc>
        <w:tc>
          <w:tcPr>
            <w:tcW w:w="404" w:type="pct"/>
          </w:tcPr>
          <w:p w14:paraId="0D4F0B80" w14:textId="77777777" w:rsidR="00BA4658" w:rsidRPr="00D76974" w:rsidRDefault="00BA4658" w:rsidP="001A5D4A">
            <w:pPr>
              <w:pStyle w:val="NotesTable-CellPlain"/>
            </w:pPr>
          </w:p>
        </w:tc>
        <w:tc>
          <w:tcPr>
            <w:tcW w:w="404" w:type="pct"/>
          </w:tcPr>
          <w:p w14:paraId="2C78E792" w14:textId="77777777" w:rsidR="00BA4658" w:rsidRPr="00D76974" w:rsidRDefault="00BA4658" w:rsidP="001A5D4A">
            <w:pPr>
              <w:pStyle w:val="NotesTable-CellPlain"/>
            </w:pPr>
          </w:p>
        </w:tc>
        <w:tc>
          <w:tcPr>
            <w:tcW w:w="404" w:type="pct"/>
          </w:tcPr>
          <w:p w14:paraId="35589D1D" w14:textId="77777777" w:rsidR="00BA4658" w:rsidRPr="00D76974" w:rsidRDefault="00BA4658" w:rsidP="001A5D4A">
            <w:pPr>
              <w:pStyle w:val="NotesTable-CellPlain"/>
            </w:pPr>
          </w:p>
        </w:tc>
        <w:tc>
          <w:tcPr>
            <w:tcW w:w="402" w:type="pct"/>
          </w:tcPr>
          <w:p w14:paraId="2390298B" w14:textId="77777777" w:rsidR="00BA4658" w:rsidRPr="00D76974" w:rsidRDefault="00BA4658" w:rsidP="001A5D4A">
            <w:pPr>
              <w:pStyle w:val="NotesTable-CellPlain"/>
            </w:pPr>
          </w:p>
        </w:tc>
      </w:tr>
      <w:tr w:rsidR="00BA4658" w14:paraId="157AB2AD" w14:textId="77777777" w:rsidTr="002E740E">
        <w:trPr>
          <w:trHeight w:val="181"/>
        </w:trPr>
        <w:tc>
          <w:tcPr>
            <w:tcW w:w="808" w:type="pct"/>
          </w:tcPr>
          <w:p w14:paraId="65129945" w14:textId="77777777" w:rsidR="00BA4658" w:rsidRDefault="00BA4658" w:rsidP="001A5D4A">
            <w:pPr>
              <w:pStyle w:val="Note-Refs"/>
              <w:rPr>
                <w:b/>
              </w:rPr>
            </w:pPr>
            <w:r>
              <w:t>AASB112.81g(ii)</w:t>
            </w:r>
          </w:p>
        </w:tc>
        <w:tc>
          <w:tcPr>
            <w:tcW w:w="1754" w:type="pct"/>
            <w:vAlign w:val="bottom"/>
          </w:tcPr>
          <w:p w14:paraId="158ED44B" w14:textId="77777777" w:rsidR="00BA4658" w:rsidRDefault="00BA4658" w:rsidP="001A5D4A">
            <w:pPr>
              <w:pStyle w:val="NotesTable-ItemPlain"/>
              <w:rPr>
                <w:b/>
              </w:rPr>
            </w:pPr>
            <w:r>
              <w:t>Charged/(credited) to the income statement</w:t>
            </w:r>
          </w:p>
        </w:tc>
        <w:tc>
          <w:tcPr>
            <w:tcW w:w="420" w:type="pct"/>
            <w:tcBorders>
              <w:left w:val="nil"/>
            </w:tcBorders>
          </w:tcPr>
          <w:p w14:paraId="23730E20" w14:textId="77777777" w:rsidR="00BA4658" w:rsidRDefault="00BA4658" w:rsidP="001A5D4A">
            <w:pPr>
              <w:pStyle w:val="NotesTable-CellPlain"/>
              <w:rPr>
                <w:lang w:val="en-GB"/>
              </w:rPr>
            </w:pPr>
            <w:r w:rsidRPr="00D76974">
              <w:t>–</w:t>
            </w:r>
          </w:p>
        </w:tc>
        <w:tc>
          <w:tcPr>
            <w:tcW w:w="404" w:type="pct"/>
          </w:tcPr>
          <w:p w14:paraId="0FF1A30A" w14:textId="77777777" w:rsidR="00BA4658" w:rsidRDefault="00BA4658" w:rsidP="001A5D4A">
            <w:pPr>
              <w:pStyle w:val="NotesTable-CellPlain"/>
              <w:rPr>
                <w:lang w:val="en-GB"/>
              </w:rPr>
            </w:pPr>
            <w:r w:rsidRPr="00D76974">
              <w:t>–</w:t>
            </w:r>
          </w:p>
        </w:tc>
        <w:tc>
          <w:tcPr>
            <w:tcW w:w="404" w:type="pct"/>
          </w:tcPr>
          <w:p w14:paraId="44088010" w14:textId="77777777" w:rsidR="00BA4658" w:rsidRDefault="00BA4658" w:rsidP="001A5D4A">
            <w:pPr>
              <w:pStyle w:val="NotesTable-CellPlain"/>
              <w:rPr>
                <w:lang w:val="en-GB"/>
              </w:rPr>
            </w:pPr>
            <w:r w:rsidRPr="00D76974">
              <w:t>–</w:t>
            </w:r>
          </w:p>
        </w:tc>
        <w:tc>
          <w:tcPr>
            <w:tcW w:w="404" w:type="pct"/>
          </w:tcPr>
          <w:p w14:paraId="1525BFF4" w14:textId="77777777" w:rsidR="00BA4658" w:rsidRDefault="00BA4658" w:rsidP="001A5D4A">
            <w:pPr>
              <w:pStyle w:val="NotesTable-CellPlain"/>
              <w:rPr>
                <w:lang w:val="en-GB"/>
              </w:rPr>
            </w:pPr>
            <w:r w:rsidRPr="00D76974">
              <w:t>–</w:t>
            </w:r>
          </w:p>
        </w:tc>
        <w:tc>
          <w:tcPr>
            <w:tcW w:w="404" w:type="pct"/>
          </w:tcPr>
          <w:p w14:paraId="6441BAD2" w14:textId="77777777" w:rsidR="00BA4658" w:rsidRDefault="00BA4658" w:rsidP="001A5D4A">
            <w:pPr>
              <w:pStyle w:val="NotesTable-CellPlain"/>
              <w:rPr>
                <w:lang w:val="en-GB"/>
              </w:rPr>
            </w:pPr>
            <w:r w:rsidRPr="00D76974">
              <w:t>–</w:t>
            </w:r>
          </w:p>
        </w:tc>
        <w:tc>
          <w:tcPr>
            <w:tcW w:w="402" w:type="pct"/>
          </w:tcPr>
          <w:p w14:paraId="48A8F98F" w14:textId="77777777" w:rsidR="00BA4658" w:rsidRDefault="00BA4658" w:rsidP="001A5D4A">
            <w:pPr>
              <w:pStyle w:val="NotesTable-CellPlain"/>
              <w:rPr>
                <w:lang w:val="en-GB"/>
              </w:rPr>
            </w:pPr>
            <w:r w:rsidRPr="00D76974">
              <w:t>–</w:t>
            </w:r>
          </w:p>
        </w:tc>
      </w:tr>
      <w:tr w:rsidR="00BA4658" w14:paraId="22BD099C" w14:textId="77777777" w:rsidTr="002E740E">
        <w:trPr>
          <w:trHeight w:val="181"/>
        </w:trPr>
        <w:tc>
          <w:tcPr>
            <w:tcW w:w="808" w:type="pct"/>
            <w:vAlign w:val="bottom"/>
          </w:tcPr>
          <w:p w14:paraId="1F255484" w14:textId="77777777" w:rsidR="00BA4658" w:rsidRDefault="00BA4658" w:rsidP="001A5D4A">
            <w:pPr>
              <w:pStyle w:val="Note-Refs"/>
              <w:rPr>
                <w:b/>
              </w:rPr>
            </w:pPr>
            <w:r>
              <w:t>AASB112.81a</w:t>
            </w:r>
          </w:p>
        </w:tc>
        <w:tc>
          <w:tcPr>
            <w:tcW w:w="1754" w:type="pct"/>
            <w:vAlign w:val="bottom"/>
          </w:tcPr>
          <w:p w14:paraId="7628123C" w14:textId="77777777" w:rsidR="00BA4658" w:rsidRDefault="00BA4658" w:rsidP="001A5D4A">
            <w:pPr>
              <w:pStyle w:val="NotesTable-ItemPlain"/>
              <w:rPr>
                <w:b/>
              </w:rPr>
            </w:pPr>
            <w:r>
              <w:t>Charged directly to equity</w:t>
            </w:r>
          </w:p>
        </w:tc>
        <w:tc>
          <w:tcPr>
            <w:tcW w:w="420" w:type="pct"/>
            <w:tcBorders>
              <w:left w:val="nil"/>
              <w:bottom w:val="single" w:sz="4" w:space="0" w:color="auto"/>
            </w:tcBorders>
          </w:tcPr>
          <w:p w14:paraId="7A50702B"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7AEC22DE"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5002AB97"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117D8CF6" w14:textId="77777777" w:rsidR="00BA4658" w:rsidRDefault="00BA4658" w:rsidP="001A5D4A">
            <w:pPr>
              <w:pStyle w:val="NotesTable-CellPlain"/>
              <w:rPr>
                <w:lang w:val="en-GB"/>
              </w:rPr>
            </w:pPr>
            <w:r w:rsidRPr="00D76974">
              <w:t>–</w:t>
            </w:r>
          </w:p>
        </w:tc>
        <w:tc>
          <w:tcPr>
            <w:tcW w:w="404" w:type="pct"/>
            <w:tcBorders>
              <w:bottom w:val="single" w:sz="4" w:space="0" w:color="auto"/>
            </w:tcBorders>
          </w:tcPr>
          <w:p w14:paraId="18956953" w14:textId="77777777" w:rsidR="00BA4658" w:rsidRDefault="00BA4658" w:rsidP="001A5D4A">
            <w:pPr>
              <w:pStyle w:val="NotesTable-CellPlain"/>
              <w:rPr>
                <w:lang w:val="en-GB"/>
              </w:rPr>
            </w:pPr>
            <w:r w:rsidRPr="00D76974">
              <w:t>–</w:t>
            </w:r>
          </w:p>
        </w:tc>
        <w:tc>
          <w:tcPr>
            <w:tcW w:w="402" w:type="pct"/>
            <w:tcBorders>
              <w:bottom w:val="single" w:sz="4" w:space="0" w:color="auto"/>
            </w:tcBorders>
          </w:tcPr>
          <w:p w14:paraId="36F65238" w14:textId="77777777" w:rsidR="00BA4658" w:rsidRDefault="00BA4658" w:rsidP="001A5D4A">
            <w:pPr>
              <w:pStyle w:val="NotesTable-CellPlain"/>
              <w:rPr>
                <w:lang w:val="en-GB"/>
              </w:rPr>
            </w:pPr>
            <w:r w:rsidRPr="00D76974">
              <w:t>–</w:t>
            </w:r>
          </w:p>
        </w:tc>
      </w:tr>
      <w:tr w:rsidR="00BA4658" w14:paraId="7EDF4886" w14:textId="77777777" w:rsidTr="002E740E">
        <w:trPr>
          <w:trHeight w:val="181"/>
        </w:trPr>
        <w:tc>
          <w:tcPr>
            <w:tcW w:w="808" w:type="pct"/>
            <w:vAlign w:val="bottom"/>
          </w:tcPr>
          <w:p w14:paraId="4926624A" w14:textId="77777777" w:rsidR="00BA4658" w:rsidRDefault="00BA4658" w:rsidP="001A5D4A">
            <w:pPr>
              <w:pStyle w:val="Note-Refs"/>
            </w:pPr>
          </w:p>
        </w:tc>
        <w:tc>
          <w:tcPr>
            <w:tcW w:w="1754" w:type="pct"/>
            <w:vAlign w:val="bottom"/>
          </w:tcPr>
          <w:p w14:paraId="609588B2" w14:textId="77777777" w:rsidR="00BA4658" w:rsidRDefault="00BA4658" w:rsidP="001A5D4A">
            <w:pPr>
              <w:pStyle w:val="NotesTable-ItemBold"/>
            </w:pPr>
            <w:r>
              <w:t>At 31 December 2014</w:t>
            </w:r>
          </w:p>
        </w:tc>
        <w:tc>
          <w:tcPr>
            <w:tcW w:w="420" w:type="pct"/>
            <w:tcBorders>
              <w:top w:val="single" w:sz="4" w:space="0" w:color="auto"/>
              <w:left w:val="nil"/>
            </w:tcBorders>
          </w:tcPr>
          <w:p w14:paraId="63AA105E"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0E42E215"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36E803BD"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7DE447C4" w14:textId="77777777" w:rsidR="00BA4658" w:rsidRDefault="00BA4658" w:rsidP="001A5D4A">
            <w:pPr>
              <w:pStyle w:val="NotesTable-CellPlain"/>
              <w:rPr>
                <w:lang w:val="en-GB"/>
              </w:rPr>
            </w:pPr>
            <w:r w:rsidRPr="00D76974">
              <w:t>–</w:t>
            </w:r>
          </w:p>
        </w:tc>
        <w:tc>
          <w:tcPr>
            <w:tcW w:w="404" w:type="pct"/>
            <w:tcBorders>
              <w:top w:val="single" w:sz="4" w:space="0" w:color="auto"/>
            </w:tcBorders>
          </w:tcPr>
          <w:p w14:paraId="39A22FCD" w14:textId="77777777" w:rsidR="00BA4658" w:rsidRDefault="00BA4658" w:rsidP="001A5D4A">
            <w:pPr>
              <w:pStyle w:val="NotesTable-CellPlain"/>
              <w:rPr>
                <w:lang w:val="en-GB"/>
              </w:rPr>
            </w:pPr>
            <w:r w:rsidRPr="00D76974">
              <w:t>–</w:t>
            </w:r>
          </w:p>
        </w:tc>
        <w:tc>
          <w:tcPr>
            <w:tcW w:w="402" w:type="pct"/>
            <w:tcBorders>
              <w:top w:val="single" w:sz="4" w:space="0" w:color="auto"/>
            </w:tcBorders>
          </w:tcPr>
          <w:p w14:paraId="1E10A038" w14:textId="77777777" w:rsidR="00BA4658" w:rsidRDefault="00BA4658" w:rsidP="001A5D4A">
            <w:pPr>
              <w:pStyle w:val="NotesTable-CellPlain"/>
              <w:rPr>
                <w:lang w:val="en-GB"/>
              </w:rPr>
            </w:pPr>
            <w:r w:rsidRPr="00D76974">
              <w:t>–</w:t>
            </w:r>
          </w:p>
        </w:tc>
      </w:tr>
      <w:tr w:rsidR="00BA4658" w:rsidRPr="00AC7AB9" w14:paraId="6DB81FC9" w14:textId="77777777" w:rsidTr="002E740E">
        <w:trPr>
          <w:trHeight w:val="181"/>
        </w:trPr>
        <w:tc>
          <w:tcPr>
            <w:tcW w:w="808" w:type="pct"/>
          </w:tcPr>
          <w:p w14:paraId="56EE481F" w14:textId="77777777" w:rsidR="00BA4658" w:rsidRDefault="00BA4658" w:rsidP="001A5D4A">
            <w:pPr>
              <w:pStyle w:val="Note-Refs"/>
            </w:pPr>
          </w:p>
        </w:tc>
        <w:tc>
          <w:tcPr>
            <w:tcW w:w="4192" w:type="pct"/>
            <w:gridSpan w:val="7"/>
            <w:tcBorders>
              <w:bottom w:val="nil"/>
            </w:tcBorders>
            <w:vAlign w:val="bottom"/>
          </w:tcPr>
          <w:p w14:paraId="0E51A874" w14:textId="77777777" w:rsidR="00BA4658" w:rsidRPr="00AC7AB9" w:rsidRDefault="00BA4658" w:rsidP="001A5D4A">
            <w:pPr>
              <w:pStyle w:val="NotesTable-ItemPlain"/>
              <w:rPr>
                <w:vertAlign w:val="superscript"/>
              </w:rPr>
            </w:pPr>
          </w:p>
        </w:tc>
      </w:tr>
      <w:tr w:rsidR="00BA4658" w:rsidRPr="00426927" w14:paraId="02CB3571" w14:textId="77777777" w:rsidTr="002E740E">
        <w:trPr>
          <w:trHeight w:val="181"/>
        </w:trPr>
        <w:tc>
          <w:tcPr>
            <w:tcW w:w="808" w:type="pct"/>
          </w:tcPr>
          <w:p w14:paraId="4BA86452" w14:textId="77777777" w:rsidR="00BA4658" w:rsidRDefault="00BA4658" w:rsidP="001A5D4A">
            <w:pPr>
              <w:pStyle w:val="Note-Refs"/>
            </w:pPr>
          </w:p>
        </w:tc>
        <w:tc>
          <w:tcPr>
            <w:tcW w:w="4192" w:type="pct"/>
            <w:gridSpan w:val="7"/>
            <w:tcBorders>
              <w:bottom w:val="nil"/>
            </w:tcBorders>
            <w:vAlign w:val="bottom"/>
          </w:tcPr>
          <w:p w14:paraId="161D72D6" w14:textId="77777777" w:rsidR="00BA4658" w:rsidRPr="00426927" w:rsidRDefault="00BA4658" w:rsidP="001A5D4A">
            <w:pPr>
              <w:pStyle w:val="NotesTable-ItemPlain"/>
              <w:rPr>
                <w:b/>
              </w:rPr>
            </w:pPr>
            <w:r w:rsidRPr="00AC7AB9">
              <w:rPr>
                <w:vertAlign w:val="superscript"/>
              </w:rPr>
              <w:t>1</w:t>
            </w:r>
            <w:r w:rsidRPr="00426927">
              <w:t xml:space="preserve"> </w:t>
            </w:r>
            <w:r w:rsidRPr="00BD0626">
              <w:t>Specify the type of temporary difference</w:t>
            </w:r>
            <w:r w:rsidRPr="00426927">
              <w:t xml:space="preserve"> </w:t>
            </w:r>
          </w:p>
        </w:tc>
      </w:tr>
    </w:tbl>
    <w:p w14:paraId="5C76B12C" w14:textId="77777777" w:rsidR="000F7FFE" w:rsidRPr="007F5DE6" w:rsidRDefault="000F7FFE" w:rsidP="001A5D4A">
      <w:pPr>
        <w:pStyle w:val="Heading3"/>
        <w:rPr>
          <w:color w:val="2D3E7B" w:themeColor="text2" w:themeShade="BF"/>
        </w:rPr>
      </w:pPr>
      <w:bookmarkStart w:id="341" w:name="_Toc410807643"/>
      <w:bookmarkStart w:id="342" w:name="_Toc410822704"/>
      <w:r w:rsidRPr="007F5DE6">
        <w:rPr>
          <w:color w:val="2D3E7B" w:themeColor="text2" w:themeShade="BF"/>
        </w:rPr>
        <w:t xml:space="preserve">Commentary </w:t>
      </w:r>
      <w:r w:rsidRPr="007F5DE6">
        <w:rPr>
          <w:color w:val="2D3E7B" w:themeColor="text2" w:themeShade="BF"/>
        </w:rPr>
        <w:noBreakHyphen/>
        <w:t xml:space="preserve"> Deferred tax assets and liabilities</w:t>
      </w:r>
      <w:bookmarkEnd w:id="341"/>
      <w:bookmarkEnd w:id="342"/>
    </w:p>
    <w:p w14:paraId="56B28C2E"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Setting off of deferred tax assets and liabilities</w:t>
      </w:r>
    </w:p>
    <w:p w14:paraId="1AB8AEEF" w14:textId="77777777" w:rsidR="000F7FFE" w:rsidRPr="002E740E" w:rsidRDefault="000F7FFE" w:rsidP="00F94210">
      <w:pPr>
        <w:pStyle w:val="Heading6"/>
      </w:pPr>
      <w:r w:rsidRPr="002E740E">
        <w:t>AASB112.74</w:t>
      </w:r>
    </w:p>
    <w:p w14:paraId="3A1BC1B8" w14:textId="77777777" w:rsidR="000F7FFE" w:rsidRPr="002E740E" w:rsidRDefault="000F7FFE" w:rsidP="001A5D4A">
      <w:pPr>
        <w:rPr>
          <w:color w:val="2D3E7B" w:themeColor="text2" w:themeShade="BF"/>
        </w:rPr>
      </w:pPr>
      <w:r w:rsidRPr="002E740E">
        <w:rPr>
          <w:color w:val="2D3E7B" w:themeColor="text2" w:themeShade="BF"/>
        </w:rPr>
        <w:t>Deferred tax assets and liabilities shall be set off if, and only if:</w:t>
      </w:r>
    </w:p>
    <w:p w14:paraId="13D29F82" w14:textId="613E0160" w:rsidR="000F7FFE" w:rsidRPr="002E740E" w:rsidRDefault="000F7FFE" w:rsidP="00561138">
      <w:pPr>
        <w:pStyle w:val="ListParagraph"/>
        <w:numPr>
          <w:ilvl w:val="0"/>
          <w:numId w:val="46"/>
        </w:numPr>
        <w:ind w:left="340" w:hanging="340"/>
        <w:rPr>
          <w:color w:val="2D3E7B" w:themeColor="text2" w:themeShade="BF"/>
        </w:rPr>
      </w:pPr>
      <w:r w:rsidRPr="002E740E">
        <w:rPr>
          <w:color w:val="2D3E7B" w:themeColor="text2" w:themeShade="BF"/>
        </w:rPr>
        <w:t>there is a legally enforceable right to set off current tax assets and liabilities, and</w:t>
      </w:r>
    </w:p>
    <w:p w14:paraId="713FAC17" w14:textId="7EFB6C01" w:rsidR="000F7FFE" w:rsidRPr="002E740E" w:rsidRDefault="000F7FFE" w:rsidP="00561138">
      <w:pPr>
        <w:pStyle w:val="ListParagraph"/>
        <w:numPr>
          <w:ilvl w:val="0"/>
          <w:numId w:val="46"/>
        </w:numPr>
        <w:ind w:left="340" w:hanging="340"/>
        <w:rPr>
          <w:color w:val="2D3E7B" w:themeColor="text2" w:themeShade="BF"/>
        </w:rPr>
      </w:pPr>
      <w:r w:rsidRPr="002E740E">
        <w:rPr>
          <w:color w:val="2D3E7B" w:themeColor="text2" w:themeShade="BF"/>
        </w:rPr>
        <w:t>the deferred tax assets and liabilities relate to income taxes levied by the same taxation authority on either:</w:t>
      </w:r>
    </w:p>
    <w:p w14:paraId="1EEE1922" w14:textId="3E3E6634" w:rsidR="000F7FFE" w:rsidRPr="002E740E" w:rsidRDefault="000F7FFE" w:rsidP="00561138">
      <w:pPr>
        <w:pStyle w:val="ListParagraph"/>
        <w:numPr>
          <w:ilvl w:val="1"/>
          <w:numId w:val="46"/>
        </w:numPr>
        <w:ind w:left="680" w:hanging="340"/>
        <w:rPr>
          <w:color w:val="2D3E7B" w:themeColor="text2" w:themeShade="BF"/>
        </w:rPr>
      </w:pPr>
      <w:r w:rsidRPr="002E740E">
        <w:rPr>
          <w:color w:val="2D3E7B" w:themeColor="text2" w:themeShade="BF"/>
        </w:rPr>
        <w:t>the same taxable entity, or</w:t>
      </w:r>
    </w:p>
    <w:p w14:paraId="50A42EBA" w14:textId="47D467EA" w:rsidR="000F7FFE" w:rsidRPr="002E740E" w:rsidRDefault="000F7FFE" w:rsidP="00561138">
      <w:pPr>
        <w:pStyle w:val="ListParagraph"/>
        <w:numPr>
          <w:ilvl w:val="1"/>
          <w:numId w:val="46"/>
        </w:numPr>
        <w:ind w:left="680" w:hanging="340"/>
        <w:rPr>
          <w:color w:val="2D3E7B" w:themeColor="text2" w:themeShade="BF"/>
        </w:rPr>
      </w:pPr>
      <w:proofErr w:type="gramStart"/>
      <w:r w:rsidRPr="002E740E">
        <w:rPr>
          <w:color w:val="2D3E7B" w:themeColor="text2" w:themeShade="BF"/>
        </w:rPr>
        <w:t>different</w:t>
      </w:r>
      <w:proofErr w:type="gramEnd"/>
      <w:r w:rsidRPr="002E740E">
        <w:rPr>
          <w:color w:val="2D3E7B" w:themeColor="text2" w:themeShade="BF"/>
        </w:rPr>
        <w:t xml:space="preserve"> taxable entities which intend to settle current tax liabilities and assets on a net basis, or to realise the assets and settle the liabilities simultaneously, in each future period in which significant amounts of deferred tax liabilities or assets are expected to be settled or recovered.</w:t>
      </w:r>
    </w:p>
    <w:p w14:paraId="224B1CCC" w14:textId="77777777" w:rsidR="000F7FFE" w:rsidRPr="002E740E" w:rsidRDefault="000F7FFE" w:rsidP="00F94210">
      <w:pPr>
        <w:pStyle w:val="Heading6"/>
      </w:pPr>
      <w:r w:rsidRPr="002E740E">
        <w:t>AASB112.76</w:t>
      </w:r>
    </w:p>
    <w:p w14:paraId="369C8B5D" w14:textId="77777777" w:rsidR="000F7FFE" w:rsidRPr="002E740E" w:rsidRDefault="000F7FFE" w:rsidP="001A5D4A">
      <w:pPr>
        <w:rPr>
          <w:color w:val="2D3E7B" w:themeColor="text2" w:themeShade="BF"/>
        </w:rPr>
      </w:pPr>
      <w:r w:rsidRPr="002E740E">
        <w:rPr>
          <w:color w:val="2D3E7B" w:themeColor="text2" w:themeShade="BF"/>
        </w:rPr>
        <w:t>The circumstances giving rise to a set off between entities in a consolidated entity are likely to be rare, unless the entities are part of a tax consolidated group.</w:t>
      </w:r>
    </w:p>
    <w:p w14:paraId="1DA1CB18"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Deferred tax assets recovered within and after 12 months</w:t>
      </w:r>
    </w:p>
    <w:p w14:paraId="0C343508" w14:textId="3DE27488" w:rsidR="000F7FFE" w:rsidRPr="007F5DE6" w:rsidRDefault="000F7FFE" w:rsidP="001A5D4A">
      <w:pPr>
        <w:rPr>
          <w:color w:val="2D3E7B" w:themeColor="text2" w:themeShade="BF"/>
        </w:rPr>
      </w:pPr>
      <w:r w:rsidRPr="007F5DE6">
        <w:rPr>
          <w:color w:val="2D3E7B" w:themeColor="text2" w:themeShade="BF"/>
        </w:rPr>
        <w:t>Where an asset or a liability combines amounts that are expected to be recovered or settled within the next 12 months after the reporting date and more than 12 months after that date, AASB101.61 requires disclosure of the amount expected to be recovered or settled after more than 12 months. The HEP has determined this amount as the aggregate deferred tax assets relating to temporary differences associated with non</w:t>
      </w:r>
      <w:r w:rsidRPr="007F5DE6">
        <w:rPr>
          <w:color w:val="2D3E7B" w:themeColor="text2" w:themeShade="BF"/>
        </w:rPr>
        <w:noBreakHyphen/>
        <w:t>current assets or liabilities. Conversely, deferred tax assets relating to current assets and liabilities are assumed to be recovered within the next 12 months.</w:t>
      </w:r>
    </w:p>
    <w:p w14:paraId="1AAEDD7A"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Additional disclosures</w:t>
      </w:r>
    </w:p>
    <w:p w14:paraId="4173452C" w14:textId="77777777" w:rsidR="000F7FFE" w:rsidRPr="007F5DE6" w:rsidRDefault="000F7FFE" w:rsidP="00F94210">
      <w:pPr>
        <w:pStyle w:val="Heading6"/>
      </w:pPr>
      <w:r w:rsidRPr="007F5DE6">
        <w:t>AASB112.82</w:t>
      </w:r>
    </w:p>
    <w:p w14:paraId="7E317722" w14:textId="77777777" w:rsidR="000F7FFE" w:rsidRPr="007F5DE6" w:rsidRDefault="000F7FFE" w:rsidP="001A5D4A">
      <w:pPr>
        <w:rPr>
          <w:color w:val="2D3E7B" w:themeColor="text2" w:themeShade="BF"/>
        </w:rPr>
      </w:pPr>
      <w:r w:rsidRPr="007F5DE6">
        <w:rPr>
          <w:color w:val="2D3E7B" w:themeColor="text2" w:themeShade="BF"/>
        </w:rPr>
        <w:t>The amount of a deferred tax asset and the nature of the evidence supporting its recognition if it has been recognised and:</w:t>
      </w:r>
    </w:p>
    <w:p w14:paraId="7FCE8498" w14:textId="2FF5A8E9" w:rsidR="000F7FFE" w:rsidRPr="007F5DE6" w:rsidDel="00833894" w:rsidRDefault="000F7FFE" w:rsidP="00561138">
      <w:pPr>
        <w:pStyle w:val="ListParagraph"/>
        <w:numPr>
          <w:ilvl w:val="0"/>
          <w:numId w:val="47"/>
        </w:numPr>
        <w:ind w:left="340" w:hanging="340"/>
        <w:rPr>
          <w:color w:val="2D3E7B" w:themeColor="text2" w:themeShade="BF"/>
        </w:rPr>
      </w:pPr>
      <w:r w:rsidRPr="007F5DE6">
        <w:rPr>
          <w:color w:val="2D3E7B" w:themeColor="text2" w:themeShade="BF"/>
        </w:rPr>
        <w:t>its utilisation depends upon future taxable amounts in excess of profits arising from the reversal of existing taxable temporary differences; and</w:t>
      </w:r>
    </w:p>
    <w:p w14:paraId="143FC466" w14:textId="5A3DB876" w:rsidR="000F7FFE" w:rsidRPr="007F5DE6" w:rsidDel="00833894" w:rsidRDefault="000F7FFE" w:rsidP="00561138">
      <w:pPr>
        <w:pStyle w:val="ListParagraph"/>
        <w:numPr>
          <w:ilvl w:val="0"/>
          <w:numId w:val="47"/>
        </w:numPr>
        <w:ind w:left="340" w:hanging="340"/>
        <w:rPr>
          <w:color w:val="2D3E7B" w:themeColor="text2" w:themeShade="BF"/>
        </w:rPr>
      </w:pPr>
      <w:proofErr w:type="gramStart"/>
      <w:r w:rsidRPr="007F5DE6">
        <w:rPr>
          <w:color w:val="2D3E7B" w:themeColor="text2" w:themeShade="BF"/>
        </w:rPr>
        <w:t>the</w:t>
      </w:r>
      <w:proofErr w:type="gramEnd"/>
      <w:r w:rsidRPr="007F5DE6">
        <w:rPr>
          <w:color w:val="2D3E7B" w:themeColor="text2" w:themeShade="BF"/>
        </w:rPr>
        <w:t xml:space="preserve"> entity has suffered a loss in the current or preceding reporting period in the tax jurisdiction to which the deferred tax asset relates.</w:t>
      </w:r>
    </w:p>
    <w:p w14:paraId="1A85DA26" w14:textId="77777777" w:rsidR="00561138" w:rsidRDefault="00561138">
      <w:pPr>
        <w:spacing w:after="0"/>
        <w:rPr>
          <w:rFonts w:asciiTheme="majorHAnsi" w:eastAsiaTheme="majorEastAsia" w:hAnsiTheme="majorHAnsi"/>
          <w:b/>
          <w:bCs/>
          <w:i/>
          <w:iCs/>
          <w:sz w:val="32"/>
          <w:szCs w:val="28"/>
        </w:rPr>
      </w:pPr>
      <w:bookmarkStart w:id="343" w:name="_Toc410807644"/>
      <w:bookmarkStart w:id="344" w:name="_Toc410822705"/>
      <w:r>
        <w:br w:type="page"/>
      </w:r>
    </w:p>
    <w:p w14:paraId="72B59BA7" w14:textId="1CEBBB87" w:rsidR="00D21CB5" w:rsidRPr="00D21CB5" w:rsidRDefault="00D21CB5" w:rsidP="002E740E">
      <w:pPr>
        <w:pStyle w:val="Heading2"/>
      </w:pPr>
      <w:proofErr w:type="gramStart"/>
      <w:r w:rsidRPr="00D21CB5">
        <w:lastRenderedPageBreak/>
        <w:t>Note 29.</w:t>
      </w:r>
      <w:proofErr w:type="gramEnd"/>
      <w:r w:rsidR="002636A0">
        <w:t xml:space="preserve"> </w:t>
      </w:r>
      <w:r w:rsidRPr="00D21CB5">
        <w:t>Trade and other payables</w:t>
      </w:r>
      <w:bookmarkEnd w:id="343"/>
      <w:bookmarkEnd w:id="344"/>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57159B" w14:paraId="038A2B32" w14:textId="77777777" w:rsidTr="00E21378">
        <w:trPr>
          <w:trHeight w:val="181"/>
        </w:trPr>
        <w:tc>
          <w:tcPr>
            <w:tcW w:w="810" w:type="pct"/>
          </w:tcPr>
          <w:p w14:paraId="038A2B2E" w14:textId="77777777" w:rsidR="0057159B" w:rsidRPr="003C77BC" w:rsidRDefault="0057159B" w:rsidP="001A5D4A">
            <w:pPr>
              <w:pStyle w:val="Note-Refs"/>
            </w:pPr>
          </w:p>
        </w:tc>
        <w:tc>
          <w:tcPr>
            <w:tcW w:w="2567" w:type="pct"/>
            <w:vAlign w:val="bottom"/>
          </w:tcPr>
          <w:p w14:paraId="038A2B2F" w14:textId="77777777" w:rsidR="0057159B" w:rsidRDefault="0057159B" w:rsidP="001A5D4A">
            <w:pPr>
              <w:pStyle w:val="NotesTable-ItemPlain"/>
            </w:pPr>
          </w:p>
        </w:tc>
        <w:tc>
          <w:tcPr>
            <w:tcW w:w="811" w:type="pct"/>
            <w:gridSpan w:val="2"/>
          </w:tcPr>
          <w:p w14:paraId="038A2B30" w14:textId="77777777" w:rsidR="0057159B" w:rsidRDefault="0057159B" w:rsidP="001A5D4A">
            <w:pPr>
              <w:pStyle w:val="NotesTable-HeadPlain"/>
            </w:pPr>
            <w:r>
              <w:t>Consolidated</w:t>
            </w:r>
          </w:p>
        </w:tc>
        <w:tc>
          <w:tcPr>
            <w:tcW w:w="811" w:type="pct"/>
            <w:gridSpan w:val="2"/>
          </w:tcPr>
          <w:p w14:paraId="038A2B31" w14:textId="77777777" w:rsidR="0057159B" w:rsidRDefault="0057159B" w:rsidP="001A5D4A">
            <w:pPr>
              <w:pStyle w:val="NotesTable-HeadPlain"/>
            </w:pPr>
            <w:r>
              <w:t>Parent entity</w:t>
            </w:r>
          </w:p>
        </w:tc>
      </w:tr>
      <w:tr w:rsidR="0057159B" w14:paraId="038A2B39" w14:textId="77777777" w:rsidTr="00E21378">
        <w:trPr>
          <w:trHeight w:val="181"/>
        </w:trPr>
        <w:tc>
          <w:tcPr>
            <w:tcW w:w="810" w:type="pct"/>
          </w:tcPr>
          <w:p w14:paraId="038A2B33" w14:textId="77777777" w:rsidR="0057159B" w:rsidRPr="003C77BC" w:rsidRDefault="0057159B" w:rsidP="001A5D4A">
            <w:pPr>
              <w:pStyle w:val="Note-Refs"/>
            </w:pPr>
          </w:p>
        </w:tc>
        <w:tc>
          <w:tcPr>
            <w:tcW w:w="2567" w:type="pct"/>
            <w:vAlign w:val="bottom"/>
          </w:tcPr>
          <w:p w14:paraId="038A2B34" w14:textId="77777777" w:rsidR="0057159B" w:rsidRDefault="0057159B" w:rsidP="001A5D4A">
            <w:pPr>
              <w:pStyle w:val="NotesTable-ItemPlain"/>
            </w:pPr>
          </w:p>
        </w:tc>
        <w:tc>
          <w:tcPr>
            <w:tcW w:w="406" w:type="pct"/>
          </w:tcPr>
          <w:p w14:paraId="038A2B35" w14:textId="76FD4EC2" w:rsidR="0057159B" w:rsidRDefault="006864EC" w:rsidP="001A5D4A">
            <w:pPr>
              <w:pStyle w:val="NotesTable-HeadBold"/>
            </w:pPr>
            <w:r>
              <w:t>2014</w:t>
            </w:r>
          </w:p>
        </w:tc>
        <w:tc>
          <w:tcPr>
            <w:tcW w:w="406" w:type="pct"/>
          </w:tcPr>
          <w:p w14:paraId="038A2B36" w14:textId="6EC34D54" w:rsidR="0057159B" w:rsidRDefault="006864EC" w:rsidP="001A5D4A">
            <w:pPr>
              <w:pStyle w:val="NotesTable-HeadPlain"/>
            </w:pPr>
            <w:r>
              <w:t>2013</w:t>
            </w:r>
          </w:p>
        </w:tc>
        <w:tc>
          <w:tcPr>
            <w:tcW w:w="406" w:type="pct"/>
          </w:tcPr>
          <w:p w14:paraId="038A2B37" w14:textId="557A7C16" w:rsidR="0057159B" w:rsidRDefault="006864EC" w:rsidP="001A5D4A">
            <w:pPr>
              <w:pStyle w:val="NotesTable-HeadBold"/>
              <w:rPr>
                <w:szCs w:val="18"/>
              </w:rPr>
            </w:pPr>
            <w:r>
              <w:t>2014</w:t>
            </w:r>
          </w:p>
        </w:tc>
        <w:tc>
          <w:tcPr>
            <w:tcW w:w="406" w:type="pct"/>
          </w:tcPr>
          <w:p w14:paraId="038A2B38" w14:textId="56F73979" w:rsidR="0057159B" w:rsidRDefault="006864EC" w:rsidP="001A5D4A">
            <w:pPr>
              <w:pStyle w:val="NotesTable-HeadPlain"/>
            </w:pPr>
            <w:r>
              <w:t>2013</w:t>
            </w:r>
          </w:p>
        </w:tc>
      </w:tr>
      <w:tr w:rsidR="0057159B" w14:paraId="038A2B40" w14:textId="77777777" w:rsidTr="00E21378">
        <w:trPr>
          <w:trHeight w:val="181"/>
        </w:trPr>
        <w:tc>
          <w:tcPr>
            <w:tcW w:w="810" w:type="pct"/>
          </w:tcPr>
          <w:p w14:paraId="038A2B3A" w14:textId="77777777" w:rsidR="0057159B" w:rsidRPr="003C77BC" w:rsidRDefault="0057159B" w:rsidP="001A5D4A">
            <w:pPr>
              <w:pStyle w:val="Note-Refs"/>
            </w:pPr>
          </w:p>
        </w:tc>
        <w:tc>
          <w:tcPr>
            <w:tcW w:w="2567" w:type="pct"/>
            <w:vAlign w:val="bottom"/>
          </w:tcPr>
          <w:p w14:paraId="038A2B3B" w14:textId="77777777" w:rsidR="0057159B" w:rsidRDefault="0057159B" w:rsidP="001A5D4A">
            <w:pPr>
              <w:pStyle w:val="NotesTable-ItemPlain"/>
            </w:pPr>
          </w:p>
        </w:tc>
        <w:tc>
          <w:tcPr>
            <w:tcW w:w="406" w:type="pct"/>
          </w:tcPr>
          <w:p w14:paraId="038A2B3C" w14:textId="77777777" w:rsidR="0057159B" w:rsidRDefault="0057159B" w:rsidP="001A5D4A">
            <w:pPr>
              <w:pStyle w:val="NotesTable-HeadBold"/>
            </w:pPr>
            <w:r>
              <w:t>$’000</w:t>
            </w:r>
          </w:p>
        </w:tc>
        <w:tc>
          <w:tcPr>
            <w:tcW w:w="406" w:type="pct"/>
          </w:tcPr>
          <w:p w14:paraId="038A2B3D" w14:textId="77777777" w:rsidR="0057159B" w:rsidRDefault="0057159B" w:rsidP="001A5D4A">
            <w:pPr>
              <w:pStyle w:val="NotesTable-HeadPlain"/>
            </w:pPr>
            <w:r>
              <w:t>$’000</w:t>
            </w:r>
          </w:p>
        </w:tc>
        <w:tc>
          <w:tcPr>
            <w:tcW w:w="406" w:type="pct"/>
          </w:tcPr>
          <w:p w14:paraId="038A2B3E" w14:textId="77777777" w:rsidR="0057159B" w:rsidRDefault="0057159B" w:rsidP="001A5D4A">
            <w:pPr>
              <w:pStyle w:val="NotesTable-HeadBold"/>
              <w:rPr>
                <w:szCs w:val="18"/>
              </w:rPr>
            </w:pPr>
            <w:r>
              <w:t>$’000</w:t>
            </w:r>
          </w:p>
        </w:tc>
        <w:tc>
          <w:tcPr>
            <w:tcW w:w="406" w:type="pct"/>
          </w:tcPr>
          <w:p w14:paraId="038A2B3F" w14:textId="77777777" w:rsidR="0057159B" w:rsidRDefault="0057159B" w:rsidP="001A5D4A">
            <w:pPr>
              <w:pStyle w:val="NotesTable-HeadPlain"/>
            </w:pPr>
            <w:r>
              <w:t>$’000</w:t>
            </w:r>
          </w:p>
        </w:tc>
      </w:tr>
      <w:tr w:rsidR="008C7CC5" w14:paraId="038A2B43" w14:textId="77777777" w:rsidTr="00E21378">
        <w:trPr>
          <w:trHeight w:val="181"/>
        </w:trPr>
        <w:tc>
          <w:tcPr>
            <w:tcW w:w="810" w:type="pct"/>
          </w:tcPr>
          <w:p w14:paraId="038A2B41" w14:textId="77777777" w:rsidR="008C7CC5" w:rsidRDefault="008C7CC5" w:rsidP="001A5D4A">
            <w:pPr>
              <w:pStyle w:val="Note-Refs"/>
            </w:pPr>
          </w:p>
        </w:tc>
        <w:tc>
          <w:tcPr>
            <w:tcW w:w="4190" w:type="pct"/>
            <w:gridSpan w:val="5"/>
            <w:vAlign w:val="bottom"/>
          </w:tcPr>
          <w:p w14:paraId="038A2B42" w14:textId="77777777" w:rsidR="008C7CC5" w:rsidRDefault="008C7CC5" w:rsidP="001A5D4A">
            <w:pPr>
              <w:pStyle w:val="Note-TextHeader"/>
              <w:rPr>
                <w:b w:val="0"/>
                <w:lang w:val="en-GB"/>
              </w:rPr>
            </w:pPr>
            <w:r>
              <w:t>Current</w:t>
            </w:r>
          </w:p>
        </w:tc>
      </w:tr>
      <w:tr w:rsidR="0057159B" w14:paraId="038A2B4A" w14:textId="77777777" w:rsidTr="00E21378">
        <w:trPr>
          <w:trHeight w:val="181"/>
        </w:trPr>
        <w:tc>
          <w:tcPr>
            <w:tcW w:w="810" w:type="pct"/>
          </w:tcPr>
          <w:p w14:paraId="038A2B44" w14:textId="30157C9B" w:rsidR="0057159B" w:rsidRDefault="002F4C55" w:rsidP="001A5D4A">
            <w:pPr>
              <w:pStyle w:val="Note-Refs"/>
            </w:pPr>
            <w:r w:rsidRPr="00EF62D6">
              <w:rPr>
                <w:b/>
              </w:rPr>
              <w:t>EDUCATION</w:t>
            </w:r>
          </w:p>
        </w:tc>
        <w:tc>
          <w:tcPr>
            <w:tcW w:w="2567" w:type="pct"/>
            <w:shd w:val="clear" w:color="auto" w:fill="D9D9D9" w:themeFill="background1" w:themeFillShade="D9"/>
            <w:vAlign w:val="bottom"/>
          </w:tcPr>
          <w:p w14:paraId="038A2B45" w14:textId="77777777" w:rsidR="0057159B" w:rsidRDefault="0057159B" w:rsidP="001A5D4A">
            <w:pPr>
              <w:pStyle w:val="NotesTable-ItemPlain"/>
              <w:rPr>
                <w:b/>
              </w:rPr>
            </w:pPr>
            <w:r>
              <w:t>OS-HELP Liability to Australian Government</w:t>
            </w:r>
          </w:p>
        </w:tc>
        <w:tc>
          <w:tcPr>
            <w:tcW w:w="406" w:type="pct"/>
            <w:shd w:val="clear" w:color="auto" w:fill="D9D9D9" w:themeFill="background1" w:themeFillShade="D9"/>
          </w:tcPr>
          <w:p w14:paraId="038A2B46" w14:textId="77777777" w:rsidR="0057159B" w:rsidRDefault="0057159B" w:rsidP="001A5D4A">
            <w:pPr>
              <w:pStyle w:val="NotesTable-CellBold"/>
            </w:pPr>
            <w:r>
              <w:t>–</w:t>
            </w:r>
          </w:p>
        </w:tc>
        <w:tc>
          <w:tcPr>
            <w:tcW w:w="406" w:type="pct"/>
            <w:shd w:val="clear" w:color="auto" w:fill="D9D9D9" w:themeFill="background1" w:themeFillShade="D9"/>
          </w:tcPr>
          <w:p w14:paraId="038A2B47" w14:textId="77777777" w:rsidR="0057159B" w:rsidRDefault="0057159B" w:rsidP="001A5D4A">
            <w:pPr>
              <w:pStyle w:val="NotesTable-CellPlain"/>
            </w:pPr>
            <w:r>
              <w:t>–</w:t>
            </w:r>
          </w:p>
        </w:tc>
        <w:tc>
          <w:tcPr>
            <w:tcW w:w="406" w:type="pct"/>
            <w:shd w:val="clear" w:color="auto" w:fill="D9D9D9" w:themeFill="background1" w:themeFillShade="D9"/>
          </w:tcPr>
          <w:p w14:paraId="038A2B48" w14:textId="77777777" w:rsidR="0057159B" w:rsidRDefault="0057159B" w:rsidP="001A5D4A">
            <w:pPr>
              <w:pStyle w:val="NotesTable-CellBold"/>
            </w:pPr>
            <w:r>
              <w:t>–</w:t>
            </w:r>
          </w:p>
        </w:tc>
        <w:tc>
          <w:tcPr>
            <w:tcW w:w="406" w:type="pct"/>
            <w:shd w:val="clear" w:color="auto" w:fill="D9D9D9" w:themeFill="background1" w:themeFillShade="D9"/>
          </w:tcPr>
          <w:p w14:paraId="038A2B49" w14:textId="77777777" w:rsidR="0057159B" w:rsidRDefault="0057159B" w:rsidP="001A5D4A">
            <w:pPr>
              <w:pStyle w:val="NotesTable-CellPlain"/>
            </w:pPr>
            <w:r>
              <w:t>–</w:t>
            </w:r>
          </w:p>
        </w:tc>
      </w:tr>
      <w:tr w:rsidR="0057159B" w14:paraId="038A2B51" w14:textId="77777777" w:rsidTr="00E21378">
        <w:trPr>
          <w:trHeight w:val="181"/>
        </w:trPr>
        <w:tc>
          <w:tcPr>
            <w:tcW w:w="810" w:type="pct"/>
          </w:tcPr>
          <w:p w14:paraId="038A2B4B" w14:textId="435A0BC4" w:rsidR="0057159B" w:rsidRDefault="002F4C55" w:rsidP="001A5D4A">
            <w:pPr>
              <w:pStyle w:val="Note-Refs"/>
            </w:pPr>
            <w:r w:rsidRPr="00EF62D6">
              <w:rPr>
                <w:b/>
              </w:rPr>
              <w:t>AASB101</w:t>
            </w:r>
            <w:r>
              <w:t>.60</w:t>
            </w:r>
          </w:p>
        </w:tc>
        <w:tc>
          <w:tcPr>
            <w:tcW w:w="2567" w:type="pct"/>
            <w:vAlign w:val="bottom"/>
          </w:tcPr>
          <w:p w14:paraId="038A2B4C" w14:textId="77777777" w:rsidR="0057159B" w:rsidRDefault="0057159B" w:rsidP="001A5D4A">
            <w:pPr>
              <w:pStyle w:val="NotesTable-ItemPlain"/>
              <w:rPr>
                <w:b/>
              </w:rPr>
            </w:pPr>
            <w:r>
              <w:t>[Specify]</w:t>
            </w:r>
          </w:p>
        </w:tc>
        <w:tc>
          <w:tcPr>
            <w:tcW w:w="406" w:type="pct"/>
            <w:tcBorders>
              <w:bottom w:val="single" w:sz="4" w:space="0" w:color="000000"/>
            </w:tcBorders>
          </w:tcPr>
          <w:p w14:paraId="038A2B4D" w14:textId="77777777" w:rsidR="0057159B" w:rsidRDefault="0057159B" w:rsidP="001A5D4A">
            <w:pPr>
              <w:pStyle w:val="NotesTable-CellBold"/>
            </w:pPr>
            <w:r>
              <w:t>–</w:t>
            </w:r>
          </w:p>
        </w:tc>
        <w:tc>
          <w:tcPr>
            <w:tcW w:w="406" w:type="pct"/>
            <w:tcBorders>
              <w:bottom w:val="single" w:sz="4" w:space="0" w:color="000000"/>
            </w:tcBorders>
          </w:tcPr>
          <w:p w14:paraId="038A2B4E" w14:textId="77777777" w:rsidR="0057159B" w:rsidRDefault="0057159B" w:rsidP="001A5D4A">
            <w:pPr>
              <w:pStyle w:val="NotesTable-CellPlain"/>
            </w:pPr>
            <w:r>
              <w:t>–</w:t>
            </w:r>
          </w:p>
        </w:tc>
        <w:tc>
          <w:tcPr>
            <w:tcW w:w="406" w:type="pct"/>
            <w:tcBorders>
              <w:bottom w:val="single" w:sz="4" w:space="0" w:color="000000"/>
            </w:tcBorders>
          </w:tcPr>
          <w:p w14:paraId="038A2B4F" w14:textId="77777777" w:rsidR="0057159B" w:rsidRDefault="0057159B" w:rsidP="001A5D4A">
            <w:pPr>
              <w:pStyle w:val="NotesTable-CellBold"/>
            </w:pPr>
            <w:r>
              <w:t>–</w:t>
            </w:r>
          </w:p>
        </w:tc>
        <w:tc>
          <w:tcPr>
            <w:tcW w:w="406" w:type="pct"/>
            <w:tcBorders>
              <w:bottom w:val="single" w:sz="4" w:space="0" w:color="000000"/>
            </w:tcBorders>
          </w:tcPr>
          <w:p w14:paraId="038A2B50" w14:textId="77777777" w:rsidR="0057159B" w:rsidRDefault="0057159B" w:rsidP="001A5D4A">
            <w:pPr>
              <w:pStyle w:val="NotesTable-CellPlain"/>
            </w:pPr>
            <w:r>
              <w:t>–</w:t>
            </w:r>
          </w:p>
        </w:tc>
      </w:tr>
      <w:tr w:rsidR="0057159B" w14:paraId="038A2B58" w14:textId="77777777" w:rsidTr="00E21378">
        <w:trPr>
          <w:trHeight w:val="181"/>
        </w:trPr>
        <w:tc>
          <w:tcPr>
            <w:tcW w:w="810" w:type="pct"/>
          </w:tcPr>
          <w:p w14:paraId="038A2B52" w14:textId="77777777" w:rsidR="0057159B" w:rsidRDefault="0057159B" w:rsidP="001A5D4A">
            <w:pPr>
              <w:pStyle w:val="Note-Refs"/>
            </w:pPr>
          </w:p>
        </w:tc>
        <w:tc>
          <w:tcPr>
            <w:tcW w:w="2567" w:type="pct"/>
            <w:vAlign w:val="bottom"/>
          </w:tcPr>
          <w:p w14:paraId="038A2B53" w14:textId="77777777" w:rsidR="0057159B" w:rsidRDefault="0057159B" w:rsidP="001A5D4A">
            <w:pPr>
              <w:pStyle w:val="NotesTable-ItemPlain"/>
              <w:rPr>
                <w:b/>
              </w:rPr>
            </w:pPr>
            <w:r>
              <w:t>Total current trade and other payables</w:t>
            </w:r>
          </w:p>
        </w:tc>
        <w:tc>
          <w:tcPr>
            <w:tcW w:w="406" w:type="pct"/>
            <w:tcBorders>
              <w:top w:val="single" w:sz="4" w:space="0" w:color="000000"/>
            </w:tcBorders>
          </w:tcPr>
          <w:p w14:paraId="038A2B54" w14:textId="77777777" w:rsidR="0057159B" w:rsidRDefault="0057159B" w:rsidP="001A5D4A">
            <w:pPr>
              <w:pStyle w:val="NotesTable-CellBold"/>
            </w:pPr>
            <w:r>
              <w:t>–</w:t>
            </w:r>
          </w:p>
        </w:tc>
        <w:tc>
          <w:tcPr>
            <w:tcW w:w="406" w:type="pct"/>
            <w:tcBorders>
              <w:top w:val="single" w:sz="4" w:space="0" w:color="000000"/>
            </w:tcBorders>
          </w:tcPr>
          <w:p w14:paraId="038A2B55" w14:textId="77777777" w:rsidR="0057159B" w:rsidRDefault="0057159B" w:rsidP="001A5D4A">
            <w:pPr>
              <w:pStyle w:val="NotesTable-CellPlain"/>
            </w:pPr>
            <w:r>
              <w:t>–</w:t>
            </w:r>
          </w:p>
        </w:tc>
        <w:tc>
          <w:tcPr>
            <w:tcW w:w="406" w:type="pct"/>
            <w:tcBorders>
              <w:top w:val="single" w:sz="4" w:space="0" w:color="000000"/>
            </w:tcBorders>
          </w:tcPr>
          <w:p w14:paraId="038A2B56" w14:textId="77777777" w:rsidR="0057159B" w:rsidRDefault="0057159B" w:rsidP="001A5D4A">
            <w:pPr>
              <w:pStyle w:val="NotesTable-CellBold"/>
            </w:pPr>
            <w:r>
              <w:t>–</w:t>
            </w:r>
          </w:p>
        </w:tc>
        <w:tc>
          <w:tcPr>
            <w:tcW w:w="406" w:type="pct"/>
            <w:tcBorders>
              <w:top w:val="single" w:sz="4" w:space="0" w:color="000000"/>
            </w:tcBorders>
          </w:tcPr>
          <w:p w14:paraId="038A2B57" w14:textId="77777777" w:rsidR="0057159B" w:rsidRDefault="0057159B" w:rsidP="001A5D4A">
            <w:pPr>
              <w:pStyle w:val="NotesTable-CellPlain"/>
            </w:pPr>
            <w:r>
              <w:t>–</w:t>
            </w:r>
          </w:p>
        </w:tc>
      </w:tr>
      <w:tr w:rsidR="0057159B" w14:paraId="038A2B5F" w14:textId="77777777" w:rsidTr="00E21378">
        <w:trPr>
          <w:trHeight w:val="181"/>
        </w:trPr>
        <w:tc>
          <w:tcPr>
            <w:tcW w:w="810" w:type="pct"/>
          </w:tcPr>
          <w:p w14:paraId="038A2B59" w14:textId="77777777" w:rsidR="0057159B" w:rsidRDefault="0057159B" w:rsidP="001A5D4A">
            <w:pPr>
              <w:pStyle w:val="Note-Refs"/>
            </w:pPr>
          </w:p>
        </w:tc>
        <w:tc>
          <w:tcPr>
            <w:tcW w:w="2567" w:type="pct"/>
            <w:vAlign w:val="bottom"/>
          </w:tcPr>
          <w:p w14:paraId="038A2B5A" w14:textId="77777777" w:rsidR="0057159B" w:rsidRDefault="0057159B" w:rsidP="001A5D4A">
            <w:pPr>
              <w:pStyle w:val="NotesTable-ItemPlain"/>
            </w:pPr>
          </w:p>
        </w:tc>
        <w:tc>
          <w:tcPr>
            <w:tcW w:w="406" w:type="pct"/>
          </w:tcPr>
          <w:p w14:paraId="038A2B5B" w14:textId="77777777" w:rsidR="0057159B" w:rsidRDefault="0057159B" w:rsidP="001A5D4A">
            <w:pPr>
              <w:pStyle w:val="NotesTable-CellBold"/>
            </w:pPr>
          </w:p>
        </w:tc>
        <w:tc>
          <w:tcPr>
            <w:tcW w:w="406" w:type="pct"/>
          </w:tcPr>
          <w:p w14:paraId="038A2B5C" w14:textId="77777777" w:rsidR="0057159B" w:rsidRDefault="0057159B" w:rsidP="001A5D4A">
            <w:pPr>
              <w:pStyle w:val="NotesTable-CellPlain"/>
            </w:pPr>
          </w:p>
        </w:tc>
        <w:tc>
          <w:tcPr>
            <w:tcW w:w="406" w:type="pct"/>
          </w:tcPr>
          <w:p w14:paraId="038A2B5D" w14:textId="77777777" w:rsidR="0057159B" w:rsidRDefault="0057159B" w:rsidP="001A5D4A">
            <w:pPr>
              <w:pStyle w:val="NotesTable-CellBold"/>
            </w:pPr>
          </w:p>
        </w:tc>
        <w:tc>
          <w:tcPr>
            <w:tcW w:w="406" w:type="pct"/>
          </w:tcPr>
          <w:p w14:paraId="038A2B5E" w14:textId="77777777" w:rsidR="0057159B" w:rsidRDefault="0057159B" w:rsidP="001A5D4A">
            <w:pPr>
              <w:pStyle w:val="NotesTable-CellPlain"/>
            </w:pPr>
          </w:p>
        </w:tc>
      </w:tr>
      <w:tr w:rsidR="008C7CC5" w14:paraId="038A2B62" w14:textId="77777777" w:rsidTr="00E21378">
        <w:trPr>
          <w:trHeight w:val="181"/>
        </w:trPr>
        <w:tc>
          <w:tcPr>
            <w:tcW w:w="810" w:type="pct"/>
          </w:tcPr>
          <w:p w14:paraId="038A2B60" w14:textId="77777777" w:rsidR="008C7CC5" w:rsidRDefault="008C7CC5" w:rsidP="001A5D4A">
            <w:pPr>
              <w:pStyle w:val="Note-Refs"/>
            </w:pPr>
          </w:p>
        </w:tc>
        <w:tc>
          <w:tcPr>
            <w:tcW w:w="4190" w:type="pct"/>
            <w:gridSpan w:val="5"/>
            <w:vAlign w:val="bottom"/>
          </w:tcPr>
          <w:p w14:paraId="038A2B61" w14:textId="77777777" w:rsidR="008C7CC5" w:rsidRDefault="008C7CC5" w:rsidP="001A5D4A">
            <w:pPr>
              <w:pStyle w:val="Note-TextHeader"/>
              <w:rPr>
                <w:b w:val="0"/>
                <w:lang w:val="en-GB"/>
              </w:rPr>
            </w:pPr>
            <w:r>
              <w:t>Non-current</w:t>
            </w:r>
          </w:p>
        </w:tc>
      </w:tr>
      <w:tr w:rsidR="0057159B" w14:paraId="038A2B69" w14:textId="77777777" w:rsidTr="00E21378">
        <w:trPr>
          <w:trHeight w:val="181"/>
        </w:trPr>
        <w:tc>
          <w:tcPr>
            <w:tcW w:w="810" w:type="pct"/>
          </w:tcPr>
          <w:p w14:paraId="038A2B63" w14:textId="77777777" w:rsidR="0057159B" w:rsidRDefault="0057159B" w:rsidP="001A5D4A">
            <w:pPr>
              <w:pStyle w:val="Note-Refs"/>
            </w:pPr>
          </w:p>
        </w:tc>
        <w:tc>
          <w:tcPr>
            <w:tcW w:w="2567" w:type="pct"/>
            <w:vAlign w:val="bottom"/>
          </w:tcPr>
          <w:p w14:paraId="038A2B64" w14:textId="77777777" w:rsidR="0057159B" w:rsidRDefault="0057159B" w:rsidP="001A5D4A">
            <w:pPr>
              <w:pStyle w:val="NotesTable-ItemPlain"/>
              <w:rPr>
                <w:b/>
              </w:rPr>
            </w:pPr>
            <w:r>
              <w:t>[Specify]</w:t>
            </w:r>
          </w:p>
        </w:tc>
        <w:tc>
          <w:tcPr>
            <w:tcW w:w="406" w:type="pct"/>
            <w:tcBorders>
              <w:bottom w:val="single" w:sz="4" w:space="0" w:color="000000"/>
            </w:tcBorders>
          </w:tcPr>
          <w:p w14:paraId="038A2B65" w14:textId="77777777" w:rsidR="0057159B" w:rsidRDefault="0057159B" w:rsidP="001A5D4A">
            <w:pPr>
              <w:pStyle w:val="NotesTable-CellBold"/>
            </w:pPr>
            <w:r>
              <w:t>–</w:t>
            </w:r>
          </w:p>
        </w:tc>
        <w:tc>
          <w:tcPr>
            <w:tcW w:w="406" w:type="pct"/>
            <w:tcBorders>
              <w:bottom w:val="single" w:sz="4" w:space="0" w:color="000000"/>
            </w:tcBorders>
          </w:tcPr>
          <w:p w14:paraId="038A2B66" w14:textId="77777777" w:rsidR="0057159B" w:rsidRDefault="0057159B" w:rsidP="001A5D4A">
            <w:pPr>
              <w:pStyle w:val="NotesTable-CellPlain"/>
            </w:pPr>
            <w:r>
              <w:t>–</w:t>
            </w:r>
          </w:p>
        </w:tc>
        <w:tc>
          <w:tcPr>
            <w:tcW w:w="406" w:type="pct"/>
            <w:tcBorders>
              <w:bottom w:val="single" w:sz="4" w:space="0" w:color="000000"/>
            </w:tcBorders>
          </w:tcPr>
          <w:p w14:paraId="038A2B67" w14:textId="77777777" w:rsidR="0057159B" w:rsidRDefault="0057159B" w:rsidP="001A5D4A">
            <w:pPr>
              <w:pStyle w:val="NotesTable-CellBold"/>
            </w:pPr>
            <w:r>
              <w:t>–</w:t>
            </w:r>
          </w:p>
        </w:tc>
        <w:tc>
          <w:tcPr>
            <w:tcW w:w="406" w:type="pct"/>
            <w:tcBorders>
              <w:bottom w:val="single" w:sz="4" w:space="0" w:color="000000"/>
            </w:tcBorders>
          </w:tcPr>
          <w:p w14:paraId="038A2B68" w14:textId="77777777" w:rsidR="0057159B" w:rsidRDefault="0057159B" w:rsidP="001A5D4A">
            <w:pPr>
              <w:pStyle w:val="NotesTable-CellPlain"/>
            </w:pPr>
            <w:r>
              <w:t>–</w:t>
            </w:r>
          </w:p>
        </w:tc>
      </w:tr>
      <w:tr w:rsidR="0057159B" w14:paraId="038A2B70" w14:textId="77777777" w:rsidTr="00E21378">
        <w:trPr>
          <w:trHeight w:val="181"/>
        </w:trPr>
        <w:tc>
          <w:tcPr>
            <w:tcW w:w="810" w:type="pct"/>
          </w:tcPr>
          <w:p w14:paraId="038A2B6A" w14:textId="77777777" w:rsidR="0057159B" w:rsidRDefault="0057159B" w:rsidP="001A5D4A">
            <w:pPr>
              <w:pStyle w:val="Note-Refs"/>
            </w:pPr>
          </w:p>
        </w:tc>
        <w:tc>
          <w:tcPr>
            <w:tcW w:w="2567" w:type="pct"/>
            <w:vAlign w:val="bottom"/>
          </w:tcPr>
          <w:p w14:paraId="038A2B6B" w14:textId="77777777" w:rsidR="0057159B" w:rsidRDefault="0057159B" w:rsidP="001A5D4A">
            <w:pPr>
              <w:pStyle w:val="NotesTable-ItemPlain"/>
              <w:rPr>
                <w:b/>
              </w:rPr>
            </w:pPr>
            <w:r>
              <w:t>Total non-current trade and other payables</w:t>
            </w:r>
          </w:p>
        </w:tc>
        <w:tc>
          <w:tcPr>
            <w:tcW w:w="406" w:type="pct"/>
            <w:tcBorders>
              <w:top w:val="single" w:sz="4" w:space="0" w:color="000000"/>
              <w:bottom w:val="single" w:sz="4" w:space="0" w:color="auto"/>
            </w:tcBorders>
          </w:tcPr>
          <w:p w14:paraId="038A2B6C" w14:textId="77777777" w:rsidR="0057159B" w:rsidRDefault="0057159B" w:rsidP="001A5D4A">
            <w:pPr>
              <w:pStyle w:val="NotesTable-CellBold"/>
            </w:pPr>
            <w:r>
              <w:t>–</w:t>
            </w:r>
          </w:p>
        </w:tc>
        <w:tc>
          <w:tcPr>
            <w:tcW w:w="406" w:type="pct"/>
            <w:tcBorders>
              <w:top w:val="single" w:sz="4" w:space="0" w:color="000000"/>
              <w:bottom w:val="single" w:sz="4" w:space="0" w:color="auto"/>
            </w:tcBorders>
          </w:tcPr>
          <w:p w14:paraId="038A2B6D" w14:textId="77777777" w:rsidR="0057159B" w:rsidRDefault="0057159B" w:rsidP="001A5D4A">
            <w:pPr>
              <w:pStyle w:val="NotesTable-CellPlain"/>
            </w:pPr>
            <w:r>
              <w:t>–</w:t>
            </w:r>
          </w:p>
        </w:tc>
        <w:tc>
          <w:tcPr>
            <w:tcW w:w="406" w:type="pct"/>
            <w:tcBorders>
              <w:top w:val="single" w:sz="4" w:space="0" w:color="000000"/>
              <w:bottom w:val="single" w:sz="4" w:space="0" w:color="auto"/>
            </w:tcBorders>
          </w:tcPr>
          <w:p w14:paraId="038A2B6E" w14:textId="77777777" w:rsidR="0057159B" w:rsidRDefault="0057159B" w:rsidP="001A5D4A">
            <w:pPr>
              <w:pStyle w:val="NotesTable-CellBold"/>
            </w:pPr>
            <w:r>
              <w:t>–</w:t>
            </w:r>
          </w:p>
        </w:tc>
        <w:tc>
          <w:tcPr>
            <w:tcW w:w="406" w:type="pct"/>
            <w:tcBorders>
              <w:top w:val="single" w:sz="4" w:space="0" w:color="000000"/>
              <w:bottom w:val="single" w:sz="4" w:space="0" w:color="auto"/>
            </w:tcBorders>
          </w:tcPr>
          <w:p w14:paraId="038A2B6F" w14:textId="77777777" w:rsidR="0057159B" w:rsidRDefault="0057159B" w:rsidP="001A5D4A">
            <w:pPr>
              <w:pStyle w:val="NotesTable-CellPlain"/>
            </w:pPr>
            <w:r>
              <w:t>–</w:t>
            </w:r>
          </w:p>
        </w:tc>
      </w:tr>
      <w:tr w:rsidR="0057159B" w14:paraId="038A2B77" w14:textId="77777777" w:rsidTr="00E21378">
        <w:trPr>
          <w:trHeight w:val="181"/>
        </w:trPr>
        <w:tc>
          <w:tcPr>
            <w:tcW w:w="810" w:type="pct"/>
          </w:tcPr>
          <w:p w14:paraId="038A2B71" w14:textId="77777777" w:rsidR="0057159B" w:rsidRDefault="0057159B" w:rsidP="001A5D4A">
            <w:pPr>
              <w:pStyle w:val="Note-Refs"/>
            </w:pPr>
          </w:p>
        </w:tc>
        <w:tc>
          <w:tcPr>
            <w:tcW w:w="2567" w:type="pct"/>
            <w:vAlign w:val="bottom"/>
          </w:tcPr>
          <w:p w14:paraId="038A2B72" w14:textId="77777777" w:rsidR="0057159B" w:rsidRDefault="0057159B" w:rsidP="001A5D4A">
            <w:pPr>
              <w:pStyle w:val="NotesTable-ItemPlain"/>
              <w:rPr>
                <w:b/>
              </w:rPr>
            </w:pPr>
            <w:r>
              <w:t>Total trade and other payables</w:t>
            </w:r>
          </w:p>
        </w:tc>
        <w:tc>
          <w:tcPr>
            <w:tcW w:w="406" w:type="pct"/>
            <w:tcBorders>
              <w:top w:val="single" w:sz="4" w:space="0" w:color="auto"/>
            </w:tcBorders>
          </w:tcPr>
          <w:p w14:paraId="038A2B73" w14:textId="77777777" w:rsidR="0057159B" w:rsidRDefault="0057159B" w:rsidP="001A5D4A">
            <w:pPr>
              <w:pStyle w:val="NotesTable-CellBold"/>
            </w:pPr>
            <w:r>
              <w:t>–</w:t>
            </w:r>
          </w:p>
        </w:tc>
        <w:tc>
          <w:tcPr>
            <w:tcW w:w="406" w:type="pct"/>
            <w:tcBorders>
              <w:top w:val="single" w:sz="4" w:space="0" w:color="auto"/>
            </w:tcBorders>
          </w:tcPr>
          <w:p w14:paraId="038A2B74" w14:textId="77777777" w:rsidR="0057159B" w:rsidRDefault="0057159B" w:rsidP="001A5D4A">
            <w:pPr>
              <w:pStyle w:val="NotesTable-CellPlain"/>
            </w:pPr>
            <w:r>
              <w:t>–</w:t>
            </w:r>
          </w:p>
        </w:tc>
        <w:tc>
          <w:tcPr>
            <w:tcW w:w="406" w:type="pct"/>
            <w:tcBorders>
              <w:top w:val="single" w:sz="4" w:space="0" w:color="auto"/>
            </w:tcBorders>
          </w:tcPr>
          <w:p w14:paraId="038A2B75" w14:textId="77777777" w:rsidR="0057159B" w:rsidRDefault="0057159B" w:rsidP="001A5D4A">
            <w:pPr>
              <w:pStyle w:val="NotesTable-CellBold"/>
            </w:pPr>
            <w:r>
              <w:t>–</w:t>
            </w:r>
          </w:p>
        </w:tc>
        <w:tc>
          <w:tcPr>
            <w:tcW w:w="406" w:type="pct"/>
            <w:tcBorders>
              <w:top w:val="single" w:sz="4" w:space="0" w:color="auto"/>
            </w:tcBorders>
          </w:tcPr>
          <w:p w14:paraId="038A2B76" w14:textId="77777777" w:rsidR="0057159B" w:rsidRDefault="0057159B" w:rsidP="001A5D4A">
            <w:pPr>
              <w:pStyle w:val="NotesTable-CellPlain"/>
            </w:pPr>
            <w:r>
              <w:t>–</w:t>
            </w:r>
          </w:p>
        </w:tc>
      </w:tr>
      <w:tr w:rsidR="00780138" w14:paraId="038A2B7A" w14:textId="77777777" w:rsidTr="00E21378">
        <w:trPr>
          <w:trHeight w:val="181"/>
        </w:trPr>
        <w:tc>
          <w:tcPr>
            <w:tcW w:w="810" w:type="pct"/>
          </w:tcPr>
          <w:p w14:paraId="038A2B78" w14:textId="77777777" w:rsidR="00780138" w:rsidRDefault="00780138" w:rsidP="001A5D4A">
            <w:pPr>
              <w:pStyle w:val="Note-Refs"/>
            </w:pPr>
          </w:p>
        </w:tc>
        <w:tc>
          <w:tcPr>
            <w:tcW w:w="4190" w:type="pct"/>
            <w:gridSpan w:val="5"/>
            <w:vAlign w:val="bottom"/>
          </w:tcPr>
          <w:p w14:paraId="038A2B79" w14:textId="77777777" w:rsidR="00780138" w:rsidRDefault="00780138" w:rsidP="001A5D4A">
            <w:pPr>
              <w:pStyle w:val="Note-TextHeader"/>
            </w:pPr>
          </w:p>
        </w:tc>
      </w:tr>
      <w:tr w:rsidR="000C4AD8" w14:paraId="038A2B7D" w14:textId="77777777" w:rsidTr="00E21378">
        <w:trPr>
          <w:trHeight w:val="181"/>
        </w:trPr>
        <w:tc>
          <w:tcPr>
            <w:tcW w:w="810" w:type="pct"/>
          </w:tcPr>
          <w:p w14:paraId="038A2B7B" w14:textId="77777777" w:rsidR="000C4AD8" w:rsidRDefault="000C4AD8" w:rsidP="001A5D4A">
            <w:pPr>
              <w:pStyle w:val="Note-Refs"/>
            </w:pPr>
          </w:p>
        </w:tc>
        <w:tc>
          <w:tcPr>
            <w:tcW w:w="4190" w:type="pct"/>
            <w:gridSpan w:val="5"/>
            <w:vAlign w:val="bottom"/>
          </w:tcPr>
          <w:p w14:paraId="038A2B7C" w14:textId="77777777" w:rsidR="000C4AD8" w:rsidRDefault="000C4AD8" w:rsidP="001A5D4A">
            <w:pPr>
              <w:pStyle w:val="Note-TextHeader"/>
              <w:rPr>
                <w:b w:val="0"/>
                <w:vertAlign w:val="superscript"/>
                <w:lang w:val="en-GB"/>
              </w:rPr>
            </w:pPr>
            <w:r>
              <w:t>a)</w:t>
            </w:r>
            <w:r w:rsidR="00E076CB">
              <w:t xml:space="preserve"> </w:t>
            </w:r>
            <w:r w:rsidR="00E076CB">
              <w:tab/>
            </w:r>
            <w:r>
              <w:t>Foreign currency risk</w:t>
            </w:r>
            <w:r w:rsidRPr="00847803">
              <w:t xml:space="preserve"> </w:t>
            </w:r>
          </w:p>
        </w:tc>
      </w:tr>
      <w:tr w:rsidR="000C4AD8" w14:paraId="038A2B80" w14:textId="77777777" w:rsidTr="00E21378">
        <w:trPr>
          <w:trHeight w:val="181"/>
        </w:trPr>
        <w:tc>
          <w:tcPr>
            <w:tcW w:w="810" w:type="pct"/>
          </w:tcPr>
          <w:p w14:paraId="038A2B7E" w14:textId="77777777" w:rsidR="000C4AD8" w:rsidRDefault="000C4AD8" w:rsidP="001A5D4A">
            <w:pPr>
              <w:pStyle w:val="Note-Refs"/>
              <w:rPr>
                <w:b/>
              </w:rPr>
            </w:pPr>
            <w:r>
              <w:t>AASB7.</w:t>
            </w:r>
            <w:r w:rsidRPr="00EF62D6">
              <w:rPr>
                <w:b/>
              </w:rPr>
              <w:t>31</w:t>
            </w:r>
            <w:r>
              <w:t>,34c</w:t>
            </w:r>
          </w:p>
        </w:tc>
        <w:tc>
          <w:tcPr>
            <w:tcW w:w="4190" w:type="pct"/>
            <w:gridSpan w:val="5"/>
            <w:vAlign w:val="bottom"/>
          </w:tcPr>
          <w:p w14:paraId="038A2B7F" w14:textId="77777777" w:rsidR="000C4AD8" w:rsidRDefault="000C4AD8" w:rsidP="001A5D4A">
            <w:pPr>
              <w:pStyle w:val="NotesTable-ItemPlain"/>
              <w:rPr>
                <w:b/>
              </w:rPr>
            </w:pPr>
            <w:r>
              <w:t>The carrying amounts of the Group’s and parent entity’s trade and other payables are denominated in the following currencies:</w:t>
            </w:r>
          </w:p>
        </w:tc>
      </w:tr>
      <w:tr w:rsidR="000C4AD8" w14:paraId="038A2B85" w14:textId="77777777" w:rsidTr="00E21378">
        <w:trPr>
          <w:trHeight w:val="181"/>
        </w:trPr>
        <w:tc>
          <w:tcPr>
            <w:tcW w:w="810" w:type="pct"/>
          </w:tcPr>
          <w:p w14:paraId="038A2B81" w14:textId="77777777" w:rsidR="000C4AD8" w:rsidRDefault="000C4AD8" w:rsidP="001A5D4A">
            <w:pPr>
              <w:pStyle w:val="Note-Refs"/>
            </w:pPr>
          </w:p>
        </w:tc>
        <w:tc>
          <w:tcPr>
            <w:tcW w:w="2567" w:type="pct"/>
            <w:vAlign w:val="bottom"/>
          </w:tcPr>
          <w:p w14:paraId="038A2B82" w14:textId="77777777" w:rsidR="000C4AD8" w:rsidRDefault="000C4AD8" w:rsidP="001A5D4A">
            <w:pPr>
              <w:pStyle w:val="NotesTable-ItemPlain"/>
            </w:pPr>
          </w:p>
        </w:tc>
        <w:tc>
          <w:tcPr>
            <w:tcW w:w="811" w:type="pct"/>
            <w:gridSpan w:val="2"/>
          </w:tcPr>
          <w:p w14:paraId="038A2B83" w14:textId="77777777" w:rsidR="000C4AD8" w:rsidRDefault="000C4AD8" w:rsidP="001A5D4A">
            <w:pPr>
              <w:pStyle w:val="NotesTable-HeadPlain"/>
              <w:rPr>
                <w:b/>
                <w:bCs/>
              </w:rPr>
            </w:pPr>
            <w:r>
              <w:t>Consolidated</w:t>
            </w:r>
          </w:p>
        </w:tc>
        <w:tc>
          <w:tcPr>
            <w:tcW w:w="811" w:type="pct"/>
            <w:gridSpan w:val="2"/>
          </w:tcPr>
          <w:p w14:paraId="038A2B84" w14:textId="77777777" w:rsidR="000C4AD8" w:rsidRDefault="000C4AD8" w:rsidP="001A5D4A">
            <w:pPr>
              <w:pStyle w:val="NotesTable-HeadPlain"/>
              <w:rPr>
                <w:b/>
                <w:bCs/>
              </w:rPr>
            </w:pPr>
            <w:r>
              <w:t>Parent entity</w:t>
            </w:r>
          </w:p>
        </w:tc>
      </w:tr>
      <w:tr w:rsidR="000C4AD8" w14:paraId="038A2B8C" w14:textId="77777777" w:rsidTr="00E21378">
        <w:trPr>
          <w:trHeight w:val="181"/>
        </w:trPr>
        <w:tc>
          <w:tcPr>
            <w:tcW w:w="810" w:type="pct"/>
            <w:vAlign w:val="bottom"/>
          </w:tcPr>
          <w:p w14:paraId="038A2B86" w14:textId="77777777" w:rsidR="000C4AD8" w:rsidRDefault="000C4AD8" w:rsidP="001A5D4A">
            <w:pPr>
              <w:pStyle w:val="Note-Refs"/>
            </w:pPr>
          </w:p>
        </w:tc>
        <w:tc>
          <w:tcPr>
            <w:tcW w:w="2567" w:type="pct"/>
            <w:vAlign w:val="bottom"/>
          </w:tcPr>
          <w:p w14:paraId="038A2B87" w14:textId="77777777" w:rsidR="000C4AD8" w:rsidRDefault="000C4AD8" w:rsidP="001A5D4A">
            <w:pPr>
              <w:pStyle w:val="NotesTable-ItemPlain"/>
            </w:pPr>
          </w:p>
        </w:tc>
        <w:tc>
          <w:tcPr>
            <w:tcW w:w="406" w:type="pct"/>
          </w:tcPr>
          <w:p w14:paraId="038A2B88" w14:textId="6564BCDC" w:rsidR="000C4AD8" w:rsidRDefault="006864EC" w:rsidP="001A5D4A">
            <w:pPr>
              <w:pStyle w:val="NotesTable-HeadBold"/>
            </w:pPr>
            <w:r>
              <w:t>2014</w:t>
            </w:r>
          </w:p>
        </w:tc>
        <w:tc>
          <w:tcPr>
            <w:tcW w:w="406" w:type="pct"/>
          </w:tcPr>
          <w:p w14:paraId="038A2B89" w14:textId="64AE1EF5" w:rsidR="000C4AD8" w:rsidRDefault="006864EC" w:rsidP="001A5D4A">
            <w:pPr>
              <w:pStyle w:val="NotesTable-HeadPlain"/>
            </w:pPr>
            <w:r>
              <w:t>2013</w:t>
            </w:r>
          </w:p>
        </w:tc>
        <w:tc>
          <w:tcPr>
            <w:tcW w:w="406" w:type="pct"/>
          </w:tcPr>
          <w:p w14:paraId="038A2B8A" w14:textId="06E69172" w:rsidR="000C4AD8" w:rsidRDefault="006864EC" w:rsidP="001A5D4A">
            <w:pPr>
              <w:pStyle w:val="NotesTable-HeadBold"/>
              <w:rPr>
                <w:szCs w:val="18"/>
              </w:rPr>
            </w:pPr>
            <w:r>
              <w:t>2014</w:t>
            </w:r>
          </w:p>
        </w:tc>
        <w:tc>
          <w:tcPr>
            <w:tcW w:w="406" w:type="pct"/>
          </w:tcPr>
          <w:p w14:paraId="038A2B8B" w14:textId="5666803B" w:rsidR="000C4AD8" w:rsidRDefault="006864EC" w:rsidP="001A5D4A">
            <w:pPr>
              <w:pStyle w:val="NotesTable-HeadPlain"/>
            </w:pPr>
            <w:r>
              <w:t>2013</w:t>
            </w:r>
          </w:p>
        </w:tc>
      </w:tr>
      <w:tr w:rsidR="000C4AD8" w14:paraId="038A2B93" w14:textId="77777777" w:rsidTr="00E21378">
        <w:trPr>
          <w:trHeight w:val="181"/>
        </w:trPr>
        <w:tc>
          <w:tcPr>
            <w:tcW w:w="810" w:type="pct"/>
            <w:vAlign w:val="bottom"/>
          </w:tcPr>
          <w:p w14:paraId="038A2B8D" w14:textId="77777777" w:rsidR="000C4AD8" w:rsidRDefault="000C4AD8" w:rsidP="001A5D4A">
            <w:pPr>
              <w:pStyle w:val="Note-Refs"/>
            </w:pPr>
          </w:p>
        </w:tc>
        <w:tc>
          <w:tcPr>
            <w:tcW w:w="2567" w:type="pct"/>
            <w:vAlign w:val="bottom"/>
          </w:tcPr>
          <w:p w14:paraId="038A2B8E" w14:textId="77777777" w:rsidR="000C4AD8" w:rsidRDefault="000C4AD8" w:rsidP="001A5D4A">
            <w:pPr>
              <w:pStyle w:val="NotesTable-ItemPlain"/>
            </w:pPr>
          </w:p>
        </w:tc>
        <w:tc>
          <w:tcPr>
            <w:tcW w:w="406" w:type="pct"/>
          </w:tcPr>
          <w:p w14:paraId="038A2B8F" w14:textId="77777777" w:rsidR="000C4AD8" w:rsidRDefault="000C4AD8" w:rsidP="001A5D4A">
            <w:pPr>
              <w:pStyle w:val="NotesTable-HeadBold"/>
            </w:pPr>
            <w:r>
              <w:t>$’000</w:t>
            </w:r>
          </w:p>
        </w:tc>
        <w:tc>
          <w:tcPr>
            <w:tcW w:w="406" w:type="pct"/>
          </w:tcPr>
          <w:p w14:paraId="038A2B90" w14:textId="77777777" w:rsidR="000C4AD8" w:rsidRDefault="000C4AD8" w:rsidP="001A5D4A">
            <w:pPr>
              <w:pStyle w:val="NotesTable-HeadPlain"/>
            </w:pPr>
            <w:r>
              <w:t>$’000</w:t>
            </w:r>
          </w:p>
        </w:tc>
        <w:tc>
          <w:tcPr>
            <w:tcW w:w="406" w:type="pct"/>
          </w:tcPr>
          <w:p w14:paraId="038A2B91" w14:textId="77777777" w:rsidR="000C4AD8" w:rsidRDefault="000C4AD8" w:rsidP="001A5D4A">
            <w:pPr>
              <w:pStyle w:val="NotesTable-HeadBold"/>
              <w:rPr>
                <w:szCs w:val="18"/>
              </w:rPr>
            </w:pPr>
            <w:r>
              <w:t>$’000</w:t>
            </w:r>
          </w:p>
        </w:tc>
        <w:tc>
          <w:tcPr>
            <w:tcW w:w="406" w:type="pct"/>
          </w:tcPr>
          <w:p w14:paraId="038A2B92" w14:textId="77777777" w:rsidR="000C4AD8" w:rsidRDefault="000C4AD8" w:rsidP="001A5D4A">
            <w:pPr>
              <w:pStyle w:val="NotesTable-HeadPlain"/>
            </w:pPr>
            <w:r>
              <w:t>$’000</w:t>
            </w:r>
          </w:p>
        </w:tc>
      </w:tr>
      <w:tr w:rsidR="002055FE" w14:paraId="038A2B9A" w14:textId="77777777" w:rsidTr="00E21378">
        <w:trPr>
          <w:trHeight w:val="181"/>
        </w:trPr>
        <w:tc>
          <w:tcPr>
            <w:tcW w:w="810" w:type="pct"/>
          </w:tcPr>
          <w:p w14:paraId="038A2B94" w14:textId="77777777" w:rsidR="002055FE" w:rsidRDefault="002055FE" w:rsidP="001A5D4A">
            <w:pPr>
              <w:pStyle w:val="Note-Refs"/>
            </w:pPr>
          </w:p>
        </w:tc>
        <w:tc>
          <w:tcPr>
            <w:tcW w:w="2567" w:type="pct"/>
            <w:vAlign w:val="bottom"/>
          </w:tcPr>
          <w:p w14:paraId="038A2B95" w14:textId="77777777" w:rsidR="002055FE" w:rsidRDefault="002055FE" w:rsidP="001A5D4A">
            <w:pPr>
              <w:pStyle w:val="NotesTable-ItemPlain"/>
              <w:rPr>
                <w:b/>
              </w:rPr>
            </w:pPr>
            <w:r>
              <w:t>US Dollar</w:t>
            </w:r>
          </w:p>
        </w:tc>
        <w:tc>
          <w:tcPr>
            <w:tcW w:w="406" w:type="pct"/>
          </w:tcPr>
          <w:p w14:paraId="038A2B96" w14:textId="77777777" w:rsidR="002055FE" w:rsidRDefault="002055FE" w:rsidP="001A5D4A">
            <w:pPr>
              <w:pStyle w:val="NotesTable-CellBold"/>
            </w:pPr>
            <w:r>
              <w:t>–</w:t>
            </w:r>
          </w:p>
        </w:tc>
        <w:tc>
          <w:tcPr>
            <w:tcW w:w="406" w:type="pct"/>
          </w:tcPr>
          <w:p w14:paraId="038A2B97" w14:textId="77777777" w:rsidR="002055FE" w:rsidRDefault="002055FE" w:rsidP="001A5D4A">
            <w:pPr>
              <w:pStyle w:val="NotesTable-CellPlain"/>
            </w:pPr>
            <w:r>
              <w:t>–</w:t>
            </w:r>
          </w:p>
        </w:tc>
        <w:tc>
          <w:tcPr>
            <w:tcW w:w="406" w:type="pct"/>
          </w:tcPr>
          <w:p w14:paraId="038A2B98" w14:textId="77777777" w:rsidR="002055FE" w:rsidRDefault="002055FE" w:rsidP="001A5D4A">
            <w:pPr>
              <w:pStyle w:val="NotesTable-CellBold"/>
            </w:pPr>
            <w:r>
              <w:t>–</w:t>
            </w:r>
          </w:p>
        </w:tc>
        <w:tc>
          <w:tcPr>
            <w:tcW w:w="406" w:type="pct"/>
          </w:tcPr>
          <w:p w14:paraId="038A2B99" w14:textId="77777777" w:rsidR="002055FE" w:rsidRDefault="002055FE" w:rsidP="001A5D4A">
            <w:pPr>
              <w:pStyle w:val="NotesTable-CellPlain"/>
            </w:pPr>
            <w:r>
              <w:t>–</w:t>
            </w:r>
          </w:p>
        </w:tc>
      </w:tr>
      <w:tr w:rsidR="002055FE" w14:paraId="038A2BA1" w14:textId="77777777" w:rsidTr="00E21378">
        <w:trPr>
          <w:trHeight w:val="181"/>
        </w:trPr>
        <w:tc>
          <w:tcPr>
            <w:tcW w:w="810" w:type="pct"/>
          </w:tcPr>
          <w:p w14:paraId="038A2B9B" w14:textId="77777777" w:rsidR="002055FE" w:rsidRDefault="002055FE" w:rsidP="001A5D4A">
            <w:pPr>
              <w:pStyle w:val="Note-Refs"/>
            </w:pPr>
          </w:p>
        </w:tc>
        <w:tc>
          <w:tcPr>
            <w:tcW w:w="2567" w:type="pct"/>
            <w:vAlign w:val="bottom"/>
          </w:tcPr>
          <w:p w14:paraId="038A2B9C" w14:textId="77777777" w:rsidR="002055FE" w:rsidRDefault="002055FE" w:rsidP="001A5D4A">
            <w:pPr>
              <w:pStyle w:val="NotesTable-ItemPlain"/>
              <w:rPr>
                <w:b/>
              </w:rPr>
            </w:pPr>
            <w:r>
              <w:t>Australian Dollars</w:t>
            </w:r>
          </w:p>
        </w:tc>
        <w:tc>
          <w:tcPr>
            <w:tcW w:w="406" w:type="pct"/>
          </w:tcPr>
          <w:p w14:paraId="038A2B9D" w14:textId="77777777" w:rsidR="002055FE" w:rsidRPr="00813AD3" w:rsidRDefault="002055FE" w:rsidP="001A5D4A">
            <w:pPr>
              <w:pStyle w:val="NotesTable-CellBold"/>
            </w:pPr>
            <w:r>
              <w:t>–</w:t>
            </w:r>
          </w:p>
        </w:tc>
        <w:tc>
          <w:tcPr>
            <w:tcW w:w="406" w:type="pct"/>
          </w:tcPr>
          <w:p w14:paraId="038A2B9E" w14:textId="77777777" w:rsidR="002055FE" w:rsidRDefault="002055FE" w:rsidP="001A5D4A">
            <w:pPr>
              <w:pStyle w:val="NotesTable-CellPlain"/>
            </w:pPr>
            <w:r>
              <w:t>–</w:t>
            </w:r>
          </w:p>
        </w:tc>
        <w:tc>
          <w:tcPr>
            <w:tcW w:w="406" w:type="pct"/>
          </w:tcPr>
          <w:p w14:paraId="038A2B9F" w14:textId="77777777" w:rsidR="002055FE" w:rsidRPr="00813AD3" w:rsidRDefault="002055FE" w:rsidP="001A5D4A">
            <w:pPr>
              <w:pStyle w:val="NotesTable-CellBold"/>
            </w:pPr>
            <w:r>
              <w:t>–</w:t>
            </w:r>
          </w:p>
        </w:tc>
        <w:tc>
          <w:tcPr>
            <w:tcW w:w="406" w:type="pct"/>
          </w:tcPr>
          <w:p w14:paraId="038A2BA0" w14:textId="77777777" w:rsidR="002055FE" w:rsidRDefault="002055FE" w:rsidP="001A5D4A">
            <w:pPr>
              <w:pStyle w:val="NotesTable-CellPlain"/>
            </w:pPr>
            <w:r>
              <w:t>–</w:t>
            </w:r>
          </w:p>
        </w:tc>
      </w:tr>
      <w:tr w:rsidR="002055FE" w14:paraId="038A2BA8" w14:textId="77777777" w:rsidTr="00E21378">
        <w:trPr>
          <w:trHeight w:val="181"/>
        </w:trPr>
        <w:tc>
          <w:tcPr>
            <w:tcW w:w="810" w:type="pct"/>
          </w:tcPr>
          <w:p w14:paraId="038A2BA2" w14:textId="77777777" w:rsidR="002055FE" w:rsidRDefault="002055FE" w:rsidP="001A5D4A">
            <w:pPr>
              <w:pStyle w:val="Note-Refs"/>
            </w:pPr>
          </w:p>
        </w:tc>
        <w:tc>
          <w:tcPr>
            <w:tcW w:w="2567" w:type="pct"/>
            <w:vAlign w:val="bottom"/>
          </w:tcPr>
          <w:p w14:paraId="038A2BA3" w14:textId="77777777" w:rsidR="002055FE" w:rsidRDefault="002055FE" w:rsidP="001A5D4A">
            <w:pPr>
              <w:pStyle w:val="NotesTable-ItemPlain"/>
            </w:pPr>
            <w:r>
              <w:t>[Specify]</w:t>
            </w:r>
          </w:p>
        </w:tc>
        <w:tc>
          <w:tcPr>
            <w:tcW w:w="406" w:type="pct"/>
          </w:tcPr>
          <w:p w14:paraId="038A2BA4" w14:textId="77777777" w:rsidR="002055FE" w:rsidRPr="00813AD3" w:rsidRDefault="002055FE" w:rsidP="001A5D4A">
            <w:pPr>
              <w:pStyle w:val="NotesTable-CellBold"/>
            </w:pPr>
            <w:r>
              <w:t>–</w:t>
            </w:r>
          </w:p>
        </w:tc>
        <w:tc>
          <w:tcPr>
            <w:tcW w:w="406" w:type="pct"/>
          </w:tcPr>
          <w:p w14:paraId="038A2BA5" w14:textId="77777777" w:rsidR="002055FE" w:rsidRDefault="002055FE" w:rsidP="001A5D4A">
            <w:pPr>
              <w:pStyle w:val="NotesTable-CellPlain"/>
            </w:pPr>
            <w:r>
              <w:t>–</w:t>
            </w:r>
          </w:p>
        </w:tc>
        <w:tc>
          <w:tcPr>
            <w:tcW w:w="406" w:type="pct"/>
          </w:tcPr>
          <w:p w14:paraId="038A2BA6" w14:textId="77777777" w:rsidR="002055FE" w:rsidRPr="00813AD3" w:rsidRDefault="002055FE" w:rsidP="001A5D4A">
            <w:pPr>
              <w:pStyle w:val="NotesTable-CellBold"/>
            </w:pPr>
            <w:r>
              <w:t>–</w:t>
            </w:r>
          </w:p>
        </w:tc>
        <w:tc>
          <w:tcPr>
            <w:tcW w:w="406" w:type="pct"/>
          </w:tcPr>
          <w:p w14:paraId="038A2BA7" w14:textId="77777777" w:rsidR="002055FE" w:rsidRDefault="002055FE" w:rsidP="001A5D4A">
            <w:pPr>
              <w:pStyle w:val="NotesTable-CellPlain"/>
            </w:pPr>
            <w:r>
              <w:t>–</w:t>
            </w:r>
          </w:p>
        </w:tc>
      </w:tr>
      <w:tr w:rsidR="000C4AD8" w14:paraId="038A2BAB" w14:textId="77777777" w:rsidTr="00E21378">
        <w:trPr>
          <w:trHeight w:val="181"/>
        </w:trPr>
        <w:tc>
          <w:tcPr>
            <w:tcW w:w="810" w:type="pct"/>
          </w:tcPr>
          <w:p w14:paraId="038A2BA9" w14:textId="77777777" w:rsidR="000C4AD8" w:rsidRDefault="000C4AD8" w:rsidP="001A5D4A">
            <w:pPr>
              <w:pStyle w:val="Note-Refs"/>
            </w:pPr>
            <w:r w:rsidRPr="00EF62D6">
              <w:rPr>
                <w:b/>
              </w:rPr>
              <w:t>AASB7</w:t>
            </w:r>
            <w:r>
              <w:t>.40</w:t>
            </w:r>
          </w:p>
        </w:tc>
        <w:tc>
          <w:tcPr>
            <w:tcW w:w="4190" w:type="pct"/>
            <w:gridSpan w:val="5"/>
            <w:vAlign w:val="bottom"/>
          </w:tcPr>
          <w:p w14:paraId="038A2BAA" w14:textId="77777777" w:rsidR="000C4AD8" w:rsidRDefault="000C4AD8" w:rsidP="001A5D4A">
            <w:pPr>
              <w:pStyle w:val="NotesTable-ItemPlain"/>
              <w:rPr>
                <w:b/>
              </w:rPr>
            </w:pPr>
            <w:r>
              <w:t>For an analysis of the sensitivity of trade and other payables to foreign currency risk refer to note 51.</w:t>
            </w:r>
          </w:p>
        </w:tc>
      </w:tr>
    </w:tbl>
    <w:p w14:paraId="0E7B7304" w14:textId="67A0A99F" w:rsidR="000F7FFE" w:rsidRPr="000F7FFE" w:rsidRDefault="000F7FFE" w:rsidP="001A5D4A">
      <w:pPr>
        <w:pStyle w:val="Heading3"/>
        <w:rPr>
          <w:color w:val="2D3E7B" w:themeColor="text2" w:themeShade="BF"/>
        </w:rPr>
      </w:pPr>
      <w:bookmarkStart w:id="345" w:name="_Toc410807645"/>
      <w:bookmarkStart w:id="346" w:name="_Toc410822706"/>
      <w:r w:rsidRPr="000F7FFE">
        <w:rPr>
          <w:color w:val="2D3E7B" w:themeColor="text2" w:themeShade="BF"/>
        </w:rPr>
        <w:t>Commentary -Trade and other payables</w:t>
      </w:r>
      <w:bookmarkEnd w:id="345"/>
      <w:bookmarkEnd w:id="346"/>
    </w:p>
    <w:p w14:paraId="5D5915C6"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Fair value disclosure</w:t>
      </w:r>
    </w:p>
    <w:p w14:paraId="3DA530F6" w14:textId="77777777" w:rsidR="000F7FFE" w:rsidRPr="002E740E" w:rsidRDefault="000F7FFE" w:rsidP="00F94210">
      <w:pPr>
        <w:pStyle w:val="Heading6"/>
      </w:pPr>
      <w:r w:rsidRPr="002E740E">
        <w:t>AASB7.25</w:t>
      </w:r>
      <w:proofErr w:type="gramStart"/>
      <w:r w:rsidRPr="002E740E">
        <w:t>,29a</w:t>
      </w:r>
      <w:proofErr w:type="gramEnd"/>
    </w:p>
    <w:p w14:paraId="055413A7" w14:textId="77777777" w:rsidR="000F7FFE" w:rsidRPr="002E740E" w:rsidRDefault="000F7FFE" w:rsidP="001A5D4A">
      <w:pPr>
        <w:rPr>
          <w:color w:val="2D3E7B" w:themeColor="text2" w:themeShade="BF"/>
        </w:rPr>
      </w:pPr>
      <w:r w:rsidRPr="002E740E">
        <w:rPr>
          <w:color w:val="2D3E7B" w:themeColor="text2" w:themeShade="BF"/>
        </w:rPr>
        <w:t>For financial instruments such as short-term trade payables, no disclosure of fair value is required when the carrying amount is a reasonable approximation of fair value. Where the carrying amount is not a reasonable approximation of fair value, disclosure of the fair value is required.</w:t>
      </w:r>
    </w:p>
    <w:p w14:paraId="0CF310AA" w14:textId="77777777" w:rsidR="000F7FFE" w:rsidRPr="002E740E" w:rsidRDefault="000F7FFE" w:rsidP="00AB24D3">
      <w:pPr>
        <w:pStyle w:val="Heading4"/>
        <w:rPr>
          <w:color w:val="2D3E7B" w:themeColor="text2" w:themeShade="BF"/>
          <w14:textFill>
            <w14:solidFill>
              <w14:schemeClr w14:val="tx2">
                <w14:lumMod w14:val="75000"/>
                <w14:lumMod w14:val="75000"/>
              </w14:schemeClr>
            </w14:solidFill>
          </w14:textFill>
        </w:rPr>
      </w:pPr>
      <w:r w:rsidRPr="002E740E">
        <w:rPr>
          <w:color w:val="2D3E7B" w:themeColor="text2" w:themeShade="BF"/>
          <w14:textFill>
            <w14:solidFill>
              <w14:schemeClr w14:val="tx2">
                <w14:lumMod w14:val="75000"/>
                <w14:lumMod w14:val="75000"/>
              </w14:schemeClr>
            </w14:solidFill>
          </w14:textFill>
        </w:rPr>
        <w:t>OS-HELP Liability to Australian Government</w:t>
      </w:r>
    </w:p>
    <w:p w14:paraId="63D301FD" w14:textId="0DC975B3" w:rsidR="000F7FFE" w:rsidRPr="002E740E" w:rsidRDefault="000F7FFE" w:rsidP="00F94210">
      <w:pPr>
        <w:pStyle w:val="Heading6"/>
      </w:pPr>
      <w:r w:rsidRPr="002E740E">
        <w:t>Education</w:t>
      </w:r>
    </w:p>
    <w:p w14:paraId="3C215905" w14:textId="4E27C875" w:rsidR="00D21CB5" w:rsidRDefault="000F7FFE" w:rsidP="001A5D4A">
      <w:pPr>
        <w:rPr>
          <w:color w:val="2D3E7B" w:themeColor="text2" w:themeShade="BF"/>
        </w:rPr>
      </w:pPr>
      <w:r w:rsidRPr="002E740E">
        <w:rPr>
          <w:color w:val="2D3E7B" w:themeColor="text2" w:themeShade="BF"/>
        </w:rPr>
        <w:t xml:space="preserve">The net amount of </w:t>
      </w:r>
      <w:r w:rsidRPr="000F7FFE">
        <w:rPr>
          <w:color w:val="2D3E7B" w:themeColor="text2" w:themeShade="BF"/>
        </w:rPr>
        <w:t>money received from the Australian Government under OS-HELP that is yet to be disbursed as loans to students.</w:t>
      </w:r>
    </w:p>
    <w:p w14:paraId="674209E4" w14:textId="77777777" w:rsidR="00D21CB5" w:rsidRDefault="00D21CB5" w:rsidP="001A5D4A">
      <w:pPr>
        <w:spacing w:after="0"/>
        <w:rPr>
          <w:color w:val="2D3E7B" w:themeColor="text2" w:themeShade="BF"/>
        </w:rPr>
      </w:pPr>
      <w:r>
        <w:rPr>
          <w:color w:val="2D3E7B" w:themeColor="text2" w:themeShade="BF"/>
        </w:rPr>
        <w:br w:type="page"/>
      </w:r>
    </w:p>
    <w:p w14:paraId="0A0743DC" w14:textId="34845E02" w:rsidR="00D21CB5" w:rsidRDefault="00D21CB5" w:rsidP="002E740E">
      <w:pPr>
        <w:pStyle w:val="Heading2"/>
      </w:pPr>
      <w:bookmarkStart w:id="347" w:name="_Toc410807646"/>
      <w:bookmarkStart w:id="348" w:name="_Toc410822707"/>
      <w:proofErr w:type="gramStart"/>
      <w:r w:rsidRPr="00D21CB5">
        <w:lastRenderedPageBreak/>
        <w:t>Note 30.</w:t>
      </w:r>
      <w:proofErr w:type="gramEnd"/>
      <w:r w:rsidR="002636A0">
        <w:t xml:space="preserve"> </w:t>
      </w:r>
      <w:r w:rsidRPr="00D21CB5">
        <w:t>Borrowings</w:t>
      </w:r>
      <w:bookmarkEnd w:id="347"/>
      <w:bookmarkEnd w:id="348"/>
    </w:p>
    <w:p w14:paraId="3EB9A590" w14:textId="47D934BF" w:rsidR="00D21CB5" w:rsidRPr="00D21CB5" w:rsidRDefault="00D21CB5" w:rsidP="001A5D4A">
      <w:r w:rsidRPr="00D21CB5">
        <w:t>Mandatory</w:t>
      </w:r>
    </w:p>
    <w:tbl>
      <w:tblPr>
        <w:tblW w:w="5000" w:type="pct"/>
        <w:tblCellMar>
          <w:left w:w="0" w:type="dxa"/>
          <w:right w:w="0" w:type="dxa"/>
        </w:tblCellMar>
        <w:tblLook w:val="0000" w:firstRow="0" w:lastRow="0" w:firstColumn="0" w:lastColumn="0" w:noHBand="0" w:noVBand="0"/>
      </w:tblPr>
      <w:tblGrid>
        <w:gridCol w:w="1665"/>
        <w:gridCol w:w="4713"/>
        <w:gridCol w:w="554"/>
        <w:gridCol w:w="831"/>
        <w:gridCol w:w="833"/>
        <w:gridCol w:w="831"/>
        <w:gridCol w:w="823"/>
        <w:gridCol w:w="10"/>
      </w:tblGrid>
      <w:tr w:rsidR="00023312" w14:paraId="038A2BD2" w14:textId="77777777" w:rsidTr="00E21378">
        <w:trPr>
          <w:trHeight w:val="181"/>
        </w:trPr>
        <w:tc>
          <w:tcPr>
            <w:tcW w:w="811" w:type="pct"/>
          </w:tcPr>
          <w:p w14:paraId="038A2BD0" w14:textId="77777777" w:rsidR="00023312" w:rsidRDefault="00023312" w:rsidP="00EF62D6">
            <w:pPr>
              <w:pStyle w:val="Note-Refs"/>
            </w:pPr>
            <w:r>
              <w:t>AASB7</w:t>
            </w:r>
            <w:r w:rsidR="00F77F88">
              <w:t>.</w:t>
            </w:r>
            <w:r>
              <w:t>21,31</w:t>
            </w:r>
          </w:p>
        </w:tc>
        <w:tc>
          <w:tcPr>
            <w:tcW w:w="4189" w:type="pct"/>
            <w:gridSpan w:val="7"/>
          </w:tcPr>
          <w:p w14:paraId="038A2BD1" w14:textId="77777777" w:rsidR="00023312" w:rsidRPr="00475FFE" w:rsidRDefault="00023312" w:rsidP="001A5D4A">
            <w:pPr>
              <w:pStyle w:val="NotesTable-ItemPlain"/>
              <w:rPr>
                <w:b/>
              </w:rPr>
            </w:pPr>
            <w:r w:rsidRPr="00475FFE">
              <w:t>[Briefly describe the terms and conditions of each class of borrowings]</w:t>
            </w:r>
          </w:p>
        </w:tc>
      </w:tr>
      <w:tr w:rsidR="0057159B" w14:paraId="038A2BD7" w14:textId="77777777" w:rsidTr="00E21378">
        <w:trPr>
          <w:trHeight w:val="181"/>
        </w:trPr>
        <w:tc>
          <w:tcPr>
            <w:tcW w:w="811" w:type="pct"/>
          </w:tcPr>
          <w:p w14:paraId="038A2BD3" w14:textId="77777777" w:rsidR="0057159B" w:rsidRDefault="0057159B" w:rsidP="001A5D4A">
            <w:pPr>
              <w:pStyle w:val="Note-Refs"/>
            </w:pPr>
          </w:p>
        </w:tc>
        <w:tc>
          <w:tcPr>
            <w:tcW w:w="2567" w:type="pct"/>
            <w:gridSpan w:val="2"/>
          </w:tcPr>
          <w:p w14:paraId="038A2BD4" w14:textId="77777777" w:rsidR="0057159B" w:rsidRDefault="0057159B" w:rsidP="001A5D4A">
            <w:pPr>
              <w:pStyle w:val="NotesTable-ItemPlain"/>
            </w:pPr>
          </w:p>
        </w:tc>
        <w:tc>
          <w:tcPr>
            <w:tcW w:w="811" w:type="pct"/>
            <w:gridSpan w:val="2"/>
          </w:tcPr>
          <w:p w14:paraId="038A2BD5" w14:textId="77777777" w:rsidR="0057159B" w:rsidRDefault="0057159B" w:rsidP="001A5D4A">
            <w:pPr>
              <w:pStyle w:val="NotesTable-HeadPlain"/>
            </w:pPr>
            <w:r>
              <w:t>Consolidated</w:t>
            </w:r>
          </w:p>
        </w:tc>
        <w:tc>
          <w:tcPr>
            <w:tcW w:w="811" w:type="pct"/>
            <w:gridSpan w:val="3"/>
          </w:tcPr>
          <w:p w14:paraId="038A2BD6" w14:textId="77777777" w:rsidR="0057159B" w:rsidRDefault="0057159B" w:rsidP="001A5D4A">
            <w:pPr>
              <w:pStyle w:val="NotesTable-HeadPlain"/>
            </w:pPr>
            <w:r>
              <w:t>Parent entity</w:t>
            </w:r>
          </w:p>
        </w:tc>
      </w:tr>
      <w:tr w:rsidR="0057159B" w14:paraId="038A2BDE" w14:textId="77777777" w:rsidTr="00E21378">
        <w:trPr>
          <w:trHeight w:val="181"/>
        </w:trPr>
        <w:tc>
          <w:tcPr>
            <w:tcW w:w="811" w:type="pct"/>
          </w:tcPr>
          <w:p w14:paraId="038A2BD8" w14:textId="77777777" w:rsidR="0057159B" w:rsidRDefault="0057159B" w:rsidP="001A5D4A">
            <w:pPr>
              <w:pStyle w:val="Note-Refs"/>
            </w:pPr>
          </w:p>
        </w:tc>
        <w:tc>
          <w:tcPr>
            <w:tcW w:w="2567" w:type="pct"/>
            <w:gridSpan w:val="2"/>
          </w:tcPr>
          <w:p w14:paraId="038A2BD9" w14:textId="77777777" w:rsidR="0057159B" w:rsidRDefault="0057159B" w:rsidP="001A5D4A">
            <w:pPr>
              <w:pStyle w:val="NotesTable-ItemPlain"/>
            </w:pPr>
          </w:p>
        </w:tc>
        <w:tc>
          <w:tcPr>
            <w:tcW w:w="405" w:type="pct"/>
          </w:tcPr>
          <w:p w14:paraId="038A2BDA" w14:textId="35522BA7" w:rsidR="0057159B" w:rsidRDefault="006864EC" w:rsidP="001A5D4A">
            <w:pPr>
              <w:pStyle w:val="NotesTable-HeadBold"/>
            </w:pPr>
            <w:r>
              <w:t>2014</w:t>
            </w:r>
          </w:p>
        </w:tc>
        <w:tc>
          <w:tcPr>
            <w:tcW w:w="406" w:type="pct"/>
          </w:tcPr>
          <w:p w14:paraId="038A2BDB" w14:textId="2C6185CD" w:rsidR="0057159B" w:rsidRDefault="006864EC" w:rsidP="001A5D4A">
            <w:pPr>
              <w:pStyle w:val="NotesTable-HeadPlain"/>
            </w:pPr>
            <w:r>
              <w:t>2013</w:t>
            </w:r>
          </w:p>
        </w:tc>
        <w:tc>
          <w:tcPr>
            <w:tcW w:w="405" w:type="pct"/>
          </w:tcPr>
          <w:p w14:paraId="038A2BDC" w14:textId="3456E509" w:rsidR="0057159B" w:rsidRDefault="006864EC" w:rsidP="001A5D4A">
            <w:pPr>
              <w:pStyle w:val="NotesTable-HeadBold"/>
              <w:rPr>
                <w:szCs w:val="18"/>
              </w:rPr>
            </w:pPr>
            <w:r>
              <w:t>2014</w:t>
            </w:r>
          </w:p>
        </w:tc>
        <w:tc>
          <w:tcPr>
            <w:tcW w:w="406" w:type="pct"/>
            <w:gridSpan w:val="2"/>
          </w:tcPr>
          <w:p w14:paraId="038A2BDD" w14:textId="049D62C4" w:rsidR="0057159B" w:rsidRDefault="006864EC" w:rsidP="001A5D4A">
            <w:pPr>
              <w:pStyle w:val="NotesTable-HeadPlain"/>
            </w:pPr>
            <w:r>
              <w:t>2013</w:t>
            </w:r>
          </w:p>
        </w:tc>
      </w:tr>
      <w:tr w:rsidR="0057159B" w14:paraId="038A2BE5" w14:textId="77777777" w:rsidTr="00E21378">
        <w:trPr>
          <w:trHeight w:val="181"/>
        </w:trPr>
        <w:tc>
          <w:tcPr>
            <w:tcW w:w="811" w:type="pct"/>
          </w:tcPr>
          <w:p w14:paraId="038A2BDF" w14:textId="77777777" w:rsidR="0057159B" w:rsidRDefault="0057159B" w:rsidP="001A5D4A">
            <w:pPr>
              <w:pStyle w:val="Note-Refs"/>
            </w:pPr>
          </w:p>
        </w:tc>
        <w:tc>
          <w:tcPr>
            <w:tcW w:w="2567" w:type="pct"/>
            <w:gridSpan w:val="2"/>
          </w:tcPr>
          <w:p w14:paraId="038A2BE0" w14:textId="77777777" w:rsidR="0057159B" w:rsidRDefault="0057159B" w:rsidP="001A5D4A">
            <w:pPr>
              <w:pStyle w:val="NotesTable-ItemPlain"/>
            </w:pPr>
          </w:p>
        </w:tc>
        <w:tc>
          <w:tcPr>
            <w:tcW w:w="405" w:type="pct"/>
          </w:tcPr>
          <w:p w14:paraId="038A2BE1" w14:textId="77777777" w:rsidR="0057159B" w:rsidRDefault="0057159B" w:rsidP="001A5D4A">
            <w:pPr>
              <w:pStyle w:val="NotesTable-HeadBold"/>
            </w:pPr>
            <w:r>
              <w:t>$’000</w:t>
            </w:r>
          </w:p>
        </w:tc>
        <w:tc>
          <w:tcPr>
            <w:tcW w:w="406" w:type="pct"/>
          </w:tcPr>
          <w:p w14:paraId="038A2BE2" w14:textId="77777777" w:rsidR="0057159B" w:rsidRDefault="0057159B" w:rsidP="001A5D4A">
            <w:pPr>
              <w:pStyle w:val="NotesTable-HeadPlain"/>
            </w:pPr>
            <w:r>
              <w:t>$’000</w:t>
            </w:r>
          </w:p>
        </w:tc>
        <w:tc>
          <w:tcPr>
            <w:tcW w:w="405" w:type="pct"/>
          </w:tcPr>
          <w:p w14:paraId="038A2BE3" w14:textId="77777777" w:rsidR="0057159B" w:rsidRDefault="0057159B" w:rsidP="001A5D4A">
            <w:pPr>
              <w:pStyle w:val="NotesTable-HeadBold"/>
              <w:rPr>
                <w:szCs w:val="18"/>
              </w:rPr>
            </w:pPr>
            <w:r>
              <w:t>$’000</w:t>
            </w:r>
          </w:p>
        </w:tc>
        <w:tc>
          <w:tcPr>
            <w:tcW w:w="406" w:type="pct"/>
            <w:gridSpan w:val="2"/>
          </w:tcPr>
          <w:p w14:paraId="038A2BE4" w14:textId="77777777" w:rsidR="0057159B" w:rsidRDefault="0057159B" w:rsidP="001A5D4A">
            <w:pPr>
              <w:pStyle w:val="NotesTable-HeadPlain"/>
            </w:pPr>
            <w:r>
              <w:t>$’000</w:t>
            </w:r>
          </w:p>
        </w:tc>
      </w:tr>
      <w:tr w:rsidR="008C7CC5" w14:paraId="038A2BE8" w14:textId="77777777" w:rsidTr="00E21378">
        <w:trPr>
          <w:trHeight w:val="181"/>
        </w:trPr>
        <w:tc>
          <w:tcPr>
            <w:tcW w:w="811" w:type="pct"/>
          </w:tcPr>
          <w:p w14:paraId="038A2BE6" w14:textId="77777777" w:rsidR="008C7CC5" w:rsidRDefault="008C7CC5" w:rsidP="001A5D4A">
            <w:pPr>
              <w:pStyle w:val="Note-Refs"/>
            </w:pPr>
          </w:p>
        </w:tc>
        <w:tc>
          <w:tcPr>
            <w:tcW w:w="4189" w:type="pct"/>
            <w:gridSpan w:val="7"/>
          </w:tcPr>
          <w:p w14:paraId="038A2BE7" w14:textId="3C905AAE" w:rsidR="008C7CC5" w:rsidRDefault="00EC5C06" w:rsidP="001A5D4A">
            <w:pPr>
              <w:pStyle w:val="NotesTable-ItemBold"/>
            </w:pPr>
            <w:r>
              <w:t>Current</w:t>
            </w:r>
          </w:p>
        </w:tc>
      </w:tr>
      <w:tr w:rsidR="0057159B" w14:paraId="038A2BEF" w14:textId="77777777" w:rsidTr="00E21378">
        <w:trPr>
          <w:trHeight w:val="181"/>
        </w:trPr>
        <w:tc>
          <w:tcPr>
            <w:tcW w:w="811" w:type="pct"/>
          </w:tcPr>
          <w:p w14:paraId="038A2BE9" w14:textId="77777777" w:rsidR="0057159B" w:rsidRDefault="0057159B" w:rsidP="001A5D4A">
            <w:pPr>
              <w:pStyle w:val="Note-Refs"/>
            </w:pPr>
          </w:p>
        </w:tc>
        <w:tc>
          <w:tcPr>
            <w:tcW w:w="2567" w:type="pct"/>
            <w:gridSpan w:val="2"/>
          </w:tcPr>
          <w:p w14:paraId="038A2BEA" w14:textId="038B9A05" w:rsidR="0057159B" w:rsidRDefault="00EC5C06" w:rsidP="001A5D4A">
            <w:pPr>
              <w:pStyle w:val="NotesTable-ItemPlain"/>
              <w:rPr>
                <w:b/>
              </w:rPr>
            </w:pPr>
            <w:r>
              <w:t>Secured bank loans</w:t>
            </w:r>
          </w:p>
        </w:tc>
        <w:tc>
          <w:tcPr>
            <w:tcW w:w="405" w:type="pct"/>
          </w:tcPr>
          <w:p w14:paraId="038A2BEB" w14:textId="77777777" w:rsidR="0057159B" w:rsidRDefault="0057159B" w:rsidP="001A5D4A">
            <w:pPr>
              <w:pStyle w:val="NotesTable-CellBold"/>
            </w:pPr>
            <w:r>
              <w:t>–</w:t>
            </w:r>
          </w:p>
        </w:tc>
        <w:tc>
          <w:tcPr>
            <w:tcW w:w="406" w:type="pct"/>
          </w:tcPr>
          <w:p w14:paraId="038A2BEC" w14:textId="77777777" w:rsidR="0057159B" w:rsidRDefault="0057159B" w:rsidP="001A5D4A">
            <w:pPr>
              <w:pStyle w:val="NotesTable-CellPlain"/>
            </w:pPr>
            <w:r>
              <w:t>–</w:t>
            </w:r>
          </w:p>
        </w:tc>
        <w:tc>
          <w:tcPr>
            <w:tcW w:w="405" w:type="pct"/>
          </w:tcPr>
          <w:p w14:paraId="038A2BED" w14:textId="77777777" w:rsidR="0057159B" w:rsidRDefault="0057159B" w:rsidP="001A5D4A">
            <w:pPr>
              <w:pStyle w:val="NotesTable-CellBold"/>
            </w:pPr>
            <w:r>
              <w:t>–</w:t>
            </w:r>
          </w:p>
        </w:tc>
        <w:tc>
          <w:tcPr>
            <w:tcW w:w="406" w:type="pct"/>
            <w:gridSpan w:val="2"/>
          </w:tcPr>
          <w:p w14:paraId="038A2BEE" w14:textId="77777777" w:rsidR="0057159B" w:rsidRDefault="0057159B" w:rsidP="001A5D4A">
            <w:pPr>
              <w:pStyle w:val="NotesTable-CellPlain"/>
            </w:pPr>
            <w:r>
              <w:t>–</w:t>
            </w:r>
          </w:p>
        </w:tc>
      </w:tr>
      <w:tr w:rsidR="00B916BE" w14:paraId="7E332A27" w14:textId="77777777" w:rsidTr="00E21378">
        <w:trPr>
          <w:trHeight w:val="181"/>
        </w:trPr>
        <w:tc>
          <w:tcPr>
            <w:tcW w:w="811" w:type="pct"/>
          </w:tcPr>
          <w:p w14:paraId="75F2CA3B" w14:textId="77777777" w:rsidR="00B916BE" w:rsidRDefault="00B916BE" w:rsidP="001A5D4A">
            <w:pPr>
              <w:pStyle w:val="Note-Refs"/>
            </w:pPr>
          </w:p>
        </w:tc>
        <w:tc>
          <w:tcPr>
            <w:tcW w:w="2567" w:type="pct"/>
            <w:gridSpan w:val="2"/>
          </w:tcPr>
          <w:p w14:paraId="7E452660" w14:textId="1DA076D4" w:rsidR="00B916BE" w:rsidRDefault="00EC5C06" w:rsidP="001A5D4A">
            <w:pPr>
              <w:pStyle w:val="NotesTable-ItemPlain"/>
            </w:pPr>
            <w:r>
              <w:t>Unsecured bank loans</w:t>
            </w:r>
          </w:p>
        </w:tc>
        <w:tc>
          <w:tcPr>
            <w:tcW w:w="405" w:type="pct"/>
          </w:tcPr>
          <w:p w14:paraId="3DDE3520" w14:textId="7CD7A7F1" w:rsidR="00B916BE" w:rsidRDefault="00B916BE" w:rsidP="001A5D4A">
            <w:pPr>
              <w:pStyle w:val="NotesTable-CellBold"/>
            </w:pPr>
            <w:r>
              <w:t>–</w:t>
            </w:r>
          </w:p>
        </w:tc>
        <w:tc>
          <w:tcPr>
            <w:tcW w:w="406" w:type="pct"/>
          </w:tcPr>
          <w:p w14:paraId="10A8D708" w14:textId="7852C7C7" w:rsidR="00B916BE" w:rsidRDefault="00B916BE" w:rsidP="001A5D4A">
            <w:pPr>
              <w:pStyle w:val="NotesTable-CellPlain"/>
            </w:pPr>
            <w:r>
              <w:t>–</w:t>
            </w:r>
          </w:p>
        </w:tc>
        <w:tc>
          <w:tcPr>
            <w:tcW w:w="405" w:type="pct"/>
          </w:tcPr>
          <w:p w14:paraId="384E0F8B" w14:textId="1AC70778" w:rsidR="00B916BE" w:rsidRDefault="00B916BE" w:rsidP="001A5D4A">
            <w:pPr>
              <w:pStyle w:val="NotesTable-CellBold"/>
            </w:pPr>
            <w:r>
              <w:t>–</w:t>
            </w:r>
          </w:p>
        </w:tc>
        <w:tc>
          <w:tcPr>
            <w:tcW w:w="406" w:type="pct"/>
            <w:gridSpan w:val="2"/>
          </w:tcPr>
          <w:p w14:paraId="25B725D5" w14:textId="607648E7" w:rsidR="00B916BE" w:rsidRDefault="00B916BE" w:rsidP="001A5D4A">
            <w:pPr>
              <w:pStyle w:val="NotesTable-CellPlain"/>
            </w:pPr>
            <w:r>
              <w:t>–</w:t>
            </w:r>
          </w:p>
        </w:tc>
      </w:tr>
      <w:tr w:rsidR="00EC5C06" w14:paraId="60D3D9C0" w14:textId="77777777" w:rsidTr="00E21378">
        <w:trPr>
          <w:trHeight w:val="181"/>
        </w:trPr>
        <w:tc>
          <w:tcPr>
            <w:tcW w:w="811" w:type="pct"/>
          </w:tcPr>
          <w:p w14:paraId="19378187" w14:textId="77777777" w:rsidR="00EC5C06" w:rsidRDefault="00EC5C06" w:rsidP="001A5D4A">
            <w:pPr>
              <w:pStyle w:val="Note-Refs"/>
            </w:pPr>
          </w:p>
        </w:tc>
        <w:tc>
          <w:tcPr>
            <w:tcW w:w="2567" w:type="pct"/>
            <w:gridSpan w:val="2"/>
          </w:tcPr>
          <w:p w14:paraId="0170D8DC" w14:textId="3EF120F3" w:rsidR="00EC5C06" w:rsidRDefault="00EC5C06" w:rsidP="001A5D4A">
            <w:pPr>
              <w:pStyle w:val="NotesTable-ItemPlain"/>
            </w:pPr>
            <w:r>
              <w:t>Unsecured bond issues</w:t>
            </w:r>
          </w:p>
        </w:tc>
        <w:tc>
          <w:tcPr>
            <w:tcW w:w="405" w:type="pct"/>
          </w:tcPr>
          <w:p w14:paraId="613C27F7" w14:textId="337F83F0" w:rsidR="00EC5C06" w:rsidRDefault="00EC5C06" w:rsidP="001A5D4A">
            <w:pPr>
              <w:pStyle w:val="NotesTable-CellBold"/>
            </w:pPr>
            <w:r>
              <w:t>–</w:t>
            </w:r>
          </w:p>
        </w:tc>
        <w:tc>
          <w:tcPr>
            <w:tcW w:w="406" w:type="pct"/>
          </w:tcPr>
          <w:p w14:paraId="5BD629D6" w14:textId="3DF55705" w:rsidR="00EC5C06" w:rsidRDefault="00EC5C06" w:rsidP="001A5D4A">
            <w:pPr>
              <w:pStyle w:val="NotesTable-CellPlain"/>
            </w:pPr>
            <w:r>
              <w:t>–</w:t>
            </w:r>
          </w:p>
        </w:tc>
        <w:tc>
          <w:tcPr>
            <w:tcW w:w="405" w:type="pct"/>
          </w:tcPr>
          <w:p w14:paraId="420FECC1" w14:textId="08182393" w:rsidR="00EC5C06" w:rsidRDefault="00EC5C06" w:rsidP="001A5D4A">
            <w:pPr>
              <w:pStyle w:val="NotesTable-CellBold"/>
            </w:pPr>
            <w:r>
              <w:t>–</w:t>
            </w:r>
          </w:p>
        </w:tc>
        <w:tc>
          <w:tcPr>
            <w:tcW w:w="406" w:type="pct"/>
            <w:gridSpan w:val="2"/>
          </w:tcPr>
          <w:p w14:paraId="77FA852C" w14:textId="21198031" w:rsidR="00EC5C06" w:rsidRDefault="00EC5C06" w:rsidP="001A5D4A">
            <w:pPr>
              <w:pStyle w:val="NotesTable-CellPlain"/>
            </w:pPr>
            <w:r>
              <w:t>–</w:t>
            </w:r>
          </w:p>
        </w:tc>
      </w:tr>
      <w:tr w:rsidR="00EC5C06" w14:paraId="54DF499A" w14:textId="77777777" w:rsidTr="00E21378">
        <w:trPr>
          <w:trHeight w:val="181"/>
        </w:trPr>
        <w:tc>
          <w:tcPr>
            <w:tcW w:w="811" w:type="pct"/>
          </w:tcPr>
          <w:p w14:paraId="2AE4FFB4" w14:textId="77777777" w:rsidR="00EC5C06" w:rsidRDefault="00EC5C06" w:rsidP="001A5D4A">
            <w:pPr>
              <w:pStyle w:val="Note-Refs"/>
            </w:pPr>
          </w:p>
        </w:tc>
        <w:tc>
          <w:tcPr>
            <w:tcW w:w="2567" w:type="pct"/>
            <w:gridSpan w:val="2"/>
          </w:tcPr>
          <w:p w14:paraId="2E326CA4" w14:textId="65B69548" w:rsidR="00EC5C06" w:rsidRDefault="00B12F08" w:rsidP="001A5D4A">
            <w:pPr>
              <w:pStyle w:val="NotesTable-ItemPlain"/>
            </w:pPr>
            <w:r>
              <w:t>Finance l</w:t>
            </w:r>
            <w:r w:rsidR="00EC5C06">
              <w:t xml:space="preserve">ease liabilities </w:t>
            </w:r>
          </w:p>
        </w:tc>
        <w:tc>
          <w:tcPr>
            <w:tcW w:w="405" w:type="pct"/>
          </w:tcPr>
          <w:p w14:paraId="5F7E97A8" w14:textId="3DC58970" w:rsidR="00EC5C06" w:rsidRDefault="00EC5C06" w:rsidP="001A5D4A">
            <w:pPr>
              <w:pStyle w:val="NotesTable-CellBold"/>
            </w:pPr>
            <w:r>
              <w:t>–</w:t>
            </w:r>
          </w:p>
        </w:tc>
        <w:tc>
          <w:tcPr>
            <w:tcW w:w="406" w:type="pct"/>
          </w:tcPr>
          <w:p w14:paraId="168CFE32" w14:textId="5E3654B8" w:rsidR="00EC5C06" w:rsidRDefault="00EC5C06" w:rsidP="001A5D4A">
            <w:pPr>
              <w:pStyle w:val="NotesTable-CellPlain"/>
            </w:pPr>
            <w:r>
              <w:t>–</w:t>
            </w:r>
          </w:p>
        </w:tc>
        <w:tc>
          <w:tcPr>
            <w:tcW w:w="405" w:type="pct"/>
          </w:tcPr>
          <w:p w14:paraId="3A0088CD" w14:textId="655CF82C" w:rsidR="00EC5C06" w:rsidRDefault="00EC5C06" w:rsidP="001A5D4A">
            <w:pPr>
              <w:pStyle w:val="NotesTable-CellBold"/>
            </w:pPr>
            <w:r>
              <w:t>–</w:t>
            </w:r>
          </w:p>
        </w:tc>
        <w:tc>
          <w:tcPr>
            <w:tcW w:w="406" w:type="pct"/>
            <w:gridSpan w:val="2"/>
          </w:tcPr>
          <w:p w14:paraId="418CE2A2" w14:textId="3AA9AE50" w:rsidR="00EC5C06" w:rsidRDefault="00EC5C06" w:rsidP="001A5D4A">
            <w:pPr>
              <w:pStyle w:val="NotesTable-CellPlain"/>
            </w:pPr>
            <w:r>
              <w:t>–</w:t>
            </w:r>
          </w:p>
        </w:tc>
      </w:tr>
      <w:tr w:rsidR="0057159B" w14:paraId="038A2BF6" w14:textId="77777777" w:rsidTr="00E21378">
        <w:trPr>
          <w:trHeight w:val="181"/>
        </w:trPr>
        <w:tc>
          <w:tcPr>
            <w:tcW w:w="811" w:type="pct"/>
          </w:tcPr>
          <w:p w14:paraId="038A2BF0" w14:textId="77777777" w:rsidR="0057159B" w:rsidRDefault="0057159B" w:rsidP="001A5D4A">
            <w:pPr>
              <w:pStyle w:val="Note-Refs"/>
            </w:pPr>
          </w:p>
        </w:tc>
        <w:tc>
          <w:tcPr>
            <w:tcW w:w="2567" w:type="pct"/>
            <w:gridSpan w:val="2"/>
          </w:tcPr>
          <w:p w14:paraId="038A2BF1" w14:textId="77777777" w:rsidR="0057159B" w:rsidRDefault="0057159B" w:rsidP="001A5D4A">
            <w:pPr>
              <w:pStyle w:val="NotesTable-ItemPlain"/>
              <w:rPr>
                <w:b/>
              </w:rPr>
            </w:pPr>
            <w:r>
              <w:t>[Specify]</w:t>
            </w:r>
          </w:p>
        </w:tc>
        <w:tc>
          <w:tcPr>
            <w:tcW w:w="405" w:type="pct"/>
            <w:tcBorders>
              <w:bottom w:val="single" w:sz="4" w:space="0" w:color="000000"/>
            </w:tcBorders>
          </w:tcPr>
          <w:p w14:paraId="038A2BF2" w14:textId="77777777" w:rsidR="0057159B" w:rsidRDefault="0057159B" w:rsidP="001A5D4A">
            <w:pPr>
              <w:pStyle w:val="NotesTable-CellBold"/>
            </w:pPr>
            <w:r>
              <w:t>–</w:t>
            </w:r>
          </w:p>
        </w:tc>
        <w:tc>
          <w:tcPr>
            <w:tcW w:w="406" w:type="pct"/>
            <w:tcBorders>
              <w:bottom w:val="single" w:sz="4" w:space="0" w:color="000000"/>
            </w:tcBorders>
          </w:tcPr>
          <w:p w14:paraId="038A2BF3" w14:textId="77777777" w:rsidR="0057159B" w:rsidRDefault="0057159B" w:rsidP="001A5D4A">
            <w:pPr>
              <w:pStyle w:val="NotesTable-CellPlain"/>
            </w:pPr>
            <w:r>
              <w:t>–</w:t>
            </w:r>
          </w:p>
        </w:tc>
        <w:tc>
          <w:tcPr>
            <w:tcW w:w="405" w:type="pct"/>
            <w:tcBorders>
              <w:bottom w:val="single" w:sz="4" w:space="0" w:color="000000"/>
            </w:tcBorders>
          </w:tcPr>
          <w:p w14:paraId="038A2BF4" w14:textId="77777777" w:rsidR="0057159B" w:rsidRDefault="0057159B" w:rsidP="001A5D4A">
            <w:pPr>
              <w:pStyle w:val="NotesTable-CellBold"/>
            </w:pPr>
            <w:r>
              <w:t>–</w:t>
            </w:r>
          </w:p>
        </w:tc>
        <w:tc>
          <w:tcPr>
            <w:tcW w:w="406" w:type="pct"/>
            <w:gridSpan w:val="2"/>
            <w:tcBorders>
              <w:bottom w:val="single" w:sz="4" w:space="0" w:color="000000"/>
            </w:tcBorders>
          </w:tcPr>
          <w:p w14:paraId="038A2BF5" w14:textId="77777777" w:rsidR="0057159B" w:rsidRDefault="0057159B" w:rsidP="001A5D4A">
            <w:pPr>
              <w:pStyle w:val="NotesTable-CellPlain"/>
            </w:pPr>
            <w:r>
              <w:t>–</w:t>
            </w:r>
          </w:p>
        </w:tc>
      </w:tr>
      <w:tr w:rsidR="0057159B" w14:paraId="038A2BFD" w14:textId="77777777" w:rsidTr="00E21378">
        <w:trPr>
          <w:trHeight w:val="181"/>
        </w:trPr>
        <w:tc>
          <w:tcPr>
            <w:tcW w:w="811" w:type="pct"/>
            <w:vAlign w:val="center"/>
          </w:tcPr>
          <w:p w14:paraId="038A2BF7" w14:textId="77777777" w:rsidR="0057159B" w:rsidRDefault="0057159B" w:rsidP="001A5D4A">
            <w:pPr>
              <w:pStyle w:val="Note-Refs"/>
            </w:pPr>
          </w:p>
        </w:tc>
        <w:tc>
          <w:tcPr>
            <w:tcW w:w="2567" w:type="pct"/>
            <w:gridSpan w:val="2"/>
            <w:shd w:val="clear" w:color="auto" w:fill="auto"/>
          </w:tcPr>
          <w:p w14:paraId="038A2BF8" w14:textId="2FFB61A8" w:rsidR="0057159B" w:rsidRDefault="0057159B" w:rsidP="001A5D4A">
            <w:pPr>
              <w:pStyle w:val="NotesTable-ItemPlain"/>
              <w:rPr>
                <w:b/>
              </w:rPr>
            </w:pPr>
            <w:r>
              <w:t xml:space="preserve">Total current </w:t>
            </w:r>
            <w:r w:rsidR="00B12F08">
              <w:t>borrowings</w:t>
            </w:r>
          </w:p>
        </w:tc>
        <w:tc>
          <w:tcPr>
            <w:tcW w:w="405" w:type="pct"/>
            <w:tcBorders>
              <w:top w:val="single" w:sz="4" w:space="0" w:color="000000"/>
            </w:tcBorders>
            <w:shd w:val="clear" w:color="auto" w:fill="auto"/>
          </w:tcPr>
          <w:p w14:paraId="038A2BF9" w14:textId="77777777" w:rsidR="0057159B" w:rsidRDefault="0057159B" w:rsidP="001A5D4A">
            <w:pPr>
              <w:pStyle w:val="NotesTable-CellBold"/>
            </w:pPr>
            <w:r>
              <w:t>–</w:t>
            </w:r>
          </w:p>
        </w:tc>
        <w:tc>
          <w:tcPr>
            <w:tcW w:w="406" w:type="pct"/>
            <w:tcBorders>
              <w:top w:val="single" w:sz="4" w:space="0" w:color="000000"/>
            </w:tcBorders>
            <w:shd w:val="clear" w:color="auto" w:fill="auto"/>
          </w:tcPr>
          <w:p w14:paraId="038A2BFA" w14:textId="77777777" w:rsidR="0057159B" w:rsidRDefault="0057159B" w:rsidP="001A5D4A">
            <w:pPr>
              <w:pStyle w:val="NotesTable-CellPlain"/>
            </w:pPr>
            <w:r>
              <w:t>–</w:t>
            </w:r>
          </w:p>
        </w:tc>
        <w:tc>
          <w:tcPr>
            <w:tcW w:w="405" w:type="pct"/>
            <w:tcBorders>
              <w:top w:val="single" w:sz="4" w:space="0" w:color="000000"/>
            </w:tcBorders>
            <w:shd w:val="clear" w:color="auto" w:fill="auto"/>
          </w:tcPr>
          <w:p w14:paraId="038A2BFB" w14:textId="77777777" w:rsidR="0057159B" w:rsidRDefault="0057159B" w:rsidP="001A5D4A">
            <w:pPr>
              <w:pStyle w:val="NotesTable-CellBold"/>
            </w:pPr>
            <w:r>
              <w:t>–</w:t>
            </w:r>
          </w:p>
        </w:tc>
        <w:tc>
          <w:tcPr>
            <w:tcW w:w="406" w:type="pct"/>
            <w:gridSpan w:val="2"/>
            <w:tcBorders>
              <w:top w:val="single" w:sz="4" w:space="0" w:color="000000"/>
            </w:tcBorders>
            <w:shd w:val="clear" w:color="auto" w:fill="auto"/>
          </w:tcPr>
          <w:p w14:paraId="038A2BFC" w14:textId="77777777" w:rsidR="0057159B" w:rsidRDefault="0057159B" w:rsidP="001A5D4A">
            <w:pPr>
              <w:pStyle w:val="NotesTable-CellPlain"/>
            </w:pPr>
            <w:r>
              <w:t>–</w:t>
            </w:r>
          </w:p>
        </w:tc>
      </w:tr>
      <w:tr w:rsidR="00AB4B4C" w14:paraId="038A2C00" w14:textId="77777777" w:rsidTr="00E21378">
        <w:trPr>
          <w:trHeight w:val="181"/>
        </w:trPr>
        <w:tc>
          <w:tcPr>
            <w:tcW w:w="811" w:type="pct"/>
          </w:tcPr>
          <w:p w14:paraId="038A2BFE" w14:textId="77777777" w:rsidR="00AB4B4C" w:rsidRDefault="00AB4B4C" w:rsidP="001A5D4A">
            <w:pPr>
              <w:pStyle w:val="Note-Refs"/>
            </w:pPr>
          </w:p>
        </w:tc>
        <w:tc>
          <w:tcPr>
            <w:tcW w:w="4189" w:type="pct"/>
            <w:gridSpan w:val="7"/>
          </w:tcPr>
          <w:p w14:paraId="038A2BFF" w14:textId="77777777" w:rsidR="00AB4B4C" w:rsidRDefault="00AB4B4C" w:rsidP="001A5D4A">
            <w:pPr>
              <w:pStyle w:val="NotesTable-ItemPlain"/>
            </w:pPr>
          </w:p>
        </w:tc>
      </w:tr>
      <w:tr w:rsidR="008C7CC5" w14:paraId="038A2C03" w14:textId="77777777" w:rsidTr="00E21378">
        <w:trPr>
          <w:trHeight w:val="181"/>
        </w:trPr>
        <w:tc>
          <w:tcPr>
            <w:tcW w:w="811" w:type="pct"/>
          </w:tcPr>
          <w:p w14:paraId="038A2C01" w14:textId="77777777" w:rsidR="008C7CC5" w:rsidRDefault="008C7CC5" w:rsidP="001A5D4A">
            <w:pPr>
              <w:pStyle w:val="Note-Refs"/>
            </w:pPr>
          </w:p>
        </w:tc>
        <w:tc>
          <w:tcPr>
            <w:tcW w:w="4189" w:type="pct"/>
            <w:gridSpan w:val="7"/>
          </w:tcPr>
          <w:p w14:paraId="038A2C02" w14:textId="3E041D83" w:rsidR="008C7CC5" w:rsidRDefault="00EC5C06" w:rsidP="001A5D4A">
            <w:pPr>
              <w:pStyle w:val="NotesTable-ItemBold"/>
            </w:pPr>
            <w:r>
              <w:t>Non-Current</w:t>
            </w:r>
          </w:p>
        </w:tc>
      </w:tr>
      <w:tr w:rsidR="0057159B" w14:paraId="038A2C0A" w14:textId="77777777" w:rsidTr="00E21378">
        <w:trPr>
          <w:trHeight w:val="181"/>
        </w:trPr>
        <w:tc>
          <w:tcPr>
            <w:tcW w:w="811" w:type="pct"/>
          </w:tcPr>
          <w:p w14:paraId="038A2C04" w14:textId="77777777" w:rsidR="0057159B" w:rsidRDefault="0057159B" w:rsidP="001A5D4A">
            <w:pPr>
              <w:pStyle w:val="Note-Refs"/>
            </w:pPr>
          </w:p>
        </w:tc>
        <w:tc>
          <w:tcPr>
            <w:tcW w:w="2567" w:type="pct"/>
            <w:gridSpan w:val="2"/>
          </w:tcPr>
          <w:p w14:paraId="038A2C05" w14:textId="3EED0A46" w:rsidR="0057159B" w:rsidRDefault="00B12F08" w:rsidP="001A5D4A">
            <w:pPr>
              <w:pStyle w:val="NotesTable-ItemPlain"/>
              <w:rPr>
                <w:b/>
              </w:rPr>
            </w:pPr>
            <w:r>
              <w:t>Secured bank loans</w:t>
            </w:r>
          </w:p>
        </w:tc>
        <w:tc>
          <w:tcPr>
            <w:tcW w:w="405" w:type="pct"/>
          </w:tcPr>
          <w:p w14:paraId="038A2C06" w14:textId="77777777" w:rsidR="0057159B" w:rsidRDefault="0057159B" w:rsidP="001A5D4A">
            <w:pPr>
              <w:pStyle w:val="NotesTable-CellBold"/>
            </w:pPr>
            <w:r>
              <w:t>–</w:t>
            </w:r>
          </w:p>
        </w:tc>
        <w:tc>
          <w:tcPr>
            <w:tcW w:w="406" w:type="pct"/>
          </w:tcPr>
          <w:p w14:paraId="038A2C07" w14:textId="77777777" w:rsidR="0057159B" w:rsidRDefault="0057159B" w:rsidP="001A5D4A">
            <w:pPr>
              <w:pStyle w:val="NotesTable-CellPlain"/>
            </w:pPr>
            <w:r>
              <w:t>–</w:t>
            </w:r>
          </w:p>
        </w:tc>
        <w:tc>
          <w:tcPr>
            <w:tcW w:w="405" w:type="pct"/>
          </w:tcPr>
          <w:p w14:paraId="038A2C08" w14:textId="77777777" w:rsidR="0057159B" w:rsidRDefault="0057159B" w:rsidP="001A5D4A">
            <w:pPr>
              <w:pStyle w:val="NotesTable-CellBold"/>
            </w:pPr>
            <w:r>
              <w:t>–</w:t>
            </w:r>
          </w:p>
        </w:tc>
        <w:tc>
          <w:tcPr>
            <w:tcW w:w="406" w:type="pct"/>
            <w:gridSpan w:val="2"/>
          </w:tcPr>
          <w:p w14:paraId="038A2C09" w14:textId="77777777" w:rsidR="0057159B" w:rsidRDefault="0057159B" w:rsidP="001A5D4A">
            <w:pPr>
              <w:pStyle w:val="NotesTable-CellPlain"/>
            </w:pPr>
            <w:r>
              <w:t>–</w:t>
            </w:r>
          </w:p>
        </w:tc>
      </w:tr>
      <w:tr w:rsidR="00B916BE" w14:paraId="5C335DEC" w14:textId="77777777" w:rsidTr="00E21378">
        <w:trPr>
          <w:trHeight w:val="181"/>
        </w:trPr>
        <w:tc>
          <w:tcPr>
            <w:tcW w:w="811" w:type="pct"/>
          </w:tcPr>
          <w:p w14:paraId="203309F0" w14:textId="77777777" w:rsidR="00B916BE" w:rsidRDefault="00B916BE" w:rsidP="001A5D4A">
            <w:pPr>
              <w:pStyle w:val="Note-Refs"/>
            </w:pPr>
          </w:p>
        </w:tc>
        <w:tc>
          <w:tcPr>
            <w:tcW w:w="2567" w:type="pct"/>
            <w:gridSpan w:val="2"/>
          </w:tcPr>
          <w:p w14:paraId="611109A9" w14:textId="26AFF78C" w:rsidR="00B916BE" w:rsidRDefault="00B12F08" w:rsidP="001A5D4A">
            <w:pPr>
              <w:pStyle w:val="NotesTable-ItemPlain"/>
            </w:pPr>
            <w:r>
              <w:t>Unsecured bank loans</w:t>
            </w:r>
          </w:p>
        </w:tc>
        <w:tc>
          <w:tcPr>
            <w:tcW w:w="405" w:type="pct"/>
          </w:tcPr>
          <w:p w14:paraId="65AC918D" w14:textId="38AE3DA8" w:rsidR="00B916BE" w:rsidRDefault="00B916BE" w:rsidP="001A5D4A">
            <w:pPr>
              <w:pStyle w:val="NotesTable-CellBold"/>
            </w:pPr>
            <w:r>
              <w:t>–</w:t>
            </w:r>
          </w:p>
        </w:tc>
        <w:tc>
          <w:tcPr>
            <w:tcW w:w="406" w:type="pct"/>
          </w:tcPr>
          <w:p w14:paraId="2858C36A" w14:textId="0F8035B8" w:rsidR="00B916BE" w:rsidRDefault="00B916BE" w:rsidP="001A5D4A">
            <w:pPr>
              <w:pStyle w:val="NotesTable-CellPlain"/>
            </w:pPr>
            <w:r>
              <w:t>–</w:t>
            </w:r>
          </w:p>
        </w:tc>
        <w:tc>
          <w:tcPr>
            <w:tcW w:w="405" w:type="pct"/>
          </w:tcPr>
          <w:p w14:paraId="704D7047" w14:textId="44998599" w:rsidR="00B916BE" w:rsidRDefault="00B916BE" w:rsidP="001A5D4A">
            <w:pPr>
              <w:pStyle w:val="NotesTable-CellBold"/>
            </w:pPr>
            <w:r>
              <w:t>–</w:t>
            </w:r>
          </w:p>
        </w:tc>
        <w:tc>
          <w:tcPr>
            <w:tcW w:w="406" w:type="pct"/>
            <w:gridSpan w:val="2"/>
          </w:tcPr>
          <w:p w14:paraId="65D94B87" w14:textId="50A7096F" w:rsidR="00B916BE" w:rsidRDefault="00B916BE" w:rsidP="001A5D4A">
            <w:pPr>
              <w:pStyle w:val="NotesTable-CellPlain"/>
            </w:pPr>
            <w:r>
              <w:t>–</w:t>
            </w:r>
          </w:p>
        </w:tc>
      </w:tr>
      <w:tr w:rsidR="00B12F08" w14:paraId="265F45CC" w14:textId="77777777" w:rsidTr="00E21378">
        <w:trPr>
          <w:trHeight w:val="181"/>
        </w:trPr>
        <w:tc>
          <w:tcPr>
            <w:tcW w:w="811" w:type="pct"/>
          </w:tcPr>
          <w:p w14:paraId="035AE574" w14:textId="77777777" w:rsidR="00B12F08" w:rsidRDefault="00B12F08" w:rsidP="001A5D4A">
            <w:pPr>
              <w:pStyle w:val="Note-Refs"/>
            </w:pPr>
          </w:p>
        </w:tc>
        <w:tc>
          <w:tcPr>
            <w:tcW w:w="2567" w:type="pct"/>
            <w:gridSpan w:val="2"/>
          </w:tcPr>
          <w:p w14:paraId="51214C9C" w14:textId="24C0B44A" w:rsidR="00B12F08" w:rsidRDefault="00B12F08" w:rsidP="001A5D4A">
            <w:pPr>
              <w:pStyle w:val="NotesTable-ItemPlain"/>
            </w:pPr>
            <w:r>
              <w:t>Unsecured bond issues</w:t>
            </w:r>
          </w:p>
        </w:tc>
        <w:tc>
          <w:tcPr>
            <w:tcW w:w="405" w:type="pct"/>
          </w:tcPr>
          <w:p w14:paraId="0584E2BA" w14:textId="73BC7CD6" w:rsidR="00B12F08" w:rsidRDefault="00B12F08" w:rsidP="001A5D4A">
            <w:pPr>
              <w:pStyle w:val="NotesTable-CellBold"/>
            </w:pPr>
            <w:r>
              <w:t>–</w:t>
            </w:r>
          </w:p>
        </w:tc>
        <w:tc>
          <w:tcPr>
            <w:tcW w:w="406" w:type="pct"/>
          </w:tcPr>
          <w:p w14:paraId="55FABC2E" w14:textId="210E1029" w:rsidR="00B12F08" w:rsidRDefault="00B12F08" w:rsidP="001A5D4A">
            <w:pPr>
              <w:pStyle w:val="NotesTable-CellPlain"/>
            </w:pPr>
            <w:r>
              <w:t>–</w:t>
            </w:r>
          </w:p>
        </w:tc>
        <w:tc>
          <w:tcPr>
            <w:tcW w:w="405" w:type="pct"/>
          </w:tcPr>
          <w:p w14:paraId="0F121CE9" w14:textId="338EB675" w:rsidR="00B12F08" w:rsidRDefault="00B12F08" w:rsidP="001A5D4A">
            <w:pPr>
              <w:pStyle w:val="NotesTable-CellBold"/>
            </w:pPr>
            <w:r>
              <w:t>–</w:t>
            </w:r>
          </w:p>
        </w:tc>
        <w:tc>
          <w:tcPr>
            <w:tcW w:w="406" w:type="pct"/>
            <w:gridSpan w:val="2"/>
          </w:tcPr>
          <w:p w14:paraId="44EBD536" w14:textId="04FA7DE0" w:rsidR="00B12F08" w:rsidRDefault="00B12F08" w:rsidP="001A5D4A">
            <w:pPr>
              <w:pStyle w:val="NotesTable-CellPlain"/>
            </w:pPr>
            <w:r>
              <w:t>–</w:t>
            </w:r>
          </w:p>
        </w:tc>
      </w:tr>
      <w:tr w:rsidR="00B12F08" w14:paraId="3908E186" w14:textId="77777777" w:rsidTr="00E21378">
        <w:trPr>
          <w:trHeight w:val="181"/>
        </w:trPr>
        <w:tc>
          <w:tcPr>
            <w:tcW w:w="811" w:type="pct"/>
          </w:tcPr>
          <w:p w14:paraId="75358BD5" w14:textId="77777777" w:rsidR="00B12F08" w:rsidRDefault="00B12F08" w:rsidP="001A5D4A">
            <w:pPr>
              <w:pStyle w:val="Note-Refs"/>
            </w:pPr>
          </w:p>
        </w:tc>
        <w:tc>
          <w:tcPr>
            <w:tcW w:w="2567" w:type="pct"/>
            <w:gridSpan w:val="2"/>
          </w:tcPr>
          <w:p w14:paraId="22426484" w14:textId="0FD12FDC" w:rsidR="00B12F08" w:rsidRDefault="00B12F08" w:rsidP="001A5D4A">
            <w:pPr>
              <w:pStyle w:val="NotesTable-ItemPlain"/>
            </w:pPr>
            <w:r>
              <w:t>Finance lease liabilities</w:t>
            </w:r>
          </w:p>
        </w:tc>
        <w:tc>
          <w:tcPr>
            <w:tcW w:w="405" w:type="pct"/>
          </w:tcPr>
          <w:p w14:paraId="6816D246" w14:textId="18BBA5E9" w:rsidR="00B12F08" w:rsidRDefault="00B12F08" w:rsidP="001A5D4A">
            <w:pPr>
              <w:pStyle w:val="NotesTable-CellBold"/>
            </w:pPr>
            <w:r>
              <w:t>–</w:t>
            </w:r>
          </w:p>
        </w:tc>
        <w:tc>
          <w:tcPr>
            <w:tcW w:w="406" w:type="pct"/>
          </w:tcPr>
          <w:p w14:paraId="4E8DBBB8" w14:textId="71D8A393" w:rsidR="00B12F08" w:rsidRDefault="00B12F08" w:rsidP="001A5D4A">
            <w:pPr>
              <w:pStyle w:val="NotesTable-CellPlain"/>
            </w:pPr>
            <w:r>
              <w:t>–</w:t>
            </w:r>
          </w:p>
        </w:tc>
        <w:tc>
          <w:tcPr>
            <w:tcW w:w="405" w:type="pct"/>
          </w:tcPr>
          <w:p w14:paraId="2E675816" w14:textId="1F0826A1" w:rsidR="00B12F08" w:rsidRDefault="00B12F08" w:rsidP="001A5D4A">
            <w:pPr>
              <w:pStyle w:val="NotesTable-CellBold"/>
            </w:pPr>
            <w:r>
              <w:t>–</w:t>
            </w:r>
          </w:p>
        </w:tc>
        <w:tc>
          <w:tcPr>
            <w:tcW w:w="406" w:type="pct"/>
            <w:gridSpan w:val="2"/>
          </w:tcPr>
          <w:p w14:paraId="4DAB2074" w14:textId="16BEBB71" w:rsidR="00B12F08" w:rsidRDefault="00B12F08" w:rsidP="001A5D4A">
            <w:pPr>
              <w:pStyle w:val="NotesTable-CellPlain"/>
            </w:pPr>
            <w:r>
              <w:t>–</w:t>
            </w:r>
          </w:p>
        </w:tc>
      </w:tr>
      <w:tr w:rsidR="000275F5" w14:paraId="013FA0CC" w14:textId="77777777" w:rsidTr="00E21378">
        <w:trPr>
          <w:trHeight w:val="181"/>
        </w:trPr>
        <w:tc>
          <w:tcPr>
            <w:tcW w:w="811" w:type="pct"/>
          </w:tcPr>
          <w:p w14:paraId="21D57A55" w14:textId="77777777" w:rsidR="000275F5" w:rsidRDefault="000275F5" w:rsidP="001A5D4A">
            <w:pPr>
              <w:pStyle w:val="Note-Refs"/>
            </w:pPr>
          </w:p>
        </w:tc>
        <w:tc>
          <w:tcPr>
            <w:tcW w:w="2567" w:type="pct"/>
            <w:gridSpan w:val="2"/>
          </w:tcPr>
          <w:p w14:paraId="15C2CC40" w14:textId="3E34ECA1" w:rsidR="000275F5" w:rsidRDefault="000275F5" w:rsidP="001A5D4A">
            <w:pPr>
              <w:pStyle w:val="NotesTable-ItemPlain"/>
            </w:pPr>
            <w:r>
              <w:t>[Specify]</w:t>
            </w:r>
          </w:p>
        </w:tc>
        <w:tc>
          <w:tcPr>
            <w:tcW w:w="405" w:type="pct"/>
          </w:tcPr>
          <w:p w14:paraId="6D225DA8" w14:textId="79329675" w:rsidR="000275F5" w:rsidRDefault="000275F5" w:rsidP="001A5D4A">
            <w:pPr>
              <w:pStyle w:val="NotesTable-CellBold"/>
            </w:pPr>
            <w:r>
              <w:t>–</w:t>
            </w:r>
          </w:p>
        </w:tc>
        <w:tc>
          <w:tcPr>
            <w:tcW w:w="406" w:type="pct"/>
          </w:tcPr>
          <w:p w14:paraId="5A6FEEE4" w14:textId="24C311A6" w:rsidR="000275F5" w:rsidRDefault="000275F5" w:rsidP="001A5D4A">
            <w:pPr>
              <w:pStyle w:val="NotesTable-CellPlain"/>
            </w:pPr>
            <w:r>
              <w:t>–</w:t>
            </w:r>
          </w:p>
        </w:tc>
        <w:tc>
          <w:tcPr>
            <w:tcW w:w="405" w:type="pct"/>
          </w:tcPr>
          <w:p w14:paraId="132C7A38" w14:textId="6A88CC9E" w:rsidR="000275F5" w:rsidRDefault="000275F5" w:rsidP="001A5D4A">
            <w:pPr>
              <w:pStyle w:val="NotesTable-CellBold"/>
            </w:pPr>
            <w:r>
              <w:t>–</w:t>
            </w:r>
          </w:p>
        </w:tc>
        <w:tc>
          <w:tcPr>
            <w:tcW w:w="406" w:type="pct"/>
            <w:gridSpan w:val="2"/>
          </w:tcPr>
          <w:p w14:paraId="2C598492" w14:textId="1D1EB5E6" w:rsidR="000275F5" w:rsidRDefault="000275F5" w:rsidP="001A5D4A">
            <w:pPr>
              <w:pStyle w:val="NotesTable-CellPlain"/>
            </w:pPr>
            <w:r>
              <w:t>–</w:t>
            </w:r>
          </w:p>
        </w:tc>
      </w:tr>
      <w:tr w:rsidR="0057159B" w14:paraId="038A2C11" w14:textId="77777777" w:rsidTr="00E21378">
        <w:trPr>
          <w:trHeight w:val="181"/>
        </w:trPr>
        <w:tc>
          <w:tcPr>
            <w:tcW w:w="811" w:type="pct"/>
            <w:vAlign w:val="center"/>
          </w:tcPr>
          <w:p w14:paraId="038A2C0B" w14:textId="47B880B6" w:rsidR="0057159B" w:rsidRDefault="0057159B" w:rsidP="001A5D4A">
            <w:pPr>
              <w:pStyle w:val="Note-Refs"/>
            </w:pPr>
          </w:p>
        </w:tc>
        <w:tc>
          <w:tcPr>
            <w:tcW w:w="2567" w:type="pct"/>
            <w:gridSpan w:val="2"/>
            <w:shd w:val="clear" w:color="auto" w:fill="auto"/>
          </w:tcPr>
          <w:p w14:paraId="038A2C0C" w14:textId="0C2EB191" w:rsidR="0057159B" w:rsidRDefault="0057159B" w:rsidP="001A5D4A">
            <w:pPr>
              <w:pStyle w:val="NotesTable-ItemPlain"/>
              <w:rPr>
                <w:b/>
              </w:rPr>
            </w:pPr>
            <w:r>
              <w:t xml:space="preserve">Total </w:t>
            </w:r>
            <w:r w:rsidR="00B12F08">
              <w:t>non-</w:t>
            </w:r>
            <w:r>
              <w:t>current</w:t>
            </w:r>
            <w:r w:rsidR="00B12F08">
              <w:t xml:space="preserve"> </w:t>
            </w:r>
            <w:r>
              <w:t>borrowings</w:t>
            </w:r>
          </w:p>
        </w:tc>
        <w:tc>
          <w:tcPr>
            <w:tcW w:w="405" w:type="pct"/>
            <w:tcBorders>
              <w:top w:val="single" w:sz="4" w:space="0" w:color="000000"/>
            </w:tcBorders>
            <w:shd w:val="clear" w:color="auto" w:fill="auto"/>
          </w:tcPr>
          <w:p w14:paraId="038A2C0D" w14:textId="77777777" w:rsidR="0057159B" w:rsidRDefault="0057159B" w:rsidP="001A5D4A">
            <w:pPr>
              <w:pStyle w:val="NotesTable-CellBold"/>
            </w:pPr>
            <w:r>
              <w:t>–</w:t>
            </w:r>
          </w:p>
        </w:tc>
        <w:tc>
          <w:tcPr>
            <w:tcW w:w="406" w:type="pct"/>
            <w:tcBorders>
              <w:top w:val="single" w:sz="4" w:space="0" w:color="000000"/>
            </w:tcBorders>
            <w:shd w:val="clear" w:color="auto" w:fill="auto"/>
          </w:tcPr>
          <w:p w14:paraId="038A2C0E" w14:textId="77777777" w:rsidR="0057159B" w:rsidRDefault="0057159B" w:rsidP="001A5D4A">
            <w:pPr>
              <w:pStyle w:val="NotesTable-CellPlain"/>
            </w:pPr>
            <w:r>
              <w:t>–</w:t>
            </w:r>
          </w:p>
        </w:tc>
        <w:tc>
          <w:tcPr>
            <w:tcW w:w="405" w:type="pct"/>
            <w:tcBorders>
              <w:top w:val="single" w:sz="4" w:space="0" w:color="000000"/>
            </w:tcBorders>
            <w:shd w:val="clear" w:color="auto" w:fill="auto"/>
          </w:tcPr>
          <w:p w14:paraId="038A2C0F" w14:textId="77777777" w:rsidR="0057159B" w:rsidRDefault="0057159B" w:rsidP="001A5D4A">
            <w:pPr>
              <w:pStyle w:val="NotesTable-CellBold"/>
            </w:pPr>
            <w:r>
              <w:t>–</w:t>
            </w:r>
          </w:p>
        </w:tc>
        <w:tc>
          <w:tcPr>
            <w:tcW w:w="406" w:type="pct"/>
            <w:gridSpan w:val="2"/>
            <w:tcBorders>
              <w:top w:val="single" w:sz="4" w:space="0" w:color="000000"/>
            </w:tcBorders>
            <w:shd w:val="clear" w:color="auto" w:fill="auto"/>
          </w:tcPr>
          <w:p w14:paraId="038A2C10" w14:textId="77777777" w:rsidR="0057159B" w:rsidRDefault="0057159B" w:rsidP="001A5D4A">
            <w:pPr>
              <w:pStyle w:val="NotesTable-CellPlain"/>
            </w:pPr>
            <w:r>
              <w:t>–</w:t>
            </w:r>
          </w:p>
        </w:tc>
      </w:tr>
      <w:tr w:rsidR="0057159B" w14:paraId="038A2C1F" w14:textId="77777777" w:rsidTr="00E21378">
        <w:trPr>
          <w:trHeight w:val="181"/>
        </w:trPr>
        <w:tc>
          <w:tcPr>
            <w:tcW w:w="811" w:type="pct"/>
          </w:tcPr>
          <w:p w14:paraId="038A2C19" w14:textId="77777777" w:rsidR="0057159B" w:rsidRDefault="0057159B" w:rsidP="001A5D4A">
            <w:pPr>
              <w:pStyle w:val="Note-Refs"/>
            </w:pPr>
          </w:p>
        </w:tc>
        <w:tc>
          <w:tcPr>
            <w:tcW w:w="2567" w:type="pct"/>
            <w:gridSpan w:val="2"/>
          </w:tcPr>
          <w:p w14:paraId="038A2C1A" w14:textId="765ECD48" w:rsidR="0057159B" w:rsidRDefault="0057159B" w:rsidP="001A5D4A">
            <w:pPr>
              <w:pStyle w:val="NotesTable-ItemPlain"/>
              <w:rPr>
                <w:b/>
              </w:rPr>
            </w:pPr>
            <w:r>
              <w:t>Total borrowings</w:t>
            </w:r>
          </w:p>
        </w:tc>
        <w:tc>
          <w:tcPr>
            <w:tcW w:w="405" w:type="pct"/>
            <w:tcBorders>
              <w:top w:val="single" w:sz="4" w:space="0" w:color="000000"/>
            </w:tcBorders>
          </w:tcPr>
          <w:p w14:paraId="038A2C1B" w14:textId="77777777" w:rsidR="0057159B" w:rsidRDefault="0057159B" w:rsidP="001A5D4A">
            <w:pPr>
              <w:pStyle w:val="NotesTable-CellBold"/>
            </w:pPr>
            <w:r>
              <w:t>–</w:t>
            </w:r>
          </w:p>
        </w:tc>
        <w:tc>
          <w:tcPr>
            <w:tcW w:w="406" w:type="pct"/>
            <w:tcBorders>
              <w:top w:val="single" w:sz="4" w:space="0" w:color="000000"/>
            </w:tcBorders>
          </w:tcPr>
          <w:p w14:paraId="038A2C1C" w14:textId="77777777" w:rsidR="0057159B" w:rsidRDefault="0057159B" w:rsidP="001A5D4A">
            <w:pPr>
              <w:pStyle w:val="NotesTable-CellPlain"/>
            </w:pPr>
            <w:r>
              <w:t>–</w:t>
            </w:r>
          </w:p>
        </w:tc>
        <w:tc>
          <w:tcPr>
            <w:tcW w:w="405" w:type="pct"/>
            <w:tcBorders>
              <w:top w:val="single" w:sz="4" w:space="0" w:color="000000"/>
            </w:tcBorders>
          </w:tcPr>
          <w:p w14:paraId="038A2C1D" w14:textId="77777777" w:rsidR="0057159B" w:rsidRDefault="0057159B" w:rsidP="001A5D4A">
            <w:pPr>
              <w:pStyle w:val="NotesTable-CellBold"/>
            </w:pPr>
            <w:r>
              <w:t>–</w:t>
            </w:r>
          </w:p>
        </w:tc>
        <w:tc>
          <w:tcPr>
            <w:tcW w:w="406" w:type="pct"/>
            <w:gridSpan w:val="2"/>
            <w:tcBorders>
              <w:top w:val="single" w:sz="4" w:space="0" w:color="000000"/>
            </w:tcBorders>
          </w:tcPr>
          <w:p w14:paraId="038A2C1E" w14:textId="77777777" w:rsidR="0057159B" w:rsidRDefault="0057159B" w:rsidP="001A5D4A">
            <w:pPr>
              <w:pStyle w:val="NotesTable-CellPlain"/>
            </w:pPr>
            <w:r>
              <w:t>–</w:t>
            </w:r>
          </w:p>
        </w:tc>
      </w:tr>
      <w:tr w:rsidR="002E740E" w14:paraId="0188C6F1" w14:textId="77777777" w:rsidTr="00E21378">
        <w:trPr>
          <w:trHeight w:val="181"/>
        </w:trPr>
        <w:tc>
          <w:tcPr>
            <w:tcW w:w="811" w:type="pct"/>
          </w:tcPr>
          <w:p w14:paraId="4A0E88A3" w14:textId="77777777" w:rsidR="002E740E" w:rsidRDefault="002E740E" w:rsidP="001A5D4A">
            <w:pPr>
              <w:pStyle w:val="Note-Refs"/>
            </w:pPr>
          </w:p>
        </w:tc>
        <w:tc>
          <w:tcPr>
            <w:tcW w:w="2297" w:type="pct"/>
          </w:tcPr>
          <w:p w14:paraId="2A9CB174" w14:textId="77777777" w:rsidR="002E740E" w:rsidRDefault="002E740E" w:rsidP="001A5D4A">
            <w:pPr>
              <w:pStyle w:val="NotesTable-ItemPlain"/>
            </w:pPr>
          </w:p>
        </w:tc>
        <w:tc>
          <w:tcPr>
            <w:tcW w:w="270" w:type="pct"/>
          </w:tcPr>
          <w:p w14:paraId="5850799E" w14:textId="77777777" w:rsidR="002E740E" w:rsidRDefault="002E740E" w:rsidP="001A5D4A">
            <w:pPr>
              <w:pStyle w:val="NotesTable-Notes"/>
            </w:pPr>
          </w:p>
        </w:tc>
        <w:tc>
          <w:tcPr>
            <w:tcW w:w="811" w:type="pct"/>
            <w:gridSpan w:val="2"/>
          </w:tcPr>
          <w:p w14:paraId="2256915F" w14:textId="77777777" w:rsidR="002E740E" w:rsidRDefault="002E740E" w:rsidP="001A5D4A">
            <w:pPr>
              <w:pStyle w:val="NotesTable-HeadPlain"/>
            </w:pPr>
          </w:p>
        </w:tc>
        <w:tc>
          <w:tcPr>
            <w:tcW w:w="811" w:type="pct"/>
            <w:gridSpan w:val="3"/>
          </w:tcPr>
          <w:p w14:paraId="6E139D5C" w14:textId="77777777" w:rsidR="002E740E" w:rsidRDefault="002E740E" w:rsidP="001A5D4A">
            <w:pPr>
              <w:pStyle w:val="NotesTable-HeadPlain"/>
            </w:pPr>
          </w:p>
        </w:tc>
      </w:tr>
      <w:tr w:rsidR="008D046D" w14:paraId="2B3372B0" w14:textId="77777777" w:rsidTr="00E21378">
        <w:trPr>
          <w:trHeight w:val="181"/>
        </w:trPr>
        <w:tc>
          <w:tcPr>
            <w:tcW w:w="811" w:type="pct"/>
          </w:tcPr>
          <w:p w14:paraId="6BAA2494" w14:textId="40059053" w:rsidR="008D046D" w:rsidRDefault="008D046D" w:rsidP="001A5D4A">
            <w:pPr>
              <w:pStyle w:val="Note-Refs"/>
            </w:pPr>
            <w:r>
              <w:t>EDUCATION</w:t>
            </w:r>
          </w:p>
        </w:tc>
        <w:tc>
          <w:tcPr>
            <w:tcW w:w="2297" w:type="pct"/>
          </w:tcPr>
          <w:p w14:paraId="794A31EE" w14:textId="3AC9FE5F" w:rsidR="008D046D" w:rsidRPr="00847D43" w:rsidRDefault="008D046D" w:rsidP="001A5D4A">
            <w:pPr>
              <w:pStyle w:val="NotesTable-ItemBold"/>
            </w:pPr>
            <w:r w:rsidRPr="00847D43">
              <w:t>Current</w:t>
            </w:r>
          </w:p>
        </w:tc>
        <w:tc>
          <w:tcPr>
            <w:tcW w:w="270" w:type="pct"/>
          </w:tcPr>
          <w:p w14:paraId="2E6A7485" w14:textId="77777777" w:rsidR="008D046D" w:rsidRDefault="008D046D" w:rsidP="001A5D4A">
            <w:pPr>
              <w:pStyle w:val="NotesTable-Notes"/>
            </w:pPr>
          </w:p>
        </w:tc>
        <w:tc>
          <w:tcPr>
            <w:tcW w:w="405" w:type="pct"/>
          </w:tcPr>
          <w:p w14:paraId="4504CBF0" w14:textId="77777777" w:rsidR="008D046D" w:rsidRDefault="008D046D" w:rsidP="001A5D4A">
            <w:pPr>
              <w:pStyle w:val="NotesTable-CellBold"/>
            </w:pPr>
          </w:p>
        </w:tc>
        <w:tc>
          <w:tcPr>
            <w:tcW w:w="406" w:type="pct"/>
          </w:tcPr>
          <w:p w14:paraId="641083D0" w14:textId="77777777" w:rsidR="008D046D" w:rsidRDefault="008D046D" w:rsidP="001A5D4A">
            <w:pPr>
              <w:pStyle w:val="NotesTable-CellPlain"/>
            </w:pPr>
          </w:p>
        </w:tc>
        <w:tc>
          <w:tcPr>
            <w:tcW w:w="405" w:type="pct"/>
          </w:tcPr>
          <w:p w14:paraId="689DA34B" w14:textId="77777777" w:rsidR="008D046D" w:rsidRDefault="008D046D" w:rsidP="001A5D4A">
            <w:pPr>
              <w:pStyle w:val="NotesTable-CellBold"/>
            </w:pPr>
          </w:p>
        </w:tc>
        <w:tc>
          <w:tcPr>
            <w:tcW w:w="406" w:type="pct"/>
            <w:gridSpan w:val="2"/>
          </w:tcPr>
          <w:p w14:paraId="028E6132" w14:textId="77777777" w:rsidR="008D046D" w:rsidRDefault="008D046D" w:rsidP="001A5D4A">
            <w:pPr>
              <w:pStyle w:val="NotesTable-CellPlain"/>
            </w:pPr>
          </w:p>
        </w:tc>
      </w:tr>
      <w:tr w:rsidR="008D046D" w14:paraId="1E8B33FD" w14:textId="77777777" w:rsidTr="00E21378">
        <w:trPr>
          <w:trHeight w:val="181"/>
        </w:trPr>
        <w:tc>
          <w:tcPr>
            <w:tcW w:w="811" w:type="pct"/>
          </w:tcPr>
          <w:p w14:paraId="26A1C849" w14:textId="77777777" w:rsidR="008D046D" w:rsidRDefault="008D046D" w:rsidP="001A5D4A">
            <w:pPr>
              <w:pStyle w:val="Note-Refs"/>
            </w:pPr>
          </w:p>
        </w:tc>
        <w:tc>
          <w:tcPr>
            <w:tcW w:w="2297" w:type="pct"/>
          </w:tcPr>
          <w:p w14:paraId="278D6ADE" w14:textId="220CD589" w:rsidR="008D046D" w:rsidRDefault="008D046D" w:rsidP="001A5D4A">
            <w:pPr>
              <w:pStyle w:val="NotesTable-ItemPlain"/>
            </w:pPr>
            <w:r>
              <w:t>Interest bearing borrowings</w:t>
            </w:r>
          </w:p>
        </w:tc>
        <w:tc>
          <w:tcPr>
            <w:tcW w:w="270" w:type="pct"/>
          </w:tcPr>
          <w:p w14:paraId="77499206" w14:textId="77777777" w:rsidR="008D046D" w:rsidRDefault="008D046D" w:rsidP="001A5D4A">
            <w:pPr>
              <w:pStyle w:val="NotesTable-Notes"/>
            </w:pPr>
          </w:p>
        </w:tc>
        <w:tc>
          <w:tcPr>
            <w:tcW w:w="405" w:type="pct"/>
          </w:tcPr>
          <w:p w14:paraId="5C73E60A" w14:textId="3C44FB7E" w:rsidR="008D046D" w:rsidRDefault="008D046D" w:rsidP="001A5D4A">
            <w:pPr>
              <w:pStyle w:val="NotesTable-CellBold"/>
            </w:pPr>
            <w:r>
              <w:t>–</w:t>
            </w:r>
          </w:p>
        </w:tc>
        <w:tc>
          <w:tcPr>
            <w:tcW w:w="406" w:type="pct"/>
          </w:tcPr>
          <w:p w14:paraId="654D0331" w14:textId="3D70EF1C" w:rsidR="008D046D" w:rsidRDefault="008D046D" w:rsidP="001A5D4A">
            <w:pPr>
              <w:pStyle w:val="NotesTable-CellPlain"/>
            </w:pPr>
            <w:r>
              <w:t>–</w:t>
            </w:r>
          </w:p>
        </w:tc>
        <w:tc>
          <w:tcPr>
            <w:tcW w:w="405" w:type="pct"/>
          </w:tcPr>
          <w:p w14:paraId="56806EC7" w14:textId="3091D2F3" w:rsidR="008D046D" w:rsidRDefault="008D046D" w:rsidP="001A5D4A">
            <w:pPr>
              <w:pStyle w:val="NotesTable-CellBold"/>
            </w:pPr>
            <w:r>
              <w:t>–</w:t>
            </w:r>
          </w:p>
        </w:tc>
        <w:tc>
          <w:tcPr>
            <w:tcW w:w="406" w:type="pct"/>
            <w:gridSpan w:val="2"/>
          </w:tcPr>
          <w:p w14:paraId="1826AB6D" w14:textId="65567C95" w:rsidR="008D046D" w:rsidRDefault="008D046D" w:rsidP="001A5D4A">
            <w:pPr>
              <w:pStyle w:val="NotesTable-CellPlain"/>
            </w:pPr>
            <w:r>
              <w:t>–</w:t>
            </w:r>
          </w:p>
        </w:tc>
      </w:tr>
      <w:tr w:rsidR="008D046D" w14:paraId="05DC882C" w14:textId="77777777" w:rsidTr="00E21378">
        <w:trPr>
          <w:trHeight w:val="181"/>
        </w:trPr>
        <w:tc>
          <w:tcPr>
            <w:tcW w:w="811" w:type="pct"/>
          </w:tcPr>
          <w:p w14:paraId="58F3241E" w14:textId="77777777" w:rsidR="008D046D" w:rsidRDefault="008D046D" w:rsidP="001A5D4A">
            <w:pPr>
              <w:pStyle w:val="Note-Refs"/>
            </w:pPr>
          </w:p>
        </w:tc>
        <w:tc>
          <w:tcPr>
            <w:tcW w:w="2297" w:type="pct"/>
          </w:tcPr>
          <w:p w14:paraId="02BD7DD3" w14:textId="17C0538D" w:rsidR="008D046D" w:rsidRDefault="008D046D" w:rsidP="001A5D4A">
            <w:pPr>
              <w:pStyle w:val="NotesTable-ItemPlain"/>
            </w:pPr>
            <w:r>
              <w:t>Interest free borrowings</w:t>
            </w:r>
          </w:p>
        </w:tc>
        <w:tc>
          <w:tcPr>
            <w:tcW w:w="270" w:type="pct"/>
          </w:tcPr>
          <w:p w14:paraId="3A90C2D9" w14:textId="77777777" w:rsidR="008D046D" w:rsidRDefault="008D046D" w:rsidP="001A5D4A">
            <w:pPr>
              <w:pStyle w:val="NotesTable-Notes"/>
            </w:pPr>
          </w:p>
        </w:tc>
        <w:tc>
          <w:tcPr>
            <w:tcW w:w="405" w:type="pct"/>
            <w:tcBorders>
              <w:bottom w:val="single" w:sz="4" w:space="0" w:color="auto"/>
            </w:tcBorders>
          </w:tcPr>
          <w:p w14:paraId="5E8FC557" w14:textId="41F644D5" w:rsidR="008D046D" w:rsidRDefault="008D046D" w:rsidP="001A5D4A">
            <w:pPr>
              <w:pStyle w:val="NotesTable-CellBold"/>
            </w:pPr>
            <w:r>
              <w:t>–</w:t>
            </w:r>
          </w:p>
        </w:tc>
        <w:tc>
          <w:tcPr>
            <w:tcW w:w="406" w:type="pct"/>
            <w:tcBorders>
              <w:bottom w:val="single" w:sz="4" w:space="0" w:color="auto"/>
            </w:tcBorders>
          </w:tcPr>
          <w:p w14:paraId="4C928886" w14:textId="1FBB7E04" w:rsidR="008D046D" w:rsidRDefault="008D046D" w:rsidP="001A5D4A">
            <w:pPr>
              <w:pStyle w:val="NotesTable-CellPlain"/>
            </w:pPr>
            <w:r>
              <w:t>–</w:t>
            </w:r>
          </w:p>
        </w:tc>
        <w:tc>
          <w:tcPr>
            <w:tcW w:w="405" w:type="pct"/>
            <w:tcBorders>
              <w:bottom w:val="single" w:sz="4" w:space="0" w:color="auto"/>
            </w:tcBorders>
          </w:tcPr>
          <w:p w14:paraId="2C8C686E" w14:textId="76DE22BC" w:rsidR="008D046D" w:rsidRDefault="008D046D" w:rsidP="001A5D4A">
            <w:pPr>
              <w:pStyle w:val="NotesTable-CellBold"/>
            </w:pPr>
            <w:r>
              <w:t>–</w:t>
            </w:r>
          </w:p>
        </w:tc>
        <w:tc>
          <w:tcPr>
            <w:tcW w:w="406" w:type="pct"/>
            <w:gridSpan w:val="2"/>
            <w:tcBorders>
              <w:bottom w:val="single" w:sz="4" w:space="0" w:color="auto"/>
            </w:tcBorders>
          </w:tcPr>
          <w:p w14:paraId="218EFF15" w14:textId="42E78AD8" w:rsidR="008D046D" w:rsidRDefault="008D046D" w:rsidP="001A5D4A">
            <w:pPr>
              <w:pStyle w:val="NotesTable-CellPlain"/>
            </w:pPr>
            <w:r>
              <w:t>–</w:t>
            </w:r>
          </w:p>
        </w:tc>
      </w:tr>
      <w:tr w:rsidR="008D046D" w14:paraId="7C290316" w14:textId="77777777" w:rsidTr="00E21378">
        <w:trPr>
          <w:trHeight w:val="181"/>
        </w:trPr>
        <w:tc>
          <w:tcPr>
            <w:tcW w:w="811" w:type="pct"/>
          </w:tcPr>
          <w:p w14:paraId="7407A4AA" w14:textId="77777777" w:rsidR="008D046D" w:rsidRDefault="008D046D" w:rsidP="001A5D4A">
            <w:pPr>
              <w:pStyle w:val="Note-Refs"/>
            </w:pPr>
          </w:p>
        </w:tc>
        <w:tc>
          <w:tcPr>
            <w:tcW w:w="2297" w:type="pct"/>
          </w:tcPr>
          <w:p w14:paraId="64450EB6" w14:textId="55CC793B" w:rsidR="008D046D" w:rsidRDefault="008D046D" w:rsidP="001A5D4A">
            <w:pPr>
              <w:pStyle w:val="NotesTable-ItemPlain"/>
            </w:pPr>
            <w:r>
              <w:t>Total current borrowings</w:t>
            </w:r>
          </w:p>
        </w:tc>
        <w:tc>
          <w:tcPr>
            <w:tcW w:w="270" w:type="pct"/>
          </w:tcPr>
          <w:p w14:paraId="48523DC0" w14:textId="77777777" w:rsidR="008D046D" w:rsidRDefault="008D046D" w:rsidP="001A5D4A">
            <w:pPr>
              <w:pStyle w:val="NotesTable-Notes"/>
            </w:pPr>
          </w:p>
        </w:tc>
        <w:tc>
          <w:tcPr>
            <w:tcW w:w="405" w:type="pct"/>
            <w:tcBorders>
              <w:top w:val="single" w:sz="4" w:space="0" w:color="auto"/>
            </w:tcBorders>
          </w:tcPr>
          <w:p w14:paraId="1617BC3B" w14:textId="47C666BF" w:rsidR="008D046D" w:rsidRDefault="008D046D" w:rsidP="001A5D4A">
            <w:pPr>
              <w:pStyle w:val="NotesTable-CellBold"/>
            </w:pPr>
            <w:r>
              <w:t>–</w:t>
            </w:r>
          </w:p>
        </w:tc>
        <w:tc>
          <w:tcPr>
            <w:tcW w:w="406" w:type="pct"/>
            <w:tcBorders>
              <w:top w:val="single" w:sz="4" w:space="0" w:color="auto"/>
            </w:tcBorders>
          </w:tcPr>
          <w:p w14:paraId="279CCFDE" w14:textId="216084E8" w:rsidR="008D046D" w:rsidRDefault="008D046D" w:rsidP="001A5D4A">
            <w:pPr>
              <w:pStyle w:val="NotesTable-CellPlain"/>
            </w:pPr>
            <w:r>
              <w:t>–</w:t>
            </w:r>
          </w:p>
        </w:tc>
        <w:tc>
          <w:tcPr>
            <w:tcW w:w="405" w:type="pct"/>
            <w:tcBorders>
              <w:top w:val="single" w:sz="4" w:space="0" w:color="auto"/>
            </w:tcBorders>
          </w:tcPr>
          <w:p w14:paraId="45DF4679" w14:textId="0ED771C1" w:rsidR="008D046D" w:rsidRDefault="008D046D" w:rsidP="001A5D4A">
            <w:pPr>
              <w:pStyle w:val="NotesTable-CellBold"/>
            </w:pPr>
            <w:r>
              <w:t>–</w:t>
            </w:r>
          </w:p>
        </w:tc>
        <w:tc>
          <w:tcPr>
            <w:tcW w:w="406" w:type="pct"/>
            <w:gridSpan w:val="2"/>
            <w:tcBorders>
              <w:top w:val="single" w:sz="4" w:space="0" w:color="auto"/>
            </w:tcBorders>
          </w:tcPr>
          <w:p w14:paraId="219F6D18" w14:textId="7A33B8CD" w:rsidR="008D046D" w:rsidRDefault="008D046D" w:rsidP="001A5D4A">
            <w:pPr>
              <w:pStyle w:val="NotesTable-CellPlain"/>
            </w:pPr>
            <w:r>
              <w:t>–</w:t>
            </w:r>
          </w:p>
        </w:tc>
      </w:tr>
      <w:tr w:rsidR="008D046D" w14:paraId="23058943" w14:textId="77777777" w:rsidTr="00E21378">
        <w:trPr>
          <w:trHeight w:val="181"/>
        </w:trPr>
        <w:tc>
          <w:tcPr>
            <w:tcW w:w="811" w:type="pct"/>
          </w:tcPr>
          <w:p w14:paraId="6DCF7E70" w14:textId="77777777" w:rsidR="008D046D" w:rsidRDefault="008D046D" w:rsidP="001A5D4A">
            <w:pPr>
              <w:pStyle w:val="Note-Refs"/>
            </w:pPr>
          </w:p>
        </w:tc>
        <w:tc>
          <w:tcPr>
            <w:tcW w:w="2297" w:type="pct"/>
          </w:tcPr>
          <w:p w14:paraId="4C3274D1" w14:textId="77777777" w:rsidR="008D046D" w:rsidRDefault="008D046D" w:rsidP="001A5D4A">
            <w:pPr>
              <w:pStyle w:val="NotesTable-ItemPlain"/>
            </w:pPr>
          </w:p>
        </w:tc>
        <w:tc>
          <w:tcPr>
            <w:tcW w:w="270" w:type="pct"/>
          </w:tcPr>
          <w:p w14:paraId="46B84B1F" w14:textId="77777777" w:rsidR="008D046D" w:rsidRDefault="008D046D" w:rsidP="001A5D4A">
            <w:pPr>
              <w:pStyle w:val="NotesTable-Notes"/>
            </w:pPr>
          </w:p>
        </w:tc>
        <w:tc>
          <w:tcPr>
            <w:tcW w:w="405" w:type="pct"/>
          </w:tcPr>
          <w:p w14:paraId="2726ABE5" w14:textId="77777777" w:rsidR="008D046D" w:rsidRDefault="008D046D" w:rsidP="001A5D4A">
            <w:pPr>
              <w:pStyle w:val="NotesTable-CellBold"/>
            </w:pPr>
          </w:p>
        </w:tc>
        <w:tc>
          <w:tcPr>
            <w:tcW w:w="406" w:type="pct"/>
          </w:tcPr>
          <w:p w14:paraId="119D3C8C" w14:textId="77777777" w:rsidR="008D046D" w:rsidRDefault="008D046D" w:rsidP="001A5D4A">
            <w:pPr>
              <w:pStyle w:val="NotesTable-CellPlain"/>
            </w:pPr>
          </w:p>
        </w:tc>
        <w:tc>
          <w:tcPr>
            <w:tcW w:w="405" w:type="pct"/>
          </w:tcPr>
          <w:p w14:paraId="58287DDB" w14:textId="77777777" w:rsidR="008D046D" w:rsidRDefault="008D046D" w:rsidP="001A5D4A">
            <w:pPr>
              <w:pStyle w:val="NotesTable-CellBold"/>
            </w:pPr>
          </w:p>
        </w:tc>
        <w:tc>
          <w:tcPr>
            <w:tcW w:w="406" w:type="pct"/>
            <w:gridSpan w:val="2"/>
          </w:tcPr>
          <w:p w14:paraId="247120D6" w14:textId="77777777" w:rsidR="008D046D" w:rsidRDefault="008D046D" w:rsidP="001A5D4A">
            <w:pPr>
              <w:pStyle w:val="NotesTable-CellPlain"/>
            </w:pPr>
          </w:p>
        </w:tc>
      </w:tr>
      <w:tr w:rsidR="008D046D" w14:paraId="46FA7165" w14:textId="77777777" w:rsidTr="00E21378">
        <w:trPr>
          <w:trHeight w:val="181"/>
        </w:trPr>
        <w:tc>
          <w:tcPr>
            <w:tcW w:w="811" w:type="pct"/>
          </w:tcPr>
          <w:p w14:paraId="3566025C" w14:textId="77777777" w:rsidR="008D046D" w:rsidRDefault="008D046D" w:rsidP="001A5D4A">
            <w:pPr>
              <w:pStyle w:val="Note-Refs"/>
            </w:pPr>
          </w:p>
        </w:tc>
        <w:tc>
          <w:tcPr>
            <w:tcW w:w="2297" w:type="pct"/>
          </w:tcPr>
          <w:p w14:paraId="25754CB4" w14:textId="432D27F7" w:rsidR="008D046D" w:rsidRDefault="008D046D" w:rsidP="001A5D4A">
            <w:pPr>
              <w:pStyle w:val="NotesTable-ItemBold"/>
            </w:pPr>
            <w:r>
              <w:t>Non-c</w:t>
            </w:r>
            <w:r w:rsidRPr="00847D43">
              <w:t>urrent</w:t>
            </w:r>
          </w:p>
        </w:tc>
        <w:tc>
          <w:tcPr>
            <w:tcW w:w="270" w:type="pct"/>
          </w:tcPr>
          <w:p w14:paraId="200C6198" w14:textId="77777777" w:rsidR="008D046D" w:rsidRDefault="008D046D" w:rsidP="001A5D4A">
            <w:pPr>
              <w:pStyle w:val="NotesTable-Notes"/>
            </w:pPr>
          </w:p>
        </w:tc>
        <w:tc>
          <w:tcPr>
            <w:tcW w:w="405" w:type="pct"/>
          </w:tcPr>
          <w:p w14:paraId="1608D3A5" w14:textId="77777777" w:rsidR="008D046D" w:rsidRDefault="008D046D" w:rsidP="001A5D4A">
            <w:pPr>
              <w:pStyle w:val="NotesTable-CellBold"/>
            </w:pPr>
          </w:p>
        </w:tc>
        <w:tc>
          <w:tcPr>
            <w:tcW w:w="406" w:type="pct"/>
          </w:tcPr>
          <w:p w14:paraId="6BAC2918" w14:textId="77777777" w:rsidR="008D046D" w:rsidRDefault="008D046D" w:rsidP="001A5D4A">
            <w:pPr>
              <w:pStyle w:val="NotesTable-CellPlain"/>
            </w:pPr>
          </w:p>
        </w:tc>
        <w:tc>
          <w:tcPr>
            <w:tcW w:w="405" w:type="pct"/>
          </w:tcPr>
          <w:p w14:paraId="46B17AD9" w14:textId="77777777" w:rsidR="008D046D" w:rsidRDefault="008D046D" w:rsidP="001A5D4A">
            <w:pPr>
              <w:pStyle w:val="NotesTable-CellBold"/>
            </w:pPr>
          </w:p>
        </w:tc>
        <w:tc>
          <w:tcPr>
            <w:tcW w:w="406" w:type="pct"/>
            <w:gridSpan w:val="2"/>
          </w:tcPr>
          <w:p w14:paraId="21C2BDDC" w14:textId="77777777" w:rsidR="008D046D" w:rsidRDefault="008D046D" w:rsidP="001A5D4A">
            <w:pPr>
              <w:pStyle w:val="NotesTable-CellPlain"/>
            </w:pPr>
          </w:p>
        </w:tc>
      </w:tr>
      <w:tr w:rsidR="008D046D" w14:paraId="0E4A8440" w14:textId="77777777" w:rsidTr="00E21378">
        <w:trPr>
          <w:trHeight w:val="181"/>
        </w:trPr>
        <w:tc>
          <w:tcPr>
            <w:tcW w:w="811" w:type="pct"/>
          </w:tcPr>
          <w:p w14:paraId="4E954C55" w14:textId="77777777" w:rsidR="008D046D" w:rsidRDefault="008D046D" w:rsidP="001A5D4A">
            <w:pPr>
              <w:pStyle w:val="Note-Refs"/>
            </w:pPr>
          </w:p>
        </w:tc>
        <w:tc>
          <w:tcPr>
            <w:tcW w:w="2297" w:type="pct"/>
          </w:tcPr>
          <w:p w14:paraId="509E369D" w14:textId="00193944" w:rsidR="008D046D" w:rsidRDefault="008D046D" w:rsidP="001A5D4A">
            <w:pPr>
              <w:pStyle w:val="NotesTable-ItemPlain"/>
            </w:pPr>
            <w:r>
              <w:t>Interest bearing borrowings</w:t>
            </w:r>
          </w:p>
        </w:tc>
        <w:tc>
          <w:tcPr>
            <w:tcW w:w="270" w:type="pct"/>
          </w:tcPr>
          <w:p w14:paraId="60A207CA" w14:textId="77777777" w:rsidR="008D046D" w:rsidRDefault="008D046D" w:rsidP="001A5D4A">
            <w:pPr>
              <w:pStyle w:val="NotesTable-Notes"/>
            </w:pPr>
          </w:p>
        </w:tc>
        <w:tc>
          <w:tcPr>
            <w:tcW w:w="405" w:type="pct"/>
          </w:tcPr>
          <w:p w14:paraId="4311B9A8" w14:textId="2D457973" w:rsidR="008D046D" w:rsidRDefault="008D046D" w:rsidP="001A5D4A">
            <w:pPr>
              <w:pStyle w:val="NotesTable-CellBold"/>
            </w:pPr>
            <w:r>
              <w:t>–</w:t>
            </w:r>
          </w:p>
        </w:tc>
        <w:tc>
          <w:tcPr>
            <w:tcW w:w="406" w:type="pct"/>
          </w:tcPr>
          <w:p w14:paraId="1A0C43BE" w14:textId="5D50F6AF" w:rsidR="008D046D" w:rsidRDefault="008D046D" w:rsidP="001A5D4A">
            <w:pPr>
              <w:pStyle w:val="NotesTable-CellPlain"/>
            </w:pPr>
            <w:r>
              <w:t>–</w:t>
            </w:r>
          </w:p>
        </w:tc>
        <w:tc>
          <w:tcPr>
            <w:tcW w:w="405" w:type="pct"/>
          </w:tcPr>
          <w:p w14:paraId="638F7E1A" w14:textId="0614837A" w:rsidR="008D046D" w:rsidRDefault="008D046D" w:rsidP="001A5D4A">
            <w:pPr>
              <w:pStyle w:val="NotesTable-CellBold"/>
            </w:pPr>
            <w:r>
              <w:t>–</w:t>
            </w:r>
          </w:p>
        </w:tc>
        <w:tc>
          <w:tcPr>
            <w:tcW w:w="406" w:type="pct"/>
            <w:gridSpan w:val="2"/>
          </w:tcPr>
          <w:p w14:paraId="12E5A07D" w14:textId="5C048203" w:rsidR="008D046D" w:rsidRDefault="008D046D" w:rsidP="001A5D4A">
            <w:pPr>
              <w:pStyle w:val="NotesTable-CellPlain"/>
            </w:pPr>
            <w:r>
              <w:t>–</w:t>
            </w:r>
          </w:p>
        </w:tc>
      </w:tr>
      <w:tr w:rsidR="008D046D" w14:paraId="1D274418" w14:textId="77777777" w:rsidTr="00E21378">
        <w:trPr>
          <w:trHeight w:val="181"/>
        </w:trPr>
        <w:tc>
          <w:tcPr>
            <w:tcW w:w="811" w:type="pct"/>
          </w:tcPr>
          <w:p w14:paraId="0A757094" w14:textId="77777777" w:rsidR="008D046D" w:rsidRDefault="008D046D" w:rsidP="001A5D4A">
            <w:pPr>
              <w:pStyle w:val="Note-Refs"/>
            </w:pPr>
          </w:p>
        </w:tc>
        <w:tc>
          <w:tcPr>
            <w:tcW w:w="2297" w:type="pct"/>
          </w:tcPr>
          <w:p w14:paraId="566CA6F8" w14:textId="62B69701" w:rsidR="008D046D" w:rsidRDefault="008D046D" w:rsidP="001A5D4A">
            <w:pPr>
              <w:pStyle w:val="NotesTable-ItemPlain"/>
            </w:pPr>
            <w:r>
              <w:t>Interest free borrowings</w:t>
            </w:r>
          </w:p>
        </w:tc>
        <w:tc>
          <w:tcPr>
            <w:tcW w:w="270" w:type="pct"/>
          </w:tcPr>
          <w:p w14:paraId="214E63B1" w14:textId="77777777" w:rsidR="008D046D" w:rsidRDefault="008D046D" w:rsidP="001A5D4A">
            <w:pPr>
              <w:pStyle w:val="NotesTable-Notes"/>
            </w:pPr>
          </w:p>
        </w:tc>
        <w:tc>
          <w:tcPr>
            <w:tcW w:w="405" w:type="pct"/>
            <w:tcBorders>
              <w:bottom w:val="single" w:sz="4" w:space="0" w:color="auto"/>
            </w:tcBorders>
          </w:tcPr>
          <w:p w14:paraId="575350D8" w14:textId="33FC8AC0" w:rsidR="008D046D" w:rsidRDefault="008D046D" w:rsidP="001A5D4A">
            <w:pPr>
              <w:pStyle w:val="NotesTable-CellBold"/>
            </w:pPr>
            <w:r>
              <w:t>–</w:t>
            </w:r>
          </w:p>
        </w:tc>
        <w:tc>
          <w:tcPr>
            <w:tcW w:w="406" w:type="pct"/>
            <w:tcBorders>
              <w:bottom w:val="single" w:sz="4" w:space="0" w:color="auto"/>
            </w:tcBorders>
          </w:tcPr>
          <w:p w14:paraId="32515C9D" w14:textId="7A63C389" w:rsidR="008D046D" w:rsidRDefault="008D046D" w:rsidP="001A5D4A">
            <w:pPr>
              <w:pStyle w:val="NotesTable-CellPlain"/>
            </w:pPr>
            <w:r>
              <w:t>–</w:t>
            </w:r>
          </w:p>
        </w:tc>
        <w:tc>
          <w:tcPr>
            <w:tcW w:w="405" w:type="pct"/>
            <w:tcBorders>
              <w:bottom w:val="single" w:sz="4" w:space="0" w:color="auto"/>
            </w:tcBorders>
          </w:tcPr>
          <w:p w14:paraId="765ACD52" w14:textId="60514C2A" w:rsidR="008D046D" w:rsidRDefault="008D046D" w:rsidP="001A5D4A">
            <w:pPr>
              <w:pStyle w:val="NotesTable-CellBold"/>
            </w:pPr>
            <w:r>
              <w:t>–</w:t>
            </w:r>
          </w:p>
        </w:tc>
        <w:tc>
          <w:tcPr>
            <w:tcW w:w="406" w:type="pct"/>
            <w:gridSpan w:val="2"/>
            <w:tcBorders>
              <w:bottom w:val="single" w:sz="4" w:space="0" w:color="auto"/>
            </w:tcBorders>
          </w:tcPr>
          <w:p w14:paraId="1483BE46" w14:textId="29E3C897" w:rsidR="008D046D" w:rsidRDefault="008D046D" w:rsidP="001A5D4A">
            <w:pPr>
              <w:pStyle w:val="NotesTable-CellPlain"/>
            </w:pPr>
            <w:r>
              <w:t>–</w:t>
            </w:r>
          </w:p>
        </w:tc>
      </w:tr>
      <w:tr w:rsidR="008D046D" w14:paraId="69124E0B" w14:textId="77777777" w:rsidTr="00E21378">
        <w:trPr>
          <w:trHeight w:val="181"/>
        </w:trPr>
        <w:tc>
          <w:tcPr>
            <w:tcW w:w="811" w:type="pct"/>
          </w:tcPr>
          <w:p w14:paraId="4BDA58F3" w14:textId="77777777" w:rsidR="008D046D" w:rsidRDefault="008D046D" w:rsidP="001A5D4A">
            <w:pPr>
              <w:pStyle w:val="Note-Refs"/>
            </w:pPr>
          </w:p>
        </w:tc>
        <w:tc>
          <w:tcPr>
            <w:tcW w:w="2297" w:type="pct"/>
          </w:tcPr>
          <w:p w14:paraId="12934F00" w14:textId="57A1D6CC" w:rsidR="008D046D" w:rsidRDefault="008D046D" w:rsidP="001A5D4A">
            <w:pPr>
              <w:pStyle w:val="NotesTable-ItemPlain"/>
            </w:pPr>
            <w:r>
              <w:t>Total non-current borrowings</w:t>
            </w:r>
          </w:p>
        </w:tc>
        <w:tc>
          <w:tcPr>
            <w:tcW w:w="270" w:type="pct"/>
          </w:tcPr>
          <w:p w14:paraId="384A7BFB" w14:textId="77777777" w:rsidR="008D046D" w:rsidRDefault="008D046D" w:rsidP="001A5D4A">
            <w:pPr>
              <w:pStyle w:val="NotesTable-Notes"/>
            </w:pPr>
          </w:p>
        </w:tc>
        <w:tc>
          <w:tcPr>
            <w:tcW w:w="405" w:type="pct"/>
            <w:tcBorders>
              <w:top w:val="single" w:sz="4" w:space="0" w:color="auto"/>
              <w:bottom w:val="single" w:sz="4" w:space="0" w:color="auto"/>
            </w:tcBorders>
          </w:tcPr>
          <w:p w14:paraId="1C8322E1" w14:textId="229320D3" w:rsidR="008D046D" w:rsidRDefault="008D046D" w:rsidP="001A5D4A">
            <w:pPr>
              <w:pStyle w:val="NotesTable-CellBold"/>
            </w:pPr>
            <w:r>
              <w:t>–</w:t>
            </w:r>
          </w:p>
        </w:tc>
        <w:tc>
          <w:tcPr>
            <w:tcW w:w="406" w:type="pct"/>
            <w:tcBorders>
              <w:top w:val="single" w:sz="4" w:space="0" w:color="auto"/>
              <w:bottom w:val="single" w:sz="4" w:space="0" w:color="auto"/>
            </w:tcBorders>
          </w:tcPr>
          <w:p w14:paraId="6DDDCB48" w14:textId="015EFB93" w:rsidR="008D046D" w:rsidRDefault="008D046D" w:rsidP="001A5D4A">
            <w:pPr>
              <w:pStyle w:val="NotesTable-CellPlain"/>
            </w:pPr>
            <w:r>
              <w:t>–</w:t>
            </w:r>
          </w:p>
        </w:tc>
        <w:tc>
          <w:tcPr>
            <w:tcW w:w="405" w:type="pct"/>
            <w:tcBorders>
              <w:top w:val="single" w:sz="4" w:space="0" w:color="auto"/>
              <w:bottom w:val="single" w:sz="4" w:space="0" w:color="auto"/>
            </w:tcBorders>
          </w:tcPr>
          <w:p w14:paraId="70CC762D" w14:textId="33E5DD5E" w:rsidR="008D046D" w:rsidRDefault="008D046D" w:rsidP="001A5D4A">
            <w:pPr>
              <w:pStyle w:val="NotesTable-CellBold"/>
            </w:pPr>
            <w:r>
              <w:t>–</w:t>
            </w:r>
          </w:p>
        </w:tc>
        <w:tc>
          <w:tcPr>
            <w:tcW w:w="406" w:type="pct"/>
            <w:gridSpan w:val="2"/>
            <w:tcBorders>
              <w:top w:val="single" w:sz="4" w:space="0" w:color="auto"/>
              <w:bottom w:val="single" w:sz="4" w:space="0" w:color="auto"/>
            </w:tcBorders>
          </w:tcPr>
          <w:p w14:paraId="6EDE8146" w14:textId="146A2403" w:rsidR="008D046D" w:rsidRDefault="008D046D" w:rsidP="001A5D4A">
            <w:pPr>
              <w:pStyle w:val="NotesTable-CellPlain"/>
            </w:pPr>
            <w:r>
              <w:t>–</w:t>
            </w:r>
          </w:p>
        </w:tc>
      </w:tr>
      <w:tr w:rsidR="008D046D" w14:paraId="295B2D3E" w14:textId="77777777" w:rsidTr="00E21378">
        <w:trPr>
          <w:trHeight w:val="181"/>
        </w:trPr>
        <w:tc>
          <w:tcPr>
            <w:tcW w:w="811" w:type="pct"/>
          </w:tcPr>
          <w:p w14:paraId="7E45D901" w14:textId="77777777" w:rsidR="008D046D" w:rsidRDefault="008D046D" w:rsidP="001A5D4A">
            <w:pPr>
              <w:pStyle w:val="Note-Refs"/>
            </w:pPr>
          </w:p>
        </w:tc>
        <w:tc>
          <w:tcPr>
            <w:tcW w:w="2297" w:type="pct"/>
          </w:tcPr>
          <w:p w14:paraId="58A2FC04" w14:textId="76BA3C14" w:rsidR="008D046D" w:rsidRDefault="008D046D" w:rsidP="001A5D4A">
            <w:pPr>
              <w:pStyle w:val="NotesTable-ItemPlain"/>
            </w:pPr>
            <w:r>
              <w:t>Total borrowings</w:t>
            </w:r>
          </w:p>
        </w:tc>
        <w:tc>
          <w:tcPr>
            <w:tcW w:w="270" w:type="pct"/>
          </w:tcPr>
          <w:p w14:paraId="7FAAFAA5" w14:textId="77777777" w:rsidR="008D046D" w:rsidRDefault="008D046D" w:rsidP="001A5D4A">
            <w:pPr>
              <w:pStyle w:val="NotesTable-Notes"/>
            </w:pPr>
          </w:p>
        </w:tc>
        <w:tc>
          <w:tcPr>
            <w:tcW w:w="405" w:type="pct"/>
            <w:tcBorders>
              <w:top w:val="single" w:sz="4" w:space="0" w:color="auto"/>
            </w:tcBorders>
          </w:tcPr>
          <w:p w14:paraId="5D5E79EF" w14:textId="46F4434B" w:rsidR="008D046D" w:rsidRDefault="008D046D" w:rsidP="001A5D4A">
            <w:pPr>
              <w:pStyle w:val="NotesTable-CellBold"/>
            </w:pPr>
            <w:r>
              <w:t>–</w:t>
            </w:r>
          </w:p>
        </w:tc>
        <w:tc>
          <w:tcPr>
            <w:tcW w:w="406" w:type="pct"/>
            <w:tcBorders>
              <w:top w:val="single" w:sz="4" w:space="0" w:color="auto"/>
            </w:tcBorders>
          </w:tcPr>
          <w:p w14:paraId="0C78B88B" w14:textId="23C67F49" w:rsidR="008D046D" w:rsidRDefault="008D046D" w:rsidP="001A5D4A">
            <w:pPr>
              <w:pStyle w:val="NotesTable-CellPlain"/>
            </w:pPr>
            <w:r>
              <w:t>–</w:t>
            </w:r>
          </w:p>
        </w:tc>
        <w:tc>
          <w:tcPr>
            <w:tcW w:w="405" w:type="pct"/>
            <w:tcBorders>
              <w:top w:val="single" w:sz="4" w:space="0" w:color="auto"/>
            </w:tcBorders>
          </w:tcPr>
          <w:p w14:paraId="0E4C637F" w14:textId="110DC606" w:rsidR="008D046D" w:rsidRDefault="008D046D" w:rsidP="001A5D4A">
            <w:pPr>
              <w:pStyle w:val="NotesTable-CellBold"/>
            </w:pPr>
            <w:r>
              <w:t>–</w:t>
            </w:r>
          </w:p>
        </w:tc>
        <w:tc>
          <w:tcPr>
            <w:tcW w:w="406" w:type="pct"/>
            <w:gridSpan w:val="2"/>
            <w:tcBorders>
              <w:top w:val="single" w:sz="4" w:space="0" w:color="auto"/>
            </w:tcBorders>
          </w:tcPr>
          <w:p w14:paraId="2391BF0D" w14:textId="587297FD" w:rsidR="008D046D" w:rsidRDefault="008D046D" w:rsidP="001A5D4A">
            <w:pPr>
              <w:pStyle w:val="NotesTable-CellPlain"/>
            </w:pPr>
            <w:r>
              <w:t>–</w:t>
            </w:r>
          </w:p>
        </w:tc>
      </w:tr>
      <w:tr w:rsidR="002E740E" w14:paraId="1D17CCFD" w14:textId="77777777" w:rsidTr="00E21378">
        <w:trPr>
          <w:trHeight w:val="181"/>
        </w:trPr>
        <w:tc>
          <w:tcPr>
            <w:tcW w:w="811" w:type="pct"/>
          </w:tcPr>
          <w:p w14:paraId="0B8EBEE2" w14:textId="04A01A67" w:rsidR="002E740E" w:rsidRDefault="002E740E" w:rsidP="002E740E">
            <w:pPr>
              <w:spacing w:after="0"/>
            </w:pPr>
          </w:p>
        </w:tc>
        <w:tc>
          <w:tcPr>
            <w:tcW w:w="4189" w:type="pct"/>
            <w:gridSpan w:val="7"/>
          </w:tcPr>
          <w:p w14:paraId="7E3D9F5E" w14:textId="77777777" w:rsidR="002E740E" w:rsidRDefault="002E740E" w:rsidP="001A5D4A">
            <w:pPr>
              <w:pStyle w:val="NotesTable-ItemPlain"/>
            </w:pPr>
          </w:p>
        </w:tc>
      </w:tr>
      <w:tr w:rsidR="008D046D" w14:paraId="038A2C89" w14:textId="77777777" w:rsidTr="00E21378">
        <w:trPr>
          <w:trHeight w:val="181"/>
        </w:trPr>
        <w:tc>
          <w:tcPr>
            <w:tcW w:w="811" w:type="pct"/>
            <w:vAlign w:val="center"/>
          </w:tcPr>
          <w:p w14:paraId="038A2C87" w14:textId="0D2184CA" w:rsidR="008D046D" w:rsidRDefault="002E740E" w:rsidP="001A5D4A">
            <w:pPr>
              <w:pStyle w:val="Note-Refs"/>
            </w:pPr>
            <w:r>
              <w:t>Mandatory</w:t>
            </w:r>
          </w:p>
        </w:tc>
        <w:tc>
          <w:tcPr>
            <w:tcW w:w="4189" w:type="pct"/>
            <w:gridSpan w:val="7"/>
            <w:shd w:val="clear" w:color="auto" w:fill="CCCCCC"/>
          </w:tcPr>
          <w:p w14:paraId="038A2C88" w14:textId="77777777" w:rsidR="008D046D" w:rsidRDefault="008D046D" w:rsidP="001A5D4A">
            <w:pPr>
              <w:pStyle w:val="Note-TextHeader"/>
              <w:rPr>
                <w:b w:val="0"/>
              </w:rPr>
            </w:pPr>
            <w:r>
              <w:t xml:space="preserve">a) </w:t>
            </w:r>
            <w:r>
              <w:tab/>
              <w:t>Assets pledged as security</w:t>
            </w:r>
          </w:p>
        </w:tc>
      </w:tr>
      <w:tr w:rsidR="008D046D" w14:paraId="038A2C8F" w14:textId="77777777" w:rsidTr="00E21378">
        <w:trPr>
          <w:trHeight w:val="181"/>
        </w:trPr>
        <w:tc>
          <w:tcPr>
            <w:tcW w:w="811" w:type="pct"/>
          </w:tcPr>
          <w:p w14:paraId="038A2C8D" w14:textId="77777777" w:rsidR="008D046D" w:rsidRDefault="008D046D" w:rsidP="001A5D4A">
            <w:pPr>
              <w:pStyle w:val="Note-Refs"/>
              <w:rPr>
                <w:b/>
              </w:rPr>
            </w:pPr>
            <w:r>
              <w:t>AASB7.14,21</w:t>
            </w:r>
          </w:p>
        </w:tc>
        <w:tc>
          <w:tcPr>
            <w:tcW w:w="4189" w:type="pct"/>
            <w:gridSpan w:val="7"/>
            <w:shd w:val="clear" w:color="auto" w:fill="CCCCCC"/>
          </w:tcPr>
          <w:p w14:paraId="038A2C8E" w14:textId="77777777" w:rsidR="008D046D" w:rsidRPr="00B447AD" w:rsidRDefault="008D046D" w:rsidP="001A5D4A">
            <w:pPr>
              <w:pStyle w:val="NotesTable-ItemPlain"/>
              <w:rPr>
                <w:b/>
              </w:rPr>
            </w:pPr>
            <w:r w:rsidRPr="00B447AD">
              <w:t>[Briefly describe the nature of security over each class of borrowings]</w:t>
            </w:r>
          </w:p>
        </w:tc>
      </w:tr>
      <w:tr w:rsidR="008D046D" w14:paraId="038A2C92" w14:textId="77777777" w:rsidTr="00E21378">
        <w:trPr>
          <w:trHeight w:val="181"/>
        </w:trPr>
        <w:tc>
          <w:tcPr>
            <w:tcW w:w="811" w:type="pct"/>
          </w:tcPr>
          <w:p w14:paraId="038A2C90" w14:textId="77777777" w:rsidR="008D046D" w:rsidRDefault="008D046D" w:rsidP="001A5D4A">
            <w:pPr>
              <w:pStyle w:val="Note-Refs"/>
              <w:rPr>
                <w:b/>
              </w:rPr>
            </w:pPr>
            <w:r>
              <w:t>AASB7.14</w:t>
            </w:r>
          </w:p>
        </w:tc>
        <w:tc>
          <w:tcPr>
            <w:tcW w:w="4189" w:type="pct"/>
            <w:gridSpan w:val="7"/>
            <w:shd w:val="clear" w:color="auto" w:fill="CCCCCC"/>
          </w:tcPr>
          <w:p w14:paraId="038A2C91" w14:textId="77777777" w:rsidR="008D046D" w:rsidRDefault="008D046D" w:rsidP="001A5D4A">
            <w:pPr>
              <w:pStyle w:val="NotesTable-ItemPlain"/>
              <w:rPr>
                <w:b/>
              </w:rPr>
            </w:pPr>
            <w:r>
              <w:t>The carrying amounts of assets pledged as security for current and non</w:t>
            </w:r>
            <w:r>
              <w:noBreakHyphen/>
              <w:t>current borrowings are:</w:t>
            </w:r>
          </w:p>
        </w:tc>
      </w:tr>
      <w:tr w:rsidR="008D046D" w14:paraId="038A2C98" w14:textId="77777777" w:rsidTr="00E21378">
        <w:trPr>
          <w:gridAfter w:val="1"/>
          <w:wAfter w:w="5" w:type="pct"/>
          <w:trHeight w:val="181"/>
        </w:trPr>
        <w:tc>
          <w:tcPr>
            <w:tcW w:w="811" w:type="pct"/>
            <w:vAlign w:val="bottom"/>
          </w:tcPr>
          <w:p w14:paraId="038A2C93" w14:textId="77777777" w:rsidR="008D046D" w:rsidRDefault="008D046D" w:rsidP="001A5D4A">
            <w:pPr>
              <w:pStyle w:val="Note-Refs"/>
            </w:pPr>
            <w:r>
              <w:t>EDUCATION</w:t>
            </w:r>
          </w:p>
        </w:tc>
        <w:tc>
          <w:tcPr>
            <w:tcW w:w="2297" w:type="pct"/>
            <w:shd w:val="clear" w:color="auto" w:fill="CCCCCC"/>
            <w:vAlign w:val="bottom"/>
          </w:tcPr>
          <w:p w14:paraId="038A2C94" w14:textId="77777777" w:rsidR="008D046D" w:rsidRDefault="008D046D" w:rsidP="001A5D4A">
            <w:pPr>
              <w:pStyle w:val="NotesTable-ItemPlain"/>
            </w:pPr>
          </w:p>
        </w:tc>
        <w:tc>
          <w:tcPr>
            <w:tcW w:w="270" w:type="pct"/>
            <w:shd w:val="clear" w:color="auto" w:fill="CCCCCC"/>
            <w:vAlign w:val="bottom"/>
          </w:tcPr>
          <w:p w14:paraId="038A2C95" w14:textId="77777777" w:rsidR="008D046D" w:rsidRDefault="008D046D" w:rsidP="001A5D4A">
            <w:pPr>
              <w:pStyle w:val="NotesTable-Notes"/>
            </w:pPr>
          </w:p>
        </w:tc>
        <w:tc>
          <w:tcPr>
            <w:tcW w:w="811" w:type="pct"/>
            <w:gridSpan w:val="2"/>
            <w:shd w:val="clear" w:color="auto" w:fill="CCCCCC"/>
            <w:vAlign w:val="bottom"/>
          </w:tcPr>
          <w:p w14:paraId="038A2C96" w14:textId="77777777" w:rsidR="008D046D" w:rsidRDefault="008D046D" w:rsidP="001A5D4A">
            <w:pPr>
              <w:pStyle w:val="NotesTable-HeadPlain"/>
            </w:pPr>
            <w:r>
              <w:t>Consolidated</w:t>
            </w:r>
          </w:p>
        </w:tc>
        <w:tc>
          <w:tcPr>
            <w:tcW w:w="806" w:type="pct"/>
            <w:gridSpan w:val="2"/>
            <w:shd w:val="clear" w:color="auto" w:fill="CCCCCC"/>
          </w:tcPr>
          <w:p w14:paraId="038A2C97" w14:textId="77777777" w:rsidR="008D046D" w:rsidRDefault="008D046D" w:rsidP="001A5D4A">
            <w:pPr>
              <w:pStyle w:val="NotesTable-HeadPlain"/>
            </w:pPr>
            <w:r>
              <w:t>Parent entity</w:t>
            </w:r>
          </w:p>
        </w:tc>
      </w:tr>
      <w:tr w:rsidR="008D046D" w14:paraId="038A2CA0" w14:textId="77777777" w:rsidTr="00E21378">
        <w:trPr>
          <w:gridAfter w:val="1"/>
          <w:wAfter w:w="5" w:type="pct"/>
          <w:trHeight w:val="181"/>
        </w:trPr>
        <w:tc>
          <w:tcPr>
            <w:tcW w:w="811" w:type="pct"/>
            <w:vAlign w:val="bottom"/>
          </w:tcPr>
          <w:p w14:paraId="038A2C99" w14:textId="77777777" w:rsidR="008D046D" w:rsidRDefault="008D046D" w:rsidP="001A5D4A">
            <w:pPr>
              <w:pStyle w:val="Note-Refs"/>
            </w:pPr>
          </w:p>
        </w:tc>
        <w:tc>
          <w:tcPr>
            <w:tcW w:w="2297" w:type="pct"/>
            <w:shd w:val="clear" w:color="auto" w:fill="CCCCCC"/>
            <w:vAlign w:val="bottom"/>
          </w:tcPr>
          <w:p w14:paraId="038A2C9A" w14:textId="77777777" w:rsidR="008D046D" w:rsidRDefault="008D046D" w:rsidP="001A5D4A">
            <w:pPr>
              <w:pStyle w:val="NotesTable-ItemPlain"/>
            </w:pPr>
          </w:p>
        </w:tc>
        <w:tc>
          <w:tcPr>
            <w:tcW w:w="270" w:type="pct"/>
            <w:shd w:val="clear" w:color="auto" w:fill="CCCCCC"/>
            <w:vAlign w:val="bottom"/>
          </w:tcPr>
          <w:p w14:paraId="038A2C9B" w14:textId="77777777" w:rsidR="008D046D" w:rsidRDefault="008D046D" w:rsidP="001A5D4A">
            <w:pPr>
              <w:pStyle w:val="NotesTable-Notes"/>
            </w:pPr>
          </w:p>
        </w:tc>
        <w:tc>
          <w:tcPr>
            <w:tcW w:w="405" w:type="pct"/>
            <w:shd w:val="clear" w:color="auto" w:fill="CCCCCC"/>
            <w:vAlign w:val="bottom"/>
          </w:tcPr>
          <w:p w14:paraId="038A2C9C" w14:textId="486D7EAF" w:rsidR="008D046D" w:rsidRDefault="008D046D" w:rsidP="001A5D4A">
            <w:pPr>
              <w:pStyle w:val="NotesTable-HeadBold"/>
            </w:pPr>
            <w:r>
              <w:t>2014</w:t>
            </w:r>
          </w:p>
        </w:tc>
        <w:tc>
          <w:tcPr>
            <w:tcW w:w="406" w:type="pct"/>
            <w:shd w:val="clear" w:color="auto" w:fill="CCCCCC"/>
            <w:vAlign w:val="bottom"/>
          </w:tcPr>
          <w:p w14:paraId="038A2C9D" w14:textId="2BA1EC26" w:rsidR="008D046D" w:rsidRDefault="008D046D" w:rsidP="001A5D4A">
            <w:pPr>
              <w:pStyle w:val="NotesTable-HeadPlain"/>
            </w:pPr>
            <w:r>
              <w:t>2013</w:t>
            </w:r>
          </w:p>
        </w:tc>
        <w:tc>
          <w:tcPr>
            <w:tcW w:w="405" w:type="pct"/>
            <w:shd w:val="clear" w:color="auto" w:fill="CCCCCC"/>
            <w:vAlign w:val="bottom"/>
          </w:tcPr>
          <w:p w14:paraId="038A2C9E" w14:textId="7DED28D8" w:rsidR="008D046D" w:rsidRDefault="008D046D" w:rsidP="001A5D4A">
            <w:pPr>
              <w:pStyle w:val="NotesTable-HeadBold"/>
            </w:pPr>
            <w:r>
              <w:t>2014</w:t>
            </w:r>
          </w:p>
        </w:tc>
        <w:tc>
          <w:tcPr>
            <w:tcW w:w="401" w:type="pct"/>
            <w:shd w:val="clear" w:color="auto" w:fill="CCCCCC"/>
            <w:vAlign w:val="bottom"/>
          </w:tcPr>
          <w:p w14:paraId="038A2C9F" w14:textId="05159D71" w:rsidR="008D046D" w:rsidRDefault="008D046D" w:rsidP="001A5D4A">
            <w:pPr>
              <w:pStyle w:val="NotesTable-HeadPlain"/>
            </w:pPr>
            <w:r>
              <w:t>2013</w:t>
            </w:r>
          </w:p>
        </w:tc>
      </w:tr>
      <w:tr w:rsidR="008D046D" w14:paraId="038A2CA8" w14:textId="77777777" w:rsidTr="00E21378">
        <w:trPr>
          <w:gridAfter w:val="1"/>
          <w:wAfter w:w="5" w:type="pct"/>
          <w:trHeight w:val="181"/>
        </w:trPr>
        <w:tc>
          <w:tcPr>
            <w:tcW w:w="811" w:type="pct"/>
            <w:vAlign w:val="bottom"/>
          </w:tcPr>
          <w:p w14:paraId="038A2CA1" w14:textId="77777777" w:rsidR="008D046D" w:rsidRDefault="008D046D" w:rsidP="001A5D4A">
            <w:pPr>
              <w:pStyle w:val="Note-Refs"/>
            </w:pPr>
          </w:p>
        </w:tc>
        <w:tc>
          <w:tcPr>
            <w:tcW w:w="2297" w:type="pct"/>
            <w:shd w:val="clear" w:color="auto" w:fill="CCCCCC"/>
            <w:vAlign w:val="bottom"/>
          </w:tcPr>
          <w:p w14:paraId="038A2CA2" w14:textId="77777777" w:rsidR="008D046D" w:rsidRDefault="008D046D" w:rsidP="001A5D4A">
            <w:pPr>
              <w:pStyle w:val="NotesTable-ItemPlain"/>
            </w:pPr>
          </w:p>
        </w:tc>
        <w:tc>
          <w:tcPr>
            <w:tcW w:w="270" w:type="pct"/>
            <w:shd w:val="clear" w:color="auto" w:fill="CCCCCC"/>
            <w:vAlign w:val="bottom"/>
          </w:tcPr>
          <w:p w14:paraId="038A2CA3" w14:textId="77777777" w:rsidR="008D046D" w:rsidRDefault="008D046D" w:rsidP="001A5D4A">
            <w:pPr>
              <w:pStyle w:val="NotesTable-Notes"/>
            </w:pPr>
            <w:r>
              <w:t>Notes</w:t>
            </w:r>
          </w:p>
        </w:tc>
        <w:tc>
          <w:tcPr>
            <w:tcW w:w="405" w:type="pct"/>
            <w:shd w:val="clear" w:color="auto" w:fill="CCCCCC"/>
            <w:vAlign w:val="bottom"/>
          </w:tcPr>
          <w:p w14:paraId="038A2CA4" w14:textId="77777777" w:rsidR="008D046D" w:rsidRDefault="008D046D" w:rsidP="001A5D4A">
            <w:pPr>
              <w:pStyle w:val="NotesTable-HeadBold"/>
            </w:pPr>
            <w:r>
              <w:t>$'000</w:t>
            </w:r>
          </w:p>
        </w:tc>
        <w:tc>
          <w:tcPr>
            <w:tcW w:w="406" w:type="pct"/>
            <w:shd w:val="clear" w:color="auto" w:fill="CCCCCC"/>
            <w:vAlign w:val="bottom"/>
          </w:tcPr>
          <w:p w14:paraId="038A2CA5" w14:textId="77777777" w:rsidR="008D046D" w:rsidRDefault="008D046D" w:rsidP="001A5D4A">
            <w:pPr>
              <w:pStyle w:val="NotesTable-HeadPlain"/>
            </w:pPr>
            <w:r>
              <w:t>$'000</w:t>
            </w:r>
          </w:p>
        </w:tc>
        <w:tc>
          <w:tcPr>
            <w:tcW w:w="405" w:type="pct"/>
            <w:shd w:val="clear" w:color="auto" w:fill="CCCCCC"/>
            <w:vAlign w:val="bottom"/>
          </w:tcPr>
          <w:p w14:paraId="038A2CA6" w14:textId="77777777" w:rsidR="008D046D" w:rsidRDefault="008D046D" w:rsidP="001A5D4A">
            <w:pPr>
              <w:pStyle w:val="NotesTable-HeadBold"/>
            </w:pPr>
            <w:r>
              <w:t>$'000</w:t>
            </w:r>
          </w:p>
        </w:tc>
        <w:tc>
          <w:tcPr>
            <w:tcW w:w="401" w:type="pct"/>
            <w:shd w:val="clear" w:color="auto" w:fill="CCCCCC"/>
            <w:vAlign w:val="bottom"/>
          </w:tcPr>
          <w:p w14:paraId="038A2CA7" w14:textId="77777777" w:rsidR="008D046D" w:rsidRDefault="008D046D" w:rsidP="001A5D4A">
            <w:pPr>
              <w:pStyle w:val="NotesTable-HeadPlain"/>
            </w:pPr>
            <w:r>
              <w:t>$'000</w:t>
            </w:r>
          </w:p>
        </w:tc>
      </w:tr>
      <w:tr w:rsidR="008D046D" w14:paraId="038A2CAB" w14:textId="77777777" w:rsidTr="00E21378">
        <w:trPr>
          <w:gridAfter w:val="1"/>
          <w:wAfter w:w="5" w:type="pct"/>
          <w:trHeight w:val="181"/>
        </w:trPr>
        <w:tc>
          <w:tcPr>
            <w:tcW w:w="811" w:type="pct"/>
            <w:vAlign w:val="bottom"/>
          </w:tcPr>
          <w:p w14:paraId="038A2CA9" w14:textId="77777777" w:rsidR="008D046D" w:rsidRDefault="008D046D" w:rsidP="001A5D4A">
            <w:pPr>
              <w:pStyle w:val="Note-Refs"/>
            </w:pPr>
          </w:p>
        </w:tc>
        <w:tc>
          <w:tcPr>
            <w:tcW w:w="4184" w:type="pct"/>
            <w:gridSpan w:val="6"/>
            <w:shd w:val="clear" w:color="auto" w:fill="CCCCCC"/>
            <w:vAlign w:val="bottom"/>
          </w:tcPr>
          <w:p w14:paraId="038A2CAA" w14:textId="77777777" w:rsidR="008D046D" w:rsidRDefault="008D046D" w:rsidP="001A5D4A">
            <w:pPr>
              <w:pStyle w:val="Note-TextHeader"/>
              <w:rPr>
                <w:b w:val="0"/>
                <w:lang w:val="en-GB"/>
              </w:rPr>
            </w:pPr>
            <w:r>
              <w:t>Current</w:t>
            </w:r>
          </w:p>
        </w:tc>
      </w:tr>
      <w:tr w:rsidR="00C62933" w14:paraId="038A2CB3" w14:textId="77777777" w:rsidTr="00E21378">
        <w:trPr>
          <w:gridAfter w:val="1"/>
          <w:wAfter w:w="5" w:type="pct"/>
          <w:trHeight w:val="181"/>
        </w:trPr>
        <w:tc>
          <w:tcPr>
            <w:tcW w:w="811" w:type="pct"/>
            <w:vAlign w:val="bottom"/>
          </w:tcPr>
          <w:p w14:paraId="038A2CAC" w14:textId="77777777" w:rsidR="00C62933" w:rsidRDefault="00C62933" w:rsidP="001A5D4A">
            <w:pPr>
              <w:pStyle w:val="Note-Refs"/>
            </w:pPr>
          </w:p>
        </w:tc>
        <w:tc>
          <w:tcPr>
            <w:tcW w:w="2297" w:type="pct"/>
            <w:shd w:val="clear" w:color="auto" w:fill="CCCCCC"/>
            <w:vAlign w:val="bottom"/>
          </w:tcPr>
          <w:p w14:paraId="038A2CAD" w14:textId="77777777" w:rsidR="00C62933" w:rsidRDefault="00C62933" w:rsidP="001A5D4A">
            <w:pPr>
              <w:pStyle w:val="NotesTable-ItemPlain"/>
              <w:rPr>
                <w:b/>
              </w:rPr>
            </w:pPr>
            <w:r>
              <w:t>Floating charge</w:t>
            </w:r>
          </w:p>
        </w:tc>
        <w:tc>
          <w:tcPr>
            <w:tcW w:w="270" w:type="pct"/>
            <w:shd w:val="clear" w:color="auto" w:fill="CCCCCC"/>
            <w:vAlign w:val="bottom"/>
          </w:tcPr>
          <w:p w14:paraId="038A2CAE" w14:textId="77777777" w:rsidR="00C62933" w:rsidRDefault="00C62933" w:rsidP="001A5D4A">
            <w:pPr>
              <w:pStyle w:val="NotesTable-Notes"/>
            </w:pPr>
          </w:p>
        </w:tc>
        <w:tc>
          <w:tcPr>
            <w:tcW w:w="405" w:type="pct"/>
            <w:shd w:val="clear" w:color="auto" w:fill="CCCCCC"/>
          </w:tcPr>
          <w:p w14:paraId="038A2CAF" w14:textId="3D9F1F91" w:rsidR="00C62933" w:rsidRDefault="00C62933" w:rsidP="001A5D4A">
            <w:pPr>
              <w:pStyle w:val="NotesTable-CellBold"/>
            </w:pPr>
            <w:r>
              <w:t>–</w:t>
            </w:r>
          </w:p>
        </w:tc>
        <w:tc>
          <w:tcPr>
            <w:tcW w:w="406" w:type="pct"/>
            <w:shd w:val="clear" w:color="auto" w:fill="CCCCCC"/>
          </w:tcPr>
          <w:p w14:paraId="038A2CB0" w14:textId="1C8ADDD0" w:rsidR="00C62933" w:rsidRDefault="00C62933" w:rsidP="001A5D4A">
            <w:pPr>
              <w:pStyle w:val="NotesTable-CellPlain"/>
            </w:pPr>
            <w:r>
              <w:t>–</w:t>
            </w:r>
          </w:p>
        </w:tc>
        <w:tc>
          <w:tcPr>
            <w:tcW w:w="405" w:type="pct"/>
            <w:shd w:val="clear" w:color="auto" w:fill="CCCCCC"/>
          </w:tcPr>
          <w:p w14:paraId="038A2CB1" w14:textId="166C29C4" w:rsidR="00C62933" w:rsidRDefault="00C62933" w:rsidP="001A5D4A">
            <w:pPr>
              <w:pStyle w:val="NotesTable-CellBold"/>
            </w:pPr>
            <w:r>
              <w:t>–</w:t>
            </w:r>
          </w:p>
        </w:tc>
        <w:tc>
          <w:tcPr>
            <w:tcW w:w="401" w:type="pct"/>
            <w:shd w:val="clear" w:color="auto" w:fill="CCCCCC"/>
          </w:tcPr>
          <w:p w14:paraId="038A2CB2" w14:textId="4E8AF654" w:rsidR="00C62933" w:rsidRDefault="00C62933" w:rsidP="001A5D4A">
            <w:pPr>
              <w:pStyle w:val="NotesTable-CellPlain"/>
            </w:pPr>
            <w:r>
              <w:t>–</w:t>
            </w:r>
          </w:p>
        </w:tc>
      </w:tr>
      <w:tr w:rsidR="008D046D" w14:paraId="038A2CBB" w14:textId="77777777" w:rsidTr="00E21378">
        <w:trPr>
          <w:gridAfter w:val="1"/>
          <w:wAfter w:w="5" w:type="pct"/>
          <w:trHeight w:val="181"/>
        </w:trPr>
        <w:tc>
          <w:tcPr>
            <w:tcW w:w="811" w:type="pct"/>
            <w:vAlign w:val="bottom"/>
          </w:tcPr>
          <w:p w14:paraId="038A2CB4" w14:textId="77777777" w:rsidR="008D046D" w:rsidRDefault="008D046D" w:rsidP="001A5D4A">
            <w:pPr>
              <w:pStyle w:val="Note-Refs"/>
            </w:pPr>
          </w:p>
        </w:tc>
        <w:tc>
          <w:tcPr>
            <w:tcW w:w="2297" w:type="pct"/>
            <w:shd w:val="clear" w:color="auto" w:fill="CCCCCC"/>
            <w:vAlign w:val="bottom"/>
          </w:tcPr>
          <w:p w14:paraId="038A2CB5" w14:textId="77777777" w:rsidR="008D046D" w:rsidRDefault="008D046D" w:rsidP="001A5D4A">
            <w:pPr>
              <w:pStyle w:val="NotesTable-ItemPlain"/>
              <w:rPr>
                <w:b/>
              </w:rPr>
            </w:pPr>
            <w:r>
              <w:t>Cash and cash equivalents</w:t>
            </w:r>
          </w:p>
        </w:tc>
        <w:tc>
          <w:tcPr>
            <w:tcW w:w="270" w:type="pct"/>
            <w:shd w:val="clear" w:color="auto" w:fill="CCCCCC"/>
            <w:vAlign w:val="bottom"/>
          </w:tcPr>
          <w:p w14:paraId="038A2CB6" w14:textId="6CA4A400" w:rsidR="008D046D" w:rsidRDefault="008D046D" w:rsidP="001A5D4A">
            <w:pPr>
              <w:pStyle w:val="NotesTable-Notes"/>
            </w:pPr>
            <w:r>
              <w:t>1</w:t>
            </w:r>
            <w:r w:rsidR="00575CDB">
              <w:t>8</w:t>
            </w:r>
          </w:p>
        </w:tc>
        <w:tc>
          <w:tcPr>
            <w:tcW w:w="405" w:type="pct"/>
            <w:shd w:val="clear" w:color="auto" w:fill="CCCCCC"/>
          </w:tcPr>
          <w:p w14:paraId="038A2CB7" w14:textId="77777777" w:rsidR="008D046D" w:rsidRDefault="008D046D" w:rsidP="001A5D4A">
            <w:pPr>
              <w:pStyle w:val="NotesTable-CellBold"/>
            </w:pPr>
            <w:r>
              <w:t>–</w:t>
            </w:r>
          </w:p>
        </w:tc>
        <w:tc>
          <w:tcPr>
            <w:tcW w:w="406" w:type="pct"/>
            <w:shd w:val="clear" w:color="auto" w:fill="CCCCCC"/>
          </w:tcPr>
          <w:p w14:paraId="038A2CB8" w14:textId="77777777" w:rsidR="008D046D" w:rsidRDefault="008D046D" w:rsidP="001A5D4A">
            <w:pPr>
              <w:pStyle w:val="NotesTable-CellPlain"/>
            </w:pPr>
            <w:r>
              <w:t>–</w:t>
            </w:r>
          </w:p>
        </w:tc>
        <w:tc>
          <w:tcPr>
            <w:tcW w:w="405" w:type="pct"/>
            <w:shd w:val="clear" w:color="auto" w:fill="CCCCCC"/>
          </w:tcPr>
          <w:p w14:paraId="038A2CB9" w14:textId="77777777" w:rsidR="008D046D" w:rsidRDefault="008D046D" w:rsidP="001A5D4A">
            <w:pPr>
              <w:pStyle w:val="NotesTable-CellBold"/>
            </w:pPr>
            <w:r>
              <w:t>–</w:t>
            </w:r>
          </w:p>
        </w:tc>
        <w:tc>
          <w:tcPr>
            <w:tcW w:w="401" w:type="pct"/>
            <w:shd w:val="clear" w:color="auto" w:fill="CCCCCC"/>
          </w:tcPr>
          <w:p w14:paraId="038A2CBA" w14:textId="77777777" w:rsidR="008D046D" w:rsidRDefault="008D046D" w:rsidP="001A5D4A">
            <w:pPr>
              <w:pStyle w:val="NotesTable-CellPlain"/>
            </w:pPr>
            <w:r>
              <w:t>–</w:t>
            </w:r>
          </w:p>
        </w:tc>
      </w:tr>
      <w:tr w:rsidR="008D046D" w14:paraId="038A2CC3" w14:textId="77777777" w:rsidTr="00E21378">
        <w:trPr>
          <w:gridAfter w:val="1"/>
          <w:wAfter w:w="5" w:type="pct"/>
          <w:trHeight w:val="181"/>
        </w:trPr>
        <w:tc>
          <w:tcPr>
            <w:tcW w:w="811" w:type="pct"/>
            <w:vAlign w:val="bottom"/>
          </w:tcPr>
          <w:p w14:paraId="038A2CBC" w14:textId="77777777" w:rsidR="008D046D" w:rsidRDefault="008D046D" w:rsidP="001A5D4A">
            <w:pPr>
              <w:pStyle w:val="Note-Refs"/>
            </w:pPr>
          </w:p>
        </w:tc>
        <w:tc>
          <w:tcPr>
            <w:tcW w:w="2297" w:type="pct"/>
            <w:shd w:val="clear" w:color="auto" w:fill="CCCCCC"/>
            <w:vAlign w:val="bottom"/>
          </w:tcPr>
          <w:p w14:paraId="038A2CBD" w14:textId="77777777" w:rsidR="008D046D" w:rsidRDefault="008D046D" w:rsidP="001A5D4A">
            <w:pPr>
              <w:pStyle w:val="NotesTable-ItemPlain"/>
              <w:rPr>
                <w:b/>
              </w:rPr>
            </w:pPr>
            <w:r>
              <w:t>Receivables</w:t>
            </w:r>
          </w:p>
        </w:tc>
        <w:tc>
          <w:tcPr>
            <w:tcW w:w="270" w:type="pct"/>
            <w:shd w:val="clear" w:color="auto" w:fill="CCCCCC"/>
            <w:vAlign w:val="bottom"/>
          </w:tcPr>
          <w:p w14:paraId="038A2CBE" w14:textId="033495B4" w:rsidR="008D046D" w:rsidRDefault="00575CDB" w:rsidP="001A5D4A">
            <w:pPr>
              <w:pStyle w:val="NotesTable-Notes"/>
            </w:pPr>
            <w:r>
              <w:t>19</w:t>
            </w:r>
          </w:p>
        </w:tc>
        <w:tc>
          <w:tcPr>
            <w:tcW w:w="405" w:type="pct"/>
            <w:shd w:val="clear" w:color="auto" w:fill="CCCCCC"/>
          </w:tcPr>
          <w:p w14:paraId="038A2CBF" w14:textId="77777777" w:rsidR="008D046D" w:rsidRDefault="008D046D" w:rsidP="001A5D4A">
            <w:pPr>
              <w:pStyle w:val="NotesTable-CellBold"/>
            </w:pPr>
            <w:r>
              <w:t>–</w:t>
            </w:r>
          </w:p>
        </w:tc>
        <w:tc>
          <w:tcPr>
            <w:tcW w:w="406" w:type="pct"/>
            <w:shd w:val="clear" w:color="auto" w:fill="CCCCCC"/>
          </w:tcPr>
          <w:p w14:paraId="038A2CC0" w14:textId="77777777" w:rsidR="008D046D" w:rsidRDefault="008D046D" w:rsidP="001A5D4A">
            <w:pPr>
              <w:pStyle w:val="NotesTable-CellPlain"/>
            </w:pPr>
            <w:r>
              <w:t>–</w:t>
            </w:r>
          </w:p>
        </w:tc>
        <w:tc>
          <w:tcPr>
            <w:tcW w:w="405" w:type="pct"/>
            <w:shd w:val="clear" w:color="auto" w:fill="CCCCCC"/>
          </w:tcPr>
          <w:p w14:paraId="038A2CC1" w14:textId="77777777" w:rsidR="008D046D" w:rsidRDefault="008D046D" w:rsidP="001A5D4A">
            <w:pPr>
              <w:pStyle w:val="NotesTable-CellBold"/>
            </w:pPr>
            <w:r>
              <w:t>–</w:t>
            </w:r>
          </w:p>
        </w:tc>
        <w:tc>
          <w:tcPr>
            <w:tcW w:w="401" w:type="pct"/>
            <w:shd w:val="clear" w:color="auto" w:fill="CCCCCC"/>
          </w:tcPr>
          <w:p w14:paraId="038A2CC2" w14:textId="77777777" w:rsidR="008D046D" w:rsidRDefault="008D046D" w:rsidP="001A5D4A">
            <w:pPr>
              <w:pStyle w:val="NotesTable-CellPlain"/>
            </w:pPr>
            <w:r>
              <w:t>–</w:t>
            </w:r>
          </w:p>
        </w:tc>
      </w:tr>
      <w:tr w:rsidR="008D046D" w14:paraId="038A2CCB" w14:textId="77777777" w:rsidTr="00E21378">
        <w:trPr>
          <w:gridAfter w:val="1"/>
          <w:wAfter w:w="5" w:type="pct"/>
          <w:trHeight w:val="181"/>
        </w:trPr>
        <w:tc>
          <w:tcPr>
            <w:tcW w:w="811" w:type="pct"/>
            <w:vAlign w:val="bottom"/>
          </w:tcPr>
          <w:p w14:paraId="038A2CC4" w14:textId="77777777" w:rsidR="008D046D" w:rsidRDefault="008D046D" w:rsidP="001A5D4A">
            <w:pPr>
              <w:pStyle w:val="Note-Refs"/>
            </w:pPr>
          </w:p>
        </w:tc>
        <w:tc>
          <w:tcPr>
            <w:tcW w:w="2297" w:type="pct"/>
            <w:shd w:val="clear" w:color="auto" w:fill="CCCCCC"/>
            <w:vAlign w:val="bottom"/>
          </w:tcPr>
          <w:p w14:paraId="038A2CC5" w14:textId="77777777" w:rsidR="008D046D" w:rsidRDefault="008D046D" w:rsidP="001A5D4A">
            <w:pPr>
              <w:pStyle w:val="NotesTable-ItemPlain"/>
              <w:rPr>
                <w:b/>
              </w:rPr>
            </w:pPr>
            <w:r>
              <w:t>[Specify]</w:t>
            </w:r>
          </w:p>
        </w:tc>
        <w:tc>
          <w:tcPr>
            <w:tcW w:w="270" w:type="pct"/>
            <w:shd w:val="clear" w:color="auto" w:fill="CCCCCC"/>
            <w:vAlign w:val="bottom"/>
          </w:tcPr>
          <w:p w14:paraId="038A2CC6" w14:textId="77777777" w:rsidR="008D046D" w:rsidRDefault="008D046D" w:rsidP="001A5D4A">
            <w:pPr>
              <w:pStyle w:val="NotesTable-Notes"/>
            </w:pPr>
          </w:p>
        </w:tc>
        <w:tc>
          <w:tcPr>
            <w:tcW w:w="405" w:type="pct"/>
            <w:tcBorders>
              <w:bottom w:val="single" w:sz="4" w:space="0" w:color="000000"/>
            </w:tcBorders>
            <w:shd w:val="clear" w:color="auto" w:fill="CCCCCC"/>
          </w:tcPr>
          <w:p w14:paraId="038A2CC7" w14:textId="77777777" w:rsidR="008D046D" w:rsidRDefault="008D046D" w:rsidP="001A5D4A">
            <w:pPr>
              <w:pStyle w:val="NotesTable-CellBold"/>
            </w:pPr>
            <w:r>
              <w:t>–</w:t>
            </w:r>
          </w:p>
        </w:tc>
        <w:tc>
          <w:tcPr>
            <w:tcW w:w="406" w:type="pct"/>
            <w:tcBorders>
              <w:bottom w:val="single" w:sz="4" w:space="0" w:color="000000"/>
            </w:tcBorders>
            <w:shd w:val="clear" w:color="auto" w:fill="CCCCCC"/>
          </w:tcPr>
          <w:p w14:paraId="038A2CC8" w14:textId="77777777" w:rsidR="008D046D" w:rsidRDefault="008D046D" w:rsidP="001A5D4A">
            <w:pPr>
              <w:pStyle w:val="NotesTable-CellPlain"/>
            </w:pPr>
            <w:r>
              <w:t>–</w:t>
            </w:r>
          </w:p>
        </w:tc>
        <w:tc>
          <w:tcPr>
            <w:tcW w:w="405" w:type="pct"/>
            <w:tcBorders>
              <w:bottom w:val="single" w:sz="4" w:space="0" w:color="000000"/>
            </w:tcBorders>
            <w:shd w:val="clear" w:color="auto" w:fill="CCCCCC"/>
          </w:tcPr>
          <w:p w14:paraId="038A2CC9" w14:textId="77777777" w:rsidR="008D046D" w:rsidRDefault="008D046D" w:rsidP="001A5D4A">
            <w:pPr>
              <w:pStyle w:val="NotesTable-CellBold"/>
            </w:pPr>
            <w:r>
              <w:t>–</w:t>
            </w:r>
          </w:p>
        </w:tc>
        <w:tc>
          <w:tcPr>
            <w:tcW w:w="401" w:type="pct"/>
            <w:tcBorders>
              <w:bottom w:val="single" w:sz="4" w:space="0" w:color="000000"/>
            </w:tcBorders>
            <w:shd w:val="clear" w:color="auto" w:fill="CCCCCC"/>
          </w:tcPr>
          <w:p w14:paraId="038A2CCA" w14:textId="77777777" w:rsidR="008D046D" w:rsidRDefault="008D046D" w:rsidP="001A5D4A">
            <w:pPr>
              <w:pStyle w:val="NotesTable-CellPlain"/>
            </w:pPr>
            <w:r>
              <w:t>–</w:t>
            </w:r>
          </w:p>
        </w:tc>
      </w:tr>
      <w:tr w:rsidR="008D046D" w14:paraId="038A2CD3" w14:textId="77777777" w:rsidTr="00E21378">
        <w:trPr>
          <w:gridAfter w:val="1"/>
          <w:wAfter w:w="5" w:type="pct"/>
          <w:trHeight w:val="181"/>
        </w:trPr>
        <w:tc>
          <w:tcPr>
            <w:tcW w:w="811" w:type="pct"/>
          </w:tcPr>
          <w:p w14:paraId="038A2CCC" w14:textId="77777777" w:rsidR="008D046D" w:rsidRDefault="008D046D" w:rsidP="001A5D4A">
            <w:pPr>
              <w:pStyle w:val="Note-Refs"/>
            </w:pPr>
          </w:p>
        </w:tc>
        <w:tc>
          <w:tcPr>
            <w:tcW w:w="2297" w:type="pct"/>
            <w:shd w:val="clear" w:color="auto" w:fill="CCCCCC"/>
            <w:vAlign w:val="bottom"/>
          </w:tcPr>
          <w:p w14:paraId="038A2CCD" w14:textId="77777777" w:rsidR="008D046D" w:rsidRDefault="008D046D" w:rsidP="001A5D4A">
            <w:pPr>
              <w:pStyle w:val="NotesTable-ItemPlain"/>
              <w:rPr>
                <w:b/>
              </w:rPr>
            </w:pPr>
            <w:r>
              <w:t>Total current assets pledged as security</w:t>
            </w:r>
          </w:p>
        </w:tc>
        <w:tc>
          <w:tcPr>
            <w:tcW w:w="270" w:type="pct"/>
            <w:shd w:val="clear" w:color="auto" w:fill="CCCCCC"/>
            <w:vAlign w:val="bottom"/>
          </w:tcPr>
          <w:p w14:paraId="038A2CCE" w14:textId="77777777" w:rsidR="008D046D" w:rsidRDefault="008D046D" w:rsidP="001A5D4A">
            <w:pPr>
              <w:pStyle w:val="NotesTable-Notes"/>
              <w:rPr>
                <w:shd w:val="clear" w:color="auto" w:fill="FFFF00"/>
              </w:rPr>
            </w:pPr>
          </w:p>
        </w:tc>
        <w:tc>
          <w:tcPr>
            <w:tcW w:w="405" w:type="pct"/>
            <w:tcBorders>
              <w:top w:val="single" w:sz="4" w:space="0" w:color="000000"/>
            </w:tcBorders>
            <w:shd w:val="clear" w:color="auto" w:fill="CCCCCC"/>
          </w:tcPr>
          <w:p w14:paraId="038A2CCF" w14:textId="77777777" w:rsidR="008D046D" w:rsidRDefault="008D046D" w:rsidP="001A5D4A">
            <w:pPr>
              <w:pStyle w:val="NotesTable-CellBold"/>
            </w:pPr>
            <w:r>
              <w:t>–</w:t>
            </w:r>
          </w:p>
        </w:tc>
        <w:tc>
          <w:tcPr>
            <w:tcW w:w="406" w:type="pct"/>
            <w:tcBorders>
              <w:top w:val="single" w:sz="4" w:space="0" w:color="000000"/>
            </w:tcBorders>
            <w:shd w:val="clear" w:color="auto" w:fill="CCCCCC"/>
          </w:tcPr>
          <w:p w14:paraId="038A2CD0" w14:textId="77777777" w:rsidR="008D046D" w:rsidRDefault="008D046D" w:rsidP="001A5D4A">
            <w:pPr>
              <w:pStyle w:val="NotesTable-CellPlain"/>
            </w:pPr>
            <w:r>
              <w:t>–</w:t>
            </w:r>
          </w:p>
        </w:tc>
        <w:tc>
          <w:tcPr>
            <w:tcW w:w="405" w:type="pct"/>
            <w:tcBorders>
              <w:top w:val="single" w:sz="4" w:space="0" w:color="000000"/>
            </w:tcBorders>
            <w:shd w:val="clear" w:color="auto" w:fill="CCCCCC"/>
          </w:tcPr>
          <w:p w14:paraId="038A2CD1" w14:textId="77777777" w:rsidR="008D046D" w:rsidRDefault="008D046D" w:rsidP="001A5D4A">
            <w:pPr>
              <w:pStyle w:val="NotesTable-CellBold"/>
            </w:pPr>
            <w:r>
              <w:t>–</w:t>
            </w:r>
          </w:p>
        </w:tc>
        <w:tc>
          <w:tcPr>
            <w:tcW w:w="401" w:type="pct"/>
            <w:tcBorders>
              <w:top w:val="single" w:sz="4" w:space="0" w:color="000000"/>
            </w:tcBorders>
            <w:shd w:val="clear" w:color="auto" w:fill="CCCCCC"/>
          </w:tcPr>
          <w:p w14:paraId="038A2CD2" w14:textId="77777777" w:rsidR="008D046D" w:rsidRDefault="008D046D" w:rsidP="001A5D4A">
            <w:pPr>
              <w:pStyle w:val="NotesTable-CellPlain"/>
            </w:pPr>
            <w:r>
              <w:t>–</w:t>
            </w:r>
          </w:p>
        </w:tc>
      </w:tr>
      <w:tr w:rsidR="008D046D" w14:paraId="038A2CDB" w14:textId="77777777" w:rsidTr="00E21378">
        <w:trPr>
          <w:gridAfter w:val="1"/>
          <w:wAfter w:w="5" w:type="pct"/>
          <w:trHeight w:val="181"/>
        </w:trPr>
        <w:tc>
          <w:tcPr>
            <w:tcW w:w="811" w:type="pct"/>
          </w:tcPr>
          <w:p w14:paraId="038A2CD4" w14:textId="77777777" w:rsidR="008D046D" w:rsidRDefault="008D046D" w:rsidP="001A5D4A">
            <w:pPr>
              <w:pStyle w:val="Note-Refs"/>
            </w:pPr>
          </w:p>
        </w:tc>
        <w:tc>
          <w:tcPr>
            <w:tcW w:w="2297" w:type="pct"/>
            <w:shd w:val="clear" w:color="auto" w:fill="CCCCCC"/>
            <w:vAlign w:val="bottom"/>
          </w:tcPr>
          <w:p w14:paraId="038A2CD5" w14:textId="77777777" w:rsidR="008D046D" w:rsidRDefault="008D046D" w:rsidP="001A5D4A">
            <w:pPr>
              <w:pStyle w:val="NotesTable-ItemPlain"/>
            </w:pPr>
          </w:p>
        </w:tc>
        <w:tc>
          <w:tcPr>
            <w:tcW w:w="270" w:type="pct"/>
            <w:shd w:val="clear" w:color="auto" w:fill="CCCCCC"/>
            <w:vAlign w:val="bottom"/>
          </w:tcPr>
          <w:p w14:paraId="038A2CD6" w14:textId="77777777" w:rsidR="008D046D" w:rsidRDefault="008D046D" w:rsidP="001A5D4A">
            <w:pPr>
              <w:pStyle w:val="NotesTable-Notes"/>
            </w:pPr>
          </w:p>
        </w:tc>
        <w:tc>
          <w:tcPr>
            <w:tcW w:w="405" w:type="pct"/>
            <w:shd w:val="clear" w:color="auto" w:fill="CCCCCC"/>
            <w:vAlign w:val="bottom"/>
          </w:tcPr>
          <w:p w14:paraId="038A2CD7" w14:textId="77777777" w:rsidR="008D046D" w:rsidRDefault="008D046D" w:rsidP="001A5D4A">
            <w:pPr>
              <w:pStyle w:val="NotesTable-CellBold"/>
            </w:pPr>
          </w:p>
        </w:tc>
        <w:tc>
          <w:tcPr>
            <w:tcW w:w="406" w:type="pct"/>
            <w:shd w:val="clear" w:color="auto" w:fill="CCCCCC"/>
            <w:vAlign w:val="bottom"/>
          </w:tcPr>
          <w:p w14:paraId="038A2CD8" w14:textId="77777777" w:rsidR="008D046D" w:rsidRDefault="008D046D" w:rsidP="001A5D4A">
            <w:pPr>
              <w:pStyle w:val="NotesTable-CellPlain"/>
            </w:pPr>
          </w:p>
        </w:tc>
        <w:tc>
          <w:tcPr>
            <w:tcW w:w="405" w:type="pct"/>
            <w:shd w:val="clear" w:color="auto" w:fill="CCCCCC"/>
            <w:vAlign w:val="bottom"/>
          </w:tcPr>
          <w:p w14:paraId="038A2CD9" w14:textId="77777777" w:rsidR="008D046D" w:rsidRDefault="008D046D" w:rsidP="001A5D4A">
            <w:pPr>
              <w:pStyle w:val="NotesTable-CellBold"/>
            </w:pPr>
          </w:p>
        </w:tc>
        <w:tc>
          <w:tcPr>
            <w:tcW w:w="401" w:type="pct"/>
            <w:shd w:val="clear" w:color="auto" w:fill="CCCCCC"/>
            <w:vAlign w:val="bottom"/>
          </w:tcPr>
          <w:p w14:paraId="038A2CDA" w14:textId="77777777" w:rsidR="008D046D" w:rsidRDefault="008D046D" w:rsidP="001A5D4A">
            <w:pPr>
              <w:pStyle w:val="NotesTable-CellPlain"/>
            </w:pPr>
          </w:p>
        </w:tc>
      </w:tr>
      <w:tr w:rsidR="008D046D" w14:paraId="038A2CDE" w14:textId="77777777" w:rsidTr="00E21378">
        <w:trPr>
          <w:gridAfter w:val="1"/>
          <w:wAfter w:w="5" w:type="pct"/>
          <w:trHeight w:val="181"/>
        </w:trPr>
        <w:tc>
          <w:tcPr>
            <w:tcW w:w="811" w:type="pct"/>
          </w:tcPr>
          <w:p w14:paraId="038A2CDC" w14:textId="77777777" w:rsidR="008D046D" w:rsidRDefault="008D046D" w:rsidP="001A5D4A">
            <w:pPr>
              <w:pStyle w:val="Note-Refs"/>
            </w:pPr>
          </w:p>
        </w:tc>
        <w:tc>
          <w:tcPr>
            <w:tcW w:w="4184" w:type="pct"/>
            <w:gridSpan w:val="6"/>
            <w:shd w:val="clear" w:color="auto" w:fill="CCCCCC"/>
            <w:vAlign w:val="bottom"/>
          </w:tcPr>
          <w:p w14:paraId="038A2CDD" w14:textId="77777777" w:rsidR="008D046D" w:rsidRDefault="008D046D" w:rsidP="001A5D4A">
            <w:pPr>
              <w:pStyle w:val="Note-TextHeader"/>
              <w:rPr>
                <w:b w:val="0"/>
                <w:lang w:val="en-GB"/>
              </w:rPr>
            </w:pPr>
            <w:r>
              <w:t>Non</w:t>
            </w:r>
            <w:r>
              <w:noBreakHyphen/>
              <w:t>current</w:t>
            </w:r>
          </w:p>
        </w:tc>
      </w:tr>
      <w:tr w:rsidR="008D046D" w14:paraId="038A2CE6" w14:textId="77777777" w:rsidTr="00E21378">
        <w:trPr>
          <w:gridAfter w:val="1"/>
          <w:wAfter w:w="5" w:type="pct"/>
          <w:trHeight w:val="181"/>
        </w:trPr>
        <w:tc>
          <w:tcPr>
            <w:tcW w:w="811" w:type="pct"/>
          </w:tcPr>
          <w:p w14:paraId="038A2CDF" w14:textId="77777777" w:rsidR="008D046D" w:rsidRDefault="008D046D" w:rsidP="001A5D4A">
            <w:pPr>
              <w:pStyle w:val="Note-Refs"/>
            </w:pPr>
          </w:p>
        </w:tc>
        <w:tc>
          <w:tcPr>
            <w:tcW w:w="2297" w:type="pct"/>
            <w:shd w:val="clear" w:color="auto" w:fill="CCCCCC"/>
            <w:vAlign w:val="bottom"/>
          </w:tcPr>
          <w:p w14:paraId="038A2CE0" w14:textId="77777777" w:rsidR="008D046D" w:rsidRDefault="008D046D" w:rsidP="001A5D4A">
            <w:pPr>
              <w:pStyle w:val="NotesTable-ItemPlain"/>
              <w:rPr>
                <w:b/>
              </w:rPr>
            </w:pPr>
            <w:r>
              <w:t>First mortgage</w:t>
            </w:r>
          </w:p>
        </w:tc>
        <w:tc>
          <w:tcPr>
            <w:tcW w:w="270" w:type="pct"/>
            <w:shd w:val="clear" w:color="auto" w:fill="CCCCCC"/>
            <w:vAlign w:val="bottom"/>
          </w:tcPr>
          <w:p w14:paraId="038A2CE1" w14:textId="77777777" w:rsidR="008D046D" w:rsidRDefault="008D046D" w:rsidP="001A5D4A">
            <w:pPr>
              <w:pStyle w:val="NotesTable-Notes"/>
            </w:pPr>
          </w:p>
        </w:tc>
        <w:tc>
          <w:tcPr>
            <w:tcW w:w="405" w:type="pct"/>
            <w:shd w:val="clear" w:color="auto" w:fill="CCCCCC"/>
            <w:vAlign w:val="bottom"/>
          </w:tcPr>
          <w:p w14:paraId="038A2CE2" w14:textId="77777777" w:rsidR="008D046D" w:rsidRDefault="008D046D" w:rsidP="001A5D4A">
            <w:pPr>
              <w:pStyle w:val="NotesTable-CellBold"/>
            </w:pPr>
          </w:p>
        </w:tc>
        <w:tc>
          <w:tcPr>
            <w:tcW w:w="406" w:type="pct"/>
            <w:shd w:val="clear" w:color="auto" w:fill="CCCCCC"/>
            <w:vAlign w:val="bottom"/>
          </w:tcPr>
          <w:p w14:paraId="038A2CE3" w14:textId="77777777" w:rsidR="008D046D" w:rsidRDefault="008D046D" w:rsidP="001A5D4A">
            <w:pPr>
              <w:pStyle w:val="NotesTable-CellPlain"/>
            </w:pPr>
          </w:p>
        </w:tc>
        <w:tc>
          <w:tcPr>
            <w:tcW w:w="405" w:type="pct"/>
            <w:shd w:val="clear" w:color="auto" w:fill="CCCCCC"/>
            <w:vAlign w:val="bottom"/>
          </w:tcPr>
          <w:p w14:paraId="038A2CE4" w14:textId="77777777" w:rsidR="008D046D" w:rsidRDefault="008D046D" w:rsidP="001A5D4A">
            <w:pPr>
              <w:pStyle w:val="NotesTable-CellBold"/>
            </w:pPr>
          </w:p>
        </w:tc>
        <w:tc>
          <w:tcPr>
            <w:tcW w:w="401" w:type="pct"/>
            <w:shd w:val="clear" w:color="auto" w:fill="CCCCCC"/>
            <w:vAlign w:val="bottom"/>
          </w:tcPr>
          <w:p w14:paraId="038A2CE5" w14:textId="77777777" w:rsidR="008D046D" w:rsidRDefault="008D046D" w:rsidP="001A5D4A">
            <w:pPr>
              <w:pStyle w:val="NotesTable-CellPlain"/>
            </w:pPr>
          </w:p>
        </w:tc>
      </w:tr>
      <w:tr w:rsidR="008D046D" w14:paraId="038A2CEE" w14:textId="77777777" w:rsidTr="00E21378">
        <w:trPr>
          <w:gridAfter w:val="1"/>
          <w:wAfter w:w="5" w:type="pct"/>
          <w:trHeight w:val="181"/>
        </w:trPr>
        <w:tc>
          <w:tcPr>
            <w:tcW w:w="811" w:type="pct"/>
          </w:tcPr>
          <w:p w14:paraId="038A2CE7" w14:textId="77777777" w:rsidR="008D046D" w:rsidRDefault="008D046D" w:rsidP="001A5D4A">
            <w:pPr>
              <w:pStyle w:val="Note-Refs"/>
              <w:rPr>
                <w:b/>
              </w:rPr>
            </w:pPr>
            <w:r>
              <w:t>AASB116.74a</w:t>
            </w:r>
          </w:p>
        </w:tc>
        <w:tc>
          <w:tcPr>
            <w:tcW w:w="2297" w:type="pct"/>
            <w:shd w:val="clear" w:color="auto" w:fill="CCCCCC"/>
            <w:vAlign w:val="bottom"/>
          </w:tcPr>
          <w:p w14:paraId="038A2CE8" w14:textId="77777777" w:rsidR="008D046D" w:rsidRDefault="008D046D" w:rsidP="001A5D4A">
            <w:pPr>
              <w:pStyle w:val="NotesTable-ItemPlain"/>
              <w:rPr>
                <w:b/>
              </w:rPr>
            </w:pPr>
            <w:r>
              <w:t>Land and buildings</w:t>
            </w:r>
          </w:p>
        </w:tc>
        <w:tc>
          <w:tcPr>
            <w:tcW w:w="270" w:type="pct"/>
            <w:shd w:val="clear" w:color="auto" w:fill="CCCCCC"/>
            <w:vAlign w:val="bottom"/>
          </w:tcPr>
          <w:p w14:paraId="038A2CE9" w14:textId="135FDE0E" w:rsidR="008D046D" w:rsidRDefault="00575CDB" w:rsidP="001A5D4A">
            <w:pPr>
              <w:pStyle w:val="NotesTable-Notes"/>
            </w:pPr>
            <w:r>
              <w:t>26</w:t>
            </w:r>
          </w:p>
        </w:tc>
        <w:tc>
          <w:tcPr>
            <w:tcW w:w="405" w:type="pct"/>
            <w:tcBorders>
              <w:bottom w:val="single" w:sz="4" w:space="0" w:color="000000"/>
            </w:tcBorders>
            <w:shd w:val="clear" w:color="auto" w:fill="CCCCCC"/>
          </w:tcPr>
          <w:p w14:paraId="038A2CEA" w14:textId="77777777" w:rsidR="008D046D" w:rsidRDefault="008D046D" w:rsidP="001A5D4A">
            <w:pPr>
              <w:pStyle w:val="NotesTable-CellBold"/>
            </w:pPr>
            <w:r>
              <w:t>–</w:t>
            </w:r>
          </w:p>
        </w:tc>
        <w:tc>
          <w:tcPr>
            <w:tcW w:w="406" w:type="pct"/>
            <w:tcBorders>
              <w:bottom w:val="single" w:sz="4" w:space="0" w:color="000000"/>
            </w:tcBorders>
            <w:shd w:val="clear" w:color="auto" w:fill="CCCCCC"/>
          </w:tcPr>
          <w:p w14:paraId="038A2CEB" w14:textId="77777777" w:rsidR="008D046D" w:rsidRDefault="008D046D" w:rsidP="001A5D4A">
            <w:pPr>
              <w:pStyle w:val="NotesTable-CellPlain"/>
            </w:pPr>
            <w:r>
              <w:t>–</w:t>
            </w:r>
          </w:p>
        </w:tc>
        <w:tc>
          <w:tcPr>
            <w:tcW w:w="405" w:type="pct"/>
            <w:tcBorders>
              <w:bottom w:val="single" w:sz="4" w:space="0" w:color="000000"/>
            </w:tcBorders>
            <w:shd w:val="clear" w:color="auto" w:fill="CCCCCC"/>
          </w:tcPr>
          <w:p w14:paraId="038A2CEC" w14:textId="77777777" w:rsidR="008D046D" w:rsidRDefault="008D046D" w:rsidP="001A5D4A">
            <w:pPr>
              <w:pStyle w:val="NotesTable-CellBold"/>
            </w:pPr>
            <w:r>
              <w:t>–</w:t>
            </w:r>
          </w:p>
        </w:tc>
        <w:tc>
          <w:tcPr>
            <w:tcW w:w="401" w:type="pct"/>
            <w:tcBorders>
              <w:bottom w:val="single" w:sz="4" w:space="0" w:color="000000"/>
            </w:tcBorders>
            <w:shd w:val="clear" w:color="auto" w:fill="CCCCCC"/>
          </w:tcPr>
          <w:p w14:paraId="038A2CED" w14:textId="77777777" w:rsidR="008D046D" w:rsidRDefault="008D046D" w:rsidP="001A5D4A">
            <w:pPr>
              <w:pStyle w:val="NotesTable-CellPlain"/>
            </w:pPr>
            <w:r>
              <w:t>–</w:t>
            </w:r>
          </w:p>
        </w:tc>
      </w:tr>
      <w:tr w:rsidR="008D046D" w14:paraId="038A2CF6" w14:textId="77777777" w:rsidTr="00E21378">
        <w:trPr>
          <w:gridAfter w:val="1"/>
          <w:wAfter w:w="5" w:type="pct"/>
          <w:trHeight w:val="181"/>
        </w:trPr>
        <w:tc>
          <w:tcPr>
            <w:tcW w:w="811" w:type="pct"/>
          </w:tcPr>
          <w:p w14:paraId="038A2CEF" w14:textId="77777777" w:rsidR="008D046D" w:rsidRDefault="008D046D" w:rsidP="001A5D4A">
            <w:pPr>
              <w:pStyle w:val="Note-Refs"/>
            </w:pPr>
          </w:p>
        </w:tc>
        <w:tc>
          <w:tcPr>
            <w:tcW w:w="2297" w:type="pct"/>
            <w:shd w:val="clear" w:color="auto" w:fill="CCCCCC"/>
            <w:vAlign w:val="bottom"/>
          </w:tcPr>
          <w:p w14:paraId="038A2CF0" w14:textId="77777777" w:rsidR="008D046D" w:rsidRDefault="008D046D" w:rsidP="001A5D4A">
            <w:pPr>
              <w:pStyle w:val="NotesTable-ItemPlain"/>
            </w:pPr>
            <w:r>
              <w:t>Total mortgage</w:t>
            </w:r>
          </w:p>
        </w:tc>
        <w:tc>
          <w:tcPr>
            <w:tcW w:w="270" w:type="pct"/>
            <w:shd w:val="clear" w:color="auto" w:fill="CCCCCC"/>
            <w:vAlign w:val="bottom"/>
          </w:tcPr>
          <w:p w14:paraId="038A2CF1" w14:textId="77777777" w:rsidR="008D046D" w:rsidRDefault="008D046D" w:rsidP="001A5D4A">
            <w:pPr>
              <w:pStyle w:val="NotesTable-Notes"/>
            </w:pPr>
          </w:p>
        </w:tc>
        <w:tc>
          <w:tcPr>
            <w:tcW w:w="405" w:type="pct"/>
            <w:tcBorders>
              <w:top w:val="single" w:sz="4" w:space="0" w:color="000000"/>
            </w:tcBorders>
            <w:shd w:val="clear" w:color="auto" w:fill="CCCCCC"/>
          </w:tcPr>
          <w:p w14:paraId="038A2CF2" w14:textId="77777777" w:rsidR="008D046D" w:rsidRDefault="008D046D" w:rsidP="001A5D4A">
            <w:pPr>
              <w:pStyle w:val="NotesTable-CellBold"/>
            </w:pPr>
            <w:r>
              <w:t>–</w:t>
            </w:r>
          </w:p>
        </w:tc>
        <w:tc>
          <w:tcPr>
            <w:tcW w:w="406" w:type="pct"/>
            <w:tcBorders>
              <w:top w:val="single" w:sz="4" w:space="0" w:color="000000"/>
            </w:tcBorders>
            <w:shd w:val="clear" w:color="auto" w:fill="CCCCCC"/>
          </w:tcPr>
          <w:p w14:paraId="038A2CF3" w14:textId="77777777" w:rsidR="008D046D" w:rsidRDefault="008D046D" w:rsidP="001A5D4A">
            <w:pPr>
              <w:pStyle w:val="NotesTable-CellPlain"/>
            </w:pPr>
            <w:r>
              <w:t>–</w:t>
            </w:r>
          </w:p>
        </w:tc>
        <w:tc>
          <w:tcPr>
            <w:tcW w:w="405" w:type="pct"/>
            <w:tcBorders>
              <w:top w:val="single" w:sz="4" w:space="0" w:color="000000"/>
            </w:tcBorders>
            <w:shd w:val="clear" w:color="auto" w:fill="CCCCCC"/>
          </w:tcPr>
          <w:p w14:paraId="038A2CF4" w14:textId="77777777" w:rsidR="008D046D" w:rsidRDefault="008D046D" w:rsidP="001A5D4A">
            <w:pPr>
              <w:pStyle w:val="NotesTable-CellBold"/>
            </w:pPr>
            <w:r>
              <w:t>–</w:t>
            </w:r>
          </w:p>
        </w:tc>
        <w:tc>
          <w:tcPr>
            <w:tcW w:w="401" w:type="pct"/>
            <w:tcBorders>
              <w:top w:val="single" w:sz="4" w:space="0" w:color="000000"/>
            </w:tcBorders>
            <w:shd w:val="clear" w:color="auto" w:fill="CCCCCC"/>
          </w:tcPr>
          <w:p w14:paraId="038A2CF5" w14:textId="77777777" w:rsidR="008D046D" w:rsidRDefault="008D046D" w:rsidP="001A5D4A">
            <w:pPr>
              <w:pStyle w:val="NotesTable-CellPlain"/>
            </w:pPr>
            <w:r>
              <w:t>–</w:t>
            </w:r>
          </w:p>
        </w:tc>
      </w:tr>
      <w:tr w:rsidR="008D046D" w14:paraId="038A2CFE" w14:textId="77777777" w:rsidTr="00E21378">
        <w:trPr>
          <w:gridAfter w:val="1"/>
          <w:wAfter w:w="5" w:type="pct"/>
          <w:trHeight w:val="181"/>
        </w:trPr>
        <w:tc>
          <w:tcPr>
            <w:tcW w:w="811" w:type="pct"/>
          </w:tcPr>
          <w:p w14:paraId="038A2CF7" w14:textId="77777777" w:rsidR="008D046D" w:rsidRDefault="008D046D" w:rsidP="001A5D4A">
            <w:pPr>
              <w:pStyle w:val="Note-Refs"/>
            </w:pPr>
          </w:p>
        </w:tc>
        <w:tc>
          <w:tcPr>
            <w:tcW w:w="2297" w:type="pct"/>
            <w:shd w:val="clear" w:color="auto" w:fill="CCCCCC"/>
            <w:vAlign w:val="bottom"/>
          </w:tcPr>
          <w:p w14:paraId="038A2CF8" w14:textId="77777777" w:rsidR="008D046D" w:rsidRDefault="008D046D" w:rsidP="001A5D4A">
            <w:pPr>
              <w:pStyle w:val="NotesTable-ItemPlain"/>
            </w:pPr>
          </w:p>
        </w:tc>
        <w:tc>
          <w:tcPr>
            <w:tcW w:w="270" w:type="pct"/>
            <w:shd w:val="clear" w:color="auto" w:fill="CCCCCC"/>
            <w:vAlign w:val="bottom"/>
          </w:tcPr>
          <w:p w14:paraId="038A2CF9" w14:textId="77777777" w:rsidR="008D046D" w:rsidRDefault="008D046D" w:rsidP="001A5D4A">
            <w:pPr>
              <w:pStyle w:val="NotesTable-Notes"/>
            </w:pPr>
          </w:p>
        </w:tc>
        <w:tc>
          <w:tcPr>
            <w:tcW w:w="405" w:type="pct"/>
            <w:shd w:val="clear" w:color="auto" w:fill="CCCCCC"/>
          </w:tcPr>
          <w:p w14:paraId="038A2CFA" w14:textId="77777777" w:rsidR="008D046D" w:rsidRDefault="008D046D" w:rsidP="001A5D4A">
            <w:pPr>
              <w:pStyle w:val="NotesTable-CellBold"/>
            </w:pPr>
          </w:p>
        </w:tc>
        <w:tc>
          <w:tcPr>
            <w:tcW w:w="406" w:type="pct"/>
            <w:shd w:val="clear" w:color="auto" w:fill="CCCCCC"/>
          </w:tcPr>
          <w:p w14:paraId="038A2CFB" w14:textId="77777777" w:rsidR="008D046D" w:rsidRDefault="008D046D" w:rsidP="001A5D4A">
            <w:pPr>
              <w:pStyle w:val="NotesTable-CellPlain"/>
            </w:pPr>
          </w:p>
        </w:tc>
        <w:tc>
          <w:tcPr>
            <w:tcW w:w="405" w:type="pct"/>
            <w:shd w:val="clear" w:color="auto" w:fill="CCCCCC"/>
          </w:tcPr>
          <w:p w14:paraId="038A2CFC" w14:textId="77777777" w:rsidR="008D046D" w:rsidRDefault="008D046D" w:rsidP="001A5D4A">
            <w:pPr>
              <w:pStyle w:val="NotesTable-CellBold"/>
            </w:pPr>
          </w:p>
        </w:tc>
        <w:tc>
          <w:tcPr>
            <w:tcW w:w="401" w:type="pct"/>
            <w:shd w:val="clear" w:color="auto" w:fill="CCCCCC"/>
          </w:tcPr>
          <w:p w14:paraId="038A2CFD" w14:textId="77777777" w:rsidR="008D046D" w:rsidRDefault="008D046D" w:rsidP="001A5D4A">
            <w:pPr>
              <w:pStyle w:val="NotesTable-CellPlain"/>
            </w:pPr>
          </w:p>
        </w:tc>
      </w:tr>
    </w:tbl>
    <w:p w14:paraId="5FF9D4B9" w14:textId="77777777" w:rsidR="00EF62D6" w:rsidRDefault="00EF62D6">
      <w:pPr>
        <w:spacing w:after="0"/>
      </w:pPr>
      <w:r>
        <w:br w:type="page"/>
      </w:r>
    </w:p>
    <w:tbl>
      <w:tblPr>
        <w:tblW w:w="5000" w:type="pct"/>
        <w:tblCellMar>
          <w:left w:w="0" w:type="dxa"/>
          <w:right w:w="0" w:type="dxa"/>
        </w:tblCellMar>
        <w:tblLook w:val="0000" w:firstRow="0" w:lastRow="0" w:firstColumn="0" w:lastColumn="0" w:noHBand="0" w:noVBand="0"/>
      </w:tblPr>
      <w:tblGrid>
        <w:gridCol w:w="1649"/>
        <w:gridCol w:w="16"/>
        <w:gridCol w:w="4713"/>
        <w:gridCol w:w="544"/>
        <w:gridCol w:w="10"/>
        <w:gridCol w:w="835"/>
        <w:gridCol w:w="833"/>
        <w:gridCol w:w="833"/>
        <w:gridCol w:w="827"/>
      </w:tblGrid>
      <w:tr w:rsidR="00EF62D6" w14:paraId="52372FBD" w14:textId="77777777" w:rsidTr="00EF62D6">
        <w:trPr>
          <w:trHeight w:val="181"/>
        </w:trPr>
        <w:tc>
          <w:tcPr>
            <w:tcW w:w="5000" w:type="pct"/>
            <w:gridSpan w:val="9"/>
          </w:tcPr>
          <w:p w14:paraId="1138FC64" w14:textId="45A680B9" w:rsidR="00EF62D6" w:rsidRDefault="00EF62D6" w:rsidP="00EF62D6">
            <w:pPr>
              <w:pStyle w:val="TOC3"/>
              <w:ind w:left="0"/>
            </w:pPr>
            <w:r w:rsidRPr="00D21CB5">
              <w:lastRenderedPageBreak/>
              <w:t>Note 30</w:t>
            </w:r>
            <w:r>
              <w:t xml:space="preserve">. </w:t>
            </w:r>
            <w:r w:rsidRPr="00D21CB5">
              <w:t>Borrowings (continued)</w:t>
            </w:r>
          </w:p>
        </w:tc>
      </w:tr>
      <w:tr w:rsidR="00EF62D6" w14:paraId="2737ECDB" w14:textId="77777777" w:rsidTr="00EF62D6">
        <w:trPr>
          <w:trHeight w:val="181"/>
        </w:trPr>
        <w:tc>
          <w:tcPr>
            <w:tcW w:w="5000" w:type="pct"/>
            <w:gridSpan w:val="9"/>
          </w:tcPr>
          <w:p w14:paraId="6102104B" w14:textId="768CEF49" w:rsidR="00EF62D6" w:rsidRPr="00D21CB5" w:rsidRDefault="00EF62D6" w:rsidP="00EF62D6">
            <w:pPr>
              <w:spacing w:after="0"/>
            </w:pPr>
            <w:r>
              <w:t>Mandatory</w:t>
            </w:r>
          </w:p>
        </w:tc>
      </w:tr>
      <w:tr w:rsidR="008D046D" w14:paraId="038A2D01" w14:textId="77777777" w:rsidTr="00EF62D6">
        <w:trPr>
          <w:trHeight w:val="181"/>
        </w:trPr>
        <w:tc>
          <w:tcPr>
            <w:tcW w:w="811" w:type="pct"/>
            <w:gridSpan w:val="2"/>
          </w:tcPr>
          <w:p w14:paraId="038A2CFF" w14:textId="77777777" w:rsidR="008D046D" w:rsidRDefault="008D046D" w:rsidP="001A5D4A">
            <w:pPr>
              <w:pStyle w:val="Note-Refs"/>
              <w:rPr>
                <w:b/>
              </w:rPr>
            </w:pPr>
            <w:r>
              <w:t>AASB116.74a</w:t>
            </w:r>
          </w:p>
        </w:tc>
        <w:tc>
          <w:tcPr>
            <w:tcW w:w="4189" w:type="pct"/>
            <w:gridSpan w:val="7"/>
            <w:shd w:val="clear" w:color="auto" w:fill="CCCCCC"/>
            <w:vAlign w:val="bottom"/>
          </w:tcPr>
          <w:p w14:paraId="038A2D00" w14:textId="77777777" w:rsidR="008D046D" w:rsidRDefault="008D046D" w:rsidP="001A5D4A">
            <w:pPr>
              <w:pStyle w:val="NotesTable-ItemPlain"/>
              <w:rPr>
                <w:b/>
              </w:rPr>
            </w:pPr>
            <w:r>
              <w:t>Finance lease</w:t>
            </w:r>
          </w:p>
        </w:tc>
      </w:tr>
      <w:tr w:rsidR="008D046D" w14:paraId="038A2D09" w14:textId="77777777" w:rsidTr="00561138">
        <w:trPr>
          <w:trHeight w:val="181"/>
        </w:trPr>
        <w:tc>
          <w:tcPr>
            <w:tcW w:w="811" w:type="pct"/>
            <w:gridSpan w:val="2"/>
          </w:tcPr>
          <w:p w14:paraId="038A2D02" w14:textId="77777777" w:rsidR="008D046D" w:rsidRDefault="008D046D" w:rsidP="001A5D4A">
            <w:pPr>
              <w:pStyle w:val="Note-Refs"/>
            </w:pPr>
          </w:p>
        </w:tc>
        <w:tc>
          <w:tcPr>
            <w:tcW w:w="2297" w:type="pct"/>
            <w:shd w:val="clear" w:color="auto" w:fill="CCCCCC"/>
            <w:vAlign w:val="bottom"/>
          </w:tcPr>
          <w:p w14:paraId="038A2D03" w14:textId="77777777" w:rsidR="008D046D" w:rsidRDefault="008D046D" w:rsidP="001A5D4A">
            <w:pPr>
              <w:pStyle w:val="NotesTable-ItemPlain"/>
              <w:rPr>
                <w:b/>
              </w:rPr>
            </w:pPr>
            <w:r>
              <w:t>Plant and equipment</w:t>
            </w:r>
          </w:p>
        </w:tc>
        <w:tc>
          <w:tcPr>
            <w:tcW w:w="270" w:type="pct"/>
            <w:gridSpan w:val="2"/>
            <w:shd w:val="clear" w:color="auto" w:fill="CCCCCC"/>
            <w:vAlign w:val="bottom"/>
          </w:tcPr>
          <w:p w14:paraId="038A2D04" w14:textId="5FD67363" w:rsidR="008D046D" w:rsidRDefault="008D046D" w:rsidP="001A5D4A">
            <w:pPr>
              <w:pStyle w:val="NotesTable-Notes"/>
            </w:pPr>
            <w:r>
              <w:t>2</w:t>
            </w:r>
            <w:r w:rsidR="00575CDB">
              <w:t>6</w:t>
            </w:r>
          </w:p>
        </w:tc>
        <w:tc>
          <w:tcPr>
            <w:tcW w:w="407" w:type="pct"/>
            <w:tcBorders>
              <w:bottom w:val="single" w:sz="4" w:space="0" w:color="000000"/>
            </w:tcBorders>
            <w:shd w:val="clear" w:color="auto" w:fill="CCCCCC"/>
          </w:tcPr>
          <w:p w14:paraId="038A2D05" w14:textId="77777777" w:rsidR="008D046D" w:rsidRDefault="008D046D" w:rsidP="001A5D4A">
            <w:pPr>
              <w:pStyle w:val="NotesTable-CellBold"/>
            </w:pPr>
            <w:r>
              <w:t>–</w:t>
            </w:r>
          </w:p>
        </w:tc>
        <w:tc>
          <w:tcPr>
            <w:tcW w:w="406" w:type="pct"/>
            <w:tcBorders>
              <w:bottom w:val="single" w:sz="4" w:space="0" w:color="000000"/>
            </w:tcBorders>
            <w:shd w:val="clear" w:color="auto" w:fill="CCCCCC"/>
          </w:tcPr>
          <w:p w14:paraId="038A2D06" w14:textId="77777777" w:rsidR="008D046D" w:rsidRDefault="008D046D" w:rsidP="001A5D4A">
            <w:pPr>
              <w:pStyle w:val="NotesTable-CellPlain"/>
            </w:pPr>
            <w:r>
              <w:t>–</w:t>
            </w:r>
          </w:p>
        </w:tc>
        <w:tc>
          <w:tcPr>
            <w:tcW w:w="405" w:type="pct"/>
            <w:tcBorders>
              <w:bottom w:val="single" w:sz="4" w:space="0" w:color="000000"/>
            </w:tcBorders>
            <w:shd w:val="clear" w:color="auto" w:fill="CCCCCC"/>
          </w:tcPr>
          <w:p w14:paraId="038A2D07" w14:textId="77777777" w:rsidR="008D046D" w:rsidRDefault="008D046D" w:rsidP="001A5D4A">
            <w:pPr>
              <w:pStyle w:val="NotesTable-CellBold"/>
            </w:pPr>
            <w:r>
              <w:t>–</w:t>
            </w:r>
          </w:p>
        </w:tc>
        <w:tc>
          <w:tcPr>
            <w:tcW w:w="404" w:type="pct"/>
            <w:tcBorders>
              <w:bottom w:val="single" w:sz="4" w:space="0" w:color="000000"/>
            </w:tcBorders>
            <w:shd w:val="clear" w:color="auto" w:fill="CCCCCC"/>
          </w:tcPr>
          <w:p w14:paraId="038A2D08" w14:textId="77777777" w:rsidR="008D046D" w:rsidRDefault="008D046D" w:rsidP="001A5D4A">
            <w:pPr>
              <w:pStyle w:val="NotesTable-CellPlain"/>
            </w:pPr>
            <w:r>
              <w:t>–</w:t>
            </w:r>
          </w:p>
        </w:tc>
      </w:tr>
      <w:tr w:rsidR="008D046D" w14:paraId="038A2D11" w14:textId="77777777" w:rsidTr="00561138">
        <w:trPr>
          <w:trHeight w:val="181"/>
        </w:trPr>
        <w:tc>
          <w:tcPr>
            <w:tcW w:w="811" w:type="pct"/>
            <w:gridSpan w:val="2"/>
          </w:tcPr>
          <w:p w14:paraId="038A2D0A" w14:textId="77777777" w:rsidR="008D046D" w:rsidRDefault="008D046D" w:rsidP="001A5D4A">
            <w:pPr>
              <w:pStyle w:val="Note-Refs"/>
            </w:pPr>
          </w:p>
        </w:tc>
        <w:tc>
          <w:tcPr>
            <w:tcW w:w="2297" w:type="pct"/>
            <w:shd w:val="clear" w:color="auto" w:fill="CCCCCC"/>
            <w:vAlign w:val="bottom"/>
          </w:tcPr>
          <w:p w14:paraId="038A2D0B" w14:textId="77777777" w:rsidR="008D046D" w:rsidRDefault="008D046D" w:rsidP="001A5D4A">
            <w:pPr>
              <w:pStyle w:val="NotesTable-ItemPlain"/>
              <w:rPr>
                <w:b/>
              </w:rPr>
            </w:pPr>
            <w:r>
              <w:t>Total finance lease</w:t>
            </w:r>
          </w:p>
        </w:tc>
        <w:tc>
          <w:tcPr>
            <w:tcW w:w="270" w:type="pct"/>
            <w:gridSpan w:val="2"/>
            <w:shd w:val="clear" w:color="auto" w:fill="CCCCCC"/>
            <w:vAlign w:val="bottom"/>
          </w:tcPr>
          <w:p w14:paraId="038A2D0C" w14:textId="77777777" w:rsidR="008D046D" w:rsidRDefault="008D046D" w:rsidP="001A5D4A">
            <w:pPr>
              <w:pStyle w:val="NotesTable-Notes"/>
            </w:pPr>
          </w:p>
        </w:tc>
        <w:tc>
          <w:tcPr>
            <w:tcW w:w="407" w:type="pct"/>
            <w:tcBorders>
              <w:top w:val="single" w:sz="4" w:space="0" w:color="000000"/>
            </w:tcBorders>
            <w:shd w:val="clear" w:color="auto" w:fill="CCCCCC"/>
          </w:tcPr>
          <w:p w14:paraId="038A2D0D" w14:textId="77777777" w:rsidR="008D046D" w:rsidRDefault="008D046D" w:rsidP="001A5D4A">
            <w:pPr>
              <w:pStyle w:val="NotesTable-CellBold"/>
            </w:pPr>
            <w:r>
              <w:t>–</w:t>
            </w:r>
          </w:p>
        </w:tc>
        <w:tc>
          <w:tcPr>
            <w:tcW w:w="406" w:type="pct"/>
            <w:tcBorders>
              <w:top w:val="single" w:sz="4" w:space="0" w:color="000000"/>
            </w:tcBorders>
            <w:shd w:val="clear" w:color="auto" w:fill="CCCCCC"/>
          </w:tcPr>
          <w:p w14:paraId="038A2D0E" w14:textId="77777777" w:rsidR="008D046D" w:rsidRDefault="008D046D" w:rsidP="001A5D4A">
            <w:pPr>
              <w:pStyle w:val="NotesTable-CellPlain"/>
            </w:pPr>
            <w:r>
              <w:t>–</w:t>
            </w:r>
          </w:p>
        </w:tc>
        <w:tc>
          <w:tcPr>
            <w:tcW w:w="405" w:type="pct"/>
            <w:tcBorders>
              <w:top w:val="single" w:sz="4" w:space="0" w:color="000000"/>
            </w:tcBorders>
            <w:shd w:val="clear" w:color="auto" w:fill="CCCCCC"/>
          </w:tcPr>
          <w:p w14:paraId="038A2D0F" w14:textId="77777777" w:rsidR="008D046D" w:rsidRDefault="008D046D" w:rsidP="001A5D4A">
            <w:pPr>
              <w:pStyle w:val="NotesTable-CellBold"/>
            </w:pPr>
            <w:r>
              <w:t>–</w:t>
            </w:r>
          </w:p>
        </w:tc>
        <w:tc>
          <w:tcPr>
            <w:tcW w:w="404" w:type="pct"/>
            <w:tcBorders>
              <w:top w:val="single" w:sz="4" w:space="0" w:color="000000"/>
            </w:tcBorders>
            <w:shd w:val="clear" w:color="auto" w:fill="CCCCCC"/>
          </w:tcPr>
          <w:p w14:paraId="038A2D10" w14:textId="77777777" w:rsidR="008D046D" w:rsidRDefault="008D046D" w:rsidP="001A5D4A">
            <w:pPr>
              <w:pStyle w:val="NotesTable-CellPlain"/>
            </w:pPr>
            <w:r>
              <w:t>–</w:t>
            </w:r>
          </w:p>
        </w:tc>
      </w:tr>
      <w:tr w:rsidR="008D046D" w14:paraId="038A2D19" w14:textId="77777777" w:rsidTr="00561138">
        <w:trPr>
          <w:trHeight w:val="181"/>
        </w:trPr>
        <w:tc>
          <w:tcPr>
            <w:tcW w:w="811" w:type="pct"/>
            <w:gridSpan w:val="2"/>
          </w:tcPr>
          <w:p w14:paraId="038A2D12" w14:textId="77777777" w:rsidR="008D046D" w:rsidRDefault="008D046D" w:rsidP="001A5D4A">
            <w:pPr>
              <w:pStyle w:val="Note-Refs"/>
            </w:pPr>
          </w:p>
        </w:tc>
        <w:tc>
          <w:tcPr>
            <w:tcW w:w="2297" w:type="pct"/>
            <w:shd w:val="clear" w:color="auto" w:fill="CCCCCC"/>
            <w:vAlign w:val="bottom"/>
          </w:tcPr>
          <w:p w14:paraId="038A2D13" w14:textId="77777777" w:rsidR="008D046D" w:rsidRDefault="008D046D" w:rsidP="001A5D4A">
            <w:pPr>
              <w:pStyle w:val="NotesTable-ItemPlain"/>
            </w:pPr>
          </w:p>
        </w:tc>
        <w:tc>
          <w:tcPr>
            <w:tcW w:w="270" w:type="pct"/>
            <w:gridSpan w:val="2"/>
            <w:shd w:val="clear" w:color="auto" w:fill="CCCCCC"/>
            <w:vAlign w:val="bottom"/>
          </w:tcPr>
          <w:p w14:paraId="038A2D14" w14:textId="77777777" w:rsidR="008D046D" w:rsidRDefault="008D046D" w:rsidP="001A5D4A">
            <w:pPr>
              <w:pStyle w:val="NotesTable-Notes"/>
            </w:pPr>
          </w:p>
        </w:tc>
        <w:tc>
          <w:tcPr>
            <w:tcW w:w="407" w:type="pct"/>
            <w:shd w:val="clear" w:color="auto" w:fill="CCCCCC"/>
          </w:tcPr>
          <w:p w14:paraId="038A2D15" w14:textId="77777777" w:rsidR="008D046D" w:rsidRDefault="008D046D" w:rsidP="001A5D4A">
            <w:pPr>
              <w:pStyle w:val="NotesTable-CellBold"/>
            </w:pPr>
          </w:p>
        </w:tc>
        <w:tc>
          <w:tcPr>
            <w:tcW w:w="406" w:type="pct"/>
            <w:shd w:val="clear" w:color="auto" w:fill="CCCCCC"/>
          </w:tcPr>
          <w:p w14:paraId="038A2D16" w14:textId="77777777" w:rsidR="008D046D" w:rsidRDefault="008D046D" w:rsidP="001A5D4A">
            <w:pPr>
              <w:pStyle w:val="NotesTable-CellPlain"/>
            </w:pPr>
          </w:p>
        </w:tc>
        <w:tc>
          <w:tcPr>
            <w:tcW w:w="405" w:type="pct"/>
            <w:shd w:val="clear" w:color="auto" w:fill="CCCCCC"/>
          </w:tcPr>
          <w:p w14:paraId="038A2D17" w14:textId="77777777" w:rsidR="008D046D" w:rsidRDefault="008D046D" w:rsidP="001A5D4A">
            <w:pPr>
              <w:pStyle w:val="NotesTable-CellBold"/>
            </w:pPr>
          </w:p>
        </w:tc>
        <w:tc>
          <w:tcPr>
            <w:tcW w:w="404" w:type="pct"/>
            <w:shd w:val="clear" w:color="auto" w:fill="CCCCCC"/>
          </w:tcPr>
          <w:p w14:paraId="038A2D18" w14:textId="77777777" w:rsidR="008D046D" w:rsidRDefault="008D046D" w:rsidP="001A5D4A">
            <w:pPr>
              <w:pStyle w:val="NotesTable-CellPlain"/>
            </w:pPr>
          </w:p>
        </w:tc>
      </w:tr>
      <w:tr w:rsidR="008D046D" w14:paraId="038A2D1C" w14:textId="77777777" w:rsidTr="00EF62D6">
        <w:trPr>
          <w:trHeight w:val="181"/>
        </w:trPr>
        <w:tc>
          <w:tcPr>
            <w:tcW w:w="811" w:type="pct"/>
            <w:gridSpan w:val="2"/>
            <w:vAlign w:val="bottom"/>
          </w:tcPr>
          <w:p w14:paraId="038A2D1A" w14:textId="77777777" w:rsidR="008D046D" w:rsidRDefault="008D046D" w:rsidP="001A5D4A">
            <w:pPr>
              <w:pStyle w:val="Note-Refs"/>
            </w:pPr>
          </w:p>
        </w:tc>
        <w:tc>
          <w:tcPr>
            <w:tcW w:w="4189" w:type="pct"/>
            <w:gridSpan w:val="7"/>
            <w:shd w:val="clear" w:color="auto" w:fill="CCCCCC"/>
            <w:vAlign w:val="bottom"/>
          </w:tcPr>
          <w:p w14:paraId="038A2D1B" w14:textId="77777777" w:rsidR="008D046D" w:rsidRDefault="008D046D" w:rsidP="001A5D4A">
            <w:pPr>
              <w:pStyle w:val="NotesTable-ItemPlain"/>
              <w:rPr>
                <w:b/>
              </w:rPr>
            </w:pPr>
            <w:r>
              <w:t>Floating charge</w:t>
            </w:r>
          </w:p>
        </w:tc>
      </w:tr>
      <w:tr w:rsidR="008D046D" w14:paraId="038A2D24" w14:textId="77777777" w:rsidTr="00561138">
        <w:trPr>
          <w:trHeight w:val="181"/>
        </w:trPr>
        <w:tc>
          <w:tcPr>
            <w:tcW w:w="811" w:type="pct"/>
            <w:gridSpan w:val="2"/>
            <w:vAlign w:val="bottom"/>
          </w:tcPr>
          <w:p w14:paraId="038A2D1D" w14:textId="77777777" w:rsidR="008D046D" w:rsidRDefault="008D046D" w:rsidP="001A5D4A">
            <w:pPr>
              <w:pStyle w:val="Note-Refs"/>
            </w:pPr>
          </w:p>
        </w:tc>
        <w:tc>
          <w:tcPr>
            <w:tcW w:w="2297" w:type="pct"/>
            <w:shd w:val="clear" w:color="auto" w:fill="CCCCCC"/>
            <w:vAlign w:val="bottom"/>
          </w:tcPr>
          <w:p w14:paraId="038A2D1E" w14:textId="77777777" w:rsidR="008D046D" w:rsidRDefault="008D046D" w:rsidP="001A5D4A">
            <w:pPr>
              <w:pStyle w:val="NotesTable-ItemPlain"/>
              <w:rPr>
                <w:b/>
              </w:rPr>
            </w:pPr>
            <w:r>
              <w:t>Receivables</w:t>
            </w:r>
          </w:p>
        </w:tc>
        <w:tc>
          <w:tcPr>
            <w:tcW w:w="270" w:type="pct"/>
            <w:gridSpan w:val="2"/>
            <w:shd w:val="clear" w:color="auto" w:fill="CCCCCC"/>
            <w:vAlign w:val="bottom"/>
          </w:tcPr>
          <w:p w14:paraId="038A2D1F" w14:textId="41158591" w:rsidR="008D046D" w:rsidRDefault="00575CDB" w:rsidP="001A5D4A">
            <w:pPr>
              <w:pStyle w:val="NotesTable-Notes"/>
            </w:pPr>
            <w:r>
              <w:t>19</w:t>
            </w:r>
          </w:p>
        </w:tc>
        <w:tc>
          <w:tcPr>
            <w:tcW w:w="407" w:type="pct"/>
            <w:shd w:val="clear" w:color="auto" w:fill="CCCCCC"/>
          </w:tcPr>
          <w:p w14:paraId="038A2D20" w14:textId="77777777" w:rsidR="008D046D" w:rsidRDefault="008D046D" w:rsidP="001A5D4A">
            <w:pPr>
              <w:pStyle w:val="NotesTable-CellBold"/>
            </w:pPr>
            <w:r>
              <w:t>–</w:t>
            </w:r>
          </w:p>
        </w:tc>
        <w:tc>
          <w:tcPr>
            <w:tcW w:w="406" w:type="pct"/>
            <w:shd w:val="clear" w:color="auto" w:fill="CCCCCC"/>
          </w:tcPr>
          <w:p w14:paraId="038A2D21" w14:textId="77777777" w:rsidR="008D046D" w:rsidRDefault="008D046D" w:rsidP="001A5D4A">
            <w:pPr>
              <w:pStyle w:val="NotesTable-CellPlain"/>
            </w:pPr>
            <w:r>
              <w:t>–</w:t>
            </w:r>
          </w:p>
        </w:tc>
        <w:tc>
          <w:tcPr>
            <w:tcW w:w="405" w:type="pct"/>
            <w:shd w:val="clear" w:color="auto" w:fill="CCCCCC"/>
          </w:tcPr>
          <w:p w14:paraId="038A2D22" w14:textId="77777777" w:rsidR="008D046D" w:rsidRDefault="008D046D" w:rsidP="001A5D4A">
            <w:pPr>
              <w:pStyle w:val="NotesTable-CellBold"/>
            </w:pPr>
            <w:r>
              <w:t>–</w:t>
            </w:r>
          </w:p>
        </w:tc>
        <w:tc>
          <w:tcPr>
            <w:tcW w:w="404" w:type="pct"/>
            <w:shd w:val="clear" w:color="auto" w:fill="CCCCCC"/>
          </w:tcPr>
          <w:p w14:paraId="038A2D23" w14:textId="77777777" w:rsidR="008D046D" w:rsidRDefault="008D046D" w:rsidP="001A5D4A">
            <w:pPr>
              <w:pStyle w:val="NotesTable-CellPlain"/>
            </w:pPr>
            <w:r>
              <w:t>–</w:t>
            </w:r>
          </w:p>
        </w:tc>
      </w:tr>
      <w:tr w:rsidR="008D046D" w14:paraId="038A2D2C" w14:textId="77777777" w:rsidTr="00561138">
        <w:trPr>
          <w:trHeight w:val="181"/>
        </w:trPr>
        <w:tc>
          <w:tcPr>
            <w:tcW w:w="811" w:type="pct"/>
            <w:gridSpan w:val="2"/>
            <w:vAlign w:val="bottom"/>
          </w:tcPr>
          <w:p w14:paraId="038A2D25" w14:textId="77777777" w:rsidR="008D046D" w:rsidRDefault="008D046D" w:rsidP="001A5D4A">
            <w:pPr>
              <w:pStyle w:val="Note-Refs"/>
            </w:pPr>
          </w:p>
        </w:tc>
        <w:tc>
          <w:tcPr>
            <w:tcW w:w="2297" w:type="pct"/>
            <w:shd w:val="clear" w:color="auto" w:fill="CCCCCC"/>
            <w:vAlign w:val="bottom"/>
          </w:tcPr>
          <w:p w14:paraId="038A2D26" w14:textId="77777777" w:rsidR="008D046D" w:rsidRDefault="008D046D" w:rsidP="001A5D4A">
            <w:pPr>
              <w:pStyle w:val="NotesTable-ItemPlain"/>
              <w:rPr>
                <w:b/>
              </w:rPr>
            </w:pPr>
            <w:r>
              <w:t>Other financial assets</w:t>
            </w:r>
          </w:p>
        </w:tc>
        <w:tc>
          <w:tcPr>
            <w:tcW w:w="270" w:type="pct"/>
            <w:gridSpan w:val="2"/>
            <w:shd w:val="clear" w:color="auto" w:fill="CCCCCC"/>
            <w:vAlign w:val="bottom"/>
          </w:tcPr>
          <w:p w14:paraId="038A2D27" w14:textId="71B1D507" w:rsidR="008D046D" w:rsidRDefault="008D046D" w:rsidP="001A5D4A">
            <w:pPr>
              <w:pStyle w:val="NotesTable-Notes"/>
            </w:pPr>
            <w:r>
              <w:t>2</w:t>
            </w:r>
            <w:r w:rsidR="00575CDB">
              <w:t>1</w:t>
            </w:r>
          </w:p>
        </w:tc>
        <w:tc>
          <w:tcPr>
            <w:tcW w:w="407" w:type="pct"/>
            <w:shd w:val="clear" w:color="auto" w:fill="CCCCCC"/>
          </w:tcPr>
          <w:p w14:paraId="038A2D28" w14:textId="77777777" w:rsidR="008D046D" w:rsidRDefault="008D046D" w:rsidP="001A5D4A">
            <w:pPr>
              <w:pStyle w:val="NotesTable-CellBold"/>
            </w:pPr>
            <w:r>
              <w:t>–</w:t>
            </w:r>
          </w:p>
        </w:tc>
        <w:tc>
          <w:tcPr>
            <w:tcW w:w="406" w:type="pct"/>
            <w:shd w:val="clear" w:color="auto" w:fill="CCCCCC"/>
          </w:tcPr>
          <w:p w14:paraId="038A2D29" w14:textId="77777777" w:rsidR="008D046D" w:rsidRDefault="008D046D" w:rsidP="001A5D4A">
            <w:pPr>
              <w:pStyle w:val="NotesTable-CellPlain"/>
            </w:pPr>
            <w:r>
              <w:t>–</w:t>
            </w:r>
          </w:p>
        </w:tc>
        <w:tc>
          <w:tcPr>
            <w:tcW w:w="405" w:type="pct"/>
            <w:shd w:val="clear" w:color="auto" w:fill="CCCCCC"/>
          </w:tcPr>
          <w:p w14:paraId="038A2D2A" w14:textId="77777777" w:rsidR="008D046D" w:rsidRDefault="008D046D" w:rsidP="001A5D4A">
            <w:pPr>
              <w:pStyle w:val="NotesTable-CellBold"/>
            </w:pPr>
            <w:r>
              <w:t>–</w:t>
            </w:r>
          </w:p>
        </w:tc>
        <w:tc>
          <w:tcPr>
            <w:tcW w:w="404" w:type="pct"/>
            <w:shd w:val="clear" w:color="auto" w:fill="CCCCCC"/>
          </w:tcPr>
          <w:p w14:paraId="038A2D2B" w14:textId="77777777" w:rsidR="008D046D" w:rsidRDefault="008D046D" w:rsidP="001A5D4A">
            <w:pPr>
              <w:pStyle w:val="NotesTable-CellPlain"/>
            </w:pPr>
            <w:r>
              <w:t>–</w:t>
            </w:r>
          </w:p>
        </w:tc>
      </w:tr>
      <w:tr w:rsidR="008D046D" w14:paraId="038A2D34" w14:textId="77777777" w:rsidTr="00561138">
        <w:trPr>
          <w:trHeight w:val="181"/>
        </w:trPr>
        <w:tc>
          <w:tcPr>
            <w:tcW w:w="811" w:type="pct"/>
            <w:gridSpan w:val="2"/>
            <w:vAlign w:val="bottom"/>
          </w:tcPr>
          <w:p w14:paraId="038A2D2D" w14:textId="77777777" w:rsidR="008D046D" w:rsidRDefault="008D046D" w:rsidP="001A5D4A">
            <w:pPr>
              <w:pStyle w:val="Note-Refs"/>
            </w:pPr>
          </w:p>
        </w:tc>
        <w:tc>
          <w:tcPr>
            <w:tcW w:w="2297" w:type="pct"/>
            <w:shd w:val="clear" w:color="auto" w:fill="CCCCCC"/>
            <w:vAlign w:val="bottom"/>
          </w:tcPr>
          <w:p w14:paraId="038A2D2E" w14:textId="77777777" w:rsidR="008D046D" w:rsidRDefault="008D046D" w:rsidP="001A5D4A">
            <w:pPr>
              <w:pStyle w:val="NotesTable-ItemPlain"/>
              <w:rPr>
                <w:b/>
              </w:rPr>
            </w:pPr>
            <w:r>
              <w:t>Plant and equipment</w:t>
            </w:r>
          </w:p>
        </w:tc>
        <w:tc>
          <w:tcPr>
            <w:tcW w:w="270" w:type="pct"/>
            <w:gridSpan w:val="2"/>
            <w:shd w:val="clear" w:color="auto" w:fill="CCCCCC"/>
            <w:vAlign w:val="bottom"/>
          </w:tcPr>
          <w:p w14:paraId="038A2D2F" w14:textId="4E466713" w:rsidR="008D046D" w:rsidRDefault="008D046D" w:rsidP="001A5D4A">
            <w:pPr>
              <w:pStyle w:val="NotesTable-Notes"/>
            </w:pPr>
            <w:r>
              <w:t>2</w:t>
            </w:r>
            <w:r w:rsidR="00575CDB">
              <w:t>6</w:t>
            </w:r>
          </w:p>
        </w:tc>
        <w:tc>
          <w:tcPr>
            <w:tcW w:w="407" w:type="pct"/>
            <w:shd w:val="clear" w:color="auto" w:fill="CCCCCC"/>
          </w:tcPr>
          <w:p w14:paraId="038A2D30" w14:textId="77777777" w:rsidR="008D046D" w:rsidRDefault="008D046D" w:rsidP="001A5D4A">
            <w:pPr>
              <w:pStyle w:val="NotesTable-CellBold"/>
            </w:pPr>
            <w:r>
              <w:t>–</w:t>
            </w:r>
          </w:p>
        </w:tc>
        <w:tc>
          <w:tcPr>
            <w:tcW w:w="406" w:type="pct"/>
            <w:shd w:val="clear" w:color="auto" w:fill="CCCCCC"/>
          </w:tcPr>
          <w:p w14:paraId="038A2D31" w14:textId="77777777" w:rsidR="008D046D" w:rsidRDefault="008D046D" w:rsidP="001A5D4A">
            <w:pPr>
              <w:pStyle w:val="NotesTable-CellPlain"/>
            </w:pPr>
            <w:r>
              <w:t>–</w:t>
            </w:r>
          </w:p>
        </w:tc>
        <w:tc>
          <w:tcPr>
            <w:tcW w:w="405" w:type="pct"/>
            <w:shd w:val="clear" w:color="auto" w:fill="CCCCCC"/>
          </w:tcPr>
          <w:p w14:paraId="038A2D32" w14:textId="77777777" w:rsidR="008D046D" w:rsidRDefault="008D046D" w:rsidP="001A5D4A">
            <w:pPr>
              <w:pStyle w:val="NotesTable-CellBold"/>
            </w:pPr>
            <w:r>
              <w:t>–</w:t>
            </w:r>
          </w:p>
        </w:tc>
        <w:tc>
          <w:tcPr>
            <w:tcW w:w="404" w:type="pct"/>
            <w:shd w:val="clear" w:color="auto" w:fill="CCCCCC"/>
          </w:tcPr>
          <w:p w14:paraId="038A2D33" w14:textId="77777777" w:rsidR="008D046D" w:rsidRDefault="008D046D" w:rsidP="001A5D4A">
            <w:pPr>
              <w:pStyle w:val="NotesTable-CellPlain"/>
            </w:pPr>
            <w:r>
              <w:t>–</w:t>
            </w:r>
          </w:p>
        </w:tc>
      </w:tr>
      <w:tr w:rsidR="008D046D" w14:paraId="038A2D3C" w14:textId="77777777" w:rsidTr="00561138">
        <w:trPr>
          <w:trHeight w:val="181"/>
        </w:trPr>
        <w:tc>
          <w:tcPr>
            <w:tcW w:w="811" w:type="pct"/>
            <w:gridSpan w:val="2"/>
            <w:vAlign w:val="bottom"/>
          </w:tcPr>
          <w:p w14:paraId="038A2D35" w14:textId="77777777" w:rsidR="008D046D" w:rsidRDefault="008D046D" w:rsidP="001A5D4A">
            <w:pPr>
              <w:pStyle w:val="Note-Refs"/>
            </w:pPr>
          </w:p>
        </w:tc>
        <w:tc>
          <w:tcPr>
            <w:tcW w:w="2297" w:type="pct"/>
            <w:shd w:val="clear" w:color="auto" w:fill="CCCCCC"/>
            <w:vAlign w:val="bottom"/>
          </w:tcPr>
          <w:p w14:paraId="038A2D36" w14:textId="77777777" w:rsidR="008D046D" w:rsidRDefault="008D046D" w:rsidP="001A5D4A">
            <w:pPr>
              <w:pStyle w:val="NotesTable-ItemPlain"/>
              <w:rPr>
                <w:b/>
              </w:rPr>
            </w:pPr>
            <w:r>
              <w:t>[Specify]</w:t>
            </w:r>
          </w:p>
        </w:tc>
        <w:tc>
          <w:tcPr>
            <w:tcW w:w="270" w:type="pct"/>
            <w:gridSpan w:val="2"/>
            <w:shd w:val="clear" w:color="auto" w:fill="CCCCCC"/>
            <w:vAlign w:val="bottom"/>
          </w:tcPr>
          <w:p w14:paraId="038A2D37" w14:textId="77777777" w:rsidR="008D046D" w:rsidRDefault="008D046D" w:rsidP="001A5D4A">
            <w:pPr>
              <w:pStyle w:val="NotesTable-Notes"/>
            </w:pPr>
          </w:p>
        </w:tc>
        <w:tc>
          <w:tcPr>
            <w:tcW w:w="407" w:type="pct"/>
            <w:tcBorders>
              <w:bottom w:val="single" w:sz="4" w:space="0" w:color="000000"/>
            </w:tcBorders>
            <w:shd w:val="clear" w:color="auto" w:fill="CCCCCC"/>
          </w:tcPr>
          <w:p w14:paraId="038A2D38" w14:textId="77777777" w:rsidR="008D046D" w:rsidRDefault="008D046D" w:rsidP="001A5D4A">
            <w:pPr>
              <w:pStyle w:val="NotesTable-CellBold"/>
            </w:pPr>
            <w:r>
              <w:t>–</w:t>
            </w:r>
          </w:p>
        </w:tc>
        <w:tc>
          <w:tcPr>
            <w:tcW w:w="406" w:type="pct"/>
            <w:tcBorders>
              <w:bottom w:val="single" w:sz="4" w:space="0" w:color="000000"/>
            </w:tcBorders>
            <w:shd w:val="clear" w:color="auto" w:fill="CCCCCC"/>
          </w:tcPr>
          <w:p w14:paraId="038A2D39" w14:textId="77777777" w:rsidR="008D046D" w:rsidRDefault="008D046D" w:rsidP="001A5D4A">
            <w:pPr>
              <w:pStyle w:val="NotesTable-CellPlain"/>
            </w:pPr>
            <w:r>
              <w:t>–</w:t>
            </w:r>
          </w:p>
        </w:tc>
        <w:tc>
          <w:tcPr>
            <w:tcW w:w="405" w:type="pct"/>
            <w:tcBorders>
              <w:bottom w:val="single" w:sz="4" w:space="0" w:color="000000"/>
            </w:tcBorders>
            <w:shd w:val="clear" w:color="auto" w:fill="CCCCCC"/>
          </w:tcPr>
          <w:p w14:paraId="038A2D3A" w14:textId="77777777" w:rsidR="008D046D" w:rsidRDefault="008D046D" w:rsidP="001A5D4A">
            <w:pPr>
              <w:pStyle w:val="NotesTable-CellBold"/>
            </w:pPr>
            <w:r>
              <w:t>–</w:t>
            </w:r>
          </w:p>
        </w:tc>
        <w:tc>
          <w:tcPr>
            <w:tcW w:w="404" w:type="pct"/>
            <w:tcBorders>
              <w:bottom w:val="single" w:sz="4" w:space="0" w:color="000000"/>
            </w:tcBorders>
            <w:shd w:val="clear" w:color="auto" w:fill="CCCCCC"/>
          </w:tcPr>
          <w:p w14:paraId="038A2D3B" w14:textId="77777777" w:rsidR="008D046D" w:rsidRDefault="008D046D" w:rsidP="001A5D4A">
            <w:pPr>
              <w:pStyle w:val="NotesTable-CellPlain"/>
            </w:pPr>
            <w:r>
              <w:t>–</w:t>
            </w:r>
          </w:p>
        </w:tc>
      </w:tr>
      <w:tr w:rsidR="008D046D" w14:paraId="038A2D44" w14:textId="77777777" w:rsidTr="00561138">
        <w:trPr>
          <w:trHeight w:val="181"/>
        </w:trPr>
        <w:tc>
          <w:tcPr>
            <w:tcW w:w="811" w:type="pct"/>
            <w:gridSpan w:val="2"/>
            <w:vAlign w:val="bottom"/>
          </w:tcPr>
          <w:p w14:paraId="038A2D3D" w14:textId="77777777" w:rsidR="008D046D" w:rsidRDefault="008D046D" w:rsidP="001A5D4A">
            <w:pPr>
              <w:pStyle w:val="Note-Refs"/>
            </w:pPr>
          </w:p>
        </w:tc>
        <w:tc>
          <w:tcPr>
            <w:tcW w:w="2297" w:type="pct"/>
            <w:shd w:val="clear" w:color="auto" w:fill="CCCCCC"/>
            <w:vAlign w:val="bottom"/>
          </w:tcPr>
          <w:p w14:paraId="038A2D3E" w14:textId="77777777" w:rsidR="008D046D" w:rsidRDefault="008D046D" w:rsidP="001A5D4A">
            <w:pPr>
              <w:pStyle w:val="NotesTable-ItemPlain"/>
              <w:rPr>
                <w:b/>
              </w:rPr>
            </w:pPr>
            <w:r>
              <w:t>Total floating charge</w:t>
            </w:r>
          </w:p>
        </w:tc>
        <w:tc>
          <w:tcPr>
            <w:tcW w:w="270" w:type="pct"/>
            <w:gridSpan w:val="2"/>
            <w:shd w:val="clear" w:color="auto" w:fill="CCCCCC"/>
            <w:vAlign w:val="bottom"/>
          </w:tcPr>
          <w:p w14:paraId="038A2D3F" w14:textId="77777777" w:rsidR="008D046D" w:rsidRDefault="008D046D" w:rsidP="001A5D4A">
            <w:pPr>
              <w:pStyle w:val="NotesTable-Notes"/>
              <w:rPr>
                <w:shd w:val="clear" w:color="auto" w:fill="FFFF00"/>
              </w:rPr>
            </w:pPr>
          </w:p>
        </w:tc>
        <w:tc>
          <w:tcPr>
            <w:tcW w:w="407" w:type="pct"/>
            <w:tcBorders>
              <w:top w:val="single" w:sz="4" w:space="0" w:color="000000"/>
            </w:tcBorders>
            <w:shd w:val="clear" w:color="auto" w:fill="CCCCCC"/>
          </w:tcPr>
          <w:p w14:paraId="038A2D40" w14:textId="77777777" w:rsidR="008D046D" w:rsidRDefault="008D046D" w:rsidP="001A5D4A">
            <w:pPr>
              <w:pStyle w:val="NotesTable-CellBold"/>
            </w:pPr>
            <w:r>
              <w:t>–</w:t>
            </w:r>
          </w:p>
        </w:tc>
        <w:tc>
          <w:tcPr>
            <w:tcW w:w="406" w:type="pct"/>
            <w:tcBorders>
              <w:top w:val="single" w:sz="4" w:space="0" w:color="000000"/>
            </w:tcBorders>
            <w:shd w:val="clear" w:color="auto" w:fill="CCCCCC"/>
          </w:tcPr>
          <w:p w14:paraId="038A2D41" w14:textId="77777777" w:rsidR="008D046D" w:rsidRDefault="008D046D" w:rsidP="001A5D4A">
            <w:pPr>
              <w:pStyle w:val="NotesTable-CellPlain"/>
            </w:pPr>
            <w:r>
              <w:t>–</w:t>
            </w:r>
          </w:p>
        </w:tc>
        <w:tc>
          <w:tcPr>
            <w:tcW w:w="405" w:type="pct"/>
            <w:tcBorders>
              <w:top w:val="single" w:sz="4" w:space="0" w:color="000000"/>
            </w:tcBorders>
            <w:shd w:val="clear" w:color="auto" w:fill="CCCCCC"/>
          </w:tcPr>
          <w:p w14:paraId="038A2D42" w14:textId="77777777" w:rsidR="008D046D" w:rsidRDefault="008D046D" w:rsidP="001A5D4A">
            <w:pPr>
              <w:pStyle w:val="NotesTable-CellBold"/>
            </w:pPr>
            <w:r>
              <w:t>–</w:t>
            </w:r>
          </w:p>
        </w:tc>
        <w:tc>
          <w:tcPr>
            <w:tcW w:w="404" w:type="pct"/>
            <w:tcBorders>
              <w:top w:val="single" w:sz="4" w:space="0" w:color="000000"/>
            </w:tcBorders>
            <w:shd w:val="clear" w:color="auto" w:fill="CCCCCC"/>
          </w:tcPr>
          <w:p w14:paraId="038A2D43" w14:textId="77777777" w:rsidR="008D046D" w:rsidRDefault="008D046D" w:rsidP="001A5D4A">
            <w:pPr>
              <w:pStyle w:val="NotesTable-CellPlain"/>
            </w:pPr>
            <w:r>
              <w:t>–</w:t>
            </w:r>
          </w:p>
        </w:tc>
      </w:tr>
      <w:tr w:rsidR="008D046D" w14:paraId="038A2D4C" w14:textId="77777777" w:rsidTr="00561138">
        <w:trPr>
          <w:trHeight w:val="181"/>
        </w:trPr>
        <w:tc>
          <w:tcPr>
            <w:tcW w:w="811" w:type="pct"/>
            <w:gridSpan w:val="2"/>
            <w:vAlign w:val="bottom"/>
          </w:tcPr>
          <w:p w14:paraId="038A2D45" w14:textId="77777777" w:rsidR="008D046D" w:rsidRDefault="008D046D" w:rsidP="001A5D4A">
            <w:pPr>
              <w:pStyle w:val="Note-Refs"/>
            </w:pPr>
          </w:p>
        </w:tc>
        <w:tc>
          <w:tcPr>
            <w:tcW w:w="2297" w:type="pct"/>
            <w:shd w:val="clear" w:color="auto" w:fill="CCCCCC"/>
            <w:vAlign w:val="bottom"/>
          </w:tcPr>
          <w:p w14:paraId="038A2D46" w14:textId="77777777" w:rsidR="008D046D" w:rsidRDefault="008D046D" w:rsidP="001A5D4A">
            <w:pPr>
              <w:pStyle w:val="NotesTable-ItemPlain"/>
            </w:pPr>
          </w:p>
        </w:tc>
        <w:tc>
          <w:tcPr>
            <w:tcW w:w="270" w:type="pct"/>
            <w:gridSpan w:val="2"/>
            <w:shd w:val="clear" w:color="auto" w:fill="CCCCCC"/>
            <w:vAlign w:val="bottom"/>
          </w:tcPr>
          <w:p w14:paraId="038A2D47" w14:textId="77777777" w:rsidR="008D046D" w:rsidRDefault="008D046D" w:rsidP="001A5D4A">
            <w:pPr>
              <w:pStyle w:val="NotesTable-Notes"/>
              <w:rPr>
                <w:shd w:val="clear" w:color="auto" w:fill="FFFF00"/>
              </w:rPr>
            </w:pPr>
          </w:p>
        </w:tc>
        <w:tc>
          <w:tcPr>
            <w:tcW w:w="407" w:type="pct"/>
            <w:shd w:val="clear" w:color="auto" w:fill="CCCCCC"/>
          </w:tcPr>
          <w:p w14:paraId="038A2D48" w14:textId="77777777" w:rsidR="008D046D" w:rsidRDefault="008D046D" w:rsidP="001A5D4A">
            <w:pPr>
              <w:pStyle w:val="NotesTable-CellBold"/>
            </w:pPr>
          </w:p>
        </w:tc>
        <w:tc>
          <w:tcPr>
            <w:tcW w:w="406" w:type="pct"/>
            <w:shd w:val="clear" w:color="auto" w:fill="CCCCCC"/>
          </w:tcPr>
          <w:p w14:paraId="038A2D49" w14:textId="77777777" w:rsidR="008D046D" w:rsidRDefault="008D046D" w:rsidP="001A5D4A">
            <w:pPr>
              <w:pStyle w:val="NotesTable-CellPlain"/>
            </w:pPr>
          </w:p>
        </w:tc>
        <w:tc>
          <w:tcPr>
            <w:tcW w:w="405" w:type="pct"/>
            <w:shd w:val="clear" w:color="auto" w:fill="CCCCCC"/>
          </w:tcPr>
          <w:p w14:paraId="038A2D4A" w14:textId="77777777" w:rsidR="008D046D" w:rsidRDefault="008D046D" w:rsidP="001A5D4A">
            <w:pPr>
              <w:pStyle w:val="NotesTable-CellBold"/>
            </w:pPr>
          </w:p>
        </w:tc>
        <w:tc>
          <w:tcPr>
            <w:tcW w:w="404" w:type="pct"/>
            <w:shd w:val="clear" w:color="auto" w:fill="CCCCCC"/>
          </w:tcPr>
          <w:p w14:paraId="038A2D4B" w14:textId="77777777" w:rsidR="008D046D" w:rsidRDefault="008D046D" w:rsidP="001A5D4A">
            <w:pPr>
              <w:pStyle w:val="NotesTable-CellPlain"/>
            </w:pPr>
          </w:p>
        </w:tc>
      </w:tr>
      <w:tr w:rsidR="008D046D" w14:paraId="038A2D54" w14:textId="77777777" w:rsidTr="00561138">
        <w:trPr>
          <w:trHeight w:val="181"/>
        </w:trPr>
        <w:tc>
          <w:tcPr>
            <w:tcW w:w="811" w:type="pct"/>
            <w:gridSpan w:val="2"/>
            <w:vAlign w:val="bottom"/>
          </w:tcPr>
          <w:p w14:paraId="038A2D4D" w14:textId="77777777" w:rsidR="008D046D" w:rsidRDefault="008D046D" w:rsidP="001A5D4A">
            <w:pPr>
              <w:pStyle w:val="Note-Refs"/>
            </w:pPr>
          </w:p>
        </w:tc>
        <w:tc>
          <w:tcPr>
            <w:tcW w:w="2297" w:type="pct"/>
            <w:shd w:val="clear" w:color="auto" w:fill="CCCCCC"/>
            <w:vAlign w:val="bottom"/>
          </w:tcPr>
          <w:p w14:paraId="038A2D4E" w14:textId="77777777" w:rsidR="008D046D" w:rsidRDefault="008D046D" w:rsidP="001A5D4A">
            <w:pPr>
              <w:pStyle w:val="NotesTable-ItemPlain"/>
              <w:rPr>
                <w:b/>
              </w:rPr>
            </w:pPr>
            <w:r>
              <w:t>Total non-current assets pledged as security</w:t>
            </w:r>
          </w:p>
        </w:tc>
        <w:tc>
          <w:tcPr>
            <w:tcW w:w="270" w:type="pct"/>
            <w:gridSpan w:val="2"/>
            <w:shd w:val="clear" w:color="auto" w:fill="CCCCCC"/>
            <w:vAlign w:val="bottom"/>
          </w:tcPr>
          <w:p w14:paraId="038A2D4F" w14:textId="77777777" w:rsidR="008D046D" w:rsidRDefault="008D046D" w:rsidP="001A5D4A">
            <w:pPr>
              <w:pStyle w:val="NotesTable-Notes"/>
              <w:rPr>
                <w:shd w:val="clear" w:color="auto" w:fill="FFFF00"/>
              </w:rPr>
            </w:pPr>
          </w:p>
        </w:tc>
        <w:tc>
          <w:tcPr>
            <w:tcW w:w="407" w:type="pct"/>
            <w:tcBorders>
              <w:bottom w:val="single" w:sz="4" w:space="0" w:color="000000"/>
            </w:tcBorders>
            <w:shd w:val="clear" w:color="auto" w:fill="CCCCCC"/>
          </w:tcPr>
          <w:p w14:paraId="038A2D50" w14:textId="77777777" w:rsidR="008D046D" w:rsidRDefault="008D046D" w:rsidP="001A5D4A">
            <w:pPr>
              <w:pStyle w:val="NotesTable-CellBold"/>
            </w:pPr>
            <w:r w:rsidRPr="005E01E3">
              <w:t>–</w:t>
            </w:r>
          </w:p>
        </w:tc>
        <w:tc>
          <w:tcPr>
            <w:tcW w:w="406" w:type="pct"/>
            <w:tcBorders>
              <w:bottom w:val="single" w:sz="4" w:space="0" w:color="000000"/>
            </w:tcBorders>
            <w:shd w:val="clear" w:color="auto" w:fill="CCCCCC"/>
          </w:tcPr>
          <w:p w14:paraId="038A2D51" w14:textId="77777777" w:rsidR="008D046D" w:rsidRDefault="008D046D" w:rsidP="001A5D4A">
            <w:pPr>
              <w:pStyle w:val="NotesTable-CellPlain"/>
            </w:pPr>
            <w:r w:rsidRPr="005E01E3">
              <w:t>–</w:t>
            </w:r>
          </w:p>
        </w:tc>
        <w:tc>
          <w:tcPr>
            <w:tcW w:w="405" w:type="pct"/>
            <w:tcBorders>
              <w:bottom w:val="single" w:sz="4" w:space="0" w:color="000000"/>
            </w:tcBorders>
            <w:shd w:val="clear" w:color="auto" w:fill="CCCCCC"/>
          </w:tcPr>
          <w:p w14:paraId="038A2D52" w14:textId="77777777" w:rsidR="008D046D" w:rsidRDefault="008D046D" w:rsidP="001A5D4A">
            <w:pPr>
              <w:pStyle w:val="NotesTable-CellBold"/>
            </w:pPr>
            <w:r w:rsidRPr="005E01E3">
              <w:t>–</w:t>
            </w:r>
          </w:p>
        </w:tc>
        <w:tc>
          <w:tcPr>
            <w:tcW w:w="404" w:type="pct"/>
            <w:tcBorders>
              <w:bottom w:val="single" w:sz="4" w:space="0" w:color="000000"/>
            </w:tcBorders>
            <w:shd w:val="clear" w:color="auto" w:fill="CCCCCC"/>
          </w:tcPr>
          <w:p w14:paraId="038A2D53" w14:textId="77777777" w:rsidR="008D046D" w:rsidRDefault="008D046D" w:rsidP="001A5D4A">
            <w:pPr>
              <w:pStyle w:val="NotesTable-CellPlain"/>
            </w:pPr>
            <w:r w:rsidRPr="005E01E3">
              <w:t>–</w:t>
            </w:r>
          </w:p>
        </w:tc>
      </w:tr>
      <w:tr w:rsidR="008D046D" w14:paraId="038A2D5C" w14:textId="77777777" w:rsidTr="00561138">
        <w:trPr>
          <w:trHeight w:val="181"/>
        </w:trPr>
        <w:tc>
          <w:tcPr>
            <w:tcW w:w="811" w:type="pct"/>
            <w:gridSpan w:val="2"/>
            <w:vAlign w:val="bottom"/>
          </w:tcPr>
          <w:p w14:paraId="038A2D55" w14:textId="77777777" w:rsidR="008D046D" w:rsidRDefault="008D046D" w:rsidP="001A5D4A">
            <w:pPr>
              <w:pStyle w:val="Note-Refs"/>
            </w:pPr>
          </w:p>
        </w:tc>
        <w:tc>
          <w:tcPr>
            <w:tcW w:w="2297" w:type="pct"/>
            <w:shd w:val="clear" w:color="auto" w:fill="CCCCCC"/>
            <w:vAlign w:val="bottom"/>
          </w:tcPr>
          <w:p w14:paraId="038A2D56" w14:textId="77777777" w:rsidR="008D046D" w:rsidRDefault="008D046D" w:rsidP="001A5D4A">
            <w:pPr>
              <w:pStyle w:val="NotesTable-ItemPlain"/>
              <w:rPr>
                <w:b/>
              </w:rPr>
            </w:pPr>
            <w:r>
              <w:t>Total assets pledged as security</w:t>
            </w:r>
          </w:p>
        </w:tc>
        <w:tc>
          <w:tcPr>
            <w:tcW w:w="270" w:type="pct"/>
            <w:gridSpan w:val="2"/>
            <w:shd w:val="clear" w:color="auto" w:fill="CCCCCC"/>
            <w:vAlign w:val="bottom"/>
          </w:tcPr>
          <w:p w14:paraId="038A2D57" w14:textId="77777777" w:rsidR="008D046D" w:rsidRDefault="008D046D" w:rsidP="001A5D4A">
            <w:pPr>
              <w:pStyle w:val="NotesTable-Notes"/>
              <w:rPr>
                <w:shd w:val="clear" w:color="auto" w:fill="FFFF00"/>
              </w:rPr>
            </w:pPr>
          </w:p>
        </w:tc>
        <w:tc>
          <w:tcPr>
            <w:tcW w:w="407" w:type="pct"/>
            <w:tcBorders>
              <w:top w:val="single" w:sz="4" w:space="0" w:color="000000"/>
            </w:tcBorders>
            <w:shd w:val="clear" w:color="auto" w:fill="CCCCCC"/>
          </w:tcPr>
          <w:p w14:paraId="038A2D58" w14:textId="77777777" w:rsidR="008D046D" w:rsidRDefault="008D046D" w:rsidP="001A5D4A">
            <w:pPr>
              <w:pStyle w:val="NotesTable-CellBold"/>
            </w:pPr>
            <w:r w:rsidRPr="00442120">
              <w:t>–</w:t>
            </w:r>
          </w:p>
        </w:tc>
        <w:tc>
          <w:tcPr>
            <w:tcW w:w="406" w:type="pct"/>
            <w:tcBorders>
              <w:top w:val="single" w:sz="4" w:space="0" w:color="000000"/>
            </w:tcBorders>
            <w:shd w:val="clear" w:color="auto" w:fill="CCCCCC"/>
          </w:tcPr>
          <w:p w14:paraId="038A2D59" w14:textId="77777777" w:rsidR="008D046D" w:rsidRDefault="008D046D" w:rsidP="001A5D4A">
            <w:pPr>
              <w:pStyle w:val="NotesTable-CellPlain"/>
            </w:pPr>
            <w:r w:rsidRPr="00442120">
              <w:t>–</w:t>
            </w:r>
          </w:p>
        </w:tc>
        <w:tc>
          <w:tcPr>
            <w:tcW w:w="405" w:type="pct"/>
            <w:tcBorders>
              <w:top w:val="single" w:sz="4" w:space="0" w:color="000000"/>
            </w:tcBorders>
            <w:shd w:val="clear" w:color="auto" w:fill="CCCCCC"/>
          </w:tcPr>
          <w:p w14:paraId="038A2D5A" w14:textId="77777777" w:rsidR="008D046D" w:rsidRDefault="008D046D" w:rsidP="001A5D4A">
            <w:pPr>
              <w:pStyle w:val="NotesTable-CellBold"/>
            </w:pPr>
            <w:r w:rsidRPr="00442120">
              <w:t>–</w:t>
            </w:r>
          </w:p>
        </w:tc>
        <w:tc>
          <w:tcPr>
            <w:tcW w:w="404" w:type="pct"/>
            <w:tcBorders>
              <w:top w:val="single" w:sz="4" w:space="0" w:color="000000"/>
            </w:tcBorders>
            <w:shd w:val="clear" w:color="auto" w:fill="CCCCCC"/>
          </w:tcPr>
          <w:p w14:paraId="038A2D5B" w14:textId="77777777" w:rsidR="008D046D" w:rsidRDefault="008D046D" w:rsidP="001A5D4A">
            <w:pPr>
              <w:pStyle w:val="NotesTable-CellPlain"/>
            </w:pPr>
            <w:r w:rsidRPr="00442120">
              <w:t>–</w:t>
            </w:r>
          </w:p>
        </w:tc>
      </w:tr>
      <w:tr w:rsidR="002E740E" w14:paraId="740CA338" w14:textId="77777777" w:rsidTr="00EF62D6">
        <w:trPr>
          <w:trHeight w:val="181"/>
        </w:trPr>
        <w:tc>
          <w:tcPr>
            <w:tcW w:w="803" w:type="pct"/>
          </w:tcPr>
          <w:p w14:paraId="216DE6E5" w14:textId="4C90E4E8" w:rsidR="002E740E" w:rsidRDefault="002E740E" w:rsidP="00EF62D6">
            <w:pPr>
              <w:pStyle w:val="Note-Refs"/>
            </w:pPr>
          </w:p>
        </w:tc>
        <w:tc>
          <w:tcPr>
            <w:tcW w:w="4197" w:type="pct"/>
            <w:gridSpan w:val="8"/>
          </w:tcPr>
          <w:p w14:paraId="103FA0E8" w14:textId="77777777" w:rsidR="002E740E" w:rsidRPr="00D21CB5" w:rsidRDefault="002E740E" w:rsidP="00EF62D6">
            <w:pPr>
              <w:pStyle w:val="Note-Refs"/>
            </w:pPr>
          </w:p>
        </w:tc>
      </w:tr>
      <w:tr w:rsidR="00023312" w14:paraId="038A2D64" w14:textId="77777777" w:rsidTr="00EF62D6">
        <w:trPr>
          <w:trHeight w:val="181"/>
        </w:trPr>
        <w:tc>
          <w:tcPr>
            <w:tcW w:w="803" w:type="pct"/>
          </w:tcPr>
          <w:p w14:paraId="038A2D62" w14:textId="6DAA83BA" w:rsidR="00023312" w:rsidRDefault="00EF62D6" w:rsidP="001A5D4A">
            <w:pPr>
              <w:pStyle w:val="Note-Refs"/>
            </w:pPr>
            <w:r>
              <w:t>Mandatory</w:t>
            </w:r>
          </w:p>
        </w:tc>
        <w:tc>
          <w:tcPr>
            <w:tcW w:w="4197" w:type="pct"/>
            <w:gridSpan w:val="8"/>
            <w:vAlign w:val="bottom"/>
          </w:tcPr>
          <w:p w14:paraId="038A2D63" w14:textId="5B7277C0" w:rsidR="00023312" w:rsidRDefault="00023312" w:rsidP="001A5D4A">
            <w:pPr>
              <w:pStyle w:val="Note-TextHeader"/>
              <w:rPr>
                <w:b w:val="0"/>
                <w:lang w:val="en-GB"/>
              </w:rPr>
            </w:pPr>
            <w:r>
              <w:t>b)</w:t>
            </w:r>
            <w:r w:rsidR="00915B74">
              <w:t xml:space="preserve"> </w:t>
            </w:r>
            <w:r w:rsidR="00915B74">
              <w:tab/>
            </w:r>
            <w:r>
              <w:t>Financing arrangements</w:t>
            </w:r>
          </w:p>
        </w:tc>
      </w:tr>
      <w:tr w:rsidR="00023312" w14:paraId="038A2D67" w14:textId="77777777" w:rsidTr="00EF62D6">
        <w:trPr>
          <w:trHeight w:val="181"/>
        </w:trPr>
        <w:tc>
          <w:tcPr>
            <w:tcW w:w="803" w:type="pct"/>
          </w:tcPr>
          <w:p w14:paraId="038A2D65" w14:textId="77777777" w:rsidR="00023312" w:rsidRDefault="00023312" w:rsidP="001A5D4A">
            <w:pPr>
              <w:pStyle w:val="Note-Refs"/>
            </w:pPr>
          </w:p>
        </w:tc>
        <w:tc>
          <w:tcPr>
            <w:tcW w:w="4197" w:type="pct"/>
            <w:gridSpan w:val="8"/>
            <w:vAlign w:val="bottom"/>
          </w:tcPr>
          <w:p w14:paraId="038A2D66" w14:textId="5E0CB3C6" w:rsidR="00023312" w:rsidRDefault="00023312" w:rsidP="001A5D4A">
            <w:pPr>
              <w:pStyle w:val="NotesTable-ItemPlain"/>
              <w:rPr>
                <w:b/>
              </w:rPr>
            </w:pPr>
            <w:r>
              <w:t>Unrestricted access was available at balance date to the following lines of credit:</w:t>
            </w:r>
          </w:p>
        </w:tc>
      </w:tr>
      <w:tr w:rsidR="00C83428" w14:paraId="038A2D6C" w14:textId="77777777" w:rsidTr="00561138">
        <w:trPr>
          <w:trHeight w:val="181"/>
        </w:trPr>
        <w:tc>
          <w:tcPr>
            <w:tcW w:w="803" w:type="pct"/>
          </w:tcPr>
          <w:p w14:paraId="038A2D68" w14:textId="77777777" w:rsidR="00C83428" w:rsidRDefault="00C83428" w:rsidP="001A5D4A">
            <w:pPr>
              <w:pStyle w:val="Note-Refs"/>
            </w:pPr>
          </w:p>
        </w:tc>
        <w:tc>
          <w:tcPr>
            <w:tcW w:w="2570" w:type="pct"/>
            <w:gridSpan w:val="3"/>
            <w:vAlign w:val="bottom"/>
          </w:tcPr>
          <w:p w14:paraId="038A2D69" w14:textId="77777777" w:rsidR="00C83428" w:rsidRDefault="00C83428" w:rsidP="001A5D4A">
            <w:pPr>
              <w:pStyle w:val="NotesTable-ItemPlain"/>
            </w:pPr>
          </w:p>
        </w:tc>
        <w:tc>
          <w:tcPr>
            <w:tcW w:w="818" w:type="pct"/>
            <w:gridSpan w:val="3"/>
          </w:tcPr>
          <w:p w14:paraId="038A2D6A" w14:textId="77777777" w:rsidR="00C83428" w:rsidRDefault="00C83428" w:rsidP="001A5D4A">
            <w:pPr>
              <w:pStyle w:val="NotesTable-HeadPlain"/>
            </w:pPr>
            <w:r>
              <w:t>Consolidated</w:t>
            </w:r>
          </w:p>
        </w:tc>
        <w:tc>
          <w:tcPr>
            <w:tcW w:w="809" w:type="pct"/>
            <w:gridSpan w:val="2"/>
          </w:tcPr>
          <w:p w14:paraId="038A2D6B" w14:textId="2859A2E0" w:rsidR="00C83428" w:rsidRDefault="00C83428" w:rsidP="001A5D4A">
            <w:pPr>
              <w:pStyle w:val="NotesTable-HeadPlain"/>
            </w:pPr>
            <w:r>
              <w:t>Parent entity</w:t>
            </w:r>
          </w:p>
        </w:tc>
      </w:tr>
      <w:tr w:rsidR="00C83428" w14:paraId="038A2D73" w14:textId="77777777" w:rsidTr="00561138">
        <w:trPr>
          <w:trHeight w:val="181"/>
        </w:trPr>
        <w:tc>
          <w:tcPr>
            <w:tcW w:w="803" w:type="pct"/>
          </w:tcPr>
          <w:p w14:paraId="038A2D6D" w14:textId="77777777" w:rsidR="00C83428" w:rsidRDefault="00C83428" w:rsidP="001A5D4A">
            <w:pPr>
              <w:pStyle w:val="Note-Refs"/>
            </w:pPr>
          </w:p>
        </w:tc>
        <w:tc>
          <w:tcPr>
            <w:tcW w:w="2570" w:type="pct"/>
            <w:gridSpan w:val="3"/>
            <w:vAlign w:val="bottom"/>
          </w:tcPr>
          <w:p w14:paraId="038A2D6E" w14:textId="77777777" w:rsidR="00C83428" w:rsidRDefault="00C83428" w:rsidP="001A5D4A">
            <w:pPr>
              <w:pStyle w:val="NotesTable-ItemPlain"/>
            </w:pPr>
          </w:p>
        </w:tc>
        <w:tc>
          <w:tcPr>
            <w:tcW w:w="412" w:type="pct"/>
            <w:gridSpan w:val="2"/>
          </w:tcPr>
          <w:p w14:paraId="038A2D6F" w14:textId="2945A65C" w:rsidR="00C83428" w:rsidRDefault="006864EC" w:rsidP="001A5D4A">
            <w:pPr>
              <w:pStyle w:val="NotesTable-HeadBold"/>
            </w:pPr>
            <w:r>
              <w:t>2014</w:t>
            </w:r>
          </w:p>
        </w:tc>
        <w:tc>
          <w:tcPr>
            <w:tcW w:w="406" w:type="pct"/>
          </w:tcPr>
          <w:p w14:paraId="038A2D70" w14:textId="700BD4A3" w:rsidR="00C83428" w:rsidRDefault="006864EC" w:rsidP="001A5D4A">
            <w:pPr>
              <w:pStyle w:val="NotesTable-HeadPlain"/>
            </w:pPr>
            <w:r>
              <w:t>2013</w:t>
            </w:r>
          </w:p>
        </w:tc>
        <w:tc>
          <w:tcPr>
            <w:tcW w:w="405" w:type="pct"/>
          </w:tcPr>
          <w:p w14:paraId="038A2D71" w14:textId="10E95A6B" w:rsidR="00C83428" w:rsidRDefault="006864EC" w:rsidP="001A5D4A">
            <w:pPr>
              <w:pStyle w:val="NotesTable-HeadBold"/>
              <w:rPr>
                <w:szCs w:val="18"/>
              </w:rPr>
            </w:pPr>
            <w:r>
              <w:t>2014</w:t>
            </w:r>
          </w:p>
        </w:tc>
        <w:tc>
          <w:tcPr>
            <w:tcW w:w="404" w:type="pct"/>
          </w:tcPr>
          <w:p w14:paraId="038A2D72" w14:textId="14308A4C" w:rsidR="00C83428" w:rsidRDefault="006864EC" w:rsidP="001A5D4A">
            <w:pPr>
              <w:pStyle w:val="NotesTable-HeadPlain"/>
            </w:pPr>
            <w:r>
              <w:t>2013</w:t>
            </w:r>
          </w:p>
        </w:tc>
      </w:tr>
      <w:tr w:rsidR="00C83428" w14:paraId="038A2D7A" w14:textId="77777777" w:rsidTr="00561138">
        <w:trPr>
          <w:trHeight w:val="181"/>
        </w:trPr>
        <w:tc>
          <w:tcPr>
            <w:tcW w:w="803" w:type="pct"/>
          </w:tcPr>
          <w:p w14:paraId="038A2D74" w14:textId="77777777" w:rsidR="00C83428" w:rsidRDefault="00C83428" w:rsidP="001A5D4A">
            <w:pPr>
              <w:pStyle w:val="Note-Refs"/>
            </w:pPr>
          </w:p>
        </w:tc>
        <w:tc>
          <w:tcPr>
            <w:tcW w:w="2570" w:type="pct"/>
            <w:gridSpan w:val="3"/>
            <w:vAlign w:val="bottom"/>
          </w:tcPr>
          <w:p w14:paraId="038A2D75" w14:textId="77777777" w:rsidR="00C83428" w:rsidRDefault="00C83428" w:rsidP="001A5D4A">
            <w:pPr>
              <w:pStyle w:val="NotesTable-ItemPlain"/>
            </w:pPr>
          </w:p>
        </w:tc>
        <w:tc>
          <w:tcPr>
            <w:tcW w:w="412" w:type="pct"/>
            <w:gridSpan w:val="2"/>
          </w:tcPr>
          <w:p w14:paraId="038A2D76" w14:textId="77777777" w:rsidR="00C83428" w:rsidRDefault="00C83428" w:rsidP="001A5D4A">
            <w:pPr>
              <w:pStyle w:val="NotesTable-HeadBold"/>
            </w:pPr>
            <w:r>
              <w:t>$’000</w:t>
            </w:r>
          </w:p>
        </w:tc>
        <w:tc>
          <w:tcPr>
            <w:tcW w:w="406" w:type="pct"/>
          </w:tcPr>
          <w:p w14:paraId="038A2D77" w14:textId="77777777" w:rsidR="00C83428" w:rsidRDefault="00C83428" w:rsidP="001A5D4A">
            <w:pPr>
              <w:pStyle w:val="NotesTable-HeadPlain"/>
            </w:pPr>
            <w:r>
              <w:t>$’000</w:t>
            </w:r>
          </w:p>
        </w:tc>
        <w:tc>
          <w:tcPr>
            <w:tcW w:w="405" w:type="pct"/>
          </w:tcPr>
          <w:p w14:paraId="038A2D78" w14:textId="77777777" w:rsidR="00C83428" w:rsidRDefault="00C83428" w:rsidP="001A5D4A">
            <w:pPr>
              <w:pStyle w:val="NotesTable-HeadBold"/>
              <w:rPr>
                <w:szCs w:val="18"/>
              </w:rPr>
            </w:pPr>
            <w:r>
              <w:t>$’000</w:t>
            </w:r>
          </w:p>
        </w:tc>
        <w:tc>
          <w:tcPr>
            <w:tcW w:w="404" w:type="pct"/>
          </w:tcPr>
          <w:p w14:paraId="038A2D79" w14:textId="5234450C" w:rsidR="00C83428" w:rsidRDefault="00C83428" w:rsidP="001A5D4A">
            <w:pPr>
              <w:pStyle w:val="NotesTable-HeadPlain"/>
            </w:pPr>
            <w:r>
              <w:t>$’000</w:t>
            </w:r>
          </w:p>
        </w:tc>
      </w:tr>
      <w:tr w:rsidR="00C83428" w14:paraId="038A2D81" w14:textId="77777777" w:rsidTr="00561138">
        <w:trPr>
          <w:trHeight w:val="181"/>
        </w:trPr>
        <w:tc>
          <w:tcPr>
            <w:tcW w:w="803" w:type="pct"/>
          </w:tcPr>
          <w:p w14:paraId="038A2D7B" w14:textId="77777777" w:rsidR="00C83428" w:rsidRDefault="00C83428" w:rsidP="001A5D4A">
            <w:pPr>
              <w:pStyle w:val="Note-Refs"/>
            </w:pPr>
            <w:r>
              <w:tab/>
            </w:r>
          </w:p>
        </w:tc>
        <w:tc>
          <w:tcPr>
            <w:tcW w:w="2570" w:type="pct"/>
            <w:gridSpan w:val="3"/>
            <w:vAlign w:val="bottom"/>
          </w:tcPr>
          <w:p w14:paraId="038A2D7C" w14:textId="7E209772" w:rsidR="00C83428" w:rsidRDefault="00C83428" w:rsidP="001A5D4A">
            <w:pPr>
              <w:pStyle w:val="NotesTable-ItemPlain"/>
              <w:rPr>
                <w:b/>
              </w:rPr>
            </w:pPr>
            <w:r>
              <w:t>Credit standby arrangements</w:t>
            </w:r>
          </w:p>
        </w:tc>
        <w:tc>
          <w:tcPr>
            <w:tcW w:w="412" w:type="pct"/>
            <w:gridSpan w:val="2"/>
            <w:vAlign w:val="bottom"/>
          </w:tcPr>
          <w:p w14:paraId="038A2D7D" w14:textId="77777777" w:rsidR="00C83428" w:rsidRDefault="00C83428" w:rsidP="001A5D4A">
            <w:pPr>
              <w:pStyle w:val="NotesTable-CellBold"/>
            </w:pPr>
          </w:p>
        </w:tc>
        <w:tc>
          <w:tcPr>
            <w:tcW w:w="406" w:type="pct"/>
            <w:vAlign w:val="bottom"/>
          </w:tcPr>
          <w:p w14:paraId="038A2D7E" w14:textId="77777777" w:rsidR="00C83428" w:rsidRDefault="00C83428" w:rsidP="001A5D4A">
            <w:pPr>
              <w:pStyle w:val="NotesTable-CellPlain"/>
            </w:pPr>
          </w:p>
        </w:tc>
        <w:tc>
          <w:tcPr>
            <w:tcW w:w="405" w:type="pct"/>
            <w:vAlign w:val="bottom"/>
          </w:tcPr>
          <w:p w14:paraId="038A2D7F" w14:textId="77777777" w:rsidR="00C83428" w:rsidRDefault="00C83428" w:rsidP="001A5D4A">
            <w:pPr>
              <w:pStyle w:val="NotesTable-CellBold"/>
            </w:pPr>
          </w:p>
        </w:tc>
        <w:tc>
          <w:tcPr>
            <w:tcW w:w="404" w:type="pct"/>
            <w:vAlign w:val="bottom"/>
          </w:tcPr>
          <w:p w14:paraId="038A2D80" w14:textId="77777777" w:rsidR="00C83428" w:rsidRDefault="00C83428" w:rsidP="001A5D4A">
            <w:pPr>
              <w:pStyle w:val="NotesTable-CellPlain"/>
            </w:pPr>
          </w:p>
        </w:tc>
      </w:tr>
      <w:tr w:rsidR="00C83428" w14:paraId="038A2D88" w14:textId="77777777" w:rsidTr="00561138">
        <w:trPr>
          <w:trHeight w:val="181"/>
        </w:trPr>
        <w:tc>
          <w:tcPr>
            <w:tcW w:w="803" w:type="pct"/>
          </w:tcPr>
          <w:p w14:paraId="038A2D82" w14:textId="77777777" w:rsidR="00C83428" w:rsidRDefault="00C83428" w:rsidP="001A5D4A">
            <w:pPr>
              <w:pStyle w:val="Note-Refs"/>
            </w:pPr>
          </w:p>
        </w:tc>
        <w:tc>
          <w:tcPr>
            <w:tcW w:w="2570" w:type="pct"/>
            <w:gridSpan w:val="3"/>
            <w:vAlign w:val="bottom"/>
          </w:tcPr>
          <w:p w14:paraId="038A2D83" w14:textId="2C13B137" w:rsidR="00C83428" w:rsidRDefault="00C83428" w:rsidP="001A5D4A">
            <w:pPr>
              <w:pStyle w:val="NotesTable-ItemPlain"/>
              <w:rPr>
                <w:b/>
              </w:rPr>
            </w:pPr>
            <w:r>
              <w:t>Total facilities</w:t>
            </w:r>
          </w:p>
        </w:tc>
        <w:tc>
          <w:tcPr>
            <w:tcW w:w="412" w:type="pct"/>
            <w:gridSpan w:val="2"/>
            <w:vAlign w:val="bottom"/>
          </w:tcPr>
          <w:p w14:paraId="038A2D84" w14:textId="77777777" w:rsidR="00C83428" w:rsidRDefault="00C83428" w:rsidP="001A5D4A">
            <w:pPr>
              <w:pStyle w:val="NotesTable-CellBold"/>
            </w:pPr>
          </w:p>
        </w:tc>
        <w:tc>
          <w:tcPr>
            <w:tcW w:w="406" w:type="pct"/>
            <w:vAlign w:val="bottom"/>
          </w:tcPr>
          <w:p w14:paraId="038A2D85" w14:textId="77777777" w:rsidR="00C83428" w:rsidRDefault="00C83428" w:rsidP="001A5D4A">
            <w:pPr>
              <w:pStyle w:val="NotesTable-CellPlain"/>
            </w:pPr>
          </w:p>
        </w:tc>
        <w:tc>
          <w:tcPr>
            <w:tcW w:w="405" w:type="pct"/>
            <w:vAlign w:val="bottom"/>
          </w:tcPr>
          <w:p w14:paraId="038A2D86" w14:textId="77777777" w:rsidR="00C83428" w:rsidRDefault="00C83428" w:rsidP="001A5D4A">
            <w:pPr>
              <w:pStyle w:val="NotesTable-CellBold"/>
            </w:pPr>
          </w:p>
        </w:tc>
        <w:tc>
          <w:tcPr>
            <w:tcW w:w="404" w:type="pct"/>
            <w:vAlign w:val="bottom"/>
          </w:tcPr>
          <w:p w14:paraId="038A2D87" w14:textId="77777777" w:rsidR="00C83428" w:rsidRDefault="00C83428" w:rsidP="001A5D4A">
            <w:pPr>
              <w:pStyle w:val="NotesTable-CellPlain"/>
            </w:pPr>
          </w:p>
        </w:tc>
      </w:tr>
      <w:tr w:rsidR="00C83428" w14:paraId="038A2D8F" w14:textId="77777777" w:rsidTr="00561138">
        <w:trPr>
          <w:trHeight w:val="181"/>
        </w:trPr>
        <w:tc>
          <w:tcPr>
            <w:tcW w:w="803" w:type="pct"/>
          </w:tcPr>
          <w:p w14:paraId="038A2D89" w14:textId="77777777" w:rsidR="00C83428" w:rsidRDefault="00C83428" w:rsidP="001A5D4A">
            <w:pPr>
              <w:pStyle w:val="Note-Refs"/>
            </w:pPr>
          </w:p>
        </w:tc>
        <w:tc>
          <w:tcPr>
            <w:tcW w:w="2570" w:type="pct"/>
            <w:gridSpan w:val="3"/>
            <w:vAlign w:val="bottom"/>
          </w:tcPr>
          <w:p w14:paraId="038A2D8A" w14:textId="77777777" w:rsidR="00C83428" w:rsidRDefault="00C83428" w:rsidP="001A5D4A">
            <w:pPr>
              <w:pStyle w:val="NotesTable-ItemPlain"/>
              <w:rPr>
                <w:b/>
              </w:rPr>
            </w:pPr>
            <w:r>
              <w:t>[Specify]</w:t>
            </w:r>
          </w:p>
        </w:tc>
        <w:tc>
          <w:tcPr>
            <w:tcW w:w="412" w:type="pct"/>
            <w:gridSpan w:val="2"/>
            <w:tcBorders>
              <w:bottom w:val="single" w:sz="4" w:space="0" w:color="000000"/>
            </w:tcBorders>
          </w:tcPr>
          <w:p w14:paraId="038A2D8B" w14:textId="77777777" w:rsidR="00C83428" w:rsidRDefault="00C83428" w:rsidP="001A5D4A">
            <w:pPr>
              <w:pStyle w:val="NotesTable-CellBold"/>
            </w:pPr>
            <w:r>
              <w:t>–</w:t>
            </w:r>
          </w:p>
        </w:tc>
        <w:tc>
          <w:tcPr>
            <w:tcW w:w="406" w:type="pct"/>
            <w:tcBorders>
              <w:bottom w:val="single" w:sz="4" w:space="0" w:color="000000"/>
            </w:tcBorders>
          </w:tcPr>
          <w:p w14:paraId="038A2D8C" w14:textId="77777777" w:rsidR="00C83428" w:rsidRDefault="00C83428" w:rsidP="001A5D4A">
            <w:pPr>
              <w:pStyle w:val="NotesTable-CellPlain"/>
            </w:pPr>
            <w:r>
              <w:t>–</w:t>
            </w:r>
          </w:p>
        </w:tc>
        <w:tc>
          <w:tcPr>
            <w:tcW w:w="405" w:type="pct"/>
            <w:tcBorders>
              <w:bottom w:val="single" w:sz="4" w:space="0" w:color="000000"/>
            </w:tcBorders>
          </w:tcPr>
          <w:p w14:paraId="038A2D8D" w14:textId="77777777" w:rsidR="00C83428" w:rsidRDefault="00C83428" w:rsidP="001A5D4A">
            <w:pPr>
              <w:pStyle w:val="NotesTable-CellBold"/>
            </w:pPr>
            <w:r>
              <w:t>–</w:t>
            </w:r>
          </w:p>
        </w:tc>
        <w:tc>
          <w:tcPr>
            <w:tcW w:w="404" w:type="pct"/>
            <w:tcBorders>
              <w:bottom w:val="single" w:sz="4" w:space="0" w:color="000000"/>
            </w:tcBorders>
          </w:tcPr>
          <w:p w14:paraId="038A2D8E" w14:textId="0A82608D" w:rsidR="00C83428" w:rsidRDefault="00C83428" w:rsidP="001A5D4A">
            <w:pPr>
              <w:pStyle w:val="NotesTable-CellPlain"/>
            </w:pPr>
            <w:r>
              <w:t>–</w:t>
            </w:r>
          </w:p>
        </w:tc>
      </w:tr>
      <w:tr w:rsidR="00C83428" w14:paraId="038A2D96" w14:textId="77777777" w:rsidTr="00561138">
        <w:trPr>
          <w:trHeight w:val="181"/>
        </w:trPr>
        <w:tc>
          <w:tcPr>
            <w:tcW w:w="803" w:type="pct"/>
          </w:tcPr>
          <w:p w14:paraId="038A2D90" w14:textId="77777777" w:rsidR="00C83428" w:rsidRDefault="00C83428" w:rsidP="001A5D4A">
            <w:pPr>
              <w:pStyle w:val="Note-Refs"/>
            </w:pPr>
          </w:p>
        </w:tc>
        <w:tc>
          <w:tcPr>
            <w:tcW w:w="2570" w:type="pct"/>
            <w:gridSpan w:val="3"/>
            <w:vAlign w:val="bottom"/>
          </w:tcPr>
          <w:p w14:paraId="038A2D91" w14:textId="77777777" w:rsidR="00C83428" w:rsidRDefault="00717984" w:rsidP="001A5D4A">
            <w:pPr>
              <w:pStyle w:val="NotesTable-ItemPlain"/>
              <w:rPr>
                <w:b/>
              </w:rPr>
            </w:pPr>
            <w:r>
              <w:t>Total</w:t>
            </w:r>
            <w:r w:rsidR="002055FE">
              <w:t xml:space="preserve"> credit standby arrangements</w:t>
            </w:r>
          </w:p>
        </w:tc>
        <w:tc>
          <w:tcPr>
            <w:tcW w:w="412" w:type="pct"/>
            <w:gridSpan w:val="2"/>
            <w:tcBorders>
              <w:top w:val="single" w:sz="4" w:space="0" w:color="000000"/>
            </w:tcBorders>
          </w:tcPr>
          <w:p w14:paraId="038A2D92" w14:textId="77777777" w:rsidR="00C83428" w:rsidRDefault="00C83428" w:rsidP="001A5D4A">
            <w:pPr>
              <w:pStyle w:val="NotesTable-CellBold"/>
            </w:pPr>
            <w:r>
              <w:t>–</w:t>
            </w:r>
          </w:p>
        </w:tc>
        <w:tc>
          <w:tcPr>
            <w:tcW w:w="406" w:type="pct"/>
            <w:tcBorders>
              <w:top w:val="single" w:sz="4" w:space="0" w:color="000000"/>
            </w:tcBorders>
          </w:tcPr>
          <w:p w14:paraId="038A2D93" w14:textId="77777777" w:rsidR="00C83428" w:rsidRDefault="00C83428" w:rsidP="001A5D4A">
            <w:pPr>
              <w:pStyle w:val="NotesTable-CellPlain"/>
            </w:pPr>
            <w:r>
              <w:t>–</w:t>
            </w:r>
          </w:p>
        </w:tc>
        <w:tc>
          <w:tcPr>
            <w:tcW w:w="405" w:type="pct"/>
            <w:tcBorders>
              <w:top w:val="single" w:sz="4" w:space="0" w:color="000000"/>
            </w:tcBorders>
          </w:tcPr>
          <w:p w14:paraId="038A2D94" w14:textId="77777777" w:rsidR="00C83428" w:rsidRDefault="00C83428" w:rsidP="001A5D4A">
            <w:pPr>
              <w:pStyle w:val="NotesTable-CellBold"/>
            </w:pPr>
            <w:r>
              <w:t>–</w:t>
            </w:r>
          </w:p>
        </w:tc>
        <w:tc>
          <w:tcPr>
            <w:tcW w:w="404" w:type="pct"/>
            <w:tcBorders>
              <w:top w:val="single" w:sz="4" w:space="0" w:color="000000"/>
            </w:tcBorders>
          </w:tcPr>
          <w:p w14:paraId="038A2D95" w14:textId="14149DC1" w:rsidR="00C83428" w:rsidRDefault="00C83428" w:rsidP="001A5D4A">
            <w:pPr>
              <w:pStyle w:val="NotesTable-CellPlain"/>
            </w:pPr>
            <w:r>
              <w:t>–</w:t>
            </w:r>
          </w:p>
        </w:tc>
      </w:tr>
      <w:tr w:rsidR="00C83428" w14:paraId="038A2D9D" w14:textId="77777777" w:rsidTr="00561138">
        <w:trPr>
          <w:trHeight w:val="181"/>
        </w:trPr>
        <w:tc>
          <w:tcPr>
            <w:tcW w:w="803" w:type="pct"/>
          </w:tcPr>
          <w:p w14:paraId="038A2D97" w14:textId="77777777" w:rsidR="00C83428" w:rsidRDefault="00C83428" w:rsidP="001A5D4A">
            <w:pPr>
              <w:pStyle w:val="Note-Refs"/>
            </w:pPr>
          </w:p>
        </w:tc>
        <w:tc>
          <w:tcPr>
            <w:tcW w:w="2570" w:type="pct"/>
            <w:gridSpan w:val="3"/>
            <w:vAlign w:val="bottom"/>
          </w:tcPr>
          <w:p w14:paraId="038A2D98" w14:textId="77777777" w:rsidR="00C83428" w:rsidRDefault="00C83428" w:rsidP="001A5D4A">
            <w:pPr>
              <w:pStyle w:val="NotesTable-ItemPlain"/>
            </w:pPr>
          </w:p>
        </w:tc>
        <w:tc>
          <w:tcPr>
            <w:tcW w:w="412" w:type="pct"/>
            <w:gridSpan w:val="2"/>
          </w:tcPr>
          <w:p w14:paraId="038A2D99" w14:textId="77777777" w:rsidR="00C83428" w:rsidRDefault="00C83428" w:rsidP="001A5D4A">
            <w:pPr>
              <w:pStyle w:val="NotesTable-CellBold"/>
            </w:pPr>
          </w:p>
        </w:tc>
        <w:tc>
          <w:tcPr>
            <w:tcW w:w="406" w:type="pct"/>
          </w:tcPr>
          <w:p w14:paraId="038A2D9A" w14:textId="77777777" w:rsidR="00C83428" w:rsidRDefault="00C83428" w:rsidP="001A5D4A">
            <w:pPr>
              <w:pStyle w:val="NotesTable-CellPlain"/>
            </w:pPr>
          </w:p>
        </w:tc>
        <w:tc>
          <w:tcPr>
            <w:tcW w:w="405" w:type="pct"/>
          </w:tcPr>
          <w:p w14:paraId="038A2D9B" w14:textId="77777777" w:rsidR="00C83428" w:rsidRDefault="00C83428" w:rsidP="001A5D4A">
            <w:pPr>
              <w:pStyle w:val="NotesTable-CellBold"/>
            </w:pPr>
          </w:p>
        </w:tc>
        <w:tc>
          <w:tcPr>
            <w:tcW w:w="404" w:type="pct"/>
          </w:tcPr>
          <w:p w14:paraId="038A2D9C" w14:textId="77777777" w:rsidR="00C83428" w:rsidRDefault="00C83428" w:rsidP="001A5D4A">
            <w:pPr>
              <w:pStyle w:val="NotesTable-CellPlain"/>
            </w:pPr>
          </w:p>
        </w:tc>
      </w:tr>
      <w:tr w:rsidR="00C83428" w14:paraId="038A2DA4" w14:textId="77777777" w:rsidTr="00561138">
        <w:trPr>
          <w:trHeight w:val="181"/>
        </w:trPr>
        <w:tc>
          <w:tcPr>
            <w:tcW w:w="803" w:type="pct"/>
            <w:vAlign w:val="bottom"/>
          </w:tcPr>
          <w:p w14:paraId="038A2D9E" w14:textId="77777777" w:rsidR="00C83428" w:rsidRDefault="00C83428" w:rsidP="001A5D4A">
            <w:pPr>
              <w:pStyle w:val="Note-Refs"/>
            </w:pPr>
          </w:p>
        </w:tc>
        <w:tc>
          <w:tcPr>
            <w:tcW w:w="2570" w:type="pct"/>
            <w:gridSpan w:val="3"/>
            <w:vAlign w:val="bottom"/>
          </w:tcPr>
          <w:p w14:paraId="038A2D9F" w14:textId="277CD0E6" w:rsidR="00C83428" w:rsidRDefault="00C83428" w:rsidP="001A5D4A">
            <w:pPr>
              <w:pStyle w:val="NotesTable-ItemPlain"/>
              <w:rPr>
                <w:b/>
              </w:rPr>
            </w:pPr>
            <w:r>
              <w:t>Used at balance date</w:t>
            </w:r>
          </w:p>
        </w:tc>
        <w:tc>
          <w:tcPr>
            <w:tcW w:w="412" w:type="pct"/>
            <w:gridSpan w:val="2"/>
            <w:vAlign w:val="bottom"/>
          </w:tcPr>
          <w:p w14:paraId="038A2DA0" w14:textId="77777777" w:rsidR="00C83428" w:rsidRDefault="00C83428" w:rsidP="001A5D4A">
            <w:pPr>
              <w:pStyle w:val="NotesTable-CellBold"/>
            </w:pPr>
          </w:p>
        </w:tc>
        <w:tc>
          <w:tcPr>
            <w:tcW w:w="406" w:type="pct"/>
            <w:vAlign w:val="bottom"/>
          </w:tcPr>
          <w:p w14:paraId="038A2DA1" w14:textId="77777777" w:rsidR="00C83428" w:rsidRDefault="00C83428" w:rsidP="001A5D4A">
            <w:pPr>
              <w:pStyle w:val="NotesTable-CellPlain"/>
            </w:pPr>
          </w:p>
        </w:tc>
        <w:tc>
          <w:tcPr>
            <w:tcW w:w="405" w:type="pct"/>
            <w:vAlign w:val="bottom"/>
          </w:tcPr>
          <w:p w14:paraId="038A2DA2" w14:textId="77777777" w:rsidR="00C83428" w:rsidRDefault="00C83428" w:rsidP="001A5D4A">
            <w:pPr>
              <w:pStyle w:val="NotesTable-CellBold"/>
            </w:pPr>
          </w:p>
        </w:tc>
        <w:tc>
          <w:tcPr>
            <w:tcW w:w="404" w:type="pct"/>
            <w:vAlign w:val="bottom"/>
          </w:tcPr>
          <w:p w14:paraId="038A2DA3" w14:textId="77777777" w:rsidR="00C83428" w:rsidRDefault="00C83428" w:rsidP="001A5D4A">
            <w:pPr>
              <w:pStyle w:val="NotesTable-CellPlain"/>
            </w:pPr>
          </w:p>
        </w:tc>
      </w:tr>
      <w:tr w:rsidR="00C83428" w14:paraId="038A2DAB" w14:textId="77777777" w:rsidTr="00561138">
        <w:trPr>
          <w:trHeight w:val="181"/>
        </w:trPr>
        <w:tc>
          <w:tcPr>
            <w:tcW w:w="803" w:type="pct"/>
            <w:vAlign w:val="bottom"/>
          </w:tcPr>
          <w:p w14:paraId="038A2DA5" w14:textId="77777777" w:rsidR="00C83428" w:rsidRDefault="00C83428" w:rsidP="001A5D4A">
            <w:pPr>
              <w:pStyle w:val="Note-Refs"/>
            </w:pPr>
          </w:p>
        </w:tc>
        <w:tc>
          <w:tcPr>
            <w:tcW w:w="2570" w:type="pct"/>
            <w:gridSpan w:val="3"/>
            <w:vAlign w:val="bottom"/>
          </w:tcPr>
          <w:p w14:paraId="038A2DA6" w14:textId="77777777" w:rsidR="00C83428" w:rsidRDefault="00C83428" w:rsidP="001A5D4A">
            <w:pPr>
              <w:pStyle w:val="NotesTable-ItemPlain"/>
              <w:rPr>
                <w:b/>
              </w:rPr>
            </w:pPr>
            <w:r>
              <w:t>[Specify]</w:t>
            </w:r>
          </w:p>
        </w:tc>
        <w:tc>
          <w:tcPr>
            <w:tcW w:w="412" w:type="pct"/>
            <w:gridSpan w:val="2"/>
            <w:tcBorders>
              <w:bottom w:val="single" w:sz="4" w:space="0" w:color="000000"/>
            </w:tcBorders>
          </w:tcPr>
          <w:p w14:paraId="038A2DA7" w14:textId="77777777" w:rsidR="00C83428" w:rsidRDefault="00C83428" w:rsidP="001A5D4A">
            <w:pPr>
              <w:pStyle w:val="NotesTable-CellBold"/>
            </w:pPr>
            <w:r>
              <w:t>–</w:t>
            </w:r>
          </w:p>
        </w:tc>
        <w:tc>
          <w:tcPr>
            <w:tcW w:w="406" w:type="pct"/>
            <w:tcBorders>
              <w:bottom w:val="single" w:sz="4" w:space="0" w:color="000000"/>
            </w:tcBorders>
          </w:tcPr>
          <w:p w14:paraId="038A2DA8" w14:textId="77777777" w:rsidR="00C83428" w:rsidRDefault="00C83428" w:rsidP="001A5D4A">
            <w:pPr>
              <w:pStyle w:val="NotesTable-CellPlain"/>
            </w:pPr>
            <w:r>
              <w:t>–</w:t>
            </w:r>
          </w:p>
        </w:tc>
        <w:tc>
          <w:tcPr>
            <w:tcW w:w="405" w:type="pct"/>
            <w:tcBorders>
              <w:bottom w:val="single" w:sz="4" w:space="0" w:color="000000"/>
            </w:tcBorders>
          </w:tcPr>
          <w:p w14:paraId="038A2DA9" w14:textId="77777777" w:rsidR="00C83428" w:rsidRDefault="00C83428" w:rsidP="001A5D4A">
            <w:pPr>
              <w:pStyle w:val="NotesTable-CellBold"/>
            </w:pPr>
            <w:r>
              <w:t>–</w:t>
            </w:r>
          </w:p>
        </w:tc>
        <w:tc>
          <w:tcPr>
            <w:tcW w:w="404" w:type="pct"/>
            <w:tcBorders>
              <w:bottom w:val="single" w:sz="4" w:space="0" w:color="000000"/>
            </w:tcBorders>
          </w:tcPr>
          <w:p w14:paraId="038A2DAA" w14:textId="7A66C5E4" w:rsidR="00C83428" w:rsidRDefault="00C83428" w:rsidP="001A5D4A">
            <w:pPr>
              <w:pStyle w:val="NotesTable-CellPlain"/>
            </w:pPr>
            <w:r>
              <w:t>–</w:t>
            </w:r>
          </w:p>
        </w:tc>
      </w:tr>
      <w:tr w:rsidR="00C83428" w14:paraId="038A2DB2" w14:textId="77777777" w:rsidTr="00561138">
        <w:trPr>
          <w:trHeight w:val="181"/>
        </w:trPr>
        <w:tc>
          <w:tcPr>
            <w:tcW w:w="803" w:type="pct"/>
          </w:tcPr>
          <w:p w14:paraId="038A2DAC" w14:textId="77777777" w:rsidR="00C83428" w:rsidRDefault="00C83428" w:rsidP="001A5D4A">
            <w:pPr>
              <w:pStyle w:val="Note-Refs"/>
            </w:pPr>
          </w:p>
        </w:tc>
        <w:tc>
          <w:tcPr>
            <w:tcW w:w="2570" w:type="pct"/>
            <w:gridSpan w:val="3"/>
            <w:vAlign w:val="bottom"/>
          </w:tcPr>
          <w:p w14:paraId="038A2DAD" w14:textId="77777777" w:rsidR="00C83428" w:rsidRDefault="00717984" w:rsidP="001A5D4A">
            <w:pPr>
              <w:pStyle w:val="NotesTable-ItemPlain"/>
              <w:rPr>
                <w:b/>
              </w:rPr>
            </w:pPr>
            <w:r>
              <w:t>Total</w:t>
            </w:r>
            <w:r w:rsidR="002055FE">
              <w:t xml:space="preserve"> used at balance date</w:t>
            </w:r>
          </w:p>
        </w:tc>
        <w:tc>
          <w:tcPr>
            <w:tcW w:w="412" w:type="pct"/>
            <w:gridSpan w:val="2"/>
            <w:tcBorders>
              <w:top w:val="single" w:sz="4" w:space="0" w:color="000000"/>
            </w:tcBorders>
          </w:tcPr>
          <w:p w14:paraId="038A2DAE" w14:textId="77777777" w:rsidR="00C83428" w:rsidRDefault="00C83428" w:rsidP="001A5D4A">
            <w:pPr>
              <w:pStyle w:val="NotesTable-CellBold"/>
            </w:pPr>
            <w:r>
              <w:t>–</w:t>
            </w:r>
          </w:p>
        </w:tc>
        <w:tc>
          <w:tcPr>
            <w:tcW w:w="406" w:type="pct"/>
            <w:tcBorders>
              <w:top w:val="single" w:sz="4" w:space="0" w:color="000000"/>
            </w:tcBorders>
          </w:tcPr>
          <w:p w14:paraId="038A2DAF" w14:textId="77777777" w:rsidR="00C83428" w:rsidRDefault="00C83428" w:rsidP="001A5D4A">
            <w:pPr>
              <w:pStyle w:val="NotesTable-CellPlain"/>
            </w:pPr>
            <w:r>
              <w:t>–</w:t>
            </w:r>
          </w:p>
        </w:tc>
        <w:tc>
          <w:tcPr>
            <w:tcW w:w="405" w:type="pct"/>
            <w:tcBorders>
              <w:top w:val="single" w:sz="4" w:space="0" w:color="000000"/>
            </w:tcBorders>
          </w:tcPr>
          <w:p w14:paraId="038A2DB0" w14:textId="77777777" w:rsidR="00C83428" w:rsidRDefault="00C83428" w:rsidP="001A5D4A">
            <w:pPr>
              <w:pStyle w:val="NotesTable-CellBold"/>
            </w:pPr>
            <w:r>
              <w:t>–</w:t>
            </w:r>
          </w:p>
        </w:tc>
        <w:tc>
          <w:tcPr>
            <w:tcW w:w="404" w:type="pct"/>
            <w:tcBorders>
              <w:top w:val="single" w:sz="4" w:space="0" w:color="000000"/>
            </w:tcBorders>
          </w:tcPr>
          <w:p w14:paraId="038A2DB1" w14:textId="4C79310C" w:rsidR="00C83428" w:rsidRDefault="00C83428" w:rsidP="001A5D4A">
            <w:pPr>
              <w:pStyle w:val="NotesTable-CellPlain"/>
            </w:pPr>
            <w:r>
              <w:t>–</w:t>
            </w:r>
          </w:p>
        </w:tc>
      </w:tr>
      <w:tr w:rsidR="00C83428" w14:paraId="038A2DB9" w14:textId="77777777" w:rsidTr="00561138">
        <w:trPr>
          <w:trHeight w:val="181"/>
        </w:trPr>
        <w:tc>
          <w:tcPr>
            <w:tcW w:w="803" w:type="pct"/>
          </w:tcPr>
          <w:p w14:paraId="038A2DB3" w14:textId="77777777" w:rsidR="00C83428" w:rsidRDefault="00C83428" w:rsidP="001A5D4A">
            <w:pPr>
              <w:pStyle w:val="Note-Refs"/>
            </w:pPr>
          </w:p>
        </w:tc>
        <w:tc>
          <w:tcPr>
            <w:tcW w:w="2570" w:type="pct"/>
            <w:gridSpan w:val="3"/>
            <w:vAlign w:val="bottom"/>
          </w:tcPr>
          <w:p w14:paraId="038A2DB4" w14:textId="77777777" w:rsidR="00C83428" w:rsidRDefault="00C83428" w:rsidP="001A5D4A">
            <w:pPr>
              <w:pStyle w:val="NotesTable-ItemPlain"/>
            </w:pPr>
          </w:p>
        </w:tc>
        <w:tc>
          <w:tcPr>
            <w:tcW w:w="412" w:type="pct"/>
            <w:gridSpan w:val="2"/>
            <w:vAlign w:val="bottom"/>
          </w:tcPr>
          <w:p w14:paraId="038A2DB5" w14:textId="77777777" w:rsidR="00C83428" w:rsidRDefault="00C83428" w:rsidP="001A5D4A">
            <w:pPr>
              <w:pStyle w:val="NotesTable-CellBold"/>
            </w:pPr>
          </w:p>
        </w:tc>
        <w:tc>
          <w:tcPr>
            <w:tcW w:w="406" w:type="pct"/>
            <w:vAlign w:val="bottom"/>
          </w:tcPr>
          <w:p w14:paraId="038A2DB6" w14:textId="77777777" w:rsidR="00C83428" w:rsidRDefault="00C83428" w:rsidP="001A5D4A">
            <w:pPr>
              <w:pStyle w:val="NotesTable-CellPlain"/>
            </w:pPr>
          </w:p>
        </w:tc>
        <w:tc>
          <w:tcPr>
            <w:tcW w:w="405" w:type="pct"/>
            <w:vAlign w:val="bottom"/>
          </w:tcPr>
          <w:p w14:paraId="038A2DB7" w14:textId="77777777" w:rsidR="00C83428" w:rsidRDefault="00C83428" w:rsidP="001A5D4A">
            <w:pPr>
              <w:pStyle w:val="NotesTable-CellBold"/>
            </w:pPr>
          </w:p>
        </w:tc>
        <w:tc>
          <w:tcPr>
            <w:tcW w:w="404" w:type="pct"/>
            <w:vAlign w:val="bottom"/>
          </w:tcPr>
          <w:p w14:paraId="038A2DB8" w14:textId="77777777" w:rsidR="00C83428" w:rsidRDefault="00C83428" w:rsidP="001A5D4A">
            <w:pPr>
              <w:pStyle w:val="NotesTable-CellPlain"/>
            </w:pPr>
          </w:p>
        </w:tc>
      </w:tr>
      <w:tr w:rsidR="00C83428" w14:paraId="038A2DC0" w14:textId="77777777" w:rsidTr="00561138">
        <w:trPr>
          <w:trHeight w:val="181"/>
        </w:trPr>
        <w:tc>
          <w:tcPr>
            <w:tcW w:w="803" w:type="pct"/>
          </w:tcPr>
          <w:p w14:paraId="038A2DBA" w14:textId="77777777" w:rsidR="00C83428" w:rsidRDefault="00C83428" w:rsidP="001A5D4A">
            <w:pPr>
              <w:pStyle w:val="Note-Refs"/>
              <w:rPr>
                <w:b/>
              </w:rPr>
            </w:pPr>
            <w:r>
              <w:t>AASB107.50a</w:t>
            </w:r>
          </w:p>
        </w:tc>
        <w:tc>
          <w:tcPr>
            <w:tcW w:w="2570" w:type="pct"/>
            <w:gridSpan w:val="3"/>
            <w:vAlign w:val="bottom"/>
          </w:tcPr>
          <w:p w14:paraId="038A2DBB" w14:textId="5D700EFC" w:rsidR="00C83428" w:rsidRDefault="00C83428" w:rsidP="001A5D4A">
            <w:pPr>
              <w:pStyle w:val="NotesTable-ItemPlain"/>
              <w:rPr>
                <w:b/>
              </w:rPr>
            </w:pPr>
            <w:r>
              <w:t>Unused at balance date</w:t>
            </w:r>
          </w:p>
        </w:tc>
        <w:tc>
          <w:tcPr>
            <w:tcW w:w="412" w:type="pct"/>
            <w:gridSpan w:val="2"/>
            <w:vAlign w:val="bottom"/>
          </w:tcPr>
          <w:p w14:paraId="038A2DBC" w14:textId="77777777" w:rsidR="00C83428" w:rsidRDefault="00C83428" w:rsidP="001A5D4A">
            <w:pPr>
              <w:pStyle w:val="NotesTable-CellBold"/>
            </w:pPr>
          </w:p>
        </w:tc>
        <w:tc>
          <w:tcPr>
            <w:tcW w:w="406" w:type="pct"/>
            <w:vAlign w:val="bottom"/>
          </w:tcPr>
          <w:p w14:paraId="038A2DBD" w14:textId="77777777" w:rsidR="00C83428" w:rsidRDefault="00C83428" w:rsidP="001A5D4A">
            <w:pPr>
              <w:pStyle w:val="NotesTable-CellPlain"/>
            </w:pPr>
          </w:p>
        </w:tc>
        <w:tc>
          <w:tcPr>
            <w:tcW w:w="405" w:type="pct"/>
            <w:vAlign w:val="bottom"/>
          </w:tcPr>
          <w:p w14:paraId="038A2DBE" w14:textId="77777777" w:rsidR="00C83428" w:rsidRDefault="00C83428" w:rsidP="001A5D4A">
            <w:pPr>
              <w:pStyle w:val="NotesTable-CellBold"/>
            </w:pPr>
          </w:p>
        </w:tc>
        <w:tc>
          <w:tcPr>
            <w:tcW w:w="404" w:type="pct"/>
            <w:vAlign w:val="bottom"/>
          </w:tcPr>
          <w:p w14:paraId="038A2DBF" w14:textId="77777777" w:rsidR="00C83428" w:rsidRDefault="00C83428" w:rsidP="001A5D4A">
            <w:pPr>
              <w:pStyle w:val="NotesTable-CellPlain"/>
            </w:pPr>
          </w:p>
        </w:tc>
      </w:tr>
      <w:tr w:rsidR="00C83428" w14:paraId="038A2DC7" w14:textId="77777777" w:rsidTr="00561138">
        <w:trPr>
          <w:trHeight w:val="181"/>
        </w:trPr>
        <w:tc>
          <w:tcPr>
            <w:tcW w:w="803" w:type="pct"/>
          </w:tcPr>
          <w:p w14:paraId="038A2DC1" w14:textId="77777777" w:rsidR="00C83428" w:rsidRDefault="00C83428" w:rsidP="001A5D4A">
            <w:pPr>
              <w:pStyle w:val="Note-Refs"/>
            </w:pPr>
          </w:p>
        </w:tc>
        <w:tc>
          <w:tcPr>
            <w:tcW w:w="2570" w:type="pct"/>
            <w:gridSpan w:val="3"/>
            <w:vAlign w:val="bottom"/>
          </w:tcPr>
          <w:p w14:paraId="038A2DC2" w14:textId="77777777" w:rsidR="00C83428" w:rsidRDefault="00C83428" w:rsidP="001A5D4A">
            <w:pPr>
              <w:pStyle w:val="NotesTable-ItemPlain"/>
              <w:rPr>
                <w:b/>
              </w:rPr>
            </w:pPr>
            <w:r>
              <w:t>[Specify]</w:t>
            </w:r>
          </w:p>
        </w:tc>
        <w:tc>
          <w:tcPr>
            <w:tcW w:w="412" w:type="pct"/>
            <w:gridSpan w:val="2"/>
            <w:tcBorders>
              <w:bottom w:val="single" w:sz="4" w:space="0" w:color="000000"/>
            </w:tcBorders>
          </w:tcPr>
          <w:p w14:paraId="038A2DC3" w14:textId="77777777" w:rsidR="00C83428" w:rsidRDefault="00C83428" w:rsidP="001A5D4A">
            <w:pPr>
              <w:pStyle w:val="NotesTable-CellBold"/>
            </w:pPr>
            <w:r>
              <w:t>–</w:t>
            </w:r>
          </w:p>
        </w:tc>
        <w:tc>
          <w:tcPr>
            <w:tcW w:w="406" w:type="pct"/>
            <w:tcBorders>
              <w:bottom w:val="single" w:sz="4" w:space="0" w:color="000000"/>
            </w:tcBorders>
          </w:tcPr>
          <w:p w14:paraId="038A2DC4" w14:textId="77777777" w:rsidR="00C83428" w:rsidRDefault="00C83428" w:rsidP="001A5D4A">
            <w:pPr>
              <w:pStyle w:val="NotesTable-CellPlain"/>
            </w:pPr>
            <w:r>
              <w:t>–</w:t>
            </w:r>
          </w:p>
        </w:tc>
        <w:tc>
          <w:tcPr>
            <w:tcW w:w="405" w:type="pct"/>
            <w:tcBorders>
              <w:bottom w:val="single" w:sz="4" w:space="0" w:color="000000"/>
            </w:tcBorders>
          </w:tcPr>
          <w:p w14:paraId="038A2DC5" w14:textId="77777777" w:rsidR="00C83428" w:rsidRDefault="00C83428" w:rsidP="001A5D4A">
            <w:pPr>
              <w:pStyle w:val="NotesTable-CellBold"/>
            </w:pPr>
            <w:r>
              <w:t>–</w:t>
            </w:r>
          </w:p>
        </w:tc>
        <w:tc>
          <w:tcPr>
            <w:tcW w:w="404" w:type="pct"/>
            <w:tcBorders>
              <w:bottom w:val="single" w:sz="4" w:space="0" w:color="000000"/>
            </w:tcBorders>
          </w:tcPr>
          <w:p w14:paraId="038A2DC6" w14:textId="0BE0CED3" w:rsidR="00C83428" w:rsidRDefault="00C83428" w:rsidP="001A5D4A">
            <w:pPr>
              <w:pStyle w:val="NotesTable-CellPlain"/>
            </w:pPr>
            <w:r>
              <w:t>–</w:t>
            </w:r>
          </w:p>
        </w:tc>
      </w:tr>
      <w:tr w:rsidR="00C83428" w14:paraId="038A2DCE" w14:textId="77777777" w:rsidTr="00561138">
        <w:trPr>
          <w:trHeight w:val="181"/>
        </w:trPr>
        <w:tc>
          <w:tcPr>
            <w:tcW w:w="803" w:type="pct"/>
          </w:tcPr>
          <w:p w14:paraId="038A2DC8" w14:textId="77777777" w:rsidR="00C83428" w:rsidRDefault="00C83428" w:rsidP="001A5D4A">
            <w:pPr>
              <w:pStyle w:val="Note-Refs"/>
            </w:pPr>
          </w:p>
        </w:tc>
        <w:tc>
          <w:tcPr>
            <w:tcW w:w="2570" w:type="pct"/>
            <w:gridSpan w:val="3"/>
            <w:vAlign w:val="bottom"/>
          </w:tcPr>
          <w:p w14:paraId="038A2DC9" w14:textId="77777777" w:rsidR="00C83428" w:rsidRDefault="00717984" w:rsidP="001A5D4A">
            <w:pPr>
              <w:pStyle w:val="NotesTable-ItemPlain"/>
              <w:rPr>
                <w:b/>
              </w:rPr>
            </w:pPr>
            <w:r>
              <w:t>Total</w:t>
            </w:r>
            <w:r w:rsidR="002055FE">
              <w:t xml:space="preserve"> unused at balance date</w:t>
            </w:r>
          </w:p>
        </w:tc>
        <w:tc>
          <w:tcPr>
            <w:tcW w:w="412" w:type="pct"/>
            <w:gridSpan w:val="2"/>
            <w:tcBorders>
              <w:top w:val="single" w:sz="4" w:space="0" w:color="000000"/>
            </w:tcBorders>
          </w:tcPr>
          <w:p w14:paraId="038A2DCA" w14:textId="77777777" w:rsidR="00C83428" w:rsidRDefault="00C83428" w:rsidP="001A5D4A">
            <w:pPr>
              <w:pStyle w:val="NotesTable-CellBold"/>
            </w:pPr>
            <w:r>
              <w:t>–</w:t>
            </w:r>
          </w:p>
        </w:tc>
        <w:tc>
          <w:tcPr>
            <w:tcW w:w="406" w:type="pct"/>
            <w:tcBorders>
              <w:top w:val="single" w:sz="4" w:space="0" w:color="000000"/>
            </w:tcBorders>
          </w:tcPr>
          <w:p w14:paraId="038A2DCB" w14:textId="77777777" w:rsidR="00C83428" w:rsidRDefault="00C83428" w:rsidP="001A5D4A">
            <w:pPr>
              <w:pStyle w:val="NotesTable-CellPlain"/>
            </w:pPr>
            <w:r>
              <w:t>–</w:t>
            </w:r>
          </w:p>
        </w:tc>
        <w:tc>
          <w:tcPr>
            <w:tcW w:w="405" w:type="pct"/>
            <w:tcBorders>
              <w:top w:val="single" w:sz="4" w:space="0" w:color="000000"/>
            </w:tcBorders>
          </w:tcPr>
          <w:p w14:paraId="038A2DCC" w14:textId="77777777" w:rsidR="00C83428" w:rsidRDefault="00C83428" w:rsidP="001A5D4A">
            <w:pPr>
              <w:pStyle w:val="NotesTable-CellBold"/>
            </w:pPr>
            <w:r>
              <w:t>–</w:t>
            </w:r>
          </w:p>
        </w:tc>
        <w:tc>
          <w:tcPr>
            <w:tcW w:w="404" w:type="pct"/>
            <w:tcBorders>
              <w:top w:val="single" w:sz="4" w:space="0" w:color="000000"/>
            </w:tcBorders>
          </w:tcPr>
          <w:p w14:paraId="038A2DCD" w14:textId="2087A2EA" w:rsidR="00C83428" w:rsidRDefault="00C83428" w:rsidP="001A5D4A">
            <w:pPr>
              <w:pStyle w:val="NotesTable-CellPlain"/>
            </w:pPr>
            <w:r>
              <w:t>–</w:t>
            </w:r>
          </w:p>
        </w:tc>
      </w:tr>
      <w:tr w:rsidR="00C83428" w14:paraId="038A2DD5" w14:textId="77777777" w:rsidTr="00561138">
        <w:trPr>
          <w:trHeight w:val="181"/>
        </w:trPr>
        <w:tc>
          <w:tcPr>
            <w:tcW w:w="803" w:type="pct"/>
          </w:tcPr>
          <w:p w14:paraId="038A2DCF" w14:textId="77777777" w:rsidR="00C83428" w:rsidRDefault="00C83428" w:rsidP="001A5D4A">
            <w:pPr>
              <w:pStyle w:val="Note-Refs"/>
            </w:pPr>
          </w:p>
        </w:tc>
        <w:tc>
          <w:tcPr>
            <w:tcW w:w="2570" w:type="pct"/>
            <w:gridSpan w:val="3"/>
            <w:vAlign w:val="bottom"/>
          </w:tcPr>
          <w:p w14:paraId="038A2DD0" w14:textId="77777777" w:rsidR="00C83428" w:rsidRDefault="00C83428" w:rsidP="001A5D4A">
            <w:pPr>
              <w:pStyle w:val="NotesTable-ItemPlain"/>
            </w:pPr>
          </w:p>
        </w:tc>
        <w:tc>
          <w:tcPr>
            <w:tcW w:w="412" w:type="pct"/>
            <w:gridSpan w:val="2"/>
            <w:vAlign w:val="bottom"/>
          </w:tcPr>
          <w:p w14:paraId="038A2DD1" w14:textId="77777777" w:rsidR="00C83428" w:rsidRDefault="00C83428" w:rsidP="001A5D4A">
            <w:pPr>
              <w:pStyle w:val="NotesTable-CellBold"/>
            </w:pPr>
          </w:p>
        </w:tc>
        <w:tc>
          <w:tcPr>
            <w:tcW w:w="406" w:type="pct"/>
            <w:vAlign w:val="bottom"/>
          </w:tcPr>
          <w:p w14:paraId="038A2DD2" w14:textId="77777777" w:rsidR="00C83428" w:rsidRDefault="00C83428" w:rsidP="001A5D4A">
            <w:pPr>
              <w:pStyle w:val="NotesTable-CellPlain"/>
            </w:pPr>
          </w:p>
        </w:tc>
        <w:tc>
          <w:tcPr>
            <w:tcW w:w="405" w:type="pct"/>
            <w:vAlign w:val="bottom"/>
          </w:tcPr>
          <w:p w14:paraId="038A2DD3" w14:textId="77777777" w:rsidR="00C83428" w:rsidRDefault="00C83428" w:rsidP="001A5D4A">
            <w:pPr>
              <w:pStyle w:val="NotesTable-CellBold"/>
            </w:pPr>
          </w:p>
        </w:tc>
        <w:tc>
          <w:tcPr>
            <w:tcW w:w="404" w:type="pct"/>
            <w:vAlign w:val="bottom"/>
          </w:tcPr>
          <w:p w14:paraId="038A2DD4" w14:textId="77777777" w:rsidR="00C83428" w:rsidRDefault="00C83428" w:rsidP="001A5D4A">
            <w:pPr>
              <w:pStyle w:val="NotesTable-CellPlain"/>
            </w:pPr>
          </w:p>
        </w:tc>
      </w:tr>
      <w:tr w:rsidR="00C83428" w14:paraId="038A2DDC" w14:textId="77777777" w:rsidTr="00561138">
        <w:trPr>
          <w:trHeight w:val="181"/>
        </w:trPr>
        <w:tc>
          <w:tcPr>
            <w:tcW w:w="803" w:type="pct"/>
          </w:tcPr>
          <w:p w14:paraId="038A2DD6" w14:textId="77777777" w:rsidR="00C83428" w:rsidRDefault="00C83428" w:rsidP="001A5D4A">
            <w:pPr>
              <w:pStyle w:val="Note-Refs"/>
            </w:pPr>
          </w:p>
        </w:tc>
        <w:tc>
          <w:tcPr>
            <w:tcW w:w="2570" w:type="pct"/>
            <w:gridSpan w:val="3"/>
            <w:vAlign w:val="bottom"/>
          </w:tcPr>
          <w:p w14:paraId="038A2DD7" w14:textId="1E0A3525" w:rsidR="00C83428" w:rsidRDefault="00C83428" w:rsidP="001A5D4A">
            <w:pPr>
              <w:pStyle w:val="NotesTable-ItemPlain"/>
              <w:rPr>
                <w:b/>
              </w:rPr>
            </w:pPr>
            <w:r>
              <w:t>Bank loan facilities</w:t>
            </w:r>
          </w:p>
        </w:tc>
        <w:tc>
          <w:tcPr>
            <w:tcW w:w="412" w:type="pct"/>
            <w:gridSpan w:val="2"/>
            <w:vAlign w:val="bottom"/>
          </w:tcPr>
          <w:p w14:paraId="038A2DD8" w14:textId="77777777" w:rsidR="00C83428" w:rsidRDefault="00C83428" w:rsidP="001A5D4A">
            <w:pPr>
              <w:pStyle w:val="NotesTable-CellBold"/>
            </w:pPr>
          </w:p>
        </w:tc>
        <w:tc>
          <w:tcPr>
            <w:tcW w:w="406" w:type="pct"/>
            <w:vAlign w:val="bottom"/>
          </w:tcPr>
          <w:p w14:paraId="038A2DD9" w14:textId="77777777" w:rsidR="00C83428" w:rsidRDefault="00C83428" w:rsidP="001A5D4A">
            <w:pPr>
              <w:pStyle w:val="NotesTable-CellPlain"/>
            </w:pPr>
          </w:p>
        </w:tc>
        <w:tc>
          <w:tcPr>
            <w:tcW w:w="405" w:type="pct"/>
            <w:vAlign w:val="bottom"/>
          </w:tcPr>
          <w:p w14:paraId="038A2DDA" w14:textId="77777777" w:rsidR="00C83428" w:rsidRDefault="00C83428" w:rsidP="001A5D4A">
            <w:pPr>
              <w:pStyle w:val="NotesTable-CellBold"/>
            </w:pPr>
          </w:p>
        </w:tc>
        <w:tc>
          <w:tcPr>
            <w:tcW w:w="404" w:type="pct"/>
            <w:vAlign w:val="bottom"/>
          </w:tcPr>
          <w:p w14:paraId="038A2DDB" w14:textId="77777777" w:rsidR="00C83428" w:rsidRDefault="00C83428" w:rsidP="001A5D4A">
            <w:pPr>
              <w:pStyle w:val="NotesTable-CellPlain"/>
            </w:pPr>
          </w:p>
        </w:tc>
      </w:tr>
      <w:tr w:rsidR="00C83428" w14:paraId="038A2DE3" w14:textId="77777777" w:rsidTr="00561138">
        <w:trPr>
          <w:trHeight w:val="181"/>
        </w:trPr>
        <w:tc>
          <w:tcPr>
            <w:tcW w:w="803" w:type="pct"/>
          </w:tcPr>
          <w:p w14:paraId="038A2DDD" w14:textId="77777777" w:rsidR="00C83428" w:rsidRDefault="00C83428" w:rsidP="001A5D4A">
            <w:pPr>
              <w:pStyle w:val="Note-Refs"/>
            </w:pPr>
          </w:p>
        </w:tc>
        <w:tc>
          <w:tcPr>
            <w:tcW w:w="2570" w:type="pct"/>
            <w:gridSpan w:val="3"/>
            <w:vAlign w:val="bottom"/>
          </w:tcPr>
          <w:p w14:paraId="038A2DDE" w14:textId="77777777" w:rsidR="00C83428" w:rsidRDefault="00C83428" w:rsidP="001A5D4A">
            <w:pPr>
              <w:pStyle w:val="NotesTable-ItemPlain"/>
              <w:rPr>
                <w:b/>
              </w:rPr>
            </w:pPr>
            <w:r>
              <w:t>Total facilities</w:t>
            </w:r>
          </w:p>
        </w:tc>
        <w:tc>
          <w:tcPr>
            <w:tcW w:w="412" w:type="pct"/>
            <w:gridSpan w:val="2"/>
          </w:tcPr>
          <w:p w14:paraId="038A2DDF" w14:textId="77777777" w:rsidR="00C83428" w:rsidRDefault="00C83428" w:rsidP="001A5D4A">
            <w:pPr>
              <w:pStyle w:val="NotesTable-CellBold"/>
            </w:pPr>
            <w:r>
              <w:t>–</w:t>
            </w:r>
          </w:p>
        </w:tc>
        <w:tc>
          <w:tcPr>
            <w:tcW w:w="406" w:type="pct"/>
          </w:tcPr>
          <w:p w14:paraId="038A2DE0" w14:textId="77777777" w:rsidR="00C83428" w:rsidRDefault="00C83428" w:rsidP="001A5D4A">
            <w:pPr>
              <w:pStyle w:val="NotesTable-CellPlain"/>
            </w:pPr>
            <w:r>
              <w:t>–</w:t>
            </w:r>
          </w:p>
        </w:tc>
        <w:tc>
          <w:tcPr>
            <w:tcW w:w="405" w:type="pct"/>
          </w:tcPr>
          <w:p w14:paraId="038A2DE1" w14:textId="77777777" w:rsidR="00C83428" w:rsidRDefault="00C83428" w:rsidP="001A5D4A">
            <w:pPr>
              <w:pStyle w:val="NotesTable-CellBold"/>
            </w:pPr>
            <w:r>
              <w:t>–</w:t>
            </w:r>
          </w:p>
        </w:tc>
        <w:tc>
          <w:tcPr>
            <w:tcW w:w="404" w:type="pct"/>
          </w:tcPr>
          <w:p w14:paraId="038A2DE2" w14:textId="08A58CE2" w:rsidR="00C83428" w:rsidRDefault="00C83428" w:rsidP="001A5D4A">
            <w:pPr>
              <w:pStyle w:val="NotesTable-CellPlain"/>
            </w:pPr>
            <w:r>
              <w:t>–</w:t>
            </w:r>
          </w:p>
        </w:tc>
      </w:tr>
      <w:tr w:rsidR="00C83428" w14:paraId="038A2DEA" w14:textId="77777777" w:rsidTr="00561138">
        <w:trPr>
          <w:trHeight w:val="181"/>
        </w:trPr>
        <w:tc>
          <w:tcPr>
            <w:tcW w:w="803" w:type="pct"/>
          </w:tcPr>
          <w:p w14:paraId="038A2DE4" w14:textId="77777777" w:rsidR="00C83428" w:rsidRDefault="00C83428" w:rsidP="001A5D4A">
            <w:pPr>
              <w:pStyle w:val="Note-Refs"/>
            </w:pPr>
          </w:p>
        </w:tc>
        <w:tc>
          <w:tcPr>
            <w:tcW w:w="2570" w:type="pct"/>
            <w:gridSpan w:val="3"/>
            <w:vAlign w:val="bottom"/>
          </w:tcPr>
          <w:p w14:paraId="038A2DE5" w14:textId="77777777" w:rsidR="00C83428" w:rsidRDefault="00C83428" w:rsidP="001A5D4A">
            <w:pPr>
              <w:pStyle w:val="NotesTable-ItemPlain"/>
              <w:rPr>
                <w:b/>
              </w:rPr>
            </w:pPr>
            <w:r>
              <w:t>Used at balance date</w:t>
            </w:r>
          </w:p>
        </w:tc>
        <w:tc>
          <w:tcPr>
            <w:tcW w:w="412" w:type="pct"/>
            <w:gridSpan w:val="2"/>
            <w:tcBorders>
              <w:bottom w:val="single" w:sz="4" w:space="0" w:color="000000"/>
            </w:tcBorders>
          </w:tcPr>
          <w:p w14:paraId="038A2DE6" w14:textId="77777777" w:rsidR="00C83428" w:rsidRDefault="00C83428" w:rsidP="001A5D4A">
            <w:pPr>
              <w:pStyle w:val="NotesTable-CellBold"/>
            </w:pPr>
            <w:r>
              <w:t>–</w:t>
            </w:r>
          </w:p>
        </w:tc>
        <w:tc>
          <w:tcPr>
            <w:tcW w:w="406" w:type="pct"/>
            <w:tcBorders>
              <w:bottom w:val="single" w:sz="4" w:space="0" w:color="000000"/>
            </w:tcBorders>
          </w:tcPr>
          <w:p w14:paraId="038A2DE7" w14:textId="77777777" w:rsidR="00C83428" w:rsidRDefault="00C83428" w:rsidP="001A5D4A">
            <w:pPr>
              <w:pStyle w:val="NotesTable-CellPlain"/>
            </w:pPr>
            <w:r>
              <w:t>–</w:t>
            </w:r>
          </w:p>
        </w:tc>
        <w:tc>
          <w:tcPr>
            <w:tcW w:w="405" w:type="pct"/>
            <w:tcBorders>
              <w:bottom w:val="single" w:sz="4" w:space="0" w:color="000000"/>
            </w:tcBorders>
          </w:tcPr>
          <w:p w14:paraId="038A2DE8" w14:textId="77777777" w:rsidR="00C83428" w:rsidRDefault="00C83428" w:rsidP="001A5D4A">
            <w:pPr>
              <w:pStyle w:val="NotesTable-CellBold"/>
            </w:pPr>
            <w:r>
              <w:t>–</w:t>
            </w:r>
          </w:p>
        </w:tc>
        <w:tc>
          <w:tcPr>
            <w:tcW w:w="404" w:type="pct"/>
            <w:tcBorders>
              <w:bottom w:val="single" w:sz="4" w:space="0" w:color="000000"/>
            </w:tcBorders>
          </w:tcPr>
          <w:p w14:paraId="038A2DE9" w14:textId="72592C60" w:rsidR="00C83428" w:rsidRDefault="00C83428" w:rsidP="001A5D4A">
            <w:pPr>
              <w:pStyle w:val="NotesTable-CellPlain"/>
            </w:pPr>
            <w:r>
              <w:t>–</w:t>
            </w:r>
          </w:p>
        </w:tc>
      </w:tr>
      <w:tr w:rsidR="00C83428" w14:paraId="038A2DF1" w14:textId="77777777" w:rsidTr="00561138">
        <w:trPr>
          <w:trHeight w:val="181"/>
        </w:trPr>
        <w:tc>
          <w:tcPr>
            <w:tcW w:w="803" w:type="pct"/>
          </w:tcPr>
          <w:p w14:paraId="038A2DEB" w14:textId="77777777" w:rsidR="00C83428" w:rsidRDefault="00C83428" w:rsidP="001A5D4A">
            <w:pPr>
              <w:pStyle w:val="Note-Refs"/>
            </w:pPr>
          </w:p>
        </w:tc>
        <w:tc>
          <w:tcPr>
            <w:tcW w:w="2570" w:type="pct"/>
            <w:gridSpan w:val="3"/>
            <w:vAlign w:val="bottom"/>
          </w:tcPr>
          <w:p w14:paraId="038A2DEC" w14:textId="77777777" w:rsidR="00C83428" w:rsidRDefault="00C83428" w:rsidP="001A5D4A">
            <w:pPr>
              <w:pStyle w:val="NotesTable-ItemPlain"/>
              <w:rPr>
                <w:b/>
              </w:rPr>
            </w:pPr>
            <w:r>
              <w:t>Unused at balance date</w:t>
            </w:r>
          </w:p>
        </w:tc>
        <w:tc>
          <w:tcPr>
            <w:tcW w:w="412" w:type="pct"/>
            <w:gridSpan w:val="2"/>
            <w:tcBorders>
              <w:top w:val="single" w:sz="4" w:space="0" w:color="000000"/>
            </w:tcBorders>
          </w:tcPr>
          <w:p w14:paraId="038A2DED" w14:textId="77777777" w:rsidR="00C83428" w:rsidRDefault="00C83428" w:rsidP="001A5D4A">
            <w:pPr>
              <w:pStyle w:val="NotesTable-CellBold"/>
            </w:pPr>
            <w:r>
              <w:t>–</w:t>
            </w:r>
          </w:p>
        </w:tc>
        <w:tc>
          <w:tcPr>
            <w:tcW w:w="406" w:type="pct"/>
            <w:tcBorders>
              <w:top w:val="single" w:sz="4" w:space="0" w:color="000000"/>
            </w:tcBorders>
          </w:tcPr>
          <w:p w14:paraId="038A2DEE" w14:textId="77777777" w:rsidR="00C83428" w:rsidRDefault="00C83428" w:rsidP="001A5D4A">
            <w:pPr>
              <w:pStyle w:val="NotesTable-CellPlain"/>
            </w:pPr>
            <w:r>
              <w:t>–</w:t>
            </w:r>
          </w:p>
        </w:tc>
        <w:tc>
          <w:tcPr>
            <w:tcW w:w="405" w:type="pct"/>
            <w:tcBorders>
              <w:top w:val="single" w:sz="4" w:space="0" w:color="000000"/>
            </w:tcBorders>
          </w:tcPr>
          <w:p w14:paraId="038A2DEF" w14:textId="77777777" w:rsidR="00C83428" w:rsidRDefault="00C83428" w:rsidP="001A5D4A">
            <w:pPr>
              <w:pStyle w:val="NotesTable-CellBold"/>
            </w:pPr>
            <w:r>
              <w:t>–</w:t>
            </w:r>
          </w:p>
        </w:tc>
        <w:tc>
          <w:tcPr>
            <w:tcW w:w="404" w:type="pct"/>
            <w:tcBorders>
              <w:top w:val="single" w:sz="4" w:space="0" w:color="000000"/>
            </w:tcBorders>
          </w:tcPr>
          <w:p w14:paraId="038A2DF0" w14:textId="6F2BF949" w:rsidR="00C83428" w:rsidRDefault="00C83428" w:rsidP="001A5D4A">
            <w:pPr>
              <w:pStyle w:val="NotesTable-CellPlain"/>
            </w:pPr>
            <w:r>
              <w:t>–</w:t>
            </w:r>
          </w:p>
        </w:tc>
      </w:tr>
      <w:tr w:rsidR="00780138" w14:paraId="038A2DF4" w14:textId="77777777" w:rsidTr="00EF62D6">
        <w:trPr>
          <w:trHeight w:val="181"/>
        </w:trPr>
        <w:tc>
          <w:tcPr>
            <w:tcW w:w="803" w:type="pct"/>
          </w:tcPr>
          <w:p w14:paraId="038A2DF2" w14:textId="77777777" w:rsidR="00780138" w:rsidRDefault="00780138" w:rsidP="001A5D4A">
            <w:pPr>
              <w:pStyle w:val="Note-Refs"/>
            </w:pPr>
          </w:p>
        </w:tc>
        <w:tc>
          <w:tcPr>
            <w:tcW w:w="4197" w:type="pct"/>
            <w:gridSpan w:val="8"/>
            <w:vAlign w:val="bottom"/>
          </w:tcPr>
          <w:p w14:paraId="038A2DF3" w14:textId="77777777" w:rsidR="00780138" w:rsidRDefault="00780138" w:rsidP="001A5D4A">
            <w:pPr>
              <w:pStyle w:val="Note-Text"/>
            </w:pPr>
          </w:p>
        </w:tc>
      </w:tr>
      <w:tr w:rsidR="00C83428" w14:paraId="038A2DF7" w14:textId="77777777" w:rsidTr="00EF62D6">
        <w:trPr>
          <w:trHeight w:val="181"/>
        </w:trPr>
        <w:tc>
          <w:tcPr>
            <w:tcW w:w="803" w:type="pct"/>
          </w:tcPr>
          <w:p w14:paraId="038A2DF5" w14:textId="77777777" w:rsidR="00C83428" w:rsidRDefault="00C83428" w:rsidP="001A5D4A">
            <w:pPr>
              <w:pStyle w:val="Note-Refs"/>
            </w:pPr>
          </w:p>
        </w:tc>
        <w:tc>
          <w:tcPr>
            <w:tcW w:w="4197" w:type="pct"/>
            <w:gridSpan w:val="8"/>
            <w:vAlign w:val="bottom"/>
          </w:tcPr>
          <w:p w14:paraId="038A2DF6" w14:textId="77777777" w:rsidR="00C83428" w:rsidRDefault="00C83428" w:rsidP="001A5D4A">
            <w:pPr>
              <w:pStyle w:val="Note-TextHeader"/>
              <w:rPr>
                <w:b w:val="0"/>
                <w:lang w:val="en-GB"/>
              </w:rPr>
            </w:pPr>
            <w:r>
              <w:t>(c)</w:t>
            </w:r>
            <w:r>
              <w:tab/>
              <w:t>[Specify class of borrowings]</w:t>
            </w:r>
          </w:p>
        </w:tc>
      </w:tr>
      <w:tr w:rsidR="00C83428" w14:paraId="038A2DFA" w14:textId="77777777" w:rsidTr="00EF62D6">
        <w:trPr>
          <w:trHeight w:val="181"/>
        </w:trPr>
        <w:tc>
          <w:tcPr>
            <w:tcW w:w="803" w:type="pct"/>
          </w:tcPr>
          <w:p w14:paraId="038A2DF8" w14:textId="77777777" w:rsidR="00C83428" w:rsidRDefault="00C83428" w:rsidP="001A5D4A">
            <w:pPr>
              <w:pStyle w:val="Note-Refs"/>
              <w:rPr>
                <w:b/>
              </w:rPr>
            </w:pPr>
            <w:r>
              <w:t>AASB7.21,31,34</w:t>
            </w:r>
          </w:p>
        </w:tc>
        <w:tc>
          <w:tcPr>
            <w:tcW w:w="4197" w:type="pct"/>
            <w:gridSpan w:val="8"/>
            <w:vAlign w:val="bottom"/>
          </w:tcPr>
          <w:p w14:paraId="038A2DF9" w14:textId="77777777" w:rsidR="00C83428" w:rsidRDefault="00C83428" w:rsidP="001A5D4A">
            <w:pPr>
              <w:pStyle w:val="NotesTable-ItemPlain"/>
              <w:rPr>
                <w:b/>
              </w:rPr>
            </w:pPr>
            <w:r>
              <w:t>[Specify details of borrowings]</w:t>
            </w:r>
          </w:p>
        </w:tc>
      </w:tr>
      <w:tr w:rsidR="00780138" w14:paraId="038A2DFD" w14:textId="77777777" w:rsidTr="00EF62D6">
        <w:trPr>
          <w:trHeight w:val="181"/>
        </w:trPr>
        <w:tc>
          <w:tcPr>
            <w:tcW w:w="803" w:type="pct"/>
          </w:tcPr>
          <w:p w14:paraId="038A2DFB" w14:textId="77777777" w:rsidR="00780138" w:rsidRDefault="00780138" w:rsidP="001A5D4A">
            <w:pPr>
              <w:pStyle w:val="Note-Refs"/>
            </w:pPr>
          </w:p>
        </w:tc>
        <w:tc>
          <w:tcPr>
            <w:tcW w:w="4197" w:type="pct"/>
            <w:gridSpan w:val="8"/>
            <w:vAlign w:val="bottom"/>
          </w:tcPr>
          <w:p w14:paraId="038A2DFC" w14:textId="77777777" w:rsidR="00780138" w:rsidRDefault="00780138" w:rsidP="001A5D4A">
            <w:pPr>
              <w:pStyle w:val="Note-Text"/>
            </w:pPr>
          </w:p>
        </w:tc>
      </w:tr>
      <w:tr w:rsidR="00561138" w14:paraId="4F3C9093" w14:textId="77777777" w:rsidTr="00561138">
        <w:trPr>
          <w:trHeight w:val="181"/>
        </w:trPr>
        <w:tc>
          <w:tcPr>
            <w:tcW w:w="803" w:type="pct"/>
          </w:tcPr>
          <w:p w14:paraId="22B1908F" w14:textId="77777777" w:rsidR="00561138" w:rsidRDefault="00561138" w:rsidP="003411A8">
            <w:pPr>
              <w:pStyle w:val="Note-Refs"/>
            </w:pPr>
          </w:p>
        </w:tc>
        <w:tc>
          <w:tcPr>
            <w:tcW w:w="4197" w:type="pct"/>
            <w:gridSpan w:val="8"/>
            <w:vAlign w:val="bottom"/>
          </w:tcPr>
          <w:p w14:paraId="1103861C" w14:textId="77777777" w:rsidR="00561138" w:rsidRPr="00561138" w:rsidRDefault="00561138" w:rsidP="00561138">
            <w:pPr>
              <w:pStyle w:val="Note-Text"/>
            </w:pPr>
            <w:r>
              <w:t>(d)</w:t>
            </w:r>
            <w:r>
              <w:tab/>
              <w:t>Fair value</w:t>
            </w:r>
          </w:p>
        </w:tc>
      </w:tr>
      <w:tr w:rsidR="00561138" w14:paraId="284EF588" w14:textId="77777777" w:rsidTr="00561138">
        <w:trPr>
          <w:trHeight w:val="181"/>
        </w:trPr>
        <w:tc>
          <w:tcPr>
            <w:tcW w:w="803" w:type="pct"/>
          </w:tcPr>
          <w:p w14:paraId="61833E47" w14:textId="77777777" w:rsidR="00561138" w:rsidRPr="00561138" w:rsidRDefault="00561138" w:rsidP="003411A8">
            <w:pPr>
              <w:pStyle w:val="Note-Refs"/>
            </w:pPr>
            <w:r>
              <w:t>AASB7.25</w:t>
            </w:r>
          </w:p>
        </w:tc>
        <w:tc>
          <w:tcPr>
            <w:tcW w:w="4197" w:type="pct"/>
            <w:gridSpan w:val="8"/>
            <w:vAlign w:val="bottom"/>
          </w:tcPr>
          <w:p w14:paraId="02F912B2" w14:textId="77777777" w:rsidR="00561138" w:rsidRPr="00561138" w:rsidRDefault="00561138" w:rsidP="00561138">
            <w:pPr>
              <w:pStyle w:val="Note-Text"/>
            </w:pPr>
            <w:r>
              <w:t>The carrying amounts and fair values of borrowings at balance date are:</w:t>
            </w:r>
          </w:p>
        </w:tc>
      </w:tr>
      <w:tr w:rsidR="00561138" w14:paraId="2D66CE9C" w14:textId="77777777" w:rsidTr="003411A8">
        <w:trPr>
          <w:trHeight w:val="181"/>
        </w:trPr>
        <w:tc>
          <w:tcPr>
            <w:tcW w:w="803" w:type="pct"/>
          </w:tcPr>
          <w:p w14:paraId="782E2517" w14:textId="77777777" w:rsidR="00561138" w:rsidRDefault="00561138" w:rsidP="003411A8">
            <w:pPr>
              <w:pStyle w:val="Note-Refs"/>
            </w:pPr>
          </w:p>
        </w:tc>
        <w:tc>
          <w:tcPr>
            <w:tcW w:w="2570" w:type="pct"/>
            <w:gridSpan w:val="3"/>
            <w:vAlign w:val="bottom"/>
          </w:tcPr>
          <w:p w14:paraId="1D51ED87" w14:textId="77777777" w:rsidR="00561138" w:rsidRDefault="00561138" w:rsidP="003411A8">
            <w:pPr>
              <w:pStyle w:val="NotesTable-ItemPlain"/>
            </w:pPr>
          </w:p>
        </w:tc>
        <w:tc>
          <w:tcPr>
            <w:tcW w:w="1627" w:type="pct"/>
            <w:gridSpan w:val="5"/>
          </w:tcPr>
          <w:p w14:paraId="6B12056B" w14:textId="77777777" w:rsidR="00561138" w:rsidRDefault="00561138" w:rsidP="003411A8">
            <w:pPr>
              <w:pStyle w:val="NotesTable-HeadPlain"/>
            </w:pPr>
            <w:r>
              <w:t>Consolidated</w:t>
            </w:r>
          </w:p>
        </w:tc>
      </w:tr>
      <w:tr w:rsidR="00561138" w14:paraId="3485CFE9" w14:textId="77777777" w:rsidTr="003411A8">
        <w:trPr>
          <w:trHeight w:val="181"/>
        </w:trPr>
        <w:tc>
          <w:tcPr>
            <w:tcW w:w="803" w:type="pct"/>
          </w:tcPr>
          <w:p w14:paraId="5C11105C" w14:textId="77777777" w:rsidR="00561138" w:rsidRDefault="00561138" w:rsidP="003411A8">
            <w:pPr>
              <w:pStyle w:val="Note-Refs"/>
            </w:pPr>
          </w:p>
        </w:tc>
        <w:tc>
          <w:tcPr>
            <w:tcW w:w="2570" w:type="pct"/>
            <w:gridSpan w:val="3"/>
            <w:vAlign w:val="bottom"/>
          </w:tcPr>
          <w:p w14:paraId="15AD8386" w14:textId="77777777" w:rsidR="00561138" w:rsidRDefault="00561138" w:rsidP="003411A8">
            <w:pPr>
              <w:pStyle w:val="NotesTable-ItemPlain"/>
            </w:pPr>
          </w:p>
        </w:tc>
        <w:tc>
          <w:tcPr>
            <w:tcW w:w="818" w:type="pct"/>
            <w:gridSpan w:val="3"/>
          </w:tcPr>
          <w:p w14:paraId="3C9B66F3" w14:textId="77777777" w:rsidR="00561138" w:rsidRDefault="00561138" w:rsidP="003411A8">
            <w:pPr>
              <w:pStyle w:val="NotesTable-HeadBold"/>
            </w:pPr>
            <w:r>
              <w:t>2014</w:t>
            </w:r>
          </w:p>
        </w:tc>
        <w:tc>
          <w:tcPr>
            <w:tcW w:w="809" w:type="pct"/>
            <w:gridSpan w:val="2"/>
          </w:tcPr>
          <w:p w14:paraId="30C945C1" w14:textId="77777777" w:rsidR="00561138" w:rsidRDefault="00561138" w:rsidP="003411A8">
            <w:pPr>
              <w:pStyle w:val="NotesTable-HeadPlain"/>
            </w:pPr>
            <w:r>
              <w:t>2013</w:t>
            </w:r>
          </w:p>
        </w:tc>
      </w:tr>
      <w:tr w:rsidR="00561138" w14:paraId="747E9CA6" w14:textId="77777777" w:rsidTr="00561138">
        <w:trPr>
          <w:trHeight w:val="181"/>
        </w:trPr>
        <w:tc>
          <w:tcPr>
            <w:tcW w:w="803" w:type="pct"/>
            <w:vAlign w:val="bottom"/>
          </w:tcPr>
          <w:p w14:paraId="0C85EC79" w14:textId="77777777" w:rsidR="00561138" w:rsidRDefault="00561138" w:rsidP="003411A8">
            <w:pPr>
              <w:pStyle w:val="Note-Refs"/>
            </w:pPr>
          </w:p>
        </w:tc>
        <w:tc>
          <w:tcPr>
            <w:tcW w:w="2570" w:type="pct"/>
            <w:gridSpan w:val="3"/>
            <w:vAlign w:val="bottom"/>
          </w:tcPr>
          <w:p w14:paraId="08CD94BC" w14:textId="77777777" w:rsidR="00561138" w:rsidRDefault="00561138" w:rsidP="003411A8">
            <w:pPr>
              <w:pStyle w:val="NotesTable-ItemPlain"/>
            </w:pPr>
          </w:p>
        </w:tc>
        <w:tc>
          <w:tcPr>
            <w:tcW w:w="412" w:type="pct"/>
            <w:gridSpan w:val="2"/>
            <w:vAlign w:val="bottom"/>
          </w:tcPr>
          <w:p w14:paraId="51CF9B4E" w14:textId="77777777" w:rsidR="00561138" w:rsidRDefault="00561138" w:rsidP="003411A8">
            <w:pPr>
              <w:pStyle w:val="NotesTable-HeadBold"/>
            </w:pPr>
            <w:r>
              <w:t>Carrying amount</w:t>
            </w:r>
          </w:p>
        </w:tc>
        <w:tc>
          <w:tcPr>
            <w:tcW w:w="406" w:type="pct"/>
            <w:vAlign w:val="bottom"/>
          </w:tcPr>
          <w:p w14:paraId="2485E338" w14:textId="77777777" w:rsidR="00561138" w:rsidRDefault="00561138" w:rsidP="003411A8">
            <w:pPr>
              <w:pStyle w:val="NotesTable-HeadBold"/>
            </w:pPr>
            <w:r>
              <w:t>Fair value</w:t>
            </w:r>
          </w:p>
        </w:tc>
        <w:tc>
          <w:tcPr>
            <w:tcW w:w="406" w:type="pct"/>
            <w:vAlign w:val="bottom"/>
          </w:tcPr>
          <w:p w14:paraId="3F6A93B1" w14:textId="77777777" w:rsidR="00561138" w:rsidRDefault="00561138" w:rsidP="003411A8">
            <w:pPr>
              <w:pStyle w:val="NotesTable-HeadPlain"/>
            </w:pPr>
            <w:r>
              <w:t>Carrying amount</w:t>
            </w:r>
          </w:p>
        </w:tc>
        <w:tc>
          <w:tcPr>
            <w:tcW w:w="403" w:type="pct"/>
            <w:vAlign w:val="bottom"/>
          </w:tcPr>
          <w:p w14:paraId="76B0B78D" w14:textId="77777777" w:rsidR="00561138" w:rsidRDefault="00561138" w:rsidP="003411A8">
            <w:pPr>
              <w:pStyle w:val="NotesTable-HeadPlain"/>
              <w:rPr>
                <w:b/>
              </w:rPr>
            </w:pPr>
            <w:r>
              <w:t>Fair value</w:t>
            </w:r>
          </w:p>
        </w:tc>
      </w:tr>
      <w:tr w:rsidR="00561138" w14:paraId="4FADEF06" w14:textId="77777777" w:rsidTr="00561138">
        <w:trPr>
          <w:trHeight w:val="181"/>
        </w:trPr>
        <w:tc>
          <w:tcPr>
            <w:tcW w:w="803" w:type="pct"/>
            <w:vAlign w:val="bottom"/>
          </w:tcPr>
          <w:p w14:paraId="384C72E2" w14:textId="77777777" w:rsidR="00561138" w:rsidRDefault="00561138" w:rsidP="003411A8">
            <w:pPr>
              <w:pStyle w:val="Note-Refs"/>
            </w:pPr>
          </w:p>
        </w:tc>
        <w:tc>
          <w:tcPr>
            <w:tcW w:w="2570" w:type="pct"/>
            <w:gridSpan w:val="3"/>
            <w:vAlign w:val="bottom"/>
          </w:tcPr>
          <w:p w14:paraId="67E01533" w14:textId="77777777" w:rsidR="00561138" w:rsidRDefault="00561138" w:rsidP="003411A8">
            <w:pPr>
              <w:pStyle w:val="NotesTable-ItemPlain"/>
            </w:pPr>
          </w:p>
        </w:tc>
        <w:tc>
          <w:tcPr>
            <w:tcW w:w="412" w:type="pct"/>
            <w:gridSpan w:val="2"/>
            <w:vAlign w:val="bottom"/>
          </w:tcPr>
          <w:p w14:paraId="1A9A4236" w14:textId="77777777" w:rsidR="00561138" w:rsidRDefault="00561138" w:rsidP="003411A8">
            <w:pPr>
              <w:pStyle w:val="NotesTable-HeadBold"/>
            </w:pPr>
            <w:r>
              <w:t>$'000</w:t>
            </w:r>
          </w:p>
        </w:tc>
        <w:tc>
          <w:tcPr>
            <w:tcW w:w="406" w:type="pct"/>
            <w:vAlign w:val="bottom"/>
          </w:tcPr>
          <w:p w14:paraId="2AEACEAF" w14:textId="77777777" w:rsidR="00561138" w:rsidRDefault="00561138" w:rsidP="003411A8">
            <w:pPr>
              <w:pStyle w:val="NotesTable-HeadBold"/>
            </w:pPr>
            <w:r>
              <w:t>$'000</w:t>
            </w:r>
          </w:p>
        </w:tc>
        <w:tc>
          <w:tcPr>
            <w:tcW w:w="406" w:type="pct"/>
            <w:vAlign w:val="bottom"/>
          </w:tcPr>
          <w:p w14:paraId="0D07EAD7" w14:textId="77777777" w:rsidR="00561138" w:rsidRDefault="00561138" w:rsidP="003411A8">
            <w:pPr>
              <w:pStyle w:val="NotesTable-HeadPlain"/>
            </w:pPr>
            <w:r>
              <w:t>$'000</w:t>
            </w:r>
          </w:p>
        </w:tc>
        <w:tc>
          <w:tcPr>
            <w:tcW w:w="403" w:type="pct"/>
            <w:vAlign w:val="bottom"/>
          </w:tcPr>
          <w:p w14:paraId="03C8F6BA" w14:textId="77777777" w:rsidR="00561138" w:rsidRDefault="00561138" w:rsidP="003411A8">
            <w:pPr>
              <w:pStyle w:val="NotesTable-HeadPlain"/>
              <w:rPr>
                <w:b/>
              </w:rPr>
            </w:pPr>
            <w:r>
              <w:t>$'000</w:t>
            </w:r>
          </w:p>
        </w:tc>
      </w:tr>
      <w:tr w:rsidR="00561138" w14:paraId="17F06A78" w14:textId="77777777" w:rsidTr="00561138">
        <w:trPr>
          <w:trHeight w:val="181"/>
        </w:trPr>
        <w:tc>
          <w:tcPr>
            <w:tcW w:w="803" w:type="pct"/>
            <w:vAlign w:val="bottom"/>
          </w:tcPr>
          <w:p w14:paraId="5EB78E85" w14:textId="77777777" w:rsidR="00561138" w:rsidRDefault="00561138" w:rsidP="003411A8">
            <w:pPr>
              <w:pStyle w:val="Note-Refs"/>
            </w:pPr>
          </w:p>
        </w:tc>
        <w:tc>
          <w:tcPr>
            <w:tcW w:w="2570" w:type="pct"/>
            <w:gridSpan w:val="3"/>
            <w:vAlign w:val="bottom"/>
          </w:tcPr>
          <w:p w14:paraId="42E3803F" w14:textId="77777777" w:rsidR="00561138" w:rsidRDefault="00561138" w:rsidP="003411A8">
            <w:pPr>
              <w:pStyle w:val="NotesTable-ItemPlain"/>
              <w:rPr>
                <w:b/>
              </w:rPr>
            </w:pPr>
            <w:r>
              <w:t>Non</w:t>
            </w:r>
            <w:r>
              <w:noBreakHyphen/>
              <w:t>traded financial liabilities</w:t>
            </w:r>
          </w:p>
        </w:tc>
        <w:tc>
          <w:tcPr>
            <w:tcW w:w="412" w:type="pct"/>
            <w:gridSpan w:val="2"/>
            <w:vAlign w:val="bottom"/>
          </w:tcPr>
          <w:p w14:paraId="2CBBDB5C" w14:textId="77777777" w:rsidR="00561138" w:rsidRDefault="00561138" w:rsidP="003411A8">
            <w:pPr>
              <w:pStyle w:val="NotesTable-CellBold"/>
            </w:pPr>
          </w:p>
        </w:tc>
        <w:tc>
          <w:tcPr>
            <w:tcW w:w="406" w:type="pct"/>
            <w:vAlign w:val="bottom"/>
          </w:tcPr>
          <w:p w14:paraId="3DDB3688" w14:textId="77777777" w:rsidR="00561138" w:rsidRDefault="00561138" w:rsidP="003411A8">
            <w:pPr>
              <w:pStyle w:val="NotesTable-CellBold"/>
            </w:pPr>
          </w:p>
        </w:tc>
        <w:tc>
          <w:tcPr>
            <w:tcW w:w="406" w:type="pct"/>
            <w:vAlign w:val="bottom"/>
          </w:tcPr>
          <w:p w14:paraId="1DC7DEA4" w14:textId="77777777" w:rsidR="00561138" w:rsidRDefault="00561138" w:rsidP="003411A8">
            <w:pPr>
              <w:pStyle w:val="NotesTable-CellPlain"/>
            </w:pPr>
          </w:p>
        </w:tc>
        <w:tc>
          <w:tcPr>
            <w:tcW w:w="403" w:type="pct"/>
            <w:vAlign w:val="bottom"/>
          </w:tcPr>
          <w:p w14:paraId="17B50E40" w14:textId="77777777" w:rsidR="00561138" w:rsidRDefault="00561138" w:rsidP="003411A8">
            <w:pPr>
              <w:pStyle w:val="NotesTable-CellPlain"/>
            </w:pPr>
          </w:p>
        </w:tc>
      </w:tr>
      <w:tr w:rsidR="00561138" w14:paraId="4A182A09" w14:textId="77777777" w:rsidTr="00561138">
        <w:trPr>
          <w:trHeight w:val="181"/>
        </w:trPr>
        <w:tc>
          <w:tcPr>
            <w:tcW w:w="803" w:type="pct"/>
            <w:vAlign w:val="bottom"/>
          </w:tcPr>
          <w:p w14:paraId="7D31406D" w14:textId="77777777" w:rsidR="00561138" w:rsidRDefault="00561138" w:rsidP="003411A8">
            <w:pPr>
              <w:pStyle w:val="Note-Refs"/>
            </w:pPr>
          </w:p>
        </w:tc>
        <w:tc>
          <w:tcPr>
            <w:tcW w:w="2570" w:type="pct"/>
            <w:gridSpan w:val="3"/>
            <w:vAlign w:val="bottom"/>
          </w:tcPr>
          <w:p w14:paraId="658196B2" w14:textId="77777777" w:rsidR="00561138" w:rsidRDefault="00561138" w:rsidP="003411A8">
            <w:pPr>
              <w:pStyle w:val="NotesTable-ItemIndent"/>
              <w:rPr>
                <w:b/>
              </w:rPr>
            </w:pPr>
            <w:r>
              <w:t>[specify borrowing]</w:t>
            </w:r>
          </w:p>
        </w:tc>
        <w:tc>
          <w:tcPr>
            <w:tcW w:w="412" w:type="pct"/>
            <w:gridSpan w:val="2"/>
          </w:tcPr>
          <w:p w14:paraId="377F29AB" w14:textId="77777777" w:rsidR="00561138" w:rsidRDefault="00561138" w:rsidP="003411A8">
            <w:pPr>
              <w:pStyle w:val="NotesTable-CellBold"/>
            </w:pPr>
            <w:r w:rsidRPr="00066EAA">
              <w:t>–</w:t>
            </w:r>
          </w:p>
        </w:tc>
        <w:tc>
          <w:tcPr>
            <w:tcW w:w="406" w:type="pct"/>
          </w:tcPr>
          <w:p w14:paraId="246E5A64" w14:textId="77777777" w:rsidR="00561138" w:rsidRDefault="00561138" w:rsidP="003411A8">
            <w:pPr>
              <w:pStyle w:val="NotesTable-CellBold"/>
            </w:pPr>
            <w:r w:rsidRPr="00066EAA">
              <w:t>–</w:t>
            </w:r>
          </w:p>
        </w:tc>
        <w:tc>
          <w:tcPr>
            <w:tcW w:w="406" w:type="pct"/>
          </w:tcPr>
          <w:p w14:paraId="388E7CEE" w14:textId="77777777" w:rsidR="00561138" w:rsidRDefault="00561138" w:rsidP="003411A8">
            <w:pPr>
              <w:pStyle w:val="NotesTable-CellPlain"/>
            </w:pPr>
            <w:r w:rsidRPr="00A67F68">
              <w:t>–</w:t>
            </w:r>
          </w:p>
        </w:tc>
        <w:tc>
          <w:tcPr>
            <w:tcW w:w="403" w:type="pct"/>
          </w:tcPr>
          <w:p w14:paraId="4D5B7EB1" w14:textId="77777777" w:rsidR="00561138" w:rsidRDefault="00561138" w:rsidP="003411A8">
            <w:pPr>
              <w:pStyle w:val="NotesTable-CellPlain"/>
            </w:pPr>
            <w:r w:rsidRPr="00A67F68">
              <w:t>–</w:t>
            </w:r>
          </w:p>
        </w:tc>
      </w:tr>
      <w:tr w:rsidR="00561138" w14:paraId="6525F440" w14:textId="77777777" w:rsidTr="00561138">
        <w:trPr>
          <w:trHeight w:val="181"/>
        </w:trPr>
        <w:tc>
          <w:tcPr>
            <w:tcW w:w="803" w:type="pct"/>
            <w:vAlign w:val="bottom"/>
          </w:tcPr>
          <w:p w14:paraId="1C117E07" w14:textId="77777777" w:rsidR="00561138" w:rsidRDefault="00561138" w:rsidP="003411A8">
            <w:pPr>
              <w:pStyle w:val="Note-Refs"/>
            </w:pPr>
          </w:p>
        </w:tc>
        <w:tc>
          <w:tcPr>
            <w:tcW w:w="2570" w:type="pct"/>
            <w:gridSpan w:val="3"/>
            <w:vAlign w:val="bottom"/>
          </w:tcPr>
          <w:p w14:paraId="661C9574" w14:textId="77777777" w:rsidR="00561138" w:rsidRDefault="00561138" w:rsidP="003411A8">
            <w:pPr>
              <w:pStyle w:val="NotesTable-ItemPlain"/>
              <w:rPr>
                <w:b/>
              </w:rPr>
            </w:pPr>
            <w:r>
              <w:t>Traded financial liabilities</w:t>
            </w:r>
          </w:p>
        </w:tc>
        <w:tc>
          <w:tcPr>
            <w:tcW w:w="412" w:type="pct"/>
            <w:gridSpan w:val="2"/>
            <w:vAlign w:val="bottom"/>
          </w:tcPr>
          <w:p w14:paraId="719E64D8" w14:textId="77777777" w:rsidR="00561138" w:rsidRDefault="00561138" w:rsidP="003411A8">
            <w:pPr>
              <w:pStyle w:val="NotesTable-CellBold"/>
            </w:pPr>
          </w:p>
        </w:tc>
        <w:tc>
          <w:tcPr>
            <w:tcW w:w="406" w:type="pct"/>
            <w:vAlign w:val="bottom"/>
          </w:tcPr>
          <w:p w14:paraId="648FAD46" w14:textId="77777777" w:rsidR="00561138" w:rsidRDefault="00561138" w:rsidP="003411A8">
            <w:pPr>
              <w:pStyle w:val="NotesTable-CellBold"/>
            </w:pPr>
          </w:p>
        </w:tc>
        <w:tc>
          <w:tcPr>
            <w:tcW w:w="406" w:type="pct"/>
            <w:vAlign w:val="bottom"/>
          </w:tcPr>
          <w:p w14:paraId="76F74B8A" w14:textId="77777777" w:rsidR="00561138" w:rsidRDefault="00561138" w:rsidP="003411A8">
            <w:pPr>
              <w:pStyle w:val="NotesTable-CellPlain"/>
            </w:pPr>
          </w:p>
        </w:tc>
        <w:tc>
          <w:tcPr>
            <w:tcW w:w="403" w:type="pct"/>
            <w:vAlign w:val="bottom"/>
          </w:tcPr>
          <w:p w14:paraId="0819E9AB" w14:textId="77777777" w:rsidR="00561138" w:rsidRDefault="00561138" w:rsidP="003411A8">
            <w:pPr>
              <w:pStyle w:val="NotesTable-CellPlain"/>
            </w:pPr>
          </w:p>
        </w:tc>
      </w:tr>
      <w:tr w:rsidR="00561138" w14:paraId="305872C9" w14:textId="77777777" w:rsidTr="00561138">
        <w:trPr>
          <w:trHeight w:val="181"/>
        </w:trPr>
        <w:tc>
          <w:tcPr>
            <w:tcW w:w="803" w:type="pct"/>
            <w:vAlign w:val="bottom"/>
          </w:tcPr>
          <w:p w14:paraId="7C181EC0" w14:textId="77777777" w:rsidR="00561138" w:rsidRDefault="00561138" w:rsidP="003411A8">
            <w:pPr>
              <w:pStyle w:val="Note-Refs"/>
            </w:pPr>
          </w:p>
        </w:tc>
        <w:tc>
          <w:tcPr>
            <w:tcW w:w="2570" w:type="pct"/>
            <w:gridSpan w:val="3"/>
            <w:vAlign w:val="bottom"/>
          </w:tcPr>
          <w:p w14:paraId="4460B458" w14:textId="77777777" w:rsidR="00561138" w:rsidRDefault="00561138" w:rsidP="003411A8">
            <w:pPr>
              <w:pStyle w:val="NotesTable-ItemIndent"/>
              <w:rPr>
                <w:b/>
              </w:rPr>
            </w:pPr>
            <w:r>
              <w:t>[specify borrowing]</w:t>
            </w:r>
          </w:p>
        </w:tc>
        <w:tc>
          <w:tcPr>
            <w:tcW w:w="412" w:type="pct"/>
            <w:gridSpan w:val="2"/>
            <w:tcBorders>
              <w:bottom w:val="single" w:sz="4" w:space="0" w:color="auto"/>
            </w:tcBorders>
          </w:tcPr>
          <w:p w14:paraId="4CF372E7" w14:textId="77777777" w:rsidR="00561138" w:rsidRDefault="00561138" w:rsidP="003411A8">
            <w:pPr>
              <w:pStyle w:val="NotesTable-CellBold"/>
              <w:rPr>
                <w:u w:val="single"/>
              </w:rPr>
            </w:pPr>
            <w:r w:rsidRPr="009A249C">
              <w:t>–</w:t>
            </w:r>
          </w:p>
        </w:tc>
        <w:tc>
          <w:tcPr>
            <w:tcW w:w="406" w:type="pct"/>
            <w:tcBorders>
              <w:bottom w:val="single" w:sz="4" w:space="0" w:color="auto"/>
            </w:tcBorders>
          </w:tcPr>
          <w:p w14:paraId="328BE714" w14:textId="77777777" w:rsidR="00561138" w:rsidRDefault="00561138" w:rsidP="003411A8">
            <w:pPr>
              <w:pStyle w:val="NotesTable-CellBold"/>
              <w:rPr>
                <w:u w:val="single"/>
              </w:rPr>
            </w:pPr>
            <w:r w:rsidRPr="009A249C">
              <w:t>–</w:t>
            </w:r>
          </w:p>
        </w:tc>
        <w:tc>
          <w:tcPr>
            <w:tcW w:w="406" w:type="pct"/>
            <w:tcBorders>
              <w:bottom w:val="single" w:sz="4" w:space="0" w:color="auto"/>
            </w:tcBorders>
          </w:tcPr>
          <w:p w14:paraId="3C2CB7F8" w14:textId="77777777" w:rsidR="00561138" w:rsidRDefault="00561138" w:rsidP="003411A8">
            <w:pPr>
              <w:pStyle w:val="NotesTable-CellPlain"/>
              <w:rPr>
                <w:u w:val="single"/>
              </w:rPr>
            </w:pPr>
            <w:r w:rsidRPr="007235FD">
              <w:t>–</w:t>
            </w:r>
          </w:p>
        </w:tc>
        <w:tc>
          <w:tcPr>
            <w:tcW w:w="403" w:type="pct"/>
            <w:tcBorders>
              <w:bottom w:val="single" w:sz="4" w:space="0" w:color="auto"/>
            </w:tcBorders>
          </w:tcPr>
          <w:p w14:paraId="1A9A666F" w14:textId="77777777" w:rsidR="00561138" w:rsidRDefault="00561138" w:rsidP="003411A8">
            <w:pPr>
              <w:pStyle w:val="NotesTable-CellPlain"/>
              <w:rPr>
                <w:u w:val="single"/>
              </w:rPr>
            </w:pPr>
            <w:r w:rsidRPr="007235FD">
              <w:t>–</w:t>
            </w:r>
          </w:p>
        </w:tc>
      </w:tr>
      <w:tr w:rsidR="00561138" w14:paraId="77BBB8EA" w14:textId="77777777" w:rsidTr="00561138">
        <w:trPr>
          <w:trHeight w:val="181"/>
        </w:trPr>
        <w:tc>
          <w:tcPr>
            <w:tcW w:w="803" w:type="pct"/>
            <w:vAlign w:val="bottom"/>
          </w:tcPr>
          <w:p w14:paraId="4C386747" w14:textId="77777777" w:rsidR="00561138" w:rsidRDefault="00561138" w:rsidP="003411A8">
            <w:pPr>
              <w:pStyle w:val="Note-Refs"/>
            </w:pPr>
          </w:p>
        </w:tc>
        <w:tc>
          <w:tcPr>
            <w:tcW w:w="2570" w:type="pct"/>
            <w:gridSpan w:val="3"/>
            <w:vAlign w:val="bottom"/>
          </w:tcPr>
          <w:p w14:paraId="2ADEFBF7" w14:textId="77777777" w:rsidR="00561138" w:rsidRDefault="00561138" w:rsidP="003411A8">
            <w:pPr>
              <w:pStyle w:val="NotesTable-ItemPlain"/>
              <w:rPr>
                <w:b/>
              </w:rPr>
            </w:pPr>
            <w:r>
              <w:t xml:space="preserve">Total liabilities </w:t>
            </w:r>
          </w:p>
        </w:tc>
        <w:tc>
          <w:tcPr>
            <w:tcW w:w="412" w:type="pct"/>
            <w:gridSpan w:val="2"/>
            <w:tcBorders>
              <w:top w:val="single" w:sz="4" w:space="0" w:color="auto"/>
            </w:tcBorders>
          </w:tcPr>
          <w:p w14:paraId="4774FF28" w14:textId="77777777" w:rsidR="00561138" w:rsidRDefault="00561138" w:rsidP="003411A8">
            <w:pPr>
              <w:pStyle w:val="NotesTable-CellBold"/>
              <w:rPr>
                <w:u w:val="single"/>
              </w:rPr>
            </w:pPr>
            <w:r w:rsidRPr="009A249C">
              <w:t>–</w:t>
            </w:r>
          </w:p>
        </w:tc>
        <w:tc>
          <w:tcPr>
            <w:tcW w:w="406" w:type="pct"/>
            <w:tcBorders>
              <w:top w:val="single" w:sz="4" w:space="0" w:color="auto"/>
            </w:tcBorders>
          </w:tcPr>
          <w:p w14:paraId="6E6D85DC" w14:textId="77777777" w:rsidR="00561138" w:rsidRDefault="00561138" w:rsidP="003411A8">
            <w:pPr>
              <w:pStyle w:val="NotesTable-CellBold"/>
              <w:rPr>
                <w:u w:val="single"/>
              </w:rPr>
            </w:pPr>
            <w:r w:rsidRPr="009A249C">
              <w:t>–</w:t>
            </w:r>
          </w:p>
        </w:tc>
        <w:tc>
          <w:tcPr>
            <w:tcW w:w="406" w:type="pct"/>
            <w:tcBorders>
              <w:top w:val="single" w:sz="4" w:space="0" w:color="auto"/>
            </w:tcBorders>
          </w:tcPr>
          <w:p w14:paraId="7AB52B13" w14:textId="77777777" w:rsidR="00561138" w:rsidRDefault="00561138" w:rsidP="003411A8">
            <w:pPr>
              <w:pStyle w:val="NotesTable-CellPlain"/>
              <w:rPr>
                <w:u w:val="single"/>
              </w:rPr>
            </w:pPr>
            <w:r w:rsidRPr="007235FD">
              <w:t>–</w:t>
            </w:r>
          </w:p>
        </w:tc>
        <w:tc>
          <w:tcPr>
            <w:tcW w:w="403" w:type="pct"/>
            <w:tcBorders>
              <w:top w:val="single" w:sz="4" w:space="0" w:color="auto"/>
            </w:tcBorders>
          </w:tcPr>
          <w:p w14:paraId="13427629" w14:textId="77777777" w:rsidR="00561138" w:rsidRDefault="00561138" w:rsidP="003411A8">
            <w:pPr>
              <w:pStyle w:val="NotesTable-CellPlain"/>
              <w:rPr>
                <w:u w:val="single"/>
              </w:rPr>
            </w:pPr>
            <w:r w:rsidRPr="007235FD">
              <w:t>–</w:t>
            </w:r>
          </w:p>
        </w:tc>
      </w:tr>
      <w:tr w:rsidR="00561138" w14:paraId="07C1AA6E" w14:textId="77777777" w:rsidTr="003411A8">
        <w:trPr>
          <w:trHeight w:hRule="exact" w:val="85"/>
        </w:trPr>
        <w:tc>
          <w:tcPr>
            <w:tcW w:w="803" w:type="pct"/>
          </w:tcPr>
          <w:p w14:paraId="77B1E7C9" w14:textId="77777777" w:rsidR="00561138" w:rsidRDefault="00561138" w:rsidP="003411A8">
            <w:pPr>
              <w:pStyle w:val="Note-Refs"/>
            </w:pPr>
          </w:p>
        </w:tc>
        <w:tc>
          <w:tcPr>
            <w:tcW w:w="4197" w:type="pct"/>
            <w:gridSpan w:val="8"/>
            <w:vAlign w:val="bottom"/>
          </w:tcPr>
          <w:p w14:paraId="7F15F0BE" w14:textId="77777777" w:rsidR="00561138" w:rsidRDefault="00561138" w:rsidP="003411A8">
            <w:pPr>
              <w:pStyle w:val="Note-Text"/>
            </w:pPr>
          </w:p>
        </w:tc>
      </w:tr>
      <w:tr w:rsidR="00561138" w14:paraId="1F0446DF" w14:textId="77777777" w:rsidTr="003411A8">
        <w:trPr>
          <w:trHeight w:val="181"/>
        </w:trPr>
        <w:tc>
          <w:tcPr>
            <w:tcW w:w="803" w:type="pct"/>
          </w:tcPr>
          <w:p w14:paraId="2BB3E5C0" w14:textId="77777777" w:rsidR="00561138" w:rsidRDefault="00561138" w:rsidP="003411A8">
            <w:pPr>
              <w:pStyle w:val="Note-Refs"/>
            </w:pPr>
          </w:p>
        </w:tc>
        <w:tc>
          <w:tcPr>
            <w:tcW w:w="4197" w:type="pct"/>
            <w:gridSpan w:val="8"/>
            <w:vAlign w:val="bottom"/>
          </w:tcPr>
          <w:p w14:paraId="2F81BB89" w14:textId="77777777" w:rsidR="00561138" w:rsidRDefault="00561138" w:rsidP="003411A8">
            <w:pPr>
              <w:pStyle w:val="NotesTable-ItemPlain"/>
              <w:rPr>
                <w:b/>
              </w:rPr>
            </w:pPr>
            <w:r>
              <w:t>Other than those classes of borrowings denoted as ''traded'', none of the classes are readily traded on organised markets in standardised form.</w:t>
            </w:r>
          </w:p>
        </w:tc>
      </w:tr>
      <w:tr w:rsidR="00561138" w14:paraId="640FF44A" w14:textId="77777777" w:rsidTr="003411A8">
        <w:trPr>
          <w:trHeight w:val="181"/>
        </w:trPr>
        <w:tc>
          <w:tcPr>
            <w:tcW w:w="803" w:type="pct"/>
          </w:tcPr>
          <w:p w14:paraId="021F9329" w14:textId="77777777" w:rsidR="00561138" w:rsidRDefault="00561138" w:rsidP="003411A8">
            <w:pPr>
              <w:pStyle w:val="Note-Refs"/>
            </w:pPr>
          </w:p>
        </w:tc>
        <w:tc>
          <w:tcPr>
            <w:tcW w:w="4197" w:type="pct"/>
            <w:gridSpan w:val="8"/>
            <w:vAlign w:val="bottom"/>
          </w:tcPr>
          <w:p w14:paraId="105D3D93" w14:textId="77777777" w:rsidR="00561138" w:rsidRDefault="00561138" w:rsidP="003411A8">
            <w:pPr>
              <w:pStyle w:val="Note-TextSubheader"/>
            </w:pPr>
          </w:p>
        </w:tc>
      </w:tr>
      <w:tr w:rsidR="00561138" w14:paraId="23B10FD6" w14:textId="77777777" w:rsidTr="003411A8">
        <w:trPr>
          <w:trHeight w:val="181"/>
        </w:trPr>
        <w:tc>
          <w:tcPr>
            <w:tcW w:w="803" w:type="pct"/>
          </w:tcPr>
          <w:p w14:paraId="531B9B17" w14:textId="77777777" w:rsidR="00561138" w:rsidRDefault="00561138" w:rsidP="003411A8">
            <w:pPr>
              <w:pStyle w:val="Note-Refs"/>
            </w:pPr>
          </w:p>
        </w:tc>
        <w:tc>
          <w:tcPr>
            <w:tcW w:w="4197" w:type="pct"/>
            <w:gridSpan w:val="8"/>
            <w:vAlign w:val="bottom"/>
          </w:tcPr>
          <w:p w14:paraId="6519A3E2" w14:textId="77777777" w:rsidR="00561138" w:rsidRDefault="00561138" w:rsidP="003411A8">
            <w:pPr>
              <w:pStyle w:val="Note-TextSubheader"/>
              <w:rPr>
                <w:b/>
                <w:lang w:val="en-GB"/>
              </w:rPr>
            </w:pPr>
            <w:r>
              <w:t>(i)</w:t>
            </w:r>
            <w:r w:rsidDel="00B916BE">
              <w:t xml:space="preserve"> </w:t>
            </w:r>
            <w:r>
              <w:t>On</w:t>
            </w:r>
            <w:r>
              <w:noBreakHyphen/>
              <w:t>balance sheet</w:t>
            </w:r>
          </w:p>
        </w:tc>
      </w:tr>
      <w:tr w:rsidR="00561138" w14:paraId="27CEB753" w14:textId="77777777" w:rsidTr="003411A8">
        <w:trPr>
          <w:trHeight w:val="181"/>
        </w:trPr>
        <w:tc>
          <w:tcPr>
            <w:tcW w:w="803" w:type="pct"/>
          </w:tcPr>
          <w:p w14:paraId="5AB94C72" w14:textId="77777777" w:rsidR="00561138" w:rsidRDefault="00561138" w:rsidP="003411A8">
            <w:pPr>
              <w:pStyle w:val="Note-Refs"/>
            </w:pPr>
            <w:r>
              <w:t>AASB7.21</w:t>
            </w:r>
          </w:p>
        </w:tc>
        <w:tc>
          <w:tcPr>
            <w:tcW w:w="4197" w:type="pct"/>
            <w:gridSpan w:val="8"/>
            <w:vAlign w:val="bottom"/>
          </w:tcPr>
          <w:p w14:paraId="11B6AB1A" w14:textId="77777777" w:rsidR="00561138" w:rsidRDefault="00561138" w:rsidP="003411A8">
            <w:pPr>
              <w:pStyle w:val="NotesTable-ItemPlain"/>
            </w:pPr>
            <w:r>
              <w:t xml:space="preserve">The fair value of current borrowings equals their carrying amount, as the impact of discounting is not significant. The fair values of non-current borrowings are based on cash flows discounted using borrowing rates varying from X% to Y%, depending on the type of the borrowing (2013 – X% to </w:t>
            </w:r>
            <w:proofErr w:type="gramStart"/>
            <w:r>
              <w:t>Y%</w:t>
            </w:r>
            <w:proofErr w:type="gramEnd"/>
            <w:r>
              <w:t>).</w:t>
            </w:r>
          </w:p>
        </w:tc>
      </w:tr>
      <w:tr w:rsidR="00561138" w:rsidRPr="00D21CB5" w14:paraId="2A08B197" w14:textId="77777777" w:rsidTr="003411A8">
        <w:trPr>
          <w:trHeight w:val="181"/>
        </w:trPr>
        <w:tc>
          <w:tcPr>
            <w:tcW w:w="810" w:type="pct"/>
            <w:gridSpan w:val="2"/>
          </w:tcPr>
          <w:p w14:paraId="405BAB71" w14:textId="77777777" w:rsidR="00561138" w:rsidRPr="00EF62D6" w:rsidRDefault="00561138" w:rsidP="003411A8">
            <w:pPr>
              <w:pStyle w:val="Note-Refs"/>
            </w:pPr>
          </w:p>
        </w:tc>
        <w:tc>
          <w:tcPr>
            <w:tcW w:w="4190" w:type="pct"/>
            <w:gridSpan w:val="7"/>
          </w:tcPr>
          <w:p w14:paraId="17CCE20C" w14:textId="77777777" w:rsidR="00561138" w:rsidRPr="00D21CB5" w:rsidRDefault="00561138" w:rsidP="003411A8">
            <w:pPr>
              <w:pStyle w:val="Note-Refs"/>
            </w:pPr>
          </w:p>
        </w:tc>
      </w:tr>
    </w:tbl>
    <w:p w14:paraId="561A6802" w14:textId="77777777" w:rsidR="00F94210" w:rsidRDefault="00F94210">
      <w:pPr>
        <w:spacing w:after="0"/>
      </w:pPr>
      <w:r>
        <w:br w:type="page"/>
      </w:r>
    </w:p>
    <w:tbl>
      <w:tblPr>
        <w:tblW w:w="5000" w:type="pct"/>
        <w:tblCellMar>
          <w:left w:w="0" w:type="dxa"/>
          <w:right w:w="0" w:type="dxa"/>
        </w:tblCellMar>
        <w:tblLook w:val="0000" w:firstRow="0" w:lastRow="0" w:firstColumn="0" w:lastColumn="0" w:noHBand="0" w:noVBand="0"/>
      </w:tblPr>
      <w:tblGrid>
        <w:gridCol w:w="1651"/>
        <w:gridCol w:w="12"/>
        <w:gridCol w:w="5267"/>
        <w:gridCol w:w="837"/>
        <w:gridCol w:w="833"/>
        <w:gridCol w:w="833"/>
        <w:gridCol w:w="827"/>
      </w:tblGrid>
      <w:tr w:rsidR="00EF62D6" w14:paraId="799065AC" w14:textId="77777777" w:rsidTr="00EF62D6">
        <w:trPr>
          <w:trHeight w:val="181"/>
        </w:trPr>
        <w:tc>
          <w:tcPr>
            <w:tcW w:w="5000" w:type="pct"/>
            <w:gridSpan w:val="7"/>
          </w:tcPr>
          <w:p w14:paraId="0503B055" w14:textId="2A91AF6B" w:rsidR="00EF62D6" w:rsidRDefault="00EF62D6" w:rsidP="00EF62D6">
            <w:pPr>
              <w:pStyle w:val="TOC3"/>
              <w:ind w:left="0"/>
            </w:pPr>
            <w:r>
              <w:lastRenderedPageBreak/>
              <w:br w:type="page"/>
              <w:t>Note 30. Borrowings (continued)</w:t>
            </w:r>
          </w:p>
        </w:tc>
      </w:tr>
      <w:tr w:rsidR="00EF62D6" w14:paraId="74470CF1" w14:textId="77777777" w:rsidTr="00F94210">
        <w:trPr>
          <w:trHeight w:val="181"/>
        </w:trPr>
        <w:tc>
          <w:tcPr>
            <w:tcW w:w="804" w:type="pct"/>
          </w:tcPr>
          <w:p w14:paraId="7A11DDE7" w14:textId="64C87362" w:rsidR="00EF62D6" w:rsidRDefault="00EF62D6" w:rsidP="00EF62D6">
            <w:pPr>
              <w:spacing w:after="0"/>
            </w:pPr>
            <w:r>
              <w:t>Mandatory</w:t>
            </w:r>
          </w:p>
        </w:tc>
        <w:tc>
          <w:tcPr>
            <w:tcW w:w="4196" w:type="pct"/>
            <w:gridSpan w:val="6"/>
            <w:vAlign w:val="bottom"/>
          </w:tcPr>
          <w:p w14:paraId="1A7ACE3F" w14:textId="77777777" w:rsidR="00EF62D6" w:rsidRDefault="00EF62D6" w:rsidP="001A5D4A">
            <w:pPr>
              <w:pStyle w:val="Note-TextHeader"/>
            </w:pPr>
          </w:p>
        </w:tc>
      </w:tr>
      <w:tr w:rsidR="00953D67" w14:paraId="038A2E55" w14:textId="77777777" w:rsidTr="00E21378">
        <w:trPr>
          <w:trHeight w:val="181"/>
        </w:trPr>
        <w:tc>
          <w:tcPr>
            <w:tcW w:w="810" w:type="pct"/>
            <w:gridSpan w:val="2"/>
          </w:tcPr>
          <w:p w14:paraId="038A2E53" w14:textId="1466CE70" w:rsidR="008008EA" w:rsidRDefault="008008EA" w:rsidP="00EF62D6">
            <w:pPr>
              <w:pStyle w:val="Note-Refs"/>
            </w:pPr>
          </w:p>
        </w:tc>
        <w:tc>
          <w:tcPr>
            <w:tcW w:w="4190" w:type="pct"/>
            <w:gridSpan w:val="5"/>
            <w:vAlign w:val="bottom"/>
          </w:tcPr>
          <w:p w14:paraId="038A2E54" w14:textId="77777777" w:rsidR="00023312" w:rsidRDefault="00023312" w:rsidP="001A5D4A">
            <w:pPr>
              <w:pStyle w:val="Note-TextHeader"/>
              <w:rPr>
                <w:b w:val="0"/>
                <w:lang w:val="en-GB"/>
              </w:rPr>
            </w:pPr>
            <w:r>
              <w:t>(e)</w:t>
            </w:r>
            <w:r>
              <w:tab/>
              <w:t>Risk exposures</w:t>
            </w:r>
          </w:p>
        </w:tc>
      </w:tr>
      <w:tr w:rsidR="00953D67" w14:paraId="038A2E58" w14:textId="77777777" w:rsidTr="00E21378">
        <w:trPr>
          <w:trHeight w:val="181"/>
        </w:trPr>
        <w:tc>
          <w:tcPr>
            <w:tcW w:w="810" w:type="pct"/>
            <w:gridSpan w:val="2"/>
          </w:tcPr>
          <w:p w14:paraId="038A2E56" w14:textId="77777777" w:rsidR="00023312" w:rsidRDefault="00023312" w:rsidP="001A5D4A">
            <w:pPr>
              <w:pStyle w:val="Note-Refs"/>
            </w:pPr>
            <w:r>
              <w:t>AASB7</w:t>
            </w:r>
            <w:r w:rsidR="00F77F88">
              <w:t>.</w:t>
            </w:r>
            <w:r>
              <w:t>31</w:t>
            </w:r>
          </w:p>
        </w:tc>
        <w:tc>
          <w:tcPr>
            <w:tcW w:w="4190" w:type="pct"/>
            <w:gridSpan w:val="5"/>
            <w:vAlign w:val="bottom"/>
          </w:tcPr>
          <w:p w14:paraId="038A2E57" w14:textId="77777777" w:rsidR="00023312" w:rsidRPr="00512102" w:rsidRDefault="00023312" w:rsidP="001A5D4A">
            <w:pPr>
              <w:pStyle w:val="NotesTable-ItemPlain"/>
              <w:rPr>
                <w:b/>
              </w:rPr>
            </w:pPr>
            <w:r w:rsidRPr="00512102">
              <w:t>The exposure of the Group’s and parent entity’s borrowings to interest rate changes and the contractual repricing dates at the balance dates are as follows:</w:t>
            </w:r>
          </w:p>
        </w:tc>
      </w:tr>
      <w:tr w:rsidR="00953D67" w14:paraId="038A2E5D" w14:textId="77777777" w:rsidTr="00561138">
        <w:trPr>
          <w:trHeight w:val="181"/>
        </w:trPr>
        <w:tc>
          <w:tcPr>
            <w:tcW w:w="810" w:type="pct"/>
            <w:gridSpan w:val="2"/>
          </w:tcPr>
          <w:p w14:paraId="038A2E59" w14:textId="77777777" w:rsidR="00023312" w:rsidRDefault="00023312" w:rsidP="001A5D4A">
            <w:pPr>
              <w:pStyle w:val="Note-Refs"/>
            </w:pPr>
          </w:p>
        </w:tc>
        <w:tc>
          <w:tcPr>
            <w:tcW w:w="2567" w:type="pct"/>
            <w:vAlign w:val="bottom"/>
          </w:tcPr>
          <w:p w14:paraId="038A2E5A" w14:textId="77777777" w:rsidR="00023312" w:rsidRPr="00512102" w:rsidRDefault="00023312" w:rsidP="001A5D4A">
            <w:pPr>
              <w:pStyle w:val="NotesTable-ItemPlain"/>
            </w:pPr>
          </w:p>
        </w:tc>
        <w:tc>
          <w:tcPr>
            <w:tcW w:w="814" w:type="pct"/>
            <w:gridSpan w:val="2"/>
          </w:tcPr>
          <w:p w14:paraId="038A2E5B" w14:textId="77777777" w:rsidR="00023312" w:rsidRPr="00512102" w:rsidRDefault="00023312" w:rsidP="001A5D4A">
            <w:pPr>
              <w:pStyle w:val="NotesTable-HeadPlain"/>
            </w:pPr>
            <w:r w:rsidRPr="00512102">
              <w:t>Consolidated</w:t>
            </w:r>
          </w:p>
        </w:tc>
        <w:tc>
          <w:tcPr>
            <w:tcW w:w="809" w:type="pct"/>
            <w:gridSpan w:val="2"/>
          </w:tcPr>
          <w:p w14:paraId="038A2E5C" w14:textId="77777777" w:rsidR="00023312" w:rsidRPr="00512102" w:rsidRDefault="00023312" w:rsidP="001A5D4A">
            <w:pPr>
              <w:pStyle w:val="NotesTable-HeadPlain"/>
            </w:pPr>
            <w:r w:rsidRPr="00512102">
              <w:t>Parent entity</w:t>
            </w:r>
          </w:p>
        </w:tc>
      </w:tr>
      <w:tr w:rsidR="00953D67" w14:paraId="038A2E64" w14:textId="77777777" w:rsidTr="00561138">
        <w:trPr>
          <w:trHeight w:val="181"/>
        </w:trPr>
        <w:tc>
          <w:tcPr>
            <w:tcW w:w="810" w:type="pct"/>
            <w:gridSpan w:val="2"/>
            <w:vAlign w:val="bottom"/>
          </w:tcPr>
          <w:p w14:paraId="038A2E5E" w14:textId="77777777" w:rsidR="00023312" w:rsidRDefault="00023312" w:rsidP="001A5D4A">
            <w:pPr>
              <w:pStyle w:val="Note-Refs"/>
            </w:pPr>
          </w:p>
        </w:tc>
        <w:tc>
          <w:tcPr>
            <w:tcW w:w="2567" w:type="pct"/>
            <w:vAlign w:val="bottom"/>
          </w:tcPr>
          <w:p w14:paraId="038A2E5F" w14:textId="77777777" w:rsidR="00023312" w:rsidRPr="00512102" w:rsidRDefault="00023312" w:rsidP="001A5D4A">
            <w:pPr>
              <w:pStyle w:val="NotesTable-ItemPlain"/>
            </w:pPr>
          </w:p>
        </w:tc>
        <w:tc>
          <w:tcPr>
            <w:tcW w:w="408" w:type="pct"/>
            <w:vAlign w:val="bottom"/>
          </w:tcPr>
          <w:p w14:paraId="038A2E60" w14:textId="63DF2CA8" w:rsidR="00023312" w:rsidRPr="00512102" w:rsidRDefault="006864EC" w:rsidP="001A5D4A">
            <w:pPr>
              <w:pStyle w:val="NotesTable-HeadBold"/>
            </w:pPr>
            <w:r>
              <w:t>2014</w:t>
            </w:r>
          </w:p>
        </w:tc>
        <w:tc>
          <w:tcPr>
            <w:tcW w:w="406" w:type="pct"/>
            <w:vAlign w:val="bottom"/>
          </w:tcPr>
          <w:p w14:paraId="038A2E61" w14:textId="03C1062C" w:rsidR="00023312" w:rsidRPr="00512102" w:rsidRDefault="006864EC" w:rsidP="001A5D4A">
            <w:pPr>
              <w:pStyle w:val="NotesTable-HeadPlain"/>
            </w:pPr>
            <w:r>
              <w:t>2013</w:t>
            </w:r>
          </w:p>
        </w:tc>
        <w:tc>
          <w:tcPr>
            <w:tcW w:w="406" w:type="pct"/>
            <w:vAlign w:val="bottom"/>
          </w:tcPr>
          <w:p w14:paraId="038A2E62" w14:textId="1F1670FF" w:rsidR="00023312" w:rsidRPr="00512102" w:rsidRDefault="006864EC" w:rsidP="001A5D4A">
            <w:pPr>
              <w:pStyle w:val="NotesTable-HeadBold"/>
            </w:pPr>
            <w:r>
              <w:t>2014</w:t>
            </w:r>
          </w:p>
        </w:tc>
        <w:tc>
          <w:tcPr>
            <w:tcW w:w="403" w:type="pct"/>
            <w:vAlign w:val="bottom"/>
          </w:tcPr>
          <w:p w14:paraId="038A2E63" w14:textId="3AF9A427" w:rsidR="00023312" w:rsidRPr="00512102" w:rsidRDefault="006864EC" w:rsidP="001A5D4A">
            <w:pPr>
              <w:pStyle w:val="NotesTable-HeadPlain"/>
            </w:pPr>
            <w:r>
              <w:t>2013</w:t>
            </w:r>
          </w:p>
        </w:tc>
      </w:tr>
      <w:tr w:rsidR="00953D67" w14:paraId="038A2E6B" w14:textId="77777777" w:rsidTr="00561138">
        <w:trPr>
          <w:trHeight w:val="181"/>
        </w:trPr>
        <w:tc>
          <w:tcPr>
            <w:tcW w:w="810" w:type="pct"/>
            <w:gridSpan w:val="2"/>
            <w:vAlign w:val="bottom"/>
          </w:tcPr>
          <w:p w14:paraId="038A2E65" w14:textId="77777777" w:rsidR="00023312" w:rsidRDefault="00023312" w:rsidP="001A5D4A">
            <w:pPr>
              <w:pStyle w:val="Note-Refs"/>
            </w:pPr>
          </w:p>
        </w:tc>
        <w:tc>
          <w:tcPr>
            <w:tcW w:w="2567" w:type="pct"/>
            <w:vAlign w:val="bottom"/>
          </w:tcPr>
          <w:p w14:paraId="038A2E66" w14:textId="77777777" w:rsidR="00023312" w:rsidRPr="00512102" w:rsidRDefault="00023312" w:rsidP="001A5D4A">
            <w:pPr>
              <w:pStyle w:val="NotesTable-ItemPlain"/>
            </w:pPr>
          </w:p>
        </w:tc>
        <w:tc>
          <w:tcPr>
            <w:tcW w:w="408" w:type="pct"/>
            <w:vAlign w:val="bottom"/>
          </w:tcPr>
          <w:p w14:paraId="038A2E67" w14:textId="77777777" w:rsidR="00023312" w:rsidRPr="00512102" w:rsidRDefault="00023312" w:rsidP="001A5D4A">
            <w:pPr>
              <w:pStyle w:val="NotesTable-HeadBold"/>
            </w:pPr>
            <w:r w:rsidRPr="00512102">
              <w:t>$'000</w:t>
            </w:r>
          </w:p>
        </w:tc>
        <w:tc>
          <w:tcPr>
            <w:tcW w:w="406" w:type="pct"/>
            <w:vAlign w:val="bottom"/>
          </w:tcPr>
          <w:p w14:paraId="038A2E68" w14:textId="77777777" w:rsidR="00023312" w:rsidRPr="00512102" w:rsidRDefault="00023312" w:rsidP="001A5D4A">
            <w:pPr>
              <w:pStyle w:val="NotesTable-HeadPlain"/>
            </w:pPr>
            <w:r w:rsidRPr="00512102">
              <w:t>$'000</w:t>
            </w:r>
          </w:p>
        </w:tc>
        <w:tc>
          <w:tcPr>
            <w:tcW w:w="406" w:type="pct"/>
            <w:vAlign w:val="bottom"/>
          </w:tcPr>
          <w:p w14:paraId="038A2E69" w14:textId="77777777" w:rsidR="00023312" w:rsidRPr="00512102" w:rsidRDefault="00023312" w:rsidP="001A5D4A">
            <w:pPr>
              <w:pStyle w:val="NotesTable-HeadBold"/>
            </w:pPr>
            <w:r w:rsidRPr="00512102">
              <w:t>$'000</w:t>
            </w:r>
          </w:p>
        </w:tc>
        <w:tc>
          <w:tcPr>
            <w:tcW w:w="403" w:type="pct"/>
            <w:vAlign w:val="bottom"/>
          </w:tcPr>
          <w:p w14:paraId="038A2E6A" w14:textId="77777777" w:rsidR="00023312" w:rsidRPr="00512102" w:rsidRDefault="00023312" w:rsidP="001A5D4A">
            <w:pPr>
              <w:pStyle w:val="NotesTable-HeadPlain"/>
            </w:pPr>
            <w:r w:rsidRPr="00512102">
              <w:t>$'000</w:t>
            </w:r>
          </w:p>
        </w:tc>
      </w:tr>
      <w:tr w:rsidR="008A5774" w14:paraId="038A2E79" w14:textId="77777777" w:rsidTr="00561138">
        <w:trPr>
          <w:trHeight w:val="181"/>
        </w:trPr>
        <w:tc>
          <w:tcPr>
            <w:tcW w:w="810" w:type="pct"/>
            <w:gridSpan w:val="2"/>
          </w:tcPr>
          <w:p w14:paraId="038A2E73" w14:textId="77777777" w:rsidR="008A5774" w:rsidRDefault="008A5774" w:rsidP="001A5D4A">
            <w:pPr>
              <w:pStyle w:val="Note-Refs"/>
            </w:pPr>
          </w:p>
        </w:tc>
        <w:tc>
          <w:tcPr>
            <w:tcW w:w="2567" w:type="pct"/>
            <w:vAlign w:val="bottom"/>
          </w:tcPr>
          <w:p w14:paraId="038A2E74" w14:textId="08D96E17" w:rsidR="008A5774" w:rsidRPr="00512102" w:rsidRDefault="004258A6" w:rsidP="001A5D4A">
            <w:pPr>
              <w:pStyle w:val="NotesTable-ItemPlain"/>
              <w:rPr>
                <w:b/>
              </w:rPr>
            </w:pPr>
            <w:r>
              <w:t>Within one year</w:t>
            </w:r>
          </w:p>
        </w:tc>
        <w:tc>
          <w:tcPr>
            <w:tcW w:w="408" w:type="pct"/>
          </w:tcPr>
          <w:p w14:paraId="038A2E75" w14:textId="77777777" w:rsidR="008A5774" w:rsidRPr="00512102" w:rsidRDefault="008A5774" w:rsidP="001A5D4A">
            <w:pPr>
              <w:pStyle w:val="NotesTable-CellBold"/>
            </w:pPr>
            <w:r w:rsidRPr="00512102">
              <w:t>–</w:t>
            </w:r>
          </w:p>
        </w:tc>
        <w:tc>
          <w:tcPr>
            <w:tcW w:w="406" w:type="pct"/>
          </w:tcPr>
          <w:p w14:paraId="038A2E76" w14:textId="77777777" w:rsidR="008A5774" w:rsidRPr="00512102" w:rsidRDefault="008A5774" w:rsidP="001A5D4A">
            <w:pPr>
              <w:pStyle w:val="NotesTable-CellPlain"/>
            </w:pPr>
            <w:r w:rsidRPr="00512102">
              <w:t>–</w:t>
            </w:r>
          </w:p>
        </w:tc>
        <w:tc>
          <w:tcPr>
            <w:tcW w:w="406" w:type="pct"/>
          </w:tcPr>
          <w:p w14:paraId="038A2E77" w14:textId="77777777" w:rsidR="008A5774" w:rsidRPr="00512102" w:rsidRDefault="008A5774" w:rsidP="001A5D4A">
            <w:pPr>
              <w:pStyle w:val="NotesTable-CellBold"/>
            </w:pPr>
            <w:r w:rsidRPr="00512102">
              <w:t>–</w:t>
            </w:r>
          </w:p>
        </w:tc>
        <w:tc>
          <w:tcPr>
            <w:tcW w:w="403" w:type="pct"/>
          </w:tcPr>
          <w:p w14:paraId="038A2E78" w14:textId="77777777" w:rsidR="008A5774" w:rsidRPr="00512102" w:rsidRDefault="008A5774" w:rsidP="001A5D4A">
            <w:pPr>
              <w:pStyle w:val="NotesTable-CellPlain"/>
            </w:pPr>
            <w:r w:rsidRPr="00512102">
              <w:t>–</w:t>
            </w:r>
          </w:p>
        </w:tc>
      </w:tr>
      <w:tr w:rsidR="008A5774" w14:paraId="038A2E80" w14:textId="77777777" w:rsidTr="00561138">
        <w:trPr>
          <w:trHeight w:val="181"/>
        </w:trPr>
        <w:tc>
          <w:tcPr>
            <w:tcW w:w="810" w:type="pct"/>
            <w:gridSpan w:val="2"/>
          </w:tcPr>
          <w:p w14:paraId="038A2E7A" w14:textId="77777777" w:rsidR="008A5774" w:rsidRDefault="008A5774" w:rsidP="001A5D4A">
            <w:pPr>
              <w:pStyle w:val="Note-Refs"/>
            </w:pPr>
          </w:p>
        </w:tc>
        <w:tc>
          <w:tcPr>
            <w:tcW w:w="2567" w:type="pct"/>
            <w:vAlign w:val="bottom"/>
          </w:tcPr>
          <w:p w14:paraId="038A2E7B" w14:textId="5E47E523" w:rsidR="008A5774" w:rsidRPr="00512102" w:rsidRDefault="004258A6" w:rsidP="001A5D4A">
            <w:pPr>
              <w:pStyle w:val="NotesTable-ItemPlain"/>
              <w:rPr>
                <w:b/>
              </w:rPr>
            </w:pPr>
            <w:r>
              <w:t>Between one and five years</w:t>
            </w:r>
          </w:p>
        </w:tc>
        <w:tc>
          <w:tcPr>
            <w:tcW w:w="408" w:type="pct"/>
          </w:tcPr>
          <w:p w14:paraId="038A2E7C" w14:textId="77777777" w:rsidR="008A5774" w:rsidRPr="00512102" w:rsidRDefault="008A5774" w:rsidP="001A5D4A">
            <w:pPr>
              <w:pStyle w:val="NotesTable-CellBold"/>
            </w:pPr>
            <w:r w:rsidRPr="00512102">
              <w:t>–</w:t>
            </w:r>
          </w:p>
        </w:tc>
        <w:tc>
          <w:tcPr>
            <w:tcW w:w="406" w:type="pct"/>
          </w:tcPr>
          <w:p w14:paraId="038A2E7D" w14:textId="77777777" w:rsidR="008A5774" w:rsidRPr="00512102" w:rsidRDefault="008A5774" w:rsidP="001A5D4A">
            <w:pPr>
              <w:pStyle w:val="NotesTable-CellPlain"/>
            </w:pPr>
            <w:r w:rsidRPr="00512102">
              <w:t>–</w:t>
            </w:r>
          </w:p>
        </w:tc>
        <w:tc>
          <w:tcPr>
            <w:tcW w:w="406" w:type="pct"/>
          </w:tcPr>
          <w:p w14:paraId="038A2E7E" w14:textId="77777777" w:rsidR="008A5774" w:rsidRPr="00512102" w:rsidRDefault="008A5774" w:rsidP="001A5D4A">
            <w:pPr>
              <w:pStyle w:val="NotesTable-CellBold"/>
            </w:pPr>
            <w:r w:rsidRPr="00512102">
              <w:t>–</w:t>
            </w:r>
          </w:p>
        </w:tc>
        <w:tc>
          <w:tcPr>
            <w:tcW w:w="403" w:type="pct"/>
          </w:tcPr>
          <w:p w14:paraId="038A2E7F" w14:textId="77777777" w:rsidR="008A5774" w:rsidRPr="00512102" w:rsidRDefault="008A5774" w:rsidP="001A5D4A">
            <w:pPr>
              <w:pStyle w:val="NotesTable-CellPlain"/>
            </w:pPr>
            <w:r w:rsidRPr="00512102">
              <w:t>–</w:t>
            </w:r>
          </w:p>
        </w:tc>
      </w:tr>
      <w:tr w:rsidR="008A5774" w14:paraId="038A2E87" w14:textId="77777777" w:rsidTr="00561138">
        <w:trPr>
          <w:trHeight w:val="181"/>
        </w:trPr>
        <w:tc>
          <w:tcPr>
            <w:tcW w:w="810" w:type="pct"/>
            <w:gridSpan w:val="2"/>
          </w:tcPr>
          <w:p w14:paraId="038A2E81" w14:textId="77777777" w:rsidR="008A5774" w:rsidRDefault="008A5774" w:rsidP="001A5D4A">
            <w:pPr>
              <w:pStyle w:val="Note-Refs"/>
            </w:pPr>
          </w:p>
        </w:tc>
        <w:tc>
          <w:tcPr>
            <w:tcW w:w="2567" w:type="pct"/>
            <w:vAlign w:val="bottom"/>
          </w:tcPr>
          <w:p w14:paraId="038A2E82" w14:textId="4DA6B00D" w:rsidR="008A5774" w:rsidRPr="00512102" w:rsidRDefault="004258A6" w:rsidP="001A5D4A">
            <w:pPr>
              <w:pStyle w:val="NotesTable-ItemPlain"/>
              <w:rPr>
                <w:b/>
              </w:rPr>
            </w:pPr>
            <w:r>
              <w:t>Later than</w:t>
            </w:r>
            <w:r w:rsidR="001A35D6">
              <w:t xml:space="preserve"> </w:t>
            </w:r>
            <w:r>
              <w:t>five</w:t>
            </w:r>
            <w:r w:rsidR="008A5774" w:rsidRPr="00512102">
              <w:t xml:space="preserve"> years</w:t>
            </w:r>
          </w:p>
        </w:tc>
        <w:tc>
          <w:tcPr>
            <w:tcW w:w="408" w:type="pct"/>
            <w:tcBorders>
              <w:bottom w:val="single" w:sz="4" w:space="0" w:color="auto"/>
            </w:tcBorders>
          </w:tcPr>
          <w:p w14:paraId="038A2E83" w14:textId="77777777" w:rsidR="008A5774" w:rsidRPr="00512102" w:rsidRDefault="008A5774" w:rsidP="001A5D4A">
            <w:pPr>
              <w:pStyle w:val="NotesTable-CellBold"/>
              <w:rPr>
                <w:u w:val="single"/>
              </w:rPr>
            </w:pPr>
            <w:r w:rsidRPr="00512102">
              <w:t>–</w:t>
            </w:r>
          </w:p>
        </w:tc>
        <w:tc>
          <w:tcPr>
            <w:tcW w:w="406" w:type="pct"/>
            <w:tcBorders>
              <w:bottom w:val="single" w:sz="4" w:space="0" w:color="auto"/>
            </w:tcBorders>
          </w:tcPr>
          <w:p w14:paraId="038A2E84" w14:textId="77777777" w:rsidR="008A5774" w:rsidRPr="00512102" w:rsidRDefault="008A5774" w:rsidP="001A5D4A">
            <w:pPr>
              <w:pStyle w:val="NotesTable-CellPlain"/>
              <w:rPr>
                <w:u w:val="single"/>
              </w:rPr>
            </w:pPr>
            <w:r w:rsidRPr="00512102">
              <w:t>–</w:t>
            </w:r>
          </w:p>
        </w:tc>
        <w:tc>
          <w:tcPr>
            <w:tcW w:w="406" w:type="pct"/>
            <w:tcBorders>
              <w:bottom w:val="single" w:sz="4" w:space="0" w:color="auto"/>
            </w:tcBorders>
          </w:tcPr>
          <w:p w14:paraId="038A2E85" w14:textId="77777777" w:rsidR="008A5774" w:rsidRPr="00512102" w:rsidRDefault="008A5774" w:rsidP="001A5D4A">
            <w:pPr>
              <w:pStyle w:val="NotesTable-CellBold"/>
              <w:rPr>
                <w:u w:val="single"/>
              </w:rPr>
            </w:pPr>
            <w:r w:rsidRPr="00512102">
              <w:t>–</w:t>
            </w:r>
          </w:p>
        </w:tc>
        <w:tc>
          <w:tcPr>
            <w:tcW w:w="403" w:type="pct"/>
            <w:tcBorders>
              <w:bottom w:val="single" w:sz="4" w:space="0" w:color="auto"/>
            </w:tcBorders>
          </w:tcPr>
          <w:p w14:paraId="038A2E86" w14:textId="77777777" w:rsidR="008A5774" w:rsidRPr="00512102" w:rsidRDefault="008A5774" w:rsidP="001A5D4A">
            <w:pPr>
              <w:pStyle w:val="NotesTable-CellPlain"/>
              <w:rPr>
                <w:u w:val="single"/>
              </w:rPr>
            </w:pPr>
            <w:r w:rsidRPr="00512102">
              <w:t>–</w:t>
            </w:r>
          </w:p>
        </w:tc>
      </w:tr>
      <w:tr w:rsidR="008A5774" w14:paraId="038A2E8E" w14:textId="77777777" w:rsidTr="00561138">
        <w:trPr>
          <w:trHeight w:val="181"/>
        </w:trPr>
        <w:tc>
          <w:tcPr>
            <w:tcW w:w="810" w:type="pct"/>
            <w:gridSpan w:val="2"/>
          </w:tcPr>
          <w:p w14:paraId="038A2E88" w14:textId="77777777" w:rsidR="008A5774" w:rsidRDefault="008A5774" w:rsidP="001A5D4A">
            <w:pPr>
              <w:pStyle w:val="Note-Refs"/>
            </w:pPr>
          </w:p>
        </w:tc>
        <w:tc>
          <w:tcPr>
            <w:tcW w:w="2567" w:type="pct"/>
            <w:vAlign w:val="bottom"/>
          </w:tcPr>
          <w:p w14:paraId="038A2E89" w14:textId="77777777" w:rsidR="008A5774" w:rsidRPr="00512102" w:rsidRDefault="008A5774" w:rsidP="001A5D4A">
            <w:pPr>
              <w:pStyle w:val="NotesTable-ItemPlain"/>
              <w:rPr>
                <w:b/>
              </w:rPr>
            </w:pPr>
            <w:r w:rsidRPr="00512102">
              <w:t>Total</w:t>
            </w:r>
            <w:r w:rsidR="003E549B" w:rsidRPr="00512102">
              <w:t xml:space="preserve"> borrowings</w:t>
            </w:r>
          </w:p>
        </w:tc>
        <w:tc>
          <w:tcPr>
            <w:tcW w:w="408" w:type="pct"/>
            <w:tcBorders>
              <w:top w:val="single" w:sz="4" w:space="0" w:color="auto"/>
            </w:tcBorders>
          </w:tcPr>
          <w:p w14:paraId="038A2E8A" w14:textId="77777777" w:rsidR="008A5774" w:rsidRPr="00512102" w:rsidRDefault="008A5774" w:rsidP="001A5D4A">
            <w:pPr>
              <w:pStyle w:val="NotesTable-CellBold"/>
              <w:rPr>
                <w:u w:val="single"/>
              </w:rPr>
            </w:pPr>
            <w:r w:rsidRPr="00512102">
              <w:t>–</w:t>
            </w:r>
          </w:p>
        </w:tc>
        <w:tc>
          <w:tcPr>
            <w:tcW w:w="406" w:type="pct"/>
            <w:tcBorders>
              <w:top w:val="single" w:sz="4" w:space="0" w:color="auto"/>
            </w:tcBorders>
          </w:tcPr>
          <w:p w14:paraId="038A2E8B" w14:textId="77777777" w:rsidR="008A5774" w:rsidRPr="00512102" w:rsidRDefault="008A5774" w:rsidP="001A5D4A">
            <w:pPr>
              <w:pStyle w:val="NotesTable-CellPlain"/>
              <w:rPr>
                <w:u w:val="single"/>
              </w:rPr>
            </w:pPr>
            <w:r w:rsidRPr="00512102">
              <w:t>–</w:t>
            </w:r>
          </w:p>
        </w:tc>
        <w:tc>
          <w:tcPr>
            <w:tcW w:w="406" w:type="pct"/>
            <w:tcBorders>
              <w:top w:val="single" w:sz="4" w:space="0" w:color="auto"/>
            </w:tcBorders>
          </w:tcPr>
          <w:p w14:paraId="038A2E8C" w14:textId="77777777" w:rsidR="008A5774" w:rsidRPr="00512102" w:rsidRDefault="008A5774" w:rsidP="001A5D4A">
            <w:pPr>
              <w:pStyle w:val="NotesTable-CellBold"/>
              <w:rPr>
                <w:u w:val="single"/>
              </w:rPr>
            </w:pPr>
            <w:r w:rsidRPr="00512102">
              <w:t>–</w:t>
            </w:r>
          </w:p>
        </w:tc>
        <w:tc>
          <w:tcPr>
            <w:tcW w:w="403" w:type="pct"/>
            <w:tcBorders>
              <w:top w:val="single" w:sz="4" w:space="0" w:color="auto"/>
            </w:tcBorders>
          </w:tcPr>
          <w:p w14:paraId="038A2E8D" w14:textId="77777777" w:rsidR="008A5774" w:rsidRPr="00512102" w:rsidRDefault="008A5774" w:rsidP="001A5D4A">
            <w:pPr>
              <w:pStyle w:val="NotesTable-CellPlain"/>
              <w:rPr>
                <w:u w:val="single"/>
              </w:rPr>
            </w:pPr>
            <w:r w:rsidRPr="00512102">
              <w:t>–</w:t>
            </w:r>
          </w:p>
        </w:tc>
      </w:tr>
      <w:tr w:rsidR="008A5774" w14:paraId="038A2E95" w14:textId="77777777" w:rsidTr="00561138">
        <w:trPr>
          <w:trHeight w:val="181"/>
        </w:trPr>
        <w:tc>
          <w:tcPr>
            <w:tcW w:w="810" w:type="pct"/>
            <w:gridSpan w:val="2"/>
          </w:tcPr>
          <w:p w14:paraId="038A2E8F" w14:textId="77777777" w:rsidR="008A5774" w:rsidRDefault="008A5774" w:rsidP="001A5D4A">
            <w:pPr>
              <w:pStyle w:val="Note-Refs"/>
            </w:pPr>
          </w:p>
        </w:tc>
        <w:tc>
          <w:tcPr>
            <w:tcW w:w="2567" w:type="pct"/>
            <w:vAlign w:val="bottom"/>
          </w:tcPr>
          <w:p w14:paraId="038A2E90" w14:textId="77777777" w:rsidR="008A5774" w:rsidRPr="00512102" w:rsidRDefault="008A5774" w:rsidP="001A5D4A">
            <w:pPr>
              <w:pStyle w:val="NotesTable-ItemPlain"/>
            </w:pPr>
          </w:p>
        </w:tc>
        <w:tc>
          <w:tcPr>
            <w:tcW w:w="408" w:type="pct"/>
          </w:tcPr>
          <w:p w14:paraId="038A2E91" w14:textId="6167476E" w:rsidR="008A5774" w:rsidRPr="00512102" w:rsidRDefault="008A5774" w:rsidP="001A5D4A">
            <w:pPr>
              <w:pStyle w:val="NotesTable-CellBold"/>
            </w:pPr>
          </w:p>
        </w:tc>
        <w:tc>
          <w:tcPr>
            <w:tcW w:w="406" w:type="pct"/>
          </w:tcPr>
          <w:p w14:paraId="038A2E92" w14:textId="522C3F4C" w:rsidR="008A5774" w:rsidRPr="00512102" w:rsidRDefault="008A5774" w:rsidP="001A5D4A">
            <w:pPr>
              <w:pStyle w:val="NotesTable-CellPlain"/>
            </w:pPr>
          </w:p>
        </w:tc>
        <w:tc>
          <w:tcPr>
            <w:tcW w:w="406" w:type="pct"/>
          </w:tcPr>
          <w:p w14:paraId="038A2E93" w14:textId="06851583" w:rsidR="008A5774" w:rsidRPr="00512102" w:rsidRDefault="008A5774" w:rsidP="001A5D4A">
            <w:pPr>
              <w:pStyle w:val="NotesTable-CellBold"/>
            </w:pPr>
          </w:p>
        </w:tc>
        <w:tc>
          <w:tcPr>
            <w:tcW w:w="403" w:type="pct"/>
          </w:tcPr>
          <w:p w14:paraId="038A2E94" w14:textId="3A970055" w:rsidR="008A5774" w:rsidRPr="00512102" w:rsidRDefault="008A5774" w:rsidP="001A5D4A">
            <w:pPr>
              <w:pStyle w:val="NotesTable-CellPlain"/>
            </w:pPr>
          </w:p>
        </w:tc>
      </w:tr>
      <w:tr w:rsidR="00847D43" w14:paraId="038A2E9C" w14:textId="77777777" w:rsidTr="00561138">
        <w:trPr>
          <w:trHeight w:val="181"/>
        </w:trPr>
        <w:tc>
          <w:tcPr>
            <w:tcW w:w="810" w:type="pct"/>
            <w:gridSpan w:val="2"/>
          </w:tcPr>
          <w:p w14:paraId="038A2E96" w14:textId="77777777" w:rsidR="00847D43" w:rsidRDefault="00847D43" w:rsidP="001A5D4A">
            <w:pPr>
              <w:pStyle w:val="Note-Refs"/>
            </w:pPr>
          </w:p>
        </w:tc>
        <w:tc>
          <w:tcPr>
            <w:tcW w:w="2567" w:type="pct"/>
            <w:vAlign w:val="bottom"/>
          </w:tcPr>
          <w:p w14:paraId="038A2E97" w14:textId="77777777" w:rsidR="00847D43" w:rsidRPr="00512102" w:rsidRDefault="00847D43" w:rsidP="001A5D4A">
            <w:pPr>
              <w:pStyle w:val="NotesTable-ItemPlain"/>
              <w:rPr>
                <w:b/>
              </w:rPr>
            </w:pPr>
            <w:r w:rsidRPr="00512102">
              <w:t>Current borrowings</w:t>
            </w:r>
          </w:p>
        </w:tc>
        <w:tc>
          <w:tcPr>
            <w:tcW w:w="408" w:type="pct"/>
          </w:tcPr>
          <w:p w14:paraId="038A2E98" w14:textId="77777777" w:rsidR="00847D43" w:rsidRPr="00512102" w:rsidRDefault="00847D43" w:rsidP="001A5D4A">
            <w:pPr>
              <w:pStyle w:val="NotesTable-CellBold"/>
            </w:pPr>
            <w:r w:rsidRPr="00512102">
              <w:t>–</w:t>
            </w:r>
          </w:p>
        </w:tc>
        <w:tc>
          <w:tcPr>
            <w:tcW w:w="406" w:type="pct"/>
          </w:tcPr>
          <w:p w14:paraId="038A2E99" w14:textId="77777777" w:rsidR="00847D43" w:rsidRPr="00512102" w:rsidRDefault="00847D43" w:rsidP="001A5D4A">
            <w:pPr>
              <w:pStyle w:val="NotesTable-CellPlain"/>
            </w:pPr>
            <w:r w:rsidRPr="00512102">
              <w:t>–</w:t>
            </w:r>
          </w:p>
        </w:tc>
        <w:tc>
          <w:tcPr>
            <w:tcW w:w="406" w:type="pct"/>
          </w:tcPr>
          <w:p w14:paraId="038A2E9A" w14:textId="77777777" w:rsidR="00847D43" w:rsidRPr="00512102" w:rsidRDefault="00847D43" w:rsidP="001A5D4A">
            <w:pPr>
              <w:pStyle w:val="NotesTable-CellBold"/>
            </w:pPr>
            <w:r w:rsidRPr="00512102">
              <w:t>–</w:t>
            </w:r>
          </w:p>
        </w:tc>
        <w:tc>
          <w:tcPr>
            <w:tcW w:w="403" w:type="pct"/>
          </w:tcPr>
          <w:p w14:paraId="038A2E9B" w14:textId="77777777" w:rsidR="00847D43" w:rsidRPr="00512102" w:rsidRDefault="00847D43" w:rsidP="001A5D4A">
            <w:pPr>
              <w:pStyle w:val="NotesTable-CellPlain"/>
            </w:pPr>
            <w:r w:rsidRPr="00512102">
              <w:t>–</w:t>
            </w:r>
          </w:p>
        </w:tc>
      </w:tr>
      <w:tr w:rsidR="00847D43" w14:paraId="038A2EA3" w14:textId="77777777" w:rsidTr="00561138">
        <w:trPr>
          <w:trHeight w:val="181"/>
        </w:trPr>
        <w:tc>
          <w:tcPr>
            <w:tcW w:w="810" w:type="pct"/>
            <w:gridSpan w:val="2"/>
          </w:tcPr>
          <w:p w14:paraId="038A2E9D" w14:textId="77777777" w:rsidR="00847D43" w:rsidRDefault="00847D43" w:rsidP="001A5D4A">
            <w:pPr>
              <w:pStyle w:val="Note-Refs"/>
            </w:pPr>
          </w:p>
        </w:tc>
        <w:tc>
          <w:tcPr>
            <w:tcW w:w="2567" w:type="pct"/>
            <w:vAlign w:val="bottom"/>
          </w:tcPr>
          <w:p w14:paraId="038A2E9E" w14:textId="77777777" w:rsidR="00847D43" w:rsidRPr="00512102" w:rsidRDefault="00847D43" w:rsidP="001A5D4A">
            <w:pPr>
              <w:pStyle w:val="NotesTable-ItemPlain"/>
              <w:rPr>
                <w:b/>
              </w:rPr>
            </w:pPr>
            <w:r w:rsidRPr="00512102">
              <w:t>Non</w:t>
            </w:r>
            <w:r w:rsidRPr="00512102">
              <w:noBreakHyphen/>
              <w:t>current borrowings</w:t>
            </w:r>
          </w:p>
        </w:tc>
        <w:tc>
          <w:tcPr>
            <w:tcW w:w="408" w:type="pct"/>
            <w:tcBorders>
              <w:bottom w:val="single" w:sz="4" w:space="0" w:color="auto"/>
            </w:tcBorders>
          </w:tcPr>
          <w:p w14:paraId="038A2E9F" w14:textId="77777777" w:rsidR="00847D43" w:rsidRPr="00512102" w:rsidRDefault="00847D43" w:rsidP="001A5D4A">
            <w:pPr>
              <w:pStyle w:val="NotesTable-CellBold"/>
              <w:rPr>
                <w:u w:val="single"/>
              </w:rPr>
            </w:pPr>
            <w:r w:rsidRPr="00512102">
              <w:t>–</w:t>
            </w:r>
          </w:p>
        </w:tc>
        <w:tc>
          <w:tcPr>
            <w:tcW w:w="406" w:type="pct"/>
            <w:tcBorders>
              <w:bottom w:val="single" w:sz="4" w:space="0" w:color="auto"/>
            </w:tcBorders>
          </w:tcPr>
          <w:p w14:paraId="038A2EA0" w14:textId="77777777" w:rsidR="00847D43" w:rsidRPr="00512102" w:rsidRDefault="00847D43" w:rsidP="001A5D4A">
            <w:pPr>
              <w:pStyle w:val="NotesTable-CellPlain"/>
              <w:rPr>
                <w:u w:val="single"/>
              </w:rPr>
            </w:pPr>
            <w:r w:rsidRPr="00512102">
              <w:t>–</w:t>
            </w:r>
          </w:p>
        </w:tc>
        <w:tc>
          <w:tcPr>
            <w:tcW w:w="406" w:type="pct"/>
            <w:tcBorders>
              <w:bottom w:val="single" w:sz="4" w:space="0" w:color="auto"/>
            </w:tcBorders>
          </w:tcPr>
          <w:p w14:paraId="038A2EA1" w14:textId="77777777" w:rsidR="00847D43" w:rsidRPr="00512102" w:rsidRDefault="00847D43" w:rsidP="001A5D4A">
            <w:pPr>
              <w:pStyle w:val="NotesTable-CellBold"/>
              <w:rPr>
                <w:u w:val="single"/>
              </w:rPr>
            </w:pPr>
            <w:r w:rsidRPr="00512102">
              <w:t>–</w:t>
            </w:r>
          </w:p>
        </w:tc>
        <w:tc>
          <w:tcPr>
            <w:tcW w:w="403" w:type="pct"/>
            <w:tcBorders>
              <w:bottom w:val="single" w:sz="4" w:space="0" w:color="auto"/>
            </w:tcBorders>
          </w:tcPr>
          <w:p w14:paraId="038A2EA2" w14:textId="77777777" w:rsidR="00847D43" w:rsidRPr="00512102" w:rsidRDefault="00847D43" w:rsidP="001A5D4A">
            <w:pPr>
              <w:pStyle w:val="NotesTable-CellPlain"/>
              <w:rPr>
                <w:u w:val="single"/>
              </w:rPr>
            </w:pPr>
            <w:r w:rsidRPr="00512102">
              <w:t>–</w:t>
            </w:r>
          </w:p>
        </w:tc>
      </w:tr>
      <w:tr w:rsidR="00847D43" w14:paraId="038A2EAA" w14:textId="77777777" w:rsidTr="00561138">
        <w:trPr>
          <w:trHeight w:val="181"/>
        </w:trPr>
        <w:tc>
          <w:tcPr>
            <w:tcW w:w="810" w:type="pct"/>
            <w:gridSpan w:val="2"/>
          </w:tcPr>
          <w:p w14:paraId="038A2EA4" w14:textId="77777777" w:rsidR="00847D43" w:rsidRDefault="00847D43" w:rsidP="001A5D4A">
            <w:pPr>
              <w:pStyle w:val="Note-Refs"/>
            </w:pPr>
          </w:p>
        </w:tc>
        <w:tc>
          <w:tcPr>
            <w:tcW w:w="2567" w:type="pct"/>
            <w:vAlign w:val="bottom"/>
          </w:tcPr>
          <w:p w14:paraId="038A2EA5" w14:textId="77777777" w:rsidR="00847D43" w:rsidRPr="00512102" w:rsidRDefault="00847D43" w:rsidP="001A5D4A">
            <w:pPr>
              <w:pStyle w:val="NotesTable-ItemPlain"/>
              <w:rPr>
                <w:b/>
              </w:rPr>
            </w:pPr>
            <w:r w:rsidRPr="00512102">
              <w:t>Total borrowings</w:t>
            </w:r>
          </w:p>
        </w:tc>
        <w:tc>
          <w:tcPr>
            <w:tcW w:w="408" w:type="pct"/>
            <w:tcBorders>
              <w:top w:val="single" w:sz="4" w:space="0" w:color="auto"/>
            </w:tcBorders>
          </w:tcPr>
          <w:p w14:paraId="038A2EA6" w14:textId="77777777" w:rsidR="00847D43" w:rsidRPr="00512102" w:rsidRDefault="00847D43" w:rsidP="001A5D4A">
            <w:pPr>
              <w:pStyle w:val="NotesTable-CellBold"/>
              <w:rPr>
                <w:u w:val="single"/>
              </w:rPr>
            </w:pPr>
            <w:r w:rsidRPr="00512102">
              <w:t>–</w:t>
            </w:r>
          </w:p>
        </w:tc>
        <w:tc>
          <w:tcPr>
            <w:tcW w:w="406" w:type="pct"/>
            <w:tcBorders>
              <w:top w:val="single" w:sz="4" w:space="0" w:color="auto"/>
            </w:tcBorders>
          </w:tcPr>
          <w:p w14:paraId="038A2EA7" w14:textId="77777777" w:rsidR="00847D43" w:rsidRPr="00512102" w:rsidRDefault="00847D43" w:rsidP="001A5D4A">
            <w:pPr>
              <w:pStyle w:val="NotesTable-CellPlain"/>
              <w:rPr>
                <w:u w:val="single"/>
              </w:rPr>
            </w:pPr>
            <w:r w:rsidRPr="00512102">
              <w:t>–</w:t>
            </w:r>
          </w:p>
        </w:tc>
        <w:tc>
          <w:tcPr>
            <w:tcW w:w="406" w:type="pct"/>
            <w:tcBorders>
              <w:top w:val="single" w:sz="4" w:space="0" w:color="auto"/>
            </w:tcBorders>
          </w:tcPr>
          <w:p w14:paraId="038A2EA8" w14:textId="77777777" w:rsidR="00847D43" w:rsidRPr="00512102" w:rsidRDefault="00847D43" w:rsidP="001A5D4A">
            <w:pPr>
              <w:pStyle w:val="NotesTable-CellBold"/>
              <w:rPr>
                <w:u w:val="single"/>
              </w:rPr>
            </w:pPr>
            <w:r w:rsidRPr="00512102">
              <w:t>–</w:t>
            </w:r>
          </w:p>
        </w:tc>
        <w:tc>
          <w:tcPr>
            <w:tcW w:w="403" w:type="pct"/>
            <w:tcBorders>
              <w:top w:val="single" w:sz="4" w:space="0" w:color="auto"/>
            </w:tcBorders>
          </w:tcPr>
          <w:p w14:paraId="038A2EA9" w14:textId="77777777" w:rsidR="00847D43" w:rsidRPr="00512102" w:rsidRDefault="00847D43" w:rsidP="001A5D4A">
            <w:pPr>
              <w:pStyle w:val="NotesTable-CellPlain"/>
              <w:rPr>
                <w:u w:val="single"/>
              </w:rPr>
            </w:pPr>
            <w:r w:rsidRPr="00512102">
              <w:t>–</w:t>
            </w:r>
          </w:p>
        </w:tc>
      </w:tr>
      <w:tr w:rsidR="00847D43" w14:paraId="038A2EAD" w14:textId="77777777" w:rsidTr="00E21378">
        <w:trPr>
          <w:trHeight w:val="181"/>
        </w:trPr>
        <w:tc>
          <w:tcPr>
            <w:tcW w:w="810" w:type="pct"/>
            <w:gridSpan w:val="2"/>
          </w:tcPr>
          <w:p w14:paraId="038A2EAB" w14:textId="77777777" w:rsidR="00847D43" w:rsidRDefault="00847D43" w:rsidP="001A5D4A">
            <w:pPr>
              <w:pStyle w:val="Note-Refs"/>
            </w:pPr>
          </w:p>
        </w:tc>
        <w:tc>
          <w:tcPr>
            <w:tcW w:w="4190" w:type="pct"/>
            <w:gridSpan w:val="5"/>
            <w:vAlign w:val="bottom"/>
          </w:tcPr>
          <w:p w14:paraId="038A2EAC" w14:textId="77777777" w:rsidR="00847D43" w:rsidRDefault="00847D43" w:rsidP="001A5D4A">
            <w:pPr>
              <w:pStyle w:val="Note-Text"/>
            </w:pPr>
          </w:p>
        </w:tc>
      </w:tr>
      <w:tr w:rsidR="00847D43" w14:paraId="038A2EB0" w14:textId="77777777" w:rsidTr="00E21378">
        <w:trPr>
          <w:trHeight w:val="181"/>
        </w:trPr>
        <w:tc>
          <w:tcPr>
            <w:tcW w:w="810" w:type="pct"/>
            <w:gridSpan w:val="2"/>
          </w:tcPr>
          <w:p w14:paraId="038A2EAE" w14:textId="77777777" w:rsidR="00847D43" w:rsidRDefault="00847D43" w:rsidP="001A5D4A">
            <w:pPr>
              <w:pStyle w:val="Note-Refs"/>
              <w:rPr>
                <w:b/>
              </w:rPr>
            </w:pPr>
            <w:r>
              <w:t>AASB7.31,34c</w:t>
            </w:r>
          </w:p>
        </w:tc>
        <w:tc>
          <w:tcPr>
            <w:tcW w:w="4190" w:type="pct"/>
            <w:gridSpan w:val="5"/>
            <w:vAlign w:val="bottom"/>
          </w:tcPr>
          <w:p w14:paraId="038A2EAF" w14:textId="77777777" w:rsidR="00847D43" w:rsidRDefault="00847D43" w:rsidP="001A5D4A">
            <w:pPr>
              <w:pStyle w:val="NotesTable-ItemPlain"/>
              <w:rPr>
                <w:b/>
              </w:rPr>
            </w:pPr>
            <w:r>
              <w:t>The carrying amounts of the Group’s borrowings are denominated in the following currencies:</w:t>
            </w:r>
          </w:p>
        </w:tc>
      </w:tr>
      <w:tr w:rsidR="00847D43" w14:paraId="038A2EB3" w14:textId="77777777" w:rsidTr="00E21378">
        <w:trPr>
          <w:trHeight w:val="181"/>
        </w:trPr>
        <w:tc>
          <w:tcPr>
            <w:tcW w:w="810" w:type="pct"/>
            <w:gridSpan w:val="2"/>
          </w:tcPr>
          <w:p w14:paraId="038A2EB1" w14:textId="77777777" w:rsidR="00847D43" w:rsidRDefault="00847D43" w:rsidP="001A5D4A">
            <w:pPr>
              <w:pStyle w:val="Note-Refs"/>
            </w:pPr>
          </w:p>
        </w:tc>
        <w:tc>
          <w:tcPr>
            <w:tcW w:w="4190" w:type="pct"/>
            <w:gridSpan w:val="5"/>
            <w:vAlign w:val="bottom"/>
          </w:tcPr>
          <w:p w14:paraId="038A2EB2" w14:textId="77777777" w:rsidR="00847D43" w:rsidRDefault="00847D43" w:rsidP="001A5D4A">
            <w:pPr>
              <w:pStyle w:val="Note-Text"/>
            </w:pPr>
          </w:p>
        </w:tc>
      </w:tr>
      <w:tr w:rsidR="00847D43" w14:paraId="038A2EB8" w14:textId="77777777" w:rsidTr="00561138">
        <w:trPr>
          <w:trHeight w:val="181"/>
        </w:trPr>
        <w:tc>
          <w:tcPr>
            <w:tcW w:w="810" w:type="pct"/>
            <w:gridSpan w:val="2"/>
          </w:tcPr>
          <w:p w14:paraId="038A2EB4" w14:textId="77777777" w:rsidR="00847D43" w:rsidRDefault="00847D43" w:rsidP="001A5D4A">
            <w:pPr>
              <w:pStyle w:val="Note-Refs"/>
            </w:pPr>
          </w:p>
        </w:tc>
        <w:tc>
          <w:tcPr>
            <w:tcW w:w="2567" w:type="pct"/>
            <w:vAlign w:val="bottom"/>
          </w:tcPr>
          <w:p w14:paraId="038A2EB5" w14:textId="77777777" w:rsidR="00847D43" w:rsidRDefault="00847D43" w:rsidP="001A5D4A">
            <w:pPr>
              <w:pStyle w:val="NotesTable-ItemPlain"/>
            </w:pPr>
          </w:p>
        </w:tc>
        <w:tc>
          <w:tcPr>
            <w:tcW w:w="814" w:type="pct"/>
            <w:gridSpan w:val="2"/>
          </w:tcPr>
          <w:p w14:paraId="038A2EB6" w14:textId="77777777" w:rsidR="00847D43" w:rsidRDefault="00847D43" w:rsidP="001A5D4A">
            <w:pPr>
              <w:pStyle w:val="NotesTable-HeadPlain"/>
            </w:pPr>
            <w:r>
              <w:t>Consolidated</w:t>
            </w:r>
          </w:p>
        </w:tc>
        <w:tc>
          <w:tcPr>
            <w:tcW w:w="809" w:type="pct"/>
            <w:gridSpan w:val="2"/>
          </w:tcPr>
          <w:p w14:paraId="038A2EB7" w14:textId="77777777" w:rsidR="00847D43" w:rsidRDefault="00847D43" w:rsidP="001A5D4A">
            <w:pPr>
              <w:pStyle w:val="NotesTable-HeadPlain"/>
            </w:pPr>
            <w:r>
              <w:t>Parent entity</w:t>
            </w:r>
          </w:p>
        </w:tc>
      </w:tr>
      <w:tr w:rsidR="00847D43" w14:paraId="038A2EBF" w14:textId="77777777" w:rsidTr="00561138">
        <w:trPr>
          <w:trHeight w:val="181"/>
        </w:trPr>
        <w:tc>
          <w:tcPr>
            <w:tcW w:w="810" w:type="pct"/>
            <w:gridSpan w:val="2"/>
            <w:vAlign w:val="bottom"/>
          </w:tcPr>
          <w:p w14:paraId="038A2EB9" w14:textId="77777777" w:rsidR="00847D43" w:rsidRDefault="00847D43" w:rsidP="001A5D4A">
            <w:pPr>
              <w:pStyle w:val="Note-Refs"/>
            </w:pPr>
          </w:p>
        </w:tc>
        <w:tc>
          <w:tcPr>
            <w:tcW w:w="2567" w:type="pct"/>
            <w:vAlign w:val="bottom"/>
          </w:tcPr>
          <w:p w14:paraId="038A2EBA" w14:textId="77777777" w:rsidR="00847D43" w:rsidRDefault="00847D43" w:rsidP="001A5D4A">
            <w:pPr>
              <w:pStyle w:val="NotesTable-ItemPlain"/>
            </w:pPr>
          </w:p>
        </w:tc>
        <w:tc>
          <w:tcPr>
            <w:tcW w:w="408" w:type="pct"/>
            <w:vAlign w:val="bottom"/>
          </w:tcPr>
          <w:p w14:paraId="038A2EBB" w14:textId="161B4AE1" w:rsidR="00847D43" w:rsidRDefault="006864EC" w:rsidP="001A5D4A">
            <w:pPr>
              <w:pStyle w:val="NotesTable-HeadBold"/>
            </w:pPr>
            <w:r>
              <w:t>2014</w:t>
            </w:r>
          </w:p>
        </w:tc>
        <w:tc>
          <w:tcPr>
            <w:tcW w:w="406" w:type="pct"/>
            <w:vAlign w:val="bottom"/>
          </w:tcPr>
          <w:p w14:paraId="038A2EBC" w14:textId="301463FE" w:rsidR="00847D43" w:rsidRDefault="006864EC" w:rsidP="001A5D4A">
            <w:pPr>
              <w:pStyle w:val="NotesTable-HeadPlain"/>
            </w:pPr>
            <w:r>
              <w:t>2013</w:t>
            </w:r>
          </w:p>
        </w:tc>
        <w:tc>
          <w:tcPr>
            <w:tcW w:w="406" w:type="pct"/>
            <w:vAlign w:val="bottom"/>
          </w:tcPr>
          <w:p w14:paraId="038A2EBD" w14:textId="194CE157" w:rsidR="00847D43" w:rsidRDefault="006864EC" w:rsidP="001A5D4A">
            <w:pPr>
              <w:pStyle w:val="NotesTable-HeadBold"/>
            </w:pPr>
            <w:r>
              <w:t>2014</w:t>
            </w:r>
          </w:p>
        </w:tc>
        <w:tc>
          <w:tcPr>
            <w:tcW w:w="403" w:type="pct"/>
            <w:vAlign w:val="bottom"/>
          </w:tcPr>
          <w:p w14:paraId="038A2EBE" w14:textId="356D86D2" w:rsidR="00847D43" w:rsidRDefault="006864EC" w:rsidP="001A5D4A">
            <w:pPr>
              <w:pStyle w:val="NotesTable-HeadPlain"/>
            </w:pPr>
            <w:r>
              <w:t>2013</w:t>
            </w:r>
          </w:p>
        </w:tc>
      </w:tr>
      <w:tr w:rsidR="00847D43" w14:paraId="038A2EC6" w14:textId="77777777" w:rsidTr="00561138">
        <w:trPr>
          <w:trHeight w:val="181"/>
        </w:trPr>
        <w:tc>
          <w:tcPr>
            <w:tcW w:w="810" w:type="pct"/>
            <w:gridSpan w:val="2"/>
            <w:vAlign w:val="bottom"/>
          </w:tcPr>
          <w:p w14:paraId="038A2EC0" w14:textId="77777777" w:rsidR="00847D43" w:rsidRDefault="00847D43" w:rsidP="001A5D4A">
            <w:pPr>
              <w:pStyle w:val="Note-Refs"/>
            </w:pPr>
          </w:p>
        </w:tc>
        <w:tc>
          <w:tcPr>
            <w:tcW w:w="2567" w:type="pct"/>
            <w:vAlign w:val="bottom"/>
          </w:tcPr>
          <w:p w14:paraId="038A2EC1" w14:textId="77777777" w:rsidR="00847D43" w:rsidRDefault="00847D43" w:rsidP="001A5D4A">
            <w:pPr>
              <w:pStyle w:val="NotesTable-ItemPlain"/>
            </w:pPr>
          </w:p>
        </w:tc>
        <w:tc>
          <w:tcPr>
            <w:tcW w:w="408" w:type="pct"/>
            <w:vAlign w:val="bottom"/>
          </w:tcPr>
          <w:p w14:paraId="038A2EC2" w14:textId="77777777" w:rsidR="00847D43" w:rsidRDefault="00847D43" w:rsidP="001A5D4A">
            <w:pPr>
              <w:pStyle w:val="NotesTable-HeadBold"/>
            </w:pPr>
            <w:r>
              <w:t>$'000</w:t>
            </w:r>
          </w:p>
        </w:tc>
        <w:tc>
          <w:tcPr>
            <w:tcW w:w="406" w:type="pct"/>
            <w:vAlign w:val="bottom"/>
          </w:tcPr>
          <w:p w14:paraId="038A2EC3" w14:textId="77777777" w:rsidR="00847D43" w:rsidRDefault="00847D43" w:rsidP="001A5D4A">
            <w:pPr>
              <w:pStyle w:val="NotesTable-HeadPlain"/>
            </w:pPr>
            <w:r>
              <w:t>$'000</w:t>
            </w:r>
          </w:p>
        </w:tc>
        <w:tc>
          <w:tcPr>
            <w:tcW w:w="406" w:type="pct"/>
            <w:vAlign w:val="bottom"/>
          </w:tcPr>
          <w:p w14:paraId="038A2EC4" w14:textId="77777777" w:rsidR="00847D43" w:rsidRDefault="00847D43" w:rsidP="001A5D4A">
            <w:pPr>
              <w:pStyle w:val="NotesTable-HeadBold"/>
            </w:pPr>
            <w:r>
              <w:t>$'000</w:t>
            </w:r>
          </w:p>
        </w:tc>
        <w:tc>
          <w:tcPr>
            <w:tcW w:w="403" w:type="pct"/>
            <w:vAlign w:val="bottom"/>
          </w:tcPr>
          <w:p w14:paraId="038A2EC5" w14:textId="77777777" w:rsidR="00847D43" w:rsidRDefault="00847D43" w:rsidP="001A5D4A">
            <w:pPr>
              <w:pStyle w:val="NotesTable-HeadPlain"/>
            </w:pPr>
            <w:r>
              <w:t>$'000</w:t>
            </w:r>
          </w:p>
        </w:tc>
      </w:tr>
      <w:tr w:rsidR="00847D43" w14:paraId="038A2ECD" w14:textId="77777777" w:rsidTr="00561138">
        <w:trPr>
          <w:trHeight w:val="181"/>
        </w:trPr>
        <w:tc>
          <w:tcPr>
            <w:tcW w:w="810" w:type="pct"/>
            <w:gridSpan w:val="2"/>
          </w:tcPr>
          <w:p w14:paraId="038A2EC7" w14:textId="77777777" w:rsidR="00847D43" w:rsidRDefault="00847D43" w:rsidP="001A5D4A">
            <w:pPr>
              <w:pStyle w:val="Note-Refs"/>
            </w:pPr>
          </w:p>
        </w:tc>
        <w:tc>
          <w:tcPr>
            <w:tcW w:w="2567" w:type="pct"/>
            <w:vAlign w:val="bottom"/>
          </w:tcPr>
          <w:p w14:paraId="038A2EC8" w14:textId="77777777" w:rsidR="00847D43" w:rsidRDefault="00847D43" w:rsidP="001A5D4A">
            <w:pPr>
              <w:pStyle w:val="NotesTable-ItemPlain"/>
              <w:rPr>
                <w:b/>
              </w:rPr>
            </w:pPr>
            <w:r>
              <w:t>Australian dollar</w:t>
            </w:r>
          </w:p>
        </w:tc>
        <w:tc>
          <w:tcPr>
            <w:tcW w:w="408" w:type="pct"/>
          </w:tcPr>
          <w:p w14:paraId="038A2EC9" w14:textId="77777777" w:rsidR="00847D43" w:rsidRDefault="00847D43" w:rsidP="001A5D4A">
            <w:pPr>
              <w:pStyle w:val="NotesTable-CellBold"/>
            </w:pPr>
            <w:r>
              <w:t>–</w:t>
            </w:r>
          </w:p>
        </w:tc>
        <w:tc>
          <w:tcPr>
            <w:tcW w:w="406" w:type="pct"/>
          </w:tcPr>
          <w:p w14:paraId="038A2ECA" w14:textId="77777777" w:rsidR="00847D43" w:rsidRDefault="00847D43" w:rsidP="001A5D4A">
            <w:pPr>
              <w:pStyle w:val="NotesTable-CellPlain"/>
            </w:pPr>
            <w:r>
              <w:t>–</w:t>
            </w:r>
          </w:p>
        </w:tc>
        <w:tc>
          <w:tcPr>
            <w:tcW w:w="406" w:type="pct"/>
          </w:tcPr>
          <w:p w14:paraId="038A2ECB" w14:textId="77777777" w:rsidR="00847D43" w:rsidRDefault="00847D43" w:rsidP="001A5D4A">
            <w:pPr>
              <w:pStyle w:val="NotesTable-CellBold"/>
            </w:pPr>
            <w:r>
              <w:t>–</w:t>
            </w:r>
          </w:p>
        </w:tc>
        <w:tc>
          <w:tcPr>
            <w:tcW w:w="403" w:type="pct"/>
          </w:tcPr>
          <w:p w14:paraId="038A2ECC" w14:textId="77777777" w:rsidR="00847D43" w:rsidRDefault="00847D43" w:rsidP="001A5D4A">
            <w:pPr>
              <w:pStyle w:val="NotesTable-CellPlain"/>
            </w:pPr>
            <w:r>
              <w:t>–</w:t>
            </w:r>
          </w:p>
        </w:tc>
      </w:tr>
      <w:tr w:rsidR="00847D43" w14:paraId="038A2ED4" w14:textId="77777777" w:rsidTr="00561138">
        <w:trPr>
          <w:trHeight w:val="181"/>
        </w:trPr>
        <w:tc>
          <w:tcPr>
            <w:tcW w:w="810" w:type="pct"/>
            <w:gridSpan w:val="2"/>
          </w:tcPr>
          <w:p w14:paraId="038A2ECE" w14:textId="77777777" w:rsidR="00847D43" w:rsidRDefault="00847D43" w:rsidP="001A5D4A">
            <w:pPr>
              <w:pStyle w:val="Note-Refs"/>
            </w:pPr>
          </w:p>
        </w:tc>
        <w:tc>
          <w:tcPr>
            <w:tcW w:w="2567" w:type="pct"/>
            <w:vAlign w:val="bottom"/>
          </w:tcPr>
          <w:p w14:paraId="038A2ECF" w14:textId="77777777" w:rsidR="00847D43" w:rsidRDefault="00847D43" w:rsidP="001A5D4A">
            <w:pPr>
              <w:pStyle w:val="NotesTable-ItemPlain"/>
              <w:rPr>
                <w:b/>
              </w:rPr>
            </w:pPr>
            <w:r>
              <w:t>US dollar</w:t>
            </w:r>
          </w:p>
        </w:tc>
        <w:tc>
          <w:tcPr>
            <w:tcW w:w="408" w:type="pct"/>
            <w:tcBorders>
              <w:bottom w:val="single" w:sz="4" w:space="0" w:color="auto"/>
            </w:tcBorders>
          </w:tcPr>
          <w:p w14:paraId="038A2ED0" w14:textId="77777777" w:rsidR="00847D43" w:rsidRDefault="00847D43" w:rsidP="001A5D4A">
            <w:pPr>
              <w:pStyle w:val="NotesTable-CellBold"/>
              <w:rPr>
                <w:u w:val="single"/>
              </w:rPr>
            </w:pPr>
            <w:r>
              <w:t>–</w:t>
            </w:r>
          </w:p>
        </w:tc>
        <w:tc>
          <w:tcPr>
            <w:tcW w:w="406" w:type="pct"/>
            <w:tcBorders>
              <w:bottom w:val="single" w:sz="4" w:space="0" w:color="auto"/>
            </w:tcBorders>
          </w:tcPr>
          <w:p w14:paraId="038A2ED1" w14:textId="77777777" w:rsidR="00847D43" w:rsidRDefault="00847D43" w:rsidP="001A5D4A">
            <w:pPr>
              <w:pStyle w:val="NotesTable-CellPlain"/>
              <w:rPr>
                <w:u w:val="single"/>
              </w:rPr>
            </w:pPr>
            <w:r>
              <w:t>–</w:t>
            </w:r>
          </w:p>
        </w:tc>
        <w:tc>
          <w:tcPr>
            <w:tcW w:w="406" w:type="pct"/>
            <w:tcBorders>
              <w:bottom w:val="single" w:sz="4" w:space="0" w:color="auto"/>
            </w:tcBorders>
          </w:tcPr>
          <w:p w14:paraId="038A2ED2" w14:textId="77777777" w:rsidR="00847D43" w:rsidRDefault="00847D43" w:rsidP="001A5D4A">
            <w:pPr>
              <w:pStyle w:val="NotesTable-CellBold"/>
              <w:rPr>
                <w:u w:val="single"/>
              </w:rPr>
            </w:pPr>
            <w:r>
              <w:t>–</w:t>
            </w:r>
          </w:p>
        </w:tc>
        <w:tc>
          <w:tcPr>
            <w:tcW w:w="403" w:type="pct"/>
            <w:tcBorders>
              <w:bottom w:val="single" w:sz="4" w:space="0" w:color="auto"/>
            </w:tcBorders>
          </w:tcPr>
          <w:p w14:paraId="038A2ED3" w14:textId="77777777" w:rsidR="00847D43" w:rsidRDefault="00847D43" w:rsidP="001A5D4A">
            <w:pPr>
              <w:pStyle w:val="NotesTable-CellPlain"/>
              <w:rPr>
                <w:u w:val="single"/>
              </w:rPr>
            </w:pPr>
            <w:r>
              <w:t>–</w:t>
            </w:r>
          </w:p>
        </w:tc>
      </w:tr>
      <w:tr w:rsidR="00847D43" w14:paraId="038A2ED7" w14:textId="77777777" w:rsidTr="00E21378">
        <w:trPr>
          <w:trHeight w:val="181"/>
        </w:trPr>
        <w:tc>
          <w:tcPr>
            <w:tcW w:w="810" w:type="pct"/>
            <w:gridSpan w:val="2"/>
          </w:tcPr>
          <w:p w14:paraId="038A2ED5" w14:textId="77777777" w:rsidR="00847D43" w:rsidRDefault="00847D43" w:rsidP="001A5D4A">
            <w:pPr>
              <w:pStyle w:val="Note-Refs"/>
            </w:pPr>
          </w:p>
        </w:tc>
        <w:tc>
          <w:tcPr>
            <w:tcW w:w="4190" w:type="pct"/>
            <w:gridSpan w:val="5"/>
            <w:vAlign w:val="bottom"/>
          </w:tcPr>
          <w:p w14:paraId="038A2ED6" w14:textId="77777777" w:rsidR="00847D43" w:rsidRDefault="00847D43" w:rsidP="001A5D4A">
            <w:pPr>
              <w:pStyle w:val="Note-Text"/>
            </w:pPr>
          </w:p>
        </w:tc>
      </w:tr>
      <w:tr w:rsidR="00847D43" w14:paraId="038A2EDA" w14:textId="77777777" w:rsidTr="00E21378">
        <w:trPr>
          <w:trHeight w:val="181"/>
        </w:trPr>
        <w:tc>
          <w:tcPr>
            <w:tcW w:w="810" w:type="pct"/>
            <w:gridSpan w:val="2"/>
          </w:tcPr>
          <w:p w14:paraId="038A2ED8" w14:textId="77777777" w:rsidR="00847D43" w:rsidRDefault="00847D43" w:rsidP="001A5D4A">
            <w:pPr>
              <w:pStyle w:val="Note-Refs"/>
              <w:rPr>
                <w:b/>
              </w:rPr>
            </w:pPr>
            <w:r>
              <w:t>AASB7.40</w:t>
            </w:r>
          </w:p>
        </w:tc>
        <w:tc>
          <w:tcPr>
            <w:tcW w:w="4190" w:type="pct"/>
            <w:gridSpan w:val="5"/>
            <w:vAlign w:val="bottom"/>
          </w:tcPr>
          <w:p w14:paraId="038A2ED9" w14:textId="3974E9CE" w:rsidR="00847D43" w:rsidRDefault="00847D43" w:rsidP="001A5D4A">
            <w:pPr>
              <w:pStyle w:val="NotesTable-ItemPlain"/>
              <w:rPr>
                <w:b/>
              </w:rPr>
            </w:pPr>
            <w:r>
              <w:t>For an analysis of the sensitivity of borrowings to interest rate risk and foreign exchange risk refer to note 5</w:t>
            </w:r>
            <w:r w:rsidR="001757AA">
              <w:t>0</w:t>
            </w:r>
            <w:r>
              <w:t>.</w:t>
            </w:r>
          </w:p>
        </w:tc>
      </w:tr>
    </w:tbl>
    <w:p w14:paraId="200AD79B" w14:textId="3203733D" w:rsidR="000F7FFE" w:rsidRPr="000F7FFE" w:rsidRDefault="000F7FFE" w:rsidP="001A5D4A">
      <w:pPr>
        <w:pStyle w:val="Heading3"/>
        <w:rPr>
          <w:color w:val="2D3E7B" w:themeColor="text2" w:themeShade="BF"/>
        </w:rPr>
      </w:pPr>
      <w:bookmarkStart w:id="349" w:name="_Toc410807647"/>
      <w:bookmarkStart w:id="350" w:name="_Toc410822708"/>
      <w:r w:rsidRPr="000F7FFE">
        <w:rPr>
          <w:color w:val="2D3E7B" w:themeColor="text2" w:themeShade="BF"/>
        </w:rPr>
        <w:t>Commentary - Borrowings</w:t>
      </w:r>
      <w:bookmarkEnd w:id="349"/>
      <w:bookmarkEnd w:id="350"/>
    </w:p>
    <w:p w14:paraId="5BA4E3BD" w14:textId="77777777" w:rsidR="000F7FFE" w:rsidRPr="00EF62D6" w:rsidRDefault="000F7FFE"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Long</w:t>
      </w:r>
      <w:r w:rsidRPr="00EF62D6">
        <w:rPr>
          <w:color w:val="2D3E7B" w:themeColor="text2" w:themeShade="BF"/>
          <w14:textFill>
            <w14:solidFill>
              <w14:schemeClr w14:val="tx2">
                <w14:lumMod w14:val="75000"/>
                <w14:lumMod w14:val="75000"/>
              </w14:schemeClr>
            </w14:solidFill>
          </w14:textFill>
        </w:rPr>
        <w:noBreakHyphen/>
        <w:t>term borrowings</w:t>
      </w:r>
    </w:p>
    <w:p w14:paraId="5FC1A2AC" w14:textId="77777777" w:rsidR="000F7FFE" w:rsidRPr="00EF62D6" w:rsidRDefault="000F7FFE" w:rsidP="00F94210">
      <w:pPr>
        <w:pStyle w:val="Heading6"/>
      </w:pPr>
      <w:r w:rsidRPr="00EF62D6">
        <w:t>AASB101.72</w:t>
      </w:r>
    </w:p>
    <w:p w14:paraId="228A9899" w14:textId="77777777" w:rsidR="000F7FFE" w:rsidRPr="00EF62D6" w:rsidRDefault="000F7FFE" w:rsidP="001A5D4A">
      <w:pPr>
        <w:rPr>
          <w:color w:val="2D3E7B" w:themeColor="text2" w:themeShade="BF"/>
        </w:rPr>
      </w:pPr>
      <w:r w:rsidRPr="00EF62D6">
        <w:rPr>
          <w:color w:val="2D3E7B" w:themeColor="text2" w:themeShade="BF"/>
        </w:rPr>
        <w:t>An entity classifies its financial liabilities as current when they are due to be settled within twelve months after the reporting date, even if:</w:t>
      </w:r>
    </w:p>
    <w:p w14:paraId="1AE9FADF" w14:textId="0A91A62F" w:rsidR="000F7FFE" w:rsidRPr="00EF62D6" w:rsidRDefault="000F7FFE" w:rsidP="001A5D4A">
      <w:pPr>
        <w:pStyle w:val="ListParagraph"/>
        <w:numPr>
          <w:ilvl w:val="0"/>
          <w:numId w:val="48"/>
        </w:numPr>
        <w:rPr>
          <w:color w:val="2D3E7B" w:themeColor="text2" w:themeShade="BF"/>
        </w:rPr>
      </w:pPr>
      <w:r w:rsidRPr="00EF62D6">
        <w:rPr>
          <w:color w:val="2D3E7B" w:themeColor="text2" w:themeShade="BF"/>
        </w:rPr>
        <w:t>the original term was for a period longer than twelve months, and</w:t>
      </w:r>
    </w:p>
    <w:p w14:paraId="3C4D7289" w14:textId="622A6B75" w:rsidR="000F7FFE" w:rsidRPr="00EF62D6" w:rsidRDefault="000F7FFE" w:rsidP="001A5D4A">
      <w:pPr>
        <w:pStyle w:val="ListParagraph"/>
        <w:numPr>
          <w:ilvl w:val="0"/>
          <w:numId w:val="48"/>
        </w:numPr>
        <w:rPr>
          <w:color w:val="2D3E7B" w:themeColor="text2" w:themeShade="BF"/>
        </w:rPr>
      </w:pPr>
      <w:proofErr w:type="gramStart"/>
      <w:r w:rsidRPr="00EF62D6">
        <w:rPr>
          <w:color w:val="2D3E7B" w:themeColor="text2" w:themeShade="BF"/>
        </w:rPr>
        <w:t>an</w:t>
      </w:r>
      <w:proofErr w:type="gramEnd"/>
      <w:r w:rsidRPr="00EF62D6">
        <w:rPr>
          <w:color w:val="2D3E7B" w:themeColor="text2" w:themeShade="BF"/>
        </w:rPr>
        <w:t xml:space="preserve"> agreement to refinance, or to reschedule payments, on a long</w:t>
      </w:r>
      <w:r w:rsidRPr="00EF62D6">
        <w:rPr>
          <w:color w:val="2D3E7B" w:themeColor="text2" w:themeShade="BF"/>
        </w:rPr>
        <w:noBreakHyphen/>
        <w:t>term basis is completed after the reporting date and before the financial report is authorised for issue.</w:t>
      </w:r>
    </w:p>
    <w:p w14:paraId="5448B826" w14:textId="77777777" w:rsidR="000F7FFE" w:rsidRPr="00EF62D6" w:rsidRDefault="000F7FFE" w:rsidP="00F94210">
      <w:pPr>
        <w:pStyle w:val="Heading6"/>
      </w:pPr>
      <w:r w:rsidRPr="00EF62D6">
        <w:t>AASB101.73</w:t>
      </w:r>
    </w:p>
    <w:p w14:paraId="04CD77E1" w14:textId="77777777" w:rsidR="000F7FFE" w:rsidRPr="000F7FFE" w:rsidRDefault="000F7FFE" w:rsidP="001A5D4A">
      <w:pPr>
        <w:rPr>
          <w:color w:val="2D3E7B" w:themeColor="text2" w:themeShade="BF"/>
        </w:rPr>
      </w:pPr>
      <w:r w:rsidRPr="00EF62D6">
        <w:rPr>
          <w:color w:val="2D3E7B" w:themeColor="text2" w:themeShade="BF"/>
        </w:rPr>
        <w:t xml:space="preserve">If an entity expects, and has the discretion, to refinance or roll over an obligation for at least twelve months after the reporting date </w:t>
      </w:r>
      <w:r w:rsidRPr="000F7FFE">
        <w:rPr>
          <w:color w:val="2D3E7B" w:themeColor="text2" w:themeShade="BF"/>
        </w:rPr>
        <w:t>under an existing loan facility, it classifies the obligation as non</w:t>
      </w:r>
      <w:r w:rsidRPr="000F7FFE">
        <w:rPr>
          <w:color w:val="2D3E7B" w:themeColor="text2" w:themeShade="BF"/>
        </w:rPr>
        <w:noBreakHyphen/>
        <w:t>current, even if it would otherwise be due within a shorter period. However, when refinancing or rolling over the obligation is not at the discretion of the entity (for example, there is no agreement to refinance), the potential to refinance is not considered and the obligation is classified as current.</w:t>
      </w:r>
    </w:p>
    <w:p w14:paraId="75B14F7F" w14:textId="77777777" w:rsidR="000F7FFE" w:rsidRPr="00D21CB5" w:rsidRDefault="000F7FFE" w:rsidP="001A5D4A">
      <w:r w:rsidRPr="00D21CB5">
        <w:br w:type="page"/>
      </w:r>
    </w:p>
    <w:p w14:paraId="7D2BD407" w14:textId="3CB64CF7" w:rsidR="00D21CB5" w:rsidRDefault="00D21CB5" w:rsidP="00EF62D6">
      <w:pPr>
        <w:pStyle w:val="Heading2"/>
      </w:pPr>
      <w:bookmarkStart w:id="351" w:name="_Toc410807648"/>
      <w:bookmarkStart w:id="352" w:name="_Toc410822709"/>
      <w:proofErr w:type="gramStart"/>
      <w:r w:rsidRPr="00D21CB5">
        <w:lastRenderedPageBreak/>
        <w:t>Note 31.</w:t>
      </w:r>
      <w:proofErr w:type="gramEnd"/>
      <w:r>
        <w:t xml:space="preserve"> Provisions</w:t>
      </w:r>
      <w:bookmarkEnd w:id="351"/>
      <w:bookmarkEnd w:id="352"/>
    </w:p>
    <w:p w14:paraId="6F42034F" w14:textId="77777777" w:rsidR="00D21CB5" w:rsidRPr="00D21CB5" w:rsidRDefault="00D21CB5" w:rsidP="001A5D4A">
      <w:r w:rsidRPr="00D21CB5">
        <w:t>Mandatory</w:t>
      </w:r>
    </w:p>
    <w:tbl>
      <w:tblPr>
        <w:tblW w:w="5000" w:type="pct"/>
        <w:tblCellMar>
          <w:left w:w="0" w:type="dxa"/>
          <w:right w:w="0" w:type="dxa"/>
        </w:tblCellMar>
        <w:tblLook w:val="0000" w:firstRow="0" w:lastRow="0" w:firstColumn="0" w:lastColumn="0" w:noHBand="0" w:noVBand="0"/>
      </w:tblPr>
      <w:tblGrid>
        <w:gridCol w:w="1663"/>
        <w:gridCol w:w="4711"/>
        <w:gridCol w:w="556"/>
        <w:gridCol w:w="833"/>
        <w:gridCol w:w="833"/>
        <w:gridCol w:w="833"/>
        <w:gridCol w:w="831"/>
      </w:tblGrid>
      <w:tr w:rsidR="00023312" w14:paraId="038A2F06" w14:textId="77777777" w:rsidTr="00E21378">
        <w:trPr>
          <w:trHeight w:val="181"/>
        </w:trPr>
        <w:tc>
          <w:tcPr>
            <w:tcW w:w="810" w:type="pct"/>
          </w:tcPr>
          <w:p w14:paraId="038A2F01" w14:textId="77777777" w:rsidR="00023312" w:rsidRPr="00CD1C37" w:rsidRDefault="00023312" w:rsidP="001A5D4A">
            <w:pPr>
              <w:pStyle w:val="Note-Refs"/>
            </w:pPr>
          </w:p>
        </w:tc>
        <w:tc>
          <w:tcPr>
            <w:tcW w:w="2296" w:type="pct"/>
          </w:tcPr>
          <w:p w14:paraId="038A2F02" w14:textId="77777777" w:rsidR="00023312" w:rsidRDefault="00023312" w:rsidP="001A5D4A">
            <w:pPr>
              <w:pStyle w:val="NotesTable-ItemPlain"/>
            </w:pPr>
          </w:p>
        </w:tc>
        <w:tc>
          <w:tcPr>
            <w:tcW w:w="271" w:type="pct"/>
          </w:tcPr>
          <w:p w14:paraId="038A2F03" w14:textId="77777777" w:rsidR="00023312" w:rsidRDefault="00023312" w:rsidP="001A5D4A">
            <w:pPr>
              <w:pStyle w:val="NotesTable-Notes"/>
            </w:pPr>
          </w:p>
        </w:tc>
        <w:tc>
          <w:tcPr>
            <w:tcW w:w="811" w:type="pct"/>
            <w:gridSpan w:val="2"/>
          </w:tcPr>
          <w:p w14:paraId="038A2F04" w14:textId="77777777" w:rsidR="00023312" w:rsidRDefault="00023312" w:rsidP="001A5D4A">
            <w:pPr>
              <w:pStyle w:val="NotesTable-CellPlain"/>
            </w:pPr>
            <w:r>
              <w:t>Consolidated</w:t>
            </w:r>
          </w:p>
        </w:tc>
        <w:tc>
          <w:tcPr>
            <w:tcW w:w="811" w:type="pct"/>
            <w:gridSpan w:val="2"/>
          </w:tcPr>
          <w:p w14:paraId="038A2F05" w14:textId="77777777" w:rsidR="00023312" w:rsidRDefault="00023312" w:rsidP="001A5D4A">
            <w:pPr>
              <w:pStyle w:val="NotesTable-CellPlain"/>
            </w:pPr>
            <w:r>
              <w:t>Parent entity</w:t>
            </w:r>
          </w:p>
        </w:tc>
      </w:tr>
      <w:tr w:rsidR="00C83428" w:rsidRPr="00CD1C37" w14:paraId="038A2F0E" w14:textId="77777777" w:rsidTr="00E21378">
        <w:trPr>
          <w:trHeight w:val="181"/>
        </w:trPr>
        <w:tc>
          <w:tcPr>
            <w:tcW w:w="810" w:type="pct"/>
          </w:tcPr>
          <w:p w14:paraId="038A2F07" w14:textId="77777777" w:rsidR="00C83428" w:rsidRPr="003C77BC" w:rsidRDefault="00C83428" w:rsidP="001A5D4A">
            <w:pPr>
              <w:pStyle w:val="Note-Refs"/>
            </w:pPr>
          </w:p>
        </w:tc>
        <w:tc>
          <w:tcPr>
            <w:tcW w:w="2296" w:type="pct"/>
          </w:tcPr>
          <w:p w14:paraId="038A2F08" w14:textId="77777777" w:rsidR="00C83428" w:rsidRPr="003C77BC" w:rsidRDefault="00C83428" w:rsidP="001A5D4A">
            <w:pPr>
              <w:pStyle w:val="NotesTable-ItemPlain"/>
            </w:pPr>
          </w:p>
        </w:tc>
        <w:tc>
          <w:tcPr>
            <w:tcW w:w="271" w:type="pct"/>
          </w:tcPr>
          <w:p w14:paraId="038A2F09" w14:textId="77777777" w:rsidR="00C83428" w:rsidRPr="003C77BC" w:rsidRDefault="00C83428" w:rsidP="001A5D4A">
            <w:pPr>
              <w:pStyle w:val="NotesTable-Notes"/>
            </w:pPr>
          </w:p>
        </w:tc>
        <w:tc>
          <w:tcPr>
            <w:tcW w:w="406" w:type="pct"/>
          </w:tcPr>
          <w:p w14:paraId="038A2F0A" w14:textId="45D9F351" w:rsidR="00C83428" w:rsidRPr="00CD1C37" w:rsidRDefault="006864EC" w:rsidP="001A5D4A">
            <w:pPr>
              <w:pStyle w:val="NotesTable-HeadBold"/>
            </w:pPr>
            <w:r>
              <w:t>2014</w:t>
            </w:r>
          </w:p>
        </w:tc>
        <w:tc>
          <w:tcPr>
            <w:tcW w:w="406" w:type="pct"/>
          </w:tcPr>
          <w:p w14:paraId="038A2F0B" w14:textId="555839C6" w:rsidR="00C83428" w:rsidRPr="003C77BC" w:rsidRDefault="006864EC" w:rsidP="001A5D4A">
            <w:pPr>
              <w:pStyle w:val="NotesTable-CellPlain"/>
            </w:pPr>
            <w:r>
              <w:t>2013</w:t>
            </w:r>
          </w:p>
        </w:tc>
        <w:tc>
          <w:tcPr>
            <w:tcW w:w="406" w:type="pct"/>
          </w:tcPr>
          <w:p w14:paraId="038A2F0C" w14:textId="34AD487B" w:rsidR="00C83428" w:rsidRPr="00CD1C37" w:rsidRDefault="006864EC" w:rsidP="001A5D4A">
            <w:pPr>
              <w:pStyle w:val="NotesTable-HeadBold"/>
            </w:pPr>
            <w:r>
              <w:t>2014</w:t>
            </w:r>
          </w:p>
        </w:tc>
        <w:tc>
          <w:tcPr>
            <w:tcW w:w="406" w:type="pct"/>
          </w:tcPr>
          <w:p w14:paraId="038A2F0D" w14:textId="76C27192" w:rsidR="00C83428" w:rsidRPr="003C77BC" w:rsidRDefault="006864EC" w:rsidP="001A5D4A">
            <w:pPr>
              <w:pStyle w:val="NotesTable-CellPlain"/>
            </w:pPr>
            <w:r>
              <w:t>2013</w:t>
            </w:r>
          </w:p>
        </w:tc>
      </w:tr>
      <w:tr w:rsidR="00C83428" w:rsidRPr="00CD1C37" w14:paraId="038A2F16" w14:textId="77777777" w:rsidTr="00E21378">
        <w:trPr>
          <w:trHeight w:val="181"/>
        </w:trPr>
        <w:tc>
          <w:tcPr>
            <w:tcW w:w="810" w:type="pct"/>
          </w:tcPr>
          <w:p w14:paraId="038A2F0F" w14:textId="77777777" w:rsidR="00C83428" w:rsidRPr="003C77BC" w:rsidRDefault="00C83428" w:rsidP="001A5D4A">
            <w:pPr>
              <w:pStyle w:val="Note-Refs"/>
            </w:pPr>
          </w:p>
        </w:tc>
        <w:tc>
          <w:tcPr>
            <w:tcW w:w="2296" w:type="pct"/>
          </w:tcPr>
          <w:p w14:paraId="038A2F10" w14:textId="77777777" w:rsidR="00C83428" w:rsidRDefault="00C83428" w:rsidP="001A5D4A">
            <w:pPr>
              <w:pStyle w:val="NotesTable-ItemPlain"/>
            </w:pPr>
          </w:p>
        </w:tc>
        <w:tc>
          <w:tcPr>
            <w:tcW w:w="271" w:type="pct"/>
          </w:tcPr>
          <w:p w14:paraId="038A2F11" w14:textId="77777777" w:rsidR="00C83428" w:rsidRDefault="00C83428" w:rsidP="001A5D4A">
            <w:pPr>
              <w:pStyle w:val="NotesTable-Notes"/>
            </w:pPr>
          </w:p>
        </w:tc>
        <w:tc>
          <w:tcPr>
            <w:tcW w:w="406" w:type="pct"/>
          </w:tcPr>
          <w:p w14:paraId="038A2F12" w14:textId="77777777" w:rsidR="00C83428" w:rsidRDefault="00C83428" w:rsidP="001A5D4A">
            <w:pPr>
              <w:pStyle w:val="NotesTable-HeadBold"/>
            </w:pPr>
            <w:r>
              <w:t>$’000</w:t>
            </w:r>
          </w:p>
        </w:tc>
        <w:tc>
          <w:tcPr>
            <w:tcW w:w="406" w:type="pct"/>
          </w:tcPr>
          <w:p w14:paraId="038A2F13" w14:textId="77777777" w:rsidR="00C83428" w:rsidRDefault="00C83428" w:rsidP="001A5D4A">
            <w:pPr>
              <w:pStyle w:val="NotesTable-CellPlain"/>
              <w:rPr>
                <w:b/>
              </w:rPr>
            </w:pPr>
            <w:r>
              <w:t>$’000</w:t>
            </w:r>
          </w:p>
        </w:tc>
        <w:tc>
          <w:tcPr>
            <w:tcW w:w="406" w:type="pct"/>
          </w:tcPr>
          <w:p w14:paraId="038A2F14" w14:textId="77777777" w:rsidR="00C83428" w:rsidRDefault="00C83428" w:rsidP="001A5D4A">
            <w:pPr>
              <w:pStyle w:val="NotesTable-HeadBold"/>
            </w:pPr>
            <w:r>
              <w:t>$’000</w:t>
            </w:r>
          </w:p>
        </w:tc>
        <w:tc>
          <w:tcPr>
            <w:tcW w:w="406" w:type="pct"/>
          </w:tcPr>
          <w:p w14:paraId="038A2F15" w14:textId="77777777" w:rsidR="00C83428" w:rsidRDefault="00C83428" w:rsidP="001A5D4A">
            <w:pPr>
              <w:pStyle w:val="NotesTable-CellPlain"/>
              <w:rPr>
                <w:b/>
              </w:rPr>
            </w:pPr>
            <w:r>
              <w:t>$’000</w:t>
            </w:r>
          </w:p>
        </w:tc>
      </w:tr>
      <w:tr w:rsidR="008C7CC5" w14:paraId="038A2F19" w14:textId="77777777" w:rsidTr="00E21378">
        <w:trPr>
          <w:trHeight w:val="181"/>
        </w:trPr>
        <w:tc>
          <w:tcPr>
            <w:tcW w:w="810" w:type="pct"/>
          </w:tcPr>
          <w:p w14:paraId="038A2F17" w14:textId="77777777" w:rsidR="008C7CC5" w:rsidRDefault="008C7CC5" w:rsidP="001A5D4A">
            <w:pPr>
              <w:pStyle w:val="Note-Refs"/>
            </w:pPr>
            <w:r>
              <w:t>AASB101.61</w:t>
            </w:r>
            <w:r w:rsidR="00254379">
              <w:t>a</w:t>
            </w:r>
          </w:p>
        </w:tc>
        <w:tc>
          <w:tcPr>
            <w:tcW w:w="4190" w:type="pct"/>
            <w:gridSpan w:val="6"/>
          </w:tcPr>
          <w:p w14:paraId="038A2F18" w14:textId="2DF6398B" w:rsidR="008C7CC5" w:rsidRDefault="008C7CC5" w:rsidP="001A5D4A">
            <w:pPr>
              <w:pStyle w:val="Note-TextHeader"/>
              <w:rPr>
                <w:b w:val="0"/>
                <w:lang w:val="en-GB"/>
              </w:rPr>
            </w:pPr>
            <w:r>
              <w:t>Current provisions expected to be settled within 12 months</w:t>
            </w:r>
          </w:p>
        </w:tc>
      </w:tr>
      <w:tr w:rsidR="00C83428" w14:paraId="038A2F21" w14:textId="77777777" w:rsidTr="00E21378">
        <w:trPr>
          <w:trHeight w:val="181"/>
        </w:trPr>
        <w:tc>
          <w:tcPr>
            <w:tcW w:w="810" w:type="pct"/>
          </w:tcPr>
          <w:p w14:paraId="038A2F1A" w14:textId="77777777" w:rsidR="00C83428" w:rsidRDefault="00C83428" w:rsidP="001A5D4A">
            <w:pPr>
              <w:pStyle w:val="Note-Refs"/>
            </w:pPr>
          </w:p>
        </w:tc>
        <w:tc>
          <w:tcPr>
            <w:tcW w:w="2296" w:type="pct"/>
          </w:tcPr>
          <w:p w14:paraId="038A2F1B" w14:textId="77777777" w:rsidR="00C83428" w:rsidRDefault="00C83428" w:rsidP="001A5D4A">
            <w:pPr>
              <w:pStyle w:val="NotesTable-ItemPlain"/>
              <w:rPr>
                <w:b/>
              </w:rPr>
            </w:pPr>
            <w:r>
              <w:t>Employee benefits</w:t>
            </w:r>
          </w:p>
        </w:tc>
        <w:tc>
          <w:tcPr>
            <w:tcW w:w="271" w:type="pct"/>
          </w:tcPr>
          <w:p w14:paraId="038A2F1C" w14:textId="77777777" w:rsidR="00C83428" w:rsidRDefault="00C83428" w:rsidP="001A5D4A">
            <w:pPr>
              <w:pStyle w:val="NotesTable-Notes"/>
            </w:pPr>
          </w:p>
        </w:tc>
        <w:tc>
          <w:tcPr>
            <w:tcW w:w="406" w:type="pct"/>
          </w:tcPr>
          <w:p w14:paraId="038A2F1D" w14:textId="77777777" w:rsidR="00C83428" w:rsidRDefault="00C83428" w:rsidP="001A5D4A">
            <w:pPr>
              <w:pStyle w:val="NotesTable-CellBold"/>
            </w:pPr>
          </w:p>
        </w:tc>
        <w:tc>
          <w:tcPr>
            <w:tcW w:w="406" w:type="pct"/>
          </w:tcPr>
          <w:p w14:paraId="038A2F1E" w14:textId="77777777" w:rsidR="00C83428" w:rsidRDefault="00C83428" w:rsidP="001A5D4A">
            <w:pPr>
              <w:pStyle w:val="NotesTable-CellPlain"/>
            </w:pPr>
          </w:p>
        </w:tc>
        <w:tc>
          <w:tcPr>
            <w:tcW w:w="406" w:type="pct"/>
          </w:tcPr>
          <w:p w14:paraId="038A2F1F" w14:textId="77777777" w:rsidR="00C83428" w:rsidRDefault="00C83428" w:rsidP="001A5D4A">
            <w:pPr>
              <w:pStyle w:val="NotesTable-CellBold"/>
            </w:pPr>
          </w:p>
        </w:tc>
        <w:tc>
          <w:tcPr>
            <w:tcW w:w="406" w:type="pct"/>
          </w:tcPr>
          <w:p w14:paraId="038A2F20" w14:textId="77777777" w:rsidR="00C83428" w:rsidRDefault="00C83428" w:rsidP="001A5D4A">
            <w:pPr>
              <w:pStyle w:val="NotesTable-CellPlain"/>
            </w:pPr>
          </w:p>
        </w:tc>
      </w:tr>
      <w:tr w:rsidR="00C83428" w14:paraId="038A2F29" w14:textId="77777777" w:rsidTr="00E21378">
        <w:trPr>
          <w:trHeight w:val="181"/>
        </w:trPr>
        <w:tc>
          <w:tcPr>
            <w:tcW w:w="810" w:type="pct"/>
          </w:tcPr>
          <w:p w14:paraId="038A2F22" w14:textId="77777777" w:rsidR="00C83428" w:rsidRDefault="00C83428" w:rsidP="001A5D4A">
            <w:pPr>
              <w:pStyle w:val="Note-Refs"/>
            </w:pPr>
          </w:p>
        </w:tc>
        <w:tc>
          <w:tcPr>
            <w:tcW w:w="2296" w:type="pct"/>
          </w:tcPr>
          <w:p w14:paraId="038A2F23" w14:textId="77777777" w:rsidR="00C83428" w:rsidRDefault="00C83428" w:rsidP="001A5D4A">
            <w:pPr>
              <w:pStyle w:val="Note-Text"/>
              <w:rPr>
                <w:b/>
              </w:rPr>
            </w:pPr>
            <w:r>
              <w:t>Annual leave</w:t>
            </w:r>
          </w:p>
        </w:tc>
        <w:tc>
          <w:tcPr>
            <w:tcW w:w="271" w:type="pct"/>
          </w:tcPr>
          <w:p w14:paraId="038A2F24" w14:textId="77777777" w:rsidR="00C83428" w:rsidRDefault="00C83428" w:rsidP="001A5D4A">
            <w:pPr>
              <w:pStyle w:val="NotesTable-Notes"/>
            </w:pPr>
          </w:p>
        </w:tc>
        <w:tc>
          <w:tcPr>
            <w:tcW w:w="406" w:type="pct"/>
          </w:tcPr>
          <w:p w14:paraId="038A2F25" w14:textId="77777777" w:rsidR="00C83428" w:rsidRDefault="00C83428" w:rsidP="001A5D4A">
            <w:pPr>
              <w:pStyle w:val="NotesTable-CellBold"/>
            </w:pPr>
            <w:r>
              <w:t>–</w:t>
            </w:r>
          </w:p>
        </w:tc>
        <w:tc>
          <w:tcPr>
            <w:tcW w:w="406" w:type="pct"/>
          </w:tcPr>
          <w:p w14:paraId="038A2F26" w14:textId="77777777" w:rsidR="00C83428" w:rsidRDefault="00C83428" w:rsidP="001A5D4A">
            <w:pPr>
              <w:pStyle w:val="NotesTable-CellPlain"/>
            </w:pPr>
            <w:r>
              <w:t>–</w:t>
            </w:r>
          </w:p>
        </w:tc>
        <w:tc>
          <w:tcPr>
            <w:tcW w:w="406" w:type="pct"/>
          </w:tcPr>
          <w:p w14:paraId="038A2F27" w14:textId="77777777" w:rsidR="00C83428" w:rsidRDefault="00C83428" w:rsidP="001A5D4A">
            <w:pPr>
              <w:pStyle w:val="NotesTable-CellBold"/>
            </w:pPr>
            <w:r>
              <w:t>–</w:t>
            </w:r>
          </w:p>
        </w:tc>
        <w:tc>
          <w:tcPr>
            <w:tcW w:w="406" w:type="pct"/>
          </w:tcPr>
          <w:p w14:paraId="038A2F28" w14:textId="77777777" w:rsidR="00C83428" w:rsidRDefault="00C83428" w:rsidP="001A5D4A">
            <w:pPr>
              <w:pStyle w:val="NotesTable-CellPlain"/>
            </w:pPr>
            <w:r>
              <w:t>–</w:t>
            </w:r>
          </w:p>
        </w:tc>
      </w:tr>
      <w:tr w:rsidR="00C83428" w14:paraId="038A2F31" w14:textId="77777777" w:rsidTr="00E21378">
        <w:trPr>
          <w:trHeight w:val="181"/>
        </w:trPr>
        <w:tc>
          <w:tcPr>
            <w:tcW w:w="810" w:type="pct"/>
          </w:tcPr>
          <w:p w14:paraId="038A2F2A" w14:textId="77777777" w:rsidR="00C83428" w:rsidRDefault="00C83428" w:rsidP="001A5D4A">
            <w:pPr>
              <w:pStyle w:val="Note-Refs"/>
            </w:pPr>
          </w:p>
        </w:tc>
        <w:tc>
          <w:tcPr>
            <w:tcW w:w="2296" w:type="pct"/>
          </w:tcPr>
          <w:p w14:paraId="038A2F2B" w14:textId="77777777" w:rsidR="00C83428" w:rsidRDefault="00C83428" w:rsidP="001A5D4A">
            <w:pPr>
              <w:pStyle w:val="Note-Text"/>
              <w:rPr>
                <w:b/>
              </w:rPr>
            </w:pPr>
            <w:r>
              <w:t>Long service leave</w:t>
            </w:r>
          </w:p>
        </w:tc>
        <w:tc>
          <w:tcPr>
            <w:tcW w:w="271" w:type="pct"/>
          </w:tcPr>
          <w:p w14:paraId="038A2F2C" w14:textId="77777777" w:rsidR="00C83428" w:rsidRDefault="00C83428" w:rsidP="001A5D4A">
            <w:pPr>
              <w:pStyle w:val="NotesTable-Notes"/>
            </w:pPr>
          </w:p>
        </w:tc>
        <w:tc>
          <w:tcPr>
            <w:tcW w:w="406" w:type="pct"/>
          </w:tcPr>
          <w:p w14:paraId="038A2F2D" w14:textId="77777777" w:rsidR="00C83428" w:rsidRDefault="00C83428" w:rsidP="001A5D4A">
            <w:pPr>
              <w:pStyle w:val="NotesTable-CellBold"/>
            </w:pPr>
            <w:r>
              <w:t>–</w:t>
            </w:r>
          </w:p>
        </w:tc>
        <w:tc>
          <w:tcPr>
            <w:tcW w:w="406" w:type="pct"/>
          </w:tcPr>
          <w:p w14:paraId="038A2F2E" w14:textId="77777777" w:rsidR="00C83428" w:rsidRDefault="00C83428" w:rsidP="001A5D4A">
            <w:pPr>
              <w:pStyle w:val="NotesTable-CellPlain"/>
            </w:pPr>
            <w:r>
              <w:t>–</w:t>
            </w:r>
          </w:p>
        </w:tc>
        <w:tc>
          <w:tcPr>
            <w:tcW w:w="406" w:type="pct"/>
          </w:tcPr>
          <w:p w14:paraId="038A2F2F" w14:textId="77777777" w:rsidR="00C83428" w:rsidRDefault="00C83428" w:rsidP="001A5D4A">
            <w:pPr>
              <w:pStyle w:val="NotesTable-CellBold"/>
            </w:pPr>
            <w:r>
              <w:t>–</w:t>
            </w:r>
          </w:p>
        </w:tc>
        <w:tc>
          <w:tcPr>
            <w:tcW w:w="406" w:type="pct"/>
          </w:tcPr>
          <w:p w14:paraId="038A2F30" w14:textId="77777777" w:rsidR="00C83428" w:rsidRDefault="00C83428" w:rsidP="001A5D4A">
            <w:pPr>
              <w:pStyle w:val="NotesTable-CellPlain"/>
            </w:pPr>
            <w:r>
              <w:t>–</w:t>
            </w:r>
          </w:p>
        </w:tc>
      </w:tr>
      <w:tr w:rsidR="00C83428" w14:paraId="038A2F39" w14:textId="77777777" w:rsidTr="00E21378">
        <w:trPr>
          <w:trHeight w:val="181"/>
        </w:trPr>
        <w:tc>
          <w:tcPr>
            <w:tcW w:w="810" w:type="pct"/>
          </w:tcPr>
          <w:p w14:paraId="038A2F32" w14:textId="2B978BD8" w:rsidR="00C83428" w:rsidRDefault="008F0DB7" w:rsidP="001A5D4A">
            <w:pPr>
              <w:pStyle w:val="Note-Refs"/>
            </w:pPr>
            <w:r>
              <w:t>EDUCATION</w:t>
            </w:r>
          </w:p>
        </w:tc>
        <w:tc>
          <w:tcPr>
            <w:tcW w:w="2296" w:type="pct"/>
            <w:shd w:val="clear" w:color="auto" w:fill="CCCCCC"/>
          </w:tcPr>
          <w:p w14:paraId="038A2F33" w14:textId="77777777" w:rsidR="00C83428" w:rsidRDefault="00C83428" w:rsidP="001A5D4A">
            <w:pPr>
              <w:pStyle w:val="Note-Text"/>
              <w:rPr>
                <w:b/>
              </w:rPr>
            </w:pPr>
            <w:r>
              <w:t>Defined benefit obligation</w:t>
            </w:r>
          </w:p>
        </w:tc>
        <w:tc>
          <w:tcPr>
            <w:tcW w:w="271" w:type="pct"/>
            <w:shd w:val="clear" w:color="auto" w:fill="CCCCCC"/>
          </w:tcPr>
          <w:p w14:paraId="038A2F34" w14:textId="7DED35B7" w:rsidR="00C83428" w:rsidRDefault="00575CDB" w:rsidP="001A5D4A">
            <w:pPr>
              <w:pStyle w:val="NotesTable-Notes"/>
            </w:pPr>
            <w:r>
              <w:t>52</w:t>
            </w:r>
          </w:p>
        </w:tc>
        <w:tc>
          <w:tcPr>
            <w:tcW w:w="406" w:type="pct"/>
            <w:shd w:val="clear" w:color="auto" w:fill="CCCCCC"/>
          </w:tcPr>
          <w:p w14:paraId="038A2F35" w14:textId="77777777" w:rsidR="00C83428" w:rsidRDefault="00C83428" w:rsidP="001A5D4A">
            <w:pPr>
              <w:pStyle w:val="NotesTable-CellBold"/>
            </w:pPr>
            <w:r>
              <w:t>–</w:t>
            </w:r>
          </w:p>
        </w:tc>
        <w:tc>
          <w:tcPr>
            <w:tcW w:w="406" w:type="pct"/>
            <w:shd w:val="clear" w:color="auto" w:fill="CCCCCC"/>
          </w:tcPr>
          <w:p w14:paraId="038A2F36" w14:textId="77777777" w:rsidR="00C83428" w:rsidRDefault="00C83428" w:rsidP="001A5D4A">
            <w:pPr>
              <w:pStyle w:val="NotesTable-CellPlain"/>
            </w:pPr>
            <w:r>
              <w:t>–</w:t>
            </w:r>
          </w:p>
        </w:tc>
        <w:tc>
          <w:tcPr>
            <w:tcW w:w="406" w:type="pct"/>
            <w:shd w:val="clear" w:color="auto" w:fill="CCCCCC"/>
          </w:tcPr>
          <w:p w14:paraId="038A2F37" w14:textId="77777777" w:rsidR="00C83428" w:rsidRDefault="00C83428" w:rsidP="001A5D4A">
            <w:pPr>
              <w:pStyle w:val="NotesTable-CellBold"/>
            </w:pPr>
            <w:r>
              <w:t>–</w:t>
            </w:r>
          </w:p>
        </w:tc>
        <w:tc>
          <w:tcPr>
            <w:tcW w:w="406" w:type="pct"/>
            <w:shd w:val="clear" w:color="auto" w:fill="CCCCCC"/>
          </w:tcPr>
          <w:p w14:paraId="038A2F38" w14:textId="77777777" w:rsidR="00C83428" w:rsidRDefault="00C83428" w:rsidP="001A5D4A">
            <w:pPr>
              <w:pStyle w:val="NotesTable-CellPlain"/>
            </w:pPr>
            <w:r>
              <w:t>–</w:t>
            </w:r>
          </w:p>
        </w:tc>
      </w:tr>
      <w:tr w:rsidR="00C62933" w14:paraId="0E9F13A5" w14:textId="77777777" w:rsidTr="00E21378">
        <w:trPr>
          <w:trHeight w:val="181"/>
        </w:trPr>
        <w:tc>
          <w:tcPr>
            <w:tcW w:w="810" w:type="pct"/>
          </w:tcPr>
          <w:p w14:paraId="4649BEAD" w14:textId="77777777" w:rsidR="00C62933" w:rsidRDefault="00C62933" w:rsidP="001A5D4A">
            <w:pPr>
              <w:pStyle w:val="Note-Refs"/>
            </w:pPr>
          </w:p>
        </w:tc>
        <w:tc>
          <w:tcPr>
            <w:tcW w:w="2296" w:type="pct"/>
          </w:tcPr>
          <w:p w14:paraId="1624D395" w14:textId="1866B4C5" w:rsidR="00C62933" w:rsidRDefault="00C62933" w:rsidP="001A5D4A">
            <w:pPr>
              <w:pStyle w:val="Note-Text"/>
            </w:pPr>
            <w:r>
              <w:t>Employment on-costs provision</w:t>
            </w:r>
          </w:p>
        </w:tc>
        <w:tc>
          <w:tcPr>
            <w:tcW w:w="271" w:type="pct"/>
          </w:tcPr>
          <w:p w14:paraId="1DD5C1B7" w14:textId="77777777" w:rsidR="00C62933" w:rsidRDefault="00C62933" w:rsidP="001A5D4A">
            <w:pPr>
              <w:pStyle w:val="NotesTable-Notes"/>
            </w:pPr>
          </w:p>
        </w:tc>
        <w:tc>
          <w:tcPr>
            <w:tcW w:w="406" w:type="pct"/>
            <w:tcBorders>
              <w:bottom w:val="single" w:sz="4" w:space="0" w:color="000000"/>
            </w:tcBorders>
          </w:tcPr>
          <w:p w14:paraId="2C754101" w14:textId="7C3D8E36" w:rsidR="00C62933" w:rsidRDefault="00C62933" w:rsidP="001A5D4A">
            <w:pPr>
              <w:pStyle w:val="NotesTable-CellBold"/>
            </w:pPr>
            <w:r>
              <w:t>–</w:t>
            </w:r>
          </w:p>
        </w:tc>
        <w:tc>
          <w:tcPr>
            <w:tcW w:w="406" w:type="pct"/>
            <w:tcBorders>
              <w:bottom w:val="single" w:sz="4" w:space="0" w:color="000000"/>
            </w:tcBorders>
          </w:tcPr>
          <w:p w14:paraId="294B8DB2" w14:textId="6085A5F3" w:rsidR="00C62933" w:rsidRDefault="00C62933" w:rsidP="001A5D4A">
            <w:pPr>
              <w:pStyle w:val="NotesTable-CellPlain"/>
            </w:pPr>
            <w:r>
              <w:t>–</w:t>
            </w:r>
          </w:p>
        </w:tc>
        <w:tc>
          <w:tcPr>
            <w:tcW w:w="406" w:type="pct"/>
            <w:tcBorders>
              <w:bottom w:val="single" w:sz="4" w:space="0" w:color="000000"/>
            </w:tcBorders>
          </w:tcPr>
          <w:p w14:paraId="5287A055" w14:textId="023C508B" w:rsidR="00C62933" w:rsidRDefault="00C62933" w:rsidP="001A5D4A">
            <w:pPr>
              <w:pStyle w:val="NotesTable-CellBold"/>
            </w:pPr>
            <w:r>
              <w:t>–</w:t>
            </w:r>
          </w:p>
        </w:tc>
        <w:tc>
          <w:tcPr>
            <w:tcW w:w="406" w:type="pct"/>
            <w:tcBorders>
              <w:bottom w:val="single" w:sz="4" w:space="0" w:color="000000"/>
            </w:tcBorders>
          </w:tcPr>
          <w:p w14:paraId="381EBF56" w14:textId="5EEAA23C" w:rsidR="00C62933" w:rsidRDefault="00C62933" w:rsidP="001A5D4A">
            <w:pPr>
              <w:pStyle w:val="NotesTable-CellPlain"/>
            </w:pPr>
            <w:r>
              <w:t>–</w:t>
            </w:r>
          </w:p>
        </w:tc>
      </w:tr>
      <w:tr w:rsidR="00C83428" w14:paraId="038A2F41" w14:textId="77777777" w:rsidTr="00E21378">
        <w:trPr>
          <w:trHeight w:val="181"/>
        </w:trPr>
        <w:tc>
          <w:tcPr>
            <w:tcW w:w="810" w:type="pct"/>
          </w:tcPr>
          <w:p w14:paraId="038A2F3A" w14:textId="77777777" w:rsidR="00C83428" w:rsidRDefault="00C83428" w:rsidP="001A5D4A">
            <w:pPr>
              <w:pStyle w:val="Note-Refs"/>
            </w:pPr>
          </w:p>
        </w:tc>
        <w:tc>
          <w:tcPr>
            <w:tcW w:w="2296" w:type="pct"/>
          </w:tcPr>
          <w:p w14:paraId="038A2F3B" w14:textId="77777777" w:rsidR="00C83428" w:rsidRDefault="00C83428" w:rsidP="001A5D4A">
            <w:pPr>
              <w:pStyle w:val="Note-Text"/>
              <w:rPr>
                <w:b/>
              </w:rPr>
            </w:pPr>
            <w:r>
              <w:t>[Specify]</w:t>
            </w:r>
          </w:p>
        </w:tc>
        <w:tc>
          <w:tcPr>
            <w:tcW w:w="271" w:type="pct"/>
          </w:tcPr>
          <w:p w14:paraId="038A2F3C" w14:textId="77777777" w:rsidR="00C83428" w:rsidRDefault="00C83428" w:rsidP="001A5D4A">
            <w:pPr>
              <w:pStyle w:val="NotesTable-Notes"/>
            </w:pPr>
          </w:p>
        </w:tc>
        <w:tc>
          <w:tcPr>
            <w:tcW w:w="406" w:type="pct"/>
            <w:tcBorders>
              <w:bottom w:val="single" w:sz="4" w:space="0" w:color="000000"/>
            </w:tcBorders>
          </w:tcPr>
          <w:p w14:paraId="038A2F3D" w14:textId="77777777" w:rsidR="00C83428" w:rsidRDefault="00C83428" w:rsidP="001A5D4A">
            <w:pPr>
              <w:pStyle w:val="NotesTable-CellBold"/>
            </w:pPr>
            <w:r>
              <w:t>–</w:t>
            </w:r>
          </w:p>
        </w:tc>
        <w:tc>
          <w:tcPr>
            <w:tcW w:w="406" w:type="pct"/>
            <w:tcBorders>
              <w:bottom w:val="single" w:sz="4" w:space="0" w:color="000000"/>
            </w:tcBorders>
          </w:tcPr>
          <w:p w14:paraId="038A2F3E" w14:textId="77777777" w:rsidR="00C83428" w:rsidRDefault="00C83428" w:rsidP="001A5D4A">
            <w:pPr>
              <w:pStyle w:val="NotesTable-CellPlain"/>
            </w:pPr>
            <w:r>
              <w:t>–</w:t>
            </w:r>
          </w:p>
        </w:tc>
        <w:tc>
          <w:tcPr>
            <w:tcW w:w="406" w:type="pct"/>
            <w:tcBorders>
              <w:bottom w:val="single" w:sz="4" w:space="0" w:color="000000"/>
            </w:tcBorders>
          </w:tcPr>
          <w:p w14:paraId="038A2F3F" w14:textId="77777777" w:rsidR="00C83428" w:rsidRDefault="00C83428" w:rsidP="001A5D4A">
            <w:pPr>
              <w:pStyle w:val="NotesTable-CellBold"/>
            </w:pPr>
            <w:r>
              <w:t>–</w:t>
            </w:r>
          </w:p>
        </w:tc>
        <w:tc>
          <w:tcPr>
            <w:tcW w:w="406" w:type="pct"/>
            <w:tcBorders>
              <w:bottom w:val="single" w:sz="4" w:space="0" w:color="000000"/>
            </w:tcBorders>
          </w:tcPr>
          <w:p w14:paraId="038A2F40" w14:textId="77777777" w:rsidR="00C83428" w:rsidRDefault="00C83428" w:rsidP="001A5D4A">
            <w:pPr>
              <w:pStyle w:val="NotesTable-CellPlain"/>
            </w:pPr>
            <w:r>
              <w:t>–</w:t>
            </w:r>
          </w:p>
        </w:tc>
      </w:tr>
      <w:tr w:rsidR="00C83428" w14:paraId="038A2F49" w14:textId="77777777" w:rsidTr="00E21378">
        <w:trPr>
          <w:trHeight w:val="181"/>
        </w:trPr>
        <w:tc>
          <w:tcPr>
            <w:tcW w:w="810" w:type="pct"/>
          </w:tcPr>
          <w:p w14:paraId="038A2F42" w14:textId="77777777" w:rsidR="00C83428" w:rsidRDefault="00C83428" w:rsidP="001A5D4A">
            <w:pPr>
              <w:pStyle w:val="Note-Refs"/>
            </w:pPr>
          </w:p>
        </w:tc>
        <w:tc>
          <w:tcPr>
            <w:tcW w:w="2296" w:type="pct"/>
          </w:tcPr>
          <w:p w14:paraId="038A2F43" w14:textId="77777777" w:rsidR="00C83428" w:rsidRDefault="00C83428" w:rsidP="001A5D4A">
            <w:pPr>
              <w:pStyle w:val="NotesTable-ItemPlain"/>
              <w:rPr>
                <w:b/>
              </w:rPr>
            </w:pPr>
            <w:r>
              <w:t>Subtotal</w:t>
            </w:r>
          </w:p>
        </w:tc>
        <w:tc>
          <w:tcPr>
            <w:tcW w:w="271" w:type="pct"/>
          </w:tcPr>
          <w:p w14:paraId="038A2F44" w14:textId="77777777" w:rsidR="00C83428" w:rsidRDefault="00C83428" w:rsidP="001A5D4A">
            <w:pPr>
              <w:pStyle w:val="NotesTable-Notes"/>
            </w:pPr>
          </w:p>
        </w:tc>
        <w:tc>
          <w:tcPr>
            <w:tcW w:w="406" w:type="pct"/>
            <w:tcBorders>
              <w:top w:val="single" w:sz="4" w:space="0" w:color="000000"/>
            </w:tcBorders>
          </w:tcPr>
          <w:p w14:paraId="038A2F45" w14:textId="77777777" w:rsidR="00C83428" w:rsidRDefault="00C83428" w:rsidP="001A5D4A">
            <w:pPr>
              <w:pStyle w:val="NotesTable-CellBold"/>
            </w:pPr>
            <w:r>
              <w:t>–</w:t>
            </w:r>
          </w:p>
        </w:tc>
        <w:tc>
          <w:tcPr>
            <w:tcW w:w="406" w:type="pct"/>
            <w:tcBorders>
              <w:top w:val="single" w:sz="4" w:space="0" w:color="000000"/>
            </w:tcBorders>
          </w:tcPr>
          <w:p w14:paraId="038A2F46" w14:textId="77777777" w:rsidR="00C83428" w:rsidRDefault="00C83428" w:rsidP="001A5D4A">
            <w:pPr>
              <w:pStyle w:val="NotesTable-CellPlain"/>
            </w:pPr>
            <w:r>
              <w:t>–</w:t>
            </w:r>
          </w:p>
        </w:tc>
        <w:tc>
          <w:tcPr>
            <w:tcW w:w="406" w:type="pct"/>
            <w:tcBorders>
              <w:top w:val="single" w:sz="4" w:space="0" w:color="000000"/>
            </w:tcBorders>
          </w:tcPr>
          <w:p w14:paraId="038A2F47" w14:textId="77777777" w:rsidR="00C83428" w:rsidRDefault="00C83428" w:rsidP="001A5D4A">
            <w:pPr>
              <w:pStyle w:val="NotesTable-CellBold"/>
            </w:pPr>
            <w:r>
              <w:t>–</w:t>
            </w:r>
          </w:p>
        </w:tc>
        <w:tc>
          <w:tcPr>
            <w:tcW w:w="406" w:type="pct"/>
            <w:tcBorders>
              <w:top w:val="single" w:sz="4" w:space="0" w:color="000000"/>
            </w:tcBorders>
          </w:tcPr>
          <w:p w14:paraId="038A2F48" w14:textId="77777777" w:rsidR="00C83428" w:rsidRDefault="00C83428" w:rsidP="001A5D4A">
            <w:pPr>
              <w:pStyle w:val="NotesTable-CellPlain"/>
            </w:pPr>
            <w:r>
              <w:t>–</w:t>
            </w:r>
          </w:p>
        </w:tc>
      </w:tr>
      <w:tr w:rsidR="00C83428" w14:paraId="038A2F51" w14:textId="77777777" w:rsidTr="00E21378">
        <w:trPr>
          <w:trHeight w:val="181"/>
        </w:trPr>
        <w:tc>
          <w:tcPr>
            <w:tcW w:w="810" w:type="pct"/>
          </w:tcPr>
          <w:p w14:paraId="038A2F4A" w14:textId="77777777" w:rsidR="00C83428" w:rsidRDefault="00C83428" w:rsidP="001A5D4A">
            <w:pPr>
              <w:pStyle w:val="Note-Refs"/>
            </w:pPr>
          </w:p>
        </w:tc>
        <w:tc>
          <w:tcPr>
            <w:tcW w:w="2296" w:type="pct"/>
          </w:tcPr>
          <w:p w14:paraId="038A2F4B" w14:textId="77777777" w:rsidR="00C83428" w:rsidRDefault="00C83428" w:rsidP="001A5D4A">
            <w:pPr>
              <w:pStyle w:val="NotesTable-ItemPlain"/>
            </w:pPr>
          </w:p>
        </w:tc>
        <w:tc>
          <w:tcPr>
            <w:tcW w:w="271" w:type="pct"/>
          </w:tcPr>
          <w:p w14:paraId="038A2F4C" w14:textId="77777777" w:rsidR="00C83428" w:rsidRDefault="00C83428" w:rsidP="001A5D4A">
            <w:pPr>
              <w:pStyle w:val="NotesTable-Notes"/>
            </w:pPr>
          </w:p>
        </w:tc>
        <w:tc>
          <w:tcPr>
            <w:tcW w:w="406" w:type="pct"/>
          </w:tcPr>
          <w:p w14:paraId="038A2F4D" w14:textId="77777777" w:rsidR="00C83428" w:rsidRDefault="00C83428" w:rsidP="001A5D4A">
            <w:pPr>
              <w:pStyle w:val="NotesTable-CellBold"/>
            </w:pPr>
          </w:p>
        </w:tc>
        <w:tc>
          <w:tcPr>
            <w:tcW w:w="406" w:type="pct"/>
          </w:tcPr>
          <w:p w14:paraId="038A2F4E" w14:textId="77777777" w:rsidR="00C83428" w:rsidRDefault="00C83428" w:rsidP="001A5D4A">
            <w:pPr>
              <w:pStyle w:val="NotesTable-CellPlain"/>
            </w:pPr>
          </w:p>
        </w:tc>
        <w:tc>
          <w:tcPr>
            <w:tcW w:w="406" w:type="pct"/>
          </w:tcPr>
          <w:p w14:paraId="038A2F4F" w14:textId="77777777" w:rsidR="00C83428" w:rsidRDefault="00C83428" w:rsidP="001A5D4A">
            <w:pPr>
              <w:pStyle w:val="NotesTable-CellBold"/>
            </w:pPr>
          </w:p>
        </w:tc>
        <w:tc>
          <w:tcPr>
            <w:tcW w:w="406" w:type="pct"/>
          </w:tcPr>
          <w:p w14:paraId="038A2F50" w14:textId="77777777" w:rsidR="00C83428" w:rsidRDefault="00C83428" w:rsidP="001A5D4A">
            <w:pPr>
              <w:pStyle w:val="NotesTable-CellPlain"/>
            </w:pPr>
          </w:p>
        </w:tc>
      </w:tr>
      <w:tr w:rsidR="008C7CC5" w14:paraId="038A2F54" w14:textId="77777777" w:rsidTr="00E21378">
        <w:trPr>
          <w:trHeight w:val="181"/>
        </w:trPr>
        <w:tc>
          <w:tcPr>
            <w:tcW w:w="810" w:type="pct"/>
          </w:tcPr>
          <w:p w14:paraId="038A2F52" w14:textId="77777777" w:rsidR="008C7CC5" w:rsidRDefault="008C7CC5" w:rsidP="001A5D4A">
            <w:pPr>
              <w:pStyle w:val="Note-Refs"/>
              <w:rPr>
                <w:b/>
              </w:rPr>
            </w:pPr>
            <w:r>
              <w:t>AASB101.61</w:t>
            </w:r>
            <w:r w:rsidR="00254379">
              <w:t>b</w:t>
            </w:r>
          </w:p>
        </w:tc>
        <w:tc>
          <w:tcPr>
            <w:tcW w:w="4190" w:type="pct"/>
            <w:gridSpan w:val="6"/>
          </w:tcPr>
          <w:p w14:paraId="038A2F53" w14:textId="5A0A6309" w:rsidR="008C7CC5" w:rsidRDefault="008C7CC5" w:rsidP="001A5D4A">
            <w:pPr>
              <w:pStyle w:val="Note-TextHeader"/>
              <w:rPr>
                <w:b w:val="0"/>
                <w:lang w:val="en-GB"/>
              </w:rPr>
            </w:pPr>
            <w:r>
              <w:t>Current provisions expected to be settled</w:t>
            </w:r>
            <w:r w:rsidR="00C97972">
              <w:t xml:space="preserve"> </w:t>
            </w:r>
            <w:r>
              <w:t>after more than 12 months</w:t>
            </w:r>
          </w:p>
        </w:tc>
      </w:tr>
      <w:tr w:rsidR="00C83428" w14:paraId="038A2F5C" w14:textId="77777777" w:rsidTr="00E21378">
        <w:trPr>
          <w:trHeight w:val="181"/>
        </w:trPr>
        <w:tc>
          <w:tcPr>
            <w:tcW w:w="810" w:type="pct"/>
          </w:tcPr>
          <w:p w14:paraId="038A2F55" w14:textId="77777777" w:rsidR="00C83428" w:rsidRDefault="00C83428" w:rsidP="001A5D4A">
            <w:pPr>
              <w:pStyle w:val="Note-Refs"/>
            </w:pPr>
          </w:p>
        </w:tc>
        <w:tc>
          <w:tcPr>
            <w:tcW w:w="2296" w:type="pct"/>
          </w:tcPr>
          <w:p w14:paraId="038A2F56" w14:textId="77777777" w:rsidR="00C83428" w:rsidRDefault="00C83428" w:rsidP="001A5D4A">
            <w:pPr>
              <w:pStyle w:val="NotesTable-ItemPlain"/>
              <w:rPr>
                <w:b/>
              </w:rPr>
            </w:pPr>
            <w:r>
              <w:t>Employee benefits</w:t>
            </w:r>
          </w:p>
        </w:tc>
        <w:tc>
          <w:tcPr>
            <w:tcW w:w="271" w:type="pct"/>
          </w:tcPr>
          <w:p w14:paraId="038A2F57" w14:textId="77777777" w:rsidR="00C83428" w:rsidRDefault="00C83428" w:rsidP="001A5D4A">
            <w:pPr>
              <w:pStyle w:val="NotesTable-Notes"/>
            </w:pPr>
          </w:p>
        </w:tc>
        <w:tc>
          <w:tcPr>
            <w:tcW w:w="406" w:type="pct"/>
          </w:tcPr>
          <w:p w14:paraId="038A2F58" w14:textId="77777777" w:rsidR="00C83428" w:rsidRDefault="00C83428" w:rsidP="001A5D4A">
            <w:pPr>
              <w:pStyle w:val="NotesTable-CellBold"/>
            </w:pPr>
          </w:p>
        </w:tc>
        <w:tc>
          <w:tcPr>
            <w:tcW w:w="406" w:type="pct"/>
          </w:tcPr>
          <w:p w14:paraId="038A2F59" w14:textId="77777777" w:rsidR="00C83428" w:rsidRDefault="00C83428" w:rsidP="001A5D4A">
            <w:pPr>
              <w:pStyle w:val="NotesTable-CellPlain"/>
            </w:pPr>
          </w:p>
        </w:tc>
        <w:tc>
          <w:tcPr>
            <w:tcW w:w="406" w:type="pct"/>
          </w:tcPr>
          <w:p w14:paraId="038A2F5A" w14:textId="77777777" w:rsidR="00C83428" w:rsidRDefault="00C83428" w:rsidP="001A5D4A">
            <w:pPr>
              <w:pStyle w:val="NotesTable-CellBold"/>
            </w:pPr>
          </w:p>
        </w:tc>
        <w:tc>
          <w:tcPr>
            <w:tcW w:w="406" w:type="pct"/>
          </w:tcPr>
          <w:p w14:paraId="038A2F5B" w14:textId="77777777" w:rsidR="00C83428" w:rsidRDefault="00C83428" w:rsidP="001A5D4A">
            <w:pPr>
              <w:pStyle w:val="NotesTable-CellPlain"/>
            </w:pPr>
          </w:p>
        </w:tc>
      </w:tr>
      <w:tr w:rsidR="00C83428" w14:paraId="038A2F64" w14:textId="77777777" w:rsidTr="00E21378">
        <w:trPr>
          <w:trHeight w:val="181"/>
        </w:trPr>
        <w:tc>
          <w:tcPr>
            <w:tcW w:w="810" w:type="pct"/>
          </w:tcPr>
          <w:p w14:paraId="038A2F5D" w14:textId="77777777" w:rsidR="00C83428" w:rsidRDefault="00C83428" w:rsidP="001A5D4A">
            <w:pPr>
              <w:pStyle w:val="Note-Refs"/>
            </w:pPr>
          </w:p>
        </w:tc>
        <w:tc>
          <w:tcPr>
            <w:tcW w:w="2296" w:type="pct"/>
          </w:tcPr>
          <w:p w14:paraId="038A2F5E" w14:textId="77777777" w:rsidR="00C83428" w:rsidRDefault="00C83428" w:rsidP="001A5D4A">
            <w:pPr>
              <w:pStyle w:val="Note-Text"/>
              <w:rPr>
                <w:b/>
              </w:rPr>
            </w:pPr>
            <w:r>
              <w:t>Annual leave</w:t>
            </w:r>
          </w:p>
        </w:tc>
        <w:tc>
          <w:tcPr>
            <w:tcW w:w="271" w:type="pct"/>
          </w:tcPr>
          <w:p w14:paraId="038A2F5F" w14:textId="77777777" w:rsidR="00C83428" w:rsidRDefault="00C83428" w:rsidP="001A5D4A">
            <w:pPr>
              <w:pStyle w:val="NotesTable-Notes"/>
            </w:pPr>
          </w:p>
        </w:tc>
        <w:tc>
          <w:tcPr>
            <w:tcW w:w="406" w:type="pct"/>
          </w:tcPr>
          <w:p w14:paraId="038A2F60" w14:textId="77777777" w:rsidR="00C83428" w:rsidRDefault="00C83428" w:rsidP="001A5D4A">
            <w:pPr>
              <w:pStyle w:val="NotesTable-CellBold"/>
            </w:pPr>
            <w:r>
              <w:t>–</w:t>
            </w:r>
          </w:p>
        </w:tc>
        <w:tc>
          <w:tcPr>
            <w:tcW w:w="406" w:type="pct"/>
          </w:tcPr>
          <w:p w14:paraId="038A2F61" w14:textId="77777777" w:rsidR="00C83428" w:rsidRDefault="00C83428" w:rsidP="001A5D4A">
            <w:pPr>
              <w:pStyle w:val="NotesTable-CellPlain"/>
            </w:pPr>
            <w:r>
              <w:t>–</w:t>
            </w:r>
          </w:p>
        </w:tc>
        <w:tc>
          <w:tcPr>
            <w:tcW w:w="406" w:type="pct"/>
          </w:tcPr>
          <w:p w14:paraId="038A2F62" w14:textId="77777777" w:rsidR="00C83428" w:rsidRDefault="00C83428" w:rsidP="001A5D4A">
            <w:pPr>
              <w:pStyle w:val="NotesTable-CellBold"/>
            </w:pPr>
            <w:r>
              <w:t>–</w:t>
            </w:r>
          </w:p>
        </w:tc>
        <w:tc>
          <w:tcPr>
            <w:tcW w:w="406" w:type="pct"/>
          </w:tcPr>
          <w:p w14:paraId="038A2F63" w14:textId="77777777" w:rsidR="00C83428" w:rsidRDefault="00C83428" w:rsidP="001A5D4A">
            <w:pPr>
              <w:pStyle w:val="NotesTable-CellPlain"/>
            </w:pPr>
            <w:r>
              <w:t>–</w:t>
            </w:r>
          </w:p>
        </w:tc>
      </w:tr>
      <w:tr w:rsidR="00C83428" w14:paraId="038A2F6C" w14:textId="77777777" w:rsidTr="00E21378">
        <w:trPr>
          <w:trHeight w:val="181"/>
        </w:trPr>
        <w:tc>
          <w:tcPr>
            <w:tcW w:w="810" w:type="pct"/>
          </w:tcPr>
          <w:p w14:paraId="038A2F65" w14:textId="77777777" w:rsidR="00C83428" w:rsidRDefault="00C83428" w:rsidP="001A5D4A">
            <w:pPr>
              <w:pStyle w:val="Note-Refs"/>
            </w:pPr>
          </w:p>
        </w:tc>
        <w:tc>
          <w:tcPr>
            <w:tcW w:w="2296" w:type="pct"/>
          </w:tcPr>
          <w:p w14:paraId="038A2F66" w14:textId="77777777" w:rsidR="00C83428" w:rsidRDefault="00C83428" w:rsidP="001A5D4A">
            <w:pPr>
              <w:pStyle w:val="Note-Text"/>
              <w:rPr>
                <w:b/>
              </w:rPr>
            </w:pPr>
            <w:r>
              <w:t>Long service leave</w:t>
            </w:r>
          </w:p>
        </w:tc>
        <w:tc>
          <w:tcPr>
            <w:tcW w:w="271" w:type="pct"/>
          </w:tcPr>
          <w:p w14:paraId="038A2F67" w14:textId="77777777" w:rsidR="00C83428" w:rsidRDefault="00C83428" w:rsidP="001A5D4A">
            <w:pPr>
              <w:pStyle w:val="NotesTable-Notes"/>
            </w:pPr>
          </w:p>
        </w:tc>
        <w:tc>
          <w:tcPr>
            <w:tcW w:w="406" w:type="pct"/>
          </w:tcPr>
          <w:p w14:paraId="038A2F68" w14:textId="77777777" w:rsidR="00C83428" w:rsidRDefault="00C83428" w:rsidP="001A5D4A">
            <w:pPr>
              <w:pStyle w:val="NotesTable-CellBold"/>
            </w:pPr>
            <w:r>
              <w:t>–</w:t>
            </w:r>
          </w:p>
        </w:tc>
        <w:tc>
          <w:tcPr>
            <w:tcW w:w="406" w:type="pct"/>
          </w:tcPr>
          <w:p w14:paraId="038A2F69" w14:textId="77777777" w:rsidR="00C83428" w:rsidRDefault="00C83428" w:rsidP="001A5D4A">
            <w:pPr>
              <w:pStyle w:val="NotesTable-CellPlain"/>
            </w:pPr>
            <w:r>
              <w:t>–</w:t>
            </w:r>
          </w:p>
        </w:tc>
        <w:tc>
          <w:tcPr>
            <w:tcW w:w="406" w:type="pct"/>
          </w:tcPr>
          <w:p w14:paraId="038A2F6A" w14:textId="77777777" w:rsidR="00C83428" w:rsidRDefault="00C83428" w:rsidP="001A5D4A">
            <w:pPr>
              <w:pStyle w:val="NotesTable-CellBold"/>
            </w:pPr>
            <w:r>
              <w:t>–</w:t>
            </w:r>
          </w:p>
        </w:tc>
        <w:tc>
          <w:tcPr>
            <w:tcW w:w="406" w:type="pct"/>
          </w:tcPr>
          <w:p w14:paraId="038A2F6B" w14:textId="77777777" w:rsidR="00C83428" w:rsidRDefault="00C83428" w:rsidP="001A5D4A">
            <w:pPr>
              <w:pStyle w:val="NotesTable-CellPlain"/>
            </w:pPr>
            <w:r>
              <w:t>–</w:t>
            </w:r>
          </w:p>
        </w:tc>
      </w:tr>
      <w:tr w:rsidR="00C62933" w14:paraId="4E7277B2" w14:textId="77777777" w:rsidTr="00E21378">
        <w:trPr>
          <w:trHeight w:val="181"/>
        </w:trPr>
        <w:tc>
          <w:tcPr>
            <w:tcW w:w="810" w:type="pct"/>
          </w:tcPr>
          <w:p w14:paraId="49428723" w14:textId="77777777" w:rsidR="00C62933" w:rsidRDefault="00C62933" w:rsidP="001A5D4A">
            <w:pPr>
              <w:pStyle w:val="Note-Refs"/>
            </w:pPr>
          </w:p>
        </w:tc>
        <w:tc>
          <w:tcPr>
            <w:tcW w:w="2296" w:type="pct"/>
          </w:tcPr>
          <w:p w14:paraId="184729C7" w14:textId="6A5ECB69" w:rsidR="00C62933" w:rsidRDefault="00C62933" w:rsidP="001A5D4A">
            <w:pPr>
              <w:pStyle w:val="Note-Text"/>
            </w:pPr>
            <w:r>
              <w:t>Employment on-costs provision</w:t>
            </w:r>
          </w:p>
        </w:tc>
        <w:tc>
          <w:tcPr>
            <w:tcW w:w="271" w:type="pct"/>
          </w:tcPr>
          <w:p w14:paraId="7D1A6585" w14:textId="77777777" w:rsidR="00C62933" w:rsidRDefault="00C62933" w:rsidP="001A5D4A">
            <w:pPr>
              <w:pStyle w:val="NotesTable-Notes"/>
            </w:pPr>
          </w:p>
        </w:tc>
        <w:tc>
          <w:tcPr>
            <w:tcW w:w="406" w:type="pct"/>
            <w:tcBorders>
              <w:bottom w:val="single" w:sz="4" w:space="0" w:color="000000"/>
            </w:tcBorders>
          </w:tcPr>
          <w:p w14:paraId="78B5A24A" w14:textId="3D904B01" w:rsidR="00C62933" w:rsidRDefault="00C62933" w:rsidP="001A5D4A">
            <w:pPr>
              <w:pStyle w:val="NotesTable-CellBold"/>
            </w:pPr>
            <w:r>
              <w:t>–</w:t>
            </w:r>
          </w:p>
        </w:tc>
        <w:tc>
          <w:tcPr>
            <w:tcW w:w="406" w:type="pct"/>
            <w:tcBorders>
              <w:bottom w:val="single" w:sz="4" w:space="0" w:color="000000"/>
            </w:tcBorders>
          </w:tcPr>
          <w:p w14:paraId="6B1FDE33" w14:textId="639A4292" w:rsidR="00C62933" w:rsidRDefault="00C62933" w:rsidP="001A5D4A">
            <w:pPr>
              <w:pStyle w:val="NotesTable-CellPlain"/>
            </w:pPr>
            <w:r>
              <w:t>–</w:t>
            </w:r>
          </w:p>
        </w:tc>
        <w:tc>
          <w:tcPr>
            <w:tcW w:w="406" w:type="pct"/>
            <w:tcBorders>
              <w:bottom w:val="single" w:sz="4" w:space="0" w:color="000000"/>
            </w:tcBorders>
          </w:tcPr>
          <w:p w14:paraId="409C4B54" w14:textId="2FF8D9BE" w:rsidR="00C62933" w:rsidRDefault="00C62933" w:rsidP="001A5D4A">
            <w:pPr>
              <w:pStyle w:val="NotesTable-CellBold"/>
            </w:pPr>
            <w:r>
              <w:t>–</w:t>
            </w:r>
          </w:p>
        </w:tc>
        <w:tc>
          <w:tcPr>
            <w:tcW w:w="406" w:type="pct"/>
            <w:tcBorders>
              <w:bottom w:val="single" w:sz="4" w:space="0" w:color="000000"/>
            </w:tcBorders>
          </w:tcPr>
          <w:p w14:paraId="4702B8A5" w14:textId="78C62DC7" w:rsidR="00C62933" w:rsidRDefault="00C62933" w:rsidP="001A5D4A">
            <w:pPr>
              <w:pStyle w:val="NotesTable-CellPlain"/>
            </w:pPr>
            <w:r>
              <w:t>–</w:t>
            </w:r>
          </w:p>
        </w:tc>
      </w:tr>
      <w:tr w:rsidR="00C83428" w14:paraId="038A2F74" w14:textId="77777777" w:rsidTr="00E21378">
        <w:trPr>
          <w:trHeight w:val="181"/>
        </w:trPr>
        <w:tc>
          <w:tcPr>
            <w:tcW w:w="810" w:type="pct"/>
          </w:tcPr>
          <w:p w14:paraId="038A2F6D" w14:textId="77777777" w:rsidR="00C83428" w:rsidRDefault="00C83428" w:rsidP="001A5D4A">
            <w:pPr>
              <w:pStyle w:val="Note-Refs"/>
            </w:pPr>
          </w:p>
        </w:tc>
        <w:tc>
          <w:tcPr>
            <w:tcW w:w="2296" w:type="pct"/>
          </w:tcPr>
          <w:p w14:paraId="038A2F6E" w14:textId="77777777" w:rsidR="00C83428" w:rsidRDefault="00C83428" w:rsidP="001A5D4A">
            <w:pPr>
              <w:pStyle w:val="Note-Text"/>
              <w:rPr>
                <w:b/>
              </w:rPr>
            </w:pPr>
            <w:r>
              <w:t>[Specify]</w:t>
            </w:r>
          </w:p>
        </w:tc>
        <w:tc>
          <w:tcPr>
            <w:tcW w:w="271" w:type="pct"/>
          </w:tcPr>
          <w:p w14:paraId="038A2F6F" w14:textId="77777777" w:rsidR="00C83428" w:rsidRDefault="00C83428" w:rsidP="001A5D4A">
            <w:pPr>
              <w:pStyle w:val="NotesTable-Notes"/>
            </w:pPr>
          </w:p>
        </w:tc>
        <w:tc>
          <w:tcPr>
            <w:tcW w:w="406" w:type="pct"/>
            <w:tcBorders>
              <w:bottom w:val="single" w:sz="4" w:space="0" w:color="000000"/>
            </w:tcBorders>
          </w:tcPr>
          <w:p w14:paraId="038A2F70" w14:textId="77777777" w:rsidR="00C83428" w:rsidRDefault="00C83428" w:rsidP="001A5D4A">
            <w:pPr>
              <w:pStyle w:val="NotesTable-CellBold"/>
            </w:pPr>
            <w:r>
              <w:t>–</w:t>
            </w:r>
          </w:p>
        </w:tc>
        <w:tc>
          <w:tcPr>
            <w:tcW w:w="406" w:type="pct"/>
            <w:tcBorders>
              <w:bottom w:val="single" w:sz="4" w:space="0" w:color="000000"/>
            </w:tcBorders>
          </w:tcPr>
          <w:p w14:paraId="038A2F71" w14:textId="77777777" w:rsidR="00C83428" w:rsidRDefault="00C83428" w:rsidP="001A5D4A">
            <w:pPr>
              <w:pStyle w:val="NotesTable-CellPlain"/>
            </w:pPr>
            <w:r>
              <w:t>–</w:t>
            </w:r>
          </w:p>
        </w:tc>
        <w:tc>
          <w:tcPr>
            <w:tcW w:w="406" w:type="pct"/>
            <w:tcBorders>
              <w:bottom w:val="single" w:sz="4" w:space="0" w:color="000000"/>
            </w:tcBorders>
          </w:tcPr>
          <w:p w14:paraId="038A2F72" w14:textId="77777777" w:rsidR="00C83428" w:rsidRDefault="00C83428" w:rsidP="001A5D4A">
            <w:pPr>
              <w:pStyle w:val="NotesTable-CellBold"/>
            </w:pPr>
            <w:r>
              <w:t>–</w:t>
            </w:r>
          </w:p>
        </w:tc>
        <w:tc>
          <w:tcPr>
            <w:tcW w:w="406" w:type="pct"/>
            <w:tcBorders>
              <w:bottom w:val="single" w:sz="4" w:space="0" w:color="000000"/>
            </w:tcBorders>
          </w:tcPr>
          <w:p w14:paraId="038A2F73" w14:textId="77777777" w:rsidR="00C83428" w:rsidRDefault="00C83428" w:rsidP="001A5D4A">
            <w:pPr>
              <w:pStyle w:val="NotesTable-CellPlain"/>
            </w:pPr>
            <w:r>
              <w:t>–</w:t>
            </w:r>
          </w:p>
        </w:tc>
      </w:tr>
      <w:tr w:rsidR="00C83428" w14:paraId="038A2F7C" w14:textId="77777777" w:rsidTr="00E21378">
        <w:trPr>
          <w:trHeight w:val="181"/>
        </w:trPr>
        <w:tc>
          <w:tcPr>
            <w:tcW w:w="810" w:type="pct"/>
          </w:tcPr>
          <w:p w14:paraId="038A2F75" w14:textId="77777777" w:rsidR="00C83428" w:rsidRDefault="00C83428" w:rsidP="001A5D4A">
            <w:pPr>
              <w:pStyle w:val="Note-Refs"/>
            </w:pPr>
          </w:p>
        </w:tc>
        <w:tc>
          <w:tcPr>
            <w:tcW w:w="2296" w:type="pct"/>
          </w:tcPr>
          <w:p w14:paraId="038A2F76" w14:textId="77777777" w:rsidR="00C83428" w:rsidRDefault="00C83428" w:rsidP="001A5D4A">
            <w:pPr>
              <w:pStyle w:val="NotesTable-ItemPlain"/>
              <w:rPr>
                <w:b/>
              </w:rPr>
            </w:pPr>
            <w:r>
              <w:t>Subtotal</w:t>
            </w:r>
          </w:p>
        </w:tc>
        <w:tc>
          <w:tcPr>
            <w:tcW w:w="271" w:type="pct"/>
          </w:tcPr>
          <w:p w14:paraId="038A2F77" w14:textId="77777777" w:rsidR="00C83428" w:rsidRDefault="00C83428" w:rsidP="001A5D4A">
            <w:pPr>
              <w:pStyle w:val="NotesTable-Notes"/>
            </w:pPr>
          </w:p>
        </w:tc>
        <w:tc>
          <w:tcPr>
            <w:tcW w:w="406" w:type="pct"/>
            <w:tcBorders>
              <w:top w:val="single" w:sz="4" w:space="0" w:color="000000"/>
              <w:bottom w:val="single" w:sz="4" w:space="0" w:color="000000"/>
            </w:tcBorders>
          </w:tcPr>
          <w:p w14:paraId="038A2F78" w14:textId="77777777" w:rsidR="00C83428" w:rsidRDefault="00C83428" w:rsidP="001A5D4A">
            <w:pPr>
              <w:pStyle w:val="NotesTable-CellBold"/>
            </w:pPr>
            <w:r>
              <w:t>–</w:t>
            </w:r>
          </w:p>
        </w:tc>
        <w:tc>
          <w:tcPr>
            <w:tcW w:w="406" w:type="pct"/>
            <w:tcBorders>
              <w:top w:val="single" w:sz="4" w:space="0" w:color="000000"/>
              <w:bottom w:val="single" w:sz="4" w:space="0" w:color="000000"/>
            </w:tcBorders>
          </w:tcPr>
          <w:p w14:paraId="038A2F79" w14:textId="77777777" w:rsidR="00C83428" w:rsidRDefault="00C83428" w:rsidP="001A5D4A">
            <w:pPr>
              <w:pStyle w:val="NotesTable-CellPlain"/>
            </w:pPr>
            <w:r>
              <w:t>–</w:t>
            </w:r>
          </w:p>
        </w:tc>
        <w:tc>
          <w:tcPr>
            <w:tcW w:w="406" w:type="pct"/>
            <w:tcBorders>
              <w:top w:val="single" w:sz="4" w:space="0" w:color="000000"/>
              <w:bottom w:val="single" w:sz="4" w:space="0" w:color="000000"/>
            </w:tcBorders>
          </w:tcPr>
          <w:p w14:paraId="038A2F7A" w14:textId="77777777" w:rsidR="00C83428" w:rsidRDefault="00C83428" w:rsidP="001A5D4A">
            <w:pPr>
              <w:pStyle w:val="NotesTable-CellBold"/>
            </w:pPr>
            <w:r>
              <w:t>–</w:t>
            </w:r>
          </w:p>
        </w:tc>
        <w:tc>
          <w:tcPr>
            <w:tcW w:w="406" w:type="pct"/>
            <w:tcBorders>
              <w:top w:val="single" w:sz="4" w:space="0" w:color="000000"/>
              <w:bottom w:val="single" w:sz="4" w:space="0" w:color="000000"/>
            </w:tcBorders>
          </w:tcPr>
          <w:p w14:paraId="038A2F7B" w14:textId="77777777" w:rsidR="00C83428" w:rsidRDefault="00C83428" w:rsidP="001A5D4A">
            <w:pPr>
              <w:pStyle w:val="NotesTable-CellPlain"/>
            </w:pPr>
            <w:r>
              <w:t>–</w:t>
            </w:r>
          </w:p>
        </w:tc>
      </w:tr>
      <w:tr w:rsidR="00C83428" w14:paraId="038A2F84" w14:textId="77777777" w:rsidTr="00E21378">
        <w:trPr>
          <w:trHeight w:val="181"/>
        </w:trPr>
        <w:tc>
          <w:tcPr>
            <w:tcW w:w="810" w:type="pct"/>
          </w:tcPr>
          <w:p w14:paraId="038A2F7D" w14:textId="77777777" w:rsidR="00C83428" w:rsidRDefault="00C83428" w:rsidP="001A5D4A">
            <w:pPr>
              <w:pStyle w:val="Note-Refs"/>
            </w:pPr>
          </w:p>
        </w:tc>
        <w:tc>
          <w:tcPr>
            <w:tcW w:w="2296" w:type="pct"/>
          </w:tcPr>
          <w:p w14:paraId="038A2F7E" w14:textId="77777777" w:rsidR="00C83428" w:rsidRDefault="00C83428" w:rsidP="001A5D4A">
            <w:pPr>
              <w:pStyle w:val="NotesTable-ItemPlain"/>
              <w:rPr>
                <w:b/>
              </w:rPr>
            </w:pPr>
            <w:r>
              <w:t>Total current provisions</w:t>
            </w:r>
          </w:p>
        </w:tc>
        <w:tc>
          <w:tcPr>
            <w:tcW w:w="271" w:type="pct"/>
          </w:tcPr>
          <w:p w14:paraId="038A2F7F" w14:textId="77777777" w:rsidR="00C83428" w:rsidRDefault="00C83428" w:rsidP="001A5D4A">
            <w:pPr>
              <w:pStyle w:val="NotesTable-Notes"/>
            </w:pPr>
          </w:p>
        </w:tc>
        <w:tc>
          <w:tcPr>
            <w:tcW w:w="406" w:type="pct"/>
            <w:tcBorders>
              <w:top w:val="single" w:sz="4" w:space="0" w:color="000000"/>
            </w:tcBorders>
          </w:tcPr>
          <w:p w14:paraId="038A2F80" w14:textId="77777777" w:rsidR="00C83428" w:rsidRDefault="00C83428" w:rsidP="001A5D4A">
            <w:pPr>
              <w:pStyle w:val="NotesTable-CellBold"/>
            </w:pPr>
            <w:r>
              <w:t>–</w:t>
            </w:r>
          </w:p>
        </w:tc>
        <w:tc>
          <w:tcPr>
            <w:tcW w:w="406" w:type="pct"/>
            <w:tcBorders>
              <w:top w:val="single" w:sz="4" w:space="0" w:color="000000"/>
            </w:tcBorders>
          </w:tcPr>
          <w:p w14:paraId="038A2F81" w14:textId="77777777" w:rsidR="00C83428" w:rsidRDefault="00C83428" w:rsidP="001A5D4A">
            <w:pPr>
              <w:pStyle w:val="NotesTable-CellPlain"/>
            </w:pPr>
            <w:r>
              <w:t>–</w:t>
            </w:r>
          </w:p>
        </w:tc>
        <w:tc>
          <w:tcPr>
            <w:tcW w:w="406" w:type="pct"/>
            <w:tcBorders>
              <w:top w:val="single" w:sz="4" w:space="0" w:color="000000"/>
            </w:tcBorders>
          </w:tcPr>
          <w:p w14:paraId="038A2F82" w14:textId="77777777" w:rsidR="00C83428" w:rsidRDefault="00C83428" w:rsidP="001A5D4A">
            <w:pPr>
              <w:pStyle w:val="NotesTable-CellBold"/>
            </w:pPr>
            <w:r>
              <w:t>–</w:t>
            </w:r>
          </w:p>
        </w:tc>
        <w:tc>
          <w:tcPr>
            <w:tcW w:w="406" w:type="pct"/>
            <w:tcBorders>
              <w:top w:val="single" w:sz="4" w:space="0" w:color="000000"/>
            </w:tcBorders>
          </w:tcPr>
          <w:p w14:paraId="038A2F83" w14:textId="77777777" w:rsidR="00C83428" w:rsidRDefault="00C83428" w:rsidP="001A5D4A">
            <w:pPr>
              <w:pStyle w:val="NotesTable-CellPlain"/>
            </w:pPr>
            <w:r>
              <w:t>–</w:t>
            </w:r>
          </w:p>
        </w:tc>
      </w:tr>
      <w:tr w:rsidR="00C83428" w14:paraId="038A2F8C" w14:textId="77777777" w:rsidTr="00E21378">
        <w:trPr>
          <w:trHeight w:val="181"/>
        </w:trPr>
        <w:tc>
          <w:tcPr>
            <w:tcW w:w="810" w:type="pct"/>
          </w:tcPr>
          <w:p w14:paraId="038A2F85" w14:textId="77777777" w:rsidR="00C83428" w:rsidRDefault="00C83428" w:rsidP="001A5D4A">
            <w:pPr>
              <w:pStyle w:val="Note-Refs"/>
            </w:pPr>
          </w:p>
        </w:tc>
        <w:tc>
          <w:tcPr>
            <w:tcW w:w="2296" w:type="pct"/>
          </w:tcPr>
          <w:p w14:paraId="038A2F86" w14:textId="77777777" w:rsidR="00C83428" w:rsidRDefault="00C83428" w:rsidP="001A5D4A">
            <w:pPr>
              <w:pStyle w:val="NotesTable-ItemPlain"/>
            </w:pPr>
          </w:p>
        </w:tc>
        <w:tc>
          <w:tcPr>
            <w:tcW w:w="271" w:type="pct"/>
          </w:tcPr>
          <w:p w14:paraId="038A2F87" w14:textId="77777777" w:rsidR="00C83428" w:rsidRDefault="00C83428" w:rsidP="001A5D4A">
            <w:pPr>
              <w:pStyle w:val="NotesTable-Notes"/>
            </w:pPr>
          </w:p>
        </w:tc>
        <w:tc>
          <w:tcPr>
            <w:tcW w:w="406" w:type="pct"/>
          </w:tcPr>
          <w:p w14:paraId="038A2F88" w14:textId="77777777" w:rsidR="00C83428" w:rsidRDefault="00C83428" w:rsidP="001A5D4A">
            <w:pPr>
              <w:pStyle w:val="NotesTable-CellBold"/>
            </w:pPr>
          </w:p>
        </w:tc>
        <w:tc>
          <w:tcPr>
            <w:tcW w:w="406" w:type="pct"/>
          </w:tcPr>
          <w:p w14:paraId="038A2F89" w14:textId="77777777" w:rsidR="00C83428" w:rsidRDefault="00C83428" w:rsidP="001A5D4A">
            <w:pPr>
              <w:pStyle w:val="NotesTable-CellPlain"/>
            </w:pPr>
          </w:p>
        </w:tc>
        <w:tc>
          <w:tcPr>
            <w:tcW w:w="406" w:type="pct"/>
          </w:tcPr>
          <w:p w14:paraId="038A2F8A" w14:textId="77777777" w:rsidR="00C83428" w:rsidRDefault="00C83428" w:rsidP="001A5D4A">
            <w:pPr>
              <w:pStyle w:val="NotesTable-CellBold"/>
            </w:pPr>
          </w:p>
        </w:tc>
        <w:tc>
          <w:tcPr>
            <w:tcW w:w="406" w:type="pct"/>
          </w:tcPr>
          <w:p w14:paraId="038A2F8B" w14:textId="77777777" w:rsidR="00C83428" w:rsidRDefault="00C83428" w:rsidP="001A5D4A">
            <w:pPr>
              <w:pStyle w:val="NotesTable-CellPlain"/>
            </w:pPr>
          </w:p>
        </w:tc>
      </w:tr>
      <w:tr w:rsidR="008C7CC5" w14:paraId="038A2F8F" w14:textId="77777777" w:rsidTr="00E21378">
        <w:trPr>
          <w:trHeight w:val="181"/>
        </w:trPr>
        <w:tc>
          <w:tcPr>
            <w:tcW w:w="810" w:type="pct"/>
          </w:tcPr>
          <w:p w14:paraId="038A2F8D" w14:textId="77777777" w:rsidR="008C7CC5" w:rsidRDefault="008C7CC5" w:rsidP="001A5D4A">
            <w:pPr>
              <w:pStyle w:val="Note-Refs"/>
            </w:pPr>
          </w:p>
        </w:tc>
        <w:tc>
          <w:tcPr>
            <w:tcW w:w="4190" w:type="pct"/>
            <w:gridSpan w:val="6"/>
          </w:tcPr>
          <w:p w14:paraId="038A2F8E" w14:textId="77777777" w:rsidR="008C7CC5" w:rsidRDefault="008C7CC5" w:rsidP="001A5D4A">
            <w:pPr>
              <w:pStyle w:val="Note-TextHeader"/>
              <w:rPr>
                <w:b w:val="0"/>
                <w:lang w:val="en-GB"/>
              </w:rPr>
            </w:pPr>
            <w:r>
              <w:t>Non-current provisions</w:t>
            </w:r>
          </w:p>
        </w:tc>
      </w:tr>
      <w:tr w:rsidR="00C83428" w14:paraId="038A2F97" w14:textId="77777777" w:rsidTr="00E21378">
        <w:trPr>
          <w:trHeight w:val="181"/>
        </w:trPr>
        <w:tc>
          <w:tcPr>
            <w:tcW w:w="810" w:type="pct"/>
          </w:tcPr>
          <w:p w14:paraId="038A2F90" w14:textId="77777777" w:rsidR="00C83428" w:rsidRDefault="00C83428" w:rsidP="001A5D4A">
            <w:pPr>
              <w:pStyle w:val="Note-Refs"/>
            </w:pPr>
          </w:p>
        </w:tc>
        <w:tc>
          <w:tcPr>
            <w:tcW w:w="2296" w:type="pct"/>
          </w:tcPr>
          <w:p w14:paraId="038A2F91" w14:textId="77777777" w:rsidR="00C83428" w:rsidRDefault="00C83428" w:rsidP="001A5D4A">
            <w:pPr>
              <w:pStyle w:val="NotesTable-ItemPlain"/>
              <w:rPr>
                <w:b/>
              </w:rPr>
            </w:pPr>
            <w:r>
              <w:t>Employee benefits</w:t>
            </w:r>
          </w:p>
        </w:tc>
        <w:tc>
          <w:tcPr>
            <w:tcW w:w="271" w:type="pct"/>
          </w:tcPr>
          <w:p w14:paraId="038A2F92" w14:textId="77777777" w:rsidR="00C83428" w:rsidRDefault="00C83428" w:rsidP="001A5D4A">
            <w:pPr>
              <w:pStyle w:val="NotesTable-Notes"/>
            </w:pPr>
          </w:p>
        </w:tc>
        <w:tc>
          <w:tcPr>
            <w:tcW w:w="406" w:type="pct"/>
          </w:tcPr>
          <w:p w14:paraId="038A2F93" w14:textId="77777777" w:rsidR="00C83428" w:rsidRDefault="00C83428" w:rsidP="001A5D4A">
            <w:pPr>
              <w:pStyle w:val="NotesTable-CellBold"/>
            </w:pPr>
          </w:p>
        </w:tc>
        <w:tc>
          <w:tcPr>
            <w:tcW w:w="406" w:type="pct"/>
          </w:tcPr>
          <w:p w14:paraId="038A2F94" w14:textId="77777777" w:rsidR="00C83428" w:rsidRDefault="00C83428" w:rsidP="001A5D4A">
            <w:pPr>
              <w:pStyle w:val="NotesTable-CellPlain"/>
            </w:pPr>
          </w:p>
        </w:tc>
        <w:tc>
          <w:tcPr>
            <w:tcW w:w="406" w:type="pct"/>
          </w:tcPr>
          <w:p w14:paraId="038A2F95" w14:textId="77777777" w:rsidR="00C83428" w:rsidRDefault="00C83428" w:rsidP="001A5D4A">
            <w:pPr>
              <w:pStyle w:val="NotesTable-CellBold"/>
            </w:pPr>
          </w:p>
        </w:tc>
        <w:tc>
          <w:tcPr>
            <w:tcW w:w="406" w:type="pct"/>
          </w:tcPr>
          <w:p w14:paraId="038A2F96" w14:textId="77777777" w:rsidR="00C83428" w:rsidRDefault="00C83428" w:rsidP="001A5D4A">
            <w:pPr>
              <w:pStyle w:val="NotesTable-CellPlain"/>
            </w:pPr>
          </w:p>
        </w:tc>
      </w:tr>
      <w:tr w:rsidR="00C83428" w14:paraId="038A2FA7" w14:textId="77777777" w:rsidTr="00E21378">
        <w:trPr>
          <w:trHeight w:val="181"/>
        </w:trPr>
        <w:tc>
          <w:tcPr>
            <w:tcW w:w="810" w:type="pct"/>
          </w:tcPr>
          <w:p w14:paraId="038A2FA0" w14:textId="77777777" w:rsidR="00C83428" w:rsidRDefault="00C83428" w:rsidP="001A5D4A">
            <w:pPr>
              <w:pStyle w:val="Note-Refs"/>
            </w:pPr>
          </w:p>
        </w:tc>
        <w:tc>
          <w:tcPr>
            <w:tcW w:w="2296" w:type="pct"/>
          </w:tcPr>
          <w:p w14:paraId="038A2FA1" w14:textId="77777777" w:rsidR="00C83428" w:rsidRDefault="00C83428" w:rsidP="001A5D4A">
            <w:pPr>
              <w:pStyle w:val="Note-Text"/>
              <w:rPr>
                <w:b/>
              </w:rPr>
            </w:pPr>
            <w:r>
              <w:t>Long service leave</w:t>
            </w:r>
          </w:p>
        </w:tc>
        <w:tc>
          <w:tcPr>
            <w:tcW w:w="271" w:type="pct"/>
          </w:tcPr>
          <w:p w14:paraId="038A2FA2" w14:textId="77777777" w:rsidR="00C83428" w:rsidRDefault="00C83428" w:rsidP="001A5D4A">
            <w:pPr>
              <w:pStyle w:val="NotesTable-Notes"/>
            </w:pPr>
          </w:p>
        </w:tc>
        <w:tc>
          <w:tcPr>
            <w:tcW w:w="406" w:type="pct"/>
          </w:tcPr>
          <w:p w14:paraId="038A2FA3" w14:textId="77777777" w:rsidR="00C83428" w:rsidRDefault="00C83428" w:rsidP="001A5D4A">
            <w:pPr>
              <w:pStyle w:val="NotesTable-CellBold"/>
            </w:pPr>
            <w:r>
              <w:t>–</w:t>
            </w:r>
          </w:p>
        </w:tc>
        <w:tc>
          <w:tcPr>
            <w:tcW w:w="406" w:type="pct"/>
          </w:tcPr>
          <w:p w14:paraId="038A2FA4" w14:textId="77777777" w:rsidR="00C83428" w:rsidRDefault="00C83428" w:rsidP="001A5D4A">
            <w:pPr>
              <w:pStyle w:val="NotesTable-CellPlain"/>
            </w:pPr>
            <w:r>
              <w:t>–</w:t>
            </w:r>
          </w:p>
        </w:tc>
        <w:tc>
          <w:tcPr>
            <w:tcW w:w="406" w:type="pct"/>
          </w:tcPr>
          <w:p w14:paraId="038A2FA5" w14:textId="77777777" w:rsidR="00C83428" w:rsidRDefault="00C83428" w:rsidP="001A5D4A">
            <w:pPr>
              <w:pStyle w:val="NotesTable-CellBold"/>
            </w:pPr>
            <w:r>
              <w:t>–</w:t>
            </w:r>
          </w:p>
        </w:tc>
        <w:tc>
          <w:tcPr>
            <w:tcW w:w="406" w:type="pct"/>
          </w:tcPr>
          <w:p w14:paraId="038A2FA6" w14:textId="77777777" w:rsidR="00C83428" w:rsidRDefault="00C83428" w:rsidP="001A5D4A">
            <w:pPr>
              <w:pStyle w:val="NotesTable-CellPlain"/>
            </w:pPr>
            <w:r>
              <w:t>–</w:t>
            </w:r>
          </w:p>
        </w:tc>
      </w:tr>
      <w:tr w:rsidR="00C83428" w14:paraId="038A2FAF" w14:textId="77777777" w:rsidTr="00E21378">
        <w:trPr>
          <w:trHeight w:val="181"/>
        </w:trPr>
        <w:tc>
          <w:tcPr>
            <w:tcW w:w="810" w:type="pct"/>
            <w:vAlign w:val="center"/>
          </w:tcPr>
          <w:p w14:paraId="038A2FA8" w14:textId="77777777" w:rsidR="00C83428" w:rsidRDefault="00B90CFC" w:rsidP="001A5D4A">
            <w:pPr>
              <w:pStyle w:val="Note-Refs"/>
              <w:rPr>
                <w:b/>
              </w:rPr>
            </w:pPr>
            <w:r>
              <w:t>EDUCATION</w:t>
            </w:r>
          </w:p>
        </w:tc>
        <w:tc>
          <w:tcPr>
            <w:tcW w:w="2296" w:type="pct"/>
            <w:shd w:val="clear" w:color="auto" w:fill="CCCCCC"/>
          </w:tcPr>
          <w:p w14:paraId="038A2FA9" w14:textId="77777777" w:rsidR="00C83428" w:rsidRDefault="00C83428" w:rsidP="001A5D4A">
            <w:pPr>
              <w:pStyle w:val="Note-Text"/>
              <w:rPr>
                <w:b/>
              </w:rPr>
            </w:pPr>
            <w:r>
              <w:t>Defined benefit obligation</w:t>
            </w:r>
          </w:p>
        </w:tc>
        <w:tc>
          <w:tcPr>
            <w:tcW w:w="271" w:type="pct"/>
            <w:shd w:val="clear" w:color="auto" w:fill="CCCCCC"/>
          </w:tcPr>
          <w:p w14:paraId="038A2FAA" w14:textId="1032AA50" w:rsidR="00C83428" w:rsidRDefault="00E577A1" w:rsidP="001A5D4A">
            <w:pPr>
              <w:pStyle w:val="NotesTable-Notes"/>
            </w:pPr>
            <w:r>
              <w:t>5</w:t>
            </w:r>
            <w:r w:rsidR="00575CDB">
              <w:t>2</w:t>
            </w:r>
          </w:p>
        </w:tc>
        <w:tc>
          <w:tcPr>
            <w:tcW w:w="406" w:type="pct"/>
            <w:shd w:val="clear" w:color="auto" w:fill="CCCCCC"/>
          </w:tcPr>
          <w:p w14:paraId="038A2FAB" w14:textId="77777777" w:rsidR="00C83428" w:rsidRDefault="00C83428" w:rsidP="001A5D4A">
            <w:pPr>
              <w:pStyle w:val="NotesTable-CellBold"/>
            </w:pPr>
            <w:r>
              <w:t>–</w:t>
            </w:r>
          </w:p>
        </w:tc>
        <w:tc>
          <w:tcPr>
            <w:tcW w:w="406" w:type="pct"/>
            <w:shd w:val="clear" w:color="auto" w:fill="CCCCCC"/>
          </w:tcPr>
          <w:p w14:paraId="038A2FAC" w14:textId="77777777" w:rsidR="00C83428" w:rsidRDefault="00C83428" w:rsidP="001A5D4A">
            <w:pPr>
              <w:pStyle w:val="NotesTable-CellPlain"/>
            </w:pPr>
            <w:r>
              <w:t>–</w:t>
            </w:r>
          </w:p>
        </w:tc>
        <w:tc>
          <w:tcPr>
            <w:tcW w:w="406" w:type="pct"/>
            <w:shd w:val="clear" w:color="auto" w:fill="CCCCCC"/>
          </w:tcPr>
          <w:p w14:paraId="038A2FAD" w14:textId="77777777" w:rsidR="00C83428" w:rsidRDefault="00C83428" w:rsidP="001A5D4A">
            <w:pPr>
              <w:pStyle w:val="NotesTable-CellBold"/>
            </w:pPr>
            <w:r>
              <w:t>–</w:t>
            </w:r>
          </w:p>
        </w:tc>
        <w:tc>
          <w:tcPr>
            <w:tcW w:w="406" w:type="pct"/>
            <w:shd w:val="clear" w:color="auto" w:fill="CCCCCC"/>
          </w:tcPr>
          <w:p w14:paraId="038A2FAE" w14:textId="77777777" w:rsidR="00C83428" w:rsidRDefault="00C83428" w:rsidP="001A5D4A">
            <w:pPr>
              <w:pStyle w:val="NotesTable-CellPlain"/>
            </w:pPr>
            <w:r>
              <w:t>–</w:t>
            </w:r>
          </w:p>
        </w:tc>
      </w:tr>
      <w:tr w:rsidR="00C62933" w14:paraId="28F88525" w14:textId="77777777" w:rsidTr="00E21378">
        <w:trPr>
          <w:trHeight w:val="181"/>
        </w:trPr>
        <w:tc>
          <w:tcPr>
            <w:tcW w:w="810" w:type="pct"/>
          </w:tcPr>
          <w:p w14:paraId="32E0F899" w14:textId="77777777" w:rsidR="00C62933" w:rsidRDefault="00C62933" w:rsidP="001A5D4A">
            <w:pPr>
              <w:pStyle w:val="Note-Refs"/>
            </w:pPr>
          </w:p>
        </w:tc>
        <w:tc>
          <w:tcPr>
            <w:tcW w:w="2296" w:type="pct"/>
          </w:tcPr>
          <w:p w14:paraId="7BADCA10" w14:textId="46A87F44" w:rsidR="00C62933" w:rsidRDefault="00C62933" w:rsidP="001A5D4A">
            <w:pPr>
              <w:pStyle w:val="Note-Text"/>
            </w:pPr>
            <w:r>
              <w:t>Employment on-costs provision</w:t>
            </w:r>
          </w:p>
        </w:tc>
        <w:tc>
          <w:tcPr>
            <w:tcW w:w="271" w:type="pct"/>
          </w:tcPr>
          <w:p w14:paraId="552DC8C3" w14:textId="77777777" w:rsidR="00C62933" w:rsidRDefault="00C62933" w:rsidP="001A5D4A">
            <w:pPr>
              <w:pStyle w:val="NotesTable-Notes"/>
            </w:pPr>
          </w:p>
        </w:tc>
        <w:tc>
          <w:tcPr>
            <w:tcW w:w="406" w:type="pct"/>
            <w:tcBorders>
              <w:bottom w:val="single" w:sz="4" w:space="0" w:color="000000"/>
            </w:tcBorders>
          </w:tcPr>
          <w:p w14:paraId="587BD1E8" w14:textId="0B836704" w:rsidR="00C62933" w:rsidRDefault="00C62933" w:rsidP="001A5D4A">
            <w:pPr>
              <w:pStyle w:val="NotesTable-CellBold"/>
            </w:pPr>
            <w:r>
              <w:t>–</w:t>
            </w:r>
          </w:p>
        </w:tc>
        <w:tc>
          <w:tcPr>
            <w:tcW w:w="406" w:type="pct"/>
            <w:tcBorders>
              <w:bottom w:val="single" w:sz="4" w:space="0" w:color="000000"/>
            </w:tcBorders>
          </w:tcPr>
          <w:p w14:paraId="21308ECB" w14:textId="4B13CE1B" w:rsidR="00C62933" w:rsidRDefault="00C62933" w:rsidP="001A5D4A">
            <w:pPr>
              <w:pStyle w:val="NotesTable-CellPlain"/>
            </w:pPr>
            <w:r>
              <w:t>–</w:t>
            </w:r>
          </w:p>
        </w:tc>
        <w:tc>
          <w:tcPr>
            <w:tcW w:w="406" w:type="pct"/>
            <w:tcBorders>
              <w:bottom w:val="single" w:sz="4" w:space="0" w:color="000000"/>
            </w:tcBorders>
          </w:tcPr>
          <w:p w14:paraId="5EE2CF98" w14:textId="51D6D0DA" w:rsidR="00C62933" w:rsidRDefault="00C62933" w:rsidP="001A5D4A">
            <w:pPr>
              <w:pStyle w:val="NotesTable-CellBold"/>
            </w:pPr>
            <w:r>
              <w:t>–</w:t>
            </w:r>
          </w:p>
        </w:tc>
        <w:tc>
          <w:tcPr>
            <w:tcW w:w="406" w:type="pct"/>
            <w:tcBorders>
              <w:bottom w:val="single" w:sz="4" w:space="0" w:color="000000"/>
            </w:tcBorders>
          </w:tcPr>
          <w:p w14:paraId="3E42EFDB" w14:textId="39171C61" w:rsidR="00C62933" w:rsidRDefault="00C62933" w:rsidP="001A5D4A">
            <w:pPr>
              <w:pStyle w:val="NotesTable-CellPlain"/>
            </w:pPr>
            <w:r>
              <w:t>–</w:t>
            </w:r>
          </w:p>
        </w:tc>
      </w:tr>
      <w:tr w:rsidR="00C83428" w14:paraId="038A2FB7" w14:textId="77777777" w:rsidTr="00E21378">
        <w:trPr>
          <w:trHeight w:val="181"/>
        </w:trPr>
        <w:tc>
          <w:tcPr>
            <w:tcW w:w="810" w:type="pct"/>
          </w:tcPr>
          <w:p w14:paraId="038A2FB0" w14:textId="77777777" w:rsidR="00C83428" w:rsidRDefault="00C83428" w:rsidP="001A5D4A">
            <w:pPr>
              <w:pStyle w:val="Note-Refs"/>
            </w:pPr>
          </w:p>
        </w:tc>
        <w:tc>
          <w:tcPr>
            <w:tcW w:w="2296" w:type="pct"/>
          </w:tcPr>
          <w:p w14:paraId="038A2FB1" w14:textId="77777777" w:rsidR="00C83428" w:rsidRDefault="00C83428" w:rsidP="001A5D4A">
            <w:pPr>
              <w:pStyle w:val="Note-Text"/>
              <w:rPr>
                <w:b/>
              </w:rPr>
            </w:pPr>
            <w:r>
              <w:t>[Specify]</w:t>
            </w:r>
          </w:p>
        </w:tc>
        <w:tc>
          <w:tcPr>
            <w:tcW w:w="271" w:type="pct"/>
          </w:tcPr>
          <w:p w14:paraId="038A2FB2" w14:textId="77777777" w:rsidR="00C83428" w:rsidRDefault="00C83428" w:rsidP="001A5D4A">
            <w:pPr>
              <w:pStyle w:val="NotesTable-Notes"/>
            </w:pPr>
          </w:p>
        </w:tc>
        <w:tc>
          <w:tcPr>
            <w:tcW w:w="406" w:type="pct"/>
            <w:tcBorders>
              <w:bottom w:val="single" w:sz="4" w:space="0" w:color="000000"/>
            </w:tcBorders>
          </w:tcPr>
          <w:p w14:paraId="038A2FB3" w14:textId="77777777" w:rsidR="00C83428" w:rsidRDefault="00C83428" w:rsidP="001A5D4A">
            <w:pPr>
              <w:pStyle w:val="NotesTable-CellBold"/>
            </w:pPr>
            <w:r>
              <w:t>–</w:t>
            </w:r>
          </w:p>
        </w:tc>
        <w:tc>
          <w:tcPr>
            <w:tcW w:w="406" w:type="pct"/>
            <w:tcBorders>
              <w:bottom w:val="single" w:sz="4" w:space="0" w:color="000000"/>
            </w:tcBorders>
          </w:tcPr>
          <w:p w14:paraId="038A2FB4" w14:textId="77777777" w:rsidR="00C83428" w:rsidRDefault="00C83428" w:rsidP="001A5D4A">
            <w:pPr>
              <w:pStyle w:val="NotesTable-CellPlain"/>
            </w:pPr>
            <w:r>
              <w:t>–</w:t>
            </w:r>
          </w:p>
        </w:tc>
        <w:tc>
          <w:tcPr>
            <w:tcW w:w="406" w:type="pct"/>
            <w:tcBorders>
              <w:bottom w:val="single" w:sz="4" w:space="0" w:color="000000"/>
            </w:tcBorders>
          </w:tcPr>
          <w:p w14:paraId="038A2FB5" w14:textId="77777777" w:rsidR="00C83428" w:rsidRDefault="00C83428" w:rsidP="001A5D4A">
            <w:pPr>
              <w:pStyle w:val="NotesTable-CellBold"/>
            </w:pPr>
            <w:r>
              <w:t>–</w:t>
            </w:r>
          </w:p>
        </w:tc>
        <w:tc>
          <w:tcPr>
            <w:tcW w:w="406" w:type="pct"/>
            <w:tcBorders>
              <w:bottom w:val="single" w:sz="4" w:space="0" w:color="000000"/>
            </w:tcBorders>
          </w:tcPr>
          <w:p w14:paraId="038A2FB6" w14:textId="77777777" w:rsidR="00C83428" w:rsidRDefault="00C83428" w:rsidP="001A5D4A">
            <w:pPr>
              <w:pStyle w:val="NotesTable-CellPlain"/>
            </w:pPr>
            <w:r>
              <w:t>–</w:t>
            </w:r>
          </w:p>
        </w:tc>
      </w:tr>
      <w:tr w:rsidR="00C83428" w14:paraId="038A2FBF" w14:textId="77777777" w:rsidTr="00E21378">
        <w:trPr>
          <w:trHeight w:val="181"/>
        </w:trPr>
        <w:tc>
          <w:tcPr>
            <w:tcW w:w="810" w:type="pct"/>
          </w:tcPr>
          <w:p w14:paraId="038A2FB8" w14:textId="77777777" w:rsidR="00C83428" w:rsidRDefault="00C83428" w:rsidP="001A5D4A">
            <w:pPr>
              <w:pStyle w:val="Note-Refs"/>
            </w:pPr>
          </w:p>
        </w:tc>
        <w:tc>
          <w:tcPr>
            <w:tcW w:w="2296" w:type="pct"/>
          </w:tcPr>
          <w:p w14:paraId="038A2FB9" w14:textId="77777777" w:rsidR="00C83428" w:rsidRDefault="00C83428" w:rsidP="001A5D4A">
            <w:pPr>
              <w:pStyle w:val="NotesTable-ItemPlain"/>
              <w:rPr>
                <w:b/>
              </w:rPr>
            </w:pPr>
            <w:r>
              <w:t>Total non-current provisions</w:t>
            </w:r>
          </w:p>
        </w:tc>
        <w:tc>
          <w:tcPr>
            <w:tcW w:w="271" w:type="pct"/>
          </w:tcPr>
          <w:p w14:paraId="038A2FBA" w14:textId="77777777" w:rsidR="00C83428" w:rsidRDefault="00C83428" w:rsidP="001A5D4A">
            <w:pPr>
              <w:pStyle w:val="NotesTable-Notes"/>
            </w:pPr>
          </w:p>
        </w:tc>
        <w:tc>
          <w:tcPr>
            <w:tcW w:w="406" w:type="pct"/>
            <w:tcBorders>
              <w:top w:val="single" w:sz="4" w:space="0" w:color="000000"/>
              <w:bottom w:val="single" w:sz="4" w:space="0" w:color="000000"/>
            </w:tcBorders>
          </w:tcPr>
          <w:p w14:paraId="038A2FBB" w14:textId="77777777" w:rsidR="00C83428" w:rsidRDefault="00C83428" w:rsidP="001A5D4A">
            <w:pPr>
              <w:pStyle w:val="NotesTable-CellBold"/>
            </w:pPr>
            <w:r>
              <w:t>–</w:t>
            </w:r>
          </w:p>
        </w:tc>
        <w:tc>
          <w:tcPr>
            <w:tcW w:w="406" w:type="pct"/>
            <w:tcBorders>
              <w:top w:val="single" w:sz="4" w:space="0" w:color="000000"/>
              <w:bottom w:val="single" w:sz="4" w:space="0" w:color="000000"/>
            </w:tcBorders>
          </w:tcPr>
          <w:p w14:paraId="038A2FBC" w14:textId="77777777" w:rsidR="00C83428" w:rsidRDefault="00C83428" w:rsidP="001A5D4A">
            <w:pPr>
              <w:pStyle w:val="NotesTable-CellPlain"/>
            </w:pPr>
            <w:r>
              <w:t>–</w:t>
            </w:r>
          </w:p>
        </w:tc>
        <w:tc>
          <w:tcPr>
            <w:tcW w:w="406" w:type="pct"/>
            <w:tcBorders>
              <w:top w:val="single" w:sz="4" w:space="0" w:color="000000"/>
              <w:bottom w:val="single" w:sz="4" w:space="0" w:color="000000"/>
            </w:tcBorders>
          </w:tcPr>
          <w:p w14:paraId="038A2FBD" w14:textId="77777777" w:rsidR="00C83428" w:rsidRDefault="00C83428" w:rsidP="001A5D4A">
            <w:pPr>
              <w:pStyle w:val="NotesTable-CellBold"/>
            </w:pPr>
            <w:r>
              <w:t>–</w:t>
            </w:r>
          </w:p>
        </w:tc>
        <w:tc>
          <w:tcPr>
            <w:tcW w:w="406" w:type="pct"/>
            <w:tcBorders>
              <w:top w:val="single" w:sz="4" w:space="0" w:color="000000"/>
              <w:bottom w:val="single" w:sz="4" w:space="0" w:color="000000"/>
            </w:tcBorders>
          </w:tcPr>
          <w:p w14:paraId="038A2FBE" w14:textId="77777777" w:rsidR="00C83428" w:rsidRDefault="00C83428" w:rsidP="001A5D4A">
            <w:pPr>
              <w:pStyle w:val="NotesTable-CellPlain"/>
            </w:pPr>
            <w:r>
              <w:t>–</w:t>
            </w:r>
          </w:p>
        </w:tc>
      </w:tr>
      <w:tr w:rsidR="00C83428" w14:paraId="038A2FC7" w14:textId="77777777" w:rsidTr="00E21378">
        <w:trPr>
          <w:trHeight w:val="181"/>
        </w:trPr>
        <w:tc>
          <w:tcPr>
            <w:tcW w:w="810" w:type="pct"/>
          </w:tcPr>
          <w:p w14:paraId="038A2FC0" w14:textId="77777777" w:rsidR="00C83428" w:rsidRDefault="00C83428" w:rsidP="001A5D4A">
            <w:pPr>
              <w:pStyle w:val="Note-Refs"/>
            </w:pPr>
          </w:p>
        </w:tc>
        <w:tc>
          <w:tcPr>
            <w:tcW w:w="2296" w:type="pct"/>
          </w:tcPr>
          <w:p w14:paraId="038A2FC1" w14:textId="77777777" w:rsidR="00C83428" w:rsidRDefault="00C83428" w:rsidP="001A5D4A">
            <w:pPr>
              <w:pStyle w:val="NotesTable-ItemPlain"/>
              <w:rPr>
                <w:b/>
              </w:rPr>
            </w:pPr>
            <w:r>
              <w:t>Total provisions</w:t>
            </w:r>
          </w:p>
        </w:tc>
        <w:tc>
          <w:tcPr>
            <w:tcW w:w="271" w:type="pct"/>
          </w:tcPr>
          <w:p w14:paraId="038A2FC2" w14:textId="77777777" w:rsidR="00C83428" w:rsidRDefault="00C83428" w:rsidP="001A5D4A">
            <w:pPr>
              <w:pStyle w:val="NotesTable-Notes"/>
            </w:pPr>
          </w:p>
        </w:tc>
        <w:tc>
          <w:tcPr>
            <w:tcW w:w="406" w:type="pct"/>
          </w:tcPr>
          <w:p w14:paraId="038A2FC3" w14:textId="77777777" w:rsidR="00C83428" w:rsidRDefault="00C83428" w:rsidP="001A5D4A">
            <w:pPr>
              <w:pStyle w:val="NotesTable-CellBold"/>
            </w:pPr>
            <w:r>
              <w:t>–</w:t>
            </w:r>
          </w:p>
        </w:tc>
        <w:tc>
          <w:tcPr>
            <w:tcW w:w="406" w:type="pct"/>
          </w:tcPr>
          <w:p w14:paraId="038A2FC4" w14:textId="77777777" w:rsidR="00C83428" w:rsidRDefault="00C83428" w:rsidP="001A5D4A">
            <w:pPr>
              <w:pStyle w:val="NotesTable-CellPlain"/>
            </w:pPr>
            <w:r>
              <w:t>–</w:t>
            </w:r>
          </w:p>
        </w:tc>
        <w:tc>
          <w:tcPr>
            <w:tcW w:w="406" w:type="pct"/>
          </w:tcPr>
          <w:p w14:paraId="038A2FC5" w14:textId="77777777" w:rsidR="00C83428" w:rsidRDefault="00C83428" w:rsidP="001A5D4A">
            <w:pPr>
              <w:pStyle w:val="NotesTable-CellBold"/>
            </w:pPr>
            <w:r>
              <w:t>–</w:t>
            </w:r>
          </w:p>
        </w:tc>
        <w:tc>
          <w:tcPr>
            <w:tcW w:w="406" w:type="pct"/>
          </w:tcPr>
          <w:p w14:paraId="038A2FC6" w14:textId="77777777" w:rsidR="00C83428" w:rsidRDefault="00C83428" w:rsidP="001A5D4A">
            <w:pPr>
              <w:pStyle w:val="NotesTable-CellPlain"/>
            </w:pPr>
            <w:r>
              <w:t>–</w:t>
            </w:r>
          </w:p>
        </w:tc>
      </w:tr>
      <w:tr w:rsidR="00C83428" w14:paraId="038A2FCF" w14:textId="77777777" w:rsidTr="00E21378">
        <w:trPr>
          <w:trHeight w:val="181"/>
        </w:trPr>
        <w:tc>
          <w:tcPr>
            <w:tcW w:w="810" w:type="pct"/>
          </w:tcPr>
          <w:p w14:paraId="038A2FC8" w14:textId="77777777" w:rsidR="00C83428" w:rsidRDefault="00C83428" w:rsidP="001A5D4A">
            <w:pPr>
              <w:pStyle w:val="Note-Refs"/>
            </w:pPr>
          </w:p>
        </w:tc>
        <w:tc>
          <w:tcPr>
            <w:tcW w:w="2296" w:type="pct"/>
          </w:tcPr>
          <w:p w14:paraId="038A2FC9" w14:textId="77777777" w:rsidR="00C83428" w:rsidRDefault="00C83428" w:rsidP="001A5D4A">
            <w:pPr>
              <w:pStyle w:val="NotesTable-ItemPlain"/>
            </w:pPr>
          </w:p>
        </w:tc>
        <w:tc>
          <w:tcPr>
            <w:tcW w:w="271" w:type="pct"/>
          </w:tcPr>
          <w:p w14:paraId="038A2FCA" w14:textId="77777777" w:rsidR="00C83428" w:rsidRDefault="00C83428" w:rsidP="001A5D4A">
            <w:pPr>
              <w:pStyle w:val="NotesTable-Notes"/>
            </w:pPr>
          </w:p>
        </w:tc>
        <w:tc>
          <w:tcPr>
            <w:tcW w:w="406" w:type="pct"/>
          </w:tcPr>
          <w:p w14:paraId="038A2FCB" w14:textId="77777777" w:rsidR="00C83428" w:rsidRDefault="00C83428" w:rsidP="001A5D4A">
            <w:pPr>
              <w:pStyle w:val="NotesTable-CellBold"/>
            </w:pPr>
          </w:p>
        </w:tc>
        <w:tc>
          <w:tcPr>
            <w:tcW w:w="406" w:type="pct"/>
          </w:tcPr>
          <w:p w14:paraId="038A2FCC" w14:textId="77777777" w:rsidR="00C83428" w:rsidRDefault="00C83428" w:rsidP="001A5D4A">
            <w:pPr>
              <w:pStyle w:val="NotesTable-CellPlain"/>
            </w:pPr>
          </w:p>
        </w:tc>
        <w:tc>
          <w:tcPr>
            <w:tcW w:w="406" w:type="pct"/>
          </w:tcPr>
          <w:p w14:paraId="038A2FCD" w14:textId="77777777" w:rsidR="00C83428" w:rsidRDefault="00C83428" w:rsidP="001A5D4A">
            <w:pPr>
              <w:pStyle w:val="NotesTable-CellBold"/>
            </w:pPr>
          </w:p>
        </w:tc>
        <w:tc>
          <w:tcPr>
            <w:tcW w:w="406" w:type="pct"/>
          </w:tcPr>
          <w:p w14:paraId="038A2FCE" w14:textId="77777777" w:rsidR="00C83428" w:rsidRDefault="00C83428" w:rsidP="001A5D4A">
            <w:pPr>
              <w:pStyle w:val="NotesTable-CellPlain"/>
            </w:pPr>
          </w:p>
        </w:tc>
      </w:tr>
      <w:tr w:rsidR="00C83428" w14:paraId="038A2FD2" w14:textId="77777777" w:rsidTr="00E21378">
        <w:trPr>
          <w:trHeight w:val="181"/>
        </w:trPr>
        <w:tc>
          <w:tcPr>
            <w:tcW w:w="810" w:type="pct"/>
          </w:tcPr>
          <w:p w14:paraId="038A2FD0" w14:textId="7E112D88" w:rsidR="00C83428" w:rsidRDefault="00CF7DA5" w:rsidP="001A5D4A">
            <w:pPr>
              <w:pStyle w:val="Note-Refs"/>
            </w:pPr>
            <w:r>
              <w:t>AASB137.85</w:t>
            </w:r>
          </w:p>
        </w:tc>
        <w:tc>
          <w:tcPr>
            <w:tcW w:w="4190" w:type="pct"/>
            <w:gridSpan w:val="6"/>
          </w:tcPr>
          <w:p w14:paraId="038A2FD1" w14:textId="77777777" w:rsidR="00C83428" w:rsidRDefault="00C83428" w:rsidP="001A5D4A">
            <w:pPr>
              <w:pStyle w:val="Note-Text"/>
              <w:rPr>
                <w:b/>
              </w:rPr>
            </w:pPr>
            <w:r>
              <w:t xml:space="preserve">For each class of provision, specify: </w:t>
            </w:r>
          </w:p>
        </w:tc>
      </w:tr>
      <w:tr w:rsidR="008C7CC5" w14:paraId="038A2FD5" w14:textId="77777777" w:rsidTr="00E21378">
        <w:trPr>
          <w:trHeight w:val="181"/>
        </w:trPr>
        <w:tc>
          <w:tcPr>
            <w:tcW w:w="810" w:type="pct"/>
          </w:tcPr>
          <w:p w14:paraId="038A2FD3" w14:textId="77777777" w:rsidR="008C7CC5" w:rsidRDefault="008C7CC5" w:rsidP="001A5D4A">
            <w:pPr>
              <w:pStyle w:val="Note-Refs"/>
            </w:pPr>
          </w:p>
        </w:tc>
        <w:tc>
          <w:tcPr>
            <w:tcW w:w="4190" w:type="pct"/>
            <w:gridSpan w:val="6"/>
          </w:tcPr>
          <w:p w14:paraId="038A2FD4" w14:textId="77777777" w:rsidR="008C7CC5" w:rsidRDefault="00AB2DCE" w:rsidP="001A5D4A">
            <w:pPr>
              <w:pStyle w:val="Note-Text"/>
            </w:pPr>
            <w:r>
              <w:t>(a)</w:t>
            </w:r>
            <w:r>
              <w:tab/>
              <w:t>a brief description of the nature of the obligation and the expected timing of any resulting outflows of economic benefits;</w:t>
            </w:r>
          </w:p>
        </w:tc>
      </w:tr>
      <w:tr w:rsidR="00AB2DCE" w14:paraId="038A2FD8" w14:textId="77777777" w:rsidTr="00E21378">
        <w:trPr>
          <w:trHeight w:val="181"/>
        </w:trPr>
        <w:tc>
          <w:tcPr>
            <w:tcW w:w="810" w:type="pct"/>
          </w:tcPr>
          <w:p w14:paraId="038A2FD6" w14:textId="77777777" w:rsidR="00AB2DCE" w:rsidRDefault="00AB2DCE" w:rsidP="001A5D4A">
            <w:pPr>
              <w:pStyle w:val="Note-Refs"/>
            </w:pPr>
          </w:p>
        </w:tc>
        <w:tc>
          <w:tcPr>
            <w:tcW w:w="4190" w:type="pct"/>
            <w:gridSpan w:val="6"/>
          </w:tcPr>
          <w:p w14:paraId="038A2FD7" w14:textId="77777777" w:rsidR="00AB2DCE" w:rsidRDefault="00AB2DCE" w:rsidP="001A5D4A">
            <w:pPr>
              <w:pStyle w:val="Note-Text"/>
            </w:pPr>
            <w:r>
              <w:t>(b)</w:t>
            </w:r>
            <w:r>
              <w:tab/>
              <w:t>an indication of the uncertainties about the amount or timing of those outflows, including major assumptions made concerning future events, where necessary; and</w:t>
            </w:r>
          </w:p>
        </w:tc>
      </w:tr>
      <w:tr w:rsidR="00AB2DCE" w14:paraId="038A2FDB" w14:textId="77777777" w:rsidTr="00E21378">
        <w:trPr>
          <w:trHeight w:val="181"/>
        </w:trPr>
        <w:tc>
          <w:tcPr>
            <w:tcW w:w="810" w:type="pct"/>
          </w:tcPr>
          <w:p w14:paraId="038A2FD9" w14:textId="77777777" w:rsidR="00AB2DCE" w:rsidRDefault="00AB2DCE" w:rsidP="001A5D4A">
            <w:pPr>
              <w:pStyle w:val="Note-Refs"/>
            </w:pPr>
          </w:p>
        </w:tc>
        <w:tc>
          <w:tcPr>
            <w:tcW w:w="4190" w:type="pct"/>
            <w:gridSpan w:val="6"/>
          </w:tcPr>
          <w:p w14:paraId="038A2FDA" w14:textId="77777777" w:rsidR="00AB2DCE" w:rsidRDefault="00AB2DCE" w:rsidP="001A5D4A">
            <w:pPr>
              <w:pStyle w:val="Note-Text"/>
            </w:pPr>
            <w:r>
              <w:t>(c)</w:t>
            </w:r>
            <w:r>
              <w:tab/>
            </w:r>
            <w:proofErr w:type="gramStart"/>
            <w:r>
              <w:t>the</w:t>
            </w:r>
            <w:proofErr w:type="gramEnd"/>
            <w:r>
              <w:t xml:space="preserve"> amount of any expected reimbursement, stating the amount of any asset that has been recognised for that expected reimbursement.</w:t>
            </w:r>
          </w:p>
        </w:tc>
      </w:tr>
      <w:tr w:rsidR="00E37536" w14:paraId="5B233737" w14:textId="77777777" w:rsidTr="00E21378">
        <w:tblPrEx>
          <w:tblBorders>
            <w:top w:val="single" w:sz="4" w:space="0" w:color="auto"/>
          </w:tblBorders>
        </w:tblPrEx>
        <w:trPr>
          <w:trHeight w:hRule="exact" w:val="227"/>
        </w:trPr>
        <w:tc>
          <w:tcPr>
            <w:tcW w:w="810" w:type="pct"/>
          </w:tcPr>
          <w:p w14:paraId="20700027" w14:textId="77777777" w:rsidR="00E37536" w:rsidRDefault="00E37536" w:rsidP="001A5D4A">
            <w:pPr>
              <w:pStyle w:val="Note-Refs"/>
            </w:pPr>
          </w:p>
        </w:tc>
        <w:tc>
          <w:tcPr>
            <w:tcW w:w="4190" w:type="pct"/>
            <w:gridSpan w:val="6"/>
            <w:vAlign w:val="bottom"/>
          </w:tcPr>
          <w:p w14:paraId="03C296E3" w14:textId="77777777" w:rsidR="00E37536" w:rsidRDefault="00E37536" w:rsidP="001A5D4A">
            <w:pPr>
              <w:pStyle w:val="Note-TextHeader"/>
            </w:pPr>
          </w:p>
        </w:tc>
      </w:tr>
      <w:tr w:rsidR="00E37536" w14:paraId="627E39DB" w14:textId="77777777" w:rsidTr="00E21378">
        <w:tblPrEx>
          <w:tblBorders>
            <w:top w:val="single" w:sz="4" w:space="0" w:color="auto"/>
          </w:tblBorders>
        </w:tblPrEx>
        <w:trPr>
          <w:trHeight w:hRule="exact" w:val="227"/>
        </w:trPr>
        <w:tc>
          <w:tcPr>
            <w:tcW w:w="810" w:type="pct"/>
          </w:tcPr>
          <w:p w14:paraId="2D7B9861" w14:textId="77777777" w:rsidR="00E37536" w:rsidRDefault="00E37536" w:rsidP="001A5D4A">
            <w:pPr>
              <w:pStyle w:val="Note-Refs"/>
            </w:pPr>
          </w:p>
        </w:tc>
        <w:tc>
          <w:tcPr>
            <w:tcW w:w="4190" w:type="pct"/>
            <w:gridSpan w:val="6"/>
            <w:vAlign w:val="bottom"/>
          </w:tcPr>
          <w:p w14:paraId="79919E99" w14:textId="77777777" w:rsidR="00E37536" w:rsidRDefault="00E37536" w:rsidP="001A5D4A">
            <w:pPr>
              <w:pStyle w:val="Note-TextHeader"/>
              <w:rPr>
                <w:b w:val="0"/>
              </w:rPr>
            </w:pPr>
            <w:r>
              <w:t>(a)</w:t>
            </w:r>
            <w:r>
              <w:tab/>
              <w:t>Movements in provisions</w:t>
            </w:r>
          </w:p>
        </w:tc>
      </w:tr>
      <w:tr w:rsidR="00E37536" w14:paraId="67E6EA42" w14:textId="77777777" w:rsidTr="00E21378">
        <w:tblPrEx>
          <w:tblBorders>
            <w:top w:val="single" w:sz="4" w:space="0" w:color="auto"/>
          </w:tblBorders>
        </w:tblPrEx>
        <w:trPr>
          <w:trHeight w:hRule="exact" w:val="454"/>
        </w:trPr>
        <w:tc>
          <w:tcPr>
            <w:tcW w:w="810" w:type="pct"/>
          </w:tcPr>
          <w:p w14:paraId="1F7E8484" w14:textId="77777777" w:rsidR="00E37536" w:rsidRDefault="00E37536" w:rsidP="001A5D4A">
            <w:pPr>
              <w:pStyle w:val="Note-Refs"/>
              <w:rPr>
                <w:b/>
              </w:rPr>
            </w:pPr>
            <w:r>
              <w:t>AASB137.84</w:t>
            </w:r>
          </w:p>
        </w:tc>
        <w:tc>
          <w:tcPr>
            <w:tcW w:w="4190" w:type="pct"/>
            <w:gridSpan w:val="6"/>
            <w:vAlign w:val="bottom"/>
          </w:tcPr>
          <w:p w14:paraId="53AE7C64" w14:textId="77777777" w:rsidR="00E37536" w:rsidRDefault="00E37536" w:rsidP="001A5D4A">
            <w:pPr>
              <w:pStyle w:val="NotesTable-ItemPlain"/>
              <w:rPr>
                <w:b/>
              </w:rPr>
            </w:pPr>
            <w:r>
              <w:t>Movements in each class of provision during the financial year, other than employee benefits, are set out below:</w:t>
            </w:r>
          </w:p>
        </w:tc>
      </w:tr>
      <w:tr w:rsidR="00E37536" w14:paraId="10041458" w14:textId="77777777" w:rsidTr="00E21378">
        <w:tblPrEx>
          <w:tblBorders>
            <w:top w:val="single" w:sz="4" w:space="0" w:color="auto"/>
          </w:tblBorders>
        </w:tblPrEx>
        <w:trPr>
          <w:trHeight w:hRule="exact" w:val="227"/>
        </w:trPr>
        <w:tc>
          <w:tcPr>
            <w:tcW w:w="810" w:type="pct"/>
          </w:tcPr>
          <w:p w14:paraId="20B5CF54" w14:textId="77777777" w:rsidR="00E37536" w:rsidRDefault="00E37536" w:rsidP="001A5D4A">
            <w:pPr>
              <w:pStyle w:val="Note-Refs"/>
            </w:pPr>
          </w:p>
        </w:tc>
        <w:tc>
          <w:tcPr>
            <w:tcW w:w="4190" w:type="pct"/>
            <w:gridSpan w:val="6"/>
            <w:vAlign w:val="bottom"/>
          </w:tcPr>
          <w:p w14:paraId="79DF8BD3" w14:textId="77777777" w:rsidR="00E37536" w:rsidRDefault="00E37536" w:rsidP="001A5D4A">
            <w:pPr>
              <w:pStyle w:val="Note-TextHeader"/>
              <w:rPr>
                <w:b w:val="0"/>
              </w:rPr>
            </w:pPr>
            <w:r>
              <w:t>Consolidated - 2014</w:t>
            </w:r>
          </w:p>
        </w:tc>
      </w:tr>
      <w:tr w:rsidR="00E37536" w:rsidRPr="00B1458B" w14:paraId="33366C23" w14:textId="77777777" w:rsidTr="00E21378">
        <w:tblPrEx>
          <w:tblBorders>
            <w:top w:val="single" w:sz="4" w:space="0" w:color="auto"/>
          </w:tblBorders>
        </w:tblPrEx>
        <w:trPr>
          <w:trHeight w:hRule="exact" w:val="227"/>
        </w:trPr>
        <w:tc>
          <w:tcPr>
            <w:tcW w:w="810" w:type="pct"/>
          </w:tcPr>
          <w:p w14:paraId="078D1CA9" w14:textId="77777777" w:rsidR="00E37536" w:rsidRDefault="00E37536" w:rsidP="001A5D4A">
            <w:pPr>
              <w:pStyle w:val="Note-Refs"/>
            </w:pPr>
          </w:p>
        </w:tc>
        <w:tc>
          <w:tcPr>
            <w:tcW w:w="2567" w:type="pct"/>
            <w:gridSpan w:val="2"/>
            <w:vAlign w:val="bottom"/>
          </w:tcPr>
          <w:p w14:paraId="4B9124B5" w14:textId="77777777" w:rsidR="00E37536" w:rsidRDefault="00E37536" w:rsidP="001A5D4A">
            <w:pPr>
              <w:pStyle w:val="NotesTable-ItemPlain"/>
            </w:pPr>
          </w:p>
        </w:tc>
        <w:tc>
          <w:tcPr>
            <w:tcW w:w="406" w:type="pct"/>
            <w:vAlign w:val="bottom"/>
          </w:tcPr>
          <w:p w14:paraId="1A3A1F21" w14:textId="77777777" w:rsidR="00E37536" w:rsidRPr="00B1458B" w:rsidRDefault="00E37536" w:rsidP="001A5D4A">
            <w:pPr>
              <w:pStyle w:val="NotesTable-HeadPlain"/>
            </w:pPr>
            <w:r>
              <w:t>[Specify]</w:t>
            </w:r>
          </w:p>
        </w:tc>
        <w:tc>
          <w:tcPr>
            <w:tcW w:w="406" w:type="pct"/>
            <w:vAlign w:val="bottom"/>
          </w:tcPr>
          <w:p w14:paraId="42C8F3A1" w14:textId="77777777" w:rsidR="00E37536" w:rsidRPr="00B1458B" w:rsidRDefault="00E37536" w:rsidP="001A5D4A">
            <w:pPr>
              <w:pStyle w:val="NotesTable-HeadPlain"/>
            </w:pPr>
            <w:r>
              <w:t>[Specify]</w:t>
            </w:r>
          </w:p>
        </w:tc>
        <w:tc>
          <w:tcPr>
            <w:tcW w:w="406" w:type="pct"/>
            <w:vAlign w:val="bottom"/>
          </w:tcPr>
          <w:p w14:paraId="32373BA2" w14:textId="77777777" w:rsidR="00E37536" w:rsidRPr="00B1458B" w:rsidRDefault="00E37536" w:rsidP="001A5D4A">
            <w:pPr>
              <w:pStyle w:val="NotesTable-HeadPlain"/>
            </w:pPr>
            <w:r>
              <w:t>[Specify]</w:t>
            </w:r>
          </w:p>
        </w:tc>
        <w:tc>
          <w:tcPr>
            <w:tcW w:w="406" w:type="pct"/>
            <w:vAlign w:val="bottom"/>
          </w:tcPr>
          <w:p w14:paraId="0BF78F05" w14:textId="77777777" w:rsidR="00E37536" w:rsidRPr="00B1458B" w:rsidRDefault="00E37536" w:rsidP="001A5D4A">
            <w:pPr>
              <w:pStyle w:val="NotesTable-HeadPlain"/>
            </w:pPr>
            <w:r>
              <w:t>Total</w:t>
            </w:r>
          </w:p>
        </w:tc>
      </w:tr>
      <w:tr w:rsidR="00E37536" w14:paraId="5E3E668F" w14:textId="77777777" w:rsidTr="00E21378">
        <w:tblPrEx>
          <w:tblBorders>
            <w:top w:val="single" w:sz="4" w:space="0" w:color="auto"/>
          </w:tblBorders>
        </w:tblPrEx>
        <w:trPr>
          <w:trHeight w:hRule="exact" w:val="227"/>
        </w:trPr>
        <w:tc>
          <w:tcPr>
            <w:tcW w:w="810" w:type="pct"/>
          </w:tcPr>
          <w:p w14:paraId="49DF52D5" w14:textId="77777777" w:rsidR="00E37536" w:rsidRDefault="00E37536" w:rsidP="001A5D4A">
            <w:pPr>
              <w:pStyle w:val="Note-Refs"/>
            </w:pPr>
          </w:p>
        </w:tc>
        <w:tc>
          <w:tcPr>
            <w:tcW w:w="2567" w:type="pct"/>
            <w:gridSpan w:val="2"/>
            <w:vAlign w:val="bottom"/>
          </w:tcPr>
          <w:p w14:paraId="1779803C" w14:textId="77777777" w:rsidR="00E37536" w:rsidRDefault="00E37536" w:rsidP="001A5D4A">
            <w:pPr>
              <w:pStyle w:val="NotesTable-ItemPlain"/>
            </w:pPr>
          </w:p>
        </w:tc>
        <w:tc>
          <w:tcPr>
            <w:tcW w:w="406" w:type="pct"/>
            <w:vAlign w:val="bottom"/>
          </w:tcPr>
          <w:p w14:paraId="2B3942E2" w14:textId="77777777" w:rsidR="00E37536" w:rsidRPr="00B1458B" w:rsidRDefault="00E37536" w:rsidP="001A5D4A">
            <w:pPr>
              <w:pStyle w:val="NotesTable-HeadPlain"/>
            </w:pPr>
            <w:r w:rsidRPr="00F13A53">
              <w:t>$’000</w:t>
            </w:r>
          </w:p>
        </w:tc>
        <w:tc>
          <w:tcPr>
            <w:tcW w:w="406" w:type="pct"/>
            <w:vAlign w:val="bottom"/>
          </w:tcPr>
          <w:p w14:paraId="4EC79DB6" w14:textId="77777777" w:rsidR="00E37536" w:rsidRDefault="00E37536" w:rsidP="001A5D4A">
            <w:pPr>
              <w:pStyle w:val="NotesTable-HeadPlain"/>
            </w:pPr>
            <w:r w:rsidRPr="00F13A53">
              <w:t>$’000</w:t>
            </w:r>
          </w:p>
        </w:tc>
        <w:tc>
          <w:tcPr>
            <w:tcW w:w="406" w:type="pct"/>
            <w:vAlign w:val="bottom"/>
          </w:tcPr>
          <w:p w14:paraId="5AFA1F24" w14:textId="77777777" w:rsidR="00E37536" w:rsidRDefault="00E37536" w:rsidP="001A5D4A">
            <w:pPr>
              <w:pStyle w:val="NotesTable-HeadPlain"/>
            </w:pPr>
            <w:r w:rsidRPr="00F13A53">
              <w:t>$’000</w:t>
            </w:r>
          </w:p>
        </w:tc>
        <w:tc>
          <w:tcPr>
            <w:tcW w:w="406" w:type="pct"/>
            <w:vAlign w:val="bottom"/>
          </w:tcPr>
          <w:p w14:paraId="4889819E" w14:textId="77777777" w:rsidR="00E37536" w:rsidRDefault="00E37536" w:rsidP="001A5D4A">
            <w:pPr>
              <w:pStyle w:val="NotesTable-HeadPlain"/>
              <w:rPr>
                <w:b/>
              </w:rPr>
            </w:pPr>
            <w:r w:rsidRPr="00F13A53">
              <w:t>$’000</w:t>
            </w:r>
          </w:p>
        </w:tc>
      </w:tr>
      <w:tr w:rsidR="00E37536" w14:paraId="50632A06" w14:textId="77777777" w:rsidTr="00E21378">
        <w:tblPrEx>
          <w:tblBorders>
            <w:top w:val="single" w:sz="4" w:space="0" w:color="auto"/>
          </w:tblBorders>
        </w:tblPrEx>
        <w:trPr>
          <w:trHeight w:hRule="exact" w:val="227"/>
        </w:trPr>
        <w:tc>
          <w:tcPr>
            <w:tcW w:w="810" w:type="pct"/>
          </w:tcPr>
          <w:p w14:paraId="1AF165D3" w14:textId="77777777" w:rsidR="00E37536" w:rsidRDefault="00E37536" w:rsidP="001A5D4A">
            <w:pPr>
              <w:pStyle w:val="Note-Refs"/>
            </w:pPr>
          </w:p>
        </w:tc>
        <w:tc>
          <w:tcPr>
            <w:tcW w:w="2567" w:type="pct"/>
            <w:gridSpan w:val="2"/>
            <w:vAlign w:val="bottom"/>
          </w:tcPr>
          <w:p w14:paraId="39DC1C61" w14:textId="77777777" w:rsidR="00E37536" w:rsidRDefault="00E37536" w:rsidP="001A5D4A">
            <w:pPr>
              <w:pStyle w:val="NotesTable-ItemPlain"/>
              <w:rPr>
                <w:b/>
              </w:rPr>
            </w:pPr>
            <w:r>
              <w:t>Carrying amount at start of year</w:t>
            </w:r>
          </w:p>
        </w:tc>
        <w:tc>
          <w:tcPr>
            <w:tcW w:w="406" w:type="pct"/>
          </w:tcPr>
          <w:p w14:paraId="4C398F14" w14:textId="77777777" w:rsidR="00E37536" w:rsidRDefault="00E37536" w:rsidP="001A5D4A">
            <w:pPr>
              <w:pStyle w:val="NotesTable-CellPlain"/>
            </w:pPr>
            <w:r w:rsidRPr="00F13A53">
              <w:t>–</w:t>
            </w:r>
          </w:p>
        </w:tc>
        <w:tc>
          <w:tcPr>
            <w:tcW w:w="406" w:type="pct"/>
          </w:tcPr>
          <w:p w14:paraId="5732C3F0" w14:textId="77777777" w:rsidR="00E37536" w:rsidRPr="00EF0573" w:rsidRDefault="00E37536" w:rsidP="001A5D4A">
            <w:pPr>
              <w:pStyle w:val="NotesTable-CellPlain"/>
            </w:pPr>
            <w:r w:rsidRPr="00EF0573">
              <w:t>–</w:t>
            </w:r>
          </w:p>
        </w:tc>
        <w:tc>
          <w:tcPr>
            <w:tcW w:w="406" w:type="pct"/>
          </w:tcPr>
          <w:p w14:paraId="5193A794" w14:textId="77777777" w:rsidR="00E37536" w:rsidRDefault="00E37536" w:rsidP="001A5D4A">
            <w:pPr>
              <w:pStyle w:val="NotesTable-CellPlain"/>
            </w:pPr>
            <w:r>
              <w:t>–</w:t>
            </w:r>
          </w:p>
        </w:tc>
        <w:tc>
          <w:tcPr>
            <w:tcW w:w="406" w:type="pct"/>
          </w:tcPr>
          <w:p w14:paraId="2890A6FE" w14:textId="77777777" w:rsidR="00E37536" w:rsidRDefault="00E37536" w:rsidP="001A5D4A">
            <w:pPr>
              <w:pStyle w:val="NotesTable-CellPlain"/>
            </w:pPr>
            <w:r>
              <w:t>–</w:t>
            </w:r>
          </w:p>
        </w:tc>
      </w:tr>
      <w:tr w:rsidR="00E37536" w14:paraId="2461BD51" w14:textId="77777777" w:rsidTr="00E21378">
        <w:tblPrEx>
          <w:tblBorders>
            <w:top w:val="single" w:sz="4" w:space="0" w:color="auto"/>
          </w:tblBorders>
        </w:tblPrEx>
        <w:trPr>
          <w:trHeight w:hRule="exact" w:val="227"/>
        </w:trPr>
        <w:tc>
          <w:tcPr>
            <w:tcW w:w="810" w:type="pct"/>
          </w:tcPr>
          <w:p w14:paraId="07501A86" w14:textId="77777777" w:rsidR="00E37536" w:rsidRDefault="00E37536" w:rsidP="001A5D4A">
            <w:pPr>
              <w:pStyle w:val="Note-Refs"/>
            </w:pPr>
          </w:p>
        </w:tc>
        <w:tc>
          <w:tcPr>
            <w:tcW w:w="2567" w:type="pct"/>
            <w:gridSpan w:val="2"/>
            <w:vAlign w:val="bottom"/>
          </w:tcPr>
          <w:p w14:paraId="27164133" w14:textId="77777777" w:rsidR="00E37536" w:rsidRDefault="00E37536" w:rsidP="001A5D4A">
            <w:pPr>
              <w:pStyle w:val="NotesTable-ItemPlain"/>
              <w:rPr>
                <w:b/>
              </w:rPr>
            </w:pPr>
            <w:r>
              <w:t>Additional provisions recognised</w:t>
            </w:r>
          </w:p>
        </w:tc>
        <w:tc>
          <w:tcPr>
            <w:tcW w:w="406" w:type="pct"/>
          </w:tcPr>
          <w:p w14:paraId="1BD0160D" w14:textId="77777777" w:rsidR="00E37536" w:rsidRDefault="00E37536" w:rsidP="001A5D4A">
            <w:pPr>
              <w:pStyle w:val="NotesTable-CellPlain"/>
            </w:pPr>
            <w:r w:rsidRPr="00F13A53">
              <w:t>–</w:t>
            </w:r>
          </w:p>
        </w:tc>
        <w:tc>
          <w:tcPr>
            <w:tcW w:w="406" w:type="pct"/>
          </w:tcPr>
          <w:p w14:paraId="18EAA001" w14:textId="77777777" w:rsidR="00E37536" w:rsidRPr="00EF0573" w:rsidRDefault="00E37536" w:rsidP="001A5D4A">
            <w:pPr>
              <w:pStyle w:val="NotesTable-CellPlain"/>
            </w:pPr>
            <w:r w:rsidRPr="00EF0573">
              <w:t>–</w:t>
            </w:r>
          </w:p>
        </w:tc>
        <w:tc>
          <w:tcPr>
            <w:tcW w:w="406" w:type="pct"/>
          </w:tcPr>
          <w:p w14:paraId="7C091170" w14:textId="77777777" w:rsidR="00E37536" w:rsidRDefault="00E37536" w:rsidP="001A5D4A">
            <w:pPr>
              <w:pStyle w:val="NotesTable-CellPlain"/>
            </w:pPr>
            <w:r>
              <w:t>–</w:t>
            </w:r>
          </w:p>
        </w:tc>
        <w:tc>
          <w:tcPr>
            <w:tcW w:w="406" w:type="pct"/>
          </w:tcPr>
          <w:p w14:paraId="02EEF60B" w14:textId="77777777" w:rsidR="00E37536" w:rsidRDefault="00E37536" w:rsidP="001A5D4A">
            <w:pPr>
              <w:pStyle w:val="NotesTable-CellPlain"/>
            </w:pPr>
            <w:r>
              <w:t>–</w:t>
            </w:r>
          </w:p>
        </w:tc>
      </w:tr>
      <w:tr w:rsidR="00E37536" w14:paraId="4C7E5D7B" w14:textId="77777777" w:rsidTr="00E21378">
        <w:tblPrEx>
          <w:tblBorders>
            <w:top w:val="single" w:sz="4" w:space="0" w:color="auto"/>
          </w:tblBorders>
        </w:tblPrEx>
        <w:trPr>
          <w:trHeight w:hRule="exact" w:val="227"/>
        </w:trPr>
        <w:tc>
          <w:tcPr>
            <w:tcW w:w="810" w:type="pct"/>
          </w:tcPr>
          <w:p w14:paraId="54A8A48B" w14:textId="77777777" w:rsidR="00E37536" w:rsidRDefault="00E37536" w:rsidP="001A5D4A">
            <w:pPr>
              <w:pStyle w:val="Note-Refs"/>
            </w:pPr>
          </w:p>
        </w:tc>
        <w:tc>
          <w:tcPr>
            <w:tcW w:w="2567" w:type="pct"/>
            <w:gridSpan w:val="2"/>
            <w:vAlign w:val="bottom"/>
          </w:tcPr>
          <w:p w14:paraId="64BD4A5A" w14:textId="77777777" w:rsidR="00E37536" w:rsidRDefault="00E37536" w:rsidP="001A5D4A">
            <w:pPr>
              <w:pStyle w:val="NotesTable-ItemPlain"/>
              <w:rPr>
                <w:b/>
              </w:rPr>
            </w:pPr>
            <w:r>
              <w:t>Amounts used</w:t>
            </w:r>
          </w:p>
        </w:tc>
        <w:tc>
          <w:tcPr>
            <w:tcW w:w="406" w:type="pct"/>
          </w:tcPr>
          <w:p w14:paraId="4CDA4113" w14:textId="77777777" w:rsidR="00E37536" w:rsidRDefault="00E37536" w:rsidP="001A5D4A">
            <w:pPr>
              <w:pStyle w:val="NotesTable-CellPlain"/>
            </w:pPr>
            <w:r w:rsidRPr="00F13A53">
              <w:t>–</w:t>
            </w:r>
          </w:p>
        </w:tc>
        <w:tc>
          <w:tcPr>
            <w:tcW w:w="406" w:type="pct"/>
          </w:tcPr>
          <w:p w14:paraId="6BFF62B2" w14:textId="77777777" w:rsidR="00E37536" w:rsidRPr="00EF0573" w:rsidRDefault="00E37536" w:rsidP="001A5D4A">
            <w:pPr>
              <w:pStyle w:val="NotesTable-CellPlain"/>
            </w:pPr>
            <w:r w:rsidRPr="00EF0573">
              <w:t>–</w:t>
            </w:r>
          </w:p>
        </w:tc>
        <w:tc>
          <w:tcPr>
            <w:tcW w:w="406" w:type="pct"/>
          </w:tcPr>
          <w:p w14:paraId="3F7A3CFA" w14:textId="77777777" w:rsidR="00E37536" w:rsidRDefault="00E37536" w:rsidP="001A5D4A">
            <w:pPr>
              <w:pStyle w:val="NotesTable-CellPlain"/>
            </w:pPr>
            <w:r>
              <w:t>–</w:t>
            </w:r>
          </w:p>
        </w:tc>
        <w:tc>
          <w:tcPr>
            <w:tcW w:w="406" w:type="pct"/>
          </w:tcPr>
          <w:p w14:paraId="4F821577" w14:textId="77777777" w:rsidR="00E37536" w:rsidRDefault="00E37536" w:rsidP="001A5D4A">
            <w:pPr>
              <w:pStyle w:val="NotesTable-CellPlain"/>
            </w:pPr>
            <w:r>
              <w:t>–</w:t>
            </w:r>
          </w:p>
        </w:tc>
      </w:tr>
      <w:tr w:rsidR="00E37536" w14:paraId="01F8361F" w14:textId="77777777" w:rsidTr="00E21378">
        <w:tblPrEx>
          <w:tblBorders>
            <w:top w:val="single" w:sz="4" w:space="0" w:color="auto"/>
          </w:tblBorders>
        </w:tblPrEx>
        <w:trPr>
          <w:trHeight w:hRule="exact" w:val="227"/>
        </w:trPr>
        <w:tc>
          <w:tcPr>
            <w:tcW w:w="810" w:type="pct"/>
          </w:tcPr>
          <w:p w14:paraId="26D51D10" w14:textId="77777777" w:rsidR="00E37536" w:rsidRDefault="00E37536" w:rsidP="001A5D4A">
            <w:pPr>
              <w:pStyle w:val="Note-Refs"/>
            </w:pPr>
          </w:p>
        </w:tc>
        <w:tc>
          <w:tcPr>
            <w:tcW w:w="2567" w:type="pct"/>
            <w:gridSpan w:val="2"/>
            <w:vAlign w:val="bottom"/>
          </w:tcPr>
          <w:p w14:paraId="58C8BF6F" w14:textId="77777777" w:rsidR="00E37536" w:rsidRDefault="00E37536" w:rsidP="001A5D4A">
            <w:pPr>
              <w:pStyle w:val="NotesTable-ItemPlain"/>
              <w:rPr>
                <w:b/>
              </w:rPr>
            </w:pPr>
            <w:r>
              <w:t>Unused amounts reversed</w:t>
            </w:r>
          </w:p>
        </w:tc>
        <w:tc>
          <w:tcPr>
            <w:tcW w:w="406" w:type="pct"/>
          </w:tcPr>
          <w:p w14:paraId="2864F040" w14:textId="77777777" w:rsidR="00E37536" w:rsidRDefault="00E37536" w:rsidP="001A5D4A">
            <w:pPr>
              <w:pStyle w:val="NotesTable-CellPlain"/>
            </w:pPr>
            <w:r w:rsidRPr="00F13A53">
              <w:t>–</w:t>
            </w:r>
          </w:p>
        </w:tc>
        <w:tc>
          <w:tcPr>
            <w:tcW w:w="406" w:type="pct"/>
          </w:tcPr>
          <w:p w14:paraId="43618272" w14:textId="77777777" w:rsidR="00E37536" w:rsidRPr="00EF0573" w:rsidRDefault="00E37536" w:rsidP="001A5D4A">
            <w:pPr>
              <w:pStyle w:val="NotesTable-CellPlain"/>
            </w:pPr>
            <w:r w:rsidRPr="00EF0573">
              <w:t>–</w:t>
            </w:r>
          </w:p>
        </w:tc>
        <w:tc>
          <w:tcPr>
            <w:tcW w:w="406" w:type="pct"/>
          </w:tcPr>
          <w:p w14:paraId="0ED615ED" w14:textId="77777777" w:rsidR="00E37536" w:rsidRDefault="00E37536" w:rsidP="001A5D4A">
            <w:pPr>
              <w:pStyle w:val="NotesTable-CellPlain"/>
            </w:pPr>
            <w:r>
              <w:t>–</w:t>
            </w:r>
          </w:p>
        </w:tc>
        <w:tc>
          <w:tcPr>
            <w:tcW w:w="406" w:type="pct"/>
          </w:tcPr>
          <w:p w14:paraId="4613D5A7" w14:textId="77777777" w:rsidR="00E37536" w:rsidRDefault="00E37536" w:rsidP="001A5D4A">
            <w:pPr>
              <w:pStyle w:val="NotesTable-CellPlain"/>
            </w:pPr>
            <w:r>
              <w:t>–</w:t>
            </w:r>
          </w:p>
        </w:tc>
      </w:tr>
      <w:tr w:rsidR="00E37536" w14:paraId="1418450B" w14:textId="77777777" w:rsidTr="00E21378">
        <w:tblPrEx>
          <w:tblBorders>
            <w:top w:val="single" w:sz="4" w:space="0" w:color="auto"/>
          </w:tblBorders>
        </w:tblPrEx>
        <w:trPr>
          <w:trHeight w:hRule="exact" w:val="227"/>
        </w:trPr>
        <w:tc>
          <w:tcPr>
            <w:tcW w:w="810" w:type="pct"/>
          </w:tcPr>
          <w:p w14:paraId="2A40FD8F" w14:textId="77777777" w:rsidR="00E37536" w:rsidRDefault="00E37536" w:rsidP="001A5D4A">
            <w:pPr>
              <w:pStyle w:val="Note-Refs"/>
            </w:pPr>
          </w:p>
        </w:tc>
        <w:tc>
          <w:tcPr>
            <w:tcW w:w="2567" w:type="pct"/>
            <w:gridSpan w:val="2"/>
            <w:vAlign w:val="bottom"/>
          </w:tcPr>
          <w:p w14:paraId="1A4C1691" w14:textId="77777777" w:rsidR="00E37536" w:rsidRDefault="00E37536" w:rsidP="001A5D4A">
            <w:pPr>
              <w:pStyle w:val="NotesTable-ItemPlain"/>
              <w:rPr>
                <w:b/>
              </w:rPr>
            </w:pPr>
            <w:r>
              <w:t>Increase in discounted amount</w:t>
            </w:r>
          </w:p>
        </w:tc>
        <w:tc>
          <w:tcPr>
            <w:tcW w:w="406" w:type="pct"/>
            <w:tcBorders>
              <w:bottom w:val="single" w:sz="4" w:space="0" w:color="auto"/>
            </w:tcBorders>
          </w:tcPr>
          <w:p w14:paraId="740A8B52" w14:textId="77777777" w:rsidR="00E37536" w:rsidRDefault="00E37536" w:rsidP="001A5D4A">
            <w:pPr>
              <w:pStyle w:val="NotesTable-CellPlain"/>
            </w:pPr>
            <w:r w:rsidRPr="00F13A53">
              <w:t>–</w:t>
            </w:r>
          </w:p>
        </w:tc>
        <w:tc>
          <w:tcPr>
            <w:tcW w:w="406" w:type="pct"/>
            <w:tcBorders>
              <w:bottom w:val="single" w:sz="4" w:space="0" w:color="auto"/>
            </w:tcBorders>
          </w:tcPr>
          <w:p w14:paraId="538FB00A" w14:textId="77777777" w:rsidR="00E37536" w:rsidRPr="00EF0573" w:rsidRDefault="00E37536" w:rsidP="001A5D4A">
            <w:pPr>
              <w:pStyle w:val="NotesTable-CellPlain"/>
            </w:pPr>
            <w:r w:rsidRPr="00EF0573">
              <w:t>–</w:t>
            </w:r>
          </w:p>
        </w:tc>
        <w:tc>
          <w:tcPr>
            <w:tcW w:w="406" w:type="pct"/>
            <w:tcBorders>
              <w:bottom w:val="single" w:sz="4" w:space="0" w:color="auto"/>
            </w:tcBorders>
          </w:tcPr>
          <w:p w14:paraId="4A615503" w14:textId="77777777" w:rsidR="00E37536" w:rsidRDefault="00E37536" w:rsidP="001A5D4A">
            <w:pPr>
              <w:pStyle w:val="NotesTable-CellPlain"/>
            </w:pPr>
            <w:r>
              <w:t>–</w:t>
            </w:r>
          </w:p>
        </w:tc>
        <w:tc>
          <w:tcPr>
            <w:tcW w:w="406" w:type="pct"/>
            <w:tcBorders>
              <w:bottom w:val="single" w:sz="4" w:space="0" w:color="auto"/>
            </w:tcBorders>
          </w:tcPr>
          <w:p w14:paraId="130724B7" w14:textId="77777777" w:rsidR="00E37536" w:rsidRDefault="00E37536" w:rsidP="001A5D4A">
            <w:pPr>
              <w:pStyle w:val="NotesTable-CellPlain"/>
            </w:pPr>
            <w:r>
              <w:t>–</w:t>
            </w:r>
          </w:p>
        </w:tc>
      </w:tr>
      <w:tr w:rsidR="00E37536" w14:paraId="7DEF3C38" w14:textId="77777777" w:rsidTr="00E21378">
        <w:tblPrEx>
          <w:tblBorders>
            <w:top w:val="single" w:sz="4" w:space="0" w:color="auto"/>
          </w:tblBorders>
        </w:tblPrEx>
        <w:trPr>
          <w:trHeight w:hRule="exact" w:val="227"/>
        </w:trPr>
        <w:tc>
          <w:tcPr>
            <w:tcW w:w="810" w:type="pct"/>
          </w:tcPr>
          <w:p w14:paraId="021D7232" w14:textId="77777777" w:rsidR="00E37536" w:rsidRDefault="00E37536" w:rsidP="001A5D4A">
            <w:pPr>
              <w:pStyle w:val="Note-Refs"/>
            </w:pPr>
          </w:p>
        </w:tc>
        <w:tc>
          <w:tcPr>
            <w:tcW w:w="2567" w:type="pct"/>
            <w:gridSpan w:val="2"/>
            <w:vAlign w:val="bottom"/>
          </w:tcPr>
          <w:p w14:paraId="3EB2884F" w14:textId="77777777" w:rsidR="00E37536" w:rsidRDefault="00E37536" w:rsidP="001A5D4A">
            <w:pPr>
              <w:pStyle w:val="NotesTable-ItemPlain"/>
              <w:rPr>
                <w:b/>
              </w:rPr>
            </w:pPr>
            <w:r>
              <w:t>Carrying amount at end of year</w:t>
            </w:r>
          </w:p>
        </w:tc>
        <w:tc>
          <w:tcPr>
            <w:tcW w:w="406" w:type="pct"/>
            <w:tcBorders>
              <w:top w:val="single" w:sz="4" w:space="0" w:color="auto"/>
            </w:tcBorders>
          </w:tcPr>
          <w:p w14:paraId="6224159E" w14:textId="77777777" w:rsidR="00E37536" w:rsidRDefault="00E37536" w:rsidP="001A5D4A">
            <w:pPr>
              <w:pStyle w:val="NotesTable-CellPlain"/>
            </w:pPr>
            <w:r w:rsidRPr="00F13A53">
              <w:t>–</w:t>
            </w:r>
          </w:p>
        </w:tc>
        <w:tc>
          <w:tcPr>
            <w:tcW w:w="406" w:type="pct"/>
            <w:tcBorders>
              <w:top w:val="single" w:sz="4" w:space="0" w:color="auto"/>
            </w:tcBorders>
          </w:tcPr>
          <w:p w14:paraId="1D5E33DB" w14:textId="77777777" w:rsidR="00E37536" w:rsidRPr="00EF0573" w:rsidRDefault="00E37536" w:rsidP="001A5D4A">
            <w:pPr>
              <w:pStyle w:val="NotesTable-CellPlain"/>
            </w:pPr>
            <w:r w:rsidRPr="00EF0573">
              <w:t>–</w:t>
            </w:r>
          </w:p>
        </w:tc>
        <w:tc>
          <w:tcPr>
            <w:tcW w:w="406" w:type="pct"/>
            <w:tcBorders>
              <w:top w:val="single" w:sz="4" w:space="0" w:color="auto"/>
            </w:tcBorders>
          </w:tcPr>
          <w:p w14:paraId="41F809C9" w14:textId="77777777" w:rsidR="00E37536" w:rsidRDefault="00E37536" w:rsidP="001A5D4A">
            <w:pPr>
              <w:pStyle w:val="NotesTable-CellPlain"/>
            </w:pPr>
            <w:r>
              <w:t>–</w:t>
            </w:r>
          </w:p>
        </w:tc>
        <w:tc>
          <w:tcPr>
            <w:tcW w:w="406" w:type="pct"/>
            <w:tcBorders>
              <w:top w:val="single" w:sz="4" w:space="0" w:color="auto"/>
            </w:tcBorders>
          </w:tcPr>
          <w:p w14:paraId="639C4AD2" w14:textId="77777777" w:rsidR="00E37536" w:rsidRDefault="00E37536" w:rsidP="001A5D4A">
            <w:pPr>
              <w:pStyle w:val="NotesTable-CellPlain"/>
            </w:pPr>
            <w:r>
              <w:t>–</w:t>
            </w:r>
          </w:p>
        </w:tc>
      </w:tr>
      <w:tr w:rsidR="00E37536" w14:paraId="13F7DE25" w14:textId="77777777" w:rsidTr="00E21378">
        <w:tblPrEx>
          <w:tblBorders>
            <w:top w:val="single" w:sz="4" w:space="0" w:color="auto"/>
          </w:tblBorders>
        </w:tblPrEx>
        <w:trPr>
          <w:trHeight w:hRule="exact" w:val="227"/>
        </w:trPr>
        <w:tc>
          <w:tcPr>
            <w:tcW w:w="810" w:type="pct"/>
          </w:tcPr>
          <w:p w14:paraId="5DE619B1" w14:textId="77777777" w:rsidR="00E37536" w:rsidRDefault="00E37536" w:rsidP="001A5D4A">
            <w:pPr>
              <w:pStyle w:val="Note-Refs"/>
            </w:pPr>
          </w:p>
        </w:tc>
        <w:tc>
          <w:tcPr>
            <w:tcW w:w="4190" w:type="pct"/>
            <w:gridSpan w:val="6"/>
            <w:vAlign w:val="bottom"/>
          </w:tcPr>
          <w:p w14:paraId="5F7483F9" w14:textId="77777777" w:rsidR="00E37536" w:rsidRDefault="00E37536" w:rsidP="001A5D4A">
            <w:pPr>
              <w:pStyle w:val="NotesTable-ItemPlain"/>
            </w:pPr>
          </w:p>
        </w:tc>
      </w:tr>
    </w:tbl>
    <w:p w14:paraId="038A2FDC" w14:textId="77777777" w:rsidR="00E830F2" w:rsidRPr="00D21CB5" w:rsidRDefault="00E830F2" w:rsidP="001A5D4A">
      <w:r w:rsidRPr="00D21CB5">
        <w:br w:type="page"/>
      </w:r>
    </w:p>
    <w:tbl>
      <w:tblPr>
        <w:tblW w:w="5000" w:type="pct"/>
        <w:tblBorders>
          <w:top w:val="single" w:sz="4" w:space="0" w:color="auto"/>
        </w:tblBorders>
        <w:tblCellMar>
          <w:left w:w="0" w:type="dxa"/>
          <w:right w:w="0" w:type="dxa"/>
        </w:tblCellMar>
        <w:tblLook w:val="0000" w:firstRow="0" w:lastRow="0" w:firstColumn="0" w:lastColumn="0" w:noHBand="0" w:noVBand="0"/>
      </w:tblPr>
      <w:tblGrid>
        <w:gridCol w:w="1663"/>
        <w:gridCol w:w="5267"/>
        <w:gridCol w:w="833"/>
        <w:gridCol w:w="833"/>
        <w:gridCol w:w="833"/>
        <w:gridCol w:w="831"/>
      </w:tblGrid>
      <w:tr w:rsidR="00EF62D6" w14:paraId="038A2FDF" w14:textId="77777777" w:rsidTr="00EF62D6">
        <w:trPr>
          <w:trHeight w:val="293"/>
        </w:trPr>
        <w:tc>
          <w:tcPr>
            <w:tcW w:w="5000" w:type="pct"/>
            <w:gridSpan w:val="6"/>
            <w:tcBorders>
              <w:top w:val="nil"/>
            </w:tcBorders>
          </w:tcPr>
          <w:p w14:paraId="038A2FDE" w14:textId="0CBDF4D8" w:rsidR="00EF62D6" w:rsidRPr="00D21CB5" w:rsidRDefault="00EF62D6" w:rsidP="00EF62D6">
            <w:pPr>
              <w:pStyle w:val="TOC3"/>
              <w:ind w:left="0"/>
            </w:pPr>
            <w:r w:rsidRPr="00D21CB5">
              <w:lastRenderedPageBreak/>
              <w:t>Note 31</w:t>
            </w:r>
            <w:r>
              <w:t xml:space="preserve">. </w:t>
            </w:r>
            <w:r w:rsidRPr="00D21CB5">
              <w:t>Provisions (continued)</w:t>
            </w:r>
          </w:p>
        </w:tc>
      </w:tr>
      <w:tr w:rsidR="00EF62D6" w14:paraId="31CE1537" w14:textId="77777777" w:rsidTr="00E21378">
        <w:trPr>
          <w:trHeight w:val="293"/>
        </w:trPr>
        <w:tc>
          <w:tcPr>
            <w:tcW w:w="810" w:type="pct"/>
            <w:tcBorders>
              <w:top w:val="nil"/>
            </w:tcBorders>
          </w:tcPr>
          <w:p w14:paraId="64694D0E" w14:textId="4A10B047" w:rsidR="00EF62D6" w:rsidRDefault="00EF62D6" w:rsidP="00EF62D6">
            <w:pPr>
              <w:spacing w:after="0"/>
            </w:pPr>
            <w:r>
              <w:t>Mandatory</w:t>
            </w:r>
          </w:p>
        </w:tc>
        <w:tc>
          <w:tcPr>
            <w:tcW w:w="4190" w:type="pct"/>
            <w:gridSpan w:val="5"/>
            <w:tcBorders>
              <w:top w:val="nil"/>
            </w:tcBorders>
          </w:tcPr>
          <w:p w14:paraId="36BDFE35" w14:textId="77777777" w:rsidR="00EF62D6" w:rsidRPr="00D21CB5" w:rsidRDefault="00EF62D6" w:rsidP="00EF62D6">
            <w:pPr>
              <w:spacing w:after="0"/>
            </w:pPr>
          </w:p>
        </w:tc>
      </w:tr>
      <w:tr w:rsidR="003C7E0F" w14:paraId="19DA545B" w14:textId="77777777" w:rsidTr="00E21378">
        <w:trPr>
          <w:trHeight w:hRule="exact" w:val="227"/>
        </w:trPr>
        <w:tc>
          <w:tcPr>
            <w:tcW w:w="810" w:type="pct"/>
          </w:tcPr>
          <w:p w14:paraId="45CA1BFA" w14:textId="77777777" w:rsidR="003C7E0F" w:rsidRDefault="003C7E0F" w:rsidP="001A5D4A">
            <w:pPr>
              <w:pStyle w:val="Note-Refs"/>
            </w:pPr>
          </w:p>
        </w:tc>
        <w:tc>
          <w:tcPr>
            <w:tcW w:w="4190" w:type="pct"/>
            <w:gridSpan w:val="5"/>
            <w:vAlign w:val="bottom"/>
          </w:tcPr>
          <w:p w14:paraId="75A0188A" w14:textId="1F2C546A" w:rsidR="003C7E0F" w:rsidRDefault="003C7E0F" w:rsidP="001A5D4A">
            <w:pPr>
              <w:pStyle w:val="Note-TextHeader"/>
              <w:rPr>
                <w:b w:val="0"/>
              </w:rPr>
            </w:pPr>
            <w:r>
              <w:t>Parent - 2014</w:t>
            </w:r>
          </w:p>
        </w:tc>
      </w:tr>
      <w:tr w:rsidR="003C7E0F" w:rsidRPr="00B1458B" w14:paraId="6BD49EF0" w14:textId="77777777" w:rsidTr="00EF62D6">
        <w:trPr>
          <w:trHeight w:hRule="exact" w:val="227"/>
        </w:trPr>
        <w:tc>
          <w:tcPr>
            <w:tcW w:w="810" w:type="pct"/>
          </w:tcPr>
          <w:p w14:paraId="67E2E206" w14:textId="77777777" w:rsidR="003C7E0F" w:rsidRDefault="003C7E0F" w:rsidP="001A5D4A">
            <w:pPr>
              <w:pStyle w:val="Note-Refs"/>
            </w:pPr>
          </w:p>
        </w:tc>
        <w:tc>
          <w:tcPr>
            <w:tcW w:w="2567" w:type="pct"/>
            <w:vAlign w:val="bottom"/>
          </w:tcPr>
          <w:p w14:paraId="0605FE83" w14:textId="77777777" w:rsidR="003C7E0F" w:rsidRDefault="003C7E0F" w:rsidP="001A5D4A">
            <w:pPr>
              <w:pStyle w:val="NotesTable-ItemPlain"/>
            </w:pPr>
          </w:p>
        </w:tc>
        <w:tc>
          <w:tcPr>
            <w:tcW w:w="406" w:type="pct"/>
            <w:vAlign w:val="bottom"/>
          </w:tcPr>
          <w:p w14:paraId="2F01A482" w14:textId="77777777" w:rsidR="003C7E0F" w:rsidRPr="00B1458B" w:rsidRDefault="003C7E0F" w:rsidP="001A5D4A">
            <w:pPr>
              <w:pStyle w:val="NotesTable-HeadPlain"/>
            </w:pPr>
            <w:r>
              <w:t>[Specify]</w:t>
            </w:r>
          </w:p>
        </w:tc>
        <w:tc>
          <w:tcPr>
            <w:tcW w:w="406" w:type="pct"/>
            <w:vAlign w:val="bottom"/>
          </w:tcPr>
          <w:p w14:paraId="6D10DC8D" w14:textId="77777777" w:rsidR="003C7E0F" w:rsidRPr="00B1458B" w:rsidRDefault="003C7E0F" w:rsidP="001A5D4A">
            <w:pPr>
              <w:pStyle w:val="NotesTable-HeadPlain"/>
            </w:pPr>
            <w:r>
              <w:t>[Specify]</w:t>
            </w:r>
          </w:p>
        </w:tc>
        <w:tc>
          <w:tcPr>
            <w:tcW w:w="406" w:type="pct"/>
            <w:vAlign w:val="bottom"/>
          </w:tcPr>
          <w:p w14:paraId="3AE9F872" w14:textId="77777777" w:rsidR="003C7E0F" w:rsidRPr="00B1458B" w:rsidRDefault="003C7E0F" w:rsidP="001A5D4A">
            <w:pPr>
              <w:pStyle w:val="NotesTable-HeadPlain"/>
            </w:pPr>
            <w:r>
              <w:t>[Specify]</w:t>
            </w:r>
          </w:p>
        </w:tc>
        <w:tc>
          <w:tcPr>
            <w:tcW w:w="405" w:type="pct"/>
            <w:vAlign w:val="bottom"/>
          </w:tcPr>
          <w:p w14:paraId="3CED048E" w14:textId="77777777" w:rsidR="003C7E0F" w:rsidRPr="00B1458B" w:rsidRDefault="003C7E0F" w:rsidP="001A5D4A">
            <w:pPr>
              <w:pStyle w:val="NotesTable-HeadPlain"/>
            </w:pPr>
            <w:r>
              <w:t>Total</w:t>
            </w:r>
          </w:p>
        </w:tc>
      </w:tr>
      <w:tr w:rsidR="003C7E0F" w14:paraId="6B708860" w14:textId="77777777" w:rsidTr="00EF62D6">
        <w:trPr>
          <w:trHeight w:hRule="exact" w:val="227"/>
        </w:trPr>
        <w:tc>
          <w:tcPr>
            <w:tcW w:w="810" w:type="pct"/>
          </w:tcPr>
          <w:p w14:paraId="56E257D8" w14:textId="77777777" w:rsidR="003C7E0F" w:rsidRDefault="003C7E0F" w:rsidP="001A5D4A">
            <w:pPr>
              <w:pStyle w:val="Note-Refs"/>
            </w:pPr>
          </w:p>
        </w:tc>
        <w:tc>
          <w:tcPr>
            <w:tcW w:w="2567" w:type="pct"/>
            <w:vAlign w:val="bottom"/>
          </w:tcPr>
          <w:p w14:paraId="4450E0A5" w14:textId="77777777" w:rsidR="003C7E0F" w:rsidRDefault="003C7E0F" w:rsidP="001A5D4A">
            <w:pPr>
              <w:pStyle w:val="NotesTable-ItemPlain"/>
            </w:pPr>
          </w:p>
        </w:tc>
        <w:tc>
          <w:tcPr>
            <w:tcW w:w="406" w:type="pct"/>
            <w:vAlign w:val="bottom"/>
          </w:tcPr>
          <w:p w14:paraId="6DC6F859" w14:textId="77777777" w:rsidR="003C7E0F" w:rsidRPr="00B1458B" w:rsidRDefault="003C7E0F" w:rsidP="001A5D4A">
            <w:pPr>
              <w:pStyle w:val="NotesTable-HeadPlain"/>
            </w:pPr>
            <w:r w:rsidRPr="00F13A53">
              <w:t>$’000</w:t>
            </w:r>
          </w:p>
        </w:tc>
        <w:tc>
          <w:tcPr>
            <w:tcW w:w="406" w:type="pct"/>
            <w:vAlign w:val="bottom"/>
          </w:tcPr>
          <w:p w14:paraId="05326971" w14:textId="77777777" w:rsidR="003C7E0F" w:rsidRDefault="003C7E0F" w:rsidP="001A5D4A">
            <w:pPr>
              <w:pStyle w:val="NotesTable-HeadPlain"/>
            </w:pPr>
            <w:r w:rsidRPr="00F13A53">
              <w:t>$’000</w:t>
            </w:r>
          </w:p>
        </w:tc>
        <w:tc>
          <w:tcPr>
            <w:tcW w:w="406" w:type="pct"/>
            <w:vAlign w:val="bottom"/>
          </w:tcPr>
          <w:p w14:paraId="7A03D84F" w14:textId="77777777" w:rsidR="003C7E0F" w:rsidRDefault="003C7E0F" w:rsidP="001A5D4A">
            <w:pPr>
              <w:pStyle w:val="NotesTable-HeadPlain"/>
            </w:pPr>
            <w:r w:rsidRPr="00F13A53">
              <w:t>$’000</w:t>
            </w:r>
          </w:p>
        </w:tc>
        <w:tc>
          <w:tcPr>
            <w:tcW w:w="405" w:type="pct"/>
            <w:vAlign w:val="bottom"/>
          </w:tcPr>
          <w:p w14:paraId="008E3AC0" w14:textId="77777777" w:rsidR="003C7E0F" w:rsidRDefault="003C7E0F" w:rsidP="001A5D4A">
            <w:pPr>
              <w:pStyle w:val="NotesTable-HeadPlain"/>
              <w:rPr>
                <w:b/>
              </w:rPr>
            </w:pPr>
            <w:r w:rsidRPr="00F13A53">
              <w:t>$’000</w:t>
            </w:r>
          </w:p>
        </w:tc>
      </w:tr>
      <w:tr w:rsidR="003C7E0F" w14:paraId="355313AE" w14:textId="77777777" w:rsidTr="00EF62D6">
        <w:trPr>
          <w:trHeight w:hRule="exact" w:val="227"/>
        </w:trPr>
        <w:tc>
          <w:tcPr>
            <w:tcW w:w="810" w:type="pct"/>
          </w:tcPr>
          <w:p w14:paraId="572CC6A8" w14:textId="77777777" w:rsidR="003C7E0F" w:rsidRDefault="003C7E0F" w:rsidP="001A5D4A">
            <w:pPr>
              <w:pStyle w:val="Note-Refs"/>
            </w:pPr>
          </w:p>
        </w:tc>
        <w:tc>
          <w:tcPr>
            <w:tcW w:w="2567" w:type="pct"/>
            <w:vAlign w:val="bottom"/>
          </w:tcPr>
          <w:p w14:paraId="6BCE031B" w14:textId="77777777" w:rsidR="003C7E0F" w:rsidRDefault="003C7E0F" w:rsidP="001A5D4A">
            <w:pPr>
              <w:pStyle w:val="NotesTable-ItemPlain"/>
              <w:rPr>
                <w:b/>
              </w:rPr>
            </w:pPr>
            <w:r>
              <w:t>Carrying amount at start of year</w:t>
            </w:r>
          </w:p>
        </w:tc>
        <w:tc>
          <w:tcPr>
            <w:tcW w:w="406" w:type="pct"/>
          </w:tcPr>
          <w:p w14:paraId="595A081C" w14:textId="77777777" w:rsidR="003C7E0F" w:rsidRDefault="003C7E0F" w:rsidP="001A5D4A">
            <w:pPr>
              <w:pStyle w:val="NotesTable-CellPlain"/>
            </w:pPr>
            <w:r w:rsidRPr="00F13A53">
              <w:t>–</w:t>
            </w:r>
          </w:p>
        </w:tc>
        <w:tc>
          <w:tcPr>
            <w:tcW w:w="406" w:type="pct"/>
          </w:tcPr>
          <w:p w14:paraId="6DF60A30" w14:textId="77777777" w:rsidR="003C7E0F" w:rsidRPr="00EF0573" w:rsidRDefault="003C7E0F" w:rsidP="001A5D4A">
            <w:pPr>
              <w:pStyle w:val="NotesTable-CellPlain"/>
            </w:pPr>
            <w:r w:rsidRPr="00EF0573">
              <w:t>–</w:t>
            </w:r>
          </w:p>
        </w:tc>
        <w:tc>
          <w:tcPr>
            <w:tcW w:w="406" w:type="pct"/>
          </w:tcPr>
          <w:p w14:paraId="12F1C27C" w14:textId="77777777" w:rsidR="003C7E0F" w:rsidRDefault="003C7E0F" w:rsidP="001A5D4A">
            <w:pPr>
              <w:pStyle w:val="NotesTable-CellPlain"/>
            </w:pPr>
            <w:r>
              <w:t>–</w:t>
            </w:r>
          </w:p>
        </w:tc>
        <w:tc>
          <w:tcPr>
            <w:tcW w:w="405" w:type="pct"/>
          </w:tcPr>
          <w:p w14:paraId="5FBEC9DD" w14:textId="77777777" w:rsidR="003C7E0F" w:rsidRDefault="003C7E0F" w:rsidP="001A5D4A">
            <w:pPr>
              <w:pStyle w:val="NotesTable-CellPlain"/>
            </w:pPr>
            <w:r>
              <w:t>–</w:t>
            </w:r>
          </w:p>
        </w:tc>
      </w:tr>
      <w:tr w:rsidR="003C7E0F" w14:paraId="474A22E3" w14:textId="77777777" w:rsidTr="00EF62D6">
        <w:trPr>
          <w:trHeight w:hRule="exact" w:val="227"/>
        </w:trPr>
        <w:tc>
          <w:tcPr>
            <w:tcW w:w="810" w:type="pct"/>
          </w:tcPr>
          <w:p w14:paraId="4F26BF5F" w14:textId="77777777" w:rsidR="003C7E0F" w:rsidRDefault="003C7E0F" w:rsidP="001A5D4A">
            <w:pPr>
              <w:pStyle w:val="Note-Refs"/>
            </w:pPr>
          </w:p>
        </w:tc>
        <w:tc>
          <w:tcPr>
            <w:tcW w:w="2567" w:type="pct"/>
            <w:vAlign w:val="bottom"/>
          </w:tcPr>
          <w:p w14:paraId="1C886C17" w14:textId="77777777" w:rsidR="003C7E0F" w:rsidRDefault="003C7E0F" w:rsidP="001A5D4A">
            <w:pPr>
              <w:pStyle w:val="NotesTable-ItemPlain"/>
              <w:rPr>
                <w:b/>
              </w:rPr>
            </w:pPr>
            <w:r>
              <w:t>Additional provisions recognised</w:t>
            </w:r>
          </w:p>
        </w:tc>
        <w:tc>
          <w:tcPr>
            <w:tcW w:w="406" w:type="pct"/>
          </w:tcPr>
          <w:p w14:paraId="38A77A42" w14:textId="77777777" w:rsidR="003C7E0F" w:rsidRDefault="003C7E0F" w:rsidP="001A5D4A">
            <w:pPr>
              <w:pStyle w:val="NotesTable-CellPlain"/>
            </w:pPr>
            <w:r w:rsidRPr="00F13A53">
              <w:t>–</w:t>
            </w:r>
          </w:p>
        </w:tc>
        <w:tc>
          <w:tcPr>
            <w:tcW w:w="406" w:type="pct"/>
          </w:tcPr>
          <w:p w14:paraId="0C0A0FE5" w14:textId="77777777" w:rsidR="003C7E0F" w:rsidRPr="00EF0573" w:rsidRDefault="003C7E0F" w:rsidP="001A5D4A">
            <w:pPr>
              <w:pStyle w:val="NotesTable-CellPlain"/>
            </w:pPr>
            <w:r w:rsidRPr="00EF0573">
              <w:t>–</w:t>
            </w:r>
          </w:p>
        </w:tc>
        <w:tc>
          <w:tcPr>
            <w:tcW w:w="406" w:type="pct"/>
          </w:tcPr>
          <w:p w14:paraId="79107677" w14:textId="77777777" w:rsidR="003C7E0F" w:rsidRDefault="003C7E0F" w:rsidP="001A5D4A">
            <w:pPr>
              <w:pStyle w:val="NotesTable-CellPlain"/>
            </w:pPr>
            <w:r>
              <w:t>–</w:t>
            </w:r>
          </w:p>
        </w:tc>
        <w:tc>
          <w:tcPr>
            <w:tcW w:w="405" w:type="pct"/>
          </w:tcPr>
          <w:p w14:paraId="079DAEDE" w14:textId="77777777" w:rsidR="003C7E0F" w:rsidRDefault="003C7E0F" w:rsidP="001A5D4A">
            <w:pPr>
              <w:pStyle w:val="NotesTable-CellPlain"/>
            </w:pPr>
            <w:r>
              <w:t>–</w:t>
            </w:r>
          </w:p>
        </w:tc>
      </w:tr>
      <w:tr w:rsidR="003C7E0F" w14:paraId="3D4A619D" w14:textId="77777777" w:rsidTr="00EF62D6">
        <w:trPr>
          <w:trHeight w:hRule="exact" w:val="227"/>
        </w:trPr>
        <w:tc>
          <w:tcPr>
            <w:tcW w:w="810" w:type="pct"/>
          </w:tcPr>
          <w:p w14:paraId="022926B3" w14:textId="77777777" w:rsidR="003C7E0F" w:rsidRDefault="003C7E0F" w:rsidP="001A5D4A">
            <w:pPr>
              <w:pStyle w:val="Note-Refs"/>
            </w:pPr>
          </w:p>
        </w:tc>
        <w:tc>
          <w:tcPr>
            <w:tcW w:w="2567" w:type="pct"/>
            <w:vAlign w:val="bottom"/>
          </w:tcPr>
          <w:p w14:paraId="7FBE5865" w14:textId="77777777" w:rsidR="003C7E0F" w:rsidRDefault="003C7E0F" w:rsidP="001A5D4A">
            <w:pPr>
              <w:pStyle w:val="NotesTable-ItemPlain"/>
              <w:rPr>
                <w:b/>
              </w:rPr>
            </w:pPr>
            <w:r>
              <w:t>Amounts used</w:t>
            </w:r>
          </w:p>
        </w:tc>
        <w:tc>
          <w:tcPr>
            <w:tcW w:w="406" w:type="pct"/>
          </w:tcPr>
          <w:p w14:paraId="445223D0" w14:textId="77777777" w:rsidR="003C7E0F" w:rsidRDefault="003C7E0F" w:rsidP="001A5D4A">
            <w:pPr>
              <w:pStyle w:val="NotesTable-CellPlain"/>
            </w:pPr>
            <w:r w:rsidRPr="00F13A53">
              <w:t>–</w:t>
            </w:r>
          </w:p>
        </w:tc>
        <w:tc>
          <w:tcPr>
            <w:tcW w:w="406" w:type="pct"/>
          </w:tcPr>
          <w:p w14:paraId="1E34BC67" w14:textId="77777777" w:rsidR="003C7E0F" w:rsidRPr="00EF0573" w:rsidRDefault="003C7E0F" w:rsidP="001A5D4A">
            <w:pPr>
              <w:pStyle w:val="NotesTable-CellPlain"/>
            </w:pPr>
            <w:r w:rsidRPr="00EF0573">
              <w:t>–</w:t>
            </w:r>
          </w:p>
        </w:tc>
        <w:tc>
          <w:tcPr>
            <w:tcW w:w="406" w:type="pct"/>
          </w:tcPr>
          <w:p w14:paraId="682C8D16" w14:textId="77777777" w:rsidR="003C7E0F" w:rsidRDefault="003C7E0F" w:rsidP="001A5D4A">
            <w:pPr>
              <w:pStyle w:val="NotesTable-CellPlain"/>
            </w:pPr>
            <w:r>
              <w:t>–</w:t>
            </w:r>
          </w:p>
        </w:tc>
        <w:tc>
          <w:tcPr>
            <w:tcW w:w="405" w:type="pct"/>
          </w:tcPr>
          <w:p w14:paraId="102D84C0" w14:textId="77777777" w:rsidR="003C7E0F" w:rsidRDefault="003C7E0F" w:rsidP="001A5D4A">
            <w:pPr>
              <w:pStyle w:val="NotesTable-CellPlain"/>
            </w:pPr>
            <w:r>
              <w:t>–</w:t>
            </w:r>
          </w:p>
        </w:tc>
      </w:tr>
      <w:tr w:rsidR="003C7E0F" w14:paraId="4D425615" w14:textId="77777777" w:rsidTr="00EF62D6">
        <w:trPr>
          <w:trHeight w:hRule="exact" w:val="227"/>
        </w:trPr>
        <w:tc>
          <w:tcPr>
            <w:tcW w:w="810" w:type="pct"/>
          </w:tcPr>
          <w:p w14:paraId="698F8FC9" w14:textId="77777777" w:rsidR="003C7E0F" w:rsidRDefault="003C7E0F" w:rsidP="001A5D4A">
            <w:pPr>
              <w:pStyle w:val="Note-Refs"/>
            </w:pPr>
          </w:p>
        </w:tc>
        <w:tc>
          <w:tcPr>
            <w:tcW w:w="2567" w:type="pct"/>
            <w:vAlign w:val="bottom"/>
          </w:tcPr>
          <w:p w14:paraId="438C045C" w14:textId="77777777" w:rsidR="003C7E0F" w:rsidRDefault="003C7E0F" w:rsidP="001A5D4A">
            <w:pPr>
              <w:pStyle w:val="NotesTable-ItemPlain"/>
              <w:rPr>
                <w:b/>
              </w:rPr>
            </w:pPr>
            <w:r>
              <w:t>Unused amounts reversed</w:t>
            </w:r>
          </w:p>
        </w:tc>
        <w:tc>
          <w:tcPr>
            <w:tcW w:w="406" w:type="pct"/>
          </w:tcPr>
          <w:p w14:paraId="6D901E4D" w14:textId="77777777" w:rsidR="003C7E0F" w:rsidRDefault="003C7E0F" w:rsidP="001A5D4A">
            <w:pPr>
              <w:pStyle w:val="NotesTable-CellPlain"/>
            </w:pPr>
            <w:r w:rsidRPr="00F13A53">
              <w:t>–</w:t>
            </w:r>
          </w:p>
        </w:tc>
        <w:tc>
          <w:tcPr>
            <w:tcW w:w="406" w:type="pct"/>
          </w:tcPr>
          <w:p w14:paraId="4CE76ADB" w14:textId="77777777" w:rsidR="003C7E0F" w:rsidRPr="00EF0573" w:rsidRDefault="003C7E0F" w:rsidP="001A5D4A">
            <w:pPr>
              <w:pStyle w:val="NotesTable-CellPlain"/>
            </w:pPr>
            <w:r w:rsidRPr="00EF0573">
              <w:t>–</w:t>
            </w:r>
          </w:p>
        </w:tc>
        <w:tc>
          <w:tcPr>
            <w:tcW w:w="406" w:type="pct"/>
          </w:tcPr>
          <w:p w14:paraId="64FB2933" w14:textId="77777777" w:rsidR="003C7E0F" w:rsidRDefault="003C7E0F" w:rsidP="001A5D4A">
            <w:pPr>
              <w:pStyle w:val="NotesTable-CellPlain"/>
            </w:pPr>
            <w:r>
              <w:t>–</w:t>
            </w:r>
          </w:p>
        </w:tc>
        <w:tc>
          <w:tcPr>
            <w:tcW w:w="405" w:type="pct"/>
          </w:tcPr>
          <w:p w14:paraId="12687AF9" w14:textId="77777777" w:rsidR="003C7E0F" w:rsidRDefault="003C7E0F" w:rsidP="001A5D4A">
            <w:pPr>
              <w:pStyle w:val="NotesTable-CellPlain"/>
            </w:pPr>
            <w:r>
              <w:t>–</w:t>
            </w:r>
          </w:p>
        </w:tc>
      </w:tr>
      <w:tr w:rsidR="003C7E0F" w14:paraId="7D8554DB" w14:textId="77777777" w:rsidTr="00EF62D6">
        <w:trPr>
          <w:trHeight w:hRule="exact" w:val="227"/>
        </w:trPr>
        <w:tc>
          <w:tcPr>
            <w:tcW w:w="810" w:type="pct"/>
          </w:tcPr>
          <w:p w14:paraId="04ED433E" w14:textId="77777777" w:rsidR="003C7E0F" w:rsidRDefault="003C7E0F" w:rsidP="001A5D4A">
            <w:pPr>
              <w:pStyle w:val="Note-Refs"/>
            </w:pPr>
          </w:p>
        </w:tc>
        <w:tc>
          <w:tcPr>
            <w:tcW w:w="2567" w:type="pct"/>
            <w:vAlign w:val="bottom"/>
          </w:tcPr>
          <w:p w14:paraId="1D394C4F" w14:textId="77777777" w:rsidR="003C7E0F" w:rsidRDefault="003C7E0F" w:rsidP="001A5D4A">
            <w:pPr>
              <w:pStyle w:val="NotesTable-ItemPlain"/>
              <w:rPr>
                <w:b/>
              </w:rPr>
            </w:pPr>
            <w:r>
              <w:t>Increase in discounted amount</w:t>
            </w:r>
          </w:p>
        </w:tc>
        <w:tc>
          <w:tcPr>
            <w:tcW w:w="406" w:type="pct"/>
            <w:tcBorders>
              <w:bottom w:val="single" w:sz="4" w:space="0" w:color="auto"/>
            </w:tcBorders>
          </w:tcPr>
          <w:p w14:paraId="3A3141AD" w14:textId="77777777" w:rsidR="003C7E0F" w:rsidRDefault="003C7E0F" w:rsidP="001A5D4A">
            <w:pPr>
              <w:pStyle w:val="NotesTable-CellPlain"/>
            </w:pPr>
            <w:r w:rsidRPr="00F13A53">
              <w:t>–</w:t>
            </w:r>
          </w:p>
        </w:tc>
        <w:tc>
          <w:tcPr>
            <w:tcW w:w="406" w:type="pct"/>
            <w:tcBorders>
              <w:bottom w:val="single" w:sz="4" w:space="0" w:color="auto"/>
            </w:tcBorders>
          </w:tcPr>
          <w:p w14:paraId="0EB14E8F" w14:textId="77777777" w:rsidR="003C7E0F" w:rsidRPr="00EF0573" w:rsidRDefault="003C7E0F" w:rsidP="001A5D4A">
            <w:pPr>
              <w:pStyle w:val="NotesTable-CellPlain"/>
            </w:pPr>
            <w:r w:rsidRPr="00EF0573">
              <w:t>–</w:t>
            </w:r>
          </w:p>
        </w:tc>
        <w:tc>
          <w:tcPr>
            <w:tcW w:w="406" w:type="pct"/>
            <w:tcBorders>
              <w:bottom w:val="single" w:sz="4" w:space="0" w:color="auto"/>
            </w:tcBorders>
          </w:tcPr>
          <w:p w14:paraId="431F8D14" w14:textId="77777777" w:rsidR="003C7E0F" w:rsidRDefault="003C7E0F" w:rsidP="001A5D4A">
            <w:pPr>
              <w:pStyle w:val="NotesTable-CellPlain"/>
            </w:pPr>
            <w:r>
              <w:t>–</w:t>
            </w:r>
          </w:p>
        </w:tc>
        <w:tc>
          <w:tcPr>
            <w:tcW w:w="405" w:type="pct"/>
            <w:tcBorders>
              <w:bottom w:val="single" w:sz="4" w:space="0" w:color="auto"/>
            </w:tcBorders>
          </w:tcPr>
          <w:p w14:paraId="2C741CE5" w14:textId="77777777" w:rsidR="003C7E0F" w:rsidRDefault="003C7E0F" w:rsidP="001A5D4A">
            <w:pPr>
              <w:pStyle w:val="NotesTable-CellPlain"/>
            </w:pPr>
            <w:r>
              <w:t>–</w:t>
            </w:r>
          </w:p>
        </w:tc>
      </w:tr>
      <w:tr w:rsidR="003C7E0F" w14:paraId="69489CD8" w14:textId="77777777" w:rsidTr="00EF62D6">
        <w:trPr>
          <w:trHeight w:hRule="exact" w:val="227"/>
        </w:trPr>
        <w:tc>
          <w:tcPr>
            <w:tcW w:w="810" w:type="pct"/>
          </w:tcPr>
          <w:p w14:paraId="7F154353" w14:textId="77777777" w:rsidR="003C7E0F" w:rsidRDefault="003C7E0F" w:rsidP="001A5D4A">
            <w:pPr>
              <w:pStyle w:val="Note-Refs"/>
            </w:pPr>
          </w:p>
        </w:tc>
        <w:tc>
          <w:tcPr>
            <w:tcW w:w="2567" w:type="pct"/>
            <w:vAlign w:val="bottom"/>
          </w:tcPr>
          <w:p w14:paraId="6DC4CB66" w14:textId="77777777" w:rsidR="003C7E0F" w:rsidRDefault="003C7E0F" w:rsidP="001A5D4A">
            <w:pPr>
              <w:pStyle w:val="NotesTable-ItemPlain"/>
              <w:rPr>
                <w:b/>
              </w:rPr>
            </w:pPr>
            <w:r>
              <w:t>Carrying amount at end of year</w:t>
            </w:r>
          </w:p>
        </w:tc>
        <w:tc>
          <w:tcPr>
            <w:tcW w:w="406" w:type="pct"/>
            <w:tcBorders>
              <w:top w:val="single" w:sz="4" w:space="0" w:color="auto"/>
            </w:tcBorders>
          </w:tcPr>
          <w:p w14:paraId="31BBF8D3" w14:textId="77777777" w:rsidR="003C7E0F" w:rsidRDefault="003C7E0F" w:rsidP="001A5D4A">
            <w:pPr>
              <w:pStyle w:val="NotesTable-CellPlain"/>
            </w:pPr>
            <w:r w:rsidRPr="00F13A53">
              <w:t>–</w:t>
            </w:r>
          </w:p>
        </w:tc>
        <w:tc>
          <w:tcPr>
            <w:tcW w:w="406" w:type="pct"/>
            <w:tcBorders>
              <w:top w:val="single" w:sz="4" w:space="0" w:color="auto"/>
            </w:tcBorders>
          </w:tcPr>
          <w:p w14:paraId="1345785E" w14:textId="77777777" w:rsidR="003C7E0F" w:rsidRPr="00EF0573" w:rsidRDefault="003C7E0F" w:rsidP="001A5D4A">
            <w:pPr>
              <w:pStyle w:val="NotesTable-CellPlain"/>
            </w:pPr>
            <w:r w:rsidRPr="00EF0573">
              <w:t>–</w:t>
            </w:r>
          </w:p>
        </w:tc>
        <w:tc>
          <w:tcPr>
            <w:tcW w:w="406" w:type="pct"/>
            <w:tcBorders>
              <w:top w:val="single" w:sz="4" w:space="0" w:color="auto"/>
            </w:tcBorders>
          </w:tcPr>
          <w:p w14:paraId="6B276D16" w14:textId="77777777" w:rsidR="003C7E0F" w:rsidRDefault="003C7E0F" w:rsidP="001A5D4A">
            <w:pPr>
              <w:pStyle w:val="NotesTable-CellPlain"/>
            </w:pPr>
            <w:r>
              <w:t>–</w:t>
            </w:r>
          </w:p>
        </w:tc>
        <w:tc>
          <w:tcPr>
            <w:tcW w:w="405" w:type="pct"/>
            <w:tcBorders>
              <w:top w:val="single" w:sz="4" w:space="0" w:color="auto"/>
            </w:tcBorders>
          </w:tcPr>
          <w:p w14:paraId="6290D502" w14:textId="77777777" w:rsidR="003C7E0F" w:rsidRDefault="003C7E0F" w:rsidP="001A5D4A">
            <w:pPr>
              <w:pStyle w:val="NotesTable-CellPlain"/>
            </w:pPr>
            <w:r>
              <w:t>–</w:t>
            </w:r>
          </w:p>
        </w:tc>
      </w:tr>
    </w:tbl>
    <w:p w14:paraId="7E8A3DA4" w14:textId="782B27AD" w:rsidR="000F7FFE" w:rsidRPr="00EF62D6" w:rsidRDefault="000F7FFE" w:rsidP="001A5D4A">
      <w:pPr>
        <w:pStyle w:val="Heading3"/>
        <w:rPr>
          <w:color w:val="2D3E7B" w:themeColor="text2" w:themeShade="BF"/>
        </w:rPr>
      </w:pPr>
      <w:bookmarkStart w:id="353" w:name="_Toc410807649"/>
      <w:bookmarkStart w:id="354" w:name="_Toc410822710"/>
      <w:r w:rsidRPr="00EF62D6">
        <w:rPr>
          <w:color w:val="2D3E7B" w:themeColor="text2" w:themeShade="BF"/>
        </w:rPr>
        <w:t>Commentary - Provisions</w:t>
      </w:r>
      <w:bookmarkEnd w:id="353"/>
      <w:bookmarkEnd w:id="354"/>
    </w:p>
    <w:p w14:paraId="14B465E8" w14:textId="77777777" w:rsidR="000F7FFE" w:rsidRPr="00EF62D6" w:rsidRDefault="000F7FFE"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 xml:space="preserve">Definition </w:t>
      </w:r>
    </w:p>
    <w:p w14:paraId="67B63A10" w14:textId="77777777" w:rsidR="000F7FFE" w:rsidRPr="00EF62D6" w:rsidRDefault="000F7FFE" w:rsidP="00F94210">
      <w:pPr>
        <w:pStyle w:val="Heading6"/>
      </w:pPr>
      <w:r w:rsidRPr="00EF62D6">
        <w:t>AASB137.10</w:t>
      </w:r>
      <w:proofErr w:type="gramStart"/>
      <w:r w:rsidRPr="00EF62D6">
        <w:t>,11</w:t>
      </w:r>
      <w:proofErr w:type="gramEnd"/>
    </w:p>
    <w:p w14:paraId="54DE6E46" w14:textId="77777777" w:rsidR="000F7FFE" w:rsidRPr="00EF62D6" w:rsidRDefault="000F7FFE" w:rsidP="001A5D4A">
      <w:pPr>
        <w:rPr>
          <w:color w:val="2D3E7B" w:themeColor="text2" w:themeShade="BF"/>
        </w:rPr>
      </w:pPr>
      <w:r w:rsidRPr="00EF62D6">
        <w:rPr>
          <w:color w:val="2D3E7B" w:themeColor="text2" w:themeShade="BF"/>
        </w:rPr>
        <w:t>A provision is a liability of uncertain timing or amount. Provisions can be distinguished from other liabilities such as trade payables and accruals because there is uncertainty about the timing or amount of the future expenditure required in settlement. Although it is sometimes necessary to estimate the amount or timing of accruals, the uncertainty is generally much less than for provisions.</w:t>
      </w:r>
    </w:p>
    <w:p w14:paraId="5655F63A" w14:textId="77777777" w:rsidR="000F7FFE" w:rsidRPr="00EF62D6" w:rsidRDefault="000F7FFE" w:rsidP="00EF62D6">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Disclosure</w:t>
      </w:r>
    </w:p>
    <w:p w14:paraId="3AD3F965" w14:textId="0A6466A2" w:rsidR="000F7FFE" w:rsidRPr="00EF62D6" w:rsidRDefault="000F7FFE" w:rsidP="00F94210">
      <w:pPr>
        <w:pStyle w:val="Heading6"/>
      </w:pPr>
      <w:r w:rsidRPr="00EF62D6">
        <w:t>AASB101.61a&amp;b</w:t>
      </w:r>
      <w:r w:rsidRPr="00EF62D6">
        <w:br/>
        <w:t>AASB101.70</w:t>
      </w:r>
    </w:p>
    <w:p w14:paraId="711367DD" w14:textId="77777777" w:rsidR="000F7FFE" w:rsidRPr="007F5DE6" w:rsidRDefault="000F7FFE" w:rsidP="001A5D4A">
      <w:pPr>
        <w:rPr>
          <w:color w:val="2D3E7B" w:themeColor="text2" w:themeShade="BF"/>
        </w:rPr>
      </w:pPr>
      <w:r w:rsidRPr="007F5DE6">
        <w:rPr>
          <w:color w:val="2D3E7B" w:themeColor="text2" w:themeShade="BF"/>
        </w:rPr>
        <w:t xml:space="preserve">Some current liabilities, such as annual leave and long service leave, are part of the working capital used in the entity’s normal operating cycle. An entity classifies such items as current even if they are due to be settled more than twelve months after the reporting period. </w:t>
      </w:r>
    </w:p>
    <w:p w14:paraId="07FE579F" w14:textId="76A54D97" w:rsidR="00D21CB5" w:rsidRPr="00D21CB5" w:rsidRDefault="00D21CB5" w:rsidP="00EF62D6">
      <w:pPr>
        <w:pStyle w:val="Heading2"/>
      </w:pPr>
      <w:bookmarkStart w:id="355" w:name="_Toc410807650"/>
      <w:bookmarkStart w:id="356" w:name="_Toc410822711"/>
      <w:proofErr w:type="gramStart"/>
      <w:r w:rsidRPr="00D21CB5">
        <w:t>Note 32.</w:t>
      </w:r>
      <w:proofErr w:type="gramEnd"/>
      <w:r w:rsidR="002636A0">
        <w:t xml:space="preserve"> </w:t>
      </w:r>
      <w:r w:rsidRPr="00D21CB5">
        <w:t>Other financial liabilities</w:t>
      </w:r>
      <w:bookmarkEnd w:id="355"/>
      <w:bookmarkEnd w:id="356"/>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F30208" w14:paraId="038A3040" w14:textId="77777777" w:rsidTr="00E21378">
        <w:trPr>
          <w:cantSplit/>
          <w:trHeight w:hRule="exact" w:val="227"/>
        </w:trPr>
        <w:tc>
          <w:tcPr>
            <w:tcW w:w="810" w:type="pct"/>
          </w:tcPr>
          <w:p w14:paraId="038A303C" w14:textId="77777777" w:rsidR="00F30208" w:rsidRDefault="00F30208" w:rsidP="001A5D4A">
            <w:pPr>
              <w:pStyle w:val="Note-Refs"/>
            </w:pPr>
          </w:p>
        </w:tc>
        <w:tc>
          <w:tcPr>
            <w:tcW w:w="2567" w:type="pct"/>
          </w:tcPr>
          <w:p w14:paraId="038A303D" w14:textId="77777777" w:rsidR="00F30208" w:rsidRDefault="00F30208" w:rsidP="001A5D4A">
            <w:pPr>
              <w:pStyle w:val="NotesTable-ItemPlain"/>
            </w:pPr>
          </w:p>
        </w:tc>
        <w:tc>
          <w:tcPr>
            <w:tcW w:w="811" w:type="pct"/>
            <w:gridSpan w:val="2"/>
          </w:tcPr>
          <w:p w14:paraId="038A303E" w14:textId="77777777" w:rsidR="00F30208" w:rsidRDefault="00F30208" w:rsidP="001A5D4A">
            <w:pPr>
              <w:pStyle w:val="NotesTable-HeadPlain"/>
            </w:pPr>
            <w:r>
              <w:t>Consolidated</w:t>
            </w:r>
          </w:p>
        </w:tc>
        <w:tc>
          <w:tcPr>
            <w:tcW w:w="811" w:type="pct"/>
            <w:gridSpan w:val="2"/>
          </w:tcPr>
          <w:p w14:paraId="038A303F" w14:textId="77777777" w:rsidR="00F30208" w:rsidRDefault="00F30208" w:rsidP="001A5D4A">
            <w:pPr>
              <w:pStyle w:val="NotesTable-HeadPlain"/>
            </w:pPr>
            <w:r>
              <w:t>Parent entity</w:t>
            </w:r>
          </w:p>
        </w:tc>
      </w:tr>
      <w:tr w:rsidR="00F30208" w14:paraId="038A3047" w14:textId="77777777" w:rsidTr="00E21378">
        <w:trPr>
          <w:cantSplit/>
          <w:trHeight w:hRule="exact" w:val="227"/>
        </w:trPr>
        <w:tc>
          <w:tcPr>
            <w:tcW w:w="810" w:type="pct"/>
          </w:tcPr>
          <w:p w14:paraId="038A3041" w14:textId="77777777" w:rsidR="00F30208" w:rsidRPr="003C77BC" w:rsidRDefault="00F30208" w:rsidP="001A5D4A">
            <w:pPr>
              <w:pStyle w:val="Note-Refs"/>
            </w:pPr>
          </w:p>
        </w:tc>
        <w:tc>
          <w:tcPr>
            <w:tcW w:w="2567" w:type="pct"/>
          </w:tcPr>
          <w:p w14:paraId="038A3042" w14:textId="77777777" w:rsidR="00F30208" w:rsidRDefault="00F30208" w:rsidP="001A5D4A">
            <w:pPr>
              <w:pStyle w:val="NotesTable-ItemPlain"/>
            </w:pPr>
          </w:p>
        </w:tc>
        <w:tc>
          <w:tcPr>
            <w:tcW w:w="406" w:type="pct"/>
          </w:tcPr>
          <w:p w14:paraId="038A3043" w14:textId="4480810E" w:rsidR="00F30208" w:rsidRPr="00C83428" w:rsidRDefault="006864EC" w:rsidP="001A5D4A">
            <w:pPr>
              <w:pStyle w:val="NotesTable-HeadBold"/>
            </w:pPr>
            <w:r>
              <w:t>2014</w:t>
            </w:r>
          </w:p>
        </w:tc>
        <w:tc>
          <w:tcPr>
            <w:tcW w:w="406" w:type="pct"/>
          </w:tcPr>
          <w:p w14:paraId="038A3044" w14:textId="10E3DD44" w:rsidR="00F30208" w:rsidRDefault="006864EC" w:rsidP="001A5D4A">
            <w:pPr>
              <w:pStyle w:val="NotesTable-HeadPlain"/>
            </w:pPr>
            <w:r>
              <w:t>2013</w:t>
            </w:r>
          </w:p>
        </w:tc>
        <w:tc>
          <w:tcPr>
            <w:tcW w:w="406" w:type="pct"/>
          </w:tcPr>
          <w:p w14:paraId="038A3045" w14:textId="10AC31C1" w:rsidR="00F30208" w:rsidRDefault="006864EC" w:rsidP="001A5D4A">
            <w:pPr>
              <w:pStyle w:val="NotesTable-HeadBold"/>
              <w:rPr>
                <w:szCs w:val="18"/>
              </w:rPr>
            </w:pPr>
            <w:r>
              <w:t>2014</w:t>
            </w:r>
          </w:p>
        </w:tc>
        <w:tc>
          <w:tcPr>
            <w:tcW w:w="406" w:type="pct"/>
          </w:tcPr>
          <w:p w14:paraId="038A3046" w14:textId="38FD677F" w:rsidR="00F30208" w:rsidRDefault="006864EC" w:rsidP="001A5D4A">
            <w:pPr>
              <w:pStyle w:val="NotesTable-HeadPlain"/>
            </w:pPr>
            <w:r>
              <w:t>2013</w:t>
            </w:r>
          </w:p>
        </w:tc>
      </w:tr>
      <w:tr w:rsidR="00F30208" w14:paraId="038A304E" w14:textId="77777777" w:rsidTr="00E21378">
        <w:trPr>
          <w:cantSplit/>
          <w:trHeight w:hRule="exact" w:val="227"/>
        </w:trPr>
        <w:tc>
          <w:tcPr>
            <w:tcW w:w="810" w:type="pct"/>
          </w:tcPr>
          <w:p w14:paraId="038A3048" w14:textId="77777777" w:rsidR="00F30208" w:rsidRPr="003C77BC" w:rsidRDefault="00F30208" w:rsidP="001A5D4A">
            <w:pPr>
              <w:pStyle w:val="Note-Refs"/>
            </w:pPr>
          </w:p>
        </w:tc>
        <w:tc>
          <w:tcPr>
            <w:tcW w:w="2567" w:type="pct"/>
          </w:tcPr>
          <w:p w14:paraId="038A3049" w14:textId="77777777" w:rsidR="00F30208" w:rsidRDefault="00F30208" w:rsidP="001A5D4A">
            <w:pPr>
              <w:pStyle w:val="NotesTable-ItemPlain"/>
            </w:pPr>
          </w:p>
        </w:tc>
        <w:tc>
          <w:tcPr>
            <w:tcW w:w="406" w:type="pct"/>
          </w:tcPr>
          <w:p w14:paraId="038A304A" w14:textId="77777777" w:rsidR="00F30208" w:rsidRDefault="00F30208" w:rsidP="001A5D4A">
            <w:pPr>
              <w:pStyle w:val="NotesTable-HeadBold"/>
            </w:pPr>
            <w:r>
              <w:t>$’000</w:t>
            </w:r>
          </w:p>
        </w:tc>
        <w:tc>
          <w:tcPr>
            <w:tcW w:w="406" w:type="pct"/>
          </w:tcPr>
          <w:p w14:paraId="038A304B" w14:textId="77777777" w:rsidR="00F30208" w:rsidRDefault="00F30208" w:rsidP="001A5D4A">
            <w:pPr>
              <w:pStyle w:val="NotesTable-HeadPlain"/>
            </w:pPr>
            <w:r>
              <w:t>$’000</w:t>
            </w:r>
          </w:p>
        </w:tc>
        <w:tc>
          <w:tcPr>
            <w:tcW w:w="406" w:type="pct"/>
          </w:tcPr>
          <w:p w14:paraId="038A304C" w14:textId="77777777" w:rsidR="00F30208" w:rsidRDefault="00F30208" w:rsidP="001A5D4A">
            <w:pPr>
              <w:pStyle w:val="NotesTable-HeadBold"/>
              <w:rPr>
                <w:szCs w:val="18"/>
              </w:rPr>
            </w:pPr>
            <w:r>
              <w:t>$’000</w:t>
            </w:r>
          </w:p>
        </w:tc>
        <w:tc>
          <w:tcPr>
            <w:tcW w:w="406" w:type="pct"/>
          </w:tcPr>
          <w:p w14:paraId="038A304D" w14:textId="77777777" w:rsidR="00F30208" w:rsidRDefault="00F30208" w:rsidP="001A5D4A">
            <w:pPr>
              <w:pStyle w:val="NotesTable-HeadPlain"/>
            </w:pPr>
            <w:r>
              <w:t>$’000</w:t>
            </w:r>
          </w:p>
        </w:tc>
      </w:tr>
      <w:tr w:rsidR="00AB2DCE" w14:paraId="038A3055" w14:textId="77777777" w:rsidTr="00E21378">
        <w:trPr>
          <w:cantSplit/>
          <w:trHeight w:hRule="exact" w:val="227"/>
        </w:trPr>
        <w:tc>
          <w:tcPr>
            <w:tcW w:w="810" w:type="pct"/>
          </w:tcPr>
          <w:p w14:paraId="038A304F" w14:textId="771D25CB" w:rsidR="00AB2DCE" w:rsidRDefault="003F08EE" w:rsidP="001A5D4A">
            <w:pPr>
              <w:pStyle w:val="Note-Refs"/>
            </w:pPr>
            <w:r>
              <w:t>AASB139.9</w:t>
            </w:r>
          </w:p>
        </w:tc>
        <w:tc>
          <w:tcPr>
            <w:tcW w:w="2567" w:type="pct"/>
            <w:vAlign w:val="bottom"/>
          </w:tcPr>
          <w:p w14:paraId="038A3050" w14:textId="77777777" w:rsidR="00AB2DCE" w:rsidRDefault="00AB2DCE" w:rsidP="001A5D4A">
            <w:pPr>
              <w:pStyle w:val="NotesTable-ItemPlain"/>
              <w:rPr>
                <w:b/>
              </w:rPr>
            </w:pPr>
            <w:r>
              <w:t>Financial guarantees (a)</w:t>
            </w:r>
          </w:p>
        </w:tc>
        <w:tc>
          <w:tcPr>
            <w:tcW w:w="406" w:type="pct"/>
            <w:tcBorders>
              <w:bottom w:val="single" w:sz="4" w:space="0" w:color="000000"/>
            </w:tcBorders>
          </w:tcPr>
          <w:p w14:paraId="038A3051" w14:textId="77777777" w:rsidR="00AB2DCE" w:rsidRDefault="00AB2DCE" w:rsidP="001A5D4A">
            <w:pPr>
              <w:pStyle w:val="NotesTable-CellBold"/>
            </w:pPr>
            <w:r w:rsidRPr="00F13A53">
              <w:t>–</w:t>
            </w:r>
          </w:p>
        </w:tc>
        <w:tc>
          <w:tcPr>
            <w:tcW w:w="406" w:type="pct"/>
            <w:tcBorders>
              <w:bottom w:val="single" w:sz="4" w:space="0" w:color="000000"/>
            </w:tcBorders>
          </w:tcPr>
          <w:p w14:paraId="038A3052" w14:textId="77777777" w:rsidR="00AB2DCE" w:rsidRDefault="00AB2DCE" w:rsidP="001A5D4A">
            <w:pPr>
              <w:pStyle w:val="NotesTable-CellPlain"/>
            </w:pPr>
            <w:r w:rsidRPr="00EF0573">
              <w:t>–</w:t>
            </w:r>
          </w:p>
        </w:tc>
        <w:tc>
          <w:tcPr>
            <w:tcW w:w="406" w:type="pct"/>
            <w:tcBorders>
              <w:bottom w:val="single" w:sz="4" w:space="0" w:color="000000"/>
            </w:tcBorders>
          </w:tcPr>
          <w:p w14:paraId="038A3053" w14:textId="77777777" w:rsidR="00AB2DCE" w:rsidRDefault="00AB2DCE" w:rsidP="001A5D4A">
            <w:pPr>
              <w:pStyle w:val="NotesTable-CellBold"/>
            </w:pPr>
            <w:r>
              <w:t>–</w:t>
            </w:r>
          </w:p>
        </w:tc>
        <w:tc>
          <w:tcPr>
            <w:tcW w:w="406" w:type="pct"/>
            <w:tcBorders>
              <w:bottom w:val="single" w:sz="4" w:space="0" w:color="000000"/>
            </w:tcBorders>
          </w:tcPr>
          <w:p w14:paraId="038A3054" w14:textId="77777777" w:rsidR="00AB2DCE" w:rsidRDefault="00AB2DCE" w:rsidP="001A5D4A">
            <w:pPr>
              <w:pStyle w:val="NotesTable-CellPlain"/>
            </w:pPr>
            <w:r>
              <w:t>–</w:t>
            </w:r>
          </w:p>
        </w:tc>
      </w:tr>
      <w:tr w:rsidR="00AB2DCE" w14:paraId="038A305C" w14:textId="77777777" w:rsidTr="00E21378">
        <w:trPr>
          <w:cantSplit/>
          <w:trHeight w:hRule="exact" w:val="227"/>
        </w:trPr>
        <w:tc>
          <w:tcPr>
            <w:tcW w:w="810" w:type="pct"/>
          </w:tcPr>
          <w:p w14:paraId="038A3056" w14:textId="0F563EFD" w:rsidR="00AB2DCE" w:rsidRDefault="003F08EE" w:rsidP="001A5D4A">
            <w:pPr>
              <w:pStyle w:val="Note-Refs"/>
            </w:pPr>
            <w:r>
              <w:t>AASB101.69</w:t>
            </w:r>
          </w:p>
        </w:tc>
        <w:tc>
          <w:tcPr>
            <w:tcW w:w="2567" w:type="pct"/>
            <w:vAlign w:val="bottom"/>
          </w:tcPr>
          <w:p w14:paraId="038A3057" w14:textId="77777777" w:rsidR="00AB2DCE" w:rsidRDefault="00AB2DCE" w:rsidP="001A5D4A">
            <w:pPr>
              <w:pStyle w:val="NotesTable-ItemPlain"/>
              <w:rPr>
                <w:b/>
              </w:rPr>
            </w:pPr>
            <w:r>
              <w:t>Total</w:t>
            </w:r>
          </w:p>
        </w:tc>
        <w:tc>
          <w:tcPr>
            <w:tcW w:w="406" w:type="pct"/>
            <w:tcBorders>
              <w:top w:val="single" w:sz="4" w:space="0" w:color="000000"/>
            </w:tcBorders>
          </w:tcPr>
          <w:p w14:paraId="038A3058" w14:textId="77777777" w:rsidR="00AB2DCE" w:rsidRDefault="00AB2DCE" w:rsidP="001A5D4A">
            <w:pPr>
              <w:pStyle w:val="NotesTable-CellBold"/>
            </w:pPr>
            <w:r w:rsidRPr="00F13A53">
              <w:t>–</w:t>
            </w:r>
          </w:p>
        </w:tc>
        <w:tc>
          <w:tcPr>
            <w:tcW w:w="406" w:type="pct"/>
            <w:tcBorders>
              <w:top w:val="single" w:sz="4" w:space="0" w:color="000000"/>
            </w:tcBorders>
          </w:tcPr>
          <w:p w14:paraId="038A3059" w14:textId="77777777" w:rsidR="00AB2DCE" w:rsidRDefault="00AB2DCE" w:rsidP="001A5D4A">
            <w:pPr>
              <w:pStyle w:val="NotesTable-CellPlain"/>
            </w:pPr>
            <w:r w:rsidRPr="00EF0573">
              <w:t>–</w:t>
            </w:r>
          </w:p>
        </w:tc>
        <w:tc>
          <w:tcPr>
            <w:tcW w:w="406" w:type="pct"/>
            <w:tcBorders>
              <w:top w:val="single" w:sz="4" w:space="0" w:color="000000"/>
            </w:tcBorders>
          </w:tcPr>
          <w:p w14:paraId="038A305A" w14:textId="77777777" w:rsidR="00AB2DCE" w:rsidRDefault="00AB2DCE" w:rsidP="001A5D4A">
            <w:pPr>
              <w:pStyle w:val="NotesTable-CellBold"/>
            </w:pPr>
            <w:r>
              <w:t>–</w:t>
            </w:r>
          </w:p>
        </w:tc>
        <w:tc>
          <w:tcPr>
            <w:tcW w:w="406" w:type="pct"/>
            <w:tcBorders>
              <w:top w:val="single" w:sz="4" w:space="0" w:color="000000"/>
            </w:tcBorders>
          </w:tcPr>
          <w:p w14:paraId="038A305B" w14:textId="77777777" w:rsidR="00AB2DCE" w:rsidRDefault="00AB2DCE" w:rsidP="001A5D4A">
            <w:pPr>
              <w:pStyle w:val="NotesTable-CellPlain"/>
            </w:pPr>
            <w:r>
              <w:t>–</w:t>
            </w:r>
          </w:p>
        </w:tc>
      </w:tr>
      <w:tr w:rsidR="00B1458B" w14:paraId="038A305F" w14:textId="77777777" w:rsidTr="00E21378">
        <w:trPr>
          <w:cantSplit/>
          <w:trHeight w:hRule="exact" w:val="227"/>
        </w:trPr>
        <w:tc>
          <w:tcPr>
            <w:tcW w:w="810" w:type="pct"/>
          </w:tcPr>
          <w:p w14:paraId="038A305D" w14:textId="77777777" w:rsidR="00B1458B" w:rsidRDefault="00B1458B" w:rsidP="001A5D4A">
            <w:pPr>
              <w:pStyle w:val="Note-Refs"/>
            </w:pPr>
          </w:p>
        </w:tc>
        <w:tc>
          <w:tcPr>
            <w:tcW w:w="4190" w:type="pct"/>
            <w:gridSpan w:val="5"/>
          </w:tcPr>
          <w:p w14:paraId="038A305E" w14:textId="77777777" w:rsidR="00B1458B" w:rsidRDefault="00B1458B" w:rsidP="001A5D4A">
            <w:pPr>
              <w:pStyle w:val="Note-Text"/>
            </w:pPr>
          </w:p>
        </w:tc>
      </w:tr>
      <w:tr w:rsidR="00C83428" w14:paraId="038A3062" w14:textId="77777777" w:rsidTr="00E21378">
        <w:trPr>
          <w:cantSplit/>
          <w:trHeight w:hRule="exact" w:val="227"/>
        </w:trPr>
        <w:tc>
          <w:tcPr>
            <w:tcW w:w="810" w:type="pct"/>
          </w:tcPr>
          <w:p w14:paraId="038A3060" w14:textId="77777777" w:rsidR="00C83428" w:rsidRDefault="00C83428" w:rsidP="001A5D4A">
            <w:pPr>
              <w:pStyle w:val="Note-Refs"/>
            </w:pPr>
          </w:p>
        </w:tc>
        <w:tc>
          <w:tcPr>
            <w:tcW w:w="4190" w:type="pct"/>
            <w:gridSpan w:val="5"/>
          </w:tcPr>
          <w:p w14:paraId="038A3061" w14:textId="77777777" w:rsidR="00C83428" w:rsidRDefault="00C83428" w:rsidP="001A5D4A">
            <w:pPr>
              <w:pStyle w:val="Note-TextHeader"/>
              <w:rPr>
                <w:b w:val="0"/>
                <w:lang w:val="en-GB"/>
              </w:rPr>
            </w:pPr>
            <w:r>
              <w:t xml:space="preserve">(a) Financial guarantees </w:t>
            </w:r>
          </w:p>
        </w:tc>
      </w:tr>
      <w:tr w:rsidR="00C83428" w14:paraId="038A3065" w14:textId="77777777" w:rsidTr="00E21378">
        <w:trPr>
          <w:cantSplit/>
          <w:trHeight w:val="227"/>
        </w:trPr>
        <w:tc>
          <w:tcPr>
            <w:tcW w:w="810" w:type="pct"/>
          </w:tcPr>
          <w:p w14:paraId="038A3063" w14:textId="77777777" w:rsidR="00C83428" w:rsidRDefault="00C83428" w:rsidP="001A5D4A">
            <w:pPr>
              <w:pStyle w:val="Note-Refs"/>
            </w:pPr>
          </w:p>
        </w:tc>
        <w:tc>
          <w:tcPr>
            <w:tcW w:w="4190" w:type="pct"/>
            <w:gridSpan w:val="5"/>
          </w:tcPr>
          <w:p w14:paraId="038A3064" w14:textId="6C783752" w:rsidR="00C83428" w:rsidRDefault="00C83428" w:rsidP="001A5D4A">
            <w:pPr>
              <w:pStyle w:val="Note-Text"/>
              <w:rPr>
                <w:b/>
                <w:lang w:val="en-GB"/>
              </w:rPr>
            </w:pPr>
            <w:r>
              <w:t>The parent entity has provided financial guarantees in respect of bank overdrafts and loans of subsidiaries amounting to $XX (</w:t>
            </w:r>
            <w:r w:rsidR="006864EC">
              <w:t>2013</w:t>
            </w:r>
            <w:r>
              <w:t>-$XX), secured by XX.</w:t>
            </w:r>
          </w:p>
        </w:tc>
      </w:tr>
      <w:tr w:rsidR="0098004C" w14:paraId="038A3068" w14:textId="77777777" w:rsidTr="00E21378">
        <w:trPr>
          <w:cantSplit/>
          <w:trHeight w:hRule="exact" w:val="227"/>
        </w:trPr>
        <w:tc>
          <w:tcPr>
            <w:tcW w:w="810" w:type="pct"/>
          </w:tcPr>
          <w:p w14:paraId="038A3066" w14:textId="77777777" w:rsidR="0098004C" w:rsidRDefault="0098004C" w:rsidP="001A5D4A">
            <w:pPr>
              <w:pStyle w:val="Note-Refs"/>
            </w:pPr>
          </w:p>
        </w:tc>
        <w:tc>
          <w:tcPr>
            <w:tcW w:w="4190" w:type="pct"/>
            <w:gridSpan w:val="5"/>
          </w:tcPr>
          <w:p w14:paraId="038A3067" w14:textId="77777777" w:rsidR="0098004C" w:rsidRDefault="0098004C" w:rsidP="001A5D4A">
            <w:pPr>
              <w:pStyle w:val="Note-Text"/>
            </w:pPr>
          </w:p>
        </w:tc>
      </w:tr>
      <w:tr w:rsidR="0098004C" w14:paraId="038A306B" w14:textId="77777777" w:rsidTr="00E21378">
        <w:trPr>
          <w:cantSplit/>
          <w:trHeight w:hRule="exact" w:val="227"/>
        </w:trPr>
        <w:tc>
          <w:tcPr>
            <w:tcW w:w="810" w:type="pct"/>
          </w:tcPr>
          <w:p w14:paraId="038A3069" w14:textId="77777777" w:rsidR="0098004C" w:rsidRDefault="0098004C" w:rsidP="001A5D4A">
            <w:pPr>
              <w:pStyle w:val="Note-Refs"/>
            </w:pPr>
          </w:p>
        </w:tc>
        <w:tc>
          <w:tcPr>
            <w:tcW w:w="4190" w:type="pct"/>
            <w:gridSpan w:val="5"/>
          </w:tcPr>
          <w:p w14:paraId="038A306A" w14:textId="77777777" w:rsidR="0098004C" w:rsidRDefault="0098004C" w:rsidP="001A5D4A">
            <w:pPr>
              <w:pStyle w:val="Note-Text"/>
              <w:rPr>
                <w:b/>
                <w:lang w:val="en-GB"/>
              </w:rPr>
            </w:pPr>
            <w:r>
              <w:t>The parent entity has also given unsecured guarantees in respect of:</w:t>
            </w:r>
          </w:p>
        </w:tc>
      </w:tr>
      <w:tr w:rsidR="0098004C" w14:paraId="038A306E" w14:textId="77777777" w:rsidTr="00E21378">
        <w:trPr>
          <w:cantSplit/>
          <w:trHeight w:hRule="exact" w:val="227"/>
        </w:trPr>
        <w:tc>
          <w:tcPr>
            <w:tcW w:w="810" w:type="pct"/>
          </w:tcPr>
          <w:p w14:paraId="038A306C" w14:textId="77777777" w:rsidR="0098004C" w:rsidRDefault="0098004C" w:rsidP="001A5D4A">
            <w:pPr>
              <w:pStyle w:val="Note-Refs"/>
            </w:pPr>
          </w:p>
        </w:tc>
        <w:tc>
          <w:tcPr>
            <w:tcW w:w="4190" w:type="pct"/>
            <w:gridSpan w:val="5"/>
          </w:tcPr>
          <w:p w14:paraId="038A306D" w14:textId="5AEF29DE" w:rsidR="0098004C" w:rsidRDefault="0098004C" w:rsidP="001A5D4A">
            <w:pPr>
              <w:pStyle w:val="Note-Text"/>
              <w:rPr>
                <w:b/>
                <w:lang w:val="en-GB"/>
              </w:rPr>
            </w:pPr>
            <w:r>
              <w:t>(i)</w:t>
            </w:r>
            <w:r>
              <w:tab/>
            </w:r>
            <w:r w:rsidR="00E577A1">
              <w:t xml:space="preserve">[Specify] </w:t>
            </w:r>
            <w:r>
              <w:t>amounting to $XX (</w:t>
            </w:r>
            <w:r w:rsidR="006864EC">
              <w:t>2013</w:t>
            </w:r>
            <w:r>
              <w:t>-$XX)</w:t>
            </w:r>
          </w:p>
        </w:tc>
      </w:tr>
      <w:tr w:rsidR="0098004C" w14:paraId="038A3071" w14:textId="77777777" w:rsidTr="00E21378">
        <w:trPr>
          <w:cantSplit/>
          <w:trHeight w:hRule="exact" w:val="227"/>
        </w:trPr>
        <w:tc>
          <w:tcPr>
            <w:tcW w:w="810" w:type="pct"/>
          </w:tcPr>
          <w:p w14:paraId="038A306F" w14:textId="77777777" w:rsidR="0098004C" w:rsidRDefault="0098004C" w:rsidP="001A5D4A">
            <w:pPr>
              <w:pStyle w:val="Note-Refs"/>
            </w:pPr>
          </w:p>
        </w:tc>
        <w:tc>
          <w:tcPr>
            <w:tcW w:w="4190" w:type="pct"/>
            <w:gridSpan w:val="5"/>
          </w:tcPr>
          <w:p w14:paraId="038A3070" w14:textId="242604D7" w:rsidR="0098004C" w:rsidRDefault="0098004C" w:rsidP="001A5D4A">
            <w:pPr>
              <w:pStyle w:val="Note-Text"/>
              <w:rPr>
                <w:b/>
                <w:lang w:val="en-GB"/>
              </w:rPr>
            </w:pPr>
            <w:r>
              <w:t>(ii)</w:t>
            </w:r>
            <w:r>
              <w:tab/>
            </w:r>
            <w:r w:rsidR="00E577A1">
              <w:t xml:space="preserve">[Specify] </w:t>
            </w:r>
            <w:r>
              <w:t>amounting to $XX (</w:t>
            </w:r>
            <w:r w:rsidR="006864EC">
              <w:t>2013</w:t>
            </w:r>
            <w:r>
              <w:t>-$XX)</w:t>
            </w:r>
          </w:p>
        </w:tc>
      </w:tr>
      <w:tr w:rsidR="0098004C" w14:paraId="038A3074" w14:textId="77777777" w:rsidTr="00E21378">
        <w:trPr>
          <w:cantSplit/>
          <w:trHeight w:hRule="exact" w:val="454"/>
        </w:trPr>
        <w:tc>
          <w:tcPr>
            <w:tcW w:w="810" w:type="pct"/>
          </w:tcPr>
          <w:p w14:paraId="038A3072" w14:textId="77777777" w:rsidR="0098004C" w:rsidRDefault="0098004C" w:rsidP="001A5D4A">
            <w:pPr>
              <w:pStyle w:val="Note-Refs"/>
            </w:pPr>
          </w:p>
        </w:tc>
        <w:tc>
          <w:tcPr>
            <w:tcW w:w="4190" w:type="pct"/>
            <w:gridSpan w:val="5"/>
          </w:tcPr>
          <w:p w14:paraId="038A3073" w14:textId="02BC8A38" w:rsidR="0098004C" w:rsidRDefault="0098004C" w:rsidP="001A5D4A">
            <w:pPr>
              <w:pStyle w:val="Note-Text"/>
              <w:rPr>
                <w:b/>
                <w:lang w:val="en-GB"/>
              </w:rPr>
            </w:pPr>
            <w:r>
              <w:t xml:space="preserve">A liability has been recognised in relation to these financial guarantees in accordance with the policy set out in </w:t>
            </w:r>
            <w:r w:rsidR="00575CDB">
              <w:t>n</w:t>
            </w:r>
            <w:r>
              <w:t>ote 1(ac).</w:t>
            </w:r>
          </w:p>
        </w:tc>
      </w:tr>
    </w:tbl>
    <w:p w14:paraId="05015213" w14:textId="151EC7F7" w:rsidR="007D1A6F" w:rsidRPr="007D1A6F" w:rsidRDefault="007D1A6F" w:rsidP="001A5D4A">
      <w:pPr>
        <w:pStyle w:val="Heading3"/>
        <w:rPr>
          <w:color w:val="2D3E7B" w:themeColor="text2" w:themeShade="BF"/>
        </w:rPr>
      </w:pPr>
      <w:bookmarkStart w:id="357" w:name="_Toc410807651"/>
      <w:bookmarkStart w:id="358" w:name="_Toc410822712"/>
      <w:r w:rsidRPr="007D1A6F">
        <w:rPr>
          <w:color w:val="2D3E7B" w:themeColor="text2" w:themeShade="BF"/>
        </w:rPr>
        <w:t>Commentary - Other financial liabilities</w:t>
      </w:r>
      <w:bookmarkEnd w:id="357"/>
      <w:bookmarkEnd w:id="358"/>
    </w:p>
    <w:p w14:paraId="53618BF9" w14:textId="77777777" w:rsidR="007D1A6F" w:rsidRPr="00EF62D6" w:rsidRDefault="007D1A6F"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Financial guarantees - definition</w:t>
      </w:r>
    </w:p>
    <w:p w14:paraId="6043B894" w14:textId="77777777" w:rsidR="007D1A6F" w:rsidRPr="00EF62D6" w:rsidRDefault="007D1A6F" w:rsidP="00F94210">
      <w:pPr>
        <w:pStyle w:val="Heading6"/>
      </w:pPr>
      <w:r w:rsidRPr="00EF62D6">
        <w:t>AASB139.9</w:t>
      </w:r>
    </w:p>
    <w:p w14:paraId="210CFFE7" w14:textId="77777777" w:rsidR="007D1A6F" w:rsidRPr="00EF62D6" w:rsidRDefault="007D1A6F" w:rsidP="001A5D4A">
      <w:pPr>
        <w:rPr>
          <w:color w:val="2D3E7B" w:themeColor="text2" w:themeShade="BF"/>
        </w:rPr>
      </w:pPr>
      <w:r w:rsidRPr="00EF62D6">
        <w:rPr>
          <w:color w:val="2D3E7B" w:themeColor="text2" w:themeShade="BF"/>
        </w:rPr>
        <w:t>A financial guarantee contract is a contract that requires the issuer to make specified payments to reimburse the holder for a loss it incurs because a specified debtor fails to make payment when due in accordance with the original or modified terms of a debt instrument.</w:t>
      </w:r>
    </w:p>
    <w:p w14:paraId="3B78D147" w14:textId="77777777" w:rsidR="007D1A6F" w:rsidRPr="00EF62D6" w:rsidRDefault="007D1A6F"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lastRenderedPageBreak/>
        <w:t>Current versus non-current</w:t>
      </w:r>
    </w:p>
    <w:p w14:paraId="2501702E" w14:textId="77777777" w:rsidR="007D1A6F" w:rsidRPr="00EF62D6" w:rsidRDefault="007D1A6F" w:rsidP="00F94210">
      <w:pPr>
        <w:pStyle w:val="Heading6"/>
      </w:pPr>
      <w:r w:rsidRPr="00EF62D6">
        <w:t>AASB101.69</w:t>
      </w:r>
    </w:p>
    <w:p w14:paraId="433950F4" w14:textId="77777777" w:rsidR="007D1A6F" w:rsidRPr="007D1A6F" w:rsidRDefault="007D1A6F" w:rsidP="001A5D4A">
      <w:pPr>
        <w:rPr>
          <w:color w:val="2D3E7B" w:themeColor="text2" w:themeShade="BF"/>
        </w:rPr>
      </w:pPr>
      <w:r w:rsidRPr="00EF62D6">
        <w:rPr>
          <w:color w:val="2D3E7B" w:themeColor="text2" w:themeShade="BF"/>
        </w:rPr>
        <w:t xml:space="preserve">The liabilities for the financial </w:t>
      </w:r>
      <w:r w:rsidRPr="007D1A6F">
        <w:rPr>
          <w:color w:val="2D3E7B" w:themeColor="text2" w:themeShade="BF"/>
        </w:rPr>
        <w:t xml:space="preserve">guarantees have been classified as current in this illustrative disclosure, as there is the assumption that the entity would not have an unconditional right to defer settlement for at least twelve months after the reporting date in case of a default. </w:t>
      </w:r>
    </w:p>
    <w:p w14:paraId="181F6F16" w14:textId="651BC81C" w:rsidR="00D21CB5" w:rsidRPr="00D21CB5" w:rsidRDefault="00D21CB5" w:rsidP="00EF62D6">
      <w:pPr>
        <w:pStyle w:val="Heading2"/>
      </w:pPr>
      <w:bookmarkStart w:id="359" w:name="_Toc410807652"/>
      <w:bookmarkStart w:id="360" w:name="_Toc410822713"/>
      <w:proofErr w:type="gramStart"/>
      <w:r w:rsidRPr="00D21CB5">
        <w:t>Note 33.</w:t>
      </w:r>
      <w:proofErr w:type="gramEnd"/>
      <w:r w:rsidR="002636A0">
        <w:t xml:space="preserve"> </w:t>
      </w:r>
      <w:r w:rsidRPr="00D21CB5">
        <w:t>Current tax liabilities</w:t>
      </w:r>
      <w:bookmarkEnd w:id="359"/>
      <w:bookmarkEnd w:id="360"/>
    </w:p>
    <w:tbl>
      <w:tblPr>
        <w:tblW w:w="5000" w:type="pct"/>
        <w:tblCellMar>
          <w:left w:w="0" w:type="dxa"/>
          <w:right w:w="0" w:type="dxa"/>
        </w:tblCellMar>
        <w:tblLook w:val="0000" w:firstRow="0" w:lastRow="0" w:firstColumn="0" w:lastColumn="0" w:noHBand="0" w:noVBand="0"/>
      </w:tblPr>
      <w:tblGrid>
        <w:gridCol w:w="1665"/>
        <w:gridCol w:w="4713"/>
        <w:gridCol w:w="554"/>
        <w:gridCol w:w="833"/>
        <w:gridCol w:w="833"/>
        <w:gridCol w:w="833"/>
        <w:gridCol w:w="829"/>
      </w:tblGrid>
      <w:tr w:rsidR="00023312" w14:paraId="038A309D" w14:textId="77777777" w:rsidTr="00E21378">
        <w:trPr>
          <w:cantSplit/>
          <w:trHeight w:hRule="exact" w:val="227"/>
        </w:trPr>
        <w:tc>
          <w:tcPr>
            <w:tcW w:w="811" w:type="pct"/>
          </w:tcPr>
          <w:p w14:paraId="038A3098" w14:textId="77777777" w:rsidR="00023312" w:rsidRDefault="00023312" w:rsidP="001A5D4A">
            <w:pPr>
              <w:pStyle w:val="Note-Refs"/>
            </w:pPr>
          </w:p>
        </w:tc>
        <w:tc>
          <w:tcPr>
            <w:tcW w:w="2297" w:type="pct"/>
            <w:vAlign w:val="bottom"/>
          </w:tcPr>
          <w:p w14:paraId="038A3099" w14:textId="77777777" w:rsidR="00023312" w:rsidRDefault="00023312" w:rsidP="001A5D4A">
            <w:pPr>
              <w:pStyle w:val="NotesTable-ItemPlain"/>
            </w:pPr>
          </w:p>
        </w:tc>
        <w:tc>
          <w:tcPr>
            <w:tcW w:w="270" w:type="pct"/>
          </w:tcPr>
          <w:p w14:paraId="038A309A" w14:textId="77777777" w:rsidR="00023312" w:rsidRDefault="00023312" w:rsidP="001A5D4A">
            <w:pPr>
              <w:pStyle w:val="NotesTable-Notes"/>
            </w:pPr>
          </w:p>
        </w:tc>
        <w:tc>
          <w:tcPr>
            <w:tcW w:w="811" w:type="pct"/>
            <w:gridSpan w:val="2"/>
          </w:tcPr>
          <w:p w14:paraId="038A309B" w14:textId="77777777" w:rsidR="00023312" w:rsidRDefault="00023312" w:rsidP="001A5D4A">
            <w:pPr>
              <w:pStyle w:val="NotesTable-HeadPlain"/>
            </w:pPr>
            <w:r>
              <w:t>Consolidated</w:t>
            </w:r>
          </w:p>
        </w:tc>
        <w:tc>
          <w:tcPr>
            <w:tcW w:w="811" w:type="pct"/>
            <w:gridSpan w:val="2"/>
          </w:tcPr>
          <w:p w14:paraId="038A309C" w14:textId="77777777" w:rsidR="00023312" w:rsidRDefault="00023312" w:rsidP="001A5D4A">
            <w:pPr>
              <w:pStyle w:val="NotesTable-HeadPlain"/>
            </w:pPr>
            <w:r>
              <w:t>Parent entity</w:t>
            </w:r>
          </w:p>
        </w:tc>
      </w:tr>
      <w:tr w:rsidR="00C83428" w14:paraId="038A30A5" w14:textId="77777777" w:rsidTr="00E21378">
        <w:trPr>
          <w:cantSplit/>
          <w:trHeight w:hRule="exact" w:val="227"/>
        </w:trPr>
        <w:tc>
          <w:tcPr>
            <w:tcW w:w="811" w:type="pct"/>
          </w:tcPr>
          <w:p w14:paraId="038A309E" w14:textId="263A3D3B" w:rsidR="00C83428" w:rsidRDefault="007151BE" w:rsidP="001A5D4A">
            <w:pPr>
              <w:pStyle w:val="Note-Refs"/>
            </w:pPr>
            <w:r>
              <w:t>AASB</w:t>
            </w:r>
            <w:r w:rsidR="0018464B">
              <w:t>112.12</w:t>
            </w:r>
          </w:p>
        </w:tc>
        <w:tc>
          <w:tcPr>
            <w:tcW w:w="2297" w:type="pct"/>
            <w:vAlign w:val="bottom"/>
          </w:tcPr>
          <w:p w14:paraId="038A309F" w14:textId="77777777" w:rsidR="00C83428" w:rsidRDefault="00C83428" w:rsidP="001A5D4A">
            <w:pPr>
              <w:pStyle w:val="NotesTable-ItemPlain"/>
            </w:pPr>
          </w:p>
        </w:tc>
        <w:tc>
          <w:tcPr>
            <w:tcW w:w="270" w:type="pct"/>
          </w:tcPr>
          <w:p w14:paraId="038A30A0" w14:textId="77777777" w:rsidR="00C83428" w:rsidRDefault="00C83428" w:rsidP="001A5D4A">
            <w:pPr>
              <w:pStyle w:val="NotesTable-Notes"/>
            </w:pPr>
          </w:p>
        </w:tc>
        <w:tc>
          <w:tcPr>
            <w:tcW w:w="406" w:type="pct"/>
          </w:tcPr>
          <w:p w14:paraId="038A30A1" w14:textId="619461C1" w:rsidR="00C83428" w:rsidRDefault="006864EC" w:rsidP="001A5D4A">
            <w:pPr>
              <w:pStyle w:val="NotesTable-HeadBold"/>
            </w:pPr>
            <w:r>
              <w:t>2014</w:t>
            </w:r>
          </w:p>
        </w:tc>
        <w:tc>
          <w:tcPr>
            <w:tcW w:w="406" w:type="pct"/>
          </w:tcPr>
          <w:p w14:paraId="038A30A2" w14:textId="1477050E" w:rsidR="00C83428" w:rsidRDefault="006864EC" w:rsidP="001A5D4A">
            <w:pPr>
              <w:pStyle w:val="NotesTable-HeadPlain"/>
            </w:pPr>
            <w:r>
              <w:t>2013</w:t>
            </w:r>
          </w:p>
        </w:tc>
        <w:tc>
          <w:tcPr>
            <w:tcW w:w="406" w:type="pct"/>
          </w:tcPr>
          <w:p w14:paraId="038A30A3" w14:textId="350998B1" w:rsidR="00C83428" w:rsidRDefault="006864EC" w:rsidP="001A5D4A">
            <w:pPr>
              <w:pStyle w:val="NotesTable-HeadBold"/>
              <w:rPr>
                <w:szCs w:val="18"/>
              </w:rPr>
            </w:pPr>
            <w:r>
              <w:t>2014</w:t>
            </w:r>
          </w:p>
        </w:tc>
        <w:tc>
          <w:tcPr>
            <w:tcW w:w="406" w:type="pct"/>
          </w:tcPr>
          <w:p w14:paraId="038A30A4" w14:textId="4C339764" w:rsidR="00C83428" w:rsidRDefault="006864EC" w:rsidP="001A5D4A">
            <w:pPr>
              <w:pStyle w:val="NotesTable-HeadPlain"/>
            </w:pPr>
            <w:r>
              <w:t>2013</w:t>
            </w:r>
          </w:p>
        </w:tc>
      </w:tr>
      <w:tr w:rsidR="00C83428" w14:paraId="038A30AD" w14:textId="77777777" w:rsidTr="00E21378">
        <w:trPr>
          <w:cantSplit/>
          <w:trHeight w:hRule="exact" w:val="227"/>
        </w:trPr>
        <w:tc>
          <w:tcPr>
            <w:tcW w:w="811" w:type="pct"/>
          </w:tcPr>
          <w:p w14:paraId="038A30A6" w14:textId="77777777" w:rsidR="00C83428" w:rsidRDefault="00C83428" w:rsidP="001A5D4A">
            <w:pPr>
              <w:pStyle w:val="Note-Refs"/>
            </w:pPr>
          </w:p>
        </w:tc>
        <w:tc>
          <w:tcPr>
            <w:tcW w:w="2297" w:type="pct"/>
            <w:vAlign w:val="bottom"/>
          </w:tcPr>
          <w:p w14:paraId="038A30A7" w14:textId="77777777" w:rsidR="00C83428" w:rsidRDefault="00C83428" w:rsidP="001A5D4A">
            <w:pPr>
              <w:pStyle w:val="NotesTable-ItemPlain"/>
            </w:pPr>
          </w:p>
        </w:tc>
        <w:tc>
          <w:tcPr>
            <w:tcW w:w="270" w:type="pct"/>
          </w:tcPr>
          <w:p w14:paraId="038A30A8" w14:textId="77777777" w:rsidR="00C83428" w:rsidRDefault="00C83428" w:rsidP="001A5D4A">
            <w:pPr>
              <w:pStyle w:val="NotesTable-Notes"/>
            </w:pPr>
          </w:p>
        </w:tc>
        <w:tc>
          <w:tcPr>
            <w:tcW w:w="406" w:type="pct"/>
          </w:tcPr>
          <w:p w14:paraId="038A30A9" w14:textId="77777777" w:rsidR="00C83428" w:rsidRDefault="00C83428" w:rsidP="001A5D4A">
            <w:pPr>
              <w:pStyle w:val="NotesTable-HeadBold"/>
            </w:pPr>
            <w:r>
              <w:t>$’000</w:t>
            </w:r>
          </w:p>
        </w:tc>
        <w:tc>
          <w:tcPr>
            <w:tcW w:w="406" w:type="pct"/>
          </w:tcPr>
          <w:p w14:paraId="038A30AA" w14:textId="77777777" w:rsidR="00C83428" w:rsidRDefault="00C83428" w:rsidP="001A5D4A">
            <w:pPr>
              <w:pStyle w:val="NotesTable-HeadPlain"/>
            </w:pPr>
            <w:r>
              <w:t>$’000</w:t>
            </w:r>
          </w:p>
        </w:tc>
        <w:tc>
          <w:tcPr>
            <w:tcW w:w="406" w:type="pct"/>
          </w:tcPr>
          <w:p w14:paraId="038A30AB" w14:textId="77777777" w:rsidR="00C83428" w:rsidRDefault="00C83428" w:rsidP="001A5D4A">
            <w:pPr>
              <w:pStyle w:val="NotesTable-HeadBold"/>
              <w:rPr>
                <w:szCs w:val="18"/>
              </w:rPr>
            </w:pPr>
            <w:r>
              <w:t>$’000</w:t>
            </w:r>
          </w:p>
        </w:tc>
        <w:tc>
          <w:tcPr>
            <w:tcW w:w="406" w:type="pct"/>
          </w:tcPr>
          <w:p w14:paraId="038A30AC" w14:textId="77777777" w:rsidR="00C83428" w:rsidRDefault="00C83428" w:rsidP="001A5D4A">
            <w:pPr>
              <w:pStyle w:val="NotesTable-HeadPlain"/>
            </w:pPr>
            <w:r>
              <w:t>$’000</w:t>
            </w:r>
          </w:p>
        </w:tc>
      </w:tr>
      <w:tr w:rsidR="00C83428" w14:paraId="038A30B5" w14:textId="77777777" w:rsidTr="00E21378">
        <w:trPr>
          <w:cantSplit/>
          <w:trHeight w:hRule="exact" w:val="227"/>
        </w:trPr>
        <w:tc>
          <w:tcPr>
            <w:tcW w:w="811" w:type="pct"/>
          </w:tcPr>
          <w:p w14:paraId="038A30AE" w14:textId="77777777" w:rsidR="00C83428" w:rsidRDefault="00C83428" w:rsidP="001A5D4A">
            <w:pPr>
              <w:pStyle w:val="Note-Refs"/>
            </w:pPr>
          </w:p>
        </w:tc>
        <w:tc>
          <w:tcPr>
            <w:tcW w:w="2297" w:type="pct"/>
            <w:vAlign w:val="bottom"/>
          </w:tcPr>
          <w:p w14:paraId="038A30AF" w14:textId="77777777" w:rsidR="00C83428" w:rsidRDefault="00C83428" w:rsidP="001A5D4A">
            <w:pPr>
              <w:pStyle w:val="NotesTable-ItemPlain"/>
              <w:rPr>
                <w:b/>
              </w:rPr>
            </w:pPr>
            <w:r>
              <w:t>[Specify]</w:t>
            </w:r>
          </w:p>
        </w:tc>
        <w:tc>
          <w:tcPr>
            <w:tcW w:w="270" w:type="pct"/>
          </w:tcPr>
          <w:p w14:paraId="038A30B0" w14:textId="77777777" w:rsidR="00C83428" w:rsidRDefault="00C83428" w:rsidP="001A5D4A">
            <w:pPr>
              <w:pStyle w:val="NotesTable-Notes"/>
            </w:pPr>
          </w:p>
        </w:tc>
        <w:tc>
          <w:tcPr>
            <w:tcW w:w="406" w:type="pct"/>
            <w:tcBorders>
              <w:bottom w:val="single" w:sz="4" w:space="0" w:color="000000"/>
            </w:tcBorders>
          </w:tcPr>
          <w:p w14:paraId="038A30B1" w14:textId="77777777" w:rsidR="00C83428" w:rsidRDefault="00C83428" w:rsidP="001A5D4A">
            <w:pPr>
              <w:pStyle w:val="NotesTable-CellBold"/>
            </w:pPr>
            <w:r>
              <w:t>–</w:t>
            </w:r>
          </w:p>
        </w:tc>
        <w:tc>
          <w:tcPr>
            <w:tcW w:w="406" w:type="pct"/>
            <w:tcBorders>
              <w:bottom w:val="single" w:sz="4" w:space="0" w:color="000000"/>
            </w:tcBorders>
          </w:tcPr>
          <w:p w14:paraId="038A30B2" w14:textId="77777777" w:rsidR="00C83428" w:rsidRDefault="00C83428" w:rsidP="001A5D4A">
            <w:pPr>
              <w:pStyle w:val="NotesTable-CellPlain"/>
            </w:pPr>
            <w:r>
              <w:t>–</w:t>
            </w:r>
          </w:p>
        </w:tc>
        <w:tc>
          <w:tcPr>
            <w:tcW w:w="406" w:type="pct"/>
            <w:tcBorders>
              <w:bottom w:val="single" w:sz="4" w:space="0" w:color="000000"/>
            </w:tcBorders>
          </w:tcPr>
          <w:p w14:paraId="038A30B3" w14:textId="77777777" w:rsidR="00C83428" w:rsidRDefault="00C83428" w:rsidP="001A5D4A">
            <w:pPr>
              <w:pStyle w:val="NotesTable-CellBold"/>
            </w:pPr>
            <w:r>
              <w:t>–</w:t>
            </w:r>
          </w:p>
        </w:tc>
        <w:tc>
          <w:tcPr>
            <w:tcW w:w="406" w:type="pct"/>
            <w:tcBorders>
              <w:bottom w:val="single" w:sz="4" w:space="0" w:color="000000"/>
            </w:tcBorders>
          </w:tcPr>
          <w:p w14:paraId="038A30B4" w14:textId="77777777" w:rsidR="00C83428" w:rsidRDefault="00C83428" w:rsidP="001A5D4A">
            <w:pPr>
              <w:pStyle w:val="NotesTable-CellPlain"/>
            </w:pPr>
            <w:r>
              <w:t>–</w:t>
            </w:r>
          </w:p>
        </w:tc>
      </w:tr>
      <w:tr w:rsidR="00C83428" w14:paraId="038A30BD" w14:textId="77777777" w:rsidTr="00E21378">
        <w:trPr>
          <w:cantSplit/>
          <w:trHeight w:hRule="exact" w:val="227"/>
        </w:trPr>
        <w:tc>
          <w:tcPr>
            <w:tcW w:w="811" w:type="pct"/>
          </w:tcPr>
          <w:p w14:paraId="038A30B6" w14:textId="77777777" w:rsidR="00C83428" w:rsidRDefault="00C83428" w:rsidP="001A5D4A">
            <w:pPr>
              <w:pStyle w:val="Note-Refs"/>
            </w:pPr>
          </w:p>
        </w:tc>
        <w:tc>
          <w:tcPr>
            <w:tcW w:w="2297" w:type="pct"/>
            <w:vAlign w:val="bottom"/>
          </w:tcPr>
          <w:p w14:paraId="038A30B7" w14:textId="77777777" w:rsidR="00C83428" w:rsidRDefault="00C83428" w:rsidP="001A5D4A">
            <w:pPr>
              <w:pStyle w:val="NotesTable-ItemPlain"/>
              <w:rPr>
                <w:b/>
              </w:rPr>
            </w:pPr>
            <w:r>
              <w:t>Total current tax liabilities</w:t>
            </w:r>
          </w:p>
        </w:tc>
        <w:tc>
          <w:tcPr>
            <w:tcW w:w="270" w:type="pct"/>
          </w:tcPr>
          <w:p w14:paraId="038A30B8" w14:textId="77777777" w:rsidR="00C83428" w:rsidRDefault="00C83428" w:rsidP="001A5D4A">
            <w:pPr>
              <w:pStyle w:val="NotesTable-Notes"/>
            </w:pPr>
          </w:p>
        </w:tc>
        <w:tc>
          <w:tcPr>
            <w:tcW w:w="406" w:type="pct"/>
          </w:tcPr>
          <w:p w14:paraId="038A30B9" w14:textId="77777777" w:rsidR="00C83428" w:rsidRDefault="00C83428" w:rsidP="001A5D4A">
            <w:pPr>
              <w:pStyle w:val="NotesTable-CellBold"/>
            </w:pPr>
            <w:r>
              <w:t>–</w:t>
            </w:r>
          </w:p>
        </w:tc>
        <w:tc>
          <w:tcPr>
            <w:tcW w:w="406" w:type="pct"/>
          </w:tcPr>
          <w:p w14:paraId="038A30BA" w14:textId="77777777" w:rsidR="00C83428" w:rsidRDefault="00C83428" w:rsidP="001A5D4A">
            <w:pPr>
              <w:pStyle w:val="NotesTable-CellPlain"/>
            </w:pPr>
            <w:r>
              <w:t>–</w:t>
            </w:r>
          </w:p>
        </w:tc>
        <w:tc>
          <w:tcPr>
            <w:tcW w:w="406" w:type="pct"/>
          </w:tcPr>
          <w:p w14:paraId="038A30BB" w14:textId="77777777" w:rsidR="00C83428" w:rsidRDefault="00C83428" w:rsidP="001A5D4A">
            <w:pPr>
              <w:pStyle w:val="NotesTable-CellBold"/>
            </w:pPr>
            <w:r>
              <w:t>–</w:t>
            </w:r>
          </w:p>
        </w:tc>
        <w:tc>
          <w:tcPr>
            <w:tcW w:w="406" w:type="pct"/>
          </w:tcPr>
          <w:p w14:paraId="038A30BC" w14:textId="77777777" w:rsidR="00C83428" w:rsidRDefault="00C83428" w:rsidP="001A5D4A">
            <w:pPr>
              <w:pStyle w:val="NotesTable-CellPlain"/>
            </w:pPr>
            <w:r>
              <w:t>–</w:t>
            </w:r>
          </w:p>
        </w:tc>
      </w:tr>
    </w:tbl>
    <w:p w14:paraId="211C635A" w14:textId="53C7C100" w:rsidR="00D21CB5" w:rsidRDefault="00D21CB5" w:rsidP="00EF62D6">
      <w:pPr>
        <w:pStyle w:val="Heading2"/>
      </w:pPr>
      <w:bookmarkStart w:id="361" w:name="_Toc410807653"/>
      <w:bookmarkStart w:id="362" w:name="_Toc410822714"/>
      <w:proofErr w:type="gramStart"/>
      <w:r w:rsidRPr="00D21CB5">
        <w:t>Note 34.</w:t>
      </w:r>
      <w:proofErr w:type="gramEnd"/>
      <w:r w:rsidR="004C4AAA">
        <w:t xml:space="preserve"> </w:t>
      </w:r>
      <w:r w:rsidRPr="00D21CB5">
        <w:t>Other liabilities</w:t>
      </w:r>
      <w:bookmarkEnd w:id="361"/>
      <w:bookmarkEnd w:id="362"/>
    </w:p>
    <w:p w14:paraId="73694E37" w14:textId="77777777" w:rsidR="00D21CB5" w:rsidRPr="00D21CB5" w:rsidRDefault="00D21CB5" w:rsidP="001A5D4A">
      <w:r w:rsidRPr="00D21CB5">
        <w:t>Mandatory</w:t>
      </w:r>
    </w:p>
    <w:tbl>
      <w:tblPr>
        <w:tblW w:w="5000" w:type="pct"/>
        <w:tblCellMar>
          <w:left w:w="0" w:type="dxa"/>
          <w:right w:w="0" w:type="dxa"/>
        </w:tblCellMar>
        <w:tblLook w:val="0000" w:firstRow="0" w:lastRow="0" w:firstColumn="0" w:lastColumn="0" w:noHBand="0" w:noVBand="0"/>
      </w:tblPr>
      <w:tblGrid>
        <w:gridCol w:w="1663"/>
        <w:gridCol w:w="4713"/>
        <w:gridCol w:w="554"/>
        <w:gridCol w:w="833"/>
        <w:gridCol w:w="833"/>
        <w:gridCol w:w="833"/>
        <w:gridCol w:w="831"/>
      </w:tblGrid>
      <w:tr w:rsidR="00023312" w14:paraId="038A30C7" w14:textId="77777777" w:rsidTr="00E21378">
        <w:trPr>
          <w:cantSplit/>
          <w:trHeight w:hRule="exact" w:val="227"/>
        </w:trPr>
        <w:tc>
          <w:tcPr>
            <w:tcW w:w="810" w:type="pct"/>
          </w:tcPr>
          <w:p w14:paraId="038A30C2" w14:textId="77777777" w:rsidR="00023312" w:rsidRDefault="00023312" w:rsidP="001A5D4A">
            <w:pPr>
              <w:pStyle w:val="Note-Refs"/>
            </w:pPr>
          </w:p>
        </w:tc>
        <w:tc>
          <w:tcPr>
            <w:tcW w:w="2297" w:type="pct"/>
          </w:tcPr>
          <w:p w14:paraId="038A30C3" w14:textId="77777777" w:rsidR="00023312" w:rsidRDefault="00023312" w:rsidP="001A5D4A">
            <w:pPr>
              <w:pStyle w:val="NotesTable-ItemPlain"/>
            </w:pPr>
          </w:p>
        </w:tc>
        <w:tc>
          <w:tcPr>
            <w:tcW w:w="270" w:type="pct"/>
          </w:tcPr>
          <w:p w14:paraId="038A30C4" w14:textId="77777777" w:rsidR="00023312" w:rsidRDefault="00023312" w:rsidP="001A5D4A">
            <w:pPr>
              <w:pStyle w:val="NotesTable-Notes"/>
            </w:pPr>
          </w:p>
        </w:tc>
        <w:tc>
          <w:tcPr>
            <w:tcW w:w="812" w:type="pct"/>
            <w:gridSpan w:val="2"/>
          </w:tcPr>
          <w:p w14:paraId="038A30C5" w14:textId="77777777" w:rsidR="00023312" w:rsidRDefault="00023312" w:rsidP="001A5D4A">
            <w:pPr>
              <w:pStyle w:val="NotesTable-HeadPlain"/>
            </w:pPr>
            <w:r>
              <w:t>Consolidated</w:t>
            </w:r>
          </w:p>
        </w:tc>
        <w:tc>
          <w:tcPr>
            <w:tcW w:w="811" w:type="pct"/>
            <w:gridSpan w:val="2"/>
          </w:tcPr>
          <w:p w14:paraId="038A30C6" w14:textId="77777777" w:rsidR="00023312" w:rsidRDefault="00023312" w:rsidP="001A5D4A">
            <w:pPr>
              <w:pStyle w:val="NotesTable-HeadPlain"/>
            </w:pPr>
            <w:r>
              <w:t>Parent entity</w:t>
            </w:r>
          </w:p>
        </w:tc>
      </w:tr>
      <w:tr w:rsidR="00C83428" w14:paraId="038A30CF" w14:textId="77777777" w:rsidTr="00E21378">
        <w:trPr>
          <w:cantSplit/>
          <w:trHeight w:hRule="exact" w:val="227"/>
        </w:trPr>
        <w:tc>
          <w:tcPr>
            <w:tcW w:w="810" w:type="pct"/>
          </w:tcPr>
          <w:p w14:paraId="038A30C8" w14:textId="77777777" w:rsidR="00C83428" w:rsidRDefault="00C83428" w:rsidP="001A5D4A">
            <w:pPr>
              <w:pStyle w:val="Note-Refs"/>
            </w:pPr>
          </w:p>
        </w:tc>
        <w:tc>
          <w:tcPr>
            <w:tcW w:w="2297" w:type="pct"/>
          </w:tcPr>
          <w:p w14:paraId="038A30C9" w14:textId="77777777" w:rsidR="00C83428" w:rsidRDefault="00C83428" w:rsidP="001A5D4A">
            <w:pPr>
              <w:pStyle w:val="NotesTable-ItemPlain"/>
            </w:pPr>
          </w:p>
        </w:tc>
        <w:tc>
          <w:tcPr>
            <w:tcW w:w="270" w:type="pct"/>
          </w:tcPr>
          <w:p w14:paraId="038A30CA" w14:textId="77777777" w:rsidR="00C83428" w:rsidRDefault="00C83428" w:rsidP="001A5D4A">
            <w:pPr>
              <w:pStyle w:val="NotesTable-Notes"/>
            </w:pPr>
          </w:p>
        </w:tc>
        <w:tc>
          <w:tcPr>
            <w:tcW w:w="406" w:type="pct"/>
          </w:tcPr>
          <w:p w14:paraId="038A30CB" w14:textId="7243B00A" w:rsidR="00C83428" w:rsidRDefault="006864EC" w:rsidP="001A5D4A">
            <w:pPr>
              <w:pStyle w:val="NotesTable-HeadBold"/>
            </w:pPr>
            <w:r>
              <w:t>2014</w:t>
            </w:r>
          </w:p>
        </w:tc>
        <w:tc>
          <w:tcPr>
            <w:tcW w:w="406" w:type="pct"/>
          </w:tcPr>
          <w:p w14:paraId="038A30CC" w14:textId="29C5723C" w:rsidR="00C83428" w:rsidRDefault="006864EC" w:rsidP="001A5D4A">
            <w:pPr>
              <w:pStyle w:val="NotesTable-HeadPlain"/>
            </w:pPr>
            <w:r>
              <w:t>2013</w:t>
            </w:r>
          </w:p>
        </w:tc>
        <w:tc>
          <w:tcPr>
            <w:tcW w:w="406" w:type="pct"/>
          </w:tcPr>
          <w:p w14:paraId="038A30CD" w14:textId="16BC325A" w:rsidR="00C83428" w:rsidRDefault="006864EC" w:rsidP="001A5D4A">
            <w:pPr>
              <w:pStyle w:val="NotesTable-HeadBold"/>
              <w:rPr>
                <w:szCs w:val="18"/>
              </w:rPr>
            </w:pPr>
            <w:r>
              <w:t>2014</w:t>
            </w:r>
          </w:p>
        </w:tc>
        <w:tc>
          <w:tcPr>
            <w:tcW w:w="405" w:type="pct"/>
          </w:tcPr>
          <w:p w14:paraId="038A30CE" w14:textId="4CE47645" w:rsidR="00C83428" w:rsidRDefault="006864EC" w:rsidP="001A5D4A">
            <w:pPr>
              <w:pStyle w:val="NotesTable-HeadPlain"/>
            </w:pPr>
            <w:r>
              <w:t>2013</w:t>
            </w:r>
          </w:p>
        </w:tc>
      </w:tr>
      <w:tr w:rsidR="00C83428" w14:paraId="038A30D7" w14:textId="77777777" w:rsidTr="00E21378">
        <w:trPr>
          <w:cantSplit/>
          <w:trHeight w:hRule="exact" w:val="227"/>
        </w:trPr>
        <w:tc>
          <w:tcPr>
            <w:tcW w:w="810" w:type="pct"/>
          </w:tcPr>
          <w:p w14:paraId="038A30D0" w14:textId="77777777" w:rsidR="00C83428" w:rsidRDefault="00C83428" w:rsidP="001A5D4A">
            <w:pPr>
              <w:pStyle w:val="Note-Refs"/>
            </w:pPr>
          </w:p>
        </w:tc>
        <w:tc>
          <w:tcPr>
            <w:tcW w:w="2297" w:type="pct"/>
          </w:tcPr>
          <w:p w14:paraId="038A30D1" w14:textId="77777777" w:rsidR="00C83428" w:rsidRDefault="00C83428" w:rsidP="001A5D4A">
            <w:pPr>
              <w:pStyle w:val="NotesTable-ItemPlain"/>
            </w:pPr>
          </w:p>
        </w:tc>
        <w:tc>
          <w:tcPr>
            <w:tcW w:w="270" w:type="pct"/>
          </w:tcPr>
          <w:p w14:paraId="038A30D2" w14:textId="77777777" w:rsidR="00C83428" w:rsidRDefault="00C83428" w:rsidP="001A5D4A">
            <w:pPr>
              <w:pStyle w:val="NotesTable-Notes"/>
            </w:pPr>
          </w:p>
        </w:tc>
        <w:tc>
          <w:tcPr>
            <w:tcW w:w="406" w:type="pct"/>
          </w:tcPr>
          <w:p w14:paraId="038A30D3" w14:textId="77777777" w:rsidR="00C83428" w:rsidRDefault="00C83428" w:rsidP="001A5D4A">
            <w:pPr>
              <w:pStyle w:val="NotesTable-HeadBold"/>
            </w:pPr>
            <w:r>
              <w:t>$’000</w:t>
            </w:r>
          </w:p>
        </w:tc>
        <w:tc>
          <w:tcPr>
            <w:tcW w:w="406" w:type="pct"/>
          </w:tcPr>
          <w:p w14:paraId="038A30D4" w14:textId="77777777" w:rsidR="00C83428" w:rsidRDefault="00C83428" w:rsidP="001A5D4A">
            <w:pPr>
              <w:pStyle w:val="NotesTable-HeadPlain"/>
            </w:pPr>
            <w:r>
              <w:t>$’000</w:t>
            </w:r>
          </w:p>
        </w:tc>
        <w:tc>
          <w:tcPr>
            <w:tcW w:w="406" w:type="pct"/>
          </w:tcPr>
          <w:p w14:paraId="038A30D5" w14:textId="77777777" w:rsidR="00C83428" w:rsidRDefault="00C83428" w:rsidP="001A5D4A">
            <w:pPr>
              <w:pStyle w:val="NotesTable-HeadBold"/>
              <w:rPr>
                <w:szCs w:val="18"/>
              </w:rPr>
            </w:pPr>
            <w:r>
              <w:t>$’000</w:t>
            </w:r>
          </w:p>
        </w:tc>
        <w:tc>
          <w:tcPr>
            <w:tcW w:w="405" w:type="pct"/>
          </w:tcPr>
          <w:p w14:paraId="038A30D6" w14:textId="77777777" w:rsidR="00C83428" w:rsidRDefault="00C83428" w:rsidP="001A5D4A">
            <w:pPr>
              <w:pStyle w:val="NotesTable-HeadPlain"/>
            </w:pPr>
            <w:r>
              <w:t>$’000</w:t>
            </w:r>
          </w:p>
        </w:tc>
      </w:tr>
      <w:tr w:rsidR="005C16B5" w14:paraId="038A30DA" w14:textId="77777777" w:rsidTr="00E21378">
        <w:trPr>
          <w:cantSplit/>
          <w:trHeight w:hRule="exact" w:val="227"/>
        </w:trPr>
        <w:tc>
          <w:tcPr>
            <w:tcW w:w="810" w:type="pct"/>
          </w:tcPr>
          <w:p w14:paraId="038A30D8" w14:textId="2BA7E37D" w:rsidR="005C16B5" w:rsidRDefault="0018464B" w:rsidP="001A5D4A">
            <w:pPr>
              <w:pStyle w:val="Note-Refs"/>
            </w:pPr>
            <w:r>
              <w:t>AASB101.60</w:t>
            </w:r>
          </w:p>
        </w:tc>
        <w:tc>
          <w:tcPr>
            <w:tcW w:w="4190" w:type="pct"/>
            <w:gridSpan w:val="6"/>
          </w:tcPr>
          <w:p w14:paraId="038A30D9" w14:textId="77777777" w:rsidR="005C16B5" w:rsidRDefault="005C16B5" w:rsidP="001A5D4A">
            <w:pPr>
              <w:pStyle w:val="Note-TextHeader"/>
              <w:rPr>
                <w:b w:val="0"/>
                <w:lang w:val="en-GB"/>
              </w:rPr>
            </w:pPr>
            <w:r>
              <w:t>Current</w:t>
            </w:r>
          </w:p>
        </w:tc>
      </w:tr>
      <w:tr w:rsidR="00C83428" w14:paraId="038A30E2" w14:textId="77777777" w:rsidTr="00E21378">
        <w:trPr>
          <w:cantSplit/>
          <w:trHeight w:hRule="exact" w:val="227"/>
        </w:trPr>
        <w:tc>
          <w:tcPr>
            <w:tcW w:w="810" w:type="pct"/>
          </w:tcPr>
          <w:p w14:paraId="038A30DB" w14:textId="13FEA90C" w:rsidR="00C83428" w:rsidRDefault="0018464B" w:rsidP="001A5D4A">
            <w:pPr>
              <w:pStyle w:val="Note-Refs"/>
            </w:pPr>
            <w:r>
              <w:t>EDUCATION</w:t>
            </w:r>
          </w:p>
        </w:tc>
        <w:tc>
          <w:tcPr>
            <w:tcW w:w="2297" w:type="pct"/>
            <w:shd w:val="clear" w:color="auto" w:fill="D9D9D9" w:themeFill="background1" w:themeFillShade="D9"/>
          </w:tcPr>
          <w:p w14:paraId="038A30DC" w14:textId="77777777" w:rsidR="00C83428" w:rsidRDefault="00C83428" w:rsidP="001A5D4A">
            <w:pPr>
              <w:pStyle w:val="NotesTable-ItemPlain"/>
              <w:rPr>
                <w:b/>
              </w:rPr>
            </w:pPr>
            <w:r>
              <w:t>Australian Government Unspent Financial Assistance</w:t>
            </w:r>
          </w:p>
        </w:tc>
        <w:tc>
          <w:tcPr>
            <w:tcW w:w="270" w:type="pct"/>
            <w:shd w:val="clear" w:color="auto" w:fill="D9D9D9" w:themeFill="background1" w:themeFillShade="D9"/>
          </w:tcPr>
          <w:p w14:paraId="038A30DD" w14:textId="77777777" w:rsidR="00C83428" w:rsidRDefault="00C83428" w:rsidP="001A5D4A">
            <w:pPr>
              <w:pStyle w:val="NotesTable-Notes"/>
            </w:pPr>
          </w:p>
        </w:tc>
        <w:tc>
          <w:tcPr>
            <w:tcW w:w="406" w:type="pct"/>
            <w:shd w:val="clear" w:color="auto" w:fill="D9D9D9" w:themeFill="background1" w:themeFillShade="D9"/>
          </w:tcPr>
          <w:p w14:paraId="038A30DE" w14:textId="77777777" w:rsidR="00C83428" w:rsidRDefault="00C83428" w:rsidP="001A5D4A">
            <w:pPr>
              <w:pStyle w:val="NotesTable-CellBold"/>
            </w:pPr>
            <w:r>
              <w:t>–</w:t>
            </w:r>
          </w:p>
        </w:tc>
        <w:tc>
          <w:tcPr>
            <w:tcW w:w="406" w:type="pct"/>
            <w:shd w:val="clear" w:color="auto" w:fill="D9D9D9" w:themeFill="background1" w:themeFillShade="D9"/>
          </w:tcPr>
          <w:p w14:paraId="038A30DF" w14:textId="77777777" w:rsidR="00C83428" w:rsidRDefault="00C83428" w:rsidP="001A5D4A">
            <w:pPr>
              <w:pStyle w:val="NotesTable-CellPlain"/>
            </w:pPr>
            <w:r>
              <w:t>–</w:t>
            </w:r>
          </w:p>
        </w:tc>
        <w:tc>
          <w:tcPr>
            <w:tcW w:w="406" w:type="pct"/>
            <w:shd w:val="clear" w:color="auto" w:fill="D9D9D9" w:themeFill="background1" w:themeFillShade="D9"/>
          </w:tcPr>
          <w:p w14:paraId="038A30E0" w14:textId="77777777" w:rsidR="00C83428" w:rsidRDefault="00C83428" w:rsidP="001A5D4A">
            <w:pPr>
              <w:pStyle w:val="NotesTable-CellBold"/>
            </w:pPr>
            <w:r>
              <w:t>–</w:t>
            </w:r>
          </w:p>
        </w:tc>
        <w:tc>
          <w:tcPr>
            <w:tcW w:w="405" w:type="pct"/>
            <w:shd w:val="clear" w:color="auto" w:fill="D9D9D9" w:themeFill="background1" w:themeFillShade="D9"/>
          </w:tcPr>
          <w:p w14:paraId="038A30E1" w14:textId="77777777" w:rsidR="00C83428" w:rsidRDefault="00C83428" w:rsidP="001A5D4A">
            <w:pPr>
              <w:pStyle w:val="NotesTable-CellPlain"/>
            </w:pPr>
            <w:r>
              <w:t>–</w:t>
            </w:r>
          </w:p>
        </w:tc>
      </w:tr>
      <w:tr w:rsidR="00C83428" w14:paraId="038A30EA" w14:textId="77777777" w:rsidTr="00E21378">
        <w:trPr>
          <w:cantSplit/>
          <w:trHeight w:hRule="exact" w:val="227"/>
        </w:trPr>
        <w:tc>
          <w:tcPr>
            <w:tcW w:w="810" w:type="pct"/>
          </w:tcPr>
          <w:p w14:paraId="038A30E3" w14:textId="77777777" w:rsidR="00C83428" w:rsidRDefault="00C83428" w:rsidP="001A5D4A">
            <w:pPr>
              <w:pStyle w:val="Note-Refs"/>
            </w:pPr>
          </w:p>
        </w:tc>
        <w:tc>
          <w:tcPr>
            <w:tcW w:w="2297" w:type="pct"/>
          </w:tcPr>
          <w:p w14:paraId="038A30E4" w14:textId="77777777" w:rsidR="00C83428" w:rsidRDefault="00C83428" w:rsidP="001A5D4A">
            <w:pPr>
              <w:pStyle w:val="NotesTable-ItemPlain"/>
              <w:rPr>
                <w:b/>
              </w:rPr>
            </w:pPr>
            <w:r>
              <w:t>Advances Other</w:t>
            </w:r>
          </w:p>
        </w:tc>
        <w:tc>
          <w:tcPr>
            <w:tcW w:w="270" w:type="pct"/>
          </w:tcPr>
          <w:p w14:paraId="038A30E5" w14:textId="77777777" w:rsidR="00C83428" w:rsidRDefault="00C83428" w:rsidP="001A5D4A">
            <w:pPr>
              <w:pStyle w:val="NotesTable-Notes"/>
            </w:pPr>
          </w:p>
        </w:tc>
        <w:tc>
          <w:tcPr>
            <w:tcW w:w="406" w:type="pct"/>
          </w:tcPr>
          <w:p w14:paraId="038A30E6" w14:textId="77777777" w:rsidR="00C83428" w:rsidRDefault="00C83428" w:rsidP="001A5D4A">
            <w:pPr>
              <w:pStyle w:val="NotesTable-CellBold"/>
            </w:pPr>
            <w:r>
              <w:t>–</w:t>
            </w:r>
          </w:p>
        </w:tc>
        <w:tc>
          <w:tcPr>
            <w:tcW w:w="406" w:type="pct"/>
          </w:tcPr>
          <w:p w14:paraId="038A30E7" w14:textId="77777777" w:rsidR="00C83428" w:rsidRDefault="00C83428" w:rsidP="001A5D4A">
            <w:pPr>
              <w:pStyle w:val="NotesTable-CellPlain"/>
            </w:pPr>
            <w:r>
              <w:t>–</w:t>
            </w:r>
          </w:p>
        </w:tc>
        <w:tc>
          <w:tcPr>
            <w:tcW w:w="406" w:type="pct"/>
          </w:tcPr>
          <w:p w14:paraId="038A30E8" w14:textId="77777777" w:rsidR="00C83428" w:rsidRDefault="00C83428" w:rsidP="001A5D4A">
            <w:pPr>
              <w:pStyle w:val="NotesTable-CellBold"/>
            </w:pPr>
            <w:r>
              <w:t>–</w:t>
            </w:r>
          </w:p>
        </w:tc>
        <w:tc>
          <w:tcPr>
            <w:tcW w:w="405" w:type="pct"/>
          </w:tcPr>
          <w:p w14:paraId="038A30E9" w14:textId="77777777" w:rsidR="00C83428" w:rsidRDefault="00C83428" w:rsidP="001A5D4A">
            <w:pPr>
              <w:pStyle w:val="NotesTable-CellPlain"/>
            </w:pPr>
            <w:r>
              <w:t>–</w:t>
            </w:r>
          </w:p>
        </w:tc>
      </w:tr>
      <w:tr w:rsidR="002601B1" w14:paraId="7D01E517" w14:textId="77777777" w:rsidTr="00E21378">
        <w:trPr>
          <w:cantSplit/>
          <w:trHeight w:hRule="exact" w:val="227"/>
        </w:trPr>
        <w:tc>
          <w:tcPr>
            <w:tcW w:w="810" w:type="pct"/>
          </w:tcPr>
          <w:p w14:paraId="4F3CBCE5" w14:textId="77777777" w:rsidR="002601B1" w:rsidRDefault="002601B1" w:rsidP="001A5D4A">
            <w:pPr>
              <w:pStyle w:val="Note-Refs"/>
            </w:pPr>
          </w:p>
        </w:tc>
        <w:tc>
          <w:tcPr>
            <w:tcW w:w="2297" w:type="pct"/>
          </w:tcPr>
          <w:p w14:paraId="6827759B" w14:textId="5F4BB007" w:rsidR="002601B1" w:rsidRDefault="002601B1" w:rsidP="001A5D4A">
            <w:pPr>
              <w:pStyle w:val="NotesTable-ItemPlain"/>
            </w:pPr>
            <w:r>
              <w:t>Income received in advance</w:t>
            </w:r>
          </w:p>
        </w:tc>
        <w:tc>
          <w:tcPr>
            <w:tcW w:w="270" w:type="pct"/>
          </w:tcPr>
          <w:p w14:paraId="4CD7A209" w14:textId="77777777" w:rsidR="002601B1" w:rsidRDefault="002601B1" w:rsidP="001A5D4A">
            <w:pPr>
              <w:pStyle w:val="NotesTable-Notes"/>
            </w:pPr>
          </w:p>
        </w:tc>
        <w:tc>
          <w:tcPr>
            <w:tcW w:w="406" w:type="pct"/>
            <w:tcBorders>
              <w:bottom w:val="single" w:sz="4" w:space="0" w:color="000000"/>
            </w:tcBorders>
          </w:tcPr>
          <w:p w14:paraId="07700E3C" w14:textId="051A0886" w:rsidR="002601B1" w:rsidRDefault="002601B1" w:rsidP="001A5D4A">
            <w:pPr>
              <w:pStyle w:val="NotesTable-CellBold"/>
            </w:pPr>
            <w:r>
              <w:t>–</w:t>
            </w:r>
          </w:p>
        </w:tc>
        <w:tc>
          <w:tcPr>
            <w:tcW w:w="406" w:type="pct"/>
            <w:tcBorders>
              <w:bottom w:val="single" w:sz="4" w:space="0" w:color="000000"/>
            </w:tcBorders>
          </w:tcPr>
          <w:p w14:paraId="70DEDAE7" w14:textId="52C5B03B" w:rsidR="002601B1" w:rsidRDefault="002601B1" w:rsidP="001A5D4A">
            <w:pPr>
              <w:pStyle w:val="NotesTable-CellPlain"/>
            </w:pPr>
            <w:r>
              <w:t>–</w:t>
            </w:r>
          </w:p>
        </w:tc>
        <w:tc>
          <w:tcPr>
            <w:tcW w:w="406" w:type="pct"/>
            <w:tcBorders>
              <w:bottom w:val="single" w:sz="4" w:space="0" w:color="000000"/>
            </w:tcBorders>
          </w:tcPr>
          <w:p w14:paraId="3080B838" w14:textId="0506A014" w:rsidR="002601B1" w:rsidRDefault="002601B1" w:rsidP="001A5D4A">
            <w:pPr>
              <w:pStyle w:val="NotesTable-CellBold"/>
            </w:pPr>
            <w:r>
              <w:t>–</w:t>
            </w:r>
          </w:p>
        </w:tc>
        <w:tc>
          <w:tcPr>
            <w:tcW w:w="405" w:type="pct"/>
            <w:tcBorders>
              <w:bottom w:val="single" w:sz="4" w:space="0" w:color="000000"/>
            </w:tcBorders>
          </w:tcPr>
          <w:p w14:paraId="55281030" w14:textId="6A37CE2B" w:rsidR="002601B1" w:rsidRDefault="002601B1" w:rsidP="001A5D4A">
            <w:pPr>
              <w:pStyle w:val="NotesTable-CellPlain"/>
            </w:pPr>
            <w:r>
              <w:t>–</w:t>
            </w:r>
          </w:p>
        </w:tc>
      </w:tr>
      <w:tr w:rsidR="00C83428" w14:paraId="038A30F2" w14:textId="77777777" w:rsidTr="00E21378">
        <w:trPr>
          <w:cantSplit/>
          <w:trHeight w:hRule="exact" w:val="227"/>
        </w:trPr>
        <w:tc>
          <w:tcPr>
            <w:tcW w:w="810" w:type="pct"/>
          </w:tcPr>
          <w:p w14:paraId="038A30EB" w14:textId="77777777" w:rsidR="00C83428" w:rsidRDefault="00C83428" w:rsidP="001A5D4A">
            <w:pPr>
              <w:pStyle w:val="Note-Refs"/>
            </w:pPr>
          </w:p>
        </w:tc>
        <w:tc>
          <w:tcPr>
            <w:tcW w:w="2297" w:type="pct"/>
          </w:tcPr>
          <w:p w14:paraId="038A30EC" w14:textId="77777777" w:rsidR="00C83428" w:rsidRDefault="00C83428" w:rsidP="001A5D4A">
            <w:pPr>
              <w:pStyle w:val="NotesTable-ItemPlain"/>
              <w:rPr>
                <w:b/>
              </w:rPr>
            </w:pPr>
            <w:r>
              <w:t>[Specify]</w:t>
            </w:r>
          </w:p>
        </w:tc>
        <w:tc>
          <w:tcPr>
            <w:tcW w:w="270" w:type="pct"/>
          </w:tcPr>
          <w:p w14:paraId="038A30ED" w14:textId="77777777" w:rsidR="00C83428" w:rsidRDefault="00C83428" w:rsidP="001A5D4A">
            <w:pPr>
              <w:pStyle w:val="NotesTable-Notes"/>
            </w:pPr>
          </w:p>
        </w:tc>
        <w:tc>
          <w:tcPr>
            <w:tcW w:w="406" w:type="pct"/>
            <w:tcBorders>
              <w:bottom w:val="single" w:sz="4" w:space="0" w:color="000000"/>
            </w:tcBorders>
          </w:tcPr>
          <w:p w14:paraId="038A30EE" w14:textId="77777777" w:rsidR="00C83428" w:rsidRDefault="00C83428" w:rsidP="001A5D4A">
            <w:pPr>
              <w:pStyle w:val="NotesTable-CellBold"/>
            </w:pPr>
            <w:r>
              <w:t>–</w:t>
            </w:r>
          </w:p>
        </w:tc>
        <w:tc>
          <w:tcPr>
            <w:tcW w:w="406" w:type="pct"/>
            <w:tcBorders>
              <w:bottom w:val="single" w:sz="4" w:space="0" w:color="000000"/>
            </w:tcBorders>
          </w:tcPr>
          <w:p w14:paraId="038A30EF" w14:textId="77777777" w:rsidR="00C83428" w:rsidRDefault="00C83428" w:rsidP="001A5D4A">
            <w:pPr>
              <w:pStyle w:val="NotesTable-CellPlain"/>
            </w:pPr>
            <w:r>
              <w:t>–</w:t>
            </w:r>
          </w:p>
        </w:tc>
        <w:tc>
          <w:tcPr>
            <w:tcW w:w="406" w:type="pct"/>
            <w:tcBorders>
              <w:bottom w:val="single" w:sz="4" w:space="0" w:color="000000"/>
            </w:tcBorders>
          </w:tcPr>
          <w:p w14:paraId="038A30F0" w14:textId="77777777" w:rsidR="00C83428" w:rsidRDefault="00C83428" w:rsidP="001A5D4A">
            <w:pPr>
              <w:pStyle w:val="NotesTable-CellBold"/>
            </w:pPr>
            <w:r>
              <w:t>–</w:t>
            </w:r>
          </w:p>
        </w:tc>
        <w:tc>
          <w:tcPr>
            <w:tcW w:w="405" w:type="pct"/>
            <w:tcBorders>
              <w:bottom w:val="single" w:sz="4" w:space="0" w:color="000000"/>
            </w:tcBorders>
          </w:tcPr>
          <w:p w14:paraId="038A30F1" w14:textId="77777777" w:rsidR="00C83428" w:rsidRDefault="00C83428" w:rsidP="001A5D4A">
            <w:pPr>
              <w:pStyle w:val="NotesTable-CellPlain"/>
            </w:pPr>
            <w:r>
              <w:t>–</w:t>
            </w:r>
          </w:p>
        </w:tc>
      </w:tr>
      <w:tr w:rsidR="00C83428" w14:paraId="038A30FA" w14:textId="77777777" w:rsidTr="00E21378">
        <w:trPr>
          <w:cantSplit/>
          <w:trHeight w:hRule="exact" w:val="227"/>
        </w:trPr>
        <w:tc>
          <w:tcPr>
            <w:tcW w:w="810" w:type="pct"/>
          </w:tcPr>
          <w:p w14:paraId="038A30F3" w14:textId="77777777" w:rsidR="00C83428" w:rsidRDefault="00C83428" w:rsidP="001A5D4A">
            <w:pPr>
              <w:pStyle w:val="Note-Refs"/>
            </w:pPr>
          </w:p>
        </w:tc>
        <w:tc>
          <w:tcPr>
            <w:tcW w:w="2297" w:type="pct"/>
            <w:shd w:val="clear" w:color="auto" w:fill="D9D9D9" w:themeFill="background1" w:themeFillShade="D9"/>
          </w:tcPr>
          <w:p w14:paraId="038A30F4" w14:textId="77777777" w:rsidR="00C83428" w:rsidRDefault="00C83428" w:rsidP="001A5D4A">
            <w:pPr>
              <w:pStyle w:val="NotesTable-ItemPlain"/>
              <w:rPr>
                <w:b/>
              </w:rPr>
            </w:pPr>
            <w:r>
              <w:t>Total current other liabilities</w:t>
            </w:r>
          </w:p>
        </w:tc>
        <w:tc>
          <w:tcPr>
            <w:tcW w:w="270" w:type="pct"/>
            <w:shd w:val="clear" w:color="auto" w:fill="D9D9D9" w:themeFill="background1" w:themeFillShade="D9"/>
          </w:tcPr>
          <w:p w14:paraId="038A30F5" w14:textId="77777777" w:rsidR="00C83428" w:rsidRDefault="00C83428" w:rsidP="001A5D4A">
            <w:pPr>
              <w:pStyle w:val="NotesTable-Notes"/>
            </w:pPr>
          </w:p>
        </w:tc>
        <w:tc>
          <w:tcPr>
            <w:tcW w:w="406" w:type="pct"/>
            <w:tcBorders>
              <w:top w:val="single" w:sz="4" w:space="0" w:color="000000"/>
            </w:tcBorders>
            <w:shd w:val="clear" w:color="auto" w:fill="D9D9D9" w:themeFill="background1" w:themeFillShade="D9"/>
          </w:tcPr>
          <w:p w14:paraId="038A30F6" w14:textId="77777777" w:rsidR="00C83428" w:rsidRDefault="00C83428" w:rsidP="001A5D4A">
            <w:pPr>
              <w:pStyle w:val="NotesTable-CellBold"/>
            </w:pPr>
            <w:r>
              <w:t>–</w:t>
            </w:r>
          </w:p>
        </w:tc>
        <w:tc>
          <w:tcPr>
            <w:tcW w:w="406" w:type="pct"/>
            <w:tcBorders>
              <w:top w:val="single" w:sz="4" w:space="0" w:color="000000"/>
            </w:tcBorders>
            <w:shd w:val="clear" w:color="auto" w:fill="D9D9D9" w:themeFill="background1" w:themeFillShade="D9"/>
          </w:tcPr>
          <w:p w14:paraId="038A30F7" w14:textId="77777777" w:rsidR="00C83428" w:rsidRDefault="00C83428" w:rsidP="001A5D4A">
            <w:pPr>
              <w:pStyle w:val="NotesTable-CellPlain"/>
            </w:pPr>
            <w:r>
              <w:t>–</w:t>
            </w:r>
          </w:p>
        </w:tc>
        <w:tc>
          <w:tcPr>
            <w:tcW w:w="406" w:type="pct"/>
            <w:tcBorders>
              <w:top w:val="single" w:sz="4" w:space="0" w:color="000000"/>
            </w:tcBorders>
            <w:shd w:val="clear" w:color="auto" w:fill="D9D9D9" w:themeFill="background1" w:themeFillShade="D9"/>
          </w:tcPr>
          <w:p w14:paraId="038A30F8" w14:textId="77777777" w:rsidR="00C83428" w:rsidRDefault="00C83428" w:rsidP="001A5D4A">
            <w:pPr>
              <w:pStyle w:val="NotesTable-CellBold"/>
            </w:pPr>
            <w:r>
              <w:t>–</w:t>
            </w:r>
          </w:p>
        </w:tc>
        <w:tc>
          <w:tcPr>
            <w:tcW w:w="405" w:type="pct"/>
            <w:tcBorders>
              <w:top w:val="single" w:sz="4" w:space="0" w:color="000000"/>
            </w:tcBorders>
            <w:shd w:val="clear" w:color="auto" w:fill="D9D9D9" w:themeFill="background1" w:themeFillShade="D9"/>
          </w:tcPr>
          <w:p w14:paraId="038A30F9" w14:textId="77777777" w:rsidR="00C83428" w:rsidRDefault="00C83428" w:rsidP="001A5D4A">
            <w:pPr>
              <w:pStyle w:val="NotesTable-CellPlain"/>
            </w:pPr>
            <w:r>
              <w:t>–</w:t>
            </w:r>
          </w:p>
        </w:tc>
      </w:tr>
      <w:tr w:rsidR="00C83428" w14:paraId="038A3102" w14:textId="77777777" w:rsidTr="00E21378">
        <w:trPr>
          <w:cantSplit/>
          <w:trHeight w:hRule="exact" w:val="227"/>
        </w:trPr>
        <w:tc>
          <w:tcPr>
            <w:tcW w:w="810" w:type="pct"/>
          </w:tcPr>
          <w:p w14:paraId="038A30FB" w14:textId="77777777" w:rsidR="00C83428" w:rsidRDefault="00C83428" w:rsidP="001A5D4A">
            <w:pPr>
              <w:pStyle w:val="Note-Refs"/>
            </w:pPr>
          </w:p>
        </w:tc>
        <w:tc>
          <w:tcPr>
            <w:tcW w:w="2297" w:type="pct"/>
          </w:tcPr>
          <w:p w14:paraId="038A30FC" w14:textId="77777777" w:rsidR="00C83428" w:rsidRDefault="00C83428" w:rsidP="001A5D4A">
            <w:pPr>
              <w:pStyle w:val="NotesTable-ItemPlain"/>
            </w:pPr>
          </w:p>
        </w:tc>
        <w:tc>
          <w:tcPr>
            <w:tcW w:w="270" w:type="pct"/>
          </w:tcPr>
          <w:p w14:paraId="038A30FD" w14:textId="77777777" w:rsidR="00C83428" w:rsidRDefault="00C83428" w:rsidP="001A5D4A">
            <w:pPr>
              <w:pStyle w:val="NotesTable-Notes"/>
            </w:pPr>
          </w:p>
        </w:tc>
        <w:tc>
          <w:tcPr>
            <w:tcW w:w="406" w:type="pct"/>
          </w:tcPr>
          <w:p w14:paraId="038A30FE" w14:textId="77777777" w:rsidR="00C83428" w:rsidRDefault="00C83428" w:rsidP="001A5D4A">
            <w:pPr>
              <w:pStyle w:val="NotesTable-CellBold"/>
            </w:pPr>
          </w:p>
        </w:tc>
        <w:tc>
          <w:tcPr>
            <w:tcW w:w="406" w:type="pct"/>
          </w:tcPr>
          <w:p w14:paraId="038A30FF" w14:textId="77777777" w:rsidR="00C83428" w:rsidRDefault="00C83428" w:rsidP="001A5D4A">
            <w:pPr>
              <w:pStyle w:val="NotesTable-CellPlain"/>
            </w:pPr>
          </w:p>
        </w:tc>
        <w:tc>
          <w:tcPr>
            <w:tcW w:w="406" w:type="pct"/>
          </w:tcPr>
          <w:p w14:paraId="038A3100" w14:textId="77777777" w:rsidR="00C83428" w:rsidRDefault="00C83428" w:rsidP="001A5D4A">
            <w:pPr>
              <w:pStyle w:val="NotesTable-CellBold"/>
            </w:pPr>
          </w:p>
        </w:tc>
        <w:tc>
          <w:tcPr>
            <w:tcW w:w="405" w:type="pct"/>
          </w:tcPr>
          <w:p w14:paraId="038A3101" w14:textId="77777777" w:rsidR="00C83428" w:rsidRDefault="00C83428" w:rsidP="001A5D4A">
            <w:pPr>
              <w:pStyle w:val="NotesTable-CellPlain"/>
            </w:pPr>
          </w:p>
        </w:tc>
      </w:tr>
      <w:tr w:rsidR="005C16B5" w14:paraId="038A3105" w14:textId="77777777" w:rsidTr="00E21378">
        <w:trPr>
          <w:cantSplit/>
          <w:trHeight w:hRule="exact" w:val="227"/>
        </w:trPr>
        <w:tc>
          <w:tcPr>
            <w:tcW w:w="810" w:type="pct"/>
          </w:tcPr>
          <w:p w14:paraId="038A3103" w14:textId="77777777" w:rsidR="005C16B5" w:rsidRDefault="005C16B5" w:rsidP="001A5D4A">
            <w:pPr>
              <w:pStyle w:val="Note-Refs"/>
            </w:pPr>
          </w:p>
        </w:tc>
        <w:tc>
          <w:tcPr>
            <w:tcW w:w="4190" w:type="pct"/>
            <w:gridSpan w:val="6"/>
          </w:tcPr>
          <w:p w14:paraId="038A3104" w14:textId="77777777" w:rsidR="005C16B5" w:rsidRDefault="005C16B5" w:rsidP="001A5D4A">
            <w:pPr>
              <w:pStyle w:val="Note-TextHeader"/>
              <w:rPr>
                <w:b w:val="0"/>
                <w:lang w:val="en-GB"/>
              </w:rPr>
            </w:pPr>
            <w:r>
              <w:t>Non-current</w:t>
            </w:r>
          </w:p>
        </w:tc>
      </w:tr>
      <w:tr w:rsidR="00C83428" w14:paraId="038A310D" w14:textId="77777777" w:rsidTr="00E21378">
        <w:trPr>
          <w:cantSplit/>
          <w:trHeight w:hRule="exact" w:val="227"/>
        </w:trPr>
        <w:tc>
          <w:tcPr>
            <w:tcW w:w="810" w:type="pct"/>
          </w:tcPr>
          <w:p w14:paraId="038A3106" w14:textId="77777777" w:rsidR="00C83428" w:rsidRDefault="00C83428" w:rsidP="001A5D4A">
            <w:pPr>
              <w:pStyle w:val="Note-Refs"/>
            </w:pPr>
          </w:p>
        </w:tc>
        <w:tc>
          <w:tcPr>
            <w:tcW w:w="2297" w:type="pct"/>
            <w:shd w:val="clear" w:color="auto" w:fill="D9D9D9" w:themeFill="background1" w:themeFillShade="D9"/>
          </w:tcPr>
          <w:p w14:paraId="038A3107" w14:textId="77777777" w:rsidR="00C83428" w:rsidRDefault="00C83428" w:rsidP="001A5D4A">
            <w:pPr>
              <w:pStyle w:val="NotesTable-ItemPlain"/>
              <w:rPr>
                <w:b/>
              </w:rPr>
            </w:pPr>
            <w:r>
              <w:t>Australian Government Unspent Financial Assistance</w:t>
            </w:r>
          </w:p>
        </w:tc>
        <w:tc>
          <w:tcPr>
            <w:tcW w:w="270" w:type="pct"/>
            <w:shd w:val="clear" w:color="auto" w:fill="D9D9D9" w:themeFill="background1" w:themeFillShade="D9"/>
          </w:tcPr>
          <w:p w14:paraId="038A3108" w14:textId="77777777" w:rsidR="00C83428" w:rsidRDefault="00C83428" w:rsidP="001A5D4A">
            <w:pPr>
              <w:pStyle w:val="NotesTable-Notes"/>
            </w:pPr>
          </w:p>
        </w:tc>
        <w:tc>
          <w:tcPr>
            <w:tcW w:w="406" w:type="pct"/>
            <w:shd w:val="clear" w:color="auto" w:fill="D9D9D9" w:themeFill="background1" w:themeFillShade="D9"/>
          </w:tcPr>
          <w:p w14:paraId="038A3109" w14:textId="77777777" w:rsidR="00C83428" w:rsidRDefault="00C83428" w:rsidP="001A5D4A">
            <w:pPr>
              <w:pStyle w:val="NotesTable-CellBold"/>
            </w:pPr>
            <w:r>
              <w:t>–</w:t>
            </w:r>
          </w:p>
        </w:tc>
        <w:tc>
          <w:tcPr>
            <w:tcW w:w="406" w:type="pct"/>
            <w:shd w:val="clear" w:color="auto" w:fill="D9D9D9" w:themeFill="background1" w:themeFillShade="D9"/>
          </w:tcPr>
          <w:p w14:paraId="038A310A" w14:textId="77777777" w:rsidR="00C83428" w:rsidRDefault="00C83428" w:rsidP="001A5D4A">
            <w:pPr>
              <w:pStyle w:val="NotesTable-CellPlain"/>
            </w:pPr>
            <w:r>
              <w:t>–</w:t>
            </w:r>
          </w:p>
        </w:tc>
        <w:tc>
          <w:tcPr>
            <w:tcW w:w="406" w:type="pct"/>
            <w:shd w:val="clear" w:color="auto" w:fill="D9D9D9" w:themeFill="background1" w:themeFillShade="D9"/>
          </w:tcPr>
          <w:p w14:paraId="038A310B" w14:textId="77777777" w:rsidR="00C83428" w:rsidRDefault="00C83428" w:rsidP="001A5D4A">
            <w:pPr>
              <w:pStyle w:val="NotesTable-CellBold"/>
            </w:pPr>
            <w:r>
              <w:t>–</w:t>
            </w:r>
          </w:p>
        </w:tc>
        <w:tc>
          <w:tcPr>
            <w:tcW w:w="405" w:type="pct"/>
            <w:shd w:val="clear" w:color="auto" w:fill="D9D9D9" w:themeFill="background1" w:themeFillShade="D9"/>
          </w:tcPr>
          <w:p w14:paraId="038A310C" w14:textId="77777777" w:rsidR="00C83428" w:rsidRDefault="00C83428" w:rsidP="001A5D4A">
            <w:pPr>
              <w:pStyle w:val="NotesTable-CellPlain"/>
            </w:pPr>
            <w:r>
              <w:t>–</w:t>
            </w:r>
          </w:p>
        </w:tc>
      </w:tr>
      <w:tr w:rsidR="00C83428" w14:paraId="038A3115" w14:textId="77777777" w:rsidTr="00E21378">
        <w:trPr>
          <w:cantSplit/>
          <w:trHeight w:hRule="exact" w:val="227"/>
        </w:trPr>
        <w:tc>
          <w:tcPr>
            <w:tcW w:w="810" w:type="pct"/>
          </w:tcPr>
          <w:p w14:paraId="038A310E" w14:textId="77777777" w:rsidR="00C83428" w:rsidRDefault="00C83428" w:rsidP="001A5D4A">
            <w:pPr>
              <w:pStyle w:val="Note-Refs"/>
            </w:pPr>
          </w:p>
        </w:tc>
        <w:tc>
          <w:tcPr>
            <w:tcW w:w="2297" w:type="pct"/>
          </w:tcPr>
          <w:p w14:paraId="038A310F" w14:textId="77777777" w:rsidR="00C83428" w:rsidRDefault="00C83428" w:rsidP="001A5D4A">
            <w:pPr>
              <w:pStyle w:val="NotesTable-ItemPlain"/>
              <w:rPr>
                <w:b/>
              </w:rPr>
            </w:pPr>
            <w:r>
              <w:t>Advances Other</w:t>
            </w:r>
          </w:p>
        </w:tc>
        <w:tc>
          <w:tcPr>
            <w:tcW w:w="270" w:type="pct"/>
          </w:tcPr>
          <w:p w14:paraId="038A3110" w14:textId="77777777" w:rsidR="00C83428" w:rsidRDefault="00C83428" w:rsidP="001A5D4A">
            <w:pPr>
              <w:pStyle w:val="NotesTable-Notes"/>
            </w:pPr>
          </w:p>
        </w:tc>
        <w:tc>
          <w:tcPr>
            <w:tcW w:w="406" w:type="pct"/>
          </w:tcPr>
          <w:p w14:paraId="038A3111" w14:textId="77777777" w:rsidR="00C83428" w:rsidRDefault="00C83428" w:rsidP="001A5D4A">
            <w:pPr>
              <w:pStyle w:val="NotesTable-CellBold"/>
            </w:pPr>
            <w:r>
              <w:t>–</w:t>
            </w:r>
          </w:p>
        </w:tc>
        <w:tc>
          <w:tcPr>
            <w:tcW w:w="406" w:type="pct"/>
          </w:tcPr>
          <w:p w14:paraId="038A3112" w14:textId="77777777" w:rsidR="00C83428" w:rsidRDefault="00C83428" w:rsidP="001A5D4A">
            <w:pPr>
              <w:pStyle w:val="NotesTable-CellPlain"/>
            </w:pPr>
            <w:r>
              <w:t>–</w:t>
            </w:r>
          </w:p>
        </w:tc>
        <w:tc>
          <w:tcPr>
            <w:tcW w:w="406" w:type="pct"/>
          </w:tcPr>
          <w:p w14:paraId="038A3113" w14:textId="77777777" w:rsidR="00C83428" w:rsidRDefault="00C83428" w:rsidP="001A5D4A">
            <w:pPr>
              <w:pStyle w:val="NotesTable-CellBold"/>
            </w:pPr>
            <w:r>
              <w:t>–</w:t>
            </w:r>
          </w:p>
        </w:tc>
        <w:tc>
          <w:tcPr>
            <w:tcW w:w="405" w:type="pct"/>
          </w:tcPr>
          <w:p w14:paraId="038A3114" w14:textId="77777777" w:rsidR="00C83428" w:rsidRDefault="00C83428" w:rsidP="001A5D4A">
            <w:pPr>
              <w:pStyle w:val="NotesTable-CellPlain"/>
            </w:pPr>
            <w:r>
              <w:t>–</w:t>
            </w:r>
          </w:p>
        </w:tc>
      </w:tr>
      <w:tr w:rsidR="002601B1" w14:paraId="07E7B65D" w14:textId="77777777" w:rsidTr="00E21378">
        <w:trPr>
          <w:cantSplit/>
          <w:trHeight w:hRule="exact" w:val="227"/>
        </w:trPr>
        <w:tc>
          <w:tcPr>
            <w:tcW w:w="810" w:type="pct"/>
          </w:tcPr>
          <w:p w14:paraId="5619A5D7" w14:textId="77777777" w:rsidR="002601B1" w:rsidRDefault="002601B1" w:rsidP="001A5D4A">
            <w:pPr>
              <w:pStyle w:val="Note-Refs"/>
            </w:pPr>
          </w:p>
        </w:tc>
        <w:tc>
          <w:tcPr>
            <w:tcW w:w="2297" w:type="pct"/>
          </w:tcPr>
          <w:p w14:paraId="30FC051E" w14:textId="79ED3C95" w:rsidR="002601B1" w:rsidRDefault="002601B1" w:rsidP="001A5D4A">
            <w:pPr>
              <w:pStyle w:val="NotesTable-ItemPlain"/>
            </w:pPr>
            <w:r>
              <w:t>Income received in advance</w:t>
            </w:r>
          </w:p>
        </w:tc>
        <w:tc>
          <w:tcPr>
            <w:tcW w:w="270" w:type="pct"/>
          </w:tcPr>
          <w:p w14:paraId="4F5D2BD6" w14:textId="77777777" w:rsidR="002601B1" w:rsidRDefault="002601B1" w:rsidP="001A5D4A">
            <w:pPr>
              <w:pStyle w:val="NotesTable-Notes"/>
            </w:pPr>
          </w:p>
        </w:tc>
        <w:tc>
          <w:tcPr>
            <w:tcW w:w="406" w:type="pct"/>
            <w:tcBorders>
              <w:bottom w:val="single" w:sz="4" w:space="0" w:color="000000"/>
            </w:tcBorders>
          </w:tcPr>
          <w:p w14:paraId="446785B6" w14:textId="06215FA1" w:rsidR="002601B1" w:rsidRDefault="002601B1" w:rsidP="001A5D4A">
            <w:pPr>
              <w:pStyle w:val="NotesTable-CellBold"/>
            </w:pPr>
            <w:r>
              <w:t>–</w:t>
            </w:r>
          </w:p>
        </w:tc>
        <w:tc>
          <w:tcPr>
            <w:tcW w:w="406" w:type="pct"/>
            <w:tcBorders>
              <w:bottom w:val="single" w:sz="4" w:space="0" w:color="000000"/>
            </w:tcBorders>
          </w:tcPr>
          <w:p w14:paraId="52817035" w14:textId="495E5BFC" w:rsidR="002601B1" w:rsidRDefault="002601B1" w:rsidP="001A5D4A">
            <w:pPr>
              <w:pStyle w:val="NotesTable-CellPlain"/>
            </w:pPr>
            <w:r>
              <w:t>–</w:t>
            </w:r>
          </w:p>
        </w:tc>
        <w:tc>
          <w:tcPr>
            <w:tcW w:w="406" w:type="pct"/>
            <w:tcBorders>
              <w:bottom w:val="single" w:sz="4" w:space="0" w:color="000000"/>
            </w:tcBorders>
          </w:tcPr>
          <w:p w14:paraId="4ABA79F8" w14:textId="43FBAABD" w:rsidR="002601B1" w:rsidRDefault="002601B1" w:rsidP="001A5D4A">
            <w:pPr>
              <w:pStyle w:val="NotesTable-CellBold"/>
            </w:pPr>
            <w:r>
              <w:t>–</w:t>
            </w:r>
          </w:p>
        </w:tc>
        <w:tc>
          <w:tcPr>
            <w:tcW w:w="405" w:type="pct"/>
            <w:tcBorders>
              <w:bottom w:val="single" w:sz="4" w:space="0" w:color="000000"/>
            </w:tcBorders>
          </w:tcPr>
          <w:p w14:paraId="6EE5FB54" w14:textId="28D1E67C" w:rsidR="002601B1" w:rsidRDefault="002601B1" w:rsidP="001A5D4A">
            <w:pPr>
              <w:pStyle w:val="NotesTable-CellPlain"/>
            </w:pPr>
            <w:r>
              <w:t>–</w:t>
            </w:r>
          </w:p>
        </w:tc>
      </w:tr>
      <w:tr w:rsidR="00C83428" w14:paraId="038A311D" w14:textId="77777777" w:rsidTr="00E21378">
        <w:trPr>
          <w:cantSplit/>
          <w:trHeight w:hRule="exact" w:val="227"/>
        </w:trPr>
        <w:tc>
          <w:tcPr>
            <w:tcW w:w="810" w:type="pct"/>
          </w:tcPr>
          <w:p w14:paraId="038A3116" w14:textId="77777777" w:rsidR="00C83428" w:rsidRDefault="00C83428" w:rsidP="001A5D4A">
            <w:pPr>
              <w:pStyle w:val="Note-Refs"/>
            </w:pPr>
          </w:p>
        </w:tc>
        <w:tc>
          <w:tcPr>
            <w:tcW w:w="2297" w:type="pct"/>
          </w:tcPr>
          <w:p w14:paraId="038A3117" w14:textId="77777777" w:rsidR="00C83428" w:rsidRDefault="00C83428" w:rsidP="001A5D4A">
            <w:pPr>
              <w:pStyle w:val="NotesTable-ItemPlain"/>
              <w:rPr>
                <w:b/>
              </w:rPr>
            </w:pPr>
            <w:r>
              <w:t>[Specify]</w:t>
            </w:r>
          </w:p>
        </w:tc>
        <w:tc>
          <w:tcPr>
            <w:tcW w:w="270" w:type="pct"/>
          </w:tcPr>
          <w:p w14:paraId="038A3118" w14:textId="77777777" w:rsidR="00C83428" w:rsidRDefault="00C83428" w:rsidP="001A5D4A">
            <w:pPr>
              <w:pStyle w:val="NotesTable-Notes"/>
            </w:pPr>
          </w:p>
        </w:tc>
        <w:tc>
          <w:tcPr>
            <w:tcW w:w="406" w:type="pct"/>
            <w:tcBorders>
              <w:bottom w:val="single" w:sz="4" w:space="0" w:color="000000"/>
            </w:tcBorders>
          </w:tcPr>
          <w:p w14:paraId="038A3119" w14:textId="77777777" w:rsidR="00C83428" w:rsidRDefault="00C83428" w:rsidP="001A5D4A">
            <w:pPr>
              <w:pStyle w:val="NotesTable-CellBold"/>
            </w:pPr>
            <w:r>
              <w:t>–</w:t>
            </w:r>
          </w:p>
        </w:tc>
        <w:tc>
          <w:tcPr>
            <w:tcW w:w="406" w:type="pct"/>
            <w:tcBorders>
              <w:bottom w:val="single" w:sz="4" w:space="0" w:color="000000"/>
            </w:tcBorders>
          </w:tcPr>
          <w:p w14:paraId="038A311A" w14:textId="77777777" w:rsidR="00C83428" w:rsidRDefault="00C83428" w:rsidP="001A5D4A">
            <w:pPr>
              <w:pStyle w:val="NotesTable-CellPlain"/>
            </w:pPr>
            <w:r>
              <w:t>–</w:t>
            </w:r>
          </w:p>
        </w:tc>
        <w:tc>
          <w:tcPr>
            <w:tcW w:w="406" w:type="pct"/>
            <w:tcBorders>
              <w:bottom w:val="single" w:sz="4" w:space="0" w:color="000000"/>
            </w:tcBorders>
          </w:tcPr>
          <w:p w14:paraId="038A311B" w14:textId="77777777" w:rsidR="00C83428" w:rsidRDefault="00C83428" w:rsidP="001A5D4A">
            <w:pPr>
              <w:pStyle w:val="NotesTable-CellBold"/>
            </w:pPr>
            <w:r>
              <w:t>–</w:t>
            </w:r>
          </w:p>
        </w:tc>
        <w:tc>
          <w:tcPr>
            <w:tcW w:w="405" w:type="pct"/>
            <w:tcBorders>
              <w:bottom w:val="single" w:sz="4" w:space="0" w:color="000000"/>
            </w:tcBorders>
          </w:tcPr>
          <w:p w14:paraId="038A311C" w14:textId="77777777" w:rsidR="00C83428" w:rsidRDefault="00C83428" w:rsidP="001A5D4A">
            <w:pPr>
              <w:pStyle w:val="NotesTable-CellPlain"/>
            </w:pPr>
            <w:r>
              <w:t>–</w:t>
            </w:r>
          </w:p>
        </w:tc>
      </w:tr>
      <w:tr w:rsidR="00C83428" w14:paraId="038A3125" w14:textId="77777777" w:rsidTr="00E21378">
        <w:trPr>
          <w:cantSplit/>
          <w:trHeight w:hRule="exact" w:val="227"/>
        </w:trPr>
        <w:tc>
          <w:tcPr>
            <w:tcW w:w="810" w:type="pct"/>
          </w:tcPr>
          <w:p w14:paraId="038A311E" w14:textId="77777777" w:rsidR="00C83428" w:rsidRDefault="00C83428" w:rsidP="001A5D4A">
            <w:pPr>
              <w:pStyle w:val="Note-Refs"/>
            </w:pPr>
          </w:p>
        </w:tc>
        <w:tc>
          <w:tcPr>
            <w:tcW w:w="2297" w:type="pct"/>
            <w:shd w:val="clear" w:color="auto" w:fill="D9D9D9" w:themeFill="background1" w:themeFillShade="D9"/>
          </w:tcPr>
          <w:p w14:paraId="038A311F" w14:textId="77777777" w:rsidR="00C83428" w:rsidRDefault="00C83428" w:rsidP="001A5D4A">
            <w:pPr>
              <w:pStyle w:val="NotesTable-ItemPlain"/>
              <w:rPr>
                <w:b/>
              </w:rPr>
            </w:pPr>
            <w:r>
              <w:t>Total non-current other liabilities</w:t>
            </w:r>
          </w:p>
        </w:tc>
        <w:tc>
          <w:tcPr>
            <w:tcW w:w="270" w:type="pct"/>
            <w:shd w:val="clear" w:color="auto" w:fill="D9D9D9" w:themeFill="background1" w:themeFillShade="D9"/>
          </w:tcPr>
          <w:p w14:paraId="038A3120" w14:textId="77777777" w:rsidR="00C83428" w:rsidRDefault="00C83428" w:rsidP="001A5D4A">
            <w:pPr>
              <w:pStyle w:val="NotesTable-Notes"/>
            </w:pPr>
          </w:p>
        </w:tc>
        <w:tc>
          <w:tcPr>
            <w:tcW w:w="406" w:type="pct"/>
            <w:tcBorders>
              <w:top w:val="single" w:sz="4" w:space="0" w:color="000000"/>
              <w:bottom w:val="single" w:sz="4" w:space="0" w:color="auto"/>
            </w:tcBorders>
            <w:shd w:val="clear" w:color="auto" w:fill="D9D9D9" w:themeFill="background1" w:themeFillShade="D9"/>
          </w:tcPr>
          <w:p w14:paraId="038A3121" w14:textId="77777777" w:rsidR="00C83428" w:rsidRDefault="00C83428" w:rsidP="001A5D4A">
            <w:pPr>
              <w:pStyle w:val="NotesTable-CellBold"/>
            </w:pPr>
            <w:r>
              <w:t>–</w:t>
            </w:r>
          </w:p>
        </w:tc>
        <w:tc>
          <w:tcPr>
            <w:tcW w:w="406" w:type="pct"/>
            <w:tcBorders>
              <w:top w:val="single" w:sz="4" w:space="0" w:color="000000"/>
              <w:bottom w:val="single" w:sz="4" w:space="0" w:color="auto"/>
            </w:tcBorders>
            <w:shd w:val="clear" w:color="auto" w:fill="D9D9D9" w:themeFill="background1" w:themeFillShade="D9"/>
          </w:tcPr>
          <w:p w14:paraId="038A3122" w14:textId="77777777" w:rsidR="00C83428" w:rsidRDefault="00C83428" w:rsidP="001A5D4A">
            <w:pPr>
              <w:pStyle w:val="NotesTable-CellPlain"/>
            </w:pPr>
            <w:r>
              <w:t>–</w:t>
            </w:r>
          </w:p>
        </w:tc>
        <w:tc>
          <w:tcPr>
            <w:tcW w:w="406" w:type="pct"/>
            <w:tcBorders>
              <w:top w:val="single" w:sz="4" w:space="0" w:color="000000"/>
              <w:bottom w:val="single" w:sz="4" w:space="0" w:color="auto"/>
            </w:tcBorders>
            <w:shd w:val="clear" w:color="auto" w:fill="D9D9D9" w:themeFill="background1" w:themeFillShade="D9"/>
          </w:tcPr>
          <w:p w14:paraId="038A3123" w14:textId="77777777" w:rsidR="00C83428" w:rsidRDefault="00C83428" w:rsidP="001A5D4A">
            <w:pPr>
              <w:pStyle w:val="NotesTable-CellBold"/>
            </w:pPr>
            <w:r>
              <w:t>–</w:t>
            </w:r>
          </w:p>
        </w:tc>
        <w:tc>
          <w:tcPr>
            <w:tcW w:w="405" w:type="pct"/>
            <w:tcBorders>
              <w:top w:val="single" w:sz="4" w:space="0" w:color="000000"/>
              <w:bottom w:val="single" w:sz="4" w:space="0" w:color="auto"/>
            </w:tcBorders>
            <w:shd w:val="clear" w:color="auto" w:fill="D9D9D9" w:themeFill="background1" w:themeFillShade="D9"/>
          </w:tcPr>
          <w:p w14:paraId="038A3124" w14:textId="77777777" w:rsidR="00C83428" w:rsidRDefault="00C83428" w:rsidP="001A5D4A">
            <w:pPr>
              <w:pStyle w:val="NotesTable-CellPlain"/>
            </w:pPr>
            <w:r>
              <w:t>–</w:t>
            </w:r>
          </w:p>
        </w:tc>
      </w:tr>
      <w:tr w:rsidR="00C83428" w14:paraId="038A312D" w14:textId="77777777" w:rsidTr="00E21378">
        <w:trPr>
          <w:cantSplit/>
          <w:trHeight w:hRule="exact" w:val="227"/>
        </w:trPr>
        <w:tc>
          <w:tcPr>
            <w:tcW w:w="810" w:type="pct"/>
          </w:tcPr>
          <w:p w14:paraId="038A3126" w14:textId="77777777" w:rsidR="00C83428" w:rsidRDefault="00C83428" w:rsidP="001A5D4A">
            <w:pPr>
              <w:pStyle w:val="Note-Refs"/>
            </w:pPr>
          </w:p>
        </w:tc>
        <w:tc>
          <w:tcPr>
            <w:tcW w:w="2297" w:type="pct"/>
            <w:shd w:val="clear" w:color="auto" w:fill="D9D9D9" w:themeFill="background1" w:themeFillShade="D9"/>
          </w:tcPr>
          <w:p w14:paraId="038A3127" w14:textId="77777777" w:rsidR="00C83428" w:rsidRDefault="00C83428" w:rsidP="001A5D4A">
            <w:pPr>
              <w:pStyle w:val="NotesTable-ItemPlain"/>
              <w:rPr>
                <w:b/>
              </w:rPr>
            </w:pPr>
            <w:r>
              <w:t>Total other liabilities</w:t>
            </w:r>
          </w:p>
        </w:tc>
        <w:tc>
          <w:tcPr>
            <w:tcW w:w="270" w:type="pct"/>
            <w:shd w:val="clear" w:color="auto" w:fill="D9D9D9" w:themeFill="background1" w:themeFillShade="D9"/>
          </w:tcPr>
          <w:p w14:paraId="038A3128" w14:textId="77777777" w:rsidR="00C83428" w:rsidRDefault="00C83428" w:rsidP="001A5D4A">
            <w:pPr>
              <w:pStyle w:val="NotesTable-Notes"/>
            </w:pPr>
          </w:p>
        </w:tc>
        <w:tc>
          <w:tcPr>
            <w:tcW w:w="406" w:type="pct"/>
            <w:tcBorders>
              <w:top w:val="single" w:sz="4" w:space="0" w:color="auto"/>
            </w:tcBorders>
            <w:shd w:val="clear" w:color="auto" w:fill="D9D9D9" w:themeFill="background1" w:themeFillShade="D9"/>
          </w:tcPr>
          <w:p w14:paraId="038A3129" w14:textId="77777777" w:rsidR="00C83428" w:rsidRDefault="00C83428" w:rsidP="001A5D4A">
            <w:pPr>
              <w:pStyle w:val="NotesTable-CellBold"/>
            </w:pPr>
            <w:r>
              <w:t>–</w:t>
            </w:r>
          </w:p>
        </w:tc>
        <w:tc>
          <w:tcPr>
            <w:tcW w:w="406" w:type="pct"/>
            <w:tcBorders>
              <w:top w:val="single" w:sz="4" w:space="0" w:color="auto"/>
            </w:tcBorders>
            <w:shd w:val="clear" w:color="auto" w:fill="D9D9D9" w:themeFill="background1" w:themeFillShade="D9"/>
          </w:tcPr>
          <w:p w14:paraId="038A312A" w14:textId="77777777" w:rsidR="00C83428" w:rsidRDefault="00C83428" w:rsidP="001A5D4A">
            <w:pPr>
              <w:pStyle w:val="NotesTable-CellPlain"/>
            </w:pPr>
            <w:r>
              <w:t>–</w:t>
            </w:r>
          </w:p>
        </w:tc>
        <w:tc>
          <w:tcPr>
            <w:tcW w:w="406" w:type="pct"/>
            <w:tcBorders>
              <w:top w:val="single" w:sz="4" w:space="0" w:color="auto"/>
            </w:tcBorders>
            <w:shd w:val="clear" w:color="auto" w:fill="D9D9D9" w:themeFill="background1" w:themeFillShade="D9"/>
          </w:tcPr>
          <w:p w14:paraId="038A312B" w14:textId="77777777" w:rsidR="00C83428" w:rsidRDefault="00C83428" w:rsidP="001A5D4A">
            <w:pPr>
              <w:pStyle w:val="NotesTable-CellBold"/>
            </w:pPr>
            <w:r>
              <w:t>–</w:t>
            </w:r>
          </w:p>
        </w:tc>
        <w:tc>
          <w:tcPr>
            <w:tcW w:w="405" w:type="pct"/>
            <w:tcBorders>
              <w:top w:val="single" w:sz="4" w:space="0" w:color="auto"/>
            </w:tcBorders>
            <w:shd w:val="clear" w:color="auto" w:fill="D9D9D9" w:themeFill="background1" w:themeFillShade="D9"/>
          </w:tcPr>
          <w:p w14:paraId="038A312C" w14:textId="77777777" w:rsidR="00C83428" w:rsidRDefault="00C83428" w:rsidP="001A5D4A">
            <w:pPr>
              <w:pStyle w:val="NotesTable-CellPlain"/>
            </w:pPr>
            <w:r>
              <w:t>–</w:t>
            </w:r>
          </w:p>
        </w:tc>
      </w:tr>
    </w:tbl>
    <w:p w14:paraId="4AF612E2" w14:textId="40382F0E" w:rsidR="00D21CB5" w:rsidRDefault="00D21CB5" w:rsidP="00EF62D6">
      <w:pPr>
        <w:pStyle w:val="Heading2"/>
      </w:pPr>
      <w:bookmarkStart w:id="363" w:name="_Toc410807654"/>
      <w:bookmarkStart w:id="364" w:name="_Toc410822715"/>
      <w:proofErr w:type="gramStart"/>
      <w:r w:rsidRPr="00D21CB5">
        <w:t>Note 35.</w:t>
      </w:r>
      <w:proofErr w:type="gramEnd"/>
      <w:r w:rsidR="004C4AAA">
        <w:t xml:space="preserve"> </w:t>
      </w:r>
      <w:r w:rsidRPr="00D21CB5">
        <w:t>Restricted funds</w:t>
      </w:r>
      <w:bookmarkEnd w:id="363"/>
      <w:bookmarkEnd w:id="364"/>
    </w:p>
    <w:tbl>
      <w:tblPr>
        <w:tblW w:w="5000" w:type="pct"/>
        <w:tblCellMar>
          <w:left w:w="0" w:type="dxa"/>
          <w:right w:w="0" w:type="dxa"/>
        </w:tblCellMar>
        <w:tblLook w:val="0000" w:firstRow="0" w:lastRow="0" w:firstColumn="0" w:lastColumn="0" w:noHBand="0" w:noVBand="0"/>
      </w:tblPr>
      <w:tblGrid>
        <w:gridCol w:w="1663"/>
        <w:gridCol w:w="4713"/>
        <w:gridCol w:w="554"/>
        <w:gridCol w:w="833"/>
        <w:gridCol w:w="833"/>
        <w:gridCol w:w="833"/>
        <w:gridCol w:w="831"/>
      </w:tblGrid>
      <w:tr w:rsidR="00C83428" w14:paraId="038A3137" w14:textId="77777777" w:rsidTr="00E21378">
        <w:trPr>
          <w:cantSplit/>
          <w:trHeight w:hRule="exact" w:val="227"/>
        </w:trPr>
        <w:tc>
          <w:tcPr>
            <w:tcW w:w="810" w:type="pct"/>
          </w:tcPr>
          <w:p w14:paraId="038A3132" w14:textId="77777777" w:rsidR="00C83428" w:rsidRDefault="00C83428" w:rsidP="001A5D4A">
            <w:pPr>
              <w:pStyle w:val="Note-Refs"/>
            </w:pPr>
          </w:p>
        </w:tc>
        <w:tc>
          <w:tcPr>
            <w:tcW w:w="2297" w:type="pct"/>
          </w:tcPr>
          <w:p w14:paraId="038A3133" w14:textId="77777777" w:rsidR="00C83428" w:rsidRDefault="00C83428" w:rsidP="001A5D4A">
            <w:pPr>
              <w:pStyle w:val="NotesTable-ItemPlain"/>
            </w:pPr>
          </w:p>
        </w:tc>
        <w:tc>
          <w:tcPr>
            <w:tcW w:w="270" w:type="pct"/>
          </w:tcPr>
          <w:p w14:paraId="038A3134" w14:textId="77777777" w:rsidR="00C83428" w:rsidRDefault="00C83428" w:rsidP="001A5D4A">
            <w:pPr>
              <w:pStyle w:val="NotesTable-Notes"/>
            </w:pPr>
          </w:p>
        </w:tc>
        <w:tc>
          <w:tcPr>
            <w:tcW w:w="811" w:type="pct"/>
            <w:gridSpan w:val="2"/>
          </w:tcPr>
          <w:p w14:paraId="038A3135" w14:textId="77777777" w:rsidR="00C83428" w:rsidRDefault="00C83428" w:rsidP="001A5D4A">
            <w:pPr>
              <w:pStyle w:val="NotesTable-HeadPlain"/>
            </w:pPr>
            <w:r>
              <w:t>Consolidated</w:t>
            </w:r>
          </w:p>
        </w:tc>
        <w:tc>
          <w:tcPr>
            <w:tcW w:w="811" w:type="pct"/>
            <w:gridSpan w:val="2"/>
          </w:tcPr>
          <w:p w14:paraId="038A3136" w14:textId="77777777" w:rsidR="00C83428" w:rsidRDefault="00C83428" w:rsidP="001A5D4A">
            <w:pPr>
              <w:pStyle w:val="NotesTable-HeadPlain"/>
            </w:pPr>
            <w:r>
              <w:t>Parent entity</w:t>
            </w:r>
          </w:p>
        </w:tc>
      </w:tr>
      <w:tr w:rsidR="00C83428" w14:paraId="038A313F" w14:textId="77777777" w:rsidTr="00E21378">
        <w:trPr>
          <w:cantSplit/>
          <w:trHeight w:hRule="exact" w:val="227"/>
        </w:trPr>
        <w:tc>
          <w:tcPr>
            <w:tcW w:w="810" w:type="pct"/>
          </w:tcPr>
          <w:p w14:paraId="038A3138" w14:textId="77777777" w:rsidR="00C83428" w:rsidRDefault="00C83428" w:rsidP="001A5D4A">
            <w:pPr>
              <w:pStyle w:val="Note-Refs"/>
            </w:pPr>
          </w:p>
        </w:tc>
        <w:tc>
          <w:tcPr>
            <w:tcW w:w="2297" w:type="pct"/>
          </w:tcPr>
          <w:p w14:paraId="038A3139" w14:textId="77777777" w:rsidR="00C83428" w:rsidRDefault="00C83428" w:rsidP="001A5D4A">
            <w:pPr>
              <w:pStyle w:val="NotesTable-ItemPlain"/>
            </w:pPr>
          </w:p>
        </w:tc>
        <w:tc>
          <w:tcPr>
            <w:tcW w:w="270" w:type="pct"/>
          </w:tcPr>
          <w:p w14:paraId="038A313A" w14:textId="77777777" w:rsidR="00C83428" w:rsidRDefault="00C83428" w:rsidP="001A5D4A">
            <w:pPr>
              <w:pStyle w:val="NotesTable-Notes"/>
            </w:pPr>
          </w:p>
        </w:tc>
        <w:tc>
          <w:tcPr>
            <w:tcW w:w="406" w:type="pct"/>
          </w:tcPr>
          <w:p w14:paraId="038A313B" w14:textId="739A0B28" w:rsidR="00C83428" w:rsidRDefault="006864EC" w:rsidP="001A5D4A">
            <w:pPr>
              <w:pStyle w:val="NotesTable-HeadBold"/>
            </w:pPr>
            <w:r>
              <w:t>2014</w:t>
            </w:r>
          </w:p>
        </w:tc>
        <w:tc>
          <w:tcPr>
            <w:tcW w:w="406" w:type="pct"/>
          </w:tcPr>
          <w:p w14:paraId="038A313C" w14:textId="77AAF26B" w:rsidR="00C83428" w:rsidRDefault="006864EC" w:rsidP="001A5D4A">
            <w:pPr>
              <w:pStyle w:val="NotesTable-HeadPlain"/>
            </w:pPr>
            <w:r>
              <w:t>2013</w:t>
            </w:r>
          </w:p>
        </w:tc>
        <w:tc>
          <w:tcPr>
            <w:tcW w:w="406" w:type="pct"/>
          </w:tcPr>
          <w:p w14:paraId="038A313D" w14:textId="7422DA7E" w:rsidR="00C83428" w:rsidRDefault="006864EC" w:rsidP="001A5D4A">
            <w:pPr>
              <w:pStyle w:val="NotesTable-HeadBold"/>
              <w:rPr>
                <w:szCs w:val="18"/>
              </w:rPr>
            </w:pPr>
            <w:r>
              <w:t>2014</w:t>
            </w:r>
          </w:p>
        </w:tc>
        <w:tc>
          <w:tcPr>
            <w:tcW w:w="406" w:type="pct"/>
          </w:tcPr>
          <w:p w14:paraId="038A313E" w14:textId="78251C11" w:rsidR="00C83428" w:rsidRDefault="006864EC" w:rsidP="001A5D4A">
            <w:pPr>
              <w:pStyle w:val="NotesTable-HeadPlain"/>
            </w:pPr>
            <w:r>
              <w:t>2013</w:t>
            </w:r>
          </w:p>
        </w:tc>
      </w:tr>
      <w:tr w:rsidR="00C83428" w14:paraId="038A3147" w14:textId="77777777" w:rsidTr="00E21378">
        <w:trPr>
          <w:cantSplit/>
          <w:trHeight w:hRule="exact" w:val="227"/>
        </w:trPr>
        <w:tc>
          <w:tcPr>
            <w:tcW w:w="810" w:type="pct"/>
          </w:tcPr>
          <w:p w14:paraId="038A3140" w14:textId="77777777" w:rsidR="00C83428" w:rsidRDefault="00C83428" w:rsidP="001A5D4A">
            <w:pPr>
              <w:pStyle w:val="Note-Refs"/>
            </w:pPr>
          </w:p>
        </w:tc>
        <w:tc>
          <w:tcPr>
            <w:tcW w:w="2297" w:type="pct"/>
          </w:tcPr>
          <w:p w14:paraId="038A3141" w14:textId="77777777" w:rsidR="00C83428" w:rsidRDefault="00C83428" w:rsidP="001A5D4A">
            <w:pPr>
              <w:pStyle w:val="NotesTable-ItemPlain"/>
            </w:pPr>
          </w:p>
        </w:tc>
        <w:tc>
          <w:tcPr>
            <w:tcW w:w="270" w:type="pct"/>
          </w:tcPr>
          <w:p w14:paraId="038A3142" w14:textId="77777777" w:rsidR="00C83428" w:rsidRDefault="00C83428" w:rsidP="001A5D4A">
            <w:pPr>
              <w:pStyle w:val="NotesTable-Notes"/>
            </w:pPr>
          </w:p>
        </w:tc>
        <w:tc>
          <w:tcPr>
            <w:tcW w:w="406" w:type="pct"/>
          </w:tcPr>
          <w:p w14:paraId="038A3143" w14:textId="77777777" w:rsidR="00C83428" w:rsidRDefault="00C83428" w:rsidP="001A5D4A">
            <w:pPr>
              <w:pStyle w:val="NotesTable-HeadBold"/>
            </w:pPr>
            <w:r>
              <w:t>$’000</w:t>
            </w:r>
          </w:p>
        </w:tc>
        <w:tc>
          <w:tcPr>
            <w:tcW w:w="406" w:type="pct"/>
          </w:tcPr>
          <w:p w14:paraId="038A3144" w14:textId="77777777" w:rsidR="00C83428" w:rsidRDefault="00C83428" w:rsidP="001A5D4A">
            <w:pPr>
              <w:pStyle w:val="NotesTable-HeadPlain"/>
            </w:pPr>
            <w:r>
              <w:t>$’000</w:t>
            </w:r>
          </w:p>
        </w:tc>
        <w:tc>
          <w:tcPr>
            <w:tcW w:w="406" w:type="pct"/>
          </w:tcPr>
          <w:p w14:paraId="038A3145" w14:textId="77777777" w:rsidR="00C83428" w:rsidRDefault="00C83428" w:rsidP="001A5D4A">
            <w:pPr>
              <w:pStyle w:val="NotesTable-HeadBold"/>
              <w:rPr>
                <w:szCs w:val="18"/>
              </w:rPr>
            </w:pPr>
            <w:r>
              <w:t>$’000</w:t>
            </w:r>
          </w:p>
        </w:tc>
        <w:tc>
          <w:tcPr>
            <w:tcW w:w="406" w:type="pct"/>
          </w:tcPr>
          <w:p w14:paraId="038A3146" w14:textId="77777777" w:rsidR="00C83428" w:rsidRDefault="00C83428" w:rsidP="001A5D4A">
            <w:pPr>
              <w:pStyle w:val="NotesTable-HeadPlain"/>
            </w:pPr>
            <w:r>
              <w:t>$’000</w:t>
            </w:r>
          </w:p>
        </w:tc>
      </w:tr>
      <w:tr w:rsidR="00233AC1" w14:paraId="038A314A" w14:textId="77777777" w:rsidTr="00E21378">
        <w:trPr>
          <w:cantSplit/>
          <w:trHeight w:hRule="exact" w:val="227"/>
        </w:trPr>
        <w:tc>
          <w:tcPr>
            <w:tcW w:w="810" w:type="pct"/>
          </w:tcPr>
          <w:p w14:paraId="038A3148" w14:textId="77777777" w:rsidR="00233AC1" w:rsidRDefault="00233AC1" w:rsidP="001A5D4A">
            <w:pPr>
              <w:pStyle w:val="Note-Refs"/>
              <w:rPr>
                <w:b/>
              </w:rPr>
            </w:pPr>
            <w:r>
              <w:t>AASB101.79,80</w:t>
            </w:r>
          </w:p>
        </w:tc>
        <w:tc>
          <w:tcPr>
            <w:tcW w:w="4190" w:type="pct"/>
            <w:gridSpan w:val="6"/>
          </w:tcPr>
          <w:p w14:paraId="038A3149" w14:textId="77777777" w:rsidR="00233AC1" w:rsidRDefault="00233AC1" w:rsidP="001A5D4A">
            <w:pPr>
              <w:pStyle w:val="Note-TextHeader"/>
              <w:rPr>
                <w:lang w:val="en-GB"/>
              </w:rPr>
            </w:pPr>
            <w:r>
              <w:t>[Specify]</w:t>
            </w:r>
          </w:p>
        </w:tc>
      </w:tr>
      <w:tr w:rsidR="00C83428" w14:paraId="038A3152" w14:textId="77777777" w:rsidTr="00E21378">
        <w:trPr>
          <w:cantSplit/>
          <w:trHeight w:hRule="exact" w:val="227"/>
        </w:trPr>
        <w:tc>
          <w:tcPr>
            <w:tcW w:w="810" w:type="pct"/>
          </w:tcPr>
          <w:p w14:paraId="038A314B" w14:textId="77777777" w:rsidR="00C83428" w:rsidRDefault="00C83428" w:rsidP="001A5D4A">
            <w:pPr>
              <w:pStyle w:val="Note-Refs"/>
            </w:pPr>
          </w:p>
        </w:tc>
        <w:tc>
          <w:tcPr>
            <w:tcW w:w="2297" w:type="pct"/>
          </w:tcPr>
          <w:p w14:paraId="038A314C" w14:textId="77777777" w:rsidR="00C83428" w:rsidRDefault="00C83428" w:rsidP="001A5D4A">
            <w:pPr>
              <w:pStyle w:val="NotesTable-ItemPlain"/>
              <w:rPr>
                <w:b/>
              </w:rPr>
            </w:pPr>
            <w:r>
              <w:t>Accumulated funds at 1 Jan</w:t>
            </w:r>
          </w:p>
        </w:tc>
        <w:tc>
          <w:tcPr>
            <w:tcW w:w="270" w:type="pct"/>
          </w:tcPr>
          <w:p w14:paraId="038A314D" w14:textId="77777777" w:rsidR="00C83428" w:rsidRDefault="00C83428" w:rsidP="001A5D4A">
            <w:pPr>
              <w:pStyle w:val="NotesTable-Notes"/>
            </w:pPr>
          </w:p>
        </w:tc>
        <w:tc>
          <w:tcPr>
            <w:tcW w:w="406" w:type="pct"/>
          </w:tcPr>
          <w:p w14:paraId="038A314E" w14:textId="77777777" w:rsidR="00C83428" w:rsidRDefault="00C83428" w:rsidP="001A5D4A">
            <w:pPr>
              <w:pStyle w:val="NotesTable-CellBold"/>
            </w:pPr>
            <w:r>
              <w:t>–</w:t>
            </w:r>
          </w:p>
        </w:tc>
        <w:tc>
          <w:tcPr>
            <w:tcW w:w="406" w:type="pct"/>
          </w:tcPr>
          <w:p w14:paraId="038A314F" w14:textId="77777777" w:rsidR="00C83428" w:rsidRDefault="00C83428" w:rsidP="001A5D4A">
            <w:pPr>
              <w:pStyle w:val="NotesTable-CellPlain"/>
            </w:pPr>
            <w:r>
              <w:t>–</w:t>
            </w:r>
          </w:p>
        </w:tc>
        <w:tc>
          <w:tcPr>
            <w:tcW w:w="406" w:type="pct"/>
          </w:tcPr>
          <w:p w14:paraId="038A3150" w14:textId="77777777" w:rsidR="00C83428" w:rsidRDefault="00C83428" w:rsidP="001A5D4A">
            <w:pPr>
              <w:pStyle w:val="NotesTable-CellBold"/>
            </w:pPr>
            <w:r>
              <w:t>–</w:t>
            </w:r>
          </w:p>
        </w:tc>
        <w:tc>
          <w:tcPr>
            <w:tcW w:w="406" w:type="pct"/>
          </w:tcPr>
          <w:p w14:paraId="038A3151" w14:textId="77777777" w:rsidR="00C83428" w:rsidRDefault="00C83428" w:rsidP="001A5D4A">
            <w:pPr>
              <w:pStyle w:val="NotesTable-CellPlain"/>
            </w:pPr>
            <w:r>
              <w:t>–</w:t>
            </w:r>
          </w:p>
        </w:tc>
      </w:tr>
      <w:tr w:rsidR="00C83428" w14:paraId="038A315A" w14:textId="77777777" w:rsidTr="00E21378">
        <w:trPr>
          <w:cantSplit/>
          <w:trHeight w:hRule="exact" w:val="227"/>
        </w:trPr>
        <w:tc>
          <w:tcPr>
            <w:tcW w:w="810" w:type="pct"/>
          </w:tcPr>
          <w:p w14:paraId="038A3153" w14:textId="77777777" w:rsidR="00C83428" w:rsidRDefault="00C83428" w:rsidP="001A5D4A">
            <w:pPr>
              <w:pStyle w:val="Note-Refs"/>
            </w:pPr>
          </w:p>
        </w:tc>
        <w:tc>
          <w:tcPr>
            <w:tcW w:w="2297" w:type="pct"/>
          </w:tcPr>
          <w:p w14:paraId="038A3154" w14:textId="77777777" w:rsidR="00C83428" w:rsidRDefault="00C83428" w:rsidP="001A5D4A">
            <w:pPr>
              <w:pStyle w:val="NotesTable-ItemPlain"/>
              <w:rPr>
                <w:b/>
              </w:rPr>
            </w:pPr>
            <w:r>
              <w:t>[Specify inflows]</w:t>
            </w:r>
          </w:p>
        </w:tc>
        <w:tc>
          <w:tcPr>
            <w:tcW w:w="270" w:type="pct"/>
          </w:tcPr>
          <w:p w14:paraId="038A3155" w14:textId="77777777" w:rsidR="00C83428" w:rsidRDefault="00C83428" w:rsidP="001A5D4A">
            <w:pPr>
              <w:pStyle w:val="NotesTable-Notes"/>
            </w:pPr>
          </w:p>
        </w:tc>
        <w:tc>
          <w:tcPr>
            <w:tcW w:w="406" w:type="pct"/>
          </w:tcPr>
          <w:p w14:paraId="038A3156" w14:textId="77777777" w:rsidR="00C83428" w:rsidRDefault="00C83428" w:rsidP="001A5D4A">
            <w:pPr>
              <w:pStyle w:val="NotesTable-CellBold"/>
            </w:pPr>
            <w:r>
              <w:t>–</w:t>
            </w:r>
          </w:p>
        </w:tc>
        <w:tc>
          <w:tcPr>
            <w:tcW w:w="406" w:type="pct"/>
          </w:tcPr>
          <w:p w14:paraId="038A3157" w14:textId="77777777" w:rsidR="00C83428" w:rsidRDefault="00C83428" w:rsidP="001A5D4A">
            <w:pPr>
              <w:pStyle w:val="NotesTable-CellPlain"/>
            </w:pPr>
            <w:r>
              <w:t>–</w:t>
            </w:r>
          </w:p>
        </w:tc>
        <w:tc>
          <w:tcPr>
            <w:tcW w:w="406" w:type="pct"/>
          </w:tcPr>
          <w:p w14:paraId="038A3158" w14:textId="77777777" w:rsidR="00C83428" w:rsidRDefault="00C83428" w:rsidP="001A5D4A">
            <w:pPr>
              <w:pStyle w:val="NotesTable-CellBold"/>
            </w:pPr>
            <w:r>
              <w:t>–</w:t>
            </w:r>
          </w:p>
        </w:tc>
        <w:tc>
          <w:tcPr>
            <w:tcW w:w="406" w:type="pct"/>
          </w:tcPr>
          <w:p w14:paraId="038A3159" w14:textId="77777777" w:rsidR="00C83428" w:rsidRDefault="00C83428" w:rsidP="001A5D4A">
            <w:pPr>
              <w:pStyle w:val="NotesTable-CellPlain"/>
            </w:pPr>
            <w:r>
              <w:t>–</w:t>
            </w:r>
          </w:p>
        </w:tc>
      </w:tr>
      <w:tr w:rsidR="00C83428" w14:paraId="038A3162" w14:textId="77777777" w:rsidTr="00E21378">
        <w:trPr>
          <w:cantSplit/>
          <w:trHeight w:hRule="exact" w:val="227"/>
        </w:trPr>
        <w:tc>
          <w:tcPr>
            <w:tcW w:w="810" w:type="pct"/>
          </w:tcPr>
          <w:p w14:paraId="038A315B" w14:textId="77777777" w:rsidR="00C83428" w:rsidRDefault="00C83428" w:rsidP="001A5D4A">
            <w:pPr>
              <w:pStyle w:val="Note-Refs"/>
            </w:pPr>
          </w:p>
        </w:tc>
        <w:tc>
          <w:tcPr>
            <w:tcW w:w="2297" w:type="pct"/>
          </w:tcPr>
          <w:p w14:paraId="038A315C" w14:textId="77777777" w:rsidR="00C83428" w:rsidRDefault="00C83428" w:rsidP="001A5D4A">
            <w:pPr>
              <w:pStyle w:val="NotesTable-ItemPlain"/>
              <w:rPr>
                <w:b/>
              </w:rPr>
            </w:pPr>
            <w:r>
              <w:t>[Specify outflows]</w:t>
            </w:r>
          </w:p>
        </w:tc>
        <w:tc>
          <w:tcPr>
            <w:tcW w:w="270" w:type="pct"/>
          </w:tcPr>
          <w:p w14:paraId="038A315D" w14:textId="77777777" w:rsidR="00C83428" w:rsidRDefault="00C83428" w:rsidP="001A5D4A">
            <w:pPr>
              <w:pStyle w:val="NotesTable-Notes"/>
            </w:pPr>
          </w:p>
        </w:tc>
        <w:tc>
          <w:tcPr>
            <w:tcW w:w="406" w:type="pct"/>
            <w:tcBorders>
              <w:bottom w:val="single" w:sz="4" w:space="0" w:color="000000"/>
            </w:tcBorders>
          </w:tcPr>
          <w:p w14:paraId="038A315E" w14:textId="77777777" w:rsidR="00C83428" w:rsidRDefault="00C83428" w:rsidP="001A5D4A">
            <w:pPr>
              <w:pStyle w:val="NotesTable-CellBold"/>
            </w:pPr>
            <w:r>
              <w:t>–</w:t>
            </w:r>
          </w:p>
        </w:tc>
        <w:tc>
          <w:tcPr>
            <w:tcW w:w="406" w:type="pct"/>
            <w:tcBorders>
              <w:bottom w:val="single" w:sz="4" w:space="0" w:color="000000"/>
            </w:tcBorders>
          </w:tcPr>
          <w:p w14:paraId="038A315F" w14:textId="77777777" w:rsidR="00C83428" w:rsidRDefault="00C83428" w:rsidP="001A5D4A">
            <w:pPr>
              <w:pStyle w:val="NotesTable-CellPlain"/>
            </w:pPr>
            <w:r>
              <w:t>–</w:t>
            </w:r>
          </w:p>
        </w:tc>
        <w:tc>
          <w:tcPr>
            <w:tcW w:w="406" w:type="pct"/>
            <w:tcBorders>
              <w:bottom w:val="single" w:sz="4" w:space="0" w:color="000000"/>
            </w:tcBorders>
          </w:tcPr>
          <w:p w14:paraId="038A3160" w14:textId="77777777" w:rsidR="00C83428" w:rsidRDefault="00C83428" w:rsidP="001A5D4A">
            <w:pPr>
              <w:pStyle w:val="NotesTable-CellBold"/>
            </w:pPr>
            <w:r>
              <w:t>–</w:t>
            </w:r>
          </w:p>
        </w:tc>
        <w:tc>
          <w:tcPr>
            <w:tcW w:w="406" w:type="pct"/>
            <w:tcBorders>
              <w:bottom w:val="single" w:sz="4" w:space="0" w:color="000000"/>
            </w:tcBorders>
          </w:tcPr>
          <w:p w14:paraId="038A3161" w14:textId="77777777" w:rsidR="00C83428" w:rsidRDefault="00C83428" w:rsidP="001A5D4A">
            <w:pPr>
              <w:pStyle w:val="NotesTable-CellPlain"/>
            </w:pPr>
            <w:r>
              <w:t>–</w:t>
            </w:r>
          </w:p>
        </w:tc>
      </w:tr>
      <w:tr w:rsidR="00C83428" w14:paraId="038A316A" w14:textId="77777777" w:rsidTr="00E21378">
        <w:trPr>
          <w:cantSplit/>
          <w:trHeight w:hRule="exact" w:val="227"/>
        </w:trPr>
        <w:tc>
          <w:tcPr>
            <w:tcW w:w="810" w:type="pct"/>
          </w:tcPr>
          <w:p w14:paraId="038A3163" w14:textId="77777777" w:rsidR="00C83428" w:rsidRDefault="00C83428" w:rsidP="001A5D4A">
            <w:pPr>
              <w:pStyle w:val="Note-Refs"/>
            </w:pPr>
          </w:p>
        </w:tc>
        <w:tc>
          <w:tcPr>
            <w:tcW w:w="2297" w:type="pct"/>
          </w:tcPr>
          <w:p w14:paraId="038A3164" w14:textId="77777777" w:rsidR="00C83428" w:rsidRDefault="00C83428" w:rsidP="001A5D4A">
            <w:pPr>
              <w:pStyle w:val="NotesTable-ItemPlain"/>
              <w:rPr>
                <w:b/>
              </w:rPr>
            </w:pPr>
            <w:r>
              <w:t>Accumulated funds at 31 Dec</w:t>
            </w:r>
          </w:p>
        </w:tc>
        <w:tc>
          <w:tcPr>
            <w:tcW w:w="270" w:type="pct"/>
          </w:tcPr>
          <w:p w14:paraId="038A3165" w14:textId="77777777" w:rsidR="00C83428" w:rsidRDefault="00C83428" w:rsidP="001A5D4A">
            <w:pPr>
              <w:pStyle w:val="NotesTable-Notes"/>
            </w:pPr>
          </w:p>
        </w:tc>
        <w:tc>
          <w:tcPr>
            <w:tcW w:w="406" w:type="pct"/>
            <w:tcBorders>
              <w:top w:val="single" w:sz="4" w:space="0" w:color="000000"/>
            </w:tcBorders>
          </w:tcPr>
          <w:p w14:paraId="038A3166" w14:textId="77777777" w:rsidR="00C83428" w:rsidRDefault="00C83428" w:rsidP="001A5D4A">
            <w:pPr>
              <w:pStyle w:val="NotesTable-CellBold"/>
            </w:pPr>
            <w:r>
              <w:t>–</w:t>
            </w:r>
          </w:p>
        </w:tc>
        <w:tc>
          <w:tcPr>
            <w:tcW w:w="406" w:type="pct"/>
            <w:tcBorders>
              <w:top w:val="single" w:sz="4" w:space="0" w:color="000000"/>
            </w:tcBorders>
          </w:tcPr>
          <w:p w14:paraId="038A3167" w14:textId="77777777" w:rsidR="00C83428" w:rsidRDefault="00C83428" w:rsidP="001A5D4A">
            <w:pPr>
              <w:pStyle w:val="NotesTable-CellPlain"/>
            </w:pPr>
            <w:r>
              <w:t>–</w:t>
            </w:r>
          </w:p>
        </w:tc>
        <w:tc>
          <w:tcPr>
            <w:tcW w:w="406" w:type="pct"/>
            <w:tcBorders>
              <w:top w:val="single" w:sz="4" w:space="0" w:color="000000"/>
            </w:tcBorders>
          </w:tcPr>
          <w:p w14:paraId="038A3168" w14:textId="77777777" w:rsidR="00C83428" w:rsidRDefault="00C83428" w:rsidP="001A5D4A">
            <w:pPr>
              <w:pStyle w:val="NotesTable-CellBold"/>
            </w:pPr>
            <w:r>
              <w:t>–</w:t>
            </w:r>
          </w:p>
        </w:tc>
        <w:tc>
          <w:tcPr>
            <w:tcW w:w="406" w:type="pct"/>
            <w:tcBorders>
              <w:top w:val="single" w:sz="4" w:space="0" w:color="000000"/>
            </w:tcBorders>
          </w:tcPr>
          <w:p w14:paraId="038A3169" w14:textId="77777777" w:rsidR="00C83428" w:rsidRDefault="00C83428" w:rsidP="001A5D4A">
            <w:pPr>
              <w:pStyle w:val="NotesTable-CellPlain"/>
            </w:pPr>
            <w:r>
              <w:t>–</w:t>
            </w:r>
          </w:p>
        </w:tc>
      </w:tr>
      <w:tr w:rsidR="00C83428" w14:paraId="038A3172" w14:textId="77777777" w:rsidTr="00E21378">
        <w:trPr>
          <w:cantSplit/>
          <w:trHeight w:hRule="exact" w:val="227"/>
        </w:trPr>
        <w:tc>
          <w:tcPr>
            <w:tcW w:w="810" w:type="pct"/>
          </w:tcPr>
          <w:p w14:paraId="038A316B" w14:textId="77777777" w:rsidR="00C83428" w:rsidRDefault="00C83428" w:rsidP="001A5D4A">
            <w:pPr>
              <w:pStyle w:val="Note-Refs"/>
            </w:pPr>
          </w:p>
        </w:tc>
        <w:tc>
          <w:tcPr>
            <w:tcW w:w="2297" w:type="pct"/>
          </w:tcPr>
          <w:p w14:paraId="038A316C" w14:textId="77777777" w:rsidR="00C83428" w:rsidRDefault="00C83428" w:rsidP="001A5D4A">
            <w:pPr>
              <w:pStyle w:val="NotesTable-ItemPlain"/>
            </w:pPr>
          </w:p>
        </w:tc>
        <w:tc>
          <w:tcPr>
            <w:tcW w:w="270" w:type="pct"/>
          </w:tcPr>
          <w:p w14:paraId="038A316D" w14:textId="77777777" w:rsidR="00C83428" w:rsidRDefault="00C83428" w:rsidP="001A5D4A">
            <w:pPr>
              <w:pStyle w:val="NotesTable-Notes"/>
            </w:pPr>
          </w:p>
        </w:tc>
        <w:tc>
          <w:tcPr>
            <w:tcW w:w="406" w:type="pct"/>
          </w:tcPr>
          <w:p w14:paraId="038A316E" w14:textId="77777777" w:rsidR="00C83428" w:rsidRDefault="00C83428" w:rsidP="001A5D4A">
            <w:pPr>
              <w:pStyle w:val="NotesTable-CellBold"/>
            </w:pPr>
          </w:p>
        </w:tc>
        <w:tc>
          <w:tcPr>
            <w:tcW w:w="406" w:type="pct"/>
          </w:tcPr>
          <w:p w14:paraId="038A316F" w14:textId="77777777" w:rsidR="00C83428" w:rsidRDefault="00C83428" w:rsidP="001A5D4A">
            <w:pPr>
              <w:pStyle w:val="NotesTable-CellPlain"/>
            </w:pPr>
          </w:p>
        </w:tc>
        <w:tc>
          <w:tcPr>
            <w:tcW w:w="406" w:type="pct"/>
          </w:tcPr>
          <w:p w14:paraId="038A3170" w14:textId="77777777" w:rsidR="00C83428" w:rsidRDefault="00C83428" w:rsidP="001A5D4A">
            <w:pPr>
              <w:pStyle w:val="NotesTable-CellBold"/>
            </w:pPr>
          </w:p>
        </w:tc>
        <w:tc>
          <w:tcPr>
            <w:tcW w:w="406" w:type="pct"/>
          </w:tcPr>
          <w:p w14:paraId="038A3171" w14:textId="77777777" w:rsidR="00C83428" w:rsidRDefault="00C83428" w:rsidP="001A5D4A">
            <w:pPr>
              <w:pStyle w:val="NotesTable-CellPlain"/>
            </w:pPr>
          </w:p>
        </w:tc>
      </w:tr>
      <w:tr w:rsidR="00C83428" w14:paraId="038A317A" w14:textId="77777777" w:rsidTr="00E21378">
        <w:trPr>
          <w:cantSplit/>
          <w:trHeight w:hRule="exact" w:val="227"/>
        </w:trPr>
        <w:tc>
          <w:tcPr>
            <w:tcW w:w="810" w:type="pct"/>
          </w:tcPr>
          <w:p w14:paraId="038A3173" w14:textId="77777777" w:rsidR="00C83428" w:rsidRDefault="00C83428" w:rsidP="001A5D4A">
            <w:pPr>
              <w:pStyle w:val="Note-Refs"/>
            </w:pPr>
          </w:p>
        </w:tc>
        <w:tc>
          <w:tcPr>
            <w:tcW w:w="2297" w:type="pct"/>
          </w:tcPr>
          <w:p w14:paraId="038A3174" w14:textId="77777777" w:rsidR="00C83428" w:rsidRDefault="00C83428" w:rsidP="001A5D4A">
            <w:pPr>
              <w:pStyle w:val="NotesTable-ItemPlain"/>
              <w:rPr>
                <w:b/>
              </w:rPr>
            </w:pPr>
            <w:r>
              <w:t>Total restricted funds</w:t>
            </w:r>
          </w:p>
        </w:tc>
        <w:tc>
          <w:tcPr>
            <w:tcW w:w="270" w:type="pct"/>
          </w:tcPr>
          <w:p w14:paraId="038A3175" w14:textId="77777777" w:rsidR="00C83428" w:rsidRDefault="00C83428" w:rsidP="001A5D4A">
            <w:pPr>
              <w:pStyle w:val="NotesTable-Notes"/>
            </w:pPr>
          </w:p>
        </w:tc>
        <w:tc>
          <w:tcPr>
            <w:tcW w:w="406" w:type="pct"/>
          </w:tcPr>
          <w:p w14:paraId="038A3176" w14:textId="77777777" w:rsidR="00C83428" w:rsidRDefault="00C83428" w:rsidP="001A5D4A">
            <w:pPr>
              <w:pStyle w:val="NotesTable-CellBold"/>
            </w:pPr>
          </w:p>
        </w:tc>
        <w:tc>
          <w:tcPr>
            <w:tcW w:w="406" w:type="pct"/>
          </w:tcPr>
          <w:p w14:paraId="038A3177" w14:textId="77777777" w:rsidR="00C83428" w:rsidRDefault="00C83428" w:rsidP="001A5D4A">
            <w:pPr>
              <w:pStyle w:val="NotesTable-CellPlain"/>
            </w:pPr>
          </w:p>
        </w:tc>
        <w:tc>
          <w:tcPr>
            <w:tcW w:w="406" w:type="pct"/>
          </w:tcPr>
          <w:p w14:paraId="038A3178" w14:textId="77777777" w:rsidR="00C83428" w:rsidRDefault="00C83428" w:rsidP="001A5D4A">
            <w:pPr>
              <w:pStyle w:val="NotesTable-CellBold"/>
            </w:pPr>
          </w:p>
        </w:tc>
        <w:tc>
          <w:tcPr>
            <w:tcW w:w="406" w:type="pct"/>
          </w:tcPr>
          <w:p w14:paraId="038A3179" w14:textId="77777777" w:rsidR="00C83428" w:rsidRDefault="00C83428" w:rsidP="001A5D4A">
            <w:pPr>
              <w:pStyle w:val="NotesTable-CellPlain"/>
            </w:pPr>
          </w:p>
        </w:tc>
      </w:tr>
      <w:tr w:rsidR="00C83428" w14:paraId="038A3182" w14:textId="77777777" w:rsidTr="00E21378">
        <w:trPr>
          <w:cantSplit/>
          <w:trHeight w:hRule="exact" w:val="227"/>
        </w:trPr>
        <w:tc>
          <w:tcPr>
            <w:tcW w:w="810" w:type="pct"/>
          </w:tcPr>
          <w:p w14:paraId="038A317B" w14:textId="77777777" w:rsidR="00C83428" w:rsidRDefault="00C83428" w:rsidP="001A5D4A">
            <w:pPr>
              <w:pStyle w:val="Note-Refs"/>
            </w:pPr>
          </w:p>
        </w:tc>
        <w:tc>
          <w:tcPr>
            <w:tcW w:w="2297" w:type="pct"/>
          </w:tcPr>
          <w:p w14:paraId="038A317C" w14:textId="77777777" w:rsidR="00C83428" w:rsidRDefault="00C83428" w:rsidP="001A5D4A">
            <w:pPr>
              <w:pStyle w:val="NotesTable-ItemPlain"/>
              <w:rPr>
                <w:b/>
              </w:rPr>
            </w:pPr>
            <w:r>
              <w:t>Total Accumulated funds at 1 Jan</w:t>
            </w:r>
          </w:p>
        </w:tc>
        <w:tc>
          <w:tcPr>
            <w:tcW w:w="270" w:type="pct"/>
          </w:tcPr>
          <w:p w14:paraId="038A317D" w14:textId="77777777" w:rsidR="00C83428" w:rsidRDefault="00C83428" w:rsidP="001A5D4A">
            <w:pPr>
              <w:pStyle w:val="NotesTable-Notes"/>
            </w:pPr>
          </w:p>
        </w:tc>
        <w:tc>
          <w:tcPr>
            <w:tcW w:w="406" w:type="pct"/>
          </w:tcPr>
          <w:p w14:paraId="038A317E" w14:textId="77777777" w:rsidR="00C83428" w:rsidRDefault="00C83428" w:rsidP="001A5D4A">
            <w:pPr>
              <w:pStyle w:val="NotesTable-CellBold"/>
            </w:pPr>
            <w:r>
              <w:t>–</w:t>
            </w:r>
          </w:p>
        </w:tc>
        <w:tc>
          <w:tcPr>
            <w:tcW w:w="406" w:type="pct"/>
          </w:tcPr>
          <w:p w14:paraId="038A317F" w14:textId="77777777" w:rsidR="00C83428" w:rsidRDefault="00C83428" w:rsidP="001A5D4A">
            <w:pPr>
              <w:pStyle w:val="NotesTable-CellPlain"/>
            </w:pPr>
            <w:r>
              <w:t>–</w:t>
            </w:r>
          </w:p>
        </w:tc>
        <w:tc>
          <w:tcPr>
            <w:tcW w:w="406" w:type="pct"/>
          </w:tcPr>
          <w:p w14:paraId="038A3180" w14:textId="77777777" w:rsidR="00C83428" w:rsidRDefault="00C83428" w:rsidP="001A5D4A">
            <w:pPr>
              <w:pStyle w:val="NotesTable-CellBold"/>
            </w:pPr>
            <w:r>
              <w:t>–</w:t>
            </w:r>
          </w:p>
        </w:tc>
        <w:tc>
          <w:tcPr>
            <w:tcW w:w="406" w:type="pct"/>
          </w:tcPr>
          <w:p w14:paraId="038A3181" w14:textId="77777777" w:rsidR="00C83428" w:rsidRDefault="00C83428" w:rsidP="001A5D4A">
            <w:pPr>
              <w:pStyle w:val="NotesTable-CellPlain"/>
            </w:pPr>
            <w:r>
              <w:t>–</w:t>
            </w:r>
          </w:p>
        </w:tc>
      </w:tr>
      <w:tr w:rsidR="00C83428" w14:paraId="038A318A" w14:textId="77777777" w:rsidTr="00E21378">
        <w:trPr>
          <w:cantSplit/>
          <w:trHeight w:hRule="exact" w:val="227"/>
        </w:trPr>
        <w:tc>
          <w:tcPr>
            <w:tcW w:w="810" w:type="pct"/>
          </w:tcPr>
          <w:p w14:paraId="038A3183" w14:textId="77777777" w:rsidR="00C83428" w:rsidRDefault="00C83428" w:rsidP="001A5D4A">
            <w:pPr>
              <w:pStyle w:val="Note-Refs"/>
            </w:pPr>
          </w:p>
        </w:tc>
        <w:tc>
          <w:tcPr>
            <w:tcW w:w="2297" w:type="pct"/>
          </w:tcPr>
          <w:p w14:paraId="038A3184" w14:textId="77777777" w:rsidR="00C83428" w:rsidRDefault="00C83428" w:rsidP="001A5D4A">
            <w:pPr>
              <w:pStyle w:val="NotesTable-ItemPlain"/>
              <w:rPr>
                <w:b/>
              </w:rPr>
            </w:pPr>
            <w:r>
              <w:t>[Specify inflows]</w:t>
            </w:r>
          </w:p>
        </w:tc>
        <w:tc>
          <w:tcPr>
            <w:tcW w:w="270" w:type="pct"/>
          </w:tcPr>
          <w:p w14:paraId="038A3185" w14:textId="77777777" w:rsidR="00C83428" w:rsidRDefault="00C83428" w:rsidP="001A5D4A">
            <w:pPr>
              <w:pStyle w:val="NotesTable-Notes"/>
            </w:pPr>
          </w:p>
        </w:tc>
        <w:tc>
          <w:tcPr>
            <w:tcW w:w="406" w:type="pct"/>
          </w:tcPr>
          <w:p w14:paraId="038A3186" w14:textId="77777777" w:rsidR="00C83428" w:rsidRDefault="00C83428" w:rsidP="001A5D4A">
            <w:pPr>
              <w:pStyle w:val="NotesTable-CellBold"/>
            </w:pPr>
            <w:r>
              <w:t>–</w:t>
            </w:r>
          </w:p>
        </w:tc>
        <w:tc>
          <w:tcPr>
            <w:tcW w:w="406" w:type="pct"/>
          </w:tcPr>
          <w:p w14:paraId="038A3187" w14:textId="77777777" w:rsidR="00C83428" w:rsidRDefault="00C83428" w:rsidP="001A5D4A">
            <w:pPr>
              <w:pStyle w:val="NotesTable-CellPlain"/>
            </w:pPr>
            <w:r>
              <w:t>–</w:t>
            </w:r>
          </w:p>
        </w:tc>
        <w:tc>
          <w:tcPr>
            <w:tcW w:w="406" w:type="pct"/>
          </w:tcPr>
          <w:p w14:paraId="038A3188" w14:textId="77777777" w:rsidR="00C83428" w:rsidRDefault="00C83428" w:rsidP="001A5D4A">
            <w:pPr>
              <w:pStyle w:val="NotesTable-CellBold"/>
            </w:pPr>
            <w:r>
              <w:t>–</w:t>
            </w:r>
          </w:p>
        </w:tc>
        <w:tc>
          <w:tcPr>
            <w:tcW w:w="406" w:type="pct"/>
          </w:tcPr>
          <w:p w14:paraId="038A3189" w14:textId="77777777" w:rsidR="00C83428" w:rsidRDefault="00C83428" w:rsidP="001A5D4A">
            <w:pPr>
              <w:pStyle w:val="NotesTable-CellPlain"/>
            </w:pPr>
            <w:r>
              <w:t>–</w:t>
            </w:r>
          </w:p>
        </w:tc>
      </w:tr>
      <w:tr w:rsidR="00C83428" w14:paraId="038A3192" w14:textId="77777777" w:rsidTr="00E21378">
        <w:trPr>
          <w:cantSplit/>
          <w:trHeight w:hRule="exact" w:val="227"/>
        </w:trPr>
        <w:tc>
          <w:tcPr>
            <w:tcW w:w="810" w:type="pct"/>
          </w:tcPr>
          <w:p w14:paraId="038A318B" w14:textId="77777777" w:rsidR="00C83428" w:rsidRDefault="00C83428" w:rsidP="001A5D4A">
            <w:pPr>
              <w:pStyle w:val="Note-Refs"/>
            </w:pPr>
          </w:p>
        </w:tc>
        <w:tc>
          <w:tcPr>
            <w:tcW w:w="2297" w:type="pct"/>
          </w:tcPr>
          <w:p w14:paraId="038A318C" w14:textId="77777777" w:rsidR="00C83428" w:rsidRDefault="00C83428" w:rsidP="001A5D4A">
            <w:pPr>
              <w:pStyle w:val="NotesTable-ItemPlain"/>
              <w:rPr>
                <w:b/>
              </w:rPr>
            </w:pPr>
            <w:r>
              <w:t>[Specify outflows]</w:t>
            </w:r>
          </w:p>
        </w:tc>
        <w:tc>
          <w:tcPr>
            <w:tcW w:w="270" w:type="pct"/>
          </w:tcPr>
          <w:p w14:paraId="038A318D" w14:textId="77777777" w:rsidR="00C83428" w:rsidRDefault="00C83428" w:rsidP="001A5D4A">
            <w:pPr>
              <w:pStyle w:val="NotesTable-Notes"/>
            </w:pPr>
          </w:p>
        </w:tc>
        <w:tc>
          <w:tcPr>
            <w:tcW w:w="406" w:type="pct"/>
            <w:tcBorders>
              <w:bottom w:val="single" w:sz="4" w:space="0" w:color="000000"/>
            </w:tcBorders>
          </w:tcPr>
          <w:p w14:paraId="038A318E" w14:textId="77777777" w:rsidR="00C83428" w:rsidRDefault="00C83428" w:rsidP="001A5D4A">
            <w:pPr>
              <w:pStyle w:val="NotesTable-CellBold"/>
            </w:pPr>
            <w:r>
              <w:t>–</w:t>
            </w:r>
          </w:p>
        </w:tc>
        <w:tc>
          <w:tcPr>
            <w:tcW w:w="406" w:type="pct"/>
            <w:tcBorders>
              <w:bottom w:val="single" w:sz="4" w:space="0" w:color="000000"/>
            </w:tcBorders>
          </w:tcPr>
          <w:p w14:paraId="038A318F" w14:textId="77777777" w:rsidR="00C83428" w:rsidRDefault="00C83428" w:rsidP="001A5D4A">
            <w:pPr>
              <w:pStyle w:val="NotesTable-CellPlain"/>
            </w:pPr>
            <w:r>
              <w:t>–</w:t>
            </w:r>
          </w:p>
        </w:tc>
        <w:tc>
          <w:tcPr>
            <w:tcW w:w="406" w:type="pct"/>
            <w:tcBorders>
              <w:bottom w:val="single" w:sz="4" w:space="0" w:color="000000"/>
            </w:tcBorders>
          </w:tcPr>
          <w:p w14:paraId="038A3190" w14:textId="77777777" w:rsidR="00C83428" w:rsidRDefault="00C83428" w:rsidP="001A5D4A">
            <w:pPr>
              <w:pStyle w:val="NotesTable-CellBold"/>
            </w:pPr>
            <w:r>
              <w:t>–</w:t>
            </w:r>
          </w:p>
        </w:tc>
        <w:tc>
          <w:tcPr>
            <w:tcW w:w="406" w:type="pct"/>
            <w:tcBorders>
              <w:bottom w:val="single" w:sz="4" w:space="0" w:color="000000"/>
            </w:tcBorders>
          </w:tcPr>
          <w:p w14:paraId="038A3191" w14:textId="77777777" w:rsidR="00C83428" w:rsidRDefault="00C83428" w:rsidP="001A5D4A">
            <w:pPr>
              <w:pStyle w:val="NotesTable-CellPlain"/>
            </w:pPr>
            <w:r>
              <w:t>–</w:t>
            </w:r>
          </w:p>
        </w:tc>
      </w:tr>
      <w:tr w:rsidR="00C83428" w14:paraId="038A319A" w14:textId="77777777" w:rsidTr="00E21378">
        <w:trPr>
          <w:cantSplit/>
          <w:trHeight w:hRule="exact" w:val="227"/>
        </w:trPr>
        <w:tc>
          <w:tcPr>
            <w:tcW w:w="810" w:type="pct"/>
          </w:tcPr>
          <w:p w14:paraId="038A3193" w14:textId="77777777" w:rsidR="00C83428" w:rsidRDefault="00C83428" w:rsidP="001A5D4A">
            <w:pPr>
              <w:pStyle w:val="Note-Refs"/>
            </w:pPr>
          </w:p>
        </w:tc>
        <w:tc>
          <w:tcPr>
            <w:tcW w:w="2297" w:type="pct"/>
          </w:tcPr>
          <w:p w14:paraId="038A3194" w14:textId="77777777" w:rsidR="00C83428" w:rsidRDefault="00C83428" w:rsidP="001A5D4A">
            <w:pPr>
              <w:pStyle w:val="NotesTable-ItemPlain"/>
              <w:rPr>
                <w:b/>
              </w:rPr>
            </w:pPr>
            <w:r>
              <w:t>Total Accumulated funds at 31 Dec</w:t>
            </w:r>
          </w:p>
        </w:tc>
        <w:tc>
          <w:tcPr>
            <w:tcW w:w="270" w:type="pct"/>
          </w:tcPr>
          <w:p w14:paraId="038A3195" w14:textId="77777777" w:rsidR="00C83428" w:rsidRDefault="00C83428" w:rsidP="001A5D4A">
            <w:pPr>
              <w:pStyle w:val="NotesTable-Notes"/>
            </w:pPr>
          </w:p>
        </w:tc>
        <w:tc>
          <w:tcPr>
            <w:tcW w:w="406" w:type="pct"/>
            <w:tcBorders>
              <w:top w:val="single" w:sz="4" w:space="0" w:color="000000"/>
            </w:tcBorders>
          </w:tcPr>
          <w:p w14:paraId="038A3196" w14:textId="77777777" w:rsidR="00C83428" w:rsidRDefault="00C83428" w:rsidP="001A5D4A">
            <w:pPr>
              <w:pStyle w:val="NotesTable-CellBold"/>
            </w:pPr>
            <w:r>
              <w:t>–</w:t>
            </w:r>
          </w:p>
        </w:tc>
        <w:tc>
          <w:tcPr>
            <w:tcW w:w="406" w:type="pct"/>
            <w:tcBorders>
              <w:top w:val="single" w:sz="4" w:space="0" w:color="000000"/>
            </w:tcBorders>
          </w:tcPr>
          <w:p w14:paraId="038A3197" w14:textId="77777777" w:rsidR="00C83428" w:rsidRDefault="00C83428" w:rsidP="001A5D4A">
            <w:pPr>
              <w:pStyle w:val="NotesTable-CellPlain"/>
            </w:pPr>
            <w:r>
              <w:t>–</w:t>
            </w:r>
          </w:p>
        </w:tc>
        <w:tc>
          <w:tcPr>
            <w:tcW w:w="406" w:type="pct"/>
            <w:tcBorders>
              <w:top w:val="single" w:sz="4" w:space="0" w:color="000000"/>
            </w:tcBorders>
          </w:tcPr>
          <w:p w14:paraId="038A3198" w14:textId="77777777" w:rsidR="00C83428" w:rsidRDefault="00C83428" w:rsidP="001A5D4A">
            <w:pPr>
              <w:pStyle w:val="NotesTable-CellBold"/>
            </w:pPr>
            <w:r>
              <w:t>–</w:t>
            </w:r>
          </w:p>
        </w:tc>
        <w:tc>
          <w:tcPr>
            <w:tcW w:w="406" w:type="pct"/>
            <w:tcBorders>
              <w:top w:val="single" w:sz="4" w:space="0" w:color="000000"/>
            </w:tcBorders>
          </w:tcPr>
          <w:p w14:paraId="038A3199" w14:textId="77777777" w:rsidR="00C83428" w:rsidRDefault="00C83428" w:rsidP="001A5D4A">
            <w:pPr>
              <w:pStyle w:val="NotesTable-CellPlain"/>
            </w:pPr>
            <w:r>
              <w:t>–</w:t>
            </w:r>
          </w:p>
        </w:tc>
      </w:tr>
    </w:tbl>
    <w:p w14:paraId="3D94C555" w14:textId="7230D42A" w:rsidR="007D1A6F" w:rsidRPr="007D1A6F" w:rsidRDefault="007D1A6F" w:rsidP="001A5D4A">
      <w:pPr>
        <w:pStyle w:val="Heading3"/>
        <w:rPr>
          <w:color w:val="2D3E7B" w:themeColor="text2" w:themeShade="BF"/>
        </w:rPr>
      </w:pPr>
      <w:bookmarkStart w:id="365" w:name="_Toc410807655"/>
      <w:bookmarkStart w:id="366" w:name="_Toc410822716"/>
      <w:r w:rsidRPr="007D1A6F">
        <w:rPr>
          <w:color w:val="2D3E7B" w:themeColor="text2" w:themeShade="BF"/>
        </w:rPr>
        <w:t>Commentary - Restricted Funds</w:t>
      </w:r>
      <w:bookmarkEnd w:id="365"/>
      <w:bookmarkEnd w:id="366"/>
    </w:p>
    <w:p w14:paraId="64372C9E" w14:textId="4645B082" w:rsidR="007D1A6F" w:rsidRPr="00EF62D6" w:rsidRDefault="007D1A6F" w:rsidP="00F94210">
      <w:pPr>
        <w:pStyle w:val="Heading6"/>
      </w:pPr>
      <w:r w:rsidRPr="00EF62D6">
        <w:t>Education</w:t>
      </w:r>
    </w:p>
    <w:p w14:paraId="038A31AE" w14:textId="346C33D2" w:rsidR="00023312" w:rsidRPr="00D21CB5" w:rsidRDefault="007D1A6F" w:rsidP="001A5D4A">
      <w:r w:rsidRPr="007D1A6F">
        <w:rPr>
          <w:color w:val="2D3E7B" w:themeColor="text2" w:themeShade="BF"/>
        </w:rPr>
        <w:t>Where the HEP has funds or assets donated by external parties (including Government) with specific restrictions they should be reflected in the restricted funds. If this is not the case, then the HEP should record a ‘nil’ balance against restricted funds.</w:t>
      </w:r>
      <w:r w:rsidR="00B52171" w:rsidRPr="00D21CB5">
        <w:br w:type="page"/>
      </w:r>
    </w:p>
    <w:p w14:paraId="1BD9A475" w14:textId="2C4FA2D6" w:rsidR="00117880" w:rsidRDefault="00117880" w:rsidP="00EF62D6">
      <w:pPr>
        <w:pStyle w:val="Heading2"/>
      </w:pPr>
      <w:bookmarkStart w:id="367" w:name="_Toc410807656"/>
      <w:bookmarkStart w:id="368" w:name="_Toc410822717"/>
      <w:proofErr w:type="gramStart"/>
      <w:r w:rsidRPr="00117880">
        <w:lastRenderedPageBreak/>
        <w:t>Note 36.</w:t>
      </w:r>
      <w:proofErr w:type="gramEnd"/>
      <w:r>
        <w:t xml:space="preserve"> </w:t>
      </w:r>
      <w:r w:rsidRPr="00117880">
        <w:t>Reserves and retained earnings</w:t>
      </w:r>
      <w:bookmarkEnd w:id="367"/>
      <w:bookmarkEnd w:id="368"/>
    </w:p>
    <w:p w14:paraId="168E0CCA" w14:textId="77777777" w:rsidR="00117880" w:rsidRPr="00117880" w:rsidRDefault="00117880" w:rsidP="001A5D4A">
      <w:r w:rsidRPr="00117880">
        <w:t>Mandatory</w:t>
      </w:r>
    </w:p>
    <w:tbl>
      <w:tblPr>
        <w:tblW w:w="5000" w:type="pct"/>
        <w:tblCellMar>
          <w:left w:w="0" w:type="dxa"/>
          <w:right w:w="0" w:type="dxa"/>
        </w:tblCellMar>
        <w:tblLook w:val="0000" w:firstRow="0" w:lastRow="0" w:firstColumn="0" w:lastColumn="0" w:noHBand="0" w:noVBand="0"/>
      </w:tblPr>
      <w:tblGrid>
        <w:gridCol w:w="1663"/>
        <w:gridCol w:w="4713"/>
        <w:gridCol w:w="554"/>
        <w:gridCol w:w="833"/>
        <w:gridCol w:w="833"/>
        <w:gridCol w:w="833"/>
        <w:gridCol w:w="831"/>
      </w:tblGrid>
      <w:tr w:rsidR="00630A7E" w14:paraId="038A31B4" w14:textId="77777777" w:rsidTr="00463ABD">
        <w:trPr>
          <w:cantSplit/>
          <w:trHeight w:hRule="exact" w:val="227"/>
        </w:trPr>
        <w:tc>
          <w:tcPr>
            <w:tcW w:w="810" w:type="pct"/>
          </w:tcPr>
          <w:p w14:paraId="038A31B2" w14:textId="77777777" w:rsidR="00630A7E" w:rsidRDefault="00630A7E" w:rsidP="001A5D4A">
            <w:pPr>
              <w:pStyle w:val="Note-Refs"/>
            </w:pPr>
          </w:p>
        </w:tc>
        <w:tc>
          <w:tcPr>
            <w:tcW w:w="4190" w:type="pct"/>
            <w:gridSpan w:val="6"/>
            <w:vAlign w:val="bottom"/>
          </w:tcPr>
          <w:p w14:paraId="038A31B3" w14:textId="77777777" w:rsidR="00630A7E" w:rsidRDefault="00630A7E" w:rsidP="001A5D4A">
            <w:pPr>
              <w:pStyle w:val="Note-TextHeader"/>
            </w:pPr>
            <w:r>
              <w:t>(a)</w:t>
            </w:r>
            <w:r>
              <w:tab/>
              <w:t>Reserves</w:t>
            </w:r>
          </w:p>
        </w:tc>
      </w:tr>
      <w:tr w:rsidR="00023312" w14:paraId="038A31BA" w14:textId="77777777" w:rsidTr="00463ABD">
        <w:trPr>
          <w:cantSplit/>
          <w:trHeight w:hRule="exact" w:val="227"/>
        </w:trPr>
        <w:tc>
          <w:tcPr>
            <w:tcW w:w="810" w:type="pct"/>
          </w:tcPr>
          <w:p w14:paraId="038A31B5" w14:textId="77777777" w:rsidR="00023312" w:rsidRDefault="00023312" w:rsidP="001A5D4A">
            <w:pPr>
              <w:pStyle w:val="Note-Refs"/>
            </w:pPr>
          </w:p>
        </w:tc>
        <w:tc>
          <w:tcPr>
            <w:tcW w:w="2297" w:type="pct"/>
            <w:vAlign w:val="bottom"/>
          </w:tcPr>
          <w:p w14:paraId="038A31B6" w14:textId="77777777" w:rsidR="00023312" w:rsidRDefault="00023312" w:rsidP="001A5D4A">
            <w:pPr>
              <w:pStyle w:val="NotesTable-ItemPlain"/>
            </w:pPr>
          </w:p>
        </w:tc>
        <w:tc>
          <w:tcPr>
            <w:tcW w:w="270" w:type="pct"/>
          </w:tcPr>
          <w:p w14:paraId="038A31B7" w14:textId="77777777" w:rsidR="00023312" w:rsidRDefault="00023312" w:rsidP="001A5D4A">
            <w:pPr>
              <w:pStyle w:val="NotesTable-Notes"/>
            </w:pPr>
          </w:p>
        </w:tc>
        <w:tc>
          <w:tcPr>
            <w:tcW w:w="811" w:type="pct"/>
            <w:gridSpan w:val="2"/>
          </w:tcPr>
          <w:p w14:paraId="038A31B8" w14:textId="77777777" w:rsidR="00023312" w:rsidRDefault="00023312" w:rsidP="001A5D4A">
            <w:pPr>
              <w:pStyle w:val="NotesTable-HeadPlain"/>
            </w:pPr>
            <w:r>
              <w:t>Consolidated</w:t>
            </w:r>
          </w:p>
        </w:tc>
        <w:tc>
          <w:tcPr>
            <w:tcW w:w="811" w:type="pct"/>
            <w:gridSpan w:val="2"/>
          </w:tcPr>
          <w:p w14:paraId="038A31B9" w14:textId="77777777" w:rsidR="00023312" w:rsidRDefault="00023312" w:rsidP="001A5D4A">
            <w:pPr>
              <w:pStyle w:val="NotesTable-HeadPlain"/>
            </w:pPr>
            <w:r>
              <w:t>Parent entity</w:t>
            </w:r>
          </w:p>
        </w:tc>
      </w:tr>
      <w:tr w:rsidR="00C83428" w14:paraId="038A31C2" w14:textId="77777777" w:rsidTr="00463ABD">
        <w:trPr>
          <w:cantSplit/>
          <w:trHeight w:hRule="exact" w:val="227"/>
        </w:trPr>
        <w:tc>
          <w:tcPr>
            <w:tcW w:w="810" w:type="pct"/>
          </w:tcPr>
          <w:p w14:paraId="038A31BB" w14:textId="77777777" w:rsidR="00C83428" w:rsidRPr="003C77BC" w:rsidRDefault="00C83428" w:rsidP="001A5D4A">
            <w:pPr>
              <w:pStyle w:val="Note-Refs"/>
            </w:pPr>
          </w:p>
        </w:tc>
        <w:tc>
          <w:tcPr>
            <w:tcW w:w="2297" w:type="pct"/>
            <w:vAlign w:val="bottom"/>
          </w:tcPr>
          <w:p w14:paraId="038A31BC" w14:textId="77777777" w:rsidR="00C83428" w:rsidRDefault="00C83428" w:rsidP="001A5D4A">
            <w:pPr>
              <w:pStyle w:val="NotesTable-ItemPlain"/>
            </w:pPr>
          </w:p>
        </w:tc>
        <w:tc>
          <w:tcPr>
            <w:tcW w:w="270" w:type="pct"/>
          </w:tcPr>
          <w:p w14:paraId="038A31BD" w14:textId="77777777" w:rsidR="00C83428" w:rsidRDefault="00C83428" w:rsidP="001A5D4A">
            <w:pPr>
              <w:pStyle w:val="NotesTable-Notes"/>
            </w:pPr>
          </w:p>
        </w:tc>
        <w:tc>
          <w:tcPr>
            <w:tcW w:w="406" w:type="pct"/>
          </w:tcPr>
          <w:p w14:paraId="038A31BE" w14:textId="42B2A19A" w:rsidR="00C83428" w:rsidRDefault="006864EC" w:rsidP="001A5D4A">
            <w:pPr>
              <w:pStyle w:val="NotesTable-HeadBold"/>
            </w:pPr>
            <w:r>
              <w:t>2014</w:t>
            </w:r>
          </w:p>
        </w:tc>
        <w:tc>
          <w:tcPr>
            <w:tcW w:w="406" w:type="pct"/>
          </w:tcPr>
          <w:p w14:paraId="038A31BF" w14:textId="59EE5A4D" w:rsidR="00C83428" w:rsidRDefault="006864EC" w:rsidP="001A5D4A">
            <w:pPr>
              <w:pStyle w:val="NotesTable-HeadPlain"/>
            </w:pPr>
            <w:r>
              <w:t>2013</w:t>
            </w:r>
          </w:p>
        </w:tc>
        <w:tc>
          <w:tcPr>
            <w:tcW w:w="406" w:type="pct"/>
          </w:tcPr>
          <w:p w14:paraId="038A31C0" w14:textId="280B0F25" w:rsidR="00C83428" w:rsidRDefault="006864EC" w:rsidP="001A5D4A">
            <w:pPr>
              <w:pStyle w:val="NotesTable-HeadBold"/>
              <w:rPr>
                <w:szCs w:val="18"/>
              </w:rPr>
            </w:pPr>
            <w:r>
              <w:t>2014</w:t>
            </w:r>
          </w:p>
        </w:tc>
        <w:tc>
          <w:tcPr>
            <w:tcW w:w="406" w:type="pct"/>
          </w:tcPr>
          <w:p w14:paraId="038A31C1" w14:textId="4B50C9BE" w:rsidR="00C83428" w:rsidRDefault="006864EC" w:rsidP="001A5D4A">
            <w:pPr>
              <w:pStyle w:val="NotesTable-HeadPlain"/>
            </w:pPr>
            <w:r>
              <w:t>2013</w:t>
            </w:r>
          </w:p>
        </w:tc>
      </w:tr>
      <w:tr w:rsidR="00C83428" w14:paraId="038A31CA" w14:textId="77777777" w:rsidTr="00463ABD">
        <w:trPr>
          <w:cantSplit/>
          <w:trHeight w:hRule="exact" w:val="227"/>
        </w:trPr>
        <w:tc>
          <w:tcPr>
            <w:tcW w:w="810" w:type="pct"/>
          </w:tcPr>
          <w:p w14:paraId="038A31C3" w14:textId="77777777" w:rsidR="00C83428" w:rsidRPr="003C77BC" w:rsidRDefault="00C83428" w:rsidP="001A5D4A">
            <w:pPr>
              <w:pStyle w:val="Note-Refs"/>
            </w:pPr>
          </w:p>
        </w:tc>
        <w:tc>
          <w:tcPr>
            <w:tcW w:w="2297" w:type="pct"/>
            <w:vAlign w:val="bottom"/>
          </w:tcPr>
          <w:p w14:paraId="038A31C4" w14:textId="77777777" w:rsidR="00C83428" w:rsidRDefault="00C83428" w:rsidP="001A5D4A">
            <w:pPr>
              <w:pStyle w:val="NotesTable-ItemPlain"/>
            </w:pPr>
          </w:p>
        </w:tc>
        <w:tc>
          <w:tcPr>
            <w:tcW w:w="270" w:type="pct"/>
          </w:tcPr>
          <w:p w14:paraId="038A31C5" w14:textId="77777777" w:rsidR="00C83428" w:rsidRDefault="00C83428" w:rsidP="001A5D4A">
            <w:pPr>
              <w:pStyle w:val="NotesTable-Notes"/>
            </w:pPr>
          </w:p>
        </w:tc>
        <w:tc>
          <w:tcPr>
            <w:tcW w:w="406" w:type="pct"/>
          </w:tcPr>
          <w:p w14:paraId="038A31C6" w14:textId="77777777" w:rsidR="00C83428" w:rsidRDefault="00C83428" w:rsidP="001A5D4A">
            <w:pPr>
              <w:pStyle w:val="NotesTable-HeadBold"/>
            </w:pPr>
            <w:r>
              <w:t>$’000</w:t>
            </w:r>
          </w:p>
        </w:tc>
        <w:tc>
          <w:tcPr>
            <w:tcW w:w="406" w:type="pct"/>
          </w:tcPr>
          <w:p w14:paraId="038A31C7" w14:textId="77777777" w:rsidR="00C83428" w:rsidRDefault="00C83428" w:rsidP="001A5D4A">
            <w:pPr>
              <w:pStyle w:val="NotesTable-HeadPlain"/>
            </w:pPr>
            <w:r>
              <w:t>$’000</w:t>
            </w:r>
          </w:p>
        </w:tc>
        <w:tc>
          <w:tcPr>
            <w:tcW w:w="406" w:type="pct"/>
          </w:tcPr>
          <w:p w14:paraId="038A31C8" w14:textId="77777777" w:rsidR="00C83428" w:rsidRDefault="00C83428" w:rsidP="001A5D4A">
            <w:pPr>
              <w:pStyle w:val="NotesTable-HeadBold"/>
              <w:rPr>
                <w:szCs w:val="18"/>
              </w:rPr>
            </w:pPr>
            <w:r>
              <w:t>$’000</w:t>
            </w:r>
          </w:p>
        </w:tc>
        <w:tc>
          <w:tcPr>
            <w:tcW w:w="406" w:type="pct"/>
          </w:tcPr>
          <w:p w14:paraId="038A31C9" w14:textId="77777777" w:rsidR="00C83428" w:rsidRDefault="00C83428" w:rsidP="001A5D4A">
            <w:pPr>
              <w:pStyle w:val="NotesTable-HeadPlain"/>
            </w:pPr>
            <w:r>
              <w:t>$’000</w:t>
            </w:r>
          </w:p>
        </w:tc>
      </w:tr>
      <w:tr w:rsidR="00C83428" w14:paraId="038A31D2" w14:textId="77777777" w:rsidTr="00463ABD">
        <w:trPr>
          <w:cantSplit/>
          <w:trHeight w:hRule="exact" w:val="227"/>
        </w:trPr>
        <w:tc>
          <w:tcPr>
            <w:tcW w:w="810" w:type="pct"/>
          </w:tcPr>
          <w:p w14:paraId="038A31CB" w14:textId="394FC4DE" w:rsidR="00C83428" w:rsidRDefault="0018464B" w:rsidP="001A5D4A">
            <w:pPr>
              <w:pStyle w:val="Note-Refs"/>
            </w:pPr>
            <w:r>
              <w:t>EDUCATION</w:t>
            </w:r>
          </w:p>
        </w:tc>
        <w:tc>
          <w:tcPr>
            <w:tcW w:w="2297" w:type="pct"/>
            <w:shd w:val="clear" w:color="auto" w:fill="CCCCCC"/>
            <w:vAlign w:val="bottom"/>
          </w:tcPr>
          <w:p w14:paraId="038A31CC" w14:textId="77777777" w:rsidR="00C83428" w:rsidRDefault="00C83428" w:rsidP="001A5D4A">
            <w:pPr>
              <w:pStyle w:val="NotesTable-ItemPlain"/>
              <w:rPr>
                <w:b/>
              </w:rPr>
            </w:pPr>
            <w:r>
              <w:t>Property, plant and equipment revaluation surplus</w:t>
            </w:r>
          </w:p>
        </w:tc>
        <w:tc>
          <w:tcPr>
            <w:tcW w:w="270" w:type="pct"/>
            <w:shd w:val="clear" w:color="auto" w:fill="CCCCCC"/>
          </w:tcPr>
          <w:p w14:paraId="038A31CD" w14:textId="77777777" w:rsidR="00C83428" w:rsidRDefault="00C83428" w:rsidP="001A5D4A">
            <w:pPr>
              <w:pStyle w:val="NotesTable-Notes"/>
            </w:pPr>
          </w:p>
        </w:tc>
        <w:tc>
          <w:tcPr>
            <w:tcW w:w="406" w:type="pct"/>
            <w:shd w:val="clear" w:color="auto" w:fill="CCCCCC"/>
          </w:tcPr>
          <w:p w14:paraId="038A31CE" w14:textId="77777777" w:rsidR="00C83428" w:rsidRDefault="00C83428" w:rsidP="001A5D4A">
            <w:pPr>
              <w:pStyle w:val="NotesTable-CellBold"/>
            </w:pPr>
            <w:r>
              <w:t>–</w:t>
            </w:r>
          </w:p>
        </w:tc>
        <w:tc>
          <w:tcPr>
            <w:tcW w:w="406" w:type="pct"/>
            <w:shd w:val="clear" w:color="auto" w:fill="CCCCCC"/>
          </w:tcPr>
          <w:p w14:paraId="038A31CF" w14:textId="77777777" w:rsidR="00C83428" w:rsidRDefault="00C83428" w:rsidP="001A5D4A">
            <w:pPr>
              <w:pStyle w:val="NotesTable-CellPlain"/>
            </w:pPr>
            <w:r>
              <w:t>–</w:t>
            </w:r>
          </w:p>
        </w:tc>
        <w:tc>
          <w:tcPr>
            <w:tcW w:w="406" w:type="pct"/>
            <w:shd w:val="clear" w:color="auto" w:fill="CCCCCC"/>
          </w:tcPr>
          <w:p w14:paraId="038A31D0" w14:textId="77777777" w:rsidR="00C83428" w:rsidRDefault="00C83428" w:rsidP="001A5D4A">
            <w:pPr>
              <w:pStyle w:val="NotesTable-CellBold"/>
            </w:pPr>
            <w:r>
              <w:t>–</w:t>
            </w:r>
          </w:p>
        </w:tc>
        <w:tc>
          <w:tcPr>
            <w:tcW w:w="406" w:type="pct"/>
            <w:shd w:val="clear" w:color="auto" w:fill="CCCCCC"/>
          </w:tcPr>
          <w:p w14:paraId="038A31D1" w14:textId="77777777" w:rsidR="00C83428" w:rsidRDefault="00C83428" w:rsidP="001A5D4A">
            <w:pPr>
              <w:pStyle w:val="NotesTable-CellPlain"/>
            </w:pPr>
            <w:r>
              <w:t>–</w:t>
            </w:r>
          </w:p>
        </w:tc>
      </w:tr>
      <w:tr w:rsidR="00C83428" w14:paraId="038A31DA" w14:textId="77777777" w:rsidTr="00463ABD">
        <w:trPr>
          <w:cantSplit/>
          <w:trHeight w:hRule="exact" w:val="227"/>
        </w:trPr>
        <w:tc>
          <w:tcPr>
            <w:tcW w:w="810" w:type="pct"/>
          </w:tcPr>
          <w:p w14:paraId="038A31D3" w14:textId="77777777" w:rsidR="00C83428" w:rsidRDefault="00C83428" w:rsidP="001A5D4A">
            <w:pPr>
              <w:pStyle w:val="Note-Refs"/>
            </w:pPr>
          </w:p>
        </w:tc>
        <w:tc>
          <w:tcPr>
            <w:tcW w:w="2297" w:type="pct"/>
            <w:shd w:val="clear" w:color="auto" w:fill="CCCCCC"/>
            <w:vAlign w:val="bottom"/>
          </w:tcPr>
          <w:p w14:paraId="038A31D4" w14:textId="77777777" w:rsidR="00C83428" w:rsidRDefault="00C83428" w:rsidP="001A5D4A">
            <w:pPr>
              <w:pStyle w:val="NotesTable-ItemPlain"/>
              <w:rPr>
                <w:b/>
              </w:rPr>
            </w:pPr>
            <w:r>
              <w:t>Foreign currency translation surplus</w:t>
            </w:r>
          </w:p>
        </w:tc>
        <w:tc>
          <w:tcPr>
            <w:tcW w:w="270" w:type="pct"/>
            <w:shd w:val="clear" w:color="auto" w:fill="CCCCCC"/>
          </w:tcPr>
          <w:p w14:paraId="038A31D5" w14:textId="77777777" w:rsidR="00C83428" w:rsidRDefault="00C83428" w:rsidP="001A5D4A">
            <w:pPr>
              <w:pStyle w:val="NotesTable-Notes"/>
            </w:pPr>
          </w:p>
        </w:tc>
        <w:tc>
          <w:tcPr>
            <w:tcW w:w="406" w:type="pct"/>
            <w:shd w:val="clear" w:color="auto" w:fill="CCCCCC"/>
          </w:tcPr>
          <w:p w14:paraId="038A31D6" w14:textId="77777777" w:rsidR="00C83428" w:rsidRDefault="00C83428" w:rsidP="001A5D4A">
            <w:pPr>
              <w:pStyle w:val="NotesTable-CellBold"/>
            </w:pPr>
            <w:r>
              <w:t>–</w:t>
            </w:r>
          </w:p>
        </w:tc>
        <w:tc>
          <w:tcPr>
            <w:tcW w:w="406" w:type="pct"/>
            <w:shd w:val="clear" w:color="auto" w:fill="CCCCCC"/>
          </w:tcPr>
          <w:p w14:paraId="038A31D7" w14:textId="77777777" w:rsidR="00C83428" w:rsidRDefault="00C83428" w:rsidP="001A5D4A">
            <w:pPr>
              <w:pStyle w:val="NotesTable-CellPlain"/>
            </w:pPr>
            <w:r>
              <w:t>–</w:t>
            </w:r>
          </w:p>
        </w:tc>
        <w:tc>
          <w:tcPr>
            <w:tcW w:w="406" w:type="pct"/>
            <w:shd w:val="clear" w:color="auto" w:fill="CCCCCC"/>
          </w:tcPr>
          <w:p w14:paraId="038A31D8" w14:textId="77777777" w:rsidR="00C83428" w:rsidRDefault="00C83428" w:rsidP="001A5D4A">
            <w:pPr>
              <w:pStyle w:val="NotesTable-CellBold"/>
            </w:pPr>
            <w:r>
              <w:t>–</w:t>
            </w:r>
          </w:p>
        </w:tc>
        <w:tc>
          <w:tcPr>
            <w:tcW w:w="406" w:type="pct"/>
            <w:shd w:val="clear" w:color="auto" w:fill="CCCCCC"/>
          </w:tcPr>
          <w:p w14:paraId="038A31D9" w14:textId="77777777" w:rsidR="00C83428" w:rsidRDefault="00C83428" w:rsidP="001A5D4A">
            <w:pPr>
              <w:pStyle w:val="NotesTable-CellPlain"/>
            </w:pPr>
            <w:r>
              <w:t>–</w:t>
            </w:r>
          </w:p>
        </w:tc>
      </w:tr>
      <w:tr w:rsidR="00C83428" w14:paraId="038A31E2" w14:textId="77777777" w:rsidTr="00463ABD">
        <w:trPr>
          <w:cantSplit/>
          <w:trHeight w:hRule="exact" w:val="227"/>
        </w:trPr>
        <w:tc>
          <w:tcPr>
            <w:tcW w:w="810" w:type="pct"/>
          </w:tcPr>
          <w:p w14:paraId="038A31DB" w14:textId="77777777" w:rsidR="00C83428" w:rsidRDefault="00C83428" w:rsidP="001A5D4A">
            <w:pPr>
              <w:pStyle w:val="Note-Refs"/>
            </w:pPr>
          </w:p>
        </w:tc>
        <w:tc>
          <w:tcPr>
            <w:tcW w:w="2297" w:type="pct"/>
            <w:shd w:val="clear" w:color="auto" w:fill="CCCCCC"/>
            <w:vAlign w:val="bottom"/>
          </w:tcPr>
          <w:p w14:paraId="038A31DC" w14:textId="77777777" w:rsidR="00C83428" w:rsidRDefault="00C83428" w:rsidP="001A5D4A">
            <w:pPr>
              <w:pStyle w:val="NotesTable-ItemPlain"/>
              <w:rPr>
                <w:b/>
              </w:rPr>
            </w:pPr>
            <w:r>
              <w:t>[Specify]</w:t>
            </w:r>
          </w:p>
        </w:tc>
        <w:tc>
          <w:tcPr>
            <w:tcW w:w="270" w:type="pct"/>
            <w:shd w:val="clear" w:color="auto" w:fill="CCCCCC"/>
          </w:tcPr>
          <w:p w14:paraId="038A31DD" w14:textId="77777777" w:rsidR="00C83428" w:rsidRDefault="00C83428" w:rsidP="001A5D4A">
            <w:pPr>
              <w:pStyle w:val="NotesTable-Notes"/>
            </w:pPr>
          </w:p>
        </w:tc>
        <w:tc>
          <w:tcPr>
            <w:tcW w:w="406" w:type="pct"/>
            <w:tcBorders>
              <w:bottom w:val="single" w:sz="4" w:space="0" w:color="auto"/>
            </w:tcBorders>
            <w:shd w:val="clear" w:color="auto" w:fill="CCCCCC"/>
          </w:tcPr>
          <w:p w14:paraId="038A31DE" w14:textId="77777777" w:rsidR="00C83428" w:rsidRDefault="00C83428" w:rsidP="001A5D4A">
            <w:pPr>
              <w:pStyle w:val="NotesTable-CellBold"/>
            </w:pPr>
            <w:r>
              <w:t>–</w:t>
            </w:r>
          </w:p>
        </w:tc>
        <w:tc>
          <w:tcPr>
            <w:tcW w:w="406" w:type="pct"/>
            <w:tcBorders>
              <w:bottom w:val="single" w:sz="4" w:space="0" w:color="auto"/>
            </w:tcBorders>
            <w:shd w:val="clear" w:color="auto" w:fill="CCCCCC"/>
          </w:tcPr>
          <w:p w14:paraId="038A31DF" w14:textId="77777777" w:rsidR="00C83428" w:rsidRDefault="00C83428" w:rsidP="001A5D4A">
            <w:pPr>
              <w:pStyle w:val="NotesTable-CellPlain"/>
            </w:pPr>
            <w:r>
              <w:t>–</w:t>
            </w:r>
          </w:p>
        </w:tc>
        <w:tc>
          <w:tcPr>
            <w:tcW w:w="406" w:type="pct"/>
            <w:tcBorders>
              <w:bottom w:val="single" w:sz="4" w:space="0" w:color="auto"/>
            </w:tcBorders>
            <w:shd w:val="clear" w:color="auto" w:fill="CCCCCC"/>
          </w:tcPr>
          <w:p w14:paraId="038A31E0" w14:textId="77777777" w:rsidR="00C83428" w:rsidRDefault="00C83428" w:rsidP="001A5D4A">
            <w:pPr>
              <w:pStyle w:val="NotesTable-CellBold"/>
            </w:pPr>
            <w:r>
              <w:t>–</w:t>
            </w:r>
          </w:p>
        </w:tc>
        <w:tc>
          <w:tcPr>
            <w:tcW w:w="406" w:type="pct"/>
            <w:tcBorders>
              <w:bottom w:val="single" w:sz="4" w:space="0" w:color="auto"/>
            </w:tcBorders>
            <w:shd w:val="clear" w:color="auto" w:fill="CCCCCC"/>
          </w:tcPr>
          <w:p w14:paraId="038A31E1" w14:textId="77777777" w:rsidR="00C83428" w:rsidRDefault="00C83428" w:rsidP="001A5D4A">
            <w:pPr>
              <w:pStyle w:val="NotesTable-CellPlain"/>
            </w:pPr>
            <w:r>
              <w:t>–</w:t>
            </w:r>
          </w:p>
        </w:tc>
      </w:tr>
      <w:tr w:rsidR="00C83428" w14:paraId="038A31EA" w14:textId="77777777" w:rsidTr="00463ABD">
        <w:trPr>
          <w:cantSplit/>
          <w:trHeight w:hRule="exact" w:val="227"/>
        </w:trPr>
        <w:tc>
          <w:tcPr>
            <w:tcW w:w="810" w:type="pct"/>
          </w:tcPr>
          <w:p w14:paraId="038A31E3" w14:textId="77777777" w:rsidR="00C83428" w:rsidRDefault="00C83428" w:rsidP="001A5D4A">
            <w:pPr>
              <w:pStyle w:val="Note-Refs"/>
            </w:pPr>
          </w:p>
        </w:tc>
        <w:tc>
          <w:tcPr>
            <w:tcW w:w="2297" w:type="pct"/>
            <w:shd w:val="clear" w:color="auto" w:fill="CCCCCC"/>
            <w:vAlign w:val="bottom"/>
          </w:tcPr>
          <w:p w14:paraId="038A31E4" w14:textId="77777777" w:rsidR="00C83428" w:rsidRDefault="00630A7E" w:rsidP="001A5D4A">
            <w:pPr>
              <w:pStyle w:val="NotesTable-ItemPlain"/>
              <w:rPr>
                <w:b/>
              </w:rPr>
            </w:pPr>
            <w:r>
              <w:t>Total</w:t>
            </w:r>
            <w:r w:rsidR="00AB2DCE">
              <w:t xml:space="preserve"> reserves</w:t>
            </w:r>
          </w:p>
        </w:tc>
        <w:tc>
          <w:tcPr>
            <w:tcW w:w="270" w:type="pct"/>
            <w:shd w:val="clear" w:color="auto" w:fill="CCCCCC"/>
          </w:tcPr>
          <w:p w14:paraId="038A31E5" w14:textId="77777777" w:rsidR="00C83428" w:rsidRDefault="00C83428" w:rsidP="001A5D4A">
            <w:pPr>
              <w:pStyle w:val="NotesTable-Notes"/>
            </w:pPr>
          </w:p>
        </w:tc>
        <w:tc>
          <w:tcPr>
            <w:tcW w:w="406" w:type="pct"/>
            <w:tcBorders>
              <w:top w:val="single" w:sz="4" w:space="0" w:color="auto"/>
            </w:tcBorders>
            <w:shd w:val="clear" w:color="auto" w:fill="CCCCCC"/>
          </w:tcPr>
          <w:p w14:paraId="038A31E6" w14:textId="77777777" w:rsidR="00C83428" w:rsidRDefault="00C83428" w:rsidP="001A5D4A">
            <w:pPr>
              <w:pStyle w:val="NotesTable-CellBold"/>
            </w:pPr>
            <w:r>
              <w:t>–</w:t>
            </w:r>
          </w:p>
        </w:tc>
        <w:tc>
          <w:tcPr>
            <w:tcW w:w="406" w:type="pct"/>
            <w:tcBorders>
              <w:top w:val="single" w:sz="4" w:space="0" w:color="auto"/>
            </w:tcBorders>
            <w:shd w:val="clear" w:color="auto" w:fill="CCCCCC"/>
          </w:tcPr>
          <w:p w14:paraId="038A31E7" w14:textId="77777777" w:rsidR="00C83428" w:rsidRDefault="00C83428" w:rsidP="001A5D4A">
            <w:pPr>
              <w:pStyle w:val="NotesTable-CellPlain"/>
            </w:pPr>
            <w:r>
              <w:t>–</w:t>
            </w:r>
          </w:p>
        </w:tc>
        <w:tc>
          <w:tcPr>
            <w:tcW w:w="406" w:type="pct"/>
            <w:tcBorders>
              <w:top w:val="single" w:sz="4" w:space="0" w:color="auto"/>
            </w:tcBorders>
            <w:shd w:val="clear" w:color="auto" w:fill="CCCCCC"/>
          </w:tcPr>
          <w:p w14:paraId="038A31E8" w14:textId="77777777" w:rsidR="00C83428" w:rsidRDefault="00C83428" w:rsidP="001A5D4A">
            <w:pPr>
              <w:pStyle w:val="NotesTable-CellBold"/>
            </w:pPr>
            <w:r>
              <w:t>–</w:t>
            </w:r>
          </w:p>
        </w:tc>
        <w:tc>
          <w:tcPr>
            <w:tcW w:w="406" w:type="pct"/>
            <w:tcBorders>
              <w:top w:val="single" w:sz="4" w:space="0" w:color="auto"/>
            </w:tcBorders>
            <w:shd w:val="clear" w:color="auto" w:fill="CCCCCC"/>
          </w:tcPr>
          <w:p w14:paraId="038A31E9" w14:textId="77777777" w:rsidR="00C83428" w:rsidRDefault="00C83428" w:rsidP="001A5D4A">
            <w:pPr>
              <w:pStyle w:val="NotesTable-CellPlain"/>
            </w:pPr>
            <w:r>
              <w:t>–</w:t>
            </w:r>
          </w:p>
        </w:tc>
      </w:tr>
      <w:tr w:rsidR="00630A7E" w14:paraId="038A31F2" w14:textId="77777777" w:rsidTr="00463ABD">
        <w:trPr>
          <w:cantSplit/>
          <w:trHeight w:hRule="exact" w:val="227"/>
        </w:trPr>
        <w:tc>
          <w:tcPr>
            <w:tcW w:w="810" w:type="pct"/>
          </w:tcPr>
          <w:p w14:paraId="038A31EB" w14:textId="77777777" w:rsidR="00630A7E" w:rsidRDefault="00630A7E" w:rsidP="001A5D4A">
            <w:pPr>
              <w:pStyle w:val="Note-Refs"/>
            </w:pPr>
          </w:p>
        </w:tc>
        <w:tc>
          <w:tcPr>
            <w:tcW w:w="2297" w:type="pct"/>
            <w:shd w:val="clear" w:color="auto" w:fill="auto"/>
            <w:vAlign w:val="bottom"/>
          </w:tcPr>
          <w:p w14:paraId="038A31EC" w14:textId="77777777" w:rsidR="00630A7E" w:rsidRDefault="00630A7E" w:rsidP="001A5D4A">
            <w:pPr>
              <w:pStyle w:val="NotesTable-ItemPlain"/>
            </w:pPr>
          </w:p>
        </w:tc>
        <w:tc>
          <w:tcPr>
            <w:tcW w:w="270" w:type="pct"/>
            <w:shd w:val="clear" w:color="auto" w:fill="auto"/>
          </w:tcPr>
          <w:p w14:paraId="038A31ED" w14:textId="77777777" w:rsidR="00630A7E" w:rsidRDefault="00630A7E" w:rsidP="001A5D4A">
            <w:pPr>
              <w:pStyle w:val="NotesTable-Notes"/>
            </w:pPr>
          </w:p>
        </w:tc>
        <w:tc>
          <w:tcPr>
            <w:tcW w:w="406" w:type="pct"/>
            <w:shd w:val="clear" w:color="auto" w:fill="auto"/>
          </w:tcPr>
          <w:p w14:paraId="038A31EE" w14:textId="77777777" w:rsidR="00630A7E" w:rsidRDefault="00630A7E" w:rsidP="001A5D4A">
            <w:pPr>
              <w:pStyle w:val="NotesTable-CellBold"/>
            </w:pPr>
          </w:p>
        </w:tc>
        <w:tc>
          <w:tcPr>
            <w:tcW w:w="406" w:type="pct"/>
            <w:shd w:val="clear" w:color="auto" w:fill="auto"/>
          </w:tcPr>
          <w:p w14:paraId="038A31EF" w14:textId="77777777" w:rsidR="00630A7E" w:rsidRDefault="00630A7E" w:rsidP="001A5D4A">
            <w:pPr>
              <w:pStyle w:val="NotesTable-CellPlain"/>
            </w:pPr>
          </w:p>
        </w:tc>
        <w:tc>
          <w:tcPr>
            <w:tcW w:w="406" w:type="pct"/>
            <w:shd w:val="clear" w:color="auto" w:fill="auto"/>
          </w:tcPr>
          <w:p w14:paraId="038A31F0" w14:textId="77777777" w:rsidR="00630A7E" w:rsidRDefault="00630A7E" w:rsidP="001A5D4A">
            <w:pPr>
              <w:pStyle w:val="NotesTable-CellBold"/>
            </w:pPr>
          </w:p>
        </w:tc>
        <w:tc>
          <w:tcPr>
            <w:tcW w:w="406" w:type="pct"/>
            <w:shd w:val="clear" w:color="auto" w:fill="auto"/>
          </w:tcPr>
          <w:p w14:paraId="038A31F1" w14:textId="77777777" w:rsidR="00630A7E" w:rsidRDefault="00630A7E" w:rsidP="001A5D4A">
            <w:pPr>
              <w:pStyle w:val="NotesTable-CellPlain"/>
            </w:pPr>
          </w:p>
        </w:tc>
      </w:tr>
      <w:tr w:rsidR="00233AC1" w14:paraId="038A31F5" w14:textId="77777777" w:rsidTr="00463ABD">
        <w:trPr>
          <w:cantSplit/>
          <w:trHeight w:hRule="exact" w:val="227"/>
        </w:trPr>
        <w:tc>
          <w:tcPr>
            <w:tcW w:w="810" w:type="pct"/>
          </w:tcPr>
          <w:p w14:paraId="038A31F3" w14:textId="77777777" w:rsidR="00233AC1" w:rsidRDefault="00233AC1" w:rsidP="001A5D4A">
            <w:pPr>
              <w:pStyle w:val="Note-Refs"/>
            </w:pPr>
          </w:p>
        </w:tc>
        <w:tc>
          <w:tcPr>
            <w:tcW w:w="4190" w:type="pct"/>
            <w:gridSpan w:val="6"/>
            <w:vAlign w:val="bottom"/>
          </w:tcPr>
          <w:p w14:paraId="038A31F4" w14:textId="77777777" w:rsidR="00233AC1" w:rsidRDefault="00233AC1" w:rsidP="001A5D4A">
            <w:pPr>
              <w:pStyle w:val="NotesTable-ItemBold"/>
            </w:pPr>
            <w:r>
              <w:t>Movements</w:t>
            </w:r>
          </w:p>
        </w:tc>
      </w:tr>
      <w:tr w:rsidR="00C83428" w14:paraId="038A31FD" w14:textId="77777777" w:rsidTr="00463ABD">
        <w:trPr>
          <w:cantSplit/>
          <w:trHeight w:hRule="exact" w:val="227"/>
        </w:trPr>
        <w:tc>
          <w:tcPr>
            <w:tcW w:w="810" w:type="pct"/>
          </w:tcPr>
          <w:p w14:paraId="038A31F6" w14:textId="77777777" w:rsidR="00C83428" w:rsidRDefault="00C83428" w:rsidP="001A5D4A">
            <w:pPr>
              <w:pStyle w:val="Note-Refs"/>
              <w:rPr>
                <w:b/>
              </w:rPr>
            </w:pPr>
            <w:r>
              <w:t>AASB116.77f</w:t>
            </w:r>
          </w:p>
        </w:tc>
        <w:tc>
          <w:tcPr>
            <w:tcW w:w="2297" w:type="pct"/>
            <w:vAlign w:val="bottom"/>
          </w:tcPr>
          <w:p w14:paraId="038A31F7" w14:textId="77777777" w:rsidR="00C83428" w:rsidRDefault="00C83428" w:rsidP="001A5D4A">
            <w:pPr>
              <w:pStyle w:val="NotesTable-ItemPlain"/>
              <w:rPr>
                <w:b/>
              </w:rPr>
            </w:pPr>
            <w:r>
              <w:t>Property, plant and equipment revaluation surplus</w:t>
            </w:r>
          </w:p>
        </w:tc>
        <w:tc>
          <w:tcPr>
            <w:tcW w:w="270" w:type="pct"/>
          </w:tcPr>
          <w:p w14:paraId="038A31F8" w14:textId="77777777" w:rsidR="00C83428" w:rsidRDefault="00C83428" w:rsidP="001A5D4A">
            <w:pPr>
              <w:pStyle w:val="NotesTable-Notes"/>
            </w:pPr>
          </w:p>
        </w:tc>
        <w:tc>
          <w:tcPr>
            <w:tcW w:w="406" w:type="pct"/>
          </w:tcPr>
          <w:p w14:paraId="038A31F9" w14:textId="77777777" w:rsidR="00C83428" w:rsidRDefault="00C83428" w:rsidP="001A5D4A">
            <w:pPr>
              <w:pStyle w:val="NotesTable-CellBold"/>
            </w:pPr>
          </w:p>
        </w:tc>
        <w:tc>
          <w:tcPr>
            <w:tcW w:w="406" w:type="pct"/>
          </w:tcPr>
          <w:p w14:paraId="038A31FA" w14:textId="77777777" w:rsidR="00C83428" w:rsidRDefault="00C83428" w:rsidP="001A5D4A">
            <w:pPr>
              <w:pStyle w:val="NotesTable-CellPlain"/>
            </w:pPr>
          </w:p>
        </w:tc>
        <w:tc>
          <w:tcPr>
            <w:tcW w:w="406" w:type="pct"/>
          </w:tcPr>
          <w:p w14:paraId="038A31FB" w14:textId="77777777" w:rsidR="00C83428" w:rsidRDefault="00C83428" w:rsidP="001A5D4A">
            <w:pPr>
              <w:pStyle w:val="NotesTable-CellBold"/>
            </w:pPr>
          </w:p>
        </w:tc>
        <w:tc>
          <w:tcPr>
            <w:tcW w:w="406" w:type="pct"/>
          </w:tcPr>
          <w:p w14:paraId="038A31FC" w14:textId="77777777" w:rsidR="00C83428" w:rsidRDefault="00C83428" w:rsidP="001A5D4A">
            <w:pPr>
              <w:pStyle w:val="NotesTable-CellPlain"/>
            </w:pPr>
          </w:p>
        </w:tc>
      </w:tr>
      <w:tr w:rsidR="00C83428" w14:paraId="038A3205" w14:textId="77777777" w:rsidTr="00463ABD">
        <w:trPr>
          <w:cantSplit/>
          <w:trHeight w:hRule="exact" w:val="227"/>
        </w:trPr>
        <w:tc>
          <w:tcPr>
            <w:tcW w:w="810" w:type="pct"/>
          </w:tcPr>
          <w:p w14:paraId="038A31FE" w14:textId="77777777" w:rsidR="00C83428" w:rsidRDefault="00C83428" w:rsidP="001A5D4A">
            <w:pPr>
              <w:pStyle w:val="Note-Refs"/>
            </w:pPr>
          </w:p>
        </w:tc>
        <w:tc>
          <w:tcPr>
            <w:tcW w:w="2297" w:type="pct"/>
            <w:vAlign w:val="bottom"/>
          </w:tcPr>
          <w:p w14:paraId="038A31FF" w14:textId="77777777" w:rsidR="00C83428" w:rsidRDefault="00C83428" w:rsidP="001A5D4A">
            <w:pPr>
              <w:pStyle w:val="NotesTable-ItemPlain"/>
              <w:rPr>
                <w:b/>
              </w:rPr>
            </w:pPr>
            <w:r>
              <w:t>Balance 1 January</w:t>
            </w:r>
          </w:p>
        </w:tc>
        <w:tc>
          <w:tcPr>
            <w:tcW w:w="270" w:type="pct"/>
          </w:tcPr>
          <w:p w14:paraId="038A3200" w14:textId="77777777" w:rsidR="00C83428" w:rsidRDefault="00C83428" w:rsidP="001A5D4A">
            <w:pPr>
              <w:pStyle w:val="NotesTable-Notes"/>
            </w:pPr>
          </w:p>
        </w:tc>
        <w:tc>
          <w:tcPr>
            <w:tcW w:w="406" w:type="pct"/>
          </w:tcPr>
          <w:p w14:paraId="038A3201" w14:textId="77777777" w:rsidR="00C83428" w:rsidRDefault="00C83428" w:rsidP="001A5D4A">
            <w:pPr>
              <w:pStyle w:val="NotesTable-CellBold"/>
            </w:pPr>
            <w:r>
              <w:t>–</w:t>
            </w:r>
          </w:p>
        </w:tc>
        <w:tc>
          <w:tcPr>
            <w:tcW w:w="406" w:type="pct"/>
          </w:tcPr>
          <w:p w14:paraId="038A3202" w14:textId="77777777" w:rsidR="00C83428" w:rsidRDefault="00C83428" w:rsidP="001A5D4A">
            <w:pPr>
              <w:pStyle w:val="NotesTable-CellPlain"/>
            </w:pPr>
            <w:r>
              <w:t>–</w:t>
            </w:r>
          </w:p>
        </w:tc>
        <w:tc>
          <w:tcPr>
            <w:tcW w:w="406" w:type="pct"/>
          </w:tcPr>
          <w:p w14:paraId="038A3203" w14:textId="77777777" w:rsidR="00C83428" w:rsidRDefault="00C83428" w:rsidP="001A5D4A">
            <w:pPr>
              <w:pStyle w:val="NotesTable-CellBold"/>
            </w:pPr>
            <w:r>
              <w:t>–</w:t>
            </w:r>
          </w:p>
        </w:tc>
        <w:tc>
          <w:tcPr>
            <w:tcW w:w="406" w:type="pct"/>
          </w:tcPr>
          <w:p w14:paraId="038A3204" w14:textId="77777777" w:rsidR="00C83428" w:rsidRDefault="00C83428" w:rsidP="001A5D4A">
            <w:pPr>
              <w:pStyle w:val="NotesTable-CellPlain"/>
            </w:pPr>
            <w:r>
              <w:t>–</w:t>
            </w:r>
          </w:p>
        </w:tc>
      </w:tr>
      <w:tr w:rsidR="00C83428" w14:paraId="038A320D" w14:textId="77777777" w:rsidTr="00463ABD">
        <w:trPr>
          <w:cantSplit/>
          <w:trHeight w:hRule="exact" w:val="227"/>
        </w:trPr>
        <w:tc>
          <w:tcPr>
            <w:tcW w:w="810" w:type="pct"/>
          </w:tcPr>
          <w:p w14:paraId="038A3206" w14:textId="77777777" w:rsidR="00C83428" w:rsidRDefault="00C83428" w:rsidP="001A5D4A">
            <w:pPr>
              <w:pStyle w:val="Note-Refs"/>
              <w:rPr>
                <w:b/>
              </w:rPr>
            </w:pPr>
            <w:r>
              <w:t>AASB116.39</w:t>
            </w:r>
          </w:p>
        </w:tc>
        <w:tc>
          <w:tcPr>
            <w:tcW w:w="2297" w:type="pct"/>
            <w:vAlign w:val="bottom"/>
          </w:tcPr>
          <w:p w14:paraId="038A3207" w14:textId="77777777" w:rsidR="00C83428" w:rsidRDefault="00C83428" w:rsidP="001A5D4A">
            <w:pPr>
              <w:pStyle w:val="NotesTable-ItemPlain"/>
              <w:rPr>
                <w:b/>
              </w:rPr>
            </w:pPr>
            <w:r>
              <w:t xml:space="preserve">Revaluation – gross </w:t>
            </w:r>
          </w:p>
        </w:tc>
        <w:tc>
          <w:tcPr>
            <w:tcW w:w="270" w:type="pct"/>
          </w:tcPr>
          <w:p w14:paraId="038A3208" w14:textId="3B45463A" w:rsidR="00C83428" w:rsidRDefault="001757AA" w:rsidP="001A5D4A">
            <w:pPr>
              <w:pStyle w:val="NotesTable-Notes"/>
            </w:pPr>
            <w:r>
              <w:t>26</w:t>
            </w:r>
          </w:p>
        </w:tc>
        <w:tc>
          <w:tcPr>
            <w:tcW w:w="406" w:type="pct"/>
          </w:tcPr>
          <w:p w14:paraId="038A3209" w14:textId="77777777" w:rsidR="00C83428" w:rsidRDefault="00C83428" w:rsidP="001A5D4A">
            <w:pPr>
              <w:pStyle w:val="NotesTable-CellBold"/>
            </w:pPr>
            <w:r>
              <w:t>–</w:t>
            </w:r>
          </w:p>
        </w:tc>
        <w:tc>
          <w:tcPr>
            <w:tcW w:w="406" w:type="pct"/>
          </w:tcPr>
          <w:p w14:paraId="038A320A" w14:textId="77777777" w:rsidR="00C83428" w:rsidRDefault="00C83428" w:rsidP="001A5D4A">
            <w:pPr>
              <w:pStyle w:val="NotesTable-CellPlain"/>
            </w:pPr>
            <w:r>
              <w:t>–</w:t>
            </w:r>
          </w:p>
        </w:tc>
        <w:tc>
          <w:tcPr>
            <w:tcW w:w="406" w:type="pct"/>
          </w:tcPr>
          <w:p w14:paraId="038A320B" w14:textId="77777777" w:rsidR="00C83428" w:rsidRDefault="00C83428" w:rsidP="001A5D4A">
            <w:pPr>
              <w:pStyle w:val="NotesTable-CellBold"/>
            </w:pPr>
            <w:r>
              <w:t>–</w:t>
            </w:r>
          </w:p>
        </w:tc>
        <w:tc>
          <w:tcPr>
            <w:tcW w:w="406" w:type="pct"/>
          </w:tcPr>
          <w:p w14:paraId="038A320C" w14:textId="77777777" w:rsidR="00C83428" w:rsidRDefault="00C83428" w:rsidP="001A5D4A">
            <w:pPr>
              <w:pStyle w:val="NotesTable-CellPlain"/>
            </w:pPr>
            <w:r>
              <w:t>–</w:t>
            </w:r>
          </w:p>
        </w:tc>
      </w:tr>
      <w:tr w:rsidR="00C83428" w14:paraId="038A3215" w14:textId="77777777" w:rsidTr="00463ABD">
        <w:trPr>
          <w:cantSplit/>
          <w:trHeight w:hRule="exact" w:val="227"/>
        </w:trPr>
        <w:tc>
          <w:tcPr>
            <w:tcW w:w="810" w:type="pct"/>
          </w:tcPr>
          <w:p w14:paraId="038A320E" w14:textId="77777777" w:rsidR="00C83428" w:rsidRDefault="00C83428" w:rsidP="001A5D4A">
            <w:pPr>
              <w:pStyle w:val="Note-Refs"/>
              <w:rPr>
                <w:b/>
              </w:rPr>
            </w:pPr>
            <w:r>
              <w:t>AASB112.61,81a</w:t>
            </w:r>
          </w:p>
        </w:tc>
        <w:tc>
          <w:tcPr>
            <w:tcW w:w="2297" w:type="pct"/>
            <w:vAlign w:val="bottom"/>
          </w:tcPr>
          <w:p w14:paraId="038A320F" w14:textId="77777777" w:rsidR="00C83428" w:rsidRDefault="00C83428" w:rsidP="001A5D4A">
            <w:pPr>
              <w:pStyle w:val="NotesTable-ItemPlain"/>
              <w:rPr>
                <w:b/>
              </w:rPr>
            </w:pPr>
            <w:r>
              <w:t>Deferred tax</w:t>
            </w:r>
          </w:p>
        </w:tc>
        <w:tc>
          <w:tcPr>
            <w:tcW w:w="270" w:type="pct"/>
          </w:tcPr>
          <w:p w14:paraId="038A3210" w14:textId="6BA3F59C" w:rsidR="00C83428" w:rsidRDefault="00C83428" w:rsidP="001A5D4A">
            <w:pPr>
              <w:pStyle w:val="NotesTable-Notes"/>
            </w:pPr>
            <w:r>
              <w:t>2</w:t>
            </w:r>
            <w:r w:rsidR="001757AA">
              <w:t>8</w:t>
            </w:r>
          </w:p>
        </w:tc>
        <w:tc>
          <w:tcPr>
            <w:tcW w:w="406" w:type="pct"/>
          </w:tcPr>
          <w:p w14:paraId="038A3211" w14:textId="77777777" w:rsidR="00C83428" w:rsidRDefault="00C83428" w:rsidP="001A5D4A">
            <w:pPr>
              <w:pStyle w:val="NotesTable-CellBold"/>
            </w:pPr>
            <w:r>
              <w:t>–</w:t>
            </w:r>
          </w:p>
        </w:tc>
        <w:tc>
          <w:tcPr>
            <w:tcW w:w="406" w:type="pct"/>
          </w:tcPr>
          <w:p w14:paraId="038A3212" w14:textId="77777777" w:rsidR="00C83428" w:rsidRDefault="00C83428" w:rsidP="001A5D4A">
            <w:pPr>
              <w:pStyle w:val="NotesTable-CellPlain"/>
            </w:pPr>
            <w:r>
              <w:t>–</w:t>
            </w:r>
          </w:p>
        </w:tc>
        <w:tc>
          <w:tcPr>
            <w:tcW w:w="406" w:type="pct"/>
          </w:tcPr>
          <w:p w14:paraId="038A3213" w14:textId="77777777" w:rsidR="00C83428" w:rsidRDefault="00C83428" w:rsidP="001A5D4A">
            <w:pPr>
              <w:pStyle w:val="NotesTable-CellBold"/>
            </w:pPr>
            <w:r>
              <w:t>–</w:t>
            </w:r>
          </w:p>
        </w:tc>
        <w:tc>
          <w:tcPr>
            <w:tcW w:w="406" w:type="pct"/>
          </w:tcPr>
          <w:p w14:paraId="038A3214" w14:textId="77777777" w:rsidR="00C83428" w:rsidRDefault="00C83428" w:rsidP="001A5D4A">
            <w:pPr>
              <w:pStyle w:val="NotesTable-CellPlain"/>
            </w:pPr>
            <w:r>
              <w:t>–</w:t>
            </w:r>
          </w:p>
        </w:tc>
      </w:tr>
      <w:tr w:rsidR="00C83428" w14:paraId="038A321D" w14:textId="77777777" w:rsidTr="00463ABD">
        <w:trPr>
          <w:cantSplit/>
          <w:trHeight w:hRule="exact" w:val="227"/>
        </w:trPr>
        <w:tc>
          <w:tcPr>
            <w:tcW w:w="810" w:type="pct"/>
          </w:tcPr>
          <w:p w14:paraId="038A3216" w14:textId="77777777" w:rsidR="00C83428" w:rsidRDefault="00C83428" w:rsidP="001A5D4A">
            <w:pPr>
              <w:pStyle w:val="Note-Refs"/>
              <w:rPr>
                <w:b/>
              </w:rPr>
            </w:pPr>
            <w:r>
              <w:t>AASB116.41</w:t>
            </w:r>
          </w:p>
        </w:tc>
        <w:tc>
          <w:tcPr>
            <w:tcW w:w="2297" w:type="pct"/>
            <w:vAlign w:val="bottom"/>
          </w:tcPr>
          <w:p w14:paraId="038A3217" w14:textId="77777777" w:rsidR="00C83428" w:rsidRDefault="00C83428" w:rsidP="001A5D4A">
            <w:pPr>
              <w:pStyle w:val="NotesTable-ItemPlain"/>
              <w:rPr>
                <w:b/>
              </w:rPr>
            </w:pPr>
            <w:r>
              <w:t>Depreciation transfer – gross</w:t>
            </w:r>
          </w:p>
        </w:tc>
        <w:tc>
          <w:tcPr>
            <w:tcW w:w="270" w:type="pct"/>
          </w:tcPr>
          <w:p w14:paraId="038A3218" w14:textId="77777777" w:rsidR="00C83428" w:rsidRDefault="00C83428" w:rsidP="001A5D4A">
            <w:pPr>
              <w:pStyle w:val="NotesTable-Notes"/>
            </w:pPr>
          </w:p>
        </w:tc>
        <w:tc>
          <w:tcPr>
            <w:tcW w:w="406" w:type="pct"/>
          </w:tcPr>
          <w:p w14:paraId="038A3219" w14:textId="77777777" w:rsidR="00C83428" w:rsidRDefault="00C83428" w:rsidP="001A5D4A">
            <w:pPr>
              <w:pStyle w:val="NotesTable-CellBold"/>
            </w:pPr>
            <w:r>
              <w:t>–</w:t>
            </w:r>
          </w:p>
        </w:tc>
        <w:tc>
          <w:tcPr>
            <w:tcW w:w="406" w:type="pct"/>
          </w:tcPr>
          <w:p w14:paraId="038A321A" w14:textId="77777777" w:rsidR="00C83428" w:rsidRDefault="00C83428" w:rsidP="001A5D4A">
            <w:pPr>
              <w:pStyle w:val="NotesTable-CellPlain"/>
            </w:pPr>
            <w:r>
              <w:t>–</w:t>
            </w:r>
          </w:p>
        </w:tc>
        <w:tc>
          <w:tcPr>
            <w:tcW w:w="406" w:type="pct"/>
          </w:tcPr>
          <w:p w14:paraId="038A321B" w14:textId="77777777" w:rsidR="00C83428" w:rsidRDefault="00C83428" w:rsidP="001A5D4A">
            <w:pPr>
              <w:pStyle w:val="NotesTable-CellBold"/>
            </w:pPr>
            <w:r>
              <w:t>–</w:t>
            </w:r>
          </w:p>
        </w:tc>
        <w:tc>
          <w:tcPr>
            <w:tcW w:w="406" w:type="pct"/>
          </w:tcPr>
          <w:p w14:paraId="038A321C" w14:textId="77777777" w:rsidR="00C83428" w:rsidRDefault="00C83428" w:rsidP="001A5D4A">
            <w:pPr>
              <w:pStyle w:val="NotesTable-CellPlain"/>
            </w:pPr>
            <w:r>
              <w:t>–</w:t>
            </w:r>
          </w:p>
        </w:tc>
      </w:tr>
      <w:tr w:rsidR="00C83428" w14:paraId="038A3225" w14:textId="77777777" w:rsidTr="00463ABD">
        <w:trPr>
          <w:cantSplit/>
          <w:trHeight w:hRule="exact" w:val="227"/>
        </w:trPr>
        <w:tc>
          <w:tcPr>
            <w:tcW w:w="810" w:type="pct"/>
          </w:tcPr>
          <w:p w14:paraId="038A321E" w14:textId="77777777" w:rsidR="00C83428" w:rsidRDefault="00C83428" w:rsidP="001A5D4A">
            <w:pPr>
              <w:pStyle w:val="Note-Refs"/>
              <w:rPr>
                <w:b/>
              </w:rPr>
            </w:pPr>
            <w:r>
              <w:t>AASB116.41</w:t>
            </w:r>
          </w:p>
        </w:tc>
        <w:tc>
          <w:tcPr>
            <w:tcW w:w="2297" w:type="pct"/>
            <w:vAlign w:val="bottom"/>
          </w:tcPr>
          <w:p w14:paraId="038A321F" w14:textId="77777777" w:rsidR="00C83428" w:rsidRDefault="00C83428" w:rsidP="001A5D4A">
            <w:pPr>
              <w:pStyle w:val="NotesTable-ItemPlain"/>
              <w:rPr>
                <w:b/>
              </w:rPr>
            </w:pPr>
            <w:r>
              <w:t>Deferred tax</w:t>
            </w:r>
          </w:p>
        </w:tc>
        <w:tc>
          <w:tcPr>
            <w:tcW w:w="270" w:type="pct"/>
          </w:tcPr>
          <w:p w14:paraId="038A3220" w14:textId="77777777" w:rsidR="00C83428" w:rsidRDefault="00C83428" w:rsidP="001A5D4A">
            <w:pPr>
              <w:pStyle w:val="NotesTable-Notes"/>
              <w:rPr>
                <w:shd w:val="clear" w:color="auto" w:fill="00FFFF"/>
              </w:rPr>
            </w:pPr>
          </w:p>
        </w:tc>
        <w:tc>
          <w:tcPr>
            <w:tcW w:w="406" w:type="pct"/>
          </w:tcPr>
          <w:p w14:paraId="038A3221" w14:textId="77777777" w:rsidR="00C83428" w:rsidRDefault="00C83428" w:rsidP="001A5D4A">
            <w:pPr>
              <w:pStyle w:val="NotesTable-CellBold"/>
            </w:pPr>
            <w:r>
              <w:t>–</w:t>
            </w:r>
          </w:p>
        </w:tc>
        <w:tc>
          <w:tcPr>
            <w:tcW w:w="406" w:type="pct"/>
          </w:tcPr>
          <w:p w14:paraId="038A3222" w14:textId="77777777" w:rsidR="00C83428" w:rsidRDefault="00C83428" w:rsidP="001A5D4A">
            <w:pPr>
              <w:pStyle w:val="NotesTable-CellPlain"/>
            </w:pPr>
            <w:r>
              <w:t>–</w:t>
            </w:r>
          </w:p>
        </w:tc>
        <w:tc>
          <w:tcPr>
            <w:tcW w:w="406" w:type="pct"/>
          </w:tcPr>
          <w:p w14:paraId="038A3223" w14:textId="77777777" w:rsidR="00C83428" w:rsidRDefault="00C83428" w:rsidP="001A5D4A">
            <w:pPr>
              <w:pStyle w:val="NotesTable-CellBold"/>
            </w:pPr>
            <w:r>
              <w:t>–</w:t>
            </w:r>
          </w:p>
        </w:tc>
        <w:tc>
          <w:tcPr>
            <w:tcW w:w="406" w:type="pct"/>
          </w:tcPr>
          <w:p w14:paraId="038A3224" w14:textId="77777777" w:rsidR="00C83428" w:rsidRDefault="00C83428" w:rsidP="001A5D4A">
            <w:pPr>
              <w:pStyle w:val="NotesTable-CellPlain"/>
            </w:pPr>
            <w:r>
              <w:t>–</w:t>
            </w:r>
          </w:p>
        </w:tc>
      </w:tr>
      <w:tr w:rsidR="00C83428" w14:paraId="038A322D" w14:textId="77777777" w:rsidTr="00463ABD">
        <w:trPr>
          <w:cantSplit/>
          <w:trHeight w:hRule="exact" w:val="227"/>
        </w:trPr>
        <w:tc>
          <w:tcPr>
            <w:tcW w:w="810" w:type="pct"/>
          </w:tcPr>
          <w:p w14:paraId="038A3226" w14:textId="77777777" w:rsidR="00C83428" w:rsidRDefault="00C83428" w:rsidP="001A5D4A">
            <w:pPr>
              <w:pStyle w:val="Note-Refs"/>
              <w:rPr>
                <w:b/>
              </w:rPr>
            </w:pPr>
            <w:r>
              <w:t>AASB116.39</w:t>
            </w:r>
          </w:p>
        </w:tc>
        <w:tc>
          <w:tcPr>
            <w:tcW w:w="2297" w:type="pct"/>
            <w:vAlign w:val="bottom"/>
          </w:tcPr>
          <w:p w14:paraId="038A3227" w14:textId="77777777" w:rsidR="00C83428" w:rsidRDefault="00C83428" w:rsidP="001A5D4A">
            <w:pPr>
              <w:pStyle w:val="NotesTable-ItemPlain"/>
              <w:rPr>
                <w:b/>
              </w:rPr>
            </w:pPr>
            <w:r>
              <w:t>Revaluation – associate</w:t>
            </w:r>
          </w:p>
        </w:tc>
        <w:tc>
          <w:tcPr>
            <w:tcW w:w="270" w:type="pct"/>
          </w:tcPr>
          <w:p w14:paraId="038A3228" w14:textId="77777777" w:rsidR="00C83428" w:rsidRDefault="00AB2DCE" w:rsidP="001A5D4A">
            <w:pPr>
              <w:pStyle w:val="NotesTable-Notes"/>
            </w:pPr>
            <w:r>
              <w:t>45</w:t>
            </w:r>
          </w:p>
        </w:tc>
        <w:tc>
          <w:tcPr>
            <w:tcW w:w="406" w:type="pct"/>
          </w:tcPr>
          <w:p w14:paraId="038A3229" w14:textId="77777777" w:rsidR="00C83428" w:rsidRDefault="00C83428" w:rsidP="001A5D4A">
            <w:pPr>
              <w:pStyle w:val="NotesTable-CellBold"/>
            </w:pPr>
            <w:r>
              <w:t>–</w:t>
            </w:r>
          </w:p>
        </w:tc>
        <w:tc>
          <w:tcPr>
            <w:tcW w:w="406" w:type="pct"/>
          </w:tcPr>
          <w:p w14:paraId="038A322A" w14:textId="77777777" w:rsidR="00C83428" w:rsidRDefault="00C83428" w:rsidP="001A5D4A">
            <w:pPr>
              <w:pStyle w:val="NotesTable-CellPlain"/>
            </w:pPr>
            <w:r>
              <w:t>–</w:t>
            </w:r>
          </w:p>
        </w:tc>
        <w:tc>
          <w:tcPr>
            <w:tcW w:w="406" w:type="pct"/>
          </w:tcPr>
          <w:p w14:paraId="038A322B" w14:textId="77777777" w:rsidR="00C83428" w:rsidRDefault="00C83428" w:rsidP="001A5D4A">
            <w:pPr>
              <w:pStyle w:val="NotesTable-CellBold"/>
            </w:pPr>
            <w:r>
              <w:t>–</w:t>
            </w:r>
          </w:p>
        </w:tc>
        <w:tc>
          <w:tcPr>
            <w:tcW w:w="406" w:type="pct"/>
          </w:tcPr>
          <w:p w14:paraId="038A322C" w14:textId="77777777" w:rsidR="00C83428" w:rsidRDefault="00C83428" w:rsidP="001A5D4A">
            <w:pPr>
              <w:pStyle w:val="NotesTable-CellPlain"/>
            </w:pPr>
            <w:r>
              <w:t>–</w:t>
            </w:r>
          </w:p>
        </w:tc>
      </w:tr>
      <w:tr w:rsidR="00C83428" w14:paraId="038A3235" w14:textId="77777777" w:rsidTr="00463ABD">
        <w:trPr>
          <w:cantSplit/>
          <w:trHeight w:hRule="exact" w:val="227"/>
        </w:trPr>
        <w:tc>
          <w:tcPr>
            <w:tcW w:w="810" w:type="pct"/>
          </w:tcPr>
          <w:p w14:paraId="038A322E" w14:textId="77777777" w:rsidR="00C83428" w:rsidRDefault="00C83428" w:rsidP="001A5D4A">
            <w:pPr>
              <w:pStyle w:val="Note-Refs"/>
              <w:rPr>
                <w:b/>
              </w:rPr>
            </w:pPr>
            <w:r>
              <w:t>AASB112.61,81a</w:t>
            </w:r>
          </w:p>
        </w:tc>
        <w:tc>
          <w:tcPr>
            <w:tcW w:w="2297" w:type="pct"/>
            <w:vAlign w:val="bottom"/>
          </w:tcPr>
          <w:p w14:paraId="038A322F" w14:textId="77777777" w:rsidR="00C83428" w:rsidRDefault="00C83428" w:rsidP="001A5D4A">
            <w:pPr>
              <w:pStyle w:val="NotesTable-ItemPlain"/>
              <w:rPr>
                <w:b/>
              </w:rPr>
            </w:pPr>
            <w:r>
              <w:t>Deferred tax</w:t>
            </w:r>
          </w:p>
        </w:tc>
        <w:tc>
          <w:tcPr>
            <w:tcW w:w="270" w:type="pct"/>
          </w:tcPr>
          <w:p w14:paraId="038A3230" w14:textId="77777777" w:rsidR="00C83428" w:rsidRDefault="00C83428" w:rsidP="001A5D4A">
            <w:pPr>
              <w:pStyle w:val="NotesTable-Notes"/>
            </w:pPr>
          </w:p>
        </w:tc>
        <w:tc>
          <w:tcPr>
            <w:tcW w:w="406" w:type="pct"/>
          </w:tcPr>
          <w:p w14:paraId="038A3231" w14:textId="77777777" w:rsidR="00C83428" w:rsidRDefault="00C83428" w:rsidP="001A5D4A">
            <w:pPr>
              <w:pStyle w:val="NotesTable-CellBold"/>
            </w:pPr>
            <w:r>
              <w:t>–</w:t>
            </w:r>
          </w:p>
        </w:tc>
        <w:tc>
          <w:tcPr>
            <w:tcW w:w="406" w:type="pct"/>
          </w:tcPr>
          <w:p w14:paraId="038A3232" w14:textId="77777777" w:rsidR="00C83428" w:rsidRDefault="00C83428" w:rsidP="001A5D4A">
            <w:pPr>
              <w:pStyle w:val="NotesTable-CellPlain"/>
            </w:pPr>
            <w:r>
              <w:t>–</w:t>
            </w:r>
          </w:p>
        </w:tc>
        <w:tc>
          <w:tcPr>
            <w:tcW w:w="406" w:type="pct"/>
          </w:tcPr>
          <w:p w14:paraId="038A3233" w14:textId="77777777" w:rsidR="00C83428" w:rsidRDefault="00C83428" w:rsidP="001A5D4A">
            <w:pPr>
              <w:pStyle w:val="NotesTable-CellBold"/>
            </w:pPr>
            <w:r>
              <w:t>–</w:t>
            </w:r>
          </w:p>
        </w:tc>
        <w:tc>
          <w:tcPr>
            <w:tcW w:w="406" w:type="pct"/>
          </w:tcPr>
          <w:p w14:paraId="038A3234" w14:textId="77777777" w:rsidR="00C83428" w:rsidRDefault="00C83428" w:rsidP="001A5D4A">
            <w:pPr>
              <w:pStyle w:val="NotesTable-CellPlain"/>
            </w:pPr>
            <w:r>
              <w:t>–</w:t>
            </w:r>
          </w:p>
        </w:tc>
      </w:tr>
      <w:tr w:rsidR="00C83428" w14:paraId="038A323D" w14:textId="77777777" w:rsidTr="00463ABD">
        <w:trPr>
          <w:cantSplit/>
          <w:trHeight w:hRule="exact" w:val="227"/>
        </w:trPr>
        <w:tc>
          <w:tcPr>
            <w:tcW w:w="810" w:type="pct"/>
          </w:tcPr>
          <w:p w14:paraId="038A3236" w14:textId="77777777" w:rsidR="00C83428" w:rsidRDefault="00C83428" w:rsidP="001A5D4A">
            <w:pPr>
              <w:pStyle w:val="Note-Refs"/>
              <w:rPr>
                <w:b/>
              </w:rPr>
            </w:pPr>
            <w:r>
              <w:t>AASB116.41</w:t>
            </w:r>
          </w:p>
        </w:tc>
        <w:tc>
          <w:tcPr>
            <w:tcW w:w="2297" w:type="pct"/>
            <w:vAlign w:val="bottom"/>
          </w:tcPr>
          <w:p w14:paraId="038A3237" w14:textId="77777777" w:rsidR="00C83428" w:rsidRDefault="00C83428" w:rsidP="001A5D4A">
            <w:pPr>
              <w:pStyle w:val="NotesTable-ItemPlain"/>
              <w:rPr>
                <w:b/>
              </w:rPr>
            </w:pPr>
            <w:r>
              <w:t>Revaluation – joint venture</w:t>
            </w:r>
          </w:p>
        </w:tc>
        <w:tc>
          <w:tcPr>
            <w:tcW w:w="270" w:type="pct"/>
          </w:tcPr>
          <w:p w14:paraId="038A3238" w14:textId="0C125A03" w:rsidR="00C83428" w:rsidRDefault="00C83428" w:rsidP="001A5D4A">
            <w:pPr>
              <w:pStyle w:val="NotesTable-Notes"/>
            </w:pPr>
            <w:r>
              <w:t>4</w:t>
            </w:r>
            <w:r w:rsidR="001757AA">
              <w:t>5</w:t>
            </w:r>
          </w:p>
        </w:tc>
        <w:tc>
          <w:tcPr>
            <w:tcW w:w="406" w:type="pct"/>
          </w:tcPr>
          <w:p w14:paraId="038A3239" w14:textId="77777777" w:rsidR="00C83428" w:rsidRDefault="00C83428" w:rsidP="001A5D4A">
            <w:pPr>
              <w:pStyle w:val="NotesTable-CellBold"/>
            </w:pPr>
            <w:r>
              <w:t>–</w:t>
            </w:r>
          </w:p>
        </w:tc>
        <w:tc>
          <w:tcPr>
            <w:tcW w:w="406" w:type="pct"/>
          </w:tcPr>
          <w:p w14:paraId="038A323A" w14:textId="77777777" w:rsidR="00C83428" w:rsidRDefault="00C83428" w:rsidP="001A5D4A">
            <w:pPr>
              <w:pStyle w:val="NotesTable-CellPlain"/>
            </w:pPr>
            <w:r>
              <w:t>–</w:t>
            </w:r>
          </w:p>
        </w:tc>
        <w:tc>
          <w:tcPr>
            <w:tcW w:w="406" w:type="pct"/>
          </w:tcPr>
          <w:p w14:paraId="038A323B" w14:textId="77777777" w:rsidR="00C83428" w:rsidRDefault="00C83428" w:rsidP="001A5D4A">
            <w:pPr>
              <w:pStyle w:val="NotesTable-CellBold"/>
            </w:pPr>
            <w:r>
              <w:t>–</w:t>
            </w:r>
          </w:p>
        </w:tc>
        <w:tc>
          <w:tcPr>
            <w:tcW w:w="406" w:type="pct"/>
          </w:tcPr>
          <w:p w14:paraId="038A323C" w14:textId="77777777" w:rsidR="00C83428" w:rsidRDefault="00C83428" w:rsidP="001A5D4A">
            <w:pPr>
              <w:pStyle w:val="NotesTable-CellPlain"/>
            </w:pPr>
            <w:r>
              <w:t>–</w:t>
            </w:r>
          </w:p>
        </w:tc>
      </w:tr>
      <w:tr w:rsidR="00C83428" w14:paraId="038A3245" w14:textId="77777777" w:rsidTr="00463ABD">
        <w:trPr>
          <w:cantSplit/>
          <w:trHeight w:hRule="exact" w:val="227"/>
        </w:trPr>
        <w:tc>
          <w:tcPr>
            <w:tcW w:w="810" w:type="pct"/>
          </w:tcPr>
          <w:p w14:paraId="038A323E" w14:textId="77777777" w:rsidR="00C83428" w:rsidRDefault="00C83428" w:rsidP="001A5D4A">
            <w:pPr>
              <w:pStyle w:val="Note-Refs"/>
              <w:rPr>
                <w:b/>
              </w:rPr>
            </w:pPr>
            <w:r>
              <w:t>AASB116.41</w:t>
            </w:r>
          </w:p>
        </w:tc>
        <w:tc>
          <w:tcPr>
            <w:tcW w:w="2297" w:type="pct"/>
            <w:vAlign w:val="bottom"/>
          </w:tcPr>
          <w:p w14:paraId="038A323F" w14:textId="77777777" w:rsidR="00C83428" w:rsidRDefault="00C83428" w:rsidP="001A5D4A">
            <w:pPr>
              <w:pStyle w:val="NotesTable-ItemPlain"/>
              <w:rPr>
                <w:b/>
              </w:rPr>
            </w:pPr>
            <w:r>
              <w:t>Deferred tax</w:t>
            </w:r>
          </w:p>
        </w:tc>
        <w:tc>
          <w:tcPr>
            <w:tcW w:w="270" w:type="pct"/>
          </w:tcPr>
          <w:p w14:paraId="038A3240" w14:textId="77777777" w:rsidR="00C83428" w:rsidRDefault="00C83428" w:rsidP="001A5D4A">
            <w:pPr>
              <w:pStyle w:val="NotesTable-Notes"/>
              <w:rPr>
                <w:shd w:val="clear" w:color="auto" w:fill="00FFFF"/>
              </w:rPr>
            </w:pPr>
          </w:p>
        </w:tc>
        <w:tc>
          <w:tcPr>
            <w:tcW w:w="406" w:type="pct"/>
            <w:tcBorders>
              <w:bottom w:val="single" w:sz="4" w:space="0" w:color="000000"/>
            </w:tcBorders>
          </w:tcPr>
          <w:p w14:paraId="038A3241" w14:textId="77777777" w:rsidR="00C83428" w:rsidRDefault="00C83428" w:rsidP="001A5D4A">
            <w:pPr>
              <w:pStyle w:val="NotesTable-CellBold"/>
            </w:pPr>
            <w:r>
              <w:t>–</w:t>
            </w:r>
          </w:p>
        </w:tc>
        <w:tc>
          <w:tcPr>
            <w:tcW w:w="406" w:type="pct"/>
            <w:tcBorders>
              <w:bottom w:val="single" w:sz="4" w:space="0" w:color="000000"/>
            </w:tcBorders>
          </w:tcPr>
          <w:p w14:paraId="038A3242" w14:textId="77777777" w:rsidR="00C83428" w:rsidRDefault="00C83428" w:rsidP="001A5D4A">
            <w:pPr>
              <w:pStyle w:val="NotesTable-CellPlain"/>
            </w:pPr>
            <w:r>
              <w:t>–</w:t>
            </w:r>
          </w:p>
        </w:tc>
        <w:tc>
          <w:tcPr>
            <w:tcW w:w="406" w:type="pct"/>
            <w:tcBorders>
              <w:bottom w:val="single" w:sz="4" w:space="0" w:color="000000"/>
            </w:tcBorders>
          </w:tcPr>
          <w:p w14:paraId="038A3243" w14:textId="77777777" w:rsidR="00C83428" w:rsidRDefault="00C83428" w:rsidP="001A5D4A">
            <w:pPr>
              <w:pStyle w:val="NotesTable-CellBold"/>
            </w:pPr>
            <w:r>
              <w:t>–</w:t>
            </w:r>
          </w:p>
        </w:tc>
        <w:tc>
          <w:tcPr>
            <w:tcW w:w="406" w:type="pct"/>
            <w:tcBorders>
              <w:bottom w:val="single" w:sz="4" w:space="0" w:color="000000"/>
            </w:tcBorders>
          </w:tcPr>
          <w:p w14:paraId="038A3244" w14:textId="77777777" w:rsidR="00C83428" w:rsidRDefault="00C83428" w:rsidP="001A5D4A">
            <w:pPr>
              <w:pStyle w:val="NotesTable-CellPlain"/>
            </w:pPr>
            <w:r>
              <w:t>–</w:t>
            </w:r>
          </w:p>
        </w:tc>
      </w:tr>
      <w:tr w:rsidR="00C83428" w14:paraId="038A324D" w14:textId="77777777" w:rsidTr="00463ABD">
        <w:trPr>
          <w:cantSplit/>
          <w:trHeight w:hRule="exact" w:val="227"/>
        </w:trPr>
        <w:tc>
          <w:tcPr>
            <w:tcW w:w="810" w:type="pct"/>
          </w:tcPr>
          <w:p w14:paraId="038A3246" w14:textId="77777777" w:rsidR="00C83428" w:rsidRDefault="00C83428" w:rsidP="001A5D4A">
            <w:pPr>
              <w:pStyle w:val="Note-Refs"/>
            </w:pPr>
          </w:p>
        </w:tc>
        <w:tc>
          <w:tcPr>
            <w:tcW w:w="2297" w:type="pct"/>
            <w:vAlign w:val="bottom"/>
          </w:tcPr>
          <w:p w14:paraId="038A3247" w14:textId="77777777" w:rsidR="00C83428" w:rsidRDefault="00C83428" w:rsidP="001A5D4A">
            <w:pPr>
              <w:pStyle w:val="NotesTable-ItemPlain"/>
              <w:rPr>
                <w:b/>
              </w:rPr>
            </w:pPr>
            <w:r>
              <w:t>Balance 31 December</w:t>
            </w:r>
          </w:p>
        </w:tc>
        <w:tc>
          <w:tcPr>
            <w:tcW w:w="270" w:type="pct"/>
          </w:tcPr>
          <w:p w14:paraId="038A3248" w14:textId="77777777" w:rsidR="00C83428" w:rsidRDefault="00C83428" w:rsidP="001A5D4A">
            <w:pPr>
              <w:pStyle w:val="NotesTable-Notes"/>
            </w:pPr>
          </w:p>
        </w:tc>
        <w:tc>
          <w:tcPr>
            <w:tcW w:w="406" w:type="pct"/>
            <w:tcBorders>
              <w:top w:val="single" w:sz="4" w:space="0" w:color="000000"/>
            </w:tcBorders>
          </w:tcPr>
          <w:p w14:paraId="038A3249" w14:textId="77777777" w:rsidR="00C83428" w:rsidRDefault="00C83428" w:rsidP="001A5D4A">
            <w:pPr>
              <w:pStyle w:val="NotesTable-CellBold"/>
            </w:pPr>
            <w:r>
              <w:t>–</w:t>
            </w:r>
          </w:p>
        </w:tc>
        <w:tc>
          <w:tcPr>
            <w:tcW w:w="406" w:type="pct"/>
            <w:tcBorders>
              <w:top w:val="single" w:sz="4" w:space="0" w:color="000000"/>
            </w:tcBorders>
          </w:tcPr>
          <w:p w14:paraId="038A324A" w14:textId="77777777" w:rsidR="00C83428" w:rsidRDefault="00C83428" w:rsidP="001A5D4A">
            <w:pPr>
              <w:pStyle w:val="NotesTable-CellPlain"/>
            </w:pPr>
            <w:r>
              <w:t>–</w:t>
            </w:r>
          </w:p>
        </w:tc>
        <w:tc>
          <w:tcPr>
            <w:tcW w:w="406" w:type="pct"/>
            <w:tcBorders>
              <w:top w:val="single" w:sz="4" w:space="0" w:color="000000"/>
            </w:tcBorders>
          </w:tcPr>
          <w:p w14:paraId="038A324B" w14:textId="77777777" w:rsidR="00C83428" w:rsidRDefault="00C83428" w:rsidP="001A5D4A">
            <w:pPr>
              <w:pStyle w:val="NotesTable-CellBold"/>
            </w:pPr>
            <w:r>
              <w:t>–</w:t>
            </w:r>
          </w:p>
        </w:tc>
        <w:tc>
          <w:tcPr>
            <w:tcW w:w="406" w:type="pct"/>
            <w:tcBorders>
              <w:top w:val="single" w:sz="4" w:space="0" w:color="000000"/>
            </w:tcBorders>
          </w:tcPr>
          <w:p w14:paraId="038A324C" w14:textId="77777777" w:rsidR="00C83428" w:rsidRDefault="00C83428" w:rsidP="001A5D4A">
            <w:pPr>
              <w:pStyle w:val="NotesTable-CellPlain"/>
            </w:pPr>
            <w:r>
              <w:t>–</w:t>
            </w:r>
          </w:p>
        </w:tc>
      </w:tr>
      <w:tr w:rsidR="00233AC1" w14:paraId="038A3250" w14:textId="77777777" w:rsidTr="00463ABD">
        <w:trPr>
          <w:cantSplit/>
          <w:trHeight w:hRule="exact" w:val="227"/>
        </w:trPr>
        <w:tc>
          <w:tcPr>
            <w:tcW w:w="810" w:type="pct"/>
          </w:tcPr>
          <w:p w14:paraId="038A324E" w14:textId="77777777" w:rsidR="00233AC1" w:rsidRDefault="00233AC1" w:rsidP="001A5D4A">
            <w:pPr>
              <w:pStyle w:val="Note-Refs"/>
            </w:pPr>
          </w:p>
        </w:tc>
        <w:tc>
          <w:tcPr>
            <w:tcW w:w="4190" w:type="pct"/>
            <w:gridSpan w:val="6"/>
            <w:vAlign w:val="bottom"/>
          </w:tcPr>
          <w:p w14:paraId="038A324F" w14:textId="77777777" w:rsidR="00233AC1" w:rsidRDefault="00233AC1" w:rsidP="001A5D4A">
            <w:pPr>
              <w:pStyle w:val="Note-Text"/>
            </w:pPr>
          </w:p>
        </w:tc>
      </w:tr>
      <w:tr w:rsidR="00C83428" w14:paraId="038A3258" w14:textId="77777777" w:rsidTr="00463ABD">
        <w:trPr>
          <w:cantSplit/>
          <w:trHeight w:hRule="exact" w:val="227"/>
        </w:trPr>
        <w:tc>
          <w:tcPr>
            <w:tcW w:w="810" w:type="pct"/>
          </w:tcPr>
          <w:p w14:paraId="038A3251" w14:textId="77777777" w:rsidR="00C83428" w:rsidRDefault="00C83428" w:rsidP="001A5D4A">
            <w:pPr>
              <w:pStyle w:val="Note-Refs"/>
              <w:rPr>
                <w:b/>
              </w:rPr>
            </w:pPr>
            <w:r>
              <w:t>AASB121.52b</w:t>
            </w:r>
          </w:p>
        </w:tc>
        <w:tc>
          <w:tcPr>
            <w:tcW w:w="2297" w:type="pct"/>
            <w:vAlign w:val="bottom"/>
          </w:tcPr>
          <w:p w14:paraId="038A3252" w14:textId="77777777" w:rsidR="00C83428" w:rsidRDefault="00C83428" w:rsidP="001A5D4A">
            <w:pPr>
              <w:pStyle w:val="NotesTable-ItemPlain"/>
              <w:rPr>
                <w:b/>
              </w:rPr>
            </w:pPr>
            <w:r>
              <w:t>Foreign currency translation surplus</w:t>
            </w:r>
          </w:p>
        </w:tc>
        <w:tc>
          <w:tcPr>
            <w:tcW w:w="270" w:type="pct"/>
          </w:tcPr>
          <w:p w14:paraId="038A3253" w14:textId="77777777" w:rsidR="00C83428" w:rsidRDefault="00C83428" w:rsidP="001A5D4A">
            <w:pPr>
              <w:pStyle w:val="NotesTable-Notes"/>
            </w:pPr>
          </w:p>
        </w:tc>
        <w:tc>
          <w:tcPr>
            <w:tcW w:w="406" w:type="pct"/>
          </w:tcPr>
          <w:p w14:paraId="038A3254" w14:textId="77777777" w:rsidR="00C83428" w:rsidRDefault="00C83428" w:rsidP="001A5D4A">
            <w:pPr>
              <w:pStyle w:val="NotesTable-CellBold"/>
            </w:pPr>
          </w:p>
        </w:tc>
        <w:tc>
          <w:tcPr>
            <w:tcW w:w="406" w:type="pct"/>
          </w:tcPr>
          <w:p w14:paraId="038A3255" w14:textId="77777777" w:rsidR="00C83428" w:rsidRDefault="00C83428" w:rsidP="001A5D4A">
            <w:pPr>
              <w:pStyle w:val="NotesTable-CellPlain"/>
            </w:pPr>
          </w:p>
        </w:tc>
        <w:tc>
          <w:tcPr>
            <w:tcW w:w="406" w:type="pct"/>
          </w:tcPr>
          <w:p w14:paraId="038A3256" w14:textId="77777777" w:rsidR="00C83428" w:rsidRDefault="00C83428" w:rsidP="001A5D4A">
            <w:pPr>
              <w:pStyle w:val="NotesTable-CellBold"/>
            </w:pPr>
          </w:p>
        </w:tc>
        <w:tc>
          <w:tcPr>
            <w:tcW w:w="406" w:type="pct"/>
          </w:tcPr>
          <w:p w14:paraId="038A3257" w14:textId="77777777" w:rsidR="00C83428" w:rsidRDefault="00C83428" w:rsidP="001A5D4A">
            <w:pPr>
              <w:pStyle w:val="NotesTable-CellPlain"/>
            </w:pPr>
          </w:p>
        </w:tc>
      </w:tr>
      <w:tr w:rsidR="00C83428" w14:paraId="038A3260" w14:textId="77777777" w:rsidTr="00463ABD">
        <w:trPr>
          <w:cantSplit/>
          <w:trHeight w:hRule="exact" w:val="227"/>
        </w:trPr>
        <w:tc>
          <w:tcPr>
            <w:tcW w:w="810" w:type="pct"/>
          </w:tcPr>
          <w:p w14:paraId="038A3259" w14:textId="77777777" w:rsidR="00C83428" w:rsidRDefault="00C83428" w:rsidP="001A5D4A">
            <w:pPr>
              <w:pStyle w:val="Note-Refs"/>
            </w:pPr>
          </w:p>
        </w:tc>
        <w:tc>
          <w:tcPr>
            <w:tcW w:w="2297" w:type="pct"/>
            <w:vAlign w:val="bottom"/>
          </w:tcPr>
          <w:p w14:paraId="038A325A" w14:textId="77777777" w:rsidR="00C83428" w:rsidRDefault="00C83428" w:rsidP="001A5D4A">
            <w:pPr>
              <w:pStyle w:val="NotesTable-ItemPlain"/>
              <w:rPr>
                <w:b/>
              </w:rPr>
            </w:pPr>
            <w:r>
              <w:t>Balance 1 January</w:t>
            </w:r>
          </w:p>
        </w:tc>
        <w:tc>
          <w:tcPr>
            <w:tcW w:w="270" w:type="pct"/>
          </w:tcPr>
          <w:p w14:paraId="038A325B" w14:textId="77777777" w:rsidR="00C83428" w:rsidRDefault="00C83428" w:rsidP="001A5D4A">
            <w:pPr>
              <w:pStyle w:val="NotesTable-Notes"/>
            </w:pPr>
          </w:p>
        </w:tc>
        <w:tc>
          <w:tcPr>
            <w:tcW w:w="406" w:type="pct"/>
          </w:tcPr>
          <w:p w14:paraId="038A325C" w14:textId="77777777" w:rsidR="00C83428" w:rsidRDefault="00C83428" w:rsidP="001A5D4A">
            <w:pPr>
              <w:pStyle w:val="NotesTable-CellBold"/>
            </w:pPr>
            <w:r>
              <w:t>–</w:t>
            </w:r>
          </w:p>
        </w:tc>
        <w:tc>
          <w:tcPr>
            <w:tcW w:w="406" w:type="pct"/>
          </w:tcPr>
          <w:p w14:paraId="038A325D" w14:textId="77777777" w:rsidR="00C83428" w:rsidRDefault="00C83428" w:rsidP="001A5D4A">
            <w:pPr>
              <w:pStyle w:val="NotesTable-CellPlain"/>
            </w:pPr>
            <w:r>
              <w:t>–</w:t>
            </w:r>
          </w:p>
        </w:tc>
        <w:tc>
          <w:tcPr>
            <w:tcW w:w="406" w:type="pct"/>
          </w:tcPr>
          <w:p w14:paraId="038A325E" w14:textId="77777777" w:rsidR="00C83428" w:rsidRDefault="00C83428" w:rsidP="001A5D4A">
            <w:pPr>
              <w:pStyle w:val="NotesTable-CellBold"/>
            </w:pPr>
            <w:r>
              <w:t>–</w:t>
            </w:r>
          </w:p>
        </w:tc>
        <w:tc>
          <w:tcPr>
            <w:tcW w:w="406" w:type="pct"/>
          </w:tcPr>
          <w:p w14:paraId="038A325F" w14:textId="77777777" w:rsidR="00C83428" w:rsidRDefault="00C83428" w:rsidP="001A5D4A">
            <w:pPr>
              <w:pStyle w:val="NotesTable-CellPlain"/>
            </w:pPr>
            <w:r>
              <w:t>–</w:t>
            </w:r>
          </w:p>
        </w:tc>
      </w:tr>
      <w:tr w:rsidR="00C83428" w14:paraId="038A3268" w14:textId="77777777" w:rsidTr="00463ABD">
        <w:trPr>
          <w:cantSplit/>
          <w:trHeight w:hRule="exact" w:val="227"/>
        </w:trPr>
        <w:tc>
          <w:tcPr>
            <w:tcW w:w="810" w:type="pct"/>
          </w:tcPr>
          <w:p w14:paraId="038A3261" w14:textId="77777777" w:rsidR="00C83428" w:rsidRDefault="00C83428" w:rsidP="001A5D4A">
            <w:pPr>
              <w:pStyle w:val="Note-Refs"/>
            </w:pPr>
          </w:p>
        </w:tc>
        <w:tc>
          <w:tcPr>
            <w:tcW w:w="2297" w:type="pct"/>
            <w:vAlign w:val="bottom"/>
          </w:tcPr>
          <w:p w14:paraId="038A3262" w14:textId="77777777" w:rsidR="00C83428" w:rsidRDefault="00C83428" w:rsidP="001A5D4A">
            <w:pPr>
              <w:pStyle w:val="NotesTable-ItemPlain"/>
              <w:rPr>
                <w:b/>
              </w:rPr>
            </w:pPr>
            <w:r>
              <w:t>Currency translation differences arising during the year</w:t>
            </w:r>
          </w:p>
        </w:tc>
        <w:tc>
          <w:tcPr>
            <w:tcW w:w="270" w:type="pct"/>
          </w:tcPr>
          <w:p w14:paraId="038A3263" w14:textId="77777777" w:rsidR="00C83428" w:rsidRDefault="00C83428" w:rsidP="001A5D4A">
            <w:pPr>
              <w:pStyle w:val="NotesTable-Notes"/>
            </w:pPr>
          </w:p>
        </w:tc>
        <w:tc>
          <w:tcPr>
            <w:tcW w:w="406" w:type="pct"/>
            <w:tcBorders>
              <w:bottom w:val="single" w:sz="4" w:space="0" w:color="000000"/>
            </w:tcBorders>
          </w:tcPr>
          <w:p w14:paraId="038A3264" w14:textId="77777777" w:rsidR="00C83428" w:rsidRDefault="00C83428" w:rsidP="001A5D4A">
            <w:pPr>
              <w:pStyle w:val="NotesTable-CellBold"/>
            </w:pPr>
            <w:r>
              <w:t>–</w:t>
            </w:r>
          </w:p>
        </w:tc>
        <w:tc>
          <w:tcPr>
            <w:tcW w:w="406" w:type="pct"/>
            <w:tcBorders>
              <w:bottom w:val="single" w:sz="4" w:space="0" w:color="000000"/>
            </w:tcBorders>
          </w:tcPr>
          <w:p w14:paraId="038A3265" w14:textId="77777777" w:rsidR="00C83428" w:rsidRDefault="00C83428" w:rsidP="001A5D4A">
            <w:pPr>
              <w:pStyle w:val="NotesTable-CellPlain"/>
            </w:pPr>
            <w:r>
              <w:t>–</w:t>
            </w:r>
          </w:p>
        </w:tc>
        <w:tc>
          <w:tcPr>
            <w:tcW w:w="406" w:type="pct"/>
            <w:tcBorders>
              <w:bottom w:val="single" w:sz="4" w:space="0" w:color="000000"/>
            </w:tcBorders>
          </w:tcPr>
          <w:p w14:paraId="038A3266" w14:textId="77777777" w:rsidR="00C83428" w:rsidRDefault="00C83428" w:rsidP="001A5D4A">
            <w:pPr>
              <w:pStyle w:val="NotesTable-CellBold"/>
            </w:pPr>
            <w:r>
              <w:t>–</w:t>
            </w:r>
          </w:p>
        </w:tc>
        <w:tc>
          <w:tcPr>
            <w:tcW w:w="406" w:type="pct"/>
            <w:tcBorders>
              <w:bottom w:val="single" w:sz="4" w:space="0" w:color="000000"/>
            </w:tcBorders>
          </w:tcPr>
          <w:p w14:paraId="038A3267" w14:textId="77777777" w:rsidR="00C83428" w:rsidRDefault="00C83428" w:rsidP="001A5D4A">
            <w:pPr>
              <w:pStyle w:val="NotesTable-CellPlain"/>
            </w:pPr>
            <w:r>
              <w:t>–</w:t>
            </w:r>
          </w:p>
        </w:tc>
      </w:tr>
      <w:tr w:rsidR="00C83428" w14:paraId="038A3270" w14:textId="77777777" w:rsidTr="00463ABD">
        <w:trPr>
          <w:cantSplit/>
          <w:trHeight w:hRule="exact" w:val="227"/>
        </w:trPr>
        <w:tc>
          <w:tcPr>
            <w:tcW w:w="810" w:type="pct"/>
          </w:tcPr>
          <w:p w14:paraId="038A3269" w14:textId="77777777" w:rsidR="00C83428" w:rsidRDefault="00C83428" w:rsidP="001A5D4A">
            <w:pPr>
              <w:pStyle w:val="Note-Refs"/>
            </w:pPr>
          </w:p>
        </w:tc>
        <w:tc>
          <w:tcPr>
            <w:tcW w:w="2297" w:type="pct"/>
            <w:vAlign w:val="bottom"/>
          </w:tcPr>
          <w:p w14:paraId="038A326A" w14:textId="77777777" w:rsidR="00C83428" w:rsidRDefault="00C83428" w:rsidP="001A5D4A">
            <w:pPr>
              <w:pStyle w:val="NotesTable-ItemPlain"/>
              <w:rPr>
                <w:b/>
              </w:rPr>
            </w:pPr>
            <w:r>
              <w:t>Balance 31 December</w:t>
            </w:r>
          </w:p>
        </w:tc>
        <w:tc>
          <w:tcPr>
            <w:tcW w:w="270" w:type="pct"/>
          </w:tcPr>
          <w:p w14:paraId="038A326B" w14:textId="77777777" w:rsidR="00C83428" w:rsidRDefault="00C83428" w:rsidP="001A5D4A">
            <w:pPr>
              <w:pStyle w:val="NotesTable-Notes"/>
            </w:pPr>
          </w:p>
        </w:tc>
        <w:tc>
          <w:tcPr>
            <w:tcW w:w="406" w:type="pct"/>
            <w:tcBorders>
              <w:top w:val="single" w:sz="4" w:space="0" w:color="000000"/>
            </w:tcBorders>
          </w:tcPr>
          <w:p w14:paraId="038A326C" w14:textId="77777777" w:rsidR="00C83428" w:rsidRDefault="00C83428" w:rsidP="001A5D4A">
            <w:pPr>
              <w:pStyle w:val="NotesTable-CellBold"/>
            </w:pPr>
            <w:r>
              <w:t>–</w:t>
            </w:r>
          </w:p>
        </w:tc>
        <w:tc>
          <w:tcPr>
            <w:tcW w:w="406" w:type="pct"/>
            <w:tcBorders>
              <w:top w:val="single" w:sz="4" w:space="0" w:color="000000"/>
            </w:tcBorders>
          </w:tcPr>
          <w:p w14:paraId="038A326D" w14:textId="77777777" w:rsidR="00C83428" w:rsidRDefault="00C83428" w:rsidP="001A5D4A">
            <w:pPr>
              <w:pStyle w:val="NotesTable-CellPlain"/>
            </w:pPr>
            <w:r>
              <w:t>–</w:t>
            </w:r>
          </w:p>
        </w:tc>
        <w:tc>
          <w:tcPr>
            <w:tcW w:w="406" w:type="pct"/>
            <w:tcBorders>
              <w:top w:val="single" w:sz="4" w:space="0" w:color="000000"/>
            </w:tcBorders>
          </w:tcPr>
          <w:p w14:paraId="038A326E" w14:textId="77777777" w:rsidR="00C83428" w:rsidRDefault="00C83428" w:rsidP="001A5D4A">
            <w:pPr>
              <w:pStyle w:val="NotesTable-CellBold"/>
            </w:pPr>
            <w:r>
              <w:t>–</w:t>
            </w:r>
          </w:p>
        </w:tc>
        <w:tc>
          <w:tcPr>
            <w:tcW w:w="406" w:type="pct"/>
            <w:tcBorders>
              <w:top w:val="single" w:sz="4" w:space="0" w:color="000000"/>
            </w:tcBorders>
          </w:tcPr>
          <w:p w14:paraId="038A326F" w14:textId="77777777" w:rsidR="00C83428" w:rsidRDefault="00C83428" w:rsidP="001A5D4A">
            <w:pPr>
              <w:pStyle w:val="NotesTable-CellPlain"/>
            </w:pPr>
            <w:r>
              <w:t>–</w:t>
            </w:r>
          </w:p>
        </w:tc>
      </w:tr>
      <w:tr w:rsidR="00233AC1" w14:paraId="038A3273" w14:textId="77777777" w:rsidTr="00463ABD">
        <w:trPr>
          <w:cantSplit/>
          <w:trHeight w:hRule="exact" w:val="227"/>
        </w:trPr>
        <w:tc>
          <w:tcPr>
            <w:tcW w:w="810" w:type="pct"/>
          </w:tcPr>
          <w:p w14:paraId="038A3271" w14:textId="77777777" w:rsidR="00233AC1" w:rsidRDefault="00233AC1" w:rsidP="001A5D4A">
            <w:pPr>
              <w:pStyle w:val="Note-Refs"/>
            </w:pPr>
          </w:p>
        </w:tc>
        <w:tc>
          <w:tcPr>
            <w:tcW w:w="4190" w:type="pct"/>
            <w:gridSpan w:val="6"/>
            <w:vAlign w:val="bottom"/>
          </w:tcPr>
          <w:p w14:paraId="038A3272" w14:textId="77777777" w:rsidR="00233AC1" w:rsidRDefault="00233AC1" w:rsidP="001A5D4A">
            <w:pPr>
              <w:pStyle w:val="Note-Text"/>
            </w:pPr>
          </w:p>
        </w:tc>
      </w:tr>
      <w:tr w:rsidR="00233AC1" w14:paraId="038A3276" w14:textId="77777777" w:rsidTr="00463ABD">
        <w:trPr>
          <w:cantSplit/>
          <w:trHeight w:hRule="exact" w:val="227"/>
        </w:trPr>
        <w:tc>
          <w:tcPr>
            <w:tcW w:w="810" w:type="pct"/>
          </w:tcPr>
          <w:p w14:paraId="038A3274" w14:textId="77777777" w:rsidR="00233AC1" w:rsidRDefault="00233AC1" w:rsidP="001A5D4A">
            <w:pPr>
              <w:pStyle w:val="Note-Refs"/>
            </w:pPr>
          </w:p>
        </w:tc>
        <w:tc>
          <w:tcPr>
            <w:tcW w:w="4190" w:type="pct"/>
            <w:gridSpan w:val="6"/>
            <w:vAlign w:val="bottom"/>
          </w:tcPr>
          <w:p w14:paraId="038A3275" w14:textId="77777777" w:rsidR="00233AC1" w:rsidRDefault="00233AC1" w:rsidP="001A5D4A">
            <w:pPr>
              <w:pStyle w:val="NotesTable-ItemPlain"/>
              <w:rPr>
                <w:b/>
              </w:rPr>
            </w:pPr>
            <w:r>
              <w:t>[Describe movements in other reserves as appropriate]</w:t>
            </w:r>
          </w:p>
        </w:tc>
      </w:tr>
      <w:tr w:rsidR="00233AC1" w14:paraId="038A3279" w14:textId="77777777" w:rsidTr="00463ABD">
        <w:trPr>
          <w:cantSplit/>
          <w:trHeight w:hRule="exact" w:val="227"/>
        </w:trPr>
        <w:tc>
          <w:tcPr>
            <w:tcW w:w="810" w:type="pct"/>
          </w:tcPr>
          <w:p w14:paraId="038A3277" w14:textId="77777777" w:rsidR="00233AC1" w:rsidRDefault="00233AC1" w:rsidP="001A5D4A">
            <w:pPr>
              <w:pStyle w:val="Note-Refs"/>
            </w:pPr>
          </w:p>
        </w:tc>
        <w:tc>
          <w:tcPr>
            <w:tcW w:w="4190" w:type="pct"/>
            <w:gridSpan w:val="6"/>
            <w:vAlign w:val="bottom"/>
          </w:tcPr>
          <w:p w14:paraId="038A3278" w14:textId="77777777" w:rsidR="00233AC1" w:rsidRDefault="00233AC1" w:rsidP="001A5D4A">
            <w:pPr>
              <w:pStyle w:val="Note-Text"/>
            </w:pPr>
          </w:p>
        </w:tc>
      </w:tr>
      <w:tr w:rsidR="00630A7E" w14:paraId="038A3281" w14:textId="77777777" w:rsidTr="00463ABD">
        <w:trPr>
          <w:cantSplit/>
          <w:trHeight w:hRule="exact" w:val="227"/>
        </w:trPr>
        <w:tc>
          <w:tcPr>
            <w:tcW w:w="810" w:type="pct"/>
          </w:tcPr>
          <w:p w14:paraId="038A327A" w14:textId="77777777" w:rsidR="00630A7E" w:rsidRDefault="00630A7E" w:rsidP="001A5D4A">
            <w:pPr>
              <w:pStyle w:val="Note-Refs"/>
            </w:pPr>
          </w:p>
        </w:tc>
        <w:tc>
          <w:tcPr>
            <w:tcW w:w="2297" w:type="pct"/>
            <w:vAlign w:val="bottom"/>
          </w:tcPr>
          <w:p w14:paraId="038A327B" w14:textId="77777777" w:rsidR="00630A7E" w:rsidRDefault="00630A7E" w:rsidP="001A5D4A">
            <w:pPr>
              <w:pStyle w:val="NotesTable-ItemPlain"/>
              <w:rPr>
                <w:b/>
              </w:rPr>
            </w:pPr>
            <w:r>
              <w:t>Movements in retained earnings were as follows:</w:t>
            </w:r>
          </w:p>
        </w:tc>
        <w:tc>
          <w:tcPr>
            <w:tcW w:w="270" w:type="pct"/>
          </w:tcPr>
          <w:p w14:paraId="038A327C" w14:textId="77777777" w:rsidR="00630A7E" w:rsidRDefault="00630A7E" w:rsidP="001A5D4A">
            <w:pPr>
              <w:pStyle w:val="NotesTable-Notes"/>
            </w:pPr>
          </w:p>
        </w:tc>
        <w:tc>
          <w:tcPr>
            <w:tcW w:w="406" w:type="pct"/>
          </w:tcPr>
          <w:p w14:paraId="038A327D" w14:textId="77777777" w:rsidR="00630A7E" w:rsidRDefault="00630A7E" w:rsidP="001A5D4A">
            <w:pPr>
              <w:pStyle w:val="NotesTable-CellBold"/>
            </w:pPr>
          </w:p>
        </w:tc>
        <w:tc>
          <w:tcPr>
            <w:tcW w:w="406" w:type="pct"/>
          </w:tcPr>
          <w:p w14:paraId="038A327E" w14:textId="77777777" w:rsidR="00630A7E" w:rsidRDefault="00630A7E" w:rsidP="001A5D4A">
            <w:pPr>
              <w:pStyle w:val="NotesTable-CellPlain"/>
            </w:pPr>
          </w:p>
        </w:tc>
        <w:tc>
          <w:tcPr>
            <w:tcW w:w="406" w:type="pct"/>
          </w:tcPr>
          <w:p w14:paraId="038A327F" w14:textId="77777777" w:rsidR="00630A7E" w:rsidRDefault="00630A7E" w:rsidP="001A5D4A">
            <w:pPr>
              <w:pStyle w:val="NotesTable-CellBold"/>
            </w:pPr>
          </w:p>
        </w:tc>
        <w:tc>
          <w:tcPr>
            <w:tcW w:w="406" w:type="pct"/>
          </w:tcPr>
          <w:p w14:paraId="038A3280" w14:textId="77777777" w:rsidR="00630A7E" w:rsidRDefault="00630A7E" w:rsidP="001A5D4A">
            <w:pPr>
              <w:pStyle w:val="NotesTable-CellPlain"/>
            </w:pPr>
          </w:p>
        </w:tc>
      </w:tr>
      <w:tr w:rsidR="00C83428" w14:paraId="038A3289" w14:textId="77777777" w:rsidTr="00463ABD">
        <w:trPr>
          <w:cantSplit/>
          <w:trHeight w:hRule="exact" w:val="227"/>
        </w:trPr>
        <w:tc>
          <w:tcPr>
            <w:tcW w:w="810" w:type="pct"/>
          </w:tcPr>
          <w:p w14:paraId="038A3282" w14:textId="77777777" w:rsidR="00C83428" w:rsidRDefault="00C83428" w:rsidP="001A5D4A">
            <w:pPr>
              <w:pStyle w:val="Note-Refs"/>
            </w:pPr>
          </w:p>
        </w:tc>
        <w:tc>
          <w:tcPr>
            <w:tcW w:w="2297" w:type="pct"/>
            <w:vAlign w:val="bottom"/>
          </w:tcPr>
          <w:p w14:paraId="038A3283" w14:textId="77777777" w:rsidR="00C83428" w:rsidRDefault="00C83428" w:rsidP="001A5D4A">
            <w:pPr>
              <w:pStyle w:val="NotesTable-ItemPlain"/>
              <w:rPr>
                <w:b/>
              </w:rPr>
            </w:pPr>
            <w:r>
              <w:t>Retained earnings at 1 January</w:t>
            </w:r>
          </w:p>
        </w:tc>
        <w:tc>
          <w:tcPr>
            <w:tcW w:w="270" w:type="pct"/>
          </w:tcPr>
          <w:p w14:paraId="038A3284" w14:textId="77777777" w:rsidR="00C83428" w:rsidRDefault="00C83428" w:rsidP="001A5D4A">
            <w:pPr>
              <w:pStyle w:val="NotesTable-Notes"/>
            </w:pPr>
          </w:p>
        </w:tc>
        <w:tc>
          <w:tcPr>
            <w:tcW w:w="406" w:type="pct"/>
          </w:tcPr>
          <w:p w14:paraId="038A3285" w14:textId="77777777" w:rsidR="00C83428" w:rsidRDefault="00C83428" w:rsidP="001A5D4A">
            <w:pPr>
              <w:pStyle w:val="NotesTable-CellBold"/>
            </w:pPr>
            <w:r>
              <w:t>–</w:t>
            </w:r>
          </w:p>
        </w:tc>
        <w:tc>
          <w:tcPr>
            <w:tcW w:w="406" w:type="pct"/>
          </w:tcPr>
          <w:p w14:paraId="038A3286" w14:textId="77777777" w:rsidR="00C83428" w:rsidRDefault="00C83428" w:rsidP="001A5D4A">
            <w:pPr>
              <w:pStyle w:val="NotesTable-CellPlain"/>
            </w:pPr>
            <w:r>
              <w:t>–</w:t>
            </w:r>
          </w:p>
        </w:tc>
        <w:tc>
          <w:tcPr>
            <w:tcW w:w="406" w:type="pct"/>
          </w:tcPr>
          <w:p w14:paraId="038A3287" w14:textId="77777777" w:rsidR="00C83428" w:rsidRDefault="00C83428" w:rsidP="001A5D4A">
            <w:pPr>
              <w:pStyle w:val="NotesTable-CellBold"/>
            </w:pPr>
            <w:r>
              <w:t>–</w:t>
            </w:r>
          </w:p>
        </w:tc>
        <w:tc>
          <w:tcPr>
            <w:tcW w:w="406" w:type="pct"/>
          </w:tcPr>
          <w:p w14:paraId="038A3288" w14:textId="77777777" w:rsidR="00C83428" w:rsidRDefault="00C83428" w:rsidP="001A5D4A">
            <w:pPr>
              <w:pStyle w:val="NotesTable-CellPlain"/>
            </w:pPr>
            <w:r>
              <w:t>–</w:t>
            </w:r>
          </w:p>
        </w:tc>
      </w:tr>
      <w:tr w:rsidR="00C83428" w14:paraId="038A3291" w14:textId="77777777" w:rsidTr="00463ABD">
        <w:trPr>
          <w:cantSplit/>
          <w:trHeight w:hRule="exact" w:val="227"/>
        </w:trPr>
        <w:tc>
          <w:tcPr>
            <w:tcW w:w="810" w:type="pct"/>
          </w:tcPr>
          <w:p w14:paraId="038A328A" w14:textId="77777777" w:rsidR="00C83428" w:rsidRDefault="00C83428" w:rsidP="001A5D4A">
            <w:pPr>
              <w:pStyle w:val="Note-Refs"/>
            </w:pPr>
          </w:p>
        </w:tc>
        <w:tc>
          <w:tcPr>
            <w:tcW w:w="2297" w:type="pct"/>
            <w:vAlign w:val="bottom"/>
          </w:tcPr>
          <w:p w14:paraId="038A328B" w14:textId="28EB5CD0" w:rsidR="00C83428" w:rsidRDefault="00962B1E" w:rsidP="001A5D4A">
            <w:pPr>
              <w:pStyle w:val="NotesTable-ItemPlain"/>
              <w:rPr>
                <w:b/>
              </w:rPr>
            </w:pPr>
            <w:r>
              <w:t xml:space="preserve">Net </w:t>
            </w:r>
            <w:r w:rsidR="00C83428">
              <w:t>result for the period</w:t>
            </w:r>
          </w:p>
        </w:tc>
        <w:tc>
          <w:tcPr>
            <w:tcW w:w="270" w:type="pct"/>
          </w:tcPr>
          <w:p w14:paraId="038A328C" w14:textId="77777777" w:rsidR="00C83428" w:rsidRDefault="00C83428" w:rsidP="001A5D4A">
            <w:pPr>
              <w:pStyle w:val="NotesTable-Notes"/>
            </w:pPr>
          </w:p>
        </w:tc>
        <w:tc>
          <w:tcPr>
            <w:tcW w:w="406" w:type="pct"/>
          </w:tcPr>
          <w:p w14:paraId="038A328D" w14:textId="77777777" w:rsidR="00C83428" w:rsidRDefault="00C83428" w:rsidP="001A5D4A">
            <w:pPr>
              <w:pStyle w:val="NotesTable-CellBold"/>
            </w:pPr>
            <w:r>
              <w:t>–</w:t>
            </w:r>
          </w:p>
        </w:tc>
        <w:tc>
          <w:tcPr>
            <w:tcW w:w="406" w:type="pct"/>
          </w:tcPr>
          <w:p w14:paraId="038A328E" w14:textId="77777777" w:rsidR="00C83428" w:rsidRDefault="00C83428" w:rsidP="001A5D4A">
            <w:pPr>
              <w:pStyle w:val="NotesTable-CellPlain"/>
            </w:pPr>
            <w:r>
              <w:t>–</w:t>
            </w:r>
          </w:p>
        </w:tc>
        <w:tc>
          <w:tcPr>
            <w:tcW w:w="406" w:type="pct"/>
          </w:tcPr>
          <w:p w14:paraId="038A328F" w14:textId="77777777" w:rsidR="00C83428" w:rsidRDefault="00C83428" w:rsidP="001A5D4A">
            <w:pPr>
              <w:pStyle w:val="NotesTable-CellBold"/>
            </w:pPr>
            <w:r>
              <w:t>–</w:t>
            </w:r>
          </w:p>
        </w:tc>
        <w:tc>
          <w:tcPr>
            <w:tcW w:w="406" w:type="pct"/>
          </w:tcPr>
          <w:p w14:paraId="038A3290" w14:textId="77777777" w:rsidR="00C83428" w:rsidRDefault="00C83428" w:rsidP="001A5D4A">
            <w:pPr>
              <w:pStyle w:val="NotesTable-CellPlain"/>
            </w:pPr>
            <w:r>
              <w:t>–</w:t>
            </w:r>
          </w:p>
        </w:tc>
      </w:tr>
      <w:tr w:rsidR="001F5DC7" w14:paraId="1549261B" w14:textId="77777777" w:rsidTr="00463ABD">
        <w:trPr>
          <w:cantSplit/>
          <w:trHeight w:hRule="exact" w:val="227"/>
        </w:trPr>
        <w:tc>
          <w:tcPr>
            <w:tcW w:w="810" w:type="pct"/>
          </w:tcPr>
          <w:p w14:paraId="74B895D6" w14:textId="77777777" w:rsidR="001F5DC7" w:rsidRDefault="001F5DC7" w:rsidP="001A5D4A">
            <w:pPr>
              <w:pStyle w:val="Note-Refs"/>
            </w:pPr>
          </w:p>
        </w:tc>
        <w:tc>
          <w:tcPr>
            <w:tcW w:w="2297" w:type="pct"/>
            <w:vAlign w:val="bottom"/>
          </w:tcPr>
          <w:p w14:paraId="685915F2" w14:textId="537FD2D3" w:rsidR="001F5DC7" w:rsidRPr="001F5DC7" w:rsidRDefault="001F5DC7" w:rsidP="001A5D4A">
            <w:pPr>
              <w:pStyle w:val="NotesTable-ItemPlain"/>
            </w:pPr>
            <w:r>
              <w:t>Actuarial changes for defined benefit schemes</w:t>
            </w:r>
          </w:p>
        </w:tc>
        <w:tc>
          <w:tcPr>
            <w:tcW w:w="270" w:type="pct"/>
          </w:tcPr>
          <w:p w14:paraId="3CABD1A3" w14:textId="3713CDC7" w:rsidR="001F5DC7" w:rsidRDefault="001757AA" w:rsidP="001A5D4A">
            <w:pPr>
              <w:pStyle w:val="NotesTable-Notes"/>
            </w:pPr>
            <w:r>
              <w:t>52</w:t>
            </w:r>
          </w:p>
        </w:tc>
        <w:tc>
          <w:tcPr>
            <w:tcW w:w="406" w:type="pct"/>
          </w:tcPr>
          <w:p w14:paraId="26962332" w14:textId="2B3D7581" w:rsidR="001F5DC7" w:rsidRDefault="001F5DC7" w:rsidP="001A5D4A">
            <w:pPr>
              <w:pStyle w:val="NotesTable-CellBold"/>
            </w:pPr>
            <w:r>
              <w:t>–</w:t>
            </w:r>
          </w:p>
        </w:tc>
        <w:tc>
          <w:tcPr>
            <w:tcW w:w="406" w:type="pct"/>
          </w:tcPr>
          <w:p w14:paraId="68D10BDB" w14:textId="6FD19E51" w:rsidR="001F5DC7" w:rsidRDefault="001F5DC7" w:rsidP="001A5D4A">
            <w:pPr>
              <w:pStyle w:val="NotesTable-CellPlain"/>
            </w:pPr>
            <w:r>
              <w:t>–</w:t>
            </w:r>
          </w:p>
        </w:tc>
        <w:tc>
          <w:tcPr>
            <w:tcW w:w="406" w:type="pct"/>
          </w:tcPr>
          <w:p w14:paraId="36C0B078" w14:textId="57B37C11" w:rsidR="001F5DC7" w:rsidRDefault="001F5DC7" w:rsidP="001A5D4A">
            <w:pPr>
              <w:pStyle w:val="NotesTable-CellBold"/>
            </w:pPr>
            <w:r>
              <w:t>–</w:t>
            </w:r>
          </w:p>
        </w:tc>
        <w:tc>
          <w:tcPr>
            <w:tcW w:w="406" w:type="pct"/>
          </w:tcPr>
          <w:p w14:paraId="193EB241" w14:textId="1BAB6EB8" w:rsidR="001F5DC7" w:rsidRDefault="001F5DC7" w:rsidP="001A5D4A">
            <w:pPr>
              <w:pStyle w:val="NotesTable-CellPlain"/>
            </w:pPr>
            <w:r>
              <w:t>–</w:t>
            </w:r>
          </w:p>
        </w:tc>
      </w:tr>
      <w:tr w:rsidR="001F5DC7" w14:paraId="038A3299" w14:textId="77777777" w:rsidTr="00463ABD">
        <w:trPr>
          <w:cantSplit/>
          <w:trHeight w:hRule="exact" w:val="227"/>
        </w:trPr>
        <w:tc>
          <w:tcPr>
            <w:tcW w:w="810" w:type="pct"/>
          </w:tcPr>
          <w:p w14:paraId="038A3292" w14:textId="77777777" w:rsidR="001F5DC7" w:rsidRDefault="001F5DC7" w:rsidP="001A5D4A">
            <w:pPr>
              <w:pStyle w:val="Note-Refs"/>
            </w:pPr>
          </w:p>
        </w:tc>
        <w:tc>
          <w:tcPr>
            <w:tcW w:w="2297" w:type="pct"/>
            <w:vAlign w:val="bottom"/>
          </w:tcPr>
          <w:p w14:paraId="038A3293" w14:textId="77777777" w:rsidR="001F5DC7" w:rsidRDefault="001F5DC7" w:rsidP="001A5D4A">
            <w:pPr>
              <w:pStyle w:val="NotesTable-ItemPlain"/>
              <w:rPr>
                <w:b/>
              </w:rPr>
            </w:pPr>
            <w:r>
              <w:t>[Specify]</w:t>
            </w:r>
          </w:p>
        </w:tc>
        <w:tc>
          <w:tcPr>
            <w:tcW w:w="270" w:type="pct"/>
          </w:tcPr>
          <w:p w14:paraId="038A3294" w14:textId="77777777" w:rsidR="001F5DC7" w:rsidRDefault="001F5DC7" w:rsidP="001A5D4A">
            <w:pPr>
              <w:pStyle w:val="NotesTable-Notes"/>
            </w:pPr>
          </w:p>
        </w:tc>
        <w:tc>
          <w:tcPr>
            <w:tcW w:w="406" w:type="pct"/>
            <w:tcBorders>
              <w:bottom w:val="single" w:sz="4" w:space="0" w:color="auto"/>
            </w:tcBorders>
          </w:tcPr>
          <w:p w14:paraId="038A3295" w14:textId="77777777" w:rsidR="001F5DC7" w:rsidRDefault="001F5DC7" w:rsidP="001A5D4A">
            <w:pPr>
              <w:pStyle w:val="NotesTable-CellBold"/>
            </w:pPr>
            <w:r>
              <w:t>–</w:t>
            </w:r>
          </w:p>
        </w:tc>
        <w:tc>
          <w:tcPr>
            <w:tcW w:w="406" w:type="pct"/>
            <w:tcBorders>
              <w:bottom w:val="single" w:sz="4" w:space="0" w:color="auto"/>
            </w:tcBorders>
          </w:tcPr>
          <w:p w14:paraId="038A3296" w14:textId="77777777" w:rsidR="001F5DC7" w:rsidRDefault="001F5DC7" w:rsidP="001A5D4A">
            <w:pPr>
              <w:pStyle w:val="NotesTable-CellPlain"/>
            </w:pPr>
            <w:r>
              <w:t>–</w:t>
            </w:r>
          </w:p>
        </w:tc>
        <w:tc>
          <w:tcPr>
            <w:tcW w:w="406" w:type="pct"/>
            <w:tcBorders>
              <w:bottom w:val="single" w:sz="4" w:space="0" w:color="auto"/>
            </w:tcBorders>
          </w:tcPr>
          <w:p w14:paraId="038A3297" w14:textId="77777777" w:rsidR="001F5DC7" w:rsidRDefault="001F5DC7" w:rsidP="001A5D4A">
            <w:pPr>
              <w:pStyle w:val="NotesTable-CellBold"/>
            </w:pPr>
            <w:r>
              <w:t>–</w:t>
            </w:r>
          </w:p>
        </w:tc>
        <w:tc>
          <w:tcPr>
            <w:tcW w:w="406" w:type="pct"/>
            <w:tcBorders>
              <w:bottom w:val="single" w:sz="4" w:space="0" w:color="auto"/>
            </w:tcBorders>
          </w:tcPr>
          <w:p w14:paraId="038A3298" w14:textId="77777777" w:rsidR="001F5DC7" w:rsidRDefault="001F5DC7" w:rsidP="001A5D4A">
            <w:pPr>
              <w:pStyle w:val="NotesTable-CellPlain"/>
            </w:pPr>
            <w:r>
              <w:t>–</w:t>
            </w:r>
          </w:p>
        </w:tc>
      </w:tr>
      <w:tr w:rsidR="001F5DC7" w14:paraId="038A32A1" w14:textId="77777777" w:rsidTr="00463ABD">
        <w:trPr>
          <w:cantSplit/>
          <w:trHeight w:hRule="exact" w:val="227"/>
        </w:trPr>
        <w:tc>
          <w:tcPr>
            <w:tcW w:w="810" w:type="pct"/>
          </w:tcPr>
          <w:p w14:paraId="038A329A" w14:textId="77777777" w:rsidR="001F5DC7" w:rsidRDefault="001F5DC7" w:rsidP="001A5D4A">
            <w:pPr>
              <w:pStyle w:val="Note-Refs"/>
            </w:pPr>
          </w:p>
        </w:tc>
        <w:tc>
          <w:tcPr>
            <w:tcW w:w="2297" w:type="pct"/>
            <w:vAlign w:val="bottom"/>
          </w:tcPr>
          <w:p w14:paraId="038A329B" w14:textId="77777777" w:rsidR="001F5DC7" w:rsidRDefault="001F5DC7" w:rsidP="001A5D4A">
            <w:pPr>
              <w:pStyle w:val="NotesTable-ItemPlain"/>
              <w:rPr>
                <w:b/>
              </w:rPr>
            </w:pPr>
            <w:r>
              <w:t>Retained earnings at 31 December</w:t>
            </w:r>
          </w:p>
        </w:tc>
        <w:tc>
          <w:tcPr>
            <w:tcW w:w="270" w:type="pct"/>
          </w:tcPr>
          <w:p w14:paraId="038A329C" w14:textId="77777777" w:rsidR="001F5DC7" w:rsidRDefault="001F5DC7" w:rsidP="001A5D4A">
            <w:pPr>
              <w:pStyle w:val="NotesTable-Notes"/>
            </w:pPr>
          </w:p>
        </w:tc>
        <w:tc>
          <w:tcPr>
            <w:tcW w:w="406" w:type="pct"/>
            <w:tcBorders>
              <w:top w:val="single" w:sz="4" w:space="0" w:color="auto"/>
            </w:tcBorders>
            <w:vAlign w:val="bottom"/>
          </w:tcPr>
          <w:p w14:paraId="038A329D" w14:textId="77777777" w:rsidR="001F5DC7" w:rsidRDefault="001F5DC7" w:rsidP="001A5D4A">
            <w:pPr>
              <w:pStyle w:val="NotesTable-CellBold"/>
            </w:pPr>
            <w:r>
              <w:t>–</w:t>
            </w:r>
          </w:p>
        </w:tc>
        <w:tc>
          <w:tcPr>
            <w:tcW w:w="406" w:type="pct"/>
            <w:tcBorders>
              <w:top w:val="single" w:sz="4" w:space="0" w:color="auto"/>
            </w:tcBorders>
            <w:vAlign w:val="bottom"/>
          </w:tcPr>
          <w:p w14:paraId="038A329E" w14:textId="77777777" w:rsidR="001F5DC7" w:rsidRDefault="001F5DC7" w:rsidP="001A5D4A">
            <w:pPr>
              <w:pStyle w:val="NotesTable-CellPlain"/>
            </w:pPr>
            <w:r>
              <w:t>–</w:t>
            </w:r>
          </w:p>
        </w:tc>
        <w:tc>
          <w:tcPr>
            <w:tcW w:w="406" w:type="pct"/>
            <w:tcBorders>
              <w:top w:val="single" w:sz="4" w:space="0" w:color="auto"/>
            </w:tcBorders>
            <w:vAlign w:val="bottom"/>
          </w:tcPr>
          <w:p w14:paraId="038A329F" w14:textId="77777777" w:rsidR="001F5DC7" w:rsidRDefault="001F5DC7" w:rsidP="001A5D4A">
            <w:pPr>
              <w:pStyle w:val="NotesTable-CellBold"/>
            </w:pPr>
            <w:r>
              <w:t>–</w:t>
            </w:r>
          </w:p>
        </w:tc>
        <w:tc>
          <w:tcPr>
            <w:tcW w:w="406" w:type="pct"/>
            <w:tcBorders>
              <w:top w:val="single" w:sz="4" w:space="0" w:color="auto"/>
            </w:tcBorders>
            <w:vAlign w:val="bottom"/>
          </w:tcPr>
          <w:p w14:paraId="038A32A0" w14:textId="77777777" w:rsidR="001F5DC7" w:rsidRDefault="001F5DC7" w:rsidP="001A5D4A">
            <w:pPr>
              <w:pStyle w:val="NotesTable-CellPlain"/>
            </w:pPr>
            <w:r>
              <w:t>–</w:t>
            </w:r>
          </w:p>
        </w:tc>
      </w:tr>
      <w:tr w:rsidR="001F5DC7" w14:paraId="038A32A4" w14:textId="77777777" w:rsidTr="00463ABD">
        <w:trPr>
          <w:cantSplit/>
          <w:trHeight w:hRule="exact" w:val="227"/>
        </w:trPr>
        <w:tc>
          <w:tcPr>
            <w:tcW w:w="810" w:type="pct"/>
          </w:tcPr>
          <w:p w14:paraId="038A32A2" w14:textId="77777777" w:rsidR="001F5DC7" w:rsidRDefault="001F5DC7" w:rsidP="001A5D4A">
            <w:pPr>
              <w:pStyle w:val="Note-Refs"/>
            </w:pPr>
          </w:p>
        </w:tc>
        <w:tc>
          <w:tcPr>
            <w:tcW w:w="4190" w:type="pct"/>
            <w:gridSpan w:val="6"/>
            <w:vAlign w:val="bottom"/>
          </w:tcPr>
          <w:p w14:paraId="038A32A3" w14:textId="77777777" w:rsidR="001F5DC7" w:rsidRDefault="001F5DC7" w:rsidP="001A5D4A">
            <w:pPr>
              <w:tabs>
                <w:tab w:val="left" w:pos="473"/>
                <w:tab w:val="left" w:pos="1225"/>
              </w:tabs>
              <w:snapToGrid w:val="0"/>
              <w:spacing w:line="100" w:lineRule="atLeast"/>
              <w:ind w:left="14"/>
              <w:rPr>
                <w:rFonts w:ascii="Arial" w:hAnsi="Arial" w:cs="Arial"/>
                <w:b/>
                <w:sz w:val="18"/>
                <w:szCs w:val="18"/>
              </w:rPr>
            </w:pPr>
          </w:p>
        </w:tc>
      </w:tr>
      <w:tr w:rsidR="001F5DC7" w14:paraId="038A32A7" w14:textId="77777777" w:rsidTr="00463ABD">
        <w:trPr>
          <w:cantSplit/>
          <w:trHeight w:hRule="exact" w:val="227"/>
        </w:trPr>
        <w:tc>
          <w:tcPr>
            <w:tcW w:w="810" w:type="pct"/>
          </w:tcPr>
          <w:p w14:paraId="038A32A5" w14:textId="77777777" w:rsidR="001F5DC7" w:rsidRDefault="001F5DC7" w:rsidP="001A5D4A">
            <w:pPr>
              <w:pStyle w:val="Note-Refs"/>
              <w:rPr>
                <w:b/>
              </w:rPr>
            </w:pPr>
            <w:r>
              <w:t>AASB101.79b</w:t>
            </w:r>
          </w:p>
        </w:tc>
        <w:tc>
          <w:tcPr>
            <w:tcW w:w="4190" w:type="pct"/>
            <w:gridSpan w:val="6"/>
            <w:vAlign w:val="bottom"/>
          </w:tcPr>
          <w:p w14:paraId="038A32A6" w14:textId="77777777" w:rsidR="001F5DC7" w:rsidRDefault="001F5DC7" w:rsidP="001A5D4A">
            <w:pPr>
              <w:pStyle w:val="Note-TextHeader"/>
              <w:rPr>
                <w:b w:val="0"/>
                <w:lang w:val="en-GB"/>
              </w:rPr>
            </w:pPr>
            <w:r>
              <w:t>(b)</w:t>
            </w:r>
            <w:r>
              <w:tab/>
              <w:t xml:space="preserve">Nature and purpose of reserves </w:t>
            </w:r>
          </w:p>
        </w:tc>
      </w:tr>
      <w:tr w:rsidR="001F5DC7" w14:paraId="038A32AB" w14:textId="77777777" w:rsidTr="00463ABD">
        <w:trPr>
          <w:cantSplit/>
          <w:trHeight w:hRule="exact" w:val="227"/>
        </w:trPr>
        <w:tc>
          <w:tcPr>
            <w:tcW w:w="810" w:type="pct"/>
          </w:tcPr>
          <w:p w14:paraId="038A32A8" w14:textId="77777777" w:rsidR="001F5DC7" w:rsidRDefault="001F5DC7" w:rsidP="001A5D4A">
            <w:pPr>
              <w:pStyle w:val="Note-Refs"/>
            </w:pPr>
          </w:p>
        </w:tc>
        <w:tc>
          <w:tcPr>
            <w:tcW w:w="4190" w:type="pct"/>
            <w:gridSpan w:val="6"/>
            <w:vAlign w:val="bottom"/>
          </w:tcPr>
          <w:p w14:paraId="038A32A9" w14:textId="77777777" w:rsidR="001F5DC7" w:rsidRPr="004F52B1" w:rsidRDefault="001F5DC7" w:rsidP="001A5D4A">
            <w:pPr>
              <w:pStyle w:val="NotesTable-ItemPlain"/>
            </w:pPr>
            <w:r>
              <w:t>[Briefly describe the nature and purpose of each reserve]</w:t>
            </w:r>
          </w:p>
          <w:p w14:paraId="038A32AA" w14:textId="77777777" w:rsidR="001F5DC7" w:rsidRDefault="001F5DC7" w:rsidP="001A5D4A">
            <w:pPr>
              <w:pStyle w:val="indent20"/>
            </w:pPr>
          </w:p>
        </w:tc>
      </w:tr>
    </w:tbl>
    <w:p w14:paraId="683CAE0C" w14:textId="77777777" w:rsidR="007D1A6F" w:rsidRPr="00117880" w:rsidRDefault="007D1A6F" w:rsidP="001A5D4A">
      <w:r w:rsidRPr="00117880">
        <w:br w:type="page"/>
      </w:r>
    </w:p>
    <w:p w14:paraId="703EE89E" w14:textId="36BF6970" w:rsidR="007D1A6F" w:rsidRPr="00EF62D6" w:rsidRDefault="007D1A6F" w:rsidP="001A5D4A">
      <w:pPr>
        <w:pStyle w:val="Heading3"/>
        <w:rPr>
          <w:color w:val="2D3E7B" w:themeColor="text2" w:themeShade="BF"/>
        </w:rPr>
      </w:pPr>
      <w:bookmarkStart w:id="369" w:name="_Toc410807657"/>
      <w:bookmarkStart w:id="370" w:name="_Toc410822718"/>
      <w:r w:rsidRPr="00EF62D6">
        <w:rPr>
          <w:color w:val="2D3E7B" w:themeColor="text2" w:themeShade="BF"/>
        </w:rPr>
        <w:lastRenderedPageBreak/>
        <w:t>Commentary – Reserves and retained earnings</w:t>
      </w:r>
      <w:bookmarkEnd w:id="369"/>
      <w:bookmarkEnd w:id="370"/>
    </w:p>
    <w:p w14:paraId="340335C3" w14:textId="77777777" w:rsidR="007D1A6F" w:rsidRPr="00EF62D6" w:rsidRDefault="007D1A6F"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Nature and purpose</w:t>
      </w:r>
    </w:p>
    <w:p w14:paraId="7A32498F" w14:textId="77777777" w:rsidR="007D1A6F" w:rsidRPr="00EF62D6" w:rsidRDefault="007D1A6F" w:rsidP="00F94210">
      <w:pPr>
        <w:pStyle w:val="Heading6"/>
      </w:pPr>
      <w:r w:rsidRPr="00EF62D6">
        <w:t>AASB101.79b</w:t>
      </w:r>
    </w:p>
    <w:p w14:paraId="763CFD57" w14:textId="77777777" w:rsidR="007D1A6F" w:rsidRPr="00EF62D6" w:rsidRDefault="007D1A6F" w:rsidP="001A5D4A">
      <w:pPr>
        <w:rPr>
          <w:color w:val="2D3E7B" w:themeColor="text2" w:themeShade="BF"/>
        </w:rPr>
      </w:pPr>
      <w:r w:rsidRPr="00EF62D6">
        <w:rPr>
          <w:color w:val="2D3E7B" w:themeColor="text2" w:themeShade="BF"/>
        </w:rPr>
        <w:t xml:space="preserve">A description of the nature and purpose of each reserve within equity must be provided either on the face of the statement of financial position or in the notes. This applies to each reserve, including general reserves, capital profit reserves and any others in existence. </w:t>
      </w:r>
    </w:p>
    <w:p w14:paraId="4550A6D1" w14:textId="77777777" w:rsidR="007D1A6F" w:rsidRPr="00EF62D6" w:rsidRDefault="007D1A6F" w:rsidP="001A5D4A">
      <w:pPr>
        <w:rPr>
          <w:color w:val="2D3E7B" w:themeColor="text2" w:themeShade="BF"/>
        </w:rPr>
      </w:pPr>
      <w:r w:rsidRPr="00EF62D6">
        <w:rPr>
          <w:color w:val="2D3E7B" w:themeColor="text2" w:themeShade="BF"/>
        </w:rPr>
        <w:t xml:space="preserve">In providing a description of the nature and the purpose of the reserves it would be appropriate to refer to any restrictions on their distributions or any other important characteristics. In the case of: </w:t>
      </w:r>
    </w:p>
    <w:p w14:paraId="421C66F5" w14:textId="77777777" w:rsidR="007D1A6F" w:rsidRPr="00EF62D6" w:rsidRDefault="007D1A6F" w:rsidP="00F94210">
      <w:pPr>
        <w:pStyle w:val="Heading6"/>
      </w:pPr>
      <w:r w:rsidRPr="00EF62D6">
        <w:t>AASB116.77f</w:t>
      </w:r>
    </w:p>
    <w:p w14:paraId="56A6A656" w14:textId="1E0FDDDC" w:rsidR="007D1A6F" w:rsidRPr="00EF62D6" w:rsidRDefault="007D1A6F" w:rsidP="00561138">
      <w:pPr>
        <w:pStyle w:val="ListParagraph"/>
        <w:numPr>
          <w:ilvl w:val="0"/>
          <w:numId w:val="49"/>
        </w:numPr>
        <w:ind w:left="340" w:hanging="340"/>
        <w:rPr>
          <w:color w:val="2D3E7B" w:themeColor="text2" w:themeShade="BF"/>
        </w:rPr>
      </w:pPr>
      <w:r w:rsidRPr="00EF62D6">
        <w:rPr>
          <w:color w:val="2D3E7B" w:themeColor="text2" w:themeShade="BF"/>
        </w:rPr>
        <w:t>the property, plant and equipment revaluation surplus: there is a specific requirement to disclose any restrictions on the distribution of the balance to shareholders</w:t>
      </w:r>
    </w:p>
    <w:p w14:paraId="52480935" w14:textId="77777777" w:rsidR="007D1A6F" w:rsidRPr="00EF62D6" w:rsidRDefault="007D1A6F" w:rsidP="00F94210">
      <w:pPr>
        <w:pStyle w:val="Heading6"/>
      </w:pPr>
      <w:r w:rsidRPr="00EF62D6">
        <w:t>AASB138.124b</w:t>
      </w:r>
    </w:p>
    <w:p w14:paraId="30961989" w14:textId="3664B74E" w:rsidR="007D1A6F" w:rsidRPr="007F5DE6" w:rsidRDefault="007D1A6F" w:rsidP="00561138">
      <w:pPr>
        <w:pStyle w:val="ListParagraph"/>
        <w:numPr>
          <w:ilvl w:val="0"/>
          <w:numId w:val="49"/>
        </w:numPr>
        <w:ind w:left="340" w:hanging="340"/>
        <w:rPr>
          <w:color w:val="2D3E7B" w:themeColor="text2" w:themeShade="BF"/>
        </w:rPr>
      </w:pPr>
      <w:proofErr w:type="gramStart"/>
      <w:r w:rsidRPr="00EF62D6">
        <w:rPr>
          <w:color w:val="2D3E7B" w:themeColor="text2" w:themeShade="BF"/>
        </w:rPr>
        <w:t>the</w:t>
      </w:r>
      <w:proofErr w:type="gramEnd"/>
      <w:r w:rsidRPr="00EF62D6">
        <w:rPr>
          <w:color w:val="2D3E7B" w:themeColor="text2" w:themeShade="BF"/>
        </w:rPr>
        <w:t xml:space="preserve"> amount to revaluation surplus that relates to intangible assets; there is a specific requirement to disclose the balance at the beginning and the end of the period, indicating the changes during the period </w:t>
      </w:r>
      <w:r w:rsidRPr="007F5DE6">
        <w:rPr>
          <w:color w:val="2D3E7B" w:themeColor="text2" w:themeShade="BF"/>
        </w:rPr>
        <w:t>and any restrictions on the distributions of the balance to shareholders.</w:t>
      </w:r>
    </w:p>
    <w:p w14:paraId="475BCB5D" w14:textId="1BFB61B0" w:rsidR="00117880" w:rsidRPr="00117880" w:rsidRDefault="00117880" w:rsidP="00EF62D6">
      <w:pPr>
        <w:pStyle w:val="Heading2"/>
      </w:pPr>
      <w:bookmarkStart w:id="371" w:name="_Toc410807658"/>
      <w:bookmarkStart w:id="372" w:name="_Toc410822719"/>
      <w:proofErr w:type="gramStart"/>
      <w:r w:rsidRPr="00117880">
        <w:t>Note 37.</w:t>
      </w:r>
      <w:proofErr w:type="gramEnd"/>
      <w:r w:rsidR="002636A0">
        <w:t xml:space="preserve"> </w:t>
      </w:r>
      <w:r w:rsidRPr="00117880">
        <w:t>Non-controlling interest</w:t>
      </w:r>
      <w:bookmarkEnd w:id="371"/>
      <w:bookmarkEnd w:id="372"/>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023312" w14:paraId="038A32D6" w14:textId="77777777" w:rsidTr="00463ABD">
        <w:trPr>
          <w:cantSplit/>
          <w:trHeight w:hRule="exact" w:val="227"/>
        </w:trPr>
        <w:tc>
          <w:tcPr>
            <w:tcW w:w="810" w:type="pct"/>
          </w:tcPr>
          <w:p w14:paraId="038A32D2" w14:textId="77777777" w:rsidR="00023312" w:rsidRDefault="00023312" w:rsidP="001A5D4A">
            <w:pPr>
              <w:pStyle w:val="Note-Refs"/>
            </w:pPr>
          </w:p>
        </w:tc>
        <w:tc>
          <w:tcPr>
            <w:tcW w:w="2567" w:type="pct"/>
            <w:vAlign w:val="bottom"/>
          </w:tcPr>
          <w:p w14:paraId="038A32D3" w14:textId="77777777" w:rsidR="00023312" w:rsidRDefault="00023312" w:rsidP="001A5D4A">
            <w:pPr>
              <w:pStyle w:val="NotesTable-ItemPlain"/>
            </w:pPr>
          </w:p>
        </w:tc>
        <w:tc>
          <w:tcPr>
            <w:tcW w:w="811" w:type="pct"/>
            <w:gridSpan w:val="2"/>
          </w:tcPr>
          <w:p w14:paraId="038A32D4" w14:textId="77777777" w:rsidR="00023312" w:rsidRDefault="00023312" w:rsidP="001A5D4A">
            <w:pPr>
              <w:pStyle w:val="NotesTable-HeadPlain"/>
            </w:pPr>
            <w:r>
              <w:t>Consolidated</w:t>
            </w:r>
          </w:p>
        </w:tc>
        <w:tc>
          <w:tcPr>
            <w:tcW w:w="811" w:type="pct"/>
            <w:gridSpan w:val="2"/>
          </w:tcPr>
          <w:p w14:paraId="038A32D5" w14:textId="77777777" w:rsidR="00023312" w:rsidRDefault="00023312" w:rsidP="001A5D4A">
            <w:pPr>
              <w:pStyle w:val="NotesTable-HeadPlain"/>
            </w:pPr>
            <w:r>
              <w:t>Parent entity</w:t>
            </w:r>
          </w:p>
        </w:tc>
      </w:tr>
      <w:tr w:rsidR="00C83428" w14:paraId="038A32DD" w14:textId="77777777" w:rsidTr="00463ABD">
        <w:trPr>
          <w:cantSplit/>
          <w:trHeight w:hRule="exact" w:val="227"/>
        </w:trPr>
        <w:tc>
          <w:tcPr>
            <w:tcW w:w="810" w:type="pct"/>
          </w:tcPr>
          <w:p w14:paraId="038A32D7" w14:textId="44404021" w:rsidR="00C83428" w:rsidRDefault="0018464B" w:rsidP="001A5D4A">
            <w:pPr>
              <w:pStyle w:val="Note-Refs"/>
            </w:pPr>
            <w:r>
              <w:t>EDUCATION</w:t>
            </w:r>
          </w:p>
        </w:tc>
        <w:tc>
          <w:tcPr>
            <w:tcW w:w="2567" w:type="pct"/>
            <w:vAlign w:val="bottom"/>
          </w:tcPr>
          <w:p w14:paraId="038A32D8" w14:textId="77777777" w:rsidR="00C83428" w:rsidRPr="003C77BC" w:rsidRDefault="00C83428" w:rsidP="001A5D4A">
            <w:pPr>
              <w:pStyle w:val="NotesTable-ItemPlain"/>
            </w:pPr>
          </w:p>
        </w:tc>
        <w:tc>
          <w:tcPr>
            <w:tcW w:w="406" w:type="pct"/>
          </w:tcPr>
          <w:p w14:paraId="038A32D9" w14:textId="75586CEA" w:rsidR="00C83428" w:rsidRDefault="006864EC" w:rsidP="001A5D4A">
            <w:pPr>
              <w:pStyle w:val="NotesTable-HeadBold"/>
            </w:pPr>
            <w:r>
              <w:t>2014</w:t>
            </w:r>
          </w:p>
        </w:tc>
        <w:tc>
          <w:tcPr>
            <w:tcW w:w="406" w:type="pct"/>
          </w:tcPr>
          <w:p w14:paraId="038A32DA" w14:textId="5C57469D" w:rsidR="00C83428" w:rsidRDefault="006864EC" w:rsidP="001A5D4A">
            <w:pPr>
              <w:pStyle w:val="NotesTable-HeadPlain"/>
            </w:pPr>
            <w:r>
              <w:t>2013</w:t>
            </w:r>
          </w:p>
        </w:tc>
        <w:tc>
          <w:tcPr>
            <w:tcW w:w="406" w:type="pct"/>
          </w:tcPr>
          <w:p w14:paraId="038A32DB" w14:textId="1B3CEDBF" w:rsidR="00C83428" w:rsidRDefault="006864EC" w:rsidP="001A5D4A">
            <w:pPr>
              <w:pStyle w:val="NotesTable-HeadBold"/>
              <w:rPr>
                <w:szCs w:val="18"/>
              </w:rPr>
            </w:pPr>
            <w:r>
              <w:t>2014</w:t>
            </w:r>
          </w:p>
        </w:tc>
        <w:tc>
          <w:tcPr>
            <w:tcW w:w="406" w:type="pct"/>
          </w:tcPr>
          <w:p w14:paraId="038A32DC" w14:textId="0B7983C5" w:rsidR="00C83428" w:rsidRDefault="006864EC" w:rsidP="001A5D4A">
            <w:pPr>
              <w:pStyle w:val="NotesTable-HeadPlain"/>
            </w:pPr>
            <w:r>
              <w:t>2013</w:t>
            </w:r>
          </w:p>
        </w:tc>
      </w:tr>
      <w:tr w:rsidR="00C83428" w14:paraId="038A32E4" w14:textId="77777777" w:rsidTr="00463ABD">
        <w:trPr>
          <w:cantSplit/>
          <w:trHeight w:hRule="exact" w:val="227"/>
        </w:trPr>
        <w:tc>
          <w:tcPr>
            <w:tcW w:w="810" w:type="pct"/>
          </w:tcPr>
          <w:p w14:paraId="038A32DE" w14:textId="77777777" w:rsidR="00C83428" w:rsidRDefault="00C83428" w:rsidP="001A5D4A">
            <w:pPr>
              <w:pStyle w:val="Note-Refs"/>
            </w:pPr>
          </w:p>
        </w:tc>
        <w:tc>
          <w:tcPr>
            <w:tcW w:w="2567" w:type="pct"/>
            <w:vAlign w:val="bottom"/>
          </w:tcPr>
          <w:p w14:paraId="038A32DF" w14:textId="77777777" w:rsidR="00C83428" w:rsidRPr="003C77BC" w:rsidRDefault="00C83428" w:rsidP="001A5D4A">
            <w:pPr>
              <w:pStyle w:val="NotesTable-ItemPlain"/>
            </w:pPr>
          </w:p>
        </w:tc>
        <w:tc>
          <w:tcPr>
            <w:tcW w:w="406" w:type="pct"/>
          </w:tcPr>
          <w:p w14:paraId="038A32E0" w14:textId="77777777" w:rsidR="00C83428" w:rsidRDefault="00C83428" w:rsidP="001A5D4A">
            <w:pPr>
              <w:pStyle w:val="NotesTable-HeadBold"/>
            </w:pPr>
            <w:r>
              <w:t>$’000</w:t>
            </w:r>
          </w:p>
        </w:tc>
        <w:tc>
          <w:tcPr>
            <w:tcW w:w="406" w:type="pct"/>
          </w:tcPr>
          <w:p w14:paraId="038A32E1" w14:textId="77777777" w:rsidR="00C83428" w:rsidRDefault="00C83428" w:rsidP="001A5D4A">
            <w:pPr>
              <w:pStyle w:val="NotesTable-HeadPlain"/>
            </w:pPr>
            <w:r>
              <w:t>$’000</w:t>
            </w:r>
          </w:p>
        </w:tc>
        <w:tc>
          <w:tcPr>
            <w:tcW w:w="406" w:type="pct"/>
          </w:tcPr>
          <w:p w14:paraId="038A32E2" w14:textId="77777777" w:rsidR="00C83428" w:rsidRDefault="00C83428" w:rsidP="001A5D4A">
            <w:pPr>
              <w:pStyle w:val="NotesTable-HeadBold"/>
              <w:rPr>
                <w:szCs w:val="18"/>
              </w:rPr>
            </w:pPr>
            <w:r>
              <w:t>$’000</w:t>
            </w:r>
          </w:p>
        </w:tc>
        <w:tc>
          <w:tcPr>
            <w:tcW w:w="406" w:type="pct"/>
          </w:tcPr>
          <w:p w14:paraId="038A32E3" w14:textId="77777777" w:rsidR="00C83428" w:rsidRDefault="00C83428" w:rsidP="001A5D4A">
            <w:pPr>
              <w:pStyle w:val="NotesTable-HeadPlain"/>
            </w:pPr>
            <w:r>
              <w:t>$’000</w:t>
            </w:r>
          </w:p>
        </w:tc>
      </w:tr>
      <w:tr w:rsidR="00233AC1" w14:paraId="038A32E7" w14:textId="77777777" w:rsidTr="00463ABD">
        <w:trPr>
          <w:cantSplit/>
          <w:trHeight w:hRule="exact" w:val="227"/>
        </w:trPr>
        <w:tc>
          <w:tcPr>
            <w:tcW w:w="810" w:type="pct"/>
          </w:tcPr>
          <w:p w14:paraId="038A32E5" w14:textId="77777777" w:rsidR="00233AC1" w:rsidRDefault="00233AC1" w:rsidP="001A5D4A">
            <w:pPr>
              <w:pStyle w:val="Note-Refs"/>
            </w:pPr>
          </w:p>
        </w:tc>
        <w:tc>
          <w:tcPr>
            <w:tcW w:w="4190" w:type="pct"/>
            <w:gridSpan w:val="5"/>
            <w:vAlign w:val="bottom"/>
          </w:tcPr>
          <w:p w14:paraId="038A32E6" w14:textId="77777777" w:rsidR="00233AC1" w:rsidRDefault="00233AC1" w:rsidP="001A5D4A">
            <w:pPr>
              <w:pStyle w:val="Note-TextHeader"/>
              <w:rPr>
                <w:lang w:val="en-GB"/>
              </w:rPr>
            </w:pPr>
            <w:r>
              <w:t>Interest in:</w:t>
            </w:r>
          </w:p>
        </w:tc>
      </w:tr>
      <w:tr w:rsidR="00C83428" w14:paraId="038A32EE" w14:textId="77777777" w:rsidTr="00463ABD">
        <w:trPr>
          <w:cantSplit/>
          <w:trHeight w:hRule="exact" w:val="227"/>
        </w:trPr>
        <w:tc>
          <w:tcPr>
            <w:tcW w:w="810" w:type="pct"/>
          </w:tcPr>
          <w:p w14:paraId="038A32E8" w14:textId="77777777" w:rsidR="00C83428" w:rsidRDefault="00C83428" w:rsidP="001A5D4A">
            <w:pPr>
              <w:pStyle w:val="Note-Refs"/>
            </w:pPr>
          </w:p>
        </w:tc>
        <w:tc>
          <w:tcPr>
            <w:tcW w:w="2567" w:type="pct"/>
            <w:vAlign w:val="bottom"/>
          </w:tcPr>
          <w:p w14:paraId="038A32E9" w14:textId="77777777" w:rsidR="00C83428" w:rsidRDefault="00C83428" w:rsidP="001A5D4A">
            <w:pPr>
              <w:pStyle w:val="NotesTable-ItemPlain"/>
              <w:rPr>
                <w:b/>
              </w:rPr>
            </w:pPr>
            <w:r>
              <w:t>Restricted funds</w:t>
            </w:r>
          </w:p>
        </w:tc>
        <w:tc>
          <w:tcPr>
            <w:tcW w:w="406" w:type="pct"/>
          </w:tcPr>
          <w:p w14:paraId="038A32EA" w14:textId="77777777" w:rsidR="00C83428" w:rsidRDefault="00C83428" w:rsidP="001A5D4A">
            <w:pPr>
              <w:pStyle w:val="NotesTable-CellBold"/>
            </w:pPr>
            <w:r>
              <w:t>–</w:t>
            </w:r>
          </w:p>
        </w:tc>
        <w:tc>
          <w:tcPr>
            <w:tcW w:w="406" w:type="pct"/>
          </w:tcPr>
          <w:p w14:paraId="038A32EB" w14:textId="77777777" w:rsidR="00C83428" w:rsidRDefault="00C83428" w:rsidP="001A5D4A">
            <w:pPr>
              <w:pStyle w:val="NotesTable-CellPlain"/>
            </w:pPr>
            <w:r>
              <w:t>–</w:t>
            </w:r>
          </w:p>
        </w:tc>
        <w:tc>
          <w:tcPr>
            <w:tcW w:w="406" w:type="pct"/>
          </w:tcPr>
          <w:p w14:paraId="038A32EC" w14:textId="77777777" w:rsidR="00C83428" w:rsidRDefault="00C83428" w:rsidP="001A5D4A">
            <w:pPr>
              <w:pStyle w:val="NotesTable-CellBold"/>
            </w:pPr>
            <w:r>
              <w:t>–</w:t>
            </w:r>
          </w:p>
        </w:tc>
        <w:tc>
          <w:tcPr>
            <w:tcW w:w="406" w:type="pct"/>
          </w:tcPr>
          <w:p w14:paraId="038A32ED" w14:textId="77777777" w:rsidR="00C83428" w:rsidRDefault="00C83428" w:rsidP="001A5D4A">
            <w:pPr>
              <w:pStyle w:val="NotesTable-CellPlain"/>
            </w:pPr>
            <w:r>
              <w:t>–</w:t>
            </w:r>
          </w:p>
        </w:tc>
      </w:tr>
      <w:tr w:rsidR="00C83428" w14:paraId="038A32F5" w14:textId="77777777" w:rsidTr="00463ABD">
        <w:trPr>
          <w:cantSplit/>
          <w:trHeight w:hRule="exact" w:val="227"/>
        </w:trPr>
        <w:tc>
          <w:tcPr>
            <w:tcW w:w="810" w:type="pct"/>
          </w:tcPr>
          <w:p w14:paraId="038A32EF" w14:textId="77777777" w:rsidR="00C83428" w:rsidRDefault="00C83428" w:rsidP="001A5D4A">
            <w:pPr>
              <w:pStyle w:val="Note-Refs"/>
            </w:pPr>
          </w:p>
        </w:tc>
        <w:tc>
          <w:tcPr>
            <w:tcW w:w="2567" w:type="pct"/>
            <w:vAlign w:val="bottom"/>
          </w:tcPr>
          <w:p w14:paraId="038A32F0" w14:textId="77777777" w:rsidR="00C83428" w:rsidRDefault="00C83428" w:rsidP="001A5D4A">
            <w:pPr>
              <w:pStyle w:val="NotesTable-ItemPlain"/>
              <w:rPr>
                <w:b/>
              </w:rPr>
            </w:pPr>
            <w:r>
              <w:t>Reserves</w:t>
            </w:r>
          </w:p>
        </w:tc>
        <w:tc>
          <w:tcPr>
            <w:tcW w:w="406" w:type="pct"/>
          </w:tcPr>
          <w:p w14:paraId="038A32F1" w14:textId="77777777" w:rsidR="00C83428" w:rsidRDefault="00C83428" w:rsidP="001A5D4A">
            <w:pPr>
              <w:pStyle w:val="NotesTable-CellBold"/>
            </w:pPr>
            <w:r>
              <w:t>–</w:t>
            </w:r>
          </w:p>
        </w:tc>
        <w:tc>
          <w:tcPr>
            <w:tcW w:w="406" w:type="pct"/>
          </w:tcPr>
          <w:p w14:paraId="038A32F2" w14:textId="77777777" w:rsidR="00C83428" w:rsidRDefault="00C83428" w:rsidP="001A5D4A">
            <w:pPr>
              <w:pStyle w:val="NotesTable-CellPlain"/>
            </w:pPr>
            <w:r>
              <w:t>–</w:t>
            </w:r>
          </w:p>
        </w:tc>
        <w:tc>
          <w:tcPr>
            <w:tcW w:w="406" w:type="pct"/>
          </w:tcPr>
          <w:p w14:paraId="038A32F3" w14:textId="77777777" w:rsidR="00C83428" w:rsidRDefault="00C83428" w:rsidP="001A5D4A">
            <w:pPr>
              <w:pStyle w:val="NotesTable-CellBold"/>
            </w:pPr>
            <w:r>
              <w:t>–</w:t>
            </w:r>
          </w:p>
        </w:tc>
        <w:tc>
          <w:tcPr>
            <w:tcW w:w="406" w:type="pct"/>
          </w:tcPr>
          <w:p w14:paraId="038A32F4" w14:textId="77777777" w:rsidR="00C83428" w:rsidRDefault="00C83428" w:rsidP="001A5D4A">
            <w:pPr>
              <w:pStyle w:val="NotesTable-CellPlain"/>
            </w:pPr>
            <w:r>
              <w:t>–</w:t>
            </w:r>
          </w:p>
        </w:tc>
      </w:tr>
      <w:tr w:rsidR="00C83428" w14:paraId="038A32FC" w14:textId="77777777" w:rsidTr="00463ABD">
        <w:trPr>
          <w:cantSplit/>
          <w:trHeight w:hRule="exact" w:val="227"/>
        </w:trPr>
        <w:tc>
          <w:tcPr>
            <w:tcW w:w="810" w:type="pct"/>
          </w:tcPr>
          <w:p w14:paraId="038A32F6" w14:textId="77777777" w:rsidR="00C83428" w:rsidRDefault="00C83428" w:rsidP="001A5D4A">
            <w:pPr>
              <w:pStyle w:val="Note-Refs"/>
            </w:pPr>
          </w:p>
        </w:tc>
        <w:tc>
          <w:tcPr>
            <w:tcW w:w="2567" w:type="pct"/>
            <w:vAlign w:val="bottom"/>
          </w:tcPr>
          <w:p w14:paraId="038A32F7" w14:textId="77777777" w:rsidR="00C83428" w:rsidRDefault="00C83428" w:rsidP="001A5D4A">
            <w:pPr>
              <w:pStyle w:val="NotesTable-ItemPlain"/>
              <w:rPr>
                <w:b/>
              </w:rPr>
            </w:pPr>
            <w:r>
              <w:t>Retained earnings</w:t>
            </w:r>
          </w:p>
        </w:tc>
        <w:tc>
          <w:tcPr>
            <w:tcW w:w="406" w:type="pct"/>
            <w:tcBorders>
              <w:bottom w:val="single" w:sz="4" w:space="0" w:color="auto"/>
            </w:tcBorders>
          </w:tcPr>
          <w:p w14:paraId="038A32F8" w14:textId="77777777" w:rsidR="00C83428" w:rsidRDefault="00C83428" w:rsidP="001A5D4A">
            <w:pPr>
              <w:pStyle w:val="NotesTable-CellBold"/>
            </w:pPr>
            <w:r>
              <w:t>–</w:t>
            </w:r>
          </w:p>
        </w:tc>
        <w:tc>
          <w:tcPr>
            <w:tcW w:w="406" w:type="pct"/>
            <w:tcBorders>
              <w:bottom w:val="single" w:sz="4" w:space="0" w:color="auto"/>
            </w:tcBorders>
          </w:tcPr>
          <w:p w14:paraId="038A32F9" w14:textId="77777777" w:rsidR="00C83428" w:rsidRDefault="00C83428" w:rsidP="001A5D4A">
            <w:pPr>
              <w:pStyle w:val="NotesTable-CellPlain"/>
            </w:pPr>
            <w:r>
              <w:t>–</w:t>
            </w:r>
          </w:p>
        </w:tc>
        <w:tc>
          <w:tcPr>
            <w:tcW w:w="406" w:type="pct"/>
            <w:tcBorders>
              <w:bottom w:val="single" w:sz="4" w:space="0" w:color="auto"/>
            </w:tcBorders>
          </w:tcPr>
          <w:p w14:paraId="038A32FA" w14:textId="77777777" w:rsidR="00C83428" w:rsidRDefault="00C83428" w:rsidP="001A5D4A">
            <w:pPr>
              <w:pStyle w:val="NotesTable-CellBold"/>
            </w:pPr>
            <w:r>
              <w:t>–</w:t>
            </w:r>
          </w:p>
        </w:tc>
        <w:tc>
          <w:tcPr>
            <w:tcW w:w="406" w:type="pct"/>
            <w:tcBorders>
              <w:bottom w:val="single" w:sz="4" w:space="0" w:color="auto"/>
            </w:tcBorders>
          </w:tcPr>
          <w:p w14:paraId="038A32FB" w14:textId="77777777" w:rsidR="00C83428" w:rsidRDefault="00C83428" w:rsidP="001A5D4A">
            <w:pPr>
              <w:pStyle w:val="NotesTable-CellPlain"/>
            </w:pPr>
            <w:r>
              <w:t>–</w:t>
            </w:r>
          </w:p>
        </w:tc>
      </w:tr>
      <w:tr w:rsidR="00C83428" w14:paraId="038A3303" w14:textId="77777777" w:rsidTr="00463ABD">
        <w:trPr>
          <w:cantSplit/>
          <w:trHeight w:hRule="exact" w:val="227"/>
        </w:trPr>
        <w:tc>
          <w:tcPr>
            <w:tcW w:w="810" w:type="pct"/>
          </w:tcPr>
          <w:p w14:paraId="038A32FD" w14:textId="77777777" w:rsidR="00C83428" w:rsidRDefault="00C83428" w:rsidP="001A5D4A">
            <w:pPr>
              <w:pStyle w:val="Note-Refs"/>
            </w:pPr>
          </w:p>
        </w:tc>
        <w:tc>
          <w:tcPr>
            <w:tcW w:w="2567" w:type="pct"/>
            <w:vAlign w:val="bottom"/>
          </w:tcPr>
          <w:p w14:paraId="038A32FE" w14:textId="77777777" w:rsidR="00C83428" w:rsidRDefault="00C83428" w:rsidP="001A5D4A">
            <w:pPr>
              <w:pStyle w:val="NotesTable-ItemPlain"/>
              <w:rPr>
                <w:b/>
              </w:rPr>
            </w:pPr>
            <w:r>
              <w:t>Total non-controlling interest</w:t>
            </w:r>
          </w:p>
        </w:tc>
        <w:tc>
          <w:tcPr>
            <w:tcW w:w="406" w:type="pct"/>
            <w:tcBorders>
              <w:top w:val="single" w:sz="4" w:space="0" w:color="auto"/>
            </w:tcBorders>
          </w:tcPr>
          <w:p w14:paraId="038A32FF" w14:textId="77777777" w:rsidR="00C83428" w:rsidRDefault="00C83428" w:rsidP="001A5D4A">
            <w:pPr>
              <w:pStyle w:val="NotesTable-CellBold"/>
            </w:pPr>
            <w:r>
              <w:t>–</w:t>
            </w:r>
          </w:p>
        </w:tc>
        <w:tc>
          <w:tcPr>
            <w:tcW w:w="406" w:type="pct"/>
            <w:tcBorders>
              <w:top w:val="single" w:sz="4" w:space="0" w:color="auto"/>
            </w:tcBorders>
          </w:tcPr>
          <w:p w14:paraId="038A3300" w14:textId="77777777" w:rsidR="00C83428" w:rsidRDefault="00C83428" w:rsidP="001A5D4A">
            <w:pPr>
              <w:pStyle w:val="NotesTable-CellPlain"/>
            </w:pPr>
            <w:r>
              <w:t>–</w:t>
            </w:r>
          </w:p>
        </w:tc>
        <w:tc>
          <w:tcPr>
            <w:tcW w:w="406" w:type="pct"/>
            <w:tcBorders>
              <w:top w:val="single" w:sz="4" w:space="0" w:color="auto"/>
            </w:tcBorders>
          </w:tcPr>
          <w:p w14:paraId="038A3301" w14:textId="77777777" w:rsidR="00C83428" w:rsidRDefault="00C83428" w:rsidP="001A5D4A">
            <w:pPr>
              <w:pStyle w:val="NotesTable-CellBold"/>
            </w:pPr>
            <w:r>
              <w:t>–</w:t>
            </w:r>
          </w:p>
        </w:tc>
        <w:tc>
          <w:tcPr>
            <w:tcW w:w="406" w:type="pct"/>
            <w:tcBorders>
              <w:top w:val="single" w:sz="4" w:space="0" w:color="auto"/>
            </w:tcBorders>
          </w:tcPr>
          <w:p w14:paraId="038A3302" w14:textId="77777777" w:rsidR="00C83428" w:rsidRDefault="00C83428" w:rsidP="001A5D4A">
            <w:pPr>
              <w:pStyle w:val="NotesTable-CellPlain"/>
            </w:pPr>
            <w:r>
              <w:t>–</w:t>
            </w:r>
          </w:p>
        </w:tc>
      </w:tr>
    </w:tbl>
    <w:p w14:paraId="7511E746" w14:textId="3BB446F2" w:rsidR="00214F77" w:rsidRPr="00EF62D6" w:rsidRDefault="00214F77" w:rsidP="001A5D4A">
      <w:pPr>
        <w:pStyle w:val="Heading3"/>
        <w:rPr>
          <w:color w:val="2D3E7B" w:themeColor="text2" w:themeShade="BF"/>
        </w:rPr>
      </w:pPr>
      <w:bookmarkStart w:id="373" w:name="_Toc410807659"/>
      <w:bookmarkStart w:id="374" w:name="_Toc410822720"/>
      <w:r w:rsidRPr="00EF62D6">
        <w:rPr>
          <w:color w:val="2D3E7B" w:themeColor="text2" w:themeShade="BF"/>
        </w:rPr>
        <w:t>Commentary - Non-controlling interest</w:t>
      </w:r>
      <w:bookmarkEnd w:id="373"/>
      <w:bookmarkEnd w:id="374"/>
    </w:p>
    <w:p w14:paraId="38B2D77C" w14:textId="77777777" w:rsidR="00214F77" w:rsidRPr="00EF62D6" w:rsidRDefault="00214F77" w:rsidP="00AB24D3">
      <w:pPr>
        <w:pStyle w:val="Heading4"/>
        <w:rPr>
          <w:color w:val="2D3E7B" w:themeColor="text2" w:themeShade="BF"/>
          <w14:textFill>
            <w14:solidFill>
              <w14:schemeClr w14:val="tx2">
                <w14:lumMod w14:val="75000"/>
                <w14:lumMod w14:val="75000"/>
              </w14:schemeClr>
            </w14:solidFill>
          </w14:textFill>
        </w:rPr>
      </w:pPr>
      <w:r w:rsidRPr="00EF62D6">
        <w:rPr>
          <w:color w:val="2D3E7B" w:themeColor="text2" w:themeShade="BF"/>
          <w14:textFill>
            <w14:solidFill>
              <w14:schemeClr w14:val="tx2">
                <w14:lumMod w14:val="75000"/>
                <w14:lumMod w14:val="75000"/>
              </w14:schemeClr>
            </w14:solidFill>
          </w14:textFill>
        </w:rPr>
        <w:t>Non-controlling interest note not mandatory</w:t>
      </w:r>
    </w:p>
    <w:p w14:paraId="40017641" w14:textId="56D336D7" w:rsidR="00214F77" w:rsidRPr="00EF62D6" w:rsidRDefault="00214F77" w:rsidP="00F94210">
      <w:pPr>
        <w:pStyle w:val="Heading6"/>
      </w:pPr>
      <w:r w:rsidRPr="00EF62D6">
        <w:t>Education</w:t>
      </w:r>
    </w:p>
    <w:p w14:paraId="13227D06" w14:textId="77777777" w:rsidR="00214F77" w:rsidRPr="00214F77" w:rsidRDefault="00214F77" w:rsidP="001A5D4A">
      <w:pPr>
        <w:rPr>
          <w:color w:val="2D3E7B" w:themeColor="text2" w:themeShade="BF"/>
        </w:rPr>
      </w:pPr>
      <w:r w:rsidRPr="00EF62D6">
        <w:rPr>
          <w:color w:val="2D3E7B" w:themeColor="text2" w:themeShade="BF"/>
        </w:rPr>
        <w:t xml:space="preserve">There are no requirements in </w:t>
      </w:r>
      <w:r w:rsidRPr="00214F77">
        <w:rPr>
          <w:color w:val="2D3E7B" w:themeColor="text2" w:themeShade="BF"/>
        </w:rPr>
        <w:t xml:space="preserve">the </w:t>
      </w:r>
      <w:r w:rsidRPr="009B1E46">
        <w:rPr>
          <w:i/>
          <w:color w:val="2D3E7B" w:themeColor="text2" w:themeShade="BF"/>
        </w:rPr>
        <w:t>Corporations Act 2001</w:t>
      </w:r>
      <w:r w:rsidRPr="00214F77">
        <w:rPr>
          <w:color w:val="2D3E7B" w:themeColor="text2" w:themeShade="BF"/>
        </w:rPr>
        <w:t xml:space="preserve"> or Australian Accounting Standards to include a note along the lines of the above note. Such a note was required under previous </w:t>
      </w:r>
      <w:proofErr w:type="spellStart"/>
      <w:r w:rsidRPr="00214F77">
        <w:rPr>
          <w:color w:val="2D3E7B" w:themeColor="text2" w:themeShade="BF"/>
        </w:rPr>
        <w:t>AGAAP</w:t>
      </w:r>
      <w:proofErr w:type="spellEnd"/>
      <w:r w:rsidRPr="00214F77">
        <w:rPr>
          <w:color w:val="2D3E7B" w:themeColor="text2" w:themeShade="BF"/>
        </w:rPr>
        <w:t xml:space="preserve"> and may be useful to users of the financial report.</w:t>
      </w:r>
    </w:p>
    <w:p w14:paraId="1250385D" w14:textId="77777777" w:rsidR="00EF62D6" w:rsidRDefault="00EF62D6">
      <w:pPr>
        <w:spacing w:after="0"/>
        <w:rPr>
          <w:rFonts w:asciiTheme="majorHAnsi" w:eastAsiaTheme="majorEastAsia" w:hAnsiTheme="majorHAnsi"/>
          <w:b/>
          <w:bCs/>
          <w:sz w:val="28"/>
          <w:szCs w:val="26"/>
        </w:rPr>
      </w:pPr>
      <w:bookmarkStart w:id="375" w:name="_Toc410807660"/>
      <w:bookmarkStart w:id="376" w:name="_Toc410822721"/>
      <w:r>
        <w:br w:type="page"/>
      </w:r>
    </w:p>
    <w:p w14:paraId="20710DA4" w14:textId="7AFB35E9" w:rsidR="002636A0" w:rsidRDefault="002636A0" w:rsidP="00EF62D6">
      <w:pPr>
        <w:pStyle w:val="Heading2"/>
      </w:pPr>
      <w:proofErr w:type="gramStart"/>
      <w:r w:rsidRPr="002636A0">
        <w:lastRenderedPageBreak/>
        <w:t>Note 38.</w:t>
      </w:r>
      <w:proofErr w:type="gramEnd"/>
      <w:r>
        <w:t xml:space="preserve"> K</w:t>
      </w:r>
      <w:r w:rsidRPr="002636A0">
        <w:t>ey management personnel disclosures</w:t>
      </w:r>
      <w:bookmarkEnd w:id="375"/>
      <w:bookmarkEnd w:id="376"/>
    </w:p>
    <w:p w14:paraId="4B215098" w14:textId="77777777" w:rsidR="002636A0" w:rsidRPr="002636A0" w:rsidRDefault="002636A0" w:rsidP="001A5D4A">
      <w:r w:rsidRPr="002636A0">
        <w:t>Education</w:t>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023312" w14:paraId="038A3321" w14:textId="77777777" w:rsidTr="00463ABD">
        <w:trPr>
          <w:trHeight w:val="181"/>
        </w:trPr>
        <w:tc>
          <w:tcPr>
            <w:tcW w:w="810" w:type="pct"/>
          </w:tcPr>
          <w:p w14:paraId="038A331F" w14:textId="77777777" w:rsidR="00023312" w:rsidRDefault="00023312" w:rsidP="001A5D4A">
            <w:pPr>
              <w:pStyle w:val="Note-Refs"/>
            </w:pPr>
          </w:p>
        </w:tc>
        <w:tc>
          <w:tcPr>
            <w:tcW w:w="4190" w:type="pct"/>
            <w:gridSpan w:val="5"/>
            <w:shd w:val="clear" w:color="auto" w:fill="CDCDCD"/>
            <w:vAlign w:val="bottom"/>
          </w:tcPr>
          <w:p w14:paraId="038A3320" w14:textId="77777777" w:rsidR="00023312" w:rsidRDefault="00023312" w:rsidP="001A5D4A">
            <w:pPr>
              <w:pStyle w:val="Note-TextHeader"/>
              <w:rPr>
                <w:b w:val="0"/>
                <w:lang w:val="en-GB"/>
              </w:rPr>
            </w:pPr>
            <w:r>
              <w:t>(a) Names of responsible persons and executive officers</w:t>
            </w:r>
          </w:p>
        </w:tc>
      </w:tr>
      <w:tr w:rsidR="00023312" w14:paraId="038A3324" w14:textId="77777777" w:rsidTr="00463ABD">
        <w:trPr>
          <w:trHeight w:val="181"/>
        </w:trPr>
        <w:tc>
          <w:tcPr>
            <w:tcW w:w="810" w:type="pct"/>
          </w:tcPr>
          <w:p w14:paraId="038A3322" w14:textId="1FD31051" w:rsidR="00023312" w:rsidRDefault="00023312" w:rsidP="001A5D4A">
            <w:pPr>
              <w:pStyle w:val="Note-Refs"/>
              <w:rPr>
                <w:b/>
              </w:rPr>
            </w:pPr>
            <w:r>
              <w:t>AASB124</w:t>
            </w:r>
            <w:r w:rsidR="00F77F88">
              <w:t>.</w:t>
            </w:r>
            <w:r w:rsidR="00D47681">
              <w:t>17,19f</w:t>
            </w:r>
          </w:p>
        </w:tc>
        <w:tc>
          <w:tcPr>
            <w:tcW w:w="4190" w:type="pct"/>
            <w:gridSpan w:val="5"/>
            <w:shd w:val="clear" w:color="auto" w:fill="CDCDCD"/>
            <w:vAlign w:val="bottom"/>
          </w:tcPr>
          <w:p w14:paraId="038A3323" w14:textId="77777777" w:rsidR="00023312" w:rsidRDefault="00023312" w:rsidP="001A5D4A">
            <w:pPr>
              <w:pStyle w:val="NotesTable-ItemPlain"/>
              <w:rPr>
                <w:b/>
              </w:rPr>
            </w:pPr>
            <w:r>
              <w:t xml:space="preserve">The following persons were responsible persons and executive officers of </w:t>
            </w:r>
            <w:r w:rsidRPr="00CD6519">
              <w:t>[HEP]</w:t>
            </w:r>
            <w:r>
              <w:t xml:space="preserve"> during the financial year:</w:t>
            </w:r>
          </w:p>
        </w:tc>
      </w:tr>
      <w:tr w:rsidR="00023312" w14:paraId="038A3327" w14:textId="77777777" w:rsidTr="00463ABD">
        <w:trPr>
          <w:trHeight w:val="181"/>
        </w:trPr>
        <w:tc>
          <w:tcPr>
            <w:tcW w:w="810" w:type="pct"/>
          </w:tcPr>
          <w:p w14:paraId="038A3325" w14:textId="77777777" w:rsidR="00023312" w:rsidRDefault="00023312" w:rsidP="001A5D4A">
            <w:pPr>
              <w:pStyle w:val="Note-Refs"/>
            </w:pPr>
          </w:p>
        </w:tc>
        <w:tc>
          <w:tcPr>
            <w:tcW w:w="4190" w:type="pct"/>
            <w:gridSpan w:val="5"/>
            <w:shd w:val="clear" w:color="auto" w:fill="CDCDCD"/>
            <w:vAlign w:val="bottom"/>
          </w:tcPr>
          <w:p w14:paraId="038A3326" w14:textId="77777777" w:rsidR="00023312" w:rsidRDefault="00023312" w:rsidP="001A5D4A">
            <w:pPr>
              <w:pStyle w:val="NotesTable-ItemPlain"/>
              <w:rPr>
                <w:b/>
              </w:rPr>
            </w:pPr>
            <w:r>
              <w:t>[List responsible persons and executive officers]</w:t>
            </w:r>
          </w:p>
        </w:tc>
      </w:tr>
      <w:tr w:rsidR="00023312" w14:paraId="038A332A" w14:textId="77777777" w:rsidTr="00463ABD">
        <w:trPr>
          <w:trHeight w:val="181"/>
        </w:trPr>
        <w:tc>
          <w:tcPr>
            <w:tcW w:w="810" w:type="pct"/>
          </w:tcPr>
          <w:p w14:paraId="038A3328" w14:textId="77777777" w:rsidR="00023312" w:rsidRDefault="00023312" w:rsidP="001A5D4A">
            <w:pPr>
              <w:pStyle w:val="Note-Refs"/>
            </w:pPr>
          </w:p>
        </w:tc>
        <w:tc>
          <w:tcPr>
            <w:tcW w:w="4190" w:type="pct"/>
            <w:gridSpan w:val="5"/>
            <w:shd w:val="clear" w:color="auto" w:fill="CDCDCD"/>
            <w:vAlign w:val="bottom"/>
          </w:tcPr>
          <w:p w14:paraId="038A3329" w14:textId="77777777" w:rsidR="00023312" w:rsidRDefault="00023312" w:rsidP="001A5D4A">
            <w:pPr>
              <w:pStyle w:val="Note-Text"/>
            </w:pPr>
          </w:p>
        </w:tc>
      </w:tr>
      <w:tr w:rsidR="00023312" w14:paraId="038A332D" w14:textId="77777777" w:rsidTr="00463ABD">
        <w:trPr>
          <w:trHeight w:val="181"/>
        </w:trPr>
        <w:tc>
          <w:tcPr>
            <w:tcW w:w="810" w:type="pct"/>
          </w:tcPr>
          <w:p w14:paraId="038A332B" w14:textId="77777777" w:rsidR="00023312" w:rsidRDefault="00023312" w:rsidP="001A5D4A">
            <w:pPr>
              <w:pStyle w:val="Note-Refs"/>
            </w:pPr>
          </w:p>
        </w:tc>
        <w:tc>
          <w:tcPr>
            <w:tcW w:w="4190" w:type="pct"/>
            <w:gridSpan w:val="5"/>
            <w:shd w:val="clear" w:color="auto" w:fill="CDCDCD"/>
            <w:vAlign w:val="bottom"/>
          </w:tcPr>
          <w:p w14:paraId="038A332C" w14:textId="77777777" w:rsidR="00023312" w:rsidRDefault="00023312" w:rsidP="001A5D4A">
            <w:pPr>
              <w:pStyle w:val="Note-TextHeader"/>
              <w:rPr>
                <w:b w:val="0"/>
                <w:lang w:val="en-GB"/>
              </w:rPr>
            </w:pPr>
            <w:r>
              <w:t>(b) Other key management personnel</w:t>
            </w:r>
          </w:p>
        </w:tc>
      </w:tr>
      <w:tr w:rsidR="00023312" w14:paraId="038A3330" w14:textId="77777777" w:rsidTr="00463ABD">
        <w:trPr>
          <w:trHeight w:val="181"/>
        </w:trPr>
        <w:tc>
          <w:tcPr>
            <w:tcW w:w="810" w:type="pct"/>
          </w:tcPr>
          <w:p w14:paraId="038A332E" w14:textId="2CAD8992" w:rsidR="00023312" w:rsidRDefault="00023312" w:rsidP="001A5D4A">
            <w:pPr>
              <w:pStyle w:val="Note-Refs"/>
              <w:rPr>
                <w:b/>
              </w:rPr>
            </w:pPr>
            <w:r>
              <w:t>AASB124</w:t>
            </w:r>
            <w:r w:rsidR="00F77F88">
              <w:t>.</w:t>
            </w:r>
            <w:r w:rsidR="00D47681">
              <w:t>17,19f</w:t>
            </w:r>
          </w:p>
        </w:tc>
        <w:tc>
          <w:tcPr>
            <w:tcW w:w="4190" w:type="pct"/>
            <w:gridSpan w:val="5"/>
            <w:shd w:val="clear" w:color="auto" w:fill="CDCDCD"/>
            <w:vAlign w:val="bottom"/>
          </w:tcPr>
          <w:p w14:paraId="038A332F" w14:textId="18837491" w:rsidR="00023312" w:rsidRPr="00233AC1" w:rsidRDefault="00023312" w:rsidP="001A5D4A">
            <w:pPr>
              <w:pStyle w:val="NotesTable-ItemPlain"/>
              <w:rPr>
                <w:b/>
              </w:rPr>
            </w:pPr>
            <w:r>
              <w:t xml:space="preserve">The following persons also had authority and responsibility for planning, directing and controlling the activities of </w:t>
            </w:r>
            <w:r w:rsidRPr="00B72DF6">
              <w:t>[</w:t>
            </w:r>
            <w:r w:rsidRPr="00B53308">
              <w:t>HEP</w:t>
            </w:r>
            <w:r w:rsidRPr="00B72DF6">
              <w:t>]</w:t>
            </w:r>
            <w:r>
              <w:t xml:space="preserve"> during the financial year:</w:t>
            </w:r>
          </w:p>
        </w:tc>
      </w:tr>
      <w:tr w:rsidR="00023312" w14:paraId="038A3333" w14:textId="77777777" w:rsidTr="00463ABD">
        <w:trPr>
          <w:trHeight w:val="181"/>
        </w:trPr>
        <w:tc>
          <w:tcPr>
            <w:tcW w:w="810" w:type="pct"/>
          </w:tcPr>
          <w:p w14:paraId="038A3331" w14:textId="77777777" w:rsidR="00023312" w:rsidRDefault="00023312" w:rsidP="001A5D4A">
            <w:pPr>
              <w:pStyle w:val="Note-Refs"/>
            </w:pPr>
          </w:p>
        </w:tc>
        <w:tc>
          <w:tcPr>
            <w:tcW w:w="4190" w:type="pct"/>
            <w:gridSpan w:val="5"/>
            <w:shd w:val="clear" w:color="auto" w:fill="CDCDCD"/>
            <w:vAlign w:val="bottom"/>
          </w:tcPr>
          <w:p w14:paraId="038A3332" w14:textId="4DF48A21" w:rsidR="00023312" w:rsidRDefault="00023312" w:rsidP="001A5D4A">
            <w:pPr>
              <w:pStyle w:val="NotesTable-ItemPlain"/>
              <w:rPr>
                <w:b/>
              </w:rPr>
            </w:pPr>
            <w:r>
              <w:t>[List key management personnel]</w:t>
            </w:r>
          </w:p>
        </w:tc>
      </w:tr>
      <w:tr w:rsidR="00023312" w14:paraId="038A3336" w14:textId="77777777" w:rsidTr="00463ABD">
        <w:trPr>
          <w:trHeight w:val="181"/>
        </w:trPr>
        <w:tc>
          <w:tcPr>
            <w:tcW w:w="810" w:type="pct"/>
          </w:tcPr>
          <w:p w14:paraId="038A3334" w14:textId="77777777" w:rsidR="00023312" w:rsidRDefault="00023312" w:rsidP="001A5D4A">
            <w:pPr>
              <w:pStyle w:val="Note-Refs"/>
            </w:pPr>
          </w:p>
        </w:tc>
        <w:tc>
          <w:tcPr>
            <w:tcW w:w="4190" w:type="pct"/>
            <w:gridSpan w:val="5"/>
            <w:shd w:val="clear" w:color="auto" w:fill="CDCDCD"/>
            <w:vAlign w:val="bottom"/>
          </w:tcPr>
          <w:p w14:paraId="038A3335" w14:textId="77777777" w:rsidR="00023312" w:rsidRDefault="00023312" w:rsidP="001A5D4A">
            <w:pPr>
              <w:pStyle w:val="NotesTable-ItemPlain"/>
            </w:pPr>
          </w:p>
        </w:tc>
      </w:tr>
      <w:tr w:rsidR="00023312" w14:paraId="038A3339" w14:textId="77777777" w:rsidTr="00463ABD">
        <w:trPr>
          <w:trHeight w:val="181"/>
        </w:trPr>
        <w:tc>
          <w:tcPr>
            <w:tcW w:w="810" w:type="pct"/>
          </w:tcPr>
          <w:p w14:paraId="038A3337" w14:textId="77777777" w:rsidR="00023312" w:rsidRDefault="00023312" w:rsidP="001A5D4A">
            <w:pPr>
              <w:pStyle w:val="Note-Refs"/>
            </w:pPr>
          </w:p>
        </w:tc>
        <w:tc>
          <w:tcPr>
            <w:tcW w:w="4190" w:type="pct"/>
            <w:gridSpan w:val="5"/>
            <w:shd w:val="clear" w:color="auto" w:fill="CDCDCD"/>
            <w:vAlign w:val="bottom"/>
          </w:tcPr>
          <w:p w14:paraId="038A3338" w14:textId="4FC0C5B4" w:rsidR="00023312" w:rsidRDefault="00023312" w:rsidP="001A5D4A">
            <w:pPr>
              <w:pStyle w:val="NotesTable-ItemPlain"/>
              <w:rPr>
                <w:b/>
              </w:rPr>
            </w:pPr>
            <w:r>
              <w:t xml:space="preserve">All of the above persons were also key management persons during the year ended 31 December </w:t>
            </w:r>
            <w:r w:rsidR="006864EC">
              <w:t>2014</w:t>
            </w:r>
            <w:r>
              <w:t>.</w:t>
            </w:r>
          </w:p>
        </w:tc>
      </w:tr>
      <w:tr w:rsidR="00023312" w14:paraId="038A333C" w14:textId="77777777" w:rsidTr="00463ABD">
        <w:trPr>
          <w:trHeight w:val="181"/>
        </w:trPr>
        <w:tc>
          <w:tcPr>
            <w:tcW w:w="810" w:type="pct"/>
          </w:tcPr>
          <w:p w14:paraId="038A333A" w14:textId="77777777" w:rsidR="00023312" w:rsidRDefault="00023312" w:rsidP="001A5D4A">
            <w:pPr>
              <w:pStyle w:val="Note-Refs"/>
            </w:pPr>
          </w:p>
        </w:tc>
        <w:tc>
          <w:tcPr>
            <w:tcW w:w="4190" w:type="pct"/>
            <w:gridSpan w:val="5"/>
            <w:shd w:val="clear" w:color="auto" w:fill="CDCDCD"/>
            <w:vAlign w:val="bottom"/>
          </w:tcPr>
          <w:p w14:paraId="038A333B" w14:textId="77777777" w:rsidR="00023312" w:rsidRDefault="00023312" w:rsidP="001A5D4A">
            <w:pPr>
              <w:pStyle w:val="NotesTable-ItemPlain"/>
            </w:pPr>
          </w:p>
        </w:tc>
      </w:tr>
      <w:tr w:rsidR="00023312" w14:paraId="038A3340" w14:textId="77777777" w:rsidTr="00463ABD">
        <w:trPr>
          <w:trHeight w:val="181"/>
        </w:trPr>
        <w:tc>
          <w:tcPr>
            <w:tcW w:w="810" w:type="pct"/>
          </w:tcPr>
          <w:p w14:paraId="038A333D" w14:textId="77777777" w:rsidR="00023312" w:rsidRDefault="00023312" w:rsidP="001A5D4A">
            <w:pPr>
              <w:pStyle w:val="Note-Refs"/>
            </w:pPr>
          </w:p>
        </w:tc>
        <w:tc>
          <w:tcPr>
            <w:tcW w:w="3378" w:type="pct"/>
            <w:gridSpan w:val="3"/>
            <w:shd w:val="clear" w:color="auto" w:fill="CDCDCD"/>
            <w:vAlign w:val="bottom"/>
          </w:tcPr>
          <w:p w14:paraId="038A333E" w14:textId="77777777" w:rsidR="00023312" w:rsidRDefault="00023312" w:rsidP="001A5D4A">
            <w:pPr>
              <w:pStyle w:val="Note-TextHeader"/>
              <w:rPr>
                <w:b w:val="0"/>
                <w:lang w:val="en-GB"/>
              </w:rPr>
            </w:pPr>
            <w:r>
              <w:t>(c) Remuneration of Board Members and Executives</w:t>
            </w:r>
          </w:p>
        </w:tc>
        <w:tc>
          <w:tcPr>
            <w:tcW w:w="811" w:type="pct"/>
            <w:gridSpan w:val="2"/>
            <w:shd w:val="clear" w:color="auto" w:fill="CDCDCD"/>
          </w:tcPr>
          <w:p w14:paraId="038A333F" w14:textId="77777777" w:rsidR="00023312" w:rsidRDefault="00023312" w:rsidP="001A5D4A">
            <w:pPr>
              <w:pStyle w:val="Contents-numberslist"/>
            </w:pPr>
          </w:p>
        </w:tc>
      </w:tr>
      <w:tr w:rsidR="00C83428" w:rsidRPr="00CA2915" w14:paraId="038A3345" w14:textId="77777777" w:rsidTr="00463ABD">
        <w:trPr>
          <w:trHeight w:val="181"/>
        </w:trPr>
        <w:tc>
          <w:tcPr>
            <w:tcW w:w="810" w:type="pct"/>
          </w:tcPr>
          <w:p w14:paraId="038A3341" w14:textId="77777777" w:rsidR="00C83428" w:rsidRPr="00CA2915" w:rsidRDefault="00B90CFC" w:rsidP="001A5D4A">
            <w:pPr>
              <w:pStyle w:val="Note-Refs"/>
            </w:pPr>
            <w:r>
              <w:t>EDUCATION</w:t>
            </w:r>
            <w:r w:rsidR="00C83428" w:rsidRPr="00CA2915">
              <w:t xml:space="preserve"> – refer to note in commentary below</w:t>
            </w:r>
          </w:p>
        </w:tc>
        <w:tc>
          <w:tcPr>
            <w:tcW w:w="2567" w:type="pct"/>
            <w:shd w:val="clear" w:color="auto" w:fill="CDCDCD"/>
            <w:vAlign w:val="bottom"/>
          </w:tcPr>
          <w:p w14:paraId="038A3342" w14:textId="77777777" w:rsidR="00C83428" w:rsidRPr="00CA2915" w:rsidRDefault="00C83428" w:rsidP="001A5D4A">
            <w:pPr>
              <w:pStyle w:val="NotesTable-ItemPlain"/>
            </w:pPr>
          </w:p>
        </w:tc>
        <w:tc>
          <w:tcPr>
            <w:tcW w:w="811" w:type="pct"/>
            <w:gridSpan w:val="2"/>
            <w:shd w:val="clear" w:color="auto" w:fill="CDCDCD"/>
          </w:tcPr>
          <w:p w14:paraId="038A3343" w14:textId="77777777" w:rsidR="00C83428" w:rsidRPr="00CA2915" w:rsidRDefault="00C83428" w:rsidP="001A5D4A">
            <w:pPr>
              <w:pStyle w:val="NotesTable-HeadPlain"/>
            </w:pPr>
            <w:r w:rsidRPr="00CA2915">
              <w:t>Consolidated</w:t>
            </w:r>
          </w:p>
        </w:tc>
        <w:tc>
          <w:tcPr>
            <w:tcW w:w="811" w:type="pct"/>
            <w:gridSpan w:val="2"/>
            <w:shd w:val="clear" w:color="auto" w:fill="CDCDCD"/>
          </w:tcPr>
          <w:p w14:paraId="038A3344" w14:textId="77777777" w:rsidR="00C83428" w:rsidRPr="00CA2915" w:rsidRDefault="00C83428" w:rsidP="001A5D4A">
            <w:pPr>
              <w:pStyle w:val="NotesTable-HeadPlain"/>
            </w:pPr>
            <w:r w:rsidRPr="00CA2915">
              <w:t>Parent entity</w:t>
            </w:r>
          </w:p>
        </w:tc>
      </w:tr>
      <w:tr w:rsidR="00C83428" w:rsidRPr="00CA2915" w14:paraId="038A334C" w14:textId="77777777" w:rsidTr="00463ABD">
        <w:trPr>
          <w:trHeight w:val="181"/>
        </w:trPr>
        <w:tc>
          <w:tcPr>
            <w:tcW w:w="810" w:type="pct"/>
          </w:tcPr>
          <w:p w14:paraId="038A3346" w14:textId="77777777" w:rsidR="00C83428" w:rsidRPr="00CA2915" w:rsidRDefault="00C83428" w:rsidP="001A5D4A">
            <w:pPr>
              <w:pStyle w:val="Note-Refs"/>
            </w:pPr>
          </w:p>
        </w:tc>
        <w:tc>
          <w:tcPr>
            <w:tcW w:w="2567" w:type="pct"/>
            <w:shd w:val="clear" w:color="auto" w:fill="CDCDCD"/>
            <w:vAlign w:val="bottom"/>
          </w:tcPr>
          <w:p w14:paraId="038A3347" w14:textId="77777777" w:rsidR="00C83428" w:rsidRPr="00CA2915" w:rsidRDefault="00C83428" w:rsidP="001A5D4A">
            <w:pPr>
              <w:pStyle w:val="NotesTable-ItemPlain"/>
            </w:pPr>
          </w:p>
        </w:tc>
        <w:tc>
          <w:tcPr>
            <w:tcW w:w="406" w:type="pct"/>
            <w:shd w:val="clear" w:color="auto" w:fill="CDCDCD"/>
          </w:tcPr>
          <w:p w14:paraId="038A3348" w14:textId="316D5984" w:rsidR="00C83428" w:rsidRPr="00CA2915" w:rsidRDefault="006864EC" w:rsidP="001A5D4A">
            <w:pPr>
              <w:pStyle w:val="NotesTable-HeadBold"/>
            </w:pPr>
            <w:r>
              <w:t>2014</w:t>
            </w:r>
          </w:p>
        </w:tc>
        <w:tc>
          <w:tcPr>
            <w:tcW w:w="406" w:type="pct"/>
            <w:shd w:val="clear" w:color="auto" w:fill="CDCDCD"/>
          </w:tcPr>
          <w:p w14:paraId="038A3349" w14:textId="4B0FEF99" w:rsidR="00C83428" w:rsidRPr="00CA2915" w:rsidRDefault="006864EC" w:rsidP="001A5D4A">
            <w:pPr>
              <w:pStyle w:val="NotesTable-HeadPlain"/>
            </w:pPr>
            <w:r>
              <w:t>2013</w:t>
            </w:r>
          </w:p>
        </w:tc>
        <w:tc>
          <w:tcPr>
            <w:tcW w:w="406" w:type="pct"/>
            <w:shd w:val="clear" w:color="auto" w:fill="CDCDCD"/>
          </w:tcPr>
          <w:p w14:paraId="038A334A" w14:textId="3D67A7D5" w:rsidR="00C83428" w:rsidRPr="00CA2915" w:rsidRDefault="006864EC" w:rsidP="001A5D4A">
            <w:pPr>
              <w:pStyle w:val="NotesTable-HeadBold"/>
            </w:pPr>
            <w:r>
              <w:t>2014</w:t>
            </w:r>
          </w:p>
        </w:tc>
        <w:tc>
          <w:tcPr>
            <w:tcW w:w="406" w:type="pct"/>
            <w:shd w:val="clear" w:color="auto" w:fill="CDCDCD"/>
          </w:tcPr>
          <w:p w14:paraId="038A334B" w14:textId="4C9E7BC2" w:rsidR="00C83428" w:rsidRPr="00CA2915" w:rsidRDefault="006864EC" w:rsidP="001A5D4A">
            <w:pPr>
              <w:pStyle w:val="NotesTable-HeadPlain"/>
            </w:pPr>
            <w:r>
              <w:t>2013</w:t>
            </w:r>
          </w:p>
        </w:tc>
      </w:tr>
      <w:tr w:rsidR="00C83428" w:rsidRPr="00CA2915" w14:paraId="038A3351" w14:textId="77777777" w:rsidTr="00463ABD">
        <w:trPr>
          <w:trHeight w:val="181"/>
        </w:trPr>
        <w:tc>
          <w:tcPr>
            <w:tcW w:w="810" w:type="pct"/>
          </w:tcPr>
          <w:p w14:paraId="038A334D" w14:textId="77777777" w:rsidR="00C83428" w:rsidRPr="00CA2915" w:rsidRDefault="00C83428" w:rsidP="001A5D4A">
            <w:pPr>
              <w:pStyle w:val="Note-Refs"/>
            </w:pPr>
          </w:p>
        </w:tc>
        <w:tc>
          <w:tcPr>
            <w:tcW w:w="2567" w:type="pct"/>
            <w:shd w:val="clear" w:color="auto" w:fill="CDCDCD"/>
            <w:vAlign w:val="bottom"/>
          </w:tcPr>
          <w:p w14:paraId="038A334E" w14:textId="77777777" w:rsidR="00C83428" w:rsidRPr="00CA2915" w:rsidRDefault="00C83428" w:rsidP="001A5D4A">
            <w:pPr>
              <w:pStyle w:val="NotesTable-ItemPlain"/>
            </w:pPr>
          </w:p>
        </w:tc>
        <w:tc>
          <w:tcPr>
            <w:tcW w:w="811" w:type="pct"/>
            <w:gridSpan w:val="2"/>
            <w:shd w:val="clear" w:color="auto" w:fill="CDCDCD"/>
          </w:tcPr>
          <w:p w14:paraId="038A334F" w14:textId="77777777" w:rsidR="00C83428" w:rsidRPr="00CA2915" w:rsidRDefault="00C83428" w:rsidP="001A5D4A">
            <w:pPr>
              <w:pStyle w:val="NotesTable-HeadPlain"/>
            </w:pPr>
            <w:r w:rsidRPr="00CA2915">
              <w:t>Number</w:t>
            </w:r>
          </w:p>
        </w:tc>
        <w:tc>
          <w:tcPr>
            <w:tcW w:w="811" w:type="pct"/>
            <w:gridSpan w:val="2"/>
            <w:shd w:val="clear" w:color="auto" w:fill="CDCDCD"/>
          </w:tcPr>
          <w:p w14:paraId="038A3350" w14:textId="77777777" w:rsidR="00C83428" w:rsidRPr="00CA2915" w:rsidRDefault="00C83428" w:rsidP="001A5D4A">
            <w:pPr>
              <w:pStyle w:val="NotesTable-HeadPlain"/>
            </w:pPr>
            <w:r w:rsidRPr="00CA2915">
              <w:t>Number</w:t>
            </w:r>
          </w:p>
        </w:tc>
      </w:tr>
      <w:tr w:rsidR="00C83428" w:rsidRPr="00CA2915" w14:paraId="038A3358" w14:textId="77777777" w:rsidTr="00463ABD">
        <w:trPr>
          <w:trHeight w:val="181"/>
        </w:trPr>
        <w:tc>
          <w:tcPr>
            <w:tcW w:w="810" w:type="pct"/>
          </w:tcPr>
          <w:p w14:paraId="038A3352" w14:textId="77777777" w:rsidR="00C83428" w:rsidRPr="00CA2915" w:rsidRDefault="00C83428" w:rsidP="001A5D4A">
            <w:pPr>
              <w:pStyle w:val="Note-Refs"/>
            </w:pPr>
          </w:p>
        </w:tc>
        <w:tc>
          <w:tcPr>
            <w:tcW w:w="2567" w:type="pct"/>
            <w:shd w:val="clear" w:color="auto" w:fill="CDCDCD"/>
            <w:vAlign w:val="bottom"/>
          </w:tcPr>
          <w:p w14:paraId="038A3353" w14:textId="77777777" w:rsidR="00C83428" w:rsidRPr="00CA2915" w:rsidRDefault="00C83428" w:rsidP="001A5D4A">
            <w:pPr>
              <w:pStyle w:val="NotesTable-ItemBold"/>
            </w:pPr>
            <w:r w:rsidRPr="00CA2915">
              <w:t>Remuneration of Board Members</w:t>
            </w:r>
          </w:p>
        </w:tc>
        <w:tc>
          <w:tcPr>
            <w:tcW w:w="406" w:type="pct"/>
            <w:shd w:val="clear" w:color="auto" w:fill="CDCDCD"/>
          </w:tcPr>
          <w:p w14:paraId="038A3354" w14:textId="77777777" w:rsidR="00C83428" w:rsidRPr="00CA2915" w:rsidRDefault="00C83428" w:rsidP="001A5D4A">
            <w:pPr>
              <w:pStyle w:val="NotesTable-CellBold"/>
            </w:pPr>
          </w:p>
        </w:tc>
        <w:tc>
          <w:tcPr>
            <w:tcW w:w="406" w:type="pct"/>
            <w:shd w:val="clear" w:color="auto" w:fill="CDCDCD"/>
          </w:tcPr>
          <w:p w14:paraId="038A3355" w14:textId="77777777" w:rsidR="00C83428" w:rsidRPr="00CA2915" w:rsidRDefault="00C83428" w:rsidP="001A5D4A">
            <w:pPr>
              <w:pStyle w:val="NotesTable-CellPlain"/>
            </w:pPr>
          </w:p>
        </w:tc>
        <w:tc>
          <w:tcPr>
            <w:tcW w:w="406" w:type="pct"/>
            <w:shd w:val="clear" w:color="auto" w:fill="CDCDCD"/>
          </w:tcPr>
          <w:p w14:paraId="038A3356" w14:textId="77777777" w:rsidR="00C83428" w:rsidRPr="00CA2915" w:rsidRDefault="00C83428" w:rsidP="001A5D4A">
            <w:pPr>
              <w:pStyle w:val="NotesTable-CellBold"/>
            </w:pPr>
          </w:p>
        </w:tc>
        <w:tc>
          <w:tcPr>
            <w:tcW w:w="406" w:type="pct"/>
            <w:shd w:val="clear" w:color="auto" w:fill="CDCDCD"/>
          </w:tcPr>
          <w:p w14:paraId="038A3357" w14:textId="77777777" w:rsidR="00C83428" w:rsidRPr="00CA2915" w:rsidRDefault="00C83428" w:rsidP="001A5D4A">
            <w:pPr>
              <w:pStyle w:val="NotesTable-CellPlain"/>
            </w:pPr>
          </w:p>
        </w:tc>
      </w:tr>
      <w:tr w:rsidR="00C83428" w:rsidRPr="00CA2915" w14:paraId="038A335F" w14:textId="77777777" w:rsidTr="00463ABD">
        <w:trPr>
          <w:trHeight w:val="181"/>
        </w:trPr>
        <w:tc>
          <w:tcPr>
            <w:tcW w:w="810" w:type="pct"/>
          </w:tcPr>
          <w:p w14:paraId="038A3359" w14:textId="77777777" w:rsidR="00C83428" w:rsidRPr="00CA2915" w:rsidRDefault="00C83428" w:rsidP="001A5D4A">
            <w:pPr>
              <w:pStyle w:val="Note-Refs"/>
            </w:pPr>
          </w:p>
        </w:tc>
        <w:tc>
          <w:tcPr>
            <w:tcW w:w="2567" w:type="pct"/>
            <w:shd w:val="clear" w:color="auto" w:fill="CDCDCD"/>
            <w:vAlign w:val="bottom"/>
          </w:tcPr>
          <w:p w14:paraId="038A335A" w14:textId="77777777" w:rsidR="00C83428" w:rsidRPr="00CA2915" w:rsidRDefault="00C83428" w:rsidP="001A5D4A">
            <w:pPr>
              <w:pStyle w:val="NotesTable-ItemPlain"/>
              <w:rPr>
                <w:b/>
              </w:rPr>
            </w:pPr>
            <w:r w:rsidRPr="00CA2915">
              <w:t>Nil to $14,999</w:t>
            </w:r>
          </w:p>
        </w:tc>
        <w:tc>
          <w:tcPr>
            <w:tcW w:w="406" w:type="pct"/>
            <w:shd w:val="clear" w:color="auto" w:fill="CDCDCD"/>
            <w:vAlign w:val="bottom"/>
          </w:tcPr>
          <w:p w14:paraId="038A335B" w14:textId="77777777" w:rsidR="00C83428" w:rsidRPr="00CA2915" w:rsidRDefault="00C83428" w:rsidP="001A5D4A">
            <w:pPr>
              <w:pStyle w:val="NotesTable-CellBold"/>
            </w:pPr>
            <w:r w:rsidRPr="00CA2915">
              <w:t>–</w:t>
            </w:r>
          </w:p>
        </w:tc>
        <w:tc>
          <w:tcPr>
            <w:tcW w:w="406" w:type="pct"/>
            <w:shd w:val="clear" w:color="auto" w:fill="CDCDCD"/>
            <w:vAlign w:val="bottom"/>
          </w:tcPr>
          <w:p w14:paraId="038A335C" w14:textId="77777777" w:rsidR="00C83428" w:rsidRPr="00CA2915" w:rsidRDefault="00C83428" w:rsidP="001A5D4A">
            <w:pPr>
              <w:pStyle w:val="NotesTable-CellPlain"/>
            </w:pPr>
            <w:r w:rsidRPr="00CA2915">
              <w:t>–</w:t>
            </w:r>
          </w:p>
        </w:tc>
        <w:tc>
          <w:tcPr>
            <w:tcW w:w="406" w:type="pct"/>
            <w:shd w:val="clear" w:color="auto" w:fill="CDCDCD"/>
            <w:vAlign w:val="bottom"/>
          </w:tcPr>
          <w:p w14:paraId="038A335D" w14:textId="77777777" w:rsidR="00C83428" w:rsidRPr="00CA2915" w:rsidRDefault="00C83428" w:rsidP="001A5D4A">
            <w:pPr>
              <w:pStyle w:val="NotesTable-CellBold"/>
            </w:pPr>
            <w:r w:rsidRPr="00CA2915">
              <w:t>–</w:t>
            </w:r>
          </w:p>
        </w:tc>
        <w:tc>
          <w:tcPr>
            <w:tcW w:w="406" w:type="pct"/>
            <w:shd w:val="clear" w:color="auto" w:fill="CDCDCD"/>
            <w:vAlign w:val="bottom"/>
          </w:tcPr>
          <w:p w14:paraId="038A335E" w14:textId="77777777" w:rsidR="00C83428" w:rsidRPr="00CA2915" w:rsidRDefault="00C83428" w:rsidP="001A5D4A">
            <w:pPr>
              <w:pStyle w:val="NotesTable-CellPlain"/>
            </w:pPr>
            <w:r w:rsidRPr="00CA2915">
              <w:t>–</w:t>
            </w:r>
          </w:p>
        </w:tc>
      </w:tr>
      <w:tr w:rsidR="00C83428" w:rsidRPr="00CA2915" w14:paraId="038A3366" w14:textId="77777777" w:rsidTr="00463ABD">
        <w:trPr>
          <w:trHeight w:val="181"/>
        </w:trPr>
        <w:tc>
          <w:tcPr>
            <w:tcW w:w="810" w:type="pct"/>
          </w:tcPr>
          <w:p w14:paraId="038A3360" w14:textId="77777777" w:rsidR="00C83428" w:rsidRPr="00CA2915" w:rsidRDefault="00C83428" w:rsidP="001A5D4A">
            <w:pPr>
              <w:pStyle w:val="Note-Refs"/>
            </w:pPr>
          </w:p>
        </w:tc>
        <w:tc>
          <w:tcPr>
            <w:tcW w:w="2567" w:type="pct"/>
            <w:shd w:val="clear" w:color="auto" w:fill="CDCDCD"/>
            <w:vAlign w:val="bottom"/>
          </w:tcPr>
          <w:p w14:paraId="038A3361" w14:textId="77777777" w:rsidR="00C83428" w:rsidRPr="00CA2915" w:rsidRDefault="00C83428" w:rsidP="001A5D4A">
            <w:pPr>
              <w:pStyle w:val="NotesTable-ItemPlain"/>
              <w:rPr>
                <w:b/>
              </w:rPr>
            </w:pPr>
            <w:r w:rsidRPr="00CA2915">
              <w:t>$15,000 to $29,999</w:t>
            </w:r>
          </w:p>
        </w:tc>
        <w:tc>
          <w:tcPr>
            <w:tcW w:w="406" w:type="pct"/>
            <w:shd w:val="clear" w:color="auto" w:fill="CDCDCD"/>
            <w:vAlign w:val="bottom"/>
          </w:tcPr>
          <w:p w14:paraId="038A3362" w14:textId="77777777" w:rsidR="00C83428" w:rsidRPr="00CA2915" w:rsidRDefault="00C83428" w:rsidP="001A5D4A">
            <w:pPr>
              <w:pStyle w:val="NotesTable-CellBold"/>
            </w:pPr>
            <w:r w:rsidRPr="00CA2915">
              <w:t>–</w:t>
            </w:r>
          </w:p>
        </w:tc>
        <w:tc>
          <w:tcPr>
            <w:tcW w:w="406" w:type="pct"/>
            <w:shd w:val="clear" w:color="auto" w:fill="CDCDCD"/>
            <w:vAlign w:val="bottom"/>
          </w:tcPr>
          <w:p w14:paraId="038A3363" w14:textId="77777777" w:rsidR="00C83428" w:rsidRPr="00CA2915" w:rsidRDefault="00C83428" w:rsidP="001A5D4A">
            <w:pPr>
              <w:pStyle w:val="NotesTable-CellPlain"/>
            </w:pPr>
            <w:r w:rsidRPr="00CA2915">
              <w:t>–</w:t>
            </w:r>
          </w:p>
        </w:tc>
        <w:tc>
          <w:tcPr>
            <w:tcW w:w="406" w:type="pct"/>
            <w:shd w:val="clear" w:color="auto" w:fill="CDCDCD"/>
            <w:vAlign w:val="bottom"/>
          </w:tcPr>
          <w:p w14:paraId="038A3364" w14:textId="77777777" w:rsidR="00C83428" w:rsidRPr="00CA2915" w:rsidRDefault="00C83428" w:rsidP="001A5D4A">
            <w:pPr>
              <w:pStyle w:val="NotesTable-CellBold"/>
            </w:pPr>
            <w:r w:rsidRPr="00CA2915">
              <w:t>–</w:t>
            </w:r>
          </w:p>
        </w:tc>
        <w:tc>
          <w:tcPr>
            <w:tcW w:w="406" w:type="pct"/>
            <w:shd w:val="clear" w:color="auto" w:fill="CDCDCD"/>
            <w:vAlign w:val="bottom"/>
          </w:tcPr>
          <w:p w14:paraId="038A3365" w14:textId="77777777" w:rsidR="00C83428" w:rsidRPr="00CA2915" w:rsidRDefault="00C83428" w:rsidP="001A5D4A">
            <w:pPr>
              <w:pStyle w:val="NotesTable-CellPlain"/>
            </w:pPr>
            <w:r w:rsidRPr="00CA2915">
              <w:t>–</w:t>
            </w:r>
          </w:p>
        </w:tc>
      </w:tr>
      <w:tr w:rsidR="00C83428" w:rsidRPr="00CA2915" w14:paraId="038A336D" w14:textId="77777777" w:rsidTr="00463ABD">
        <w:trPr>
          <w:trHeight w:val="181"/>
        </w:trPr>
        <w:tc>
          <w:tcPr>
            <w:tcW w:w="810" w:type="pct"/>
          </w:tcPr>
          <w:p w14:paraId="038A3367" w14:textId="77777777" w:rsidR="00C83428" w:rsidRPr="00CA2915" w:rsidRDefault="00C83428" w:rsidP="001A5D4A">
            <w:pPr>
              <w:pStyle w:val="Note-Refs"/>
            </w:pPr>
          </w:p>
        </w:tc>
        <w:tc>
          <w:tcPr>
            <w:tcW w:w="2567" w:type="pct"/>
            <w:shd w:val="clear" w:color="auto" w:fill="CDCDCD"/>
            <w:vAlign w:val="bottom"/>
          </w:tcPr>
          <w:p w14:paraId="038A3368" w14:textId="77777777" w:rsidR="00C83428" w:rsidRPr="00CA2915" w:rsidRDefault="00C83428" w:rsidP="001A5D4A">
            <w:pPr>
              <w:pStyle w:val="NotesTable-ItemPlain"/>
              <w:rPr>
                <w:b/>
              </w:rPr>
            </w:pPr>
            <w:r w:rsidRPr="00CA2915">
              <w:t>[Repeat successive bands as required]</w:t>
            </w:r>
          </w:p>
        </w:tc>
        <w:tc>
          <w:tcPr>
            <w:tcW w:w="406" w:type="pct"/>
            <w:shd w:val="clear" w:color="auto" w:fill="CDCDCD"/>
            <w:vAlign w:val="bottom"/>
          </w:tcPr>
          <w:p w14:paraId="038A3369" w14:textId="77777777" w:rsidR="00C83428" w:rsidRPr="00CA2915" w:rsidRDefault="00C83428" w:rsidP="001A5D4A">
            <w:pPr>
              <w:pStyle w:val="NotesTable-CellBold"/>
            </w:pPr>
            <w:r w:rsidRPr="00CA2915">
              <w:t>–</w:t>
            </w:r>
          </w:p>
        </w:tc>
        <w:tc>
          <w:tcPr>
            <w:tcW w:w="406" w:type="pct"/>
            <w:shd w:val="clear" w:color="auto" w:fill="CDCDCD"/>
            <w:vAlign w:val="bottom"/>
          </w:tcPr>
          <w:p w14:paraId="038A336A" w14:textId="77777777" w:rsidR="00C83428" w:rsidRPr="00CA2915" w:rsidRDefault="00C83428" w:rsidP="001A5D4A">
            <w:pPr>
              <w:pStyle w:val="NotesTable-CellPlain"/>
            </w:pPr>
            <w:r w:rsidRPr="00CA2915">
              <w:t>–</w:t>
            </w:r>
          </w:p>
        </w:tc>
        <w:tc>
          <w:tcPr>
            <w:tcW w:w="406" w:type="pct"/>
            <w:shd w:val="clear" w:color="auto" w:fill="CDCDCD"/>
            <w:vAlign w:val="bottom"/>
          </w:tcPr>
          <w:p w14:paraId="038A336B" w14:textId="77777777" w:rsidR="00C83428" w:rsidRPr="00CA2915" w:rsidRDefault="00C83428" w:rsidP="001A5D4A">
            <w:pPr>
              <w:pStyle w:val="NotesTable-CellBold"/>
            </w:pPr>
            <w:r w:rsidRPr="00CA2915">
              <w:t>–</w:t>
            </w:r>
          </w:p>
        </w:tc>
        <w:tc>
          <w:tcPr>
            <w:tcW w:w="406" w:type="pct"/>
            <w:shd w:val="clear" w:color="auto" w:fill="CDCDCD"/>
            <w:vAlign w:val="bottom"/>
          </w:tcPr>
          <w:p w14:paraId="038A336C" w14:textId="77777777" w:rsidR="00C83428" w:rsidRPr="00CA2915" w:rsidRDefault="00C83428" w:rsidP="001A5D4A">
            <w:pPr>
              <w:pStyle w:val="NotesTable-CellPlain"/>
            </w:pPr>
            <w:r w:rsidRPr="00CA2915">
              <w:t>–</w:t>
            </w:r>
          </w:p>
        </w:tc>
      </w:tr>
      <w:tr w:rsidR="00C83428" w:rsidRPr="00CA2915" w14:paraId="038A3374" w14:textId="77777777" w:rsidTr="00463ABD">
        <w:trPr>
          <w:trHeight w:val="181"/>
        </w:trPr>
        <w:tc>
          <w:tcPr>
            <w:tcW w:w="810" w:type="pct"/>
          </w:tcPr>
          <w:p w14:paraId="038A336E" w14:textId="77777777" w:rsidR="00C83428" w:rsidRPr="00CA2915" w:rsidRDefault="00C83428" w:rsidP="001A5D4A">
            <w:pPr>
              <w:pStyle w:val="Note-Refs"/>
            </w:pPr>
          </w:p>
        </w:tc>
        <w:tc>
          <w:tcPr>
            <w:tcW w:w="2567" w:type="pct"/>
            <w:shd w:val="clear" w:color="auto" w:fill="CDCDCD"/>
            <w:vAlign w:val="bottom"/>
          </w:tcPr>
          <w:p w14:paraId="038A336F" w14:textId="77777777" w:rsidR="00C83428" w:rsidRPr="00CA2915" w:rsidRDefault="00C83428" w:rsidP="001A5D4A">
            <w:pPr>
              <w:pStyle w:val="NotesTable-ItemPlain"/>
            </w:pPr>
          </w:p>
        </w:tc>
        <w:tc>
          <w:tcPr>
            <w:tcW w:w="406" w:type="pct"/>
            <w:shd w:val="clear" w:color="auto" w:fill="CDCDCD"/>
          </w:tcPr>
          <w:p w14:paraId="038A3370" w14:textId="77777777" w:rsidR="00C83428" w:rsidRPr="00CA2915" w:rsidRDefault="00C83428" w:rsidP="001A5D4A">
            <w:pPr>
              <w:pStyle w:val="NotesTable-CellBold"/>
            </w:pPr>
          </w:p>
        </w:tc>
        <w:tc>
          <w:tcPr>
            <w:tcW w:w="406" w:type="pct"/>
            <w:shd w:val="clear" w:color="auto" w:fill="CDCDCD"/>
          </w:tcPr>
          <w:p w14:paraId="038A3371" w14:textId="77777777" w:rsidR="00C83428" w:rsidRPr="00CA2915" w:rsidRDefault="00C83428" w:rsidP="001A5D4A">
            <w:pPr>
              <w:pStyle w:val="NotesTable-CellPlain"/>
            </w:pPr>
          </w:p>
        </w:tc>
        <w:tc>
          <w:tcPr>
            <w:tcW w:w="406" w:type="pct"/>
            <w:shd w:val="clear" w:color="auto" w:fill="CDCDCD"/>
          </w:tcPr>
          <w:p w14:paraId="038A3372" w14:textId="77777777" w:rsidR="00C83428" w:rsidRPr="00CA2915" w:rsidRDefault="00C83428" w:rsidP="001A5D4A">
            <w:pPr>
              <w:pStyle w:val="NotesTable-CellBold"/>
            </w:pPr>
          </w:p>
        </w:tc>
        <w:tc>
          <w:tcPr>
            <w:tcW w:w="406" w:type="pct"/>
            <w:shd w:val="clear" w:color="auto" w:fill="CDCDCD"/>
          </w:tcPr>
          <w:p w14:paraId="038A3373" w14:textId="77777777" w:rsidR="00C83428" w:rsidRPr="00CA2915" w:rsidRDefault="00C83428" w:rsidP="001A5D4A">
            <w:pPr>
              <w:pStyle w:val="NotesTable-CellPlain"/>
            </w:pPr>
          </w:p>
        </w:tc>
      </w:tr>
      <w:tr w:rsidR="00C83428" w:rsidRPr="00CA2915" w14:paraId="038A3379" w14:textId="77777777" w:rsidTr="00463ABD">
        <w:trPr>
          <w:trHeight w:val="181"/>
        </w:trPr>
        <w:tc>
          <w:tcPr>
            <w:tcW w:w="810" w:type="pct"/>
          </w:tcPr>
          <w:p w14:paraId="038A3375" w14:textId="77777777" w:rsidR="00C83428" w:rsidRPr="00CA2915" w:rsidRDefault="00B90CFC" w:rsidP="001A5D4A">
            <w:pPr>
              <w:pStyle w:val="Note-Refs"/>
              <w:rPr>
                <w:b/>
              </w:rPr>
            </w:pPr>
            <w:r>
              <w:t>EDUCATION</w:t>
            </w:r>
          </w:p>
        </w:tc>
        <w:tc>
          <w:tcPr>
            <w:tcW w:w="2567" w:type="pct"/>
            <w:shd w:val="clear" w:color="auto" w:fill="CDCDCD"/>
            <w:vAlign w:val="bottom"/>
          </w:tcPr>
          <w:p w14:paraId="038A3376" w14:textId="77777777" w:rsidR="00C83428" w:rsidRPr="00CA2915" w:rsidRDefault="00C83428" w:rsidP="001A5D4A">
            <w:pPr>
              <w:pStyle w:val="NotesTable-ItemPlain"/>
            </w:pPr>
          </w:p>
        </w:tc>
        <w:tc>
          <w:tcPr>
            <w:tcW w:w="811" w:type="pct"/>
            <w:gridSpan w:val="2"/>
            <w:shd w:val="clear" w:color="auto" w:fill="CDCDCD"/>
          </w:tcPr>
          <w:p w14:paraId="038A3377" w14:textId="77777777" w:rsidR="00C83428" w:rsidRPr="00CA2915" w:rsidRDefault="00C83428" w:rsidP="001A5D4A">
            <w:pPr>
              <w:pStyle w:val="NotesTable-HeadPlain"/>
            </w:pPr>
            <w:r w:rsidRPr="00CA2915">
              <w:t>Consolidated</w:t>
            </w:r>
          </w:p>
        </w:tc>
        <w:tc>
          <w:tcPr>
            <w:tcW w:w="811" w:type="pct"/>
            <w:gridSpan w:val="2"/>
            <w:shd w:val="clear" w:color="auto" w:fill="CDCDCD"/>
          </w:tcPr>
          <w:p w14:paraId="038A3378" w14:textId="77777777" w:rsidR="00C83428" w:rsidRPr="00CA2915" w:rsidRDefault="00C83428" w:rsidP="001A5D4A">
            <w:pPr>
              <w:pStyle w:val="NotesTable-HeadPlain"/>
            </w:pPr>
            <w:r w:rsidRPr="00CA2915">
              <w:t>Parent entity</w:t>
            </w:r>
          </w:p>
        </w:tc>
      </w:tr>
      <w:tr w:rsidR="00C83428" w:rsidRPr="00CA2915" w14:paraId="038A3380" w14:textId="77777777" w:rsidTr="00463ABD">
        <w:trPr>
          <w:trHeight w:val="181"/>
        </w:trPr>
        <w:tc>
          <w:tcPr>
            <w:tcW w:w="810" w:type="pct"/>
          </w:tcPr>
          <w:p w14:paraId="038A337A" w14:textId="77777777" w:rsidR="00C83428" w:rsidRPr="00CA2915" w:rsidRDefault="00C83428" w:rsidP="001A5D4A">
            <w:pPr>
              <w:pStyle w:val="Note-Refs"/>
            </w:pPr>
          </w:p>
        </w:tc>
        <w:tc>
          <w:tcPr>
            <w:tcW w:w="2567" w:type="pct"/>
            <w:shd w:val="clear" w:color="auto" w:fill="CDCDCD"/>
            <w:vAlign w:val="bottom"/>
          </w:tcPr>
          <w:p w14:paraId="038A337B" w14:textId="77777777" w:rsidR="00C83428" w:rsidRPr="00CA2915" w:rsidRDefault="00C83428" w:rsidP="001A5D4A">
            <w:pPr>
              <w:pStyle w:val="NotesTable-ItemPlain"/>
            </w:pPr>
          </w:p>
        </w:tc>
        <w:tc>
          <w:tcPr>
            <w:tcW w:w="406" w:type="pct"/>
            <w:shd w:val="clear" w:color="auto" w:fill="CDCDCD"/>
          </w:tcPr>
          <w:p w14:paraId="038A337C" w14:textId="76FE9219" w:rsidR="00C83428" w:rsidRPr="00CA2915" w:rsidRDefault="006864EC" w:rsidP="001A5D4A">
            <w:pPr>
              <w:pStyle w:val="NotesTable-HeadBold"/>
            </w:pPr>
            <w:r>
              <w:t>2014</w:t>
            </w:r>
          </w:p>
        </w:tc>
        <w:tc>
          <w:tcPr>
            <w:tcW w:w="406" w:type="pct"/>
            <w:shd w:val="clear" w:color="auto" w:fill="CDCDCD"/>
          </w:tcPr>
          <w:p w14:paraId="038A337D" w14:textId="1F37B402" w:rsidR="00C83428" w:rsidRPr="00CA2915" w:rsidRDefault="006864EC" w:rsidP="001A5D4A">
            <w:pPr>
              <w:pStyle w:val="NotesTable-HeadPlain"/>
            </w:pPr>
            <w:r>
              <w:t>2013</w:t>
            </w:r>
          </w:p>
        </w:tc>
        <w:tc>
          <w:tcPr>
            <w:tcW w:w="406" w:type="pct"/>
            <w:shd w:val="clear" w:color="auto" w:fill="CDCDCD"/>
          </w:tcPr>
          <w:p w14:paraId="038A337E" w14:textId="37016BFF" w:rsidR="00C83428" w:rsidRPr="00CA2915" w:rsidRDefault="006864EC" w:rsidP="001A5D4A">
            <w:pPr>
              <w:pStyle w:val="NotesTable-HeadBold"/>
            </w:pPr>
            <w:r>
              <w:t>2014</w:t>
            </w:r>
          </w:p>
        </w:tc>
        <w:tc>
          <w:tcPr>
            <w:tcW w:w="406" w:type="pct"/>
            <w:shd w:val="clear" w:color="auto" w:fill="CDCDCD"/>
          </w:tcPr>
          <w:p w14:paraId="038A337F" w14:textId="4C98E31D" w:rsidR="00C83428" w:rsidRPr="00CA2915" w:rsidRDefault="006864EC" w:rsidP="001A5D4A">
            <w:pPr>
              <w:pStyle w:val="NotesTable-HeadPlain"/>
            </w:pPr>
            <w:r>
              <w:t>2013</w:t>
            </w:r>
          </w:p>
        </w:tc>
      </w:tr>
      <w:tr w:rsidR="00C83428" w:rsidRPr="00CA2915" w14:paraId="038A3385" w14:textId="77777777" w:rsidTr="00463ABD">
        <w:trPr>
          <w:trHeight w:val="181"/>
        </w:trPr>
        <w:tc>
          <w:tcPr>
            <w:tcW w:w="810" w:type="pct"/>
          </w:tcPr>
          <w:p w14:paraId="038A3381" w14:textId="77777777" w:rsidR="00C83428" w:rsidRPr="00CA2915" w:rsidRDefault="00C83428" w:rsidP="001A5D4A">
            <w:pPr>
              <w:pStyle w:val="Note-Refs"/>
            </w:pPr>
          </w:p>
        </w:tc>
        <w:tc>
          <w:tcPr>
            <w:tcW w:w="2567" w:type="pct"/>
            <w:shd w:val="clear" w:color="auto" w:fill="CDCDCD"/>
            <w:vAlign w:val="bottom"/>
          </w:tcPr>
          <w:p w14:paraId="038A3382" w14:textId="77777777" w:rsidR="00C83428" w:rsidRPr="00CA2915" w:rsidRDefault="00C83428" w:rsidP="001A5D4A">
            <w:pPr>
              <w:pStyle w:val="NotesTable-ItemPlain"/>
            </w:pPr>
          </w:p>
        </w:tc>
        <w:tc>
          <w:tcPr>
            <w:tcW w:w="811" w:type="pct"/>
            <w:gridSpan w:val="2"/>
            <w:shd w:val="clear" w:color="auto" w:fill="CDCDCD"/>
          </w:tcPr>
          <w:p w14:paraId="038A3383" w14:textId="77777777" w:rsidR="00C83428" w:rsidRPr="00CA2915" w:rsidRDefault="00C83428" w:rsidP="001A5D4A">
            <w:pPr>
              <w:pStyle w:val="NotesTable-HeadPlain"/>
            </w:pPr>
            <w:r w:rsidRPr="00CA2915">
              <w:t>Number</w:t>
            </w:r>
          </w:p>
        </w:tc>
        <w:tc>
          <w:tcPr>
            <w:tcW w:w="811" w:type="pct"/>
            <w:gridSpan w:val="2"/>
            <w:shd w:val="clear" w:color="auto" w:fill="CDCDCD"/>
          </w:tcPr>
          <w:p w14:paraId="038A3384" w14:textId="77777777" w:rsidR="00C83428" w:rsidRPr="00CA2915" w:rsidRDefault="00C83428" w:rsidP="001A5D4A">
            <w:pPr>
              <w:pStyle w:val="NotesTable-HeadPlain"/>
            </w:pPr>
            <w:r w:rsidRPr="00CA2915">
              <w:t>Number</w:t>
            </w:r>
          </w:p>
        </w:tc>
      </w:tr>
      <w:tr w:rsidR="00C83428" w:rsidRPr="00CA2915" w14:paraId="038A338C" w14:textId="77777777" w:rsidTr="00463ABD">
        <w:trPr>
          <w:trHeight w:val="181"/>
        </w:trPr>
        <w:tc>
          <w:tcPr>
            <w:tcW w:w="810" w:type="pct"/>
          </w:tcPr>
          <w:p w14:paraId="038A3386" w14:textId="77777777" w:rsidR="00C83428" w:rsidRPr="00CA2915" w:rsidRDefault="00C83428" w:rsidP="001A5D4A">
            <w:pPr>
              <w:pStyle w:val="Note-Refs"/>
            </w:pPr>
          </w:p>
        </w:tc>
        <w:tc>
          <w:tcPr>
            <w:tcW w:w="2567" w:type="pct"/>
            <w:shd w:val="clear" w:color="auto" w:fill="CDCDCD"/>
            <w:vAlign w:val="bottom"/>
          </w:tcPr>
          <w:p w14:paraId="038A3387" w14:textId="77777777" w:rsidR="00C83428" w:rsidRPr="00CA2915" w:rsidRDefault="00C83428" w:rsidP="001A5D4A">
            <w:pPr>
              <w:pStyle w:val="NotesTable-ItemBold"/>
            </w:pPr>
            <w:r w:rsidRPr="00CA2915">
              <w:t>Remuneration of executive officers</w:t>
            </w:r>
          </w:p>
        </w:tc>
        <w:tc>
          <w:tcPr>
            <w:tcW w:w="406" w:type="pct"/>
            <w:shd w:val="clear" w:color="auto" w:fill="CDCDCD"/>
            <w:vAlign w:val="bottom"/>
          </w:tcPr>
          <w:p w14:paraId="038A3388" w14:textId="77777777" w:rsidR="00C83428" w:rsidRPr="00CA2915" w:rsidRDefault="00C83428" w:rsidP="001A5D4A">
            <w:pPr>
              <w:pStyle w:val="NotesTable-CellBold"/>
            </w:pPr>
          </w:p>
        </w:tc>
        <w:tc>
          <w:tcPr>
            <w:tcW w:w="406" w:type="pct"/>
            <w:shd w:val="clear" w:color="auto" w:fill="CDCDCD"/>
            <w:vAlign w:val="bottom"/>
          </w:tcPr>
          <w:p w14:paraId="038A3389" w14:textId="77777777" w:rsidR="00C83428" w:rsidRPr="00CA2915" w:rsidRDefault="00C83428" w:rsidP="001A5D4A">
            <w:pPr>
              <w:pStyle w:val="NotesTable-CellPlain"/>
            </w:pPr>
          </w:p>
        </w:tc>
        <w:tc>
          <w:tcPr>
            <w:tcW w:w="406" w:type="pct"/>
            <w:shd w:val="clear" w:color="auto" w:fill="CDCDCD"/>
            <w:vAlign w:val="bottom"/>
          </w:tcPr>
          <w:p w14:paraId="038A338A" w14:textId="77777777" w:rsidR="00C83428" w:rsidRPr="00CA2915" w:rsidRDefault="00C83428" w:rsidP="001A5D4A">
            <w:pPr>
              <w:pStyle w:val="NotesTable-CellBold"/>
            </w:pPr>
          </w:p>
        </w:tc>
        <w:tc>
          <w:tcPr>
            <w:tcW w:w="406" w:type="pct"/>
            <w:shd w:val="clear" w:color="auto" w:fill="CDCDCD"/>
            <w:vAlign w:val="bottom"/>
          </w:tcPr>
          <w:p w14:paraId="038A338B" w14:textId="77777777" w:rsidR="00C83428" w:rsidRPr="00CA2915" w:rsidRDefault="00C83428" w:rsidP="001A5D4A">
            <w:pPr>
              <w:pStyle w:val="NotesTable-CellPlain"/>
            </w:pPr>
          </w:p>
        </w:tc>
      </w:tr>
      <w:tr w:rsidR="00C83428" w:rsidRPr="00CA2915" w14:paraId="038A3393" w14:textId="77777777" w:rsidTr="00463ABD">
        <w:trPr>
          <w:trHeight w:val="181"/>
        </w:trPr>
        <w:tc>
          <w:tcPr>
            <w:tcW w:w="810" w:type="pct"/>
          </w:tcPr>
          <w:p w14:paraId="038A338D" w14:textId="77777777" w:rsidR="00C83428" w:rsidRPr="00CA2915" w:rsidRDefault="00C83428" w:rsidP="001A5D4A">
            <w:pPr>
              <w:pStyle w:val="Note-Refs"/>
            </w:pPr>
          </w:p>
        </w:tc>
        <w:tc>
          <w:tcPr>
            <w:tcW w:w="2567" w:type="pct"/>
            <w:shd w:val="clear" w:color="auto" w:fill="CDCDCD"/>
            <w:vAlign w:val="bottom"/>
          </w:tcPr>
          <w:p w14:paraId="038A338E" w14:textId="77777777" w:rsidR="00C83428" w:rsidRPr="00CA2915" w:rsidRDefault="00C83428" w:rsidP="001A5D4A">
            <w:pPr>
              <w:pStyle w:val="NotesTable-ItemPlain"/>
              <w:rPr>
                <w:b/>
              </w:rPr>
            </w:pPr>
            <w:r w:rsidRPr="00CA2915">
              <w:t>$130,000 to $144,999</w:t>
            </w:r>
          </w:p>
        </w:tc>
        <w:tc>
          <w:tcPr>
            <w:tcW w:w="406" w:type="pct"/>
            <w:shd w:val="clear" w:color="auto" w:fill="CDCDCD"/>
            <w:vAlign w:val="bottom"/>
          </w:tcPr>
          <w:p w14:paraId="038A338F" w14:textId="77777777" w:rsidR="00C83428" w:rsidRPr="00CA2915" w:rsidRDefault="00C83428" w:rsidP="001A5D4A">
            <w:pPr>
              <w:pStyle w:val="NotesTable-CellBold"/>
            </w:pPr>
            <w:r w:rsidRPr="00CA2915">
              <w:t>–</w:t>
            </w:r>
          </w:p>
        </w:tc>
        <w:tc>
          <w:tcPr>
            <w:tcW w:w="406" w:type="pct"/>
            <w:shd w:val="clear" w:color="auto" w:fill="CDCDCD"/>
            <w:vAlign w:val="bottom"/>
          </w:tcPr>
          <w:p w14:paraId="038A3390" w14:textId="77777777" w:rsidR="00C83428" w:rsidRPr="00CA2915" w:rsidRDefault="00C83428" w:rsidP="001A5D4A">
            <w:pPr>
              <w:pStyle w:val="NotesTable-CellPlain"/>
            </w:pPr>
            <w:r w:rsidRPr="00CA2915">
              <w:t>–</w:t>
            </w:r>
          </w:p>
        </w:tc>
        <w:tc>
          <w:tcPr>
            <w:tcW w:w="406" w:type="pct"/>
            <w:shd w:val="clear" w:color="auto" w:fill="CDCDCD"/>
            <w:vAlign w:val="bottom"/>
          </w:tcPr>
          <w:p w14:paraId="038A3391" w14:textId="77777777" w:rsidR="00C83428" w:rsidRPr="00CA2915" w:rsidRDefault="00C83428" w:rsidP="001A5D4A">
            <w:pPr>
              <w:pStyle w:val="NotesTable-CellBold"/>
            </w:pPr>
            <w:r w:rsidRPr="00CA2915">
              <w:t>–</w:t>
            </w:r>
          </w:p>
        </w:tc>
        <w:tc>
          <w:tcPr>
            <w:tcW w:w="406" w:type="pct"/>
            <w:shd w:val="clear" w:color="auto" w:fill="CDCDCD"/>
            <w:vAlign w:val="bottom"/>
          </w:tcPr>
          <w:p w14:paraId="038A3392" w14:textId="77777777" w:rsidR="00C83428" w:rsidRPr="00CA2915" w:rsidRDefault="00C83428" w:rsidP="001A5D4A">
            <w:pPr>
              <w:pStyle w:val="NotesTable-CellPlain"/>
            </w:pPr>
            <w:r w:rsidRPr="00CA2915">
              <w:t>–</w:t>
            </w:r>
          </w:p>
        </w:tc>
      </w:tr>
      <w:tr w:rsidR="00C83428" w:rsidRPr="00CA2915" w14:paraId="038A339A" w14:textId="77777777" w:rsidTr="00463ABD">
        <w:trPr>
          <w:trHeight w:val="181"/>
        </w:trPr>
        <w:tc>
          <w:tcPr>
            <w:tcW w:w="810" w:type="pct"/>
          </w:tcPr>
          <w:p w14:paraId="038A3394" w14:textId="77777777" w:rsidR="00C83428" w:rsidRPr="00CA2915" w:rsidRDefault="00C83428" w:rsidP="001A5D4A">
            <w:pPr>
              <w:pStyle w:val="Note-Refs"/>
            </w:pPr>
          </w:p>
        </w:tc>
        <w:tc>
          <w:tcPr>
            <w:tcW w:w="2567" w:type="pct"/>
            <w:shd w:val="clear" w:color="auto" w:fill="CDCDCD"/>
            <w:vAlign w:val="bottom"/>
          </w:tcPr>
          <w:p w14:paraId="038A3395" w14:textId="77777777" w:rsidR="00C83428" w:rsidRPr="00CA2915" w:rsidRDefault="00C83428" w:rsidP="001A5D4A">
            <w:pPr>
              <w:pStyle w:val="NotesTable-ItemPlain"/>
              <w:rPr>
                <w:b/>
              </w:rPr>
            </w:pPr>
            <w:r w:rsidRPr="00CA2915">
              <w:t>$145,000 to $159,999</w:t>
            </w:r>
          </w:p>
        </w:tc>
        <w:tc>
          <w:tcPr>
            <w:tcW w:w="406" w:type="pct"/>
            <w:shd w:val="clear" w:color="auto" w:fill="CDCDCD"/>
            <w:vAlign w:val="bottom"/>
          </w:tcPr>
          <w:p w14:paraId="038A3396" w14:textId="77777777" w:rsidR="00C83428" w:rsidRPr="00CA2915" w:rsidRDefault="00C83428" w:rsidP="001A5D4A">
            <w:pPr>
              <w:pStyle w:val="NotesTable-CellBold"/>
            </w:pPr>
            <w:r w:rsidRPr="00CA2915">
              <w:t>–</w:t>
            </w:r>
          </w:p>
        </w:tc>
        <w:tc>
          <w:tcPr>
            <w:tcW w:w="406" w:type="pct"/>
            <w:shd w:val="clear" w:color="auto" w:fill="CDCDCD"/>
            <w:vAlign w:val="bottom"/>
          </w:tcPr>
          <w:p w14:paraId="038A3397" w14:textId="77777777" w:rsidR="00C83428" w:rsidRPr="00CA2915" w:rsidRDefault="00C83428" w:rsidP="001A5D4A">
            <w:pPr>
              <w:pStyle w:val="NotesTable-CellPlain"/>
            </w:pPr>
            <w:r w:rsidRPr="00CA2915">
              <w:t>–</w:t>
            </w:r>
          </w:p>
        </w:tc>
        <w:tc>
          <w:tcPr>
            <w:tcW w:w="406" w:type="pct"/>
            <w:shd w:val="clear" w:color="auto" w:fill="CDCDCD"/>
            <w:vAlign w:val="bottom"/>
          </w:tcPr>
          <w:p w14:paraId="038A3398" w14:textId="77777777" w:rsidR="00C83428" w:rsidRPr="00CA2915" w:rsidRDefault="00C83428" w:rsidP="001A5D4A">
            <w:pPr>
              <w:pStyle w:val="NotesTable-CellBold"/>
            </w:pPr>
            <w:r w:rsidRPr="00CA2915">
              <w:t>–</w:t>
            </w:r>
          </w:p>
        </w:tc>
        <w:tc>
          <w:tcPr>
            <w:tcW w:w="406" w:type="pct"/>
            <w:shd w:val="clear" w:color="auto" w:fill="CDCDCD"/>
            <w:vAlign w:val="bottom"/>
          </w:tcPr>
          <w:p w14:paraId="038A3399" w14:textId="77777777" w:rsidR="00C83428" w:rsidRPr="00CA2915" w:rsidRDefault="00C83428" w:rsidP="001A5D4A">
            <w:pPr>
              <w:pStyle w:val="NotesTable-CellPlain"/>
            </w:pPr>
            <w:r w:rsidRPr="00CA2915">
              <w:t>–</w:t>
            </w:r>
          </w:p>
        </w:tc>
      </w:tr>
      <w:tr w:rsidR="00C83428" w:rsidRPr="00CA2915" w14:paraId="038A33A1" w14:textId="77777777" w:rsidTr="00463ABD">
        <w:trPr>
          <w:trHeight w:val="181"/>
        </w:trPr>
        <w:tc>
          <w:tcPr>
            <w:tcW w:w="810" w:type="pct"/>
          </w:tcPr>
          <w:p w14:paraId="038A339B" w14:textId="77777777" w:rsidR="00C83428" w:rsidRPr="00CA2915" w:rsidRDefault="00C83428" w:rsidP="001A5D4A">
            <w:pPr>
              <w:pStyle w:val="Note-Refs"/>
            </w:pPr>
          </w:p>
        </w:tc>
        <w:tc>
          <w:tcPr>
            <w:tcW w:w="2567" w:type="pct"/>
            <w:shd w:val="clear" w:color="auto" w:fill="CDCDCD"/>
            <w:vAlign w:val="bottom"/>
          </w:tcPr>
          <w:p w14:paraId="038A339C" w14:textId="77777777" w:rsidR="00C83428" w:rsidRPr="00CA2915" w:rsidRDefault="00C83428" w:rsidP="001A5D4A">
            <w:pPr>
              <w:pStyle w:val="NotesTable-ItemPlain"/>
              <w:rPr>
                <w:b/>
              </w:rPr>
            </w:pPr>
            <w:r w:rsidRPr="00CA2915">
              <w:t>[Repeat successive bands as required]</w:t>
            </w:r>
          </w:p>
        </w:tc>
        <w:tc>
          <w:tcPr>
            <w:tcW w:w="406" w:type="pct"/>
            <w:shd w:val="clear" w:color="auto" w:fill="CDCDCD"/>
            <w:vAlign w:val="bottom"/>
          </w:tcPr>
          <w:p w14:paraId="038A339D" w14:textId="77777777" w:rsidR="00C83428" w:rsidRPr="00CA2915" w:rsidRDefault="00C83428" w:rsidP="001A5D4A">
            <w:pPr>
              <w:pStyle w:val="NotesTable-CellBold"/>
            </w:pPr>
            <w:r w:rsidRPr="00CA2915">
              <w:t>–</w:t>
            </w:r>
          </w:p>
        </w:tc>
        <w:tc>
          <w:tcPr>
            <w:tcW w:w="406" w:type="pct"/>
            <w:shd w:val="clear" w:color="auto" w:fill="CDCDCD"/>
            <w:vAlign w:val="bottom"/>
          </w:tcPr>
          <w:p w14:paraId="038A339E" w14:textId="77777777" w:rsidR="00C83428" w:rsidRPr="00CA2915" w:rsidRDefault="00C83428" w:rsidP="001A5D4A">
            <w:pPr>
              <w:pStyle w:val="NotesTable-CellPlain"/>
            </w:pPr>
            <w:r w:rsidRPr="00CA2915">
              <w:t>–</w:t>
            </w:r>
          </w:p>
        </w:tc>
        <w:tc>
          <w:tcPr>
            <w:tcW w:w="406" w:type="pct"/>
            <w:shd w:val="clear" w:color="auto" w:fill="CDCDCD"/>
            <w:vAlign w:val="bottom"/>
          </w:tcPr>
          <w:p w14:paraId="038A339F" w14:textId="77777777" w:rsidR="00C83428" w:rsidRPr="00CA2915" w:rsidRDefault="00C83428" w:rsidP="001A5D4A">
            <w:pPr>
              <w:pStyle w:val="NotesTable-CellBold"/>
            </w:pPr>
            <w:r w:rsidRPr="00CA2915">
              <w:t>–</w:t>
            </w:r>
          </w:p>
        </w:tc>
        <w:tc>
          <w:tcPr>
            <w:tcW w:w="406" w:type="pct"/>
            <w:shd w:val="clear" w:color="auto" w:fill="CDCDCD"/>
            <w:vAlign w:val="bottom"/>
          </w:tcPr>
          <w:p w14:paraId="038A33A0" w14:textId="77777777" w:rsidR="00C83428" w:rsidRPr="00CA2915" w:rsidRDefault="00C83428" w:rsidP="001A5D4A">
            <w:pPr>
              <w:pStyle w:val="NotesTable-CellPlain"/>
            </w:pPr>
            <w:r w:rsidRPr="00CA2915">
              <w:t>–</w:t>
            </w:r>
          </w:p>
        </w:tc>
      </w:tr>
    </w:tbl>
    <w:p w14:paraId="038A33A2" w14:textId="77777777" w:rsidR="00B52171" w:rsidRPr="002636A0" w:rsidRDefault="00B52171" w:rsidP="001A5D4A">
      <w:r w:rsidRPr="002636A0">
        <w:br w:type="page"/>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EF62D6" w14:paraId="038A33A5" w14:textId="77777777" w:rsidTr="00EF62D6">
        <w:trPr>
          <w:trHeight w:val="181"/>
        </w:trPr>
        <w:tc>
          <w:tcPr>
            <w:tcW w:w="5000" w:type="pct"/>
            <w:gridSpan w:val="6"/>
          </w:tcPr>
          <w:p w14:paraId="038A33A4" w14:textId="0914407A" w:rsidR="00EF62D6" w:rsidRPr="00117880" w:rsidRDefault="00EF62D6" w:rsidP="00EF62D6">
            <w:pPr>
              <w:pStyle w:val="TOC3"/>
              <w:ind w:left="0"/>
            </w:pPr>
            <w:r w:rsidRPr="00117880">
              <w:lastRenderedPageBreak/>
              <w:t>Note 38</w:t>
            </w:r>
            <w:r>
              <w:t xml:space="preserve">. </w:t>
            </w:r>
            <w:r w:rsidRPr="00117880">
              <w:t>Key management personnel disclosures (continued)</w:t>
            </w:r>
          </w:p>
        </w:tc>
      </w:tr>
      <w:tr w:rsidR="00EF62D6" w:rsidRPr="00CA2915" w14:paraId="609D607C" w14:textId="77777777" w:rsidTr="00EF62D6">
        <w:trPr>
          <w:trHeight w:val="181"/>
        </w:trPr>
        <w:tc>
          <w:tcPr>
            <w:tcW w:w="810" w:type="pct"/>
          </w:tcPr>
          <w:p w14:paraId="19E3EBF3" w14:textId="108B5C3A" w:rsidR="00EF62D6" w:rsidRDefault="00EF62D6" w:rsidP="00EF62D6">
            <w:pPr>
              <w:spacing w:after="0"/>
            </w:pPr>
            <w:r>
              <w:t>Education</w:t>
            </w:r>
          </w:p>
        </w:tc>
        <w:tc>
          <w:tcPr>
            <w:tcW w:w="2567" w:type="pct"/>
            <w:shd w:val="clear" w:color="auto" w:fill="auto"/>
          </w:tcPr>
          <w:p w14:paraId="57DF94A8" w14:textId="77777777" w:rsidR="00EF62D6" w:rsidRPr="00CA2915" w:rsidRDefault="00EF62D6" w:rsidP="001A5D4A">
            <w:pPr>
              <w:pStyle w:val="NotesTable-ItemPlain"/>
            </w:pPr>
          </w:p>
        </w:tc>
        <w:tc>
          <w:tcPr>
            <w:tcW w:w="812" w:type="pct"/>
            <w:gridSpan w:val="2"/>
            <w:shd w:val="clear" w:color="auto" w:fill="auto"/>
          </w:tcPr>
          <w:p w14:paraId="3756D789" w14:textId="77777777" w:rsidR="00EF62D6" w:rsidRPr="00CA2915" w:rsidRDefault="00EF62D6" w:rsidP="001A5D4A">
            <w:pPr>
              <w:pStyle w:val="NotesTable-HeadPlain"/>
            </w:pPr>
          </w:p>
        </w:tc>
        <w:tc>
          <w:tcPr>
            <w:tcW w:w="811" w:type="pct"/>
            <w:gridSpan w:val="2"/>
            <w:shd w:val="clear" w:color="auto" w:fill="auto"/>
          </w:tcPr>
          <w:p w14:paraId="199768D5" w14:textId="77777777" w:rsidR="00EF62D6" w:rsidRPr="00CA2915" w:rsidRDefault="00EF62D6" w:rsidP="001A5D4A">
            <w:pPr>
              <w:pStyle w:val="NotesTable-HeadPlain"/>
            </w:pPr>
          </w:p>
        </w:tc>
      </w:tr>
      <w:tr w:rsidR="00B0227F" w:rsidRPr="00CA2915" w14:paraId="038A33AA" w14:textId="77777777" w:rsidTr="00EF62D6">
        <w:trPr>
          <w:trHeight w:val="181"/>
        </w:trPr>
        <w:tc>
          <w:tcPr>
            <w:tcW w:w="810" w:type="pct"/>
          </w:tcPr>
          <w:p w14:paraId="038A33A6" w14:textId="4D5DD51E" w:rsidR="00B0227F" w:rsidRPr="00CA2915" w:rsidRDefault="00B0227F" w:rsidP="001A5D4A">
            <w:pPr>
              <w:pStyle w:val="Note-Refs"/>
            </w:pPr>
          </w:p>
        </w:tc>
        <w:tc>
          <w:tcPr>
            <w:tcW w:w="2567" w:type="pct"/>
            <w:shd w:val="clear" w:color="auto" w:fill="CDCDCD"/>
          </w:tcPr>
          <w:p w14:paraId="038A33A7" w14:textId="77777777" w:rsidR="00B0227F" w:rsidRPr="00CA2915" w:rsidRDefault="00B0227F" w:rsidP="001A5D4A">
            <w:pPr>
              <w:pStyle w:val="NotesTable-ItemPlain"/>
            </w:pPr>
          </w:p>
        </w:tc>
        <w:tc>
          <w:tcPr>
            <w:tcW w:w="812" w:type="pct"/>
            <w:gridSpan w:val="2"/>
            <w:shd w:val="clear" w:color="auto" w:fill="CDCDCD"/>
          </w:tcPr>
          <w:p w14:paraId="038A33A8" w14:textId="56AB24C1" w:rsidR="00B0227F" w:rsidRPr="00CA2915" w:rsidRDefault="00B0227F" w:rsidP="001A5D4A">
            <w:pPr>
              <w:pStyle w:val="NotesTable-HeadPlain"/>
            </w:pPr>
            <w:r w:rsidRPr="00CA2915">
              <w:t>Consolidated</w:t>
            </w:r>
          </w:p>
        </w:tc>
        <w:tc>
          <w:tcPr>
            <w:tcW w:w="811" w:type="pct"/>
            <w:gridSpan w:val="2"/>
            <w:shd w:val="clear" w:color="auto" w:fill="CDCDCD"/>
          </w:tcPr>
          <w:p w14:paraId="038A33A9" w14:textId="036FA971" w:rsidR="00B0227F" w:rsidRPr="00CA2915" w:rsidRDefault="00B0227F" w:rsidP="001A5D4A">
            <w:pPr>
              <w:pStyle w:val="NotesTable-HeadPlain"/>
            </w:pPr>
            <w:r w:rsidRPr="00CA2915">
              <w:t>Parent entity</w:t>
            </w:r>
          </w:p>
        </w:tc>
      </w:tr>
      <w:tr w:rsidR="00B0227F" w:rsidRPr="00CA2915" w14:paraId="038A33B1" w14:textId="77777777" w:rsidTr="00EF62D6">
        <w:trPr>
          <w:trHeight w:val="181"/>
        </w:trPr>
        <w:tc>
          <w:tcPr>
            <w:tcW w:w="810" w:type="pct"/>
          </w:tcPr>
          <w:p w14:paraId="038A33AB" w14:textId="77777777" w:rsidR="00B0227F" w:rsidRPr="00CA2915" w:rsidRDefault="00B0227F" w:rsidP="001A5D4A">
            <w:pPr>
              <w:pStyle w:val="Note-Refs"/>
            </w:pPr>
          </w:p>
        </w:tc>
        <w:tc>
          <w:tcPr>
            <w:tcW w:w="2567" w:type="pct"/>
            <w:shd w:val="clear" w:color="auto" w:fill="CDCDCD"/>
          </w:tcPr>
          <w:p w14:paraId="038A33AC" w14:textId="77777777" w:rsidR="00B0227F" w:rsidRPr="00CA2915" w:rsidRDefault="00B0227F" w:rsidP="001A5D4A">
            <w:pPr>
              <w:pStyle w:val="NotesTable-ItemPlain"/>
            </w:pPr>
          </w:p>
        </w:tc>
        <w:tc>
          <w:tcPr>
            <w:tcW w:w="406" w:type="pct"/>
            <w:shd w:val="clear" w:color="auto" w:fill="CDCDCD"/>
          </w:tcPr>
          <w:p w14:paraId="038A33AD" w14:textId="204DA255" w:rsidR="00B0227F" w:rsidRPr="00CA2915" w:rsidRDefault="006864EC" w:rsidP="001A5D4A">
            <w:pPr>
              <w:pStyle w:val="NotesTable-HeadBold"/>
            </w:pPr>
            <w:r>
              <w:t>2014</w:t>
            </w:r>
          </w:p>
        </w:tc>
        <w:tc>
          <w:tcPr>
            <w:tcW w:w="406" w:type="pct"/>
            <w:shd w:val="clear" w:color="auto" w:fill="CDCDCD"/>
          </w:tcPr>
          <w:p w14:paraId="038A33AE" w14:textId="5D5965B4" w:rsidR="00B0227F" w:rsidRPr="00CA2915" w:rsidRDefault="006864EC" w:rsidP="001A5D4A">
            <w:pPr>
              <w:pStyle w:val="NotesTable-HeadPlain"/>
            </w:pPr>
            <w:r>
              <w:t>2013</w:t>
            </w:r>
          </w:p>
        </w:tc>
        <w:tc>
          <w:tcPr>
            <w:tcW w:w="406" w:type="pct"/>
            <w:shd w:val="clear" w:color="auto" w:fill="CDCDCD"/>
          </w:tcPr>
          <w:p w14:paraId="038A33AF" w14:textId="499F8787" w:rsidR="00B0227F" w:rsidRPr="00CA2915" w:rsidRDefault="006864EC" w:rsidP="001A5D4A">
            <w:pPr>
              <w:pStyle w:val="NotesTable-HeadBold"/>
            </w:pPr>
            <w:r>
              <w:t>2014</w:t>
            </w:r>
          </w:p>
        </w:tc>
        <w:tc>
          <w:tcPr>
            <w:tcW w:w="405" w:type="pct"/>
            <w:shd w:val="clear" w:color="auto" w:fill="CDCDCD"/>
          </w:tcPr>
          <w:p w14:paraId="038A33B0" w14:textId="081F176B" w:rsidR="00B0227F" w:rsidRPr="00CA2915" w:rsidRDefault="006864EC" w:rsidP="001A5D4A">
            <w:pPr>
              <w:pStyle w:val="NotesTable-HeadPlain"/>
            </w:pPr>
            <w:r>
              <w:t>2013</w:t>
            </w:r>
          </w:p>
        </w:tc>
      </w:tr>
      <w:tr w:rsidR="00B0227F" w:rsidRPr="00CA2915" w14:paraId="038A33B6" w14:textId="77777777" w:rsidTr="00EF62D6">
        <w:trPr>
          <w:trHeight w:val="181"/>
        </w:trPr>
        <w:tc>
          <w:tcPr>
            <w:tcW w:w="810" w:type="pct"/>
          </w:tcPr>
          <w:p w14:paraId="038A33B2" w14:textId="77777777" w:rsidR="00B0227F" w:rsidRPr="00CA2915" w:rsidRDefault="00B0227F" w:rsidP="001A5D4A">
            <w:pPr>
              <w:pStyle w:val="Note-Refs"/>
            </w:pPr>
          </w:p>
        </w:tc>
        <w:tc>
          <w:tcPr>
            <w:tcW w:w="2567" w:type="pct"/>
            <w:shd w:val="clear" w:color="auto" w:fill="CDCDCD"/>
          </w:tcPr>
          <w:p w14:paraId="038A33B3" w14:textId="77777777" w:rsidR="00B0227F" w:rsidRPr="00CA2915" w:rsidRDefault="00B0227F" w:rsidP="001A5D4A">
            <w:pPr>
              <w:pStyle w:val="NotesTable-ItemPlain"/>
            </w:pPr>
          </w:p>
        </w:tc>
        <w:tc>
          <w:tcPr>
            <w:tcW w:w="812" w:type="pct"/>
            <w:gridSpan w:val="2"/>
            <w:shd w:val="clear" w:color="auto" w:fill="CDCDCD"/>
          </w:tcPr>
          <w:p w14:paraId="038A33B4" w14:textId="77777777" w:rsidR="00B0227F" w:rsidRPr="00CA2915" w:rsidRDefault="00B0227F" w:rsidP="001A5D4A">
            <w:pPr>
              <w:pStyle w:val="NotesTable-HeadPlain"/>
            </w:pPr>
            <w:r w:rsidRPr="00CA2915">
              <w:t>Number</w:t>
            </w:r>
          </w:p>
        </w:tc>
        <w:tc>
          <w:tcPr>
            <w:tcW w:w="811" w:type="pct"/>
            <w:gridSpan w:val="2"/>
            <w:shd w:val="clear" w:color="auto" w:fill="CDCDCD"/>
          </w:tcPr>
          <w:p w14:paraId="038A33B5" w14:textId="77777777" w:rsidR="00B0227F" w:rsidRPr="00CA2915" w:rsidRDefault="00B0227F" w:rsidP="001A5D4A">
            <w:pPr>
              <w:pStyle w:val="NotesTable-HeadPlain"/>
            </w:pPr>
            <w:r w:rsidRPr="00CA2915">
              <w:t>Number</w:t>
            </w:r>
          </w:p>
        </w:tc>
      </w:tr>
      <w:tr w:rsidR="00B0227F" w:rsidRPr="00CA2915" w14:paraId="038A33BD" w14:textId="77777777" w:rsidTr="00EF62D6">
        <w:trPr>
          <w:trHeight w:val="181"/>
        </w:trPr>
        <w:tc>
          <w:tcPr>
            <w:tcW w:w="810" w:type="pct"/>
          </w:tcPr>
          <w:p w14:paraId="038A33B7" w14:textId="77777777" w:rsidR="00B0227F" w:rsidRPr="00CA2915" w:rsidRDefault="00B0227F" w:rsidP="001A5D4A">
            <w:pPr>
              <w:pStyle w:val="Note-Refs"/>
            </w:pPr>
          </w:p>
        </w:tc>
        <w:tc>
          <w:tcPr>
            <w:tcW w:w="2567" w:type="pct"/>
            <w:shd w:val="clear" w:color="auto" w:fill="CDCDCD"/>
          </w:tcPr>
          <w:p w14:paraId="038A33B8" w14:textId="77777777" w:rsidR="00B0227F" w:rsidRPr="00CA2915" w:rsidRDefault="00B0227F" w:rsidP="001A5D4A">
            <w:pPr>
              <w:pStyle w:val="NotesTable-ItemBold"/>
            </w:pPr>
            <w:r w:rsidRPr="00CA2915">
              <w:t>Remuneration of Board Members</w:t>
            </w:r>
          </w:p>
        </w:tc>
        <w:tc>
          <w:tcPr>
            <w:tcW w:w="406" w:type="pct"/>
            <w:shd w:val="clear" w:color="auto" w:fill="CDCDCD"/>
          </w:tcPr>
          <w:p w14:paraId="038A33B9" w14:textId="77777777" w:rsidR="00B0227F" w:rsidRPr="00CA2915" w:rsidRDefault="00B0227F" w:rsidP="001A5D4A">
            <w:pPr>
              <w:pStyle w:val="NotesTable-CellBold"/>
            </w:pPr>
          </w:p>
        </w:tc>
        <w:tc>
          <w:tcPr>
            <w:tcW w:w="406" w:type="pct"/>
            <w:shd w:val="clear" w:color="auto" w:fill="CDCDCD"/>
          </w:tcPr>
          <w:p w14:paraId="038A33BA" w14:textId="77777777" w:rsidR="00B0227F" w:rsidRPr="00CA2915" w:rsidRDefault="00B0227F" w:rsidP="001A5D4A">
            <w:pPr>
              <w:pStyle w:val="NotesTable-CellPlain"/>
            </w:pPr>
          </w:p>
        </w:tc>
        <w:tc>
          <w:tcPr>
            <w:tcW w:w="406" w:type="pct"/>
            <w:shd w:val="clear" w:color="auto" w:fill="CDCDCD"/>
          </w:tcPr>
          <w:p w14:paraId="038A33BB" w14:textId="77777777" w:rsidR="00B0227F" w:rsidRPr="00CA2915" w:rsidRDefault="00B0227F" w:rsidP="001A5D4A">
            <w:pPr>
              <w:pStyle w:val="NotesTable-CellBold"/>
            </w:pPr>
          </w:p>
        </w:tc>
        <w:tc>
          <w:tcPr>
            <w:tcW w:w="405" w:type="pct"/>
            <w:shd w:val="clear" w:color="auto" w:fill="CDCDCD"/>
          </w:tcPr>
          <w:p w14:paraId="038A33BC" w14:textId="77777777" w:rsidR="00B0227F" w:rsidRPr="00CA2915" w:rsidRDefault="00B0227F" w:rsidP="001A5D4A">
            <w:pPr>
              <w:pStyle w:val="NotesTable-CellPlain"/>
            </w:pPr>
          </w:p>
        </w:tc>
      </w:tr>
      <w:tr w:rsidR="00B0227F" w:rsidRPr="00CA2915" w14:paraId="038A33C4" w14:textId="77777777" w:rsidTr="00EF62D6">
        <w:trPr>
          <w:trHeight w:val="181"/>
        </w:trPr>
        <w:tc>
          <w:tcPr>
            <w:tcW w:w="810" w:type="pct"/>
          </w:tcPr>
          <w:p w14:paraId="038A33BE" w14:textId="77777777" w:rsidR="00B0227F" w:rsidRPr="00CA2915" w:rsidRDefault="00B0227F" w:rsidP="001A5D4A">
            <w:pPr>
              <w:pStyle w:val="Note-Refs"/>
            </w:pPr>
          </w:p>
        </w:tc>
        <w:tc>
          <w:tcPr>
            <w:tcW w:w="2567" w:type="pct"/>
            <w:shd w:val="clear" w:color="auto" w:fill="CDCDCD"/>
          </w:tcPr>
          <w:p w14:paraId="038A33BF" w14:textId="77777777" w:rsidR="00B0227F" w:rsidRPr="00CA2915" w:rsidRDefault="00B0227F" w:rsidP="001A5D4A">
            <w:pPr>
              <w:pStyle w:val="NotesTable-ItemPlain"/>
              <w:rPr>
                <w:b/>
              </w:rPr>
            </w:pPr>
            <w:r w:rsidRPr="00CA2915">
              <w:t>Nil to $9,999</w:t>
            </w:r>
          </w:p>
        </w:tc>
        <w:tc>
          <w:tcPr>
            <w:tcW w:w="406" w:type="pct"/>
            <w:shd w:val="clear" w:color="auto" w:fill="CDCDCD"/>
            <w:vAlign w:val="bottom"/>
          </w:tcPr>
          <w:p w14:paraId="038A33C0" w14:textId="77777777" w:rsidR="00B0227F" w:rsidRPr="00CA2915" w:rsidRDefault="00B0227F" w:rsidP="001A5D4A">
            <w:pPr>
              <w:pStyle w:val="NotesTable-CellBold"/>
            </w:pPr>
            <w:r w:rsidRPr="00CA2915">
              <w:t>–</w:t>
            </w:r>
          </w:p>
        </w:tc>
        <w:tc>
          <w:tcPr>
            <w:tcW w:w="406" w:type="pct"/>
            <w:shd w:val="clear" w:color="auto" w:fill="CDCDCD"/>
            <w:vAlign w:val="bottom"/>
          </w:tcPr>
          <w:p w14:paraId="038A33C1" w14:textId="77777777" w:rsidR="00B0227F" w:rsidRPr="00CA2915" w:rsidRDefault="00B0227F" w:rsidP="001A5D4A">
            <w:pPr>
              <w:pStyle w:val="NotesTable-CellPlain"/>
            </w:pPr>
            <w:r w:rsidRPr="00CA2915">
              <w:t>–</w:t>
            </w:r>
          </w:p>
        </w:tc>
        <w:tc>
          <w:tcPr>
            <w:tcW w:w="406" w:type="pct"/>
            <w:shd w:val="clear" w:color="auto" w:fill="CDCDCD"/>
            <w:vAlign w:val="bottom"/>
          </w:tcPr>
          <w:p w14:paraId="038A33C2" w14:textId="77777777" w:rsidR="00B0227F" w:rsidRPr="00CA2915" w:rsidRDefault="00B0227F" w:rsidP="001A5D4A">
            <w:pPr>
              <w:pStyle w:val="NotesTable-CellBold"/>
            </w:pPr>
            <w:r w:rsidRPr="00CA2915">
              <w:t>–</w:t>
            </w:r>
          </w:p>
        </w:tc>
        <w:tc>
          <w:tcPr>
            <w:tcW w:w="405" w:type="pct"/>
            <w:shd w:val="clear" w:color="auto" w:fill="CDCDCD"/>
            <w:vAlign w:val="bottom"/>
          </w:tcPr>
          <w:p w14:paraId="038A33C3" w14:textId="77777777" w:rsidR="00B0227F" w:rsidRPr="00CA2915" w:rsidRDefault="00B0227F" w:rsidP="001A5D4A">
            <w:pPr>
              <w:pStyle w:val="NotesTable-CellPlain"/>
            </w:pPr>
            <w:r w:rsidRPr="00CA2915">
              <w:t>–</w:t>
            </w:r>
          </w:p>
        </w:tc>
      </w:tr>
      <w:tr w:rsidR="00B0227F" w:rsidRPr="00CA2915" w14:paraId="038A33CB" w14:textId="77777777" w:rsidTr="00EF62D6">
        <w:trPr>
          <w:trHeight w:val="181"/>
        </w:trPr>
        <w:tc>
          <w:tcPr>
            <w:tcW w:w="810" w:type="pct"/>
          </w:tcPr>
          <w:p w14:paraId="038A33C5" w14:textId="77777777" w:rsidR="00B0227F" w:rsidRPr="00CA2915" w:rsidRDefault="00B0227F" w:rsidP="001A5D4A">
            <w:pPr>
              <w:pStyle w:val="Note-Refs"/>
            </w:pPr>
          </w:p>
        </w:tc>
        <w:tc>
          <w:tcPr>
            <w:tcW w:w="2567" w:type="pct"/>
            <w:shd w:val="clear" w:color="auto" w:fill="CDCDCD"/>
          </w:tcPr>
          <w:p w14:paraId="038A33C6" w14:textId="77777777" w:rsidR="00B0227F" w:rsidRPr="00CA2915" w:rsidRDefault="00B0227F" w:rsidP="001A5D4A">
            <w:pPr>
              <w:pStyle w:val="NotesTable-ItemPlain"/>
              <w:rPr>
                <w:b/>
              </w:rPr>
            </w:pPr>
            <w:r w:rsidRPr="00CA2915">
              <w:t>$10,000 to $19,999</w:t>
            </w:r>
          </w:p>
        </w:tc>
        <w:tc>
          <w:tcPr>
            <w:tcW w:w="406" w:type="pct"/>
            <w:shd w:val="clear" w:color="auto" w:fill="CDCDCD"/>
            <w:vAlign w:val="bottom"/>
          </w:tcPr>
          <w:p w14:paraId="038A33C7" w14:textId="77777777" w:rsidR="00B0227F" w:rsidRPr="00CA2915" w:rsidRDefault="00B0227F" w:rsidP="001A5D4A">
            <w:pPr>
              <w:pStyle w:val="NotesTable-CellBold"/>
            </w:pPr>
            <w:r w:rsidRPr="00CA2915">
              <w:t>–</w:t>
            </w:r>
          </w:p>
        </w:tc>
        <w:tc>
          <w:tcPr>
            <w:tcW w:w="406" w:type="pct"/>
            <w:shd w:val="clear" w:color="auto" w:fill="CDCDCD"/>
            <w:vAlign w:val="bottom"/>
          </w:tcPr>
          <w:p w14:paraId="038A33C8" w14:textId="77777777" w:rsidR="00B0227F" w:rsidRPr="00CA2915" w:rsidRDefault="00B0227F" w:rsidP="001A5D4A">
            <w:pPr>
              <w:pStyle w:val="NotesTable-CellPlain"/>
            </w:pPr>
            <w:r w:rsidRPr="00CA2915">
              <w:t>–</w:t>
            </w:r>
          </w:p>
        </w:tc>
        <w:tc>
          <w:tcPr>
            <w:tcW w:w="406" w:type="pct"/>
            <w:shd w:val="clear" w:color="auto" w:fill="CDCDCD"/>
            <w:vAlign w:val="bottom"/>
          </w:tcPr>
          <w:p w14:paraId="038A33C9" w14:textId="77777777" w:rsidR="00B0227F" w:rsidRPr="00CA2915" w:rsidRDefault="00B0227F" w:rsidP="001A5D4A">
            <w:pPr>
              <w:pStyle w:val="NotesTable-CellBold"/>
            </w:pPr>
            <w:r w:rsidRPr="00CA2915">
              <w:t>–</w:t>
            </w:r>
          </w:p>
        </w:tc>
        <w:tc>
          <w:tcPr>
            <w:tcW w:w="405" w:type="pct"/>
            <w:shd w:val="clear" w:color="auto" w:fill="CDCDCD"/>
            <w:vAlign w:val="bottom"/>
          </w:tcPr>
          <w:p w14:paraId="038A33CA" w14:textId="77777777" w:rsidR="00B0227F" w:rsidRPr="00CA2915" w:rsidRDefault="00B0227F" w:rsidP="001A5D4A">
            <w:pPr>
              <w:pStyle w:val="NotesTable-CellPlain"/>
            </w:pPr>
            <w:r w:rsidRPr="00CA2915">
              <w:t>–</w:t>
            </w:r>
          </w:p>
        </w:tc>
      </w:tr>
      <w:tr w:rsidR="00B0227F" w:rsidRPr="00CA2915" w14:paraId="038A33D2" w14:textId="77777777" w:rsidTr="00EF62D6">
        <w:trPr>
          <w:trHeight w:val="181"/>
        </w:trPr>
        <w:tc>
          <w:tcPr>
            <w:tcW w:w="810" w:type="pct"/>
          </w:tcPr>
          <w:p w14:paraId="038A33CC" w14:textId="77777777" w:rsidR="00B0227F" w:rsidRPr="00CA2915" w:rsidRDefault="00B0227F" w:rsidP="001A5D4A">
            <w:pPr>
              <w:pStyle w:val="Note-Refs"/>
            </w:pPr>
          </w:p>
        </w:tc>
        <w:tc>
          <w:tcPr>
            <w:tcW w:w="2567" w:type="pct"/>
            <w:shd w:val="clear" w:color="auto" w:fill="CDCDCD"/>
          </w:tcPr>
          <w:p w14:paraId="038A33CD" w14:textId="77777777" w:rsidR="00B0227F" w:rsidRPr="00CA2915" w:rsidRDefault="00B0227F" w:rsidP="001A5D4A">
            <w:pPr>
              <w:pStyle w:val="NotesTable-ItemPlain"/>
              <w:rPr>
                <w:b/>
              </w:rPr>
            </w:pPr>
            <w:r w:rsidRPr="00CA2915">
              <w:t>[Repeat successive bands as required]</w:t>
            </w:r>
          </w:p>
        </w:tc>
        <w:tc>
          <w:tcPr>
            <w:tcW w:w="406" w:type="pct"/>
            <w:shd w:val="clear" w:color="auto" w:fill="CDCDCD"/>
            <w:vAlign w:val="bottom"/>
          </w:tcPr>
          <w:p w14:paraId="038A33CE" w14:textId="77777777" w:rsidR="00B0227F" w:rsidRPr="00CA2915" w:rsidRDefault="00B0227F" w:rsidP="001A5D4A">
            <w:pPr>
              <w:pStyle w:val="NotesTable-CellBold"/>
            </w:pPr>
            <w:r w:rsidRPr="00CA2915">
              <w:t>–</w:t>
            </w:r>
          </w:p>
        </w:tc>
        <w:tc>
          <w:tcPr>
            <w:tcW w:w="406" w:type="pct"/>
            <w:shd w:val="clear" w:color="auto" w:fill="CDCDCD"/>
            <w:vAlign w:val="bottom"/>
          </w:tcPr>
          <w:p w14:paraId="038A33CF" w14:textId="77777777" w:rsidR="00B0227F" w:rsidRPr="00CA2915" w:rsidRDefault="00B0227F" w:rsidP="001A5D4A">
            <w:pPr>
              <w:pStyle w:val="NotesTable-CellPlain"/>
            </w:pPr>
            <w:r w:rsidRPr="00CA2915">
              <w:t>–</w:t>
            </w:r>
          </w:p>
        </w:tc>
        <w:tc>
          <w:tcPr>
            <w:tcW w:w="406" w:type="pct"/>
            <w:shd w:val="clear" w:color="auto" w:fill="CDCDCD"/>
            <w:vAlign w:val="bottom"/>
          </w:tcPr>
          <w:p w14:paraId="038A33D0" w14:textId="77777777" w:rsidR="00B0227F" w:rsidRPr="00CA2915" w:rsidRDefault="00B0227F" w:rsidP="001A5D4A">
            <w:pPr>
              <w:pStyle w:val="NotesTable-CellBold"/>
            </w:pPr>
            <w:r w:rsidRPr="00CA2915">
              <w:t>–</w:t>
            </w:r>
          </w:p>
        </w:tc>
        <w:tc>
          <w:tcPr>
            <w:tcW w:w="405" w:type="pct"/>
            <w:shd w:val="clear" w:color="auto" w:fill="CDCDCD"/>
            <w:vAlign w:val="bottom"/>
          </w:tcPr>
          <w:p w14:paraId="038A33D1" w14:textId="77777777" w:rsidR="00B0227F" w:rsidRPr="00CA2915" w:rsidRDefault="00B0227F" w:rsidP="001A5D4A">
            <w:pPr>
              <w:pStyle w:val="NotesTable-CellPlain"/>
            </w:pPr>
            <w:r w:rsidRPr="00CA2915">
              <w:t>–</w:t>
            </w:r>
          </w:p>
        </w:tc>
      </w:tr>
      <w:tr w:rsidR="00B0227F" w:rsidRPr="00CA2915" w14:paraId="038A33D9" w14:textId="77777777" w:rsidTr="00EF62D6">
        <w:trPr>
          <w:trHeight w:val="181"/>
        </w:trPr>
        <w:tc>
          <w:tcPr>
            <w:tcW w:w="810" w:type="pct"/>
          </w:tcPr>
          <w:p w14:paraId="038A33D3" w14:textId="77777777" w:rsidR="00B0227F" w:rsidRPr="00CA2915" w:rsidRDefault="00B0227F" w:rsidP="001A5D4A">
            <w:pPr>
              <w:pStyle w:val="Note-Refs"/>
            </w:pPr>
          </w:p>
        </w:tc>
        <w:tc>
          <w:tcPr>
            <w:tcW w:w="2567" w:type="pct"/>
            <w:shd w:val="clear" w:color="auto" w:fill="CDCDCD"/>
          </w:tcPr>
          <w:p w14:paraId="038A33D4" w14:textId="77777777" w:rsidR="00B0227F" w:rsidRPr="00CA2915" w:rsidRDefault="00B0227F" w:rsidP="001A5D4A">
            <w:pPr>
              <w:pStyle w:val="NotesTable-ItemPlain"/>
            </w:pPr>
          </w:p>
        </w:tc>
        <w:tc>
          <w:tcPr>
            <w:tcW w:w="406" w:type="pct"/>
            <w:shd w:val="clear" w:color="auto" w:fill="CDCDCD"/>
          </w:tcPr>
          <w:p w14:paraId="038A33D5" w14:textId="77777777" w:rsidR="00B0227F" w:rsidRPr="00CA2915" w:rsidRDefault="00B0227F" w:rsidP="001A5D4A">
            <w:pPr>
              <w:pStyle w:val="NotesTable-CellBold"/>
            </w:pPr>
          </w:p>
        </w:tc>
        <w:tc>
          <w:tcPr>
            <w:tcW w:w="406" w:type="pct"/>
            <w:shd w:val="clear" w:color="auto" w:fill="CDCDCD"/>
          </w:tcPr>
          <w:p w14:paraId="038A33D6" w14:textId="77777777" w:rsidR="00B0227F" w:rsidRPr="00CA2915" w:rsidRDefault="00B0227F" w:rsidP="001A5D4A">
            <w:pPr>
              <w:pStyle w:val="NotesTable-CellPlain"/>
            </w:pPr>
          </w:p>
        </w:tc>
        <w:tc>
          <w:tcPr>
            <w:tcW w:w="406" w:type="pct"/>
            <w:shd w:val="clear" w:color="auto" w:fill="CDCDCD"/>
          </w:tcPr>
          <w:p w14:paraId="038A33D7" w14:textId="77777777" w:rsidR="00B0227F" w:rsidRPr="00CA2915" w:rsidRDefault="00B0227F" w:rsidP="001A5D4A">
            <w:pPr>
              <w:pStyle w:val="NotesTable-CellBold"/>
            </w:pPr>
          </w:p>
        </w:tc>
        <w:tc>
          <w:tcPr>
            <w:tcW w:w="405" w:type="pct"/>
            <w:shd w:val="clear" w:color="auto" w:fill="CDCDCD"/>
          </w:tcPr>
          <w:p w14:paraId="038A33D8" w14:textId="77777777" w:rsidR="00B0227F" w:rsidRPr="00CA2915" w:rsidRDefault="00B0227F" w:rsidP="001A5D4A">
            <w:pPr>
              <w:pStyle w:val="NotesTable-CellPlain"/>
            </w:pPr>
          </w:p>
        </w:tc>
      </w:tr>
      <w:tr w:rsidR="00B0227F" w:rsidRPr="00CA2915" w14:paraId="038A33DE" w14:textId="77777777" w:rsidTr="00EF62D6">
        <w:trPr>
          <w:trHeight w:val="181"/>
        </w:trPr>
        <w:tc>
          <w:tcPr>
            <w:tcW w:w="810" w:type="pct"/>
          </w:tcPr>
          <w:p w14:paraId="038A33DA" w14:textId="77777777" w:rsidR="00B0227F" w:rsidRPr="00CA2915" w:rsidRDefault="00B90CFC" w:rsidP="001A5D4A">
            <w:pPr>
              <w:pStyle w:val="Note-Refs"/>
              <w:rPr>
                <w:b/>
              </w:rPr>
            </w:pPr>
            <w:r>
              <w:t>EDUCATION</w:t>
            </w:r>
          </w:p>
        </w:tc>
        <w:tc>
          <w:tcPr>
            <w:tcW w:w="2567" w:type="pct"/>
            <w:shd w:val="clear" w:color="auto" w:fill="CDCDCD"/>
          </w:tcPr>
          <w:p w14:paraId="038A33DB" w14:textId="77777777" w:rsidR="00B0227F" w:rsidRPr="00CA2915" w:rsidRDefault="00B0227F" w:rsidP="001A5D4A">
            <w:pPr>
              <w:pStyle w:val="NotesTable-ItemPlain"/>
            </w:pPr>
          </w:p>
        </w:tc>
        <w:tc>
          <w:tcPr>
            <w:tcW w:w="812" w:type="pct"/>
            <w:gridSpan w:val="2"/>
            <w:shd w:val="clear" w:color="auto" w:fill="CDCDCD"/>
          </w:tcPr>
          <w:p w14:paraId="038A33DC" w14:textId="77777777" w:rsidR="00B0227F" w:rsidRPr="00CA2915" w:rsidRDefault="00B0227F" w:rsidP="001A5D4A">
            <w:pPr>
              <w:pStyle w:val="NotesTable-HeadPlain"/>
            </w:pPr>
            <w:r w:rsidRPr="00CA2915">
              <w:t>Consolidated</w:t>
            </w:r>
          </w:p>
        </w:tc>
        <w:tc>
          <w:tcPr>
            <w:tcW w:w="811" w:type="pct"/>
            <w:gridSpan w:val="2"/>
            <w:shd w:val="clear" w:color="auto" w:fill="CDCDCD"/>
          </w:tcPr>
          <w:p w14:paraId="038A33DD" w14:textId="77777777" w:rsidR="00B0227F" w:rsidRPr="00CA2915" w:rsidRDefault="00B0227F" w:rsidP="001A5D4A">
            <w:pPr>
              <w:pStyle w:val="NotesTable-HeadPlain"/>
            </w:pPr>
            <w:r w:rsidRPr="00CA2915">
              <w:t>Parent entity</w:t>
            </w:r>
          </w:p>
        </w:tc>
      </w:tr>
      <w:tr w:rsidR="00B0227F" w:rsidRPr="00CA2915" w14:paraId="038A33E5" w14:textId="77777777" w:rsidTr="00EF62D6">
        <w:trPr>
          <w:trHeight w:val="181"/>
        </w:trPr>
        <w:tc>
          <w:tcPr>
            <w:tcW w:w="810" w:type="pct"/>
          </w:tcPr>
          <w:p w14:paraId="038A33DF" w14:textId="77777777" w:rsidR="00B0227F" w:rsidRPr="00CA2915" w:rsidRDefault="00B0227F" w:rsidP="001A5D4A">
            <w:pPr>
              <w:pStyle w:val="Note-Refs"/>
            </w:pPr>
          </w:p>
        </w:tc>
        <w:tc>
          <w:tcPr>
            <w:tcW w:w="2567" w:type="pct"/>
            <w:shd w:val="clear" w:color="auto" w:fill="CDCDCD"/>
          </w:tcPr>
          <w:p w14:paraId="038A33E0" w14:textId="77777777" w:rsidR="00B0227F" w:rsidRPr="00CA2915" w:rsidRDefault="00B0227F" w:rsidP="001A5D4A">
            <w:pPr>
              <w:pStyle w:val="NotesTable-ItemPlain"/>
            </w:pPr>
          </w:p>
        </w:tc>
        <w:tc>
          <w:tcPr>
            <w:tcW w:w="406" w:type="pct"/>
            <w:shd w:val="clear" w:color="auto" w:fill="CDCDCD"/>
          </w:tcPr>
          <w:p w14:paraId="038A33E1" w14:textId="2BD22164" w:rsidR="00B0227F" w:rsidRPr="00CA2915" w:rsidRDefault="006864EC" w:rsidP="001A5D4A">
            <w:pPr>
              <w:pStyle w:val="NotesTable-HeadBold"/>
            </w:pPr>
            <w:r>
              <w:t>2014</w:t>
            </w:r>
          </w:p>
        </w:tc>
        <w:tc>
          <w:tcPr>
            <w:tcW w:w="406" w:type="pct"/>
            <w:shd w:val="clear" w:color="auto" w:fill="CDCDCD"/>
          </w:tcPr>
          <w:p w14:paraId="038A33E2" w14:textId="3757B1AD" w:rsidR="00B0227F" w:rsidRPr="00CA2915" w:rsidRDefault="006864EC" w:rsidP="001A5D4A">
            <w:pPr>
              <w:pStyle w:val="NotesTable-HeadPlain"/>
            </w:pPr>
            <w:r>
              <w:t>2013</w:t>
            </w:r>
          </w:p>
        </w:tc>
        <w:tc>
          <w:tcPr>
            <w:tcW w:w="406" w:type="pct"/>
            <w:shd w:val="clear" w:color="auto" w:fill="CDCDCD"/>
          </w:tcPr>
          <w:p w14:paraId="038A33E3" w14:textId="3A48041A" w:rsidR="00B0227F" w:rsidRPr="00CA2915" w:rsidRDefault="006864EC" w:rsidP="001A5D4A">
            <w:pPr>
              <w:pStyle w:val="NotesTable-HeadBold"/>
            </w:pPr>
            <w:r>
              <w:t>2014</w:t>
            </w:r>
          </w:p>
        </w:tc>
        <w:tc>
          <w:tcPr>
            <w:tcW w:w="405" w:type="pct"/>
            <w:shd w:val="clear" w:color="auto" w:fill="CDCDCD"/>
          </w:tcPr>
          <w:p w14:paraId="038A33E4" w14:textId="77D23382" w:rsidR="00B0227F" w:rsidRPr="00CA2915" w:rsidRDefault="006864EC" w:rsidP="001A5D4A">
            <w:pPr>
              <w:pStyle w:val="NotesTable-HeadPlain"/>
            </w:pPr>
            <w:r>
              <w:t>2013</w:t>
            </w:r>
          </w:p>
        </w:tc>
      </w:tr>
      <w:tr w:rsidR="00B0227F" w:rsidRPr="00CA2915" w14:paraId="038A33EA" w14:textId="77777777" w:rsidTr="00EF62D6">
        <w:trPr>
          <w:trHeight w:val="181"/>
        </w:trPr>
        <w:tc>
          <w:tcPr>
            <w:tcW w:w="810" w:type="pct"/>
          </w:tcPr>
          <w:p w14:paraId="038A33E6" w14:textId="77777777" w:rsidR="00B0227F" w:rsidRPr="00CA2915" w:rsidRDefault="00B0227F" w:rsidP="001A5D4A">
            <w:pPr>
              <w:pStyle w:val="Note-Refs"/>
            </w:pPr>
          </w:p>
        </w:tc>
        <w:tc>
          <w:tcPr>
            <w:tcW w:w="2567" w:type="pct"/>
            <w:shd w:val="clear" w:color="auto" w:fill="CDCDCD"/>
          </w:tcPr>
          <w:p w14:paraId="038A33E7" w14:textId="77777777" w:rsidR="00B0227F" w:rsidRPr="00CA2915" w:rsidRDefault="00B0227F" w:rsidP="001A5D4A">
            <w:pPr>
              <w:pStyle w:val="NotesTable-ItemPlain"/>
            </w:pPr>
          </w:p>
        </w:tc>
        <w:tc>
          <w:tcPr>
            <w:tcW w:w="812" w:type="pct"/>
            <w:gridSpan w:val="2"/>
            <w:shd w:val="clear" w:color="auto" w:fill="CDCDCD"/>
          </w:tcPr>
          <w:p w14:paraId="038A33E8" w14:textId="77777777" w:rsidR="00B0227F" w:rsidRPr="00CA2915" w:rsidRDefault="00B0227F" w:rsidP="001A5D4A">
            <w:pPr>
              <w:pStyle w:val="NotesTable-HeadPlain"/>
            </w:pPr>
            <w:r w:rsidRPr="00CA2915">
              <w:t>Number</w:t>
            </w:r>
          </w:p>
        </w:tc>
        <w:tc>
          <w:tcPr>
            <w:tcW w:w="811" w:type="pct"/>
            <w:gridSpan w:val="2"/>
            <w:shd w:val="clear" w:color="auto" w:fill="CDCDCD"/>
          </w:tcPr>
          <w:p w14:paraId="038A33E9" w14:textId="77777777" w:rsidR="00B0227F" w:rsidRPr="00CA2915" w:rsidRDefault="00B0227F" w:rsidP="001A5D4A">
            <w:pPr>
              <w:pStyle w:val="NotesTable-HeadPlain"/>
            </w:pPr>
            <w:r w:rsidRPr="00CA2915">
              <w:t>Number</w:t>
            </w:r>
          </w:p>
        </w:tc>
      </w:tr>
      <w:tr w:rsidR="00B0227F" w:rsidRPr="00CA2915" w14:paraId="038A33F1" w14:textId="77777777" w:rsidTr="00EF62D6">
        <w:trPr>
          <w:trHeight w:val="181"/>
        </w:trPr>
        <w:tc>
          <w:tcPr>
            <w:tcW w:w="810" w:type="pct"/>
          </w:tcPr>
          <w:p w14:paraId="038A33EB" w14:textId="77777777" w:rsidR="00B0227F" w:rsidRPr="00CA2915" w:rsidRDefault="00B0227F" w:rsidP="001A5D4A">
            <w:pPr>
              <w:pStyle w:val="Note-Refs"/>
            </w:pPr>
          </w:p>
        </w:tc>
        <w:tc>
          <w:tcPr>
            <w:tcW w:w="2567" w:type="pct"/>
            <w:shd w:val="clear" w:color="auto" w:fill="CDCDCD"/>
          </w:tcPr>
          <w:p w14:paraId="038A33EC" w14:textId="77777777" w:rsidR="00B0227F" w:rsidRPr="00CA2915" w:rsidRDefault="00B0227F" w:rsidP="001A5D4A">
            <w:pPr>
              <w:pStyle w:val="NotesTable-ItemBold"/>
            </w:pPr>
            <w:r w:rsidRPr="00CA2915">
              <w:t>Remuneration of executive officers</w:t>
            </w:r>
          </w:p>
        </w:tc>
        <w:tc>
          <w:tcPr>
            <w:tcW w:w="406" w:type="pct"/>
            <w:shd w:val="clear" w:color="auto" w:fill="CDCDCD"/>
            <w:vAlign w:val="bottom"/>
          </w:tcPr>
          <w:p w14:paraId="038A33ED" w14:textId="77777777" w:rsidR="00B0227F" w:rsidRPr="00CA2915" w:rsidRDefault="00B0227F" w:rsidP="001A5D4A">
            <w:pPr>
              <w:pStyle w:val="NotesTable-CellBold"/>
            </w:pPr>
          </w:p>
        </w:tc>
        <w:tc>
          <w:tcPr>
            <w:tcW w:w="406" w:type="pct"/>
            <w:shd w:val="clear" w:color="auto" w:fill="CDCDCD"/>
            <w:vAlign w:val="bottom"/>
          </w:tcPr>
          <w:p w14:paraId="038A33EE" w14:textId="77777777" w:rsidR="00B0227F" w:rsidRPr="00CA2915" w:rsidRDefault="00B0227F" w:rsidP="001A5D4A">
            <w:pPr>
              <w:pStyle w:val="NotesTable-CellPlain"/>
            </w:pPr>
          </w:p>
        </w:tc>
        <w:tc>
          <w:tcPr>
            <w:tcW w:w="406" w:type="pct"/>
            <w:shd w:val="clear" w:color="auto" w:fill="CDCDCD"/>
            <w:vAlign w:val="bottom"/>
          </w:tcPr>
          <w:p w14:paraId="038A33EF" w14:textId="77777777" w:rsidR="00B0227F" w:rsidRPr="00CA2915" w:rsidRDefault="00B0227F" w:rsidP="001A5D4A">
            <w:pPr>
              <w:pStyle w:val="NotesTable-CellBold"/>
            </w:pPr>
          </w:p>
        </w:tc>
        <w:tc>
          <w:tcPr>
            <w:tcW w:w="405" w:type="pct"/>
            <w:shd w:val="clear" w:color="auto" w:fill="CDCDCD"/>
            <w:vAlign w:val="bottom"/>
          </w:tcPr>
          <w:p w14:paraId="038A33F0" w14:textId="77777777" w:rsidR="00B0227F" w:rsidRPr="00CA2915" w:rsidRDefault="00B0227F" w:rsidP="001A5D4A">
            <w:pPr>
              <w:pStyle w:val="NotesTable-CellPlain"/>
            </w:pPr>
          </w:p>
        </w:tc>
      </w:tr>
      <w:tr w:rsidR="00B0227F" w:rsidRPr="00CA2915" w14:paraId="038A33F8" w14:textId="77777777" w:rsidTr="00EF62D6">
        <w:trPr>
          <w:trHeight w:val="181"/>
        </w:trPr>
        <w:tc>
          <w:tcPr>
            <w:tcW w:w="810" w:type="pct"/>
          </w:tcPr>
          <w:p w14:paraId="038A33F2" w14:textId="77777777" w:rsidR="00B0227F" w:rsidRPr="00CA2915" w:rsidRDefault="00B0227F" w:rsidP="001A5D4A">
            <w:pPr>
              <w:pStyle w:val="Note-Refs"/>
            </w:pPr>
          </w:p>
        </w:tc>
        <w:tc>
          <w:tcPr>
            <w:tcW w:w="2567" w:type="pct"/>
            <w:shd w:val="clear" w:color="auto" w:fill="CDCDCD"/>
          </w:tcPr>
          <w:p w14:paraId="038A33F3" w14:textId="77777777" w:rsidR="00B0227F" w:rsidRPr="00CA2915" w:rsidRDefault="00B0227F" w:rsidP="001A5D4A">
            <w:pPr>
              <w:pStyle w:val="NotesTable-ItemPlain"/>
              <w:rPr>
                <w:b/>
              </w:rPr>
            </w:pPr>
            <w:r w:rsidRPr="00CA2915">
              <w:t>$130,000 to $139,999</w:t>
            </w:r>
          </w:p>
        </w:tc>
        <w:tc>
          <w:tcPr>
            <w:tcW w:w="406" w:type="pct"/>
            <w:shd w:val="clear" w:color="auto" w:fill="CDCDCD"/>
            <w:vAlign w:val="bottom"/>
          </w:tcPr>
          <w:p w14:paraId="038A33F4" w14:textId="77777777" w:rsidR="00B0227F" w:rsidRPr="00CA2915" w:rsidRDefault="00B0227F" w:rsidP="001A5D4A">
            <w:pPr>
              <w:pStyle w:val="NotesTable-CellBold"/>
            </w:pPr>
            <w:r w:rsidRPr="00CA2915">
              <w:t>–</w:t>
            </w:r>
          </w:p>
        </w:tc>
        <w:tc>
          <w:tcPr>
            <w:tcW w:w="406" w:type="pct"/>
            <w:shd w:val="clear" w:color="auto" w:fill="CDCDCD"/>
            <w:vAlign w:val="bottom"/>
          </w:tcPr>
          <w:p w14:paraId="038A33F5" w14:textId="77777777" w:rsidR="00B0227F" w:rsidRPr="00CA2915" w:rsidRDefault="00B0227F" w:rsidP="001A5D4A">
            <w:pPr>
              <w:pStyle w:val="NotesTable-CellPlain"/>
            </w:pPr>
            <w:r w:rsidRPr="00CA2915">
              <w:t>–</w:t>
            </w:r>
          </w:p>
        </w:tc>
        <w:tc>
          <w:tcPr>
            <w:tcW w:w="406" w:type="pct"/>
            <w:shd w:val="clear" w:color="auto" w:fill="CDCDCD"/>
            <w:vAlign w:val="bottom"/>
          </w:tcPr>
          <w:p w14:paraId="038A33F6" w14:textId="77777777" w:rsidR="00B0227F" w:rsidRPr="00CA2915" w:rsidRDefault="00B0227F" w:rsidP="001A5D4A">
            <w:pPr>
              <w:pStyle w:val="NotesTable-CellBold"/>
            </w:pPr>
            <w:r w:rsidRPr="00CA2915">
              <w:t>–</w:t>
            </w:r>
          </w:p>
        </w:tc>
        <w:tc>
          <w:tcPr>
            <w:tcW w:w="405" w:type="pct"/>
            <w:shd w:val="clear" w:color="auto" w:fill="CDCDCD"/>
            <w:vAlign w:val="bottom"/>
          </w:tcPr>
          <w:p w14:paraId="038A33F7" w14:textId="77777777" w:rsidR="00B0227F" w:rsidRPr="00CA2915" w:rsidRDefault="00B0227F" w:rsidP="001A5D4A">
            <w:pPr>
              <w:pStyle w:val="NotesTable-CellPlain"/>
            </w:pPr>
            <w:r w:rsidRPr="00CA2915">
              <w:t>–</w:t>
            </w:r>
          </w:p>
        </w:tc>
      </w:tr>
      <w:tr w:rsidR="00B0227F" w:rsidRPr="00CA2915" w14:paraId="038A33FF" w14:textId="77777777" w:rsidTr="00EF62D6">
        <w:trPr>
          <w:trHeight w:val="181"/>
        </w:trPr>
        <w:tc>
          <w:tcPr>
            <w:tcW w:w="810" w:type="pct"/>
          </w:tcPr>
          <w:p w14:paraId="038A33F9" w14:textId="77777777" w:rsidR="00B0227F" w:rsidRPr="00CA2915" w:rsidRDefault="00B0227F" w:rsidP="001A5D4A">
            <w:pPr>
              <w:pStyle w:val="Note-Refs"/>
            </w:pPr>
          </w:p>
        </w:tc>
        <w:tc>
          <w:tcPr>
            <w:tcW w:w="2567" w:type="pct"/>
            <w:shd w:val="clear" w:color="auto" w:fill="CDCDCD"/>
          </w:tcPr>
          <w:p w14:paraId="038A33FA" w14:textId="77777777" w:rsidR="00B0227F" w:rsidRPr="00CA2915" w:rsidRDefault="00B0227F" w:rsidP="001A5D4A">
            <w:pPr>
              <w:pStyle w:val="NotesTable-ItemPlain"/>
              <w:rPr>
                <w:b/>
              </w:rPr>
            </w:pPr>
            <w:r w:rsidRPr="00CA2915">
              <w:t>$140,000 to $149,999</w:t>
            </w:r>
          </w:p>
        </w:tc>
        <w:tc>
          <w:tcPr>
            <w:tcW w:w="406" w:type="pct"/>
            <w:shd w:val="clear" w:color="auto" w:fill="CDCDCD"/>
            <w:vAlign w:val="bottom"/>
          </w:tcPr>
          <w:p w14:paraId="038A33FB" w14:textId="77777777" w:rsidR="00B0227F" w:rsidRPr="00CA2915" w:rsidRDefault="00B0227F" w:rsidP="001A5D4A">
            <w:pPr>
              <w:pStyle w:val="NotesTable-CellBold"/>
            </w:pPr>
            <w:r w:rsidRPr="00CA2915">
              <w:t>–</w:t>
            </w:r>
          </w:p>
        </w:tc>
        <w:tc>
          <w:tcPr>
            <w:tcW w:w="406" w:type="pct"/>
            <w:shd w:val="clear" w:color="auto" w:fill="CDCDCD"/>
            <w:vAlign w:val="bottom"/>
          </w:tcPr>
          <w:p w14:paraId="038A33FC" w14:textId="77777777" w:rsidR="00B0227F" w:rsidRPr="00CA2915" w:rsidRDefault="00B0227F" w:rsidP="001A5D4A">
            <w:pPr>
              <w:pStyle w:val="NotesTable-CellPlain"/>
            </w:pPr>
            <w:r w:rsidRPr="00CA2915">
              <w:t>–</w:t>
            </w:r>
          </w:p>
        </w:tc>
        <w:tc>
          <w:tcPr>
            <w:tcW w:w="406" w:type="pct"/>
            <w:shd w:val="clear" w:color="auto" w:fill="CDCDCD"/>
            <w:vAlign w:val="bottom"/>
          </w:tcPr>
          <w:p w14:paraId="038A33FD" w14:textId="77777777" w:rsidR="00B0227F" w:rsidRPr="00CA2915" w:rsidRDefault="00B0227F" w:rsidP="001A5D4A">
            <w:pPr>
              <w:pStyle w:val="NotesTable-CellBold"/>
            </w:pPr>
            <w:r w:rsidRPr="00CA2915">
              <w:t>–</w:t>
            </w:r>
          </w:p>
        </w:tc>
        <w:tc>
          <w:tcPr>
            <w:tcW w:w="405" w:type="pct"/>
            <w:shd w:val="clear" w:color="auto" w:fill="CDCDCD"/>
            <w:vAlign w:val="bottom"/>
          </w:tcPr>
          <w:p w14:paraId="038A33FE" w14:textId="77777777" w:rsidR="00B0227F" w:rsidRPr="00CA2915" w:rsidRDefault="00B0227F" w:rsidP="001A5D4A">
            <w:pPr>
              <w:pStyle w:val="NotesTable-CellPlain"/>
            </w:pPr>
            <w:r w:rsidRPr="00CA2915">
              <w:t>–</w:t>
            </w:r>
          </w:p>
        </w:tc>
      </w:tr>
      <w:tr w:rsidR="00B0227F" w:rsidRPr="00CA2915" w14:paraId="038A3406" w14:textId="77777777" w:rsidTr="00EF62D6">
        <w:trPr>
          <w:trHeight w:val="181"/>
        </w:trPr>
        <w:tc>
          <w:tcPr>
            <w:tcW w:w="810" w:type="pct"/>
          </w:tcPr>
          <w:p w14:paraId="038A3400" w14:textId="77777777" w:rsidR="00B0227F" w:rsidRPr="00CA2915" w:rsidRDefault="00B0227F" w:rsidP="001A5D4A">
            <w:pPr>
              <w:pStyle w:val="Note-Refs"/>
            </w:pPr>
          </w:p>
        </w:tc>
        <w:tc>
          <w:tcPr>
            <w:tcW w:w="2567" w:type="pct"/>
            <w:shd w:val="clear" w:color="auto" w:fill="CDCDCD"/>
          </w:tcPr>
          <w:p w14:paraId="038A3401" w14:textId="77777777" w:rsidR="00B0227F" w:rsidRPr="00CA2915" w:rsidRDefault="00B0227F" w:rsidP="001A5D4A">
            <w:pPr>
              <w:pStyle w:val="NotesTable-ItemPlain"/>
              <w:rPr>
                <w:b/>
              </w:rPr>
            </w:pPr>
            <w:r w:rsidRPr="00CA2915">
              <w:t>[Repeat successive bands as required]</w:t>
            </w:r>
          </w:p>
        </w:tc>
        <w:tc>
          <w:tcPr>
            <w:tcW w:w="406" w:type="pct"/>
            <w:shd w:val="clear" w:color="auto" w:fill="CDCDCD"/>
            <w:vAlign w:val="bottom"/>
          </w:tcPr>
          <w:p w14:paraId="038A3402" w14:textId="77777777" w:rsidR="00B0227F" w:rsidRPr="00CA2915" w:rsidRDefault="00B0227F" w:rsidP="001A5D4A">
            <w:pPr>
              <w:pStyle w:val="NotesTable-CellBold"/>
            </w:pPr>
            <w:r w:rsidRPr="00CA2915">
              <w:t>–</w:t>
            </w:r>
          </w:p>
        </w:tc>
        <w:tc>
          <w:tcPr>
            <w:tcW w:w="406" w:type="pct"/>
            <w:shd w:val="clear" w:color="auto" w:fill="CDCDCD"/>
            <w:vAlign w:val="bottom"/>
          </w:tcPr>
          <w:p w14:paraId="038A3403" w14:textId="77777777" w:rsidR="00B0227F" w:rsidRPr="00CA2915" w:rsidRDefault="00B0227F" w:rsidP="001A5D4A">
            <w:pPr>
              <w:pStyle w:val="NotesTable-CellPlain"/>
            </w:pPr>
            <w:r w:rsidRPr="00CA2915">
              <w:t>–</w:t>
            </w:r>
          </w:p>
        </w:tc>
        <w:tc>
          <w:tcPr>
            <w:tcW w:w="406" w:type="pct"/>
            <w:shd w:val="clear" w:color="auto" w:fill="CDCDCD"/>
            <w:vAlign w:val="bottom"/>
          </w:tcPr>
          <w:p w14:paraId="038A3404" w14:textId="77777777" w:rsidR="00B0227F" w:rsidRPr="00CA2915" w:rsidRDefault="00B0227F" w:rsidP="001A5D4A">
            <w:pPr>
              <w:pStyle w:val="NotesTable-CellBold"/>
            </w:pPr>
            <w:r w:rsidRPr="00CA2915">
              <w:t>–</w:t>
            </w:r>
          </w:p>
        </w:tc>
        <w:tc>
          <w:tcPr>
            <w:tcW w:w="405" w:type="pct"/>
            <w:shd w:val="clear" w:color="auto" w:fill="CDCDCD"/>
            <w:vAlign w:val="bottom"/>
          </w:tcPr>
          <w:p w14:paraId="038A3405" w14:textId="77777777" w:rsidR="00B0227F" w:rsidRPr="00CA2915" w:rsidRDefault="00B0227F" w:rsidP="001A5D4A">
            <w:pPr>
              <w:pStyle w:val="NotesTable-CellPlain"/>
            </w:pPr>
            <w:r w:rsidRPr="00CA2915">
              <w:t>–</w:t>
            </w:r>
          </w:p>
        </w:tc>
      </w:tr>
      <w:tr w:rsidR="007A3618" w:rsidRPr="00CA2915" w14:paraId="038A3409" w14:textId="77777777" w:rsidTr="00463ABD">
        <w:trPr>
          <w:trHeight w:val="181"/>
        </w:trPr>
        <w:tc>
          <w:tcPr>
            <w:tcW w:w="810" w:type="pct"/>
          </w:tcPr>
          <w:p w14:paraId="038A3407" w14:textId="77777777" w:rsidR="007A3618" w:rsidRPr="00CA2915" w:rsidRDefault="007A3618" w:rsidP="001A5D4A">
            <w:pPr>
              <w:pStyle w:val="Note-Refs"/>
            </w:pPr>
          </w:p>
        </w:tc>
        <w:tc>
          <w:tcPr>
            <w:tcW w:w="4190" w:type="pct"/>
            <w:gridSpan w:val="5"/>
            <w:shd w:val="clear" w:color="auto" w:fill="CDCDCD"/>
          </w:tcPr>
          <w:p w14:paraId="038A3408" w14:textId="77777777" w:rsidR="007A3618" w:rsidRPr="00CA2915" w:rsidRDefault="007A3618" w:rsidP="001A5D4A">
            <w:pPr>
              <w:pStyle w:val="Note-Text"/>
            </w:pPr>
          </w:p>
        </w:tc>
      </w:tr>
      <w:tr w:rsidR="007A3618" w:rsidRPr="00CA2915" w14:paraId="038A340C" w14:textId="77777777" w:rsidTr="00463ABD">
        <w:trPr>
          <w:trHeight w:val="181"/>
        </w:trPr>
        <w:tc>
          <w:tcPr>
            <w:tcW w:w="810" w:type="pct"/>
          </w:tcPr>
          <w:p w14:paraId="038A340A" w14:textId="77777777" w:rsidR="007A3618" w:rsidRPr="00CA2915" w:rsidRDefault="007A3618" w:rsidP="001A5D4A">
            <w:pPr>
              <w:pStyle w:val="Note-Refs"/>
            </w:pPr>
          </w:p>
        </w:tc>
        <w:tc>
          <w:tcPr>
            <w:tcW w:w="4190" w:type="pct"/>
            <w:gridSpan w:val="5"/>
            <w:shd w:val="clear" w:color="auto" w:fill="CDCDCD"/>
          </w:tcPr>
          <w:p w14:paraId="038A340B" w14:textId="77777777" w:rsidR="007A3618" w:rsidRPr="00CA2915" w:rsidRDefault="007A3618" w:rsidP="001A5D4A">
            <w:pPr>
              <w:pStyle w:val="Note-Text"/>
            </w:pPr>
          </w:p>
        </w:tc>
      </w:tr>
      <w:tr w:rsidR="007A3618" w:rsidRPr="00CA2915" w14:paraId="038A340F" w14:textId="77777777" w:rsidTr="00463ABD">
        <w:trPr>
          <w:trHeight w:val="181"/>
        </w:trPr>
        <w:tc>
          <w:tcPr>
            <w:tcW w:w="810" w:type="pct"/>
          </w:tcPr>
          <w:p w14:paraId="038A340D" w14:textId="77777777" w:rsidR="007A3618" w:rsidRPr="00CA2915" w:rsidRDefault="007A3618" w:rsidP="001A5D4A">
            <w:pPr>
              <w:pStyle w:val="Note-Refs"/>
            </w:pPr>
          </w:p>
        </w:tc>
        <w:tc>
          <w:tcPr>
            <w:tcW w:w="4190" w:type="pct"/>
            <w:gridSpan w:val="5"/>
            <w:shd w:val="clear" w:color="auto" w:fill="CDCDCD"/>
          </w:tcPr>
          <w:p w14:paraId="038A340E" w14:textId="77777777" w:rsidR="007A3618" w:rsidRPr="00CA2915" w:rsidRDefault="007A3618" w:rsidP="001A5D4A">
            <w:pPr>
              <w:pStyle w:val="Note-TextHeader"/>
            </w:pPr>
            <w:r w:rsidRPr="00CA2915">
              <w:t>(d) Key management personnel compensation</w:t>
            </w:r>
          </w:p>
        </w:tc>
      </w:tr>
      <w:tr w:rsidR="007A3618" w:rsidRPr="00CA2915" w14:paraId="038A3414" w14:textId="77777777" w:rsidTr="00EF62D6">
        <w:trPr>
          <w:trHeight w:val="181"/>
        </w:trPr>
        <w:tc>
          <w:tcPr>
            <w:tcW w:w="810" w:type="pct"/>
          </w:tcPr>
          <w:p w14:paraId="038A3410" w14:textId="77777777" w:rsidR="007A3618" w:rsidRPr="00CA2915" w:rsidRDefault="007A3618" w:rsidP="001A5D4A">
            <w:pPr>
              <w:pStyle w:val="Note-Refs"/>
            </w:pPr>
          </w:p>
        </w:tc>
        <w:tc>
          <w:tcPr>
            <w:tcW w:w="2567" w:type="pct"/>
            <w:shd w:val="clear" w:color="auto" w:fill="CDCDCD"/>
          </w:tcPr>
          <w:p w14:paraId="038A3411" w14:textId="77777777" w:rsidR="007A3618" w:rsidRPr="00CA2915" w:rsidRDefault="007A3618" w:rsidP="001A5D4A">
            <w:pPr>
              <w:pStyle w:val="NotesTable-ItemPlain"/>
            </w:pPr>
          </w:p>
        </w:tc>
        <w:tc>
          <w:tcPr>
            <w:tcW w:w="812" w:type="pct"/>
            <w:gridSpan w:val="2"/>
            <w:shd w:val="clear" w:color="auto" w:fill="CDCDCD"/>
          </w:tcPr>
          <w:p w14:paraId="038A3412" w14:textId="77777777" w:rsidR="007A3618" w:rsidRPr="00CA2915" w:rsidRDefault="007A3618" w:rsidP="001A5D4A">
            <w:pPr>
              <w:pStyle w:val="NotesTable-HeadPlain"/>
            </w:pPr>
            <w:r w:rsidRPr="00CA2915">
              <w:t>Consolidated</w:t>
            </w:r>
          </w:p>
        </w:tc>
        <w:tc>
          <w:tcPr>
            <w:tcW w:w="811" w:type="pct"/>
            <w:gridSpan w:val="2"/>
            <w:shd w:val="clear" w:color="auto" w:fill="CDCDCD"/>
          </w:tcPr>
          <w:p w14:paraId="038A3413" w14:textId="77777777" w:rsidR="007A3618" w:rsidRPr="00CA2915" w:rsidRDefault="007A3618" w:rsidP="001A5D4A">
            <w:pPr>
              <w:pStyle w:val="NotesTable-HeadPlain"/>
            </w:pPr>
            <w:r w:rsidRPr="00CA2915">
              <w:t>Parent entity</w:t>
            </w:r>
          </w:p>
        </w:tc>
      </w:tr>
      <w:tr w:rsidR="007A3618" w:rsidRPr="00CA2915" w14:paraId="038A341B" w14:textId="77777777" w:rsidTr="00EF62D6">
        <w:trPr>
          <w:trHeight w:val="181"/>
        </w:trPr>
        <w:tc>
          <w:tcPr>
            <w:tcW w:w="810" w:type="pct"/>
          </w:tcPr>
          <w:p w14:paraId="038A3415" w14:textId="77777777" w:rsidR="007A3618" w:rsidRPr="003C77BC" w:rsidRDefault="007A3618" w:rsidP="001A5D4A">
            <w:pPr>
              <w:pStyle w:val="Note-Refs"/>
            </w:pPr>
          </w:p>
        </w:tc>
        <w:tc>
          <w:tcPr>
            <w:tcW w:w="2567" w:type="pct"/>
            <w:shd w:val="clear" w:color="auto" w:fill="CDCDCD"/>
          </w:tcPr>
          <w:p w14:paraId="038A3416" w14:textId="77777777" w:rsidR="007A3618" w:rsidRPr="00CA2915" w:rsidRDefault="007A3618" w:rsidP="001A5D4A">
            <w:pPr>
              <w:pStyle w:val="NotesTable-ItemPlain"/>
            </w:pPr>
          </w:p>
        </w:tc>
        <w:tc>
          <w:tcPr>
            <w:tcW w:w="406" w:type="pct"/>
            <w:shd w:val="clear" w:color="auto" w:fill="CDCDCD"/>
          </w:tcPr>
          <w:p w14:paraId="038A3417" w14:textId="560EE8CD" w:rsidR="007A3618" w:rsidRDefault="006864EC" w:rsidP="001A5D4A">
            <w:pPr>
              <w:pStyle w:val="NotesTable-HeadBold"/>
            </w:pPr>
            <w:r>
              <w:t>2014</w:t>
            </w:r>
          </w:p>
        </w:tc>
        <w:tc>
          <w:tcPr>
            <w:tcW w:w="406" w:type="pct"/>
            <w:shd w:val="clear" w:color="auto" w:fill="CDCDCD"/>
          </w:tcPr>
          <w:p w14:paraId="038A3418" w14:textId="1505F3F1" w:rsidR="007A3618" w:rsidRDefault="006864EC" w:rsidP="001A5D4A">
            <w:pPr>
              <w:pStyle w:val="NotesTable-HeadPlain"/>
            </w:pPr>
            <w:r>
              <w:t>2013</w:t>
            </w:r>
          </w:p>
        </w:tc>
        <w:tc>
          <w:tcPr>
            <w:tcW w:w="406" w:type="pct"/>
            <w:shd w:val="clear" w:color="auto" w:fill="CDCDCD"/>
          </w:tcPr>
          <w:p w14:paraId="038A3419" w14:textId="206C1482" w:rsidR="007A3618" w:rsidRDefault="006864EC" w:rsidP="001A5D4A">
            <w:pPr>
              <w:pStyle w:val="NotesTable-HeadBold"/>
              <w:rPr>
                <w:szCs w:val="18"/>
              </w:rPr>
            </w:pPr>
            <w:r>
              <w:t>2014</w:t>
            </w:r>
          </w:p>
        </w:tc>
        <w:tc>
          <w:tcPr>
            <w:tcW w:w="405" w:type="pct"/>
            <w:shd w:val="clear" w:color="auto" w:fill="CDCDCD"/>
          </w:tcPr>
          <w:p w14:paraId="038A341A" w14:textId="6D5B7C4A" w:rsidR="007A3618" w:rsidRDefault="006864EC" w:rsidP="001A5D4A">
            <w:pPr>
              <w:pStyle w:val="NotesTable-HeadPlain"/>
            </w:pPr>
            <w:r>
              <w:t>2013</w:t>
            </w:r>
          </w:p>
        </w:tc>
      </w:tr>
      <w:tr w:rsidR="007A3618" w:rsidRPr="00CA2915" w14:paraId="038A3422" w14:textId="77777777" w:rsidTr="00EF62D6">
        <w:trPr>
          <w:trHeight w:val="181"/>
        </w:trPr>
        <w:tc>
          <w:tcPr>
            <w:tcW w:w="810" w:type="pct"/>
          </w:tcPr>
          <w:p w14:paraId="038A341C" w14:textId="77777777" w:rsidR="007A3618" w:rsidRPr="003C77BC" w:rsidRDefault="007A3618" w:rsidP="001A5D4A">
            <w:pPr>
              <w:pStyle w:val="Note-Refs"/>
            </w:pPr>
          </w:p>
        </w:tc>
        <w:tc>
          <w:tcPr>
            <w:tcW w:w="2567" w:type="pct"/>
            <w:shd w:val="clear" w:color="auto" w:fill="CDCDCD"/>
          </w:tcPr>
          <w:p w14:paraId="038A341D" w14:textId="77777777" w:rsidR="007A3618" w:rsidRPr="00CA2915" w:rsidRDefault="007A3618" w:rsidP="001A5D4A">
            <w:pPr>
              <w:pStyle w:val="NotesTable-ItemPlain"/>
            </w:pPr>
          </w:p>
        </w:tc>
        <w:tc>
          <w:tcPr>
            <w:tcW w:w="406" w:type="pct"/>
            <w:shd w:val="clear" w:color="auto" w:fill="CDCDCD"/>
          </w:tcPr>
          <w:p w14:paraId="038A341E" w14:textId="77777777" w:rsidR="007A3618" w:rsidRDefault="007A3618" w:rsidP="001A5D4A">
            <w:pPr>
              <w:pStyle w:val="NotesTable-HeadBold"/>
            </w:pPr>
            <w:r>
              <w:t>$’000</w:t>
            </w:r>
          </w:p>
        </w:tc>
        <w:tc>
          <w:tcPr>
            <w:tcW w:w="406" w:type="pct"/>
            <w:shd w:val="clear" w:color="auto" w:fill="CDCDCD"/>
          </w:tcPr>
          <w:p w14:paraId="038A341F" w14:textId="77777777" w:rsidR="007A3618" w:rsidRDefault="007A3618" w:rsidP="001A5D4A">
            <w:pPr>
              <w:pStyle w:val="NotesTable-HeadPlain"/>
            </w:pPr>
            <w:r>
              <w:t>$’000</w:t>
            </w:r>
          </w:p>
        </w:tc>
        <w:tc>
          <w:tcPr>
            <w:tcW w:w="406" w:type="pct"/>
            <w:shd w:val="clear" w:color="auto" w:fill="CDCDCD"/>
          </w:tcPr>
          <w:p w14:paraId="038A3420" w14:textId="77777777" w:rsidR="007A3618" w:rsidRDefault="007A3618" w:rsidP="001A5D4A">
            <w:pPr>
              <w:pStyle w:val="NotesTable-HeadBold"/>
              <w:rPr>
                <w:szCs w:val="18"/>
              </w:rPr>
            </w:pPr>
            <w:r>
              <w:t>$’000</w:t>
            </w:r>
          </w:p>
        </w:tc>
        <w:tc>
          <w:tcPr>
            <w:tcW w:w="405" w:type="pct"/>
            <w:shd w:val="clear" w:color="auto" w:fill="CDCDCD"/>
          </w:tcPr>
          <w:p w14:paraId="038A3421" w14:textId="77777777" w:rsidR="007A3618" w:rsidRDefault="007A3618" w:rsidP="001A5D4A">
            <w:pPr>
              <w:pStyle w:val="NotesTable-HeadPlain"/>
            </w:pPr>
            <w:r>
              <w:t>$’000</w:t>
            </w:r>
          </w:p>
        </w:tc>
      </w:tr>
      <w:tr w:rsidR="00C83428" w:rsidRPr="00CA2915" w14:paraId="038A3429" w14:textId="77777777" w:rsidTr="00EF62D6">
        <w:trPr>
          <w:trHeight w:val="181"/>
        </w:trPr>
        <w:tc>
          <w:tcPr>
            <w:tcW w:w="810" w:type="pct"/>
          </w:tcPr>
          <w:p w14:paraId="038A3423" w14:textId="77777777" w:rsidR="00C83428" w:rsidRPr="00CA2915" w:rsidRDefault="00C83428" w:rsidP="001A5D4A">
            <w:pPr>
              <w:pStyle w:val="Note-Refs"/>
              <w:rPr>
                <w:b/>
              </w:rPr>
            </w:pPr>
            <w:r w:rsidRPr="00CA2915">
              <w:t>AASB124</w:t>
            </w:r>
            <w:r>
              <w:t>.</w:t>
            </w:r>
            <w:r w:rsidRPr="00CA2915">
              <w:t>1</w:t>
            </w:r>
            <w:r>
              <w:t>7</w:t>
            </w:r>
            <w:r w:rsidRPr="00CA2915">
              <w:t>a</w:t>
            </w:r>
          </w:p>
        </w:tc>
        <w:tc>
          <w:tcPr>
            <w:tcW w:w="2567" w:type="pct"/>
            <w:shd w:val="clear" w:color="auto" w:fill="CDCDCD"/>
          </w:tcPr>
          <w:p w14:paraId="038A3424" w14:textId="77777777" w:rsidR="00C83428" w:rsidRPr="00CA2915" w:rsidRDefault="00C83428" w:rsidP="001A5D4A">
            <w:pPr>
              <w:pStyle w:val="NotesTable-ItemPlain"/>
              <w:rPr>
                <w:b/>
              </w:rPr>
            </w:pPr>
            <w:r w:rsidRPr="00CA2915">
              <w:t>Short-term employee benefits</w:t>
            </w:r>
          </w:p>
        </w:tc>
        <w:tc>
          <w:tcPr>
            <w:tcW w:w="406" w:type="pct"/>
            <w:shd w:val="clear" w:color="auto" w:fill="CDCDCD"/>
            <w:vAlign w:val="bottom"/>
          </w:tcPr>
          <w:p w14:paraId="038A3425" w14:textId="77777777" w:rsidR="00C83428" w:rsidRPr="00CA2915" w:rsidRDefault="00C83428" w:rsidP="001A5D4A">
            <w:pPr>
              <w:pStyle w:val="NotesTable-CellBold"/>
            </w:pPr>
            <w:r w:rsidRPr="00CA2915">
              <w:t>–</w:t>
            </w:r>
          </w:p>
        </w:tc>
        <w:tc>
          <w:tcPr>
            <w:tcW w:w="406" w:type="pct"/>
            <w:shd w:val="clear" w:color="auto" w:fill="CDCDCD"/>
            <w:vAlign w:val="bottom"/>
          </w:tcPr>
          <w:p w14:paraId="038A3426" w14:textId="77777777" w:rsidR="00C83428" w:rsidRPr="00CA2915" w:rsidRDefault="00C83428" w:rsidP="001A5D4A">
            <w:pPr>
              <w:pStyle w:val="NotesTable-CellPlain"/>
            </w:pPr>
            <w:r w:rsidRPr="00CA2915">
              <w:t>–</w:t>
            </w:r>
          </w:p>
        </w:tc>
        <w:tc>
          <w:tcPr>
            <w:tcW w:w="406" w:type="pct"/>
            <w:shd w:val="clear" w:color="auto" w:fill="CDCDCD"/>
            <w:vAlign w:val="bottom"/>
          </w:tcPr>
          <w:p w14:paraId="038A3427" w14:textId="77777777" w:rsidR="00C83428" w:rsidRPr="00CA2915" w:rsidRDefault="00C83428" w:rsidP="001A5D4A">
            <w:pPr>
              <w:pStyle w:val="NotesTable-CellBold"/>
            </w:pPr>
            <w:r w:rsidRPr="00CA2915">
              <w:t>–</w:t>
            </w:r>
          </w:p>
        </w:tc>
        <w:tc>
          <w:tcPr>
            <w:tcW w:w="405" w:type="pct"/>
            <w:shd w:val="clear" w:color="auto" w:fill="CDCDCD"/>
            <w:vAlign w:val="bottom"/>
          </w:tcPr>
          <w:p w14:paraId="038A3428" w14:textId="77777777" w:rsidR="00C83428" w:rsidRPr="00CA2915" w:rsidRDefault="00C83428" w:rsidP="001A5D4A">
            <w:pPr>
              <w:pStyle w:val="NotesTable-CellPlain"/>
            </w:pPr>
            <w:r w:rsidRPr="00CA2915">
              <w:t>–</w:t>
            </w:r>
          </w:p>
        </w:tc>
      </w:tr>
      <w:tr w:rsidR="00C83428" w:rsidRPr="00CA2915" w14:paraId="038A3430" w14:textId="77777777" w:rsidTr="00EF62D6">
        <w:trPr>
          <w:trHeight w:val="181"/>
        </w:trPr>
        <w:tc>
          <w:tcPr>
            <w:tcW w:w="810" w:type="pct"/>
          </w:tcPr>
          <w:p w14:paraId="038A342A" w14:textId="77777777" w:rsidR="00C83428" w:rsidRPr="00CA2915" w:rsidRDefault="00C83428" w:rsidP="001A5D4A">
            <w:pPr>
              <w:pStyle w:val="Note-Refs"/>
              <w:rPr>
                <w:b/>
              </w:rPr>
            </w:pPr>
            <w:r w:rsidRPr="00CA2915">
              <w:t>AASB124</w:t>
            </w:r>
            <w:r>
              <w:t>.</w:t>
            </w:r>
            <w:r w:rsidRPr="00CA2915">
              <w:t>1</w:t>
            </w:r>
            <w:r>
              <w:t>7</w:t>
            </w:r>
            <w:r w:rsidRPr="00CA2915">
              <w:t>b</w:t>
            </w:r>
          </w:p>
        </w:tc>
        <w:tc>
          <w:tcPr>
            <w:tcW w:w="2567" w:type="pct"/>
            <w:shd w:val="clear" w:color="auto" w:fill="CDCDCD"/>
          </w:tcPr>
          <w:p w14:paraId="038A342B" w14:textId="77777777" w:rsidR="00C83428" w:rsidRPr="00CA2915" w:rsidRDefault="00C83428" w:rsidP="001A5D4A">
            <w:pPr>
              <w:pStyle w:val="NotesTable-ItemPlain"/>
              <w:rPr>
                <w:b/>
              </w:rPr>
            </w:pPr>
            <w:r w:rsidRPr="00CA2915">
              <w:t>Post-employment benefits</w:t>
            </w:r>
          </w:p>
        </w:tc>
        <w:tc>
          <w:tcPr>
            <w:tcW w:w="406" w:type="pct"/>
            <w:shd w:val="clear" w:color="auto" w:fill="CDCDCD"/>
            <w:vAlign w:val="bottom"/>
          </w:tcPr>
          <w:p w14:paraId="038A342C" w14:textId="77777777" w:rsidR="00C83428" w:rsidRPr="00CA2915" w:rsidRDefault="00C83428" w:rsidP="001A5D4A">
            <w:pPr>
              <w:pStyle w:val="NotesTable-CellBold"/>
            </w:pPr>
            <w:r w:rsidRPr="00CA2915">
              <w:t>–</w:t>
            </w:r>
          </w:p>
        </w:tc>
        <w:tc>
          <w:tcPr>
            <w:tcW w:w="406" w:type="pct"/>
            <w:shd w:val="clear" w:color="auto" w:fill="CDCDCD"/>
            <w:vAlign w:val="bottom"/>
          </w:tcPr>
          <w:p w14:paraId="038A342D" w14:textId="77777777" w:rsidR="00C83428" w:rsidRPr="00CA2915" w:rsidRDefault="00C83428" w:rsidP="001A5D4A">
            <w:pPr>
              <w:pStyle w:val="NotesTable-CellPlain"/>
            </w:pPr>
            <w:r w:rsidRPr="00CA2915">
              <w:t>–</w:t>
            </w:r>
          </w:p>
        </w:tc>
        <w:tc>
          <w:tcPr>
            <w:tcW w:w="406" w:type="pct"/>
            <w:shd w:val="clear" w:color="auto" w:fill="CDCDCD"/>
            <w:vAlign w:val="bottom"/>
          </w:tcPr>
          <w:p w14:paraId="038A342E" w14:textId="77777777" w:rsidR="00C83428" w:rsidRPr="00CA2915" w:rsidRDefault="00C83428" w:rsidP="001A5D4A">
            <w:pPr>
              <w:pStyle w:val="NotesTable-CellBold"/>
            </w:pPr>
            <w:r w:rsidRPr="00CA2915">
              <w:t>–</w:t>
            </w:r>
          </w:p>
        </w:tc>
        <w:tc>
          <w:tcPr>
            <w:tcW w:w="405" w:type="pct"/>
            <w:shd w:val="clear" w:color="auto" w:fill="CDCDCD"/>
            <w:vAlign w:val="bottom"/>
          </w:tcPr>
          <w:p w14:paraId="038A342F" w14:textId="77777777" w:rsidR="00C83428" w:rsidRPr="00CA2915" w:rsidRDefault="00C83428" w:rsidP="001A5D4A">
            <w:pPr>
              <w:pStyle w:val="NotesTable-CellPlain"/>
            </w:pPr>
            <w:r w:rsidRPr="00CA2915">
              <w:t>–</w:t>
            </w:r>
          </w:p>
        </w:tc>
      </w:tr>
      <w:tr w:rsidR="00C83428" w:rsidRPr="00CA2915" w14:paraId="038A3437" w14:textId="77777777" w:rsidTr="00EF62D6">
        <w:trPr>
          <w:trHeight w:val="181"/>
        </w:trPr>
        <w:tc>
          <w:tcPr>
            <w:tcW w:w="810" w:type="pct"/>
          </w:tcPr>
          <w:p w14:paraId="038A3431" w14:textId="77777777" w:rsidR="00C83428" w:rsidRPr="00CA2915" w:rsidRDefault="00C83428" w:rsidP="001A5D4A">
            <w:pPr>
              <w:pStyle w:val="Note-Refs"/>
              <w:rPr>
                <w:b/>
              </w:rPr>
            </w:pPr>
            <w:r w:rsidRPr="00CA2915">
              <w:t>AASB124</w:t>
            </w:r>
            <w:r>
              <w:t>.</w:t>
            </w:r>
            <w:r w:rsidRPr="00CA2915">
              <w:t>1</w:t>
            </w:r>
            <w:r>
              <w:t>7</w:t>
            </w:r>
            <w:r w:rsidRPr="00CA2915">
              <w:t>c</w:t>
            </w:r>
          </w:p>
        </w:tc>
        <w:tc>
          <w:tcPr>
            <w:tcW w:w="2567" w:type="pct"/>
            <w:shd w:val="clear" w:color="auto" w:fill="CDCDCD"/>
          </w:tcPr>
          <w:p w14:paraId="038A3432" w14:textId="77777777" w:rsidR="00C83428" w:rsidRPr="00CA2915" w:rsidRDefault="00C83428" w:rsidP="001A5D4A">
            <w:pPr>
              <w:pStyle w:val="NotesTable-ItemPlain"/>
              <w:rPr>
                <w:b/>
              </w:rPr>
            </w:pPr>
            <w:r w:rsidRPr="00CA2915">
              <w:t>Other long-term benefits</w:t>
            </w:r>
          </w:p>
        </w:tc>
        <w:tc>
          <w:tcPr>
            <w:tcW w:w="406" w:type="pct"/>
            <w:shd w:val="clear" w:color="auto" w:fill="CDCDCD"/>
            <w:vAlign w:val="bottom"/>
          </w:tcPr>
          <w:p w14:paraId="038A3433" w14:textId="77777777" w:rsidR="00C83428" w:rsidRPr="00CA2915" w:rsidRDefault="00C83428" w:rsidP="001A5D4A">
            <w:pPr>
              <w:pStyle w:val="NotesTable-CellBold"/>
            </w:pPr>
            <w:r w:rsidRPr="00CA2915">
              <w:t>–</w:t>
            </w:r>
          </w:p>
        </w:tc>
        <w:tc>
          <w:tcPr>
            <w:tcW w:w="406" w:type="pct"/>
            <w:shd w:val="clear" w:color="auto" w:fill="CDCDCD"/>
            <w:vAlign w:val="bottom"/>
          </w:tcPr>
          <w:p w14:paraId="038A3434" w14:textId="77777777" w:rsidR="00C83428" w:rsidRPr="00CA2915" w:rsidRDefault="00C83428" w:rsidP="001A5D4A">
            <w:pPr>
              <w:pStyle w:val="NotesTable-CellPlain"/>
            </w:pPr>
            <w:r w:rsidRPr="00CA2915">
              <w:t>–</w:t>
            </w:r>
          </w:p>
        </w:tc>
        <w:tc>
          <w:tcPr>
            <w:tcW w:w="406" w:type="pct"/>
            <w:shd w:val="clear" w:color="auto" w:fill="CDCDCD"/>
            <w:vAlign w:val="bottom"/>
          </w:tcPr>
          <w:p w14:paraId="038A3435" w14:textId="77777777" w:rsidR="00C83428" w:rsidRPr="00CA2915" w:rsidRDefault="00C83428" w:rsidP="001A5D4A">
            <w:pPr>
              <w:pStyle w:val="NotesTable-CellBold"/>
            </w:pPr>
            <w:r w:rsidRPr="00CA2915">
              <w:t>–</w:t>
            </w:r>
          </w:p>
        </w:tc>
        <w:tc>
          <w:tcPr>
            <w:tcW w:w="405" w:type="pct"/>
            <w:shd w:val="clear" w:color="auto" w:fill="CDCDCD"/>
            <w:vAlign w:val="bottom"/>
          </w:tcPr>
          <w:p w14:paraId="038A3436" w14:textId="77777777" w:rsidR="00C83428" w:rsidRPr="00CA2915" w:rsidRDefault="00C83428" w:rsidP="001A5D4A">
            <w:pPr>
              <w:pStyle w:val="NotesTable-CellPlain"/>
            </w:pPr>
            <w:r w:rsidRPr="00CA2915">
              <w:t>–</w:t>
            </w:r>
          </w:p>
        </w:tc>
      </w:tr>
      <w:tr w:rsidR="00C83428" w:rsidRPr="00CA2915" w14:paraId="038A343E" w14:textId="77777777" w:rsidTr="00EF62D6">
        <w:trPr>
          <w:trHeight w:val="181"/>
        </w:trPr>
        <w:tc>
          <w:tcPr>
            <w:tcW w:w="810" w:type="pct"/>
          </w:tcPr>
          <w:p w14:paraId="038A3438" w14:textId="77777777" w:rsidR="00C83428" w:rsidRPr="00CA2915" w:rsidRDefault="00C83428" w:rsidP="001A5D4A">
            <w:pPr>
              <w:pStyle w:val="Note-Refs"/>
              <w:rPr>
                <w:b/>
              </w:rPr>
            </w:pPr>
            <w:r w:rsidRPr="00CA2915">
              <w:t>AASB124</w:t>
            </w:r>
            <w:r>
              <w:t>.</w:t>
            </w:r>
            <w:r w:rsidRPr="00CA2915">
              <w:t>1</w:t>
            </w:r>
            <w:r>
              <w:t>7</w:t>
            </w:r>
            <w:r w:rsidRPr="00CA2915">
              <w:t>d</w:t>
            </w:r>
          </w:p>
        </w:tc>
        <w:tc>
          <w:tcPr>
            <w:tcW w:w="2567" w:type="pct"/>
            <w:shd w:val="clear" w:color="auto" w:fill="CDCDCD"/>
          </w:tcPr>
          <w:p w14:paraId="038A3439" w14:textId="77777777" w:rsidR="00C83428" w:rsidRPr="00CA2915" w:rsidRDefault="00C83428" w:rsidP="001A5D4A">
            <w:pPr>
              <w:pStyle w:val="NotesTable-ItemPlain"/>
              <w:rPr>
                <w:b/>
              </w:rPr>
            </w:pPr>
            <w:r w:rsidRPr="00CA2915">
              <w:t>Termination benefits</w:t>
            </w:r>
          </w:p>
        </w:tc>
        <w:tc>
          <w:tcPr>
            <w:tcW w:w="406" w:type="pct"/>
            <w:shd w:val="clear" w:color="auto" w:fill="CDCDCD"/>
            <w:vAlign w:val="bottom"/>
          </w:tcPr>
          <w:p w14:paraId="038A343A" w14:textId="77777777" w:rsidR="00C83428" w:rsidRPr="00CA2915" w:rsidRDefault="00C83428" w:rsidP="001A5D4A">
            <w:pPr>
              <w:pStyle w:val="NotesTable-CellBold"/>
            </w:pPr>
            <w:r w:rsidRPr="00CA2915">
              <w:t>–</w:t>
            </w:r>
          </w:p>
        </w:tc>
        <w:tc>
          <w:tcPr>
            <w:tcW w:w="406" w:type="pct"/>
            <w:shd w:val="clear" w:color="auto" w:fill="CDCDCD"/>
            <w:vAlign w:val="bottom"/>
          </w:tcPr>
          <w:p w14:paraId="038A343B" w14:textId="77777777" w:rsidR="00C83428" w:rsidRPr="00CA2915" w:rsidRDefault="00C83428" w:rsidP="001A5D4A">
            <w:pPr>
              <w:pStyle w:val="NotesTable-CellPlain"/>
            </w:pPr>
            <w:r w:rsidRPr="00CA2915">
              <w:t>–</w:t>
            </w:r>
          </w:p>
        </w:tc>
        <w:tc>
          <w:tcPr>
            <w:tcW w:w="406" w:type="pct"/>
            <w:shd w:val="clear" w:color="auto" w:fill="CDCDCD"/>
            <w:vAlign w:val="bottom"/>
          </w:tcPr>
          <w:p w14:paraId="038A343C" w14:textId="77777777" w:rsidR="00C83428" w:rsidRPr="00CA2915" w:rsidRDefault="00C83428" w:rsidP="001A5D4A">
            <w:pPr>
              <w:pStyle w:val="NotesTable-CellBold"/>
            </w:pPr>
            <w:r w:rsidRPr="00CA2915">
              <w:t>–</w:t>
            </w:r>
          </w:p>
        </w:tc>
        <w:tc>
          <w:tcPr>
            <w:tcW w:w="405" w:type="pct"/>
            <w:shd w:val="clear" w:color="auto" w:fill="CDCDCD"/>
            <w:vAlign w:val="bottom"/>
          </w:tcPr>
          <w:p w14:paraId="038A343D" w14:textId="77777777" w:rsidR="00C83428" w:rsidRPr="00CA2915" w:rsidRDefault="00C83428" w:rsidP="001A5D4A">
            <w:pPr>
              <w:pStyle w:val="NotesTable-CellPlain"/>
            </w:pPr>
            <w:r w:rsidRPr="00CA2915">
              <w:t>–</w:t>
            </w:r>
          </w:p>
        </w:tc>
      </w:tr>
      <w:tr w:rsidR="00C83428" w:rsidRPr="00CA2915" w14:paraId="038A3445" w14:textId="77777777" w:rsidTr="00EF62D6">
        <w:trPr>
          <w:trHeight w:val="181"/>
        </w:trPr>
        <w:tc>
          <w:tcPr>
            <w:tcW w:w="810" w:type="pct"/>
          </w:tcPr>
          <w:p w14:paraId="038A343F" w14:textId="77777777" w:rsidR="00C83428" w:rsidRPr="00CA2915" w:rsidRDefault="00C83428" w:rsidP="001A5D4A">
            <w:pPr>
              <w:pStyle w:val="Note-Refs"/>
              <w:rPr>
                <w:b/>
              </w:rPr>
            </w:pPr>
            <w:r w:rsidRPr="00CA2915">
              <w:t>AASB124</w:t>
            </w:r>
            <w:r>
              <w:t>.</w:t>
            </w:r>
            <w:r w:rsidRPr="00CA2915">
              <w:t>1</w:t>
            </w:r>
            <w:r>
              <w:t>7</w:t>
            </w:r>
            <w:r w:rsidRPr="00CA2915">
              <w:t>e</w:t>
            </w:r>
          </w:p>
        </w:tc>
        <w:tc>
          <w:tcPr>
            <w:tcW w:w="2567" w:type="pct"/>
            <w:shd w:val="clear" w:color="auto" w:fill="CDCDCD"/>
          </w:tcPr>
          <w:p w14:paraId="038A3440" w14:textId="77777777" w:rsidR="00C83428" w:rsidRPr="00CA2915" w:rsidRDefault="00C83428" w:rsidP="001A5D4A">
            <w:pPr>
              <w:pStyle w:val="NotesTable-ItemPlain"/>
              <w:rPr>
                <w:b/>
              </w:rPr>
            </w:pPr>
            <w:r w:rsidRPr="00CA2915">
              <w:t>Share-based payments</w:t>
            </w:r>
          </w:p>
        </w:tc>
        <w:tc>
          <w:tcPr>
            <w:tcW w:w="406" w:type="pct"/>
            <w:tcBorders>
              <w:bottom w:val="single" w:sz="4" w:space="0" w:color="auto"/>
            </w:tcBorders>
            <w:shd w:val="clear" w:color="auto" w:fill="CDCDCD"/>
            <w:vAlign w:val="bottom"/>
          </w:tcPr>
          <w:p w14:paraId="038A3441" w14:textId="77777777" w:rsidR="00C83428" w:rsidRPr="00CA2915" w:rsidRDefault="00C83428" w:rsidP="001A5D4A">
            <w:pPr>
              <w:pStyle w:val="NotesTable-CellBold"/>
            </w:pPr>
            <w:r w:rsidRPr="00CA2915">
              <w:t>–</w:t>
            </w:r>
          </w:p>
        </w:tc>
        <w:tc>
          <w:tcPr>
            <w:tcW w:w="406" w:type="pct"/>
            <w:tcBorders>
              <w:bottom w:val="single" w:sz="4" w:space="0" w:color="auto"/>
            </w:tcBorders>
            <w:shd w:val="clear" w:color="auto" w:fill="CDCDCD"/>
            <w:vAlign w:val="bottom"/>
          </w:tcPr>
          <w:p w14:paraId="038A3442" w14:textId="77777777" w:rsidR="00C83428" w:rsidRPr="00CA2915" w:rsidRDefault="00C83428" w:rsidP="001A5D4A">
            <w:pPr>
              <w:pStyle w:val="NotesTable-CellPlain"/>
            </w:pPr>
            <w:r w:rsidRPr="00CA2915">
              <w:t>–</w:t>
            </w:r>
          </w:p>
        </w:tc>
        <w:tc>
          <w:tcPr>
            <w:tcW w:w="406" w:type="pct"/>
            <w:tcBorders>
              <w:bottom w:val="single" w:sz="4" w:space="0" w:color="auto"/>
            </w:tcBorders>
            <w:shd w:val="clear" w:color="auto" w:fill="CDCDCD"/>
            <w:vAlign w:val="bottom"/>
          </w:tcPr>
          <w:p w14:paraId="038A3443" w14:textId="77777777" w:rsidR="00C83428" w:rsidRPr="00CA2915" w:rsidRDefault="00C83428" w:rsidP="001A5D4A">
            <w:pPr>
              <w:pStyle w:val="NotesTable-CellBold"/>
            </w:pPr>
            <w:r w:rsidRPr="00CA2915">
              <w:t>–</w:t>
            </w:r>
          </w:p>
        </w:tc>
        <w:tc>
          <w:tcPr>
            <w:tcW w:w="405" w:type="pct"/>
            <w:tcBorders>
              <w:bottom w:val="single" w:sz="4" w:space="0" w:color="auto"/>
            </w:tcBorders>
            <w:shd w:val="clear" w:color="auto" w:fill="CDCDCD"/>
            <w:vAlign w:val="bottom"/>
          </w:tcPr>
          <w:p w14:paraId="038A3444" w14:textId="77777777" w:rsidR="00C83428" w:rsidRPr="00CA2915" w:rsidRDefault="00C83428" w:rsidP="001A5D4A">
            <w:pPr>
              <w:pStyle w:val="NotesTable-CellPlain"/>
            </w:pPr>
            <w:r w:rsidRPr="00CA2915">
              <w:t>–</w:t>
            </w:r>
          </w:p>
        </w:tc>
      </w:tr>
      <w:tr w:rsidR="00C83428" w:rsidRPr="00CA2915" w14:paraId="038A344C" w14:textId="77777777" w:rsidTr="00EF62D6">
        <w:trPr>
          <w:trHeight w:val="181"/>
        </w:trPr>
        <w:tc>
          <w:tcPr>
            <w:tcW w:w="810" w:type="pct"/>
          </w:tcPr>
          <w:p w14:paraId="038A3446" w14:textId="77777777" w:rsidR="00C83428" w:rsidRPr="00CA2915" w:rsidRDefault="00C83428" w:rsidP="001A5D4A">
            <w:pPr>
              <w:pStyle w:val="Note-Refs"/>
            </w:pPr>
          </w:p>
        </w:tc>
        <w:tc>
          <w:tcPr>
            <w:tcW w:w="2567" w:type="pct"/>
            <w:shd w:val="clear" w:color="auto" w:fill="CDCDCD"/>
          </w:tcPr>
          <w:p w14:paraId="038A3447" w14:textId="77777777" w:rsidR="00C83428" w:rsidRPr="00CA2915" w:rsidRDefault="00846E2E" w:rsidP="001A5D4A">
            <w:pPr>
              <w:pStyle w:val="NotesTable-ItemPlain"/>
              <w:rPr>
                <w:b/>
              </w:rPr>
            </w:pPr>
            <w:r>
              <w:t>Total</w:t>
            </w:r>
            <w:r w:rsidR="00AB2DCE">
              <w:t xml:space="preserve"> key management personnel compensation</w:t>
            </w:r>
          </w:p>
        </w:tc>
        <w:tc>
          <w:tcPr>
            <w:tcW w:w="406" w:type="pct"/>
            <w:tcBorders>
              <w:top w:val="single" w:sz="4" w:space="0" w:color="auto"/>
            </w:tcBorders>
            <w:shd w:val="clear" w:color="auto" w:fill="CDCDCD"/>
          </w:tcPr>
          <w:p w14:paraId="038A3448" w14:textId="77777777" w:rsidR="00C83428" w:rsidRPr="00CA2915" w:rsidRDefault="00C83428" w:rsidP="001A5D4A">
            <w:pPr>
              <w:pStyle w:val="NotesTable-CellBold"/>
            </w:pPr>
            <w:r w:rsidRPr="00CA2915">
              <w:t>–</w:t>
            </w:r>
          </w:p>
        </w:tc>
        <w:tc>
          <w:tcPr>
            <w:tcW w:w="406" w:type="pct"/>
            <w:tcBorders>
              <w:top w:val="single" w:sz="4" w:space="0" w:color="auto"/>
            </w:tcBorders>
            <w:shd w:val="clear" w:color="auto" w:fill="CDCDCD"/>
          </w:tcPr>
          <w:p w14:paraId="038A3449" w14:textId="77777777" w:rsidR="00C83428" w:rsidRPr="00CA2915" w:rsidRDefault="00C83428" w:rsidP="001A5D4A">
            <w:pPr>
              <w:pStyle w:val="NotesTable-CellPlain"/>
            </w:pPr>
            <w:r w:rsidRPr="00CA2915">
              <w:t>–</w:t>
            </w:r>
          </w:p>
        </w:tc>
        <w:tc>
          <w:tcPr>
            <w:tcW w:w="406" w:type="pct"/>
            <w:tcBorders>
              <w:top w:val="single" w:sz="4" w:space="0" w:color="auto"/>
            </w:tcBorders>
            <w:shd w:val="clear" w:color="auto" w:fill="CDCDCD"/>
          </w:tcPr>
          <w:p w14:paraId="038A344A" w14:textId="77777777" w:rsidR="00C83428" w:rsidRPr="00CA2915" w:rsidRDefault="00C83428" w:rsidP="001A5D4A">
            <w:pPr>
              <w:pStyle w:val="NotesTable-CellBold"/>
            </w:pPr>
            <w:r w:rsidRPr="00CA2915">
              <w:t>–</w:t>
            </w:r>
          </w:p>
        </w:tc>
        <w:tc>
          <w:tcPr>
            <w:tcW w:w="405" w:type="pct"/>
            <w:tcBorders>
              <w:top w:val="single" w:sz="4" w:space="0" w:color="auto"/>
            </w:tcBorders>
            <w:shd w:val="clear" w:color="auto" w:fill="CDCDCD"/>
          </w:tcPr>
          <w:p w14:paraId="038A344B" w14:textId="77777777" w:rsidR="00C83428" w:rsidRPr="00CA2915" w:rsidRDefault="00C83428" w:rsidP="001A5D4A">
            <w:pPr>
              <w:pStyle w:val="NotesTable-CellPlain"/>
            </w:pPr>
            <w:r w:rsidRPr="00CA2915">
              <w:t>–</w:t>
            </w:r>
          </w:p>
        </w:tc>
      </w:tr>
      <w:tr w:rsidR="007D6CAA" w:rsidRPr="00CA2915" w14:paraId="4F7077BD" w14:textId="77777777" w:rsidTr="00463ABD">
        <w:trPr>
          <w:trHeight w:val="181"/>
        </w:trPr>
        <w:tc>
          <w:tcPr>
            <w:tcW w:w="810" w:type="pct"/>
          </w:tcPr>
          <w:p w14:paraId="35C2C64E" w14:textId="77777777" w:rsidR="007D6CAA" w:rsidRPr="00CA2915" w:rsidRDefault="007D6CAA" w:rsidP="001A5D4A">
            <w:pPr>
              <w:pStyle w:val="Note-Refs"/>
            </w:pPr>
          </w:p>
        </w:tc>
        <w:tc>
          <w:tcPr>
            <w:tcW w:w="4190" w:type="pct"/>
            <w:gridSpan w:val="5"/>
            <w:shd w:val="clear" w:color="auto" w:fill="CDCDCD"/>
          </w:tcPr>
          <w:p w14:paraId="0C3E5C88" w14:textId="77777777" w:rsidR="007D6CAA" w:rsidRPr="00CA2915" w:rsidRDefault="007D6CAA" w:rsidP="001A5D4A">
            <w:pPr>
              <w:pStyle w:val="Note-TextHeader"/>
            </w:pPr>
          </w:p>
        </w:tc>
      </w:tr>
      <w:tr w:rsidR="007D6CAA" w:rsidRPr="00CA2915" w14:paraId="2FD23094" w14:textId="77777777" w:rsidTr="00463ABD">
        <w:trPr>
          <w:trHeight w:val="181"/>
        </w:trPr>
        <w:tc>
          <w:tcPr>
            <w:tcW w:w="810" w:type="pct"/>
          </w:tcPr>
          <w:p w14:paraId="75DAD472" w14:textId="77777777" w:rsidR="007D6CAA" w:rsidRPr="00CA2915" w:rsidRDefault="007D6CAA" w:rsidP="001A5D4A">
            <w:pPr>
              <w:pStyle w:val="Note-Refs"/>
            </w:pPr>
          </w:p>
        </w:tc>
        <w:tc>
          <w:tcPr>
            <w:tcW w:w="4190" w:type="pct"/>
            <w:gridSpan w:val="5"/>
            <w:shd w:val="clear" w:color="auto" w:fill="CDCDCD"/>
          </w:tcPr>
          <w:p w14:paraId="67151BA3" w14:textId="77777777" w:rsidR="007D6CAA" w:rsidRPr="00CA2915" w:rsidRDefault="007D6CAA" w:rsidP="001A5D4A">
            <w:pPr>
              <w:pStyle w:val="Note-TextHeader"/>
            </w:pPr>
            <w:r w:rsidRPr="00CA2915">
              <w:t>(e) Loans to key management personnel</w:t>
            </w:r>
          </w:p>
        </w:tc>
      </w:tr>
      <w:tr w:rsidR="007D6CAA" w:rsidRPr="00CA2915" w14:paraId="74E1C2C0" w14:textId="77777777" w:rsidTr="00463ABD">
        <w:trPr>
          <w:trHeight w:val="181"/>
        </w:trPr>
        <w:tc>
          <w:tcPr>
            <w:tcW w:w="810" w:type="pct"/>
          </w:tcPr>
          <w:p w14:paraId="2D9E7AFA" w14:textId="77777777" w:rsidR="007D6CAA" w:rsidRPr="00CA2915" w:rsidRDefault="007D6CAA" w:rsidP="001A5D4A">
            <w:pPr>
              <w:pStyle w:val="Note-Refs"/>
            </w:pPr>
          </w:p>
        </w:tc>
        <w:tc>
          <w:tcPr>
            <w:tcW w:w="4190" w:type="pct"/>
            <w:gridSpan w:val="5"/>
            <w:shd w:val="clear" w:color="auto" w:fill="CDCDCD"/>
          </w:tcPr>
          <w:p w14:paraId="4B9381A7" w14:textId="0552BCDE" w:rsidR="007D6CAA" w:rsidRPr="00E47831" w:rsidRDefault="007D6CAA" w:rsidP="001A5D4A">
            <w:pPr>
              <w:pStyle w:val="NotesTable-ItemPlain"/>
              <w:rPr>
                <w:b/>
              </w:rPr>
            </w:pPr>
            <w:r w:rsidRPr="00CA2915">
              <w:t xml:space="preserve">Details of loans made to directors of </w:t>
            </w:r>
            <w:r>
              <w:t>[</w:t>
            </w:r>
            <w:r w:rsidRPr="00B53308">
              <w:t>HEP</w:t>
            </w:r>
            <w:r>
              <w:t>]</w:t>
            </w:r>
            <w:r w:rsidRPr="00CA2915">
              <w:t xml:space="preserve"> and other key management personnel of the Group, including their personally related parties, are set out below:</w:t>
            </w:r>
          </w:p>
        </w:tc>
      </w:tr>
      <w:tr w:rsidR="007D6CAA" w:rsidRPr="00CA2915" w14:paraId="7DAB6EDA" w14:textId="77777777" w:rsidTr="00463ABD">
        <w:trPr>
          <w:trHeight w:hRule="exact" w:val="85"/>
        </w:trPr>
        <w:tc>
          <w:tcPr>
            <w:tcW w:w="810" w:type="pct"/>
          </w:tcPr>
          <w:p w14:paraId="0EB7E437" w14:textId="77777777" w:rsidR="007D6CAA" w:rsidRPr="00CA2915" w:rsidRDefault="007D6CAA" w:rsidP="001A5D4A">
            <w:pPr>
              <w:pStyle w:val="Note-Refs"/>
            </w:pPr>
          </w:p>
        </w:tc>
        <w:tc>
          <w:tcPr>
            <w:tcW w:w="4190" w:type="pct"/>
            <w:gridSpan w:val="5"/>
            <w:shd w:val="clear" w:color="auto" w:fill="CDCDCD"/>
          </w:tcPr>
          <w:p w14:paraId="3FBAD5DE" w14:textId="77777777" w:rsidR="007D6CAA" w:rsidRPr="00CA2915" w:rsidRDefault="007D6CAA" w:rsidP="001A5D4A">
            <w:pPr>
              <w:pStyle w:val="NotesTable-ItemPlain"/>
            </w:pPr>
          </w:p>
        </w:tc>
      </w:tr>
      <w:tr w:rsidR="007D6CAA" w:rsidRPr="00CA2915" w14:paraId="511A37A9" w14:textId="77777777" w:rsidTr="00463ABD">
        <w:trPr>
          <w:trHeight w:val="181"/>
        </w:trPr>
        <w:tc>
          <w:tcPr>
            <w:tcW w:w="810" w:type="pct"/>
          </w:tcPr>
          <w:p w14:paraId="13F92CD9" w14:textId="77777777" w:rsidR="007D6CAA" w:rsidRPr="00CA2915" w:rsidRDefault="007D6CAA" w:rsidP="001A5D4A">
            <w:pPr>
              <w:pStyle w:val="Note-Refs"/>
              <w:rPr>
                <w:b/>
                <w:sz w:val="22"/>
              </w:rPr>
            </w:pPr>
            <w:r w:rsidRPr="00CA2915">
              <w:t>AASB124</w:t>
            </w:r>
            <w:r>
              <w:t>.18</w:t>
            </w:r>
          </w:p>
          <w:p w14:paraId="593A464A" w14:textId="77777777" w:rsidR="007D6CAA" w:rsidRPr="00CA2915" w:rsidRDefault="007D6CAA" w:rsidP="001A5D4A">
            <w:pPr>
              <w:pStyle w:val="Note-Refs"/>
            </w:pPr>
          </w:p>
        </w:tc>
        <w:tc>
          <w:tcPr>
            <w:tcW w:w="4190" w:type="pct"/>
            <w:gridSpan w:val="5"/>
            <w:shd w:val="clear" w:color="auto" w:fill="CDCDCD"/>
          </w:tcPr>
          <w:p w14:paraId="2BA76D56" w14:textId="77777777" w:rsidR="007D6CAA" w:rsidRPr="00CA2915" w:rsidRDefault="007D6CAA" w:rsidP="001A5D4A">
            <w:pPr>
              <w:pStyle w:val="NotesTable-ItemPlain"/>
              <w:rPr>
                <w:b/>
              </w:rPr>
            </w:pPr>
            <w:r w:rsidRPr="00CA2915">
              <w:t>Aggregates for key management personnel</w:t>
            </w:r>
          </w:p>
        </w:tc>
      </w:tr>
      <w:tr w:rsidR="007D6CAA" w:rsidRPr="00CA2915" w14:paraId="3D536052" w14:textId="77777777" w:rsidTr="00EF62D6">
        <w:trPr>
          <w:trHeight w:val="181"/>
        </w:trPr>
        <w:tc>
          <w:tcPr>
            <w:tcW w:w="810" w:type="pct"/>
          </w:tcPr>
          <w:p w14:paraId="75D629CE" w14:textId="77777777" w:rsidR="007D6CAA" w:rsidRPr="00CA2915" w:rsidRDefault="007D6CAA" w:rsidP="001A5D4A">
            <w:pPr>
              <w:pStyle w:val="Note-Refs"/>
            </w:pPr>
          </w:p>
        </w:tc>
        <w:tc>
          <w:tcPr>
            <w:tcW w:w="2567" w:type="pct"/>
            <w:shd w:val="clear" w:color="auto" w:fill="CDCDCD"/>
          </w:tcPr>
          <w:p w14:paraId="340EB4C1" w14:textId="77777777" w:rsidR="007D6CAA" w:rsidRPr="00CA2915" w:rsidRDefault="007D6CAA" w:rsidP="001A5D4A">
            <w:pPr>
              <w:pStyle w:val="NotesTable-ItemPlain"/>
            </w:pPr>
          </w:p>
        </w:tc>
        <w:tc>
          <w:tcPr>
            <w:tcW w:w="812" w:type="pct"/>
            <w:gridSpan w:val="2"/>
            <w:shd w:val="clear" w:color="auto" w:fill="CDCDCD"/>
          </w:tcPr>
          <w:p w14:paraId="33391FC3" w14:textId="77777777" w:rsidR="007D6CAA" w:rsidRPr="00CA2915" w:rsidRDefault="007D6CAA" w:rsidP="001A5D4A">
            <w:pPr>
              <w:pStyle w:val="NotesTable-HeadPlain"/>
            </w:pPr>
            <w:r w:rsidRPr="00CA2915">
              <w:t>Consolidated</w:t>
            </w:r>
          </w:p>
        </w:tc>
        <w:tc>
          <w:tcPr>
            <w:tcW w:w="811" w:type="pct"/>
            <w:gridSpan w:val="2"/>
            <w:shd w:val="clear" w:color="auto" w:fill="CDCDCD"/>
          </w:tcPr>
          <w:p w14:paraId="318458E7" w14:textId="77777777" w:rsidR="007D6CAA" w:rsidRPr="00CA2915" w:rsidRDefault="007D6CAA" w:rsidP="001A5D4A">
            <w:pPr>
              <w:pStyle w:val="NotesTable-HeadPlain"/>
            </w:pPr>
            <w:r w:rsidRPr="00CA2915">
              <w:t>Parent entity</w:t>
            </w:r>
          </w:p>
        </w:tc>
      </w:tr>
      <w:tr w:rsidR="007D6CAA" w:rsidRPr="00CA2915" w14:paraId="2DA81029" w14:textId="77777777" w:rsidTr="00EF62D6">
        <w:trPr>
          <w:trHeight w:val="181"/>
        </w:trPr>
        <w:tc>
          <w:tcPr>
            <w:tcW w:w="810" w:type="pct"/>
          </w:tcPr>
          <w:p w14:paraId="42A311CA" w14:textId="77777777" w:rsidR="007D6CAA" w:rsidRPr="003C77BC" w:rsidRDefault="007D6CAA" w:rsidP="001A5D4A">
            <w:pPr>
              <w:pStyle w:val="Note-Refs"/>
            </w:pPr>
          </w:p>
        </w:tc>
        <w:tc>
          <w:tcPr>
            <w:tcW w:w="2567" w:type="pct"/>
            <w:shd w:val="clear" w:color="auto" w:fill="CDCDCD"/>
          </w:tcPr>
          <w:p w14:paraId="04EE50B9" w14:textId="77777777" w:rsidR="007D6CAA" w:rsidRPr="00CA2915" w:rsidRDefault="007D6CAA" w:rsidP="001A5D4A">
            <w:pPr>
              <w:pStyle w:val="NotesTable-ItemPlain"/>
            </w:pPr>
          </w:p>
        </w:tc>
        <w:tc>
          <w:tcPr>
            <w:tcW w:w="406" w:type="pct"/>
            <w:shd w:val="clear" w:color="auto" w:fill="CDCDCD"/>
          </w:tcPr>
          <w:p w14:paraId="459B709F" w14:textId="77777777" w:rsidR="007D6CAA" w:rsidRDefault="007D6CAA" w:rsidP="001A5D4A">
            <w:pPr>
              <w:pStyle w:val="NotesTable-HeadBold"/>
            </w:pPr>
            <w:r>
              <w:t>2014</w:t>
            </w:r>
          </w:p>
        </w:tc>
        <w:tc>
          <w:tcPr>
            <w:tcW w:w="406" w:type="pct"/>
            <w:shd w:val="clear" w:color="auto" w:fill="CDCDCD"/>
          </w:tcPr>
          <w:p w14:paraId="773C4C11" w14:textId="77777777" w:rsidR="007D6CAA" w:rsidRDefault="007D6CAA" w:rsidP="001A5D4A">
            <w:pPr>
              <w:pStyle w:val="NotesTable-HeadPlain"/>
            </w:pPr>
            <w:r>
              <w:t>2013</w:t>
            </w:r>
          </w:p>
        </w:tc>
        <w:tc>
          <w:tcPr>
            <w:tcW w:w="406" w:type="pct"/>
            <w:shd w:val="clear" w:color="auto" w:fill="CDCDCD"/>
          </w:tcPr>
          <w:p w14:paraId="5F3F0CE1" w14:textId="77777777" w:rsidR="007D6CAA" w:rsidRDefault="007D6CAA" w:rsidP="001A5D4A">
            <w:pPr>
              <w:pStyle w:val="NotesTable-HeadBold"/>
              <w:rPr>
                <w:szCs w:val="18"/>
              </w:rPr>
            </w:pPr>
            <w:r>
              <w:t>2014</w:t>
            </w:r>
          </w:p>
        </w:tc>
        <w:tc>
          <w:tcPr>
            <w:tcW w:w="405" w:type="pct"/>
            <w:shd w:val="clear" w:color="auto" w:fill="CDCDCD"/>
          </w:tcPr>
          <w:p w14:paraId="10DDF260" w14:textId="77777777" w:rsidR="007D6CAA" w:rsidRDefault="007D6CAA" w:rsidP="001A5D4A">
            <w:pPr>
              <w:pStyle w:val="NotesTable-HeadPlain"/>
            </w:pPr>
            <w:r>
              <w:t>2013</w:t>
            </w:r>
          </w:p>
        </w:tc>
      </w:tr>
      <w:tr w:rsidR="007D6CAA" w:rsidRPr="00CA2915" w14:paraId="65BF8190" w14:textId="77777777" w:rsidTr="00EF62D6">
        <w:trPr>
          <w:trHeight w:val="181"/>
        </w:trPr>
        <w:tc>
          <w:tcPr>
            <w:tcW w:w="810" w:type="pct"/>
          </w:tcPr>
          <w:p w14:paraId="2380D315" w14:textId="77777777" w:rsidR="007D6CAA" w:rsidRPr="003C77BC" w:rsidRDefault="007D6CAA" w:rsidP="001A5D4A">
            <w:pPr>
              <w:pStyle w:val="Note-Refs"/>
            </w:pPr>
          </w:p>
        </w:tc>
        <w:tc>
          <w:tcPr>
            <w:tcW w:w="2567" w:type="pct"/>
            <w:shd w:val="clear" w:color="auto" w:fill="CDCDCD"/>
          </w:tcPr>
          <w:p w14:paraId="202E8C78" w14:textId="77777777" w:rsidR="007D6CAA" w:rsidRPr="00CA2915" w:rsidRDefault="007D6CAA" w:rsidP="001A5D4A">
            <w:pPr>
              <w:pStyle w:val="NotesTable-ItemPlain"/>
            </w:pPr>
          </w:p>
        </w:tc>
        <w:tc>
          <w:tcPr>
            <w:tcW w:w="406" w:type="pct"/>
            <w:shd w:val="clear" w:color="auto" w:fill="CDCDCD"/>
          </w:tcPr>
          <w:p w14:paraId="34CFA825" w14:textId="77777777" w:rsidR="007D6CAA" w:rsidRDefault="007D6CAA" w:rsidP="001A5D4A">
            <w:pPr>
              <w:pStyle w:val="NotesTable-HeadBold"/>
            </w:pPr>
            <w:r>
              <w:t>$</w:t>
            </w:r>
          </w:p>
        </w:tc>
        <w:tc>
          <w:tcPr>
            <w:tcW w:w="406" w:type="pct"/>
            <w:shd w:val="clear" w:color="auto" w:fill="CDCDCD"/>
          </w:tcPr>
          <w:p w14:paraId="1D725109" w14:textId="77777777" w:rsidR="007D6CAA" w:rsidRPr="009F4D7B" w:rsidRDefault="007D6CAA" w:rsidP="001A5D4A">
            <w:pPr>
              <w:pStyle w:val="NotesTable-HeadPlain"/>
            </w:pPr>
            <w:r w:rsidRPr="00813AD3">
              <w:t>$</w:t>
            </w:r>
          </w:p>
        </w:tc>
        <w:tc>
          <w:tcPr>
            <w:tcW w:w="406" w:type="pct"/>
            <w:shd w:val="clear" w:color="auto" w:fill="CDCDCD"/>
          </w:tcPr>
          <w:p w14:paraId="459B8595" w14:textId="77777777" w:rsidR="007D6CAA" w:rsidRDefault="007D6CAA" w:rsidP="001A5D4A">
            <w:pPr>
              <w:pStyle w:val="NotesTable-HeadBold"/>
              <w:rPr>
                <w:szCs w:val="18"/>
              </w:rPr>
            </w:pPr>
            <w:r>
              <w:t>$</w:t>
            </w:r>
          </w:p>
        </w:tc>
        <w:tc>
          <w:tcPr>
            <w:tcW w:w="405" w:type="pct"/>
            <w:shd w:val="clear" w:color="auto" w:fill="CDCDCD"/>
          </w:tcPr>
          <w:p w14:paraId="7A60919F" w14:textId="77777777" w:rsidR="007D6CAA" w:rsidRDefault="007D6CAA" w:rsidP="001A5D4A">
            <w:pPr>
              <w:pStyle w:val="NotesTable-HeadPlain"/>
            </w:pPr>
            <w:r w:rsidRPr="00F13A53">
              <w:t>$</w:t>
            </w:r>
          </w:p>
        </w:tc>
      </w:tr>
      <w:tr w:rsidR="007D6CAA" w:rsidRPr="00CA2915" w14:paraId="29842235" w14:textId="77777777" w:rsidTr="00EF62D6">
        <w:trPr>
          <w:trHeight w:val="181"/>
        </w:trPr>
        <w:tc>
          <w:tcPr>
            <w:tcW w:w="810" w:type="pct"/>
          </w:tcPr>
          <w:p w14:paraId="7EDA5470" w14:textId="77777777" w:rsidR="007D6CAA" w:rsidRPr="00CA2915" w:rsidRDefault="007D6CAA" w:rsidP="001A5D4A">
            <w:pPr>
              <w:pStyle w:val="Note-Refs"/>
            </w:pPr>
          </w:p>
        </w:tc>
        <w:tc>
          <w:tcPr>
            <w:tcW w:w="2567" w:type="pct"/>
            <w:shd w:val="clear" w:color="auto" w:fill="CDCDCD"/>
          </w:tcPr>
          <w:p w14:paraId="18E658CE" w14:textId="77777777" w:rsidR="007D6CAA" w:rsidRPr="00CA2915" w:rsidRDefault="007D6CAA" w:rsidP="001A5D4A">
            <w:pPr>
              <w:pStyle w:val="NotesTable-ItemPlain"/>
              <w:rPr>
                <w:b/>
              </w:rPr>
            </w:pPr>
            <w:r w:rsidRPr="00CA2915">
              <w:t>Balance at the start of the year</w:t>
            </w:r>
          </w:p>
        </w:tc>
        <w:tc>
          <w:tcPr>
            <w:tcW w:w="406" w:type="pct"/>
            <w:shd w:val="clear" w:color="auto" w:fill="CDCDCD"/>
            <w:vAlign w:val="bottom"/>
          </w:tcPr>
          <w:p w14:paraId="57E9A3F0" w14:textId="77777777" w:rsidR="007D6CAA" w:rsidRPr="00CA2915" w:rsidRDefault="007D6CAA" w:rsidP="001A5D4A">
            <w:pPr>
              <w:pStyle w:val="NotesTable-CellBold"/>
            </w:pPr>
            <w:r w:rsidRPr="00CA2915">
              <w:t>–</w:t>
            </w:r>
          </w:p>
        </w:tc>
        <w:tc>
          <w:tcPr>
            <w:tcW w:w="406" w:type="pct"/>
            <w:shd w:val="clear" w:color="auto" w:fill="CDCDCD"/>
            <w:vAlign w:val="bottom"/>
          </w:tcPr>
          <w:p w14:paraId="39430481" w14:textId="77777777" w:rsidR="007D6CAA" w:rsidRPr="00CA2915" w:rsidRDefault="007D6CAA" w:rsidP="001A5D4A">
            <w:pPr>
              <w:pStyle w:val="NotesTable-CellPlain"/>
            </w:pPr>
            <w:r w:rsidRPr="00CA2915">
              <w:t>–</w:t>
            </w:r>
          </w:p>
        </w:tc>
        <w:tc>
          <w:tcPr>
            <w:tcW w:w="406" w:type="pct"/>
            <w:shd w:val="clear" w:color="auto" w:fill="CDCDCD"/>
            <w:vAlign w:val="bottom"/>
          </w:tcPr>
          <w:p w14:paraId="5B10AC4B" w14:textId="77777777" w:rsidR="007D6CAA" w:rsidRPr="00CA2915" w:rsidRDefault="007D6CAA" w:rsidP="001A5D4A">
            <w:pPr>
              <w:pStyle w:val="NotesTable-CellBold"/>
            </w:pPr>
            <w:r w:rsidRPr="00CA2915">
              <w:t>–</w:t>
            </w:r>
          </w:p>
        </w:tc>
        <w:tc>
          <w:tcPr>
            <w:tcW w:w="405" w:type="pct"/>
            <w:shd w:val="clear" w:color="auto" w:fill="CDCDCD"/>
            <w:vAlign w:val="bottom"/>
          </w:tcPr>
          <w:p w14:paraId="29AE9483" w14:textId="77777777" w:rsidR="007D6CAA" w:rsidRPr="00CA2915" w:rsidRDefault="007D6CAA" w:rsidP="001A5D4A">
            <w:pPr>
              <w:pStyle w:val="NotesTable-CellPlain"/>
            </w:pPr>
            <w:r w:rsidRPr="00CA2915">
              <w:t>–</w:t>
            </w:r>
          </w:p>
        </w:tc>
      </w:tr>
      <w:tr w:rsidR="007D6CAA" w:rsidRPr="00CA2915" w14:paraId="0C7AE36C" w14:textId="77777777" w:rsidTr="00EF62D6">
        <w:trPr>
          <w:trHeight w:val="181"/>
        </w:trPr>
        <w:tc>
          <w:tcPr>
            <w:tcW w:w="810" w:type="pct"/>
          </w:tcPr>
          <w:p w14:paraId="4D212312" w14:textId="77777777" w:rsidR="007D6CAA" w:rsidRPr="00CA2915" w:rsidRDefault="007D6CAA" w:rsidP="001A5D4A">
            <w:pPr>
              <w:pStyle w:val="Note-Refs"/>
            </w:pPr>
          </w:p>
        </w:tc>
        <w:tc>
          <w:tcPr>
            <w:tcW w:w="2567" w:type="pct"/>
            <w:shd w:val="clear" w:color="auto" w:fill="CDCDCD"/>
          </w:tcPr>
          <w:p w14:paraId="0B4B3EE3" w14:textId="77777777" w:rsidR="007D6CAA" w:rsidRPr="00CA2915" w:rsidRDefault="007D6CAA" w:rsidP="001A5D4A">
            <w:pPr>
              <w:pStyle w:val="NotesTable-ItemPlain"/>
              <w:rPr>
                <w:b/>
              </w:rPr>
            </w:pPr>
            <w:r w:rsidRPr="00CA2915">
              <w:t>Interest paid and payable for the year</w:t>
            </w:r>
          </w:p>
        </w:tc>
        <w:tc>
          <w:tcPr>
            <w:tcW w:w="406" w:type="pct"/>
            <w:shd w:val="clear" w:color="auto" w:fill="CDCDCD"/>
            <w:vAlign w:val="bottom"/>
          </w:tcPr>
          <w:p w14:paraId="60B839AB" w14:textId="77777777" w:rsidR="007D6CAA" w:rsidRPr="00CA2915" w:rsidRDefault="007D6CAA" w:rsidP="001A5D4A">
            <w:pPr>
              <w:pStyle w:val="NotesTable-CellBold"/>
            </w:pPr>
            <w:r w:rsidRPr="00CA2915">
              <w:t>–</w:t>
            </w:r>
          </w:p>
        </w:tc>
        <w:tc>
          <w:tcPr>
            <w:tcW w:w="406" w:type="pct"/>
            <w:shd w:val="clear" w:color="auto" w:fill="CDCDCD"/>
            <w:vAlign w:val="bottom"/>
          </w:tcPr>
          <w:p w14:paraId="16893F99" w14:textId="77777777" w:rsidR="007D6CAA" w:rsidRPr="00CA2915" w:rsidRDefault="007D6CAA" w:rsidP="001A5D4A">
            <w:pPr>
              <w:pStyle w:val="NotesTable-CellPlain"/>
            </w:pPr>
            <w:r w:rsidRPr="00CA2915">
              <w:t>–</w:t>
            </w:r>
          </w:p>
        </w:tc>
        <w:tc>
          <w:tcPr>
            <w:tcW w:w="406" w:type="pct"/>
            <w:shd w:val="clear" w:color="auto" w:fill="CDCDCD"/>
            <w:vAlign w:val="bottom"/>
          </w:tcPr>
          <w:p w14:paraId="2A598855" w14:textId="77777777" w:rsidR="007D6CAA" w:rsidRPr="00CA2915" w:rsidRDefault="007D6CAA" w:rsidP="001A5D4A">
            <w:pPr>
              <w:pStyle w:val="NotesTable-CellBold"/>
            </w:pPr>
            <w:r w:rsidRPr="00CA2915">
              <w:t>–</w:t>
            </w:r>
          </w:p>
        </w:tc>
        <w:tc>
          <w:tcPr>
            <w:tcW w:w="405" w:type="pct"/>
            <w:shd w:val="clear" w:color="auto" w:fill="CDCDCD"/>
            <w:vAlign w:val="bottom"/>
          </w:tcPr>
          <w:p w14:paraId="47CFDDC0" w14:textId="77777777" w:rsidR="007D6CAA" w:rsidRPr="00CA2915" w:rsidRDefault="007D6CAA" w:rsidP="001A5D4A">
            <w:pPr>
              <w:pStyle w:val="NotesTable-CellPlain"/>
            </w:pPr>
            <w:r w:rsidRPr="00CA2915">
              <w:t>–</w:t>
            </w:r>
          </w:p>
        </w:tc>
      </w:tr>
      <w:tr w:rsidR="007D6CAA" w:rsidRPr="00CA2915" w14:paraId="0D124A9A" w14:textId="77777777" w:rsidTr="00EF62D6">
        <w:trPr>
          <w:trHeight w:val="181"/>
        </w:trPr>
        <w:tc>
          <w:tcPr>
            <w:tcW w:w="810" w:type="pct"/>
          </w:tcPr>
          <w:p w14:paraId="61736373" w14:textId="77777777" w:rsidR="007D6CAA" w:rsidRPr="00CA2915" w:rsidRDefault="007D6CAA" w:rsidP="001A5D4A">
            <w:pPr>
              <w:pStyle w:val="Note-Refs"/>
            </w:pPr>
          </w:p>
        </w:tc>
        <w:tc>
          <w:tcPr>
            <w:tcW w:w="2567" w:type="pct"/>
            <w:shd w:val="clear" w:color="auto" w:fill="CDCDCD"/>
          </w:tcPr>
          <w:p w14:paraId="22BB1BFB" w14:textId="77777777" w:rsidR="007D6CAA" w:rsidRPr="00CA2915" w:rsidRDefault="007D6CAA" w:rsidP="001A5D4A">
            <w:pPr>
              <w:pStyle w:val="NotesTable-ItemPlain"/>
              <w:rPr>
                <w:b/>
              </w:rPr>
            </w:pPr>
            <w:r w:rsidRPr="00CA2915">
              <w:t>Balance at the end of the year</w:t>
            </w:r>
          </w:p>
        </w:tc>
        <w:tc>
          <w:tcPr>
            <w:tcW w:w="406" w:type="pct"/>
            <w:tcBorders>
              <w:top w:val="single" w:sz="4" w:space="0" w:color="auto"/>
            </w:tcBorders>
            <w:shd w:val="clear" w:color="auto" w:fill="CDCDCD"/>
            <w:vAlign w:val="bottom"/>
          </w:tcPr>
          <w:p w14:paraId="7F2D208E" w14:textId="77777777" w:rsidR="007D6CAA" w:rsidRPr="00CA2915" w:rsidRDefault="007D6CAA" w:rsidP="001A5D4A">
            <w:pPr>
              <w:pStyle w:val="NotesTable-CellBold"/>
            </w:pPr>
            <w:r w:rsidRPr="00CA2915">
              <w:t>–</w:t>
            </w:r>
          </w:p>
        </w:tc>
        <w:tc>
          <w:tcPr>
            <w:tcW w:w="406" w:type="pct"/>
            <w:tcBorders>
              <w:top w:val="single" w:sz="4" w:space="0" w:color="auto"/>
            </w:tcBorders>
            <w:shd w:val="clear" w:color="auto" w:fill="CDCDCD"/>
            <w:vAlign w:val="bottom"/>
          </w:tcPr>
          <w:p w14:paraId="0146E685" w14:textId="77777777" w:rsidR="007D6CAA" w:rsidRPr="00CA2915" w:rsidRDefault="007D6CAA" w:rsidP="001A5D4A">
            <w:pPr>
              <w:pStyle w:val="NotesTable-CellPlain"/>
            </w:pPr>
            <w:r w:rsidRPr="00CA2915">
              <w:t>–</w:t>
            </w:r>
          </w:p>
        </w:tc>
        <w:tc>
          <w:tcPr>
            <w:tcW w:w="406" w:type="pct"/>
            <w:tcBorders>
              <w:top w:val="single" w:sz="4" w:space="0" w:color="auto"/>
            </w:tcBorders>
            <w:shd w:val="clear" w:color="auto" w:fill="CDCDCD"/>
            <w:vAlign w:val="bottom"/>
          </w:tcPr>
          <w:p w14:paraId="18062442" w14:textId="77777777" w:rsidR="007D6CAA" w:rsidRPr="00CA2915" w:rsidRDefault="007D6CAA" w:rsidP="001A5D4A">
            <w:pPr>
              <w:pStyle w:val="NotesTable-CellBold"/>
            </w:pPr>
            <w:r w:rsidRPr="00CA2915">
              <w:t>–</w:t>
            </w:r>
          </w:p>
        </w:tc>
        <w:tc>
          <w:tcPr>
            <w:tcW w:w="405" w:type="pct"/>
            <w:tcBorders>
              <w:top w:val="single" w:sz="4" w:space="0" w:color="auto"/>
            </w:tcBorders>
            <w:shd w:val="clear" w:color="auto" w:fill="CDCDCD"/>
            <w:vAlign w:val="bottom"/>
          </w:tcPr>
          <w:p w14:paraId="3EA9A456" w14:textId="77777777" w:rsidR="007D6CAA" w:rsidRPr="00CA2915" w:rsidRDefault="007D6CAA" w:rsidP="001A5D4A">
            <w:pPr>
              <w:pStyle w:val="NotesTable-CellPlain"/>
            </w:pPr>
            <w:r w:rsidRPr="00CA2915">
              <w:t>–</w:t>
            </w:r>
          </w:p>
        </w:tc>
      </w:tr>
      <w:tr w:rsidR="007D6CAA" w:rsidRPr="00CA2915" w14:paraId="1BB4C15C" w14:textId="77777777" w:rsidTr="00EF62D6">
        <w:trPr>
          <w:trHeight w:val="181"/>
        </w:trPr>
        <w:tc>
          <w:tcPr>
            <w:tcW w:w="810" w:type="pct"/>
          </w:tcPr>
          <w:p w14:paraId="11C4BF87" w14:textId="77777777" w:rsidR="007D6CAA" w:rsidRPr="00CA2915" w:rsidRDefault="007D6CAA" w:rsidP="001A5D4A">
            <w:pPr>
              <w:pStyle w:val="Note-Refs"/>
            </w:pPr>
          </w:p>
        </w:tc>
        <w:tc>
          <w:tcPr>
            <w:tcW w:w="2567" w:type="pct"/>
            <w:shd w:val="clear" w:color="auto" w:fill="CDCDCD"/>
          </w:tcPr>
          <w:p w14:paraId="43F45FC1" w14:textId="77777777" w:rsidR="007D6CAA" w:rsidRPr="00CA2915" w:rsidRDefault="007D6CAA" w:rsidP="001A5D4A">
            <w:pPr>
              <w:pStyle w:val="NotesTable-ItemPlain"/>
            </w:pPr>
          </w:p>
        </w:tc>
        <w:tc>
          <w:tcPr>
            <w:tcW w:w="406" w:type="pct"/>
            <w:shd w:val="clear" w:color="auto" w:fill="CDCDCD"/>
            <w:vAlign w:val="bottom"/>
          </w:tcPr>
          <w:p w14:paraId="110A546B" w14:textId="77777777" w:rsidR="007D6CAA" w:rsidRPr="00CA2915" w:rsidRDefault="007D6CAA" w:rsidP="001A5D4A">
            <w:pPr>
              <w:pStyle w:val="NotesTable-CellBold"/>
            </w:pPr>
          </w:p>
        </w:tc>
        <w:tc>
          <w:tcPr>
            <w:tcW w:w="406" w:type="pct"/>
            <w:shd w:val="clear" w:color="auto" w:fill="CDCDCD"/>
            <w:vAlign w:val="bottom"/>
          </w:tcPr>
          <w:p w14:paraId="54555686" w14:textId="77777777" w:rsidR="007D6CAA" w:rsidRPr="00CA2915" w:rsidRDefault="007D6CAA" w:rsidP="001A5D4A">
            <w:pPr>
              <w:pStyle w:val="NotesTable-CellPlain"/>
            </w:pPr>
          </w:p>
        </w:tc>
        <w:tc>
          <w:tcPr>
            <w:tcW w:w="406" w:type="pct"/>
            <w:shd w:val="clear" w:color="auto" w:fill="CDCDCD"/>
            <w:vAlign w:val="bottom"/>
          </w:tcPr>
          <w:p w14:paraId="68E541B9" w14:textId="77777777" w:rsidR="007D6CAA" w:rsidRPr="00CA2915" w:rsidRDefault="007D6CAA" w:rsidP="001A5D4A">
            <w:pPr>
              <w:pStyle w:val="NotesTable-CellBold"/>
            </w:pPr>
          </w:p>
        </w:tc>
        <w:tc>
          <w:tcPr>
            <w:tcW w:w="405" w:type="pct"/>
            <w:shd w:val="clear" w:color="auto" w:fill="CDCDCD"/>
            <w:vAlign w:val="bottom"/>
          </w:tcPr>
          <w:p w14:paraId="3E173764" w14:textId="77777777" w:rsidR="007D6CAA" w:rsidRPr="00CA2915" w:rsidRDefault="007D6CAA" w:rsidP="001A5D4A">
            <w:pPr>
              <w:pStyle w:val="NotesTable-CellPlain"/>
            </w:pPr>
          </w:p>
        </w:tc>
      </w:tr>
      <w:tr w:rsidR="007D6CAA" w:rsidRPr="00CA2915" w14:paraId="784B603A" w14:textId="77777777" w:rsidTr="00EF62D6">
        <w:trPr>
          <w:trHeight w:val="181"/>
        </w:trPr>
        <w:tc>
          <w:tcPr>
            <w:tcW w:w="810" w:type="pct"/>
          </w:tcPr>
          <w:p w14:paraId="006AAB96" w14:textId="77777777" w:rsidR="007D6CAA" w:rsidRPr="00CA2915" w:rsidRDefault="007D6CAA" w:rsidP="001A5D4A">
            <w:pPr>
              <w:pStyle w:val="Note-Refs"/>
            </w:pPr>
          </w:p>
        </w:tc>
        <w:tc>
          <w:tcPr>
            <w:tcW w:w="2567" w:type="pct"/>
            <w:shd w:val="clear" w:color="auto" w:fill="CDCDCD"/>
          </w:tcPr>
          <w:p w14:paraId="17453FB5" w14:textId="77777777" w:rsidR="007D6CAA" w:rsidRPr="00CA2915" w:rsidRDefault="007D6CAA" w:rsidP="001A5D4A">
            <w:pPr>
              <w:pStyle w:val="NotesTable-ItemPlain"/>
              <w:rPr>
                <w:b/>
              </w:rPr>
            </w:pPr>
            <w:r w:rsidRPr="00CA2915">
              <w:t>Interest not charged</w:t>
            </w:r>
          </w:p>
        </w:tc>
        <w:tc>
          <w:tcPr>
            <w:tcW w:w="406" w:type="pct"/>
            <w:shd w:val="clear" w:color="auto" w:fill="CDCDCD"/>
            <w:vAlign w:val="bottom"/>
          </w:tcPr>
          <w:p w14:paraId="56A9CEA8" w14:textId="77777777" w:rsidR="007D6CAA" w:rsidRPr="00CA2915" w:rsidRDefault="007D6CAA" w:rsidP="001A5D4A">
            <w:pPr>
              <w:pStyle w:val="NotesTable-CellBold"/>
            </w:pPr>
            <w:r w:rsidRPr="00CA2915">
              <w:t>–</w:t>
            </w:r>
          </w:p>
        </w:tc>
        <w:tc>
          <w:tcPr>
            <w:tcW w:w="406" w:type="pct"/>
            <w:shd w:val="clear" w:color="auto" w:fill="CDCDCD"/>
            <w:vAlign w:val="bottom"/>
          </w:tcPr>
          <w:p w14:paraId="4B69E872" w14:textId="77777777" w:rsidR="007D6CAA" w:rsidRPr="00CA2915" w:rsidRDefault="007D6CAA" w:rsidP="001A5D4A">
            <w:pPr>
              <w:pStyle w:val="NotesTable-CellPlain"/>
            </w:pPr>
            <w:r w:rsidRPr="00CA2915">
              <w:t>–</w:t>
            </w:r>
          </w:p>
        </w:tc>
        <w:tc>
          <w:tcPr>
            <w:tcW w:w="406" w:type="pct"/>
            <w:shd w:val="clear" w:color="auto" w:fill="CDCDCD"/>
            <w:vAlign w:val="bottom"/>
          </w:tcPr>
          <w:p w14:paraId="390744BE" w14:textId="77777777" w:rsidR="007D6CAA" w:rsidRPr="00CA2915" w:rsidRDefault="007D6CAA" w:rsidP="001A5D4A">
            <w:pPr>
              <w:pStyle w:val="NotesTable-CellBold"/>
            </w:pPr>
            <w:r w:rsidRPr="00CA2915">
              <w:t>–</w:t>
            </w:r>
          </w:p>
        </w:tc>
        <w:tc>
          <w:tcPr>
            <w:tcW w:w="405" w:type="pct"/>
            <w:shd w:val="clear" w:color="auto" w:fill="CDCDCD"/>
            <w:vAlign w:val="bottom"/>
          </w:tcPr>
          <w:p w14:paraId="66E4F301" w14:textId="77777777" w:rsidR="007D6CAA" w:rsidRPr="00CA2915" w:rsidRDefault="007D6CAA" w:rsidP="001A5D4A">
            <w:pPr>
              <w:pStyle w:val="NotesTable-CellPlain"/>
            </w:pPr>
            <w:r w:rsidRPr="00CA2915">
              <w:t>–</w:t>
            </w:r>
          </w:p>
        </w:tc>
      </w:tr>
      <w:tr w:rsidR="007D6CAA" w:rsidRPr="00CA2915" w14:paraId="562A845B" w14:textId="77777777" w:rsidTr="00EF62D6">
        <w:trPr>
          <w:trHeight w:val="181"/>
        </w:trPr>
        <w:tc>
          <w:tcPr>
            <w:tcW w:w="810" w:type="pct"/>
          </w:tcPr>
          <w:p w14:paraId="7EB77C5D" w14:textId="77777777" w:rsidR="007D6CAA" w:rsidRPr="00CA2915" w:rsidRDefault="007D6CAA" w:rsidP="001A5D4A">
            <w:pPr>
              <w:pStyle w:val="Note-Refs"/>
            </w:pPr>
          </w:p>
        </w:tc>
        <w:tc>
          <w:tcPr>
            <w:tcW w:w="2567" w:type="pct"/>
            <w:shd w:val="clear" w:color="auto" w:fill="CDCDCD"/>
          </w:tcPr>
          <w:p w14:paraId="602B002F" w14:textId="77777777" w:rsidR="007D6CAA" w:rsidRPr="00CA2915" w:rsidRDefault="007D6CAA" w:rsidP="001A5D4A">
            <w:pPr>
              <w:pStyle w:val="NotesTable-ItemPlain"/>
            </w:pPr>
          </w:p>
        </w:tc>
        <w:tc>
          <w:tcPr>
            <w:tcW w:w="406" w:type="pct"/>
            <w:shd w:val="clear" w:color="auto" w:fill="CDCDCD"/>
            <w:vAlign w:val="bottom"/>
          </w:tcPr>
          <w:p w14:paraId="6CB2E36A" w14:textId="77777777" w:rsidR="007D6CAA" w:rsidRPr="00CA2915" w:rsidRDefault="007D6CAA" w:rsidP="001A5D4A">
            <w:pPr>
              <w:pStyle w:val="NotesTable-CellBold"/>
            </w:pPr>
          </w:p>
        </w:tc>
        <w:tc>
          <w:tcPr>
            <w:tcW w:w="406" w:type="pct"/>
            <w:shd w:val="clear" w:color="auto" w:fill="CDCDCD"/>
            <w:vAlign w:val="bottom"/>
          </w:tcPr>
          <w:p w14:paraId="25CB3945" w14:textId="77777777" w:rsidR="007D6CAA" w:rsidRPr="00CA2915" w:rsidRDefault="007D6CAA" w:rsidP="001A5D4A">
            <w:pPr>
              <w:pStyle w:val="NotesTable-CellPlain"/>
            </w:pPr>
          </w:p>
        </w:tc>
        <w:tc>
          <w:tcPr>
            <w:tcW w:w="406" w:type="pct"/>
            <w:shd w:val="clear" w:color="auto" w:fill="CDCDCD"/>
            <w:vAlign w:val="bottom"/>
          </w:tcPr>
          <w:p w14:paraId="0060C4CB" w14:textId="77777777" w:rsidR="007D6CAA" w:rsidRPr="00CA2915" w:rsidRDefault="007D6CAA" w:rsidP="001A5D4A">
            <w:pPr>
              <w:pStyle w:val="NotesTable-CellBold"/>
            </w:pPr>
          </w:p>
        </w:tc>
        <w:tc>
          <w:tcPr>
            <w:tcW w:w="405" w:type="pct"/>
            <w:shd w:val="clear" w:color="auto" w:fill="CDCDCD"/>
            <w:vAlign w:val="bottom"/>
          </w:tcPr>
          <w:p w14:paraId="1B6A401E" w14:textId="77777777" w:rsidR="007D6CAA" w:rsidRPr="00CA2915" w:rsidRDefault="007D6CAA" w:rsidP="001A5D4A">
            <w:pPr>
              <w:pStyle w:val="NotesTable-CellPlain"/>
            </w:pPr>
          </w:p>
        </w:tc>
      </w:tr>
      <w:tr w:rsidR="007D6CAA" w:rsidRPr="00CA2915" w14:paraId="42F96A7B" w14:textId="77777777" w:rsidTr="00EF62D6">
        <w:trPr>
          <w:trHeight w:val="181"/>
        </w:trPr>
        <w:tc>
          <w:tcPr>
            <w:tcW w:w="810" w:type="pct"/>
          </w:tcPr>
          <w:p w14:paraId="38248DE5" w14:textId="77777777" w:rsidR="007D6CAA" w:rsidRPr="00CA2915" w:rsidRDefault="007D6CAA" w:rsidP="001A5D4A">
            <w:pPr>
              <w:pStyle w:val="Note-Refs"/>
            </w:pPr>
          </w:p>
        </w:tc>
        <w:tc>
          <w:tcPr>
            <w:tcW w:w="2567" w:type="pct"/>
            <w:shd w:val="clear" w:color="auto" w:fill="CDCDCD"/>
          </w:tcPr>
          <w:p w14:paraId="6D64672D" w14:textId="77777777" w:rsidR="007D6CAA" w:rsidRPr="00CA2915" w:rsidRDefault="007D6CAA" w:rsidP="001A5D4A">
            <w:pPr>
              <w:pStyle w:val="NotesTable-ItemPlain"/>
              <w:rPr>
                <w:b/>
              </w:rPr>
            </w:pPr>
            <w:r w:rsidRPr="00CA2915">
              <w:t>Number in Group at the end of the year</w:t>
            </w:r>
          </w:p>
        </w:tc>
        <w:tc>
          <w:tcPr>
            <w:tcW w:w="406" w:type="pct"/>
            <w:shd w:val="clear" w:color="auto" w:fill="CDCDCD"/>
            <w:vAlign w:val="bottom"/>
          </w:tcPr>
          <w:p w14:paraId="3FD71326" w14:textId="77777777" w:rsidR="007D6CAA" w:rsidRPr="00CA2915" w:rsidRDefault="007D6CAA" w:rsidP="001A5D4A">
            <w:pPr>
              <w:pStyle w:val="NotesTable-CellBold"/>
            </w:pPr>
            <w:r w:rsidRPr="00CA2915">
              <w:t>–</w:t>
            </w:r>
          </w:p>
        </w:tc>
        <w:tc>
          <w:tcPr>
            <w:tcW w:w="406" w:type="pct"/>
            <w:shd w:val="clear" w:color="auto" w:fill="CDCDCD"/>
            <w:vAlign w:val="bottom"/>
          </w:tcPr>
          <w:p w14:paraId="39065E90" w14:textId="77777777" w:rsidR="007D6CAA" w:rsidRPr="00CA2915" w:rsidRDefault="007D6CAA" w:rsidP="001A5D4A">
            <w:pPr>
              <w:pStyle w:val="NotesTable-CellPlain"/>
            </w:pPr>
            <w:r w:rsidRPr="00CA2915">
              <w:t>–</w:t>
            </w:r>
          </w:p>
        </w:tc>
        <w:tc>
          <w:tcPr>
            <w:tcW w:w="406" w:type="pct"/>
            <w:shd w:val="clear" w:color="auto" w:fill="CDCDCD"/>
            <w:vAlign w:val="bottom"/>
          </w:tcPr>
          <w:p w14:paraId="44669846" w14:textId="77777777" w:rsidR="007D6CAA" w:rsidRPr="00CA2915" w:rsidRDefault="007D6CAA" w:rsidP="001A5D4A">
            <w:pPr>
              <w:pStyle w:val="NotesTable-CellBold"/>
            </w:pPr>
            <w:r w:rsidRPr="00CA2915">
              <w:t>–</w:t>
            </w:r>
          </w:p>
        </w:tc>
        <w:tc>
          <w:tcPr>
            <w:tcW w:w="405" w:type="pct"/>
            <w:shd w:val="clear" w:color="auto" w:fill="CDCDCD"/>
            <w:vAlign w:val="bottom"/>
          </w:tcPr>
          <w:p w14:paraId="2EEC86BA" w14:textId="77777777" w:rsidR="007D6CAA" w:rsidRPr="00CA2915" w:rsidRDefault="007D6CAA" w:rsidP="001A5D4A">
            <w:pPr>
              <w:pStyle w:val="NotesTable-CellPlain"/>
            </w:pPr>
            <w:r w:rsidRPr="00CA2915">
              <w:t>–</w:t>
            </w:r>
          </w:p>
        </w:tc>
      </w:tr>
      <w:tr w:rsidR="007D6CAA" w:rsidRPr="00CA2915" w14:paraId="2C9A20F7" w14:textId="77777777" w:rsidTr="00463ABD">
        <w:trPr>
          <w:trHeight w:val="181"/>
        </w:trPr>
        <w:tc>
          <w:tcPr>
            <w:tcW w:w="810" w:type="pct"/>
          </w:tcPr>
          <w:p w14:paraId="7576D383" w14:textId="77777777" w:rsidR="007D6CAA" w:rsidRPr="00CA2915" w:rsidRDefault="007D6CAA" w:rsidP="001A5D4A">
            <w:pPr>
              <w:pStyle w:val="Note-Refs"/>
            </w:pPr>
          </w:p>
        </w:tc>
        <w:tc>
          <w:tcPr>
            <w:tcW w:w="4190" w:type="pct"/>
            <w:gridSpan w:val="5"/>
            <w:shd w:val="clear" w:color="auto" w:fill="CDCDCD"/>
          </w:tcPr>
          <w:p w14:paraId="6A9D38D5" w14:textId="77777777" w:rsidR="007D6CAA" w:rsidRPr="00CA2915" w:rsidRDefault="007D6CAA" w:rsidP="001A5D4A">
            <w:pPr>
              <w:pStyle w:val="Note-Text"/>
            </w:pPr>
          </w:p>
        </w:tc>
      </w:tr>
      <w:tr w:rsidR="007D6CAA" w:rsidRPr="00CA2915" w14:paraId="5A51C1DD" w14:textId="77777777" w:rsidTr="00463ABD">
        <w:trPr>
          <w:trHeight w:val="181"/>
        </w:trPr>
        <w:tc>
          <w:tcPr>
            <w:tcW w:w="810" w:type="pct"/>
          </w:tcPr>
          <w:p w14:paraId="2FEF788D" w14:textId="77777777" w:rsidR="007D6CAA" w:rsidRPr="00CA2915" w:rsidRDefault="007D6CAA" w:rsidP="001A5D4A">
            <w:pPr>
              <w:pStyle w:val="Note-Refs"/>
              <w:rPr>
                <w:b/>
              </w:rPr>
            </w:pPr>
            <w:r w:rsidRPr="00CA2915">
              <w:t>AASB124</w:t>
            </w:r>
            <w:r>
              <w:t>.23</w:t>
            </w:r>
          </w:p>
          <w:p w14:paraId="10F08461" w14:textId="77777777" w:rsidR="007D6CAA" w:rsidRPr="00CA2915" w:rsidRDefault="007D6CAA" w:rsidP="001A5D4A">
            <w:pPr>
              <w:pStyle w:val="Note-Refs"/>
            </w:pPr>
          </w:p>
        </w:tc>
        <w:tc>
          <w:tcPr>
            <w:tcW w:w="4190" w:type="pct"/>
            <w:gridSpan w:val="5"/>
            <w:shd w:val="clear" w:color="auto" w:fill="CDCDCD"/>
          </w:tcPr>
          <w:p w14:paraId="761337D4" w14:textId="77777777" w:rsidR="007D6CAA" w:rsidRPr="00CA2915" w:rsidRDefault="007D6CAA" w:rsidP="001A5D4A">
            <w:pPr>
              <w:pStyle w:val="NotesTable-ItemPlain"/>
              <w:rPr>
                <w:rFonts w:ascii="Arial,Italic" w:hAnsi="Arial,Italic" w:cs="Arial,Italic"/>
                <w:b/>
                <w:i/>
              </w:rPr>
            </w:pPr>
            <w:r w:rsidRPr="00CA2915">
              <w:t xml:space="preserve">The amounts shown for </w:t>
            </w:r>
            <w:r>
              <w:t>‘</w:t>
            </w:r>
            <w:r w:rsidRPr="00CA2915">
              <w:t>interest not charged</w:t>
            </w:r>
            <w:r>
              <w:t>’</w:t>
            </w:r>
            <w:r w:rsidRPr="00CA2915">
              <w:t xml:space="preserve"> in the tables above represent the difference between the amount paid and payable for the year and the amount of interest that would have been charged on an arm’s-length basis.</w:t>
            </w:r>
          </w:p>
        </w:tc>
      </w:tr>
      <w:tr w:rsidR="007D6CAA" w:rsidRPr="00CA2915" w14:paraId="3CEF0B0C" w14:textId="77777777" w:rsidTr="00463ABD">
        <w:trPr>
          <w:trHeight w:val="181"/>
        </w:trPr>
        <w:tc>
          <w:tcPr>
            <w:tcW w:w="810" w:type="pct"/>
          </w:tcPr>
          <w:p w14:paraId="0D873340" w14:textId="77777777" w:rsidR="007D6CAA" w:rsidRPr="00CA2915" w:rsidRDefault="007D6CAA" w:rsidP="001A5D4A">
            <w:pPr>
              <w:pStyle w:val="Note-Refs"/>
            </w:pPr>
          </w:p>
        </w:tc>
        <w:tc>
          <w:tcPr>
            <w:tcW w:w="4190" w:type="pct"/>
            <w:gridSpan w:val="5"/>
            <w:shd w:val="clear" w:color="auto" w:fill="CDCDCD"/>
          </w:tcPr>
          <w:p w14:paraId="16C5CA50" w14:textId="77777777" w:rsidR="007D6CAA" w:rsidRPr="00CA2915" w:rsidRDefault="007D6CAA" w:rsidP="001A5D4A">
            <w:pPr>
              <w:pStyle w:val="NotesTable-ItemPlain"/>
            </w:pPr>
          </w:p>
        </w:tc>
      </w:tr>
      <w:tr w:rsidR="007D6CAA" w:rsidRPr="00CA2915" w14:paraId="7F63D675" w14:textId="77777777" w:rsidTr="00463ABD">
        <w:trPr>
          <w:trHeight w:val="181"/>
        </w:trPr>
        <w:tc>
          <w:tcPr>
            <w:tcW w:w="810" w:type="pct"/>
          </w:tcPr>
          <w:p w14:paraId="398796BD" w14:textId="77777777" w:rsidR="007D6CAA" w:rsidRPr="00CA2915" w:rsidRDefault="007D6CAA" w:rsidP="001A5D4A">
            <w:pPr>
              <w:pStyle w:val="Note-Refs"/>
              <w:rPr>
                <w:b/>
              </w:rPr>
            </w:pPr>
            <w:r w:rsidRPr="00CA2915">
              <w:t>AASB124</w:t>
            </w:r>
            <w:r>
              <w:t>.18d</w:t>
            </w:r>
          </w:p>
          <w:p w14:paraId="21AEA029" w14:textId="77777777" w:rsidR="007D6CAA" w:rsidRPr="00CA2915" w:rsidRDefault="007D6CAA" w:rsidP="001A5D4A">
            <w:pPr>
              <w:pStyle w:val="Note-Refs"/>
            </w:pPr>
          </w:p>
        </w:tc>
        <w:tc>
          <w:tcPr>
            <w:tcW w:w="4190" w:type="pct"/>
            <w:gridSpan w:val="5"/>
            <w:shd w:val="clear" w:color="auto" w:fill="CDCDCD"/>
          </w:tcPr>
          <w:p w14:paraId="43431405" w14:textId="77777777" w:rsidR="007D6CAA" w:rsidRPr="00CA2915" w:rsidRDefault="007D6CAA" w:rsidP="001A5D4A">
            <w:pPr>
              <w:pStyle w:val="NotesTable-ItemPlain"/>
              <w:rPr>
                <w:rFonts w:ascii="Arial,Italic" w:hAnsi="Arial,Italic" w:cs="Arial,Italic"/>
                <w:b/>
                <w:i/>
              </w:rPr>
            </w:pPr>
            <w:r w:rsidRPr="00CA2915">
              <w:t>No write-downs or allowances for doubtful receivables have been recognised in relation to any loans made to key management personnel.</w:t>
            </w:r>
          </w:p>
        </w:tc>
      </w:tr>
      <w:tr w:rsidR="007D6CAA" w:rsidRPr="00CA2915" w14:paraId="2D25BC6B" w14:textId="77777777" w:rsidTr="00463ABD">
        <w:trPr>
          <w:trHeight w:val="181"/>
        </w:trPr>
        <w:tc>
          <w:tcPr>
            <w:tcW w:w="810" w:type="pct"/>
          </w:tcPr>
          <w:p w14:paraId="3427541F" w14:textId="77777777" w:rsidR="007D6CAA" w:rsidRPr="00CA2915" w:rsidRDefault="007D6CAA" w:rsidP="001A5D4A">
            <w:pPr>
              <w:pStyle w:val="Note-Refs"/>
            </w:pPr>
          </w:p>
        </w:tc>
        <w:tc>
          <w:tcPr>
            <w:tcW w:w="4190" w:type="pct"/>
            <w:gridSpan w:val="5"/>
            <w:shd w:val="clear" w:color="auto" w:fill="CDCDCD"/>
          </w:tcPr>
          <w:p w14:paraId="63D2E846" w14:textId="77777777" w:rsidR="007D6CAA" w:rsidRPr="00CA2915" w:rsidRDefault="007D6CAA" w:rsidP="001A5D4A">
            <w:pPr>
              <w:pStyle w:val="Note-TextHeader"/>
              <w:rPr>
                <w:lang w:eastAsia="en-AU"/>
              </w:rPr>
            </w:pPr>
          </w:p>
        </w:tc>
      </w:tr>
      <w:tr w:rsidR="007D6CAA" w:rsidRPr="00CA2915" w14:paraId="212C1ED3" w14:textId="77777777" w:rsidTr="00463ABD">
        <w:trPr>
          <w:trHeight w:val="181"/>
        </w:trPr>
        <w:tc>
          <w:tcPr>
            <w:tcW w:w="810" w:type="pct"/>
          </w:tcPr>
          <w:p w14:paraId="1BBA196F" w14:textId="77777777" w:rsidR="007D6CAA" w:rsidRPr="00CA2915" w:rsidRDefault="007D6CAA" w:rsidP="001A5D4A">
            <w:pPr>
              <w:pStyle w:val="Note-Refs"/>
            </w:pPr>
          </w:p>
        </w:tc>
        <w:tc>
          <w:tcPr>
            <w:tcW w:w="4190" w:type="pct"/>
            <w:gridSpan w:val="5"/>
            <w:shd w:val="clear" w:color="auto" w:fill="CDCDCD"/>
          </w:tcPr>
          <w:p w14:paraId="4D6E7284" w14:textId="77777777" w:rsidR="007D6CAA" w:rsidRPr="00CA2915" w:rsidRDefault="007D6CAA" w:rsidP="001A5D4A">
            <w:pPr>
              <w:pStyle w:val="Note-TextHeader"/>
              <w:rPr>
                <w:rFonts w:ascii="Arial,Italic" w:hAnsi="Arial,Italic" w:cs="Arial,Italic"/>
                <w:i/>
                <w:iCs/>
                <w:lang w:eastAsia="en-AU"/>
              </w:rPr>
            </w:pPr>
            <w:r w:rsidRPr="00CA2915">
              <w:rPr>
                <w:lang w:eastAsia="en-AU"/>
              </w:rPr>
              <w:t>(f) Other transactions with key management personnel</w:t>
            </w:r>
          </w:p>
        </w:tc>
      </w:tr>
      <w:tr w:rsidR="007D6CAA" w:rsidRPr="00CA2915" w14:paraId="6748A211" w14:textId="77777777" w:rsidTr="00463ABD">
        <w:trPr>
          <w:trHeight w:val="181"/>
        </w:trPr>
        <w:tc>
          <w:tcPr>
            <w:tcW w:w="810" w:type="pct"/>
          </w:tcPr>
          <w:p w14:paraId="34A75B92" w14:textId="77777777" w:rsidR="007D6CAA" w:rsidRPr="00CA2915" w:rsidRDefault="007D6CAA" w:rsidP="001A5D4A">
            <w:pPr>
              <w:pStyle w:val="Note-Refs"/>
            </w:pPr>
          </w:p>
        </w:tc>
        <w:tc>
          <w:tcPr>
            <w:tcW w:w="4190" w:type="pct"/>
            <w:gridSpan w:val="5"/>
            <w:shd w:val="clear" w:color="auto" w:fill="CDCDCD"/>
          </w:tcPr>
          <w:p w14:paraId="1370BE7E" w14:textId="77777777" w:rsidR="007D6CAA" w:rsidRPr="00CA2915" w:rsidRDefault="007D6CAA" w:rsidP="001A5D4A">
            <w:pPr>
              <w:pStyle w:val="NotesTable-ItemPlain"/>
              <w:rPr>
                <w:b/>
                <w:bCs/>
              </w:rPr>
            </w:pPr>
            <w:r w:rsidRPr="00CA2915">
              <w:t>[Specify]</w:t>
            </w:r>
          </w:p>
        </w:tc>
      </w:tr>
    </w:tbl>
    <w:p w14:paraId="038A34A7" w14:textId="77777777" w:rsidR="00B52171" w:rsidRPr="00117880" w:rsidRDefault="00B52171" w:rsidP="001A5D4A">
      <w:r w:rsidRPr="00117880">
        <w:br w:type="page"/>
      </w:r>
    </w:p>
    <w:p w14:paraId="0E9D6A10" w14:textId="77777777" w:rsidR="00214F77" w:rsidRPr="00DF4F9B" w:rsidRDefault="00214F77" w:rsidP="001A5D4A">
      <w:pPr>
        <w:pStyle w:val="Heading3"/>
        <w:rPr>
          <w:color w:val="2D3E7B" w:themeColor="text2" w:themeShade="BF"/>
        </w:rPr>
      </w:pPr>
      <w:bookmarkStart w:id="377" w:name="_Toc410807661"/>
      <w:bookmarkStart w:id="378" w:name="_Toc410822722"/>
      <w:r w:rsidRPr="00DF4F9B">
        <w:rPr>
          <w:color w:val="2D3E7B" w:themeColor="text2" w:themeShade="BF"/>
        </w:rPr>
        <w:lastRenderedPageBreak/>
        <w:t xml:space="preserve">Commentary </w:t>
      </w:r>
      <w:r w:rsidRPr="00DF4F9B">
        <w:rPr>
          <w:color w:val="2D3E7B" w:themeColor="text2" w:themeShade="BF"/>
        </w:rPr>
        <w:sym w:font="Symbol" w:char="F02D"/>
      </w:r>
      <w:r w:rsidRPr="00DF4F9B">
        <w:rPr>
          <w:color w:val="2D3E7B" w:themeColor="text2" w:themeShade="BF"/>
        </w:rPr>
        <w:t xml:space="preserve"> Key management personnel disclosures</w:t>
      </w:r>
      <w:bookmarkEnd w:id="377"/>
      <w:bookmarkEnd w:id="378"/>
    </w:p>
    <w:p w14:paraId="16D4E809" w14:textId="3A039F97" w:rsidR="00DF4F9B" w:rsidRPr="005F65FA" w:rsidRDefault="00DF4F9B" w:rsidP="00F94210">
      <w:pPr>
        <w:pStyle w:val="Heading6"/>
      </w:pPr>
      <w:r w:rsidRPr="005F65FA">
        <w:t>Education</w:t>
      </w:r>
    </w:p>
    <w:p w14:paraId="7454BC48" w14:textId="52E6A83A" w:rsidR="00214F77" w:rsidRPr="005F65FA" w:rsidRDefault="005F65FA" w:rsidP="005F65FA">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 xml:space="preserve">(a) </w:t>
      </w:r>
      <w:r w:rsidR="00214F77" w:rsidRPr="005F65FA">
        <w:rPr>
          <w:color w:val="2D3E7B" w:themeColor="text2" w:themeShade="BF"/>
          <w14:textFill>
            <w14:solidFill>
              <w14:schemeClr w14:val="tx2">
                <w14:lumMod w14:val="75000"/>
                <w14:lumMod w14:val="75000"/>
              </w14:schemeClr>
            </w14:solidFill>
          </w14:textFill>
        </w:rPr>
        <w:t>Key management personnel</w:t>
      </w:r>
    </w:p>
    <w:p w14:paraId="4460DC0D" w14:textId="77777777" w:rsidR="005F65FA" w:rsidRPr="005F65FA" w:rsidRDefault="005F65FA" w:rsidP="00F94210">
      <w:pPr>
        <w:pStyle w:val="Heading6"/>
      </w:pPr>
      <w:r w:rsidRPr="005F65FA">
        <w:t>AASB124.9</w:t>
      </w:r>
    </w:p>
    <w:p w14:paraId="224B4D66" w14:textId="77777777" w:rsidR="00214F77" w:rsidRPr="005F65FA" w:rsidRDefault="00214F77" w:rsidP="001A5D4A">
      <w:pPr>
        <w:rPr>
          <w:color w:val="2D3E7B" w:themeColor="text2" w:themeShade="BF"/>
        </w:rPr>
      </w:pPr>
      <w:r w:rsidRPr="005F65FA">
        <w:rPr>
          <w:color w:val="2D3E7B" w:themeColor="text2" w:themeShade="BF"/>
        </w:rPr>
        <w:t>For the purposes of AASB124, key management personnel are persons having authority and responsibility for planning, directing and controlling the activities of the entity, directly or indirectly, including any director (whether executive or otherwise) of that entity.</w:t>
      </w:r>
    </w:p>
    <w:p w14:paraId="4F218011" w14:textId="77777777" w:rsidR="00214F77" w:rsidRPr="005F65FA" w:rsidRDefault="00214F77" w:rsidP="001A5D4A">
      <w:pPr>
        <w:rPr>
          <w:color w:val="2D3E7B" w:themeColor="text2" w:themeShade="BF"/>
        </w:rPr>
      </w:pPr>
      <w:r w:rsidRPr="005F65FA">
        <w:rPr>
          <w:color w:val="2D3E7B" w:themeColor="text2" w:themeShade="BF"/>
        </w:rPr>
        <w:t>The Department of Education provides further guidance on the key management personnel definition as applicable to HEPs, by stating that such persons should have authority and responsibility for planning, directing and controlling the activities of the whole entity, and not just a faculty.</w:t>
      </w:r>
    </w:p>
    <w:p w14:paraId="43D6462E" w14:textId="77777777" w:rsidR="00214F77" w:rsidRPr="005F65FA" w:rsidRDefault="00214F77" w:rsidP="00F94210">
      <w:pPr>
        <w:pStyle w:val="Heading6"/>
      </w:pPr>
      <w:r w:rsidRPr="005F65FA">
        <w:t>AASB124.Aus9.1</w:t>
      </w:r>
    </w:p>
    <w:p w14:paraId="2736604F" w14:textId="77777777" w:rsidR="00214F77" w:rsidRPr="005F65FA" w:rsidRDefault="00214F77" w:rsidP="001A5D4A">
      <w:pPr>
        <w:rPr>
          <w:color w:val="2D3E7B" w:themeColor="text2" w:themeShade="BF"/>
        </w:rPr>
      </w:pPr>
      <w:r w:rsidRPr="005F65FA">
        <w:rPr>
          <w:color w:val="2D3E7B" w:themeColor="text2" w:themeShade="BF"/>
        </w:rPr>
        <w:t xml:space="preserve">A director is a person who is a director under the </w:t>
      </w:r>
      <w:r w:rsidRPr="00C94CF3">
        <w:rPr>
          <w:i/>
          <w:color w:val="2D3E7B" w:themeColor="text2" w:themeShade="BF"/>
        </w:rPr>
        <w:t>Corporations Act 2001</w:t>
      </w:r>
      <w:r w:rsidRPr="005F65FA">
        <w:rPr>
          <w:color w:val="2D3E7B" w:themeColor="text2" w:themeShade="BF"/>
        </w:rPr>
        <w:t xml:space="preserve"> or, in the case of entities governed by bodies not called a board of directors, a person who, regardless of the name that is given to the position, is appointed to the position of member of the governing body, council, commission or authority. Individuals who are directors of subsidiaries within an economic entity but not directors of the parent entity are not directors of the Group.</w:t>
      </w:r>
    </w:p>
    <w:p w14:paraId="1E61182D" w14:textId="57FE65B0" w:rsidR="005F65FA" w:rsidRPr="005F65FA" w:rsidRDefault="005F65FA" w:rsidP="005F65FA">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(b) Materiality</w:t>
      </w:r>
    </w:p>
    <w:p w14:paraId="1CCB2459" w14:textId="77777777" w:rsidR="00214F77" w:rsidRPr="005F65FA" w:rsidRDefault="00214F77" w:rsidP="00F94210">
      <w:pPr>
        <w:pStyle w:val="Heading6"/>
      </w:pPr>
      <w:r w:rsidRPr="005F65FA">
        <w:t>AASB124.Aus1.8</w:t>
      </w:r>
    </w:p>
    <w:p w14:paraId="71EC0769" w14:textId="77777777" w:rsidR="00214F77" w:rsidRPr="005F65FA" w:rsidRDefault="00214F77" w:rsidP="001A5D4A">
      <w:pPr>
        <w:rPr>
          <w:color w:val="2D3E7B" w:themeColor="text2" w:themeShade="BF"/>
        </w:rPr>
      </w:pPr>
      <w:r w:rsidRPr="005F65FA">
        <w:rPr>
          <w:color w:val="2D3E7B" w:themeColor="text2" w:themeShade="BF"/>
        </w:rPr>
        <w:t xml:space="preserve">The requirements of this Standard apply to the financial statements where information resulting from their application is material in accordance with AASB101 </w:t>
      </w:r>
      <w:r w:rsidRPr="00C94CF3">
        <w:rPr>
          <w:i/>
          <w:color w:val="2D3E7B" w:themeColor="text2" w:themeShade="BF"/>
        </w:rPr>
        <w:t>Presentation of Financial Statements</w:t>
      </w:r>
      <w:r w:rsidRPr="005F65FA">
        <w:rPr>
          <w:color w:val="2D3E7B" w:themeColor="text2" w:themeShade="BF"/>
        </w:rPr>
        <w:t xml:space="preserve"> and </w:t>
      </w:r>
      <w:proofErr w:type="gramStart"/>
      <w:r w:rsidRPr="005F65FA">
        <w:rPr>
          <w:color w:val="2D3E7B" w:themeColor="text2" w:themeShade="BF"/>
        </w:rPr>
        <w:t xml:space="preserve">AASB108  </w:t>
      </w:r>
      <w:r w:rsidRPr="00C94CF3">
        <w:rPr>
          <w:i/>
          <w:color w:val="2D3E7B" w:themeColor="text2" w:themeShade="BF"/>
        </w:rPr>
        <w:t>Accounting</w:t>
      </w:r>
      <w:proofErr w:type="gramEnd"/>
      <w:r w:rsidRPr="00C94CF3">
        <w:rPr>
          <w:i/>
          <w:color w:val="2D3E7B" w:themeColor="text2" w:themeShade="BF"/>
        </w:rPr>
        <w:t xml:space="preserve"> Policies, Changes in Accounting Estimates and Errors</w:t>
      </w:r>
      <w:r w:rsidRPr="005F65FA">
        <w:rPr>
          <w:color w:val="2D3E7B" w:themeColor="text2" w:themeShade="BF"/>
        </w:rPr>
        <w:t>.</w:t>
      </w:r>
    </w:p>
    <w:p w14:paraId="0F7842DC" w14:textId="77777777" w:rsidR="00214F77" w:rsidRPr="005F65FA" w:rsidRDefault="00214F77" w:rsidP="00F94210">
      <w:pPr>
        <w:pStyle w:val="Heading6"/>
      </w:pPr>
      <w:r w:rsidRPr="005F65FA">
        <w:t>Disclosure</w:t>
      </w:r>
    </w:p>
    <w:p w14:paraId="13A9A9D2" w14:textId="77777777" w:rsidR="00214F77" w:rsidRPr="00B40DF8" w:rsidRDefault="00214F77" w:rsidP="004F3ED9">
      <w:pPr>
        <w:pStyle w:val="Heading6"/>
      </w:pPr>
      <w:r w:rsidRPr="00B40DF8">
        <w:t>AASB124.Aus1.2</w:t>
      </w:r>
    </w:p>
    <w:p w14:paraId="6EE4A418" w14:textId="77777777" w:rsidR="00214F77" w:rsidRPr="005F65FA" w:rsidRDefault="00214F77" w:rsidP="001A5D4A">
      <w:pPr>
        <w:rPr>
          <w:color w:val="2D3E7B" w:themeColor="text2" w:themeShade="BF"/>
        </w:rPr>
      </w:pPr>
      <w:r w:rsidRPr="005F65FA">
        <w:rPr>
          <w:color w:val="2D3E7B" w:themeColor="text2" w:themeShade="BF"/>
        </w:rPr>
        <w:t>AASB124 applies to general purpose financial statements of reporting entities.</w:t>
      </w:r>
    </w:p>
    <w:p w14:paraId="27C667EB" w14:textId="77777777" w:rsidR="00214F77" w:rsidRPr="005F65FA" w:rsidRDefault="00214F77"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(c) Remuneration of Board Members and Executives</w:t>
      </w:r>
    </w:p>
    <w:p w14:paraId="018D5853" w14:textId="3F4848ED" w:rsidR="00214F77" w:rsidRPr="005F65FA" w:rsidRDefault="00DF4F9B" w:rsidP="00F94210">
      <w:pPr>
        <w:pStyle w:val="Heading6"/>
      </w:pPr>
      <w:r w:rsidRPr="005F65FA">
        <w:t>Education</w:t>
      </w:r>
    </w:p>
    <w:p w14:paraId="2682133D" w14:textId="77777777" w:rsidR="00214F77" w:rsidRPr="00DF4F9B" w:rsidRDefault="00214F77" w:rsidP="001A5D4A">
      <w:pPr>
        <w:rPr>
          <w:color w:val="2D3E7B" w:themeColor="text2" w:themeShade="BF"/>
        </w:rPr>
      </w:pPr>
      <w:r w:rsidRPr="00DF4F9B">
        <w:rPr>
          <w:color w:val="2D3E7B" w:themeColor="text2" w:themeShade="BF"/>
        </w:rPr>
        <w:t>To allow for the different requirements of the applicable state legislation for each HEP, two alternative forms of disclosure is provided for item (c) Remuneration of Board members and Executives. The HEP should select only one of these suggested disclosures, based on whether the $10,000 or $15,000 bands are applicable. Where a member’s income is zero, it is recommended that the member be included in the lowest band ($0 - $10,000/$15,000).</w:t>
      </w:r>
    </w:p>
    <w:p w14:paraId="7F2658F6" w14:textId="77777777" w:rsidR="00214F77" w:rsidRPr="005F65FA" w:rsidDel="005B0729" w:rsidRDefault="00214F77"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(d) Key management personnel compensation</w:t>
      </w:r>
    </w:p>
    <w:p w14:paraId="7D2FCB9A" w14:textId="77777777" w:rsidR="00214F77" w:rsidRPr="005F65FA" w:rsidRDefault="00214F77" w:rsidP="00F94210">
      <w:pPr>
        <w:pStyle w:val="Heading6"/>
      </w:pPr>
      <w:r w:rsidRPr="005F65FA">
        <w:t>AASB124.17</w:t>
      </w:r>
    </w:p>
    <w:p w14:paraId="2DA2C4EA" w14:textId="77777777" w:rsidR="00214F77" w:rsidRPr="005F65FA" w:rsidRDefault="00214F77" w:rsidP="001A5D4A">
      <w:pPr>
        <w:rPr>
          <w:color w:val="2D3E7B" w:themeColor="text2" w:themeShade="BF"/>
        </w:rPr>
      </w:pPr>
      <w:r w:rsidRPr="005F65FA">
        <w:rPr>
          <w:color w:val="2D3E7B" w:themeColor="text2" w:themeShade="BF"/>
        </w:rPr>
        <w:t>Disclosures for all reporting entities</w:t>
      </w:r>
    </w:p>
    <w:p w14:paraId="5869031F" w14:textId="77777777" w:rsidR="00214F77" w:rsidRPr="005F65FA" w:rsidRDefault="00214F77" w:rsidP="00F94210">
      <w:pPr>
        <w:pStyle w:val="Heading6"/>
      </w:pPr>
      <w:r w:rsidRPr="005F65FA">
        <w:t>AASB124.17a</w:t>
      </w:r>
    </w:p>
    <w:p w14:paraId="4FA9AC5B" w14:textId="0B262B19" w:rsidR="00214F77" w:rsidRPr="005F65FA" w:rsidRDefault="00214F77" w:rsidP="001A5D4A">
      <w:pPr>
        <w:pStyle w:val="ListParagraph"/>
        <w:numPr>
          <w:ilvl w:val="0"/>
          <w:numId w:val="50"/>
        </w:numPr>
        <w:rPr>
          <w:color w:val="2D3E7B" w:themeColor="text2" w:themeShade="BF"/>
        </w:rPr>
      </w:pPr>
      <w:r w:rsidRPr="005F65FA">
        <w:rPr>
          <w:color w:val="2D3E7B" w:themeColor="text2" w:themeShade="BF"/>
        </w:rPr>
        <w:t>short-term employee benefits;</w:t>
      </w:r>
    </w:p>
    <w:p w14:paraId="3B45EEB5" w14:textId="77777777" w:rsidR="00214F77" w:rsidRPr="005F65FA" w:rsidRDefault="00214F77" w:rsidP="00F94210">
      <w:pPr>
        <w:pStyle w:val="Heading6"/>
      </w:pPr>
      <w:r w:rsidRPr="005F65FA">
        <w:t>AASB124.17b</w:t>
      </w:r>
    </w:p>
    <w:p w14:paraId="04E372D2" w14:textId="127DAB2A" w:rsidR="00214F77" w:rsidRPr="005F65FA" w:rsidRDefault="00214F77" w:rsidP="001A5D4A">
      <w:pPr>
        <w:pStyle w:val="ListParagraph"/>
        <w:numPr>
          <w:ilvl w:val="0"/>
          <w:numId w:val="50"/>
        </w:numPr>
        <w:rPr>
          <w:color w:val="2D3E7B" w:themeColor="text2" w:themeShade="BF"/>
        </w:rPr>
      </w:pPr>
      <w:r w:rsidRPr="005F65FA">
        <w:rPr>
          <w:color w:val="2D3E7B" w:themeColor="text2" w:themeShade="BF"/>
        </w:rPr>
        <w:t>post-employment benefits;</w:t>
      </w:r>
    </w:p>
    <w:p w14:paraId="24B88655" w14:textId="77777777" w:rsidR="00214F77" w:rsidRPr="005F65FA" w:rsidRDefault="00214F77" w:rsidP="00F94210">
      <w:pPr>
        <w:pStyle w:val="Heading6"/>
      </w:pPr>
      <w:r w:rsidRPr="005F65FA">
        <w:t>AASB124.17c</w:t>
      </w:r>
    </w:p>
    <w:p w14:paraId="56062C84" w14:textId="6224EA26" w:rsidR="00214F77" w:rsidRPr="005F65FA" w:rsidRDefault="00214F77" w:rsidP="001A5D4A">
      <w:pPr>
        <w:pStyle w:val="ListParagraph"/>
        <w:numPr>
          <w:ilvl w:val="0"/>
          <w:numId w:val="50"/>
        </w:numPr>
        <w:rPr>
          <w:color w:val="2D3E7B" w:themeColor="text2" w:themeShade="BF"/>
        </w:rPr>
      </w:pPr>
      <w:r w:rsidRPr="005F65FA">
        <w:rPr>
          <w:color w:val="2D3E7B" w:themeColor="text2" w:themeShade="BF"/>
        </w:rPr>
        <w:t>other long-term benefits;</w:t>
      </w:r>
    </w:p>
    <w:p w14:paraId="45E6A24A" w14:textId="77777777" w:rsidR="00214F77" w:rsidRPr="005F65FA" w:rsidRDefault="00214F77" w:rsidP="00F94210">
      <w:pPr>
        <w:pStyle w:val="Heading6"/>
      </w:pPr>
      <w:r w:rsidRPr="005F65FA">
        <w:t>AASB124.17d</w:t>
      </w:r>
    </w:p>
    <w:p w14:paraId="3BECBEA9" w14:textId="1B784D61" w:rsidR="00214F77" w:rsidRPr="005F65FA" w:rsidRDefault="00214F77" w:rsidP="00561138">
      <w:pPr>
        <w:pStyle w:val="ListParagraph"/>
        <w:numPr>
          <w:ilvl w:val="0"/>
          <w:numId w:val="50"/>
        </w:numPr>
        <w:ind w:left="340" w:hanging="340"/>
        <w:rPr>
          <w:color w:val="2D3E7B" w:themeColor="text2" w:themeShade="BF"/>
        </w:rPr>
      </w:pPr>
      <w:r w:rsidRPr="005F65FA">
        <w:rPr>
          <w:color w:val="2D3E7B" w:themeColor="text2" w:themeShade="BF"/>
        </w:rPr>
        <w:t>termination benefits; and</w:t>
      </w:r>
    </w:p>
    <w:p w14:paraId="045B21B4" w14:textId="77777777" w:rsidR="00214F77" w:rsidRPr="005F65FA" w:rsidRDefault="00214F77" w:rsidP="00F94210">
      <w:pPr>
        <w:pStyle w:val="Heading6"/>
      </w:pPr>
      <w:r w:rsidRPr="005F65FA">
        <w:lastRenderedPageBreak/>
        <w:t>AASB124.17e</w:t>
      </w:r>
    </w:p>
    <w:p w14:paraId="3728B4BB" w14:textId="532276A7" w:rsidR="00214F77" w:rsidRPr="005F65FA" w:rsidRDefault="00214F77" w:rsidP="00561138">
      <w:pPr>
        <w:pStyle w:val="ListParagraph"/>
        <w:numPr>
          <w:ilvl w:val="0"/>
          <w:numId w:val="50"/>
        </w:numPr>
        <w:ind w:left="340" w:hanging="340"/>
        <w:rPr>
          <w:color w:val="2D3E7B" w:themeColor="text2" w:themeShade="BF"/>
        </w:rPr>
      </w:pPr>
      <w:proofErr w:type="gramStart"/>
      <w:r w:rsidRPr="005F65FA">
        <w:rPr>
          <w:color w:val="2D3E7B" w:themeColor="text2" w:themeShade="BF"/>
        </w:rPr>
        <w:t>share-based</w:t>
      </w:r>
      <w:proofErr w:type="gramEnd"/>
      <w:r w:rsidRPr="005F65FA">
        <w:rPr>
          <w:color w:val="2D3E7B" w:themeColor="text2" w:themeShade="BF"/>
        </w:rPr>
        <w:t xml:space="preserve"> payments.</w:t>
      </w:r>
    </w:p>
    <w:p w14:paraId="40B94B72" w14:textId="77777777" w:rsidR="00214F77" w:rsidRPr="005F65FA" w:rsidRDefault="00214F77"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(e) Loans to key management personnel</w:t>
      </w:r>
    </w:p>
    <w:p w14:paraId="77E6D552" w14:textId="77777777" w:rsidR="00214F77" w:rsidRPr="00DF4F9B" w:rsidRDefault="00214F77" w:rsidP="00F94210">
      <w:pPr>
        <w:pStyle w:val="Heading6"/>
      </w:pPr>
      <w:r w:rsidRPr="00DF4F9B">
        <w:t>AASB124.18</w:t>
      </w:r>
    </w:p>
    <w:p w14:paraId="2ABD11CE" w14:textId="77777777" w:rsidR="00214F77" w:rsidRPr="00DF4F9B" w:rsidRDefault="00214F77" w:rsidP="001A5D4A">
      <w:pPr>
        <w:rPr>
          <w:color w:val="2D3E7B" w:themeColor="text2" w:themeShade="BF"/>
        </w:rPr>
      </w:pPr>
      <w:r w:rsidRPr="00DF4F9B">
        <w:rPr>
          <w:color w:val="2D3E7B" w:themeColor="text2" w:themeShade="BF"/>
        </w:rPr>
        <w:t>Separate disclosure is required in respect of each aggregate of loans made, guaranteed or secured, directly or indirectly, by the disclosing entity and any of its subsidiaries to:</w:t>
      </w:r>
      <w:r w:rsidRPr="00DF4F9B" w:rsidDel="009F1BBE">
        <w:rPr>
          <w:color w:val="2D3E7B" w:themeColor="text2" w:themeShade="BF"/>
        </w:rPr>
        <w:t xml:space="preserve"> </w:t>
      </w:r>
    </w:p>
    <w:p w14:paraId="3260C6F5" w14:textId="15198ABC" w:rsidR="00214F77" w:rsidRPr="00DF4F9B" w:rsidRDefault="00DF4F9B" w:rsidP="00F94210">
      <w:pPr>
        <w:pStyle w:val="Heading6"/>
      </w:pPr>
      <w:r w:rsidRPr="00DF4F9B">
        <w:t>Education</w:t>
      </w:r>
    </w:p>
    <w:p w14:paraId="45BD648B" w14:textId="2AE676A4" w:rsidR="00214F77" w:rsidRPr="00DF4F9B" w:rsidDel="00DD72A7" w:rsidRDefault="00214F77" w:rsidP="00561138">
      <w:pPr>
        <w:pStyle w:val="ListParagraph"/>
        <w:numPr>
          <w:ilvl w:val="0"/>
          <w:numId w:val="51"/>
        </w:numPr>
        <w:ind w:left="340" w:hanging="340"/>
        <w:rPr>
          <w:color w:val="2D3E7B" w:themeColor="text2" w:themeShade="BF"/>
        </w:rPr>
      </w:pPr>
      <w:r w:rsidRPr="00DF4F9B">
        <w:rPr>
          <w:color w:val="2D3E7B" w:themeColor="text2" w:themeShade="BF"/>
        </w:rPr>
        <w:t>All key management personnel, including their related parties; and</w:t>
      </w:r>
    </w:p>
    <w:p w14:paraId="0DC7038A" w14:textId="25A34255" w:rsidR="00214F77" w:rsidRPr="00DF4F9B" w:rsidRDefault="00DF4F9B" w:rsidP="00F94210">
      <w:pPr>
        <w:pStyle w:val="Heading6"/>
      </w:pPr>
      <w:r w:rsidRPr="00DF4F9B">
        <w:t>Education</w:t>
      </w:r>
    </w:p>
    <w:p w14:paraId="26DF6CD9" w14:textId="03348050" w:rsidR="00214F77" w:rsidRPr="00DF4F9B" w:rsidDel="00DD72A7" w:rsidRDefault="00214F77" w:rsidP="00561138">
      <w:pPr>
        <w:pStyle w:val="ListParagraph"/>
        <w:numPr>
          <w:ilvl w:val="0"/>
          <w:numId w:val="51"/>
        </w:numPr>
        <w:ind w:left="340" w:hanging="340"/>
        <w:rPr>
          <w:color w:val="2D3E7B" w:themeColor="text2" w:themeShade="BF"/>
        </w:rPr>
      </w:pPr>
      <w:r w:rsidRPr="00DF4F9B">
        <w:rPr>
          <w:color w:val="2D3E7B" w:themeColor="text2" w:themeShade="BF"/>
        </w:rPr>
        <w:t>Any key management personnel retiring during the reporting period (other than a director or chief executive officer).</w:t>
      </w:r>
    </w:p>
    <w:p w14:paraId="37287520" w14:textId="77777777" w:rsidR="00214F77" w:rsidRPr="00DF4F9B" w:rsidRDefault="00214F77" w:rsidP="001A5D4A">
      <w:pPr>
        <w:rPr>
          <w:color w:val="2D3E7B" w:themeColor="text2" w:themeShade="BF"/>
        </w:rPr>
      </w:pPr>
      <w:r w:rsidRPr="00DF4F9B">
        <w:rPr>
          <w:color w:val="2D3E7B" w:themeColor="text2" w:themeShade="BF"/>
        </w:rPr>
        <w:t>The loan of a key management person is included in the aggregate disclosure if any amount was owing during the period, and is not excluded on the grounds that no amount was owing at the end of the reporting period or that the amount owed was less than $100,000 at all times during the reporting period.</w:t>
      </w:r>
    </w:p>
    <w:p w14:paraId="038A3518" w14:textId="77777777" w:rsidR="00B0227F" w:rsidRPr="00117880" w:rsidRDefault="00B52171" w:rsidP="001A5D4A">
      <w:r w:rsidRPr="00117880">
        <w:br w:type="page"/>
      </w:r>
    </w:p>
    <w:p w14:paraId="520654FC" w14:textId="756FF4E4" w:rsidR="00117880" w:rsidRPr="00117880" w:rsidRDefault="00117880" w:rsidP="005F65FA">
      <w:pPr>
        <w:pStyle w:val="Heading2"/>
      </w:pPr>
      <w:bookmarkStart w:id="379" w:name="_Toc410807662"/>
      <w:bookmarkStart w:id="380" w:name="_Toc410822723"/>
      <w:proofErr w:type="gramStart"/>
      <w:r w:rsidRPr="00117880">
        <w:lastRenderedPageBreak/>
        <w:t>Note 39.</w:t>
      </w:r>
      <w:proofErr w:type="gramEnd"/>
      <w:r>
        <w:t xml:space="preserve"> </w:t>
      </w:r>
      <w:r w:rsidRPr="00117880">
        <w:t>Remuneration of auditors</w:t>
      </w:r>
      <w:bookmarkEnd w:id="379"/>
      <w:bookmarkEnd w:id="380"/>
    </w:p>
    <w:tbl>
      <w:tblPr>
        <w:tblW w:w="5000" w:type="pct"/>
        <w:tblCellMar>
          <w:left w:w="0" w:type="dxa"/>
          <w:right w:w="0" w:type="dxa"/>
        </w:tblCellMar>
        <w:tblLook w:val="0000" w:firstRow="0" w:lastRow="0" w:firstColumn="0" w:lastColumn="0" w:noHBand="0" w:noVBand="0"/>
      </w:tblPr>
      <w:tblGrid>
        <w:gridCol w:w="1662"/>
        <w:gridCol w:w="5270"/>
        <w:gridCol w:w="831"/>
        <w:gridCol w:w="833"/>
        <w:gridCol w:w="831"/>
        <w:gridCol w:w="833"/>
      </w:tblGrid>
      <w:tr w:rsidR="000709D7" w14:paraId="038A351E" w14:textId="77777777" w:rsidTr="00463ABD">
        <w:trPr>
          <w:cantSplit/>
          <w:trHeight w:val="181"/>
        </w:trPr>
        <w:tc>
          <w:tcPr>
            <w:tcW w:w="810" w:type="pct"/>
          </w:tcPr>
          <w:p w14:paraId="038A351C" w14:textId="77777777" w:rsidR="000709D7" w:rsidRDefault="000709D7" w:rsidP="001A5D4A">
            <w:pPr>
              <w:pStyle w:val="Note-Refs"/>
            </w:pPr>
          </w:p>
        </w:tc>
        <w:tc>
          <w:tcPr>
            <w:tcW w:w="4190" w:type="pct"/>
            <w:gridSpan w:val="5"/>
            <w:vAlign w:val="bottom"/>
          </w:tcPr>
          <w:p w14:paraId="038A351D" w14:textId="77777777" w:rsidR="00FE029C" w:rsidRDefault="000709D7" w:rsidP="001A5D4A">
            <w:pPr>
              <w:pStyle w:val="NotesTable-ItemPlain"/>
              <w:rPr>
                <w:b/>
              </w:rPr>
            </w:pPr>
            <w:r>
              <w:t>During the year, the following fees were paid for services provided by the auditor of the parent entity, its related practices and non-related audit firms:</w:t>
            </w:r>
          </w:p>
        </w:tc>
      </w:tr>
      <w:tr w:rsidR="00E714DF" w14:paraId="038A3523" w14:textId="77777777" w:rsidTr="00463ABD">
        <w:trPr>
          <w:cantSplit/>
          <w:trHeight w:val="181"/>
        </w:trPr>
        <w:tc>
          <w:tcPr>
            <w:tcW w:w="810" w:type="pct"/>
          </w:tcPr>
          <w:p w14:paraId="038A351F" w14:textId="77777777" w:rsidR="000709D7" w:rsidRDefault="000709D7" w:rsidP="001A5D4A">
            <w:pPr>
              <w:pStyle w:val="Note-Refs"/>
            </w:pPr>
          </w:p>
        </w:tc>
        <w:tc>
          <w:tcPr>
            <w:tcW w:w="2568" w:type="pct"/>
            <w:vAlign w:val="bottom"/>
          </w:tcPr>
          <w:p w14:paraId="038A3520" w14:textId="77777777" w:rsidR="000709D7" w:rsidRDefault="000709D7" w:rsidP="001A5D4A">
            <w:pPr>
              <w:pStyle w:val="NotesTable-ItemPlain"/>
            </w:pPr>
          </w:p>
        </w:tc>
        <w:tc>
          <w:tcPr>
            <w:tcW w:w="811" w:type="pct"/>
            <w:gridSpan w:val="2"/>
          </w:tcPr>
          <w:p w14:paraId="038A3521" w14:textId="77777777" w:rsidR="000709D7" w:rsidRDefault="000709D7" w:rsidP="001A5D4A">
            <w:pPr>
              <w:pStyle w:val="NotesTable-HeadPlain"/>
            </w:pPr>
            <w:r>
              <w:t>Consolidated</w:t>
            </w:r>
          </w:p>
        </w:tc>
        <w:tc>
          <w:tcPr>
            <w:tcW w:w="811" w:type="pct"/>
            <w:gridSpan w:val="2"/>
          </w:tcPr>
          <w:p w14:paraId="038A3522" w14:textId="77777777" w:rsidR="000709D7" w:rsidRDefault="000709D7" w:rsidP="001A5D4A">
            <w:pPr>
              <w:pStyle w:val="NotesTable-HeadPlain"/>
            </w:pPr>
            <w:r>
              <w:t>Parent entity</w:t>
            </w:r>
          </w:p>
        </w:tc>
      </w:tr>
      <w:tr w:rsidR="00E714DF" w14:paraId="038A352A" w14:textId="77777777" w:rsidTr="00463ABD">
        <w:trPr>
          <w:cantSplit/>
          <w:trHeight w:val="181"/>
        </w:trPr>
        <w:tc>
          <w:tcPr>
            <w:tcW w:w="810" w:type="pct"/>
          </w:tcPr>
          <w:p w14:paraId="038A3524" w14:textId="77777777" w:rsidR="00C83428" w:rsidRPr="003C77BC" w:rsidRDefault="00C83428" w:rsidP="001A5D4A">
            <w:pPr>
              <w:pStyle w:val="Note-Refs"/>
            </w:pPr>
          </w:p>
        </w:tc>
        <w:tc>
          <w:tcPr>
            <w:tcW w:w="2568" w:type="pct"/>
            <w:vAlign w:val="bottom"/>
          </w:tcPr>
          <w:p w14:paraId="038A3525" w14:textId="77777777" w:rsidR="00C83428" w:rsidRDefault="00C83428" w:rsidP="001A5D4A">
            <w:pPr>
              <w:pStyle w:val="NotesTable-ItemPlain"/>
            </w:pPr>
          </w:p>
        </w:tc>
        <w:tc>
          <w:tcPr>
            <w:tcW w:w="405" w:type="pct"/>
          </w:tcPr>
          <w:p w14:paraId="038A3526" w14:textId="20BAC9AC" w:rsidR="00C83428" w:rsidRDefault="006864EC" w:rsidP="001A5D4A">
            <w:pPr>
              <w:pStyle w:val="NotesTable-HeadBold"/>
            </w:pPr>
            <w:r>
              <w:t>2014</w:t>
            </w:r>
          </w:p>
        </w:tc>
        <w:tc>
          <w:tcPr>
            <w:tcW w:w="406" w:type="pct"/>
          </w:tcPr>
          <w:p w14:paraId="038A3527" w14:textId="38D78F98" w:rsidR="00C83428" w:rsidRDefault="006864EC" w:rsidP="001A5D4A">
            <w:pPr>
              <w:pStyle w:val="NotesTable-HeadPlain"/>
              <w:rPr>
                <w:szCs w:val="18"/>
              </w:rPr>
            </w:pPr>
            <w:r>
              <w:t>2013</w:t>
            </w:r>
          </w:p>
        </w:tc>
        <w:tc>
          <w:tcPr>
            <w:tcW w:w="405" w:type="pct"/>
          </w:tcPr>
          <w:p w14:paraId="038A3528" w14:textId="40AC9854" w:rsidR="00C83428" w:rsidRDefault="006864EC" w:rsidP="001A5D4A">
            <w:pPr>
              <w:pStyle w:val="NotesTable-HeadBold"/>
              <w:rPr>
                <w:szCs w:val="18"/>
              </w:rPr>
            </w:pPr>
            <w:r>
              <w:t>2014</w:t>
            </w:r>
          </w:p>
        </w:tc>
        <w:tc>
          <w:tcPr>
            <w:tcW w:w="406" w:type="pct"/>
          </w:tcPr>
          <w:p w14:paraId="038A3529" w14:textId="385CADC0" w:rsidR="00C83428" w:rsidRDefault="006864EC" w:rsidP="001A5D4A">
            <w:pPr>
              <w:pStyle w:val="NotesTable-HeadPlain"/>
              <w:rPr>
                <w:szCs w:val="18"/>
              </w:rPr>
            </w:pPr>
            <w:r>
              <w:t>2013</w:t>
            </w:r>
          </w:p>
        </w:tc>
      </w:tr>
      <w:tr w:rsidR="00E714DF" w14:paraId="038A3531" w14:textId="77777777" w:rsidTr="00463ABD">
        <w:trPr>
          <w:cantSplit/>
          <w:trHeight w:val="181"/>
        </w:trPr>
        <w:tc>
          <w:tcPr>
            <w:tcW w:w="810" w:type="pct"/>
          </w:tcPr>
          <w:p w14:paraId="038A352B" w14:textId="77777777" w:rsidR="00C83428" w:rsidRPr="003C77BC" w:rsidRDefault="00C83428" w:rsidP="001A5D4A">
            <w:pPr>
              <w:pStyle w:val="Note-Refs"/>
            </w:pPr>
          </w:p>
        </w:tc>
        <w:tc>
          <w:tcPr>
            <w:tcW w:w="2568" w:type="pct"/>
            <w:vAlign w:val="bottom"/>
          </w:tcPr>
          <w:p w14:paraId="038A352C" w14:textId="77777777" w:rsidR="00C83428" w:rsidRDefault="00C83428" w:rsidP="001A5D4A">
            <w:pPr>
              <w:pStyle w:val="NotesTable-ItemPlain"/>
            </w:pPr>
          </w:p>
        </w:tc>
        <w:tc>
          <w:tcPr>
            <w:tcW w:w="405" w:type="pct"/>
          </w:tcPr>
          <w:p w14:paraId="038A352D" w14:textId="77777777" w:rsidR="00C83428" w:rsidRDefault="00C83428" w:rsidP="001A5D4A">
            <w:pPr>
              <w:pStyle w:val="NotesTable-HeadBold"/>
            </w:pPr>
            <w:r>
              <w:t>$</w:t>
            </w:r>
          </w:p>
        </w:tc>
        <w:tc>
          <w:tcPr>
            <w:tcW w:w="406" w:type="pct"/>
          </w:tcPr>
          <w:p w14:paraId="038A352E" w14:textId="77777777" w:rsidR="00C83428" w:rsidRDefault="00C83428" w:rsidP="001A5D4A">
            <w:pPr>
              <w:pStyle w:val="NotesTable-HeadPlain"/>
              <w:rPr>
                <w:szCs w:val="18"/>
              </w:rPr>
            </w:pPr>
            <w:r>
              <w:t>$</w:t>
            </w:r>
          </w:p>
        </w:tc>
        <w:tc>
          <w:tcPr>
            <w:tcW w:w="405" w:type="pct"/>
          </w:tcPr>
          <w:p w14:paraId="038A352F" w14:textId="77777777" w:rsidR="00C83428" w:rsidRDefault="00C83428" w:rsidP="001A5D4A">
            <w:pPr>
              <w:pStyle w:val="NotesTable-HeadBold"/>
              <w:rPr>
                <w:szCs w:val="18"/>
              </w:rPr>
            </w:pPr>
            <w:r>
              <w:t>$</w:t>
            </w:r>
          </w:p>
        </w:tc>
        <w:tc>
          <w:tcPr>
            <w:tcW w:w="406" w:type="pct"/>
          </w:tcPr>
          <w:p w14:paraId="038A3530" w14:textId="77777777" w:rsidR="00C83428" w:rsidRDefault="00C83428" w:rsidP="001A5D4A">
            <w:pPr>
              <w:pStyle w:val="NotesTable-HeadPlain"/>
              <w:rPr>
                <w:szCs w:val="18"/>
              </w:rPr>
            </w:pPr>
            <w:r>
              <w:t>$</w:t>
            </w:r>
          </w:p>
        </w:tc>
      </w:tr>
      <w:tr w:rsidR="00C0383F" w14:paraId="038A3534" w14:textId="77777777" w:rsidTr="00463ABD">
        <w:trPr>
          <w:cantSplit/>
          <w:trHeight w:val="181"/>
        </w:trPr>
        <w:tc>
          <w:tcPr>
            <w:tcW w:w="810" w:type="pct"/>
          </w:tcPr>
          <w:p w14:paraId="038A3532" w14:textId="77777777" w:rsidR="00C0383F" w:rsidRDefault="00C0383F" w:rsidP="001A5D4A">
            <w:pPr>
              <w:pStyle w:val="Note-Refs"/>
            </w:pPr>
          </w:p>
        </w:tc>
        <w:tc>
          <w:tcPr>
            <w:tcW w:w="4190" w:type="pct"/>
            <w:gridSpan w:val="5"/>
            <w:vAlign w:val="bottom"/>
          </w:tcPr>
          <w:p w14:paraId="038A3533" w14:textId="77777777" w:rsidR="00C0383F" w:rsidRDefault="00C0383F" w:rsidP="001A5D4A">
            <w:pPr>
              <w:pStyle w:val="Note-Text"/>
            </w:pPr>
          </w:p>
        </w:tc>
      </w:tr>
      <w:tr w:rsidR="00C0383F" w14:paraId="038A3537" w14:textId="77777777" w:rsidTr="00463ABD">
        <w:trPr>
          <w:cantSplit/>
          <w:trHeight w:val="181"/>
        </w:trPr>
        <w:tc>
          <w:tcPr>
            <w:tcW w:w="810" w:type="pct"/>
          </w:tcPr>
          <w:p w14:paraId="038A3535" w14:textId="77777777" w:rsidR="00C0383F" w:rsidRDefault="00C0383F" w:rsidP="001A5D4A">
            <w:pPr>
              <w:pStyle w:val="Note-Refs"/>
            </w:pPr>
          </w:p>
        </w:tc>
        <w:tc>
          <w:tcPr>
            <w:tcW w:w="4190" w:type="pct"/>
            <w:gridSpan w:val="5"/>
            <w:vAlign w:val="bottom"/>
          </w:tcPr>
          <w:p w14:paraId="038A3536" w14:textId="2BEEB3C5" w:rsidR="00C0383F" w:rsidRDefault="00C0383F" w:rsidP="001A5D4A">
            <w:pPr>
              <w:pStyle w:val="Note-TextHeader"/>
              <w:rPr>
                <w:b w:val="0"/>
                <w:lang w:val="en-GB"/>
              </w:rPr>
            </w:pPr>
            <w:r>
              <w:t>Audit the Financial Statements</w:t>
            </w:r>
          </w:p>
        </w:tc>
      </w:tr>
      <w:tr w:rsidR="00E714DF" w14:paraId="038A353E" w14:textId="77777777" w:rsidTr="00463ABD">
        <w:trPr>
          <w:cantSplit/>
          <w:trHeight w:val="181"/>
        </w:trPr>
        <w:tc>
          <w:tcPr>
            <w:tcW w:w="810" w:type="pct"/>
          </w:tcPr>
          <w:p w14:paraId="038A3538" w14:textId="77777777" w:rsidR="00CC2100" w:rsidRDefault="00CC2100" w:rsidP="001A5D4A">
            <w:pPr>
              <w:pStyle w:val="Note-Refs"/>
              <w:rPr>
                <w:b/>
              </w:rPr>
            </w:pPr>
            <w:r>
              <w:t>AASB1054.10(a)</w:t>
            </w:r>
          </w:p>
        </w:tc>
        <w:tc>
          <w:tcPr>
            <w:tcW w:w="2568" w:type="pct"/>
            <w:vAlign w:val="bottom"/>
          </w:tcPr>
          <w:p w14:paraId="038A3539" w14:textId="77777777" w:rsidR="00CC2100" w:rsidRPr="000709D7" w:rsidRDefault="00CC2100" w:rsidP="001A5D4A">
            <w:pPr>
              <w:pStyle w:val="NotesTable-ItemPlain"/>
              <w:rPr>
                <w:b/>
              </w:rPr>
            </w:pPr>
            <w:r>
              <w:t>Fees paid to [main audit firm]</w:t>
            </w:r>
          </w:p>
        </w:tc>
        <w:tc>
          <w:tcPr>
            <w:tcW w:w="405" w:type="pct"/>
          </w:tcPr>
          <w:p w14:paraId="038A353A" w14:textId="77777777" w:rsidR="00CC2100" w:rsidRPr="000709D7" w:rsidRDefault="00CC2100" w:rsidP="001A5D4A">
            <w:pPr>
              <w:pStyle w:val="NotesTable-CellBold"/>
            </w:pPr>
            <w:r w:rsidRPr="004A29B9">
              <w:t>–</w:t>
            </w:r>
          </w:p>
        </w:tc>
        <w:tc>
          <w:tcPr>
            <w:tcW w:w="406" w:type="pct"/>
          </w:tcPr>
          <w:p w14:paraId="038A353B" w14:textId="77777777" w:rsidR="00CC2100" w:rsidRDefault="00CC2100" w:rsidP="001A5D4A">
            <w:pPr>
              <w:pStyle w:val="NotesTable-CellPlain"/>
            </w:pPr>
            <w:r w:rsidRPr="004A29B9">
              <w:t>–</w:t>
            </w:r>
          </w:p>
        </w:tc>
        <w:tc>
          <w:tcPr>
            <w:tcW w:w="405" w:type="pct"/>
          </w:tcPr>
          <w:p w14:paraId="038A353C" w14:textId="77777777" w:rsidR="00CC2100" w:rsidRPr="000709D7" w:rsidRDefault="00CC2100" w:rsidP="001A5D4A">
            <w:pPr>
              <w:pStyle w:val="NotesTable-CellBold"/>
            </w:pPr>
            <w:r w:rsidRPr="004A29B9">
              <w:t>–</w:t>
            </w:r>
          </w:p>
        </w:tc>
        <w:tc>
          <w:tcPr>
            <w:tcW w:w="406" w:type="pct"/>
          </w:tcPr>
          <w:p w14:paraId="038A353D" w14:textId="77777777" w:rsidR="00CC2100" w:rsidRDefault="00CC2100" w:rsidP="001A5D4A">
            <w:pPr>
              <w:pStyle w:val="NotesTable-CellPlain"/>
            </w:pPr>
            <w:r w:rsidRPr="004A29B9">
              <w:t>–</w:t>
            </w:r>
          </w:p>
        </w:tc>
      </w:tr>
      <w:tr w:rsidR="00E714DF" w14:paraId="038A3545" w14:textId="77777777" w:rsidTr="00463ABD">
        <w:trPr>
          <w:cantSplit/>
          <w:trHeight w:val="181"/>
        </w:trPr>
        <w:tc>
          <w:tcPr>
            <w:tcW w:w="810" w:type="pct"/>
          </w:tcPr>
          <w:p w14:paraId="038A353F" w14:textId="77777777" w:rsidR="00CC2100" w:rsidRDefault="00CC2100" w:rsidP="001A5D4A">
            <w:pPr>
              <w:pStyle w:val="Note-Refs"/>
              <w:rPr>
                <w:b/>
              </w:rPr>
            </w:pPr>
            <w:r>
              <w:t>AASB1054.10(a)</w:t>
            </w:r>
          </w:p>
        </w:tc>
        <w:tc>
          <w:tcPr>
            <w:tcW w:w="2568" w:type="pct"/>
            <w:vAlign w:val="bottom"/>
          </w:tcPr>
          <w:p w14:paraId="038A3540" w14:textId="77777777" w:rsidR="00CC2100" w:rsidRDefault="00CC2100" w:rsidP="001A5D4A">
            <w:pPr>
              <w:pStyle w:val="NotesTable-ItemPlain"/>
              <w:rPr>
                <w:b/>
              </w:rPr>
            </w:pPr>
            <w:r>
              <w:t>[Specify other firms</w:t>
            </w:r>
            <w:r w:rsidRPr="00FE029C">
              <w:t>]</w:t>
            </w:r>
          </w:p>
        </w:tc>
        <w:tc>
          <w:tcPr>
            <w:tcW w:w="405" w:type="pct"/>
            <w:tcBorders>
              <w:bottom w:val="single" w:sz="4" w:space="0" w:color="auto"/>
            </w:tcBorders>
          </w:tcPr>
          <w:p w14:paraId="038A3541" w14:textId="77777777" w:rsidR="00CC2100" w:rsidRPr="000709D7" w:rsidRDefault="00CC2100" w:rsidP="001A5D4A">
            <w:pPr>
              <w:pStyle w:val="NotesTable-CellBold"/>
            </w:pPr>
            <w:r w:rsidRPr="004A29B9">
              <w:t>–</w:t>
            </w:r>
          </w:p>
        </w:tc>
        <w:tc>
          <w:tcPr>
            <w:tcW w:w="406" w:type="pct"/>
            <w:tcBorders>
              <w:bottom w:val="single" w:sz="4" w:space="0" w:color="auto"/>
            </w:tcBorders>
          </w:tcPr>
          <w:p w14:paraId="038A3542" w14:textId="77777777" w:rsidR="00CC2100" w:rsidRDefault="00CC2100" w:rsidP="001A5D4A">
            <w:pPr>
              <w:pStyle w:val="NotesTable-CellPlain"/>
            </w:pPr>
            <w:r w:rsidRPr="004A29B9">
              <w:t>–</w:t>
            </w:r>
          </w:p>
        </w:tc>
        <w:tc>
          <w:tcPr>
            <w:tcW w:w="405" w:type="pct"/>
            <w:tcBorders>
              <w:bottom w:val="single" w:sz="4" w:space="0" w:color="auto"/>
            </w:tcBorders>
          </w:tcPr>
          <w:p w14:paraId="038A3543" w14:textId="77777777" w:rsidR="00CC2100" w:rsidRPr="000709D7" w:rsidRDefault="00CC2100" w:rsidP="001A5D4A">
            <w:pPr>
              <w:pStyle w:val="NotesTable-CellBold"/>
            </w:pPr>
            <w:r w:rsidRPr="004A29B9">
              <w:t>–</w:t>
            </w:r>
          </w:p>
        </w:tc>
        <w:tc>
          <w:tcPr>
            <w:tcW w:w="406" w:type="pct"/>
            <w:tcBorders>
              <w:bottom w:val="single" w:sz="4" w:space="0" w:color="auto"/>
            </w:tcBorders>
          </w:tcPr>
          <w:p w14:paraId="038A3544" w14:textId="77777777" w:rsidR="00CC2100" w:rsidRDefault="00CC2100" w:rsidP="001A5D4A">
            <w:pPr>
              <w:pStyle w:val="NotesTable-CellPlain"/>
            </w:pPr>
            <w:r w:rsidRPr="004A29B9">
              <w:t>–</w:t>
            </w:r>
          </w:p>
        </w:tc>
      </w:tr>
      <w:tr w:rsidR="00E714DF" w14:paraId="038A354C" w14:textId="77777777" w:rsidTr="00463ABD">
        <w:trPr>
          <w:cantSplit/>
          <w:trHeight w:val="181"/>
        </w:trPr>
        <w:tc>
          <w:tcPr>
            <w:tcW w:w="810" w:type="pct"/>
          </w:tcPr>
          <w:p w14:paraId="038A3546" w14:textId="77777777" w:rsidR="00CC2100" w:rsidRDefault="00CC2100" w:rsidP="001A5D4A">
            <w:pPr>
              <w:pStyle w:val="Note-Refs"/>
            </w:pPr>
          </w:p>
        </w:tc>
        <w:tc>
          <w:tcPr>
            <w:tcW w:w="2568" w:type="pct"/>
            <w:shd w:val="clear" w:color="auto" w:fill="FFFFFF" w:themeFill="background1"/>
            <w:vAlign w:val="bottom"/>
          </w:tcPr>
          <w:p w14:paraId="038A3547" w14:textId="77777777" w:rsidR="00CC2100" w:rsidRDefault="00CC2100" w:rsidP="001A5D4A">
            <w:pPr>
              <w:pStyle w:val="NotesTable-ItemPlain"/>
              <w:rPr>
                <w:b/>
              </w:rPr>
            </w:pPr>
            <w:r>
              <w:t>Total</w:t>
            </w:r>
            <w:r w:rsidR="00AB2DCE">
              <w:t xml:space="preserve"> </w:t>
            </w:r>
            <w:r w:rsidR="000721FB">
              <w:t xml:space="preserve">paid for audit and review </w:t>
            </w:r>
          </w:p>
        </w:tc>
        <w:tc>
          <w:tcPr>
            <w:tcW w:w="405" w:type="pct"/>
            <w:tcBorders>
              <w:top w:val="single" w:sz="4" w:space="0" w:color="auto"/>
            </w:tcBorders>
            <w:shd w:val="clear" w:color="auto" w:fill="FFFFFF" w:themeFill="background1"/>
          </w:tcPr>
          <w:p w14:paraId="038A3548" w14:textId="77777777" w:rsidR="00CC2100" w:rsidRPr="000709D7" w:rsidRDefault="00CC2100" w:rsidP="001A5D4A">
            <w:pPr>
              <w:pStyle w:val="NotesTable-CellBold"/>
            </w:pPr>
            <w:r w:rsidRPr="004A29B9">
              <w:t>–</w:t>
            </w:r>
          </w:p>
        </w:tc>
        <w:tc>
          <w:tcPr>
            <w:tcW w:w="406" w:type="pct"/>
            <w:tcBorders>
              <w:top w:val="single" w:sz="4" w:space="0" w:color="auto"/>
            </w:tcBorders>
            <w:shd w:val="clear" w:color="auto" w:fill="FFFFFF" w:themeFill="background1"/>
          </w:tcPr>
          <w:p w14:paraId="038A3549" w14:textId="77777777" w:rsidR="00CC2100" w:rsidRDefault="00CC2100" w:rsidP="001A5D4A">
            <w:pPr>
              <w:pStyle w:val="NotesTable-CellPlain"/>
            </w:pPr>
            <w:r w:rsidRPr="004A29B9">
              <w:t>–</w:t>
            </w:r>
          </w:p>
        </w:tc>
        <w:tc>
          <w:tcPr>
            <w:tcW w:w="405" w:type="pct"/>
            <w:tcBorders>
              <w:top w:val="single" w:sz="4" w:space="0" w:color="auto"/>
            </w:tcBorders>
            <w:shd w:val="clear" w:color="auto" w:fill="FFFFFF" w:themeFill="background1"/>
          </w:tcPr>
          <w:p w14:paraId="038A354A" w14:textId="77777777" w:rsidR="00CC2100" w:rsidRPr="000709D7" w:rsidRDefault="00CC2100" w:rsidP="001A5D4A">
            <w:pPr>
              <w:pStyle w:val="NotesTable-CellBold"/>
            </w:pPr>
            <w:r w:rsidRPr="004A29B9">
              <w:t>–</w:t>
            </w:r>
          </w:p>
        </w:tc>
        <w:tc>
          <w:tcPr>
            <w:tcW w:w="406" w:type="pct"/>
            <w:tcBorders>
              <w:top w:val="single" w:sz="4" w:space="0" w:color="auto"/>
            </w:tcBorders>
            <w:shd w:val="clear" w:color="auto" w:fill="FFFFFF" w:themeFill="background1"/>
          </w:tcPr>
          <w:p w14:paraId="038A354B" w14:textId="77777777" w:rsidR="00CC2100" w:rsidRDefault="00CC2100" w:rsidP="001A5D4A">
            <w:pPr>
              <w:pStyle w:val="NotesTable-CellPlain"/>
            </w:pPr>
            <w:r w:rsidRPr="004A29B9">
              <w:t>–</w:t>
            </w:r>
          </w:p>
        </w:tc>
      </w:tr>
      <w:tr w:rsidR="00C0383F" w14:paraId="038A354F" w14:textId="77777777" w:rsidTr="00463ABD">
        <w:trPr>
          <w:cantSplit/>
          <w:trHeight w:val="181"/>
        </w:trPr>
        <w:tc>
          <w:tcPr>
            <w:tcW w:w="810" w:type="pct"/>
          </w:tcPr>
          <w:p w14:paraId="038A354D" w14:textId="77777777" w:rsidR="00C0383F" w:rsidRDefault="00C0383F" w:rsidP="001A5D4A">
            <w:pPr>
              <w:pStyle w:val="Note-Refs"/>
            </w:pPr>
          </w:p>
        </w:tc>
        <w:tc>
          <w:tcPr>
            <w:tcW w:w="4190" w:type="pct"/>
            <w:gridSpan w:val="5"/>
            <w:shd w:val="clear" w:color="auto" w:fill="FFFFFF" w:themeFill="background1"/>
            <w:vAlign w:val="bottom"/>
          </w:tcPr>
          <w:p w14:paraId="038A354E" w14:textId="77777777" w:rsidR="00C0383F" w:rsidRDefault="00C0383F" w:rsidP="001A5D4A">
            <w:pPr>
              <w:pStyle w:val="Note-Text"/>
            </w:pPr>
          </w:p>
        </w:tc>
      </w:tr>
      <w:tr w:rsidR="00C0383F" w14:paraId="038A3552" w14:textId="77777777" w:rsidTr="00463ABD">
        <w:trPr>
          <w:cantSplit/>
          <w:trHeight w:val="181"/>
        </w:trPr>
        <w:tc>
          <w:tcPr>
            <w:tcW w:w="810" w:type="pct"/>
          </w:tcPr>
          <w:p w14:paraId="038A3550" w14:textId="77777777" w:rsidR="00C0383F" w:rsidRDefault="00C0383F" w:rsidP="001A5D4A">
            <w:pPr>
              <w:pStyle w:val="Note-Refs"/>
            </w:pPr>
          </w:p>
        </w:tc>
        <w:tc>
          <w:tcPr>
            <w:tcW w:w="4190" w:type="pct"/>
            <w:gridSpan w:val="5"/>
            <w:shd w:val="clear" w:color="auto" w:fill="FFFFFF" w:themeFill="background1"/>
            <w:vAlign w:val="bottom"/>
          </w:tcPr>
          <w:p w14:paraId="038A3551" w14:textId="77777777" w:rsidR="00C0383F" w:rsidRDefault="00C0383F" w:rsidP="001A5D4A">
            <w:pPr>
              <w:pStyle w:val="Note-TextHeader"/>
              <w:rPr>
                <w:b w:val="0"/>
                <w:lang w:val="en-GB"/>
              </w:rPr>
            </w:pPr>
            <w:r>
              <w:t>Other audit and assurance services</w:t>
            </w:r>
          </w:p>
        </w:tc>
      </w:tr>
      <w:tr w:rsidR="00E714DF" w14:paraId="038A3559" w14:textId="77777777" w:rsidTr="00463ABD">
        <w:trPr>
          <w:cantSplit/>
          <w:trHeight w:val="181"/>
        </w:trPr>
        <w:tc>
          <w:tcPr>
            <w:tcW w:w="810" w:type="pct"/>
          </w:tcPr>
          <w:p w14:paraId="038A3553" w14:textId="77777777" w:rsidR="00CC2100" w:rsidRDefault="00CC2100" w:rsidP="001A5D4A">
            <w:pPr>
              <w:pStyle w:val="Note-Refs"/>
              <w:rPr>
                <w:b/>
              </w:rPr>
            </w:pPr>
            <w:r>
              <w:t>AASB1054.10(b)</w:t>
            </w:r>
          </w:p>
        </w:tc>
        <w:tc>
          <w:tcPr>
            <w:tcW w:w="2568" w:type="pct"/>
            <w:shd w:val="clear" w:color="auto" w:fill="FFFFFF" w:themeFill="background1"/>
            <w:vAlign w:val="bottom"/>
          </w:tcPr>
          <w:p w14:paraId="038A3554" w14:textId="77777777" w:rsidR="00CC2100" w:rsidRDefault="00CC2100" w:rsidP="001A5D4A">
            <w:pPr>
              <w:pStyle w:val="NotesTable-ItemPlain"/>
              <w:rPr>
                <w:b/>
              </w:rPr>
            </w:pPr>
            <w:r w:rsidRPr="000709D7">
              <w:t>Fees paid to [main audit firm]</w:t>
            </w:r>
          </w:p>
        </w:tc>
        <w:tc>
          <w:tcPr>
            <w:tcW w:w="405" w:type="pct"/>
            <w:shd w:val="clear" w:color="auto" w:fill="FFFFFF" w:themeFill="background1"/>
          </w:tcPr>
          <w:p w14:paraId="038A3555" w14:textId="77777777" w:rsidR="00CC2100" w:rsidRPr="000709D7" w:rsidRDefault="00CC2100" w:rsidP="001A5D4A">
            <w:pPr>
              <w:pStyle w:val="NotesTable-CellBold"/>
            </w:pPr>
            <w:r w:rsidRPr="001E26D6">
              <w:t>–</w:t>
            </w:r>
          </w:p>
        </w:tc>
        <w:tc>
          <w:tcPr>
            <w:tcW w:w="406" w:type="pct"/>
            <w:shd w:val="clear" w:color="auto" w:fill="FFFFFF" w:themeFill="background1"/>
          </w:tcPr>
          <w:p w14:paraId="038A3556" w14:textId="77777777" w:rsidR="00CC2100" w:rsidRDefault="00CC2100" w:rsidP="001A5D4A">
            <w:pPr>
              <w:pStyle w:val="NotesTable-CellPlain"/>
            </w:pPr>
            <w:r w:rsidRPr="001E26D6">
              <w:t>–</w:t>
            </w:r>
          </w:p>
        </w:tc>
        <w:tc>
          <w:tcPr>
            <w:tcW w:w="405" w:type="pct"/>
            <w:shd w:val="clear" w:color="auto" w:fill="FFFFFF" w:themeFill="background1"/>
          </w:tcPr>
          <w:p w14:paraId="038A3557" w14:textId="77777777" w:rsidR="00CC2100" w:rsidRPr="000709D7" w:rsidRDefault="00CC2100" w:rsidP="001A5D4A">
            <w:pPr>
              <w:pStyle w:val="NotesTable-CellBold"/>
            </w:pPr>
            <w:r w:rsidRPr="001E26D6">
              <w:t>–</w:t>
            </w:r>
          </w:p>
        </w:tc>
        <w:tc>
          <w:tcPr>
            <w:tcW w:w="406" w:type="pct"/>
            <w:shd w:val="clear" w:color="auto" w:fill="FFFFFF" w:themeFill="background1"/>
          </w:tcPr>
          <w:p w14:paraId="038A3558" w14:textId="77777777" w:rsidR="00CC2100" w:rsidRDefault="00CC2100" w:rsidP="001A5D4A">
            <w:pPr>
              <w:pStyle w:val="NotesTable-CellPlain"/>
            </w:pPr>
            <w:r w:rsidRPr="001E26D6">
              <w:t>–</w:t>
            </w:r>
          </w:p>
        </w:tc>
      </w:tr>
      <w:tr w:rsidR="00E714DF" w14:paraId="038A3560" w14:textId="77777777" w:rsidTr="00463ABD">
        <w:trPr>
          <w:cantSplit/>
          <w:trHeight w:val="181"/>
        </w:trPr>
        <w:tc>
          <w:tcPr>
            <w:tcW w:w="810" w:type="pct"/>
          </w:tcPr>
          <w:p w14:paraId="038A355A" w14:textId="77777777" w:rsidR="00CC2100" w:rsidRDefault="00CC2100" w:rsidP="001A5D4A">
            <w:pPr>
              <w:pStyle w:val="Note-Refs"/>
              <w:rPr>
                <w:b/>
              </w:rPr>
            </w:pPr>
            <w:r>
              <w:t>AASB1054.10(b)</w:t>
            </w:r>
          </w:p>
        </w:tc>
        <w:tc>
          <w:tcPr>
            <w:tcW w:w="2568" w:type="pct"/>
            <w:shd w:val="clear" w:color="auto" w:fill="FFFFFF" w:themeFill="background1"/>
            <w:vAlign w:val="bottom"/>
          </w:tcPr>
          <w:p w14:paraId="038A355B" w14:textId="77777777" w:rsidR="00CC2100" w:rsidRDefault="00CC2100" w:rsidP="001A5D4A">
            <w:pPr>
              <w:pStyle w:val="NotesTable-ItemPlain"/>
              <w:rPr>
                <w:b/>
              </w:rPr>
            </w:pPr>
            <w:r>
              <w:t>[Specify other firms</w:t>
            </w:r>
            <w:r w:rsidRPr="000709D7">
              <w:t>]</w:t>
            </w:r>
          </w:p>
        </w:tc>
        <w:tc>
          <w:tcPr>
            <w:tcW w:w="405" w:type="pct"/>
            <w:tcBorders>
              <w:bottom w:val="single" w:sz="4" w:space="0" w:color="auto"/>
            </w:tcBorders>
            <w:shd w:val="clear" w:color="auto" w:fill="FFFFFF" w:themeFill="background1"/>
          </w:tcPr>
          <w:p w14:paraId="038A355C" w14:textId="77777777" w:rsidR="00CC2100" w:rsidRPr="000709D7" w:rsidRDefault="00CC2100" w:rsidP="001A5D4A">
            <w:pPr>
              <w:pStyle w:val="NotesTable-CellBold"/>
            </w:pPr>
            <w:r w:rsidRPr="001E26D6">
              <w:t>–</w:t>
            </w:r>
          </w:p>
        </w:tc>
        <w:tc>
          <w:tcPr>
            <w:tcW w:w="406" w:type="pct"/>
            <w:tcBorders>
              <w:bottom w:val="single" w:sz="4" w:space="0" w:color="auto"/>
            </w:tcBorders>
            <w:shd w:val="clear" w:color="auto" w:fill="FFFFFF" w:themeFill="background1"/>
          </w:tcPr>
          <w:p w14:paraId="038A355D" w14:textId="77777777" w:rsidR="00CC2100" w:rsidRDefault="00CC2100" w:rsidP="001A5D4A">
            <w:pPr>
              <w:pStyle w:val="NotesTable-CellPlain"/>
            </w:pPr>
            <w:r w:rsidRPr="001E26D6">
              <w:t>–</w:t>
            </w:r>
          </w:p>
        </w:tc>
        <w:tc>
          <w:tcPr>
            <w:tcW w:w="405" w:type="pct"/>
            <w:tcBorders>
              <w:bottom w:val="single" w:sz="4" w:space="0" w:color="auto"/>
            </w:tcBorders>
            <w:shd w:val="clear" w:color="auto" w:fill="FFFFFF" w:themeFill="background1"/>
          </w:tcPr>
          <w:p w14:paraId="038A355E" w14:textId="77777777" w:rsidR="00CC2100" w:rsidRPr="000709D7" w:rsidRDefault="00CC2100" w:rsidP="001A5D4A">
            <w:pPr>
              <w:pStyle w:val="NotesTable-CellBold"/>
            </w:pPr>
            <w:r w:rsidRPr="001E26D6">
              <w:t>–</w:t>
            </w:r>
          </w:p>
        </w:tc>
        <w:tc>
          <w:tcPr>
            <w:tcW w:w="406" w:type="pct"/>
            <w:tcBorders>
              <w:bottom w:val="single" w:sz="4" w:space="0" w:color="auto"/>
            </w:tcBorders>
            <w:shd w:val="clear" w:color="auto" w:fill="FFFFFF" w:themeFill="background1"/>
          </w:tcPr>
          <w:p w14:paraId="038A355F" w14:textId="77777777" w:rsidR="00CC2100" w:rsidRDefault="00CC2100" w:rsidP="001A5D4A">
            <w:pPr>
              <w:pStyle w:val="NotesTable-CellPlain"/>
            </w:pPr>
            <w:r w:rsidRPr="001E26D6">
              <w:t>–</w:t>
            </w:r>
          </w:p>
        </w:tc>
      </w:tr>
      <w:tr w:rsidR="00E714DF" w14:paraId="038A3567" w14:textId="77777777" w:rsidTr="00463ABD">
        <w:trPr>
          <w:cantSplit/>
          <w:trHeight w:val="181"/>
        </w:trPr>
        <w:tc>
          <w:tcPr>
            <w:tcW w:w="810" w:type="pct"/>
          </w:tcPr>
          <w:p w14:paraId="038A3561" w14:textId="77777777" w:rsidR="00CC2100" w:rsidRDefault="00CC2100" w:rsidP="001A5D4A">
            <w:pPr>
              <w:pStyle w:val="Note-Refs"/>
            </w:pPr>
          </w:p>
        </w:tc>
        <w:tc>
          <w:tcPr>
            <w:tcW w:w="2568" w:type="pct"/>
            <w:shd w:val="clear" w:color="auto" w:fill="FFFFFF" w:themeFill="background1"/>
            <w:vAlign w:val="bottom"/>
          </w:tcPr>
          <w:p w14:paraId="038A3562" w14:textId="77777777" w:rsidR="00CC2100" w:rsidRDefault="00CC2100" w:rsidP="001A5D4A">
            <w:pPr>
              <w:pStyle w:val="NotesTable-ItemPlain"/>
              <w:rPr>
                <w:b/>
              </w:rPr>
            </w:pPr>
            <w:r>
              <w:t>Total</w:t>
            </w:r>
            <w:r w:rsidR="000721FB">
              <w:t xml:space="preserve"> paid for audit and assurance</w:t>
            </w:r>
          </w:p>
        </w:tc>
        <w:tc>
          <w:tcPr>
            <w:tcW w:w="405" w:type="pct"/>
            <w:tcBorders>
              <w:top w:val="single" w:sz="4" w:space="0" w:color="auto"/>
            </w:tcBorders>
            <w:shd w:val="clear" w:color="auto" w:fill="FFFFFF" w:themeFill="background1"/>
          </w:tcPr>
          <w:p w14:paraId="038A3563" w14:textId="77777777" w:rsidR="00CC2100" w:rsidRPr="000709D7" w:rsidRDefault="00CC2100" w:rsidP="001A5D4A">
            <w:pPr>
              <w:pStyle w:val="NotesTable-CellBold"/>
            </w:pPr>
            <w:r w:rsidRPr="001E26D6">
              <w:t>–</w:t>
            </w:r>
          </w:p>
        </w:tc>
        <w:tc>
          <w:tcPr>
            <w:tcW w:w="406" w:type="pct"/>
            <w:tcBorders>
              <w:top w:val="single" w:sz="4" w:space="0" w:color="auto"/>
            </w:tcBorders>
            <w:shd w:val="clear" w:color="auto" w:fill="FFFFFF" w:themeFill="background1"/>
          </w:tcPr>
          <w:p w14:paraId="038A3564" w14:textId="77777777" w:rsidR="00CC2100" w:rsidRDefault="00CC2100" w:rsidP="001A5D4A">
            <w:pPr>
              <w:pStyle w:val="NotesTable-CellPlain"/>
            </w:pPr>
            <w:r w:rsidRPr="001E26D6">
              <w:t>–</w:t>
            </w:r>
          </w:p>
        </w:tc>
        <w:tc>
          <w:tcPr>
            <w:tcW w:w="405" w:type="pct"/>
            <w:tcBorders>
              <w:top w:val="single" w:sz="4" w:space="0" w:color="auto"/>
            </w:tcBorders>
            <w:shd w:val="clear" w:color="auto" w:fill="FFFFFF" w:themeFill="background1"/>
          </w:tcPr>
          <w:p w14:paraId="038A3565" w14:textId="77777777" w:rsidR="00CC2100" w:rsidRPr="000709D7" w:rsidRDefault="00CC2100" w:rsidP="001A5D4A">
            <w:pPr>
              <w:pStyle w:val="NotesTable-CellBold"/>
            </w:pPr>
            <w:r w:rsidRPr="001E26D6">
              <w:t>–</w:t>
            </w:r>
          </w:p>
        </w:tc>
        <w:tc>
          <w:tcPr>
            <w:tcW w:w="406" w:type="pct"/>
            <w:tcBorders>
              <w:top w:val="single" w:sz="4" w:space="0" w:color="auto"/>
            </w:tcBorders>
            <w:shd w:val="clear" w:color="auto" w:fill="FFFFFF" w:themeFill="background1"/>
          </w:tcPr>
          <w:p w14:paraId="038A3566" w14:textId="77777777" w:rsidR="00CC2100" w:rsidRDefault="00CC2100" w:rsidP="001A5D4A">
            <w:pPr>
              <w:pStyle w:val="NotesTable-CellPlain"/>
            </w:pPr>
            <w:r w:rsidRPr="001E26D6">
              <w:t>–</w:t>
            </w:r>
          </w:p>
        </w:tc>
      </w:tr>
      <w:tr w:rsidR="00C83428" w14:paraId="038A356A" w14:textId="77777777" w:rsidTr="00463ABD">
        <w:trPr>
          <w:cantSplit/>
          <w:trHeight w:val="181"/>
        </w:trPr>
        <w:tc>
          <w:tcPr>
            <w:tcW w:w="810" w:type="pct"/>
          </w:tcPr>
          <w:p w14:paraId="038A3568" w14:textId="77777777" w:rsidR="00C83428" w:rsidRDefault="00C83428" w:rsidP="001A5D4A">
            <w:pPr>
              <w:pStyle w:val="Note-Refs"/>
            </w:pPr>
          </w:p>
        </w:tc>
        <w:tc>
          <w:tcPr>
            <w:tcW w:w="4190" w:type="pct"/>
            <w:gridSpan w:val="5"/>
            <w:shd w:val="clear" w:color="auto" w:fill="FFFFFF" w:themeFill="background1"/>
            <w:vAlign w:val="bottom"/>
          </w:tcPr>
          <w:p w14:paraId="038A3569" w14:textId="77777777" w:rsidR="00C83428" w:rsidRDefault="00C83428" w:rsidP="001A5D4A">
            <w:pPr>
              <w:pStyle w:val="Note-Text"/>
            </w:pPr>
          </w:p>
        </w:tc>
      </w:tr>
      <w:tr w:rsidR="00C83428" w14:paraId="038A356D" w14:textId="77777777" w:rsidTr="00463ABD">
        <w:trPr>
          <w:cantSplit/>
          <w:trHeight w:val="181"/>
        </w:trPr>
        <w:tc>
          <w:tcPr>
            <w:tcW w:w="810" w:type="pct"/>
          </w:tcPr>
          <w:p w14:paraId="038A356B" w14:textId="77777777" w:rsidR="00C83428" w:rsidRPr="00B13CF4" w:rsidRDefault="00C83428" w:rsidP="001A5D4A">
            <w:pPr>
              <w:pStyle w:val="Note-Refs"/>
              <w:rPr>
                <w:b/>
              </w:rPr>
            </w:pPr>
            <w:r w:rsidRPr="00FE029C">
              <w:t>AASB1054.10(b</w:t>
            </w:r>
            <w:r>
              <w:t>)</w:t>
            </w:r>
          </w:p>
        </w:tc>
        <w:tc>
          <w:tcPr>
            <w:tcW w:w="4190" w:type="pct"/>
            <w:gridSpan w:val="5"/>
            <w:shd w:val="clear" w:color="auto" w:fill="FFFFFF" w:themeFill="background1"/>
            <w:vAlign w:val="bottom"/>
          </w:tcPr>
          <w:p w14:paraId="038A356C" w14:textId="77777777" w:rsidR="00C83428" w:rsidRDefault="00C83428" w:rsidP="001A5D4A">
            <w:pPr>
              <w:pStyle w:val="Note-Text"/>
              <w:rPr>
                <w:b/>
              </w:rPr>
            </w:pPr>
            <w:r>
              <w:t>[Describe the nature of all other services]</w:t>
            </w:r>
          </w:p>
        </w:tc>
      </w:tr>
      <w:tr w:rsidR="00C83428" w14:paraId="038A3570" w14:textId="77777777" w:rsidTr="00463ABD">
        <w:trPr>
          <w:cantSplit/>
          <w:trHeight w:val="181"/>
        </w:trPr>
        <w:tc>
          <w:tcPr>
            <w:tcW w:w="810" w:type="pct"/>
          </w:tcPr>
          <w:p w14:paraId="038A356E" w14:textId="77777777" w:rsidR="00C83428" w:rsidRDefault="00C83428" w:rsidP="001A5D4A">
            <w:pPr>
              <w:pStyle w:val="Note-Refs"/>
            </w:pPr>
          </w:p>
        </w:tc>
        <w:tc>
          <w:tcPr>
            <w:tcW w:w="4190" w:type="pct"/>
            <w:gridSpan w:val="5"/>
            <w:vAlign w:val="bottom"/>
          </w:tcPr>
          <w:p w14:paraId="038A356F" w14:textId="77777777" w:rsidR="00C83428" w:rsidRDefault="00C83428" w:rsidP="001A5D4A">
            <w:pPr>
              <w:pStyle w:val="Note-Text"/>
            </w:pPr>
          </w:p>
        </w:tc>
      </w:tr>
      <w:tr w:rsidR="00C83428" w14:paraId="038A3573" w14:textId="77777777" w:rsidTr="00463ABD">
        <w:trPr>
          <w:cantSplit/>
          <w:trHeight w:val="181"/>
        </w:trPr>
        <w:tc>
          <w:tcPr>
            <w:tcW w:w="810" w:type="pct"/>
          </w:tcPr>
          <w:p w14:paraId="038A3571" w14:textId="77777777" w:rsidR="00C83428" w:rsidRDefault="00C83428" w:rsidP="001A5D4A">
            <w:pPr>
              <w:pStyle w:val="Note-Refs"/>
            </w:pPr>
          </w:p>
        </w:tc>
        <w:tc>
          <w:tcPr>
            <w:tcW w:w="4190" w:type="pct"/>
            <w:gridSpan w:val="5"/>
            <w:vAlign w:val="bottom"/>
          </w:tcPr>
          <w:p w14:paraId="038A3572" w14:textId="24F86C41" w:rsidR="00C83428" w:rsidRDefault="00C83428" w:rsidP="001A5D4A">
            <w:pPr>
              <w:pStyle w:val="Note-Text"/>
              <w:rPr>
                <w:b/>
              </w:rPr>
            </w:pPr>
            <w:r>
              <w:t xml:space="preserve">It is the consolidated entity’s policy to employ </w:t>
            </w:r>
            <w:r w:rsidRPr="00111459">
              <w:t>[main audit firm]</w:t>
            </w:r>
            <w:r>
              <w:t xml:space="preserve"> on assignments additional to their statutory audit duties where </w:t>
            </w:r>
            <w:r w:rsidRPr="0075443E">
              <w:t>[main audit firm</w:t>
            </w:r>
            <w:r w:rsidR="00E51CF2">
              <w:t>]’s</w:t>
            </w:r>
            <w:r>
              <w:t xml:space="preserve"> expertise and experience with the consolidated entity are important.</w:t>
            </w:r>
            <w:r w:rsidR="001A35D6">
              <w:t xml:space="preserve"> </w:t>
            </w:r>
            <w:r>
              <w:t>It is the consolidated entity’s policy to seek competitive tenders for all major consulting projects.</w:t>
            </w:r>
          </w:p>
        </w:tc>
      </w:tr>
    </w:tbl>
    <w:p w14:paraId="42DF31C6" w14:textId="39A985F9" w:rsidR="00DF4F9B" w:rsidRPr="005F65FA" w:rsidRDefault="00DF4F9B" w:rsidP="001A5D4A">
      <w:pPr>
        <w:pStyle w:val="Heading3"/>
        <w:rPr>
          <w:color w:val="2D3E7B" w:themeColor="text2" w:themeShade="BF"/>
        </w:rPr>
      </w:pPr>
      <w:bookmarkStart w:id="381" w:name="_Toc410807663"/>
      <w:bookmarkStart w:id="382" w:name="_Toc410822724"/>
      <w:r w:rsidRPr="005F65FA">
        <w:rPr>
          <w:color w:val="2D3E7B" w:themeColor="text2" w:themeShade="BF"/>
        </w:rPr>
        <w:t>Commentary - Remuneration of auditors</w:t>
      </w:r>
      <w:bookmarkEnd w:id="381"/>
      <w:bookmarkEnd w:id="382"/>
    </w:p>
    <w:p w14:paraId="2B015B40" w14:textId="77777777" w:rsidR="00DF4F9B" w:rsidRPr="005F65FA" w:rsidRDefault="00DF4F9B"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Materiality</w:t>
      </w:r>
    </w:p>
    <w:p w14:paraId="7034246A" w14:textId="77777777" w:rsidR="00DF4F9B" w:rsidRPr="00DF4F9B" w:rsidRDefault="00DF4F9B" w:rsidP="001A5D4A">
      <w:pPr>
        <w:rPr>
          <w:color w:val="2D3E7B" w:themeColor="text2" w:themeShade="BF"/>
        </w:rPr>
      </w:pPr>
      <w:r w:rsidRPr="005F65FA">
        <w:rPr>
          <w:color w:val="2D3E7B" w:themeColor="text2" w:themeShade="BF"/>
        </w:rPr>
        <w:t xml:space="preserve">The auditor’s remuneration </w:t>
      </w:r>
      <w:r w:rsidRPr="00DF4F9B">
        <w:rPr>
          <w:color w:val="2D3E7B" w:themeColor="text2" w:themeShade="BF"/>
        </w:rPr>
        <w:t>disclosures are mandatory as they are deemed to be material because of their nature.</w:t>
      </w:r>
    </w:p>
    <w:p w14:paraId="1F02E622" w14:textId="77777777" w:rsidR="00DF4F9B" w:rsidRPr="00DF4F9B" w:rsidRDefault="00DF4F9B" w:rsidP="00F94210">
      <w:pPr>
        <w:pStyle w:val="Heading6"/>
      </w:pPr>
      <w:r w:rsidRPr="00DF4F9B">
        <w:t>AASB1054.10</w:t>
      </w:r>
    </w:p>
    <w:p w14:paraId="4D435FAC" w14:textId="77777777" w:rsidR="00DF4F9B" w:rsidRPr="00DF4F9B" w:rsidRDefault="00DF4F9B" w:rsidP="001A5D4A">
      <w:pPr>
        <w:rPr>
          <w:color w:val="2D3E7B" w:themeColor="text2" w:themeShade="BF"/>
        </w:rPr>
      </w:pPr>
      <w:r w:rsidRPr="00DF4F9B">
        <w:rPr>
          <w:color w:val="2D3E7B" w:themeColor="text2" w:themeShade="BF"/>
        </w:rPr>
        <w:t>An entity shall disclose fees to each auditor or reviewer separately for:</w:t>
      </w:r>
    </w:p>
    <w:p w14:paraId="7BA7DBCC" w14:textId="37857BBF" w:rsidR="00DF4F9B" w:rsidRPr="00DF4F9B" w:rsidRDefault="00DF4F9B" w:rsidP="00561138">
      <w:pPr>
        <w:pStyle w:val="ListParagraph"/>
        <w:numPr>
          <w:ilvl w:val="0"/>
          <w:numId w:val="52"/>
        </w:numPr>
        <w:ind w:left="340" w:hanging="340"/>
        <w:rPr>
          <w:color w:val="2D3E7B" w:themeColor="text2" w:themeShade="BF"/>
        </w:rPr>
      </w:pPr>
      <w:r w:rsidRPr="00DF4F9B">
        <w:rPr>
          <w:color w:val="2D3E7B" w:themeColor="text2" w:themeShade="BF"/>
        </w:rPr>
        <w:t>the audit or review of the financial statements; and</w:t>
      </w:r>
    </w:p>
    <w:p w14:paraId="56F68F8E" w14:textId="6B9024CC" w:rsidR="00DF4F9B" w:rsidRPr="00DF4F9B" w:rsidRDefault="00DF4F9B" w:rsidP="00561138">
      <w:pPr>
        <w:pStyle w:val="ListParagraph"/>
        <w:numPr>
          <w:ilvl w:val="0"/>
          <w:numId w:val="52"/>
        </w:numPr>
        <w:ind w:left="340" w:hanging="340"/>
        <w:rPr>
          <w:color w:val="2D3E7B" w:themeColor="text2" w:themeShade="BF"/>
        </w:rPr>
      </w:pPr>
      <w:proofErr w:type="gramStart"/>
      <w:r w:rsidRPr="00DF4F9B">
        <w:rPr>
          <w:color w:val="2D3E7B" w:themeColor="text2" w:themeShade="BF"/>
        </w:rPr>
        <w:t>all</w:t>
      </w:r>
      <w:proofErr w:type="gramEnd"/>
      <w:r w:rsidRPr="00DF4F9B">
        <w:rPr>
          <w:color w:val="2D3E7B" w:themeColor="text2" w:themeShade="BF"/>
        </w:rPr>
        <w:t xml:space="preserve"> other services performed during the reporting period.</w:t>
      </w:r>
    </w:p>
    <w:p w14:paraId="243C11B1" w14:textId="77777777" w:rsidR="00DF4F9B" w:rsidRPr="00DF4F9B" w:rsidRDefault="00DF4F9B" w:rsidP="00F94210">
      <w:pPr>
        <w:pStyle w:val="Heading6"/>
      </w:pPr>
      <w:r w:rsidRPr="00DF4F9B">
        <w:t>AASB1054.11</w:t>
      </w:r>
    </w:p>
    <w:p w14:paraId="2F7F7730" w14:textId="77777777" w:rsidR="00DF4F9B" w:rsidRPr="00DF4F9B" w:rsidRDefault="00DF4F9B" w:rsidP="001A5D4A">
      <w:pPr>
        <w:rPr>
          <w:color w:val="2D3E7B" w:themeColor="text2" w:themeShade="BF"/>
        </w:rPr>
      </w:pPr>
      <w:r w:rsidRPr="00DF4F9B">
        <w:rPr>
          <w:color w:val="2D3E7B" w:themeColor="text2" w:themeShade="BF"/>
        </w:rPr>
        <w:t>The nature and amount of all other work undertaken by an auditor or reviewer shall be disclosed.</w:t>
      </w:r>
    </w:p>
    <w:p w14:paraId="038A359E" w14:textId="77777777" w:rsidR="00C84751" w:rsidRPr="00117880" w:rsidRDefault="00C84751" w:rsidP="001A5D4A">
      <w:r w:rsidRPr="00117880">
        <w:br w:type="page"/>
      </w:r>
    </w:p>
    <w:p w14:paraId="21F53800" w14:textId="4FB01C27" w:rsidR="00106D3E" w:rsidRPr="00106D3E" w:rsidRDefault="00106D3E" w:rsidP="005F65FA">
      <w:pPr>
        <w:pStyle w:val="Heading2"/>
      </w:pPr>
      <w:bookmarkStart w:id="383" w:name="_Toc410807664"/>
      <w:bookmarkStart w:id="384" w:name="_Toc410822725"/>
      <w:proofErr w:type="gramStart"/>
      <w:r w:rsidRPr="00106D3E">
        <w:lastRenderedPageBreak/>
        <w:t>Note 40.</w:t>
      </w:r>
      <w:proofErr w:type="gramEnd"/>
      <w:r>
        <w:t xml:space="preserve"> </w:t>
      </w:r>
      <w:r w:rsidRPr="00106D3E">
        <w:t>Contingencies</w:t>
      </w:r>
      <w:bookmarkEnd w:id="383"/>
      <w:bookmarkEnd w:id="384"/>
    </w:p>
    <w:tbl>
      <w:tblPr>
        <w:tblW w:w="5000" w:type="pct"/>
        <w:tblCellMar>
          <w:left w:w="0" w:type="dxa"/>
          <w:right w:w="0" w:type="dxa"/>
        </w:tblCellMar>
        <w:tblLook w:val="0000" w:firstRow="0" w:lastRow="0" w:firstColumn="0" w:lastColumn="0" w:noHBand="0" w:noVBand="0"/>
      </w:tblPr>
      <w:tblGrid>
        <w:gridCol w:w="1664"/>
        <w:gridCol w:w="8596"/>
      </w:tblGrid>
      <w:tr w:rsidR="00023312" w14:paraId="038A35A5" w14:textId="77777777" w:rsidTr="00463ABD">
        <w:trPr>
          <w:cantSplit/>
          <w:trHeight w:val="181"/>
        </w:trPr>
        <w:tc>
          <w:tcPr>
            <w:tcW w:w="811" w:type="pct"/>
          </w:tcPr>
          <w:p w14:paraId="038A35A3" w14:textId="16D71B93" w:rsidR="00023312" w:rsidRDefault="00455C03" w:rsidP="001A5D4A">
            <w:pPr>
              <w:pStyle w:val="Note-Refs"/>
            </w:pPr>
            <w:r>
              <w:t>AASB137.86</w:t>
            </w:r>
          </w:p>
        </w:tc>
        <w:tc>
          <w:tcPr>
            <w:tcW w:w="4189" w:type="pct"/>
            <w:vAlign w:val="bottom"/>
          </w:tcPr>
          <w:p w14:paraId="038A35A4" w14:textId="77777777" w:rsidR="00023312" w:rsidRDefault="00023312" w:rsidP="001A5D4A">
            <w:pPr>
              <w:pStyle w:val="Note-TextHeader"/>
            </w:pPr>
            <w:r>
              <w:t>Contingent liabilities</w:t>
            </w:r>
          </w:p>
        </w:tc>
      </w:tr>
      <w:tr w:rsidR="00023312" w14:paraId="038A35A8" w14:textId="77777777" w:rsidTr="00463ABD">
        <w:trPr>
          <w:cantSplit/>
          <w:trHeight w:val="181"/>
        </w:trPr>
        <w:tc>
          <w:tcPr>
            <w:tcW w:w="811" w:type="pct"/>
          </w:tcPr>
          <w:p w14:paraId="038A35A6" w14:textId="77777777" w:rsidR="00023312" w:rsidRDefault="00023312" w:rsidP="001A5D4A">
            <w:pPr>
              <w:pStyle w:val="Note-Refs"/>
            </w:pPr>
          </w:p>
        </w:tc>
        <w:tc>
          <w:tcPr>
            <w:tcW w:w="4189" w:type="pct"/>
            <w:vAlign w:val="bottom"/>
          </w:tcPr>
          <w:p w14:paraId="038A35A7" w14:textId="77777777" w:rsidR="00023312" w:rsidRDefault="00023312" w:rsidP="001A5D4A">
            <w:pPr>
              <w:pStyle w:val="Note-Text"/>
              <w:rPr>
                <w:b/>
              </w:rPr>
            </w:pPr>
            <w:r>
              <w:t>[Describe contingent liabilities]</w:t>
            </w:r>
          </w:p>
        </w:tc>
      </w:tr>
      <w:tr w:rsidR="00C0383F" w14:paraId="038A35AB" w14:textId="77777777" w:rsidTr="00463ABD">
        <w:trPr>
          <w:cantSplit/>
          <w:trHeight w:val="181"/>
        </w:trPr>
        <w:tc>
          <w:tcPr>
            <w:tcW w:w="811" w:type="pct"/>
          </w:tcPr>
          <w:p w14:paraId="038A35A9" w14:textId="77777777" w:rsidR="00C0383F" w:rsidRDefault="00C0383F" w:rsidP="001A5D4A">
            <w:pPr>
              <w:pStyle w:val="Note-Refs"/>
            </w:pPr>
          </w:p>
        </w:tc>
        <w:tc>
          <w:tcPr>
            <w:tcW w:w="4189" w:type="pct"/>
            <w:vAlign w:val="bottom"/>
          </w:tcPr>
          <w:p w14:paraId="038A35AA" w14:textId="77777777" w:rsidR="00C0383F" w:rsidRDefault="00C0383F" w:rsidP="001A5D4A">
            <w:pPr>
              <w:pStyle w:val="Note-Text"/>
            </w:pPr>
          </w:p>
        </w:tc>
      </w:tr>
      <w:tr w:rsidR="00023312" w14:paraId="038A35AE" w14:textId="77777777" w:rsidTr="00463ABD">
        <w:trPr>
          <w:cantSplit/>
          <w:trHeight w:val="181"/>
        </w:trPr>
        <w:tc>
          <w:tcPr>
            <w:tcW w:w="811" w:type="pct"/>
          </w:tcPr>
          <w:p w14:paraId="038A35AC" w14:textId="77777777" w:rsidR="00023312" w:rsidRDefault="00023312" w:rsidP="001A5D4A">
            <w:pPr>
              <w:pStyle w:val="Note-Refs"/>
            </w:pPr>
          </w:p>
        </w:tc>
        <w:tc>
          <w:tcPr>
            <w:tcW w:w="4189" w:type="pct"/>
            <w:vAlign w:val="bottom"/>
          </w:tcPr>
          <w:p w14:paraId="038A35AD" w14:textId="77777777" w:rsidR="00023312" w:rsidRDefault="00023312" w:rsidP="001A5D4A">
            <w:pPr>
              <w:pStyle w:val="Note-TextHeader"/>
              <w:rPr>
                <w:b w:val="0"/>
                <w:lang w:val="en-GB"/>
              </w:rPr>
            </w:pPr>
            <w:r>
              <w:t>Claims</w:t>
            </w:r>
          </w:p>
        </w:tc>
      </w:tr>
      <w:tr w:rsidR="00023312" w14:paraId="038A35B1" w14:textId="77777777" w:rsidTr="00463ABD">
        <w:trPr>
          <w:cantSplit/>
          <w:trHeight w:val="181"/>
        </w:trPr>
        <w:tc>
          <w:tcPr>
            <w:tcW w:w="811" w:type="pct"/>
          </w:tcPr>
          <w:p w14:paraId="038A35AF" w14:textId="77777777" w:rsidR="00023312" w:rsidRDefault="00023312" w:rsidP="001A5D4A">
            <w:pPr>
              <w:pStyle w:val="Note-Refs"/>
              <w:rPr>
                <w:b/>
              </w:rPr>
            </w:pPr>
            <w:r>
              <w:t>AASB137</w:t>
            </w:r>
            <w:r w:rsidR="00F77F88">
              <w:t>.</w:t>
            </w:r>
            <w:r>
              <w:t>86,91</w:t>
            </w:r>
          </w:p>
        </w:tc>
        <w:tc>
          <w:tcPr>
            <w:tcW w:w="4189" w:type="pct"/>
            <w:vAlign w:val="bottom"/>
          </w:tcPr>
          <w:p w14:paraId="038A35B0" w14:textId="77777777" w:rsidR="00023312" w:rsidRDefault="00023312" w:rsidP="001A5D4A">
            <w:pPr>
              <w:pStyle w:val="Note-Text"/>
              <w:rPr>
                <w:b/>
              </w:rPr>
            </w:pPr>
            <w:r>
              <w:t>[Describe claims]</w:t>
            </w:r>
          </w:p>
        </w:tc>
      </w:tr>
      <w:tr w:rsidR="00C0383F" w14:paraId="038A35B4" w14:textId="77777777" w:rsidTr="00463ABD">
        <w:trPr>
          <w:cantSplit/>
          <w:trHeight w:val="181"/>
        </w:trPr>
        <w:tc>
          <w:tcPr>
            <w:tcW w:w="811" w:type="pct"/>
          </w:tcPr>
          <w:p w14:paraId="038A35B2" w14:textId="77777777" w:rsidR="00C0383F" w:rsidRDefault="00C0383F" w:rsidP="001A5D4A">
            <w:pPr>
              <w:pStyle w:val="Note-Refs"/>
            </w:pPr>
          </w:p>
        </w:tc>
        <w:tc>
          <w:tcPr>
            <w:tcW w:w="4189" w:type="pct"/>
            <w:vAlign w:val="bottom"/>
          </w:tcPr>
          <w:p w14:paraId="038A35B3" w14:textId="77777777" w:rsidR="00C0383F" w:rsidRDefault="00C0383F" w:rsidP="001A5D4A">
            <w:pPr>
              <w:pStyle w:val="Note-Text"/>
            </w:pPr>
          </w:p>
        </w:tc>
      </w:tr>
      <w:tr w:rsidR="00023312" w14:paraId="038A35B7" w14:textId="77777777" w:rsidTr="00463ABD">
        <w:trPr>
          <w:cantSplit/>
          <w:trHeight w:val="181"/>
        </w:trPr>
        <w:tc>
          <w:tcPr>
            <w:tcW w:w="811" w:type="pct"/>
          </w:tcPr>
          <w:p w14:paraId="038A35B5" w14:textId="77777777" w:rsidR="00023312" w:rsidRDefault="00023312" w:rsidP="001A5D4A">
            <w:pPr>
              <w:pStyle w:val="Note-Refs"/>
            </w:pPr>
          </w:p>
        </w:tc>
        <w:tc>
          <w:tcPr>
            <w:tcW w:w="4189" w:type="pct"/>
            <w:vAlign w:val="bottom"/>
          </w:tcPr>
          <w:p w14:paraId="038A35B6" w14:textId="77777777" w:rsidR="00023312" w:rsidRDefault="00023312" w:rsidP="001A5D4A">
            <w:pPr>
              <w:pStyle w:val="Note-TextHeader"/>
              <w:rPr>
                <w:b w:val="0"/>
                <w:lang w:val="en-GB"/>
              </w:rPr>
            </w:pPr>
            <w:r>
              <w:t xml:space="preserve">Contingent assets </w:t>
            </w:r>
          </w:p>
        </w:tc>
      </w:tr>
      <w:tr w:rsidR="00023312" w14:paraId="038A35BA" w14:textId="77777777" w:rsidTr="00463ABD">
        <w:trPr>
          <w:cantSplit/>
          <w:trHeight w:val="181"/>
        </w:trPr>
        <w:tc>
          <w:tcPr>
            <w:tcW w:w="811" w:type="pct"/>
          </w:tcPr>
          <w:p w14:paraId="038A35B8" w14:textId="77777777" w:rsidR="00023312" w:rsidRDefault="00023312" w:rsidP="001A5D4A">
            <w:pPr>
              <w:pStyle w:val="Note-Refs"/>
              <w:rPr>
                <w:b/>
              </w:rPr>
            </w:pPr>
            <w:r>
              <w:t>AASB137</w:t>
            </w:r>
            <w:r w:rsidR="00F77F88">
              <w:t>.</w:t>
            </w:r>
            <w:r>
              <w:t>89,91</w:t>
            </w:r>
          </w:p>
        </w:tc>
        <w:tc>
          <w:tcPr>
            <w:tcW w:w="4189" w:type="pct"/>
            <w:vAlign w:val="bottom"/>
          </w:tcPr>
          <w:p w14:paraId="038A35B9" w14:textId="77777777" w:rsidR="00023312" w:rsidRDefault="00023312" w:rsidP="001A5D4A">
            <w:pPr>
              <w:pStyle w:val="Note-Text"/>
              <w:rPr>
                <w:b/>
              </w:rPr>
            </w:pPr>
            <w:r>
              <w:t>[Describe contingent assets]</w:t>
            </w:r>
          </w:p>
        </w:tc>
      </w:tr>
      <w:tr w:rsidR="00C0383F" w14:paraId="038A35BD" w14:textId="77777777" w:rsidTr="00463ABD">
        <w:trPr>
          <w:cantSplit/>
          <w:trHeight w:val="181"/>
        </w:trPr>
        <w:tc>
          <w:tcPr>
            <w:tcW w:w="811" w:type="pct"/>
          </w:tcPr>
          <w:p w14:paraId="038A35BB" w14:textId="77777777" w:rsidR="00C0383F" w:rsidRDefault="00C0383F" w:rsidP="001A5D4A">
            <w:pPr>
              <w:pStyle w:val="Note-Refs"/>
            </w:pPr>
          </w:p>
        </w:tc>
        <w:tc>
          <w:tcPr>
            <w:tcW w:w="4189" w:type="pct"/>
            <w:vAlign w:val="bottom"/>
          </w:tcPr>
          <w:p w14:paraId="038A35BC" w14:textId="77777777" w:rsidR="00C0383F" w:rsidRDefault="00C0383F" w:rsidP="001A5D4A">
            <w:pPr>
              <w:pStyle w:val="Note-Text"/>
            </w:pPr>
          </w:p>
        </w:tc>
      </w:tr>
      <w:tr w:rsidR="007D6CAA" w14:paraId="73781553" w14:textId="77777777" w:rsidTr="00463ABD">
        <w:trPr>
          <w:cantSplit/>
          <w:trHeight w:val="181"/>
        </w:trPr>
        <w:tc>
          <w:tcPr>
            <w:tcW w:w="811" w:type="pct"/>
          </w:tcPr>
          <w:p w14:paraId="02095BA6" w14:textId="69114608" w:rsidR="007D6CAA" w:rsidRDefault="007D6CAA" w:rsidP="001A5D4A">
            <w:pPr>
              <w:pStyle w:val="Note-Refs"/>
            </w:pPr>
            <w:r>
              <w:t>AASB12.23b</w:t>
            </w:r>
          </w:p>
        </w:tc>
        <w:tc>
          <w:tcPr>
            <w:tcW w:w="4189" w:type="pct"/>
            <w:vAlign w:val="bottom"/>
          </w:tcPr>
          <w:p w14:paraId="3C0DAB79" w14:textId="373B75E9" w:rsidR="007D6CAA" w:rsidRDefault="007D6CAA" w:rsidP="001A5D4A">
            <w:pPr>
              <w:pStyle w:val="Note-TextHeader"/>
            </w:pPr>
            <w:r>
              <w:t>Contingent liabilities arising from Group’s interests in joint ventures and associates</w:t>
            </w:r>
          </w:p>
        </w:tc>
      </w:tr>
      <w:tr w:rsidR="007D6CAA" w14:paraId="479BC5FA" w14:textId="77777777" w:rsidTr="00463ABD">
        <w:trPr>
          <w:cantSplit/>
          <w:trHeight w:val="181"/>
        </w:trPr>
        <w:tc>
          <w:tcPr>
            <w:tcW w:w="811" w:type="pct"/>
          </w:tcPr>
          <w:p w14:paraId="60473F37" w14:textId="77777777" w:rsidR="007D6CAA" w:rsidRDefault="007D6CAA" w:rsidP="001A5D4A">
            <w:pPr>
              <w:pStyle w:val="Note-Refs"/>
            </w:pPr>
          </w:p>
        </w:tc>
        <w:tc>
          <w:tcPr>
            <w:tcW w:w="4189" w:type="pct"/>
            <w:vAlign w:val="bottom"/>
          </w:tcPr>
          <w:p w14:paraId="2851078F" w14:textId="7F27482D" w:rsidR="007D6CAA" w:rsidRPr="00B12319" w:rsidRDefault="007D6CAA" w:rsidP="001A5D4A">
            <w:pPr>
              <w:pStyle w:val="Note-Text"/>
            </w:pPr>
            <w:r>
              <w:t>[Describe contingent liabilities]</w:t>
            </w:r>
          </w:p>
        </w:tc>
      </w:tr>
    </w:tbl>
    <w:p w14:paraId="2B4973B3" w14:textId="5E20776A" w:rsidR="006356ED" w:rsidRPr="006356ED" w:rsidRDefault="006356ED" w:rsidP="001A5D4A">
      <w:pPr>
        <w:pStyle w:val="Heading3"/>
        <w:rPr>
          <w:color w:val="2D3E7B" w:themeColor="text2" w:themeShade="BF"/>
        </w:rPr>
      </w:pPr>
      <w:bookmarkStart w:id="385" w:name="_Toc410807665"/>
      <w:bookmarkStart w:id="386" w:name="_Toc410822726"/>
      <w:r w:rsidRPr="006356ED">
        <w:rPr>
          <w:color w:val="2D3E7B" w:themeColor="text2" w:themeShade="BF"/>
        </w:rPr>
        <w:t>Commentary - Contingencies</w:t>
      </w:r>
      <w:bookmarkEnd w:id="385"/>
      <w:bookmarkEnd w:id="386"/>
    </w:p>
    <w:p w14:paraId="799CF928" w14:textId="77777777" w:rsidR="006356ED" w:rsidRPr="005F65FA" w:rsidRDefault="006356ED"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Accounting standard for provisions, contingent liabilities and contingent assets</w:t>
      </w:r>
    </w:p>
    <w:p w14:paraId="160F6414" w14:textId="77777777" w:rsidR="006356ED" w:rsidRPr="005F65FA" w:rsidRDefault="006356ED" w:rsidP="00F94210">
      <w:pPr>
        <w:pStyle w:val="Heading6"/>
      </w:pPr>
      <w:r w:rsidRPr="005F65FA">
        <w:t>AASB137.1-5</w:t>
      </w:r>
    </w:p>
    <w:p w14:paraId="677EFFFF" w14:textId="77777777" w:rsidR="006356ED" w:rsidRPr="006356ED" w:rsidRDefault="006356ED" w:rsidP="001A5D4A">
      <w:pPr>
        <w:rPr>
          <w:color w:val="2D3E7B" w:themeColor="text2" w:themeShade="BF"/>
        </w:rPr>
      </w:pPr>
      <w:r w:rsidRPr="006356ED">
        <w:rPr>
          <w:color w:val="2D3E7B" w:themeColor="text2" w:themeShade="BF"/>
        </w:rPr>
        <w:t xml:space="preserve">AASB137 </w:t>
      </w:r>
      <w:r w:rsidRPr="00C94CF3">
        <w:rPr>
          <w:i/>
          <w:color w:val="2D3E7B" w:themeColor="text2" w:themeShade="BF"/>
        </w:rPr>
        <w:t>Provisions, Contingent Liabilities and Contingent Assets</w:t>
      </w:r>
      <w:r w:rsidRPr="006356ED">
        <w:rPr>
          <w:color w:val="2D3E7B" w:themeColor="text2" w:themeShade="BF"/>
        </w:rPr>
        <w:t xml:space="preserve"> </w:t>
      </w:r>
      <w:proofErr w:type="gramStart"/>
      <w:r w:rsidRPr="006356ED">
        <w:rPr>
          <w:color w:val="2D3E7B" w:themeColor="text2" w:themeShade="BF"/>
        </w:rPr>
        <w:t>applies</w:t>
      </w:r>
      <w:proofErr w:type="gramEnd"/>
      <w:r w:rsidRPr="006356ED">
        <w:rPr>
          <w:color w:val="2D3E7B" w:themeColor="text2" w:themeShade="BF"/>
        </w:rPr>
        <w:t xml:space="preserve"> to all provisions, contingent liabilities and contingent assets except:</w:t>
      </w:r>
    </w:p>
    <w:p w14:paraId="598BE3E5" w14:textId="158A0CBD" w:rsidR="006356ED" w:rsidRPr="006356ED" w:rsidRDefault="006356ED" w:rsidP="00561138">
      <w:pPr>
        <w:pStyle w:val="ListParagraph"/>
        <w:numPr>
          <w:ilvl w:val="0"/>
          <w:numId w:val="53"/>
        </w:numPr>
        <w:ind w:left="340" w:hanging="340"/>
        <w:rPr>
          <w:color w:val="2D3E7B" w:themeColor="text2" w:themeShade="BF"/>
        </w:rPr>
      </w:pPr>
      <w:r w:rsidRPr="006356ED">
        <w:rPr>
          <w:color w:val="2D3E7B" w:themeColor="text2" w:themeShade="BF"/>
        </w:rPr>
        <w:t>those resulting from executory contracts, except where the contract is onerous; and</w:t>
      </w:r>
    </w:p>
    <w:p w14:paraId="6CF38A9A" w14:textId="3121A0D3" w:rsidR="006356ED" w:rsidRPr="006356ED" w:rsidRDefault="006356ED" w:rsidP="00561138">
      <w:pPr>
        <w:pStyle w:val="ListParagraph"/>
        <w:numPr>
          <w:ilvl w:val="0"/>
          <w:numId w:val="53"/>
        </w:numPr>
        <w:ind w:left="340" w:hanging="340"/>
        <w:rPr>
          <w:color w:val="2D3E7B" w:themeColor="text2" w:themeShade="BF"/>
        </w:rPr>
      </w:pPr>
      <w:proofErr w:type="gramStart"/>
      <w:r w:rsidRPr="006356ED">
        <w:rPr>
          <w:color w:val="2D3E7B" w:themeColor="text2" w:themeShade="BF"/>
        </w:rPr>
        <w:t>those</w:t>
      </w:r>
      <w:proofErr w:type="gramEnd"/>
      <w:r w:rsidRPr="006356ED">
        <w:rPr>
          <w:color w:val="2D3E7B" w:themeColor="text2" w:themeShade="BF"/>
        </w:rPr>
        <w:t xml:space="preserve"> covered by another Australian Accounting Standard. For example:</w:t>
      </w:r>
    </w:p>
    <w:p w14:paraId="201F82E7" w14:textId="51C12AB4" w:rsidR="006356ED" w:rsidRPr="006356ED" w:rsidRDefault="006356ED" w:rsidP="00561138">
      <w:pPr>
        <w:pStyle w:val="ListParagraph"/>
        <w:numPr>
          <w:ilvl w:val="1"/>
          <w:numId w:val="53"/>
        </w:numPr>
        <w:ind w:left="680" w:hanging="340"/>
        <w:rPr>
          <w:color w:val="2D3E7B" w:themeColor="text2" w:themeShade="BF"/>
        </w:rPr>
      </w:pPr>
      <w:r w:rsidRPr="006356ED">
        <w:rPr>
          <w:color w:val="2D3E7B" w:themeColor="text2" w:themeShade="BF"/>
        </w:rPr>
        <w:t>financial instruments (including guarantees) that are within the scope of AASB139 Financial   Instruments: Recognition and Measurement;</w:t>
      </w:r>
    </w:p>
    <w:p w14:paraId="7C03881C" w14:textId="7E488DEB" w:rsidR="006356ED" w:rsidRPr="006356ED" w:rsidRDefault="006356ED" w:rsidP="00561138">
      <w:pPr>
        <w:pStyle w:val="ListParagraph"/>
        <w:numPr>
          <w:ilvl w:val="1"/>
          <w:numId w:val="53"/>
        </w:numPr>
        <w:ind w:left="680" w:hanging="340"/>
        <w:rPr>
          <w:color w:val="2D3E7B" w:themeColor="text2" w:themeShade="BF"/>
        </w:rPr>
      </w:pPr>
      <w:r w:rsidRPr="006356ED">
        <w:rPr>
          <w:color w:val="2D3E7B" w:themeColor="text2" w:themeShade="BF"/>
        </w:rPr>
        <w:t xml:space="preserve">contingent liabilities assumed in a business combination </w:t>
      </w:r>
      <w:r w:rsidRPr="006356ED">
        <w:rPr>
          <w:color w:val="2D3E7B" w:themeColor="text2" w:themeShade="BF"/>
        </w:rPr>
        <w:noBreakHyphen/>
        <w:t xml:space="preserve"> AASB3 </w:t>
      </w:r>
      <w:r w:rsidRPr="00C94CF3">
        <w:rPr>
          <w:i/>
          <w:color w:val="2D3E7B" w:themeColor="text2" w:themeShade="BF"/>
        </w:rPr>
        <w:t>Business Combinations</w:t>
      </w:r>
      <w:r w:rsidRPr="006356ED">
        <w:rPr>
          <w:color w:val="2D3E7B" w:themeColor="text2" w:themeShade="BF"/>
        </w:rPr>
        <w:t xml:space="preserve"> addresses the treatment by an acquirer of contingent liabilities assumed in a business combination;</w:t>
      </w:r>
    </w:p>
    <w:p w14:paraId="6DE8FE28" w14:textId="66B22680" w:rsidR="006356ED" w:rsidRPr="006356ED" w:rsidRDefault="006356ED" w:rsidP="00561138">
      <w:pPr>
        <w:pStyle w:val="ListParagraph"/>
        <w:numPr>
          <w:ilvl w:val="1"/>
          <w:numId w:val="53"/>
        </w:numPr>
        <w:ind w:left="680" w:hanging="340"/>
        <w:rPr>
          <w:color w:val="2D3E7B" w:themeColor="text2" w:themeShade="BF"/>
        </w:rPr>
      </w:pPr>
      <w:r w:rsidRPr="006356ED">
        <w:rPr>
          <w:color w:val="2D3E7B" w:themeColor="text2" w:themeShade="BF"/>
        </w:rPr>
        <w:t>certain types of provisions are also addressed in Standards on:</w:t>
      </w:r>
    </w:p>
    <w:p w14:paraId="129DA477" w14:textId="54124071" w:rsidR="006356ED" w:rsidRPr="006356ED" w:rsidRDefault="006356ED" w:rsidP="00561138">
      <w:pPr>
        <w:pStyle w:val="ListParagraph"/>
        <w:numPr>
          <w:ilvl w:val="2"/>
          <w:numId w:val="54"/>
        </w:numPr>
        <w:ind w:left="1020" w:hanging="340"/>
        <w:rPr>
          <w:color w:val="2D3E7B" w:themeColor="text2" w:themeShade="BF"/>
        </w:rPr>
      </w:pPr>
      <w:r w:rsidRPr="006356ED">
        <w:rPr>
          <w:color w:val="2D3E7B" w:themeColor="text2" w:themeShade="BF"/>
        </w:rPr>
        <w:t>construction contracts (refer to AASB111)</w:t>
      </w:r>
    </w:p>
    <w:p w14:paraId="5B4BA646" w14:textId="1B38833A" w:rsidR="006356ED" w:rsidRPr="006356ED" w:rsidRDefault="006356ED" w:rsidP="00561138">
      <w:pPr>
        <w:pStyle w:val="ListParagraph"/>
        <w:numPr>
          <w:ilvl w:val="2"/>
          <w:numId w:val="54"/>
        </w:numPr>
        <w:ind w:left="1020" w:hanging="340"/>
        <w:rPr>
          <w:color w:val="2D3E7B" w:themeColor="text2" w:themeShade="BF"/>
        </w:rPr>
      </w:pPr>
      <w:r w:rsidRPr="006356ED">
        <w:rPr>
          <w:color w:val="2D3E7B" w:themeColor="text2" w:themeShade="BF"/>
        </w:rPr>
        <w:t>income taxes (refer to AASB112)</w:t>
      </w:r>
    </w:p>
    <w:p w14:paraId="4FCD476E" w14:textId="0784BB36" w:rsidR="006356ED" w:rsidRPr="006356ED" w:rsidRDefault="006356ED" w:rsidP="00561138">
      <w:pPr>
        <w:pStyle w:val="ListParagraph"/>
        <w:numPr>
          <w:ilvl w:val="2"/>
          <w:numId w:val="54"/>
        </w:numPr>
        <w:ind w:left="1020" w:hanging="340"/>
        <w:rPr>
          <w:color w:val="2D3E7B" w:themeColor="text2" w:themeShade="BF"/>
        </w:rPr>
      </w:pPr>
      <w:proofErr w:type="gramStart"/>
      <w:r w:rsidRPr="006356ED">
        <w:rPr>
          <w:color w:val="2D3E7B" w:themeColor="text2" w:themeShade="BF"/>
        </w:rPr>
        <w:t>leases</w:t>
      </w:r>
      <w:proofErr w:type="gramEnd"/>
      <w:r w:rsidRPr="006356ED">
        <w:rPr>
          <w:color w:val="2D3E7B" w:themeColor="text2" w:themeShade="BF"/>
        </w:rPr>
        <w:t xml:space="preserve"> (refer to AASB117). However, as AASB117 contains no specific requirements to deal with operating leases that have become onerous, AASB137 applies to such cases;</w:t>
      </w:r>
    </w:p>
    <w:p w14:paraId="7F314B35" w14:textId="2D4C7D9A" w:rsidR="006356ED" w:rsidRPr="006356ED" w:rsidRDefault="006356ED" w:rsidP="00561138">
      <w:pPr>
        <w:pStyle w:val="ListParagraph"/>
        <w:numPr>
          <w:ilvl w:val="2"/>
          <w:numId w:val="54"/>
        </w:numPr>
        <w:ind w:left="1020" w:hanging="340"/>
        <w:rPr>
          <w:color w:val="2D3E7B" w:themeColor="text2" w:themeShade="BF"/>
        </w:rPr>
      </w:pPr>
      <w:r w:rsidRPr="006356ED">
        <w:rPr>
          <w:color w:val="2D3E7B" w:themeColor="text2" w:themeShade="BF"/>
        </w:rPr>
        <w:t>employee benefits (refer to AASB119)</w:t>
      </w:r>
    </w:p>
    <w:p w14:paraId="436AB77F" w14:textId="09BE5DE7" w:rsidR="006356ED" w:rsidRPr="005F65FA" w:rsidRDefault="006356ED" w:rsidP="00561138">
      <w:pPr>
        <w:pStyle w:val="ListParagraph"/>
        <w:numPr>
          <w:ilvl w:val="2"/>
          <w:numId w:val="54"/>
        </w:numPr>
        <w:ind w:left="1020" w:hanging="340"/>
        <w:rPr>
          <w:color w:val="2D3E7B" w:themeColor="text2" w:themeShade="BF"/>
        </w:rPr>
      </w:pPr>
      <w:proofErr w:type="gramStart"/>
      <w:r w:rsidRPr="006356ED">
        <w:rPr>
          <w:color w:val="2D3E7B" w:themeColor="text2" w:themeShade="BF"/>
        </w:rPr>
        <w:t>insurance</w:t>
      </w:r>
      <w:proofErr w:type="gramEnd"/>
      <w:r w:rsidRPr="006356ED">
        <w:rPr>
          <w:color w:val="2D3E7B" w:themeColor="text2" w:themeShade="BF"/>
        </w:rPr>
        <w:t xml:space="preserve"> contracts (refer to AASB4, AASB1023 and AASB1038). However, AASB137 applies to provisions, contingent liabilities and contingent assets of an insurer, other than those arising from its contractual obligations and rights under insurance contracts </w:t>
      </w:r>
      <w:r w:rsidRPr="005F65FA">
        <w:rPr>
          <w:color w:val="2D3E7B" w:themeColor="text2" w:themeShade="BF"/>
        </w:rPr>
        <w:t>within the scopes of AASB4, AASB1023 or AASB1038.</w:t>
      </w:r>
    </w:p>
    <w:p w14:paraId="7235B1E7" w14:textId="3DB8C332" w:rsidR="006356ED" w:rsidRPr="005F65FA" w:rsidRDefault="006356ED"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Definitions</w:t>
      </w:r>
    </w:p>
    <w:p w14:paraId="67376904" w14:textId="77777777" w:rsidR="006356ED" w:rsidRPr="005F65FA" w:rsidRDefault="006356ED" w:rsidP="00F94210">
      <w:pPr>
        <w:pStyle w:val="Heading6"/>
      </w:pPr>
      <w:r w:rsidRPr="005F65FA">
        <w:t>Contingent liability</w:t>
      </w:r>
    </w:p>
    <w:p w14:paraId="53C4A867" w14:textId="77777777" w:rsidR="006356ED" w:rsidRPr="00B40DF8" w:rsidRDefault="006356ED" w:rsidP="004F3ED9">
      <w:pPr>
        <w:pStyle w:val="Heading6"/>
      </w:pPr>
      <w:r w:rsidRPr="00B40DF8">
        <w:t>AASB137.10</w:t>
      </w:r>
    </w:p>
    <w:p w14:paraId="3A7D4B1D" w14:textId="61099549" w:rsidR="006356ED" w:rsidRPr="006356ED" w:rsidRDefault="006356ED" w:rsidP="001A5D4A">
      <w:pPr>
        <w:rPr>
          <w:color w:val="2D3E7B" w:themeColor="text2" w:themeShade="BF"/>
        </w:rPr>
      </w:pPr>
      <w:r w:rsidRPr="006356ED">
        <w:rPr>
          <w:color w:val="2D3E7B" w:themeColor="text2" w:themeShade="BF"/>
        </w:rPr>
        <w:t>A contingent liability is:</w:t>
      </w:r>
    </w:p>
    <w:p w14:paraId="5EE728A9" w14:textId="20FF25D5" w:rsidR="006356ED" w:rsidRPr="006356ED" w:rsidRDefault="006356ED" w:rsidP="00561138">
      <w:pPr>
        <w:pStyle w:val="ListParagraph"/>
        <w:numPr>
          <w:ilvl w:val="0"/>
          <w:numId w:val="55"/>
        </w:numPr>
        <w:ind w:left="340" w:hanging="340"/>
        <w:rPr>
          <w:color w:val="2D3E7B" w:themeColor="text2" w:themeShade="BF"/>
        </w:rPr>
      </w:pPr>
      <w:r w:rsidRPr="006356ED">
        <w:rPr>
          <w:color w:val="2D3E7B" w:themeColor="text2" w:themeShade="BF"/>
        </w:rPr>
        <w:t>a possible obligation that arises from past events and whose existence will be confirmed only by the occurrence or non-occurrence of one or more uncertain future events, not wholly within the control of the entity; or</w:t>
      </w:r>
    </w:p>
    <w:p w14:paraId="26131732" w14:textId="258F8460" w:rsidR="006356ED" w:rsidRPr="006356ED" w:rsidRDefault="006356ED" w:rsidP="00561138">
      <w:pPr>
        <w:pStyle w:val="ListParagraph"/>
        <w:numPr>
          <w:ilvl w:val="0"/>
          <w:numId w:val="55"/>
        </w:numPr>
        <w:ind w:left="340" w:hanging="340"/>
        <w:rPr>
          <w:color w:val="2D3E7B" w:themeColor="text2" w:themeShade="BF"/>
        </w:rPr>
      </w:pPr>
      <w:r w:rsidRPr="006356ED">
        <w:rPr>
          <w:color w:val="2D3E7B" w:themeColor="text2" w:themeShade="BF"/>
        </w:rPr>
        <w:t>a present obligation that arises from past events but is not recognised because:</w:t>
      </w:r>
    </w:p>
    <w:p w14:paraId="1A065B3B" w14:textId="19F43038" w:rsidR="006356ED" w:rsidRPr="006356ED" w:rsidRDefault="006356ED" w:rsidP="00561138">
      <w:pPr>
        <w:pStyle w:val="ListParagraph"/>
        <w:numPr>
          <w:ilvl w:val="1"/>
          <w:numId w:val="55"/>
        </w:numPr>
        <w:ind w:left="680" w:hanging="340"/>
        <w:rPr>
          <w:color w:val="2D3E7B" w:themeColor="text2" w:themeShade="BF"/>
        </w:rPr>
      </w:pPr>
      <w:r w:rsidRPr="006356ED">
        <w:rPr>
          <w:color w:val="2D3E7B" w:themeColor="text2" w:themeShade="BF"/>
        </w:rPr>
        <w:t>it is not probable that an outflow of resources embodying economic benefits will be required to settle the obligation; or</w:t>
      </w:r>
    </w:p>
    <w:p w14:paraId="2C01366B" w14:textId="29E495BA" w:rsidR="006356ED" w:rsidRPr="006356ED" w:rsidRDefault="006356ED" w:rsidP="00561138">
      <w:pPr>
        <w:pStyle w:val="ListParagraph"/>
        <w:numPr>
          <w:ilvl w:val="1"/>
          <w:numId w:val="55"/>
        </w:numPr>
        <w:ind w:left="680" w:hanging="340"/>
        <w:rPr>
          <w:color w:val="2D3E7B" w:themeColor="text2" w:themeShade="BF"/>
        </w:rPr>
      </w:pPr>
      <w:proofErr w:type="gramStart"/>
      <w:r w:rsidRPr="006356ED">
        <w:rPr>
          <w:color w:val="2D3E7B" w:themeColor="text2" w:themeShade="BF"/>
        </w:rPr>
        <w:t>the</w:t>
      </w:r>
      <w:proofErr w:type="gramEnd"/>
      <w:r w:rsidRPr="006356ED">
        <w:rPr>
          <w:color w:val="2D3E7B" w:themeColor="text2" w:themeShade="BF"/>
        </w:rPr>
        <w:t xml:space="preserve"> amount of the obligation cannot be measured with sufficient reliability.</w:t>
      </w:r>
    </w:p>
    <w:p w14:paraId="438DD87A" w14:textId="77777777" w:rsidR="006356ED" w:rsidRPr="006356ED" w:rsidRDefault="006356ED" w:rsidP="00F94210">
      <w:pPr>
        <w:pStyle w:val="Heading6"/>
      </w:pPr>
      <w:r w:rsidRPr="006356ED">
        <w:t>Contingent asset</w:t>
      </w:r>
    </w:p>
    <w:p w14:paraId="33B6AC11" w14:textId="77777777" w:rsidR="006356ED" w:rsidRPr="00B40DF8" w:rsidRDefault="006356ED" w:rsidP="004F3ED9">
      <w:pPr>
        <w:pStyle w:val="Heading6"/>
      </w:pPr>
      <w:r w:rsidRPr="00B40DF8">
        <w:t>AASB137.10</w:t>
      </w:r>
    </w:p>
    <w:p w14:paraId="01F3E9A9" w14:textId="77777777" w:rsidR="006356ED" w:rsidRPr="005F65FA" w:rsidRDefault="006356ED" w:rsidP="001A5D4A">
      <w:pPr>
        <w:rPr>
          <w:color w:val="2D3E7B" w:themeColor="text2" w:themeShade="BF"/>
        </w:rPr>
      </w:pPr>
      <w:r w:rsidRPr="005F65FA">
        <w:rPr>
          <w:color w:val="2D3E7B" w:themeColor="text2" w:themeShade="BF"/>
        </w:rPr>
        <w:t xml:space="preserve">A contingent asset is a possible asset that arises from past events and whose existence will be confirmed only by the occurrence or non-occurrence of one or more uncertain future events not wholly within the control of the entity. </w:t>
      </w:r>
    </w:p>
    <w:p w14:paraId="226789EA" w14:textId="77777777" w:rsidR="006356ED" w:rsidRPr="005F65FA" w:rsidRDefault="006356ED"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lastRenderedPageBreak/>
        <w:t>Not to be recognised in financial report</w:t>
      </w:r>
    </w:p>
    <w:p w14:paraId="3DD47237" w14:textId="77777777" w:rsidR="006356ED" w:rsidRPr="005F65FA" w:rsidRDefault="006356ED" w:rsidP="001A5D4A">
      <w:pPr>
        <w:rPr>
          <w:color w:val="2D3E7B" w:themeColor="text2" w:themeShade="BF"/>
        </w:rPr>
      </w:pPr>
      <w:r w:rsidRPr="005F65FA">
        <w:rPr>
          <w:color w:val="2D3E7B" w:themeColor="text2" w:themeShade="BF"/>
        </w:rPr>
        <w:t>An entity shall not recognise a contingent liability or a contingent asset in the financial report.</w:t>
      </w:r>
    </w:p>
    <w:p w14:paraId="0C4B68A3" w14:textId="77777777" w:rsidR="006356ED" w:rsidRPr="005F65FA" w:rsidRDefault="006356ED"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Disclosure</w:t>
      </w:r>
    </w:p>
    <w:p w14:paraId="655DC01A" w14:textId="77777777" w:rsidR="006356ED" w:rsidRPr="005F65FA" w:rsidRDefault="006356ED" w:rsidP="00F94210">
      <w:pPr>
        <w:pStyle w:val="Heading6"/>
      </w:pPr>
      <w:r w:rsidRPr="005F65FA">
        <w:t>Contingent liabilities</w:t>
      </w:r>
    </w:p>
    <w:p w14:paraId="589F82F4" w14:textId="77777777" w:rsidR="006356ED" w:rsidRPr="00B40DF8" w:rsidRDefault="006356ED" w:rsidP="004F3ED9">
      <w:pPr>
        <w:pStyle w:val="Heading6"/>
      </w:pPr>
      <w:r w:rsidRPr="00B40DF8">
        <w:t>AASB137.86</w:t>
      </w:r>
    </w:p>
    <w:p w14:paraId="7A6FBEDA" w14:textId="77777777" w:rsidR="006356ED" w:rsidRPr="005F65FA" w:rsidRDefault="006356ED" w:rsidP="001A5D4A">
      <w:pPr>
        <w:rPr>
          <w:color w:val="2D3E7B" w:themeColor="text2" w:themeShade="BF"/>
        </w:rPr>
      </w:pPr>
      <w:r w:rsidRPr="005F65FA">
        <w:rPr>
          <w:color w:val="2D3E7B" w:themeColor="text2" w:themeShade="BF"/>
        </w:rPr>
        <w:t>Unless the possibility of any outflow in settlement is remote, an entity shall disclose for each class of contingent liability at the reporting date a brief description of the nature of the contingent liability and, where practicable:</w:t>
      </w:r>
    </w:p>
    <w:p w14:paraId="238219F7" w14:textId="39B8C359" w:rsidR="006356ED" w:rsidRPr="005F65FA" w:rsidRDefault="006356ED" w:rsidP="00561138">
      <w:pPr>
        <w:pStyle w:val="ListParagraph"/>
        <w:numPr>
          <w:ilvl w:val="0"/>
          <w:numId w:val="56"/>
        </w:numPr>
        <w:ind w:left="340" w:hanging="340"/>
        <w:rPr>
          <w:color w:val="2D3E7B" w:themeColor="text2" w:themeShade="BF"/>
        </w:rPr>
      </w:pPr>
      <w:r w:rsidRPr="005F65FA">
        <w:rPr>
          <w:color w:val="2D3E7B" w:themeColor="text2" w:themeShade="BF"/>
        </w:rPr>
        <w:t>an estimate of its financial effect, measured under AASB137.36-52;</w:t>
      </w:r>
    </w:p>
    <w:p w14:paraId="72AF3600" w14:textId="4456331A" w:rsidR="006356ED" w:rsidRPr="005F65FA" w:rsidRDefault="006356ED" w:rsidP="00561138">
      <w:pPr>
        <w:pStyle w:val="ListParagraph"/>
        <w:numPr>
          <w:ilvl w:val="0"/>
          <w:numId w:val="56"/>
        </w:numPr>
        <w:ind w:left="340" w:hanging="340"/>
        <w:rPr>
          <w:color w:val="2D3E7B" w:themeColor="text2" w:themeShade="BF"/>
        </w:rPr>
      </w:pPr>
      <w:r w:rsidRPr="005F65FA">
        <w:rPr>
          <w:color w:val="2D3E7B" w:themeColor="text2" w:themeShade="BF"/>
        </w:rPr>
        <w:t>an indication of the uncertainties relating to the amount or timing of any outflow; and</w:t>
      </w:r>
    </w:p>
    <w:p w14:paraId="0ACD3EA1" w14:textId="45F24BFA" w:rsidR="006356ED" w:rsidRPr="005F65FA" w:rsidRDefault="006356ED" w:rsidP="00561138">
      <w:pPr>
        <w:pStyle w:val="ListParagraph"/>
        <w:numPr>
          <w:ilvl w:val="0"/>
          <w:numId w:val="56"/>
        </w:numPr>
        <w:ind w:left="340" w:hanging="340"/>
        <w:rPr>
          <w:color w:val="2D3E7B" w:themeColor="text2" w:themeShade="BF"/>
        </w:rPr>
      </w:pPr>
      <w:proofErr w:type="gramStart"/>
      <w:r w:rsidRPr="005F65FA">
        <w:rPr>
          <w:color w:val="2D3E7B" w:themeColor="text2" w:themeShade="BF"/>
        </w:rPr>
        <w:t>the</w:t>
      </w:r>
      <w:proofErr w:type="gramEnd"/>
      <w:r w:rsidRPr="005F65FA">
        <w:rPr>
          <w:color w:val="2D3E7B" w:themeColor="text2" w:themeShade="BF"/>
        </w:rPr>
        <w:t xml:space="preserve"> possibility of any reimbursement.</w:t>
      </w:r>
    </w:p>
    <w:p w14:paraId="5F0CD427" w14:textId="77777777" w:rsidR="006356ED" w:rsidRPr="00B40DF8" w:rsidRDefault="006356ED" w:rsidP="004F3ED9">
      <w:pPr>
        <w:pStyle w:val="Heading6"/>
      </w:pPr>
      <w:r w:rsidRPr="00B40DF8">
        <w:t>AASB137.87</w:t>
      </w:r>
    </w:p>
    <w:p w14:paraId="0A33C452" w14:textId="77777777" w:rsidR="006356ED" w:rsidRPr="005F65FA" w:rsidRDefault="006356ED" w:rsidP="001A5D4A">
      <w:pPr>
        <w:rPr>
          <w:color w:val="2D3E7B" w:themeColor="text2" w:themeShade="BF"/>
        </w:rPr>
      </w:pPr>
      <w:r w:rsidRPr="005F65FA">
        <w:rPr>
          <w:color w:val="2D3E7B" w:themeColor="text2" w:themeShade="BF"/>
        </w:rPr>
        <w:t>In determining which contingent liabilities may be aggregated to form a class, it is necessary to consider whether the nature of the items is sufficiently similar for a single statement about them to fulfil the requirements of AASB137.85a-b,86a-b.</w:t>
      </w:r>
    </w:p>
    <w:p w14:paraId="260763D0" w14:textId="77777777" w:rsidR="006356ED" w:rsidRPr="005F65FA" w:rsidRDefault="006356ED" w:rsidP="00F94210">
      <w:pPr>
        <w:pStyle w:val="Heading6"/>
      </w:pPr>
      <w:r w:rsidRPr="005F65FA">
        <w:t>Contingent assets</w:t>
      </w:r>
    </w:p>
    <w:p w14:paraId="048CD7FE" w14:textId="77777777" w:rsidR="006356ED" w:rsidRPr="00B40DF8" w:rsidRDefault="006356ED" w:rsidP="004F3ED9">
      <w:pPr>
        <w:pStyle w:val="Heading6"/>
      </w:pPr>
      <w:r w:rsidRPr="00B40DF8">
        <w:t>AASB137.89</w:t>
      </w:r>
    </w:p>
    <w:p w14:paraId="2A46D772" w14:textId="77777777" w:rsidR="006356ED" w:rsidRPr="005F65FA" w:rsidRDefault="006356ED" w:rsidP="001A5D4A">
      <w:pPr>
        <w:rPr>
          <w:color w:val="2D3E7B" w:themeColor="text2" w:themeShade="BF"/>
        </w:rPr>
      </w:pPr>
      <w:r w:rsidRPr="005F65FA">
        <w:rPr>
          <w:color w:val="2D3E7B" w:themeColor="text2" w:themeShade="BF"/>
        </w:rPr>
        <w:t>Where an inflow of economic benefits is probable, an entity shall disclose a brief description of the nature of the contingent assets at the reporting date, and, where practicable, an estimate of their financial effect, measured using the principles set out for provisions in AASB137.36</w:t>
      </w:r>
      <w:r w:rsidRPr="005F65FA">
        <w:rPr>
          <w:color w:val="2D3E7B" w:themeColor="text2" w:themeShade="BF"/>
        </w:rPr>
        <w:noBreakHyphen/>
        <w:t>52.</w:t>
      </w:r>
    </w:p>
    <w:p w14:paraId="1E45099F" w14:textId="77777777" w:rsidR="006356ED" w:rsidRPr="00B40DF8" w:rsidRDefault="006356ED" w:rsidP="004F3ED9">
      <w:pPr>
        <w:pStyle w:val="Heading6"/>
      </w:pPr>
      <w:r w:rsidRPr="00B40DF8">
        <w:t>AASB137.90</w:t>
      </w:r>
    </w:p>
    <w:p w14:paraId="598ED2E8" w14:textId="77777777" w:rsidR="006356ED" w:rsidRPr="006356ED" w:rsidRDefault="006356ED" w:rsidP="001A5D4A">
      <w:pPr>
        <w:rPr>
          <w:color w:val="2D3E7B" w:themeColor="text2" w:themeShade="BF"/>
        </w:rPr>
      </w:pPr>
      <w:r w:rsidRPr="006356ED">
        <w:rPr>
          <w:color w:val="2D3E7B" w:themeColor="text2" w:themeShade="BF"/>
        </w:rPr>
        <w:t>It is important that disclosures for contingent assets avoid giving misleading indications of the likelihood of income arising.</w:t>
      </w:r>
    </w:p>
    <w:p w14:paraId="6EE601EE" w14:textId="77777777" w:rsidR="005F65FA" w:rsidRDefault="005F65FA">
      <w:pPr>
        <w:spacing w:after="0"/>
        <w:rPr>
          <w:rFonts w:asciiTheme="majorHAnsi" w:eastAsiaTheme="majorEastAsia" w:hAnsiTheme="majorHAnsi"/>
          <w:b/>
          <w:bCs/>
          <w:i/>
          <w:iCs/>
          <w:sz w:val="32"/>
          <w:szCs w:val="28"/>
        </w:rPr>
      </w:pPr>
      <w:bookmarkStart w:id="387" w:name="_Toc410807666"/>
      <w:bookmarkStart w:id="388" w:name="_Toc410822727"/>
      <w:r>
        <w:br w:type="page"/>
      </w:r>
    </w:p>
    <w:p w14:paraId="58F2B024" w14:textId="1F3C7F22" w:rsidR="00106D3E" w:rsidRPr="00106D3E" w:rsidRDefault="00106D3E" w:rsidP="005F65FA">
      <w:pPr>
        <w:pStyle w:val="Heading2"/>
      </w:pPr>
      <w:proofErr w:type="gramStart"/>
      <w:r w:rsidRPr="00106D3E">
        <w:lastRenderedPageBreak/>
        <w:t>Note 41.</w:t>
      </w:r>
      <w:proofErr w:type="gramEnd"/>
      <w:r>
        <w:t xml:space="preserve"> </w:t>
      </w:r>
      <w:r w:rsidRPr="00106D3E">
        <w:t>Commitments</w:t>
      </w:r>
      <w:bookmarkEnd w:id="387"/>
      <w:bookmarkEnd w:id="388"/>
      <w:r w:rsidRPr="00106D3E">
        <w:t xml:space="preserve"> </w:t>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015CDC" w14:paraId="038A3659" w14:textId="77777777" w:rsidTr="00463ABD">
        <w:trPr>
          <w:cantSplit/>
          <w:trHeight w:val="181"/>
        </w:trPr>
        <w:tc>
          <w:tcPr>
            <w:tcW w:w="810" w:type="pct"/>
          </w:tcPr>
          <w:p w14:paraId="038A3657" w14:textId="77777777" w:rsidR="00015CDC" w:rsidRDefault="00015CDC" w:rsidP="001A5D4A">
            <w:pPr>
              <w:pStyle w:val="Note-Refs"/>
            </w:pPr>
          </w:p>
        </w:tc>
        <w:tc>
          <w:tcPr>
            <w:tcW w:w="4190" w:type="pct"/>
            <w:gridSpan w:val="5"/>
            <w:vAlign w:val="bottom"/>
          </w:tcPr>
          <w:p w14:paraId="038A3658" w14:textId="77777777" w:rsidR="00015CDC" w:rsidRDefault="00015CDC" w:rsidP="001A5D4A">
            <w:pPr>
              <w:pStyle w:val="Note-TextHeader"/>
            </w:pPr>
            <w:r>
              <w:t>(a) Capital commitments</w:t>
            </w:r>
          </w:p>
        </w:tc>
      </w:tr>
      <w:tr w:rsidR="00023312" w14:paraId="038A365C" w14:textId="77777777" w:rsidTr="00463ABD">
        <w:trPr>
          <w:cantSplit/>
          <w:trHeight w:val="181"/>
        </w:trPr>
        <w:tc>
          <w:tcPr>
            <w:tcW w:w="810" w:type="pct"/>
          </w:tcPr>
          <w:p w14:paraId="038A365A" w14:textId="77777777" w:rsidR="00023312" w:rsidRDefault="00023312" w:rsidP="001A5D4A">
            <w:pPr>
              <w:pStyle w:val="Note-Refs"/>
            </w:pPr>
          </w:p>
        </w:tc>
        <w:tc>
          <w:tcPr>
            <w:tcW w:w="4190" w:type="pct"/>
            <w:gridSpan w:val="5"/>
            <w:vAlign w:val="bottom"/>
          </w:tcPr>
          <w:p w14:paraId="038A365B" w14:textId="77777777" w:rsidR="00023312" w:rsidRDefault="00023312" w:rsidP="001A5D4A">
            <w:pPr>
              <w:pStyle w:val="NotesTable-ItemPlain"/>
              <w:rPr>
                <w:b/>
              </w:rPr>
            </w:pPr>
            <w:r>
              <w:t>Capital expenditure contracted for at the reporting date but not recognised as liabilities is as follows:</w:t>
            </w:r>
          </w:p>
        </w:tc>
      </w:tr>
      <w:tr w:rsidR="00023312" w14:paraId="038A3661" w14:textId="77777777" w:rsidTr="005F65FA">
        <w:trPr>
          <w:cantSplit/>
          <w:trHeight w:val="181"/>
        </w:trPr>
        <w:tc>
          <w:tcPr>
            <w:tcW w:w="810" w:type="pct"/>
          </w:tcPr>
          <w:p w14:paraId="038A365D" w14:textId="77777777" w:rsidR="00023312" w:rsidRDefault="00023312" w:rsidP="001A5D4A">
            <w:pPr>
              <w:pStyle w:val="Note-Refs"/>
            </w:pPr>
          </w:p>
        </w:tc>
        <w:tc>
          <w:tcPr>
            <w:tcW w:w="2567" w:type="pct"/>
            <w:vAlign w:val="bottom"/>
          </w:tcPr>
          <w:p w14:paraId="038A365E" w14:textId="77777777" w:rsidR="00023312" w:rsidRDefault="00023312" w:rsidP="001A5D4A">
            <w:pPr>
              <w:pStyle w:val="NotesTable-ItemPlain"/>
            </w:pPr>
          </w:p>
        </w:tc>
        <w:tc>
          <w:tcPr>
            <w:tcW w:w="812" w:type="pct"/>
            <w:gridSpan w:val="2"/>
          </w:tcPr>
          <w:p w14:paraId="038A365F" w14:textId="77777777" w:rsidR="00023312" w:rsidRDefault="00023312" w:rsidP="001A5D4A">
            <w:pPr>
              <w:pStyle w:val="NotesTable-HeadPlain"/>
            </w:pPr>
            <w:r>
              <w:t>Consolidated</w:t>
            </w:r>
          </w:p>
        </w:tc>
        <w:tc>
          <w:tcPr>
            <w:tcW w:w="811" w:type="pct"/>
            <w:gridSpan w:val="2"/>
          </w:tcPr>
          <w:p w14:paraId="038A3660" w14:textId="77777777" w:rsidR="00023312" w:rsidRDefault="00023312" w:rsidP="001A5D4A">
            <w:pPr>
              <w:pStyle w:val="NotesTable-HeadPlain"/>
            </w:pPr>
            <w:r>
              <w:t>Parent entity</w:t>
            </w:r>
          </w:p>
        </w:tc>
      </w:tr>
      <w:tr w:rsidR="00C83428" w14:paraId="038A3668" w14:textId="77777777" w:rsidTr="005F65FA">
        <w:trPr>
          <w:cantSplit/>
          <w:trHeight w:val="181"/>
        </w:trPr>
        <w:tc>
          <w:tcPr>
            <w:tcW w:w="810" w:type="pct"/>
          </w:tcPr>
          <w:p w14:paraId="038A3662" w14:textId="77777777" w:rsidR="00C83428" w:rsidRDefault="00C83428" w:rsidP="001A5D4A">
            <w:pPr>
              <w:pStyle w:val="Note-Refs"/>
            </w:pPr>
          </w:p>
        </w:tc>
        <w:tc>
          <w:tcPr>
            <w:tcW w:w="2567" w:type="pct"/>
            <w:vAlign w:val="bottom"/>
          </w:tcPr>
          <w:p w14:paraId="038A3663" w14:textId="77777777" w:rsidR="00C83428" w:rsidRPr="003C77BC" w:rsidRDefault="00C83428" w:rsidP="001A5D4A">
            <w:pPr>
              <w:pStyle w:val="NotesTable-ItemPlain"/>
            </w:pPr>
          </w:p>
        </w:tc>
        <w:tc>
          <w:tcPr>
            <w:tcW w:w="406" w:type="pct"/>
          </w:tcPr>
          <w:p w14:paraId="038A3664" w14:textId="5682736B" w:rsidR="00C83428" w:rsidRDefault="006864EC" w:rsidP="001A5D4A">
            <w:pPr>
              <w:pStyle w:val="NotesTable-HeadBold"/>
            </w:pPr>
            <w:r>
              <w:t>2014</w:t>
            </w:r>
          </w:p>
        </w:tc>
        <w:tc>
          <w:tcPr>
            <w:tcW w:w="406" w:type="pct"/>
          </w:tcPr>
          <w:p w14:paraId="038A3665" w14:textId="6592B373" w:rsidR="00C83428" w:rsidRDefault="006864EC" w:rsidP="001A5D4A">
            <w:pPr>
              <w:pStyle w:val="NotesTable-HeadPlain"/>
            </w:pPr>
            <w:r>
              <w:t>2013</w:t>
            </w:r>
          </w:p>
        </w:tc>
        <w:tc>
          <w:tcPr>
            <w:tcW w:w="406" w:type="pct"/>
          </w:tcPr>
          <w:p w14:paraId="038A3666" w14:textId="47FB2BFA" w:rsidR="00C83428" w:rsidRDefault="006864EC" w:rsidP="001A5D4A">
            <w:pPr>
              <w:pStyle w:val="NotesTable-HeadBold"/>
              <w:rPr>
                <w:szCs w:val="18"/>
              </w:rPr>
            </w:pPr>
            <w:r>
              <w:t>2014</w:t>
            </w:r>
          </w:p>
        </w:tc>
        <w:tc>
          <w:tcPr>
            <w:tcW w:w="405" w:type="pct"/>
          </w:tcPr>
          <w:p w14:paraId="038A3667" w14:textId="09D2F090" w:rsidR="00C83428" w:rsidRDefault="006864EC" w:rsidP="001A5D4A">
            <w:pPr>
              <w:pStyle w:val="NotesTable-HeadPlain"/>
            </w:pPr>
            <w:r>
              <w:t>2013</w:t>
            </w:r>
          </w:p>
        </w:tc>
      </w:tr>
      <w:tr w:rsidR="00C83428" w14:paraId="038A366F" w14:textId="77777777" w:rsidTr="005F65FA">
        <w:trPr>
          <w:cantSplit/>
          <w:trHeight w:val="181"/>
        </w:trPr>
        <w:tc>
          <w:tcPr>
            <w:tcW w:w="810" w:type="pct"/>
          </w:tcPr>
          <w:p w14:paraId="038A3669" w14:textId="77777777" w:rsidR="00C83428" w:rsidRDefault="00C83428" w:rsidP="001A5D4A">
            <w:pPr>
              <w:pStyle w:val="Note-Refs"/>
            </w:pPr>
          </w:p>
        </w:tc>
        <w:tc>
          <w:tcPr>
            <w:tcW w:w="2567" w:type="pct"/>
            <w:vAlign w:val="bottom"/>
          </w:tcPr>
          <w:p w14:paraId="038A366A" w14:textId="77777777" w:rsidR="00C83428" w:rsidRPr="003C77BC" w:rsidRDefault="00C83428" w:rsidP="001A5D4A">
            <w:pPr>
              <w:pStyle w:val="NotesTable-ItemPlain"/>
            </w:pPr>
          </w:p>
        </w:tc>
        <w:tc>
          <w:tcPr>
            <w:tcW w:w="406" w:type="pct"/>
          </w:tcPr>
          <w:p w14:paraId="038A366B" w14:textId="77777777" w:rsidR="00C83428" w:rsidRDefault="00C83428" w:rsidP="001A5D4A">
            <w:pPr>
              <w:pStyle w:val="NotesTable-HeadBold"/>
            </w:pPr>
            <w:r>
              <w:t>$’000</w:t>
            </w:r>
          </w:p>
        </w:tc>
        <w:tc>
          <w:tcPr>
            <w:tcW w:w="406" w:type="pct"/>
          </w:tcPr>
          <w:p w14:paraId="038A366C" w14:textId="77777777" w:rsidR="00C83428" w:rsidRDefault="00C83428" w:rsidP="001A5D4A">
            <w:pPr>
              <w:pStyle w:val="NotesTable-HeadPlain"/>
            </w:pPr>
            <w:r>
              <w:t>$’000</w:t>
            </w:r>
          </w:p>
        </w:tc>
        <w:tc>
          <w:tcPr>
            <w:tcW w:w="406" w:type="pct"/>
          </w:tcPr>
          <w:p w14:paraId="038A366D" w14:textId="77777777" w:rsidR="00C83428" w:rsidRDefault="00C83428" w:rsidP="001A5D4A">
            <w:pPr>
              <w:pStyle w:val="NotesTable-HeadBold"/>
              <w:rPr>
                <w:szCs w:val="18"/>
              </w:rPr>
            </w:pPr>
            <w:r>
              <w:t>$’000</w:t>
            </w:r>
          </w:p>
        </w:tc>
        <w:tc>
          <w:tcPr>
            <w:tcW w:w="405" w:type="pct"/>
          </w:tcPr>
          <w:p w14:paraId="038A366E" w14:textId="77777777" w:rsidR="00C83428" w:rsidRDefault="00C83428" w:rsidP="001A5D4A">
            <w:pPr>
              <w:pStyle w:val="NotesTable-HeadPlain"/>
            </w:pPr>
            <w:r>
              <w:t>$’000</w:t>
            </w:r>
          </w:p>
        </w:tc>
      </w:tr>
      <w:tr w:rsidR="00C0383F" w14:paraId="038A3672" w14:textId="77777777" w:rsidTr="00463ABD">
        <w:trPr>
          <w:cantSplit/>
          <w:trHeight w:val="181"/>
        </w:trPr>
        <w:tc>
          <w:tcPr>
            <w:tcW w:w="810" w:type="pct"/>
          </w:tcPr>
          <w:p w14:paraId="038A3670" w14:textId="77777777" w:rsidR="00C0383F" w:rsidRDefault="00C0383F" w:rsidP="001A5D4A">
            <w:pPr>
              <w:pStyle w:val="Note-Refs"/>
              <w:rPr>
                <w:b/>
              </w:rPr>
            </w:pPr>
            <w:r>
              <w:t>AASB116.74c</w:t>
            </w:r>
          </w:p>
        </w:tc>
        <w:tc>
          <w:tcPr>
            <w:tcW w:w="4190" w:type="pct"/>
            <w:gridSpan w:val="5"/>
            <w:vAlign w:val="bottom"/>
          </w:tcPr>
          <w:p w14:paraId="038A3671" w14:textId="77777777" w:rsidR="00C0383F" w:rsidRDefault="00C0383F" w:rsidP="001A5D4A">
            <w:pPr>
              <w:pStyle w:val="Note-TextHeader"/>
              <w:rPr>
                <w:lang w:val="en-GB"/>
              </w:rPr>
            </w:pPr>
            <w:r w:rsidRPr="00FE029C">
              <w:t>Property, Plant and Equipment</w:t>
            </w:r>
          </w:p>
        </w:tc>
      </w:tr>
      <w:tr w:rsidR="00CC2100" w:rsidDel="000C581D" w14:paraId="038A3679" w14:textId="77777777" w:rsidTr="005F65FA">
        <w:trPr>
          <w:cantSplit/>
          <w:trHeight w:val="181"/>
        </w:trPr>
        <w:tc>
          <w:tcPr>
            <w:tcW w:w="810" w:type="pct"/>
            <w:shd w:val="clear" w:color="auto" w:fill="D9D9D9" w:themeFill="background1" w:themeFillShade="D9"/>
          </w:tcPr>
          <w:p w14:paraId="038A3673" w14:textId="77777777" w:rsidR="00CC2100" w:rsidDel="000C581D" w:rsidRDefault="00B90CFC" w:rsidP="001A5D4A">
            <w:pPr>
              <w:pStyle w:val="Note-Refs"/>
              <w:rPr>
                <w:b/>
              </w:rPr>
            </w:pPr>
            <w:r>
              <w:t>EDUCATION</w:t>
            </w:r>
          </w:p>
        </w:tc>
        <w:tc>
          <w:tcPr>
            <w:tcW w:w="2567" w:type="pct"/>
            <w:shd w:val="clear" w:color="auto" w:fill="D9D9D9" w:themeFill="background1" w:themeFillShade="D9"/>
            <w:vAlign w:val="bottom"/>
          </w:tcPr>
          <w:p w14:paraId="038A3674" w14:textId="77777777" w:rsidR="00CC2100" w:rsidDel="000C581D" w:rsidRDefault="00CC2100" w:rsidP="001A5D4A">
            <w:pPr>
              <w:pStyle w:val="NotesTable-ItemPlain"/>
              <w:rPr>
                <w:b/>
              </w:rPr>
            </w:pPr>
            <w:r>
              <w:t>Within one year</w:t>
            </w:r>
          </w:p>
        </w:tc>
        <w:tc>
          <w:tcPr>
            <w:tcW w:w="406" w:type="pct"/>
            <w:shd w:val="clear" w:color="auto" w:fill="D9D9D9" w:themeFill="background1" w:themeFillShade="D9"/>
          </w:tcPr>
          <w:p w14:paraId="038A3675" w14:textId="77777777" w:rsidR="00CC2100" w:rsidRPr="004D392D" w:rsidDel="000C581D" w:rsidRDefault="00CC2100" w:rsidP="001A5D4A">
            <w:pPr>
              <w:pStyle w:val="NotesTable-CellBold"/>
            </w:pPr>
            <w:r w:rsidRPr="00405430">
              <w:t>–</w:t>
            </w:r>
          </w:p>
        </w:tc>
        <w:tc>
          <w:tcPr>
            <w:tcW w:w="406" w:type="pct"/>
            <w:shd w:val="clear" w:color="auto" w:fill="D9D9D9" w:themeFill="background1" w:themeFillShade="D9"/>
          </w:tcPr>
          <w:p w14:paraId="038A3676" w14:textId="77777777" w:rsidR="00CC2100" w:rsidDel="000C581D" w:rsidRDefault="00CC2100" w:rsidP="001A5D4A">
            <w:pPr>
              <w:pStyle w:val="NotesTable-CellPlain"/>
            </w:pPr>
            <w:r w:rsidRPr="00405430">
              <w:t>–</w:t>
            </w:r>
          </w:p>
        </w:tc>
        <w:tc>
          <w:tcPr>
            <w:tcW w:w="406" w:type="pct"/>
            <w:shd w:val="clear" w:color="auto" w:fill="D9D9D9" w:themeFill="background1" w:themeFillShade="D9"/>
          </w:tcPr>
          <w:p w14:paraId="038A3677" w14:textId="77777777" w:rsidR="00CC2100" w:rsidRPr="004D392D" w:rsidDel="000C581D" w:rsidRDefault="00CC2100" w:rsidP="001A5D4A">
            <w:pPr>
              <w:pStyle w:val="NotesTable-CellBold"/>
            </w:pPr>
            <w:r w:rsidRPr="00405430">
              <w:t>–</w:t>
            </w:r>
          </w:p>
        </w:tc>
        <w:tc>
          <w:tcPr>
            <w:tcW w:w="405" w:type="pct"/>
            <w:shd w:val="clear" w:color="auto" w:fill="D9D9D9" w:themeFill="background1" w:themeFillShade="D9"/>
          </w:tcPr>
          <w:p w14:paraId="038A3678" w14:textId="77777777" w:rsidR="00CC2100" w:rsidDel="000C581D" w:rsidRDefault="00CC2100" w:rsidP="001A5D4A">
            <w:pPr>
              <w:pStyle w:val="NotesTable-CellPlain"/>
            </w:pPr>
            <w:r w:rsidRPr="00405430">
              <w:t>–</w:t>
            </w:r>
          </w:p>
        </w:tc>
      </w:tr>
      <w:tr w:rsidR="004F617A" w:rsidDel="000C581D" w14:paraId="500DFBC0" w14:textId="77777777" w:rsidTr="005F65FA">
        <w:trPr>
          <w:cantSplit/>
          <w:trHeight w:val="181"/>
        </w:trPr>
        <w:tc>
          <w:tcPr>
            <w:tcW w:w="810" w:type="pct"/>
            <w:shd w:val="clear" w:color="auto" w:fill="D9D9D9" w:themeFill="background1" w:themeFillShade="D9"/>
          </w:tcPr>
          <w:p w14:paraId="53D21836" w14:textId="7982FD96" w:rsidR="004F617A" w:rsidRDefault="004F617A" w:rsidP="001A5D4A">
            <w:pPr>
              <w:pStyle w:val="Note-Refs"/>
            </w:pPr>
            <w:r>
              <w:t>EDUCATION</w:t>
            </w:r>
          </w:p>
        </w:tc>
        <w:tc>
          <w:tcPr>
            <w:tcW w:w="2567" w:type="pct"/>
            <w:shd w:val="clear" w:color="auto" w:fill="D9D9D9" w:themeFill="background1" w:themeFillShade="D9"/>
            <w:vAlign w:val="bottom"/>
          </w:tcPr>
          <w:p w14:paraId="3DF7BEBC" w14:textId="6D9D9134" w:rsidR="004F617A" w:rsidRDefault="004F617A" w:rsidP="001A5D4A">
            <w:pPr>
              <w:pStyle w:val="NotesTable-ItemPlain"/>
            </w:pPr>
            <w:r>
              <w:t>Between one and five years</w:t>
            </w:r>
          </w:p>
        </w:tc>
        <w:tc>
          <w:tcPr>
            <w:tcW w:w="406" w:type="pct"/>
            <w:shd w:val="clear" w:color="auto" w:fill="D9D9D9" w:themeFill="background1" w:themeFillShade="D9"/>
          </w:tcPr>
          <w:p w14:paraId="645D1A72" w14:textId="5D411E89" w:rsidR="004F617A" w:rsidRPr="00405430" w:rsidRDefault="004F617A" w:rsidP="001A5D4A">
            <w:pPr>
              <w:pStyle w:val="NotesTable-CellBold"/>
            </w:pPr>
            <w:r w:rsidRPr="00405430">
              <w:t>–</w:t>
            </w:r>
          </w:p>
        </w:tc>
        <w:tc>
          <w:tcPr>
            <w:tcW w:w="406" w:type="pct"/>
            <w:shd w:val="clear" w:color="auto" w:fill="D9D9D9" w:themeFill="background1" w:themeFillShade="D9"/>
          </w:tcPr>
          <w:p w14:paraId="62CC73AF" w14:textId="263D534D" w:rsidR="004F617A" w:rsidRPr="00405430" w:rsidRDefault="004F617A" w:rsidP="001A5D4A">
            <w:pPr>
              <w:pStyle w:val="NotesTable-CellPlain"/>
            </w:pPr>
            <w:r w:rsidRPr="00405430">
              <w:t>–</w:t>
            </w:r>
          </w:p>
        </w:tc>
        <w:tc>
          <w:tcPr>
            <w:tcW w:w="406" w:type="pct"/>
            <w:shd w:val="clear" w:color="auto" w:fill="D9D9D9" w:themeFill="background1" w:themeFillShade="D9"/>
          </w:tcPr>
          <w:p w14:paraId="587EEC78" w14:textId="19B1692C" w:rsidR="004F617A" w:rsidRPr="00405430" w:rsidRDefault="004F617A" w:rsidP="001A5D4A">
            <w:pPr>
              <w:pStyle w:val="NotesTable-CellBold"/>
            </w:pPr>
            <w:r w:rsidRPr="00405430">
              <w:t>–</w:t>
            </w:r>
          </w:p>
        </w:tc>
        <w:tc>
          <w:tcPr>
            <w:tcW w:w="405" w:type="pct"/>
            <w:shd w:val="clear" w:color="auto" w:fill="D9D9D9" w:themeFill="background1" w:themeFillShade="D9"/>
          </w:tcPr>
          <w:p w14:paraId="1842A704" w14:textId="461C794D" w:rsidR="004F617A" w:rsidRPr="00405430" w:rsidRDefault="004F617A" w:rsidP="001A5D4A">
            <w:pPr>
              <w:pStyle w:val="NotesTable-CellPlain"/>
            </w:pPr>
            <w:r w:rsidRPr="00405430">
              <w:t>–</w:t>
            </w:r>
          </w:p>
        </w:tc>
      </w:tr>
      <w:tr w:rsidR="00CC2100" w:rsidDel="000C581D" w14:paraId="038A3680" w14:textId="77777777" w:rsidTr="005F65FA">
        <w:trPr>
          <w:cantSplit/>
          <w:trHeight w:val="181"/>
        </w:trPr>
        <w:tc>
          <w:tcPr>
            <w:tcW w:w="810" w:type="pct"/>
            <w:shd w:val="clear" w:color="auto" w:fill="D9D9D9" w:themeFill="background1" w:themeFillShade="D9"/>
          </w:tcPr>
          <w:p w14:paraId="038A367A" w14:textId="77777777" w:rsidR="00CC2100" w:rsidDel="000C581D" w:rsidRDefault="00B90CFC" w:rsidP="001A5D4A">
            <w:pPr>
              <w:pStyle w:val="Note-Refs"/>
              <w:rPr>
                <w:b/>
              </w:rPr>
            </w:pPr>
            <w:r>
              <w:t>EDUCATION</w:t>
            </w:r>
          </w:p>
        </w:tc>
        <w:tc>
          <w:tcPr>
            <w:tcW w:w="2567" w:type="pct"/>
            <w:shd w:val="clear" w:color="auto" w:fill="D9D9D9" w:themeFill="background1" w:themeFillShade="D9"/>
            <w:vAlign w:val="bottom"/>
          </w:tcPr>
          <w:p w14:paraId="038A367B" w14:textId="3963F83E" w:rsidR="00CC2100" w:rsidDel="000C581D" w:rsidRDefault="00CC2100" w:rsidP="001A5D4A">
            <w:pPr>
              <w:pStyle w:val="NotesTable-ItemPlain"/>
              <w:rPr>
                <w:b/>
              </w:rPr>
            </w:pPr>
            <w:r>
              <w:t xml:space="preserve">Later than </w:t>
            </w:r>
            <w:r w:rsidR="004F617A">
              <w:t xml:space="preserve">five </w:t>
            </w:r>
            <w:r>
              <w:t>year</w:t>
            </w:r>
            <w:r w:rsidR="004F617A">
              <w:t>s</w:t>
            </w:r>
          </w:p>
        </w:tc>
        <w:tc>
          <w:tcPr>
            <w:tcW w:w="406" w:type="pct"/>
            <w:tcBorders>
              <w:bottom w:val="single" w:sz="4" w:space="0" w:color="auto"/>
            </w:tcBorders>
            <w:shd w:val="clear" w:color="auto" w:fill="D9D9D9" w:themeFill="background1" w:themeFillShade="D9"/>
          </w:tcPr>
          <w:p w14:paraId="038A367C" w14:textId="77777777" w:rsidR="00CC2100" w:rsidDel="000C581D" w:rsidRDefault="00CC2100" w:rsidP="001A5D4A">
            <w:pPr>
              <w:pStyle w:val="NotesTable-CellBold"/>
            </w:pPr>
            <w:r w:rsidRPr="00405430">
              <w:t>–</w:t>
            </w:r>
          </w:p>
        </w:tc>
        <w:tc>
          <w:tcPr>
            <w:tcW w:w="406" w:type="pct"/>
            <w:tcBorders>
              <w:bottom w:val="single" w:sz="4" w:space="0" w:color="auto"/>
            </w:tcBorders>
            <w:shd w:val="clear" w:color="auto" w:fill="D9D9D9" w:themeFill="background1" w:themeFillShade="D9"/>
          </w:tcPr>
          <w:p w14:paraId="038A367D" w14:textId="77777777" w:rsidR="00CC2100" w:rsidDel="000C581D" w:rsidRDefault="00CC2100" w:rsidP="001A5D4A">
            <w:pPr>
              <w:pStyle w:val="NotesTable-CellPlain"/>
            </w:pPr>
            <w:r w:rsidRPr="00405430">
              <w:t>–</w:t>
            </w:r>
          </w:p>
        </w:tc>
        <w:tc>
          <w:tcPr>
            <w:tcW w:w="406" w:type="pct"/>
            <w:tcBorders>
              <w:bottom w:val="single" w:sz="4" w:space="0" w:color="auto"/>
            </w:tcBorders>
            <w:shd w:val="clear" w:color="auto" w:fill="D9D9D9" w:themeFill="background1" w:themeFillShade="D9"/>
          </w:tcPr>
          <w:p w14:paraId="038A367E" w14:textId="77777777" w:rsidR="00CC2100" w:rsidDel="000C581D" w:rsidRDefault="00CC2100" w:rsidP="001A5D4A">
            <w:pPr>
              <w:pStyle w:val="NotesTable-CellBold"/>
            </w:pPr>
            <w:r w:rsidRPr="00405430">
              <w:t>–</w:t>
            </w:r>
          </w:p>
        </w:tc>
        <w:tc>
          <w:tcPr>
            <w:tcW w:w="405" w:type="pct"/>
            <w:tcBorders>
              <w:bottom w:val="single" w:sz="4" w:space="0" w:color="auto"/>
            </w:tcBorders>
            <w:shd w:val="clear" w:color="auto" w:fill="D9D9D9" w:themeFill="background1" w:themeFillShade="D9"/>
          </w:tcPr>
          <w:p w14:paraId="038A367F" w14:textId="77777777" w:rsidR="00CC2100" w:rsidDel="000C581D" w:rsidRDefault="00CC2100" w:rsidP="001A5D4A">
            <w:pPr>
              <w:pStyle w:val="NotesTable-CellPlain"/>
            </w:pPr>
            <w:r w:rsidRPr="00405430">
              <w:t>–</w:t>
            </w:r>
          </w:p>
        </w:tc>
      </w:tr>
      <w:tr w:rsidR="00CC2100" w:rsidDel="000C581D" w14:paraId="038A3687" w14:textId="77777777" w:rsidTr="005F65FA">
        <w:trPr>
          <w:cantSplit/>
          <w:trHeight w:val="181"/>
        </w:trPr>
        <w:tc>
          <w:tcPr>
            <w:tcW w:w="810" w:type="pct"/>
          </w:tcPr>
          <w:p w14:paraId="038A3681" w14:textId="77777777" w:rsidR="00CC2100" w:rsidDel="000C581D" w:rsidRDefault="00CC2100" w:rsidP="001A5D4A">
            <w:pPr>
              <w:pStyle w:val="Note-Refs"/>
            </w:pPr>
          </w:p>
        </w:tc>
        <w:tc>
          <w:tcPr>
            <w:tcW w:w="2567" w:type="pct"/>
            <w:vAlign w:val="bottom"/>
          </w:tcPr>
          <w:p w14:paraId="038A3682" w14:textId="77777777" w:rsidR="00CC2100" w:rsidDel="000C581D" w:rsidRDefault="00CC2100" w:rsidP="001A5D4A">
            <w:pPr>
              <w:pStyle w:val="NotesTable-ItemPlain"/>
              <w:rPr>
                <w:b/>
              </w:rPr>
            </w:pPr>
            <w:r>
              <w:t>Total</w:t>
            </w:r>
            <w:r w:rsidR="000721FB">
              <w:t xml:space="preserve"> PPE commitments</w:t>
            </w:r>
          </w:p>
        </w:tc>
        <w:tc>
          <w:tcPr>
            <w:tcW w:w="406" w:type="pct"/>
            <w:tcBorders>
              <w:top w:val="single" w:sz="4" w:space="0" w:color="auto"/>
            </w:tcBorders>
          </w:tcPr>
          <w:p w14:paraId="038A3683" w14:textId="77777777" w:rsidR="00CC2100" w:rsidDel="000C581D" w:rsidRDefault="00CC2100" w:rsidP="001A5D4A">
            <w:pPr>
              <w:pStyle w:val="NotesTable-CellBold"/>
            </w:pPr>
            <w:r w:rsidRPr="00405430">
              <w:t>–</w:t>
            </w:r>
          </w:p>
        </w:tc>
        <w:tc>
          <w:tcPr>
            <w:tcW w:w="406" w:type="pct"/>
            <w:tcBorders>
              <w:top w:val="single" w:sz="4" w:space="0" w:color="auto"/>
            </w:tcBorders>
          </w:tcPr>
          <w:p w14:paraId="038A3684" w14:textId="77777777" w:rsidR="00CC2100" w:rsidDel="000C581D" w:rsidRDefault="00CC2100" w:rsidP="001A5D4A">
            <w:pPr>
              <w:pStyle w:val="NotesTable-CellPlain"/>
            </w:pPr>
            <w:r w:rsidRPr="00405430">
              <w:t>–</w:t>
            </w:r>
          </w:p>
        </w:tc>
        <w:tc>
          <w:tcPr>
            <w:tcW w:w="406" w:type="pct"/>
            <w:tcBorders>
              <w:top w:val="single" w:sz="4" w:space="0" w:color="auto"/>
            </w:tcBorders>
          </w:tcPr>
          <w:p w14:paraId="038A3685" w14:textId="77777777" w:rsidR="00CC2100" w:rsidDel="000C581D" w:rsidRDefault="00CC2100" w:rsidP="001A5D4A">
            <w:pPr>
              <w:pStyle w:val="NotesTable-CellBold"/>
            </w:pPr>
            <w:r w:rsidRPr="00405430">
              <w:t>–</w:t>
            </w:r>
          </w:p>
        </w:tc>
        <w:tc>
          <w:tcPr>
            <w:tcW w:w="405" w:type="pct"/>
            <w:tcBorders>
              <w:top w:val="single" w:sz="4" w:space="0" w:color="auto"/>
            </w:tcBorders>
          </w:tcPr>
          <w:p w14:paraId="038A3686" w14:textId="77777777" w:rsidR="00CC2100" w:rsidDel="000C581D" w:rsidRDefault="00CC2100" w:rsidP="001A5D4A">
            <w:pPr>
              <w:pStyle w:val="NotesTable-CellPlain"/>
            </w:pPr>
            <w:r w:rsidRPr="00405430">
              <w:t>–</w:t>
            </w:r>
          </w:p>
        </w:tc>
      </w:tr>
      <w:tr w:rsidR="00C83428" w14:paraId="038A368E" w14:textId="77777777" w:rsidTr="005F65FA">
        <w:trPr>
          <w:cantSplit/>
          <w:trHeight w:val="181"/>
        </w:trPr>
        <w:tc>
          <w:tcPr>
            <w:tcW w:w="810" w:type="pct"/>
          </w:tcPr>
          <w:p w14:paraId="038A3688" w14:textId="77777777" w:rsidR="00C83428" w:rsidRDefault="00C83428" w:rsidP="001A5D4A">
            <w:pPr>
              <w:pStyle w:val="Note-Refs"/>
            </w:pPr>
          </w:p>
        </w:tc>
        <w:tc>
          <w:tcPr>
            <w:tcW w:w="2567" w:type="pct"/>
            <w:vAlign w:val="bottom"/>
          </w:tcPr>
          <w:p w14:paraId="038A3689" w14:textId="77777777" w:rsidR="00C83428" w:rsidRDefault="00C83428" w:rsidP="001A5D4A">
            <w:pPr>
              <w:pStyle w:val="NotesTable-ItemPlain"/>
            </w:pPr>
          </w:p>
        </w:tc>
        <w:tc>
          <w:tcPr>
            <w:tcW w:w="406" w:type="pct"/>
            <w:vAlign w:val="bottom"/>
          </w:tcPr>
          <w:p w14:paraId="038A368A" w14:textId="77777777" w:rsidR="00C83428" w:rsidRDefault="00C83428" w:rsidP="001A5D4A">
            <w:pPr>
              <w:pStyle w:val="NotesTable-CellBold"/>
            </w:pPr>
          </w:p>
        </w:tc>
        <w:tc>
          <w:tcPr>
            <w:tcW w:w="406" w:type="pct"/>
            <w:vAlign w:val="bottom"/>
          </w:tcPr>
          <w:p w14:paraId="038A368B" w14:textId="77777777" w:rsidR="00C83428" w:rsidRDefault="00C83428" w:rsidP="001A5D4A">
            <w:pPr>
              <w:pStyle w:val="NotesTable-CellPlain"/>
            </w:pPr>
          </w:p>
        </w:tc>
        <w:tc>
          <w:tcPr>
            <w:tcW w:w="406" w:type="pct"/>
            <w:vAlign w:val="bottom"/>
          </w:tcPr>
          <w:p w14:paraId="038A368C" w14:textId="77777777" w:rsidR="00C83428" w:rsidRDefault="00C83428" w:rsidP="001A5D4A">
            <w:pPr>
              <w:pStyle w:val="NotesTable-CellBold"/>
            </w:pPr>
          </w:p>
        </w:tc>
        <w:tc>
          <w:tcPr>
            <w:tcW w:w="405" w:type="pct"/>
            <w:vAlign w:val="bottom"/>
          </w:tcPr>
          <w:p w14:paraId="038A368D" w14:textId="77777777" w:rsidR="00C83428" w:rsidRDefault="00C83428" w:rsidP="001A5D4A">
            <w:pPr>
              <w:pStyle w:val="NotesTable-CellPlain"/>
            </w:pPr>
          </w:p>
        </w:tc>
      </w:tr>
      <w:tr w:rsidR="00C0383F" w14:paraId="038A3691" w14:textId="77777777" w:rsidTr="00463ABD">
        <w:trPr>
          <w:cantSplit/>
          <w:trHeight w:val="181"/>
        </w:trPr>
        <w:tc>
          <w:tcPr>
            <w:tcW w:w="810" w:type="pct"/>
          </w:tcPr>
          <w:p w14:paraId="038A368F" w14:textId="77777777" w:rsidR="00C0383F" w:rsidRDefault="00C0383F" w:rsidP="001A5D4A">
            <w:pPr>
              <w:pStyle w:val="Note-Refs"/>
              <w:rPr>
                <w:b/>
              </w:rPr>
            </w:pPr>
            <w:r>
              <w:t>AASB138.122e</w:t>
            </w:r>
          </w:p>
        </w:tc>
        <w:tc>
          <w:tcPr>
            <w:tcW w:w="4190" w:type="pct"/>
            <w:gridSpan w:val="5"/>
            <w:vAlign w:val="bottom"/>
          </w:tcPr>
          <w:p w14:paraId="038A3690" w14:textId="77777777" w:rsidR="00C0383F" w:rsidRDefault="00C0383F" w:rsidP="001A5D4A">
            <w:pPr>
              <w:pStyle w:val="Note-TextHeader"/>
              <w:rPr>
                <w:lang w:val="en-GB"/>
              </w:rPr>
            </w:pPr>
            <w:r w:rsidRPr="00FE029C">
              <w:t>Intangible assets</w:t>
            </w:r>
          </w:p>
        </w:tc>
      </w:tr>
      <w:tr w:rsidR="00CC2100" w:rsidDel="0066651F" w14:paraId="038A3698" w14:textId="77777777" w:rsidTr="005F65FA">
        <w:trPr>
          <w:cantSplit/>
          <w:trHeight w:val="181"/>
        </w:trPr>
        <w:tc>
          <w:tcPr>
            <w:tcW w:w="810" w:type="pct"/>
          </w:tcPr>
          <w:p w14:paraId="038A3692" w14:textId="77777777" w:rsidR="00CC2100" w:rsidDel="0066651F" w:rsidRDefault="00B90CFC" w:rsidP="001A5D4A">
            <w:pPr>
              <w:pStyle w:val="Note-Refs"/>
              <w:rPr>
                <w:b/>
              </w:rPr>
            </w:pPr>
            <w:r>
              <w:t>EDUCATION</w:t>
            </w:r>
          </w:p>
        </w:tc>
        <w:tc>
          <w:tcPr>
            <w:tcW w:w="2567" w:type="pct"/>
            <w:vAlign w:val="bottom"/>
          </w:tcPr>
          <w:p w14:paraId="038A3693" w14:textId="77777777" w:rsidR="00CC2100" w:rsidDel="0066651F" w:rsidRDefault="00CC2100" w:rsidP="001A5D4A">
            <w:pPr>
              <w:pStyle w:val="NotesTable-ItemPlain"/>
              <w:rPr>
                <w:b/>
              </w:rPr>
            </w:pPr>
            <w:r>
              <w:t>Within one year</w:t>
            </w:r>
          </w:p>
        </w:tc>
        <w:tc>
          <w:tcPr>
            <w:tcW w:w="406" w:type="pct"/>
          </w:tcPr>
          <w:p w14:paraId="038A3694" w14:textId="77777777" w:rsidR="00CC2100" w:rsidDel="0066651F" w:rsidRDefault="00CC2100" w:rsidP="001A5D4A">
            <w:pPr>
              <w:pStyle w:val="NotesTable-CellBold"/>
            </w:pPr>
            <w:r w:rsidRPr="00D06AD9">
              <w:t>–</w:t>
            </w:r>
          </w:p>
        </w:tc>
        <w:tc>
          <w:tcPr>
            <w:tcW w:w="406" w:type="pct"/>
          </w:tcPr>
          <w:p w14:paraId="038A3695" w14:textId="77777777" w:rsidR="00CC2100" w:rsidDel="0066651F" w:rsidRDefault="00CC2100" w:rsidP="001A5D4A">
            <w:pPr>
              <w:pStyle w:val="NotesTable-CellPlain"/>
            </w:pPr>
            <w:r w:rsidRPr="00D06AD9">
              <w:t>–</w:t>
            </w:r>
          </w:p>
        </w:tc>
        <w:tc>
          <w:tcPr>
            <w:tcW w:w="406" w:type="pct"/>
          </w:tcPr>
          <w:p w14:paraId="038A3696" w14:textId="77777777" w:rsidR="00CC2100" w:rsidDel="0066651F" w:rsidRDefault="00CC2100" w:rsidP="001A5D4A">
            <w:pPr>
              <w:pStyle w:val="NotesTable-CellBold"/>
            </w:pPr>
            <w:r w:rsidRPr="00D06AD9">
              <w:t>–</w:t>
            </w:r>
          </w:p>
        </w:tc>
        <w:tc>
          <w:tcPr>
            <w:tcW w:w="405" w:type="pct"/>
          </w:tcPr>
          <w:p w14:paraId="038A3697" w14:textId="77777777" w:rsidR="00CC2100" w:rsidDel="0066651F" w:rsidRDefault="00CC2100" w:rsidP="001A5D4A">
            <w:pPr>
              <w:pStyle w:val="NotesTable-CellPlain"/>
            </w:pPr>
            <w:r w:rsidRPr="00D06AD9">
              <w:t>–</w:t>
            </w:r>
          </w:p>
        </w:tc>
      </w:tr>
      <w:tr w:rsidR="00CC2100" w:rsidDel="0066651F" w14:paraId="038A369F" w14:textId="77777777" w:rsidTr="005F65FA">
        <w:trPr>
          <w:cantSplit/>
          <w:trHeight w:val="181"/>
        </w:trPr>
        <w:tc>
          <w:tcPr>
            <w:tcW w:w="810" w:type="pct"/>
          </w:tcPr>
          <w:p w14:paraId="038A3699" w14:textId="77777777" w:rsidR="00CC2100" w:rsidDel="0066651F" w:rsidRDefault="00B90CFC" w:rsidP="001A5D4A">
            <w:pPr>
              <w:pStyle w:val="Note-Refs"/>
              <w:rPr>
                <w:b/>
              </w:rPr>
            </w:pPr>
            <w:r>
              <w:t>EDUCATION</w:t>
            </w:r>
          </w:p>
        </w:tc>
        <w:tc>
          <w:tcPr>
            <w:tcW w:w="2567" w:type="pct"/>
            <w:vAlign w:val="bottom"/>
          </w:tcPr>
          <w:p w14:paraId="038A369A" w14:textId="77777777" w:rsidR="00CC2100" w:rsidDel="0066651F" w:rsidRDefault="00CC2100" w:rsidP="001A5D4A">
            <w:pPr>
              <w:pStyle w:val="NotesTable-ItemPlain"/>
              <w:rPr>
                <w:b/>
              </w:rPr>
            </w:pPr>
            <w:r>
              <w:t>Later than one year</w:t>
            </w:r>
          </w:p>
        </w:tc>
        <w:tc>
          <w:tcPr>
            <w:tcW w:w="406" w:type="pct"/>
            <w:tcBorders>
              <w:bottom w:val="single" w:sz="4" w:space="0" w:color="auto"/>
            </w:tcBorders>
          </w:tcPr>
          <w:p w14:paraId="038A369B" w14:textId="77777777" w:rsidR="00CC2100" w:rsidDel="0066651F" w:rsidRDefault="00CC2100" w:rsidP="001A5D4A">
            <w:pPr>
              <w:pStyle w:val="NotesTable-CellBold"/>
            </w:pPr>
            <w:r w:rsidRPr="00D06AD9">
              <w:t>–</w:t>
            </w:r>
          </w:p>
        </w:tc>
        <w:tc>
          <w:tcPr>
            <w:tcW w:w="406" w:type="pct"/>
            <w:tcBorders>
              <w:bottom w:val="single" w:sz="4" w:space="0" w:color="auto"/>
            </w:tcBorders>
          </w:tcPr>
          <w:p w14:paraId="038A369C" w14:textId="77777777" w:rsidR="00CC2100" w:rsidDel="0066651F" w:rsidRDefault="00CC2100" w:rsidP="001A5D4A">
            <w:pPr>
              <w:pStyle w:val="NotesTable-CellPlain"/>
            </w:pPr>
            <w:r w:rsidRPr="00D06AD9">
              <w:t>–</w:t>
            </w:r>
          </w:p>
        </w:tc>
        <w:tc>
          <w:tcPr>
            <w:tcW w:w="406" w:type="pct"/>
            <w:tcBorders>
              <w:bottom w:val="single" w:sz="4" w:space="0" w:color="auto"/>
            </w:tcBorders>
          </w:tcPr>
          <w:p w14:paraId="038A369D" w14:textId="77777777" w:rsidR="00CC2100" w:rsidDel="0066651F" w:rsidRDefault="00CC2100" w:rsidP="001A5D4A">
            <w:pPr>
              <w:pStyle w:val="NotesTable-CellBold"/>
            </w:pPr>
            <w:r w:rsidRPr="00D06AD9">
              <w:t>–</w:t>
            </w:r>
          </w:p>
        </w:tc>
        <w:tc>
          <w:tcPr>
            <w:tcW w:w="405" w:type="pct"/>
            <w:tcBorders>
              <w:bottom w:val="single" w:sz="4" w:space="0" w:color="auto"/>
            </w:tcBorders>
          </w:tcPr>
          <w:p w14:paraId="038A369E" w14:textId="77777777" w:rsidR="00CC2100" w:rsidDel="0066651F" w:rsidRDefault="00CC2100" w:rsidP="001A5D4A">
            <w:pPr>
              <w:pStyle w:val="NotesTable-CellPlain"/>
            </w:pPr>
            <w:r w:rsidRPr="00D06AD9">
              <w:t>–</w:t>
            </w:r>
          </w:p>
        </w:tc>
      </w:tr>
      <w:tr w:rsidR="00CC2100" w:rsidDel="0066651F" w14:paraId="038A36A6" w14:textId="77777777" w:rsidTr="005F65FA">
        <w:trPr>
          <w:cantSplit/>
          <w:trHeight w:val="181"/>
        </w:trPr>
        <w:tc>
          <w:tcPr>
            <w:tcW w:w="810" w:type="pct"/>
          </w:tcPr>
          <w:p w14:paraId="038A36A0" w14:textId="77777777" w:rsidR="00CC2100" w:rsidDel="0066651F" w:rsidRDefault="00CC2100" w:rsidP="001A5D4A">
            <w:pPr>
              <w:pStyle w:val="Note-Refs"/>
            </w:pPr>
          </w:p>
        </w:tc>
        <w:tc>
          <w:tcPr>
            <w:tcW w:w="2567" w:type="pct"/>
            <w:vAlign w:val="bottom"/>
          </w:tcPr>
          <w:p w14:paraId="038A36A1" w14:textId="77777777" w:rsidR="00CC2100" w:rsidDel="0066651F" w:rsidRDefault="00CC2100" w:rsidP="001A5D4A">
            <w:pPr>
              <w:pStyle w:val="NotesTable-ItemPlain"/>
              <w:rPr>
                <w:b/>
              </w:rPr>
            </w:pPr>
            <w:r>
              <w:t>Total</w:t>
            </w:r>
            <w:r w:rsidR="000721FB">
              <w:t xml:space="preserve"> intangible asset commitments</w:t>
            </w:r>
          </w:p>
        </w:tc>
        <w:tc>
          <w:tcPr>
            <w:tcW w:w="406" w:type="pct"/>
            <w:tcBorders>
              <w:top w:val="single" w:sz="4" w:space="0" w:color="auto"/>
            </w:tcBorders>
          </w:tcPr>
          <w:p w14:paraId="038A36A2" w14:textId="77777777" w:rsidR="00CC2100" w:rsidDel="0066651F" w:rsidRDefault="00CC2100" w:rsidP="001A5D4A">
            <w:pPr>
              <w:pStyle w:val="NotesTable-CellBold"/>
            </w:pPr>
            <w:r w:rsidRPr="00D06AD9">
              <w:t>–</w:t>
            </w:r>
          </w:p>
        </w:tc>
        <w:tc>
          <w:tcPr>
            <w:tcW w:w="406" w:type="pct"/>
            <w:tcBorders>
              <w:top w:val="single" w:sz="4" w:space="0" w:color="auto"/>
            </w:tcBorders>
          </w:tcPr>
          <w:p w14:paraId="038A36A3" w14:textId="77777777" w:rsidR="00CC2100" w:rsidDel="0066651F" w:rsidRDefault="00CC2100" w:rsidP="001A5D4A">
            <w:pPr>
              <w:pStyle w:val="NotesTable-CellPlain"/>
            </w:pPr>
            <w:r w:rsidRPr="00D06AD9">
              <w:t>–</w:t>
            </w:r>
          </w:p>
        </w:tc>
        <w:tc>
          <w:tcPr>
            <w:tcW w:w="406" w:type="pct"/>
            <w:tcBorders>
              <w:top w:val="single" w:sz="4" w:space="0" w:color="auto"/>
            </w:tcBorders>
          </w:tcPr>
          <w:p w14:paraId="038A36A4" w14:textId="77777777" w:rsidR="00CC2100" w:rsidDel="0066651F" w:rsidRDefault="00CC2100" w:rsidP="001A5D4A">
            <w:pPr>
              <w:pStyle w:val="NotesTable-CellBold"/>
            </w:pPr>
            <w:r w:rsidRPr="00D06AD9">
              <w:t>–</w:t>
            </w:r>
          </w:p>
        </w:tc>
        <w:tc>
          <w:tcPr>
            <w:tcW w:w="405" w:type="pct"/>
            <w:tcBorders>
              <w:top w:val="single" w:sz="4" w:space="0" w:color="auto"/>
            </w:tcBorders>
          </w:tcPr>
          <w:p w14:paraId="038A36A5" w14:textId="77777777" w:rsidR="00CC2100" w:rsidDel="0066651F" w:rsidRDefault="00CC2100" w:rsidP="001A5D4A">
            <w:pPr>
              <w:pStyle w:val="NotesTable-CellPlain"/>
            </w:pPr>
            <w:r w:rsidRPr="00D06AD9">
              <w:t>–</w:t>
            </w:r>
          </w:p>
        </w:tc>
      </w:tr>
      <w:tr w:rsidR="00E714DF" w14:paraId="038A36A8" w14:textId="4CA27844" w:rsidTr="00463ABD">
        <w:trPr>
          <w:cantSplit/>
          <w:trHeight w:val="181"/>
        </w:trPr>
        <w:tc>
          <w:tcPr>
            <w:tcW w:w="810" w:type="pct"/>
          </w:tcPr>
          <w:p w14:paraId="038A36A7" w14:textId="77777777" w:rsidR="00E714DF" w:rsidRDefault="00E714DF" w:rsidP="001A5D4A">
            <w:pPr>
              <w:pStyle w:val="Note-Refs"/>
            </w:pPr>
          </w:p>
        </w:tc>
        <w:tc>
          <w:tcPr>
            <w:tcW w:w="4190" w:type="pct"/>
            <w:gridSpan w:val="5"/>
          </w:tcPr>
          <w:p w14:paraId="0FEC9C7A" w14:textId="77777777" w:rsidR="00E714DF" w:rsidRDefault="00E714DF" w:rsidP="001A5D4A">
            <w:pPr>
              <w:pStyle w:val="Note-Refs"/>
            </w:pPr>
          </w:p>
        </w:tc>
      </w:tr>
      <w:tr w:rsidR="00C83428" w14:paraId="038A36AF" w14:textId="77777777" w:rsidTr="005F65FA">
        <w:trPr>
          <w:cantSplit/>
          <w:trHeight w:val="181"/>
        </w:trPr>
        <w:tc>
          <w:tcPr>
            <w:tcW w:w="810" w:type="pct"/>
          </w:tcPr>
          <w:p w14:paraId="038A36A9" w14:textId="5115AEED" w:rsidR="00C83428" w:rsidRDefault="007D6CAA" w:rsidP="001A5D4A">
            <w:pPr>
              <w:pStyle w:val="Note-Refs"/>
              <w:rPr>
                <w:b/>
              </w:rPr>
            </w:pPr>
            <w:r>
              <w:t>AASB12.23a</w:t>
            </w:r>
          </w:p>
        </w:tc>
        <w:tc>
          <w:tcPr>
            <w:tcW w:w="2567" w:type="pct"/>
            <w:vAlign w:val="bottom"/>
          </w:tcPr>
          <w:p w14:paraId="038A36AA" w14:textId="26B8D39D" w:rsidR="00C83428" w:rsidRDefault="007D6CAA" w:rsidP="001A5D4A">
            <w:pPr>
              <w:pStyle w:val="Note-TextHeader"/>
            </w:pPr>
            <w:r>
              <w:t>Jointly controlled c</w:t>
            </w:r>
            <w:r w:rsidR="00C83428">
              <w:t>apital commitments</w:t>
            </w:r>
          </w:p>
        </w:tc>
        <w:tc>
          <w:tcPr>
            <w:tcW w:w="406" w:type="pct"/>
          </w:tcPr>
          <w:p w14:paraId="038A36AB" w14:textId="1B9AE57C" w:rsidR="00C83428" w:rsidRDefault="00C83428" w:rsidP="001A5D4A">
            <w:pPr>
              <w:pStyle w:val="NotesTable-CellBold"/>
            </w:pPr>
          </w:p>
        </w:tc>
        <w:tc>
          <w:tcPr>
            <w:tcW w:w="406" w:type="pct"/>
          </w:tcPr>
          <w:p w14:paraId="038A36AC" w14:textId="20628969" w:rsidR="00C83428" w:rsidRDefault="00C83428" w:rsidP="001A5D4A">
            <w:pPr>
              <w:pStyle w:val="NotesTable-CellPlain"/>
            </w:pPr>
          </w:p>
        </w:tc>
        <w:tc>
          <w:tcPr>
            <w:tcW w:w="406" w:type="pct"/>
          </w:tcPr>
          <w:p w14:paraId="038A36AD" w14:textId="7F3E3FEE" w:rsidR="00C83428" w:rsidRDefault="00C83428" w:rsidP="001A5D4A">
            <w:pPr>
              <w:pStyle w:val="NotesTable-CellBold"/>
            </w:pPr>
          </w:p>
        </w:tc>
        <w:tc>
          <w:tcPr>
            <w:tcW w:w="405" w:type="pct"/>
          </w:tcPr>
          <w:p w14:paraId="038A36AE" w14:textId="122795E9" w:rsidR="00C83428" w:rsidRDefault="00C83428" w:rsidP="001A5D4A">
            <w:pPr>
              <w:pStyle w:val="NotesTable-CellPlain"/>
            </w:pPr>
          </w:p>
        </w:tc>
      </w:tr>
      <w:tr w:rsidR="001A129F" w14:paraId="103E64C0" w14:textId="77777777" w:rsidTr="005F65FA">
        <w:trPr>
          <w:cantSplit/>
          <w:trHeight w:val="181"/>
        </w:trPr>
        <w:tc>
          <w:tcPr>
            <w:tcW w:w="810" w:type="pct"/>
          </w:tcPr>
          <w:p w14:paraId="13488372" w14:textId="5F3A7FCB" w:rsidR="001A129F" w:rsidDel="007D6CAA" w:rsidRDefault="001A129F" w:rsidP="001A5D4A">
            <w:pPr>
              <w:pStyle w:val="Note-Refs"/>
            </w:pPr>
            <w:r>
              <w:t>EDUCATION</w:t>
            </w:r>
          </w:p>
        </w:tc>
        <w:tc>
          <w:tcPr>
            <w:tcW w:w="2567" w:type="pct"/>
            <w:vAlign w:val="bottom"/>
          </w:tcPr>
          <w:p w14:paraId="5FE76E93" w14:textId="53D10F79" w:rsidR="001A129F" w:rsidRDefault="001A129F" w:rsidP="001A5D4A">
            <w:pPr>
              <w:pStyle w:val="NotesTable-ItemPlain"/>
            </w:pPr>
            <w:r>
              <w:t>Within one year</w:t>
            </w:r>
          </w:p>
        </w:tc>
        <w:tc>
          <w:tcPr>
            <w:tcW w:w="406" w:type="pct"/>
          </w:tcPr>
          <w:p w14:paraId="4C89E627" w14:textId="36968A88" w:rsidR="001A129F" w:rsidRDefault="001A129F" w:rsidP="001A5D4A">
            <w:pPr>
              <w:pStyle w:val="NotesTable-CellBold"/>
            </w:pPr>
            <w:r>
              <w:t>–</w:t>
            </w:r>
          </w:p>
        </w:tc>
        <w:tc>
          <w:tcPr>
            <w:tcW w:w="406" w:type="pct"/>
          </w:tcPr>
          <w:p w14:paraId="614F3D75" w14:textId="484D547A" w:rsidR="001A129F" w:rsidRDefault="001A129F" w:rsidP="001A5D4A">
            <w:pPr>
              <w:pStyle w:val="NotesTable-CellPlain"/>
            </w:pPr>
            <w:r>
              <w:t>–</w:t>
            </w:r>
          </w:p>
        </w:tc>
        <w:tc>
          <w:tcPr>
            <w:tcW w:w="406" w:type="pct"/>
          </w:tcPr>
          <w:p w14:paraId="37F5A2CC" w14:textId="59AEBAB0" w:rsidR="001A129F" w:rsidRDefault="001A129F" w:rsidP="001A5D4A">
            <w:pPr>
              <w:pStyle w:val="NotesTable-CellBold"/>
            </w:pPr>
            <w:r>
              <w:t>–</w:t>
            </w:r>
          </w:p>
        </w:tc>
        <w:tc>
          <w:tcPr>
            <w:tcW w:w="405" w:type="pct"/>
          </w:tcPr>
          <w:p w14:paraId="65733829" w14:textId="1F3CE122" w:rsidR="001A129F" w:rsidRDefault="001A129F" w:rsidP="001A5D4A">
            <w:pPr>
              <w:pStyle w:val="NotesTable-CellPlain"/>
            </w:pPr>
            <w:r>
              <w:t>–</w:t>
            </w:r>
          </w:p>
        </w:tc>
      </w:tr>
      <w:tr w:rsidR="001A129F" w14:paraId="7739390F" w14:textId="77777777" w:rsidTr="005F65FA">
        <w:trPr>
          <w:cantSplit/>
          <w:trHeight w:val="181"/>
        </w:trPr>
        <w:tc>
          <w:tcPr>
            <w:tcW w:w="810" w:type="pct"/>
          </w:tcPr>
          <w:p w14:paraId="3A449F73" w14:textId="62457253" w:rsidR="001A129F" w:rsidDel="007D6CAA" w:rsidRDefault="001A129F" w:rsidP="001A5D4A">
            <w:pPr>
              <w:pStyle w:val="Note-Refs"/>
            </w:pPr>
            <w:r>
              <w:t>EDUCATION</w:t>
            </w:r>
          </w:p>
        </w:tc>
        <w:tc>
          <w:tcPr>
            <w:tcW w:w="2567" w:type="pct"/>
            <w:vAlign w:val="bottom"/>
          </w:tcPr>
          <w:p w14:paraId="75A5CCDA" w14:textId="164B7398" w:rsidR="001A129F" w:rsidRDefault="001A129F" w:rsidP="001A5D4A">
            <w:pPr>
              <w:pStyle w:val="NotesTable-ItemPlain"/>
            </w:pPr>
            <w:r>
              <w:t>Later than one year</w:t>
            </w:r>
          </w:p>
        </w:tc>
        <w:tc>
          <w:tcPr>
            <w:tcW w:w="406" w:type="pct"/>
            <w:tcBorders>
              <w:bottom w:val="single" w:sz="4" w:space="0" w:color="auto"/>
            </w:tcBorders>
          </w:tcPr>
          <w:p w14:paraId="74B0AB5F" w14:textId="652FA8E2" w:rsidR="001A129F" w:rsidRDefault="001A129F" w:rsidP="001A5D4A">
            <w:pPr>
              <w:pStyle w:val="NotesTable-CellBold"/>
            </w:pPr>
            <w:r>
              <w:t>–</w:t>
            </w:r>
          </w:p>
        </w:tc>
        <w:tc>
          <w:tcPr>
            <w:tcW w:w="406" w:type="pct"/>
            <w:tcBorders>
              <w:bottom w:val="single" w:sz="4" w:space="0" w:color="auto"/>
            </w:tcBorders>
          </w:tcPr>
          <w:p w14:paraId="38AB562C" w14:textId="706EC46F" w:rsidR="001A129F" w:rsidRDefault="001A129F" w:rsidP="001A5D4A">
            <w:pPr>
              <w:pStyle w:val="NotesTable-CellPlain"/>
            </w:pPr>
            <w:r>
              <w:t>–</w:t>
            </w:r>
          </w:p>
        </w:tc>
        <w:tc>
          <w:tcPr>
            <w:tcW w:w="406" w:type="pct"/>
            <w:tcBorders>
              <w:bottom w:val="single" w:sz="4" w:space="0" w:color="auto"/>
            </w:tcBorders>
          </w:tcPr>
          <w:p w14:paraId="201596CD" w14:textId="6472CA76" w:rsidR="001A129F" w:rsidRDefault="001A129F" w:rsidP="001A5D4A">
            <w:pPr>
              <w:pStyle w:val="NotesTable-CellBold"/>
            </w:pPr>
            <w:r>
              <w:t>–</w:t>
            </w:r>
          </w:p>
        </w:tc>
        <w:tc>
          <w:tcPr>
            <w:tcW w:w="405" w:type="pct"/>
            <w:tcBorders>
              <w:bottom w:val="single" w:sz="4" w:space="0" w:color="auto"/>
            </w:tcBorders>
          </w:tcPr>
          <w:p w14:paraId="7746EE84" w14:textId="22CDFF8A" w:rsidR="001A129F" w:rsidRDefault="001A129F" w:rsidP="001A5D4A">
            <w:pPr>
              <w:pStyle w:val="NotesTable-CellPlain"/>
            </w:pPr>
            <w:r>
              <w:t>–</w:t>
            </w:r>
          </w:p>
        </w:tc>
      </w:tr>
      <w:tr w:rsidR="001A129F" w14:paraId="1B21B30E" w14:textId="77777777" w:rsidTr="005F65FA">
        <w:trPr>
          <w:cantSplit/>
          <w:trHeight w:val="181"/>
        </w:trPr>
        <w:tc>
          <w:tcPr>
            <w:tcW w:w="810" w:type="pct"/>
          </w:tcPr>
          <w:p w14:paraId="694EDF12" w14:textId="77777777" w:rsidR="001A129F" w:rsidDel="007D6CAA" w:rsidRDefault="001A129F" w:rsidP="001A5D4A">
            <w:pPr>
              <w:pStyle w:val="Note-Refs"/>
            </w:pPr>
          </w:p>
        </w:tc>
        <w:tc>
          <w:tcPr>
            <w:tcW w:w="2567" w:type="pct"/>
            <w:vAlign w:val="bottom"/>
          </w:tcPr>
          <w:p w14:paraId="11D0A1AA" w14:textId="2F2F0AFC" w:rsidR="001A129F" w:rsidRDefault="001A129F" w:rsidP="001A5D4A">
            <w:pPr>
              <w:pStyle w:val="NotesTable-ItemPlain"/>
            </w:pPr>
            <w:r>
              <w:t>Total jointly controlled capital commitments</w:t>
            </w:r>
          </w:p>
        </w:tc>
        <w:tc>
          <w:tcPr>
            <w:tcW w:w="406" w:type="pct"/>
            <w:tcBorders>
              <w:top w:val="single" w:sz="4" w:space="0" w:color="auto"/>
            </w:tcBorders>
          </w:tcPr>
          <w:p w14:paraId="0BD6AE5C" w14:textId="4E6B2D6B" w:rsidR="001A129F" w:rsidRDefault="001A129F" w:rsidP="001A5D4A">
            <w:pPr>
              <w:pStyle w:val="NotesTable-CellBold"/>
            </w:pPr>
            <w:r w:rsidRPr="00D06AD9">
              <w:t>–</w:t>
            </w:r>
          </w:p>
        </w:tc>
        <w:tc>
          <w:tcPr>
            <w:tcW w:w="406" w:type="pct"/>
            <w:tcBorders>
              <w:top w:val="single" w:sz="4" w:space="0" w:color="auto"/>
            </w:tcBorders>
          </w:tcPr>
          <w:p w14:paraId="45EBAA5B" w14:textId="00BA3F29" w:rsidR="001A129F" w:rsidRDefault="001A129F" w:rsidP="001A5D4A">
            <w:pPr>
              <w:pStyle w:val="NotesTable-CellPlain"/>
            </w:pPr>
            <w:r w:rsidRPr="00D06AD9">
              <w:t>–</w:t>
            </w:r>
          </w:p>
        </w:tc>
        <w:tc>
          <w:tcPr>
            <w:tcW w:w="406" w:type="pct"/>
            <w:tcBorders>
              <w:top w:val="single" w:sz="4" w:space="0" w:color="auto"/>
            </w:tcBorders>
          </w:tcPr>
          <w:p w14:paraId="7CF341F7" w14:textId="0415C0D8" w:rsidR="001A129F" w:rsidRDefault="001A129F" w:rsidP="001A5D4A">
            <w:pPr>
              <w:pStyle w:val="NotesTable-CellBold"/>
            </w:pPr>
            <w:r w:rsidRPr="00D06AD9">
              <w:t>–</w:t>
            </w:r>
          </w:p>
        </w:tc>
        <w:tc>
          <w:tcPr>
            <w:tcW w:w="405" w:type="pct"/>
            <w:tcBorders>
              <w:top w:val="single" w:sz="4" w:space="0" w:color="auto"/>
            </w:tcBorders>
          </w:tcPr>
          <w:p w14:paraId="1B36A9ED" w14:textId="5193D3BE" w:rsidR="001A129F" w:rsidRDefault="001A129F" w:rsidP="001A5D4A">
            <w:pPr>
              <w:pStyle w:val="NotesTable-CellPlain"/>
            </w:pPr>
            <w:r w:rsidRPr="00D06AD9">
              <w:t>–</w:t>
            </w:r>
          </w:p>
        </w:tc>
      </w:tr>
      <w:tr w:rsidR="00023312" w14:paraId="038A36B3" w14:textId="77777777" w:rsidTr="00463ABD">
        <w:trPr>
          <w:cantSplit/>
          <w:trHeight w:val="180"/>
        </w:trPr>
        <w:tc>
          <w:tcPr>
            <w:tcW w:w="810" w:type="pct"/>
          </w:tcPr>
          <w:p w14:paraId="038A36B1" w14:textId="77777777" w:rsidR="00023312" w:rsidRDefault="00023312" w:rsidP="005F65FA">
            <w:pPr>
              <w:pStyle w:val="Note-Refs"/>
            </w:pPr>
          </w:p>
        </w:tc>
        <w:tc>
          <w:tcPr>
            <w:tcW w:w="4190" w:type="pct"/>
            <w:gridSpan w:val="5"/>
          </w:tcPr>
          <w:p w14:paraId="038A36B2" w14:textId="734E2C57" w:rsidR="00023312" w:rsidRPr="00106D3E" w:rsidRDefault="00023312" w:rsidP="005F65FA">
            <w:pPr>
              <w:pStyle w:val="Note-Refs"/>
            </w:pPr>
          </w:p>
        </w:tc>
      </w:tr>
      <w:tr w:rsidR="000B4444" w14:paraId="038A36B6" w14:textId="77777777" w:rsidTr="00463ABD">
        <w:trPr>
          <w:cantSplit/>
          <w:trHeight w:hRule="exact" w:val="227"/>
        </w:trPr>
        <w:tc>
          <w:tcPr>
            <w:tcW w:w="810" w:type="pct"/>
          </w:tcPr>
          <w:p w14:paraId="038A36B4" w14:textId="77777777" w:rsidR="000B4444" w:rsidRDefault="000B4444" w:rsidP="001A5D4A">
            <w:pPr>
              <w:pStyle w:val="Note-Refs"/>
            </w:pPr>
          </w:p>
        </w:tc>
        <w:tc>
          <w:tcPr>
            <w:tcW w:w="4190" w:type="pct"/>
            <w:gridSpan w:val="5"/>
            <w:vAlign w:val="bottom"/>
          </w:tcPr>
          <w:p w14:paraId="038A36B5" w14:textId="77777777" w:rsidR="000B4444" w:rsidRDefault="000B4444" w:rsidP="001A5D4A">
            <w:pPr>
              <w:pStyle w:val="Note-TextHeader"/>
            </w:pPr>
            <w:r>
              <w:t>(b) Lease commitments</w:t>
            </w:r>
          </w:p>
        </w:tc>
      </w:tr>
      <w:tr w:rsidR="000B4444" w14:paraId="038A36B9" w14:textId="77777777" w:rsidTr="00463ABD">
        <w:trPr>
          <w:cantSplit/>
          <w:trHeight w:hRule="exact" w:val="227"/>
        </w:trPr>
        <w:tc>
          <w:tcPr>
            <w:tcW w:w="810" w:type="pct"/>
          </w:tcPr>
          <w:p w14:paraId="038A36B7" w14:textId="77777777" w:rsidR="000B4444" w:rsidRDefault="000B4444" w:rsidP="001A5D4A">
            <w:pPr>
              <w:pStyle w:val="Note-Refs"/>
            </w:pPr>
          </w:p>
        </w:tc>
        <w:tc>
          <w:tcPr>
            <w:tcW w:w="4190" w:type="pct"/>
            <w:gridSpan w:val="5"/>
            <w:vAlign w:val="bottom"/>
          </w:tcPr>
          <w:p w14:paraId="038A36B8" w14:textId="77777777" w:rsidR="000B4444" w:rsidRDefault="000B4444" w:rsidP="001A5D4A">
            <w:pPr>
              <w:pStyle w:val="NotesTable-ItemPlain"/>
            </w:pPr>
          </w:p>
        </w:tc>
      </w:tr>
      <w:tr w:rsidR="00023312" w14:paraId="038A36BC" w14:textId="77777777" w:rsidTr="00463ABD">
        <w:trPr>
          <w:cantSplit/>
          <w:trHeight w:hRule="exact" w:val="227"/>
        </w:trPr>
        <w:tc>
          <w:tcPr>
            <w:tcW w:w="810" w:type="pct"/>
          </w:tcPr>
          <w:p w14:paraId="038A36BA" w14:textId="77777777" w:rsidR="00023312" w:rsidRDefault="00023312" w:rsidP="001A5D4A">
            <w:pPr>
              <w:pStyle w:val="Note-Refs"/>
            </w:pPr>
          </w:p>
        </w:tc>
        <w:tc>
          <w:tcPr>
            <w:tcW w:w="4190" w:type="pct"/>
            <w:gridSpan w:val="5"/>
            <w:vAlign w:val="bottom"/>
          </w:tcPr>
          <w:p w14:paraId="038A36BB" w14:textId="77777777" w:rsidR="00023312" w:rsidRDefault="00023312" w:rsidP="001A5D4A">
            <w:pPr>
              <w:pStyle w:val="Note-TextSubheader"/>
            </w:pPr>
            <w:r>
              <w:t>(i) Operating leases</w:t>
            </w:r>
          </w:p>
        </w:tc>
      </w:tr>
      <w:tr w:rsidR="00023312" w14:paraId="038A36BF" w14:textId="77777777" w:rsidTr="00463ABD">
        <w:trPr>
          <w:cantSplit/>
          <w:trHeight w:hRule="exact" w:val="227"/>
        </w:trPr>
        <w:tc>
          <w:tcPr>
            <w:tcW w:w="810" w:type="pct"/>
          </w:tcPr>
          <w:p w14:paraId="038A36BD" w14:textId="77777777" w:rsidR="00023312" w:rsidRDefault="00023312" w:rsidP="001A5D4A">
            <w:pPr>
              <w:pStyle w:val="Note-Refs"/>
              <w:rPr>
                <w:b/>
              </w:rPr>
            </w:pPr>
            <w:r>
              <w:t>AASB117</w:t>
            </w:r>
            <w:r w:rsidR="00455854">
              <w:t>.</w:t>
            </w:r>
            <w:r>
              <w:t>35d</w:t>
            </w:r>
          </w:p>
        </w:tc>
        <w:tc>
          <w:tcPr>
            <w:tcW w:w="4190" w:type="pct"/>
            <w:gridSpan w:val="5"/>
            <w:vAlign w:val="bottom"/>
          </w:tcPr>
          <w:p w14:paraId="038A36BE" w14:textId="77777777" w:rsidR="00023312" w:rsidRDefault="00023312" w:rsidP="001A5D4A">
            <w:pPr>
              <w:pStyle w:val="NotesTable-ItemPlain"/>
              <w:rPr>
                <w:b/>
              </w:rPr>
            </w:pPr>
            <w:r>
              <w:t>[Provide description of operating leases]</w:t>
            </w:r>
          </w:p>
        </w:tc>
      </w:tr>
      <w:tr w:rsidR="000B4444" w14:paraId="038A36C2" w14:textId="77777777" w:rsidTr="00463ABD">
        <w:trPr>
          <w:cantSplit/>
          <w:trHeight w:hRule="exact" w:val="227"/>
        </w:trPr>
        <w:tc>
          <w:tcPr>
            <w:tcW w:w="810" w:type="pct"/>
          </w:tcPr>
          <w:p w14:paraId="038A36C0" w14:textId="77777777" w:rsidR="000B4444" w:rsidRDefault="000B4444" w:rsidP="001A5D4A">
            <w:pPr>
              <w:pStyle w:val="Note-Refs"/>
            </w:pPr>
          </w:p>
        </w:tc>
        <w:tc>
          <w:tcPr>
            <w:tcW w:w="4190" w:type="pct"/>
            <w:gridSpan w:val="5"/>
            <w:vAlign w:val="bottom"/>
          </w:tcPr>
          <w:p w14:paraId="038A36C1" w14:textId="77777777" w:rsidR="000B4444" w:rsidRDefault="000B4444" w:rsidP="001A5D4A">
            <w:pPr>
              <w:pStyle w:val="NotesTable-ItemPlain"/>
            </w:pPr>
          </w:p>
        </w:tc>
      </w:tr>
      <w:tr w:rsidR="00023312" w14:paraId="038A36C7" w14:textId="77777777" w:rsidTr="005F65FA">
        <w:trPr>
          <w:cantSplit/>
          <w:trHeight w:hRule="exact" w:val="227"/>
        </w:trPr>
        <w:tc>
          <w:tcPr>
            <w:tcW w:w="810" w:type="pct"/>
          </w:tcPr>
          <w:p w14:paraId="038A36C3" w14:textId="77777777" w:rsidR="00023312" w:rsidRDefault="00023312" w:rsidP="001A5D4A">
            <w:pPr>
              <w:pStyle w:val="Note-Refs"/>
            </w:pPr>
          </w:p>
        </w:tc>
        <w:tc>
          <w:tcPr>
            <w:tcW w:w="2567" w:type="pct"/>
            <w:vAlign w:val="bottom"/>
          </w:tcPr>
          <w:p w14:paraId="038A36C4" w14:textId="77777777" w:rsidR="00023312" w:rsidRDefault="00023312" w:rsidP="001A5D4A">
            <w:pPr>
              <w:pStyle w:val="NotesTable-ItemPlain"/>
            </w:pPr>
          </w:p>
        </w:tc>
        <w:tc>
          <w:tcPr>
            <w:tcW w:w="812" w:type="pct"/>
            <w:gridSpan w:val="2"/>
          </w:tcPr>
          <w:p w14:paraId="038A36C5" w14:textId="77777777" w:rsidR="00023312" w:rsidRDefault="00023312" w:rsidP="001A5D4A">
            <w:pPr>
              <w:pStyle w:val="NotesTable-HeadPlain"/>
            </w:pPr>
            <w:r>
              <w:t>Consolidated</w:t>
            </w:r>
          </w:p>
        </w:tc>
        <w:tc>
          <w:tcPr>
            <w:tcW w:w="811" w:type="pct"/>
            <w:gridSpan w:val="2"/>
          </w:tcPr>
          <w:p w14:paraId="038A36C6" w14:textId="77777777" w:rsidR="00023312" w:rsidRDefault="00023312" w:rsidP="001A5D4A">
            <w:pPr>
              <w:pStyle w:val="NotesTable-HeadPlain"/>
            </w:pPr>
            <w:r>
              <w:t>Parent entity</w:t>
            </w:r>
          </w:p>
        </w:tc>
      </w:tr>
      <w:tr w:rsidR="00C83428" w14:paraId="038A36CE" w14:textId="77777777" w:rsidTr="005F65FA">
        <w:trPr>
          <w:cantSplit/>
          <w:trHeight w:hRule="exact" w:val="227"/>
        </w:trPr>
        <w:tc>
          <w:tcPr>
            <w:tcW w:w="810" w:type="pct"/>
          </w:tcPr>
          <w:p w14:paraId="038A36C8" w14:textId="77777777" w:rsidR="00C83428" w:rsidRDefault="00C83428" w:rsidP="001A5D4A">
            <w:pPr>
              <w:pStyle w:val="Note-Refs"/>
            </w:pPr>
          </w:p>
        </w:tc>
        <w:tc>
          <w:tcPr>
            <w:tcW w:w="2567" w:type="pct"/>
            <w:vAlign w:val="bottom"/>
          </w:tcPr>
          <w:p w14:paraId="038A36C9" w14:textId="77777777" w:rsidR="00C83428" w:rsidRPr="003C77BC" w:rsidRDefault="00C83428" w:rsidP="001A5D4A">
            <w:pPr>
              <w:pStyle w:val="NotesTable-ItemPlain"/>
            </w:pPr>
          </w:p>
        </w:tc>
        <w:tc>
          <w:tcPr>
            <w:tcW w:w="406" w:type="pct"/>
          </w:tcPr>
          <w:p w14:paraId="038A36CA" w14:textId="7C637683" w:rsidR="00C83428" w:rsidRDefault="006864EC" w:rsidP="001A5D4A">
            <w:pPr>
              <w:pStyle w:val="NotesTable-HeadBold"/>
            </w:pPr>
            <w:r>
              <w:t>2014</w:t>
            </w:r>
          </w:p>
        </w:tc>
        <w:tc>
          <w:tcPr>
            <w:tcW w:w="406" w:type="pct"/>
          </w:tcPr>
          <w:p w14:paraId="038A36CB" w14:textId="0EC67442" w:rsidR="00C83428" w:rsidRDefault="006864EC" w:rsidP="001A5D4A">
            <w:pPr>
              <w:pStyle w:val="NotesTable-HeadPlain"/>
            </w:pPr>
            <w:r>
              <w:t>2013</w:t>
            </w:r>
          </w:p>
        </w:tc>
        <w:tc>
          <w:tcPr>
            <w:tcW w:w="406" w:type="pct"/>
          </w:tcPr>
          <w:p w14:paraId="038A36CC" w14:textId="6E66B468" w:rsidR="00C83428" w:rsidRDefault="006864EC" w:rsidP="001A5D4A">
            <w:pPr>
              <w:pStyle w:val="NotesTable-HeadBold"/>
              <w:rPr>
                <w:szCs w:val="18"/>
              </w:rPr>
            </w:pPr>
            <w:r>
              <w:t>2014</w:t>
            </w:r>
          </w:p>
        </w:tc>
        <w:tc>
          <w:tcPr>
            <w:tcW w:w="405" w:type="pct"/>
          </w:tcPr>
          <w:p w14:paraId="038A36CD" w14:textId="7523EEF7" w:rsidR="00C83428" w:rsidRDefault="006864EC" w:rsidP="001A5D4A">
            <w:pPr>
              <w:pStyle w:val="NotesTable-HeadPlain"/>
            </w:pPr>
            <w:r>
              <w:t>2013</w:t>
            </w:r>
          </w:p>
        </w:tc>
      </w:tr>
      <w:tr w:rsidR="00C83428" w14:paraId="038A36D5" w14:textId="77777777" w:rsidTr="005F65FA">
        <w:trPr>
          <w:cantSplit/>
          <w:trHeight w:hRule="exact" w:val="227"/>
        </w:trPr>
        <w:tc>
          <w:tcPr>
            <w:tcW w:w="810" w:type="pct"/>
          </w:tcPr>
          <w:p w14:paraId="038A36CF" w14:textId="77777777" w:rsidR="00C83428" w:rsidRDefault="00C83428" w:rsidP="001A5D4A">
            <w:pPr>
              <w:pStyle w:val="Note-Refs"/>
            </w:pPr>
          </w:p>
        </w:tc>
        <w:tc>
          <w:tcPr>
            <w:tcW w:w="2567" w:type="pct"/>
            <w:vAlign w:val="bottom"/>
          </w:tcPr>
          <w:p w14:paraId="038A36D0" w14:textId="77777777" w:rsidR="00C83428" w:rsidRPr="003C77BC" w:rsidRDefault="00C83428" w:rsidP="001A5D4A">
            <w:pPr>
              <w:pStyle w:val="NotesTable-ItemPlain"/>
            </w:pPr>
          </w:p>
        </w:tc>
        <w:tc>
          <w:tcPr>
            <w:tcW w:w="406" w:type="pct"/>
          </w:tcPr>
          <w:p w14:paraId="038A36D1" w14:textId="77777777" w:rsidR="00C83428" w:rsidRDefault="00C83428" w:rsidP="001A5D4A">
            <w:pPr>
              <w:pStyle w:val="NotesTable-HeadBold"/>
            </w:pPr>
            <w:r>
              <w:t>$’000</w:t>
            </w:r>
          </w:p>
        </w:tc>
        <w:tc>
          <w:tcPr>
            <w:tcW w:w="406" w:type="pct"/>
          </w:tcPr>
          <w:p w14:paraId="038A36D2" w14:textId="77777777" w:rsidR="00C83428" w:rsidRDefault="00C83428" w:rsidP="001A5D4A">
            <w:pPr>
              <w:pStyle w:val="NotesTable-HeadPlain"/>
            </w:pPr>
            <w:r>
              <w:t>$’000</w:t>
            </w:r>
          </w:p>
        </w:tc>
        <w:tc>
          <w:tcPr>
            <w:tcW w:w="406" w:type="pct"/>
          </w:tcPr>
          <w:p w14:paraId="038A36D3" w14:textId="77777777" w:rsidR="00C83428" w:rsidRDefault="00C83428" w:rsidP="001A5D4A">
            <w:pPr>
              <w:pStyle w:val="NotesTable-HeadBold"/>
              <w:rPr>
                <w:szCs w:val="18"/>
              </w:rPr>
            </w:pPr>
            <w:r>
              <w:t>$’000</w:t>
            </w:r>
          </w:p>
        </w:tc>
        <w:tc>
          <w:tcPr>
            <w:tcW w:w="405" w:type="pct"/>
          </w:tcPr>
          <w:p w14:paraId="038A36D4" w14:textId="77777777" w:rsidR="00C83428" w:rsidRDefault="00C83428" w:rsidP="001A5D4A">
            <w:pPr>
              <w:pStyle w:val="NotesTable-HeadPlain"/>
            </w:pPr>
            <w:r>
              <w:t>$’000</w:t>
            </w:r>
          </w:p>
        </w:tc>
      </w:tr>
      <w:tr w:rsidR="00317826" w14:paraId="038A36D8" w14:textId="77777777" w:rsidTr="00463ABD">
        <w:trPr>
          <w:cantSplit/>
          <w:trHeight w:val="227"/>
        </w:trPr>
        <w:tc>
          <w:tcPr>
            <w:tcW w:w="810" w:type="pct"/>
          </w:tcPr>
          <w:p w14:paraId="038A36D6" w14:textId="77777777" w:rsidR="00317826" w:rsidRDefault="00317826" w:rsidP="001A5D4A">
            <w:pPr>
              <w:pStyle w:val="Note-Refs"/>
              <w:rPr>
                <w:b/>
              </w:rPr>
            </w:pPr>
            <w:r>
              <w:t>AASB117.35a</w:t>
            </w:r>
          </w:p>
        </w:tc>
        <w:tc>
          <w:tcPr>
            <w:tcW w:w="4190" w:type="pct"/>
            <w:gridSpan w:val="5"/>
            <w:vAlign w:val="bottom"/>
          </w:tcPr>
          <w:p w14:paraId="038A36D7" w14:textId="77777777" w:rsidR="00317826" w:rsidRDefault="00317826" w:rsidP="001A5D4A">
            <w:pPr>
              <w:pStyle w:val="NotesTable-ItemPlain"/>
              <w:rPr>
                <w:b/>
              </w:rPr>
            </w:pPr>
            <w:r>
              <w:t>Commitments for minimum lease payments in relation to non-cancellable operating leases are payable as follows:</w:t>
            </w:r>
          </w:p>
        </w:tc>
      </w:tr>
      <w:tr w:rsidR="00C83428" w14:paraId="038A36DF" w14:textId="77777777" w:rsidTr="005F65FA">
        <w:trPr>
          <w:cantSplit/>
          <w:trHeight w:hRule="exact" w:val="227"/>
        </w:trPr>
        <w:tc>
          <w:tcPr>
            <w:tcW w:w="810" w:type="pct"/>
          </w:tcPr>
          <w:p w14:paraId="038A36D9" w14:textId="77777777" w:rsidR="00C83428" w:rsidRDefault="00C83428" w:rsidP="001A5D4A">
            <w:pPr>
              <w:pStyle w:val="Note-Refs"/>
              <w:rPr>
                <w:b/>
              </w:rPr>
            </w:pPr>
            <w:r>
              <w:t>AASB117.35a(i)</w:t>
            </w:r>
          </w:p>
        </w:tc>
        <w:tc>
          <w:tcPr>
            <w:tcW w:w="2567" w:type="pct"/>
            <w:vAlign w:val="bottom"/>
          </w:tcPr>
          <w:p w14:paraId="038A36DA" w14:textId="77777777" w:rsidR="00C83428" w:rsidRDefault="00C83428" w:rsidP="001A5D4A">
            <w:pPr>
              <w:pStyle w:val="NotesTable-ItemPlain"/>
              <w:rPr>
                <w:b/>
              </w:rPr>
            </w:pPr>
            <w:r>
              <w:t>Within one year</w:t>
            </w:r>
          </w:p>
        </w:tc>
        <w:tc>
          <w:tcPr>
            <w:tcW w:w="406" w:type="pct"/>
          </w:tcPr>
          <w:p w14:paraId="038A36DB" w14:textId="77777777" w:rsidR="00C83428" w:rsidRDefault="00C83428" w:rsidP="001A5D4A">
            <w:pPr>
              <w:pStyle w:val="NotesTable-CellBold"/>
            </w:pPr>
            <w:r>
              <w:t>–</w:t>
            </w:r>
          </w:p>
        </w:tc>
        <w:tc>
          <w:tcPr>
            <w:tcW w:w="406" w:type="pct"/>
          </w:tcPr>
          <w:p w14:paraId="038A36DC" w14:textId="77777777" w:rsidR="00C83428" w:rsidRDefault="00C83428" w:rsidP="001A5D4A">
            <w:pPr>
              <w:pStyle w:val="NotesTable-CellPlain"/>
            </w:pPr>
            <w:r>
              <w:t>–</w:t>
            </w:r>
          </w:p>
        </w:tc>
        <w:tc>
          <w:tcPr>
            <w:tcW w:w="406" w:type="pct"/>
          </w:tcPr>
          <w:p w14:paraId="038A36DD" w14:textId="77777777" w:rsidR="00C83428" w:rsidRDefault="00C83428" w:rsidP="001A5D4A">
            <w:pPr>
              <w:pStyle w:val="NotesTable-CellBold"/>
            </w:pPr>
            <w:r>
              <w:t>–</w:t>
            </w:r>
          </w:p>
        </w:tc>
        <w:tc>
          <w:tcPr>
            <w:tcW w:w="405" w:type="pct"/>
          </w:tcPr>
          <w:p w14:paraId="038A36DE" w14:textId="77777777" w:rsidR="00C83428" w:rsidRDefault="00C83428" w:rsidP="001A5D4A">
            <w:pPr>
              <w:pStyle w:val="NotesTable-CellPlain"/>
            </w:pPr>
            <w:r>
              <w:t>–</w:t>
            </w:r>
          </w:p>
        </w:tc>
      </w:tr>
      <w:tr w:rsidR="00C83428" w14:paraId="038A36E6" w14:textId="77777777" w:rsidTr="005F65FA">
        <w:trPr>
          <w:cantSplit/>
          <w:trHeight w:hRule="exact" w:val="227"/>
        </w:trPr>
        <w:tc>
          <w:tcPr>
            <w:tcW w:w="810" w:type="pct"/>
          </w:tcPr>
          <w:p w14:paraId="038A36E0" w14:textId="77777777" w:rsidR="00C83428" w:rsidRDefault="00C83428" w:rsidP="001A5D4A">
            <w:pPr>
              <w:pStyle w:val="Note-Refs"/>
              <w:rPr>
                <w:b/>
              </w:rPr>
            </w:pPr>
            <w:r>
              <w:t>AASB117.35a(ii)</w:t>
            </w:r>
          </w:p>
        </w:tc>
        <w:tc>
          <w:tcPr>
            <w:tcW w:w="2567" w:type="pct"/>
            <w:vAlign w:val="bottom"/>
          </w:tcPr>
          <w:p w14:paraId="038A36E1" w14:textId="77777777" w:rsidR="00C83428" w:rsidRDefault="00C83428" w:rsidP="001A5D4A">
            <w:pPr>
              <w:pStyle w:val="NotesTable-ItemPlain"/>
              <w:rPr>
                <w:b/>
              </w:rPr>
            </w:pPr>
            <w:r>
              <w:t>Between one and five years</w:t>
            </w:r>
          </w:p>
        </w:tc>
        <w:tc>
          <w:tcPr>
            <w:tcW w:w="406" w:type="pct"/>
          </w:tcPr>
          <w:p w14:paraId="038A36E2" w14:textId="77777777" w:rsidR="00C83428" w:rsidRDefault="00C83428" w:rsidP="001A5D4A">
            <w:pPr>
              <w:pStyle w:val="NotesTable-CellBold"/>
            </w:pPr>
            <w:r>
              <w:t>–</w:t>
            </w:r>
          </w:p>
        </w:tc>
        <w:tc>
          <w:tcPr>
            <w:tcW w:w="406" w:type="pct"/>
          </w:tcPr>
          <w:p w14:paraId="038A36E3" w14:textId="77777777" w:rsidR="00C83428" w:rsidRDefault="00C83428" w:rsidP="001A5D4A">
            <w:pPr>
              <w:pStyle w:val="NotesTable-CellPlain"/>
            </w:pPr>
            <w:r>
              <w:t>–</w:t>
            </w:r>
          </w:p>
        </w:tc>
        <w:tc>
          <w:tcPr>
            <w:tcW w:w="406" w:type="pct"/>
          </w:tcPr>
          <w:p w14:paraId="038A36E4" w14:textId="77777777" w:rsidR="00C83428" w:rsidRDefault="00C83428" w:rsidP="001A5D4A">
            <w:pPr>
              <w:pStyle w:val="NotesTable-CellBold"/>
            </w:pPr>
            <w:r>
              <w:t>–</w:t>
            </w:r>
          </w:p>
        </w:tc>
        <w:tc>
          <w:tcPr>
            <w:tcW w:w="405" w:type="pct"/>
          </w:tcPr>
          <w:p w14:paraId="038A36E5" w14:textId="77777777" w:rsidR="00C83428" w:rsidRDefault="00C83428" w:rsidP="001A5D4A">
            <w:pPr>
              <w:pStyle w:val="NotesTable-CellPlain"/>
            </w:pPr>
            <w:r>
              <w:t>–</w:t>
            </w:r>
          </w:p>
        </w:tc>
      </w:tr>
      <w:tr w:rsidR="00C83428" w14:paraId="038A36ED" w14:textId="77777777" w:rsidTr="005F65FA">
        <w:trPr>
          <w:cantSplit/>
          <w:trHeight w:hRule="exact" w:val="227"/>
        </w:trPr>
        <w:tc>
          <w:tcPr>
            <w:tcW w:w="810" w:type="pct"/>
          </w:tcPr>
          <w:p w14:paraId="038A36E7" w14:textId="77777777" w:rsidR="00C83428" w:rsidRDefault="00C83428" w:rsidP="001A5D4A">
            <w:pPr>
              <w:pStyle w:val="Note-Refs"/>
              <w:rPr>
                <w:b/>
              </w:rPr>
            </w:pPr>
            <w:r>
              <w:t>AASB117.35a(iii)</w:t>
            </w:r>
          </w:p>
        </w:tc>
        <w:tc>
          <w:tcPr>
            <w:tcW w:w="2567" w:type="pct"/>
            <w:vAlign w:val="bottom"/>
          </w:tcPr>
          <w:p w14:paraId="038A36E8" w14:textId="77777777" w:rsidR="00C83428" w:rsidRDefault="00C83428" w:rsidP="001A5D4A">
            <w:pPr>
              <w:pStyle w:val="NotesTable-ItemPlain"/>
              <w:rPr>
                <w:b/>
              </w:rPr>
            </w:pPr>
            <w:r>
              <w:t>Later than five years</w:t>
            </w:r>
          </w:p>
        </w:tc>
        <w:tc>
          <w:tcPr>
            <w:tcW w:w="406" w:type="pct"/>
            <w:tcBorders>
              <w:bottom w:val="single" w:sz="4" w:space="0" w:color="000000"/>
            </w:tcBorders>
          </w:tcPr>
          <w:p w14:paraId="038A36E9" w14:textId="77777777" w:rsidR="00C83428" w:rsidRDefault="00C83428" w:rsidP="001A5D4A">
            <w:pPr>
              <w:pStyle w:val="NotesTable-CellBold"/>
            </w:pPr>
            <w:r>
              <w:t>–</w:t>
            </w:r>
          </w:p>
        </w:tc>
        <w:tc>
          <w:tcPr>
            <w:tcW w:w="406" w:type="pct"/>
            <w:tcBorders>
              <w:bottom w:val="single" w:sz="4" w:space="0" w:color="000000"/>
            </w:tcBorders>
          </w:tcPr>
          <w:p w14:paraId="038A36EA" w14:textId="77777777" w:rsidR="00C83428" w:rsidRDefault="00C83428" w:rsidP="001A5D4A">
            <w:pPr>
              <w:pStyle w:val="NotesTable-CellPlain"/>
            </w:pPr>
            <w:r>
              <w:t>–</w:t>
            </w:r>
          </w:p>
        </w:tc>
        <w:tc>
          <w:tcPr>
            <w:tcW w:w="406" w:type="pct"/>
            <w:tcBorders>
              <w:bottom w:val="single" w:sz="4" w:space="0" w:color="000000"/>
            </w:tcBorders>
          </w:tcPr>
          <w:p w14:paraId="038A36EB" w14:textId="77777777" w:rsidR="00C83428" w:rsidRDefault="00C83428" w:rsidP="001A5D4A">
            <w:pPr>
              <w:pStyle w:val="NotesTable-CellBold"/>
            </w:pPr>
            <w:r>
              <w:t>–</w:t>
            </w:r>
          </w:p>
        </w:tc>
        <w:tc>
          <w:tcPr>
            <w:tcW w:w="405" w:type="pct"/>
            <w:tcBorders>
              <w:bottom w:val="single" w:sz="4" w:space="0" w:color="000000"/>
            </w:tcBorders>
          </w:tcPr>
          <w:p w14:paraId="038A36EC" w14:textId="77777777" w:rsidR="00C83428" w:rsidRDefault="00C83428" w:rsidP="001A5D4A">
            <w:pPr>
              <w:pStyle w:val="NotesTable-CellPlain"/>
            </w:pPr>
            <w:r>
              <w:t>–</w:t>
            </w:r>
          </w:p>
        </w:tc>
      </w:tr>
      <w:tr w:rsidR="00C83428" w14:paraId="038A36F4" w14:textId="77777777" w:rsidTr="005F65FA">
        <w:trPr>
          <w:cantSplit/>
          <w:trHeight w:hRule="exact" w:val="227"/>
        </w:trPr>
        <w:tc>
          <w:tcPr>
            <w:tcW w:w="810" w:type="pct"/>
          </w:tcPr>
          <w:p w14:paraId="038A36EE" w14:textId="77777777" w:rsidR="00C83428" w:rsidRDefault="00C83428" w:rsidP="001A5D4A">
            <w:pPr>
              <w:pStyle w:val="Note-Refs"/>
            </w:pPr>
          </w:p>
        </w:tc>
        <w:tc>
          <w:tcPr>
            <w:tcW w:w="2567" w:type="pct"/>
            <w:vAlign w:val="bottom"/>
          </w:tcPr>
          <w:p w14:paraId="038A36EF" w14:textId="77777777" w:rsidR="00C83428" w:rsidRPr="00CF79CE" w:rsidRDefault="00C83428" w:rsidP="001A5D4A">
            <w:pPr>
              <w:pStyle w:val="NotesTable-ItemPlain"/>
              <w:rPr>
                <w:b/>
              </w:rPr>
            </w:pPr>
            <w:r w:rsidRPr="00CF79CE">
              <w:t xml:space="preserve">Total </w:t>
            </w:r>
            <w:r>
              <w:t>future minimum lease payments</w:t>
            </w:r>
          </w:p>
        </w:tc>
        <w:tc>
          <w:tcPr>
            <w:tcW w:w="406" w:type="pct"/>
            <w:tcBorders>
              <w:top w:val="single" w:sz="4" w:space="0" w:color="000000"/>
            </w:tcBorders>
          </w:tcPr>
          <w:p w14:paraId="038A36F0" w14:textId="77777777" w:rsidR="00C83428" w:rsidRDefault="00C83428" w:rsidP="001A5D4A">
            <w:pPr>
              <w:pStyle w:val="NotesTable-CellBold"/>
            </w:pPr>
            <w:r>
              <w:t>–</w:t>
            </w:r>
          </w:p>
        </w:tc>
        <w:tc>
          <w:tcPr>
            <w:tcW w:w="406" w:type="pct"/>
            <w:tcBorders>
              <w:top w:val="single" w:sz="4" w:space="0" w:color="000000"/>
            </w:tcBorders>
          </w:tcPr>
          <w:p w14:paraId="038A36F1" w14:textId="77777777" w:rsidR="00C83428" w:rsidRDefault="00C83428" w:rsidP="001A5D4A">
            <w:pPr>
              <w:pStyle w:val="NotesTable-CellPlain"/>
            </w:pPr>
            <w:r>
              <w:t>–</w:t>
            </w:r>
          </w:p>
        </w:tc>
        <w:tc>
          <w:tcPr>
            <w:tcW w:w="406" w:type="pct"/>
            <w:tcBorders>
              <w:top w:val="single" w:sz="4" w:space="0" w:color="000000"/>
            </w:tcBorders>
          </w:tcPr>
          <w:p w14:paraId="038A36F2" w14:textId="77777777" w:rsidR="00C83428" w:rsidRDefault="00C83428" w:rsidP="001A5D4A">
            <w:pPr>
              <w:pStyle w:val="NotesTable-CellBold"/>
            </w:pPr>
            <w:r>
              <w:t>–</w:t>
            </w:r>
          </w:p>
        </w:tc>
        <w:tc>
          <w:tcPr>
            <w:tcW w:w="405" w:type="pct"/>
            <w:tcBorders>
              <w:top w:val="single" w:sz="4" w:space="0" w:color="000000"/>
            </w:tcBorders>
          </w:tcPr>
          <w:p w14:paraId="038A36F3" w14:textId="77777777" w:rsidR="00C83428" w:rsidRDefault="00C83428" w:rsidP="001A5D4A">
            <w:pPr>
              <w:pStyle w:val="NotesTable-CellPlain"/>
            </w:pPr>
            <w:r>
              <w:t>–</w:t>
            </w:r>
          </w:p>
        </w:tc>
      </w:tr>
      <w:tr w:rsidR="000B4444" w14:paraId="038A36FA" w14:textId="77777777" w:rsidTr="00463ABD">
        <w:trPr>
          <w:cantSplit/>
          <w:trHeight w:hRule="exact" w:val="227"/>
        </w:trPr>
        <w:tc>
          <w:tcPr>
            <w:tcW w:w="810" w:type="pct"/>
          </w:tcPr>
          <w:p w14:paraId="038A36F8" w14:textId="77777777" w:rsidR="000B4444" w:rsidRDefault="000B4444" w:rsidP="001A5D4A">
            <w:pPr>
              <w:pStyle w:val="Note-Refs"/>
            </w:pPr>
          </w:p>
        </w:tc>
        <w:tc>
          <w:tcPr>
            <w:tcW w:w="4190" w:type="pct"/>
            <w:gridSpan w:val="5"/>
            <w:vAlign w:val="bottom"/>
          </w:tcPr>
          <w:p w14:paraId="038A36F9" w14:textId="77777777" w:rsidR="000B4444" w:rsidRDefault="000B4444" w:rsidP="001A5D4A">
            <w:pPr>
              <w:pStyle w:val="NotesTable-ItemPlain"/>
            </w:pPr>
          </w:p>
        </w:tc>
      </w:tr>
    </w:tbl>
    <w:p w14:paraId="5A2086C2" w14:textId="5283B318" w:rsidR="005F65FA" w:rsidRDefault="005F65FA"/>
    <w:p w14:paraId="217A7E5B" w14:textId="77777777" w:rsidR="005F65FA" w:rsidRDefault="005F65FA">
      <w:pPr>
        <w:spacing w:after="0"/>
      </w:pPr>
      <w:r>
        <w:br w:type="page"/>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5F65FA" w14:paraId="4F6FDFF8" w14:textId="77777777" w:rsidTr="005F65FA">
        <w:trPr>
          <w:cantSplit/>
          <w:trHeight w:hRule="exact" w:val="397"/>
        </w:trPr>
        <w:tc>
          <w:tcPr>
            <w:tcW w:w="5000" w:type="pct"/>
            <w:gridSpan w:val="6"/>
          </w:tcPr>
          <w:p w14:paraId="77248785" w14:textId="05B3EB3F" w:rsidR="005F65FA" w:rsidRDefault="005F65FA" w:rsidP="005F65FA">
            <w:pPr>
              <w:pStyle w:val="TOC3"/>
              <w:ind w:left="0"/>
            </w:pPr>
            <w:r>
              <w:lastRenderedPageBreak/>
              <w:t>Note 41. Commitments (continued)</w:t>
            </w:r>
          </w:p>
        </w:tc>
      </w:tr>
      <w:tr w:rsidR="000B4444" w14:paraId="038A36FD" w14:textId="77777777" w:rsidTr="00463ABD">
        <w:trPr>
          <w:cantSplit/>
          <w:trHeight w:hRule="exact" w:val="227"/>
        </w:trPr>
        <w:tc>
          <w:tcPr>
            <w:tcW w:w="810" w:type="pct"/>
          </w:tcPr>
          <w:p w14:paraId="038A36FB" w14:textId="77777777" w:rsidR="000B4444" w:rsidRDefault="000B4444" w:rsidP="001A5D4A">
            <w:pPr>
              <w:pStyle w:val="Note-Refs"/>
            </w:pPr>
          </w:p>
        </w:tc>
        <w:tc>
          <w:tcPr>
            <w:tcW w:w="4190" w:type="pct"/>
            <w:gridSpan w:val="5"/>
            <w:vAlign w:val="bottom"/>
          </w:tcPr>
          <w:p w14:paraId="038A36FC" w14:textId="77777777" w:rsidR="000B4444" w:rsidRDefault="000B4444" w:rsidP="001A5D4A">
            <w:pPr>
              <w:pStyle w:val="Note-TextSubheader"/>
            </w:pPr>
            <w:r>
              <w:t>(ii) Finance leases</w:t>
            </w:r>
          </w:p>
        </w:tc>
      </w:tr>
      <w:tr w:rsidR="00C83428" w14:paraId="038A3700" w14:textId="77777777" w:rsidTr="00463ABD">
        <w:trPr>
          <w:cantSplit/>
          <w:trHeight w:hRule="exact" w:val="227"/>
        </w:trPr>
        <w:tc>
          <w:tcPr>
            <w:tcW w:w="810" w:type="pct"/>
          </w:tcPr>
          <w:p w14:paraId="038A36FE" w14:textId="77777777" w:rsidR="00C83428" w:rsidRDefault="00C83428" w:rsidP="001A5D4A">
            <w:pPr>
              <w:pStyle w:val="Note-Refs"/>
              <w:rPr>
                <w:b/>
              </w:rPr>
            </w:pPr>
            <w:r>
              <w:t>AASB117.31a,31e</w:t>
            </w:r>
          </w:p>
        </w:tc>
        <w:tc>
          <w:tcPr>
            <w:tcW w:w="4190" w:type="pct"/>
            <w:gridSpan w:val="5"/>
            <w:vAlign w:val="bottom"/>
          </w:tcPr>
          <w:p w14:paraId="038A36FF" w14:textId="4B373DB6" w:rsidR="00C83428" w:rsidRDefault="00C83428" w:rsidP="001A5D4A">
            <w:pPr>
              <w:pStyle w:val="NotesTable-ItemPlain"/>
              <w:rPr>
                <w:b/>
              </w:rPr>
            </w:pPr>
            <w:r>
              <w:t>[</w:t>
            </w:r>
            <w:r w:rsidR="0037038C">
              <w:t>Provide description of finance leases</w:t>
            </w:r>
            <w:r>
              <w:t xml:space="preserve">] </w:t>
            </w:r>
          </w:p>
        </w:tc>
      </w:tr>
      <w:tr w:rsidR="000B4444" w14:paraId="038A3703" w14:textId="77777777" w:rsidTr="00463ABD">
        <w:trPr>
          <w:cantSplit/>
          <w:trHeight w:hRule="exact" w:val="227"/>
        </w:trPr>
        <w:tc>
          <w:tcPr>
            <w:tcW w:w="810" w:type="pct"/>
          </w:tcPr>
          <w:p w14:paraId="038A3701" w14:textId="77777777" w:rsidR="000B4444" w:rsidRDefault="000B4444" w:rsidP="001A5D4A">
            <w:pPr>
              <w:pStyle w:val="Note-Refs"/>
            </w:pPr>
          </w:p>
        </w:tc>
        <w:tc>
          <w:tcPr>
            <w:tcW w:w="4190" w:type="pct"/>
            <w:gridSpan w:val="5"/>
            <w:vAlign w:val="bottom"/>
          </w:tcPr>
          <w:p w14:paraId="038A3702" w14:textId="77777777" w:rsidR="000B4444" w:rsidRDefault="000B4444" w:rsidP="001A5D4A">
            <w:pPr>
              <w:pStyle w:val="NotesTable-ItemPlain"/>
            </w:pPr>
          </w:p>
        </w:tc>
      </w:tr>
      <w:tr w:rsidR="00C83428" w14:paraId="038A3708" w14:textId="77777777" w:rsidTr="005F65FA">
        <w:trPr>
          <w:cantSplit/>
          <w:trHeight w:hRule="exact" w:val="227"/>
        </w:trPr>
        <w:tc>
          <w:tcPr>
            <w:tcW w:w="810" w:type="pct"/>
          </w:tcPr>
          <w:p w14:paraId="038A3704" w14:textId="77777777" w:rsidR="00C83428" w:rsidRDefault="00C83428" w:rsidP="001A5D4A">
            <w:pPr>
              <w:pStyle w:val="Note-Refs"/>
            </w:pPr>
          </w:p>
        </w:tc>
        <w:tc>
          <w:tcPr>
            <w:tcW w:w="2567" w:type="pct"/>
            <w:vAlign w:val="bottom"/>
          </w:tcPr>
          <w:p w14:paraId="038A3705" w14:textId="77777777" w:rsidR="00C83428" w:rsidRDefault="00C83428" w:rsidP="001A5D4A">
            <w:pPr>
              <w:pStyle w:val="NotesTable-ItemPlain"/>
            </w:pPr>
          </w:p>
        </w:tc>
        <w:tc>
          <w:tcPr>
            <w:tcW w:w="812" w:type="pct"/>
            <w:gridSpan w:val="2"/>
          </w:tcPr>
          <w:p w14:paraId="038A3706" w14:textId="77777777" w:rsidR="00C83428" w:rsidRDefault="00C83428" w:rsidP="001A5D4A">
            <w:pPr>
              <w:pStyle w:val="NotesTable-HeadPlain"/>
            </w:pPr>
            <w:r>
              <w:t>Consolidated</w:t>
            </w:r>
          </w:p>
        </w:tc>
        <w:tc>
          <w:tcPr>
            <w:tcW w:w="811" w:type="pct"/>
            <w:gridSpan w:val="2"/>
          </w:tcPr>
          <w:p w14:paraId="038A3707" w14:textId="77777777" w:rsidR="00C83428" w:rsidRDefault="00C83428" w:rsidP="001A5D4A">
            <w:pPr>
              <w:pStyle w:val="NotesTable-HeadPlain"/>
            </w:pPr>
            <w:r>
              <w:t>Parent entity</w:t>
            </w:r>
          </w:p>
        </w:tc>
      </w:tr>
      <w:tr w:rsidR="00C83428" w14:paraId="038A370F" w14:textId="77777777" w:rsidTr="005F65FA">
        <w:trPr>
          <w:cantSplit/>
          <w:trHeight w:hRule="exact" w:val="227"/>
        </w:trPr>
        <w:tc>
          <w:tcPr>
            <w:tcW w:w="810" w:type="pct"/>
          </w:tcPr>
          <w:p w14:paraId="038A3709" w14:textId="77777777" w:rsidR="00C83428" w:rsidRDefault="00C83428" w:rsidP="001A5D4A">
            <w:pPr>
              <w:pStyle w:val="Note-Refs"/>
            </w:pPr>
          </w:p>
        </w:tc>
        <w:tc>
          <w:tcPr>
            <w:tcW w:w="2567" w:type="pct"/>
            <w:vAlign w:val="bottom"/>
          </w:tcPr>
          <w:p w14:paraId="038A370A" w14:textId="77777777" w:rsidR="00C83428" w:rsidRPr="003C77BC" w:rsidRDefault="00C83428" w:rsidP="001A5D4A">
            <w:pPr>
              <w:pStyle w:val="NotesTable-ItemPlain"/>
            </w:pPr>
          </w:p>
        </w:tc>
        <w:tc>
          <w:tcPr>
            <w:tcW w:w="406" w:type="pct"/>
          </w:tcPr>
          <w:p w14:paraId="038A370B" w14:textId="7B3811E1" w:rsidR="00C83428" w:rsidRDefault="006864EC" w:rsidP="001A5D4A">
            <w:pPr>
              <w:pStyle w:val="NotesTable-HeadBold"/>
            </w:pPr>
            <w:r>
              <w:t>2014</w:t>
            </w:r>
          </w:p>
        </w:tc>
        <w:tc>
          <w:tcPr>
            <w:tcW w:w="406" w:type="pct"/>
          </w:tcPr>
          <w:p w14:paraId="038A370C" w14:textId="3112CFAA" w:rsidR="00C83428" w:rsidRDefault="006864EC" w:rsidP="001A5D4A">
            <w:pPr>
              <w:pStyle w:val="NotesTable-HeadPlain"/>
            </w:pPr>
            <w:r>
              <w:t>2013</w:t>
            </w:r>
          </w:p>
        </w:tc>
        <w:tc>
          <w:tcPr>
            <w:tcW w:w="406" w:type="pct"/>
          </w:tcPr>
          <w:p w14:paraId="038A370D" w14:textId="39B56807" w:rsidR="00C83428" w:rsidRDefault="006864EC" w:rsidP="001A5D4A">
            <w:pPr>
              <w:pStyle w:val="NotesTable-HeadBold"/>
              <w:rPr>
                <w:szCs w:val="18"/>
              </w:rPr>
            </w:pPr>
            <w:r>
              <w:t>2014</w:t>
            </w:r>
          </w:p>
        </w:tc>
        <w:tc>
          <w:tcPr>
            <w:tcW w:w="405" w:type="pct"/>
          </w:tcPr>
          <w:p w14:paraId="038A370E" w14:textId="7F64A204" w:rsidR="00C83428" w:rsidRDefault="006864EC" w:rsidP="001A5D4A">
            <w:pPr>
              <w:pStyle w:val="NotesTable-HeadPlain"/>
            </w:pPr>
            <w:r>
              <w:t>2013</w:t>
            </w:r>
          </w:p>
        </w:tc>
      </w:tr>
      <w:tr w:rsidR="00C83428" w14:paraId="038A3716" w14:textId="77777777" w:rsidTr="005F65FA">
        <w:trPr>
          <w:cantSplit/>
          <w:trHeight w:hRule="exact" w:val="227"/>
        </w:trPr>
        <w:tc>
          <w:tcPr>
            <w:tcW w:w="810" w:type="pct"/>
          </w:tcPr>
          <w:p w14:paraId="038A3710" w14:textId="77777777" w:rsidR="00C83428" w:rsidRDefault="00C83428" w:rsidP="001A5D4A">
            <w:pPr>
              <w:pStyle w:val="Note-Refs"/>
            </w:pPr>
          </w:p>
        </w:tc>
        <w:tc>
          <w:tcPr>
            <w:tcW w:w="2567" w:type="pct"/>
            <w:vAlign w:val="bottom"/>
          </w:tcPr>
          <w:p w14:paraId="038A3711" w14:textId="77777777" w:rsidR="00C83428" w:rsidRPr="003C77BC" w:rsidRDefault="00C83428" w:rsidP="001A5D4A">
            <w:pPr>
              <w:pStyle w:val="NotesTable-ItemPlain"/>
            </w:pPr>
          </w:p>
        </w:tc>
        <w:tc>
          <w:tcPr>
            <w:tcW w:w="406" w:type="pct"/>
          </w:tcPr>
          <w:p w14:paraId="038A3712" w14:textId="77777777" w:rsidR="00C83428" w:rsidRDefault="00C83428" w:rsidP="001A5D4A">
            <w:pPr>
              <w:pStyle w:val="NotesTable-HeadBold"/>
            </w:pPr>
            <w:r>
              <w:t>$’000</w:t>
            </w:r>
          </w:p>
        </w:tc>
        <w:tc>
          <w:tcPr>
            <w:tcW w:w="406" w:type="pct"/>
          </w:tcPr>
          <w:p w14:paraId="038A3713" w14:textId="77777777" w:rsidR="00C83428" w:rsidRDefault="00C83428" w:rsidP="001A5D4A">
            <w:pPr>
              <w:pStyle w:val="NotesTable-HeadPlain"/>
            </w:pPr>
            <w:r>
              <w:t>$’000</w:t>
            </w:r>
          </w:p>
        </w:tc>
        <w:tc>
          <w:tcPr>
            <w:tcW w:w="406" w:type="pct"/>
          </w:tcPr>
          <w:p w14:paraId="038A3714" w14:textId="77777777" w:rsidR="00C83428" w:rsidRDefault="00C83428" w:rsidP="001A5D4A">
            <w:pPr>
              <w:pStyle w:val="NotesTable-HeadBold"/>
              <w:rPr>
                <w:szCs w:val="18"/>
              </w:rPr>
            </w:pPr>
            <w:r>
              <w:t>$’000</w:t>
            </w:r>
          </w:p>
        </w:tc>
        <w:tc>
          <w:tcPr>
            <w:tcW w:w="405" w:type="pct"/>
          </w:tcPr>
          <w:p w14:paraId="038A3715" w14:textId="77777777" w:rsidR="00C83428" w:rsidRDefault="00C83428" w:rsidP="001A5D4A">
            <w:pPr>
              <w:pStyle w:val="NotesTable-HeadPlain"/>
            </w:pPr>
            <w:r>
              <w:t>$’000</w:t>
            </w:r>
          </w:p>
        </w:tc>
      </w:tr>
      <w:tr w:rsidR="00317826" w14:paraId="038A3719" w14:textId="77777777" w:rsidTr="00463ABD">
        <w:trPr>
          <w:cantSplit/>
          <w:trHeight w:hRule="exact" w:val="227"/>
        </w:trPr>
        <w:tc>
          <w:tcPr>
            <w:tcW w:w="810" w:type="pct"/>
          </w:tcPr>
          <w:p w14:paraId="038A3717" w14:textId="77777777" w:rsidR="00317826" w:rsidRDefault="00317826" w:rsidP="001A5D4A">
            <w:pPr>
              <w:pStyle w:val="Note-Refs"/>
              <w:rPr>
                <w:b/>
              </w:rPr>
            </w:pPr>
            <w:r>
              <w:t>AASB117.31b</w:t>
            </w:r>
          </w:p>
        </w:tc>
        <w:tc>
          <w:tcPr>
            <w:tcW w:w="4190" w:type="pct"/>
            <w:gridSpan w:val="5"/>
            <w:vAlign w:val="bottom"/>
          </w:tcPr>
          <w:p w14:paraId="038A3718" w14:textId="77777777" w:rsidR="00317826" w:rsidRDefault="00317826" w:rsidP="001A5D4A">
            <w:pPr>
              <w:pStyle w:val="NotesTable-ItemPlain"/>
              <w:rPr>
                <w:b/>
              </w:rPr>
            </w:pPr>
            <w:r>
              <w:t>Commitments in relation to finance leases are payable as follows:</w:t>
            </w:r>
          </w:p>
        </w:tc>
      </w:tr>
      <w:tr w:rsidR="00C83428" w14:paraId="038A3720" w14:textId="77777777" w:rsidTr="005F65FA">
        <w:trPr>
          <w:cantSplit/>
          <w:trHeight w:hRule="exact" w:val="227"/>
        </w:trPr>
        <w:tc>
          <w:tcPr>
            <w:tcW w:w="810" w:type="pct"/>
          </w:tcPr>
          <w:p w14:paraId="038A371A" w14:textId="77777777" w:rsidR="00C83428" w:rsidRDefault="00C83428" w:rsidP="001A5D4A">
            <w:pPr>
              <w:pStyle w:val="Note-Refs"/>
              <w:rPr>
                <w:b/>
              </w:rPr>
            </w:pPr>
            <w:r>
              <w:t>AASB117.31b(i)</w:t>
            </w:r>
          </w:p>
        </w:tc>
        <w:tc>
          <w:tcPr>
            <w:tcW w:w="2567" w:type="pct"/>
            <w:vAlign w:val="bottom"/>
          </w:tcPr>
          <w:p w14:paraId="038A371B" w14:textId="77777777" w:rsidR="00C83428" w:rsidRDefault="00C83428" w:rsidP="001A5D4A">
            <w:pPr>
              <w:pStyle w:val="NotesTable-ItemPlain"/>
              <w:rPr>
                <w:b/>
              </w:rPr>
            </w:pPr>
            <w:r>
              <w:t>Within one year</w:t>
            </w:r>
          </w:p>
        </w:tc>
        <w:tc>
          <w:tcPr>
            <w:tcW w:w="406" w:type="pct"/>
          </w:tcPr>
          <w:p w14:paraId="038A371C" w14:textId="77777777" w:rsidR="00C83428" w:rsidRDefault="00C83428" w:rsidP="001A5D4A">
            <w:pPr>
              <w:pStyle w:val="NotesTable-CellBold"/>
            </w:pPr>
            <w:r>
              <w:t>–</w:t>
            </w:r>
          </w:p>
        </w:tc>
        <w:tc>
          <w:tcPr>
            <w:tcW w:w="406" w:type="pct"/>
          </w:tcPr>
          <w:p w14:paraId="038A371D" w14:textId="77777777" w:rsidR="00C83428" w:rsidRDefault="00C83428" w:rsidP="001A5D4A">
            <w:pPr>
              <w:pStyle w:val="NotesTable-CellPlain"/>
            </w:pPr>
            <w:r>
              <w:t>–</w:t>
            </w:r>
          </w:p>
        </w:tc>
        <w:tc>
          <w:tcPr>
            <w:tcW w:w="406" w:type="pct"/>
          </w:tcPr>
          <w:p w14:paraId="038A371E" w14:textId="77777777" w:rsidR="00C83428" w:rsidRDefault="00C83428" w:rsidP="001A5D4A">
            <w:pPr>
              <w:pStyle w:val="NotesTable-CellBold"/>
            </w:pPr>
            <w:r>
              <w:t>–</w:t>
            </w:r>
          </w:p>
        </w:tc>
        <w:tc>
          <w:tcPr>
            <w:tcW w:w="405" w:type="pct"/>
          </w:tcPr>
          <w:p w14:paraId="038A371F" w14:textId="77777777" w:rsidR="00C83428" w:rsidRDefault="00C83428" w:rsidP="001A5D4A">
            <w:pPr>
              <w:pStyle w:val="NotesTable-CellPlain"/>
            </w:pPr>
            <w:r>
              <w:t>–</w:t>
            </w:r>
          </w:p>
        </w:tc>
      </w:tr>
      <w:tr w:rsidR="00C83428" w14:paraId="038A3727" w14:textId="77777777" w:rsidTr="005F65FA">
        <w:trPr>
          <w:cantSplit/>
          <w:trHeight w:hRule="exact" w:val="227"/>
        </w:trPr>
        <w:tc>
          <w:tcPr>
            <w:tcW w:w="810" w:type="pct"/>
          </w:tcPr>
          <w:p w14:paraId="038A3721" w14:textId="77777777" w:rsidR="00C83428" w:rsidRDefault="00C83428" w:rsidP="001A5D4A">
            <w:pPr>
              <w:pStyle w:val="Note-Refs"/>
              <w:rPr>
                <w:b/>
              </w:rPr>
            </w:pPr>
            <w:r>
              <w:t>AASB117.31b(ii)</w:t>
            </w:r>
          </w:p>
        </w:tc>
        <w:tc>
          <w:tcPr>
            <w:tcW w:w="2567" w:type="pct"/>
            <w:vAlign w:val="bottom"/>
          </w:tcPr>
          <w:p w14:paraId="038A3722" w14:textId="77777777" w:rsidR="00C83428" w:rsidRDefault="00C83428" w:rsidP="001A5D4A">
            <w:pPr>
              <w:pStyle w:val="NotesTable-ItemPlain"/>
              <w:rPr>
                <w:b/>
              </w:rPr>
            </w:pPr>
            <w:r>
              <w:t>Between one and five years</w:t>
            </w:r>
          </w:p>
        </w:tc>
        <w:tc>
          <w:tcPr>
            <w:tcW w:w="406" w:type="pct"/>
          </w:tcPr>
          <w:p w14:paraId="038A3723" w14:textId="77777777" w:rsidR="00C83428" w:rsidRDefault="00C83428" w:rsidP="001A5D4A">
            <w:pPr>
              <w:pStyle w:val="NotesTable-CellBold"/>
            </w:pPr>
            <w:r>
              <w:t>–</w:t>
            </w:r>
          </w:p>
        </w:tc>
        <w:tc>
          <w:tcPr>
            <w:tcW w:w="406" w:type="pct"/>
          </w:tcPr>
          <w:p w14:paraId="038A3724" w14:textId="77777777" w:rsidR="00C83428" w:rsidRDefault="00C83428" w:rsidP="001A5D4A">
            <w:pPr>
              <w:pStyle w:val="NotesTable-CellPlain"/>
            </w:pPr>
            <w:r>
              <w:t>–</w:t>
            </w:r>
          </w:p>
        </w:tc>
        <w:tc>
          <w:tcPr>
            <w:tcW w:w="406" w:type="pct"/>
          </w:tcPr>
          <w:p w14:paraId="038A3725" w14:textId="77777777" w:rsidR="00C83428" w:rsidRDefault="00C83428" w:rsidP="001A5D4A">
            <w:pPr>
              <w:pStyle w:val="NotesTable-CellBold"/>
            </w:pPr>
            <w:r>
              <w:t>–</w:t>
            </w:r>
          </w:p>
        </w:tc>
        <w:tc>
          <w:tcPr>
            <w:tcW w:w="405" w:type="pct"/>
          </w:tcPr>
          <w:p w14:paraId="038A3726" w14:textId="77777777" w:rsidR="00C83428" w:rsidRDefault="00C83428" w:rsidP="001A5D4A">
            <w:pPr>
              <w:pStyle w:val="NotesTable-CellPlain"/>
            </w:pPr>
            <w:r>
              <w:t>–</w:t>
            </w:r>
          </w:p>
        </w:tc>
      </w:tr>
      <w:tr w:rsidR="00C83428" w14:paraId="038A372E" w14:textId="77777777" w:rsidTr="005F65FA">
        <w:trPr>
          <w:cantSplit/>
          <w:trHeight w:hRule="exact" w:val="227"/>
        </w:trPr>
        <w:tc>
          <w:tcPr>
            <w:tcW w:w="810" w:type="pct"/>
          </w:tcPr>
          <w:p w14:paraId="038A3728" w14:textId="77777777" w:rsidR="00C83428" w:rsidRDefault="00C83428" w:rsidP="001A5D4A">
            <w:pPr>
              <w:pStyle w:val="Note-Refs"/>
              <w:rPr>
                <w:b/>
              </w:rPr>
            </w:pPr>
            <w:r>
              <w:t>AASB117.31b(iii)</w:t>
            </w:r>
          </w:p>
        </w:tc>
        <w:tc>
          <w:tcPr>
            <w:tcW w:w="2567" w:type="pct"/>
            <w:vAlign w:val="bottom"/>
          </w:tcPr>
          <w:p w14:paraId="038A3729" w14:textId="77777777" w:rsidR="00C83428" w:rsidRDefault="00C83428" w:rsidP="001A5D4A">
            <w:pPr>
              <w:pStyle w:val="NotesTable-ItemPlain"/>
              <w:rPr>
                <w:b/>
              </w:rPr>
            </w:pPr>
            <w:r>
              <w:t>Later than five years</w:t>
            </w:r>
          </w:p>
        </w:tc>
        <w:tc>
          <w:tcPr>
            <w:tcW w:w="406" w:type="pct"/>
            <w:tcBorders>
              <w:bottom w:val="single" w:sz="4" w:space="0" w:color="000000"/>
            </w:tcBorders>
          </w:tcPr>
          <w:p w14:paraId="038A372A" w14:textId="77777777" w:rsidR="00C83428" w:rsidRDefault="00C83428" w:rsidP="001A5D4A">
            <w:pPr>
              <w:pStyle w:val="NotesTable-CellBold"/>
            </w:pPr>
            <w:r>
              <w:t>–</w:t>
            </w:r>
          </w:p>
        </w:tc>
        <w:tc>
          <w:tcPr>
            <w:tcW w:w="406" w:type="pct"/>
            <w:tcBorders>
              <w:bottom w:val="single" w:sz="4" w:space="0" w:color="000000"/>
            </w:tcBorders>
          </w:tcPr>
          <w:p w14:paraId="038A372B" w14:textId="77777777" w:rsidR="00C83428" w:rsidRDefault="00C83428" w:rsidP="001A5D4A">
            <w:pPr>
              <w:pStyle w:val="NotesTable-CellPlain"/>
            </w:pPr>
            <w:r>
              <w:t>–</w:t>
            </w:r>
          </w:p>
        </w:tc>
        <w:tc>
          <w:tcPr>
            <w:tcW w:w="406" w:type="pct"/>
            <w:tcBorders>
              <w:bottom w:val="single" w:sz="4" w:space="0" w:color="000000"/>
            </w:tcBorders>
          </w:tcPr>
          <w:p w14:paraId="038A372C" w14:textId="77777777" w:rsidR="00C83428" w:rsidRDefault="00C83428" w:rsidP="001A5D4A">
            <w:pPr>
              <w:pStyle w:val="NotesTable-CellBold"/>
            </w:pPr>
            <w:r>
              <w:t>–</w:t>
            </w:r>
          </w:p>
        </w:tc>
        <w:tc>
          <w:tcPr>
            <w:tcW w:w="405" w:type="pct"/>
            <w:tcBorders>
              <w:bottom w:val="single" w:sz="4" w:space="0" w:color="000000"/>
            </w:tcBorders>
          </w:tcPr>
          <w:p w14:paraId="038A372D" w14:textId="77777777" w:rsidR="00C83428" w:rsidRDefault="00C83428" w:rsidP="001A5D4A">
            <w:pPr>
              <w:pStyle w:val="NotesTable-CellPlain"/>
            </w:pPr>
            <w:r>
              <w:t>–</w:t>
            </w:r>
          </w:p>
        </w:tc>
      </w:tr>
      <w:tr w:rsidR="00C83428" w14:paraId="038A3735" w14:textId="77777777" w:rsidTr="005F65FA">
        <w:trPr>
          <w:cantSplit/>
          <w:trHeight w:hRule="exact" w:val="227"/>
        </w:trPr>
        <w:tc>
          <w:tcPr>
            <w:tcW w:w="810" w:type="pct"/>
          </w:tcPr>
          <w:p w14:paraId="038A372F" w14:textId="77777777" w:rsidR="00C83428" w:rsidRDefault="00C83428" w:rsidP="001A5D4A">
            <w:pPr>
              <w:pStyle w:val="Note-Refs"/>
            </w:pPr>
          </w:p>
        </w:tc>
        <w:tc>
          <w:tcPr>
            <w:tcW w:w="2567" w:type="pct"/>
            <w:vAlign w:val="bottom"/>
          </w:tcPr>
          <w:p w14:paraId="038A3730" w14:textId="77777777" w:rsidR="00C83428" w:rsidRDefault="00C83428" w:rsidP="001A5D4A">
            <w:pPr>
              <w:pStyle w:val="NotesTable-ItemPlain"/>
              <w:rPr>
                <w:b/>
              </w:rPr>
            </w:pPr>
            <w:r>
              <w:t>Total future minimum lease payments</w:t>
            </w:r>
          </w:p>
        </w:tc>
        <w:tc>
          <w:tcPr>
            <w:tcW w:w="406" w:type="pct"/>
            <w:tcBorders>
              <w:top w:val="single" w:sz="4" w:space="0" w:color="000000"/>
            </w:tcBorders>
          </w:tcPr>
          <w:p w14:paraId="038A3731" w14:textId="77777777" w:rsidR="00C83428" w:rsidRDefault="00C83428" w:rsidP="001A5D4A">
            <w:pPr>
              <w:pStyle w:val="NotesTable-CellBold"/>
            </w:pPr>
            <w:r>
              <w:t>–</w:t>
            </w:r>
          </w:p>
        </w:tc>
        <w:tc>
          <w:tcPr>
            <w:tcW w:w="406" w:type="pct"/>
            <w:tcBorders>
              <w:top w:val="single" w:sz="4" w:space="0" w:color="000000"/>
            </w:tcBorders>
          </w:tcPr>
          <w:p w14:paraId="038A3732" w14:textId="77777777" w:rsidR="00C83428" w:rsidRDefault="00C83428" w:rsidP="001A5D4A">
            <w:pPr>
              <w:pStyle w:val="NotesTable-CellPlain"/>
            </w:pPr>
            <w:r>
              <w:t>–</w:t>
            </w:r>
          </w:p>
        </w:tc>
        <w:tc>
          <w:tcPr>
            <w:tcW w:w="406" w:type="pct"/>
            <w:tcBorders>
              <w:top w:val="single" w:sz="4" w:space="0" w:color="000000"/>
            </w:tcBorders>
          </w:tcPr>
          <w:p w14:paraId="038A3733" w14:textId="77777777" w:rsidR="00C83428" w:rsidRDefault="00C83428" w:rsidP="001A5D4A">
            <w:pPr>
              <w:pStyle w:val="NotesTable-CellBold"/>
            </w:pPr>
            <w:r>
              <w:t>–</w:t>
            </w:r>
          </w:p>
        </w:tc>
        <w:tc>
          <w:tcPr>
            <w:tcW w:w="405" w:type="pct"/>
            <w:tcBorders>
              <w:top w:val="single" w:sz="4" w:space="0" w:color="000000"/>
            </w:tcBorders>
          </w:tcPr>
          <w:p w14:paraId="038A3734" w14:textId="77777777" w:rsidR="00C83428" w:rsidRDefault="00C83428" w:rsidP="001A5D4A">
            <w:pPr>
              <w:pStyle w:val="NotesTable-CellPlain"/>
            </w:pPr>
            <w:r>
              <w:t>–</w:t>
            </w:r>
          </w:p>
        </w:tc>
      </w:tr>
      <w:tr w:rsidR="00317826" w14:paraId="038A3738" w14:textId="77777777" w:rsidTr="00463ABD">
        <w:trPr>
          <w:cantSplit/>
          <w:trHeight w:hRule="exact" w:val="227"/>
        </w:trPr>
        <w:tc>
          <w:tcPr>
            <w:tcW w:w="810" w:type="pct"/>
          </w:tcPr>
          <w:p w14:paraId="038A3736" w14:textId="77777777" w:rsidR="00317826" w:rsidRDefault="00317826" w:rsidP="001A5D4A">
            <w:pPr>
              <w:pStyle w:val="Note-Refs"/>
            </w:pPr>
          </w:p>
        </w:tc>
        <w:tc>
          <w:tcPr>
            <w:tcW w:w="4190" w:type="pct"/>
            <w:gridSpan w:val="5"/>
            <w:vAlign w:val="bottom"/>
          </w:tcPr>
          <w:p w14:paraId="038A3737" w14:textId="77777777" w:rsidR="00317826" w:rsidRDefault="00317826" w:rsidP="001A5D4A">
            <w:pPr>
              <w:pStyle w:val="NotesTable-ItemPlain"/>
            </w:pPr>
          </w:p>
        </w:tc>
      </w:tr>
      <w:tr w:rsidR="00C83428" w14:paraId="038A373F" w14:textId="77777777" w:rsidTr="005F65FA">
        <w:trPr>
          <w:cantSplit/>
          <w:trHeight w:hRule="exact" w:val="227"/>
        </w:trPr>
        <w:tc>
          <w:tcPr>
            <w:tcW w:w="810" w:type="pct"/>
          </w:tcPr>
          <w:p w14:paraId="038A3739" w14:textId="77777777" w:rsidR="00C83428" w:rsidRDefault="00C83428" w:rsidP="001A5D4A">
            <w:pPr>
              <w:pStyle w:val="Note-Refs"/>
            </w:pPr>
          </w:p>
        </w:tc>
        <w:tc>
          <w:tcPr>
            <w:tcW w:w="2567" w:type="pct"/>
            <w:vAlign w:val="bottom"/>
          </w:tcPr>
          <w:p w14:paraId="038A373A" w14:textId="13AEB648" w:rsidR="00C83428" w:rsidRDefault="00C83428" w:rsidP="001A5D4A">
            <w:pPr>
              <w:pStyle w:val="NotesTable-ItemPlain"/>
              <w:rPr>
                <w:b/>
              </w:rPr>
            </w:pPr>
            <w:r>
              <w:t>Future finance charges</w:t>
            </w:r>
            <w:r w:rsidR="00D67BE8">
              <w:t xml:space="preserve"> </w:t>
            </w:r>
          </w:p>
        </w:tc>
        <w:tc>
          <w:tcPr>
            <w:tcW w:w="406" w:type="pct"/>
            <w:tcBorders>
              <w:bottom w:val="single" w:sz="4" w:space="0" w:color="auto"/>
            </w:tcBorders>
          </w:tcPr>
          <w:p w14:paraId="038A373B" w14:textId="77777777" w:rsidR="00C83428" w:rsidRDefault="00C83428" w:rsidP="001A5D4A">
            <w:pPr>
              <w:pStyle w:val="NotesTable-CellBold"/>
            </w:pPr>
            <w:r>
              <w:t>–</w:t>
            </w:r>
          </w:p>
        </w:tc>
        <w:tc>
          <w:tcPr>
            <w:tcW w:w="406" w:type="pct"/>
            <w:tcBorders>
              <w:bottom w:val="single" w:sz="4" w:space="0" w:color="auto"/>
            </w:tcBorders>
          </w:tcPr>
          <w:p w14:paraId="038A373C" w14:textId="77777777" w:rsidR="00C83428" w:rsidRDefault="00C83428" w:rsidP="001A5D4A">
            <w:pPr>
              <w:pStyle w:val="NotesTable-CellPlain"/>
            </w:pPr>
            <w:r>
              <w:t>–</w:t>
            </w:r>
          </w:p>
        </w:tc>
        <w:tc>
          <w:tcPr>
            <w:tcW w:w="406" w:type="pct"/>
            <w:tcBorders>
              <w:bottom w:val="single" w:sz="4" w:space="0" w:color="auto"/>
            </w:tcBorders>
          </w:tcPr>
          <w:p w14:paraId="038A373D" w14:textId="77777777" w:rsidR="00C83428" w:rsidRDefault="00C83428" w:rsidP="001A5D4A">
            <w:pPr>
              <w:pStyle w:val="NotesTable-CellBold"/>
            </w:pPr>
            <w:r>
              <w:t>–</w:t>
            </w:r>
          </w:p>
        </w:tc>
        <w:tc>
          <w:tcPr>
            <w:tcW w:w="405" w:type="pct"/>
            <w:tcBorders>
              <w:bottom w:val="single" w:sz="4" w:space="0" w:color="auto"/>
            </w:tcBorders>
          </w:tcPr>
          <w:p w14:paraId="038A373E" w14:textId="77777777" w:rsidR="00C83428" w:rsidRDefault="00C83428" w:rsidP="001A5D4A">
            <w:pPr>
              <w:pStyle w:val="NotesTable-CellPlain"/>
            </w:pPr>
            <w:r>
              <w:t>–</w:t>
            </w:r>
          </w:p>
        </w:tc>
      </w:tr>
      <w:tr w:rsidR="001A129F" w14:paraId="706674E4" w14:textId="77777777" w:rsidTr="005F65FA">
        <w:trPr>
          <w:cantSplit/>
          <w:trHeight w:hRule="exact" w:val="227"/>
        </w:trPr>
        <w:tc>
          <w:tcPr>
            <w:tcW w:w="810" w:type="pct"/>
          </w:tcPr>
          <w:p w14:paraId="53F6BC93" w14:textId="77777777" w:rsidR="001A129F" w:rsidRDefault="001A129F" w:rsidP="001A5D4A">
            <w:pPr>
              <w:pStyle w:val="Note-Refs"/>
            </w:pPr>
          </w:p>
        </w:tc>
        <w:tc>
          <w:tcPr>
            <w:tcW w:w="2567" w:type="pct"/>
            <w:vAlign w:val="bottom"/>
          </w:tcPr>
          <w:p w14:paraId="3BAD44FF" w14:textId="64D7B4E4" w:rsidR="001A129F" w:rsidRDefault="001A129F" w:rsidP="001A5D4A">
            <w:pPr>
              <w:pStyle w:val="NotesTable-ItemPlain"/>
            </w:pPr>
            <w:r>
              <w:t>Finance lease liabilities</w:t>
            </w:r>
          </w:p>
        </w:tc>
        <w:tc>
          <w:tcPr>
            <w:tcW w:w="406" w:type="pct"/>
            <w:tcBorders>
              <w:top w:val="single" w:sz="4" w:space="0" w:color="auto"/>
            </w:tcBorders>
          </w:tcPr>
          <w:p w14:paraId="013CAC34" w14:textId="2A88F510" w:rsidR="001A129F" w:rsidRDefault="001A129F" w:rsidP="001A5D4A">
            <w:pPr>
              <w:pStyle w:val="NotesTable-CellBold"/>
            </w:pPr>
            <w:r>
              <w:t>–</w:t>
            </w:r>
          </w:p>
        </w:tc>
        <w:tc>
          <w:tcPr>
            <w:tcW w:w="406" w:type="pct"/>
            <w:tcBorders>
              <w:top w:val="single" w:sz="4" w:space="0" w:color="auto"/>
            </w:tcBorders>
          </w:tcPr>
          <w:p w14:paraId="0FA6F7E6" w14:textId="632E3B8E" w:rsidR="001A129F" w:rsidRDefault="001A129F" w:rsidP="001A5D4A">
            <w:pPr>
              <w:pStyle w:val="NotesTable-CellPlain"/>
            </w:pPr>
            <w:r>
              <w:t>–</w:t>
            </w:r>
          </w:p>
        </w:tc>
        <w:tc>
          <w:tcPr>
            <w:tcW w:w="406" w:type="pct"/>
            <w:tcBorders>
              <w:top w:val="single" w:sz="4" w:space="0" w:color="auto"/>
            </w:tcBorders>
          </w:tcPr>
          <w:p w14:paraId="1380DE18" w14:textId="7FAFA121" w:rsidR="001A129F" w:rsidRDefault="001A129F" w:rsidP="001A5D4A">
            <w:pPr>
              <w:pStyle w:val="NotesTable-CellBold"/>
            </w:pPr>
            <w:r>
              <w:t>–</w:t>
            </w:r>
          </w:p>
        </w:tc>
        <w:tc>
          <w:tcPr>
            <w:tcW w:w="405" w:type="pct"/>
            <w:tcBorders>
              <w:top w:val="single" w:sz="4" w:space="0" w:color="auto"/>
            </w:tcBorders>
          </w:tcPr>
          <w:p w14:paraId="51D4EBCA" w14:textId="0FC57A6F" w:rsidR="001A129F" w:rsidRDefault="001A129F" w:rsidP="001A5D4A">
            <w:pPr>
              <w:pStyle w:val="NotesTable-CellPlain"/>
            </w:pPr>
            <w:r>
              <w:t>–</w:t>
            </w:r>
          </w:p>
        </w:tc>
      </w:tr>
      <w:tr w:rsidR="00D67BE8" w14:paraId="038A3742" w14:textId="77777777" w:rsidTr="00463ABD">
        <w:trPr>
          <w:cantSplit/>
          <w:trHeight w:hRule="exact" w:val="227"/>
        </w:trPr>
        <w:tc>
          <w:tcPr>
            <w:tcW w:w="810" w:type="pct"/>
          </w:tcPr>
          <w:p w14:paraId="038A3740" w14:textId="77777777" w:rsidR="00D67BE8" w:rsidRDefault="00D67BE8" w:rsidP="001A5D4A">
            <w:pPr>
              <w:pStyle w:val="Note-Refs"/>
            </w:pPr>
          </w:p>
        </w:tc>
        <w:tc>
          <w:tcPr>
            <w:tcW w:w="4190" w:type="pct"/>
            <w:gridSpan w:val="5"/>
            <w:vAlign w:val="bottom"/>
          </w:tcPr>
          <w:p w14:paraId="038A3741" w14:textId="77777777" w:rsidR="00D67BE8" w:rsidRDefault="00D67BE8" w:rsidP="001A5D4A">
            <w:pPr>
              <w:pStyle w:val="NotesTable-ItemPlain"/>
            </w:pPr>
          </w:p>
        </w:tc>
      </w:tr>
      <w:tr w:rsidR="00C83428" w14:paraId="038A3749" w14:textId="77777777" w:rsidTr="005F65FA">
        <w:trPr>
          <w:cantSplit/>
          <w:trHeight w:val="227"/>
        </w:trPr>
        <w:tc>
          <w:tcPr>
            <w:tcW w:w="810" w:type="pct"/>
          </w:tcPr>
          <w:p w14:paraId="038A3743" w14:textId="77777777" w:rsidR="00C83428" w:rsidRDefault="00C83428" w:rsidP="001A5D4A">
            <w:pPr>
              <w:pStyle w:val="Note-Refs"/>
            </w:pPr>
          </w:p>
        </w:tc>
        <w:tc>
          <w:tcPr>
            <w:tcW w:w="2567" w:type="pct"/>
            <w:vAlign w:val="bottom"/>
          </w:tcPr>
          <w:p w14:paraId="038A3744" w14:textId="77777777" w:rsidR="00C83428" w:rsidRDefault="00C83428" w:rsidP="001A5D4A">
            <w:pPr>
              <w:pStyle w:val="NotesTable-ItemPlain"/>
              <w:rPr>
                <w:b/>
              </w:rPr>
            </w:pPr>
            <w:r>
              <w:t>Lease incentives on non-cancellable operating leases included in lease liabilities</w:t>
            </w:r>
          </w:p>
        </w:tc>
        <w:tc>
          <w:tcPr>
            <w:tcW w:w="406" w:type="pct"/>
            <w:tcBorders>
              <w:bottom w:val="single" w:sz="4" w:space="0" w:color="000000"/>
            </w:tcBorders>
            <w:vAlign w:val="bottom"/>
          </w:tcPr>
          <w:p w14:paraId="038A3745" w14:textId="77777777" w:rsidR="00C83428" w:rsidRDefault="00C83428" w:rsidP="001A5D4A">
            <w:pPr>
              <w:pStyle w:val="NotesTable-CellBold"/>
            </w:pPr>
            <w:r>
              <w:t>–</w:t>
            </w:r>
          </w:p>
        </w:tc>
        <w:tc>
          <w:tcPr>
            <w:tcW w:w="406" w:type="pct"/>
            <w:tcBorders>
              <w:bottom w:val="single" w:sz="4" w:space="0" w:color="000000"/>
            </w:tcBorders>
            <w:vAlign w:val="bottom"/>
          </w:tcPr>
          <w:p w14:paraId="038A3746" w14:textId="77777777" w:rsidR="00C83428" w:rsidRDefault="00C83428" w:rsidP="001A5D4A">
            <w:pPr>
              <w:pStyle w:val="NotesTable-CellPlain"/>
            </w:pPr>
            <w:r>
              <w:t>–</w:t>
            </w:r>
          </w:p>
        </w:tc>
        <w:tc>
          <w:tcPr>
            <w:tcW w:w="406" w:type="pct"/>
            <w:tcBorders>
              <w:bottom w:val="single" w:sz="4" w:space="0" w:color="000000"/>
            </w:tcBorders>
            <w:vAlign w:val="bottom"/>
          </w:tcPr>
          <w:p w14:paraId="038A3747" w14:textId="77777777" w:rsidR="00C83428" w:rsidRDefault="00C83428" w:rsidP="001A5D4A">
            <w:pPr>
              <w:pStyle w:val="NotesTable-CellBold"/>
            </w:pPr>
            <w:r>
              <w:t>–</w:t>
            </w:r>
          </w:p>
        </w:tc>
        <w:tc>
          <w:tcPr>
            <w:tcW w:w="405" w:type="pct"/>
            <w:tcBorders>
              <w:bottom w:val="single" w:sz="4" w:space="0" w:color="000000"/>
            </w:tcBorders>
            <w:vAlign w:val="bottom"/>
          </w:tcPr>
          <w:p w14:paraId="038A3748" w14:textId="77777777" w:rsidR="00C83428" w:rsidRDefault="00C83428" w:rsidP="001A5D4A">
            <w:pPr>
              <w:pStyle w:val="NotesTable-CellPlain"/>
            </w:pPr>
            <w:r>
              <w:t>–</w:t>
            </w:r>
          </w:p>
        </w:tc>
      </w:tr>
      <w:tr w:rsidR="00C83428" w14:paraId="038A3750" w14:textId="77777777" w:rsidTr="005F65FA">
        <w:trPr>
          <w:cantSplit/>
          <w:trHeight w:hRule="exact" w:val="227"/>
        </w:trPr>
        <w:tc>
          <w:tcPr>
            <w:tcW w:w="810" w:type="pct"/>
          </w:tcPr>
          <w:p w14:paraId="038A374A" w14:textId="77777777" w:rsidR="00C83428" w:rsidRDefault="00C83428" w:rsidP="001A5D4A">
            <w:pPr>
              <w:pStyle w:val="Note-Refs"/>
            </w:pPr>
          </w:p>
        </w:tc>
        <w:tc>
          <w:tcPr>
            <w:tcW w:w="2567" w:type="pct"/>
            <w:vAlign w:val="bottom"/>
          </w:tcPr>
          <w:p w14:paraId="038A374B" w14:textId="77777777" w:rsidR="00C83428" w:rsidRDefault="00C83428" w:rsidP="001A5D4A">
            <w:pPr>
              <w:pStyle w:val="NotesTable-ItemPlain"/>
              <w:rPr>
                <w:b/>
              </w:rPr>
            </w:pPr>
            <w:r>
              <w:t>Total lease liabilities</w:t>
            </w:r>
          </w:p>
        </w:tc>
        <w:tc>
          <w:tcPr>
            <w:tcW w:w="406" w:type="pct"/>
            <w:tcBorders>
              <w:top w:val="single" w:sz="4" w:space="0" w:color="000000"/>
            </w:tcBorders>
          </w:tcPr>
          <w:p w14:paraId="038A374C" w14:textId="77777777" w:rsidR="00C83428" w:rsidRDefault="00C83428" w:rsidP="001A5D4A">
            <w:pPr>
              <w:pStyle w:val="NotesTable-CellBold"/>
            </w:pPr>
            <w:r>
              <w:t>–</w:t>
            </w:r>
          </w:p>
        </w:tc>
        <w:tc>
          <w:tcPr>
            <w:tcW w:w="406" w:type="pct"/>
            <w:tcBorders>
              <w:top w:val="single" w:sz="4" w:space="0" w:color="000000"/>
            </w:tcBorders>
          </w:tcPr>
          <w:p w14:paraId="038A374D" w14:textId="77777777" w:rsidR="00C83428" w:rsidRDefault="00C83428" w:rsidP="001A5D4A">
            <w:pPr>
              <w:pStyle w:val="NotesTable-CellPlain"/>
            </w:pPr>
            <w:r>
              <w:t>–</w:t>
            </w:r>
          </w:p>
        </w:tc>
        <w:tc>
          <w:tcPr>
            <w:tcW w:w="406" w:type="pct"/>
            <w:tcBorders>
              <w:top w:val="single" w:sz="4" w:space="0" w:color="000000"/>
            </w:tcBorders>
          </w:tcPr>
          <w:p w14:paraId="038A374E" w14:textId="77777777" w:rsidR="00C83428" w:rsidRDefault="00C83428" w:rsidP="001A5D4A">
            <w:pPr>
              <w:pStyle w:val="NotesTable-CellBold"/>
            </w:pPr>
            <w:r>
              <w:t>–</w:t>
            </w:r>
          </w:p>
        </w:tc>
        <w:tc>
          <w:tcPr>
            <w:tcW w:w="405" w:type="pct"/>
            <w:tcBorders>
              <w:top w:val="single" w:sz="4" w:space="0" w:color="000000"/>
            </w:tcBorders>
          </w:tcPr>
          <w:p w14:paraId="038A374F" w14:textId="77777777" w:rsidR="00C83428" w:rsidRDefault="00C83428" w:rsidP="001A5D4A">
            <w:pPr>
              <w:pStyle w:val="NotesTable-CellPlain"/>
            </w:pPr>
            <w:r>
              <w:t>–</w:t>
            </w:r>
          </w:p>
        </w:tc>
      </w:tr>
      <w:tr w:rsidR="00C83428" w14:paraId="038A3757" w14:textId="77777777" w:rsidTr="005F65FA">
        <w:trPr>
          <w:cantSplit/>
          <w:trHeight w:hRule="exact" w:val="227"/>
        </w:trPr>
        <w:tc>
          <w:tcPr>
            <w:tcW w:w="810" w:type="pct"/>
          </w:tcPr>
          <w:p w14:paraId="038A3751" w14:textId="77777777" w:rsidR="00C83428" w:rsidRDefault="00C83428" w:rsidP="001A5D4A">
            <w:pPr>
              <w:pStyle w:val="Note-Refs"/>
            </w:pPr>
          </w:p>
        </w:tc>
        <w:tc>
          <w:tcPr>
            <w:tcW w:w="2567" w:type="pct"/>
            <w:vAlign w:val="bottom"/>
          </w:tcPr>
          <w:p w14:paraId="038A3752" w14:textId="77777777" w:rsidR="00C83428" w:rsidRDefault="00C83428" w:rsidP="001A5D4A">
            <w:pPr>
              <w:pStyle w:val="NotesTable-ItemPlain"/>
            </w:pPr>
          </w:p>
        </w:tc>
        <w:tc>
          <w:tcPr>
            <w:tcW w:w="406" w:type="pct"/>
          </w:tcPr>
          <w:p w14:paraId="038A3753" w14:textId="77777777" w:rsidR="00C83428" w:rsidRDefault="00C83428" w:rsidP="001A5D4A">
            <w:pPr>
              <w:pStyle w:val="NotesTable-CellBold"/>
            </w:pPr>
          </w:p>
        </w:tc>
        <w:tc>
          <w:tcPr>
            <w:tcW w:w="406" w:type="pct"/>
          </w:tcPr>
          <w:p w14:paraId="038A3754" w14:textId="77777777" w:rsidR="00C83428" w:rsidRDefault="00C83428" w:rsidP="001A5D4A">
            <w:pPr>
              <w:pStyle w:val="NotesTable-CellPlain"/>
            </w:pPr>
          </w:p>
        </w:tc>
        <w:tc>
          <w:tcPr>
            <w:tcW w:w="406" w:type="pct"/>
          </w:tcPr>
          <w:p w14:paraId="038A3755" w14:textId="77777777" w:rsidR="00C83428" w:rsidRDefault="00C83428" w:rsidP="001A5D4A">
            <w:pPr>
              <w:pStyle w:val="NotesTable-CellBold"/>
            </w:pPr>
          </w:p>
        </w:tc>
        <w:tc>
          <w:tcPr>
            <w:tcW w:w="405" w:type="pct"/>
          </w:tcPr>
          <w:p w14:paraId="038A3756" w14:textId="77777777" w:rsidR="00C83428" w:rsidRDefault="00C83428" w:rsidP="001A5D4A">
            <w:pPr>
              <w:pStyle w:val="NotesTable-CellPlain"/>
            </w:pPr>
          </w:p>
        </w:tc>
      </w:tr>
      <w:tr w:rsidR="00C83428" w14:paraId="038A375E" w14:textId="77777777" w:rsidTr="005F65FA">
        <w:trPr>
          <w:cantSplit/>
          <w:trHeight w:hRule="exact" w:val="227"/>
        </w:trPr>
        <w:tc>
          <w:tcPr>
            <w:tcW w:w="810" w:type="pct"/>
          </w:tcPr>
          <w:p w14:paraId="038A3758" w14:textId="77777777" w:rsidR="00C83428" w:rsidRDefault="00C83428" w:rsidP="001A5D4A">
            <w:pPr>
              <w:pStyle w:val="Note-Refs"/>
            </w:pPr>
          </w:p>
        </w:tc>
        <w:tc>
          <w:tcPr>
            <w:tcW w:w="2567" w:type="pct"/>
            <w:vAlign w:val="bottom"/>
          </w:tcPr>
          <w:p w14:paraId="038A3759" w14:textId="77777777" w:rsidR="00C83428" w:rsidRDefault="00C83428" w:rsidP="001A5D4A">
            <w:pPr>
              <w:pStyle w:val="NotesTable-ItemPlain"/>
              <w:rPr>
                <w:b/>
              </w:rPr>
            </w:pPr>
            <w:r>
              <w:t>Representing lease liabilities:</w:t>
            </w:r>
          </w:p>
        </w:tc>
        <w:tc>
          <w:tcPr>
            <w:tcW w:w="406" w:type="pct"/>
          </w:tcPr>
          <w:p w14:paraId="038A375A" w14:textId="77777777" w:rsidR="00C83428" w:rsidRDefault="00C83428" w:rsidP="001A5D4A">
            <w:pPr>
              <w:pStyle w:val="NotesTable-CellBold"/>
            </w:pPr>
          </w:p>
        </w:tc>
        <w:tc>
          <w:tcPr>
            <w:tcW w:w="406" w:type="pct"/>
          </w:tcPr>
          <w:p w14:paraId="038A375B" w14:textId="77777777" w:rsidR="00C83428" w:rsidRDefault="00C83428" w:rsidP="001A5D4A">
            <w:pPr>
              <w:pStyle w:val="NotesTable-CellPlain"/>
            </w:pPr>
          </w:p>
        </w:tc>
        <w:tc>
          <w:tcPr>
            <w:tcW w:w="406" w:type="pct"/>
          </w:tcPr>
          <w:p w14:paraId="038A375C" w14:textId="77777777" w:rsidR="00C83428" w:rsidRDefault="00C83428" w:rsidP="001A5D4A">
            <w:pPr>
              <w:pStyle w:val="NotesTable-CellBold"/>
            </w:pPr>
          </w:p>
        </w:tc>
        <w:tc>
          <w:tcPr>
            <w:tcW w:w="405" w:type="pct"/>
          </w:tcPr>
          <w:p w14:paraId="038A375D" w14:textId="77777777" w:rsidR="00C83428" w:rsidRDefault="00C83428" w:rsidP="001A5D4A">
            <w:pPr>
              <w:pStyle w:val="NotesTable-CellPlain"/>
            </w:pPr>
          </w:p>
        </w:tc>
      </w:tr>
      <w:tr w:rsidR="00C83428" w14:paraId="038A3765" w14:textId="77777777" w:rsidTr="005F65FA">
        <w:trPr>
          <w:cantSplit/>
          <w:trHeight w:hRule="exact" w:val="227"/>
        </w:trPr>
        <w:tc>
          <w:tcPr>
            <w:tcW w:w="810" w:type="pct"/>
          </w:tcPr>
          <w:p w14:paraId="038A375F" w14:textId="77777777" w:rsidR="00C83428" w:rsidRDefault="00C83428" w:rsidP="001A5D4A">
            <w:pPr>
              <w:pStyle w:val="Note-Refs"/>
            </w:pPr>
          </w:p>
        </w:tc>
        <w:tc>
          <w:tcPr>
            <w:tcW w:w="2567" w:type="pct"/>
            <w:vAlign w:val="bottom"/>
          </w:tcPr>
          <w:p w14:paraId="038A3760" w14:textId="77777777" w:rsidR="00C83428" w:rsidRDefault="00C83428" w:rsidP="001A5D4A">
            <w:pPr>
              <w:pStyle w:val="NotesTable-ItemPlain"/>
              <w:rPr>
                <w:b/>
              </w:rPr>
            </w:pPr>
            <w:r>
              <w:t xml:space="preserve">Current </w:t>
            </w:r>
          </w:p>
        </w:tc>
        <w:tc>
          <w:tcPr>
            <w:tcW w:w="406" w:type="pct"/>
          </w:tcPr>
          <w:p w14:paraId="038A3761" w14:textId="77777777" w:rsidR="00C83428" w:rsidRDefault="00C83428" w:rsidP="001A5D4A">
            <w:pPr>
              <w:pStyle w:val="NotesTable-CellBold"/>
            </w:pPr>
            <w:r>
              <w:t>–</w:t>
            </w:r>
          </w:p>
        </w:tc>
        <w:tc>
          <w:tcPr>
            <w:tcW w:w="406" w:type="pct"/>
          </w:tcPr>
          <w:p w14:paraId="038A3762" w14:textId="77777777" w:rsidR="00C83428" w:rsidRDefault="00C83428" w:rsidP="001A5D4A">
            <w:pPr>
              <w:pStyle w:val="NotesTable-CellPlain"/>
            </w:pPr>
            <w:r>
              <w:t>–</w:t>
            </w:r>
          </w:p>
        </w:tc>
        <w:tc>
          <w:tcPr>
            <w:tcW w:w="406" w:type="pct"/>
          </w:tcPr>
          <w:p w14:paraId="038A3763" w14:textId="77777777" w:rsidR="00C83428" w:rsidRDefault="00C83428" w:rsidP="001A5D4A">
            <w:pPr>
              <w:pStyle w:val="NotesTable-CellBold"/>
            </w:pPr>
            <w:r>
              <w:t>–</w:t>
            </w:r>
          </w:p>
        </w:tc>
        <w:tc>
          <w:tcPr>
            <w:tcW w:w="405" w:type="pct"/>
          </w:tcPr>
          <w:p w14:paraId="038A3764" w14:textId="77777777" w:rsidR="00C83428" w:rsidRDefault="00C83428" w:rsidP="001A5D4A">
            <w:pPr>
              <w:pStyle w:val="NotesTable-CellPlain"/>
            </w:pPr>
            <w:r>
              <w:t>–</w:t>
            </w:r>
          </w:p>
        </w:tc>
      </w:tr>
      <w:tr w:rsidR="00C83428" w14:paraId="038A376C" w14:textId="77777777" w:rsidTr="005F65FA">
        <w:trPr>
          <w:cantSplit/>
          <w:trHeight w:hRule="exact" w:val="227"/>
        </w:trPr>
        <w:tc>
          <w:tcPr>
            <w:tcW w:w="810" w:type="pct"/>
          </w:tcPr>
          <w:p w14:paraId="038A3766" w14:textId="77777777" w:rsidR="00C83428" w:rsidRDefault="00C83428" w:rsidP="001A5D4A">
            <w:pPr>
              <w:pStyle w:val="Note-Refs"/>
            </w:pPr>
          </w:p>
        </w:tc>
        <w:tc>
          <w:tcPr>
            <w:tcW w:w="2567" w:type="pct"/>
            <w:vAlign w:val="bottom"/>
          </w:tcPr>
          <w:p w14:paraId="038A3767" w14:textId="77777777" w:rsidR="00C83428" w:rsidRDefault="00C83428" w:rsidP="001A5D4A">
            <w:pPr>
              <w:pStyle w:val="NotesTable-ItemPlain"/>
              <w:rPr>
                <w:b/>
              </w:rPr>
            </w:pPr>
            <w:r>
              <w:t xml:space="preserve">Non-current </w:t>
            </w:r>
          </w:p>
        </w:tc>
        <w:tc>
          <w:tcPr>
            <w:tcW w:w="406" w:type="pct"/>
            <w:tcBorders>
              <w:bottom w:val="single" w:sz="4" w:space="0" w:color="000000"/>
            </w:tcBorders>
          </w:tcPr>
          <w:p w14:paraId="038A3768" w14:textId="77777777" w:rsidR="00C83428" w:rsidRDefault="00C83428" w:rsidP="001A5D4A">
            <w:pPr>
              <w:pStyle w:val="NotesTable-CellBold"/>
            </w:pPr>
            <w:r>
              <w:t>–</w:t>
            </w:r>
          </w:p>
        </w:tc>
        <w:tc>
          <w:tcPr>
            <w:tcW w:w="406" w:type="pct"/>
            <w:tcBorders>
              <w:bottom w:val="single" w:sz="4" w:space="0" w:color="000000"/>
            </w:tcBorders>
          </w:tcPr>
          <w:p w14:paraId="038A3769" w14:textId="77777777" w:rsidR="00C83428" w:rsidRDefault="00C83428" w:rsidP="001A5D4A">
            <w:pPr>
              <w:pStyle w:val="NotesTable-CellPlain"/>
            </w:pPr>
            <w:r>
              <w:t>–</w:t>
            </w:r>
          </w:p>
        </w:tc>
        <w:tc>
          <w:tcPr>
            <w:tcW w:w="406" w:type="pct"/>
            <w:tcBorders>
              <w:bottom w:val="single" w:sz="4" w:space="0" w:color="000000"/>
            </w:tcBorders>
          </w:tcPr>
          <w:p w14:paraId="038A376A" w14:textId="77777777" w:rsidR="00C83428" w:rsidRDefault="00C83428" w:rsidP="001A5D4A">
            <w:pPr>
              <w:pStyle w:val="NotesTable-CellBold"/>
            </w:pPr>
            <w:r>
              <w:t>–</w:t>
            </w:r>
          </w:p>
        </w:tc>
        <w:tc>
          <w:tcPr>
            <w:tcW w:w="405" w:type="pct"/>
            <w:tcBorders>
              <w:bottom w:val="single" w:sz="4" w:space="0" w:color="000000"/>
            </w:tcBorders>
          </w:tcPr>
          <w:p w14:paraId="038A376B" w14:textId="77777777" w:rsidR="00C83428" w:rsidRDefault="00C83428" w:rsidP="001A5D4A">
            <w:pPr>
              <w:pStyle w:val="NotesTable-CellPlain"/>
            </w:pPr>
            <w:r>
              <w:t>–</w:t>
            </w:r>
          </w:p>
        </w:tc>
      </w:tr>
      <w:tr w:rsidR="00C83428" w14:paraId="038A3773" w14:textId="77777777" w:rsidTr="005F65FA">
        <w:trPr>
          <w:cantSplit/>
          <w:trHeight w:hRule="exact" w:val="227"/>
        </w:trPr>
        <w:tc>
          <w:tcPr>
            <w:tcW w:w="810" w:type="pct"/>
          </w:tcPr>
          <w:p w14:paraId="038A376D" w14:textId="77777777" w:rsidR="00C83428" w:rsidRDefault="00C83428" w:rsidP="001A5D4A">
            <w:pPr>
              <w:pStyle w:val="Note-Refs"/>
            </w:pPr>
          </w:p>
        </w:tc>
        <w:tc>
          <w:tcPr>
            <w:tcW w:w="2567" w:type="pct"/>
            <w:vAlign w:val="bottom"/>
          </w:tcPr>
          <w:p w14:paraId="038A376E" w14:textId="77777777" w:rsidR="00C83428" w:rsidRDefault="000721FB" w:rsidP="001A5D4A">
            <w:pPr>
              <w:pStyle w:val="NotesTable-ItemPlain"/>
            </w:pPr>
            <w:r>
              <w:t>Total lease liabilities</w:t>
            </w:r>
          </w:p>
        </w:tc>
        <w:tc>
          <w:tcPr>
            <w:tcW w:w="406" w:type="pct"/>
            <w:tcBorders>
              <w:top w:val="single" w:sz="4" w:space="0" w:color="000000"/>
            </w:tcBorders>
          </w:tcPr>
          <w:p w14:paraId="038A376F" w14:textId="77777777" w:rsidR="00C83428" w:rsidRDefault="00C83428" w:rsidP="001A5D4A">
            <w:pPr>
              <w:pStyle w:val="NotesTable-CellBold"/>
            </w:pPr>
            <w:r>
              <w:t>–</w:t>
            </w:r>
          </w:p>
        </w:tc>
        <w:tc>
          <w:tcPr>
            <w:tcW w:w="406" w:type="pct"/>
            <w:tcBorders>
              <w:top w:val="single" w:sz="4" w:space="0" w:color="000000"/>
            </w:tcBorders>
          </w:tcPr>
          <w:p w14:paraId="038A3770" w14:textId="77777777" w:rsidR="00C83428" w:rsidRDefault="00C83428" w:rsidP="001A5D4A">
            <w:pPr>
              <w:pStyle w:val="NotesTable-CellPlain"/>
            </w:pPr>
            <w:r>
              <w:t>–</w:t>
            </w:r>
          </w:p>
        </w:tc>
        <w:tc>
          <w:tcPr>
            <w:tcW w:w="406" w:type="pct"/>
            <w:tcBorders>
              <w:top w:val="single" w:sz="4" w:space="0" w:color="000000"/>
            </w:tcBorders>
          </w:tcPr>
          <w:p w14:paraId="038A3771" w14:textId="77777777" w:rsidR="00C83428" w:rsidRDefault="00C83428" w:rsidP="001A5D4A">
            <w:pPr>
              <w:pStyle w:val="NotesTable-CellBold"/>
            </w:pPr>
            <w:r>
              <w:t>–</w:t>
            </w:r>
          </w:p>
        </w:tc>
        <w:tc>
          <w:tcPr>
            <w:tcW w:w="405" w:type="pct"/>
            <w:tcBorders>
              <w:top w:val="single" w:sz="4" w:space="0" w:color="000000"/>
            </w:tcBorders>
          </w:tcPr>
          <w:p w14:paraId="038A3772" w14:textId="77777777" w:rsidR="00C83428" w:rsidRDefault="00C83428" w:rsidP="001A5D4A">
            <w:pPr>
              <w:pStyle w:val="NotesTable-CellPlain"/>
            </w:pPr>
            <w:r>
              <w:t>–</w:t>
            </w:r>
          </w:p>
        </w:tc>
      </w:tr>
      <w:tr w:rsidR="000721FB" w14:paraId="038A3776" w14:textId="77777777" w:rsidTr="00463ABD">
        <w:trPr>
          <w:cantSplit/>
          <w:trHeight w:hRule="exact" w:val="227"/>
        </w:trPr>
        <w:tc>
          <w:tcPr>
            <w:tcW w:w="810" w:type="pct"/>
          </w:tcPr>
          <w:p w14:paraId="038A3774" w14:textId="77777777" w:rsidR="000721FB" w:rsidRDefault="000721FB" w:rsidP="001A5D4A">
            <w:pPr>
              <w:pStyle w:val="Note-Refs"/>
            </w:pPr>
          </w:p>
        </w:tc>
        <w:tc>
          <w:tcPr>
            <w:tcW w:w="4190" w:type="pct"/>
            <w:gridSpan w:val="5"/>
            <w:vAlign w:val="bottom"/>
          </w:tcPr>
          <w:p w14:paraId="038A3775" w14:textId="77777777" w:rsidR="000721FB" w:rsidRDefault="000721FB" w:rsidP="001A5D4A">
            <w:pPr>
              <w:pStyle w:val="NotesTable-ItemPlain"/>
            </w:pPr>
          </w:p>
        </w:tc>
      </w:tr>
      <w:tr w:rsidR="00C83428" w14:paraId="038A3779" w14:textId="77777777" w:rsidTr="00463ABD">
        <w:trPr>
          <w:cantSplit/>
          <w:trHeight w:hRule="exact" w:val="227"/>
        </w:trPr>
        <w:tc>
          <w:tcPr>
            <w:tcW w:w="810" w:type="pct"/>
          </w:tcPr>
          <w:p w14:paraId="038A3777" w14:textId="77777777" w:rsidR="00C83428" w:rsidRDefault="00C83428" w:rsidP="001A5D4A">
            <w:pPr>
              <w:pStyle w:val="Note-Refs"/>
              <w:rPr>
                <w:b/>
              </w:rPr>
            </w:pPr>
            <w:r>
              <w:t>AASB7.21</w:t>
            </w:r>
          </w:p>
        </w:tc>
        <w:tc>
          <w:tcPr>
            <w:tcW w:w="4190" w:type="pct"/>
            <w:gridSpan w:val="5"/>
            <w:vAlign w:val="bottom"/>
          </w:tcPr>
          <w:p w14:paraId="038A3778" w14:textId="2CB51CE3" w:rsidR="00C83428" w:rsidRDefault="00C83428" w:rsidP="001A5D4A">
            <w:pPr>
              <w:pStyle w:val="NotesTable-ItemPlain"/>
              <w:rPr>
                <w:b/>
              </w:rPr>
            </w:pPr>
            <w:r>
              <w:t xml:space="preserve">The weighted average interest rate implicit in the </w:t>
            </w:r>
            <w:r w:rsidR="001A129F">
              <w:t xml:space="preserve">finance </w:t>
            </w:r>
            <w:r>
              <w:t>leases is X% (</w:t>
            </w:r>
            <w:r w:rsidR="006864EC">
              <w:t>2013</w:t>
            </w:r>
            <w:r>
              <w:t xml:space="preserve">: </w:t>
            </w:r>
            <w:proofErr w:type="gramStart"/>
            <w:r>
              <w:t>X%</w:t>
            </w:r>
            <w:proofErr w:type="gramEnd"/>
            <w:r>
              <w:t>)</w:t>
            </w:r>
          </w:p>
        </w:tc>
      </w:tr>
      <w:tr w:rsidR="00C97972" w14:paraId="038A377C" w14:textId="77777777" w:rsidTr="00463ABD">
        <w:trPr>
          <w:cantSplit/>
          <w:trHeight w:hRule="exact" w:val="227"/>
        </w:trPr>
        <w:tc>
          <w:tcPr>
            <w:tcW w:w="810" w:type="pct"/>
          </w:tcPr>
          <w:p w14:paraId="038A377A" w14:textId="77777777" w:rsidR="00C97972" w:rsidRDefault="00C97972" w:rsidP="001A5D4A">
            <w:pPr>
              <w:pStyle w:val="Note-Refs"/>
            </w:pPr>
          </w:p>
        </w:tc>
        <w:tc>
          <w:tcPr>
            <w:tcW w:w="4190" w:type="pct"/>
            <w:gridSpan w:val="5"/>
            <w:vAlign w:val="bottom"/>
          </w:tcPr>
          <w:p w14:paraId="038A377B" w14:textId="77777777" w:rsidR="00C97972" w:rsidRDefault="00C97972" w:rsidP="001A5D4A">
            <w:pPr>
              <w:pStyle w:val="NotesTable-ItemPlain"/>
            </w:pPr>
          </w:p>
        </w:tc>
      </w:tr>
      <w:tr w:rsidR="00B428A4" w14:paraId="038A377F" w14:textId="77777777" w:rsidTr="00463ABD">
        <w:trPr>
          <w:cantSplit/>
          <w:trHeight w:hRule="exact" w:val="227"/>
        </w:trPr>
        <w:tc>
          <w:tcPr>
            <w:tcW w:w="810" w:type="pct"/>
          </w:tcPr>
          <w:p w14:paraId="038A377D" w14:textId="77777777" w:rsidR="00B428A4" w:rsidRDefault="00B428A4" w:rsidP="001A5D4A">
            <w:pPr>
              <w:pStyle w:val="Note-Refs"/>
            </w:pPr>
          </w:p>
        </w:tc>
        <w:tc>
          <w:tcPr>
            <w:tcW w:w="4190" w:type="pct"/>
            <w:gridSpan w:val="5"/>
          </w:tcPr>
          <w:p w14:paraId="038A377E" w14:textId="55FF0F85" w:rsidR="00B428A4" w:rsidRDefault="00B428A4" w:rsidP="005F65FA">
            <w:pPr>
              <w:pStyle w:val="Note-TextHeader"/>
              <w:rPr>
                <w:b w:val="0"/>
                <w:lang w:val="en-GB"/>
              </w:rPr>
            </w:pPr>
            <w:r w:rsidRPr="00C97972">
              <w:t>(</w:t>
            </w:r>
            <w:r w:rsidR="005F65FA">
              <w:t>c</w:t>
            </w:r>
            <w:r w:rsidRPr="00C97972">
              <w:t xml:space="preserve">) </w:t>
            </w:r>
            <w:r>
              <w:t>Other</w:t>
            </w:r>
            <w:r w:rsidRPr="00C97972">
              <w:t xml:space="preserve"> commitments</w:t>
            </w:r>
          </w:p>
        </w:tc>
      </w:tr>
      <w:tr w:rsidR="00C97972" w14:paraId="038A3782" w14:textId="77777777" w:rsidTr="00463ABD">
        <w:trPr>
          <w:cantSplit/>
          <w:trHeight w:hRule="exact" w:val="227"/>
        </w:trPr>
        <w:tc>
          <w:tcPr>
            <w:tcW w:w="810" w:type="pct"/>
          </w:tcPr>
          <w:p w14:paraId="038A3780" w14:textId="77777777" w:rsidR="00C97972" w:rsidRDefault="00C97972" w:rsidP="001A5D4A">
            <w:pPr>
              <w:pStyle w:val="Note-Refs"/>
            </w:pPr>
          </w:p>
        </w:tc>
        <w:tc>
          <w:tcPr>
            <w:tcW w:w="4190" w:type="pct"/>
            <w:gridSpan w:val="5"/>
            <w:vAlign w:val="bottom"/>
          </w:tcPr>
          <w:p w14:paraId="038A3781" w14:textId="5A4A4BCE" w:rsidR="00C97972" w:rsidRDefault="00C97972" w:rsidP="001A5D4A">
            <w:pPr>
              <w:pStyle w:val="NotesTable-ItemPlain"/>
            </w:pPr>
            <w:r>
              <w:t xml:space="preserve">[Provide disclosure of other commitments, </w:t>
            </w:r>
            <w:proofErr w:type="spellStart"/>
            <w:r w:rsidR="00AB3203">
              <w:t>ie</w:t>
            </w:r>
            <w:proofErr w:type="spellEnd"/>
            <w:r>
              <w:t xml:space="preserve"> CRC or PPP]</w:t>
            </w:r>
          </w:p>
        </w:tc>
      </w:tr>
      <w:tr w:rsidR="00C97972" w14:paraId="038A3785" w14:textId="77777777" w:rsidTr="00463ABD">
        <w:trPr>
          <w:cantSplit/>
          <w:trHeight w:hRule="exact" w:val="227"/>
        </w:trPr>
        <w:tc>
          <w:tcPr>
            <w:tcW w:w="810" w:type="pct"/>
          </w:tcPr>
          <w:p w14:paraId="038A3783" w14:textId="77777777" w:rsidR="00C97972" w:rsidRDefault="00C97972" w:rsidP="001A5D4A">
            <w:pPr>
              <w:pStyle w:val="Note-Refs"/>
            </w:pPr>
          </w:p>
        </w:tc>
        <w:tc>
          <w:tcPr>
            <w:tcW w:w="4190" w:type="pct"/>
            <w:gridSpan w:val="5"/>
            <w:vAlign w:val="bottom"/>
          </w:tcPr>
          <w:p w14:paraId="038A3784" w14:textId="77777777" w:rsidR="00C97972" w:rsidRDefault="00C97972" w:rsidP="001A5D4A">
            <w:pPr>
              <w:pStyle w:val="NotesTable-ItemPlain"/>
            </w:pPr>
          </w:p>
        </w:tc>
      </w:tr>
    </w:tbl>
    <w:p w14:paraId="4AFC246D" w14:textId="002A66BD" w:rsidR="006356ED" w:rsidRPr="006356ED" w:rsidRDefault="006356ED" w:rsidP="001A5D4A">
      <w:pPr>
        <w:pStyle w:val="Heading3"/>
        <w:rPr>
          <w:color w:val="2D3E7B" w:themeColor="text2" w:themeShade="BF"/>
        </w:rPr>
      </w:pPr>
      <w:bookmarkStart w:id="389" w:name="_Toc410807667"/>
      <w:bookmarkStart w:id="390" w:name="_Toc410822728"/>
      <w:r w:rsidRPr="006356ED">
        <w:rPr>
          <w:color w:val="2D3E7B" w:themeColor="text2" w:themeShade="BF"/>
        </w:rPr>
        <w:t>Commentary - Commitments</w:t>
      </w:r>
      <w:bookmarkEnd w:id="389"/>
      <w:bookmarkEnd w:id="390"/>
    </w:p>
    <w:p w14:paraId="7CB24BFC" w14:textId="77777777" w:rsidR="006356ED" w:rsidRPr="005F65FA" w:rsidRDefault="006356ED" w:rsidP="00F94210">
      <w:pPr>
        <w:pStyle w:val="Heading6"/>
      </w:pPr>
      <w:r w:rsidRPr="005F65FA">
        <w:t>AASB101.29</w:t>
      </w:r>
    </w:p>
    <w:p w14:paraId="5F1A09F1" w14:textId="77777777" w:rsidR="006356ED" w:rsidRPr="005F65FA" w:rsidRDefault="006356ED" w:rsidP="001A5D4A">
      <w:pPr>
        <w:rPr>
          <w:color w:val="2D3E7B" w:themeColor="text2" w:themeShade="BF"/>
        </w:rPr>
      </w:pPr>
      <w:r w:rsidRPr="005F65FA">
        <w:rPr>
          <w:color w:val="2D3E7B" w:themeColor="text2" w:themeShade="BF"/>
        </w:rPr>
        <w:t xml:space="preserve">In accordance with AASB101 </w:t>
      </w:r>
      <w:r w:rsidRPr="009B1E46">
        <w:rPr>
          <w:i/>
          <w:color w:val="2D3E7B" w:themeColor="text2" w:themeShade="BF"/>
        </w:rPr>
        <w:t>Presentation of Financial Statements</w:t>
      </w:r>
      <w:r w:rsidRPr="005F65FA">
        <w:rPr>
          <w:color w:val="2D3E7B" w:themeColor="text2" w:themeShade="BF"/>
        </w:rPr>
        <w:t xml:space="preserve">, individual commitments will only need to be disclosed where they are individually material. Disclosure is not required when individual commitments or classes of commitments are not material. </w:t>
      </w:r>
    </w:p>
    <w:p w14:paraId="7348E112" w14:textId="77777777" w:rsidR="006356ED" w:rsidRPr="005F65FA" w:rsidRDefault="006356ED" w:rsidP="001A5D4A">
      <w:pPr>
        <w:rPr>
          <w:color w:val="2D3E7B" w:themeColor="text2" w:themeShade="BF"/>
        </w:rPr>
      </w:pPr>
      <w:r w:rsidRPr="005F65FA">
        <w:rPr>
          <w:color w:val="2D3E7B" w:themeColor="text2" w:themeShade="BF"/>
        </w:rPr>
        <w:t xml:space="preserve">Commitments are intentions to create liabilities or assets for the receiving entity, as evidenced by undertakings or agreements to make/obtain future payments to/from other entities as at the reporting date; and are executory contracts as recognised under </w:t>
      </w:r>
      <w:proofErr w:type="spellStart"/>
      <w:r w:rsidRPr="005F65FA">
        <w:rPr>
          <w:color w:val="2D3E7B" w:themeColor="text2" w:themeShade="BF"/>
        </w:rPr>
        <w:t>AASB137</w:t>
      </w:r>
      <w:proofErr w:type="spellEnd"/>
      <w:r w:rsidRPr="005F65FA">
        <w:rPr>
          <w:color w:val="2D3E7B" w:themeColor="text2" w:themeShade="BF"/>
        </w:rPr>
        <w:t xml:space="preserve"> (</w:t>
      </w:r>
      <w:proofErr w:type="spellStart"/>
      <w:r w:rsidRPr="005F65FA">
        <w:rPr>
          <w:color w:val="2D3E7B" w:themeColor="text2" w:themeShade="BF"/>
        </w:rPr>
        <w:t>ie</w:t>
      </w:r>
      <w:proofErr w:type="spellEnd"/>
      <w:r w:rsidRPr="005F65FA">
        <w:rPr>
          <w:color w:val="2D3E7B" w:themeColor="text2" w:themeShade="BF"/>
        </w:rPr>
        <w:t xml:space="preserve"> not onerous). Commitments differ from liabilities in that there is no present obligation arising from a past transaction or event or such an obligation is subject to future performance of another party (</w:t>
      </w:r>
      <w:proofErr w:type="spellStart"/>
      <w:r w:rsidRPr="005F65FA">
        <w:rPr>
          <w:color w:val="2D3E7B" w:themeColor="text2" w:themeShade="BF"/>
        </w:rPr>
        <w:t>eg</w:t>
      </w:r>
      <w:proofErr w:type="spellEnd"/>
      <w:r w:rsidRPr="005F65FA">
        <w:rPr>
          <w:color w:val="2D3E7B" w:themeColor="text2" w:themeShade="BF"/>
        </w:rPr>
        <w:t xml:space="preserve"> obligations that are executory contracts).</w:t>
      </w:r>
    </w:p>
    <w:p w14:paraId="40A4C294" w14:textId="77777777" w:rsidR="006356ED" w:rsidRPr="005F65FA" w:rsidRDefault="006356ED"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Leasing arrangements</w:t>
      </w:r>
    </w:p>
    <w:p w14:paraId="0BC99025" w14:textId="77777777" w:rsidR="006356ED" w:rsidRPr="005F65FA" w:rsidRDefault="006356ED" w:rsidP="00F94210">
      <w:pPr>
        <w:pStyle w:val="Heading6"/>
      </w:pPr>
      <w:r w:rsidRPr="005F65FA">
        <w:t>AASB117.31e</w:t>
      </w:r>
      <w:proofErr w:type="gramStart"/>
      <w:r w:rsidRPr="005F65FA">
        <w:t>,35d</w:t>
      </w:r>
      <w:proofErr w:type="gramEnd"/>
    </w:p>
    <w:p w14:paraId="4EAB8FE4" w14:textId="77777777" w:rsidR="006356ED" w:rsidRPr="006356ED" w:rsidRDefault="006356ED" w:rsidP="001A5D4A">
      <w:pPr>
        <w:rPr>
          <w:color w:val="2D3E7B" w:themeColor="text2" w:themeShade="BF"/>
        </w:rPr>
      </w:pPr>
      <w:r w:rsidRPr="006356ED">
        <w:rPr>
          <w:color w:val="2D3E7B" w:themeColor="text2" w:themeShade="BF"/>
        </w:rPr>
        <w:t>For both finance and operating leases, disclosure is required of a general description of the lessee’s significant leasing arrangements, including but not limited, to the following:</w:t>
      </w:r>
    </w:p>
    <w:p w14:paraId="14F3A2F8" w14:textId="0B8B362F" w:rsidR="006356ED" w:rsidRPr="00561138" w:rsidRDefault="006356ED" w:rsidP="00561138">
      <w:pPr>
        <w:pStyle w:val="ListParagraph"/>
        <w:numPr>
          <w:ilvl w:val="4"/>
          <w:numId w:val="56"/>
        </w:numPr>
        <w:ind w:left="340" w:hanging="340"/>
        <w:rPr>
          <w:color w:val="2D3E7B" w:themeColor="text2" w:themeShade="BF"/>
        </w:rPr>
      </w:pPr>
      <w:r w:rsidRPr="00561138">
        <w:rPr>
          <w:color w:val="2D3E7B" w:themeColor="text2" w:themeShade="BF"/>
        </w:rPr>
        <w:t>the basis on which contingent rent payable is determined;</w:t>
      </w:r>
    </w:p>
    <w:p w14:paraId="11EF795A" w14:textId="1602C2F7" w:rsidR="006356ED" w:rsidRPr="00561138" w:rsidRDefault="006356ED" w:rsidP="00561138">
      <w:pPr>
        <w:pStyle w:val="ListParagraph"/>
        <w:numPr>
          <w:ilvl w:val="4"/>
          <w:numId w:val="56"/>
        </w:numPr>
        <w:ind w:left="340" w:hanging="340"/>
        <w:rPr>
          <w:color w:val="2D3E7B" w:themeColor="text2" w:themeShade="BF"/>
        </w:rPr>
      </w:pPr>
      <w:r w:rsidRPr="00561138">
        <w:rPr>
          <w:color w:val="2D3E7B" w:themeColor="text2" w:themeShade="BF"/>
        </w:rPr>
        <w:t>the existence and terms of renewal or purchase options and escalation clauses; and</w:t>
      </w:r>
    </w:p>
    <w:p w14:paraId="02D7AF35" w14:textId="6DA52A65" w:rsidR="006356ED" w:rsidRPr="00561138" w:rsidRDefault="006356ED" w:rsidP="00561138">
      <w:pPr>
        <w:pStyle w:val="ListParagraph"/>
        <w:numPr>
          <w:ilvl w:val="0"/>
          <w:numId w:val="56"/>
        </w:numPr>
        <w:ind w:left="340" w:hanging="340"/>
        <w:rPr>
          <w:color w:val="2D3E7B" w:themeColor="text2" w:themeShade="BF"/>
        </w:rPr>
      </w:pPr>
      <w:proofErr w:type="gramStart"/>
      <w:r w:rsidRPr="00561138">
        <w:rPr>
          <w:color w:val="2D3E7B" w:themeColor="text2" w:themeShade="BF"/>
        </w:rPr>
        <w:t>restrictions</w:t>
      </w:r>
      <w:proofErr w:type="gramEnd"/>
      <w:r w:rsidRPr="00561138">
        <w:rPr>
          <w:color w:val="2D3E7B" w:themeColor="text2" w:themeShade="BF"/>
        </w:rPr>
        <w:t xml:space="preserve"> imposed by lease arrangements, such as those concerning dividends, additional debt, and further leasing.</w:t>
      </w:r>
    </w:p>
    <w:p w14:paraId="3E38ED5E" w14:textId="77777777" w:rsidR="003411A8" w:rsidRDefault="003411A8">
      <w:pPr>
        <w:spacing w:after="0"/>
        <w:rPr>
          <w:rFonts w:asciiTheme="majorHAnsi" w:eastAsiaTheme="majorEastAsia" w:hAnsiTheme="majorHAnsi"/>
          <w:b/>
          <w:bCs/>
          <w:i/>
          <w:iCs/>
          <w:sz w:val="32"/>
          <w:szCs w:val="28"/>
        </w:rPr>
      </w:pPr>
      <w:bookmarkStart w:id="391" w:name="_Toc410807668"/>
      <w:bookmarkStart w:id="392" w:name="_Toc410822729"/>
      <w:r>
        <w:br w:type="page"/>
      </w:r>
    </w:p>
    <w:p w14:paraId="64614BEA" w14:textId="2E8BA4AB" w:rsidR="00106D3E" w:rsidRDefault="00106D3E" w:rsidP="005F65FA">
      <w:pPr>
        <w:pStyle w:val="Heading2"/>
      </w:pPr>
      <w:proofErr w:type="gramStart"/>
      <w:r w:rsidRPr="00106D3E">
        <w:lastRenderedPageBreak/>
        <w:t>Note 42</w:t>
      </w:r>
      <w:r>
        <w:t>.</w:t>
      </w:r>
      <w:proofErr w:type="gramEnd"/>
      <w:r w:rsidR="002636A0">
        <w:t xml:space="preserve"> </w:t>
      </w:r>
      <w:r>
        <w:t>Related parties</w:t>
      </w:r>
      <w:bookmarkEnd w:id="391"/>
      <w:bookmarkEnd w:id="392"/>
    </w:p>
    <w:p w14:paraId="57B9A624" w14:textId="77777777" w:rsidR="00106D3E" w:rsidRPr="00106D3E" w:rsidRDefault="00106D3E" w:rsidP="001A5D4A">
      <w:r w:rsidRPr="00106D3E">
        <w:t>Education</w:t>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2A6800" w14:paraId="038A37B2" w14:textId="77777777" w:rsidTr="00463ABD">
        <w:trPr>
          <w:cantSplit/>
          <w:trHeight w:hRule="exact" w:val="227"/>
        </w:trPr>
        <w:tc>
          <w:tcPr>
            <w:tcW w:w="810" w:type="pct"/>
          </w:tcPr>
          <w:p w14:paraId="038A37B0" w14:textId="77777777" w:rsidR="002A6800" w:rsidRDefault="002A6800" w:rsidP="001A5D4A">
            <w:pPr>
              <w:pStyle w:val="Note-Refs"/>
            </w:pPr>
          </w:p>
        </w:tc>
        <w:tc>
          <w:tcPr>
            <w:tcW w:w="4190" w:type="pct"/>
            <w:gridSpan w:val="5"/>
            <w:vAlign w:val="bottom"/>
          </w:tcPr>
          <w:p w14:paraId="038A37B1" w14:textId="77777777" w:rsidR="002A6800" w:rsidRDefault="002A6800" w:rsidP="001A5D4A">
            <w:pPr>
              <w:pStyle w:val="Note-TextHeader"/>
              <w:rPr>
                <w:b w:val="0"/>
                <w:lang w:val="en-GB"/>
              </w:rPr>
            </w:pPr>
            <w:r>
              <w:t>(a) Parent entities</w:t>
            </w:r>
          </w:p>
        </w:tc>
      </w:tr>
      <w:tr w:rsidR="002A6800" w14:paraId="038A37B5" w14:textId="77777777" w:rsidTr="00463ABD">
        <w:trPr>
          <w:cantSplit/>
          <w:trHeight w:hRule="exact" w:val="907"/>
        </w:trPr>
        <w:tc>
          <w:tcPr>
            <w:tcW w:w="810" w:type="pct"/>
          </w:tcPr>
          <w:p w14:paraId="038A37B3" w14:textId="77777777" w:rsidR="002A6800" w:rsidRDefault="002A6800" w:rsidP="001A5D4A">
            <w:pPr>
              <w:pStyle w:val="Note-Refs"/>
              <w:rPr>
                <w:b/>
              </w:rPr>
            </w:pPr>
            <w:r>
              <w:t>AASB101.138c,</w:t>
            </w:r>
            <w:r w:rsidR="00CC2100">
              <w:br/>
            </w:r>
            <w:r>
              <w:t>AASB124.13,Aus13.1</w:t>
            </w:r>
          </w:p>
        </w:tc>
        <w:tc>
          <w:tcPr>
            <w:tcW w:w="4190" w:type="pct"/>
            <w:gridSpan w:val="5"/>
            <w:vAlign w:val="bottom"/>
          </w:tcPr>
          <w:p w14:paraId="038A37B4" w14:textId="5725BDFA" w:rsidR="002A6800" w:rsidRDefault="002A6800" w:rsidP="001A5D4A">
            <w:pPr>
              <w:pStyle w:val="NotesTable-ItemPlain"/>
              <w:rPr>
                <w:b/>
              </w:rPr>
            </w:pPr>
            <w:r>
              <w:t xml:space="preserve">The ultimate parent entity within the Group is </w:t>
            </w:r>
            <w:r w:rsidRPr="00B060C8">
              <w:t>[</w:t>
            </w:r>
            <w:r w:rsidRPr="00B53308">
              <w:t>HEP</w:t>
            </w:r>
            <w:r w:rsidRPr="00B060C8">
              <w:t>]</w:t>
            </w:r>
            <w:r>
              <w:t>. The ultimate Australian parent entity is [</w:t>
            </w:r>
            <w:r w:rsidRPr="000C3A74">
              <w:t>entity name</w:t>
            </w:r>
            <w:r>
              <w:t xml:space="preserve">] which at 31 December </w:t>
            </w:r>
            <w:r w:rsidR="006864EC">
              <w:t>2014</w:t>
            </w:r>
            <w:r>
              <w:t xml:space="preserve"> owns X% (</w:t>
            </w:r>
            <w:r w:rsidR="006864EC">
              <w:t>2013</w:t>
            </w:r>
            <w:r>
              <w:t xml:space="preserve"> </w:t>
            </w:r>
            <w:r>
              <w:noBreakHyphen/>
              <w:t xml:space="preserve"> </w:t>
            </w:r>
            <w:proofErr w:type="gramStart"/>
            <w:r>
              <w:t>X%</w:t>
            </w:r>
            <w:proofErr w:type="gramEnd"/>
            <w:r>
              <w:t xml:space="preserve">) of the issued ordinary shares of </w:t>
            </w:r>
            <w:r w:rsidRPr="00B060C8">
              <w:t>[</w:t>
            </w:r>
            <w:r w:rsidRPr="00B53308">
              <w:t>HEP</w:t>
            </w:r>
            <w:r w:rsidRPr="00B060C8">
              <w:t>]</w:t>
            </w:r>
            <w:r>
              <w:t>. The ultimate parent entity is [</w:t>
            </w:r>
            <w:r w:rsidRPr="000C3A74">
              <w:t>entity name</w:t>
            </w:r>
            <w:r>
              <w:t>] (incorporated in [</w:t>
            </w:r>
            <w:r w:rsidRPr="000C3A74">
              <w:t>country</w:t>
            </w:r>
            <w:r>
              <w:t xml:space="preserve">]) which at 31 December </w:t>
            </w:r>
            <w:r w:rsidR="006864EC">
              <w:t>2014</w:t>
            </w:r>
            <w:r>
              <w:t xml:space="preserve"> owns X% (</w:t>
            </w:r>
            <w:r w:rsidR="006864EC">
              <w:t>2013</w:t>
            </w:r>
            <w:r>
              <w:t xml:space="preserve"> </w:t>
            </w:r>
            <w:r>
              <w:noBreakHyphen/>
              <w:t xml:space="preserve"> </w:t>
            </w:r>
            <w:proofErr w:type="gramStart"/>
            <w:r>
              <w:t>X%</w:t>
            </w:r>
            <w:proofErr w:type="gramEnd"/>
            <w:r>
              <w:t xml:space="preserve">) of the issued ordinary shares of </w:t>
            </w:r>
            <w:r w:rsidRPr="000C3A74">
              <w:t>[entity name</w:t>
            </w:r>
            <w:r>
              <w:t>].</w:t>
            </w:r>
          </w:p>
        </w:tc>
      </w:tr>
      <w:tr w:rsidR="002A6800" w14:paraId="038A37B8" w14:textId="77777777" w:rsidTr="00463ABD">
        <w:trPr>
          <w:cantSplit/>
          <w:trHeight w:hRule="exact" w:val="227"/>
        </w:trPr>
        <w:tc>
          <w:tcPr>
            <w:tcW w:w="810" w:type="pct"/>
          </w:tcPr>
          <w:p w14:paraId="038A37B6" w14:textId="77777777" w:rsidR="002A6800" w:rsidRDefault="002A6800" w:rsidP="001A5D4A">
            <w:pPr>
              <w:pStyle w:val="Note-Refs"/>
            </w:pPr>
          </w:p>
        </w:tc>
        <w:tc>
          <w:tcPr>
            <w:tcW w:w="4190" w:type="pct"/>
            <w:gridSpan w:val="5"/>
            <w:vAlign w:val="bottom"/>
          </w:tcPr>
          <w:p w14:paraId="038A37B7" w14:textId="77777777" w:rsidR="002A6800" w:rsidDel="002A6800" w:rsidRDefault="002A6800" w:rsidP="001A5D4A">
            <w:pPr>
              <w:pStyle w:val="NotesTable-ItemPlain"/>
            </w:pPr>
          </w:p>
        </w:tc>
      </w:tr>
      <w:tr w:rsidR="002A6800" w14:paraId="038A37BB" w14:textId="77777777" w:rsidTr="00463ABD">
        <w:trPr>
          <w:cantSplit/>
          <w:trHeight w:hRule="exact" w:val="227"/>
        </w:trPr>
        <w:tc>
          <w:tcPr>
            <w:tcW w:w="810" w:type="pct"/>
          </w:tcPr>
          <w:p w14:paraId="038A37B9" w14:textId="77777777" w:rsidR="002A6800" w:rsidRDefault="002A6800" w:rsidP="001A5D4A">
            <w:pPr>
              <w:pStyle w:val="Note-Refs"/>
            </w:pPr>
          </w:p>
        </w:tc>
        <w:tc>
          <w:tcPr>
            <w:tcW w:w="4190" w:type="pct"/>
            <w:gridSpan w:val="5"/>
            <w:vAlign w:val="bottom"/>
          </w:tcPr>
          <w:p w14:paraId="038A37BA" w14:textId="77777777" w:rsidR="002A6800" w:rsidRDefault="002A6800" w:rsidP="001A5D4A">
            <w:pPr>
              <w:pStyle w:val="Note-TextHeader"/>
              <w:rPr>
                <w:b w:val="0"/>
                <w:lang w:val="en-GB"/>
              </w:rPr>
            </w:pPr>
            <w:r>
              <w:t>(b) Subsidiaries</w:t>
            </w:r>
          </w:p>
        </w:tc>
      </w:tr>
      <w:tr w:rsidR="002A6800" w14:paraId="038A37BE" w14:textId="77777777" w:rsidTr="00463ABD">
        <w:trPr>
          <w:cantSplit/>
          <w:trHeight w:hRule="exact" w:val="227"/>
        </w:trPr>
        <w:tc>
          <w:tcPr>
            <w:tcW w:w="810" w:type="pct"/>
          </w:tcPr>
          <w:p w14:paraId="038A37BC" w14:textId="77777777" w:rsidR="002A6800" w:rsidRDefault="002A6800" w:rsidP="001A5D4A">
            <w:pPr>
              <w:pStyle w:val="Note-Refs"/>
            </w:pPr>
          </w:p>
        </w:tc>
        <w:tc>
          <w:tcPr>
            <w:tcW w:w="4190" w:type="pct"/>
            <w:gridSpan w:val="5"/>
            <w:vAlign w:val="bottom"/>
          </w:tcPr>
          <w:p w14:paraId="038A37BD" w14:textId="27B75BB0" w:rsidR="002A6800" w:rsidRDefault="002A6800" w:rsidP="001A5D4A">
            <w:pPr>
              <w:pStyle w:val="NotesTable-ItemPlain"/>
              <w:rPr>
                <w:b/>
              </w:rPr>
            </w:pPr>
            <w:r>
              <w:t>Interests in subsidiaries are set out in note 4</w:t>
            </w:r>
            <w:r w:rsidR="00FA6CB2">
              <w:t>4</w:t>
            </w:r>
            <w:r>
              <w:t>.</w:t>
            </w:r>
          </w:p>
        </w:tc>
      </w:tr>
      <w:tr w:rsidR="002A6800" w14:paraId="038A37C1" w14:textId="77777777" w:rsidTr="00463ABD">
        <w:trPr>
          <w:cantSplit/>
          <w:trHeight w:hRule="exact" w:val="227"/>
        </w:trPr>
        <w:tc>
          <w:tcPr>
            <w:tcW w:w="810" w:type="pct"/>
          </w:tcPr>
          <w:p w14:paraId="038A37BF" w14:textId="77777777" w:rsidR="002A6800" w:rsidRDefault="002A6800" w:rsidP="001A5D4A">
            <w:pPr>
              <w:pStyle w:val="Note-Refs"/>
            </w:pPr>
          </w:p>
        </w:tc>
        <w:tc>
          <w:tcPr>
            <w:tcW w:w="4190" w:type="pct"/>
            <w:gridSpan w:val="5"/>
            <w:vAlign w:val="bottom"/>
          </w:tcPr>
          <w:p w14:paraId="038A37C0" w14:textId="77777777" w:rsidR="002A6800" w:rsidRDefault="002A6800" w:rsidP="001A5D4A">
            <w:pPr>
              <w:pStyle w:val="NotesTable-ItemPlain"/>
            </w:pPr>
          </w:p>
        </w:tc>
      </w:tr>
      <w:tr w:rsidR="002A6800" w14:paraId="038A37C4" w14:textId="77777777" w:rsidTr="00463ABD">
        <w:trPr>
          <w:cantSplit/>
          <w:trHeight w:hRule="exact" w:val="227"/>
        </w:trPr>
        <w:tc>
          <w:tcPr>
            <w:tcW w:w="810" w:type="pct"/>
          </w:tcPr>
          <w:p w14:paraId="038A37C2" w14:textId="77777777" w:rsidR="002A6800" w:rsidRDefault="002A6800" w:rsidP="001A5D4A">
            <w:pPr>
              <w:pStyle w:val="Note-Refs"/>
            </w:pPr>
          </w:p>
        </w:tc>
        <w:tc>
          <w:tcPr>
            <w:tcW w:w="4190" w:type="pct"/>
            <w:gridSpan w:val="5"/>
            <w:vAlign w:val="bottom"/>
          </w:tcPr>
          <w:p w14:paraId="038A37C3" w14:textId="77777777" w:rsidR="002A6800" w:rsidRDefault="002A6800" w:rsidP="001A5D4A">
            <w:pPr>
              <w:pStyle w:val="Note-TextHeader"/>
              <w:rPr>
                <w:b w:val="0"/>
                <w:lang w:val="en-GB"/>
              </w:rPr>
            </w:pPr>
            <w:r>
              <w:t>(c) Key management personnel</w:t>
            </w:r>
          </w:p>
        </w:tc>
      </w:tr>
      <w:tr w:rsidR="002A6800" w14:paraId="038A37C7" w14:textId="77777777" w:rsidTr="00463ABD">
        <w:trPr>
          <w:cantSplit/>
          <w:trHeight w:hRule="exact" w:val="227"/>
        </w:trPr>
        <w:tc>
          <w:tcPr>
            <w:tcW w:w="810" w:type="pct"/>
          </w:tcPr>
          <w:p w14:paraId="038A37C5" w14:textId="77777777" w:rsidR="002A6800" w:rsidRDefault="002A6800" w:rsidP="001A5D4A">
            <w:pPr>
              <w:pStyle w:val="Note-Refs"/>
            </w:pPr>
          </w:p>
        </w:tc>
        <w:tc>
          <w:tcPr>
            <w:tcW w:w="4190" w:type="pct"/>
            <w:gridSpan w:val="5"/>
            <w:vAlign w:val="bottom"/>
          </w:tcPr>
          <w:p w14:paraId="038A37C6" w14:textId="40454268" w:rsidR="002A6800" w:rsidRDefault="002A6800" w:rsidP="001A5D4A">
            <w:pPr>
              <w:pStyle w:val="NotesTable-ItemPlain"/>
              <w:rPr>
                <w:b/>
              </w:rPr>
            </w:pPr>
            <w:r>
              <w:t>Disclosures relating to directors and specified executives are set out in note 3</w:t>
            </w:r>
            <w:r w:rsidR="00FA6CB2">
              <w:t>8</w:t>
            </w:r>
            <w:r>
              <w:t>.</w:t>
            </w:r>
          </w:p>
        </w:tc>
      </w:tr>
      <w:tr w:rsidR="002A6800" w14:paraId="038A37CA" w14:textId="77777777" w:rsidTr="00463ABD">
        <w:trPr>
          <w:cantSplit/>
          <w:trHeight w:hRule="exact" w:val="227"/>
        </w:trPr>
        <w:tc>
          <w:tcPr>
            <w:tcW w:w="810" w:type="pct"/>
          </w:tcPr>
          <w:p w14:paraId="038A37C8" w14:textId="77777777" w:rsidR="002A6800" w:rsidRDefault="002A6800" w:rsidP="001A5D4A">
            <w:pPr>
              <w:pStyle w:val="Note-Refs"/>
            </w:pPr>
          </w:p>
        </w:tc>
        <w:tc>
          <w:tcPr>
            <w:tcW w:w="4190" w:type="pct"/>
            <w:gridSpan w:val="5"/>
            <w:vAlign w:val="bottom"/>
          </w:tcPr>
          <w:p w14:paraId="038A37C9" w14:textId="77777777" w:rsidR="002A6800" w:rsidRDefault="002A6800" w:rsidP="001A5D4A">
            <w:pPr>
              <w:pStyle w:val="NotesTable-ItemPlain"/>
            </w:pPr>
          </w:p>
        </w:tc>
      </w:tr>
      <w:tr w:rsidR="002A6800" w14:paraId="038A37CD" w14:textId="77777777" w:rsidTr="00463ABD">
        <w:trPr>
          <w:cantSplit/>
          <w:trHeight w:hRule="exact" w:val="227"/>
        </w:trPr>
        <w:tc>
          <w:tcPr>
            <w:tcW w:w="810" w:type="pct"/>
          </w:tcPr>
          <w:p w14:paraId="038A37CB" w14:textId="77777777" w:rsidR="002A6800" w:rsidRDefault="002A6800" w:rsidP="001A5D4A">
            <w:pPr>
              <w:pStyle w:val="Note-Refs"/>
            </w:pPr>
          </w:p>
        </w:tc>
        <w:tc>
          <w:tcPr>
            <w:tcW w:w="4190" w:type="pct"/>
            <w:gridSpan w:val="5"/>
            <w:shd w:val="clear" w:color="auto" w:fill="auto"/>
            <w:vAlign w:val="bottom"/>
          </w:tcPr>
          <w:p w14:paraId="038A37CC" w14:textId="77777777" w:rsidR="002A6800" w:rsidRDefault="002A6800" w:rsidP="001A5D4A">
            <w:pPr>
              <w:pStyle w:val="Note-TextHeader"/>
              <w:rPr>
                <w:b w:val="0"/>
                <w:lang w:val="en-GB"/>
              </w:rPr>
            </w:pPr>
            <w:r>
              <w:t>(d) Transactions with related parties</w:t>
            </w:r>
          </w:p>
        </w:tc>
      </w:tr>
      <w:tr w:rsidR="002A6800" w14:paraId="038A37D0" w14:textId="77777777" w:rsidTr="00463ABD">
        <w:trPr>
          <w:cantSplit/>
          <w:trHeight w:hRule="exact" w:val="227"/>
        </w:trPr>
        <w:tc>
          <w:tcPr>
            <w:tcW w:w="810" w:type="pct"/>
          </w:tcPr>
          <w:p w14:paraId="038A37CE" w14:textId="77777777" w:rsidR="002A6800" w:rsidRDefault="002A6800" w:rsidP="001A5D4A">
            <w:pPr>
              <w:pStyle w:val="Note-Refs"/>
              <w:rPr>
                <w:b/>
              </w:rPr>
            </w:pPr>
            <w:r>
              <w:t>AASB124.18a</w:t>
            </w:r>
          </w:p>
        </w:tc>
        <w:tc>
          <w:tcPr>
            <w:tcW w:w="4190" w:type="pct"/>
            <w:gridSpan w:val="5"/>
            <w:shd w:val="clear" w:color="auto" w:fill="auto"/>
            <w:vAlign w:val="bottom"/>
          </w:tcPr>
          <w:p w14:paraId="038A37CF" w14:textId="77777777" w:rsidR="002A6800" w:rsidRDefault="002A6800" w:rsidP="001A5D4A">
            <w:pPr>
              <w:pStyle w:val="NotesTable-ItemPlain"/>
              <w:rPr>
                <w:b/>
              </w:rPr>
            </w:pPr>
            <w:r>
              <w:t>The following transactions occurred with related parties:</w:t>
            </w:r>
          </w:p>
        </w:tc>
      </w:tr>
      <w:tr w:rsidR="002A6800" w14:paraId="038A37D5" w14:textId="77777777" w:rsidTr="00463ABD">
        <w:trPr>
          <w:cantSplit/>
          <w:trHeight w:hRule="exact" w:val="227"/>
        </w:trPr>
        <w:tc>
          <w:tcPr>
            <w:tcW w:w="810" w:type="pct"/>
          </w:tcPr>
          <w:p w14:paraId="038A37D1" w14:textId="77777777" w:rsidR="002A6800" w:rsidRDefault="002A6800" w:rsidP="001A5D4A">
            <w:pPr>
              <w:pStyle w:val="Note-Refs"/>
            </w:pPr>
          </w:p>
        </w:tc>
        <w:tc>
          <w:tcPr>
            <w:tcW w:w="2567" w:type="pct"/>
            <w:shd w:val="clear" w:color="auto" w:fill="auto"/>
            <w:vAlign w:val="bottom"/>
          </w:tcPr>
          <w:p w14:paraId="038A37D2" w14:textId="77777777" w:rsidR="002A6800" w:rsidRDefault="002A6800" w:rsidP="001A5D4A">
            <w:pPr>
              <w:pStyle w:val="NotesTable-ItemPlain"/>
            </w:pPr>
          </w:p>
        </w:tc>
        <w:tc>
          <w:tcPr>
            <w:tcW w:w="812" w:type="pct"/>
            <w:gridSpan w:val="2"/>
            <w:shd w:val="clear" w:color="auto" w:fill="auto"/>
            <w:vAlign w:val="bottom"/>
          </w:tcPr>
          <w:p w14:paraId="038A37D3" w14:textId="77777777" w:rsidR="002A6800" w:rsidRDefault="002A6800" w:rsidP="001A5D4A">
            <w:pPr>
              <w:pStyle w:val="NotesTable-HeadPlain"/>
            </w:pPr>
            <w:r>
              <w:t>Consolidated</w:t>
            </w:r>
          </w:p>
        </w:tc>
        <w:tc>
          <w:tcPr>
            <w:tcW w:w="811" w:type="pct"/>
            <w:gridSpan w:val="2"/>
            <w:shd w:val="clear" w:color="auto" w:fill="auto"/>
            <w:vAlign w:val="bottom"/>
          </w:tcPr>
          <w:p w14:paraId="038A37D4" w14:textId="77777777" w:rsidR="002A6800" w:rsidRDefault="002A6800" w:rsidP="001A5D4A">
            <w:pPr>
              <w:pStyle w:val="NotesTable-HeadPlain"/>
            </w:pPr>
            <w:r>
              <w:t>Parent entity</w:t>
            </w:r>
          </w:p>
        </w:tc>
      </w:tr>
      <w:tr w:rsidR="002A6800" w14:paraId="038A37DC" w14:textId="77777777" w:rsidTr="00463ABD">
        <w:trPr>
          <w:cantSplit/>
          <w:trHeight w:hRule="exact" w:val="227"/>
        </w:trPr>
        <w:tc>
          <w:tcPr>
            <w:tcW w:w="810" w:type="pct"/>
          </w:tcPr>
          <w:p w14:paraId="038A37D6" w14:textId="77777777" w:rsidR="002A6800" w:rsidRDefault="002A6800" w:rsidP="001A5D4A">
            <w:pPr>
              <w:pStyle w:val="Note-Refs"/>
            </w:pPr>
          </w:p>
        </w:tc>
        <w:tc>
          <w:tcPr>
            <w:tcW w:w="2567" w:type="pct"/>
            <w:shd w:val="clear" w:color="auto" w:fill="auto"/>
            <w:vAlign w:val="bottom"/>
          </w:tcPr>
          <w:p w14:paraId="038A37D7" w14:textId="77777777" w:rsidR="002A6800" w:rsidRDefault="002A6800" w:rsidP="001A5D4A">
            <w:pPr>
              <w:pStyle w:val="NotesTable-ItemPlain"/>
            </w:pPr>
          </w:p>
        </w:tc>
        <w:tc>
          <w:tcPr>
            <w:tcW w:w="406" w:type="pct"/>
            <w:shd w:val="clear" w:color="auto" w:fill="auto"/>
          </w:tcPr>
          <w:p w14:paraId="038A37D8" w14:textId="4D82ADB3" w:rsidR="002A6800" w:rsidRDefault="006864EC" w:rsidP="001A5D4A">
            <w:pPr>
              <w:pStyle w:val="NotesTable-HeadBold"/>
            </w:pPr>
            <w:r>
              <w:t>2014</w:t>
            </w:r>
          </w:p>
        </w:tc>
        <w:tc>
          <w:tcPr>
            <w:tcW w:w="406" w:type="pct"/>
            <w:shd w:val="clear" w:color="auto" w:fill="auto"/>
          </w:tcPr>
          <w:p w14:paraId="038A37D9" w14:textId="294E881E" w:rsidR="002A6800" w:rsidRDefault="006864EC" w:rsidP="001A5D4A">
            <w:pPr>
              <w:pStyle w:val="NotesTable-HeadPlain"/>
            </w:pPr>
            <w:r>
              <w:t>2013</w:t>
            </w:r>
          </w:p>
        </w:tc>
        <w:tc>
          <w:tcPr>
            <w:tcW w:w="406" w:type="pct"/>
            <w:shd w:val="clear" w:color="auto" w:fill="auto"/>
          </w:tcPr>
          <w:p w14:paraId="038A37DA" w14:textId="44C8A371" w:rsidR="002A6800" w:rsidRDefault="006864EC" w:rsidP="001A5D4A">
            <w:pPr>
              <w:pStyle w:val="NotesTable-HeadBold"/>
              <w:rPr>
                <w:szCs w:val="18"/>
              </w:rPr>
            </w:pPr>
            <w:r>
              <w:t>2014</w:t>
            </w:r>
          </w:p>
        </w:tc>
        <w:tc>
          <w:tcPr>
            <w:tcW w:w="405" w:type="pct"/>
            <w:shd w:val="clear" w:color="auto" w:fill="auto"/>
          </w:tcPr>
          <w:p w14:paraId="038A37DB" w14:textId="6032F6E6" w:rsidR="002A6800" w:rsidRDefault="006864EC" w:rsidP="001A5D4A">
            <w:pPr>
              <w:pStyle w:val="NotesTable-HeadPlain"/>
            </w:pPr>
            <w:r>
              <w:t>2013</w:t>
            </w:r>
          </w:p>
        </w:tc>
      </w:tr>
      <w:tr w:rsidR="002A6800" w14:paraId="038A37E3" w14:textId="77777777" w:rsidTr="00463ABD">
        <w:trPr>
          <w:cantSplit/>
          <w:trHeight w:hRule="exact" w:val="227"/>
        </w:trPr>
        <w:tc>
          <w:tcPr>
            <w:tcW w:w="810" w:type="pct"/>
          </w:tcPr>
          <w:p w14:paraId="038A37DD" w14:textId="77777777" w:rsidR="002A6800" w:rsidRDefault="002A6800" w:rsidP="001A5D4A">
            <w:pPr>
              <w:pStyle w:val="Note-Refs"/>
            </w:pPr>
          </w:p>
        </w:tc>
        <w:tc>
          <w:tcPr>
            <w:tcW w:w="2567" w:type="pct"/>
            <w:shd w:val="clear" w:color="auto" w:fill="auto"/>
            <w:vAlign w:val="bottom"/>
          </w:tcPr>
          <w:p w14:paraId="038A37DE" w14:textId="77777777" w:rsidR="002A6800" w:rsidRDefault="002A6800" w:rsidP="001A5D4A">
            <w:pPr>
              <w:pStyle w:val="NotesTable-ItemPlain"/>
            </w:pPr>
          </w:p>
        </w:tc>
        <w:tc>
          <w:tcPr>
            <w:tcW w:w="406" w:type="pct"/>
            <w:shd w:val="clear" w:color="auto" w:fill="auto"/>
          </w:tcPr>
          <w:p w14:paraId="038A37DF" w14:textId="77777777" w:rsidR="002A6800" w:rsidRDefault="002A6800" w:rsidP="001A5D4A">
            <w:pPr>
              <w:pStyle w:val="NotesTable-HeadBold"/>
            </w:pPr>
            <w:r>
              <w:t>$</w:t>
            </w:r>
          </w:p>
        </w:tc>
        <w:tc>
          <w:tcPr>
            <w:tcW w:w="406" w:type="pct"/>
            <w:shd w:val="clear" w:color="auto" w:fill="auto"/>
          </w:tcPr>
          <w:p w14:paraId="038A37E0" w14:textId="77777777" w:rsidR="002A6800" w:rsidRDefault="002A6800" w:rsidP="001A5D4A">
            <w:pPr>
              <w:pStyle w:val="NotesTable-HeadPlain"/>
            </w:pPr>
            <w:r>
              <w:t>$</w:t>
            </w:r>
          </w:p>
        </w:tc>
        <w:tc>
          <w:tcPr>
            <w:tcW w:w="406" w:type="pct"/>
            <w:shd w:val="clear" w:color="auto" w:fill="auto"/>
          </w:tcPr>
          <w:p w14:paraId="038A37E1" w14:textId="77777777" w:rsidR="002A6800" w:rsidRDefault="002A6800" w:rsidP="001A5D4A">
            <w:pPr>
              <w:pStyle w:val="NotesTable-HeadBold"/>
              <w:rPr>
                <w:szCs w:val="18"/>
              </w:rPr>
            </w:pPr>
            <w:r>
              <w:t>$</w:t>
            </w:r>
          </w:p>
        </w:tc>
        <w:tc>
          <w:tcPr>
            <w:tcW w:w="405" w:type="pct"/>
            <w:shd w:val="clear" w:color="auto" w:fill="auto"/>
          </w:tcPr>
          <w:p w14:paraId="038A37E2" w14:textId="77777777" w:rsidR="002A6800" w:rsidRDefault="002A6800" w:rsidP="001A5D4A">
            <w:pPr>
              <w:pStyle w:val="NotesTable-HeadPlain"/>
            </w:pPr>
            <w:r>
              <w:t>$</w:t>
            </w:r>
          </w:p>
        </w:tc>
      </w:tr>
      <w:tr w:rsidR="002A6800" w14:paraId="038A37EA" w14:textId="77777777" w:rsidTr="00463ABD">
        <w:trPr>
          <w:cantSplit/>
          <w:trHeight w:hRule="exact" w:val="227"/>
        </w:trPr>
        <w:tc>
          <w:tcPr>
            <w:tcW w:w="810" w:type="pct"/>
          </w:tcPr>
          <w:p w14:paraId="038A37E4" w14:textId="77777777" w:rsidR="002A6800" w:rsidRDefault="002A6800" w:rsidP="001A5D4A">
            <w:pPr>
              <w:pStyle w:val="Note-Refs"/>
            </w:pPr>
          </w:p>
        </w:tc>
        <w:tc>
          <w:tcPr>
            <w:tcW w:w="2567" w:type="pct"/>
            <w:shd w:val="clear" w:color="auto" w:fill="auto"/>
            <w:vAlign w:val="bottom"/>
          </w:tcPr>
          <w:p w14:paraId="038A37E5" w14:textId="77777777" w:rsidR="002A6800" w:rsidRDefault="002A6800" w:rsidP="001A5D4A">
            <w:pPr>
              <w:pStyle w:val="NotesTable-ItemPlain"/>
              <w:rPr>
                <w:b/>
              </w:rPr>
            </w:pPr>
            <w:r>
              <w:t>Sale of goods and services</w:t>
            </w:r>
          </w:p>
        </w:tc>
        <w:tc>
          <w:tcPr>
            <w:tcW w:w="406" w:type="pct"/>
            <w:shd w:val="clear" w:color="auto" w:fill="auto"/>
          </w:tcPr>
          <w:p w14:paraId="038A37E6" w14:textId="77777777" w:rsidR="002A6800" w:rsidRDefault="002A6800" w:rsidP="001A5D4A">
            <w:pPr>
              <w:pStyle w:val="NotesTable-CellBold"/>
            </w:pPr>
          </w:p>
        </w:tc>
        <w:tc>
          <w:tcPr>
            <w:tcW w:w="406" w:type="pct"/>
            <w:shd w:val="clear" w:color="auto" w:fill="auto"/>
          </w:tcPr>
          <w:p w14:paraId="038A37E7" w14:textId="77777777" w:rsidR="002A6800" w:rsidRDefault="002A6800" w:rsidP="001A5D4A">
            <w:pPr>
              <w:pStyle w:val="NotesTable-CellPlain"/>
            </w:pPr>
          </w:p>
        </w:tc>
        <w:tc>
          <w:tcPr>
            <w:tcW w:w="406" w:type="pct"/>
            <w:shd w:val="clear" w:color="auto" w:fill="auto"/>
          </w:tcPr>
          <w:p w14:paraId="038A37E8" w14:textId="77777777" w:rsidR="002A6800" w:rsidRDefault="002A6800" w:rsidP="001A5D4A">
            <w:pPr>
              <w:pStyle w:val="NotesTable-CellBold"/>
            </w:pPr>
          </w:p>
        </w:tc>
        <w:tc>
          <w:tcPr>
            <w:tcW w:w="405" w:type="pct"/>
            <w:shd w:val="clear" w:color="auto" w:fill="auto"/>
          </w:tcPr>
          <w:p w14:paraId="038A37E9" w14:textId="77777777" w:rsidR="002A6800" w:rsidRDefault="002A6800" w:rsidP="001A5D4A">
            <w:pPr>
              <w:pStyle w:val="NotesTable-CellPlain"/>
            </w:pPr>
          </w:p>
        </w:tc>
      </w:tr>
      <w:tr w:rsidR="002A6800" w14:paraId="038A37F1" w14:textId="77777777" w:rsidTr="00463ABD">
        <w:trPr>
          <w:cantSplit/>
          <w:trHeight w:hRule="exact" w:val="227"/>
        </w:trPr>
        <w:tc>
          <w:tcPr>
            <w:tcW w:w="810" w:type="pct"/>
          </w:tcPr>
          <w:p w14:paraId="038A37EB" w14:textId="77777777" w:rsidR="002A6800" w:rsidRDefault="002A6800" w:rsidP="001A5D4A">
            <w:pPr>
              <w:pStyle w:val="Note-Refs"/>
            </w:pPr>
          </w:p>
        </w:tc>
        <w:tc>
          <w:tcPr>
            <w:tcW w:w="2567" w:type="pct"/>
            <w:shd w:val="clear" w:color="auto" w:fill="auto"/>
            <w:vAlign w:val="bottom"/>
          </w:tcPr>
          <w:p w14:paraId="038A37EC" w14:textId="77777777" w:rsidR="002A6800" w:rsidRDefault="002A6800" w:rsidP="001A5D4A">
            <w:pPr>
              <w:pStyle w:val="NotesTable-ItemPlain"/>
              <w:rPr>
                <w:b/>
              </w:rPr>
            </w:pPr>
            <w:r>
              <w:t>[</w:t>
            </w:r>
            <w:r w:rsidR="006B7EE2">
              <w:t>D</w:t>
            </w:r>
            <w:r>
              <w:t>escribe]</w:t>
            </w:r>
          </w:p>
        </w:tc>
        <w:tc>
          <w:tcPr>
            <w:tcW w:w="406" w:type="pct"/>
            <w:shd w:val="clear" w:color="auto" w:fill="auto"/>
          </w:tcPr>
          <w:p w14:paraId="038A37ED" w14:textId="77777777" w:rsidR="002A6800" w:rsidRDefault="002A6800" w:rsidP="001A5D4A">
            <w:pPr>
              <w:pStyle w:val="NotesTable-CellBold"/>
            </w:pPr>
            <w:r>
              <w:t>–</w:t>
            </w:r>
          </w:p>
        </w:tc>
        <w:tc>
          <w:tcPr>
            <w:tcW w:w="406" w:type="pct"/>
            <w:shd w:val="clear" w:color="auto" w:fill="auto"/>
          </w:tcPr>
          <w:p w14:paraId="038A37EE" w14:textId="77777777" w:rsidR="002A6800" w:rsidRDefault="002A6800" w:rsidP="001A5D4A">
            <w:pPr>
              <w:pStyle w:val="NotesTable-CellPlain"/>
            </w:pPr>
            <w:r>
              <w:t>–</w:t>
            </w:r>
          </w:p>
        </w:tc>
        <w:tc>
          <w:tcPr>
            <w:tcW w:w="406" w:type="pct"/>
            <w:shd w:val="clear" w:color="auto" w:fill="auto"/>
          </w:tcPr>
          <w:p w14:paraId="038A37EF" w14:textId="77777777" w:rsidR="002A6800" w:rsidRDefault="002A6800" w:rsidP="001A5D4A">
            <w:pPr>
              <w:pStyle w:val="NotesTable-CellBold"/>
            </w:pPr>
            <w:r>
              <w:t>–</w:t>
            </w:r>
          </w:p>
        </w:tc>
        <w:tc>
          <w:tcPr>
            <w:tcW w:w="405" w:type="pct"/>
            <w:shd w:val="clear" w:color="auto" w:fill="auto"/>
          </w:tcPr>
          <w:p w14:paraId="038A37F0" w14:textId="77777777" w:rsidR="002A6800" w:rsidRDefault="002A6800" w:rsidP="001A5D4A">
            <w:pPr>
              <w:pStyle w:val="NotesTable-CellPlain"/>
            </w:pPr>
            <w:r>
              <w:t>–</w:t>
            </w:r>
          </w:p>
        </w:tc>
      </w:tr>
      <w:tr w:rsidR="002A6800" w14:paraId="038A37F8" w14:textId="77777777" w:rsidTr="00463ABD">
        <w:trPr>
          <w:cantSplit/>
          <w:trHeight w:hRule="exact" w:val="227"/>
        </w:trPr>
        <w:tc>
          <w:tcPr>
            <w:tcW w:w="810" w:type="pct"/>
          </w:tcPr>
          <w:p w14:paraId="038A37F2" w14:textId="77777777" w:rsidR="002A6800" w:rsidRDefault="002A6800" w:rsidP="001A5D4A">
            <w:pPr>
              <w:pStyle w:val="Note-Refs"/>
            </w:pPr>
          </w:p>
        </w:tc>
        <w:tc>
          <w:tcPr>
            <w:tcW w:w="2567" w:type="pct"/>
            <w:shd w:val="clear" w:color="auto" w:fill="auto"/>
            <w:vAlign w:val="bottom"/>
          </w:tcPr>
          <w:p w14:paraId="038A37F3" w14:textId="77777777" w:rsidR="002A6800" w:rsidRDefault="002A6800" w:rsidP="001A5D4A">
            <w:pPr>
              <w:pStyle w:val="NotesTable-ItemPlain"/>
            </w:pPr>
          </w:p>
        </w:tc>
        <w:tc>
          <w:tcPr>
            <w:tcW w:w="406" w:type="pct"/>
            <w:shd w:val="clear" w:color="auto" w:fill="auto"/>
          </w:tcPr>
          <w:p w14:paraId="038A37F4" w14:textId="77777777" w:rsidR="002A6800" w:rsidRDefault="002A6800" w:rsidP="001A5D4A">
            <w:pPr>
              <w:pStyle w:val="NotesTable-CellBold"/>
            </w:pPr>
          </w:p>
        </w:tc>
        <w:tc>
          <w:tcPr>
            <w:tcW w:w="406" w:type="pct"/>
            <w:shd w:val="clear" w:color="auto" w:fill="auto"/>
          </w:tcPr>
          <w:p w14:paraId="038A37F5" w14:textId="77777777" w:rsidR="002A6800" w:rsidRDefault="002A6800" w:rsidP="001A5D4A">
            <w:pPr>
              <w:pStyle w:val="NotesTable-CellPlain"/>
            </w:pPr>
          </w:p>
        </w:tc>
        <w:tc>
          <w:tcPr>
            <w:tcW w:w="406" w:type="pct"/>
            <w:shd w:val="clear" w:color="auto" w:fill="auto"/>
          </w:tcPr>
          <w:p w14:paraId="038A37F6" w14:textId="77777777" w:rsidR="002A6800" w:rsidRDefault="002A6800" w:rsidP="001A5D4A">
            <w:pPr>
              <w:pStyle w:val="NotesTable-CellBold"/>
            </w:pPr>
          </w:p>
        </w:tc>
        <w:tc>
          <w:tcPr>
            <w:tcW w:w="405" w:type="pct"/>
            <w:shd w:val="clear" w:color="auto" w:fill="auto"/>
          </w:tcPr>
          <w:p w14:paraId="038A37F7" w14:textId="77777777" w:rsidR="002A6800" w:rsidRDefault="002A6800" w:rsidP="001A5D4A">
            <w:pPr>
              <w:pStyle w:val="NotesTable-CellPlain"/>
            </w:pPr>
          </w:p>
        </w:tc>
      </w:tr>
      <w:tr w:rsidR="002A6800" w14:paraId="038A37FF" w14:textId="77777777" w:rsidTr="00463ABD">
        <w:trPr>
          <w:cantSplit/>
          <w:trHeight w:hRule="exact" w:val="227"/>
        </w:trPr>
        <w:tc>
          <w:tcPr>
            <w:tcW w:w="810" w:type="pct"/>
          </w:tcPr>
          <w:p w14:paraId="038A37F9" w14:textId="77777777" w:rsidR="002A6800" w:rsidRDefault="002A6800" w:rsidP="001A5D4A">
            <w:pPr>
              <w:pStyle w:val="Note-Refs"/>
            </w:pPr>
          </w:p>
        </w:tc>
        <w:tc>
          <w:tcPr>
            <w:tcW w:w="2567" w:type="pct"/>
            <w:shd w:val="clear" w:color="auto" w:fill="auto"/>
            <w:vAlign w:val="bottom"/>
          </w:tcPr>
          <w:p w14:paraId="038A37FA" w14:textId="77777777" w:rsidR="002A6800" w:rsidRDefault="002A6800" w:rsidP="001A5D4A">
            <w:pPr>
              <w:pStyle w:val="NotesTable-ItemPlain"/>
              <w:rPr>
                <w:b/>
              </w:rPr>
            </w:pPr>
            <w:r>
              <w:t>Purchase of goods</w:t>
            </w:r>
          </w:p>
        </w:tc>
        <w:tc>
          <w:tcPr>
            <w:tcW w:w="406" w:type="pct"/>
            <w:shd w:val="clear" w:color="auto" w:fill="auto"/>
          </w:tcPr>
          <w:p w14:paraId="038A37FB" w14:textId="77777777" w:rsidR="002A6800" w:rsidRDefault="002A6800" w:rsidP="001A5D4A">
            <w:pPr>
              <w:pStyle w:val="NotesTable-CellBold"/>
            </w:pPr>
          </w:p>
        </w:tc>
        <w:tc>
          <w:tcPr>
            <w:tcW w:w="406" w:type="pct"/>
            <w:shd w:val="clear" w:color="auto" w:fill="auto"/>
          </w:tcPr>
          <w:p w14:paraId="038A37FC" w14:textId="77777777" w:rsidR="002A6800" w:rsidRDefault="002A6800" w:rsidP="001A5D4A">
            <w:pPr>
              <w:pStyle w:val="NotesTable-CellPlain"/>
            </w:pPr>
          </w:p>
        </w:tc>
        <w:tc>
          <w:tcPr>
            <w:tcW w:w="406" w:type="pct"/>
            <w:shd w:val="clear" w:color="auto" w:fill="auto"/>
          </w:tcPr>
          <w:p w14:paraId="038A37FD" w14:textId="77777777" w:rsidR="002A6800" w:rsidRDefault="002A6800" w:rsidP="001A5D4A">
            <w:pPr>
              <w:pStyle w:val="NotesTable-CellBold"/>
            </w:pPr>
          </w:p>
        </w:tc>
        <w:tc>
          <w:tcPr>
            <w:tcW w:w="405" w:type="pct"/>
            <w:shd w:val="clear" w:color="auto" w:fill="auto"/>
          </w:tcPr>
          <w:p w14:paraId="038A37FE" w14:textId="77777777" w:rsidR="002A6800" w:rsidRDefault="002A6800" w:rsidP="001A5D4A">
            <w:pPr>
              <w:pStyle w:val="NotesTable-CellPlain"/>
            </w:pPr>
          </w:p>
        </w:tc>
      </w:tr>
      <w:tr w:rsidR="002A6800" w14:paraId="038A3806" w14:textId="77777777" w:rsidTr="00463ABD">
        <w:trPr>
          <w:cantSplit/>
          <w:trHeight w:hRule="exact" w:val="227"/>
        </w:trPr>
        <w:tc>
          <w:tcPr>
            <w:tcW w:w="810" w:type="pct"/>
          </w:tcPr>
          <w:p w14:paraId="038A3800" w14:textId="77777777" w:rsidR="002A6800" w:rsidRDefault="002A6800" w:rsidP="001A5D4A">
            <w:pPr>
              <w:pStyle w:val="Note-Refs"/>
            </w:pPr>
          </w:p>
        </w:tc>
        <w:tc>
          <w:tcPr>
            <w:tcW w:w="2567" w:type="pct"/>
            <w:shd w:val="clear" w:color="auto" w:fill="auto"/>
            <w:vAlign w:val="bottom"/>
          </w:tcPr>
          <w:p w14:paraId="038A3801" w14:textId="77777777" w:rsidR="002A6800" w:rsidRDefault="002A6800" w:rsidP="001A5D4A">
            <w:pPr>
              <w:pStyle w:val="NotesTable-ItemPlain"/>
              <w:rPr>
                <w:b/>
              </w:rPr>
            </w:pPr>
            <w:r>
              <w:t>[</w:t>
            </w:r>
            <w:r w:rsidR="006B7EE2">
              <w:t>D</w:t>
            </w:r>
            <w:r>
              <w:t>escribe]</w:t>
            </w:r>
          </w:p>
        </w:tc>
        <w:tc>
          <w:tcPr>
            <w:tcW w:w="406" w:type="pct"/>
            <w:shd w:val="clear" w:color="auto" w:fill="auto"/>
          </w:tcPr>
          <w:p w14:paraId="038A3802" w14:textId="77777777" w:rsidR="002A6800" w:rsidRDefault="002A6800" w:rsidP="001A5D4A">
            <w:pPr>
              <w:pStyle w:val="NotesTable-CellBold"/>
            </w:pPr>
            <w:r>
              <w:t>–</w:t>
            </w:r>
          </w:p>
        </w:tc>
        <w:tc>
          <w:tcPr>
            <w:tcW w:w="406" w:type="pct"/>
            <w:shd w:val="clear" w:color="auto" w:fill="auto"/>
          </w:tcPr>
          <w:p w14:paraId="038A3803" w14:textId="77777777" w:rsidR="002A6800" w:rsidRDefault="002A6800" w:rsidP="001A5D4A">
            <w:pPr>
              <w:pStyle w:val="NotesTable-CellPlain"/>
            </w:pPr>
            <w:r>
              <w:t>–</w:t>
            </w:r>
          </w:p>
        </w:tc>
        <w:tc>
          <w:tcPr>
            <w:tcW w:w="406" w:type="pct"/>
            <w:shd w:val="clear" w:color="auto" w:fill="auto"/>
          </w:tcPr>
          <w:p w14:paraId="038A3804" w14:textId="77777777" w:rsidR="002A6800" w:rsidRDefault="002A6800" w:rsidP="001A5D4A">
            <w:pPr>
              <w:pStyle w:val="NotesTable-CellBold"/>
            </w:pPr>
            <w:r>
              <w:t>–</w:t>
            </w:r>
          </w:p>
        </w:tc>
        <w:tc>
          <w:tcPr>
            <w:tcW w:w="405" w:type="pct"/>
            <w:shd w:val="clear" w:color="auto" w:fill="auto"/>
          </w:tcPr>
          <w:p w14:paraId="038A3805" w14:textId="77777777" w:rsidR="002A6800" w:rsidRDefault="002A6800" w:rsidP="001A5D4A">
            <w:pPr>
              <w:pStyle w:val="NotesTable-CellPlain"/>
            </w:pPr>
            <w:r>
              <w:t>–</w:t>
            </w:r>
          </w:p>
        </w:tc>
      </w:tr>
      <w:tr w:rsidR="00AA53AC" w14:paraId="17F19D44" w14:textId="77777777" w:rsidTr="00463ABD">
        <w:trPr>
          <w:cantSplit/>
          <w:trHeight w:hRule="exact" w:val="227"/>
        </w:trPr>
        <w:tc>
          <w:tcPr>
            <w:tcW w:w="810" w:type="pct"/>
          </w:tcPr>
          <w:p w14:paraId="49BF7910" w14:textId="77777777" w:rsidR="00AA53AC" w:rsidRDefault="00AA53AC" w:rsidP="001A5D4A">
            <w:pPr>
              <w:pStyle w:val="Note-Refs"/>
            </w:pPr>
          </w:p>
        </w:tc>
        <w:tc>
          <w:tcPr>
            <w:tcW w:w="2567" w:type="pct"/>
            <w:shd w:val="clear" w:color="auto" w:fill="auto"/>
            <w:vAlign w:val="bottom"/>
          </w:tcPr>
          <w:p w14:paraId="519435A0" w14:textId="77777777" w:rsidR="00AA53AC" w:rsidRDefault="00AA53AC" w:rsidP="001A5D4A">
            <w:pPr>
              <w:pStyle w:val="NotesTable-ItemPlain"/>
            </w:pPr>
          </w:p>
        </w:tc>
        <w:tc>
          <w:tcPr>
            <w:tcW w:w="406" w:type="pct"/>
            <w:shd w:val="clear" w:color="auto" w:fill="auto"/>
          </w:tcPr>
          <w:p w14:paraId="3DDA1AA9" w14:textId="77777777" w:rsidR="00AA53AC" w:rsidRDefault="00AA53AC" w:rsidP="001A5D4A">
            <w:pPr>
              <w:pStyle w:val="NotesTable-CellBold"/>
            </w:pPr>
          </w:p>
        </w:tc>
        <w:tc>
          <w:tcPr>
            <w:tcW w:w="406" w:type="pct"/>
            <w:shd w:val="clear" w:color="auto" w:fill="auto"/>
          </w:tcPr>
          <w:p w14:paraId="733D8F92" w14:textId="77777777" w:rsidR="00AA53AC" w:rsidRDefault="00AA53AC" w:rsidP="001A5D4A">
            <w:pPr>
              <w:pStyle w:val="NotesTable-CellPlain"/>
            </w:pPr>
          </w:p>
        </w:tc>
        <w:tc>
          <w:tcPr>
            <w:tcW w:w="406" w:type="pct"/>
            <w:shd w:val="clear" w:color="auto" w:fill="auto"/>
          </w:tcPr>
          <w:p w14:paraId="1BB9CD80" w14:textId="77777777" w:rsidR="00AA53AC" w:rsidRDefault="00AA53AC" w:rsidP="001A5D4A">
            <w:pPr>
              <w:pStyle w:val="NotesTable-CellBold"/>
            </w:pPr>
          </w:p>
        </w:tc>
        <w:tc>
          <w:tcPr>
            <w:tcW w:w="405" w:type="pct"/>
            <w:shd w:val="clear" w:color="auto" w:fill="auto"/>
          </w:tcPr>
          <w:p w14:paraId="420D6BE9" w14:textId="77777777" w:rsidR="00AA53AC" w:rsidRDefault="00AA53AC" w:rsidP="001A5D4A">
            <w:pPr>
              <w:pStyle w:val="NotesTable-CellPlain"/>
            </w:pPr>
          </w:p>
        </w:tc>
      </w:tr>
    </w:tbl>
    <w:p w14:paraId="4A6CCDE7" w14:textId="77777777" w:rsidR="00106D3E" w:rsidRPr="00106D3E" w:rsidRDefault="00106D3E" w:rsidP="001A5D4A">
      <w:r w:rsidRPr="00106D3E">
        <w:br w:type="page"/>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5F65FA" w14:paraId="038A3811" w14:textId="77777777" w:rsidTr="005F65FA">
        <w:trPr>
          <w:trHeight w:val="290"/>
        </w:trPr>
        <w:tc>
          <w:tcPr>
            <w:tcW w:w="5000" w:type="pct"/>
            <w:gridSpan w:val="6"/>
          </w:tcPr>
          <w:p w14:paraId="038A3810" w14:textId="0489E9A8" w:rsidR="005F65FA" w:rsidRPr="00106D3E" w:rsidRDefault="005F65FA" w:rsidP="005F65FA">
            <w:pPr>
              <w:pStyle w:val="TOC3"/>
              <w:ind w:left="0"/>
            </w:pPr>
            <w:r w:rsidRPr="00106D3E">
              <w:lastRenderedPageBreak/>
              <w:t>Note 42</w:t>
            </w:r>
            <w:r>
              <w:t xml:space="preserve">. </w:t>
            </w:r>
            <w:r w:rsidRPr="00106D3E">
              <w:t>Related parties (continued)</w:t>
            </w:r>
          </w:p>
        </w:tc>
      </w:tr>
      <w:tr w:rsidR="005F65FA" w14:paraId="73DD5EFA" w14:textId="77777777" w:rsidTr="00463ABD">
        <w:trPr>
          <w:cantSplit/>
          <w:trHeight w:hRule="exact" w:val="227"/>
        </w:trPr>
        <w:tc>
          <w:tcPr>
            <w:tcW w:w="810" w:type="pct"/>
          </w:tcPr>
          <w:p w14:paraId="0FE11019" w14:textId="77777777" w:rsidR="005F65FA" w:rsidRDefault="005F65FA" w:rsidP="001A5D4A">
            <w:pPr>
              <w:pStyle w:val="Note-Refs"/>
            </w:pPr>
          </w:p>
        </w:tc>
        <w:tc>
          <w:tcPr>
            <w:tcW w:w="4190" w:type="pct"/>
            <w:gridSpan w:val="5"/>
            <w:shd w:val="clear" w:color="auto" w:fill="auto"/>
            <w:vAlign w:val="bottom"/>
          </w:tcPr>
          <w:p w14:paraId="483351FE" w14:textId="77777777" w:rsidR="005F65FA" w:rsidRDefault="005F65FA" w:rsidP="001A5D4A">
            <w:pPr>
              <w:pStyle w:val="Note-TextHeader"/>
            </w:pPr>
          </w:p>
        </w:tc>
      </w:tr>
      <w:tr w:rsidR="002A6800" w14:paraId="038A3814" w14:textId="77777777" w:rsidTr="00463ABD">
        <w:trPr>
          <w:cantSplit/>
          <w:trHeight w:hRule="exact" w:val="227"/>
        </w:trPr>
        <w:tc>
          <w:tcPr>
            <w:tcW w:w="810" w:type="pct"/>
          </w:tcPr>
          <w:p w14:paraId="038A3812" w14:textId="77777777" w:rsidR="002A6800" w:rsidRDefault="002A6800" w:rsidP="001A5D4A">
            <w:pPr>
              <w:pStyle w:val="Note-Refs"/>
            </w:pPr>
          </w:p>
        </w:tc>
        <w:tc>
          <w:tcPr>
            <w:tcW w:w="4190" w:type="pct"/>
            <w:gridSpan w:val="5"/>
            <w:shd w:val="clear" w:color="auto" w:fill="auto"/>
            <w:vAlign w:val="bottom"/>
          </w:tcPr>
          <w:p w14:paraId="038A3813" w14:textId="77777777" w:rsidR="002A6800" w:rsidRDefault="002A6800" w:rsidP="001A5D4A">
            <w:pPr>
              <w:pStyle w:val="Note-TextHeader"/>
              <w:rPr>
                <w:b w:val="0"/>
              </w:rPr>
            </w:pPr>
            <w:r>
              <w:t>(e) Loans to/from related parties</w:t>
            </w:r>
          </w:p>
        </w:tc>
      </w:tr>
      <w:tr w:rsidR="00F875F5" w14:paraId="038A3819" w14:textId="77777777" w:rsidTr="005F65FA">
        <w:trPr>
          <w:cantSplit/>
          <w:trHeight w:hRule="exact" w:val="227"/>
        </w:trPr>
        <w:tc>
          <w:tcPr>
            <w:tcW w:w="810" w:type="pct"/>
          </w:tcPr>
          <w:p w14:paraId="038A3815" w14:textId="77777777" w:rsidR="00F875F5" w:rsidRDefault="00F875F5" w:rsidP="001A5D4A">
            <w:pPr>
              <w:pStyle w:val="Note-Refs"/>
            </w:pPr>
          </w:p>
        </w:tc>
        <w:tc>
          <w:tcPr>
            <w:tcW w:w="2567" w:type="pct"/>
            <w:shd w:val="clear" w:color="auto" w:fill="auto"/>
            <w:vAlign w:val="bottom"/>
          </w:tcPr>
          <w:p w14:paraId="038A3816" w14:textId="77777777" w:rsidR="00F875F5" w:rsidRDefault="00F875F5" w:rsidP="001A5D4A">
            <w:pPr>
              <w:pStyle w:val="NotesTable-ItemPlain"/>
            </w:pPr>
          </w:p>
        </w:tc>
        <w:tc>
          <w:tcPr>
            <w:tcW w:w="812" w:type="pct"/>
            <w:gridSpan w:val="2"/>
            <w:shd w:val="clear" w:color="auto" w:fill="auto"/>
          </w:tcPr>
          <w:p w14:paraId="038A3817" w14:textId="77777777" w:rsidR="00F875F5" w:rsidRDefault="00F875F5" w:rsidP="001A5D4A">
            <w:pPr>
              <w:pStyle w:val="NotesTable-HeadPlain"/>
            </w:pPr>
            <w:r>
              <w:t>Consolidated</w:t>
            </w:r>
          </w:p>
        </w:tc>
        <w:tc>
          <w:tcPr>
            <w:tcW w:w="811" w:type="pct"/>
            <w:gridSpan w:val="2"/>
            <w:shd w:val="clear" w:color="auto" w:fill="auto"/>
          </w:tcPr>
          <w:p w14:paraId="038A3818" w14:textId="77777777" w:rsidR="00F875F5" w:rsidRDefault="00F875F5" w:rsidP="001A5D4A">
            <w:pPr>
              <w:pStyle w:val="NotesTable-HeadPlain"/>
            </w:pPr>
            <w:r>
              <w:t>Parent entity</w:t>
            </w:r>
          </w:p>
        </w:tc>
      </w:tr>
      <w:tr w:rsidR="00F875F5" w14:paraId="038A3820" w14:textId="77777777" w:rsidTr="005F65FA">
        <w:trPr>
          <w:cantSplit/>
          <w:trHeight w:hRule="exact" w:val="227"/>
        </w:trPr>
        <w:tc>
          <w:tcPr>
            <w:tcW w:w="810" w:type="pct"/>
          </w:tcPr>
          <w:p w14:paraId="038A381A" w14:textId="77777777" w:rsidR="00F875F5" w:rsidRPr="003C77BC" w:rsidRDefault="00F875F5" w:rsidP="001A5D4A">
            <w:pPr>
              <w:pStyle w:val="Note-Refs"/>
            </w:pPr>
          </w:p>
        </w:tc>
        <w:tc>
          <w:tcPr>
            <w:tcW w:w="2567" w:type="pct"/>
            <w:shd w:val="clear" w:color="auto" w:fill="auto"/>
            <w:vAlign w:val="bottom"/>
          </w:tcPr>
          <w:p w14:paraId="038A381B" w14:textId="77777777" w:rsidR="00F875F5" w:rsidRDefault="00F875F5" w:rsidP="001A5D4A">
            <w:pPr>
              <w:pStyle w:val="NotesTable-ItemPlain"/>
            </w:pPr>
          </w:p>
        </w:tc>
        <w:tc>
          <w:tcPr>
            <w:tcW w:w="406" w:type="pct"/>
            <w:shd w:val="clear" w:color="auto" w:fill="auto"/>
          </w:tcPr>
          <w:p w14:paraId="038A381C" w14:textId="1E36AF05" w:rsidR="00F875F5" w:rsidRDefault="006864EC" w:rsidP="001A5D4A">
            <w:pPr>
              <w:pStyle w:val="NotesTable-HeadBold"/>
            </w:pPr>
            <w:r>
              <w:t>2014</w:t>
            </w:r>
          </w:p>
        </w:tc>
        <w:tc>
          <w:tcPr>
            <w:tcW w:w="406" w:type="pct"/>
            <w:shd w:val="clear" w:color="auto" w:fill="auto"/>
          </w:tcPr>
          <w:p w14:paraId="038A381D" w14:textId="32E52803" w:rsidR="00F875F5" w:rsidRDefault="006864EC" w:rsidP="001A5D4A">
            <w:pPr>
              <w:pStyle w:val="NotesTable-HeadPlain"/>
            </w:pPr>
            <w:r>
              <w:t>2013</w:t>
            </w:r>
          </w:p>
        </w:tc>
        <w:tc>
          <w:tcPr>
            <w:tcW w:w="406" w:type="pct"/>
            <w:shd w:val="clear" w:color="auto" w:fill="auto"/>
          </w:tcPr>
          <w:p w14:paraId="038A381E" w14:textId="1C3CC2B9" w:rsidR="00F875F5" w:rsidRDefault="006864EC" w:rsidP="001A5D4A">
            <w:pPr>
              <w:pStyle w:val="NotesTable-HeadBold"/>
              <w:rPr>
                <w:szCs w:val="18"/>
              </w:rPr>
            </w:pPr>
            <w:r>
              <w:t>2014</w:t>
            </w:r>
          </w:p>
        </w:tc>
        <w:tc>
          <w:tcPr>
            <w:tcW w:w="405" w:type="pct"/>
            <w:shd w:val="clear" w:color="auto" w:fill="auto"/>
          </w:tcPr>
          <w:p w14:paraId="038A381F" w14:textId="6206FF8F" w:rsidR="00F875F5" w:rsidRDefault="006864EC" w:rsidP="001A5D4A">
            <w:pPr>
              <w:pStyle w:val="NotesTable-HeadPlain"/>
            </w:pPr>
            <w:r>
              <w:t>2013</w:t>
            </w:r>
          </w:p>
        </w:tc>
      </w:tr>
      <w:tr w:rsidR="00F875F5" w14:paraId="038A3827" w14:textId="77777777" w:rsidTr="005F65FA">
        <w:trPr>
          <w:cantSplit/>
          <w:trHeight w:hRule="exact" w:val="227"/>
        </w:trPr>
        <w:tc>
          <w:tcPr>
            <w:tcW w:w="810" w:type="pct"/>
          </w:tcPr>
          <w:p w14:paraId="038A3821" w14:textId="77777777" w:rsidR="00F875F5" w:rsidRPr="003C77BC" w:rsidRDefault="00F875F5" w:rsidP="001A5D4A">
            <w:pPr>
              <w:pStyle w:val="Note-Refs"/>
            </w:pPr>
          </w:p>
        </w:tc>
        <w:tc>
          <w:tcPr>
            <w:tcW w:w="2567" w:type="pct"/>
            <w:shd w:val="clear" w:color="auto" w:fill="auto"/>
            <w:vAlign w:val="bottom"/>
          </w:tcPr>
          <w:p w14:paraId="038A3822" w14:textId="77777777" w:rsidR="00F875F5" w:rsidRDefault="00F875F5" w:rsidP="001A5D4A">
            <w:pPr>
              <w:pStyle w:val="NotesTable-ItemPlain"/>
            </w:pPr>
          </w:p>
        </w:tc>
        <w:tc>
          <w:tcPr>
            <w:tcW w:w="406" w:type="pct"/>
            <w:shd w:val="clear" w:color="auto" w:fill="auto"/>
          </w:tcPr>
          <w:p w14:paraId="038A3823" w14:textId="77777777" w:rsidR="00F875F5" w:rsidRDefault="00F875F5" w:rsidP="001A5D4A">
            <w:pPr>
              <w:pStyle w:val="NotesTable-HeadBold"/>
            </w:pPr>
            <w:r>
              <w:t>$’000</w:t>
            </w:r>
          </w:p>
        </w:tc>
        <w:tc>
          <w:tcPr>
            <w:tcW w:w="406" w:type="pct"/>
            <w:shd w:val="clear" w:color="auto" w:fill="auto"/>
          </w:tcPr>
          <w:p w14:paraId="038A3824" w14:textId="77777777" w:rsidR="00F875F5" w:rsidRDefault="00F875F5" w:rsidP="001A5D4A">
            <w:pPr>
              <w:pStyle w:val="NotesTable-HeadPlain"/>
            </w:pPr>
            <w:r>
              <w:t>$’000</w:t>
            </w:r>
          </w:p>
        </w:tc>
        <w:tc>
          <w:tcPr>
            <w:tcW w:w="406" w:type="pct"/>
            <w:shd w:val="clear" w:color="auto" w:fill="auto"/>
          </w:tcPr>
          <w:p w14:paraId="038A3825" w14:textId="77777777" w:rsidR="00F875F5" w:rsidRDefault="00F875F5" w:rsidP="001A5D4A">
            <w:pPr>
              <w:pStyle w:val="NotesTable-HeadBold"/>
              <w:rPr>
                <w:szCs w:val="18"/>
              </w:rPr>
            </w:pPr>
            <w:r>
              <w:t>$’000</w:t>
            </w:r>
          </w:p>
        </w:tc>
        <w:tc>
          <w:tcPr>
            <w:tcW w:w="405" w:type="pct"/>
            <w:shd w:val="clear" w:color="auto" w:fill="auto"/>
          </w:tcPr>
          <w:p w14:paraId="038A3826" w14:textId="77777777" w:rsidR="00F875F5" w:rsidRDefault="00F875F5" w:rsidP="001A5D4A">
            <w:pPr>
              <w:pStyle w:val="NotesTable-HeadPlain"/>
            </w:pPr>
            <w:r>
              <w:t>$’000</w:t>
            </w:r>
          </w:p>
        </w:tc>
      </w:tr>
      <w:tr w:rsidR="00B83214" w14:paraId="038A382A" w14:textId="77777777" w:rsidTr="00463ABD">
        <w:trPr>
          <w:cantSplit/>
          <w:trHeight w:hRule="exact" w:val="227"/>
        </w:trPr>
        <w:tc>
          <w:tcPr>
            <w:tcW w:w="810" w:type="pct"/>
          </w:tcPr>
          <w:p w14:paraId="038A3828" w14:textId="77777777" w:rsidR="00B83214" w:rsidRDefault="00B83214" w:rsidP="001A5D4A">
            <w:pPr>
              <w:pStyle w:val="Note-Refs"/>
              <w:rPr>
                <w:b/>
              </w:rPr>
            </w:pPr>
            <w:r>
              <w:t>AASB124.19c</w:t>
            </w:r>
          </w:p>
        </w:tc>
        <w:tc>
          <w:tcPr>
            <w:tcW w:w="4190" w:type="pct"/>
            <w:gridSpan w:val="5"/>
            <w:shd w:val="clear" w:color="auto" w:fill="auto"/>
            <w:vAlign w:val="bottom"/>
          </w:tcPr>
          <w:p w14:paraId="038A3829" w14:textId="77777777" w:rsidR="00B83214" w:rsidRDefault="00B83214" w:rsidP="001A5D4A">
            <w:pPr>
              <w:pStyle w:val="Note-TextHeader"/>
              <w:rPr>
                <w:b w:val="0"/>
                <w:lang w:val="en-GB"/>
              </w:rPr>
            </w:pPr>
            <w:r w:rsidRPr="004D19BD">
              <w:t>Loans to subsidiaries</w:t>
            </w:r>
          </w:p>
        </w:tc>
      </w:tr>
      <w:tr w:rsidR="00DA4322" w14:paraId="038A3831" w14:textId="77777777" w:rsidTr="005F65FA">
        <w:trPr>
          <w:cantSplit/>
          <w:trHeight w:hRule="exact" w:val="227"/>
        </w:trPr>
        <w:tc>
          <w:tcPr>
            <w:tcW w:w="810" w:type="pct"/>
          </w:tcPr>
          <w:p w14:paraId="038A382B" w14:textId="77777777" w:rsidR="00DA4322" w:rsidRDefault="00DA4322" w:rsidP="001A5D4A">
            <w:pPr>
              <w:pStyle w:val="Note-Refs"/>
              <w:rPr>
                <w:b/>
              </w:rPr>
            </w:pPr>
            <w:r>
              <w:t xml:space="preserve">AASB124.19b </w:t>
            </w:r>
          </w:p>
        </w:tc>
        <w:tc>
          <w:tcPr>
            <w:tcW w:w="2567" w:type="pct"/>
            <w:shd w:val="clear" w:color="auto" w:fill="auto"/>
            <w:vAlign w:val="bottom"/>
          </w:tcPr>
          <w:p w14:paraId="038A382C" w14:textId="77777777" w:rsidR="00DA4322" w:rsidRDefault="00DA4322" w:rsidP="001A5D4A">
            <w:pPr>
              <w:pStyle w:val="NotesTable-ItemPlain"/>
              <w:rPr>
                <w:b/>
              </w:rPr>
            </w:pPr>
            <w:r>
              <w:t>Beginning of the year</w:t>
            </w:r>
          </w:p>
        </w:tc>
        <w:tc>
          <w:tcPr>
            <w:tcW w:w="406" w:type="pct"/>
            <w:shd w:val="clear" w:color="auto" w:fill="auto"/>
          </w:tcPr>
          <w:p w14:paraId="038A382D" w14:textId="77777777" w:rsidR="00DA4322" w:rsidRDefault="00DA4322" w:rsidP="001A5D4A">
            <w:pPr>
              <w:pStyle w:val="NotesTable-CellBold"/>
            </w:pPr>
            <w:r w:rsidRPr="00BB09A7">
              <w:t>–</w:t>
            </w:r>
          </w:p>
        </w:tc>
        <w:tc>
          <w:tcPr>
            <w:tcW w:w="406" w:type="pct"/>
            <w:shd w:val="clear" w:color="auto" w:fill="auto"/>
          </w:tcPr>
          <w:p w14:paraId="038A382E" w14:textId="77777777" w:rsidR="00DA4322" w:rsidRDefault="00DA4322" w:rsidP="001A5D4A">
            <w:pPr>
              <w:pStyle w:val="NotesTable-CellPlain"/>
            </w:pPr>
            <w:r w:rsidRPr="00BB09A7">
              <w:t>–</w:t>
            </w:r>
          </w:p>
        </w:tc>
        <w:tc>
          <w:tcPr>
            <w:tcW w:w="406" w:type="pct"/>
            <w:shd w:val="clear" w:color="auto" w:fill="auto"/>
          </w:tcPr>
          <w:p w14:paraId="038A382F" w14:textId="77777777" w:rsidR="00DA4322" w:rsidRDefault="00DA4322" w:rsidP="001A5D4A">
            <w:pPr>
              <w:pStyle w:val="NotesTable-CellBold"/>
            </w:pPr>
            <w:r w:rsidRPr="00BB09A7">
              <w:t>–</w:t>
            </w:r>
          </w:p>
        </w:tc>
        <w:tc>
          <w:tcPr>
            <w:tcW w:w="405" w:type="pct"/>
            <w:shd w:val="clear" w:color="auto" w:fill="auto"/>
          </w:tcPr>
          <w:p w14:paraId="038A3830" w14:textId="77777777" w:rsidR="00DA4322" w:rsidRDefault="00DA4322" w:rsidP="001A5D4A">
            <w:pPr>
              <w:pStyle w:val="NotesTable-CellPlain"/>
            </w:pPr>
            <w:r w:rsidRPr="00BB09A7">
              <w:t>–</w:t>
            </w:r>
          </w:p>
        </w:tc>
      </w:tr>
      <w:tr w:rsidR="00DA4322" w14:paraId="038A3838" w14:textId="77777777" w:rsidTr="005F65FA">
        <w:trPr>
          <w:cantSplit/>
          <w:trHeight w:hRule="exact" w:val="227"/>
        </w:trPr>
        <w:tc>
          <w:tcPr>
            <w:tcW w:w="810" w:type="pct"/>
          </w:tcPr>
          <w:p w14:paraId="038A3832" w14:textId="77777777" w:rsidR="00DA4322" w:rsidRDefault="00DA4322" w:rsidP="001A5D4A">
            <w:pPr>
              <w:pStyle w:val="Note-Refs"/>
              <w:rPr>
                <w:b/>
              </w:rPr>
            </w:pPr>
            <w:r>
              <w:t>AASB124.19a</w:t>
            </w:r>
          </w:p>
        </w:tc>
        <w:tc>
          <w:tcPr>
            <w:tcW w:w="2567" w:type="pct"/>
            <w:shd w:val="clear" w:color="auto" w:fill="auto"/>
            <w:vAlign w:val="bottom"/>
          </w:tcPr>
          <w:p w14:paraId="038A3833" w14:textId="77777777" w:rsidR="00DA4322" w:rsidRDefault="00DA4322" w:rsidP="001A5D4A">
            <w:pPr>
              <w:pStyle w:val="NotesTable-ItemPlain"/>
              <w:rPr>
                <w:b/>
              </w:rPr>
            </w:pPr>
            <w:r>
              <w:t>Loans advanced</w:t>
            </w:r>
          </w:p>
        </w:tc>
        <w:tc>
          <w:tcPr>
            <w:tcW w:w="406" w:type="pct"/>
            <w:shd w:val="clear" w:color="auto" w:fill="auto"/>
          </w:tcPr>
          <w:p w14:paraId="038A3834" w14:textId="77777777" w:rsidR="00DA4322" w:rsidRDefault="00DA4322" w:rsidP="001A5D4A">
            <w:pPr>
              <w:pStyle w:val="NotesTable-CellBold"/>
            </w:pPr>
            <w:r w:rsidRPr="00BB09A7">
              <w:t>–</w:t>
            </w:r>
          </w:p>
        </w:tc>
        <w:tc>
          <w:tcPr>
            <w:tcW w:w="406" w:type="pct"/>
            <w:shd w:val="clear" w:color="auto" w:fill="auto"/>
          </w:tcPr>
          <w:p w14:paraId="038A3835" w14:textId="77777777" w:rsidR="00DA4322" w:rsidRDefault="00DA4322" w:rsidP="001A5D4A">
            <w:pPr>
              <w:pStyle w:val="NotesTable-CellPlain"/>
            </w:pPr>
            <w:r w:rsidRPr="00BB09A7">
              <w:t>–</w:t>
            </w:r>
          </w:p>
        </w:tc>
        <w:tc>
          <w:tcPr>
            <w:tcW w:w="406" w:type="pct"/>
            <w:shd w:val="clear" w:color="auto" w:fill="auto"/>
          </w:tcPr>
          <w:p w14:paraId="038A3836" w14:textId="77777777" w:rsidR="00DA4322" w:rsidRDefault="00DA4322" w:rsidP="001A5D4A">
            <w:pPr>
              <w:pStyle w:val="NotesTable-CellBold"/>
            </w:pPr>
            <w:r w:rsidRPr="00BB09A7">
              <w:t>–</w:t>
            </w:r>
          </w:p>
        </w:tc>
        <w:tc>
          <w:tcPr>
            <w:tcW w:w="405" w:type="pct"/>
            <w:shd w:val="clear" w:color="auto" w:fill="auto"/>
          </w:tcPr>
          <w:p w14:paraId="038A3837" w14:textId="77777777" w:rsidR="00DA4322" w:rsidRDefault="00DA4322" w:rsidP="001A5D4A">
            <w:pPr>
              <w:pStyle w:val="NotesTable-CellPlain"/>
            </w:pPr>
            <w:r w:rsidRPr="00BB09A7">
              <w:t>–</w:t>
            </w:r>
          </w:p>
        </w:tc>
      </w:tr>
      <w:tr w:rsidR="00DA4322" w14:paraId="038A383F" w14:textId="77777777" w:rsidTr="005F65FA">
        <w:trPr>
          <w:cantSplit/>
          <w:trHeight w:hRule="exact" w:val="227"/>
        </w:trPr>
        <w:tc>
          <w:tcPr>
            <w:tcW w:w="810" w:type="pct"/>
          </w:tcPr>
          <w:p w14:paraId="038A3839" w14:textId="77777777" w:rsidR="00DA4322" w:rsidRDefault="00DA4322" w:rsidP="001A5D4A">
            <w:pPr>
              <w:pStyle w:val="Note-Refs"/>
              <w:rPr>
                <w:b/>
              </w:rPr>
            </w:pPr>
            <w:r>
              <w:t>AASB124.19a</w:t>
            </w:r>
          </w:p>
        </w:tc>
        <w:tc>
          <w:tcPr>
            <w:tcW w:w="2567" w:type="pct"/>
            <w:shd w:val="clear" w:color="auto" w:fill="auto"/>
            <w:vAlign w:val="bottom"/>
          </w:tcPr>
          <w:p w14:paraId="038A383A" w14:textId="77777777" w:rsidR="00DA4322" w:rsidRDefault="00DA4322" w:rsidP="001A5D4A">
            <w:pPr>
              <w:pStyle w:val="NotesTable-ItemPlain"/>
              <w:rPr>
                <w:b/>
              </w:rPr>
            </w:pPr>
            <w:r>
              <w:t>Loan repayments received</w:t>
            </w:r>
          </w:p>
        </w:tc>
        <w:tc>
          <w:tcPr>
            <w:tcW w:w="406" w:type="pct"/>
            <w:shd w:val="clear" w:color="auto" w:fill="auto"/>
          </w:tcPr>
          <w:p w14:paraId="038A383B" w14:textId="77777777" w:rsidR="00DA4322" w:rsidRDefault="00DA4322" w:rsidP="001A5D4A">
            <w:pPr>
              <w:pStyle w:val="NotesTable-CellBold"/>
            </w:pPr>
            <w:r w:rsidRPr="00BB09A7">
              <w:t>–</w:t>
            </w:r>
          </w:p>
        </w:tc>
        <w:tc>
          <w:tcPr>
            <w:tcW w:w="406" w:type="pct"/>
            <w:shd w:val="clear" w:color="auto" w:fill="auto"/>
          </w:tcPr>
          <w:p w14:paraId="038A383C" w14:textId="77777777" w:rsidR="00DA4322" w:rsidRDefault="00DA4322" w:rsidP="001A5D4A">
            <w:pPr>
              <w:pStyle w:val="NotesTable-CellPlain"/>
            </w:pPr>
            <w:r w:rsidRPr="00BB09A7">
              <w:t>–</w:t>
            </w:r>
          </w:p>
        </w:tc>
        <w:tc>
          <w:tcPr>
            <w:tcW w:w="406" w:type="pct"/>
            <w:shd w:val="clear" w:color="auto" w:fill="auto"/>
          </w:tcPr>
          <w:p w14:paraId="038A383D" w14:textId="77777777" w:rsidR="00DA4322" w:rsidRDefault="00DA4322" w:rsidP="001A5D4A">
            <w:pPr>
              <w:pStyle w:val="NotesTable-CellBold"/>
            </w:pPr>
            <w:r w:rsidRPr="00BB09A7">
              <w:t>–</w:t>
            </w:r>
          </w:p>
        </w:tc>
        <w:tc>
          <w:tcPr>
            <w:tcW w:w="405" w:type="pct"/>
            <w:shd w:val="clear" w:color="auto" w:fill="auto"/>
          </w:tcPr>
          <w:p w14:paraId="038A383E" w14:textId="77777777" w:rsidR="00DA4322" w:rsidRDefault="00DA4322" w:rsidP="001A5D4A">
            <w:pPr>
              <w:pStyle w:val="NotesTable-CellPlain"/>
            </w:pPr>
            <w:r w:rsidRPr="00BB09A7">
              <w:t>–</w:t>
            </w:r>
          </w:p>
        </w:tc>
      </w:tr>
      <w:tr w:rsidR="00DA4322" w14:paraId="038A3846" w14:textId="77777777" w:rsidTr="005F65FA">
        <w:trPr>
          <w:cantSplit/>
          <w:trHeight w:hRule="exact" w:val="227"/>
        </w:trPr>
        <w:tc>
          <w:tcPr>
            <w:tcW w:w="810" w:type="pct"/>
          </w:tcPr>
          <w:p w14:paraId="038A3840" w14:textId="77777777" w:rsidR="00DA4322" w:rsidRDefault="00DA4322" w:rsidP="001A5D4A">
            <w:pPr>
              <w:pStyle w:val="Note-Refs"/>
              <w:rPr>
                <w:b/>
              </w:rPr>
            </w:pPr>
            <w:r>
              <w:t>AASB124.19a</w:t>
            </w:r>
          </w:p>
        </w:tc>
        <w:tc>
          <w:tcPr>
            <w:tcW w:w="2567" w:type="pct"/>
            <w:shd w:val="clear" w:color="auto" w:fill="auto"/>
            <w:vAlign w:val="bottom"/>
          </w:tcPr>
          <w:p w14:paraId="038A3841" w14:textId="77777777" w:rsidR="00DA4322" w:rsidRDefault="00DA4322" w:rsidP="001A5D4A">
            <w:pPr>
              <w:pStyle w:val="NotesTable-ItemPlain"/>
              <w:rPr>
                <w:b/>
              </w:rPr>
            </w:pPr>
            <w:r>
              <w:t>Interest charged</w:t>
            </w:r>
          </w:p>
        </w:tc>
        <w:tc>
          <w:tcPr>
            <w:tcW w:w="406" w:type="pct"/>
            <w:shd w:val="clear" w:color="auto" w:fill="auto"/>
          </w:tcPr>
          <w:p w14:paraId="038A3842" w14:textId="77777777" w:rsidR="00DA4322" w:rsidRDefault="00DA4322" w:rsidP="001A5D4A">
            <w:pPr>
              <w:pStyle w:val="NotesTable-CellBold"/>
            </w:pPr>
            <w:r w:rsidRPr="00BB09A7">
              <w:t>–</w:t>
            </w:r>
          </w:p>
        </w:tc>
        <w:tc>
          <w:tcPr>
            <w:tcW w:w="406" w:type="pct"/>
            <w:shd w:val="clear" w:color="auto" w:fill="auto"/>
          </w:tcPr>
          <w:p w14:paraId="038A3843" w14:textId="77777777" w:rsidR="00DA4322" w:rsidRDefault="00DA4322" w:rsidP="001A5D4A">
            <w:pPr>
              <w:pStyle w:val="NotesTable-CellPlain"/>
            </w:pPr>
            <w:r w:rsidRPr="00BB09A7">
              <w:t>–</w:t>
            </w:r>
          </w:p>
        </w:tc>
        <w:tc>
          <w:tcPr>
            <w:tcW w:w="406" w:type="pct"/>
            <w:shd w:val="clear" w:color="auto" w:fill="auto"/>
          </w:tcPr>
          <w:p w14:paraId="038A3844" w14:textId="77777777" w:rsidR="00DA4322" w:rsidRDefault="00DA4322" w:rsidP="001A5D4A">
            <w:pPr>
              <w:pStyle w:val="NotesTable-CellBold"/>
            </w:pPr>
            <w:r w:rsidRPr="00BB09A7">
              <w:t>–</w:t>
            </w:r>
          </w:p>
        </w:tc>
        <w:tc>
          <w:tcPr>
            <w:tcW w:w="405" w:type="pct"/>
            <w:shd w:val="clear" w:color="auto" w:fill="auto"/>
          </w:tcPr>
          <w:p w14:paraId="038A3845" w14:textId="77777777" w:rsidR="00DA4322" w:rsidRDefault="00DA4322" w:rsidP="001A5D4A">
            <w:pPr>
              <w:pStyle w:val="NotesTable-CellPlain"/>
            </w:pPr>
            <w:r w:rsidRPr="00BB09A7">
              <w:t>–</w:t>
            </w:r>
          </w:p>
        </w:tc>
      </w:tr>
      <w:tr w:rsidR="00DA4322" w14:paraId="038A384D" w14:textId="77777777" w:rsidTr="005F65FA">
        <w:trPr>
          <w:cantSplit/>
          <w:trHeight w:hRule="exact" w:val="227"/>
        </w:trPr>
        <w:tc>
          <w:tcPr>
            <w:tcW w:w="810" w:type="pct"/>
          </w:tcPr>
          <w:p w14:paraId="038A3847" w14:textId="77777777" w:rsidR="00DA4322" w:rsidRDefault="00DA4322" w:rsidP="001A5D4A">
            <w:pPr>
              <w:pStyle w:val="Note-Refs"/>
              <w:rPr>
                <w:b/>
              </w:rPr>
            </w:pPr>
            <w:r>
              <w:t>AASB124.19a</w:t>
            </w:r>
          </w:p>
        </w:tc>
        <w:tc>
          <w:tcPr>
            <w:tcW w:w="2567" w:type="pct"/>
            <w:shd w:val="clear" w:color="auto" w:fill="auto"/>
            <w:vAlign w:val="bottom"/>
          </w:tcPr>
          <w:p w14:paraId="038A3848" w14:textId="77777777" w:rsidR="00DA4322" w:rsidRDefault="00DA4322" w:rsidP="001A5D4A">
            <w:pPr>
              <w:pStyle w:val="NotesTable-ItemPlain"/>
              <w:rPr>
                <w:b/>
              </w:rPr>
            </w:pPr>
            <w:r>
              <w:t>Interest received</w:t>
            </w:r>
          </w:p>
        </w:tc>
        <w:tc>
          <w:tcPr>
            <w:tcW w:w="406" w:type="pct"/>
            <w:tcBorders>
              <w:bottom w:val="single" w:sz="4" w:space="0" w:color="000000"/>
            </w:tcBorders>
            <w:shd w:val="clear" w:color="auto" w:fill="auto"/>
          </w:tcPr>
          <w:p w14:paraId="038A3849" w14:textId="77777777" w:rsidR="00DA4322" w:rsidRDefault="00DA4322" w:rsidP="001A5D4A">
            <w:pPr>
              <w:pStyle w:val="NotesTable-CellBold"/>
            </w:pPr>
            <w:r w:rsidRPr="00BB09A7">
              <w:t>–</w:t>
            </w:r>
          </w:p>
        </w:tc>
        <w:tc>
          <w:tcPr>
            <w:tcW w:w="406" w:type="pct"/>
            <w:tcBorders>
              <w:bottom w:val="single" w:sz="4" w:space="0" w:color="000000"/>
            </w:tcBorders>
            <w:shd w:val="clear" w:color="auto" w:fill="auto"/>
          </w:tcPr>
          <w:p w14:paraId="038A384A" w14:textId="77777777" w:rsidR="00DA4322" w:rsidRDefault="00DA4322" w:rsidP="001A5D4A">
            <w:pPr>
              <w:pStyle w:val="NotesTable-CellPlain"/>
            </w:pPr>
            <w:r w:rsidRPr="00BB09A7">
              <w:t>–</w:t>
            </w:r>
          </w:p>
        </w:tc>
        <w:tc>
          <w:tcPr>
            <w:tcW w:w="406" w:type="pct"/>
            <w:tcBorders>
              <w:bottom w:val="single" w:sz="4" w:space="0" w:color="000000"/>
            </w:tcBorders>
            <w:shd w:val="clear" w:color="auto" w:fill="auto"/>
          </w:tcPr>
          <w:p w14:paraId="038A384B" w14:textId="77777777" w:rsidR="00DA4322" w:rsidRDefault="00DA4322" w:rsidP="001A5D4A">
            <w:pPr>
              <w:pStyle w:val="NotesTable-CellBold"/>
            </w:pPr>
            <w:r w:rsidRPr="00BB09A7">
              <w:t>–</w:t>
            </w:r>
          </w:p>
        </w:tc>
        <w:tc>
          <w:tcPr>
            <w:tcW w:w="405" w:type="pct"/>
            <w:tcBorders>
              <w:bottom w:val="single" w:sz="4" w:space="0" w:color="000000"/>
            </w:tcBorders>
            <w:shd w:val="clear" w:color="auto" w:fill="auto"/>
          </w:tcPr>
          <w:p w14:paraId="038A384C" w14:textId="77777777" w:rsidR="00DA4322" w:rsidRDefault="00DA4322" w:rsidP="001A5D4A">
            <w:pPr>
              <w:pStyle w:val="NotesTable-CellPlain"/>
            </w:pPr>
            <w:r w:rsidRPr="00BB09A7">
              <w:t>–</w:t>
            </w:r>
          </w:p>
        </w:tc>
      </w:tr>
      <w:tr w:rsidR="00DA4322" w14:paraId="038A3854" w14:textId="77777777" w:rsidTr="005F65FA">
        <w:trPr>
          <w:cantSplit/>
          <w:trHeight w:hRule="exact" w:val="227"/>
        </w:trPr>
        <w:tc>
          <w:tcPr>
            <w:tcW w:w="810" w:type="pct"/>
          </w:tcPr>
          <w:p w14:paraId="038A384E" w14:textId="77777777" w:rsidR="00DA4322" w:rsidRDefault="00DA4322" w:rsidP="001A5D4A">
            <w:pPr>
              <w:pStyle w:val="Note-Refs"/>
              <w:rPr>
                <w:b/>
              </w:rPr>
            </w:pPr>
            <w:r>
              <w:t>AASB124.19b</w:t>
            </w:r>
          </w:p>
        </w:tc>
        <w:tc>
          <w:tcPr>
            <w:tcW w:w="2567" w:type="pct"/>
            <w:shd w:val="clear" w:color="auto" w:fill="auto"/>
            <w:vAlign w:val="bottom"/>
          </w:tcPr>
          <w:p w14:paraId="038A384F" w14:textId="77777777" w:rsidR="00DA4322" w:rsidRDefault="00DA4322" w:rsidP="001A5D4A">
            <w:pPr>
              <w:pStyle w:val="NotesTable-ItemPlain"/>
              <w:rPr>
                <w:b/>
              </w:rPr>
            </w:pPr>
            <w:r>
              <w:t>End of year</w:t>
            </w:r>
          </w:p>
        </w:tc>
        <w:tc>
          <w:tcPr>
            <w:tcW w:w="406" w:type="pct"/>
            <w:tcBorders>
              <w:top w:val="single" w:sz="4" w:space="0" w:color="000000"/>
            </w:tcBorders>
            <w:shd w:val="clear" w:color="auto" w:fill="auto"/>
          </w:tcPr>
          <w:p w14:paraId="038A3850" w14:textId="77777777" w:rsidR="00DA4322" w:rsidRDefault="00DA4322" w:rsidP="001A5D4A">
            <w:pPr>
              <w:pStyle w:val="NotesTable-CellBold"/>
            </w:pPr>
            <w:r w:rsidRPr="00BB09A7">
              <w:t>–</w:t>
            </w:r>
          </w:p>
        </w:tc>
        <w:tc>
          <w:tcPr>
            <w:tcW w:w="406" w:type="pct"/>
            <w:tcBorders>
              <w:top w:val="single" w:sz="4" w:space="0" w:color="000000"/>
            </w:tcBorders>
            <w:shd w:val="clear" w:color="auto" w:fill="auto"/>
          </w:tcPr>
          <w:p w14:paraId="038A3851" w14:textId="77777777" w:rsidR="00DA4322" w:rsidRDefault="00DA4322" w:rsidP="001A5D4A">
            <w:pPr>
              <w:pStyle w:val="NotesTable-CellPlain"/>
            </w:pPr>
            <w:r w:rsidRPr="00BB09A7">
              <w:t>–</w:t>
            </w:r>
          </w:p>
        </w:tc>
        <w:tc>
          <w:tcPr>
            <w:tcW w:w="406" w:type="pct"/>
            <w:tcBorders>
              <w:top w:val="single" w:sz="4" w:space="0" w:color="000000"/>
            </w:tcBorders>
            <w:shd w:val="clear" w:color="auto" w:fill="auto"/>
          </w:tcPr>
          <w:p w14:paraId="038A3852" w14:textId="77777777" w:rsidR="00DA4322" w:rsidRDefault="00DA4322" w:rsidP="001A5D4A">
            <w:pPr>
              <w:pStyle w:val="NotesTable-CellBold"/>
            </w:pPr>
            <w:r w:rsidRPr="00BB09A7">
              <w:t>–</w:t>
            </w:r>
          </w:p>
        </w:tc>
        <w:tc>
          <w:tcPr>
            <w:tcW w:w="405" w:type="pct"/>
            <w:tcBorders>
              <w:top w:val="single" w:sz="4" w:space="0" w:color="000000"/>
            </w:tcBorders>
            <w:shd w:val="clear" w:color="auto" w:fill="auto"/>
          </w:tcPr>
          <w:p w14:paraId="038A3853" w14:textId="77777777" w:rsidR="00DA4322" w:rsidRDefault="00DA4322" w:rsidP="001A5D4A">
            <w:pPr>
              <w:pStyle w:val="NotesTable-CellPlain"/>
            </w:pPr>
            <w:r w:rsidRPr="00BB09A7">
              <w:t>–</w:t>
            </w:r>
          </w:p>
        </w:tc>
      </w:tr>
      <w:tr w:rsidR="00B83214" w14:paraId="038A3857" w14:textId="77777777" w:rsidTr="00463ABD">
        <w:trPr>
          <w:cantSplit/>
          <w:trHeight w:hRule="exact" w:val="227"/>
        </w:trPr>
        <w:tc>
          <w:tcPr>
            <w:tcW w:w="810" w:type="pct"/>
          </w:tcPr>
          <w:p w14:paraId="038A3855" w14:textId="77777777" w:rsidR="00B83214" w:rsidRDefault="00B83214" w:rsidP="001A5D4A">
            <w:pPr>
              <w:pStyle w:val="Note-Refs"/>
            </w:pPr>
          </w:p>
        </w:tc>
        <w:tc>
          <w:tcPr>
            <w:tcW w:w="4190" w:type="pct"/>
            <w:gridSpan w:val="5"/>
            <w:shd w:val="clear" w:color="auto" w:fill="auto"/>
            <w:vAlign w:val="bottom"/>
          </w:tcPr>
          <w:p w14:paraId="038A3856" w14:textId="77777777" w:rsidR="00B83214" w:rsidRDefault="00B83214" w:rsidP="001A5D4A">
            <w:pPr>
              <w:pStyle w:val="NotesTable-ItemPlain"/>
            </w:pPr>
          </w:p>
        </w:tc>
      </w:tr>
      <w:tr w:rsidR="00B83214" w14:paraId="038A385A" w14:textId="77777777" w:rsidTr="00463ABD">
        <w:trPr>
          <w:cantSplit/>
          <w:trHeight w:hRule="exact" w:val="227"/>
        </w:trPr>
        <w:tc>
          <w:tcPr>
            <w:tcW w:w="810" w:type="pct"/>
          </w:tcPr>
          <w:p w14:paraId="038A3858" w14:textId="77777777" w:rsidR="00B83214" w:rsidRDefault="00B83214" w:rsidP="001A5D4A">
            <w:pPr>
              <w:pStyle w:val="Note-Refs"/>
              <w:rPr>
                <w:b/>
              </w:rPr>
            </w:pPr>
            <w:r>
              <w:t>AASB124.19g</w:t>
            </w:r>
          </w:p>
        </w:tc>
        <w:tc>
          <w:tcPr>
            <w:tcW w:w="4190" w:type="pct"/>
            <w:gridSpan w:val="5"/>
            <w:shd w:val="clear" w:color="auto" w:fill="auto"/>
            <w:vAlign w:val="bottom"/>
          </w:tcPr>
          <w:p w14:paraId="038A3859" w14:textId="77777777" w:rsidR="00B83214" w:rsidRDefault="00B83214" w:rsidP="001A5D4A">
            <w:pPr>
              <w:pStyle w:val="Note-TextHeader"/>
              <w:rPr>
                <w:lang w:val="en-GB"/>
              </w:rPr>
            </w:pPr>
            <w:r w:rsidRPr="004D19BD">
              <w:t>Loans to other related parties</w:t>
            </w:r>
          </w:p>
        </w:tc>
      </w:tr>
      <w:tr w:rsidR="00DA4322" w14:paraId="038A3861" w14:textId="77777777" w:rsidTr="005F65FA">
        <w:trPr>
          <w:cantSplit/>
          <w:trHeight w:hRule="exact" w:val="227"/>
        </w:trPr>
        <w:tc>
          <w:tcPr>
            <w:tcW w:w="810" w:type="pct"/>
          </w:tcPr>
          <w:p w14:paraId="038A385B" w14:textId="77777777" w:rsidR="00DA4322" w:rsidRDefault="00DA4322" w:rsidP="001A5D4A">
            <w:pPr>
              <w:pStyle w:val="Note-Refs"/>
              <w:rPr>
                <w:b/>
              </w:rPr>
            </w:pPr>
            <w:r>
              <w:t xml:space="preserve">AASB124.19b </w:t>
            </w:r>
          </w:p>
        </w:tc>
        <w:tc>
          <w:tcPr>
            <w:tcW w:w="2567" w:type="pct"/>
            <w:shd w:val="clear" w:color="auto" w:fill="auto"/>
            <w:vAlign w:val="bottom"/>
          </w:tcPr>
          <w:p w14:paraId="038A385C" w14:textId="77777777" w:rsidR="00DA4322" w:rsidRDefault="00DA4322" w:rsidP="001A5D4A">
            <w:pPr>
              <w:pStyle w:val="NotesTable-ItemPlain"/>
              <w:rPr>
                <w:b/>
              </w:rPr>
            </w:pPr>
            <w:r>
              <w:t>Beginning of the year</w:t>
            </w:r>
          </w:p>
        </w:tc>
        <w:tc>
          <w:tcPr>
            <w:tcW w:w="406" w:type="pct"/>
            <w:shd w:val="clear" w:color="auto" w:fill="auto"/>
          </w:tcPr>
          <w:p w14:paraId="038A385D" w14:textId="77777777" w:rsidR="00DA4322" w:rsidRDefault="00DA4322" w:rsidP="001A5D4A">
            <w:pPr>
              <w:pStyle w:val="NotesTable-CellBold"/>
            </w:pPr>
            <w:r w:rsidRPr="00654D07">
              <w:t>–</w:t>
            </w:r>
          </w:p>
        </w:tc>
        <w:tc>
          <w:tcPr>
            <w:tcW w:w="406" w:type="pct"/>
            <w:shd w:val="clear" w:color="auto" w:fill="auto"/>
          </w:tcPr>
          <w:p w14:paraId="038A385E" w14:textId="77777777" w:rsidR="00DA4322" w:rsidRDefault="00DA4322" w:rsidP="001A5D4A">
            <w:pPr>
              <w:pStyle w:val="NotesTable-CellPlain"/>
            </w:pPr>
            <w:r w:rsidRPr="00654D07">
              <w:t>–</w:t>
            </w:r>
          </w:p>
        </w:tc>
        <w:tc>
          <w:tcPr>
            <w:tcW w:w="406" w:type="pct"/>
            <w:shd w:val="clear" w:color="auto" w:fill="auto"/>
          </w:tcPr>
          <w:p w14:paraId="038A385F" w14:textId="77777777" w:rsidR="00DA4322" w:rsidRDefault="00DA4322" w:rsidP="001A5D4A">
            <w:pPr>
              <w:pStyle w:val="NotesTable-CellBold"/>
            </w:pPr>
            <w:r w:rsidRPr="00654D07">
              <w:t>–</w:t>
            </w:r>
          </w:p>
        </w:tc>
        <w:tc>
          <w:tcPr>
            <w:tcW w:w="405" w:type="pct"/>
            <w:shd w:val="clear" w:color="auto" w:fill="auto"/>
          </w:tcPr>
          <w:p w14:paraId="038A3860" w14:textId="77777777" w:rsidR="00DA4322" w:rsidRDefault="00DA4322" w:rsidP="001A5D4A">
            <w:pPr>
              <w:pStyle w:val="NotesTable-CellPlain"/>
            </w:pPr>
            <w:r w:rsidRPr="00654D07">
              <w:t>–</w:t>
            </w:r>
          </w:p>
        </w:tc>
      </w:tr>
      <w:tr w:rsidR="00DA4322" w14:paraId="038A3868" w14:textId="77777777" w:rsidTr="005F65FA">
        <w:trPr>
          <w:cantSplit/>
          <w:trHeight w:hRule="exact" w:val="227"/>
        </w:trPr>
        <w:tc>
          <w:tcPr>
            <w:tcW w:w="810" w:type="pct"/>
          </w:tcPr>
          <w:p w14:paraId="038A3862" w14:textId="77777777" w:rsidR="00DA4322" w:rsidRDefault="00DA4322" w:rsidP="001A5D4A">
            <w:pPr>
              <w:pStyle w:val="Note-Refs"/>
              <w:rPr>
                <w:b/>
              </w:rPr>
            </w:pPr>
            <w:r>
              <w:t>AASB124.19a</w:t>
            </w:r>
          </w:p>
        </w:tc>
        <w:tc>
          <w:tcPr>
            <w:tcW w:w="2567" w:type="pct"/>
            <w:shd w:val="clear" w:color="auto" w:fill="auto"/>
            <w:vAlign w:val="bottom"/>
          </w:tcPr>
          <w:p w14:paraId="038A3863" w14:textId="77777777" w:rsidR="00DA4322" w:rsidRDefault="00DA4322" w:rsidP="001A5D4A">
            <w:pPr>
              <w:pStyle w:val="NotesTable-ItemPlain"/>
              <w:rPr>
                <w:b/>
              </w:rPr>
            </w:pPr>
            <w:r>
              <w:t>Loans advanced</w:t>
            </w:r>
          </w:p>
        </w:tc>
        <w:tc>
          <w:tcPr>
            <w:tcW w:w="406" w:type="pct"/>
            <w:shd w:val="clear" w:color="auto" w:fill="auto"/>
          </w:tcPr>
          <w:p w14:paraId="038A3864" w14:textId="77777777" w:rsidR="00DA4322" w:rsidRDefault="00DA4322" w:rsidP="001A5D4A">
            <w:pPr>
              <w:pStyle w:val="NotesTable-CellBold"/>
            </w:pPr>
            <w:r w:rsidRPr="00654D07">
              <w:t>–</w:t>
            </w:r>
          </w:p>
        </w:tc>
        <w:tc>
          <w:tcPr>
            <w:tcW w:w="406" w:type="pct"/>
            <w:shd w:val="clear" w:color="auto" w:fill="auto"/>
          </w:tcPr>
          <w:p w14:paraId="038A3865" w14:textId="77777777" w:rsidR="00DA4322" w:rsidRDefault="00DA4322" w:rsidP="001A5D4A">
            <w:pPr>
              <w:pStyle w:val="NotesTable-CellPlain"/>
            </w:pPr>
            <w:r w:rsidRPr="00654D07">
              <w:t>–</w:t>
            </w:r>
          </w:p>
        </w:tc>
        <w:tc>
          <w:tcPr>
            <w:tcW w:w="406" w:type="pct"/>
            <w:shd w:val="clear" w:color="auto" w:fill="auto"/>
          </w:tcPr>
          <w:p w14:paraId="038A3866" w14:textId="77777777" w:rsidR="00DA4322" w:rsidRDefault="00DA4322" w:rsidP="001A5D4A">
            <w:pPr>
              <w:pStyle w:val="NotesTable-CellBold"/>
            </w:pPr>
            <w:r w:rsidRPr="00654D07">
              <w:t>–</w:t>
            </w:r>
          </w:p>
        </w:tc>
        <w:tc>
          <w:tcPr>
            <w:tcW w:w="405" w:type="pct"/>
            <w:shd w:val="clear" w:color="auto" w:fill="auto"/>
          </w:tcPr>
          <w:p w14:paraId="038A3867" w14:textId="77777777" w:rsidR="00DA4322" w:rsidRDefault="00DA4322" w:rsidP="001A5D4A">
            <w:pPr>
              <w:pStyle w:val="NotesTable-CellPlain"/>
            </w:pPr>
            <w:r w:rsidRPr="00654D07">
              <w:t>–</w:t>
            </w:r>
          </w:p>
        </w:tc>
      </w:tr>
      <w:tr w:rsidR="00DA4322" w14:paraId="038A386F" w14:textId="77777777" w:rsidTr="005F65FA">
        <w:trPr>
          <w:cantSplit/>
          <w:trHeight w:hRule="exact" w:val="227"/>
        </w:trPr>
        <w:tc>
          <w:tcPr>
            <w:tcW w:w="810" w:type="pct"/>
          </w:tcPr>
          <w:p w14:paraId="038A3869" w14:textId="77777777" w:rsidR="00DA4322" w:rsidRDefault="00DA4322" w:rsidP="001A5D4A">
            <w:pPr>
              <w:pStyle w:val="Note-Refs"/>
              <w:rPr>
                <w:b/>
              </w:rPr>
            </w:pPr>
            <w:r>
              <w:t>AASB124.19a</w:t>
            </w:r>
          </w:p>
        </w:tc>
        <w:tc>
          <w:tcPr>
            <w:tcW w:w="2567" w:type="pct"/>
            <w:shd w:val="clear" w:color="auto" w:fill="auto"/>
            <w:vAlign w:val="bottom"/>
          </w:tcPr>
          <w:p w14:paraId="038A386A" w14:textId="77777777" w:rsidR="00DA4322" w:rsidRDefault="00DA4322" w:rsidP="001A5D4A">
            <w:pPr>
              <w:pStyle w:val="NotesTable-ItemPlain"/>
              <w:rPr>
                <w:b/>
              </w:rPr>
            </w:pPr>
            <w:r>
              <w:t>Loan repayments received</w:t>
            </w:r>
          </w:p>
        </w:tc>
        <w:tc>
          <w:tcPr>
            <w:tcW w:w="406" w:type="pct"/>
            <w:shd w:val="clear" w:color="auto" w:fill="auto"/>
          </w:tcPr>
          <w:p w14:paraId="038A386B" w14:textId="77777777" w:rsidR="00DA4322" w:rsidRDefault="00DA4322" w:rsidP="001A5D4A">
            <w:pPr>
              <w:pStyle w:val="NotesTable-CellBold"/>
            </w:pPr>
            <w:r w:rsidRPr="00654D07">
              <w:t>–</w:t>
            </w:r>
          </w:p>
        </w:tc>
        <w:tc>
          <w:tcPr>
            <w:tcW w:w="406" w:type="pct"/>
            <w:shd w:val="clear" w:color="auto" w:fill="auto"/>
          </w:tcPr>
          <w:p w14:paraId="038A386C" w14:textId="77777777" w:rsidR="00DA4322" w:rsidRDefault="00DA4322" w:rsidP="001A5D4A">
            <w:pPr>
              <w:pStyle w:val="NotesTable-CellPlain"/>
            </w:pPr>
            <w:r w:rsidRPr="00654D07">
              <w:t>–</w:t>
            </w:r>
          </w:p>
        </w:tc>
        <w:tc>
          <w:tcPr>
            <w:tcW w:w="406" w:type="pct"/>
            <w:shd w:val="clear" w:color="auto" w:fill="auto"/>
          </w:tcPr>
          <w:p w14:paraId="038A386D" w14:textId="77777777" w:rsidR="00DA4322" w:rsidRDefault="00DA4322" w:rsidP="001A5D4A">
            <w:pPr>
              <w:pStyle w:val="NotesTable-CellBold"/>
            </w:pPr>
            <w:r w:rsidRPr="00654D07">
              <w:t>–</w:t>
            </w:r>
          </w:p>
        </w:tc>
        <w:tc>
          <w:tcPr>
            <w:tcW w:w="405" w:type="pct"/>
            <w:shd w:val="clear" w:color="auto" w:fill="auto"/>
          </w:tcPr>
          <w:p w14:paraId="038A386E" w14:textId="77777777" w:rsidR="00DA4322" w:rsidRDefault="00DA4322" w:rsidP="001A5D4A">
            <w:pPr>
              <w:pStyle w:val="NotesTable-CellPlain"/>
            </w:pPr>
            <w:r w:rsidRPr="00654D07">
              <w:t>–</w:t>
            </w:r>
          </w:p>
        </w:tc>
      </w:tr>
      <w:tr w:rsidR="00DA4322" w14:paraId="038A3876" w14:textId="77777777" w:rsidTr="005F65FA">
        <w:trPr>
          <w:cantSplit/>
          <w:trHeight w:hRule="exact" w:val="227"/>
        </w:trPr>
        <w:tc>
          <w:tcPr>
            <w:tcW w:w="810" w:type="pct"/>
          </w:tcPr>
          <w:p w14:paraId="038A3870" w14:textId="77777777" w:rsidR="00DA4322" w:rsidRDefault="00DA4322" w:rsidP="001A5D4A">
            <w:pPr>
              <w:pStyle w:val="Note-Refs"/>
              <w:rPr>
                <w:b/>
              </w:rPr>
            </w:pPr>
            <w:r>
              <w:t>AASB124.19a</w:t>
            </w:r>
          </w:p>
        </w:tc>
        <w:tc>
          <w:tcPr>
            <w:tcW w:w="2567" w:type="pct"/>
            <w:shd w:val="clear" w:color="auto" w:fill="auto"/>
            <w:vAlign w:val="bottom"/>
          </w:tcPr>
          <w:p w14:paraId="038A3871" w14:textId="77777777" w:rsidR="00DA4322" w:rsidRDefault="00DA4322" w:rsidP="001A5D4A">
            <w:pPr>
              <w:pStyle w:val="NotesTable-ItemPlain"/>
              <w:rPr>
                <w:b/>
              </w:rPr>
            </w:pPr>
            <w:r>
              <w:t>Interest charged</w:t>
            </w:r>
          </w:p>
        </w:tc>
        <w:tc>
          <w:tcPr>
            <w:tcW w:w="406" w:type="pct"/>
            <w:shd w:val="clear" w:color="auto" w:fill="auto"/>
          </w:tcPr>
          <w:p w14:paraId="038A3872" w14:textId="77777777" w:rsidR="00DA4322" w:rsidRDefault="00DA4322" w:rsidP="001A5D4A">
            <w:pPr>
              <w:pStyle w:val="NotesTable-CellBold"/>
            </w:pPr>
            <w:r w:rsidRPr="00654D07">
              <w:t>–</w:t>
            </w:r>
          </w:p>
        </w:tc>
        <w:tc>
          <w:tcPr>
            <w:tcW w:w="406" w:type="pct"/>
            <w:shd w:val="clear" w:color="auto" w:fill="auto"/>
          </w:tcPr>
          <w:p w14:paraId="038A3873" w14:textId="77777777" w:rsidR="00DA4322" w:rsidRDefault="00DA4322" w:rsidP="001A5D4A">
            <w:pPr>
              <w:pStyle w:val="NotesTable-CellPlain"/>
            </w:pPr>
            <w:r w:rsidRPr="00654D07">
              <w:t>–</w:t>
            </w:r>
          </w:p>
        </w:tc>
        <w:tc>
          <w:tcPr>
            <w:tcW w:w="406" w:type="pct"/>
            <w:shd w:val="clear" w:color="auto" w:fill="auto"/>
          </w:tcPr>
          <w:p w14:paraId="038A3874" w14:textId="77777777" w:rsidR="00DA4322" w:rsidRDefault="00DA4322" w:rsidP="001A5D4A">
            <w:pPr>
              <w:pStyle w:val="NotesTable-CellBold"/>
            </w:pPr>
            <w:r w:rsidRPr="00654D07">
              <w:t>–</w:t>
            </w:r>
          </w:p>
        </w:tc>
        <w:tc>
          <w:tcPr>
            <w:tcW w:w="405" w:type="pct"/>
            <w:shd w:val="clear" w:color="auto" w:fill="auto"/>
          </w:tcPr>
          <w:p w14:paraId="038A3875" w14:textId="77777777" w:rsidR="00DA4322" w:rsidRDefault="00DA4322" w:rsidP="001A5D4A">
            <w:pPr>
              <w:pStyle w:val="NotesTable-CellPlain"/>
            </w:pPr>
            <w:r w:rsidRPr="00654D07">
              <w:t>–</w:t>
            </w:r>
          </w:p>
        </w:tc>
      </w:tr>
      <w:tr w:rsidR="00DA4322" w14:paraId="038A387D" w14:textId="77777777" w:rsidTr="005F65FA">
        <w:trPr>
          <w:cantSplit/>
          <w:trHeight w:hRule="exact" w:val="227"/>
        </w:trPr>
        <w:tc>
          <w:tcPr>
            <w:tcW w:w="810" w:type="pct"/>
          </w:tcPr>
          <w:p w14:paraId="038A3877" w14:textId="77777777" w:rsidR="00DA4322" w:rsidRDefault="00DA4322" w:rsidP="001A5D4A">
            <w:pPr>
              <w:pStyle w:val="Note-Refs"/>
              <w:rPr>
                <w:b/>
              </w:rPr>
            </w:pPr>
            <w:r>
              <w:t>AASB124.19a</w:t>
            </w:r>
          </w:p>
        </w:tc>
        <w:tc>
          <w:tcPr>
            <w:tcW w:w="2567" w:type="pct"/>
            <w:shd w:val="clear" w:color="auto" w:fill="auto"/>
            <w:vAlign w:val="bottom"/>
          </w:tcPr>
          <w:p w14:paraId="038A3878" w14:textId="77777777" w:rsidR="00DA4322" w:rsidRDefault="00DA4322" w:rsidP="001A5D4A">
            <w:pPr>
              <w:pStyle w:val="NotesTable-ItemPlain"/>
              <w:rPr>
                <w:b/>
              </w:rPr>
            </w:pPr>
            <w:r>
              <w:t>Interest received</w:t>
            </w:r>
          </w:p>
        </w:tc>
        <w:tc>
          <w:tcPr>
            <w:tcW w:w="406" w:type="pct"/>
            <w:tcBorders>
              <w:bottom w:val="single" w:sz="4" w:space="0" w:color="000000"/>
            </w:tcBorders>
            <w:shd w:val="clear" w:color="auto" w:fill="auto"/>
          </w:tcPr>
          <w:p w14:paraId="038A3879" w14:textId="77777777" w:rsidR="00DA4322" w:rsidRDefault="00DA4322" w:rsidP="001A5D4A">
            <w:pPr>
              <w:pStyle w:val="NotesTable-CellBold"/>
            </w:pPr>
            <w:r w:rsidRPr="00654D07">
              <w:t>–</w:t>
            </w:r>
          </w:p>
        </w:tc>
        <w:tc>
          <w:tcPr>
            <w:tcW w:w="406" w:type="pct"/>
            <w:tcBorders>
              <w:bottom w:val="single" w:sz="4" w:space="0" w:color="000000"/>
            </w:tcBorders>
            <w:shd w:val="clear" w:color="auto" w:fill="auto"/>
          </w:tcPr>
          <w:p w14:paraId="038A387A" w14:textId="77777777" w:rsidR="00DA4322" w:rsidRDefault="00DA4322" w:rsidP="001A5D4A">
            <w:pPr>
              <w:pStyle w:val="NotesTable-CellPlain"/>
            </w:pPr>
            <w:r w:rsidRPr="00654D07">
              <w:t>–</w:t>
            </w:r>
          </w:p>
        </w:tc>
        <w:tc>
          <w:tcPr>
            <w:tcW w:w="406" w:type="pct"/>
            <w:tcBorders>
              <w:bottom w:val="single" w:sz="4" w:space="0" w:color="000000"/>
            </w:tcBorders>
            <w:shd w:val="clear" w:color="auto" w:fill="auto"/>
          </w:tcPr>
          <w:p w14:paraId="038A387B" w14:textId="77777777" w:rsidR="00DA4322" w:rsidRDefault="00DA4322" w:rsidP="001A5D4A">
            <w:pPr>
              <w:pStyle w:val="NotesTable-CellBold"/>
            </w:pPr>
            <w:r w:rsidRPr="00654D07">
              <w:t>–</w:t>
            </w:r>
          </w:p>
        </w:tc>
        <w:tc>
          <w:tcPr>
            <w:tcW w:w="405" w:type="pct"/>
            <w:tcBorders>
              <w:bottom w:val="single" w:sz="4" w:space="0" w:color="000000"/>
            </w:tcBorders>
            <w:shd w:val="clear" w:color="auto" w:fill="auto"/>
          </w:tcPr>
          <w:p w14:paraId="038A387C" w14:textId="77777777" w:rsidR="00DA4322" w:rsidRDefault="00DA4322" w:rsidP="001A5D4A">
            <w:pPr>
              <w:pStyle w:val="NotesTable-CellPlain"/>
            </w:pPr>
            <w:r w:rsidRPr="00654D07">
              <w:t>–</w:t>
            </w:r>
          </w:p>
        </w:tc>
      </w:tr>
      <w:tr w:rsidR="00DA4322" w14:paraId="038A3884" w14:textId="77777777" w:rsidTr="005F65FA">
        <w:trPr>
          <w:cantSplit/>
          <w:trHeight w:hRule="exact" w:val="227"/>
        </w:trPr>
        <w:tc>
          <w:tcPr>
            <w:tcW w:w="810" w:type="pct"/>
          </w:tcPr>
          <w:p w14:paraId="038A387E" w14:textId="77777777" w:rsidR="00DA4322" w:rsidRDefault="00DA4322" w:rsidP="001A5D4A">
            <w:pPr>
              <w:pStyle w:val="Note-Refs"/>
              <w:rPr>
                <w:b/>
              </w:rPr>
            </w:pPr>
            <w:r>
              <w:t>AASB124.19b</w:t>
            </w:r>
          </w:p>
        </w:tc>
        <w:tc>
          <w:tcPr>
            <w:tcW w:w="2567" w:type="pct"/>
            <w:shd w:val="clear" w:color="auto" w:fill="auto"/>
            <w:vAlign w:val="bottom"/>
          </w:tcPr>
          <w:p w14:paraId="038A387F" w14:textId="77777777" w:rsidR="00DA4322" w:rsidRDefault="00DA4322" w:rsidP="001A5D4A">
            <w:pPr>
              <w:pStyle w:val="NotesTable-ItemPlain"/>
              <w:rPr>
                <w:b/>
              </w:rPr>
            </w:pPr>
            <w:r>
              <w:t>End of year</w:t>
            </w:r>
          </w:p>
        </w:tc>
        <w:tc>
          <w:tcPr>
            <w:tcW w:w="406" w:type="pct"/>
            <w:tcBorders>
              <w:top w:val="single" w:sz="4" w:space="0" w:color="000000"/>
            </w:tcBorders>
            <w:shd w:val="clear" w:color="auto" w:fill="auto"/>
          </w:tcPr>
          <w:p w14:paraId="038A3880" w14:textId="77777777" w:rsidR="00DA4322" w:rsidRDefault="00DA4322" w:rsidP="001A5D4A">
            <w:pPr>
              <w:pStyle w:val="NotesTable-CellBold"/>
            </w:pPr>
            <w:r w:rsidRPr="00654D07">
              <w:t>–</w:t>
            </w:r>
          </w:p>
        </w:tc>
        <w:tc>
          <w:tcPr>
            <w:tcW w:w="406" w:type="pct"/>
            <w:tcBorders>
              <w:top w:val="single" w:sz="4" w:space="0" w:color="000000"/>
            </w:tcBorders>
            <w:shd w:val="clear" w:color="auto" w:fill="auto"/>
          </w:tcPr>
          <w:p w14:paraId="038A3881" w14:textId="77777777" w:rsidR="00DA4322" w:rsidRDefault="00DA4322" w:rsidP="001A5D4A">
            <w:pPr>
              <w:pStyle w:val="NotesTable-CellPlain"/>
            </w:pPr>
            <w:r w:rsidRPr="00654D07">
              <w:t>–</w:t>
            </w:r>
          </w:p>
        </w:tc>
        <w:tc>
          <w:tcPr>
            <w:tcW w:w="406" w:type="pct"/>
            <w:tcBorders>
              <w:top w:val="single" w:sz="4" w:space="0" w:color="000000"/>
            </w:tcBorders>
            <w:shd w:val="clear" w:color="auto" w:fill="auto"/>
          </w:tcPr>
          <w:p w14:paraId="038A3882" w14:textId="77777777" w:rsidR="00DA4322" w:rsidRDefault="00DA4322" w:rsidP="001A5D4A">
            <w:pPr>
              <w:pStyle w:val="NotesTable-CellBold"/>
            </w:pPr>
            <w:r w:rsidRPr="00654D07">
              <w:t>–</w:t>
            </w:r>
          </w:p>
        </w:tc>
        <w:tc>
          <w:tcPr>
            <w:tcW w:w="405" w:type="pct"/>
            <w:tcBorders>
              <w:top w:val="single" w:sz="4" w:space="0" w:color="000000"/>
            </w:tcBorders>
            <w:shd w:val="clear" w:color="auto" w:fill="auto"/>
          </w:tcPr>
          <w:p w14:paraId="038A3883" w14:textId="77777777" w:rsidR="00DA4322" w:rsidRDefault="00DA4322" w:rsidP="001A5D4A">
            <w:pPr>
              <w:pStyle w:val="NotesTable-CellPlain"/>
            </w:pPr>
            <w:r w:rsidRPr="00654D07">
              <w:t>–</w:t>
            </w:r>
          </w:p>
        </w:tc>
      </w:tr>
      <w:tr w:rsidR="00B83214" w14:paraId="038A3887" w14:textId="77777777" w:rsidTr="00463ABD">
        <w:trPr>
          <w:cantSplit/>
          <w:trHeight w:hRule="exact" w:val="227"/>
        </w:trPr>
        <w:tc>
          <w:tcPr>
            <w:tcW w:w="810" w:type="pct"/>
          </w:tcPr>
          <w:p w14:paraId="038A3885" w14:textId="77777777" w:rsidR="00B83214" w:rsidRDefault="00B83214" w:rsidP="001A5D4A">
            <w:pPr>
              <w:pStyle w:val="Note-Refs"/>
            </w:pPr>
          </w:p>
        </w:tc>
        <w:tc>
          <w:tcPr>
            <w:tcW w:w="4190" w:type="pct"/>
            <w:gridSpan w:val="5"/>
            <w:shd w:val="clear" w:color="auto" w:fill="auto"/>
            <w:vAlign w:val="bottom"/>
          </w:tcPr>
          <w:p w14:paraId="038A3886" w14:textId="77777777" w:rsidR="00B83214" w:rsidRDefault="00B83214" w:rsidP="001A5D4A">
            <w:pPr>
              <w:pStyle w:val="NotesTable-ItemPlain"/>
            </w:pPr>
          </w:p>
        </w:tc>
      </w:tr>
      <w:tr w:rsidR="00B83214" w14:paraId="038A388A" w14:textId="77777777" w:rsidTr="00463ABD">
        <w:trPr>
          <w:cantSplit/>
          <w:trHeight w:hRule="exact" w:val="227"/>
        </w:trPr>
        <w:tc>
          <w:tcPr>
            <w:tcW w:w="810" w:type="pct"/>
          </w:tcPr>
          <w:p w14:paraId="038A3888" w14:textId="77777777" w:rsidR="00B83214" w:rsidRDefault="00B83214" w:rsidP="001A5D4A">
            <w:pPr>
              <w:pStyle w:val="Note-Refs"/>
              <w:rPr>
                <w:b/>
              </w:rPr>
            </w:pPr>
            <w:r>
              <w:t>AASB124.19a</w:t>
            </w:r>
          </w:p>
        </w:tc>
        <w:tc>
          <w:tcPr>
            <w:tcW w:w="4190" w:type="pct"/>
            <w:gridSpan w:val="5"/>
            <w:shd w:val="clear" w:color="auto" w:fill="auto"/>
            <w:vAlign w:val="bottom"/>
          </w:tcPr>
          <w:p w14:paraId="038A3889" w14:textId="77777777" w:rsidR="00B83214" w:rsidRDefault="00B83214" w:rsidP="001A5D4A">
            <w:pPr>
              <w:pStyle w:val="Note-TextHeader"/>
              <w:rPr>
                <w:lang w:val="en-GB"/>
              </w:rPr>
            </w:pPr>
            <w:r w:rsidRPr="00E56E44">
              <w:t>Loans from XX (ultimate p</w:t>
            </w:r>
            <w:r w:rsidRPr="00813AD3">
              <w:t>arent entity)</w:t>
            </w:r>
          </w:p>
        </w:tc>
      </w:tr>
      <w:tr w:rsidR="00DA4322" w14:paraId="038A3891" w14:textId="77777777" w:rsidTr="005F65FA">
        <w:trPr>
          <w:cantSplit/>
          <w:trHeight w:hRule="exact" w:val="227"/>
        </w:trPr>
        <w:tc>
          <w:tcPr>
            <w:tcW w:w="810" w:type="pct"/>
          </w:tcPr>
          <w:p w14:paraId="038A388B" w14:textId="77777777" w:rsidR="00DA4322" w:rsidRDefault="00DA4322" w:rsidP="001A5D4A">
            <w:pPr>
              <w:pStyle w:val="Note-Refs"/>
              <w:rPr>
                <w:b/>
              </w:rPr>
            </w:pPr>
            <w:r>
              <w:t xml:space="preserve">AASB124.19b </w:t>
            </w:r>
          </w:p>
        </w:tc>
        <w:tc>
          <w:tcPr>
            <w:tcW w:w="2567" w:type="pct"/>
            <w:shd w:val="clear" w:color="auto" w:fill="auto"/>
            <w:vAlign w:val="bottom"/>
          </w:tcPr>
          <w:p w14:paraId="038A388C" w14:textId="77777777" w:rsidR="00DA4322" w:rsidRDefault="00DA4322" w:rsidP="001A5D4A">
            <w:pPr>
              <w:pStyle w:val="NotesTable-ItemPlain"/>
              <w:rPr>
                <w:b/>
              </w:rPr>
            </w:pPr>
            <w:r>
              <w:t>Beginning of the year</w:t>
            </w:r>
          </w:p>
        </w:tc>
        <w:tc>
          <w:tcPr>
            <w:tcW w:w="406" w:type="pct"/>
            <w:shd w:val="clear" w:color="auto" w:fill="auto"/>
          </w:tcPr>
          <w:p w14:paraId="038A388D" w14:textId="77777777" w:rsidR="00DA4322" w:rsidRDefault="00DA4322" w:rsidP="001A5D4A">
            <w:pPr>
              <w:pStyle w:val="NotesTable-CellBold"/>
            </w:pPr>
            <w:r w:rsidRPr="00111629">
              <w:t>–</w:t>
            </w:r>
          </w:p>
        </w:tc>
        <w:tc>
          <w:tcPr>
            <w:tcW w:w="406" w:type="pct"/>
            <w:shd w:val="clear" w:color="auto" w:fill="auto"/>
          </w:tcPr>
          <w:p w14:paraId="038A388E" w14:textId="77777777" w:rsidR="00DA4322" w:rsidRDefault="00DA4322" w:rsidP="001A5D4A">
            <w:pPr>
              <w:pStyle w:val="NotesTable-CellPlain"/>
            </w:pPr>
            <w:r w:rsidRPr="00111629">
              <w:t>–</w:t>
            </w:r>
          </w:p>
        </w:tc>
        <w:tc>
          <w:tcPr>
            <w:tcW w:w="406" w:type="pct"/>
            <w:shd w:val="clear" w:color="auto" w:fill="auto"/>
          </w:tcPr>
          <w:p w14:paraId="038A388F" w14:textId="77777777" w:rsidR="00DA4322" w:rsidRDefault="00DA4322" w:rsidP="001A5D4A">
            <w:pPr>
              <w:pStyle w:val="NotesTable-CellBold"/>
            </w:pPr>
            <w:r w:rsidRPr="00111629">
              <w:t>–</w:t>
            </w:r>
          </w:p>
        </w:tc>
        <w:tc>
          <w:tcPr>
            <w:tcW w:w="405" w:type="pct"/>
            <w:shd w:val="clear" w:color="auto" w:fill="auto"/>
          </w:tcPr>
          <w:p w14:paraId="038A3890" w14:textId="77777777" w:rsidR="00DA4322" w:rsidRDefault="00DA4322" w:rsidP="001A5D4A">
            <w:pPr>
              <w:pStyle w:val="NotesTable-CellPlain"/>
            </w:pPr>
            <w:r w:rsidRPr="00111629">
              <w:t>–</w:t>
            </w:r>
          </w:p>
        </w:tc>
      </w:tr>
      <w:tr w:rsidR="00DA4322" w14:paraId="038A3898" w14:textId="77777777" w:rsidTr="005F65FA">
        <w:trPr>
          <w:cantSplit/>
          <w:trHeight w:hRule="exact" w:val="227"/>
        </w:trPr>
        <w:tc>
          <w:tcPr>
            <w:tcW w:w="810" w:type="pct"/>
          </w:tcPr>
          <w:p w14:paraId="038A3892" w14:textId="77777777" w:rsidR="00DA4322" w:rsidRDefault="00DA4322" w:rsidP="001A5D4A">
            <w:pPr>
              <w:pStyle w:val="Note-Refs"/>
              <w:rPr>
                <w:b/>
              </w:rPr>
            </w:pPr>
            <w:r>
              <w:t>AASB124.19a</w:t>
            </w:r>
          </w:p>
        </w:tc>
        <w:tc>
          <w:tcPr>
            <w:tcW w:w="2567" w:type="pct"/>
            <w:shd w:val="clear" w:color="auto" w:fill="auto"/>
            <w:vAlign w:val="bottom"/>
          </w:tcPr>
          <w:p w14:paraId="038A3893" w14:textId="77777777" w:rsidR="00DA4322" w:rsidRDefault="00DA4322" w:rsidP="001A5D4A">
            <w:pPr>
              <w:pStyle w:val="NotesTable-ItemPlain"/>
              <w:rPr>
                <w:b/>
              </w:rPr>
            </w:pPr>
            <w:r>
              <w:t>Loans advanced</w:t>
            </w:r>
          </w:p>
        </w:tc>
        <w:tc>
          <w:tcPr>
            <w:tcW w:w="406" w:type="pct"/>
            <w:shd w:val="clear" w:color="auto" w:fill="auto"/>
          </w:tcPr>
          <w:p w14:paraId="038A3894" w14:textId="77777777" w:rsidR="00DA4322" w:rsidRDefault="00DA4322" w:rsidP="001A5D4A">
            <w:pPr>
              <w:pStyle w:val="NotesTable-CellBold"/>
            </w:pPr>
            <w:r w:rsidRPr="00111629">
              <w:t>–</w:t>
            </w:r>
          </w:p>
        </w:tc>
        <w:tc>
          <w:tcPr>
            <w:tcW w:w="406" w:type="pct"/>
            <w:shd w:val="clear" w:color="auto" w:fill="auto"/>
          </w:tcPr>
          <w:p w14:paraId="038A3895" w14:textId="77777777" w:rsidR="00DA4322" w:rsidRDefault="00DA4322" w:rsidP="001A5D4A">
            <w:pPr>
              <w:pStyle w:val="NotesTable-CellPlain"/>
            </w:pPr>
            <w:r w:rsidRPr="00111629">
              <w:t>–</w:t>
            </w:r>
          </w:p>
        </w:tc>
        <w:tc>
          <w:tcPr>
            <w:tcW w:w="406" w:type="pct"/>
            <w:shd w:val="clear" w:color="auto" w:fill="auto"/>
          </w:tcPr>
          <w:p w14:paraId="038A3896" w14:textId="77777777" w:rsidR="00DA4322" w:rsidRDefault="00DA4322" w:rsidP="001A5D4A">
            <w:pPr>
              <w:pStyle w:val="NotesTable-CellBold"/>
            </w:pPr>
            <w:r w:rsidRPr="00111629">
              <w:t>–</w:t>
            </w:r>
          </w:p>
        </w:tc>
        <w:tc>
          <w:tcPr>
            <w:tcW w:w="405" w:type="pct"/>
            <w:shd w:val="clear" w:color="auto" w:fill="auto"/>
          </w:tcPr>
          <w:p w14:paraId="038A3897" w14:textId="77777777" w:rsidR="00DA4322" w:rsidRDefault="00DA4322" w:rsidP="001A5D4A">
            <w:pPr>
              <w:pStyle w:val="NotesTable-CellPlain"/>
            </w:pPr>
            <w:r w:rsidRPr="00111629">
              <w:t>–</w:t>
            </w:r>
          </w:p>
        </w:tc>
      </w:tr>
      <w:tr w:rsidR="00DA4322" w14:paraId="038A389F" w14:textId="77777777" w:rsidTr="005F65FA">
        <w:trPr>
          <w:cantSplit/>
          <w:trHeight w:hRule="exact" w:val="227"/>
        </w:trPr>
        <w:tc>
          <w:tcPr>
            <w:tcW w:w="810" w:type="pct"/>
          </w:tcPr>
          <w:p w14:paraId="038A3899" w14:textId="77777777" w:rsidR="00DA4322" w:rsidRDefault="00DA4322" w:rsidP="001A5D4A">
            <w:pPr>
              <w:pStyle w:val="Note-Refs"/>
              <w:rPr>
                <w:b/>
              </w:rPr>
            </w:pPr>
            <w:r>
              <w:t>AASB124.19a</w:t>
            </w:r>
          </w:p>
        </w:tc>
        <w:tc>
          <w:tcPr>
            <w:tcW w:w="2567" w:type="pct"/>
            <w:shd w:val="clear" w:color="auto" w:fill="auto"/>
            <w:vAlign w:val="bottom"/>
          </w:tcPr>
          <w:p w14:paraId="038A389A" w14:textId="77777777" w:rsidR="00DA4322" w:rsidRDefault="00DA4322" w:rsidP="001A5D4A">
            <w:pPr>
              <w:pStyle w:val="NotesTable-ItemPlain"/>
              <w:rPr>
                <w:b/>
              </w:rPr>
            </w:pPr>
            <w:r>
              <w:t>Loan repayments received</w:t>
            </w:r>
          </w:p>
        </w:tc>
        <w:tc>
          <w:tcPr>
            <w:tcW w:w="406" w:type="pct"/>
            <w:shd w:val="clear" w:color="auto" w:fill="auto"/>
          </w:tcPr>
          <w:p w14:paraId="038A389B" w14:textId="77777777" w:rsidR="00DA4322" w:rsidRDefault="00DA4322" w:rsidP="001A5D4A">
            <w:pPr>
              <w:pStyle w:val="NotesTable-CellBold"/>
            </w:pPr>
            <w:r w:rsidRPr="00111629">
              <w:t>–</w:t>
            </w:r>
          </w:p>
        </w:tc>
        <w:tc>
          <w:tcPr>
            <w:tcW w:w="406" w:type="pct"/>
            <w:shd w:val="clear" w:color="auto" w:fill="auto"/>
          </w:tcPr>
          <w:p w14:paraId="038A389C" w14:textId="77777777" w:rsidR="00DA4322" w:rsidRDefault="00DA4322" w:rsidP="001A5D4A">
            <w:pPr>
              <w:pStyle w:val="NotesTable-CellPlain"/>
            </w:pPr>
            <w:r w:rsidRPr="00111629">
              <w:t>–</w:t>
            </w:r>
          </w:p>
        </w:tc>
        <w:tc>
          <w:tcPr>
            <w:tcW w:w="406" w:type="pct"/>
            <w:shd w:val="clear" w:color="auto" w:fill="auto"/>
          </w:tcPr>
          <w:p w14:paraId="038A389D" w14:textId="77777777" w:rsidR="00DA4322" w:rsidRDefault="00DA4322" w:rsidP="001A5D4A">
            <w:pPr>
              <w:pStyle w:val="NotesTable-CellBold"/>
            </w:pPr>
            <w:r w:rsidRPr="00111629">
              <w:t>–</w:t>
            </w:r>
          </w:p>
        </w:tc>
        <w:tc>
          <w:tcPr>
            <w:tcW w:w="405" w:type="pct"/>
            <w:shd w:val="clear" w:color="auto" w:fill="auto"/>
          </w:tcPr>
          <w:p w14:paraId="038A389E" w14:textId="77777777" w:rsidR="00DA4322" w:rsidRDefault="00DA4322" w:rsidP="001A5D4A">
            <w:pPr>
              <w:pStyle w:val="NotesTable-CellPlain"/>
            </w:pPr>
            <w:r w:rsidRPr="00111629">
              <w:t>–</w:t>
            </w:r>
          </w:p>
        </w:tc>
      </w:tr>
      <w:tr w:rsidR="00DA4322" w14:paraId="038A38A6" w14:textId="77777777" w:rsidTr="005F65FA">
        <w:trPr>
          <w:cantSplit/>
          <w:trHeight w:hRule="exact" w:val="227"/>
        </w:trPr>
        <w:tc>
          <w:tcPr>
            <w:tcW w:w="810" w:type="pct"/>
          </w:tcPr>
          <w:p w14:paraId="038A38A0" w14:textId="77777777" w:rsidR="00DA4322" w:rsidRDefault="00DA4322" w:rsidP="001A5D4A">
            <w:pPr>
              <w:pStyle w:val="Note-Refs"/>
              <w:rPr>
                <w:b/>
              </w:rPr>
            </w:pPr>
            <w:r>
              <w:t>AASB124.19a</w:t>
            </w:r>
          </w:p>
        </w:tc>
        <w:tc>
          <w:tcPr>
            <w:tcW w:w="2567" w:type="pct"/>
            <w:shd w:val="clear" w:color="auto" w:fill="auto"/>
            <w:vAlign w:val="bottom"/>
          </w:tcPr>
          <w:p w14:paraId="038A38A1" w14:textId="77777777" w:rsidR="00DA4322" w:rsidRDefault="00DA4322" w:rsidP="001A5D4A">
            <w:pPr>
              <w:pStyle w:val="NotesTable-ItemPlain"/>
              <w:rPr>
                <w:b/>
              </w:rPr>
            </w:pPr>
            <w:r>
              <w:t>Interest charged</w:t>
            </w:r>
          </w:p>
        </w:tc>
        <w:tc>
          <w:tcPr>
            <w:tcW w:w="406" w:type="pct"/>
            <w:shd w:val="clear" w:color="auto" w:fill="auto"/>
          </w:tcPr>
          <w:p w14:paraId="038A38A2" w14:textId="77777777" w:rsidR="00DA4322" w:rsidRDefault="00DA4322" w:rsidP="001A5D4A">
            <w:pPr>
              <w:pStyle w:val="NotesTable-CellBold"/>
            </w:pPr>
            <w:r w:rsidRPr="00111629">
              <w:t>–</w:t>
            </w:r>
          </w:p>
        </w:tc>
        <w:tc>
          <w:tcPr>
            <w:tcW w:w="406" w:type="pct"/>
            <w:shd w:val="clear" w:color="auto" w:fill="auto"/>
          </w:tcPr>
          <w:p w14:paraId="038A38A3" w14:textId="77777777" w:rsidR="00DA4322" w:rsidRDefault="00DA4322" w:rsidP="001A5D4A">
            <w:pPr>
              <w:pStyle w:val="NotesTable-CellPlain"/>
            </w:pPr>
            <w:r w:rsidRPr="00111629">
              <w:t>–</w:t>
            </w:r>
          </w:p>
        </w:tc>
        <w:tc>
          <w:tcPr>
            <w:tcW w:w="406" w:type="pct"/>
            <w:shd w:val="clear" w:color="auto" w:fill="auto"/>
          </w:tcPr>
          <w:p w14:paraId="038A38A4" w14:textId="77777777" w:rsidR="00DA4322" w:rsidRDefault="00DA4322" w:rsidP="001A5D4A">
            <w:pPr>
              <w:pStyle w:val="NotesTable-CellBold"/>
            </w:pPr>
            <w:r w:rsidRPr="00111629">
              <w:t>–</w:t>
            </w:r>
          </w:p>
        </w:tc>
        <w:tc>
          <w:tcPr>
            <w:tcW w:w="405" w:type="pct"/>
            <w:shd w:val="clear" w:color="auto" w:fill="auto"/>
          </w:tcPr>
          <w:p w14:paraId="038A38A5" w14:textId="77777777" w:rsidR="00DA4322" w:rsidRDefault="00DA4322" w:rsidP="001A5D4A">
            <w:pPr>
              <w:pStyle w:val="NotesTable-CellPlain"/>
            </w:pPr>
            <w:r w:rsidRPr="00111629">
              <w:t>–</w:t>
            </w:r>
          </w:p>
        </w:tc>
      </w:tr>
      <w:tr w:rsidR="00DA4322" w14:paraId="038A38AD" w14:textId="77777777" w:rsidTr="005F65FA">
        <w:trPr>
          <w:cantSplit/>
          <w:trHeight w:hRule="exact" w:val="227"/>
        </w:trPr>
        <w:tc>
          <w:tcPr>
            <w:tcW w:w="810" w:type="pct"/>
          </w:tcPr>
          <w:p w14:paraId="038A38A7" w14:textId="77777777" w:rsidR="00DA4322" w:rsidRDefault="00DA4322" w:rsidP="001A5D4A">
            <w:pPr>
              <w:pStyle w:val="Note-Refs"/>
              <w:rPr>
                <w:b/>
              </w:rPr>
            </w:pPr>
            <w:r>
              <w:t>AASB124.19a</w:t>
            </w:r>
          </w:p>
        </w:tc>
        <w:tc>
          <w:tcPr>
            <w:tcW w:w="2567" w:type="pct"/>
            <w:shd w:val="clear" w:color="auto" w:fill="auto"/>
            <w:vAlign w:val="bottom"/>
          </w:tcPr>
          <w:p w14:paraId="038A38A8" w14:textId="77777777" w:rsidR="00DA4322" w:rsidRDefault="00DA4322" w:rsidP="001A5D4A">
            <w:pPr>
              <w:pStyle w:val="NotesTable-ItemPlain"/>
              <w:rPr>
                <w:b/>
              </w:rPr>
            </w:pPr>
            <w:r>
              <w:t>Interest received</w:t>
            </w:r>
          </w:p>
        </w:tc>
        <w:tc>
          <w:tcPr>
            <w:tcW w:w="406" w:type="pct"/>
            <w:tcBorders>
              <w:bottom w:val="single" w:sz="4" w:space="0" w:color="000000"/>
            </w:tcBorders>
            <w:shd w:val="clear" w:color="auto" w:fill="auto"/>
          </w:tcPr>
          <w:p w14:paraId="038A38A9" w14:textId="77777777" w:rsidR="00DA4322" w:rsidRDefault="00DA4322" w:rsidP="001A5D4A">
            <w:pPr>
              <w:pStyle w:val="NotesTable-CellBold"/>
            </w:pPr>
            <w:r w:rsidRPr="00111629">
              <w:t>–</w:t>
            </w:r>
          </w:p>
        </w:tc>
        <w:tc>
          <w:tcPr>
            <w:tcW w:w="406" w:type="pct"/>
            <w:tcBorders>
              <w:bottom w:val="single" w:sz="4" w:space="0" w:color="000000"/>
            </w:tcBorders>
            <w:shd w:val="clear" w:color="auto" w:fill="auto"/>
          </w:tcPr>
          <w:p w14:paraId="038A38AA" w14:textId="77777777" w:rsidR="00DA4322" w:rsidRDefault="00DA4322" w:rsidP="001A5D4A">
            <w:pPr>
              <w:pStyle w:val="NotesTable-CellPlain"/>
            </w:pPr>
            <w:r w:rsidRPr="00111629">
              <w:t>–</w:t>
            </w:r>
          </w:p>
        </w:tc>
        <w:tc>
          <w:tcPr>
            <w:tcW w:w="406" w:type="pct"/>
            <w:tcBorders>
              <w:bottom w:val="single" w:sz="4" w:space="0" w:color="000000"/>
            </w:tcBorders>
            <w:shd w:val="clear" w:color="auto" w:fill="auto"/>
          </w:tcPr>
          <w:p w14:paraId="038A38AB" w14:textId="77777777" w:rsidR="00DA4322" w:rsidRDefault="00DA4322" w:rsidP="001A5D4A">
            <w:pPr>
              <w:pStyle w:val="NotesTable-CellBold"/>
            </w:pPr>
            <w:r w:rsidRPr="00111629">
              <w:t>–</w:t>
            </w:r>
          </w:p>
        </w:tc>
        <w:tc>
          <w:tcPr>
            <w:tcW w:w="405" w:type="pct"/>
            <w:tcBorders>
              <w:bottom w:val="single" w:sz="4" w:space="0" w:color="000000"/>
            </w:tcBorders>
            <w:shd w:val="clear" w:color="auto" w:fill="auto"/>
          </w:tcPr>
          <w:p w14:paraId="038A38AC" w14:textId="77777777" w:rsidR="00DA4322" w:rsidRDefault="00DA4322" w:rsidP="001A5D4A">
            <w:pPr>
              <w:pStyle w:val="NotesTable-CellPlain"/>
            </w:pPr>
            <w:r w:rsidRPr="00111629">
              <w:t>–</w:t>
            </w:r>
          </w:p>
        </w:tc>
      </w:tr>
      <w:tr w:rsidR="00DA4322" w14:paraId="038A38B4" w14:textId="77777777" w:rsidTr="005F65FA">
        <w:trPr>
          <w:cantSplit/>
          <w:trHeight w:hRule="exact" w:val="227"/>
        </w:trPr>
        <w:tc>
          <w:tcPr>
            <w:tcW w:w="810" w:type="pct"/>
          </w:tcPr>
          <w:p w14:paraId="038A38AE" w14:textId="77777777" w:rsidR="00DA4322" w:rsidRDefault="00DA4322" w:rsidP="001A5D4A">
            <w:pPr>
              <w:pStyle w:val="Note-Refs"/>
              <w:rPr>
                <w:b/>
              </w:rPr>
            </w:pPr>
            <w:r>
              <w:t>AASB124.19b</w:t>
            </w:r>
          </w:p>
        </w:tc>
        <w:tc>
          <w:tcPr>
            <w:tcW w:w="2567" w:type="pct"/>
            <w:shd w:val="clear" w:color="auto" w:fill="auto"/>
            <w:vAlign w:val="bottom"/>
          </w:tcPr>
          <w:p w14:paraId="038A38AF" w14:textId="77777777" w:rsidR="00DA4322" w:rsidRDefault="00DA4322" w:rsidP="001A5D4A">
            <w:pPr>
              <w:pStyle w:val="NotesTable-ItemPlain"/>
              <w:rPr>
                <w:b/>
              </w:rPr>
            </w:pPr>
            <w:r>
              <w:t>End of year</w:t>
            </w:r>
          </w:p>
        </w:tc>
        <w:tc>
          <w:tcPr>
            <w:tcW w:w="406" w:type="pct"/>
            <w:tcBorders>
              <w:top w:val="single" w:sz="4" w:space="0" w:color="000000"/>
            </w:tcBorders>
            <w:shd w:val="clear" w:color="auto" w:fill="auto"/>
          </w:tcPr>
          <w:p w14:paraId="038A38B0" w14:textId="77777777" w:rsidR="00DA4322" w:rsidRDefault="00DA4322" w:rsidP="001A5D4A">
            <w:pPr>
              <w:pStyle w:val="NotesTable-CellBold"/>
            </w:pPr>
            <w:r w:rsidRPr="00111629">
              <w:t>–</w:t>
            </w:r>
          </w:p>
        </w:tc>
        <w:tc>
          <w:tcPr>
            <w:tcW w:w="406" w:type="pct"/>
            <w:tcBorders>
              <w:top w:val="single" w:sz="4" w:space="0" w:color="000000"/>
            </w:tcBorders>
            <w:shd w:val="clear" w:color="auto" w:fill="auto"/>
          </w:tcPr>
          <w:p w14:paraId="038A38B1" w14:textId="77777777" w:rsidR="00DA4322" w:rsidRDefault="00DA4322" w:rsidP="001A5D4A">
            <w:pPr>
              <w:pStyle w:val="NotesTable-CellPlain"/>
            </w:pPr>
            <w:r w:rsidRPr="00111629">
              <w:t>–</w:t>
            </w:r>
          </w:p>
        </w:tc>
        <w:tc>
          <w:tcPr>
            <w:tcW w:w="406" w:type="pct"/>
            <w:tcBorders>
              <w:top w:val="single" w:sz="4" w:space="0" w:color="000000"/>
            </w:tcBorders>
            <w:shd w:val="clear" w:color="auto" w:fill="auto"/>
          </w:tcPr>
          <w:p w14:paraId="038A38B2" w14:textId="77777777" w:rsidR="00DA4322" w:rsidRDefault="00DA4322" w:rsidP="001A5D4A">
            <w:pPr>
              <w:pStyle w:val="NotesTable-CellBold"/>
            </w:pPr>
            <w:r w:rsidRPr="00111629">
              <w:t>–</w:t>
            </w:r>
          </w:p>
        </w:tc>
        <w:tc>
          <w:tcPr>
            <w:tcW w:w="405" w:type="pct"/>
            <w:tcBorders>
              <w:top w:val="single" w:sz="4" w:space="0" w:color="000000"/>
            </w:tcBorders>
            <w:shd w:val="clear" w:color="auto" w:fill="auto"/>
          </w:tcPr>
          <w:p w14:paraId="038A38B3" w14:textId="77777777" w:rsidR="00DA4322" w:rsidRDefault="00DA4322" w:rsidP="001A5D4A">
            <w:pPr>
              <w:pStyle w:val="NotesTable-CellPlain"/>
            </w:pPr>
            <w:r w:rsidRPr="00111629">
              <w:t>–</w:t>
            </w:r>
          </w:p>
        </w:tc>
      </w:tr>
      <w:tr w:rsidR="00B83214" w14:paraId="038A38B7" w14:textId="77777777" w:rsidTr="00463ABD">
        <w:trPr>
          <w:cantSplit/>
          <w:trHeight w:hRule="exact" w:val="227"/>
        </w:trPr>
        <w:tc>
          <w:tcPr>
            <w:tcW w:w="810" w:type="pct"/>
          </w:tcPr>
          <w:p w14:paraId="038A38B5" w14:textId="77777777" w:rsidR="00B83214" w:rsidRDefault="00B83214" w:rsidP="001A5D4A">
            <w:pPr>
              <w:pStyle w:val="Note-Refs"/>
            </w:pPr>
          </w:p>
        </w:tc>
        <w:tc>
          <w:tcPr>
            <w:tcW w:w="4190" w:type="pct"/>
            <w:gridSpan w:val="5"/>
            <w:shd w:val="clear" w:color="auto" w:fill="auto"/>
            <w:vAlign w:val="bottom"/>
          </w:tcPr>
          <w:p w14:paraId="038A38B6" w14:textId="77777777" w:rsidR="00B83214" w:rsidRDefault="00B83214" w:rsidP="001A5D4A">
            <w:pPr>
              <w:pStyle w:val="Note-Text"/>
            </w:pPr>
          </w:p>
        </w:tc>
      </w:tr>
      <w:tr w:rsidR="00B83214" w14:paraId="038A38BA" w14:textId="77777777" w:rsidTr="00463ABD">
        <w:trPr>
          <w:cantSplit/>
          <w:trHeight w:hRule="exact" w:val="227"/>
        </w:trPr>
        <w:tc>
          <w:tcPr>
            <w:tcW w:w="810" w:type="pct"/>
          </w:tcPr>
          <w:p w14:paraId="038A38B8" w14:textId="77777777" w:rsidR="00B83214" w:rsidRDefault="00B83214" w:rsidP="001A5D4A">
            <w:pPr>
              <w:pStyle w:val="Note-Refs"/>
              <w:rPr>
                <w:b/>
              </w:rPr>
            </w:pPr>
            <w:r>
              <w:t>AASB124.19d</w:t>
            </w:r>
          </w:p>
        </w:tc>
        <w:tc>
          <w:tcPr>
            <w:tcW w:w="4190" w:type="pct"/>
            <w:gridSpan w:val="5"/>
            <w:shd w:val="clear" w:color="auto" w:fill="auto"/>
            <w:vAlign w:val="bottom"/>
          </w:tcPr>
          <w:p w14:paraId="038A38B9" w14:textId="77777777" w:rsidR="00B83214" w:rsidRDefault="00B83214" w:rsidP="001A5D4A">
            <w:pPr>
              <w:pStyle w:val="Note-TextHeader"/>
              <w:rPr>
                <w:lang w:val="en-GB"/>
              </w:rPr>
            </w:pPr>
            <w:r w:rsidRPr="00E56E44">
              <w:t xml:space="preserve">Loans from associates </w:t>
            </w:r>
          </w:p>
        </w:tc>
      </w:tr>
      <w:tr w:rsidR="00DA4322" w14:paraId="038A38C1" w14:textId="77777777" w:rsidTr="005F65FA">
        <w:trPr>
          <w:cantSplit/>
          <w:trHeight w:hRule="exact" w:val="227"/>
        </w:trPr>
        <w:tc>
          <w:tcPr>
            <w:tcW w:w="810" w:type="pct"/>
          </w:tcPr>
          <w:p w14:paraId="038A38BB" w14:textId="77777777" w:rsidR="00DA4322" w:rsidRDefault="00DA4322" w:rsidP="001A5D4A">
            <w:pPr>
              <w:pStyle w:val="Note-Refs"/>
              <w:rPr>
                <w:b/>
              </w:rPr>
            </w:pPr>
            <w:r>
              <w:t xml:space="preserve">AASB124.19b </w:t>
            </w:r>
          </w:p>
        </w:tc>
        <w:tc>
          <w:tcPr>
            <w:tcW w:w="2567" w:type="pct"/>
            <w:shd w:val="clear" w:color="auto" w:fill="auto"/>
            <w:vAlign w:val="bottom"/>
          </w:tcPr>
          <w:p w14:paraId="038A38BC" w14:textId="77777777" w:rsidR="00DA4322" w:rsidRDefault="00DA4322" w:rsidP="001A5D4A">
            <w:pPr>
              <w:pStyle w:val="NotesTable-ItemPlain"/>
              <w:rPr>
                <w:b/>
              </w:rPr>
            </w:pPr>
            <w:r>
              <w:t>Beginning of the year</w:t>
            </w:r>
          </w:p>
        </w:tc>
        <w:tc>
          <w:tcPr>
            <w:tcW w:w="406" w:type="pct"/>
            <w:shd w:val="clear" w:color="auto" w:fill="auto"/>
          </w:tcPr>
          <w:p w14:paraId="038A38BD" w14:textId="77777777" w:rsidR="00DA4322" w:rsidRDefault="00DA4322" w:rsidP="001A5D4A">
            <w:pPr>
              <w:pStyle w:val="NotesTable-CellBold"/>
            </w:pPr>
            <w:r w:rsidRPr="008D38BB">
              <w:t>–</w:t>
            </w:r>
          </w:p>
        </w:tc>
        <w:tc>
          <w:tcPr>
            <w:tcW w:w="406" w:type="pct"/>
            <w:shd w:val="clear" w:color="auto" w:fill="auto"/>
          </w:tcPr>
          <w:p w14:paraId="038A38BE" w14:textId="77777777" w:rsidR="00DA4322" w:rsidRDefault="00DA4322" w:rsidP="001A5D4A">
            <w:pPr>
              <w:pStyle w:val="NotesTable-CellPlain"/>
            </w:pPr>
            <w:r w:rsidRPr="008D38BB">
              <w:t>–</w:t>
            </w:r>
          </w:p>
        </w:tc>
        <w:tc>
          <w:tcPr>
            <w:tcW w:w="406" w:type="pct"/>
            <w:shd w:val="clear" w:color="auto" w:fill="auto"/>
          </w:tcPr>
          <w:p w14:paraId="038A38BF" w14:textId="77777777" w:rsidR="00DA4322" w:rsidRDefault="00DA4322" w:rsidP="001A5D4A">
            <w:pPr>
              <w:pStyle w:val="NotesTable-CellBold"/>
            </w:pPr>
            <w:r w:rsidRPr="008D38BB">
              <w:t>–</w:t>
            </w:r>
          </w:p>
        </w:tc>
        <w:tc>
          <w:tcPr>
            <w:tcW w:w="405" w:type="pct"/>
            <w:shd w:val="clear" w:color="auto" w:fill="auto"/>
          </w:tcPr>
          <w:p w14:paraId="038A38C0" w14:textId="77777777" w:rsidR="00DA4322" w:rsidRDefault="00DA4322" w:rsidP="001A5D4A">
            <w:pPr>
              <w:pStyle w:val="NotesTable-CellPlain"/>
            </w:pPr>
            <w:r w:rsidRPr="008D38BB">
              <w:t>–</w:t>
            </w:r>
          </w:p>
        </w:tc>
      </w:tr>
      <w:tr w:rsidR="00DA4322" w14:paraId="038A38C8" w14:textId="77777777" w:rsidTr="005F65FA">
        <w:trPr>
          <w:cantSplit/>
          <w:trHeight w:hRule="exact" w:val="227"/>
        </w:trPr>
        <w:tc>
          <w:tcPr>
            <w:tcW w:w="810" w:type="pct"/>
          </w:tcPr>
          <w:p w14:paraId="038A38C2" w14:textId="77777777" w:rsidR="00DA4322" w:rsidRDefault="00DA4322" w:rsidP="001A5D4A">
            <w:pPr>
              <w:pStyle w:val="Note-Refs"/>
              <w:rPr>
                <w:b/>
              </w:rPr>
            </w:pPr>
            <w:r>
              <w:t>AASB124.19a</w:t>
            </w:r>
          </w:p>
        </w:tc>
        <w:tc>
          <w:tcPr>
            <w:tcW w:w="2567" w:type="pct"/>
            <w:shd w:val="clear" w:color="auto" w:fill="auto"/>
            <w:vAlign w:val="bottom"/>
          </w:tcPr>
          <w:p w14:paraId="038A38C3" w14:textId="77777777" w:rsidR="00DA4322" w:rsidRDefault="00DA4322" w:rsidP="001A5D4A">
            <w:pPr>
              <w:pStyle w:val="NotesTable-ItemPlain"/>
              <w:rPr>
                <w:b/>
              </w:rPr>
            </w:pPr>
            <w:r>
              <w:t>Loans advanced</w:t>
            </w:r>
          </w:p>
        </w:tc>
        <w:tc>
          <w:tcPr>
            <w:tcW w:w="406" w:type="pct"/>
            <w:shd w:val="clear" w:color="auto" w:fill="auto"/>
          </w:tcPr>
          <w:p w14:paraId="038A38C4" w14:textId="77777777" w:rsidR="00DA4322" w:rsidRDefault="00DA4322" w:rsidP="001A5D4A">
            <w:pPr>
              <w:pStyle w:val="NotesTable-CellBold"/>
            </w:pPr>
            <w:r w:rsidRPr="008D38BB">
              <w:t>–</w:t>
            </w:r>
          </w:p>
        </w:tc>
        <w:tc>
          <w:tcPr>
            <w:tcW w:w="406" w:type="pct"/>
            <w:shd w:val="clear" w:color="auto" w:fill="auto"/>
          </w:tcPr>
          <w:p w14:paraId="038A38C5" w14:textId="77777777" w:rsidR="00DA4322" w:rsidRDefault="00DA4322" w:rsidP="001A5D4A">
            <w:pPr>
              <w:pStyle w:val="NotesTable-CellPlain"/>
            </w:pPr>
            <w:r w:rsidRPr="008D38BB">
              <w:t>–</w:t>
            </w:r>
          </w:p>
        </w:tc>
        <w:tc>
          <w:tcPr>
            <w:tcW w:w="406" w:type="pct"/>
            <w:shd w:val="clear" w:color="auto" w:fill="auto"/>
          </w:tcPr>
          <w:p w14:paraId="038A38C6" w14:textId="77777777" w:rsidR="00DA4322" w:rsidRDefault="00DA4322" w:rsidP="001A5D4A">
            <w:pPr>
              <w:pStyle w:val="NotesTable-CellBold"/>
            </w:pPr>
            <w:r w:rsidRPr="008D38BB">
              <w:t>–</w:t>
            </w:r>
          </w:p>
        </w:tc>
        <w:tc>
          <w:tcPr>
            <w:tcW w:w="405" w:type="pct"/>
            <w:shd w:val="clear" w:color="auto" w:fill="auto"/>
          </w:tcPr>
          <w:p w14:paraId="038A38C7" w14:textId="77777777" w:rsidR="00DA4322" w:rsidRDefault="00DA4322" w:rsidP="001A5D4A">
            <w:pPr>
              <w:pStyle w:val="NotesTable-CellPlain"/>
            </w:pPr>
            <w:r w:rsidRPr="008D38BB">
              <w:t>–</w:t>
            </w:r>
          </w:p>
        </w:tc>
      </w:tr>
      <w:tr w:rsidR="00DA4322" w14:paraId="038A38CF" w14:textId="77777777" w:rsidTr="005F65FA">
        <w:trPr>
          <w:cantSplit/>
          <w:trHeight w:hRule="exact" w:val="227"/>
        </w:trPr>
        <w:tc>
          <w:tcPr>
            <w:tcW w:w="810" w:type="pct"/>
          </w:tcPr>
          <w:p w14:paraId="038A38C9" w14:textId="77777777" w:rsidR="00DA4322" w:rsidRDefault="00DA4322" w:rsidP="001A5D4A">
            <w:pPr>
              <w:pStyle w:val="Note-Refs"/>
              <w:rPr>
                <w:b/>
              </w:rPr>
            </w:pPr>
            <w:r>
              <w:t>AASB124.19a</w:t>
            </w:r>
          </w:p>
        </w:tc>
        <w:tc>
          <w:tcPr>
            <w:tcW w:w="2567" w:type="pct"/>
            <w:shd w:val="clear" w:color="auto" w:fill="auto"/>
            <w:vAlign w:val="bottom"/>
          </w:tcPr>
          <w:p w14:paraId="038A38CA" w14:textId="77777777" w:rsidR="00DA4322" w:rsidRDefault="00DA4322" w:rsidP="001A5D4A">
            <w:pPr>
              <w:pStyle w:val="NotesTable-ItemPlain"/>
              <w:rPr>
                <w:b/>
              </w:rPr>
            </w:pPr>
            <w:r>
              <w:t>Loan repayments received</w:t>
            </w:r>
          </w:p>
        </w:tc>
        <w:tc>
          <w:tcPr>
            <w:tcW w:w="406" w:type="pct"/>
            <w:shd w:val="clear" w:color="auto" w:fill="auto"/>
          </w:tcPr>
          <w:p w14:paraId="038A38CB" w14:textId="77777777" w:rsidR="00DA4322" w:rsidRDefault="00DA4322" w:rsidP="001A5D4A">
            <w:pPr>
              <w:pStyle w:val="NotesTable-CellBold"/>
            </w:pPr>
            <w:r w:rsidRPr="008D38BB">
              <w:t>–</w:t>
            </w:r>
          </w:p>
        </w:tc>
        <w:tc>
          <w:tcPr>
            <w:tcW w:w="406" w:type="pct"/>
            <w:shd w:val="clear" w:color="auto" w:fill="auto"/>
          </w:tcPr>
          <w:p w14:paraId="038A38CC" w14:textId="77777777" w:rsidR="00DA4322" w:rsidRDefault="00DA4322" w:rsidP="001A5D4A">
            <w:pPr>
              <w:pStyle w:val="NotesTable-CellPlain"/>
            </w:pPr>
            <w:r w:rsidRPr="008D38BB">
              <w:t>–</w:t>
            </w:r>
          </w:p>
        </w:tc>
        <w:tc>
          <w:tcPr>
            <w:tcW w:w="406" w:type="pct"/>
            <w:shd w:val="clear" w:color="auto" w:fill="auto"/>
          </w:tcPr>
          <w:p w14:paraId="038A38CD" w14:textId="77777777" w:rsidR="00DA4322" w:rsidRDefault="00DA4322" w:rsidP="001A5D4A">
            <w:pPr>
              <w:pStyle w:val="NotesTable-CellBold"/>
            </w:pPr>
            <w:r w:rsidRPr="008D38BB">
              <w:t>–</w:t>
            </w:r>
          </w:p>
        </w:tc>
        <w:tc>
          <w:tcPr>
            <w:tcW w:w="405" w:type="pct"/>
            <w:shd w:val="clear" w:color="auto" w:fill="auto"/>
          </w:tcPr>
          <w:p w14:paraId="038A38CE" w14:textId="77777777" w:rsidR="00DA4322" w:rsidRDefault="00DA4322" w:rsidP="001A5D4A">
            <w:pPr>
              <w:pStyle w:val="NotesTable-CellPlain"/>
            </w:pPr>
            <w:r w:rsidRPr="008D38BB">
              <w:t>–</w:t>
            </w:r>
          </w:p>
        </w:tc>
      </w:tr>
      <w:tr w:rsidR="00DA4322" w14:paraId="038A38D6" w14:textId="77777777" w:rsidTr="005F65FA">
        <w:trPr>
          <w:cantSplit/>
          <w:trHeight w:hRule="exact" w:val="227"/>
        </w:trPr>
        <w:tc>
          <w:tcPr>
            <w:tcW w:w="810" w:type="pct"/>
          </w:tcPr>
          <w:p w14:paraId="038A38D0" w14:textId="77777777" w:rsidR="00DA4322" w:rsidRDefault="00DA4322" w:rsidP="001A5D4A">
            <w:pPr>
              <w:pStyle w:val="Note-Refs"/>
              <w:rPr>
                <w:b/>
              </w:rPr>
            </w:pPr>
            <w:r>
              <w:t>AASB124.19a</w:t>
            </w:r>
          </w:p>
        </w:tc>
        <w:tc>
          <w:tcPr>
            <w:tcW w:w="2567" w:type="pct"/>
            <w:shd w:val="clear" w:color="auto" w:fill="auto"/>
            <w:vAlign w:val="bottom"/>
          </w:tcPr>
          <w:p w14:paraId="038A38D1" w14:textId="77777777" w:rsidR="00DA4322" w:rsidRDefault="00DA4322" w:rsidP="001A5D4A">
            <w:pPr>
              <w:pStyle w:val="NotesTable-ItemPlain"/>
              <w:rPr>
                <w:b/>
              </w:rPr>
            </w:pPr>
            <w:r>
              <w:t>Interest charged</w:t>
            </w:r>
          </w:p>
        </w:tc>
        <w:tc>
          <w:tcPr>
            <w:tcW w:w="406" w:type="pct"/>
            <w:shd w:val="clear" w:color="auto" w:fill="auto"/>
          </w:tcPr>
          <w:p w14:paraId="038A38D2" w14:textId="77777777" w:rsidR="00DA4322" w:rsidRDefault="00DA4322" w:rsidP="001A5D4A">
            <w:pPr>
              <w:pStyle w:val="NotesTable-CellBold"/>
            </w:pPr>
            <w:r w:rsidRPr="008D38BB">
              <w:t>–</w:t>
            </w:r>
          </w:p>
        </w:tc>
        <w:tc>
          <w:tcPr>
            <w:tcW w:w="406" w:type="pct"/>
            <w:shd w:val="clear" w:color="auto" w:fill="auto"/>
          </w:tcPr>
          <w:p w14:paraId="038A38D3" w14:textId="77777777" w:rsidR="00DA4322" w:rsidRDefault="00DA4322" w:rsidP="001A5D4A">
            <w:pPr>
              <w:pStyle w:val="NotesTable-CellPlain"/>
            </w:pPr>
            <w:r w:rsidRPr="008D38BB">
              <w:t>–</w:t>
            </w:r>
          </w:p>
        </w:tc>
        <w:tc>
          <w:tcPr>
            <w:tcW w:w="406" w:type="pct"/>
            <w:shd w:val="clear" w:color="auto" w:fill="auto"/>
          </w:tcPr>
          <w:p w14:paraId="038A38D4" w14:textId="77777777" w:rsidR="00DA4322" w:rsidRDefault="00DA4322" w:rsidP="001A5D4A">
            <w:pPr>
              <w:pStyle w:val="NotesTable-CellBold"/>
            </w:pPr>
            <w:r w:rsidRPr="008D38BB">
              <w:t>–</w:t>
            </w:r>
          </w:p>
        </w:tc>
        <w:tc>
          <w:tcPr>
            <w:tcW w:w="405" w:type="pct"/>
            <w:shd w:val="clear" w:color="auto" w:fill="auto"/>
          </w:tcPr>
          <w:p w14:paraId="038A38D5" w14:textId="77777777" w:rsidR="00DA4322" w:rsidRDefault="00DA4322" w:rsidP="001A5D4A">
            <w:pPr>
              <w:pStyle w:val="NotesTable-CellPlain"/>
            </w:pPr>
            <w:r w:rsidRPr="008D38BB">
              <w:t>–</w:t>
            </w:r>
          </w:p>
        </w:tc>
      </w:tr>
      <w:tr w:rsidR="00DA4322" w14:paraId="038A38DD" w14:textId="77777777" w:rsidTr="005F65FA">
        <w:trPr>
          <w:cantSplit/>
          <w:trHeight w:hRule="exact" w:val="227"/>
        </w:trPr>
        <w:tc>
          <w:tcPr>
            <w:tcW w:w="810" w:type="pct"/>
          </w:tcPr>
          <w:p w14:paraId="038A38D7" w14:textId="77777777" w:rsidR="00DA4322" w:rsidRDefault="00DA4322" w:rsidP="001A5D4A">
            <w:pPr>
              <w:pStyle w:val="Note-Refs"/>
              <w:rPr>
                <w:b/>
              </w:rPr>
            </w:pPr>
            <w:r>
              <w:t>AASB124.19a</w:t>
            </w:r>
          </w:p>
        </w:tc>
        <w:tc>
          <w:tcPr>
            <w:tcW w:w="2567" w:type="pct"/>
            <w:shd w:val="clear" w:color="auto" w:fill="auto"/>
            <w:vAlign w:val="bottom"/>
          </w:tcPr>
          <w:p w14:paraId="038A38D8" w14:textId="77777777" w:rsidR="00DA4322" w:rsidRDefault="00DA4322" w:rsidP="001A5D4A">
            <w:pPr>
              <w:pStyle w:val="NotesTable-ItemPlain"/>
              <w:rPr>
                <w:b/>
              </w:rPr>
            </w:pPr>
            <w:r>
              <w:t>Interest received</w:t>
            </w:r>
          </w:p>
        </w:tc>
        <w:tc>
          <w:tcPr>
            <w:tcW w:w="406" w:type="pct"/>
            <w:tcBorders>
              <w:bottom w:val="single" w:sz="4" w:space="0" w:color="000000"/>
            </w:tcBorders>
            <w:shd w:val="clear" w:color="auto" w:fill="auto"/>
          </w:tcPr>
          <w:p w14:paraId="038A38D9" w14:textId="77777777" w:rsidR="00DA4322" w:rsidRDefault="00DA4322" w:rsidP="001A5D4A">
            <w:pPr>
              <w:pStyle w:val="NotesTable-CellBold"/>
            </w:pPr>
            <w:r w:rsidRPr="008D38BB">
              <w:t>–</w:t>
            </w:r>
          </w:p>
        </w:tc>
        <w:tc>
          <w:tcPr>
            <w:tcW w:w="406" w:type="pct"/>
            <w:tcBorders>
              <w:bottom w:val="single" w:sz="4" w:space="0" w:color="000000"/>
            </w:tcBorders>
            <w:shd w:val="clear" w:color="auto" w:fill="auto"/>
          </w:tcPr>
          <w:p w14:paraId="038A38DA" w14:textId="77777777" w:rsidR="00DA4322" w:rsidRDefault="00DA4322" w:rsidP="001A5D4A">
            <w:pPr>
              <w:pStyle w:val="NotesTable-CellPlain"/>
            </w:pPr>
            <w:r w:rsidRPr="008D38BB">
              <w:t>–</w:t>
            </w:r>
          </w:p>
        </w:tc>
        <w:tc>
          <w:tcPr>
            <w:tcW w:w="406" w:type="pct"/>
            <w:tcBorders>
              <w:bottom w:val="single" w:sz="4" w:space="0" w:color="000000"/>
            </w:tcBorders>
            <w:shd w:val="clear" w:color="auto" w:fill="auto"/>
          </w:tcPr>
          <w:p w14:paraId="038A38DB" w14:textId="77777777" w:rsidR="00DA4322" w:rsidRDefault="00DA4322" w:rsidP="001A5D4A">
            <w:pPr>
              <w:pStyle w:val="NotesTable-CellBold"/>
            </w:pPr>
            <w:r w:rsidRPr="008D38BB">
              <w:t>–</w:t>
            </w:r>
          </w:p>
        </w:tc>
        <w:tc>
          <w:tcPr>
            <w:tcW w:w="405" w:type="pct"/>
            <w:tcBorders>
              <w:bottom w:val="single" w:sz="4" w:space="0" w:color="000000"/>
            </w:tcBorders>
            <w:shd w:val="clear" w:color="auto" w:fill="auto"/>
          </w:tcPr>
          <w:p w14:paraId="038A38DC" w14:textId="77777777" w:rsidR="00DA4322" w:rsidRDefault="00DA4322" w:rsidP="001A5D4A">
            <w:pPr>
              <w:pStyle w:val="NotesTable-CellPlain"/>
            </w:pPr>
            <w:r w:rsidRPr="008D38BB">
              <w:t>–</w:t>
            </w:r>
          </w:p>
        </w:tc>
      </w:tr>
      <w:tr w:rsidR="00DA4322" w14:paraId="038A38E4" w14:textId="77777777" w:rsidTr="005F65FA">
        <w:trPr>
          <w:cantSplit/>
          <w:trHeight w:hRule="exact" w:val="227"/>
        </w:trPr>
        <w:tc>
          <w:tcPr>
            <w:tcW w:w="810" w:type="pct"/>
          </w:tcPr>
          <w:p w14:paraId="038A38DE" w14:textId="77777777" w:rsidR="00DA4322" w:rsidRDefault="00DA4322" w:rsidP="001A5D4A">
            <w:pPr>
              <w:pStyle w:val="Note-Refs"/>
              <w:rPr>
                <w:b/>
              </w:rPr>
            </w:pPr>
            <w:r>
              <w:t>AASB124.19b</w:t>
            </w:r>
          </w:p>
        </w:tc>
        <w:tc>
          <w:tcPr>
            <w:tcW w:w="2567" w:type="pct"/>
            <w:shd w:val="clear" w:color="auto" w:fill="auto"/>
            <w:vAlign w:val="bottom"/>
          </w:tcPr>
          <w:p w14:paraId="038A38DF" w14:textId="77777777" w:rsidR="00DA4322" w:rsidRDefault="00DA4322" w:rsidP="001A5D4A">
            <w:pPr>
              <w:pStyle w:val="NotesTable-ItemPlain"/>
              <w:rPr>
                <w:b/>
              </w:rPr>
            </w:pPr>
            <w:r>
              <w:t>End of year</w:t>
            </w:r>
          </w:p>
        </w:tc>
        <w:tc>
          <w:tcPr>
            <w:tcW w:w="406" w:type="pct"/>
            <w:tcBorders>
              <w:top w:val="single" w:sz="4" w:space="0" w:color="000000"/>
            </w:tcBorders>
            <w:shd w:val="clear" w:color="auto" w:fill="auto"/>
          </w:tcPr>
          <w:p w14:paraId="038A38E0" w14:textId="77777777" w:rsidR="00DA4322" w:rsidRDefault="00DA4322" w:rsidP="001A5D4A">
            <w:pPr>
              <w:pStyle w:val="NotesTable-CellBold"/>
            </w:pPr>
            <w:r w:rsidRPr="008D38BB">
              <w:t>–</w:t>
            </w:r>
          </w:p>
        </w:tc>
        <w:tc>
          <w:tcPr>
            <w:tcW w:w="406" w:type="pct"/>
            <w:tcBorders>
              <w:top w:val="single" w:sz="4" w:space="0" w:color="000000"/>
            </w:tcBorders>
            <w:shd w:val="clear" w:color="auto" w:fill="auto"/>
          </w:tcPr>
          <w:p w14:paraId="038A38E1" w14:textId="77777777" w:rsidR="00DA4322" w:rsidRDefault="00DA4322" w:rsidP="001A5D4A">
            <w:pPr>
              <w:pStyle w:val="NotesTable-CellPlain"/>
            </w:pPr>
            <w:r w:rsidRPr="008D38BB">
              <w:t>–</w:t>
            </w:r>
          </w:p>
        </w:tc>
        <w:tc>
          <w:tcPr>
            <w:tcW w:w="406" w:type="pct"/>
            <w:tcBorders>
              <w:top w:val="single" w:sz="4" w:space="0" w:color="000000"/>
            </w:tcBorders>
            <w:shd w:val="clear" w:color="auto" w:fill="auto"/>
          </w:tcPr>
          <w:p w14:paraId="038A38E2" w14:textId="77777777" w:rsidR="00DA4322" w:rsidRDefault="00DA4322" w:rsidP="001A5D4A">
            <w:pPr>
              <w:pStyle w:val="NotesTable-CellBold"/>
            </w:pPr>
            <w:r w:rsidRPr="008D38BB">
              <w:t>–</w:t>
            </w:r>
          </w:p>
        </w:tc>
        <w:tc>
          <w:tcPr>
            <w:tcW w:w="405" w:type="pct"/>
            <w:tcBorders>
              <w:top w:val="single" w:sz="4" w:space="0" w:color="000000"/>
            </w:tcBorders>
            <w:shd w:val="clear" w:color="auto" w:fill="auto"/>
          </w:tcPr>
          <w:p w14:paraId="038A38E3" w14:textId="77777777" w:rsidR="00DA4322" w:rsidRDefault="00DA4322" w:rsidP="001A5D4A">
            <w:pPr>
              <w:pStyle w:val="NotesTable-CellPlain"/>
            </w:pPr>
            <w:r w:rsidRPr="008D38BB">
              <w:t>–</w:t>
            </w:r>
          </w:p>
        </w:tc>
      </w:tr>
      <w:tr w:rsidR="004D19BD" w14:paraId="038A38E7" w14:textId="77777777" w:rsidTr="00463ABD">
        <w:trPr>
          <w:cantSplit/>
          <w:trHeight w:hRule="exact" w:val="227"/>
        </w:trPr>
        <w:tc>
          <w:tcPr>
            <w:tcW w:w="810" w:type="pct"/>
          </w:tcPr>
          <w:p w14:paraId="038A38E5" w14:textId="77777777" w:rsidR="004D19BD" w:rsidRDefault="004D19BD" w:rsidP="001A5D4A">
            <w:pPr>
              <w:pStyle w:val="Note-Refs"/>
            </w:pPr>
          </w:p>
        </w:tc>
        <w:tc>
          <w:tcPr>
            <w:tcW w:w="4190" w:type="pct"/>
            <w:gridSpan w:val="5"/>
            <w:shd w:val="clear" w:color="auto" w:fill="auto"/>
            <w:vAlign w:val="bottom"/>
          </w:tcPr>
          <w:p w14:paraId="038A38E6" w14:textId="77777777" w:rsidR="004D19BD" w:rsidRDefault="004D19BD" w:rsidP="001A5D4A">
            <w:pPr>
              <w:pStyle w:val="NotesTable-ItemPlain"/>
            </w:pPr>
          </w:p>
        </w:tc>
      </w:tr>
      <w:tr w:rsidR="002A6800" w14:paraId="038A38EA" w14:textId="77777777" w:rsidTr="00463ABD">
        <w:trPr>
          <w:cantSplit/>
          <w:trHeight w:hRule="exact" w:val="454"/>
        </w:trPr>
        <w:tc>
          <w:tcPr>
            <w:tcW w:w="810" w:type="pct"/>
          </w:tcPr>
          <w:p w14:paraId="038A38E8" w14:textId="77777777" w:rsidR="002A6800" w:rsidRDefault="002A6800" w:rsidP="001A5D4A">
            <w:pPr>
              <w:pStyle w:val="Note-Refs"/>
              <w:rPr>
                <w:b/>
              </w:rPr>
            </w:pPr>
            <w:r>
              <w:t>AASB124.18c,d</w:t>
            </w:r>
          </w:p>
        </w:tc>
        <w:tc>
          <w:tcPr>
            <w:tcW w:w="4190" w:type="pct"/>
            <w:gridSpan w:val="5"/>
            <w:shd w:val="clear" w:color="auto" w:fill="auto"/>
            <w:vAlign w:val="bottom"/>
          </w:tcPr>
          <w:p w14:paraId="038A38E9" w14:textId="77777777" w:rsidR="002A6800" w:rsidRDefault="002A6800" w:rsidP="001A5D4A">
            <w:pPr>
              <w:pStyle w:val="NotesTable-ItemPlain"/>
              <w:rPr>
                <w:b/>
              </w:rPr>
            </w:pPr>
            <w:r>
              <w:t>No provisions for doubtful debts have been raised in relation to any outstanding balances, and no expense has been recognised in respect of bad or doubtful debts due from related parties.</w:t>
            </w:r>
          </w:p>
        </w:tc>
      </w:tr>
    </w:tbl>
    <w:p w14:paraId="038A38EB" w14:textId="77777777" w:rsidR="006F5A2A" w:rsidRPr="00106D3E" w:rsidRDefault="00C84751" w:rsidP="001A5D4A">
      <w:r w:rsidRPr="00106D3E">
        <w:br w:type="page"/>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5F65FA" w14:paraId="038A38EE" w14:textId="77777777" w:rsidTr="005F65FA">
        <w:trPr>
          <w:cantSplit/>
          <w:trHeight w:val="180"/>
        </w:trPr>
        <w:tc>
          <w:tcPr>
            <w:tcW w:w="5000" w:type="pct"/>
            <w:gridSpan w:val="6"/>
          </w:tcPr>
          <w:p w14:paraId="038A38ED" w14:textId="702E3D57" w:rsidR="005F65FA" w:rsidRPr="00106D3E" w:rsidRDefault="005F65FA" w:rsidP="005F65FA">
            <w:pPr>
              <w:pStyle w:val="TOC3"/>
              <w:ind w:left="0"/>
            </w:pPr>
            <w:r w:rsidRPr="00106D3E">
              <w:lastRenderedPageBreak/>
              <w:t>Note 42</w:t>
            </w:r>
            <w:r>
              <w:t xml:space="preserve">. </w:t>
            </w:r>
            <w:r w:rsidRPr="00106D3E">
              <w:t>Related parties (continued)</w:t>
            </w:r>
          </w:p>
        </w:tc>
      </w:tr>
      <w:tr w:rsidR="006F5A2A" w14:paraId="038A38F1" w14:textId="77777777" w:rsidTr="00463ABD">
        <w:trPr>
          <w:cantSplit/>
          <w:trHeight w:hRule="exact" w:val="227"/>
        </w:trPr>
        <w:tc>
          <w:tcPr>
            <w:tcW w:w="810" w:type="pct"/>
          </w:tcPr>
          <w:p w14:paraId="038A38EF" w14:textId="77777777" w:rsidR="006F5A2A" w:rsidRDefault="006F5A2A" w:rsidP="001A5D4A">
            <w:pPr>
              <w:pStyle w:val="Note-Refs"/>
            </w:pPr>
          </w:p>
        </w:tc>
        <w:tc>
          <w:tcPr>
            <w:tcW w:w="4190" w:type="pct"/>
            <w:gridSpan w:val="5"/>
            <w:vAlign w:val="bottom"/>
          </w:tcPr>
          <w:p w14:paraId="038A38F0" w14:textId="77777777" w:rsidR="006F5A2A" w:rsidRDefault="006F5A2A" w:rsidP="001A5D4A">
            <w:pPr>
              <w:pStyle w:val="NotesTable-ItemPlain"/>
            </w:pPr>
          </w:p>
        </w:tc>
      </w:tr>
      <w:tr w:rsidR="006F5A2A" w14:paraId="038A38F4" w14:textId="77777777" w:rsidTr="00463ABD">
        <w:trPr>
          <w:cantSplit/>
          <w:trHeight w:hRule="exact" w:val="227"/>
        </w:trPr>
        <w:tc>
          <w:tcPr>
            <w:tcW w:w="810" w:type="pct"/>
          </w:tcPr>
          <w:p w14:paraId="038A38F2" w14:textId="77777777" w:rsidR="006F5A2A" w:rsidRDefault="006F5A2A" w:rsidP="001A5D4A">
            <w:pPr>
              <w:pStyle w:val="Note-Refs"/>
            </w:pPr>
          </w:p>
        </w:tc>
        <w:tc>
          <w:tcPr>
            <w:tcW w:w="4190" w:type="pct"/>
            <w:gridSpan w:val="5"/>
            <w:shd w:val="clear" w:color="auto" w:fill="auto"/>
            <w:vAlign w:val="bottom"/>
          </w:tcPr>
          <w:p w14:paraId="038A38F3" w14:textId="77777777" w:rsidR="006F5A2A" w:rsidRDefault="006F5A2A" w:rsidP="001A5D4A">
            <w:pPr>
              <w:pStyle w:val="Note-TextHeader"/>
              <w:rPr>
                <w:b w:val="0"/>
                <w:lang w:val="en-GB"/>
              </w:rPr>
            </w:pPr>
            <w:r>
              <w:t>(f) Outstanding balances</w:t>
            </w:r>
          </w:p>
        </w:tc>
      </w:tr>
      <w:tr w:rsidR="006F5A2A" w14:paraId="038A38F7" w14:textId="77777777" w:rsidTr="00463ABD">
        <w:trPr>
          <w:cantSplit/>
          <w:trHeight w:hRule="exact" w:val="227"/>
        </w:trPr>
        <w:tc>
          <w:tcPr>
            <w:tcW w:w="810" w:type="pct"/>
          </w:tcPr>
          <w:p w14:paraId="038A38F5" w14:textId="77777777" w:rsidR="006F5A2A" w:rsidRDefault="006F5A2A" w:rsidP="001A5D4A">
            <w:pPr>
              <w:pStyle w:val="Note-Refs"/>
              <w:rPr>
                <w:b/>
              </w:rPr>
            </w:pPr>
            <w:r>
              <w:t>AASB124</w:t>
            </w:r>
            <w:r w:rsidR="00671C14">
              <w:t>.</w:t>
            </w:r>
            <w:r>
              <w:t>1</w:t>
            </w:r>
            <w:r w:rsidR="00DB7EB2">
              <w:t>8</w:t>
            </w:r>
            <w:r>
              <w:t>b</w:t>
            </w:r>
          </w:p>
        </w:tc>
        <w:tc>
          <w:tcPr>
            <w:tcW w:w="4190" w:type="pct"/>
            <w:gridSpan w:val="5"/>
            <w:shd w:val="clear" w:color="auto" w:fill="auto"/>
            <w:vAlign w:val="bottom"/>
          </w:tcPr>
          <w:p w14:paraId="038A38F6" w14:textId="77777777" w:rsidR="006F5A2A" w:rsidRDefault="006F5A2A" w:rsidP="001A5D4A">
            <w:pPr>
              <w:pStyle w:val="NotesTable-ItemPlain"/>
              <w:rPr>
                <w:b/>
              </w:rPr>
            </w:pPr>
            <w:r>
              <w:t>The following balances are outstanding at the reporting date in relation to transactions with related parties:</w:t>
            </w:r>
          </w:p>
        </w:tc>
      </w:tr>
      <w:tr w:rsidR="006F5A2A" w14:paraId="038A38FC" w14:textId="77777777" w:rsidTr="005F65FA">
        <w:trPr>
          <w:cantSplit/>
          <w:trHeight w:hRule="exact" w:val="227"/>
        </w:trPr>
        <w:tc>
          <w:tcPr>
            <w:tcW w:w="810" w:type="pct"/>
          </w:tcPr>
          <w:p w14:paraId="038A38F8" w14:textId="77777777" w:rsidR="006F5A2A" w:rsidRDefault="006F5A2A" w:rsidP="001A5D4A">
            <w:pPr>
              <w:pStyle w:val="Note-Refs"/>
            </w:pPr>
          </w:p>
        </w:tc>
        <w:tc>
          <w:tcPr>
            <w:tcW w:w="2567" w:type="pct"/>
            <w:shd w:val="clear" w:color="auto" w:fill="auto"/>
            <w:vAlign w:val="bottom"/>
          </w:tcPr>
          <w:p w14:paraId="038A38F9" w14:textId="77777777" w:rsidR="006F5A2A" w:rsidRDefault="006F5A2A" w:rsidP="001A5D4A">
            <w:pPr>
              <w:pStyle w:val="NotesTable-ItemPlain"/>
            </w:pPr>
          </w:p>
        </w:tc>
        <w:tc>
          <w:tcPr>
            <w:tcW w:w="812" w:type="pct"/>
            <w:gridSpan w:val="2"/>
            <w:shd w:val="clear" w:color="auto" w:fill="auto"/>
          </w:tcPr>
          <w:p w14:paraId="038A38FA" w14:textId="77777777" w:rsidR="006F5A2A" w:rsidRDefault="006F5A2A" w:rsidP="001A5D4A">
            <w:pPr>
              <w:pStyle w:val="NotesTable-HeadPlain"/>
            </w:pPr>
            <w:r>
              <w:t>Consolidated</w:t>
            </w:r>
          </w:p>
        </w:tc>
        <w:tc>
          <w:tcPr>
            <w:tcW w:w="811" w:type="pct"/>
            <w:gridSpan w:val="2"/>
            <w:shd w:val="clear" w:color="auto" w:fill="auto"/>
          </w:tcPr>
          <w:p w14:paraId="038A38FB" w14:textId="77777777" w:rsidR="006F5A2A" w:rsidRDefault="006F5A2A" w:rsidP="001A5D4A">
            <w:pPr>
              <w:pStyle w:val="NotesTable-HeadPlain"/>
            </w:pPr>
            <w:r>
              <w:t>Parent entity</w:t>
            </w:r>
          </w:p>
        </w:tc>
      </w:tr>
      <w:tr w:rsidR="00C83428" w14:paraId="038A3903" w14:textId="77777777" w:rsidTr="005F65FA">
        <w:trPr>
          <w:cantSplit/>
          <w:trHeight w:hRule="exact" w:val="227"/>
        </w:trPr>
        <w:tc>
          <w:tcPr>
            <w:tcW w:w="810" w:type="pct"/>
          </w:tcPr>
          <w:p w14:paraId="038A38FD" w14:textId="77777777" w:rsidR="00C83428" w:rsidRDefault="00C83428" w:rsidP="001A5D4A">
            <w:pPr>
              <w:pStyle w:val="Note-Refs"/>
            </w:pPr>
          </w:p>
        </w:tc>
        <w:tc>
          <w:tcPr>
            <w:tcW w:w="2567" w:type="pct"/>
            <w:shd w:val="clear" w:color="auto" w:fill="auto"/>
            <w:vAlign w:val="bottom"/>
          </w:tcPr>
          <w:p w14:paraId="038A38FE" w14:textId="77777777" w:rsidR="00C83428" w:rsidRDefault="00C83428" w:rsidP="001A5D4A">
            <w:pPr>
              <w:pStyle w:val="NotesTable-ItemPlain"/>
            </w:pPr>
          </w:p>
        </w:tc>
        <w:tc>
          <w:tcPr>
            <w:tcW w:w="406" w:type="pct"/>
            <w:shd w:val="clear" w:color="auto" w:fill="auto"/>
          </w:tcPr>
          <w:p w14:paraId="038A38FF" w14:textId="4186EE4F" w:rsidR="00C83428" w:rsidRDefault="006864EC" w:rsidP="001A5D4A">
            <w:pPr>
              <w:pStyle w:val="NotesTable-HeadBold"/>
            </w:pPr>
            <w:r>
              <w:t>2014</w:t>
            </w:r>
          </w:p>
        </w:tc>
        <w:tc>
          <w:tcPr>
            <w:tcW w:w="406" w:type="pct"/>
            <w:shd w:val="clear" w:color="auto" w:fill="auto"/>
          </w:tcPr>
          <w:p w14:paraId="038A3900" w14:textId="707132F9" w:rsidR="00C83428" w:rsidRDefault="006864EC" w:rsidP="001A5D4A">
            <w:pPr>
              <w:pStyle w:val="NotesTable-HeadPlain"/>
            </w:pPr>
            <w:r>
              <w:t>2013</w:t>
            </w:r>
          </w:p>
        </w:tc>
        <w:tc>
          <w:tcPr>
            <w:tcW w:w="406" w:type="pct"/>
            <w:shd w:val="clear" w:color="auto" w:fill="auto"/>
          </w:tcPr>
          <w:p w14:paraId="038A3901" w14:textId="41BD7856" w:rsidR="00C83428" w:rsidRDefault="006864EC" w:rsidP="001A5D4A">
            <w:pPr>
              <w:pStyle w:val="NotesTable-HeadBold"/>
              <w:rPr>
                <w:szCs w:val="18"/>
              </w:rPr>
            </w:pPr>
            <w:r>
              <w:t>2014</w:t>
            </w:r>
          </w:p>
        </w:tc>
        <w:tc>
          <w:tcPr>
            <w:tcW w:w="405" w:type="pct"/>
            <w:shd w:val="clear" w:color="auto" w:fill="auto"/>
          </w:tcPr>
          <w:p w14:paraId="038A3902" w14:textId="1CBE5B14" w:rsidR="00C83428" w:rsidRDefault="006864EC" w:rsidP="001A5D4A">
            <w:pPr>
              <w:pStyle w:val="NotesTable-HeadPlain"/>
            </w:pPr>
            <w:r>
              <w:t>2013</w:t>
            </w:r>
          </w:p>
        </w:tc>
      </w:tr>
      <w:tr w:rsidR="00C83428" w14:paraId="038A390A" w14:textId="77777777" w:rsidTr="005F65FA">
        <w:trPr>
          <w:cantSplit/>
          <w:trHeight w:hRule="exact" w:val="227"/>
        </w:trPr>
        <w:tc>
          <w:tcPr>
            <w:tcW w:w="810" w:type="pct"/>
          </w:tcPr>
          <w:p w14:paraId="038A3904" w14:textId="77777777" w:rsidR="00C83428" w:rsidRDefault="00C83428" w:rsidP="001A5D4A">
            <w:pPr>
              <w:pStyle w:val="Note-Refs"/>
            </w:pPr>
          </w:p>
        </w:tc>
        <w:tc>
          <w:tcPr>
            <w:tcW w:w="2567" w:type="pct"/>
            <w:shd w:val="clear" w:color="auto" w:fill="auto"/>
            <w:vAlign w:val="bottom"/>
          </w:tcPr>
          <w:p w14:paraId="038A3905" w14:textId="77777777" w:rsidR="00C83428" w:rsidRDefault="00C83428" w:rsidP="001A5D4A">
            <w:pPr>
              <w:pStyle w:val="NotesTable-ItemPlain"/>
            </w:pPr>
          </w:p>
        </w:tc>
        <w:tc>
          <w:tcPr>
            <w:tcW w:w="406" w:type="pct"/>
            <w:shd w:val="clear" w:color="auto" w:fill="auto"/>
          </w:tcPr>
          <w:p w14:paraId="038A3906" w14:textId="77777777" w:rsidR="00C83428" w:rsidRDefault="00C83428" w:rsidP="001A5D4A">
            <w:pPr>
              <w:pStyle w:val="NotesTable-HeadBold"/>
            </w:pPr>
            <w:r>
              <w:t>$’000</w:t>
            </w:r>
          </w:p>
        </w:tc>
        <w:tc>
          <w:tcPr>
            <w:tcW w:w="406" w:type="pct"/>
            <w:shd w:val="clear" w:color="auto" w:fill="auto"/>
          </w:tcPr>
          <w:p w14:paraId="038A3907" w14:textId="77777777" w:rsidR="00C83428" w:rsidRDefault="00C83428" w:rsidP="001A5D4A">
            <w:pPr>
              <w:pStyle w:val="NotesTable-HeadPlain"/>
            </w:pPr>
            <w:r>
              <w:t>$’000</w:t>
            </w:r>
          </w:p>
        </w:tc>
        <w:tc>
          <w:tcPr>
            <w:tcW w:w="406" w:type="pct"/>
            <w:shd w:val="clear" w:color="auto" w:fill="auto"/>
          </w:tcPr>
          <w:p w14:paraId="038A3908" w14:textId="77777777" w:rsidR="00C83428" w:rsidRDefault="00C83428" w:rsidP="001A5D4A">
            <w:pPr>
              <w:pStyle w:val="NotesTable-HeadBold"/>
              <w:rPr>
                <w:szCs w:val="18"/>
              </w:rPr>
            </w:pPr>
            <w:r>
              <w:t>$’000</w:t>
            </w:r>
          </w:p>
        </w:tc>
        <w:tc>
          <w:tcPr>
            <w:tcW w:w="405" w:type="pct"/>
            <w:shd w:val="clear" w:color="auto" w:fill="auto"/>
          </w:tcPr>
          <w:p w14:paraId="038A3909" w14:textId="77777777" w:rsidR="00C83428" w:rsidRDefault="00C83428" w:rsidP="001A5D4A">
            <w:pPr>
              <w:pStyle w:val="NotesTable-HeadPlain"/>
            </w:pPr>
            <w:r>
              <w:t>$’000</w:t>
            </w:r>
          </w:p>
        </w:tc>
      </w:tr>
      <w:tr w:rsidR="00B83214" w14:paraId="038A390D" w14:textId="77777777" w:rsidTr="00463ABD">
        <w:trPr>
          <w:cantSplit/>
          <w:trHeight w:hRule="exact" w:val="227"/>
        </w:trPr>
        <w:tc>
          <w:tcPr>
            <w:tcW w:w="810" w:type="pct"/>
          </w:tcPr>
          <w:p w14:paraId="038A390B" w14:textId="77777777" w:rsidR="00B83214" w:rsidRDefault="00B83214" w:rsidP="001A5D4A">
            <w:pPr>
              <w:pStyle w:val="Note-Refs"/>
            </w:pPr>
          </w:p>
        </w:tc>
        <w:tc>
          <w:tcPr>
            <w:tcW w:w="4190" w:type="pct"/>
            <w:gridSpan w:val="5"/>
            <w:shd w:val="clear" w:color="auto" w:fill="auto"/>
            <w:vAlign w:val="bottom"/>
          </w:tcPr>
          <w:p w14:paraId="038A390C" w14:textId="77777777" w:rsidR="00B83214" w:rsidRDefault="00B83214" w:rsidP="001A5D4A">
            <w:pPr>
              <w:pStyle w:val="NotesTable-ItemPlain"/>
              <w:rPr>
                <w:b/>
              </w:rPr>
            </w:pPr>
            <w:r w:rsidRPr="00E56E44">
              <w:t>Current receivables (sale of goods and services)</w:t>
            </w:r>
          </w:p>
        </w:tc>
      </w:tr>
      <w:tr w:rsidR="00C83428" w14:paraId="038A3914" w14:textId="77777777" w:rsidTr="005F65FA">
        <w:trPr>
          <w:cantSplit/>
          <w:trHeight w:hRule="exact" w:val="227"/>
        </w:trPr>
        <w:tc>
          <w:tcPr>
            <w:tcW w:w="810" w:type="pct"/>
          </w:tcPr>
          <w:p w14:paraId="038A390E" w14:textId="77777777" w:rsidR="00C83428" w:rsidRDefault="00C83428" w:rsidP="001A5D4A">
            <w:pPr>
              <w:pStyle w:val="Note-Refs"/>
              <w:rPr>
                <w:b/>
              </w:rPr>
            </w:pPr>
            <w:r>
              <w:t>AASB124.19c</w:t>
            </w:r>
          </w:p>
        </w:tc>
        <w:tc>
          <w:tcPr>
            <w:tcW w:w="2567" w:type="pct"/>
            <w:shd w:val="clear" w:color="auto" w:fill="auto"/>
            <w:vAlign w:val="bottom"/>
          </w:tcPr>
          <w:p w14:paraId="038A390F" w14:textId="77777777" w:rsidR="00C83428" w:rsidRDefault="00C83428" w:rsidP="001A5D4A">
            <w:pPr>
              <w:pStyle w:val="NotesTable-ItemPlain"/>
              <w:rPr>
                <w:b/>
              </w:rPr>
            </w:pPr>
            <w:r>
              <w:t>Subsidiaries</w:t>
            </w:r>
          </w:p>
        </w:tc>
        <w:tc>
          <w:tcPr>
            <w:tcW w:w="406" w:type="pct"/>
            <w:tcBorders>
              <w:bottom w:val="single" w:sz="4" w:space="0" w:color="auto"/>
            </w:tcBorders>
            <w:shd w:val="clear" w:color="auto" w:fill="auto"/>
          </w:tcPr>
          <w:p w14:paraId="038A3910" w14:textId="77777777" w:rsidR="00C83428" w:rsidRDefault="00C83428" w:rsidP="001A5D4A">
            <w:pPr>
              <w:pStyle w:val="NotesTable-CellBold"/>
            </w:pPr>
            <w:r>
              <w:t>–</w:t>
            </w:r>
          </w:p>
        </w:tc>
        <w:tc>
          <w:tcPr>
            <w:tcW w:w="406" w:type="pct"/>
            <w:tcBorders>
              <w:bottom w:val="single" w:sz="4" w:space="0" w:color="auto"/>
            </w:tcBorders>
            <w:shd w:val="clear" w:color="auto" w:fill="auto"/>
          </w:tcPr>
          <w:p w14:paraId="038A3911" w14:textId="77777777" w:rsidR="00C83428" w:rsidRDefault="00C83428" w:rsidP="001A5D4A">
            <w:pPr>
              <w:pStyle w:val="NotesTable-CellPlain"/>
            </w:pPr>
            <w:r>
              <w:t>–</w:t>
            </w:r>
          </w:p>
        </w:tc>
        <w:tc>
          <w:tcPr>
            <w:tcW w:w="406" w:type="pct"/>
            <w:tcBorders>
              <w:bottom w:val="single" w:sz="4" w:space="0" w:color="auto"/>
            </w:tcBorders>
            <w:shd w:val="clear" w:color="auto" w:fill="auto"/>
          </w:tcPr>
          <w:p w14:paraId="038A3912" w14:textId="77777777" w:rsidR="00C83428" w:rsidRDefault="00C83428" w:rsidP="001A5D4A">
            <w:pPr>
              <w:pStyle w:val="NotesTable-CellBold"/>
            </w:pPr>
            <w:r>
              <w:t>–</w:t>
            </w:r>
          </w:p>
        </w:tc>
        <w:tc>
          <w:tcPr>
            <w:tcW w:w="405" w:type="pct"/>
            <w:tcBorders>
              <w:bottom w:val="single" w:sz="4" w:space="0" w:color="auto"/>
            </w:tcBorders>
            <w:shd w:val="clear" w:color="auto" w:fill="auto"/>
          </w:tcPr>
          <w:p w14:paraId="038A3913" w14:textId="77777777" w:rsidR="00C83428" w:rsidRDefault="00C83428" w:rsidP="001A5D4A">
            <w:pPr>
              <w:pStyle w:val="NotesTable-CellPlain"/>
            </w:pPr>
            <w:r>
              <w:t>–</w:t>
            </w:r>
          </w:p>
        </w:tc>
      </w:tr>
      <w:tr w:rsidR="00366723" w14:paraId="038A391B" w14:textId="77777777" w:rsidTr="005F65FA">
        <w:trPr>
          <w:cantSplit/>
          <w:trHeight w:hRule="exact" w:val="227"/>
        </w:trPr>
        <w:tc>
          <w:tcPr>
            <w:tcW w:w="810" w:type="pct"/>
          </w:tcPr>
          <w:p w14:paraId="038A3915" w14:textId="77777777" w:rsidR="00366723" w:rsidRDefault="00366723" w:rsidP="001A5D4A">
            <w:pPr>
              <w:pStyle w:val="Note-Refs"/>
            </w:pPr>
          </w:p>
        </w:tc>
        <w:tc>
          <w:tcPr>
            <w:tcW w:w="2567" w:type="pct"/>
            <w:shd w:val="clear" w:color="auto" w:fill="auto"/>
            <w:vAlign w:val="bottom"/>
          </w:tcPr>
          <w:p w14:paraId="038A3916" w14:textId="77777777" w:rsidR="00366723" w:rsidRDefault="00366723" w:rsidP="001A5D4A">
            <w:pPr>
              <w:pStyle w:val="NotesTable-ItemPlain"/>
              <w:rPr>
                <w:b/>
              </w:rPr>
            </w:pPr>
            <w:r>
              <w:t>Total</w:t>
            </w:r>
            <w:r w:rsidR="009A76E9">
              <w:t xml:space="preserve"> current receivables</w:t>
            </w:r>
          </w:p>
        </w:tc>
        <w:tc>
          <w:tcPr>
            <w:tcW w:w="406" w:type="pct"/>
            <w:tcBorders>
              <w:top w:val="single" w:sz="4" w:space="0" w:color="auto"/>
            </w:tcBorders>
            <w:shd w:val="clear" w:color="auto" w:fill="auto"/>
          </w:tcPr>
          <w:p w14:paraId="038A3917" w14:textId="77777777" w:rsidR="00366723" w:rsidRDefault="00366723" w:rsidP="001A5D4A">
            <w:pPr>
              <w:pStyle w:val="NotesTable-CellBold"/>
            </w:pPr>
            <w:r>
              <w:t>–</w:t>
            </w:r>
          </w:p>
        </w:tc>
        <w:tc>
          <w:tcPr>
            <w:tcW w:w="406" w:type="pct"/>
            <w:tcBorders>
              <w:top w:val="single" w:sz="4" w:space="0" w:color="auto"/>
            </w:tcBorders>
            <w:shd w:val="clear" w:color="auto" w:fill="auto"/>
          </w:tcPr>
          <w:p w14:paraId="038A3918" w14:textId="77777777" w:rsidR="00366723" w:rsidRDefault="00366723" w:rsidP="001A5D4A">
            <w:pPr>
              <w:pStyle w:val="NotesTable-CellPlain"/>
            </w:pPr>
            <w:r>
              <w:t>–</w:t>
            </w:r>
          </w:p>
        </w:tc>
        <w:tc>
          <w:tcPr>
            <w:tcW w:w="406" w:type="pct"/>
            <w:tcBorders>
              <w:top w:val="single" w:sz="4" w:space="0" w:color="auto"/>
            </w:tcBorders>
            <w:shd w:val="clear" w:color="auto" w:fill="auto"/>
          </w:tcPr>
          <w:p w14:paraId="038A3919" w14:textId="77777777" w:rsidR="00366723" w:rsidRDefault="00366723" w:rsidP="001A5D4A">
            <w:pPr>
              <w:pStyle w:val="NotesTable-CellBold"/>
            </w:pPr>
            <w:r>
              <w:t>–</w:t>
            </w:r>
          </w:p>
        </w:tc>
        <w:tc>
          <w:tcPr>
            <w:tcW w:w="405" w:type="pct"/>
            <w:tcBorders>
              <w:top w:val="single" w:sz="4" w:space="0" w:color="auto"/>
            </w:tcBorders>
            <w:shd w:val="clear" w:color="auto" w:fill="auto"/>
          </w:tcPr>
          <w:p w14:paraId="038A391A" w14:textId="77777777" w:rsidR="00366723" w:rsidRDefault="00366723" w:rsidP="001A5D4A">
            <w:pPr>
              <w:pStyle w:val="NotesTable-CellPlain"/>
            </w:pPr>
            <w:r>
              <w:t>–</w:t>
            </w:r>
          </w:p>
        </w:tc>
      </w:tr>
      <w:tr w:rsidR="00B83214" w14:paraId="038A391E" w14:textId="77777777" w:rsidTr="00463ABD">
        <w:trPr>
          <w:cantSplit/>
          <w:trHeight w:hRule="exact" w:val="227"/>
        </w:trPr>
        <w:tc>
          <w:tcPr>
            <w:tcW w:w="810" w:type="pct"/>
          </w:tcPr>
          <w:p w14:paraId="038A391C" w14:textId="77777777" w:rsidR="00B83214" w:rsidRDefault="00B83214" w:rsidP="001A5D4A">
            <w:pPr>
              <w:pStyle w:val="Note-Refs"/>
            </w:pPr>
          </w:p>
        </w:tc>
        <w:tc>
          <w:tcPr>
            <w:tcW w:w="4190" w:type="pct"/>
            <w:gridSpan w:val="5"/>
            <w:shd w:val="clear" w:color="auto" w:fill="auto"/>
            <w:vAlign w:val="bottom"/>
          </w:tcPr>
          <w:p w14:paraId="038A391D" w14:textId="77777777" w:rsidR="00B83214" w:rsidRDefault="00B83214" w:rsidP="001A5D4A">
            <w:pPr>
              <w:pStyle w:val="NotesTable-ItemPlain"/>
            </w:pPr>
          </w:p>
        </w:tc>
      </w:tr>
      <w:tr w:rsidR="00B83214" w14:paraId="038A3921" w14:textId="77777777" w:rsidTr="00463ABD">
        <w:trPr>
          <w:cantSplit/>
          <w:trHeight w:hRule="exact" w:val="227"/>
        </w:trPr>
        <w:tc>
          <w:tcPr>
            <w:tcW w:w="810" w:type="pct"/>
          </w:tcPr>
          <w:p w14:paraId="038A391F" w14:textId="77777777" w:rsidR="00B83214" w:rsidRDefault="00B83214" w:rsidP="001A5D4A">
            <w:pPr>
              <w:pStyle w:val="Note-Refs"/>
            </w:pPr>
          </w:p>
        </w:tc>
        <w:tc>
          <w:tcPr>
            <w:tcW w:w="4190" w:type="pct"/>
            <w:gridSpan w:val="5"/>
            <w:shd w:val="clear" w:color="auto" w:fill="auto"/>
            <w:vAlign w:val="bottom"/>
          </w:tcPr>
          <w:p w14:paraId="038A3920" w14:textId="77777777" w:rsidR="00B83214" w:rsidRDefault="00B83214" w:rsidP="001A5D4A">
            <w:pPr>
              <w:pStyle w:val="NotesTable-ItemPlain"/>
              <w:rPr>
                <w:b/>
              </w:rPr>
            </w:pPr>
            <w:r w:rsidRPr="00E56E44">
              <w:t>Non-current receivables (loans)</w:t>
            </w:r>
          </w:p>
        </w:tc>
      </w:tr>
      <w:tr w:rsidR="00C83428" w14:paraId="038A3928" w14:textId="77777777" w:rsidTr="005F65FA">
        <w:trPr>
          <w:cantSplit/>
          <w:trHeight w:hRule="exact" w:val="227"/>
        </w:trPr>
        <w:tc>
          <w:tcPr>
            <w:tcW w:w="810" w:type="pct"/>
          </w:tcPr>
          <w:p w14:paraId="038A3922" w14:textId="77777777" w:rsidR="00C83428" w:rsidRDefault="00C83428" w:rsidP="001A5D4A">
            <w:pPr>
              <w:pStyle w:val="Note-Refs"/>
              <w:rPr>
                <w:b/>
              </w:rPr>
            </w:pPr>
            <w:r>
              <w:t>AASB124.19c</w:t>
            </w:r>
          </w:p>
        </w:tc>
        <w:tc>
          <w:tcPr>
            <w:tcW w:w="2567" w:type="pct"/>
            <w:shd w:val="clear" w:color="auto" w:fill="auto"/>
            <w:vAlign w:val="bottom"/>
          </w:tcPr>
          <w:p w14:paraId="038A3923" w14:textId="77777777" w:rsidR="00C83428" w:rsidRDefault="00C83428" w:rsidP="001A5D4A">
            <w:pPr>
              <w:pStyle w:val="NotesTable-ItemPlain"/>
              <w:rPr>
                <w:b/>
              </w:rPr>
            </w:pPr>
            <w:r>
              <w:t>Subsidiaries</w:t>
            </w:r>
          </w:p>
        </w:tc>
        <w:tc>
          <w:tcPr>
            <w:tcW w:w="406" w:type="pct"/>
            <w:shd w:val="clear" w:color="auto" w:fill="auto"/>
          </w:tcPr>
          <w:p w14:paraId="038A3924" w14:textId="77777777" w:rsidR="00C83428" w:rsidRDefault="00C83428" w:rsidP="001A5D4A">
            <w:pPr>
              <w:pStyle w:val="NotesTable-CellBold"/>
            </w:pPr>
            <w:r>
              <w:t>–</w:t>
            </w:r>
          </w:p>
        </w:tc>
        <w:tc>
          <w:tcPr>
            <w:tcW w:w="406" w:type="pct"/>
            <w:shd w:val="clear" w:color="auto" w:fill="auto"/>
          </w:tcPr>
          <w:p w14:paraId="038A3925" w14:textId="77777777" w:rsidR="00C83428" w:rsidRDefault="00C83428" w:rsidP="001A5D4A">
            <w:pPr>
              <w:pStyle w:val="NotesTable-CellPlain"/>
            </w:pPr>
            <w:r>
              <w:t>–</w:t>
            </w:r>
          </w:p>
        </w:tc>
        <w:tc>
          <w:tcPr>
            <w:tcW w:w="406" w:type="pct"/>
            <w:shd w:val="clear" w:color="auto" w:fill="auto"/>
          </w:tcPr>
          <w:p w14:paraId="038A3926" w14:textId="77777777" w:rsidR="00C83428" w:rsidRDefault="00C83428" w:rsidP="001A5D4A">
            <w:pPr>
              <w:pStyle w:val="NotesTable-CellBold"/>
            </w:pPr>
            <w:r>
              <w:t>–</w:t>
            </w:r>
          </w:p>
        </w:tc>
        <w:tc>
          <w:tcPr>
            <w:tcW w:w="405" w:type="pct"/>
            <w:shd w:val="clear" w:color="auto" w:fill="auto"/>
          </w:tcPr>
          <w:p w14:paraId="038A3927" w14:textId="77777777" w:rsidR="00C83428" w:rsidRDefault="00C83428" w:rsidP="001A5D4A">
            <w:pPr>
              <w:pStyle w:val="NotesTable-CellPlain"/>
            </w:pPr>
            <w:r>
              <w:t>–</w:t>
            </w:r>
          </w:p>
        </w:tc>
      </w:tr>
      <w:tr w:rsidR="00C83428" w14:paraId="038A392F" w14:textId="77777777" w:rsidTr="005F65FA">
        <w:trPr>
          <w:cantSplit/>
          <w:trHeight w:hRule="exact" w:val="227"/>
        </w:trPr>
        <w:tc>
          <w:tcPr>
            <w:tcW w:w="810" w:type="pct"/>
          </w:tcPr>
          <w:p w14:paraId="038A3929" w14:textId="77777777" w:rsidR="00C83428" w:rsidRDefault="00C83428" w:rsidP="001A5D4A">
            <w:pPr>
              <w:pStyle w:val="Note-Refs"/>
              <w:rPr>
                <w:b/>
              </w:rPr>
            </w:pPr>
            <w:r>
              <w:t>AASB124.19g</w:t>
            </w:r>
          </w:p>
        </w:tc>
        <w:tc>
          <w:tcPr>
            <w:tcW w:w="2567" w:type="pct"/>
            <w:shd w:val="clear" w:color="auto" w:fill="auto"/>
            <w:vAlign w:val="bottom"/>
          </w:tcPr>
          <w:p w14:paraId="038A392A" w14:textId="77777777" w:rsidR="00C83428" w:rsidRDefault="00C83428" w:rsidP="001A5D4A">
            <w:pPr>
              <w:pStyle w:val="NotesTable-ItemPlain"/>
              <w:rPr>
                <w:b/>
              </w:rPr>
            </w:pPr>
            <w:r>
              <w:t>Commonly controlled entities</w:t>
            </w:r>
          </w:p>
        </w:tc>
        <w:tc>
          <w:tcPr>
            <w:tcW w:w="406" w:type="pct"/>
            <w:tcBorders>
              <w:bottom w:val="single" w:sz="4" w:space="0" w:color="auto"/>
            </w:tcBorders>
            <w:shd w:val="clear" w:color="auto" w:fill="auto"/>
          </w:tcPr>
          <w:p w14:paraId="038A392B" w14:textId="77777777" w:rsidR="00C83428" w:rsidRDefault="00C83428" w:rsidP="001A5D4A">
            <w:pPr>
              <w:pStyle w:val="NotesTable-CellBold"/>
            </w:pPr>
            <w:r>
              <w:t>–</w:t>
            </w:r>
          </w:p>
        </w:tc>
        <w:tc>
          <w:tcPr>
            <w:tcW w:w="406" w:type="pct"/>
            <w:tcBorders>
              <w:bottom w:val="single" w:sz="4" w:space="0" w:color="auto"/>
            </w:tcBorders>
            <w:shd w:val="clear" w:color="auto" w:fill="auto"/>
          </w:tcPr>
          <w:p w14:paraId="038A392C" w14:textId="77777777" w:rsidR="00C83428" w:rsidRDefault="00C83428" w:rsidP="001A5D4A">
            <w:pPr>
              <w:pStyle w:val="NotesTable-CellPlain"/>
            </w:pPr>
            <w:r>
              <w:t>–</w:t>
            </w:r>
          </w:p>
        </w:tc>
        <w:tc>
          <w:tcPr>
            <w:tcW w:w="406" w:type="pct"/>
            <w:tcBorders>
              <w:bottom w:val="single" w:sz="4" w:space="0" w:color="auto"/>
            </w:tcBorders>
            <w:shd w:val="clear" w:color="auto" w:fill="auto"/>
          </w:tcPr>
          <w:p w14:paraId="038A392D" w14:textId="77777777" w:rsidR="00C83428" w:rsidRDefault="00C83428" w:rsidP="001A5D4A">
            <w:pPr>
              <w:pStyle w:val="NotesTable-CellBold"/>
            </w:pPr>
            <w:r>
              <w:t>–</w:t>
            </w:r>
          </w:p>
        </w:tc>
        <w:tc>
          <w:tcPr>
            <w:tcW w:w="405" w:type="pct"/>
            <w:tcBorders>
              <w:bottom w:val="single" w:sz="4" w:space="0" w:color="auto"/>
            </w:tcBorders>
            <w:shd w:val="clear" w:color="auto" w:fill="auto"/>
          </w:tcPr>
          <w:p w14:paraId="038A392E" w14:textId="77777777" w:rsidR="00C83428" w:rsidRDefault="00C83428" w:rsidP="001A5D4A">
            <w:pPr>
              <w:pStyle w:val="NotesTable-CellPlain"/>
            </w:pPr>
            <w:r>
              <w:t>–</w:t>
            </w:r>
          </w:p>
        </w:tc>
      </w:tr>
      <w:tr w:rsidR="00366723" w14:paraId="038A3936" w14:textId="77777777" w:rsidTr="005F65FA">
        <w:trPr>
          <w:cantSplit/>
          <w:trHeight w:hRule="exact" w:val="227"/>
        </w:trPr>
        <w:tc>
          <w:tcPr>
            <w:tcW w:w="810" w:type="pct"/>
          </w:tcPr>
          <w:p w14:paraId="038A3930" w14:textId="77777777" w:rsidR="00366723" w:rsidRDefault="00366723" w:rsidP="001A5D4A">
            <w:pPr>
              <w:pStyle w:val="Note-Refs"/>
            </w:pPr>
          </w:p>
        </w:tc>
        <w:tc>
          <w:tcPr>
            <w:tcW w:w="2567" w:type="pct"/>
            <w:shd w:val="clear" w:color="auto" w:fill="auto"/>
            <w:vAlign w:val="bottom"/>
          </w:tcPr>
          <w:p w14:paraId="038A3931" w14:textId="77777777" w:rsidR="00366723" w:rsidRDefault="00366723" w:rsidP="001A5D4A">
            <w:pPr>
              <w:pStyle w:val="NotesTable-ItemPlain"/>
              <w:rPr>
                <w:b/>
              </w:rPr>
            </w:pPr>
            <w:r>
              <w:t>Total</w:t>
            </w:r>
            <w:r w:rsidR="009A76E9">
              <w:t xml:space="preserve"> non-current receivables</w:t>
            </w:r>
          </w:p>
        </w:tc>
        <w:tc>
          <w:tcPr>
            <w:tcW w:w="406" w:type="pct"/>
            <w:tcBorders>
              <w:top w:val="single" w:sz="4" w:space="0" w:color="auto"/>
            </w:tcBorders>
            <w:shd w:val="clear" w:color="auto" w:fill="auto"/>
          </w:tcPr>
          <w:p w14:paraId="038A3932" w14:textId="77777777" w:rsidR="00366723" w:rsidRDefault="00366723" w:rsidP="001A5D4A">
            <w:pPr>
              <w:pStyle w:val="NotesTable-CellBold"/>
            </w:pPr>
            <w:r>
              <w:t>–</w:t>
            </w:r>
          </w:p>
        </w:tc>
        <w:tc>
          <w:tcPr>
            <w:tcW w:w="406" w:type="pct"/>
            <w:tcBorders>
              <w:top w:val="single" w:sz="4" w:space="0" w:color="auto"/>
            </w:tcBorders>
            <w:shd w:val="clear" w:color="auto" w:fill="auto"/>
          </w:tcPr>
          <w:p w14:paraId="038A3933" w14:textId="77777777" w:rsidR="00366723" w:rsidRDefault="00366723" w:rsidP="001A5D4A">
            <w:pPr>
              <w:pStyle w:val="NotesTable-CellPlain"/>
            </w:pPr>
            <w:r>
              <w:t>–</w:t>
            </w:r>
          </w:p>
        </w:tc>
        <w:tc>
          <w:tcPr>
            <w:tcW w:w="406" w:type="pct"/>
            <w:tcBorders>
              <w:top w:val="single" w:sz="4" w:space="0" w:color="auto"/>
            </w:tcBorders>
            <w:shd w:val="clear" w:color="auto" w:fill="auto"/>
          </w:tcPr>
          <w:p w14:paraId="038A3934" w14:textId="77777777" w:rsidR="00366723" w:rsidRDefault="00366723" w:rsidP="001A5D4A">
            <w:pPr>
              <w:pStyle w:val="NotesTable-CellBold"/>
            </w:pPr>
            <w:r>
              <w:t>–</w:t>
            </w:r>
          </w:p>
        </w:tc>
        <w:tc>
          <w:tcPr>
            <w:tcW w:w="405" w:type="pct"/>
            <w:tcBorders>
              <w:top w:val="single" w:sz="4" w:space="0" w:color="auto"/>
            </w:tcBorders>
            <w:shd w:val="clear" w:color="auto" w:fill="auto"/>
          </w:tcPr>
          <w:p w14:paraId="038A3935" w14:textId="77777777" w:rsidR="00366723" w:rsidRDefault="00366723" w:rsidP="001A5D4A">
            <w:pPr>
              <w:pStyle w:val="NotesTable-CellPlain"/>
            </w:pPr>
            <w:r>
              <w:t>–</w:t>
            </w:r>
          </w:p>
        </w:tc>
      </w:tr>
      <w:tr w:rsidR="00B83214" w14:paraId="038A3939" w14:textId="77777777" w:rsidTr="00463ABD">
        <w:trPr>
          <w:cantSplit/>
          <w:trHeight w:hRule="exact" w:val="227"/>
        </w:trPr>
        <w:tc>
          <w:tcPr>
            <w:tcW w:w="810" w:type="pct"/>
          </w:tcPr>
          <w:p w14:paraId="038A3937" w14:textId="77777777" w:rsidR="00B83214" w:rsidRDefault="00B83214" w:rsidP="001A5D4A">
            <w:pPr>
              <w:pStyle w:val="Note-Refs"/>
            </w:pPr>
          </w:p>
        </w:tc>
        <w:tc>
          <w:tcPr>
            <w:tcW w:w="4190" w:type="pct"/>
            <w:gridSpan w:val="5"/>
            <w:shd w:val="clear" w:color="auto" w:fill="auto"/>
            <w:vAlign w:val="bottom"/>
          </w:tcPr>
          <w:p w14:paraId="038A3938" w14:textId="77777777" w:rsidR="00B83214" w:rsidRDefault="00B83214" w:rsidP="001A5D4A">
            <w:pPr>
              <w:pStyle w:val="NotesTable-ItemPlain"/>
            </w:pPr>
          </w:p>
        </w:tc>
      </w:tr>
      <w:tr w:rsidR="00B83214" w14:paraId="038A393C" w14:textId="77777777" w:rsidTr="00463ABD">
        <w:trPr>
          <w:cantSplit/>
          <w:trHeight w:hRule="exact" w:val="227"/>
        </w:trPr>
        <w:tc>
          <w:tcPr>
            <w:tcW w:w="810" w:type="pct"/>
          </w:tcPr>
          <w:p w14:paraId="038A393A" w14:textId="77777777" w:rsidR="00B83214" w:rsidRDefault="00B83214" w:rsidP="001A5D4A">
            <w:pPr>
              <w:pStyle w:val="Note-Refs"/>
            </w:pPr>
          </w:p>
        </w:tc>
        <w:tc>
          <w:tcPr>
            <w:tcW w:w="4190" w:type="pct"/>
            <w:gridSpan w:val="5"/>
            <w:shd w:val="clear" w:color="auto" w:fill="auto"/>
            <w:vAlign w:val="bottom"/>
          </w:tcPr>
          <w:p w14:paraId="038A393B" w14:textId="77777777" w:rsidR="00B83214" w:rsidRDefault="00B83214" w:rsidP="001A5D4A">
            <w:pPr>
              <w:pStyle w:val="NotesTable-ItemPlain"/>
              <w:rPr>
                <w:b/>
              </w:rPr>
            </w:pPr>
            <w:r>
              <w:t>Current payables (purchases of goods)</w:t>
            </w:r>
          </w:p>
        </w:tc>
      </w:tr>
      <w:tr w:rsidR="00C83428" w14:paraId="038A3943" w14:textId="77777777" w:rsidTr="005F65FA">
        <w:trPr>
          <w:cantSplit/>
          <w:trHeight w:hRule="exact" w:val="227"/>
        </w:trPr>
        <w:tc>
          <w:tcPr>
            <w:tcW w:w="810" w:type="pct"/>
          </w:tcPr>
          <w:p w14:paraId="038A393D" w14:textId="77777777" w:rsidR="00C83428" w:rsidRDefault="00C83428" w:rsidP="001A5D4A">
            <w:pPr>
              <w:pStyle w:val="Note-Refs"/>
              <w:rPr>
                <w:b/>
              </w:rPr>
            </w:pPr>
            <w:r>
              <w:t>AASB124.19g</w:t>
            </w:r>
          </w:p>
        </w:tc>
        <w:tc>
          <w:tcPr>
            <w:tcW w:w="2567" w:type="pct"/>
            <w:shd w:val="clear" w:color="auto" w:fill="auto"/>
            <w:vAlign w:val="bottom"/>
          </w:tcPr>
          <w:p w14:paraId="038A393E" w14:textId="77777777" w:rsidR="00C83428" w:rsidRDefault="00C83428" w:rsidP="001A5D4A">
            <w:pPr>
              <w:pStyle w:val="NotesTable-ItemPlain"/>
              <w:rPr>
                <w:b/>
              </w:rPr>
            </w:pPr>
            <w:r>
              <w:t>Commonly controlled entities</w:t>
            </w:r>
          </w:p>
        </w:tc>
        <w:tc>
          <w:tcPr>
            <w:tcW w:w="406" w:type="pct"/>
            <w:shd w:val="clear" w:color="auto" w:fill="auto"/>
          </w:tcPr>
          <w:p w14:paraId="038A393F" w14:textId="77777777" w:rsidR="00C83428" w:rsidRDefault="00C83428" w:rsidP="001A5D4A">
            <w:pPr>
              <w:pStyle w:val="NotesTable-CellBold"/>
            </w:pPr>
            <w:r>
              <w:t>–</w:t>
            </w:r>
          </w:p>
        </w:tc>
        <w:tc>
          <w:tcPr>
            <w:tcW w:w="406" w:type="pct"/>
            <w:shd w:val="clear" w:color="auto" w:fill="auto"/>
          </w:tcPr>
          <w:p w14:paraId="038A3940" w14:textId="77777777" w:rsidR="00C83428" w:rsidRDefault="00C83428" w:rsidP="001A5D4A">
            <w:pPr>
              <w:pStyle w:val="NotesTable-CellPlain"/>
            </w:pPr>
            <w:r>
              <w:t>–</w:t>
            </w:r>
          </w:p>
        </w:tc>
        <w:tc>
          <w:tcPr>
            <w:tcW w:w="406" w:type="pct"/>
            <w:shd w:val="clear" w:color="auto" w:fill="auto"/>
          </w:tcPr>
          <w:p w14:paraId="038A3941" w14:textId="77777777" w:rsidR="00C83428" w:rsidRDefault="00C83428" w:rsidP="001A5D4A">
            <w:pPr>
              <w:pStyle w:val="NotesTable-CellBold"/>
            </w:pPr>
            <w:r>
              <w:t>–</w:t>
            </w:r>
          </w:p>
        </w:tc>
        <w:tc>
          <w:tcPr>
            <w:tcW w:w="405" w:type="pct"/>
            <w:shd w:val="clear" w:color="auto" w:fill="auto"/>
          </w:tcPr>
          <w:p w14:paraId="038A3942" w14:textId="77777777" w:rsidR="00C83428" w:rsidRDefault="00C83428" w:rsidP="001A5D4A">
            <w:pPr>
              <w:pStyle w:val="NotesTable-CellPlain"/>
            </w:pPr>
            <w:r>
              <w:t>–</w:t>
            </w:r>
          </w:p>
        </w:tc>
      </w:tr>
      <w:tr w:rsidR="00C83428" w14:paraId="038A394A" w14:textId="77777777" w:rsidTr="005F65FA">
        <w:trPr>
          <w:cantSplit/>
          <w:trHeight w:hRule="exact" w:val="227"/>
        </w:trPr>
        <w:tc>
          <w:tcPr>
            <w:tcW w:w="810" w:type="pct"/>
          </w:tcPr>
          <w:p w14:paraId="038A3944" w14:textId="77777777" w:rsidR="00C83428" w:rsidRDefault="00C83428" w:rsidP="001A5D4A">
            <w:pPr>
              <w:pStyle w:val="Note-Refs"/>
            </w:pPr>
          </w:p>
        </w:tc>
        <w:tc>
          <w:tcPr>
            <w:tcW w:w="2567" w:type="pct"/>
            <w:shd w:val="clear" w:color="auto" w:fill="auto"/>
            <w:vAlign w:val="bottom"/>
          </w:tcPr>
          <w:p w14:paraId="038A3945" w14:textId="77777777" w:rsidR="00C83428" w:rsidRDefault="00C83428" w:rsidP="001A5D4A">
            <w:pPr>
              <w:pStyle w:val="NotesTable-ItemPlain"/>
              <w:rPr>
                <w:b/>
              </w:rPr>
            </w:pPr>
            <w:r>
              <w:t>Other related parties</w:t>
            </w:r>
          </w:p>
        </w:tc>
        <w:tc>
          <w:tcPr>
            <w:tcW w:w="406" w:type="pct"/>
            <w:tcBorders>
              <w:bottom w:val="single" w:sz="4" w:space="0" w:color="auto"/>
            </w:tcBorders>
            <w:shd w:val="clear" w:color="auto" w:fill="auto"/>
          </w:tcPr>
          <w:p w14:paraId="038A3946" w14:textId="77777777" w:rsidR="00C83428" w:rsidRDefault="00C83428" w:rsidP="001A5D4A">
            <w:pPr>
              <w:pStyle w:val="NotesTable-CellBold"/>
            </w:pPr>
            <w:r>
              <w:t>–</w:t>
            </w:r>
          </w:p>
        </w:tc>
        <w:tc>
          <w:tcPr>
            <w:tcW w:w="406" w:type="pct"/>
            <w:tcBorders>
              <w:bottom w:val="single" w:sz="4" w:space="0" w:color="auto"/>
            </w:tcBorders>
            <w:shd w:val="clear" w:color="auto" w:fill="auto"/>
          </w:tcPr>
          <w:p w14:paraId="038A3947" w14:textId="77777777" w:rsidR="00C83428" w:rsidRDefault="00C83428" w:rsidP="001A5D4A">
            <w:pPr>
              <w:pStyle w:val="NotesTable-CellPlain"/>
            </w:pPr>
            <w:r>
              <w:t>–</w:t>
            </w:r>
          </w:p>
        </w:tc>
        <w:tc>
          <w:tcPr>
            <w:tcW w:w="406" w:type="pct"/>
            <w:tcBorders>
              <w:bottom w:val="single" w:sz="4" w:space="0" w:color="auto"/>
            </w:tcBorders>
            <w:shd w:val="clear" w:color="auto" w:fill="auto"/>
          </w:tcPr>
          <w:p w14:paraId="038A3948" w14:textId="77777777" w:rsidR="00C83428" w:rsidRDefault="00C83428" w:rsidP="001A5D4A">
            <w:pPr>
              <w:pStyle w:val="NotesTable-CellBold"/>
            </w:pPr>
            <w:r>
              <w:t>–</w:t>
            </w:r>
          </w:p>
        </w:tc>
        <w:tc>
          <w:tcPr>
            <w:tcW w:w="405" w:type="pct"/>
            <w:tcBorders>
              <w:bottom w:val="single" w:sz="4" w:space="0" w:color="auto"/>
            </w:tcBorders>
            <w:shd w:val="clear" w:color="auto" w:fill="auto"/>
          </w:tcPr>
          <w:p w14:paraId="038A3949" w14:textId="77777777" w:rsidR="00C83428" w:rsidRDefault="00C83428" w:rsidP="001A5D4A">
            <w:pPr>
              <w:pStyle w:val="NotesTable-CellPlain"/>
            </w:pPr>
            <w:r>
              <w:t>–</w:t>
            </w:r>
          </w:p>
        </w:tc>
      </w:tr>
      <w:tr w:rsidR="00366723" w14:paraId="038A3951" w14:textId="77777777" w:rsidTr="005F65FA">
        <w:trPr>
          <w:cantSplit/>
          <w:trHeight w:hRule="exact" w:val="227"/>
        </w:trPr>
        <w:tc>
          <w:tcPr>
            <w:tcW w:w="810" w:type="pct"/>
          </w:tcPr>
          <w:p w14:paraId="038A394B" w14:textId="77777777" w:rsidR="00366723" w:rsidRDefault="00366723" w:rsidP="001A5D4A">
            <w:pPr>
              <w:pStyle w:val="Note-Refs"/>
            </w:pPr>
          </w:p>
        </w:tc>
        <w:tc>
          <w:tcPr>
            <w:tcW w:w="2567" w:type="pct"/>
            <w:shd w:val="clear" w:color="auto" w:fill="auto"/>
            <w:vAlign w:val="bottom"/>
          </w:tcPr>
          <w:p w14:paraId="038A394C" w14:textId="77777777" w:rsidR="00366723" w:rsidRDefault="00366723" w:rsidP="001A5D4A">
            <w:pPr>
              <w:pStyle w:val="NotesTable-ItemPlain"/>
              <w:rPr>
                <w:b/>
              </w:rPr>
            </w:pPr>
            <w:r>
              <w:t>Total</w:t>
            </w:r>
            <w:r w:rsidR="009A76E9">
              <w:t xml:space="preserve"> current payables</w:t>
            </w:r>
          </w:p>
        </w:tc>
        <w:tc>
          <w:tcPr>
            <w:tcW w:w="406" w:type="pct"/>
            <w:tcBorders>
              <w:top w:val="single" w:sz="4" w:space="0" w:color="auto"/>
            </w:tcBorders>
            <w:shd w:val="clear" w:color="auto" w:fill="auto"/>
          </w:tcPr>
          <w:p w14:paraId="038A394D" w14:textId="77777777" w:rsidR="00366723" w:rsidRDefault="00366723" w:rsidP="001A5D4A">
            <w:pPr>
              <w:pStyle w:val="NotesTable-CellBold"/>
            </w:pPr>
            <w:r>
              <w:t>–</w:t>
            </w:r>
          </w:p>
        </w:tc>
        <w:tc>
          <w:tcPr>
            <w:tcW w:w="406" w:type="pct"/>
            <w:tcBorders>
              <w:top w:val="single" w:sz="4" w:space="0" w:color="auto"/>
            </w:tcBorders>
            <w:shd w:val="clear" w:color="auto" w:fill="auto"/>
          </w:tcPr>
          <w:p w14:paraId="038A394E" w14:textId="77777777" w:rsidR="00366723" w:rsidRDefault="00366723" w:rsidP="001A5D4A">
            <w:pPr>
              <w:pStyle w:val="NotesTable-CellPlain"/>
            </w:pPr>
            <w:r>
              <w:t>–</w:t>
            </w:r>
          </w:p>
        </w:tc>
        <w:tc>
          <w:tcPr>
            <w:tcW w:w="406" w:type="pct"/>
            <w:tcBorders>
              <w:top w:val="single" w:sz="4" w:space="0" w:color="auto"/>
            </w:tcBorders>
            <w:shd w:val="clear" w:color="auto" w:fill="auto"/>
          </w:tcPr>
          <w:p w14:paraId="038A394F" w14:textId="77777777" w:rsidR="00366723" w:rsidRDefault="00366723" w:rsidP="001A5D4A">
            <w:pPr>
              <w:pStyle w:val="NotesTable-CellBold"/>
            </w:pPr>
            <w:r>
              <w:t>–</w:t>
            </w:r>
          </w:p>
        </w:tc>
        <w:tc>
          <w:tcPr>
            <w:tcW w:w="405" w:type="pct"/>
            <w:tcBorders>
              <w:top w:val="single" w:sz="4" w:space="0" w:color="auto"/>
            </w:tcBorders>
            <w:shd w:val="clear" w:color="auto" w:fill="auto"/>
          </w:tcPr>
          <w:p w14:paraId="038A3950" w14:textId="77777777" w:rsidR="00366723" w:rsidRDefault="00366723" w:rsidP="001A5D4A">
            <w:pPr>
              <w:pStyle w:val="NotesTable-CellPlain"/>
            </w:pPr>
            <w:r>
              <w:t>–</w:t>
            </w:r>
          </w:p>
        </w:tc>
      </w:tr>
      <w:tr w:rsidR="00B83214" w14:paraId="038A3954" w14:textId="77777777" w:rsidTr="00463ABD">
        <w:trPr>
          <w:cantSplit/>
          <w:trHeight w:hRule="exact" w:val="227"/>
        </w:trPr>
        <w:tc>
          <w:tcPr>
            <w:tcW w:w="810" w:type="pct"/>
          </w:tcPr>
          <w:p w14:paraId="038A3952" w14:textId="77777777" w:rsidR="00B83214" w:rsidRDefault="00B83214" w:rsidP="001A5D4A">
            <w:pPr>
              <w:pStyle w:val="Note-Refs"/>
            </w:pPr>
          </w:p>
        </w:tc>
        <w:tc>
          <w:tcPr>
            <w:tcW w:w="4190" w:type="pct"/>
            <w:gridSpan w:val="5"/>
            <w:shd w:val="clear" w:color="auto" w:fill="auto"/>
            <w:vAlign w:val="bottom"/>
          </w:tcPr>
          <w:p w14:paraId="038A3953" w14:textId="77777777" w:rsidR="00B83214" w:rsidRDefault="00B83214" w:rsidP="001A5D4A">
            <w:pPr>
              <w:pStyle w:val="NotesTable-ItemPlain"/>
            </w:pPr>
          </w:p>
        </w:tc>
      </w:tr>
      <w:tr w:rsidR="00B83214" w14:paraId="038A3957" w14:textId="77777777" w:rsidTr="00463ABD">
        <w:trPr>
          <w:cantSplit/>
          <w:trHeight w:hRule="exact" w:val="227"/>
        </w:trPr>
        <w:tc>
          <w:tcPr>
            <w:tcW w:w="810" w:type="pct"/>
          </w:tcPr>
          <w:p w14:paraId="038A3955" w14:textId="77777777" w:rsidR="00B83214" w:rsidRDefault="00B83214" w:rsidP="001A5D4A">
            <w:pPr>
              <w:pStyle w:val="Note-Refs"/>
            </w:pPr>
          </w:p>
        </w:tc>
        <w:tc>
          <w:tcPr>
            <w:tcW w:w="4190" w:type="pct"/>
            <w:gridSpan w:val="5"/>
            <w:shd w:val="clear" w:color="auto" w:fill="auto"/>
            <w:vAlign w:val="bottom"/>
          </w:tcPr>
          <w:p w14:paraId="038A3956" w14:textId="77777777" w:rsidR="00B83214" w:rsidRDefault="00B83214" w:rsidP="001A5D4A">
            <w:pPr>
              <w:pStyle w:val="NotesTable-ItemPlain"/>
              <w:rPr>
                <w:b/>
              </w:rPr>
            </w:pPr>
            <w:r>
              <w:t>Non-current payables (loans)</w:t>
            </w:r>
          </w:p>
        </w:tc>
      </w:tr>
      <w:tr w:rsidR="00C83428" w14:paraId="038A395E" w14:textId="77777777" w:rsidTr="005F65FA">
        <w:trPr>
          <w:cantSplit/>
          <w:trHeight w:hRule="exact" w:val="227"/>
        </w:trPr>
        <w:tc>
          <w:tcPr>
            <w:tcW w:w="810" w:type="pct"/>
          </w:tcPr>
          <w:p w14:paraId="038A3958" w14:textId="77777777" w:rsidR="00C83428" w:rsidRDefault="00C83428" w:rsidP="001A5D4A">
            <w:pPr>
              <w:pStyle w:val="Note-Refs"/>
              <w:rPr>
                <w:b/>
              </w:rPr>
            </w:pPr>
            <w:r>
              <w:t>AASB124.19a</w:t>
            </w:r>
          </w:p>
        </w:tc>
        <w:tc>
          <w:tcPr>
            <w:tcW w:w="2567" w:type="pct"/>
            <w:shd w:val="clear" w:color="auto" w:fill="auto"/>
            <w:vAlign w:val="bottom"/>
          </w:tcPr>
          <w:p w14:paraId="038A3959" w14:textId="77777777" w:rsidR="00C83428" w:rsidRDefault="00C83428" w:rsidP="001A5D4A">
            <w:pPr>
              <w:pStyle w:val="NotesTable-ItemPlain"/>
              <w:rPr>
                <w:b/>
              </w:rPr>
            </w:pPr>
            <w:r>
              <w:t>Parent entity</w:t>
            </w:r>
          </w:p>
        </w:tc>
        <w:tc>
          <w:tcPr>
            <w:tcW w:w="406" w:type="pct"/>
            <w:shd w:val="clear" w:color="auto" w:fill="auto"/>
          </w:tcPr>
          <w:p w14:paraId="038A395A" w14:textId="77777777" w:rsidR="00C83428" w:rsidRDefault="00C83428" w:rsidP="001A5D4A">
            <w:pPr>
              <w:pStyle w:val="NotesTable-CellBold"/>
            </w:pPr>
            <w:r>
              <w:t>–</w:t>
            </w:r>
          </w:p>
        </w:tc>
        <w:tc>
          <w:tcPr>
            <w:tcW w:w="406" w:type="pct"/>
            <w:shd w:val="clear" w:color="auto" w:fill="auto"/>
          </w:tcPr>
          <w:p w14:paraId="038A395B" w14:textId="77777777" w:rsidR="00C83428" w:rsidRDefault="00C83428" w:rsidP="001A5D4A">
            <w:pPr>
              <w:pStyle w:val="NotesTable-CellPlain"/>
            </w:pPr>
            <w:r>
              <w:t>–</w:t>
            </w:r>
          </w:p>
        </w:tc>
        <w:tc>
          <w:tcPr>
            <w:tcW w:w="406" w:type="pct"/>
            <w:shd w:val="clear" w:color="auto" w:fill="auto"/>
          </w:tcPr>
          <w:p w14:paraId="038A395C" w14:textId="77777777" w:rsidR="00C83428" w:rsidRDefault="00C83428" w:rsidP="001A5D4A">
            <w:pPr>
              <w:pStyle w:val="NotesTable-CellBold"/>
            </w:pPr>
            <w:r>
              <w:t>–</w:t>
            </w:r>
          </w:p>
        </w:tc>
        <w:tc>
          <w:tcPr>
            <w:tcW w:w="405" w:type="pct"/>
            <w:shd w:val="clear" w:color="auto" w:fill="auto"/>
          </w:tcPr>
          <w:p w14:paraId="038A395D" w14:textId="77777777" w:rsidR="00C83428" w:rsidRDefault="00C83428" w:rsidP="001A5D4A">
            <w:pPr>
              <w:pStyle w:val="NotesTable-CellPlain"/>
            </w:pPr>
            <w:r>
              <w:t>–</w:t>
            </w:r>
          </w:p>
        </w:tc>
      </w:tr>
      <w:tr w:rsidR="00C83428" w14:paraId="038A3965" w14:textId="77777777" w:rsidTr="005F65FA">
        <w:trPr>
          <w:cantSplit/>
          <w:trHeight w:hRule="exact" w:val="227"/>
        </w:trPr>
        <w:tc>
          <w:tcPr>
            <w:tcW w:w="810" w:type="pct"/>
          </w:tcPr>
          <w:p w14:paraId="038A395F" w14:textId="77777777" w:rsidR="00C83428" w:rsidRDefault="00C83428" w:rsidP="001A5D4A">
            <w:pPr>
              <w:pStyle w:val="Note-Refs"/>
              <w:rPr>
                <w:b/>
              </w:rPr>
            </w:pPr>
            <w:r>
              <w:t>AASB124.19d</w:t>
            </w:r>
          </w:p>
        </w:tc>
        <w:tc>
          <w:tcPr>
            <w:tcW w:w="2567" w:type="pct"/>
            <w:shd w:val="clear" w:color="auto" w:fill="auto"/>
            <w:vAlign w:val="bottom"/>
          </w:tcPr>
          <w:p w14:paraId="038A3960" w14:textId="77777777" w:rsidR="00C83428" w:rsidRDefault="00C83428" w:rsidP="001A5D4A">
            <w:pPr>
              <w:pStyle w:val="NotesTable-ItemPlain"/>
              <w:rPr>
                <w:b/>
              </w:rPr>
            </w:pPr>
            <w:r>
              <w:t>Associates</w:t>
            </w:r>
          </w:p>
        </w:tc>
        <w:tc>
          <w:tcPr>
            <w:tcW w:w="406" w:type="pct"/>
            <w:tcBorders>
              <w:bottom w:val="single" w:sz="4" w:space="0" w:color="auto"/>
            </w:tcBorders>
            <w:shd w:val="clear" w:color="auto" w:fill="auto"/>
          </w:tcPr>
          <w:p w14:paraId="038A3961" w14:textId="77777777" w:rsidR="00C83428" w:rsidRDefault="00C83428" w:rsidP="001A5D4A">
            <w:pPr>
              <w:pStyle w:val="NotesTable-CellBold"/>
            </w:pPr>
            <w:r>
              <w:t>–</w:t>
            </w:r>
          </w:p>
        </w:tc>
        <w:tc>
          <w:tcPr>
            <w:tcW w:w="406" w:type="pct"/>
            <w:tcBorders>
              <w:bottom w:val="single" w:sz="4" w:space="0" w:color="auto"/>
            </w:tcBorders>
            <w:shd w:val="clear" w:color="auto" w:fill="auto"/>
          </w:tcPr>
          <w:p w14:paraId="038A3962" w14:textId="77777777" w:rsidR="00C83428" w:rsidRDefault="00C83428" w:rsidP="001A5D4A">
            <w:pPr>
              <w:pStyle w:val="NotesTable-CellPlain"/>
            </w:pPr>
            <w:r>
              <w:t>–</w:t>
            </w:r>
          </w:p>
        </w:tc>
        <w:tc>
          <w:tcPr>
            <w:tcW w:w="406" w:type="pct"/>
            <w:tcBorders>
              <w:bottom w:val="single" w:sz="4" w:space="0" w:color="auto"/>
            </w:tcBorders>
            <w:shd w:val="clear" w:color="auto" w:fill="auto"/>
          </w:tcPr>
          <w:p w14:paraId="038A3963" w14:textId="77777777" w:rsidR="00C83428" w:rsidRDefault="00C83428" w:rsidP="001A5D4A">
            <w:pPr>
              <w:pStyle w:val="NotesTable-CellBold"/>
            </w:pPr>
            <w:r>
              <w:t>–</w:t>
            </w:r>
          </w:p>
        </w:tc>
        <w:tc>
          <w:tcPr>
            <w:tcW w:w="405" w:type="pct"/>
            <w:tcBorders>
              <w:bottom w:val="single" w:sz="4" w:space="0" w:color="auto"/>
            </w:tcBorders>
            <w:shd w:val="clear" w:color="auto" w:fill="auto"/>
          </w:tcPr>
          <w:p w14:paraId="038A3964" w14:textId="77777777" w:rsidR="00C83428" w:rsidRDefault="00C83428" w:rsidP="001A5D4A">
            <w:pPr>
              <w:pStyle w:val="NotesTable-CellPlain"/>
            </w:pPr>
            <w:r>
              <w:t>–</w:t>
            </w:r>
          </w:p>
        </w:tc>
      </w:tr>
      <w:tr w:rsidR="00366723" w14:paraId="038A396C" w14:textId="77777777" w:rsidTr="005F65FA">
        <w:trPr>
          <w:cantSplit/>
          <w:trHeight w:hRule="exact" w:val="227"/>
        </w:trPr>
        <w:tc>
          <w:tcPr>
            <w:tcW w:w="810" w:type="pct"/>
          </w:tcPr>
          <w:p w14:paraId="038A3966" w14:textId="77777777" w:rsidR="00366723" w:rsidRDefault="00366723" w:rsidP="001A5D4A">
            <w:pPr>
              <w:pStyle w:val="Note-Refs"/>
            </w:pPr>
          </w:p>
        </w:tc>
        <w:tc>
          <w:tcPr>
            <w:tcW w:w="2567" w:type="pct"/>
            <w:shd w:val="clear" w:color="auto" w:fill="auto"/>
            <w:vAlign w:val="bottom"/>
          </w:tcPr>
          <w:p w14:paraId="038A3967" w14:textId="77777777" w:rsidR="00366723" w:rsidRDefault="00366723" w:rsidP="001A5D4A">
            <w:pPr>
              <w:pStyle w:val="NotesTable-ItemPlain"/>
              <w:rPr>
                <w:b/>
              </w:rPr>
            </w:pPr>
            <w:r>
              <w:t>Total</w:t>
            </w:r>
            <w:r w:rsidR="009A76E9">
              <w:t xml:space="preserve"> non-current payables</w:t>
            </w:r>
          </w:p>
        </w:tc>
        <w:tc>
          <w:tcPr>
            <w:tcW w:w="406" w:type="pct"/>
            <w:tcBorders>
              <w:top w:val="single" w:sz="4" w:space="0" w:color="auto"/>
            </w:tcBorders>
            <w:shd w:val="clear" w:color="auto" w:fill="auto"/>
          </w:tcPr>
          <w:p w14:paraId="038A3968" w14:textId="77777777" w:rsidR="00366723" w:rsidRDefault="00366723" w:rsidP="001A5D4A">
            <w:pPr>
              <w:pStyle w:val="NotesTable-CellBold"/>
            </w:pPr>
            <w:r>
              <w:t>–</w:t>
            </w:r>
          </w:p>
        </w:tc>
        <w:tc>
          <w:tcPr>
            <w:tcW w:w="406" w:type="pct"/>
            <w:tcBorders>
              <w:top w:val="single" w:sz="4" w:space="0" w:color="auto"/>
            </w:tcBorders>
            <w:shd w:val="clear" w:color="auto" w:fill="auto"/>
          </w:tcPr>
          <w:p w14:paraId="038A3969" w14:textId="77777777" w:rsidR="00366723" w:rsidRDefault="00366723" w:rsidP="001A5D4A">
            <w:pPr>
              <w:pStyle w:val="NotesTable-CellPlain"/>
            </w:pPr>
            <w:r>
              <w:t>–</w:t>
            </w:r>
          </w:p>
        </w:tc>
        <w:tc>
          <w:tcPr>
            <w:tcW w:w="406" w:type="pct"/>
            <w:tcBorders>
              <w:top w:val="single" w:sz="4" w:space="0" w:color="auto"/>
            </w:tcBorders>
            <w:shd w:val="clear" w:color="auto" w:fill="auto"/>
          </w:tcPr>
          <w:p w14:paraId="038A396A" w14:textId="77777777" w:rsidR="00366723" w:rsidRDefault="00366723" w:rsidP="001A5D4A">
            <w:pPr>
              <w:pStyle w:val="NotesTable-CellBold"/>
            </w:pPr>
            <w:r>
              <w:t>–</w:t>
            </w:r>
          </w:p>
        </w:tc>
        <w:tc>
          <w:tcPr>
            <w:tcW w:w="405" w:type="pct"/>
            <w:tcBorders>
              <w:top w:val="single" w:sz="4" w:space="0" w:color="auto"/>
            </w:tcBorders>
            <w:shd w:val="clear" w:color="auto" w:fill="auto"/>
          </w:tcPr>
          <w:p w14:paraId="038A396B" w14:textId="77777777" w:rsidR="00366723" w:rsidRDefault="00366723" w:rsidP="001A5D4A">
            <w:pPr>
              <w:pStyle w:val="NotesTable-CellPlain"/>
            </w:pPr>
            <w:r>
              <w:t>–</w:t>
            </w:r>
          </w:p>
        </w:tc>
      </w:tr>
      <w:tr w:rsidR="00C83428" w14:paraId="038A396F" w14:textId="77777777" w:rsidTr="00463ABD">
        <w:trPr>
          <w:cantSplit/>
          <w:trHeight w:hRule="exact" w:val="227"/>
        </w:trPr>
        <w:tc>
          <w:tcPr>
            <w:tcW w:w="810" w:type="pct"/>
          </w:tcPr>
          <w:p w14:paraId="038A396D" w14:textId="77777777" w:rsidR="00C83428" w:rsidRDefault="00C83428" w:rsidP="001A5D4A">
            <w:pPr>
              <w:pStyle w:val="Note-Refs"/>
            </w:pPr>
          </w:p>
        </w:tc>
        <w:tc>
          <w:tcPr>
            <w:tcW w:w="4190" w:type="pct"/>
            <w:gridSpan w:val="5"/>
            <w:shd w:val="clear" w:color="auto" w:fill="auto"/>
            <w:vAlign w:val="bottom"/>
          </w:tcPr>
          <w:p w14:paraId="038A396E" w14:textId="77777777" w:rsidR="00C83428" w:rsidRDefault="00C83428" w:rsidP="001A5D4A">
            <w:pPr>
              <w:pStyle w:val="NotesTable-ItemPlain"/>
            </w:pPr>
          </w:p>
        </w:tc>
      </w:tr>
      <w:tr w:rsidR="00C83428" w14:paraId="038A3972" w14:textId="77777777" w:rsidTr="00463ABD">
        <w:trPr>
          <w:cantSplit/>
          <w:trHeight w:hRule="exact" w:val="454"/>
        </w:trPr>
        <w:tc>
          <w:tcPr>
            <w:tcW w:w="810" w:type="pct"/>
          </w:tcPr>
          <w:p w14:paraId="038A3970" w14:textId="77777777" w:rsidR="00C83428" w:rsidRDefault="00C83428" w:rsidP="001A5D4A">
            <w:pPr>
              <w:pStyle w:val="Note-Refs"/>
              <w:rPr>
                <w:b/>
              </w:rPr>
            </w:pPr>
            <w:r>
              <w:t>AASB124.18c,d</w:t>
            </w:r>
          </w:p>
        </w:tc>
        <w:tc>
          <w:tcPr>
            <w:tcW w:w="4190" w:type="pct"/>
            <w:gridSpan w:val="5"/>
            <w:shd w:val="clear" w:color="auto" w:fill="auto"/>
            <w:vAlign w:val="bottom"/>
          </w:tcPr>
          <w:p w14:paraId="038A3971" w14:textId="77777777" w:rsidR="00C83428" w:rsidRDefault="00C83428" w:rsidP="001A5D4A">
            <w:pPr>
              <w:pStyle w:val="NotesTable-ItemPlain"/>
              <w:rPr>
                <w:b/>
              </w:rPr>
            </w:pPr>
            <w:r>
              <w:t xml:space="preserve">No provision for doubtful debts has been raised in relation to any outstanding balances, and no expense has been recognised in respect of bad or doubtful debts due from related parties. </w:t>
            </w:r>
          </w:p>
        </w:tc>
      </w:tr>
      <w:tr w:rsidR="00C83428" w14:paraId="038A3975" w14:textId="77777777" w:rsidTr="00463ABD">
        <w:trPr>
          <w:cantSplit/>
          <w:trHeight w:hRule="exact" w:val="227"/>
        </w:trPr>
        <w:tc>
          <w:tcPr>
            <w:tcW w:w="810" w:type="pct"/>
          </w:tcPr>
          <w:p w14:paraId="038A3973" w14:textId="77777777" w:rsidR="00C83428" w:rsidRDefault="00C83428" w:rsidP="001A5D4A">
            <w:pPr>
              <w:pStyle w:val="Note-Refs"/>
            </w:pPr>
          </w:p>
        </w:tc>
        <w:tc>
          <w:tcPr>
            <w:tcW w:w="4190" w:type="pct"/>
            <w:gridSpan w:val="5"/>
            <w:shd w:val="clear" w:color="auto" w:fill="auto"/>
            <w:vAlign w:val="bottom"/>
          </w:tcPr>
          <w:p w14:paraId="038A3974" w14:textId="77777777" w:rsidR="00C83428" w:rsidRDefault="00C83428" w:rsidP="001A5D4A">
            <w:pPr>
              <w:pStyle w:val="NotesTable-ItemPlain"/>
            </w:pPr>
          </w:p>
        </w:tc>
      </w:tr>
      <w:tr w:rsidR="00C83428" w14:paraId="038A3978" w14:textId="77777777" w:rsidTr="00463ABD">
        <w:trPr>
          <w:cantSplit/>
          <w:trHeight w:hRule="exact" w:val="227"/>
        </w:trPr>
        <w:tc>
          <w:tcPr>
            <w:tcW w:w="810" w:type="pct"/>
          </w:tcPr>
          <w:p w14:paraId="038A3976" w14:textId="77777777" w:rsidR="00C83428" w:rsidRDefault="00C83428" w:rsidP="001A5D4A">
            <w:pPr>
              <w:pStyle w:val="Note-Refs"/>
            </w:pPr>
          </w:p>
        </w:tc>
        <w:tc>
          <w:tcPr>
            <w:tcW w:w="4190" w:type="pct"/>
            <w:gridSpan w:val="5"/>
            <w:shd w:val="clear" w:color="auto" w:fill="auto"/>
            <w:vAlign w:val="bottom"/>
          </w:tcPr>
          <w:p w14:paraId="038A3977" w14:textId="77777777" w:rsidR="00C83428" w:rsidRDefault="00C83428" w:rsidP="001A5D4A">
            <w:pPr>
              <w:pStyle w:val="Note-TextHeader"/>
              <w:rPr>
                <w:b w:val="0"/>
                <w:lang w:val="en-GB"/>
              </w:rPr>
            </w:pPr>
            <w:r>
              <w:t>(g) Guarantees</w:t>
            </w:r>
          </w:p>
        </w:tc>
      </w:tr>
      <w:tr w:rsidR="00366723" w14:paraId="038A397D" w14:textId="77777777" w:rsidTr="005F65FA">
        <w:trPr>
          <w:cantSplit/>
          <w:trHeight w:hRule="exact" w:val="227"/>
        </w:trPr>
        <w:tc>
          <w:tcPr>
            <w:tcW w:w="810" w:type="pct"/>
          </w:tcPr>
          <w:p w14:paraId="038A3979" w14:textId="77777777" w:rsidR="00366723" w:rsidRDefault="00366723" w:rsidP="001A5D4A">
            <w:pPr>
              <w:pStyle w:val="Note-Refs"/>
            </w:pPr>
            <w:r>
              <w:t>AASB124.18b(ii)</w:t>
            </w:r>
          </w:p>
        </w:tc>
        <w:tc>
          <w:tcPr>
            <w:tcW w:w="2567" w:type="pct"/>
            <w:shd w:val="clear" w:color="auto" w:fill="auto"/>
            <w:vAlign w:val="bottom"/>
          </w:tcPr>
          <w:p w14:paraId="038A397A" w14:textId="77777777" w:rsidR="00366723" w:rsidRDefault="00366723" w:rsidP="001A5D4A">
            <w:pPr>
              <w:pStyle w:val="NotesTable-ItemPlain"/>
            </w:pPr>
            <w:r>
              <w:t>The following guarantee has been given:</w:t>
            </w:r>
          </w:p>
        </w:tc>
        <w:tc>
          <w:tcPr>
            <w:tcW w:w="812" w:type="pct"/>
            <w:gridSpan w:val="2"/>
            <w:shd w:val="clear" w:color="auto" w:fill="auto"/>
          </w:tcPr>
          <w:p w14:paraId="038A397B" w14:textId="77777777" w:rsidR="00366723" w:rsidRDefault="00366723" w:rsidP="001A5D4A">
            <w:pPr>
              <w:snapToGrid w:val="0"/>
              <w:spacing w:line="100" w:lineRule="atLeast"/>
              <w:jc w:val="center"/>
              <w:rPr>
                <w:rFonts w:ascii="Arial" w:hAnsi="Arial" w:cs="Arial"/>
                <w:sz w:val="18"/>
                <w:szCs w:val="18"/>
              </w:rPr>
            </w:pPr>
            <w:r>
              <w:rPr>
                <w:rFonts w:ascii="Arial" w:hAnsi="Arial" w:cs="Arial"/>
                <w:sz w:val="18"/>
                <w:szCs w:val="18"/>
              </w:rPr>
              <w:t>Consolidated</w:t>
            </w:r>
          </w:p>
        </w:tc>
        <w:tc>
          <w:tcPr>
            <w:tcW w:w="811" w:type="pct"/>
            <w:gridSpan w:val="2"/>
            <w:shd w:val="clear" w:color="auto" w:fill="auto"/>
          </w:tcPr>
          <w:p w14:paraId="038A397C" w14:textId="77777777" w:rsidR="00366723" w:rsidRDefault="00366723" w:rsidP="001A5D4A">
            <w:pPr>
              <w:snapToGrid w:val="0"/>
              <w:spacing w:line="100" w:lineRule="atLeast"/>
              <w:jc w:val="center"/>
              <w:rPr>
                <w:rFonts w:ascii="Arial" w:hAnsi="Arial" w:cs="Arial"/>
                <w:sz w:val="18"/>
                <w:szCs w:val="18"/>
              </w:rPr>
            </w:pPr>
            <w:r>
              <w:rPr>
                <w:rFonts w:ascii="Arial" w:hAnsi="Arial" w:cs="Arial"/>
                <w:sz w:val="18"/>
                <w:szCs w:val="18"/>
              </w:rPr>
              <w:t>Parent entity</w:t>
            </w:r>
          </w:p>
        </w:tc>
      </w:tr>
      <w:tr w:rsidR="00366723" w14:paraId="038A3984" w14:textId="77777777" w:rsidTr="005F65FA">
        <w:trPr>
          <w:cantSplit/>
          <w:trHeight w:hRule="exact" w:val="227"/>
        </w:trPr>
        <w:tc>
          <w:tcPr>
            <w:tcW w:w="810" w:type="pct"/>
          </w:tcPr>
          <w:p w14:paraId="038A397E" w14:textId="77777777" w:rsidR="00366723" w:rsidRDefault="00366723" w:rsidP="001A5D4A">
            <w:pPr>
              <w:pStyle w:val="Note-Refs"/>
            </w:pPr>
          </w:p>
        </w:tc>
        <w:tc>
          <w:tcPr>
            <w:tcW w:w="2567" w:type="pct"/>
            <w:shd w:val="clear" w:color="auto" w:fill="auto"/>
            <w:vAlign w:val="bottom"/>
          </w:tcPr>
          <w:p w14:paraId="038A397F" w14:textId="77777777" w:rsidR="00366723" w:rsidRDefault="00366723" w:rsidP="001A5D4A">
            <w:pPr>
              <w:pStyle w:val="NotesTable-ItemPlain"/>
            </w:pPr>
          </w:p>
        </w:tc>
        <w:tc>
          <w:tcPr>
            <w:tcW w:w="406" w:type="pct"/>
            <w:shd w:val="clear" w:color="auto" w:fill="auto"/>
          </w:tcPr>
          <w:p w14:paraId="038A3980" w14:textId="4DB8CDF4" w:rsidR="00366723" w:rsidRDefault="006864EC" w:rsidP="001A5D4A">
            <w:pPr>
              <w:pStyle w:val="NotesTable-HeadBold"/>
            </w:pPr>
            <w:r>
              <w:t>2014</w:t>
            </w:r>
          </w:p>
        </w:tc>
        <w:tc>
          <w:tcPr>
            <w:tcW w:w="406" w:type="pct"/>
            <w:shd w:val="clear" w:color="auto" w:fill="auto"/>
          </w:tcPr>
          <w:p w14:paraId="038A3981" w14:textId="3C855D3B" w:rsidR="00366723" w:rsidRDefault="006864EC" w:rsidP="001A5D4A">
            <w:pPr>
              <w:snapToGrid w:val="0"/>
              <w:spacing w:line="100" w:lineRule="atLeast"/>
              <w:jc w:val="center"/>
              <w:rPr>
                <w:rFonts w:ascii="Arial" w:hAnsi="Arial" w:cs="Arial"/>
                <w:sz w:val="18"/>
                <w:szCs w:val="18"/>
              </w:rPr>
            </w:pPr>
            <w:r>
              <w:rPr>
                <w:rFonts w:ascii="Arial" w:hAnsi="Arial" w:cs="Arial"/>
                <w:sz w:val="18"/>
              </w:rPr>
              <w:t>2013</w:t>
            </w:r>
          </w:p>
        </w:tc>
        <w:tc>
          <w:tcPr>
            <w:tcW w:w="406" w:type="pct"/>
            <w:shd w:val="clear" w:color="auto" w:fill="auto"/>
          </w:tcPr>
          <w:p w14:paraId="038A3982" w14:textId="6356855C" w:rsidR="00366723" w:rsidRDefault="006864EC" w:rsidP="001A5D4A">
            <w:pPr>
              <w:pStyle w:val="NotesTable-HeadBold"/>
              <w:rPr>
                <w:szCs w:val="18"/>
              </w:rPr>
            </w:pPr>
            <w:r>
              <w:t>2014</w:t>
            </w:r>
          </w:p>
        </w:tc>
        <w:tc>
          <w:tcPr>
            <w:tcW w:w="405" w:type="pct"/>
            <w:shd w:val="clear" w:color="auto" w:fill="auto"/>
          </w:tcPr>
          <w:p w14:paraId="038A3983" w14:textId="09470DF7" w:rsidR="00366723" w:rsidRDefault="006864EC" w:rsidP="001A5D4A">
            <w:pPr>
              <w:snapToGrid w:val="0"/>
              <w:spacing w:line="100" w:lineRule="atLeast"/>
              <w:jc w:val="center"/>
              <w:rPr>
                <w:rFonts w:ascii="Arial" w:hAnsi="Arial" w:cs="Arial"/>
                <w:sz w:val="18"/>
                <w:szCs w:val="18"/>
              </w:rPr>
            </w:pPr>
            <w:r>
              <w:rPr>
                <w:rFonts w:ascii="Arial" w:hAnsi="Arial" w:cs="Arial"/>
                <w:sz w:val="18"/>
              </w:rPr>
              <w:t>2013</w:t>
            </w:r>
          </w:p>
        </w:tc>
      </w:tr>
      <w:tr w:rsidR="00366723" w14:paraId="038A398B" w14:textId="77777777" w:rsidTr="005F65FA">
        <w:trPr>
          <w:cantSplit/>
          <w:trHeight w:hRule="exact" w:val="227"/>
        </w:trPr>
        <w:tc>
          <w:tcPr>
            <w:tcW w:w="810" w:type="pct"/>
          </w:tcPr>
          <w:p w14:paraId="038A3985" w14:textId="77777777" w:rsidR="00366723" w:rsidRDefault="00366723" w:rsidP="001A5D4A">
            <w:pPr>
              <w:pStyle w:val="Note-Refs"/>
            </w:pPr>
          </w:p>
        </w:tc>
        <w:tc>
          <w:tcPr>
            <w:tcW w:w="2567" w:type="pct"/>
            <w:shd w:val="clear" w:color="auto" w:fill="auto"/>
            <w:vAlign w:val="bottom"/>
          </w:tcPr>
          <w:p w14:paraId="038A3986" w14:textId="77777777" w:rsidR="00366723" w:rsidRDefault="00366723" w:rsidP="001A5D4A">
            <w:pPr>
              <w:pStyle w:val="NotesTable-ItemPlain"/>
            </w:pPr>
          </w:p>
        </w:tc>
        <w:tc>
          <w:tcPr>
            <w:tcW w:w="406" w:type="pct"/>
            <w:shd w:val="clear" w:color="auto" w:fill="auto"/>
          </w:tcPr>
          <w:p w14:paraId="038A3987" w14:textId="77777777" w:rsidR="00366723" w:rsidRDefault="00366723" w:rsidP="001A5D4A">
            <w:pPr>
              <w:pStyle w:val="NotesTable-HeadBold"/>
            </w:pPr>
            <w:r>
              <w:t>$’000</w:t>
            </w:r>
          </w:p>
        </w:tc>
        <w:tc>
          <w:tcPr>
            <w:tcW w:w="406" w:type="pct"/>
            <w:shd w:val="clear" w:color="auto" w:fill="auto"/>
          </w:tcPr>
          <w:p w14:paraId="038A3988" w14:textId="77777777" w:rsidR="00366723" w:rsidRDefault="00366723" w:rsidP="001A5D4A">
            <w:pPr>
              <w:snapToGrid w:val="0"/>
              <w:spacing w:line="100" w:lineRule="atLeast"/>
              <w:jc w:val="center"/>
              <w:rPr>
                <w:rFonts w:ascii="Arial" w:hAnsi="Arial" w:cs="Arial"/>
                <w:sz w:val="18"/>
                <w:szCs w:val="18"/>
              </w:rPr>
            </w:pPr>
            <w:r>
              <w:rPr>
                <w:rFonts w:ascii="Arial" w:hAnsi="Arial" w:cs="Arial"/>
                <w:sz w:val="18"/>
              </w:rPr>
              <w:t>$’000</w:t>
            </w:r>
          </w:p>
        </w:tc>
        <w:tc>
          <w:tcPr>
            <w:tcW w:w="406" w:type="pct"/>
            <w:shd w:val="clear" w:color="auto" w:fill="auto"/>
          </w:tcPr>
          <w:p w14:paraId="038A3989" w14:textId="77777777" w:rsidR="00366723" w:rsidRDefault="00366723" w:rsidP="001A5D4A">
            <w:pPr>
              <w:pStyle w:val="NotesTable-HeadBold"/>
              <w:rPr>
                <w:szCs w:val="18"/>
              </w:rPr>
            </w:pPr>
            <w:r>
              <w:t>$’000</w:t>
            </w:r>
          </w:p>
        </w:tc>
        <w:tc>
          <w:tcPr>
            <w:tcW w:w="405" w:type="pct"/>
            <w:shd w:val="clear" w:color="auto" w:fill="auto"/>
          </w:tcPr>
          <w:p w14:paraId="038A398A" w14:textId="77777777" w:rsidR="00366723" w:rsidRDefault="00366723" w:rsidP="001A5D4A">
            <w:pPr>
              <w:snapToGrid w:val="0"/>
              <w:spacing w:line="100" w:lineRule="atLeast"/>
              <w:jc w:val="center"/>
              <w:rPr>
                <w:rFonts w:ascii="Arial" w:hAnsi="Arial" w:cs="Arial"/>
                <w:sz w:val="18"/>
                <w:szCs w:val="18"/>
              </w:rPr>
            </w:pPr>
            <w:r>
              <w:rPr>
                <w:rFonts w:ascii="Arial" w:hAnsi="Arial" w:cs="Arial"/>
                <w:sz w:val="18"/>
              </w:rPr>
              <w:t>$’000</w:t>
            </w:r>
          </w:p>
        </w:tc>
      </w:tr>
      <w:tr w:rsidR="00366723" w14:paraId="038A3992" w14:textId="77777777" w:rsidTr="005F65FA">
        <w:trPr>
          <w:cantSplit/>
          <w:trHeight w:hRule="exact" w:val="227"/>
        </w:trPr>
        <w:tc>
          <w:tcPr>
            <w:tcW w:w="810" w:type="pct"/>
          </w:tcPr>
          <w:p w14:paraId="038A398C" w14:textId="77777777" w:rsidR="00366723" w:rsidRDefault="00366723" w:rsidP="001A5D4A">
            <w:pPr>
              <w:pStyle w:val="Note-Refs"/>
            </w:pPr>
            <w:r>
              <w:t>AASB124.19c</w:t>
            </w:r>
          </w:p>
        </w:tc>
        <w:tc>
          <w:tcPr>
            <w:tcW w:w="2567" w:type="pct"/>
            <w:shd w:val="clear" w:color="auto" w:fill="auto"/>
            <w:vAlign w:val="bottom"/>
          </w:tcPr>
          <w:p w14:paraId="038A398D" w14:textId="77777777" w:rsidR="00366723" w:rsidRPr="00813AD3" w:rsidRDefault="00366723" w:rsidP="001A5D4A">
            <w:pPr>
              <w:pStyle w:val="NotesTable-ItemPlain"/>
              <w:rPr>
                <w:b/>
              </w:rPr>
            </w:pPr>
            <w:r w:rsidRPr="00E56E44">
              <w:t>[Description]</w:t>
            </w:r>
          </w:p>
        </w:tc>
        <w:tc>
          <w:tcPr>
            <w:tcW w:w="406" w:type="pct"/>
            <w:shd w:val="clear" w:color="auto" w:fill="auto"/>
          </w:tcPr>
          <w:p w14:paraId="038A398E" w14:textId="77777777" w:rsidR="00366723" w:rsidRDefault="00366723" w:rsidP="001A5D4A">
            <w:pPr>
              <w:pStyle w:val="NotesTable-CellBold"/>
            </w:pPr>
            <w:r w:rsidRPr="00E0195D">
              <w:t>–</w:t>
            </w:r>
          </w:p>
        </w:tc>
        <w:tc>
          <w:tcPr>
            <w:tcW w:w="406" w:type="pct"/>
            <w:shd w:val="clear" w:color="auto" w:fill="auto"/>
          </w:tcPr>
          <w:p w14:paraId="038A398F" w14:textId="77777777" w:rsidR="00366723" w:rsidRDefault="00366723" w:rsidP="001A5D4A">
            <w:pPr>
              <w:pStyle w:val="NotesTable-CellPlain"/>
            </w:pPr>
            <w:r w:rsidRPr="00E0195D">
              <w:t>–</w:t>
            </w:r>
          </w:p>
        </w:tc>
        <w:tc>
          <w:tcPr>
            <w:tcW w:w="406" w:type="pct"/>
            <w:shd w:val="clear" w:color="auto" w:fill="auto"/>
          </w:tcPr>
          <w:p w14:paraId="038A3990" w14:textId="77777777" w:rsidR="00366723" w:rsidRDefault="00366723" w:rsidP="001A5D4A">
            <w:pPr>
              <w:pStyle w:val="NotesTable-CellBold"/>
            </w:pPr>
            <w:r w:rsidRPr="00E0195D">
              <w:t>–</w:t>
            </w:r>
          </w:p>
        </w:tc>
        <w:tc>
          <w:tcPr>
            <w:tcW w:w="405" w:type="pct"/>
            <w:shd w:val="clear" w:color="auto" w:fill="auto"/>
          </w:tcPr>
          <w:p w14:paraId="038A3991" w14:textId="77777777" w:rsidR="00366723" w:rsidRDefault="00366723" w:rsidP="001A5D4A">
            <w:pPr>
              <w:pStyle w:val="NotesTable-CellPlain"/>
            </w:pPr>
            <w:r w:rsidRPr="00E0195D">
              <w:t>–</w:t>
            </w:r>
          </w:p>
        </w:tc>
      </w:tr>
      <w:tr w:rsidR="00366723" w14:paraId="038A3995" w14:textId="77777777" w:rsidTr="00463ABD">
        <w:trPr>
          <w:cantSplit/>
          <w:trHeight w:hRule="exact" w:val="227"/>
        </w:trPr>
        <w:tc>
          <w:tcPr>
            <w:tcW w:w="810" w:type="pct"/>
          </w:tcPr>
          <w:p w14:paraId="038A3993" w14:textId="77777777" w:rsidR="00366723" w:rsidRDefault="00366723" w:rsidP="001A5D4A">
            <w:pPr>
              <w:pStyle w:val="Note-Refs"/>
            </w:pPr>
          </w:p>
        </w:tc>
        <w:tc>
          <w:tcPr>
            <w:tcW w:w="4190" w:type="pct"/>
            <w:gridSpan w:val="5"/>
            <w:shd w:val="clear" w:color="auto" w:fill="auto"/>
            <w:vAlign w:val="bottom"/>
          </w:tcPr>
          <w:p w14:paraId="038A3994" w14:textId="77777777" w:rsidR="00366723" w:rsidRDefault="00366723" w:rsidP="001A5D4A">
            <w:pPr>
              <w:pStyle w:val="NotesTable-ItemPlain"/>
            </w:pPr>
          </w:p>
        </w:tc>
      </w:tr>
      <w:tr w:rsidR="00366723" w14:paraId="038A3998" w14:textId="77777777" w:rsidTr="00463ABD">
        <w:trPr>
          <w:cantSplit/>
          <w:trHeight w:hRule="exact" w:val="227"/>
        </w:trPr>
        <w:tc>
          <w:tcPr>
            <w:tcW w:w="810" w:type="pct"/>
          </w:tcPr>
          <w:p w14:paraId="038A3996" w14:textId="77777777" w:rsidR="00366723" w:rsidRDefault="00366723" w:rsidP="001A5D4A">
            <w:pPr>
              <w:pStyle w:val="Note-Refs"/>
            </w:pPr>
          </w:p>
        </w:tc>
        <w:tc>
          <w:tcPr>
            <w:tcW w:w="4190" w:type="pct"/>
            <w:gridSpan w:val="5"/>
            <w:shd w:val="clear" w:color="auto" w:fill="auto"/>
            <w:vAlign w:val="bottom"/>
          </w:tcPr>
          <w:p w14:paraId="038A3997" w14:textId="77777777" w:rsidR="00366723" w:rsidRDefault="00366723" w:rsidP="001A5D4A">
            <w:pPr>
              <w:pStyle w:val="Note-TextHeader"/>
              <w:rPr>
                <w:b w:val="0"/>
                <w:lang w:val="en-GB"/>
              </w:rPr>
            </w:pPr>
            <w:r>
              <w:t>(h) Terms and Conditions</w:t>
            </w:r>
          </w:p>
        </w:tc>
      </w:tr>
      <w:tr w:rsidR="00366723" w14:paraId="038A399B" w14:textId="77777777" w:rsidTr="00463ABD">
        <w:trPr>
          <w:cantSplit/>
          <w:trHeight w:hRule="exact" w:val="227"/>
        </w:trPr>
        <w:tc>
          <w:tcPr>
            <w:tcW w:w="810" w:type="pct"/>
          </w:tcPr>
          <w:p w14:paraId="038A3999" w14:textId="77777777" w:rsidR="00366723" w:rsidRDefault="00366723" w:rsidP="001A5D4A">
            <w:pPr>
              <w:pStyle w:val="Note-Refs"/>
              <w:rPr>
                <w:b/>
              </w:rPr>
            </w:pPr>
            <w:r>
              <w:t>AASB124.18b(i)</w:t>
            </w:r>
          </w:p>
        </w:tc>
        <w:tc>
          <w:tcPr>
            <w:tcW w:w="4190" w:type="pct"/>
            <w:gridSpan w:val="5"/>
            <w:shd w:val="clear" w:color="auto" w:fill="auto"/>
            <w:vAlign w:val="bottom"/>
          </w:tcPr>
          <w:p w14:paraId="038A399A" w14:textId="77777777" w:rsidR="00366723" w:rsidRDefault="00366723" w:rsidP="001A5D4A">
            <w:pPr>
              <w:pStyle w:val="NotesTable-ItemPlain"/>
              <w:rPr>
                <w:b/>
              </w:rPr>
            </w:pPr>
            <w:r>
              <w:t>[Description]</w:t>
            </w:r>
          </w:p>
        </w:tc>
      </w:tr>
    </w:tbl>
    <w:p w14:paraId="2EE20B26" w14:textId="77777777" w:rsidR="005F65FA" w:rsidRDefault="005F65FA" w:rsidP="005F65FA">
      <w:bookmarkStart w:id="393" w:name="_Toc410807669"/>
      <w:bookmarkStart w:id="394" w:name="_Toc410822730"/>
    </w:p>
    <w:p w14:paraId="7EAAD2A3" w14:textId="6C1CFB50" w:rsidR="00386E94" w:rsidRPr="005F65FA" w:rsidRDefault="00386E94" w:rsidP="005F65FA">
      <w:pPr>
        <w:pStyle w:val="Heading3"/>
        <w:rPr>
          <w:color w:val="2D3E7B" w:themeColor="text2" w:themeShade="BF"/>
        </w:rPr>
      </w:pPr>
      <w:r w:rsidRPr="005F65FA">
        <w:rPr>
          <w:color w:val="2D3E7B" w:themeColor="text2" w:themeShade="BF"/>
        </w:rPr>
        <w:t>Commentary - Related parties</w:t>
      </w:r>
      <w:bookmarkEnd w:id="393"/>
      <w:bookmarkEnd w:id="394"/>
    </w:p>
    <w:p w14:paraId="66A1EF4D" w14:textId="2899624F" w:rsidR="00386E94" w:rsidRPr="005F65FA" w:rsidRDefault="00386E94" w:rsidP="00655761">
      <w:pPr>
        <w:pStyle w:val="Heading6"/>
      </w:pPr>
      <w:r w:rsidRPr="005F65FA">
        <w:t>Education</w:t>
      </w:r>
    </w:p>
    <w:p w14:paraId="3EA18803" w14:textId="77777777" w:rsidR="00386E94" w:rsidRPr="005F65FA" w:rsidRDefault="00386E94"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Materiality</w:t>
      </w:r>
    </w:p>
    <w:p w14:paraId="55EBB1DB" w14:textId="77777777" w:rsidR="00386E94" w:rsidRPr="005F65FA" w:rsidRDefault="00386E94" w:rsidP="00655761">
      <w:pPr>
        <w:pStyle w:val="Heading6"/>
      </w:pPr>
      <w:r w:rsidRPr="005F65FA">
        <w:t>AASB124.Aus1.10</w:t>
      </w:r>
      <w:proofErr w:type="gramStart"/>
      <w:r w:rsidRPr="005F65FA">
        <w:t>,24</w:t>
      </w:r>
      <w:proofErr w:type="gramEnd"/>
    </w:p>
    <w:p w14:paraId="4E13056F" w14:textId="77777777" w:rsidR="00386E94" w:rsidRPr="005F65FA" w:rsidRDefault="00386E94" w:rsidP="001A5D4A">
      <w:pPr>
        <w:rPr>
          <w:color w:val="2D3E7B" w:themeColor="text2" w:themeShade="BF"/>
        </w:rPr>
      </w:pPr>
      <w:r w:rsidRPr="005F65FA">
        <w:rPr>
          <w:color w:val="2D3E7B" w:themeColor="text2" w:themeShade="BF"/>
        </w:rPr>
        <w:t>The disclosures required by AASB124 apply to the financial report when the information is material. AASB101 points out that it may be necessary to treat as material an item or an aggregate of items which would not be judged material on the basis of the amount involved, because of their nature. This may apply when transactions occur between an entity and parties who have a fiduciary responsibility in relation to that entity, such as those transactions between the entity and its key management personnel.</w:t>
      </w:r>
    </w:p>
    <w:p w14:paraId="50D4862D" w14:textId="77777777" w:rsidR="00386E94" w:rsidRPr="005F65FA" w:rsidRDefault="00386E94" w:rsidP="00655761">
      <w:pPr>
        <w:pStyle w:val="Heading6"/>
      </w:pPr>
      <w:r w:rsidRPr="005F65FA">
        <w:t>(a) Parent entity disclosures</w:t>
      </w:r>
    </w:p>
    <w:p w14:paraId="042C4D3C" w14:textId="794A3D70" w:rsidR="00386E94" w:rsidRPr="00B40DF8" w:rsidRDefault="00386E94" w:rsidP="004F3ED9">
      <w:pPr>
        <w:pStyle w:val="Heading6"/>
      </w:pPr>
      <w:r w:rsidRPr="00B40DF8">
        <w:t>Education</w:t>
      </w:r>
    </w:p>
    <w:p w14:paraId="329BA4F4" w14:textId="77777777" w:rsidR="00386E94" w:rsidRPr="005F65FA" w:rsidRDefault="00386E94" w:rsidP="001A5D4A">
      <w:pPr>
        <w:rPr>
          <w:color w:val="2D3E7B" w:themeColor="text2" w:themeShade="BF"/>
        </w:rPr>
      </w:pPr>
      <w:r w:rsidRPr="005F65FA">
        <w:rPr>
          <w:color w:val="2D3E7B" w:themeColor="text2" w:themeShade="BF"/>
        </w:rPr>
        <w:t>The disclosures required by paragraphs 1 to 22 of the revised AASB124 must be made in relation to both, the parent entity and the consolidated financial statements.</w:t>
      </w:r>
    </w:p>
    <w:p w14:paraId="25B4242E" w14:textId="77777777" w:rsidR="00386E94" w:rsidRPr="00B40DF8" w:rsidRDefault="00386E94" w:rsidP="004F3ED9">
      <w:pPr>
        <w:pStyle w:val="Heading6"/>
      </w:pPr>
      <w:r w:rsidRPr="00B40DF8">
        <w:t>Education</w:t>
      </w:r>
    </w:p>
    <w:p w14:paraId="2A979787" w14:textId="77777777" w:rsidR="00386E94" w:rsidRPr="005F65FA" w:rsidRDefault="00386E94" w:rsidP="001A5D4A">
      <w:pPr>
        <w:rPr>
          <w:color w:val="2D3E7B" w:themeColor="text2" w:themeShade="BF"/>
        </w:rPr>
      </w:pPr>
      <w:r w:rsidRPr="005F65FA">
        <w:rPr>
          <w:color w:val="2D3E7B" w:themeColor="text2" w:themeShade="BF"/>
        </w:rPr>
        <w:t xml:space="preserve">Commentary </w:t>
      </w:r>
      <w:r w:rsidRPr="005F65FA">
        <w:rPr>
          <w:color w:val="2D3E7B" w:themeColor="text2" w:themeShade="BF"/>
        </w:rPr>
        <w:t> Related parties (continued)</w:t>
      </w:r>
    </w:p>
    <w:p w14:paraId="5C0CC700" w14:textId="77777777" w:rsidR="00386E94" w:rsidRPr="005F65FA" w:rsidRDefault="00386E94" w:rsidP="00655761">
      <w:pPr>
        <w:pStyle w:val="Heading6"/>
      </w:pPr>
      <w:r w:rsidRPr="005F65FA">
        <w:lastRenderedPageBreak/>
        <w:t>(b) Relationship between parents and subsidiaries</w:t>
      </w:r>
    </w:p>
    <w:p w14:paraId="713B3A6A" w14:textId="77777777" w:rsidR="00386E94" w:rsidRPr="00B40DF8" w:rsidRDefault="00386E94" w:rsidP="004F3ED9">
      <w:pPr>
        <w:pStyle w:val="Heading6"/>
      </w:pPr>
      <w:r w:rsidRPr="00B40DF8">
        <w:t>AASB124.13</w:t>
      </w:r>
    </w:p>
    <w:p w14:paraId="083CF889" w14:textId="77777777" w:rsidR="00386E94" w:rsidRPr="005F65FA" w:rsidRDefault="00386E94" w:rsidP="001A5D4A">
      <w:pPr>
        <w:rPr>
          <w:color w:val="2D3E7B" w:themeColor="text2" w:themeShade="BF"/>
        </w:rPr>
      </w:pPr>
      <w:r w:rsidRPr="005F65FA">
        <w:rPr>
          <w:color w:val="2D3E7B" w:themeColor="text2" w:themeShade="BF"/>
        </w:rPr>
        <w:t>Relationships between parents and subsidiaries shall be disclosed irrespective of whether there have been transactions between those related parties. An entity shall disclose the name of the entity’s parent and, if different, the ultimate controlling party. If neither the entity’s parent nor the ultimate controlling party produces financial reports available for public use, the name of the next most senior parent that does so shall also be disclosed.</w:t>
      </w:r>
    </w:p>
    <w:p w14:paraId="3458391B" w14:textId="493E90F3" w:rsidR="00386E94" w:rsidRPr="005F65FA" w:rsidRDefault="00386E94" w:rsidP="00655761">
      <w:pPr>
        <w:pStyle w:val="Heading6"/>
      </w:pPr>
      <w:r w:rsidRPr="005F65FA">
        <w:t xml:space="preserve">(d) Transactions with related parties </w:t>
      </w:r>
    </w:p>
    <w:p w14:paraId="37937DBA" w14:textId="77777777" w:rsidR="00386E94" w:rsidRPr="00B40DF8" w:rsidRDefault="00386E94" w:rsidP="004F3ED9">
      <w:pPr>
        <w:pStyle w:val="Heading6"/>
      </w:pPr>
      <w:r w:rsidRPr="00B40DF8">
        <w:t>AASB124.19</w:t>
      </w:r>
    </w:p>
    <w:p w14:paraId="304B2166" w14:textId="77777777" w:rsidR="00386E94" w:rsidRPr="005F65FA" w:rsidRDefault="00386E94" w:rsidP="001A5D4A">
      <w:pPr>
        <w:rPr>
          <w:color w:val="2D3E7B" w:themeColor="text2" w:themeShade="BF"/>
        </w:rPr>
      </w:pPr>
      <w:r w:rsidRPr="005F65FA">
        <w:rPr>
          <w:color w:val="2D3E7B" w:themeColor="text2" w:themeShade="BF"/>
        </w:rPr>
        <w:t>The disclosures of related party transactions required by paragraph 18 of AASB124 shall be made separately for each of the following categories:</w:t>
      </w:r>
    </w:p>
    <w:p w14:paraId="21DBF0BB" w14:textId="41061608"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the parent;</w:t>
      </w:r>
    </w:p>
    <w:p w14:paraId="0A4E720B" w14:textId="143B27DC"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entities with joint control of, or significant influence over, the entity;</w:t>
      </w:r>
    </w:p>
    <w:p w14:paraId="2246B3DF" w14:textId="04230FE7"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subsidiaries;</w:t>
      </w:r>
    </w:p>
    <w:p w14:paraId="7C76B8A6" w14:textId="3E2D66C4"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associates;</w:t>
      </w:r>
    </w:p>
    <w:p w14:paraId="3B2EC7A2" w14:textId="4E83215F"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joint ventures in which the entity is a venturer;</w:t>
      </w:r>
    </w:p>
    <w:p w14:paraId="73CFB98E" w14:textId="6918F6A0" w:rsidR="00386E94" w:rsidRPr="005F65FA" w:rsidDel="00A00D2D" w:rsidRDefault="00386E94" w:rsidP="00AA53AC">
      <w:pPr>
        <w:pStyle w:val="ListParagraph"/>
        <w:numPr>
          <w:ilvl w:val="0"/>
          <w:numId w:val="57"/>
        </w:numPr>
        <w:ind w:left="340" w:hanging="340"/>
        <w:rPr>
          <w:color w:val="2D3E7B" w:themeColor="text2" w:themeShade="BF"/>
        </w:rPr>
      </w:pPr>
      <w:r w:rsidRPr="005F65FA">
        <w:rPr>
          <w:color w:val="2D3E7B" w:themeColor="text2" w:themeShade="BF"/>
        </w:rPr>
        <w:t>key management personnel of the entity or its parent; and</w:t>
      </w:r>
    </w:p>
    <w:p w14:paraId="5E9F5A13" w14:textId="59C6D2E1" w:rsidR="00386E94" w:rsidRPr="005F65FA" w:rsidDel="00A00D2D" w:rsidRDefault="00386E94" w:rsidP="00AA53AC">
      <w:pPr>
        <w:pStyle w:val="ListParagraph"/>
        <w:numPr>
          <w:ilvl w:val="0"/>
          <w:numId w:val="57"/>
        </w:numPr>
        <w:ind w:left="340" w:hanging="340"/>
        <w:rPr>
          <w:color w:val="2D3E7B" w:themeColor="text2" w:themeShade="BF"/>
        </w:rPr>
      </w:pPr>
      <w:proofErr w:type="gramStart"/>
      <w:r w:rsidRPr="005F65FA">
        <w:rPr>
          <w:color w:val="2D3E7B" w:themeColor="text2" w:themeShade="BF"/>
        </w:rPr>
        <w:t>other</w:t>
      </w:r>
      <w:proofErr w:type="gramEnd"/>
      <w:r w:rsidRPr="005F65FA">
        <w:rPr>
          <w:color w:val="2D3E7B" w:themeColor="text2" w:themeShade="BF"/>
        </w:rPr>
        <w:t xml:space="preserve"> related parties.</w:t>
      </w:r>
    </w:p>
    <w:p w14:paraId="01BDF345" w14:textId="77777777" w:rsidR="00386E94" w:rsidRPr="005F65FA" w:rsidDel="00A00D2D" w:rsidRDefault="00386E94" w:rsidP="00655761">
      <w:pPr>
        <w:pStyle w:val="Heading6"/>
      </w:pPr>
      <w:r w:rsidRPr="005F65FA">
        <w:t>(e) Terms and conditions</w:t>
      </w:r>
    </w:p>
    <w:p w14:paraId="6F2A53F0" w14:textId="77777777" w:rsidR="00386E94" w:rsidRPr="00B40DF8" w:rsidRDefault="00386E94" w:rsidP="004F3ED9">
      <w:pPr>
        <w:pStyle w:val="Heading6"/>
      </w:pPr>
      <w:proofErr w:type="gramStart"/>
      <w:r w:rsidRPr="00B40DF8">
        <w:t>AASB124.18b(</w:t>
      </w:r>
      <w:proofErr w:type="gramEnd"/>
      <w:r w:rsidRPr="00B40DF8">
        <w:t>i),23</w:t>
      </w:r>
    </w:p>
    <w:p w14:paraId="45E30F08" w14:textId="4033904C" w:rsidR="00106D3E" w:rsidRDefault="00386E94" w:rsidP="001A5D4A">
      <w:pPr>
        <w:rPr>
          <w:color w:val="2D3E7B" w:themeColor="text2" w:themeShade="BF"/>
        </w:rPr>
      </w:pPr>
      <w:r w:rsidRPr="00386E94">
        <w:rPr>
          <w:color w:val="2D3E7B" w:themeColor="text2" w:themeShade="BF"/>
        </w:rPr>
        <w:t>The terms and conditions of outstanding balances shall be disclosed, including whether they are secured, and the nature of the consideration to be provided in settlement. Disclosures that related party transactions were made on terms equivalent to those that prevail in arm’s length transactions are made only if such terms can be substantiated.</w:t>
      </w:r>
    </w:p>
    <w:p w14:paraId="15339146" w14:textId="77777777" w:rsidR="00106D3E" w:rsidRDefault="00106D3E" w:rsidP="001A5D4A">
      <w:pPr>
        <w:spacing w:after="0"/>
        <w:rPr>
          <w:color w:val="2D3E7B" w:themeColor="text2" w:themeShade="BF"/>
        </w:rPr>
      </w:pPr>
      <w:r>
        <w:rPr>
          <w:color w:val="2D3E7B" w:themeColor="text2" w:themeShade="BF"/>
        </w:rPr>
        <w:br w:type="page"/>
      </w:r>
    </w:p>
    <w:p w14:paraId="330D4140" w14:textId="232EC7DE" w:rsidR="002636A0" w:rsidRPr="002636A0" w:rsidRDefault="002636A0" w:rsidP="005F65FA">
      <w:pPr>
        <w:pStyle w:val="Heading2"/>
      </w:pPr>
      <w:bookmarkStart w:id="395" w:name="_Toc410807670"/>
      <w:bookmarkStart w:id="396" w:name="_Toc410822731"/>
      <w:proofErr w:type="gramStart"/>
      <w:r w:rsidRPr="002636A0">
        <w:lastRenderedPageBreak/>
        <w:t>Note 43.</w:t>
      </w:r>
      <w:proofErr w:type="gramEnd"/>
      <w:r>
        <w:t xml:space="preserve"> </w:t>
      </w:r>
      <w:r w:rsidRPr="002636A0">
        <w:t>Business combinations</w:t>
      </w:r>
      <w:bookmarkEnd w:id="395"/>
      <w:bookmarkEnd w:id="396"/>
    </w:p>
    <w:tbl>
      <w:tblPr>
        <w:tblW w:w="5000" w:type="pct"/>
        <w:tblCellMar>
          <w:left w:w="0" w:type="dxa"/>
          <w:right w:w="0" w:type="dxa"/>
        </w:tblCellMar>
        <w:tblLook w:val="0000" w:firstRow="0" w:lastRow="0" w:firstColumn="0" w:lastColumn="0" w:noHBand="0" w:noVBand="0"/>
      </w:tblPr>
      <w:tblGrid>
        <w:gridCol w:w="1667"/>
        <w:gridCol w:w="5267"/>
        <w:gridCol w:w="554"/>
        <w:gridCol w:w="279"/>
        <w:gridCol w:w="833"/>
        <w:gridCol w:w="275"/>
        <w:gridCol w:w="279"/>
        <w:gridCol w:w="279"/>
        <w:gridCol w:w="827"/>
      </w:tblGrid>
      <w:tr w:rsidR="00023312" w14:paraId="038A39FF" w14:textId="77777777" w:rsidTr="005F65FA">
        <w:trPr>
          <w:cantSplit/>
          <w:trHeight w:hRule="exact" w:val="227"/>
        </w:trPr>
        <w:tc>
          <w:tcPr>
            <w:tcW w:w="812" w:type="pct"/>
          </w:tcPr>
          <w:p w14:paraId="038A39FD" w14:textId="77777777" w:rsidR="00023312" w:rsidRDefault="00023312" w:rsidP="001A5D4A">
            <w:pPr>
              <w:pStyle w:val="Note-Refs"/>
            </w:pPr>
          </w:p>
        </w:tc>
        <w:tc>
          <w:tcPr>
            <w:tcW w:w="4188" w:type="pct"/>
            <w:gridSpan w:val="8"/>
            <w:vAlign w:val="bottom"/>
          </w:tcPr>
          <w:p w14:paraId="038A39FE" w14:textId="77777777" w:rsidR="00023312" w:rsidRDefault="00023312" w:rsidP="001A5D4A">
            <w:pPr>
              <w:pStyle w:val="Note-TextHeader"/>
              <w:rPr>
                <w:b w:val="0"/>
                <w:lang w:val="en-GB"/>
              </w:rPr>
            </w:pPr>
            <w:r>
              <w:t>(a) Summary of acquisition</w:t>
            </w:r>
          </w:p>
        </w:tc>
      </w:tr>
      <w:tr w:rsidR="00023312" w14:paraId="038A3A02" w14:textId="77777777" w:rsidTr="005F65FA">
        <w:trPr>
          <w:cantSplit/>
          <w:trHeight w:hRule="exact" w:val="227"/>
        </w:trPr>
        <w:tc>
          <w:tcPr>
            <w:tcW w:w="812" w:type="pct"/>
          </w:tcPr>
          <w:p w14:paraId="038A3A00" w14:textId="77777777" w:rsidR="00023312" w:rsidRDefault="00023312" w:rsidP="001A5D4A">
            <w:pPr>
              <w:pStyle w:val="Note-Refs"/>
              <w:rPr>
                <w:b/>
              </w:rPr>
            </w:pPr>
            <w:r>
              <w:t>AASB</w:t>
            </w:r>
            <w:r w:rsidR="007A6BA4">
              <w:t>3</w:t>
            </w:r>
            <w:r w:rsidR="00160B27">
              <w:t>.B64</w:t>
            </w:r>
            <w:r w:rsidR="00671C14">
              <w:t>.</w:t>
            </w:r>
            <w:r w:rsidR="00160B27">
              <w:t>a-d</w:t>
            </w:r>
          </w:p>
        </w:tc>
        <w:tc>
          <w:tcPr>
            <w:tcW w:w="4188" w:type="pct"/>
            <w:gridSpan w:val="8"/>
            <w:vAlign w:val="bottom"/>
          </w:tcPr>
          <w:p w14:paraId="038A3A01" w14:textId="77777777" w:rsidR="00023312" w:rsidRDefault="00023312" w:rsidP="001A5D4A">
            <w:pPr>
              <w:pStyle w:val="NotesTable-ItemPlain"/>
              <w:rPr>
                <w:b/>
              </w:rPr>
            </w:pPr>
            <w:r>
              <w:t xml:space="preserve">[Describe as applicable] </w:t>
            </w:r>
          </w:p>
        </w:tc>
      </w:tr>
      <w:tr w:rsidR="00023312" w14:paraId="038A3A05" w14:textId="77777777" w:rsidTr="005F65FA">
        <w:trPr>
          <w:cantSplit/>
          <w:trHeight w:hRule="exact" w:val="227"/>
        </w:trPr>
        <w:tc>
          <w:tcPr>
            <w:tcW w:w="812" w:type="pct"/>
          </w:tcPr>
          <w:p w14:paraId="038A3A03" w14:textId="77777777" w:rsidR="00023312" w:rsidRDefault="00023312" w:rsidP="001A5D4A">
            <w:pPr>
              <w:pStyle w:val="Note-Refs"/>
            </w:pPr>
          </w:p>
        </w:tc>
        <w:tc>
          <w:tcPr>
            <w:tcW w:w="4188" w:type="pct"/>
            <w:gridSpan w:val="8"/>
            <w:vAlign w:val="bottom"/>
          </w:tcPr>
          <w:p w14:paraId="038A3A04" w14:textId="77777777" w:rsidR="00023312" w:rsidRDefault="00023312" w:rsidP="001A5D4A">
            <w:pPr>
              <w:pStyle w:val="NotesTable-ItemPlain"/>
            </w:pPr>
          </w:p>
        </w:tc>
      </w:tr>
      <w:tr w:rsidR="00023312" w14:paraId="038A3A08" w14:textId="77777777" w:rsidTr="005F65FA">
        <w:trPr>
          <w:cantSplit/>
          <w:trHeight w:hRule="exact" w:val="227"/>
        </w:trPr>
        <w:tc>
          <w:tcPr>
            <w:tcW w:w="812" w:type="pct"/>
          </w:tcPr>
          <w:p w14:paraId="038A3A06" w14:textId="77777777" w:rsidR="00023312" w:rsidRDefault="00023312" w:rsidP="001A5D4A">
            <w:pPr>
              <w:pStyle w:val="Note-Refs"/>
            </w:pPr>
          </w:p>
        </w:tc>
        <w:tc>
          <w:tcPr>
            <w:tcW w:w="4188" w:type="pct"/>
            <w:gridSpan w:val="8"/>
            <w:vAlign w:val="bottom"/>
          </w:tcPr>
          <w:p w14:paraId="038A3A07" w14:textId="77777777" w:rsidR="00023312" w:rsidRDefault="00023312" w:rsidP="001A5D4A">
            <w:pPr>
              <w:pStyle w:val="NotesTable-ItemPlain"/>
              <w:rPr>
                <w:b/>
              </w:rPr>
            </w:pPr>
            <w:r>
              <w:t>Details of the fair value of the assets and liabilities acquired and goodwill are as follows:</w:t>
            </w:r>
          </w:p>
        </w:tc>
      </w:tr>
      <w:tr w:rsidR="00023312" w14:paraId="038A3A0C" w14:textId="77777777" w:rsidTr="005F65FA">
        <w:trPr>
          <w:cantSplit/>
          <w:trHeight w:hRule="exact" w:val="227"/>
        </w:trPr>
        <w:tc>
          <w:tcPr>
            <w:tcW w:w="812" w:type="pct"/>
          </w:tcPr>
          <w:p w14:paraId="038A3A09" w14:textId="77777777" w:rsidR="00023312" w:rsidRDefault="00023312" w:rsidP="001A5D4A">
            <w:pPr>
              <w:pStyle w:val="Note-Refs"/>
            </w:pPr>
          </w:p>
        </w:tc>
        <w:tc>
          <w:tcPr>
            <w:tcW w:w="3649" w:type="pct"/>
            <w:gridSpan w:val="6"/>
            <w:vAlign w:val="bottom"/>
          </w:tcPr>
          <w:p w14:paraId="038A3A0A" w14:textId="77777777" w:rsidR="00023312" w:rsidRDefault="00023312" w:rsidP="001A5D4A">
            <w:pPr>
              <w:pStyle w:val="NotesTable-ItemPlain"/>
            </w:pPr>
          </w:p>
        </w:tc>
        <w:tc>
          <w:tcPr>
            <w:tcW w:w="540" w:type="pct"/>
            <w:gridSpan w:val="2"/>
          </w:tcPr>
          <w:p w14:paraId="038A3A0B" w14:textId="77777777" w:rsidR="00023312" w:rsidRDefault="00023312" w:rsidP="001A5D4A">
            <w:pPr>
              <w:pStyle w:val="NotesTable-HeadPlain"/>
            </w:pPr>
            <w:r>
              <w:t>$’000</w:t>
            </w:r>
          </w:p>
        </w:tc>
      </w:tr>
      <w:tr w:rsidR="00023312" w14:paraId="038A3A10" w14:textId="77777777" w:rsidTr="005F65FA">
        <w:trPr>
          <w:cantSplit/>
          <w:trHeight w:hRule="exact" w:val="227"/>
        </w:trPr>
        <w:tc>
          <w:tcPr>
            <w:tcW w:w="812" w:type="pct"/>
          </w:tcPr>
          <w:p w14:paraId="038A3A0D" w14:textId="77777777" w:rsidR="00023312" w:rsidRDefault="00023312" w:rsidP="001A5D4A">
            <w:pPr>
              <w:pStyle w:val="Note-Refs"/>
            </w:pPr>
            <w:r>
              <w:t>AASB3</w:t>
            </w:r>
            <w:r w:rsidR="00160B27">
              <w:t>.B64f</w:t>
            </w:r>
          </w:p>
        </w:tc>
        <w:tc>
          <w:tcPr>
            <w:tcW w:w="3649" w:type="pct"/>
            <w:gridSpan w:val="6"/>
            <w:vAlign w:val="bottom"/>
          </w:tcPr>
          <w:p w14:paraId="038A3A0E" w14:textId="77777777" w:rsidR="00023312" w:rsidRDefault="00023312" w:rsidP="001A5D4A">
            <w:pPr>
              <w:pStyle w:val="NotesTable-ItemPlain"/>
              <w:rPr>
                <w:b/>
              </w:rPr>
            </w:pPr>
            <w:r>
              <w:t>Purchase consideration (refer to (b) below):</w:t>
            </w:r>
          </w:p>
        </w:tc>
        <w:tc>
          <w:tcPr>
            <w:tcW w:w="540" w:type="pct"/>
            <w:gridSpan w:val="2"/>
          </w:tcPr>
          <w:p w14:paraId="038A3A0F" w14:textId="77777777" w:rsidR="00023312" w:rsidRDefault="00023312" w:rsidP="001A5D4A">
            <w:pPr>
              <w:pStyle w:val="NotesTable-CellPlain"/>
            </w:pPr>
          </w:p>
        </w:tc>
      </w:tr>
      <w:tr w:rsidR="00023312" w14:paraId="038A3A14" w14:textId="77777777" w:rsidTr="005F65FA">
        <w:trPr>
          <w:cantSplit/>
          <w:trHeight w:hRule="exact" w:val="227"/>
        </w:trPr>
        <w:tc>
          <w:tcPr>
            <w:tcW w:w="812" w:type="pct"/>
          </w:tcPr>
          <w:p w14:paraId="038A3A11" w14:textId="77777777" w:rsidR="00023312" w:rsidRDefault="00023312" w:rsidP="001A5D4A">
            <w:pPr>
              <w:pStyle w:val="Note-Refs"/>
            </w:pPr>
          </w:p>
        </w:tc>
        <w:tc>
          <w:tcPr>
            <w:tcW w:w="3649" w:type="pct"/>
            <w:gridSpan w:val="6"/>
            <w:vAlign w:val="bottom"/>
          </w:tcPr>
          <w:p w14:paraId="038A3A12" w14:textId="77777777" w:rsidR="00023312" w:rsidRDefault="00023312" w:rsidP="001A5D4A">
            <w:pPr>
              <w:pStyle w:val="NotesTable-ItemPlain"/>
              <w:rPr>
                <w:b/>
              </w:rPr>
            </w:pPr>
            <w:r>
              <w:t>[Specify]</w:t>
            </w:r>
          </w:p>
        </w:tc>
        <w:tc>
          <w:tcPr>
            <w:tcW w:w="540" w:type="pct"/>
            <w:gridSpan w:val="2"/>
          </w:tcPr>
          <w:p w14:paraId="038A3A13" w14:textId="77777777" w:rsidR="00023312" w:rsidRDefault="00023312" w:rsidP="001A5D4A">
            <w:pPr>
              <w:pStyle w:val="NotesTable-CellPlain"/>
            </w:pPr>
            <w:r>
              <w:t>–</w:t>
            </w:r>
          </w:p>
        </w:tc>
      </w:tr>
      <w:tr w:rsidR="00160B27" w14:paraId="038A3A18" w14:textId="77777777" w:rsidTr="005F65FA">
        <w:trPr>
          <w:cantSplit/>
          <w:trHeight w:hRule="exact" w:val="227"/>
        </w:trPr>
        <w:tc>
          <w:tcPr>
            <w:tcW w:w="812" w:type="pct"/>
          </w:tcPr>
          <w:p w14:paraId="038A3A15" w14:textId="77777777" w:rsidR="00160B27" w:rsidRDefault="00160B27" w:rsidP="001A5D4A">
            <w:pPr>
              <w:pStyle w:val="Note-Refs"/>
              <w:rPr>
                <w:b/>
              </w:rPr>
            </w:pPr>
            <w:r>
              <w:t>AASB3.B64g</w:t>
            </w:r>
          </w:p>
        </w:tc>
        <w:tc>
          <w:tcPr>
            <w:tcW w:w="3649" w:type="pct"/>
            <w:gridSpan w:val="6"/>
            <w:vAlign w:val="bottom"/>
          </w:tcPr>
          <w:p w14:paraId="038A3A16" w14:textId="77777777" w:rsidR="00160B27" w:rsidRDefault="00160B27" w:rsidP="001A5D4A">
            <w:pPr>
              <w:pStyle w:val="NotesTable-ItemPlain"/>
              <w:rPr>
                <w:b/>
              </w:rPr>
            </w:pPr>
            <w:r>
              <w:t>Contingent consideration</w:t>
            </w:r>
          </w:p>
        </w:tc>
        <w:tc>
          <w:tcPr>
            <w:tcW w:w="540" w:type="pct"/>
            <w:gridSpan w:val="2"/>
            <w:tcBorders>
              <w:bottom w:val="single" w:sz="4" w:space="0" w:color="auto"/>
            </w:tcBorders>
          </w:tcPr>
          <w:p w14:paraId="038A3A17" w14:textId="77777777" w:rsidR="00160B27" w:rsidRDefault="00160B27" w:rsidP="001A5D4A">
            <w:pPr>
              <w:pStyle w:val="NotesTable-CellPlain"/>
            </w:pPr>
            <w:r>
              <w:t>–</w:t>
            </w:r>
          </w:p>
        </w:tc>
      </w:tr>
      <w:tr w:rsidR="00780E8A" w14:paraId="038A3A1C" w14:textId="77777777" w:rsidTr="005F65FA">
        <w:trPr>
          <w:cantSplit/>
          <w:trHeight w:hRule="exact" w:val="227"/>
        </w:trPr>
        <w:tc>
          <w:tcPr>
            <w:tcW w:w="812" w:type="pct"/>
          </w:tcPr>
          <w:p w14:paraId="038A3A19" w14:textId="77777777" w:rsidR="00023312" w:rsidRDefault="00023312" w:rsidP="001A5D4A">
            <w:pPr>
              <w:pStyle w:val="Note-Refs"/>
              <w:rPr>
                <w:b/>
              </w:rPr>
            </w:pPr>
            <w:r>
              <w:t>AASB107</w:t>
            </w:r>
            <w:r w:rsidR="00671C14">
              <w:t>.</w:t>
            </w:r>
            <w:r>
              <w:t>40a</w:t>
            </w:r>
          </w:p>
        </w:tc>
        <w:tc>
          <w:tcPr>
            <w:tcW w:w="3649" w:type="pct"/>
            <w:gridSpan w:val="6"/>
            <w:vAlign w:val="bottom"/>
          </w:tcPr>
          <w:p w14:paraId="038A3A1A" w14:textId="77777777" w:rsidR="00023312" w:rsidRDefault="00023312" w:rsidP="001A5D4A">
            <w:pPr>
              <w:pStyle w:val="NotesTable-ItemPlain"/>
              <w:rPr>
                <w:b/>
              </w:rPr>
            </w:pPr>
            <w:r>
              <w:t>Total purchase consideration</w:t>
            </w:r>
          </w:p>
        </w:tc>
        <w:tc>
          <w:tcPr>
            <w:tcW w:w="540" w:type="pct"/>
            <w:gridSpan w:val="2"/>
            <w:tcBorders>
              <w:top w:val="single" w:sz="4" w:space="0" w:color="auto"/>
            </w:tcBorders>
          </w:tcPr>
          <w:p w14:paraId="038A3A1B" w14:textId="77777777" w:rsidR="00023312" w:rsidRDefault="00023312" w:rsidP="001A5D4A">
            <w:pPr>
              <w:pStyle w:val="NotesTable-CellPlain"/>
            </w:pPr>
            <w:r>
              <w:t>–</w:t>
            </w:r>
          </w:p>
        </w:tc>
      </w:tr>
      <w:tr w:rsidR="00780E8A" w14:paraId="038A3A20" w14:textId="77777777" w:rsidTr="005F65FA">
        <w:trPr>
          <w:cantSplit/>
          <w:trHeight w:hRule="exact" w:val="227"/>
        </w:trPr>
        <w:tc>
          <w:tcPr>
            <w:tcW w:w="812" w:type="pct"/>
          </w:tcPr>
          <w:p w14:paraId="038A3A1D" w14:textId="77777777" w:rsidR="00023312" w:rsidRDefault="00023312" w:rsidP="001A5D4A">
            <w:pPr>
              <w:pStyle w:val="Note-Refs"/>
            </w:pPr>
          </w:p>
        </w:tc>
        <w:tc>
          <w:tcPr>
            <w:tcW w:w="3649" w:type="pct"/>
            <w:gridSpan w:val="6"/>
            <w:vAlign w:val="bottom"/>
          </w:tcPr>
          <w:p w14:paraId="038A3A1E" w14:textId="77777777" w:rsidR="00023312" w:rsidRDefault="00023312" w:rsidP="001A5D4A">
            <w:pPr>
              <w:pStyle w:val="NotesTable-ItemPlain"/>
            </w:pPr>
          </w:p>
        </w:tc>
        <w:tc>
          <w:tcPr>
            <w:tcW w:w="540" w:type="pct"/>
            <w:gridSpan w:val="2"/>
          </w:tcPr>
          <w:p w14:paraId="038A3A1F" w14:textId="77777777" w:rsidR="00023312" w:rsidRDefault="00023312" w:rsidP="001A5D4A">
            <w:pPr>
              <w:pStyle w:val="NotesTable-CellPlain"/>
            </w:pPr>
          </w:p>
        </w:tc>
      </w:tr>
      <w:tr w:rsidR="00780E8A" w14:paraId="038A3A24" w14:textId="77777777" w:rsidTr="005F65FA">
        <w:trPr>
          <w:cantSplit/>
          <w:trHeight w:hRule="exact" w:val="227"/>
        </w:trPr>
        <w:tc>
          <w:tcPr>
            <w:tcW w:w="812" w:type="pct"/>
          </w:tcPr>
          <w:p w14:paraId="038A3A21" w14:textId="77777777" w:rsidR="00023312" w:rsidRDefault="00023312" w:rsidP="001A5D4A">
            <w:pPr>
              <w:pStyle w:val="Note-Refs"/>
            </w:pPr>
          </w:p>
        </w:tc>
        <w:tc>
          <w:tcPr>
            <w:tcW w:w="3649" w:type="pct"/>
            <w:gridSpan w:val="6"/>
            <w:vAlign w:val="bottom"/>
          </w:tcPr>
          <w:p w14:paraId="038A3A22" w14:textId="77777777" w:rsidR="00023312" w:rsidRDefault="00023312" w:rsidP="001A5D4A">
            <w:pPr>
              <w:pStyle w:val="NotesTable-ItemPlain"/>
              <w:rPr>
                <w:b/>
              </w:rPr>
            </w:pPr>
            <w:r>
              <w:t>Fair value of net identifiable assets acquired (refer to (c) below)</w:t>
            </w:r>
          </w:p>
        </w:tc>
        <w:tc>
          <w:tcPr>
            <w:tcW w:w="540" w:type="pct"/>
            <w:gridSpan w:val="2"/>
          </w:tcPr>
          <w:p w14:paraId="038A3A23" w14:textId="77777777" w:rsidR="00023312" w:rsidRDefault="00023312" w:rsidP="001A5D4A">
            <w:pPr>
              <w:pStyle w:val="NotesTable-CellPlain"/>
            </w:pPr>
            <w:r>
              <w:t>–</w:t>
            </w:r>
          </w:p>
        </w:tc>
      </w:tr>
      <w:tr w:rsidR="00780E8A" w14:paraId="038A3A28" w14:textId="77777777" w:rsidTr="005F65FA">
        <w:trPr>
          <w:cantSplit/>
          <w:trHeight w:hRule="exact" w:val="227"/>
        </w:trPr>
        <w:tc>
          <w:tcPr>
            <w:tcW w:w="812" w:type="pct"/>
          </w:tcPr>
          <w:p w14:paraId="038A3A25" w14:textId="77777777" w:rsidR="00023312" w:rsidRDefault="00023312" w:rsidP="001A5D4A">
            <w:pPr>
              <w:pStyle w:val="Note-Refs"/>
            </w:pPr>
          </w:p>
        </w:tc>
        <w:tc>
          <w:tcPr>
            <w:tcW w:w="3649" w:type="pct"/>
            <w:gridSpan w:val="6"/>
            <w:vAlign w:val="bottom"/>
          </w:tcPr>
          <w:p w14:paraId="038A3A26" w14:textId="382832C7" w:rsidR="00023312" w:rsidRDefault="00023312" w:rsidP="001A5D4A">
            <w:pPr>
              <w:pStyle w:val="NotesTable-ItemPlain"/>
              <w:rPr>
                <w:b/>
              </w:rPr>
            </w:pPr>
            <w:r>
              <w:t>Goodwill (refer to (</w:t>
            </w:r>
            <w:r w:rsidR="006B111A">
              <w:t>d</w:t>
            </w:r>
            <w:r>
              <w:t>) below and note 28).</w:t>
            </w:r>
          </w:p>
        </w:tc>
        <w:tc>
          <w:tcPr>
            <w:tcW w:w="540" w:type="pct"/>
            <w:gridSpan w:val="2"/>
          </w:tcPr>
          <w:p w14:paraId="038A3A27" w14:textId="77777777" w:rsidR="00023312" w:rsidRDefault="00023312" w:rsidP="001A5D4A">
            <w:pPr>
              <w:pStyle w:val="NotesTable-CellPlain"/>
            </w:pPr>
            <w:r>
              <w:t>–</w:t>
            </w:r>
          </w:p>
        </w:tc>
      </w:tr>
      <w:tr w:rsidR="006B111A" w14:paraId="6D6CB99B" w14:textId="77777777" w:rsidTr="005F65FA">
        <w:trPr>
          <w:cantSplit/>
          <w:trHeight w:hRule="exact" w:val="227"/>
        </w:trPr>
        <w:tc>
          <w:tcPr>
            <w:tcW w:w="812" w:type="pct"/>
          </w:tcPr>
          <w:p w14:paraId="12FB60C8" w14:textId="77777777" w:rsidR="006B111A" w:rsidRDefault="006B111A" w:rsidP="001A5D4A">
            <w:pPr>
              <w:pStyle w:val="Note-Refs"/>
            </w:pPr>
          </w:p>
        </w:tc>
        <w:tc>
          <w:tcPr>
            <w:tcW w:w="4188" w:type="pct"/>
            <w:gridSpan w:val="8"/>
            <w:vAlign w:val="bottom"/>
          </w:tcPr>
          <w:p w14:paraId="50BC9353" w14:textId="77777777" w:rsidR="006B111A" w:rsidRPr="00FB4D28" w:rsidRDefault="006B111A" w:rsidP="001A5D4A">
            <w:pPr>
              <w:pStyle w:val="Note-TextHeader"/>
            </w:pPr>
          </w:p>
        </w:tc>
      </w:tr>
      <w:tr w:rsidR="006B111A" w14:paraId="4E4D647B" w14:textId="77777777" w:rsidTr="005F65FA">
        <w:trPr>
          <w:cantSplit/>
          <w:trHeight w:hRule="exact" w:val="227"/>
        </w:trPr>
        <w:tc>
          <w:tcPr>
            <w:tcW w:w="812" w:type="pct"/>
          </w:tcPr>
          <w:p w14:paraId="23E549CB" w14:textId="77777777" w:rsidR="006B111A" w:rsidRDefault="006B111A" w:rsidP="001A5D4A">
            <w:pPr>
              <w:pStyle w:val="Note-Refs"/>
            </w:pPr>
          </w:p>
        </w:tc>
        <w:tc>
          <w:tcPr>
            <w:tcW w:w="4188" w:type="pct"/>
            <w:gridSpan w:val="8"/>
            <w:vAlign w:val="bottom"/>
          </w:tcPr>
          <w:p w14:paraId="2E4CAB1E" w14:textId="77777777" w:rsidR="006B111A" w:rsidRPr="00FB4D28" w:rsidRDefault="006B111A" w:rsidP="001A5D4A">
            <w:pPr>
              <w:pStyle w:val="Note-TextHeader"/>
            </w:pPr>
            <w:r w:rsidRPr="00FB4D28">
              <w:t>(b) Purchase consideration</w:t>
            </w:r>
          </w:p>
        </w:tc>
      </w:tr>
      <w:tr w:rsidR="006B111A" w14:paraId="6FCF7005" w14:textId="77777777" w:rsidTr="005F65FA">
        <w:trPr>
          <w:cantSplit/>
          <w:trHeight w:hRule="exact" w:val="227"/>
        </w:trPr>
        <w:tc>
          <w:tcPr>
            <w:tcW w:w="812" w:type="pct"/>
          </w:tcPr>
          <w:p w14:paraId="0A14A093" w14:textId="77777777" w:rsidR="006B111A" w:rsidRDefault="006B111A" w:rsidP="001A5D4A">
            <w:pPr>
              <w:pStyle w:val="Note-Refs"/>
            </w:pPr>
          </w:p>
        </w:tc>
        <w:tc>
          <w:tcPr>
            <w:tcW w:w="2567" w:type="pct"/>
            <w:vAlign w:val="bottom"/>
          </w:tcPr>
          <w:p w14:paraId="5460CB5E" w14:textId="77777777" w:rsidR="006B111A" w:rsidRDefault="006B111A" w:rsidP="001A5D4A">
            <w:pPr>
              <w:pStyle w:val="NotesTable-ItemPlain"/>
            </w:pPr>
          </w:p>
        </w:tc>
        <w:tc>
          <w:tcPr>
            <w:tcW w:w="812" w:type="pct"/>
            <w:gridSpan w:val="3"/>
          </w:tcPr>
          <w:p w14:paraId="2066B62F" w14:textId="77777777" w:rsidR="006B111A" w:rsidRDefault="006B111A" w:rsidP="001A5D4A">
            <w:pPr>
              <w:pStyle w:val="NotesTable-HeadPlain"/>
            </w:pPr>
            <w:r>
              <w:t>Consolidated</w:t>
            </w:r>
          </w:p>
        </w:tc>
        <w:tc>
          <w:tcPr>
            <w:tcW w:w="809" w:type="pct"/>
            <w:gridSpan w:val="4"/>
          </w:tcPr>
          <w:p w14:paraId="1F67E52B" w14:textId="77777777" w:rsidR="006B111A" w:rsidRDefault="006B111A" w:rsidP="001A5D4A">
            <w:pPr>
              <w:pStyle w:val="NotesTable-HeadPlain"/>
            </w:pPr>
            <w:r>
              <w:t>Parent entity</w:t>
            </w:r>
          </w:p>
        </w:tc>
      </w:tr>
      <w:tr w:rsidR="006B111A" w14:paraId="0233ABDB" w14:textId="77777777" w:rsidTr="005F65FA">
        <w:trPr>
          <w:cantSplit/>
          <w:trHeight w:hRule="exact" w:val="227"/>
        </w:trPr>
        <w:tc>
          <w:tcPr>
            <w:tcW w:w="812" w:type="pct"/>
          </w:tcPr>
          <w:p w14:paraId="04096203" w14:textId="77777777" w:rsidR="006B111A" w:rsidRDefault="006B111A" w:rsidP="001A5D4A">
            <w:pPr>
              <w:pStyle w:val="Note-Refs"/>
            </w:pPr>
          </w:p>
        </w:tc>
        <w:tc>
          <w:tcPr>
            <w:tcW w:w="2567" w:type="pct"/>
            <w:vAlign w:val="bottom"/>
          </w:tcPr>
          <w:p w14:paraId="7701B9AB" w14:textId="77777777" w:rsidR="006B111A" w:rsidRDefault="006B111A" w:rsidP="001A5D4A">
            <w:pPr>
              <w:pStyle w:val="NotesTable-ItemPlain"/>
            </w:pPr>
          </w:p>
        </w:tc>
        <w:tc>
          <w:tcPr>
            <w:tcW w:w="406" w:type="pct"/>
            <w:gridSpan w:val="2"/>
          </w:tcPr>
          <w:p w14:paraId="183CD840" w14:textId="77777777" w:rsidR="006B111A" w:rsidRDefault="006B111A" w:rsidP="001A5D4A">
            <w:pPr>
              <w:pStyle w:val="NotesTable-HeadBold"/>
            </w:pPr>
            <w:r>
              <w:t>2014</w:t>
            </w:r>
          </w:p>
        </w:tc>
        <w:tc>
          <w:tcPr>
            <w:tcW w:w="406" w:type="pct"/>
          </w:tcPr>
          <w:p w14:paraId="7140BDC7" w14:textId="77777777" w:rsidR="006B111A" w:rsidRDefault="006B111A" w:rsidP="001A5D4A">
            <w:pPr>
              <w:pStyle w:val="NotesTable-HeadPlain"/>
            </w:pPr>
            <w:r>
              <w:t>2013</w:t>
            </w:r>
          </w:p>
        </w:tc>
        <w:tc>
          <w:tcPr>
            <w:tcW w:w="406" w:type="pct"/>
            <w:gridSpan w:val="3"/>
          </w:tcPr>
          <w:p w14:paraId="5BBD73C7" w14:textId="77777777" w:rsidR="006B111A" w:rsidRDefault="006B111A" w:rsidP="001A5D4A">
            <w:pPr>
              <w:pStyle w:val="NotesTable-HeadBold"/>
              <w:rPr>
                <w:szCs w:val="18"/>
              </w:rPr>
            </w:pPr>
            <w:r>
              <w:t>2014</w:t>
            </w:r>
          </w:p>
        </w:tc>
        <w:tc>
          <w:tcPr>
            <w:tcW w:w="404" w:type="pct"/>
          </w:tcPr>
          <w:p w14:paraId="0E0F7622" w14:textId="77777777" w:rsidR="006B111A" w:rsidRDefault="006B111A" w:rsidP="001A5D4A">
            <w:pPr>
              <w:pStyle w:val="NotesTable-HeadPlain"/>
            </w:pPr>
            <w:r>
              <w:t>2013</w:t>
            </w:r>
          </w:p>
        </w:tc>
      </w:tr>
      <w:tr w:rsidR="006B111A" w14:paraId="36D9B729" w14:textId="77777777" w:rsidTr="005F65FA">
        <w:trPr>
          <w:cantSplit/>
          <w:trHeight w:hRule="exact" w:val="227"/>
        </w:trPr>
        <w:tc>
          <w:tcPr>
            <w:tcW w:w="812" w:type="pct"/>
          </w:tcPr>
          <w:p w14:paraId="13549833" w14:textId="77777777" w:rsidR="006B111A" w:rsidRDefault="006B111A" w:rsidP="001A5D4A">
            <w:pPr>
              <w:pStyle w:val="Note-Refs"/>
            </w:pPr>
          </w:p>
        </w:tc>
        <w:tc>
          <w:tcPr>
            <w:tcW w:w="2567" w:type="pct"/>
            <w:vAlign w:val="bottom"/>
          </w:tcPr>
          <w:p w14:paraId="2F5F9361" w14:textId="77777777" w:rsidR="006B111A" w:rsidRDefault="006B111A" w:rsidP="001A5D4A">
            <w:pPr>
              <w:pStyle w:val="NotesTable-ItemPlain"/>
            </w:pPr>
          </w:p>
        </w:tc>
        <w:tc>
          <w:tcPr>
            <w:tcW w:w="406" w:type="pct"/>
            <w:gridSpan w:val="2"/>
          </w:tcPr>
          <w:p w14:paraId="00A5B939" w14:textId="77777777" w:rsidR="006B111A" w:rsidRDefault="006B111A" w:rsidP="001A5D4A">
            <w:pPr>
              <w:pStyle w:val="NotesTable-HeadBold"/>
            </w:pPr>
            <w:r>
              <w:t>$’000</w:t>
            </w:r>
          </w:p>
        </w:tc>
        <w:tc>
          <w:tcPr>
            <w:tcW w:w="406" w:type="pct"/>
          </w:tcPr>
          <w:p w14:paraId="70BF7008" w14:textId="77777777" w:rsidR="006B111A" w:rsidRDefault="006B111A" w:rsidP="001A5D4A">
            <w:pPr>
              <w:pStyle w:val="NotesTable-HeadPlain"/>
            </w:pPr>
            <w:r>
              <w:t>$’000</w:t>
            </w:r>
          </w:p>
        </w:tc>
        <w:tc>
          <w:tcPr>
            <w:tcW w:w="406" w:type="pct"/>
            <w:gridSpan w:val="3"/>
          </w:tcPr>
          <w:p w14:paraId="7B39E92D" w14:textId="77777777" w:rsidR="006B111A" w:rsidRDefault="006B111A" w:rsidP="001A5D4A">
            <w:pPr>
              <w:pStyle w:val="NotesTable-HeadBold"/>
              <w:rPr>
                <w:szCs w:val="18"/>
              </w:rPr>
            </w:pPr>
            <w:r>
              <w:t>$’000</w:t>
            </w:r>
          </w:p>
        </w:tc>
        <w:tc>
          <w:tcPr>
            <w:tcW w:w="404" w:type="pct"/>
          </w:tcPr>
          <w:p w14:paraId="77B35BE7" w14:textId="77777777" w:rsidR="006B111A" w:rsidRDefault="006B111A" w:rsidP="001A5D4A">
            <w:pPr>
              <w:pStyle w:val="NotesTable-HeadPlain"/>
            </w:pPr>
            <w:r>
              <w:t>$’000</w:t>
            </w:r>
          </w:p>
        </w:tc>
      </w:tr>
      <w:tr w:rsidR="006B111A" w14:paraId="44733A44" w14:textId="77777777" w:rsidTr="005F65FA">
        <w:trPr>
          <w:cantSplit/>
          <w:trHeight w:hRule="exact" w:val="227"/>
        </w:trPr>
        <w:tc>
          <w:tcPr>
            <w:tcW w:w="812" w:type="pct"/>
          </w:tcPr>
          <w:p w14:paraId="59547EAD" w14:textId="77777777" w:rsidR="006B111A" w:rsidRDefault="006B111A" w:rsidP="001A5D4A">
            <w:pPr>
              <w:pStyle w:val="Note-Refs"/>
            </w:pPr>
          </w:p>
        </w:tc>
        <w:tc>
          <w:tcPr>
            <w:tcW w:w="4188" w:type="pct"/>
            <w:gridSpan w:val="8"/>
            <w:vAlign w:val="bottom"/>
          </w:tcPr>
          <w:p w14:paraId="198CAA70" w14:textId="77777777" w:rsidR="006B111A" w:rsidRDefault="006B111A" w:rsidP="001A5D4A">
            <w:pPr>
              <w:pStyle w:val="NotesTable-ItemPlain"/>
              <w:rPr>
                <w:b/>
              </w:rPr>
            </w:pPr>
            <w:r>
              <w:t>Outflow of cash to acquire subsidiary, net of cash acquired</w:t>
            </w:r>
          </w:p>
        </w:tc>
      </w:tr>
      <w:tr w:rsidR="006B111A" w14:paraId="17641CDA" w14:textId="77777777" w:rsidTr="005F65FA">
        <w:trPr>
          <w:cantSplit/>
          <w:trHeight w:hRule="exact" w:val="227"/>
        </w:trPr>
        <w:tc>
          <w:tcPr>
            <w:tcW w:w="812" w:type="pct"/>
          </w:tcPr>
          <w:p w14:paraId="138F29A8" w14:textId="77777777" w:rsidR="006B111A" w:rsidRDefault="006B111A" w:rsidP="001A5D4A">
            <w:pPr>
              <w:pStyle w:val="Note-Refs"/>
              <w:rPr>
                <w:b/>
              </w:rPr>
            </w:pPr>
            <w:r>
              <w:t>AASB107.40b</w:t>
            </w:r>
          </w:p>
        </w:tc>
        <w:tc>
          <w:tcPr>
            <w:tcW w:w="2567" w:type="pct"/>
            <w:vAlign w:val="bottom"/>
          </w:tcPr>
          <w:p w14:paraId="763DDB88" w14:textId="77777777" w:rsidR="006B111A" w:rsidRDefault="006B111A" w:rsidP="001A5D4A">
            <w:pPr>
              <w:pStyle w:val="NotesTable-ItemPlain"/>
              <w:rPr>
                <w:b/>
              </w:rPr>
            </w:pPr>
            <w:r>
              <w:t>Cash consideration</w:t>
            </w:r>
          </w:p>
        </w:tc>
        <w:tc>
          <w:tcPr>
            <w:tcW w:w="406" w:type="pct"/>
            <w:gridSpan w:val="2"/>
          </w:tcPr>
          <w:p w14:paraId="3E1BF7E1" w14:textId="77777777" w:rsidR="006B111A" w:rsidRDefault="006B111A" w:rsidP="001A5D4A">
            <w:pPr>
              <w:pStyle w:val="NotesTable-CellBold"/>
              <w:rPr>
                <w:szCs w:val="18"/>
              </w:rPr>
            </w:pPr>
            <w:r>
              <w:rPr>
                <w:szCs w:val="18"/>
              </w:rPr>
              <w:t>–</w:t>
            </w:r>
          </w:p>
        </w:tc>
        <w:tc>
          <w:tcPr>
            <w:tcW w:w="406" w:type="pct"/>
          </w:tcPr>
          <w:p w14:paraId="520135CC" w14:textId="77777777" w:rsidR="006B111A" w:rsidRPr="00F33C1D" w:rsidRDefault="006B111A" w:rsidP="001A5D4A">
            <w:pPr>
              <w:pStyle w:val="NotesTable-CellPlain"/>
            </w:pPr>
            <w:r w:rsidRPr="00F33C1D">
              <w:t>–</w:t>
            </w:r>
          </w:p>
        </w:tc>
        <w:tc>
          <w:tcPr>
            <w:tcW w:w="406" w:type="pct"/>
            <w:gridSpan w:val="3"/>
          </w:tcPr>
          <w:p w14:paraId="1379C2C1" w14:textId="77777777" w:rsidR="006B111A" w:rsidRDefault="006B111A" w:rsidP="001A5D4A">
            <w:pPr>
              <w:pStyle w:val="NotesTable-CellBold"/>
              <w:rPr>
                <w:szCs w:val="18"/>
              </w:rPr>
            </w:pPr>
            <w:r>
              <w:rPr>
                <w:szCs w:val="18"/>
              </w:rPr>
              <w:t>–</w:t>
            </w:r>
          </w:p>
        </w:tc>
        <w:tc>
          <w:tcPr>
            <w:tcW w:w="404" w:type="pct"/>
          </w:tcPr>
          <w:p w14:paraId="41313251" w14:textId="77777777" w:rsidR="006B111A" w:rsidRPr="00F33C1D" w:rsidRDefault="006B111A" w:rsidP="001A5D4A">
            <w:pPr>
              <w:pStyle w:val="NotesTable-CellPlain"/>
            </w:pPr>
            <w:r w:rsidRPr="00F33C1D">
              <w:t>–</w:t>
            </w:r>
          </w:p>
        </w:tc>
      </w:tr>
      <w:tr w:rsidR="006B111A" w14:paraId="71C27DAB" w14:textId="77777777" w:rsidTr="005F65FA">
        <w:trPr>
          <w:cantSplit/>
          <w:trHeight w:hRule="exact" w:val="227"/>
        </w:trPr>
        <w:tc>
          <w:tcPr>
            <w:tcW w:w="812" w:type="pct"/>
          </w:tcPr>
          <w:p w14:paraId="76B39F59" w14:textId="77777777" w:rsidR="006B111A" w:rsidRDefault="006B111A" w:rsidP="001A5D4A">
            <w:pPr>
              <w:pStyle w:val="Note-Refs"/>
              <w:rPr>
                <w:b/>
              </w:rPr>
            </w:pPr>
            <w:r>
              <w:t>AASB107.40c</w:t>
            </w:r>
          </w:p>
        </w:tc>
        <w:tc>
          <w:tcPr>
            <w:tcW w:w="2567" w:type="pct"/>
            <w:vAlign w:val="bottom"/>
          </w:tcPr>
          <w:p w14:paraId="63F51676" w14:textId="77777777" w:rsidR="006B111A" w:rsidRDefault="006B111A" w:rsidP="001A5D4A">
            <w:pPr>
              <w:pStyle w:val="NotesTable-ItemPlain"/>
              <w:rPr>
                <w:b/>
              </w:rPr>
            </w:pPr>
            <w:r>
              <w:t>Less: Balance acquired</w:t>
            </w:r>
          </w:p>
        </w:tc>
        <w:tc>
          <w:tcPr>
            <w:tcW w:w="406" w:type="pct"/>
            <w:gridSpan w:val="2"/>
          </w:tcPr>
          <w:p w14:paraId="4C6B93BE" w14:textId="77777777" w:rsidR="006B111A" w:rsidRDefault="006B111A" w:rsidP="001A5D4A">
            <w:pPr>
              <w:pStyle w:val="NotesTable-CellBold"/>
              <w:rPr>
                <w:szCs w:val="18"/>
              </w:rPr>
            </w:pPr>
          </w:p>
        </w:tc>
        <w:tc>
          <w:tcPr>
            <w:tcW w:w="406" w:type="pct"/>
          </w:tcPr>
          <w:p w14:paraId="560FC8EC" w14:textId="77777777" w:rsidR="006B111A" w:rsidRDefault="006B111A" w:rsidP="001A5D4A">
            <w:pPr>
              <w:pStyle w:val="NotesTable-CellPlain"/>
            </w:pPr>
          </w:p>
        </w:tc>
        <w:tc>
          <w:tcPr>
            <w:tcW w:w="406" w:type="pct"/>
            <w:gridSpan w:val="3"/>
          </w:tcPr>
          <w:p w14:paraId="369BEAF7" w14:textId="77777777" w:rsidR="006B111A" w:rsidRDefault="006B111A" w:rsidP="001A5D4A">
            <w:pPr>
              <w:pStyle w:val="NotesTable-CellBold"/>
              <w:rPr>
                <w:szCs w:val="18"/>
              </w:rPr>
            </w:pPr>
          </w:p>
        </w:tc>
        <w:tc>
          <w:tcPr>
            <w:tcW w:w="404" w:type="pct"/>
          </w:tcPr>
          <w:p w14:paraId="1691C86B" w14:textId="77777777" w:rsidR="006B111A" w:rsidRDefault="006B111A" w:rsidP="001A5D4A">
            <w:pPr>
              <w:pStyle w:val="NotesTable-CellPlain"/>
            </w:pPr>
          </w:p>
        </w:tc>
      </w:tr>
      <w:tr w:rsidR="006B111A" w14:paraId="340C2FB7" w14:textId="77777777" w:rsidTr="005F65FA">
        <w:trPr>
          <w:cantSplit/>
          <w:trHeight w:hRule="exact" w:val="227"/>
        </w:trPr>
        <w:tc>
          <w:tcPr>
            <w:tcW w:w="812" w:type="pct"/>
          </w:tcPr>
          <w:p w14:paraId="4D5C104B" w14:textId="77777777" w:rsidR="006B111A" w:rsidRDefault="006B111A" w:rsidP="001A5D4A">
            <w:pPr>
              <w:pStyle w:val="Note-Refs"/>
            </w:pPr>
          </w:p>
        </w:tc>
        <w:tc>
          <w:tcPr>
            <w:tcW w:w="2567" w:type="pct"/>
            <w:vAlign w:val="bottom"/>
          </w:tcPr>
          <w:p w14:paraId="5FE9DACC" w14:textId="77777777" w:rsidR="006B111A" w:rsidRDefault="006B111A" w:rsidP="001A5D4A">
            <w:pPr>
              <w:pStyle w:val="NotesTable-ItemPlain"/>
              <w:rPr>
                <w:b/>
              </w:rPr>
            </w:pPr>
            <w:r>
              <w:t>Cash</w:t>
            </w:r>
          </w:p>
        </w:tc>
        <w:tc>
          <w:tcPr>
            <w:tcW w:w="406" w:type="pct"/>
            <w:gridSpan w:val="2"/>
          </w:tcPr>
          <w:p w14:paraId="297B9DE0" w14:textId="77777777" w:rsidR="006B111A" w:rsidRDefault="006B111A" w:rsidP="001A5D4A">
            <w:pPr>
              <w:pStyle w:val="NotesTable-CellBold"/>
              <w:rPr>
                <w:szCs w:val="18"/>
              </w:rPr>
            </w:pPr>
            <w:r>
              <w:rPr>
                <w:szCs w:val="18"/>
              </w:rPr>
              <w:t>–</w:t>
            </w:r>
          </w:p>
        </w:tc>
        <w:tc>
          <w:tcPr>
            <w:tcW w:w="406" w:type="pct"/>
          </w:tcPr>
          <w:p w14:paraId="06646515" w14:textId="77777777" w:rsidR="006B111A" w:rsidRPr="00F33C1D" w:rsidRDefault="006B111A" w:rsidP="001A5D4A">
            <w:pPr>
              <w:pStyle w:val="NotesTable-CellPlain"/>
            </w:pPr>
            <w:r w:rsidRPr="00F33C1D">
              <w:t>–</w:t>
            </w:r>
          </w:p>
        </w:tc>
        <w:tc>
          <w:tcPr>
            <w:tcW w:w="406" w:type="pct"/>
            <w:gridSpan w:val="3"/>
          </w:tcPr>
          <w:p w14:paraId="54868DC6" w14:textId="77777777" w:rsidR="006B111A" w:rsidRDefault="006B111A" w:rsidP="001A5D4A">
            <w:pPr>
              <w:pStyle w:val="NotesTable-CellBold"/>
              <w:rPr>
                <w:szCs w:val="18"/>
              </w:rPr>
            </w:pPr>
            <w:r>
              <w:rPr>
                <w:szCs w:val="18"/>
              </w:rPr>
              <w:t>–</w:t>
            </w:r>
          </w:p>
        </w:tc>
        <w:tc>
          <w:tcPr>
            <w:tcW w:w="404" w:type="pct"/>
          </w:tcPr>
          <w:p w14:paraId="48F9D925" w14:textId="77777777" w:rsidR="006B111A" w:rsidRPr="00F33C1D" w:rsidRDefault="006B111A" w:rsidP="001A5D4A">
            <w:pPr>
              <w:pStyle w:val="NotesTable-CellPlain"/>
            </w:pPr>
            <w:r w:rsidRPr="00F33C1D">
              <w:t>–</w:t>
            </w:r>
          </w:p>
        </w:tc>
      </w:tr>
      <w:tr w:rsidR="006B111A" w14:paraId="3B721E5B" w14:textId="77777777" w:rsidTr="005F65FA">
        <w:trPr>
          <w:cantSplit/>
          <w:trHeight w:hRule="exact" w:val="227"/>
        </w:trPr>
        <w:tc>
          <w:tcPr>
            <w:tcW w:w="812" w:type="pct"/>
          </w:tcPr>
          <w:p w14:paraId="528F6010" w14:textId="77777777" w:rsidR="006B111A" w:rsidRDefault="006B111A" w:rsidP="001A5D4A">
            <w:pPr>
              <w:pStyle w:val="Note-Refs"/>
            </w:pPr>
          </w:p>
        </w:tc>
        <w:tc>
          <w:tcPr>
            <w:tcW w:w="2567" w:type="pct"/>
            <w:vAlign w:val="bottom"/>
          </w:tcPr>
          <w:p w14:paraId="616524D2" w14:textId="77777777" w:rsidR="006B111A" w:rsidRDefault="006B111A" w:rsidP="001A5D4A">
            <w:pPr>
              <w:pStyle w:val="NotesTable-ItemPlain"/>
              <w:rPr>
                <w:b/>
              </w:rPr>
            </w:pPr>
            <w:r>
              <w:t>Bank overdraft</w:t>
            </w:r>
          </w:p>
        </w:tc>
        <w:tc>
          <w:tcPr>
            <w:tcW w:w="406" w:type="pct"/>
            <w:gridSpan w:val="2"/>
          </w:tcPr>
          <w:p w14:paraId="0042726C" w14:textId="77777777" w:rsidR="006B111A" w:rsidRDefault="006B111A" w:rsidP="001A5D4A">
            <w:pPr>
              <w:pStyle w:val="NotesTable-CellBold"/>
              <w:rPr>
                <w:szCs w:val="18"/>
              </w:rPr>
            </w:pPr>
            <w:r>
              <w:rPr>
                <w:szCs w:val="18"/>
              </w:rPr>
              <w:t>–</w:t>
            </w:r>
          </w:p>
        </w:tc>
        <w:tc>
          <w:tcPr>
            <w:tcW w:w="406" w:type="pct"/>
          </w:tcPr>
          <w:p w14:paraId="102C3C74" w14:textId="77777777" w:rsidR="006B111A" w:rsidRPr="00F33C1D" w:rsidRDefault="006B111A" w:rsidP="001A5D4A">
            <w:pPr>
              <w:pStyle w:val="NotesTable-CellPlain"/>
            </w:pPr>
            <w:r w:rsidRPr="00F33C1D">
              <w:t>–</w:t>
            </w:r>
          </w:p>
        </w:tc>
        <w:tc>
          <w:tcPr>
            <w:tcW w:w="406" w:type="pct"/>
            <w:gridSpan w:val="3"/>
          </w:tcPr>
          <w:p w14:paraId="0C17EFDC" w14:textId="77777777" w:rsidR="006B111A" w:rsidRDefault="006B111A" w:rsidP="001A5D4A">
            <w:pPr>
              <w:pStyle w:val="NotesTable-CellBold"/>
              <w:rPr>
                <w:szCs w:val="18"/>
              </w:rPr>
            </w:pPr>
            <w:r>
              <w:rPr>
                <w:szCs w:val="18"/>
              </w:rPr>
              <w:t>–</w:t>
            </w:r>
          </w:p>
        </w:tc>
        <w:tc>
          <w:tcPr>
            <w:tcW w:w="404" w:type="pct"/>
          </w:tcPr>
          <w:p w14:paraId="0D5971DF" w14:textId="77777777" w:rsidR="006B111A" w:rsidRPr="00F33C1D" w:rsidRDefault="006B111A" w:rsidP="001A5D4A">
            <w:pPr>
              <w:pStyle w:val="NotesTable-CellPlain"/>
            </w:pPr>
            <w:r w:rsidRPr="00F33C1D">
              <w:t>–</w:t>
            </w:r>
          </w:p>
        </w:tc>
      </w:tr>
      <w:tr w:rsidR="006B111A" w14:paraId="036B8D7A" w14:textId="77777777" w:rsidTr="005F65FA">
        <w:trPr>
          <w:cantSplit/>
          <w:trHeight w:hRule="exact" w:val="227"/>
        </w:trPr>
        <w:tc>
          <w:tcPr>
            <w:tcW w:w="812" w:type="pct"/>
          </w:tcPr>
          <w:p w14:paraId="24036AC0" w14:textId="77777777" w:rsidR="006B111A" w:rsidRDefault="006B111A" w:rsidP="001A5D4A">
            <w:pPr>
              <w:pStyle w:val="Note-Refs"/>
            </w:pPr>
          </w:p>
        </w:tc>
        <w:tc>
          <w:tcPr>
            <w:tcW w:w="4188" w:type="pct"/>
            <w:gridSpan w:val="8"/>
            <w:vAlign w:val="bottom"/>
          </w:tcPr>
          <w:p w14:paraId="3222FDB3" w14:textId="77777777" w:rsidR="006B111A" w:rsidRPr="00F33C1D" w:rsidRDefault="006B111A" w:rsidP="001A5D4A">
            <w:pPr>
              <w:pStyle w:val="NotesTable-ItemPlain"/>
            </w:pPr>
          </w:p>
        </w:tc>
      </w:tr>
      <w:tr w:rsidR="006B111A" w14:paraId="696DBD1E" w14:textId="77777777" w:rsidTr="005F65FA">
        <w:trPr>
          <w:cantSplit/>
          <w:trHeight w:hRule="exact" w:val="227"/>
        </w:trPr>
        <w:tc>
          <w:tcPr>
            <w:tcW w:w="812" w:type="pct"/>
          </w:tcPr>
          <w:p w14:paraId="501F45CE" w14:textId="77777777" w:rsidR="006B111A" w:rsidRDefault="006B111A" w:rsidP="001A5D4A">
            <w:pPr>
              <w:pStyle w:val="Note-Refs"/>
            </w:pPr>
          </w:p>
        </w:tc>
        <w:tc>
          <w:tcPr>
            <w:tcW w:w="2567" w:type="pct"/>
            <w:vAlign w:val="bottom"/>
          </w:tcPr>
          <w:p w14:paraId="5AC5CA6C" w14:textId="77777777" w:rsidR="006B111A" w:rsidRDefault="006B111A" w:rsidP="001A5D4A">
            <w:pPr>
              <w:pStyle w:val="NotesTable-ItemPlain"/>
              <w:rPr>
                <w:b/>
              </w:rPr>
            </w:pPr>
            <w:r>
              <w:t>Outflow of cash</w:t>
            </w:r>
          </w:p>
        </w:tc>
        <w:tc>
          <w:tcPr>
            <w:tcW w:w="406" w:type="pct"/>
            <w:gridSpan w:val="2"/>
            <w:tcBorders>
              <w:top w:val="single" w:sz="4" w:space="0" w:color="auto"/>
            </w:tcBorders>
          </w:tcPr>
          <w:p w14:paraId="70F38239" w14:textId="77777777" w:rsidR="006B111A" w:rsidRDefault="006B111A" w:rsidP="001A5D4A">
            <w:pPr>
              <w:pStyle w:val="NotesTable-CellBold"/>
              <w:rPr>
                <w:szCs w:val="18"/>
              </w:rPr>
            </w:pPr>
            <w:r>
              <w:rPr>
                <w:szCs w:val="18"/>
              </w:rPr>
              <w:t>–</w:t>
            </w:r>
          </w:p>
        </w:tc>
        <w:tc>
          <w:tcPr>
            <w:tcW w:w="406" w:type="pct"/>
            <w:tcBorders>
              <w:top w:val="single" w:sz="4" w:space="0" w:color="auto"/>
            </w:tcBorders>
          </w:tcPr>
          <w:p w14:paraId="48D7C19D" w14:textId="77777777" w:rsidR="006B111A" w:rsidRPr="00F33C1D" w:rsidRDefault="006B111A" w:rsidP="001A5D4A">
            <w:pPr>
              <w:pStyle w:val="NotesTable-CellPlain"/>
            </w:pPr>
            <w:r w:rsidRPr="00F33C1D">
              <w:t>–</w:t>
            </w:r>
          </w:p>
        </w:tc>
        <w:tc>
          <w:tcPr>
            <w:tcW w:w="406" w:type="pct"/>
            <w:gridSpan w:val="3"/>
            <w:tcBorders>
              <w:top w:val="single" w:sz="4" w:space="0" w:color="auto"/>
            </w:tcBorders>
          </w:tcPr>
          <w:p w14:paraId="182B7616" w14:textId="77777777" w:rsidR="006B111A" w:rsidRDefault="006B111A" w:rsidP="001A5D4A">
            <w:pPr>
              <w:pStyle w:val="NotesTable-CellBold"/>
              <w:rPr>
                <w:szCs w:val="18"/>
              </w:rPr>
            </w:pPr>
            <w:r>
              <w:rPr>
                <w:szCs w:val="18"/>
              </w:rPr>
              <w:t>–</w:t>
            </w:r>
          </w:p>
        </w:tc>
        <w:tc>
          <w:tcPr>
            <w:tcW w:w="404" w:type="pct"/>
            <w:tcBorders>
              <w:top w:val="single" w:sz="4" w:space="0" w:color="auto"/>
            </w:tcBorders>
          </w:tcPr>
          <w:p w14:paraId="565DD97F" w14:textId="77777777" w:rsidR="006B111A" w:rsidRPr="00F33C1D" w:rsidRDefault="006B111A" w:rsidP="001A5D4A">
            <w:pPr>
              <w:pStyle w:val="NotesTable-CellPlain"/>
            </w:pPr>
            <w:r w:rsidRPr="00F33C1D">
              <w:t>–</w:t>
            </w:r>
          </w:p>
        </w:tc>
      </w:tr>
      <w:tr w:rsidR="00023312" w14:paraId="038A3A6F" w14:textId="77777777" w:rsidTr="00463ABD">
        <w:trPr>
          <w:cantSplit/>
          <w:trHeight w:hRule="exact" w:val="227"/>
        </w:trPr>
        <w:tc>
          <w:tcPr>
            <w:tcW w:w="811" w:type="pct"/>
          </w:tcPr>
          <w:p w14:paraId="038A3A6D" w14:textId="77777777" w:rsidR="00023312" w:rsidRDefault="00023312" w:rsidP="001A5D4A">
            <w:pPr>
              <w:pStyle w:val="Note-Refs"/>
            </w:pPr>
          </w:p>
        </w:tc>
        <w:tc>
          <w:tcPr>
            <w:tcW w:w="4189" w:type="pct"/>
            <w:gridSpan w:val="8"/>
          </w:tcPr>
          <w:p w14:paraId="038A3A6E" w14:textId="77777777" w:rsidR="00023312" w:rsidRDefault="00023312" w:rsidP="001A5D4A">
            <w:pPr>
              <w:pStyle w:val="NotesTable-ItemPlain"/>
            </w:pPr>
          </w:p>
        </w:tc>
      </w:tr>
      <w:tr w:rsidR="00023312" w14:paraId="038A3A72" w14:textId="77777777" w:rsidTr="00463ABD">
        <w:trPr>
          <w:cantSplit/>
          <w:trHeight w:hRule="exact" w:val="227"/>
        </w:trPr>
        <w:tc>
          <w:tcPr>
            <w:tcW w:w="811" w:type="pct"/>
          </w:tcPr>
          <w:p w14:paraId="038A3A70" w14:textId="77777777" w:rsidR="00023312" w:rsidRDefault="00160B27" w:rsidP="001A5D4A">
            <w:pPr>
              <w:pStyle w:val="Note-Refs"/>
              <w:rPr>
                <w:b/>
              </w:rPr>
            </w:pPr>
            <w:r>
              <w:t>AASB3.B64i</w:t>
            </w:r>
          </w:p>
        </w:tc>
        <w:tc>
          <w:tcPr>
            <w:tcW w:w="4189" w:type="pct"/>
            <w:gridSpan w:val="8"/>
          </w:tcPr>
          <w:p w14:paraId="038A3A71" w14:textId="77777777" w:rsidR="00023312" w:rsidRDefault="00023312" w:rsidP="001A5D4A">
            <w:pPr>
              <w:pStyle w:val="Note-TextHeader"/>
              <w:rPr>
                <w:b w:val="0"/>
                <w:lang w:val="en-GB"/>
              </w:rPr>
            </w:pPr>
            <w:r>
              <w:t xml:space="preserve">(c) Assets </w:t>
            </w:r>
            <w:r w:rsidR="00160B27">
              <w:t xml:space="preserve">acquired </w:t>
            </w:r>
            <w:r>
              <w:t xml:space="preserve">and liabilities </w:t>
            </w:r>
            <w:r w:rsidR="00160B27">
              <w:t>assumed</w:t>
            </w:r>
          </w:p>
        </w:tc>
      </w:tr>
      <w:tr w:rsidR="00023312" w14:paraId="038A3A75" w14:textId="77777777" w:rsidTr="00463ABD">
        <w:trPr>
          <w:cantSplit/>
          <w:trHeight w:hRule="exact" w:val="227"/>
        </w:trPr>
        <w:tc>
          <w:tcPr>
            <w:tcW w:w="811" w:type="pct"/>
          </w:tcPr>
          <w:p w14:paraId="038A3A73" w14:textId="77777777" w:rsidR="00023312" w:rsidRDefault="00023312" w:rsidP="001A5D4A">
            <w:pPr>
              <w:pStyle w:val="Note-Refs"/>
              <w:rPr>
                <w:b/>
              </w:rPr>
            </w:pPr>
            <w:r>
              <w:t>AASB107</w:t>
            </w:r>
            <w:r w:rsidR="00671C14">
              <w:t>.</w:t>
            </w:r>
            <w:r>
              <w:t>40d</w:t>
            </w:r>
          </w:p>
        </w:tc>
        <w:tc>
          <w:tcPr>
            <w:tcW w:w="4189" w:type="pct"/>
            <w:gridSpan w:val="8"/>
          </w:tcPr>
          <w:p w14:paraId="038A3A74" w14:textId="77777777" w:rsidR="00023312" w:rsidRDefault="00023312" w:rsidP="001A5D4A">
            <w:pPr>
              <w:pStyle w:val="NotesTable-ItemPlain"/>
              <w:rPr>
                <w:b/>
              </w:rPr>
            </w:pPr>
            <w:r>
              <w:t>The assets and liabilities arising from the acquisition are as follows:</w:t>
            </w:r>
          </w:p>
        </w:tc>
      </w:tr>
      <w:tr w:rsidR="00023312" w14:paraId="038A3A7A" w14:textId="77777777" w:rsidTr="00463ABD">
        <w:trPr>
          <w:cantSplit/>
          <w:trHeight w:hRule="exact" w:val="227"/>
        </w:trPr>
        <w:tc>
          <w:tcPr>
            <w:tcW w:w="811" w:type="pct"/>
          </w:tcPr>
          <w:p w14:paraId="038A3A76" w14:textId="77777777" w:rsidR="00023312" w:rsidRDefault="00023312" w:rsidP="001A5D4A">
            <w:pPr>
              <w:pStyle w:val="Note-Refs"/>
            </w:pPr>
          </w:p>
        </w:tc>
        <w:tc>
          <w:tcPr>
            <w:tcW w:w="2837" w:type="pct"/>
            <w:gridSpan w:val="2"/>
          </w:tcPr>
          <w:p w14:paraId="038A3A77" w14:textId="77777777" w:rsidR="00023312" w:rsidRPr="00E564FF" w:rsidRDefault="00023312" w:rsidP="001A5D4A">
            <w:pPr>
              <w:pStyle w:val="NotesTable-ItemPlain"/>
            </w:pPr>
          </w:p>
        </w:tc>
        <w:tc>
          <w:tcPr>
            <w:tcW w:w="676" w:type="pct"/>
            <w:gridSpan w:val="3"/>
          </w:tcPr>
          <w:p w14:paraId="038A3A78" w14:textId="77777777" w:rsidR="00023312" w:rsidRDefault="00023312" w:rsidP="001A5D4A">
            <w:pPr>
              <w:pStyle w:val="NotesTable-CellPlain"/>
            </w:pPr>
            <w:r>
              <w:t>Acquiree’s carrying amount</w:t>
            </w:r>
          </w:p>
        </w:tc>
        <w:tc>
          <w:tcPr>
            <w:tcW w:w="676" w:type="pct"/>
            <w:gridSpan w:val="3"/>
          </w:tcPr>
          <w:p w14:paraId="038A3A79" w14:textId="77777777" w:rsidR="00023312" w:rsidRDefault="00023312" w:rsidP="001A5D4A">
            <w:pPr>
              <w:pStyle w:val="NotesTable-CellPlain"/>
            </w:pPr>
            <w:r>
              <w:t>Fair value</w:t>
            </w:r>
          </w:p>
        </w:tc>
      </w:tr>
      <w:tr w:rsidR="00023312" w14:paraId="038A3A7F" w14:textId="77777777" w:rsidTr="00463ABD">
        <w:trPr>
          <w:cantSplit/>
          <w:trHeight w:hRule="exact" w:val="227"/>
        </w:trPr>
        <w:tc>
          <w:tcPr>
            <w:tcW w:w="811" w:type="pct"/>
          </w:tcPr>
          <w:p w14:paraId="038A3A7B" w14:textId="77777777" w:rsidR="00023312" w:rsidRDefault="00023312" w:rsidP="001A5D4A">
            <w:pPr>
              <w:pStyle w:val="Note-Refs"/>
            </w:pPr>
          </w:p>
        </w:tc>
        <w:tc>
          <w:tcPr>
            <w:tcW w:w="2837" w:type="pct"/>
            <w:gridSpan w:val="2"/>
          </w:tcPr>
          <w:p w14:paraId="038A3A7C" w14:textId="77777777" w:rsidR="00023312" w:rsidRPr="00E564FF" w:rsidRDefault="00023312" w:rsidP="001A5D4A">
            <w:pPr>
              <w:pStyle w:val="NotesTable-ItemPlain"/>
            </w:pPr>
          </w:p>
        </w:tc>
        <w:tc>
          <w:tcPr>
            <w:tcW w:w="676" w:type="pct"/>
            <w:gridSpan w:val="3"/>
          </w:tcPr>
          <w:p w14:paraId="038A3A7D" w14:textId="77777777" w:rsidR="00023312" w:rsidRDefault="00023312" w:rsidP="001A5D4A">
            <w:pPr>
              <w:pStyle w:val="NotesTable-CellPlain"/>
            </w:pPr>
            <w:r>
              <w:t>$’000</w:t>
            </w:r>
          </w:p>
        </w:tc>
        <w:tc>
          <w:tcPr>
            <w:tcW w:w="676" w:type="pct"/>
            <w:gridSpan w:val="3"/>
          </w:tcPr>
          <w:p w14:paraId="038A3A7E" w14:textId="77777777" w:rsidR="00023312" w:rsidRDefault="00023312" w:rsidP="001A5D4A">
            <w:pPr>
              <w:pStyle w:val="NotesTable-CellPlain"/>
            </w:pPr>
            <w:r>
              <w:t>$’000</w:t>
            </w:r>
          </w:p>
        </w:tc>
      </w:tr>
      <w:tr w:rsidR="00780E8A" w14:paraId="038A3A84" w14:textId="77777777" w:rsidTr="00463ABD">
        <w:trPr>
          <w:cantSplit/>
          <w:trHeight w:hRule="exact" w:val="227"/>
        </w:trPr>
        <w:tc>
          <w:tcPr>
            <w:tcW w:w="811" w:type="pct"/>
          </w:tcPr>
          <w:p w14:paraId="038A3A80" w14:textId="77777777" w:rsidR="00023312" w:rsidRDefault="00023312" w:rsidP="001A5D4A">
            <w:pPr>
              <w:pStyle w:val="Note-Refs"/>
            </w:pPr>
          </w:p>
        </w:tc>
        <w:tc>
          <w:tcPr>
            <w:tcW w:w="2837" w:type="pct"/>
            <w:gridSpan w:val="2"/>
          </w:tcPr>
          <w:p w14:paraId="038A3A81" w14:textId="77777777" w:rsidR="00023312" w:rsidRPr="00AC7AB9" w:rsidRDefault="00023312" w:rsidP="001A5D4A">
            <w:pPr>
              <w:pStyle w:val="NotesTable-ItemPlain"/>
            </w:pPr>
            <w:r w:rsidRPr="00E564FF">
              <w:t>[List as applicable]</w:t>
            </w:r>
          </w:p>
        </w:tc>
        <w:tc>
          <w:tcPr>
            <w:tcW w:w="676" w:type="pct"/>
            <w:gridSpan w:val="3"/>
            <w:tcBorders>
              <w:bottom w:val="single" w:sz="4" w:space="0" w:color="auto"/>
            </w:tcBorders>
            <w:vAlign w:val="center"/>
          </w:tcPr>
          <w:p w14:paraId="038A3A82" w14:textId="77777777" w:rsidR="00023312" w:rsidRDefault="00023312" w:rsidP="001A5D4A">
            <w:pPr>
              <w:pStyle w:val="NotesTable-CellPlain"/>
            </w:pPr>
            <w:r>
              <w:t>–</w:t>
            </w:r>
          </w:p>
        </w:tc>
        <w:tc>
          <w:tcPr>
            <w:tcW w:w="676" w:type="pct"/>
            <w:gridSpan w:val="3"/>
            <w:tcBorders>
              <w:bottom w:val="single" w:sz="4" w:space="0" w:color="auto"/>
            </w:tcBorders>
          </w:tcPr>
          <w:p w14:paraId="038A3A83" w14:textId="77777777" w:rsidR="00023312" w:rsidRDefault="00023312" w:rsidP="001A5D4A">
            <w:pPr>
              <w:pStyle w:val="NotesTable-CellPlain"/>
            </w:pPr>
            <w:r>
              <w:t>–</w:t>
            </w:r>
          </w:p>
        </w:tc>
      </w:tr>
      <w:tr w:rsidR="00780E8A" w14:paraId="038A3A89" w14:textId="77777777" w:rsidTr="00463ABD">
        <w:trPr>
          <w:cantSplit/>
          <w:trHeight w:hRule="exact" w:val="227"/>
        </w:trPr>
        <w:tc>
          <w:tcPr>
            <w:tcW w:w="811" w:type="pct"/>
          </w:tcPr>
          <w:p w14:paraId="038A3A85" w14:textId="77777777" w:rsidR="00023312" w:rsidRDefault="00023312" w:rsidP="001A5D4A">
            <w:pPr>
              <w:pStyle w:val="Note-Refs"/>
            </w:pPr>
          </w:p>
        </w:tc>
        <w:tc>
          <w:tcPr>
            <w:tcW w:w="2837" w:type="pct"/>
            <w:gridSpan w:val="2"/>
          </w:tcPr>
          <w:p w14:paraId="038A3A86" w14:textId="77777777" w:rsidR="00023312" w:rsidRPr="00AC7AB9" w:rsidRDefault="00023312" w:rsidP="001A5D4A">
            <w:pPr>
              <w:pStyle w:val="NotesTable-ItemPlain"/>
            </w:pPr>
            <w:r w:rsidRPr="00E564FF">
              <w:t>Net assets</w:t>
            </w:r>
          </w:p>
        </w:tc>
        <w:tc>
          <w:tcPr>
            <w:tcW w:w="676" w:type="pct"/>
            <w:gridSpan w:val="3"/>
            <w:tcBorders>
              <w:top w:val="single" w:sz="4" w:space="0" w:color="auto"/>
            </w:tcBorders>
            <w:vAlign w:val="center"/>
          </w:tcPr>
          <w:p w14:paraId="038A3A87" w14:textId="77777777" w:rsidR="00023312" w:rsidRDefault="00023312" w:rsidP="001A5D4A">
            <w:pPr>
              <w:pStyle w:val="NotesTable-CellPlain"/>
            </w:pPr>
            <w:r>
              <w:t>–</w:t>
            </w:r>
          </w:p>
        </w:tc>
        <w:tc>
          <w:tcPr>
            <w:tcW w:w="676" w:type="pct"/>
            <w:gridSpan w:val="3"/>
            <w:tcBorders>
              <w:top w:val="single" w:sz="4" w:space="0" w:color="auto"/>
            </w:tcBorders>
          </w:tcPr>
          <w:p w14:paraId="038A3A88" w14:textId="77777777" w:rsidR="00023312" w:rsidRDefault="00023312" w:rsidP="001A5D4A">
            <w:pPr>
              <w:pStyle w:val="NotesTable-CellPlain"/>
            </w:pPr>
            <w:r>
              <w:t>–</w:t>
            </w:r>
          </w:p>
        </w:tc>
      </w:tr>
      <w:tr w:rsidR="00780E8A" w14:paraId="038A3A8E" w14:textId="77777777" w:rsidTr="00463ABD">
        <w:trPr>
          <w:cantSplit/>
          <w:trHeight w:hRule="exact" w:val="227"/>
        </w:trPr>
        <w:tc>
          <w:tcPr>
            <w:tcW w:w="811" w:type="pct"/>
          </w:tcPr>
          <w:p w14:paraId="038A3A8A" w14:textId="77777777" w:rsidR="00023312" w:rsidRDefault="00023312" w:rsidP="001A5D4A">
            <w:pPr>
              <w:pStyle w:val="Note-Refs"/>
            </w:pPr>
          </w:p>
        </w:tc>
        <w:tc>
          <w:tcPr>
            <w:tcW w:w="2837" w:type="pct"/>
            <w:gridSpan w:val="2"/>
          </w:tcPr>
          <w:p w14:paraId="038A3A8B" w14:textId="77777777" w:rsidR="00023312" w:rsidRPr="00E564FF" w:rsidRDefault="00023312" w:rsidP="001A5D4A">
            <w:pPr>
              <w:pStyle w:val="NotesTable-ItemPlain"/>
            </w:pPr>
          </w:p>
        </w:tc>
        <w:tc>
          <w:tcPr>
            <w:tcW w:w="676" w:type="pct"/>
            <w:gridSpan w:val="3"/>
            <w:vAlign w:val="center"/>
          </w:tcPr>
          <w:p w14:paraId="038A3A8C" w14:textId="77777777" w:rsidR="00023312" w:rsidRDefault="00023312" w:rsidP="001A5D4A">
            <w:pPr>
              <w:pStyle w:val="NotesTable-CellPlain"/>
            </w:pPr>
          </w:p>
        </w:tc>
        <w:tc>
          <w:tcPr>
            <w:tcW w:w="676" w:type="pct"/>
            <w:gridSpan w:val="3"/>
          </w:tcPr>
          <w:p w14:paraId="038A3A8D" w14:textId="77777777" w:rsidR="00023312" w:rsidRDefault="00023312" w:rsidP="001A5D4A">
            <w:pPr>
              <w:pStyle w:val="NotesTable-CellPlain"/>
            </w:pPr>
          </w:p>
        </w:tc>
      </w:tr>
      <w:tr w:rsidR="00023312" w14:paraId="038A3A93" w14:textId="77777777" w:rsidTr="00463ABD">
        <w:trPr>
          <w:cantSplit/>
          <w:trHeight w:hRule="exact" w:val="227"/>
        </w:trPr>
        <w:tc>
          <w:tcPr>
            <w:tcW w:w="811" w:type="pct"/>
          </w:tcPr>
          <w:p w14:paraId="038A3A8F" w14:textId="77777777" w:rsidR="00023312" w:rsidRDefault="00023312" w:rsidP="001A5D4A">
            <w:pPr>
              <w:pStyle w:val="Note-Refs"/>
            </w:pPr>
          </w:p>
        </w:tc>
        <w:tc>
          <w:tcPr>
            <w:tcW w:w="2837" w:type="pct"/>
            <w:gridSpan w:val="2"/>
          </w:tcPr>
          <w:p w14:paraId="038A3A90" w14:textId="77777777" w:rsidR="00023312" w:rsidRPr="00AC7AB9" w:rsidRDefault="00FB4D28" w:rsidP="001A5D4A">
            <w:pPr>
              <w:pStyle w:val="NotesTable-ItemPlain"/>
            </w:pPr>
            <w:r w:rsidRPr="00E564FF">
              <w:t xml:space="preserve">Non-controlling </w:t>
            </w:r>
            <w:r w:rsidR="00023312" w:rsidRPr="00E564FF">
              <w:t>interests</w:t>
            </w:r>
          </w:p>
        </w:tc>
        <w:tc>
          <w:tcPr>
            <w:tcW w:w="676" w:type="pct"/>
            <w:gridSpan w:val="3"/>
            <w:vAlign w:val="center"/>
          </w:tcPr>
          <w:p w14:paraId="038A3A91" w14:textId="77777777" w:rsidR="00023312" w:rsidRDefault="00023312" w:rsidP="001A5D4A">
            <w:pPr>
              <w:pStyle w:val="NotesTable-CellPlain"/>
            </w:pPr>
            <w:r>
              <w:t>–</w:t>
            </w:r>
          </w:p>
        </w:tc>
        <w:tc>
          <w:tcPr>
            <w:tcW w:w="676" w:type="pct"/>
            <w:gridSpan w:val="3"/>
          </w:tcPr>
          <w:p w14:paraId="038A3A92" w14:textId="77777777" w:rsidR="00023312" w:rsidRDefault="00023312" w:rsidP="001A5D4A">
            <w:pPr>
              <w:pStyle w:val="NotesTable-CellPlain"/>
            </w:pPr>
            <w:r>
              <w:t>–</w:t>
            </w:r>
          </w:p>
        </w:tc>
      </w:tr>
      <w:tr w:rsidR="00023312" w14:paraId="038A3A98" w14:textId="77777777" w:rsidTr="00463ABD">
        <w:trPr>
          <w:cantSplit/>
          <w:trHeight w:hRule="exact" w:val="227"/>
        </w:trPr>
        <w:tc>
          <w:tcPr>
            <w:tcW w:w="811" w:type="pct"/>
          </w:tcPr>
          <w:p w14:paraId="038A3A94" w14:textId="77777777" w:rsidR="00023312" w:rsidRDefault="00023312" w:rsidP="001A5D4A">
            <w:pPr>
              <w:pStyle w:val="Note-Refs"/>
            </w:pPr>
          </w:p>
        </w:tc>
        <w:tc>
          <w:tcPr>
            <w:tcW w:w="2837" w:type="pct"/>
            <w:gridSpan w:val="2"/>
          </w:tcPr>
          <w:p w14:paraId="038A3A95" w14:textId="77777777" w:rsidR="00023312" w:rsidRPr="00AC7AB9" w:rsidRDefault="00023312" w:rsidP="001A5D4A">
            <w:pPr>
              <w:pStyle w:val="NotesTable-ItemPlain"/>
            </w:pPr>
            <w:r w:rsidRPr="00E564FF">
              <w:t xml:space="preserve">Net identifiable assets acquired </w:t>
            </w:r>
          </w:p>
        </w:tc>
        <w:tc>
          <w:tcPr>
            <w:tcW w:w="676" w:type="pct"/>
            <w:gridSpan w:val="3"/>
            <w:vAlign w:val="center"/>
          </w:tcPr>
          <w:p w14:paraId="038A3A96" w14:textId="77777777" w:rsidR="00023312" w:rsidRDefault="00023312" w:rsidP="001A5D4A">
            <w:pPr>
              <w:pStyle w:val="NotesTable-CellPlain"/>
            </w:pPr>
            <w:r>
              <w:t>–</w:t>
            </w:r>
          </w:p>
        </w:tc>
        <w:tc>
          <w:tcPr>
            <w:tcW w:w="676" w:type="pct"/>
            <w:gridSpan w:val="3"/>
          </w:tcPr>
          <w:p w14:paraId="038A3A97" w14:textId="77777777" w:rsidR="00023312" w:rsidRDefault="00023312" w:rsidP="001A5D4A">
            <w:pPr>
              <w:pStyle w:val="NotesTable-CellPlain"/>
            </w:pPr>
            <w:r>
              <w:t>–</w:t>
            </w:r>
          </w:p>
        </w:tc>
      </w:tr>
      <w:tr w:rsidR="006B111A" w14:paraId="7DC755AE" w14:textId="77777777" w:rsidTr="00463ABD">
        <w:trPr>
          <w:cantSplit/>
          <w:trHeight w:hRule="exact" w:val="227"/>
        </w:trPr>
        <w:tc>
          <w:tcPr>
            <w:tcW w:w="811" w:type="pct"/>
          </w:tcPr>
          <w:p w14:paraId="23BCC256" w14:textId="77777777" w:rsidR="006B111A" w:rsidRDefault="006B111A" w:rsidP="001A5D4A">
            <w:pPr>
              <w:pStyle w:val="Note-Refs"/>
            </w:pPr>
          </w:p>
        </w:tc>
        <w:tc>
          <w:tcPr>
            <w:tcW w:w="2837" w:type="pct"/>
            <w:gridSpan w:val="2"/>
          </w:tcPr>
          <w:p w14:paraId="1B78131E" w14:textId="77777777" w:rsidR="006B111A" w:rsidRPr="00E564FF" w:rsidRDefault="006B111A" w:rsidP="001A5D4A">
            <w:pPr>
              <w:pStyle w:val="NotesTable-ItemPlain"/>
            </w:pPr>
          </w:p>
        </w:tc>
        <w:tc>
          <w:tcPr>
            <w:tcW w:w="676" w:type="pct"/>
            <w:gridSpan w:val="3"/>
            <w:vAlign w:val="center"/>
          </w:tcPr>
          <w:p w14:paraId="68823060" w14:textId="77777777" w:rsidR="006B111A" w:rsidRDefault="006B111A" w:rsidP="001A5D4A">
            <w:pPr>
              <w:pStyle w:val="NotesTable-CellPlain"/>
            </w:pPr>
          </w:p>
        </w:tc>
        <w:tc>
          <w:tcPr>
            <w:tcW w:w="676" w:type="pct"/>
            <w:gridSpan w:val="3"/>
          </w:tcPr>
          <w:p w14:paraId="6586C1D8" w14:textId="77777777" w:rsidR="006B111A" w:rsidRDefault="006B111A" w:rsidP="001A5D4A">
            <w:pPr>
              <w:pStyle w:val="NotesTable-CellPlain"/>
            </w:pPr>
          </w:p>
        </w:tc>
      </w:tr>
      <w:tr w:rsidR="006B111A" w14:paraId="6738AEDC" w14:textId="77777777" w:rsidTr="00463ABD">
        <w:trPr>
          <w:cantSplit/>
          <w:trHeight w:hRule="exact" w:val="227"/>
        </w:trPr>
        <w:tc>
          <w:tcPr>
            <w:tcW w:w="811" w:type="pct"/>
          </w:tcPr>
          <w:p w14:paraId="7440A1FA" w14:textId="77777777" w:rsidR="006B111A" w:rsidRDefault="006B111A" w:rsidP="001A5D4A">
            <w:pPr>
              <w:pStyle w:val="Note-Refs"/>
            </w:pPr>
          </w:p>
        </w:tc>
        <w:tc>
          <w:tcPr>
            <w:tcW w:w="2837" w:type="pct"/>
            <w:gridSpan w:val="2"/>
          </w:tcPr>
          <w:p w14:paraId="6E92D872" w14:textId="049913E7" w:rsidR="006B111A" w:rsidRPr="00E564FF" w:rsidRDefault="006B111A" w:rsidP="001A5D4A">
            <w:pPr>
              <w:pStyle w:val="Note-TextHeader"/>
            </w:pPr>
            <w:r>
              <w:t>(d) Goodwill arising on acquisition</w:t>
            </w:r>
          </w:p>
        </w:tc>
        <w:tc>
          <w:tcPr>
            <w:tcW w:w="676" w:type="pct"/>
            <w:gridSpan w:val="3"/>
            <w:vAlign w:val="center"/>
          </w:tcPr>
          <w:p w14:paraId="12868B85" w14:textId="77777777" w:rsidR="006B111A" w:rsidRDefault="006B111A" w:rsidP="001A5D4A">
            <w:pPr>
              <w:pStyle w:val="NotesTable-CellPlain"/>
            </w:pPr>
          </w:p>
        </w:tc>
        <w:tc>
          <w:tcPr>
            <w:tcW w:w="676" w:type="pct"/>
            <w:gridSpan w:val="3"/>
          </w:tcPr>
          <w:p w14:paraId="4EA33BC4" w14:textId="77777777" w:rsidR="006B111A" w:rsidRDefault="006B111A" w:rsidP="001A5D4A">
            <w:pPr>
              <w:pStyle w:val="NotesTable-CellPlain"/>
            </w:pPr>
          </w:p>
        </w:tc>
      </w:tr>
      <w:tr w:rsidR="00B8133E" w14:paraId="038A3A9D" w14:textId="77777777" w:rsidTr="00463ABD">
        <w:trPr>
          <w:cantSplit/>
          <w:trHeight w:hRule="exact" w:val="227"/>
        </w:trPr>
        <w:tc>
          <w:tcPr>
            <w:tcW w:w="811" w:type="pct"/>
          </w:tcPr>
          <w:p w14:paraId="038A3A99" w14:textId="77777777" w:rsidR="00B8133E" w:rsidRDefault="00B8133E" w:rsidP="001A5D4A">
            <w:pPr>
              <w:pStyle w:val="Note-Refs"/>
            </w:pPr>
          </w:p>
        </w:tc>
        <w:tc>
          <w:tcPr>
            <w:tcW w:w="2837" w:type="pct"/>
            <w:gridSpan w:val="2"/>
          </w:tcPr>
          <w:p w14:paraId="038A3A9A" w14:textId="77777777" w:rsidR="00B8133E" w:rsidRPr="00AC7AB9" w:rsidRDefault="00B8133E" w:rsidP="001A5D4A">
            <w:pPr>
              <w:pStyle w:val="NotesTable-ItemPlain"/>
            </w:pPr>
            <w:r w:rsidRPr="00E564FF">
              <w:t>Goodwill arising on acquisition</w:t>
            </w:r>
          </w:p>
        </w:tc>
        <w:tc>
          <w:tcPr>
            <w:tcW w:w="676" w:type="pct"/>
            <w:gridSpan w:val="3"/>
            <w:vAlign w:val="center"/>
          </w:tcPr>
          <w:p w14:paraId="038A3A9B" w14:textId="77777777" w:rsidR="00B8133E" w:rsidRDefault="00B8133E" w:rsidP="001A5D4A">
            <w:pPr>
              <w:pStyle w:val="NotesTable-CellPlain"/>
            </w:pPr>
            <w:r>
              <w:t>–</w:t>
            </w:r>
          </w:p>
        </w:tc>
        <w:tc>
          <w:tcPr>
            <w:tcW w:w="676" w:type="pct"/>
            <w:gridSpan w:val="3"/>
          </w:tcPr>
          <w:p w14:paraId="038A3A9C" w14:textId="77777777" w:rsidR="00B8133E" w:rsidRDefault="00B8133E" w:rsidP="001A5D4A">
            <w:pPr>
              <w:pStyle w:val="NotesTable-CellPlain"/>
            </w:pPr>
            <w:r>
              <w:t>–</w:t>
            </w:r>
          </w:p>
        </w:tc>
      </w:tr>
    </w:tbl>
    <w:p w14:paraId="70F3B547" w14:textId="2F3EF668" w:rsidR="00042B81" w:rsidRPr="00042B81" w:rsidRDefault="00042B81" w:rsidP="001A5D4A">
      <w:pPr>
        <w:pStyle w:val="Heading3"/>
        <w:rPr>
          <w:color w:val="2D3E7B" w:themeColor="text2" w:themeShade="BF"/>
        </w:rPr>
      </w:pPr>
      <w:bookmarkStart w:id="397" w:name="_Toc410807671"/>
      <w:bookmarkStart w:id="398" w:name="_Toc410822732"/>
      <w:r w:rsidRPr="00042B81">
        <w:rPr>
          <w:color w:val="2D3E7B" w:themeColor="text2" w:themeShade="BF"/>
        </w:rPr>
        <w:t>Commentary - Business combinations</w:t>
      </w:r>
      <w:bookmarkEnd w:id="397"/>
      <w:bookmarkEnd w:id="398"/>
    </w:p>
    <w:p w14:paraId="030B456D" w14:textId="77777777" w:rsidR="00042B81" w:rsidRPr="005F65FA" w:rsidRDefault="00042B81"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General requirement</w:t>
      </w:r>
    </w:p>
    <w:p w14:paraId="62730E62" w14:textId="77777777" w:rsidR="00042B81" w:rsidRPr="00042B81" w:rsidRDefault="00042B81" w:rsidP="00655761">
      <w:pPr>
        <w:pStyle w:val="Heading6"/>
      </w:pPr>
      <w:r w:rsidRPr="00042B81">
        <w:t>AASB3.59a</w:t>
      </w:r>
      <w:proofErr w:type="gramStart"/>
      <w:r w:rsidRPr="00042B81">
        <w:t>,b</w:t>
      </w:r>
      <w:proofErr w:type="gramEnd"/>
    </w:p>
    <w:p w14:paraId="72FBB0C0" w14:textId="77777777" w:rsidR="00042B81" w:rsidRPr="00042B81" w:rsidRDefault="00042B81" w:rsidP="001A5D4A">
      <w:pPr>
        <w:rPr>
          <w:color w:val="2D3E7B" w:themeColor="text2" w:themeShade="BF"/>
        </w:rPr>
      </w:pPr>
      <w:r w:rsidRPr="00042B81">
        <w:rPr>
          <w:color w:val="2D3E7B" w:themeColor="text2" w:themeShade="BF"/>
        </w:rPr>
        <w:t>An acquirer is required to disclose information that enables users of its financial report to evaluate the nature and financial effect of business combinations effected during the reporting period and after the reporting date but before the financial report is authorised for issue. Refer to note 47 for illustrative disclosures relating to an after balance date acquisition.</w:t>
      </w:r>
    </w:p>
    <w:p w14:paraId="6B2E7570" w14:textId="77777777" w:rsidR="00042B81" w:rsidRPr="005F65FA" w:rsidRDefault="00042B81" w:rsidP="00AB24D3">
      <w:pPr>
        <w:pStyle w:val="Heading4"/>
        <w:rPr>
          <w:color w:val="2D3E7B" w:themeColor="text2" w:themeShade="BF"/>
          <w14:textFill>
            <w14:solidFill>
              <w14:schemeClr w14:val="tx2">
                <w14:lumMod w14:val="75000"/>
                <w14:lumMod w14:val="75000"/>
              </w14:schemeClr>
            </w14:solidFill>
          </w14:textFill>
        </w:rPr>
      </w:pPr>
      <w:r w:rsidRPr="005F65FA">
        <w:rPr>
          <w:color w:val="2D3E7B" w:themeColor="text2" w:themeShade="BF"/>
          <w14:textFill>
            <w14:solidFill>
              <w14:schemeClr w14:val="tx2">
                <w14:lumMod w14:val="75000"/>
                <w14:lumMod w14:val="75000"/>
              </w14:schemeClr>
            </w14:solidFill>
          </w14:textFill>
        </w:rPr>
        <w:t>Specific disclosures</w:t>
      </w:r>
    </w:p>
    <w:p w14:paraId="705C3249" w14:textId="03D390EC" w:rsidR="00042B81" w:rsidRPr="005F65FA" w:rsidRDefault="00042B81" w:rsidP="00655761">
      <w:pPr>
        <w:pStyle w:val="Heading6"/>
      </w:pPr>
      <w:r w:rsidRPr="005F65FA">
        <w:t>AASB3.B64</w:t>
      </w:r>
      <w:r w:rsidR="005F65FA" w:rsidRPr="005F65FA">
        <w:t xml:space="preserve">, </w:t>
      </w:r>
      <w:r w:rsidRPr="005F65FA">
        <w:t>B65,</w:t>
      </w:r>
      <w:r w:rsidR="005F65FA" w:rsidRPr="005F65FA">
        <w:t xml:space="preserve"> </w:t>
      </w:r>
      <w:r w:rsidRPr="005F65FA">
        <w:t>B66</w:t>
      </w:r>
    </w:p>
    <w:p w14:paraId="1C020A3D" w14:textId="77777777" w:rsidR="00042B81" w:rsidRPr="006A4065" w:rsidRDefault="00042B81" w:rsidP="001A5D4A">
      <w:pPr>
        <w:rPr>
          <w:color w:val="2D3E7B" w:themeColor="text2" w:themeShade="BF"/>
        </w:rPr>
      </w:pPr>
      <w:r w:rsidRPr="005F65FA">
        <w:rPr>
          <w:color w:val="2D3E7B" w:themeColor="text2" w:themeShade="BF"/>
        </w:rPr>
        <w:t xml:space="preserve">Specific disclosures are required by paragraph B64 of AASB3 </w:t>
      </w:r>
      <w:r w:rsidRPr="009B1E46">
        <w:rPr>
          <w:i/>
          <w:color w:val="2D3E7B" w:themeColor="text2" w:themeShade="BF"/>
        </w:rPr>
        <w:t>Business Combinations</w:t>
      </w:r>
      <w:r w:rsidRPr="005F65FA">
        <w:rPr>
          <w:color w:val="2D3E7B" w:themeColor="text2" w:themeShade="BF"/>
        </w:rPr>
        <w:t xml:space="preserve"> for each material business combination effected during the reporting period. The information required by </w:t>
      </w:r>
      <w:r w:rsidRPr="006A4065">
        <w:rPr>
          <w:color w:val="2D3E7B" w:themeColor="text2" w:themeShade="BF"/>
        </w:rPr>
        <w:t>that paragraph shall be disclosed in aggregate for business combinations effected during the reporting period that are individually immaterial.</w:t>
      </w:r>
    </w:p>
    <w:p w14:paraId="337FC9C2" w14:textId="77777777" w:rsidR="00042B81" w:rsidRPr="006A4065" w:rsidRDefault="00042B81" w:rsidP="00655761">
      <w:pPr>
        <w:pStyle w:val="Heading6"/>
      </w:pPr>
      <w:r w:rsidRPr="006A4065">
        <w:lastRenderedPageBreak/>
        <w:t>Assets, liabilities and contingent liabilities acquired</w:t>
      </w:r>
    </w:p>
    <w:p w14:paraId="486BE63A" w14:textId="77777777" w:rsidR="00042B81" w:rsidRPr="00B40DF8" w:rsidRDefault="00042B81" w:rsidP="004F3ED9">
      <w:pPr>
        <w:pStyle w:val="Heading6"/>
      </w:pPr>
      <w:r w:rsidRPr="00B40DF8">
        <w:t>AASB3.B64i</w:t>
      </w:r>
      <w:proofErr w:type="gramStart"/>
      <w:r w:rsidRPr="00B40DF8">
        <w:t>,j</w:t>
      </w:r>
      <w:proofErr w:type="gramEnd"/>
    </w:p>
    <w:p w14:paraId="6E6C153C" w14:textId="77777777" w:rsidR="00042B81" w:rsidRPr="006A4065" w:rsidRDefault="00042B81" w:rsidP="001A5D4A">
      <w:pPr>
        <w:rPr>
          <w:color w:val="2D3E7B" w:themeColor="text2" w:themeShade="BF"/>
        </w:rPr>
      </w:pPr>
      <w:r w:rsidRPr="006A4065">
        <w:rPr>
          <w:color w:val="2D3E7B" w:themeColor="text2" w:themeShade="BF"/>
        </w:rPr>
        <w:t>Disclosure shall be made of the amounts recognised at the acquisition date for each class of the acquiree’s assets, liabilities and contingent liabilities.</w:t>
      </w:r>
    </w:p>
    <w:p w14:paraId="57B794BB" w14:textId="77777777" w:rsidR="00042B81" w:rsidRPr="006A4065" w:rsidRDefault="00042B81" w:rsidP="00655761">
      <w:pPr>
        <w:pStyle w:val="Heading6"/>
      </w:pPr>
      <w:r w:rsidRPr="006A4065">
        <w:t>Net result since acquisition date</w:t>
      </w:r>
    </w:p>
    <w:p w14:paraId="38D1A280" w14:textId="77777777" w:rsidR="00042B81" w:rsidRPr="00B40DF8" w:rsidRDefault="00042B81" w:rsidP="004F3ED9">
      <w:pPr>
        <w:pStyle w:val="Heading6"/>
      </w:pPr>
      <w:r w:rsidRPr="00B40DF8">
        <w:t>AASB3.B64q</w:t>
      </w:r>
    </w:p>
    <w:p w14:paraId="5D53D6CC" w14:textId="77777777" w:rsidR="00042B81" w:rsidRPr="006A4065" w:rsidRDefault="00042B81" w:rsidP="001A5D4A">
      <w:pPr>
        <w:rPr>
          <w:color w:val="2D3E7B" w:themeColor="text2" w:themeShade="BF"/>
        </w:rPr>
      </w:pPr>
      <w:r w:rsidRPr="006A4065">
        <w:rPr>
          <w:color w:val="2D3E7B" w:themeColor="text2" w:themeShade="BF"/>
        </w:rPr>
        <w:t>Disclosure shall be made of the amounts of revenue and profit or loss of the acquiree since the acquisition date included in the consolidated statement of comprehensive income for the reporting period.</w:t>
      </w:r>
    </w:p>
    <w:p w14:paraId="338269C6" w14:textId="77777777" w:rsidR="00042B81" w:rsidRPr="006A4065" w:rsidRDefault="00042B81" w:rsidP="00655761">
      <w:pPr>
        <w:pStyle w:val="Heading6"/>
      </w:pPr>
      <w:r w:rsidRPr="006A4065">
        <w:t>Revenue and net result as if effected at the beginning of the period</w:t>
      </w:r>
    </w:p>
    <w:p w14:paraId="2D208DD9" w14:textId="77777777" w:rsidR="00042B81" w:rsidRPr="00B40DF8" w:rsidRDefault="00042B81" w:rsidP="004F3ED9">
      <w:pPr>
        <w:pStyle w:val="Heading6"/>
      </w:pPr>
      <w:proofErr w:type="gramStart"/>
      <w:r w:rsidRPr="00B40DF8">
        <w:t>AASB3.64q(</w:t>
      </w:r>
      <w:proofErr w:type="gramEnd"/>
      <w:r w:rsidRPr="00B40DF8">
        <w:t>ii)</w:t>
      </w:r>
    </w:p>
    <w:p w14:paraId="1F4BB861" w14:textId="7DAE2043" w:rsidR="005F1275" w:rsidRPr="00106D3E" w:rsidRDefault="00042B81" w:rsidP="001A5D4A">
      <w:r w:rsidRPr="00042B81">
        <w:rPr>
          <w:color w:val="2D3E7B" w:themeColor="text2" w:themeShade="BF"/>
        </w:rPr>
        <w:t>The acquirer shall disclose the revenue and the net result of the combined entity for the period as though the acquisition date for all business combinations effected during the period had been the beginning of the period.</w:t>
      </w:r>
      <w:r w:rsidR="005F1275" w:rsidRPr="00106D3E">
        <w:br w:type="page"/>
      </w:r>
    </w:p>
    <w:p w14:paraId="6A027B02" w14:textId="3AE29FB5" w:rsidR="002636A0" w:rsidRPr="002636A0" w:rsidRDefault="002636A0" w:rsidP="006A4065">
      <w:pPr>
        <w:pStyle w:val="Heading2"/>
      </w:pPr>
      <w:bookmarkStart w:id="399" w:name="_Toc410807672"/>
      <w:bookmarkStart w:id="400" w:name="_Toc410822733"/>
      <w:proofErr w:type="gramStart"/>
      <w:r w:rsidRPr="002636A0">
        <w:lastRenderedPageBreak/>
        <w:t>Note 44.</w:t>
      </w:r>
      <w:proofErr w:type="gramEnd"/>
      <w:r>
        <w:t xml:space="preserve"> </w:t>
      </w:r>
      <w:r w:rsidRPr="002636A0">
        <w:t>Subsidiaries</w:t>
      </w:r>
      <w:bookmarkEnd w:id="399"/>
      <w:bookmarkEnd w:id="400"/>
    </w:p>
    <w:tbl>
      <w:tblPr>
        <w:tblW w:w="5000" w:type="pct"/>
        <w:tblCellMar>
          <w:left w:w="0" w:type="dxa"/>
          <w:right w:w="0" w:type="dxa"/>
        </w:tblCellMar>
        <w:tblLook w:val="0000" w:firstRow="0" w:lastRow="0" w:firstColumn="0" w:lastColumn="0" w:noHBand="0" w:noVBand="0"/>
      </w:tblPr>
      <w:tblGrid>
        <w:gridCol w:w="1666"/>
        <w:gridCol w:w="1527"/>
        <w:gridCol w:w="1340"/>
        <w:gridCol w:w="185"/>
        <w:gridCol w:w="2105"/>
        <w:gridCol w:w="57"/>
        <w:gridCol w:w="519"/>
        <w:gridCol w:w="326"/>
        <w:gridCol w:w="817"/>
        <w:gridCol w:w="29"/>
        <w:gridCol w:w="261"/>
        <w:gridCol w:w="585"/>
        <w:gridCol w:w="843"/>
      </w:tblGrid>
      <w:tr w:rsidR="00540E93" w14:paraId="7A257670" w14:textId="77777777" w:rsidTr="00AA53AC">
        <w:trPr>
          <w:trHeight w:val="159"/>
        </w:trPr>
        <w:tc>
          <w:tcPr>
            <w:tcW w:w="812" w:type="pct"/>
          </w:tcPr>
          <w:p w14:paraId="38E9D096" w14:textId="77777777" w:rsidR="00540E93" w:rsidRDefault="00540E93" w:rsidP="001A5D4A">
            <w:pPr>
              <w:pStyle w:val="Note-Refs"/>
            </w:pPr>
          </w:p>
          <w:p w14:paraId="7CF3CA67" w14:textId="77777777" w:rsidR="00540E93" w:rsidRDefault="00540E93" w:rsidP="001A5D4A">
            <w:pPr>
              <w:pStyle w:val="Note-Refs"/>
            </w:pPr>
            <w:r>
              <w:t>AASB10</w:t>
            </w:r>
          </w:p>
        </w:tc>
        <w:tc>
          <w:tcPr>
            <w:tcW w:w="4188" w:type="pct"/>
            <w:gridSpan w:val="12"/>
          </w:tcPr>
          <w:p w14:paraId="2FA8CF4C" w14:textId="77777777" w:rsidR="00540E93" w:rsidRDefault="00540E93" w:rsidP="001A5D4A">
            <w:pPr>
              <w:pStyle w:val="Note-Text"/>
              <w:rPr>
                <w:b/>
              </w:rPr>
            </w:pPr>
            <w:r>
              <w:t>The consolidated financial statements incorporate the assets, liabilities and results of the following subsidiaries in accordance with the accounting policy described in note 1(b):</w:t>
            </w:r>
          </w:p>
        </w:tc>
      </w:tr>
      <w:tr w:rsidR="00540E93" w14:paraId="136A15D0" w14:textId="77777777" w:rsidTr="00AA53AC">
        <w:trPr>
          <w:trHeight w:val="159"/>
        </w:trPr>
        <w:tc>
          <w:tcPr>
            <w:tcW w:w="812" w:type="pct"/>
          </w:tcPr>
          <w:p w14:paraId="0A3DB31B" w14:textId="77777777" w:rsidR="00540E93" w:rsidRDefault="00540E93" w:rsidP="001A5D4A">
            <w:pPr>
              <w:pStyle w:val="Note-Refs"/>
            </w:pPr>
          </w:p>
        </w:tc>
        <w:tc>
          <w:tcPr>
            <w:tcW w:w="4188" w:type="pct"/>
            <w:gridSpan w:val="12"/>
          </w:tcPr>
          <w:p w14:paraId="7C0CD591" w14:textId="77777777" w:rsidR="00540E93" w:rsidRDefault="00540E93" w:rsidP="001A5D4A">
            <w:pPr>
              <w:pStyle w:val="NotesTable-ItemPlain"/>
            </w:pPr>
          </w:p>
        </w:tc>
      </w:tr>
      <w:tr w:rsidR="00070BD4" w14:paraId="2EF74A85" w14:textId="77777777" w:rsidTr="00AA53AC">
        <w:trPr>
          <w:trHeight w:val="159"/>
        </w:trPr>
        <w:tc>
          <w:tcPr>
            <w:tcW w:w="812" w:type="pct"/>
          </w:tcPr>
          <w:p w14:paraId="67D38309" w14:textId="7930CEB6" w:rsidR="00070BD4" w:rsidRDefault="00070BD4" w:rsidP="001A5D4A">
            <w:pPr>
              <w:pStyle w:val="Note-Refs"/>
              <w:rPr>
                <w:b/>
              </w:rPr>
            </w:pPr>
            <w:r>
              <w:t xml:space="preserve">AASB127.17b, </w:t>
            </w:r>
          </w:p>
        </w:tc>
        <w:tc>
          <w:tcPr>
            <w:tcW w:w="1397" w:type="pct"/>
            <w:gridSpan w:val="2"/>
          </w:tcPr>
          <w:p w14:paraId="3856CC22" w14:textId="77777777" w:rsidR="00070BD4" w:rsidRDefault="00070BD4" w:rsidP="001A5D4A">
            <w:pPr>
              <w:pStyle w:val="NotesTable-ItemPlain"/>
              <w:rPr>
                <w:b/>
              </w:rPr>
            </w:pPr>
            <w:r>
              <w:t>Name of entity</w:t>
            </w:r>
          </w:p>
        </w:tc>
        <w:tc>
          <w:tcPr>
            <w:tcW w:w="1397" w:type="pct"/>
            <w:gridSpan w:val="4"/>
          </w:tcPr>
          <w:p w14:paraId="74E20259" w14:textId="607714D3" w:rsidR="00070BD4" w:rsidRDefault="00070BD4" w:rsidP="001A5D4A">
            <w:pPr>
              <w:pStyle w:val="NotesTable-HeadPlain"/>
            </w:pPr>
            <w:r>
              <w:t>Princip</w:t>
            </w:r>
            <w:r w:rsidR="006B111A">
              <w:t>al</w:t>
            </w:r>
            <w:r>
              <w:t xml:space="preserve"> place of business</w:t>
            </w:r>
          </w:p>
        </w:tc>
        <w:tc>
          <w:tcPr>
            <w:tcW w:w="1393" w:type="pct"/>
            <w:gridSpan w:val="6"/>
          </w:tcPr>
          <w:p w14:paraId="7BE5839E" w14:textId="77777777" w:rsidR="00070BD4" w:rsidRDefault="00070BD4" w:rsidP="001A5D4A">
            <w:pPr>
              <w:pStyle w:val="NotesTable-HeadPlain"/>
            </w:pPr>
            <w:r>
              <w:t>Ownership interest</w:t>
            </w:r>
          </w:p>
        </w:tc>
      </w:tr>
      <w:tr w:rsidR="00755E12" w14:paraId="761DAA55" w14:textId="77777777" w:rsidTr="00AA53AC">
        <w:trPr>
          <w:trHeight w:val="159"/>
        </w:trPr>
        <w:tc>
          <w:tcPr>
            <w:tcW w:w="812" w:type="pct"/>
          </w:tcPr>
          <w:p w14:paraId="79962BAF" w14:textId="3C53128B" w:rsidR="00755E12" w:rsidRDefault="00755E12" w:rsidP="001A5D4A">
            <w:pPr>
              <w:pStyle w:val="Note-Refs"/>
            </w:pPr>
            <w:r>
              <w:t>AASB12.12</w:t>
            </w:r>
          </w:p>
        </w:tc>
        <w:tc>
          <w:tcPr>
            <w:tcW w:w="1397" w:type="pct"/>
            <w:gridSpan w:val="2"/>
            <w:vAlign w:val="bottom"/>
          </w:tcPr>
          <w:p w14:paraId="1116C765" w14:textId="77777777" w:rsidR="00755E12" w:rsidRDefault="00755E12" w:rsidP="001A5D4A">
            <w:pPr>
              <w:pStyle w:val="NotesTable-ItemPlain"/>
            </w:pPr>
          </w:p>
        </w:tc>
        <w:tc>
          <w:tcPr>
            <w:tcW w:w="1397" w:type="pct"/>
            <w:gridSpan w:val="4"/>
          </w:tcPr>
          <w:p w14:paraId="31EC3A0B" w14:textId="77777777" w:rsidR="00755E12" w:rsidRDefault="00755E12" w:rsidP="001A5D4A">
            <w:pPr>
              <w:pStyle w:val="NotesTable-HeadPlain"/>
            </w:pPr>
          </w:p>
        </w:tc>
        <w:tc>
          <w:tcPr>
            <w:tcW w:w="698" w:type="pct"/>
            <w:gridSpan w:val="4"/>
          </w:tcPr>
          <w:p w14:paraId="5CA3A981" w14:textId="1608401D" w:rsidR="00755E12" w:rsidRDefault="00755E12" w:rsidP="001A5D4A">
            <w:pPr>
              <w:pStyle w:val="NotesTable-HeadBold"/>
            </w:pPr>
            <w:r>
              <w:t>2014</w:t>
            </w:r>
          </w:p>
        </w:tc>
        <w:tc>
          <w:tcPr>
            <w:tcW w:w="696" w:type="pct"/>
            <w:gridSpan w:val="2"/>
          </w:tcPr>
          <w:p w14:paraId="4E7B955B" w14:textId="52E4AF29" w:rsidR="00755E12" w:rsidRDefault="00755E12" w:rsidP="001A5D4A">
            <w:pPr>
              <w:pStyle w:val="NotesTable-HeadPlain"/>
            </w:pPr>
            <w:r>
              <w:t>2013</w:t>
            </w:r>
          </w:p>
        </w:tc>
      </w:tr>
      <w:tr w:rsidR="00755E12" w14:paraId="1752550E" w14:textId="77777777" w:rsidTr="00AA53AC">
        <w:trPr>
          <w:trHeight w:val="159"/>
        </w:trPr>
        <w:tc>
          <w:tcPr>
            <w:tcW w:w="812" w:type="pct"/>
          </w:tcPr>
          <w:p w14:paraId="0FA5D74C" w14:textId="77777777" w:rsidR="00755E12" w:rsidRDefault="00755E12" w:rsidP="001A5D4A">
            <w:pPr>
              <w:pStyle w:val="Note-Refs"/>
            </w:pPr>
          </w:p>
        </w:tc>
        <w:tc>
          <w:tcPr>
            <w:tcW w:w="1397" w:type="pct"/>
            <w:gridSpan w:val="2"/>
            <w:vAlign w:val="bottom"/>
          </w:tcPr>
          <w:p w14:paraId="68413D8C" w14:textId="77777777" w:rsidR="00755E12" w:rsidRDefault="00755E12" w:rsidP="001A5D4A">
            <w:pPr>
              <w:pStyle w:val="NotesTable-ItemPlain"/>
            </w:pPr>
          </w:p>
        </w:tc>
        <w:tc>
          <w:tcPr>
            <w:tcW w:w="1397" w:type="pct"/>
            <w:gridSpan w:val="4"/>
          </w:tcPr>
          <w:p w14:paraId="29E313E1" w14:textId="77777777" w:rsidR="00755E12" w:rsidRDefault="00755E12" w:rsidP="001A5D4A">
            <w:pPr>
              <w:pStyle w:val="NotesTable-HeadPlain"/>
            </w:pPr>
          </w:p>
        </w:tc>
        <w:tc>
          <w:tcPr>
            <w:tcW w:w="698" w:type="pct"/>
            <w:gridSpan w:val="4"/>
          </w:tcPr>
          <w:p w14:paraId="74B1A3CE" w14:textId="68333108" w:rsidR="00755E12" w:rsidRDefault="00755E12" w:rsidP="001A5D4A">
            <w:pPr>
              <w:pStyle w:val="NotesTable-HeadPlain"/>
            </w:pPr>
            <w:r>
              <w:t>%</w:t>
            </w:r>
          </w:p>
        </w:tc>
        <w:tc>
          <w:tcPr>
            <w:tcW w:w="696" w:type="pct"/>
            <w:gridSpan w:val="2"/>
          </w:tcPr>
          <w:p w14:paraId="077E676C" w14:textId="2E2254DE" w:rsidR="00755E12" w:rsidRDefault="00755E12" w:rsidP="001A5D4A">
            <w:pPr>
              <w:pStyle w:val="NotesTable-HeadPlain"/>
            </w:pPr>
            <w:r>
              <w:t>%</w:t>
            </w:r>
          </w:p>
        </w:tc>
      </w:tr>
      <w:tr w:rsidR="00070BD4" w14:paraId="410EF975" w14:textId="77777777" w:rsidTr="00463ABD">
        <w:trPr>
          <w:trHeight w:val="159"/>
        </w:trPr>
        <w:tc>
          <w:tcPr>
            <w:tcW w:w="5000" w:type="pct"/>
            <w:gridSpan w:val="13"/>
          </w:tcPr>
          <w:p w14:paraId="48A6C637" w14:textId="77777777" w:rsidR="00070BD4" w:rsidRDefault="00070BD4" w:rsidP="001A5D4A">
            <w:pPr>
              <w:pStyle w:val="NotesTable-CellPlain"/>
            </w:pPr>
          </w:p>
        </w:tc>
      </w:tr>
      <w:tr w:rsidR="00540E93" w14:paraId="5BEAB73E" w14:textId="77777777" w:rsidTr="00AA53AC">
        <w:trPr>
          <w:trHeight w:val="159"/>
        </w:trPr>
        <w:tc>
          <w:tcPr>
            <w:tcW w:w="812" w:type="pct"/>
          </w:tcPr>
          <w:p w14:paraId="7684D04C" w14:textId="77777777" w:rsidR="00540E93" w:rsidRDefault="00540E93" w:rsidP="001A5D4A">
            <w:pPr>
              <w:pStyle w:val="Note-Refs"/>
            </w:pPr>
            <w:r>
              <w:t>AASB127.17c</w:t>
            </w:r>
          </w:p>
        </w:tc>
        <w:tc>
          <w:tcPr>
            <w:tcW w:w="4188" w:type="pct"/>
            <w:gridSpan w:val="12"/>
          </w:tcPr>
          <w:p w14:paraId="6037E8CC" w14:textId="002150BF" w:rsidR="00540E93" w:rsidRDefault="00540E93" w:rsidP="001A5D4A">
            <w:pPr>
              <w:pStyle w:val="Note-Text"/>
            </w:pPr>
            <w:r>
              <w:t>[Description of method used to account for investments above</w:t>
            </w:r>
            <w:r w:rsidR="00A26C02">
              <w:t xml:space="preserve"> in the parent’s separate</w:t>
            </w:r>
            <w:r>
              <w:t>]</w:t>
            </w:r>
          </w:p>
        </w:tc>
      </w:tr>
      <w:tr w:rsidR="00540E93" w14:paraId="44BF6045" w14:textId="77777777" w:rsidTr="00AA53AC">
        <w:trPr>
          <w:trHeight w:hRule="exact" w:val="85"/>
        </w:trPr>
        <w:tc>
          <w:tcPr>
            <w:tcW w:w="812" w:type="pct"/>
          </w:tcPr>
          <w:p w14:paraId="5684BD42" w14:textId="77777777" w:rsidR="00540E93" w:rsidRDefault="00540E93" w:rsidP="001A5D4A">
            <w:pPr>
              <w:pStyle w:val="Note-Refs"/>
            </w:pPr>
          </w:p>
        </w:tc>
        <w:tc>
          <w:tcPr>
            <w:tcW w:w="4188" w:type="pct"/>
            <w:gridSpan w:val="12"/>
          </w:tcPr>
          <w:p w14:paraId="3D5D70DB" w14:textId="77777777" w:rsidR="00540E93" w:rsidRDefault="00540E93" w:rsidP="001A5D4A">
            <w:pPr>
              <w:pStyle w:val="NotesTable-CellPlain"/>
              <w:jc w:val="left"/>
            </w:pPr>
          </w:p>
        </w:tc>
      </w:tr>
      <w:tr w:rsidR="00540E93" w14:paraId="20C411ED" w14:textId="77777777" w:rsidTr="00AA53AC">
        <w:trPr>
          <w:trHeight w:val="159"/>
        </w:trPr>
        <w:tc>
          <w:tcPr>
            <w:tcW w:w="812" w:type="pct"/>
          </w:tcPr>
          <w:p w14:paraId="7CDD0151" w14:textId="77777777" w:rsidR="00540E93" w:rsidRDefault="00540E93" w:rsidP="001A5D4A">
            <w:pPr>
              <w:pStyle w:val="Note-Refs"/>
            </w:pPr>
            <w:r>
              <w:t>AASB12.13a</w:t>
            </w:r>
          </w:p>
        </w:tc>
        <w:tc>
          <w:tcPr>
            <w:tcW w:w="4188" w:type="pct"/>
            <w:gridSpan w:val="12"/>
          </w:tcPr>
          <w:p w14:paraId="458880DA" w14:textId="77777777" w:rsidR="00540E93" w:rsidRDefault="00540E93" w:rsidP="001A5D4A">
            <w:pPr>
              <w:pStyle w:val="Note-Text"/>
            </w:pPr>
            <w:r>
              <w:t>[Provide details of significant restrictions on the group’s ability to access or use the assets and settle the liabilities of the group]</w:t>
            </w:r>
          </w:p>
        </w:tc>
      </w:tr>
      <w:tr w:rsidR="00540E93" w14:paraId="67A13FA6" w14:textId="77777777" w:rsidTr="00AA53AC">
        <w:trPr>
          <w:trHeight w:hRule="exact" w:val="85"/>
        </w:trPr>
        <w:tc>
          <w:tcPr>
            <w:tcW w:w="812" w:type="pct"/>
          </w:tcPr>
          <w:p w14:paraId="1CF065B3" w14:textId="77777777" w:rsidR="00540E93" w:rsidRDefault="00540E93" w:rsidP="001A5D4A">
            <w:pPr>
              <w:pStyle w:val="Note-Refs"/>
            </w:pPr>
          </w:p>
        </w:tc>
        <w:tc>
          <w:tcPr>
            <w:tcW w:w="4188" w:type="pct"/>
            <w:gridSpan w:val="12"/>
          </w:tcPr>
          <w:p w14:paraId="4D7A4B22" w14:textId="77777777" w:rsidR="00540E93" w:rsidRDefault="00540E93" w:rsidP="001A5D4A">
            <w:pPr>
              <w:pStyle w:val="NotesTable-CellPlain"/>
              <w:jc w:val="left"/>
            </w:pPr>
          </w:p>
        </w:tc>
      </w:tr>
      <w:tr w:rsidR="00540E93" w14:paraId="1EACF0B2" w14:textId="77777777" w:rsidTr="00AA53AC">
        <w:trPr>
          <w:trHeight w:val="159"/>
        </w:trPr>
        <w:tc>
          <w:tcPr>
            <w:tcW w:w="812" w:type="pct"/>
          </w:tcPr>
          <w:p w14:paraId="3013BD84" w14:textId="77777777" w:rsidR="00540E93" w:rsidRDefault="00540E93" w:rsidP="001A5D4A">
            <w:pPr>
              <w:pStyle w:val="Note-Refs"/>
            </w:pPr>
          </w:p>
        </w:tc>
        <w:tc>
          <w:tcPr>
            <w:tcW w:w="4188" w:type="pct"/>
            <w:gridSpan w:val="12"/>
          </w:tcPr>
          <w:p w14:paraId="005A2E40" w14:textId="77777777" w:rsidR="00540E93" w:rsidRPr="007E7DCF" w:rsidRDefault="00540E93" w:rsidP="001A5D4A">
            <w:pPr>
              <w:pStyle w:val="NotesTable-ItemBold"/>
            </w:pPr>
            <w:r w:rsidRPr="007E7DCF">
              <w:t>Non-controlling interests</w:t>
            </w:r>
          </w:p>
        </w:tc>
      </w:tr>
      <w:tr w:rsidR="00540E93" w14:paraId="29CA6B16" w14:textId="77777777" w:rsidTr="00AA53AC">
        <w:trPr>
          <w:trHeight w:val="159"/>
        </w:trPr>
        <w:tc>
          <w:tcPr>
            <w:tcW w:w="812" w:type="pct"/>
          </w:tcPr>
          <w:p w14:paraId="6B9A8CEB" w14:textId="77777777" w:rsidR="00540E93" w:rsidRDefault="00540E93" w:rsidP="001A5D4A">
            <w:pPr>
              <w:pStyle w:val="Note-Refs"/>
            </w:pPr>
            <w:r>
              <w:t>AASB12.12</w:t>
            </w:r>
          </w:p>
        </w:tc>
        <w:tc>
          <w:tcPr>
            <w:tcW w:w="4188" w:type="pct"/>
            <w:gridSpan w:val="12"/>
          </w:tcPr>
          <w:p w14:paraId="231CFAB3" w14:textId="77777777" w:rsidR="00540E93" w:rsidRDefault="00540E93" w:rsidP="001A5D4A">
            <w:pPr>
              <w:pStyle w:val="Note-Text"/>
            </w:pPr>
            <w:r>
              <w:t>Subsidiaries that have non-controlling interests that are material to the reporting entity are listed below:</w:t>
            </w:r>
          </w:p>
        </w:tc>
      </w:tr>
      <w:tr w:rsidR="00540E93" w14:paraId="6C867067" w14:textId="77777777" w:rsidTr="00AA53AC">
        <w:trPr>
          <w:trHeight w:hRule="exact" w:val="103"/>
        </w:trPr>
        <w:tc>
          <w:tcPr>
            <w:tcW w:w="812" w:type="pct"/>
          </w:tcPr>
          <w:p w14:paraId="557AFE76" w14:textId="77777777" w:rsidR="00540E93" w:rsidRDefault="00540E93" w:rsidP="001A5D4A">
            <w:pPr>
              <w:pStyle w:val="Note-Refs"/>
            </w:pPr>
          </w:p>
        </w:tc>
        <w:tc>
          <w:tcPr>
            <w:tcW w:w="4188" w:type="pct"/>
            <w:gridSpan w:val="12"/>
          </w:tcPr>
          <w:p w14:paraId="6A80DC0B" w14:textId="77777777" w:rsidR="00540E93" w:rsidRDefault="00540E93" w:rsidP="001A5D4A">
            <w:pPr>
              <w:pStyle w:val="NotesTable-CellPlain"/>
              <w:jc w:val="left"/>
            </w:pPr>
          </w:p>
        </w:tc>
      </w:tr>
      <w:tr w:rsidR="00070BD4" w14:paraId="1294EABE" w14:textId="77777777" w:rsidTr="00AA53AC">
        <w:trPr>
          <w:cantSplit/>
          <w:trHeight w:val="159"/>
        </w:trPr>
        <w:tc>
          <w:tcPr>
            <w:tcW w:w="812" w:type="pct"/>
          </w:tcPr>
          <w:p w14:paraId="7C931A86" w14:textId="77777777" w:rsidR="00070BD4" w:rsidRDefault="00070BD4" w:rsidP="001A5D4A">
            <w:pPr>
              <w:pStyle w:val="Note-Refs"/>
            </w:pPr>
          </w:p>
        </w:tc>
        <w:tc>
          <w:tcPr>
            <w:tcW w:w="744" w:type="pct"/>
          </w:tcPr>
          <w:p w14:paraId="326D714E" w14:textId="77777777" w:rsidR="00070BD4" w:rsidRDefault="00070BD4" w:rsidP="001A5D4A">
            <w:pPr>
              <w:pStyle w:val="Note-Text"/>
            </w:pPr>
            <w:r w:rsidRPr="00E47831">
              <w:t>Name</w:t>
            </w:r>
            <w:r>
              <w:t xml:space="preserve"> of entity</w:t>
            </w:r>
          </w:p>
        </w:tc>
        <w:tc>
          <w:tcPr>
            <w:tcW w:w="743" w:type="pct"/>
            <w:gridSpan w:val="2"/>
          </w:tcPr>
          <w:p w14:paraId="2BA08319" w14:textId="5366D478" w:rsidR="00070BD4" w:rsidRDefault="00070BD4" w:rsidP="001A5D4A">
            <w:pPr>
              <w:pStyle w:val="NotesTable-ItemPlain"/>
            </w:pPr>
            <w:r>
              <w:t>Princip</w:t>
            </w:r>
            <w:r w:rsidR="005C5E3F">
              <w:t>al</w:t>
            </w:r>
            <w:r>
              <w:t xml:space="preserve"> place of business</w:t>
            </w:r>
          </w:p>
        </w:tc>
        <w:tc>
          <w:tcPr>
            <w:tcW w:w="1026" w:type="pct"/>
          </w:tcPr>
          <w:p w14:paraId="47D20DAE" w14:textId="105F27E8" w:rsidR="00070BD4" w:rsidRDefault="00070BD4" w:rsidP="001A5D4A">
            <w:pPr>
              <w:pStyle w:val="NotesTable-ItemPlain"/>
            </w:pPr>
            <w:r>
              <w:t xml:space="preserve">Ownership interest/voting rights held by </w:t>
            </w:r>
            <w:r w:rsidR="002254C9">
              <w:t>non-controlling</w:t>
            </w:r>
            <w:r>
              <w:t xml:space="preserve"> interests</w:t>
            </w:r>
          </w:p>
        </w:tc>
        <w:tc>
          <w:tcPr>
            <w:tcW w:w="838" w:type="pct"/>
            <w:gridSpan w:val="4"/>
          </w:tcPr>
          <w:p w14:paraId="60639D82" w14:textId="77777777" w:rsidR="00070BD4" w:rsidRDefault="00070BD4" w:rsidP="001A5D4A">
            <w:pPr>
              <w:pStyle w:val="NotesTable-ItemPlain"/>
            </w:pPr>
            <w:r>
              <w:t>Profit or loss allocated to non-controlling interest</w:t>
            </w:r>
          </w:p>
        </w:tc>
        <w:tc>
          <w:tcPr>
            <w:tcW w:w="837" w:type="pct"/>
            <w:gridSpan w:val="4"/>
          </w:tcPr>
          <w:p w14:paraId="689E6123" w14:textId="77777777" w:rsidR="00070BD4" w:rsidRDefault="00070BD4" w:rsidP="001A5D4A">
            <w:pPr>
              <w:pStyle w:val="NotesTable-ItemPlain"/>
            </w:pPr>
            <w:r>
              <w:t>Accumulated non-controlling interests</w:t>
            </w:r>
          </w:p>
        </w:tc>
      </w:tr>
      <w:tr w:rsidR="00540E93" w14:paraId="0A803C15" w14:textId="77777777" w:rsidTr="00AA53AC">
        <w:trPr>
          <w:trHeight w:hRule="exact" w:val="85"/>
        </w:trPr>
        <w:tc>
          <w:tcPr>
            <w:tcW w:w="812" w:type="pct"/>
          </w:tcPr>
          <w:p w14:paraId="06C6FBD3" w14:textId="77777777" w:rsidR="00540E93" w:rsidRDefault="00540E93" w:rsidP="001A5D4A">
            <w:pPr>
              <w:pStyle w:val="Note-Refs"/>
            </w:pPr>
          </w:p>
        </w:tc>
        <w:tc>
          <w:tcPr>
            <w:tcW w:w="4188" w:type="pct"/>
            <w:gridSpan w:val="12"/>
          </w:tcPr>
          <w:p w14:paraId="1AB7713F" w14:textId="77777777" w:rsidR="00540E93" w:rsidRDefault="00540E93" w:rsidP="001A5D4A">
            <w:pPr>
              <w:pStyle w:val="NotesTable-CellPlain"/>
              <w:jc w:val="left"/>
            </w:pPr>
          </w:p>
        </w:tc>
      </w:tr>
      <w:tr w:rsidR="00540E93" w14:paraId="1486A76A" w14:textId="77777777" w:rsidTr="00AA53AC">
        <w:trPr>
          <w:trHeight w:val="159"/>
        </w:trPr>
        <w:tc>
          <w:tcPr>
            <w:tcW w:w="812" w:type="pct"/>
          </w:tcPr>
          <w:p w14:paraId="748D9BF6" w14:textId="77777777" w:rsidR="00540E93" w:rsidRDefault="00540E93" w:rsidP="001A5D4A">
            <w:pPr>
              <w:pStyle w:val="Note-Refs"/>
            </w:pPr>
            <w:r>
              <w:t>AASB12.12g,B10</w:t>
            </w:r>
          </w:p>
        </w:tc>
        <w:tc>
          <w:tcPr>
            <w:tcW w:w="4188" w:type="pct"/>
            <w:gridSpan w:val="12"/>
          </w:tcPr>
          <w:p w14:paraId="77A51E41" w14:textId="77777777" w:rsidR="00540E93" w:rsidRDefault="00540E93" w:rsidP="001A5D4A">
            <w:pPr>
              <w:pStyle w:val="Note-Text"/>
            </w:pPr>
            <w:r>
              <w:t>Summarised financial information (before inter-company eliminations) for subsidiaries that have non-controlling interests that are material to the HEP are disclosed below:</w:t>
            </w:r>
          </w:p>
        </w:tc>
      </w:tr>
      <w:tr w:rsidR="00540E93" w14:paraId="412A7C5F" w14:textId="77777777" w:rsidTr="00AA53AC">
        <w:trPr>
          <w:trHeight w:val="159"/>
        </w:trPr>
        <w:tc>
          <w:tcPr>
            <w:tcW w:w="812" w:type="pct"/>
          </w:tcPr>
          <w:p w14:paraId="0CD15478" w14:textId="77777777" w:rsidR="00540E93" w:rsidRDefault="00540E93" w:rsidP="001A5D4A">
            <w:pPr>
              <w:pStyle w:val="Note-Refs"/>
            </w:pPr>
          </w:p>
        </w:tc>
        <w:tc>
          <w:tcPr>
            <w:tcW w:w="2541" w:type="pct"/>
            <w:gridSpan w:val="5"/>
          </w:tcPr>
          <w:p w14:paraId="55A23398" w14:textId="77777777" w:rsidR="00540E93" w:rsidRDefault="00540E93" w:rsidP="001A5D4A">
            <w:pPr>
              <w:pStyle w:val="NotesTable-CellPlain"/>
              <w:jc w:val="left"/>
            </w:pPr>
          </w:p>
        </w:tc>
        <w:tc>
          <w:tcPr>
            <w:tcW w:w="824" w:type="pct"/>
            <w:gridSpan w:val="4"/>
          </w:tcPr>
          <w:p w14:paraId="4AA22A4E" w14:textId="2AF1D610" w:rsidR="00540E93" w:rsidRDefault="006B111A" w:rsidP="001A5D4A">
            <w:pPr>
              <w:pStyle w:val="NotesTable-CellPlain"/>
            </w:pPr>
            <w:r>
              <w:t>Subsidiary 1</w:t>
            </w:r>
          </w:p>
        </w:tc>
        <w:tc>
          <w:tcPr>
            <w:tcW w:w="823" w:type="pct"/>
            <w:gridSpan w:val="3"/>
          </w:tcPr>
          <w:p w14:paraId="4A3DD53E" w14:textId="1DAF9AF3" w:rsidR="00540E93" w:rsidRDefault="006B111A" w:rsidP="001A5D4A">
            <w:pPr>
              <w:pStyle w:val="NotesTable-CellPlain"/>
            </w:pPr>
            <w:r>
              <w:t>Subsidiary 2</w:t>
            </w:r>
          </w:p>
        </w:tc>
      </w:tr>
      <w:tr w:rsidR="00540E93" w14:paraId="35BBC243" w14:textId="77777777" w:rsidTr="00AA53AC">
        <w:trPr>
          <w:trHeight w:val="159"/>
        </w:trPr>
        <w:tc>
          <w:tcPr>
            <w:tcW w:w="812" w:type="pct"/>
          </w:tcPr>
          <w:p w14:paraId="15F221FB" w14:textId="77777777" w:rsidR="00540E93" w:rsidRDefault="00540E93" w:rsidP="001A5D4A">
            <w:pPr>
              <w:pStyle w:val="Note-Refs"/>
            </w:pPr>
          </w:p>
        </w:tc>
        <w:tc>
          <w:tcPr>
            <w:tcW w:w="2541" w:type="pct"/>
            <w:gridSpan w:val="5"/>
          </w:tcPr>
          <w:p w14:paraId="050E4905" w14:textId="77777777" w:rsidR="00540E93" w:rsidRDefault="00540E93" w:rsidP="001A5D4A">
            <w:pPr>
              <w:pStyle w:val="NotesTable-CellPlain"/>
              <w:jc w:val="left"/>
            </w:pPr>
          </w:p>
        </w:tc>
        <w:tc>
          <w:tcPr>
            <w:tcW w:w="412" w:type="pct"/>
            <w:gridSpan w:val="2"/>
          </w:tcPr>
          <w:p w14:paraId="1013E616" w14:textId="74D819A4" w:rsidR="00540E93" w:rsidRDefault="006B111A" w:rsidP="001A5D4A">
            <w:pPr>
              <w:pStyle w:val="NotesTable-CellBold"/>
            </w:pPr>
            <w:r>
              <w:t>2014</w:t>
            </w:r>
          </w:p>
        </w:tc>
        <w:tc>
          <w:tcPr>
            <w:tcW w:w="412" w:type="pct"/>
            <w:gridSpan w:val="2"/>
          </w:tcPr>
          <w:p w14:paraId="666EA658" w14:textId="215C9FB7" w:rsidR="00540E93" w:rsidRPr="00E47831" w:rsidRDefault="006B111A" w:rsidP="001A5D4A">
            <w:pPr>
              <w:pStyle w:val="NotesTable-CellPlain"/>
            </w:pPr>
            <w:r w:rsidRPr="00E47831">
              <w:t>2013</w:t>
            </w:r>
          </w:p>
        </w:tc>
        <w:tc>
          <w:tcPr>
            <w:tcW w:w="412" w:type="pct"/>
            <w:gridSpan w:val="2"/>
          </w:tcPr>
          <w:p w14:paraId="3DF05B54" w14:textId="796801F9" w:rsidR="00540E93" w:rsidRDefault="006B111A" w:rsidP="001A5D4A">
            <w:pPr>
              <w:pStyle w:val="NotesTable-CellBold"/>
            </w:pPr>
            <w:r>
              <w:t>2014</w:t>
            </w:r>
          </w:p>
        </w:tc>
        <w:tc>
          <w:tcPr>
            <w:tcW w:w="411" w:type="pct"/>
          </w:tcPr>
          <w:p w14:paraId="48EC8BCB" w14:textId="2620AD23" w:rsidR="00540E93" w:rsidRPr="00E47831" w:rsidRDefault="006B111A" w:rsidP="001A5D4A">
            <w:pPr>
              <w:pStyle w:val="NotesTable-CellPlain"/>
            </w:pPr>
            <w:r w:rsidRPr="00E47831">
              <w:t>2013</w:t>
            </w:r>
          </w:p>
        </w:tc>
      </w:tr>
      <w:tr w:rsidR="00540E93" w14:paraId="7B5D55D4" w14:textId="77777777" w:rsidTr="00AA53AC">
        <w:trPr>
          <w:trHeight w:val="159"/>
        </w:trPr>
        <w:tc>
          <w:tcPr>
            <w:tcW w:w="812" w:type="pct"/>
          </w:tcPr>
          <w:p w14:paraId="7F18642B" w14:textId="77777777" w:rsidR="00540E93" w:rsidRPr="00E610E4" w:rsidRDefault="00540E93" w:rsidP="001A5D4A">
            <w:pPr>
              <w:pStyle w:val="Note-Text"/>
              <w:rPr>
                <w:lang w:val="en-GB"/>
              </w:rPr>
            </w:pPr>
          </w:p>
        </w:tc>
        <w:tc>
          <w:tcPr>
            <w:tcW w:w="2541" w:type="pct"/>
            <w:gridSpan w:val="5"/>
          </w:tcPr>
          <w:p w14:paraId="65C7D209" w14:textId="77777777" w:rsidR="00540E93" w:rsidRDefault="00540E93" w:rsidP="001A5D4A">
            <w:pPr>
              <w:pStyle w:val="CommentText"/>
            </w:pPr>
          </w:p>
        </w:tc>
        <w:tc>
          <w:tcPr>
            <w:tcW w:w="412" w:type="pct"/>
            <w:gridSpan w:val="2"/>
          </w:tcPr>
          <w:p w14:paraId="3DD18C65" w14:textId="77777777" w:rsidR="00540E93" w:rsidRDefault="00540E93" w:rsidP="001A5D4A">
            <w:pPr>
              <w:pStyle w:val="NotesTable-CellBold"/>
            </w:pPr>
            <w:r>
              <w:t>$’000</w:t>
            </w:r>
          </w:p>
        </w:tc>
        <w:tc>
          <w:tcPr>
            <w:tcW w:w="412" w:type="pct"/>
            <w:gridSpan w:val="2"/>
          </w:tcPr>
          <w:p w14:paraId="2B03D276" w14:textId="77777777" w:rsidR="00540E93" w:rsidRPr="00E47831" w:rsidRDefault="00540E93" w:rsidP="001A5D4A">
            <w:pPr>
              <w:pStyle w:val="NotesTable-CellPlain"/>
            </w:pPr>
            <w:r w:rsidRPr="00E163AA">
              <w:t>$’000</w:t>
            </w:r>
          </w:p>
        </w:tc>
        <w:tc>
          <w:tcPr>
            <w:tcW w:w="412" w:type="pct"/>
            <w:gridSpan w:val="2"/>
          </w:tcPr>
          <w:p w14:paraId="4CADD58E" w14:textId="77777777" w:rsidR="00540E93" w:rsidRDefault="00540E93" w:rsidP="001A5D4A">
            <w:pPr>
              <w:pStyle w:val="NotesTable-CellBold"/>
            </w:pPr>
            <w:r>
              <w:t>$’000</w:t>
            </w:r>
          </w:p>
        </w:tc>
        <w:tc>
          <w:tcPr>
            <w:tcW w:w="411" w:type="pct"/>
          </w:tcPr>
          <w:p w14:paraId="43E67683" w14:textId="77777777" w:rsidR="00540E93" w:rsidRDefault="00540E93" w:rsidP="001A5D4A">
            <w:pPr>
              <w:pStyle w:val="NotesTable-CellPlain"/>
            </w:pPr>
            <w:r>
              <w:t>$’000</w:t>
            </w:r>
          </w:p>
        </w:tc>
      </w:tr>
      <w:tr w:rsidR="00540E93" w14:paraId="0853F8D4" w14:textId="77777777" w:rsidTr="00AA53AC">
        <w:trPr>
          <w:trHeight w:val="159"/>
        </w:trPr>
        <w:tc>
          <w:tcPr>
            <w:tcW w:w="812" w:type="pct"/>
          </w:tcPr>
          <w:p w14:paraId="46B2A8D7" w14:textId="77777777" w:rsidR="00540E93" w:rsidRDefault="00540E93" w:rsidP="001A5D4A">
            <w:pPr>
              <w:pStyle w:val="Note-Refs"/>
            </w:pPr>
            <w:r>
              <w:t>AASB12.B10b</w:t>
            </w:r>
          </w:p>
        </w:tc>
        <w:tc>
          <w:tcPr>
            <w:tcW w:w="2541" w:type="pct"/>
            <w:gridSpan w:val="5"/>
          </w:tcPr>
          <w:p w14:paraId="4F041FA3" w14:textId="77777777" w:rsidR="00540E93" w:rsidRPr="00A7463C" w:rsidRDefault="00540E93" w:rsidP="001A5D4A">
            <w:pPr>
              <w:pStyle w:val="Note-TextHeader"/>
            </w:pPr>
            <w:r w:rsidRPr="00A7463C">
              <w:t>Financial Position</w:t>
            </w:r>
          </w:p>
        </w:tc>
        <w:tc>
          <w:tcPr>
            <w:tcW w:w="412" w:type="pct"/>
            <w:gridSpan w:val="2"/>
          </w:tcPr>
          <w:p w14:paraId="6C3EA0C1" w14:textId="77777777" w:rsidR="00540E93" w:rsidRDefault="00540E93" w:rsidP="001A5D4A">
            <w:pPr>
              <w:pStyle w:val="NotesTable-CellBold"/>
            </w:pPr>
          </w:p>
        </w:tc>
        <w:tc>
          <w:tcPr>
            <w:tcW w:w="412" w:type="pct"/>
            <w:gridSpan w:val="2"/>
          </w:tcPr>
          <w:p w14:paraId="39AA0593" w14:textId="77777777" w:rsidR="00540E93" w:rsidRPr="00E163AA" w:rsidRDefault="00540E93" w:rsidP="001A5D4A">
            <w:pPr>
              <w:pStyle w:val="NotesTable-CellPlain"/>
            </w:pPr>
          </w:p>
        </w:tc>
        <w:tc>
          <w:tcPr>
            <w:tcW w:w="412" w:type="pct"/>
            <w:gridSpan w:val="2"/>
          </w:tcPr>
          <w:p w14:paraId="4AA49CD0" w14:textId="77777777" w:rsidR="00540E93" w:rsidRDefault="00540E93" w:rsidP="001A5D4A">
            <w:pPr>
              <w:pStyle w:val="NotesTable-CellBold"/>
            </w:pPr>
          </w:p>
        </w:tc>
        <w:tc>
          <w:tcPr>
            <w:tcW w:w="411" w:type="pct"/>
          </w:tcPr>
          <w:p w14:paraId="2820AB2F" w14:textId="77777777" w:rsidR="00540E93" w:rsidRDefault="00540E93" w:rsidP="001A5D4A">
            <w:pPr>
              <w:pStyle w:val="NotesTable-CellPlain"/>
            </w:pPr>
          </w:p>
        </w:tc>
      </w:tr>
      <w:tr w:rsidR="00540E93" w14:paraId="6E402705" w14:textId="77777777" w:rsidTr="00AA53AC">
        <w:trPr>
          <w:trHeight w:val="159"/>
        </w:trPr>
        <w:tc>
          <w:tcPr>
            <w:tcW w:w="812" w:type="pct"/>
          </w:tcPr>
          <w:p w14:paraId="187D8CD3" w14:textId="77777777" w:rsidR="00540E93" w:rsidRDefault="00540E93" w:rsidP="001A5D4A">
            <w:pPr>
              <w:pStyle w:val="Note-Refs"/>
            </w:pPr>
          </w:p>
        </w:tc>
        <w:tc>
          <w:tcPr>
            <w:tcW w:w="2541" w:type="pct"/>
            <w:gridSpan w:val="5"/>
          </w:tcPr>
          <w:p w14:paraId="239029C9" w14:textId="77777777" w:rsidR="00540E93" w:rsidRDefault="00540E93" w:rsidP="001A5D4A">
            <w:pPr>
              <w:pStyle w:val="NotesTable-ItemPlain"/>
            </w:pPr>
            <w:r>
              <w:t>Current assets</w:t>
            </w:r>
          </w:p>
        </w:tc>
        <w:tc>
          <w:tcPr>
            <w:tcW w:w="412" w:type="pct"/>
            <w:gridSpan w:val="2"/>
          </w:tcPr>
          <w:p w14:paraId="6C9FC129" w14:textId="77777777" w:rsidR="00540E93" w:rsidRDefault="00540E93" w:rsidP="001A5D4A">
            <w:pPr>
              <w:pStyle w:val="NotesTable-CellBold"/>
            </w:pPr>
            <w:r>
              <w:t>–</w:t>
            </w:r>
          </w:p>
        </w:tc>
        <w:tc>
          <w:tcPr>
            <w:tcW w:w="412" w:type="pct"/>
            <w:gridSpan w:val="2"/>
          </w:tcPr>
          <w:p w14:paraId="47C22420" w14:textId="77777777" w:rsidR="00540E93" w:rsidRPr="00E47831" w:rsidRDefault="00540E93" w:rsidP="001A5D4A">
            <w:pPr>
              <w:pStyle w:val="NotesTable-CellPlain"/>
            </w:pPr>
            <w:r w:rsidRPr="00E163AA">
              <w:t>–</w:t>
            </w:r>
          </w:p>
        </w:tc>
        <w:tc>
          <w:tcPr>
            <w:tcW w:w="412" w:type="pct"/>
            <w:gridSpan w:val="2"/>
          </w:tcPr>
          <w:p w14:paraId="7DF0BE8E" w14:textId="77777777" w:rsidR="00540E93" w:rsidRDefault="00540E93" w:rsidP="001A5D4A">
            <w:pPr>
              <w:pStyle w:val="NotesTable-CellBold"/>
            </w:pPr>
            <w:r>
              <w:t>–</w:t>
            </w:r>
          </w:p>
        </w:tc>
        <w:tc>
          <w:tcPr>
            <w:tcW w:w="411" w:type="pct"/>
          </w:tcPr>
          <w:p w14:paraId="17CB531C" w14:textId="77777777" w:rsidR="00540E93" w:rsidRDefault="00540E93" w:rsidP="001A5D4A">
            <w:pPr>
              <w:pStyle w:val="NotesTable-CellPlain"/>
            </w:pPr>
            <w:r>
              <w:t>–</w:t>
            </w:r>
          </w:p>
        </w:tc>
      </w:tr>
      <w:tr w:rsidR="00540E93" w14:paraId="5F0B5C2C" w14:textId="77777777" w:rsidTr="00AA53AC">
        <w:trPr>
          <w:trHeight w:val="159"/>
        </w:trPr>
        <w:tc>
          <w:tcPr>
            <w:tcW w:w="812" w:type="pct"/>
          </w:tcPr>
          <w:p w14:paraId="2E25E075" w14:textId="77777777" w:rsidR="00540E93" w:rsidRDefault="00540E93" w:rsidP="001A5D4A">
            <w:pPr>
              <w:pStyle w:val="Note-Refs"/>
            </w:pPr>
          </w:p>
        </w:tc>
        <w:tc>
          <w:tcPr>
            <w:tcW w:w="2541" w:type="pct"/>
            <w:gridSpan w:val="5"/>
          </w:tcPr>
          <w:p w14:paraId="7E20A2DF" w14:textId="77777777" w:rsidR="00540E93" w:rsidRDefault="00540E93" w:rsidP="001A5D4A">
            <w:pPr>
              <w:pStyle w:val="NotesTable-ItemPlain"/>
            </w:pPr>
            <w:r>
              <w:t>Non-current assets</w:t>
            </w:r>
          </w:p>
        </w:tc>
        <w:tc>
          <w:tcPr>
            <w:tcW w:w="412" w:type="pct"/>
            <w:gridSpan w:val="2"/>
          </w:tcPr>
          <w:p w14:paraId="451531F5" w14:textId="77777777" w:rsidR="00540E93" w:rsidRDefault="00540E93" w:rsidP="001A5D4A">
            <w:pPr>
              <w:pStyle w:val="NotesTable-CellBold"/>
            </w:pPr>
            <w:r>
              <w:t>–</w:t>
            </w:r>
          </w:p>
        </w:tc>
        <w:tc>
          <w:tcPr>
            <w:tcW w:w="412" w:type="pct"/>
            <w:gridSpan w:val="2"/>
          </w:tcPr>
          <w:p w14:paraId="592A620A" w14:textId="77777777" w:rsidR="00540E93" w:rsidRPr="00E47831" w:rsidRDefault="00540E93" w:rsidP="001A5D4A">
            <w:pPr>
              <w:pStyle w:val="NotesTable-CellPlain"/>
            </w:pPr>
            <w:r w:rsidRPr="00E163AA">
              <w:t>–</w:t>
            </w:r>
          </w:p>
        </w:tc>
        <w:tc>
          <w:tcPr>
            <w:tcW w:w="412" w:type="pct"/>
            <w:gridSpan w:val="2"/>
          </w:tcPr>
          <w:p w14:paraId="49FFF1E6" w14:textId="77777777" w:rsidR="00540E93" w:rsidRDefault="00540E93" w:rsidP="001A5D4A">
            <w:pPr>
              <w:pStyle w:val="NotesTable-CellBold"/>
            </w:pPr>
            <w:r>
              <w:t>–</w:t>
            </w:r>
          </w:p>
        </w:tc>
        <w:tc>
          <w:tcPr>
            <w:tcW w:w="411" w:type="pct"/>
          </w:tcPr>
          <w:p w14:paraId="7AEFDD57" w14:textId="77777777" w:rsidR="00540E93" w:rsidRDefault="00540E93" w:rsidP="001A5D4A">
            <w:pPr>
              <w:pStyle w:val="NotesTable-CellPlain"/>
            </w:pPr>
            <w:r>
              <w:t>–</w:t>
            </w:r>
          </w:p>
        </w:tc>
      </w:tr>
      <w:tr w:rsidR="00540E93" w14:paraId="5CDF98FA" w14:textId="77777777" w:rsidTr="00AA53AC">
        <w:trPr>
          <w:trHeight w:val="159"/>
        </w:trPr>
        <w:tc>
          <w:tcPr>
            <w:tcW w:w="812" w:type="pct"/>
          </w:tcPr>
          <w:p w14:paraId="51DBF0B4" w14:textId="77777777" w:rsidR="00540E93" w:rsidRDefault="00540E93" w:rsidP="001A5D4A">
            <w:pPr>
              <w:pStyle w:val="Note-Refs"/>
            </w:pPr>
          </w:p>
        </w:tc>
        <w:tc>
          <w:tcPr>
            <w:tcW w:w="2541" w:type="pct"/>
            <w:gridSpan w:val="5"/>
          </w:tcPr>
          <w:p w14:paraId="7DAE18BB" w14:textId="77777777" w:rsidR="00540E93" w:rsidRDefault="00540E93" w:rsidP="001A5D4A">
            <w:pPr>
              <w:pStyle w:val="NotesTable-ItemPlain"/>
            </w:pPr>
            <w:r>
              <w:t>Total assets</w:t>
            </w:r>
          </w:p>
        </w:tc>
        <w:tc>
          <w:tcPr>
            <w:tcW w:w="412" w:type="pct"/>
            <w:gridSpan w:val="2"/>
          </w:tcPr>
          <w:p w14:paraId="1AF7BAFE" w14:textId="77777777" w:rsidR="00540E93" w:rsidRDefault="00540E93" w:rsidP="001A5D4A">
            <w:pPr>
              <w:pStyle w:val="NotesTable-CellBold"/>
            </w:pPr>
            <w:r>
              <w:t>–</w:t>
            </w:r>
          </w:p>
        </w:tc>
        <w:tc>
          <w:tcPr>
            <w:tcW w:w="412" w:type="pct"/>
            <w:gridSpan w:val="2"/>
          </w:tcPr>
          <w:p w14:paraId="2CCD5BE5" w14:textId="77777777" w:rsidR="00540E93" w:rsidRPr="00E47831" w:rsidRDefault="00540E93" w:rsidP="001A5D4A">
            <w:pPr>
              <w:pStyle w:val="NotesTable-CellPlain"/>
            </w:pPr>
            <w:r w:rsidRPr="00E163AA">
              <w:t>–</w:t>
            </w:r>
          </w:p>
        </w:tc>
        <w:tc>
          <w:tcPr>
            <w:tcW w:w="412" w:type="pct"/>
            <w:gridSpan w:val="2"/>
          </w:tcPr>
          <w:p w14:paraId="5D4B2DD1" w14:textId="77777777" w:rsidR="00540E93" w:rsidRDefault="00540E93" w:rsidP="001A5D4A">
            <w:pPr>
              <w:pStyle w:val="NotesTable-CellBold"/>
            </w:pPr>
            <w:r>
              <w:t>–</w:t>
            </w:r>
          </w:p>
        </w:tc>
        <w:tc>
          <w:tcPr>
            <w:tcW w:w="411" w:type="pct"/>
          </w:tcPr>
          <w:p w14:paraId="28298BA9" w14:textId="77777777" w:rsidR="00540E93" w:rsidRDefault="00540E93" w:rsidP="001A5D4A">
            <w:pPr>
              <w:pStyle w:val="NotesTable-CellPlain"/>
            </w:pPr>
            <w:r>
              <w:t>–</w:t>
            </w:r>
          </w:p>
        </w:tc>
      </w:tr>
      <w:tr w:rsidR="007935A4" w14:paraId="6231276C" w14:textId="77777777" w:rsidTr="00AA53AC">
        <w:trPr>
          <w:trHeight w:hRule="exact" w:val="85"/>
        </w:trPr>
        <w:tc>
          <w:tcPr>
            <w:tcW w:w="812" w:type="pct"/>
          </w:tcPr>
          <w:p w14:paraId="4DE0136B" w14:textId="77777777" w:rsidR="007935A4" w:rsidRDefault="007935A4" w:rsidP="001A5D4A">
            <w:pPr>
              <w:pStyle w:val="Note-Refs"/>
            </w:pPr>
          </w:p>
        </w:tc>
        <w:tc>
          <w:tcPr>
            <w:tcW w:w="2541" w:type="pct"/>
            <w:gridSpan w:val="5"/>
          </w:tcPr>
          <w:p w14:paraId="2855DDF1" w14:textId="77777777" w:rsidR="007935A4" w:rsidRDefault="007935A4" w:rsidP="001A5D4A">
            <w:pPr>
              <w:pStyle w:val="NotesTable-ItemPlain"/>
            </w:pPr>
          </w:p>
        </w:tc>
        <w:tc>
          <w:tcPr>
            <w:tcW w:w="412" w:type="pct"/>
            <w:gridSpan w:val="2"/>
          </w:tcPr>
          <w:p w14:paraId="013039E0" w14:textId="77777777" w:rsidR="007935A4" w:rsidRDefault="007935A4" w:rsidP="001A5D4A">
            <w:pPr>
              <w:pStyle w:val="NotesTable-CellBold"/>
            </w:pPr>
          </w:p>
        </w:tc>
        <w:tc>
          <w:tcPr>
            <w:tcW w:w="412" w:type="pct"/>
            <w:gridSpan w:val="2"/>
          </w:tcPr>
          <w:p w14:paraId="3228F941" w14:textId="77777777" w:rsidR="007935A4" w:rsidRPr="00E163AA" w:rsidRDefault="007935A4" w:rsidP="001A5D4A">
            <w:pPr>
              <w:pStyle w:val="NotesTable-CellPlain"/>
            </w:pPr>
          </w:p>
        </w:tc>
        <w:tc>
          <w:tcPr>
            <w:tcW w:w="412" w:type="pct"/>
            <w:gridSpan w:val="2"/>
          </w:tcPr>
          <w:p w14:paraId="68EEF2E7" w14:textId="77777777" w:rsidR="007935A4" w:rsidRDefault="007935A4" w:rsidP="001A5D4A">
            <w:pPr>
              <w:pStyle w:val="NotesTable-CellBold"/>
            </w:pPr>
          </w:p>
        </w:tc>
        <w:tc>
          <w:tcPr>
            <w:tcW w:w="411" w:type="pct"/>
          </w:tcPr>
          <w:p w14:paraId="31E9676A" w14:textId="77777777" w:rsidR="007935A4" w:rsidRDefault="007935A4" w:rsidP="001A5D4A">
            <w:pPr>
              <w:pStyle w:val="NotesTable-CellPlain"/>
            </w:pPr>
          </w:p>
        </w:tc>
      </w:tr>
      <w:tr w:rsidR="00540E93" w14:paraId="5DB33917" w14:textId="77777777" w:rsidTr="00AA53AC">
        <w:trPr>
          <w:trHeight w:val="159"/>
        </w:trPr>
        <w:tc>
          <w:tcPr>
            <w:tcW w:w="812" w:type="pct"/>
          </w:tcPr>
          <w:p w14:paraId="08FC8CB6" w14:textId="77777777" w:rsidR="00540E93" w:rsidRDefault="00540E93" w:rsidP="001A5D4A">
            <w:pPr>
              <w:pStyle w:val="Note-Refs"/>
            </w:pPr>
          </w:p>
        </w:tc>
        <w:tc>
          <w:tcPr>
            <w:tcW w:w="2541" w:type="pct"/>
            <w:gridSpan w:val="5"/>
          </w:tcPr>
          <w:p w14:paraId="5BAEC615" w14:textId="77777777" w:rsidR="00540E93" w:rsidRDefault="00540E93" w:rsidP="001A5D4A">
            <w:pPr>
              <w:pStyle w:val="NotesTable-ItemPlain"/>
            </w:pPr>
            <w:r>
              <w:t>Current liabilities</w:t>
            </w:r>
          </w:p>
        </w:tc>
        <w:tc>
          <w:tcPr>
            <w:tcW w:w="412" w:type="pct"/>
            <w:gridSpan w:val="2"/>
          </w:tcPr>
          <w:p w14:paraId="5AF1F4A9" w14:textId="77777777" w:rsidR="00540E93" w:rsidRDefault="00540E93" w:rsidP="001A5D4A">
            <w:pPr>
              <w:pStyle w:val="NotesTable-CellBold"/>
            </w:pPr>
            <w:r>
              <w:t>–</w:t>
            </w:r>
          </w:p>
        </w:tc>
        <w:tc>
          <w:tcPr>
            <w:tcW w:w="412" w:type="pct"/>
            <w:gridSpan w:val="2"/>
          </w:tcPr>
          <w:p w14:paraId="0F43D9DB" w14:textId="77777777" w:rsidR="00540E93" w:rsidRPr="00E47831" w:rsidRDefault="00540E93" w:rsidP="001A5D4A">
            <w:pPr>
              <w:pStyle w:val="NotesTable-CellPlain"/>
            </w:pPr>
            <w:r w:rsidRPr="00E163AA">
              <w:t>–</w:t>
            </w:r>
          </w:p>
        </w:tc>
        <w:tc>
          <w:tcPr>
            <w:tcW w:w="412" w:type="pct"/>
            <w:gridSpan w:val="2"/>
          </w:tcPr>
          <w:p w14:paraId="39094D99" w14:textId="77777777" w:rsidR="00540E93" w:rsidRDefault="00540E93" w:rsidP="001A5D4A">
            <w:pPr>
              <w:pStyle w:val="NotesTable-CellBold"/>
            </w:pPr>
            <w:r>
              <w:t>–</w:t>
            </w:r>
          </w:p>
        </w:tc>
        <w:tc>
          <w:tcPr>
            <w:tcW w:w="411" w:type="pct"/>
          </w:tcPr>
          <w:p w14:paraId="34F2B269" w14:textId="77777777" w:rsidR="00540E93" w:rsidRDefault="00540E93" w:rsidP="001A5D4A">
            <w:pPr>
              <w:pStyle w:val="NotesTable-CellPlain"/>
            </w:pPr>
            <w:r>
              <w:t>–</w:t>
            </w:r>
          </w:p>
        </w:tc>
      </w:tr>
      <w:tr w:rsidR="00540E93" w14:paraId="3AC6CBE5" w14:textId="77777777" w:rsidTr="00AA53AC">
        <w:trPr>
          <w:trHeight w:val="159"/>
        </w:trPr>
        <w:tc>
          <w:tcPr>
            <w:tcW w:w="812" w:type="pct"/>
          </w:tcPr>
          <w:p w14:paraId="3FA2041E" w14:textId="77777777" w:rsidR="00540E93" w:rsidRDefault="00540E93" w:rsidP="001A5D4A">
            <w:pPr>
              <w:pStyle w:val="Note-Refs"/>
            </w:pPr>
          </w:p>
        </w:tc>
        <w:tc>
          <w:tcPr>
            <w:tcW w:w="2541" w:type="pct"/>
            <w:gridSpan w:val="5"/>
          </w:tcPr>
          <w:p w14:paraId="4584C7CB" w14:textId="77777777" w:rsidR="00540E93" w:rsidRDefault="00540E93" w:rsidP="001A5D4A">
            <w:pPr>
              <w:pStyle w:val="NotesTable-ItemPlain"/>
            </w:pPr>
            <w:r>
              <w:t>Non-current liabilities</w:t>
            </w:r>
          </w:p>
        </w:tc>
        <w:tc>
          <w:tcPr>
            <w:tcW w:w="412" w:type="pct"/>
            <w:gridSpan w:val="2"/>
          </w:tcPr>
          <w:p w14:paraId="11F188DF" w14:textId="77777777" w:rsidR="00540E93" w:rsidRDefault="00540E93" w:rsidP="001A5D4A">
            <w:pPr>
              <w:pStyle w:val="NotesTable-CellBold"/>
            </w:pPr>
            <w:r>
              <w:t>–</w:t>
            </w:r>
          </w:p>
        </w:tc>
        <w:tc>
          <w:tcPr>
            <w:tcW w:w="412" w:type="pct"/>
            <w:gridSpan w:val="2"/>
          </w:tcPr>
          <w:p w14:paraId="7A1C897B" w14:textId="77777777" w:rsidR="00540E93" w:rsidRPr="00E47831" w:rsidRDefault="00540E93" w:rsidP="001A5D4A">
            <w:pPr>
              <w:pStyle w:val="NotesTable-CellPlain"/>
            </w:pPr>
            <w:r w:rsidRPr="00E163AA">
              <w:t>–</w:t>
            </w:r>
          </w:p>
        </w:tc>
        <w:tc>
          <w:tcPr>
            <w:tcW w:w="412" w:type="pct"/>
            <w:gridSpan w:val="2"/>
          </w:tcPr>
          <w:p w14:paraId="33D335E9" w14:textId="77777777" w:rsidR="00540E93" w:rsidRDefault="00540E93" w:rsidP="001A5D4A">
            <w:pPr>
              <w:pStyle w:val="NotesTable-CellBold"/>
            </w:pPr>
            <w:r>
              <w:t>–</w:t>
            </w:r>
          </w:p>
        </w:tc>
        <w:tc>
          <w:tcPr>
            <w:tcW w:w="411" w:type="pct"/>
          </w:tcPr>
          <w:p w14:paraId="48C7F9CB" w14:textId="77777777" w:rsidR="00540E93" w:rsidRDefault="00540E93" w:rsidP="001A5D4A">
            <w:pPr>
              <w:pStyle w:val="NotesTable-CellPlain"/>
            </w:pPr>
            <w:r>
              <w:t>–</w:t>
            </w:r>
          </w:p>
        </w:tc>
      </w:tr>
      <w:tr w:rsidR="00540E93" w14:paraId="0BF6CEF3" w14:textId="77777777" w:rsidTr="00AA53AC">
        <w:trPr>
          <w:trHeight w:val="159"/>
        </w:trPr>
        <w:tc>
          <w:tcPr>
            <w:tcW w:w="812" w:type="pct"/>
          </w:tcPr>
          <w:p w14:paraId="7788E049" w14:textId="77777777" w:rsidR="00540E93" w:rsidRDefault="00540E93" w:rsidP="001A5D4A">
            <w:pPr>
              <w:pStyle w:val="Note-Refs"/>
            </w:pPr>
          </w:p>
        </w:tc>
        <w:tc>
          <w:tcPr>
            <w:tcW w:w="2541" w:type="pct"/>
            <w:gridSpan w:val="5"/>
          </w:tcPr>
          <w:p w14:paraId="59115764" w14:textId="77777777" w:rsidR="00540E93" w:rsidRDefault="00540E93" w:rsidP="001A5D4A">
            <w:pPr>
              <w:pStyle w:val="NotesTable-ItemPlain"/>
            </w:pPr>
            <w:r>
              <w:t>Total liabilities</w:t>
            </w:r>
          </w:p>
        </w:tc>
        <w:tc>
          <w:tcPr>
            <w:tcW w:w="412" w:type="pct"/>
            <w:gridSpan w:val="2"/>
          </w:tcPr>
          <w:p w14:paraId="09526F5F" w14:textId="77777777" w:rsidR="00540E93" w:rsidRDefault="00540E93" w:rsidP="001A5D4A">
            <w:pPr>
              <w:pStyle w:val="NotesTable-CellBold"/>
            </w:pPr>
            <w:r>
              <w:t>–</w:t>
            </w:r>
          </w:p>
        </w:tc>
        <w:tc>
          <w:tcPr>
            <w:tcW w:w="412" w:type="pct"/>
            <w:gridSpan w:val="2"/>
          </w:tcPr>
          <w:p w14:paraId="3A875366" w14:textId="77777777" w:rsidR="00540E93" w:rsidRPr="00E47831" w:rsidRDefault="00540E93" w:rsidP="001A5D4A">
            <w:pPr>
              <w:pStyle w:val="NotesTable-CellPlain"/>
            </w:pPr>
            <w:r w:rsidRPr="00E163AA">
              <w:t>–</w:t>
            </w:r>
          </w:p>
        </w:tc>
        <w:tc>
          <w:tcPr>
            <w:tcW w:w="412" w:type="pct"/>
            <w:gridSpan w:val="2"/>
          </w:tcPr>
          <w:p w14:paraId="74973942" w14:textId="77777777" w:rsidR="00540E93" w:rsidRDefault="00540E93" w:rsidP="001A5D4A">
            <w:pPr>
              <w:pStyle w:val="NotesTable-CellBold"/>
            </w:pPr>
            <w:r>
              <w:t>–</w:t>
            </w:r>
          </w:p>
        </w:tc>
        <w:tc>
          <w:tcPr>
            <w:tcW w:w="411" w:type="pct"/>
          </w:tcPr>
          <w:p w14:paraId="687C8492" w14:textId="77777777" w:rsidR="00540E93" w:rsidRDefault="00540E93" w:rsidP="001A5D4A">
            <w:pPr>
              <w:pStyle w:val="NotesTable-CellPlain"/>
            </w:pPr>
            <w:r>
              <w:t>–</w:t>
            </w:r>
          </w:p>
        </w:tc>
      </w:tr>
      <w:tr w:rsidR="00A26C02" w14:paraId="101C6E60" w14:textId="77777777" w:rsidTr="00AA53AC">
        <w:trPr>
          <w:trHeight w:val="159"/>
        </w:trPr>
        <w:tc>
          <w:tcPr>
            <w:tcW w:w="812" w:type="pct"/>
          </w:tcPr>
          <w:p w14:paraId="305C1208" w14:textId="77777777" w:rsidR="00A26C02" w:rsidRDefault="00A26C02" w:rsidP="001A5D4A">
            <w:pPr>
              <w:pStyle w:val="Note-Refs"/>
            </w:pPr>
          </w:p>
        </w:tc>
        <w:tc>
          <w:tcPr>
            <w:tcW w:w="2541" w:type="pct"/>
            <w:gridSpan w:val="5"/>
          </w:tcPr>
          <w:p w14:paraId="572C824A" w14:textId="2DC306BC" w:rsidR="00A26C02" w:rsidRDefault="00A26C02" w:rsidP="001A5D4A">
            <w:pPr>
              <w:pStyle w:val="NotesTable-ItemPlain"/>
            </w:pPr>
            <w:r>
              <w:t>Net assets</w:t>
            </w:r>
          </w:p>
        </w:tc>
        <w:tc>
          <w:tcPr>
            <w:tcW w:w="412" w:type="pct"/>
            <w:gridSpan w:val="2"/>
          </w:tcPr>
          <w:p w14:paraId="618F325D" w14:textId="7791406A" w:rsidR="00A26C02" w:rsidRDefault="00A26C02" w:rsidP="001A5D4A">
            <w:pPr>
              <w:pStyle w:val="NotesTable-CellBold"/>
            </w:pPr>
            <w:r>
              <w:t>–</w:t>
            </w:r>
          </w:p>
        </w:tc>
        <w:tc>
          <w:tcPr>
            <w:tcW w:w="412" w:type="pct"/>
            <w:gridSpan w:val="2"/>
          </w:tcPr>
          <w:p w14:paraId="4D8BFFB0" w14:textId="1A610784" w:rsidR="00A26C02" w:rsidRPr="00E47831" w:rsidRDefault="00A26C02" w:rsidP="001A5D4A">
            <w:pPr>
              <w:pStyle w:val="NotesTable-CellPlain"/>
            </w:pPr>
            <w:r w:rsidRPr="00E163AA">
              <w:t>–</w:t>
            </w:r>
          </w:p>
        </w:tc>
        <w:tc>
          <w:tcPr>
            <w:tcW w:w="412" w:type="pct"/>
            <w:gridSpan w:val="2"/>
          </w:tcPr>
          <w:p w14:paraId="0EDCDDFB" w14:textId="176A00BD" w:rsidR="00A26C02" w:rsidRDefault="00A26C02" w:rsidP="001A5D4A">
            <w:pPr>
              <w:pStyle w:val="NotesTable-CellBold"/>
            </w:pPr>
            <w:r>
              <w:t>–</w:t>
            </w:r>
          </w:p>
        </w:tc>
        <w:tc>
          <w:tcPr>
            <w:tcW w:w="411" w:type="pct"/>
          </w:tcPr>
          <w:p w14:paraId="4A3C8DE5" w14:textId="58AB0576" w:rsidR="00A26C02" w:rsidRDefault="00A26C02" w:rsidP="001A5D4A">
            <w:pPr>
              <w:pStyle w:val="NotesTable-CellPlain"/>
            </w:pPr>
            <w:r>
              <w:t>–</w:t>
            </w:r>
          </w:p>
        </w:tc>
      </w:tr>
      <w:tr w:rsidR="007935A4" w14:paraId="2E8DD885" w14:textId="77777777" w:rsidTr="00AA53AC">
        <w:trPr>
          <w:trHeight w:val="159"/>
        </w:trPr>
        <w:tc>
          <w:tcPr>
            <w:tcW w:w="812" w:type="pct"/>
          </w:tcPr>
          <w:p w14:paraId="7C34C056" w14:textId="77777777" w:rsidR="007935A4" w:rsidRDefault="007935A4" w:rsidP="001A5D4A">
            <w:pPr>
              <w:pStyle w:val="Note-Refs"/>
            </w:pPr>
          </w:p>
        </w:tc>
        <w:tc>
          <w:tcPr>
            <w:tcW w:w="2541" w:type="pct"/>
            <w:gridSpan w:val="5"/>
          </w:tcPr>
          <w:p w14:paraId="0EC38D0B" w14:textId="77777777" w:rsidR="007935A4" w:rsidRDefault="007935A4" w:rsidP="001A5D4A">
            <w:pPr>
              <w:pStyle w:val="NotesTable-ItemPlain"/>
            </w:pPr>
          </w:p>
        </w:tc>
        <w:tc>
          <w:tcPr>
            <w:tcW w:w="412" w:type="pct"/>
            <w:gridSpan w:val="2"/>
          </w:tcPr>
          <w:p w14:paraId="7F06A4C0" w14:textId="77777777" w:rsidR="007935A4" w:rsidRDefault="007935A4" w:rsidP="001A5D4A">
            <w:pPr>
              <w:pStyle w:val="NotesTable-CellBold"/>
            </w:pPr>
          </w:p>
        </w:tc>
        <w:tc>
          <w:tcPr>
            <w:tcW w:w="412" w:type="pct"/>
            <w:gridSpan w:val="2"/>
          </w:tcPr>
          <w:p w14:paraId="3CEB5E13" w14:textId="77777777" w:rsidR="007935A4" w:rsidRPr="00E163AA" w:rsidRDefault="007935A4" w:rsidP="001A5D4A">
            <w:pPr>
              <w:pStyle w:val="NotesTable-CellPlain"/>
            </w:pPr>
          </w:p>
        </w:tc>
        <w:tc>
          <w:tcPr>
            <w:tcW w:w="412" w:type="pct"/>
            <w:gridSpan w:val="2"/>
          </w:tcPr>
          <w:p w14:paraId="2C84D033" w14:textId="77777777" w:rsidR="007935A4" w:rsidRDefault="007935A4" w:rsidP="001A5D4A">
            <w:pPr>
              <w:pStyle w:val="NotesTable-CellBold"/>
            </w:pPr>
          </w:p>
        </w:tc>
        <w:tc>
          <w:tcPr>
            <w:tcW w:w="411" w:type="pct"/>
          </w:tcPr>
          <w:p w14:paraId="7E34116F" w14:textId="77777777" w:rsidR="007935A4" w:rsidRDefault="007935A4" w:rsidP="001A5D4A">
            <w:pPr>
              <w:pStyle w:val="NotesTable-CellPlain"/>
            </w:pPr>
          </w:p>
        </w:tc>
      </w:tr>
      <w:tr w:rsidR="007935A4" w14:paraId="29D1151C" w14:textId="77777777" w:rsidTr="00AA53AC">
        <w:trPr>
          <w:trHeight w:val="159"/>
        </w:trPr>
        <w:tc>
          <w:tcPr>
            <w:tcW w:w="812" w:type="pct"/>
          </w:tcPr>
          <w:p w14:paraId="45C3F7CC" w14:textId="0CF1F637" w:rsidR="007935A4" w:rsidRDefault="007935A4" w:rsidP="001A5D4A">
            <w:pPr>
              <w:pStyle w:val="Note-Refs"/>
            </w:pPr>
            <w:r>
              <w:t>AASB12.</w:t>
            </w:r>
            <w:r w:rsidR="009E7933">
              <w:t>12f</w:t>
            </w:r>
          </w:p>
        </w:tc>
        <w:tc>
          <w:tcPr>
            <w:tcW w:w="2541" w:type="pct"/>
            <w:gridSpan w:val="5"/>
          </w:tcPr>
          <w:p w14:paraId="0A0627B4" w14:textId="09F75047" w:rsidR="007935A4" w:rsidRDefault="007935A4" w:rsidP="001A5D4A">
            <w:pPr>
              <w:pStyle w:val="NotesTable-ItemPlain"/>
            </w:pPr>
            <w:r>
              <w:t>Accumulated non-controlling interest</w:t>
            </w:r>
          </w:p>
        </w:tc>
        <w:tc>
          <w:tcPr>
            <w:tcW w:w="412" w:type="pct"/>
            <w:gridSpan w:val="2"/>
          </w:tcPr>
          <w:p w14:paraId="292DC8A8" w14:textId="5FE22868" w:rsidR="007935A4" w:rsidRDefault="007935A4" w:rsidP="001A5D4A">
            <w:pPr>
              <w:pStyle w:val="NotesTable-CellBold"/>
            </w:pPr>
            <w:r>
              <w:t>–</w:t>
            </w:r>
          </w:p>
        </w:tc>
        <w:tc>
          <w:tcPr>
            <w:tcW w:w="412" w:type="pct"/>
            <w:gridSpan w:val="2"/>
          </w:tcPr>
          <w:p w14:paraId="5C77AB92" w14:textId="02350B1B" w:rsidR="007935A4" w:rsidRPr="00E47831" w:rsidRDefault="007935A4" w:rsidP="001A5D4A">
            <w:pPr>
              <w:pStyle w:val="NotesTable-CellPlain"/>
            </w:pPr>
            <w:r w:rsidRPr="00E163AA">
              <w:t>–</w:t>
            </w:r>
          </w:p>
        </w:tc>
        <w:tc>
          <w:tcPr>
            <w:tcW w:w="412" w:type="pct"/>
            <w:gridSpan w:val="2"/>
          </w:tcPr>
          <w:p w14:paraId="75FDF85F" w14:textId="47F7BECF" w:rsidR="007935A4" w:rsidRDefault="007935A4" w:rsidP="001A5D4A">
            <w:pPr>
              <w:pStyle w:val="NotesTable-CellBold"/>
            </w:pPr>
            <w:r>
              <w:t>–</w:t>
            </w:r>
          </w:p>
        </w:tc>
        <w:tc>
          <w:tcPr>
            <w:tcW w:w="411" w:type="pct"/>
          </w:tcPr>
          <w:p w14:paraId="2B2E49C7" w14:textId="065FE74B" w:rsidR="007935A4" w:rsidRDefault="007935A4" w:rsidP="001A5D4A">
            <w:pPr>
              <w:pStyle w:val="NotesTable-CellPlain"/>
            </w:pPr>
            <w:r>
              <w:t>–</w:t>
            </w:r>
          </w:p>
        </w:tc>
      </w:tr>
      <w:tr w:rsidR="00540E93" w14:paraId="5B1F79D7" w14:textId="77777777" w:rsidTr="00AA53AC">
        <w:trPr>
          <w:trHeight w:val="159"/>
        </w:trPr>
        <w:tc>
          <w:tcPr>
            <w:tcW w:w="812" w:type="pct"/>
          </w:tcPr>
          <w:p w14:paraId="166E0810" w14:textId="77777777" w:rsidR="00540E93" w:rsidRDefault="00540E93" w:rsidP="001A5D4A">
            <w:pPr>
              <w:pStyle w:val="Note-Refs"/>
            </w:pPr>
          </w:p>
        </w:tc>
        <w:tc>
          <w:tcPr>
            <w:tcW w:w="2541" w:type="pct"/>
            <w:gridSpan w:val="5"/>
          </w:tcPr>
          <w:p w14:paraId="163801BE" w14:textId="77777777" w:rsidR="00540E93" w:rsidRDefault="00540E93" w:rsidP="001A5D4A">
            <w:pPr>
              <w:pStyle w:val="CommentText"/>
            </w:pPr>
          </w:p>
        </w:tc>
        <w:tc>
          <w:tcPr>
            <w:tcW w:w="412" w:type="pct"/>
            <w:gridSpan w:val="2"/>
          </w:tcPr>
          <w:p w14:paraId="7DA784C6" w14:textId="77777777" w:rsidR="00540E93" w:rsidRDefault="00540E93" w:rsidP="001A5D4A">
            <w:pPr>
              <w:pStyle w:val="NotesTable-CellBold"/>
            </w:pPr>
          </w:p>
        </w:tc>
        <w:tc>
          <w:tcPr>
            <w:tcW w:w="412" w:type="pct"/>
            <w:gridSpan w:val="2"/>
          </w:tcPr>
          <w:p w14:paraId="1E9DAD52" w14:textId="77777777" w:rsidR="00540E93" w:rsidRPr="00E163AA" w:rsidRDefault="00540E93" w:rsidP="001A5D4A">
            <w:pPr>
              <w:pStyle w:val="NotesTable-CellPlain"/>
            </w:pPr>
          </w:p>
        </w:tc>
        <w:tc>
          <w:tcPr>
            <w:tcW w:w="412" w:type="pct"/>
            <w:gridSpan w:val="2"/>
          </w:tcPr>
          <w:p w14:paraId="220EF357" w14:textId="77777777" w:rsidR="00540E93" w:rsidRDefault="00540E93" w:rsidP="001A5D4A">
            <w:pPr>
              <w:pStyle w:val="NotesTable-CellBold"/>
            </w:pPr>
          </w:p>
        </w:tc>
        <w:tc>
          <w:tcPr>
            <w:tcW w:w="411" w:type="pct"/>
          </w:tcPr>
          <w:p w14:paraId="329A0E33" w14:textId="77777777" w:rsidR="00540E93" w:rsidRDefault="00540E93" w:rsidP="001A5D4A">
            <w:pPr>
              <w:pStyle w:val="NotesTable-CellPlain"/>
            </w:pPr>
          </w:p>
        </w:tc>
      </w:tr>
      <w:tr w:rsidR="00540E93" w14:paraId="71E9A63A" w14:textId="77777777" w:rsidTr="00AA53AC">
        <w:trPr>
          <w:trHeight w:val="159"/>
        </w:trPr>
        <w:tc>
          <w:tcPr>
            <w:tcW w:w="812" w:type="pct"/>
          </w:tcPr>
          <w:p w14:paraId="6192199A" w14:textId="77777777" w:rsidR="00540E93" w:rsidRDefault="00540E93" w:rsidP="001A5D4A">
            <w:pPr>
              <w:pStyle w:val="Note-Refs"/>
            </w:pPr>
          </w:p>
        </w:tc>
        <w:tc>
          <w:tcPr>
            <w:tcW w:w="2541" w:type="pct"/>
            <w:gridSpan w:val="5"/>
          </w:tcPr>
          <w:p w14:paraId="3CED0362" w14:textId="77777777" w:rsidR="00540E93" w:rsidRPr="00A7463C" w:rsidRDefault="00540E93" w:rsidP="001A5D4A">
            <w:pPr>
              <w:pStyle w:val="Note-TextHeader"/>
            </w:pPr>
            <w:r w:rsidRPr="00A7463C">
              <w:t>Financial Performance</w:t>
            </w:r>
          </w:p>
        </w:tc>
        <w:tc>
          <w:tcPr>
            <w:tcW w:w="412" w:type="pct"/>
            <w:gridSpan w:val="2"/>
          </w:tcPr>
          <w:p w14:paraId="6BA7A9A8" w14:textId="77777777" w:rsidR="00540E93" w:rsidRDefault="00540E93" w:rsidP="001A5D4A">
            <w:pPr>
              <w:pStyle w:val="NotesTable-CellBold"/>
            </w:pPr>
          </w:p>
        </w:tc>
        <w:tc>
          <w:tcPr>
            <w:tcW w:w="412" w:type="pct"/>
            <w:gridSpan w:val="2"/>
          </w:tcPr>
          <w:p w14:paraId="1A2470D1" w14:textId="77777777" w:rsidR="00540E93" w:rsidRPr="00E163AA" w:rsidRDefault="00540E93" w:rsidP="001A5D4A">
            <w:pPr>
              <w:pStyle w:val="NotesTable-CellPlain"/>
            </w:pPr>
          </w:p>
        </w:tc>
        <w:tc>
          <w:tcPr>
            <w:tcW w:w="412" w:type="pct"/>
            <w:gridSpan w:val="2"/>
          </w:tcPr>
          <w:p w14:paraId="0308D33A" w14:textId="77777777" w:rsidR="00540E93" w:rsidRDefault="00540E93" w:rsidP="001A5D4A">
            <w:pPr>
              <w:pStyle w:val="NotesTable-CellBold"/>
            </w:pPr>
          </w:p>
        </w:tc>
        <w:tc>
          <w:tcPr>
            <w:tcW w:w="411" w:type="pct"/>
          </w:tcPr>
          <w:p w14:paraId="049C0E9F" w14:textId="77777777" w:rsidR="00540E93" w:rsidRDefault="00540E93" w:rsidP="001A5D4A">
            <w:pPr>
              <w:pStyle w:val="NotesTable-CellPlain"/>
            </w:pPr>
          </w:p>
        </w:tc>
      </w:tr>
      <w:tr w:rsidR="00540E93" w14:paraId="7438B665" w14:textId="77777777" w:rsidTr="00AA53AC">
        <w:trPr>
          <w:trHeight w:val="159"/>
        </w:trPr>
        <w:tc>
          <w:tcPr>
            <w:tcW w:w="812" w:type="pct"/>
          </w:tcPr>
          <w:p w14:paraId="2B9B064F" w14:textId="77777777" w:rsidR="00540E93" w:rsidRDefault="00540E93" w:rsidP="001A5D4A">
            <w:pPr>
              <w:pStyle w:val="Note-Refs"/>
            </w:pPr>
          </w:p>
        </w:tc>
        <w:tc>
          <w:tcPr>
            <w:tcW w:w="2541" w:type="pct"/>
            <w:gridSpan w:val="5"/>
          </w:tcPr>
          <w:p w14:paraId="754DCA01" w14:textId="77777777" w:rsidR="00540E93" w:rsidRDefault="00540E93" w:rsidP="001A5D4A">
            <w:pPr>
              <w:pStyle w:val="NotesTable-ItemPlain"/>
            </w:pPr>
            <w:r>
              <w:t>Revenue</w:t>
            </w:r>
          </w:p>
        </w:tc>
        <w:tc>
          <w:tcPr>
            <w:tcW w:w="412" w:type="pct"/>
            <w:gridSpan w:val="2"/>
          </w:tcPr>
          <w:p w14:paraId="444B893D" w14:textId="77777777" w:rsidR="00540E93" w:rsidRDefault="00540E93" w:rsidP="001A5D4A">
            <w:pPr>
              <w:pStyle w:val="NotesTable-CellBold"/>
            </w:pPr>
            <w:r>
              <w:t>–</w:t>
            </w:r>
          </w:p>
        </w:tc>
        <w:tc>
          <w:tcPr>
            <w:tcW w:w="412" w:type="pct"/>
            <w:gridSpan w:val="2"/>
          </w:tcPr>
          <w:p w14:paraId="20DCD330" w14:textId="77777777" w:rsidR="00540E93" w:rsidRPr="00E47831" w:rsidRDefault="00540E93" w:rsidP="001A5D4A">
            <w:pPr>
              <w:pStyle w:val="NotesTable-CellPlain"/>
            </w:pPr>
            <w:r w:rsidRPr="00E163AA">
              <w:t>–</w:t>
            </w:r>
          </w:p>
        </w:tc>
        <w:tc>
          <w:tcPr>
            <w:tcW w:w="412" w:type="pct"/>
            <w:gridSpan w:val="2"/>
          </w:tcPr>
          <w:p w14:paraId="529E8CBD" w14:textId="77777777" w:rsidR="00540E93" w:rsidRDefault="00540E93" w:rsidP="001A5D4A">
            <w:pPr>
              <w:pStyle w:val="NotesTable-CellBold"/>
            </w:pPr>
            <w:r>
              <w:t>–</w:t>
            </w:r>
          </w:p>
        </w:tc>
        <w:tc>
          <w:tcPr>
            <w:tcW w:w="411" w:type="pct"/>
          </w:tcPr>
          <w:p w14:paraId="278A0042" w14:textId="77777777" w:rsidR="00540E93" w:rsidRDefault="00540E93" w:rsidP="001A5D4A">
            <w:pPr>
              <w:pStyle w:val="NotesTable-CellPlain"/>
            </w:pPr>
            <w:r>
              <w:t>–</w:t>
            </w:r>
          </w:p>
        </w:tc>
      </w:tr>
      <w:tr w:rsidR="00540E93" w14:paraId="0801A213" w14:textId="77777777" w:rsidTr="00AA53AC">
        <w:trPr>
          <w:trHeight w:val="159"/>
        </w:trPr>
        <w:tc>
          <w:tcPr>
            <w:tcW w:w="812" w:type="pct"/>
          </w:tcPr>
          <w:p w14:paraId="3EBA3967" w14:textId="77777777" w:rsidR="00540E93" w:rsidRDefault="00540E93" w:rsidP="001A5D4A">
            <w:pPr>
              <w:pStyle w:val="Note-Refs"/>
            </w:pPr>
          </w:p>
        </w:tc>
        <w:tc>
          <w:tcPr>
            <w:tcW w:w="2541" w:type="pct"/>
            <w:gridSpan w:val="5"/>
          </w:tcPr>
          <w:p w14:paraId="0938EFE0" w14:textId="77777777" w:rsidR="00540E93" w:rsidRDefault="00540E93" w:rsidP="001A5D4A">
            <w:pPr>
              <w:pStyle w:val="NotesTable-ItemPlain"/>
            </w:pPr>
            <w:r>
              <w:t>Profit or loss</w:t>
            </w:r>
          </w:p>
        </w:tc>
        <w:tc>
          <w:tcPr>
            <w:tcW w:w="412" w:type="pct"/>
            <w:gridSpan w:val="2"/>
          </w:tcPr>
          <w:p w14:paraId="6857147A" w14:textId="77777777" w:rsidR="00540E93" w:rsidRDefault="00540E93" w:rsidP="001A5D4A">
            <w:pPr>
              <w:pStyle w:val="NotesTable-CellBold"/>
            </w:pPr>
            <w:r>
              <w:t>–</w:t>
            </w:r>
          </w:p>
        </w:tc>
        <w:tc>
          <w:tcPr>
            <w:tcW w:w="412" w:type="pct"/>
            <w:gridSpan w:val="2"/>
          </w:tcPr>
          <w:p w14:paraId="6FB97DAF" w14:textId="77777777" w:rsidR="00540E93" w:rsidRPr="00E47831" w:rsidRDefault="00540E93" w:rsidP="001A5D4A">
            <w:pPr>
              <w:pStyle w:val="NotesTable-CellPlain"/>
            </w:pPr>
            <w:r w:rsidRPr="00E163AA">
              <w:t>–</w:t>
            </w:r>
          </w:p>
        </w:tc>
        <w:tc>
          <w:tcPr>
            <w:tcW w:w="412" w:type="pct"/>
            <w:gridSpan w:val="2"/>
          </w:tcPr>
          <w:p w14:paraId="3A179BF5" w14:textId="77777777" w:rsidR="00540E93" w:rsidRDefault="00540E93" w:rsidP="001A5D4A">
            <w:pPr>
              <w:pStyle w:val="NotesTable-CellBold"/>
            </w:pPr>
            <w:r>
              <w:t>–</w:t>
            </w:r>
          </w:p>
        </w:tc>
        <w:tc>
          <w:tcPr>
            <w:tcW w:w="411" w:type="pct"/>
          </w:tcPr>
          <w:p w14:paraId="36C6E9BC" w14:textId="77777777" w:rsidR="00540E93" w:rsidRDefault="00540E93" w:rsidP="001A5D4A">
            <w:pPr>
              <w:pStyle w:val="NotesTable-CellPlain"/>
            </w:pPr>
            <w:r>
              <w:t>–</w:t>
            </w:r>
          </w:p>
        </w:tc>
      </w:tr>
      <w:tr w:rsidR="00905F61" w14:paraId="7441F36A" w14:textId="77777777" w:rsidTr="00AA53AC">
        <w:trPr>
          <w:trHeight w:val="159"/>
        </w:trPr>
        <w:tc>
          <w:tcPr>
            <w:tcW w:w="812" w:type="pct"/>
          </w:tcPr>
          <w:p w14:paraId="22081BA4" w14:textId="77777777" w:rsidR="00905F61" w:rsidRDefault="00905F61" w:rsidP="001A5D4A">
            <w:pPr>
              <w:pStyle w:val="Note-Refs"/>
            </w:pPr>
          </w:p>
        </w:tc>
        <w:tc>
          <w:tcPr>
            <w:tcW w:w="2541" w:type="pct"/>
            <w:gridSpan w:val="5"/>
          </w:tcPr>
          <w:p w14:paraId="2C191B4D" w14:textId="0DB529E0" w:rsidR="00905F61" w:rsidRDefault="00905F61" w:rsidP="001A5D4A">
            <w:pPr>
              <w:pStyle w:val="NotesTable-ItemPlain"/>
            </w:pPr>
            <w:r>
              <w:t>Profit or loss attributable to NCI</w:t>
            </w:r>
          </w:p>
        </w:tc>
        <w:tc>
          <w:tcPr>
            <w:tcW w:w="412" w:type="pct"/>
            <w:gridSpan w:val="2"/>
          </w:tcPr>
          <w:p w14:paraId="5A391FB4" w14:textId="77777777" w:rsidR="00905F61" w:rsidRDefault="00905F61" w:rsidP="001A5D4A">
            <w:pPr>
              <w:pStyle w:val="NotesTable-CellBold"/>
            </w:pPr>
            <w:r>
              <w:t>–</w:t>
            </w:r>
          </w:p>
        </w:tc>
        <w:tc>
          <w:tcPr>
            <w:tcW w:w="412" w:type="pct"/>
            <w:gridSpan w:val="2"/>
          </w:tcPr>
          <w:p w14:paraId="5C822836" w14:textId="77777777" w:rsidR="00905F61" w:rsidRPr="00E163AA" w:rsidRDefault="00905F61" w:rsidP="001A5D4A">
            <w:pPr>
              <w:pStyle w:val="NotesTable-CellPlain"/>
            </w:pPr>
            <w:r w:rsidRPr="00E163AA">
              <w:t>–</w:t>
            </w:r>
          </w:p>
        </w:tc>
        <w:tc>
          <w:tcPr>
            <w:tcW w:w="412" w:type="pct"/>
            <w:gridSpan w:val="2"/>
          </w:tcPr>
          <w:p w14:paraId="084D8812" w14:textId="77777777" w:rsidR="00905F61" w:rsidRDefault="00905F61" w:rsidP="001A5D4A">
            <w:pPr>
              <w:pStyle w:val="NotesTable-CellBold"/>
            </w:pPr>
            <w:r>
              <w:t>–</w:t>
            </w:r>
          </w:p>
        </w:tc>
        <w:tc>
          <w:tcPr>
            <w:tcW w:w="411" w:type="pct"/>
          </w:tcPr>
          <w:p w14:paraId="2169D5F6" w14:textId="77777777" w:rsidR="00905F61" w:rsidRDefault="00905F61" w:rsidP="001A5D4A">
            <w:pPr>
              <w:pStyle w:val="NotesTable-CellPlain"/>
            </w:pPr>
            <w:r>
              <w:t>–</w:t>
            </w:r>
          </w:p>
        </w:tc>
      </w:tr>
      <w:tr w:rsidR="00905F61" w14:paraId="3A4211FB" w14:textId="77777777" w:rsidTr="00AA53AC">
        <w:trPr>
          <w:trHeight w:val="159"/>
        </w:trPr>
        <w:tc>
          <w:tcPr>
            <w:tcW w:w="812" w:type="pct"/>
          </w:tcPr>
          <w:p w14:paraId="10C289CC" w14:textId="77777777" w:rsidR="00905F61" w:rsidRDefault="00905F61" w:rsidP="001A5D4A">
            <w:pPr>
              <w:pStyle w:val="Note-Refs"/>
            </w:pPr>
          </w:p>
        </w:tc>
        <w:tc>
          <w:tcPr>
            <w:tcW w:w="2541" w:type="pct"/>
            <w:gridSpan w:val="5"/>
          </w:tcPr>
          <w:p w14:paraId="122D1C1F" w14:textId="77777777" w:rsidR="00905F61" w:rsidRDefault="00905F61" w:rsidP="001A5D4A">
            <w:pPr>
              <w:pStyle w:val="NotesTable-ItemPlain"/>
            </w:pPr>
          </w:p>
        </w:tc>
        <w:tc>
          <w:tcPr>
            <w:tcW w:w="412" w:type="pct"/>
            <w:gridSpan w:val="2"/>
          </w:tcPr>
          <w:p w14:paraId="679C8FE6" w14:textId="77777777" w:rsidR="00905F61" w:rsidRDefault="00905F61" w:rsidP="001A5D4A">
            <w:pPr>
              <w:pStyle w:val="NotesTable-CellBold"/>
            </w:pPr>
          </w:p>
        </w:tc>
        <w:tc>
          <w:tcPr>
            <w:tcW w:w="412" w:type="pct"/>
            <w:gridSpan w:val="2"/>
          </w:tcPr>
          <w:p w14:paraId="7C49650F" w14:textId="77777777" w:rsidR="00905F61" w:rsidRPr="00E163AA" w:rsidRDefault="00905F61" w:rsidP="001A5D4A">
            <w:pPr>
              <w:pStyle w:val="NotesTable-CellPlain"/>
            </w:pPr>
          </w:p>
        </w:tc>
        <w:tc>
          <w:tcPr>
            <w:tcW w:w="412" w:type="pct"/>
            <w:gridSpan w:val="2"/>
          </w:tcPr>
          <w:p w14:paraId="26B6EFFB" w14:textId="77777777" w:rsidR="00905F61" w:rsidRDefault="00905F61" w:rsidP="001A5D4A">
            <w:pPr>
              <w:pStyle w:val="NotesTable-CellBold"/>
            </w:pPr>
          </w:p>
        </w:tc>
        <w:tc>
          <w:tcPr>
            <w:tcW w:w="411" w:type="pct"/>
          </w:tcPr>
          <w:p w14:paraId="53212981" w14:textId="77777777" w:rsidR="00905F61" w:rsidRDefault="00905F61" w:rsidP="001A5D4A">
            <w:pPr>
              <w:pStyle w:val="NotesTable-CellPlain"/>
            </w:pPr>
          </w:p>
        </w:tc>
      </w:tr>
      <w:tr w:rsidR="00540E93" w14:paraId="1489FC50" w14:textId="77777777" w:rsidTr="00AA53AC">
        <w:trPr>
          <w:trHeight w:val="159"/>
        </w:trPr>
        <w:tc>
          <w:tcPr>
            <w:tcW w:w="812" w:type="pct"/>
          </w:tcPr>
          <w:p w14:paraId="41B35F09" w14:textId="77777777" w:rsidR="00540E93" w:rsidRDefault="00540E93" w:rsidP="001A5D4A">
            <w:pPr>
              <w:pStyle w:val="Note-Refs"/>
            </w:pPr>
          </w:p>
        </w:tc>
        <w:tc>
          <w:tcPr>
            <w:tcW w:w="2541" w:type="pct"/>
            <w:gridSpan w:val="5"/>
          </w:tcPr>
          <w:p w14:paraId="1951B596" w14:textId="77777777" w:rsidR="00540E93" w:rsidRDefault="00540E93" w:rsidP="001A5D4A">
            <w:pPr>
              <w:pStyle w:val="NotesTable-ItemPlain"/>
            </w:pPr>
            <w:r>
              <w:t>Total comprehensive income</w:t>
            </w:r>
          </w:p>
        </w:tc>
        <w:tc>
          <w:tcPr>
            <w:tcW w:w="412" w:type="pct"/>
            <w:gridSpan w:val="2"/>
          </w:tcPr>
          <w:p w14:paraId="6EB002BF" w14:textId="77777777" w:rsidR="00540E93" w:rsidRDefault="00540E93" w:rsidP="001A5D4A">
            <w:pPr>
              <w:pStyle w:val="NotesTable-CellBold"/>
            </w:pPr>
            <w:r>
              <w:t>–</w:t>
            </w:r>
          </w:p>
        </w:tc>
        <w:tc>
          <w:tcPr>
            <w:tcW w:w="412" w:type="pct"/>
            <w:gridSpan w:val="2"/>
          </w:tcPr>
          <w:p w14:paraId="71664F9F" w14:textId="77777777" w:rsidR="00540E93" w:rsidRPr="00E47831" w:rsidRDefault="00540E93" w:rsidP="001A5D4A">
            <w:pPr>
              <w:pStyle w:val="NotesTable-CellPlain"/>
            </w:pPr>
            <w:r w:rsidRPr="00E163AA">
              <w:t>–</w:t>
            </w:r>
          </w:p>
        </w:tc>
        <w:tc>
          <w:tcPr>
            <w:tcW w:w="412" w:type="pct"/>
            <w:gridSpan w:val="2"/>
          </w:tcPr>
          <w:p w14:paraId="7D0978E0" w14:textId="77777777" w:rsidR="00540E93" w:rsidRDefault="00540E93" w:rsidP="001A5D4A">
            <w:pPr>
              <w:pStyle w:val="NotesTable-CellBold"/>
            </w:pPr>
            <w:r>
              <w:t>–</w:t>
            </w:r>
          </w:p>
        </w:tc>
        <w:tc>
          <w:tcPr>
            <w:tcW w:w="411" w:type="pct"/>
          </w:tcPr>
          <w:p w14:paraId="6F6F1BCA" w14:textId="77777777" w:rsidR="00540E93" w:rsidRDefault="00540E93" w:rsidP="001A5D4A">
            <w:pPr>
              <w:pStyle w:val="NotesTable-CellPlain"/>
            </w:pPr>
            <w:r>
              <w:t>–</w:t>
            </w:r>
          </w:p>
        </w:tc>
      </w:tr>
      <w:tr w:rsidR="00905F61" w14:paraId="6E576E6E" w14:textId="77777777" w:rsidTr="00AA53AC">
        <w:trPr>
          <w:trHeight w:val="159"/>
        </w:trPr>
        <w:tc>
          <w:tcPr>
            <w:tcW w:w="812" w:type="pct"/>
          </w:tcPr>
          <w:p w14:paraId="2526127A" w14:textId="77777777" w:rsidR="00905F61" w:rsidRDefault="00905F61" w:rsidP="001A5D4A">
            <w:pPr>
              <w:pStyle w:val="Note-Refs"/>
            </w:pPr>
          </w:p>
        </w:tc>
        <w:tc>
          <w:tcPr>
            <w:tcW w:w="2541" w:type="pct"/>
            <w:gridSpan w:val="5"/>
          </w:tcPr>
          <w:p w14:paraId="409F87BF" w14:textId="77777777" w:rsidR="00905F61" w:rsidRDefault="00905F61" w:rsidP="001A5D4A">
            <w:pPr>
              <w:pStyle w:val="NotesTable-ItemPlain"/>
            </w:pPr>
            <w:r>
              <w:t>Total comprehensive income attributable to NCI</w:t>
            </w:r>
          </w:p>
        </w:tc>
        <w:tc>
          <w:tcPr>
            <w:tcW w:w="412" w:type="pct"/>
            <w:gridSpan w:val="2"/>
          </w:tcPr>
          <w:p w14:paraId="4327716B" w14:textId="77777777" w:rsidR="00905F61" w:rsidRDefault="00905F61" w:rsidP="001A5D4A">
            <w:pPr>
              <w:pStyle w:val="NotesTable-CellBold"/>
            </w:pPr>
            <w:r>
              <w:t>–</w:t>
            </w:r>
          </w:p>
        </w:tc>
        <w:tc>
          <w:tcPr>
            <w:tcW w:w="412" w:type="pct"/>
            <w:gridSpan w:val="2"/>
          </w:tcPr>
          <w:p w14:paraId="5B36F734" w14:textId="77777777" w:rsidR="00905F61" w:rsidRPr="00E163AA" w:rsidRDefault="00905F61" w:rsidP="001A5D4A">
            <w:pPr>
              <w:pStyle w:val="NotesTable-CellPlain"/>
            </w:pPr>
            <w:r w:rsidRPr="00E163AA">
              <w:t>–</w:t>
            </w:r>
          </w:p>
        </w:tc>
        <w:tc>
          <w:tcPr>
            <w:tcW w:w="412" w:type="pct"/>
            <w:gridSpan w:val="2"/>
          </w:tcPr>
          <w:p w14:paraId="66B65DDB" w14:textId="77777777" w:rsidR="00905F61" w:rsidRDefault="00905F61" w:rsidP="001A5D4A">
            <w:pPr>
              <w:pStyle w:val="NotesTable-CellBold"/>
            </w:pPr>
            <w:r>
              <w:t>–</w:t>
            </w:r>
          </w:p>
        </w:tc>
        <w:tc>
          <w:tcPr>
            <w:tcW w:w="411" w:type="pct"/>
          </w:tcPr>
          <w:p w14:paraId="7D3B7DD6" w14:textId="77777777" w:rsidR="00905F61" w:rsidRDefault="00905F61" w:rsidP="001A5D4A">
            <w:pPr>
              <w:pStyle w:val="NotesTable-CellPlain"/>
            </w:pPr>
            <w:r>
              <w:t>–</w:t>
            </w:r>
          </w:p>
        </w:tc>
      </w:tr>
      <w:tr w:rsidR="00540E93" w14:paraId="71DC183E" w14:textId="77777777" w:rsidTr="00AA53AC">
        <w:trPr>
          <w:trHeight w:val="159"/>
        </w:trPr>
        <w:tc>
          <w:tcPr>
            <w:tcW w:w="812" w:type="pct"/>
          </w:tcPr>
          <w:p w14:paraId="0CA13A25" w14:textId="77777777" w:rsidR="00540E93" w:rsidRDefault="00540E93" w:rsidP="001A5D4A">
            <w:pPr>
              <w:pStyle w:val="Note-Refs"/>
            </w:pPr>
          </w:p>
        </w:tc>
        <w:tc>
          <w:tcPr>
            <w:tcW w:w="2541" w:type="pct"/>
            <w:gridSpan w:val="5"/>
          </w:tcPr>
          <w:p w14:paraId="20404FF2" w14:textId="77777777" w:rsidR="00540E93" w:rsidRDefault="00540E93" w:rsidP="001A5D4A">
            <w:pPr>
              <w:pStyle w:val="NotesTable-ItemPlain"/>
            </w:pPr>
          </w:p>
        </w:tc>
        <w:tc>
          <w:tcPr>
            <w:tcW w:w="412" w:type="pct"/>
            <w:gridSpan w:val="2"/>
          </w:tcPr>
          <w:p w14:paraId="5E47BAB9" w14:textId="77777777" w:rsidR="00540E93" w:rsidRDefault="00540E93" w:rsidP="001A5D4A">
            <w:pPr>
              <w:pStyle w:val="NotesTable-CellBold"/>
            </w:pPr>
          </w:p>
        </w:tc>
        <w:tc>
          <w:tcPr>
            <w:tcW w:w="412" w:type="pct"/>
            <w:gridSpan w:val="2"/>
          </w:tcPr>
          <w:p w14:paraId="00D333D0" w14:textId="77777777" w:rsidR="00540E93" w:rsidRPr="00E163AA" w:rsidRDefault="00540E93" w:rsidP="001A5D4A">
            <w:pPr>
              <w:pStyle w:val="NotesTable-CellPlain"/>
            </w:pPr>
          </w:p>
        </w:tc>
        <w:tc>
          <w:tcPr>
            <w:tcW w:w="412" w:type="pct"/>
            <w:gridSpan w:val="2"/>
          </w:tcPr>
          <w:p w14:paraId="4177558E" w14:textId="77777777" w:rsidR="00540E93" w:rsidRDefault="00540E93" w:rsidP="001A5D4A">
            <w:pPr>
              <w:pStyle w:val="NotesTable-CellBold"/>
            </w:pPr>
          </w:p>
        </w:tc>
        <w:tc>
          <w:tcPr>
            <w:tcW w:w="411" w:type="pct"/>
          </w:tcPr>
          <w:p w14:paraId="1A19FBC3" w14:textId="77777777" w:rsidR="00540E93" w:rsidRDefault="00540E93" w:rsidP="001A5D4A">
            <w:pPr>
              <w:pStyle w:val="NotesTable-CellPlain"/>
            </w:pPr>
          </w:p>
        </w:tc>
      </w:tr>
      <w:tr w:rsidR="00540E93" w14:paraId="01CFFB30" w14:textId="77777777" w:rsidTr="00AA53AC">
        <w:trPr>
          <w:trHeight w:val="159"/>
        </w:trPr>
        <w:tc>
          <w:tcPr>
            <w:tcW w:w="812" w:type="pct"/>
          </w:tcPr>
          <w:p w14:paraId="239AE967" w14:textId="77777777" w:rsidR="00540E93" w:rsidRDefault="00540E93" w:rsidP="001A5D4A">
            <w:pPr>
              <w:pStyle w:val="Note-Refs"/>
            </w:pPr>
            <w:r>
              <w:t>AASB12.B10a</w:t>
            </w:r>
          </w:p>
        </w:tc>
        <w:tc>
          <w:tcPr>
            <w:tcW w:w="2541" w:type="pct"/>
            <w:gridSpan w:val="5"/>
          </w:tcPr>
          <w:p w14:paraId="08F8D708" w14:textId="77777777" w:rsidR="00540E93" w:rsidRDefault="00540E93" w:rsidP="001A5D4A">
            <w:pPr>
              <w:pStyle w:val="NotesTable-ItemPlain"/>
            </w:pPr>
            <w:r>
              <w:t>Dividends paid to non-controlling interests</w:t>
            </w:r>
          </w:p>
        </w:tc>
        <w:tc>
          <w:tcPr>
            <w:tcW w:w="412" w:type="pct"/>
            <w:gridSpan w:val="2"/>
          </w:tcPr>
          <w:p w14:paraId="4D5E13BD" w14:textId="77777777" w:rsidR="00540E93" w:rsidRDefault="00540E93" w:rsidP="001A5D4A">
            <w:pPr>
              <w:pStyle w:val="NotesTable-CellBold"/>
            </w:pPr>
            <w:r>
              <w:t>–</w:t>
            </w:r>
          </w:p>
        </w:tc>
        <w:tc>
          <w:tcPr>
            <w:tcW w:w="412" w:type="pct"/>
            <w:gridSpan w:val="2"/>
          </w:tcPr>
          <w:p w14:paraId="2D281E97" w14:textId="77777777" w:rsidR="00540E93" w:rsidRPr="00E47831" w:rsidRDefault="00540E93" w:rsidP="001A5D4A">
            <w:pPr>
              <w:pStyle w:val="NotesTable-CellPlain"/>
            </w:pPr>
            <w:r w:rsidRPr="00E163AA">
              <w:t>–</w:t>
            </w:r>
          </w:p>
        </w:tc>
        <w:tc>
          <w:tcPr>
            <w:tcW w:w="412" w:type="pct"/>
            <w:gridSpan w:val="2"/>
          </w:tcPr>
          <w:p w14:paraId="772A5407" w14:textId="77777777" w:rsidR="00540E93" w:rsidRDefault="00540E93" w:rsidP="001A5D4A">
            <w:pPr>
              <w:pStyle w:val="NotesTable-CellBold"/>
            </w:pPr>
            <w:r>
              <w:t>–</w:t>
            </w:r>
          </w:p>
        </w:tc>
        <w:tc>
          <w:tcPr>
            <w:tcW w:w="411" w:type="pct"/>
          </w:tcPr>
          <w:p w14:paraId="2DE69432" w14:textId="77777777" w:rsidR="00540E93" w:rsidRDefault="00540E93" w:rsidP="001A5D4A">
            <w:pPr>
              <w:pStyle w:val="NotesTable-CellPlain"/>
            </w:pPr>
            <w:r>
              <w:t>–</w:t>
            </w:r>
          </w:p>
        </w:tc>
      </w:tr>
      <w:tr w:rsidR="005C5E3F" w14:paraId="66D106E1" w14:textId="77777777" w:rsidTr="00AA53AC">
        <w:trPr>
          <w:trHeight w:val="159"/>
        </w:trPr>
        <w:tc>
          <w:tcPr>
            <w:tcW w:w="812" w:type="pct"/>
          </w:tcPr>
          <w:p w14:paraId="7411F459" w14:textId="77777777" w:rsidR="005C5E3F" w:rsidRDefault="005C5E3F" w:rsidP="001A5D4A">
            <w:pPr>
              <w:pStyle w:val="Note-Refs"/>
            </w:pPr>
          </w:p>
        </w:tc>
        <w:tc>
          <w:tcPr>
            <w:tcW w:w="2541" w:type="pct"/>
            <w:gridSpan w:val="5"/>
          </w:tcPr>
          <w:p w14:paraId="6FD7EFBE" w14:textId="77777777" w:rsidR="005C5E3F" w:rsidRDefault="005C5E3F" w:rsidP="001A5D4A">
            <w:pPr>
              <w:pStyle w:val="NotesTable-ItemPlain"/>
            </w:pPr>
          </w:p>
        </w:tc>
        <w:tc>
          <w:tcPr>
            <w:tcW w:w="412" w:type="pct"/>
            <w:gridSpan w:val="2"/>
          </w:tcPr>
          <w:p w14:paraId="4A153E24" w14:textId="77777777" w:rsidR="005C5E3F" w:rsidRDefault="005C5E3F" w:rsidP="001A5D4A">
            <w:pPr>
              <w:pStyle w:val="NotesTable-CellBold"/>
            </w:pPr>
          </w:p>
        </w:tc>
        <w:tc>
          <w:tcPr>
            <w:tcW w:w="412" w:type="pct"/>
            <w:gridSpan w:val="2"/>
          </w:tcPr>
          <w:p w14:paraId="2BFDB722" w14:textId="77777777" w:rsidR="005C5E3F" w:rsidRPr="00E163AA" w:rsidRDefault="005C5E3F" w:rsidP="001A5D4A">
            <w:pPr>
              <w:pStyle w:val="NotesTable-CellPlain"/>
            </w:pPr>
          </w:p>
        </w:tc>
        <w:tc>
          <w:tcPr>
            <w:tcW w:w="412" w:type="pct"/>
            <w:gridSpan w:val="2"/>
          </w:tcPr>
          <w:p w14:paraId="3F6754D7" w14:textId="77777777" w:rsidR="005C5E3F" w:rsidRDefault="005C5E3F" w:rsidP="001A5D4A">
            <w:pPr>
              <w:pStyle w:val="NotesTable-CellBold"/>
            </w:pPr>
          </w:p>
        </w:tc>
        <w:tc>
          <w:tcPr>
            <w:tcW w:w="411" w:type="pct"/>
          </w:tcPr>
          <w:p w14:paraId="7A2E8C80" w14:textId="77777777" w:rsidR="005C5E3F" w:rsidRDefault="005C5E3F" w:rsidP="001A5D4A">
            <w:pPr>
              <w:pStyle w:val="NotesTable-CellPlain"/>
            </w:pPr>
          </w:p>
        </w:tc>
      </w:tr>
      <w:tr w:rsidR="005C5E3F" w14:paraId="5817FAD4" w14:textId="77777777" w:rsidTr="00AA53AC">
        <w:trPr>
          <w:trHeight w:val="159"/>
        </w:trPr>
        <w:tc>
          <w:tcPr>
            <w:tcW w:w="812" w:type="pct"/>
          </w:tcPr>
          <w:p w14:paraId="42E5351C" w14:textId="397F42A6" w:rsidR="005C5E3F" w:rsidRDefault="009E7933" w:rsidP="001A5D4A">
            <w:pPr>
              <w:pStyle w:val="Note-Refs"/>
            </w:pPr>
            <w:r>
              <w:t>AASB12.B10b</w:t>
            </w:r>
          </w:p>
        </w:tc>
        <w:tc>
          <w:tcPr>
            <w:tcW w:w="2541" w:type="pct"/>
            <w:gridSpan w:val="5"/>
          </w:tcPr>
          <w:p w14:paraId="6E334691" w14:textId="72DE1814" w:rsidR="005C5E3F" w:rsidRDefault="005C5E3F" w:rsidP="001A5D4A">
            <w:pPr>
              <w:pStyle w:val="Note-TextHeader"/>
            </w:pPr>
            <w:proofErr w:type="spellStart"/>
            <w:r>
              <w:t>Cashflows</w:t>
            </w:r>
            <w:proofErr w:type="spellEnd"/>
          </w:p>
        </w:tc>
        <w:tc>
          <w:tcPr>
            <w:tcW w:w="412" w:type="pct"/>
            <w:gridSpan w:val="2"/>
          </w:tcPr>
          <w:p w14:paraId="402708E2" w14:textId="77777777" w:rsidR="005C5E3F" w:rsidRDefault="005C5E3F" w:rsidP="001A5D4A">
            <w:pPr>
              <w:pStyle w:val="NotesTable-CellBold"/>
            </w:pPr>
          </w:p>
        </w:tc>
        <w:tc>
          <w:tcPr>
            <w:tcW w:w="412" w:type="pct"/>
            <w:gridSpan w:val="2"/>
          </w:tcPr>
          <w:p w14:paraId="348CA8A2" w14:textId="77777777" w:rsidR="005C5E3F" w:rsidRPr="00E163AA" w:rsidRDefault="005C5E3F" w:rsidP="001A5D4A">
            <w:pPr>
              <w:pStyle w:val="NotesTable-CellPlain"/>
            </w:pPr>
          </w:p>
        </w:tc>
        <w:tc>
          <w:tcPr>
            <w:tcW w:w="412" w:type="pct"/>
            <w:gridSpan w:val="2"/>
          </w:tcPr>
          <w:p w14:paraId="132E2339" w14:textId="77777777" w:rsidR="005C5E3F" w:rsidRDefault="005C5E3F" w:rsidP="001A5D4A">
            <w:pPr>
              <w:pStyle w:val="NotesTable-CellBold"/>
            </w:pPr>
          </w:p>
        </w:tc>
        <w:tc>
          <w:tcPr>
            <w:tcW w:w="411" w:type="pct"/>
          </w:tcPr>
          <w:p w14:paraId="6C0A0969" w14:textId="77777777" w:rsidR="005C5E3F" w:rsidRDefault="005C5E3F" w:rsidP="001A5D4A">
            <w:pPr>
              <w:pStyle w:val="NotesTable-CellPlain"/>
            </w:pPr>
          </w:p>
        </w:tc>
      </w:tr>
      <w:tr w:rsidR="005C5E3F" w14:paraId="785DE203" w14:textId="77777777" w:rsidTr="00AA53AC">
        <w:trPr>
          <w:trHeight w:val="159"/>
        </w:trPr>
        <w:tc>
          <w:tcPr>
            <w:tcW w:w="812" w:type="pct"/>
          </w:tcPr>
          <w:p w14:paraId="48E71F2C" w14:textId="77777777" w:rsidR="005C5E3F" w:rsidRDefault="005C5E3F" w:rsidP="001A5D4A">
            <w:pPr>
              <w:pStyle w:val="Note-Refs"/>
            </w:pPr>
          </w:p>
        </w:tc>
        <w:tc>
          <w:tcPr>
            <w:tcW w:w="2541" w:type="pct"/>
            <w:gridSpan w:val="5"/>
          </w:tcPr>
          <w:p w14:paraId="65A3AEAD" w14:textId="4D4EB931" w:rsidR="005C5E3F" w:rsidRDefault="005C5E3F" w:rsidP="001A5D4A">
            <w:pPr>
              <w:pStyle w:val="NotesTable-ItemPlain"/>
            </w:pPr>
            <w:r>
              <w:t>Cash flows from operating activities</w:t>
            </w:r>
          </w:p>
        </w:tc>
        <w:tc>
          <w:tcPr>
            <w:tcW w:w="412" w:type="pct"/>
            <w:gridSpan w:val="2"/>
          </w:tcPr>
          <w:p w14:paraId="53711EEE" w14:textId="48AC801B" w:rsidR="005C5E3F" w:rsidRDefault="005C5E3F" w:rsidP="001A5D4A">
            <w:pPr>
              <w:pStyle w:val="NotesTable-CellBold"/>
            </w:pPr>
            <w:r>
              <w:t>–</w:t>
            </w:r>
          </w:p>
        </w:tc>
        <w:tc>
          <w:tcPr>
            <w:tcW w:w="412" w:type="pct"/>
            <w:gridSpan w:val="2"/>
          </w:tcPr>
          <w:p w14:paraId="35BC6282" w14:textId="1CBB55D7" w:rsidR="005C5E3F" w:rsidRPr="00E163AA" w:rsidRDefault="005C5E3F" w:rsidP="001A5D4A">
            <w:pPr>
              <w:pStyle w:val="NotesTable-CellPlain"/>
            </w:pPr>
            <w:r w:rsidRPr="00E163AA">
              <w:t>–</w:t>
            </w:r>
          </w:p>
        </w:tc>
        <w:tc>
          <w:tcPr>
            <w:tcW w:w="412" w:type="pct"/>
            <w:gridSpan w:val="2"/>
          </w:tcPr>
          <w:p w14:paraId="171BEB19" w14:textId="59D8DE43" w:rsidR="005C5E3F" w:rsidRDefault="005C5E3F" w:rsidP="001A5D4A">
            <w:pPr>
              <w:pStyle w:val="NotesTable-CellBold"/>
            </w:pPr>
            <w:r>
              <w:t>–</w:t>
            </w:r>
          </w:p>
        </w:tc>
        <w:tc>
          <w:tcPr>
            <w:tcW w:w="411" w:type="pct"/>
          </w:tcPr>
          <w:p w14:paraId="2516D7B4" w14:textId="6FD3A347" w:rsidR="005C5E3F" w:rsidRDefault="005C5E3F" w:rsidP="001A5D4A">
            <w:pPr>
              <w:pStyle w:val="NotesTable-CellPlain"/>
            </w:pPr>
            <w:r>
              <w:t>–</w:t>
            </w:r>
          </w:p>
        </w:tc>
      </w:tr>
      <w:tr w:rsidR="005C5E3F" w14:paraId="441415B0" w14:textId="77777777" w:rsidTr="00AA53AC">
        <w:trPr>
          <w:trHeight w:val="159"/>
        </w:trPr>
        <w:tc>
          <w:tcPr>
            <w:tcW w:w="812" w:type="pct"/>
          </w:tcPr>
          <w:p w14:paraId="44B49430" w14:textId="77777777" w:rsidR="005C5E3F" w:rsidRDefault="005C5E3F" w:rsidP="001A5D4A">
            <w:pPr>
              <w:pStyle w:val="Note-Refs"/>
            </w:pPr>
          </w:p>
        </w:tc>
        <w:tc>
          <w:tcPr>
            <w:tcW w:w="2541" w:type="pct"/>
            <w:gridSpan w:val="5"/>
          </w:tcPr>
          <w:p w14:paraId="5EA5BC18" w14:textId="7BCFC59B" w:rsidR="005C5E3F" w:rsidRDefault="005C5E3F" w:rsidP="001A5D4A">
            <w:pPr>
              <w:pStyle w:val="NotesTable-ItemPlain"/>
            </w:pPr>
            <w:r>
              <w:t>Cash flows from investing activities</w:t>
            </w:r>
          </w:p>
        </w:tc>
        <w:tc>
          <w:tcPr>
            <w:tcW w:w="412" w:type="pct"/>
            <w:gridSpan w:val="2"/>
          </w:tcPr>
          <w:p w14:paraId="172DC993" w14:textId="252BCD10" w:rsidR="005C5E3F" w:rsidRDefault="005C5E3F" w:rsidP="001A5D4A">
            <w:pPr>
              <w:pStyle w:val="NotesTable-CellBold"/>
            </w:pPr>
            <w:r>
              <w:t>–</w:t>
            </w:r>
          </w:p>
        </w:tc>
        <w:tc>
          <w:tcPr>
            <w:tcW w:w="412" w:type="pct"/>
            <w:gridSpan w:val="2"/>
          </w:tcPr>
          <w:p w14:paraId="529AD29C" w14:textId="1C669271" w:rsidR="005C5E3F" w:rsidRPr="00E163AA" w:rsidRDefault="005C5E3F" w:rsidP="001A5D4A">
            <w:pPr>
              <w:pStyle w:val="NotesTable-CellPlain"/>
            </w:pPr>
            <w:r w:rsidRPr="00E163AA">
              <w:t>–</w:t>
            </w:r>
          </w:p>
        </w:tc>
        <w:tc>
          <w:tcPr>
            <w:tcW w:w="412" w:type="pct"/>
            <w:gridSpan w:val="2"/>
          </w:tcPr>
          <w:p w14:paraId="188E8C15" w14:textId="260CB24C" w:rsidR="005C5E3F" w:rsidRDefault="005C5E3F" w:rsidP="001A5D4A">
            <w:pPr>
              <w:pStyle w:val="NotesTable-CellBold"/>
            </w:pPr>
            <w:r>
              <w:t>–</w:t>
            </w:r>
          </w:p>
        </w:tc>
        <w:tc>
          <w:tcPr>
            <w:tcW w:w="411" w:type="pct"/>
          </w:tcPr>
          <w:p w14:paraId="2FA0BA33" w14:textId="5020DEC2" w:rsidR="005C5E3F" w:rsidRDefault="005C5E3F" w:rsidP="001A5D4A">
            <w:pPr>
              <w:pStyle w:val="NotesTable-CellPlain"/>
            </w:pPr>
            <w:r>
              <w:t>–</w:t>
            </w:r>
          </w:p>
        </w:tc>
      </w:tr>
      <w:tr w:rsidR="005C5E3F" w14:paraId="120CB24A" w14:textId="77777777" w:rsidTr="00AA53AC">
        <w:trPr>
          <w:trHeight w:val="159"/>
        </w:trPr>
        <w:tc>
          <w:tcPr>
            <w:tcW w:w="812" w:type="pct"/>
          </w:tcPr>
          <w:p w14:paraId="2EFB7CA9" w14:textId="48F1B594" w:rsidR="005C5E3F" w:rsidRDefault="005C5E3F" w:rsidP="001A5D4A">
            <w:pPr>
              <w:pStyle w:val="Note-Refs"/>
            </w:pPr>
          </w:p>
        </w:tc>
        <w:tc>
          <w:tcPr>
            <w:tcW w:w="2541" w:type="pct"/>
            <w:gridSpan w:val="5"/>
          </w:tcPr>
          <w:p w14:paraId="00EA1B31" w14:textId="6CDCB927" w:rsidR="005C5E3F" w:rsidRDefault="005C5E3F" w:rsidP="001A5D4A">
            <w:pPr>
              <w:pStyle w:val="NotesTable-ItemPlain"/>
            </w:pPr>
            <w:r>
              <w:t>Cash flows from financing activities</w:t>
            </w:r>
          </w:p>
        </w:tc>
        <w:tc>
          <w:tcPr>
            <w:tcW w:w="412" w:type="pct"/>
            <w:gridSpan w:val="2"/>
          </w:tcPr>
          <w:p w14:paraId="3021D854" w14:textId="180E8774" w:rsidR="005C5E3F" w:rsidRDefault="005C5E3F" w:rsidP="001A5D4A">
            <w:pPr>
              <w:pStyle w:val="NotesTable-CellBold"/>
            </w:pPr>
            <w:r>
              <w:t>–</w:t>
            </w:r>
          </w:p>
        </w:tc>
        <w:tc>
          <w:tcPr>
            <w:tcW w:w="412" w:type="pct"/>
            <w:gridSpan w:val="2"/>
          </w:tcPr>
          <w:p w14:paraId="1D74EAD5" w14:textId="006F31DB" w:rsidR="005C5E3F" w:rsidRPr="00E163AA" w:rsidRDefault="005C5E3F" w:rsidP="001A5D4A">
            <w:pPr>
              <w:pStyle w:val="NotesTable-CellPlain"/>
            </w:pPr>
            <w:r w:rsidRPr="00E163AA">
              <w:t>–</w:t>
            </w:r>
          </w:p>
        </w:tc>
        <w:tc>
          <w:tcPr>
            <w:tcW w:w="412" w:type="pct"/>
            <w:gridSpan w:val="2"/>
          </w:tcPr>
          <w:p w14:paraId="2961A3F7" w14:textId="44D84153" w:rsidR="005C5E3F" w:rsidRDefault="005C5E3F" w:rsidP="001A5D4A">
            <w:pPr>
              <w:pStyle w:val="NotesTable-CellBold"/>
            </w:pPr>
            <w:r>
              <w:t>–</w:t>
            </w:r>
          </w:p>
        </w:tc>
        <w:tc>
          <w:tcPr>
            <w:tcW w:w="411" w:type="pct"/>
          </w:tcPr>
          <w:p w14:paraId="21DC0DDE" w14:textId="374EF1C8" w:rsidR="005C5E3F" w:rsidRDefault="005C5E3F" w:rsidP="001A5D4A">
            <w:pPr>
              <w:pStyle w:val="NotesTable-CellPlain"/>
            </w:pPr>
            <w:r>
              <w:t>–</w:t>
            </w:r>
          </w:p>
        </w:tc>
      </w:tr>
      <w:tr w:rsidR="005C5E3F" w14:paraId="7CBCB570" w14:textId="77777777" w:rsidTr="00AA53AC">
        <w:trPr>
          <w:trHeight w:val="159"/>
        </w:trPr>
        <w:tc>
          <w:tcPr>
            <w:tcW w:w="812" w:type="pct"/>
          </w:tcPr>
          <w:p w14:paraId="0C20784C" w14:textId="77777777" w:rsidR="005C5E3F" w:rsidRDefault="005C5E3F" w:rsidP="001A5D4A">
            <w:pPr>
              <w:pStyle w:val="Note-Refs"/>
            </w:pPr>
          </w:p>
        </w:tc>
        <w:tc>
          <w:tcPr>
            <w:tcW w:w="2541" w:type="pct"/>
            <w:gridSpan w:val="5"/>
          </w:tcPr>
          <w:p w14:paraId="54B3A84E" w14:textId="262D4C7D" w:rsidR="005C5E3F" w:rsidRDefault="005C5E3F" w:rsidP="001A5D4A">
            <w:pPr>
              <w:pStyle w:val="NotesTable-ItemPlain"/>
            </w:pPr>
            <w:r>
              <w:t>Net increase/(decrease) in cash and cash equivalents</w:t>
            </w:r>
          </w:p>
        </w:tc>
        <w:tc>
          <w:tcPr>
            <w:tcW w:w="412" w:type="pct"/>
            <w:gridSpan w:val="2"/>
          </w:tcPr>
          <w:p w14:paraId="0B4C8C5F" w14:textId="3154B023" w:rsidR="005C5E3F" w:rsidRDefault="005C5E3F" w:rsidP="001A5D4A">
            <w:pPr>
              <w:pStyle w:val="NotesTable-CellBold"/>
            </w:pPr>
            <w:r>
              <w:t>–</w:t>
            </w:r>
          </w:p>
        </w:tc>
        <w:tc>
          <w:tcPr>
            <w:tcW w:w="412" w:type="pct"/>
            <w:gridSpan w:val="2"/>
          </w:tcPr>
          <w:p w14:paraId="12B1D415" w14:textId="18F609FB" w:rsidR="005C5E3F" w:rsidRPr="00E163AA" w:rsidRDefault="005C5E3F" w:rsidP="001A5D4A">
            <w:pPr>
              <w:pStyle w:val="NotesTable-CellPlain"/>
            </w:pPr>
            <w:r w:rsidRPr="00E163AA">
              <w:t>–</w:t>
            </w:r>
          </w:p>
        </w:tc>
        <w:tc>
          <w:tcPr>
            <w:tcW w:w="412" w:type="pct"/>
            <w:gridSpan w:val="2"/>
          </w:tcPr>
          <w:p w14:paraId="4B21EC9D" w14:textId="31E99ECD" w:rsidR="005C5E3F" w:rsidRDefault="005C5E3F" w:rsidP="001A5D4A">
            <w:pPr>
              <w:pStyle w:val="NotesTable-CellBold"/>
            </w:pPr>
            <w:r>
              <w:t>–</w:t>
            </w:r>
          </w:p>
        </w:tc>
        <w:tc>
          <w:tcPr>
            <w:tcW w:w="411" w:type="pct"/>
          </w:tcPr>
          <w:p w14:paraId="6F7F2BB5" w14:textId="6A7DF649" w:rsidR="005C5E3F" w:rsidRDefault="005C5E3F" w:rsidP="001A5D4A">
            <w:pPr>
              <w:pStyle w:val="NotesTable-CellPlain"/>
            </w:pPr>
            <w:r>
              <w:t>–</w:t>
            </w:r>
          </w:p>
        </w:tc>
      </w:tr>
      <w:tr w:rsidR="005C5E3F" w14:paraId="1E1A5290" w14:textId="77777777" w:rsidTr="00AA53AC">
        <w:trPr>
          <w:trHeight w:val="159"/>
        </w:trPr>
        <w:tc>
          <w:tcPr>
            <w:tcW w:w="812" w:type="pct"/>
          </w:tcPr>
          <w:p w14:paraId="5D6F973E" w14:textId="77777777" w:rsidR="005C5E3F" w:rsidRDefault="005C5E3F" w:rsidP="001A5D4A">
            <w:pPr>
              <w:pStyle w:val="Note-Refs"/>
            </w:pPr>
          </w:p>
        </w:tc>
        <w:tc>
          <w:tcPr>
            <w:tcW w:w="2541" w:type="pct"/>
            <w:gridSpan w:val="5"/>
          </w:tcPr>
          <w:p w14:paraId="1D0A0702" w14:textId="77777777" w:rsidR="005C5E3F" w:rsidRDefault="005C5E3F" w:rsidP="001A5D4A">
            <w:pPr>
              <w:pStyle w:val="NotesTable-ItemPlain"/>
            </w:pPr>
          </w:p>
        </w:tc>
        <w:tc>
          <w:tcPr>
            <w:tcW w:w="412" w:type="pct"/>
            <w:gridSpan w:val="2"/>
          </w:tcPr>
          <w:p w14:paraId="24BB9745" w14:textId="77777777" w:rsidR="005C5E3F" w:rsidRDefault="005C5E3F" w:rsidP="001A5D4A">
            <w:pPr>
              <w:pStyle w:val="NotesTable-CellBold"/>
            </w:pPr>
          </w:p>
        </w:tc>
        <w:tc>
          <w:tcPr>
            <w:tcW w:w="412" w:type="pct"/>
            <w:gridSpan w:val="2"/>
          </w:tcPr>
          <w:p w14:paraId="4BA6E6BE" w14:textId="77777777" w:rsidR="005C5E3F" w:rsidRPr="00E163AA" w:rsidRDefault="005C5E3F" w:rsidP="001A5D4A">
            <w:pPr>
              <w:pStyle w:val="NotesTable-CellPlain"/>
            </w:pPr>
          </w:p>
        </w:tc>
        <w:tc>
          <w:tcPr>
            <w:tcW w:w="412" w:type="pct"/>
            <w:gridSpan w:val="2"/>
          </w:tcPr>
          <w:p w14:paraId="5CEED519" w14:textId="77777777" w:rsidR="005C5E3F" w:rsidRDefault="005C5E3F" w:rsidP="001A5D4A">
            <w:pPr>
              <w:pStyle w:val="NotesTable-CellBold"/>
            </w:pPr>
          </w:p>
        </w:tc>
        <w:tc>
          <w:tcPr>
            <w:tcW w:w="411" w:type="pct"/>
          </w:tcPr>
          <w:p w14:paraId="51720443" w14:textId="77777777" w:rsidR="005C5E3F" w:rsidRDefault="005C5E3F" w:rsidP="001A5D4A">
            <w:pPr>
              <w:pStyle w:val="NotesTable-CellPlain"/>
            </w:pPr>
          </w:p>
        </w:tc>
      </w:tr>
      <w:tr w:rsidR="00540E93" w14:paraId="71606DCF" w14:textId="77777777" w:rsidTr="00AA53AC">
        <w:trPr>
          <w:trHeight w:hRule="exact" w:val="85"/>
        </w:trPr>
        <w:tc>
          <w:tcPr>
            <w:tcW w:w="812" w:type="pct"/>
          </w:tcPr>
          <w:p w14:paraId="22E41CAF" w14:textId="77777777" w:rsidR="00540E93" w:rsidRDefault="00540E93" w:rsidP="001A5D4A">
            <w:pPr>
              <w:pStyle w:val="Note-Refs"/>
            </w:pPr>
          </w:p>
        </w:tc>
        <w:tc>
          <w:tcPr>
            <w:tcW w:w="4188" w:type="pct"/>
            <w:gridSpan w:val="12"/>
          </w:tcPr>
          <w:p w14:paraId="242D1A8E" w14:textId="77777777" w:rsidR="00540E93" w:rsidRDefault="00540E93" w:rsidP="001A5D4A">
            <w:pPr>
              <w:pStyle w:val="NotesTable-CellPlain"/>
              <w:jc w:val="left"/>
            </w:pPr>
          </w:p>
        </w:tc>
      </w:tr>
      <w:tr w:rsidR="00540E93" w14:paraId="4EFA305A" w14:textId="77777777" w:rsidTr="00AA53AC">
        <w:trPr>
          <w:trHeight w:val="159"/>
        </w:trPr>
        <w:tc>
          <w:tcPr>
            <w:tcW w:w="812" w:type="pct"/>
          </w:tcPr>
          <w:p w14:paraId="68373273" w14:textId="2800B7C0" w:rsidR="00540E93" w:rsidRDefault="00540E93" w:rsidP="001A5D4A">
            <w:pPr>
              <w:pStyle w:val="Note-Refs"/>
            </w:pPr>
            <w:r>
              <w:t>AASB12.13b</w:t>
            </w:r>
          </w:p>
        </w:tc>
        <w:tc>
          <w:tcPr>
            <w:tcW w:w="4188" w:type="pct"/>
            <w:gridSpan w:val="12"/>
          </w:tcPr>
          <w:p w14:paraId="289749E2" w14:textId="1D565DC0" w:rsidR="00540E93" w:rsidRDefault="00540E93" w:rsidP="001A5D4A">
            <w:pPr>
              <w:pStyle w:val="Note-Text"/>
            </w:pPr>
            <w:r>
              <w:t xml:space="preserve">[Provide details of the nature and extent to which protective rights of non-controlling interests can significantly restrict the group’s ability to access or use the assets and settle the liabilities of the group.] </w:t>
            </w:r>
          </w:p>
        </w:tc>
      </w:tr>
      <w:tr w:rsidR="007C406E" w14:paraId="410CE54F" w14:textId="77777777" w:rsidTr="00AA53AC">
        <w:trPr>
          <w:trHeight w:val="159"/>
        </w:trPr>
        <w:tc>
          <w:tcPr>
            <w:tcW w:w="812" w:type="pct"/>
          </w:tcPr>
          <w:p w14:paraId="5D5FE3C6" w14:textId="3115E712" w:rsidR="007C406E" w:rsidRDefault="007C406E" w:rsidP="001A5D4A">
            <w:pPr>
              <w:pStyle w:val="Note-Refs"/>
            </w:pPr>
            <w:r>
              <w:t>AASB12.13c</w:t>
            </w:r>
          </w:p>
        </w:tc>
        <w:tc>
          <w:tcPr>
            <w:tcW w:w="4188" w:type="pct"/>
            <w:gridSpan w:val="12"/>
          </w:tcPr>
          <w:p w14:paraId="42B1FB92" w14:textId="567ABC13" w:rsidR="007C406E" w:rsidRDefault="007C406E" w:rsidP="001A5D4A">
            <w:pPr>
              <w:pStyle w:val="Note-Text"/>
            </w:pPr>
            <w:r>
              <w:t>[Provide carrying amounts of the assets and liabilities to which those restrictions apply]</w:t>
            </w:r>
          </w:p>
        </w:tc>
      </w:tr>
      <w:tr w:rsidR="00540E93" w14:paraId="3D3B1251" w14:textId="77777777" w:rsidTr="00AA53AC">
        <w:trPr>
          <w:trHeight w:hRule="exact" w:val="85"/>
        </w:trPr>
        <w:tc>
          <w:tcPr>
            <w:tcW w:w="812" w:type="pct"/>
          </w:tcPr>
          <w:p w14:paraId="6F1DD0F2" w14:textId="77777777" w:rsidR="00540E93" w:rsidRDefault="00540E93" w:rsidP="001A5D4A">
            <w:pPr>
              <w:pStyle w:val="Note-Refs"/>
            </w:pPr>
          </w:p>
        </w:tc>
        <w:tc>
          <w:tcPr>
            <w:tcW w:w="4188" w:type="pct"/>
            <w:gridSpan w:val="12"/>
          </w:tcPr>
          <w:p w14:paraId="65E5D577" w14:textId="77777777" w:rsidR="00540E93" w:rsidRDefault="00540E93" w:rsidP="001A5D4A">
            <w:pPr>
              <w:pStyle w:val="NotesTable-CellPlain"/>
              <w:jc w:val="left"/>
            </w:pPr>
          </w:p>
        </w:tc>
      </w:tr>
    </w:tbl>
    <w:p w14:paraId="76D2AE67" w14:textId="77777777" w:rsidR="00AA53AC" w:rsidRDefault="00AA53AC">
      <w:r>
        <w:rPr>
          <w:b/>
          <w:i/>
        </w:rPr>
        <w:br w:type="page"/>
      </w:r>
    </w:p>
    <w:tbl>
      <w:tblPr>
        <w:tblW w:w="5000" w:type="pct"/>
        <w:tblCellMar>
          <w:left w:w="0" w:type="dxa"/>
          <w:right w:w="0" w:type="dxa"/>
        </w:tblCellMar>
        <w:tblLook w:val="0000" w:firstRow="0" w:lastRow="0" w:firstColumn="0" w:lastColumn="0" w:noHBand="0" w:noVBand="0"/>
      </w:tblPr>
      <w:tblGrid>
        <w:gridCol w:w="1667"/>
        <w:gridCol w:w="8579"/>
        <w:gridCol w:w="14"/>
      </w:tblGrid>
      <w:tr w:rsidR="006A4065" w14:paraId="723146F8" w14:textId="77777777" w:rsidTr="006A4065">
        <w:trPr>
          <w:trHeight w:val="159"/>
        </w:trPr>
        <w:tc>
          <w:tcPr>
            <w:tcW w:w="5000" w:type="pct"/>
            <w:gridSpan w:val="3"/>
          </w:tcPr>
          <w:p w14:paraId="2A0A8F89" w14:textId="3ADE2232" w:rsidR="006A4065" w:rsidRDefault="006A4065" w:rsidP="006A4065">
            <w:pPr>
              <w:pStyle w:val="TOC3"/>
              <w:ind w:left="0"/>
            </w:pPr>
            <w:r>
              <w:lastRenderedPageBreak/>
              <w:t>Note 44. Subsidiaries (continued)</w:t>
            </w:r>
          </w:p>
        </w:tc>
      </w:tr>
      <w:tr w:rsidR="00AA53AC" w14:paraId="6469A3EF" w14:textId="77777777" w:rsidTr="00AA53AC">
        <w:trPr>
          <w:trHeight w:val="159"/>
        </w:trPr>
        <w:tc>
          <w:tcPr>
            <w:tcW w:w="812" w:type="pct"/>
          </w:tcPr>
          <w:p w14:paraId="04774902" w14:textId="77777777" w:rsidR="00AA53AC" w:rsidRDefault="00AA53AC" w:rsidP="001A5D4A">
            <w:pPr>
              <w:pStyle w:val="Note-Refs"/>
            </w:pPr>
          </w:p>
        </w:tc>
        <w:tc>
          <w:tcPr>
            <w:tcW w:w="4188" w:type="pct"/>
            <w:gridSpan w:val="2"/>
          </w:tcPr>
          <w:p w14:paraId="6F38783D" w14:textId="26B8D75A" w:rsidR="00AA53AC" w:rsidRDefault="00AA53AC" w:rsidP="00AA53AC">
            <w:pPr>
              <w:pStyle w:val="Note-TextHeader"/>
            </w:pPr>
            <w:r w:rsidRPr="00F415F1">
              <w:t>Loss of control</w:t>
            </w:r>
          </w:p>
        </w:tc>
      </w:tr>
      <w:tr w:rsidR="00540E93" w14:paraId="416EBEA3" w14:textId="77777777" w:rsidTr="00AA53AC">
        <w:trPr>
          <w:trHeight w:val="159"/>
        </w:trPr>
        <w:tc>
          <w:tcPr>
            <w:tcW w:w="812" w:type="pct"/>
          </w:tcPr>
          <w:p w14:paraId="631CE876" w14:textId="77777777" w:rsidR="00540E93" w:rsidRDefault="00540E93" w:rsidP="001A5D4A">
            <w:pPr>
              <w:pStyle w:val="Note-Refs"/>
            </w:pPr>
            <w:r>
              <w:t>AASB12.18</w:t>
            </w:r>
          </w:p>
        </w:tc>
        <w:tc>
          <w:tcPr>
            <w:tcW w:w="4188" w:type="pct"/>
            <w:gridSpan w:val="2"/>
          </w:tcPr>
          <w:p w14:paraId="670EE4DC" w14:textId="4E9EDEF9" w:rsidR="00540E93" w:rsidRDefault="00540E93" w:rsidP="001A5D4A">
            <w:pPr>
              <w:pStyle w:val="Note-Text"/>
            </w:pPr>
            <w:r>
              <w:t>[</w:t>
            </w:r>
            <w:r w:rsidR="00C779D6">
              <w:t>I</w:t>
            </w:r>
            <w:r>
              <w:t>f applicable present a schedule that shows the effects on equity of the owners of the parent of any changes in the ownership of a subsidiary that do not result in a loss of control]</w:t>
            </w:r>
          </w:p>
        </w:tc>
      </w:tr>
      <w:tr w:rsidR="00540E93" w14:paraId="1987D3BB" w14:textId="77777777" w:rsidTr="00AA53AC">
        <w:trPr>
          <w:trHeight w:hRule="exact" w:val="85"/>
        </w:trPr>
        <w:tc>
          <w:tcPr>
            <w:tcW w:w="812" w:type="pct"/>
          </w:tcPr>
          <w:p w14:paraId="50945093" w14:textId="77777777" w:rsidR="00540E93" w:rsidRDefault="00540E93" w:rsidP="001A5D4A">
            <w:pPr>
              <w:pStyle w:val="Note-Refs"/>
            </w:pPr>
          </w:p>
        </w:tc>
        <w:tc>
          <w:tcPr>
            <w:tcW w:w="4188" w:type="pct"/>
            <w:gridSpan w:val="2"/>
          </w:tcPr>
          <w:p w14:paraId="64E3FDAD" w14:textId="77777777" w:rsidR="00540E93" w:rsidRDefault="00540E93" w:rsidP="001A5D4A">
            <w:pPr>
              <w:pStyle w:val="NotesTable-CellPlain"/>
              <w:jc w:val="left"/>
            </w:pPr>
          </w:p>
        </w:tc>
      </w:tr>
      <w:tr w:rsidR="00540E93" w14:paraId="1787DB92" w14:textId="77777777" w:rsidTr="00AA53AC">
        <w:trPr>
          <w:trHeight w:val="159"/>
        </w:trPr>
        <w:tc>
          <w:tcPr>
            <w:tcW w:w="812" w:type="pct"/>
          </w:tcPr>
          <w:p w14:paraId="0AD26668" w14:textId="77777777" w:rsidR="00540E93" w:rsidRDefault="00540E93" w:rsidP="001A5D4A">
            <w:pPr>
              <w:pStyle w:val="Note-Refs"/>
            </w:pPr>
            <w:r>
              <w:t>AASB12.19, AASB10.25</w:t>
            </w:r>
          </w:p>
        </w:tc>
        <w:tc>
          <w:tcPr>
            <w:tcW w:w="4188" w:type="pct"/>
            <w:gridSpan w:val="2"/>
          </w:tcPr>
          <w:p w14:paraId="44AF6378" w14:textId="15573FC2" w:rsidR="00540E93" w:rsidRDefault="00540E93" w:rsidP="001A5D4A">
            <w:pPr>
              <w:pStyle w:val="Note-Text"/>
            </w:pPr>
            <w:r>
              <w:t>[</w:t>
            </w:r>
            <w:r w:rsidR="00C779D6">
              <w:t>D</w:t>
            </w:r>
            <w:r>
              <w:t xml:space="preserve">isclose the gain/loss, if any, associated with the loss of control of a subsidiary. Report the portion of which is attributable to measuring the investment retained in the former subsidiary. Disclose the line item(s) in profit </w:t>
            </w:r>
            <w:r w:rsidR="0078550B">
              <w:t xml:space="preserve">or </w:t>
            </w:r>
            <w:r>
              <w:t>loss in which this gain/loss is recognised (if not presented separately)]</w:t>
            </w:r>
          </w:p>
        </w:tc>
      </w:tr>
      <w:tr w:rsidR="00D30442" w14:paraId="70C0CA6D" w14:textId="77777777" w:rsidTr="00AA53AC">
        <w:trPr>
          <w:gridAfter w:val="1"/>
          <w:wAfter w:w="7" w:type="pct"/>
          <w:trHeight w:val="159"/>
        </w:trPr>
        <w:tc>
          <w:tcPr>
            <w:tcW w:w="812" w:type="pct"/>
          </w:tcPr>
          <w:p w14:paraId="327DA2EE" w14:textId="77777777" w:rsidR="00D30442" w:rsidRDefault="00D30442" w:rsidP="001A5D4A">
            <w:pPr>
              <w:pStyle w:val="Note-Refs"/>
            </w:pPr>
          </w:p>
        </w:tc>
        <w:tc>
          <w:tcPr>
            <w:tcW w:w="4181" w:type="pct"/>
          </w:tcPr>
          <w:p w14:paraId="18E05244" w14:textId="77777777" w:rsidR="00D30442" w:rsidRDefault="00D30442" w:rsidP="001A5D4A">
            <w:pPr>
              <w:pStyle w:val="NotesTable-ItemBold"/>
            </w:pPr>
            <w:r w:rsidRPr="000077DE">
              <w:t>Interests in consolidated structured entities</w:t>
            </w:r>
            <w:r>
              <w:t xml:space="preserve"> </w:t>
            </w:r>
          </w:p>
        </w:tc>
      </w:tr>
      <w:tr w:rsidR="00D30442" w14:paraId="25538ED0" w14:textId="77777777" w:rsidTr="00AA53AC">
        <w:trPr>
          <w:gridAfter w:val="1"/>
          <w:wAfter w:w="7" w:type="pct"/>
          <w:trHeight w:val="159"/>
        </w:trPr>
        <w:tc>
          <w:tcPr>
            <w:tcW w:w="812" w:type="pct"/>
          </w:tcPr>
          <w:p w14:paraId="2F229BA1" w14:textId="77777777" w:rsidR="00D30442" w:rsidRDefault="00D30442" w:rsidP="001A5D4A">
            <w:pPr>
              <w:pStyle w:val="Note-Refs"/>
            </w:pPr>
            <w:r>
              <w:t>AASB12.14</w:t>
            </w:r>
          </w:p>
        </w:tc>
        <w:tc>
          <w:tcPr>
            <w:tcW w:w="4181" w:type="pct"/>
          </w:tcPr>
          <w:p w14:paraId="5DB935D8" w14:textId="77777777" w:rsidR="00D30442" w:rsidRDefault="00D30442" w:rsidP="001A5D4A">
            <w:pPr>
              <w:pStyle w:val="Note-Text"/>
            </w:pPr>
            <w:r>
              <w:t>[Disclose the terms of any contractual agreements that could require the parent or any of its subsidiaries to provide financial support to a consolidated structured entity, including circumstances that could expose the HEP to a loss]</w:t>
            </w:r>
          </w:p>
        </w:tc>
      </w:tr>
      <w:tr w:rsidR="00D30442" w14:paraId="2A3F3C57" w14:textId="77777777" w:rsidTr="00AA53AC">
        <w:trPr>
          <w:gridAfter w:val="1"/>
          <w:wAfter w:w="7" w:type="pct"/>
          <w:trHeight w:hRule="exact" w:val="85"/>
        </w:trPr>
        <w:tc>
          <w:tcPr>
            <w:tcW w:w="812" w:type="pct"/>
          </w:tcPr>
          <w:p w14:paraId="119A9842" w14:textId="77777777" w:rsidR="00D30442" w:rsidRDefault="00D30442" w:rsidP="001A5D4A">
            <w:pPr>
              <w:pStyle w:val="Note-Refs"/>
            </w:pPr>
          </w:p>
        </w:tc>
        <w:tc>
          <w:tcPr>
            <w:tcW w:w="4181" w:type="pct"/>
          </w:tcPr>
          <w:p w14:paraId="72CFD585" w14:textId="77777777" w:rsidR="00D30442" w:rsidRDefault="00D30442" w:rsidP="001A5D4A">
            <w:pPr>
              <w:pStyle w:val="Note-Text"/>
            </w:pPr>
          </w:p>
        </w:tc>
      </w:tr>
      <w:tr w:rsidR="00D30442" w14:paraId="081EE72F" w14:textId="77777777" w:rsidTr="00AA53AC">
        <w:trPr>
          <w:gridAfter w:val="1"/>
          <w:wAfter w:w="7" w:type="pct"/>
          <w:trHeight w:val="159"/>
        </w:trPr>
        <w:tc>
          <w:tcPr>
            <w:tcW w:w="812" w:type="pct"/>
          </w:tcPr>
          <w:p w14:paraId="56FA942B" w14:textId="77777777" w:rsidR="00D30442" w:rsidRDefault="00D30442" w:rsidP="001A5D4A">
            <w:pPr>
              <w:pStyle w:val="Note-Refs"/>
            </w:pPr>
            <w:r>
              <w:t>AASB12.15</w:t>
            </w:r>
          </w:p>
        </w:tc>
        <w:tc>
          <w:tcPr>
            <w:tcW w:w="4181" w:type="pct"/>
          </w:tcPr>
          <w:p w14:paraId="66132929" w14:textId="77777777" w:rsidR="00D30442" w:rsidRDefault="00D30442" w:rsidP="001A5D4A">
            <w:pPr>
              <w:pStyle w:val="Note-Text"/>
            </w:pPr>
            <w:r>
              <w:t>[List the type and amount of support provided to consolidated structured entities by the parent or its subsidiaries during the year, which was provided without a contractual obligation to do so. Also list reasons for giving the support]</w:t>
            </w:r>
          </w:p>
        </w:tc>
      </w:tr>
      <w:tr w:rsidR="00D30442" w14:paraId="3C5CF79A" w14:textId="77777777" w:rsidTr="00AA53AC">
        <w:trPr>
          <w:gridAfter w:val="1"/>
          <w:wAfter w:w="7" w:type="pct"/>
          <w:trHeight w:hRule="exact" w:val="85"/>
        </w:trPr>
        <w:tc>
          <w:tcPr>
            <w:tcW w:w="812" w:type="pct"/>
          </w:tcPr>
          <w:p w14:paraId="2497AF06" w14:textId="77777777" w:rsidR="00D30442" w:rsidRDefault="00D30442" w:rsidP="001A5D4A">
            <w:pPr>
              <w:pStyle w:val="Note-Refs"/>
            </w:pPr>
          </w:p>
        </w:tc>
        <w:tc>
          <w:tcPr>
            <w:tcW w:w="4181" w:type="pct"/>
          </w:tcPr>
          <w:p w14:paraId="6A222E74" w14:textId="77777777" w:rsidR="00D30442" w:rsidRDefault="00D30442" w:rsidP="001A5D4A">
            <w:pPr>
              <w:pStyle w:val="Note-Text"/>
            </w:pPr>
          </w:p>
        </w:tc>
      </w:tr>
      <w:tr w:rsidR="00D30442" w14:paraId="4E468CB6" w14:textId="77777777" w:rsidTr="00AA53AC">
        <w:trPr>
          <w:gridAfter w:val="1"/>
          <w:wAfter w:w="7" w:type="pct"/>
          <w:trHeight w:val="159"/>
        </w:trPr>
        <w:tc>
          <w:tcPr>
            <w:tcW w:w="812" w:type="pct"/>
          </w:tcPr>
          <w:p w14:paraId="55939228" w14:textId="77777777" w:rsidR="00D30442" w:rsidRDefault="00D30442" w:rsidP="001A5D4A">
            <w:pPr>
              <w:pStyle w:val="Note-Refs"/>
            </w:pPr>
            <w:r>
              <w:t>AASB12.16</w:t>
            </w:r>
          </w:p>
        </w:tc>
        <w:tc>
          <w:tcPr>
            <w:tcW w:w="4181" w:type="pct"/>
          </w:tcPr>
          <w:p w14:paraId="195ADFC0" w14:textId="77777777" w:rsidR="00D30442" w:rsidRDefault="00D30442" w:rsidP="001A5D4A">
            <w:pPr>
              <w:pStyle w:val="Note-Text"/>
            </w:pPr>
            <w:r>
              <w:t>[If the parent or its subsidiaries provided financial support, without a contractual obligation to do so, to an unconsolidated structured entity that resulted in the entity becoming a consolidated structured entity, disclose an explanation of the relevant factors in reaching that decision]</w:t>
            </w:r>
          </w:p>
        </w:tc>
      </w:tr>
      <w:tr w:rsidR="00D30442" w14:paraId="5FFDE557" w14:textId="77777777" w:rsidTr="00AA53AC">
        <w:trPr>
          <w:gridAfter w:val="1"/>
          <w:wAfter w:w="7" w:type="pct"/>
          <w:trHeight w:hRule="exact" w:val="85"/>
        </w:trPr>
        <w:tc>
          <w:tcPr>
            <w:tcW w:w="812" w:type="pct"/>
          </w:tcPr>
          <w:p w14:paraId="0390F24B" w14:textId="77777777" w:rsidR="00D30442" w:rsidRDefault="00D30442" w:rsidP="001A5D4A">
            <w:pPr>
              <w:pStyle w:val="Note-Refs"/>
            </w:pPr>
          </w:p>
        </w:tc>
        <w:tc>
          <w:tcPr>
            <w:tcW w:w="4181" w:type="pct"/>
          </w:tcPr>
          <w:p w14:paraId="6AABE85B" w14:textId="77777777" w:rsidR="00D30442" w:rsidRDefault="00D30442" w:rsidP="001A5D4A">
            <w:pPr>
              <w:pStyle w:val="NotesTable-CellPlain"/>
              <w:jc w:val="left"/>
            </w:pPr>
          </w:p>
        </w:tc>
      </w:tr>
      <w:tr w:rsidR="00D30442" w14:paraId="1D9B6BE5" w14:textId="77777777" w:rsidTr="00AA53AC">
        <w:trPr>
          <w:gridAfter w:val="1"/>
          <w:wAfter w:w="7" w:type="pct"/>
          <w:trHeight w:val="159"/>
        </w:trPr>
        <w:tc>
          <w:tcPr>
            <w:tcW w:w="812" w:type="pct"/>
          </w:tcPr>
          <w:p w14:paraId="2A54253B" w14:textId="77777777" w:rsidR="00D30442" w:rsidRDefault="00D30442" w:rsidP="001A5D4A">
            <w:pPr>
              <w:pStyle w:val="Note-Refs"/>
            </w:pPr>
            <w:r>
              <w:t>AASB12.17</w:t>
            </w:r>
          </w:p>
        </w:tc>
        <w:tc>
          <w:tcPr>
            <w:tcW w:w="4181" w:type="pct"/>
          </w:tcPr>
          <w:p w14:paraId="79250E1D" w14:textId="77777777" w:rsidR="00D30442" w:rsidRDefault="00D30442" w:rsidP="001A5D4A">
            <w:pPr>
              <w:pStyle w:val="NotesTable-ItemPlain"/>
            </w:pPr>
            <w:r>
              <w:t>[Disclose any current intentions to provide financial or other support to a consolidated structured entity]</w:t>
            </w:r>
          </w:p>
        </w:tc>
      </w:tr>
    </w:tbl>
    <w:p w14:paraId="44465699" w14:textId="53F7625D" w:rsidR="00042B81" w:rsidRPr="00042B81" w:rsidRDefault="00042B81" w:rsidP="001A5D4A">
      <w:pPr>
        <w:pStyle w:val="Heading3"/>
        <w:rPr>
          <w:color w:val="2D3E7B" w:themeColor="text2" w:themeShade="BF"/>
        </w:rPr>
      </w:pPr>
      <w:bookmarkStart w:id="401" w:name="_Toc410807673"/>
      <w:bookmarkStart w:id="402" w:name="_Toc410822734"/>
      <w:r w:rsidRPr="00042B81">
        <w:rPr>
          <w:color w:val="2D3E7B" w:themeColor="text2" w:themeShade="BF"/>
        </w:rPr>
        <w:t>Commentary - Subsidiaries</w:t>
      </w:r>
      <w:bookmarkEnd w:id="401"/>
      <w:bookmarkEnd w:id="402"/>
    </w:p>
    <w:p w14:paraId="58613F9F" w14:textId="77777777" w:rsidR="00042B81" w:rsidRPr="006A4065" w:rsidRDefault="00042B81" w:rsidP="00AB24D3">
      <w:pPr>
        <w:pStyle w:val="Heading4"/>
        <w:rPr>
          <w:color w:val="2D3E7B" w:themeColor="text2" w:themeShade="BF"/>
          <w14:textFill>
            <w14:solidFill>
              <w14:schemeClr w14:val="tx2">
                <w14:lumMod w14:val="75000"/>
                <w14:lumMod w14:val="75000"/>
              </w14:schemeClr>
            </w14:solidFill>
          </w14:textFill>
        </w:rPr>
      </w:pPr>
      <w:r w:rsidRPr="006A4065">
        <w:rPr>
          <w:color w:val="2D3E7B" w:themeColor="text2" w:themeShade="BF"/>
          <w14:textFill>
            <w14:solidFill>
              <w14:schemeClr w14:val="tx2">
                <w14:lumMod w14:val="75000"/>
                <w14:lumMod w14:val="75000"/>
              </w14:schemeClr>
            </w14:solidFill>
          </w14:textFill>
        </w:rPr>
        <w:t>List of significant subsidiaries</w:t>
      </w:r>
    </w:p>
    <w:p w14:paraId="25D299D2" w14:textId="77777777" w:rsidR="00042B81" w:rsidRPr="006A4065" w:rsidRDefault="00042B81" w:rsidP="00655761">
      <w:pPr>
        <w:pStyle w:val="Heading6"/>
      </w:pPr>
      <w:r w:rsidRPr="006A4065">
        <w:t>AASB127.17</w:t>
      </w:r>
    </w:p>
    <w:p w14:paraId="1B63C5B6" w14:textId="77777777" w:rsidR="00042B81" w:rsidRPr="00042B81" w:rsidRDefault="00042B81" w:rsidP="001A5D4A">
      <w:pPr>
        <w:rPr>
          <w:color w:val="2D3E7B" w:themeColor="text2" w:themeShade="BF"/>
        </w:rPr>
      </w:pPr>
      <w:r w:rsidRPr="00042B81">
        <w:rPr>
          <w:color w:val="2D3E7B" w:themeColor="text2" w:themeShade="BF"/>
        </w:rPr>
        <w:t>When a parent (other than a parent covered by AASB127.16-16A), venturer with an interest in a joint venture or an investor in an associate prepares separate financial statements, the notes to those separate financial statements shall disclose a list of significant investments in subsidiaries, joint ventures and associates including the name, principal place of business, proportion of ownership interest and, if different, proportion of voting power held.</w:t>
      </w:r>
    </w:p>
    <w:p w14:paraId="38F1CCD0" w14:textId="77777777" w:rsidR="00042B81" w:rsidRPr="00042B81" w:rsidRDefault="00042B81" w:rsidP="00655761">
      <w:pPr>
        <w:pStyle w:val="Heading6"/>
      </w:pPr>
      <w:r w:rsidRPr="00042B81">
        <w:t>AASB10.6</w:t>
      </w:r>
      <w:proofErr w:type="gramStart"/>
      <w:r w:rsidRPr="00042B81">
        <w:t>,7</w:t>
      </w:r>
      <w:proofErr w:type="gramEnd"/>
    </w:p>
    <w:p w14:paraId="2F4B1112" w14:textId="77777777" w:rsidR="00042B81" w:rsidRPr="00042B81" w:rsidRDefault="00042B81" w:rsidP="001A5D4A">
      <w:pPr>
        <w:rPr>
          <w:color w:val="2D3E7B" w:themeColor="text2" w:themeShade="BF"/>
          <w:highlight w:val="yellow"/>
        </w:rPr>
      </w:pPr>
      <w:r w:rsidRPr="00042B81">
        <w:rPr>
          <w:color w:val="2D3E7B" w:themeColor="text2" w:themeShade="BF"/>
        </w:rPr>
        <w:t>Subsidiaries are entities (including structured entities) over which the HEP has control. The HEP is deemed to control an investee when the HEP is exposed, or has rights, to variable returns from its involvement with the investee and has the ability to affect those returns through its power over the investee.</w:t>
      </w:r>
    </w:p>
    <w:p w14:paraId="5A867E4A" w14:textId="1CA7BEA9" w:rsidR="00042B81" w:rsidRPr="00042B81" w:rsidRDefault="00042B81" w:rsidP="004F3ED9">
      <w:pPr>
        <w:pStyle w:val="StyleHeading5Text2"/>
      </w:pPr>
      <w:r w:rsidRPr="00655761">
        <w:rPr>
          <w:rStyle w:val="Heading6Char"/>
        </w:rPr>
        <w:t>AASB10.24</w:t>
      </w:r>
      <w:r w:rsidRPr="00042B81">
        <w:br/>
      </w:r>
      <w:r w:rsidRPr="00655761">
        <w:rPr>
          <w:rStyle w:val="Heading6Char"/>
        </w:rPr>
        <w:t>AASB2013-8.IG9</w:t>
      </w:r>
    </w:p>
    <w:p w14:paraId="74A7D584" w14:textId="77777777" w:rsidR="00042B81" w:rsidRPr="00042B81" w:rsidRDefault="00042B81" w:rsidP="001A5D4A">
      <w:pPr>
        <w:rPr>
          <w:color w:val="2D3E7B" w:themeColor="text2" w:themeShade="BF"/>
        </w:rPr>
      </w:pPr>
      <w:r w:rsidRPr="00042B81">
        <w:rPr>
          <w:color w:val="2D3E7B" w:themeColor="text2" w:themeShade="BF"/>
        </w:rPr>
        <w:t>Rights are substantive when they are exercisable when decisions about the direction of relevant activities need to be made. In addition to the list in AASB10.B15, rights to give policy directions to the governing body of an investee or rights to approve or veto operating/capital budgets relating to relevant activities also give rise to power.</w:t>
      </w:r>
    </w:p>
    <w:p w14:paraId="003A9E6B" w14:textId="39073437" w:rsidR="00042B81" w:rsidRPr="00042B81" w:rsidRDefault="00042B81" w:rsidP="00655761">
      <w:pPr>
        <w:pStyle w:val="Heading6"/>
      </w:pPr>
      <w:r w:rsidRPr="00042B81">
        <w:t>AASB2013-8.IG18-19</w:t>
      </w:r>
      <w:r w:rsidRPr="00042B81">
        <w:br/>
        <w:t>AASB10.B57</w:t>
      </w:r>
    </w:p>
    <w:p w14:paraId="63DC1C47" w14:textId="77777777" w:rsidR="00042B81" w:rsidRPr="00042B81" w:rsidRDefault="00042B81" w:rsidP="001A5D4A">
      <w:pPr>
        <w:rPr>
          <w:color w:val="2D3E7B" w:themeColor="text2" w:themeShade="BF"/>
        </w:rPr>
      </w:pPr>
      <w:r w:rsidRPr="00042B81">
        <w:rPr>
          <w:color w:val="2D3E7B" w:themeColor="text2" w:themeShade="BF"/>
        </w:rPr>
        <w:t xml:space="preserve">With reference to not-for-profits, AASB2013-8 points out that returns of an investee do not always need to be financial. They can also include the achievement or furtherance of the investor’s objectives. </w:t>
      </w:r>
      <w:proofErr w:type="gramStart"/>
      <w:r w:rsidRPr="00042B81">
        <w:rPr>
          <w:color w:val="2D3E7B" w:themeColor="text2" w:themeShade="BF"/>
        </w:rPr>
        <w:t>For example a distribution by a trust to beneficiaries to meet the investor’s social policy objectives.</w:t>
      </w:r>
      <w:proofErr w:type="gramEnd"/>
    </w:p>
    <w:p w14:paraId="24696E7B" w14:textId="3EB0AFBC" w:rsidR="00042B81" w:rsidRPr="00042B81" w:rsidRDefault="00042B81" w:rsidP="00655761">
      <w:pPr>
        <w:pStyle w:val="Heading6"/>
      </w:pPr>
      <w:r w:rsidRPr="00042B81">
        <w:t>AASB10.10</w:t>
      </w:r>
      <w:proofErr w:type="gramStart"/>
      <w:r w:rsidRPr="00042B81">
        <w:t>,B11</w:t>
      </w:r>
      <w:proofErr w:type="gramEnd"/>
      <w:r w:rsidR="00883287">
        <w:br/>
      </w:r>
      <w:r w:rsidRPr="00042B81">
        <w:t>AASB2013-8.IG4</w:t>
      </w:r>
    </w:p>
    <w:p w14:paraId="7BC018E8" w14:textId="77777777" w:rsidR="00042B81" w:rsidRPr="00042B81" w:rsidRDefault="00042B81" w:rsidP="001A5D4A">
      <w:pPr>
        <w:rPr>
          <w:color w:val="2D3E7B" w:themeColor="text2" w:themeShade="BF"/>
        </w:rPr>
      </w:pPr>
      <w:r w:rsidRPr="00042B81">
        <w:rPr>
          <w:color w:val="2D3E7B" w:themeColor="text2" w:themeShade="BF"/>
        </w:rPr>
        <w:t>Relevant activities are activities that significantly affect the investee’s returns. In example IG4 in AASB2013-8, of a university and government entity: The university is economically dependent on the government for grant funding and the government can in some cases intervene in the activities of the university, for example choose some members of the council (but not control the council) or fix borrowing limits and impose other administrative regulations. These activities are not the relevant activities of the university (which would be learning, teaching and research- which are governed by the university’s council). In this situation there is no control.</w:t>
      </w:r>
    </w:p>
    <w:p w14:paraId="4A93DE6E" w14:textId="77777777" w:rsidR="00042B81" w:rsidRPr="00042B81" w:rsidRDefault="00042B81" w:rsidP="00655761">
      <w:pPr>
        <w:pStyle w:val="Heading6"/>
      </w:pPr>
      <w:proofErr w:type="gramStart"/>
      <w:r w:rsidRPr="00042B81">
        <w:lastRenderedPageBreak/>
        <w:t>AASB2013-8.</w:t>
      </w:r>
      <w:proofErr w:type="gramEnd"/>
      <w:r w:rsidRPr="00042B81">
        <w:t xml:space="preserve"> IG1C</w:t>
      </w:r>
    </w:p>
    <w:p w14:paraId="25C8F0DD" w14:textId="77777777" w:rsidR="00042B81" w:rsidRPr="00042B81" w:rsidRDefault="00042B81" w:rsidP="001A5D4A">
      <w:pPr>
        <w:rPr>
          <w:color w:val="2D3E7B" w:themeColor="text2" w:themeShade="BF"/>
        </w:rPr>
      </w:pPr>
      <w:r w:rsidRPr="00042B81">
        <w:rPr>
          <w:color w:val="2D3E7B" w:themeColor="text2" w:themeShade="BF"/>
        </w:rPr>
        <w:t>A publicly elected board does not indicate that an investor cannot control an investee. In some cases the design of the investee or its constitution allows the investor to control relevant activities.</w:t>
      </w:r>
    </w:p>
    <w:p w14:paraId="271E8831" w14:textId="303D0587" w:rsidR="00042B81" w:rsidRPr="00042B81" w:rsidRDefault="00042B81" w:rsidP="00655761">
      <w:pPr>
        <w:pStyle w:val="Heading6"/>
      </w:pPr>
      <w:r w:rsidRPr="00042B81">
        <w:t>AASB10.8</w:t>
      </w:r>
      <w:r w:rsidRPr="00042B81">
        <w:br/>
        <w:t>AASB10.B80</w:t>
      </w:r>
    </w:p>
    <w:p w14:paraId="790EA788" w14:textId="4952629E" w:rsidR="005F1275" w:rsidRPr="00042B81" w:rsidRDefault="00042B81" w:rsidP="001A5D4A">
      <w:pPr>
        <w:rPr>
          <w:color w:val="2D3E7B" w:themeColor="text2" w:themeShade="BF"/>
          <w:highlight w:val="yellow"/>
        </w:rPr>
      </w:pPr>
      <w:r w:rsidRPr="00042B81">
        <w:rPr>
          <w:color w:val="2D3E7B" w:themeColor="text2" w:themeShade="BF"/>
        </w:rPr>
        <w:t>The HEP should consider all facts and circumstances when assessing whether it controls an investee. If facts and circumstances indicate there are changes to one or more of the three elements of control listed in paragraph 7 of AASB10 the HEP should reassess whether it still controls an investee.</w:t>
      </w:r>
    </w:p>
    <w:p w14:paraId="6ACD3177" w14:textId="709D5C20" w:rsidR="00042B81" w:rsidRPr="00042B81" w:rsidRDefault="00042B81" w:rsidP="00655761">
      <w:pPr>
        <w:pStyle w:val="Heading6"/>
      </w:pPr>
      <w:r w:rsidRPr="00042B81">
        <w:t>AASB10.C4</w:t>
      </w:r>
    </w:p>
    <w:p w14:paraId="6F401931" w14:textId="77777777" w:rsidR="00042B81" w:rsidRPr="00042B81" w:rsidRDefault="00042B81" w:rsidP="001A5D4A">
      <w:pPr>
        <w:rPr>
          <w:color w:val="2D3E7B" w:themeColor="text2" w:themeShade="BF"/>
        </w:rPr>
      </w:pPr>
      <w:r w:rsidRPr="00042B81">
        <w:rPr>
          <w:color w:val="2D3E7B" w:themeColor="text2" w:themeShade="BF"/>
        </w:rPr>
        <w:t>When application of AASB10 for the first time results in the HEP consolidating an investee that was not consolidated in accordance with AASB127 and Interpretation 112, the HEP shall:</w:t>
      </w:r>
    </w:p>
    <w:p w14:paraId="2D37372F" w14:textId="77777777" w:rsidR="00042B81" w:rsidRPr="00AA53AC" w:rsidRDefault="00042B81" w:rsidP="009B1E46">
      <w:pPr>
        <w:pStyle w:val="ListParagraph"/>
        <w:numPr>
          <w:ilvl w:val="0"/>
          <w:numId w:val="74"/>
        </w:numPr>
        <w:ind w:left="340" w:hanging="340"/>
        <w:rPr>
          <w:color w:val="2D3E7B" w:themeColor="text2" w:themeShade="BF"/>
        </w:rPr>
      </w:pPr>
      <w:r w:rsidRPr="00AA53AC">
        <w:rPr>
          <w:color w:val="2D3E7B" w:themeColor="text2" w:themeShade="BF"/>
        </w:rPr>
        <w:t xml:space="preserve">If the investee is a business (as defined in AASB3 </w:t>
      </w:r>
      <w:r w:rsidRPr="009B1E46">
        <w:rPr>
          <w:i/>
          <w:color w:val="2D3E7B" w:themeColor="text2" w:themeShade="BF"/>
        </w:rPr>
        <w:t>Business Combinations</w:t>
      </w:r>
      <w:r w:rsidRPr="00AA53AC">
        <w:rPr>
          <w:color w:val="2D3E7B" w:themeColor="text2" w:themeShade="BF"/>
        </w:rPr>
        <w:t xml:space="preserve">), measure the assets, liabilities and non-controlling interests in that previously unconsolidated investee as if the investee had been consolidated from the date when HEP obtained control. HEP shall adjust retrospectively the annual reporting period immediately preceding the date of initial application. If control was obtained prior to the preceding reporting period, HEP shall recognise, as an adjustment to equity at the beginning of the immediately preceding period, any difference in the amount of assets, liabilities and </w:t>
      </w:r>
      <w:proofErr w:type="spellStart"/>
      <w:r w:rsidRPr="00AA53AC">
        <w:rPr>
          <w:color w:val="2D3E7B" w:themeColor="text2" w:themeShade="BF"/>
        </w:rPr>
        <w:t>NCIs</w:t>
      </w:r>
      <w:proofErr w:type="spellEnd"/>
      <w:r w:rsidRPr="00AA53AC">
        <w:rPr>
          <w:color w:val="2D3E7B" w:themeColor="text2" w:themeShade="BF"/>
        </w:rPr>
        <w:t xml:space="preserve"> recognised, and in the previous carrying amount of HEP’s involvement with the investee.</w:t>
      </w:r>
    </w:p>
    <w:p w14:paraId="2F096A48" w14:textId="259AE318" w:rsidR="00042B81" w:rsidRPr="00042B81" w:rsidRDefault="00042B81" w:rsidP="009B1E46">
      <w:pPr>
        <w:pStyle w:val="ListParagraph"/>
        <w:numPr>
          <w:ilvl w:val="0"/>
          <w:numId w:val="74"/>
        </w:numPr>
        <w:ind w:left="340" w:hanging="340"/>
        <w:rPr>
          <w:color w:val="2D3E7B" w:themeColor="text2" w:themeShade="BF"/>
        </w:rPr>
      </w:pPr>
      <w:r w:rsidRPr="00042B81">
        <w:rPr>
          <w:color w:val="2D3E7B" w:themeColor="text2" w:themeShade="BF"/>
        </w:rPr>
        <w:t xml:space="preserve">If the investee is not a business (as defined in AASB3), measure the assets, liabilities and non-controlling interests in that previously unconsolidated investee as if the investee had been consolidated (applying the acquisition method in AASB3 without recognising any goodwill) from the date when HEP obtained control. HEP shall adjust retrospectively the annual reporting period immediately preceding the date of initial application. If control was obtained prior to the preceding reporting period, HEP shall recognise, as an adjustment to equity at the beginning of the immediately preceding period, any difference in the amount of assets, liabilities and </w:t>
      </w:r>
      <w:proofErr w:type="spellStart"/>
      <w:r w:rsidRPr="00042B81">
        <w:rPr>
          <w:color w:val="2D3E7B" w:themeColor="text2" w:themeShade="BF"/>
        </w:rPr>
        <w:t>NCIs</w:t>
      </w:r>
      <w:proofErr w:type="spellEnd"/>
      <w:r w:rsidRPr="00042B81">
        <w:rPr>
          <w:color w:val="2D3E7B" w:themeColor="text2" w:themeShade="BF"/>
        </w:rPr>
        <w:t xml:space="preserve"> recognised, and in the previous carrying amount of HEP’s involvement with the investee.</w:t>
      </w:r>
    </w:p>
    <w:p w14:paraId="5CF7221D" w14:textId="77777777" w:rsidR="00042B81" w:rsidRPr="00042B81" w:rsidRDefault="00042B81" w:rsidP="001A5D4A">
      <w:pPr>
        <w:rPr>
          <w:color w:val="2D3E7B" w:themeColor="text2" w:themeShade="BF"/>
        </w:rPr>
      </w:pPr>
      <w:r w:rsidRPr="00042B81">
        <w:rPr>
          <w:color w:val="2D3E7B" w:themeColor="text2" w:themeShade="BF"/>
        </w:rPr>
        <w:t>The HEP shall provide comparative information and disclosures as per AASB108.</w:t>
      </w:r>
    </w:p>
    <w:p w14:paraId="34F8FDCE" w14:textId="77777777" w:rsidR="00042B81" w:rsidRPr="00042B81" w:rsidRDefault="00042B81" w:rsidP="00655761">
      <w:pPr>
        <w:pStyle w:val="Heading6"/>
      </w:pPr>
      <w:r w:rsidRPr="00042B81">
        <w:t>AASB10.C3</w:t>
      </w:r>
    </w:p>
    <w:p w14:paraId="21E2DB14" w14:textId="77777777" w:rsidR="00042B81" w:rsidRPr="00042B81" w:rsidRDefault="00042B81" w:rsidP="001A5D4A">
      <w:pPr>
        <w:rPr>
          <w:color w:val="2D3E7B" w:themeColor="text2" w:themeShade="BF"/>
        </w:rPr>
      </w:pPr>
      <w:r w:rsidRPr="00042B81">
        <w:rPr>
          <w:color w:val="2D3E7B" w:themeColor="text2" w:themeShade="BF"/>
        </w:rPr>
        <w:t>No adjustments need to be made for entities previously consolidated under AASB127 that continue to be consolidated or entities that were previously unconsolidated under AASB127 that continue to be unconsolidated.</w:t>
      </w:r>
    </w:p>
    <w:p w14:paraId="7C73E8FD" w14:textId="77777777" w:rsidR="00042B81" w:rsidRPr="00883287" w:rsidRDefault="00042B81"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Non-controlling interests in subsidiaries</w:t>
      </w:r>
    </w:p>
    <w:p w14:paraId="05BE3C75" w14:textId="77777777" w:rsidR="00042B81" w:rsidRPr="00042B81" w:rsidRDefault="00042B81" w:rsidP="00655761">
      <w:pPr>
        <w:pStyle w:val="Heading6"/>
      </w:pPr>
      <w:r w:rsidRPr="00042B81">
        <w:t>AASB12.10</w:t>
      </w:r>
    </w:p>
    <w:p w14:paraId="6E22026F" w14:textId="77777777" w:rsidR="00042B81" w:rsidRPr="00042B81" w:rsidRDefault="00042B81" w:rsidP="001A5D4A">
      <w:pPr>
        <w:rPr>
          <w:color w:val="2D3E7B" w:themeColor="text2" w:themeShade="BF"/>
        </w:rPr>
      </w:pPr>
      <w:r w:rsidRPr="00042B81">
        <w:rPr>
          <w:color w:val="2D3E7B" w:themeColor="text2" w:themeShade="BF"/>
        </w:rPr>
        <w:t>Information should be disclosed to enable users to understand the composition of the HEP and the interests non-controlling interests have in its activities and cash flows. This information should enable users to evaluate restrictions, risks, consequences of changes in ownership that does not result in loss of control and the consequences of losing control of a subsidiary.</w:t>
      </w:r>
    </w:p>
    <w:p w14:paraId="76E54C7F" w14:textId="4F6FD4E5" w:rsidR="00042B81" w:rsidRPr="00042B81" w:rsidRDefault="00042B81" w:rsidP="00655761">
      <w:pPr>
        <w:pStyle w:val="Heading6"/>
      </w:pPr>
      <w:r w:rsidRPr="00042B81">
        <w:t>AASB12.13</w:t>
      </w:r>
    </w:p>
    <w:p w14:paraId="55B48E4F" w14:textId="77777777" w:rsidR="00042B81" w:rsidRPr="00042B81" w:rsidRDefault="00042B81" w:rsidP="001A5D4A">
      <w:pPr>
        <w:rPr>
          <w:color w:val="2D3E7B" w:themeColor="text2" w:themeShade="BF"/>
          <w:highlight w:val="yellow"/>
        </w:rPr>
      </w:pPr>
      <w:r w:rsidRPr="00042B81">
        <w:rPr>
          <w:color w:val="2D3E7B" w:themeColor="text2" w:themeShade="BF"/>
        </w:rPr>
        <w:t>Significant restrictions can include statutory, contractual and regulatory restrictions, such as those that restrict the ability of the parent or its subsidiaries to transfer assets to or from entities within the HEP or guarantees or other requirements that restrict dividends, capital distributions, loans or advances from being paid within the HEP.</w:t>
      </w:r>
    </w:p>
    <w:p w14:paraId="0BE27472" w14:textId="77777777" w:rsidR="00042B81" w:rsidRPr="00883287" w:rsidRDefault="00042B81"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Loss of control</w:t>
      </w:r>
    </w:p>
    <w:p w14:paraId="0999FE6D" w14:textId="77777777" w:rsidR="00042B81" w:rsidRPr="00042B81" w:rsidRDefault="00042B81" w:rsidP="00655761">
      <w:pPr>
        <w:pStyle w:val="Heading6"/>
      </w:pPr>
      <w:r w:rsidRPr="00042B81">
        <w:t>AASB12.18</w:t>
      </w:r>
    </w:p>
    <w:p w14:paraId="73C25A3C" w14:textId="77777777" w:rsidR="00042B81" w:rsidRPr="00042B81" w:rsidRDefault="00042B81" w:rsidP="001A5D4A">
      <w:pPr>
        <w:rPr>
          <w:color w:val="2D3E7B" w:themeColor="text2" w:themeShade="BF"/>
        </w:rPr>
      </w:pPr>
      <w:r w:rsidRPr="00042B81">
        <w:rPr>
          <w:color w:val="2D3E7B" w:themeColor="text2" w:themeShade="BF"/>
        </w:rPr>
        <w:t xml:space="preserve">The HEP should also include in this note a schedule that shows the effect on the equity attributable to the owners of the parent of any changes in its ownership interest in a subsidiary that does not result in loss of control. </w:t>
      </w:r>
    </w:p>
    <w:p w14:paraId="3AEE4B93" w14:textId="77777777" w:rsidR="00042B81" w:rsidRPr="00042B81" w:rsidRDefault="00042B81" w:rsidP="001A5D4A">
      <w:pPr>
        <w:rPr>
          <w:color w:val="2D3E7B" w:themeColor="text2" w:themeShade="BF"/>
        </w:rPr>
      </w:pPr>
      <w:r w:rsidRPr="00042B81">
        <w:rPr>
          <w:color w:val="2D3E7B" w:themeColor="text2" w:themeShade="BF"/>
        </w:rPr>
        <w:t>Present any loss of control in accordance with AASB10.25 and AASB12.19</w:t>
      </w:r>
    </w:p>
    <w:p w14:paraId="7B10DBEA" w14:textId="77777777" w:rsidR="00042B81" w:rsidRPr="00883287" w:rsidRDefault="00042B81"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lastRenderedPageBreak/>
        <w:t>Summarised financial information</w:t>
      </w:r>
    </w:p>
    <w:p w14:paraId="50D19DA9" w14:textId="77777777" w:rsidR="00042B81" w:rsidRPr="00883287" w:rsidRDefault="00042B81" w:rsidP="00655761">
      <w:pPr>
        <w:pStyle w:val="Heading6"/>
      </w:pPr>
      <w:r w:rsidRPr="00883287">
        <w:t>AASB12.B17</w:t>
      </w:r>
    </w:p>
    <w:p w14:paraId="149A4DC4" w14:textId="77777777" w:rsidR="00042B81" w:rsidRPr="00883287" w:rsidRDefault="00042B81" w:rsidP="001A5D4A">
      <w:pPr>
        <w:rPr>
          <w:color w:val="2D3E7B" w:themeColor="text2" w:themeShade="BF"/>
        </w:rPr>
      </w:pPr>
      <w:r w:rsidRPr="00883287">
        <w:rPr>
          <w:color w:val="2D3E7B" w:themeColor="text2" w:themeShade="BF"/>
        </w:rPr>
        <w:t>The requirements of AASB12.B10 do not apply if the subsidiary is classified as held for sale.</w:t>
      </w:r>
    </w:p>
    <w:p w14:paraId="24D7C36B" w14:textId="77777777" w:rsidR="00042B81" w:rsidRPr="00883287" w:rsidRDefault="00042B81"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Not for profit consolidation</w:t>
      </w:r>
    </w:p>
    <w:p w14:paraId="72DF14CE" w14:textId="70DD4E02" w:rsidR="002A288A" w:rsidRDefault="00042B81" w:rsidP="001A5D4A">
      <w:pPr>
        <w:rPr>
          <w:color w:val="2D3E7B" w:themeColor="text2" w:themeShade="BF"/>
        </w:rPr>
      </w:pPr>
      <w:r w:rsidRPr="00042B81">
        <w:rPr>
          <w:color w:val="2D3E7B" w:themeColor="text2" w:themeShade="BF"/>
        </w:rPr>
        <w:t>AASB2013-8 provides an additional appendix to AASB10 to elaborate on the guidance for not-for-profit entities. It does not replace or revise any terminology in AASB10.</w:t>
      </w:r>
    </w:p>
    <w:p w14:paraId="7506A792" w14:textId="77777777" w:rsidR="002A288A" w:rsidRPr="00106D3E" w:rsidRDefault="002A288A" w:rsidP="001A5D4A">
      <w:r w:rsidRPr="00106D3E">
        <w:br w:type="page"/>
      </w:r>
    </w:p>
    <w:p w14:paraId="09556BE3" w14:textId="77777777" w:rsidR="002A288A" w:rsidRPr="002A288A" w:rsidRDefault="002A288A" w:rsidP="00883287">
      <w:pPr>
        <w:pStyle w:val="Heading2"/>
      </w:pPr>
      <w:bookmarkStart w:id="403" w:name="_Toc410807674"/>
      <w:bookmarkStart w:id="404" w:name="_Toc410822735"/>
      <w:proofErr w:type="gramStart"/>
      <w:r w:rsidRPr="002A288A">
        <w:lastRenderedPageBreak/>
        <w:t>Note 45.</w:t>
      </w:r>
      <w:proofErr w:type="gramEnd"/>
      <w:r w:rsidRPr="002A288A">
        <w:t xml:space="preserve"> Joint operations</w:t>
      </w:r>
      <w:bookmarkEnd w:id="403"/>
      <w:bookmarkEnd w:id="404"/>
      <w:r w:rsidRPr="002A288A">
        <w:t xml:space="preserve"> </w:t>
      </w:r>
    </w:p>
    <w:tbl>
      <w:tblPr>
        <w:tblW w:w="5105" w:type="pct"/>
        <w:tblLayout w:type="fixed"/>
        <w:tblCellMar>
          <w:left w:w="0" w:type="dxa"/>
          <w:right w:w="0" w:type="dxa"/>
        </w:tblCellMar>
        <w:tblLook w:val="0000" w:firstRow="0" w:lastRow="0" w:firstColumn="0" w:lastColumn="0" w:noHBand="0" w:noVBand="0"/>
      </w:tblPr>
      <w:tblGrid>
        <w:gridCol w:w="1612"/>
        <w:gridCol w:w="1934"/>
        <w:gridCol w:w="2095"/>
        <w:gridCol w:w="1611"/>
        <w:gridCol w:w="1772"/>
        <w:gridCol w:w="1451"/>
      </w:tblGrid>
      <w:tr w:rsidR="003411A8" w:rsidRPr="00FA6CB2" w14:paraId="747D05A7" w14:textId="77777777" w:rsidTr="003411A8">
        <w:trPr>
          <w:cantSplit/>
          <w:trHeight w:val="159"/>
        </w:trPr>
        <w:tc>
          <w:tcPr>
            <w:tcW w:w="1418" w:type="dxa"/>
          </w:tcPr>
          <w:p w14:paraId="4CE5B252" w14:textId="77777777" w:rsidR="003411A8" w:rsidRDefault="003411A8" w:rsidP="003411A8">
            <w:pPr>
              <w:pStyle w:val="Note-Refs"/>
            </w:pPr>
            <w:bookmarkStart w:id="405" w:name="_Toc410807675"/>
            <w:bookmarkStart w:id="406" w:name="_Toc410822736"/>
          </w:p>
        </w:tc>
        <w:tc>
          <w:tcPr>
            <w:tcW w:w="7796" w:type="dxa"/>
            <w:gridSpan w:val="5"/>
            <w:vAlign w:val="bottom"/>
          </w:tcPr>
          <w:p w14:paraId="22F6E35C" w14:textId="77777777" w:rsidR="003411A8" w:rsidRPr="00FA6CB2" w:rsidRDefault="003411A8" w:rsidP="003411A8">
            <w:pPr>
              <w:pStyle w:val="NotesTable-ItemBold"/>
            </w:pPr>
            <w:r w:rsidRPr="00FA6CB2">
              <w:t xml:space="preserve">Joint </w:t>
            </w:r>
            <w:r>
              <w:t>operations</w:t>
            </w:r>
          </w:p>
        </w:tc>
      </w:tr>
      <w:tr w:rsidR="003411A8" w:rsidRPr="00065EE0" w14:paraId="1764CF19" w14:textId="77777777" w:rsidTr="003411A8">
        <w:trPr>
          <w:cantSplit/>
          <w:trHeight w:val="159"/>
        </w:trPr>
        <w:tc>
          <w:tcPr>
            <w:tcW w:w="1418" w:type="dxa"/>
          </w:tcPr>
          <w:p w14:paraId="7B4ED193" w14:textId="77777777" w:rsidR="003411A8" w:rsidRPr="00065EE0" w:rsidRDefault="003411A8" w:rsidP="003411A8">
            <w:pPr>
              <w:pStyle w:val="Note-Refs"/>
            </w:pPr>
          </w:p>
        </w:tc>
        <w:tc>
          <w:tcPr>
            <w:tcW w:w="7796" w:type="dxa"/>
            <w:gridSpan w:val="5"/>
            <w:vAlign w:val="bottom"/>
          </w:tcPr>
          <w:p w14:paraId="19CAE2A0" w14:textId="77777777" w:rsidR="003411A8" w:rsidRPr="00065EE0" w:rsidRDefault="003411A8" w:rsidP="003411A8">
            <w:pPr>
              <w:pStyle w:val="Note-Text"/>
            </w:pPr>
            <w:r>
              <w:t>[Insert details]</w:t>
            </w:r>
          </w:p>
        </w:tc>
      </w:tr>
      <w:tr w:rsidR="003411A8" w14:paraId="0CD2C5E3" w14:textId="77777777" w:rsidTr="003411A8">
        <w:trPr>
          <w:cantSplit/>
          <w:trHeight w:val="159"/>
        </w:trPr>
        <w:tc>
          <w:tcPr>
            <w:tcW w:w="1418" w:type="dxa"/>
          </w:tcPr>
          <w:p w14:paraId="1169A3B0" w14:textId="77777777" w:rsidR="003411A8" w:rsidRDefault="003411A8" w:rsidP="003411A8">
            <w:pPr>
              <w:pStyle w:val="Note-Refs"/>
            </w:pPr>
          </w:p>
        </w:tc>
        <w:tc>
          <w:tcPr>
            <w:tcW w:w="7796" w:type="dxa"/>
            <w:gridSpan w:val="5"/>
            <w:vAlign w:val="bottom"/>
          </w:tcPr>
          <w:p w14:paraId="1CB953DB" w14:textId="77777777" w:rsidR="003411A8" w:rsidRDefault="003411A8" w:rsidP="003411A8">
            <w:pPr>
              <w:pStyle w:val="NotesTable-ItemPlain"/>
            </w:pPr>
          </w:p>
        </w:tc>
      </w:tr>
      <w:tr w:rsidR="003411A8" w14:paraId="03D11A6B" w14:textId="77777777" w:rsidTr="003411A8">
        <w:trPr>
          <w:cantSplit/>
          <w:trHeight w:val="159"/>
        </w:trPr>
        <w:tc>
          <w:tcPr>
            <w:tcW w:w="1418" w:type="dxa"/>
          </w:tcPr>
          <w:p w14:paraId="0CFE5A54" w14:textId="77777777" w:rsidR="003411A8" w:rsidRDefault="003411A8" w:rsidP="003411A8">
            <w:pPr>
              <w:pStyle w:val="Note-Refs"/>
            </w:pPr>
            <w:r>
              <w:t>AASB12.21,B12a</w:t>
            </w:r>
          </w:p>
        </w:tc>
        <w:tc>
          <w:tcPr>
            <w:tcW w:w="1701" w:type="dxa"/>
          </w:tcPr>
          <w:p w14:paraId="14DBF939" w14:textId="77777777" w:rsidR="003411A8" w:rsidRDefault="003411A8" w:rsidP="003411A8">
            <w:pPr>
              <w:pStyle w:val="NotesTable-ItemPlain"/>
            </w:pPr>
            <w:r>
              <w:t>Name of joint operation</w:t>
            </w:r>
          </w:p>
        </w:tc>
        <w:tc>
          <w:tcPr>
            <w:tcW w:w="1843" w:type="dxa"/>
          </w:tcPr>
          <w:p w14:paraId="55F4B5BB" w14:textId="77777777" w:rsidR="003411A8" w:rsidRDefault="003411A8" w:rsidP="003411A8">
            <w:pPr>
              <w:pStyle w:val="NotesTable-ItemPlain"/>
            </w:pPr>
            <w:r>
              <w:t>Nature of relationship</w:t>
            </w:r>
          </w:p>
        </w:tc>
        <w:tc>
          <w:tcPr>
            <w:tcW w:w="1417" w:type="dxa"/>
          </w:tcPr>
          <w:p w14:paraId="27EC9F5A" w14:textId="77777777" w:rsidR="003411A8" w:rsidRDefault="003411A8" w:rsidP="003411A8">
            <w:pPr>
              <w:pStyle w:val="NotesTable-CellPlain"/>
            </w:pPr>
            <w:r>
              <w:t>Principal place of business</w:t>
            </w:r>
          </w:p>
        </w:tc>
        <w:tc>
          <w:tcPr>
            <w:tcW w:w="2835" w:type="dxa"/>
            <w:gridSpan w:val="2"/>
          </w:tcPr>
          <w:p w14:paraId="3BAA000F" w14:textId="77777777" w:rsidR="003411A8" w:rsidRDefault="003411A8" w:rsidP="003411A8">
            <w:pPr>
              <w:pStyle w:val="NotesTable-CellPlain"/>
            </w:pPr>
            <w:r>
              <w:t>Ownership interest/voting rights held</w:t>
            </w:r>
          </w:p>
        </w:tc>
      </w:tr>
      <w:tr w:rsidR="003411A8" w14:paraId="191C9408" w14:textId="77777777" w:rsidTr="003411A8">
        <w:trPr>
          <w:cantSplit/>
          <w:trHeight w:val="159"/>
        </w:trPr>
        <w:tc>
          <w:tcPr>
            <w:tcW w:w="1418" w:type="dxa"/>
          </w:tcPr>
          <w:p w14:paraId="07EF1B9E" w14:textId="77777777" w:rsidR="003411A8" w:rsidRDefault="003411A8" w:rsidP="003411A8">
            <w:pPr>
              <w:pStyle w:val="Note-Refs"/>
            </w:pPr>
          </w:p>
        </w:tc>
        <w:tc>
          <w:tcPr>
            <w:tcW w:w="1701" w:type="dxa"/>
          </w:tcPr>
          <w:p w14:paraId="7B033E55" w14:textId="77777777" w:rsidR="003411A8" w:rsidRDefault="003411A8" w:rsidP="003411A8">
            <w:pPr>
              <w:pStyle w:val="NotesTable-ItemPlain"/>
            </w:pPr>
          </w:p>
        </w:tc>
        <w:tc>
          <w:tcPr>
            <w:tcW w:w="1843" w:type="dxa"/>
          </w:tcPr>
          <w:p w14:paraId="467B3D16" w14:textId="77777777" w:rsidR="003411A8" w:rsidRDefault="003411A8" w:rsidP="003411A8">
            <w:pPr>
              <w:pStyle w:val="NotesTable-ItemPlain"/>
            </w:pPr>
          </w:p>
        </w:tc>
        <w:tc>
          <w:tcPr>
            <w:tcW w:w="1417" w:type="dxa"/>
          </w:tcPr>
          <w:p w14:paraId="00E358BA" w14:textId="77777777" w:rsidR="003411A8" w:rsidRDefault="003411A8" w:rsidP="003411A8">
            <w:pPr>
              <w:pStyle w:val="NotesTable-ItemPlain"/>
            </w:pPr>
          </w:p>
        </w:tc>
        <w:tc>
          <w:tcPr>
            <w:tcW w:w="1559" w:type="dxa"/>
          </w:tcPr>
          <w:p w14:paraId="2CCF81FB" w14:textId="77777777" w:rsidR="003411A8" w:rsidRDefault="003411A8" w:rsidP="003411A8">
            <w:pPr>
              <w:pStyle w:val="NotesTable-CellBold"/>
            </w:pPr>
            <w:r>
              <w:t>2014</w:t>
            </w:r>
          </w:p>
        </w:tc>
        <w:tc>
          <w:tcPr>
            <w:tcW w:w="1276" w:type="dxa"/>
          </w:tcPr>
          <w:p w14:paraId="2FBA4CAF" w14:textId="77777777" w:rsidR="003411A8" w:rsidRDefault="003411A8" w:rsidP="003411A8">
            <w:pPr>
              <w:pStyle w:val="NotesTable-CellPlain"/>
            </w:pPr>
            <w:r>
              <w:t>2013</w:t>
            </w:r>
          </w:p>
        </w:tc>
      </w:tr>
      <w:tr w:rsidR="003411A8" w14:paraId="0ADB4F65" w14:textId="77777777" w:rsidTr="003411A8">
        <w:trPr>
          <w:cantSplit/>
          <w:trHeight w:val="159"/>
        </w:trPr>
        <w:tc>
          <w:tcPr>
            <w:tcW w:w="1418" w:type="dxa"/>
          </w:tcPr>
          <w:p w14:paraId="7867A672" w14:textId="77777777" w:rsidR="003411A8" w:rsidRDefault="003411A8" w:rsidP="003411A8">
            <w:pPr>
              <w:pStyle w:val="Note-Refs"/>
            </w:pPr>
          </w:p>
        </w:tc>
        <w:tc>
          <w:tcPr>
            <w:tcW w:w="1701" w:type="dxa"/>
          </w:tcPr>
          <w:p w14:paraId="3B695A10" w14:textId="77777777" w:rsidR="003411A8" w:rsidRDefault="003411A8" w:rsidP="003411A8">
            <w:pPr>
              <w:pStyle w:val="NotesTable-ItemPlain"/>
            </w:pPr>
          </w:p>
        </w:tc>
        <w:tc>
          <w:tcPr>
            <w:tcW w:w="1843" w:type="dxa"/>
          </w:tcPr>
          <w:p w14:paraId="53B0F699" w14:textId="77777777" w:rsidR="003411A8" w:rsidRDefault="003411A8" w:rsidP="003411A8">
            <w:pPr>
              <w:pStyle w:val="NotesTable-ItemPlain"/>
            </w:pPr>
          </w:p>
        </w:tc>
        <w:tc>
          <w:tcPr>
            <w:tcW w:w="1417" w:type="dxa"/>
          </w:tcPr>
          <w:p w14:paraId="46F11CCE" w14:textId="77777777" w:rsidR="003411A8" w:rsidRDefault="003411A8" w:rsidP="003411A8">
            <w:pPr>
              <w:pStyle w:val="NotesTable-ItemPlain"/>
            </w:pPr>
          </w:p>
        </w:tc>
        <w:tc>
          <w:tcPr>
            <w:tcW w:w="1559" w:type="dxa"/>
          </w:tcPr>
          <w:p w14:paraId="2AEAE0C8" w14:textId="77777777" w:rsidR="003411A8" w:rsidRDefault="003411A8" w:rsidP="003411A8">
            <w:pPr>
              <w:pStyle w:val="NotesTable-ItemPlain"/>
            </w:pPr>
          </w:p>
        </w:tc>
        <w:tc>
          <w:tcPr>
            <w:tcW w:w="1276" w:type="dxa"/>
          </w:tcPr>
          <w:p w14:paraId="0FBE193F" w14:textId="77777777" w:rsidR="003411A8" w:rsidRDefault="003411A8" w:rsidP="003411A8">
            <w:pPr>
              <w:pStyle w:val="NotesTable-ItemPlain"/>
            </w:pPr>
          </w:p>
        </w:tc>
      </w:tr>
      <w:tr w:rsidR="003411A8" w14:paraId="6039E51B" w14:textId="77777777" w:rsidTr="003411A8">
        <w:trPr>
          <w:cantSplit/>
          <w:trHeight w:val="159"/>
        </w:trPr>
        <w:tc>
          <w:tcPr>
            <w:tcW w:w="1418" w:type="dxa"/>
          </w:tcPr>
          <w:p w14:paraId="1A819070" w14:textId="77777777" w:rsidR="003411A8" w:rsidRDefault="003411A8" w:rsidP="003411A8">
            <w:pPr>
              <w:pStyle w:val="Note-Refs"/>
            </w:pPr>
          </w:p>
          <w:p w14:paraId="778EDBBF" w14:textId="77777777" w:rsidR="003411A8" w:rsidRDefault="003411A8" w:rsidP="003411A8">
            <w:pPr>
              <w:pStyle w:val="Note-Refs"/>
              <w:rPr>
                <w:b/>
              </w:rPr>
            </w:pPr>
            <w:r>
              <w:t>AASB11.20a,b</w:t>
            </w:r>
          </w:p>
        </w:tc>
        <w:tc>
          <w:tcPr>
            <w:tcW w:w="7796" w:type="dxa"/>
            <w:gridSpan w:val="5"/>
          </w:tcPr>
          <w:p w14:paraId="3E911E08" w14:textId="77777777" w:rsidR="003411A8" w:rsidRDefault="003411A8" w:rsidP="003411A8">
            <w:pPr>
              <w:pStyle w:val="Note-Text"/>
              <w:rPr>
                <w:b/>
              </w:rPr>
            </w:pPr>
            <w:r>
              <w:t>The assets and liabilities employed in the above jointly controlled operations, including [HEP]’s share of any assets and liabilities held jointly, are detailed below. The amounts are included in the financial statements under their respective categories.</w:t>
            </w:r>
          </w:p>
        </w:tc>
      </w:tr>
      <w:tr w:rsidR="003411A8" w14:paraId="2C202C6E" w14:textId="77777777" w:rsidTr="003411A8">
        <w:trPr>
          <w:cantSplit/>
          <w:trHeight w:hRule="exact" w:val="85"/>
        </w:trPr>
        <w:tc>
          <w:tcPr>
            <w:tcW w:w="1418" w:type="dxa"/>
          </w:tcPr>
          <w:p w14:paraId="28173299" w14:textId="77777777" w:rsidR="003411A8" w:rsidRDefault="003411A8" w:rsidP="003411A8">
            <w:pPr>
              <w:pStyle w:val="Note-Refs"/>
            </w:pPr>
          </w:p>
        </w:tc>
        <w:tc>
          <w:tcPr>
            <w:tcW w:w="7796" w:type="dxa"/>
            <w:gridSpan w:val="5"/>
          </w:tcPr>
          <w:p w14:paraId="1CFCDFBE" w14:textId="77777777" w:rsidR="003411A8" w:rsidRDefault="003411A8" w:rsidP="003411A8">
            <w:pPr>
              <w:pStyle w:val="NotesTable-ItemPlain"/>
            </w:pPr>
          </w:p>
        </w:tc>
      </w:tr>
      <w:tr w:rsidR="003411A8" w14:paraId="773150C9" w14:textId="77777777" w:rsidTr="003411A8">
        <w:trPr>
          <w:cantSplit/>
          <w:trHeight w:val="159"/>
        </w:trPr>
        <w:tc>
          <w:tcPr>
            <w:tcW w:w="1418" w:type="dxa"/>
          </w:tcPr>
          <w:p w14:paraId="69553879" w14:textId="77777777" w:rsidR="003411A8" w:rsidRDefault="003411A8" w:rsidP="003411A8">
            <w:pPr>
              <w:pStyle w:val="Note-Refs"/>
            </w:pPr>
            <w:r>
              <w:t>AASB12.7c</w:t>
            </w:r>
          </w:p>
        </w:tc>
        <w:tc>
          <w:tcPr>
            <w:tcW w:w="7796" w:type="dxa"/>
            <w:gridSpan w:val="5"/>
          </w:tcPr>
          <w:p w14:paraId="056462DC" w14:textId="77777777" w:rsidR="003411A8" w:rsidRDefault="003411A8" w:rsidP="003411A8">
            <w:pPr>
              <w:pStyle w:val="Note-Text"/>
            </w:pPr>
            <w:r>
              <w:t>[Include the significant judgements and assumptions made in determining joint control over another entity]</w:t>
            </w:r>
          </w:p>
        </w:tc>
      </w:tr>
      <w:tr w:rsidR="003411A8" w:rsidRPr="00254B1D" w14:paraId="18BCE56A" w14:textId="77777777" w:rsidTr="003411A8">
        <w:trPr>
          <w:cantSplit/>
          <w:trHeight w:hRule="exact" w:val="85"/>
        </w:trPr>
        <w:tc>
          <w:tcPr>
            <w:tcW w:w="1418" w:type="dxa"/>
          </w:tcPr>
          <w:p w14:paraId="39F51812" w14:textId="77777777" w:rsidR="003411A8" w:rsidRDefault="003411A8" w:rsidP="003411A8">
            <w:pPr>
              <w:pStyle w:val="Note-Refs"/>
            </w:pPr>
          </w:p>
        </w:tc>
        <w:tc>
          <w:tcPr>
            <w:tcW w:w="7796" w:type="dxa"/>
            <w:gridSpan w:val="5"/>
            <w:vAlign w:val="bottom"/>
          </w:tcPr>
          <w:p w14:paraId="0AA93758" w14:textId="77777777" w:rsidR="003411A8" w:rsidRPr="00254B1D" w:rsidRDefault="003411A8" w:rsidP="003411A8">
            <w:pPr>
              <w:pStyle w:val="NotesTable-ItemPlain"/>
            </w:pPr>
          </w:p>
        </w:tc>
      </w:tr>
    </w:tbl>
    <w:p w14:paraId="63F6A6FA" w14:textId="1620AA0E" w:rsidR="002A288A" w:rsidRPr="0054685C" w:rsidRDefault="002A288A" w:rsidP="001A5D4A">
      <w:pPr>
        <w:pStyle w:val="Heading3"/>
        <w:rPr>
          <w:color w:val="2D3E7B" w:themeColor="text2" w:themeShade="BF"/>
        </w:rPr>
      </w:pPr>
      <w:r w:rsidRPr="0054685C">
        <w:rPr>
          <w:color w:val="2D3E7B" w:themeColor="text2" w:themeShade="BF"/>
        </w:rPr>
        <w:t>Commentary - Joint Operations</w:t>
      </w:r>
      <w:bookmarkEnd w:id="405"/>
      <w:bookmarkEnd w:id="406"/>
    </w:p>
    <w:p w14:paraId="348FE0A4" w14:textId="77777777" w:rsidR="002A288A" w:rsidRPr="00883287" w:rsidRDefault="002A288A"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Recognition for joint operations</w:t>
      </w:r>
    </w:p>
    <w:p w14:paraId="0EA9C8C6" w14:textId="77777777" w:rsidR="002A288A" w:rsidRPr="0054685C" w:rsidRDefault="002A288A" w:rsidP="00655761">
      <w:pPr>
        <w:pStyle w:val="Heading6"/>
      </w:pPr>
      <w:r w:rsidRPr="0054685C">
        <w:t>AASB11.20</w:t>
      </w:r>
    </w:p>
    <w:p w14:paraId="22881B90" w14:textId="77777777" w:rsidR="002A288A" w:rsidRPr="0054685C" w:rsidRDefault="002A288A" w:rsidP="001A5D4A">
      <w:pPr>
        <w:rPr>
          <w:color w:val="2D3E7B" w:themeColor="text2" w:themeShade="BF"/>
        </w:rPr>
      </w:pPr>
      <w:r w:rsidRPr="0054685C">
        <w:rPr>
          <w:color w:val="2D3E7B" w:themeColor="text2" w:themeShade="BF"/>
        </w:rPr>
        <w:t>For joint operations the HEP shall recognise in its separate financial statements the assets that is controls, including its share of any jointly controlled assets, the liabilities it incurs, including its share of any jointly incurred liabilities, the expense it incurs, including its share of any expenses jointly incurred, and its share of the income from the output of the joint operation and revenue from the sale of its share of the output from the operation.</w:t>
      </w:r>
    </w:p>
    <w:p w14:paraId="3A86E72D" w14:textId="77777777" w:rsidR="002A288A" w:rsidRPr="0054685C" w:rsidRDefault="002A288A" w:rsidP="00655761">
      <w:pPr>
        <w:pStyle w:val="Heading6"/>
      </w:pPr>
      <w:r w:rsidRPr="0054685C">
        <w:t>AASB11.23</w:t>
      </w:r>
    </w:p>
    <w:p w14:paraId="645F80DD" w14:textId="77777777" w:rsidR="002A288A" w:rsidRPr="0054685C" w:rsidRDefault="002A288A" w:rsidP="001A5D4A">
      <w:pPr>
        <w:rPr>
          <w:color w:val="2D3E7B" w:themeColor="text2" w:themeShade="BF"/>
        </w:rPr>
      </w:pPr>
      <w:r w:rsidRPr="0054685C">
        <w:rPr>
          <w:color w:val="2D3E7B" w:themeColor="text2" w:themeShade="BF"/>
        </w:rPr>
        <w:t>A HEP that participates in, but does not have joint control of, a joint operation shall also account for its interest in the arrangements as per AASB11.20-22 if it has rights to the assets and obligations for the liabilities</w:t>
      </w:r>
    </w:p>
    <w:p w14:paraId="72ADD05E" w14:textId="111F9139" w:rsidR="00184618" w:rsidRPr="00106D3E" w:rsidRDefault="002A288A" w:rsidP="001A5D4A">
      <w:r w:rsidRPr="0054685C">
        <w:rPr>
          <w:color w:val="2D3E7B" w:themeColor="text2" w:themeShade="BF"/>
        </w:rPr>
        <w:t>For further details on establishing control, joint control and the difference between joint ventures and joint operations see note 24.</w:t>
      </w:r>
      <w:r w:rsidR="00184618" w:rsidRPr="00106D3E">
        <w:br w:type="page"/>
      </w:r>
    </w:p>
    <w:p w14:paraId="3D4869DF" w14:textId="77777777" w:rsidR="004C0E41" w:rsidRPr="004C0E41" w:rsidRDefault="004C0E41" w:rsidP="00883287">
      <w:pPr>
        <w:pStyle w:val="Heading2"/>
      </w:pPr>
      <w:bookmarkStart w:id="407" w:name="_Toc410807676"/>
      <w:bookmarkStart w:id="408" w:name="_Toc410822737"/>
      <w:proofErr w:type="gramStart"/>
      <w:r w:rsidRPr="004C0E41">
        <w:lastRenderedPageBreak/>
        <w:t>Note 46.</w:t>
      </w:r>
      <w:proofErr w:type="gramEnd"/>
      <w:r w:rsidRPr="004C0E41">
        <w:t xml:space="preserve"> Interests in unconsolidated structured entities</w:t>
      </w:r>
      <w:bookmarkEnd w:id="407"/>
      <w:bookmarkEnd w:id="408"/>
    </w:p>
    <w:tbl>
      <w:tblPr>
        <w:tblW w:w="5000" w:type="pct"/>
        <w:tblCellMar>
          <w:left w:w="0" w:type="dxa"/>
          <w:right w:w="0" w:type="dxa"/>
        </w:tblCellMar>
        <w:tblLook w:val="0000" w:firstRow="0" w:lastRow="0" w:firstColumn="0" w:lastColumn="0" w:noHBand="0" w:noVBand="0"/>
      </w:tblPr>
      <w:tblGrid>
        <w:gridCol w:w="1667"/>
        <w:gridCol w:w="1435"/>
        <w:gridCol w:w="287"/>
        <w:gridCol w:w="1145"/>
        <w:gridCol w:w="107"/>
        <w:gridCol w:w="10"/>
        <w:gridCol w:w="458"/>
        <w:gridCol w:w="858"/>
        <w:gridCol w:w="21"/>
        <w:gridCol w:w="47"/>
        <w:gridCol w:w="794"/>
        <w:gridCol w:w="228"/>
        <w:gridCol w:w="37"/>
        <w:gridCol w:w="135"/>
        <w:gridCol w:w="889"/>
        <w:gridCol w:w="8"/>
        <w:gridCol w:w="16"/>
        <w:gridCol w:w="10"/>
        <w:gridCol w:w="394"/>
        <w:gridCol w:w="211"/>
        <w:gridCol w:w="435"/>
        <w:gridCol w:w="16"/>
        <w:gridCol w:w="1038"/>
        <w:gridCol w:w="14"/>
      </w:tblGrid>
      <w:tr w:rsidR="000C3A74" w14:paraId="4E1B503B" w14:textId="77777777" w:rsidTr="00883287">
        <w:trPr>
          <w:trHeight w:val="181"/>
        </w:trPr>
        <w:tc>
          <w:tcPr>
            <w:tcW w:w="812" w:type="pct"/>
          </w:tcPr>
          <w:p w14:paraId="6D567AE9" w14:textId="77777777" w:rsidR="000C3A74" w:rsidRDefault="000C3A74" w:rsidP="001A5D4A">
            <w:pPr>
              <w:pStyle w:val="Note-Refs"/>
            </w:pPr>
          </w:p>
        </w:tc>
        <w:tc>
          <w:tcPr>
            <w:tcW w:w="4188" w:type="pct"/>
            <w:gridSpan w:val="23"/>
            <w:vAlign w:val="bottom"/>
          </w:tcPr>
          <w:p w14:paraId="29B634FB" w14:textId="77777777" w:rsidR="000C3A74" w:rsidRDefault="000C3A74" w:rsidP="001A5D4A">
            <w:pPr>
              <w:pStyle w:val="Note-TextHeader"/>
            </w:pPr>
            <w:r w:rsidRPr="005A7DE8">
              <w:t>Interests in unconsolidated structured entities</w:t>
            </w:r>
          </w:p>
        </w:tc>
      </w:tr>
      <w:tr w:rsidR="000C3A74" w14:paraId="2ED79585" w14:textId="77777777" w:rsidTr="00883287">
        <w:trPr>
          <w:trHeight w:val="181"/>
        </w:trPr>
        <w:tc>
          <w:tcPr>
            <w:tcW w:w="812" w:type="pct"/>
          </w:tcPr>
          <w:p w14:paraId="08E1D97A" w14:textId="77777777" w:rsidR="000C3A74" w:rsidRDefault="000C3A74" w:rsidP="001A5D4A">
            <w:pPr>
              <w:pStyle w:val="Note-Refs"/>
              <w:rPr>
                <w:b/>
              </w:rPr>
            </w:pPr>
            <w:r>
              <w:t>AASB12.24</w:t>
            </w:r>
          </w:p>
        </w:tc>
        <w:tc>
          <w:tcPr>
            <w:tcW w:w="4188" w:type="pct"/>
            <w:gridSpan w:val="23"/>
            <w:vAlign w:val="bottom"/>
          </w:tcPr>
          <w:p w14:paraId="5B60E254" w14:textId="77777777" w:rsidR="000C3A74" w:rsidRDefault="000C3A74" w:rsidP="001A5D4A">
            <w:pPr>
              <w:pStyle w:val="NotesTable-ItemPlain"/>
              <w:rPr>
                <w:b/>
              </w:rPr>
            </w:pPr>
            <w:r>
              <w:t>[Insert details]</w:t>
            </w:r>
          </w:p>
        </w:tc>
      </w:tr>
      <w:tr w:rsidR="000C3A74" w14:paraId="5CE5B597" w14:textId="77777777" w:rsidTr="00883287">
        <w:trPr>
          <w:trHeight w:val="181"/>
        </w:trPr>
        <w:tc>
          <w:tcPr>
            <w:tcW w:w="812" w:type="pct"/>
          </w:tcPr>
          <w:p w14:paraId="1F8FE377" w14:textId="77777777" w:rsidR="000C3A74" w:rsidRDefault="000C3A74" w:rsidP="001A5D4A">
            <w:pPr>
              <w:pStyle w:val="Note-Refs"/>
            </w:pPr>
          </w:p>
        </w:tc>
        <w:tc>
          <w:tcPr>
            <w:tcW w:w="4188" w:type="pct"/>
            <w:gridSpan w:val="23"/>
            <w:vAlign w:val="bottom"/>
          </w:tcPr>
          <w:p w14:paraId="6E15FF08" w14:textId="77777777" w:rsidR="000C3A74" w:rsidRDefault="000C3A74" w:rsidP="001A5D4A">
            <w:pPr>
              <w:pStyle w:val="NotesTable-ItemPlain"/>
            </w:pPr>
          </w:p>
        </w:tc>
      </w:tr>
      <w:tr w:rsidR="000C3A74" w14:paraId="188C24B4" w14:textId="77777777" w:rsidTr="00883287">
        <w:trPr>
          <w:trHeight w:val="181"/>
        </w:trPr>
        <w:tc>
          <w:tcPr>
            <w:tcW w:w="812" w:type="pct"/>
          </w:tcPr>
          <w:p w14:paraId="73743A0B" w14:textId="77777777" w:rsidR="000C3A74" w:rsidRDefault="000C3A74" w:rsidP="001A5D4A">
            <w:pPr>
              <w:pStyle w:val="Note-Refs"/>
            </w:pPr>
            <w:r>
              <w:t>AASB12.26</w:t>
            </w:r>
          </w:p>
        </w:tc>
        <w:tc>
          <w:tcPr>
            <w:tcW w:w="699" w:type="pct"/>
          </w:tcPr>
          <w:p w14:paraId="4CE3B02E" w14:textId="77777777" w:rsidR="000C3A74" w:rsidRDefault="000C3A74" w:rsidP="001A5D4A">
            <w:pPr>
              <w:pStyle w:val="NotesTable-CellPlain"/>
            </w:pPr>
            <w:r>
              <w:t xml:space="preserve">Name of unconsolidated structured entity </w:t>
            </w:r>
          </w:p>
        </w:tc>
        <w:tc>
          <w:tcPr>
            <w:tcW w:w="698" w:type="pct"/>
            <w:gridSpan w:val="2"/>
          </w:tcPr>
          <w:p w14:paraId="55EABC09" w14:textId="77777777" w:rsidR="000C3A74" w:rsidRDefault="000C3A74" w:rsidP="001A5D4A">
            <w:pPr>
              <w:pStyle w:val="NotesTable-CellPlain"/>
            </w:pPr>
            <w:r>
              <w:t>Nature of entity</w:t>
            </w:r>
          </w:p>
        </w:tc>
        <w:tc>
          <w:tcPr>
            <w:tcW w:w="698" w:type="pct"/>
            <w:gridSpan w:val="4"/>
          </w:tcPr>
          <w:p w14:paraId="293C919E" w14:textId="77777777" w:rsidR="000C3A74" w:rsidRDefault="000C3A74" w:rsidP="001A5D4A">
            <w:pPr>
              <w:pStyle w:val="NotesTable-CellPlain"/>
            </w:pPr>
            <w:r>
              <w:t>Purpose of entity</w:t>
            </w:r>
          </w:p>
        </w:tc>
        <w:tc>
          <w:tcPr>
            <w:tcW w:w="615" w:type="pct"/>
            <w:gridSpan w:val="6"/>
          </w:tcPr>
          <w:p w14:paraId="13AB26E7" w14:textId="77777777" w:rsidR="000C3A74" w:rsidRDefault="000C3A74" w:rsidP="001A5D4A">
            <w:pPr>
              <w:pStyle w:val="NotesTable-CellPlain"/>
            </w:pPr>
            <w:r>
              <w:t>Size of entity</w:t>
            </w:r>
          </w:p>
        </w:tc>
        <w:tc>
          <w:tcPr>
            <w:tcW w:w="745" w:type="pct"/>
            <w:gridSpan w:val="6"/>
          </w:tcPr>
          <w:p w14:paraId="280030DB" w14:textId="77777777" w:rsidR="000C3A74" w:rsidRDefault="000C3A74" w:rsidP="001A5D4A">
            <w:pPr>
              <w:pStyle w:val="NotesTable-CellPlain"/>
            </w:pPr>
            <w:r>
              <w:t>Activities of entity</w:t>
            </w:r>
          </w:p>
        </w:tc>
        <w:tc>
          <w:tcPr>
            <w:tcW w:w="734" w:type="pct"/>
            <w:gridSpan w:val="4"/>
          </w:tcPr>
          <w:p w14:paraId="2A5EF93B" w14:textId="77777777" w:rsidR="000C3A74" w:rsidRDefault="000C3A74" w:rsidP="001A5D4A">
            <w:pPr>
              <w:pStyle w:val="NotesTable-CellPlain"/>
            </w:pPr>
            <w:r>
              <w:t>How the structured entity is financed</w:t>
            </w:r>
          </w:p>
        </w:tc>
      </w:tr>
      <w:tr w:rsidR="00A66DBB" w14:paraId="5956B22E" w14:textId="77777777" w:rsidTr="00883287">
        <w:trPr>
          <w:trHeight w:val="181"/>
        </w:trPr>
        <w:tc>
          <w:tcPr>
            <w:tcW w:w="812" w:type="pct"/>
          </w:tcPr>
          <w:p w14:paraId="616B2435" w14:textId="77777777" w:rsidR="00A66DBB" w:rsidRDefault="00A66DBB" w:rsidP="001A5D4A">
            <w:pPr>
              <w:pStyle w:val="Note-Refs"/>
            </w:pPr>
          </w:p>
        </w:tc>
        <w:tc>
          <w:tcPr>
            <w:tcW w:w="699" w:type="pct"/>
          </w:tcPr>
          <w:p w14:paraId="6658EEE7" w14:textId="5414B9DC" w:rsidR="00A66DBB" w:rsidRDefault="00A66DBB" w:rsidP="001A5D4A">
            <w:pPr>
              <w:pStyle w:val="NotesTable-ItemPlain"/>
            </w:pPr>
            <w:r>
              <w:t>[Specify]</w:t>
            </w:r>
          </w:p>
        </w:tc>
        <w:tc>
          <w:tcPr>
            <w:tcW w:w="698" w:type="pct"/>
            <w:gridSpan w:val="2"/>
          </w:tcPr>
          <w:p w14:paraId="7CD1F219" w14:textId="77777777" w:rsidR="00A66DBB" w:rsidRDefault="00A66DBB" w:rsidP="001A5D4A">
            <w:pPr>
              <w:pStyle w:val="NotesTable-CellPlain"/>
            </w:pPr>
          </w:p>
        </w:tc>
        <w:tc>
          <w:tcPr>
            <w:tcW w:w="698" w:type="pct"/>
            <w:gridSpan w:val="4"/>
          </w:tcPr>
          <w:p w14:paraId="1D41B5A6" w14:textId="77777777" w:rsidR="00A66DBB" w:rsidRDefault="00A66DBB" w:rsidP="001A5D4A">
            <w:pPr>
              <w:pStyle w:val="NotesTable-CellPlain"/>
            </w:pPr>
          </w:p>
        </w:tc>
        <w:tc>
          <w:tcPr>
            <w:tcW w:w="615" w:type="pct"/>
            <w:gridSpan w:val="6"/>
          </w:tcPr>
          <w:p w14:paraId="7CE271D9" w14:textId="77777777" w:rsidR="00A66DBB" w:rsidRDefault="00A66DBB" w:rsidP="001A5D4A">
            <w:pPr>
              <w:pStyle w:val="NotesTable-CellPlain"/>
            </w:pPr>
          </w:p>
        </w:tc>
        <w:tc>
          <w:tcPr>
            <w:tcW w:w="745" w:type="pct"/>
            <w:gridSpan w:val="6"/>
          </w:tcPr>
          <w:p w14:paraId="16369C27" w14:textId="77777777" w:rsidR="00A66DBB" w:rsidRDefault="00A66DBB" w:rsidP="001A5D4A">
            <w:pPr>
              <w:pStyle w:val="NotesTable-CellPlain"/>
            </w:pPr>
          </w:p>
        </w:tc>
        <w:tc>
          <w:tcPr>
            <w:tcW w:w="734" w:type="pct"/>
            <w:gridSpan w:val="4"/>
          </w:tcPr>
          <w:p w14:paraId="4811437B" w14:textId="77777777" w:rsidR="00A66DBB" w:rsidRDefault="00A66DBB" w:rsidP="001A5D4A">
            <w:pPr>
              <w:pStyle w:val="NotesTable-CellPlain"/>
            </w:pPr>
          </w:p>
        </w:tc>
      </w:tr>
      <w:tr w:rsidR="000C3A74" w14:paraId="5D4016B5" w14:textId="77777777" w:rsidTr="00883287">
        <w:trPr>
          <w:trHeight w:val="181"/>
        </w:trPr>
        <w:tc>
          <w:tcPr>
            <w:tcW w:w="812" w:type="pct"/>
          </w:tcPr>
          <w:p w14:paraId="5368BFD1" w14:textId="77777777" w:rsidR="000C3A74" w:rsidRDefault="000C3A74" w:rsidP="001A5D4A">
            <w:pPr>
              <w:pStyle w:val="Note-Refs"/>
            </w:pPr>
          </w:p>
        </w:tc>
        <w:tc>
          <w:tcPr>
            <w:tcW w:w="4188" w:type="pct"/>
            <w:gridSpan w:val="23"/>
          </w:tcPr>
          <w:p w14:paraId="74939821" w14:textId="77777777" w:rsidR="000C3A74" w:rsidRDefault="000C3A74" w:rsidP="001A5D4A">
            <w:pPr>
              <w:pStyle w:val="NotesTable-ItemPlain"/>
            </w:pPr>
          </w:p>
        </w:tc>
      </w:tr>
      <w:tr w:rsidR="000C3A74" w14:paraId="708C4BE0" w14:textId="77777777" w:rsidTr="00883287">
        <w:trPr>
          <w:trHeight w:val="181"/>
        </w:trPr>
        <w:tc>
          <w:tcPr>
            <w:tcW w:w="812" w:type="pct"/>
          </w:tcPr>
          <w:p w14:paraId="7EB40D2B" w14:textId="77777777" w:rsidR="000C3A74" w:rsidRDefault="000C3A74" w:rsidP="001A5D4A">
            <w:pPr>
              <w:pStyle w:val="Note-Refs"/>
            </w:pPr>
          </w:p>
        </w:tc>
        <w:tc>
          <w:tcPr>
            <w:tcW w:w="4188" w:type="pct"/>
            <w:gridSpan w:val="23"/>
          </w:tcPr>
          <w:p w14:paraId="5C6A2EA5" w14:textId="77777777" w:rsidR="000C3A74" w:rsidRDefault="000C3A74" w:rsidP="001A5D4A">
            <w:pPr>
              <w:pStyle w:val="NotesTable-ItemPlain"/>
            </w:pPr>
            <w:r w:rsidRPr="005164FF">
              <w:t>Nature of risks in unconsolidated structured entities</w:t>
            </w:r>
          </w:p>
        </w:tc>
      </w:tr>
      <w:tr w:rsidR="000C3A74" w14:paraId="12BA628D" w14:textId="77777777" w:rsidTr="00883287">
        <w:trPr>
          <w:trHeight w:val="181"/>
        </w:trPr>
        <w:tc>
          <w:tcPr>
            <w:tcW w:w="812" w:type="pct"/>
          </w:tcPr>
          <w:p w14:paraId="5147CBB5" w14:textId="77777777" w:rsidR="000C3A74" w:rsidRDefault="000C3A74" w:rsidP="001A5D4A">
            <w:pPr>
              <w:pStyle w:val="Note-Refs"/>
            </w:pPr>
            <w:r>
              <w:t>AASB12.29</w:t>
            </w:r>
          </w:p>
        </w:tc>
        <w:tc>
          <w:tcPr>
            <w:tcW w:w="839" w:type="pct"/>
            <w:gridSpan w:val="2"/>
          </w:tcPr>
          <w:p w14:paraId="4A5EB7FE" w14:textId="77777777" w:rsidR="000C3A74" w:rsidRPr="005164FF" w:rsidRDefault="000C3A74" w:rsidP="001A5D4A">
            <w:pPr>
              <w:pStyle w:val="NotesTable-CellPlain"/>
            </w:pPr>
          </w:p>
        </w:tc>
        <w:tc>
          <w:tcPr>
            <w:tcW w:w="838" w:type="pct"/>
            <w:gridSpan w:val="4"/>
          </w:tcPr>
          <w:p w14:paraId="2EC571ED" w14:textId="77777777" w:rsidR="000C3A74" w:rsidRDefault="000C3A74" w:rsidP="001A5D4A">
            <w:pPr>
              <w:pStyle w:val="NotesTable-CellPlain"/>
            </w:pPr>
            <w:r>
              <w:t>Carrying amounts of assets and liabilities relating to interests in unconsolidated structured entities</w:t>
            </w:r>
          </w:p>
        </w:tc>
        <w:tc>
          <w:tcPr>
            <w:tcW w:w="838" w:type="pct"/>
            <w:gridSpan w:val="4"/>
          </w:tcPr>
          <w:p w14:paraId="67B06517" w14:textId="77777777" w:rsidR="000C3A74" w:rsidRDefault="000C3A74" w:rsidP="001A5D4A">
            <w:pPr>
              <w:pStyle w:val="NotesTable-CellPlain"/>
            </w:pPr>
            <w:r>
              <w:t>Line items in the statement of financial position that assets and liabilities are recognised in</w:t>
            </w:r>
          </w:p>
        </w:tc>
        <w:tc>
          <w:tcPr>
            <w:tcW w:w="837" w:type="pct"/>
            <w:gridSpan w:val="8"/>
          </w:tcPr>
          <w:p w14:paraId="752314F2" w14:textId="77777777" w:rsidR="000C3A74" w:rsidRDefault="000C3A74" w:rsidP="001A5D4A">
            <w:pPr>
              <w:pStyle w:val="NotesTable-CellPlain"/>
            </w:pPr>
            <w:r>
              <w:t>Maximum exposure to loss from HEP’s interests in unconsolidated structured entities</w:t>
            </w:r>
          </w:p>
        </w:tc>
        <w:tc>
          <w:tcPr>
            <w:tcW w:w="836" w:type="pct"/>
            <w:gridSpan w:val="5"/>
          </w:tcPr>
          <w:p w14:paraId="5DE76FD7" w14:textId="77777777" w:rsidR="000C3A74" w:rsidRDefault="000C3A74" w:rsidP="001A5D4A">
            <w:pPr>
              <w:pStyle w:val="NotesTable-CellPlain"/>
            </w:pPr>
            <w:r>
              <w:t>Comparison of assets and liabilities that relate to interests and the maximum exposure to loss</w:t>
            </w:r>
          </w:p>
        </w:tc>
      </w:tr>
      <w:tr w:rsidR="000C3A74" w14:paraId="5842074A" w14:textId="77777777" w:rsidTr="00883287">
        <w:trPr>
          <w:trHeight w:val="181"/>
        </w:trPr>
        <w:tc>
          <w:tcPr>
            <w:tcW w:w="812" w:type="pct"/>
          </w:tcPr>
          <w:p w14:paraId="13636DBA" w14:textId="77777777" w:rsidR="000C3A74" w:rsidRDefault="000C3A74" w:rsidP="001A5D4A">
            <w:pPr>
              <w:pStyle w:val="Note-Refs"/>
            </w:pPr>
          </w:p>
        </w:tc>
        <w:tc>
          <w:tcPr>
            <w:tcW w:w="839" w:type="pct"/>
            <w:gridSpan w:val="2"/>
          </w:tcPr>
          <w:p w14:paraId="749A3DD6" w14:textId="26B262CB" w:rsidR="000C3A74" w:rsidRDefault="000C3A74" w:rsidP="001A5D4A">
            <w:pPr>
              <w:pStyle w:val="NotesTable-ItemPlain"/>
            </w:pPr>
            <w:r>
              <w:t>Assets</w:t>
            </w:r>
          </w:p>
        </w:tc>
        <w:tc>
          <w:tcPr>
            <w:tcW w:w="838" w:type="pct"/>
            <w:gridSpan w:val="4"/>
          </w:tcPr>
          <w:p w14:paraId="5C432A75" w14:textId="77777777" w:rsidR="000C3A74" w:rsidRDefault="000C3A74" w:rsidP="001A5D4A">
            <w:pPr>
              <w:pStyle w:val="NotesTable-ItemPlain"/>
            </w:pPr>
          </w:p>
        </w:tc>
        <w:tc>
          <w:tcPr>
            <w:tcW w:w="838" w:type="pct"/>
            <w:gridSpan w:val="4"/>
          </w:tcPr>
          <w:p w14:paraId="17C0C41E" w14:textId="77777777" w:rsidR="000C3A74" w:rsidRDefault="000C3A74" w:rsidP="001A5D4A">
            <w:pPr>
              <w:pStyle w:val="NotesTable-ItemPlain"/>
            </w:pPr>
          </w:p>
        </w:tc>
        <w:tc>
          <w:tcPr>
            <w:tcW w:w="837" w:type="pct"/>
            <w:gridSpan w:val="8"/>
          </w:tcPr>
          <w:p w14:paraId="59305ECE" w14:textId="77777777" w:rsidR="000C3A74" w:rsidRDefault="000C3A74" w:rsidP="001A5D4A">
            <w:pPr>
              <w:pStyle w:val="NotesTable-ItemPlain"/>
            </w:pPr>
          </w:p>
        </w:tc>
        <w:tc>
          <w:tcPr>
            <w:tcW w:w="836" w:type="pct"/>
            <w:gridSpan w:val="5"/>
          </w:tcPr>
          <w:p w14:paraId="2FB1EF9C" w14:textId="77777777" w:rsidR="000C3A74" w:rsidRDefault="000C3A74" w:rsidP="001A5D4A">
            <w:pPr>
              <w:pStyle w:val="NotesTable-ItemPlain"/>
            </w:pPr>
          </w:p>
        </w:tc>
      </w:tr>
      <w:tr w:rsidR="000C3A74" w14:paraId="6D335445" w14:textId="77777777" w:rsidTr="00883287">
        <w:trPr>
          <w:trHeight w:val="181"/>
        </w:trPr>
        <w:tc>
          <w:tcPr>
            <w:tcW w:w="812" w:type="pct"/>
          </w:tcPr>
          <w:p w14:paraId="781E96FE" w14:textId="77777777" w:rsidR="000C3A74" w:rsidRDefault="000C3A74" w:rsidP="001A5D4A">
            <w:pPr>
              <w:pStyle w:val="Note-Refs"/>
            </w:pPr>
          </w:p>
        </w:tc>
        <w:tc>
          <w:tcPr>
            <w:tcW w:w="839" w:type="pct"/>
            <w:gridSpan w:val="2"/>
          </w:tcPr>
          <w:p w14:paraId="48938ACE" w14:textId="042C4F83" w:rsidR="000C3A74" w:rsidRPr="00790146" w:rsidRDefault="000C3A74" w:rsidP="001A5D4A">
            <w:pPr>
              <w:pStyle w:val="NotesTable-ItemPlain"/>
            </w:pPr>
            <w:r>
              <w:t>[</w:t>
            </w:r>
            <w:r w:rsidR="00A66DBB">
              <w:t>S</w:t>
            </w:r>
            <w:r>
              <w:t>pecify]</w:t>
            </w:r>
          </w:p>
        </w:tc>
        <w:tc>
          <w:tcPr>
            <w:tcW w:w="838" w:type="pct"/>
            <w:gridSpan w:val="4"/>
          </w:tcPr>
          <w:p w14:paraId="5F40D67A" w14:textId="77777777" w:rsidR="000C3A74" w:rsidRDefault="000C3A74" w:rsidP="001A5D4A">
            <w:pPr>
              <w:pStyle w:val="NotesTable-ItemPlain"/>
            </w:pPr>
          </w:p>
        </w:tc>
        <w:tc>
          <w:tcPr>
            <w:tcW w:w="838" w:type="pct"/>
            <w:gridSpan w:val="4"/>
          </w:tcPr>
          <w:p w14:paraId="5570F7C3" w14:textId="77777777" w:rsidR="000C3A74" w:rsidRDefault="000C3A74" w:rsidP="001A5D4A">
            <w:pPr>
              <w:pStyle w:val="NotesTable-ItemPlain"/>
            </w:pPr>
          </w:p>
        </w:tc>
        <w:tc>
          <w:tcPr>
            <w:tcW w:w="837" w:type="pct"/>
            <w:gridSpan w:val="8"/>
          </w:tcPr>
          <w:p w14:paraId="69DDCDD4" w14:textId="77777777" w:rsidR="000C3A74" w:rsidRDefault="000C3A74" w:rsidP="001A5D4A">
            <w:pPr>
              <w:pStyle w:val="NotesTable-ItemPlain"/>
            </w:pPr>
          </w:p>
        </w:tc>
        <w:tc>
          <w:tcPr>
            <w:tcW w:w="836" w:type="pct"/>
            <w:gridSpan w:val="5"/>
          </w:tcPr>
          <w:p w14:paraId="7D2E1D9F" w14:textId="77777777" w:rsidR="000C3A74" w:rsidRDefault="000C3A74" w:rsidP="001A5D4A">
            <w:pPr>
              <w:pStyle w:val="NotesTable-ItemPlain"/>
            </w:pPr>
          </w:p>
        </w:tc>
      </w:tr>
      <w:tr w:rsidR="000C3A74" w14:paraId="73B7AEA5" w14:textId="77777777" w:rsidTr="00883287">
        <w:trPr>
          <w:trHeight w:val="181"/>
        </w:trPr>
        <w:tc>
          <w:tcPr>
            <w:tcW w:w="812" w:type="pct"/>
          </w:tcPr>
          <w:p w14:paraId="6534D07A" w14:textId="77777777" w:rsidR="000C3A74" w:rsidRDefault="000C3A74" w:rsidP="001A5D4A">
            <w:pPr>
              <w:pStyle w:val="Note-Refs"/>
            </w:pPr>
          </w:p>
        </w:tc>
        <w:tc>
          <w:tcPr>
            <w:tcW w:w="839" w:type="pct"/>
            <w:gridSpan w:val="2"/>
          </w:tcPr>
          <w:p w14:paraId="362ECA70" w14:textId="77777777" w:rsidR="000C3A74" w:rsidRPr="005164FF" w:rsidRDefault="000C3A74" w:rsidP="001A5D4A">
            <w:pPr>
              <w:pStyle w:val="NotesTable-ItemPlain"/>
            </w:pPr>
          </w:p>
        </w:tc>
        <w:tc>
          <w:tcPr>
            <w:tcW w:w="838" w:type="pct"/>
            <w:gridSpan w:val="4"/>
          </w:tcPr>
          <w:p w14:paraId="3C18F6AA" w14:textId="77777777" w:rsidR="000C3A74" w:rsidRDefault="000C3A74" w:rsidP="001A5D4A">
            <w:pPr>
              <w:pStyle w:val="NotesTable-ItemPlain"/>
            </w:pPr>
          </w:p>
        </w:tc>
        <w:tc>
          <w:tcPr>
            <w:tcW w:w="838" w:type="pct"/>
            <w:gridSpan w:val="4"/>
          </w:tcPr>
          <w:p w14:paraId="24BBB8A4" w14:textId="77777777" w:rsidR="000C3A74" w:rsidRDefault="000C3A74" w:rsidP="001A5D4A">
            <w:pPr>
              <w:pStyle w:val="NotesTable-ItemPlain"/>
            </w:pPr>
          </w:p>
        </w:tc>
        <w:tc>
          <w:tcPr>
            <w:tcW w:w="837" w:type="pct"/>
            <w:gridSpan w:val="8"/>
          </w:tcPr>
          <w:p w14:paraId="50A74019" w14:textId="77777777" w:rsidR="000C3A74" w:rsidRDefault="000C3A74" w:rsidP="001A5D4A">
            <w:pPr>
              <w:pStyle w:val="NotesTable-ItemPlain"/>
            </w:pPr>
          </w:p>
        </w:tc>
        <w:tc>
          <w:tcPr>
            <w:tcW w:w="836" w:type="pct"/>
            <w:gridSpan w:val="5"/>
          </w:tcPr>
          <w:p w14:paraId="3B52D4BA" w14:textId="77777777" w:rsidR="000C3A74" w:rsidRDefault="000C3A74" w:rsidP="001A5D4A">
            <w:pPr>
              <w:pStyle w:val="NotesTable-ItemPlain"/>
            </w:pPr>
          </w:p>
        </w:tc>
      </w:tr>
      <w:tr w:rsidR="000C3A74" w14:paraId="164C4F14" w14:textId="77777777" w:rsidTr="00883287">
        <w:trPr>
          <w:trHeight w:val="181"/>
        </w:trPr>
        <w:tc>
          <w:tcPr>
            <w:tcW w:w="812" w:type="pct"/>
          </w:tcPr>
          <w:p w14:paraId="68B3F04B" w14:textId="77777777" w:rsidR="000C3A74" w:rsidRDefault="000C3A74" w:rsidP="001A5D4A">
            <w:pPr>
              <w:pStyle w:val="Note-Refs"/>
            </w:pPr>
          </w:p>
        </w:tc>
        <w:tc>
          <w:tcPr>
            <w:tcW w:w="839" w:type="pct"/>
            <w:gridSpan w:val="2"/>
          </w:tcPr>
          <w:p w14:paraId="5A164CEE" w14:textId="77777777" w:rsidR="000C3A74" w:rsidRDefault="000C3A74" w:rsidP="001A5D4A">
            <w:pPr>
              <w:pStyle w:val="NotesTable-ItemPlain"/>
            </w:pPr>
            <w:r>
              <w:t>Liabilities</w:t>
            </w:r>
          </w:p>
        </w:tc>
        <w:tc>
          <w:tcPr>
            <w:tcW w:w="838" w:type="pct"/>
            <w:gridSpan w:val="4"/>
          </w:tcPr>
          <w:p w14:paraId="24921E94" w14:textId="77777777" w:rsidR="000C3A74" w:rsidRDefault="000C3A74" w:rsidP="001A5D4A">
            <w:pPr>
              <w:pStyle w:val="NotesTable-ItemPlain"/>
            </w:pPr>
          </w:p>
        </w:tc>
        <w:tc>
          <w:tcPr>
            <w:tcW w:w="838" w:type="pct"/>
            <w:gridSpan w:val="4"/>
          </w:tcPr>
          <w:p w14:paraId="14ABDE9F" w14:textId="77777777" w:rsidR="000C3A74" w:rsidRDefault="000C3A74" w:rsidP="001A5D4A">
            <w:pPr>
              <w:pStyle w:val="NotesTable-ItemPlain"/>
            </w:pPr>
          </w:p>
        </w:tc>
        <w:tc>
          <w:tcPr>
            <w:tcW w:w="837" w:type="pct"/>
            <w:gridSpan w:val="8"/>
          </w:tcPr>
          <w:p w14:paraId="20883ED9" w14:textId="77777777" w:rsidR="000C3A74" w:rsidRDefault="000C3A74" w:rsidP="001A5D4A">
            <w:pPr>
              <w:pStyle w:val="NotesTable-ItemPlain"/>
            </w:pPr>
          </w:p>
        </w:tc>
        <w:tc>
          <w:tcPr>
            <w:tcW w:w="836" w:type="pct"/>
            <w:gridSpan w:val="5"/>
          </w:tcPr>
          <w:p w14:paraId="25DFD071" w14:textId="77777777" w:rsidR="000C3A74" w:rsidRDefault="000C3A74" w:rsidP="001A5D4A">
            <w:pPr>
              <w:pStyle w:val="NotesTable-ItemPlain"/>
            </w:pPr>
          </w:p>
        </w:tc>
      </w:tr>
      <w:tr w:rsidR="000C3A74" w14:paraId="4A9C572F" w14:textId="77777777" w:rsidTr="00883287">
        <w:trPr>
          <w:trHeight w:val="181"/>
        </w:trPr>
        <w:tc>
          <w:tcPr>
            <w:tcW w:w="812" w:type="pct"/>
          </w:tcPr>
          <w:p w14:paraId="08826572" w14:textId="77777777" w:rsidR="000C3A74" w:rsidRDefault="000C3A74" w:rsidP="001A5D4A">
            <w:pPr>
              <w:pStyle w:val="Note-Refs"/>
            </w:pPr>
          </w:p>
        </w:tc>
        <w:tc>
          <w:tcPr>
            <w:tcW w:w="839" w:type="pct"/>
            <w:gridSpan w:val="2"/>
          </w:tcPr>
          <w:p w14:paraId="0D7A7C37" w14:textId="32F3066B" w:rsidR="000C3A74" w:rsidRDefault="000C3A74" w:rsidP="001A5D4A">
            <w:pPr>
              <w:pStyle w:val="NotesTable-ItemPlain"/>
            </w:pPr>
            <w:r>
              <w:t>[</w:t>
            </w:r>
            <w:r w:rsidR="00A66DBB">
              <w:t>S</w:t>
            </w:r>
            <w:r>
              <w:t>pecify]</w:t>
            </w:r>
          </w:p>
        </w:tc>
        <w:tc>
          <w:tcPr>
            <w:tcW w:w="838" w:type="pct"/>
            <w:gridSpan w:val="4"/>
          </w:tcPr>
          <w:p w14:paraId="2EFC0D7E" w14:textId="77777777" w:rsidR="000C3A74" w:rsidRDefault="000C3A74" w:rsidP="001A5D4A">
            <w:pPr>
              <w:pStyle w:val="NotesTable-ItemPlain"/>
            </w:pPr>
          </w:p>
        </w:tc>
        <w:tc>
          <w:tcPr>
            <w:tcW w:w="838" w:type="pct"/>
            <w:gridSpan w:val="4"/>
          </w:tcPr>
          <w:p w14:paraId="169E6781" w14:textId="77777777" w:rsidR="000C3A74" w:rsidRDefault="000C3A74" w:rsidP="001A5D4A">
            <w:pPr>
              <w:pStyle w:val="NotesTable-ItemPlain"/>
            </w:pPr>
          </w:p>
        </w:tc>
        <w:tc>
          <w:tcPr>
            <w:tcW w:w="837" w:type="pct"/>
            <w:gridSpan w:val="8"/>
          </w:tcPr>
          <w:p w14:paraId="55F57357" w14:textId="77777777" w:rsidR="000C3A74" w:rsidRDefault="000C3A74" w:rsidP="001A5D4A">
            <w:pPr>
              <w:pStyle w:val="NotesTable-ItemPlain"/>
            </w:pPr>
          </w:p>
        </w:tc>
        <w:tc>
          <w:tcPr>
            <w:tcW w:w="836" w:type="pct"/>
            <w:gridSpan w:val="5"/>
          </w:tcPr>
          <w:p w14:paraId="4456A247" w14:textId="77777777" w:rsidR="000C3A74" w:rsidRDefault="000C3A74" w:rsidP="001A5D4A">
            <w:pPr>
              <w:pStyle w:val="NotesTable-ItemPlain"/>
            </w:pPr>
          </w:p>
        </w:tc>
      </w:tr>
      <w:tr w:rsidR="000C3A74" w14:paraId="3F112587" w14:textId="77777777" w:rsidTr="00883287">
        <w:trPr>
          <w:trHeight w:val="181"/>
        </w:trPr>
        <w:tc>
          <w:tcPr>
            <w:tcW w:w="812" w:type="pct"/>
          </w:tcPr>
          <w:p w14:paraId="6AC9744C" w14:textId="77777777" w:rsidR="000C3A74" w:rsidRDefault="000C3A74" w:rsidP="001A5D4A">
            <w:pPr>
              <w:pStyle w:val="Note-Refs"/>
            </w:pPr>
          </w:p>
        </w:tc>
        <w:tc>
          <w:tcPr>
            <w:tcW w:w="839" w:type="pct"/>
            <w:gridSpan w:val="2"/>
          </w:tcPr>
          <w:p w14:paraId="4D7F79BA" w14:textId="77777777" w:rsidR="000C3A74" w:rsidRPr="005164FF" w:rsidRDefault="000C3A74" w:rsidP="001A5D4A">
            <w:pPr>
              <w:pStyle w:val="NotesTable-ItemPlain"/>
            </w:pPr>
          </w:p>
        </w:tc>
        <w:tc>
          <w:tcPr>
            <w:tcW w:w="838" w:type="pct"/>
            <w:gridSpan w:val="4"/>
          </w:tcPr>
          <w:p w14:paraId="2E6DA0A0" w14:textId="77777777" w:rsidR="000C3A74" w:rsidRDefault="000C3A74" w:rsidP="001A5D4A">
            <w:pPr>
              <w:pStyle w:val="NotesTable-ItemPlain"/>
            </w:pPr>
          </w:p>
        </w:tc>
        <w:tc>
          <w:tcPr>
            <w:tcW w:w="838" w:type="pct"/>
            <w:gridSpan w:val="4"/>
          </w:tcPr>
          <w:p w14:paraId="3EB7DB9D" w14:textId="77777777" w:rsidR="000C3A74" w:rsidRDefault="000C3A74" w:rsidP="001A5D4A">
            <w:pPr>
              <w:pStyle w:val="NotesTable-ItemPlain"/>
            </w:pPr>
          </w:p>
        </w:tc>
        <w:tc>
          <w:tcPr>
            <w:tcW w:w="837" w:type="pct"/>
            <w:gridSpan w:val="8"/>
          </w:tcPr>
          <w:p w14:paraId="2E70E66F" w14:textId="77777777" w:rsidR="000C3A74" w:rsidRDefault="000C3A74" w:rsidP="001A5D4A">
            <w:pPr>
              <w:pStyle w:val="NotesTable-ItemPlain"/>
            </w:pPr>
          </w:p>
        </w:tc>
        <w:tc>
          <w:tcPr>
            <w:tcW w:w="836" w:type="pct"/>
            <w:gridSpan w:val="5"/>
          </w:tcPr>
          <w:p w14:paraId="3C450658" w14:textId="77777777" w:rsidR="000C3A74" w:rsidRDefault="000C3A74" w:rsidP="001A5D4A">
            <w:pPr>
              <w:pStyle w:val="NotesTable-ItemPlain"/>
            </w:pPr>
          </w:p>
        </w:tc>
      </w:tr>
      <w:tr w:rsidR="000C3A74" w14:paraId="5A21E827" w14:textId="77777777" w:rsidTr="00883287">
        <w:trPr>
          <w:trHeight w:val="181"/>
        </w:trPr>
        <w:tc>
          <w:tcPr>
            <w:tcW w:w="812" w:type="pct"/>
          </w:tcPr>
          <w:p w14:paraId="0FD9716E" w14:textId="77777777" w:rsidR="000C3A74" w:rsidRDefault="000C3A74" w:rsidP="001A5D4A">
            <w:pPr>
              <w:pStyle w:val="Note-Refs"/>
            </w:pPr>
          </w:p>
        </w:tc>
        <w:tc>
          <w:tcPr>
            <w:tcW w:w="839" w:type="pct"/>
            <w:gridSpan w:val="2"/>
          </w:tcPr>
          <w:p w14:paraId="23E14415" w14:textId="77777777" w:rsidR="000C3A74" w:rsidRPr="005164FF" w:rsidRDefault="000C3A74" w:rsidP="001A5D4A">
            <w:pPr>
              <w:pStyle w:val="NotesTable-ItemPlain"/>
              <w:rPr>
                <w:b/>
              </w:rPr>
            </w:pPr>
            <w:r>
              <w:t>Total</w:t>
            </w:r>
          </w:p>
        </w:tc>
        <w:tc>
          <w:tcPr>
            <w:tcW w:w="838" w:type="pct"/>
            <w:gridSpan w:val="4"/>
          </w:tcPr>
          <w:p w14:paraId="13FD992C" w14:textId="77777777" w:rsidR="000C3A74" w:rsidRDefault="000C3A74" w:rsidP="001A5D4A">
            <w:pPr>
              <w:pStyle w:val="NotesTable-ItemPlain"/>
            </w:pPr>
          </w:p>
        </w:tc>
        <w:tc>
          <w:tcPr>
            <w:tcW w:w="838" w:type="pct"/>
            <w:gridSpan w:val="4"/>
          </w:tcPr>
          <w:p w14:paraId="02E9E1AA" w14:textId="77777777" w:rsidR="000C3A74" w:rsidRDefault="000C3A74" w:rsidP="001A5D4A">
            <w:pPr>
              <w:pStyle w:val="NotesTable-ItemPlain"/>
            </w:pPr>
          </w:p>
        </w:tc>
        <w:tc>
          <w:tcPr>
            <w:tcW w:w="837" w:type="pct"/>
            <w:gridSpan w:val="8"/>
          </w:tcPr>
          <w:p w14:paraId="6182DE78" w14:textId="77777777" w:rsidR="000C3A74" w:rsidRDefault="000C3A74" w:rsidP="001A5D4A">
            <w:pPr>
              <w:pStyle w:val="NotesTable-ItemPlain"/>
            </w:pPr>
          </w:p>
        </w:tc>
        <w:tc>
          <w:tcPr>
            <w:tcW w:w="836" w:type="pct"/>
            <w:gridSpan w:val="5"/>
          </w:tcPr>
          <w:p w14:paraId="749D85C6" w14:textId="77777777" w:rsidR="000C3A74" w:rsidRDefault="000C3A74" w:rsidP="001A5D4A">
            <w:pPr>
              <w:pStyle w:val="NotesTable-ItemPlain"/>
            </w:pPr>
          </w:p>
        </w:tc>
      </w:tr>
      <w:tr w:rsidR="000C3A74" w14:paraId="346E6E62" w14:textId="77777777" w:rsidTr="00883287">
        <w:trPr>
          <w:trHeight w:val="181"/>
        </w:trPr>
        <w:tc>
          <w:tcPr>
            <w:tcW w:w="812" w:type="pct"/>
          </w:tcPr>
          <w:p w14:paraId="61D3F74F" w14:textId="77777777" w:rsidR="000C3A74" w:rsidRDefault="000C3A74" w:rsidP="001A5D4A">
            <w:pPr>
              <w:pStyle w:val="Note-Refs"/>
            </w:pPr>
          </w:p>
        </w:tc>
        <w:tc>
          <w:tcPr>
            <w:tcW w:w="4188" w:type="pct"/>
            <w:gridSpan w:val="23"/>
          </w:tcPr>
          <w:p w14:paraId="1BC3750F" w14:textId="77777777" w:rsidR="000C3A74" w:rsidRPr="005164FF" w:rsidRDefault="000C3A74" w:rsidP="001A5D4A">
            <w:pPr>
              <w:pStyle w:val="NotesTable-ItemPlain"/>
            </w:pPr>
          </w:p>
        </w:tc>
      </w:tr>
      <w:tr w:rsidR="000C3A74" w14:paraId="5B2E7839" w14:textId="77777777" w:rsidTr="00883287">
        <w:trPr>
          <w:trHeight w:val="181"/>
        </w:trPr>
        <w:tc>
          <w:tcPr>
            <w:tcW w:w="812" w:type="pct"/>
          </w:tcPr>
          <w:p w14:paraId="0B8D6658" w14:textId="77777777" w:rsidR="000C3A74" w:rsidRDefault="000C3A74" w:rsidP="001A5D4A">
            <w:pPr>
              <w:pStyle w:val="Note-Refs"/>
            </w:pPr>
            <w:r>
              <w:t>AASB12.15,30</w:t>
            </w:r>
          </w:p>
        </w:tc>
        <w:tc>
          <w:tcPr>
            <w:tcW w:w="4188" w:type="pct"/>
            <w:gridSpan w:val="23"/>
          </w:tcPr>
          <w:p w14:paraId="4A9BEF0C" w14:textId="77777777" w:rsidR="000C3A74" w:rsidRPr="005164FF" w:rsidRDefault="000C3A74" w:rsidP="001A5D4A">
            <w:pPr>
              <w:pStyle w:val="NotesTable-ItemBold"/>
            </w:pPr>
            <w:r w:rsidRPr="005164FF">
              <w:t>Financial support</w:t>
            </w:r>
            <w:r>
              <w:t xml:space="preserve"> for unconsolidated structured entities</w:t>
            </w:r>
          </w:p>
        </w:tc>
      </w:tr>
      <w:tr w:rsidR="000C3A74" w14:paraId="0AEE5EF7" w14:textId="77777777" w:rsidTr="00883287">
        <w:trPr>
          <w:trHeight w:val="181"/>
        </w:trPr>
        <w:tc>
          <w:tcPr>
            <w:tcW w:w="812" w:type="pct"/>
          </w:tcPr>
          <w:p w14:paraId="20C70CE2" w14:textId="77777777" w:rsidR="000C3A74" w:rsidRDefault="000C3A74" w:rsidP="001A5D4A">
            <w:pPr>
              <w:pStyle w:val="Note-Refs"/>
            </w:pPr>
          </w:p>
        </w:tc>
        <w:tc>
          <w:tcPr>
            <w:tcW w:w="4188" w:type="pct"/>
            <w:gridSpan w:val="23"/>
          </w:tcPr>
          <w:p w14:paraId="60ADA512" w14:textId="233C55A1" w:rsidR="007C406E" w:rsidRDefault="007416BA" w:rsidP="001A5D4A">
            <w:pPr>
              <w:pStyle w:val="NotesTable-ItemPlain"/>
            </w:pPr>
            <w:r>
              <w:t>[HEP] has provided finan</w:t>
            </w:r>
            <w:r w:rsidR="007C406E">
              <w:t xml:space="preserve">cial or other support, without </w:t>
            </w:r>
            <w:proofErr w:type="gramStart"/>
            <w:r w:rsidR="007C406E">
              <w:t>an</w:t>
            </w:r>
            <w:proofErr w:type="gramEnd"/>
            <w:r w:rsidR="007C406E">
              <w:t xml:space="preserve"> contractual obligation to do so, </w:t>
            </w:r>
            <w:r>
              <w:t>to the unconsolidated structured entities</w:t>
            </w:r>
            <w:r w:rsidR="007C406E">
              <w:t xml:space="preserve"> listed below</w:t>
            </w:r>
            <w:r>
              <w:t>, in which [HEP] previously or currently has an interest</w:t>
            </w:r>
            <w:r w:rsidR="007C406E">
              <w:t>.</w:t>
            </w:r>
          </w:p>
          <w:p w14:paraId="0F45FC57" w14:textId="05A816AE" w:rsidR="000C3A74" w:rsidRDefault="007416BA" w:rsidP="001A5D4A">
            <w:pPr>
              <w:pStyle w:val="Note-Text"/>
            </w:pPr>
            <w:r>
              <w:t>[</w:t>
            </w:r>
            <w:r w:rsidR="000C3A74">
              <w:t>Include the type and amount provided and the reasons for such support.]</w:t>
            </w:r>
          </w:p>
        </w:tc>
      </w:tr>
      <w:tr w:rsidR="000C3A74" w14:paraId="31478C4B" w14:textId="77777777" w:rsidTr="00883287">
        <w:trPr>
          <w:trHeight w:hRule="exact" w:val="85"/>
        </w:trPr>
        <w:tc>
          <w:tcPr>
            <w:tcW w:w="812" w:type="pct"/>
          </w:tcPr>
          <w:p w14:paraId="75BDD689" w14:textId="00A286D3" w:rsidR="000C3A74" w:rsidRDefault="000C3A74" w:rsidP="001A5D4A">
            <w:pPr>
              <w:pStyle w:val="Note-Refs"/>
            </w:pPr>
          </w:p>
        </w:tc>
        <w:tc>
          <w:tcPr>
            <w:tcW w:w="4188" w:type="pct"/>
            <w:gridSpan w:val="23"/>
          </w:tcPr>
          <w:p w14:paraId="0EDC3770" w14:textId="77777777" w:rsidR="000C3A74" w:rsidRDefault="000C3A74" w:rsidP="001A5D4A">
            <w:pPr>
              <w:pStyle w:val="NotesTable-ItemPlain"/>
            </w:pPr>
          </w:p>
        </w:tc>
      </w:tr>
      <w:tr w:rsidR="00532E3F" w14:paraId="3164C720" w14:textId="77777777" w:rsidTr="00883287">
        <w:trPr>
          <w:trHeight w:val="181"/>
        </w:trPr>
        <w:tc>
          <w:tcPr>
            <w:tcW w:w="812" w:type="pct"/>
          </w:tcPr>
          <w:p w14:paraId="4817B89A" w14:textId="77777777" w:rsidR="00532E3F" w:rsidRDefault="00532E3F" w:rsidP="001A5D4A">
            <w:pPr>
              <w:pStyle w:val="Note-Refs"/>
            </w:pPr>
            <w:r>
              <w:t>AASB12.31</w:t>
            </w:r>
          </w:p>
        </w:tc>
        <w:tc>
          <w:tcPr>
            <w:tcW w:w="4188" w:type="pct"/>
            <w:gridSpan w:val="23"/>
          </w:tcPr>
          <w:p w14:paraId="5111C2A3" w14:textId="7A24E5AF" w:rsidR="00532E3F" w:rsidRDefault="00532E3F" w:rsidP="001A5D4A">
            <w:pPr>
              <w:pStyle w:val="Note-Text"/>
            </w:pPr>
            <w:r>
              <w:t>[Provide details of any current intentions to provide financial or other support to unconsolidated structured entities]</w:t>
            </w:r>
          </w:p>
        </w:tc>
      </w:tr>
      <w:tr w:rsidR="00532E3F" w14:paraId="55A7514D" w14:textId="77777777" w:rsidTr="00883287">
        <w:trPr>
          <w:trHeight w:hRule="exact" w:val="85"/>
        </w:trPr>
        <w:tc>
          <w:tcPr>
            <w:tcW w:w="812" w:type="pct"/>
          </w:tcPr>
          <w:p w14:paraId="0237DD49" w14:textId="77777777" w:rsidR="00532E3F" w:rsidRDefault="00532E3F" w:rsidP="001A5D4A">
            <w:pPr>
              <w:pStyle w:val="Note-Refs"/>
            </w:pPr>
          </w:p>
        </w:tc>
        <w:tc>
          <w:tcPr>
            <w:tcW w:w="4188" w:type="pct"/>
            <w:gridSpan w:val="23"/>
          </w:tcPr>
          <w:p w14:paraId="3430F803" w14:textId="77777777" w:rsidR="00532E3F" w:rsidRDefault="00532E3F" w:rsidP="001A5D4A">
            <w:pPr>
              <w:pStyle w:val="NotesTable-ItemPlain"/>
            </w:pPr>
          </w:p>
        </w:tc>
      </w:tr>
      <w:tr w:rsidR="00532E3F" w:rsidRPr="00790146" w14:paraId="7FCD0B8E" w14:textId="77777777" w:rsidTr="00883287">
        <w:trPr>
          <w:trHeight w:val="181"/>
        </w:trPr>
        <w:tc>
          <w:tcPr>
            <w:tcW w:w="812" w:type="pct"/>
          </w:tcPr>
          <w:p w14:paraId="0EE6C906" w14:textId="77777777" w:rsidR="00532E3F" w:rsidRDefault="00532E3F" w:rsidP="001A5D4A">
            <w:pPr>
              <w:pStyle w:val="Note-Refs"/>
            </w:pPr>
          </w:p>
        </w:tc>
        <w:tc>
          <w:tcPr>
            <w:tcW w:w="4188" w:type="pct"/>
            <w:gridSpan w:val="23"/>
          </w:tcPr>
          <w:p w14:paraId="46BA9AAF" w14:textId="77777777" w:rsidR="00532E3F" w:rsidRPr="00790146" w:rsidRDefault="00532E3F" w:rsidP="001A5D4A">
            <w:pPr>
              <w:pStyle w:val="NotesTable-ItemBold"/>
            </w:pPr>
            <w:r w:rsidRPr="00790146">
              <w:t xml:space="preserve">Unconsolidated structured entities in which the </w:t>
            </w:r>
            <w:r>
              <w:t>HEP</w:t>
            </w:r>
            <w:r w:rsidRPr="00790146">
              <w:t xml:space="preserve"> does not have an interest</w:t>
            </w:r>
          </w:p>
        </w:tc>
      </w:tr>
      <w:tr w:rsidR="00532E3F" w14:paraId="65AB3C70" w14:textId="77777777" w:rsidTr="00883287">
        <w:trPr>
          <w:trHeight w:val="181"/>
        </w:trPr>
        <w:tc>
          <w:tcPr>
            <w:tcW w:w="812" w:type="pct"/>
          </w:tcPr>
          <w:p w14:paraId="78413A92" w14:textId="77777777" w:rsidR="00532E3F" w:rsidRDefault="00532E3F" w:rsidP="001A5D4A">
            <w:pPr>
              <w:pStyle w:val="Note-Refs"/>
            </w:pPr>
          </w:p>
          <w:p w14:paraId="7970FA22" w14:textId="77777777" w:rsidR="00532E3F" w:rsidRPr="00532E3F" w:rsidRDefault="00532E3F" w:rsidP="001A5D4A">
            <w:pPr>
              <w:pStyle w:val="Note-Refs"/>
            </w:pPr>
            <w:r w:rsidRPr="00070503">
              <w:t>AASB12.27</w:t>
            </w:r>
          </w:p>
        </w:tc>
        <w:tc>
          <w:tcPr>
            <w:tcW w:w="4188" w:type="pct"/>
            <w:gridSpan w:val="23"/>
          </w:tcPr>
          <w:p w14:paraId="7E38D75E" w14:textId="4DCFFB82" w:rsidR="00532E3F" w:rsidRPr="00532E3F" w:rsidRDefault="00532E3F" w:rsidP="001A5D4A">
            <w:pPr>
              <w:pStyle w:val="NotesTable-ItemPlain"/>
            </w:pPr>
            <w:r>
              <w:t>Details of sponsorship of unconsolidat</w:t>
            </w:r>
            <w:r w:rsidR="007416BA">
              <w:t>ed structured entities that [</w:t>
            </w:r>
            <w:r>
              <w:t>HEP</w:t>
            </w:r>
            <w:r w:rsidR="007416BA">
              <w:t>]</w:t>
            </w:r>
            <w:r>
              <w:t xml:space="preserve"> does not have an interest in at reporting date (</w:t>
            </w:r>
            <w:proofErr w:type="spellStart"/>
            <w:r>
              <w:t>ie</w:t>
            </w:r>
            <w:proofErr w:type="spellEnd"/>
            <w:r>
              <w:t xml:space="preserve"> for which the </w:t>
            </w:r>
            <w:r w:rsidR="007C406E">
              <w:t>[</w:t>
            </w:r>
            <w:r>
              <w:t>HEP</w:t>
            </w:r>
            <w:r w:rsidR="007C406E">
              <w:t>]</w:t>
            </w:r>
            <w:r>
              <w:t xml:space="preserve"> does not provide the information under AASB12.29) are listed below:</w:t>
            </w:r>
          </w:p>
        </w:tc>
      </w:tr>
      <w:tr w:rsidR="00532E3F" w14:paraId="193BFC35" w14:textId="77777777" w:rsidTr="00883287">
        <w:trPr>
          <w:trHeight w:hRule="exact" w:val="85"/>
        </w:trPr>
        <w:tc>
          <w:tcPr>
            <w:tcW w:w="812" w:type="pct"/>
          </w:tcPr>
          <w:p w14:paraId="5F53632C" w14:textId="77777777" w:rsidR="00532E3F" w:rsidRDefault="00532E3F" w:rsidP="001A5D4A">
            <w:pPr>
              <w:pStyle w:val="Note-Refs"/>
            </w:pPr>
          </w:p>
        </w:tc>
        <w:tc>
          <w:tcPr>
            <w:tcW w:w="4188" w:type="pct"/>
            <w:gridSpan w:val="23"/>
          </w:tcPr>
          <w:p w14:paraId="1D106694" w14:textId="77777777" w:rsidR="00532E3F" w:rsidRDefault="00532E3F" w:rsidP="001A5D4A">
            <w:pPr>
              <w:pStyle w:val="NotesTable-ItemPlain"/>
            </w:pPr>
          </w:p>
        </w:tc>
      </w:tr>
      <w:tr w:rsidR="00532E3F" w14:paraId="4CA64A42" w14:textId="77777777" w:rsidTr="00883287">
        <w:trPr>
          <w:trHeight w:val="181"/>
        </w:trPr>
        <w:tc>
          <w:tcPr>
            <w:tcW w:w="812" w:type="pct"/>
          </w:tcPr>
          <w:p w14:paraId="753A884D" w14:textId="77777777" w:rsidR="00532E3F" w:rsidRDefault="00532E3F" w:rsidP="001A5D4A">
            <w:pPr>
              <w:pStyle w:val="Note-Refs"/>
            </w:pPr>
            <w:r>
              <w:t>AASB12.27a</w:t>
            </w:r>
          </w:p>
        </w:tc>
        <w:tc>
          <w:tcPr>
            <w:tcW w:w="4188" w:type="pct"/>
            <w:gridSpan w:val="23"/>
          </w:tcPr>
          <w:p w14:paraId="618BD63A" w14:textId="5FE7F426" w:rsidR="00532E3F" w:rsidRDefault="00532E3F" w:rsidP="001A5D4A">
            <w:pPr>
              <w:pStyle w:val="Note-Text"/>
            </w:pPr>
            <w:r>
              <w:t>[List</w:t>
            </w:r>
            <w:r w:rsidR="007C406E">
              <w:t xml:space="preserve"> the</w:t>
            </w:r>
            <w:r>
              <w:t xml:space="preserve"> </w:t>
            </w:r>
            <w:r w:rsidR="007C406E">
              <w:t xml:space="preserve">structured entities and </w:t>
            </w:r>
            <w:r>
              <w:t>how the HEP determined which it has sponsored]</w:t>
            </w:r>
          </w:p>
        </w:tc>
      </w:tr>
      <w:tr w:rsidR="000C3A74" w14:paraId="63BE578E" w14:textId="77777777" w:rsidTr="00883287">
        <w:trPr>
          <w:gridAfter w:val="1"/>
          <w:wAfter w:w="8" w:type="pct"/>
          <w:trHeight w:hRule="exact" w:val="85"/>
        </w:trPr>
        <w:tc>
          <w:tcPr>
            <w:tcW w:w="812" w:type="pct"/>
          </w:tcPr>
          <w:p w14:paraId="3F03C2B5" w14:textId="77777777" w:rsidR="000C3A74" w:rsidRDefault="000C3A74" w:rsidP="001A5D4A">
            <w:pPr>
              <w:pStyle w:val="Note-Refs"/>
            </w:pPr>
          </w:p>
        </w:tc>
        <w:tc>
          <w:tcPr>
            <w:tcW w:w="4181" w:type="pct"/>
            <w:gridSpan w:val="22"/>
          </w:tcPr>
          <w:p w14:paraId="0E5165E2" w14:textId="77777777" w:rsidR="000C3A74" w:rsidRDefault="000C3A74" w:rsidP="001A5D4A">
            <w:pPr>
              <w:pStyle w:val="NotesTable-ItemPlain"/>
            </w:pPr>
          </w:p>
        </w:tc>
      </w:tr>
      <w:tr w:rsidR="000C3A74" w14:paraId="585BE144" w14:textId="77777777" w:rsidTr="00883287">
        <w:trPr>
          <w:gridAfter w:val="1"/>
          <w:wAfter w:w="8" w:type="pct"/>
          <w:trHeight w:val="159"/>
        </w:trPr>
        <w:tc>
          <w:tcPr>
            <w:tcW w:w="812" w:type="pct"/>
          </w:tcPr>
          <w:p w14:paraId="1831D53B" w14:textId="77777777" w:rsidR="000C3A74" w:rsidRDefault="000C3A74" w:rsidP="001A5D4A">
            <w:pPr>
              <w:pStyle w:val="Note-Refs"/>
            </w:pPr>
            <w:r>
              <w:t>AASB12.27b</w:t>
            </w:r>
          </w:p>
        </w:tc>
        <w:tc>
          <w:tcPr>
            <w:tcW w:w="4181" w:type="pct"/>
            <w:gridSpan w:val="22"/>
          </w:tcPr>
          <w:p w14:paraId="4ACDE876" w14:textId="77777777" w:rsidR="000C3A74" w:rsidRDefault="000C3A74" w:rsidP="001A5D4A">
            <w:pPr>
              <w:pStyle w:val="NotesTable-ItemPlain"/>
            </w:pPr>
            <w:r>
              <w:t>I</w:t>
            </w:r>
            <w:r w:rsidRPr="003C74B1">
              <w:t xml:space="preserve">ncome from structured entities, that </w:t>
            </w:r>
            <w:r>
              <w:t>HEP</w:t>
            </w:r>
            <w:r w:rsidRPr="003C74B1">
              <w:t xml:space="preserve"> does not have an interest in, during reporting period</w:t>
            </w:r>
          </w:p>
        </w:tc>
      </w:tr>
      <w:tr w:rsidR="000C3A74" w14:paraId="67F1BAC3" w14:textId="77777777" w:rsidTr="00883287">
        <w:trPr>
          <w:gridAfter w:val="1"/>
          <w:wAfter w:w="8" w:type="pct"/>
          <w:trHeight w:val="159"/>
        </w:trPr>
        <w:tc>
          <w:tcPr>
            <w:tcW w:w="812" w:type="pct"/>
          </w:tcPr>
          <w:p w14:paraId="57DDC4D8" w14:textId="77777777" w:rsidR="000C3A74" w:rsidRDefault="000C3A74" w:rsidP="001A5D4A">
            <w:pPr>
              <w:pStyle w:val="Note-Refs"/>
            </w:pPr>
          </w:p>
        </w:tc>
        <w:tc>
          <w:tcPr>
            <w:tcW w:w="2128" w:type="pct"/>
            <w:gridSpan w:val="9"/>
          </w:tcPr>
          <w:p w14:paraId="71D575D2" w14:textId="77777777" w:rsidR="000C3A74" w:rsidRDefault="000C3A74" w:rsidP="001A5D4A">
            <w:pPr>
              <w:pStyle w:val="NotesTable-ItemPlain"/>
            </w:pPr>
          </w:p>
        </w:tc>
        <w:tc>
          <w:tcPr>
            <w:tcW w:w="1027" w:type="pct"/>
            <w:gridSpan w:val="7"/>
          </w:tcPr>
          <w:p w14:paraId="2515F3F3" w14:textId="77777777" w:rsidR="000C3A74" w:rsidRDefault="000C3A74" w:rsidP="001A5D4A">
            <w:pPr>
              <w:pStyle w:val="NotesTable-HeadPlain"/>
            </w:pPr>
            <w:r>
              <w:t>Consolidated</w:t>
            </w:r>
          </w:p>
        </w:tc>
        <w:tc>
          <w:tcPr>
            <w:tcW w:w="1026" w:type="pct"/>
            <w:gridSpan w:val="6"/>
          </w:tcPr>
          <w:p w14:paraId="563C7217" w14:textId="77777777" w:rsidR="000C3A74" w:rsidRDefault="000C3A74" w:rsidP="001A5D4A">
            <w:pPr>
              <w:pStyle w:val="NotesTable-HeadPlain"/>
            </w:pPr>
            <w:r>
              <w:t>Parent entity</w:t>
            </w:r>
          </w:p>
        </w:tc>
      </w:tr>
      <w:tr w:rsidR="000C3A74" w14:paraId="5A6294CF" w14:textId="77777777" w:rsidTr="00883287">
        <w:trPr>
          <w:trHeight w:val="159"/>
        </w:trPr>
        <w:tc>
          <w:tcPr>
            <w:tcW w:w="812" w:type="pct"/>
          </w:tcPr>
          <w:p w14:paraId="3F96C5F3" w14:textId="77777777" w:rsidR="000C3A74" w:rsidRDefault="000C3A74" w:rsidP="001A5D4A">
            <w:pPr>
              <w:pStyle w:val="Note-Refs"/>
            </w:pPr>
          </w:p>
        </w:tc>
        <w:tc>
          <w:tcPr>
            <w:tcW w:w="1454" w:type="pct"/>
            <w:gridSpan w:val="5"/>
          </w:tcPr>
          <w:p w14:paraId="1634BF77" w14:textId="77777777" w:rsidR="000C3A74" w:rsidRDefault="000C3A74" w:rsidP="001A5D4A">
            <w:pPr>
              <w:pStyle w:val="NotesTable-ItemPlain"/>
            </w:pPr>
          </w:p>
        </w:tc>
        <w:tc>
          <w:tcPr>
            <w:tcW w:w="674" w:type="pct"/>
            <w:gridSpan w:val="4"/>
          </w:tcPr>
          <w:p w14:paraId="00A1F6F3" w14:textId="77777777" w:rsidR="000C3A74" w:rsidRDefault="000C3A74" w:rsidP="001A5D4A">
            <w:pPr>
              <w:pStyle w:val="NotesTable-ItemPlain"/>
            </w:pPr>
          </w:p>
        </w:tc>
        <w:tc>
          <w:tcPr>
            <w:tcW w:w="516" w:type="pct"/>
            <w:gridSpan w:val="3"/>
          </w:tcPr>
          <w:p w14:paraId="608B7D06" w14:textId="2A548294" w:rsidR="000C3A74" w:rsidRDefault="00D30442" w:rsidP="001A5D4A">
            <w:pPr>
              <w:pStyle w:val="NotesTable-HeadBold"/>
            </w:pPr>
            <w:r>
              <w:t>2014</w:t>
            </w:r>
          </w:p>
        </w:tc>
        <w:tc>
          <w:tcPr>
            <w:tcW w:w="516" w:type="pct"/>
            <w:gridSpan w:val="5"/>
          </w:tcPr>
          <w:p w14:paraId="62484A96" w14:textId="0722438E" w:rsidR="000C3A74" w:rsidRDefault="000C3A74" w:rsidP="001A5D4A">
            <w:pPr>
              <w:pStyle w:val="NotesTable-HeadPlain"/>
            </w:pPr>
            <w:r>
              <w:t>201</w:t>
            </w:r>
            <w:r w:rsidR="00D30442">
              <w:t>3</w:t>
            </w:r>
          </w:p>
        </w:tc>
        <w:tc>
          <w:tcPr>
            <w:tcW w:w="515" w:type="pct"/>
            <w:gridSpan w:val="4"/>
          </w:tcPr>
          <w:p w14:paraId="0A624805" w14:textId="4886659E" w:rsidR="000C3A74" w:rsidRDefault="000C3A74" w:rsidP="001A5D4A">
            <w:pPr>
              <w:pStyle w:val="NotesTable-HeadBold"/>
            </w:pPr>
            <w:r>
              <w:t>201</w:t>
            </w:r>
            <w:r w:rsidR="00D30442">
              <w:t>4</w:t>
            </w:r>
          </w:p>
        </w:tc>
        <w:tc>
          <w:tcPr>
            <w:tcW w:w="514" w:type="pct"/>
            <w:gridSpan w:val="2"/>
          </w:tcPr>
          <w:p w14:paraId="77718E07" w14:textId="66F53FBA" w:rsidR="000C3A74" w:rsidRDefault="000C3A74" w:rsidP="001A5D4A">
            <w:pPr>
              <w:pStyle w:val="NotesTable-HeadPlain"/>
            </w:pPr>
            <w:r>
              <w:t>201</w:t>
            </w:r>
            <w:r w:rsidR="00D30442">
              <w:t>3</w:t>
            </w:r>
          </w:p>
        </w:tc>
      </w:tr>
      <w:tr w:rsidR="000C3A74" w14:paraId="3AA266F7" w14:textId="77777777" w:rsidTr="00883287">
        <w:trPr>
          <w:trHeight w:val="159"/>
        </w:trPr>
        <w:tc>
          <w:tcPr>
            <w:tcW w:w="812" w:type="pct"/>
          </w:tcPr>
          <w:p w14:paraId="12F3A331" w14:textId="77777777" w:rsidR="000C3A74" w:rsidRDefault="000C3A74" w:rsidP="001A5D4A">
            <w:pPr>
              <w:pStyle w:val="Note-Refs"/>
            </w:pPr>
          </w:p>
        </w:tc>
        <w:tc>
          <w:tcPr>
            <w:tcW w:w="1454" w:type="pct"/>
            <w:gridSpan w:val="5"/>
          </w:tcPr>
          <w:p w14:paraId="27C8480C" w14:textId="77777777" w:rsidR="000C3A74" w:rsidRDefault="000C3A74" w:rsidP="001A5D4A">
            <w:pPr>
              <w:pStyle w:val="NotesTable-ItemPlain"/>
            </w:pPr>
          </w:p>
        </w:tc>
        <w:tc>
          <w:tcPr>
            <w:tcW w:w="674" w:type="pct"/>
            <w:gridSpan w:val="4"/>
          </w:tcPr>
          <w:p w14:paraId="4980C582" w14:textId="77777777" w:rsidR="000C3A74" w:rsidRDefault="000C3A74" w:rsidP="001A5D4A">
            <w:pPr>
              <w:pStyle w:val="NotesTable-ItemPlain"/>
            </w:pPr>
            <w:r>
              <w:t>Description</w:t>
            </w:r>
          </w:p>
        </w:tc>
        <w:tc>
          <w:tcPr>
            <w:tcW w:w="516" w:type="pct"/>
            <w:gridSpan w:val="3"/>
          </w:tcPr>
          <w:p w14:paraId="6C25DB33" w14:textId="77777777" w:rsidR="000C3A74" w:rsidRDefault="000C3A74" w:rsidP="001A5D4A">
            <w:pPr>
              <w:pStyle w:val="NotesTable-HeadBold"/>
            </w:pPr>
            <w:r>
              <w:t>$’000</w:t>
            </w:r>
          </w:p>
        </w:tc>
        <w:tc>
          <w:tcPr>
            <w:tcW w:w="516" w:type="pct"/>
            <w:gridSpan w:val="5"/>
          </w:tcPr>
          <w:p w14:paraId="03571E9B" w14:textId="77777777" w:rsidR="000C3A74" w:rsidRDefault="000C3A74" w:rsidP="001A5D4A">
            <w:pPr>
              <w:pStyle w:val="NotesTable-HeadPlain"/>
            </w:pPr>
            <w:r>
              <w:t>$’000</w:t>
            </w:r>
          </w:p>
        </w:tc>
        <w:tc>
          <w:tcPr>
            <w:tcW w:w="515" w:type="pct"/>
            <w:gridSpan w:val="4"/>
          </w:tcPr>
          <w:p w14:paraId="403DC327" w14:textId="77777777" w:rsidR="000C3A74" w:rsidRDefault="000C3A74" w:rsidP="001A5D4A">
            <w:pPr>
              <w:pStyle w:val="NotesTable-HeadBold"/>
            </w:pPr>
            <w:r>
              <w:t>$’000</w:t>
            </w:r>
          </w:p>
        </w:tc>
        <w:tc>
          <w:tcPr>
            <w:tcW w:w="514" w:type="pct"/>
            <w:gridSpan w:val="2"/>
          </w:tcPr>
          <w:p w14:paraId="1C747467" w14:textId="77777777" w:rsidR="000C3A74" w:rsidRDefault="000C3A74" w:rsidP="001A5D4A">
            <w:pPr>
              <w:pStyle w:val="NotesTable-HeadPlain"/>
            </w:pPr>
            <w:r>
              <w:t>$’000</w:t>
            </w:r>
          </w:p>
        </w:tc>
      </w:tr>
      <w:tr w:rsidR="000C3A74" w14:paraId="4F52AA9A" w14:textId="77777777" w:rsidTr="00883287">
        <w:trPr>
          <w:trHeight w:val="159"/>
        </w:trPr>
        <w:tc>
          <w:tcPr>
            <w:tcW w:w="812" w:type="pct"/>
          </w:tcPr>
          <w:p w14:paraId="0354D984" w14:textId="77777777" w:rsidR="000C3A74" w:rsidRDefault="000C3A74" w:rsidP="001A5D4A">
            <w:pPr>
              <w:pStyle w:val="Note-Refs"/>
            </w:pPr>
            <w:r>
              <w:t>AASB12.B6</w:t>
            </w:r>
          </w:p>
        </w:tc>
        <w:tc>
          <w:tcPr>
            <w:tcW w:w="1454" w:type="pct"/>
            <w:gridSpan w:val="5"/>
            <w:vAlign w:val="bottom"/>
          </w:tcPr>
          <w:p w14:paraId="692950E0" w14:textId="77777777" w:rsidR="000C3A74" w:rsidRDefault="000C3A74" w:rsidP="001A5D4A">
            <w:pPr>
              <w:pStyle w:val="NotesTable-ItemPlain"/>
              <w:rPr>
                <w:b/>
              </w:rPr>
            </w:pPr>
            <w:r>
              <w:t>[</w:t>
            </w:r>
            <w:r w:rsidRPr="000C3A74">
              <w:t xml:space="preserve">Specify, classified into relevant </w:t>
            </w:r>
            <w:r w:rsidRPr="004B0DC8">
              <w:t>classes</w:t>
            </w:r>
            <w:r w:rsidRPr="000C3A74">
              <w:t>]</w:t>
            </w:r>
          </w:p>
        </w:tc>
        <w:tc>
          <w:tcPr>
            <w:tcW w:w="674" w:type="pct"/>
            <w:gridSpan w:val="4"/>
          </w:tcPr>
          <w:p w14:paraId="71109CDB" w14:textId="77777777" w:rsidR="000C3A74" w:rsidRDefault="000C3A74" w:rsidP="001A5D4A">
            <w:pPr>
              <w:pStyle w:val="NotesTable-ItemPlain"/>
            </w:pPr>
          </w:p>
        </w:tc>
        <w:tc>
          <w:tcPr>
            <w:tcW w:w="516" w:type="pct"/>
            <w:gridSpan w:val="3"/>
            <w:tcBorders>
              <w:bottom w:val="single" w:sz="4" w:space="0" w:color="auto"/>
            </w:tcBorders>
          </w:tcPr>
          <w:p w14:paraId="255E7B97" w14:textId="77777777" w:rsidR="000C3A74" w:rsidRPr="000C3A74" w:rsidRDefault="000C3A74" w:rsidP="001A5D4A">
            <w:pPr>
              <w:pStyle w:val="NotesTable-CellPlain"/>
            </w:pPr>
            <w:r w:rsidRPr="000C3A74">
              <w:t>–</w:t>
            </w:r>
          </w:p>
        </w:tc>
        <w:tc>
          <w:tcPr>
            <w:tcW w:w="516" w:type="pct"/>
            <w:gridSpan w:val="5"/>
            <w:tcBorders>
              <w:bottom w:val="single" w:sz="4" w:space="0" w:color="auto"/>
            </w:tcBorders>
          </w:tcPr>
          <w:p w14:paraId="34B8176A" w14:textId="77777777" w:rsidR="000C3A74" w:rsidRPr="000C3A74" w:rsidRDefault="000C3A74" w:rsidP="001A5D4A">
            <w:pPr>
              <w:pStyle w:val="NotesTable-CellPlain"/>
            </w:pPr>
            <w:r w:rsidRPr="000C3A74">
              <w:t>–</w:t>
            </w:r>
          </w:p>
        </w:tc>
        <w:tc>
          <w:tcPr>
            <w:tcW w:w="515" w:type="pct"/>
            <w:gridSpan w:val="4"/>
            <w:tcBorders>
              <w:bottom w:val="single" w:sz="4" w:space="0" w:color="auto"/>
            </w:tcBorders>
          </w:tcPr>
          <w:p w14:paraId="156702E5" w14:textId="77777777" w:rsidR="000C3A74" w:rsidRPr="000C3A74" w:rsidRDefault="000C3A74" w:rsidP="001A5D4A">
            <w:pPr>
              <w:pStyle w:val="NotesTable-CellPlain"/>
            </w:pPr>
            <w:r w:rsidRPr="000C3A74">
              <w:t>–</w:t>
            </w:r>
          </w:p>
        </w:tc>
        <w:tc>
          <w:tcPr>
            <w:tcW w:w="514" w:type="pct"/>
            <w:gridSpan w:val="2"/>
            <w:tcBorders>
              <w:bottom w:val="single" w:sz="4" w:space="0" w:color="auto"/>
            </w:tcBorders>
          </w:tcPr>
          <w:p w14:paraId="2BE6C650" w14:textId="77777777" w:rsidR="000C3A74" w:rsidRPr="000C3A74" w:rsidRDefault="000C3A74" w:rsidP="001A5D4A">
            <w:pPr>
              <w:pStyle w:val="NotesTable-CellPlain"/>
            </w:pPr>
            <w:r w:rsidRPr="000C3A74">
              <w:t>–</w:t>
            </w:r>
          </w:p>
        </w:tc>
      </w:tr>
      <w:tr w:rsidR="000C3A74" w14:paraId="33CC4609" w14:textId="77777777" w:rsidTr="00883287">
        <w:trPr>
          <w:trHeight w:val="159"/>
        </w:trPr>
        <w:tc>
          <w:tcPr>
            <w:tcW w:w="812" w:type="pct"/>
          </w:tcPr>
          <w:p w14:paraId="3167B0FC" w14:textId="77777777" w:rsidR="000C3A74" w:rsidRDefault="000C3A74" w:rsidP="001A5D4A">
            <w:pPr>
              <w:pStyle w:val="Note-Refs"/>
            </w:pPr>
          </w:p>
        </w:tc>
        <w:tc>
          <w:tcPr>
            <w:tcW w:w="1454" w:type="pct"/>
            <w:gridSpan w:val="5"/>
            <w:vAlign w:val="bottom"/>
          </w:tcPr>
          <w:p w14:paraId="71FD819F" w14:textId="77777777" w:rsidR="000C3A74" w:rsidRDefault="000C3A74" w:rsidP="001A5D4A">
            <w:pPr>
              <w:pStyle w:val="NotesTable-ItemPlain"/>
              <w:rPr>
                <w:b/>
              </w:rPr>
            </w:pPr>
            <w:r>
              <w:t xml:space="preserve">Total </w:t>
            </w:r>
          </w:p>
        </w:tc>
        <w:tc>
          <w:tcPr>
            <w:tcW w:w="674" w:type="pct"/>
            <w:gridSpan w:val="4"/>
          </w:tcPr>
          <w:p w14:paraId="256294F1" w14:textId="77777777" w:rsidR="000C3A74" w:rsidRDefault="000C3A74" w:rsidP="001A5D4A">
            <w:pPr>
              <w:pStyle w:val="NotesTable-ItemPlain"/>
            </w:pPr>
          </w:p>
        </w:tc>
        <w:tc>
          <w:tcPr>
            <w:tcW w:w="516" w:type="pct"/>
            <w:gridSpan w:val="3"/>
            <w:tcBorders>
              <w:top w:val="single" w:sz="4" w:space="0" w:color="auto"/>
            </w:tcBorders>
          </w:tcPr>
          <w:p w14:paraId="51F8B5D8" w14:textId="77777777" w:rsidR="000C3A74" w:rsidRPr="000C3A74" w:rsidRDefault="000C3A74" w:rsidP="001A5D4A">
            <w:pPr>
              <w:pStyle w:val="NotesTable-CellPlain"/>
            </w:pPr>
            <w:r w:rsidRPr="000C3A74">
              <w:t>–</w:t>
            </w:r>
          </w:p>
        </w:tc>
        <w:tc>
          <w:tcPr>
            <w:tcW w:w="516" w:type="pct"/>
            <w:gridSpan w:val="5"/>
            <w:tcBorders>
              <w:top w:val="single" w:sz="4" w:space="0" w:color="auto"/>
            </w:tcBorders>
          </w:tcPr>
          <w:p w14:paraId="4D650692" w14:textId="77777777" w:rsidR="000C3A74" w:rsidRPr="000C3A74" w:rsidRDefault="000C3A74" w:rsidP="001A5D4A">
            <w:pPr>
              <w:pStyle w:val="NotesTable-CellPlain"/>
            </w:pPr>
            <w:r w:rsidRPr="000C3A74">
              <w:t>–</w:t>
            </w:r>
          </w:p>
        </w:tc>
        <w:tc>
          <w:tcPr>
            <w:tcW w:w="515" w:type="pct"/>
            <w:gridSpan w:val="4"/>
            <w:tcBorders>
              <w:top w:val="single" w:sz="4" w:space="0" w:color="auto"/>
            </w:tcBorders>
          </w:tcPr>
          <w:p w14:paraId="37B9E67B" w14:textId="77777777" w:rsidR="000C3A74" w:rsidRPr="000C3A74" w:rsidRDefault="000C3A74" w:rsidP="001A5D4A">
            <w:pPr>
              <w:pStyle w:val="NotesTable-CellPlain"/>
            </w:pPr>
            <w:r w:rsidRPr="000C3A74">
              <w:t>–</w:t>
            </w:r>
          </w:p>
        </w:tc>
        <w:tc>
          <w:tcPr>
            <w:tcW w:w="514" w:type="pct"/>
            <w:gridSpan w:val="2"/>
            <w:tcBorders>
              <w:top w:val="single" w:sz="4" w:space="0" w:color="auto"/>
            </w:tcBorders>
          </w:tcPr>
          <w:p w14:paraId="71CBD58C" w14:textId="77777777" w:rsidR="000C3A74" w:rsidRPr="000C3A74" w:rsidRDefault="000C3A74" w:rsidP="001A5D4A">
            <w:pPr>
              <w:pStyle w:val="NotesTable-CellPlain"/>
            </w:pPr>
            <w:r w:rsidRPr="000C3A74">
              <w:t>–</w:t>
            </w:r>
          </w:p>
        </w:tc>
      </w:tr>
      <w:tr w:rsidR="000C3A74" w14:paraId="312DEED9" w14:textId="77777777" w:rsidTr="00883287">
        <w:trPr>
          <w:trHeight w:val="159"/>
        </w:trPr>
        <w:tc>
          <w:tcPr>
            <w:tcW w:w="812" w:type="pct"/>
          </w:tcPr>
          <w:p w14:paraId="3EA78995" w14:textId="77777777" w:rsidR="000C3A74" w:rsidRDefault="000C3A74" w:rsidP="001A5D4A">
            <w:pPr>
              <w:pStyle w:val="Note-Refs"/>
            </w:pPr>
          </w:p>
        </w:tc>
        <w:tc>
          <w:tcPr>
            <w:tcW w:w="1454" w:type="pct"/>
            <w:gridSpan w:val="5"/>
          </w:tcPr>
          <w:p w14:paraId="3C55E974" w14:textId="77777777" w:rsidR="000C3A74" w:rsidRDefault="000C3A74" w:rsidP="001A5D4A">
            <w:pPr>
              <w:pStyle w:val="NotesTable-ItemPlain"/>
            </w:pPr>
          </w:p>
        </w:tc>
        <w:tc>
          <w:tcPr>
            <w:tcW w:w="674" w:type="pct"/>
            <w:gridSpan w:val="4"/>
          </w:tcPr>
          <w:p w14:paraId="46E9D631" w14:textId="77777777" w:rsidR="000C3A74" w:rsidRDefault="000C3A74" w:rsidP="001A5D4A">
            <w:pPr>
              <w:pStyle w:val="NotesTable-ItemPlain"/>
            </w:pPr>
          </w:p>
        </w:tc>
        <w:tc>
          <w:tcPr>
            <w:tcW w:w="516" w:type="pct"/>
            <w:gridSpan w:val="3"/>
          </w:tcPr>
          <w:p w14:paraId="13CAE17B" w14:textId="77777777" w:rsidR="000C3A74" w:rsidRDefault="000C3A74" w:rsidP="001A5D4A">
            <w:pPr>
              <w:pStyle w:val="NotesTable-HeadBold"/>
            </w:pPr>
          </w:p>
        </w:tc>
        <w:tc>
          <w:tcPr>
            <w:tcW w:w="516" w:type="pct"/>
            <w:gridSpan w:val="5"/>
          </w:tcPr>
          <w:p w14:paraId="6938F0B1" w14:textId="77777777" w:rsidR="000C3A74" w:rsidRDefault="000C3A74" w:rsidP="001A5D4A">
            <w:pPr>
              <w:pStyle w:val="NotesTable-HeadPlain"/>
            </w:pPr>
          </w:p>
        </w:tc>
        <w:tc>
          <w:tcPr>
            <w:tcW w:w="515" w:type="pct"/>
            <w:gridSpan w:val="4"/>
          </w:tcPr>
          <w:p w14:paraId="48769B4E" w14:textId="77777777" w:rsidR="000C3A74" w:rsidRDefault="000C3A74" w:rsidP="001A5D4A">
            <w:pPr>
              <w:pStyle w:val="NotesTable-HeadBold"/>
            </w:pPr>
          </w:p>
        </w:tc>
        <w:tc>
          <w:tcPr>
            <w:tcW w:w="514" w:type="pct"/>
            <w:gridSpan w:val="2"/>
          </w:tcPr>
          <w:p w14:paraId="0930D37C" w14:textId="77777777" w:rsidR="000C3A74" w:rsidRDefault="000C3A74" w:rsidP="001A5D4A">
            <w:pPr>
              <w:pStyle w:val="NotesTable-HeadPlain"/>
            </w:pPr>
          </w:p>
        </w:tc>
      </w:tr>
      <w:tr w:rsidR="000C3A74" w14:paraId="44F6C764" w14:textId="77777777" w:rsidTr="00883287">
        <w:trPr>
          <w:gridAfter w:val="1"/>
          <w:wAfter w:w="8" w:type="pct"/>
          <w:trHeight w:val="159"/>
        </w:trPr>
        <w:tc>
          <w:tcPr>
            <w:tcW w:w="812" w:type="pct"/>
          </w:tcPr>
          <w:p w14:paraId="4A30DA84" w14:textId="77777777" w:rsidR="000C3A74" w:rsidRDefault="000C3A74" w:rsidP="001A5D4A">
            <w:pPr>
              <w:pStyle w:val="Note-Refs"/>
            </w:pPr>
            <w:r>
              <w:t>AASB12.27c</w:t>
            </w:r>
          </w:p>
        </w:tc>
        <w:tc>
          <w:tcPr>
            <w:tcW w:w="4181" w:type="pct"/>
            <w:gridSpan w:val="22"/>
          </w:tcPr>
          <w:p w14:paraId="4F3BD211" w14:textId="77777777" w:rsidR="000C3A74" w:rsidRDefault="000C3A74" w:rsidP="001A5D4A">
            <w:pPr>
              <w:pStyle w:val="NotesTable-ItemPlain"/>
            </w:pPr>
            <w:r>
              <w:t>Carrying amount (at time of transfer) of all assets transferred to structured entities, that HEP does not have an interest in, during the reporting period</w:t>
            </w:r>
          </w:p>
        </w:tc>
      </w:tr>
      <w:tr w:rsidR="000C3A74" w14:paraId="7A4BA8D3" w14:textId="77777777" w:rsidTr="00883287">
        <w:trPr>
          <w:gridAfter w:val="1"/>
          <w:wAfter w:w="8" w:type="pct"/>
          <w:trHeight w:val="159"/>
        </w:trPr>
        <w:tc>
          <w:tcPr>
            <w:tcW w:w="812" w:type="pct"/>
          </w:tcPr>
          <w:p w14:paraId="4A4C32C6" w14:textId="77777777" w:rsidR="000C3A74" w:rsidRDefault="000C3A74" w:rsidP="001A5D4A">
            <w:pPr>
              <w:pStyle w:val="Note-Refs"/>
            </w:pPr>
          </w:p>
        </w:tc>
        <w:tc>
          <w:tcPr>
            <w:tcW w:w="1449" w:type="pct"/>
            <w:gridSpan w:val="4"/>
            <w:vAlign w:val="bottom"/>
          </w:tcPr>
          <w:p w14:paraId="6844C1E6" w14:textId="77777777" w:rsidR="000C3A74" w:rsidRPr="00E56E44" w:rsidRDefault="000C3A74" w:rsidP="001A5D4A">
            <w:pPr>
              <w:pStyle w:val="NotesTable-ItemPlain"/>
            </w:pPr>
          </w:p>
        </w:tc>
        <w:tc>
          <w:tcPr>
            <w:tcW w:w="656" w:type="pct"/>
            <w:gridSpan w:val="4"/>
            <w:vAlign w:val="bottom"/>
          </w:tcPr>
          <w:p w14:paraId="30CF8AF1" w14:textId="77777777" w:rsidR="000C3A74" w:rsidRPr="00E56E44" w:rsidRDefault="000C3A74" w:rsidP="001A5D4A">
            <w:pPr>
              <w:pStyle w:val="NotesTable-ItemPlain"/>
            </w:pPr>
          </w:p>
        </w:tc>
        <w:tc>
          <w:tcPr>
            <w:tcW w:w="1038" w:type="pct"/>
            <w:gridSpan w:val="6"/>
          </w:tcPr>
          <w:p w14:paraId="25121918" w14:textId="77777777" w:rsidR="000C3A74" w:rsidRDefault="000C3A74" w:rsidP="001A5D4A">
            <w:pPr>
              <w:pStyle w:val="NotesTable-HeadPlain"/>
            </w:pPr>
            <w:r>
              <w:t>Consolidated</w:t>
            </w:r>
          </w:p>
        </w:tc>
        <w:tc>
          <w:tcPr>
            <w:tcW w:w="1038" w:type="pct"/>
            <w:gridSpan w:val="8"/>
          </w:tcPr>
          <w:p w14:paraId="42596384" w14:textId="77777777" w:rsidR="000C3A74" w:rsidRDefault="000C3A74" w:rsidP="001A5D4A">
            <w:pPr>
              <w:pStyle w:val="NotesTable-HeadPlain"/>
            </w:pPr>
            <w:r>
              <w:t>Parent entity</w:t>
            </w:r>
          </w:p>
        </w:tc>
      </w:tr>
      <w:tr w:rsidR="000C3A74" w14:paraId="234EF6EC" w14:textId="77777777" w:rsidTr="00883287">
        <w:trPr>
          <w:trHeight w:val="159"/>
        </w:trPr>
        <w:tc>
          <w:tcPr>
            <w:tcW w:w="812" w:type="pct"/>
          </w:tcPr>
          <w:p w14:paraId="439899BE" w14:textId="77777777" w:rsidR="000C3A74" w:rsidRDefault="000C3A74" w:rsidP="001A5D4A">
            <w:pPr>
              <w:pStyle w:val="Note-Refs"/>
            </w:pPr>
          </w:p>
        </w:tc>
        <w:tc>
          <w:tcPr>
            <w:tcW w:w="1449" w:type="pct"/>
            <w:gridSpan w:val="4"/>
            <w:vAlign w:val="bottom"/>
          </w:tcPr>
          <w:p w14:paraId="504EE7DD" w14:textId="77777777" w:rsidR="000C3A74" w:rsidRPr="00E56E44" w:rsidRDefault="000C3A74" w:rsidP="001A5D4A">
            <w:pPr>
              <w:pStyle w:val="NotesTable-ItemPlain"/>
            </w:pPr>
          </w:p>
        </w:tc>
        <w:tc>
          <w:tcPr>
            <w:tcW w:w="656" w:type="pct"/>
            <w:gridSpan w:val="4"/>
            <w:vAlign w:val="bottom"/>
          </w:tcPr>
          <w:p w14:paraId="7E21DAF4" w14:textId="77777777" w:rsidR="000C3A74" w:rsidRDefault="000C3A74" w:rsidP="001A5D4A">
            <w:pPr>
              <w:pStyle w:val="NotesTable-ItemPlain"/>
            </w:pPr>
          </w:p>
        </w:tc>
        <w:tc>
          <w:tcPr>
            <w:tcW w:w="521" w:type="pct"/>
            <w:gridSpan w:val="3"/>
          </w:tcPr>
          <w:p w14:paraId="73D9C264" w14:textId="699AC0E6" w:rsidR="000C3A74" w:rsidRDefault="000C3A74" w:rsidP="001A5D4A">
            <w:pPr>
              <w:pStyle w:val="NotesTable-HeadBold"/>
            </w:pPr>
            <w:r>
              <w:t>201</w:t>
            </w:r>
            <w:r w:rsidR="00D30442">
              <w:t>4</w:t>
            </w:r>
          </w:p>
        </w:tc>
        <w:tc>
          <w:tcPr>
            <w:tcW w:w="521" w:type="pct"/>
            <w:gridSpan w:val="4"/>
          </w:tcPr>
          <w:p w14:paraId="04036AFF" w14:textId="70E71AD5" w:rsidR="000C3A74" w:rsidRDefault="000C3A74" w:rsidP="001A5D4A">
            <w:pPr>
              <w:pStyle w:val="NotesTable-HeadPlain"/>
            </w:pPr>
            <w:r>
              <w:t>201</w:t>
            </w:r>
            <w:r w:rsidR="00D30442">
              <w:t>3</w:t>
            </w:r>
          </w:p>
        </w:tc>
        <w:tc>
          <w:tcPr>
            <w:tcW w:w="520" w:type="pct"/>
            <w:gridSpan w:val="5"/>
          </w:tcPr>
          <w:p w14:paraId="122C6513" w14:textId="6CFD5111" w:rsidR="000C3A74" w:rsidRDefault="000C3A74" w:rsidP="001A5D4A">
            <w:pPr>
              <w:pStyle w:val="NotesTable-HeadBold"/>
            </w:pPr>
            <w:r>
              <w:t>201</w:t>
            </w:r>
            <w:r w:rsidR="00D30442">
              <w:t>4</w:t>
            </w:r>
          </w:p>
        </w:tc>
        <w:tc>
          <w:tcPr>
            <w:tcW w:w="521" w:type="pct"/>
            <w:gridSpan w:val="3"/>
          </w:tcPr>
          <w:p w14:paraId="4C2E325D" w14:textId="4D1BE466" w:rsidR="000C3A74" w:rsidRDefault="000C3A74" w:rsidP="001A5D4A">
            <w:pPr>
              <w:pStyle w:val="NotesTable-HeadPlain"/>
            </w:pPr>
            <w:r>
              <w:t>201</w:t>
            </w:r>
            <w:r w:rsidR="00D30442">
              <w:t>3</w:t>
            </w:r>
          </w:p>
        </w:tc>
      </w:tr>
      <w:tr w:rsidR="000C3A74" w14:paraId="02D87B28" w14:textId="77777777" w:rsidTr="00883287">
        <w:trPr>
          <w:trHeight w:val="159"/>
        </w:trPr>
        <w:tc>
          <w:tcPr>
            <w:tcW w:w="812" w:type="pct"/>
          </w:tcPr>
          <w:p w14:paraId="27638D1C" w14:textId="77777777" w:rsidR="000C3A74" w:rsidRDefault="000C3A74" w:rsidP="001A5D4A">
            <w:pPr>
              <w:pStyle w:val="Note-Refs"/>
            </w:pPr>
          </w:p>
        </w:tc>
        <w:tc>
          <w:tcPr>
            <w:tcW w:w="1449" w:type="pct"/>
            <w:gridSpan w:val="4"/>
            <w:vAlign w:val="bottom"/>
          </w:tcPr>
          <w:p w14:paraId="312928B0" w14:textId="77777777" w:rsidR="000C3A74" w:rsidRPr="00E56E44" w:rsidRDefault="000C3A74" w:rsidP="001A5D4A">
            <w:pPr>
              <w:pStyle w:val="NotesTable-ItemPlain"/>
            </w:pPr>
          </w:p>
        </w:tc>
        <w:tc>
          <w:tcPr>
            <w:tcW w:w="656" w:type="pct"/>
            <w:gridSpan w:val="4"/>
            <w:vAlign w:val="bottom"/>
          </w:tcPr>
          <w:p w14:paraId="130AC6A6" w14:textId="77777777" w:rsidR="000C3A74" w:rsidRDefault="000C3A74" w:rsidP="001A5D4A">
            <w:pPr>
              <w:pStyle w:val="NotesTable-ItemPlain"/>
            </w:pPr>
            <w:r>
              <w:t>Description</w:t>
            </w:r>
          </w:p>
        </w:tc>
        <w:tc>
          <w:tcPr>
            <w:tcW w:w="521" w:type="pct"/>
            <w:gridSpan w:val="3"/>
          </w:tcPr>
          <w:p w14:paraId="1F739890" w14:textId="77777777" w:rsidR="000C3A74" w:rsidRDefault="000C3A74" w:rsidP="001A5D4A">
            <w:pPr>
              <w:pStyle w:val="NotesTable-HeadBold"/>
            </w:pPr>
            <w:r>
              <w:t>$’000</w:t>
            </w:r>
          </w:p>
        </w:tc>
        <w:tc>
          <w:tcPr>
            <w:tcW w:w="521" w:type="pct"/>
            <w:gridSpan w:val="4"/>
          </w:tcPr>
          <w:p w14:paraId="30B08004" w14:textId="77777777" w:rsidR="000C3A74" w:rsidRDefault="000C3A74" w:rsidP="001A5D4A">
            <w:pPr>
              <w:pStyle w:val="NotesTable-HeadPlain"/>
            </w:pPr>
            <w:r>
              <w:t>$’000</w:t>
            </w:r>
          </w:p>
        </w:tc>
        <w:tc>
          <w:tcPr>
            <w:tcW w:w="520" w:type="pct"/>
            <w:gridSpan w:val="5"/>
          </w:tcPr>
          <w:p w14:paraId="7E2BD9AA" w14:textId="77777777" w:rsidR="000C3A74" w:rsidRDefault="000C3A74" w:rsidP="001A5D4A">
            <w:pPr>
              <w:pStyle w:val="NotesTable-HeadBold"/>
            </w:pPr>
            <w:r>
              <w:t>$’000</w:t>
            </w:r>
          </w:p>
        </w:tc>
        <w:tc>
          <w:tcPr>
            <w:tcW w:w="521" w:type="pct"/>
            <w:gridSpan w:val="3"/>
          </w:tcPr>
          <w:p w14:paraId="734A4225" w14:textId="77777777" w:rsidR="000C3A74" w:rsidRDefault="000C3A74" w:rsidP="001A5D4A">
            <w:pPr>
              <w:pStyle w:val="NotesTable-HeadPlain"/>
            </w:pPr>
            <w:r>
              <w:t>$’000</w:t>
            </w:r>
          </w:p>
        </w:tc>
      </w:tr>
      <w:tr w:rsidR="00CD254E" w14:paraId="01C81A7C" w14:textId="77777777" w:rsidTr="00883287">
        <w:trPr>
          <w:trHeight w:val="159"/>
        </w:trPr>
        <w:tc>
          <w:tcPr>
            <w:tcW w:w="812" w:type="pct"/>
          </w:tcPr>
          <w:p w14:paraId="45F96ECB" w14:textId="77777777" w:rsidR="00CD254E" w:rsidRDefault="00CD254E" w:rsidP="001A5D4A">
            <w:pPr>
              <w:pStyle w:val="Note-Refs"/>
            </w:pPr>
            <w:r>
              <w:t>AASB12.B6</w:t>
            </w:r>
          </w:p>
        </w:tc>
        <w:tc>
          <w:tcPr>
            <w:tcW w:w="2105" w:type="pct"/>
            <w:gridSpan w:val="8"/>
            <w:vAlign w:val="bottom"/>
          </w:tcPr>
          <w:p w14:paraId="105A6455" w14:textId="19C8046C" w:rsidR="00CD254E" w:rsidRDefault="00CD254E" w:rsidP="001A5D4A">
            <w:pPr>
              <w:pStyle w:val="NotesTable-ItemPlain"/>
            </w:pPr>
            <w:r w:rsidRPr="004B0DC8">
              <w:t>[Specify, classified into relevant classes</w:t>
            </w:r>
            <w:r w:rsidRPr="000C3A74">
              <w:t>]</w:t>
            </w:r>
          </w:p>
        </w:tc>
        <w:tc>
          <w:tcPr>
            <w:tcW w:w="521" w:type="pct"/>
            <w:gridSpan w:val="3"/>
            <w:tcBorders>
              <w:bottom w:val="single" w:sz="4" w:space="0" w:color="auto"/>
            </w:tcBorders>
          </w:tcPr>
          <w:p w14:paraId="76C7CE3E" w14:textId="77777777" w:rsidR="00CD254E" w:rsidRDefault="00CD254E" w:rsidP="001A5D4A">
            <w:pPr>
              <w:pStyle w:val="NotesTable-CellPlain"/>
            </w:pPr>
            <w:r>
              <w:t>–</w:t>
            </w:r>
          </w:p>
        </w:tc>
        <w:tc>
          <w:tcPr>
            <w:tcW w:w="521" w:type="pct"/>
            <w:gridSpan w:val="4"/>
            <w:tcBorders>
              <w:bottom w:val="single" w:sz="4" w:space="0" w:color="auto"/>
            </w:tcBorders>
          </w:tcPr>
          <w:p w14:paraId="6A4017A8" w14:textId="77777777" w:rsidR="00CD254E" w:rsidRDefault="00CD254E" w:rsidP="001A5D4A">
            <w:pPr>
              <w:pStyle w:val="NotesTable-CellPlain"/>
            </w:pPr>
            <w:r>
              <w:t>–</w:t>
            </w:r>
          </w:p>
        </w:tc>
        <w:tc>
          <w:tcPr>
            <w:tcW w:w="520" w:type="pct"/>
            <w:gridSpan w:val="5"/>
            <w:tcBorders>
              <w:bottom w:val="single" w:sz="4" w:space="0" w:color="auto"/>
            </w:tcBorders>
          </w:tcPr>
          <w:p w14:paraId="37D8810B" w14:textId="77777777" w:rsidR="00CD254E" w:rsidRDefault="00CD254E" w:rsidP="001A5D4A">
            <w:pPr>
              <w:pStyle w:val="NotesTable-CellPlain"/>
              <w:rPr>
                <w:bCs/>
              </w:rPr>
            </w:pPr>
            <w:r>
              <w:rPr>
                <w:bCs/>
              </w:rPr>
              <w:t>–</w:t>
            </w:r>
          </w:p>
        </w:tc>
        <w:tc>
          <w:tcPr>
            <w:tcW w:w="521" w:type="pct"/>
            <w:gridSpan w:val="3"/>
            <w:tcBorders>
              <w:bottom w:val="single" w:sz="4" w:space="0" w:color="auto"/>
            </w:tcBorders>
          </w:tcPr>
          <w:p w14:paraId="07DB43E3" w14:textId="77777777" w:rsidR="00CD254E" w:rsidRDefault="00CD254E" w:rsidP="001A5D4A">
            <w:pPr>
              <w:pStyle w:val="NotesTable-CellPlain"/>
            </w:pPr>
            <w:r>
              <w:t>–</w:t>
            </w:r>
          </w:p>
        </w:tc>
      </w:tr>
      <w:tr w:rsidR="000C3A74" w14:paraId="367E3748" w14:textId="77777777" w:rsidTr="00883287">
        <w:trPr>
          <w:trHeight w:val="159"/>
        </w:trPr>
        <w:tc>
          <w:tcPr>
            <w:tcW w:w="812" w:type="pct"/>
          </w:tcPr>
          <w:p w14:paraId="74ACB14E" w14:textId="77777777" w:rsidR="000C3A74" w:rsidRDefault="000C3A74" w:rsidP="001A5D4A">
            <w:pPr>
              <w:pStyle w:val="Note-Refs"/>
            </w:pPr>
          </w:p>
        </w:tc>
        <w:tc>
          <w:tcPr>
            <w:tcW w:w="1449" w:type="pct"/>
            <w:gridSpan w:val="4"/>
            <w:vAlign w:val="bottom"/>
          </w:tcPr>
          <w:p w14:paraId="201AE843" w14:textId="77777777" w:rsidR="000C3A74" w:rsidRDefault="000C3A74" w:rsidP="001A5D4A">
            <w:pPr>
              <w:pStyle w:val="NotesTable-ItemPlain"/>
              <w:rPr>
                <w:b/>
              </w:rPr>
            </w:pPr>
            <w:r>
              <w:t xml:space="preserve">Total </w:t>
            </w:r>
          </w:p>
        </w:tc>
        <w:tc>
          <w:tcPr>
            <w:tcW w:w="656" w:type="pct"/>
            <w:gridSpan w:val="4"/>
            <w:vAlign w:val="bottom"/>
          </w:tcPr>
          <w:p w14:paraId="434D2489" w14:textId="77777777" w:rsidR="000C3A74" w:rsidRDefault="000C3A74" w:rsidP="001A5D4A">
            <w:pPr>
              <w:pStyle w:val="NotesTable-ItemPlain"/>
            </w:pPr>
          </w:p>
        </w:tc>
        <w:tc>
          <w:tcPr>
            <w:tcW w:w="521" w:type="pct"/>
            <w:gridSpan w:val="3"/>
            <w:tcBorders>
              <w:top w:val="single" w:sz="4" w:space="0" w:color="auto"/>
            </w:tcBorders>
          </w:tcPr>
          <w:p w14:paraId="017F7F94" w14:textId="77777777" w:rsidR="000C3A74" w:rsidRDefault="000C3A74" w:rsidP="001A5D4A">
            <w:pPr>
              <w:pStyle w:val="NotesTable-CellPlain"/>
            </w:pPr>
            <w:r>
              <w:t>–</w:t>
            </w:r>
          </w:p>
        </w:tc>
        <w:tc>
          <w:tcPr>
            <w:tcW w:w="521" w:type="pct"/>
            <w:gridSpan w:val="4"/>
            <w:tcBorders>
              <w:top w:val="single" w:sz="4" w:space="0" w:color="auto"/>
            </w:tcBorders>
          </w:tcPr>
          <w:p w14:paraId="134E0225" w14:textId="77777777" w:rsidR="000C3A74" w:rsidRDefault="000C3A74" w:rsidP="001A5D4A">
            <w:pPr>
              <w:pStyle w:val="NotesTable-CellPlain"/>
            </w:pPr>
            <w:r>
              <w:t>–</w:t>
            </w:r>
          </w:p>
        </w:tc>
        <w:tc>
          <w:tcPr>
            <w:tcW w:w="520" w:type="pct"/>
            <w:gridSpan w:val="5"/>
            <w:tcBorders>
              <w:top w:val="single" w:sz="4" w:space="0" w:color="auto"/>
            </w:tcBorders>
          </w:tcPr>
          <w:p w14:paraId="32B513D2" w14:textId="77777777" w:rsidR="000C3A74" w:rsidRDefault="000C3A74" w:rsidP="001A5D4A">
            <w:pPr>
              <w:pStyle w:val="NotesTable-CellPlain"/>
              <w:rPr>
                <w:bCs/>
              </w:rPr>
            </w:pPr>
            <w:r>
              <w:rPr>
                <w:bCs/>
              </w:rPr>
              <w:t>–</w:t>
            </w:r>
          </w:p>
        </w:tc>
        <w:tc>
          <w:tcPr>
            <w:tcW w:w="521" w:type="pct"/>
            <w:gridSpan w:val="3"/>
            <w:tcBorders>
              <w:top w:val="single" w:sz="4" w:space="0" w:color="auto"/>
            </w:tcBorders>
          </w:tcPr>
          <w:p w14:paraId="67C61E1D" w14:textId="77777777" w:rsidR="000C3A74" w:rsidRDefault="000C3A74" w:rsidP="001A5D4A">
            <w:pPr>
              <w:pStyle w:val="NotesTable-CellPlain"/>
            </w:pPr>
            <w:r>
              <w:t>–</w:t>
            </w:r>
          </w:p>
        </w:tc>
      </w:tr>
      <w:tr w:rsidR="000C3A74" w14:paraId="5A22BC2B" w14:textId="77777777" w:rsidTr="00883287">
        <w:trPr>
          <w:gridAfter w:val="1"/>
          <w:wAfter w:w="8" w:type="pct"/>
          <w:trHeight w:val="159"/>
        </w:trPr>
        <w:tc>
          <w:tcPr>
            <w:tcW w:w="812" w:type="pct"/>
          </w:tcPr>
          <w:p w14:paraId="231BA72A" w14:textId="77777777" w:rsidR="000C3A74" w:rsidRDefault="000C3A74" w:rsidP="001A5D4A">
            <w:pPr>
              <w:pStyle w:val="Note-Refs"/>
            </w:pPr>
          </w:p>
        </w:tc>
        <w:tc>
          <w:tcPr>
            <w:tcW w:w="4181" w:type="pct"/>
            <w:gridSpan w:val="22"/>
            <w:vAlign w:val="bottom"/>
          </w:tcPr>
          <w:p w14:paraId="76E8C036" w14:textId="77777777" w:rsidR="000C3A74" w:rsidRDefault="000C3A74" w:rsidP="001A5D4A">
            <w:pPr>
              <w:pStyle w:val="NotesTable-ItemPlain"/>
            </w:pPr>
          </w:p>
        </w:tc>
      </w:tr>
    </w:tbl>
    <w:p w14:paraId="2EBA5694" w14:textId="7727A91F" w:rsidR="0086265D" w:rsidRPr="0086265D" w:rsidRDefault="0086265D" w:rsidP="001A5D4A">
      <w:pPr>
        <w:pStyle w:val="Heading3"/>
        <w:rPr>
          <w:color w:val="2D3E7B" w:themeColor="text2" w:themeShade="BF"/>
        </w:rPr>
      </w:pPr>
      <w:bookmarkStart w:id="409" w:name="_Toc410807677"/>
      <w:bookmarkStart w:id="410" w:name="_Toc410822738"/>
      <w:r w:rsidRPr="0086265D">
        <w:rPr>
          <w:color w:val="2D3E7B" w:themeColor="text2" w:themeShade="BF"/>
        </w:rPr>
        <w:t>Commentary - Interests in unconsolidated structured entities</w:t>
      </w:r>
      <w:bookmarkEnd w:id="409"/>
      <w:bookmarkEnd w:id="410"/>
    </w:p>
    <w:p w14:paraId="5786BF11" w14:textId="77777777" w:rsidR="0086265D" w:rsidRPr="00883287" w:rsidRDefault="0086265D" w:rsidP="00655761">
      <w:pPr>
        <w:pStyle w:val="Heading6"/>
      </w:pPr>
      <w:r w:rsidRPr="00883287">
        <w:t>AASB12.24</w:t>
      </w:r>
    </w:p>
    <w:p w14:paraId="675CC5F1" w14:textId="77777777" w:rsidR="0086265D" w:rsidRPr="00883287" w:rsidRDefault="0086265D" w:rsidP="001A5D4A">
      <w:pPr>
        <w:rPr>
          <w:color w:val="2D3E7B" w:themeColor="text2" w:themeShade="BF"/>
        </w:rPr>
      </w:pPr>
      <w:r w:rsidRPr="00883287">
        <w:rPr>
          <w:color w:val="2D3E7B" w:themeColor="text2" w:themeShade="BF"/>
        </w:rPr>
        <w:t>The HEP should disclose information that enables users to understand the nature and extent of its interests in unconsolidated structured entities and evaluate the nature of and changes in the associated risks.</w:t>
      </w:r>
    </w:p>
    <w:p w14:paraId="2F1B705E" w14:textId="77777777" w:rsidR="0086265D" w:rsidRPr="00883287" w:rsidRDefault="0086265D" w:rsidP="00655761">
      <w:pPr>
        <w:pStyle w:val="Heading6"/>
      </w:pPr>
      <w:r w:rsidRPr="00883287">
        <w:lastRenderedPageBreak/>
        <w:t>AASB12.B12</w:t>
      </w:r>
      <w:r w:rsidRPr="00883287">
        <w:br/>
        <w:t>AASB2013-8.IG3-7</w:t>
      </w:r>
    </w:p>
    <w:p w14:paraId="0FF7234F" w14:textId="77777777" w:rsidR="0086265D" w:rsidRPr="00883287" w:rsidRDefault="0086265D" w:rsidP="001A5D4A">
      <w:pPr>
        <w:rPr>
          <w:color w:val="2D3E7B" w:themeColor="text2" w:themeShade="BF"/>
        </w:rPr>
      </w:pPr>
      <w:r w:rsidRPr="00883287">
        <w:rPr>
          <w:color w:val="2D3E7B" w:themeColor="text2" w:themeShade="BF"/>
        </w:rPr>
        <w:t>AASB12 defines a structured entity as one that has been designed so that voting or similar rights, (including administrative arrangements or statutory provisions for not-for-profits) are not the dominant factor in deciding who controls the entity.</w:t>
      </w:r>
    </w:p>
    <w:p w14:paraId="49BF1C23" w14:textId="77777777" w:rsidR="0086265D" w:rsidRPr="00883287" w:rsidRDefault="0086265D" w:rsidP="00655761">
      <w:pPr>
        <w:pStyle w:val="Heading6"/>
      </w:pPr>
      <w:r w:rsidRPr="00883287">
        <w:t>AASB2013-8.IG3-7</w:t>
      </w:r>
    </w:p>
    <w:p w14:paraId="43A7483A" w14:textId="77777777" w:rsidR="0086265D" w:rsidRPr="00883287" w:rsidRDefault="0086265D" w:rsidP="001A5D4A">
      <w:pPr>
        <w:rPr>
          <w:color w:val="2D3E7B" w:themeColor="text2" w:themeShade="BF"/>
        </w:rPr>
      </w:pPr>
      <w:r w:rsidRPr="00883287">
        <w:rPr>
          <w:color w:val="2D3E7B" w:themeColor="text2" w:themeShade="BF"/>
        </w:rPr>
        <w:t>Appendix E to AASB12 in AASB2013-8 provides further guidance on the definition of a structured entity for not-for-profits. The principle behind structured entities is that they are controlled through less conventional means. As administrative arrangements and statutory provisions are quite common in the not-for-profit sector, they should not be the dominant factor in deciding whether or not the entity is a structured entity. Also the disclosure requirements of some parts of AASB12 such as 12.30 are not applicable to many not-for-profit entities that are established under these arrangements.</w:t>
      </w:r>
    </w:p>
    <w:p w14:paraId="20A5DC50" w14:textId="77777777" w:rsidR="0086265D" w:rsidRPr="00883287" w:rsidRDefault="0086265D" w:rsidP="00655761">
      <w:pPr>
        <w:pStyle w:val="Heading6"/>
      </w:pPr>
      <w:r w:rsidRPr="00883287">
        <w:t>AASB2013-8.IG8</w:t>
      </w:r>
    </w:p>
    <w:p w14:paraId="1601A1C9" w14:textId="77777777" w:rsidR="0086265D" w:rsidRPr="00883287" w:rsidRDefault="0086265D" w:rsidP="001A5D4A">
      <w:pPr>
        <w:rPr>
          <w:color w:val="2D3E7B" w:themeColor="text2" w:themeShade="BF"/>
        </w:rPr>
      </w:pPr>
      <w:r w:rsidRPr="00883287">
        <w:rPr>
          <w:color w:val="2D3E7B" w:themeColor="text2" w:themeShade="BF"/>
        </w:rPr>
        <w:t>An example of an entity that would meet the a structured entity definition would be one for which contractual arrangements are significant for determining control, for example where most activities are predetermined, relevant activities are limited in scope and directed by contractual arrangements. A not-for-profit example of a structured entity is a public private partnership. However the mere fact that the government provides financial assistance to an entity does not make it a structured entity.</w:t>
      </w:r>
    </w:p>
    <w:p w14:paraId="6B1D087D" w14:textId="77777777" w:rsidR="0086265D" w:rsidRPr="00883287" w:rsidRDefault="0086265D" w:rsidP="00655761">
      <w:pPr>
        <w:pStyle w:val="Heading6"/>
      </w:pPr>
      <w:r w:rsidRPr="00883287">
        <w:t>AASB12.B22</w:t>
      </w:r>
    </w:p>
    <w:p w14:paraId="53DB8531" w14:textId="77777777" w:rsidR="0086265D" w:rsidRPr="00883287" w:rsidRDefault="0086265D" w:rsidP="001A5D4A">
      <w:pPr>
        <w:rPr>
          <w:color w:val="2D3E7B" w:themeColor="text2" w:themeShade="BF"/>
        </w:rPr>
      </w:pPr>
      <w:r w:rsidRPr="00883287">
        <w:rPr>
          <w:color w:val="2D3E7B" w:themeColor="text2" w:themeShade="BF"/>
        </w:rPr>
        <w:t xml:space="preserve">Structured entities can have some of the following features: </w:t>
      </w:r>
    </w:p>
    <w:p w14:paraId="148CDC68" w14:textId="1738E9B1" w:rsidR="0086265D" w:rsidRPr="00883287" w:rsidRDefault="0086265D" w:rsidP="009B1E46">
      <w:pPr>
        <w:pStyle w:val="ListParagraph"/>
        <w:numPr>
          <w:ilvl w:val="0"/>
          <w:numId w:val="58"/>
        </w:numPr>
        <w:ind w:left="340" w:hanging="340"/>
        <w:rPr>
          <w:color w:val="2D3E7B" w:themeColor="text2" w:themeShade="BF"/>
        </w:rPr>
      </w:pPr>
      <w:r w:rsidRPr="00883287">
        <w:rPr>
          <w:color w:val="2D3E7B" w:themeColor="text2" w:themeShade="BF"/>
        </w:rPr>
        <w:t>restricted activities;</w:t>
      </w:r>
    </w:p>
    <w:p w14:paraId="6FCFCD43" w14:textId="5050B5E9" w:rsidR="0086265D" w:rsidRPr="00883287" w:rsidRDefault="0086265D" w:rsidP="009B1E46">
      <w:pPr>
        <w:pStyle w:val="ListParagraph"/>
        <w:numPr>
          <w:ilvl w:val="0"/>
          <w:numId w:val="58"/>
        </w:numPr>
        <w:ind w:left="340" w:hanging="340"/>
        <w:rPr>
          <w:color w:val="2D3E7B" w:themeColor="text2" w:themeShade="BF"/>
        </w:rPr>
      </w:pPr>
      <w:r w:rsidRPr="00883287">
        <w:rPr>
          <w:color w:val="2D3E7B" w:themeColor="text2" w:themeShade="BF"/>
        </w:rPr>
        <w:t>narrow well-defined objective (</w:t>
      </w:r>
      <w:proofErr w:type="spellStart"/>
      <w:r w:rsidRPr="00883287">
        <w:rPr>
          <w:color w:val="2D3E7B" w:themeColor="text2" w:themeShade="BF"/>
        </w:rPr>
        <w:t>eg</w:t>
      </w:r>
      <w:proofErr w:type="spellEnd"/>
      <w:r w:rsidRPr="00883287">
        <w:rPr>
          <w:color w:val="2D3E7B" w:themeColor="text2" w:themeShade="BF"/>
        </w:rPr>
        <w:t xml:space="preserve"> tax efficiency, research and development activities, providing capital or funding to an entity or passing on risks/rewards of its assets to investors); </w:t>
      </w:r>
    </w:p>
    <w:p w14:paraId="034416DA" w14:textId="7CFC7B27" w:rsidR="0086265D" w:rsidRPr="00883287" w:rsidRDefault="0086265D" w:rsidP="009B1E46">
      <w:pPr>
        <w:pStyle w:val="ListParagraph"/>
        <w:numPr>
          <w:ilvl w:val="0"/>
          <w:numId w:val="58"/>
        </w:numPr>
        <w:ind w:left="340" w:hanging="340"/>
        <w:rPr>
          <w:color w:val="2D3E7B" w:themeColor="text2" w:themeShade="BF"/>
        </w:rPr>
      </w:pPr>
      <w:r w:rsidRPr="00883287">
        <w:rPr>
          <w:color w:val="2D3E7B" w:themeColor="text2" w:themeShade="BF"/>
        </w:rPr>
        <w:t xml:space="preserve">insufficient equity to finance its operations without subordinated financial support; and </w:t>
      </w:r>
    </w:p>
    <w:p w14:paraId="77CFC70F" w14:textId="4ABFEE78" w:rsidR="0086265D" w:rsidRPr="00883287" w:rsidRDefault="0086265D" w:rsidP="009B1E46">
      <w:pPr>
        <w:pStyle w:val="ListParagraph"/>
        <w:numPr>
          <w:ilvl w:val="0"/>
          <w:numId w:val="58"/>
        </w:numPr>
        <w:ind w:left="340" w:hanging="340"/>
        <w:rPr>
          <w:color w:val="2D3E7B" w:themeColor="text2" w:themeShade="BF"/>
        </w:rPr>
      </w:pPr>
      <w:proofErr w:type="gramStart"/>
      <w:r w:rsidRPr="00883287">
        <w:rPr>
          <w:color w:val="2D3E7B" w:themeColor="text2" w:themeShade="BF"/>
        </w:rPr>
        <w:t>financing</w:t>
      </w:r>
      <w:proofErr w:type="gramEnd"/>
      <w:r w:rsidRPr="00883287">
        <w:rPr>
          <w:color w:val="2D3E7B" w:themeColor="text2" w:themeShade="BF"/>
        </w:rPr>
        <w:t xml:space="preserve"> in the form of multiple contractually linked instruments to investors that create concentrations of credit or other risks (tranches).</w:t>
      </w:r>
    </w:p>
    <w:p w14:paraId="28EA4F75" w14:textId="77777777" w:rsidR="00A151C4" w:rsidRPr="00883287" w:rsidRDefault="00A151C4" w:rsidP="00655761">
      <w:pPr>
        <w:pStyle w:val="Heading6"/>
      </w:pPr>
      <w:r w:rsidRPr="00883287">
        <w:t>AASB12.B7-9</w:t>
      </w:r>
    </w:p>
    <w:p w14:paraId="3FF70A1B" w14:textId="77777777" w:rsidR="00A151C4" w:rsidRPr="00A151C4" w:rsidRDefault="00A151C4" w:rsidP="001A5D4A">
      <w:pPr>
        <w:rPr>
          <w:color w:val="2D3E7B" w:themeColor="text2" w:themeShade="BF"/>
        </w:rPr>
      </w:pPr>
      <w:r w:rsidRPr="00A151C4">
        <w:rPr>
          <w:color w:val="2D3E7B" w:themeColor="text2" w:themeShade="BF"/>
        </w:rPr>
        <w:t>An interest in another entity refers to contractual or non-contractual involvement that exposes the HEP to variability of returns from the performance of the other entity. The HEP should consider the purpose of the other entity, any instruments it holds in the entity and if those instruments transfer risk.</w:t>
      </w:r>
    </w:p>
    <w:p w14:paraId="77650930" w14:textId="2C448DF3" w:rsidR="00A151C4" w:rsidRPr="00883287" w:rsidRDefault="00A151C4" w:rsidP="00655761">
      <w:pPr>
        <w:pStyle w:val="Heading6"/>
      </w:pPr>
      <w:r w:rsidRPr="00883287">
        <w:t>AASB12.25</w:t>
      </w:r>
      <w:proofErr w:type="gramStart"/>
      <w:r w:rsidRPr="00883287">
        <w:t>,B25,B26</w:t>
      </w:r>
      <w:proofErr w:type="gramEnd"/>
    </w:p>
    <w:p w14:paraId="7A1E6255" w14:textId="77777777" w:rsidR="00A151C4" w:rsidRPr="00883287" w:rsidRDefault="00A151C4" w:rsidP="001A5D4A">
      <w:pPr>
        <w:rPr>
          <w:color w:val="2D3E7B" w:themeColor="text2" w:themeShade="BF"/>
        </w:rPr>
      </w:pPr>
      <w:r w:rsidRPr="00883287">
        <w:rPr>
          <w:color w:val="2D3E7B" w:themeColor="text2" w:themeShade="BF"/>
        </w:rPr>
        <w:t>AASB12.29-31 requires the inclusion of information about the entity’s exposure to risk from involvement with unconsolidated structured entities in previous periods, even if the entity no longer has any contractual involvement in the structured entity at reporting date. The HEP should disclose any additional information that is necessary to meet the disclosure requirement of paragraph 24(b). A list of possibly relevant additional information is provided in paragraph B26.</w:t>
      </w:r>
    </w:p>
    <w:p w14:paraId="00DBA5CE" w14:textId="77777777" w:rsidR="00A151C4" w:rsidRPr="00883287" w:rsidRDefault="00A151C4" w:rsidP="00655761">
      <w:pPr>
        <w:pStyle w:val="Heading6"/>
      </w:pPr>
      <w:r w:rsidRPr="00883287">
        <w:t>AASB12.26</w:t>
      </w:r>
    </w:p>
    <w:p w14:paraId="0574735B" w14:textId="77777777" w:rsidR="00A151C4" w:rsidRPr="00883287" w:rsidRDefault="00A151C4" w:rsidP="001A5D4A">
      <w:pPr>
        <w:rPr>
          <w:color w:val="2D3E7B" w:themeColor="text2" w:themeShade="BF"/>
        </w:rPr>
      </w:pPr>
      <w:r w:rsidRPr="00883287">
        <w:rPr>
          <w:color w:val="2D3E7B" w:themeColor="text2" w:themeShade="BF"/>
        </w:rPr>
        <w:t>The HEP should include qualitative and quantitative information about the nature of its interests in unconsolidated structured entities, and the list of information under AASB12.26 is not exhaustive.</w:t>
      </w:r>
    </w:p>
    <w:p w14:paraId="3634CD29" w14:textId="77777777" w:rsidR="00A151C4" w:rsidRPr="00883287" w:rsidRDefault="00A151C4" w:rsidP="00655761">
      <w:pPr>
        <w:pStyle w:val="Heading6"/>
      </w:pPr>
      <w:r w:rsidRPr="00883287">
        <w:t>AASB12.27</w:t>
      </w:r>
      <w:proofErr w:type="gramStart"/>
      <w:r w:rsidRPr="00883287">
        <w:t>,B2</w:t>
      </w:r>
      <w:proofErr w:type="gramEnd"/>
      <w:r w:rsidRPr="00883287">
        <w:t>-6</w:t>
      </w:r>
    </w:p>
    <w:p w14:paraId="15BCB9A1" w14:textId="5F4DBA09" w:rsidR="00A151C4" w:rsidRPr="008710ED" w:rsidRDefault="00A151C4" w:rsidP="001A5D4A">
      <w:pPr>
        <w:rPr>
          <w:color w:val="2D3E7B" w:themeColor="text2" w:themeShade="BF"/>
        </w:rPr>
      </w:pPr>
      <w:r w:rsidRPr="00883287">
        <w:rPr>
          <w:color w:val="2D3E7B" w:themeColor="text2" w:themeShade="BF"/>
        </w:rPr>
        <w:t>For items listed under AASB12</w:t>
      </w:r>
      <w:r w:rsidRPr="00A151C4">
        <w:rPr>
          <w:color w:val="2D3E7B" w:themeColor="text2" w:themeShade="BF"/>
        </w:rPr>
        <w:t>.27, take into consideration paragraphs B2-B6 which deal with aggregation and the balance between useful information and information overload or lack of clarity. Paragraph B6 requires that unconsolidated structured entities that the HEP did not hold an interest in at reporting date should be categorised into classes, for example by nature of activities, industry classification or geography.</w:t>
      </w:r>
    </w:p>
    <w:p w14:paraId="79EE5DDE" w14:textId="72FE14B3" w:rsidR="004C0E41" w:rsidRPr="004C0E41" w:rsidRDefault="004C0E41" w:rsidP="00883287">
      <w:pPr>
        <w:pStyle w:val="Heading2"/>
      </w:pPr>
      <w:bookmarkStart w:id="411" w:name="_Toc410807678"/>
      <w:bookmarkStart w:id="412" w:name="_Toc410822739"/>
      <w:proofErr w:type="gramStart"/>
      <w:r w:rsidRPr="004C0E41">
        <w:lastRenderedPageBreak/>
        <w:t>Note 47.</w:t>
      </w:r>
      <w:proofErr w:type="gramEnd"/>
      <w:r>
        <w:t xml:space="preserve"> </w:t>
      </w:r>
      <w:r w:rsidRPr="004C0E41">
        <w:t>Events occurring after the end of the reporting period</w:t>
      </w:r>
      <w:bookmarkEnd w:id="411"/>
      <w:bookmarkEnd w:id="412"/>
      <w:r w:rsidRPr="004C0E41">
        <w:t xml:space="preserve"> </w:t>
      </w:r>
    </w:p>
    <w:tbl>
      <w:tblPr>
        <w:tblW w:w="5000" w:type="pct"/>
        <w:tblCellMar>
          <w:left w:w="0" w:type="dxa"/>
          <w:right w:w="0" w:type="dxa"/>
        </w:tblCellMar>
        <w:tblLook w:val="0000" w:firstRow="0" w:lastRow="0" w:firstColumn="0" w:lastColumn="0" w:noHBand="0" w:noVBand="0"/>
      </w:tblPr>
      <w:tblGrid>
        <w:gridCol w:w="1664"/>
        <w:gridCol w:w="5822"/>
        <w:gridCol w:w="1387"/>
        <w:gridCol w:w="279"/>
        <w:gridCol w:w="1108"/>
      </w:tblGrid>
      <w:tr w:rsidR="006744F8" w14:paraId="05F756C4" w14:textId="77777777" w:rsidTr="00FD0D94">
        <w:trPr>
          <w:cantSplit/>
          <w:trHeight w:hRule="exact" w:val="227"/>
        </w:trPr>
        <w:tc>
          <w:tcPr>
            <w:tcW w:w="811" w:type="pct"/>
          </w:tcPr>
          <w:p w14:paraId="70720D6E" w14:textId="77777777" w:rsidR="006744F8" w:rsidRDefault="006744F8" w:rsidP="001A5D4A">
            <w:pPr>
              <w:pStyle w:val="Note-Refs"/>
            </w:pPr>
          </w:p>
        </w:tc>
        <w:tc>
          <w:tcPr>
            <w:tcW w:w="4189" w:type="pct"/>
            <w:gridSpan w:val="4"/>
            <w:vAlign w:val="bottom"/>
          </w:tcPr>
          <w:p w14:paraId="627A395C" w14:textId="77777777" w:rsidR="006744F8" w:rsidRDefault="006744F8" w:rsidP="001A5D4A">
            <w:pPr>
              <w:pStyle w:val="Note-TextHeader"/>
              <w:rPr>
                <w:b w:val="0"/>
                <w:lang w:val="en-GB"/>
              </w:rPr>
            </w:pPr>
            <w:r>
              <w:t>(a) Acquisition of [</w:t>
            </w:r>
            <w:r>
              <w:rPr>
                <w:i/>
              </w:rPr>
              <w:t>describe</w:t>
            </w:r>
            <w:r>
              <w:t>]</w:t>
            </w:r>
          </w:p>
        </w:tc>
      </w:tr>
      <w:tr w:rsidR="006744F8" w14:paraId="523908ED" w14:textId="77777777" w:rsidTr="00FD0D94">
        <w:trPr>
          <w:cantSplit/>
          <w:trHeight w:hRule="exact" w:val="454"/>
        </w:trPr>
        <w:tc>
          <w:tcPr>
            <w:tcW w:w="811" w:type="pct"/>
          </w:tcPr>
          <w:p w14:paraId="7CC85698" w14:textId="77777777" w:rsidR="006744F8" w:rsidRDefault="006744F8" w:rsidP="001A5D4A">
            <w:pPr>
              <w:pStyle w:val="Note-Refs"/>
              <w:rPr>
                <w:b/>
              </w:rPr>
            </w:pPr>
            <w:r>
              <w:t>AASB110.21a,b AASB3.59b,B66 AASB3.B64,B67a-d</w:t>
            </w:r>
          </w:p>
        </w:tc>
        <w:tc>
          <w:tcPr>
            <w:tcW w:w="4189" w:type="pct"/>
            <w:gridSpan w:val="4"/>
            <w:vAlign w:val="bottom"/>
          </w:tcPr>
          <w:p w14:paraId="2CAF0AAB" w14:textId="77777777" w:rsidR="006744F8" w:rsidRDefault="006744F8" w:rsidP="001A5D4A">
            <w:pPr>
              <w:pStyle w:val="NotesTable-ItemPlain"/>
              <w:rPr>
                <w:b/>
              </w:rPr>
            </w:pPr>
            <w:r>
              <w:t>[Describe]</w:t>
            </w:r>
          </w:p>
        </w:tc>
      </w:tr>
      <w:tr w:rsidR="006744F8" w14:paraId="31614CAE" w14:textId="77777777" w:rsidTr="00FD0D94">
        <w:trPr>
          <w:cantSplit/>
          <w:trHeight w:hRule="exact" w:val="227"/>
        </w:trPr>
        <w:tc>
          <w:tcPr>
            <w:tcW w:w="811" w:type="pct"/>
          </w:tcPr>
          <w:p w14:paraId="71185EE3" w14:textId="77777777" w:rsidR="006744F8" w:rsidRDefault="006744F8" w:rsidP="001A5D4A">
            <w:pPr>
              <w:pStyle w:val="Note-Refs"/>
            </w:pPr>
          </w:p>
        </w:tc>
        <w:tc>
          <w:tcPr>
            <w:tcW w:w="3649" w:type="pct"/>
            <w:gridSpan w:val="3"/>
            <w:vAlign w:val="bottom"/>
          </w:tcPr>
          <w:p w14:paraId="4EFD0ECB" w14:textId="77777777" w:rsidR="006744F8" w:rsidRDefault="006744F8" w:rsidP="001A5D4A">
            <w:pPr>
              <w:pStyle w:val="NotesTable-ItemPlain"/>
            </w:pPr>
          </w:p>
        </w:tc>
        <w:tc>
          <w:tcPr>
            <w:tcW w:w="540" w:type="pct"/>
          </w:tcPr>
          <w:p w14:paraId="5D2D63FA" w14:textId="77777777" w:rsidR="006744F8" w:rsidRDefault="006744F8" w:rsidP="001A5D4A">
            <w:pPr>
              <w:pStyle w:val="NotesTable-HeadPlain"/>
            </w:pPr>
            <w:r>
              <w:t>$’000</w:t>
            </w:r>
          </w:p>
        </w:tc>
      </w:tr>
      <w:tr w:rsidR="006744F8" w14:paraId="724D2C64" w14:textId="77777777" w:rsidTr="00FD0D94">
        <w:trPr>
          <w:cantSplit/>
          <w:trHeight w:hRule="exact" w:val="227"/>
        </w:trPr>
        <w:tc>
          <w:tcPr>
            <w:tcW w:w="811" w:type="pct"/>
          </w:tcPr>
          <w:p w14:paraId="7CC78766" w14:textId="77777777" w:rsidR="006744F8" w:rsidRDefault="006744F8" w:rsidP="001A5D4A">
            <w:pPr>
              <w:pStyle w:val="Note-Refs"/>
            </w:pPr>
            <w:r>
              <w:t>AASB3.B64f</w:t>
            </w:r>
          </w:p>
        </w:tc>
        <w:tc>
          <w:tcPr>
            <w:tcW w:w="3649" w:type="pct"/>
            <w:gridSpan w:val="3"/>
            <w:vAlign w:val="bottom"/>
          </w:tcPr>
          <w:p w14:paraId="0DA24C3E" w14:textId="77777777" w:rsidR="006744F8" w:rsidRDefault="006744F8" w:rsidP="001A5D4A">
            <w:pPr>
              <w:pStyle w:val="NotesTable-ItemPlain"/>
              <w:rPr>
                <w:b/>
              </w:rPr>
            </w:pPr>
            <w:r>
              <w:t>Purchase consideration</w:t>
            </w:r>
          </w:p>
        </w:tc>
        <w:tc>
          <w:tcPr>
            <w:tcW w:w="540" w:type="pct"/>
          </w:tcPr>
          <w:p w14:paraId="2653A77D" w14:textId="77777777" w:rsidR="006744F8" w:rsidRDefault="006744F8" w:rsidP="001A5D4A">
            <w:pPr>
              <w:pStyle w:val="NotesTable-CellPlain"/>
            </w:pPr>
            <w:r w:rsidRPr="00137D85">
              <w:t>–</w:t>
            </w:r>
          </w:p>
        </w:tc>
      </w:tr>
      <w:tr w:rsidR="006744F8" w14:paraId="4006FC0E" w14:textId="77777777" w:rsidTr="00FD0D94">
        <w:trPr>
          <w:cantSplit/>
          <w:trHeight w:hRule="exact" w:val="227"/>
        </w:trPr>
        <w:tc>
          <w:tcPr>
            <w:tcW w:w="811" w:type="pct"/>
          </w:tcPr>
          <w:p w14:paraId="15ACEB32" w14:textId="77777777" w:rsidR="006744F8" w:rsidRDefault="006744F8" w:rsidP="001A5D4A">
            <w:pPr>
              <w:pStyle w:val="Note-Refs"/>
            </w:pPr>
          </w:p>
        </w:tc>
        <w:tc>
          <w:tcPr>
            <w:tcW w:w="3649" w:type="pct"/>
            <w:gridSpan w:val="3"/>
            <w:vAlign w:val="bottom"/>
          </w:tcPr>
          <w:p w14:paraId="25C7A22D" w14:textId="77777777" w:rsidR="006744F8" w:rsidRPr="00813AD3" w:rsidRDefault="006744F8" w:rsidP="001A5D4A">
            <w:pPr>
              <w:pStyle w:val="NotesTable-ItemPlain"/>
              <w:rPr>
                <w:b/>
              </w:rPr>
            </w:pPr>
            <w:r w:rsidRPr="00E56E44">
              <w:t>[Spec</w:t>
            </w:r>
            <w:r w:rsidRPr="00813AD3">
              <w:t>ify]</w:t>
            </w:r>
          </w:p>
        </w:tc>
        <w:tc>
          <w:tcPr>
            <w:tcW w:w="540" w:type="pct"/>
          </w:tcPr>
          <w:p w14:paraId="76A556FC" w14:textId="77777777" w:rsidR="006744F8" w:rsidRDefault="006744F8" w:rsidP="001A5D4A">
            <w:pPr>
              <w:pStyle w:val="NotesTable-CellPlain"/>
            </w:pPr>
            <w:r w:rsidRPr="00137D85">
              <w:t>–</w:t>
            </w:r>
          </w:p>
        </w:tc>
      </w:tr>
      <w:tr w:rsidR="006744F8" w14:paraId="5B4D5C9B" w14:textId="77777777" w:rsidTr="00FD0D94">
        <w:trPr>
          <w:cantSplit/>
          <w:trHeight w:hRule="exact" w:val="227"/>
        </w:trPr>
        <w:tc>
          <w:tcPr>
            <w:tcW w:w="811" w:type="pct"/>
          </w:tcPr>
          <w:p w14:paraId="67007E53" w14:textId="77777777" w:rsidR="006744F8" w:rsidRDefault="006744F8" w:rsidP="001A5D4A">
            <w:pPr>
              <w:pStyle w:val="Note-Refs"/>
            </w:pPr>
          </w:p>
        </w:tc>
        <w:tc>
          <w:tcPr>
            <w:tcW w:w="3649" w:type="pct"/>
            <w:gridSpan w:val="3"/>
            <w:vAlign w:val="bottom"/>
          </w:tcPr>
          <w:p w14:paraId="18FB1CCF" w14:textId="77777777" w:rsidR="006744F8" w:rsidRDefault="006744F8" w:rsidP="001A5D4A">
            <w:pPr>
              <w:pStyle w:val="NotesTable-ItemPlain"/>
              <w:rPr>
                <w:b/>
              </w:rPr>
            </w:pPr>
            <w:r>
              <w:t>Total purchase consideration</w:t>
            </w:r>
          </w:p>
        </w:tc>
        <w:tc>
          <w:tcPr>
            <w:tcW w:w="540" w:type="pct"/>
            <w:tcBorders>
              <w:top w:val="single" w:sz="4" w:space="0" w:color="000000"/>
            </w:tcBorders>
          </w:tcPr>
          <w:p w14:paraId="748CDED4" w14:textId="77777777" w:rsidR="006744F8" w:rsidRDefault="006744F8" w:rsidP="001A5D4A">
            <w:pPr>
              <w:pStyle w:val="NotesTable-CellPlain"/>
            </w:pPr>
            <w:r w:rsidRPr="00137D85">
              <w:t>–</w:t>
            </w:r>
          </w:p>
        </w:tc>
      </w:tr>
      <w:tr w:rsidR="006744F8" w14:paraId="07285277" w14:textId="77777777" w:rsidTr="00FD0D94">
        <w:trPr>
          <w:cantSplit/>
          <w:trHeight w:hRule="exact" w:val="227"/>
        </w:trPr>
        <w:tc>
          <w:tcPr>
            <w:tcW w:w="811" w:type="pct"/>
          </w:tcPr>
          <w:p w14:paraId="41E68E3C" w14:textId="77777777" w:rsidR="006744F8" w:rsidRDefault="006744F8" w:rsidP="001A5D4A">
            <w:pPr>
              <w:pStyle w:val="Note-Refs"/>
            </w:pPr>
          </w:p>
        </w:tc>
        <w:tc>
          <w:tcPr>
            <w:tcW w:w="3649" w:type="pct"/>
            <w:gridSpan w:val="3"/>
            <w:vAlign w:val="bottom"/>
          </w:tcPr>
          <w:p w14:paraId="44EB6B2A" w14:textId="77777777" w:rsidR="006744F8" w:rsidRDefault="006744F8" w:rsidP="001A5D4A">
            <w:pPr>
              <w:pStyle w:val="NotesTable-ItemPlain"/>
              <w:rPr>
                <w:b/>
              </w:rPr>
            </w:pPr>
            <w:r>
              <w:t>Fair value of net identifiable assets acquired</w:t>
            </w:r>
          </w:p>
        </w:tc>
        <w:tc>
          <w:tcPr>
            <w:tcW w:w="540" w:type="pct"/>
            <w:tcBorders>
              <w:bottom w:val="single" w:sz="4" w:space="0" w:color="000000"/>
            </w:tcBorders>
          </w:tcPr>
          <w:p w14:paraId="167AFC28" w14:textId="77777777" w:rsidR="006744F8" w:rsidRDefault="006744F8" w:rsidP="001A5D4A">
            <w:pPr>
              <w:pStyle w:val="NotesTable-CellPlain"/>
            </w:pPr>
            <w:r w:rsidRPr="00137D85">
              <w:t>–</w:t>
            </w:r>
          </w:p>
        </w:tc>
      </w:tr>
      <w:tr w:rsidR="006744F8" w14:paraId="2BE76811" w14:textId="77777777" w:rsidTr="00FD0D94">
        <w:trPr>
          <w:cantSplit/>
          <w:trHeight w:hRule="exact" w:val="227"/>
        </w:trPr>
        <w:tc>
          <w:tcPr>
            <w:tcW w:w="811" w:type="pct"/>
          </w:tcPr>
          <w:p w14:paraId="30F06118" w14:textId="77777777" w:rsidR="006744F8" w:rsidRDefault="006744F8" w:rsidP="001A5D4A">
            <w:pPr>
              <w:pStyle w:val="Note-Refs"/>
            </w:pPr>
          </w:p>
        </w:tc>
        <w:tc>
          <w:tcPr>
            <w:tcW w:w="3649" w:type="pct"/>
            <w:gridSpan w:val="3"/>
            <w:vAlign w:val="bottom"/>
          </w:tcPr>
          <w:p w14:paraId="10C9A299" w14:textId="77777777" w:rsidR="006744F8" w:rsidRDefault="006744F8" w:rsidP="001A5D4A">
            <w:pPr>
              <w:pStyle w:val="NotesTable-ItemPlain"/>
              <w:rPr>
                <w:b/>
              </w:rPr>
            </w:pPr>
            <w:r>
              <w:t>Goodwill</w:t>
            </w:r>
          </w:p>
        </w:tc>
        <w:tc>
          <w:tcPr>
            <w:tcW w:w="540" w:type="pct"/>
            <w:tcBorders>
              <w:top w:val="single" w:sz="4" w:space="0" w:color="000000"/>
            </w:tcBorders>
          </w:tcPr>
          <w:p w14:paraId="226F88FF" w14:textId="77777777" w:rsidR="006744F8" w:rsidRDefault="006744F8" w:rsidP="001A5D4A">
            <w:pPr>
              <w:pStyle w:val="NotesTable-CellPlain"/>
            </w:pPr>
            <w:r w:rsidRPr="00137D85">
              <w:t>–</w:t>
            </w:r>
          </w:p>
        </w:tc>
      </w:tr>
      <w:tr w:rsidR="006744F8" w14:paraId="3A174994" w14:textId="77777777" w:rsidTr="00FD0D94">
        <w:trPr>
          <w:cantSplit/>
          <w:trHeight w:hRule="exact" w:val="227"/>
        </w:trPr>
        <w:tc>
          <w:tcPr>
            <w:tcW w:w="811" w:type="pct"/>
          </w:tcPr>
          <w:p w14:paraId="67902E50" w14:textId="77777777" w:rsidR="006744F8" w:rsidRDefault="006744F8" w:rsidP="001A5D4A">
            <w:pPr>
              <w:pStyle w:val="Note-Refs"/>
            </w:pPr>
          </w:p>
        </w:tc>
        <w:tc>
          <w:tcPr>
            <w:tcW w:w="4189" w:type="pct"/>
            <w:gridSpan w:val="4"/>
            <w:vAlign w:val="bottom"/>
          </w:tcPr>
          <w:p w14:paraId="214DA09C" w14:textId="77777777" w:rsidR="006744F8" w:rsidRDefault="006744F8" w:rsidP="001A5D4A">
            <w:pPr>
              <w:pStyle w:val="NotesTable-ItemPlain"/>
            </w:pPr>
          </w:p>
        </w:tc>
      </w:tr>
      <w:tr w:rsidR="006744F8" w:rsidRPr="00E56E44" w14:paraId="0BF28A56" w14:textId="77777777" w:rsidTr="00FD0D94">
        <w:trPr>
          <w:cantSplit/>
          <w:trHeight w:hRule="exact" w:val="227"/>
        </w:trPr>
        <w:tc>
          <w:tcPr>
            <w:tcW w:w="811" w:type="pct"/>
          </w:tcPr>
          <w:p w14:paraId="2A6E827E" w14:textId="77777777" w:rsidR="006744F8" w:rsidRDefault="006744F8" w:rsidP="001A5D4A">
            <w:pPr>
              <w:pStyle w:val="Note-Refs"/>
              <w:rPr>
                <w:b/>
              </w:rPr>
            </w:pPr>
            <w:r>
              <w:t>AASB3.B64e</w:t>
            </w:r>
          </w:p>
        </w:tc>
        <w:tc>
          <w:tcPr>
            <w:tcW w:w="4189" w:type="pct"/>
            <w:gridSpan w:val="4"/>
            <w:vAlign w:val="bottom"/>
          </w:tcPr>
          <w:p w14:paraId="6C90D970" w14:textId="25648345" w:rsidR="006744F8" w:rsidRPr="00E56E44" w:rsidRDefault="006744F8" w:rsidP="001A5D4A">
            <w:pPr>
              <w:pStyle w:val="NotesTable-ItemPlain"/>
              <w:rPr>
                <w:b/>
              </w:rPr>
            </w:pPr>
            <w:r w:rsidRPr="00E56E44">
              <w:t>The goodwill is attributable to [</w:t>
            </w:r>
            <w:r w:rsidRPr="00813AD3">
              <w:t>name</w:t>
            </w:r>
            <w:r w:rsidRPr="00E56E44">
              <w:t>]’s strong position and profitability in trading in [</w:t>
            </w:r>
            <w:r w:rsidRPr="00813AD3">
              <w:t xml:space="preserve">name </w:t>
            </w:r>
            <w:r w:rsidR="00E94EBE" w:rsidRPr="00813AD3">
              <w:t>princip</w:t>
            </w:r>
            <w:r w:rsidR="00E94EBE">
              <w:t xml:space="preserve">al </w:t>
            </w:r>
            <w:r w:rsidRPr="00813AD3">
              <w:t>activity</w:t>
            </w:r>
            <w:r w:rsidRPr="00E56E44">
              <w:t>]</w:t>
            </w:r>
          </w:p>
        </w:tc>
      </w:tr>
      <w:tr w:rsidR="006744F8" w14:paraId="4B725E88" w14:textId="77777777" w:rsidTr="00FD0D94">
        <w:trPr>
          <w:cantSplit/>
          <w:trHeight w:hRule="exact" w:val="227"/>
        </w:trPr>
        <w:tc>
          <w:tcPr>
            <w:tcW w:w="811" w:type="pct"/>
          </w:tcPr>
          <w:p w14:paraId="72B1C740" w14:textId="77777777" w:rsidR="006744F8" w:rsidRDefault="006744F8" w:rsidP="001A5D4A">
            <w:pPr>
              <w:pStyle w:val="Note-Refs"/>
            </w:pPr>
          </w:p>
          <w:p w14:paraId="2935E36E" w14:textId="77777777" w:rsidR="006744F8" w:rsidRDefault="006744F8" w:rsidP="001A5D4A">
            <w:pPr>
              <w:pStyle w:val="Note-Refs"/>
            </w:pPr>
          </w:p>
        </w:tc>
        <w:tc>
          <w:tcPr>
            <w:tcW w:w="4189" w:type="pct"/>
            <w:gridSpan w:val="4"/>
            <w:vAlign w:val="bottom"/>
          </w:tcPr>
          <w:p w14:paraId="1362AC22" w14:textId="77777777" w:rsidR="006744F8" w:rsidRDefault="006744F8" w:rsidP="001A5D4A">
            <w:pPr>
              <w:pStyle w:val="Note-TextHeader"/>
            </w:pPr>
            <w:r>
              <w:t>(b) Assets and liabilities acquired</w:t>
            </w:r>
          </w:p>
        </w:tc>
      </w:tr>
      <w:tr w:rsidR="006744F8" w14:paraId="2295302E" w14:textId="77777777" w:rsidTr="00FD0D94">
        <w:trPr>
          <w:cantSplit/>
          <w:trHeight w:hRule="exact" w:val="227"/>
        </w:trPr>
        <w:tc>
          <w:tcPr>
            <w:tcW w:w="811" w:type="pct"/>
          </w:tcPr>
          <w:p w14:paraId="7DA15A80" w14:textId="77777777" w:rsidR="006744F8" w:rsidRDefault="006744F8" w:rsidP="001A5D4A">
            <w:pPr>
              <w:pStyle w:val="Note-Refs"/>
              <w:rPr>
                <w:b/>
              </w:rPr>
            </w:pPr>
            <w:r>
              <w:t>AASB3.B64i</w:t>
            </w:r>
          </w:p>
        </w:tc>
        <w:tc>
          <w:tcPr>
            <w:tcW w:w="4189" w:type="pct"/>
            <w:gridSpan w:val="4"/>
            <w:vAlign w:val="bottom"/>
          </w:tcPr>
          <w:p w14:paraId="3219CB33" w14:textId="77777777" w:rsidR="006744F8" w:rsidRDefault="006744F8" w:rsidP="001A5D4A">
            <w:pPr>
              <w:pStyle w:val="NotesTable-ItemPlain"/>
              <w:rPr>
                <w:b/>
              </w:rPr>
            </w:pPr>
            <w:r>
              <w:t>The assets and liabilities arising from the acquisition are as follows:</w:t>
            </w:r>
          </w:p>
        </w:tc>
      </w:tr>
      <w:tr w:rsidR="006744F8" w14:paraId="482CCD7F" w14:textId="77777777" w:rsidTr="00FD0D94">
        <w:trPr>
          <w:cantSplit/>
          <w:trHeight w:hRule="exact" w:val="227"/>
        </w:trPr>
        <w:tc>
          <w:tcPr>
            <w:tcW w:w="811" w:type="pct"/>
          </w:tcPr>
          <w:p w14:paraId="50662795" w14:textId="77777777" w:rsidR="006744F8" w:rsidRDefault="006744F8" w:rsidP="001A5D4A">
            <w:pPr>
              <w:pStyle w:val="Note-Refs"/>
            </w:pPr>
          </w:p>
        </w:tc>
        <w:tc>
          <w:tcPr>
            <w:tcW w:w="2837" w:type="pct"/>
            <w:vAlign w:val="bottom"/>
          </w:tcPr>
          <w:p w14:paraId="7A0954EB" w14:textId="77777777" w:rsidR="006744F8" w:rsidRDefault="006744F8" w:rsidP="001A5D4A">
            <w:pPr>
              <w:pStyle w:val="NotesTable-ItemPlain"/>
            </w:pPr>
          </w:p>
        </w:tc>
        <w:tc>
          <w:tcPr>
            <w:tcW w:w="676" w:type="pct"/>
          </w:tcPr>
          <w:p w14:paraId="530BBAC0" w14:textId="77777777" w:rsidR="006744F8" w:rsidRDefault="006744F8" w:rsidP="001A5D4A">
            <w:pPr>
              <w:pStyle w:val="NotesTable-HeadPlain"/>
            </w:pPr>
            <w:r>
              <w:t>Fair value</w:t>
            </w:r>
          </w:p>
        </w:tc>
        <w:tc>
          <w:tcPr>
            <w:tcW w:w="676" w:type="pct"/>
            <w:gridSpan w:val="2"/>
          </w:tcPr>
          <w:p w14:paraId="04082980" w14:textId="77777777" w:rsidR="006744F8" w:rsidRDefault="006744F8" w:rsidP="001A5D4A">
            <w:pPr>
              <w:pStyle w:val="NotesTable-HeadPlain"/>
            </w:pPr>
            <w:r>
              <w:t>Acquiree’s carrying amount</w:t>
            </w:r>
          </w:p>
        </w:tc>
      </w:tr>
      <w:tr w:rsidR="006744F8" w14:paraId="639C7F4F" w14:textId="77777777" w:rsidTr="00FD0D94">
        <w:trPr>
          <w:cantSplit/>
          <w:trHeight w:hRule="exact" w:val="227"/>
        </w:trPr>
        <w:tc>
          <w:tcPr>
            <w:tcW w:w="811" w:type="pct"/>
          </w:tcPr>
          <w:p w14:paraId="79D44B3D" w14:textId="77777777" w:rsidR="006744F8" w:rsidRDefault="006744F8" w:rsidP="001A5D4A">
            <w:pPr>
              <w:pStyle w:val="Note-Refs"/>
            </w:pPr>
          </w:p>
        </w:tc>
        <w:tc>
          <w:tcPr>
            <w:tcW w:w="2837" w:type="pct"/>
            <w:vAlign w:val="bottom"/>
          </w:tcPr>
          <w:p w14:paraId="605755A6" w14:textId="77777777" w:rsidR="006744F8" w:rsidRDefault="006744F8" w:rsidP="001A5D4A">
            <w:pPr>
              <w:pStyle w:val="NotesTable-ItemPlain"/>
            </w:pPr>
          </w:p>
        </w:tc>
        <w:tc>
          <w:tcPr>
            <w:tcW w:w="676" w:type="pct"/>
          </w:tcPr>
          <w:p w14:paraId="117DB020" w14:textId="77777777" w:rsidR="006744F8" w:rsidRDefault="006744F8" w:rsidP="001A5D4A">
            <w:pPr>
              <w:pStyle w:val="NotesTable-HeadPlain"/>
            </w:pPr>
            <w:r>
              <w:t>$’000</w:t>
            </w:r>
          </w:p>
        </w:tc>
        <w:tc>
          <w:tcPr>
            <w:tcW w:w="676" w:type="pct"/>
            <w:gridSpan w:val="2"/>
          </w:tcPr>
          <w:p w14:paraId="1DDA87E8" w14:textId="77777777" w:rsidR="006744F8" w:rsidRDefault="006744F8" w:rsidP="001A5D4A">
            <w:pPr>
              <w:pStyle w:val="NotesTable-HeadPlain"/>
            </w:pPr>
            <w:r>
              <w:t>$’000</w:t>
            </w:r>
          </w:p>
        </w:tc>
      </w:tr>
      <w:tr w:rsidR="006744F8" w14:paraId="24C374E9" w14:textId="77777777" w:rsidTr="00FD0D94">
        <w:trPr>
          <w:cantSplit/>
          <w:trHeight w:hRule="exact" w:val="227"/>
        </w:trPr>
        <w:tc>
          <w:tcPr>
            <w:tcW w:w="811" w:type="pct"/>
          </w:tcPr>
          <w:p w14:paraId="05CCE41A" w14:textId="77777777" w:rsidR="006744F8" w:rsidRDefault="006744F8" w:rsidP="001A5D4A">
            <w:pPr>
              <w:pStyle w:val="Note-Refs"/>
            </w:pPr>
          </w:p>
        </w:tc>
        <w:tc>
          <w:tcPr>
            <w:tcW w:w="2837" w:type="pct"/>
            <w:vAlign w:val="bottom"/>
          </w:tcPr>
          <w:p w14:paraId="20576A3A" w14:textId="77777777" w:rsidR="006744F8" w:rsidRPr="00813AD3" w:rsidRDefault="006744F8" w:rsidP="001A5D4A">
            <w:pPr>
              <w:pStyle w:val="NotesTable-ItemPlain"/>
              <w:rPr>
                <w:b/>
              </w:rPr>
            </w:pPr>
            <w:r w:rsidRPr="00813AD3">
              <w:t>[List assets &amp; liabilities]</w:t>
            </w:r>
          </w:p>
        </w:tc>
        <w:tc>
          <w:tcPr>
            <w:tcW w:w="676" w:type="pct"/>
            <w:tcBorders>
              <w:bottom w:val="single" w:sz="4" w:space="0" w:color="000000"/>
            </w:tcBorders>
          </w:tcPr>
          <w:p w14:paraId="5492F010" w14:textId="77777777" w:rsidR="006744F8" w:rsidRDefault="006744F8" w:rsidP="001A5D4A">
            <w:pPr>
              <w:pStyle w:val="NotesTable-CellPlain"/>
            </w:pPr>
            <w:r w:rsidRPr="00DE33FA">
              <w:t>–</w:t>
            </w:r>
          </w:p>
        </w:tc>
        <w:tc>
          <w:tcPr>
            <w:tcW w:w="676" w:type="pct"/>
            <w:gridSpan w:val="2"/>
            <w:tcBorders>
              <w:bottom w:val="single" w:sz="4" w:space="0" w:color="000000"/>
            </w:tcBorders>
          </w:tcPr>
          <w:p w14:paraId="24106A1C" w14:textId="77777777" w:rsidR="006744F8" w:rsidRDefault="006744F8" w:rsidP="001A5D4A">
            <w:pPr>
              <w:pStyle w:val="NotesTable-CellPlain"/>
            </w:pPr>
            <w:r w:rsidRPr="00DE33FA">
              <w:t>–</w:t>
            </w:r>
          </w:p>
        </w:tc>
      </w:tr>
      <w:tr w:rsidR="006744F8" w14:paraId="0DE91421" w14:textId="77777777" w:rsidTr="00FD0D94">
        <w:trPr>
          <w:cantSplit/>
          <w:trHeight w:hRule="exact" w:val="227"/>
        </w:trPr>
        <w:tc>
          <w:tcPr>
            <w:tcW w:w="811" w:type="pct"/>
          </w:tcPr>
          <w:p w14:paraId="7968E615" w14:textId="77777777" w:rsidR="006744F8" w:rsidRDefault="006744F8" w:rsidP="001A5D4A">
            <w:pPr>
              <w:pStyle w:val="Note-Refs"/>
            </w:pPr>
          </w:p>
        </w:tc>
        <w:tc>
          <w:tcPr>
            <w:tcW w:w="2837" w:type="pct"/>
            <w:vAlign w:val="bottom"/>
          </w:tcPr>
          <w:p w14:paraId="484FB2DB" w14:textId="1C0CB9BF" w:rsidR="006744F8" w:rsidRDefault="00E94EBE" w:rsidP="001A5D4A">
            <w:pPr>
              <w:pStyle w:val="NotesTable-ItemPlain"/>
            </w:pPr>
            <w:r>
              <w:t>Net identifiable assets</w:t>
            </w:r>
            <w:r w:rsidR="006744F8">
              <w:t xml:space="preserve"> acquired</w:t>
            </w:r>
          </w:p>
        </w:tc>
        <w:tc>
          <w:tcPr>
            <w:tcW w:w="676" w:type="pct"/>
            <w:tcBorders>
              <w:top w:val="single" w:sz="4" w:space="0" w:color="000000"/>
            </w:tcBorders>
          </w:tcPr>
          <w:p w14:paraId="348D65BC" w14:textId="77777777" w:rsidR="006744F8" w:rsidRDefault="006744F8" w:rsidP="001A5D4A">
            <w:pPr>
              <w:pStyle w:val="NotesTable-CellPlain"/>
            </w:pPr>
            <w:r w:rsidRPr="00DE33FA">
              <w:t>–</w:t>
            </w:r>
          </w:p>
        </w:tc>
        <w:tc>
          <w:tcPr>
            <w:tcW w:w="676" w:type="pct"/>
            <w:gridSpan w:val="2"/>
            <w:tcBorders>
              <w:top w:val="single" w:sz="4" w:space="0" w:color="000000"/>
            </w:tcBorders>
          </w:tcPr>
          <w:p w14:paraId="2F849F89" w14:textId="77777777" w:rsidR="006744F8" w:rsidRDefault="006744F8" w:rsidP="001A5D4A">
            <w:pPr>
              <w:pStyle w:val="NotesTable-CellPlain"/>
            </w:pPr>
            <w:r w:rsidRPr="00DE33FA">
              <w:t>–</w:t>
            </w:r>
          </w:p>
        </w:tc>
      </w:tr>
      <w:tr w:rsidR="006744F8" w14:paraId="6753E609" w14:textId="77777777" w:rsidTr="00FD0D94">
        <w:trPr>
          <w:cantSplit/>
          <w:trHeight w:hRule="exact" w:val="227"/>
        </w:trPr>
        <w:tc>
          <w:tcPr>
            <w:tcW w:w="811" w:type="pct"/>
          </w:tcPr>
          <w:p w14:paraId="41B5E2CC" w14:textId="77777777" w:rsidR="006744F8" w:rsidRDefault="006744F8" w:rsidP="001A5D4A">
            <w:pPr>
              <w:pStyle w:val="Note-Refs"/>
            </w:pPr>
          </w:p>
        </w:tc>
        <w:tc>
          <w:tcPr>
            <w:tcW w:w="4189" w:type="pct"/>
            <w:gridSpan w:val="4"/>
            <w:vAlign w:val="bottom"/>
          </w:tcPr>
          <w:p w14:paraId="79CA7769" w14:textId="77777777" w:rsidR="006744F8" w:rsidRDefault="006744F8" w:rsidP="001A5D4A">
            <w:pPr>
              <w:pStyle w:val="NotesTable-ItemPlain"/>
            </w:pPr>
          </w:p>
        </w:tc>
      </w:tr>
      <w:tr w:rsidR="006744F8" w14:paraId="048D3981" w14:textId="77777777" w:rsidTr="00FD0D94">
        <w:trPr>
          <w:cantSplit/>
          <w:trHeight w:hRule="exact" w:val="454"/>
        </w:trPr>
        <w:tc>
          <w:tcPr>
            <w:tcW w:w="811" w:type="pct"/>
          </w:tcPr>
          <w:p w14:paraId="18ACE0E2" w14:textId="77777777" w:rsidR="006744F8" w:rsidRDefault="006744F8" w:rsidP="001A5D4A">
            <w:pPr>
              <w:pStyle w:val="Note-Refs"/>
            </w:pPr>
          </w:p>
        </w:tc>
        <w:tc>
          <w:tcPr>
            <w:tcW w:w="4189" w:type="pct"/>
            <w:gridSpan w:val="4"/>
            <w:vAlign w:val="bottom"/>
          </w:tcPr>
          <w:p w14:paraId="3B3BEA03" w14:textId="2F3E9966" w:rsidR="006744F8" w:rsidRDefault="006744F8" w:rsidP="001A5D4A">
            <w:pPr>
              <w:pStyle w:val="NotesTable-ItemPlain"/>
              <w:rPr>
                <w:b/>
              </w:rPr>
            </w:pPr>
            <w:r>
              <w:t xml:space="preserve">The financial effects of the above transaction have not been brought to account at 31 December 2014. The net results and assets and liabilities of the acquired entity will be consolidated from </w:t>
            </w:r>
            <w:proofErr w:type="spellStart"/>
            <w:r>
              <w:t>XXXX</w:t>
            </w:r>
            <w:proofErr w:type="spellEnd"/>
            <w:r>
              <w:t>.</w:t>
            </w:r>
          </w:p>
        </w:tc>
      </w:tr>
    </w:tbl>
    <w:p w14:paraId="274C81B8" w14:textId="2AE63608" w:rsidR="00A151C4" w:rsidRPr="00A151C4" w:rsidRDefault="00A151C4" w:rsidP="001A5D4A">
      <w:pPr>
        <w:pStyle w:val="Heading3"/>
        <w:rPr>
          <w:color w:val="2D3E7B" w:themeColor="text2" w:themeShade="BF"/>
        </w:rPr>
      </w:pPr>
      <w:bookmarkStart w:id="413" w:name="_Toc410807679"/>
      <w:bookmarkStart w:id="414" w:name="_Toc410822740"/>
      <w:r w:rsidRPr="00A151C4">
        <w:rPr>
          <w:color w:val="2D3E7B" w:themeColor="text2" w:themeShade="BF"/>
        </w:rPr>
        <w:t>Commentary - Events occurring after the end of the reporting period</w:t>
      </w:r>
      <w:bookmarkEnd w:id="413"/>
      <w:bookmarkEnd w:id="414"/>
    </w:p>
    <w:p w14:paraId="77F39388" w14:textId="77777777" w:rsidR="00A151C4" w:rsidRPr="00883287" w:rsidRDefault="00A151C4"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Non-adjusting events after reporting date</w:t>
      </w:r>
    </w:p>
    <w:p w14:paraId="566FC6CF" w14:textId="77777777" w:rsidR="00A151C4" w:rsidRPr="00883287" w:rsidRDefault="00A151C4" w:rsidP="00655761">
      <w:pPr>
        <w:pStyle w:val="Heading6"/>
      </w:pPr>
      <w:r w:rsidRPr="00883287">
        <w:t>AASB110.21b</w:t>
      </w:r>
    </w:p>
    <w:p w14:paraId="192ADD86" w14:textId="77777777" w:rsidR="00A151C4" w:rsidRPr="00883287" w:rsidRDefault="00A151C4" w:rsidP="001A5D4A">
      <w:pPr>
        <w:rPr>
          <w:color w:val="2D3E7B" w:themeColor="text2" w:themeShade="BF"/>
        </w:rPr>
      </w:pPr>
      <w:r w:rsidRPr="00883287">
        <w:rPr>
          <w:color w:val="2D3E7B" w:themeColor="text2" w:themeShade="BF"/>
        </w:rPr>
        <w:t>The above disclosure relates to an event that is indicative of conditions that arose after the reporting date (</w:t>
      </w:r>
      <w:proofErr w:type="spellStart"/>
      <w:r w:rsidRPr="00883287">
        <w:rPr>
          <w:color w:val="2D3E7B" w:themeColor="text2" w:themeShade="BF"/>
        </w:rPr>
        <w:t>ie</w:t>
      </w:r>
      <w:proofErr w:type="spellEnd"/>
      <w:r w:rsidRPr="00883287">
        <w:rPr>
          <w:color w:val="2D3E7B" w:themeColor="text2" w:themeShade="BF"/>
        </w:rPr>
        <w:t xml:space="preserve"> a non-adjusting event). If the financial effect of the event cannot be estimated, a statement to that effect shall be made.</w:t>
      </w:r>
    </w:p>
    <w:p w14:paraId="2D3DCF0B" w14:textId="77777777" w:rsidR="00A151C4" w:rsidRPr="00883287" w:rsidRDefault="00A151C4"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Updating disclosure about conditions at the reporting date</w:t>
      </w:r>
    </w:p>
    <w:p w14:paraId="373C9EAE" w14:textId="77777777" w:rsidR="00A151C4" w:rsidRPr="00883287" w:rsidRDefault="00A151C4" w:rsidP="00655761">
      <w:pPr>
        <w:pStyle w:val="Heading6"/>
      </w:pPr>
      <w:r w:rsidRPr="00883287">
        <w:t>AASB110.19</w:t>
      </w:r>
      <w:proofErr w:type="gramStart"/>
      <w:r w:rsidRPr="00883287">
        <w:t>,20</w:t>
      </w:r>
      <w:proofErr w:type="gramEnd"/>
    </w:p>
    <w:p w14:paraId="2BA05034" w14:textId="77777777" w:rsidR="00A151C4" w:rsidRPr="00883287" w:rsidRDefault="00A151C4" w:rsidP="001A5D4A">
      <w:pPr>
        <w:rPr>
          <w:color w:val="2D3E7B" w:themeColor="text2" w:themeShade="BF"/>
        </w:rPr>
      </w:pPr>
      <w:r w:rsidRPr="00883287">
        <w:rPr>
          <w:color w:val="2D3E7B" w:themeColor="text2" w:themeShade="BF"/>
        </w:rPr>
        <w:t xml:space="preserve">If an entity receives information after the reporting date about conditions that existed at the reporting date, it shall update disclosures that relate to these conditions, in the light of the new information. An example is where evidence becomes available after the reporting date about a contingent liability that existed at the reporting date. In addition to considering whether it should recognise or change a provision under AASB137 </w:t>
      </w:r>
      <w:r w:rsidRPr="009B1E46">
        <w:rPr>
          <w:i/>
          <w:color w:val="2D3E7B" w:themeColor="text2" w:themeShade="BF"/>
        </w:rPr>
        <w:t>Provisions, Contingent Liabilities and Contingent Assets</w:t>
      </w:r>
      <w:r w:rsidRPr="00883287">
        <w:rPr>
          <w:color w:val="2D3E7B" w:themeColor="text2" w:themeShade="BF"/>
        </w:rPr>
        <w:t>, an entity updates its disclosures about the contingent liability in the light of that evidence.</w:t>
      </w:r>
    </w:p>
    <w:p w14:paraId="63E25F4A" w14:textId="77777777" w:rsidR="00A151C4" w:rsidRPr="00883287" w:rsidRDefault="00A151C4" w:rsidP="00655761">
      <w:pPr>
        <w:pStyle w:val="Heading6"/>
      </w:pPr>
      <w:r w:rsidRPr="00883287">
        <w:t>Business combinations effected after the reporting date</w:t>
      </w:r>
    </w:p>
    <w:p w14:paraId="7E6E7597" w14:textId="77777777" w:rsidR="00A151C4" w:rsidRPr="00883287" w:rsidRDefault="00A151C4" w:rsidP="00655761">
      <w:pPr>
        <w:pStyle w:val="Heading6"/>
      </w:pPr>
      <w:r w:rsidRPr="00883287">
        <w:t>AAB3.59b</w:t>
      </w:r>
      <w:proofErr w:type="gramStart"/>
      <w:r w:rsidRPr="00883287">
        <w:t>,B66</w:t>
      </w:r>
      <w:proofErr w:type="gramEnd"/>
    </w:p>
    <w:p w14:paraId="6EA22EA5" w14:textId="77777777" w:rsidR="00A151C4" w:rsidRPr="00A151C4" w:rsidRDefault="00A151C4" w:rsidP="001A5D4A">
      <w:pPr>
        <w:rPr>
          <w:color w:val="2D3E7B" w:themeColor="text2" w:themeShade="BF"/>
        </w:rPr>
      </w:pPr>
      <w:r w:rsidRPr="00A151C4">
        <w:rPr>
          <w:color w:val="2D3E7B" w:themeColor="text2" w:themeShade="BF"/>
        </w:rPr>
        <w:t xml:space="preserve">AASB3 </w:t>
      </w:r>
      <w:r w:rsidRPr="009B1E46">
        <w:rPr>
          <w:i/>
          <w:color w:val="2D3E7B" w:themeColor="text2" w:themeShade="BF"/>
        </w:rPr>
        <w:t>Business Combinations</w:t>
      </w:r>
      <w:r w:rsidRPr="00A151C4">
        <w:rPr>
          <w:color w:val="2D3E7B" w:themeColor="text2" w:themeShade="BF"/>
        </w:rPr>
        <w:t xml:space="preserve"> requires disclosures relating to business combinations effected after the reporting date but before the financial report is authorised for issue. The acquirer shall disclose the information required by paragraph B64 of AASB3 for each business combination, unless such disclosure would be impracticable. If disclosure of any of the information would be impracticable, that fact shall be disclosed, together with an explanation of why this is the case.</w:t>
      </w:r>
    </w:p>
    <w:p w14:paraId="5712E1DA" w14:textId="77777777" w:rsidR="003411A8" w:rsidRDefault="003411A8">
      <w:pPr>
        <w:spacing w:after="0"/>
        <w:rPr>
          <w:rFonts w:asciiTheme="majorHAnsi" w:eastAsiaTheme="majorEastAsia" w:hAnsiTheme="majorHAnsi"/>
          <w:b/>
          <w:bCs/>
          <w:i/>
          <w:iCs/>
          <w:sz w:val="32"/>
          <w:szCs w:val="28"/>
        </w:rPr>
      </w:pPr>
      <w:bookmarkStart w:id="415" w:name="_Toc410807680"/>
      <w:bookmarkStart w:id="416" w:name="_Toc410822741"/>
      <w:r>
        <w:br w:type="page"/>
      </w:r>
    </w:p>
    <w:p w14:paraId="569AA776" w14:textId="0F7A04B2" w:rsidR="004C0E41" w:rsidRDefault="004C0E41" w:rsidP="00883287">
      <w:pPr>
        <w:pStyle w:val="Heading2"/>
      </w:pPr>
      <w:proofErr w:type="gramStart"/>
      <w:r w:rsidRPr="004C0E41">
        <w:lastRenderedPageBreak/>
        <w:t>Note 48.</w:t>
      </w:r>
      <w:proofErr w:type="gramEnd"/>
      <w:r w:rsidR="009F024D" w:rsidRPr="004C0E41">
        <w:t xml:space="preserve"> </w:t>
      </w:r>
      <w:r w:rsidRPr="004C0E41">
        <w:t>Reconciliation of net result after income tax to net cash provided by / (used in) operating activities</w:t>
      </w:r>
      <w:bookmarkEnd w:id="415"/>
      <w:bookmarkEnd w:id="416"/>
    </w:p>
    <w:p w14:paraId="1F1E1D16" w14:textId="77777777" w:rsidR="004C0E41" w:rsidRPr="004C0E41" w:rsidRDefault="004C0E41" w:rsidP="001A5D4A">
      <w:r w:rsidRPr="004C0E41">
        <w:t>AASB1054.16</w:t>
      </w:r>
    </w:p>
    <w:tbl>
      <w:tblPr>
        <w:tblW w:w="5000" w:type="pct"/>
        <w:tblCellMar>
          <w:left w:w="0" w:type="dxa"/>
          <w:right w:w="0" w:type="dxa"/>
        </w:tblCellMar>
        <w:tblLook w:val="0000" w:firstRow="0" w:lastRow="0" w:firstColumn="0" w:lastColumn="0" w:noHBand="0" w:noVBand="0"/>
      </w:tblPr>
      <w:tblGrid>
        <w:gridCol w:w="1661"/>
        <w:gridCol w:w="4854"/>
        <w:gridCol w:w="418"/>
        <w:gridCol w:w="832"/>
        <w:gridCol w:w="833"/>
        <w:gridCol w:w="833"/>
        <w:gridCol w:w="829"/>
      </w:tblGrid>
      <w:tr w:rsidR="00E56E44" w:rsidRPr="00A24341" w14:paraId="038A3C14" w14:textId="77777777" w:rsidTr="00463ABD">
        <w:trPr>
          <w:cantSplit/>
          <w:trHeight w:hRule="exact" w:val="227"/>
        </w:trPr>
        <w:tc>
          <w:tcPr>
            <w:tcW w:w="810" w:type="pct"/>
          </w:tcPr>
          <w:p w14:paraId="038A3C0F" w14:textId="77777777" w:rsidR="00E56E44" w:rsidRPr="003C77BC" w:rsidRDefault="00E56E44" w:rsidP="001A5D4A">
            <w:pPr>
              <w:pStyle w:val="Note-Refs"/>
            </w:pPr>
          </w:p>
        </w:tc>
        <w:tc>
          <w:tcPr>
            <w:tcW w:w="2366" w:type="pct"/>
            <w:vAlign w:val="bottom"/>
          </w:tcPr>
          <w:p w14:paraId="038A3C10" w14:textId="77777777" w:rsidR="00E56E44" w:rsidRDefault="00E56E44" w:rsidP="001A5D4A">
            <w:pPr>
              <w:pStyle w:val="NotesTable-ItemPlain"/>
            </w:pPr>
          </w:p>
        </w:tc>
        <w:tc>
          <w:tcPr>
            <w:tcW w:w="202" w:type="pct"/>
          </w:tcPr>
          <w:p w14:paraId="038A3C11" w14:textId="77777777" w:rsidR="00E56E44" w:rsidRDefault="00E56E44" w:rsidP="001A5D4A">
            <w:pPr>
              <w:pStyle w:val="NotesTable-Notes"/>
            </w:pPr>
          </w:p>
        </w:tc>
        <w:tc>
          <w:tcPr>
            <w:tcW w:w="811" w:type="pct"/>
            <w:gridSpan w:val="2"/>
          </w:tcPr>
          <w:p w14:paraId="038A3C12" w14:textId="77777777" w:rsidR="00E56E44" w:rsidRDefault="00E56E44" w:rsidP="001A5D4A">
            <w:pPr>
              <w:pStyle w:val="NotesTable-HeadPlain"/>
            </w:pPr>
            <w:r>
              <w:t>Consolidated</w:t>
            </w:r>
          </w:p>
        </w:tc>
        <w:tc>
          <w:tcPr>
            <w:tcW w:w="811" w:type="pct"/>
            <w:gridSpan w:val="2"/>
          </w:tcPr>
          <w:p w14:paraId="038A3C13" w14:textId="77777777" w:rsidR="00E56E44" w:rsidRDefault="00E56E44" w:rsidP="001A5D4A">
            <w:pPr>
              <w:pStyle w:val="NotesTable-HeadPlain"/>
            </w:pPr>
            <w:r>
              <w:t>Parent entity</w:t>
            </w:r>
          </w:p>
        </w:tc>
      </w:tr>
      <w:tr w:rsidR="00C83428" w:rsidRPr="00A24341" w14:paraId="038A3C1C" w14:textId="77777777" w:rsidTr="00463ABD">
        <w:trPr>
          <w:cantSplit/>
          <w:trHeight w:hRule="exact" w:val="227"/>
        </w:trPr>
        <w:tc>
          <w:tcPr>
            <w:tcW w:w="810" w:type="pct"/>
          </w:tcPr>
          <w:p w14:paraId="038A3C15" w14:textId="77777777" w:rsidR="00C83428" w:rsidRPr="003C77BC" w:rsidRDefault="00C83428" w:rsidP="001A5D4A">
            <w:pPr>
              <w:pStyle w:val="Note-Refs"/>
            </w:pPr>
          </w:p>
        </w:tc>
        <w:tc>
          <w:tcPr>
            <w:tcW w:w="2366" w:type="pct"/>
            <w:vAlign w:val="bottom"/>
          </w:tcPr>
          <w:p w14:paraId="038A3C16" w14:textId="77777777" w:rsidR="00C83428" w:rsidRDefault="00C83428" w:rsidP="001A5D4A">
            <w:pPr>
              <w:pStyle w:val="NotesTable-ItemPlain"/>
            </w:pPr>
          </w:p>
        </w:tc>
        <w:tc>
          <w:tcPr>
            <w:tcW w:w="202" w:type="pct"/>
          </w:tcPr>
          <w:p w14:paraId="038A3C17" w14:textId="77777777" w:rsidR="00C83428" w:rsidRDefault="00C83428" w:rsidP="001A5D4A">
            <w:pPr>
              <w:pStyle w:val="NotesTable-Notes"/>
              <w:rPr>
                <w:b/>
              </w:rPr>
            </w:pPr>
            <w:r>
              <w:t>Notes</w:t>
            </w:r>
          </w:p>
        </w:tc>
        <w:tc>
          <w:tcPr>
            <w:tcW w:w="406" w:type="pct"/>
          </w:tcPr>
          <w:p w14:paraId="038A3C18" w14:textId="05FDEE2E" w:rsidR="00C83428" w:rsidRDefault="006864EC" w:rsidP="001A5D4A">
            <w:pPr>
              <w:pStyle w:val="NotesTable-HeadBold"/>
            </w:pPr>
            <w:r>
              <w:t>2014</w:t>
            </w:r>
          </w:p>
        </w:tc>
        <w:tc>
          <w:tcPr>
            <w:tcW w:w="406" w:type="pct"/>
          </w:tcPr>
          <w:p w14:paraId="038A3C19" w14:textId="79A71993" w:rsidR="00C83428" w:rsidRDefault="006864EC" w:rsidP="001A5D4A">
            <w:pPr>
              <w:pStyle w:val="NotesTable-HeadPlain"/>
            </w:pPr>
            <w:r>
              <w:t>2013</w:t>
            </w:r>
          </w:p>
        </w:tc>
        <w:tc>
          <w:tcPr>
            <w:tcW w:w="406" w:type="pct"/>
          </w:tcPr>
          <w:p w14:paraId="038A3C1A" w14:textId="1A8D0574" w:rsidR="00C83428" w:rsidRDefault="006864EC" w:rsidP="001A5D4A">
            <w:pPr>
              <w:pStyle w:val="NotesTable-HeadBold"/>
              <w:rPr>
                <w:szCs w:val="18"/>
              </w:rPr>
            </w:pPr>
            <w:r>
              <w:t>2014</w:t>
            </w:r>
          </w:p>
        </w:tc>
        <w:tc>
          <w:tcPr>
            <w:tcW w:w="406" w:type="pct"/>
          </w:tcPr>
          <w:p w14:paraId="038A3C1B" w14:textId="2F16FFF2" w:rsidR="00C83428" w:rsidRDefault="006864EC" w:rsidP="001A5D4A">
            <w:pPr>
              <w:pStyle w:val="NotesTable-HeadPlain"/>
            </w:pPr>
            <w:r>
              <w:t>2013</w:t>
            </w:r>
          </w:p>
        </w:tc>
      </w:tr>
      <w:tr w:rsidR="00C83428" w:rsidRPr="00A24341" w14:paraId="038A3C24" w14:textId="77777777" w:rsidTr="00463ABD">
        <w:trPr>
          <w:cantSplit/>
          <w:trHeight w:hRule="exact" w:val="227"/>
        </w:trPr>
        <w:tc>
          <w:tcPr>
            <w:tcW w:w="810" w:type="pct"/>
          </w:tcPr>
          <w:p w14:paraId="038A3C1D" w14:textId="77777777" w:rsidR="00C83428" w:rsidRPr="003C77BC" w:rsidRDefault="00C83428" w:rsidP="001A5D4A">
            <w:pPr>
              <w:pStyle w:val="Note-Refs"/>
            </w:pPr>
          </w:p>
        </w:tc>
        <w:tc>
          <w:tcPr>
            <w:tcW w:w="2366" w:type="pct"/>
            <w:vAlign w:val="bottom"/>
          </w:tcPr>
          <w:p w14:paraId="038A3C1E" w14:textId="77777777" w:rsidR="00C83428" w:rsidRDefault="00C83428" w:rsidP="001A5D4A">
            <w:pPr>
              <w:pStyle w:val="NotesTable-ItemPlain"/>
            </w:pPr>
          </w:p>
        </w:tc>
        <w:tc>
          <w:tcPr>
            <w:tcW w:w="202" w:type="pct"/>
          </w:tcPr>
          <w:p w14:paraId="038A3C1F" w14:textId="77777777" w:rsidR="00C83428" w:rsidRDefault="00C83428" w:rsidP="001A5D4A">
            <w:pPr>
              <w:pStyle w:val="NotesTable-Notes"/>
            </w:pPr>
          </w:p>
        </w:tc>
        <w:tc>
          <w:tcPr>
            <w:tcW w:w="406" w:type="pct"/>
          </w:tcPr>
          <w:p w14:paraId="038A3C20" w14:textId="77777777" w:rsidR="00C83428" w:rsidRDefault="00C83428" w:rsidP="001A5D4A">
            <w:pPr>
              <w:pStyle w:val="NotesTable-HeadBold"/>
            </w:pPr>
            <w:r>
              <w:t>$’000</w:t>
            </w:r>
          </w:p>
        </w:tc>
        <w:tc>
          <w:tcPr>
            <w:tcW w:w="406" w:type="pct"/>
          </w:tcPr>
          <w:p w14:paraId="038A3C21" w14:textId="77777777" w:rsidR="00C83428" w:rsidRDefault="00C83428" w:rsidP="001A5D4A">
            <w:pPr>
              <w:pStyle w:val="NotesTable-HeadPlain"/>
            </w:pPr>
            <w:r>
              <w:t>$’000</w:t>
            </w:r>
          </w:p>
        </w:tc>
        <w:tc>
          <w:tcPr>
            <w:tcW w:w="406" w:type="pct"/>
          </w:tcPr>
          <w:p w14:paraId="038A3C22" w14:textId="77777777" w:rsidR="00C83428" w:rsidRDefault="00C83428" w:rsidP="001A5D4A">
            <w:pPr>
              <w:pStyle w:val="NotesTable-HeadBold"/>
              <w:rPr>
                <w:szCs w:val="18"/>
              </w:rPr>
            </w:pPr>
            <w:r>
              <w:t>$’000</w:t>
            </w:r>
          </w:p>
        </w:tc>
        <w:tc>
          <w:tcPr>
            <w:tcW w:w="406" w:type="pct"/>
          </w:tcPr>
          <w:p w14:paraId="038A3C23" w14:textId="77777777" w:rsidR="00C83428" w:rsidRDefault="00C83428" w:rsidP="001A5D4A">
            <w:pPr>
              <w:pStyle w:val="NotesTable-HeadPlain"/>
            </w:pPr>
            <w:r>
              <w:t>$’000</w:t>
            </w:r>
          </w:p>
        </w:tc>
      </w:tr>
      <w:tr w:rsidR="00C83428" w14:paraId="038A3C2C" w14:textId="77777777" w:rsidTr="00463ABD">
        <w:trPr>
          <w:cantSplit/>
          <w:trHeight w:hRule="exact" w:val="227"/>
        </w:trPr>
        <w:tc>
          <w:tcPr>
            <w:tcW w:w="810" w:type="pct"/>
          </w:tcPr>
          <w:p w14:paraId="038A3C25" w14:textId="77777777" w:rsidR="00C83428" w:rsidRDefault="00C83428" w:rsidP="001A5D4A">
            <w:pPr>
              <w:pStyle w:val="Note-Refs"/>
            </w:pPr>
          </w:p>
        </w:tc>
        <w:tc>
          <w:tcPr>
            <w:tcW w:w="2366" w:type="pct"/>
            <w:shd w:val="clear" w:color="auto" w:fill="D9D9D9" w:themeFill="background1" w:themeFillShade="D9"/>
            <w:vAlign w:val="bottom"/>
          </w:tcPr>
          <w:p w14:paraId="038A3C26" w14:textId="290E6CA0" w:rsidR="00C83428" w:rsidRDefault="00962B1E" w:rsidP="001A5D4A">
            <w:pPr>
              <w:pStyle w:val="NotesTable-ItemPlain"/>
              <w:rPr>
                <w:b/>
              </w:rPr>
            </w:pPr>
            <w:r>
              <w:t xml:space="preserve">Net </w:t>
            </w:r>
            <w:r w:rsidR="00C83428">
              <w:t>result for the period</w:t>
            </w:r>
          </w:p>
        </w:tc>
        <w:tc>
          <w:tcPr>
            <w:tcW w:w="202" w:type="pct"/>
            <w:shd w:val="clear" w:color="auto" w:fill="D9D9D9" w:themeFill="background1" w:themeFillShade="D9"/>
          </w:tcPr>
          <w:p w14:paraId="038A3C27" w14:textId="77777777" w:rsidR="00C83428" w:rsidRDefault="00C83428" w:rsidP="001A5D4A">
            <w:pPr>
              <w:pStyle w:val="NotesTable-Notes"/>
            </w:pPr>
          </w:p>
        </w:tc>
        <w:tc>
          <w:tcPr>
            <w:tcW w:w="406" w:type="pct"/>
            <w:shd w:val="clear" w:color="auto" w:fill="D9D9D9" w:themeFill="background1" w:themeFillShade="D9"/>
            <w:vAlign w:val="bottom"/>
          </w:tcPr>
          <w:p w14:paraId="038A3C2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2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2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2B" w14:textId="77777777" w:rsidR="00C83428" w:rsidRDefault="00C83428" w:rsidP="001A5D4A">
            <w:pPr>
              <w:pStyle w:val="NotesTable-CellPlain"/>
            </w:pPr>
            <w:r>
              <w:t>–</w:t>
            </w:r>
          </w:p>
        </w:tc>
      </w:tr>
      <w:tr w:rsidR="00C83428" w14:paraId="038A3C34" w14:textId="77777777" w:rsidTr="00463ABD">
        <w:trPr>
          <w:cantSplit/>
          <w:trHeight w:hRule="exact" w:val="227"/>
        </w:trPr>
        <w:tc>
          <w:tcPr>
            <w:tcW w:w="810" w:type="pct"/>
          </w:tcPr>
          <w:p w14:paraId="038A3C2D" w14:textId="77777777" w:rsidR="00C83428" w:rsidRDefault="00C83428" w:rsidP="001A5D4A">
            <w:pPr>
              <w:pStyle w:val="Note-Refs"/>
            </w:pPr>
          </w:p>
        </w:tc>
        <w:tc>
          <w:tcPr>
            <w:tcW w:w="2366" w:type="pct"/>
            <w:shd w:val="clear" w:color="auto" w:fill="D9D9D9" w:themeFill="background1" w:themeFillShade="D9"/>
            <w:vAlign w:val="bottom"/>
          </w:tcPr>
          <w:p w14:paraId="038A3C2E" w14:textId="77777777" w:rsidR="00C83428" w:rsidRDefault="00C83428" w:rsidP="001A5D4A">
            <w:pPr>
              <w:pStyle w:val="NotesTable-ItemPlain"/>
              <w:rPr>
                <w:b/>
              </w:rPr>
            </w:pPr>
            <w:r>
              <w:t>Depreciation and amortisation</w:t>
            </w:r>
          </w:p>
        </w:tc>
        <w:tc>
          <w:tcPr>
            <w:tcW w:w="202" w:type="pct"/>
            <w:shd w:val="clear" w:color="auto" w:fill="D9D9D9" w:themeFill="background1" w:themeFillShade="D9"/>
          </w:tcPr>
          <w:p w14:paraId="038A3C2F" w14:textId="77777777" w:rsidR="00C83428" w:rsidRDefault="00C83428" w:rsidP="001A5D4A">
            <w:pPr>
              <w:pStyle w:val="NotesTable-Notes"/>
            </w:pPr>
          </w:p>
        </w:tc>
        <w:tc>
          <w:tcPr>
            <w:tcW w:w="406" w:type="pct"/>
            <w:shd w:val="clear" w:color="auto" w:fill="D9D9D9" w:themeFill="background1" w:themeFillShade="D9"/>
            <w:vAlign w:val="bottom"/>
          </w:tcPr>
          <w:p w14:paraId="038A3C30"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31"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32"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33" w14:textId="77777777" w:rsidR="00C83428" w:rsidRDefault="00C83428" w:rsidP="001A5D4A">
            <w:pPr>
              <w:pStyle w:val="NotesTable-CellPlain"/>
            </w:pPr>
            <w:r>
              <w:t>–</w:t>
            </w:r>
          </w:p>
        </w:tc>
      </w:tr>
      <w:tr w:rsidR="00C83428" w14:paraId="038A3C3C" w14:textId="77777777" w:rsidTr="00463ABD">
        <w:trPr>
          <w:cantSplit/>
          <w:trHeight w:hRule="exact" w:val="227"/>
        </w:trPr>
        <w:tc>
          <w:tcPr>
            <w:tcW w:w="810" w:type="pct"/>
          </w:tcPr>
          <w:p w14:paraId="038A3C35" w14:textId="77777777" w:rsidR="00C83428" w:rsidRDefault="00C83428" w:rsidP="001A5D4A">
            <w:pPr>
              <w:pStyle w:val="Note-Refs"/>
            </w:pPr>
          </w:p>
        </w:tc>
        <w:tc>
          <w:tcPr>
            <w:tcW w:w="2366" w:type="pct"/>
            <w:shd w:val="clear" w:color="auto" w:fill="D9D9D9" w:themeFill="background1" w:themeFillShade="D9"/>
            <w:vAlign w:val="bottom"/>
          </w:tcPr>
          <w:p w14:paraId="038A3C36" w14:textId="77777777" w:rsidR="00C83428" w:rsidRDefault="00C83428" w:rsidP="001A5D4A">
            <w:pPr>
              <w:pStyle w:val="NotesTable-ItemPlain"/>
              <w:rPr>
                <w:b/>
              </w:rPr>
            </w:pPr>
            <w:r>
              <w:t>Net (gain) / loss on sale of non-current assets</w:t>
            </w:r>
          </w:p>
        </w:tc>
        <w:tc>
          <w:tcPr>
            <w:tcW w:w="202" w:type="pct"/>
            <w:shd w:val="clear" w:color="auto" w:fill="D9D9D9" w:themeFill="background1" w:themeFillShade="D9"/>
          </w:tcPr>
          <w:p w14:paraId="038A3C37" w14:textId="77777777" w:rsidR="00C83428" w:rsidRDefault="00C83428" w:rsidP="001A5D4A">
            <w:pPr>
              <w:pStyle w:val="NotesTable-Notes"/>
            </w:pPr>
            <w:r>
              <w:t>9</w:t>
            </w:r>
          </w:p>
        </w:tc>
        <w:tc>
          <w:tcPr>
            <w:tcW w:w="406" w:type="pct"/>
            <w:shd w:val="clear" w:color="auto" w:fill="D9D9D9" w:themeFill="background1" w:themeFillShade="D9"/>
            <w:vAlign w:val="bottom"/>
          </w:tcPr>
          <w:p w14:paraId="038A3C3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3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3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3B" w14:textId="77777777" w:rsidR="00C83428" w:rsidRDefault="00C83428" w:rsidP="001A5D4A">
            <w:pPr>
              <w:pStyle w:val="NotesTable-CellPlain"/>
            </w:pPr>
            <w:r>
              <w:t>–</w:t>
            </w:r>
          </w:p>
        </w:tc>
      </w:tr>
      <w:tr w:rsidR="00C83428" w14:paraId="038A3C44" w14:textId="77777777" w:rsidTr="00463ABD">
        <w:trPr>
          <w:cantSplit/>
          <w:trHeight w:hRule="exact" w:val="227"/>
        </w:trPr>
        <w:tc>
          <w:tcPr>
            <w:tcW w:w="810" w:type="pct"/>
          </w:tcPr>
          <w:p w14:paraId="038A3C3D" w14:textId="77777777" w:rsidR="00C83428" w:rsidRDefault="00C83428" w:rsidP="001A5D4A">
            <w:pPr>
              <w:pStyle w:val="Note-Refs"/>
            </w:pPr>
          </w:p>
        </w:tc>
        <w:tc>
          <w:tcPr>
            <w:tcW w:w="2366" w:type="pct"/>
            <w:shd w:val="clear" w:color="auto" w:fill="D9D9D9" w:themeFill="background1" w:themeFillShade="D9"/>
            <w:vAlign w:val="bottom"/>
          </w:tcPr>
          <w:p w14:paraId="038A3C3E" w14:textId="77777777" w:rsidR="00C83428" w:rsidRDefault="00C83428" w:rsidP="001A5D4A">
            <w:pPr>
              <w:pStyle w:val="NotesTable-ItemPlain"/>
              <w:rPr>
                <w:b/>
              </w:rPr>
            </w:pPr>
            <w:r>
              <w:t>Gain on disposal of machinery hire division</w:t>
            </w:r>
          </w:p>
        </w:tc>
        <w:tc>
          <w:tcPr>
            <w:tcW w:w="202" w:type="pct"/>
            <w:shd w:val="clear" w:color="auto" w:fill="D9D9D9" w:themeFill="background1" w:themeFillShade="D9"/>
          </w:tcPr>
          <w:p w14:paraId="038A3C3F" w14:textId="77777777" w:rsidR="00C83428" w:rsidRDefault="00C83428" w:rsidP="001A5D4A">
            <w:pPr>
              <w:pStyle w:val="NotesTable-Notes"/>
            </w:pPr>
          </w:p>
        </w:tc>
        <w:tc>
          <w:tcPr>
            <w:tcW w:w="406" w:type="pct"/>
            <w:shd w:val="clear" w:color="auto" w:fill="D9D9D9" w:themeFill="background1" w:themeFillShade="D9"/>
            <w:vAlign w:val="bottom"/>
          </w:tcPr>
          <w:p w14:paraId="038A3C40"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41"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42"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43" w14:textId="77777777" w:rsidR="00C83428" w:rsidRDefault="00C83428" w:rsidP="001A5D4A">
            <w:pPr>
              <w:pStyle w:val="NotesTable-CellPlain"/>
            </w:pPr>
            <w:r>
              <w:t>–</w:t>
            </w:r>
          </w:p>
        </w:tc>
      </w:tr>
      <w:tr w:rsidR="00C83428" w14:paraId="038A3C4C" w14:textId="77777777" w:rsidTr="00463ABD">
        <w:trPr>
          <w:cantSplit/>
          <w:trHeight w:hRule="exact" w:val="454"/>
        </w:trPr>
        <w:tc>
          <w:tcPr>
            <w:tcW w:w="810" w:type="pct"/>
          </w:tcPr>
          <w:p w14:paraId="038A3C45" w14:textId="77777777" w:rsidR="00C83428" w:rsidRDefault="00C83428" w:rsidP="001A5D4A">
            <w:pPr>
              <w:pStyle w:val="Note-Refs"/>
            </w:pPr>
          </w:p>
        </w:tc>
        <w:tc>
          <w:tcPr>
            <w:tcW w:w="2366" w:type="pct"/>
            <w:shd w:val="clear" w:color="auto" w:fill="D9D9D9" w:themeFill="background1" w:themeFillShade="D9"/>
            <w:vAlign w:val="bottom"/>
          </w:tcPr>
          <w:p w14:paraId="038A3C46" w14:textId="77777777" w:rsidR="00C83428" w:rsidRDefault="00C83428" w:rsidP="001A5D4A">
            <w:pPr>
              <w:pStyle w:val="NotesTable-ItemPlain"/>
              <w:rPr>
                <w:b/>
              </w:rPr>
            </w:pPr>
            <w:r>
              <w:t>Fair value gains on other financial assets at fair value through profit or loss</w:t>
            </w:r>
          </w:p>
        </w:tc>
        <w:tc>
          <w:tcPr>
            <w:tcW w:w="202" w:type="pct"/>
            <w:shd w:val="clear" w:color="auto" w:fill="D9D9D9" w:themeFill="background1" w:themeFillShade="D9"/>
          </w:tcPr>
          <w:p w14:paraId="038A3C47" w14:textId="1DC86F0F" w:rsidR="00C83428" w:rsidRDefault="00D73BD5" w:rsidP="001A5D4A">
            <w:pPr>
              <w:pStyle w:val="NotesTable-Notes"/>
            </w:pPr>
            <w:r>
              <w:br/>
            </w:r>
            <w:r w:rsidR="00D779B9">
              <w:t>21</w:t>
            </w:r>
          </w:p>
        </w:tc>
        <w:tc>
          <w:tcPr>
            <w:tcW w:w="406" w:type="pct"/>
            <w:shd w:val="clear" w:color="auto" w:fill="D9D9D9" w:themeFill="background1" w:themeFillShade="D9"/>
            <w:vAlign w:val="bottom"/>
          </w:tcPr>
          <w:p w14:paraId="038A3C4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4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4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4B" w14:textId="77777777" w:rsidR="00C83428" w:rsidRDefault="00C83428" w:rsidP="001A5D4A">
            <w:pPr>
              <w:pStyle w:val="NotesTable-CellPlain"/>
            </w:pPr>
            <w:r>
              <w:t>–</w:t>
            </w:r>
          </w:p>
        </w:tc>
      </w:tr>
      <w:tr w:rsidR="00C83428" w14:paraId="038A3C54" w14:textId="77777777" w:rsidTr="00463ABD">
        <w:trPr>
          <w:cantSplit/>
          <w:trHeight w:hRule="exact" w:val="454"/>
        </w:trPr>
        <w:tc>
          <w:tcPr>
            <w:tcW w:w="810" w:type="pct"/>
          </w:tcPr>
          <w:p w14:paraId="038A3C4D" w14:textId="77777777" w:rsidR="00C83428" w:rsidRDefault="00C83428" w:rsidP="001A5D4A">
            <w:pPr>
              <w:pStyle w:val="Note-Refs"/>
            </w:pPr>
          </w:p>
        </w:tc>
        <w:tc>
          <w:tcPr>
            <w:tcW w:w="2366" w:type="pct"/>
            <w:shd w:val="clear" w:color="auto" w:fill="D9D9D9" w:themeFill="background1" w:themeFillShade="D9"/>
            <w:vAlign w:val="bottom"/>
          </w:tcPr>
          <w:p w14:paraId="038A3C4E" w14:textId="77777777" w:rsidR="00C83428" w:rsidRDefault="00C83428" w:rsidP="001A5D4A">
            <w:pPr>
              <w:pStyle w:val="NotesTable-ItemPlain"/>
              <w:rPr>
                <w:b/>
              </w:rPr>
            </w:pPr>
            <w:r>
              <w:t>Share of profits of associates and joint venture partnership not received as dividends or distributions</w:t>
            </w:r>
          </w:p>
        </w:tc>
        <w:tc>
          <w:tcPr>
            <w:tcW w:w="202" w:type="pct"/>
            <w:shd w:val="clear" w:color="auto" w:fill="D9D9D9" w:themeFill="background1" w:themeFillShade="D9"/>
          </w:tcPr>
          <w:p w14:paraId="038A3C4F" w14:textId="77777777" w:rsidR="00C83428" w:rsidRDefault="00C83428" w:rsidP="001A5D4A">
            <w:pPr>
              <w:pStyle w:val="NotesTable-Notes"/>
            </w:pPr>
          </w:p>
        </w:tc>
        <w:tc>
          <w:tcPr>
            <w:tcW w:w="406" w:type="pct"/>
            <w:shd w:val="clear" w:color="auto" w:fill="D9D9D9" w:themeFill="background1" w:themeFillShade="D9"/>
            <w:vAlign w:val="bottom"/>
          </w:tcPr>
          <w:p w14:paraId="038A3C50"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51"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52"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53" w14:textId="77777777" w:rsidR="00C83428" w:rsidRDefault="00C83428" w:rsidP="001A5D4A">
            <w:pPr>
              <w:pStyle w:val="NotesTable-CellPlain"/>
            </w:pPr>
            <w:r>
              <w:t>–</w:t>
            </w:r>
          </w:p>
        </w:tc>
      </w:tr>
      <w:tr w:rsidR="00C83428" w14:paraId="038A3C5C" w14:textId="77777777" w:rsidTr="00463ABD">
        <w:trPr>
          <w:cantSplit/>
          <w:trHeight w:hRule="exact" w:val="227"/>
        </w:trPr>
        <w:tc>
          <w:tcPr>
            <w:tcW w:w="810" w:type="pct"/>
          </w:tcPr>
          <w:p w14:paraId="038A3C55" w14:textId="77777777" w:rsidR="00C83428" w:rsidRDefault="00C83428" w:rsidP="001A5D4A">
            <w:pPr>
              <w:pStyle w:val="Note-Refs"/>
            </w:pPr>
          </w:p>
        </w:tc>
        <w:tc>
          <w:tcPr>
            <w:tcW w:w="2366" w:type="pct"/>
            <w:shd w:val="clear" w:color="auto" w:fill="D9D9D9" w:themeFill="background1" w:themeFillShade="D9"/>
            <w:vAlign w:val="bottom"/>
          </w:tcPr>
          <w:p w14:paraId="038A3C56" w14:textId="77777777" w:rsidR="00C83428" w:rsidRDefault="00C83428" w:rsidP="001A5D4A">
            <w:pPr>
              <w:pStyle w:val="NotesTable-ItemPlain"/>
              <w:rPr>
                <w:b/>
              </w:rPr>
            </w:pPr>
            <w:r>
              <w:t>Net exchange differences</w:t>
            </w:r>
          </w:p>
        </w:tc>
        <w:tc>
          <w:tcPr>
            <w:tcW w:w="202" w:type="pct"/>
            <w:shd w:val="clear" w:color="auto" w:fill="D9D9D9" w:themeFill="background1" w:themeFillShade="D9"/>
          </w:tcPr>
          <w:p w14:paraId="038A3C57" w14:textId="77777777" w:rsidR="00C83428" w:rsidRDefault="00C83428" w:rsidP="001A5D4A">
            <w:pPr>
              <w:pStyle w:val="NotesTable-Notes"/>
            </w:pPr>
          </w:p>
        </w:tc>
        <w:tc>
          <w:tcPr>
            <w:tcW w:w="406" w:type="pct"/>
            <w:shd w:val="clear" w:color="auto" w:fill="D9D9D9" w:themeFill="background1" w:themeFillShade="D9"/>
            <w:vAlign w:val="bottom"/>
          </w:tcPr>
          <w:p w14:paraId="038A3C5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5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5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5B" w14:textId="77777777" w:rsidR="00C83428" w:rsidRDefault="00C83428" w:rsidP="001A5D4A">
            <w:pPr>
              <w:pStyle w:val="NotesTable-CellPlain"/>
            </w:pPr>
            <w:r>
              <w:t>–</w:t>
            </w:r>
          </w:p>
        </w:tc>
      </w:tr>
      <w:tr w:rsidR="00C83428" w14:paraId="038A3C64" w14:textId="77777777" w:rsidTr="00463ABD">
        <w:trPr>
          <w:cantSplit/>
          <w:trHeight w:hRule="exact" w:val="227"/>
        </w:trPr>
        <w:tc>
          <w:tcPr>
            <w:tcW w:w="810" w:type="pct"/>
          </w:tcPr>
          <w:p w14:paraId="038A3C5D" w14:textId="77777777" w:rsidR="00C83428" w:rsidRDefault="00C83428" w:rsidP="001A5D4A">
            <w:pPr>
              <w:pStyle w:val="Note-Refs"/>
            </w:pPr>
          </w:p>
        </w:tc>
        <w:tc>
          <w:tcPr>
            <w:tcW w:w="2366" w:type="pct"/>
            <w:vAlign w:val="bottom"/>
          </w:tcPr>
          <w:p w14:paraId="038A3C5E" w14:textId="77777777" w:rsidR="00C83428" w:rsidRDefault="00C83428" w:rsidP="001A5D4A">
            <w:pPr>
              <w:pStyle w:val="NotesTable-ItemPlain"/>
              <w:rPr>
                <w:b/>
              </w:rPr>
            </w:pPr>
            <w:r>
              <w:t>[</w:t>
            </w:r>
            <w:r w:rsidRPr="00F33C1D">
              <w:t>Specify</w:t>
            </w:r>
            <w:r w:rsidRPr="0028651F">
              <w:t>]</w:t>
            </w:r>
          </w:p>
        </w:tc>
        <w:tc>
          <w:tcPr>
            <w:tcW w:w="202" w:type="pct"/>
          </w:tcPr>
          <w:p w14:paraId="038A3C5F" w14:textId="77777777" w:rsidR="00C83428" w:rsidRDefault="00C83428" w:rsidP="001A5D4A">
            <w:pPr>
              <w:pStyle w:val="NotesTable-Notes"/>
            </w:pPr>
          </w:p>
        </w:tc>
        <w:tc>
          <w:tcPr>
            <w:tcW w:w="406" w:type="pct"/>
            <w:vAlign w:val="bottom"/>
          </w:tcPr>
          <w:p w14:paraId="038A3C60" w14:textId="77777777" w:rsidR="00C83428" w:rsidRDefault="00C83428" w:rsidP="001A5D4A">
            <w:pPr>
              <w:pStyle w:val="NotesTable-CellBold"/>
            </w:pPr>
            <w:r>
              <w:t>–</w:t>
            </w:r>
          </w:p>
        </w:tc>
        <w:tc>
          <w:tcPr>
            <w:tcW w:w="406" w:type="pct"/>
            <w:vAlign w:val="bottom"/>
          </w:tcPr>
          <w:p w14:paraId="038A3C61" w14:textId="77777777" w:rsidR="00C83428" w:rsidRDefault="00C83428" w:rsidP="001A5D4A">
            <w:pPr>
              <w:pStyle w:val="NotesTable-CellPlain"/>
            </w:pPr>
            <w:r>
              <w:t>–</w:t>
            </w:r>
          </w:p>
        </w:tc>
        <w:tc>
          <w:tcPr>
            <w:tcW w:w="406" w:type="pct"/>
            <w:vAlign w:val="bottom"/>
          </w:tcPr>
          <w:p w14:paraId="038A3C62" w14:textId="77777777" w:rsidR="00C83428" w:rsidRDefault="00C83428" w:rsidP="001A5D4A">
            <w:pPr>
              <w:pStyle w:val="NotesTable-CellBold"/>
            </w:pPr>
            <w:r>
              <w:t>–</w:t>
            </w:r>
          </w:p>
        </w:tc>
        <w:tc>
          <w:tcPr>
            <w:tcW w:w="406" w:type="pct"/>
            <w:vAlign w:val="bottom"/>
          </w:tcPr>
          <w:p w14:paraId="038A3C63" w14:textId="77777777" w:rsidR="00C83428" w:rsidRDefault="00C83428" w:rsidP="001A5D4A">
            <w:pPr>
              <w:pStyle w:val="NotesTable-CellPlain"/>
            </w:pPr>
            <w:r>
              <w:t>–</w:t>
            </w:r>
          </w:p>
        </w:tc>
      </w:tr>
      <w:tr w:rsidR="00C83428" w14:paraId="038A3C6C" w14:textId="77777777" w:rsidTr="00463ABD">
        <w:trPr>
          <w:cantSplit/>
          <w:trHeight w:hRule="exact" w:val="454"/>
        </w:trPr>
        <w:tc>
          <w:tcPr>
            <w:tcW w:w="810" w:type="pct"/>
          </w:tcPr>
          <w:p w14:paraId="038A3C65" w14:textId="77777777" w:rsidR="00C83428" w:rsidRDefault="00C83428" w:rsidP="001A5D4A">
            <w:pPr>
              <w:pStyle w:val="Note-Refs"/>
            </w:pPr>
          </w:p>
        </w:tc>
        <w:tc>
          <w:tcPr>
            <w:tcW w:w="2366" w:type="pct"/>
            <w:shd w:val="clear" w:color="auto" w:fill="D9D9D9" w:themeFill="background1" w:themeFillShade="D9"/>
            <w:vAlign w:val="bottom"/>
          </w:tcPr>
          <w:p w14:paraId="038A3C66" w14:textId="77777777" w:rsidR="00C83428" w:rsidRDefault="00C83428" w:rsidP="001A5D4A">
            <w:pPr>
              <w:pStyle w:val="NotesTable-ItemPlain"/>
              <w:rPr>
                <w:b/>
              </w:rPr>
            </w:pPr>
            <w:r>
              <w:t xml:space="preserve">Change in operating assets and liabilities, net of effects from purchase of controlled entity </w:t>
            </w:r>
          </w:p>
        </w:tc>
        <w:tc>
          <w:tcPr>
            <w:tcW w:w="202" w:type="pct"/>
            <w:shd w:val="clear" w:color="auto" w:fill="D9D9D9" w:themeFill="background1" w:themeFillShade="D9"/>
          </w:tcPr>
          <w:p w14:paraId="038A3C67" w14:textId="77777777" w:rsidR="00C83428" w:rsidRDefault="00C83428" w:rsidP="001A5D4A">
            <w:pPr>
              <w:pStyle w:val="NotesTable-Notes"/>
            </w:pPr>
          </w:p>
        </w:tc>
        <w:tc>
          <w:tcPr>
            <w:tcW w:w="406" w:type="pct"/>
            <w:shd w:val="clear" w:color="auto" w:fill="D9D9D9" w:themeFill="background1" w:themeFillShade="D9"/>
            <w:vAlign w:val="bottom"/>
          </w:tcPr>
          <w:p w14:paraId="038A3C6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6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6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6B" w14:textId="77777777" w:rsidR="00C83428" w:rsidRDefault="00C83428" w:rsidP="001A5D4A">
            <w:pPr>
              <w:pStyle w:val="NotesTable-CellPlain"/>
            </w:pPr>
            <w:r>
              <w:t>–</w:t>
            </w:r>
          </w:p>
        </w:tc>
      </w:tr>
      <w:tr w:rsidR="00C83428" w14:paraId="038A3C74" w14:textId="77777777" w:rsidTr="00463ABD">
        <w:trPr>
          <w:cantSplit/>
          <w:trHeight w:hRule="exact" w:val="227"/>
        </w:trPr>
        <w:tc>
          <w:tcPr>
            <w:tcW w:w="810" w:type="pct"/>
          </w:tcPr>
          <w:p w14:paraId="038A3C6D" w14:textId="77777777" w:rsidR="00C83428" w:rsidRDefault="00C83428" w:rsidP="001A5D4A">
            <w:pPr>
              <w:pStyle w:val="Note-Refs"/>
            </w:pPr>
          </w:p>
        </w:tc>
        <w:tc>
          <w:tcPr>
            <w:tcW w:w="2366" w:type="pct"/>
            <w:shd w:val="clear" w:color="auto" w:fill="D9D9D9" w:themeFill="background1" w:themeFillShade="D9"/>
            <w:vAlign w:val="bottom"/>
          </w:tcPr>
          <w:p w14:paraId="038A3C6E" w14:textId="77777777" w:rsidR="00C83428" w:rsidRDefault="00C83428" w:rsidP="001A5D4A">
            <w:pPr>
              <w:pStyle w:val="NotesTable-ItemPlain"/>
              <w:rPr>
                <w:b/>
              </w:rPr>
            </w:pPr>
            <w:r>
              <w:t xml:space="preserve">(Increase) / decrease in trade debtors </w:t>
            </w:r>
          </w:p>
        </w:tc>
        <w:tc>
          <w:tcPr>
            <w:tcW w:w="202" w:type="pct"/>
            <w:shd w:val="clear" w:color="auto" w:fill="D9D9D9" w:themeFill="background1" w:themeFillShade="D9"/>
          </w:tcPr>
          <w:p w14:paraId="038A3C6F" w14:textId="77777777" w:rsidR="00C83428" w:rsidRDefault="00C83428" w:rsidP="001A5D4A">
            <w:pPr>
              <w:pStyle w:val="NotesTable-Notes"/>
            </w:pPr>
          </w:p>
        </w:tc>
        <w:tc>
          <w:tcPr>
            <w:tcW w:w="406" w:type="pct"/>
            <w:shd w:val="clear" w:color="auto" w:fill="D9D9D9" w:themeFill="background1" w:themeFillShade="D9"/>
          </w:tcPr>
          <w:p w14:paraId="038A3C70" w14:textId="77777777" w:rsidR="00C83428" w:rsidRDefault="00C83428" w:rsidP="001A5D4A">
            <w:pPr>
              <w:pStyle w:val="NotesTable-CellBold"/>
            </w:pPr>
            <w:r>
              <w:t>–</w:t>
            </w:r>
          </w:p>
        </w:tc>
        <w:tc>
          <w:tcPr>
            <w:tcW w:w="406" w:type="pct"/>
            <w:shd w:val="clear" w:color="auto" w:fill="D9D9D9" w:themeFill="background1" w:themeFillShade="D9"/>
          </w:tcPr>
          <w:p w14:paraId="038A3C71" w14:textId="77777777" w:rsidR="00C83428" w:rsidRDefault="00C83428" w:rsidP="001A5D4A">
            <w:pPr>
              <w:pStyle w:val="NotesTable-CellPlain"/>
            </w:pPr>
            <w:r>
              <w:t>–</w:t>
            </w:r>
          </w:p>
        </w:tc>
        <w:tc>
          <w:tcPr>
            <w:tcW w:w="406" w:type="pct"/>
            <w:shd w:val="clear" w:color="auto" w:fill="D9D9D9" w:themeFill="background1" w:themeFillShade="D9"/>
          </w:tcPr>
          <w:p w14:paraId="038A3C72" w14:textId="77777777" w:rsidR="00C83428" w:rsidRDefault="00C83428" w:rsidP="001A5D4A">
            <w:pPr>
              <w:pStyle w:val="NotesTable-CellBold"/>
            </w:pPr>
            <w:r>
              <w:t>–</w:t>
            </w:r>
          </w:p>
        </w:tc>
        <w:tc>
          <w:tcPr>
            <w:tcW w:w="406" w:type="pct"/>
            <w:shd w:val="clear" w:color="auto" w:fill="D9D9D9" w:themeFill="background1" w:themeFillShade="D9"/>
          </w:tcPr>
          <w:p w14:paraId="038A3C73" w14:textId="77777777" w:rsidR="00C83428" w:rsidRDefault="00C83428" w:rsidP="001A5D4A">
            <w:pPr>
              <w:pStyle w:val="NotesTable-CellPlain"/>
            </w:pPr>
            <w:r>
              <w:t>–</w:t>
            </w:r>
          </w:p>
        </w:tc>
      </w:tr>
      <w:tr w:rsidR="00C83428" w14:paraId="038A3C7C" w14:textId="77777777" w:rsidTr="00463ABD">
        <w:trPr>
          <w:cantSplit/>
          <w:trHeight w:hRule="exact" w:val="227"/>
        </w:trPr>
        <w:tc>
          <w:tcPr>
            <w:tcW w:w="810" w:type="pct"/>
          </w:tcPr>
          <w:p w14:paraId="038A3C75" w14:textId="77777777" w:rsidR="00C83428" w:rsidRDefault="00C83428" w:rsidP="001A5D4A">
            <w:pPr>
              <w:pStyle w:val="Note-Refs"/>
            </w:pPr>
          </w:p>
        </w:tc>
        <w:tc>
          <w:tcPr>
            <w:tcW w:w="2366" w:type="pct"/>
            <w:shd w:val="clear" w:color="auto" w:fill="D9D9D9" w:themeFill="background1" w:themeFillShade="D9"/>
            <w:vAlign w:val="bottom"/>
          </w:tcPr>
          <w:p w14:paraId="038A3C76" w14:textId="77777777" w:rsidR="00C83428" w:rsidRDefault="00C83428" w:rsidP="001A5D4A">
            <w:pPr>
              <w:pStyle w:val="NotesTable-ItemPlain"/>
              <w:rPr>
                <w:b/>
              </w:rPr>
            </w:pPr>
            <w:r>
              <w:t>(Increase) / decrease in inventories</w:t>
            </w:r>
          </w:p>
        </w:tc>
        <w:tc>
          <w:tcPr>
            <w:tcW w:w="202" w:type="pct"/>
            <w:shd w:val="clear" w:color="auto" w:fill="D9D9D9" w:themeFill="background1" w:themeFillShade="D9"/>
          </w:tcPr>
          <w:p w14:paraId="038A3C77" w14:textId="77777777" w:rsidR="00C83428" w:rsidRDefault="00C83428" w:rsidP="001A5D4A">
            <w:pPr>
              <w:pStyle w:val="NotesTable-Notes"/>
            </w:pPr>
          </w:p>
        </w:tc>
        <w:tc>
          <w:tcPr>
            <w:tcW w:w="406" w:type="pct"/>
            <w:shd w:val="clear" w:color="auto" w:fill="D9D9D9" w:themeFill="background1" w:themeFillShade="D9"/>
          </w:tcPr>
          <w:p w14:paraId="038A3C78" w14:textId="77777777" w:rsidR="00C83428" w:rsidRDefault="00C83428" w:rsidP="001A5D4A">
            <w:pPr>
              <w:pStyle w:val="NotesTable-CellBold"/>
            </w:pPr>
            <w:r>
              <w:t>–</w:t>
            </w:r>
          </w:p>
        </w:tc>
        <w:tc>
          <w:tcPr>
            <w:tcW w:w="406" w:type="pct"/>
            <w:shd w:val="clear" w:color="auto" w:fill="D9D9D9" w:themeFill="background1" w:themeFillShade="D9"/>
          </w:tcPr>
          <w:p w14:paraId="038A3C79" w14:textId="77777777" w:rsidR="00C83428" w:rsidRDefault="00C83428" w:rsidP="001A5D4A">
            <w:pPr>
              <w:pStyle w:val="NotesTable-CellPlain"/>
            </w:pPr>
            <w:r>
              <w:t>–</w:t>
            </w:r>
          </w:p>
        </w:tc>
        <w:tc>
          <w:tcPr>
            <w:tcW w:w="406" w:type="pct"/>
            <w:shd w:val="clear" w:color="auto" w:fill="D9D9D9" w:themeFill="background1" w:themeFillShade="D9"/>
          </w:tcPr>
          <w:p w14:paraId="038A3C7A" w14:textId="77777777" w:rsidR="00C83428" w:rsidRDefault="00C83428" w:rsidP="001A5D4A">
            <w:pPr>
              <w:pStyle w:val="NotesTable-CellBold"/>
            </w:pPr>
            <w:r>
              <w:t>–</w:t>
            </w:r>
          </w:p>
        </w:tc>
        <w:tc>
          <w:tcPr>
            <w:tcW w:w="406" w:type="pct"/>
            <w:shd w:val="clear" w:color="auto" w:fill="D9D9D9" w:themeFill="background1" w:themeFillShade="D9"/>
          </w:tcPr>
          <w:p w14:paraId="038A3C7B" w14:textId="77777777" w:rsidR="00C83428" w:rsidRDefault="00C83428" w:rsidP="001A5D4A">
            <w:pPr>
              <w:pStyle w:val="NotesTable-CellPlain"/>
            </w:pPr>
            <w:r>
              <w:t>–</w:t>
            </w:r>
          </w:p>
        </w:tc>
      </w:tr>
      <w:tr w:rsidR="00C83428" w14:paraId="038A3C84" w14:textId="77777777" w:rsidTr="00463ABD">
        <w:trPr>
          <w:cantSplit/>
          <w:trHeight w:hRule="exact" w:val="454"/>
        </w:trPr>
        <w:tc>
          <w:tcPr>
            <w:tcW w:w="810" w:type="pct"/>
          </w:tcPr>
          <w:p w14:paraId="038A3C7D" w14:textId="77777777" w:rsidR="00C83428" w:rsidRDefault="00C83428" w:rsidP="001A5D4A">
            <w:pPr>
              <w:pStyle w:val="Note-Refs"/>
            </w:pPr>
          </w:p>
        </w:tc>
        <w:tc>
          <w:tcPr>
            <w:tcW w:w="2366" w:type="pct"/>
            <w:shd w:val="clear" w:color="auto" w:fill="D9D9D9" w:themeFill="background1" w:themeFillShade="D9"/>
            <w:vAlign w:val="bottom"/>
          </w:tcPr>
          <w:p w14:paraId="038A3C7E" w14:textId="77777777" w:rsidR="00C83428" w:rsidRDefault="00C83428" w:rsidP="001A5D4A">
            <w:pPr>
              <w:pStyle w:val="NotesTable-ItemPlain"/>
              <w:rPr>
                <w:b/>
              </w:rPr>
            </w:pPr>
            <w:r>
              <w:t>Decrease / (increase) in other financial assets at fair value through profit or loss</w:t>
            </w:r>
          </w:p>
        </w:tc>
        <w:tc>
          <w:tcPr>
            <w:tcW w:w="202" w:type="pct"/>
            <w:shd w:val="clear" w:color="auto" w:fill="D9D9D9" w:themeFill="background1" w:themeFillShade="D9"/>
          </w:tcPr>
          <w:p w14:paraId="038A3C7F" w14:textId="77777777" w:rsidR="00C83428" w:rsidRDefault="00C83428" w:rsidP="001A5D4A">
            <w:pPr>
              <w:pStyle w:val="NotesTable-Notes"/>
            </w:pPr>
          </w:p>
        </w:tc>
        <w:tc>
          <w:tcPr>
            <w:tcW w:w="406" w:type="pct"/>
            <w:shd w:val="clear" w:color="auto" w:fill="D9D9D9" w:themeFill="background1" w:themeFillShade="D9"/>
          </w:tcPr>
          <w:p w14:paraId="038A3C80" w14:textId="77777777" w:rsidR="00C83428" w:rsidRDefault="00C83428" w:rsidP="001A5D4A">
            <w:pPr>
              <w:pStyle w:val="NotesTable-CellBold"/>
            </w:pPr>
            <w:r>
              <w:t>–</w:t>
            </w:r>
          </w:p>
        </w:tc>
        <w:tc>
          <w:tcPr>
            <w:tcW w:w="406" w:type="pct"/>
            <w:shd w:val="clear" w:color="auto" w:fill="D9D9D9" w:themeFill="background1" w:themeFillShade="D9"/>
          </w:tcPr>
          <w:p w14:paraId="038A3C81" w14:textId="77777777" w:rsidR="00C83428" w:rsidRDefault="00C83428" w:rsidP="001A5D4A">
            <w:pPr>
              <w:pStyle w:val="NotesTable-CellPlain"/>
            </w:pPr>
            <w:r>
              <w:t>–</w:t>
            </w:r>
          </w:p>
        </w:tc>
        <w:tc>
          <w:tcPr>
            <w:tcW w:w="406" w:type="pct"/>
            <w:shd w:val="clear" w:color="auto" w:fill="D9D9D9" w:themeFill="background1" w:themeFillShade="D9"/>
          </w:tcPr>
          <w:p w14:paraId="038A3C82" w14:textId="77777777" w:rsidR="00C83428" w:rsidRDefault="00C83428" w:rsidP="001A5D4A">
            <w:pPr>
              <w:pStyle w:val="NotesTable-CellBold"/>
            </w:pPr>
            <w:r>
              <w:t>–</w:t>
            </w:r>
          </w:p>
        </w:tc>
        <w:tc>
          <w:tcPr>
            <w:tcW w:w="406" w:type="pct"/>
            <w:shd w:val="clear" w:color="auto" w:fill="D9D9D9" w:themeFill="background1" w:themeFillShade="D9"/>
          </w:tcPr>
          <w:p w14:paraId="038A3C83" w14:textId="77777777" w:rsidR="00C83428" w:rsidRDefault="00C83428" w:rsidP="001A5D4A">
            <w:pPr>
              <w:pStyle w:val="NotesTable-CellPlain"/>
            </w:pPr>
            <w:r>
              <w:t>–</w:t>
            </w:r>
          </w:p>
        </w:tc>
      </w:tr>
      <w:tr w:rsidR="00C83428" w14:paraId="038A3C8C" w14:textId="77777777" w:rsidTr="00463ABD">
        <w:trPr>
          <w:cantSplit/>
          <w:trHeight w:hRule="exact" w:val="227"/>
        </w:trPr>
        <w:tc>
          <w:tcPr>
            <w:tcW w:w="810" w:type="pct"/>
          </w:tcPr>
          <w:p w14:paraId="038A3C85" w14:textId="77777777" w:rsidR="00C83428" w:rsidRDefault="00C83428" w:rsidP="001A5D4A">
            <w:pPr>
              <w:pStyle w:val="Note-Refs"/>
            </w:pPr>
          </w:p>
        </w:tc>
        <w:tc>
          <w:tcPr>
            <w:tcW w:w="2366" w:type="pct"/>
            <w:shd w:val="clear" w:color="auto" w:fill="D9D9D9" w:themeFill="background1" w:themeFillShade="D9"/>
            <w:vAlign w:val="bottom"/>
          </w:tcPr>
          <w:p w14:paraId="038A3C86" w14:textId="77777777" w:rsidR="00C83428" w:rsidRDefault="00C83428" w:rsidP="001A5D4A">
            <w:pPr>
              <w:pStyle w:val="NotesTable-ItemPlain"/>
              <w:rPr>
                <w:b/>
              </w:rPr>
            </w:pPr>
            <w:r>
              <w:t>(Increase) / decrease in deferred tax asset</w:t>
            </w:r>
          </w:p>
        </w:tc>
        <w:tc>
          <w:tcPr>
            <w:tcW w:w="202" w:type="pct"/>
            <w:shd w:val="clear" w:color="auto" w:fill="D9D9D9" w:themeFill="background1" w:themeFillShade="D9"/>
          </w:tcPr>
          <w:p w14:paraId="038A3C87" w14:textId="77777777" w:rsidR="00C83428" w:rsidRDefault="00C83428" w:rsidP="001A5D4A">
            <w:pPr>
              <w:pStyle w:val="NotesTable-Notes"/>
            </w:pPr>
          </w:p>
        </w:tc>
        <w:tc>
          <w:tcPr>
            <w:tcW w:w="406" w:type="pct"/>
            <w:shd w:val="clear" w:color="auto" w:fill="D9D9D9" w:themeFill="background1" w:themeFillShade="D9"/>
          </w:tcPr>
          <w:p w14:paraId="038A3C88" w14:textId="77777777" w:rsidR="00C83428" w:rsidRDefault="00C83428" w:rsidP="001A5D4A">
            <w:pPr>
              <w:pStyle w:val="NotesTable-CellBold"/>
            </w:pPr>
            <w:r>
              <w:t>–</w:t>
            </w:r>
          </w:p>
        </w:tc>
        <w:tc>
          <w:tcPr>
            <w:tcW w:w="406" w:type="pct"/>
            <w:shd w:val="clear" w:color="auto" w:fill="D9D9D9" w:themeFill="background1" w:themeFillShade="D9"/>
          </w:tcPr>
          <w:p w14:paraId="038A3C89" w14:textId="77777777" w:rsidR="00C83428" w:rsidRDefault="00C83428" w:rsidP="001A5D4A">
            <w:pPr>
              <w:pStyle w:val="NotesTable-CellPlain"/>
            </w:pPr>
            <w:r>
              <w:t>–</w:t>
            </w:r>
          </w:p>
        </w:tc>
        <w:tc>
          <w:tcPr>
            <w:tcW w:w="406" w:type="pct"/>
            <w:shd w:val="clear" w:color="auto" w:fill="D9D9D9" w:themeFill="background1" w:themeFillShade="D9"/>
          </w:tcPr>
          <w:p w14:paraId="038A3C8A" w14:textId="77777777" w:rsidR="00C83428" w:rsidRDefault="00C83428" w:rsidP="001A5D4A">
            <w:pPr>
              <w:pStyle w:val="NotesTable-CellBold"/>
            </w:pPr>
            <w:r>
              <w:t>–</w:t>
            </w:r>
          </w:p>
        </w:tc>
        <w:tc>
          <w:tcPr>
            <w:tcW w:w="406" w:type="pct"/>
            <w:shd w:val="clear" w:color="auto" w:fill="D9D9D9" w:themeFill="background1" w:themeFillShade="D9"/>
          </w:tcPr>
          <w:p w14:paraId="038A3C8B" w14:textId="77777777" w:rsidR="00C83428" w:rsidRDefault="00C83428" w:rsidP="001A5D4A">
            <w:pPr>
              <w:pStyle w:val="NotesTable-CellPlain"/>
            </w:pPr>
            <w:r>
              <w:t>–</w:t>
            </w:r>
          </w:p>
        </w:tc>
      </w:tr>
      <w:tr w:rsidR="00C83428" w14:paraId="038A3C94" w14:textId="77777777" w:rsidTr="00463ABD">
        <w:trPr>
          <w:cantSplit/>
          <w:trHeight w:hRule="exact" w:val="227"/>
        </w:trPr>
        <w:tc>
          <w:tcPr>
            <w:tcW w:w="810" w:type="pct"/>
          </w:tcPr>
          <w:p w14:paraId="038A3C8D" w14:textId="77777777" w:rsidR="00C83428" w:rsidRDefault="00C83428" w:rsidP="001A5D4A">
            <w:pPr>
              <w:pStyle w:val="Note-Refs"/>
            </w:pPr>
          </w:p>
        </w:tc>
        <w:tc>
          <w:tcPr>
            <w:tcW w:w="2366" w:type="pct"/>
            <w:shd w:val="clear" w:color="auto" w:fill="D9D9D9" w:themeFill="background1" w:themeFillShade="D9"/>
            <w:vAlign w:val="bottom"/>
          </w:tcPr>
          <w:p w14:paraId="038A3C8E" w14:textId="77777777" w:rsidR="00C83428" w:rsidRDefault="00C83428" w:rsidP="001A5D4A">
            <w:pPr>
              <w:pStyle w:val="NotesTable-ItemPlain"/>
              <w:rPr>
                <w:b/>
              </w:rPr>
            </w:pPr>
            <w:r>
              <w:t>(Increase) / decrease in other operating assets</w:t>
            </w:r>
          </w:p>
        </w:tc>
        <w:tc>
          <w:tcPr>
            <w:tcW w:w="202" w:type="pct"/>
            <w:shd w:val="clear" w:color="auto" w:fill="D9D9D9" w:themeFill="background1" w:themeFillShade="D9"/>
          </w:tcPr>
          <w:p w14:paraId="038A3C8F" w14:textId="77777777" w:rsidR="00C83428" w:rsidRDefault="00C83428" w:rsidP="001A5D4A">
            <w:pPr>
              <w:pStyle w:val="NotesTable-Notes"/>
            </w:pPr>
          </w:p>
        </w:tc>
        <w:tc>
          <w:tcPr>
            <w:tcW w:w="406" w:type="pct"/>
            <w:shd w:val="clear" w:color="auto" w:fill="D9D9D9" w:themeFill="background1" w:themeFillShade="D9"/>
          </w:tcPr>
          <w:p w14:paraId="038A3C90" w14:textId="77777777" w:rsidR="00C83428" w:rsidRDefault="00C83428" w:rsidP="001A5D4A">
            <w:pPr>
              <w:pStyle w:val="NotesTable-CellBold"/>
            </w:pPr>
            <w:r>
              <w:t>–</w:t>
            </w:r>
          </w:p>
        </w:tc>
        <w:tc>
          <w:tcPr>
            <w:tcW w:w="406" w:type="pct"/>
            <w:shd w:val="clear" w:color="auto" w:fill="D9D9D9" w:themeFill="background1" w:themeFillShade="D9"/>
          </w:tcPr>
          <w:p w14:paraId="038A3C91" w14:textId="77777777" w:rsidR="00C83428" w:rsidRDefault="00C83428" w:rsidP="001A5D4A">
            <w:pPr>
              <w:pStyle w:val="NotesTable-CellPlain"/>
            </w:pPr>
            <w:r>
              <w:t>–</w:t>
            </w:r>
          </w:p>
        </w:tc>
        <w:tc>
          <w:tcPr>
            <w:tcW w:w="406" w:type="pct"/>
            <w:shd w:val="clear" w:color="auto" w:fill="D9D9D9" w:themeFill="background1" w:themeFillShade="D9"/>
          </w:tcPr>
          <w:p w14:paraId="038A3C92" w14:textId="77777777" w:rsidR="00C83428" w:rsidRDefault="00C83428" w:rsidP="001A5D4A">
            <w:pPr>
              <w:pStyle w:val="NotesTable-CellBold"/>
            </w:pPr>
            <w:r>
              <w:t>–</w:t>
            </w:r>
          </w:p>
        </w:tc>
        <w:tc>
          <w:tcPr>
            <w:tcW w:w="406" w:type="pct"/>
            <w:shd w:val="clear" w:color="auto" w:fill="D9D9D9" w:themeFill="background1" w:themeFillShade="D9"/>
          </w:tcPr>
          <w:p w14:paraId="038A3C93" w14:textId="77777777" w:rsidR="00C83428" w:rsidRDefault="00C83428" w:rsidP="001A5D4A">
            <w:pPr>
              <w:pStyle w:val="NotesTable-CellPlain"/>
            </w:pPr>
            <w:r>
              <w:t>–</w:t>
            </w:r>
          </w:p>
        </w:tc>
      </w:tr>
      <w:tr w:rsidR="00C83428" w14:paraId="038A3C9C" w14:textId="77777777" w:rsidTr="00463ABD">
        <w:trPr>
          <w:cantSplit/>
          <w:trHeight w:hRule="exact" w:val="227"/>
        </w:trPr>
        <w:tc>
          <w:tcPr>
            <w:tcW w:w="810" w:type="pct"/>
          </w:tcPr>
          <w:p w14:paraId="038A3C95" w14:textId="77777777" w:rsidR="00C83428" w:rsidRDefault="00C83428" w:rsidP="001A5D4A">
            <w:pPr>
              <w:pStyle w:val="Note-Refs"/>
            </w:pPr>
          </w:p>
        </w:tc>
        <w:tc>
          <w:tcPr>
            <w:tcW w:w="2366" w:type="pct"/>
            <w:shd w:val="clear" w:color="auto" w:fill="D9D9D9" w:themeFill="background1" w:themeFillShade="D9"/>
            <w:vAlign w:val="bottom"/>
          </w:tcPr>
          <w:p w14:paraId="038A3C96" w14:textId="77777777" w:rsidR="00C83428" w:rsidRDefault="00C83428" w:rsidP="001A5D4A">
            <w:pPr>
              <w:pStyle w:val="NotesTable-ItemPlain"/>
              <w:rPr>
                <w:b/>
              </w:rPr>
            </w:pPr>
            <w:r>
              <w:t>Increase / (decrease) in trade creditors</w:t>
            </w:r>
          </w:p>
        </w:tc>
        <w:tc>
          <w:tcPr>
            <w:tcW w:w="202" w:type="pct"/>
            <w:shd w:val="clear" w:color="auto" w:fill="D9D9D9" w:themeFill="background1" w:themeFillShade="D9"/>
          </w:tcPr>
          <w:p w14:paraId="038A3C97" w14:textId="77777777" w:rsidR="00C83428" w:rsidRDefault="00C83428" w:rsidP="001A5D4A">
            <w:pPr>
              <w:pStyle w:val="NotesTable-Notes"/>
            </w:pPr>
          </w:p>
        </w:tc>
        <w:tc>
          <w:tcPr>
            <w:tcW w:w="406" w:type="pct"/>
            <w:shd w:val="clear" w:color="auto" w:fill="D9D9D9" w:themeFill="background1" w:themeFillShade="D9"/>
          </w:tcPr>
          <w:p w14:paraId="038A3C98" w14:textId="77777777" w:rsidR="00C83428" w:rsidRDefault="00C83428" w:rsidP="001A5D4A">
            <w:pPr>
              <w:pStyle w:val="NotesTable-CellBold"/>
            </w:pPr>
            <w:r>
              <w:t>–</w:t>
            </w:r>
          </w:p>
        </w:tc>
        <w:tc>
          <w:tcPr>
            <w:tcW w:w="406" w:type="pct"/>
            <w:shd w:val="clear" w:color="auto" w:fill="D9D9D9" w:themeFill="background1" w:themeFillShade="D9"/>
          </w:tcPr>
          <w:p w14:paraId="038A3C99" w14:textId="77777777" w:rsidR="00C83428" w:rsidRDefault="00C83428" w:rsidP="001A5D4A">
            <w:pPr>
              <w:pStyle w:val="NotesTable-CellPlain"/>
            </w:pPr>
            <w:r>
              <w:t>–</w:t>
            </w:r>
          </w:p>
        </w:tc>
        <w:tc>
          <w:tcPr>
            <w:tcW w:w="406" w:type="pct"/>
            <w:shd w:val="clear" w:color="auto" w:fill="D9D9D9" w:themeFill="background1" w:themeFillShade="D9"/>
          </w:tcPr>
          <w:p w14:paraId="038A3C9A" w14:textId="77777777" w:rsidR="00C83428" w:rsidRDefault="00C83428" w:rsidP="001A5D4A">
            <w:pPr>
              <w:pStyle w:val="NotesTable-CellBold"/>
            </w:pPr>
            <w:r>
              <w:t>–</w:t>
            </w:r>
          </w:p>
        </w:tc>
        <w:tc>
          <w:tcPr>
            <w:tcW w:w="406" w:type="pct"/>
            <w:shd w:val="clear" w:color="auto" w:fill="D9D9D9" w:themeFill="background1" w:themeFillShade="D9"/>
          </w:tcPr>
          <w:p w14:paraId="038A3C9B" w14:textId="77777777" w:rsidR="00C83428" w:rsidRDefault="00C83428" w:rsidP="001A5D4A">
            <w:pPr>
              <w:pStyle w:val="NotesTable-CellPlain"/>
            </w:pPr>
            <w:r>
              <w:t>–</w:t>
            </w:r>
          </w:p>
        </w:tc>
      </w:tr>
      <w:tr w:rsidR="00C83428" w14:paraId="038A3CA4" w14:textId="77777777" w:rsidTr="00463ABD">
        <w:trPr>
          <w:cantSplit/>
          <w:trHeight w:hRule="exact" w:val="227"/>
        </w:trPr>
        <w:tc>
          <w:tcPr>
            <w:tcW w:w="810" w:type="pct"/>
          </w:tcPr>
          <w:p w14:paraId="038A3C9D" w14:textId="77777777" w:rsidR="00C83428" w:rsidRDefault="00C83428" w:rsidP="001A5D4A">
            <w:pPr>
              <w:pStyle w:val="Note-Refs"/>
            </w:pPr>
          </w:p>
        </w:tc>
        <w:tc>
          <w:tcPr>
            <w:tcW w:w="2366" w:type="pct"/>
            <w:shd w:val="clear" w:color="auto" w:fill="D9D9D9" w:themeFill="background1" w:themeFillShade="D9"/>
            <w:vAlign w:val="bottom"/>
          </w:tcPr>
          <w:p w14:paraId="038A3C9E" w14:textId="77777777" w:rsidR="00C83428" w:rsidRDefault="00C83428" w:rsidP="001A5D4A">
            <w:pPr>
              <w:pStyle w:val="NotesTable-ItemPlain"/>
              <w:rPr>
                <w:b/>
              </w:rPr>
            </w:pPr>
            <w:r>
              <w:t>Increase / (decrease) in other operating liabilities</w:t>
            </w:r>
          </w:p>
        </w:tc>
        <w:tc>
          <w:tcPr>
            <w:tcW w:w="202" w:type="pct"/>
            <w:shd w:val="clear" w:color="auto" w:fill="D9D9D9" w:themeFill="background1" w:themeFillShade="D9"/>
          </w:tcPr>
          <w:p w14:paraId="038A3C9F" w14:textId="77777777" w:rsidR="00C83428" w:rsidRDefault="00C83428" w:rsidP="001A5D4A">
            <w:pPr>
              <w:pStyle w:val="NotesTable-Notes"/>
            </w:pPr>
          </w:p>
        </w:tc>
        <w:tc>
          <w:tcPr>
            <w:tcW w:w="406" w:type="pct"/>
            <w:shd w:val="clear" w:color="auto" w:fill="D9D9D9" w:themeFill="background1" w:themeFillShade="D9"/>
          </w:tcPr>
          <w:p w14:paraId="038A3CA0" w14:textId="77777777" w:rsidR="00C83428" w:rsidRDefault="00C83428" w:rsidP="001A5D4A">
            <w:pPr>
              <w:pStyle w:val="NotesTable-CellBold"/>
            </w:pPr>
            <w:r>
              <w:t>–</w:t>
            </w:r>
          </w:p>
        </w:tc>
        <w:tc>
          <w:tcPr>
            <w:tcW w:w="406" w:type="pct"/>
            <w:shd w:val="clear" w:color="auto" w:fill="D9D9D9" w:themeFill="background1" w:themeFillShade="D9"/>
          </w:tcPr>
          <w:p w14:paraId="038A3CA1" w14:textId="77777777" w:rsidR="00C83428" w:rsidRDefault="00C83428" w:rsidP="001A5D4A">
            <w:pPr>
              <w:pStyle w:val="NotesTable-CellPlain"/>
            </w:pPr>
            <w:r>
              <w:t>–</w:t>
            </w:r>
          </w:p>
        </w:tc>
        <w:tc>
          <w:tcPr>
            <w:tcW w:w="406" w:type="pct"/>
            <w:shd w:val="clear" w:color="auto" w:fill="D9D9D9" w:themeFill="background1" w:themeFillShade="D9"/>
          </w:tcPr>
          <w:p w14:paraId="038A3CA2" w14:textId="77777777" w:rsidR="00C83428" w:rsidRDefault="00C83428" w:rsidP="001A5D4A">
            <w:pPr>
              <w:pStyle w:val="NotesTable-CellBold"/>
            </w:pPr>
            <w:r>
              <w:t>–</w:t>
            </w:r>
          </w:p>
        </w:tc>
        <w:tc>
          <w:tcPr>
            <w:tcW w:w="406" w:type="pct"/>
            <w:shd w:val="clear" w:color="auto" w:fill="D9D9D9" w:themeFill="background1" w:themeFillShade="D9"/>
          </w:tcPr>
          <w:p w14:paraId="038A3CA3" w14:textId="77777777" w:rsidR="00C83428" w:rsidRDefault="00C83428" w:rsidP="001A5D4A">
            <w:pPr>
              <w:pStyle w:val="NotesTable-CellPlain"/>
            </w:pPr>
            <w:r>
              <w:t>–</w:t>
            </w:r>
          </w:p>
        </w:tc>
      </w:tr>
      <w:tr w:rsidR="00C83428" w14:paraId="038A3CAC" w14:textId="77777777" w:rsidTr="00463ABD">
        <w:trPr>
          <w:cantSplit/>
          <w:trHeight w:hRule="exact" w:val="227"/>
        </w:trPr>
        <w:tc>
          <w:tcPr>
            <w:tcW w:w="810" w:type="pct"/>
          </w:tcPr>
          <w:p w14:paraId="038A3CA5" w14:textId="77777777" w:rsidR="00C83428" w:rsidRDefault="00C83428" w:rsidP="001A5D4A">
            <w:pPr>
              <w:pStyle w:val="Note-Refs"/>
            </w:pPr>
          </w:p>
        </w:tc>
        <w:tc>
          <w:tcPr>
            <w:tcW w:w="2366" w:type="pct"/>
            <w:shd w:val="clear" w:color="auto" w:fill="D9D9D9" w:themeFill="background1" w:themeFillShade="D9"/>
            <w:vAlign w:val="bottom"/>
          </w:tcPr>
          <w:p w14:paraId="038A3CA6" w14:textId="77777777" w:rsidR="00C83428" w:rsidRDefault="00C83428" w:rsidP="001A5D4A">
            <w:pPr>
              <w:pStyle w:val="NotesTable-ItemPlain"/>
              <w:rPr>
                <w:b/>
              </w:rPr>
            </w:pPr>
            <w:r>
              <w:t>Increase / (decrease) in provision for income taxes payable</w:t>
            </w:r>
          </w:p>
        </w:tc>
        <w:tc>
          <w:tcPr>
            <w:tcW w:w="202" w:type="pct"/>
            <w:shd w:val="clear" w:color="auto" w:fill="D9D9D9" w:themeFill="background1" w:themeFillShade="D9"/>
          </w:tcPr>
          <w:p w14:paraId="038A3CA7" w14:textId="77777777" w:rsidR="00C83428" w:rsidRDefault="00C83428" w:rsidP="001A5D4A">
            <w:pPr>
              <w:pStyle w:val="NotesTable-Notes"/>
            </w:pPr>
          </w:p>
        </w:tc>
        <w:tc>
          <w:tcPr>
            <w:tcW w:w="406" w:type="pct"/>
            <w:shd w:val="clear" w:color="auto" w:fill="D9D9D9" w:themeFill="background1" w:themeFillShade="D9"/>
            <w:vAlign w:val="bottom"/>
          </w:tcPr>
          <w:p w14:paraId="038A3CA8"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A9"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AA"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AB" w14:textId="77777777" w:rsidR="00C83428" w:rsidRDefault="00C83428" w:rsidP="001A5D4A">
            <w:pPr>
              <w:pStyle w:val="NotesTable-CellPlain"/>
            </w:pPr>
            <w:r>
              <w:t>–</w:t>
            </w:r>
          </w:p>
        </w:tc>
      </w:tr>
      <w:tr w:rsidR="00C83428" w14:paraId="038A3CB4" w14:textId="77777777" w:rsidTr="00463ABD">
        <w:trPr>
          <w:cantSplit/>
          <w:trHeight w:hRule="exact" w:val="227"/>
        </w:trPr>
        <w:tc>
          <w:tcPr>
            <w:tcW w:w="810" w:type="pct"/>
          </w:tcPr>
          <w:p w14:paraId="038A3CAD" w14:textId="77777777" w:rsidR="00C83428" w:rsidRDefault="00C83428" w:rsidP="001A5D4A">
            <w:pPr>
              <w:pStyle w:val="Note-Refs"/>
            </w:pPr>
          </w:p>
        </w:tc>
        <w:tc>
          <w:tcPr>
            <w:tcW w:w="2366" w:type="pct"/>
            <w:shd w:val="clear" w:color="auto" w:fill="D9D9D9" w:themeFill="background1" w:themeFillShade="D9"/>
            <w:vAlign w:val="bottom"/>
          </w:tcPr>
          <w:p w14:paraId="038A3CAE" w14:textId="77777777" w:rsidR="00C83428" w:rsidRDefault="00C83428" w:rsidP="001A5D4A">
            <w:pPr>
              <w:pStyle w:val="NotesTable-ItemPlain"/>
              <w:rPr>
                <w:b/>
              </w:rPr>
            </w:pPr>
            <w:r>
              <w:t>Increase / (decrease) in provision for deferred tax liabilities</w:t>
            </w:r>
          </w:p>
        </w:tc>
        <w:tc>
          <w:tcPr>
            <w:tcW w:w="202" w:type="pct"/>
            <w:shd w:val="clear" w:color="auto" w:fill="D9D9D9" w:themeFill="background1" w:themeFillShade="D9"/>
          </w:tcPr>
          <w:p w14:paraId="038A3CAF" w14:textId="77777777" w:rsidR="00C83428" w:rsidRDefault="00C83428" w:rsidP="001A5D4A">
            <w:pPr>
              <w:pStyle w:val="NotesTable-Notes"/>
            </w:pPr>
          </w:p>
        </w:tc>
        <w:tc>
          <w:tcPr>
            <w:tcW w:w="406" w:type="pct"/>
            <w:shd w:val="clear" w:color="auto" w:fill="D9D9D9" w:themeFill="background1" w:themeFillShade="D9"/>
            <w:vAlign w:val="bottom"/>
          </w:tcPr>
          <w:p w14:paraId="038A3CB0"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B1" w14:textId="77777777" w:rsidR="00C83428" w:rsidRDefault="00C83428" w:rsidP="001A5D4A">
            <w:pPr>
              <w:pStyle w:val="NotesTable-CellPlain"/>
            </w:pPr>
            <w:r>
              <w:t>–</w:t>
            </w:r>
          </w:p>
        </w:tc>
        <w:tc>
          <w:tcPr>
            <w:tcW w:w="406" w:type="pct"/>
            <w:shd w:val="clear" w:color="auto" w:fill="D9D9D9" w:themeFill="background1" w:themeFillShade="D9"/>
            <w:vAlign w:val="bottom"/>
          </w:tcPr>
          <w:p w14:paraId="038A3CB2" w14:textId="77777777" w:rsidR="00C83428" w:rsidRDefault="00C83428" w:rsidP="001A5D4A">
            <w:pPr>
              <w:pStyle w:val="NotesTable-CellBold"/>
            </w:pPr>
            <w:r>
              <w:t>–</w:t>
            </w:r>
          </w:p>
        </w:tc>
        <w:tc>
          <w:tcPr>
            <w:tcW w:w="406" w:type="pct"/>
            <w:shd w:val="clear" w:color="auto" w:fill="D9D9D9" w:themeFill="background1" w:themeFillShade="D9"/>
            <w:vAlign w:val="bottom"/>
          </w:tcPr>
          <w:p w14:paraId="038A3CB3" w14:textId="77777777" w:rsidR="00C83428" w:rsidRDefault="00C83428" w:rsidP="001A5D4A">
            <w:pPr>
              <w:pStyle w:val="NotesTable-CellPlain"/>
            </w:pPr>
            <w:r>
              <w:t>–</w:t>
            </w:r>
          </w:p>
        </w:tc>
      </w:tr>
      <w:tr w:rsidR="00C83428" w14:paraId="038A3CBC" w14:textId="77777777" w:rsidTr="00463ABD">
        <w:trPr>
          <w:cantSplit/>
          <w:trHeight w:hRule="exact" w:val="227"/>
        </w:trPr>
        <w:tc>
          <w:tcPr>
            <w:tcW w:w="810" w:type="pct"/>
          </w:tcPr>
          <w:p w14:paraId="038A3CB5" w14:textId="77777777" w:rsidR="00C83428" w:rsidRDefault="00C83428" w:rsidP="001A5D4A">
            <w:pPr>
              <w:pStyle w:val="Note-Refs"/>
            </w:pPr>
          </w:p>
        </w:tc>
        <w:tc>
          <w:tcPr>
            <w:tcW w:w="2366" w:type="pct"/>
            <w:shd w:val="clear" w:color="auto" w:fill="D9D9D9" w:themeFill="background1" w:themeFillShade="D9"/>
            <w:vAlign w:val="bottom"/>
          </w:tcPr>
          <w:p w14:paraId="038A3CB6" w14:textId="77777777" w:rsidR="00C83428" w:rsidRDefault="00C83428" w:rsidP="001A5D4A">
            <w:pPr>
              <w:pStyle w:val="NotesTable-ItemPlain"/>
              <w:rPr>
                <w:b/>
              </w:rPr>
            </w:pPr>
            <w:r>
              <w:t>Increase / (decrease) in other provisions</w:t>
            </w:r>
          </w:p>
        </w:tc>
        <w:tc>
          <w:tcPr>
            <w:tcW w:w="202" w:type="pct"/>
            <w:shd w:val="clear" w:color="auto" w:fill="D9D9D9" w:themeFill="background1" w:themeFillShade="D9"/>
          </w:tcPr>
          <w:p w14:paraId="038A3CB7" w14:textId="77777777" w:rsidR="00C83428" w:rsidRDefault="00C83428" w:rsidP="001A5D4A">
            <w:pPr>
              <w:pStyle w:val="NotesTable-Notes"/>
            </w:pPr>
          </w:p>
        </w:tc>
        <w:tc>
          <w:tcPr>
            <w:tcW w:w="406" w:type="pct"/>
            <w:tcBorders>
              <w:bottom w:val="single" w:sz="4" w:space="0" w:color="auto"/>
            </w:tcBorders>
            <w:shd w:val="clear" w:color="auto" w:fill="D9D9D9" w:themeFill="background1" w:themeFillShade="D9"/>
          </w:tcPr>
          <w:p w14:paraId="038A3CB8" w14:textId="77777777" w:rsidR="00C83428" w:rsidRDefault="00C83428" w:rsidP="001A5D4A">
            <w:pPr>
              <w:pStyle w:val="NotesTable-CellBold"/>
            </w:pPr>
            <w:r>
              <w:t>–</w:t>
            </w:r>
          </w:p>
        </w:tc>
        <w:tc>
          <w:tcPr>
            <w:tcW w:w="406" w:type="pct"/>
            <w:tcBorders>
              <w:bottom w:val="single" w:sz="4" w:space="0" w:color="auto"/>
            </w:tcBorders>
            <w:shd w:val="clear" w:color="auto" w:fill="D9D9D9" w:themeFill="background1" w:themeFillShade="D9"/>
          </w:tcPr>
          <w:p w14:paraId="038A3CB9" w14:textId="77777777" w:rsidR="00C83428" w:rsidRDefault="00C83428" w:rsidP="001A5D4A">
            <w:pPr>
              <w:pStyle w:val="NotesTable-CellPlain"/>
            </w:pPr>
            <w:r>
              <w:t>–</w:t>
            </w:r>
          </w:p>
        </w:tc>
        <w:tc>
          <w:tcPr>
            <w:tcW w:w="406" w:type="pct"/>
            <w:tcBorders>
              <w:bottom w:val="single" w:sz="4" w:space="0" w:color="auto"/>
            </w:tcBorders>
            <w:shd w:val="clear" w:color="auto" w:fill="D9D9D9" w:themeFill="background1" w:themeFillShade="D9"/>
          </w:tcPr>
          <w:p w14:paraId="038A3CBA" w14:textId="77777777" w:rsidR="00C83428" w:rsidRDefault="00C83428" w:rsidP="001A5D4A">
            <w:pPr>
              <w:pStyle w:val="NotesTable-CellBold"/>
            </w:pPr>
            <w:r>
              <w:t>–</w:t>
            </w:r>
          </w:p>
        </w:tc>
        <w:tc>
          <w:tcPr>
            <w:tcW w:w="406" w:type="pct"/>
            <w:tcBorders>
              <w:bottom w:val="single" w:sz="4" w:space="0" w:color="auto"/>
            </w:tcBorders>
            <w:shd w:val="clear" w:color="auto" w:fill="D9D9D9" w:themeFill="background1" w:themeFillShade="D9"/>
          </w:tcPr>
          <w:p w14:paraId="038A3CBB" w14:textId="77777777" w:rsidR="00C83428" w:rsidRDefault="00C83428" w:rsidP="001A5D4A">
            <w:pPr>
              <w:pStyle w:val="NotesTable-CellPlain"/>
            </w:pPr>
            <w:r>
              <w:t>–</w:t>
            </w:r>
          </w:p>
        </w:tc>
      </w:tr>
      <w:tr w:rsidR="00C83428" w14:paraId="038A3CC4" w14:textId="77777777" w:rsidTr="00463ABD">
        <w:trPr>
          <w:cantSplit/>
          <w:trHeight w:hRule="exact" w:val="227"/>
        </w:trPr>
        <w:tc>
          <w:tcPr>
            <w:tcW w:w="810" w:type="pct"/>
          </w:tcPr>
          <w:p w14:paraId="038A3CBD" w14:textId="77777777" w:rsidR="00C83428" w:rsidRDefault="00C83428" w:rsidP="001A5D4A">
            <w:pPr>
              <w:pStyle w:val="Note-Refs"/>
            </w:pPr>
          </w:p>
        </w:tc>
        <w:tc>
          <w:tcPr>
            <w:tcW w:w="2366" w:type="pct"/>
            <w:shd w:val="clear" w:color="auto" w:fill="D9D9D9" w:themeFill="background1" w:themeFillShade="D9"/>
            <w:vAlign w:val="bottom"/>
          </w:tcPr>
          <w:p w14:paraId="038A3CBE" w14:textId="77777777" w:rsidR="00C83428" w:rsidRDefault="00C83428" w:rsidP="001A5D4A">
            <w:pPr>
              <w:pStyle w:val="NotesTable-ItemPlain"/>
              <w:rPr>
                <w:b/>
              </w:rPr>
            </w:pPr>
            <w:r>
              <w:t>Net cash provided by / (used in) operating activities</w:t>
            </w:r>
          </w:p>
        </w:tc>
        <w:tc>
          <w:tcPr>
            <w:tcW w:w="202" w:type="pct"/>
            <w:shd w:val="clear" w:color="auto" w:fill="D9D9D9" w:themeFill="background1" w:themeFillShade="D9"/>
          </w:tcPr>
          <w:p w14:paraId="038A3CBF" w14:textId="77777777" w:rsidR="00C83428" w:rsidRDefault="00C83428" w:rsidP="001A5D4A">
            <w:pPr>
              <w:pStyle w:val="NotesTable-Notes"/>
            </w:pPr>
          </w:p>
        </w:tc>
        <w:tc>
          <w:tcPr>
            <w:tcW w:w="406" w:type="pct"/>
            <w:tcBorders>
              <w:top w:val="single" w:sz="4" w:space="0" w:color="auto"/>
            </w:tcBorders>
            <w:shd w:val="clear" w:color="auto" w:fill="D9D9D9" w:themeFill="background1" w:themeFillShade="D9"/>
          </w:tcPr>
          <w:p w14:paraId="038A3CC0" w14:textId="77777777" w:rsidR="00C83428" w:rsidRDefault="00C83428" w:rsidP="001A5D4A">
            <w:pPr>
              <w:pStyle w:val="NotesTable-CellBold"/>
            </w:pPr>
            <w:r>
              <w:t>–</w:t>
            </w:r>
          </w:p>
        </w:tc>
        <w:tc>
          <w:tcPr>
            <w:tcW w:w="406" w:type="pct"/>
            <w:tcBorders>
              <w:top w:val="single" w:sz="4" w:space="0" w:color="auto"/>
            </w:tcBorders>
            <w:shd w:val="clear" w:color="auto" w:fill="D9D9D9" w:themeFill="background1" w:themeFillShade="D9"/>
          </w:tcPr>
          <w:p w14:paraId="038A3CC1" w14:textId="77777777" w:rsidR="00C83428" w:rsidRDefault="00C83428" w:rsidP="001A5D4A">
            <w:pPr>
              <w:pStyle w:val="NotesTable-CellPlain"/>
            </w:pPr>
            <w:r>
              <w:t>–</w:t>
            </w:r>
          </w:p>
        </w:tc>
        <w:tc>
          <w:tcPr>
            <w:tcW w:w="406" w:type="pct"/>
            <w:tcBorders>
              <w:top w:val="single" w:sz="4" w:space="0" w:color="auto"/>
            </w:tcBorders>
            <w:shd w:val="clear" w:color="auto" w:fill="D9D9D9" w:themeFill="background1" w:themeFillShade="D9"/>
          </w:tcPr>
          <w:p w14:paraId="038A3CC2" w14:textId="77777777" w:rsidR="00C83428" w:rsidRDefault="00C83428" w:rsidP="001A5D4A">
            <w:pPr>
              <w:pStyle w:val="NotesTable-CellBold"/>
            </w:pPr>
            <w:r>
              <w:t>–</w:t>
            </w:r>
          </w:p>
        </w:tc>
        <w:tc>
          <w:tcPr>
            <w:tcW w:w="406" w:type="pct"/>
            <w:tcBorders>
              <w:top w:val="single" w:sz="4" w:space="0" w:color="auto"/>
            </w:tcBorders>
            <w:shd w:val="clear" w:color="auto" w:fill="D9D9D9" w:themeFill="background1" w:themeFillShade="D9"/>
          </w:tcPr>
          <w:p w14:paraId="038A3CC3" w14:textId="77777777" w:rsidR="00C83428" w:rsidRDefault="00C83428" w:rsidP="001A5D4A">
            <w:pPr>
              <w:pStyle w:val="NotesTable-CellPlain"/>
            </w:pPr>
            <w:r>
              <w:t>–</w:t>
            </w:r>
          </w:p>
        </w:tc>
      </w:tr>
    </w:tbl>
    <w:p w14:paraId="5B28A277" w14:textId="7FACA590" w:rsidR="00A151C4" w:rsidRPr="00A151C4" w:rsidRDefault="00A151C4" w:rsidP="001A5D4A">
      <w:pPr>
        <w:pStyle w:val="Heading3"/>
        <w:rPr>
          <w:color w:val="2D3E7B" w:themeColor="text2" w:themeShade="BF"/>
        </w:rPr>
      </w:pPr>
      <w:bookmarkStart w:id="417" w:name="_Toc410807681"/>
      <w:bookmarkStart w:id="418" w:name="_Toc410822742"/>
      <w:r w:rsidRPr="00A151C4">
        <w:rPr>
          <w:color w:val="2D3E7B" w:themeColor="text2" w:themeShade="BF"/>
        </w:rPr>
        <w:t>Commentary - Reconciliation of net result after income tax to net cash flows from operating activities</w:t>
      </w:r>
      <w:bookmarkEnd w:id="417"/>
      <w:bookmarkEnd w:id="418"/>
    </w:p>
    <w:p w14:paraId="1240B41D" w14:textId="77777777" w:rsidR="00A151C4" w:rsidRPr="00883287" w:rsidRDefault="00A151C4"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Not-for-profit entities</w:t>
      </w:r>
    </w:p>
    <w:p w14:paraId="574A7960" w14:textId="77777777" w:rsidR="00A151C4" w:rsidRPr="00A151C4" w:rsidRDefault="00A151C4" w:rsidP="00655761">
      <w:pPr>
        <w:pStyle w:val="Heading6"/>
      </w:pPr>
      <w:r w:rsidRPr="00A151C4">
        <w:t>AASB1054.16</w:t>
      </w:r>
    </w:p>
    <w:p w14:paraId="5F1F4498" w14:textId="77777777" w:rsidR="00A151C4" w:rsidRPr="00A151C4" w:rsidRDefault="00A151C4" w:rsidP="001A5D4A">
      <w:pPr>
        <w:rPr>
          <w:color w:val="2D3E7B" w:themeColor="text2" w:themeShade="BF"/>
        </w:rPr>
      </w:pPr>
      <w:r w:rsidRPr="00A151C4">
        <w:rPr>
          <w:color w:val="2D3E7B" w:themeColor="text2" w:themeShade="BF"/>
        </w:rPr>
        <w:t>When an entity uses the direct method to present its statement of cash flows, a reconciliation of the net cash flow from operating activities to profit</w:t>
      </w:r>
      <w:proofErr w:type="gramStart"/>
      <w:r w:rsidRPr="00A151C4">
        <w:rPr>
          <w:color w:val="2D3E7B" w:themeColor="text2" w:themeShade="BF"/>
        </w:rPr>
        <w:t>/(</w:t>
      </w:r>
      <w:proofErr w:type="gramEnd"/>
      <w:r w:rsidRPr="00A151C4">
        <w:rPr>
          <w:color w:val="2D3E7B" w:themeColor="text2" w:themeShade="BF"/>
        </w:rPr>
        <w:t>loss) is required. As these guidelines require the direct method, this note will be required.</w:t>
      </w:r>
    </w:p>
    <w:p w14:paraId="04F62AAF" w14:textId="378C8949" w:rsidR="004C0E41" w:rsidRPr="004C0E41" w:rsidRDefault="004C0E41" w:rsidP="00883287">
      <w:pPr>
        <w:pStyle w:val="Heading2"/>
      </w:pPr>
      <w:bookmarkStart w:id="419" w:name="_Toc410807682"/>
      <w:bookmarkStart w:id="420" w:name="_Toc410822743"/>
      <w:proofErr w:type="gramStart"/>
      <w:r>
        <w:t>Note 49.</w:t>
      </w:r>
      <w:proofErr w:type="gramEnd"/>
      <w:r>
        <w:t xml:space="preserve"> </w:t>
      </w:r>
      <w:r w:rsidRPr="004C0E41">
        <w:t>Non-cash investing and financing activities</w:t>
      </w:r>
      <w:bookmarkEnd w:id="419"/>
      <w:bookmarkEnd w:id="420"/>
      <w:r w:rsidRPr="004C0E41">
        <w:t xml:space="preserve"> </w:t>
      </w:r>
    </w:p>
    <w:tbl>
      <w:tblPr>
        <w:tblW w:w="5000" w:type="pct"/>
        <w:tblCellMar>
          <w:left w:w="0" w:type="dxa"/>
          <w:right w:w="0" w:type="dxa"/>
        </w:tblCellMar>
        <w:tblLook w:val="0000" w:firstRow="0" w:lastRow="0" w:firstColumn="0" w:lastColumn="0" w:noHBand="0" w:noVBand="0"/>
      </w:tblPr>
      <w:tblGrid>
        <w:gridCol w:w="1663"/>
        <w:gridCol w:w="5267"/>
        <w:gridCol w:w="833"/>
        <w:gridCol w:w="833"/>
        <w:gridCol w:w="833"/>
        <w:gridCol w:w="831"/>
      </w:tblGrid>
      <w:tr w:rsidR="00023312" w14:paraId="038A3CE3" w14:textId="77777777" w:rsidTr="00463ABD">
        <w:trPr>
          <w:cantSplit/>
          <w:trHeight w:hRule="exact" w:val="227"/>
        </w:trPr>
        <w:tc>
          <w:tcPr>
            <w:tcW w:w="810" w:type="pct"/>
          </w:tcPr>
          <w:p w14:paraId="038A3CDF" w14:textId="77777777" w:rsidR="00023312" w:rsidRDefault="00023312" w:rsidP="001A5D4A">
            <w:pPr>
              <w:pStyle w:val="Note-Refs"/>
            </w:pPr>
          </w:p>
        </w:tc>
        <w:tc>
          <w:tcPr>
            <w:tcW w:w="2567" w:type="pct"/>
          </w:tcPr>
          <w:p w14:paraId="038A3CE0" w14:textId="77777777" w:rsidR="00023312" w:rsidRDefault="00023312" w:rsidP="001A5D4A">
            <w:pPr>
              <w:pStyle w:val="NotesTable-ItemPlain"/>
            </w:pPr>
          </w:p>
        </w:tc>
        <w:tc>
          <w:tcPr>
            <w:tcW w:w="811" w:type="pct"/>
            <w:gridSpan w:val="2"/>
          </w:tcPr>
          <w:p w14:paraId="038A3CE1" w14:textId="77777777" w:rsidR="00023312" w:rsidRDefault="00023312" w:rsidP="001A5D4A">
            <w:pPr>
              <w:pStyle w:val="NotesTable-HeadPlain"/>
              <w:rPr>
                <w:b/>
              </w:rPr>
            </w:pPr>
            <w:r>
              <w:t>Consolidated</w:t>
            </w:r>
          </w:p>
        </w:tc>
        <w:tc>
          <w:tcPr>
            <w:tcW w:w="811" w:type="pct"/>
            <w:gridSpan w:val="2"/>
          </w:tcPr>
          <w:p w14:paraId="038A3CE2" w14:textId="77777777" w:rsidR="00023312" w:rsidRDefault="00023312" w:rsidP="001A5D4A">
            <w:pPr>
              <w:pStyle w:val="NotesTable-HeadPlain"/>
            </w:pPr>
            <w:r>
              <w:t>Parent entity</w:t>
            </w:r>
          </w:p>
        </w:tc>
      </w:tr>
      <w:tr w:rsidR="00A73253" w14:paraId="038A3CEA" w14:textId="77777777" w:rsidTr="00463ABD">
        <w:trPr>
          <w:cantSplit/>
          <w:trHeight w:hRule="exact" w:val="227"/>
        </w:trPr>
        <w:tc>
          <w:tcPr>
            <w:tcW w:w="810" w:type="pct"/>
          </w:tcPr>
          <w:p w14:paraId="038A3CE4" w14:textId="77777777" w:rsidR="00A73253" w:rsidRDefault="00A73253" w:rsidP="001A5D4A">
            <w:pPr>
              <w:pStyle w:val="Note-Refs"/>
            </w:pPr>
          </w:p>
        </w:tc>
        <w:tc>
          <w:tcPr>
            <w:tcW w:w="2567" w:type="pct"/>
          </w:tcPr>
          <w:p w14:paraId="038A3CE5" w14:textId="77777777" w:rsidR="00A73253" w:rsidRDefault="00A73253" w:rsidP="001A5D4A">
            <w:pPr>
              <w:pStyle w:val="NotesTable-ItemPlain"/>
            </w:pPr>
          </w:p>
        </w:tc>
        <w:tc>
          <w:tcPr>
            <w:tcW w:w="406" w:type="pct"/>
          </w:tcPr>
          <w:p w14:paraId="038A3CE6" w14:textId="2065A15C" w:rsidR="00A73253" w:rsidRDefault="006864EC" w:rsidP="001A5D4A">
            <w:pPr>
              <w:pStyle w:val="NotesTable-HeadBold"/>
            </w:pPr>
            <w:r>
              <w:t>2014</w:t>
            </w:r>
          </w:p>
        </w:tc>
        <w:tc>
          <w:tcPr>
            <w:tcW w:w="406" w:type="pct"/>
          </w:tcPr>
          <w:p w14:paraId="038A3CE7" w14:textId="75EC13F8" w:rsidR="00A73253" w:rsidRDefault="006864EC" w:rsidP="001A5D4A">
            <w:pPr>
              <w:pStyle w:val="NotesTable-HeadPlain"/>
            </w:pPr>
            <w:r>
              <w:t>2013</w:t>
            </w:r>
          </w:p>
        </w:tc>
        <w:tc>
          <w:tcPr>
            <w:tcW w:w="406" w:type="pct"/>
          </w:tcPr>
          <w:p w14:paraId="038A3CE8" w14:textId="7CC71138" w:rsidR="00A73253" w:rsidRDefault="006864EC" w:rsidP="001A5D4A">
            <w:pPr>
              <w:pStyle w:val="NotesTable-HeadBold"/>
              <w:rPr>
                <w:szCs w:val="18"/>
              </w:rPr>
            </w:pPr>
            <w:r>
              <w:t>2014</w:t>
            </w:r>
          </w:p>
        </w:tc>
        <w:tc>
          <w:tcPr>
            <w:tcW w:w="406" w:type="pct"/>
          </w:tcPr>
          <w:p w14:paraId="038A3CE9" w14:textId="7BEC8268" w:rsidR="00A73253" w:rsidRDefault="006864EC" w:rsidP="001A5D4A">
            <w:pPr>
              <w:pStyle w:val="NotesTable-HeadPlain"/>
            </w:pPr>
            <w:r>
              <w:t>2013</w:t>
            </w:r>
          </w:p>
        </w:tc>
      </w:tr>
      <w:tr w:rsidR="00A73253" w14:paraId="038A3CF1" w14:textId="77777777" w:rsidTr="00463ABD">
        <w:trPr>
          <w:cantSplit/>
          <w:trHeight w:hRule="exact" w:val="227"/>
        </w:trPr>
        <w:tc>
          <w:tcPr>
            <w:tcW w:w="810" w:type="pct"/>
          </w:tcPr>
          <w:p w14:paraId="038A3CEB" w14:textId="77777777" w:rsidR="00A73253" w:rsidRDefault="00A73253" w:rsidP="001A5D4A">
            <w:pPr>
              <w:pStyle w:val="Note-Refs"/>
            </w:pPr>
          </w:p>
        </w:tc>
        <w:tc>
          <w:tcPr>
            <w:tcW w:w="2567" w:type="pct"/>
          </w:tcPr>
          <w:p w14:paraId="038A3CEC" w14:textId="77777777" w:rsidR="00A73253" w:rsidRDefault="00A73253" w:rsidP="001A5D4A">
            <w:pPr>
              <w:pStyle w:val="NotesTable-ItemPlain"/>
            </w:pPr>
          </w:p>
        </w:tc>
        <w:tc>
          <w:tcPr>
            <w:tcW w:w="406" w:type="pct"/>
          </w:tcPr>
          <w:p w14:paraId="038A3CED" w14:textId="77777777" w:rsidR="00A73253" w:rsidRDefault="00A73253" w:rsidP="001A5D4A">
            <w:pPr>
              <w:pStyle w:val="NotesTable-HeadBold"/>
            </w:pPr>
            <w:r>
              <w:t>$’000</w:t>
            </w:r>
          </w:p>
        </w:tc>
        <w:tc>
          <w:tcPr>
            <w:tcW w:w="406" w:type="pct"/>
          </w:tcPr>
          <w:p w14:paraId="038A3CEE" w14:textId="77777777" w:rsidR="00A73253" w:rsidRDefault="00A73253" w:rsidP="001A5D4A">
            <w:pPr>
              <w:pStyle w:val="NotesTable-HeadPlain"/>
            </w:pPr>
            <w:r>
              <w:t>$’000</w:t>
            </w:r>
          </w:p>
        </w:tc>
        <w:tc>
          <w:tcPr>
            <w:tcW w:w="406" w:type="pct"/>
          </w:tcPr>
          <w:p w14:paraId="038A3CEF" w14:textId="77777777" w:rsidR="00A73253" w:rsidRDefault="00A73253" w:rsidP="001A5D4A">
            <w:pPr>
              <w:pStyle w:val="NotesTable-HeadBold"/>
              <w:rPr>
                <w:szCs w:val="18"/>
              </w:rPr>
            </w:pPr>
            <w:r>
              <w:t>$’000</w:t>
            </w:r>
          </w:p>
        </w:tc>
        <w:tc>
          <w:tcPr>
            <w:tcW w:w="406" w:type="pct"/>
          </w:tcPr>
          <w:p w14:paraId="038A3CF0" w14:textId="77777777" w:rsidR="00A73253" w:rsidRDefault="00A73253" w:rsidP="001A5D4A">
            <w:pPr>
              <w:pStyle w:val="NotesTable-HeadPlain"/>
            </w:pPr>
            <w:r>
              <w:t>$’000</w:t>
            </w:r>
          </w:p>
        </w:tc>
      </w:tr>
      <w:tr w:rsidR="00A73253" w14:paraId="038A3CF8" w14:textId="77777777" w:rsidTr="00463ABD">
        <w:trPr>
          <w:cantSplit/>
          <w:trHeight w:hRule="exact" w:val="227"/>
        </w:trPr>
        <w:tc>
          <w:tcPr>
            <w:tcW w:w="810" w:type="pct"/>
          </w:tcPr>
          <w:p w14:paraId="038A3CF2" w14:textId="77777777" w:rsidR="00A73253" w:rsidRDefault="00A73253" w:rsidP="001A5D4A">
            <w:pPr>
              <w:pStyle w:val="Note-Refs"/>
              <w:rPr>
                <w:b/>
              </w:rPr>
            </w:pPr>
            <w:r>
              <w:t>AASB107.43</w:t>
            </w:r>
          </w:p>
        </w:tc>
        <w:tc>
          <w:tcPr>
            <w:tcW w:w="2567" w:type="pct"/>
          </w:tcPr>
          <w:p w14:paraId="038A3CF3" w14:textId="77777777" w:rsidR="00A73253" w:rsidRDefault="00A73253" w:rsidP="001A5D4A">
            <w:pPr>
              <w:pStyle w:val="NotesTable-ItemPlain"/>
              <w:rPr>
                <w:b/>
              </w:rPr>
            </w:pPr>
            <w:r>
              <w:t>Acquisition of plant and equipment by means of finance leases</w:t>
            </w:r>
          </w:p>
        </w:tc>
        <w:tc>
          <w:tcPr>
            <w:tcW w:w="406" w:type="pct"/>
          </w:tcPr>
          <w:p w14:paraId="038A3CF4" w14:textId="050A001D" w:rsidR="00A73253" w:rsidRDefault="00A73253" w:rsidP="001A5D4A">
            <w:pPr>
              <w:pStyle w:val="NotesTable-CellBold"/>
              <w:rPr>
                <w:b w:val="0"/>
              </w:rPr>
            </w:pPr>
          </w:p>
        </w:tc>
        <w:tc>
          <w:tcPr>
            <w:tcW w:w="406" w:type="pct"/>
          </w:tcPr>
          <w:p w14:paraId="038A3CF5" w14:textId="6BB2FCA6" w:rsidR="00A73253" w:rsidRDefault="00A73253" w:rsidP="001A5D4A">
            <w:pPr>
              <w:pStyle w:val="NotesTable-CellPlain"/>
            </w:pPr>
          </w:p>
        </w:tc>
        <w:tc>
          <w:tcPr>
            <w:tcW w:w="406" w:type="pct"/>
          </w:tcPr>
          <w:p w14:paraId="038A3CF6" w14:textId="4C935B46" w:rsidR="00A73253" w:rsidRDefault="00A73253" w:rsidP="001A5D4A">
            <w:pPr>
              <w:pStyle w:val="NotesTable-CellBold"/>
              <w:rPr>
                <w:b w:val="0"/>
              </w:rPr>
            </w:pPr>
          </w:p>
        </w:tc>
        <w:tc>
          <w:tcPr>
            <w:tcW w:w="406" w:type="pct"/>
          </w:tcPr>
          <w:p w14:paraId="038A3CF7" w14:textId="4C2166B8" w:rsidR="00A73253" w:rsidRDefault="00A73253" w:rsidP="001A5D4A">
            <w:pPr>
              <w:pStyle w:val="NotesTable-CellPlain"/>
            </w:pPr>
          </w:p>
        </w:tc>
      </w:tr>
      <w:tr w:rsidR="00926ABA" w14:paraId="1F5E8255" w14:textId="77777777" w:rsidTr="00463ABD">
        <w:trPr>
          <w:cantSplit/>
          <w:trHeight w:hRule="exact" w:val="227"/>
        </w:trPr>
        <w:tc>
          <w:tcPr>
            <w:tcW w:w="810" w:type="pct"/>
          </w:tcPr>
          <w:p w14:paraId="05586A90" w14:textId="77777777" w:rsidR="00926ABA" w:rsidRDefault="00926ABA" w:rsidP="001A5D4A">
            <w:pPr>
              <w:pStyle w:val="Note-Refs"/>
            </w:pPr>
          </w:p>
        </w:tc>
        <w:tc>
          <w:tcPr>
            <w:tcW w:w="2567" w:type="pct"/>
          </w:tcPr>
          <w:p w14:paraId="2BFCD7F4" w14:textId="07BABA2B" w:rsidR="00926ABA" w:rsidRDefault="00926ABA" w:rsidP="001A5D4A">
            <w:pPr>
              <w:pStyle w:val="NotesTable-ItemPlain"/>
            </w:pPr>
            <w:r>
              <w:t>[specify]</w:t>
            </w:r>
          </w:p>
        </w:tc>
        <w:tc>
          <w:tcPr>
            <w:tcW w:w="406" w:type="pct"/>
          </w:tcPr>
          <w:p w14:paraId="1DF5639D" w14:textId="2184BB72" w:rsidR="00926ABA" w:rsidRDefault="00926ABA" w:rsidP="001A5D4A">
            <w:pPr>
              <w:pStyle w:val="NotesTable-CellBold"/>
            </w:pPr>
            <w:r>
              <w:t>-</w:t>
            </w:r>
          </w:p>
        </w:tc>
        <w:tc>
          <w:tcPr>
            <w:tcW w:w="406" w:type="pct"/>
          </w:tcPr>
          <w:p w14:paraId="69FB4BCF" w14:textId="7C17C440" w:rsidR="00926ABA" w:rsidRDefault="00926ABA" w:rsidP="001A5D4A">
            <w:pPr>
              <w:pStyle w:val="NotesTable-CellPlain"/>
            </w:pPr>
            <w:r>
              <w:t>-</w:t>
            </w:r>
          </w:p>
        </w:tc>
        <w:tc>
          <w:tcPr>
            <w:tcW w:w="406" w:type="pct"/>
          </w:tcPr>
          <w:p w14:paraId="689832DE" w14:textId="36D0C229" w:rsidR="00926ABA" w:rsidRDefault="00926ABA" w:rsidP="001A5D4A">
            <w:pPr>
              <w:pStyle w:val="NotesTable-CellBold"/>
            </w:pPr>
            <w:r>
              <w:t>-</w:t>
            </w:r>
          </w:p>
        </w:tc>
        <w:tc>
          <w:tcPr>
            <w:tcW w:w="406" w:type="pct"/>
          </w:tcPr>
          <w:p w14:paraId="31E4535A" w14:textId="01B582EE" w:rsidR="00926ABA" w:rsidRDefault="00926ABA" w:rsidP="001A5D4A">
            <w:pPr>
              <w:pStyle w:val="NotesTable-CellPlain"/>
            </w:pPr>
            <w:r>
              <w:t>-</w:t>
            </w:r>
          </w:p>
        </w:tc>
      </w:tr>
    </w:tbl>
    <w:p w14:paraId="7304A725" w14:textId="4B80C21F" w:rsidR="00A151C4" w:rsidRPr="004C0E41" w:rsidRDefault="00A151C4" w:rsidP="001A5D4A">
      <w:pPr>
        <w:pStyle w:val="Heading3"/>
        <w:rPr>
          <w:color w:val="2D3E7B" w:themeColor="text2" w:themeShade="BF"/>
        </w:rPr>
      </w:pPr>
      <w:bookmarkStart w:id="421" w:name="_Toc410807683"/>
      <w:bookmarkStart w:id="422" w:name="_Toc410822744"/>
      <w:r w:rsidRPr="004C0E41">
        <w:rPr>
          <w:color w:val="2D3E7B" w:themeColor="text2" w:themeShade="BF"/>
        </w:rPr>
        <w:t>Commentary - Non-cash financing and investing activities</w:t>
      </w:r>
      <w:bookmarkEnd w:id="421"/>
      <w:bookmarkEnd w:id="422"/>
    </w:p>
    <w:p w14:paraId="35BB461E" w14:textId="77777777" w:rsidR="00A151C4" w:rsidRPr="00883287" w:rsidRDefault="00A151C4" w:rsidP="00AB24D3">
      <w:pPr>
        <w:pStyle w:val="Heading4"/>
        <w:rPr>
          <w:color w:val="2D3E7B" w:themeColor="text2" w:themeShade="BF"/>
          <w14:textFill>
            <w14:solidFill>
              <w14:schemeClr w14:val="tx2">
                <w14:lumMod w14:val="75000"/>
                <w14:lumMod w14:val="75000"/>
              </w14:schemeClr>
            </w14:solidFill>
          </w14:textFill>
        </w:rPr>
      </w:pPr>
      <w:r w:rsidRPr="00883287">
        <w:rPr>
          <w:color w:val="2D3E7B" w:themeColor="text2" w:themeShade="BF"/>
          <w14:textFill>
            <w14:solidFill>
              <w14:schemeClr w14:val="tx2">
                <w14:lumMod w14:val="75000"/>
                <w14:lumMod w14:val="75000"/>
              </w14:schemeClr>
            </w14:solidFill>
          </w14:textFill>
        </w:rPr>
        <w:t>Information to be disclosed</w:t>
      </w:r>
    </w:p>
    <w:p w14:paraId="6C7DB953" w14:textId="77777777" w:rsidR="00A151C4" w:rsidRPr="004C0E41" w:rsidRDefault="00A151C4" w:rsidP="00655761">
      <w:pPr>
        <w:pStyle w:val="Heading6"/>
      </w:pPr>
      <w:r w:rsidRPr="004C0E41">
        <w:t>AASB107.43</w:t>
      </w:r>
    </w:p>
    <w:p w14:paraId="2E3B897C" w14:textId="77777777" w:rsidR="00A151C4" w:rsidRPr="004C0E41" w:rsidRDefault="00A151C4" w:rsidP="001A5D4A">
      <w:pPr>
        <w:rPr>
          <w:color w:val="2D3E7B" w:themeColor="text2" w:themeShade="BF"/>
        </w:rPr>
      </w:pPr>
      <w:r w:rsidRPr="004C0E41">
        <w:rPr>
          <w:color w:val="2D3E7B" w:themeColor="text2" w:themeShade="BF"/>
        </w:rPr>
        <w:t>Investing and financing transactions that do not require the use of cash or cash equivalents shall be disclosed in a way that provides all the relevant information about the investing and financing activities.</w:t>
      </w:r>
    </w:p>
    <w:p w14:paraId="07E96CD8" w14:textId="77777777" w:rsidR="00A151C4" w:rsidRPr="004C0E41" w:rsidRDefault="00A151C4" w:rsidP="00655761">
      <w:pPr>
        <w:pStyle w:val="Heading6"/>
      </w:pPr>
      <w:r w:rsidRPr="004C0E41">
        <w:t>AASB107.44</w:t>
      </w:r>
    </w:p>
    <w:p w14:paraId="210145EE" w14:textId="77777777" w:rsidR="00A151C4" w:rsidRPr="004C0E41" w:rsidRDefault="00A151C4" w:rsidP="001A5D4A">
      <w:pPr>
        <w:rPr>
          <w:color w:val="2D3E7B" w:themeColor="text2" w:themeShade="BF"/>
        </w:rPr>
      </w:pPr>
      <w:r w:rsidRPr="004C0E41">
        <w:rPr>
          <w:color w:val="2D3E7B" w:themeColor="text2" w:themeShade="BF"/>
        </w:rPr>
        <w:t>Other examples of transactions or events that would require disclosure under AASB107.43 include the following:</w:t>
      </w:r>
    </w:p>
    <w:p w14:paraId="00862796" w14:textId="079DA489" w:rsidR="00A151C4" w:rsidRPr="004C0E41" w:rsidDel="002541F0" w:rsidRDefault="00A151C4" w:rsidP="009B1E46">
      <w:pPr>
        <w:pStyle w:val="ListParagraph"/>
        <w:numPr>
          <w:ilvl w:val="0"/>
          <w:numId w:val="59"/>
        </w:numPr>
        <w:ind w:left="340" w:hanging="340"/>
        <w:rPr>
          <w:color w:val="2D3E7B" w:themeColor="text2" w:themeShade="BF"/>
        </w:rPr>
      </w:pPr>
      <w:r w:rsidRPr="004C0E41">
        <w:rPr>
          <w:color w:val="2D3E7B" w:themeColor="text2" w:themeShade="BF"/>
        </w:rPr>
        <w:lastRenderedPageBreak/>
        <w:t>acquisitions of assets by assuming directly related liabilities, such as purchase of a building by incurring a mortgage to the seller;</w:t>
      </w:r>
    </w:p>
    <w:p w14:paraId="3AC74ACA" w14:textId="2498FF8C" w:rsidR="00A151C4" w:rsidRPr="004C0E41" w:rsidDel="002541F0" w:rsidRDefault="00A151C4" w:rsidP="009B1E46">
      <w:pPr>
        <w:pStyle w:val="ListParagraph"/>
        <w:numPr>
          <w:ilvl w:val="0"/>
          <w:numId w:val="59"/>
        </w:numPr>
        <w:ind w:left="340" w:hanging="340"/>
        <w:rPr>
          <w:color w:val="2D3E7B" w:themeColor="text2" w:themeShade="BF"/>
        </w:rPr>
      </w:pPr>
      <w:r w:rsidRPr="004C0E41">
        <w:rPr>
          <w:color w:val="2D3E7B" w:themeColor="text2" w:themeShade="BF"/>
        </w:rPr>
        <w:t>acquisitions of entities by means of an equity issue; and</w:t>
      </w:r>
    </w:p>
    <w:p w14:paraId="5B0DC090" w14:textId="41E51214" w:rsidR="00A151C4" w:rsidRPr="004C0E41" w:rsidDel="002541F0" w:rsidRDefault="00A151C4" w:rsidP="009B1E46">
      <w:pPr>
        <w:pStyle w:val="ListParagraph"/>
        <w:numPr>
          <w:ilvl w:val="0"/>
          <w:numId w:val="59"/>
        </w:numPr>
        <w:ind w:left="340" w:hanging="340"/>
        <w:rPr>
          <w:color w:val="2D3E7B" w:themeColor="text2" w:themeShade="BF"/>
        </w:rPr>
      </w:pPr>
      <w:proofErr w:type="gramStart"/>
      <w:r w:rsidRPr="004C0E41">
        <w:rPr>
          <w:color w:val="2D3E7B" w:themeColor="text2" w:themeShade="BF"/>
        </w:rPr>
        <w:t>conversion</w:t>
      </w:r>
      <w:proofErr w:type="gramEnd"/>
      <w:r w:rsidRPr="004C0E41">
        <w:rPr>
          <w:color w:val="2D3E7B" w:themeColor="text2" w:themeShade="BF"/>
        </w:rPr>
        <w:t xml:space="preserve"> of debt to equity.</w:t>
      </w:r>
    </w:p>
    <w:p w14:paraId="038A3D98" w14:textId="77777777" w:rsidR="00023312" w:rsidRPr="004C0E41" w:rsidRDefault="00720B2E" w:rsidP="001A5D4A">
      <w:r w:rsidRPr="004C0E41">
        <w:br w:type="page"/>
      </w:r>
    </w:p>
    <w:p w14:paraId="44E7B518" w14:textId="4684E383" w:rsidR="004C4AAA" w:rsidRDefault="004C4AAA" w:rsidP="00883287">
      <w:pPr>
        <w:pStyle w:val="Heading2"/>
      </w:pPr>
      <w:bookmarkStart w:id="423" w:name="_Toc410807684"/>
      <w:bookmarkStart w:id="424" w:name="_Toc410822745"/>
      <w:proofErr w:type="gramStart"/>
      <w:r w:rsidRPr="004C4AAA">
        <w:lastRenderedPageBreak/>
        <w:t>Note 50.</w:t>
      </w:r>
      <w:proofErr w:type="gramEnd"/>
      <w:r>
        <w:t xml:space="preserve"> </w:t>
      </w:r>
      <w:r w:rsidRPr="004C4AAA">
        <w:t>Financial risk management</w:t>
      </w:r>
      <w:bookmarkEnd w:id="423"/>
      <w:bookmarkEnd w:id="424"/>
    </w:p>
    <w:p w14:paraId="20556969" w14:textId="77777777" w:rsidR="004C4AAA" w:rsidRPr="004C4AAA" w:rsidRDefault="004C4AAA" w:rsidP="001A5D4A">
      <w:r w:rsidRPr="004C4AAA">
        <w:t>AASB132, AASB7</w:t>
      </w:r>
    </w:p>
    <w:tbl>
      <w:tblPr>
        <w:tblW w:w="5000" w:type="pct"/>
        <w:tblCellMar>
          <w:left w:w="0" w:type="dxa"/>
          <w:right w:w="0" w:type="dxa"/>
        </w:tblCellMar>
        <w:tblLook w:val="0000" w:firstRow="0" w:lastRow="0" w:firstColumn="0" w:lastColumn="0" w:noHBand="0" w:noVBand="0"/>
      </w:tblPr>
      <w:tblGrid>
        <w:gridCol w:w="1664"/>
        <w:gridCol w:w="8596"/>
      </w:tblGrid>
      <w:tr w:rsidR="009E04B9" w14:paraId="038A3D9F" w14:textId="77777777" w:rsidTr="00883287">
        <w:trPr>
          <w:trHeight w:hRule="exact" w:val="85"/>
        </w:trPr>
        <w:tc>
          <w:tcPr>
            <w:tcW w:w="811" w:type="pct"/>
          </w:tcPr>
          <w:p w14:paraId="038A3D9D" w14:textId="77777777" w:rsidR="009E04B9" w:rsidRDefault="009E04B9" w:rsidP="001A5D4A">
            <w:pPr>
              <w:pStyle w:val="Note-Refs"/>
            </w:pPr>
          </w:p>
        </w:tc>
        <w:tc>
          <w:tcPr>
            <w:tcW w:w="4189" w:type="pct"/>
          </w:tcPr>
          <w:p w14:paraId="038A3D9E" w14:textId="77777777" w:rsidR="009E04B9" w:rsidRDefault="009E04B9" w:rsidP="001A5D4A">
            <w:pPr>
              <w:pStyle w:val="Note-Text"/>
            </w:pPr>
          </w:p>
        </w:tc>
      </w:tr>
      <w:tr w:rsidR="00023312" w14:paraId="038A3DA2" w14:textId="77777777" w:rsidTr="00883287">
        <w:trPr>
          <w:trHeight w:val="161"/>
        </w:trPr>
        <w:tc>
          <w:tcPr>
            <w:tcW w:w="811" w:type="pct"/>
          </w:tcPr>
          <w:p w14:paraId="038A3DA0" w14:textId="77777777" w:rsidR="00023312" w:rsidRDefault="00023312" w:rsidP="001A5D4A">
            <w:pPr>
              <w:pStyle w:val="Note-Refs"/>
              <w:rPr>
                <w:b/>
              </w:rPr>
            </w:pPr>
            <w:r>
              <w:t>AASB7</w:t>
            </w:r>
            <w:r w:rsidR="00B87C6B">
              <w:t>.</w:t>
            </w:r>
            <w:r>
              <w:t>31,33</w:t>
            </w:r>
          </w:p>
        </w:tc>
        <w:tc>
          <w:tcPr>
            <w:tcW w:w="4189" w:type="pct"/>
          </w:tcPr>
          <w:p w14:paraId="038A3DA1" w14:textId="6F4FA279" w:rsidR="00023312" w:rsidRDefault="00023312" w:rsidP="001A5D4A">
            <w:pPr>
              <w:pStyle w:val="NotesTable-ItemPlain"/>
              <w:rPr>
                <w:b/>
              </w:rPr>
            </w:pPr>
            <w:r>
              <w:t>The Group's activities expose it to a variety of financial risks: market risk (including currency risk, fair value interest rate risk, cash flow interest rate risk and price risk), credit risk and liquidity risk. The Group's overall risk management program focuses on the unpredictability of financial markets and seeks to minimise potential adverse effects on the financial performance of the Group. The Group uses derivative financial instruments such as foreign exchange contracts and interest rate swaps to hedge certain risk exposures. The Group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tc>
      </w:tr>
      <w:tr w:rsidR="009E04B9" w14:paraId="038A3DA5" w14:textId="77777777" w:rsidTr="00883287">
        <w:trPr>
          <w:trHeight w:hRule="exact" w:val="85"/>
        </w:trPr>
        <w:tc>
          <w:tcPr>
            <w:tcW w:w="811" w:type="pct"/>
          </w:tcPr>
          <w:p w14:paraId="038A3DA3" w14:textId="77777777" w:rsidR="009E04B9" w:rsidRDefault="009E04B9" w:rsidP="001A5D4A">
            <w:pPr>
              <w:pStyle w:val="Note-Refs"/>
            </w:pPr>
          </w:p>
        </w:tc>
        <w:tc>
          <w:tcPr>
            <w:tcW w:w="4189" w:type="pct"/>
          </w:tcPr>
          <w:p w14:paraId="038A3DA4" w14:textId="77777777" w:rsidR="009E04B9" w:rsidRDefault="009E04B9" w:rsidP="001A5D4A">
            <w:pPr>
              <w:pStyle w:val="NotesTable-ItemPlain"/>
            </w:pPr>
          </w:p>
        </w:tc>
      </w:tr>
      <w:tr w:rsidR="00720B2E" w14:paraId="038A3DA8" w14:textId="77777777" w:rsidTr="00883287">
        <w:trPr>
          <w:trHeight w:val="207"/>
        </w:trPr>
        <w:tc>
          <w:tcPr>
            <w:tcW w:w="811" w:type="pct"/>
          </w:tcPr>
          <w:p w14:paraId="038A3DA6" w14:textId="77777777" w:rsidR="00720B2E" w:rsidRDefault="00720B2E" w:rsidP="001A5D4A">
            <w:pPr>
              <w:pStyle w:val="Note-Refs"/>
            </w:pPr>
          </w:p>
        </w:tc>
        <w:tc>
          <w:tcPr>
            <w:tcW w:w="4189" w:type="pct"/>
          </w:tcPr>
          <w:p w14:paraId="038A3DA7" w14:textId="225DA4EB" w:rsidR="00720B2E" w:rsidRDefault="00720B2E" w:rsidP="001A5D4A">
            <w:pPr>
              <w:pStyle w:val="NotesTable-ItemPlain"/>
              <w:rPr>
                <w:b/>
              </w:rPr>
            </w:pPr>
            <w:r>
              <w:t>Risk management is carried out by a central treasury department (Group Treasury) under policies approved by the Board of Directors. Group Treasury identifies, evaluates and hedges financial risks in close co</w:t>
            </w:r>
            <w:r>
              <w:noBreakHyphen/>
              <w:t xml:space="preserve">operation with the Group’s operating units. The Board provides written principles for overall risk management, as well as policies covering specific areas, such as foreign exchange risk, interest rate risk, </w:t>
            </w:r>
            <w:proofErr w:type="gramStart"/>
            <w:r>
              <w:t>credit</w:t>
            </w:r>
            <w:proofErr w:type="gramEnd"/>
            <w:r>
              <w:t xml:space="preserve"> risk, use of derivative financial instruments and non</w:t>
            </w:r>
            <w:r>
              <w:noBreakHyphen/>
              <w:t>derivative financial instruments, and investment of excess liquidity.</w:t>
            </w:r>
          </w:p>
        </w:tc>
      </w:tr>
      <w:tr w:rsidR="009E04B9" w14:paraId="038A3DAB" w14:textId="77777777" w:rsidTr="00883287">
        <w:trPr>
          <w:trHeight w:hRule="exact" w:val="85"/>
        </w:trPr>
        <w:tc>
          <w:tcPr>
            <w:tcW w:w="811" w:type="pct"/>
          </w:tcPr>
          <w:p w14:paraId="038A3DA9" w14:textId="77777777" w:rsidR="009E04B9" w:rsidRDefault="009E04B9" w:rsidP="001A5D4A">
            <w:pPr>
              <w:pStyle w:val="Note-Refs"/>
            </w:pPr>
          </w:p>
        </w:tc>
        <w:tc>
          <w:tcPr>
            <w:tcW w:w="4189" w:type="pct"/>
          </w:tcPr>
          <w:p w14:paraId="038A3DAA" w14:textId="77777777" w:rsidR="009E04B9" w:rsidRDefault="009E04B9" w:rsidP="001A5D4A">
            <w:pPr>
              <w:pStyle w:val="NotesTable-ItemPlain"/>
            </w:pPr>
          </w:p>
        </w:tc>
      </w:tr>
      <w:tr w:rsidR="00720B2E" w14:paraId="038A3DAE" w14:textId="77777777" w:rsidTr="00883287">
        <w:trPr>
          <w:trHeight w:val="180"/>
        </w:trPr>
        <w:tc>
          <w:tcPr>
            <w:tcW w:w="811" w:type="pct"/>
          </w:tcPr>
          <w:p w14:paraId="038A3DAC" w14:textId="77777777" w:rsidR="00720B2E" w:rsidRDefault="00720B2E" w:rsidP="001A5D4A">
            <w:pPr>
              <w:pStyle w:val="Note-Refs"/>
              <w:rPr>
                <w:b/>
              </w:rPr>
            </w:pPr>
            <w:r>
              <w:t>AASB7</w:t>
            </w:r>
            <w:r w:rsidR="00B87C6B">
              <w:t>.</w:t>
            </w:r>
            <w:r>
              <w:t>33</w:t>
            </w:r>
          </w:p>
        </w:tc>
        <w:tc>
          <w:tcPr>
            <w:tcW w:w="4189" w:type="pct"/>
            <w:vAlign w:val="center"/>
          </w:tcPr>
          <w:p w14:paraId="038A3DAD" w14:textId="77777777" w:rsidR="00720B2E" w:rsidRDefault="00720B2E" w:rsidP="001A5D4A">
            <w:pPr>
              <w:pStyle w:val="Note-TextHeader"/>
              <w:rPr>
                <w:b w:val="0"/>
                <w:lang w:val="en-GB"/>
              </w:rPr>
            </w:pPr>
            <w:r>
              <w:t>(a)</w:t>
            </w:r>
            <w:r>
              <w:tab/>
              <w:t xml:space="preserve">Market risk </w:t>
            </w:r>
          </w:p>
        </w:tc>
      </w:tr>
      <w:tr w:rsidR="00720B2E" w14:paraId="038A3DB1" w14:textId="77777777" w:rsidTr="00883287">
        <w:trPr>
          <w:trHeight w:val="225"/>
        </w:trPr>
        <w:tc>
          <w:tcPr>
            <w:tcW w:w="811" w:type="pct"/>
          </w:tcPr>
          <w:p w14:paraId="038A3DAF" w14:textId="77777777" w:rsidR="00720B2E" w:rsidRDefault="00720B2E" w:rsidP="001A5D4A">
            <w:pPr>
              <w:pStyle w:val="Note-Refs"/>
            </w:pPr>
          </w:p>
        </w:tc>
        <w:tc>
          <w:tcPr>
            <w:tcW w:w="4189" w:type="pct"/>
          </w:tcPr>
          <w:p w14:paraId="038A3DB0" w14:textId="77777777" w:rsidR="00720B2E" w:rsidRDefault="00720B2E" w:rsidP="001A5D4A">
            <w:pPr>
              <w:pStyle w:val="Note-TextSubheader"/>
              <w:rPr>
                <w:b/>
                <w:lang w:val="en-GB"/>
              </w:rPr>
            </w:pPr>
            <w:r>
              <w:t>(i)</w:t>
            </w:r>
            <w:r>
              <w:tab/>
              <w:t xml:space="preserve">Foreign exchange risk </w:t>
            </w:r>
          </w:p>
        </w:tc>
      </w:tr>
      <w:tr w:rsidR="00500B2F" w14:paraId="038A3DB4" w14:textId="77777777" w:rsidTr="00883287">
        <w:trPr>
          <w:trHeight w:val="225"/>
        </w:trPr>
        <w:tc>
          <w:tcPr>
            <w:tcW w:w="811" w:type="pct"/>
          </w:tcPr>
          <w:p w14:paraId="038A3DB2" w14:textId="77777777" w:rsidR="00500B2F" w:rsidRDefault="00500B2F" w:rsidP="001A5D4A">
            <w:pPr>
              <w:pStyle w:val="Note-Refs"/>
              <w:rPr>
                <w:b/>
              </w:rPr>
            </w:pPr>
            <w:r w:rsidRPr="00500B2F">
              <w:t>AASB7.33a</w:t>
            </w:r>
            <w:r w:rsidRPr="00F13A53">
              <w:t>-c</w:t>
            </w:r>
          </w:p>
        </w:tc>
        <w:tc>
          <w:tcPr>
            <w:tcW w:w="4189" w:type="pct"/>
          </w:tcPr>
          <w:p w14:paraId="038A3DB3" w14:textId="77777777" w:rsidR="00500B2F" w:rsidRPr="00500B2F" w:rsidRDefault="00500B2F" w:rsidP="001A5D4A">
            <w:pPr>
              <w:pStyle w:val="NotesTable-ItemPlain"/>
              <w:rPr>
                <w:b/>
                <w:i/>
                <w:color w:val="000000"/>
              </w:rPr>
            </w:pPr>
            <w:r w:rsidRPr="00F33C1D">
              <w:t>Describe the exposures to foreign exchange risk and how they arise;</w:t>
            </w:r>
          </w:p>
        </w:tc>
      </w:tr>
      <w:tr w:rsidR="00500B2F" w14:paraId="038A3DB7" w14:textId="77777777" w:rsidTr="00883287">
        <w:trPr>
          <w:trHeight w:val="159"/>
        </w:trPr>
        <w:tc>
          <w:tcPr>
            <w:tcW w:w="811" w:type="pct"/>
          </w:tcPr>
          <w:p w14:paraId="038A3DB5" w14:textId="77777777" w:rsidR="00500B2F" w:rsidRDefault="00500B2F" w:rsidP="001A5D4A">
            <w:pPr>
              <w:pStyle w:val="Note-Refs"/>
            </w:pPr>
          </w:p>
        </w:tc>
        <w:tc>
          <w:tcPr>
            <w:tcW w:w="4189" w:type="pct"/>
          </w:tcPr>
          <w:p w14:paraId="038A3DB6" w14:textId="77777777" w:rsidR="00500B2F" w:rsidRPr="00500B2F" w:rsidRDefault="00500B2F" w:rsidP="001A5D4A">
            <w:pPr>
              <w:pStyle w:val="NotesTable-ItemPlain"/>
              <w:rPr>
                <w:b/>
                <w:i/>
                <w:color w:val="000000"/>
              </w:rPr>
            </w:pPr>
            <w:r w:rsidRPr="00F33C1D">
              <w:t>Describe the Group’s objectives, policies and processes for managing the foreign exchange risk and the methods used to measure the risk; and</w:t>
            </w:r>
          </w:p>
        </w:tc>
      </w:tr>
      <w:tr w:rsidR="00500B2F" w14:paraId="038A3DBA" w14:textId="77777777" w:rsidTr="00883287">
        <w:trPr>
          <w:trHeight w:val="225"/>
        </w:trPr>
        <w:tc>
          <w:tcPr>
            <w:tcW w:w="811" w:type="pct"/>
          </w:tcPr>
          <w:p w14:paraId="038A3DB8" w14:textId="77777777" w:rsidR="00500B2F" w:rsidRDefault="00500B2F" w:rsidP="001A5D4A">
            <w:pPr>
              <w:pStyle w:val="Note-Refs"/>
            </w:pPr>
          </w:p>
        </w:tc>
        <w:tc>
          <w:tcPr>
            <w:tcW w:w="4189" w:type="pct"/>
          </w:tcPr>
          <w:p w14:paraId="038A3DB9" w14:textId="77777777" w:rsidR="00500B2F" w:rsidRPr="00F33C1D" w:rsidRDefault="00500B2F" w:rsidP="001A5D4A">
            <w:pPr>
              <w:pStyle w:val="NotesTable-ItemPlain"/>
              <w:rPr>
                <w:b/>
              </w:rPr>
            </w:pPr>
            <w:r w:rsidRPr="00F33C1D">
              <w:t>Describe any changes in the above from the previous period.</w:t>
            </w:r>
          </w:p>
        </w:tc>
      </w:tr>
      <w:tr w:rsidR="00500B2F" w14:paraId="038A3DBD" w14:textId="77777777" w:rsidTr="00883287">
        <w:trPr>
          <w:cantSplit/>
          <w:trHeight w:hRule="exact" w:val="85"/>
        </w:trPr>
        <w:tc>
          <w:tcPr>
            <w:tcW w:w="811" w:type="pct"/>
          </w:tcPr>
          <w:p w14:paraId="038A3DBB" w14:textId="77777777" w:rsidR="00500B2F" w:rsidRDefault="00500B2F" w:rsidP="001A5D4A">
            <w:pPr>
              <w:pStyle w:val="Note-Refs"/>
            </w:pPr>
          </w:p>
        </w:tc>
        <w:tc>
          <w:tcPr>
            <w:tcW w:w="4189" w:type="pct"/>
          </w:tcPr>
          <w:p w14:paraId="038A3DBC" w14:textId="77777777" w:rsidR="00500B2F" w:rsidRPr="00F33C1D" w:rsidRDefault="00500B2F" w:rsidP="001A5D4A">
            <w:pPr>
              <w:pStyle w:val="NotesTable-ItemPlain"/>
            </w:pPr>
          </w:p>
        </w:tc>
      </w:tr>
      <w:tr w:rsidR="00500B2F" w14:paraId="038A3DC0" w14:textId="77777777" w:rsidTr="00883287">
        <w:trPr>
          <w:trHeight w:val="159"/>
        </w:trPr>
        <w:tc>
          <w:tcPr>
            <w:tcW w:w="811" w:type="pct"/>
          </w:tcPr>
          <w:p w14:paraId="038A3DBE" w14:textId="77777777" w:rsidR="00500B2F" w:rsidRDefault="00500B2F" w:rsidP="001A5D4A">
            <w:pPr>
              <w:pStyle w:val="Note-Refs"/>
              <w:rPr>
                <w:b/>
              </w:rPr>
            </w:pPr>
            <w:r w:rsidRPr="00F13A53">
              <w:t>AASB7.22</w:t>
            </w:r>
          </w:p>
        </w:tc>
        <w:tc>
          <w:tcPr>
            <w:tcW w:w="4189" w:type="pct"/>
          </w:tcPr>
          <w:p w14:paraId="038A3DBF" w14:textId="28B530C9" w:rsidR="00500B2F" w:rsidRPr="00F33C1D" w:rsidRDefault="00500B2F" w:rsidP="001A5D4A">
            <w:pPr>
              <w:pStyle w:val="NotesTable-ItemPlain"/>
              <w:rPr>
                <w:b/>
              </w:rPr>
            </w:pPr>
            <w:r w:rsidRPr="00F33C1D">
              <w:t>Disclose the following separately for each type of hedge (</w:t>
            </w:r>
            <w:proofErr w:type="spellStart"/>
            <w:r w:rsidR="00AB3203">
              <w:t>ie</w:t>
            </w:r>
            <w:proofErr w:type="spellEnd"/>
            <w:r w:rsidRPr="00F33C1D">
              <w:t xml:space="preserve"> fair value hedges, cash flow hedges, and hedges of net investments in foreign operations):</w:t>
            </w:r>
          </w:p>
        </w:tc>
      </w:tr>
      <w:tr w:rsidR="00500B2F" w14:paraId="038A3DC3" w14:textId="77777777" w:rsidTr="00883287">
        <w:trPr>
          <w:trHeight w:val="159"/>
        </w:trPr>
        <w:tc>
          <w:tcPr>
            <w:tcW w:w="811" w:type="pct"/>
          </w:tcPr>
          <w:p w14:paraId="038A3DC1" w14:textId="77777777" w:rsidR="00500B2F" w:rsidRDefault="00500B2F" w:rsidP="001A5D4A">
            <w:pPr>
              <w:pStyle w:val="Note-Refs"/>
            </w:pPr>
          </w:p>
        </w:tc>
        <w:tc>
          <w:tcPr>
            <w:tcW w:w="4189" w:type="pct"/>
          </w:tcPr>
          <w:p w14:paraId="038A3DC2" w14:textId="77777777" w:rsidR="00500B2F" w:rsidRPr="00F33C1D" w:rsidRDefault="00500B2F" w:rsidP="001A5D4A">
            <w:pPr>
              <w:pStyle w:val="Note-List1"/>
              <w:rPr>
                <w:b/>
                <w:lang w:val="en-GB"/>
              </w:rPr>
            </w:pPr>
            <w:r w:rsidRPr="00500B2F">
              <w:t>(a)</w:t>
            </w:r>
            <w:r w:rsidRPr="00500B2F">
              <w:tab/>
              <w:t>a description of each type of hedge;</w:t>
            </w:r>
          </w:p>
        </w:tc>
      </w:tr>
      <w:tr w:rsidR="00500B2F" w14:paraId="038A3DC6" w14:textId="77777777" w:rsidTr="00883287">
        <w:trPr>
          <w:trHeight w:val="159"/>
        </w:trPr>
        <w:tc>
          <w:tcPr>
            <w:tcW w:w="811" w:type="pct"/>
          </w:tcPr>
          <w:p w14:paraId="038A3DC4" w14:textId="77777777" w:rsidR="00500B2F" w:rsidRDefault="00500B2F" w:rsidP="001A5D4A">
            <w:pPr>
              <w:pStyle w:val="Note-Refs"/>
            </w:pPr>
          </w:p>
        </w:tc>
        <w:tc>
          <w:tcPr>
            <w:tcW w:w="4189" w:type="pct"/>
          </w:tcPr>
          <w:p w14:paraId="038A3DC5" w14:textId="77777777" w:rsidR="00500B2F" w:rsidRPr="00F33C1D" w:rsidRDefault="00500B2F" w:rsidP="001A5D4A">
            <w:pPr>
              <w:pStyle w:val="Note-List1"/>
              <w:rPr>
                <w:b/>
                <w:lang w:val="en-GB"/>
              </w:rPr>
            </w:pPr>
            <w:r w:rsidRPr="00500B2F">
              <w:t>(b)</w:t>
            </w:r>
            <w:r w:rsidRPr="00500B2F">
              <w:tab/>
              <w:t>a description of the financial instruments designated as hedging instruments and their fair values at the reporting date; and</w:t>
            </w:r>
          </w:p>
        </w:tc>
      </w:tr>
      <w:tr w:rsidR="00500B2F" w14:paraId="038A3DC9" w14:textId="77777777" w:rsidTr="00883287">
        <w:trPr>
          <w:trHeight w:val="159"/>
        </w:trPr>
        <w:tc>
          <w:tcPr>
            <w:tcW w:w="811" w:type="pct"/>
          </w:tcPr>
          <w:p w14:paraId="038A3DC7" w14:textId="77777777" w:rsidR="00500B2F" w:rsidRDefault="00500B2F" w:rsidP="001A5D4A">
            <w:pPr>
              <w:pStyle w:val="Note-Refs"/>
            </w:pPr>
          </w:p>
        </w:tc>
        <w:tc>
          <w:tcPr>
            <w:tcW w:w="4189" w:type="pct"/>
          </w:tcPr>
          <w:p w14:paraId="038A3DC8" w14:textId="77777777" w:rsidR="00500B2F" w:rsidRPr="00F33C1D" w:rsidRDefault="00500B2F" w:rsidP="001A5D4A">
            <w:pPr>
              <w:pStyle w:val="Note-List1"/>
              <w:rPr>
                <w:b/>
                <w:lang w:val="en-GB"/>
              </w:rPr>
            </w:pPr>
            <w:r w:rsidRPr="00500B2F">
              <w:t>(c)</w:t>
            </w:r>
            <w:r w:rsidRPr="00500B2F">
              <w:tab/>
            </w:r>
            <w:proofErr w:type="gramStart"/>
            <w:r w:rsidRPr="00500B2F">
              <w:t>the</w:t>
            </w:r>
            <w:proofErr w:type="gramEnd"/>
            <w:r w:rsidRPr="00500B2F">
              <w:t xml:space="preserve"> nature of the risks being hedged.</w:t>
            </w:r>
          </w:p>
        </w:tc>
      </w:tr>
      <w:tr w:rsidR="00500B2F" w14:paraId="038A3DCC" w14:textId="77777777" w:rsidTr="00883287">
        <w:trPr>
          <w:trHeight w:hRule="exact" w:val="85"/>
        </w:trPr>
        <w:tc>
          <w:tcPr>
            <w:tcW w:w="811" w:type="pct"/>
          </w:tcPr>
          <w:p w14:paraId="038A3DCA" w14:textId="77777777" w:rsidR="00500B2F" w:rsidRDefault="00500B2F" w:rsidP="001A5D4A">
            <w:pPr>
              <w:pStyle w:val="Note-Refs"/>
            </w:pPr>
          </w:p>
        </w:tc>
        <w:tc>
          <w:tcPr>
            <w:tcW w:w="4189" w:type="pct"/>
          </w:tcPr>
          <w:p w14:paraId="038A3DCB" w14:textId="77777777" w:rsidR="00500B2F" w:rsidRPr="00500B2F" w:rsidRDefault="00500B2F" w:rsidP="001A5D4A">
            <w:pPr>
              <w:pStyle w:val="NotesTable-ItemPlain"/>
            </w:pPr>
          </w:p>
        </w:tc>
      </w:tr>
      <w:tr w:rsidR="00500B2F" w14:paraId="038A3DCF" w14:textId="77777777" w:rsidTr="00883287">
        <w:trPr>
          <w:trHeight w:val="159"/>
        </w:trPr>
        <w:tc>
          <w:tcPr>
            <w:tcW w:w="811" w:type="pct"/>
          </w:tcPr>
          <w:p w14:paraId="038A3DCD" w14:textId="77777777" w:rsidR="00500B2F" w:rsidRDefault="00500B2F" w:rsidP="001A5D4A">
            <w:pPr>
              <w:pStyle w:val="Note-Refs"/>
              <w:rPr>
                <w:b/>
              </w:rPr>
            </w:pPr>
            <w:r w:rsidRPr="00F13A53">
              <w:t>AASB7.23</w:t>
            </w:r>
          </w:p>
        </w:tc>
        <w:tc>
          <w:tcPr>
            <w:tcW w:w="4189" w:type="pct"/>
          </w:tcPr>
          <w:p w14:paraId="038A3DCE" w14:textId="77777777" w:rsidR="00500B2F" w:rsidRPr="00500B2F" w:rsidRDefault="00500B2F" w:rsidP="001A5D4A">
            <w:pPr>
              <w:pStyle w:val="NotesTable-ItemPlain"/>
              <w:rPr>
                <w:b/>
                <w:color w:val="000000"/>
              </w:rPr>
            </w:pPr>
            <w:r w:rsidRPr="00F33C1D">
              <w:t>For cash flow hedges, disclose:</w:t>
            </w:r>
          </w:p>
        </w:tc>
      </w:tr>
      <w:tr w:rsidR="00500B2F" w14:paraId="038A3DD2" w14:textId="77777777" w:rsidTr="00883287">
        <w:trPr>
          <w:trHeight w:val="159"/>
        </w:trPr>
        <w:tc>
          <w:tcPr>
            <w:tcW w:w="811" w:type="pct"/>
          </w:tcPr>
          <w:p w14:paraId="038A3DD0" w14:textId="77777777" w:rsidR="00500B2F" w:rsidRDefault="00500B2F" w:rsidP="001A5D4A">
            <w:pPr>
              <w:pStyle w:val="Note-Refs"/>
            </w:pPr>
          </w:p>
        </w:tc>
        <w:tc>
          <w:tcPr>
            <w:tcW w:w="4189" w:type="pct"/>
          </w:tcPr>
          <w:p w14:paraId="038A3DD1" w14:textId="6418FF6E" w:rsidR="00500B2F" w:rsidRPr="00666DC9" w:rsidRDefault="00500B2F" w:rsidP="001A5D4A">
            <w:pPr>
              <w:pStyle w:val="Note-Text"/>
              <w:rPr>
                <w:b/>
                <w:lang w:val="en-GB"/>
              </w:rPr>
            </w:pPr>
            <w:r w:rsidRPr="00500B2F">
              <w:t>(a)</w:t>
            </w:r>
            <w:r w:rsidRPr="00500B2F">
              <w:tab/>
              <w:t xml:space="preserve">the periods when the cash flows are expected to occur and when they are expected to affect profit </w:t>
            </w:r>
            <w:r w:rsidR="002254C9">
              <w:t>or</w:t>
            </w:r>
            <w:r w:rsidR="002254C9" w:rsidRPr="00500B2F">
              <w:t xml:space="preserve"> loss</w:t>
            </w:r>
            <w:r w:rsidRPr="00500B2F">
              <w:t>;</w:t>
            </w:r>
          </w:p>
        </w:tc>
      </w:tr>
      <w:tr w:rsidR="00500B2F" w14:paraId="038A3DD5" w14:textId="77777777" w:rsidTr="00883287">
        <w:trPr>
          <w:trHeight w:val="159"/>
        </w:trPr>
        <w:tc>
          <w:tcPr>
            <w:tcW w:w="811" w:type="pct"/>
          </w:tcPr>
          <w:p w14:paraId="038A3DD3" w14:textId="77777777" w:rsidR="00500B2F" w:rsidRDefault="00500B2F" w:rsidP="001A5D4A">
            <w:pPr>
              <w:pStyle w:val="Note-Refs"/>
            </w:pPr>
          </w:p>
        </w:tc>
        <w:tc>
          <w:tcPr>
            <w:tcW w:w="4189" w:type="pct"/>
          </w:tcPr>
          <w:p w14:paraId="038A3DD4" w14:textId="77777777" w:rsidR="00500B2F" w:rsidRPr="00666DC9" w:rsidRDefault="00500B2F" w:rsidP="001A5D4A">
            <w:pPr>
              <w:pStyle w:val="Note-Text"/>
              <w:rPr>
                <w:b/>
                <w:lang w:val="en-GB"/>
              </w:rPr>
            </w:pPr>
            <w:r w:rsidRPr="00500B2F">
              <w:t>(b)</w:t>
            </w:r>
            <w:r w:rsidRPr="00500B2F">
              <w:tab/>
              <w:t>a description of any forecast transaction for which hedge accounting had previously been used, but is no longer expected to occur;</w:t>
            </w:r>
          </w:p>
        </w:tc>
      </w:tr>
      <w:tr w:rsidR="00500B2F" w14:paraId="038A3DD8" w14:textId="77777777" w:rsidTr="00883287">
        <w:trPr>
          <w:trHeight w:val="159"/>
        </w:trPr>
        <w:tc>
          <w:tcPr>
            <w:tcW w:w="811" w:type="pct"/>
          </w:tcPr>
          <w:p w14:paraId="038A3DD6" w14:textId="77777777" w:rsidR="00500B2F" w:rsidRDefault="00500B2F" w:rsidP="001A5D4A">
            <w:pPr>
              <w:pStyle w:val="Note-Refs"/>
            </w:pPr>
          </w:p>
        </w:tc>
        <w:tc>
          <w:tcPr>
            <w:tcW w:w="4189" w:type="pct"/>
          </w:tcPr>
          <w:p w14:paraId="038A3DD7" w14:textId="77777777" w:rsidR="00500B2F" w:rsidRPr="00F33C1D" w:rsidRDefault="00500B2F" w:rsidP="001A5D4A">
            <w:pPr>
              <w:pStyle w:val="Note-Text"/>
              <w:rPr>
                <w:b/>
                <w:lang w:val="en-GB"/>
              </w:rPr>
            </w:pPr>
            <w:r w:rsidRPr="00500B2F">
              <w:t>(c)</w:t>
            </w:r>
            <w:r w:rsidRPr="00500B2F">
              <w:tab/>
              <w:t>the a</w:t>
            </w:r>
            <w:r w:rsidRPr="00666DC9">
              <w:t xml:space="preserve">mount that was recognised in other comprehensive income </w:t>
            </w:r>
            <w:r w:rsidRPr="00F33C1D">
              <w:t>during the period;</w:t>
            </w:r>
          </w:p>
        </w:tc>
      </w:tr>
      <w:tr w:rsidR="00500B2F" w14:paraId="038A3DDB" w14:textId="77777777" w:rsidTr="00883287">
        <w:trPr>
          <w:trHeight w:val="159"/>
        </w:trPr>
        <w:tc>
          <w:tcPr>
            <w:tcW w:w="811" w:type="pct"/>
          </w:tcPr>
          <w:p w14:paraId="038A3DD9" w14:textId="77777777" w:rsidR="00500B2F" w:rsidRDefault="00500B2F" w:rsidP="001A5D4A">
            <w:pPr>
              <w:pStyle w:val="Note-Refs"/>
            </w:pPr>
          </w:p>
        </w:tc>
        <w:tc>
          <w:tcPr>
            <w:tcW w:w="4189" w:type="pct"/>
          </w:tcPr>
          <w:p w14:paraId="038A3DDA" w14:textId="77777777" w:rsidR="00500B2F" w:rsidRPr="00F33C1D" w:rsidRDefault="00500B2F" w:rsidP="001A5D4A">
            <w:pPr>
              <w:pStyle w:val="Note-Text"/>
              <w:rPr>
                <w:b/>
                <w:lang w:val="en-GB"/>
              </w:rPr>
            </w:pPr>
            <w:r w:rsidRPr="00500B2F">
              <w:t>(d)</w:t>
            </w:r>
            <w:r w:rsidRPr="00500B2F">
              <w:tab/>
              <w:t xml:space="preserve">the amount that was </w:t>
            </w:r>
            <w:r w:rsidRPr="00666DC9">
              <w:t xml:space="preserve">reclassified from equity and included in profit or loss for the period, showing the amount included in each line item in the </w:t>
            </w:r>
            <w:r w:rsidRPr="00F33C1D">
              <w:t>statement of comprehensive income; and</w:t>
            </w:r>
          </w:p>
        </w:tc>
      </w:tr>
      <w:tr w:rsidR="00500B2F" w14:paraId="038A3DDE" w14:textId="77777777" w:rsidTr="00883287">
        <w:trPr>
          <w:trHeight w:val="159"/>
        </w:trPr>
        <w:tc>
          <w:tcPr>
            <w:tcW w:w="811" w:type="pct"/>
          </w:tcPr>
          <w:p w14:paraId="038A3DDC" w14:textId="77777777" w:rsidR="00500B2F" w:rsidRDefault="00500B2F" w:rsidP="001A5D4A">
            <w:pPr>
              <w:pStyle w:val="Note-Refs"/>
            </w:pPr>
          </w:p>
        </w:tc>
        <w:tc>
          <w:tcPr>
            <w:tcW w:w="4189" w:type="pct"/>
          </w:tcPr>
          <w:p w14:paraId="038A3DDD" w14:textId="77777777" w:rsidR="00500B2F" w:rsidRPr="00666DC9" w:rsidRDefault="00500B2F" w:rsidP="001A5D4A">
            <w:pPr>
              <w:pStyle w:val="Note-Text"/>
              <w:rPr>
                <w:b/>
                <w:lang w:val="en-GB"/>
              </w:rPr>
            </w:pPr>
            <w:r w:rsidRPr="00500B2F">
              <w:t>(e)</w:t>
            </w:r>
            <w:r w:rsidRPr="00500B2F">
              <w:tab/>
            </w:r>
            <w:proofErr w:type="gramStart"/>
            <w:r w:rsidRPr="00500B2F">
              <w:t>the</w:t>
            </w:r>
            <w:proofErr w:type="gramEnd"/>
            <w:r w:rsidRPr="00500B2F">
              <w:t xml:space="preserve"> amount that was removed from equity during the period and included in the initial cost or other carrying amount of a non-financial asset or non-financial liability whose acquisition or incurrence has a hedged highly probably forecast transac</w:t>
            </w:r>
            <w:r w:rsidRPr="00666DC9">
              <w:t>tion.</w:t>
            </w:r>
          </w:p>
        </w:tc>
      </w:tr>
      <w:tr w:rsidR="00500B2F" w14:paraId="038A3DE1" w14:textId="77777777" w:rsidTr="00883287">
        <w:trPr>
          <w:cantSplit/>
          <w:trHeight w:hRule="exact" w:val="85"/>
        </w:trPr>
        <w:tc>
          <w:tcPr>
            <w:tcW w:w="811" w:type="pct"/>
          </w:tcPr>
          <w:p w14:paraId="038A3DDF" w14:textId="77777777" w:rsidR="00500B2F" w:rsidRDefault="00500B2F" w:rsidP="001A5D4A">
            <w:pPr>
              <w:pStyle w:val="Note-Refs"/>
            </w:pPr>
          </w:p>
        </w:tc>
        <w:tc>
          <w:tcPr>
            <w:tcW w:w="4189" w:type="pct"/>
          </w:tcPr>
          <w:p w14:paraId="038A3DE0" w14:textId="77777777" w:rsidR="00500B2F" w:rsidRPr="00500B2F" w:rsidRDefault="00500B2F" w:rsidP="001A5D4A">
            <w:pPr>
              <w:pStyle w:val="Note-Text"/>
            </w:pPr>
          </w:p>
        </w:tc>
      </w:tr>
      <w:tr w:rsidR="00500B2F" w14:paraId="038A3DE4" w14:textId="77777777" w:rsidTr="00883287">
        <w:trPr>
          <w:trHeight w:val="159"/>
        </w:trPr>
        <w:tc>
          <w:tcPr>
            <w:tcW w:w="811" w:type="pct"/>
          </w:tcPr>
          <w:p w14:paraId="038A3DE2" w14:textId="77777777" w:rsidR="00500B2F" w:rsidRDefault="00500B2F" w:rsidP="001A5D4A">
            <w:pPr>
              <w:pStyle w:val="Note-Refs"/>
              <w:rPr>
                <w:b/>
              </w:rPr>
            </w:pPr>
            <w:r w:rsidRPr="00F13A53">
              <w:t>AASB7.24</w:t>
            </w:r>
          </w:p>
        </w:tc>
        <w:tc>
          <w:tcPr>
            <w:tcW w:w="4189" w:type="pct"/>
          </w:tcPr>
          <w:p w14:paraId="038A3DE3" w14:textId="77777777" w:rsidR="00500B2F" w:rsidRPr="00500B2F" w:rsidRDefault="00500B2F" w:rsidP="001A5D4A">
            <w:pPr>
              <w:pStyle w:val="NotesTable-ItemPlain"/>
              <w:rPr>
                <w:b/>
                <w:color w:val="000000"/>
              </w:rPr>
            </w:pPr>
            <w:r w:rsidRPr="00F33C1D">
              <w:t>Separately disclose:</w:t>
            </w:r>
          </w:p>
        </w:tc>
      </w:tr>
      <w:tr w:rsidR="00500B2F" w14:paraId="038A3DE7" w14:textId="77777777" w:rsidTr="00883287">
        <w:trPr>
          <w:trHeight w:val="159"/>
        </w:trPr>
        <w:tc>
          <w:tcPr>
            <w:tcW w:w="811" w:type="pct"/>
          </w:tcPr>
          <w:p w14:paraId="038A3DE5" w14:textId="77777777" w:rsidR="00500B2F" w:rsidRDefault="00500B2F" w:rsidP="001A5D4A">
            <w:pPr>
              <w:pStyle w:val="Note-Refs"/>
            </w:pPr>
          </w:p>
        </w:tc>
        <w:tc>
          <w:tcPr>
            <w:tcW w:w="4189" w:type="pct"/>
          </w:tcPr>
          <w:p w14:paraId="038A3DE6" w14:textId="77777777" w:rsidR="00500B2F" w:rsidRPr="00666DC9" w:rsidRDefault="00500B2F" w:rsidP="001A5D4A">
            <w:pPr>
              <w:pStyle w:val="Note-List1"/>
              <w:rPr>
                <w:b/>
                <w:lang w:val="en-GB"/>
              </w:rPr>
            </w:pPr>
            <w:r w:rsidRPr="00500B2F">
              <w:t>(a)</w:t>
            </w:r>
            <w:r w:rsidRPr="00500B2F">
              <w:tab/>
              <w:t>in fair value hedges, gains or losses:</w:t>
            </w:r>
          </w:p>
        </w:tc>
      </w:tr>
      <w:tr w:rsidR="00500B2F" w14:paraId="038A3DEA" w14:textId="77777777" w:rsidTr="00883287">
        <w:trPr>
          <w:trHeight w:val="159"/>
        </w:trPr>
        <w:tc>
          <w:tcPr>
            <w:tcW w:w="811" w:type="pct"/>
          </w:tcPr>
          <w:p w14:paraId="038A3DE8" w14:textId="77777777" w:rsidR="00500B2F" w:rsidRDefault="00500B2F" w:rsidP="001A5D4A">
            <w:pPr>
              <w:pStyle w:val="Note-Refs"/>
            </w:pPr>
          </w:p>
        </w:tc>
        <w:tc>
          <w:tcPr>
            <w:tcW w:w="4189" w:type="pct"/>
          </w:tcPr>
          <w:p w14:paraId="038A3DE9" w14:textId="77777777" w:rsidR="00500B2F" w:rsidRPr="00666DC9" w:rsidRDefault="00500B2F" w:rsidP="001A5D4A">
            <w:pPr>
              <w:pStyle w:val="Note-List2"/>
              <w:rPr>
                <w:b/>
                <w:lang w:val="en-GB"/>
              </w:rPr>
            </w:pPr>
            <w:r w:rsidRPr="00500B2F">
              <w:t>(i)</w:t>
            </w:r>
            <w:r w:rsidRPr="00500B2F">
              <w:tab/>
              <w:t>on the hedging instrument; and</w:t>
            </w:r>
          </w:p>
        </w:tc>
      </w:tr>
      <w:tr w:rsidR="00500B2F" w14:paraId="038A3DED" w14:textId="77777777" w:rsidTr="00883287">
        <w:trPr>
          <w:trHeight w:val="159"/>
        </w:trPr>
        <w:tc>
          <w:tcPr>
            <w:tcW w:w="811" w:type="pct"/>
          </w:tcPr>
          <w:p w14:paraId="038A3DEB" w14:textId="77777777" w:rsidR="00500B2F" w:rsidRDefault="00500B2F" w:rsidP="001A5D4A">
            <w:pPr>
              <w:pStyle w:val="Note-Refs"/>
            </w:pPr>
          </w:p>
        </w:tc>
        <w:tc>
          <w:tcPr>
            <w:tcW w:w="4189" w:type="pct"/>
          </w:tcPr>
          <w:p w14:paraId="038A3DEC" w14:textId="77777777" w:rsidR="00500B2F" w:rsidRPr="00666DC9" w:rsidRDefault="00500B2F" w:rsidP="001A5D4A">
            <w:pPr>
              <w:pStyle w:val="Note-List2"/>
              <w:rPr>
                <w:b/>
                <w:lang w:val="en-GB"/>
              </w:rPr>
            </w:pPr>
            <w:r w:rsidRPr="00500B2F">
              <w:t>(ii)</w:t>
            </w:r>
            <w:r w:rsidRPr="00500B2F">
              <w:tab/>
              <w:t>on the hedged item attributable to the hedged risk;</w:t>
            </w:r>
          </w:p>
        </w:tc>
      </w:tr>
      <w:tr w:rsidR="00500B2F" w14:paraId="038A3DF0" w14:textId="77777777" w:rsidTr="00883287">
        <w:trPr>
          <w:trHeight w:val="159"/>
        </w:trPr>
        <w:tc>
          <w:tcPr>
            <w:tcW w:w="811" w:type="pct"/>
          </w:tcPr>
          <w:p w14:paraId="038A3DEE" w14:textId="77777777" w:rsidR="00500B2F" w:rsidRDefault="00500B2F" w:rsidP="001A5D4A">
            <w:pPr>
              <w:pStyle w:val="Note-Refs"/>
            </w:pPr>
          </w:p>
        </w:tc>
        <w:tc>
          <w:tcPr>
            <w:tcW w:w="4189" w:type="pct"/>
          </w:tcPr>
          <w:p w14:paraId="038A3DEF" w14:textId="77777777" w:rsidR="00500B2F" w:rsidRPr="00666DC9" w:rsidRDefault="00500B2F" w:rsidP="001A5D4A">
            <w:pPr>
              <w:pStyle w:val="Note-List1"/>
              <w:rPr>
                <w:b/>
                <w:lang w:val="en-GB"/>
              </w:rPr>
            </w:pPr>
            <w:r w:rsidRPr="00500B2F">
              <w:t>(b)</w:t>
            </w:r>
            <w:r w:rsidRPr="00500B2F">
              <w:tab/>
              <w:t>the ineffectiveness recognised in profit or loss that arises from cash flow hedges; and</w:t>
            </w:r>
          </w:p>
        </w:tc>
      </w:tr>
      <w:tr w:rsidR="00500B2F" w14:paraId="038A3DF3" w14:textId="77777777" w:rsidTr="00883287">
        <w:trPr>
          <w:trHeight w:val="159"/>
        </w:trPr>
        <w:tc>
          <w:tcPr>
            <w:tcW w:w="811" w:type="pct"/>
          </w:tcPr>
          <w:p w14:paraId="038A3DF1" w14:textId="77777777" w:rsidR="00500B2F" w:rsidRDefault="00500B2F" w:rsidP="001A5D4A">
            <w:pPr>
              <w:pStyle w:val="Note-Refs"/>
            </w:pPr>
          </w:p>
        </w:tc>
        <w:tc>
          <w:tcPr>
            <w:tcW w:w="4189" w:type="pct"/>
          </w:tcPr>
          <w:p w14:paraId="038A3DF2" w14:textId="77777777" w:rsidR="00500B2F" w:rsidRPr="00F33C1D" w:rsidRDefault="00500B2F" w:rsidP="001A5D4A">
            <w:pPr>
              <w:pStyle w:val="Note-List1"/>
              <w:rPr>
                <w:b/>
                <w:lang w:val="en-GB"/>
              </w:rPr>
            </w:pPr>
            <w:r w:rsidRPr="00500B2F">
              <w:t>(</w:t>
            </w:r>
            <w:r w:rsidRPr="00666DC9">
              <w:t>c)</w:t>
            </w:r>
            <w:r w:rsidRPr="00666DC9">
              <w:tab/>
            </w:r>
            <w:proofErr w:type="gramStart"/>
            <w:r w:rsidRPr="00666DC9">
              <w:t>the</w:t>
            </w:r>
            <w:proofErr w:type="gramEnd"/>
            <w:r w:rsidRPr="00666DC9">
              <w:t xml:space="preserve"> ineffectiveness recognised in profit or loss that arises from hedges of net investments in foreign operations.</w:t>
            </w:r>
          </w:p>
        </w:tc>
      </w:tr>
      <w:tr w:rsidR="00500B2F" w14:paraId="038A3DF6" w14:textId="77777777" w:rsidTr="00883287">
        <w:trPr>
          <w:cantSplit/>
          <w:trHeight w:hRule="exact" w:val="85"/>
        </w:trPr>
        <w:tc>
          <w:tcPr>
            <w:tcW w:w="811" w:type="pct"/>
          </w:tcPr>
          <w:p w14:paraId="038A3DF4" w14:textId="77777777" w:rsidR="00500B2F" w:rsidRDefault="00500B2F" w:rsidP="001A5D4A">
            <w:pPr>
              <w:pStyle w:val="Note-Refs"/>
            </w:pPr>
          </w:p>
        </w:tc>
        <w:tc>
          <w:tcPr>
            <w:tcW w:w="4189" w:type="pct"/>
          </w:tcPr>
          <w:p w14:paraId="038A3DF5" w14:textId="77777777" w:rsidR="00500B2F" w:rsidRPr="00500B2F" w:rsidRDefault="00500B2F" w:rsidP="001A5D4A">
            <w:pPr>
              <w:pStyle w:val="Note-Text"/>
            </w:pPr>
          </w:p>
        </w:tc>
      </w:tr>
      <w:tr w:rsidR="00500B2F" w14:paraId="038A3DF9" w14:textId="77777777" w:rsidTr="00883287">
        <w:trPr>
          <w:trHeight w:val="159"/>
        </w:trPr>
        <w:tc>
          <w:tcPr>
            <w:tcW w:w="811" w:type="pct"/>
          </w:tcPr>
          <w:p w14:paraId="038A3DF7" w14:textId="77777777" w:rsidR="00500B2F" w:rsidRDefault="00500B2F" w:rsidP="001A5D4A">
            <w:pPr>
              <w:pStyle w:val="Note-Refs"/>
              <w:rPr>
                <w:b/>
              </w:rPr>
            </w:pPr>
            <w:r w:rsidRPr="00F13A53">
              <w:t>AASB7.40a-c</w:t>
            </w:r>
          </w:p>
        </w:tc>
        <w:tc>
          <w:tcPr>
            <w:tcW w:w="4189" w:type="pct"/>
          </w:tcPr>
          <w:p w14:paraId="038A3DF8" w14:textId="64A5ABE4" w:rsidR="00500B2F" w:rsidRPr="00500B2F" w:rsidRDefault="00500B2F" w:rsidP="001A5D4A">
            <w:pPr>
              <w:pStyle w:val="NotesTable-ItemPlain"/>
              <w:rPr>
                <w:b/>
                <w:color w:val="000000"/>
              </w:rPr>
            </w:pPr>
            <w:r w:rsidRPr="00F33C1D">
              <w:t xml:space="preserve">Disclose a sensitivity analysis for foreign exchange risk to which the Group is exposed at the reporting date, showing how the </w:t>
            </w:r>
            <w:r w:rsidR="00962B1E">
              <w:t>net</w:t>
            </w:r>
            <w:r w:rsidR="00962B1E" w:rsidRPr="00F33C1D">
              <w:t xml:space="preserve"> </w:t>
            </w:r>
            <w:r w:rsidRPr="00F33C1D">
              <w:t>result and equity would have been affected by changes in the risk variable that were reasonably possible at that date;</w:t>
            </w:r>
          </w:p>
        </w:tc>
      </w:tr>
      <w:tr w:rsidR="00E94EBE" w14:paraId="68D5D2AE" w14:textId="77777777" w:rsidTr="00883287">
        <w:trPr>
          <w:trHeight w:hRule="exact" w:val="85"/>
        </w:trPr>
        <w:tc>
          <w:tcPr>
            <w:tcW w:w="811" w:type="pct"/>
          </w:tcPr>
          <w:p w14:paraId="3925E8B8" w14:textId="77777777" w:rsidR="00E94EBE" w:rsidRDefault="00E94EBE" w:rsidP="001A5D4A">
            <w:pPr>
              <w:pStyle w:val="Note-Refs"/>
            </w:pPr>
          </w:p>
        </w:tc>
        <w:tc>
          <w:tcPr>
            <w:tcW w:w="4189" w:type="pct"/>
          </w:tcPr>
          <w:p w14:paraId="7E5DA026" w14:textId="77777777" w:rsidR="00E94EBE" w:rsidRPr="00F33C1D" w:rsidRDefault="00E94EBE" w:rsidP="001A5D4A">
            <w:pPr>
              <w:pStyle w:val="NotesTable-ItemPlain"/>
            </w:pPr>
          </w:p>
        </w:tc>
      </w:tr>
      <w:tr w:rsidR="00500B2F" w14:paraId="038A3DFC" w14:textId="77777777" w:rsidTr="00883287">
        <w:trPr>
          <w:trHeight w:val="159"/>
        </w:trPr>
        <w:tc>
          <w:tcPr>
            <w:tcW w:w="811" w:type="pct"/>
          </w:tcPr>
          <w:p w14:paraId="038A3DFA" w14:textId="77777777" w:rsidR="00500B2F" w:rsidRDefault="00500B2F" w:rsidP="001A5D4A">
            <w:pPr>
              <w:pStyle w:val="Note-Refs"/>
            </w:pPr>
          </w:p>
        </w:tc>
        <w:tc>
          <w:tcPr>
            <w:tcW w:w="4189" w:type="pct"/>
          </w:tcPr>
          <w:p w14:paraId="038A3DFB" w14:textId="77777777" w:rsidR="00500B2F" w:rsidRPr="00500B2F" w:rsidRDefault="00500B2F" w:rsidP="001A5D4A">
            <w:pPr>
              <w:pStyle w:val="NotesTable-ItemPlain"/>
              <w:rPr>
                <w:b/>
                <w:color w:val="000000"/>
              </w:rPr>
            </w:pPr>
            <w:r w:rsidRPr="00F33C1D">
              <w:t>Disclose the methods and assumptions used in preparing the sensitivity analysis; and</w:t>
            </w:r>
          </w:p>
        </w:tc>
      </w:tr>
      <w:tr w:rsidR="00E94EBE" w14:paraId="3C7D3304" w14:textId="77777777" w:rsidTr="00883287">
        <w:trPr>
          <w:trHeight w:hRule="exact" w:val="85"/>
        </w:trPr>
        <w:tc>
          <w:tcPr>
            <w:tcW w:w="811" w:type="pct"/>
          </w:tcPr>
          <w:p w14:paraId="3BC0B777" w14:textId="77777777" w:rsidR="00E94EBE" w:rsidRDefault="00E94EBE" w:rsidP="001A5D4A">
            <w:pPr>
              <w:pStyle w:val="Note-Refs"/>
            </w:pPr>
          </w:p>
        </w:tc>
        <w:tc>
          <w:tcPr>
            <w:tcW w:w="4189" w:type="pct"/>
          </w:tcPr>
          <w:p w14:paraId="6B4B22A6" w14:textId="77777777" w:rsidR="00E94EBE" w:rsidRPr="00F33C1D" w:rsidRDefault="00E94EBE" w:rsidP="001A5D4A">
            <w:pPr>
              <w:pStyle w:val="NotesTable-ItemPlain"/>
            </w:pPr>
          </w:p>
        </w:tc>
      </w:tr>
      <w:tr w:rsidR="00500B2F" w14:paraId="038A3DFF" w14:textId="77777777" w:rsidTr="00883287">
        <w:trPr>
          <w:trHeight w:val="159"/>
        </w:trPr>
        <w:tc>
          <w:tcPr>
            <w:tcW w:w="811" w:type="pct"/>
          </w:tcPr>
          <w:p w14:paraId="038A3DFD" w14:textId="77777777" w:rsidR="00500B2F" w:rsidRDefault="00500B2F" w:rsidP="001A5D4A">
            <w:pPr>
              <w:pStyle w:val="Note-Refs"/>
            </w:pPr>
          </w:p>
        </w:tc>
        <w:tc>
          <w:tcPr>
            <w:tcW w:w="4189" w:type="pct"/>
          </w:tcPr>
          <w:p w14:paraId="038A3DFE" w14:textId="77777777" w:rsidR="00500B2F" w:rsidRPr="00500B2F" w:rsidRDefault="00500B2F" w:rsidP="001A5D4A">
            <w:pPr>
              <w:pStyle w:val="NotesTable-ItemPlain"/>
              <w:rPr>
                <w:b/>
                <w:color w:val="000000"/>
              </w:rPr>
            </w:pPr>
            <w:r w:rsidRPr="00F33C1D">
              <w:t>Describe changes from the previous period in the methods and assumptions used, and the reasons for such changes.</w:t>
            </w:r>
          </w:p>
        </w:tc>
      </w:tr>
    </w:tbl>
    <w:p w14:paraId="6BA12778" w14:textId="77777777" w:rsidR="003411A8" w:rsidRDefault="003411A8">
      <w:r>
        <w:rPr>
          <w:b/>
          <w:i/>
        </w:rPr>
        <w:br w:type="page"/>
      </w:r>
    </w:p>
    <w:tbl>
      <w:tblPr>
        <w:tblW w:w="5000" w:type="pct"/>
        <w:tblCellMar>
          <w:left w:w="0" w:type="dxa"/>
          <w:right w:w="0" w:type="dxa"/>
        </w:tblCellMar>
        <w:tblLook w:val="0000" w:firstRow="0" w:lastRow="0" w:firstColumn="0" w:lastColumn="0" w:noHBand="0" w:noVBand="0"/>
      </w:tblPr>
      <w:tblGrid>
        <w:gridCol w:w="1664"/>
        <w:gridCol w:w="8596"/>
      </w:tblGrid>
      <w:tr w:rsidR="00883287" w14:paraId="038A3E04" w14:textId="77777777" w:rsidTr="00883287">
        <w:trPr>
          <w:trHeight w:val="161"/>
        </w:trPr>
        <w:tc>
          <w:tcPr>
            <w:tcW w:w="5000" w:type="pct"/>
            <w:gridSpan w:val="2"/>
          </w:tcPr>
          <w:p w14:paraId="038A3E03" w14:textId="1A37D989" w:rsidR="00883287" w:rsidRPr="004C4AAA" w:rsidRDefault="00883287" w:rsidP="00883287">
            <w:pPr>
              <w:pStyle w:val="TOC3"/>
              <w:ind w:left="0"/>
            </w:pPr>
            <w:r w:rsidRPr="004C4AAA">
              <w:lastRenderedPageBreak/>
              <w:t>Note 50</w:t>
            </w:r>
            <w:r>
              <w:t xml:space="preserve">. </w:t>
            </w:r>
            <w:r w:rsidRPr="004C4AAA">
              <w:t>Financial risk management (continued)</w:t>
            </w:r>
          </w:p>
        </w:tc>
      </w:tr>
      <w:tr w:rsidR="00883287" w14:paraId="5E9068C1" w14:textId="77777777" w:rsidTr="00883287">
        <w:trPr>
          <w:trHeight w:val="161"/>
        </w:trPr>
        <w:tc>
          <w:tcPr>
            <w:tcW w:w="5000" w:type="pct"/>
            <w:gridSpan w:val="2"/>
          </w:tcPr>
          <w:p w14:paraId="7CD3A5E6" w14:textId="1145DFA8" w:rsidR="00883287" w:rsidRPr="004C4AAA" w:rsidRDefault="00883287" w:rsidP="001A5D4A">
            <w:r>
              <w:t>AASB132, AASB7</w:t>
            </w:r>
          </w:p>
        </w:tc>
      </w:tr>
      <w:tr w:rsidR="009E04B9" w14:paraId="038A3E07" w14:textId="77777777" w:rsidTr="00883287">
        <w:trPr>
          <w:trHeight w:hRule="exact" w:val="85"/>
        </w:trPr>
        <w:tc>
          <w:tcPr>
            <w:tcW w:w="811" w:type="pct"/>
          </w:tcPr>
          <w:p w14:paraId="038A3E05" w14:textId="77777777" w:rsidR="009E04B9" w:rsidRDefault="009E04B9" w:rsidP="001A5D4A">
            <w:pPr>
              <w:pStyle w:val="Note-Refs"/>
            </w:pPr>
          </w:p>
        </w:tc>
        <w:tc>
          <w:tcPr>
            <w:tcW w:w="4189" w:type="pct"/>
          </w:tcPr>
          <w:p w14:paraId="038A3E06" w14:textId="77777777" w:rsidR="009E04B9" w:rsidRDefault="009E04B9" w:rsidP="001A5D4A">
            <w:pPr>
              <w:pStyle w:val="Note-Text"/>
            </w:pPr>
          </w:p>
        </w:tc>
      </w:tr>
      <w:tr w:rsidR="00720B2E" w14:paraId="038A3E0A" w14:textId="77777777" w:rsidTr="00883287">
        <w:trPr>
          <w:trHeight w:val="161"/>
        </w:trPr>
        <w:tc>
          <w:tcPr>
            <w:tcW w:w="811" w:type="pct"/>
          </w:tcPr>
          <w:p w14:paraId="038A3E08" w14:textId="77777777" w:rsidR="00720B2E" w:rsidRDefault="00720B2E" w:rsidP="001A5D4A">
            <w:pPr>
              <w:pStyle w:val="Note-Refs"/>
              <w:rPr>
                <w:b/>
              </w:rPr>
            </w:pPr>
            <w:r>
              <w:t>AASB7</w:t>
            </w:r>
            <w:r w:rsidR="00B87C6B">
              <w:t>.</w:t>
            </w:r>
            <w:r>
              <w:t>33</w:t>
            </w:r>
          </w:p>
        </w:tc>
        <w:tc>
          <w:tcPr>
            <w:tcW w:w="4189" w:type="pct"/>
          </w:tcPr>
          <w:p w14:paraId="038A3E09" w14:textId="2E0C0B4F" w:rsidR="00720B2E" w:rsidRDefault="00720B2E" w:rsidP="001A5D4A">
            <w:pPr>
              <w:pStyle w:val="Note-TextHeader"/>
              <w:rPr>
                <w:b w:val="0"/>
                <w:lang w:val="en-GB"/>
              </w:rPr>
            </w:pPr>
            <w:r>
              <w:t>(a)</w:t>
            </w:r>
            <w:r>
              <w:tab/>
              <w:t>Market risk (</w:t>
            </w:r>
            <w:r w:rsidR="002254C9">
              <w:t>cont.</w:t>
            </w:r>
            <w:r>
              <w:t>)</w:t>
            </w:r>
          </w:p>
        </w:tc>
      </w:tr>
      <w:tr w:rsidR="00023312" w14:paraId="038A3E0D" w14:textId="77777777" w:rsidTr="00883287">
        <w:trPr>
          <w:trHeight w:val="207"/>
        </w:trPr>
        <w:tc>
          <w:tcPr>
            <w:tcW w:w="811" w:type="pct"/>
          </w:tcPr>
          <w:p w14:paraId="038A3E0B" w14:textId="77777777" w:rsidR="00023312" w:rsidRDefault="00023312" w:rsidP="001A5D4A">
            <w:pPr>
              <w:pStyle w:val="Note-Refs"/>
            </w:pPr>
          </w:p>
        </w:tc>
        <w:tc>
          <w:tcPr>
            <w:tcW w:w="4189" w:type="pct"/>
          </w:tcPr>
          <w:p w14:paraId="038A3E0C" w14:textId="77777777" w:rsidR="00023312" w:rsidRDefault="00023312" w:rsidP="001A5D4A">
            <w:pPr>
              <w:pStyle w:val="Note-TextSubheader"/>
              <w:rPr>
                <w:b/>
                <w:lang w:val="en-GB"/>
              </w:rPr>
            </w:pPr>
            <w:r>
              <w:t>(ii)</w:t>
            </w:r>
            <w:r>
              <w:tab/>
              <w:t xml:space="preserve">Price risk </w:t>
            </w:r>
          </w:p>
        </w:tc>
      </w:tr>
      <w:tr w:rsidR="00666DC9" w14:paraId="038A3E10" w14:textId="77777777" w:rsidTr="00883287">
        <w:trPr>
          <w:trHeight w:val="159"/>
        </w:trPr>
        <w:tc>
          <w:tcPr>
            <w:tcW w:w="811" w:type="pct"/>
          </w:tcPr>
          <w:p w14:paraId="038A3E0E" w14:textId="77777777" w:rsidR="00666DC9" w:rsidRDefault="00666DC9" w:rsidP="001A5D4A">
            <w:pPr>
              <w:pStyle w:val="Note-Refs"/>
              <w:rPr>
                <w:b/>
              </w:rPr>
            </w:pPr>
            <w:r>
              <w:t>AASB7.33a-c</w:t>
            </w:r>
          </w:p>
        </w:tc>
        <w:tc>
          <w:tcPr>
            <w:tcW w:w="4189" w:type="pct"/>
          </w:tcPr>
          <w:p w14:paraId="038A3E0F" w14:textId="77777777" w:rsidR="00666DC9" w:rsidRPr="00666DC9" w:rsidRDefault="00666DC9" w:rsidP="001A5D4A">
            <w:pPr>
              <w:pStyle w:val="NotesTable-ItemPlain"/>
              <w:rPr>
                <w:b/>
                <w:i/>
              </w:rPr>
            </w:pPr>
            <w:r w:rsidRPr="00666DC9">
              <w:t>Describe the exposures to price risk and how they arise;</w:t>
            </w:r>
          </w:p>
        </w:tc>
      </w:tr>
      <w:tr w:rsidR="004C056C" w14:paraId="2CC0F306" w14:textId="77777777" w:rsidTr="00883287">
        <w:trPr>
          <w:trHeight w:hRule="exact" w:val="85"/>
        </w:trPr>
        <w:tc>
          <w:tcPr>
            <w:tcW w:w="811" w:type="pct"/>
          </w:tcPr>
          <w:p w14:paraId="3AFCF4A6" w14:textId="77777777" w:rsidR="004C056C" w:rsidRDefault="004C056C" w:rsidP="001A5D4A">
            <w:pPr>
              <w:pStyle w:val="Note-Refs"/>
            </w:pPr>
          </w:p>
        </w:tc>
        <w:tc>
          <w:tcPr>
            <w:tcW w:w="4189" w:type="pct"/>
          </w:tcPr>
          <w:p w14:paraId="154254EE" w14:textId="77777777" w:rsidR="004C056C" w:rsidRPr="00666DC9" w:rsidRDefault="004C056C" w:rsidP="001A5D4A">
            <w:pPr>
              <w:pStyle w:val="NotesTable-ItemPlain"/>
            </w:pPr>
          </w:p>
        </w:tc>
      </w:tr>
      <w:tr w:rsidR="00666DC9" w14:paraId="038A3E13" w14:textId="77777777" w:rsidTr="00883287">
        <w:trPr>
          <w:trHeight w:val="159"/>
        </w:trPr>
        <w:tc>
          <w:tcPr>
            <w:tcW w:w="811" w:type="pct"/>
          </w:tcPr>
          <w:p w14:paraId="038A3E11" w14:textId="77777777" w:rsidR="00666DC9" w:rsidRDefault="00666DC9" w:rsidP="001A5D4A">
            <w:pPr>
              <w:pStyle w:val="Note-Refs"/>
            </w:pPr>
          </w:p>
        </w:tc>
        <w:tc>
          <w:tcPr>
            <w:tcW w:w="4189" w:type="pct"/>
          </w:tcPr>
          <w:p w14:paraId="038A3E12" w14:textId="77777777" w:rsidR="00666DC9" w:rsidRPr="00666DC9" w:rsidRDefault="00666DC9" w:rsidP="001A5D4A">
            <w:pPr>
              <w:pStyle w:val="NotesTable-ItemPlain"/>
              <w:rPr>
                <w:b/>
                <w:i/>
              </w:rPr>
            </w:pPr>
            <w:r w:rsidRPr="00666DC9">
              <w:t>Describe the Group’s objectives, policies and processes for managing the price risk and the methods used to measure the risk; and</w:t>
            </w:r>
          </w:p>
        </w:tc>
      </w:tr>
      <w:tr w:rsidR="004C056C" w14:paraId="6FC4C312" w14:textId="77777777" w:rsidTr="00883287">
        <w:trPr>
          <w:trHeight w:hRule="exact" w:val="85"/>
        </w:trPr>
        <w:tc>
          <w:tcPr>
            <w:tcW w:w="811" w:type="pct"/>
          </w:tcPr>
          <w:p w14:paraId="4F3C9385" w14:textId="77777777" w:rsidR="004C056C" w:rsidRDefault="004C056C" w:rsidP="001A5D4A">
            <w:pPr>
              <w:pStyle w:val="Note-Refs"/>
            </w:pPr>
          </w:p>
        </w:tc>
        <w:tc>
          <w:tcPr>
            <w:tcW w:w="4189" w:type="pct"/>
          </w:tcPr>
          <w:p w14:paraId="61F42F3B" w14:textId="77777777" w:rsidR="004C056C" w:rsidRPr="00666DC9" w:rsidRDefault="004C056C" w:rsidP="001A5D4A">
            <w:pPr>
              <w:pStyle w:val="NotesTable-ItemPlain"/>
            </w:pPr>
          </w:p>
        </w:tc>
      </w:tr>
      <w:tr w:rsidR="00666DC9" w14:paraId="038A3E16" w14:textId="77777777" w:rsidTr="00883287">
        <w:trPr>
          <w:trHeight w:val="159"/>
        </w:trPr>
        <w:tc>
          <w:tcPr>
            <w:tcW w:w="811" w:type="pct"/>
          </w:tcPr>
          <w:p w14:paraId="038A3E14" w14:textId="77777777" w:rsidR="00666DC9" w:rsidRDefault="00666DC9" w:rsidP="001A5D4A">
            <w:pPr>
              <w:pStyle w:val="Note-Refs"/>
            </w:pPr>
          </w:p>
        </w:tc>
        <w:tc>
          <w:tcPr>
            <w:tcW w:w="4189" w:type="pct"/>
          </w:tcPr>
          <w:p w14:paraId="038A3E15" w14:textId="77777777" w:rsidR="00666DC9" w:rsidRPr="00666DC9" w:rsidRDefault="00666DC9" w:rsidP="001A5D4A">
            <w:pPr>
              <w:pStyle w:val="NotesTable-ItemPlain"/>
              <w:rPr>
                <w:b/>
                <w:i/>
              </w:rPr>
            </w:pPr>
            <w:r w:rsidRPr="00666DC9">
              <w:t>Describe any changes in the above from the previous period.</w:t>
            </w:r>
          </w:p>
        </w:tc>
      </w:tr>
      <w:tr w:rsidR="00666DC9" w14:paraId="038A3E19" w14:textId="77777777" w:rsidTr="00883287">
        <w:trPr>
          <w:cantSplit/>
          <w:trHeight w:hRule="exact" w:val="85"/>
        </w:trPr>
        <w:tc>
          <w:tcPr>
            <w:tcW w:w="811" w:type="pct"/>
          </w:tcPr>
          <w:p w14:paraId="038A3E17" w14:textId="77777777" w:rsidR="00666DC9" w:rsidRDefault="00666DC9" w:rsidP="001A5D4A">
            <w:pPr>
              <w:pStyle w:val="Note-Refs"/>
            </w:pPr>
          </w:p>
        </w:tc>
        <w:tc>
          <w:tcPr>
            <w:tcW w:w="4189" w:type="pct"/>
          </w:tcPr>
          <w:p w14:paraId="038A3E18" w14:textId="77777777" w:rsidR="00666DC9" w:rsidRPr="00666DC9" w:rsidRDefault="00666DC9" w:rsidP="001A5D4A">
            <w:pPr>
              <w:pStyle w:val="NotesTable-ItemPlain"/>
            </w:pPr>
          </w:p>
        </w:tc>
      </w:tr>
      <w:tr w:rsidR="00666DC9" w14:paraId="038A3E1C" w14:textId="77777777" w:rsidTr="00883287">
        <w:trPr>
          <w:trHeight w:val="159"/>
        </w:trPr>
        <w:tc>
          <w:tcPr>
            <w:tcW w:w="811" w:type="pct"/>
          </w:tcPr>
          <w:p w14:paraId="038A3E1A" w14:textId="77777777" w:rsidR="00666DC9" w:rsidRDefault="00666DC9" w:rsidP="001A5D4A">
            <w:pPr>
              <w:pStyle w:val="Note-Refs"/>
              <w:rPr>
                <w:b/>
              </w:rPr>
            </w:pPr>
            <w:r>
              <w:t>AASB7.40a-c</w:t>
            </w:r>
          </w:p>
        </w:tc>
        <w:tc>
          <w:tcPr>
            <w:tcW w:w="4189" w:type="pct"/>
          </w:tcPr>
          <w:p w14:paraId="038A3E1B" w14:textId="42C045C2" w:rsidR="00666DC9" w:rsidRPr="00666DC9" w:rsidRDefault="00666DC9" w:rsidP="001A5D4A">
            <w:pPr>
              <w:pStyle w:val="NotesTable-ItemPlain"/>
              <w:rPr>
                <w:b/>
                <w:i/>
              </w:rPr>
            </w:pPr>
            <w:r w:rsidRPr="00666DC9">
              <w:t xml:space="preserve">Disclose a sensitivity analysis for price risk to which the Group is exposed at the reporting date, showing how the </w:t>
            </w:r>
            <w:r w:rsidR="00962B1E">
              <w:t>net</w:t>
            </w:r>
            <w:r w:rsidR="00962B1E" w:rsidRPr="00666DC9">
              <w:t xml:space="preserve"> </w:t>
            </w:r>
            <w:r w:rsidRPr="00666DC9">
              <w:t>result and equity would have been affected by changes in the risk variable that were reasonably possible at that date;</w:t>
            </w:r>
          </w:p>
        </w:tc>
      </w:tr>
      <w:tr w:rsidR="004C056C" w14:paraId="7DD8E34E" w14:textId="77777777" w:rsidTr="00883287">
        <w:trPr>
          <w:trHeight w:hRule="exact" w:val="85"/>
        </w:trPr>
        <w:tc>
          <w:tcPr>
            <w:tcW w:w="811" w:type="pct"/>
          </w:tcPr>
          <w:p w14:paraId="1748BDBA" w14:textId="77777777" w:rsidR="004C056C" w:rsidRDefault="004C056C" w:rsidP="001A5D4A">
            <w:pPr>
              <w:pStyle w:val="Note-Refs"/>
            </w:pPr>
          </w:p>
        </w:tc>
        <w:tc>
          <w:tcPr>
            <w:tcW w:w="4189" w:type="pct"/>
          </w:tcPr>
          <w:p w14:paraId="5CA33FF1" w14:textId="77777777" w:rsidR="004C056C" w:rsidRPr="00666DC9" w:rsidRDefault="004C056C" w:rsidP="001A5D4A">
            <w:pPr>
              <w:pStyle w:val="NotesTable-ItemPlain"/>
            </w:pPr>
          </w:p>
        </w:tc>
      </w:tr>
      <w:tr w:rsidR="00666DC9" w14:paraId="038A3E1F" w14:textId="77777777" w:rsidTr="00883287">
        <w:trPr>
          <w:trHeight w:val="159"/>
        </w:trPr>
        <w:tc>
          <w:tcPr>
            <w:tcW w:w="811" w:type="pct"/>
          </w:tcPr>
          <w:p w14:paraId="038A3E1D" w14:textId="77777777" w:rsidR="00666DC9" w:rsidRDefault="00666DC9" w:rsidP="001A5D4A">
            <w:pPr>
              <w:pStyle w:val="Note-Refs"/>
            </w:pPr>
          </w:p>
        </w:tc>
        <w:tc>
          <w:tcPr>
            <w:tcW w:w="4189" w:type="pct"/>
          </w:tcPr>
          <w:p w14:paraId="038A3E1E" w14:textId="77777777" w:rsidR="00666DC9" w:rsidRPr="00666DC9" w:rsidRDefault="00666DC9" w:rsidP="001A5D4A">
            <w:pPr>
              <w:pStyle w:val="NotesTable-ItemPlain"/>
              <w:rPr>
                <w:b/>
                <w:i/>
              </w:rPr>
            </w:pPr>
            <w:r w:rsidRPr="00666DC9">
              <w:t>Disclose the methods and assumptions used in preparing the sensitivity analysis; and</w:t>
            </w:r>
          </w:p>
        </w:tc>
      </w:tr>
      <w:tr w:rsidR="004C056C" w14:paraId="1E4CFDBB" w14:textId="77777777" w:rsidTr="00883287">
        <w:trPr>
          <w:trHeight w:hRule="exact" w:val="85"/>
        </w:trPr>
        <w:tc>
          <w:tcPr>
            <w:tcW w:w="811" w:type="pct"/>
          </w:tcPr>
          <w:p w14:paraId="6EEFC78D" w14:textId="77777777" w:rsidR="004C056C" w:rsidRDefault="004C056C" w:rsidP="001A5D4A">
            <w:pPr>
              <w:pStyle w:val="Note-Refs"/>
            </w:pPr>
          </w:p>
        </w:tc>
        <w:tc>
          <w:tcPr>
            <w:tcW w:w="4189" w:type="pct"/>
          </w:tcPr>
          <w:p w14:paraId="7FC75D23" w14:textId="77777777" w:rsidR="004C056C" w:rsidRPr="00666DC9" w:rsidRDefault="004C056C" w:rsidP="001A5D4A">
            <w:pPr>
              <w:pStyle w:val="NotesTable-ItemPlain"/>
            </w:pPr>
          </w:p>
        </w:tc>
      </w:tr>
      <w:tr w:rsidR="00666DC9" w14:paraId="038A3E22" w14:textId="77777777" w:rsidTr="00883287">
        <w:trPr>
          <w:trHeight w:val="159"/>
        </w:trPr>
        <w:tc>
          <w:tcPr>
            <w:tcW w:w="811" w:type="pct"/>
          </w:tcPr>
          <w:p w14:paraId="038A3E20" w14:textId="77777777" w:rsidR="00666DC9" w:rsidRDefault="00666DC9" w:rsidP="001A5D4A">
            <w:pPr>
              <w:pStyle w:val="Note-Refs"/>
            </w:pPr>
          </w:p>
        </w:tc>
        <w:tc>
          <w:tcPr>
            <w:tcW w:w="4189" w:type="pct"/>
          </w:tcPr>
          <w:p w14:paraId="038A3E21" w14:textId="77777777" w:rsidR="00666DC9" w:rsidRPr="00666DC9" w:rsidRDefault="00666DC9" w:rsidP="001A5D4A">
            <w:pPr>
              <w:pStyle w:val="NotesTable-ItemPlain"/>
              <w:rPr>
                <w:b/>
                <w:i/>
              </w:rPr>
            </w:pPr>
            <w:r w:rsidRPr="00666DC9">
              <w:t>Describe changes from the previous period in the methods and assumptions used, and the reasons for such changes.</w:t>
            </w:r>
          </w:p>
        </w:tc>
      </w:tr>
      <w:tr w:rsidR="002E69C1" w14:paraId="038A3E25" w14:textId="77777777" w:rsidTr="00883287">
        <w:trPr>
          <w:cantSplit/>
          <w:trHeight w:hRule="exact" w:val="85"/>
        </w:trPr>
        <w:tc>
          <w:tcPr>
            <w:tcW w:w="811" w:type="pct"/>
          </w:tcPr>
          <w:p w14:paraId="038A3E23" w14:textId="77777777" w:rsidR="002E69C1" w:rsidRDefault="002E69C1" w:rsidP="001A5D4A">
            <w:pPr>
              <w:pStyle w:val="Note-Refs"/>
            </w:pPr>
          </w:p>
        </w:tc>
        <w:tc>
          <w:tcPr>
            <w:tcW w:w="4189" w:type="pct"/>
          </w:tcPr>
          <w:p w14:paraId="038A3E24" w14:textId="77777777" w:rsidR="002E69C1" w:rsidRDefault="002E69C1" w:rsidP="001A5D4A">
            <w:pPr>
              <w:pStyle w:val="NotesTable-ItemPlain"/>
            </w:pPr>
          </w:p>
        </w:tc>
      </w:tr>
      <w:tr w:rsidR="00720B2E" w14:paraId="038A3E28" w14:textId="77777777" w:rsidTr="00883287">
        <w:trPr>
          <w:trHeight w:val="225"/>
        </w:trPr>
        <w:tc>
          <w:tcPr>
            <w:tcW w:w="811" w:type="pct"/>
          </w:tcPr>
          <w:p w14:paraId="038A3E26" w14:textId="77777777" w:rsidR="00720B2E" w:rsidRDefault="00720B2E" w:rsidP="001A5D4A">
            <w:pPr>
              <w:pStyle w:val="Note-Refs"/>
            </w:pPr>
          </w:p>
        </w:tc>
        <w:tc>
          <w:tcPr>
            <w:tcW w:w="4189" w:type="pct"/>
          </w:tcPr>
          <w:p w14:paraId="038A3E27" w14:textId="77777777" w:rsidR="00720B2E" w:rsidRDefault="00720B2E" w:rsidP="001A5D4A">
            <w:pPr>
              <w:pStyle w:val="Note-TextSubheader"/>
              <w:rPr>
                <w:b/>
                <w:lang w:val="en-GB"/>
              </w:rPr>
            </w:pPr>
            <w:r>
              <w:t>(iii)</w:t>
            </w:r>
            <w:r>
              <w:tab/>
              <w:t xml:space="preserve">Cash flow and fair value interest rate risk </w:t>
            </w:r>
          </w:p>
        </w:tc>
      </w:tr>
      <w:tr w:rsidR="00560884" w14:paraId="038A3E2B" w14:textId="77777777" w:rsidTr="00883287">
        <w:trPr>
          <w:trHeight w:val="159"/>
        </w:trPr>
        <w:tc>
          <w:tcPr>
            <w:tcW w:w="811" w:type="pct"/>
          </w:tcPr>
          <w:p w14:paraId="038A3E29" w14:textId="77777777" w:rsidR="00560884" w:rsidRDefault="00560884" w:rsidP="001A5D4A">
            <w:pPr>
              <w:pStyle w:val="Note-Refs"/>
              <w:rPr>
                <w:b/>
              </w:rPr>
            </w:pPr>
            <w:r>
              <w:t>AASB7.33a-c</w:t>
            </w:r>
          </w:p>
        </w:tc>
        <w:tc>
          <w:tcPr>
            <w:tcW w:w="4189" w:type="pct"/>
          </w:tcPr>
          <w:p w14:paraId="038A3E2A" w14:textId="77777777" w:rsidR="00560884" w:rsidRDefault="00560884" w:rsidP="001A5D4A">
            <w:pPr>
              <w:pStyle w:val="NotesTable-ItemPlain"/>
              <w:rPr>
                <w:b/>
              </w:rPr>
            </w:pPr>
            <w:r>
              <w:t>Describe the exposures to interest rate risk and how they arise;</w:t>
            </w:r>
          </w:p>
        </w:tc>
      </w:tr>
      <w:tr w:rsidR="004C056C" w14:paraId="198429A9" w14:textId="77777777" w:rsidTr="00883287">
        <w:trPr>
          <w:trHeight w:hRule="exact" w:val="85"/>
        </w:trPr>
        <w:tc>
          <w:tcPr>
            <w:tcW w:w="811" w:type="pct"/>
          </w:tcPr>
          <w:p w14:paraId="544AC981" w14:textId="77777777" w:rsidR="004C056C" w:rsidRDefault="004C056C" w:rsidP="001A5D4A">
            <w:pPr>
              <w:pStyle w:val="Note-Refs"/>
            </w:pPr>
          </w:p>
        </w:tc>
        <w:tc>
          <w:tcPr>
            <w:tcW w:w="4189" w:type="pct"/>
          </w:tcPr>
          <w:p w14:paraId="54213892" w14:textId="77777777" w:rsidR="004C056C" w:rsidRDefault="004C056C" w:rsidP="001A5D4A">
            <w:pPr>
              <w:pStyle w:val="NotesTable-ItemPlain"/>
            </w:pPr>
          </w:p>
        </w:tc>
      </w:tr>
      <w:tr w:rsidR="00560884" w14:paraId="038A3E2E" w14:textId="77777777" w:rsidTr="00883287">
        <w:trPr>
          <w:trHeight w:val="159"/>
        </w:trPr>
        <w:tc>
          <w:tcPr>
            <w:tcW w:w="811" w:type="pct"/>
          </w:tcPr>
          <w:p w14:paraId="038A3E2C" w14:textId="77777777" w:rsidR="00560884" w:rsidRDefault="00560884" w:rsidP="001A5D4A">
            <w:pPr>
              <w:pStyle w:val="Note-Refs"/>
            </w:pPr>
          </w:p>
        </w:tc>
        <w:tc>
          <w:tcPr>
            <w:tcW w:w="4189" w:type="pct"/>
          </w:tcPr>
          <w:p w14:paraId="038A3E2D" w14:textId="77777777" w:rsidR="00560884" w:rsidRDefault="00560884" w:rsidP="001A5D4A">
            <w:pPr>
              <w:pStyle w:val="NotesTable-ItemPlain"/>
              <w:rPr>
                <w:b/>
              </w:rPr>
            </w:pPr>
            <w:r>
              <w:t>Describe the Group’s objectives, policies and processes for managing the interest rate risk and the methods used to measure the risk; and</w:t>
            </w:r>
          </w:p>
        </w:tc>
      </w:tr>
      <w:tr w:rsidR="004C056C" w14:paraId="582288C1" w14:textId="77777777" w:rsidTr="00883287">
        <w:trPr>
          <w:trHeight w:hRule="exact" w:val="85"/>
        </w:trPr>
        <w:tc>
          <w:tcPr>
            <w:tcW w:w="811" w:type="pct"/>
          </w:tcPr>
          <w:p w14:paraId="0A939FB7" w14:textId="77777777" w:rsidR="004C056C" w:rsidRDefault="004C056C" w:rsidP="001A5D4A">
            <w:pPr>
              <w:pStyle w:val="Note-Refs"/>
            </w:pPr>
          </w:p>
        </w:tc>
        <w:tc>
          <w:tcPr>
            <w:tcW w:w="4189" w:type="pct"/>
          </w:tcPr>
          <w:p w14:paraId="5C62DF6F" w14:textId="77777777" w:rsidR="004C056C" w:rsidRDefault="004C056C" w:rsidP="001A5D4A">
            <w:pPr>
              <w:pStyle w:val="NotesTable-ItemPlain"/>
            </w:pPr>
          </w:p>
        </w:tc>
      </w:tr>
      <w:tr w:rsidR="00560884" w14:paraId="038A3E31" w14:textId="77777777" w:rsidTr="00883287">
        <w:trPr>
          <w:trHeight w:val="159"/>
        </w:trPr>
        <w:tc>
          <w:tcPr>
            <w:tcW w:w="811" w:type="pct"/>
          </w:tcPr>
          <w:p w14:paraId="038A3E2F" w14:textId="77777777" w:rsidR="00560884" w:rsidRDefault="00560884" w:rsidP="001A5D4A">
            <w:pPr>
              <w:pStyle w:val="Note-Refs"/>
            </w:pPr>
          </w:p>
        </w:tc>
        <w:tc>
          <w:tcPr>
            <w:tcW w:w="4189" w:type="pct"/>
          </w:tcPr>
          <w:p w14:paraId="038A3E30" w14:textId="77777777" w:rsidR="00560884" w:rsidRDefault="00560884" w:rsidP="001A5D4A">
            <w:pPr>
              <w:pStyle w:val="NotesTable-ItemPlain"/>
              <w:rPr>
                <w:b/>
              </w:rPr>
            </w:pPr>
            <w:r>
              <w:t>Describe any changes in the above from the previous period.</w:t>
            </w:r>
          </w:p>
        </w:tc>
      </w:tr>
      <w:tr w:rsidR="00560884" w14:paraId="038A3E34" w14:textId="77777777" w:rsidTr="00883287">
        <w:trPr>
          <w:cantSplit/>
          <w:trHeight w:hRule="exact" w:val="85"/>
        </w:trPr>
        <w:tc>
          <w:tcPr>
            <w:tcW w:w="811" w:type="pct"/>
          </w:tcPr>
          <w:p w14:paraId="038A3E32" w14:textId="77777777" w:rsidR="00560884" w:rsidRDefault="00560884" w:rsidP="001A5D4A">
            <w:pPr>
              <w:pStyle w:val="Note-Refs"/>
            </w:pPr>
          </w:p>
        </w:tc>
        <w:tc>
          <w:tcPr>
            <w:tcW w:w="4189" w:type="pct"/>
          </w:tcPr>
          <w:p w14:paraId="038A3E33" w14:textId="77777777" w:rsidR="00560884" w:rsidRDefault="00560884" w:rsidP="001A5D4A">
            <w:pPr>
              <w:pStyle w:val="NotesTable-ItemPlain"/>
            </w:pPr>
          </w:p>
        </w:tc>
      </w:tr>
      <w:tr w:rsidR="00560884" w14:paraId="038A3E37" w14:textId="77777777" w:rsidTr="00883287">
        <w:trPr>
          <w:trHeight w:val="159"/>
        </w:trPr>
        <w:tc>
          <w:tcPr>
            <w:tcW w:w="811" w:type="pct"/>
          </w:tcPr>
          <w:p w14:paraId="038A3E35" w14:textId="77777777" w:rsidR="00560884" w:rsidRDefault="00560884" w:rsidP="001A5D4A">
            <w:pPr>
              <w:pStyle w:val="Note-Refs"/>
              <w:rPr>
                <w:b/>
              </w:rPr>
            </w:pPr>
            <w:r>
              <w:t>AASB7.40a-c</w:t>
            </w:r>
          </w:p>
        </w:tc>
        <w:tc>
          <w:tcPr>
            <w:tcW w:w="4189" w:type="pct"/>
          </w:tcPr>
          <w:p w14:paraId="038A3E36" w14:textId="65410DF3" w:rsidR="00560884" w:rsidRDefault="00560884" w:rsidP="001A5D4A">
            <w:pPr>
              <w:pStyle w:val="NotesTable-ItemPlain"/>
              <w:rPr>
                <w:b/>
              </w:rPr>
            </w:pPr>
            <w:r>
              <w:t xml:space="preserve">Disclose a sensitivity analysis for interest rate risk to which the Group is exposed at the reporting date, showing how the </w:t>
            </w:r>
            <w:r w:rsidR="00962B1E">
              <w:t xml:space="preserve">net </w:t>
            </w:r>
            <w:r>
              <w:t>result and equity would have been affected by changes in the risk variable that were reasonably possible at that date;</w:t>
            </w:r>
          </w:p>
        </w:tc>
      </w:tr>
      <w:tr w:rsidR="004C056C" w14:paraId="165BFAFD" w14:textId="77777777" w:rsidTr="00883287">
        <w:trPr>
          <w:trHeight w:hRule="exact" w:val="85"/>
        </w:trPr>
        <w:tc>
          <w:tcPr>
            <w:tcW w:w="811" w:type="pct"/>
          </w:tcPr>
          <w:p w14:paraId="6FF8A15F" w14:textId="77777777" w:rsidR="004C056C" w:rsidRDefault="004C056C" w:rsidP="001A5D4A">
            <w:pPr>
              <w:pStyle w:val="Note-Refs"/>
            </w:pPr>
          </w:p>
        </w:tc>
        <w:tc>
          <w:tcPr>
            <w:tcW w:w="4189" w:type="pct"/>
          </w:tcPr>
          <w:p w14:paraId="3053B538" w14:textId="77777777" w:rsidR="004C056C" w:rsidRDefault="004C056C" w:rsidP="001A5D4A">
            <w:pPr>
              <w:pStyle w:val="NotesTable-ItemPlain"/>
            </w:pPr>
          </w:p>
        </w:tc>
      </w:tr>
      <w:tr w:rsidR="00560884" w14:paraId="038A3E3A" w14:textId="77777777" w:rsidTr="00883287">
        <w:trPr>
          <w:trHeight w:val="159"/>
        </w:trPr>
        <w:tc>
          <w:tcPr>
            <w:tcW w:w="811" w:type="pct"/>
          </w:tcPr>
          <w:p w14:paraId="038A3E38" w14:textId="77777777" w:rsidR="00560884" w:rsidRDefault="00560884" w:rsidP="001A5D4A">
            <w:pPr>
              <w:pStyle w:val="Note-Refs"/>
            </w:pPr>
          </w:p>
        </w:tc>
        <w:tc>
          <w:tcPr>
            <w:tcW w:w="4189" w:type="pct"/>
          </w:tcPr>
          <w:p w14:paraId="038A3E39" w14:textId="77777777" w:rsidR="00560884" w:rsidRDefault="00560884" w:rsidP="001A5D4A">
            <w:pPr>
              <w:pStyle w:val="NotesTable-ItemPlain"/>
              <w:rPr>
                <w:b/>
              </w:rPr>
            </w:pPr>
            <w:r>
              <w:t>Disclose the methods and assumptions used in preparing the sensitivity analysis; and</w:t>
            </w:r>
          </w:p>
        </w:tc>
      </w:tr>
      <w:tr w:rsidR="004C056C" w14:paraId="2A8114D5" w14:textId="77777777" w:rsidTr="00883287">
        <w:trPr>
          <w:trHeight w:hRule="exact" w:val="85"/>
        </w:trPr>
        <w:tc>
          <w:tcPr>
            <w:tcW w:w="811" w:type="pct"/>
          </w:tcPr>
          <w:p w14:paraId="74616429" w14:textId="77777777" w:rsidR="004C056C" w:rsidRDefault="004C056C" w:rsidP="001A5D4A">
            <w:pPr>
              <w:pStyle w:val="Note-Refs"/>
            </w:pPr>
          </w:p>
        </w:tc>
        <w:tc>
          <w:tcPr>
            <w:tcW w:w="4189" w:type="pct"/>
          </w:tcPr>
          <w:p w14:paraId="574C7067" w14:textId="77777777" w:rsidR="004C056C" w:rsidRDefault="004C056C" w:rsidP="001A5D4A">
            <w:pPr>
              <w:pStyle w:val="NotesTable-ItemPlain"/>
            </w:pPr>
          </w:p>
        </w:tc>
      </w:tr>
      <w:tr w:rsidR="00560884" w14:paraId="038A3E3D" w14:textId="77777777" w:rsidTr="00883287">
        <w:trPr>
          <w:trHeight w:val="159"/>
        </w:trPr>
        <w:tc>
          <w:tcPr>
            <w:tcW w:w="811" w:type="pct"/>
          </w:tcPr>
          <w:p w14:paraId="038A3E3B" w14:textId="77777777" w:rsidR="00560884" w:rsidRDefault="00560884" w:rsidP="001A5D4A">
            <w:pPr>
              <w:pStyle w:val="Note-Refs"/>
            </w:pPr>
          </w:p>
        </w:tc>
        <w:tc>
          <w:tcPr>
            <w:tcW w:w="4189" w:type="pct"/>
          </w:tcPr>
          <w:p w14:paraId="038A3E3C" w14:textId="77777777" w:rsidR="00560884" w:rsidRDefault="00560884" w:rsidP="001A5D4A">
            <w:pPr>
              <w:pStyle w:val="NotesTable-ItemPlain"/>
              <w:rPr>
                <w:b/>
              </w:rPr>
            </w:pPr>
            <w:r>
              <w:t>Describe changes from the previous period in the methods and assumptions used, and the reasons for such changes.</w:t>
            </w:r>
          </w:p>
        </w:tc>
      </w:tr>
    </w:tbl>
    <w:p w14:paraId="57E167F1" w14:textId="77777777" w:rsidR="00DF3D95" w:rsidRDefault="00DF3D95">
      <w:r>
        <w:br w:type="page"/>
      </w:r>
    </w:p>
    <w:tbl>
      <w:tblPr>
        <w:tblW w:w="5000" w:type="pct"/>
        <w:tblCellMar>
          <w:left w:w="0" w:type="dxa"/>
          <w:right w:w="0" w:type="dxa"/>
        </w:tblCellMar>
        <w:tblLook w:val="0000" w:firstRow="0" w:lastRow="0" w:firstColumn="0" w:lastColumn="0" w:noHBand="0" w:noVBand="0"/>
      </w:tblPr>
      <w:tblGrid>
        <w:gridCol w:w="1664"/>
        <w:gridCol w:w="8596"/>
      </w:tblGrid>
      <w:tr w:rsidR="00883287" w:rsidRPr="002432EC" w14:paraId="7D594D1F" w14:textId="77777777" w:rsidTr="00883287">
        <w:trPr>
          <w:trHeight w:val="161"/>
        </w:trPr>
        <w:tc>
          <w:tcPr>
            <w:tcW w:w="5000" w:type="pct"/>
            <w:gridSpan w:val="2"/>
          </w:tcPr>
          <w:p w14:paraId="7BE0E25F" w14:textId="3AECFDAC" w:rsidR="00883287" w:rsidRPr="002432EC" w:rsidRDefault="00883287" w:rsidP="00883287">
            <w:pPr>
              <w:pStyle w:val="TOC3"/>
              <w:ind w:left="0"/>
            </w:pPr>
            <w:r w:rsidRPr="002432EC">
              <w:lastRenderedPageBreak/>
              <w:t>Note 50</w:t>
            </w:r>
            <w:r>
              <w:t xml:space="preserve">. </w:t>
            </w:r>
            <w:r w:rsidRPr="002432EC">
              <w:t>Financial risk management (continued)</w:t>
            </w:r>
          </w:p>
        </w:tc>
      </w:tr>
      <w:tr w:rsidR="00883287" w:rsidRPr="002432EC" w14:paraId="038A3E42" w14:textId="77777777" w:rsidTr="00883287">
        <w:trPr>
          <w:trHeight w:val="161"/>
        </w:trPr>
        <w:tc>
          <w:tcPr>
            <w:tcW w:w="5000" w:type="pct"/>
            <w:gridSpan w:val="2"/>
          </w:tcPr>
          <w:p w14:paraId="038A3E41" w14:textId="3A5B00D3" w:rsidR="00883287" w:rsidRPr="002432EC" w:rsidRDefault="00883287" w:rsidP="001A5D4A">
            <w:r w:rsidRPr="002432EC">
              <w:t>AASB132, AASB7</w:t>
            </w:r>
          </w:p>
        </w:tc>
      </w:tr>
      <w:tr w:rsidR="00720B2E" w14:paraId="038A3E45" w14:textId="77777777" w:rsidTr="00463ABD">
        <w:trPr>
          <w:cantSplit/>
          <w:trHeight w:hRule="exact" w:val="227"/>
        </w:trPr>
        <w:tc>
          <w:tcPr>
            <w:tcW w:w="811" w:type="pct"/>
          </w:tcPr>
          <w:p w14:paraId="038A3E43" w14:textId="77777777" w:rsidR="00720B2E" w:rsidRDefault="00720B2E" w:rsidP="001A5D4A">
            <w:pPr>
              <w:pStyle w:val="Note-Refs"/>
            </w:pPr>
          </w:p>
        </w:tc>
        <w:tc>
          <w:tcPr>
            <w:tcW w:w="4189" w:type="pct"/>
            <w:vAlign w:val="bottom"/>
          </w:tcPr>
          <w:p w14:paraId="038A3E44" w14:textId="77777777" w:rsidR="00720B2E" w:rsidRDefault="00720B2E" w:rsidP="001A5D4A">
            <w:pPr>
              <w:pStyle w:val="Note-TextSubheader"/>
              <w:rPr>
                <w:b/>
                <w:lang w:val="en-GB"/>
              </w:rPr>
            </w:pPr>
            <w:r>
              <w:t>(iv)</w:t>
            </w:r>
            <w:r>
              <w:tab/>
              <w:t>Summarised sensitivity analysis</w:t>
            </w:r>
          </w:p>
        </w:tc>
      </w:tr>
      <w:tr w:rsidR="00720B2E" w14:paraId="038A3E48" w14:textId="77777777" w:rsidTr="00463ABD">
        <w:trPr>
          <w:cantSplit/>
          <w:trHeight w:hRule="exact" w:val="454"/>
        </w:trPr>
        <w:tc>
          <w:tcPr>
            <w:tcW w:w="811" w:type="pct"/>
          </w:tcPr>
          <w:p w14:paraId="038A3E46" w14:textId="77777777" w:rsidR="00720B2E" w:rsidRDefault="00720B2E" w:rsidP="001A5D4A">
            <w:pPr>
              <w:pStyle w:val="Note-Refs"/>
              <w:rPr>
                <w:b/>
              </w:rPr>
            </w:pPr>
            <w:r>
              <w:t>AASB7</w:t>
            </w:r>
            <w:r w:rsidR="00B87C6B">
              <w:t>.</w:t>
            </w:r>
            <w:r>
              <w:t>40a</w:t>
            </w:r>
          </w:p>
        </w:tc>
        <w:tc>
          <w:tcPr>
            <w:tcW w:w="4189" w:type="pct"/>
            <w:vAlign w:val="bottom"/>
          </w:tcPr>
          <w:p w14:paraId="038A3E47" w14:textId="77777777" w:rsidR="00720B2E" w:rsidRDefault="00720B2E" w:rsidP="001A5D4A">
            <w:pPr>
              <w:pStyle w:val="NotesTable-ItemPlain"/>
              <w:rPr>
                <w:b/>
              </w:rPr>
            </w:pPr>
            <w:r>
              <w:t>The following tables summarise the sensitivity of the Group’s financial assets and financial liabilities to interest rate risk, foreign exchange risk and other price risk.</w:t>
            </w:r>
          </w:p>
        </w:tc>
      </w:tr>
    </w:tbl>
    <w:p w14:paraId="038A3E49" w14:textId="77777777" w:rsidR="00720B2E" w:rsidRPr="004C4AAA" w:rsidRDefault="00720B2E" w:rsidP="001A5D4A"/>
    <w:tbl>
      <w:tblPr>
        <w:tblW w:w="5000" w:type="pct"/>
        <w:tblCellMar>
          <w:left w:w="0" w:type="dxa"/>
          <w:right w:w="0" w:type="dxa"/>
        </w:tblCellMar>
        <w:tblLook w:val="0000" w:firstRow="0" w:lastRow="0" w:firstColumn="0" w:lastColumn="0" w:noHBand="0" w:noVBand="0"/>
      </w:tblPr>
      <w:tblGrid>
        <w:gridCol w:w="1942"/>
        <w:gridCol w:w="998"/>
        <w:gridCol w:w="610"/>
        <w:gridCol w:w="610"/>
        <w:gridCol w:w="610"/>
        <w:gridCol w:w="612"/>
        <w:gridCol w:w="610"/>
        <w:gridCol w:w="612"/>
        <w:gridCol w:w="610"/>
        <w:gridCol w:w="612"/>
        <w:gridCol w:w="610"/>
        <w:gridCol w:w="612"/>
        <w:gridCol w:w="610"/>
        <w:gridCol w:w="612"/>
      </w:tblGrid>
      <w:tr w:rsidR="00361CBF" w:rsidRPr="002465C9" w14:paraId="038A3E4F" w14:textId="77777777" w:rsidTr="00463ABD">
        <w:trPr>
          <w:gridBefore w:val="1"/>
          <w:wBefore w:w="945" w:type="pct"/>
        </w:trPr>
        <w:tc>
          <w:tcPr>
            <w:tcW w:w="486" w:type="pct"/>
            <w:tcBorders>
              <w:top w:val="nil"/>
              <w:left w:val="single" w:sz="8" w:space="0" w:color="FFFFFF"/>
              <w:bottom w:val="nil"/>
              <w:right w:val="single" w:sz="8" w:space="0" w:color="FFFFFF"/>
            </w:tcBorders>
            <w:shd w:val="clear" w:color="auto" w:fill="auto"/>
            <w:vAlign w:val="bottom"/>
          </w:tcPr>
          <w:p w14:paraId="038A3E4B" w14:textId="77777777" w:rsidR="00361CBF" w:rsidRPr="002465C9" w:rsidRDefault="00361CBF" w:rsidP="001A5D4A">
            <w:pPr>
              <w:pStyle w:val="NotesTable-HeadPlain"/>
            </w:pPr>
          </w:p>
        </w:tc>
        <w:tc>
          <w:tcPr>
            <w:tcW w:w="1189" w:type="pct"/>
            <w:gridSpan w:val="4"/>
            <w:tcBorders>
              <w:top w:val="nil"/>
              <w:left w:val="single" w:sz="8" w:space="0" w:color="FFFFFF"/>
              <w:bottom w:val="single" w:sz="8" w:space="0" w:color="FFFFFF"/>
              <w:right w:val="single" w:sz="8" w:space="0" w:color="FFFFFF"/>
            </w:tcBorders>
            <w:shd w:val="clear" w:color="auto" w:fill="auto"/>
            <w:vAlign w:val="bottom"/>
          </w:tcPr>
          <w:p w14:paraId="038A3E4C" w14:textId="77777777" w:rsidR="00361CBF" w:rsidRPr="002465C9" w:rsidRDefault="00361CBF" w:rsidP="001A5D4A">
            <w:pPr>
              <w:pStyle w:val="NotesTable-HeadPlain"/>
            </w:pPr>
            <w:r w:rsidRPr="002465C9">
              <w:t>Interest rate risk</w:t>
            </w:r>
          </w:p>
        </w:tc>
        <w:tc>
          <w:tcPr>
            <w:tcW w:w="1190" w:type="pct"/>
            <w:gridSpan w:val="4"/>
            <w:tcBorders>
              <w:top w:val="nil"/>
              <w:left w:val="single" w:sz="8" w:space="0" w:color="FFFFFF"/>
              <w:bottom w:val="single" w:sz="8" w:space="0" w:color="FFFFFF"/>
              <w:right w:val="single" w:sz="8" w:space="0" w:color="FFFFFF"/>
            </w:tcBorders>
            <w:shd w:val="clear" w:color="auto" w:fill="auto"/>
            <w:vAlign w:val="bottom"/>
          </w:tcPr>
          <w:p w14:paraId="038A3E4D" w14:textId="77777777" w:rsidR="00361CBF" w:rsidRPr="002465C9" w:rsidRDefault="00361CBF" w:rsidP="001A5D4A">
            <w:pPr>
              <w:pStyle w:val="NotesTable-HeadPlain"/>
            </w:pPr>
            <w:r w:rsidRPr="002465C9">
              <w:t>Foreign exchange risk</w:t>
            </w:r>
          </w:p>
        </w:tc>
        <w:tc>
          <w:tcPr>
            <w:tcW w:w="1190" w:type="pct"/>
            <w:gridSpan w:val="4"/>
            <w:tcBorders>
              <w:top w:val="nil"/>
              <w:left w:val="single" w:sz="8" w:space="0" w:color="FFFFFF"/>
              <w:bottom w:val="single" w:sz="8" w:space="0" w:color="FFFFFF"/>
            </w:tcBorders>
            <w:shd w:val="clear" w:color="auto" w:fill="auto"/>
            <w:vAlign w:val="bottom"/>
          </w:tcPr>
          <w:p w14:paraId="038A3E4E" w14:textId="77777777" w:rsidR="00361CBF" w:rsidRPr="002465C9" w:rsidRDefault="00361CBF" w:rsidP="001A5D4A">
            <w:pPr>
              <w:pStyle w:val="NotesTable-HeadPlain"/>
            </w:pPr>
            <w:r w:rsidRPr="002465C9">
              <w:t>Other price risk</w:t>
            </w:r>
          </w:p>
        </w:tc>
      </w:tr>
      <w:tr w:rsidR="00F5455E" w:rsidRPr="002465C9" w14:paraId="038A3E58" w14:textId="77777777" w:rsidTr="00463ABD">
        <w:tc>
          <w:tcPr>
            <w:tcW w:w="945" w:type="pct"/>
            <w:tcBorders>
              <w:top w:val="nil"/>
              <w:bottom w:val="nil"/>
              <w:right w:val="single" w:sz="8" w:space="0" w:color="FFFFFF"/>
            </w:tcBorders>
            <w:shd w:val="clear" w:color="auto" w:fill="auto"/>
            <w:vAlign w:val="bottom"/>
          </w:tcPr>
          <w:p w14:paraId="038A3E50" w14:textId="77777777" w:rsidR="00B47729" w:rsidRPr="002465C9" w:rsidRDefault="00B47729" w:rsidP="001A5D4A">
            <w:pPr>
              <w:pStyle w:val="NotesTable-ItemPlain"/>
            </w:pPr>
          </w:p>
        </w:tc>
        <w:tc>
          <w:tcPr>
            <w:tcW w:w="486" w:type="pct"/>
            <w:tcBorders>
              <w:top w:val="nil"/>
              <w:left w:val="single" w:sz="8" w:space="0" w:color="FFFFFF"/>
              <w:bottom w:val="nil"/>
              <w:right w:val="single" w:sz="8" w:space="0" w:color="FFFFFF"/>
            </w:tcBorders>
            <w:shd w:val="clear" w:color="auto" w:fill="auto"/>
            <w:vAlign w:val="bottom"/>
          </w:tcPr>
          <w:p w14:paraId="038A3E51" w14:textId="77777777" w:rsidR="00B47729" w:rsidRPr="002465C9" w:rsidRDefault="00D00D2D" w:rsidP="001A5D4A">
            <w:pPr>
              <w:pStyle w:val="NotesTable-HeadPlain"/>
              <w:rPr>
                <w:b/>
              </w:rPr>
            </w:pPr>
            <w:r>
              <w:t>Carrying</w:t>
            </w:r>
          </w:p>
        </w:tc>
        <w:tc>
          <w:tcPr>
            <w:tcW w:w="594"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E52" w14:textId="77777777" w:rsidR="00B47729" w:rsidRPr="002465C9" w:rsidRDefault="00B47729" w:rsidP="001A5D4A">
            <w:pPr>
              <w:pStyle w:val="NotesTable-HeadPlain"/>
              <w:rPr>
                <w:b/>
              </w:rPr>
            </w:pPr>
            <w:r w:rsidRPr="002465C9">
              <w:noBreakHyphen/>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E53" w14:textId="77777777" w:rsidR="00B47729" w:rsidRPr="002465C9" w:rsidRDefault="00B47729" w:rsidP="001A5D4A">
            <w:pPr>
              <w:pStyle w:val="NotesTable-HeadPlain"/>
              <w:rPr>
                <w:b/>
              </w:rPr>
            </w:pPr>
            <w:r w:rsidRPr="002465C9">
              <w:t>+</w:t>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E54" w14:textId="77777777" w:rsidR="00B47729" w:rsidRPr="002465C9" w:rsidRDefault="00B47729" w:rsidP="001A5D4A">
            <w:pPr>
              <w:pStyle w:val="NotesTable-HeadPlain"/>
              <w:rPr>
                <w:b/>
              </w:rPr>
            </w:pPr>
            <w:r w:rsidRPr="002465C9">
              <w:noBreakHyphen/>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E55" w14:textId="77777777" w:rsidR="00B47729" w:rsidRPr="002465C9" w:rsidRDefault="00B47729" w:rsidP="001A5D4A">
            <w:pPr>
              <w:pStyle w:val="NotesTable-HeadPlain"/>
              <w:rPr>
                <w:b/>
              </w:rPr>
            </w:pPr>
            <w:r w:rsidRPr="002465C9">
              <w:t>+</w:t>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E56" w14:textId="77777777" w:rsidR="00B47729" w:rsidRPr="002465C9" w:rsidRDefault="00B47729" w:rsidP="001A5D4A">
            <w:pPr>
              <w:pStyle w:val="NotesTable-HeadPlain"/>
            </w:pPr>
            <w:r w:rsidRPr="002465C9">
              <w:noBreakHyphen/>
            </w:r>
            <w:r>
              <w:t>x</w:t>
            </w:r>
            <w:r w:rsidRPr="002465C9">
              <w:t>%</w:t>
            </w:r>
          </w:p>
        </w:tc>
        <w:tc>
          <w:tcPr>
            <w:tcW w:w="595" w:type="pct"/>
            <w:gridSpan w:val="2"/>
            <w:tcBorders>
              <w:top w:val="single" w:sz="8" w:space="0" w:color="FFFFFF"/>
              <w:left w:val="single" w:sz="8" w:space="0" w:color="FFFFFF"/>
              <w:bottom w:val="single" w:sz="8" w:space="0" w:color="FFFFFF"/>
            </w:tcBorders>
            <w:shd w:val="clear" w:color="auto" w:fill="auto"/>
            <w:vAlign w:val="bottom"/>
          </w:tcPr>
          <w:p w14:paraId="038A3E57" w14:textId="77777777" w:rsidR="00B47729" w:rsidRPr="002465C9" w:rsidRDefault="00B47729" w:rsidP="001A5D4A">
            <w:pPr>
              <w:pStyle w:val="NotesTable-HeadPlain"/>
            </w:pPr>
            <w:r w:rsidRPr="002465C9">
              <w:t>+</w:t>
            </w:r>
            <w:r>
              <w:t>x</w:t>
            </w:r>
            <w:r w:rsidRPr="002465C9">
              <w:t>%</w:t>
            </w:r>
          </w:p>
        </w:tc>
      </w:tr>
      <w:tr w:rsidR="00F670D3" w:rsidRPr="002465C9" w14:paraId="038A3E67" w14:textId="77777777" w:rsidTr="00463ABD">
        <w:tc>
          <w:tcPr>
            <w:tcW w:w="945" w:type="pct"/>
            <w:tcBorders>
              <w:top w:val="nil"/>
              <w:bottom w:val="nil"/>
              <w:right w:val="single" w:sz="8" w:space="0" w:color="FFFFFF"/>
            </w:tcBorders>
            <w:shd w:val="clear" w:color="auto" w:fill="auto"/>
            <w:vAlign w:val="bottom"/>
          </w:tcPr>
          <w:p w14:paraId="038A3E59" w14:textId="34A5E029" w:rsidR="00B47729" w:rsidRPr="002465C9" w:rsidRDefault="00B47729" w:rsidP="001A5D4A">
            <w:pPr>
              <w:pStyle w:val="NotesTable-ItemPlain"/>
              <w:rPr>
                <w:b/>
                <w:bCs/>
              </w:rPr>
            </w:pPr>
            <w:r w:rsidRPr="002465C9">
              <w:t xml:space="preserve">31 December </w:t>
            </w:r>
            <w:r w:rsidR="006864EC">
              <w:t>2014</w:t>
            </w:r>
          </w:p>
        </w:tc>
        <w:tc>
          <w:tcPr>
            <w:tcW w:w="486" w:type="pct"/>
            <w:tcBorders>
              <w:top w:val="nil"/>
              <w:left w:val="single" w:sz="8" w:space="0" w:color="FFFFFF"/>
              <w:bottom w:val="nil"/>
              <w:right w:val="single" w:sz="8" w:space="0" w:color="FFFFFF"/>
            </w:tcBorders>
            <w:shd w:val="clear" w:color="auto" w:fill="auto"/>
            <w:vAlign w:val="bottom"/>
          </w:tcPr>
          <w:p w14:paraId="038A3E5A" w14:textId="77777777" w:rsidR="00B47729" w:rsidRPr="002465C9" w:rsidRDefault="00B47729" w:rsidP="001A5D4A">
            <w:pPr>
              <w:pStyle w:val="NotesTable-HeadPlain"/>
              <w:rPr>
                <w:b/>
              </w:rPr>
            </w:pPr>
            <w:r w:rsidRPr="002465C9">
              <w:t>amount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5B"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5C"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5D"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5E"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5F"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0"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1"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2" w14:textId="77777777" w:rsidR="00B47729" w:rsidRPr="002465C9" w:rsidRDefault="00B47729" w:rsidP="001A5D4A">
            <w:pPr>
              <w:pStyle w:val="NotesTable-HeadPlain"/>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3" w14:textId="77777777" w:rsidR="00B47729" w:rsidRPr="002465C9" w:rsidRDefault="00B47729" w:rsidP="001A5D4A">
            <w:pPr>
              <w:pStyle w:val="NotesTable-HeadPlain"/>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4" w14:textId="77777777" w:rsidR="00B47729" w:rsidRPr="002465C9" w:rsidRDefault="00B47729" w:rsidP="001A5D4A">
            <w:pPr>
              <w:pStyle w:val="NotesTable-HeadPlain"/>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E65" w14:textId="77777777" w:rsidR="00B47729" w:rsidRPr="002465C9" w:rsidRDefault="00B47729" w:rsidP="001A5D4A">
            <w:pPr>
              <w:pStyle w:val="NotesTable-HeadPlain"/>
            </w:pPr>
            <w:r w:rsidRPr="002465C9">
              <w:t>Result</w:t>
            </w:r>
          </w:p>
        </w:tc>
        <w:tc>
          <w:tcPr>
            <w:tcW w:w="297" w:type="pct"/>
            <w:tcBorders>
              <w:top w:val="single" w:sz="8" w:space="0" w:color="FFFFFF"/>
              <w:left w:val="single" w:sz="8" w:space="0" w:color="FFFFFF"/>
              <w:bottom w:val="nil"/>
            </w:tcBorders>
            <w:shd w:val="clear" w:color="auto" w:fill="auto"/>
            <w:vAlign w:val="bottom"/>
          </w:tcPr>
          <w:p w14:paraId="038A3E66" w14:textId="77777777" w:rsidR="00B47729" w:rsidRPr="002465C9" w:rsidRDefault="00B47729" w:rsidP="001A5D4A">
            <w:pPr>
              <w:pStyle w:val="NotesTable-HeadPlain"/>
            </w:pPr>
            <w:r w:rsidRPr="002465C9">
              <w:t>Equity</w:t>
            </w:r>
          </w:p>
        </w:tc>
      </w:tr>
      <w:tr w:rsidR="00F5455E" w:rsidRPr="002465C9" w14:paraId="038A3E76" w14:textId="77777777" w:rsidTr="00463ABD">
        <w:tc>
          <w:tcPr>
            <w:tcW w:w="945" w:type="pct"/>
            <w:tcBorders>
              <w:top w:val="nil"/>
              <w:right w:val="single" w:sz="8" w:space="0" w:color="FFFFFF"/>
            </w:tcBorders>
            <w:shd w:val="clear" w:color="auto" w:fill="auto"/>
            <w:vAlign w:val="bottom"/>
          </w:tcPr>
          <w:p w14:paraId="038A3E68" w14:textId="77777777" w:rsidR="00B47729" w:rsidRPr="002465C9" w:rsidRDefault="00B47729" w:rsidP="001A5D4A">
            <w:pPr>
              <w:pStyle w:val="NotesTable-ItemPlain"/>
            </w:pPr>
          </w:p>
        </w:tc>
        <w:tc>
          <w:tcPr>
            <w:tcW w:w="486" w:type="pct"/>
            <w:tcBorders>
              <w:top w:val="nil"/>
              <w:left w:val="single" w:sz="8" w:space="0" w:color="FFFFFF"/>
              <w:bottom w:val="single" w:sz="4" w:space="0" w:color="B5BBCF"/>
              <w:right w:val="single" w:sz="8" w:space="0" w:color="FFFFFF"/>
            </w:tcBorders>
            <w:shd w:val="clear" w:color="auto" w:fill="auto"/>
            <w:vAlign w:val="bottom"/>
          </w:tcPr>
          <w:p w14:paraId="038A3E69"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A"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B"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C"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D"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E"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6F"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70"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71"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72"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73"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E74"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tcBorders>
            <w:shd w:val="clear" w:color="auto" w:fill="auto"/>
            <w:vAlign w:val="bottom"/>
          </w:tcPr>
          <w:p w14:paraId="038A3E75" w14:textId="77777777" w:rsidR="00B47729" w:rsidRPr="002465C9" w:rsidRDefault="00B47729" w:rsidP="001A5D4A">
            <w:pPr>
              <w:pStyle w:val="NotesTable-HeadPlain"/>
              <w:rPr>
                <w:b/>
              </w:rPr>
            </w:pPr>
            <w:r w:rsidRPr="002465C9">
              <w:t>$'000</w:t>
            </w:r>
          </w:p>
        </w:tc>
      </w:tr>
      <w:tr w:rsidR="00F5455E" w:rsidRPr="002465C9" w14:paraId="038A3E85"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77" w14:textId="77777777" w:rsidR="00B47729" w:rsidRPr="002465C9" w:rsidRDefault="00B47729" w:rsidP="001A5D4A">
            <w:pPr>
              <w:pStyle w:val="NotesTable-ItemBold"/>
            </w:pPr>
            <w:r w:rsidRPr="002465C9">
              <w:t>Financial assets</w:t>
            </w:r>
          </w:p>
        </w:tc>
        <w:tc>
          <w:tcPr>
            <w:tcW w:w="486" w:type="pct"/>
            <w:tcBorders>
              <w:top w:val="single" w:sz="4" w:space="0" w:color="B5BBCF"/>
              <w:left w:val="single" w:sz="4" w:space="0" w:color="B5BBCF"/>
              <w:bottom w:val="nil"/>
              <w:right w:val="single" w:sz="4" w:space="0" w:color="B5BBCF"/>
            </w:tcBorders>
            <w:vAlign w:val="bottom"/>
          </w:tcPr>
          <w:p w14:paraId="038A3E78"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9"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A"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B"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C"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D"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E"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7F"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80"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81"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82"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83"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E84" w14:textId="77777777" w:rsidR="00B47729" w:rsidRPr="002465C9" w:rsidRDefault="00B47729" w:rsidP="001A5D4A">
            <w:pPr>
              <w:pStyle w:val="NotesTable-CellPlain"/>
            </w:pPr>
          </w:p>
        </w:tc>
      </w:tr>
      <w:tr w:rsidR="00D81BA1" w14:paraId="038A3E94"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86" w14:textId="77777777" w:rsidR="00D81BA1" w:rsidRDefault="00D81BA1" w:rsidP="001A5D4A">
            <w:pPr>
              <w:pStyle w:val="NotesTable-ItemPlain"/>
              <w:rPr>
                <w:b/>
                <w:sz w:val="24"/>
              </w:rPr>
            </w:pPr>
            <w:r>
              <w:t>Cash and cash equivalents</w:t>
            </w:r>
          </w:p>
        </w:tc>
        <w:tc>
          <w:tcPr>
            <w:tcW w:w="486" w:type="pct"/>
            <w:tcBorders>
              <w:top w:val="nil"/>
              <w:left w:val="single" w:sz="4" w:space="0" w:color="B5BBCF"/>
              <w:bottom w:val="nil"/>
              <w:right w:val="single" w:sz="4" w:space="0" w:color="B5BBCF"/>
            </w:tcBorders>
          </w:tcPr>
          <w:p w14:paraId="038A3E87" w14:textId="77777777" w:rsidR="00D81BA1"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88"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89"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8A"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8B"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8C"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8D"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8E" w14:textId="77777777" w:rsidR="00D81BA1"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E8F"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0"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1"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2"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93" w14:textId="77777777" w:rsidR="00D81BA1" w:rsidRDefault="00D81BA1" w:rsidP="001A5D4A">
            <w:pPr>
              <w:pStyle w:val="NotesTable-CellPlain"/>
              <w:rPr>
                <w:lang w:val="en-GB"/>
              </w:rPr>
            </w:pPr>
            <w:r>
              <w:t>–</w:t>
            </w:r>
          </w:p>
        </w:tc>
      </w:tr>
      <w:tr w:rsidR="00D81BA1" w:rsidRPr="002465C9" w14:paraId="038A3EA3"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95" w14:textId="77777777" w:rsidR="00D81BA1" w:rsidRDefault="00D81BA1" w:rsidP="001A5D4A">
            <w:pPr>
              <w:pStyle w:val="NotesTable-ItemPlain"/>
              <w:rPr>
                <w:b/>
                <w:sz w:val="24"/>
              </w:rPr>
            </w:pPr>
            <w:r>
              <w:t>Receivables</w:t>
            </w:r>
          </w:p>
        </w:tc>
        <w:tc>
          <w:tcPr>
            <w:tcW w:w="486" w:type="pct"/>
            <w:tcBorders>
              <w:top w:val="nil"/>
              <w:left w:val="single" w:sz="4" w:space="0" w:color="B5BBCF"/>
              <w:bottom w:val="nil"/>
              <w:right w:val="single" w:sz="4" w:space="0" w:color="B5BBCF"/>
            </w:tcBorders>
          </w:tcPr>
          <w:p w14:paraId="038A3E96"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9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9"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9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D"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9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9F"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0"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1"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A2" w14:textId="77777777" w:rsidR="00D81BA1" w:rsidRPr="002465C9" w:rsidRDefault="00D81BA1" w:rsidP="001A5D4A">
            <w:pPr>
              <w:pStyle w:val="NotesTable-CellPlain"/>
              <w:rPr>
                <w:lang w:val="en-GB"/>
              </w:rPr>
            </w:pPr>
            <w:r>
              <w:t>–</w:t>
            </w:r>
          </w:p>
        </w:tc>
      </w:tr>
      <w:tr w:rsidR="00D81BA1" w:rsidRPr="002465C9" w14:paraId="038A3EB2"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A4" w14:textId="77777777" w:rsidR="00D81BA1" w:rsidRDefault="00D81BA1" w:rsidP="001A5D4A">
            <w:pPr>
              <w:pStyle w:val="NotesTable-ItemPlain"/>
              <w:rPr>
                <w:b/>
                <w:sz w:val="24"/>
              </w:rPr>
            </w:pPr>
            <w:r>
              <w:t>Other financial assets</w:t>
            </w:r>
          </w:p>
        </w:tc>
        <w:tc>
          <w:tcPr>
            <w:tcW w:w="486" w:type="pct"/>
            <w:tcBorders>
              <w:top w:val="nil"/>
              <w:left w:val="single" w:sz="4" w:space="0" w:color="B5BBCF"/>
              <w:bottom w:val="nil"/>
              <w:right w:val="single" w:sz="4" w:space="0" w:color="B5BBCF"/>
            </w:tcBorders>
          </w:tcPr>
          <w:p w14:paraId="038A3EA5"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A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8"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A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C"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A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AF"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0"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B1" w14:textId="77777777" w:rsidR="00D81BA1" w:rsidRPr="002465C9" w:rsidRDefault="00D81BA1" w:rsidP="001A5D4A">
            <w:pPr>
              <w:pStyle w:val="NotesTable-CellPlain"/>
              <w:rPr>
                <w:lang w:val="en-GB"/>
              </w:rPr>
            </w:pPr>
            <w:r>
              <w:t>–</w:t>
            </w:r>
          </w:p>
        </w:tc>
      </w:tr>
      <w:tr w:rsidR="00D81BA1" w:rsidRPr="002465C9" w14:paraId="038A3EC1"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B3" w14:textId="77777777" w:rsidR="00D81BA1" w:rsidRPr="008433FB" w:rsidRDefault="00D81BA1" w:rsidP="001A5D4A">
            <w:pPr>
              <w:pStyle w:val="NotesTable-ItemPlain"/>
              <w:rPr>
                <w:b/>
                <w:sz w:val="24"/>
              </w:rPr>
            </w:pPr>
            <w:r w:rsidRPr="008433FB">
              <w:t>[Specify]</w:t>
            </w:r>
          </w:p>
        </w:tc>
        <w:tc>
          <w:tcPr>
            <w:tcW w:w="486" w:type="pct"/>
            <w:tcBorders>
              <w:top w:val="nil"/>
              <w:left w:val="single" w:sz="4" w:space="0" w:color="B5BBCF"/>
              <w:bottom w:val="nil"/>
              <w:right w:val="single" w:sz="4" w:space="0" w:color="B5BBCF"/>
            </w:tcBorders>
          </w:tcPr>
          <w:p w14:paraId="038A3EB4"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B5"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7"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B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B"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B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BF"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C0" w14:textId="77777777" w:rsidR="00D81BA1" w:rsidRPr="002465C9" w:rsidRDefault="00D81BA1" w:rsidP="001A5D4A">
            <w:pPr>
              <w:pStyle w:val="NotesTable-CellPlain"/>
              <w:rPr>
                <w:lang w:val="en-GB"/>
              </w:rPr>
            </w:pPr>
            <w:r>
              <w:t>–</w:t>
            </w:r>
          </w:p>
        </w:tc>
      </w:tr>
      <w:tr w:rsidR="00D81BA1" w:rsidRPr="002465C9" w14:paraId="038A3ED0"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C2" w14:textId="77777777" w:rsidR="00D81BA1" w:rsidRPr="002465C9" w:rsidRDefault="00D81BA1" w:rsidP="001A5D4A">
            <w:pPr>
              <w:pStyle w:val="NotesTable-ItemBold"/>
              <w:rPr>
                <w:sz w:val="24"/>
              </w:rPr>
            </w:pPr>
            <w:r w:rsidRPr="002465C9">
              <w:t>Financial liabilities</w:t>
            </w:r>
          </w:p>
        </w:tc>
        <w:tc>
          <w:tcPr>
            <w:tcW w:w="486" w:type="pct"/>
            <w:tcBorders>
              <w:top w:val="nil"/>
              <w:left w:val="single" w:sz="4" w:space="0" w:color="B5BBCF"/>
              <w:bottom w:val="nil"/>
              <w:right w:val="single" w:sz="4" w:space="0" w:color="B5BBCF"/>
            </w:tcBorders>
          </w:tcPr>
          <w:p w14:paraId="038A3EC3"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4"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5"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6"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EC7"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8"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9"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A"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ECB"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C"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D"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CE"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ECF" w14:textId="77777777" w:rsidR="00D81BA1" w:rsidRPr="002465C9" w:rsidRDefault="00D81BA1" w:rsidP="001A5D4A">
            <w:pPr>
              <w:pStyle w:val="NotesTable-CellPlain"/>
            </w:pPr>
            <w:r>
              <w:t>–</w:t>
            </w:r>
          </w:p>
        </w:tc>
      </w:tr>
      <w:tr w:rsidR="00D81BA1" w:rsidRPr="002465C9" w14:paraId="038A3EDF"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D1" w14:textId="77777777" w:rsidR="00D81BA1" w:rsidRDefault="00D81BA1" w:rsidP="001A5D4A">
            <w:pPr>
              <w:pStyle w:val="NotesTable-ItemPlain"/>
              <w:rPr>
                <w:b/>
                <w:sz w:val="24"/>
              </w:rPr>
            </w:pPr>
            <w:r>
              <w:t>Payables</w:t>
            </w:r>
          </w:p>
        </w:tc>
        <w:tc>
          <w:tcPr>
            <w:tcW w:w="486" w:type="pct"/>
            <w:tcBorders>
              <w:top w:val="nil"/>
              <w:left w:val="single" w:sz="4" w:space="0" w:color="B5BBCF"/>
              <w:bottom w:val="nil"/>
              <w:right w:val="single" w:sz="4" w:space="0" w:color="B5BBCF"/>
            </w:tcBorders>
          </w:tcPr>
          <w:p w14:paraId="038A3ED2"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D3"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4"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5"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D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9"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D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DD"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DE" w14:textId="77777777" w:rsidR="00D81BA1" w:rsidRPr="002465C9" w:rsidRDefault="00D81BA1" w:rsidP="001A5D4A">
            <w:pPr>
              <w:pStyle w:val="NotesTable-CellPlain"/>
              <w:rPr>
                <w:lang w:val="en-GB"/>
              </w:rPr>
            </w:pPr>
            <w:r>
              <w:t>–</w:t>
            </w:r>
          </w:p>
        </w:tc>
      </w:tr>
      <w:tr w:rsidR="00D81BA1" w14:paraId="038A3EEE"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E0" w14:textId="77777777" w:rsidR="00D81BA1" w:rsidRDefault="00D81BA1" w:rsidP="001A5D4A">
            <w:pPr>
              <w:pStyle w:val="NotesTable-ItemPlain"/>
              <w:rPr>
                <w:b/>
                <w:sz w:val="24"/>
              </w:rPr>
            </w:pPr>
            <w:r>
              <w:t>Borrowings</w:t>
            </w:r>
          </w:p>
        </w:tc>
        <w:tc>
          <w:tcPr>
            <w:tcW w:w="486" w:type="pct"/>
            <w:tcBorders>
              <w:top w:val="nil"/>
              <w:left w:val="single" w:sz="4" w:space="0" w:color="B5BBCF"/>
              <w:bottom w:val="nil"/>
              <w:right w:val="single" w:sz="4" w:space="0" w:color="B5BBCF"/>
            </w:tcBorders>
          </w:tcPr>
          <w:p w14:paraId="038A3EE1" w14:textId="77777777" w:rsidR="00D81BA1"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E2"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3"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4"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E5"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6"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7"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8"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E9"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A"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B"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EC"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ED" w14:textId="77777777" w:rsidR="00D81BA1" w:rsidRDefault="00D81BA1" w:rsidP="001A5D4A">
            <w:pPr>
              <w:pStyle w:val="NotesTable-CellPlain"/>
              <w:rPr>
                <w:lang w:val="en-GB"/>
              </w:rPr>
            </w:pPr>
            <w:r>
              <w:t>–</w:t>
            </w:r>
          </w:p>
        </w:tc>
      </w:tr>
      <w:tr w:rsidR="00D81BA1" w:rsidRPr="002465C9" w14:paraId="038A3EFD"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EEF" w14:textId="77777777" w:rsidR="00D81BA1" w:rsidRDefault="00D81BA1" w:rsidP="001A5D4A">
            <w:pPr>
              <w:pStyle w:val="NotesTable-ItemPlain"/>
              <w:rPr>
                <w:b/>
                <w:sz w:val="24"/>
              </w:rPr>
            </w:pPr>
            <w:r>
              <w:t>Other financial liabilities</w:t>
            </w:r>
          </w:p>
        </w:tc>
        <w:tc>
          <w:tcPr>
            <w:tcW w:w="486" w:type="pct"/>
            <w:tcBorders>
              <w:top w:val="nil"/>
              <w:left w:val="single" w:sz="4" w:space="0" w:color="B5BBCF"/>
              <w:bottom w:val="nil"/>
              <w:right w:val="single" w:sz="4" w:space="0" w:color="B5BBCF"/>
            </w:tcBorders>
          </w:tcPr>
          <w:p w14:paraId="038A3EF0"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EF1"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2"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3"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F4"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5"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7"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F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EFB"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EFC" w14:textId="77777777" w:rsidR="00D81BA1" w:rsidRPr="002465C9" w:rsidRDefault="00D81BA1" w:rsidP="001A5D4A">
            <w:pPr>
              <w:pStyle w:val="NotesTable-CellPlain"/>
              <w:rPr>
                <w:lang w:val="en-GB"/>
              </w:rPr>
            </w:pPr>
            <w:r>
              <w:t>–</w:t>
            </w:r>
          </w:p>
        </w:tc>
      </w:tr>
      <w:tr w:rsidR="00D81BA1" w:rsidRPr="002465C9" w14:paraId="038A3F0C" w14:textId="77777777" w:rsidTr="00463ABD">
        <w:tblPrEx>
          <w:tblBorders>
            <w:left w:val="single" w:sz="8" w:space="0" w:color="AAD2E5"/>
            <w:right w:val="single" w:sz="8" w:space="0" w:color="AAD2E5"/>
          </w:tblBorders>
        </w:tblPrEx>
        <w:trPr>
          <w:trHeight w:val="181"/>
        </w:trPr>
        <w:tc>
          <w:tcPr>
            <w:tcW w:w="945" w:type="pct"/>
            <w:tcBorders>
              <w:top w:val="nil"/>
              <w:left w:val="nil"/>
              <w:bottom w:val="single" w:sz="4" w:space="0" w:color="B5BBCF"/>
              <w:right w:val="single" w:sz="4" w:space="0" w:color="B5BBCF"/>
            </w:tcBorders>
            <w:vAlign w:val="bottom"/>
          </w:tcPr>
          <w:p w14:paraId="038A3EFE" w14:textId="77777777" w:rsidR="00D81BA1" w:rsidRPr="00D00D2D" w:rsidRDefault="00D81BA1" w:rsidP="001A5D4A">
            <w:pPr>
              <w:pStyle w:val="NotesTable-ItemPlain"/>
              <w:rPr>
                <w:b/>
                <w:bCs/>
                <w:sz w:val="24"/>
              </w:rPr>
            </w:pPr>
            <w:r w:rsidRPr="00F33C1D">
              <w:t>[Specify]</w:t>
            </w:r>
          </w:p>
        </w:tc>
        <w:tc>
          <w:tcPr>
            <w:tcW w:w="486" w:type="pct"/>
            <w:tcBorders>
              <w:top w:val="nil"/>
              <w:left w:val="single" w:sz="4" w:space="0" w:color="B5BBCF"/>
              <w:bottom w:val="single" w:sz="4" w:space="0" w:color="auto"/>
              <w:right w:val="single" w:sz="4" w:space="0" w:color="B5BBCF"/>
            </w:tcBorders>
          </w:tcPr>
          <w:p w14:paraId="038A3EFF" w14:textId="77777777" w:rsidR="00D81BA1" w:rsidRPr="002465C9" w:rsidRDefault="00D81BA1" w:rsidP="001A5D4A">
            <w:pPr>
              <w:pStyle w:val="NotesTable-CellPlain"/>
            </w:pPr>
            <w:r>
              <w:t>–</w:t>
            </w:r>
          </w:p>
        </w:tc>
        <w:tc>
          <w:tcPr>
            <w:tcW w:w="297" w:type="pct"/>
            <w:tcBorders>
              <w:top w:val="nil"/>
              <w:left w:val="single" w:sz="4" w:space="0" w:color="B5BBCF"/>
              <w:bottom w:val="single" w:sz="4" w:space="0" w:color="auto"/>
              <w:right w:val="single" w:sz="4" w:space="0" w:color="B5BBCF"/>
            </w:tcBorders>
          </w:tcPr>
          <w:p w14:paraId="038A3F00"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1"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2"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03"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4"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5"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6"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0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0A"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0B" w14:textId="77777777" w:rsidR="00D81BA1" w:rsidRPr="002465C9" w:rsidRDefault="00D81BA1" w:rsidP="001A5D4A">
            <w:pPr>
              <w:pStyle w:val="NotesTable-CellPlain"/>
              <w:rPr>
                <w:lang w:val="en-GB"/>
              </w:rPr>
            </w:pPr>
            <w:r>
              <w:t>–</w:t>
            </w:r>
          </w:p>
        </w:tc>
      </w:tr>
      <w:tr w:rsidR="00D81BA1" w:rsidRPr="002465C9" w14:paraId="038A3F1B" w14:textId="77777777" w:rsidTr="00463ABD">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0D" w14:textId="77777777" w:rsidR="00D81BA1" w:rsidRPr="002465C9" w:rsidRDefault="00D81BA1" w:rsidP="001A5D4A">
            <w:pPr>
              <w:pStyle w:val="NotesTable-ItemPlain"/>
              <w:rPr>
                <w:b/>
                <w:sz w:val="24"/>
              </w:rPr>
            </w:pPr>
            <w:r w:rsidRPr="002465C9">
              <w:t>Total increase/ (decrease)</w:t>
            </w:r>
          </w:p>
        </w:tc>
        <w:tc>
          <w:tcPr>
            <w:tcW w:w="486" w:type="pct"/>
            <w:tcBorders>
              <w:top w:val="single" w:sz="4" w:space="0" w:color="auto"/>
              <w:left w:val="single" w:sz="4" w:space="0" w:color="B5BBCF"/>
              <w:bottom w:val="nil"/>
              <w:right w:val="single" w:sz="4" w:space="0" w:color="B5BBCF"/>
            </w:tcBorders>
          </w:tcPr>
          <w:p w14:paraId="038A3F0E" w14:textId="77777777" w:rsidR="00D81BA1" w:rsidRPr="002465C9" w:rsidRDefault="00D81BA1" w:rsidP="001A5D4A">
            <w:pPr>
              <w:pStyle w:val="NotesTable-CellPlain"/>
            </w:pPr>
            <w:r>
              <w:t>–</w:t>
            </w:r>
          </w:p>
        </w:tc>
        <w:tc>
          <w:tcPr>
            <w:tcW w:w="297" w:type="pct"/>
            <w:tcBorders>
              <w:top w:val="single" w:sz="4" w:space="0" w:color="auto"/>
              <w:left w:val="single" w:sz="4" w:space="0" w:color="B5BBCF"/>
              <w:bottom w:val="nil"/>
              <w:right w:val="single" w:sz="4" w:space="0" w:color="B5BBCF"/>
            </w:tcBorders>
          </w:tcPr>
          <w:p w14:paraId="038A3F0F"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0"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1"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12"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3"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4"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5"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16"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7"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8"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19"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1A" w14:textId="77777777" w:rsidR="00D81BA1" w:rsidRPr="002465C9" w:rsidRDefault="00D81BA1" w:rsidP="001A5D4A">
            <w:pPr>
              <w:pStyle w:val="NotesTable-CellPlain"/>
              <w:rPr>
                <w:lang w:val="en-GB"/>
              </w:rPr>
            </w:pPr>
            <w:r>
              <w:t>–</w:t>
            </w:r>
          </w:p>
        </w:tc>
      </w:tr>
    </w:tbl>
    <w:p w14:paraId="6C791309" w14:textId="4AFE5B00" w:rsidR="002432EC" w:rsidRPr="002432EC" w:rsidRDefault="002432EC" w:rsidP="001A5D4A"/>
    <w:tbl>
      <w:tblPr>
        <w:tblW w:w="5000" w:type="pct"/>
        <w:tblCellMar>
          <w:left w:w="0" w:type="dxa"/>
          <w:right w:w="0" w:type="dxa"/>
        </w:tblCellMar>
        <w:tblLook w:val="0000" w:firstRow="0" w:lastRow="0" w:firstColumn="0" w:lastColumn="0" w:noHBand="0" w:noVBand="0"/>
      </w:tblPr>
      <w:tblGrid>
        <w:gridCol w:w="1942"/>
        <w:gridCol w:w="998"/>
        <w:gridCol w:w="610"/>
        <w:gridCol w:w="610"/>
        <w:gridCol w:w="610"/>
        <w:gridCol w:w="612"/>
        <w:gridCol w:w="610"/>
        <w:gridCol w:w="612"/>
        <w:gridCol w:w="610"/>
        <w:gridCol w:w="612"/>
        <w:gridCol w:w="610"/>
        <w:gridCol w:w="612"/>
        <w:gridCol w:w="610"/>
        <w:gridCol w:w="612"/>
      </w:tblGrid>
      <w:tr w:rsidR="00361CBF" w:rsidRPr="002465C9" w14:paraId="038A3F22" w14:textId="77777777" w:rsidTr="00261A68">
        <w:trPr>
          <w:gridBefore w:val="1"/>
          <w:wBefore w:w="945" w:type="pct"/>
        </w:trPr>
        <w:tc>
          <w:tcPr>
            <w:tcW w:w="486" w:type="pct"/>
            <w:tcBorders>
              <w:top w:val="nil"/>
              <w:left w:val="single" w:sz="8" w:space="0" w:color="FFFFFF"/>
              <w:bottom w:val="nil"/>
              <w:right w:val="single" w:sz="8" w:space="0" w:color="FFFFFF"/>
            </w:tcBorders>
            <w:shd w:val="clear" w:color="auto" w:fill="auto"/>
            <w:vAlign w:val="bottom"/>
          </w:tcPr>
          <w:p w14:paraId="038A3F1E" w14:textId="77777777" w:rsidR="00361CBF" w:rsidRPr="002465C9" w:rsidRDefault="00361CBF" w:rsidP="001A5D4A">
            <w:pPr>
              <w:pStyle w:val="NotesTable-HeadPlain"/>
            </w:pPr>
          </w:p>
        </w:tc>
        <w:tc>
          <w:tcPr>
            <w:tcW w:w="1189" w:type="pct"/>
            <w:gridSpan w:val="4"/>
            <w:tcBorders>
              <w:top w:val="nil"/>
              <w:left w:val="single" w:sz="8" w:space="0" w:color="FFFFFF"/>
              <w:bottom w:val="single" w:sz="8" w:space="0" w:color="FFFFFF"/>
              <w:right w:val="single" w:sz="8" w:space="0" w:color="FFFFFF"/>
            </w:tcBorders>
            <w:shd w:val="clear" w:color="auto" w:fill="auto"/>
            <w:vAlign w:val="bottom"/>
          </w:tcPr>
          <w:p w14:paraId="038A3F1F" w14:textId="77777777" w:rsidR="00361CBF" w:rsidRPr="002465C9" w:rsidRDefault="00361CBF" w:rsidP="001A5D4A">
            <w:pPr>
              <w:pStyle w:val="NotesTable-HeadPlain"/>
            </w:pPr>
            <w:r w:rsidRPr="002465C9">
              <w:t>Interest rate risk</w:t>
            </w:r>
          </w:p>
        </w:tc>
        <w:tc>
          <w:tcPr>
            <w:tcW w:w="1190" w:type="pct"/>
            <w:gridSpan w:val="4"/>
            <w:tcBorders>
              <w:top w:val="nil"/>
              <w:left w:val="single" w:sz="8" w:space="0" w:color="FFFFFF"/>
              <w:bottom w:val="single" w:sz="8" w:space="0" w:color="FFFFFF"/>
              <w:right w:val="single" w:sz="8" w:space="0" w:color="FFFFFF"/>
            </w:tcBorders>
            <w:shd w:val="clear" w:color="auto" w:fill="auto"/>
            <w:vAlign w:val="bottom"/>
          </w:tcPr>
          <w:p w14:paraId="038A3F20" w14:textId="77777777" w:rsidR="00361CBF" w:rsidRPr="002465C9" w:rsidRDefault="00361CBF" w:rsidP="001A5D4A">
            <w:pPr>
              <w:pStyle w:val="NotesTable-HeadPlain"/>
            </w:pPr>
            <w:r w:rsidRPr="002465C9">
              <w:t>Foreign exchange risk</w:t>
            </w:r>
          </w:p>
        </w:tc>
        <w:tc>
          <w:tcPr>
            <w:tcW w:w="1190" w:type="pct"/>
            <w:gridSpan w:val="4"/>
            <w:tcBorders>
              <w:top w:val="nil"/>
              <w:left w:val="single" w:sz="8" w:space="0" w:color="FFFFFF"/>
              <w:bottom w:val="single" w:sz="8" w:space="0" w:color="FFFFFF"/>
            </w:tcBorders>
            <w:shd w:val="clear" w:color="auto" w:fill="auto"/>
            <w:vAlign w:val="bottom"/>
          </w:tcPr>
          <w:p w14:paraId="038A3F21" w14:textId="77777777" w:rsidR="00361CBF" w:rsidRPr="002465C9" w:rsidRDefault="00361CBF" w:rsidP="001A5D4A">
            <w:pPr>
              <w:pStyle w:val="NotesTable-HeadPlain"/>
            </w:pPr>
            <w:r w:rsidRPr="002465C9">
              <w:t>Other price risk</w:t>
            </w:r>
          </w:p>
        </w:tc>
      </w:tr>
      <w:tr w:rsidR="00F5455E" w:rsidRPr="002465C9" w14:paraId="038A3F2B" w14:textId="77777777" w:rsidTr="00261A68">
        <w:tc>
          <w:tcPr>
            <w:tcW w:w="945" w:type="pct"/>
            <w:tcBorders>
              <w:top w:val="nil"/>
              <w:bottom w:val="nil"/>
              <w:right w:val="single" w:sz="8" w:space="0" w:color="FFFFFF"/>
            </w:tcBorders>
            <w:shd w:val="clear" w:color="auto" w:fill="auto"/>
            <w:vAlign w:val="bottom"/>
          </w:tcPr>
          <w:p w14:paraId="038A3F23" w14:textId="77777777" w:rsidR="00B47729" w:rsidRPr="002465C9" w:rsidRDefault="00B47729" w:rsidP="001A5D4A">
            <w:pPr>
              <w:pStyle w:val="NotesTable-ItemPlain"/>
            </w:pPr>
          </w:p>
        </w:tc>
        <w:tc>
          <w:tcPr>
            <w:tcW w:w="486" w:type="pct"/>
            <w:tcBorders>
              <w:top w:val="nil"/>
              <w:left w:val="single" w:sz="8" w:space="0" w:color="FFFFFF"/>
              <w:bottom w:val="nil"/>
              <w:right w:val="single" w:sz="8" w:space="0" w:color="FFFFFF"/>
            </w:tcBorders>
            <w:shd w:val="clear" w:color="auto" w:fill="auto"/>
            <w:vAlign w:val="bottom"/>
          </w:tcPr>
          <w:p w14:paraId="038A3F24" w14:textId="77777777" w:rsidR="00B47729" w:rsidRPr="002465C9" w:rsidRDefault="00D00D2D" w:rsidP="001A5D4A">
            <w:pPr>
              <w:pStyle w:val="NotesTable-HeadPlain"/>
              <w:rPr>
                <w:b/>
              </w:rPr>
            </w:pPr>
            <w:r>
              <w:t>Carrying</w:t>
            </w:r>
          </w:p>
        </w:tc>
        <w:tc>
          <w:tcPr>
            <w:tcW w:w="594"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F25" w14:textId="77777777" w:rsidR="00B47729" w:rsidRPr="002465C9" w:rsidRDefault="00B47729" w:rsidP="001A5D4A">
            <w:pPr>
              <w:pStyle w:val="NotesTable-HeadPlain"/>
              <w:rPr>
                <w:b/>
              </w:rPr>
            </w:pPr>
            <w:r w:rsidRPr="002465C9">
              <w:noBreakHyphen/>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F26" w14:textId="77777777" w:rsidR="00B47729" w:rsidRPr="002465C9" w:rsidRDefault="00B47729" w:rsidP="001A5D4A">
            <w:pPr>
              <w:pStyle w:val="NotesTable-HeadPlain"/>
              <w:rPr>
                <w:b/>
              </w:rPr>
            </w:pPr>
            <w:r w:rsidRPr="002465C9">
              <w:t>+</w:t>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F27" w14:textId="77777777" w:rsidR="00B47729" w:rsidRPr="002465C9" w:rsidRDefault="00B47729" w:rsidP="001A5D4A">
            <w:pPr>
              <w:pStyle w:val="NotesTable-HeadPlain"/>
              <w:rPr>
                <w:b/>
              </w:rPr>
            </w:pPr>
            <w:r w:rsidRPr="002465C9">
              <w:noBreakHyphen/>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F28" w14:textId="77777777" w:rsidR="00B47729" w:rsidRPr="002465C9" w:rsidRDefault="00B47729" w:rsidP="001A5D4A">
            <w:pPr>
              <w:pStyle w:val="NotesTable-HeadPlain"/>
              <w:rPr>
                <w:b/>
              </w:rPr>
            </w:pPr>
            <w:r w:rsidRPr="002465C9">
              <w:t>+</w:t>
            </w:r>
            <w:r>
              <w:t>x</w:t>
            </w:r>
            <w:r w:rsidRPr="002465C9">
              <w:t>%</w:t>
            </w:r>
          </w:p>
        </w:tc>
        <w:tc>
          <w:tcPr>
            <w:tcW w:w="595" w:type="pct"/>
            <w:gridSpan w:val="2"/>
            <w:tcBorders>
              <w:top w:val="single" w:sz="8" w:space="0" w:color="FFFFFF"/>
              <w:left w:val="single" w:sz="8" w:space="0" w:color="FFFFFF"/>
              <w:bottom w:val="single" w:sz="8" w:space="0" w:color="FFFFFF"/>
              <w:right w:val="single" w:sz="8" w:space="0" w:color="FFFFFF"/>
            </w:tcBorders>
            <w:shd w:val="clear" w:color="auto" w:fill="auto"/>
            <w:vAlign w:val="bottom"/>
          </w:tcPr>
          <w:p w14:paraId="038A3F29" w14:textId="77777777" w:rsidR="00B47729" w:rsidRPr="002465C9" w:rsidRDefault="00B47729" w:rsidP="001A5D4A">
            <w:pPr>
              <w:pStyle w:val="NotesTable-HeadPlain"/>
            </w:pPr>
            <w:r w:rsidRPr="002465C9">
              <w:noBreakHyphen/>
            </w:r>
            <w:r>
              <w:t>x</w:t>
            </w:r>
            <w:r w:rsidRPr="002465C9">
              <w:t>%</w:t>
            </w:r>
          </w:p>
        </w:tc>
        <w:tc>
          <w:tcPr>
            <w:tcW w:w="595" w:type="pct"/>
            <w:gridSpan w:val="2"/>
            <w:tcBorders>
              <w:top w:val="single" w:sz="8" w:space="0" w:color="FFFFFF"/>
              <w:left w:val="single" w:sz="8" w:space="0" w:color="FFFFFF"/>
              <w:bottom w:val="single" w:sz="8" w:space="0" w:color="FFFFFF"/>
            </w:tcBorders>
            <w:shd w:val="clear" w:color="auto" w:fill="auto"/>
            <w:vAlign w:val="bottom"/>
          </w:tcPr>
          <w:p w14:paraId="038A3F2A" w14:textId="77777777" w:rsidR="00B47729" w:rsidRPr="002465C9" w:rsidRDefault="00B47729" w:rsidP="001A5D4A">
            <w:pPr>
              <w:pStyle w:val="NotesTable-HeadPlain"/>
            </w:pPr>
            <w:r w:rsidRPr="002465C9">
              <w:t>+</w:t>
            </w:r>
            <w:r>
              <w:t>x</w:t>
            </w:r>
            <w:r w:rsidRPr="002465C9">
              <w:t>%</w:t>
            </w:r>
          </w:p>
        </w:tc>
      </w:tr>
      <w:tr w:rsidR="00F670D3" w:rsidRPr="002465C9" w14:paraId="038A3F3A" w14:textId="77777777" w:rsidTr="00261A68">
        <w:tc>
          <w:tcPr>
            <w:tcW w:w="945" w:type="pct"/>
            <w:tcBorders>
              <w:top w:val="nil"/>
              <w:bottom w:val="nil"/>
              <w:right w:val="single" w:sz="8" w:space="0" w:color="FFFFFF"/>
            </w:tcBorders>
            <w:shd w:val="clear" w:color="auto" w:fill="auto"/>
            <w:vAlign w:val="bottom"/>
          </w:tcPr>
          <w:p w14:paraId="038A3F2C" w14:textId="5A9559DD" w:rsidR="00B47729" w:rsidRPr="002465C9" w:rsidRDefault="00B47729" w:rsidP="001A5D4A">
            <w:pPr>
              <w:pStyle w:val="NotesTable-ItemPlain"/>
              <w:rPr>
                <w:b/>
                <w:bCs/>
              </w:rPr>
            </w:pPr>
            <w:r>
              <w:t xml:space="preserve">31 December </w:t>
            </w:r>
            <w:r w:rsidR="006864EC">
              <w:t>2013</w:t>
            </w:r>
          </w:p>
        </w:tc>
        <w:tc>
          <w:tcPr>
            <w:tcW w:w="486" w:type="pct"/>
            <w:tcBorders>
              <w:top w:val="nil"/>
              <w:left w:val="single" w:sz="8" w:space="0" w:color="FFFFFF"/>
              <w:bottom w:val="nil"/>
              <w:right w:val="single" w:sz="8" w:space="0" w:color="FFFFFF"/>
            </w:tcBorders>
            <w:shd w:val="clear" w:color="auto" w:fill="auto"/>
            <w:vAlign w:val="bottom"/>
          </w:tcPr>
          <w:p w14:paraId="038A3F2D" w14:textId="77777777" w:rsidR="00B47729" w:rsidRPr="002465C9" w:rsidRDefault="00B47729" w:rsidP="001A5D4A">
            <w:pPr>
              <w:pStyle w:val="NotesTable-HeadPlain"/>
              <w:rPr>
                <w:b/>
              </w:rPr>
            </w:pPr>
            <w:r w:rsidRPr="002465C9">
              <w:t>amount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2E"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2F"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0"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1"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2"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3" w14:textId="77777777" w:rsidR="00B47729" w:rsidRPr="002465C9" w:rsidRDefault="00B47729" w:rsidP="001A5D4A">
            <w:pPr>
              <w:pStyle w:val="NotesTable-HeadPlain"/>
              <w:rPr>
                <w:b/>
              </w:rPr>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4" w14:textId="77777777" w:rsidR="00B47729" w:rsidRPr="002465C9" w:rsidRDefault="00B47729" w:rsidP="001A5D4A">
            <w:pPr>
              <w:pStyle w:val="NotesTable-HeadPlain"/>
              <w:rPr>
                <w:b/>
              </w:rPr>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5" w14:textId="77777777" w:rsidR="00B47729" w:rsidRPr="002465C9" w:rsidRDefault="00B47729" w:rsidP="001A5D4A">
            <w:pPr>
              <w:pStyle w:val="NotesTable-HeadPlain"/>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6" w14:textId="77777777" w:rsidR="00B47729" w:rsidRPr="002465C9" w:rsidRDefault="00B47729" w:rsidP="001A5D4A">
            <w:pPr>
              <w:pStyle w:val="NotesTable-HeadPlain"/>
            </w:pPr>
            <w:r w:rsidRPr="002465C9">
              <w:t>Result</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7" w14:textId="77777777" w:rsidR="00B47729" w:rsidRPr="002465C9" w:rsidRDefault="00B47729" w:rsidP="001A5D4A">
            <w:pPr>
              <w:pStyle w:val="NotesTable-HeadPlain"/>
            </w:pPr>
            <w:r w:rsidRPr="002465C9">
              <w:t>Equity</w:t>
            </w:r>
          </w:p>
        </w:tc>
        <w:tc>
          <w:tcPr>
            <w:tcW w:w="297" w:type="pct"/>
            <w:tcBorders>
              <w:top w:val="single" w:sz="8" w:space="0" w:color="FFFFFF"/>
              <w:left w:val="single" w:sz="8" w:space="0" w:color="FFFFFF"/>
              <w:bottom w:val="nil"/>
              <w:right w:val="single" w:sz="8" w:space="0" w:color="FFFFFF"/>
            </w:tcBorders>
            <w:shd w:val="clear" w:color="auto" w:fill="auto"/>
            <w:vAlign w:val="bottom"/>
          </w:tcPr>
          <w:p w14:paraId="038A3F38" w14:textId="77777777" w:rsidR="00B47729" w:rsidRPr="002465C9" w:rsidRDefault="00B47729" w:rsidP="001A5D4A">
            <w:pPr>
              <w:pStyle w:val="NotesTable-HeadPlain"/>
            </w:pPr>
            <w:r w:rsidRPr="002465C9">
              <w:t>Result</w:t>
            </w:r>
          </w:p>
        </w:tc>
        <w:tc>
          <w:tcPr>
            <w:tcW w:w="297" w:type="pct"/>
            <w:tcBorders>
              <w:top w:val="single" w:sz="8" w:space="0" w:color="FFFFFF"/>
              <w:left w:val="single" w:sz="8" w:space="0" w:color="FFFFFF"/>
              <w:bottom w:val="nil"/>
            </w:tcBorders>
            <w:shd w:val="clear" w:color="auto" w:fill="auto"/>
            <w:vAlign w:val="bottom"/>
          </w:tcPr>
          <w:p w14:paraId="038A3F39" w14:textId="77777777" w:rsidR="00B47729" w:rsidRPr="002465C9" w:rsidRDefault="00B47729" w:rsidP="001A5D4A">
            <w:pPr>
              <w:pStyle w:val="NotesTable-HeadPlain"/>
            </w:pPr>
            <w:r w:rsidRPr="002465C9">
              <w:t>Equity</w:t>
            </w:r>
          </w:p>
        </w:tc>
      </w:tr>
      <w:tr w:rsidR="00F5455E" w:rsidRPr="002465C9" w14:paraId="038A3F49" w14:textId="77777777" w:rsidTr="00261A68">
        <w:tc>
          <w:tcPr>
            <w:tcW w:w="945" w:type="pct"/>
            <w:tcBorders>
              <w:top w:val="nil"/>
              <w:bottom w:val="single" w:sz="4" w:space="0" w:color="B5BBCF"/>
              <w:right w:val="single" w:sz="8" w:space="0" w:color="FFFFFF"/>
            </w:tcBorders>
            <w:shd w:val="clear" w:color="auto" w:fill="auto"/>
            <w:vAlign w:val="bottom"/>
          </w:tcPr>
          <w:p w14:paraId="038A3F3B" w14:textId="77777777" w:rsidR="00B47729" w:rsidRPr="002465C9" w:rsidRDefault="00B47729" w:rsidP="001A5D4A">
            <w:pPr>
              <w:pStyle w:val="NotesTable-ItemPlain"/>
            </w:pPr>
          </w:p>
        </w:tc>
        <w:tc>
          <w:tcPr>
            <w:tcW w:w="486" w:type="pct"/>
            <w:tcBorders>
              <w:top w:val="nil"/>
              <w:left w:val="single" w:sz="8" w:space="0" w:color="FFFFFF"/>
              <w:bottom w:val="single" w:sz="4" w:space="0" w:color="B5BBCF"/>
              <w:right w:val="single" w:sz="8" w:space="0" w:color="FFFFFF"/>
            </w:tcBorders>
            <w:shd w:val="clear" w:color="auto" w:fill="auto"/>
            <w:vAlign w:val="bottom"/>
          </w:tcPr>
          <w:p w14:paraId="038A3F3C"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3D"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3E"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3F"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0"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1"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2"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3"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4"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5"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6"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right w:val="single" w:sz="8" w:space="0" w:color="FFFFFF"/>
            </w:tcBorders>
            <w:shd w:val="clear" w:color="auto" w:fill="auto"/>
            <w:vAlign w:val="bottom"/>
          </w:tcPr>
          <w:p w14:paraId="038A3F47" w14:textId="77777777" w:rsidR="00B47729" w:rsidRPr="002465C9" w:rsidRDefault="00B47729" w:rsidP="001A5D4A">
            <w:pPr>
              <w:pStyle w:val="NotesTable-HeadPlain"/>
              <w:rPr>
                <w:b/>
              </w:rPr>
            </w:pPr>
            <w:r w:rsidRPr="002465C9">
              <w:t>$'000</w:t>
            </w:r>
          </w:p>
        </w:tc>
        <w:tc>
          <w:tcPr>
            <w:tcW w:w="297" w:type="pct"/>
            <w:tcBorders>
              <w:top w:val="nil"/>
              <w:left w:val="single" w:sz="8" w:space="0" w:color="FFFFFF"/>
              <w:bottom w:val="single" w:sz="4" w:space="0" w:color="B5BBCF"/>
            </w:tcBorders>
            <w:shd w:val="clear" w:color="auto" w:fill="auto"/>
            <w:vAlign w:val="bottom"/>
          </w:tcPr>
          <w:p w14:paraId="038A3F48" w14:textId="77777777" w:rsidR="00B47729" w:rsidRPr="002465C9" w:rsidRDefault="00B47729" w:rsidP="001A5D4A">
            <w:pPr>
              <w:pStyle w:val="NotesTable-HeadPlain"/>
              <w:rPr>
                <w:b/>
              </w:rPr>
            </w:pPr>
            <w:r w:rsidRPr="002465C9">
              <w:t>$'000</w:t>
            </w:r>
          </w:p>
        </w:tc>
      </w:tr>
      <w:tr w:rsidR="00F5455E" w:rsidRPr="002465C9" w14:paraId="038A3F58" w14:textId="77777777" w:rsidTr="00261A68">
        <w:tblPrEx>
          <w:tblBorders>
            <w:left w:val="single" w:sz="8" w:space="0" w:color="AAD2E5"/>
            <w:right w:val="single" w:sz="8" w:space="0" w:color="AAD2E5"/>
          </w:tblBorders>
        </w:tblPrEx>
        <w:trPr>
          <w:trHeight w:val="181"/>
        </w:trPr>
        <w:tc>
          <w:tcPr>
            <w:tcW w:w="945" w:type="pct"/>
            <w:tcBorders>
              <w:top w:val="single" w:sz="4" w:space="0" w:color="B5BBCF"/>
              <w:left w:val="nil"/>
              <w:bottom w:val="nil"/>
              <w:right w:val="single" w:sz="4" w:space="0" w:color="B5BBCF"/>
            </w:tcBorders>
            <w:vAlign w:val="bottom"/>
          </w:tcPr>
          <w:p w14:paraId="038A3F4A" w14:textId="77777777" w:rsidR="00B47729" w:rsidRPr="002465C9" w:rsidRDefault="00B47729" w:rsidP="001A5D4A">
            <w:pPr>
              <w:pStyle w:val="NotesTable-ItemBold"/>
            </w:pPr>
            <w:r w:rsidRPr="002465C9">
              <w:t>Financial assets</w:t>
            </w:r>
          </w:p>
        </w:tc>
        <w:tc>
          <w:tcPr>
            <w:tcW w:w="486" w:type="pct"/>
            <w:tcBorders>
              <w:top w:val="single" w:sz="4" w:space="0" w:color="B5BBCF"/>
              <w:left w:val="single" w:sz="4" w:space="0" w:color="B5BBCF"/>
              <w:bottom w:val="nil"/>
              <w:right w:val="single" w:sz="4" w:space="0" w:color="B5BBCF"/>
            </w:tcBorders>
            <w:vAlign w:val="bottom"/>
          </w:tcPr>
          <w:p w14:paraId="038A3F4B"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4C"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4D"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4E"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4F"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0"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1"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2"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3"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4"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5"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6" w14:textId="77777777" w:rsidR="00B47729" w:rsidRPr="002465C9" w:rsidRDefault="00B47729" w:rsidP="001A5D4A">
            <w:pPr>
              <w:pStyle w:val="NotesTable-CellPlain"/>
            </w:pPr>
          </w:p>
        </w:tc>
        <w:tc>
          <w:tcPr>
            <w:tcW w:w="297" w:type="pct"/>
            <w:tcBorders>
              <w:top w:val="single" w:sz="4" w:space="0" w:color="B5BBCF"/>
              <w:left w:val="single" w:sz="4" w:space="0" w:color="B5BBCF"/>
              <w:bottom w:val="nil"/>
              <w:right w:val="single" w:sz="4" w:space="0" w:color="B5BBCF"/>
            </w:tcBorders>
            <w:vAlign w:val="bottom"/>
          </w:tcPr>
          <w:p w14:paraId="038A3F57" w14:textId="77777777" w:rsidR="00B47729" w:rsidRPr="002465C9" w:rsidRDefault="00B47729" w:rsidP="001A5D4A">
            <w:pPr>
              <w:pStyle w:val="NotesTable-CellPlain"/>
            </w:pPr>
          </w:p>
        </w:tc>
      </w:tr>
      <w:tr w:rsidR="00D81BA1" w:rsidRPr="002465C9" w14:paraId="038A3F67"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59" w14:textId="77777777" w:rsidR="00D81BA1" w:rsidRDefault="00D81BA1" w:rsidP="001A5D4A">
            <w:pPr>
              <w:pStyle w:val="NotesTable-ItemPlain"/>
              <w:rPr>
                <w:b/>
              </w:rPr>
            </w:pPr>
            <w:r>
              <w:t>Cash and cash equivalents</w:t>
            </w:r>
          </w:p>
        </w:tc>
        <w:tc>
          <w:tcPr>
            <w:tcW w:w="486" w:type="pct"/>
            <w:tcBorders>
              <w:top w:val="nil"/>
              <w:left w:val="single" w:sz="4" w:space="0" w:color="B5BBCF"/>
              <w:bottom w:val="nil"/>
              <w:right w:val="single" w:sz="4" w:space="0" w:color="B5BBCF"/>
            </w:tcBorders>
          </w:tcPr>
          <w:p w14:paraId="038A3F5A"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5B"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5C"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5D"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5E"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5F"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0"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1"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62"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3"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4"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5"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66" w14:textId="77777777" w:rsidR="00D81BA1" w:rsidRDefault="00D81BA1" w:rsidP="001A5D4A">
            <w:pPr>
              <w:pStyle w:val="NotesTable-CellPlain"/>
              <w:rPr>
                <w:lang w:val="en-GB"/>
              </w:rPr>
            </w:pPr>
            <w:r>
              <w:t>–</w:t>
            </w:r>
          </w:p>
        </w:tc>
      </w:tr>
      <w:tr w:rsidR="00D81BA1" w:rsidRPr="002465C9" w14:paraId="038A3F76"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68" w14:textId="77777777" w:rsidR="00D81BA1" w:rsidRPr="002465C9" w:rsidRDefault="00D81BA1" w:rsidP="001A5D4A">
            <w:pPr>
              <w:pStyle w:val="NotesTable-ItemPlain"/>
              <w:rPr>
                <w:b/>
                <w:bCs/>
              </w:rPr>
            </w:pPr>
            <w:r>
              <w:t>Receivables</w:t>
            </w:r>
          </w:p>
        </w:tc>
        <w:tc>
          <w:tcPr>
            <w:tcW w:w="486" w:type="pct"/>
            <w:tcBorders>
              <w:top w:val="nil"/>
              <w:left w:val="single" w:sz="4" w:space="0" w:color="B5BBCF"/>
              <w:bottom w:val="nil"/>
              <w:right w:val="single" w:sz="4" w:space="0" w:color="B5BBCF"/>
            </w:tcBorders>
          </w:tcPr>
          <w:p w14:paraId="038A3F6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C"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6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6F"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0"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71"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2"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3"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4"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75" w14:textId="77777777" w:rsidR="00D81BA1" w:rsidRPr="002465C9" w:rsidRDefault="00D81BA1" w:rsidP="001A5D4A">
            <w:pPr>
              <w:pStyle w:val="NotesTable-CellPlain"/>
              <w:rPr>
                <w:lang w:val="en-GB"/>
              </w:rPr>
            </w:pPr>
            <w:r>
              <w:t>–</w:t>
            </w:r>
          </w:p>
        </w:tc>
      </w:tr>
      <w:tr w:rsidR="00D81BA1" w:rsidRPr="002465C9" w14:paraId="038A3F85"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77" w14:textId="77777777" w:rsidR="00D81BA1" w:rsidRPr="002465C9" w:rsidRDefault="00D81BA1" w:rsidP="001A5D4A">
            <w:pPr>
              <w:pStyle w:val="NotesTable-ItemPlain"/>
              <w:rPr>
                <w:b/>
                <w:bCs/>
              </w:rPr>
            </w:pPr>
            <w:r>
              <w:t>Other financial assets</w:t>
            </w:r>
          </w:p>
        </w:tc>
        <w:tc>
          <w:tcPr>
            <w:tcW w:w="486" w:type="pct"/>
            <w:tcBorders>
              <w:top w:val="nil"/>
              <w:left w:val="single" w:sz="4" w:space="0" w:color="B5BBCF"/>
              <w:bottom w:val="nil"/>
              <w:right w:val="single" w:sz="4" w:space="0" w:color="B5BBCF"/>
            </w:tcBorders>
          </w:tcPr>
          <w:p w14:paraId="038A3F7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B"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7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7F"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80"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1"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2"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3"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84" w14:textId="77777777" w:rsidR="00D81BA1" w:rsidRPr="002465C9" w:rsidRDefault="00D81BA1" w:rsidP="001A5D4A">
            <w:pPr>
              <w:pStyle w:val="NotesTable-CellPlain"/>
              <w:rPr>
                <w:lang w:val="en-GB"/>
              </w:rPr>
            </w:pPr>
            <w:r>
              <w:t>–</w:t>
            </w:r>
          </w:p>
        </w:tc>
      </w:tr>
      <w:tr w:rsidR="00D81BA1" w:rsidRPr="002465C9" w14:paraId="038A3F94"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86" w14:textId="77777777" w:rsidR="00D81BA1" w:rsidRPr="002465C9" w:rsidRDefault="00D81BA1" w:rsidP="001A5D4A">
            <w:pPr>
              <w:pStyle w:val="NotesTable-ItemPlain"/>
              <w:rPr>
                <w:b/>
                <w:bCs/>
              </w:rPr>
            </w:pPr>
            <w:r w:rsidRPr="008433FB">
              <w:t>[Specify]</w:t>
            </w:r>
          </w:p>
        </w:tc>
        <w:tc>
          <w:tcPr>
            <w:tcW w:w="486" w:type="pct"/>
            <w:tcBorders>
              <w:top w:val="nil"/>
              <w:left w:val="single" w:sz="4" w:space="0" w:color="B5BBCF"/>
              <w:bottom w:val="nil"/>
              <w:right w:val="single" w:sz="4" w:space="0" w:color="B5BBCF"/>
            </w:tcBorders>
          </w:tcPr>
          <w:p w14:paraId="038A3F8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A"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8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8E"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8F"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90"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91"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92"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93" w14:textId="77777777" w:rsidR="00D81BA1" w:rsidRPr="002465C9" w:rsidRDefault="00D81BA1" w:rsidP="001A5D4A">
            <w:pPr>
              <w:pStyle w:val="NotesTable-CellPlain"/>
              <w:rPr>
                <w:lang w:val="en-GB"/>
              </w:rPr>
            </w:pPr>
            <w:r>
              <w:t>–</w:t>
            </w:r>
          </w:p>
        </w:tc>
      </w:tr>
      <w:tr w:rsidR="00D81BA1" w:rsidRPr="002465C9" w14:paraId="038A3FA3"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95" w14:textId="77777777" w:rsidR="00D81BA1" w:rsidRPr="002465C9" w:rsidRDefault="00D81BA1" w:rsidP="001A5D4A">
            <w:pPr>
              <w:pStyle w:val="NotesTable-ItemBold"/>
            </w:pPr>
            <w:r w:rsidRPr="002465C9">
              <w:t>Financial liabilities</w:t>
            </w:r>
          </w:p>
        </w:tc>
        <w:tc>
          <w:tcPr>
            <w:tcW w:w="486" w:type="pct"/>
            <w:tcBorders>
              <w:top w:val="nil"/>
              <w:left w:val="single" w:sz="4" w:space="0" w:color="B5BBCF"/>
              <w:bottom w:val="nil"/>
              <w:right w:val="single" w:sz="4" w:space="0" w:color="B5BBCF"/>
            </w:tcBorders>
          </w:tcPr>
          <w:p w14:paraId="038A3F96"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7"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8"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9"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F9A"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B"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C"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D"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F9E"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9F"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A0"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A1" w14:textId="77777777" w:rsidR="00D81BA1" w:rsidRPr="002465C9" w:rsidRDefault="00D81BA1" w:rsidP="001A5D4A">
            <w:pPr>
              <w:pStyle w:val="NotesTable-CellPlain"/>
            </w:pPr>
            <w:r w:rsidRPr="00F33C1D">
              <w:t>–</w:t>
            </w:r>
          </w:p>
        </w:tc>
        <w:tc>
          <w:tcPr>
            <w:tcW w:w="297" w:type="pct"/>
            <w:tcBorders>
              <w:top w:val="nil"/>
              <w:left w:val="single" w:sz="4" w:space="0" w:color="B5BBCF"/>
              <w:bottom w:val="nil"/>
              <w:right w:val="single" w:sz="4" w:space="0" w:color="B5BBCF"/>
            </w:tcBorders>
          </w:tcPr>
          <w:p w14:paraId="038A3FA2" w14:textId="77777777" w:rsidR="00D81BA1" w:rsidRPr="002465C9" w:rsidRDefault="00D81BA1" w:rsidP="001A5D4A">
            <w:pPr>
              <w:pStyle w:val="NotesTable-CellPlain"/>
            </w:pPr>
            <w:r>
              <w:t>–</w:t>
            </w:r>
          </w:p>
        </w:tc>
      </w:tr>
      <w:tr w:rsidR="00D81BA1" w:rsidRPr="002465C9" w14:paraId="038A3FB2"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A4" w14:textId="77777777" w:rsidR="00D81BA1" w:rsidRDefault="00D81BA1" w:rsidP="001A5D4A">
            <w:pPr>
              <w:pStyle w:val="NotesTable-ItemPlain"/>
              <w:rPr>
                <w:b/>
              </w:rPr>
            </w:pPr>
            <w:r>
              <w:t>Payables</w:t>
            </w:r>
          </w:p>
        </w:tc>
        <w:tc>
          <w:tcPr>
            <w:tcW w:w="486" w:type="pct"/>
            <w:tcBorders>
              <w:top w:val="nil"/>
              <w:left w:val="single" w:sz="4" w:space="0" w:color="B5BBCF"/>
              <w:bottom w:val="nil"/>
              <w:right w:val="single" w:sz="4" w:space="0" w:color="B5BBCF"/>
            </w:tcBorders>
          </w:tcPr>
          <w:p w14:paraId="038A3FA5"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A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8"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A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C"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A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AF"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0"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B1" w14:textId="77777777" w:rsidR="00D81BA1" w:rsidRPr="002465C9" w:rsidRDefault="00D81BA1" w:rsidP="001A5D4A">
            <w:pPr>
              <w:pStyle w:val="NotesTable-CellPlain"/>
              <w:rPr>
                <w:lang w:val="en-GB"/>
              </w:rPr>
            </w:pPr>
            <w:r>
              <w:t>–</w:t>
            </w:r>
          </w:p>
        </w:tc>
      </w:tr>
      <w:tr w:rsidR="00D81BA1" w:rsidRPr="002465C9" w14:paraId="038A3FC1"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B3" w14:textId="77777777" w:rsidR="00D81BA1" w:rsidRDefault="00D81BA1" w:rsidP="001A5D4A">
            <w:pPr>
              <w:pStyle w:val="NotesTable-ItemPlain"/>
              <w:rPr>
                <w:b/>
              </w:rPr>
            </w:pPr>
            <w:r>
              <w:t>Borrowings</w:t>
            </w:r>
          </w:p>
        </w:tc>
        <w:tc>
          <w:tcPr>
            <w:tcW w:w="486" w:type="pct"/>
            <w:tcBorders>
              <w:top w:val="nil"/>
              <w:left w:val="single" w:sz="4" w:space="0" w:color="B5BBCF"/>
              <w:bottom w:val="nil"/>
              <w:right w:val="single" w:sz="4" w:space="0" w:color="B5BBCF"/>
            </w:tcBorders>
          </w:tcPr>
          <w:p w14:paraId="038A3FB4" w14:textId="77777777" w:rsidR="00D81BA1" w:rsidRPr="002465C9"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B5"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7"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B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9"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B"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B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D"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E"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BF"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C0" w14:textId="77777777" w:rsidR="00D81BA1" w:rsidRPr="002465C9" w:rsidRDefault="00D81BA1" w:rsidP="001A5D4A">
            <w:pPr>
              <w:pStyle w:val="NotesTable-CellPlain"/>
              <w:rPr>
                <w:lang w:val="en-GB"/>
              </w:rPr>
            </w:pPr>
            <w:r>
              <w:t>–</w:t>
            </w:r>
          </w:p>
        </w:tc>
      </w:tr>
      <w:tr w:rsidR="00D81BA1" w:rsidRPr="002465C9" w14:paraId="038A3FD0"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C2" w14:textId="77777777" w:rsidR="00D81BA1" w:rsidRDefault="00D81BA1" w:rsidP="001A5D4A">
            <w:pPr>
              <w:pStyle w:val="NotesTable-ItemPlain"/>
              <w:rPr>
                <w:b/>
              </w:rPr>
            </w:pPr>
            <w:r>
              <w:t>Other financial liabilities</w:t>
            </w:r>
          </w:p>
        </w:tc>
        <w:tc>
          <w:tcPr>
            <w:tcW w:w="486" w:type="pct"/>
            <w:tcBorders>
              <w:top w:val="nil"/>
              <w:left w:val="single" w:sz="4" w:space="0" w:color="B5BBCF"/>
              <w:bottom w:val="nil"/>
              <w:right w:val="single" w:sz="4" w:space="0" w:color="B5BBCF"/>
            </w:tcBorders>
          </w:tcPr>
          <w:p w14:paraId="038A3FC3" w14:textId="77777777" w:rsidR="00D81BA1" w:rsidRDefault="00D81BA1" w:rsidP="001A5D4A">
            <w:pPr>
              <w:pStyle w:val="NotesTable-CellPlain"/>
            </w:pPr>
            <w:r>
              <w:t>–</w:t>
            </w:r>
          </w:p>
        </w:tc>
        <w:tc>
          <w:tcPr>
            <w:tcW w:w="297" w:type="pct"/>
            <w:tcBorders>
              <w:top w:val="nil"/>
              <w:left w:val="single" w:sz="4" w:space="0" w:color="B5BBCF"/>
              <w:bottom w:val="nil"/>
              <w:right w:val="single" w:sz="4" w:space="0" w:color="B5BBCF"/>
            </w:tcBorders>
          </w:tcPr>
          <w:p w14:paraId="038A3FC4"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5"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6"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C7"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8"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9"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A"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CB"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C"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D" w14:textId="77777777" w:rsidR="00D81BA1" w:rsidRDefault="00D81BA1" w:rsidP="001A5D4A">
            <w:pPr>
              <w:pStyle w:val="NotesTable-CellPlain"/>
              <w:rPr>
                <w:lang w:val="en-GB"/>
              </w:rPr>
            </w:pPr>
            <w:r>
              <w:t>–</w:t>
            </w:r>
          </w:p>
        </w:tc>
        <w:tc>
          <w:tcPr>
            <w:tcW w:w="297" w:type="pct"/>
            <w:tcBorders>
              <w:top w:val="nil"/>
              <w:left w:val="single" w:sz="4" w:space="0" w:color="B5BBCF"/>
              <w:bottom w:val="nil"/>
              <w:right w:val="single" w:sz="4" w:space="0" w:color="B5BBCF"/>
            </w:tcBorders>
          </w:tcPr>
          <w:p w14:paraId="038A3FCE" w14:textId="77777777" w:rsidR="00D81BA1" w:rsidRDefault="00D81BA1" w:rsidP="001A5D4A">
            <w:pPr>
              <w:pStyle w:val="NotesTable-CellPlain"/>
              <w:rPr>
                <w:lang w:val="en-GB"/>
              </w:rPr>
            </w:pPr>
            <w:r w:rsidRPr="00F33C1D">
              <w:t>–</w:t>
            </w:r>
          </w:p>
        </w:tc>
        <w:tc>
          <w:tcPr>
            <w:tcW w:w="297" w:type="pct"/>
            <w:tcBorders>
              <w:top w:val="nil"/>
              <w:left w:val="single" w:sz="4" w:space="0" w:color="B5BBCF"/>
              <w:bottom w:val="nil"/>
              <w:right w:val="single" w:sz="4" w:space="0" w:color="B5BBCF"/>
            </w:tcBorders>
          </w:tcPr>
          <w:p w14:paraId="038A3FCF" w14:textId="77777777" w:rsidR="00D81BA1" w:rsidRDefault="00D81BA1" w:rsidP="001A5D4A">
            <w:pPr>
              <w:pStyle w:val="NotesTable-CellPlain"/>
              <w:rPr>
                <w:lang w:val="en-GB"/>
              </w:rPr>
            </w:pPr>
            <w:r>
              <w:t>–</w:t>
            </w:r>
          </w:p>
        </w:tc>
      </w:tr>
      <w:tr w:rsidR="00D81BA1" w:rsidRPr="002465C9" w14:paraId="038A3FDF"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D1" w14:textId="77777777" w:rsidR="00D81BA1" w:rsidRDefault="00D81BA1" w:rsidP="001A5D4A">
            <w:pPr>
              <w:pStyle w:val="NotesTable-ItemPlain"/>
              <w:rPr>
                <w:b/>
              </w:rPr>
            </w:pPr>
            <w:r w:rsidRPr="008433FB">
              <w:t>[Specify]</w:t>
            </w:r>
          </w:p>
        </w:tc>
        <w:tc>
          <w:tcPr>
            <w:tcW w:w="486" w:type="pct"/>
            <w:tcBorders>
              <w:top w:val="nil"/>
              <w:left w:val="single" w:sz="4" w:space="0" w:color="B5BBCF"/>
              <w:bottom w:val="single" w:sz="4" w:space="0" w:color="auto"/>
              <w:right w:val="single" w:sz="4" w:space="0" w:color="B5BBCF"/>
            </w:tcBorders>
          </w:tcPr>
          <w:p w14:paraId="038A3FD2" w14:textId="77777777" w:rsidR="00D81BA1" w:rsidRPr="002465C9" w:rsidRDefault="00D81BA1" w:rsidP="001A5D4A">
            <w:pPr>
              <w:pStyle w:val="NotesTable-CellPlain"/>
            </w:pPr>
            <w:r>
              <w:t>–</w:t>
            </w:r>
          </w:p>
        </w:tc>
        <w:tc>
          <w:tcPr>
            <w:tcW w:w="297" w:type="pct"/>
            <w:tcBorders>
              <w:top w:val="nil"/>
              <w:left w:val="single" w:sz="4" w:space="0" w:color="B5BBCF"/>
              <w:bottom w:val="single" w:sz="4" w:space="0" w:color="auto"/>
              <w:right w:val="single" w:sz="4" w:space="0" w:color="B5BBCF"/>
            </w:tcBorders>
          </w:tcPr>
          <w:p w14:paraId="038A3FD3"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4"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5"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D6"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7"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8"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9"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DA"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B"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C" w14:textId="77777777" w:rsidR="00D81BA1" w:rsidRPr="002465C9" w:rsidRDefault="00D81BA1" w:rsidP="001A5D4A">
            <w:pPr>
              <w:pStyle w:val="NotesTable-CellPlain"/>
              <w:rPr>
                <w:lang w:val="en-GB"/>
              </w:rPr>
            </w:pPr>
            <w:r>
              <w:t>–</w:t>
            </w:r>
          </w:p>
        </w:tc>
        <w:tc>
          <w:tcPr>
            <w:tcW w:w="297" w:type="pct"/>
            <w:tcBorders>
              <w:top w:val="nil"/>
              <w:left w:val="single" w:sz="4" w:space="0" w:color="B5BBCF"/>
              <w:bottom w:val="single" w:sz="4" w:space="0" w:color="auto"/>
              <w:right w:val="single" w:sz="4" w:space="0" w:color="B5BBCF"/>
            </w:tcBorders>
          </w:tcPr>
          <w:p w14:paraId="038A3FDD" w14:textId="77777777" w:rsidR="00D81BA1" w:rsidRPr="002465C9" w:rsidRDefault="00D81BA1" w:rsidP="001A5D4A">
            <w:pPr>
              <w:pStyle w:val="NotesTable-CellPlain"/>
              <w:rPr>
                <w:lang w:val="en-GB"/>
              </w:rPr>
            </w:pPr>
            <w:r w:rsidRPr="00F33C1D">
              <w:t>–</w:t>
            </w:r>
          </w:p>
        </w:tc>
        <w:tc>
          <w:tcPr>
            <w:tcW w:w="297" w:type="pct"/>
            <w:tcBorders>
              <w:top w:val="nil"/>
              <w:left w:val="single" w:sz="4" w:space="0" w:color="B5BBCF"/>
              <w:bottom w:val="single" w:sz="4" w:space="0" w:color="auto"/>
              <w:right w:val="single" w:sz="4" w:space="0" w:color="B5BBCF"/>
            </w:tcBorders>
          </w:tcPr>
          <w:p w14:paraId="038A3FDE" w14:textId="77777777" w:rsidR="00D81BA1" w:rsidRPr="002465C9" w:rsidRDefault="00D81BA1" w:rsidP="001A5D4A">
            <w:pPr>
              <w:pStyle w:val="NotesTable-CellPlain"/>
              <w:rPr>
                <w:lang w:val="en-GB"/>
              </w:rPr>
            </w:pPr>
            <w:r>
              <w:t>–</w:t>
            </w:r>
          </w:p>
        </w:tc>
      </w:tr>
      <w:tr w:rsidR="00D81BA1" w:rsidRPr="002465C9" w14:paraId="038A3FEE" w14:textId="77777777" w:rsidTr="00261A68">
        <w:tblPrEx>
          <w:tblBorders>
            <w:left w:val="single" w:sz="8" w:space="0" w:color="AAD2E5"/>
            <w:right w:val="single" w:sz="8" w:space="0" w:color="AAD2E5"/>
          </w:tblBorders>
        </w:tblPrEx>
        <w:trPr>
          <w:trHeight w:val="181"/>
        </w:trPr>
        <w:tc>
          <w:tcPr>
            <w:tcW w:w="945" w:type="pct"/>
            <w:tcBorders>
              <w:top w:val="nil"/>
              <w:left w:val="nil"/>
              <w:bottom w:val="nil"/>
              <w:right w:val="single" w:sz="4" w:space="0" w:color="B5BBCF"/>
            </w:tcBorders>
            <w:vAlign w:val="bottom"/>
          </w:tcPr>
          <w:p w14:paraId="038A3FE0" w14:textId="77777777" w:rsidR="00D81BA1" w:rsidRPr="002465C9" w:rsidRDefault="00D81BA1" w:rsidP="001A5D4A">
            <w:pPr>
              <w:pStyle w:val="NotesTable-ItemPlain"/>
              <w:rPr>
                <w:b/>
              </w:rPr>
            </w:pPr>
            <w:r w:rsidRPr="002465C9">
              <w:t>Total increase/ (decrease)</w:t>
            </w:r>
          </w:p>
        </w:tc>
        <w:tc>
          <w:tcPr>
            <w:tcW w:w="486" w:type="pct"/>
            <w:tcBorders>
              <w:top w:val="single" w:sz="4" w:space="0" w:color="auto"/>
              <w:left w:val="single" w:sz="4" w:space="0" w:color="B5BBCF"/>
              <w:bottom w:val="nil"/>
              <w:right w:val="single" w:sz="4" w:space="0" w:color="B5BBCF"/>
            </w:tcBorders>
          </w:tcPr>
          <w:p w14:paraId="038A3FE1" w14:textId="77777777" w:rsidR="00D81BA1" w:rsidRPr="002465C9" w:rsidRDefault="00D81BA1" w:rsidP="001A5D4A">
            <w:pPr>
              <w:pStyle w:val="NotesTable-CellPlain"/>
            </w:pPr>
            <w:r>
              <w:t>–</w:t>
            </w:r>
          </w:p>
        </w:tc>
        <w:tc>
          <w:tcPr>
            <w:tcW w:w="297" w:type="pct"/>
            <w:tcBorders>
              <w:top w:val="single" w:sz="4" w:space="0" w:color="auto"/>
              <w:left w:val="single" w:sz="4" w:space="0" w:color="B5BBCF"/>
              <w:bottom w:val="nil"/>
              <w:right w:val="single" w:sz="4" w:space="0" w:color="B5BBCF"/>
            </w:tcBorders>
          </w:tcPr>
          <w:p w14:paraId="038A3FE2"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3"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4"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E5"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6"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7"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8"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E9"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A"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B" w14:textId="77777777" w:rsidR="00D81BA1" w:rsidRPr="002465C9" w:rsidRDefault="00D81BA1" w:rsidP="001A5D4A">
            <w:pPr>
              <w:pStyle w:val="NotesTable-CellPlain"/>
              <w:rPr>
                <w:lang w:val="en-GB"/>
              </w:rPr>
            </w:pPr>
            <w:r>
              <w:t>–</w:t>
            </w:r>
          </w:p>
        </w:tc>
        <w:tc>
          <w:tcPr>
            <w:tcW w:w="297" w:type="pct"/>
            <w:tcBorders>
              <w:top w:val="single" w:sz="4" w:space="0" w:color="auto"/>
              <w:left w:val="single" w:sz="4" w:space="0" w:color="B5BBCF"/>
              <w:bottom w:val="nil"/>
              <w:right w:val="single" w:sz="4" w:space="0" w:color="B5BBCF"/>
            </w:tcBorders>
          </w:tcPr>
          <w:p w14:paraId="038A3FEC" w14:textId="77777777" w:rsidR="00D81BA1" w:rsidRPr="002465C9" w:rsidRDefault="00D81BA1" w:rsidP="001A5D4A">
            <w:pPr>
              <w:pStyle w:val="NotesTable-CellPlain"/>
              <w:rPr>
                <w:lang w:val="en-GB"/>
              </w:rPr>
            </w:pPr>
            <w:r w:rsidRPr="00F33C1D">
              <w:t>–</w:t>
            </w:r>
          </w:p>
        </w:tc>
        <w:tc>
          <w:tcPr>
            <w:tcW w:w="297" w:type="pct"/>
            <w:tcBorders>
              <w:top w:val="single" w:sz="4" w:space="0" w:color="auto"/>
              <w:left w:val="single" w:sz="4" w:space="0" w:color="B5BBCF"/>
              <w:bottom w:val="nil"/>
              <w:right w:val="single" w:sz="4" w:space="0" w:color="B5BBCF"/>
            </w:tcBorders>
          </w:tcPr>
          <w:p w14:paraId="038A3FED" w14:textId="77777777" w:rsidR="00D81BA1" w:rsidRPr="002465C9" w:rsidRDefault="00D81BA1" w:rsidP="001A5D4A">
            <w:pPr>
              <w:pStyle w:val="NotesTable-CellPlain"/>
              <w:rPr>
                <w:lang w:val="en-GB"/>
              </w:rPr>
            </w:pPr>
            <w:r>
              <w:t>–</w:t>
            </w:r>
          </w:p>
        </w:tc>
      </w:tr>
    </w:tbl>
    <w:p w14:paraId="038A3FEF" w14:textId="2DA2ABE5" w:rsidR="00DF3D95" w:rsidRDefault="00DF3D95" w:rsidP="001A5D4A">
      <w:bookmarkStart w:id="425" w:name="OLE_LINK10"/>
      <w:bookmarkStart w:id="426" w:name="OLE_LINK11"/>
      <w:bookmarkStart w:id="427" w:name="_Hlk215902384"/>
      <w:bookmarkEnd w:id="425"/>
      <w:bookmarkEnd w:id="426"/>
      <w:bookmarkEnd w:id="427"/>
    </w:p>
    <w:p w14:paraId="54A93BB8" w14:textId="77777777" w:rsidR="00DF3D95" w:rsidRDefault="00DF3D95">
      <w:pPr>
        <w:spacing w:after="0"/>
      </w:pPr>
      <w:r>
        <w:br w:type="page"/>
      </w:r>
    </w:p>
    <w:tbl>
      <w:tblPr>
        <w:tblW w:w="5006" w:type="pct"/>
        <w:tblCellMar>
          <w:left w:w="0" w:type="dxa"/>
          <w:right w:w="0" w:type="dxa"/>
        </w:tblCellMar>
        <w:tblLook w:val="0000" w:firstRow="0" w:lastRow="0" w:firstColumn="0" w:lastColumn="0" w:noHBand="0" w:noVBand="0"/>
      </w:tblPr>
      <w:tblGrid>
        <w:gridCol w:w="1651"/>
        <w:gridCol w:w="1624"/>
        <w:gridCol w:w="1001"/>
        <w:gridCol w:w="1000"/>
        <w:gridCol w:w="1000"/>
        <w:gridCol w:w="1000"/>
        <w:gridCol w:w="1000"/>
        <w:gridCol w:w="1000"/>
        <w:gridCol w:w="984"/>
        <w:gridCol w:w="12"/>
      </w:tblGrid>
      <w:tr w:rsidR="00883287" w:rsidRPr="002432EC" w14:paraId="038A3FF2" w14:textId="77777777" w:rsidTr="00883287">
        <w:trPr>
          <w:gridAfter w:val="1"/>
          <w:wAfter w:w="6" w:type="pct"/>
          <w:trHeight w:val="161"/>
        </w:trPr>
        <w:tc>
          <w:tcPr>
            <w:tcW w:w="4994" w:type="pct"/>
            <w:gridSpan w:val="9"/>
          </w:tcPr>
          <w:p w14:paraId="038A3FF1" w14:textId="033C5024" w:rsidR="00883287" w:rsidRPr="002432EC" w:rsidRDefault="00883287" w:rsidP="00883287">
            <w:pPr>
              <w:pStyle w:val="TOC3"/>
              <w:ind w:left="0"/>
            </w:pPr>
            <w:r w:rsidRPr="002432EC">
              <w:lastRenderedPageBreak/>
              <w:t>Note 50</w:t>
            </w:r>
            <w:r>
              <w:t xml:space="preserve">. </w:t>
            </w:r>
            <w:r w:rsidRPr="002432EC">
              <w:t>Financial risk management (continued)</w:t>
            </w:r>
          </w:p>
        </w:tc>
      </w:tr>
      <w:tr w:rsidR="00883287" w:rsidRPr="002432EC" w14:paraId="09C431B7" w14:textId="77777777" w:rsidTr="00883287">
        <w:trPr>
          <w:gridAfter w:val="1"/>
          <w:wAfter w:w="6" w:type="pct"/>
          <w:trHeight w:val="161"/>
        </w:trPr>
        <w:tc>
          <w:tcPr>
            <w:tcW w:w="4994" w:type="pct"/>
            <w:gridSpan w:val="9"/>
          </w:tcPr>
          <w:p w14:paraId="48629A3F" w14:textId="279F1EC5" w:rsidR="00883287" w:rsidRPr="002432EC" w:rsidRDefault="00883287" w:rsidP="001A5D4A">
            <w:r w:rsidRPr="002432EC">
              <w:t>AASB132, AASB7</w:t>
            </w:r>
          </w:p>
        </w:tc>
      </w:tr>
      <w:tr w:rsidR="00023312" w14:paraId="038A3FF5" w14:textId="77777777" w:rsidTr="00883287">
        <w:trPr>
          <w:gridAfter w:val="1"/>
          <w:wAfter w:w="6" w:type="pct"/>
          <w:trHeight w:val="159"/>
        </w:trPr>
        <w:tc>
          <w:tcPr>
            <w:tcW w:w="803" w:type="pct"/>
          </w:tcPr>
          <w:p w14:paraId="038A3FF3" w14:textId="77777777" w:rsidR="00023312" w:rsidRDefault="00023312" w:rsidP="001A5D4A">
            <w:pPr>
              <w:pStyle w:val="Note-Refs"/>
            </w:pPr>
          </w:p>
        </w:tc>
        <w:tc>
          <w:tcPr>
            <w:tcW w:w="4191" w:type="pct"/>
            <w:gridSpan w:val="8"/>
          </w:tcPr>
          <w:p w14:paraId="038A3FF4" w14:textId="77777777" w:rsidR="00023312" w:rsidRDefault="00023312" w:rsidP="001A5D4A">
            <w:pPr>
              <w:pStyle w:val="Note-TextHeader"/>
              <w:rPr>
                <w:b w:val="0"/>
                <w:vertAlign w:val="superscript"/>
                <w:lang w:val="en-GB"/>
              </w:rPr>
            </w:pPr>
            <w:r>
              <w:t>(b)</w:t>
            </w:r>
            <w:r>
              <w:tab/>
              <w:t>Credit risk</w:t>
            </w:r>
            <w:r w:rsidRPr="00847803">
              <w:t xml:space="preserve"> </w:t>
            </w:r>
          </w:p>
        </w:tc>
      </w:tr>
      <w:tr w:rsidR="00D00D2D" w14:paraId="038A3FF8" w14:textId="77777777" w:rsidTr="00883287">
        <w:trPr>
          <w:gridAfter w:val="1"/>
          <w:wAfter w:w="6" w:type="pct"/>
          <w:trHeight w:val="159"/>
        </w:trPr>
        <w:tc>
          <w:tcPr>
            <w:tcW w:w="803" w:type="pct"/>
          </w:tcPr>
          <w:p w14:paraId="038A3FF6" w14:textId="77777777" w:rsidR="00D00D2D" w:rsidRDefault="00D00D2D" w:rsidP="001A5D4A">
            <w:pPr>
              <w:pStyle w:val="Note-Refs"/>
              <w:rPr>
                <w:b/>
              </w:rPr>
            </w:pPr>
            <w:r>
              <w:t>AASB7.33a-c</w:t>
            </w:r>
          </w:p>
        </w:tc>
        <w:tc>
          <w:tcPr>
            <w:tcW w:w="4191" w:type="pct"/>
            <w:gridSpan w:val="8"/>
          </w:tcPr>
          <w:p w14:paraId="038A3FF7" w14:textId="77777777" w:rsidR="00D00D2D" w:rsidRDefault="00D00D2D" w:rsidP="001A5D4A">
            <w:pPr>
              <w:pStyle w:val="NotesTable-ItemPlain"/>
              <w:rPr>
                <w:b/>
              </w:rPr>
            </w:pPr>
            <w:r>
              <w:t xml:space="preserve">Describe the </w:t>
            </w:r>
            <w:r w:rsidRPr="00873741">
              <w:t>exposures</w:t>
            </w:r>
            <w:r>
              <w:t xml:space="preserve"> to credit risk and how they arise;</w:t>
            </w:r>
          </w:p>
        </w:tc>
      </w:tr>
      <w:tr w:rsidR="004C056C" w14:paraId="3CF89186" w14:textId="77777777" w:rsidTr="00883287">
        <w:trPr>
          <w:gridAfter w:val="1"/>
          <w:wAfter w:w="6" w:type="pct"/>
          <w:trHeight w:hRule="exact" w:val="85"/>
        </w:trPr>
        <w:tc>
          <w:tcPr>
            <w:tcW w:w="803" w:type="pct"/>
          </w:tcPr>
          <w:p w14:paraId="2DAB5CAE" w14:textId="77777777" w:rsidR="004C056C" w:rsidRDefault="004C056C" w:rsidP="001A5D4A">
            <w:pPr>
              <w:pStyle w:val="Note-Refs"/>
            </w:pPr>
          </w:p>
        </w:tc>
        <w:tc>
          <w:tcPr>
            <w:tcW w:w="4191" w:type="pct"/>
            <w:gridSpan w:val="8"/>
          </w:tcPr>
          <w:p w14:paraId="220F3889" w14:textId="77777777" w:rsidR="004C056C" w:rsidRDefault="004C056C" w:rsidP="001A5D4A">
            <w:pPr>
              <w:pStyle w:val="NotesTable-ItemPlain"/>
            </w:pPr>
          </w:p>
        </w:tc>
      </w:tr>
      <w:tr w:rsidR="00D00D2D" w14:paraId="038A3FFB" w14:textId="77777777" w:rsidTr="00883287">
        <w:trPr>
          <w:gridAfter w:val="1"/>
          <w:wAfter w:w="6" w:type="pct"/>
          <w:trHeight w:val="159"/>
        </w:trPr>
        <w:tc>
          <w:tcPr>
            <w:tcW w:w="803" w:type="pct"/>
          </w:tcPr>
          <w:p w14:paraId="038A3FF9" w14:textId="77777777" w:rsidR="00D00D2D" w:rsidRDefault="00D00D2D" w:rsidP="001A5D4A">
            <w:pPr>
              <w:pStyle w:val="Note-Refs"/>
            </w:pPr>
          </w:p>
        </w:tc>
        <w:tc>
          <w:tcPr>
            <w:tcW w:w="4191" w:type="pct"/>
            <w:gridSpan w:val="8"/>
          </w:tcPr>
          <w:p w14:paraId="038A3FFA" w14:textId="77777777" w:rsidR="00D00D2D" w:rsidRDefault="00D00D2D" w:rsidP="001A5D4A">
            <w:pPr>
              <w:pStyle w:val="NotesTable-ItemPlain"/>
              <w:rPr>
                <w:b/>
              </w:rPr>
            </w:pPr>
            <w:r>
              <w:t>Describe the Group’s objectives, policies and processes for managing the credit risk and the methods used to measure the risk; and</w:t>
            </w:r>
          </w:p>
        </w:tc>
      </w:tr>
      <w:tr w:rsidR="004C056C" w14:paraId="6E40877A" w14:textId="77777777" w:rsidTr="00883287">
        <w:trPr>
          <w:gridAfter w:val="1"/>
          <w:wAfter w:w="6" w:type="pct"/>
          <w:trHeight w:hRule="exact" w:val="85"/>
        </w:trPr>
        <w:tc>
          <w:tcPr>
            <w:tcW w:w="803" w:type="pct"/>
          </w:tcPr>
          <w:p w14:paraId="3F231F2B" w14:textId="77777777" w:rsidR="004C056C" w:rsidRDefault="004C056C" w:rsidP="001A5D4A">
            <w:pPr>
              <w:pStyle w:val="Note-Refs"/>
            </w:pPr>
          </w:p>
        </w:tc>
        <w:tc>
          <w:tcPr>
            <w:tcW w:w="4191" w:type="pct"/>
            <w:gridSpan w:val="8"/>
          </w:tcPr>
          <w:p w14:paraId="416F84A5" w14:textId="77777777" w:rsidR="004C056C" w:rsidRDefault="004C056C" w:rsidP="001A5D4A">
            <w:pPr>
              <w:pStyle w:val="NotesTable-ItemPlain"/>
            </w:pPr>
          </w:p>
        </w:tc>
      </w:tr>
      <w:tr w:rsidR="00D00D2D" w14:paraId="038A3FFE" w14:textId="77777777" w:rsidTr="00883287">
        <w:trPr>
          <w:gridAfter w:val="1"/>
          <w:wAfter w:w="6" w:type="pct"/>
          <w:trHeight w:val="159"/>
        </w:trPr>
        <w:tc>
          <w:tcPr>
            <w:tcW w:w="803" w:type="pct"/>
          </w:tcPr>
          <w:p w14:paraId="038A3FFC" w14:textId="77777777" w:rsidR="00D00D2D" w:rsidRDefault="00D00D2D" w:rsidP="001A5D4A">
            <w:pPr>
              <w:pStyle w:val="Note-Refs"/>
            </w:pPr>
          </w:p>
        </w:tc>
        <w:tc>
          <w:tcPr>
            <w:tcW w:w="4191" w:type="pct"/>
            <w:gridSpan w:val="8"/>
          </w:tcPr>
          <w:p w14:paraId="038A3FFD" w14:textId="77777777" w:rsidR="00D00D2D" w:rsidRDefault="00D00D2D" w:rsidP="001A5D4A">
            <w:pPr>
              <w:pStyle w:val="NotesTable-ItemPlain"/>
              <w:rPr>
                <w:b/>
              </w:rPr>
            </w:pPr>
            <w:r>
              <w:t>Describe any changes in the above from the previous period.</w:t>
            </w:r>
          </w:p>
        </w:tc>
      </w:tr>
      <w:tr w:rsidR="00D00D2D" w14:paraId="038A4001" w14:textId="77777777" w:rsidTr="00883287">
        <w:trPr>
          <w:gridAfter w:val="1"/>
          <w:wAfter w:w="6" w:type="pct"/>
          <w:cantSplit/>
          <w:trHeight w:hRule="exact" w:val="85"/>
        </w:trPr>
        <w:tc>
          <w:tcPr>
            <w:tcW w:w="803" w:type="pct"/>
          </w:tcPr>
          <w:p w14:paraId="038A3FFF" w14:textId="77777777" w:rsidR="00D00D2D" w:rsidRDefault="00D00D2D" w:rsidP="001A5D4A">
            <w:pPr>
              <w:pStyle w:val="Note-Refs"/>
            </w:pPr>
          </w:p>
        </w:tc>
        <w:tc>
          <w:tcPr>
            <w:tcW w:w="4191" w:type="pct"/>
            <w:gridSpan w:val="8"/>
          </w:tcPr>
          <w:p w14:paraId="038A4000" w14:textId="77777777" w:rsidR="00D00D2D" w:rsidRDefault="00D00D2D" w:rsidP="001A5D4A">
            <w:pPr>
              <w:pStyle w:val="NotesTable-ItemPlain"/>
            </w:pPr>
          </w:p>
        </w:tc>
      </w:tr>
      <w:tr w:rsidR="00563292" w14:paraId="038A4004" w14:textId="77777777" w:rsidTr="00883287">
        <w:trPr>
          <w:gridAfter w:val="1"/>
          <w:wAfter w:w="6" w:type="pct"/>
          <w:trHeight w:val="161"/>
        </w:trPr>
        <w:tc>
          <w:tcPr>
            <w:tcW w:w="803" w:type="pct"/>
          </w:tcPr>
          <w:p w14:paraId="038A4002" w14:textId="77777777" w:rsidR="00563292" w:rsidRDefault="00563292" w:rsidP="001A5D4A">
            <w:pPr>
              <w:pStyle w:val="Note-Refs"/>
              <w:rPr>
                <w:b/>
              </w:rPr>
            </w:pPr>
            <w:r>
              <w:t>AASB7.36a</w:t>
            </w:r>
          </w:p>
        </w:tc>
        <w:tc>
          <w:tcPr>
            <w:tcW w:w="4191" w:type="pct"/>
            <w:gridSpan w:val="8"/>
          </w:tcPr>
          <w:p w14:paraId="038A4003" w14:textId="5BCD69D3" w:rsidR="00563292" w:rsidRDefault="00563292" w:rsidP="001A5D4A">
            <w:pPr>
              <w:pStyle w:val="NotesTable-ItemPlain"/>
              <w:rPr>
                <w:b/>
              </w:rPr>
            </w:pPr>
            <w:r>
              <w:t xml:space="preserve">The carrying amount of financial assets (as contained in the table in </w:t>
            </w:r>
            <w:r w:rsidR="004C056C">
              <w:t>note 51(a)</w:t>
            </w:r>
            <w:r>
              <w:t xml:space="preserve">) represents the </w:t>
            </w:r>
            <w:r w:rsidR="004C056C">
              <w:t>G</w:t>
            </w:r>
            <w:r w:rsidR="002254C9">
              <w:t>roup’s</w:t>
            </w:r>
            <w:r>
              <w:t xml:space="preserve"> maximum exposure to credit risk.</w:t>
            </w:r>
          </w:p>
        </w:tc>
      </w:tr>
      <w:tr w:rsidR="00D81BA1" w14:paraId="038A4007" w14:textId="77777777" w:rsidTr="00883287">
        <w:trPr>
          <w:gridAfter w:val="1"/>
          <w:wAfter w:w="6" w:type="pct"/>
          <w:trHeight w:hRule="exact" w:val="85"/>
        </w:trPr>
        <w:tc>
          <w:tcPr>
            <w:tcW w:w="803" w:type="pct"/>
          </w:tcPr>
          <w:p w14:paraId="038A4005" w14:textId="77777777" w:rsidR="00D81BA1" w:rsidRDefault="00D81BA1" w:rsidP="001A5D4A">
            <w:pPr>
              <w:pStyle w:val="Note-Refs"/>
            </w:pPr>
          </w:p>
        </w:tc>
        <w:tc>
          <w:tcPr>
            <w:tcW w:w="4191" w:type="pct"/>
            <w:gridSpan w:val="8"/>
          </w:tcPr>
          <w:p w14:paraId="038A4006" w14:textId="77777777" w:rsidR="00D81BA1" w:rsidRDefault="00D81BA1" w:rsidP="001A5D4A">
            <w:pPr>
              <w:pStyle w:val="Note-TextHeader"/>
            </w:pPr>
          </w:p>
        </w:tc>
      </w:tr>
      <w:tr w:rsidR="00720B2E" w14:paraId="038A400A" w14:textId="77777777" w:rsidTr="00883287">
        <w:trPr>
          <w:gridAfter w:val="1"/>
          <w:wAfter w:w="6" w:type="pct"/>
          <w:trHeight w:val="180"/>
        </w:trPr>
        <w:tc>
          <w:tcPr>
            <w:tcW w:w="803" w:type="pct"/>
          </w:tcPr>
          <w:p w14:paraId="038A4008" w14:textId="77777777" w:rsidR="00720B2E" w:rsidRDefault="00720B2E" w:rsidP="001A5D4A">
            <w:pPr>
              <w:pStyle w:val="Note-Refs"/>
            </w:pPr>
          </w:p>
        </w:tc>
        <w:tc>
          <w:tcPr>
            <w:tcW w:w="4191" w:type="pct"/>
            <w:gridSpan w:val="8"/>
          </w:tcPr>
          <w:p w14:paraId="038A4009" w14:textId="77777777" w:rsidR="00720B2E" w:rsidRDefault="00720B2E" w:rsidP="001A5D4A">
            <w:pPr>
              <w:pStyle w:val="Note-TextHeader"/>
              <w:rPr>
                <w:b w:val="0"/>
                <w:vertAlign w:val="superscript"/>
                <w:lang w:val="en-GB"/>
              </w:rPr>
            </w:pPr>
            <w:r>
              <w:t>(c)</w:t>
            </w:r>
            <w:r>
              <w:tab/>
              <w:t>Liquidity risk</w:t>
            </w:r>
            <w:r w:rsidRPr="00847803">
              <w:t xml:space="preserve"> </w:t>
            </w:r>
          </w:p>
        </w:tc>
      </w:tr>
      <w:tr w:rsidR="00D00D2D" w14:paraId="038A400D" w14:textId="77777777" w:rsidTr="00883287">
        <w:trPr>
          <w:gridAfter w:val="1"/>
          <w:wAfter w:w="6" w:type="pct"/>
          <w:trHeight w:val="159"/>
        </w:trPr>
        <w:tc>
          <w:tcPr>
            <w:tcW w:w="803" w:type="pct"/>
          </w:tcPr>
          <w:p w14:paraId="038A400B" w14:textId="77777777" w:rsidR="00D00D2D" w:rsidRDefault="00D00D2D" w:rsidP="001A5D4A">
            <w:pPr>
              <w:pStyle w:val="Note-Refs"/>
            </w:pPr>
          </w:p>
        </w:tc>
        <w:tc>
          <w:tcPr>
            <w:tcW w:w="4191" w:type="pct"/>
            <w:gridSpan w:val="8"/>
          </w:tcPr>
          <w:p w14:paraId="038A400C" w14:textId="77777777" w:rsidR="00D00D2D" w:rsidRDefault="00D00D2D" w:rsidP="001A5D4A">
            <w:pPr>
              <w:pStyle w:val="NotesTable-ItemPlain"/>
              <w:rPr>
                <w:b/>
              </w:rPr>
            </w:pPr>
            <w:r>
              <w:t>Describe the exposures to liquidity risk and how they arise;</w:t>
            </w:r>
          </w:p>
        </w:tc>
      </w:tr>
      <w:tr w:rsidR="004C056C" w14:paraId="43277D89" w14:textId="77777777" w:rsidTr="00883287">
        <w:trPr>
          <w:gridAfter w:val="1"/>
          <w:wAfter w:w="6" w:type="pct"/>
          <w:trHeight w:hRule="exact" w:val="85"/>
        </w:trPr>
        <w:tc>
          <w:tcPr>
            <w:tcW w:w="803" w:type="pct"/>
          </w:tcPr>
          <w:p w14:paraId="242AE1B3" w14:textId="77777777" w:rsidR="004C056C" w:rsidRDefault="004C056C" w:rsidP="001A5D4A">
            <w:pPr>
              <w:pStyle w:val="Note-Refs"/>
            </w:pPr>
          </w:p>
        </w:tc>
        <w:tc>
          <w:tcPr>
            <w:tcW w:w="4191" w:type="pct"/>
            <w:gridSpan w:val="8"/>
          </w:tcPr>
          <w:p w14:paraId="1C214381" w14:textId="77777777" w:rsidR="004C056C" w:rsidRDefault="004C056C" w:rsidP="001A5D4A">
            <w:pPr>
              <w:pStyle w:val="NotesTable-ItemPlain"/>
            </w:pPr>
          </w:p>
        </w:tc>
      </w:tr>
      <w:tr w:rsidR="00D00D2D" w14:paraId="038A4010" w14:textId="77777777" w:rsidTr="00883287">
        <w:trPr>
          <w:gridAfter w:val="1"/>
          <w:wAfter w:w="6" w:type="pct"/>
          <w:trHeight w:val="159"/>
        </w:trPr>
        <w:tc>
          <w:tcPr>
            <w:tcW w:w="803" w:type="pct"/>
          </w:tcPr>
          <w:p w14:paraId="038A400E" w14:textId="77777777" w:rsidR="00D00D2D" w:rsidRDefault="00D00D2D" w:rsidP="001A5D4A">
            <w:pPr>
              <w:pStyle w:val="Note-Refs"/>
            </w:pPr>
          </w:p>
        </w:tc>
        <w:tc>
          <w:tcPr>
            <w:tcW w:w="4191" w:type="pct"/>
            <w:gridSpan w:val="8"/>
          </w:tcPr>
          <w:p w14:paraId="038A400F" w14:textId="77777777" w:rsidR="00D00D2D" w:rsidRDefault="00D00D2D" w:rsidP="001A5D4A">
            <w:pPr>
              <w:pStyle w:val="NotesTable-ItemPlain"/>
              <w:rPr>
                <w:b/>
              </w:rPr>
            </w:pPr>
            <w:r>
              <w:t>Describe the Group’s objectives, policies and processes for managing the liquidity risk and the methods used to measure the risk; and</w:t>
            </w:r>
          </w:p>
        </w:tc>
      </w:tr>
      <w:tr w:rsidR="004C056C" w14:paraId="4FF06FD8" w14:textId="77777777" w:rsidTr="00883287">
        <w:trPr>
          <w:gridAfter w:val="1"/>
          <w:wAfter w:w="6" w:type="pct"/>
          <w:trHeight w:hRule="exact" w:val="85"/>
        </w:trPr>
        <w:tc>
          <w:tcPr>
            <w:tcW w:w="803" w:type="pct"/>
          </w:tcPr>
          <w:p w14:paraId="42455204" w14:textId="77777777" w:rsidR="004C056C" w:rsidRDefault="004C056C" w:rsidP="001A5D4A">
            <w:pPr>
              <w:pStyle w:val="Note-Refs"/>
            </w:pPr>
          </w:p>
        </w:tc>
        <w:tc>
          <w:tcPr>
            <w:tcW w:w="4191" w:type="pct"/>
            <w:gridSpan w:val="8"/>
          </w:tcPr>
          <w:p w14:paraId="78682F6D" w14:textId="77777777" w:rsidR="004C056C" w:rsidRDefault="004C056C" w:rsidP="001A5D4A">
            <w:pPr>
              <w:pStyle w:val="NotesTable-ItemPlain"/>
            </w:pPr>
          </w:p>
        </w:tc>
      </w:tr>
      <w:tr w:rsidR="00D00D2D" w14:paraId="038A4013" w14:textId="77777777" w:rsidTr="00883287">
        <w:trPr>
          <w:gridAfter w:val="1"/>
          <w:wAfter w:w="6" w:type="pct"/>
          <w:trHeight w:val="159"/>
        </w:trPr>
        <w:tc>
          <w:tcPr>
            <w:tcW w:w="803" w:type="pct"/>
          </w:tcPr>
          <w:p w14:paraId="038A4011" w14:textId="77777777" w:rsidR="00D00D2D" w:rsidRDefault="00D00D2D" w:rsidP="001A5D4A">
            <w:pPr>
              <w:pStyle w:val="Note-Refs"/>
            </w:pPr>
          </w:p>
        </w:tc>
        <w:tc>
          <w:tcPr>
            <w:tcW w:w="4191" w:type="pct"/>
            <w:gridSpan w:val="8"/>
          </w:tcPr>
          <w:p w14:paraId="038A4012" w14:textId="77777777" w:rsidR="00D00D2D" w:rsidRDefault="00D00D2D" w:rsidP="001A5D4A">
            <w:pPr>
              <w:pStyle w:val="NotesTable-ItemPlain"/>
              <w:rPr>
                <w:b/>
              </w:rPr>
            </w:pPr>
            <w:r>
              <w:t>Describe any changes in the above from the previous period.</w:t>
            </w:r>
          </w:p>
        </w:tc>
      </w:tr>
      <w:tr w:rsidR="00D00D2D" w14:paraId="038A4016" w14:textId="77777777" w:rsidTr="00883287">
        <w:trPr>
          <w:gridAfter w:val="1"/>
          <w:wAfter w:w="6" w:type="pct"/>
          <w:cantSplit/>
          <w:trHeight w:hRule="exact" w:val="85"/>
        </w:trPr>
        <w:tc>
          <w:tcPr>
            <w:tcW w:w="803" w:type="pct"/>
          </w:tcPr>
          <w:p w14:paraId="038A4014" w14:textId="77777777" w:rsidR="00D00D2D" w:rsidRDefault="00D00D2D" w:rsidP="001A5D4A">
            <w:pPr>
              <w:pStyle w:val="Note-Refs"/>
            </w:pPr>
          </w:p>
        </w:tc>
        <w:tc>
          <w:tcPr>
            <w:tcW w:w="4191" w:type="pct"/>
            <w:gridSpan w:val="8"/>
          </w:tcPr>
          <w:p w14:paraId="038A4015" w14:textId="77777777" w:rsidR="00D00D2D" w:rsidRDefault="00D00D2D" w:rsidP="001A5D4A">
            <w:pPr>
              <w:pStyle w:val="NotesTable-ItemPlain"/>
            </w:pPr>
          </w:p>
        </w:tc>
      </w:tr>
      <w:tr w:rsidR="00720B2E" w14:paraId="038A4019" w14:textId="77777777" w:rsidTr="00883287">
        <w:trPr>
          <w:gridAfter w:val="1"/>
          <w:wAfter w:w="6" w:type="pct"/>
          <w:trHeight w:val="159"/>
        </w:trPr>
        <w:tc>
          <w:tcPr>
            <w:tcW w:w="803" w:type="pct"/>
            <w:vAlign w:val="center"/>
          </w:tcPr>
          <w:p w14:paraId="038A4017" w14:textId="77777777" w:rsidR="00720B2E" w:rsidRDefault="00720B2E" w:rsidP="001A5D4A">
            <w:pPr>
              <w:pStyle w:val="Note-Refs"/>
              <w:rPr>
                <w:b/>
              </w:rPr>
            </w:pPr>
            <w:r>
              <w:t>AASB7</w:t>
            </w:r>
            <w:r w:rsidR="00B87C6B">
              <w:t>.</w:t>
            </w:r>
            <w:r>
              <w:t>34,35,39a</w:t>
            </w:r>
          </w:p>
        </w:tc>
        <w:tc>
          <w:tcPr>
            <w:tcW w:w="4191" w:type="pct"/>
            <w:gridSpan w:val="8"/>
            <w:vAlign w:val="center"/>
          </w:tcPr>
          <w:p w14:paraId="038A4018" w14:textId="77777777" w:rsidR="00720B2E" w:rsidRDefault="00720B2E" w:rsidP="001A5D4A">
            <w:pPr>
              <w:pStyle w:val="NotesTable-ItemPlain"/>
              <w:rPr>
                <w:b/>
              </w:rPr>
            </w:pPr>
            <w:r>
              <w:t>The following tables summarise the maturity of the Group’s financial assets and financial liabilities:</w:t>
            </w:r>
          </w:p>
        </w:tc>
      </w:tr>
      <w:tr w:rsidR="00023312" w14:paraId="038A4023" w14:textId="77777777" w:rsidTr="00883287">
        <w:trPr>
          <w:trHeight w:val="293"/>
        </w:trPr>
        <w:tc>
          <w:tcPr>
            <w:tcW w:w="1593" w:type="pct"/>
            <w:gridSpan w:val="2"/>
            <w:shd w:val="clear" w:color="auto" w:fill="auto"/>
            <w:vAlign w:val="bottom"/>
          </w:tcPr>
          <w:p w14:paraId="038A401B" w14:textId="2EA54C60" w:rsidR="00023312" w:rsidRPr="00D11709" w:rsidRDefault="00023312" w:rsidP="001A5D4A">
            <w:pPr>
              <w:pStyle w:val="NotesTable-ItemPlain"/>
              <w:rPr>
                <w:b/>
              </w:rPr>
            </w:pPr>
            <w:r w:rsidRPr="00D11709">
              <w:t xml:space="preserve">31 December </w:t>
            </w:r>
            <w:r w:rsidR="006864EC" w:rsidRPr="00D11709">
              <w:t>2014</w:t>
            </w:r>
          </w:p>
        </w:tc>
        <w:tc>
          <w:tcPr>
            <w:tcW w:w="487" w:type="pct"/>
            <w:tcBorders>
              <w:left w:val="single" w:sz="8" w:space="0" w:color="FFFFFF"/>
            </w:tcBorders>
            <w:shd w:val="clear" w:color="auto" w:fill="auto"/>
            <w:vAlign w:val="bottom"/>
          </w:tcPr>
          <w:p w14:paraId="038A401C" w14:textId="77777777" w:rsidR="00023312" w:rsidRPr="00563292" w:rsidRDefault="00023312" w:rsidP="001A5D4A">
            <w:pPr>
              <w:pStyle w:val="NotesTable-HeadPlain"/>
            </w:pPr>
            <w:r w:rsidRPr="00563292">
              <w:t>Average Interest Rate</w:t>
            </w:r>
          </w:p>
        </w:tc>
        <w:tc>
          <w:tcPr>
            <w:tcW w:w="487" w:type="pct"/>
            <w:tcBorders>
              <w:top w:val="single" w:sz="8" w:space="0" w:color="FFFFFF"/>
              <w:left w:val="single" w:sz="8" w:space="0" w:color="FFFFFF"/>
            </w:tcBorders>
            <w:shd w:val="clear" w:color="auto" w:fill="auto"/>
            <w:vAlign w:val="bottom"/>
          </w:tcPr>
          <w:p w14:paraId="038A401D" w14:textId="77777777" w:rsidR="00023312" w:rsidRPr="00563292" w:rsidRDefault="00023312" w:rsidP="001A5D4A">
            <w:pPr>
              <w:pStyle w:val="NotesTable-HeadPlain"/>
            </w:pPr>
            <w:r w:rsidRPr="00563292">
              <w:t>Variable Interest Rate</w:t>
            </w:r>
          </w:p>
        </w:tc>
        <w:tc>
          <w:tcPr>
            <w:tcW w:w="487" w:type="pct"/>
            <w:tcBorders>
              <w:top w:val="single" w:sz="8" w:space="0" w:color="FFFFFF"/>
              <w:left w:val="single" w:sz="8" w:space="0" w:color="FFFFFF"/>
            </w:tcBorders>
            <w:shd w:val="clear" w:color="auto" w:fill="auto"/>
            <w:vAlign w:val="bottom"/>
          </w:tcPr>
          <w:p w14:paraId="038A401E" w14:textId="77777777" w:rsidR="00023312" w:rsidRPr="00563292" w:rsidRDefault="00023312" w:rsidP="001A5D4A">
            <w:pPr>
              <w:pStyle w:val="NotesTable-HeadPlain"/>
            </w:pPr>
            <w:r w:rsidRPr="00563292">
              <w:t>Less than 1 Year</w:t>
            </w:r>
          </w:p>
        </w:tc>
        <w:tc>
          <w:tcPr>
            <w:tcW w:w="487" w:type="pct"/>
            <w:tcBorders>
              <w:top w:val="single" w:sz="8" w:space="0" w:color="FFFFFF"/>
              <w:left w:val="single" w:sz="8" w:space="0" w:color="FFFFFF"/>
            </w:tcBorders>
            <w:shd w:val="clear" w:color="auto" w:fill="auto"/>
            <w:vAlign w:val="bottom"/>
          </w:tcPr>
          <w:p w14:paraId="038A401F" w14:textId="77777777" w:rsidR="00023312" w:rsidRPr="00563292" w:rsidRDefault="00023312" w:rsidP="001A5D4A">
            <w:pPr>
              <w:pStyle w:val="NotesTable-HeadPlain"/>
            </w:pPr>
            <w:r w:rsidRPr="00563292">
              <w:t>1 to 5</w:t>
            </w:r>
            <w:r w:rsidRPr="00563292">
              <w:br/>
              <w:t>Years</w:t>
            </w:r>
          </w:p>
        </w:tc>
        <w:tc>
          <w:tcPr>
            <w:tcW w:w="487" w:type="pct"/>
            <w:tcBorders>
              <w:top w:val="single" w:sz="8" w:space="0" w:color="FFFFFF"/>
              <w:left w:val="single" w:sz="8" w:space="0" w:color="FFFFFF"/>
            </w:tcBorders>
            <w:shd w:val="clear" w:color="auto" w:fill="auto"/>
            <w:vAlign w:val="bottom"/>
          </w:tcPr>
          <w:p w14:paraId="038A4020" w14:textId="77777777" w:rsidR="00023312" w:rsidRPr="00563292" w:rsidRDefault="00023312" w:rsidP="001A5D4A">
            <w:pPr>
              <w:pStyle w:val="NotesTable-HeadPlain"/>
            </w:pPr>
            <w:r w:rsidRPr="00563292">
              <w:t>5+</w:t>
            </w:r>
            <w:r w:rsidRPr="00563292">
              <w:br/>
              <w:t>Years</w:t>
            </w:r>
          </w:p>
        </w:tc>
        <w:tc>
          <w:tcPr>
            <w:tcW w:w="487" w:type="pct"/>
            <w:tcBorders>
              <w:top w:val="single" w:sz="8" w:space="0" w:color="FFFFFF"/>
              <w:left w:val="single" w:sz="8" w:space="0" w:color="FFFFFF"/>
            </w:tcBorders>
            <w:shd w:val="clear" w:color="auto" w:fill="auto"/>
            <w:vAlign w:val="bottom"/>
          </w:tcPr>
          <w:p w14:paraId="038A4021" w14:textId="6A5AA299" w:rsidR="00023312" w:rsidRPr="00563292" w:rsidRDefault="002A430C" w:rsidP="001A5D4A">
            <w:pPr>
              <w:pStyle w:val="NotesTable-HeadPlain"/>
            </w:pPr>
            <w:r w:rsidRPr="00563292">
              <w:t>Non-Interest</w:t>
            </w:r>
          </w:p>
        </w:tc>
        <w:tc>
          <w:tcPr>
            <w:tcW w:w="485" w:type="pct"/>
            <w:gridSpan w:val="2"/>
            <w:tcBorders>
              <w:top w:val="single" w:sz="8" w:space="0" w:color="FFFFFF"/>
              <w:left w:val="single" w:sz="8" w:space="0" w:color="FFFFFF"/>
              <w:right w:val="single" w:sz="8" w:space="0" w:color="FFFFFF"/>
            </w:tcBorders>
            <w:shd w:val="clear" w:color="auto" w:fill="auto"/>
            <w:vAlign w:val="bottom"/>
          </w:tcPr>
          <w:p w14:paraId="038A4022" w14:textId="77777777" w:rsidR="00023312" w:rsidRPr="00563292" w:rsidRDefault="00023312" w:rsidP="001A5D4A">
            <w:pPr>
              <w:pStyle w:val="NotesTable-HeadPlain"/>
            </w:pPr>
            <w:r w:rsidRPr="00563292">
              <w:t>Total</w:t>
            </w:r>
          </w:p>
        </w:tc>
      </w:tr>
      <w:tr w:rsidR="00023312" w14:paraId="038A402C" w14:textId="77777777" w:rsidTr="00883287">
        <w:trPr>
          <w:trHeight w:val="225"/>
        </w:trPr>
        <w:tc>
          <w:tcPr>
            <w:tcW w:w="1593" w:type="pct"/>
            <w:gridSpan w:val="2"/>
            <w:tcBorders>
              <w:bottom w:val="single" w:sz="4" w:space="0" w:color="C0C0C0"/>
            </w:tcBorders>
            <w:shd w:val="clear" w:color="auto" w:fill="auto"/>
            <w:vAlign w:val="bottom"/>
          </w:tcPr>
          <w:p w14:paraId="038A4024" w14:textId="77777777" w:rsidR="00023312" w:rsidRPr="00D11709" w:rsidRDefault="00023312" w:rsidP="001A5D4A">
            <w:pPr>
              <w:pStyle w:val="NotesTable-ItemPlain"/>
            </w:pPr>
          </w:p>
        </w:tc>
        <w:tc>
          <w:tcPr>
            <w:tcW w:w="487" w:type="pct"/>
            <w:tcBorders>
              <w:left w:val="single" w:sz="8" w:space="0" w:color="FFFFFF"/>
              <w:bottom w:val="single" w:sz="4" w:space="0" w:color="C0C0C0"/>
            </w:tcBorders>
            <w:shd w:val="clear" w:color="auto" w:fill="auto"/>
            <w:vAlign w:val="bottom"/>
          </w:tcPr>
          <w:p w14:paraId="038A4025" w14:textId="77777777" w:rsidR="00023312" w:rsidRPr="00563292" w:rsidRDefault="00023312" w:rsidP="001A5D4A">
            <w:pPr>
              <w:pStyle w:val="NotesTable-HeadPlain"/>
            </w:pPr>
            <w:r w:rsidRPr="00563292">
              <w:t>%</w:t>
            </w:r>
          </w:p>
        </w:tc>
        <w:tc>
          <w:tcPr>
            <w:tcW w:w="487" w:type="pct"/>
            <w:tcBorders>
              <w:left w:val="single" w:sz="8" w:space="0" w:color="FFFFFF"/>
              <w:bottom w:val="single" w:sz="4" w:space="0" w:color="C0C0C0"/>
            </w:tcBorders>
            <w:shd w:val="clear" w:color="auto" w:fill="auto"/>
            <w:vAlign w:val="bottom"/>
          </w:tcPr>
          <w:p w14:paraId="038A4026"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27"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28"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29"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2A" w14:textId="77777777" w:rsidR="00023312" w:rsidRPr="00563292" w:rsidRDefault="00023312" w:rsidP="001A5D4A">
            <w:pPr>
              <w:pStyle w:val="NotesTable-HeadPlain"/>
              <w:rPr>
                <w:b/>
              </w:rPr>
            </w:pPr>
            <w:r w:rsidRPr="00563292">
              <w:t>$'000</w:t>
            </w:r>
          </w:p>
        </w:tc>
        <w:tc>
          <w:tcPr>
            <w:tcW w:w="485" w:type="pct"/>
            <w:gridSpan w:val="2"/>
            <w:tcBorders>
              <w:left w:val="single" w:sz="8" w:space="0" w:color="FFFFFF"/>
              <w:bottom w:val="single" w:sz="4" w:space="0" w:color="C0C0C0"/>
              <w:right w:val="single" w:sz="8" w:space="0" w:color="FFFFFF"/>
            </w:tcBorders>
            <w:shd w:val="clear" w:color="auto" w:fill="auto"/>
            <w:vAlign w:val="bottom"/>
          </w:tcPr>
          <w:p w14:paraId="038A402B" w14:textId="77777777" w:rsidR="00023312" w:rsidRPr="00563292" w:rsidRDefault="00023312" w:rsidP="001A5D4A">
            <w:pPr>
              <w:pStyle w:val="NotesTable-HeadPlain"/>
              <w:rPr>
                <w:b/>
              </w:rPr>
            </w:pPr>
            <w:r w:rsidRPr="00563292">
              <w:t>$'000</w:t>
            </w:r>
          </w:p>
        </w:tc>
      </w:tr>
      <w:tr w:rsidR="00023312" w14:paraId="038A4035" w14:textId="77777777" w:rsidTr="00883287">
        <w:trPr>
          <w:trHeight w:val="225"/>
        </w:trPr>
        <w:tc>
          <w:tcPr>
            <w:tcW w:w="1593" w:type="pct"/>
            <w:gridSpan w:val="2"/>
            <w:tcBorders>
              <w:top w:val="single" w:sz="4" w:space="0" w:color="C0C0C0"/>
            </w:tcBorders>
            <w:vAlign w:val="bottom"/>
          </w:tcPr>
          <w:p w14:paraId="038A402D" w14:textId="77777777" w:rsidR="00023312" w:rsidRPr="00D11709" w:rsidRDefault="00023312" w:rsidP="001A5D4A">
            <w:pPr>
              <w:pStyle w:val="NotesTable-ItemBold"/>
            </w:pPr>
            <w:r w:rsidRPr="00D11709">
              <w:t>Financial assets</w:t>
            </w:r>
          </w:p>
        </w:tc>
        <w:tc>
          <w:tcPr>
            <w:tcW w:w="487" w:type="pct"/>
            <w:tcBorders>
              <w:top w:val="single" w:sz="4" w:space="0" w:color="C0C0C0"/>
              <w:left w:val="single" w:sz="4" w:space="0" w:color="C0C0C0"/>
            </w:tcBorders>
            <w:vAlign w:val="bottom"/>
          </w:tcPr>
          <w:p w14:paraId="038A402E"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2F"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30"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31"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32"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33" w14:textId="77777777" w:rsidR="00023312" w:rsidRDefault="00023312" w:rsidP="001A5D4A">
            <w:pPr>
              <w:pStyle w:val="NotesTable-CellPlain"/>
            </w:pPr>
          </w:p>
        </w:tc>
        <w:tc>
          <w:tcPr>
            <w:tcW w:w="485" w:type="pct"/>
            <w:gridSpan w:val="2"/>
            <w:tcBorders>
              <w:top w:val="single" w:sz="4" w:space="0" w:color="C0C0C0"/>
              <w:left w:val="single" w:sz="4" w:space="0" w:color="C0C0C0"/>
              <w:right w:val="single" w:sz="4" w:space="0" w:color="C0C0C0"/>
            </w:tcBorders>
            <w:vAlign w:val="bottom"/>
          </w:tcPr>
          <w:p w14:paraId="038A4034" w14:textId="77777777" w:rsidR="00023312" w:rsidRDefault="00023312" w:rsidP="001A5D4A">
            <w:pPr>
              <w:pStyle w:val="NotesTable-CellPlain"/>
            </w:pPr>
          </w:p>
        </w:tc>
      </w:tr>
      <w:tr w:rsidR="00D81BA1" w14:paraId="038A403E" w14:textId="77777777" w:rsidTr="00883287">
        <w:trPr>
          <w:trHeight w:val="225"/>
        </w:trPr>
        <w:tc>
          <w:tcPr>
            <w:tcW w:w="1593" w:type="pct"/>
            <w:gridSpan w:val="2"/>
            <w:vAlign w:val="bottom"/>
          </w:tcPr>
          <w:p w14:paraId="038A4036" w14:textId="77777777" w:rsidR="00D81BA1" w:rsidRPr="00D11709" w:rsidRDefault="00D81BA1" w:rsidP="001A5D4A">
            <w:pPr>
              <w:pStyle w:val="NotesTable-ItemPlain"/>
              <w:rPr>
                <w:b/>
              </w:rPr>
            </w:pPr>
            <w:r w:rsidRPr="00D11709">
              <w:t>Cash and cash equivalents</w:t>
            </w:r>
          </w:p>
        </w:tc>
        <w:tc>
          <w:tcPr>
            <w:tcW w:w="487" w:type="pct"/>
            <w:tcBorders>
              <w:left w:val="single" w:sz="4" w:space="0" w:color="C0C0C0"/>
            </w:tcBorders>
          </w:tcPr>
          <w:p w14:paraId="038A4037" w14:textId="77777777" w:rsidR="00D81BA1" w:rsidRDefault="00D81BA1" w:rsidP="001A5D4A">
            <w:pPr>
              <w:pStyle w:val="NotesTable-CellPlain"/>
            </w:pPr>
            <w:r>
              <w:t>–</w:t>
            </w:r>
          </w:p>
        </w:tc>
        <w:tc>
          <w:tcPr>
            <w:tcW w:w="487" w:type="pct"/>
            <w:tcBorders>
              <w:left w:val="single" w:sz="4" w:space="0" w:color="C0C0C0"/>
            </w:tcBorders>
          </w:tcPr>
          <w:p w14:paraId="038A4038" w14:textId="77777777" w:rsidR="00D81BA1" w:rsidRDefault="00D81BA1" w:rsidP="001A5D4A">
            <w:pPr>
              <w:pStyle w:val="NotesTable-CellPlain"/>
              <w:rPr>
                <w:lang w:val="en-GB"/>
              </w:rPr>
            </w:pPr>
            <w:r>
              <w:t>–</w:t>
            </w:r>
          </w:p>
        </w:tc>
        <w:tc>
          <w:tcPr>
            <w:tcW w:w="487" w:type="pct"/>
            <w:tcBorders>
              <w:left w:val="single" w:sz="4" w:space="0" w:color="C0C0C0"/>
            </w:tcBorders>
          </w:tcPr>
          <w:p w14:paraId="038A4039" w14:textId="77777777" w:rsidR="00D81BA1" w:rsidRDefault="00D81BA1" w:rsidP="001A5D4A">
            <w:pPr>
              <w:pStyle w:val="NotesTable-CellPlain"/>
              <w:rPr>
                <w:lang w:val="en-GB"/>
              </w:rPr>
            </w:pPr>
            <w:r>
              <w:t>–</w:t>
            </w:r>
          </w:p>
        </w:tc>
        <w:tc>
          <w:tcPr>
            <w:tcW w:w="487" w:type="pct"/>
            <w:tcBorders>
              <w:left w:val="single" w:sz="4" w:space="0" w:color="C0C0C0"/>
            </w:tcBorders>
          </w:tcPr>
          <w:p w14:paraId="038A403A"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3B" w14:textId="77777777" w:rsidR="00D81BA1" w:rsidRDefault="00D81BA1" w:rsidP="001A5D4A">
            <w:pPr>
              <w:pStyle w:val="NotesTable-CellPlain"/>
              <w:rPr>
                <w:lang w:val="en-GB"/>
              </w:rPr>
            </w:pPr>
            <w:r>
              <w:t>–</w:t>
            </w:r>
          </w:p>
        </w:tc>
        <w:tc>
          <w:tcPr>
            <w:tcW w:w="487" w:type="pct"/>
            <w:tcBorders>
              <w:left w:val="single" w:sz="4" w:space="0" w:color="C0C0C0"/>
            </w:tcBorders>
          </w:tcPr>
          <w:p w14:paraId="038A403C"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3D" w14:textId="77777777" w:rsidR="00D81BA1" w:rsidRDefault="00D81BA1" w:rsidP="001A5D4A">
            <w:pPr>
              <w:pStyle w:val="NotesTable-CellPlain"/>
              <w:rPr>
                <w:lang w:val="en-GB"/>
              </w:rPr>
            </w:pPr>
            <w:r>
              <w:t>–</w:t>
            </w:r>
          </w:p>
        </w:tc>
      </w:tr>
      <w:tr w:rsidR="00D81BA1" w14:paraId="038A4047" w14:textId="77777777" w:rsidTr="00883287">
        <w:trPr>
          <w:trHeight w:hRule="exact" w:val="227"/>
        </w:trPr>
        <w:tc>
          <w:tcPr>
            <w:tcW w:w="1593" w:type="pct"/>
            <w:gridSpan w:val="2"/>
            <w:vAlign w:val="bottom"/>
          </w:tcPr>
          <w:p w14:paraId="038A403F" w14:textId="77777777" w:rsidR="00D81BA1" w:rsidRPr="00D11709" w:rsidRDefault="00D81BA1" w:rsidP="001A5D4A">
            <w:pPr>
              <w:pStyle w:val="NotesTable-ItemPlain"/>
              <w:rPr>
                <w:b/>
              </w:rPr>
            </w:pPr>
            <w:r w:rsidRPr="00D11709">
              <w:t>Receivables</w:t>
            </w:r>
          </w:p>
        </w:tc>
        <w:tc>
          <w:tcPr>
            <w:tcW w:w="487" w:type="pct"/>
            <w:tcBorders>
              <w:left w:val="single" w:sz="4" w:space="0" w:color="C0C0C0"/>
            </w:tcBorders>
          </w:tcPr>
          <w:p w14:paraId="038A4040" w14:textId="77777777" w:rsidR="00D81BA1" w:rsidRDefault="00D81BA1" w:rsidP="001A5D4A">
            <w:pPr>
              <w:pStyle w:val="NotesTable-CellPlain"/>
            </w:pPr>
            <w:r>
              <w:t>–</w:t>
            </w:r>
          </w:p>
        </w:tc>
        <w:tc>
          <w:tcPr>
            <w:tcW w:w="487" w:type="pct"/>
            <w:tcBorders>
              <w:left w:val="single" w:sz="4" w:space="0" w:color="C0C0C0"/>
            </w:tcBorders>
          </w:tcPr>
          <w:p w14:paraId="038A4041" w14:textId="77777777" w:rsidR="00D81BA1" w:rsidRDefault="00D81BA1" w:rsidP="001A5D4A">
            <w:pPr>
              <w:pStyle w:val="NotesTable-CellPlain"/>
              <w:rPr>
                <w:lang w:val="en-GB"/>
              </w:rPr>
            </w:pPr>
            <w:r>
              <w:t>–</w:t>
            </w:r>
          </w:p>
        </w:tc>
        <w:tc>
          <w:tcPr>
            <w:tcW w:w="487" w:type="pct"/>
            <w:tcBorders>
              <w:left w:val="single" w:sz="4" w:space="0" w:color="C0C0C0"/>
            </w:tcBorders>
          </w:tcPr>
          <w:p w14:paraId="038A4042" w14:textId="77777777" w:rsidR="00D81BA1" w:rsidRDefault="00D81BA1" w:rsidP="001A5D4A">
            <w:pPr>
              <w:pStyle w:val="NotesTable-CellPlain"/>
              <w:rPr>
                <w:lang w:val="en-GB"/>
              </w:rPr>
            </w:pPr>
            <w:r>
              <w:t>–</w:t>
            </w:r>
          </w:p>
        </w:tc>
        <w:tc>
          <w:tcPr>
            <w:tcW w:w="487" w:type="pct"/>
            <w:tcBorders>
              <w:left w:val="single" w:sz="4" w:space="0" w:color="C0C0C0"/>
            </w:tcBorders>
          </w:tcPr>
          <w:p w14:paraId="038A4043"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44" w14:textId="77777777" w:rsidR="00D81BA1" w:rsidRDefault="00D81BA1" w:rsidP="001A5D4A">
            <w:pPr>
              <w:pStyle w:val="NotesTable-CellPlain"/>
              <w:rPr>
                <w:lang w:val="en-GB"/>
              </w:rPr>
            </w:pPr>
            <w:r>
              <w:t>–</w:t>
            </w:r>
          </w:p>
        </w:tc>
        <w:tc>
          <w:tcPr>
            <w:tcW w:w="487" w:type="pct"/>
            <w:tcBorders>
              <w:left w:val="single" w:sz="4" w:space="0" w:color="C0C0C0"/>
            </w:tcBorders>
          </w:tcPr>
          <w:p w14:paraId="038A4045"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46" w14:textId="77777777" w:rsidR="00D81BA1" w:rsidRDefault="00D81BA1" w:rsidP="001A5D4A">
            <w:pPr>
              <w:pStyle w:val="NotesTable-CellPlain"/>
              <w:rPr>
                <w:lang w:val="en-GB"/>
              </w:rPr>
            </w:pPr>
            <w:r>
              <w:t>–</w:t>
            </w:r>
          </w:p>
        </w:tc>
      </w:tr>
      <w:tr w:rsidR="00D81BA1" w14:paraId="038A4050" w14:textId="77777777" w:rsidTr="00883287">
        <w:trPr>
          <w:trHeight w:val="225"/>
        </w:trPr>
        <w:tc>
          <w:tcPr>
            <w:tcW w:w="1593" w:type="pct"/>
            <w:gridSpan w:val="2"/>
            <w:vAlign w:val="bottom"/>
          </w:tcPr>
          <w:p w14:paraId="038A4048" w14:textId="77777777" w:rsidR="00D81BA1" w:rsidRPr="00D11709" w:rsidRDefault="00D81BA1" w:rsidP="001A5D4A">
            <w:pPr>
              <w:pStyle w:val="NotesTable-ItemPlain"/>
              <w:rPr>
                <w:b/>
              </w:rPr>
            </w:pPr>
            <w:r w:rsidRPr="00D11709">
              <w:t>Other financial assets</w:t>
            </w:r>
          </w:p>
        </w:tc>
        <w:tc>
          <w:tcPr>
            <w:tcW w:w="487" w:type="pct"/>
            <w:tcBorders>
              <w:left w:val="single" w:sz="4" w:space="0" w:color="C0C0C0"/>
            </w:tcBorders>
          </w:tcPr>
          <w:p w14:paraId="038A4049" w14:textId="77777777" w:rsidR="00D81BA1" w:rsidRDefault="00D81BA1" w:rsidP="001A5D4A">
            <w:pPr>
              <w:pStyle w:val="NotesTable-CellPlain"/>
            </w:pPr>
            <w:r>
              <w:t>–</w:t>
            </w:r>
          </w:p>
        </w:tc>
        <w:tc>
          <w:tcPr>
            <w:tcW w:w="487" w:type="pct"/>
            <w:tcBorders>
              <w:left w:val="single" w:sz="4" w:space="0" w:color="C0C0C0"/>
            </w:tcBorders>
          </w:tcPr>
          <w:p w14:paraId="038A404A" w14:textId="77777777" w:rsidR="00D81BA1" w:rsidRDefault="00D81BA1" w:rsidP="001A5D4A">
            <w:pPr>
              <w:pStyle w:val="NotesTable-CellPlain"/>
              <w:rPr>
                <w:lang w:val="en-GB"/>
              </w:rPr>
            </w:pPr>
            <w:r>
              <w:t>–</w:t>
            </w:r>
          </w:p>
        </w:tc>
        <w:tc>
          <w:tcPr>
            <w:tcW w:w="487" w:type="pct"/>
            <w:tcBorders>
              <w:left w:val="single" w:sz="4" w:space="0" w:color="C0C0C0"/>
            </w:tcBorders>
          </w:tcPr>
          <w:p w14:paraId="038A404B" w14:textId="77777777" w:rsidR="00D81BA1" w:rsidRDefault="00D81BA1" w:rsidP="001A5D4A">
            <w:pPr>
              <w:pStyle w:val="NotesTable-CellPlain"/>
              <w:rPr>
                <w:lang w:val="en-GB"/>
              </w:rPr>
            </w:pPr>
            <w:r>
              <w:t>–</w:t>
            </w:r>
          </w:p>
        </w:tc>
        <w:tc>
          <w:tcPr>
            <w:tcW w:w="487" w:type="pct"/>
            <w:tcBorders>
              <w:left w:val="single" w:sz="4" w:space="0" w:color="C0C0C0"/>
            </w:tcBorders>
          </w:tcPr>
          <w:p w14:paraId="038A404C"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4D" w14:textId="77777777" w:rsidR="00D81BA1" w:rsidRDefault="00D81BA1" w:rsidP="001A5D4A">
            <w:pPr>
              <w:pStyle w:val="NotesTable-CellPlain"/>
              <w:rPr>
                <w:lang w:val="en-GB"/>
              </w:rPr>
            </w:pPr>
            <w:r>
              <w:t>–</w:t>
            </w:r>
          </w:p>
        </w:tc>
        <w:tc>
          <w:tcPr>
            <w:tcW w:w="487" w:type="pct"/>
            <w:tcBorders>
              <w:left w:val="single" w:sz="4" w:space="0" w:color="C0C0C0"/>
            </w:tcBorders>
          </w:tcPr>
          <w:p w14:paraId="038A404E"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4F" w14:textId="77777777" w:rsidR="00D81BA1" w:rsidRDefault="00D81BA1" w:rsidP="001A5D4A">
            <w:pPr>
              <w:pStyle w:val="NotesTable-CellPlain"/>
              <w:rPr>
                <w:lang w:val="en-GB"/>
              </w:rPr>
            </w:pPr>
            <w:r>
              <w:t>–</w:t>
            </w:r>
          </w:p>
        </w:tc>
      </w:tr>
      <w:tr w:rsidR="00D81BA1" w14:paraId="038A4059" w14:textId="77777777" w:rsidTr="00883287">
        <w:trPr>
          <w:trHeight w:hRule="exact" w:val="227"/>
        </w:trPr>
        <w:tc>
          <w:tcPr>
            <w:tcW w:w="1593" w:type="pct"/>
            <w:gridSpan w:val="2"/>
            <w:vAlign w:val="bottom"/>
          </w:tcPr>
          <w:p w14:paraId="038A4051" w14:textId="77777777" w:rsidR="00D81BA1" w:rsidRPr="00D11709" w:rsidRDefault="00D81BA1" w:rsidP="001A5D4A">
            <w:pPr>
              <w:pStyle w:val="NotesTable-ItemPlain"/>
              <w:rPr>
                <w:b/>
              </w:rPr>
            </w:pPr>
            <w:r w:rsidRPr="00D11709">
              <w:t>[Specify]</w:t>
            </w:r>
          </w:p>
        </w:tc>
        <w:tc>
          <w:tcPr>
            <w:tcW w:w="487" w:type="pct"/>
            <w:tcBorders>
              <w:left w:val="single" w:sz="4" w:space="0" w:color="C0C0C0"/>
              <w:bottom w:val="single" w:sz="4" w:space="0" w:color="auto"/>
            </w:tcBorders>
          </w:tcPr>
          <w:p w14:paraId="038A4052" w14:textId="77777777" w:rsidR="00D81BA1" w:rsidRDefault="00D81BA1" w:rsidP="001A5D4A">
            <w:pPr>
              <w:pStyle w:val="NotesTable-CellPlain"/>
            </w:pPr>
            <w:r>
              <w:t>–</w:t>
            </w:r>
          </w:p>
        </w:tc>
        <w:tc>
          <w:tcPr>
            <w:tcW w:w="487" w:type="pct"/>
            <w:tcBorders>
              <w:left w:val="single" w:sz="4" w:space="0" w:color="C0C0C0"/>
              <w:bottom w:val="single" w:sz="4" w:space="0" w:color="auto"/>
            </w:tcBorders>
          </w:tcPr>
          <w:p w14:paraId="038A4053"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54"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55" w14:textId="77777777" w:rsidR="00D81BA1" w:rsidRDefault="00D81BA1" w:rsidP="001A5D4A">
            <w:pPr>
              <w:pStyle w:val="NotesTable-CellPlain"/>
              <w:rPr>
                <w:lang w:val="en-GB"/>
              </w:rPr>
            </w:pPr>
            <w:r w:rsidRPr="00F33C1D">
              <w:t>–</w:t>
            </w:r>
          </w:p>
        </w:tc>
        <w:tc>
          <w:tcPr>
            <w:tcW w:w="487" w:type="pct"/>
            <w:tcBorders>
              <w:left w:val="single" w:sz="4" w:space="0" w:color="C0C0C0"/>
              <w:bottom w:val="single" w:sz="4" w:space="0" w:color="auto"/>
            </w:tcBorders>
          </w:tcPr>
          <w:p w14:paraId="038A4056"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57" w14:textId="77777777" w:rsidR="00D81BA1" w:rsidRDefault="00D81BA1" w:rsidP="001A5D4A">
            <w:pPr>
              <w:pStyle w:val="NotesTable-CellPlain"/>
              <w:rPr>
                <w:lang w:val="en-GB"/>
              </w:rPr>
            </w:pPr>
            <w:r>
              <w:t>–</w:t>
            </w:r>
          </w:p>
        </w:tc>
        <w:tc>
          <w:tcPr>
            <w:tcW w:w="485" w:type="pct"/>
            <w:gridSpan w:val="2"/>
            <w:tcBorders>
              <w:left w:val="single" w:sz="4" w:space="0" w:color="C0C0C0"/>
              <w:bottom w:val="single" w:sz="4" w:space="0" w:color="auto"/>
              <w:right w:val="single" w:sz="4" w:space="0" w:color="C0C0C0"/>
            </w:tcBorders>
          </w:tcPr>
          <w:p w14:paraId="038A4058" w14:textId="77777777" w:rsidR="00D81BA1" w:rsidRDefault="00D81BA1" w:rsidP="001A5D4A">
            <w:pPr>
              <w:pStyle w:val="NotesTable-CellPlain"/>
              <w:rPr>
                <w:lang w:val="en-GB"/>
              </w:rPr>
            </w:pPr>
            <w:r>
              <w:t>–</w:t>
            </w:r>
          </w:p>
        </w:tc>
      </w:tr>
      <w:tr w:rsidR="00D81BA1" w14:paraId="038A4062" w14:textId="77777777" w:rsidTr="00883287">
        <w:trPr>
          <w:trHeight w:val="225"/>
        </w:trPr>
        <w:tc>
          <w:tcPr>
            <w:tcW w:w="1593" w:type="pct"/>
            <w:gridSpan w:val="2"/>
            <w:vAlign w:val="bottom"/>
          </w:tcPr>
          <w:p w14:paraId="038A405A" w14:textId="77777777" w:rsidR="00D81BA1" w:rsidRPr="00D11709" w:rsidRDefault="00D81BA1" w:rsidP="001A5D4A">
            <w:pPr>
              <w:pStyle w:val="NotesTable-ItemPlain"/>
              <w:rPr>
                <w:b/>
              </w:rPr>
            </w:pPr>
            <w:r w:rsidRPr="00D11709">
              <w:t>Total financial assets</w:t>
            </w:r>
          </w:p>
        </w:tc>
        <w:tc>
          <w:tcPr>
            <w:tcW w:w="487" w:type="pct"/>
            <w:tcBorders>
              <w:top w:val="single" w:sz="4" w:space="0" w:color="auto"/>
              <w:left w:val="single" w:sz="4" w:space="0" w:color="C0C0C0"/>
            </w:tcBorders>
          </w:tcPr>
          <w:p w14:paraId="038A405B" w14:textId="77777777" w:rsidR="00D81BA1" w:rsidRDefault="00D81BA1" w:rsidP="001A5D4A">
            <w:pPr>
              <w:pStyle w:val="NotesTable-CellPlain"/>
            </w:pPr>
            <w:r>
              <w:t>–</w:t>
            </w:r>
          </w:p>
        </w:tc>
        <w:tc>
          <w:tcPr>
            <w:tcW w:w="487" w:type="pct"/>
            <w:tcBorders>
              <w:top w:val="single" w:sz="4" w:space="0" w:color="auto"/>
              <w:left w:val="single" w:sz="4" w:space="0" w:color="C0C0C0"/>
            </w:tcBorders>
          </w:tcPr>
          <w:p w14:paraId="038A405C"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5D"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5E" w14:textId="77777777" w:rsidR="00D81BA1" w:rsidRDefault="00D81BA1" w:rsidP="001A5D4A">
            <w:pPr>
              <w:pStyle w:val="NotesTable-CellPlain"/>
              <w:rPr>
                <w:lang w:val="en-GB"/>
              </w:rPr>
            </w:pPr>
            <w:r w:rsidRPr="00F33C1D">
              <w:t>–</w:t>
            </w:r>
          </w:p>
        </w:tc>
        <w:tc>
          <w:tcPr>
            <w:tcW w:w="487" w:type="pct"/>
            <w:tcBorders>
              <w:top w:val="single" w:sz="4" w:space="0" w:color="auto"/>
              <w:left w:val="single" w:sz="4" w:space="0" w:color="C0C0C0"/>
            </w:tcBorders>
          </w:tcPr>
          <w:p w14:paraId="038A405F"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60" w14:textId="77777777" w:rsidR="00D81BA1" w:rsidRDefault="00D81BA1" w:rsidP="001A5D4A">
            <w:pPr>
              <w:pStyle w:val="NotesTable-CellPlain"/>
              <w:rPr>
                <w:lang w:val="en-GB"/>
              </w:rPr>
            </w:pPr>
            <w:r>
              <w:t>–</w:t>
            </w:r>
          </w:p>
        </w:tc>
        <w:tc>
          <w:tcPr>
            <w:tcW w:w="485" w:type="pct"/>
            <w:gridSpan w:val="2"/>
            <w:tcBorders>
              <w:top w:val="single" w:sz="4" w:space="0" w:color="auto"/>
              <w:left w:val="single" w:sz="4" w:space="0" w:color="C0C0C0"/>
              <w:right w:val="single" w:sz="4" w:space="0" w:color="C0C0C0"/>
            </w:tcBorders>
          </w:tcPr>
          <w:p w14:paraId="038A4061" w14:textId="77777777" w:rsidR="00D81BA1" w:rsidRDefault="00D81BA1" w:rsidP="001A5D4A">
            <w:pPr>
              <w:pStyle w:val="NotesTable-CellPlain"/>
              <w:rPr>
                <w:lang w:val="en-GB"/>
              </w:rPr>
            </w:pPr>
            <w:r>
              <w:t>–</w:t>
            </w:r>
          </w:p>
        </w:tc>
      </w:tr>
      <w:tr w:rsidR="00023312" w14:paraId="038A406B" w14:textId="77777777" w:rsidTr="00883287">
        <w:trPr>
          <w:trHeight w:hRule="exact" w:val="227"/>
        </w:trPr>
        <w:tc>
          <w:tcPr>
            <w:tcW w:w="1593" w:type="pct"/>
            <w:gridSpan w:val="2"/>
            <w:vAlign w:val="bottom"/>
          </w:tcPr>
          <w:p w14:paraId="038A4063" w14:textId="77777777" w:rsidR="00023312" w:rsidRPr="00D11709" w:rsidRDefault="00023312" w:rsidP="001A5D4A">
            <w:pPr>
              <w:pStyle w:val="NotesTable-ItemPlain"/>
            </w:pPr>
          </w:p>
        </w:tc>
        <w:tc>
          <w:tcPr>
            <w:tcW w:w="487" w:type="pct"/>
            <w:vAlign w:val="bottom"/>
          </w:tcPr>
          <w:p w14:paraId="038A4064" w14:textId="77777777" w:rsidR="00023312" w:rsidRDefault="00023312" w:rsidP="001A5D4A">
            <w:pPr>
              <w:pStyle w:val="NotesTable-CellPlain"/>
            </w:pPr>
          </w:p>
        </w:tc>
        <w:tc>
          <w:tcPr>
            <w:tcW w:w="487" w:type="pct"/>
            <w:vAlign w:val="bottom"/>
          </w:tcPr>
          <w:p w14:paraId="038A4065" w14:textId="77777777" w:rsidR="00023312" w:rsidRDefault="00023312" w:rsidP="001A5D4A">
            <w:pPr>
              <w:pStyle w:val="NotesTable-CellPlain"/>
            </w:pPr>
          </w:p>
        </w:tc>
        <w:tc>
          <w:tcPr>
            <w:tcW w:w="487" w:type="pct"/>
            <w:vAlign w:val="bottom"/>
          </w:tcPr>
          <w:p w14:paraId="038A4066" w14:textId="77777777" w:rsidR="00023312" w:rsidRDefault="00023312" w:rsidP="001A5D4A">
            <w:pPr>
              <w:pStyle w:val="NotesTable-CellPlain"/>
            </w:pPr>
          </w:p>
        </w:tc>
        <w:tc>
          <w:tcPr>
            <w:tcW w:w="487" w:type="pct"/>
            <w:vAlign w:val="bottom"/>
          </w:tcPr>
          <w:p w14:paraId="038A4067" w14:textId="77777777" w:rsidR="00023312" w:rsidRDefault="00023312" w:rsidP="001A5D4A">
            <w:pPr>
              <w:pStyle w:val="NotesTable-CellPlain"/>
            </w:pPr>
          </w:p>
        </w:tc>
        <w:tc>
          <w:tcPr>
            <w:tcW w:w="487" w:type="pct"/>
            <w:vAlign w:val="bottom"/>
          </w:tcPr>
          <w:p w14:paraId="038A4068" w14:textId="77777777" w:rsidR="00023312" w:rsidRDefault="00023312" w:rsidP="001A5D4A">
            <w:pPr>
              <w:pStyle w:val="NotesTable-CellPlain"/>
            </w:pPr>
          </w:p>
        </w:tc>
        <w:tc>
          <w:tcPr>
            <w:tcW w:w="487" w:type="pct"/>
            <w:vAlign w:val="bottom"/>
          </w:tcPr>
          <w:p w14:paraId="038A4069" w14:textId="77777777" w:rsidR="00023312" w:rsidRDefault="00023312" w:rsidP="001A5D4A">
            <w:pPr>
              <w:pStyle w:val="NotesTable-CellPlain"/>
            </w:pPr>
          </w:p>
        </w:tc>
        <w:tc>
          <w:tcPr>
            <w:tcW w:w="485" w:type="pct"/>
            <w:gridSpan w:val="2"/>
            <w:vAlign w:val="bottom"/>
          </w:tcPr>
          <w:p w14:paraId="038A406A" w14:textId="77777777" w:rsidR="00023312" w:rsidRDefault="00023312" w:rsidP="001A5D4A">
            <w:pPr>
              <w:pStyle w:val="NotesTable-CellPlain"/>
            </w:pPr>
          </w:p>
        </w:tc>
      </w:tr>
      <w:tr w:rsidR="00023312" w14:paraId="038A4074" w14:textId="77777777" w:rsidTr="00883287">
        <w:trPr>
          <w:trHeight w:val="225"/>
        </w:trPr>
        <w:tc>
          <w:tcPr>
            <w:tcW w:w="1593" w:type="pct"/>
            <w:gridSpan w:val="2"/>
            <w:vAlign w:val="bottom"/>
          </w:tcPr>
          <w:p w14:paraId="038A406C" w14:textId="77777777" w:rsidR="00023312" w:rsidRPr="00D11709" w:rsidRDefault="00023312" w:rsidP="001A5D4A">
            <w:pPr>
              <w:pStyle w:val="NotesTable-ItemBold"/>
            </w:pPr>
            <w:r w:rsidRPr="00D11709">
              <w:t>Financial liabilities</w:t>
            </w:r>
          </w:p>
        </w:tc>
        <w:tc>
          <w:tcPr>
            <w:tcW w:w="487" w:type="pct"/>
            <w:tcBorders>
              <w:left w:val="single" w:sz="4" w:space="0" w:color="C0C0C0"/>
            </w:tcBorders>
            <w:vAlign w:val="bottom"/>
          </w:tcPr>
          <w:p w14:paraId="038A406D" w14:textId="77777777" w:rsidR="00023312" w:rsidRDefault="00023312" w:rsidP="001A5D4A">
            <w:pPr>
              <w:pStyle w:val="NotesTable-CellPlain"/>
            </w:pPr>
          </w:p>
        </w:tc>
        <w:tc>
          <w:tcPr>
            <w:tcW w:w="487" w:type="pct"/>
            <w:tcBorders>
              <w:left w:val="single" w:sz="4" w:space="0" w:color="C0C0C0"/>
            </w:tcBorders>
            <w:vAlign w:val="bottom"/>
          </w:tcPr>
          <w:p w14:paraId="038A406E" w14:textId="77777777" w:rsidR="00023312" w:rsidRDefault="00023312" w:rsidP="001A5D4A">
            <w:pPr>
              <w:pStyle w:val="NotesTable-CellPlain"/>
            </w:pPr>
          </w:p>
        </w:tc>
        <w:tc>
          <w:tcPr>
            <w:tcW w:w="487" w:type="pct"/>
            <w:tcBorders>
              <w:left w:val="single" w:sz="4" w:space="0" w:color="C0C0C0"/>
            </w:tcBorders>
            <w:vAlign w:val="bottom"/>
          </w:tcPr>
          <w:p w14:paraId="038A406F" w14:textId="77777777" w:rsidR="00023312" w:rsidRDefault="00023312" w:rsidP="001A5D4A">
            <w:pPr>
              <w:pStyle w:val="NotesTable-CellPlain"/>
            </w:pPr>
          </w:p>
        </w:tc>
        <w:tc>
          <w:tcPr>
            <w:tcW w:w="487" w:type="pct"/>
            <w:tcBorders>
              <w:left w:val="single" w:sz="4" w:space="0" w:color="C0C0C0"/>
            </w:tcBorders>
            <w:vAlign w:val="bottom"/>
          </w:tcPr>
          <w:p w14:paraId="038A4070" w14:textId="77777777" w:rsidR="00023312" w:rsidRDefault="00023312" w:rsidP="001A5D4A">
            <w:pPr>
              <w:pStyle w:val="NotesTable-CellPlain"/>
            </w:pPr>
          </w:p>
        </w:tc>
        <w:tc>
          <w:tcPr>
            <w:tcW w:w="487" w:type="pct"/>
            <w:tcBorders>
              <w:left w:val="single" w:sz="4" w:space="0" w:color="C0C0C0"/>
            </w:tcBorders>
            <w:vAlign w:val="bottom"/>
          </w:tcPr>
          <w:p w14:paraId="038A4071" w14:textId="77777777" w:rsidR="00023312" w:rsidRDefault="00023312" w:rsidP="001A5D4A">
            <w:pPr>
              <w:pStyle w:val="NotesTable-CellPlain"/>
            </w:pPr>
          </w:p>
        </w:tc>
        <w:tc>
          <w:tcPr>
            <w:tcW w:w="487" w:type="pct"/>
            <w:tcBorders>
              <w:left w:val="single" w:sz="4" w:space="0" w:color="C0C0C0"/>
            </w:tcBorders>
            <w:vAlign w:val="bottom"/>
          </w:tcPr>
          <w:p w14:paraId="038A4072" w14:textId="77777777" w:rsidR="00023312" w:rsidRDefault="00023312" w:rsidP="001A5D4A">
            <w:pPr>
              <w:pStyle w:val="NotesTable-CellPlain"/>
            </w:pPr>
          </w:p>
        </w:tc>
        <w:tc>
          <w:tcPr>
            <w:tcW w:w="485" w:type="pct"/>
            <w:gridSpan w:val="2"/>
            <w:tcBorders>
              <w:left w:val="single" w:sz="4" w:space="0" w:color="C0C0C0"/>
              <w:right w:val="single" w:sz="4" w:space="0" w:color="C0C0C0"/>
            </w:tcBorders>
            <w:vAlign w:val="bottom"/>
          </w:tcPr>
          <w:p w14:paraId="038A4073" w14:textId="77777777" w:rsidR="00023312" w:rsidRDefault="00023312" w:rsidP="001A5D4A">
            <w:pPr>
              <w:pStyle w:val="NotesTable-CellPlain"/>
            </w:pPr>
          </w:p>
        </w:tc>
      </w:tr>
      <w:tr w:rsidR="00D81BA1" w14:paraId="038A407D" w14:textId="77777777" w:rsidTr="00883287">
        <w:trPr>
          <w:trHeight w:hRule="exact" w:val="227"/>
        </w:trPr>
        <w:tc>
          <w:tcPr>
            <w:tcW w:w="1593" w:type="pct"/>
            <w:gridSpan w:val="2"/>
            <w:vAlign w:val="bottom"/>
          </w:tcPr>
          <w:p w14:paraId="038A4075" w14:textId="77777777" w:rsidR="00D81BA1" w:rsidRPr="00D11709" w:rsidRDefault="00D81BA1" w:rsidP="001A5D4A">
            <w:pPr>
              <w:pStyle w:val="NotesTable-ItemPlain"/>
              <w:rPr>
                <w:b/>
              </w:rPr>
            </w:pPr>
            <w:r w:rsidRPr="00D11709">
              <w:t>Payables</w:t>
            </w:r>
          </w:p>
        </w:tc>
        <w:tc>
          <w:tcPr>
            <w:tcW w:w="487" w:type="pct"/>
            <w:tcBorders>
              <w:left w:val="single" w:sz="4" w:space="0" w:color="C0C0C0"/>
            </w:tcBorders>
          </w:tcPr>
          <w:p w14:paraId="038A4076" w14:textId="77777777" w:rsidR="00D81BA1" w:rsidRDefault="00D81BA1" w:rsidP="001A5D4A">
            <w:pPr>
              <w:pStyle w:val="NotesTable-CellPlain"/>
            </w:pPr>
            <w:r>
              <w:t>–</w:t>
            </w:r>
          </w:p>
        </w:tc>
        <w:tc>
          <w:tcPr>
            <w:tcW w:w="487" w:type="pct"/>
            <w:tcBorders>
              <w:left w:val="single" w:sz="4" w:space="0" w:color="C0C0C0"/>
            </w:tcBorders>
          </w:tcPr>
          <w:p w14:paraId="038A4077" w14:textId="77777777" w:rsidR="00D81BA1" w:rsidRDefault="00D81BA1" w:rsidP="001A5D4A">
            <w:pPr>
              <w:pStyle w:val="NotesTable-CellPlain"/>
              <w:rPr>
                <w:lang w:val="en-GB"/>
              </w:rPr>
            </w:pPr>
            <w:r>
              <w:t>–</w:t>
            </w:r>
          </w:p>
        </w:tc>
        <w:tc>
          <w:tcPr>
            <w:tcW w:w="487" w:type="pct"/>
            <w:tcBorders>
              <w:left w:val="single" w:sz="4" w:space="0" w:color="C0C0C0"/>
            </w:tcBorders>
          </w:tcPr>
          <w:p w14:paraId="038A4078" w14:textId="77777777" w:rsidR="00D81BA1" w:rsidRDefault="00D81BA1" w:rsidP="001A5D4A">
            <w:pPr>
              <w:pStyle w:val="NotesTable-CellPlain"/>
              <w:rPr>
                <w:lang w:val="en-GB"/>
              </w:rPr>
            </w:pPr>
            <w:r>
              <w:t>–</w:t>
            </w:r>
          </w:p>
        </w:tc>
        <w:tc>
          <w:tcPr>
            <w:tcW w:w="487" w:type="pct"/>
            <w:tcBorders>
              <w:left w:val="single" w:sz="4" w:space="0" w:color="C0C0C0"/>
            </w:tcBorders>
          </w:tcPr>
          <w:p w14:paraId="038A4079"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7A" w14:textId="77777777" w:rsidR="00D81BA1" w:rsidRDefault="00D81BA1" w:rsidP="001A5D4A">
            <w:pPr>
              <w:pStyle w:val="NotesTable-CellPlain"/>
              <w:rPr>
                <w:lang w:val="en-GB"/>
              </w:rPr>
            </w:pPr>
            <w:r>
              <w:t>–</w:t>
            </w:r>
          </w:p>
        </w:tc>
        <w:tc>
          <w:tcPr>
            <w:tcW w:w="487" w:type="pct"/>
            <w:tcBorders>
              <w:left w:val="single" w:sz="4" w:space="0" w:color="C0C0C0"/>
            </w:tcBorders>
          </w:tcPr>
          <w:p w14:paraId="038A407B"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7C" w14:textId="77777777" w:rsidR="00D81BA1" w:rsidRDefault="00D81BA1" w:rsidP="001A5D4A">
            <w:pPr>
              <w:pStyle w:val="NotesTable-CellPlain"/>
              <w:rPr>
                <w:lang w:val="en-GB"/>
              </w:rPr>
            </w:pPr>
            <w:r>
              <w:t>–</w:t>
            </w:r>
          </w:p>
        </w:tc>
      </w:tr>
      <w:tr w:rsidR="00D81BA1" w14:paraId="038A4086" w14:textId="77777777" w:rsidTr="00883287">
        <w:trPr>
          <w:trHeight w:hRule="exact" w:val="227"/>
        </w:trPr>
        <w:tc>
          <w:tcPr>
            <w:tcW w:w="1593" w:type="pct"/>
            <w:gridSpan w:val="2"/>
            <w:vAlign w:val="bottom"/>
          </w:tcPr>
          <w:p w14:paraId="038A407E" w14:textId="77777777" w:rsidR="00D81BA1" w:rsidRPr="00D11709" w:rsidRDefault="00D81BA1" w:rsidP="001A5D4A">
            <w:pPr>
              <w:pStyle w:val="NotesTable-ItemPlain"/>
              <w:rPr>
                <w:b/>
              </w:rPr>
            </w:pPr>
            <w:r w:rsidRPr="00D11709">
              <w:t>Borrowings</w:t>
            </w:r>
          </w:p>
        </w:tc>
        <w:tc>
          <w:tcPr>
            <w:tcW w:w="487" w:type="pct"/>
            <w:tcBorders>
              <w:left w:val="single" w:sz="4" w:space="0" w:color="C0C0C0"/>
            </w:tcBorders>
          </w:tcPr>
          <w:p w14:paraId="038A407F" w14:textId="77777777" w:rsidR="00D81BA1" w:rsidRDefault="00D81BA1" w:rsidP="001A5D4A">
            <w:pPr>
              <w:pStyle w:val="NotesTable-CellPlain"/>
            </w:pPr>
            <w:r>
              <w:t>–</w:t>
            </w:r>
          </w:p>
        </w:tc>
        <w:tc>
          <w:tcPr>
            <w:tcW w:w="487" w:type="pct"/>
            <w:tcBorders>
              <w:left w:val="single" w:sz="4" w:space="0" w:color="C0C0C0"/>
            </w:tcBorders>
          </w:tcPr>
          <w:p w14:paraId="038A4080" w14:textId="77777777" w:rsidR="00D81BA1" w:rsidRDefault="00D81BA1" w:rsidP="001A5D4A">
            <w:pPr>
              <w:pStyle w:val="NotesTable-CellPlain"/>
              <w:rPr>
                <w:lang w:val="en-GB"/>
              </w:rPr>
            </w:pPr>
            <w:r>
              <w:t>–</w:t>
            </w:r>
          </w:p>
        </w:tc>
        <w:tc>
          <w:tcPr>
            <w:tcW w:w="487" w:type="pct"/>
            <w:tcBorders>
              <w:left w:val="single" w:sz="4" w:space="0" w:color="C0C0C0"/>
            </w:tcBorders>
          </w:tcPr>
          <w:p w14:paraId="038A4081" w14:textId="77777777" w:rsidR="00D81BA1" w:rsidRDefault="00D81BA1" w:rsidP="001A5D4A">
            <w:pPr>
              <w:pStyle w:val="NotesTable-CellPlain"/>
              <w:rPr>
                <w:lang w:val="en-GB"/>
              </w:rPr>
            </w:pPr>
            <w:r>
              <w:t>–</w:t>
            </w:r>
          </w:p>
        </w:tc>
        <w:tc>
          <w:tcPr>
            <w:tcW w:w="487" w:type="pct"/>
            <w:tcBorders>
              <w:left w:val="single" w:sz="4" w:space="0" w:color="C0C0C0"/>
            </w:tcBorders>
          </w:tcPr>
          <w:p w14:paraId="038A4082"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83" w14:textId="77777777" w:rsidR="00D81BA1" w:rsidRDefault="00D81BA1" w:rsidP="001A5D4A">
            <w:pPr>
              <w:pStyle w:val="NotesTable-CellPlain"/>
              <w:rPr>
                <w:lang w:val="en-GB"/>
              </w:rPr>
            </w:pPr>
            <w:r>
              <w:t>–</w:t>
            </w:r>
          </w:p>
        </w:tc>
        <w:tc>
          <w:tcPr>
            <w:tcW w:w="487" w:type="pct"/>
            <w:tcBorders>
              <w:left w:val="single" w:sz="4" w:space="0" w:color="C0C0C0"/>
            </w:tcBorders>
          </w:tcPr>
          <w:p w14:paraId="038A4084"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85" w14:textId="77777777" w:rsidR="00D81BA1" w:rsidRDefault="00D81BA1" w:rsidP="001A5D4A">
            <w:pPr>
              <w:pStyle w:val="NotesTable-CellPlain"/>
              <w:rPr>
                <w:lang w:val="en-GB"/>
              </w:rPr>
            </w:pPr>
            <w:r>
              <w:t>–</w:t>
            </w:r>
          </w:p>
        </w:tc>
      </w:tr>
      <w:tr w:rsidR="00D81BA1" w14:paraId="038A408F" w14:textId="77777777" w:rsidTr="00883287">
        <w:trPr>
          <w:trHeight w:hRule="exact" w:val="227"/>
        </w:trPr>
        <w:tc>
          <w:tcPr>
            <w:tcW w:w="1593" w:type="pct"/>
            <w:gridSpan w:val="2"/>
            <w:vAlign w:val="bottom"/>
          </w:tcPr>
          <w:p w14:paraId="038A4087" w14:textId="77777777" w:rsidR="00D81BA1" w:rsidRPr="00D11709" w:rsidRDefault="00D81BA1" w:rsidP="001A5D4A">
            <w:pPr>
              <w:pStyle w:val="NotesTable-ItemPlain"/>
              <w:rPr>
                <w:b/>
              </w:rPr>
            </w:pPr>
            <w:r w:rsidRPr="00D11709">
              <w:t>Other financial liabilities</w:t>
            </w:r>
          </w:p>
        </w:tc>
        <w:tc>
          <w:tcPr>
            <w:tcW w:w="487" w:type="pct"/>
            <w:tcBorders>
              <w:left w:val="single" w:sz="4" w:space="0" w:color="C0C0C0"/>
            </w:tcBorders>
          </w:tcPr>
          <w:p w14:paraId="038A4088" w14:textId="77777777" w:rsidR="00D81BA1" w:rsidRDefault="00D81BA1" w:rsidP="001A5D4A">
            <w:pPr>
              <w:pStyle w:val="NotesTable-CellPlain"/>
            </w:pPr>
            <w:r>
              <w:t>–</w:t>
            </w:r>
          </w:p>
        </w:tc>
        <w:tc>
          <w:tcPr>
            <w:tcW w:w="487" w:type="pct"/>
            <w:tcBorders>
              <w:left w:val="single" w:sz="4" w:space="0" w:color="C0C0C0"/>
            </w:tcBorders>
          </w:tcPr>
          <w:p w14:paraId="038A4089" w14:textId="77777777" w:rsidR="00D81BA1" w:rsidRDefault="00D81BA1" w:rsidP="001A5D4A">
            <w:pPr>
              <w:pStyle w:val="NotesTable-CellPlain"/>
              <w:rPr>
                <w:lang w:val="en-GB"/>
              </w:rPr>
            </w:pPr>
            <w:r>
              <w:t>–</w:t>
            </w:r>
          </w:p>
        </w:tc>
        <w:tc>
          <w:tcPr>
            <w:tcW w:w="487" w:type="pct"/>
            <w:tcBorders>
              <w:left w:val="single" w:sz="4" w:space="0" w:color="C0C0C0"/>
            </w:tcBorders>
          </w:tcPr>
          <w:p w14:paraId="038A408A" w14:textId="77777777" w:rsidR="00D81BA1" w:rsidRDefault="00D81BA1" w:rsidP="001A5D4A">
            <w:pPr>
              <w:pStyle w:val="NotesTable-CellPlain"/>
              <w:rPr>
                <w:lang w:val="en-GB"/>
              </w:rPr>
            </w:pPr>
            <w:r>
              <w:t>–</w:t>
            </w:r>
          </w:p>
        </w:tc>
        <w:tc>
          <w:tcPr>
            <w:tcW w:w="487" w:type="pct"/>
            <w:tcBorders>
              <w:left w:val="single" w:sz="4" w:space="0" w:color="C0C0C0"/>
            </w:tcBorders>
          </w:tcPr>
          <w:p w14:paraId="038A408B" w14:textId="77777777" w:rsidR="00D81BA1" w:rsidRDefault="00D81BA1" w:rsidP="001A5D4A">
            <w:pPr>
              <w:pStyle w:val="NotesTable-CellPlain"/>
              <w:rPr>
                <w:lang w:val="en-GB"/>
              </w:rPr>
            </w:pPr>
            <w:r w:rsidRPr="00F33C1D">
              <w:t>–</w:t>
            </w:r>
          </w:p>
        </w:tc>
        <w:tc>
          <w:tcPr>
            <w:tcW w:w="487" w:type="pct"/>
            <w:tcBorders>
              <w:left w:val="single" w:sz="4" w:space="0" w:color="C0C0C0"/>
            </w:tcBorders>
          </w:tcPr>
          <w:p w14:paraId="038A408C" w14:textId="77777777" w:rsidR="00D81BA1" w:rsidRDefault="00D81BA1" w:rsidP="001A5D4A">
            <w:pPr>
              <w:pStyle w:val="NotesTable-CellPlain"/>
              <w:rPr>
                <w:lang w:val="en-GB"/>
              </w:rPr>
            </w:pPr>
            <w:r>
              <w:t>–</w:t>
            </w:r>
          </w:p>
        </w:tc>
        <w:tc>
          <w:tcPr>
            <w:tcW w:w="487" w:type="pct"/>
            <w:tcBorders>
              <w:left w:val="single" w:sz="4" w:space="0" w:color="C0C0C0"/>
            </w:tcBorders>
          </w:tcPr>
          <w:p w14:paraId="038A408D" w14:textId="77777777" w:rsidR="00D81BA1" w:rsidRDefault="00D81BA1" w:rsidP="001A5D4A">
            <w:pPr>
              <w:pStyle w:val="NotesTable-CellPlain"/>
              <w:rPr>
                <w:lang w:val="en-GB"/>
              </w:rPr>
            </w:pPr>
            <w:r>
              <w:t>–</w:t>
            </w:r>
          </w:p>
        </w:tc>
        <w:tc>
          <w:tcPr>
            <w:tcW w:w="485" w:type="pct"/>
            <w:gridSpan w:val="2"/>
            <w:tcBorders>
              <w:left w:val="single" w:sz="4" w:space="0" w:color="C0C0C0"/>
              <w:right w:val="single" w:sz="4" w:space="0" w:color="C0C0C0"/>
            </w:tcBorders>
          </w:tcPr>
          <w:p w14:paraId="038A408E" w14:textId="77777777" w:rsidR="00D81BA1" w:rsidRDefault="00D81BA1" w:rsidP="001A5D4A">
            <w:pPr>
              <w:pStyle w:val="NotesTable-CellPlain"/>
              <w:rPr>
                <w:lang w:val="en-GB"/>
              </w:rPr>
            </w:pPr>
            <w:r>
              <w:t>–</w:t>
            </w:r>
          </w:p>
        </w:tc>
      </w:tr>
      <w:tr w:rsidR="00D81BA1" w14:paraId="038A4098" w14:textId="77777777" w:rsidTr="00883287">
        <w:trPr>
          <w:trHeight w:hRule="exact" w:val="227"/>
        </w:trPr>
        <w:tc>
          <w:tcPr>
            <w:tcW w:w="1593" w:type="pct"/>
            <w:gridSpan w:val="2"/>
            <w:vAlign w:val="bottom"/>
          </w:tcPr>
          <w:p w14:paraId="038A4090" w14:textId="77777777" w:rsidR="00D81BA1" w:rsidRPr="00D11709" w:rsidRDefault="00D81BA1" w:rsidP="001A5D4A">
            <w:pPr>
              <w:pStyle w:val="NotesTable-ItemPlain"/>
              <w:rPr>
                <w:b/>
              </w:rPr>
            </w:pPr>
            <w:r w:rsidRPr="00D11709">
              <w:t>[Specify]</w:t>
            </w:r>
          </w:p>
        </w:tc>
        <w:tc>
          <w:tcPr>
            <w:tcW w:w="487" w:type="pct"/>
            <w:tcBorders>
              <w:left w:val="single" w:sz="4" w:space="0" w:color="C0C0C0"/>
              <w:bottom w:val="single" w:sz="4" w:space="0" w:color="auto"/>
            </w:tcBorders>
          </w:tcPr>
          <w:p w14:paraId="038A4091" w14:textId="77777777" w:rsidR="00D81BA1" w:rsidRDefault="00D81BA1" w:rsidP="001A5D4A">
            <w:pPr>
              <w:pStyle w:val="NotesTable-CellPlain"/>
            </w:pPr>
            <w:r>
              <w:t>–</w:t>
            </w:r>
          </w:p>
        </w:tc>
        <w:tc>
          <w:tcPr>
            <w:tcW w:w="487" w:type="pct"/>
            <w:tcBorders>
              <w:left w:val="single" w:sz="4" w:space="0" w:color="C0C0C0"/>
              <w:bottom w:val="single" w:sz="4" w:space="0" w:color="auto"/>
            </w:tcBorders>
          </w:tcPr>
          <w:p w14:paraId="038A4092"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93"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94" w14:textId="77777777" w:rsidR="00D81BA1" w:rsidRDefault="00D81BA1" w:rsidP="001A5D4A">
            <w:pPr>
              <w:pStyle w:val="NotesTable-CellPlain"/>
              <w:rPr>
                <w:lang w:val="en-GB"/>
              </w:rPr>
            </w:pPr>
            <w:r w:rsidRPr="00F33C1D">
              <w:t>–</w:t>
            </w:r>
          </w:p>
        </w:tc>
        <w:tc>
          <w:tcPr>
            <w:tcW w:w="487" w:type="pct"/>
            <w:tcBorders>
              <w:left w:val="single" w:sz="4" w:space="0" w:color="C0C0C0"/>
              <w:bottom w:val="single" w:sz="4" w:space="0" w:color="auto"/>
            </w:tcBorders>
          </w:tcPr>
          <w:p w14:paraId="038A4095" w14:textId="77777777" w:rsidR="00D81BA1" w:rsidRDefault="00D81BA1" w:rsidP="001A5D4A">
            <w:pPr>
              <w:pStyle w:val="NotesTable-CellPlain"/>
              <w:rPr>
                <w:lang w:val="en-GB"/>
              </w:rPr>
            </w:pPr>
            <w:r>
              <w:t>–</w:t>
            </w:r>
          </w:p>
        </w:tc>
        <w:tc>
          <w:tcPr>
            <w:tcW w:w="487" w:type="pct"/>
            <w:tcBorders>
              <w:left w:val="single" w:sz="4" w:space="0" w:color="C0C0C0"/>
              <w:bottom w:val="single" w:sz="4" w:space="0" w:color="auto"/>
            </w:tcBorders>
          </w:tcPr>
          <w:p w14:paraId="038A4096" w14:textId="77777777" w:rsidR="00D81BA1" w:rsidRDefault="00D81BA1" w:rsidP="001A5D4A">
            <w:pPr>
              <w:pStyle w:val="NotesTable-CellPlain"/>
              <w:rPr>
                <w:lang w:val="en-GB"/>
              </w:rPr>
            </w:pPr>
            <w:r>
              <w:t>–</w:t>
            </w:r>
          </w:p>
        </w:tc>
        <w:tc>
          <w:tcPr>
            <w:tcW w:w="485" w:type="pct"/>
            <w:gridSpan w:val="2"/>
            <w:tcBorders>
              <w:left w:val="single" w:sz="4" w:space="0" w:color="C0C0C0"/>
              <w:bottom w:val="single" w:sz="4" w:space="0" w:color="auto"/>
              <w:right w:val="single" w:sz="4" w:space="0" w:color="C0C0C0"/>
            </w:tcBorders>
          </w:tcPr>
          <w:p w14:paraId="038A4097" w14:textId="77777777" w:rsidR="00D81BA1" w:rsidRDefault="00D81BA1" w:rsidP="001A5D4A">
            <w:pPr>
              <w:pStyle w:val="NotesTable-CellPlain"/>
              <w:rPr>
                <w:lang w:val="en-GB"/>
              </w:rPr>
            </w:pPr>
            <w:r>
              <w:t>–</w:t>
            </w:r>
          </w:p>
        </w:tc>
      </w:tr>
      <w:tr w:rsidR="00D81BA1" w14:paraId="038A40A1" w14:textId="77777777" w:rsidTr="00883287">
        <w:trPr>
          <w:trHeight w:hRule="exact" w:val="227"/>
        </w:trPr>
        <w:tc>
          <w:tcPr>
            <w:tcW w:w="1593" w:type="pct"/>
            <w:gridSpan w:val="2"/>
            <w:vAlign w:val="bottom"/>
          </w:tcPr>
          <w:p w14:paraId="038A4099" w14:textId="77777777" w:rsidR="00D81BA1" w:rsidRPr="00D11709" w:rsidRDefault="00D81BA1" w:rsidP="001A5D4A">
            <w:pPr>
              <w:pStyle w:val="NotesTable-ItemPlain"/>
              <w:rPr>
                <w:b/>
              </w:rPr>
            </w:pPr>
            <w:r w:rsidRPr="00D11709">
              <w:t>Total financial liabilities</w:t>
            </w:r>
          </w:p>
        </w:tc>
        <w:tc>
          <w:tcPr>
            <w:tcW w:w="487" w:type="pct"/>
            <w:tcBorders>
              <w:top w:val="single" w:sz="4" w:space="0" w:color="auto"/>
              <w:left w:val="single" w:sz="4" w:space="0" w:color="C0C0C0"/>
            </w:tcBorders>
          </w:tcPr>
          <w:p w14:paraId="038A409A" w14:textId="77777777" w:rsidR="00D81BA1" w:rsidRDefault="00D81BA1" w:rsidP="001A5D4A">
            <w:pPr>
              <w:pStyle w:val="NotesTable-CellPlain"/>
            </w:pPr>
            <w:r>
              <w:t>–</w:t>
            </w:r>
          </w:p>
        </w:tc>
        <w:tc>
          <w:tcPr>
            <w:tcW w:w="487" w:type="pct"/>
            <w:tcBorders>
              <w:top w:val="single" w:sz="4" w:space="0" w:color="auto"/>
              <w:left w:val="single" w:sz="4" w:space="0" w:color="C0C0C0"/>
            </w:tcBorders>
          </w:tcPr>
          <w:p w14:paraId="038A409B"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9C"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9D" w14:textId="77777777" w:rsidR="00D81BA1" w:rsidRDefault="00D81BA1" w:rsidP="001A5D4A">
            <w:pPr>
              <w:pStyle w:val="NotesTable-CellPlain"/>
              <w:rPr>
                <w:lang w:val="en-GB"/>
              </w:rPr>
            </w:pPr>
            <w:r w:rsidRPr="00F33C1D">
              <w:t>–</w:t>
            </w:r>
          </w:p>
        </w:tc>
        <w:tc>
          <w:tcPr>
            <w:tcW w:w="487" w:type="pct"/>
            <w:tcBorders>
              <w:top w:val="single" w:sz="4" w:space="0" w:color="auto"/>
              <w:left w:val="single" w:sz="4" w:space="0" w:color="C0C0C0"/>
            </w:tcBorders>
          </w:tcPr>
          <w:p w14:paraId="038A409E" w14:textId="77777777" w:rsidR="00D81BA1" w:rsidRDefault="00D81BA1" w:rsidP="001A5D4A">
            <w:pPr>
              <w:pStyle w:val="NotesTable-CellPlain"/>
              <w:rPr>
                <w:lang w:val="en-GB"/>
              </w:rPr>
            </w:pPr>
            <w:r>
              <w:t>–</w:t>
            </w:r>
          </w:p>
        </w:tc>
        <w:tc>
          <w:tcPr>
            <w:tcW w:w="487" w:type="pct"/>
            <w:tcBorders>
              <w:top w:val="single" w:sz="4" w:space="0" w:color="auto"/>
              <w:left w:val="single" w:sz="4" w:space="0" w:color="C0C0C0"/>
            </w:tcBorders>
          </w:tcPr>
          <w:p w14:paraId="038A409F" w14:textId="77777777" w:rsidR="00D81BA1" w:rsidRDefault="00D81BA1" w:rsidP="001A5D4A">
            <w:pPr>
              <w:pStyle w:val="NotesTable-CellPlain"/>
              <w:rPr>
                <w:lang w:val="en-GB"/>
              </w:rPr>
            </w:pPr>
            <w:r>
              <w:t>–</w:t>
            </w:r>
          </w:p>
        </w:tc>
        <w:tc>
          <w:tcPr>
            <w:tcW w:w="485" w:type="pct"/>
            <w:gridSpan w:val="2"/>
            <w:tcBorders>
              <w:top w:val="single" w:sz="4" w:space="0" w:color="auto"/>
              <w:left w:val="single" w:sz="4" w:space="0" w:color="C0C0C0"/>
              <w:right w:val="single" w:sz="4" w:space="0" w:color="C0C0C0"/>
            </w:tcBorders>
          </w:tcPr>
          <w:p w14:paraId="038A40A0" w14:textId="77777777" w:rsidR="00D81BA1" w:rsidRDefault="00D81BA1" w:rsidP="001A5D4A">
            <w:pPr>
              <w:pStyle w:val="NotesTable-CellPlain"/>
              <w:rPr>
                <w:lang w:val="en-GB"/>
              </w:rPr>
            </w:pPr>
            <w:r>
              <w:t>–</w:t>
            </w:r>
          </w:p>
        </w:tc>
      </w:tr>
    </w:tbl>
    <w:p w14:paraId="607775D0" w14:textId="3BDB282E" w:rsidR="00DF3D95" w:rsidRDefault="00DF3D95">
      <w:pPr>
        <w:spacing w:after="0"/>
      </w:pPr>
    </w:p>
    <w:tbl>
      <w:tblPr>
        <w:tblW w:w="5000" w:type="pct"/>
        <w:tblCellMar>
          <w:left w:w="0" w:type="dxa"/>
          <w:right w:w="0" w:type="dxa"/>
        </w:tblCellMar>
        <w:tblLook w:val="0000" w:firstRow="0" w:lastRow="0" w:firstColumn="0" w:lastColumn="0" w:noHBand="0" w:noVBand="0"/>
      </w:tblPr>
      <w:tblGrid>
        <w:gridCol w:w="3273"/>
        <w:gridCol w:w="1001"/>
        <w:gridCol w:w="1000"/>
        <w:gridCol w:w="1000"/>
        <w:gridCol w:w="1000"/>
        <w:gridCol w:w="1000"/>
        <w:gridCol w:w="1000"/>
        <w:gridCol w:w="996"/>
      </w:tblGrid>
      <w:tr w:rsidR="00023312" w14:paraId="038A40AB" w14:textId="77777777" w:rsidTr="00DF3D95">
        <w:trPr>
          <w:trHeight w:val="293"/>
        </w:trPr>
        <w:tc>
          <w:tcPr>
            <w:tcW w:w="1593" w:type="pct"/>
            <w:shd w:val="clear" w:color="auto" w:fill="auto"/>
            <w:vAlign w:val="bottom"/>
          </w:tcPr>
          <w:p w14:paraId="038A40A3" w14:textId="166FD798" w:rsidR="00023312" w:rsidRDefault="00023312" w:rsidP="001A5D4A">
            <w:pPr>
              <w:pStyle w:val="NotesTable-ItemPlain"/>
              <w:rPr>
                <w:b/>
              </w:rPr>
            </w:pPr>
            <w:r>
              <w:t xml:space="preserve">31 December </w:t>
            </w:r>
            <w:r w:rsidR="006864EC">
              <w:t>2013</w:t>
            </w:r>
          </w:p>
        </w:tc>
        <w:tc>
          <w:tcPr>
            <w:tcW w:w="487" w:type="pct"/>
            <w:tcBorders>
              <w:left w:val="single" w:sz="8" w:space="0" w:color="FFFFFF"/>
            </w:tcBorders>
            <w:shd w:val="clear" w:color="auto" w:fill="auto"/>
            <w:vAlign w:val="bottom"/>
          </w:tcPr>
          <w:p w14:paraId="038A40A4" w14:textId="77777777" w:rsidR="00023312" w:rsidRPr="00563292" w:rsidRDefault="00023312" w:rsidP="001A5D4A">
            <w:pPr>
              <w:pStyle w:val="NotesTable-HeadPlain"/>
            </w:pPr>
            <w:r w:rsidRPr="00563292">
              <w:t>Average Interest Rate</w:t>
            </w:r>
          </w:p>
        </w:tc>
        <w:tc>
          <w:tcPr>
            <w:tcW w:w="487" w:type="pct"/>
            <w:tcBorders>
              <w:top w:val="single" w:sz="8" w:space="0" w:color="FFFFFF"/>
              <w:left w:val="single" w:sz="8" w:space="0" w:color="FFFFFF"/>
            </w:tcBorders>
            <w:shd w:val="clear" w:color="auto" w:fill="auto"/>
            <w:vAlign w:val="bottom"/>
          </w:tcPr>
          <w:p w14:paraId="038A40A5" w14:textId="77777777" w:rsidR="00023312" w:rsidRPr="00563292" w:rsidRDefault="00023312" w:rsidP="001A5D4A">
            <w:pPr>
              <w:pStyle w:val="NotesTable-HeadPlain"/>
            </w:pPr>
            <w:r w:rsidRPr="00563292">
              <w:t>Variable Interest Rate</w:t>
            </w:r>
          </w:p>
        </w:tc>
        <w:tc>
          <w:tcPr>
            <w:tcW w:w="487" w:type="pct"/>
            <w:tcBorders>
              <w:top w:val="single" w:sz="8" w:space="0" w:color="FFFFFF"/>
              <w:left w:val="single" w:sz="8" w:space="0" w:color="FFFFFF"/>
            </w:tcBorders>
            <w:shd w:val="clear" w:color="auto" w:fill="auto"/>
            <w:vAlign w:val="bottom"/>
          </w:tcPr>
          <w:p w14:paraId="038A40A6" w14:textId="77777777" w:rsidR="00023312" w:rsidRPr="00563292" w:rsidRDefault="00023312" w:rsidP="001A5D4A">
            <w:pPr>
              <w:pStyle w:val="NotesTable-HeadPlain"/>
            </w:pPr>
            <w:r w:rsidRPr="00563292">
              <w:t>Less than 1 Year</w:t>
            </w:r>
          </w:p>
        </w:tc>
        <w:tc>
          <w:tcPr>
            <w:tcW w:w="487" w:type="pct"/>
            <w:tcBorders>
              <w:top w:val="single" w:sz="8" w:space="0" w:color="FFFFFF"/>
              <w:left w:val="single" w:sz="8" w:space="0" w:color="FFFFFF"/>
            </w:tcBorders>
            <w:shd w:val="clear" w:color="auto" w:fill="auto"/>
            <w:vAlign w:val="bottom"/>
          </w:tcPr>
          <w:p w14:paraId="038A40A7" w14:textId="77777777" w:rsidR="00023312" w:rsidRPr="00563292" w:rsidRDefault="00023312" w:rsidP="001A5D4A">
            <w:pPr>
              <w:pStyle w:val="NotesTable-HeadPlain"/>
            </w:pPr>
            <w:r w:rsidRPr="00563292">
              <w:t>1 to 5</w:t>
            </w:r>
            <w:r w:rsidRPr="00563292">
              <w:br/>
              <w:t>Years</w:t>
            </w:r>
          </w:p>
        </w:tc>
        <w:tc>
          <w:tcPr>
            <w:tcW w:w="487" w:type="pct"/>
            <w:tcBorders>
              <w:top w:val="single" w:sz="8" w:space="0" w:color="FFFFFF"/>
              <w:left w:val="single" w:sz="8" w:space="0" w:color="FFFFFF"/>
            </w:tcBorders>
            <w:shd w:val="clear" w:color="auto" w:fill="auto"/>
            <w:vAlign w:val="bottom"/>
          </w:tcPr>
          <w:p w14:paraId="038A40A8" w14:textId="77777777" w:rsidR="00023312" w:rsidRPr="00563292" w:rsidRDefault="00023312" w:rsidP="001A5D4A">
            <w:pPr>
              <w:pStyle w:val="NotesTable-HeadPlain"/>
            </w:pPr>
            <w:r w:rsidRPr="00563292">
              <w:t>5+</w:t>
            </w:r>
            <w:r w:rsidRPr="00563292">
              <w:br/>
              <w:t>Years</w:t>
            </w:r>
          </w:p>
        </w:tc>
        <w:tc>
          <w:tcPr>
            <w:tcW w:w="487" w:type="pct"/>
            <w:tcBorders>
              <w:top w:val="single" w:sz="8" w:space="0" w:color="FFFFFF"/>
              <w:left w:val="single" w:sz="8" w:space="0" w:color="FFFFFF"/>
            </w:tcBorders>
            <w:shd w:val="clear" w:color="auto" w:fill="auto"/>
            <w:vAlign w:val="bottom"/>
          </w:tcPr>
          <w:p w14:paraId="038A40A9" w14:textId="147423D8" w:rsidR="00023312" w:rsidRPr="00563292" w:rsidRDefault="002A430C" w:rsidP="001A5D4A">
            <w:pPr>
              <w:pStyle w:val="NotesTable-HeadPlain"/>
            </w:pPr>
            <w:r w:rsidRPr="00563292">
              <w:t>Non-Interest</w:t>
            </w:r>
          </w:p>
        </w:tc>
        <w:tc>
          <w:tcPr>
            <w:tcW w:w="485" w:type="pct"/>
            <w:tcBorders>
              <w:top w:val="single" w:sz="8" w:space="0" w:color="FFFFFF"/>
              <w:left w:val="single" w:sz="8" w:space="0" w:color="FFFFFF"/>
              <w:right w:val="single" w:sz="8" w:space="0" w:color="FFFFFF"/>
            </w:tcBorders>
            <w:shd w:val="clear" w:color="auto" w:fill="auto"/>
            <w:vAlign w:val="bottom"/>
          </w:tcPr>
          <w:p w14:paraId="038A40AA" w14:textId="77777777" w:rsidR="00023312" w:rsidRPr="00563292" w:rsidRDefault="00023312" w:rsidP="001A5D4A">
            <w:pPr>
              <w:pStyle w:val="NotesTable-HeadPlain"/>
            </w:pPr>
            <w:r w:rsidRPr="00563292">
              <w:t>Total</w:t>
            </w:r>
          </w:p>
        </w:tc>
      </w:tr>
      <w:tr w:rsidR="00023312" w14:paraId="038A40B4" w14:textId="77777777" w:rsidTr="00DF3D95">
        <w:trPr>
          <w:trHeight w:val="225"/>
        </w:trPr>
        <w:tc>
          <w:tcPr>
            <w:tcW w:w="1593" w:type="pct"/>
            <w:tcBorders>
              <w:bottom w:val="single" w:sz="4" w:space="0" w:color="C0C0C0"/>
            </w:tcBorders>
            <w:shd w:val="clear" w:color="auto" w:fill="auto"/>
            <w:vAlign w:val="bottom"/>
          </w:tcPr>
          <w:p w14:paraId="038A40AC" w14:textId="77777777" w:rsidR="00023312" w:rsidRDefault="00023312" w:rsidP="001A5D4A">
            <w:pPr>
              <w:pStyle w:val="NotesTable-ItemPlain"/>
            </w:pPr>
          </w:p>
        </w:tc>
        <w:tc>
          <w:tcPr>
            <w:tcW w:w="487" w:type="pct"/>
            <w:tcBorders>
              <w:left w:val="single" w:sz="8" w:space="0" w:color="FFFFFF"/>
              <w:bottom w:val="single" w:sz="4" w:space="0" w:color="C0C0C0"/>
            </w:tcBorders>
            <w:shd w:val="clear" w:color="auto" w:fill="auto"/>
            <w:vAlign w:val="bottom"/>
          </w:tcPr>
          <w:p w14:paraId="038A40AD" w14:textId="77777777" w:rsidR="00023312" w:rsidRPr="00563292" w:rsidRDefault="00023312" w:rsidP="001A5D4A">
            <w:pPr>
              <w:pStyle w:val="NotesTable-HeadPlain"/>
            </w:pPr>
            <w:r w:rsidRPr="00563292">
              <w:t>%</w:t>
            </w:r>
          </w:p>
        </w:tc>
        <w:tc>
          <w:tcPr>
            <w:tcW w:w="487" w:type="pct"/>
            <w:tcBorders>
              <w:left w:val="single" w:sz="8" w:space="0" w:color="FFFFFF"/>
              <w:bottom w:val="single" w:sz="4" w:space="0" w:color="C0C0C0"/>
            </w:tcBorders>
            <w:shd w:val="clear" w:color="auto" w:fill="auto"/>
            <w:vAlign w:val="bottom"/>
          </w:tcPr>
          <w:p w14:paraId="038A40AE"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AF"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B0"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B1" w14:textId="77777777" w:rsidR="00023312" w:rsidRPr="00563292" w:rsidRDefault="00023312" w:rsidP="001A5D4A">
            <w:pPr>
              <w:pStyle w:val="NotesTable-HeadPlain"/>
              <w:rPr>
                <w:b/>
              </w:rPr>
            </w:pPr>
            <w:r w:rsidRPr="00563292">
              <w:t>$'000</w:t>
            </w:r>
          </w:p>
        </w:tc>
        <w:tc>
          <w:tcPr>
            <w:tcW w:w="487" w:type="pct"/>
            <w:tcBorders>
              <w:left w:val="single" w:sz="8" w:space="0" w:color="FFFFFF"/>
              <w:bottom w:val="single" w:sz="4" w:space="0" w:color="C0C0C0"/>
            </w:tcBorders>
            <w:shd w:val="clear" w:color="auto" w:fill="auto"/>
            <w:vAlign w:val="bottom"/>
          </w:tcPr>
          <w:p w14:paraId="038A40B2" w14:textId="77777777" w:rsidR="00023312" w:rsidRPr="00563292" w:rsidRDefault="00023312" w:rsidP="001A5D4A">
            <w:pPr>
              <w:pStyle w:val="NotesTable-HeadPlain"/>
              <w:rPr>
                <w:b/>
              </w:rPr>
            </w:pPr>
            <w:r w:rsidRPr="00563292">
              <w:t>$'000</w:t>
            </w:r>
          </w:p>
        </w:tc>
        <w:tc>
          <w:tcPr>
            <w:tcW w:w="485" w:type="pct"/>
            <w:tcBorders>
              <w:left w:val="single" w:sz="8" w:space="0" w:color="FFFFFF"/>
              <w:bottom w:val="single" w:sz="4" w:space="0" w:color="C0C0C0"/>
              <w:right w:val="single" w:sz="8" w:space="0" w:color="FFFFFF"/>
            </w:tcBorders>
            <w:shd w:val="clear" w:color="auto" w:fill="auto"/>
            <w:vAlign w:val="bottom"/>
          </w:tcPr>
          <w:p w14:paraId="038A40B3" w14:textId="77777777" w:rsidR="00023312" w:rsidRPr="00563292" w:rsidRDefault="00023312" w:rsidP="001A5D4A">
            <w:pPr>
              <w:pStyle w:val="NotesTable-HeadPlain"/>
              <w:rPr>
                <w:b/>
              </w:rPr>
            </w:pPr>
            <w:r w:rsidRPr="00563292">
              <w:t>$'000</w:t>
            </w:r>
          </w:p>
        </w:tc>
      </w:tr>
      <w:tr w:rsidR="00023312" w14:paraId="038A40BD" w14:textId="77777777" w:rsidTr="00DF3D95">
        <w:trPr>
          <w:trHeight w:val="225"/>
        </w:trPr>
        <w:tc>
          <w:tcPr>
            <w:tcW w:w="1593" w:type="pct"/>
            <w:tcBorders>
              <w:top w:val="single" w:sz="4" w:space="0" w:color="C0C0C0"/>
            </w:tcBorders>
            <w:vAlign w:val="bottom"/>
          </w:tcPr>
          <w:p w14:paraId="038A40B5" w14:textId="77777777" w:rsidR="00023312" w:rsidRDefault="00023312" w:rsidP="001A5D4A">
            <w:pPr>
              <w:pStyle w:val="NotesTable-ItemBold"/>
            </w:pPr>
            <w:r>
              <w:t>Financial assets</w:t>
            </w:r>
          </w:p>
        </w:tc>
        <w:tc>
          <w:tcPr>
            <w:tcW w:w="487" w:type="pct"/>
            <w:tcBorders>
              <w:top w:val="single" w:sz="4" w:space="0" w:color="C0C0C0"/>
              <w:left w:val="single" w:sz="4" w:space="0" w:color="C0C0C0"/>
            </w:tcBorders>
            <w:vAlign w:val="bottom"/>
          </w:tcPr>
          <w:p w14:paraId="038A40B6"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B7"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B8"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B9"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BA" w14:textId="77777777" w:rsidR="00023312" w:rsidRDefault="00023312" w:rsidP="001A5D4A">
            <w:pPr>
              <w:pStyle w:val="NotesTable-CellPlain"/>
            </w:pPr>
          </w:p>
        </w:tc>
        <w:tc>
          <w:tcPr>
            <w:tcW w:w="487" w:type="pct"/>
            <w:tcBorders>
              <w:top w:val="single" w:sz="4" w:space="0" w:color="C0C0C0"/>
              <w:left w:val="single" w:sz="4" w:space="0" w:color="C0C0C0"/>
            </w:tcBorders>
            <w:vAlign w:val="bottom"/>
          </w:tcPr>
          <w:p w14:paraId="038A40BB" w14:textId="77777777" w:rsidR="00023312" w:rsidRDefault="00023312" w:rsidP="001A5D4A">
            <w:pPr>
              <w:pStyle w:val="NotesTable-CellPlain"/>
            </w:pPr>
          </w:p>
        </w:tc>
        <w:tc>
          <w:tcPr>
            <w:tcW w:w="485" w:type="pct"/>
            <w:tcBorders>
              <w:top w:val="single" w:sz="4" w:space="0" w:color="C0C0C0"/>
              <w:left w:val="single" w:sz="4" w:space="0" w:color="C0C0C0"/>
              <w:right w:val="single" w:sz="4" w:space="0" w:color="C0C0C0"/>
            </w:tcBorders>
            <w:vAlign w:val="bottom"/>
          </w:tcPr>
          <w:p w14:paraId="038A40BC" w14:textId="77777777" w:rsidR="00023312" w:rsidRDefault="00023312" w:rsidP="001A5D4A">
            <w:pPr>
              <w:pStyle w:val="NotesTable-CellPlain"/>
            </w:pPr>
          </w:p>
        </w:tc>
      </w:tr>
      <w:tr w:rsidR="0044788A" w14:paraId="038A40C6" w14:textId="77777777" w:rsidTr="00DF3D95">
        <w:trPr>
          <w:trHeight w:val="225"/>
        </w:trPr>
        <w:tc>
          <w:tcPr>
            <w:tcW w:w="1593" w:type="pct"/>
            <w:vAlign w:val="bottom"/>
          </w:tcPr>
          <w:p w14:paraId="038A40BE" w14:textId="77777777" w:rsidR="0044788A" w:rsidRDefault="0044788A" w:rsidP="001A5D4A">
            <w:pPr>
              <w:pStyle w:val="NotesTable-ItemPlain"/>
              <w:rPr>
                <w:b/>
              </w:rPr>
            </w:pPr>
            <w:r>
              <w:t>Cash and cash equivalents</w:t>
            </w:r>
          </w:p>
        </w:tc>
        <w:tc>
          <w:tcPr>
            <w:tcW w:w="487" w:type="pct"/>
            <w:tcBorders>
              <w:left w:val="single" w:sz="4" w:space="0" w:color="C0C0C0"/>
            </w:tcBorders>
          </w:tcPr>
          <w:p w14:paraId="038A40BF" w14:textId="77777777" w:rsidR="0044788A" w:rsidRDefault="0044788A" w:rsidP="001A5D4A">
            <w:pPr>
              <w:pStyle w:val="NotesTable-CellPlain"/>
            </w:pPr>
            <w:r>
              <w:t>–</w:t>
            </w:r>
          </w:p>
        </w:tc>
        <w:tc>
          <w:tcPr>
            <w:tcW w:w="487" w:type="pct"/>
            <w:tcBorders>
              <w:left w:val="single" w:sz="4" w:space="0" w:color="C0C0C0"/>
            </w:tcBorders>
          </w:tcPr>
          <w:p w14:paraId="038A40C0" w14:textId="77777777" w:rsidR="0044788A" w:rsidRDefault="0044788A" w:rsidP="001A5D4A">
            <w:pPr>
              <w:pStyle w:val="NotesTable-CellPlain"/>
              <w:rPr>
                <w:lang w:val="en-GB"/>
              </w:rPr>
            </w:pPr>
            <w:r>
              <w:t>–</w:t>
            </w:r>
          </w:p>
        </w:tc>
        <w:tc>
          <w:tcPr>
            <w:tcW w:w="487" w:type="pct"/>
            <w:tcBorders>
              <w:left w:val="single" w:sz="4" w:space="0" w:color="C0C0C0"/>
            </w:tcBorders>
          </w:tcPr>
          <w:p w14:paraId="038A40C1" w14:textId="77777777" w:rsidR="0044788A" w:rsidRDefault="0044788A" w:rsidP="001A5D4A">
            <w:pPr>
              <w:pStyle w:val="NotesTable-CellPlain"/>
              <w:rPr>
                <w:lang w:val="en-GB"/>
              </w:rPr>
            </w:pPr>
            <w:r>
              <w:t>–</w:t>
            </w:r>
          </w:p>
        </w:tc>
        <w:tc>
          <w:tcPr>
            <w:tcW w:w="487" w:type="pct"/>
            <w:tcBorders>
              <w:left w:val="single" w:sz="4" w:space="0" w:color="C0C0C0"/>
            </w:tcBorders>
          </w:tcPr>
          <w:p w14:paraId="038A40C2"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0C3" w14:textId="77777777" w:rsidR="0044788A" w:rsidRDefault="0044788A" w:rsidP="001A5D4A">
            <w:pPr>
              <w:pStyle w:val="NotesTable-CellPlain"/>
              <w:rPr>
                <w:lang w:val="en-GB"/>
              </w:rPr>
            </w:pPr>
            <w:r>
              <w:t>–</w:t>
            </w:r>
          </w:p>
        </w:tc>
        <w:tc>
          <w:tcPr>
            <w:tcW w:w="487" w:type="pct"/>
            <w:tcBorders>
              <w:left w:val="single" w:sz="4" w:space="0" w:color="C0C0C0"/>
            </w:tcBorders>
          </w:tcPr>
          <w:p w14:paraId="038A40C4"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0C5" w14:textId="77777777" w:rsidR="0044788A" w:rsidRDefault="0044788A" w:rsidP="001A5D4A">
            <w:pPr>
              <w:pStyle w:val="NotesTable-CellPlain"/>
              <w:rPr>
                <w:lang w:val="en-GB"/>
              </w:rPr>
            </w:pPr>
            <w:r>
              <w:t>–</w:t>
            </w:r>
          </w:p>
        </w:tc>
      </w:tr>
      <w:tr w:rsidR="0044788A" w14:paraId="038A40CF" w14:textId="77777777" w:rsidTr="00DF3D95">
        <w:trPr>
          <w:trHeight w:hRule="exact" w:val="227"/>
        </w:trPr>
        <w:tc>
          <w:tcPr>
            <w:tcW w:w="1593" w:type="pct"/>
            <w:vAlign w:val="bottom"/>
          </w:tcPr>
          <w:p w14:paraId="038A40C7" w14:textId="77777777" w:rsidR="0044788A" w:rsidRDefault="0044788A" w:rsidP="001A5D4A">
            <w:pPr>
              <w:pStyle w:val="NotesTable-ItemPlain"/>
              <w:rPr>
                <w:b/>
              </w:rPr>
            </w:pPr>
            <w:r>
              <w:t>Receivables</w:t>
            </w:r>
          </w:p>
        </w:tc>
        <w:tc>
          <w:tcPr>
            <w:tcW w:w="487" w:type="pct"/>
            <w:tcBorders>
              <w:left w:val="single" w:sz="4" w:space="0" w:color="C0C0C0"/>
            </w:tcBorders>
          </w:tcPr>
          <w:p w14:paraId="038A40C8" w14:textId="77777777" w:rsidR="0044788A" w:rsidRDefault="0044788A" w:rsidP="001A5D4A">
            <w:pPr>
              <w:pStyle w:val="NotesTable-CellPlain"/>
            </w:pPr>
            <w:r>
              <w:t>–</w:t>
            </w:r>
          </w:p>
        </w:tc>
        <w:tc>
          <w:tcPr>
            <w:tcW w:w="487" w:type="pct"/>
            <w:tcBorders>
              <w:left w:val="single" w:sz="4" w:space="0" w:color="C0C0C0"/>
            </w:tcBorders>
          </w:tcPr>
          <w:p w14:paraId="038A40C9" w14:textId="77777777" w:rsidR="0044788A" w:rsidRDefault="0044788A" w:rsidP="001A5D4A">
            <w:pPr>
              <w:pStyle w:val="NotesTable-CellPlain"/>
              <w:rPr>
                <w:lang w:val="en-GB"/>
              </w:rPr>
            </w:pPr>
            <w:r>
              <w:t>–</w:t>
            </w:r>
          </w:p>
        </w:tc>
        <w:tc>
          <w:tcPr>
            <w:tcW w:w="487" w:type="pct"/>
            <w:tcBorders>
              <w:left w:val="single" w:sz="4" w:space="0" w:color="C0C0C0"/>
            </w:tcBorders>
          </w:tcPr>
          <w:p w14:paraId="038A40CA" w14:textId="77777777" w:rsidR="0044788A" w:rsidRDefault="0044788A" w:rsidP="001A5D4A">
            <w:pPr>
              <w:pStyle w:val="NotesTable-CellPlain"/>
              <w:rPr>
                <w:lang w:val="en-GB"/>
              </w:rPr>
            </w:pPr>
            <w:r>
              <w:t>–</w:t>
            </w:r>
          </w:p>
        </w:tc>
        <w:tc>
          <w:tcPr>
            <w:tcW w:w="487" w:type="pct"/>
            <w:tcBorders>
              <w:left w:val="single" w:sz="4" w:space="0" w:color="C0C0C0"/>
            </w:tcBorders>
          </w:tcPr>
          <w:p w14:paraId="038A40CB"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0CC" w14:textId="77777777" w:rsidR="0044788A" w:rsidRDefault="0044788A" w:rsidP="001A5D4A">
            <w:pPr>
              <w:pStyle w:val="NotesTable-CellPlain"/>
              <w:rPr>
                <w:lang w:val="en-GB"/>
              </w:rPr>
            </w:pPr>
            <w:r>
              <w:t>–</w:t>
            </w:r>
          </w:p>
        </w:tc>
        <w:tc>
          <w:tcPr>
            <w:tcW w:w="487" w:type="pct"/>
            <w:tcBorders>
              <w:left w:val="single" w:sz="4" w:space="0" w:color="C0C0C0"/>
            </w:tcBorders>
          </w:tcPr>
          <w:p w14:paraId="038A40CD"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0CE" w14:textId="77777777" w:rsidR="0044788A" w:rsidRDefault="0044788A" w:rsidP="001A5D4A">
            <w:pPr>
              <w:pStyle w:val="NotesTable-CellPlain"/>
              <w:rPr>
                <w:lang w:val="en-GB"/>
              </w:rPr>
            </w:pPr>
            <w:r>
              <w:t>–</w:t>
            </w:r>
          </w:p>
        </w:tc>
      </w:tr>
      <w:tr w:rsidR="0044788A" w14:paraId="038A40D8" w14:textId="77777777" w:rsidTr="00DF3D95">
        <w:trPr>
          <w:trHeight w:val="225"/>
        </w:trPr>
        <w:tc>
          <w:tcPr>
            <w:tcW w:w="1593" w:type="pct"/>
            <w:vAlign w:val="bottom"/>
          </w:tcPr>
          <w:p w14:paraId="038A40D0" w14:textId="77777777" w:rsidR="0044788A" w:rsidRDefault="0044788A" w:rsidP="001A5D4A">
            <w:pPr>
              <w:pStyle w:val="NotesTable-ItemPlain"/>
              <w:rPr>
                <w:b/>
              </w:rPr>
            </w:pPr>
            <w:r>
              <w:t>Other financial assets</w:t>
            </w:r>
          </w:p>
        </w:tc>
        <w:tc>
          <w:tcPr>
            <w:tcW w:w="487" w:type="pct"/>
            <w:tcBorders>
              <w:left w:val="single" w:sz="4" w:space="0" w:color="C0C0C0"/>
            </w:tcBorders>
          </w:tcPr>
          <w:p w14:paraId="038A40D1" w14:textId="77777777" w:rsidR="0044788A" w:rsidRDefault="0044788A" w:rsidP="001A5D4A">
            <w:pPr>
              <w:pStyle w:val="NotesTable-CellPlain"/>
            </w:pPr>
            <w:r>
              <w:t>–</w:t>
            </w:r>
          </w:p>
        </w:tc>
        <w:tc>
          <w:tcPr>
            <w:tcW w:w="487" w:type="pct"/>
            <w:tcBorders>
              <w:left w:val="single" w:sz="4" w:space="0" w:color="C0C0C0"/>
            </w:tcBorders>
          </w:tcPr>
          <w:p w14:paraId="038A40D2" w14:textId="77777777" w:rsidR="0044788A" w:rsidRDefault="0044788A" w:rsidP="001A5D4A">
            <w:pPr>
              <w:pStyle w:val="NotesTable-CellPlain"/>
              <w:rPr>
                <w:lang w:val="en-GB"/>
              </w:rPr>
            </w:pPr>
            <w:r>
              <w:t>–</w:t>
            </w:r>
          </w:p>
        </w:tc>
        <w:tc>
          <w:tcPr>
            <w:tcW w:w="487" w:type="pct"/>
            <w:tcBorders>
              <w:left w:val="single" w:sz="4" w:space="0" w:color="C0C0C0"/>
            </w:tcBorders>
          </w:tcPr>
          <w:p w14:paraId="038A40D3" w14:textId="77777777" w:rsidR="0044788A" w:rsidRDefault="0044788A" w:rsidP="001A5D4A">
            <w:pPr>
              <w:pStyle w:val="NotesTable-CellPlain"/>
              <w:rPr>
                <w:lang w:val="en-GB"/>
              </w:rPr>
            </w:pPr>
            <w:r>
              <w:t>–</w:t>
            </w:r>
          </w:p>
        </w:tc>
        <w:tc>
          <w:tcPr>
            <w:tcW w:w="487" w:type="pct"/>
            <w:tcBorders>
              <w:left w:val="single" w:sz="4" w:space="0" w:color="C0C0C0"/>
            </w:tcBorders>
          </w:tcPr>
          <w:p w14:paraId="038A40D4"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0D5" w14:textId="77777777" w:rsidR="0044788A" w:rsidRDefault="0044788A" w:rsidP="001A5D4A">
            <w:pPr>
              <w:pStyle w:val="NotesTable-CellPlain"/>
              <w:rPr>
                <w:lang w:val="en-GB"/>
              </w:rPr>
            </w:pPr>
            <w:r>
              <w:t>–</w:t>
            </w:r>
          </w:p>
        </w:tc>
        <w:tc>
          <w:tcPr>
            <w:tcW w:w="487" w:type="pct"/>
            <w:tcBorders>
              <w:left w:val="single" w:sz="4" w:space="0" w:color="C0C0C0"/>
            </w:tcBorders>
          </w:tcPr>
          <w:p w14:paraId="038A40D6"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0D7" w14:textId="77777777" w:rsidR="0044788A" w:rsidRDefault="0044788A" w:rsidP="001A5D4A">
            <w:pPr>
              <w:pStyle w:val="NotesTable-CellPlain"/>
              <w:rPr>
                <w:lang w:val="en-GB"/>
              </w:rPr>
            </w:pPr>
            <w:r>
              <w:t>–</w:t>
            </w:r>
          </w:p>
        </w:tc>
      </w:tr>
      <w:tr w:rsidR="0044788A" w14:paraId="038A40E1" w14:textId="77777777" w:rsidTr="00DF3D95">
        <w:trPr>
          <w:trHeight w:hRule="exact" w:val="227"/>
        </w:trPr>
        <w:tc>
          <w:tcPr>
            <w:tcW w:w="1593" w:type="pct"/>
            <w:vAlign w:val="bottom"/>
          </w:tcPr>
          <w:p w14:paraId="038A40D9" w14:textId="77777777" w:rsidR="0044788A" w:rsidRDefault="0044788A" w:rsidP="001A5D4A">
            <w:pPr>
              <w:pStyle w:val="NotesTable-ItemPlain"/>
              <w:rPr>
                <w:b/>
              </w:rPr>
            </w:pPr>
            <w:r>
              <w:t>[Specify]</w:t>
            </w:r>
          </w:p>
        </w:tc>
        <w:tc>
          <w:tcPr>
            <w:tcW w:w="487" w:type="pct"/>
            <w:tcBorders>
              <w:left w:val="single" w:sz="4" w:space="0" w:color="C0C0C0"/>
              <w:bottom w:val="single" w:sz="4" w:space="0" w:color="auto"/>
            </w:tcBorders>
          </w:tcPr>
          <w:p w14:paraId="038A40DA" w14:textId="77777777" w:rsidR="0044788A" w:rsidRDefault="0044788A" w:rsidP="001A5D4A">
            <w:pPr>
              <w:pStyle w:val="NotesTable-CellPlain"/>
            </w:pPr>
            <w:r>
              <w:t>–</w:t>
            </w:r>
          </w:p>
        </w:tc>
        <w:tc>
          <w:tcPr>
            <w:tcW w:w="487" w:type="pct"/>
            <w:tcBorders>
              <w:left w:val="single" w:sz="4" w:space="0" w:color="C0C0C0"/>
              <w:bottom w:val="single" w:sz="4" w:space="0" w:color="auto"/>
            </w:tcBorders>
          </w:tcPr>
          <w:p w14:paraId="038A40DB"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0DC"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0DD" w14:textId="77777777" w:rsidR="0044788A" w:rsidRDefault="0044788A" w:rsidP="001A5D4A">
            <w:pPr>
              <w:pStyle w:val="NotesTable-CellPlain"/>
              <w:rPr>
                <w:lang w:val="en-GB"/>
              </w:rPr>
            </w:pPr>
            <w:r w:rsidRPr="00F33C1D">
              <w:t>–</w:t>
            </w:r>
          </w:p>
        </w:tc>
        <w:tc>
          <w:tcPr>
            <w:tcW w:w="487" w:type="pct"/>
            <w:tcBorders>
              <w:left w:val="single" w:sz="4" w:space="0" w:color="C0C0C0"/>
              <w:bottom w:val="single" w:sz="4" w:space="0" w:color="auto"/>
            </w:tcBorders>
          </w:tcPr>
          <w:p w14:paraId="038A40DE"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0DF" w14:textId="77777777" w:rsidR="0044788A" w:rsidRDefault="0044788A" w:rsidP="001A5D4A">
            <w:pPr>
              <w:pStyle w:val="NotesTable-CellPlain"/>
              <w:rPr>
                <w:lang w:val="en-GB"/>
              </w:rPr>
            </w:pPr>
            <w:r>
              <w:t>–</w:t>
            </w:r>
          </w:p>
        </w:tc>
        <w:tc>
          <w:tcPr>
            <w:tcW w:w="485" w:type="pct"/>
            <w:tcBorders>
              <w:left w:val="single" w:sz="4" w:space="0" w:color="C0C0C0"/>
              <w:bottom w:val="single" w:sz="4" w:space="0" w:color="auto"/>
              <w:right w:val="single" w:sz="4" w:space="0" w:color="C0C0C0"/>
            </w:tcBorders>
          </w:tcPr>
          <w:p w14:paraId="038A40E0" w14:textId="77777777" w:rsidR="0044788A" w:rsidRDefault="0044788A" w:rsidP="001A5D4A">
            <w:pPr>
              <w:pStyle w:val="NotesTable-CellPlain"/>
              <w:rPr>
                <w:lang w:val="en-GB"/>
              </w:rPr>
            </w:pPr>
            <w:r>
              <w:t>–</w:t>
            </w:r>
          </w:p>
        </w:tc>
      </w:tr>
      <w:tr w:rsidR="0044788A" w14:paraId="038A40EA" w14:textId="77777777" w:rsidTr="00DF3D95">
        <w:trPr>
          <w:trHeight w:val="225"/>
        </w:trPr>
        <w:tc>
          <w:tcPr>
            <w:tcW w:w="1593" w:type="pct"/>
            <w:vAlign w:val="bottom"/>
          </w:tcPr>
          <w:p w14:paraId="038A40E2" w14:textId="77777777" w:rsidR="0044788A" w:rsidRDefault="0044788A" w:rsidP="001A5D4A">
            <w:pPr>
              <w:pStyle w:val="NotesTable-ItemPlain"/>
              <w:rPr>
                <w:b/>
              </w:rPr>
            </w:pPr>
            <w:r>
              <w:t>Total financial assets</w:t>
            </w:r>
          </w:p>
        </w:tc>
        <w:tc>
          <w:tcPr>
            <w:tcW w:w="487" w:type="pct"/>
            <w:tcBorders>
              <w:top w:val="single" w:sz="4" w:space="0" w:color="auto"/>
              <w:left w:val="single" w:sz="4" w:space="0" w:color="C0C0C0"/>
            </w:tcBorders>
          </w:tcPr>
          <w:p w14:paraId="038A40E3" w14:textId="77777777" w:rsidR="0044788A" w:rsidRDefault="0044788A" w:rsidP="001A5D4A">
            <w:pPr>
              <w:pStyle w:val="NotesTable-CellPlain"/>
            </w:pPr>
            <w:r>
              <w:t>–</w:t>
            </w:r>
          </w:p>
        </w:tc>
        <w:tc>
          <w:tcPr>
            <w:tcW w:w="487" w:type="pct"/>
            <w:tcBorders>
              <w:top w:val="single" w:sz="4" w:space="0" w:color="auto"/>
              <w:left w:val="single" w:sz="4" w:space="0" w:color="C0C0C0"/>
            </w:tcBorders>
          </w:tcPr>
          <w:p w14:paraId="038A40E4"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0E5"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0E6" w14:textId="77777777" w:rsidR="0044788A" w:rsidRDefault="0044788A" w:rsidP="001A5D4A">
            <w:pPr>
              <w:pStyle w:val="NotesTable-CellPlain"/>
            </w:pPr>
            <w:r w:rsidRPr="00F33C1D">
              <w:t>–</w:t>
            </w:r>
          </w:p>
        </w:tc>
        <w:tc>
          <w:tcPr>
            <w:tcW w:w="487" w:type="pct"/>
            <w:tcBorders>
              <w:top w:val="single" w:sz="4" w:space="0" w:color="auto"/>
              <w:left w:val="single" w:sz="4" w:space="0" w:color="C0C0C0"/>
            </w:tcBorders>
          </w:tcPr>
          <w:p w14:paraId="038A40E7"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0E8" w14:textId="77777777" w:rsidR="0044788A" w:rsidRDefault="0044788A" w:rsidP="001A5D4A">
            <w:pPr>
              <w:pStyle w:val="NotesTable-CellPlain"/>
              <w:rPr>
                <w:lang w:val="en-GB"/>
              </w:rPr>
            </w:pPr>
            <w:r>
              <w:t>–</w:t>
            </w:r>
          </w:p>
        </w:tc>
        <w:tc>
          <w:tcPr>
            <w:tcW w:w="485" w:type="pct"/>
            <w:tcBorders>
              <w:top w:val="single" w:sz="4" w:space="0" w:color="auto"/>
              <w:left w:val="single" w:sz="4" w:space="0" w:color="C0C0C0"/>
              <w:right w:val="single" w:sz="4" w:space="0" w:color="C0C0C0"/>
            </w:tcBorders>
          </w:tcPr>
          <w:p w14:paraId="038A40E9" w14:textId="77777777" w:rsidR="0044788A" w:rsidRDefault="0044788A" w:rsidP="001A5D4A">
            <w:pPr>
              <w:pStyle w:val="NotesTable-CellPlain"/>
              <w:rPr>
                <w:lang w:val="en-GB"/>
              </w:rPr>
            </w:pPr>
            <w:r>
              <w:t>–</w:t>
            </w:r>
          </w:p>
        </w:tc>
      </w:tr>
      <w:tr w:rsidR="00023312" w14:paraId="038A40F3" w14:textId="77777777" w:rsidTr="00DF3D95">
        <w:trPr>
          <w:trHeight w:hRule="exact" w:val="227"/>
        </w:trPr>
        <w:tc>
          <w:tcPr>
            <w:tcW w:w="1593" w:type="pct"/>
            <w:vAlign w:val="bottom"/>
          </w:tcPr>
          <w:p w14:paraId="038A40EB" w14:textId="77777777" w:rsidR="00023312" w:rsidRDefault="00023312" w:rsidP="001A5D4A">
            <w:pPr>
              <w:pStyle w:val="NotesTable-ItemPlain"/>
            </w:pPr>
          </w:p>
        </w:tc>
        <w:tc>
          <w:tcPr>
            <w:tcW w:w="487" w:type="pct"/>
            <w:vAlign w:val="bottom"/>
          </w:tcPr>
          <w:p w14:paraId="038A40EC" w14:textId="77777777" w:rsidR="00023312" w:rsidRDefault="00023312" w:rsidP="001A5D4A">
            <w:pPr>
              <w:pStyle w:val="NotesTable-CellPlain"/>
            </w:pPr>
          </w:p>
        </w:tc>
        <w:tc>
          <w:tcPr>
            <w:tcW w:w="487" w:type="pct"/>
            <w:vAlign w:val="bottom"/>
          </w:tcPr>
          <w:p w14:paraId="038A40ED" w14:textId="77777777" w:rsidR="00023312" w:rsidRDefault="00023312" w:rsidP="001A5D4A">
            <w:pPr>
              <w:pStyle w:val="NotesTable-CellPlain"/>
            </w:pPr>
          </w:p>
        </w:tc>
        <w:tc>
          <w:tcPr>
            <w:tcW w:w="487" w:type="pct"/>
            <w:vAlign w:val="bottom"/>
          </w:tcPr>
          <w:p w14:paraId="038A40EE" w14:textId="77777777" w:rsidR="00023312" w:rsidRDefault="00023312" w:rsidP="001A5D4A">
            <w:pPr>
              <w:pStyle w:val="NotesTable-CellPlain"/>
            </w:pPr>
          </w:p>
        </w:tc>
        <w:tc>
          <w:tcPr>
            <w:tcW w:w="487" w:type="pct"/>
            <w:vAlign w:val="bottom"/>
          </w:tcPr>
          <w:p w14:paraId="038A40EF" w14:textId="77777777" w:rsidR="00023312" w:rsidRDefault="00023312" w:rsidP="001A5D4A">
            <w:pPr>
              <w:pStyle w:val="NotesTable-CellPlain"/>
            </w:pPr>
          </w:p>
        </w:tc>
        <w:tc>
          <w:tcPr>
            <w:tcW w:w="487" w:type="pct"/>
            <w:vAlign w:val="bottom"/>
          </w:tcPr>
          <w:p w14:paraId="038A40F0" w14:textId="77777777" w:rsidR="00023312" w:rsidRDefault="00023312" w:rsidP="001A5D4A">
            <w:pPr>
              <w:pStyle w:val="NotesTable-CellPlain"/>
            </w:pPr>
          </w:p>
        </w:tc>
        <w:tc>
          <w:tcPr>
            <w:tcW w:w="487" w:type="pct"/>
            <w:vAlign w:val="bottom"/>
          </w:tcPr>
          <w:p w14:paraId="038A40F1" w14:textId="77777777" w:rsidR="00023312" w:rsidRDefault="00023312" w:rsidP="001A5D4A">
            <w:pPr>
              <w:pStyle w:val="NotesTable-CellPlain"/>
            </w:pPr>
          </w:p>
        </w:tc>
        <w:tc>
          <w:tcPr>
            <w:tcW w:w="485" w:type="pct"/>
            <w:vAlign w:val="bottom"/>
          </w:tcPr>
          <w:p w14:paraId="038A40F2" w14:textId="77777777" w:rsidR="00023312" w:rsidRDefault="00023312" w:rsidP="001A5D4A">
            <w:pPr>
              <w:pStyle w:val="NotesTable-CellPlain"/>
            </w:pPr>
          </w:p>
        </w:tc>
      </w:tr>
      <w:tr w:rsidR="00023312" w14:paraId="038A40FC" w14:textId="77777777" w:rsidTr="00DF3D95">
        <w:trPr>
          <w:trHeight w:val="225"/>
        </w:trPr>
        <w:tc>
          <w:tcPr>
            <w:tcW w:w="1593" w:type="pct"/>
            <w:vAlign w:val="bottom"/>
          </w:tcPr>
          <w:p w14:paraId="038A40F4" w14:textId="77777777" w:rsidR="00023312" w:rsidRDefault="00023312" w:rsidP="001A5D4A">
            <w:pPr>
              <w:pStyle w:val="NotesTable-ItemBold"/>
            </w:pPr>
            <w:r>
              <w:t>Financial liabilities</w:t>
            </w:r>
          </w:p>
        </w:tc>
        <w:tc>
          <w:tcPr>
            <w:tcW w:w="487" w:type="pct"/>
            <w:tcBorders>
              <w:left w:val="single" w:sz="4" w:space="0" w:color="C0C0C0"/>
            </w:tcBorders>
            <w:vAlign w:val="bottom"/>
          </w:tcPr>
          <w:p w14:paraId="038A40F5" w14:textId="77777777" w:rsidR="00023312" w:rsidRDefault="00023312" w:rsidP="001A5D4A">
            <w:pPr>
              <w:pStyle w:val="NotesTable-CellPlain"/>
            </w:pPr>
          </w:p>
        </w:tc>
        <w:tc>
          <w:tcPr>
            <w:tcW w:w="487" w:type="pct"/>
            <w:tcBorders>
              <w:left w:val="single" w:sz="4" w:space="0" w:color="C0C0C0"/>
            </w:tcBorders>
            <w:vAlign w:val="bottom"/>
          </w:tcPr>
          <w:p w14:paraId="038A40F6" w14:textId="77777777" w:rsidR="00023312" w:rsidRDefault="00023312" w:rsidP="001A5D4A">
            <w:pPr>
              <w:pStyle w:val="NotesTable-CellPlain"/>
            </w:pPr>
          </w:p>
        </w:tc>
        <w:tc>
          <w:tcPr>
            <w:tcW w:w="487" w:type="pct"/>
            <w:tcBorders>
              <w:left w:val="single" w:sz="4" w:space="0" w:color="C0C0C0"/>
            </w:tcBorders>
            <w:vAlign w:val="bottom"/>
          </w:tcPr>
          <w:p w14:paraId="038A40F7" w14:textId="77777777" w:rsidR="00023312" w:rsidRDefault="00023312" w:rsidP="001A5D4A">
            <w:pPr>
              <w:pStyle w:val="NotesTable-CellPlain"/>
            </w:pPr>
          </w:p>
        </w:tc>
        <w:tc>
          <w:tcPr>
            <w:tcW w:w="487" w:type="pct"/>
            <w:tcBorders>
              <w:left w:val="single" w:sz="4" w:space="0" w:color="C0C0C0"/>
            </w:tcBorders>
            <w:vAlign w:val="bottom"/>
          </w:tcPr>
          <w:p w14:paraId="038A40F8" w14:textId="77777777" w:rsidR="00023312" w:rsidRDefault="00023312" w:rsidP="001A5D4A">
            <w:pPr>
              <w:pStyle w:val="NotesTable-CellPlain"/>
            </w:pPr>
          </w:p>
        </w:tc>
        <w:tc>
          <w:tcPr>
            <w:tcW w:w="487" w:type="pct"/>
            <w:tcBorders>
              <w:left w:val="single" w:sz="4" w:space="0" w:color="C0C0C0"/>
            </w:tcBorders>
            <w:vAlign w:val="bottom"/>
          </w:tcPr>
          <w:p w14:paraId="038A40F9" w14:textId="77777777" w:rsidR="00023312" w:rsidRDefault="00023312" w:rsidP="001A5D4A">
            <w:pPr>
              <w:pStyle w:val="NotesTable-CellPlain"/>
            </w:pPr>
          </w:p>
        </w:tc>
        <w:tc>
          <w:tcPr>
            <w:tcW w:w="487" w:type="pct"/>
            <w:tcBorders>
              <w:left w:val="single" w:sz="4" w:space="0" w:color="C0C0C0"/>
            </w:tcBorders>
            <w:vAlign w:val="bottom"/>
          </w:tcPr>
          <w:p w14:paraId="038A40FA" w14:textId="77777777" w:rsidR="00023312" w:rsidRDefault="00023312" w:rsidP="001A5D4A">
            <w:pPr>
              <w:pStyle w:val="NotesTable-CellPlain"/>
            </w:pPr>
          </w:p>
        </w:tc>
        <w:tc>
          <w:tcPr>
            <w:tcW w:w="485" w:type="pct"/>
            <w:tcBorders>
              <w:left w:val="single" w:sz="4" w:space="0" w:color="C0C0C0"/>
              <w:right w:val="single" w:sz="4" w:space="0" w:color="C0C0C0"/>
            </w:tcBorders>
            <w:vAlign w:val="bottom"/>
          </w:tcPr>
          <w:p w14:paraId="038A40FB" w14:textId="77777777" w:rsidR="00023312" w:rsidRDefault="00023312" w:rsidP="001A5D4A">
            <w:pPr>
              <w:pStyle w:val="NotesTable-CellPlain"/>
            </w:pPr>
          </w:p>
        </w:tc>
      </w:tr>
      <w:tr w:rsidR="0044788A" w14:paraId="038A4105" w14:textId="77777777" w:rsidTr="00DF3D95">
        <w:trPr>
          <w:trHeight w:hRule="exact" w:val="227"/>
        </w:trPr>
        <w:tc>
          <w:tcPr>
            <w:tcW w:w="1593" w:type="pct"/>
            <w:vAlign w:val="bottom"/>
          </w:tcPr>
          <w:p w14:paraId="038A40FD" w14:textId="77777777" w:rsidR="0044788A" w:rsidRDefault="0044788A" w:rsidP="001A5D4A">
            <w:pPr>
              <w:pStyle w:val="NotesTable-ItemPlain"/>
              <w:rPr>
                <w:b/>
              </w:rPr>
            </w:pPr>
            <w:r>
              <w:t>Payables</w:t>
            </w:r>
          </w:p>
        </w:tc>
        <w:tc>
          <w:tcPr>
            <w:tcW w:w="487" w:type="pct"/>
            <w:tcBorders>
              <w:left w:val="single" w:sz="4" w:space="0" w:color="C0C0C0"/>
            </w:tcBorders>
          </w:tcPr>
          <w:p w14:paraId="038A40FE" w14:textId="77777777" w:rsidR="0044788A" w:rsidRDefault="0044788A" w:rsidP="001A5D4A">
            <w:pPr>
              <w:pStyle w:val="NotesTable-CellPlain"/>
            </w:pPr>
            <w:r>
              <w:t>–</w:t>
            </w:r>
          </w:p>
        </w:tc>
        <w:tc>
          <w:tcPr>
            <w:tcW w:w="487" w:type="pct"/>
            <w:tcBorders>
              <w:left w:val="single" w:sz="4" w:space="0" w:color="C0C0C0"/>
            </w:tcBorders>
          </w:tcPr>
          <w:p w14:paraId="038A40FF" w14:textId="77777777" w:rsidR="0044788A" w:rsidRDefault="0044788A" w:rsidP="001A5D4A">
            <w:pPr>
              <w:pStyle w:val="NotesTable-CellPlain"/>
              <w:rPr>
                <w:lang w:val="en-GB"/>
              </w:rPr>
            </w:pPr>
            <w:r>
              <w:t>–</w:t>
            </w:r>
          </w:p>
        </w:tc>
        <w:tc>
          <w:tcPr>
            <w:tcW w:w="487" w:type="pct"/>
            <w:tcBorders>
              <w:left w:val="single" w:sz="4" w:space="0" w:color="C0C0C0"/>
            </w:tcBorders>
          </w:tcPr>
          <w:p w14:paraId="038A4100" w14:textId="77777777" w:rsidR="0044788A" w:rsidRDefault="0044788A" w:rsidP="001A5D4A">
            <w:pPr>
              <w:pStyle w:val="NotesTable-CellPlain"/>
              <w:rPr>
                <w:lang w:val="en-GB"/>
              </w:rPr>
            </w:pPr>
            <w:r>
              <w:t>–</w:t>
            </w:r>
          </w:p>
        </w:tc>
        <w:tc>
          <w:tcPr>
            <w:tcW w:w="487" w:type="pct"/>
            <w:tcBorders>
              <w:left w:val="single" w:sz="4" w:space="0" w:color="C0C0C0"/>
            </w:tcBorders>
          </w:tcPr>
          <w:p w14:paraId="038A4101"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102" w14:textId="77777777" w:rsidR="0044788A" w:rsidRDefault="0044788A" w:rsidP="001A5D4A">
            <w:pPr>
              <w:pStyle w:val="NotesTable-CellPlain"/>
              <w:rPr>
                <w:lang w:val="en-GB"/>
              </w:rPr>
            </w:pPr>
            <w:r>
              <w:t>–</w:t>
            </w:r>
          </w:p>
        </w:tc>
        <w:tc>
          <w:tcPr>
            <w:tcW w:w="487" w:type="pct"/>
            <w:tcBorders>
              <w:left w:val="single" w:sz="4" w:space="0" w:color="C0C0C0"/>
            </w:tcBorders>
          </w:tcPr>
          <w:p w14:paraId="038A4103"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104" w14:textId="77777777" w:rsidR="0044788A" w:rsidRDefault="0044788A" w:rsidP="001A5D4A">
            <w:pPr>
              <w:pStyle w:val="NotesTable-CellPlain"/>
              <w:rPr>
                <w:lang w:val="en-GB"/>
              </w:rPr>
            </w:pPr>
            <w:r>
              <w:t>–</w:t>
            </w:r>
          </w:p>
        </w:tc>
      </w:tr>
      <w:tr w:rsidR="0044788A" w14:paraId="038A410E" w14:textId="77777777" w:rsidTr="00DF3D95">
        <w:trPr>
          <w:trHeight w:hRule="exact" w:val="227"/>
        </w:trPr>
        <w:tc>
          <w:tcPr>
            <w:tcW w:w="1593" w:type="pct"/>
            <w:vAlign w:val="bottom"/>
          </w:tcPr>
          <w:p w14:paraId="038A4106" w14:textId="77777777" w:rsidR="0044788A" w:rsidRDefault="0044788A" w:rsidP="001A5D4A">
            <w:pPr>
              <w:pStyle w:val="NotesTable-ItemPlain"/>
              <w:rPr>
                <w:b/>
              </w:rPr>
            </w:pPr>
            <w:r>
              <w:t>Borrowings</w:t>
            </w:r>
          </w:p>
        </w:tc>
        <w:tc>
          <w:tcPr>
            <w:tcW w:w="487" w:type="pct"/>
            <w:tcBorders>
              <w:left w:val="single" w:sz="4" w:space="0" w:color="C0C0C0"/>
            </w:tcBorders>
          </w:tcPr>
          <w:p w14:paraId="038A4107" w14:textId="77777777" w:rsidR="0044788A" w:rsidRDefault="0044788A" w:rsidP="001A5D4A">
            <w:pPr>
              <w:pStyle w:val="NotesTable-CellPlain"/>
            </w:pPr>
            <w:r>
              <w:t>–</w:t>
            </w:r>
          </w:p>
        </w:tc>
        <w:tc>
          <w:tcPr>
            <w:tcW w:w="487" w:type="pct"/>
            <w:tcBorders>
              <w:left w:val="single" w:sz="4" w:space="0" w:color="C0C0C0"/>
            </w:tcBorders>
          </w:tcPr>
          <w:p w14:paraId="038A4108" w14:textId="77777777" w:rsidR="0044788A" w:rsidRDefault="0044788A" w:rsidP="001A5D4A">
            <w:pPr>
              <w:pStyle w:val="NotesTable-CellPlain"/>
              <w:rPr>
                <w:lang w:val="en-GB"/>
              </w:rPr>
            </w:pPr>
            <w:r>
              <w:t>–</w:t>
            </w:r>
          </w:p>
        </w:tc>
        <w:tc>
          <w:tcPr>
            <w:tcW w:w="487" w:type="pct"/>
            <w:tcBorders>
              <w:left w:val="single" w:sz="4" w:space="0" w:color="C0C0C0"/>
            </w:tcBorders>
          </w:tcPr>
          <w:p w14:paraId="038A4109" w14:textId="77777777" w:rsidR="0044788A" w:rsidRDefault="0044788A" w:rsidP="001A5D4A">
            <w:pPr>
              <w:pStyle w:val="NotesTable-CellPlain"/>
              <w:rPr>
                <w:lang w:val="en-GB"/>
              </w:rPr>
            </w:pPr>
            <w:r>
              <w:t>–</w:t>
            </w:r>
          </w:p>
        </w:tc>
        <w:tc>
          <w:tcPr>
            <w:tcW w:w="487" w:type="pct"/>
            <w:tcBorders>
              <w:left w:val="single" w:sz="4" w:space="0" w:color="C0C0C0"/>
            </w:tcBorders>
          </w:tcPr>
          <w:p w14:paraId="038A410A"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10B" w14:textId="77777777" w:rsidR="0044788A" w:rsidRDefault="0044788A" w:rsidP="001A5D4A">
            <w:pPr>
              <w:pStyle w:val="NotesTable-CellPlain"/>
              <w:rPr>
                <w:lang w:val="en-GB"/>
              </w:rPr>
            </w:pPr>
            <w:r>
              <w:t>–</w:t>
            </w:r>
          </w:p>
        </w:tc>
        <w:tc>
          <w:tcPr>
            <w:tcW w:w="487" w:type="pct"/>
            <w:tcBorders>
              <w:left w:val="single" w:sz="4" w:space="0" w:color="C0C0C0"/>
            </w:tcBorders>
          </w:tcPr>
          <w:p w14:paraId="038A410C"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10D" w14:textId="77777777" w:rsidR="0044788A" w:rsidRDefault="0044788A" w:rsidP="001A5D4A">
            <w:pPr>
              <w:pStyle w:val="NotesTable-CellPlain"/>
              <w:rPr>
                <w:lang w:val="en-GB"/>
              </w:rPr>
            </w:pPr>
            <w:r>
              <w:t>–</w:t>
            </w:r>
          </w:p>
        </w:tc>
      </w:tr>
      <w:tr w:rsidR="0044788A" w14:paraId="038A4117" w14:textId="77777777" w:rsidTr="00DF3D95">
        <w:trPr>
          <w:trHeight w:hRule="exact" w:val="227"/>
        </w:trPr>
        <w:tc>
          <w:tcPr>
            <w:tcW w:w="1593" w:type="pct"/>
            <w:vAlign w:val="bottom"/>
          </w:tcPr>
          <w:p w14:paraId="038A410F" w14:textId="77777777" w:rsidR="0044788A" w:rsidRDefault="0044788A" w:rsidP="001A5D4A">
            <w:pPr>
              <w:pStyle w:val="NotesTable-ItemPlain"/>
              <w:rPr>
                <w:b/>
              </w:rPr>
            </w:pPr>
            <w:r>
              <w:t>Other financial liabilities</w:t>
            </w:r>
          </w:p>
        </w:tc>
        <w:tc>
          <w:tcPr>
            <w:tcW w:w="487" w:type="pct"/>
            <w:tcBorders>
              <w:left w:val="single" w:sz="4" w:space="0" w:color="C0C0C0"/>
            </w:tcBorders>
          </w:tcPr>
          <w:p w14:paraId="038A4110" w14:textId="77777777" w:rsidR="0044788A" w:rsidRDefault="0044788A" w:rsidP="001A5D4A">
            <w:pPr>
              <w:pStyle w:val="NotesTable-CellPlain"/>
            </w:pPr>
            <w:r>
              <w:t>–</w:t>
            </w:r>
          </w:p>
        </w:tc>
        <w:tc>
          <w:tcPr>
            <w:tcW w:w="487" w:type="pct"/>
            <w:tcBorders>
              <w:left w:val="single" w:sz="4" w:space="0" w:color="C0C0C0"/>
            </w:tcBorders>
          </w:tcPr>
          <w:p w14:paraId="038A4111" w14:textId="77777777" w:rsidR="0044788A" w:rsidRDefault="0044788A" w:rsidP="001A5D4A">
            <w:pPr>
              <w:pStyle w:val="NotesTable-CellPlain"/>
              <w:rPr>
                <w:lang w:val="en-GB"/>
              </w:rPr>
            </w:pPr>
            <w:r>
              <w:t>–</w:t>
            </w:r>
          </w:p>
        </w:tc>
        <w:tc>
          <w:tcPr>
            <w:tcW w:w="487" w:type="pct"/>
            <w:tcBorders>
              <w:left w:val="single" w:sz="4" w:space="0" w:color="C0C0C0"/>
            </w:tcBorders>
          </w:tcPr>
          <w:p w14:paraId="038A4112" w14:textId="77777777" w:rsidR="0044788A" w:rsidRDefault="0044788A" w:rsidP="001A5D4A">
            <w:pPr>
              <w:pStyle w:val="NotesTable-CellPlain"/>
              <w:rPr>
                <w:lang w:val="en-GB"/>
              </w:rPr>
            </w:pPr>
            <w:r>
              <w:t>–</w:t>
            </w:r>
          </w:p>
        </w:tc>
        <w:tc>
          <w:tcPr>
            <w:tcW w:w="487" w:type="pct"/>
            <w:tcBorders>
              <w:left w:val="single" w:sz="4" w:space="0" w:color="C0C0C0"/>
            </w:tcBorders>
          </w:tcPr>
          <w:p w14:paraId="038A4113" w14:textId="77777777" w:rsidR="0044788A" w:rsidRDefault="0044788A" w:rsidP="001A5D4A">
            <w:pPr>
              <w:pStyle w:val="NotesTable-CellPlain"/>
              <w:rPr>
                <w:lang w:val="en-GB"/>
              </w:rPr>
            </w:pPr>
            <w:r w:rsidRPr="00F33C1D">
              <w:t>–</w:t>
            </w:r>
          </w:p>
        </w:tc>
        <w:tc>
          <w:tcPr>
            <w:tcW w:w="487" w:type="pct"/>
            <w:tcBorders>
              <w:left w:val="single" w:sz="4" w:space="0" w:color="C0C0C0"/>
            </w:tcBorders>
          </w:tcPr>
          <w:p w14:paraId="038A4114" w14:textId="77777777" w:rsidR="0044788A" w:rsidRDefault="0044788A" w:rsidP="001A5D4A">
            <w:pPr>
              <w:pStyle w:val="NotesTable-CellPlain"/>
              <w:rPr>
                <w:lang w:val="en-GB"/>
              </w:rPr>
            </w:pPr>
            <w:r>
              <w:t>–</w:t>
            </w:r>
          </w:p>
        </w:tc>
        <w:tc>
          <w:tcPr>
            <w:tcW w:w="487" w:type="pct"/>
            <w:tcBorders>
              <w:left w:val="single" w:sz="4" w:space="0" w:color="C0C0C0"/>
            </w:tcBorders>
          </w:tcPr>
          <w:p w14:paraId="038A4115" w14:textId="77777777" w:rsidR="0044788A" w:rsidRDefault="0044788A" w:rsidP="001A5D4A">
            <w:pPr>
              <w:pStyle w:val="NotesTable-CellPlain"/>
              <w:rPr>
                <w:lang w:val="en-GB"/>
              </w:rPr>
            </w:pPr>
            <w:r>
              <w:t>–</w:t>
            </w:r>
          </w:p>
        </w:tc>
        <w:tc>
          <w:tcPr>
            <w:tcW w:w="485" w:type="pct"/>
            <w:tcBorders>
              <w:left w:val="single" w:sz="4" w:space="0" w:color="C0C0C0"/>
              <w:right w:val="single" w:sz="4" w:space="0" w:color="C0C0C0"/>
            </w:tcBorders>
          </w:tcPr>
          <w:p w14:paraId="038A4116" w14:textId="77777777" w:rsidR="0044788A" w:rsidRDefault="0044788A" w:rsidP="001A5D4A">
            <w:pPr>
              <w:pStyle w:val="NotesTable-CellPlain"/>
              <w:rPr>
                <w:lang w:val="en-GB"/>
              </w:rPr>
            </w:pPr>
            <w:r>
              <w:t>–</w:t>
            </w:r>
          </w:p>
        </w:tc>
      </w:tr>
      <w:tr w:rsidR="0044788A" w14:paraId="038A4120" w14:textId="77777777" w:rsidTr="00DF3D95">
        <w:trPr>
          <w:trHeight w:hRule="exact" w:val="227"/>
        </w:trPr>
        <w:tc>
          <w:tcPr>
            <w:tcW w:w="1593" w:type="pct"/>
            <w:vAlign w:val="bottom"/>
          </w:tcPr>
          <w:p w14:paraId="038A4118" w14:textId="77777777" w:rsidR="0044788A" w:rsidRDefault="0044788A" w:rsidP="001A5D4A">
            <w:pPr>
              <w:pStyle w:val="NotesTable-ItemPlain"/>
              <w:rPr>
                <w:b/>
              </w:rPr>
            </w:pPr>
            <w:r>
              <w:t>[Specify]</w:t>
            </w:r>
          </w:p>
        </w:tc>
        <w:tc>
          <w:tcPr>
            <w:tcW w:w="487" w:type="pct"/>
            <w:tcBorders>
              <w:left w:val="single" w:sz="4" w:space="0" w:color="C0C0C0"/>
              <w:bottom w:val="single" w:sz="4" w:space="0" w:color="auto"/>
            </w:tcBorders>
          </w:tcPr>
          <w:p w14:paraId="038A4119" w14:textId="77777777" w:rsidR="0044788A" w:rsidRDefault="0044788A" w:rsidP="001A5D4A">
            <w:pPr>
              <w:pStyle w:val="NotesTable-CellPlain"/>
            </w:pPr>
            <w:r>
              <w:t>–</w:t>
            </w:r>
          </w:p>
        </w:tc>
        <w:tc>
          <w:tcPr>
            <w:tcW w:w="487" w:type="pct"/>
            <w:tcBorders>
              <w:left w:val="single" w:sz="4" w:space="0" w:color="C0C0C0"/>
              <w:bottom w:val="single" w:sz="4" w:space="0" w:color="auto"/>
            </w:tcBorders>
          </w:tcPr>
          <w:p w14:paraId="038A411A"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11B"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11C" w14:textId="77777777" w:rsidR="0044788A" w:rsidRDefault="0044788A" w:rsidP="001A5D4A">
            <w:pPr>
              <w:pStyle w:val="NotesTable-CellPlain"/>
              <w:rPr>
                <w:lang w:val="en-GB"/>
              </w:rPr>
            </w:pPr>
            <w:r w:rsidRPr="00F33C1D">
              <w:t>–</w:t>
            </w:r>
          </w:p>
        </w:tc>
        <w:tc>
          <w:tcPr>
            <w:tcW w:w="487" w:type="pct"/>
            <w:tcBorders>
              <w:left w:val="single" w:sz="4" w:space="0" w:color="C0C0C0"/>
              <w:bottom w:val="single" w:sz="4" w:space="0" w:color="auto"/>
            </w:tcBorders>
          </w:tcPr>
          <w:p w14:paraId="038A411D" w14:textId="77777777" w:rsidR="0044788A" w:rsidRDefault="0044788A" w:rsidP="001A5D4A">
            <w:pPr>
              <w:pStyle w:val="NotesTable-CellPlain"/>
              <w:rPr>
                <w:lang w:val="en-GB"/>
              </w:rPr>
            </w:pPr>
            <w:r>
              <w:t>–</w:t>
            </w:r>
          </w:p>
        </w:tc>
        <w:tc>
          <w:tcPr>
            <w:tcW w:w="487" w:type="pct"/>
            <w:tcBorders>
              <w:left w:val="single" w:sz="4" w:space="0" w:color="C0C0C0"/>
              <w:bottom w:val="single" w:sz="4" w:space="0" w:color="auto"/>
            </w:tcBorders>
          </w:tcPr>
          <w:p w14:paraId="038A411E" w14:textId="77777777" w:rsidR="0044788A" w:rsidRDefault="0044788A" w:rsidP="001A5D4A">
            <w:pPr>
              <w:pStyle w:val="NotesTable-CellPlain"/>
              <w:rPr>
                <w:lang w:val="en-GB"/>
              </w:rPr>
            </w:pPr>
            <w:r>
              <w:t>–</w:t>
            </w:r>
          </w:p>
        </w:tc>
        <w:tc>
          <w:tcPr>
            <w:tcW w:w="485" w:type="pct"/>
            <w:tcBorders>
              <w:left w:val="single" w:sz="4" w:space="0" w:color="C0C0C0"/>
              <w:bottom w:val="single" w:sz="4" w:space="0" w:color="auto"/>
              <w:right w:val="single" w:sz="4" w:space="0" w:color="C0C0C0"/>
            </w:tcBorders>
          </w:tcPr>
          <w:p w14:paraId="038A411F" w14:textId="77777777" w:rsidR="0044788A" w:rsidRDefault="0044788A" w:rsidP="001A5D4A">
            <w:pPr>
              <w:pStyle w:val="NotesTable-CellPlain"/>
              <w:rPr>
                <w:lang w:val="en-GB"/>
              </w:rPr>
            </w:pPr>
            <w:r>
              <w:t>–</w:t>
            </w:r>
          </w:p>
        </w:tc>
      </w:tr>
      <w:tr w:rsidR="0044788A" w14:paraId="038A4129" w14:textId="77777777" w:rsidTr="00DF3D95">
        <w:trPr>
          <w:trHeight w:hRule="exact" w:val="227"/>
        </w:trPr>
        <w:tc>
          <w:tcPr>
            <w:tcW w:w="1593" w:type="pct"/>
            <w:vAlign w:val="bottom"/>
          </w:tcPr>
          <w:p w14:paraId="038A4121" w14:textId="77777777" w:rsidR="0044788A" w:rsidRDefault="0044788A" w:rsidP="001A5D4A">
            <w:pPr>
              <w:pStyle w:val="NotesTable-ItemPlain"/>
              <w:rPr>
                <w:b/>
              </w:rPr>
            </w:pPr>
            <w:r>
              <w:t>Total financial liabilities</w:t>
            </w:r>
          </w:p>
        </w:tc>
        <w:tc>
          <w:tcPr>
            <w:tcW w:w="487" w:type="pct"/>
            <w:tcBorders>
              <w:top w:val="single" w:sz="4" w:space="0" w:color="auto"/>
              <w:left w:val="single" w:sz="4" w:space="0" w:color="C0C0C0"/>
            </w:tcBorders>
          </w:tcPr>
          <w:p w14:paraId="038A4122" w14:textId="77777777" w:rsidR="0044788A" w:rsidRDefault="0044788A" w:rsidP="001A5D4A">
            <w:pPr>
              <w:pStyle w:val="NotesTable-CellPlain"/>
            </w:pPr>
            <w:r>
              <w:t>–</w:t>
            </w:r>
          </w:p>
        </w:tc>
        <w:tc>
          <w:tcPr>
            <w:tcW w:w="487" w:type="pct"/>
            <w:tcBorders>
              <w:top w:val="single" w:sz="4" w:space="0" w:color="auto"/>
              <w:left w:val="single" w:sz="4" w:space="0" w:color="C0C0C0"/>
            </w:tcBorders>
          </w:tcPr>
          <w:p w14:paraId="038A4123"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124"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125" w14:textId="77777777" w:rsidR="0044788A" w:rsidRDefault="0044788A" w:rsidP="001A5D4A">
            <w:pPr>
              <w:pStyle w:val="NotesTable-CellPlain"/>
              <w:rPr>
                <w:lang w:val="en-GB"/>
              </w:rPr>
            </w:pPr>
            <w:r w:rsidRPr="00F33C1D">
              <w:t>–</w:t>
            </w:r>
          </w:p>
        </w:tc>
        <w:tc>
          <w:tcPr>
            <w:tcW w:w="487" w:type="pct"/>
            <w:tcBorders>
              <w:top w:val="single" w:sz="4" w:space="0" w:color="auto"/>
              <w:left w:val="single" w:sz="4" w:space="0" w:color="C0C0C0"/>
            </w:tcBorders>
          </w:tcPr>
          <w:p w14:paraId="038A4126" w14:textId="77777777" w:rsidR="0044788A" w:rsidRDefault="0044788A" w:rsidP="001A5D4A">
            <w:pPr>
              <w:pStyle w:val="NotesTable-CellPlain"/>
              <w:rPr>
                <w:lang w:val="en-GB"/>
              </w:rPr>
            </w:pPr>
            <w:r>
              <w:t>–</w:t>
            </w:r>
          </w:p>
        </w:tc>
        <w:tc>
          <w:tcPr>
            <w:tcW w:w="487" w:type="pct"/>
            <w:tcBorders>
              <w:top w:val="single" w:sz="4" w:space="0" w:color="auto"/>
              <w:left w:val="single" w:sz="4" w:space="0" w:color="C0C0C0"/>
            </w:tcBorders>
          </w:tcPr>
          <w:p w14:paraId="038A4127" w14:textId="77777777" w:rsidR="0044788A" w:rsidRDefault="0044788A" w:rsidP="001A5D4A">
            <w:pPr>
              <w:pStyle w:val="NotesTable-CellPlain"/>
              <w:rPr>
                <w:lang w:val="en-GB"/>
              </w:rPr>
            </w:pPr>
            <w:r>
              <w:t>–</w:t>
            </w:r>
          </w:p>
        </w:tc>
        <w:tc>
          <w:tcPr>
            <w:tcW w:w="485" w:type="pct"/>
            <w:tcBorders>
              <w:top w:val="single" w:sz="4" w:space="0" w:color="auto"/>
              <w:left w:val="single" w:sz="4" w:space="0" w:color="C0C0C0"/>
              <w:right w:val="single" w:sz="4" w:space="0" w:color="C0C0C0"/>
            </w:tcBorders>
          </w:tcPr>
          <w:p w14:paraId="038A4128" w14:textId="77777777" w:rsidR="0044788A" w:rsidRDefault="0044788A" w:rsidP="001A5D4A">
            <w:pPr>
              <w:pStyle w:val="NotesTable-CellPlain"/>
              <w:rPr>
                <w:lang w:val="en-GB"/>
              </w:rPr>
            </w:pPr>
            <w:r>
              <w:t>–</w:t>
            </w:r>
          </w:p>
        </w:tc>
      </w:tr>
    </w:tbl>
    <w:p w14:paraId="77B835FC" w14:textId="77777777" w:rsidR="00A151C4" w:rsidRPr="00A151C4" w:rsidRDefault="00A151C4" w:rsidP="001A5D4A">
      <w:pPr>
        <w:pStyle w:val="Heading3"/>
        <w:rPr>
          <w:color w:val="2D3E7B" w:themeColor="text2" w:themeShade="BF"/>
        </w:rPr>
      </w:pPr>
      <w:bookmarkStart w:id="428" w:name="_Toc410807685"/>
      <w:bookmarkStart w:id="429" w:name="_Toc410822746"/>
      <w:r w:rsidRPr="00A151C4">
        <w:rPr>
          <w:color w:val="2D3E7B" w:themeColor="text2" w:themeShade="BF"/>
        </w:rPr>
        <w:lastRenderedPageBreak/>
        <w:t>Commentary – Financial risk management</w:t>
      </w:r>
      <w:bookmarkEnd w:id="428"/>
      <w:bookmarkEnd w:id="429"/>
    </w:p>
    <w:p w14:paraId="4F94F1D2" w14:textId="77777777" w:rsidR="00A151C4" w:rsidRPr="00BC5733" w:rsidRDefault="00A151C4" w:rsidP="00AB24D3">
      <w:pPr>
        <w:pStyle w:val="Heading4"/>
        <w:rPr>
          <w:color w:val="2D3E7B" w:themeColor="text2" w:themeShade="BF"/>
          <w14:textFill>
            <w14:solidFill>
              <w14:schemeClr w14:val="tx2">
                <w14:lumMod w14:val="75000"/>
                <w14:lumMod w14:val="75000"/>
              </w14:schemeClr>
            </w14:solidFill>
          </w14:textFill>
        </w:rPr>
      </w:pPr>
      <w:r w:rsidRPr="00BC5733">
        <w:rPr>
          <w:color w:val="2D3E7B" w:themeColor="text2" w:themeShade="BF"/>
          <w14:textFill>
            <w14:solidFill>
              <w14:schemeClr w14:val="tx2">
                <w14:lumMod w14:val="75000"/>
                <w14:lumMod w14:val="75000"/>
              </w14:schemeClr>
            </w14:solidFill>
          </w14:textFill>
        </w:rPr>
        <w:t>Nature and extent of risks arising from financial instruments</w:t>
      </w:r>
    </w:p>
    <w:p w14:paraId="200DE1FA" w14:textId="77777777" w:rsidR="00A151C4" w:rsidRPr="00BC5733" w:rsidRDefault="00A151C4" w:rsidP="00655761">
      <w:pPr>
        <w:pStyle w:val="Heading6"/>
      </w:pPr>
      <w:r w:rsidRPr="00BC5733">
        <w:t>AASB7.31</w:t>
      </w:r>
      <w:proofErr w:type="gramStart"/>
      <w:r w:rsidRPr="00BC5733">
        <w:t>,32</w:t>
      </w:r>
      <w:proofErr w:type="gramEnd"/>
    </w:p>
    <w:p w14:paraId="4FA301BF" w14:textId="77777777" w:rsidR="00A151C4" w:rsidRPr="00BC5733" w:rsidRDefault="00A151C4" w:rsidP="001A5D4A">
      <w:pPr>
        <w:rPr>
          <w:color w:val="2D3E7B" w:themeColor="text2" w:themeShade="BF"/>
        </w:rPr>
      </w:pPr>
      <w:r w:rsidRPr="00BC5733">
        <w:rPr>
          <w:color w:val="2D3E7B" w:themeColor="text2" w:themeShade="BF"/>
        </w:rPr>
        <w:t>The financial report shall include qualitative disclosures in the context of quantitative disclosures that enable users to evaluate the nature and extent of risks arising from financial instruments to which the entity is exposed at the reporting date. These risks typically include, but are not limited to, credit risk, liquidity risk and market risk.</w:t>
      </w:r>
    </w:p>
    <w:p w14:paraId="02ABB101" w14:textId="77777777" w:rsidR="00A151C4" w:rsidRPr="00BC5733" w:rsidRDefault="00A151C4" w:rsidP="00655761">
      <w:pPr>
        <w:pStyle w:val="Heading6"/>
      </w:pPr>
      <w:r w:rsidRPr="00BC5733">
        <w:t>Qualitative disclosures</w:t>
      </w:r>
    </w:p>
    <w:p w14:paraId="0FB22857" w14:textId="77777777" w:rsidR="00A151C4" w:rsidRPr="00B40DF8" w:rsidRDefault="00A151C4" w:rsidP="004F3ED9">
      <w:pPr>
        <w:pStyle w:val="Heading6"/>
      </w:pPr>
      <w:r w:rsidRPr="00B40DF8">
        <w:t>AASB7.33</w:t>
      </w:r>
    </w:p>
    <w:p w14:paraId="40C25532" w14:textId="77777777" w:rsidR="00A151C4" w:rsidRPr="00BC5733" w:rsidRDefault="00A151C4" w:rsidP="001A5D4A">
      <w:pPr>
        <w:rPr>
          <w:color w:val="2D3E7B" w:themeColor="text2" w:themeShade="BF"/>
        </w:rPr>
      </w:pPr>
      <w:r w:rsidRPr="00BC5733">
        <w:rPr>
          <w:color w:val="2D3E7B" w:themeColor="text2" w:themeShade="BF"/>
        </w:rPr>
        <w:t>The qualitative disclosures shall discuss for each type of risk</w:t>
      </w:r>
    </w:p>
    <w:p w14:paraId="2F9DB227" w14:textId="020CB220" w:rsidR="00A151C4" w:rsidRPr="00BC5733" w:rsidRDefault="00A151C4" w:rsidP="009B1E46">
      <w:pPr>
        <w:pStyle w:val="ListParagraph"/>
        <w:numPr>
          <w:ilvl w:val="0"/>
          <w:numId w:val="60"/>
        </w:numPr>
        <w:rPr>
          <w:color w:val="2D3E7B" w:themeColor="text2" w:themeShade="BF"/>
        </w:rPr>
      </w:pPr>
      <w:r w:rsidRPr="00BC5733">
        <w:rPr>
          <w:color w:val="2D3E7B" w:themeColor="text2" w:themeShade="BF"/>
        </w:rPr>
        <w:t>the exposures to the risk and how they arise</w:t>
      </w:r>
    </w:p>
    <w:p w14:paraId="5376164C" w14:textId="4FF82299" w:rsidR="00A151C4" w:rsidRPr="00BC5733" w:rsidRDefault="00A151C4" w:rsidP="009B1E46">
      <w:pPr>
        <w:pStyle w:val="ListParagraph"/>
        <w:numPr>
          <w:ilvl w:val="0"/>
          <w:numId w:val="60"/>
        </w:numPr>
        <w:rPr>
          <w:color w:val="2D3E7B" w:themeColor="text2" w:themeShade="BF"/>
        </w:rPr>
      </w:pPr>
      <w:r w:rsidRPr="00BC5733">
        <w:rPr>
          <w:color w:val="2D3E7B" w:themeColor="text2" w:themeShade="BF"/>
        </w:rPr>
        <w:t>the entity’s objectives, policies and processes for managing the risk and the methods used to measure the risk</w:t>
      </w:r>
    </w:p>
    <w:p w14:paraId="2B31C4FC" w14:textId="3C1D80F5" w:rsidR="00A151C4" w:rsidRPr="00BC5733" w:rsidRDefault="00A151C4" w:rsidP="009B1E46">
      <w:pPr>
        <w:pStyle w:val="ListParagraph"/>
        <w:numPr>
          <w:ilvl w:val="0"/>
          <w:numId w:val="60"/>
        </w:numPr>
        <w:rPr>
          <w:color w:val="2D3E7B" w:themeColor="text2" w:themeShade="BF"/>
        </w:rPr>
      </w:pPr>
      <w:proofErr w:type="gramStart"/>
      <w:r w:rsidRPr="00BC5733">
        <w:rPr>
          <w:color w:val="2D3E7B" w:themeColor="text2" w:themeShade="BF"/>
        </w:rPr>
        <w:t>any</w:t>
      </w:r>
      <w:proofErr w:type="gramEnd"/>
      <w:r w:rsidRPr="00BC5733">
        <w:rPr>
          <w:color w:val="2D3E7B" w:themeColor="text2" w:themeShade="BF"/>
        </w:rPr>
        <w:t xml:space="preserve"> changes in (a) or (b) from the previous period.</w:t>
      </w:r>
    </w:p>
    <w:p w14:paraId="132232A6" w14:textId="77777777" w:rsidR="00A151C4" w:rsidRPr="00BC5733" w:rsidRDefault="00A151C4" w:rsidP="00655761">
      <w:pPr>
        <w:pStyle w:val="Heading6"/>
      </w:pPr>
      <w:r w:rsidRPr="00BC5733">
        <w:t>Quantitative disclosures</w:t>
      </w:r>
    </w:p>
    <w:p w14:paraId="21FDBC49" w14:textId="77777777" w:rsidR="00A151C4" w:rsidRPr="00B40DF8" w:rsidRDefault="00A151C4" w:rsidP="004F3ED9">
      <w:pPr>
        <w:pStyle w:val="Heading6"/>
      </w:pPr>
      <w:r w:rsidRPr="00B40DF8">
        <w:t>AASB7.34a</w:t>
      </w:r>
      <w:proofErr w:type="gramStart"/>
      <w:r w:rsidRPr="00B40DF8">
        <w:t>,34c</w:t>
      </w:r>
      <w:proofErr w:type="gramEnd"/>
    </w:p>
    <w:p w14:paraId="1E2CF5EB" w14:textId="77777777" w:rsidR="00A151C4" w:rsidRPr="00BC5733" w:rsidRDefault="00A151C4" w:rsidP="001A5D4A">
      <w:pPr>
        <w:rPr>
          <w:color w:val="2D3E7B" w:themeColor="text2" w:themeShade="BF"/>
        </w:rPr>
      </w:pPr>
      <w:r w:rsidRPr="00BC5733">
        <w:rPr>
          <w:color w:val="2D3E7B" w:themeColor="text2" w:themeShade="BF"/>
        </w:rPr>
        <w:t>An entity shall provide for each type of risk, summary quantitative data on risk exposure at the reporting date, based on information provided internally to key management personnel and any concentrations of risk.</w:t>
      </w:r>
    </w:p>
    <w:p w14:paraId="5046E399" w14:textId="77777777" w:rsidR="00A151C4" w:rsidRPr="00B40DF8" w:rsidRDefault="00A151C4" w:rsidP="004F3ED9">
      <w:pPr>
        <w:pStyle w:val="Heading6"/>
      </w:pPr>
      <w:r w:rsidRPr="00B40DF8">
        <w:t>AASB7.34b</w:t>
      </w:r>
    </w:p>
    <w:p w14:paraId="4A964D08" w14:textId="77777777" w:rsidR="00A151C4" w:rsidRPr="00BC5733" w:rsidRDefault="00A151C4" w:rsidP="001A5D4A">
      <w:pPr>
        <w:rPr>
          <w:color w:val="2D3E7B" w:themeColor="text2" w:themeShade="BF"/>
        </w:rPr>
      </w:pPr>
      <w:r w:rsidRPr="00BC5733">
        <w:rPr>
          <w:color w:val="2D3E7B" w:themeColor="text2" w:themeShade="BF"/>
        </w:rPr>
        <w:t xml:space="preserve">If not already provided as part of the summary quantitative data, the entity shall also provide the information in the paragraphs below: </w:t>
      </w:r>
    </w:p>
    <w:p w14:paraId="281EDCD3" w14:textId="2C5532EB" w:rsidR="00A151C4" w:rsidRPr="00BC5733" w:rsidRDefault="00655761" w:rsidP="00655761">
      <w:pPr>
        <w:pStyle w:val="Heading6"/>
      </w:pPr>
      <w:r w:rsidRPr="00655761">
        <w:t>(a)</w:t>
      </w:r>
      <w:r>
        <w:t xml:space="preserve"> </w:t>
      </w:r>
      <w:r w:rsidR="00A151C4" w:rsidRPr="00BC5733">
        <w:t>Market risk</w:t>
      </w:r>
    </w:p>
    <w:p w14:paraId="430A46B5" w14:textId="77777777" w:rsidR="00A151C4" w:rsidRPr="00B40DF8" w:rsidRDefault="00A151C4" w:rsidP="004F3ED9">
      <w:pPr>
        <w:pStyle w:val="Heading6"/>
      </w:pPr>
      <w:r w:rsidRPr="00B40DF8">
        <w:t>AASB7.40a</w:t>
      </w:r>
      <w:proofErr w:type="gramStart"/>
      <w:r w:rsidRPr="00B40DF8">
        <w:t>,40b</w:t>
      </w:r>
      <w:proofErr w:type="gramEnd"/>
    </w:p>
    <w:p w14:paraId="7C476AD9" w14:textId="77777777" w:rsidR="00A151C4" w:rsidRPr="00A151C4" w:rsidRDefault="00A151C4" w:rsidP="001A5D4A">
      <w:pPr>
        <w:rPr>
          <w:color w:val="2D3E7B" w:themeColor="text2" w:themeShade="BF"/>
        </w:rPr>
      </w:pPr>
      <w:r w:rsidRPr="00A151C4">
        <w:rPr>
          <w:color w:val="2D3E7B" w:themeColor="text2" w:themeShade="BF"/>
        </w:rPr>
        <w:t>Entities shall disclose a sensitivity analysis for each type of market risk (currency, interest rate and other price risk) to which an entity is exposed at the reporting date, showing how profit or loss and equity would have been affected by ‘reasonably possible’ changes in the relevant risk variable, as well as the methods and assumptions used in preparing such an analysis.</w:t>
      </w:r>
    </w:p>
    <w:p w14:paraId="1563D756" w14:textId="77777777" w:rsidR="00A151C4" w:rsidRPr="00B40DF8" w:rsidRDefault="00A151C4" w:rsidP="004F3ED9">
      <w:pPr>
        <w:pStyle w:val="Heading6"/>
      </w:pPr>
      <w:r w:rsidRPr="00B40DF8">
        <w:t>AASB7.40c</w:t>
      </w:r>
    </w:p>
    <w:p w14:paraId="3248CA72" w14:textId="77777777" w:rsidR="00A151C4" w:rsidRPr="00A151C4" w:rsidRDefault="00A151C4" w:rsidP="001A5D4A">
      <w:pPr>
        <w:rPr>
          <w:color w:val="2D3E7B" w:themeColor="text2" w:themeShade="BF"/>
        </w:rPr>
      </w:pPr>
      <w:r w:rsidRPr="00A151C4">
        <w:rPr>
          <w:color w:val="2D3E7B" w:themeColor="text2" w:themeShade="BF"/>
        </w:rPr>
        <w:t>If there have been any changes in methods and assumptions from the previous period, this must be disclosed together with the reasons for such a change.</w:t>
      </w:r>
    </w:p>
    <w:p w14:paraId="7777D71B" w14:textId="77777777" w:rsidR="00A151C4" w:rsidRPr="00B40DF8" w:rsidRDefault="00A151C4" w:rsidP="004F3ED9">
      <w:pPr>
        <w:pStyle w:val="Heading6"/>
      </w:pPr>
      <w:r w:rsidRPr="00B40DF8">
        <w:t>AASB7.25</w:t>
      </w:r>
      <w:proofErr w:type="gramStart"/>
      <w:r w:rsidRPr="00B40DF8">
        <w:t>,29</w:t>
      </w:r>
      <w:proofErr w:type="gramEnd"/>
    </w:p>
    <w:p w14:paraId="4B840DAF" w14:textId="77777777" w:rsidR="00A151C4" w:rsidRPr="00A151C4" w:rsidRDefault="00A151C4" w:rsidP="001A5D4A">
      <w:pPr>
        <w:rPr>
          <w:color w:val="2D3E7B" w:themeColor="text2" w:themeShade="BF"/>
        </w:rPr>
      </w:pPr>
      <w:r w:rsidRPr="00A151C4">
        <w:rPr>
          <w:color w:val="2D3E7B" w:themeColor="text2" w:themeShade="BF"/>
        </w:rPr>
        <w:t>An entity shall disclose the fair value for each class of financial assets and financial liabilities (see above) in a way that permits it to be compared with its carrying amount. Fair values do not need to be disclosed for the following:</w:t>
      </w:r>
    </w:p>
    <w:p w14:paraId="42AC760E" w14:textId="12ACD49D" w:rsidR="00A151C4" w:rsidRPr="00A151C4" w:rsidRDefault="00A151C4" w:rsidP="009B1E46">
      <w:pPr>
        <w:pStyle w:val="ListParagraph"/>
        <w:numPr>
          <w:ilvl w:val="0"/>
          <w:numId w:val="61"/>
        </w:numPr>
        <w:rPr>
          <w:color w:val="2D3E7B" w:themeColor="text2" w:themeShade="BF"/>
        </w:rPr>
      </w:pPr>
      <w:r w:rsidRPr="00A151C4">
        <w:rPr>
          <w:color w:val="2D3E7B" w:themeColor="text2" w:themeShade="BF"/>
        </w:rPr>
        <w:t>where the carrying amount is a reasonable approximation of fair value</w:t>
      </w:r>
    </w:p>
    <w:p w14:paraId="5FBA52A1" w14:textId="70B01ED5" w:rsidR="00A151C4" w:rsidRPr="00A151C4" w:rsidRDefault="00A151C4" w:rsidP="009B1E46">
      <w:pPr>
        <w:pStyle w:val="ListParagraph"/>
        <w:numPr>
          <w:ilvl w:val="0"/>
          <w:numId w:val="61"/>
        </w:numPr>
        <w:rPr>
          <w:color w:val="2D3E7B" w:themeColor="text2" w:themeShade="BF"/>
        </w:rPr>
      </w:pPr>
      <w:r w:rsidRPr="00A151C4">
        <w:rPr>
          <w:color w:val="2D3E7B" w:themeColor="text2" w:themeShade="BF"/>
        </w:rPr>
        <w:t>investments in equity instruments (and derivatives linked to such equity instruments) that do not have a quoted price and that are measured at cost in accordance with AASB139 because their fair value cannot be otherwise measured reliably</w:t>
      </w:r>
    </w:p>
    <w:p w14:paraId="5AFCD63D" w14:textId="2FF9AE74" w:rsidR="00A151C4" w:rsidRPr="00A151C4" w:rsidRDefault="00A151C4" w:rsidP="009B1E46">
      <w:pPr>
        <w:pStyle w:val="ListParagraph"/>
        <w:numPr>
          <w:ilvl w:val="0"/>
          <w:numId w:val="61"/>
        </w:numPr>
        <w:rPr>
          <w:color w:val="2D3E7B" w:themeColor="text2" w:themeShade="BF"/>
        </w:rPr>
      </w:pPr>
      <w:proofErr w:type="gramStart"/>
      <w:r w:rsidRPr="00A151C4">
        <w:rPr>
          <w:color w:val="2D3E7B" w:themeColor="text2" w:themeShade="BF"/>
        </w:rPr>
        <w:t>a</w:t>
      </w:r>
      <w:proofErr w:type="gramEnd"/>
      <w:r w:rsidRPr="00A151C4">
        <w:rPr>
          <w:color w:val="2D3E7B" w:themeColor="text2" w:themeShade="BF"/>
        </w:rPr>
        <w:t xml:space="preserve"> contract containing a discretionary participation feature (as described in AASB4 </w:t>
      </w:r>
      <w:r w:rsidRPr="009B1E46">
        <w:rPr>
          <w:i/>
          <w:color w:val="2D3E7B" w:themeColor="text2" w:themeShade="BF"/>
        </w:rPr>
        <w:t>Insurance Contracts</w:t>
      </w:r>
      <w:r w:rsidRPr="00A151C4">
        <w:rPr>
          <w:color w:val="2D3E7B" w:themeColor="text2" w:themeShade="BF"/>
        </w:rPr>
        <w:t>) where the fair value of that feature cannot be measured reliably.</w:t>
      </w:r>
    </w:p>
    <w:p w14:paraId="77B76C8A" w14:textId="49E6DA87" w:rsidR="00A151C4" w:rsidRPr="00BC5733" w:rsidRDefault="00BC5733" w:rsidP="00655761">
      <w:pPr>
        <w:pStyle w:val="Heading6"/>
      </w:pPr>
      <w:r w:rsidRPr="00BC5733">
        <w:t>(</w:t>
      </w:r>
      <w:r w:rsidRPr="00655761">
        <w:t xml:space="preserve">b) </w:t>
      </w:r>
      <w:r w:rsidR="00A151C4" w:rsidRPr="00655761">
        <w:t>Credit risk</w:t>
      </w:r>
    </w:p>
    <w:p w14:paraId="52CBDB6C" w14:textId="77777777" w:rsidR="00A151C4" w:rsidRPr="00B40DF8" w:rsidRDefault="00A151C4" w:rsidP="004F3ED9">
      <w:pPr>
        <w:pStyle w:val="Heading6"/>
      </w:pPr>
      <w:r w:rsidRPr="00B40DF8">
        <w:t>AASB7.35</w:t>
      </w:r>
      <w:proofErr w:type="gramStart"/>
      <w:r w:rsidRPr="00B40DF8">
        <w:t>,36,37</w:t>
      </w:r>
      <w:proofErr w:type="gramEnd"/>
    </w:p>
    <w:p w14:paraId="71ADB0A6" w14:textId="77777777" w:rsidR="00A151C4" w:rsidRPr="00BC5733" w:rsidRDefault="00A151C4" w:rsidP="001A5D4A">
      <w:pPr>
        <w:rPr>
          <w:color w:val="2D3E7B" w:themeColor="text2" w:themeShade="BF"/>
        </w:rPr>
      </w:pPr>
      <w:r w:rsidRPr="00BC5733">
        <w:rPr>
          <w:color w:val="2D3E7B" w:themeColor="text2" w:themeShade="BF"/>
        </w:rPr>
        <w:t>For each class of financial instrument, the entity shall disclose:</w:t>
      </w:r>
    </w:p>
    <w:p w14:paraId="5FCBA6ED" w14:textId="06AFB956" w:rsidR="00A151C4" w:rsidRPr="00BC5733" w:rsidRDefault="00A151C4" w:rsidP="009B1E46">
      <w:pPr>
        <w:pStyle w:val="ListParagraph"/>
        <w:numPr>
          <w:ilvl w:val="0"/>
          <w:numId w:val="62"/>
        </w:numPr>
        <w:rPr>
          <w:color w:val="2D3E7B" w:themeColor="text2" w:themeShade="BF"/>
        </w:rPr>
      </w:pPr>
      <w:r w:rsidRPr="00BC5733">
        <w:rPr>
          <w:color w:val="2D3E7B" w:themeColor="text2" w:themeShade="BF"/>
        </w:rPr>
        <w:t>the maximum exposure to credit risk and any related collateral held, this disclosure is not required for financial instruments whose carrying amount best represents the maximum exposure to credit risk</w:t>
      </w:r>
    </w:p>
    <w:p w14:paraId="19310C3E" w14:textId="06597A63" w:rsidR="00A151C4" w:rsidRPr="00BC5733" w:rsidRDefault="00A151C4" w:rsidP="009B1E46">
      <w:pPr>
        <w:pStyle w:val="ListParagraph"/>
        <w:numPr>
          <w:ilvl w:val="0"/>
          <w:numId w:val="62"/>
        </w:numPr>
        <w:rPr>
          <w:color w:val="2D3E7B" w:themeColor="text2" w:themeShade="BF"/>
        </w:rPr>
      </w:pPr>
      <w:r w:rsidRPr="00BC5733">
        <w:rPr>
          <w:color w:val="2D3E7B" w:themeColor="text2" w:themeShade="BF"/>
        </w:rPr>
        <w:t>information about the credit quality of financial assets that are neither past due nor impaired</w:t>
      </w:r>
    </w:p>
    <w:p w14:paraId="29CB84C4" w14:textId="21B1476E" w:rsidR="00A151C4" w:rsidRPr="00BC5733" w:rsidRDefault="00A151C4" w:rsidP="009B1E46">
      <w:pPr>
        <w:pStyle w:val="ListParagraph"/>
        <w:numPr>
          <w:ilvl w:val="0"/>
          <w:numId w:val="62"/>
        </w:numPr>
        <w:rPr>
          <w:color w:val="2D3E7B" w:themeColor="text2" w:themeShade="BF"/>
        </w:rPr>
      </w:pPr>
      <w:r w:rsidRPr="00BC5733">
        <w:rPr>
          <w:color w:val="2D3E7B" w:themeColor="text2" w:themeShade="BF"/>
        </w:rPr>
        <w:t>an analysis of the age of financial assets that are past due but not impaired</w:t>
      </w:r>
    </w:p>
    <w:p w14:paraId="4728DE10" w14:textId="198101E7" w:rsidR="00A151C4" w:rsidRPr="00BC5733" w:rsidRDefault="00A151C4" w:rsidP="009B1E46">
      <w:pPr>
        <w:pStyle w:val="ListParagraph"/>
        <w:numPr>
          <w:ilvl w:val="0"/>
          <w:numId w:val="62"/>
        </w:numPr>
        <w:rPr>
          <w:color w:val="2D3E7B" w:themeColor="text2" w:themeShade="BF"/>
        </w:rPr>
      </w:pPr>
      <w:r w:rsidRPr="00BC5733">
        <w:rPr>
          <w:color w:val="2D3E7B" w:themeColor="text2" w:themeShade="BF"/>
        </w:rPr>
        <w:lastRenderedPageBreak/>
        <w:t>an analysis of financial assets that are individually determined to be impaired</w:t>
      </w:r>
    </w:p>
    <w:p w14:paraId="5907503B" w14:textId="7C863809" w:rsidR="00A151C4" w:rsidRPr="00BC5733" w:rsidRDefault="00BC5733" w:rsidP="00655761">
      <w:pPr>
        <w:pStyle w:val="Heading6"/>
      </w:pPr>
      <w:r w:rsidRPr="00BC5733">
        <w:t xml:space="preserve">(c) </w:t>
      </w:r>
      <w:r w:rsidR="00A151C4" w:rsidRPr="00655761">
        <w:t>Liquidity risk</w:t>
      </w:r>
    </w:p>
    <w:p w14:paraId="089DBF7A" w14:textId="77777777" w:rsidR="00A151C4" w:rsidRPr="00B40DF8" w:rsidRDefault="00A151C4" w:rsidP="004F3ED9">
      <w:pPr>
        <w:pStyle w:val="Heading6"/>
      </w:pPr>
      <w:r w:rsidRPr="00B40DF8">
        <w:t>AASB7.39</w:t>
      </w:r>
      <w:proofErr w:type="gramStart"/>
      <w:r w:rsidRPr="00B40DF8">
        <w:t>,B11</w:t>
      </w:r>
      <w:proofErr w:type="gramEnd"/>
      <w:r w:rsidRPr="00B40DF8">
        <w:t>-B11F</w:t>
      </w:r>
    </w:p>
    <w:p w14:paraId="26C76F35" w14:textId="77777777" w:rsidR="00A151C4" w:rsidRPr="00BC5733" w:rsidRDefault="00A151C4" w:rsidP="001A5D4A">
      <w:pPr>
        <w:rPr>
          <w:color w:val="2D3E7B" w:themeColor="text2" w:themeShade="BF"/>
        </w:rPr>
      </w:pPr>
      <w:r w:rsidRPr="00BC5733">
        <w:rPr>
          <w:color w:val="2D3E7B" w:themeColor="text2" w:themeShade="BF"/>
        </w:rPr>
        <w:t>Information about liquidity risk shall be provided by way of a maturity analysis for financial liabilities that shows remaining contractual maturities and a description of how the entity manages the inherent liquidity risk.</w:t>
      </w:r>
    </w:p>
    <w:p w14:paraId="0B55050F" w14:textId="77777777" w:rsidR="00A151C4" w:rsidRPr="00BC5733" w:rsidRDefault="00A151C4" w:rsidP="001A5D4A">
      <w:pPr>
        <w:rPr>
          <w:color w:val="2D3E7B" w:themeColor="text2" w:themeShade="BF"/>
        </w:rPr>
      </w:pPr>
      <w:r w:rsidRPr="00BC5733">
        <w:rPr>
          <w:color w:val="2D3E7B" w:themeColor="text2" w:themeShade="BF"/>
        </w:rPr>
        <w:t>For derivative financial instruments such as interest rate swaps, the maturity analysis should disclose the amounts expected to be paid in future periods, determined by reference to the conditions existing at the reporting date. However, AASB7 does not specify whether current or forward rates should be used. It is recommended that entities explain which approach has been chosen. This approach must be applied consistently.</w:t>
      </w:r>
    </w:p>
    <w:p w14:paraId="5D12F16C" w14:textId="77777777" w:rsidR="00A151C4" w:rsidRPr="00BC5733" w:rsidRDefault="00A151C4" w:rsidP="00AB24D3">
      <w:pPr>
        <w:pStyle w:val="Heading4"/>
        <w:rPr>
          <w:color w:val="2D3E7B" w:themeColor="text2" w:themeShade="BF"/>
          <w14:textFill>
            <w14:solidFill>
              <w14:schemeClr w14:val="tx2">
                <w14:lumMod w14:val="75000"/>
                <w14:lumMod w14:val="75000"/>
              </w14:schemeClr>
            </w14:solidFill>
          </w14:textFill>
        </w:rPr>
      </w:pPr>
      <w:r w:rsidRPr="00BC5733">
        <w:rPr>
          <w:color w:val="2D3E7B" w:themeColor="text2" w:themeShade="BF"/>
          <w14:textFill>
            <w14:solidFill>
              <w14:schemeClr w14:val="tx2">
                <w14:lumMod w14:val="75000"/>
                <w14:lumMod w14:val="75000"/>
              </w14:schemeClr>
            </w14:solidFill>
          </w14:textFill>
        </w:rPr>
        <w:t>Transfers of Financial Assets</w:t>
      </w:r>
    </w:p>
    <w:p w14:paraId="3AC49C11" w14:textId="77777777" w:rsidR="00A151C4" w:rsidRPr="00BC5733" w:rsidRDefault="00A151C4" w:rsidP="00655761">
      <w:pPr>
        <w:pStyle w:val="Heading6"/>
      </w:pPr>
      <w:r w:rsidRPr="00BC5733">
        <w:t>AASB7.42A</w:t>
      </w:r>
      <w:proofErr w:type="gramStart"/>
      <w:r w:rsidRPr="00BC5733">
        <w:t>,42B</w:t>
      </w:r>
      <w:proofErr w:type="gramEnd"/>
    </w:p>
    <w:p w14:paraId="23A41E3B" w14:textId="77777777" w:rsidR="00A151C4" w:rsidRPr="00A151C4" w:rsidRDefault="00A151C4" w:rsidP="001A5D4A">
      <w:pPr>
        <w:rPr>
          <w:color w:val="2D3E7B" w:themeColor="text2" w:themeShade="BF"/>
        </w:rPr>
      </w:pPr>
      <w:r w:rsidRPr="00A151C4">
        <w:rPr>
          <w:color w:val="2D3E7B" w:themeColor="text2" w:themeShade="BF"/>
        </w:rPr>
        <w:t>A HEP is required to report the relationship between transferred assets and associated liabilities when it has transferred the contractual rights to a financial asset, or its associated cash flows without derecognising it in its entirety. The disclosure should allow users of the financial statements to evaluate the nature of, and risk associated with, the HEP’s continuing involvement in the transferred assets.</w:t>
      </w:r>
    </w:p>
    <w:p w14:paraId="176FC11D" w14:textId="496BFE33" w:rsidR="002432EC" w:rsidRDefault="00A151C4" w:rsidP="001A5D4A">
      <w:pPr>
        <w:rPr>
          <w:color w:val="2D3E7B" w:themeColor="text2" w:themeShade="BF"/>
        </w:rPr>
      </w:pPr>
      <w:r w:rsidRPr="00A151C4">
        <w:rPr>
          <w:color w:val="2D3E7B" w:themeColor="text2" w:themeShade="BF"/>
        </w:rPr>
        <w:t>These guidelines do not provide suggested disclosure. Details on disclosure requirements can be found in paragraphs AASB7.42A to AASB7.42G.</w:t>
      </w:r>
    </w:p>
    <w:p w14:paraId="4F03CD95" w14:textId="77777777" w:rsidR="002432EC" w:rsidRPr="004C4AAA" w:rsidRDefault="002432EC" w:rsidP="001A5D4A">
      <w:r w:rsidRPr="004C4AAA">
        <w:br w:type="page"/>
      </w:r>
    </w:p>
    <w:p w14:paraId="5FF910A3" w14:textId="3848B251" w:rsidR="002432EC" w:rsidRDefault="002432EC" w:rsidP="00BC5733">
      <w:pPr>
        <w:pStyle w:val="Heading2"/>
      </w:pPr>
      <w:bookmarkStart w:id="430" w:name="_Toc410807686"/>
      <w:bookmarkStart w:id="431" w:name="_Toc410822747"/>
      <w:proofErr w:type="gramStart"/>
      <w:r w:rsidRPr="002432EC">
        <w:lastRenderedPageBreak/>
        <w:t>Note 51.</w:t>
      </w:r>
      <w:proofErr w:type="gramEnd"/>
      <w:r>
        <w:t xml:space="preserve"> </w:t>
      </w:r>
      <w:r w:rsidRPr="002432EC">
        <w:t>Fair Value Measurements</w:t>
      </w:r>
      <w:bookmarkEnd w:id="430"/>
      <w:bookmarkEnd w:id="431"/>
    </w:p>
    <w:p w14:paraId="51F79BBB" w14:textId="77777777" w:rsidR="002432EC" w:rsidRPr="002432EC" w:rsidRDefault="002432EC" w:rsidP="001A5D4A">
      <w:r w:rsidRPr="002432EC">
        <w:t>AASB132</w:t>
      </w:r>
      <w:proofErr w:type="gramStart"/>
      <w:r w:rsidRPr="002432EC">
        <w:t>,AASB7</w:t>
      </w:r>
      <w:proofErr w:type="gramEnd"/>
      <w:r w:rsidRPr="002432EC">
        <w:t>, AASB13</w:t>
      </w:r>
    </w:p>
    <w:tbl>
      <w:tblPr>
        <w:tblW w:w="5000" w:type="pct"/>
        <w:tblCellMar>
          <w:left w:w="0" w:type="dxa"/>
          <w:right w:w="0" w:type="dxa"/>
        </w:tblCellMar>
        <w:tblLook w:val="0000" w:firstRow="0" w:lastRow="0" w:firstColumn="0" w:lastColumn="0" w:noHBand="0" w:noVBand="0"/>
      </w:tblPr>
      <w:tblGrid>
        <w:gridCol w:w="1645"/>
        <w:gridCol w:w="16"/>
        <w:gridCol w:w="4857"/>
        <w:gridCol w:w="410"/>
        <w:gridCol w:w="835"/>
        <w:gridCol w:w="833"/>
        <w:gridCol w:w="833"/>
        <w:gridCol w:w="831"/>
      </w:tblGrid>
      <w:tr w:rsidR="00296FA7" w14:paraId="038A41A9" w14:textId="77777777" w:rsidTr="00261A68">
        <w:trPr>
          <w:trHeight w:val="227"/>
        </w:trPr>
        <w:tc>
          <w:tcPr>
            <w:tcW w:w="809" w:type="pct"/>
            <w:gridSpan w:val="2"/>
          </w:tcPr>
          <w:p w14:paraId="038A41A7" w14:textId="77777777" w:rsidR="00296FA7" w:rsidRDefault="00296FA7" w:rsidP="001A5D4A">
            <w:pPr>
              <w:pStyle w:val="Note-Refs"/>
            </w:pPr>
          </w:p>
        </w:tc>
        <w:tc>
          <w:tcPr>
            <w:tcW w:w="4191" w:type="pct"/>
            <w:gridSpan w:val="6"/>
            <w:vAlign w:val="bottom"/>
          </w:tcPr>
          <w:p w14:paraId="038A41A8" w14:textId="77777777" w:rsidR="00296FA7" w:rsidRDefault="00296FA7" w:rsidP="001A5D4A">
            <w:pPr>
              <w:pStyle w:val="Note-TextHeader"/>
              <w:rPr>
                <w:vertAlign w:val="superscript"/>
                <w:lang w:val="en-GB"/>
              </w:rPr>
            </w:pPr>
            <w:r>
              <w:t>(a)</w:t>
            </w:r>
            <w:r>
              <w:tab/>
              <w:t xml:space="preserve">Fair value </w:t>
            </w:r>
            <w:r w:rsidRPr="00807179">
              <w:t>measurements</w:t>
            </w:r>
            <w:r w:rsidRPr="00847803">
              <w:t xml:space="preserve"> </w:t>
            </w:r>
          </w:p>
        </w:tc>
      </w:tr>
      <w:tr w:rsidR="00296FA7" w14:paraId="038A41AC" w14:textId="77777777" w:rsidTr="00261A68">
        <w:trPr>
          <w:trHeight w:val="227"/>
        </w:trPr>
        <w:tc>
          <w:tcPr>
            <w:tcW w:w="809" w:type="pct"/>
            <w:gridSpan w:val="2"/>
          </w:tcPr>
          <w:p w14:paraId="038A41AA" w14:textId="77777777" w:rsidR="00296FA7" w:rsidRDefault="00296FA7" w:rsidP="001A5D4A">
            <w:pPr>
              <w:pStyle w:val="Note-Refs"/>
            </w:pPr>
          </w:p>
        </w:tc>
        <w:tc>
          <w:tcPr>
            <w:tcW w:w="4191" w:type="pct"/>
            <w:gridSpan w:val="6"/>
          </w:tcPr>
          <w:p w14:paraId="038A41AB" w14:textId="77777777" w:rsidR="00296FA7" w:rsidRPr="00606AC4" w:rsidRDefault="00296FA7" w:rsidP="001A5D4A">
            <w:pPr>
              <w:pStyle w:val="NotesTable-ItemPlain"/>
              <w:rPr>
                <w:b/>
                <w:highlight w:val="yellow"/>
              </w:rPr>
            </w:pPr>
            <w:r w:rsidRPr="00A84862">
              <w:t>The fair value of financial assets and financial liabilities must be estimated for recognition and measurement or for disclosure purposes.</w:t>
            </w:r>
          </w:p>
        </w:tc>
      </w:tr>
      <w:tr w:rsidR="00C50157" w14:paraId="038A41AF" w14:textId="77777777" w:rsidTr="00261A68">
        <w:trPr>
          <w:trHeight w:hRule="exact" w:val="85"/>
        </w:trPr>
        <w:tc>
          <w:tcPr>
            <w:tcW w:w="809" w:type="pct"/>
            <w:gridSpan w:val="2"/>
          </w:tcPr>
          <w:p w14:paraId="038A41AD" w14:textId="77777777" w:rsidR="00C50157" w:rsidRDefault="00C50157" w:rsidP="001A5D4A">
            <w:pPr>
              <w:pStyle w:val="Note-Refs"/>
            </w:pPr>
          </w:p>
        </w:tc>
        <w:tc>
          <w:tcPr>
            <w:tcW w:w="4191" w:type="pct"/>
            <w:gridSpan w:val="6"/>
          </w:tcPr>
          <w:p w14:paraId="038A41AE" w14:textId="77777777" w:rsidR="00C50157" w:rsidRDefault="00C50157" w:rsidP="001A5D4A">
            <w:pPr>
              <w:pStyle w:val="NotesTable-ItemPlain"/>
            </w:pPr>
          </w:p>
        </w:tc>
      </w:tr>
      <w:tr w:rsidR="00296FA7" w14:paraId="038A41B2" w14:textId="77777777" w:rsidTr="00261A68">
        <w:trPr>
          <w:trHeight w:val="227"/>
        </w:trPr>
        <w:tc>
          <w:tcPr>
            <w:tcW w:w="809" w:type="pct"/>
            <w:gridSpan w:val="2"/>
          </w:tcPr>
          <w:p w14:paraId="038A41B0" w14:textId="77777777" w:rsidR="00296FA7" w:rsidRDefault="00296FA7" w:rsidP="001A5D4A">
            <w:pPr>
              <w:pStyle w:val="Note-Refs"/>
              <w:rPr>
                <w:b/>
              </w:rPr>
            </w:pPr>
            <w:r>
              <w:t>AASB7.25,</w:t>
            </w:r>
            <w:r w:rsidRPr="00266032">
              <w:t>29a</w:t>
            </w:r>
            <w:r>
              <w:t>,36c</w:t>
            </w:r>
          </w:p>
        </w:tc>
        <w:tc>
          <w:tcPr>
            <w:tcW w:w="4191" w:type="pct"/>
            <w:gridSpan w:val="6"/>
          </w:tcPr>
          <w:p w14:paraId="038A41B1" w14:textId="7261A1AF" w:rsidR="00296FA7" w:rsidRDefault="00296FA7" w:rsidP="001A5D4A">
            <w:pPr>
              <w:pStyle w:val="NotesTable-ItemPlain"/>
              <w:rPr>
                <w:b/>
              </w:rPr>
            </w:pPr>
            <w:r>
              <w:t>Due to the short-term nature of the current receivables, their carrying value approximate</w:t>
            </w:r>
            <w:r w:rsidR="004C056C">
              <w:t>s</w:t>
            </w:r>
            <w:r>
              <w:t xml:space="preserve"> their fair value and based on credit history it is expected that the receivables that are neither past due nor impaired will be received when due.</w:t>
            </w:r>
          </w:p>
        </w:tc>
      </w:tr>
      <w:tr w:rsidR="00C50157" w14:paraId="038A41B5" w14:textId="77777777" w:rsidTr="00261A68">
        <w:trPr>
          <w:trHeight w:hRule="exact" w:val="85"/>
        </w:trPr>
        <w:tc>
          <w:tcPr>
            <w:tcW w:w="809" w:type="pct"/>
            <w:gridSpan w:val="2"/>
          </w:tcPr>
          <w:p w14:paraId="038A41B3" w14:textId="77777777" w:rsidR="00C50157" w:rsidRDefault="00C50157" w:rsidP="001A5D4A">
            <w:pPr>
              <w:pStyle w:val="Note-Refs"/>
            </w:pPr>
          </w:p>
        </w:tc>
        <w:tc>
          <w:tcPr>
            <w:tcW w:w="4191" w:type="pct"/>
            <w:gridSpan w:val="6"/>
          </w:tcPr>
          <w:p w14:paraId="038A41B4" w14:textId="77777777" w:rsidR="00C50157" w:rsidRDefault="00C50157" w:rsidP="001A5D4A">
            <w:pPr>
              <w:pStyle w:val="NotesTable-ItemPlain"/>
            </w:pPr>
          </w:p>
        </w:tc>
      </w:tr>
      <w:tr w:rsidR="00296FA7" w14:paraId="038A41B8" w14:textId="77777777" w:rsidTr="00261A68">
        <w:trPr>
          <w:trHeight w:val="227"/>
        </w:trPr>
        <w:tc>
          <w:tcPr>
            <w:tcW w:w="809" w:type="pct"/>
            <w:gridSpan w:val="2"/>
          </w:tcPr>
          <w:p w14:paraId="038A41B6" w14:textId="77777777" w:rsidR="00296FA7" w:rsidRDefault="00296FA7" w:rsidP="001A5D4A">
            <w:pPr>
              <w:pStyle w:val="Note-Refs"/>
              <w:rPr>
                <w:b/>
              </w:rPr>
            </w:pPr>
            <w:r>
              <w:t>AASB7.25</w:t>
            </w:r>
          </w:p>
        </w:tc>
        <w:tc>
          <w:tcPr>
            <w:tcW w:w="4191" w:type="pct"/>
            <w:gridSpan w:val="6"/>
          </w:tcPr>
          <w:p w14:paraId="038A41B7" w14:textId="2684B534" w:rsidR="00296FA7" w:rsidRDefault="00296FA7" w:rsidP="001A5D4A">
            <w:pPr>
              <w:pStyle w:val="NotesTable-ItemPlain"/>
              <w:rPr>
                <w:b/>
              </w:rPr>
            </w:pPr>
            <w:r>
              <w:t>The carrying amounts and aggregate fair values of financial assets and liabilities at balance date are:</w:t>
            </w:r>
          </w:p>
        </w:tc>
      </w:tr>
      <w:tr w:rsidR="0052667C" w14:paraId="2C1A60EE" w14:textId="77777777" w:rsidTr="00261A68">
        <w:trPr>
          <w:trHeight w:val="181"/>
        </w:trPr>
        <w:tc>
          <w:tcPr>
            <w:tcW w:w="809" w:type="pct"/>
            <w:gridSpan w:val="2"/>
          </w:tcPr>
          <w:p w14:paraId="243F7364" w14:textId="77777777" w:rsidR="0052667C" w:rsidRDefault="0052667C" w:rsidP="001A5D4A">
            <w:pPr>
              <w:pStyle w:val="Note-Refs"/>
            </w:pPr>
          </w:p>
        </w:tc>
        <w:tc>
          <w:tcPr>
            <w:tcW w:w="4191" w:type="pct"/>
            <w:gridSpan w:val="6"/>
          </w:tcPr>
          <w:p w14:paraId="313A7EAC" w14:textId="77777777" w:rsidR="0052667C" w:rsidRDefault="0052667C" w:rsidP="001A5D4A">
            <w:pPr>
              <w:pStyle w:val="NotesTable-ItemPlain"/>
            </w:pPr>
          </w:p>
        </w:tc>
      </w:tr>
      <w:tr w:rsidR="00023312" w14:paraId="038A41BE" w14:textId="77777777" w:rsidTr="00261A68">
        <w:trPr>
          <w:cantSplit/>
          <w:trHeight w:hRule="exact" w:val="227"/>
        </w:trPr>
        <w:tc>
          <w:tcPr>
            <w:tcW w:w="809" w:type="pct"/>
            <w:gridSpan w:val="2"/>
          </w:tcPr>
          <w:p w14:paraId="038A41BA" w14:textId="77777777" w:rsidR="00023312" w:rsidRDefault="00023312" w:rsidP="001A5D4A">
            <w:pPr>
              <w:pStyle w:val="Note-Refs"/>
            </w:pPr>
          </w:p>
        </w:tc>
        <w:tc>
          <w:tcPr>
            <w:tcW w:w="2567" w:type="pct"/>
            <w:gridSpan w:val="2"/>
            <w:vAlign w:val="bottom"/>
          </w:tcPr>
          <w:p w14:paraId="038A41BB" w14:textId="77777777" w:rsidR="00023312" w:rsidRDefault="00023312" w:rsidP="001A5D4A">
            <w:pPr>
              <w:pStyle w:val="NotesTable-ItemPlain"/>
              <w:rPr>
                <w:shd w:val="clear" w:color="auto" w:fill="FFFF00"/>
              </w:rPr>
            </w:pPr>
          </w:p>
        </w:tc>
        <w:tc>
          <w:tcPr>
            <w:tcW w:w="813" w:type="pct"/>
            <w:gridSpan w:val="2"/>
          </w:tcPr>
          <w:p w14:paraId="038A41BC" w14:textId="77777777" w:rsidR="00023312" w:rsidRDefault="00023312" w:rsidP="001A5D4A">
            <w:pPr>
              <w:pStyle w:val="NotesTable-HeadPlain"/>
            </w:pPr>
            <w:r>
              <w:t>Carrying Amount</w:t>
            </w:r>
          </w:p>
        </w:tc>
        <w:tc>
          <w:tcPr>
            <w:tcW w:w="811" w:type="pct"/>
            <w:gridSpan w:val="2"/>
          </w:tcPr>
          <w:p w14:paraId="038A41BD" w14:textId="77777777" w:rsidR="00023312" w:rsidRDefault="00023312" w:rsidP="001A5D4A">
            <w:pPr>
              <w:pStyle w:val="NotesTable-HeadPlain"/>
            </w:pPr>
            <w:r>
              <w:t>Fair Value</w:t>
            </w:r>
          </w:p>
        </w:tc>
      </w:tr>
      <w:tr w:rsidR="00A73253" w14:paraId="038A41C5" w14:textId="77777777" w:rsidTr="00261A68">
        <w:trPr>
          <w:cantSplit/>
          <w:trHeight w:hRule="exact" w:val="227"/>
        </w:trPr>
        <w:tc>
          <w:tcPr>
            <w:tcW w:w="809" w:type="pct"/>
            <w:gridSpan w:val="2"/>
          </w:tcPr>
          <w:p w14:paraId="038A41BF" w14:textId="77777777" w:rsidR="00A73253" w:rsidRDefault="00A73253" w:rsidP="001A5D4A">
            <w:pPr>
              <w:pStyle w:val="Note-Refs"/>
            </w:pPr>
          </w:p>
        </w:tc>
        <w:tc>
          <w:tcPr>
            <w:tcW w:w="2567" w:type="pct"/>
            <w:gridSpan w:val="2"/>
            <w:vAlign w:val="bottom"/>
          </w:tcPr>
          <w:p w14:paraId="038A41C0" w14:textId="77777777" w:rsidR="00A73253" w:rsidRPr="003C77BC" w:rsidRDefault="00A73253" w:rsidP="001A5D4A">
            <w:pPr>
              <w:pStyle w:val="NotesTable-ItemPlain"/>
              <w:rPr>
                <w:shd w:val="clear" w:color="auto" w:fill="FFFF00"/>
              </w:rPr>
            </w:pPr>
          </w:p>
        </w:tc>
        <w:tc>
          <w:tcPr>
            <w:tcW w:w="407" w:type="pct"/>
          </w:tcPr>
          <w:p w14:paraId="038A41C1" w14:textId="5BAE9817" w:rsidR="00A73253" w:rsidRDefault="006864EC" w:rsidP="001A5D4A">
            <w:pPr>
              <w:pStyle w:val="NotesTable-HeadBold"/>
              <w:rPr>
                <w:szCs w:val="18"/>
              </w:rPr>
            </w:pPr>
            <w:r>
              <w:t>2014</w:t>
            </w:r>
          </w:p>
        </w:tc>
        <w:tc>
          <w:tcPr>
            <w:tcW w:w="406" w:type="pct"/>
          </w:tcPr>
          <w:p w14:paraId="038A41C2" w14:textId="540D9B32" w:rsidR="00A73253" w:rsidRDefault="006864EC" w:rsidP="001A5D4A">
            <w:pPr>
              <w:pStyle w:val="NotesTable-HeadPlain"/>
            </w:pPr>
            <w:r>
              <w:t>2013</w:t>
            </w:r>
          </w:p>
        </w:tc>
        <w:tc>
          <w:tcPr>
            <w:tcW w:w="406" w:type="pct"/>
          </w:tcPr>
          <w:p w14:paraId="038A41C3" w14:textId="2907BC22" w:rsidR="00A73253" w:rsidRDefault="006864EC" w:rsidP="001A5D4A">
            <w:pPr>
              <w:pStyle w:val="NotesTable-HeadBold"/>
              <w:rPr>
                <w:szCs w:val="18"/>
              </w:rPr>
            </w:pPr>
            <w:r>
              <w:t>2014</w:t>
            </w:r>
          </w:p>
        </w:tc>
        <w:tc>
          <w:tcPr>
            <w:tcW w:w="406" w:type="pct"/>
          </w:tcPr>
          <w:p w14:paraId="038A41C4" w14:textId="28C93E91" w:rsidR="00A73253" w:rsidRDefault="006864EC" w:rsidP="001A5D4A">
            <w:pPr>
              <w:pStyle w:val="NotesTable-HeadPlain"/>
            </w:pPr>
            <w:r>
              <w:t>2013</w:t>
            </w:r>
          </w:p>
        </w:tc>
      </w:tr>
      <w:tr w:rsidR="00A73253" w14:paraId="038A41CC" w14:textId="77777777" w:rsidTr="00261A68">
        <w:trPr>
          <w:cantSplit/>
          <w:trHeight w:hRule="exact" w:val="227"/>
        </w:trPr>
        <w:tc>
          <w:tcPr>
            <w:tcW w:w="809" w:type="pct"/>
            <w:gridSpan w:val="2"/>
          </w:tcPr>
          <w:p w14:paraId="038A41C6" w14:textId="77777777" w:rsidR="00A73253" w:rsidRDefault="00A73253" w:rsidP="001A5D4A">
            <w:pPr>
              <w:pStyle w:val="Note-Refs"/>
            </w:pPr>
          </w:p>
        </w:tc>
        <w:tc>
          <w:tcPr>
            <w:tcW w:w="2567" w:type="pct"/>
            <w:gridSpan w:val="2"/>
            <w:vAlign w:val="bottom"/>
          </w:tcPr>
          <w:p w14:paraId="038A41C7" w14:textId="77777777" w:rsidR="00A73253" w:rsidRPr="003C77BC" w:rsidRDefault="00A73253" w:rsidP="001A5D4A">
            <w:pPr>
              <w:pStyle w:val="NotesTable-ItemPlain"/>
              <w:rPr>
                <w:shd w:val="clear" w:color="auto" w:fill="FFFF00"/>
              </w:rPr>
            </w:pPr>
          </w:p>
        </w:tc>
        <w:tc>
          <w:tcPr>
            <w:tcW w:w="407" w:type="pct"/>
          </w:tcPr>
          <w:p w14:paraId="038A41C8" w14:textId="77777777" w:rsidR="00A73253" w:rsidRDefault="00A73253" w:rsidP="001A5D4A">
            <w:pPr>
              <w:pStyle w:val="NotesTable-HeadBold"/>
              <w:rPr>
                <w:szCs w:val="18"/>
              </w:rPr>
            </w:pPr>
            <w:r>
              <w:t>$’000</w:t>
            </w:r>
          </w:p>
        </w:tc>
        <w:tc>
          <w:tcPr>
            <w:tcW w:w="406" w:type="pct"/>
          </w:tcPr>
          <w:p w14:paraId="038A41C9" w14:textId="77777777" w:rsidR="00A73253" w:rsidRDefault="00A73253" w:rsidP="001A5D4A">
            <w:pPr>
              <w:pStyle w:val="NotesTable-HeadPlain"/>
            </w:pPr>
            <w:r>
              <w:t>$’000</w:t>
            </w:r>
          </w:p>
        </w:tc>
        <w:tc>
          <w:tcPr>
            <w:tcW w:w="406" w:type="pct"/>
          </w:tcPr>
          <w:p w14:paraId="038A41CA" w14:textId="77777777" w:rsidR="00A73253" w:rsidRDefault="00A73253" w:rsidP="001A5D4A">
            <w:pPr>
              <w:pStyle w:val="NotesTable-HeadBold"/>
              <w:rPr>
                <w:szCs w:val="18"/>
              </w:rPr>
            </w:pPr>
            <w:r>
              <w:t>$’000</w:t>
            </w:r>
          </w:p>
        </w:tc>
        <w:tc>
          <w:tcPr>
            <w:tcW w:w="406" w:type="pct"/>
          </w:tcPr>
          <w:p w14:paraId="038A41CB" w14:textId="77777777" w:rsidR="00A73253" w:rsidRDefault="00A73253" w:rsidP="001A5D4A">
            <w:pPr>
              <w:pStyle w:val="NotesTable-HeadPlain"/>
            </w:pPr>
            <w:r>
              <w:t>$’000</w:t>
            </w:r>
          </w:p>
        </w:tc>
      </w:tr>
      <w:tr w:rsidR="00ED4C94" w14:paraId="038A41D3" w14:textId="77777777" w:rsidTr="00261A68">
        <w:trPr>
          <w:cantSplit/>
          <w:trHeight w:hRule="exact" w:val="227"/>
        </w:trPr>
        <w:tc>
          <w:tcPr>
            <w:tcW w:w="809" w:type="pct"/>
            <w:gridSpan w:val="2"/>
          </w:tcPr>
          <w:p w14:paraId="038A41CD" w14:textId="77777777" w:rsidR="00ED4C94" w:rsidRDefault="00ED4C94" w:rsidP="001A5D4A">
            <w:pPr>
              <w:pStyle w:val="Note-Refs"/>
            </w:pPr>
          </w:p>
        </w:tc>
        <w:tc>
          <w:tcPr>
            <w:tcW w:w="2367" w:type="pct"/>
            <w:vAlign w:val="bottom"/>
          </w:tcPr>
          <w:p w14:paraId="389BB58B" w14:textId="77777777" w:rsidR="00ED4C94" w:rsidRDefault="00ED4C94" w:rsidP="001A5D4A">
            <w:pPr>
              <w:pStyle w:val="NotesTable-ItemBold"/>
            </w:pPr>
            <w:r>
              <w:t>Financial assets</w:t>
            </w:r>
          </w:p>
        </w:tc>
        <w:tc>
          <w:tcPr>
            <w:tcW w:w="200" w:type="pct"/>
            <w:vAlign w:val="bottom"/>
          </w:tcPr>
          <w:p w14:paraId="038A41CE" w14:textId="54F0E55B" w:rsidR="00ED4C94" w:rsidRDefault="00ED4C94" w:rsidP="001A5D4A">
            <w:pPr>
              <w:pStyle w:val="NotesTable-Notes"/>
            </w:pPr>
          </w:p>
        </w:tc>
        <w:tc>
          <w:tcPr>
            <w:tcW w:w="407" w:type="pct"/>
          </w:tcPr>
          <w:p w14:paraId="038A41CF" w14:textId="77777777" w:rsidR="00ED4C94" w:rsidRDefault="00ED4C94" w:rsidP="001A5D4A">
            <w:pPr>
              <w:pStyle w:val="NotesTable-CellBold"/>
            </w:pPr>
          </w:p>
        </w:tc>
        <w:tc>
          <w:tcPr>
            <w:tcW w:w="406" w:type="pct"/>
          </w:tcPr>
          <w:p w14:paraId="038A41D0" w14:textId="77777777" w:rsidR="00ED4C94" w:rsidRDefault="00ED4C94" w:rsidP="001A5D4A">
            <w:pPr>
              <w:pStyle w:val="NotesTable-CellPlain"/>
            </w:pPr>
          </w:p>
        </w:tc>
        <w:tc>
          <w:tcPr>
            <w:tcW w:w="406" w:type="pct"/>
          </w:tcPr>
          <w:p w14:paraId="038A41D1" w14:textId="77777777" w:rsidR="00ED4C94" w:rsidRDefault="00ED4C94" w:rsidP="001A5D4A">
            <w:pPr>
              <w:pStyle w:val="NotesTable-CellBold"/>
            </w:pPr>
          </w:p>
        </w:tc>
        <w:tc>
          <w:tcPr>
            <w:tcW w:w="406" w:type="pct"/>
          </w:tcPr>
          <w:p w14:paraId="038A41D2" w14:textId="77777777" w:rsidR="00ED4C94" w:rsidRDefault="00ED4C94" w:rsidP="001A5D4A">
            <w:pPr>
              <w:pStyle w:val="NotesTable-CellPlain"/>
            </w:pPr>
          </w:p>
        </w:tc>
      </w:tr>
      <w:tr w:rsidR="00ED4C94" w14:paraId="038A41DA" w14:textId="77777777" w:rsidTr="00261A68">
        <w:trPr>
          <w:cantSplit/>
          <w:trHeight w:hRule="exact" w:val="227"/>
        </w:trPr>
        <w:tc>
          <w:tcPr>
            <w:tcW w:w="809" w:type="pct"/>
            <w:gridSpan w:val="2"/>
          </w:tcPr>
          <w:p w14:paraId="038A41D4" w14:textId="77777777" w:rsidR="00ED4C94" w:rsidRDefault="00ED4C94" w:rsidP="001A5D4A">
            <w:pPr>
              <w:pStyle w:val="Note-Refs"/>
            </w:pPr>
          </w:p>
        </w:tc>
        <w:tc>
          <w:tcPr>
            <w:tcW w:w="2367" w:type="pct"/>
            <w:vAlign w:val="bottom"/>
          </w:tcPr>
          <w:p w14:paraId="2BC58E4D" w14:textId="77777777" w:rsidR="00ED4C94" w:rsidRDefault="00ED4C94" w:rsidP="001A5D4A">
            <w:pPr>
              <w:pStyle w:val="NotesTable-ItemPlain"/>
              <w:rPr>
                <w:b/>
              </w:rPr>
            </w:pPr>
            <w:r>
              <w:t>Cash and cash equivalents</w:t>
            </w:r>
          </w:p>
        </w:tc>
        <w:tc>
          <w:tcPr>
            <w:tcW w:w="200" w:type="pct"/>
            <w:vAlign w:val="bottom"/>
          </w:tcPr>
          <w:p w14:paraId="038A41D5" w14:textId="77C03BAE" w:rsidR="00ED4C94" w:rsidRDefault="00ED4C94" w:rsidP="001A5D4A">
            <w:pPr>
              <w:pStyle w:val="NotesTable-Notes"/>
            </w:pPr>
            <w:r>
              <w:t>18</w:t>
            </w:r>
          </w:p>
        </w:tc>
        <w:tc>
          <w:tcPr>
            <w:tcW w:w="407" w:type="pct"/>
          </w:tcPr>
          <w:p w14:paraId="038A41D6" w14:textId="77777777" w:rsidR="00ED4C94" w:rsidRPr="00867646" w:rsidRDefault="00ED4C94" w:rsidP="001A5D4A">
            <w:pPr>
              <w:pStyle w:val="NotesTable-CellBold"/>
            </w:pPr>
            <w:r w:rsidRPr="00C50157">
              <w:t>–</w:t>
            </w:r>
          </w:p>
        </w:tc>
        <w:tc>
          <w:tcPr>
            <w:tcW w:w="406" w:type="pct"/>
          </w:tcPr>
          <w:p w14:paraId="038A41D7" w14:textId="77777777" w:rsidR="00ED4C94" w:rsidRDefault="00ED4C94" w:rsidP="001A5D4A">
            <w:pPr>
              <w:pStyle w:val="NotesTable-CellPlain"/>
            </w:pPr>
            <w:r>
              <w:t>–</w:t>
            </w:r>
          </w:p>
        </w:tc>
        <w:tc>
          <w:tcPr>
            <w:tcW w:w="406" w:type="pct"/>
          </w:tcPr>
          <w:p w14:paraId="038A41D8" w14:textId="77777777" w:rsidR="00ED4C94" w:rsidRPr="00867646" w:rsidRDefault="00ED4C94" w:rsidP="001A5D4A">
            <w:pPr>
              <w:pStyle w:val="NotesTable-CellBold"/>
            </w:pPr>
            <w:r w:rsidRPr="00C50157">
              <w:t>–</w:t>
            </w:r>
          </w:p>
        </w:tc>
        <w:tc>
          <w:tcPr>
            <w:tcW w:w="406" w:type="pct"/>
          </w:tcPr>
          <w:p w14:paraId="038A41D9" w14:textId="77777777" w:rsidR="00ED4C94" w:rsidRPr="00F33C1D" w:rsidRDefault="00ED4C94" w:rsidP="001A5D4A">
            <w:pPr>
              <w:pStyle w:val="NotesTable-CellPlain"/>
            </w:pPr>
            <w:r w:rsidRPr="00F33C1D">
              <w:t>–</w:t>
            </w:r>
          </w:p>
        </w:tc>
      </w:tr>
      <w:tr w:rsidR="00ED4C94" w14:paraId="038A41E1" w14:textId="77777777" w:rsidTr="00261A68">
        <w:trPr>
          <w:cantSplit/>
          <w:trHeight w:hRule="exact" w:val="227"/>
        </w:trPr>
        <w:tc>
          <w:tcPr>
            <w:tcW w:w="809" w:type="pct"/>
            <w:gridSpan w:val="2"/>
          </w:tcPr>
          <w:p w14:paraId="038A41DB" w14:textId="77777777" w:rsidR="00ED4C94" w:rsidRDefault="00ED4C94" w:rsidP="001A5D4A">
            <w:pPr>
              <w:pStyle w:val="Note-Refs"/>
            </w:pPr>
          </w:p>
        </w:tc>
        <w:tc>
          <w:tcPr>
            <w:tcW w:w="2367" w:type="pct"/>
            <w:vAlign w:val="bottom"/>
          </w:tcPr>
          <w:p w14:paraId="6E68F404" w14:textId="77777777" w:rsidR="00ED4C94" w:rsidRDefault="00ED4C94" w:rsidP="001A5D4A">
            <w:pPr>
              <w:pStyle w:val="NotesTable-ItemPlain"/>
              <w:rPr>
                <w:b/>
              </w:rPr>
            </w:pPr>
            <w:r>
              <w:t>Receivables</w:t>
            </w:r>
          </w:p>
        </w:tc>
        <w:tc>
          <w:tcPr>
            <w:tcW w:w="200" w:type="pct"/>
            <w:vAlign w:val="bottom"/>
          </w:tcPr>
          <w:p w14:paraId="038A41DC" w14:textId="68D61920" w:rsidR="00ED4C94" w:rsidRPr="005D4154" w:rsidRDefault="00ED4C94" w:rsidP="001A5D4A">
            <w:pPr>
              <w:pStyle w:val="NotesTable-Notes"/>
            </w:pPr>
            <w:r w:rsidRPr="005D4154">
              <w:t>19</w:t>
            </w:r>
          </w:p>
        </w:tc>
        <w:tc>
          <w:tcPr>
            <w:tcW w:w="407" w:type="pct"/>
          </w:tcPr>
          <w:p w14:paraId="038A41DD" w14:textId="77777777" w:rsidR="00ED4C94" w:rsidRPr="00867646" w:rsidRDefault="00ED4C94" w:rsidP="001A5D4A">
            <w:pPr>
              <w:pStyle w:val="NotesTable-CellBold"/>
            </w:pPr>
            <w:r w:rsidRPr="00C50157">
              <w:t>–</w:t>
            </w:r>
          </w:p>
        </w:tc>
        <w:tc>
          <w:tcPr>
            <w:tcW w:w="406" w:type="pct"/>
          </w:tcPr>
          <w:p w14:paraId="038A41DE" w14:textId="77777777" w:rsidR="00ED4C94" w:rsidRDefault="00ED4C94" w:rsidP="001A5D4A">
            <w:pPr>
              <w:pStyle w:val="NotesTable-CellPlain"/>
            </w:pPr>
            <w:r>
              <w:t>–</w:t>
            </w:r>
          </w:p>
        </w:tc>
        <w:tc>
          <w:tcPr>
            <w:tcW w:w="406" w:type="pct"/>
          </w:tcPr>
          <w:p w14:paraId="038A41DF" w14:textId="77777777" w:rsidR="00ED4C94" w:rsidRPr="00867646" w:rsidRDefault="00ED4C94" w:rsidP="001A5D4A">
            <w:pPr>
              <w:pStyle w:val="NotesTable-CellBold"/>
            </w:pPr>
            <w:r w:rsidRPr="00C50157">
              <w:t>–</w:t>
            </w:r>
          </w:p>
        </w:tc>
        <w:tc>
          <w:tcPr>
            <w:tcW w:w="406" w:type="pct"/>
          </w:tcPr>
          <w:p w14:paraId="038A41E0" w14:textId="77777777" w:rsidR="00ED4C94" w:rsidRPr="00F33C1D" w:rsidRDefault="00ED4C94" w:rsidP="001A5D4A">
            <w:pPr>
              <w:pStyle w:val="NotesTable-CellPlain"/>
            </w:pPr>
            <w:r w:rsidRPr="00F33C1D">
              <w:t>–</w:t>
            </w:r>
          </w:p>
        </w:tc>
      </w:tr>
      <w:tr w:rsidR="00ED4C94" w14:paraId="038A41EF" w14:textId="77777777" w:rsidTr="00261A68">
        <w:trPr>
          <w:cantSplit/>
          <w:trHeight w:hRule="exact" w:val="227"/>
        </w:trPr>
        <w:tc>
          <w:tcPr>
            <w:tcW w:w="809" w:type="pct"/>
            <w:gridSpan w:val="2"/>
          </w:tcPr>
          <w:p w14:paraId="038A41E9" w14:textId="77777777" w:rsidR="00ED4C94" w:rsidRDefault="00ED4C94" w:rsidP="001A5D4A">
            <w:pPr>
              <w:pStyle w:val="NotesTable-Notes"/>
            </w:pPr>
          </w:p>
        </w:tc>
        <w:tc>
          <w:tcPr>
            <w:tcW w:w="2367" w:type="pct"/>
            <w:vAlign w:val="bottom"/>
          </w:tcPr>
          <w:p w14:paraId="077C74F3" w14:textId="77777777" w:rsidR="00ED4C94" w:rsidRDefault="00ED4C94" w:rsidP="001A5D4A">
            <w:pPr>
              <w:pStyle w:val="NotesTable-ItemPlain"/>
              <w:rPr>
                <w:b/>
              </w:rPr>
            </w:pPr>
            <w:r>
              <w:t>Other financial assets</w:t>
            </w:r>
          </w:p>
        </w:tc>
        <w:tc>
          <w:tcPr>
            <w:tcW w:w="200" w:type="pct"/>
            <w:vAlign w:val="bottom"/>
          </w:tcPr>
          <w:p w14:paraId="038A41EA" w14:textId="4165C195" w:rsidR="00ED4C94" w:rsidRDefault="00ED4C94" w:rsidP="001A5D4A">
            <w:pPr>
              <w:pStyle w:val="NotesTable-Notes"/>
            </w:pPr>
            <w:r>
              <w:t>21</w:t>
            </w:r>
          </w:p>
        </w:tc>
        <w:tc>
          <w:tcPr>
            <w:tcW w:w="407" w:type="pct"/>
          </w:tcPr>
          <w:p w14:paraId="038A41EB" w14:textId="77777777" w:rsidR="00ED4C94" w:rsidRPr="00867646" w:rsidRDefault="00ED4C94" w:rsidP="001A5D4A">
            <w:pPr>
              <w:pStyle w:val="NotesTable-CellBold"/>
            </w:pPr>
            <w:r w:rsidRPr="00C50157">
              <w:t>–</w:t>
            </w:r>
          </w:p>
        </w:tc>
        <w:tc>
          <w:tcPr>
            <w:tcW w:w="406" w:type="pct"/>
          </w:tcPr>
          <w:p w14:paraId="038A41EC" w14:textId="77777777" w:rsidR="00ED4C94" w:rsidRDefault="00ED4C94" w:rsidP="001A5D4A">
            <w:pPr>
              <w:pStyle w:val="NotesTable-CellPlain"/>
            </w:pPr>
            <w:r>
              <w:t>–</w:t>
            </w:r>
          </w:p>
        </w:tc>
        <w:tc>
          <w:tcPr>
            <w:tcW w:w="406" w:type="pct"/>
          </w:tcPr>
          <w:p w14:paraId="038A41ED" w14:textId="77777777" w:rsidR="00ED4C94" w:rsidRPr="00867646" w:rsidRDefault="00ED4C94" w:rsidP="001A5D4A">
            <w:pPr>
              <w:pStyle w:val="NotesTable-CellBold"/>
            </w:pPr>
            <w:r w:rsidRPr="00C50157">
              <w:t>–</w:t>
            </w:r>
          </w:p>
        </w:tc>
        <w:tc>
          <w:tcPr>
            <w:tcW w:w="406" w:type="pct"/>
          </w:tcPr>
          <w:p w14:paraId="038A41EE" w14:textId="77777777" w:rsidR="00ED4C94" w:rsidRPr="00F33C1D" w:rsidRDefault="00ED4C94" w:rsidP="001A5D4A">
            <w:pPr>
              <w:pStyle w:val="NotesTable-CellPlain"/>
            </w:pPr>
            <w:r w:rsidRPr="00F33C1D">
              <w:t>–</w:t>
            </w:r>
          </w:p>
        </w:tc>
      </w:tr>
      <w:tr w:rsidR="00D644E3" w14:paraId="740FA88A" w14:textId="77777777" w:rsidTr="00261A68">
        <w:trPr>
          <w:cantSplit/>
          <w:trHeight w:hRule="exact" w:val="227"/>
        </w:trPr>
        <w:tc>
          <w:tcPr>
            <w:tcW w:w="809" w:type="pct"/>
            <w:gridSpan w:val="2"/>
          </w:tcPr>
          <w:p w14:paraId="5466E3D2" w14:textId="77777777" w:rsidR="00D644E3" w:rsidRDefault="00D644E3" w:rsidP="001A5D4A">
            <w:pPr>
              <w:pStyle w:val="NotesTable-Notes"/>
            </w:pPr>
          </w:p>
        </w:tc>
        <w:tc>
          <w:tcPr>
            <w:tcW w:w="2367" w:type="pct"/>
            <w:vAlign w:val="bottom"/>
          </w:tcPr>
          <w:p w14:paraId="0A3EBF77" w14:textId="1BFDC282" w:rsidR="00D644E3" w:rsidRDefault="00D644E3" w:rsidP="001A5D4A">
            <w:pPr>
              <w:pStyle w:val="Note-Text"/>
            </w:pPr>
            <w:r>
              <w:t>Held-to-maturity</w:t>
            </w:r>
          </w:p>
        </w:tc>
        <w:tc>
          <w:tcPr>
            <w:tcW w:w="200" w:type="pct"/>
            <w:vAlign w:val="bottom"/>
          </w:tcPr>
          <w:p w14:paraId="2443F958" w14:textId="77777777" w:rsidR="00D644E3" w:rsidRDefault="00D644E3" w:rsidP="001A5D4A">
            <w:pPr>
              <w:pStyle w:val="NotesTable-Notes"/>
            </w:pPr>
          </w:p>
        </w:tc>
        <w:tc>
          <w:tcPr>
            <w:tcW w:w="407" w:type="pct"/>
          </w:tcPr>
          <w:p w14:paraId="5EC178E3" w14:textId="79389CEB" w:rsidR="00D644E3" w:rsidRPr="00C50157" w:rsidRDefault="00D644E3" w:rsidP="001A5D4A">
            <w:pPr>
              <w:pStyle w:val="NotesTable-CellBold"/>
            </w:pPr>
            <w:r w:rsidRPr="00C50157">
              <w:t>–</w:t>
            </w:r>
          </w:p>
        </w:tc>
        <w:tc>
          <w:tcPr>
            <w:tcW w:w="406" w:type="pct"/>
          </w:tcPr>
          <w:p w14:paraId="3F478717" w14:textId="0BE8DD82" w:rsidR="00D644E3" w:rsidRDefault="00D644E3" w:rsidP="001A5D4A">
            <w:pPr>
              <w:pStyle w:val="NotesTable-CellPlain"/>
            </w:pPr>
            <w:r>
              <w:t>–</w:t>
            </w:r>
          </w:p>
        </w:tc>
        <w:tc>
          <w:tcPr>
            <w:tcW w:w="406" w:type="pct"/>
          </w:tcPr>
          <w:p w14:paraId="3616430A" w14:textId="7F867A8C" w:rsidR="00D644E3" w:rsidRPr="00C50157" w:rsidRDefault="00D644E3" w:rsidP="001A5D4A">
            <w:pPr>
              <w:pStyle w:val="NotesTable-CellBold"/>
            </w:pPr>
            <w:r w:rsidRPr="00C50157">
              <w:t>–</w:t>
            </w:r>
          </w:p>
        </w:tc>
        <w:tc>
          <w:tcPr>
            <w:tcW w:w="406" w:type="pct"/>
          </w:tcPr>
          <w:p w14:paraId="0F16ADA1" w14:textId="65184125" w:rsidR="00D644E3" w:rsidRPr="00F33C1D" w:rsidRDefault="00D644E3" w:rsidP="001A5D4A">
            <w:pPr>
              <w:pStyle w:val="NotesTable-CellPlain"/>
            </w:pPr>
            <w:r w:rsidRPr="00F33C1D">
              <w:t>–</w:t>
            </w:r>
          </w:p>
        </w:tc>
      </w:tr>
      <w:tr w:rsidR="00D644E3" w14:paraId="207F6B5A" w14:textId="77777777" w:rsidTr="00261A68">
        <w:trPr>
          <w:cantSplit/>
          <w:trHeight w:hRule="exact" w:val="227"/>
        </w:trPr>
        <w:tc>
          <w:tcPr>
            <w:tcW w:w="809" w:type="pct"/>
            <w:gridSpan w:val="2"/>
          </w:tcPr>
          <w:p w14:paraId="3E50A67A" w14:textId="77777777" w:rsidR="00D644E3" w:rsidRDefault="00D644E3" w:rsidP="001A5D4A">
            <w:pPr>
              <w:pStyle w:val="Note-Refs"/>
            </w:pPr>
          </w:p>
        </w:tc>
        <w:tc>
          <w:tcPr>
            <w:tcW w:w="2367" w:type="pct"/>
            <w:vAlign w:val="bottom"/>
          </w:tcPr>
          <w:p w14:paraId="370F6033" w14:textId="63505C1E" w:rsidR="00D644E3" w:rsidRDefault="00D644E3" w:rsidP="001A5D4A">
            <w:pPr>
              <w:pStyle w:val="Note-Text"/>
            </w:pPr>
            <w:r>
              <w:t>Available-for-sale</w:t>
            </w:r>
          </w:p>
        </w:tc>
        <w:tc>
          <w:tcPr>
            <w:tcW w:w="200" w:type="pct"/>
            <w:vAlign w:val="bottom"/>
          </w:tcPr>
          <w:p w14:paraId="63EA621C" w14:textId="77777777" w:rsidR="00D644E3" w:rsidRDefault="00D644E3" w:rsidP="001A5D4A">
            <w:pPr>
              <w:pStyle w:val="NotesTable-Notes"/>
            </w:pPr>
          </w:p>
        </w:tc>
        <w:tc>
          <w:tcPr>
            <w:tcW w:w="407" w:type="pct"/>
          </w:tcPr>
          <w:p w14:paraId="31C2C75B" w14:textId="46D25E90" w:rsidR="00D644E3" w:rsidRPr="00C50157" w:rsidRDefault="00D644E3" w:rsidP="001A5D4A">
            <w:pPr>
              <w:pStyle w:val="NotesTable-CellBold"/>
            </w:pPr>
            <w:r w:rsidRPr="00C50157">
              <w:t>–</w:t>
            </w:r>
          </w:p>
        </w:tc>
        <w:tc>
          <w:tcPr>
            <w:tcW w:w="406" w:type="pct"/>
          </w:tcPr>
          <w:p w14:paraId="1866B937" w14:textId="0F82A025" w:rsidR="00D644E3" w:rsidRDefault="00D644E3" w:rsidP="001A5D4A">
            <w:pPr>
              <w:pStyle w:val="NotesTable-CellPlain"/>
            </w:pPr>
            <w:r>
              <w:t>–</w:t>
            </w:r>
          </w:p>
        </w:tc>
        <w:tc>
          <w:tcPr>
            <w:tcW w:w="406" w:type="pct"/>
          </w:tcPr>
          <w:p w14:paraId="37DC2D93" w14:textId="21465926" w:rsidR="00D644E3" w:rsidRPr="00C50157" w:rsidRDefault="00D644E3" w:rsidP="001A5D4A">
            <w:pPr>
              <w:pStyle w:val="NotesTable-CellBold"/>
            </w:pPr>
            <w:r w:rsidRPr="00C50157">
              <w:t>–</w:t>
            </w:r>
          </w:p>
        </w:tc>
        <w:tc>
          <w:tcPr>
            <w:tcW w:w="406" w:type="pct"/>
          </w:tcPr>
          <w:p w14:paraId="14CD3BE5" w14:textId="22D6D901" w:rsidR="00D644E3" w:rsidRPr="00F33C1D" w:rsidRDefault="00D644E3" w:rsidP="001A5D4A">
            <w:pPr>
              <w:pStyle w:val="NotesTable-CellPlain"/>
            </w:pPr>
            <w:r w:rsidRPr="00F33C1D">
              <w:t>–</w:t>
            </w:r>
          </w:p>
        </w:tc>
      </w:tr>
      <w:tr w:rsidR="00ED4C94" w14:paraId="038A41F6" w14:textId="77777777" w:rsidTr="00261A68">
        <w:trPr>
          <w:cantSplit/>
          <w:trHeight w:hRule="exact" w:val="227"/>
        </w:trPr>
        <w:tc>
          <w:tcPr>
            <w:tcW w:w="809" w:type="pct"/>
            <w:gridSpan w:val="2"/>
          </w:tcPr>
          <w:p w14:paraId="038A41F0" w14:textId="77777777" w:rsidR="00ED4C94" w:rsidRDefault="00ED4C94" w:rsidP="001A5D4A">
            <w:pPr>
              <w:pStyle w:val="Note-Refs"/>
            </w:pPr>
          </w:p>
        </w:tc>
        <w:tc>
          <w:tcPr>
            <w:tcW w:w="2367" w:type="pct"/>
            <w:vAlign w:val="bottom"/>
          </w:tcPr>
          <w:p w14:paraId="7DDB0740" w14:textId="77777777" w:rsidR="00ED4C94" w:rsidRDefault="00ED4C94" w:rsidP="001A5D4A">
            <w:pPr>
              <w:pStyle w:val="NotesTable-ItemPlain"/>
              <w:rPr>
                <w:b/>
              </w:rPr>
            </w:pPr>
            <w:r>
              <w:t>[Specify]</w:t>
            </w:r>
          </w:p>
        </w:tc>
        <w:tc>
          <w:tcPr>
            <w:tcW w:w="200" w:type="pct"/>
            <w:vAlign w:val="bottom"/>
          </w:tcPr>
          <w:p w14:paraId="038A41F1" w14:textId="52115447" w:rsidR="00ED4C94" w:rsidRDefault="00ED4C94" w:rsidP="001A5D4A">
            <w:pPr>
              <w:pStyle w:val="NotesTable-Notes"/>
            </w:pPr>
          </w:p>
        </w:tc>
        <w:tc>
          <w:tcPr>
            <w:tcW w:w="407" w:type="pct"/>
            <w:tcBorders>
              <w:bottom w:val="single" w:sz="4" w:space="0" w:color="000000"/>
            </w:tcBorders>
          </w:tcPr>
          <w:p w14:paraId="038A41F2" w14:textId="77777777" w:rsidR="00ED4C94" w:rsidRPr="00867646" w:rsidRDefault="00ED4C94" w:rsidP="001A5D4A">
            <w:pPr>
              <w:pStyle w:val="NotesTable-CellBold"/>
            </w:pPr>
            <w:r w:rsidRPr="00C50157">
              <w:t>–</w:t>
            </w:r>
          </w:p>
        </w:tc>
        <w:tc>
          <w:tcPr>
            <w:tcW w:w="406" w:type="pct"/>
            <w:tcBorders>
              <w:bottom w:val="single" w:sz="4" w:space="0" w:color="000000"/>
            </w:tcBorders>
          </w:tcPr>
          <w:p w14:paraId="038A41F3" w14:textId="77777777" w:rsidR="00ED4C94" w:rsidRDefault="00ED4C94" w:rsidP="001A5D4A">
            <w:pPr>
              <w:pStyle w:val="NotesTable-CellPlain"/>
            </w:pPr>
            <w:r>
              <w:t>–</w:t>
            </w:r>
          </w:p>
        </w:tc>
        <w:tc>
          <w:tcPr>
            <w:tcW w:w="406" w:type="pct"/>
            <w:tcBorders>
              <w:bottom w:val="single" w:sz="4" w:space="0" w:color="000000"/>
            </w:tcBorders>
          </w:tcPr>
          <w:p w14:paraId="038A41F4" w14:textId="77777777" w:rsidR="00ED4C94" w:rsidRPr="00867646" w:rsidRDefault="00ED4C94" w:rsidP="001A5D4A">
            <w:pPr>
              <w:pStyle w:val="NotesTable-CellBold"/>
            </w:pPr>
            <w:r w:rsidRPr="00C50157">
              <w:t>–</w:t>
            </w:r>
          </w:p>
        </w:tc>
        <w:tc>
          <w:tcPr>
            <w:tcW w:w="406" w:type="pct"/>
            <w:tcBorders>
              <w:bottom w:val="single" w:sz="4" w:space="0" w:color="000000"/>
            </w:tcBorders>
          </w:tcPr>
          <w:p w14:paraId="038A41F5" w14:textId="77777777" w:rsidR="00ED4C94" w:rsidRPr="00F33C1D" w:rsidRDefault="00ED4C94" w:rsidP="001A5D4A">
            <w:pPr>
              <w:pStyle w:val="NotesTable-CellPlain"/>
            </w:pPr>
            <w:r w:rsidRPr="00F33C1D">
              <w:t>–</w:t>
            </w:r>
          </w:p>
        </w:tc>
      </w:tr>
      <w:tr w:rsidR="00ED4C94" w14:paraId="038A41FD" w14:textId="77777777" w:rsidTr="00261A68">
        <w:trPr>
          <w:cantSplit/>
          <w:trHeight w:hRule="exact" w:val="227"/>
        </w:trPr>
        <w:tc>
          <w:tcPr>
            <w:tcW w:w="809" w:type="pct"/>
            <w:gridSpan w:val="2"/>
          </w:tcPr>
          <w:p w14:paraId="038A41F7" w14:textId="77777777" w:rsidR="00ED4C94" w:rsidRDefault="00ED4C94" w:rsidP="001A5D4A">
            <w:pPr>
              <w:pStyle w:val="Note-Refs"/>
            </w:pPr>
          </w:p>
        </w:tc>
        <w:tc>
          <w:tcPr>
            <w:tcW w:w="2367" w:type="pct"/>
            <w:vAlign w:val="bottom"/>
          </w:tcPr>
          <w:p w14:paraId="379108F4" w14:textId="77777777" w:rsidR="00ED4C94" w:rsidRDefault="00ED4C94" w:rsidP="001A5D4A">
            <w:pPr>
              <w:pStyle w:val="NotesTable-ItemPlain"/>
              <w:rPr>
                <w:b/>
              </w:rPr>
            </w:pPr>
            <w:r>
              <w:t>Total financial assets</w:t>
            </w:r>
          </w:p>
        </w:tc>
        <w:tc>
          <w:tcPr>
            <w:tcW w:w="200" w:type="pct"/>
            <w:vAlign w:val="bottom"/>
          </w:tcPr>
          <w:p w14:paraId="038A41F8" w14:textId="7B744BE8" w:rsidR="00ED4C94" w:rsidRDefault="00ED4C94" w:rsidP="001A5D4A">
            <w:pPr>
              <w:pStyle w:val="NotesTable-Notes"/>
            </w:pPr>
          </w:p>
        </w:tc>
        <w:tc>
          <w:tcPr>
            <w:tcW w:w="407" w:type="pct"/>
            <w:tcBorders>
              <w:top w:val="single" w:sz="4" w:space="0" w:color="000000"/>
            </w:tcBorders>
          </w:tcPr>
          <w:p w14:paraId="038A41F9" w14:textId="77777777" w:rsidR="00ED4C94" w:rsidRPr="00867646" w:rsidRDefault="00ED4C94" w:rsidP="001A5D4A">
            <w:pPr>
              <w:pStyle w:val="NotesTable-CellBold"/>
            </w:pPr>
            <w:r w:rsidRPr="00C50157">
              <w:t>–</w:t>
            </w:r>
          </w:p>
        </w:tc>
        <w:tc>
          <w:tcPr>
            <w:tcW w:w="406" w:type="pct"/>
            <w:tcBorders>
              <w:top w:val="single" w:sz="4" w:space="0" w:color="000000"/>
            </w:tcBorders>
          </w:tcPr>
          <w:p w14:paraId="038A41FA" w14:textId="77777777" w:rsidR="00ED4C94" w:rsidRDefault="00ED4C94" w:rsidP="001A5D4A">
            <w:pPr>
              <w:pStyle w:val="NotesTable-CellPlain"/>
            </w:pPr>
            <w:r>
              <w:t>–</w:t>
            </w:r>
          </w:p>
        </w:tc>
        <w:tc>
          <w:tcPr>
            <w:tcW w:w="406" w:type="pct"/>
            <w:tcBorders>
              <w:top w:val="single" w:sz="4" w:space="0" w:color="000000"/>
            </w:tcBorders>
          </w:tcPr>
          <w:p w14:paraId="038A41FB" w14:textId="77777777" w:rsidR="00ED4C94" w:rsidRPr="00867646" w:rsidRDefault="00ED4C94" w:rsidP="001A5D4A">
            <w:pPr>
              <w:pStyle w:val="NotesTable-CellBold"/>
            </w:pPr>
            <w:r w:rsidRPr="00C50157">
              <w:t>–</w:t>
            </w:r>
          </w:p>
        </w:tc>
        <w:tc>
          <w:tcPr>
            <w:tcW w:w="406" w:type="pct"/>
            <w:tcBorders>
              <w:top w:val="single" w:sz="4" w:space="0" w:color="000000"/>
            </w:tcBorders>
          </w:tcPr>
          <w:p w14:paraId="038A41FC" w14:textId="77777777" w:rsidR="00ED4C94" w:rsidRPr="00F33C1D" w:rsidRDefault="00ED4C94" w:rsidP="001A5D4A">
            <w:pPr>
              <w:pStyle w:val="NotesTable-CellPlain"/>
            </w:pPr>
            <w:r w:rsidRPr="00F33C1D">
              <w:t>–</w:t>
            </w:r>
          </w:p>
        </w:tc>
      </w:tr>
      <w:tr w:rsidR="00ED4C94" w14:paraId="5856F42D" w14:textId="77777777" w:rsidTr="00261A68">
        <w:trPr>
          <w:cantSplit/>
          <w:trHeight w:hRule="exact" w:val="227"/>
        </w:trPr>
        <w:tc>
          <w:tcPr>
            <w:tcW w:w="809" w:type="pct"/>
            <w:gridSpan w:val="2"/>
          </w:tcPr>
          <w:p w14:paraId="16A0FC27" w14:textId="77777777" w:rsidR="00ED4C94" w:rsidRDefault="00ED4C94" w:rsidP="001A5D4A">
            <w:pPr>
              <w:pStyle w:val="Note-Refs"/>
            </w:pPr>
          </w:p>
        </w:tc>
        <w:tc>
          <w:tcPr>
            <w:tcW w:w="4191" w:type="pct"/>
            <w:gridSpan w:val="6"/>
            <w:vAlign w:val="bottom"/>
          </w:tcPr>
          <w:p w14:paraId="38F634DE" w14:textId="77777777" w:rsidR="00ED4C94" w:rsidRDefault="00ED4C94" w:rsidP="001A5D4A">
            <w:pPr>
              <w:pStyle w:val="NotesTable-ItemPlain"/>
            </w:pPr>
          </w:p>
        </w:tc>
      </w:tr>
      <w:tr w:rsidR="00ED4C94" w14:paraId="434E9F47" w14:textId="77777777" w:rsidTr="00261A68">
        <w:trPr>
          <w:cantSplit/>
          <w:trHeight w:hRule="exact" w:val="227"/>
        </w:trPr>
        <w:tc>
          <w:tcPr>
            <w:tcW w:w="809" w:type="pct"/>
            <w:gridSpan w:val="2"/>
          </w:tcPr>
          <w:p w14:paraId="5DC9889D" w14:textId="77777777" w:rsidR="00ED4C94" w:rsidRDefault="00ED4C94" w:rsidP="001A5D4A">
            <w:pPr>
              <w:pStyle w:val="Note-Refs"/>
            </w:pPr>
          </w:p>
        </w:tc>
        <w:tc>
          <w:tcPr>
            <w:tcW w:w="4191" w:type="pct"/>
            <w:gridSpan w:val="6"/>
            <w:vAlign w:val="bottom"/>
          </w:tcPr>
          <w:p w14:paraId="178ACFB2" w14:textId="711BB4FD" w:rsidR="00ED4C94" w:rsidRDefault="00ED4C94" w:rsidP="001A5D4A">
            <w:pPr>
              <w:pStyle w:val="NotesTable-ItemBold"/>
            </w:pPr>
            <w:r>
              <w:t>Non-</w:t>
            </w:r>
            <w:r w:rsidR="005D4154">
              <w:t>f</w:t>
            </w:r>
            <w:r>
              <w:t>inancial assets</w:t>
            </w:r>
          </w:p>
        </w:tc>
      </w:tr>
      <w:tr w:rsidR="00ED4C94" w14:paraId="038A4200" w14:textId="77777777" w:rsidTr="00261A68">
        <w:trPr>
          <w:cantSplit/>
          <w:trHeight w:hRule="exact" w:val="227"/>
        </w:trPr>
        <w:tc>
          <w:tcPr>
            <w:tcW w:w="809" w:type="pct"/>
            <w:gridSpan w:val="2"/>
          </w:tcPr>
          <w:p w14:paraId="038A41FE" w14:textId="77777777" w:rsidR="00ED4C94" w:rsidRDefault="00ED4C94" w:rsidP="001A5D4A">
            <w:pPr>
              <w:pStyle w:val="Note-Refs"/>
            </w:pPr>
          </w:p>
        </w:tc>
        <w:tc>
          <w:tcPr>
            <w:tcW w:w="2367" w:type="pct"/>
            <w:vAlign w:val="bottom"/>
          </w:tcPr>
          <w:p w14:paraId="4B14B388" w14:textId="77777777" w:rsidR="00ED4C94" w:rsidRDefault="00ED4C94" w:rsidP="001A5D4A">
            <w:pPr>
              <w:pStyle w:val="NotesTable-ItemPlain"/>
            </w:pPr>
            <w:r>
              <w:t>NCAs and disposal groups for sale</w:t>
            </w:r>
          </w:p>
        </w:tc>
        <w:tc>
          <w:tcPr>
            <w:tcW w:w="200" w:type="pct"/>
            <w:vAlign w:val="bottom"/>
          </w:tcPr>
          <w:p w14:paraId="661003FA" w14:textId="45AFEE97" w:rsidR="00ED4C94" w:rsidRDefault="00ED4C94" w:rsidP="001A5D4A">
            <w:pPr>
              <w:pStyle w:val="NotesTable-Notes"/>
            </w:pPr>
            <w:r>
              <w:t>22</w:t>
            </w:r>
          </w:p>
        </w:tc>
        <w:tc>
          <w:tcPr>
            <w:tcW w:w="407" w:type="pct"/>
          </w:tcPr>
          <w:p w14:paraId="0F758B1B" w14:textId="03A044C2" w:rsidR="00ED4C94" w:rsidRDefault="00ED4C94" w:rsidP="001A5D4A">
            <w:pPr>
              <w:pStyle w:val="NotesTable-CellBold"/>
            </w:pPr>
            <w:r w:rsidRPr="00C50157">
              <w:t>–</w:t>
            </w:r>
          </w:p>
        </w:tc>
        <w:tc>
          <w:tcPr>
            <w:tcW w:w="406" w:type="pct"/>
          </w:tcPr>
          <w:p w14:paraId="2B6632E6" w14:textId="367A7442" w:rsidR="00ED4C94" w:rsidRDefault="00ED4C94" w:rsidP="001A5D4A">
            <w:pPr>
              <w:pStyle w:val="NotesTable-CellPlain"/>
            </w:pPr>
            <w:r>
              <w:t>–</w:t>
            </w:r>
          </w:p>
        </w:tc>
        <w:tc>
          <w:tcPr>
            <w:tcW w:w="406" w:type="pct"/>
          </w:tcPr>
          <w:p w14:paraId="0ABB5BDA" w14:textId="12CAE125" w:rsidR="00ED4C94" w:rsidRDefault="00ED4C94" w:rsidP="001A5D4A">
            <w:pPr>
              <w:pStyle w:val="NotesTable-CellBold"/>
            </w:pPr>
            <w:r w:rsidRPr="00C50157">
              <w:t>–</w:t>
            </w:r>
          </w:p>
        </w:tc>
        <w:tc>
          <w:tcPr>
            <w:tcW w:w="406" w:type="pct"/>
          </w:tcPr>
          <w:p w14:paraId="038A41FF" w14:textId="0C2C01C4" w:rsidR="00ED4C94" w:rsidRDefault="00ED4C94" w:rsidP="001A5D4A">
            <w:pPr>
              <w:pStyle w:val="NotesTable-CellPlain"/>
            </w:pPr>
            <w:r w:rsidRPr="00F33C1D">
              <w:t>–</w:t>
            </w:r>
          </w:p>
        </w:tc>
      </w:tr>
      <w:tr w:rsidR="00ED4C94" w14:paraId="04DC4315" w14:textId="77777777" w:rsidTr="00261A68">
        <w:trPr>
          <w:cantSplit/>
          <w:trHeight w:hRule="exact" w:val="227"/>
        </w:trPr>
        <w:tc>
          <w:tcPr>
            <w:tcW w:w="809" w:type="pct"/>
            <w:gridSpan w:val="2"/>
          </w:tcPr>
          <w:p w14:paraId="2260CB6B" w14:textId="77777777" w:rsidR="00ED4C94" w:rsidRDefault="00ED4C94" w:rsidP="001A5D4A">
            <w:pPr>
              <w:pStyle w:val="Note-Refs"/>
            </w:pPr>
          </w:p>
        </w:tc>
        <w:tc>
          <w:tcPr>
            <w:tcW w:w="2367" w:type="pct"/>
            <w:vAlign w:val="bottom"/>
          </w:tcPr>
          <w:p w14:paraId="5B175355" w14:textId="77777777" w:rsidR="00ED4C94" w:rsidRDefault="00ED4C94" w:rsidP="001A5D4A">
            <w:pPr>
              <w:pStyle w:val="NotesTable-ItemPlain"/>
            </w:pPr>
            <w:r>
              <w:t>Other non-financial assets</w:t>
            </w:r>
          </w:p>
        </w:tc>
        <w:tc>
          <w:tcPr>
            <w:tcW w:w="200" w:type="pct"/>
            <w:vAlign w:val="bottom"/>
          </w:tcPr>
          <w:p w14:paraId="766896FE" w14:textId="0960FCFD" w:rsidR="00ED4C94" w:rsidRDefault="00ED4C94" w:rsidP="001A5D4A">
            <w:pPr>
              <w:pStyle w:val="NotesTable-Notes"/>
            </w:pPr>
            <w:r>
              <w:t>23</w:t>
            </w:r>
          </w:p>
        </w:tc>
        <w:tc>
          <w:tcPr>
            <w:tcW w:w="407" w:type="pct"/>
          </w:tcPr>
          <w:p w14:paraId="25758749" w14:textId="79CCC3CC" w:rsidR="00ED4C94" w:rsidRPr="00C50157" w:rsidRDefault="00ED4C94" w:rsidP="001A5D4A">
            <w:pPr>
              <w:pStyle w:val="NotesTable-CellBold"/>
            </w:pPr>
            <w:r w:rsidRPr="00C50157">
              <w:t>–</w:t>
            </w:r>
          </w:p>
        </w:tc>
        <w:tc>
          <w:tcPr>
            <w:tcW w:w="406" w:type="pct"/>
          </w:tcPr>
          <w:p w14:paraId="28D3BC7C" w14:textId="3F8058E7" w:rsidR="00ED4C94" w:rsidRDefault="00ED4C94" w:rsidP="001A5D4A">
            <w:pPr>
              <w:pStyle w:val="NotesTable-CellPlain"/>
            </w:pPr>
            <w:r>
              <w:t>–</w:t>
            </w:r>
          </w:p>
        </w:tc>
        <w:tc>
          <w:tcPr>
            <w:tcW w:w="406" w:type="pct"/>
          </w:tcPr>
          <w:p w14:paraId="5DF2A707" w14:textId="39DF700F" w:rsidR="00ED4C94" w:rsidRPr="00C50157" w:rsidRDefault="00ED4C94" w:rsidP="001A5D4A">
            <w:pPr>
              <w:pStyle w:val="NotesTable-CellBold"/>
            </w:pPr>
            <w:r w:rsidRPr="00C50157">
              <w:t>–</w:t>
            </w:r>
          </w:p>
        </w:tc>
        <w:tc>
          <w:tcPr>
            <w:tcW w:w="406" w:type="pct"/>
          </w:tcPr>
          <w:p w14:paraId="40FEAA69" w14:textId="4BDAB6A1" w:rsidR="00ED4C94" w:rsidRPr="00F33C1D" w:rsidRDefault="00ED4C94" w:rsidP="001A5D4A">
            <w:pPr>
              <w:pStyle w:val="NotesTable-CellPlain"/>
            </w:pPr>
            <w:r w:rsidRPr="00F33C1D">
              <w:t>–</w:t>
            </w:r>
          </w:p>
        </w:tc>
      </w:tr>
      <w:tr w:rsidR="00ED4C94" w14:paraId="7D2A49AA" w14:textId="77777777" w:rsidTr="00261A68">
        <w:trPr>
          <w:cantSplit/>
          <w:trHeight w:hRule="exact" w:val="227"/>
        </w:trPr>
        <w:tc>
          <w:tcPr>
            <w:tcW w:w="809" w:type="pct"/>
            <w:gridSpan w:val="2"/>
          </w:tcPr>
          <w:p w14:paraId="4815CC0E" w14:textId="77777777" w:rsidR="00ED4C94" w:rsidRDefault="00ED4C94" w:rsidP="001A5D4A">
            <w:pPr>
              <w:pStyle w:val="Note-Refs"/>
            </w:pPr>
          </w:p>
        </w:tc>
        <w:tc>
          <w:tcPr>
            <w:tcW w:w="2367" w:type="pct"/>
            <w:vAlign w:val="bottom"/>
          </w:tcPr>
          <w:p w14:paraId="07420EEE" w14:textId="5A58F944" w:rsidR="00ED4C94" w:rsidRDefault="00ED4C94" w:rsidP="001A5D4A">
            <w:pPr>
              <w:pStyle w:val="NotesTable-ItemPlain"/>
            </w:pPr>
            <w:r>
              <w:t>[Specify]</w:t>
            </w:r>
          </w:p>
        </w:tc>
        <w:tc>
          <w:tcPr>
            <w:tcW w:w="200" w:type="pct"/>
            <w:vAlign w:val="bottom"/>
          </w:tcPr>
          <w:p w14:paraId="0C4382C7" w14:textId="77777777" w:rsidR="00ED4C94" w:rsidRDefault="00ED4C94" w:rsidP="001A5D4A">
            <w:pPr>
              <w:pStyle w:val="NotesTable-Notes"/>
            </w:pPr>
          </w:p>
        </w:tc>
        <w:tc>
          <w:tcPr>
            <w:tcW w:w="407" w:type="pct"/>
          </w:tcPr>
          <w:p w14:paraId="14FCB641" w14:textId="209D2DC2" w:rsidR="00ED4C94" w:rsidRPr="00C50157" w:rsidRDefault="00ED4C94" w:rsidP="001A5D4A">
            <w:pPr>
              <w:pStyle w:val="NotesTable-CellBold"/>
            </w:pPr>
            <w:r w:rsidRPr="00C50157">
              <w:t>–</w:t>
            </w:r>
          </w:p>
        </w:tc>
        <w:tc>
          <w:tcPr>
            <w:tcW w:w="406" w:type="pct"/>
          </w:tcPr>
          <w:p w14:paraId="3DE8AAAA" w14:textId="48F13B33" w:rsidR="00ED4C94" w:rsidRDefault="00ED4C94" w:rsidP="001A5D4A">
            <w:pPr>
              <w:pStyle w:val="NotesTable-CellPlain"/>
            </w:pPr>
            <w:r>
              <w:t>–</w:t>
            </w:r>
          </w:p>
        </w:tc>
        <w:tc>
          <w:tcPr>
            <w:tcW w:w="406" w:type="pct"/>
          </w:tcPr>
          <w:p w14:paraId="21E80770" w14:textId="6978F78E" w:rsidR="00ED4C94" w:rsidRPr="00C50157" w:rsidRDefault="00ED4C94" w:rsidP="001A5D4A">
            <w:pPr>
              <w:pStyle w:val="NotesTable-CellBold"/>
            </w:pPr>
            <w:r w:rsidRPr="00C50157">
              <w:t>–</w:t>
            </w:r>
          </w:p>
        </w:tc>
        <w:tc>
          <w:tcPr>
            <w:tcW w:w="406" w:type="pct"/>
          </w:tcPr>
          <w:p w14:paraId="5D7218B2" w14:textId="60BDEF3B" w:rsidR="00ED4C94" w:rsidRPr="00F33C1D" w:rsidRDefault="00ED4C94" w:rsidP="001A5D4A">
            <w:pPr>
              <w:pStyle w:val="NotesTable-CellPlain"/>
            </w:pPr>
            <w:r w:rsidRPr="00F33C1D">
              <w:t>–</w:t>
            </w:r>
          </w:p>
        </w:tc>
      </w:tr>
      <w:tr w:rsidR="00ED4C94" w14:paraId="3379F4B1" w14:textId="77777777" w:rsidTr="00261A68">
        <w:trPr>
          <w:cantSplit/>
          <w:trHeight w:hRule="exact" w:val="227"/>
        </w:trPr>
        <w:tc>
          <w:tcPr>
            <w:tcW w:w="809" w:type="pct"/>
            <w:gridSpan w:val="2"/>
          </w:tcPr>
          <w:p w14:paraId="39CC2CB8" w14:textId="77777777" w:rsidR="00ED4C94" w:rsidRDefault="00ED4C94" w:rsidP="001A5D4A">
            <w:pPr>
              <w:pStyle w:val="Note-Refs"/>
            </w:pPr>
          </w:p>
        </w:tc>
        <w:tc>
          <w:tcPr>
            <w:tcW w:w="2567" w:type="pct"/>
            <w:gridSpan w:val="2"/>
            <w:vAlign w:val="bottom"/>
          </w:tcPr>
          <w:p w14:paraId="68DC6289" w14:textId="77777777" w:rsidR="00ED4C94" w:rsidRDefault="00ED4C94" w:rsidP="001A5D4A">
            <w:pPr>
              <w:pStyle w:val="NotesTable-ItemPlain"/>
            </w:pPr>
          </w:p>
        </w:tc>
        <w:tc>
          <w:tcPr>
            <w:tcW w:w="407" w:type="pct"/>
          </w:tcPr>
          <w:p w14:paraId="69BD1DD9" w14:textId="77777777" w:rsidR="00ED4C94" w:rsidRDefault="00ED4C94" w:rsidP="001A5D4A">
            <w:pPr>
              <w:pStyle w:val="NotesTable-CellBold"/>
            </w:pPr>
          </w:p>
        </w:tc>
        <w:tc>
          <w:tcPr>
            <w:tcW w:w="406" w:type="pct"/>
          </w:tcPr>
          <w:p w14:paraId="172F063F" w14:textId="77777777" w:rsidR="00ED4C94" w:rsidRDefault="00ED4C94" w:rsidP="001A5D4A">
            <w:pPr>
              <w:pStyle w:val="NotesTable-CellPlain"/>
            </w:pPr>
          </w:p>
        </w:tc>
        <w:tc>
          <w:tcPr>
            <w:tcW w:w="406" w:type="pct"/>
          </w:tcPr>
          <w:p w14:paraId="020F4E65" w14:textId="77777777" w:rsidR="00ED4C94" w:rsidRDefault="00ED4C94" w:rsidP="001A5D4A">
            <w:pPr>
              <w:pStyle w:val="NotesTable-CellBold"/>
            </w:pPr>
          </w:p>
        </w:tc>
        <w:tc>
          <w:tcPr>
            <w:tcW w:w="406" w:type="pct"/>
          </w:tcPr>
          <w:p w14:paraId="203F3250" w14:textId="77777777" w:rsidR="00ED4C94" w:rsidRDefault="00ED4C94" w:rsidP="001A5D4A">
            <w:pPr>
              <w:pStyle w:val="NotesTable-CellPlain"/>
            </w:pPr>
          </w:p>
        </w:tc>
      </w:tr>
      <w:tr w:rsidR="00A73253" w14:paraId="038A4207" w14:textId="77777777" w:rsidTr="00261A68">
        <w:trPr>
          <w:cantSplit/>
          <w:trHeight w:hRule="exact" w:val="227"/>
        </w:trPr>
        <w:tc>
          <w:tcPr>
            <w:tcW w:w="809" w:type="pct"/>
            <w:gridSpan w:val="2"/>
          </w:tcPr>
          <w:p w14:paraId="038A4201" w14:textId="77777777" w:rsidR="00A73253" w:rsidRDefault="00A73253" w:rsidP="001A5D4A">
            <w:pPr>
              <w:pStyle w:val="Note-Refs"/>
            </w:pPr>
          </w:p>
        </w:tc>
        <w:tc>
          <w:tcPr>
            <w:tcW w:w="2567" w:type="pct"/>
            <w:gridSpan w:val="2"/>
            <w:vAlign w:val="bottom"/>
          </w:tcPr>
          <w:p w14:paraId="038A4202" w14:textId="77777777" w:rsidR="00A73253" w:rsidRDefault="00A73253" w:rsidP="001A5D4A">
            <w:pPr>
              <w:pStyle w:val="NotesTable-ItemBold"/>
            </w:pPr>
            <w:r>
              <w:t>Financial liabilities</w:t>
            </w:r>
          </w:p>
        </w:tc>
        <w:tc>
          <w:tcPr>
            <w:tcW w:w="407" w:type="pct"/>
          </w:tcPr>
          <w:p w14:paraId="038A4203" w14:textId="77777777" w:rsidR="00A73253" w:rsidRDefault="00A73253" w:rsidP="001A5D4A">
            <w:pPr>
              <w:pStyle w:val="NotesTable-CellBold"/>
            </w:pPr>
          </w:p>
        </w:tc>
        <w:tc>
          <w:tcPr>
            <w:tcW w:w="406" w:type="pct"/>
          </w:tcPr>
          <w:p w14:paraId="038A4204" w14:textId="77777777" w:rsidR="00A73253" w:rsidRDefault="00A73253" w:rsidP="001A5D4A">
            <w:pPr>
              <w:pStyle w:val="NotesTable-CellPlain"/>
            </w:pPr>
          </w:p>
        </w:tc>
        <w:tc>
          <w:tcPr>
            <w:tcW w:w="406" w:type="pct"/>
          </w:tcPr>
          <w:p w14:paraId="038A4205" w14:textId="77777777" w:rsidR="00A73253" w:rsidRDefault="00A73253" w:rsidP="001A5D4A">
            <w:pPr>
              <w:pStyle w:val="NotesTable-CellBold"/>
            </w:pPr>
          </w:p>
        </w:tc>
        <w:tc>
          <w:tcPr>
            <w:tcW w:w="406" w:type="pct"/>
          </w:tcPr>
          <w:p w14:paraId="038A4206" w14:textId="77777777" w:rsidR="00A73253" w:rsidRDefault="00A73253" w:rsidP="001A5D4A">
            <w:pPr>
              <w:pStyle w:val="NotesTable-CellPlain"/>
            </w:pPr>
          </w:p>
        </w:tc>
      </w:tr>
      <w:tr w:rsidR="00ED4C94" w14:paraId="038A420E" w14:textId="77777777" w:rsidTr="00261A68">
        <w:trPr>
          <w:cantSplit/>
          <w:trHeight w:hRule="exact" w:val="227"/>
        </w:trPr>
        <w:tc>
          <w:tcPr>
            <w:tcW w:w="809" w:type="pct"/>
            <w:gridSpan w:val="2"/>
          </w:tcPr>
          <w:p w14:paraId="038A4208" w14:textId="77777777" w:rsidR="00ED4C94" w:rsidRDefault="00ED4C94" w:rsidP="001A5D4A">
            <w:pPr>
              <w:pStyle w:val="Note-Refs"/>
            </w:pPr>
          </w:p>
        </w:tc>
        <w:tc>
          <w:tcPr>
            <w:tcW w:w="2367" w:type="pct"/>
            <w:vAlign w:val="bottom"/>
          </w:tcPr>
          <w:p w14:paraId="1A7436B4" w14:textId="77777777" w:rsidR="00ED4C94" w:rsidRDefault="00ED4C94" w:rsidP="001A5D4A">
            <w:pPr>
              <w:pStyle w:val="NotesTable-ItemPlain"/>
              <w:rPr>
                <w:b/>
              </w:rPr>
            </w:pPr>
            <w:r>
              <w:t>Payables</w:t>
            </w:r>
          </w:p>
        </w:tc>
        <w:tc>
          <w:tcPr>
            <w:tcW w:w="200" w:type="pct"/>
            <w:vAlign w:val="bottom"/>
          </w:tcPr>
          <w:p w14:paraId="038A4209" w14:textId="1D27C9C4" w:rsidR="00ED4C94" w:rsidRDefault="00ED4C94" w:rsidP="001A5D4A">
            <w:pPr>
              <w:pStyle w:val="NotesTable-Notes"/>
            </w:pPr>
          </w:p>
        </w:tc>
        <w:tc>
          <w:tcPr>
            <w:tcW w:w="407" w:type="pct"/>
          </w:tcPr>
          <w:p w14:paraId="038A420A" w14:textId="77777777" w:rsidR="00ED4C94" w:rsidRPr="00867646" w:rsidRDefault="00ED4C94" w:rsidP="001A5D4A">
            <w:pPr>
              <w:pStyle w:val="NotesTable-CellBold"/>
            </w:pPr>
            <w:r w:rsidRPr="00C50157">
              <w:t>–</w:t>
            </w:r>
          </w:p>
        </w:tc>
        <w:tc>
          <w:tcPr>
            <w:tcW w:w="406" w:type="pct"/>
          </w:tcPr>
          <w:p w14:paraId="038A420B" w14:textId="77777777" w:rsidR="00ED4C94" w:rsidRDefault="00ED4C94" w:rsidP="001A5D4A">
            <w:pPr>
              <w:pStyle w:val="NotesTable-CellPlain"/>
            </w:pPr>
            <w:r>
              <w:t>–</w:t>
            </w:r>
          </w:p>
        </w:tc>
        <w:tc>
          <w:tcPr>
            <w:tcW w:w="406" w:type="pct"/>
          </w:tcPr>
          <w:p w14:paraId="038A420C" w14:textId="77777777" w:rsidR="00ED4C94" w:rsidRPr="00867646" w:rsidRDefault="00ED4C94" w:rsidP="001A5D4A">
            <w:pPr>
              <w:pStyle w:val="NotesTable-CellBold"/>
            </w:pPr>
            <w:r w:rsidRPr="00C50157">
              <w:t>–</w:t>
            </w:r>
          </w:p>
        </w:tc>
        <w:tc>
          <w:tcPr>
            <w:tcW w:w="406" w:type="pct"/>
          </w:tcPr>
          <w:p w14:paraId="038A420D" w14:textId="77777777" w:rsidR="00ED4C94" w:rsidRPr="00F33C1D" w:rsidRDefault="00ED4C94" w:rsidP="001A5D4A">
            <w:pPr>
              <w:pStyle w:val="NotesTable-CellPlain"/>
            </w:pPr>
            <w:r w:rsidRPr="00F33C1D">
              <w:t>–</w:t>
            </w:r>
          </w:p>
        </w:tc>
      </w:tr>
      <w:tr w:rsidR="00ED4C94" w14:paraId="038A4215" w14:textId="77777777" w:rsidTr="00261A68">
        <w:trPr>
          <w:cantSplit/>
          <w:trHeight w:hRule="exact" w:val="227"/>
        </w:trPr>
        <w:tc>
          <w:tcPr>
            <w:tcW w:w="809" w:type="pct"/>
            <w:gridSpan w:val="2"/>
          </w:tcPr>
          <w:p w14:paraId="038A420F" w14:textId="77777777" w:rsidR="00ED4C94" w:rsidRDefault="00ED4C94" w:rsidP="001A5D4A">
            <w:pPr>
              <w:pStyle w:val="Note-Refs"/>
            </w:pPr>
          </w:p>
        </w:tc>
        <w:tc>
          <w:tcPr>
            <w:tcW w:w="2367" w:type="pct"/>
            <w:vAlign w:val="bottom"/>
          </w:tcPr>
          <w:p w14:paraId="18A7C863" w14:textId="77777777" w:rsidR="00ED4C94" w:rsidRDefault="00ED4C94" w:rsidP="001A5D4A">
            <w:pPr>
              <w:pStyle w:val="NotesTable-ItemPlain"/>
              <w:rPr>
                <w:b/>
              </w:rPr>
            </w:pPr>
            <w:r>
              <w:t>Borrowings</w:t>
            </w:r>
          </w:p>
        </w:tc>
        <w:tc>
          <w:tcPr>
            <w:tcW w:w="200" w:type="pct"/>
            <w:vAlign w:val="bottom"/>
          </w:tcPr>
          <w:p w14:paraId="038A4210" w14:textId="718F92CE" w:rsidR="00ED4C94" w:rsidRDefault="00ED4C94" w:rsidP="001A5D4A">
            <w:pPr>
              <w:pStyle w:val="NotesTable-Notes"/>
            </w:pPr>
            <w:r>
              <w:t>30</w:t>
            </w:r>
          </w:p>
        </w:tc>
        <w:tc>
          <w:tcPr>
            <w:tcW w:w="407" w:type="pct"/>
          </w:tcPr>
          <w:p w14:paraId="038A4211" w14:textId="77777777" w:rsidR="00ED4C94" w:rsidRPr="00867646" w:rsidRDefault="00ED4C94" w:rsidP="001A5D4A">
            <w:pPr>
              <w:pStyle w:val="NotesTable-CellBold"/>
            </w:pPr>
            <w:r w:rsidRPr="00C50157">
              <w:t>–</w:t>
            </w:r>
          </w:p>
        </w:tc>
        <w:tc>
          <w:tcPr>
            <w:tcW w:w="406" w:type="pct"/>
          </w:tcPr>
          <w:p w14:paraId="038A4212" w14:textId="77777777" w:rsidR="00ED4C94" w:rsidRDefault="00ED4C94" w:rsidP="001A5D4A">
            <w:pPr>
              <w:pStyle w:val="NotesTable-CellPlain"/>
            </w:pPr>
            <w:r>
              <w:t>–</w:t>
            </w:r>
          </w:p>
        </w:tc>
        <w:tc>
          <w:tcPr>
            <w:tcW w:w="406" w:type="pct"/>
          </w:tcPr>
          <w:p w14:paraId="038A4213" w14:textId="77777777" w:rsidR="00ED4C94" w:rsidRPr="00867646" w:rsidRDefault="00ED4C94" w:rsidP="001A5D4A">
            <w:pPr>
              <w:pStyle w:val="NotesTable-CellBold"/>
            </w:pPr>
            <w:r w:rsidRPr="00C50157">
              <w:t>–</w:t>
            </w:r>
          </w:p>
        </w:tc>
        <w:tc>
          <w:tcPr>
            <w:tcW w:w="406" w:type="pct"/>
          </w:tcPr>
          <w:p w14:paraId="038A4214" w14:textId="77777777" w:rsidR="00ED4C94" w:rsidRPr="00F33C1D" w:rsidRDefault="00ED4C94" w:rsidP="001A5D4A">
            <w:pPr>
              <w:pStyle w:val="NotesTable-CellPlain"/>
            </w:pPr>
            <w:r w:rsidRPr="00F33C1D">
              <w:t>–</w:t>
            </w:r>
          </w:p>
        </w:tc>
      </w:tr>
      <w:tr w:rsidR="00ED4C94" w14:paraId="038A421C" w14:textId="77777777" w:rsidTr="00261A68">
        <w:trPr>
          <w:cantSplit/>
          <w:trHeight w:hRule="exact" w:val="227"/>
        </w:trPr>
        <w:tc>
          <w:tcPr>
            <w:tcW w:w="809" w:type="pct"/>
            <w:gridSpan w:val="2"/>
          </w:tcPr>
          <w:p w14:paraId="038A4216" w14:textId="77777777" w:rsidR="00ED4C94" w:rsidRDefault="00ED4C94" w:rsidP="001A5D4A">
            <w:pPr>
              <w:pStyle w:val="Note-Refs"/>
            </w:pPr>
          </w:p>
        </w:tc>
        <w:tc>
          <w:tcPr>
            <w:tcW w:w="2367" w:type="pct"/>
            <w:vAlign w:val="bottom"/>
          </w:tcPr>
          <w:p w14:paraId="08974ED8" w14:textId="77777777" w:rsidR="00ED4C94" w:rsidRDefault="00ED4C94" w:rsidP="001A5D4A">
            <w:pPr>
              <w:pStyle w:val="NotesTable-ItemPlain"/>
              <w:rPr>
                <w:b/>
              </w:rPr>
            </w:pPr>
            <w:r>
              <w:t>Other financial liabilities</w:t>
            </w:r>
          </w:p>
        </w:tc>
        <w:tc>
          <w:tcPr>
            <w:tcW w:w="200" w:type="pct"/>
            <w:vAlign w:val="bottom"/>
          </w:tcPr>
          <w:p w14:paraId="038A4217" w14:textId="2BFFEA04" w:rsidR="00ED4C94" w:rsidRDefault="00ED4C94" w:rsidP="001A5D4A">
            <w:pPr>
              <w:pStyle w:val="NotesTable-Notes"/>
            </w:pPr>
            <w:r>
              <w:t>32</w:t>
            </w:r>
          </w:p>
        </w:tc>
        <w:tc>
          <w:tcPr>
            <w:tcW w:w="407" w:type="pct"/>
          </w:tcPr>
          <w:p w14:paraId="038A4218" w14:textId="77777777" w:rsidR="00ED4C94" w:rsidRPr="00867646" w:rsidRDefault="00ED4C94" w:rsidP="001A5D4A">
            <w:pPr>
              <w:pStyle w:val="NotesTable-CellBold"/>
            </w:pPr>
            <w:r w:rsidRPr="00C50157">
              <w:t>–</w:t>
            </w:r>
          </w:p>
        </w:tc>
        <w:tc>
          <w:tcPr>
            <w:tcW w:w="406" w:type="pct"/>
          </w:tcPr>
          <w:p w14:paraId="038A4219" w14:textId="77777777" w:rsidR="00ED4C94" w:rsidRDefault="00ED4C94" w:rsidP="001A5D4A">
            <w:pPr>
              <w:pStyle w:val="NotesTable-CellPlain"/>
            </w:pPr>
            <w:r>
              <w:t>–</w:t>
            </w:r>
          </w:p>
        </w:tc>
        <w:tc>
          <w:tcPr>
            <w:tcW w:w="406" w:type="pct"/>
          </w:tcPr>
          <w:p w14:paraId="038A421A" w14:textId="77777777" w:rsidR="00ED4C94" w:rsidRPr="00867646" w:rsidRDefault="00ED4C94" w:rsidP="001A5D4A">
            <w:pPr>
              <w:pStyle w:val="NotesTable-CellBold"/>
            </w:pPr>
            <w:r w:rsidRPr="00C50157">
              <w:t>–</w:t>
            </w:r>
          </w:p>
        </w:tc>
        <w:tc>
          <w:tcPr>
            <w:tcW w:w="406" w:type="pct"/>
          </w:tcPr>
          <w:p w14:paraId="038A421B" w14:textId="77777777" w:rsidR="00ED4C94" w:rsidRPr="00F33C1D" w:rsidRDefault="00ED4C94" w:rsidP="001A5D4A">
            <w:pPr>
              <w:pStyle w:val="NotesTable-CellPlain"/>
            </w:pPr>
            <w:r w:rsidRPr="00F33C1D">
              <w:t>–</w:t>
            </w:r>
          </w:p>
        </w:tc>
      </w:tr>
      <w:tr w:rsidR="00ED4C94" w14:paraId="038A4223" w14:textId="77777777" w:rsidTr="00261A68">
        <w:trPr>
          <w:cantSplit/>
          <w:trHeight w:hRule="exact" w:val="227"/>
        </w:trPr>
        <w:tc>
          <w:tcPr>
            <w:tcW w:w="809" w:type="pct"/>
            <w:gridSpan w:val="2"/>
          </w:tcPr>
          <w:p w14:paraId="038A421D" w14:textId="77777777" w:rsidR="00ED4C94" w:rsidRDefault="00ED4C94" w:rsidP="001A5D4A">
            <w:pPr>
              <w:pStyle w:val="Note-Refs"/>
            </w:pPr>
          </w:p>
        </w:tc>
        <w:tc>
          <w:tcPr>
            <w:tcW w:w="2367" w:type="pct"/>
            <w:vAlign w:val="bottom"/>
          </w:tcPr>
          <w:p w14:paraId="24B696BE" w14:textId="77777777" w:rsidR="00ED4C94" w:rsidRDefault="00ED4C94" w:rsidP="001A5D4A">
            <w:pPr>
              <w:pStyle w:val="NotesTable-ItemPlain"/>
              <w:rPr>
                <w:b/>
              </w:rPr>
            </w:pPr>
            <w:r>
              <w:t>[Specify]</w:t>
            </w:r>
          </w:p>
        </w:tc>
        <w:tc>
          <w:tcPr>
            <w:tcW w:w="200" w:type="pct"/>
            <w:vAlign w:val="bottom"/>
          </w:tcPr>
          <w:p w14:paraId="038A421E" w14:textId="355BFAF0" w:rsidR="00ED4C94" w:rsidRDefault="00ED4C94" w:rsidP="001A5D4A">
            <w:pPr>
              <w:pStyle w:val="NotesTable-Notes"/>
            </w:pPr>
          </w:p>
        </w:tc>
        <w:tc>
          <w:tcPr>
            <w:tcW w:w="407" w:type="pct"/>
            <w:tcBorders>
              <w:bottom w:val="single" w:sz="4" w:space="0" w:color="000000"/>
            </w:tcBorders>
          </w:tcPr>
          <w:p w14:paraId="038A421F" w14:textId="77777777" w:rsidR="00ED4C94" w:rsidRPr="00867646" w:rsidRDefault="00ED4C94" w:rsidP="001A5D4A">
            <w:pPr>
              <w:pStyle w:val="NotesTable-CellBold"/>
            </w:pPr>
            <w:r w:rsidRPr="00C50157">
              <w:t>–</w:t>
            </w:r>
          </w:p>
        </w:tc>
        <w:tc>
          <w:tcPr>
            <w:tcW w:w="406" w:type="pct"/>
            <w:tcBorders>
              <w:bottom w:val="single" w:sz="4" w:space="0" w:color="000000"/>
            </w:tcBorders>
          </w:tcPr>
          <w:p w14:paraId="038A4220" w14:textId="77777777" w:rsidR="00ED4C94" w:rsidRDefault="00ED4C94" w:rsidP="001A5D4A">
            <w:pPr>
              <w:pStyle w:val="NotesTable-CellPlain"/>
            </w:pPr>
            <w:r>
              <w:t>–</w:t>
            </w:r>
          </w:p>
        </w:tc>
        <w:tc>
          <w:tcPr>
            <w:tcW w:w="406" w:type="pct"/>
            <w:tcBorders>
              <w:bottom w:val="single" w:sz="4" w:space="0" w:color="000000"/>
            </w:tcBorders>
          </w:tcPr>
          <w:p w14:paraId="038A4221" w14:textId="77777777" w:rsidR="00ED4C94" w:rsidRPr="00867646" w:rsidRDefault="00ED4C94" w:rsidP="001A5D4A">
            <w:pPr>
              <w:pStyle w:val="NotesTable-CellBold"/>
            </w:pPr>
            <w:r w:rsidRPr="00C50157">
              <w:t>–</w:t>
            </w:r>
          </w:p>
        </w:tc>
        <w:tc>
          <w:tcPr>
            <w:tcW w:w="406" w:type="pct"/>
            <w:tcBorders>
              <w:bottom w:val="single" w:sz="4" w:space="0" w:color="000000"/>
            </w:tcBorders>
          </w:tcPr>
          <w:p w14:paraId="038A4222" w14:textId="77777777" w:rsidR="00ED4C94" w:rsidRPr="00F33C1D" w:rsidRDefault="00ED4C94" w:rsidP="001A5D4A">
            <w:pPr>
              <w:pStyle w:val="NotesTable-CellPlain"/>
            </w:pPr>
            <w:r w:rsidRPr="00F33C1D">
              <w:t>–</w:t>
            </w:r>
          </w:p>
        </w:tc>
      </w:tr>
      <w:tr w:rsidR="00ED4C94" w14:paraId="038A422A" w14:textId="77777777" w:rsidTr="00261A68">
        <w:trPr>
          <w:cantSplit/>
          <w:trHeight w:hRule="exact" w:val="227"/>
        </w:trPr>
        <w:tc>
          <w:tcPr>
            <w:tcW w:w="809" w:type="pct"/>
            <w:gridSpan w:val="2"/>
          </w:tcPr>
          <w:p w14:paraId="038A4224" w14:textId="77777777" w:rsidR="00ED4C94" w:rsidRDefault="00ED4C94" w:rsidP="001A5D4A">
            <w:pPr>
              <w:pStyle w:val="Note-Refs"/>
            </w:pPr>
          </w:p>
        </w:tc>
        <w:tc>
          <w:tcPr>
            <w:tcW w:w="2367" w:type="pct"/>
            <w:vAlign w:val="bottom"/>
          </w:tcPr>
          <w:p w14:paraId="13768A9A" w14:textId="77777777" w:rsidR="00ED4C94" w:rsidRDefault="00ED4C94" w:rsidP="001A5D4A">
            <w:pPr>
              <w:pStyle w:val="NotesTable-ItemPlain"/>
              <w:rPr>
                <w:b/>
              </w:rPr>
            </w:pPr>
            <w:r>
              <w:t>Total financial liabilities</w:t>
            </w:r>
          </w:p>
        </w:tc>
        <w:tc>
          <w:tcPr>
            <w:tcW w:w="200" w:type="pct"/>
            <w:vAlign w:val="bottom"/>
          </w:tcPr>
          <w:p w14:paraId="038A4225" w14:textId="2E6929D5" w:rsidR="00ED4C94" w:rsidRDefault="00ED4C94" w:rsidP="001A5D4A">
            <w:pPr>
              <w:pStyle w:val="NotesTable-Notes"/>
            </w:pPr>
          </w:p>
        </w:tc>
        <w:tc>
          <w:tcPr>
            <w:tcW w:w="407" w:type="pct"/>
            <w:tcBorders>
              <w:top w:val="single" w:sz="4" w:space="0" w:color="000000"/>
            </w:tcBorders>
          </w:tcPr>
          <w:p w14:paraId="038A4226" w14:textId="77777777" w:rsidR="00ED4C94" w:rsidRPr="00867646" w:rsidRDefault="00ED4C94" w:rsidP="001A5D4A">
            <w:pPr>
              <w:pStyle w:val="NotesTable-CellBold"/>
            </w:pPr>
            <w:r w:rsidRPr="00C50157">
              <w:t>–</w:t>
            </w:r>
          </w:p>
        </w:tc>
        <w:tc>
          <w:tcPr>
            <w:tcW w:w="406" w:type="pct"/>
            <w:tcBorders>
              <w:top w:val="single" w:sz="4" w:space="0" w:color="000000"/>
            </w:tcBorders>
          </w:tcPr>
          <w:p w14:paraId="038A4227" w14:textId="77777777" w:rsidR="00ED4C94" w:rsidRDefault="00ED4C94" w:rsidP="001A5D4A">
            <w:pPr>
              <w:pStyle w:val="NotesTable-CellPlain"/>
            </w:pPr>
            <w:r>
              <w:t>–</w:t>
            </w:r>
          </w:p>
        </w:tc>
        <w:tc>
          <w:tcPr>
            <w:tcW w:w="406" w:type="pct"/>
            <w:tcBorders>
              <w:top w:val="single" w:sz="4" w:space="0" w:color="000000"/>
            </w:tcBorders>
          </w:tcPr>
          <w:p w14:paraId="038A4228" w14:textId="77777777" w:rsidR="00ED4C94" w:rsidRPr="00867646" w:rsidRDefault="00ED4C94" w:rsidP="001A5D4A">
            <w:pPr>
              <w:pStyle w:val="NotesTable-CellBold"/>
            </w:pPr>
            <w:r w:rsidRPr="00C50157">
              <w:t>–</w:t>
            </w:r>
          </w:p>
        </w:tc>
        <w:tc>
          <w:tcPr>
            <w:tcW w:w="406" w:type="pct"/>
            <w:tcBorders>
              <w:top w:val="single" w:sz="4" w:space="0" w:color="000000"/>
            </w:tcBorders>
          </w:tcPr>
          <w:p w14:paraId="038A4229" w14:textId="77777777" w:rsidR="00ED4C94" w:rsidRPr="00F33C1D" w:rsidRDefault="00ED4C94" w:rsidP="001A5D4A">
            <w:pPr>
              <w:pStyle w:val="NotesTable-CellPlain"/>
            </w:pPr>
            <w:r w:rsidRPr="00F33C1D">
              <w:t>–</w:t>
            </w:r>
          </w:p>
        </w:tc>
      </w:tr>
      <w:tr w:rsidR="00D4126F" w:rsidRPr="00296FA7" w14:paraId="038A422D" w14:textId="77777777" w:rsidTr="00261A68">
        <w:trPr>
          <w:cantSplit/>
          <w:trHeight w:hRule="exact" w:val="85"/>
        </w:trPr>
        <w:tc>
          <w:tcPr>
            <w:tcW w:w="801" w:type="pct"/>
          </w:tcPr>
          <w:p w14:paraId="038A422B" w14:textId="77777777" w:rsidR="00D4126F" w:rsidRPr="00296FA7" w:rsidRDefault="00D4126F" w:rsidP="001A5D4A">
            <w:pPr>
              <w:snapToGrid w:val="0"/>
              <w:ind w:left="57" w:right="57"/>
              <w:rPr>
                <w:rFonts w:ascii="Arial" w:hAnsi="Arial" w:cs="Arial"/>
                <w:sz w:val="14"/>
              </w:rPr>
            </w:pPr>
          </w:p>
        </w:tc>
        <w:tc>
          <w:tcPr>
            <w:tcW w:w="4199" w:type="pct"/>
            <w:gridSpan w:val="7"/>
            <w:vAlign w:val="bottom"/>
          </w:tcPr>
          <w:p w14:paraId="038A422C" w14:textId="77777777" w:rsidR="00D4126F" w:rsidRPr="00296FA7" w:rsidRDefault="00D4126F" w:rsidP="001A5D4A">
            <w:pPr>
              <w:pStyle w:val="NotesTable-ItemPlain"/>
            </w:pPr>
          </w:p>
        </w:tc>
      </w:tr>
      <w:tr w:rsidR="00296FA7" w:rsidRPr="00296FA7" w14:paraId="038A4230" w14:textId="77777777" w:rsidTr="00261A68">
        <w:trPr>
          <w:cantSplit/>
          <w:trHeight w:val="227"/>
        </w:trPr>
        <w:tc>
          <w:tcPr>
            <w:tcW w:w="801" w:type="pct"/>
          </w:tcPr>
          <w:p w14:paraId="038A422E"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2F" w14:textId="77777777" w:rsidR="00296FA7" w:rsidRPr="00296FA7" w:rsidRDefault="00296FA7" w:rsidP="001A5D4A">
            <w:pPr>
              <w:pStyle w:val="NotesTable-ItemPlain"/>
            </w:pPr>
            <w:r w:rsidRPr="00296FA7">
              <w:t>The Group measures and recognises the following assets and liabilities at fair value on a recurring basis:</w:t>
            </w:r>
          </w:p>
        </w:tc>
      </w:tr>
      <w:tr w:rsidR="00296FA7" w:rsidRPr="00296FA7" w14:paraId="038A4233" w14:textId="77777777" w:rsidTr="00261A68">
        <w:trPr>
          <w:cantSplit/>
          <w:trHeight w:hRule="exact" w:val="227"/>
        </w:trPr>
        <w:tc>
          <w:tcPr>
            <w:tcW w:w="801" w:type="pct"/>
          </w:tcPr>
          <w:p w14:paraId="038A4231"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32"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 xml:space="preserve">Financial assets at fair value through profit or loss </w:t>
            </w:r>
          </w:p>
        </w:tc>
      </w:tr>
      <w:tr w:rsidR="00296FA7" w:rsidRPr="00296FA7" w14:paraId="038A4236" w14:textId="77777777" w:rsidTr="00261A68">
        <w:trPr>
          <w:cantSplit/>
          <w:trHeight w:hRule="exact" w:val="227"/>
        </w:trPr>
        <w:tc>
          <w:tcPr>
            <w:tcW w:w="801" w:type="pct"/>
          </w:tcPr>
          <w:p w14:paraId="038A4234"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35"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Derivative financial instruments</w:t>
            </w:r>
          </w:p>
        </w:tc>
      </w:tr>
      <w:tr w:rsidR="00296FA7" w:rsidRPr="00296FA7" w14:paraId="038A4239" w14:textId="77777777" w:rsidTr="00261A68">
        <w:trPr>
          <w:cantSplit/>
          <w:trHeight w:hRule="exact" w:val="227"/>
        </w:trPr>
        <w:tc>
          <w:tcPr>
            <w:tcW w:w="801" w:type="pct"/>
          </w:tcPr>
          <w:p w14:paraId="038A4237"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38"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Available-for-sale financial assets</w:t>
            </w:r>
          </w:p>
        </w:tc>
      </w:tr>
      <w:tr w:rsidR="00296FA7" w:rsidRPr="00296FA7" w14:paraId="038A423C" w14:textId="77777777" w:rsidTr="00261A68">
        <w:trPr>
          <w:cantSplit/>
          <w:trHeight w:hRule="exact" w:val="227"/>
        </w:trPr>
        <w:tc>
          <w:tcPr>
            <w:tcW w:w="801" w:type="pct"/>
          </w:tcPr>
          <w:p w14:paraId="038A423A"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3B"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Land and buildings</w:t>
            </w:r>
          </w:p>
        </w:tc>
      </w:tr>
      <w:tr w:rsidR="00296FA7" w:rsidRPr="00296FA7" w14:paraId="038A423F" w14:textId="77777777" w:rsidTr="00261A68">
        <w:trPr>
          <w:cantSplit/>
          <w:trHeight w:hRule="exact" w:val="227"/>
        </w:trPr>
        <w:tc>
          <w:tcPr>
            <w:tcW w:w="801" w:type="pct"/>
          </w:tcPr>
          <w:p w14:paraId="038A423D"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3E"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Investment properties</w:t>
            </w:r>
          </w:p>
        </w:tc>
      </w:tr>
      <w:tr w:rsidR="00296FA7" w:rsidRPr="00296FA7" w14:paraId="038A4242" w14:textId="77777777" w:rsidTr="00261A68">
        <w:trPr>
          <w:cantSplit/>
          <w:trHeight w:hRule="exact" w:val="227"/>
        </w:trPr>
        <w:tc>
          <w:tcPr>
            <w:tcW w:w="801" w:type="pct"/>
          </w:tcPr>
          <w:p w14:paraId="038A4240"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41" w14:textId="77777777" w:rsidR="00296FA7" w:rsidRPr="00296FA7" w:rsidRDefault="00296FA7" w:rsidP="001A5D4A">
            <w:pPr>
              <w:numPr>
                <w:ilvl w:val="0"/>
                <w:numId w:val="2"/>
              </w:numPr>
              <w:snapToGrid w:val="0"/>
              <w:spacing w:after="200"/>
              <w:ind w:right="57"/>
              <w:rPr>
                <w:rFonts w:ascii="Arial" w:hAnsi="Arial" w:cs="Arial"/>
                <w:sz w:val="18"/>
                <w:szCs w:val="18"/>
              </w:rPr>
            </w:pPr>
            <w:r w:rsidRPr="00296FA7">
              <w:rPr>
                <w:rFonts w:ascii="Arial" w:hAnsi="Arial" w:cs="Arial"/>
                <w:sz w:val="18"/>
                <w:szCs w:val="18"/>
              </w:rPr>
              <w:t>[Specify]</w:t>
            </w:r>
          </w:p>
        </w:tc>
      </w:tr>
      <w:tr w:rsidR="00296FA7" w:rsidRPr="00296FA7" w14:paraId="038A4245" w14:textId="77777777" w:rsidTr="00261A68">
        <w:trPr>
          <w:cantSplit/>
          <w:trHeight w:hRule="exact" w:val="85"/>
        </w:trPr>
        <w:tc>
          <w:tcPr>
            <w:tcW w:w="801" w:type="pct"/>
          </w:tcPr>
          <w:p w14:paraId="038A4243" w14:textId="77777777" w:rsidR="00296FA7" w:rsidRPr="00296FA7" w:rsidRDefault="00296FA7" w:rsidP="001A5D4A">
            <w:pPr>
              <w:snapToGrid w:val="0"/>
              <w:ind w:left="57" w:right="57"/>
              <w:rPr>
                <w:rFonts w:ascii="Arial" w:hAnsi="Arial" w:cs="Arial"/>
                <w:sz w:val="14"/>
              </w:rPr>
            </w:pPr>
          </w:p>
        </w:tc>
        <w:tc>
          <w:tcPr>
            <w:tcW w:w="4199" w:type="pct"/>
            <w:gridSpan w:val="7"/>
            <w:vAlign w:val="bottom"/>
          </w:tcPr>
          <w:p w14:paraId="038A4244" w14:textId="77777777" w:rsidR="00296FA7" w:rsidRPr="00296FA7" w:rsidRDefault="00296FA7" w:rsidP="001A5D4A">
            <w:pPr>
              <w:snapToGrid w:val="0"/>
              <w:ind w:left="340" w:right="57"/>
              <w:rPr>
                <w:rFonts w:ascii="Arial" w:hAnsi="Arial" w:cs="Arial"/>
                <w:sz w:val="18"/>
                <w:szCs w:val="18"/>
              </w:rPr>
            </w:pPr>
          </w:p>
        </w:tc>
      </w:tr>
      <w:tr w:rsidR="00296FA7" w:rsidRPr="00296FA7" w14:paraId="038A4248" w14:textId="77777777" w:rsidTr="00261A68">
        <w:trPr>
          <w:cantSplit/>
          <w:trHeight w:val="227"/>
        </w:trPr>
        <w:tc>
          <w:tcPr>
            <w:tcW w:w="801" w:type="pct"/>
          </w:tcPr>
          <w:p w14:paraId="038A4246" w14:textId="77777777" w:rsidR="00296FA7" w:rsidRPr="00E9476B" w:rsidRDefault="00296FA7" w:rsidP="001A5D4A">
            <w:pPr>
              <w:pStyle w:val="Note-Refs"/>
            </w:pPr>
            <w:r w:rsidRPr="00E9476B">
              <w:t>AASB13.93a</w:t>
            </w:r>
          </w:p>
        </w:tc>
        <w:tc>
          <w:tcPr>
            <w:tcW w:w="4199" w:type="pct"/>
            <w:gridSpan w:val="7"/>
            <w:vAlign w:val="bottom"/>
          </w:tcPr>
          <w:p w14:paraId="038A4247" w14:textId="77777777" w:rsidR="00296FA7" w:rsidRPr="00296FA7" w:rsidRDefault="00296FA7" w:rsidP="001A5D4A">
            <w:pPr>
              <w:pStyle w:val="NotesTable-ItemPlain"/>
            </w:pPr>
            <w:r w:rsidRPr="00296FA7">
              <w:t>The Group has also measured assets and liabilities as fair value on a non-recurring basis as a result of the reclassification of assets as held for sale.</w:t>
            </w:r>
          </w:p>
        </w:tc>
      </w:tr>
      <w:tr w:rsidR="00296FA7" w:rsidRPr="00296FA7" w14:paraId="038A424B" w14:textId="77777777" w:rsidTr="00261A68">
        <w:trPr>
          <w:cantSplit/>
          <w:trHeight w:hRule="exact" w:val="85"/>
        </w:trPr>
        <w:tc>
          <w:tcPr>
            <w:tcW w:w="801" w:type="pct"/>
          </w:tcPr>
          <w:p w14:paraId="038A4249" w14:textId="77777777" w:rsidR="00296FA7" w:rsidRPr="00E9476B" w:rsidRDefault="00296FA7" w:rsidP="001A5D4A">
            <w:pPr>
              <w:pStyle w:val="Note-Refs"/>
            </w:pPr>
          </w:p>
        </w:tc>
        <w:tc>
          <w:tcPr>
            <w:tcW w:w="4199" w:type="pct"/>
            <w:gridSpan w:val="7"/>
            <w:vAlign w:val="bottom"/>
          </w:tcPr>
          <w:p w14:paraId="038A424A" w14:textId="77777777" w:rsidR="00296FA7" w:rsidRPr="00296FA7" w:rsidRDefault="00296FA7" w:rsidP="001A5D4A">
            <w:pPr>
              <w:pStyle w:val="NotesTable-ItemPlain"/>
            </w:pPr>
          </w:p>
        </w:tc>
      </w:tr>
    </w:tbl>
    <w:p w14:paraId="722EB434" w14:textId="77777777" w:rsidR="00F65AFC" w:rsidRPr="002432EC" w:rsidRDefault="00F65AFC" w:rsidP="001A5D4A">
      <w:r w:rsidRPr="002432EC">
        <w:br w:type="page"/>
      </w:r>
    </w:p>
    <w:tbl>
      <w:tblPr>
        <w:tblW w:w="5000" w:type="pct"/>
        <w:tblCellMar>
          <w:left w:w="0" w:type="dxa"/>
          <w:right w:w="0" w:type="dxa"/>
        </w:tblCellMar>
        <w:tblLook w:val="0000" w:firstRow="0" w:lastRow="0" w:firstColumn="0" w:lastColumn="0" w:noHBand="0" w:noVBand="0"/>
      </w:tblPr>
      <w:tblGrid>
        <w:gridCol w:w="1644"/>
        <w:gridCol w:w="16"/>
        <w:gridCol w:w="4574"/>
        <w:gridCol w:w="692"/>
        <w:gridCol w:w="833"/>
        <w:gridCol w:w="833"/>
        <w:gridCol w:w="833"/>
        <w:gridCol w:w="835"/>
      </w:tblGrid>
      <w:tr w:rsidR="00BC5733" w:rsidRPr="00296FA7" w14:paraId="031D25B6" w14:textId="77777777" w:rsidTr="00BC5733">
        <w:trPr>
          <w:cantSplit/>
          <w:trHeight w:val="227"/>
        </w:trPr>
        <w:tc>
          <w:tcPr>
            <w:tcW w:w="5000" w:type="pct"/>
            <w:gridSpan w:val="8"/>
          </w:tcPr>
          <w:p w14:paraId="11D713BE" w14:textId="46D32479" w:rsidR="00BC5733" w:rsidRPr="002432EC" w:rsidRDefault="00BC5733" w:rsidP="00BC5733">
            <w:pPr>
              <w:pStyle w:val="TOC3"/>
              <w:ind w:left="0"/>
            </w:pPr>
            <w:r>
              <w:lastRenderedPageBreak/>
              <w:t xml:space="preserve">Note 51. </w:t>
            </w:r>
            <w:r w:rsidRPr="002432EC">
              <w:t>Fair Value Measurements (continued)</w:t>
            </w:r>
          </w:p>
        </w:tc>
      </w:tr>
      <w:tr w:rsidR="00BC5733" w:rsidRPr="00296FA7" w14:paraId="3B7A105D" w14:textId="77777777" w:rsidTr="00BC5733">
        <w:trPr>
          <w:cantSplit/>
          <w:trHeight w:val="227"/>
        </w:trPr>
        <w:tc>
          <w:tcPr>
            <w:tcW w:w="5000" w:type="pct"/>
            <w:gridSpan w:val="8"/>
          </w:tcPr>
          <w:p w14:paraId="6DD26503" w14:textId="51B80FA8" w:rsidR="00BC5733" w:rsidRPr="002432EC" w:rsidRDefault="00BC5733" w:rsidP="001A5D4A">
            <w:r>
              <w:t>AASB132,AASB7, AASB13</w:t>
            </w:r>
          </w:p>
        </w:tc>
      </w:tr>
      <w:tr w:rsidR="00296FA7" w:rsidRPr="00296FA7" w14:paraId="038A424E" w14:textId="77777777" w:rsidTr="00261A68">
        <w:trPr>
          <w:cantSplit/>
          <w:trHeight w:val="227"/>
        </w:trPr>
        <w:tc>
          <w:tcPr>
            <w:tcW w:w="801" w:type="pct"/>
          </w:tcPr>
          <w:p w14:paraId="038A424C" w14:textId="15B23F2F" w:rsidR="00296FA7" w:rsidRPr="00E9476B" w:rsidRDefault="00296FA7" w:rsidP="001A5D4A">
            <w:pPr>
              <w:pStyle w:val="Note-Refs"/>
            </w:pPr>
          </w:p>
        </w:tc>
        <w:tc>
          <w:tcPr>
            <w:tcW w:w="4199" w:type="pct"/>
            <w:gridSpan w:val="7"/>
            <w:vAlign w:val="bottom"/>
          </w:tcPr>
          <w:p w14:paraId="038A424D" w14:textId="1D5A1129" w:rsidR="00296FA7" w:rsidRPr="00296FA7" w:rsidRDefault="00296FA7" w:rsidP="001A5D4A">
            <w:pPr>
              <w:pStyle w:val="Note-TextHeader"/>
            </w:pPr>
            <w:r w:rsidRPr="00296FA7">
              <w:t>(b)</w:t>
            </w:r>
            <w:r w:rsidR="008942E9">
              <w:tab/>
            </w:r>
            <w:r w:rsidRPr="00296FA7">
              <w:t>Fair value hierarchy</w:t>
            </w:r>
          </w:p>
        </w:tc>
      </w:tr>
      <w:tr w:rsidR="00296FA7" w:rsidRPr="00296FA7" w14:paraId="038A4251" w14:textId="77777777" w:rsidTr="00261A68">
        <w:trPr>
          <w:cantSplit/>
          <w:trHeight w:val="227"/>
        </w:trPr>
        <w:tc>
          <w:tcPr>
            <w:tcW w:w="801" w:type="pct"/>
          </w:tcPr>
          <w:p w14:paraId="038A424F" w14:textId="77777777" w:rsidR="00296FA7" w:rsidRPr="00E9476B" w:rsidRDefault="00296FA7" w:rsidP="001A5D4A">
            <w:pPr>
              <w:pStyle w:val="Note-Refs"/>
            </w:pPr>
          </w:p>
        </w:tc>
        <w:tc>
          <w:tcPr>
            <w:tcW w:w="4199" w:type="pct"/>
            <w:gridSpan w:val="7"/>
            <w:vAlign w:val="bottom"/>
          </w:tcPr>
          <w:p w14:paraId="038A4250" w14:textId="77777777" w:rsidR="00296FA7" w:rsidRPr="00296FA7" w:rsidRDefault="00296FA7" w:rsidP="001A5D4A">
            <w:pPr>
              <w:pStyle w:val="NotesTable-ItemPlain"/>
            </w:pPr>
            <w:r w:rsidRPr="00296FA7">
              <w:t xml:space="preserve">[HEP] categorises assets and liabilities measured at fair value into a hierarchy based on the level of inputs used in measurement </w:t>
            </w:r>
          </w:p>
        </w:tc>
      </w:tr>
      <w:tr w:rsidR="00296FA7" w:rsidRPr="00296FA7" w14:paraId="038A4254" w14:textId="77777777" w:rsidTr="00261A68">
        <w:trPr>
          <w:cantSplit/>
          <w:trHeight w:val="227"/>
        </w:trPr>
        <w:tc>
          <w:tcPr>
            <w:tcW w:w="801" w:type="pct"/>
          </w:tcPr>
          <w:p w14:paraId="038A4252" w14:textId="77777777" w:rsidR="00296FA7" w:rsidRPr="00E9476B" w:rsidRDefault="00296FA7" w:rsidP="001A5D4A">
            <w:pPr>
              <w:pStyle w:val="Note-Refs"/>
              <w:rPr>
                <w:b/>
              </w:rPr>
            </w:pPr>
            <w:r w:rsidRPr="00E9476B">
              <w:t>AASB13.76</w:t>
            </w:r>
          </w:p>
        </w:tc>
        <w:tc>
          <w:tcPr>
            <w:tcW w:w="4199" w:type="pct"/>
            <w:gridSpan w:val="7"/>
            <w:vAlign w:val="bottom"/>
          </w:tcPr>
          <w:p w14:paraId="038A4253" w14:textId="77777777" w:rsidR="00296FA7" w:rsidRPr="00296FA7" w:rsidRDefault="00296FA7" w:rsidP="001A5D4A">
            <w:pPr>
              <w:pStyle w:val="NotesTable-ItemPlain"/>
            </w:pPr>
            <w:r w:rsidRPr="00296FA7">
              <w:t>Level 1 - quoted prices (unadjusted) in active markets for identical assets or liabilities</w:t>
            </w:r>
          </w:p>
        </w:tc>
      </w:tr>
      <w:tr w:rsidR="00296FA7" w:rsidRPr="00296FA7" w14:paraId="038A4257" w14:textId="77777777" w:rsidTr="00261A68">
        <w:trPr>
          <w:cantSplit/>
          <w:trHeight w:val="227"/>
        </w:trPr>
        <w:tc>
          <w:tcPr>
            <w:tcW w:w="801" w:type="pct"/>
          </w:tcPr>
          <w:p w14:paraId="038A4255" w14:textId="77777777" w:rsidR="00296FA7" w:rsidRPr="00E9476B" w:rsidRDefault="00296FA7" w:rsidP="001A5D4A">
            <w:pPr>
              <w:pStyle w:val="Note-Refs"/>
              <w:rPr>
                <w:b/>
              </w:rPr>
            </w:pPr>
            <w:r w:rsidRPr="00E9476B">
              <w:t>AASB13.81</w:t>
            </w:r>
          </w:p>
        </w:tc>
        <w:tc>
          <w:tcPr>
            <w:tcW w:w="4199" w:type="pct"/>
            <w:gridSpan w:val="7"/>
            <w:vAlign w:val="bottom"/>
          </w:tcPr>
          <w:p w14:paraId="038A4256" w14:textId="77777777" w:rsidR="00296FA7" w:rsidRPr="00296FA7" w:rsidRDefault="00296FA7" w:rsidP="001A5D4A">
            <w:pPr>
              <w:pStyle w:val="NotesTable-ItemPlain"/>
            </w:pPr>
            <w:r w:rsidRPr="00296FA7">
              <w:t xml:space="preserve">Level 2 - inputs other than quoted prices within </w:t>
            </w:r>
            <w:r w:rsidR="00C50157">
              <w:t>l</w:t>
            </w:r>
            <w:r w:rsidRPr="00296FA7">
              <w:t>evel 1that are observable for the asset or liability either directly or indirectly</w:t>
            </w:r>
          </w:p>
        </w:tc>
      </w:tr>
      <w:tr w:rsidR="00296FA7" w:rsidRPr="00296FA7" w14:paraId="038A425A" w14:textId="77777777" w:rsidTr="00261A68">
        <w:trPr>
          <w:cantSplit/>
          <w:trHeight w:val="227"/>
        </w:trPr>
        <w:tc>
          <w:tcPr>
            <w:tcW w:w="801" w:type="pct"/>
          </w:tcPr>
          <w:p w14:paraId="038A4258" w14:textId="77777777" w:rsidR="00296FA7" w:rsidRPr="00E9476B" w:rsidRDefault="00296FA7" w:rsidP="001A5D4A">
            <w:pPr>
              <w:pStyle w:val="Note-Refs"/>
              <w:rPr>
                <w:b/>
              </w:rPr>
            </w:pPr>
            <w:r w:rsidRPr="00E9476B">
              <w:t>AASB13.86</w:t>
            </w:r>
          </w:p>
        </w:tc>
        <w:tc>
          <w:tcPr>
            <w:tcW w:w="4199" w:type="pct"/>
            <w:gridSpan w:val="7"/>
            <w:vAlign w:val="bottom"/>
          </w:tcPr>
          <w:p w14:paraId="038A4259" w14:textId="77777777" w:rsidR="00296FA7" w:rsidRPr="00296FA7" w:rsidRDefault="00296FA7" w:rsidP="001A5D4A">
            <w:pPr>
              <w:pStyle w:val="NotesTable-ItemPlain"/>
            </w:pPr>
            <w:r w:rsidRPr="00296FA7">
              <w:t>Level 3 - inputs for the asset or liability that are not based on observable market data (unobservable inputs)</w:t>
            </w:r>
          </w:p>
        </w:tc>
      </w:tr>
      <w:tr w:rsidR="009D7A21" w:rsidRPr="00296FA7" w14:paraId="038A425D" w14:textId="77777777" w:rsidTr="00261A68">
        <w:trPr>
          <w:cantSplit/>
          <w:trHeight w:hRule="exact" w:val="85"/>
        </w:trPr>
        <w:tc>
          <w:tcPr>
            <w:tcW w:w="801" w:type="pct"/>
          </w:tcPr>
          <w:p w14:paraId="038A425B" w14:textId="77777777" w:rsidR="009D7A21" w:rsidRPr="00985B10" w:rsidRDefault="009D7A21" w:rsidP="001A5D4A">
            <w:pPr>
              <w:pStyle w:val="Note-Refs"/>
            </w:pPr>
          </w:p>
        </w:tc>
        <w:tc>
          <w:tcPr>
            <w:tcW w:w="4199" w:type="pct"/>
            <w:gridSpan w:val="7"/>
            <w:vAlign w:val="bottom"/>
          </w:tcPr>
          <w:p w14:paraId="038A425C" w14:textId="77777777" w:rsidR="009D7A21" w:rsidRPr="00985B10" w:rsidRDefault="009D7A21" w:rsidP="001A5D4A">
            <w:pPr>
              <w:pStyle w:val="NotesTable-ItemPlain"/>
            </w:pPr>
          </w:p>
        </w:tc>
      </w:tr>
      <w:tr w:rsidR="009D7A21" w:rsidRPr="008677E3" w14:paraId="038A4260" w14:textId="77777777" w:rsidTr="00261A68">
        <w:trPr>
          <w:trHeight w:val="227"/>
        </w:trPr>
        <w:tc>
          <w:tcPr>
            <w:tcW w:w="809" w:type="pct"/>
            <w:gridSpan w:val="2"/>
          </w:tcPr>
          <w:p w14:paraId="038A425E" w14:textId="77777777" w:rsidR="009D7A21" w:rsidRPr="00F61D7B" w:rsidRDefault="009D7A21" w:rsidP="001A5D4A">
            <w:pPr>
              <w:snapToGrid w:val="0"/>
              <w:ind w:left="57" w:right="57"/>
              <w:rPr>
                <w:rFonts w:ascii="Arial" w:hAnsi="Arial" w:cs="Arial"/>
                <w:sz w:val="14"/>
              </w:rPr>
            </w:pPr>
          </w:p>
        </w:tc>
        <w:tc>
          <w:tcPr>
            <w:tcW w:w="4191" w:type="pct"/>
            <w:gridSpan w:val="6"/>
            <w:vAlign w:val="bottom"/>
          </w:tcPr>
          <w:p w14:paraId="038A425F" w14:textId="77777777" w:rsidR="009D7A21" w:rsidRPr="008677E3" w:rsidRDefault="009D7A21" w:rsidP="001A5D4A">
            <w:pPr>
              <w:pStyle w:val="Note-TextSubheader"/>
            </w:pPr>
            <w:r w:rsidRPr="008677E3">
              <w:t>(i)</w:t>
            </w:r>
            <w:r>
              <w:t xml:space="preserve"> </w:t>
            </w:r>
            <w:r w:rsidRPr="008677E3">
              <w:t>Recognised fair value measurements</w:t>
            </w:r>
          </w:p>
        </w:tc>
      </w:tr>
      <w:tr w:rsidR="009D7A21" w:rsidRPr="008677E3" w14:paraId="038A4263" w14:textId="77777777" w:rsidTr="00261A68">
        <w:trPr>
          <w:trHeight w:val="227"/>
        </w:trPr>
        <w:tc>
          <w:tcPr>
            <w:tcW w:w="809" w:type="pct"/>
            <w:gridSpan w:val="2"/>
          </w:tcPr>
          <w:p w14:paraId="038A4261" w14:textId="77777777" w:rsidR="009D7A21" w:rsidRPr="00F61D7B" w:rsidRDefault="009D7A21" w:rsidP="001A5D4A">
            <w:pPr>
              <w:pStyle w:val="Note-Refs"/>
              <w:rPr>
                <w:b/>
              </w:rPr>
            </w:pPr>
            <w:r>
              <w:t>AASB13.C3</w:t>
            </w:r>
          </w:p>
        </w:tc>
        <w:tc>
          <w:tcPr>
            <w:tcW w:w="4191" w:type="pct"/>
            <w:gridSpan w:val="6"/>
            <w:vAlign w:val="bottom"/>
          </w:tcPr>
          <w:p w14:paraId="038A4262" w14:textId="7A52B13A" w:rsidR="009D7A21" w:rsidRPr="008677E3" w:rsidRDefault="009D7A21" w:rsidP="001A5D4A">
            <w:pPr>
              <w:pStyle w:val="NotesTable-ItemPlain"/>
            </w:pPr>
            <w:r w:rsidRPr="008677E3">
              <w:t xml:space="preserve">Fair value measurements recognised in the </w:t>
            </w:r>
            <w:r w:rsidR="007A534E">
              <w:t>statement of financial position</w:t>
            </w:r>
            <w:r w:rsidRPr="008677E3">
              <w:t xml:space="preserve"> are categorised into the following levels at 31 December </w:t>
            </w:r>
            <w:r w:rsidR="006864EC">
              <w:t>2014</w:t>
            </w:r>
            <w:r w:rsidRPr="008677E3">
              <w:t>.</w:t>
            </w:r>
          </w:p>
        </w:tc>
      </w:tr>
      <w:tr w:rsidR="00296FA7" w:rsidRPr="00296FA7" w14:paraId="038A4266" w14:textId="77777777" w:rsidTr="00261A68">
        <w:trPr>
          <w:trHeight w:hRule="exact" w:val="85"/>
        </w:trPr>
        <w:tc>
          <w:tcPr>
            <w:tcW w:w="809" w:type="pct"/>
            <w:gridSpan w:val="2"/>
          </w:tcPr>
          <w:p w14:paraId="038A4264" w14:textId="77777777" w:rsidR="00296FA7" w:rsidRPr="00296FA7" w:rsidRDefault="00296FA7" w:rsidP="001A5D4A">
            <w:pPr>
              <w:snapToGrid w:val="0"/>
              <w:ind w:left="57" w:right="57"/>
              <w:rPr>
                <w:rFonts w:ascii="Arial" w:hAnsi="Arial" w:cs="Arial"/>
                <w:sz w:val="14"/>
              </w:rPr>
            </w:pPr>
          </w:p>
        </w:tc>
        <w:tc>
          <w:tcPr>
            <w:tcW w:w="4191" w:type="pct"/>
            <w:gridSpan w:val="6"/>
            <w:vAlign w:val="bottom"/>
          </w:tcPr>
          <w:p w14:paraId="038A4265" w14:textId="77777777" w:rsidR="00296FA7" w:rsidRPr="00296FA7" w:rsidRDefault="00296FA7" w:rsidP="001A5D4A">
            <w:pPr>
              <w:snapToGrid w:val="0"/>
              <w:ind w:left="340" w:right="57"/>
              <w:rPr>
                <w:rFonts w:ascii="Arial" w:hAnsi="Arial" w:cs="Arial"/>
                <w:sz w:val="18"/>
                <w:szCs w:val="18"/>
              </w:rPr>
            </w:pPr>
          </w:p>
        </w:tc>
      </w:tr>
      <w:tr w:rsidR="00F65AFC" w:rsidRPr="00F61D7B" w14:paraId="03B71F27" w14:textId="77777777" w:rsidTr="00BC5733">
        <w:trPr>
          <w:trHeight w:hRule="exact" w:val="227"/>
        </w:trPr>
        <w:tc>
          <w:tcPr>
            <w:tcW w:w="809" w:type="pct"/>
            <w:gridSpan w:val="2"/>
          </w:tcPr>
          <w:p w14:paraId="292BA21B" w14:textId="77777777" w:rsidR="00F65AFC" w:rsidRPr="00F61D7B" w:rsidRDefault="00F65AFC" w:rsidP="001A5D4A">
            <w:pPr>
              <w:pStyle w:val="Note-Refs"/>
            </w:pPr>
          </w:p>
        </w:tc>
        <w:tc>
          <w:tcPr>
            <w:tcW w:w="2229" w:type="pct"/>
            <w:shd w:val="clear" w:color="auto" w:fill="auto"/>
            <w:vAlign w:val="bottom"/>
          </w:tcPr>
          <w:p w14:paraId="09F6BF80" w14:textId="77777777" w:rsidR="00F65AFC" w:rsidRPr="00111459" w:rsidRDefault="00F65AFC" w:rsidP="001A5D4A">
            <w:pPr>
              <w:pStyle w:val="Note-TextHeader"/>
            </w:pPr>
            <w:r>
              <w:t>Fair value measurements at 31 December 2014</w:t>
            </w:r>
          </w:p>
        </w:tc>
        <w:tc>
          <w:tcPr>
            <w:tcW w:w="337" w:type="pct"/>
            <w:shd w:val="clear" w:color="auto" w:fill="auto"/>
            <w:vAlign w:val="bottom"/>
          </w:tcPr>
          <w:p w14:paraId="5A1D553C" w14:textId="77777777" w:rsidR="00F65AFC" w:rsidRDefault="00F65AFC" w:rsidP="001A5D4A">
            <w:pPr>
              <w:pStyle w:val="NotesTable-Notes"/>
            </w:pPr>
          </w:p>
        </w:tc>
        <w:tc>
          <w:tcPr>
            <w:tcW w:w="406" w:type="pct"/>
            <w:shd w:val="clear" w:color="auto" w:fill="auto"/>
          </w:tcPr>
          <w:p w14:paraId="325BC06E" w14:textId="77777777" w:rsidR="00F65AFC" w:rsidRPr="00F61D7B" w:rsidRDefault="00F65AFC" w:rsidP="001A5D4A">
            <w:pPr>
              <w:snapToGrid w:val="0"/>
              <w:jc w:val="center"/>
              <w:rPr>
                <w:rFonts w:ascii="Arial" w:hAnsi="Arial" w:cs="Arial"/>
                <w:b/>
                <w:sz w:val="18"/>
                <w:szCs w:val="16"/>
              </w:rPr>
            </w:pPr>
          </w:p>
        </w:tc>
        <w:tc>
          <w:tcPr>
            <w:tcW w:w="406" w:type="pct"/>
            <w:shd w:val="clear" w:color="auto" w:fill="auto"/>
          </w:tcPr>
          <w:p w14:paraId="04F20971" w14:textId="77777777" w:rsidR="00F65AFC" w:rsidRPr="00F61D7B" w:rsidRDefault="00F65AFC" w:rsidP="001A5D4A">
            <w:pPr>
              <w:snapToGrid w:val="0"/>
              <w:jc w:val="center"/>
              <w:rPr>
                <w:rFonts w:ascii="Arial" w:hAnsi="Arial" w:cs="Arial"/>
                <w:sz w:val="18"/>
                <w:szCs w:val="16"/>
              </w:rPr>
            </w:pPr>
          </w:p>
        </w:tc>
        <w:tc>
          <w:tcPr>
            <w:tcW w:w="406" w:type="pct"/>
            <w:shd w:val="clear" w:color="auto" w:fill="auto"/>
          </w:tcPr>
          <w:p w14:paraId="5460E07B" w14:textId="77777777" w:rsidR="00F65AFC" w:rsidRPr="00F61D7B" w:rsidRDefault="00F65AFC" w:rsidP="001A5D4A">
            <w:pPr>
              <w:snapToGrid w:val="0"/>
              <w:jc w:val="center"/>
              <w:rPr>
                <w:rFonts w:ascii="Arial" w:hAnsi="Arial" w:cs="Arial"/>
                <w:sz w:val="18"/>
                <w:szCs w:val="16"/>
              </w:rPr>
            </w:pPr>
          </w:p>
        </w:tc>
        <w:tc>
          <w:tcPr>
            <w:tcW w:w="407" w:type="pct"/>
            <w:shd w:val="clear" w:color="auto" w:fill="auto"/>
          </w:tcPr>
          <w:p w14:paraId="2390C3E0" w14:textId="77777777" w:rsidR="00F65AFC" w:rsidRPr="00F61D7B" w:rsidRDefault="00F65AFC" w:rsidP="001A5D4A">
            <w:pPr>
              <w:snapToGrid w:val="0"/>
              <w:jc w:val="center"/>
              <w:rPr>
                <w:rFonts w:ascii="Arial" w:hAnsi="Arial" w:cs="Arial"/>
                <w:sz w:val="18"/>
                <w:szCs w:val="16"/>
              </w:rPr>
            </w:pPr>
          </w:p>
        </w:tc>
      </w:tr>
      <w:tr w:rsidR="00F65AFC" w:rsidRPr="00F61D7B" w14:paraId="0874C545" w14:textId="77777777" w:rsidTr="00BC5733">
        <w:trPr>
          <w:trHeight w:hRule="exact" w:val="227"/>
        </w:trPr>
        <w:tc>
          <w:tcPr>
            <w:tcW w:w="809" w:type="pct"/>
            <w:gridSpan w:val="2"/>
          </w:tcPr>
          <w:p w14:paraId="2332C62E" w14:textId="77777777" w:rsidR="00F65AFC" w:rsidRPr="00F61D7B" w:rsidRDefault="00F65AFC" w:rsidP="001A5D4A">
            <w:pPr>
              <w:pStyle w:val="Note-Refs"/>
            </w:pPr>
          </w:p>
        </w:tc>
        <w:tc>
          <w:tcPr>
            <w:tcW w:w="2229" w:type="pct"/>
            <w:shd w:val="clear" w:color="auto" w:fill="auto"/>
            <w:vAlign w:val="bottom"/>
          </w:tcPr>
          <w:p w14:paraId="6DE99039" w14:textId="77777777" w:rsidR="00F65AFC" w:rsidRPr="00111459" w:rsidRDefault="00F65AFC" w:rsidP="001A5D4A">
            <w:pPr>
              <w:pStyle w:val="NotesTable-ItemBold"/>
            </w:pPr>
            <w:r w:rsidRPr="00111459">
              <w:t>Recurring fair value measurements</w:t>
            </w:r>
          </w:p>
        </w:tc>
        <w:tc>
          <w:tcPr>
            <w:tcW w:w="337" w:type="pct"/>
            <w:shd w:val="clear" w:color="auto" w:fill="auto"/>
            <w:vAlign w:val="bottom"/>
          </w:tcPr>
          <w:p w14:paraId="344EDFC8" w14:textId="77777777" w:rsidR="00F65AFC" w:rsidRPr="00AC2F69" w:rsidRDefault="00F65AFC" w:rsidP="001A5D4A">
            <w:pPr>
              <w:pStyle w:val="NotesTable-Notes"/>
            </w:pPr>
            <w:r>
              <w:t>Note</w:t>
            </w:r>
          </w:p>
        </w:tc>
        <w:tc>
          <w:tcPr>
            <w:tcW w:w="406" w:type="pct"/>
            <w:shd w:val="clear" w:color="auto" w:fill="auto"/>
          </w:tcPr>
          <w:p w14:paraId="50EBC5E9" w14:textId="77777777" w:rsidR="00F65AFC" w:rsidRPr="00F61D7B" w:rsidRDefault="00F65AFC" w:rsidP="001A5D4A">
            <w:pPr>
              <w:snapToGrid w:val="0"/>
              <w:jc w:val="center"/>
              <w:rPr>
                <w:rFonts w:ascii="Arial" w:hAnsi="Arial" w:cs="Arial"/>
                <w:b/>
                <w:sz w:val="18"/>
                <w:szCs w:val="18"/>
              </w:rPr>
            </w:pPr>
            <w:r>
              <w:rPr>
                <w:rFonts w:ascii="Arial" w:hAnsi="Arial" w:cs="Arial"/>
                <w:b/>
                <w:sz w:val="18"/>
                <w:szCs w:val="16"/>
              </w:rPr>
              <w:t>2014</w:t>
            </w:r>
          </w:p>
        </w:tc>
        <w:tc>
          <w:tcPr>
            <w:tcW w:w="406" w:type="pct"/>
            <w:shd w:val="clear" w:color="auto" w:fill="auto"/>
          </w:tcPr>
          <w:p w14:paraId="001455B6"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Level 1</w:t>
            </w:r>
          </w:p>
        </w:tc>
        <w:tc>
          <w:tcPr>
            <w:tcW w:w="406" w:type="pct"/>
            <w:shd w:val="clear" w:color="auto" w:fill="auto"/>
          </w:tcPr>
          <w:p w14:paraId="2728E755"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Level 2</w:t>
            </w:r>
          </w:p>
        </w:tc>
        <w:tc>
          <w:tcPr>
            <w:tcW w:w="407" w:type="pct"/>
            <w:shd w:val="clear" w:color="auto" w:fill="auto"/>
          </w:tcPr>
          <w:p w14:paraId="673F74E8"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Level 3</w:t>
            </w:r>
          </w:p>
        </w:tc>
      </w:tr>
      <w:tr w:rsidR="00F65AFC" w:rsidRPr="00F61D7B" w14:paraId="7329FBB5" w14:textId="77777777" w:rsidTr="00BC5733">
        <w:trPr>
          <w:trHeight w:hRule="exact" w:val="227"/>
        </w:trPr>
        <w:tc>
          <w:tcPr>
            <w:tcW w:w="809" w:type="pct"/>
            <w:gridSpan w:val="2"/>
          </w:tcPr>
          <w:p w14:paraId="02C0AB82" w14:textId="77777777" w:rsidR="00F65AFC" w:rsidRPr="00F61D7B" w:rsidRDefault="00F65AFC" w:rsidP="001A5D4A">
            <w:pPr>
              <w:pStyle w:val="Note-Refs"/>
            </w:pPr>
          </w:p>
        </w:tc>
        <w:tc>
          <w:tcPr>
            <w:tcW w:w="2229" w:type="pct"/>
            <w:shd w:val="clear" w:color="auto" w:fill="auto"/>
            <w:vAlign w:val="bottom"/>
          </w:tcPr>
          <w:p w14:paraId="3480399F" w14:textId="77777777" w:rsidR="00F65AFC" w:rsidRPr="00612DE8" w:rsidRDefault="00F65AFC" w:rsidP="001A5D4A">
            <w:pPr>
              <w:pStyle w:val="NotesTable-ItemBold"/>
              <w:rPr>
                <w:i/>
              </w:rPr>
            </w:pPr>
            <w:r w:rsidRPr="00F61D7B">
              <w:t>Financial assets</w:t>
            </w:r>
          </w:p>
        </w:tc>
        <w:tc>
          <w:tcPr>
            <w:tcW w:w="337" w:type="pct"/>
            <w:shd w:val="clear" w:color="auto" w:fill="auto"/>
            <w:vAlign w:val="bottom"/>
          </w:tcPr>
          <w:p w14:paraId="362F66BA" w14:textId="77777777" w:rsidR="00F65AFC" w:rsidRPr="00612DE8" w:rsidRDefault="00F65AFC" w:rsidP="001A5D4A">
            <w:pPr>
              <w:pStyle w:val="NotesTable-Notes"/>
            </w:pPr>
          </w:p>
        </w:tc>
        <w:tc>
          <w:tcPr>
            <w:tcW w:w="406" w:type="pct"/>
            <w:shd w:val="clear" w:color="auto" w:fill="auto"/>
          </w:tcPr>
          <w:p w14:paraId="5384AF82" w14:textId="77777777" w:rsidR="00F65AFC" w:rsidRPr="00F61D7B" w:rsidRDefault="00F65AFC" w:rsidP="001A5D4A">
            <w:pPr>
              <w:snapToGrid w:val="0"/>
              <w:jc w:val="center"/>
              <w:rPr>
                <w:rFonts w:ascii="Arial" w:hAnsi="Arial" w:cs="Arial"/>
                <w:b/>
                <w:sz w:val="18"/>
                <w:szCs w:val="18"/>
              </w:rPr>
            </w:pPr>
            <w:r w:rsidRPr="00F61D7B">
              <w:rPr>
                <w:rFonts w:ascii="Arial" w:hAnsi="Arial" w:cs="Arial"/>
                <w:b/>
                <w:sz w:val="18"/>
                <w:szCs w:val="16"/>
              </w:rPr>
              <w:t>$’000</w:t>
            </w:r>
          </w:p>
        </w:tc>
        <w:tc>
          <w:tcPr>
            <w:tcW w:w="406" w:type="pct"/>
            <w:shd w:val="clear" w:color="auto" w:fill="auto"/>
          </w:tcPr>
          <w:p w14:paraId="244DE213"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$’000</w:t>
            </w:r>
          </w:p>
        </w:tc>
        <w:tc>
          <w:tcPr>
            <w:tcW w:w="406" w:type="pct"/>
            <w:shd w:val="clear" w:color="auto" w:fill="auto"/>
          </w:tcPr>
          <w:p w14:paraId="5AE6B031"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$’000</w:t>
            </w:r>
          </w:p>
        </w:tc>
        <w:tc>
          <w:tcPr>
            <w:tcW w:w="407" w:type="pct"/>
            <w:shd w:val="clear" w:color="auto" w:fill="auto"/>
          </w:tcPr>
          <w:p w14:paraId="5F0237F8" w14:textId="77777777" w:rsidR="00F65AFC" w:rsidRPr="00F61D7B" w:rsidRDefault="00F65AFC" w:rsidP="001A5D4A">
            <w:pPr>
              <w:snapToGrid w:val="0"/>
              <w:jc w:val="center"/>
              <w:rPr>
                <w:rFonts w:ascii="Arial" w:hAnsi="Arial" w:cs="Arial"/>
                <w:b/>
                <w:sz w:val="18"/>
                <w:szCs w:val="18"/>
              </w:rPr>
            </w:pPr>
            <w:r w:rsidRPr="00F61D7B">
              <w:rPr>
                <w:rFonts w:ascii="Arial" w:hAnsi="Arial" w:cs="Arial"/>
                <w:sz w:val="18"/>
                <w:szCs w:val="16"/>
              </w:rPr>
              <w:t>$’000</w:t>
            </w:r>
          </w:p>
        </w:tc>
      </w:tr>
      <w:tr w:rsidR="00F65AFC" w:rsidRPr="00F61D7B" w14:paraId="401EE795" w14:textId="77777777" w:rsidTr="00BC5733">
        <w:trPr>
          <w:trHeight w:hRule="exact" w:val="227"/>
        </w:trPr>
        <w:tc>
          <w:tcPr>
            <w:tcW w:w="809" w:type="pct"/>
            <w:gridSpan w:val="2"/>
          </w:tcPr>
          <w:p w14:paraId="2CAA4E0F" w14:textId="77777777" w:rsidR="00F65AFC" w:rsidRPr="00F61D7B" w:rsidRDefault="00F65AFC" w:rsidP="001A5D4A">
            <w:pPr>
              <w:pStyle w:val="Note-Refs"/>
            </w:pPr>
          </w:p>
        </w:tc>
        <w:tc>
          <w:tcPr>
            <w:tcW w:w="2229" w:type="pct"/>
            <w:vAlign w:val="bottom"/>
          </w:tcPr>
          <w:p w14:paraId="1C81604E" w14:textId="77777777" w:rsidR="00F65AFC" w:rsidRPr="00F61D7B" w:rsidRDefault="00F65AFC" w:rsidP="001A5D4A">
            <w:pPr>
              <w:pStyle w:val="NotesTable-ItemPlain"/>
            </w:pPr>
            <w:r>
              <w:t>Financial assets at fair value through profit or loss</w:t>
            </w:r>
          </w:p>
        </w:tc>
        <w:tc>
          <w:tcPr>
            <w:tcW w:w="337" w:type="pct"/>
            <w:vAlign w:val="bottom"/>
          </w:tcPr>
          <w:p w14:paraId="2A58556C" w14:textId="77777777" w:rsidR="00F65AFC" w:rsidRPr="00F61D7B" w:rsidRDefault="00F65AFC" w:rsidP="001A5D4A">
            <w:pPr>
              <w:pStyle w:val="NotesTable-Notes"/>
            </w:pPr>
            <w:r>
              <w:t>21</w:t>
            </w:r>
          </w:p>
        </w:tc>
        <w:tc>
          <w:tcPr>
            <w:tcW w:w="406" w:type="pct"/>
          </w:tcPr>
          <w:p w14:paraId="19D1D5D8" w14:textId="77777777" w:rsidR="00F65AFC" w:rsidRPr="00F61D7B" w:rsidRDefault="00F65AFC" w:rsidP="001A5D4A">
            <w:pPr>
              <w:pStyle w:val="NotesTable-ItemPlain"/>
            </w:pPr>
          </w:p>
        </w:tc>
        <w:tc>
          <w:tcPr>
            <w:tcW w:w="406" w:type="pct"/>
          </w:tcPr>
          <w:p w14:paraId="22058F7F" w14:textId="77777777" w:rsidR="00F65AFC" w:rsidRPr="00F61D7B" w:rsidRDefault="00F65AFC" w:rsidP="001A5D4A">
            <w:pPr>
              <w:pStyle w:val="NotesTable-ItemPlain"/>
            </w:pPr>
          </w:p>
        </w:tc>
        <w:tc>
          <w:tcPr>
            <w:tcW w:w="406" w:type="pct"/>
          </w:tcPr>
          <w:p w14:paraId="4A5EAE50" w14:textId="77777777" w:rsidR="00F65AFC" w:rsidRPr="00F61D7B" w:rsidRDefault="00F65AFC" w:rsidP="001A5D4A">
            <w:pPr>
              <w:pStyle w:val="NotesTable-ItemPlain"/>
            </w:pPr>
          </w:p>
        </w:tc>
        <w:tc>
          <w:tcPr>
            <w:tcW w:w="407" w:type="pct"/>
          </w:tcPr>
          <w:p w14:paraId="2D520F3A" w14:textId="77777777" w:rsidR="00F65AFC" w:rsidRPr="00F61D7B" w:rsidRDefault="00F65AFC" w:rsidP="001A5D4A">
            <w:pPr>
              <w:pStyle w:val="NotesTable-ItemPlain"/>
            </w:pPr>
          </w:p>
        </w:tc>
      </w:tr>
      <w:tr w:rsidR="00F65AFC" w:rsidRPr="00F61D7B" w14:paraId="5108CF30" w14:textId="77777777" w:rsidTr="00BC5733">
        <w:trPr>
          <w:trHeight w:hRule="exact" w:val="227"/>
        </w:trPr>
        <w:tc>
          <w:tcPr>
            <w:tcW w:w="809" w:type="pct"/>
            <w:gridSpan w:val="2"/>
          </w:tcPr>
          <w:p w14:paraId="7CA70BDA" w14:textId="77777777" w:rsidR="00F65AFC" w:rsidRPr="00F61D7B" w:rsidRDefault="00F65AFC" w:rsidP="001A5D4A">
            <w:pPr>
              <w:pStyle w:val="Note-Refs"/>
            </w:pPr>
          </w:p>
        </w:tc>
        <w:tc>
          <w:tcPr>
            <w:tcW w:w="2229" w:type="pct"/>
            <w:vAlign w:val="bottom"/>
          </w:tcPr>
          <w:p w14:paraId="2F7EAA66" w14:textId="77777777" w:rsidR="00F65AFC" w:rsidRDefault="00F65AFC" w:rsidP="001A5D4A">
            <w:pPr>
              <w:pStyle w:val="Note-Text"/>
            </w:pPr>
            <w:r>
              <w:t>Trading derivatives</w:t>
            </w:r>
          </w:p>
        </w:tc>
        <w:tc>
          <w:tcPr>
            <w:tcW w:w="337" w:type="pct"/>
            <w:vAlign w:val="bottom"/>
          </w:tcPr>
          <w:p w14:paraId="295BDCCE" w14:textId="77777777" w:rsidR="00F65AFC" w:rsidRDefault="00F65AFC" w:rsidP="001A5D4A">
            <w:pPr>
              <w:pStyle w:val="NotesTable-Notes"/>
            </w:pPr>
          </w:p>
        </w:tc>
        <w:tc>
          <w:tcPr>
            <w:tcW w:w="406" w:type="pct"/>
          </w:tcPr>
          <w:p w14:paraId="443284D5" w14:textId="77777777" w:rsidR="00F65AFC" w:rsidRPr="00F61D7B" w:rsidRDefault="00F65AFC" w:rsidP="001A5D4A">
            <w:pPr>
              <w:pStyle w:val="NotesTable-CellBold"/>
            </w:pPr>
            <w:r w:rsidRPr="00F61D7B">
              <w:t>–</w:t>
            </w:r>
          </w:p>
        </w:tc>
        <w:tc>
          <w:tcPr>
            <w:tcW w:w="406" w:type="pct"/>
          </w:tcPr>
          <w:p w14:paraId="611EA97B" w14:textId="77777777" w:rsidR="00F65AFC" w:rsidRPr="00F61D7B" w:rsidRDefault="00F65AFC" w:rsidP="001A5D4A">
            <w:pPr>
              <w:pStyle w:val="NotesTable-CellPlain"/>
            </w:pPr>
            <w:r w:rsidRPr="00F61D7B">
              <w:t>–</w:t>
            </w:r>
          </w:p>
        </w:tc>
        <w:tc>
          <w:tcPr>
            <w:tcW w:w="406" w:type="pct"/>
          </w:tcPr>
          <w:p w14:paraId="7058C62C" w14:textId="77777777" w:rsidR="00F65AFC" w:rsidRPr="00F61D7B" w:rsidRDefault="00F65AFC" w:rsidP="001A5D4A">
            <w:pPr>
              <w:pStyle w:val="NotesTable-CellPlain"/>
            </w:pPr>
            <w:r w:rsidRPr="00F61D7B">
              <w:t>–</w:t>
            </w:r>
          </w:p>
        </w:tc>
        <w:tc>
          <w:tcPr>
            <w:tcW w:w="407" w:type="pct"/>
          </w:tcPr>
          <w:p w14:paraId="18B774CE" w14:textId="77777777" w:rsidR="00F65AFC" w:rsidRPr="00F61D7B" w:rsidRDefault="00F65AFC" w:rsidP="001A5D4A">
            <w:pPr>
              <w:pStyle w:val="NotesTable-CellPlain"/>
            </w:pPr>
            <w:r w:rsidRPr="00F61D7B">
              <w:t>–</w:t>
            </w:r>
          </w:p>
        </w:tc>
      </w:tr>
      <w:tr w:rsidR="00F65AFC" w:rsidRPr="00F61D7B" w14:paraId="68A2F19D" w14:textId="77777777" w:rsidTr="00BC5733">
        <w:trPr>
          <w:trHeight w:hRule="exact" w:val="227"/>
        </w:trPr>
        <w:tc>
          <w:tcPr>
            <w:tcW w:w="809" w:type="pct"/>
            <w:gridSpan w:val="2"/>
          </w:tcPr>
          <w:p w14:paraId="5A0141CC" w14:textId="77777777" w:rsidR="00F65AFC" w:rsidRPr="00F61D7B" w:rsidRDefault="00F65AFC" w:rsidP="001A5D4A">
            <w:pPr>
              <w:pStyle w:val="Note-Refs"/>
            </w:pPr>
          </w:p>
        </w:tc>
        <w:tc>
          <w:tcPr>
            <w:tcW w:w="2229" w:type="pct"/>
            <w:vAlign w:val="bottom"/>
          </w:tcPr>
          <w:p w14:paraId="7D461562" w14:textId="77777777" w:rsidR="00F65AFC" w:rsidRDefault="00F65AFC" w:rsidP="001A5D4A">
            <w:pPr>
              <w:pStyle w:val="Note-Text"/>
            </w:pPr>
            <w:r>
              <w:t>Trading securities</w:t>
            </w:r>
          </w:p>
        </w:tc>
        <w:tc>
          <w:tcPr>
            <w:tcW w:w="337" w:type="pct"/>
            <w:vAlign w:val="bottom"/>
          </w:tcPr>
          <w:p w14:paraId="04AF4E7C" w14:textId="77777777" w:rsidR="00F65AFC" w:rsidRDefault="00F65AFC" w:rsidP="001A5D4A">
            <w:pPr>
              <w:pStyle w:val="NotesTable-Notes"/>
            </w:pPr>
          </w:p>
        </w:tc>
        <w:tc>
          <w:tcPr>
            <w:tcW w:w="406" w:type="pct"/>
          </w:tcPr>
          <w:p w14:paraId="5462A484" w14:textId="77777777" w:rsidR="00F65AFC" w:rsidRPr="00F61D7B" w:rsidRDefault="00F65AFC" w:rsidP="001A5D4A">
            <w:pPr>
              <w:pStyle w:val="NotesTable-CellBold"/>
            </w:pPr>
            <w:r w:rsidRPr="00F61D7B">
              <w:t>–</w:t>
            </w:r>
          </w:p>
        </w:tc>
        <w:tc>
          <w:tcPr>
            <w:tcW w:w="406" w:type="pct"/>
          </w:tcPr>
          <w:p w14:paraId="674E4201" w14:textId="77777777" w:rsidR="00F65AFC" w:rsidRPr="00F61D7B" w:rsidRDefault="00F65AFC" w:rsidP="001A5D4A">
            <w:pPr>
              <w:pStyle w:val="NotesTable-CellPlain"/>
            </w:pPr>
            <w:r w:rsidRPr="00F61D7B">
              <w:t>–</w:t>
            </w:r>
          </w:p>
        </w:tc>
        <w:tc>
          <w:tcPr>
            <w:tcW w:w="406" w:type="pct"/>
          </w:tcPr>
          <w:p w14:paraId="40470957" w14:textId="77777777" w:rsidR="00F65AFC" w:rsidRPr="00F61D7B" w:rsidRDefault="00F65AFC" w:rsidP="001A5D4A">
            <w:pPr>
              <w:pStyle w:val="NotesTable-CellPlain"/>
            </w:pPr>
            <w:r w:rsidRPr="00F61D7B">
              <w:t>–</w:t>
            </w:r>
          </w:p>
        </w:tc>
        <w:tc>
          <w:tcPr>
            <w:tcW w:w="407" w:type="pct"/>
          </w:tcPr>
          <w:p w14:paraId="003E1471" w14:textId="77777777" w:rsidR="00F65AFC" w:rsidRPr="00F61D7B" w:rsidRDefault="00F65AFC" w:rsidP="001A5D4A">
            <w:pPr>
              <w:pStyle w:val="NotesTable-CellPlain"/>
            </w:pPr>
            <w:r w:rsidRPr="00F61D7B">
              <w:t>–</w:t>
            </w:r>
          </w:p>
        </w:tc>
      </w:tr>
      <w:tr w:rsidR="00F65AFC" w:rsidRPr="00F61D7B" w14:paraId="12339F10" w14:textId="77777777" w:rsidTr="00BC5733">
        <w:trPr>
          <w:trHeight w:hRule="exact" w:val="227"/>
        </w:trPr>
        <w:tc>
          <w:tcPr>
            <w:tcW w:w="809" w:type="pct"/>
            <w:gridSpan w:val="2"/>
          </w:tcPr>
          <w:p w14:paraId="4E1C0793" w14:textId="77777777" w:rsidR="00F65AFC" w:rsidRPr="00F61D7B" w:rsidRDefault="00F65AFC" w:rsidP="001A5D4A">
            <w:pPr>
              <w:pStyle w:val="Note-Refs"/>
            </w:pPr>
          </w:p>
        </w:tc>
        <w:tc>
          <w:tcPr>
            <w:tcW w:w="2229" w:type="pct"/>
            <w:vAlign w:val="bottom"/>
          </w:tcPr>
          <w:p w14:paraId="245B7E14" w14:textId="77777777" w:rsidR="00F65AFC" w:rsidRPr="00F61D7B" w:rsidRDefault="00F65AFC" w:rsidP="001A5D4A">
            <w:pPr>
              <w:pStyle w:val="NotesTable-ItemPlain"/>
            </w:pPr>
            <w:r>
              <w:t>Available-for-sale financial assets</w:t>
            </w:r>
          </w:p>
        </w:tc>
        <w:tc>
          <w:tcPr>
            <w:tcW w:w="337" w:type="pct"/>
            <w:vAlign w:val="bottom"/>
          </w:tcPr>
          <w:p w14:paraId="6500796A" w14:textId="77777777" w:rsidR="00F65AFC" w:rsidRPr="00F61D7B" w:rsidRDefault="00F65AFC" w:rsidP="001A5D4A">
            <w:pPr>
              <w:pStyle w:val="NotesTable-Notes"/>
            </w:pPr>
            <w:r>
              <w:t>21</w:t>
            </w:r>
          </w:p>
        </w:tc>
        <w:tc>
          <w:tcPr>
            <w:tcW w:w="406" w:type="pct"/>
          </w:tcPr>
          <w:p w14:paraId="5E3EC188" w14:textId="77777777" w:rsidR="00F65AFC" w:rsidRPr="00F61D7B" w:rsidRDefault="00F65AFC" w:rsidP="001A5D4A">
            <w:pPr>
              <w:pStyle w:val="NotesTable-CellBold"/>
            </w:pPr>
          </w:p>
        </w:tc>
        <w:tc>
          <w:tcPr>
            <w:tcW w:w="406" w:type="pct"/>
          </w:tcPr>
          <w:p w14:paraId="28935912" w14:textId="77777777" w:rsidR="00F65AFC" w:rsidRPr="00F61D7B" w:rsidRDefault="00F65AFC" w:rsidP="001A5D4A">
            <w:pPr>
              <w:pStyle w:val="NotesTable-CellPlain"/>
            </w:pPr>
          </w:p>
        </w:tc>
        <w:tc>
          <w:tcPr>
            <w:tcW w:w="406" w:type="pct"/>
          </w:tcPr>
          <w:p w14:paraId="37CCD923" w14:textId="77777777" w:rsidR="00F65AFC" w:rsidRPr="00F61D7B" w:rsidRDefault="00F65AFC" w:rsidP="001A5D4A">
            <w:pPr>
              <w:pStyle w:val="NotesTable-CellPlain"/>
            </w:pPr>
          </w:p>
        </w:tc>
        <w:tc>
          <w:tcPr>
            <w:tcW w:w="407" w:type="pct"/>
          </w:tcPr>
          <w:p w14:paraId="48B2E623" w14:textId="77777777" w:rsidR="00F65AFC" w:rsidRPr="00F61D7B" w:rsidRDefault="00F65AFC" w:rsidP="001A5D4A">
            <w:pPr>
              <w:pStyle w:val="NotesTable-CellPlain"/>
            </w:pPr>
          </w:p>
        </w:tc>
      </w:tr>
      <w:tr w:rsidR="00F65AFC" w:rsidRPr="00F61D7B" w14:paraId="0A228FF3" w14:textId="77777777" w:rsidTr="00BC5733">
        <w:trPr>
          <w:trHeight w:hRule="exact" w:val="227"/>
        </w:trPr>
        <w:tc>
          <w:tcPr>
            <w:tcW w:w="809" w:type="pct"/>
            <w:gridSpan w:val="2"/>
          </w:tcPr>
          <w:p w14:paraId="6169F430" w14:textId="77777777" w:rsidR="00F65AFC" w:rsidRPr="00F61D7B" w:rsidRDefault="00F65AFC" w:rsidP="001A5D4A">
            <w:pPr>
              <w:pStyle w:val="Note-Refs"/>
            </w:pPr>
          </w:p>
        </w:tc>
        <w:tc>
          <w:tcPr>
            <w:tcW w:w="2229" w:type="pct"/>
            <w:vAlign w:val="bottom"/>
          </w:tcPr>
          <w:p w14:paraId="38C9CB4D" w14:textId="77777777" w:rsidR="00F65AFC" w:rsidRPr="00F61D7B" w:rsidRDefault="00F65AFC" w:rsidP="001A5D4A">
            <w:pPr>
              <w:pStyle w:val="Note-Text"/>
            </w:pPr>
            <w:r>
              <w:t>Equity securities</w:t>
            </w:r>
          </w:p>
        </w:tc>
        <w:tc>
          <w:tcPr>
            <w:tcW w:w="337" w:type="pct"/>
            <w:vAlign w:val="bottom"/>
          </w:tcPr>
          <w:p w14:paraId="30891819" w14:textId="77777777" w:rsidR="00F65AFC" w:rsidRDefault="00F65AFC" w:rsidP="001A5D4A">
            <w:pPr>
              <w:pStyle w:val="NotesTable-Notes"/>
            </w:pPr>
          </w:p>
        </w:tc>
        <w:tc>
          <w:tcPr>
            <w:tcW w:w="406" w:type="pct"/>
          </w:tcPr>
          <w:p w14:paraId="166E49BB" w14:textId="77777777" w:rsidR="00F65AFC" w:rsidRPr="00F61D7B" w:rsidRDefault="00F65AFC" w:rsidP="001A5D4A">
            <w:pPr>
              <w:pStyle w:val="NotesTable-CellBold"/>
            </w:pPr>
            <w:r w:rsidRPr="00F61D7B">
              <w:t>–</w:t>
            </w:r>
          </w:p>
        </w:tc>
        <w:tc>
          <w:tcPr>
            <w:tcW w:w="406" w:type="pct"/>
          </w:tcPr>
          <w:p w14:paraId="200F4BD3" w14:textId="77777777" w:rsidR="00F65AFC" w:rsidRPr="00F61D7B" w:rsidRDefault="00F65AFC" w:rsidP="001A5D4A">
            <w:pPr>
              <w:pStyle w:val="NotesTable-CellPlain"/>
            </w:pPr>
            <w:r w:rsidRPr="00F61D7B">
              <w:t>–</w:t>
            </w:r>
          </w:p>
        </w:tc>
        <w:tc>
          <w:tcPr>
            <w:tcW w:w="406" w:type="pct"/>
          </w:tcPr>
          <w:p w14:paraId="05DC9CAC" w14:textId="77777777" w:rsidR="00F65AFC" w:rsidRPr="00F61D7B" w:rsidRDefault="00F65AFC" w:rsidP="001A5D4A">
            <w:pPr>
              <w:pStyle w:val="NotesTable-CellPlain"/>
            </w:pPr>
            <w:r w:rsidRPr="00F61D7B">
              <w:t>–</w:t>
            </w:r>
          </w:p>
        </w:tc>
        <w:tc>
          <w:tcPr>
            <w:tcW w:w="407" w:type="pct"/>
          </w:tcPr>
          <w:p w14:paraId="7B731CBE" w14:textId="77777777" w:rsidR="00F65AFC" w:rsidRPr="00F61D7B" w:rsidRDefault="00F65AFC" w:rsidP="001A5D4A">
            <w:pPr>
              <w:pStyle w:val="NotesTable-CellPlain"/>
            </w:pPr>
            <w:r w:rsidRPr="00F61D7B">
              <w:t>–</w:t>
            </w:r>
          </w:p>
        </w:tc>
      </w:tr>
      <w:tr w:rsidR="00F65AFC" w:rsidRPr="00F61D7B" w14:paraId="4B0C137B" w14:textId="77777777" w:rsidTr="00BC5733">
        <w:trPr>
          <w:trHeight w:hRule="exact" w:val="227"/>
        </w:trPr>
        <w:tc>
          <w:tcPr>
            <w:tcW w:w="809" w:type="pct"/>
            <w:gridSpan w:val="2"/>
          </w:tcPr>
          <w:p w14:paraId="6AF9188B" w14:textId="77777777" w:rsidR="00F65AFC" w:rsidRPr="00F61D7B" w:rsidRDefault="00F65AFC" w:rsidP="001A5D4A">
            <w:pPr>
              <w:pStyle w:val="Note-Refs"/>
            </w:pPr>
          </w:p>
        </w:tc>
        <w:tc>
          <w:tcPr>
            <w:tcW w:w="2229" w:type="pct"/>
            <w:vAlign w:val="bottom"/>
          </w:tcPr>
          <w:p w14:paraId="712F8055" w14:textId="77777777" w:rsidR="00F65AFC" w:rsidRPr="00F61D7B" w:rsidRDefault="00F65AFC" w:rsidP="001A5D4A">
            <w:pPr>
              <w:pStyle w:val="Note-Text"/>
            </w:pPr>
            <w:r>
              <w:t>Debt securities</w:t>
            </w:r>
          </w:p>
        </w:tc>
        <w:tc>
          <w:tcPr>
            <w:tcW w:w="337" w:type="pct"/>
            <w:vAlign w:val="bottom"/>
          </w:tcPr>
          <w:p w14:paraId="465B360A" w14:textId="77777777" w:rsidR="00F65AFC" w:rsidRDefault="00F65AFC" w:rsidP="001A5D4A">
            <w:pPr>
              <w:pStyle w:val="NotesTable-Notes"/>
            </w:pPr>
          </w:p>
        </w:tc>
        <w:tc>
          <w:tcPr>
            <w:tcW w:w="406" w:type="pct"/>
          </w:tcPr>
          <w:p w14:paraId="3434EC89" w14:textId="77777777" w:rsidR="00F65AFC" w:rsidRPr="00F61D7B" w:rsidRDefault="00F65AFC" w:rsidP="001A5D4A">
            <w:pPr>
              <w:pStyle w:val="NotesTable-CellBold"/>
            </w:pPr>
            <w:r w:rsidRPr="00F61D7B">
              <w:t>–</w:t>
            </w:r>
          </w:p>
        </w:tc>
        <w:tc>
          <w:tcPr>
            <w:tcW w:w="406" w:type="pct"/>
          </w:tcPr>
          <w:p w14:paraId="6D630182" w14:textId="77777777" w:rsidR="00F65AFC" w:rsidRPr="00F61D7B" w:rsidRDefault="00F65AFC" w:rsidP="001A5D4A">
            <w:pPr>
              <w:pStyle w:val="NotesTable-CellPlain"/>
            </w:pPr>
            <w:r w:rsidRPr="00F61D7B">
              <w:t>–</w:t>
            </w:r>
          </w:p>
        </w:tc>
        <w:tc>
          <w:tcPr>
            <w:tcW w:w="406" w:type="pct"/>
          </w:tcPr>
          <w:p w14:paraId="0A3DCBD8" w14:textId="77777777" w:rsidR="00F65AFC" w:rsidRPr="00F61D7B" w:rsidRDefault="00F65AFC" w:rsidP="001A5D4A">
            <w:pPr>
              <w:pStyle w:val="NotesTable-CellPlain"/>
            </w:pPr>
            <w:r w:rsidRPr="00F61D7B">
              <w:t>–</w:t>
            </w:r>
          </w:p>
        </w:tc>
        <w:tc>
          <w:tcPr>
            <w:tcW w:w="407" w:type="pct"/>
          </w:tcPr>
          <w:p w14:paraId="7FC1DB6E" w14:textId="77777777" w:rsidR="00F65AFC" w:rsidRPr="00F61D7B" w:rsidRDefault="00F65AFC" w:rsidP="001A5D4A">
            <w:pPr>
              <w:pStyle w:val="NotesTable-CellPlain"/>
            </w:pPr>
            <w:r w:rsidRPr="00F61D7B">
              <w:t>–</w:t>
            </w:r>
          </w:p>
        </w:tc>
      </w:tr>
      <w:tr w:rsidR="00F65AFC" w:rsidRPr="00F61D7B" w14:paraId="51EADD79" w14:textId="77777777" w:rsidTr="00BC5733">
        <w:trPr>
          <w:trHeight w:hRule="exact" w:val="227"/>
        </w:trPr>
        <w:tc>
          <w:tcPr>
            <w:tcW w:w="809" w:type="pct"/>
            <w:gridSpan w:val="2"/>
          </w:tcPr>
          <w:p w14:paraId="29542D94" w14:textId="77777777" w:rsidR="00F65AFC" w:rsidRPr="00F61D7B" w:rsidRDefault="00F65AFC" w:rsidP="001A5D4A">
            <w:pPr>
              <w:pStyle w:val="Note-Refs"/>
            </w:pPr>
          </w:p>
        </w:tc>
        <w:tc>
          <w:tcPr>
            <w:tcW w:w="2229" w:type="pct"/>
            <w:vAlign w:val="bottom"/>
          </w:tcPr>
          <w:p w14:paraId="1D653CB7" w14:textId="77777777" w:rsidR="00F65AFC" w:rsidRPr="00F61D7B" w:rsidRDefault="00F65AFC" w:rsidP="001A5D4A">
            <w:pPr>
              <w:pStyle w:val="NotesTable-ItemPlain"/>
              <w:rPr>
                <w:b/>
              </w:rPr>
            </w:pPr>
            <w:r w:rsidRPr="00F61D7B">
              <w:t>Investments using the equity method</w:t>
            </w:r>
          </w:p>
        </w:tc>
        <w:tc>
          <w:tcPr>
            <w:tcW w:w="337" w:type="pct"/>
            <w:vAlign w:val="bottom"/>
          </w:tcPr>
          <w:p w14:paraId="4FD709ED" w14:textId="77777777" w:rsidR="00F65AFC" w:rsidRPr="00F61D7B" w:rsidRDefault="00F65AFC" w:rsidP="001A5D4A">
            <w:pPr>
              <w:pStyle w:val="NotesTable-Notes"/>
            </w:pPr>
            <w:r>
              <w:t>24</w:t>
            </w:r>
          </w:p>
        </w:tc>
        <w:tc>
          <w:tcPr>
            <w:tcW w:w="406" w:type="pct"/>
          </w:tcPr>
          <w:p w14:paraId="07A4B3F3" w14:textId="77777777" w:rsidR="00F65AFC" w:rsidRPr="00F61D7B" w:rsidRDefault="00F65AFC" w:rsidP="001A5D4A">
            <w:pPr>
              <w:pStyle w:val="NotesTable-CellBold"/>
            </w:pPr>
          </w:p>
        </w:tc>
        <w:tc>
          <w:tcPr>
            <w:tcW w:w="406" w:type="pct"/>
          </w:tcPr>
          <w:p w14:paraId="54982580" w14:textId="77777777" w:rsidR="00F65AFC" w:rsidRPr="00F61D7B" w:rsidRDefault="00F65AFC" w:rsidP="001A5D4A">
            <w:pPr>
              <w:pStyle w:val="NotesTable-CellPlain"/>
            </w:pPr>
          </w:p>
        </w:tc>
        <w:tc>
          <w:tcPr>
            <w:tcW w:w="406" w:type="pct"/>
          </w:tcPr>
          <w:p w14:paraId="6BE3907D" w14:textId="77777777" w:rsidR="00F65AFC" w:rsidRPr="00F61D7B" w:rsidRDefault="00F65AFC" w:rsidP="001A5D4A">
            <w:pPr>
              <w:pStyle w:val="NotesTable-CellPlain"/>
            </w:pPr>
          </w:p>
        </w:tc>
        <w:tc>
          <w:tcPr>
            <w:tcW w:w="407" w:type="pct"/>
          </w:tcPr>
          <w:p w14:paraId="142B0852" w14:textId="77777777" w:rsidR="00F65AFC" w:rsidRPr="00F61D7B" w:rsidRDefault="00F65AFC" w:rsidP="001A5D4A">
            <w:pPr>
              <w:pStyle w:val="NotesTable-CellPlain"/>
            </w:pPr>
          </w:p>
        </w:tc>
      </w:tr>
      <w:tr w:rsidR="00F65AFC" w:rsidRPr="00F61D7B" w14:paraId="2F1CF938" w14:textId="77777777" w:rsidTr="00BC5733">
        <w:trPr>
          <w:trHeight w:hRule="exact" w:val="227"/>
        </w:trPr>
        <w:tc>
          <w:tcPr>
            <w:tcW w:w="809" w:type="pct"/>
            <w:gridSpan w:val="2"/>
          </w:tcPr>
          <w:p w14:paraId="3A3F40D3" w14:textId="77777777" w:rsidR="00F65AFC" w:rsidRPr="00F61D7B" w:rsidRDefault="00F65AFC" w:rsidP="001A5D4A">
            <w:pPr>
              <w:pStyle w:val="Note-Refs"/>
            </w:pPr>
          </w:p>
        </w:tc>
        <w:tc>
          <w:tcPr>
            <w:tcW w:w="2229" w:type="pct"/>
            <w:vAlign w:val="bottom"/>
          </w:tcPr>
          <w:p w14:paraId="27A6BEA3" w14:textId="77777777" w:rsidR="00F65AFC" w:rsidRPr="00F61D7B" w:rsidRDefault="00F65AFC" w:rsidP="001A5D4A">
            <w:pPr>
              <w:pStyle w:val="Note-Text"/>
            </w:pPr>
            <w:r>
              <w:t>[Provide details]</w:t>
            </w:r>
          </w:p>
        </w:tc>
        <w:tc>
          <w:tcPr>
            <w:tcW w:w="337" w:type="pct"/>
            <w:vAlign w:val="bottom"/>
          </w:tcPr>
          <w:p w14:paraId="42EC40D7" w14:textId="77777777" w:rsidR="00F65AFC" w:rsidRPr="00111459" w:rsidRDefault="00F65AFC" w:rsidP="001A5D4A">
            <w:pPr>
              <w:pStyle w:val="NotesTable-Notes"/>
            </w:pPr>
          </w:p>
        </w:tc>
        <w:tc>
          <w:tcPr>
            <w:tcW w:w="406" w:type="pct"/>
          </w:tcPr>
          <w:p w14:paraId="7C8058D6" w14:textId="77777777" w:rsidR="00F65AFC" w:rsidRPr="00F61D7B" w:rsidRDefault="00F65AFC" w:rsidP="001A5D4A">
            <w:pPr>
              <w:pStyle w:val="NotesTable-CellBold"/>
            </w:pPr>
            <w:r w:rsidRPr="00F61D7B">
              <w:t>–</w:t>
            </w:r>
          </w:p>
        </w:tc>
        <w:tc>
          <w:tcPr>
            <w:tcW w:w="406" w:type="pct"/>
          </w:tcPr>
          <w:p w14:paraId="62DCF6B0" w14:textId="77777777" w:rsidR="00F65AFC" w:rsidRPr="00F61D7B" w:rsidRDefault="00F65AFC" w:rsidP="001A5D4A">
            <w:pPr>
              <w:pStyle w:val="NotesTable-CellPlain"/>
            </w:pPr>
            <w:r w:rsidRPr="00F61D7B">
              <w:t>–</w:t>
            </w:r>
          </w:p>
        </w:tc>
        <w:tc>
          <w:tcPr>
            <w:tcW w:w="406" w:type="pct"/>
          </w:tcPr>
          <w:p w14:paraId="51F09BD2" w14:textId="77777777" w:rsidR="00F65AFC" w:rsidRPr="00F61D7B" w:rsidRDefault="00F65AFC" w:rsidP="001A5D4A">
            <w:pPr>
              <w:pStyle w:val="NotesTable-CellPlain"/>
            </w:pPr>
            <w:r w:rsidRPr="00F61D7B">
              <w:t>–</w:t>
            </w:r>
          </w:p>
        </w:tc>
        <w:tc>
          <w:tcPr>
            <w:tcW w:w="407" w:type="pct"/>
          </w:tcPr>
          <w:p w14:paraId="1696B7FC" w14:textId="77777777" w:rsidR="00F65AFC" w:rsidRPr="00F61D7B" w:rsidRDefault="00F65AFC" w:rsidP="001A5D4A">
            <w:pPr>
              <w:pStyle w:val="NotesTable-CellPlain"/>
            </w:pPr>
            <w:r w:rsidRPr="00F61D7B">
              <w:t>–</w:t>
            </w:r>
          </w:p>
        </w:tc>
      </w:tr>
      <w:tr w:rsidR="00F65AFC" w:rsidRPr="00F61D7B" w14:paraId="7C6036C9" w14:textId="77777777" w:rsidTr="00BC5733">
        <w:trPr>
          <w:trHeight w:hRule="exact" w:val="227"/>
        </w:trPr>
        <w:tc>
          <w:tcPr>
            <w:tcW w:w="809" w:type="pct"/>
            <w:gridSpan w:val="2"/>
          </w:tcPr>
          <w:p w14:paraId="05919571" w14:textId="77777777" w:rsidR="00F65AFC" w:rsidRPr="00F61D7B" w:rsidRDefault="00F65AFC" w:rsidP="001A5D4A">
            <w:pPr>
              <w:pStyle w:val="Note-Refs"/>
            </w:pPr>
          </w:p>
        </w:tc>
        <w:tc>
          <w:tcPr>
            <w:tcW w:w="2229" w:type="pct"/>
            <w:vAlign w:val="bottom"/>
          </w:tcPr>
          <w:p w14:paraId="3D1EB717" w14:textId="77777777" w:rsidR="00F65AFC" w:rsidRPr="00F61D7B" w:rsidRDefault="00F65AFC" w:rsidP="001A5D4A">
            <w:pPr>
              <w:pStyle w:val="NotesTable-ItemPlain"/>
              <w:rPr>
                <w:b/>
              </w:rPr>
            </w:pPr>
            <w:r w:rsidRPr="00F61D7B">
              <w:t>Other financial assets</w:t>
            </w:r>
          </w:p>
        </w:tc>
        <w:tc>
          <w:tcPr>
            <w:tcW w:w="337" w:type="pct"/>
            <w:vAlign w:val="bottom"/>
          </w:tcPr>
          <w:p w14:paraId="5E62B92E" w14:textId="77777777" w:rsidR="00F65AFC" w:rsidRPr="00111459" w:rsidRDefault="00F65AFC" w:rsidP="001A5D4A">
            <w:pPr>
              <w:pStyle w:val="NotesTable-Notes"/>
            </w:pPr>
            <w:r w:rsidRPr="00111459">
              <w:t>2</w:t>
            </w:r>
            <w:r>
              <w:t>1</w:t>
            </w:r>
          </w:p>
        </w:tc>
        <w:tc>
          <w:tcPr>
            <w:tcW w:w="406" w:type="pct"/>
          </w:tcPr>
          <w:p w14:paraId="0C671306" w14:textId="77777777" w:rsidR="00F65AFC" w:rsidRPr="00F61D7B" w:rsidRDefault="00F65AFC" w:rsidP="001A5D4A">
            <w:pPr>
              <w:pStyle w:val="NotesTable-CellBold"/>
            </w:pPr>
            <w:r w:rsidRPr="00F61D7B">
              <w:t>–</w:t>
            </w:r>
          </w:p>
        </w:tc>
        <w:tc>
          <w:tcPr>
            <w:tcW w:w="406" w:type="pct"/>
          </w:tcPr>
          <w:p w14:paraId="69518393" w14:textId="77777777" w:rsidR="00F65AFC" w:rsidRPr="00F61D7B" w:rsidRDefault="00F65AFC" w:rsidP="001A5D4A">
            <w:pPr>
              <w:pStyle w:val="NotesTable-CellPlain"/>
            </w:pPr>
            <w:r w:rsidRPr="00F61D7B">
              <w:t>–</w:t>
            </w:r>
          </w:p>
        </w:tc>
        <w:tc>
          <w:tcPr>
            <w:tcW w:w="406" w:type="pct"/>
          </w:tcPr>
          <w:p w14:paraId="773199A8" w14:textId="77777777" w:rsidR="00F65AFC" w:rsidRPr="00F61D7B" w:rsidRDefault="00F65AFC" w:rsidP="001A5D4A">
            <w:pPr>
              <w:pStyle w:val="NotesTable-CellPlain"/>
            </w:pPr>
            <w:r w:rsidRPr="00F61D7B">
              <w:t>–</w:t>
            </w:r>
          </w:p>
        </w:tc>
        <w:tc>
          <w:tcPr>
            <w:tcW w:w="407" w:type="pct"/>
          </w:tcPr>
          <w:p w14:paraId="44E0BA84" w14:textId="77777777" w:rsidR="00F65AFC" w:rsidRPr="00F61D7B" w:rsidRDefault="00F65AFC" w:rsidP="001A5D4A">
            <w:pPr>
              <w:pStyle w:val="NotesTable-CellPlain"/>
            </w:pPr>
            <w:r w:rsidRPr="00F61D7B">
              <w:t>–</w:t>
            </w:r>
          </w:p>
        </w:tc>
      </w:tr>
      <w:tr w:rsidR="00F65AFC" w:rsidRPr="00F61D7B" w14:paraId="37558702" w14:textId="77777777" w:rsidTr="00BC5733">
        <w:trPr>
          <w:trHeight w:hRule="exact" w:val="227"/>
        </w:trPr>
        <w:tc>
          <w:tcPr>
            <w:tcW w:w="809" w:type="pct"/>
            <w:gridSpan w:val="2"/>
          </w:tcPr>
          <w:p w14:paraId="1222BF3F" w14:textId="77777777" w:rsidR="00F65AFC" w:rsidRPr="00F61D7B" w:rsidRDefault="00F65AFC" w:rsidP="001A5D4A">
            <w:pPr>
              <w:pStyle w:val="Note-Refs"/>
            </w:pPr>
          </w:p>
        </w:tc>
        <w:tc>
          <w:tcPr>
            <w:tcW w:w="2229" w:type="pct"/>
            <w:vAlign w:val="bottom"/>
          </w:tcPr>
          <w:p w14:paraId="5A0FA1E3" w14:textId="77777777" w:rsidR="00F65AFC" w:rsidRPr="00F61D7B" w:rsidRDefault="00F65AFC" w:rsidP="001A5D4A">
            <w:pPr>
              <w:pStyle w:val="NotesTable-ItemPlain"/>
              <w:rPr>
                <w:b/>
              </w:rPr>
            </w:pPr>
            <w:r w:rsidRPr="00F61D7B">
              <w:t>[Specify]</w:t>
            </w:r>
          </w:p>
        </w:tc>
        <w:tc>
          <w:tcPr>
            <w:tcW w:w="337" w:type="pct"/>
            <w:vAlign w:val="bottom"/>
          </w:tcPr>
          <w:p w14:paraId="24C25EAD" w14:textId="77777777" w:rsidR="00F65AFC" w:rsidRPr="00F61D7B" w:rsidRDefault="00F65AFC" w:rsidP="001A5D4A">
            <w:pPr>
              <w:pStyle w:val="NotesTable-Notes"/>
            </w:pPr>
          </w:p>
        </w:tc>
        <w:tc>
          <w:tcPr>
            <w:tcW w:w="406" w:type="pct"/>
            <w:tcBorders>
              <w:bottom w:val="single" w:sz="4" w:space="0" w:color="000000"/>
            </w:tcBorders>
          </w:tcPr>
          <w:p w14:paraId="4FB6EB30" w14:textId="77777777" w:rsidR="00F65AFC" w:rsidRPr="00F61D7B" w:rsidRDefault="00F65AFC" w:rsidP="001A5D4A">
            <w:pPr>
              <w:pStyle w:val="NotesTable-CellBold"/>
            </w:pPr>
            <w:r w:rsidRPr="00F61D7B">
              <w:t>–</w:t>
            </w:r>
          </w:p>
        </w:tc>
        <w:tc>
          <w:tcPr>
            <w:tcW w:w="406" w:type="pct"/>
            <w:tcBorders>
              <w:bottom w:val="single" w:sz="4" w:space="0" w:color="000000"/>
            </w:tcBorders>
          </w:tcPr>
          <w:p w14:paraId="37697032" w14:textId="77777777" w:rsidR="00F65AFC" w:rsidRPr="00F61D7B" w:rsidRDefault="00F65AFC" w:rsidP="001A5D4A">
            <w:pPr>
              <w:pStyle w:val="NotesTable-CellPlain"/>
            </w:pPr>
            <w:r w:rsidRPr="00F61D7B">
              <w:t>–</w:t>
            </w:r>
          </w:p>
        </w:tc>
        <w:tc>
          <w:tcPr>
            <w:tcW w:w="406" w:type="pct"/>
            <w:tcBorders>
              <w:bottom w:val="single" w:sz="4" w:space="0" w:color="000000"/>
            </w:tcBorders>
          </w:tcPr>
          <w:p w14:paraId="63020D3F" w14:textId="77777777" w:rsidR="00F65AFC" w:rsidRPr="00F61D7B" w:rsidRDefault="00F65AFC" w:rsidP="001A5D4A">
            <w:pPr>
              <w:pStyle w:val="NotesTable-CellPlain"/>
            </w:pPr>
            <w:r w:rsidRPr="00F61D7B">
              <w:t>–</w:t>
            </w:r>
          </w:p>
        </w:tc>
        <w:tc>
          <w:tcPr>
            <w:tcW w:w="407" w:type="pct"/>
            <w:tcBorders>
              <w:bottom w:val="single" w:sz="4" w:space="0" w:color="000000"/>
            </w:tcBorders>
          </w:tcPr>
          <w:p w14:paraId="60C316FB" w14:textId="77777777" w:rsidR="00F65AFC" w:rsidRPr="00F61D7B" w:rsidRDefault="00F65AFC" w:rsidP="001A5D4A">
            <w:pPr>
              <w:pStyle w:val="NotesTable-CellPlain"/>
            </w:pPr>
            <w:r w:rsidRPr="00F61D7B">
              <w:t>–</w:t>
            </w:r>
          </w:p>
        </w:tc>
      </w:tr>
      <w:tr w:rsidR="00F65AFC" w:rsidRPr="00F61D7B" w14:paraId="5424D92F" w14:textId="77777777" w:rsidTr="00BC5733">
        <w:trPr>
          <w:trHeight w:hRule="exact" w:val="227"/>
        </w:trPr>
        <w:tc>
          <w:tcPr>
            <w:tcW w:w="809" w:type="pct"/>
            <w:gridSpan w:val="2"/>
          </w:tcPr>
          <w:p w14:paraId="672919D0" w14:textId="77777777" w:rsidR="00F65AFC" w:rsidRPr="00F61D7B" w:rsidRDefault="00F65AFC" w:rsidP="001A5D4A">
            <w:pPr>
              <w:pStyle w:val="Note-Refs"/>
            </w:pPr>
          </w:p>
        </w:tc>
        <w:tc>
          <w:tcPr>
            <w:tcW w:w="2229" w:type="pct"/>
            <w:vAlign w:val="bottom"/>
          </w:tcPr>
          <w:p w14:paraId="2ED02258" w14:textId="77777777" w:rsidR="00F65AFC" w:rsidRPr="00F61D7B" w:rsidRDefault="00F65AFC" w:rsidP="001A5D4A">
            <w:pPr>
              <w:pStyle w:val="NotesTable-ItemPlain"/>
              <w:rPr>
                <w:b/>
              </w:rPr>
            </w:pPr>
            <w:r w:rsidRPr="00F61D7B">
              <w:t>Total</w:t>
            </w:r>
            <w:r>
              <w:t xml:space="preserve"> financial assets</w:t>
            </w:r>
          </w:p>
        </w:tc>
        <w:tc>
          <w:tcPr>
            <w:tcW w:w="337" w:type="pct"/>
            <w:vAlign w:val="bottom"/>
          </w:tcPr>
          <w:p w14:paraId="01C26563" w14:textId="77777777" w:rsidR="00F65AFC" w:rsidRPr="00F61D7B" w:rsidRDefault="00F65AFC" w:rsidP="001A5D4A">
            <w:pPr>
              <w:pStyle w:val="NotesTable-Notes"/>
            </w:pPr>
          </w:p>
        </w:tc>
        <w:tc>
          <w:tcPr>
            <w:tcW w:w="406" w:type="pct"/>
            <w:tcBorders>
              <w:top w:val="single" w:sz="4" w:space="0" w:color="000000"/>
            </w:tcBorders>
          </w:tcPr>
          <w:p w14:paraId="19B82B28" w14:textId="77777777" w:rsidR="00F65AFC" w:rsidRPr="00F61D7B" w:rsidRDefault="00F65AFC" w:rsidP="001A5D4A">
            <w:pPr>
              <w:pStyle w:val="NotesTable-CellBold"/>
            </w:pPr>
            <w:r w:rsidRPr="00F61D7B">
              <w:t>–</w:t>
            </w:r>
          </w:p>
        </w:tc>
        <w:tc>
          <w:tcPr>
            <w:tcW w:w="406" w:type="pct"/>
            <w:tcBorders>
              <w:top w:val="single" w:sz="4" w:space="0" w:color="000000"/>
            </w:tcBorders>
          </w:tcPr>
          <w:p w14:paraId="495C6D1B" w14:textId="77777777" w:rsidR="00F65AFC" w:rsidRPr="00F61D7B" w:rsidRDefault="00F65AFC" w:rsidP="001A5D4A">
            <w:pPr>
              <w:pStyle w:val="NotesTable-CellPlain"/>
            </w:pPr>
            <w:r w:rsidRPr="00F61D7B">
              <w:t>–</w:t>
            </w:r>
          </w:p>
        </w:tc>
        <w:tc>
          <w:tcPr>
            <w:tcW w:w="406" w:type="pct"/>
            <w:tcBorders>
              <w:top w:val="single" w:sz="4" w:space="0" w:color="000000"/>
            </w:tcBorders>
          </w:tcPr>
          <w:p w14:paraId="79D291E7" w14:textId="77777777" w:rsidR="00F65AFC" w:rsidRPr="00F61D7B" w:rsidRDefault="00F65AFC" w:rsidP="001A5D4A">
            <w:pPr>
              <w:pStyle w:val="NotesTable-CellPlain"/>
            </w:pPr>
            <w:r w:rsidRPr="00F61D7B">
              <w:t>–</w:t>
            </w:r>
          </w:p>
        </w:tc>
        <w:tc>
          <w:tcPr>
            <w:tcW w:w="407" w:type="pct"/>
            <w:tcBorders>
              <w:top w:val="single" w:sz="4" w:space="0" w:color="000000"/>
            </w:tcBorders>
          </w:tcPr>
          <w:p w14:paraId="1E3436BE" w14:textId="77777777" w:rsidR="00F65AFC" w:rsidRPr="00F61D7B" w:rsidRDefault="00F65AFC" w:rsidP="001A5D4A">
            <w:pPr>
              <w:pStyle w:val="NotesTable-CellPlain"/>
            </w:pPr>
            <w:r w:rsidRPr="00F61D7B">
              <w:t>–</w:t>
            </w:r>
          </w:p>
        </w:tc>
      </w:tr>
      <w:tr w:rsidR="00F65AFC" w:rsidRPr="00F61D7B" w14:paraId="270697D8" w14:textId="77777777" w:rsidTr="00261A68">
        <w:trPr>
          <w:trHeight w:hRule="exact" w:val="85"/>
        </w:trPr>
        <w:tc>
          <w:tcPr>
            <w:tcW w:w="809" w:type="pct"/>
            <w:gridSpan w:val="2"/>
          </w:tcPr>
          <w:p w14:paraId="24ACC8D3" w14:textId="77777777" w:rsidR="00F65AFC" w:rsidRPr="00F61D7B" w:rsidRDefault="00F65AFC" w:rsidP="001A5D4A">
            <w:pPr>
              <w:pStyle w:val="Note-Refs"/>
            </w:pPr>
          </w:p>
        </w:tc>
        <w:tc>
          <w:tcPr>
            <w:tcW w:w="4191" w:type="pct"/>
            <w:gridSpan w:val="6"/>
            <w:vAlign w:val="bottom"/>
          </w:tcPr>
          <w:p w14:paraId="13A11DF2" w14:textId="77777777" w:rsidR="00F65AFC" w:rsidRPr="00F61D7B" w:rsidRDefault="00F65AFC" w:rsidP="001A5D4A">
            <w:pPr>
              <w:pStyle w:val="NotesTable-ItemPlain"/>
            </w:pPr>
          </w:p>
        </w:tc>
      </w:tr>
      <w:tr w:rsidR="00F65AFC" w:rsidRPr="00F61D7B" w14:paraId="7DCEDA08" w14:textId="77777777" w:rsidTr="00BC5733">
        <w:trPr>
          <w:trHeight w:hRule="exact" w:val="227"/>
        </w:trPr>
        <w:tc>
          <w:tcPr>
            <w:tcW w:w="809" w:type="pct"/>
            <w:gridSpan w:val="2"/>
          </w:tcPr>
          <w:p w14:paraId="42FC0585" w14:textId="77777777" w:rsidR="00F65AFC" w:rsidRPr="00F61D7B" w:rsidRDefault="00F65AFC" w:rsidP="001A5D4A">
            <w:pPr>
              <w:pStyle w:val="Note-Refs"/>
            </w:pPr>
          </w:p>
        </w:tc>
        <w:tc>
          <w:tcPr>
            <w:tcW w:w="2229" w:type="pct"/>
            <w:vAlign w:val="bottom"/>
          </w:tcPr>
          <w:p w14:paraId="596CA72A" w14:textId="77777777" w:rsidR="00F65AFC" w:rsidRPr="00F61D7B" w:rsidRDefault="00F65AFC" w:rsidP="001A5D4A">
            <w:pPr>
              <w:pStyle w:val="NotesTable-ItemBold"/>
            </w:pPr>
            <w:r>
              <w:t>Non-financial assets</w:t>
            </w:r>
          </w:p>
        </w:tc>
        <w:tc>
          <w:tcPr>
            <w:tcW w:w="337" w:type="pct"/>
            <w:vAlign w:val="bottom"/>
          </w:tcPr>
          <w:p w14:paraId="3855ED05" w14:textId="77777777" w:rsidR="00F65AFC" w:rsidRPr="00F61D7B" w:rsidRDefault="00F65AFC" w:rsidP="001A5D4A">
            <w:pPr>
              <w:pStyle w:val="NotesTable-Notes"/>
            </w:pPr>
          </w:p>
        </w:tc>
        <w:tc>
          <w:tcPr>
            <w:tcW w:w="406" w:type="pct"/>
          </w:tcPr>
          <w:p w14:paraId="5372AED5" w14:textId="77777777" w:rsidR="00F65AFC" w:rsidRPr="00F61D7B" w:rsidRDefault="00F65AFC" w:rsidP="001A5D4A">
            <w:pPr>
              <w:pStyle w:val="NotesTable-ItemBold"/>
            </w:pPr>
          </w:p>
        </w:tc>
        <w:tc>
          <w:tcPr>
            <w:tcW w:w="406" w:type="pct"/>
          </w:tcPr>
          <w:p w14:paraId="71AA0F4C" w14:textId="77777777" w:rsidR="00F65AFC" w:rsidRPr="00F61D7B" w:rsidRDefault="00F65AFC" w:rsidP="001A5D4A">
            <w:pPr>
              <w:pStyle w:val="NotesTable-ItemBold"/>
            </w:pPr>
          </w:p>
        </w:tc>
        <w:tc>
          <w:tcPr>
            <w:tcW w:w="406" w:type="pct"/>
          </w:tcPr>
          <w:p w14:paraId="2419C25C" w14:textId="77777777" w:rsidR="00F65AFC" w:rsidRPr="00F61D7B" w:rsidRDefault="00F65AFC" w:rsidP="001A5D4A">
            <w:pPr>
              <w:pStyle w:val="NotesTable-ItemBold"/>
            </w:pPr>
          </w:p>
        </w:tc>
        <w:tc>
          <w:tcPr>
            <w:tcW w:w="407" w:type="pct"/>
          </w:tcPr>
          <w:p w14:paraId="0B41FE8B" w14:textId="77777777" w:rsidR="00F65AFC" w:rsidRPr="00F61D7B" w:rsidRDefault="00F65AFC" w:rsidP="001A5D4A">
            <w:pPr>
              <w:pStyle w:val="NotesTable-ItemBold"/>
            </w:pPr>
          </w:p>
        </w:tc>
      </w:tr>
      <w:tr w:rsidR="00F65AFC" w:rsidRPr="00F61D7B" w14:paraId="1AF98B80" w14:textId="77777777" w:rsidTr="00BC5733">
        <w:trPr>
          <w:trHeight w:hRule="exact" w:val="227"/>
        </w:trPr>
        <w:tc>
          <w:tcPr>
            <w:tcW w:w="809" w:type="pct"/>
            <w:gridSpan w:val="2"/>
          </w:tcPr>
          <w:p w14:paraId="038F6650" w14:textId="77777777" w:rsidR="00F65AFC" w:rsidRPr="00F61D7B" w:rsidRDefault="00F65AFC" w:rsidP="001A5D4A">
            <w:pPr>
              <w:pStyle w:val="Note-Refs"/>
            </w:pPr>
          </w:p>
        </w:tc>
        <w:tc>
          <w:tcPr>
            <w:tcW w:w="2229" w:type="pct"/>
            <w:vAlign w:val="bottom"/>
          </w:tcPr>
          <w:p w14:paraId="2F54B2DA" w14:textId="77777777" w:rsidR="00F65AFC" w:rsidRPr="00F61D7B" w:rsidRDefault="00F65AFC" w:rsidP="001A5D4A">
            <w:pPr>
              <w:pStyle w:val="NotesTable-ItemPlain"/>
              <w:rPr>
                <w:b/>
              </w:rPr>
            </w:pPr>
            <w:r>
              <w:t>Investment properties</w:t>
            </w:r>
          </w:p>
        </w:tc>
        <w:tc>
          <w:tcPr>
            <w:tcW w:w="337" w:type="pct"/>
            <w:vAlign w:val="bottom"/>
          </w:tcPr>
          <w:p w14:paraId="5F5E19FA" w14:textId="77777777" w:rsidR="00F65AFC" w:rsidRPr="00F61D7B" w:rsidRDefault="00F65AFC" w:rsidP="001A5D4A">
            <w:pPr>
              <w:pStyle w:val="NotesTable-Notes"/>
            </w:pPr>
            <w:r>
              <w:t>25</w:t>
            </w:r>
          </w:p>
        </w:tc>
        <w:tc>
          <w:tcPr>
            <w:tcW w:w="406" w:type="pct"/>
          </w:tcPr>
          <w:p w14:paraId="38178248" w14:textId="77777777" w:rsidR="00F65AFC" w:rsidRPr="00F61D7B" w:rsidRDefault="00F65AFC" w:rsidP="001A5D4A">
            <w:pPr>
              <w:pStyle w:val="NotesTable-HeadBold"/>
            </w:pPr>
          </w:p>
        </w:tc>
        <w:tc>
          <w:tcPr>
            <w:tcW w:w="406" w:type="pct"/>
          </w:tcPr>
          <w:p w14:paraId="78EDE4A9" w14:textId="77777777" w:rsidR="00F65AFC" w:rsidRPr="00F61D7B" w:rsidRDefault="00F65AFC" w:rsidP="001A5D4A">
            <w:pPr>
              <w:pStyle w:val="NotesTable-ItemPlain"/>
            </w:pPr>
          </w:p>
        </w:tc>
        <w:tc>
          <w:tcPr>
            <w:tcW w:w="406" w:type="pct"/>
          </w:tcPr>
          <w:p w14:paraId="596A25CC" w14:textId="77777777" w:rsidR="00F65AFC" w:rsidRPr="00F61D7B" w:rsidRDefault="00F65AFC" w:rsidP="001A5D4A">
            <w:pPr>
              <w:pStyle w:val="NotesTable-ItemPlain"/>
            </w:pPr>
          </w:p>
        </w:tc>
        <w:tc>
          <w:tcPr>
            <w:tcW w:w="407" w:type="pct"/>
          </w:tcPr>
          <w:p w14:paraId="5838ED6E" w14:textId="77777777" w:rsidR="00F65AFC" w:rsidRPr="00F61D7B" w:rsidRDefault="00F65AFC" w:rsidP="001A5D4A">
            <w:pPr>
              <w:pStyle w:val="NotesTable-ItemPlain"/>
            </w:pPr>
          </w:p>
        </w:tc>
      </w:tr>
      <w:tr w:rsidR="00F65AFC" w:rsidRPr="00F61D7B" w14:paraId="25A737EC" w14:textId="77777777" w:rsidTr="00BC5733">
        <w:trPr>
          <w:trHeight w:hRule="exact" w:val="227"/>
        </w:trPr>
        <w:tc>
          <w:tcPr>
            <w:tcW w:w="809" w:type="pct"/>
            <w:gridSpan w:val="2"/>
          </w:tcPr>
          <w:p w14:paraId="72696E9C" w14:textId="77777777" w:rsidR="00F65AFC" w:rsidRPr="00F61D7B" w:rsidRDefault="00F65AFC" w:rsidP="001A5D4A">
            <w:pPr>
              <w:pStyle w:val="Note-Refs"/>
            </w:pPr>
          </w:p>
        </w:tc>
        <w:tc>
          <w:tcPr>
            <w:tcW w:w="2229" w:type="pct"/>
            <w:vAlign w:val="bottom"/>
          </w:tcPr>
          <w:p w14:paraId="51C550F4" w14:textId="77777777" w:rsidR="00F65AFC" w:rsidRDefault="00F65AFC" w:rsidP="001A5D4A">
            <w:pPr>
              <w:pStyle w:val="Note-Text"/>
            </w:pPr>
            <w:r>
              <w:t>[Specify]</w:t>
            </w:r>
          </w:p>
        </w:tc>
        <w:tc>
          <w:tcPr>
            <w:tcW w:w="337" w:type="pct"/>
            <w:vAlign w:val="bottom"/>
          </w:tcPr>
          <w:p w14:paraId="19BF8B44" w14:textId="77777777" w:rsidR="00F65AFC" w:rsidRDefault="00F65AFC" w:rsidP="001A5D4A">
            <w:pPr>
              <w:pStyle w:val="NotesTable-Notes"/>
            </w:pPr>
          </w:p>
        </w:tc>
        <w:tc>
          <w:tcPr>
            <w:tcW w:w="406" w:type="pct"/>
          </w:tcPr>
          <w:p w14:paraId="644E7562" w14:textId="77777777" w:rsidR="00F65AFC" w:rsidRPr="00F61D7B" w:rsidRDefault="00F65AFC" w:rsidP="001A5D4A">
            <w:pPr>
              <w:pStyle w:val="NotesTable-CellBold"/>
            </w:pPr>
            <w:r w:rsidRPr="00F61D7B">
              <w:t>–</w:t>
            </w:r>
          </w:p>
        </w:tc>
        <w:tc>
          <w:tcPr>
            <w:tcW w:w="406" w:type="pct"/>
          </w:tcPr>
          <w:p w14:paraId="30FA2DF5" w14:textId="77777777" w:rsidR="00F65AFC" w:rsidRPr="00F61D7B" w:rsidRDefault="00F65AFC" w:rsidP="001A5D4A">
            <w:pPr>
              <w:pStyle w:val="NotesTable-CellPlain"/>
            </w:pPr>
            <w:r w:rsidRPr="00F61D7B">
              <w:t>–</w:t>
            </w:r>
          </w:p>
        </w:tc>
        <w:tc>
          <w:tcPr>
            <w:tcW w:w="406" w:type="pct"/>
          </w:tcPr>
          <w:p w14:paraId="08C1E56D" w14:textId="77777777" w:rsidR="00F65AFC" w:rsidRPr="00F61D7B" w:rsidRDefault="00F65AFC" w:rsidP="001A5D4A">
            <w:pPr>
              <w:pStyle w:val="NotesTable-CellPlain"/>
            </w:pPr>
            <w:r w:rsidRPr="00F61D7B">
              <w:t>–</w:t>
            </w:r>
          </w:p>
        </w:tc>
        <w:tc>
          <w:tcPr>
            <w:tcW w:w="407" w:type="pct"/>
          </w:tcPr>
          <w:p w14:paraId="118B3CC6" w14:textId="77777777" w:rsidR="00F65AFC" w:rsidRPr="00F61D7B" w:rsidRDefault="00F65AFC" w:rsidP="001A5D4A">
            <w:pPr>
              <w:pStyle w:val="NotesTable-CellPlain"/>
            </w:pPr>
            <w:r w:rsidRPr="00F61D7B">
              <w:t>–</w:t>
            </w:r>
          </w:p>
        </w:tc>
      </w:tr>
      <w:tr w:rsidR="00F65AFC" w:rsidRPr="00F61D7B" w14:paraId="3C8EB912" w14:textId="77777777" w:rsidTr="00BC5733">
        <w:trPr>
          <w:trHeight w:hRule="exact" w:val="227"/>
        </w:trPr>
        <w:tc>
          <w:tcPr>
            <w:tcW w:w="809" w:type="pct"/>
            <w:gridSpan w:val="2"/>
          </w:tcPr>
          <w:p w14:paraId="1B1910DC" w14:textId="77777777" w:rsidR="00F65AFC" w:rsidRPr="00F61D7B" w:rsidRDefault="00F65AFC" w:rsidP="001A5D4A">
            <w:pPr>
              <w:pStyle w:val="Note-Refs"/>
            </w:pPr>
          </w:p>
        </w:tc>
        <w:tc>
          <w:tcPr>
            <w:tcW w:w="2229" w:type="pct"/>
            <w:vAlign w:val="bottom"/>
          </w:tcPr>
          <w:p w14:paraId="2BA87D46" w14:textId="77777777" w:rsidR="00F65AFC" w:rsidRPr="00F61D7B" w:rsidRDefault="00F65AFC" w:rsidP="001A5D4A">
            <w:pPr>
              <w:pStyle w:val="NotesTable-ItemPlain"/>
              <w:rPr>
                <w:b/>
              </w:rPr>
            </w:pPr>
            <w:r>
              <w:t>Land and buildings</w:t>
            </w:r>
          </w:p>
        </w:tc>
        <w:tc>
          <w:tcPr>
            <w:tcW w:w="337" w:type="pct"/>
            <w:vAlign w:val="bottom"/>
          </w:tcPr>
          <w:p w14:paraId="79DAA67D" w14:textId="77777777" w:rsidR="00F65AFC" w:rsidRPr="00F61D7B" w:rsidRDefault="00F65AFC" w:rsidP="001A5D4A">
            <w:pPr>
              <w:pStyle w:val="NotesTable-Notes"/>
            </w:pPr>
            <w:r>
              <w:t>26</w:t>
            </w:r>
          </w:p>
        </w:tc>
        <w:tc>
          <w:tcPr>
            <w:tcW w:w="406" w:type="pct"/>
          </w:tcPr>
          <w:p w14:paraId="5432153A" w14:textId="77777777" w:rsidR="00F65AFC" w:rsidRPr="00F61D7B" w:rsidRDefault="00F65AFC" w:rsidP="001A5D4A">
            <w:pPr>
              <w:pStyle w:val="NotesTable-CellBold"/>
            </w:pPr>
          </w:p>
        </w:tc>
        <w:tc>
          <w:tcPr>
            <w:tcW w:w="406" w:type="pct"/>
          </w:tcPr>
          <w:p w14:paraId="206529AA" w14:textId="77777777" w:rsidR="00F65AFC" w:rsidRPr="00F61D7B" w:rsidRDefault="00F65AFC" w:rsidP="001A5D4A">
            <w:pPr>
              <w:pStyle w:val="NotesTable-CellPlain"/>
            </w:pPr>
          </w:p>
        </w:tc>
        <w:tc>
          <w:tcPr>
            <w:tcW w:w="406" w:type="pct"/>
          </w:tcPr>
          <w:p w14:paraId="63FC1F32" w14:textId="77777777" w:rsidR="00F65AFC" w:rsidRPr="00F61D7B" w:rsidRDefault="00F65AFC" w:rsidP="001A5D4A">
            <w:pPr>
              <w:pStyle w:val="NotesTable-CellPlain"/>
            </w:pPr>
          </w:p>
        </w:tc>
        <w:tc>
          <w:tcPr>
            <w:tcW w:w="407" w:type="pct"/>
          </w:tcPr>
          <w:p w14:paraId="5A45A318" w14:textId="77777777" w:rsidR="00F65AFC" w:rsidRPr="00F61D7B" w:rsidRDefault="00F65AFC" w:rsidP="001A5D4A">
            <w:pPr>
              <w:pStyle w:val="NotesTable-CellPlain"/>
            </w:pPr>
          </w:p>
        </w:tc>
      </w:tr>
      <w:tr w:rsidR="00F65AFC" w:rsidRPr="00F61D7B" w14:paraId="59A8DF82" w14:textId="77777777" w:rsidTr="00BC5733">
        <w:trPr>
          <w:trHeight w:hRule="exact" w:val="227"/>
        </w:trPr>
        <w:tc>
          <w:tcPr>
            <w:tcW w:w="809" w:type="pct"/>
            <w:gridSpan w:val="2"/>
          </w:tcPr>
          <w:p w14:paraId="4A5EA9DA" w14:textId="77777777" w:rsidR="00F65AFC" w:rsidRPr="00F61D7B" w:rsidRDefault="00F65AFC" w:rsidP="001A5D4A">
            <w:pPr>
              <w:pStyle w:val="Note-Refs"/>
            </w:pPr>
          </w:p>
        </w:tc>
        <w:tc>
          <w:tcPr>
            <w:tcW w:w="2229" w:type="pct"/>
            <w:vAlign w:val="bottom"/>
          </w:tcPr>
          <w:p w14:paraId="2CA6E085" w14:textId="77777777" w:rsidR="00F65AFC" w:rsidRPr="00F61D7B" w:rsidRDefault="00F65AFC" w:rsidP="001A5D4A">
            <w:pPr>
              <w:pStyle w:val="Note-Text"/>
              <w:rPr>
                <w:b/>
                <w:lang w:val="en-GB"/>
              </w:rPr>
            </w:pPr>
            <w:r w:rsidRPr="00F61D7B">
              <w:t>[Specify]</w:t>
            </w:r>
          </w:p>
        </w:tc>
        <w:tc>
          <w:tcPr>
            <w:tcW w:w="337" w:type="pct"/>
            <w:vAlign w:val="bottom"/>
          </w:tcPr>
          <w:p w14:paraId="19001D5E" w14:textId="77777777" w:rsidR="00F65AFC" w:rsidRPr="00F61D7B" w:rsidRDefault="00F65AFC" w:rsidP="001A5D4A">
            <w:pPr>
              <w:pStyle w:val="NotesTable-Notes"/>
            </w:pPr>
          </w:p>
        </w:tc>
        <w:tc>
          <w:tcPr>
            <w:tcW w:w="406" w:type="pct"/>
          </w:tcPr>
          <w:p w14:paraId="34736AD4" w14:textId="77777777" w:rsidR="00F65AFC" w:rsidRPr="00F61D7B" w:rsidRDefault="00F65AFC" w:rsidP="001A5D4A">
            <w:pPr>
              <w:pStyle w:val="NotesTable-CellBold"/>
            </w:pPr>
            <w:r w:rsidRPr="00F61D7B">
              <w:t>–</w:t>
            </w:r>
          </w:p>
        </w:tc>
        <w:tc>
          <w:tcPr>
            <w:tcW w:w="406" w:type="pct"/>
          </w:tcPr>
          <w:p w14:paraId="4AD60C06" w14:textId="77777777" w:rsidR="00F65AFC" w:rsidRPr="00F61D7B" w:rsidRDefault="00F65AFC" w:rsidP="001A5D4A">
            <w:pPr>
              <w:pStyle w:val="NotesTable-CellPlain"/>
            </w:pPr>
            <w:r w:rsidRPr="00F61D7B">
              <w:t>–</w:t>
            </w:r>
          </w:p>
        </w:tc>
        <w:tc>
          <w:tcPr>
            <w:tcW w:w="406" w:type="pct"/>
          </w:tcPr>
          <w:p w14:paraId="10982730" w14:textId="77777777" w:rsidR="00F65AFC" w:rsidRPr="00F61D7B" w:rsidRDefault="00F65AFC" w:rsidP="001A5D4A">
            <w:pPr>
              <w:pStyle w:val="NotesTable-CellPlain"/>
            </w:pPr>
            <w:r w:rsidRPr="00F61D7B">
              <w:t>–</w:t>
            </w:r>
          </w:p>
        </w:tc>
        <w:tc>
          <w:tcPr>
            <w:tcW w:w="407" w:type="pct"/>
          </w:tcPr>
          <w:p w14:paraId="38240A38" w14:textId="77777777" w:rsidR="00F65AFC" w:rsidRPr="00F61D7B" w:rsidRDefault="00F65AFC" w:rsidP="001A5D4A">
            <w:pPr>
              <w:pStyle w:val="NotesTable-CellPlain"/>
            </w:pPr>
            <w:r w:rsidRPr="00F61D7B">
              <w:t>–</w:t>
            </w:r>
          </w:p>
        </w:tc>
      </w:tr>
      <w:tr w:rsidR="00F65AFC" w:rsidRPr="00F61D7B" w14:paraId="147A55CE" w14:textId="77777777" w:rsidTr="00BC5733">
        <w:trPr>
          <w:trHeight w:hRule="exact" w:val="227"/>
        </w:trPr>
        <w:tc>
          <w:tcPr>
            <w:tcW w:w="809" w:type="pct"/>
            <w:gridSpan w:val="2"/>
          </w:tcPr>
          <w:p w14:paraId="3E935DE9" w14:textId="77777777" w:rsidR="00F65AFC" w:rsidRPr="00F61D7B" w:rsidRDefault="00F65AFC" w:rsidP="001A5D4A">
            <w:pPr>
              <w:pStyle w:val="Note-Refs"/>
            </w:pPr>
          </w:p>
        </w:tc>
        <w:tc>
          <w:tcPr>
            <w:tcW w:w="2229" w:type="pct"/>
            <w:vAlign w:val="bottom"/>
          </w:tcPr>
          <w:p w14:paraId="36868BC3" w14:textId="77777777" w:rsidR="00F65AFC" w:rsidRPr="00F61D7B" w:rsidRDefault="00F65AFC" w:rsidP="001A5D4A">
            <w:pPr>
              <w:pStyle w:val="NotesTable-ItemPlain"/>
            </w:pPr>
            <w:r>
              <w:t>Non-current assets (or disposal groups) held for sale</w:t>
            </w:r>
          </w:p>
        </w:tc>
        <w:tc>
          <w:tcPr>
            <w:tcW w:w="337" w:type="pct"/>
            <w:vAlign w:val="bottom"/>
          </w:tcPr>
          <w:p w14:paraId="62AC82B1" w14:textId="77777777" w:rsidR="00F65AFC" w:rsidRPr="00F61D7B" w:rsidRDefault="00F65AFC" w:rsidP="001A5D4A">
            <w:pPr>
              <w:pStyle w:val="NotesTable-Notes"/>
            </w:pPr>
            <w:r>
              <w:t>22</w:t>
            </w:r>
          </w:p>
        </w:tc>
        <w:tc>
          <w:tcPr>
            <w:tcW w:w="406" w:type="pct"/>
            <w:tcBorders>
              <w:bottom w:val="single" w:sz="4" w:space="0" w:color="000000"/>
            </w:tcBorders>
          </w:tcPr>
          <w:p w14:paraId="0F1EABC0" w14:textId="77777777" w:rsidR="00F65AFC" w:rsidRPr="00F61D7B" w:rsidRDefault="00F65AFC" w:rsidP="001A5D4A">
            <w:pPr>
              <w:pStyle w:val="NotesTable-CellBold"/>
            </w:pPr>
            <w:r w:rsidRPr="00F61D7B">
              <w:t>–</w:t>
            </w:r>
          </w:p>
        </w:tc>
        <w:tc>
          <w:tcPr>
            <w:tcW w:w="406" w:type="pct"/>
            <w:tcBorders>
              <w:bottom w:val="single" w:sz="4" w:space="0" w:color="000000"/>
            </w:tcBorders>
          </w:tcPr>
          <w:p w14:paraId="26AFAA5C" w14:textId="77777777" w:rsidR="00F65AFC" w:rsidRPr="00F61D7B" w:rsidRDefault="00F65AFC" w:rsidP="001A5D4A">
            <w:pPr>
              <w:pStyle w:val="NotesTable-CellPlain"/>
            </w:pPr>
            <w:r w:rsidRPr="00F61D7B">
              <w:t>–</w:t>
            </w:r>
          </w:p>
        </w:tc>
        <w:tc>
          <w:tcPr>
            <w:tcW w:w="406" w:type="pct"/>
            <w:tcBorders>
              <w:bottom w:val="single" w:sz="4" w:space="0" w:color="000000"/>
            </w:tcBorders>
          </w:tcPr>
          <w:p w14:paraId="3C275B72" w14:textId="77777777" w:rsidR="00F65AFC" w:rsidRPr="00F61D7B" w:rsidRDefault="00F65AFC" w:rsidP="001A5D4A">
            <w:pPr>
              <w:pStyle w:val="NotesTable-CellPlain"/>
            </w:pPr>
            <w:r w:rsidRPr="00F61D7B">
              <w:t>–</w:t>
            </w:r>
          </w:p>
        </w:tc>
        <w:tc>
          <w:tcPr>
            <w:tcW w:w="407" w:type="pct"/>
            <w:tcBorders>
              <w:bottom w:val="single" w:sz="4" w:space="0" w:color="000000"/>
            </w:tcBorders>
          </w:tcPr>
          <w:p w14:paraId="4CEBFDF4" w14:textId="77777777" w:rsidR="00F65AFC" w:rsidRPr="00F61D7B" w:rsidRDefault="00F65AFC" w:rsidP="001A5D4A">
            <w:pPr>
              <w:pStyle w:val="NotesTable-CellPlain"/>
            </w:pPr>
            <w:r w:rsidRPr="00F61D7B">
              <w:t>–</w:t>
            </w:r>
          </w:p>
        </w:tc>
      </w:tr>
      <w:tr w:rsidR="00F65AFC" w:rsidRPr="00F61D7B" w14:paraId="636BE083" w14:textId="77777777" w:rsidTr="00BC5733">
        <w:trPr>
          <w:trHeight w:hRule="exact" w:val="227"/>
        </w:trPr>
        <w:tc>
          <w:tcPr>
            <w:tcW w:w="809" w:type="pct"/>
            <w:gridSpan w:val="2"/>
          </w:tcPr>
          <w:p w14:paraId="343A8359" w14:textId="77777777" w:rsidR="00F65AFC" w:rsidRPr="00F61D7B" w:rsidRDefault="00F65AFC" w:rsidP="001A5D4A">
            <w:pPr>
              <w:pStyle w:val="Note-Refs"/>
            </w:pPr>
          </w:p>
        </w:tc>
        <w:tc>
          <w:tcPr>
            <w:tcW w:w="2229" w:type="pct"/>
            <w:vAlign w:val="bottom"/>
          </w:tcPr>
          <w:p w14:paraId="43CDBA0F" w14:textId="77777777" w:rsidR="00F65AFC" w:rsidRPr="00F61D7B" w:rsidRDefault="00F65AFC" w:rsidP="001A5D4A">
            <w:pPr>
              <w:pStyle w:val="NotesTable-ItemPlain"/>
              <w:rPr>
                <w:b/>
              </w:rPr>
            </w:pPr>
            <w:r w:rsidRPr="00F61D7B">
              <w:t>[Specify]</w:t>
            </w:r>
          </w:p>
        </w:tc>
        <w:tc>
          <w:tcPr>
            <w:tcW w:w="337" w:type="pct"/>
            <w:vAlign w:val="bottom"/>
          </w:tcPr>
          <w:p w14:paraId="4667AB4A" w14:textId="77777777" w:rsidR="00F65AFC" w:rsidRPr="00F61D7B" w:rsidRDefault="00F65AFC" w:rsidP="001A5D4A">
            <w:pPr>
              <w:pStyle w:val="NotesTable-Notes"/>
            </w:pPr>
          </w:p>
        </w:tc>
        <w:tc>
          <w:tcPr>
            <w:tcW w:w="406" w:type="pct"/>
            <w:tcBorders>
              <w:bottom w:val="single" w:sz="4" w:space="0" w:color="000000"/>
            </w:tcBorders>
          </w:tcPr>
          <w:p w14:paraId="1223078F" w14:textId="77777777" w:rsidR="00F65AFC" w:rsidRPr="00F61D7B" w:rsidRDefault="00F65AFC" w:rsidP="001A5D4A">
            <w:pPr>
              <w:pStyle w:val="NotesTable-CellBold"/>
            </w:pPr>
            <w:r w:rsidRPr="00F61D7B">
              <w:t>–</w:t>
            </w:r>
          </w:p>
        </w:tc>
        <w:tc>
          <w:tcPr>
            <w:tcW w:w="406" w:type="pct"/>
            <w:tcBorders>
              <w:bottom w:val="single" w:sz="4" w:space="0" w:color="000000"/>
            </w:tcBorders>
          </w:tcPr>
          <w:p w14:paraId="64E5ABF9" w14:textId="77777777" w:rsidR="00F65AFC" w:rsidRPr="00F61D7B" w:rsidRDefault="00F65AFC" w:rsidP="001A5D4A">
            <w:pPr>
              <w:pStyle w:val="NotesTable-CellPlain"/>
            </w:pPr>
            <w:r w:rsidRPr="00F61D7B">
              <w:t>–</w:t>
            </w:r>
          </w:p>
        </w:tc>
        <w:tc>
          <w:tcPr>
            <w:tcW w:w="406" w:type="pct"/>
            <w:tcBorders>
              <w:bottom w:val="single" w:sz="4" w:space="0" w:color="000000"/>
            </w:tcBorders>
          </w:tcPr>
          <w:p w14:paraId="5A03640B" w14:textId="77777777" w:rsidR="00F65AFC" w:rsidRPr="00F61D7B" w:rsidRDefault="00F65AFC" w:rsidP="001A5D4A">
            <w:pPr>
              <w:pStyle w:val="NotesTable-CellPlain"/>
            </w:pPr>
            <w:r w:rsidRPr="00F61D7B">
              <w:t>–</w:t>
            </w:r>
          </w:p>
        </w:tc>
        <w:tc>
          <w:tcPr>
            <w:tcW w:w="407" w:type="pct"/>
            <w:tcBorders>
              <w:bottom w:val="single" w:sz="4" w:space="0" w:color="000000"/>
            </w:tcBorders>
          </w:tcPr>
          <w:p w14:paraId="4F21EC1C" w14:textId="77777777" w:rsidR="00F65AFC" w:rsidRPr="00F61D7B" w:rsidRDefault="00F65AFC" w:rsidP="001A5D4A">
            <w:pPr>
              <w:pStyle w:val="NotesTable-CellPlain"/>
            </w:pPr>
            <w:r w:rsidRPr="00F61D7B">
              <w:t>–</w:t>
            </w:r>
          </w:p>
        </w:tc>
      </w:tr>
      <w:tr w:rsidR="00F65AFC" w:rsidRPr="00F61D7B" w14:paraId="6A4A9E46" w14:textId="77777777" w:rsidTr="00BC5733">
        <w:trPr>
          <w:trHeight w:hRule="exact" w:val="227"/>
        </w:trPr>
        <w:tc>
          <w:tcPr>
            <w:tcW w:w="809" w:type="pct"/>
            <w:gridSpan w:val="2"/>
          </w:tcPr>
          <w:p w14:paraId="3C90E279" w14:textId="77777777" w:rsidR="00F65AFC" w:rsidRPr="00F61D7B" w:rsidRDefault="00F65AFC" w:rsidP="001A5D4A">
            <w:pPr>
              <w:pStyle w:val="Note-Refs"/>
            </w:pPr>
          </w:p>
        </w:tc>
        <w:tc>
          <w:tcPr>
            <w:tcW w:w="2229" w:type="pct"/>
            <w:vAlign w:val="bottom"/>
          </w:tcPr>
          <w:p w14:paraId="1D4D107B" w14:textId="77777777" w:rsidR="00F65AFC" w:rsidRPr="00F61D7B" w:rsidRDefault="00F65AFC" w:rsidP="001A5D4A">
            <w:pPr>
              <w:pStyle w:val="NotesTable-ItemPlain"/>
              <w:rPr>
                <w:b/>
              </w:rPr>
            </w:pPr>
            <w:r w:rsidRPr="00F61D7B">
              <w:t>Total</w:t>
            </w:r>
            <w:r>
              <w:t xml:space="preserve"> non-financial assets</w:t>
            </w:r>
          </w:p>
        </w:tc>
        <w:tc>
          <w:tcPr>
            <w:tcW w:w="337" w:type="pct"/>
            <w:vAlign w:val="bottom"/>
          </w:tcPr>
          <w:p w14:paraId="307DEDF7" w14:textId="77777777" w:rsidR="00F65AFC" w:rsidRPr="00F61D7B" w:rsidRDefault="00F65AFC" w:rsidP="001A5D4A">
            <w:pPr>
              <w:pStyle w:val="NotesTable-Notes"/>
            </w:pPr>
          </w:p>
        </w:tc>
        <w:tc>
          <w:tcPr>
            <w:tcW w:w="406" w:type="pct"/>
            <w:tcBorders>
              <w:top w:val="single" w:sz="4" w:space="0" w:color="000000"/>
            </w:tcBorders>
          </w:tcPr>
          <w:p w14:paraId="6A1EE7CE" w14:textId="77777777" w:rsidR="00F65AFC" w:rsidRPr="00F61D7B" w:rsidRDefault="00F65AFC" w:rsidP="001A5D4A">
            <w:pPr>
              <w:pStyle w:val="NotesTable-CellBold"/>
            </w:pPr>
            <w:r w:rsidRPr="00F61D7B">
              <w:t>–</w:t>
            </w:r>
          </w:p>
        </w:tc>
        <w:tc>
          <w:tcPr>
            <w:tcW w:w="406" w:type="pct"/>
            <w:tcBorders>
              <w:top w:val="single" w:sz="4" w:space="0" w:color="000000"/>
            </w:tcBorders>
          </w:tcPr>
          <w:p w14:paraId="3EAFCA30" w14:textId="77777777" w:rsidR="00F65AFC" w:rsidRPr="00F61D7B" w:rsidRDefault="00F65AFC" w:rsidP="001A5D4A">
            <w:pPr>
              <w:pStyle w:val="NotesTable-CellPlain"/>
            </w:pPr>
            <w:r w:rsidRPr="00F61D7B">
              <w:t>–</w:t>
            </w:r>
          </w:p>
        </w:tc>
        <w:tc>
          <w:tcPr>
            <w:tcW w:w="406" w:type="pct"/>
            <w:tcBorders>
              <w:top w:val="single" w:sz="4" w:space="0" w:color="000000"/>
            </w:tcBorders>
          </w:tcPr>
          <w:p w14:paraId="78EC730B" w14:textId="77777777" w:rsidR="00F65AFC" w:rsidRPr="00F61D7B" w:rsidRDefault="00F65AFC" w:rsidP="001A5D4A">
            <w:pPr>
              <w:pStyle w:val="NotesTable-CellPlain"/>
            </w:pPr>
            <w:r w:rsidRPr="00F61D7B">
              <w:t>–</w:t>
            </w:r>
          </w:p>
        </w:tc>
        <w:tc>
          <w:tcPr>
            <w:tcW w:w="407" w:type="pct"/>
            <w:tcBorders>
              <w:top w:val="single" w:sz="4" w:space="0" w:color="000000"/>
            </w:tcBorders>
          </w:tcPr>
          <w:p w14:paraId="22066482" w14:textId="77777777" w:rsidR="00F65AFC" w:rsidRPr="00F61D7B" w:rsidRDefault="00F65AFC" w:rsidP="001A5D4A">
            <w:pPr>
              <w:pStyle w:val="NotesTable-CellPlain"/>
            </w:pPr>
            <w:r w:rsidRPr="00F61D7B">
              <w:t>–</w:t>
            </w:r>
          </w:p>
        </w:tc>
      </w:tr>
      <w:tr w:rsidR="00F65AFC" w:rsidRPr="00190E88" w14:paraId="07CDB3BD" w14:textId="77777777" w:rsidTr="00261A68">
        <w:trPr>
          <w:trHeight w:hRule="exact" w:val="85"/>
        </w:trPr>
        <w:tc>
          <w:tcPr>
            <w:tcW w:w="809" w:type="pct"/>
            <w:gridSpan w:val="2"/>
          </w:tcPr>
          <w:p w14:paraId="4BA6D578" w14:textId="77777777" w:rsidR="00F65AFC" w:rsidRPr="00F61D7B" w:rsidRDefault="00F65AFC" w:rsidP="001A5D4A">
            <w:pPr>
              <w:pStyle w:val="Note-Refs"/>
            </w:pPr>
          </w:p>
        </w:tc>
        <w:tc>
          <w:tcPr>
            <w:tcW w:w="4191" w:type="pct"/>
            <w:gridSpan w:val="6"/>
            <w:vAlign w:val="bottom"/>
          </w:tcPr>
          <w:p w14:paraId="5A5847F7" w14:textId="77777777" w:rsidR="00F65AFC" w:rsidRPr="00190E88" w:rsidRDefault="00F65AFC" w:rsidP="001A5D4A">
            <w:pPr>
              <w:pStyle w:val="NotesTable-CellBold"/>
            </w:pPr>
          </w:p>
        </w:tc>
      </w:tr>
      <w:tr w:rsidR="00F65AFC" w:rsidRPr="00F61D7B" w14:paraId="5370B81F" w14:textId="77777777" w:rsidTr="00BC5733">
        <w:trPr>
          <w:trHeight w:hRule="exact" w:val="227"/>
        </w:trPr>
        <w:tc>
          <w:tcPr>
            <w:tcW w:w="809" w:type="pct"/>
            <w:gridSpan w:val="2"/>
          </w:tcPr>
          <w:p w14:paraId="79750770" w14:textId="77777777" w:rsidR="00F65AFC" w:rsidRPr="00F61D7B" w:rsidRDefault="00F65AFC" w:rsidP="001A5D4A">
            <w:pPr>
              <w:pStyle w:val="Note-Refs"/>
            </w:pPr>
          </w:p>
        </w:tc>
        <w:tc>
          <w:tcPr>
            <w:tcW w:w="2229" w:type="pct"/>
            <w:vAlign w:val="bottom"/>
          </w:tcPr>
          <w:p w14:paraId="19AB5338" w14:textId="77777777" w:rsidR="00F65AFC" w:rsidRPr="00F61D7B" w:rsidRDefault="00F65AFC" w:rsidP="001A5D4A">
            <w:pPr>
              <w:pStyle w:val="NotesTable-ItemBold"/>
            </w:pPr>
            <w:r w:rsidRPr="00F61D7B">
              <w:t>Financial liabilities</w:t>
            </w:r>
          </w:p>
        </w:tc>
        <w:tc>
          <w:tcPr>
            <w:tcW w:w="337" w:type="pct"/>
            <w:vAlign w:val="bottom"/>
          </w:tcPr>
          <w:p w14:paraId="5CA444AA" w14:textId="77777777" w:rsidR="00F65AFC" w:rsidRPr="00F61D7B" w:rsidRDefault="00F65AFC" w:rsidP="001A5D4A">
            <w:pPr>
              <w:pStyle w:val="NotesTable-Notes"/>
            </w:pPr>
          </w:p>
        </w:tc>
        <w:tc>
          <w:tcPr>
            <w:tcW w:w="406" w:type="pct"/>
          </w:tcPr>
          <w:p w14:paraId="24EB05E0" w14:textId="77777777" w:rsidR="00F65AFC" w:rsidRPr="00F61D7B" w:rsidRDefault="00F65AFC" w:rsidP="001A5D4A">
            <w:pPr>
              <w:pStyle w:val="NotesTable-CellBold"/>
            </w:pPr>
          </w:p>
        </w:tc>
        <w:tc>
          <w:tcPr>
            <w:tcW w:w="406" w:type="pct"/>
          </w:tcPr>
          <w:p w14:paraId="674D2D3A" w14:textId="77777777" w:rsidR="00F65AFC" w:rsidRPr="00F61D7B" w:rsidRDefault="00F65AFC" w:rsidP="001A5D4A">
            <w:pPr>
              <w:pStyle w:val="NotesTable-ItemBold"/>
            </w:pPr>
          </w:p>
        </w:tc>
        <w:tc>
          <w:tcPr>
            <w:tcW w:w="406" w:type="pct"/>
          </w:tcPr>
          <w:p w14:paraId="16CCF585" w14:textId="77777777" w:rsidR="00F65AFC" w:rsidRPr="00F61D7B" w:rsidRDefault="00F65AFC" w:rsidP="001A5D4A">
            <w:pPr>
              <w:pStyle w:val="NotesTable-ItemBold"/>
            </w:pPr>
          </w:p>
        </w:tc>
        <w:tc>
          <w:tcPr>
            <w:tcW w:w="407" w:type="pct"/>
          </w:tcPr>
          <w:p w14:paraId="4FF3B4ED" w14:textId="77777777" w:rsidR="00F65AFC" w:rsidRPr="00F61D7B" w:rsidRDefault="00F65AFC" w:rsidP="001A5D4A">
            <w:pPr>
              <w:pStyle w:val="NotesTable-ItemBold"/>
            </w:pPr>
          </w:p>
        </w:tc>
      </w:tr>
      <w:tr w:rsidR="00F65AFC" w:rsidRPr="00F61D7B" w14:paraId="7EC40EBC" w14:textId="77777777" w:rsidTr="00BC5733">
        <w:trPr>
          <w:trHeight w:hRule="exact" w:val="227"/>
        </w:trPr>
        <w:tc>
          <w:tcPr>
            <w:tcW w:w="809" w:type="pct"/>
            <w:gridSpan w:val="2"/>
          </w:tcPr>
          <w:p w14:paraId="265456CE" w14:textId="77777777" w:rsidR="00F65AFC" w:rsidRPr="00F61D7B" w:rsidRDefault="00F65AFC" w:rsidP="001A5D4A">
            <w:pPr>
              <w:pStyle w:val="Note-Refs"/>
            </w:pPr>
          </w:p>
        </w:tc>
        <w:tc>
          <w:tcPr>
            <w:tcW w:w="2229" w:type="pct"/>
            <w:vAlign w:val="bottom"/>
          </w:tcPr>
          <w:p w14:paraId="0C92D2A3" w14:textId="77777777" w:rsidR="00F65AFC" w:rsidRPr="00F61D7B" w:rsidRDefault="00F65AFC" w:rsidP="001A5D4A">
            <w:pPr>
              <w:pStyle w:val="NotesTable-ItemPlain"/>
              <w:rPr>
                <w:b/>
              </w:rPr>
            </w:pPr>
            <w:r>
              <w:t>Derivatives used for hedging</w:t>
            </w:r>
          </w:p>
        </w:tc>
        <w:tc>
          <w:tcPr>
            <w:tcW w:w="337" w:type="pct"/>
            <w:vAlign w:val="bottom"/>
          </w:tcPr>
          <w:p w14:paraId="77A77AB9" w14:textId="77777777" w:rsidR="00F65AFC" w:rsidRPr="00F61D7B" w:rsidRDefault="00F65AFC" w:rsidP="001A5D4A">
            <w:pPr>
              <w:pStyle w:val="NotesTable-Notes"/>
            </w:pPr>
          </w:p>
        </w:tc>
        <w:tc>
          <w:tcPr>
            <w:tcW w:w="406" w:type="pct"/>
          </w:tcPr>
          <w:p w14:paraId="6F1BFE4B" w14:textId="77777777" w:rsidR="00F65AFC" w:rsidRPr="00E9476B" w:rsidRDefault="00F65AFC" w:rsidP="001A5D4A">
            <w:pPr>
              <w:pStyle w:val="NotesTable-CellBold"/>
            </w:pPr>
            <w:r w:rsidRPr="00D667C2">
              <w:t>–</w:t>
            </w:r>
          </w:p>
        </w:tc>
        <w:tc>
          <w:tcPr>
            <w:tcW w:w="406" w:type="pct"/>
          </w:tcPr>
          <w:p w14:paraId="1FF78373" w14:textId="77777777" w:rsidR="00F65AFC" w:rsidRPr="00F61D7B" w:rsidRDefault="00F65AFC" w:rsidP="001A5D4A">
            <w:pPr>
              <w:pStyle w:val="NotesTable-CellPlain"/>
            </w:pPr>
            <w:r w:rsidRPr="00F61D7B">
              <w:t>–</w:t>
            </w:r>
          </w:p>
        </w:tc>
        <w:tc>
          <w:tcPr>
            <w:tcW w:w="406" w:type="pct"/>
          </w:tcPr>
          <w:p w14:paraId="757AA485" w14:textId="77777777" w:rsidR="00F65AFC" w:rsidRPr="00F61D7B" w:rsidRDefault="00F65AFC" w:rsidP="001A5D4A">
            <w:pPr>
              <w:pStyle w:val="NotesTable-CellPlain"/>
            </w:pPr>
            <w:r w:rsidRPr="00F61D7B">
              <w:t>–</w:t>
            </w:r>
          </w:p>
        </w:tc>
        <w:tc>
          <w:tcPr>
            <w:tcW w:w="407" w:type="pct"/>
          </w:tcPr>
          <w:p w14:paraId="7D068909" w14:textId="77777777" w:rsidR="00F65AFC" w:rsidRPr="00F61D7B" w:rsidRDefault="00F65AFC" w:rsidP="001A5D4A">
            <w:pPr>
              <w:pStyle w:val="NotesTable-CellPlain"/>
            </w:pPr>
            <w:r w:rsidRPr="00F61D7B">
              <w:t>–</w:t>
            </w:r>
          </w:p>
        </w:tc>
      </w:tr>
      <w:tr w:rsidR="00F65AFC" w:rsidRPr="00E67A32" w14:paraId="2A18F20F" w14:textId="77777777" w:rsidTr="00BC5733">
        <w:trPr>
          <w:trHeight w:hRule="exact" w:val="227"/>
        </w:trPr>
        <w:tc>
          <w:tcPr>
            <w:tcW w:w="809" w:type="pct"/>
            <w:gridSpan w:val="2"/>
          </w:tcPr>
          <w:p w14:paraId="427634DD" w14:textId="77777777" w:rsidR="00F65AFC" w:rsidRPr="00F61D7B" w:rsidRDefault="00F65AFC" w:rsidP="001A5D4A">
            <w:pPr>
              <w:pStyle w:val="Note-Refs"/>
            </w:pPr>
          </w:p>
        </w:tc>
        <w:tc>
          <w:tcPr>
            <w:tcW w:w="2229" w:type="pct"/>
            <w:vAlign w:val="bottom"/>
          </w:tcPr>
          <w:p w14:paraId="4BD6D1C9" w14:textId="77777777" w:rsidR="00F65AFC" w:rsidRPr="00E67A32" w:rsidRDefault="00F65AFC" w:rsidP="001A5D4A">
            <w:pPr>
              <w:pStyle w:val="NotesTable-ItemPlain"/>
            </w:pPr>
            <w:r w:rsidRPr="00E67A32">
              <w:t>[Specify]</w:t>
            </w:r>
          </w:p>
        </w:tc>
        <w:tc>
          <w:tcPr>
            <w:tcW w:w="337" w:type="pct"/>
            <w:vAlign w:val="bottom"/>
          </w:tcPr>
          <w:p w14:paraId="0B3ADB26" w14:textId="77777777" w:rsidR="00F65AFC" w:rsidRPr="00E67A32" w:rsidRDefault="00F65AFC" w:rsidP="001A5D4A">
            <w:pPr>
              <w:pStyle w:val="NotesTable-Notes"/>
            </w:pPr>
          </w:p>
        </w:tc>
        <w:tc>
          <w:tcPr>
            <w:tcW w:w="406" w:type="pct"/>
            <w:tcBorders>
              <w:bottom w:val="single" w:sz="4" w:space="0" w:color="000000"/>
            </w:tcBorders>
          </w:tcPr>
          <w:p w14:paraId="6BF5ED16" w14:textId="77777777" w:rsidR="00F65AFC" w:rsidRPr="00E9476B" w:rsidRDefault="00F65AFC" w:rsidP="001A5D4A">
            <w:pPr>
              <w:pStyle w:val="NotesTable-CellBold"/>
            </w:pPr>
            <w:r w:rsidRPr="00E9476B">
              <w:t>–</w:t>
            </w:r>
          </w:p>
        </w:tc>
        <w:tc>
          <w:tcPr>
            <w:tcW w:w="406" w:type="pct"/>
            <w:tcBorders>
              <w:bottom w:val="single" w:sz="4" w:space="0" w:color="000000"/>
            </w:tcBorders>
          </w:tcPr>
          <w:p w14:paraId="54954C3E" w14:textId="77777777" w:rsidR="00F65AFC" w:rsidRPr="00E67A32" w:rsidRDefault="00F65AFC" w:rsidP="001A5D4A">
            <w:pPr>
              <w:pStyle w:val="NotesTable-CellPlain"/>
            </w:pPr>
            <w:r w:rsidRPr="00E67A32">
              <w:t>–</w:t>
            </w:r>
          </w:p>
        </w:tc>
        <w:tc>
          <w:tcPr>
            <w:tcW w:w="406" w:type="pct"/>
            <w:tcBorders>
              <w:bottom w:val="single" w:sz="4" w:space="0" w:color="000000"/>
            </w:tcBorders>
          </w:tcPr>
          <w:p w14:paraId="7E9ACBE6" w14:textId="77777777" w:rsidR="00F65AFC" w:rsidRPr="00E67A32" w:rsidRDefault="00F65AFC" w:rsidP="001A5D4A">
            <w:pPr>
              <w:pStyle w:val="NotesTable-CellPlain"/>
            </w:pPr>
            <w:r w:rsidRPr="00E67A32">
              <w:t>–</w:t>
            </w:r>
          </w:p>
        </w:tc>
        <w:tc>
          <w:tcPr>
            <w:tcW w:w="407" w:type="pct"/>
            <w:tcBorders>
              <w:bottom w:val="single" w:sz="4" w:space="0" w:color="000000"/>
            </w:tcBorders>
          </w:tcPr>
          <w:p w14:paraId="138D2D8B" w14:textId="77777777" w:rsidR="00F65AFC" w:rsidRPr="00E67A32" w:rsidRDefault="00F65AFC" w:rsidP="001A5D4A">
            <w:pPr>
              <w:pStyle w:val="NotesTable-CellPlain"/>
            </w:pPr>
            <w:r w:rsidRPr="00E67A32">
              <w:t>–</w:t>
            </w:r>
          </w:p>
        </w:tc>
      </w:tr>
      <w:tr w:rsidR="00F65AFC" w:rsidRPr="00F61D7B" w14:paraId="75D002ED" w14:textId="77777777" w:rsidTr="00BC5733">
        <w:trPr>
          <w:trHeight w:hRule="exact" w:val="227"/>
        </w:trPr>
        <w:tc>
          <w:tcPr>
            <w:tcW w:w="809" w:type="pct"/>
            <w:gridSpan w:val="2"/>
          </w:tcPr>
          <w:p w14:paraId="1A0AE4A5" w14:textId="77777777" w:rsidR="00F65AFC" w:rsidRPr="00F61D7B" w:rsidRDefault="00F65AFC" w:rsidP="001A5D4A">
            <w:pPr>
              <w:pStyle w:val="Note-Refs"/>
            </w:pPr>
          </w:p>
        </w:tc>
        <w:tc>
          <w:tcPr>
            <w:tcW w:w="2229" w:type="pct"/>
            <w:vAlign w:val="bottom"/>
          </w:tcPr>
          <w:p w14:paraId="2EF25473" w14:textId="77777777" w:rsidR="00F65AFC" w:rsidRPr="00F61D7B" w:rsidRDefault="00F65AFC" w:rsidP="001A5D4A">
            <w:pPr>
              <w:pStyle w:val="NotesTable-ItemPlain"/>
              <w:rPr>
                <w:b/>
              </w:rPr>
            </w:pPr>
            <w:r w:rsidRPr="00F61D7B">
              <w:t>Total</w:t>
            </w:r>
            <w:r>
              <w:t xml:space="preserve"> liabilities</w:t>
            </w:r>
          </w:p>
        </w:tc>
        <w:tc>
          <w:tcPr>
            <w:tcW w:w="337" w:type="pct"/>
            <w:vAlign w:val="bottom"/>
          </w:tcPr>
          <w:p w14:paraId="219E96B2" w14:textId="77777777" w:rsidR="00F65AFC" w:rsidRPr="00F61D7B" w:rsidRDefault="00F65AFC" w:rsidP="001A5D4A">
            <w:pPr>
              <w:pStyle w:val="NotesTable-Notes"/>
            </w:pPr>
          </w:p>
        </w:tc>
        <w:tc>
          <w:tcPr>
            <w:tcW w:w="406" w:type="pct"/>
            <w:tcBorders>
              <w:top w:val="single" w:sz="4" w:space="0" w:color="000000"/>
            </w:tcBorders>
          </w:tcPr>
          <w:p w14:paraId="5C07F91D" w14:textId="77777777" w:rsidR="00F65AFC" w:rsidRPr="00E9476B" w:rsidRDefault="00F65AFC" w:rsidP="001A5D4A">
            <w:pPr>
              <w:pStyle w:val="NotesTable-CellBold"/>
            </w:pPr>
            <w:r w:rsidRPr="00D667C2">
              <w:t>–</w:t>
            </w:r>
          </w:p>
        </w:tc>
        <w:tc>
          <w:tcPr>
            <w:tcW w:w="406" w:type="pct"/>
            <w:tcBorders>
              <w:top w:val="single" w:sz="4" w:space="0" w:color="000000"/>
            </w:tcBorders>
          </w:tcPr>
          <w:p w14:paraId="38ECAE32" w14:textId="77777777" w:rsidR="00F65AFC" w:rsidRPr="00F61D7B" w:rsidRDefault="00F65AFC" w:rsidP="001A5D4A">
            <w:pPr>
              <w:pStyle w:val="NotesTable-CellPlain"/>
            </w:pPr>
            <w:r w:rsidRPr="00F61D7B">
              <w:t>–</w:t>
            </w:r>
          </w:p>
        </w:tc>
        <w:tc>
          <w:tcPr>
            <w:tcW w:w="406" w:type="pct"/>
            <w:tcBorders>
              <w:top w:val="single" w:sz="4" w:space="0" w:color="000000"/>
            </w:tcBorders>
          </w:tcPr>
          <w:p w14:paraId="6AE373C7" w14:textId="77777777" w:rsidR="00F65AFC" w:rsidRPr="00F61D7B" w:rsidRDefault="00F65AFC" w:rsidP="001A5D4A">
            <w:pPr>
              <w:pStyle w:val="NotesTable-CellPlain"/>
            </w:pPr>
            <w:r w:rsidRPr="00F61D7B">
              <w:t>–</w:t>
            </w:r>
          </w:p>
        </w:tc>
        <w:tc>
          <w:tcPr>
            <w:tcW w:w="407" w:type="pct"/>
            <w:tcBorders>
              <w:top w:val="single" w:sz="4" w:space="0" w:color="000000"/>
            </w:tcBorders>
          </w:tcPr>
          <w:p w14:paraId="32DD7B4D" w14:textId="77777777" w:rsidR="00F65AFC" w:rsidRPr="00F61D7B" w:rsidRDefault="00F65AFC" w:rsidP="001A5D4A">
            <w:pPr>
              <w:pStyle w:val="NotesTable-CellPlain"/>
            </w:pPr>
            <w:r w:rsidRPr="00F61D7B">
              <w:t>–</w:t>
            </w:r>
          </w:p>
        </w:tc>
      </w:tr>
      <w:tr w:rsidR="00F65AFC" w:rsidRPr="00F61D7B" w14:paraId="382DAEAD" w14:textId="77777777" w:rsidTr="00261A68">
        <w:trPr>
          <w:trHeight w:hRule="exact" w:val="85"/>
        </w:trPr>
        <w:tc>
          <w:tcPr>
            <w:tcW w:w="809" w:type="pct"/>
            <w:gridSpan w:val="2"/>
          </w:tcPr>
          <w:p w14:paraId="480D22A7" w14:textId="77777777" w:rsidR="00F65AFC" w:rsidRPr="00F61D7B" w:rsidRDefault="00F65AFC" w:rsidP="001A5D4A">
            <w:pPr>
              <w:pStyle w:val="Note-Refs"/>
            </w:pPr>
          </w:p>
        </w:tc>
        <w:tc>
          <w:tcPr>
            <w:tcW w:w="4191" w:type="pct"/>
            <w:gridSpan w:val="6"/>
            <w:vAlign w:val="bottom"/>
          </w:tcPr>
          <w:p w14:paraId="3AF7315E" w14:textId="77777777" w:rsidR="00F65AFC" w:rsidRPr="00F61D7B" w:rsidRDefault="00F65AFC" w:rsidP="001A5D4A">
            <w:pPr>
              <w:pStyle w:val="NotesTable-ItemPlain"/>
            </w:pPr>
          </w:p>
        </w:tc>
      </w:tr>
      <w:tr w:rsidR="00F65AFC" w:rsidRPr="00111459" w14:paraId="554EBDD0" w14:textId="77777777" w:rsidTr="00261A68">
        <w:trPr>
          <w:trHeight w:hRule="exact" w:val="227"/>
        </w:trPr>
        <w:tc>
          <w:tcPr>
            <w:tcW w:w="809" w:type="pct"/>
            <w:gridSpan w:val="2"/>
          </w:tcPr>
          <w:p w14:paraId="4B930048" w14:textId="77777777" w:rsidR="00F65AFC" w:rsidRPr="00F61D7B" w:rsidRDefault="00F65AFC" w:rsidP="001A5D4A">
            <w:pPr>
              <w:pStyle w:val="Note-Refs"/>
            </w:pPr>
          </w:p>
        </w:tc>
        <w:tc>
          <w:tcPr>
            <w:tcW w:w="4191" w:type="pct"/>
            <w:gridSpan w:val="6"/>
            <w:vAlign w:val="bottom"/>
          </w:tcPr>
          <w:p w14:paraId="617EB766" w14:textId="77777777" w:rsidR="00F65AFC" w:rsidRPr="00111459" w:rsidRDefault="00F65AFC" w:rsidP="001A5D4A">
            <w:pPr>
              <w:pStyle w:val="NotesTable-ItemBold"/>
            </w:pPr>
            <w:r w:rsidRPr="00111459">
              <w:t>Non-recurring fair value measurements</w:t>
            </w:r>
          </w:p>
        </w:tc>
      </w:tr>
      <w:tr w:rsidR="00F65AFC" w:rsidRPr="00E67A32" w14:paraId="13E8AF52" w14:textId="77777777" w:rsidTr="00BC5733">
        <w:trPr>
          <w:trHeight w:hRule="exact" w:val="227"/>
        </w:trPr>
        <w:tc>
          <w:tcPr>
            <w:tcW w:w="809" w:type="pct"/>
            <w:gridSpan w:val="2"/>
          </w:tcPr>
          <w:p w14:paraId="48D4B4C5" w14:textId="77777777" w:rsidR="00F65AFC" w:rsidRPr="00F61D7B" w:rsidRDefault="00F65AFC" w:rsidP="001A5D4A">
            <w:pPr>
              <w:pStyle w:val="Note-Refs"/>
            </w:pPr>
          </w:p>
        </w:tc>
        <w:tc>
          <w:tcPr>
            <w:tcW w:w="2229" w:type="pct"/>
            <w:vAlign w:val="bottom"/>
          </w:tcPr>
          <w:p w14:paraId="2327CC19" w14:textId="77777777" w:rsidR="00F65AFC" w:rsidRPr="00E67A32" w:rsidRDefault="00F65AFC" w:rsidP="001A5D4A">
            <w:pPr>
              <w:pStyle w:val="NotesTable-ItemPlain"/>
            </w:pPr>
            <w:r>
              <w:t>Land held for sale</w:t>
            </w:r>
          </w:p>
        </w:tc>
        <w:tc>
          <w:tcPr>
            <w:tcW w:w="337" w:type="pct"/>
            <w:vAlign w:val="bottom"/>
          </w:tcPr>
          <w:p w14:paraId="48CDAF73" w14:textId="77777777" w:rsidR="00F65AFC" w:rsidRPr="00E67A32" w:rsidRDefault="00F65AFC" w:rsidP="001A5D4A">
            <w:pPr>
              <w:pStyle w:val="NotesTable-Notes"/>
            </w:pPr>
          </w:p>
        </w:tc>
        <w:tc>
          <w:tcPr>
            <w:tcW w:w="406" w:type="pct"/>
          </w:tcPr>
          <w:p w14:paraId="15D0BCDA" w14:textId="77777777" w:rsidR="00F65AFC" w:rsidRPr="00D667C2" w:rsidRDefault="00F65AFC" w:rsidP="001A5D4A">
            <w:pPr>
              <w:pStyle w:val="NotesTable-CellBold"/>
            </w:pPr>
            <w:r w:rsidRPr="00D667C2">
              <w:t>–</w:t>
            </w:r>
          </w:p>
        </w:tc>
        <w:tc>
          <w:tcPr>
            <w:tcW w:w="406" w:type="pct"/>
          </w:tcPr>
          <w:p w14:paraId="03E9A428" w14:textId="77777777" w:rsidR="00F65AFC" w:rsidRPr="00E67A32" w:rsidRDefault="00F65AFC" w:rsidP="001A5D4A">
            <w:pPr>
              <w:pStyle w:val="NotesTable-CellPlain"/>
            </w:pPr>
            <w:r w:rsidRPr="00E67A32">
              <w:t>–</w:t>
            </w:r>
          </w:p>
        </w:tc>
        <w:tc>
          <w:tcPr>
            <w:tcW w:w="406" w:type="pct"/>
          </w:tcPr>
          <w:p w14:paraId="354B4569" w14:textId="77777777" w:rsidR="00F65AFC" w:rsidRPr="00E67A32" w:rsidRDefault="00F65AFC" w:rsidP="001A5D4A">
            <w:pPr>
              <w:pStyle w:val="NotesTable-CellPlain"/>
            </w:pPr>
            <w:r w:rsidRPr="00E67A32">
              <w:t>–</w:t>
            </w:r>
          </w:p>
        </w:tc>
        <w:tc>
          <w:tcPr>
            <w:tcW w:w="407" w:type="pct"/>
          </w:tcPr>
          <w:p w14:paraId="23B28D6F" w14:textId="77777777" w:rsidR="00F65AFC" w:rsidRPr="00E67A32" w:rsidRDefault="00F65AFC" w:rsidP="001A5D4A">
            <w:pPr>
              <w:pStyle w:val="NotesTable-CellPlain"/>
            </w:pPr>
            <w:r w:rsidRPr="00E67A32">
              <w:t>–</w:t>
            </w:r>
          </w:p>
        </w:tc>
      </w:tr>
      <w:tr w:rsidR="00F65AFC" w:rsidRPr="00E67A32" w14:paraId="718EFF7A" w14:textId="77777777" w:rsidTr="00BC5733">
        <w:trPr>
          <w:trHeight w:hRule="exact" w:val="227"/>
        </w:trPr>
        <w:tc>
          <w:tcPr>
            <w:tcW w:w="809" w:type="pct"/>
            <w:gridSpan w:val="2"/>
          </w:tcPr>
          <w:p w14:paraId="609AA804" w14:textId="77777777" w:rsidR="00F65AFC" w:rsidRPr="00F61D7B" w:rsidRDefault="00F65AFC" w:rsidP="001A5D4A">
            <w:pPr>
              <w:pStyle w:val="Note-Refs"/>
            </w:pPr>
          </w:p>
        </w:tc>
        <w:tc>
          <w:tcPr>
            <w:tcW w:w="2229" w:type="pct"/>
            <w:vAlign w:val="bottom"/>
          </w:tcPr>
          <w:p w14:paraId="282C8961" w14:textId="77777777" w:rsidR="00F65AFC" w:rsidRPr="00E67A32" w:rsidRDefault="00F65AFC" w:rsidP="001A5D4A">
            <w:pPr>
              <w:pStyle w:val="NotesTable-ItemPlain"/>
            </w:pPr>
            <w:r w:rsidRPr="00E67A32">
              <w:t>[Specify]</w:t>
            </w:r>
          </w:p>
        </w:tc>
        <w:tc>
          <w:tcPr>
            <w:tcW w:w="337" w:type="pct"/>
            <w:vAlign w:val="bottom"/>
          </w:tcPr>
          <w:p w14:paraId="4F9F259B" w14:textId="77777777" w:rsidR="00F65AFC" w:rsidRPr="00E67A32" w:rsidRDefault="00F65AFC" w:rsidP="001A5D4A">
            <w:pPr>
              <w:pStyle w:val="NotesTable-Notes"/>
            </w:pPr>
          </w:p>
        </w:tc>
        <w:tc>
          <w:tcPr>
            <w:tcW w:w="406" w:type="pct"/>
            <w:tcBorders>
              <w:bottom w:val="single" w:sz="4" w:space="0" w:color="auto"/>
            </w:tcBorders>
          </w:tcPr>
          <w:p w14:paraId="27727D35" w14:textId="77777777" w:rsidR="00F65AFC" w:rsidRPr="00985B10" w:rsidRDefault="00F65AFC" w:rsidP="001A5D4A">
            <w:pPr>
              <w:pStyle w:val="NotesTable-CellBold"/>
            </w:pPr>
            <w:r w:rsidRPr="00D667C2">
              <w:t>–</w:t>
            </w:r>
          </w:p>
        </w:tc>
        <w:tc>
          <w:tcPr>
            <w:tcW w:w="406" w:type="pct"/>
            <w:tcBorders>
              <w:bottom w:val="single" w:sz="4" w:space="0" w:color="auto"/>
            </w:tcBorders>
          </w:tcPr>
          <w:p w14:paraId="6E3A222F" w14:textId="77777777" w:rsidR="00F65AFC" w:rsidRPr="00E67A32" w:rsidRDefault="00F65AFC" w:rsidP="001A5D4A">
            <w:pPr>
              <w:pStyle w:val="NotesTable-CellPlain"/>
            </w:pPr>
            <w:r w:rsidRPr="00E67A32">
              <w:t>–</w:t>
            </w:r>
          </w:p>
        </w:tc>
        <w:tc>
          <w:tcPr>
            <w:tcW w:w="406" w:type="pct"/>
            <w:tcBorders>
              <w:bottom w:val="single" w:sz="4" w:space="0" w:color="auto"/>
            </w:tcBorders>
          </w:tcPr>
          <w:p w14:paraId="473E4D4D" w14:textId="77777777" w:rsidR="00F65AFC" w:rsidRPr="00E67A32" w:rsidRDefault="00F65AFC" w:rsidP="001A5D4A">
            <w:pPr>
              <w:pStyle w:val="NotesTable-CellPlain"/>
            </w:pPr>
            <w:r w:rsidRPr="00E67A32">
              <w:t>–</w:t>
            </w:r>
          </w:p>
        </w:tc>
        <w:tc>
          <w:tcPr>
            <w:tcW w:w="407" w:type="pct"/>
            <w:tcBorders>
              <w:bottom w:val="single" w:sz="4" w:space="0" w:color="auto"/>
            </w:tcBorders>
          </w:tcPr>
          <w:p w14:paraId="3C284FED" w14:textId="77777777" w:rsidR="00F65AFC" w:rsidRPr="00E67A32" w:rsidRDefault="00F65AFC" w:rsidP="001A5D4A">
            <w:pPr>
              <w:pStyle w:val="NotesTable-CellPlain"/>
            </w:pPr>
            <w:r w:rsidRPr="00E67A32">
              <w:t>–</w:t>
            </w:r>
          </w:p>
        </w:tc>
      </w:tr>
      <w:tr w:rsidR="00F65AFC" w:rsidRPr="00F61D7B" w14:paraId="5146849F" w14:textId="77777777" w:rsidTr="00BC5733">
        <w:trPr>
          <w:trHeight w:hRule="exact" w:val="227"/>
        </w:trPr>
        <w:tc>
          <w:tcPr>
            <w:tcW w:w="809" w:type="pct"/>
            <w:gridSpan w:val="2"/>
          </w:tcPr>
          <w:p w14:paraId="15EBD6FF" w14:textId="77777777" w:rsidR="00F65AFC" w:rsidRPr="00F61D7B" w:rsidRDefault="00F65AFC" w:rsidP="001A5D4A">
            <w:pPr>
              <w:pStyle w:val="Note-Refs"/>
            </w:pPr>
          </w:p>
        </w:tc>
        <w:tc>
          <w:tcPr>
            <w:tcW w:w="2229" w:type="pct"/>
            <w:vAlign w:val="bottom"/>
          </w:tcPr>
          <w:p w14:paraId="13A3A8DD" w14:textId="77777777" w:rsidR="00F65AFC" w:rsidRPr="00F61D7B" w:rsidRDefault="00F65AFC" w:rsidP="001A5D4A">
            <w:pPr>
              <w:pStyle w:val="NotesTable-ItemPlain"/>
            </w:pPr>
            <w:r>
              <w:t>Total non-recurring fair value measurements</w:t>
            </w:r>
          </w:p>
        </w:tc>
        <w:tc>
          <w:tcPr>
            <w:tcW w:w="337" w:type="pct"/>
            <w:vAlign w:val="bottom"/>
          </w:tcPr>
          <w:p w14:paraId="0891F0EB" w14:textId="77777777" w:rsidR="00F65AFC" w:rsidRPr="00F61D7B" w:rsidRDefault="00F65AFC" w:rsidP="001A5D4A">
            <w:pPr>
              <w:pStyle w:val="NotesTable-Notes"/>
            </w:pPr>
          </w:p>
        </w:tc>
        <w:tc>
          <w:tcPr>
            <w:tcW w:w="406" w:type="pct"/>
            <w:tcBorders>
              <w:top w:val="single" w:sz="4" w:space="0" w:color="auto"/>
            </w:tcBorders>
          </w:tcPr>
          <w:p w14:paraId="61D4178C" w14:textId="77777777" w:rsidR="00F65AFC" w:rsidRPr="00985B10" w:rsidRDefault="00F65AFC" w:rsidP="001A5D4A">
            <w:pPr>
              <w:pStyle w:val="NotesTable-CellBold"/>
            </w:pPr>
            <w:r w:rsidRPr="00E9476B">
              <w:t>–</w:t>
            </w:r>
          </w:p>
        </w:tc>
        <w:tc>
          <w:tcPr>
            <w:tcW w:w="406" w:type="pct"/>
            <w:tcBorders>
              <w:top w:val="single" w:sz="4" w:space="0" w:color="auto"/>
            </w:tcBorders>
          </w:tcPr>
          <w:p w14:paraId="20984E32" w14:textId="77777777" w:rsidR="00F65AFC" w:rsidRPr="00F61D7B" w:rsidRDefault="00F65AFC" w:rsidP="001A5D4A">
            <w:pPr>
              <w:pStyle w:val="NotesTable-CellPlain"/>
            </w:pPr>
            <w:r w:rsidRPr="00F61D7B">
              <w:t>–</w:t>
            </w:r>
          </w:p>
        </w:tc>
        <w:tc>
          <w:tcPr>
            <w:tcW w:w="406" w:type="pct"/>
            <w:tcBorders>
              <w:top w:val="single" w:sz="4" w:space="0" w:color="auto"/>
            </w:tcBorders>
          </w:tcPr>
          <w:p w14:paraId="0DFCA311" w14:textId="77777777" w:rsidR="00F65AFC" w:rsidRPr="00F61D7B" w:rsidRDefault="00F65AFC" w:rsidP="001A5D4A">
            <w:pPr>
              <w:pStyle w:val="NotesTable-CellPlain"/>
            </w:pPr>
            <w:r w:rsidRPr="00F61D7B">
              <w:t>–</w:t>
            </w:r>
          </w:p>
        </w:tc>
        <w:tc>
          <w:tcPr>
            <w:tcW w:w="407" w:type="pct"/>
            <w:tcBorders>
              <w:top w:val="single" w:sz="4" w:space="0" w:color="auto"/>
            </w:tcBorders>
          </w:tcPr>
          <w:p w14:paraId="300880EB" w14:textId="77777777" w:rsidR="00F65AFC" w:rsidRPr="00F61D7B" w:rsidRDefault="00F65AFC" w:rsidP="001A5D4A">
            <w:pPr>
              <w:pStyle w:val="NotesTable-CellPlain"/>
            </w:pPr>
            <w:r w:rsidRPr="00F61D7B">
              <w:t>–</w:t>
            </w:r>
          </w:p>
        </w:tc>
      </w:tr>
      <w:tr w:rsidR="00F65AFC" w:rsidRPr="00F61D7B" w14:paraId="1B6D9F98" w14:textId="77777777" w:rsidTr="00261A68">
        <w:trPr>
          <w:trHeight w:hRule="exact" w:val="227"/>
        </w:trPr>
        <w:tc>
          <w:tcPr>
            <w:tcW w:w="809" w:type="pct"/>
            <w:gridSpan w:val="2"/>
          </w:tcPr>
          <w:p w14:paraId="195AAC05" w14:textId="77777777" w:rsidR="00F65AFC" w:rsidRPr="005C0D27" w:rsidRDefault="00F65AFC" w:rsidP="001A5D4A">
            <w:pPr>
              <w:pStyle w:val="Note-Refs"/>
            </w:pPr>
          </w:p>
        </w:tc>
        <w:tc>
          <w:tcPr>
            <w:tcW w:w="4191" w:type="pct"/>
            <w:gridSpan w:val="6"/>
            <w:vAlign w:val="bottom"/>
          </w:tcPr>
          <w:p w14:paraId="4685F0A4" w14:textId="77777777" w:rsidR="00F65AFC" w:rsidRPr="00F61D7B" w:rsidRDefault="00F65AFC" w:rsidP="001A5D4A">
            <w:pPr>
              <w:pStyle w:val="NotesTable-ItemPlain"/>
            </w:pPr>
          </w:p>
        </w:tc>
      </w:tr>
    </w:tbl>
    <w:p w14:paraId="038A4267" w14:textId="77777777" w:rsidR="009504D2" w:rsidRPr="002432EC" w:rsidRDefault="009504D2" w:rsidP="001A5D4A">
      <w:r w:rsidRPr="002432EC">
        <w:br w:type="page"/>
      </w:r>
    </w:p>
    <w:tbl>
      <w:tblPr>
        <w:tblW w:w="5000" w:type="pct"/>
        <w:tblCellMar>
          <w:left w:w="0" w:type="dxa"/>
          <w:right w:w="0" w:type="dxa"/>
        </w:tblCellMar>
        <w:tblLook w:val="0000" w:firstRow="0" w:lastRow="0" w:firstColumn="0" w:lastColumn="0" w:noHBand="0" w:noVBand="0"/>
      </w:tblPr>
      <w:tblGrid>
        <w:gridCol w:w="1668"/>
        <w:gridCol w:w="16"/>
        <w:gridCol w:w="4560"/>
        <w:gridCol w:w="692"/>
        <w:gridCol w:w="833"/>
        <w:gridCol w:w="833"/>
        <w:gridCol w:w="833"/>
        <w:gridCol w:w="825"/>
      </w:tblGrid>
      <w:tr w:rsidR="00BC5733" w14:paraId="4B85961C" w14:textId="77777777" w:rsidTr="00BC5733">
        <w:trPr>
          <w:trHeight w:val="159"/>
        </w:trPr>
        <w:tc>
          <w:tcPr>
            <w:tcW w:w="5000" w:type="pct"/>
            <w:gridSpan w:val="8"/>
          </w:tcPr>
          <w:p w14:paraId="714A5401" w14:textId="670FEC6F" w:rsidR="00BC5733" w:rsidRPr="002432EC" w:rsidRDefault="00BC5733" w:rsidP="00BC5733">
            <w:pPr>
              <w:pStyle w:val="TOC3"/>
              <w:ind w:left="0"/>
            </w:pPr>
            <w:r>
              <w:lastRenderedPageBreak/>
              <w:t xml:space="preserve">Note 51. </w:t>
            </w:r>
            <w:r w:rsidRPr="002432EC">
              <w:t>Fair Value Measurements (continued)</w:t>
            </w:r>
          </w:p>
        </w:tc>
      </w:tr>
      <w:tr w:rsidR="00BC5733" w14:paraId="0966ABE5" w14:textId="77777777" w:rsidTr="00BC5733">
        <w:trPr>
          <w:trHeight w:val="159"/>
        </w:trPr>
        <w:tc>
          <w:tcPr>
            <w:tcW w:w="5000" w:type="pct"/>
            <w:gridSpan w:val="8"/>
          </w:tcPr>
          <w:p w14:paraId="3150F228" w14:textId="79BB7054" w:rsidR="00BC5733" w:rsidRPr="002432EC" w:rsidRDefault="00BC5733" w:rsidP="001A5D4A">
            <w:r>
              <w:t>AASB132,AASB7, AASB13</w:t>
            </w:r>
          </w:p>
        </w:tc>
      </w:tr>
      <w:tr w:rsidR="00AC279C" w:rsidRPr="00F61D7B" w14:paraId="038A4361" w14:textId="77777777" w:rsidTr="003411A8">
        <w:trPr>
          <w:trHeight w:hRule="exact" w:val="227"/>
        </w:trPr>
        <w:tc>
          <w:tcPr>
            <w:tcW w:w="813" w:type="pct"/>
          </w:tcPr>
          <w:p w14:paraId="038A435A" w14:textId="77777777" w:rsidR="00AC279C" w:rsidRPr="005C0D27" w:rsidRDefault="00AC279C" w:rsidP="001A5D4A">
            <w:pPr>
              <w:pStyle w:val="Note-Refs"/>
            </w:pPr>
          </w:p>
        </w:tc>
        <w:tc>
          <w:tcPr>
            <w:tcW w:w="2230" w:type="pct"/>
            <w:gridSpan w:val="2"/>
            <w:vAlign w:val="bottom"/>
          </w:tcPr>
          <w:p w14:paraId="038A435B" w14:textId="7C6A009E" w:rsidR="00AC279C" w:rsidRPr="00111459" w:rsidRDefault="00AC279C" w:rsidP="001A5D4A">
            <w:pPr>
              <w:pStyle w:val="Note-TextHeader"/>
            </w:pPr>
            <w:r>
              <w:t xml:space="preserve">Fair value measurements at 31 December </w:t>
            </w:r>
            <w:r w:rsidR="006864EC">
              <w:t>2013</w:t>
            </w:r>
          </w:p>
        </w:tc>
        <w:tc>
          <w:tcPr>
            <w:tcW w:w="337" w:type="pct"/>
            <w:vAlign w:val="bottom"/>
          </w:tcPr>
          <w:p w14:paraId="038A435C" w14:textId="77777777" w:rsidR="00AC279C" w:rsidRDefault="00AC279C" w:rsidP="001A5D4A">
            <w:pPr>
              <w:pStyle w:val="NotesTable-Notes"/>
            </w:pPr>
          </w:p>
        </w:tc>
        <w:tc>
          <w:tcPr>
            <w:tcW w:w="406" w:type="pct"/>
            <w:shd w:val="clear" w:color="auto" w:fill="auto"/>
          </w:tcPr>
          <w:p w14:paraId="038A435D" w14:textId="77777777" w:rsidR="00AC279C" w:rsidRPr="00F61D7B" w:rsidRDefault="00AC279C" w:rsidP="001A5D4A">
            <w:pPr>
              <w:snapToGrid w:val="0"/>
              <w:jc w:val="center"/>
              <w:rPr>
                <w:rFonts w:ascii="Arial" w:hAnsi="Arial" w:cs="Arial"/>
                <w:b/>
                <w:sz w:val="18"/>
                <w:szCs w:val="16"/>
              </w:rPr>
            </w:pPr>
          </w:p>
        </w:tc>
        <w:tc>
          <w:tcPr>
            <w:tcW w:w="406" w:type="pct"/>
            <w:shd w:val="clear" w:color="auto" w:fill="auto"/>
          </w:tcPr>
          <w:p w14:paraId="038A435E" w14:textId="77777777" w:rsidR="00AC279C" w:rsidRPr="00F61D7B" w:rsidRDefault="00AC279C" w:rsidP="001A5D4A">
            <w:pPr>
              <w:snapToGrid w:val="0"/>
              <w:jc w:val="center"/>
              <w:rPr>
                <w:rFonts w:ascii="Arial" w:hAnsi="Arial" w:cs="Arial"/>
                <w:sz w:val="18"/>
                <w:szCs w:val="16"/>
              </w:rPr>
            </w:pPr>
          </w:p>
        </w:tc>
        <w:tc>
          <w:tcPr>
            <w:tcW w:w="406" w:type="pct"/>
            <w:shd w:val="clear" w:color="auto" w:fill="auto"/>
          </w:tcPr>
          <w:p w14:paraId="038A435F" w14:textId="77777777" w:rsidR="00AC279C" w:rsidRPr="00F61D7B" w:rsidRDefault="00AC279C" w:rsidP="001A5D4A">
            <w:pPr>
              <w:snapToGrid w:val="0"/>
              <w:jc w:val="center"/>
              <w:rPr>
                <w:rFonts w:ascii="Arial" w:hAnsi="Arial" w:cs="Arial"/>
                <w:sz w:val="18"/>
                <w:szCs w:val="16"/>
              </w:rPr>
            </w:pPr>
          </w:p>
        </w:tc>
        <w:tc>
          <w:tcPr>
            <w:tcW w:w="402" w:type="pct"/>
            <w:shd w:val="clear" w:color="auto" w:fill="auto"/>
          </w:tcPr>
          <w:p w14:paraId="038A4360" w14:textId="77777777" w:rsidR="00AC279C" w:rsidRPr="00F61D7B" w:rsidRDefault="00AC279C" w:rsidP="001A5D4A">
            <w:pPr>
              <w:snapToGrid w:val="0"/>
              <w:jc w:val="center"/>
              <w:rPr>
                <w:rFonts w:ascii="Arial" w:hAnsi="Arial" w:cs="Arial"/>
                <w:sz w:val="18"/>
                <w:szCs w:val="16"/>
              </w:rPr>
            </w:pPr>
          </w:p>
        </w:tc>
      </w:tr>
      <w:tr w:rsidR="00EC0039" w:rsidRPr="00F61D7B" w14:paraId="038A4369" w14:textId="77777777" w:rsidTr="003411A8">
        <w:trPr>
          <w:trHeight w:hRule="exact" w:val="227"/>
        </w:trPr>
        <w:tc>
          <w:tcPr>
            <w:tcW w:w="813" w:type="pct"/>
          </w:tcPr>
          <w:p w14:paraId="038A4362" w14:textId="77777777" w:rsidR="00EC0039" w:rsidRPr="005C0D27" w:rsidRDefault="00EC0039" w:rsidP="001A5D4A">
            <w:pPr>
              <w:pStyle w:val="Note-Refs"/>
            </w:pPr>
          </w:p>
        </w:tc>
        <w:tc>
          <w:tcPr>
            <w:tcW w:w="2230" w:type="pct"/>
            <w:gridSpan w:val="2"/>
            <w:vAlign w:val="bottom"/>
          </w:tcPr>
          <w:p w14:paraId="038A4363" w14:textId="77777777" w:rsidR="00EC0039" w:rsidRPr="00111459" w:rsidRDefault="00EC0039" w:rsidP="001A5D4A">
            <w:pPr>
              <w:pStyle w:val="NotesTable-ItemBold"/>
            </w:pPr>
            <w:r w:rsidRPr="00111459">
              <w:t>Recurring fair value measurements</w:t>
            </w:r>
          </w:p>
        </w:tc>
        <w:tc>
          <w:tcPr>
            <w:tcW w:w="337" w:type="pct"/>
            <w:vAlign w:val="bottom"/>
          </w:tcPr>
          <w:p w14:paraId="038A4364" w14:textId="77777777" w:rsidR="00EC0039" w:rsidRPr="00F61D7B" w:rsidRDefault="00EC0039" w:rsidP="001A5D4A">
            <w:pPr>
              <w:pStyle w:val="NotesTable-Notes"/>
            </w:pPr>
            <w:r>
              <w:t>Note</w:t>
            </w:r>
          </w:p>
        </w:tc>
        <w:tc>
          <w:tcPr>
            <w:tcW w:w="406" w:type="pct"/>
            <w:shd w:val="clear" w:color="auto" w:fill="auto"/>
          </w:tcPr>
          <w:p w14:paraId="038A4365" w14:textId="09A6B2D9" w:rsidR="00EC0039" w:rsidRPr="00F61D7B" w:rsidRDefault="006864EC" w:rsidP="001A5D4A">
            <w:pPr>
              <w:snapToGrid w:val="0"/>
              <w:jc w:val="center"/>
              <w:rPr>
                <w:rFonts w:ascii="Arial" w:hAnsi="Arial" w:cs="Arial"/>
                <w:b/>
                <w:sz w:val="18"/>
                <w:szCs w:val="18"/>
              </w:rPr>
            </w:pPr>
            <w:r>
              <w:rPr>
                <w:rFonts w:ascii="Arial" w:hAnsi="Arial" w:cs="Arial"/>
                <w:b/>
                <w:sz w:val="18"/>
                <w:szCs w:val="16"/>
              </w:rPr>
              <w:t>2013</w:t>
            </w:r>
          </w:p>
        </w:tc>
        <w:tc>
          <w:tcPr>
            <w:tcW w:w="406" w:type="pct"/>
            <w:shd w:val="clear" w:color="auto" w:fill="auto"/>
          </w:tcPr>
          <w:p w14:paraId="038A4366"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Level 1</w:t>
            </w:r>
          </w:p>
        </w:tc>
        <w:tc>
          <w:tcPr>
            <w:tcW w:w="406" w:type="pct"/>
            <w:shd w:val="clear" w:color="auto" w:fill="auto"/>
          </w:tcPr>
          <w:p w14:paraId="038A4367"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Level 2</w:t>
            </w:r>
          </w:p>
        </w:tc>
        <w:tc>
          <w:tcPr>
            <w:tcW w:w="402" w:type="pct"/>
            <w:shd w:val="clear" w:color="auto" w:fill="auto"/>
          </w:tcPr>
          <w:p w14:paraId="038A4368"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Level 3</w:t>
            </w:r>
          </w:p>
        </w:tc>
      </w:tr>
      <w:tr w:rsidR="00EC0039" w:rsidRPr="00F61D7B" w14:paraId="038A4371" w14:textId="77777777" w:rsidTr="003411A8">
        <w:trPr>
          <w:trHeight w:hRule="exact" w:val="227"/>
        </w:trPr>
        <w:tc>
          <w:tcPr>
            <w:tcW w:w="813" w:type="pct"/>
          </w:tcPr>
          <w:p w14:paraId="038A436A" w14:textId="77777777" w:rsidR="00EC0039" w:rsidRPr="005C0D27" w:rsidRDefault="00EC0039" w:rsidP="001A5D4A">
            <w:pPr>
              <w:pStyle w:val="Note-Refs"/>
            </w:pPr>
          </w:p>
        </w:tc>
        <w:tc>
          <w:tcPr>
            <w:tcW w:w="2230" w:type="pct"/>
            <w:gridSpan w:val="2"/>
            <w:vAlign w:val="bottom"/>
          </w:tcPr>
          <w:p w14:paraId="038A436B" w14:textId="77777777" w:rsidR="00EC0039" w:rsidRPr="00FB276D" w:rsidRDefault="00EC0039" w:rsidP="001A5D4A">
            <w:pPr>
              <w:pStyle w:val="NotesTable-ItemBold"/>
              <w:rPr>
                <w:szCs w:val="18"/>
              </w:rPr>
            </w:pPr>
            <w:r w:rsidRPr="00F61D7B">
              <w:t>Financial assets</w:t>
            </w:r>
          </w:p>
        </w:tc>
        <w:tc>
          <w:tcPr>
            <w:tcW w:w="337" w:type="pct"/>
            <w:vAlign w:val="bottom"/>
          </w:tcPr>
          <w:p w14:paraId="038A436C" w14:textId="77777777" w:rsidR="00EC0039" w:rsidRPr="00FB276D" w:rsidRDefault="00EC0039" w:rsidP="001A5D4A">
            <w:pPr>
              <w:pStyle w:val="NotesTable-Notes"/>
            </w:pPr>
          </w:p>
        </w:tc>
        <w:tc>
          <w:tcPr>
            <w:tcW w:w="406" w:type="pct"/>
            <w:shd w:val="clear" w:color="auto" w:fill="auto"/>
          </w:tcPr>
          <w:p w14:paraId="038A436D" w14:textId="77777777" w:rsidR="00EC0039" w:rsidRPr="00F61D7B" w:rsidRDefault="00EC0039" w:rsidP="001A5D4A">
            <w:pPr>
              <w:snapToGrid w:val="0"/>
              <w:jc w:val="center"/>
              <w:rPr>
                <w:rFonts w:ascii="Arial" w:hAnsi="Arial" w:cs="Arial"/>
                <w:b/>
                <w:sz w:val="18"/>
                <w:szCs w:val="18"/>
              </w:rPr>
            </w:pPr>
            <w:r w:rsidRPr="00F61D7B">
              <w:rPr>
                <w:rFonts w:ascii="Arial" w:hAnsi="Arial" w:cs="Arial"/>
                <w:b/>
                <w:sz w:val="18"/>
                <w:szCs w:val="16"/>
              </w:rPr>
              <w:t>$’000</w:t>
            </w:r>
          </w:p>
        </w:tc>
        <w:tc>
          <w:tcPr>
            <w:tcW w:w="406" w:type="pct"/>
            <w:shd w:val="clear" w:color="auto" w:fill="auto"/>
          </w:tcPr>
          <w:p w14:paraId="038A436E"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$’000</w:t>
            </w:r>
          </w:p>
        </w:tc>
        <w:tc>
          <w:tcPr>
            <w:tcW w:w="406" w:type="pct"/>
            <w:shd w:val="clear" w:color="auto" w:fill="auto"/>
          </w:tcPr>
          <w:p w14:paraId="038A436F"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$’000</w:t>
            </w:r>
          </w:p>
        </w:tc>
        <w:tc>
          <w:tcPr>
            <w:tcW w:w="402" w:type="pct"/>
            <w:shd w:val="clear" w:color="auto" w:fill="auto"/>
          </w:tcPr>
          <w:p w14:paraId="038A4370" w14:textId="77777777" w:rsidR="00EC0039" w:rsidRPr="00F61D7B" w:rsidRDefault="00EC0039" w:rsidP="001A5D4A">
            <w:pPr>
              <w:snapToGrid w:val="0"/>
              <w:jc w:val="center"/>
              <w:rPr>
                <w:rFonts w:ascii="Arial" w:hAnsi="Arial" w:cs="Arial"/>
                <w:b/>
                <w:sz w:val="18"/>
                <w:szCs w:val="18"/>
              </w:rPr>
            </w:pPr>
            <w:r w:rsidRPr="00F61D7B">
              <w:rPr>
                <w:rFonts w:ascii="Arial" w:hAnsi="Arial" w:cs="Arial"/>
                <w:sz w:val="18"/>
                <w:szCs w:val="16"/>
              </w:rPr>
              <w:t>$’000</w:t>
            </w:r>
          </w:p>
        </w:tc>
      </w:tr>
      <w:tr w:rsidR="00EC0039" w:rsidRPr="00E67A32" w14:paraId="038A4379" w14:textId="77777777" w:rsidTr="003411A8">
        <w:trPr>
          <w:trHeight w:hRule="exact" w:val="227"/>
        </w:trPr>
        <w:tc>
          <w:tcPr>
            <w:tcW w:w="813" w:type="pct"/>
          </w:tcPr>
          <w:p w14:paraId="038A4372" w14:textId="77777777" w:rsidR="00EC0039" w:rsidRPr="005C0D27" w:rsidRDefault="00EC0039" w:rsidP="001A5D4A">
            <w:pPr>
              <w:pStyle w:val="Note-Refs"/>
            </w:pPr>
          </w:p>
        </w:tc>
        <w:tc>
          <w:tcPr>
            <w:tcW w:w="2230" w:type="pct"/>
            <w:gridSpan w:val="2"/>
            <w:vAlign w:val="bottom"/>
          </w:tcPr>
          <w:p w14:paraId="038A4373" w14:textId="77777777" w:rsidR="00EC0039" w:rsidRPr="00E67A32" w:rsidRDefault="00EC0039" w:rsidP="001A5D4A">
            <w:pPr>
              <w:pStyle w:val="NotesTable-ItemPlain"/>
            </w:pPr>
            <w:r w:rsidRPr="00E67A32">
              <w:t>Financial assets at fair value through profit or loss</w:t>
            </w:r>
          </w:p>
        </w:tc>
        <w:tc>
          <w:tcPr>
            <w:tcW w:w="337" w:type="pct"/>
            <w:vAlign w:val="bottom"/>
          </w:tcPr>
          <w:p w14:paraId="038A4374" w14:textId="01DFFEEF" w:rsidR="00EC0039" w:rsidRPr="00E67A32" w:rsidRDefault="00EC0039" w:rsidP="001A5D4A">
            <w:pPr>
              <w:pStyle w:val="NotesTable-Notes"/>
            </w:pPr>
            <w:r>
              <w:t>2</w:t>
            </w:r>
            <w:r w:rsidR="00C434F9">
              <w:t>1</w:t>
            </w:r>
          </w:p>
        </w:tc>
        <w:tc>
          <w:tcPr>
            <w:tcW w:w="406" w:type="pct"/>
          </w:tcPr>
          <w:p w14:paraId="038A4375" w14:textId="77777777" w:rsidR="00EC0039" w:rsidRPr="00E67A32" w:rsidRDefault="00EC0039" w:rsidP="001A5D4A">
            <w:pPr>
              <w:pStyle w:val="NotesTable-ItemPlain"/>
            </w:pPr>
          </w:p>
        </w:tc>
        <w:tc>
          <w:tcPr>
            <w:tcW w:w="406" w:type="pct"/>
          </w:tcPr>
          <w:p w14:paraId="038A4376" w14:textId="77777777" w:rsidR="00EC0039" w:rsidRPr="00E67A32" w:rsidRDefault="00EC0039" w:rsidP="001A5D4A">
            <w:pPr>
              <w:pStyle w:val="NotesTable-ItemPlain"/>
            </w:pPr>
          </w:p>
        </w:tc>
        <w:tc>
          <w:tcPr>
            <w:tcW w:w="406" w:type="pct"/>
          </w:tcPr>
          <w:p w14:paraId="038A4377" w14:textId="77777777" w:rsidR="00EC0039" w:rsidRPr="00E67A32" w:rsidRDefault="00EC0039" w:rsidP="001A5D4A">
            <w:pPr>
              <w:pStyle w:val="NotesTable-ItemPlain"/>
            </w:pPr>
          </w:p>
        </w:tc>
        <w:tc>
          <w:tcPr>
            <w:tcW w:w="402" w:type="pct"/>
          </w:tcPr>
          <w:p w14:paraId="038A4378" w14:textId="77777777" w:rsidR="00EC0039" w:rsidRPr="00E67A32" w:rsidRDefault="00EC0039" w:rsidP="001A5D4A">
            <w:pPr>
              <w:pStyle w:val="NotesTable-ItemPlain"/>
            </w:pPr>
          </w:p>
        </w:tc>
      </w:tr>
      <w:tr w:rsidR="00EC0039" w:rsidRPr="00F61D7B" w14:paraId="038A4381" w14:textId="77777777" w:rsidTr="003411A8">
        <w:trPr>
          <w:trHeight w:hRule="exact" w:val="227"/>
        </w:trPr>
        <w:tc>
          <w:tcPr>
            <w:tcW w:w="813" w:type="pct"/>
          </w:tcPr>
          <w:p w14:paraId="038A437A" w14:textId="77777777" w:rsidR="00EC0039" w:rsidRPr="00F61D7B" w:rsidRDefault="00EC0039" w:rsidP="001A5D4A">
            <w:pPr>
              <w:pStyle w:val="Note-Refs"/>
            </w:pPr>
          </w:p>
        </w:tc>
        <w:tc>
          <w:tcPr>
            <w:tcW w:w="2230" w:type="pct"/>
            <w:gridSpan w:val="2"/>
            <w:vAlign w:val="bottom"/>
          </w:tcPr>
          <w:p w14:paraId="038A437B" w14:textId="77777777" w:rsidR="00EC0039" w:rsidRDefault="00EC0039" w:rsidP="001A5D4A">
            <w:pPr>
              <w:pStyle w:val="Note-Text"/>
            </w:pPr>
            <w:r>
              <w:t>Trading derivatives</w:t>
            </w:r>
          </w:p>
        </w:tc>
        <w:tc>
          <w:tcPr>
            <w:tcW w:w="337" w:type="pct"/>
            <w:vAlign w:val="bottom"/>
          </w:tcPr>
          <w:p w14:paraId="038A437C" w14:textId="77777777" w:rsidR="00EC0039" w:rsidRDefault="00EC0039" w:rsidP="001A5D4A">
            <w:pPr>
              <w:pStyle w:val="NotesTable-Notes"/>
            </w:pPr>
          </w:p>
        </w:tc>
        <w:tc>
          <w:tcPr>
            <w:tcW w:w="406" w:type="pct"/>
          </w:tcPr>
          <w:p w14:paraId="038A437D" w14:textId="77777777" w:rsidR="00EC0039" w:rsidRPr="00F61D7B" w:rsidRDefault="00EC0039" w:rsidP="001A5D4A">
            <w:pPr>
              <w:pStyle w:val="NotesTable-CellPlain"/>
            </w:pPr>
            <w:r w:rsidRPr="00F61D7B">
              <w:t>–</w:t>
            </w:r>
          </w:p>
        </w:tc>
        <w:tc>
          <w:tcPr>
            <w:tcW w:w="406" w:type="pct"/>
          </w:tcPr>
          <w:p w14:paraId="038A437E" w14:textId="77777777" w:rsidR="00EC0039" w:rsidRPr="00F61D7B" w:rsidRDefault="00EC0039" w:rsidP="001A5D4A">
            <w:pPr>
              <w:pStyle w:val="NotesTable-CellPlain"/>
            </w:pPr>
            <w:r w:rsidRPr="00F61D7B">
              <w:t>–</w:t>
            </w:r>
          </w:p>
        </w:tc>
        <w:tc>
          <w:tcPr>
            <w:tcW w:w="406" w:type="pct"/>
          </w:tcPr>
          <w:p w14:paraId="038A437F" w14:textId="77777777" w:rsidR="00EC0039" w:rsidRPr="00F61D7B" w:rsidRDefault="00EC0039" w:rsidP="001A5D4A">
            <w:pPr>
              <w:pStyle w:val="NotesTable-CellPlain"/>
            </w:pPr>
            <w:r w:rsidRPr="00F61D7B">
              <w:t>–</w:t>
            </w:r>
          </w:p>
        </w:tc>
        <w:tc>
          <w:tcPr>
            <w:tcW w:w="402" w:type="pct"/>
          </w:tcPr>
          <w:p w14:paraId="038A4380" w14:textId="77777777" w:rsidR="00EC0039" w:rsidRPr="00F61D7B" w:rsidRDefault="00EC0039" w:rsidP="001A5D4A">
            <w:pPr>
              <w:pStyle w:val="NotesTable-CellPlain"/>
            </w:pPr>
            <w:r w:rsidRPr="00F61D7B">
              <w:t>–</w:t>
            </w:r>
          </w:p>
        </w:tc>
      </w:tr>
      <w:tr w:rsidR="00EC0039" w:rsidRPr="00F61D7B" w14:paraId="038A4389" w14:textId="77777777" w:rsidTr="003411A8">
        <w:trPr>
          <w:trHeight w:hRule="exact" w:val="227"/>
        </w:trPr>
        <w:tc>
          <w:tcPr>
            <w:tcW w:w="813" w:type="pct"/>
          </w:tcPr>
          <w:p w14:paraId="038A4382" w14:textId="77777777" w:rsidR="00EC0039" w:rsidRPr="00F61D7B" w:rsidRDefault="00EC0039" w:rsidP="001A5D4A">
            <w:pPr>
              <w:pStyle w:val="Note-Refs"/>
            </w:pPr>
          </w:p>
        </w:tc>
        <w:tc>
          <w:tcPr>
            <w:tcW w:w="2230" w:type="pct"/>
            <w:gridSpan w:val="2"/>
            <w:vAlign w:val="bottom"/>
          </w:tcPr>
          <w:p w14:paraId="038A4383" w14:textId="77777777" w:rsidR="00EC0039" w:rsidRDefault="00EC0039" w:rsidP="001A5D4A">
            <w:pPr>
              <w:pStyle w:val="Note-Text"/>
            </w:pPr>
            <w:r>
              <w:t>Trading securities</w:t>
            </w:r>
          </w:p>
        </w:tc>
        <w:tc>
          <w:tcPr>
            <w:tcW w:w="337" w:type="pct"/>
            <w:vAlign w:val="bottom"/>
          </w:tcPr>
          <w:p w14:paraId="038A4384" w14:textId="77777777" w:rsidR="00EC0039" w:rsidRDefault="00EC0039" w:rsidP="001A5D4A">
            <w:pPr>
              <w:pStyle w:val="NotesTable-Notes"/>
            </w:pPr>
          </w:p>
        </w:tc>
        <w:tc>
          <w:tcPr>
            <w:tcW w:w="406" w:type="pct"/>
          </w:tcPr>
          <w:p w14:paraId="038A4385" w14:textId="77777777" w:rsidR="00EC0039" w:rsidRPr="00F61D7B" w:rsidRDefault="00EC0039" w:rsidP="001A5D4A">
            <w:pPr>
              <w:pStyle w:val="NotesTable-CellPlain"/>
            </w:pPr>
            <w:r w:rsidRPr="00F61D7B">
              <w:t>–</w:t>
            </w:r>
          </w:p>
        </w:tc>
        <w:tc>
          <w:tcPr>
            <w:tcW w:w="406" w:type="pct"/>
          </w:tcPr>
          <w:p w14:paraId="038A4386" w14:textId="77777777" w:rsidR="00EC0039" w:rsidRPr="00F61D7B" w:rsidRDefault="00EC0039" w:rsidP="001A5D4A">
            <w:pPr>
              <w:pStyle w:val="NotesTable-CellPlain"/>
            </w:pPr>
            <w:r w:rsidRPr="00F61D7B">
              <w:t>–</w:t>
            </w:r>
          </w:p>
        </w:tc>
        <w:tc>
          <w:tcPr>
            <w:tcW w:w="406" w:type="pct"/>
          </w:tcPr>
          <w:p w14:paraId="038A4387" w14:textId="77777777" w:rsidR="00EC0039" w:rsidRPr="00F61D7B" w:rsidRDefault="00EC0039" w:rsidP="001A5D4A">
            <w:pPr>
              <w:pStyle w:val="NotesTable-CellPlain"/>
            </w:pPr>
            <w:r w:rsidRPr="00F61D7B">
              <w:t>–</w:t>
            </w:r>
          </w:p>
        </w:tc>
        <w:tc>
          <w:tcPr>
            <w:tcW w:w="402" w:type="pct"/>
          </w:tcPr>
          <w:p w14:paraId="038A4388" w14:textId="77777777" w:rsidR="00EC0039" w:rsidRPr="00F61D7B" w:rsidRDefault="00EC0039" w:rsidP="001A5D4A">
            <w:pPr>
              <w:pStyle w:val="NotesTable-CellPlain"/>
            </w:pPr>
            <w:r w:rsidRPr="00F61D7B">
              <w:t>–</w:t>
            </w:r>
          </w:p>
        </w:tc>
      </w:tr>
      <w:tr w:rsidR="00EC0039" w:rsidRPr="00E67A32" w14:paraId="038A4391" w14:textId="77777777" w:rsidTr="003411A8">
        <w:trPr>
          <w:trHeight w:hRule="exact" w:val="227"/>
        </w:trPr>
        <w:tc>
          <w:tcPr>
            <w:tcW w:w="813" w:type="pct"/>
          </w:tcPr>
          <w:p w14:paraId="038A438A" w14:textId="77777777" w:rsidR="00EC0039" w:rsidRPr="005C0D27" w:rsidRDefault="00EC0039" w:rsidP="001A5D4A">
            <w:pPr>
              <w:pStyle w:val="Note-Refs"/>
            </w:pPr>
          </w:p>
        </w:tc>
        <w:tc>
          <w:tcPr>
            <w:tcW w:w="2230" w:type="pct"/>
            <w:gridSpan w:val="2"/>
            <w:vAlign w:val="bottom"/>
          </w:tcPr>
          <w:p w14:paraId="038A438B" w14:textId="77777777" w:rsidR="00EC0039" w:rsidRPr="00E67A32" w:rsidRDefault="00EC0039" w:rsidP="001A5D4A">
            <w:pPr>
              <w:pStyle w:val="NotesTable-ItemPlain"/>
            </w:pPr>
            <w:r w:rsidRPr="00E67A32">
              <w:t>Available-for-sale financial assets</w:t>
            </w:r>
          </w:p>
        </w:tc>
        <w:tc>
          <w:tcPr>
            <w:tcW w:w="337" w:type="pct"/>
            <w:vAlign w:val="bottom"/>
          </w:tcPr>
          <w:p w14:paraId="038A438C" w14:textId="0943D76B" w:rsidR="00EC0039" w:rsidRPr="00E67A32" w:rsidRDefault="00EC0039" w:rsidP="001A5D4A">
            <w:pPr>
              <w:pStyle w:val="NotesTable-Notes"/>
            </w:pPr>
            <w:r>
              <w:t>2</w:t>
            </w:r>
            <w:r w:rsidR="00C434F9">
              <w:t>1</w:t>
            </w:r>
          </w:p>
        </w:tc>
        <w:tc>
          <w:tcPr>
            <w:tcW w:w="406" w:type="pct"/>
          </w:tcPr>
          <w:p w14:paraId="038A438D" w14:textId="77777777" w:rsidR="00EC0039" w:rsidRPr="00E67A32" w:rsidRDefault="00EC0039" w:rsidP="001A5D4A">
            <w:pPr>
              <w:pStyle w:val="NotesTable-CellPlain"/>
            </w:pPr>
            <w:r w:rsidRPr="00387C73">
              <w:t>–</w:t>
            </w:r>
          </w:p>
        </w:tc>
        <w:tc>
          <w:tcPr>
            <w:tcW w:w="406" w:type="pct"/>
          </w:tcPr>
          <w:p w14:paraId="038A438E" w14:textId="77777777" w:rsidR="00EC0039" w:rsidRPr="00E67A32" w:rsidRDefault="00EC0039" w:rsidP="001A5D4A">
            <w:pPr>
              <w:pStyle w:val="NotesTable-CellPlain"/>
            </w:pPr>
            <w:r w:rsidRPr="00E67A32">
              <w:t>–</w:t>
            </w:r>
          </w:p>
        </w:tc>
        <w:tc>
          <w:tcPr>
            <w:tcW w:w="406" w:type="pct"/>
          </w:tcPr>
          <w:p w14:paraId="038A438F" w14:textId="77777777" w:rsidR="00EC0039" w:rsidRPr="00E67A32" w:rsidRDefault="00EC0039" w:rsidP="001A5D4A">
            <w:pPr>
              <w:pStyle w:val="NotesTable-CellPlain"/>
            </w:pPr>
            <w:r w:rsidRPr="00E67A32">
              <w:t>–</w:t>
            </w:r>
          </w:p>
        </w:tc>
        <w:tc>
          <w:tcPr>
            <w:tcW w:w="402" w:type="pct"/>
          </w:tcPr>
          <w:p w14:paraId="038A4390" w14:textId="77777777" w:rsidR="00EC0039" w:rsidRPr="00E67A32" w:rsidRDefault="00EC0039" w:rsidP="001A5D4A">
            <w:pPr>
              <w:pStyle w:val="NotesTable-CellPlain"/>
            </w:pPr>
            <w:r w:rsidRPr="00E67A32">
              <w:t>–</w:t>
            </w:r>
          </w:p>
        </w:tc>
      </w:tr>
      <w:tr w:rsidR="00EC0039" w:rsidRPr="00F61D7B" w14:paraId="038A4399" w14:textId="77777777" w:rsidTr="003411A8">
        <w:trPr>
          <w:trHeight w:hRule="exact" w:val="227"/>
        </w:trPr>
        <w:tc>
          <w:tcPr>
            <w:tcW w:w="813" w:type="pct"/>
          </w:tcPr>
          <w:p w14:paraId="038A4392" w14:textId="77777777" w:rsidR="00EC0039" w:rsidRPr="00F61D7B" w:rsidRDefault="00EC0039" w:rsidP="001A5D4A">
            <w:pPr>
              <w:pStyle w:val="Note-Refs"/>
            </w:pPr>
          </w:p>
        </w:tc>
        <w:tc>
          <w:tcPr>
            <w:tcW w:w="2230" w:type="pct"/>
            <w:gridSpan w:val="2"/>
            <w:vAlign w:val="bottom"/>
          </w:tcPr>
          <w:p w14:paraId="038A4393" w14:textId="77777777" w:rsidR="00EC0039" w:rsidRPr="00F61D7B" w:rsidRDefault="00EC0039" w:rsidP="001A5D4A">
            <w:pPr>
              <w:pStyle w:val="Note-Text"/>
            </w:pPr>
            <w:r>
              <w:t>Equity securities</w:t>
            </w:r>
          </w:p>
        </w:tc>
        <w:tc>
          <w:tcPr>
            <w:tcW w:w="337" w:type="pct"/>
            <w:vAlign w:val="bottom"/>
          </w:tcPr>
          <w:p w14:paraId="038A4394" w14:textId="77777777" w:rsidR="00EC0039" w:rsidRDefault="00EC0039" w:rsidP="001A5D4A">
            <w:pPr>
              <w:pStyle w:val="NotesTable-Notes"/>
            </w:pPr>
          </w:p>
        </w:tc>
        <w:tc>
          <w:tcPr>
            <w:tcW w:w="406" w:type="pct"/>
          </w:tcPr>
          <w:p w14:paraId="038A4395" w14:textId="77777777" w:rsidR="00EC0039" w:rsidRPr="00F61D7B" w:rsidRDefault="00EC0039" w:rsidP="001A5D4A">
            <w:pPr>
              <w:pStyle w:val="NotesTable-CellPlain"/>
            </w:pPr>
            <w:r w:rsidRPr="00F61D7B">
              <w:t>–</w:t>
            </w:r>
          </w:p>
        </w:tc>
        <w:tc>
          <w:tcPr>
            <w:tcW w:w="406" w:type="pct"/>
          </w:tcPr>
          <w:p w14:paraId="038A4396" w14:textId="77777777" w:rsidR="00EC0039" w:rsidRPr="00F61D7B" w:rsidRDefault="00EC0039" w:rsidP="001A5D4A">
            <w:pPr>
              <w:pStyle w:val="NotesTable-CellPlain"/>
            </w:pPr>
            <w:r w:rsidRPr="00F61D7B">
              <w:t>–</w:t>
            </w:r>
          </w:p>
        </w:tc>
        <w:tc>
          <w:tcPr>
            <w:tcW w:w="406" w:type="pct"/>
          </w:tcPr>
          <w:p w14:paraId="038A4397" w14:textId="77777777" w:rsidR="00EC0039" w:rsidRPr="00F61D7B" w:rsidRDefault="00EC0039" w:rsidP="001A5D4A">
            <w:pPr>
              <w:pStyle w:val="NotesTable-CellPlain"/>
            </w:pPr>
            <w:r w:rsidRPr="00F61D7B">
              <w:t>–</w:t>
            </w:r>
          </w:p>
        </w:tc>
        <w:tc>
          <w:tcPr>
            <w:tcW w:w="402" w:type="pct"/>
          </w:tcPr>
          <w:p w14:paraId="038A4398" w14:textId="77777777" w:rsidR="00EC0039" w:rsidRPr="00F61D7B" w:rsidRDefault="00EC0039" w:rsidP="001A5D4A">
            <w:pPr>
              <w:pStyle w:val="NotesTable-CellPlain"/>
            </w:pPr>
            <w:r w:rsidRPr="00F61D7B">
              <w:t>–</w:t>
            </w:r>
          </w:p>
        </w:tc>
      </w:tr>
      <w:tr w:rsidR="00EC0039" w:rsidRPr="00F61D7B" w14:paraId="038A43A1" w14:textId="77777777" w:rsidTr="003411A8">
        <w:trPr>
          <w:trHeight w:hRule="exact" w:val="227"/>
        </w:trPr>
        <w:tc>
          <w:tcPr>
            <w:tcW w:w="813" w:type="pct"/>
          </w:tcPr>
          <w:p w14:paraId="038A439A" w14:textId="77777777" w:rsidR="00EC0039" w:rsidRPr="00F61D7B" w:rsidRDefault="00EC0039" w:rsidP="001A5D4A">
            <w:pPr>
              <w:pStyle w:val="Note-Refs"/>
            </w:pPr>
          </w:p>
        </w:tc>
        <w:tc>
          <w:tcPr>
            <w:tcW w:w="2230" w:type="pct"/>
            <w:gridSpan w:val="2"/>
            <w:vAlign w:val="bottom"/>
          </w:tcPr>
          <w:p w14:paraId="038A439B" w14:textId="77777777" w:rsidR="00EC0039" w:rsidRPr="00F61D7B" w:rsidRDefault="00EC0039" w:rsidP="001A5D4A">
            <w:pPr>
              <w:pStyle w:val="Note-Text"/>
            </w:pPr>
            <w:r>
              <w:t>Debt securities</w:t>
            </w:r>
          </w:p>
        </w:tc>
        <w:tc>
          <w:tcPr>
            <w:tcW w:w="337" w:type="pct"/>
            <w:vAlign w:val="bottom"/>
          </w:tcPr>
          <w:p w14:paraId="038A439C" w14:textId="77777777" w:rsidR="00EC0039" w:rsidRDefault="00EC0039" w:rsidP="001A5D4A">
            <w:pPr>
              <w:pStyle w:val="NotesTable-Notes"/>
            </w:pPr>
          </w:p>
        </w:tc>
        <w:tc>
          <w:tcPr>
            <w:tcW w:w="406" w:type="pct"/>
          </w:tcPr>
          <w:p w14:paraId="038A439D" w14:textId="77777777" w:rsidR="00EC0039" w:rsidRPr="00F61D7B" w:rsidRDefault="00EC0039" w:rsidP="001A5D4A">
            <w:pPr>
              <w:pStyle w:val="NotesTable-CellPlain"/>
            </w:pPr>
            <w:r w:rsidRPr="00F61D7B">
              <w:t>–</w:t>
            </w:r>
          </w:p>
        </w:tc>
        <w:tc>
          <w:tcPr>
            <w:tcW w:w="406" w:type="pct"/>
          </w:tcPr>
          <w:p w14:paraId="038A439E" w14:textId="77777777" w:rsidR="00EC0039" w:rsidRPr="00F61D7B" w:rsidRDefault="00EC0039" w:rsidP="001A5D4A">
            <w:pPr>
              <w:pStyle w:val="NotesTable-CellPlain"/>
            </w:pPr>
            <w:r w:rsidRPr="00F61D7B">
              <w:t>–</w:t>
            </w:r>
          </w:p>
        </w:tc>
        <w:tc>
          <w:tcPr>
            <w:tcW w:w="406" w:type="pct"/>
          </w:tcPr>
          <w:p w14:paraId="038A439F" w14:textId="77777777" w:rsidR="00EC0039" w:rsidRPr="00F61D7B" w:rsidRDefault="00EC0039" w:rsidP="001A5D4A">
            <w:pPr>
              <w:pStyle w:val="NotesTable-CellPlain"/>
            </w:pPr>
            <w:r w:rsidRPr="00F61D7B">
              <w:t>–</w:t>
            </w:r>
          </w:p>
        </w:tc>
        <w:tc>
          <w:tcPr>
            <w:tcW w:w="402" w:type="pct"/>
          </w:tcPr>
          <w:p w14:paraId="038A43A0" w14:textId="77777777" w:rsidR="00EC0039" w:rsidRPr="00F61D7B" w:rsidRDefault="00EC0039" w:rsidP="001A5D4A">
            <w:pPr>
              <w:pStyle w:val="NotesTable-CellPlain"/>
            </w:pPr>
            <w:r w:rsidRPr="00F61D7B">
              <w:t>–</w:t>
            </w:r>
          </w:p>
        </w:tc>
      </w:tr>
      <w:tr w:rsidR="00EC0039" w:rsidRPr="00E67A32" w14:paraId="038A43A9" w14:textId="77777777" w:rsidTr="003411A8">
        <w:trPr>
          <w:trHeight w:hRule="exact" w:val="227"/>
        </w:trPr>
        <w:tc>
          <w:tcPr>
            <w:tcW w:w="813" w:type="pct"/>
          </w:tcPr>
          <w:p w14:paraId="038A43A2" w14:textId="77777777" w:rsidR="00EC0039" w:rsidRPr="005C0D27" w:rsidRDefault="00EC0039" w:rsidP="001A5D4A">
            <w:pPr>
              <w:pStyle w:val="Note-Refs"/>
            </w:pPr>
          </w:p>
        </w:tc>
        <w:tc>
          <w:tcPr>
            <w:tcW w:w="2230" w:type="pct"/>
            <w:gridSpan w:val="2"/>
            <w:vAlign w:val="bottom"/>
          </w:tcPr>
          <w:p w14:paraId="038A43A3" w14:textId="77777777" w:rsidR="00EC0039" w:rsidRPr="00E67A32" w:rsidRDefault="00EC0039" w:rsidP="001A5D4A">
            <w:pPr>
              <w:pStyle w:val="NotesTable-ItemPlain"/>
            </w:pPr>
            <w:r w:rsidRPr="00E67A32">
              <w:t>Investments using the equity method</w:t>
            </w:r>
          </w:p>
        </w:tc>
        <w:tc>
          <w:tcPr>
            <w:tcW w:w="337" w:type="pct"/>
            <w:vAlign w:val="bottom"/>
          </w:tcPr>
          <w:p w14:paraId="038A43A4" w14:textId="0AABC705" w:rsidR="00EC0039" w:rsidRPr="00E67A32" w:rsidRDefault="00EC0039" w:rsidP="001A5D4A">
            <w:pPr>
              <w:pStyle w:val="NotesTable-Notes"/>
            </w:pPr>
            <w:r>
              <w:t>2</w:t>
            </w:r>
            <w:r w:rsidR="00C434F9">
              <w:t>4</w:t>
            </w:r>
          </w:p>
        </w:tc>
        <w:tc>
          <w:tcPr>
            <w:tcW w:w="406" w:type="pct"/>
          </w:tcPr>
          <w:p w14:paraId="038A43A5" w14:textId="77777777" w:rsidR="00EC0039" w:rsidRPr="00985B10" w:rsidRDefault="00EC0039" w:rsidP="001A5D4A">
            <w:pPr>
              <w:pStyle w:val="NotesTable-CellPlain"/>
            </w:pPr>
            <w:r w:rsidRPr="00D667C2">
              <w:t>–</w:t>
            </w:r>
          </w:p>
        </w:tc>
        <w:tc>
          <w:tcPr>
            <w:tcW w:w="406" w:type="pct"/>
          </w:tcPr>
          <w:p w14:paraId="038A43A6" w14:textId="77777777" w:rsidR="00EC0039" w:rsidRPr="00E67A32" w:rsidRDefault="00EC0039" w:rsidP="001A5D4A">
            <w:pPr>
              <w:pStyle w:val="NotesTable-CellPlain"/>
            </w:pPr>
            <w:r w:rsidRPr="00E67A32">
              <w:t>–</w:t>
            </w:r>
          </w:p>
        </w:tc>
        <w:tc>
          <w:tcPr>
            <w:tcW w:w="406" w:type="pct"/>
          </w:tcPr>
          <w:p w14:paraId="038A43A7" w14:textId="77777777" w:rsidR="00EC0039" w:rsidRPr="00E67A32" w:rsidRDefault="00EC0039" w:rsidP="001A5D4A">
            <w:pPr>
              <w:pStyle w:val="NotesTable-CellPlain"/>
            </w:pPr>
            <w:r w:rsidRPr="00E67A32">
              <w:t>–</w:t>
            </w:r>
          </w:p>
        </w:tc>
        <w:tc>
          <w:tcPr>
            <w:tcW w:w="402" w:type="pct"/>
          </w:tcPr>
          <w:p w14:paraId="038A43A8" w14:textId="77777777" w:rsidR="00EC0039" w:rsidRPr="00E67A32" w:rsidRDefault="00EC0039" w:rsidP="001A5D4A">
            <w:pPr>
              <w:pStyle w:val="NotesTable-CellPlain"/>
            </w:pPr>
            <w:r w:rsidRPr="00E67A32">
              <w:t>–</w:t>
            </w:r>
          </w:p>
        </w:tc>
      </w:tr>
      <w:tr w:rsidR="00EC0039" w:rsidRPr="00E67A32" w14:paraId="038A43B1" w14:textId="77777777" w:rsidTr="003411A8">
        <w:trPr>
          <w:trHeight w:hRule="exact" w:val="227"/>
        </w:trPr>
        <w:tc>
          <w:tcPr>
            <w:tcW w:w="813" w:type="pct"/>
          </w:tcPr>
          <w:p w14:paraId="038A43AA" w14:textId="77777777" w:rsidR="00EC0039" w:rsidRPr="005C0D27" w:rsidRDefault="00EC0039" w:rsidP="001A5D4A">
            <w:pPr>
              <w:pStyle w:val="Note-Refs"/>
            </w:pPr>
          </w:p>
        </w:tc>
        <w:tc>
          <w:tcPr>
            <w:tcW w:w="2230" w:type="pct"/>
            <w:gridSpan w:val="2"/>
            <w:vAlign w:val="bottom"/>
          </w:tcPr>
          <w:p w14:paraId="038A43AB" w14:textId="77777777" w:rsidR="00EC0039" w:rsidRPr="00E67A32" w:rsidRDefault="00EC0039" w:rsidP="001A5D4A">
            <w:pPr>
              <w:pStyle w:val="Note-Text"/>
            </w:pPr>
            <w:r>
              <w:t>[Specify]</w:t>
            </w:r>
          </w:p>
        </w:tc>
        <w:tc>
          <w:tcPr>
            <w:tcW w:w="337" w:type="pct"/>
            <w:vAlign w:val="bottom"/>
          </w:tcPr>
          <w:p w14:paraId="038A43AC" w14:textId="77777777" w:rsidR="00EC0039" w:rsidRDefault="00EC0039" w:rsidP="001A5D4A">
            <w:pPr>
              <w:pStyle w:val="NotesTable-Notes"/>
            </w:pPr>
          </w:p>
        </w:tc>
        <w:tc>
          <w:tcPr>
            <w:tcW w:w="406" w:type="pct"/>
          </w:tcPr>
          <w:p w14:paraId="038A43AD" w14:textId="77777777" w:rsidR="00EC0039" w:rsidRPr="00D667C2" w:rsidRDefault="00EC0039" w:rsidP="001A5D4A">
            <w:pPr>
              <w:pStyle w:val="NotesTable-CellPlain"/>
            </w:pPr>
            <w:r w:rsidRPr="00F61D7B">
              <w:t>–</w:t>
            </w:r>
          </w:p>
        </w:tc>
        <w:tc>
          <w:tcPr>
            <w:tcW w:w="406" w:type="pct"/>
          </w:tcPr>
          <w:p w14:paraId="038A43AE" w14:textId="77777777" w:rsidR="00EC0039" w:rsidRPr="00E67A32" w:rsidRDefault="00EC0039" w:rsidP="001A5D4A">
            <w:pPr>
              <w:pStyle w:val="NotesTable-CellPlain"/>
            </w:pPr>
            <w:r w:rsidRPr="00F61D7B">
              <w:t>–</w:t>
            </w:r>
          </w:p>
        </w:tc>
        <w:tc>
          <w:tcPr>
            <w:tcW w:w="406" w:type="pct"/>
          </w:tcPr>
          <w:p w14:paraId="038A43AF" w14:textId="77777777" w:rsidR="00EC0039" w:rsidRPr="00E67A32" w:rsidRDefault="00EC0039" w:rsidP="001A5D4A">
            <w:pPr>
              <w:pStyle w:val="NotesTable-CellPlain"/>
            </w:pPr>
            <w:r w:rsidRPr="00F61D7B">
              <w:t>–</w:t>
            </w:r>
          </w:p>
        </w:tc>
        <w:tc>
          <w:tcPr>
            <w:tcW w:w="402" w:type="pct"/>
          </w:tcPr>
          <w:p w14:paraId="038A43B0" w14:textId="77777777" w:rsidR="00EC0039" w:rsidRPr="00E67A32" w:rsidRDefault="00EC0039" w:rsidP="001A5D4A">
            <w:pPr>
              <w:pStyle w:val="NotesTable-CellPlain"/>
            </w:pPr>
            <w:r w:rsidRPr="00F61D7B">
              <w:t>–</w:t>
            </w:r>
          </w:p>
        </w:tc>
      </w:tr>
      <w:tr w:rsidR="00EC0039" w:rsidRPr="00E67A32" w14:paraId="038A43B9" w14:textId="77777777" w:rsidTr="003411A8">
        <w:trPr>
          <w:trHeight w:hRule="exact" w:val="227"/>
        </w:trPr>
        <w:tc>
          <w:tcPr>
            <w:tcW w:w="813" w:type="pct"/>
          </w:tcPr>
          <w:p w14:paraId="038A43B2" w14:textId="77777777" w:rsidR="00EC0039" w:rsidRPr="005C0D27" w:rsidRDefault="00EC0039" w:rsidP="001A5D4A">
            <w:pPr>
              <w:pStyle w:val="Note-Refs"/>
            </w:pPr>
          </w:p>
        </w:tc>
        <w:tc>
          <w:tcPr>
            <w:tcW w:w="2230" w:type="pct"/>
            <w:gridSpan w:val="2"/>
            <w:vAlign w:val="bottom"/>
          </w:tcPr>
          <w:p w14:paraId="038A43B3" w14:textId="77777777" w:rsidR="00EC0039" w:rsidRPr="00E67A32" w:rsidRDefault="00EC0039" w:rsidP="001A5D4A">
            <w:pPr>
              <w:pStyle w:val="NotesTable-ItemPlain"/>
            </w:pPr>
            <w:r w:rsidRPr="00E67A32">
              <w:t>Other financial assets</w:t>
            </w:r>
          </w:p>
        </w:tc>
        <w:tc>
          <w:tcPr>
            <w:tcW w:w="337" w:type="pct"/>
            <w:vAlign w:val="bottom"/>
          </w:tcPr>
          <w:p w14:paraId="038A43B4" w14:textId="7AFEB630" w:rsidR="00EC0039" w:rsidRPr="00E67A32" w:rsidRDefault="00EC0039" w:rsidP="001A5D4A">
            <w:pPr>
              <w:pStyle w:val="NotesTable-Notes"/>
            </w:pPr>
            <w:r>
              <w:t>2</w:t>
            </w:r>
            <w:r w:rsidR="00C434F9">
              <w:t>1</w:t>
            </w:r>
          </w:p>
        </w:tc>
        <w:tc>
          <w:tcPr>
            <w:tcW w:w="406" w:type="pct"/>
          </w:tcPr>
          <w:p w14:paraId="038A43B5" w14:textId="77777777" w:rsidR="00EC0039" w:rsidRPr="00985B10" w:rsidRDefault="00EC0039" w:rsidP="001A5D4A">
            <w:pPr>
              <w:pStyle w:val="NotesTable-CellPlain"/>
            </w:pPr>
            <w:r w:rsidRPr="00D667C2">
              <w:t>–</w:t>
            </w:r>
          </w:p>
        </w:tc>
        <w:tc>
          <w:tcPr>
            <w:tcW w:w="406" w:type="pct"/>
          </w:tcPr>
          <w:p w14:paraId="038A43B6" w14:textId="77777777" w:rsidR="00EC0039" w:rsidRPr="00E67A32" w:rsidRDefault="00EC0039" w:rsidP="001A5D4A">
            <w:pPr>
              <w:pStyle w:val="NotesTable-CellPlain"/>
            </w:pPr>
            <w:r w:rsidRPr="00E67A32">
              <w:t>–</w:t>
            </w:r>
          </w:p>
        </w:tc>
        <w:tc>
          <w:tcPr>
            <w:tcW w:w="406" w:type="pct"/>
          </w:tcPr>
          <w:p w14:paraId="038A43B7" w14:textId="77777777" w:rsidR="00EC0039" w:rsidRPr="00E67A32" w:rsidRDefault="00EC0039" w:rsidP="001A5D4A">
            <w:pPr>
              <w:pStyle w:val="NotesTable-CellPlain"/>
            </w:pPr>
            <w:r w:rsidRPr="00E67A32">
              <w:t>–</w:t>
            </w:r>
          </w:p>
        </w:tc>
        <w:tc>
          <w:tcPr>
            <w:tcW w:w="402" w:type="pct"/>
          </w:tcPr>
          <w:p w14:paraId="038A43B8" w14:textId="77777777" w:rsidR="00EC0039" w:rsidRPr="00E67A32" w:rsidRDefault="00EC0039" w:rsidP="001A5D4A">
            <w:pPr>
              <w:pStyle w:val="NotesTable-CellPlain"/>
            </w:pPr>
            <w:r w:rsidRPr="00E67A32">
              <w:t>–</w:t>
            </w:r>
          </w:p>
        </w:tc>
      </w:tr>
      <w:tr w:rsidR="00EC0039" w:rsidRPr="00E67A32" w14:paraId="038A43C1" w14:textId="77777777" w:rsidTr="003411A8">
        <w:trPr>
          <w:trHeight w:hRule="exact" w:val="227"/>
        </w:trPr>
        <w:tc>
          <w:tcPr>
            <w:tcW w:w="813" w:type="pct"/>
          </w:tcPr>
          <w:p w14:paraId="038A43BA" w14:textId="77777777" w:rsidR="00EC0039" w:rsidRPr="005C0D27" w:rsidRDefault="00EC0039" w:rsidP="001A5D4A">
            <w:pPr>
              <w:pStyle w:val="Note-Refs"/>
            </w:pPr>
          </w:p>
        </w:tc>
        <w:tc>
          <w:tcPr>
            <w:tcW w:w="2230" w:type="pct"/>
            <w:gridSpan w:val="2"/>
            <w:vAlign w:val="bottom"/>
          </w:tcPr>
          <w:p w14:paraId="038A43BB" w14:textId="77777777" w:rsidR="00EC0039" w:rsidRPr="00E67A32" w:rsidRDefault="00EC0039" w:rsidP="001A5D4A">
            <w:pPr>
              <w:pStyle w:val="NotesTable-ItemPlain"/>
            </w:pPr>
            <w:r w:rsidRPr="00E67A32">
              <w:t>[Specify]</w:t>
            </w:r>
          </w:p>
        </w:tc>
        <w:tc>
          <w:tcPr>
            <w:tcW w:w="337" w:type="pct"/>
            <w:vAlign w:val="bottom"/>
          </w:tcPr>
          <w:p w14:paraId="038A43BC" w14:textId="77777777" w:rsidR="00EC0039" w:rsidRPr="00E67A32" w:rsidRDefault="00EC0039" w:rsidP="001A5D4A">
            <w:pPr>
              <w:pStyle w:val="NotesTable-Notes"/>
            </w:pPr>
          </w:p>
        </w:tc>
        <w:tc>
          <w:tcPr>
            <w:tcW w:w="406" w:type="pct"/>
            <w:tcBorders>
              <w:bottom w:val="single" w:sz="4" w:space="0" w:color="000000"/>
            </w:tcBorders>
          </w:tcPr>
          <w:p w14:paraId="038A43BD" w14:textId="77777777" w:rsidR="00EC0039" w:rsidRPr="00985B10" w:rsidRDefault="00EC0039" w:rsidP="001A5D4A">
            <w:pPr>
              <w:pStyle w:val="NotesTable-CellPlain"/>
            </w:pPr>
            <w:r w:rsidRPr="00D667C2">
              <w:t>–</w:t>
            </w:r>
          </w:p>
        </w:tc>
        <w:tc>
          <w:tcPr>
            <w:tcW w:w="406" w:type="pct"/>
            <w:tcBorders>
              <w:bottom w:val="single" w:sz="4" w:space="0" w:color="000000"/>
            </w:tcBorders>
          </w:tcPr>
          <w:p w14:paraId="038A43BE" w14:textId="77777777" w:rsidR="00EC0039" w:rsidRPr="00E67A32" w:rsidRDefault="00EC0039" w:rsidP="001A5D4A">
            <w:pPr>
              <w:pStyle w:val="NotesTable-CellPlain"/>
            </w:pPr>
            <w:r w:rsidRPr="00E67A32">
              <w:t>–</w:t>
            </w:r>
          </w:p>
        </w:tc>
        <w:tc>
          <w:tcPr>
            <w:tcW w:w="406" w:type="pct"/>
            <w:tcBorders>
              <w:bottom w:val="single" w:sz="4" w:space="0" w:color="000000"/>
            </w:tcBorders>
          </w:tcPr>
          <w:p w14:paraId="038A43BF" w14:textId="77777777" w:rsidR="00EC0039" w:rsidRPr="00E67A32" w:rsidRDefault="00EC0039" w:rsidP="001A5D4A">
            <w:pPr>
              <w:pStyle w:val="NotesTable-CellPlain"/>
            </w:pPr>
            <w:r w:rsidRPr="00E67A32">
              <w:t>–</w:t>
            </w:r>
          </w:p>
        </w:tc>
        <w:tc>
          <w:tcPr>
            <w:tcW w:w="402" w:type="pct"/>
            <w:tcBorders>
              <w:bottom w:val="single" w:sz="4" w:space="0" w:color="000000"/>
            </w:tcBorders>
          </w:tcPr>
          <w:p w14:paraId="038A43C0" w14:textId="77777777" w:rsidR="00EC0039" w:rsidRPr="00E67A32" w:rsidRDefault="00EC0039" w:rsidP="001A5D4A">
            <w:pPr>
              <w:pStyle w:val="NotesTable-CellPlain"/>
            </w:pPr>
            <w:r w:rsidRPr="00E67A32">
              <w:t>–</w:t>
            </w:r>
          </w:p>
        </w:tc>
      </w:tr>
      <w:tr w:rsidR="00EC0039" w:rsidRPr="00E67A32" w14:paraId="038A43C9" w14:textId="77777777" w:rsidTr="003411A8">
        <w:trPr>
          <w:trHeight w:hRule="exact" w:val="227"/>
        </w:trPr>
        <w:tc>
          <w:tcPr>
            <w:tcW w:w="813" w:type="pct"/>
          </w:tcPr>
          <w:p w14:paraId="038A43C2" w14:textId="77777777" w:rsidR="00EC0039" w:rsidRPr="005C0D27" w:rsidRDefault="00EC0039" w:rsidP="001A5D4A">
            <w:pPr>
              <w:pStyle w:val="Note-Refs"/>
            </w:pPr>
          </w:p>
        </w:tc>
        <w:tc>
          <w:tcPr>
            <w:tcW w:w="2230" w:type="pct"/>
            <w:gridSpan w:val="2"/>
            <w:vAlign w:val="bottom"/>
          </w:tcPr>
          <w:p w14:paraId="038A43C3" w14:textId="77777777" w:rsidR="00EC0039" w:rsidRPr="00E67A32" w:rsidRDefault="00EC0039" w:rsidP="001A5D4A">
            <w:pPr>
              <w:pStyle w:val="NotesTable-ItemPlain"/>
            </w:pPr>
            <w:r w:rsidRPr="00E67A32">
              <w:t>Total financial assets</w:t>
            </w:r>
          </w:p>
        </w:tc>
        <w:tc>
          <w:tcPr>
            <w:tcW w:w="337" w:type="pct"/>
            <w:vAlign w:val="bottom"/>
          </w:tcPr>
          <w:p w14:paraId="038A43C4" w14:textId="77777777" w:rsidR="00EC0039" w:rsidRPr="00E67A32" w:rsidRDefault="00EC0039" w:rsidP="001A5D4A">
            <w:pPr>
              <w:pStyle w:val="NotesTable-Notes"/>
            </w:pPr>
          </w:p>
        </w:tc>
        <w:tc>
          <w:tcPr>
            <w:tcW w:w="406" w:type="pct"/>
            <w:tcBorders>
              <w:top w:val="single" w:sz="4" w:space="0" w:color="000000"/>
            </w:tcBorders>
          </w:tcPr>
          <w:p w14:paraId="038A43C5" w14:textId="77777777" w:rsidR="00EC0039" w:rsidRPr="00985B10" w:rsidRDefault="00EC0039" w:rsidP="001A5D4A">
            <w:pPr>
              <w:pStyle w:val="NotesTable-CellPlain"/>
            </w:pPr>
            <w:r w:rsidRPr="00D667C2">
              <w:t>–</w:t>
            </w:r>
          </w:p>
        </w:tc>
        <w:tc>
          <w:tcPr>
            <w:tcW w:w="406" w:type="pct"/>
            <w:tcBorders>
              <w:top w:val="single" w:sz="4" w:space="0" w:color="000000"/>
            </w:tcBorders>
          </w:tcPr>
          <w:p w14:paraId="038A43C6" w14:textId="77777777" w:rsidR="00EC0039" w:rsidRPr="00E67A32" w:rsidRDefault="00EC0039" w:rsidP="001A5D4A">
            <w:pPr>
              <w:pStyle w:val="NotesTable-CellPlain"/>
            </w:pPr>
            <w:r w:rsidRPr="00E67A32">
              <w:t>–</w:t>
            </w:r>
          </w:p>
        </w:tc>
        <w:tc>
          <w:tcPr>
            <w:tcW w:w="406" w:type="pct"/>
            <w:tcBorders>
              <w:top w:val="single" w:sz="4" w:space="0" w:color="000000"/>
            </w:tcBorders>
          </w:tcPr>
          <w:p w14:paraId="038A43C7" w14:textId="77777777" w:rsidR="00EC0039" w:rsidRPr="00E67A32" w:rsidRDefault="00EC0039" w:rsidP="001A5D4A">
            <w:pPr>
              <w:pStyle w:val="NotesTable-CellPlain"/>
            </w:pPr>
            <w:r w:rsidRPr="00E67A32">
              <w:t>–</w:t>
            </w:r>
          </w:p>
        </w:tc>
        <w:tc>
          <w:tcPr>
            <w:tcW w:w="402" w:type="pct"/>
            <w:tcBorders>
              <w:top w:val="single" w:sz="4" w:space="0" w:color="000000"/>
            </w:tcBorders>
          </w:tcPr>
          <w:p w14:paraId="038A43C8" w14:textId="77777777" w:rsidR="00EC0039" w:rsidRPr="00E67A32" w:rsidRDefault="00EC0039" w:rsidP="001A5D4A">
            <w:pPr>
              <w:pStyle w:val="NotesTable-CellPlain"/>
            </w:pPr>
            <w:r w:rsidRPr="00E67A32">
              <w:t>–</w:t>
            </w:r>
          </w:p>
        </w:tc>
      </w:tr>
      <w:tr w:rsidR="00561A55" w:rsidRPr="00E67A32" w14:paraId="370C6085" w14:textId="77777777" w:rsidTr="003411A8">
        <w:trPr>
          <w:trHeight w:hRule="exact" w:val="227"/>
        </w:trPr>
        <w:tc>
          <w:tcPr>
            <w:tcW w:w="813" w:type="pct"/>
          </w:tcPr>
          <w:p w14:paraId="71F37817" w14:textId="77777777" w:rsidR="00561A55" w:rsidRPr="005C0D27" w:rsidRDefault="00561A55" w:rsidP="001A5D4A">
            <w:pPr>
              <w:pStyle w:val="Note-Refs"/>
            </w:pPr>
          </w:p>
        </w:tc>
        <w:tc>
          <w:tcPr>
            <w:tcW w:w="2230" w:type="pct"/>
            <w:gridSpan w:val="2"/>
            <w:vAlign w:val="bottom"/>
          </w:tcPr>
          <w:p w14:paraId="2452F9C7" w14:textId="77777777" w:rsidR="00561A55" w:rsidRPr="00E67A32" w:rsidRDefault="00561A55" w:rsidP="001A5D4A">
            <w:pPr>
              <w:pStyle w:val="NotesTable-ItemPlain"/>
            </w:pPr>
          </w:p>
        </w:tc>
        <w:tc>
          <w:tcPr>
            <w:tcW w:w="337" w:type="pct"/>
            <w:vAlign w:val="bottom"/>
          </w:tcPr>
          <w:p w14:paraId="1E44FEAB" w14:textId="77777777" w:rsidR="00561A55" w:rsidRPr="00E67A32" w:rsidRDefault="00561A55" w:rsidP="001A5D4A">
            <w:pPr>
              <w:pStyle w:val="NotesTable-Notes"/>
            </w:pPr>
          </w:p>
        </w:tc>
        <w:tc>
          <w:tcPr>
            <w:tcW w:w="406" w:type="pct"/>
          </w:tcPr>
          <w:p w14:paraId="57EAA283" w14:textId="77777777" w:rsidR="00561A55" w:rsidRPr="00D667C2" w:rsidRDefault="00561A55" w:rsidP="001A5D4A">
            <w:pPr>
              <w:pStyle w:val="NotesTable-HeadBold"/>
            </w:pPr>
          </w:p>
        </w:tc>
        <w:tc>
          <w:tcPr>
            <w:tcW w:w="406" w:type="pct"/>
          </w:tcPr>
          <w:p w14:paraId="5F6964DD" w14:textId="77777777" w:rsidR="00561A55" w:rsidRPr="00E67A32" w:rsidRDefault="00561A55" w:rsidP="001A5D4A">
            <w:pPr>
              <w:pStyle w:val="NotesTable-ItemPlain"/>
            </w:pPr>
          </w:p>
        </w:tc>
        <w:tc>
          <w:tcPr>
            <w:tcW w:w="406" w:type="pct"/>
          </w:tcPr>
          <w:p w14:paraId="694F53FD" w14:textId="77777777" w:rsidR="00561A55" w:rsidRPr="00E67A32" w:rsidRDefault="00561A55" w:rsidP="001A5D4A">
            <w:pPr>
              <w:pStyle w:val="NotesTable-ItemPlain"/>
            </w:pPr>
          </w:p>
        </w:tc>
        <w:tc>
          <w:tcPr>
            <w:tcW w:w="402" w:type="pct"/>
          </w:tcPr>
          <w:p w14:paraId="23560BB8" w14:textId="77777777" w:rsidR="00561A55" w:rsidRPr="00E67A32" w:rsidRDefault="00561A55" w:rsidP="001A5D4A">
            <w:pPr>
              <w:pStyle w:val="NotesTable-ItemPlain"/>
            </w:pPr>
          </w:p>
        </w:tc>
      </w:tr>
      <w:tr w:rsidR="00561A55" w:rsidRPr="00E67A32" w14:paraId="7CF72646" w14:textId="77777777" w:rsidTr="003411A8">
        <w:trPr>
          <w:trHeight w:hRule="exact" w:val="227"/>
        </w:trPr>
        <w:tc>
          <w:tcPr>
            <w:tcW w:w="813" w:type="pct"/>
          </w:tcPr>
          <w:p w14:paraId="7A7B659A" w14:textId="77777777" w:rsidR="00561A55" w:rsidRPr="005C0D27" w:rsidRDefault="00561A55" w:rsidP="001A5D4A">
            <w:pPr>
              <w:pStyle w:val="Note-Refs"/>
            </w:pPr>
          </w:p>
        </w:tc>
        <w:tc>
          <w:tcPr>
            <w:tcW w:w="2230" w:type="pct"/>
            <w:gridSpan w:val="2"/>
            <w:vAlign w:val="bottom"/>
          </w:tcPr>
          <w:p w14:paraId="6AF5CE49" w14:textId="46CB1272" w:rsidR="00561A55" w:rsidRPr="0074467D" w:rsidRDefault="00561A55" w:rsidP="001A5D4A">
            <w:pPr>
              <w:pStyle w:val="NotesTable-ItemBold"/>
            </w:pPr>
            <w:r w:rsidRPr="0074467D">
              <w:t>Non-financial assets</w:t>
            </w:r>
          </w:p>
        </w:tc>
        <w:tc>
          <w:tcPr>
            <w:tcW w:w="337" w:type="pct"/>
            <w:vAlign w:val="bottom"/>
          </w:tcPr>
          <w:p w14:paraId="72F7C4C5" w14:textId="77777777" w:rsidR="00561A55" w:rsidRPr="00E67A32" w:rsidRDefault="00561A55" w:rsidP="001A5D4A">
            <w:pPr>
              <w:pStyle w:val="NotesTable-Notes"/>
            </w:pPr>
          </w:p>
        </w:tc>
        <w:tc>
          <w:tcPr>
            <w:tcW w:w="406" w:type="pct"/>
          </w:tcPr>
          <w:p w14:paraId="2644BC51" w14:textId="77777777" w:rsidR="00561A55" w:rsidRPr="00D667C2" w:rsidRDefault="00561A55" w:rsidP="001A5D4A">
            <w:pPr>
              <w:pStyle w:val="NotesTable-HeadBold"/>
            </w:pPr>
          </w:p>
        </w:tc>
        <w:tc>
          <w:tcPr>
            <w:tcW w:w="406" w:type="pct"/>
          </w:tcPr>
          <w:p w14:paraId="35F947EB" w14:textId="77777777" w:rsidR="00561A55" w:rsidRPr="00E67A32" w:rsidRDefault="00561A55" w:rsidP="001A5D4A">
            <w:pPr>
              <w:pStyle w:val="NotesTable-ItemPlain"/>
            </w:pPr>
          </w:p>
        </w:tc>
        <w:tc>
          <w:tcPr>
            <w:tcW w:w="406" w:type="pct"/>
          </w:tcPr>
          <w:p w14:paraId="3748C9B4" w14:textId="77777777" w:rsidR="00561A55" w:rsidRPr="00E67A32" w:rsidRDefault="00561A55" w:rsidP="001A5D4A">
            <w:pPr>
              <w:pStyle w:val="NotesTable-ItemPlain"/>
            </w:pPr>
          </w:p>
        </w:tc>
        <w:tc>
          <w:tcPr>
            <w:tcW w:w="402" w:type="pct"/>
          </w:tcPr>
          <w:p w14:paraId="7E6ED53B" w14:textId="77777777" w:rsidR="00561A55" w:rsidRPr="00E67A32" w:rsidRDefault="00561A55" w:rsidP="001A5D4A">
            <w:pPr>
              <w:pStyle w:val="NotesTable-ItemPlain"/>
            </w:pPr>
          </w:p>
        </w:tc>
      </w:tr>
      <w:tr w:rsidR="00561A55" w:rsidRPr="00E67A32" w14:paraId="2D1D2890" w14:textId="77777777" w:rsidTr="003411A8">
        <w:trPr>
          <w:trHeight w:hRule="exact" w:val="227"/>
        </w:trPr>
        <w:tc>
          <w:tcPr>
            <w:tcW w:w="813" w:type="pct"/>
          </w:tcPr>
          <w:p w14:paraId="3526BEA0" w14:textId="77777777" w:rsidR="00561A55" w:rsidRPr="005C0D27" w:rsidRDefault="00561A55" w:rsidP="001A5D4A">
            <w:pPr>
              <w:pStyle w:val="Note-Refs"/>
            </w:pPr>
          </w:p>
        </w:tc>
        <w:tc>
          <w:tcPr>
            <w:tcW w:w="2230" w:type="pct"/>
            <w:gridSpan w:val="2"/>
            <w:vAlign w:val="bottom"/>
          </w:tcPr>
          <w:p w14:paraId="2A6BC0B7" w14:textId="778F6997" w:rsidR="00561A55" w:rsidRPr="00E67A32" w:rsidRDefault="00561A55" w:rsidP="001A5D4A">
            <w:pPr>
              <w:pStyle w:val="NotesTable-ItemPlain"/>
            </w:pPr>
            <w:r>
              <w:t>Investment properties</w:t>
            </w:r>
          </w:p>
        </w:tc>
        <w:tc>
          <w:tcPr>
            <w:tcW w:w="337" w:type="pct"/>
            <w:vAlign w:val="bottom"/>
          </w:tcPr>
          <w:p w14:paraId="02CCF5FD" w14:textId="18A046E7" w:rsidR="00561A55" w:rsidRPr="00E67A32" w:rsidRDefault="00561A55" w:rsidP="001A5D4A">
            <w:pPr>
              <w:pStyle w:val="NotesTable-Notes"/>
            </w:pPr>
            <w:r>
              <w:t>2</w:t>
            </w:r>
            <w:r w:rsidR="00C434F9">
              <w:t>5</w:t>
            </w:r>
          </w:p>
        </w:tc>
        <w:tc>
          <w:tcPr>
            <w:tcW w:w="406" w:type="pct"/>
          </w:tcPr>
          <w:p w14:paraId="0C05A5A8" w14:textId="77777777" w:rsidR="00561A55" w:rsidRPr="00D667C2" w:rsidRDefault="00561A55" w:rsidP="001A5D4A">
            <w:pPr>
              <w:pStyle w:val="NotesTable-HeadBold"/>
            </w:pPr>
          </w:p>
        </w:tc>
        <w:tc>
          <w:tcPr>
            <w:tcW w:w="406" w:type="pct"/>
          </w:tcPr>
          <w:p w14:paraId="4FB0E118" w14:textId="77777777" w:rsidR="00561A55" w:rsidRPr="00E67A32" w:rsidRDefault="00561A55" w:rsidP="001A5D4A">
            <w:pPr>
              <w:pStyle w:val="NotesTable-ItemPlain"/>
            </w:pPr>
          </w:p>
        </w:tc>
        <w:tc>
          <w:tcPr>
            <w:tcW w:w="406" w:type="pct"/>
          </w:tcPr>
          <w:p w14:paraId="4FB835FE" w14:textId="77777777" w:rsidR="00561A55" w:rsidRPr="00E67A32" w:rsidRDefault="00561A55" w:rsidP="001A5D4A">
            <w:pPr>
              <w:pStyle w:val="NotesTable-ItemPlain"/>
            </w:pPr>
          </w:p>
        </w:tc>
        <w:tc>
          <w:tcPr>
            <w:tcW w:w="402" w:type="pct"/>
          </w:tcPr>
          <w:p w14:paraId="68FC2B7C" w14:textId="77777777" w:rsidR="00561A55" w:rsidRPr="00E67A32" w:rsidRDefault="00561A55" w:rsidP="001A5D4A">
            <w:pPr>
              <w:pStyle w:val="NotesTable-ItemPlain"/>
            </w:pPr>
          </w:p>
        </w:tc>
      </w:tr>
      <w:tr w:rsidR="00561A55" w:rsidRPr="00E67A32" w14:paraId="32BB2517" w14:textId="77777777" w:rsidTr="003411A8">
        <w:trPr>
          <w:trHeight w:hRule="exact" w:val="227"/>
        </w:trPr>
        <w:tc>
          <w:tcPr>
            <w:tcW w:w="813" w:type="pct"/>
          </w:tcPr>
          <w:p w14:paraId="03229838" w14:textId="77777777" w:rsidR="00561A55" w:rsidRPr="005C0D27" w:rsidRDefault="00561A55" w:rsidP="001A5D4A">
            <w:pPr>
              <w:pStyle w:val="Note-Refs"/>
            </w:pPr>
          </w:p>
        </w:tc>
        <w:tc>
          <w:tcPr>
            <w:tcW w:w="2230" w:type="pct"/>
            <w:gridSpan w:val="2"/>
            <w:vAlign w:val="bottom"/>
          </w:tcPr>
          <w:p w14:paraId="61363DC3" w14:textId="57024AD6" w:rsidR="00561A55" w:rsidRPr="00E67A32" w:rsidRDefault="00561A55" w:rsidP="001A5D4A">
            <w:pPr>
              <w:pStyle w:val="NotesTable-ItemPlain"/>
            </w:pPr>
            <w:r>
              <w:t>[Specify]</w:t>
            </w:r>
          </w:p>
        </w:tc>
        <w:tc>
          <w:tcPr>
            <w:tcW w:w="337" w:type="pct"/>
            <w:vAlign w:val="bottom"/>
          </w:tcPr>
          <w:p w14:paraId="78EC3C21" w14:textId="77777777" w:rsidR="00561A55" w:rsidRPr="00E67A32" w:rsidRDefault="00561A55" w:rsidP="001A5D4A">
            <w:pPr>
              <w:pStyle w:val="NotesTable-Notes"/>
            </w:pPr>
          </w:p>
        </w:tc>
        <w:tc>
          <w:tcPr>
            <w:tcW w:w="406" w:type="pct"/>
          </w:tcPr>
          <w:p w14:paraId="19CBAA1D" w14:textId="0DFDC75E" w:rsidR="00561A55" w:rsidRPr="00D667C2" w:rsidRDefault="00561A55" w:rsidP="001A5D4A">
            <w:pPr>
              <w:pStyle w:val="NotesTable-CellPlain"/>
            </w:pPr>
            <w:r w:rsidRPr="00F61D7B">
              <w:t>–</w:t>
            </w:r>
          </w:p>
        </w:tc>
        <w:tc>
          <w:tcPr>
            <w:tcW w:w="406" w:type="pct"/>
          </w:tcPr>
          <w:p w14:paraId="3549D235" w14:textId="5BD60989" w:rsidR="00561A55" w:rsidRPr="00E67A32" w:rsidRDefault="00561A55" w:rsidP="001A5D4A">
            <w:pPr>
              <w:pStyle w:val="NotesTable-CellPlain"/>
            </w:pPr>
            <w:r w:rsidRPr="00F61D7B">
              <w:t>–</w:t>
            </w:r>
          </w:p>
        </w:tc>
        <w:tc>
          <w:tcPr>
            <w:tcW w:w="406" w:type="pct"/>
          </w:tcPr>
          <w:p w14:paraId="6C121384" w14:textId="3D38A2F0" w:rsidR="00561A55" w:rsidRPr="00E67A32" w:rsidRDefault="00561A55" w:rsidP="001A5D4A">
            <w:pPr>
              <w:pStyle w:val="NotesTable-CellPlain"/>
            </w:pPr>
            <w:r w:rsidRPr="00F61D7B">
              <w:t>–</w:t>
            </w:r>
          </w:p>
        </w:tc>
        <w:tc>
          <w:tcPr>
            <w:tcW w:w="402" w:type="pct"/>
          </w:tcPr>
          <w:p w14:paraId="0C83AE1C" w14:textId="40CFA6AE" w:rsidR="00561A55" w:rsidRPr="00E67A32" w:rsidRDefault="00561A55" w:rsidP="001A5D4A">
            <w:pPr>
              <w:pStyle w:val="NotesTable-CellPlain"/>
            </w:pPr>
            <w:r w:rsidRPr="00F61D7B">
              <w:t>–</w:t>
            </w:r>
          </w:p>
        </w:tc>
      </w:tr>
      <w:tr w:rsidR="00561A55" w:rsidRPr="00E67A32" w14:paraId="605D145A" w14:textId="77777777" w:rsidTr="003411A8">
        <w:trPr>
          <w:trHeight w:hRule="exact" w:val="227"/>
        </w:trPr>
        <w:tc>
          <w:tcPr>
            <w:tcW w:w="813" w:type="pct"/>
          </w:tcPr>
          <w:p w14:paraId="697A5259" w14:textId="77777777" w:rsidR="00561A55" w:rsidRPr="005C0D27" w:rsidRDefault="00561A55" w:rsidP="001A5D4A">
            <w:pPr>
              <w:pStyle w:val="Note-Refs"/>
            </w:pPr>
          </w:p>
        </w:tc>
        <w:tc>
          <w:tcPr>
            <w:tcW w:w="2230" w:type="pct"/>
            <w:gridSpan w:val="2"/>
            <w:vAlign w:val="bottom"/>
          </w:tcPr>
          <w:p w14:paraId="14B608A3" w14:textId="793A44B6" w:rsidR="00561A55" w:rsidRPr="00E67A32" w:rsidRDefault="00561A55" w:rsidP="001A5D4A">
            <w:pPr>
              <w:pStyle w:val="NotesTable-ItemPlain"/>
            </w:pPr>
            <w:r>
              <w:t>Land and buildings</w:t>
            </w:r>
          </w:p>
        </w:tc>
        <w:tc>
          <w:tcPr>
            <w:tcW w:w="337" w:type="pct"/>
            <w:vAlign w:val="bottom"/>
          </w:tcPr>
          <w:p w14:paraId="267602B3" w14:textId="57CCDB6A" w:rsidR="00561A55" w:rsidRPr="00E67A32" w:rsidRDefault="00561A55" w:rsidP="001A5D4A">
            <w:pPr>
              <w:pStyle w:val="NotesTable-Notes"/>
            </w:pPr>
            <w:r>
              <w:t>2</w:t>
            </w:r>
            <w:r w:rsidR="00C434F9">
              <w:t>6</w:t>
            </w:r>
          </w:p>
        </w:tc>
        <w:tc>
          <w:tcPr>
            <w:tcW w:w="406" w:type="pct"/>
          </w:tcPr>
          <w:p w14:paraId="18524A52" w14:textId="77777777" w:rsidR="00561A55" w:rsidRPr="00D667C2" w:rsidRDefault="00561A55" w:rsidP="001A5D4A">
            <w:pPr>
              <w:pStyle w:val="NotesTable-CellBold"/>
            </w:pPr>
          </w:p>
        </w:tc>
        <w:tc>
          <w:tcPr>
            <w:tcW w:w="406" w:type="pct"/>
          </w:tcPr>
          <w:p w14:paraId="27F9F598" w14:textId="77777777" w:rsidR="00561A55" w:rsidRPr="00E67A32" w:rsidRDefault="00561A55" w:rsidP="001A5D4A">
            <w:pPr>
              <w:pStyle w:val="NotesTable-ItemPlain"/>
            </w:pPr>
          </w:p>
        </w:tc>
        <w:tc>
          <w:tcPr>
            <w:tcW w:w="406" w:type="pct"/>
          </w:tcPr>
          <w:p w14:paraId="3B4F9ED6" w14:textId="77777777" w:rsidR="00561A55" w:rsidRPr="00E67A32" w:rsidRDefault="00561A55" w:rsidP="001A5D4A">
            <w:pPr>
              <w:pStyle w:val="NotesTable-ItemPlain"/>
            </w:pPr>
          </w:p>
        </w:tc>
        <w:tc>
          <w:tcPr>
            <w:tcW w:w="402" w:type="pct"/>
          </w:tcPr>
          <w:p w14:paraId="788D50AE" w14:textId="77777777" w:rsidR="00561A55" w:rsidRPr="00E67A32" w:rsidRDefault="00561A55" w:rsidP="001A5D4A">
            <w:pPr>
              <w:pStyle w:val="NotesTable-ItemPlain"/>
            </w:pPr>
          </w:p>
        </w:tc>
      </w:tr>
      <w:tr w:rsidR="00561A55" w:rsidRPr="00E67A32" w14:paraId="73AFE22B" w14:textId="77777777" w:rsidTr="003411A8">
        <w:trPr>
          <w:trHeight w:hRule="exact" w:val="227"/>
        </w:trPr>
        <w:tc>
          <w:tcPr>
            <w:tcW w:w="813" w:type="pct"/>
          </w:tcPr>
          <w:p w14:paraId="23690CCD" w14:textId="77777777" w:rsidR="00561A55" w:rsidRPr="005C0D27" w:rsidRDefault="00561A55" w:rsidP="001A5D4A">
            <w:pPr>
              <w:pStyle w:val="Note-Refs"/>
            </w:pPr>
          </w:p>
        </w:tc>
        <w:tc>
          <w:tcPr>
            <w:tcW w:w="2230" w:type="pct"/>
            <w:gridSpan w:val="2"/>
            <w:vAlign w:val="bottom"/>
          </w:tcPr>
          <w:p w14:paraId="101CE3C0" w14:textId="6353DF0D" w:rsidR="00561A55" w:rsidRPr="00E67A32" w:rsidRDefault="00561A55" w:rsidP="001A5D4A">
            <w:pPr>
              <w:pStyle w:val="NotesTable-ItemPlain"/>
            </w:pPr>
            <w:r w:rsidRPr="00F61D7B">
              <w:t>[Specify]</w:t>
            </w:r>
          </w:p>
        </w:tc>
        <w:tc>
          <w:tcPr>
            <w:tcW w:w="337" w:type="pct"/>
            <w:vAlign w:val="bottom"/>
          </w:tcPr>
          <w:p w14:paraId="3F59F6F8" w14:textId="77777777" w:rsidR="00561A55" w:rsidRPr="00E67A32" w:rsidRDefault="00561A55" w:rsidP="001A5D4A">
            <w:pPr>
              <w:pStyle w:val="NotesTable-Notes"/>
            </w:pPr>
          </w:p>
        </w:tc>
        <w:tc>
          <w:tcPr>
            <w:tcW w:w="406" w:type="pct"/>
          </w:tcPr>
          <w:p w14:paraId="7964671A" w14:textId="23A0D4E2" w:rsidR="00561A55" w:rsidRPr="00D667C2" w:rsidRDefault="00561A55" w:rsidP="001A5D4A">
            <w:pPr>
              <w:pStyle w:val="NotesTable-CellPlain"/>
            </w:pPr>
            <w:r w:rsidRPr="00F61D7B">
              <w:t>–</w:t>
            </w:r>
          </w:p>
        </w:tc>
        <w:tc>
          <w:tcPr>
            <w:tcW w:w="406" w:type="pct"/>
          </w:tcPr>
          <w:p w14:paraId="1BD43693" w14:textId="6C13AFCD" w:rsidR="00561A55" w:rsidRPr="00E67A32" w:rsidRDefault="00561A55" w:rsidP="001A5D4A">
            <w:pPr>
              <w:pStyle w:val="NotesTable-CellPlain"/>
            </w:pPr>
            <w:r w:rsidRPr="00F61D7B">
              <w:t>–</w:t>
            </w:r>
          </w:p>
        </w:tc>
        <w:tc>
          <w:tcPr>
            <w:tcW w:w="406" w:type="pct"/>
          </w:tcPr>
          <w:p w14:paraId="373E6F0F" w14:textId="4A4C332C" w:rsidR="00561A55" w:rsidRPr="00E67A32" w:rsidRDefault="00561A55" w:rsidP="001A5D4A">
            <w:pPr>
              <w:pStyle w:val="NotesTable-CellPlain"/>
            </w:pPr>
            <w:r w:rsidRPr="00F61D7B">
              <w:t>–</w:t>
            </w:r>
          </w:p>
        </w:tc>
        <w:tc>
          <w:tcPr>
            <w:tcW w:w="402" w:type="pct"/>
          </w:tcPr>
          <w:p w14:paraId="71375B21" w14:textId="685407CF" w:rsidR="00561A55" w:rsidRPr="00E67A32" w:rsidRDefault="00561A55" w:rsidP="001A5D4A">
            <w:pPr>
              <w:pStyle w:val="NotesTable-CellPlain"/>
            </w:pPr>
            <w:r w:rsidRPr="00F61D7B">
              <w:t>–</w:t>
            </w:r>
          </w:p>
        </w:tc>
      </w:tr>
      <w:tr w:rsidR="005D298F" w:rsidRPr="00E67A32" w14:paraId="30A7DFAC" w14:textId="77777777" w:rsidTr="003411A8">
        <w:trPr>
          <w:trHeight w:hRule="exact" w:val="227"/>
        </w:trPr>
        <w:tc>
          <w:tcPr>
            <w:tcW w:w="813" w:type="pct"/>
          </w:tcPr>
          <w:p w14:paraId="5F4D7DCE" w14:textId="77777777" w:rsidR="005D298F" w:rsidRPr="005C0D27" w:rsidRDefault="005D298F" w:rsidP="001A5D4A">
            <w:pPr>
              <w:pStyle w:val="Note-Refs"/>
            </w:pPr>
          </w:p>
        </w:tc>
        <w:tc>
          <w:tcPr>
            <w:tcW w:w="2230" w:type="pct"/>
            <w:gridSpan w:val="2"/>
            <w:vAlign w:val="bottom"/>
          </w:tcPr>
          <w:p w14:paraId="3AE0207A" w14:textId="57D88F53" w:rsidR="005D298F" w:rsidRPr="00F61D7B" w:rsidRDefault="005D298F" w:rsidP="001A5D4A">
            <w:pPr>
              <w:pStyle w:val="NotesTable-ItemPlain"/>
            </w:pPr>
            <w:r>
              <w:t>Non-current assets (or disposal groups) held for sale</w:t>
            </w:r>
          </w:p>
        </w:tc>
        <w:tc>
          <w:tcPr>
            <w:tcW w:w="337" w:type="pct"/>
            <w:vAlign w:val="bottom"/>
          </w:tcPr>
          <w:p w14:paraId="434ABD97" w14:textId="49508721" w:rsidR="005D298F" w:rsidRPr="00E67A32" w:rsidRDefault="005D298F" w:rsidP="001A5D4A">
            <w:pPr>
              <w:pStyle w:val="NotesTable-Notes"/>
            </w:pPr>
            <w:r>
              <w:t>22</w:t>
            </w:r>
          </w:p>
        </w:tc>
        <w:tc>
          <w:tcPr>
            <w:tcW w:w="406" w:type="pct"/>
            <w:tcBorders>
              <w:bottom w:val="single" w:sz="4" w:space="0" w:color="auto"/>
            </w:tcBorders>
          </w:tcPr>
          <w:p w14:paraId="25581875" w14:textId="315CDEB2" w:rsidR="005D298F" w:rsidRPr="00F61D7B" w:rsidRDefault="005D298F" w:rsidP="001A5D4A">
            <w:pPr>
              <w:pStyle w:val="NotesTable-CellPlain"/>
            </w:pPr>
            <w:r w:rsidRPr="00D667C2">
              <w:t>–</w:t>
            </w:r>
          </w:p>
        </w:tc>
        <w:tc>
          <w:tcPr>
            <w:tcW w:w="406" w:type="pct"/>
            <w:tcBorders>
              <w:bottom w:val="single" w:sz="4" w:space="0" w:color="auto"/>
            </w:tcBorders>
          </w:tcPr>
          <w:p w14:paraId="3FAF08BC" w14:textId="52D8271C" w:rsidR="005D298F" w:rsidRPr="00F61D7B" w:rsidRDefault="005D298F" w:rsidP="001A5D4A">
            <w:pPr>
              <w:pStyle w:val="NotesTable-CellPlain"/>
            </w:pPr>
            <w:r w:rsidRPr="00E67A32">
              <w:t>–</w:t>
            </w:r>
          </w:p>
        </w:tc>
        <w:tc>
          <w:tcPr>
            <w:tcW w:w="406" w:type="pct"/>
            <w:tcBorders>
              <w:bottom w:val="single" w:sz="4" w:space="0" w:color="auto"/>
            </w:tcBorders>
          </w:tcPr>
          <w:p w14:paraId="38EEF208" w14:textId="49612BD9" w:rsidR="005D298F" w:rsidRPr="00F61D7B" w:rsidRDefault="005D298F" w:rsidP="001A5D4A">
            <w:pPr>
              <w:pStyle w:val="NotesTable-CellPlain"/>
            </w:pPr>
            <w:r w:rsidRPr="00E67A32">
              <w:t>–</w:t>
            </w:r>
          </w:p>
        </w:tc>
        <w:tc>
          <w:tcPr>
            <w:tcW w:w="402" w:type="pct"/>
            <w:tcBorders>
              <w:bottom w:val="single" w:sz="4" w:space="0" w:color="auto"/>
            </w:tcBorders>
          </w:tcPr>
          <w:p w14:paraId="41C7FFA9" w14:textId="2FDBF308" w:rsidR="005D298F" w:rsidRPr="00F61D7B" w:rsidRDefault="005D298F" w:rsidP="001A5D4A">
            <w:pPr>
              <w:pStyle w:val="NotesTable-CellPlain"/>
            </w:pPr>
            <w:r w:rsidRPr="00E67A32">
              <w:t>–</w:t>
            </w:r>
          </w:p>
        </w:tc>
      </w:tr>
      <w:tr w:rsidR="00561A55" w:rsidRPr="00E67A32" w14:paraId="76228233" w14:textId="77777777" w:rsidTr="003411A8">
        <w:trPr>
          <w:trHeight w:hRule="exact" w:val="227"/>
        </w:trPr>
        <w:tc>
          <w:tcPr>
            <w:tcW w:w="813" w:type="pct"/>
          </w:tcPr>
          <w:p w14:paraId="5B4442FB" w14:textId="77777777" w:rsidR="00561A55" w:rsidRPr="005C0D27" w:rsidRDefault="00561A55" w:rsidP="001A5D4A">
            <w:pPr>
              <w:pStyle w:val="Note-Refs"/>
            </w:pPr>
          </w:p>
        </w:tc>
        <w:tc>
          <w:tcPr>
            <w:tcW w:w="2230" w:type="pct"/>
            <w:gridSpan w:val="2"/>
            <w:vAlign w:val="bottom"/>
          </w:tcPr>
          <w:p w14:paraId="64CA78F7" w14:textId="7ABC6E75" w:rsidR="00561A55" w:rsidRPr="00E67A32" w:rsidRDefault="00561A55" w:rsidP="001A5D4A">
            <w:pPr>
              <w:pStyle w:val="NotesTable-ItemPlain"/>
            </w:pPr>
            <w:r w:rsidRPr="00F61D7B">
              <w:t>[Specify]</w:t>
            </w:r>
          </w:p>
        </w:tc>
        <w:tc>
          <w:tcPr>
            <w:tcW w:w="337" w:type="pct"/>
            <w:vAlign w:val="bottom"/>
          </w:tcPr>
          <w:p w14:paraId="468F7725" w14:textId="77777777" w:rsidR="00561A55" w:rsidRPr="00E67A32" w:rsidRDefault="00561A55" w:rsidP="001A5D4A">
            <w:pPr>
              <w:pStyle w:val="NotesTable-Notes"/>
            </w:pPr>
          </w:p>
        </w:tc>
        <w:tc>
          <w:tcPr>
            <w:tcW w:w="406" w:type="pct"/>
            <w:tcBorders>
              <w:bottom w:val="single" w:sz="4" w:space="0" w:color="auto"/>
            </w:tcBorders>
          </w:tcPr>
          <w:p w14:paraId="08DA9100" w14:textId="29E66BAD" w:rsidR="00561A55" w:rsidRPr="00D667C2" w:rsidRDefault="00561A55" w:rsidP="001A5D4A">
            <w:pPr>
              <w:pStyle w:val="NotesTable-CellPlain"/>
            </w:pPr>
            <w:r w:rsidRPr="00F61D7B">
              <w:t>–</w:t>
            </w:r>
          </w:p>
        </w:tc>
        <w:tc>
          <w:tcPr>
            <w:tcW w:w="406" w:type="pct"/>
            <w:tcBorders>
              <w:bottom w:val="single" w:sz="4" w:space="0" w:color="auto"/>
            </w:tcBorders>
          </w:tcPr>
          <w:p w14:paraId="43F95636" w14:textId="07BD985A" w:rsidR="00561A55" w:rsidRPr="00E67A32" w:rsidRDefault="00561A55" w:rsidP="001A5D4A">
            <w:pPr>
              <w:pStyle w:val="NotesTable-CellPlain"/>
            </w:pPr>
            <w:r w:rsidRPr="00F61D7B">
              <w:t>–</w:t>
            </w:r>
          </w:p>
        </w:tc>
        <w:tc>
          <w:tcPr>
            <w:tcW w:w="406" w:type="pct"/>
            <w:tcBorders>
              <w:bottom w:val="single" w:sz="4" w:space="0" w:color="auto"/>
            </w:tcBorders>
          </w:tcPr>
          <w:p w14:paraId="4F6D2BB6" w14:textId="0F8A79A2" w:rsidR="00561A55" w:rsidRPr="00E67A32" w:rsidRDefault="00561A55" w:rsidP="001A5D4A">
            <w:pPr>
              <w:pStyle w:val="NotesTable-CellPlain"/>
            </w:pPr>
            <w:r w:rsidRPr="00F61D7B">
              <w:t>–</w:t>
            </w:r>
          </w:p>
        </w:tc>
        <w:tc>
          <w:tcPr>
            <w:tcW w:w="402" w:type="pct"/>
            <w:tcBorders>
              <w:bottom w:val="single" w:sz="4" w:space="0" w:color="auto"/>
            </w:tcBorders>
          </w:tcPr>
          <w:p w14:paraId="2A32B3A5" w14:textId="4E68F386" w:rsidR="00561A55" w:rsidRPr="00E67A32" w:rsidRDefault="00561A55" w:rsidP="001A5D4A">
            <w:pPr>
              <w:pStyle w:val="NotesTable-CellPlain"/>
            </w:pPr>
            <w:r w:rsidRPr="00F61D7B">
              <w:t>–</w:t>
            </w:r>
          </w:p>
        </w:tc>
      </w:tr>
      <w:tr w:rsidR="00561A55" w:rsidRPr="00E67A32" w14:paraId="1350F5B4" w14:textId="77777777" w:rsidTr="003411A8">
        <w:trPr>
          <w:trHeight w:hRule="exact" w:val="227"/>
        </w:trPr>
        <w:tc>
          <w:tcPr>
            <w:tcW w:w="813" w:type="pct"/>
          </w:tcPr>
          <w:p w14:paraId="3CE86E85" w14:textId="77777777" w:rsidR="00561A55" w:rsidRPr="005C0D27" w:rsidRDefault="00561A55" w:rsidP="001A5D4A">
            <w:pPr>
              <w:pStyle w:val="Note-Refs"/>
            </w:pPr>
          </w:p>
        </w:tc>
        <w:tc>
          <w:tcPr>
            <w:tcW w:w="2230" w:type="pct"/>
            <w:gridSpan w:val="2"/>
            <w:vAlign w:val="bottom"/>
          </w:tcPr>
          <w:p w14:paraId="3BE4AC79" w14:textId="2B5333F2" w:rsidR="00561A55" w:rsidRPr="00E67A32" w:rsidRDefault="00561A55" w:rsidP="001A5D4A">
            <w:pPr>
              <w:pStyle w:val="NotesTable-ItemPlain"/>
            </w:pPr>
            <w:r w:rsidRPr="00F61D7B">
              <w:t>Total</w:t>
            </w:r>
            <w:r>
              <w:t xml:space="preserve"> non-financial assets</w:t>
            </w:r>
          </w:p>
        </w:tc>
        <w:tc>
          <w:tcPr>
            <w:tcW w:w="337" w:type="pct"/>
            <w:vAlign w:val="bottom"/>
          </w:tcPr>
          <w:p w14:paraId="4EB974B9" w14:textId="77777777" w:rsidR="00561A55" w:rsidRPr="00E67A32" w:rsidRDefault="00561A55" w:rsidP="001A5D4A">
            <w:pPr>
              <w:pStyle w:val="NotesTable-Notes"/>
            </w:pPr>
          </w:p>
        </w:tc>
        <w:tc>
          <w:tcPr>
            <w:tcW w:w="406" w:type="pct"/>
            <w:tcBorders>
              <w:top w:val="single" w:sz="4" w:space="0" w:color="auto"/>
            </w:tcBorders>
          </w:tcPr>
          <w:p w14:paraId="3BBFC416" w14:textId="31FCA3B5" w:rsidR="00561A55" w:rsidRPr="00D667C2" w:rsidRDefault="00561A55" w:rsidP="001A5D4A">
            <w:pPr>
              <w:pStyle w:val="NotesTable-CellPlain"/>
            </w:pPr>
            <w:r w:rsidRPr="00F61D7B">
              <w:t>–</w:t>
            </w:r>
          </w:p>
        </w:tc>
        <w:tc>
          <w:tcPr>
            <w:tcW w:w="406" w:type="pct"/>
            <w:tcBorders>
              <w:top w:val="single" w:sz="4" w:space="0" w:color="auto"/>
            </w:tcBorders>
          </w:tcPr>
          <w:p w14:paraId="46D24287" w14:textId="44211399" w:rsidR="00561A55" w:rsidRPr="00E67A32" w:rsidRDefault="00561A55" w:rsidP="001A5D4A">
            <w:pPr>
              <w:pStyle w:val="NotesTable-CellPlain"/>
            </w:pPr>
            <w:r w:rsidRPr="00F61D7B">
              <w:t>–</w:t>
            </w:r>
          </w:p>
        </w:tc>
        <w:tc>
          <w:tcPr>
            <w:tcW w:w="406" w:type="pct"/>
            <w:tcBorders>
              <w:top w:val="single" w:sz="4" w:space="0" w:color="auto"/>
            </w:tcBorders>
          </w:tcPr>
          <w:p w14:paraId="0B4F1A46" w14:textId="43F99AF1" w:rsidR="00561A55" w:rsidRPr="00E67A32" w:rsidRDefault="00561A55" w:rsidP="001A5D4A">
            <w:pPr>
              <w:pStyle w:val="NotesTable-CellPlain"/>
            </w:pPr>
            <w:r w:rsidRPr="00F61D7B">
              <w:t>–</w:t>
            </w:r>
          </w:p>
        </w:tc>
        <w:tc>
          <w:tcPr>
            <w:tcW w:w="402" w:type="pct"/>
            <w:tcBorders>
              <w:top w:val="single" w:sz="4" w:space="0" w:color="auto"/>
            </w:tcBorders>
          </w:tcPr>
          <w:p w14:paraId="74AFB21D" w14:textId="59B9D888" w:rsidR="00561A55" w:rsidRPr="00E67A32" w:rsidRDefault="00561A55" w:rsidP="001A5D4A">
            <w:pPr>
              <w:pStyle w:val="NotesTable-CellPlain"/>
            </w:pPr>
            <w:r w:rsidRPr="00F61D7B">
              <w:t>–</w:t>
            </w:r>
          </w:p>
        </w:tc>
      </w:tr>
      <w:tr w:rsidR="00EC0039" w:rsidRPr="00F61D7B" w14:paraId="038A43CC" w14:textId="77777777" w:rsidTr="003411A8">
        <w:trPr>
          <w:trHeight w:hRule="exact" w:val="85"/>
        </w:trPr>
        <w:tc>
          <w:tcPr>
            <w:tcW w:w="813" w:type="pct"/>
          </w:tcPr>
          <w:p w14:paraId="038A43CA" w14:textId="7C7E6CED" w:rsidR="00EC0039" w:rsidRPr="005C0D27" w:rsidRDefault="00EC0039" w:rsidP="001A5D4A">
            <w:pPr>
              <w:pStyle w:val="NotesTable-ItemPlain"/>
            </w:pPr>
          </w:p>
        </w:tc>
        <w:tc>
          <w:tcPr>
            <w:tcW w:w="4187" w:type="pct"/>
            <w:gridSpan w:val="7"/>
            <w:vAlign w:val="bottom"/>
          </w:tcPr>
          <w:p w14:paraId="038A43CB" w14:textId="77777777" w:rsidR="00EC0039" w:rsidRPr="00F61D7B" w:rsidRDefault="00EC0039" w:rsidP="001A5D4A">
            <w:pPr>
              <w:pStyle w:val="NotesTable-ItemPlain"/>
            </w:pPr>
          </w:p>
        </w:tc>
      </w:tr>
      <w:tr w:rsidR="00EC0039" w:rsidRPr="00F61D7B" w14:paraId="038A43D4" w14:textId="77777777" w:rsidTr="003411A8">
        <w:trPr>
          <w:trHeight w:hRule="exact" w:val="227"/>
        </w:trPr>
        <w:tc>
          <w:tcPr>
            <w:tcW w:w="813" w:type="pct"/>
          </w:tcPr>
          <w:p w14:paraId="038A43CD" w14:textId="77777777" w:rsidR="00EC0039" w:rsidRPr="005C0D27" w:rsidRDefault="00EC0039" w:rsidP="001A5D4A">
            <w:pPr>
              <w:pStyle w:val="Note-Refs"/>
            </w:pPr>
          </w:p>
        </w:tc>
        <w:tc>
          <w:tcPr>
            <w:tcW w:w="2230" w:type="pct"/>
            <w:gridSpan w:val="2"/>
            <w:vAlign w:val="bottom"/>
          </w:tcPr>
          <w:p w14:paraId="038A43CE" w14:textId="77777777" w:rsidR="00EC0039" w:rsidRPr="00F61D7B" w:rsidRDefault="00EC0039" w:rsidP="001A5D4A">
            <w:pPr>
              <w:pStyle w:val="NotesTable-ItemBold"/>
            </w:pPr>
            <w:r w:rsidRPr="00F61D7B">
              <w:t>Financial liabilities</w:t>
            </w:r>
          </w:p>
        </w:tc>
        <w:tc>
          <w:tcPr>
            <w:tcW w:w="337" w:type="pct"/>
            <w:vAlign w:val="bottom"/>
          </w:tcPr>
          <w:p w14:paraId="038A43CF" w14:textId="77777777" w:rsidR="00EC0039" w:rsidRPr="00F61D7B" w:rsidRDefault="00EC0039" w:rsidP="001A5D4A">
            <w:pPr>
              <w:pStyle w:val="NotesTable-Notes"/>
            </w:pPr>
          </w:p>
        </w:tc>
        <w:tc>
          <w:tcPr>
            <w:tcW w:w="406" w:type="pct"/>
          </w:tcPr>
          <w:p w14:paraId="038A43D0" w14:textId="77777777" w:rsidR="00EC0039" w:rsidRPr="00F61D7B" w:rsidRDefault="00EC0039" w:rsidP="001A5D4A">
            <w:pPr>
              <w:pStyle w:val="NotesTable-CellPlain"/>
            </w:pPr>
          </w:p>
        </w:tc>
        <w:tc>
          <w:tcPr>
            <w:tcW w:w="406" w:type="pct"/>
          </w:tcPr>
          <w:p w14:paraId="038A43D1" w14:textId="77777777" w:rsidR="00EC0039" w:rsidRPr="00F61D7B" w:rsidRDefault="00EC0039" w:rsidP="001A5D4A">
            <w:pPr>
              <w:pStyle w:val="NotesTable-CellPlain"/>
            </w:pPr>
          </w:p>
        </w:tc>
        <w:tc>
          <w:tcPr>
            <w:tcW w:w="406" w:type="pct"/>
          </w:tcPr>
          <w:p w14:paraId="038A43D2" w14:textId="77777777" w:rsidR="00EC0039" w:rsidRPr="00F61D7B" w:rsidRDefault="00EC0039" w:rsidP="001A5D4A">
            <w:pPr>
              <w:pStyle w:val="NotesTable-CellPlain"/>
            </w:pPr>
          </w:p>
        </w:tc>
        <w:tc>
          <w:tcPr>
            <w:tcW w:w="402" w:type="pct"/>
          </w:tcPr>
          <w:p w14:paraId="038A43D3" w14:textId="77777777" w:rsidR="00EC0039" w:rsidRPr="00F61D7B" w:rsidRDefault="00EC0039" w:rsidP="001A5D4A">
            <w:pPr>
              <w:pStyle w:val="NotesTable-CellPlain"/>
            </w:pPr>
          </w:p>
        </w:tc>
      </w:tr>
      <w:tr w:rsidR="00EC0039" w:rsidRPr="00F61D7B" w14:paraId="038A43DC" w14:textId="77777777" w:rsidTr="003411A8">
        <w:trPr>
          <w:trHeight w:hRule="exact" w:val="227"/>
        </w:trPr>
        <w:tc>
          <w:tcPr>
            <w:tcW w:w="813" w:type="pct"/>
          </w:tcPr>
          <w:p w14:paraId="038A43D5" w14:textId="77777777" w:rsidR="00EC0039" w:rsidRPr="005C0D27" w:rsidRDefault="00EC0039" w:rsidP="001A5D4A">
            <w:pPr>
              <w:pStyle w:val="Note-Refs"/>
            </w:pPr>
          </w:p>
        </w:tc>
        <w:tc>
          <w:tcPr>
            <w:tcW w:w="2230" w:type="pct"/>
            <w:gridSpan w:val="2"/>
            <w:vAlign w:val="bottom"/>
          </w:tcPr>
          <w:p w14:paraId="038A43D6" w14:textId="77777777" w:rsidR="00EC0039" w:rsidRPr="00F61D7B" w:rsidRDefault="00EC0039" w:rsidP="001A5D4A">
            <w:pPr>
              <w:pStyle w:val="NotesTable-ItemPlain"/>
              <w:rPr>
                <w:b/>
              </w:rPr>
            </w:pPr>
            <w:r>
              <w:t>Derivatives used for hedging</w:t>
            </w:r>
          </w:p>
        </w:tc>
        <w:tc>
          <w:tcPr>
            <w:tcW w:w="337" w:type="pct"/>
            <w:vAlign w:val="bottom"/>
          </w:tcPr>
          <w:p w14:paraId="038A43D7" w14:textId="77777777" w:rsidR="00EC0039" w:rsidRPr="00F61D7B" w:rsidRDefault="00EC0039" w:rsidP="001A5D4A">
            <w:pPr>
              <w:pStyle w:val="NotesTable-Notes"/>
            </w:pPr>
          </w:p>
        </w:tc>
        <w:tc>
          <w:tcPr>
            <w:tcW w:w="406" w:type="pct"/>
          </w:tcPr>
          <w:p w14:paraId="038A43D8" w14:textId="77777777" w:rsidR="00EC0039" w:rsidRPr="00BB535A" w:rsidRDefault="00EC0039" w:rsidP="001A5D4A">
            <w:pPr>
              <w:pStyle w:val="NotesTable-CellPlain"/>
            </w:pPr>
            <w:r w:rsidRPr="00BB535A">
              <w:t>–</w:t>
            </w:r>
          </w:p>
        </w:tc>
        <w:tc>
          <w:tcPr>
            <w:tcW w:w="406" w:type="pct"/>
          </w:tcPr>
          <w:p w14:paraId="038A43D9" w14:textId="77777777" w:rsidR="00EC0039" w:rsidRPr="00BB535A" w:rsidRDefault="00EC0039" w:rsidP="001A5D4A">
            <w:pPr>
              <w:pStyle w:val="NotesTable-CellPlain"/>
            </w:pPr>
            <w:r w:rsidRPr="00BB535A">
              <w:t>–</w:t>
            </w:r>
          </w:p>
        </w:tc>
        <w:tc>
          <w:tcPr>
            <w:tcW w:w="406" w:type="pct"/>
          </w:tcPr>
          <w:p w14:paraId="038A43DA" w14:textId="77777777" w:rsidR="00EC0039" w:rsidRPr="00BB535A" w:rsidRDefault="00EC0039" w:rsidP="001A5D4A">
            <w:pPr>
              <w:pStyle w:val="NotesTable-CellPlain"/>
            </w:pPr>
            <w:r w:rsidRPr="00BB535A">
              <w:t>–</w:t>
            </w:r>
          </w:p>
        </w:tc>
        <w:tc>
          <w:tcPr>
            <w:tcW w:w="402" w:type="pct"/>
          </w:tcPr>
          <w:p w14:paraId="038A43DB" w14:textId="77777777" w:rsidR="00EC0039" w:rsidRPr="00BB535A" w:rsidRDefault="00EC0039" w:rsidP="001A5D4A">
            <w:pPr>
              <w:pStyle w:val="NotesTable-CellPlain"/>
            </w:pPr>
            <w:r w:rsidRPr="00BB535A">
              <w:t>–</w:t>
            </w:r>
          </w:p>
        </w:tc>
      </w:tr>
      <w:tr w:rsidR="00EC0039" w:rsidRPr="00F61D7B" w14:paraId="038A43E4" w14:textId="77777777" w:rsidTr="003411A8">
        <w:trPr>
          <w:trHeight w:hRule="exact" w:val="227"/>
        </w:trPr>
        <w:tc>
          <w:tcPr>
            <w:tcW w:w="813" w:type="pct"/>
          </w:tcPr>
          <w:p w14:paraId="038A43DD" w14:textId="77777777" w:rsidR="00EC0039" w:rsidRPr="005C0D27" w:rsidRDefault="00EC0039" w:rsidP="001A5D4A">
            <w:pPr>
              <w:pStyle w:val="Note-Refs"/>
            </w:pPr>
          </w:p>
        </w:tc>
        <w:tc>
          <w:tcPr>
            <w:tcW w:w="2230" w:type="pct"/>
            <w:gridSpan w:val="2"/>
            <w:vAlign w:val="bottom"/>
          </w:tcPr>
          <w:p w14:paraId="038A43DE" w14:textId="77777777" w:rsidR="00EC0039" w:rsidRDefault="00EC0039" w:rsidP="001A5D4A">
            <w:pPr>
              <w:pStyle w:val="NotesTable-ItemPlain"/>
            </w:pPr>
            <w:r>
              <w:t>[Specify]</w:t>
            </w:r>
          </w:p>
        </w:tc>
        <w:tc>
          <w:tcPr>
            <w:tcW w:w="337" w:type="pct"/>
            <w:vAlign w:val="bottom"/>
          </w:tcPr>
          <w:p w14:paraId="038A43DF" w14:textId="77777777" w:rsidR="00EC0039" w:rsidRDefault="00EC0039" w:rsidP="001A5D4A">
            <w:pPr>
              <w:pStyle w:val="NotesTable-Notes"/>
            </w:pPr>
          </w:p>
        </w:tc>
        <w:tc>
          <w:tcPr>
            <w:tcW w:w="406" w:type="pct"/>
            <w:tcBorders>
              <w:bottom w:val="single" w:sz="4" w:space="0" w:color="000000"/>
            </w:tcBorders>
          </w:tcPr>
          <w:p w14:paraId="038A43E0" w14:textId="77777777" w:rsidR="00EC0039" w:rsidRPr="00BB535A" w:rsidRDefault="00EC0039" w:rsidP="001A5D4A">
            <w:pPr>
              <w:pStyle w:val="NotesTable-CellPlain"/>
            </w:pPr>
            <w:r w:rsidRPr="00BB535A">
              <w:t>–</w:t>
            </w:r>
          </w:p>
        </w:tc>
        <w:tc>
          <w:tcPr>
            <w:tcW w:w="406" w:type="pct"/>
            <w:tcBorders>
              <w:bottom w:val="single" w:sz="4" w:space="0" w:color="000000"/>
            </w:tcBorders>
          </w:tcPr>
          <w:p w14:paraId="038A43E1" w14:textId="77777777" w:rsidR="00EC0039" w:rsidRPr="00BB535A" w:rsidRDefault="00EC0039" w:rsidP="001A5D4A">
            <w:pPr>
              <w:pStyle w:val="NotesTable-CellPlain"/>
            </w:pPr>
            <w:r w:rsidRPr="00BB535A">
              <w:t>–</w:t>
            </w:r>
          </w:p>
        </w:tc>
        <w:tc>
          <w:tcPr>
            <w:tcW w:w="406" w:type="pct"/>
            <w:tcBorders>
              <w:bottom w:val="single" w:sz="4" w:space="0" w:color="000000"/>
            </w:tcBorders>
          </w:tcPr>
          <w:p w14:paraId="038A43E2" w14:textId="77777777" w:rsidR="00EC0039" w:rsidRPr="00BB535A" w:rsidRDefault="00EC0039" w:rsidP="001A5D4A">
            <w:pPr>
              <w:pStyle w:val="NotesTable-CellPlain"/>
            </w:pPr>
            <w:r w:rsidRPr="00BB535A">
              <w:t>–</w:t>
            </w:r>
          </w:p>
        </w:tc>
        <w:tc>
          <w:tcPr>
            <w:tcW w:w="402" w:type="pct"/>
            <w:tcBorders>
              <w:bottom w:val="single" w:sz="4" w:space="0" w:color="000000"/>
            </w:tcBorders>
          </w:tcPr>
          <w:p w14:paraId="038A43E3" w14:textId="77777777" w:rsidR="00EC0039" w:rsidRPr="00BB535A" w:rsidRDefault="00EC0039" w:rsidP="001A5D4A">
            <w:pPr>
              <w:pStyle w:val="NotesTable-CellPlain"/>
            </w:pPr>
            <w:r w:rsidRPr="00BB535A">
              <w:t>–</w:t>
            </w:r>
          </w:p>
        </w:tc>
      </w:tr>
      <w:tr w:rsidR="00EC0039" w:rsidRPr="00F61D7B" w14:paraId="038A43EC" w14:textId="77777777" w:rsidTr="003411A8">
        <w:trPr>
          <w:trHeight w:hRule="exact" w:val="227"/>
        </w:trPr>
        <w:tc>
          <w:tcPr>
            <w:tcW w:w="813" w:type="pct"/>
          </w:tcPr>
          <w:p w14:paraId="038A43E5" w14:textId="77777777" w:rsidR="00EC0039" w:rsidRPr="005C0D27" w:rsidRDefault="00EC0039" w:rsidP="001A5D4A">
            <w:pPr>
              <w:pStyle w:val="Note-Refs"/>
            </w:pPr>
          </w:p>
        </w:tc>
        <w:tc>
          <w:tcPr>
            <w:tcW w:w="2230" w:type="pct"/>
            <w:gridSpan w:val="2"/>
            <w:vAlign w:val="bottom"/>
          </w:tcPr>
          <w:p w14:paraId="038A43E6" w14:textId="77777777" w:rsidR="00EC0039" w:rsidRPr="00F61D7B" w:rsidRDefault="00EC0039" w:rsidP="001A5D4A">
            <w:pPr>
              <w:pStyle w:val="NotesTable-ItemPlain"/>
              <w:rPr>
                <w:b/>
              </w:rPr>
            </w:pPr>
            <w:r w:rsidRPr="00F61D7B">
              <w:t>Total</w:t>
            </w:r>
            <w:r>
              <w:t xml:space="preserve"> financial liabilities</w:t>
            </w:r>
          </w:p>
        </w:tc>
        <w:tc>
          <w:tcPr>
            <w:tcW w:w="337" w:type="pct"/>
            <w:vAlign w:val="bottom"/>
          </w:tcPr>
          <w:p w14:paraId="038A43E7" w14:textId="77777777" w:rsidR="00EC0039" w:rsidRPr="00F61D7B" w:rsidRDefault="00EC0039" w:rsidP="001A5D4A">
            <w:pPr>
              <w:pStyle w:val="NotesTable-Notes"/>
            </w:pPr>
          </w:p>
        </w:tc>
        <w:tc>
          <w:tcPr>
            <w:tcW w:w="406" w:type="pct"/>
            <w:tcBorders>
              <w:top w:val="single" w:sz="4" w:space="0" w:color="000000"/>
            </w:tcBorders>
          </w:tcPr>
          <w:p w14:paraId="038A43E8" w14:textId="77777777" w:rsidR="00EC0039" w:rsidRPr="00BB535A" w:rsidRDefault="00EC0039" w:rsidP="001A5D4A">
            <w:pPr>
              <w:pStyle w:val="NotesTable-CellPlain"/>
            </w:pPr>
            <w:r w:rsidRPr="00BB535A">
              <w:t>–</w:t>
            </w:r>
          </w:p>
        </w:tc>
        <w:tc>
          <w:tcPr>
            <w:tcW w:w="406" w:type="pct"/>
            <w:tcBorders>
              <w:top w:val="single" w:sz="4" w:space="0" w:color="000000"/>
            </w:tcBorders>
          </w:tcPr>
          <w:p w14:paraId="038A43E9" w14:textId="77777777" w:rsidR="00EC0039" w:rsidRPr="00BB535A" w:rsidRDefault="00EC0039" w:rsidP="001A5D4A">
            <w:pPr>
              <w:pStyle w:val="NotesTable-CellPlain"/>
            </w:pPr>
            <w:r w:rsidRPr="00BB535A">
              <w:t>–</w:t>
            </w:r>
          </w:p>
        </w:tc>
        <w:tc>
          <w:tcPr>
            <w:tcW w:w="406" w:type="pct"/>
            <w:tcBorders>
              <w:top w:val="single" w:sz="4" w:space="0" w:color="000000"/>
            </w:tcBorders>
          </w:tcPr>
          <w:p w14:paraId="038A43EA" w14:textId="77777777" w:rsidR="00EC0039" w:rsidRPr="00BB535A" w:rsidRDefault="00EC0039" w:rsidP="001A5D4A">
            <w:pPr>
              <w:pStyle w:val="NotesTable-CellPlain"/>
            </w:pPr>
            <w:r w:rsidRPr="00BB535A">
              <w:t>–</w:t>
            </w:r>
          </w:p>
        </w:tc>
        <w:tc>
          <w:tcPr>
            <w:tcW w:w="402" w:type="pct"/>
            <w:tcBorders>
              <w:top w:val="single" w:sz="4" w:space="0" w:color="000000"/>
            </w:tcBorders>
          </w:tcPr>
          <w:p w14:paraId="038A43EB" w14:textId="77777777" w:rsidR="00EC0039" w:rsidRPr="00BB535A" w:rsidRDefault="00EC0039" w:rsidP="001A5D4A">
            <w:pPr>
              <w:pStyle w:val="NotesTable-CellPlain"/>
            </w:pPr>
            <w:r w:rsidRPr="00BB535A">
              <w:t>–</w:t>
            </w:r>
          </w:p>
        </w:tc>
      </w:tr>
      <w:tr w:rsidR="00EC0039" w:rsidRPr="00F61D7B" w14:paraId="038A43EF" w14:textId="77777777" w:rsidTr="003411A8">
        <w:trPr>
          <w:trHeight w:hRule="exact" w:val="85"/>
        </w:trPr>
        <w:tc>
          <w:tcPr>
            <w:tcW w:w="813" w:type="pct"/>
          </w:tcPr>
          <w:p w14:paraId="038A43ED" w14:textId="77777777" w:rsidR="00EC0039" w:rsidRPr="005C0D27" w:rsidRDefault="00EC0039" w:rsidP="001A5D4A">
            <w:pPr>
              <w:pStyle w:val="Note-Refs"/>
            </w:pPr>
          </w:p>
        </w:tc>
        <w:tc>
          <w:tcPr>
            <w:tcW w:w="4187" w:type="pct"/>
            <w:gridSpan w:val="7"/>
            <w:vAlign w:val="bottom"/>
          </w:tcPr>
          <w:p w14:paraId="038A43EE" w14:textId="77777777" w:rsidR="00EC0039" w:rsidRPr="00F61D7B" w:rsidRDefault="00EC0039" w:rsidP="001A5D4A">
            <w:pPr>
              <w:pStyle w:val="NotesTable-ItemPlain"/>
            </w:pPr>
          </w:p>
        </w:tc>
      </w:tr>
      <w:tr w:rsidR="00EC0039" w:rsidRPr="0073618B" w14:paraId="038A43F2" w14:textId="77777777" w:rsidTr="003411A8">
        <w:trPr>
          <w:trHeight w:hRule="exact" w:val="227"/>
        </w:trPr>
        <w:tc>
          <w:tcPr>
            <w:tcW w:w="813" w:type="pct"/>
          </w:tcPr>
          <w:p w14:paraId="038A43F0" w14:textId="77777777" w:rsidR="00EC0039" w:rsidRPr="005C0D27" w:rsidRDefault="00EC0039" w:rsidP="001A5D4A">
            <w:pPr>
              <w:pStyle w:val="Note-Refs"/>
            </w:pPr>
          </w:p>
        </w:tc>
        <w:tc>
          <w:tcPr>
            <w:tcW w:w="4187" w:type="pct"/>
            <w:gridSpan w:val="7"/>
            <w:vAlign w:val="bottom"/>
          </w:tcPr>
          <w:p w14:paraId="038A43F1" w14:textId="77777777" w:rsidR="00EC0039" w:rsidRPr="00111459" w:rsidRDefault="00EC0039" w:rsidP="001A5D4A">
            <w:pPr>
              <w:pStyle w:val="NotesTable-ItemBold"/>
            </w:pPr>
            <w:r w:rsidRPr="00111459">
              <w:t>Non-recurring fair value measurements</w:t>
            </w:r>
          </w:p>
        </w:tc>
      </w:tr>
      <w:tr w:rsidR="00EC0039" w:rsidRPr="00F61D7B" w14:paraId="038A43FA" w14:textId="77777777" w:rsidTr="003411A8">
        <w:trPr>
          <w:trHeight w:hRule="exact" w:val="227"/>
        </w:trPr>
        <w:tc>
          <w:tcPr>
            <w:tcW w:w="813" w:type="pct"/>
          </w:tcPr>
          <w:p w14:paraId="038A43F3" w14:textId="77777777" w:rsidR="00EC0039" w:rsidRPr="005C0D27" w:rsidRDefault="00EC0039" w:rsidP="001A5D4A">
            <w:pPr>
              <w:pStyle w:val="Note-Refs"/>
            </w:pPr>
          </w:p>
        </w:tc>
        <w:tc>
          <w:tcPr>
            <w:tcW w:w="2230" w:type="pct"/>
            <w:gridSpan w:val="2"/>
            <w:vAlign w:val="bottom"/>
          </w:tcPr>
          <w:p w14:paraId="038A43F4" w14:textId="77777777" w:rsidR="00EC0039" w:rsidRPr="00F61D7B" w:rsidRDefault="00EC0039" w:rsidP="001A5D4A">
            <w:pPr>
              <w:pStyle w:val="NotesTable-ItemPlain"/>
            </w:pPr>
            <w:r>
              <w:t>[Specify]</w:t>
            </w:r>
          </w:p>
        </w:tc>
        <w:tc>
          <w:tcPr>
            <w:tcW w:w="337" w:type="pct"/>
            <w:vAlign w:val="bottom"/>
          </w:tcPr>
          <w:p w14:paraId="038A43F5" w14:textId="77777777" w:rsidR="00EC0039" w:rsidRPr="00F61D7B" w:rsidRDefault="00EC0039" w:rsidP="001A5D4A">
            <w:pPr>
              <w:pStyle w:val="NotesTable-Notes"/>
            </w:pPr>
          </w:p>
        </w:tc>
        <w:tc>
          <w:tcPr>
            <w:tcW w:w="406" w:type="pct"/>
            <w:tcBorders>
              <w:bottom w:val="single" w:sz="4" w:space="0" w:color="auto"/>
            </w:tcBorders>
          </w:tcPr>
          <w:p w14:paraId="038A43F6" w14:textId="77777777" w:rsidR="00EC0039" w:rsidRPr="00BB535A" w:rsidRDefault="00EC0039" w:rsidP="001A5D4A">
            <w:pPr>
              <w:pStyle w:val="NotesTable-CellPlain"/>
            </w:pPr>
            <w:r w:rsidRPr="00BB535A">
              <w:t>–</w:t>
            </w:r>
          </w:p>
        </w:tc>
        <w:tc>
          <w:tcPr>
            <w:tcW w:w="406" w:type="pct"/>
            <w:tcBorders>
              <w:bottom w:val="single" w:sz="4" w:space="0" w:color="auto"/>
            </w:tcBorders>
          </w:tcPr>
          <w:p w14:paraId="038A43F7" w14:textId="77777777" w:rsidR="00EC0039" w:rsidRPr="00BB535A" w:rsidRDefault="00EC0039" w:rsidP="001A5D4A">
            <w:pPr>
              <w:pStyle w:val="NotesTable-CellPlain"/>
            </w:pPr>
            <w:r w:rsidRPr="00BB535A">
              <w:t>–</w:t>
            </w:r>
          </w:p>
        </w:tc>
        <w:tc>
          <w:tcPr>
            <w:tcW w:w="406" w:type="pct"/>
            <w:tcBorders>
              <w:bottom w:val="single" w:sz="4" w:space="0" w:color="auto"/>
            </w:tcBorders>
          </w:tcPr>
          <w:p w14:paraId="038A43F8" w14:textId="77777777" w:rsidR="00EC0039" w:rsidRPr="00BB535A" w:rsidRDefault="00EC0039" w:rsidP="001A5D4A">
            <w:pPr>
              <w:pStyle w:val="NotesTable-CellPlain"/>
            </w:pPr>
            <w:r w:rsidRPr="00BB535A">
              <w:t>–</w:t>
            </w:r>
          </w:p>
        </w:tc>
        <w:tc>
          <w:tcPr>
            <w:tcW w:w="402" w:type="pct"/>
            <w:tcBorders>
              <w:bottom w:val="single" w:sz="4" w:space="0" w:color="auto"/>
            </w:tcBorders>
          </w:tcPr>
          <w:p w14:paraId="038A43F9" w14:textId="77777777" w:rsidR="00EC0039" w:rsidRPr="00BB535A" w:rsidRDefault="00EC0039" w:rsidP="001A5D4A">
            <w:pPr>
              <w:pStyle w:val="NotesTable-CellPlain"/>
            </w:pPr>
            <w:r w:rsidRPr="00BB535A">
              <w:t>–</w:t>
            </w:r>
          </w:p>
        </w:tc>
      </w:tr>
      <w:tr w:rsidR="00EC0039" w:rsidRPr="00F61D7B" w14:paraId="038A4402" w14:textId="77777777" w:rsidTr="003411A8">
        <w:trPr>
          <w:trHeight w:hRule="exact" w:val="227"/>
        </w:trPr>
        <w:tc>
          <w:tcPr>
            <w:tcW w:w="813" w:type="pct"/>
          </w:tcPr>
          <w:p w14:paraId="038A43FB" w14:textId="77777777" w:rsidR="00EC0039" w:rsidRPr="005C0D27" w:rsidRDefault="00EC0039" w:rsidP="001A5D4A">
            <w:pPr>
              <w:pStyle w:val="Note-Refs"/>
            </w:pPr>
          </w:p>
        </w:tc>
        <w:tc>
          <w:tcPr>
            <w:tcW w:w="2230" w:type="pct"/>
            <w:gridSpan w:val="2"/>
            <w:vAlign w:val="bottom"/>
          </w:tcPr>
          <w:p w14:paraId="038A43FC" w14:textId="77777777" w:rsidR="00EC0039" w:rsidRPr="00F61D7B" w:rsidRDefault="00EC0039" w:rsidP="001A5D4A">
            <w:pPr>
              <w:pStyle w:val="NotesTable-ItemPlain"/>
            </w:pPr>
            <w:r>
              <w:t>Total non-recurring fair value measurements</w:t>
            </w:r>
          </w:p>
        </w:tc>
        <w:tc>
          <w:tcPr>
            <w:tcW w:w="337" w:type="pct"/>
            <w:vAlign w:val="bottom"/>
          </w:tcPr>
          <w:p w14:paraId="038A43FD" w14:textId="77777777" w:rsidR="00EC0039" w:rsidRPr="00F61D7B" w:rsidRDefault="00EC0039" w:rsidP="001A5D4A">
            <w:pPr>
              <w:pStyle w:val="NotesTable-Notes"/>
            </w:pPr>
          </w:p>
        </w:tc>
        <w:tc>
          <w:tcPr>
            <w:tcW w:w="406" w:type="pct"/>
            <w:tcBorders>
              <w:top w:val="single" w:sz="4" w:space="0" w:color="auto"/>
            </w:tcBorders>
          </w:tcPr>
          <w:p w14:paraId="038A43FE" w14:textId="77777777" w:rsidR="00EC0039" w:rsidRPr="00F61D7B" w:rsidRDefault="00EC0039" w:rsidP="001A5D4A">
            <w:pPr>
              <w:pStyle w:val="NotesTable-CellPlain"/>
            </w:pPr>
            <w:r w:rsidRPr="00F61D7B">
              <w:t>–</w:t>
            </w:r>
          </w:p>
        </w:tc>
        <w:tc>
          <w:tcPr>
            <w:tcW w:w="406" w:type="pct"/>
            <w:tcBorders>
              <w:top w:val="single" w:sz="4" w:space="0" w:color="auto"/>
            </w:tcBorders>
          </w:tcPr>
          <w:p w14:paraId="038A43FF" w14:textId="77777777" w:rsidR="00EC0039" w:rsidRPr="00F61D7B" w:rsidRDefault="00EC0039" w:rsidP="001A5D4A">
            <w:pPr>
              <w:pStyle w:val="NotesTable-CellPlain"/>
            </w:pPr>
            <w:r w:rsidRPr="00F61D7B">
              <w:t>–</w:t>
            </w:r>
          </w:p>
        </w:tc>
        <w:tc>
          <w:tcPr>
            <w:tcW w:w="406" w:type="pct"/>
            <w:tcBorders>
              <w:top w:val="single" w:sz="4" w:space="0" w:color="auto"/>
            </w:tcBorders>
          </w:tcPr>
          <w:p w14:paraId="038A4400" w14:textId="77777777" w:rsidR="00EC0039" w:rsidRPr="00F61D7B" w:rsidRDefault="00EC0039" w:rsidP="001A5D4A">
            <w:pPr>
              <w:pStyle w:val="NotesTable-CellPlain"/>
            </w:pPr>
            <w:r w:rsidRPr="00F61D7B">
              <w:t>–</w:t>
            </w:r>
          </w:p>
        </w:tc>
        <w:tc>
          <w:tcPr>
            <w:tcW w:w="402" w:type="pct"/>
            <w:tcBorders>
              <w:top w:val="single" w:sz="4" w:space="0" w:color="auto"/>
            </w:tcBorders>
          </w:tcPr>
          <w:p w14:paraId="038A4401" w14:textId="77777777" w:rsidR="00EC0039" w:rsidRPr="00F61D7B" w:rsidRDefault="00EC0039" w:rsidP="001A5D4A">
            <w:pPr>
              <w:pStyle w:val="NotesTable-CellPlain"/>
            </w:pPr>
            <w:r w:rsidRPr="00F61D7B">
              <w:t>–</w:t>
            </w:r>
          </w:p>
        </w:tc>
      </w:tr>
      <w:tr w:rsidR="00EC0039" w:rsidRPr="00E67A32" w14:paraId="038A4405" w14:textId="77777777" w:rsidTr="003411A8">
        <w:trPr>
          <w:trHeight w:hRule="exact" w:val="85"/>
        </w:trPr>
        <w:tc>
          <w:tcPr>
            <w:tcW w:w="813" w:type="pct"/>
          </w:tcPr>
          <w:p w14:paraId="038A4403" w14:textId="77777777" w:rsidR="00EC0039" w:rsidRPr="005C0D27" w:rsidRDefault="00EC0039" w:rsidP="001A5D4A">
            <w:pPr>
              <w:pStyle w:val="Note-Refs"/>
            </w:pPr>
          </w:p>
        </w:tc>
        <w:tc>
          <w:tcPr>
            <w:tcW w:w="4187" w:type="pct"/>
            <w:gridSpan w:val="7"/>
            <w:vAlign w:val="bottom"/>
          </w:tcPr>
          <w:p w14:paraId="038A4404" w14:textId="77777777" w:rsidR="00EC0039" w:rsidRPr="00E67A32" w:rsidRDefault="00EC0039" w:rsidP="001A5D4A">
            <w:pPr>
              <w:pStyle w:val="Note-Text"/>
            </w:pPr>
          </w:p>
        </w:tc>
      </w:tr>
      <w:tr w:rsidR="00BC5733" w:rsidRPr="00E67A32" w14:paraId="01346651" w14:textId="77777777" w:rsidTr="003411A8">
        <w:trPr>
          <w:trHeight w:hRule="exact" w:val="227"/>
        </w:trPr>
        <w:tc>
          <w:tcPr>
            <w:tcW w:w="813" w:type="pct"/>
          </w:tcPr>
          <w:p w14:paraId="473CB205" w14:textId="77777777" w:rsidR="00BC5733" w:rsidRDefault="00BC5733" w:rsidP="001A5D4A">
            <w:pPr>
              <w:pStyle w:val="Note-Refs"/>
            </w:pPr>
          </w:p>
        </w:tc>
        <w:tc>
          <w:tcPr>
            <w:tcW w:w="4187" w:type="pct"/>
            <w:gridSpan w:val="7"/>
            <w:vAlign w:val="bottom"/>
          </w:tcPr>
          <w:p w14:paraId="7E864C92" w14:textId="77777777" w:rsidR="00BC5733" w:rsidRPr="00E67A32" w:rsidRDefault="00BC5733" w:rsidP="001A5D4A">
            <w:pPr>
              <w:pStyle w:val="NotesTable-ItemPlain"/>
            </w:pPr>
          </w:p>
        </w:tc>
      </w:tr>
      <w:tr w:rsidR="00EC0039" w:rsidRPr="00E67A32" w14:paraId="038A440C" w14:textId="77777777" w:rsidTr="003411A8">
        <w:trPr>
          <w:trHeight w:hRule="exact" w:val="227"/>
        </w:trPr>
        <w:tc>
          <w:tcPr>
            <w:tcW w:w="813" w:type="pct"/>
          </w:tcPr>
          <w:p w14:paraId="038A440A" w14:textId="77777777" w:rsidR="00EC0039" w:rsidRPr="005C0D27" w:rsidRDefault="00EC0039" w:rsidP="001A5D4A">
            <w:pPr>
              <w:pStyle w:val="Note-Refs"/>
            </w:pPr>
            <w:r>
              <w:t>AASB13.93c</w:t>
            </w:r>
          </w:p>
        </w:tc>
        <w:tc>
          <w:tcPr>
            <w:tcW w:w="4187" w:type="pct"/>
            <w:gridSpan w:val="7"/>
            <w:vAlign w:val="bottom"/>
          </w:tcPr>
          <w:p w14:paraId="038A440B" w14:textId="676C83AA" w:rsidR="00EC0039" w:rsidRPr="00E67A32" w:rsidRDefault="00EC0039" w:rsidP="001A5D4A">
            <w:pPr>
              <w:pStyle w:val="NotesTable-ItemPlain"/>
            </w:pPr>
            <w:r w:rsidRPr="00E67A32">
              <w:t>There were no transfers between levels 1 and 2 for recurring fair value measurements during the year.</w:t>
            </w:r>
            <w:r w:rsidR="001A35D6">
              <w:t xml:space="preserve"> </w:t>
            </w:r>
          </w:p>
        </w:tc>
      </w:tr>
      <w:tr w:rsidR="00EC0039" w:rsidRPr="00E67A32" w14:paraId="038A440F" w14:textId="77777777" w:rsidTr="003411A8">
        <w:trPr>
          <w:trHeight w:hRule="exact" w:val="227"/>
        </w:trPr>
        <w:tc>
          <w:tcPr>
            <w:tcW w:w="813" w:type="pct"/>
          </w:tcPr>
          <w:p w14:paraId="038A440D" w14:textId="77777777" w:rsidR="00EC0039" w:rsidRPr="005C0D27" w:rsidRDefault="00EC0039" w:rsidP="001A5D4A">
            <w:pPr>
              <w:pStyle w:val="Note-Refs"/>
            </w:pPr>
          </w:p>
        </w:tc>
        <w:tc>
          <w:tcPr>
            <w:tcW w:w="4187" w:type="pct"/>
            <w:gridSpan w:val="7"/>
            <w:vAlign w:val="bottom"/>
          </w:tcPr>
          <w:p w14:paraId="038A440E" w14:textId="77777777" w:rsidR="00EC0039" w:rsidRPr="00E67A32" w:rsidRDefault="00EC0039" w:rsidP="001A5D4A">
            <w:pPr>
              <w:pStyle w:val="NotesTable-ItemPlain"/>
            </w:pPr>
            <w:r w:rsidRPr="00E67A32">
              <w:t>For transfers in and out of level 3 measurements see (d) below.</w:t>
            </w:r>
          </w:p>
        </w:tc>
      </w:tr>
      <w:tr w:rsidR="00EC0039" w:rsidRPr="00E67A32" w14:paraId="038A4412" w14:textId="77777777" w:rsidTr="003411A8">
        <w:trPr>
          <w:trHeight w:hRule="exact" w:val="85"/>
        </w:trPr>
        <w:tc>
          <w:tcPr>
            <w:tcW w:w="813" w:type="pct"/>
          </w:tcPr>
          <w:p w14:paraId="038A4410" w14:textId="77777777" w:rsidR="00EC0039" w:rsidRPr="005C0D27" w:rsidRDefault="00EC0039" w:rsidP="001A5D4A">
            <w:pPr>
              <w:pStyle w:val="Note-Refs"/>
            </w:pPr>
          </w:p>
        </w:tc>
        <w:tc>
          <w:tcPr>
            <w:tcW w:w="4187" w:type="pct"/>
            <w:gridSpan w:val="7"/>
            <w:vAlign w:val="bottom"/>
          </w:tcPr>
          <w:p w14:paraId="038A4411" w14:textId="77777777" w:rsidR="00EC0039" w:rsidRPr="00E67A32" w:rsidRDefault="00EC0039" w:rsidP="001A5D4A">
            <w:pPr>
              <w:pStyle w:val="NotesTable-ItemPlain"/>
            </w:pPr>
          </w:p>
        </w:tc>
      </w:tr>
      <w:tr w:rsidR="00EC0039" w:rsidRPr="00E67A32" w14:paraId="038A4415" w14:textId="77777777" w:rsidTr="003411A8">
        <w:trPr>
          <w:trHeight w:val="227"/>
        </w:trPr>
        <w:tc>
          <w:tcPr>
            <w:tcW w:w="813" w:type="pct"/>
          </w:tcPr>
          <w:p w14:paraId="038A4413" w14:textId="77777777" w:rsidR="00EC0039" w:rsidRPr="005C0D27" w:rsidRDefault="00EC0039" w:rsidP="001A5D4A">
            <w:pPr>
              <w:pStyle w:val="Note-Refs"/>
            </w:pPr>
            <w:r>
              <w:t>AASB13.95</w:t>
            </w:r>
          </w:p>
        </w:tc>
        <w:tc>
          <w:tcPr>
            <w:tcW w:w="4187" w:type="pct"/>
            <w:gridSpan w:val="7"/>
            <w:vAlign w:val="bottom"/>
          </w:tcPr>
          <w:p w14:paraId="038A4414" w14:textId="77777777" w:rsidR="00EC0039" w:rsidRPr="00E67A32" w:rsidRDefault="00EC0039" w:rsidP="001A5D4A">
            <w:pPr>
              <w:pStyle w:val="NotesTable-ItemPlain"/>
            </w:pPr>
            <w:r w:rsidRPr="00E67A32">
              <w:t>[HEP]’s policy is to recognise transfers into and transfers out of fair value hierarchy levels as at the end of the reporting period.</w:t>
            </w:r>
          </w:p>
        </w:tc>
      </w:tr>
      <w:tr w:rsidR="00EC0039" w:rsidRPr="00E67A32" w14:paraId="038A4418" w14:textId="77777777" w:rsidTr="003411A8">
        <w:trPr>
          <w:trHeight w:hRule="exact" w:val="85"/>
        </w:trPr>
        <w:tc>
          <w:tcPr>
            <w:tcW w:w="813" w:type="pct"/>
          </w:tcPr>
          <w:p w14:paraId="038A4416" w14:textId="77777777" w:rsidR="00EC0039" w:rsidRDefault="00EC0039" w:rsidP="001A5D4A">
            <w:pPr>
              <w:pStyle w:val="Note-Refs"/>
            </w:pPr>
          </w:p>
        </w:tc>
        <w:tc>
          <w:tcPr>
            <w:tcW w:w="4187" w:type="pct"/>
            <w:gridSpan w:val="7"/>
            <w:vAlign w:val="bottom"/>
          </w:tcPr>
          <w:p w14:paraId="038A4417" w14:textId="77777777" w:rsidR="00EC0039" w:rsidRPr="00E67A32" w:rsidRDefault="00EC0039" w:rsidP="001A5D4A">
            <w:pPr>
              <w:pStyle w:val="NotesTable-ItemPlain"/>
            </w:pPr>
          </w:p>
        </w:tc>
      </w:tr>
      <w:tr w:rsidR="00296FA7" w:rsidRPr="00824502" w14:paraId="038A441B" w14:textId="77777777" w:rsidTr="003411A8">
        <w:trPr>
          <w:trHeight w:val="227"/>
        </w:trPr>
        <w:tc>
          <w:tcPr>
            <w:tcW w:w="821" w:type="pct"/>
            <w:gridSpan w:val="2"/>
          </w:tcPr>
          <w:p w14:paraId="038A4419" w14:textId="77777777" w:rsidR="00296FA7" w:rsidRPr="005C0D27" w:rsidRDefault="00296FA7" w:rsidP="001A5D4A">
            <w:pPr>
              <w:pStyle w:val="Note-Refs"/>
            </w:pPr>
          </w:p>
        </w:tc>
        <w:tc>
          <w:tcPr>
            <w:tcW w:w="4179" w:type="pct"/>
            <w:gridSpan w:val="6"/>
            <w:vAlign w:val="bottom"/>
          </w:tcPr>
          <w:p w14:paraId="038A441A" w14:textId="77777777" w:rsidR="00296FA7" w:rsidRPr="00824502" w:rsidRDefault="00296FA7" w:rsidP="001A5D4A">
            <w:pPr>
              <w:pStyle w:val="Note-TextSubheader"/>
            </w:pPr>
            <w:r w:rsidRPr="00824502">
              <w:t>(ii)</w:t>
            </w:r>
            <w:r w:rsidR="00807179">
              <w:t xml:space="preserve"> </w:t>
            </w:r>
            <w:r w:rsidRPr="00824502">
              <w:t>Disclosed fair values</w:t>
            </w:r>
          </w:p>
        </w:tc>
      </w:tr>
      <w:tr w:rsidR="00296FA7" w:rsidRPr="00824502" w14:paraId="038A441E" w14:textId="77777777" w:rsidTr="003411A8">
        <w:trPr>
          <w:trHeight w:val="227"/>
        </w:trPr>
        <w:tc>
          <w:tcPr>
            <w:tcW w:w="821" w:type="pct"/>
            <w:gridSpan w:val="2"/>
          </w:tcPr>
          <w:p w14:paraId="038A441C" w14:textId="77777777" w:rsidR="00296FA7" w:rsidRPr="005C0D27" w:rsidRDefault="00296FA7" w:rsidP="001A5D4A">
            <w:pPr>
              <w:pStyle w:val="Note-Refs"/>
            </w:pPr>
          </w:p>
        </w:tc>
        <w:tc>
          <w:tcPr>
            <w:tcW w:w="4179" w:type="pct"/>
            <w:gridSpan w:val="6"/>
            <w:vAlign w:val="bottom"/>
          </w:tcPr>
          <w:p w14:paraId="038A441D" w14:textId="77777777" w:rsidR="00296FA7" w:rsidRPr="00824502" w:rsidRDefault="00296FA7" w:rsidP="001A5D4A">
            <w:pPr>
              <w:pStyle w:val="NotesTable-ItemPlain"/>
            </w:pPr>
            <w:r w:rsidRPr="00824502">
              <w:t>[HEP] has a number of assets and liabilities which are not measured at fair value, but for which the fair values are disclosed in the notes.</w:t>
            </w:r>
          </w:p>
        </w:tc>
      </w:tr>
      <w:tr w:rsidR="00296FA7" w:rsidRPr="00824502" w14:paraId="038A4421" w14:textId="77777777" w:rsidTr="003411A8">
        <w:trPr>
          <w:trHeight w:hRule="exact" w:val="85"/>
        </w:trPr>
        <w:tc>
          <w:tcPr>
            <w:tcW w:w="821" w:type="pct"/>
            <w:gridSpan w:val="2"/>
          </w:tcPr>
          <w:p w14:paraId="038A441F" w14:textId="77777777" w:rsidR="00296FA7" w:rsidRPr="005C0D27" w:rsidRDefault="00296FA7" w:rsidP="001A5D4A">
            <w:pPr>
              <w:pStyle w:val="Note-Refs"/>
            </w:pPr>
          </w:p>
        </w:tc>
        <w:tc>
          <w:tcPr>
            <w:tcW w:w="4179" w:type="pct"/>
            <w:gridSpan w:val="6"/>
            <w:vAlign w:val="bottom"/>
          </w:tcPr>
          <w:p w14:paraId="038A4420" w14:textId="77777777" w:rsidR="00296FA7" w:rsidRPr="00824502" w:rsidRDefault="00296FA7" w:rsidP="001A5D4A">
            <w:pPr>
              <w:pStyle w:val="NotesTable-ItemPlain"/>
            </w:pPr>
          </w:p>
        </w:tc>
      </w:tr>
      <w:tr w:rsidR="00296FA7" w:rsidRPr="00824502" w14:paraId="038A4424" w14:textId="77777777" w:rsidTr="003411A8">
        <w:trPr>
          <w:trHeight w:val="227"/>
        </w:trPr>
        <w:tc>
          <w:tcPr>
            <w:tcW w:w="821" w:type="pct"/>
            <w:gridSpan w:val="2"/>
          </w:tcPr>
          <w:p w14:paraId="038A4422" w14:textId="77777777" w:rsidR="00296FA7" w:rsidRDefault="00296FA7" w:rsidP="001A5D4A">
            <w:pPr>
              <w:pStyle w:val="Note-Refs"/>
              <w:rPr>
                <w:b/>
              </w:rPr>
            </w:pPr>
            <w:r>
              <w:t>AASB13.72</w:t>
            </w:r>
          </w:p>
        </w:tc>
        <w:tc>
          <w:tcPr>
            <w:tcW w:w="4179" w:type="pct"/>
            <w:gridSpan w:val="6"/>
          </w:tcPr>
          <w:p w14:paraId="038A4423" w14:textId="554B5889" w:rsidR="00296FA7" w:rsidRPr="00824502" w:rsidRDefault="00296FA7" w:rsidP="001A5D4A">
            <w:pPr>
              <w:pStyle w:val="NotesTable-ItemPlain"/>
              <w:rPr>
                <w:highlight w:val="yellow"/>
              </w:rPr>
            </w:pPr>
            <w:r w:rsidRPr="00824502">
              <w:t xml:space="preserve">The fair value of assets or liabilities traded in active markets (such as publicly traded derivatives, and trading and available-for-sale securities) is based on quoted market prices for identical assets or liabilities at the </w:t>
            </w:r>
            <w:r w:rsidR="007A534E">
              <w:t>end of the reporting period</w:t>
            </w:r>
            <w:r w:rsidRPr="00824502">
              <w:t xml:space="preserve"> (level 1). </w:t>
            </w:r>
            <w:r>
              <w:t>This is the most representative of fair value in the circumstances.</w:t>
            </w:r>
          </w:p>
        </w:tc>
      </w:tr>
      <w:tr w:rsidR="00296FA7" w:rsidRPr="00824502" w14:paraId="038A4427" w14:textId="77777777" w:rsidTr="003411A8">
        <w:trPr>
          <w:trHeight w:hRule="exact" w:val="85"/>
        </w:trPr>
        <w:tc>
          <w:tcPr>
            <w:tcW w:w="821" w:type="pct"/>
            <w:gridSpan w:val="2"/>
          </w:tcPr>
          <w:p w14:paraId="038A4425" w14:textId="77777777" w:rsidR="00296FA7" w:rsidRPr="005C0D27" w:rsidRDefault="00296FA7" w:rsidP="001A5D4A">
            <w:pPr>
              <w:pStyle w:val="Note-Refs"/>
            </w:pPr>
          </w:p>
        </w:tc>
        <w:tc>
          <w:tcPr>
            <w:tcW w:w="4179" w:type="pct"/>
            <w:gridSpan w:val="6"/>
            <w:vAlign w:val="bottom"/>
          </w:tcPr>
          <w:p w14:paraId="038A4426" w14:textId="77777777" w:rsidR="00296FA7" w:rsidRPr="00824502" w:rsidRDefault="00296FA7" w:rsidP="001A5D4A">
            <w:pPr>
              <w:pStyle w:val="NotesTable-ItemPlain"/>
            </w:pPr>
          </w:p>
        </w:tc>
      </w:tr>
      <w:tr w:rsidR="00296FA7" w:rsidRPr="00824502" w14:paraId="038A442A" w14:textId="77777777" w:rsidTr="003411A8">
        <w:trPr>
          <w:trHeight w:val="227"/>
        </w:trPr>
        <w:tc>
          <w:tcPr>
            <w:tcW w:w="821" w:type="pct"/>
            <w:gridSpan w:val="2"/>
          </w:tcPr>
          <w:p w14:paraId="038A4428" w14:textId="2883067B" w:rsidR="00296FA7" w:rsidRPr="005C0D27" w:rsidRDefault="00296FA7" w:rsidP="001A5D4A">
            <w:pPr>
              <w:pStyle w:val="Note-Refs"/>
            </w:pPr>
            <w:r>
              <w:t>AASB13.93b,97</w:t>
            </w:r>
          </w:p>
        </w:tc>
        <w:tc>
          <w:tcPr>
            <w:tcW w:w="4179" w:type="pct"/>
            <w:gridSpan w:val="6"/>
            <w:vAlign w:val="bottom"/>
          </w:tcPr>
          <w:p w14:paraId="038A4429" w14:textId="254FF82A" w:rsidR="00296FA7" w:rsidRPr="00824502" w:rsidRDefault="00296FA7" w:rsidP="001A5D4A">
            <w:pPr>
              <w:pStyle w:val="NotesTable-ItemPlain"/>
            </w:pPr>
            <w:r w:rsidRPr="00824502">
              <w:t xml:space="preserve">The fair values of held-to-maturity investments and </w:t>
            </w:r>
            <w:r w:rsidR="00B725DE">
              <w:t xml:space="preserve">the fair values of </w:t>
            </w:r>
            <w:r w:rsidRPr="00824502">
              <w:t xml:space="preserve">interests in associates that are disclosed in </w:t>
            </w:r>
            <w:r w:rsidR="00B725DE">
              <w:t>note</w:t>
            </w:r>
            <w:r w:rsidRPr="00824502">
              <w:t xml:space="preserve"> 25 were determined by reference to published price quotations in an active market (level1).</w:t>
            </w:r>
          </w:p>
        </w:tc>
      </w:tr>
      <w:tr w:rsidR="00296FA7" w:rsidRPr="00824502" w14:paraId="038A442D" w14:textId="77777777" w:rsidTr="003411A8">
        <w:trPr>
          <w:trHeight w:hRule="exact" w:val="85"/>
        </w:trPr>
        <w:tc>
          <w:tcPr>
            <w:tcW w:w="821" w:type="pct"/>
            <w:gridSpan w:val="2"/>
          </w:tcPr>
          <w:p w14:paraId="038A442B" w14:textId="77777777" w:rsidR="00296FA7" w:rsidRDefault="00296FA7" w:rsidP="001A5D4A">
            <w:pPr>
              <w:pStyle w:val="Note-Refs"/>
            </w:pPr>
          </w:p>
        </w:tc>
        <w:tc>
          <w:tcPr>
            <w:tcW w:w="4179" w:type="pct"/>
            <w:gridSpan w:val="6"/>
          </w:tcPr>
          <w:p w14:paraId="038A442C" w14:textId="77777777" w:rsidR="00296FA7" w:rsidRPr="00824502" w:rsidRDefault="00296FA7" w:rsidP="001A5D4A">
            <w:pPr>
              <w:pStyle w:val="NotesTable-ItemPlain"/>
            </w:pPr>
          </w:p>
        </w:tc>
      </w:tr>
      <w:tr w:rsidR="00296FA7" w:rsidRPr="00824502" w14:paraId="038A4431" w14:textId="77777777" w:rsidTr="003411A8">
        <w:trPr>
          <w:trHeight w:val="227"/>
        </w:trPr>
        <w:tc>
          <w:tcPr>
            <w:tcW w:w="821" w:type="pct"/>
            <w:gridSpan w:val="2"/>
          </w:tcPr>
          <w:p w14:paraId="038A442E" w14:textId="77777777" w:rsidR="00296FA7" w:rsidRPr="008677E3" w:rsidRDefault="00296FA7" w:rsidP="001A5D4A">
            <w:pPr>
              <w:pStyle w:val="Note-Refs"/>
            </w:pPr>
            <w:r w:rsidRPr="008677E3">
              <w:t>AASB7.29a</w:t>
            </w:r>
          </w:p>
          <w:p w14:paraId="038A442F" w14:textId="77777777" w:rsidR="00296FA7" w:rsidRPr="008677E3" w:rsidRDefault="00296FA7" w:rsidP="001A5D4A">
            <w:pPr>
              <w:pStyle w:val="Note-Refs"/>
            </w:pPr>
            <w:r w:rsidRPr="008677E3">
              <w:t>AASB13.93b,d,97</w:t>
            </w:r>
          </w:p>
        </w:tc>
        <w:tc>
          <w:tcPr>
            <w:tcW w:w="4179" w:type="pct"/>
            <w:gridSpan w:val="6"/>
          </w:tcPr>
          <w:p w14:paraId="038A4430" w14:textId="10242555" w:rsidR="00296FA7" w:rsidRPr="00824502" w:rsidRDefault="00296FA7" w:rsidP="001A5D4A">
            <w:pPr>
              <w:pStyle w:val="NotesTable-ItemPlain"/>
              <w:rPr>
                <w:highlight w:val="yellow"/>
              </w:rPr>
            </w:pPr>
            <w:r w:rsidRPr="00824502">
              <w:t>The carrying value less impairment provision of trade receivables and payables is a reasonable approximation of their fair values due to the short</w:t>
            </w:r>
            <w:r w:rsidRPr="00824502">
              <w:noBreakHyphen/>
              <w:t>term nature of trade receivables. The fair value of financial liabilities for disclosure purposes is estimated by discounting the future contractual cash flows at the current market interest rate that is available to the Group for similar financial instruments (level 3).</w:t>
            </w:r>
          </w:p>
        </w:tc>
      </w:tr>
      <w:tr w:rsidR="00296FA7" w:rsidRPr="00824502" w14:paraId="038A4434" w14:textId="77777777" w:rsidTr="003411A8">
        <w:trPr>
          <w:trHeight w:hRule="exact" w:val="85"/>
        </w:trPr>
        <w:tc>
          <w:tcPr>
            <w:tcW w:w="821" w:type="pct"/>
            <w:gridSpan w:val="2"/>
          </w:tcPr>
          <w:p w14:paraId="038A4432" w14:textId="77777777" w:rsidR="00296FA7" w:rsidRPr="008677E3" w:rsidRDefault="00296FA7" w:rsidP="001A5D4A">
            <w:pPr>
              <w:pStyle w:val="Note-Refs"/>
            </w:pPr>
          </w:p>
        </w:tc>
        <w:tc>
          <w:tcPr>
            <w:tcW w:w="4179" w:type="pct"/>
            <w:gridSpan w:val="6"/>
          </w:tcPr>
          <w:p w14:paraId="038A4433" w14:textId="77777777" w:rsidR="00296FA7" w:rsidRPr="00824502" w:rsidRDefault="00296FA7" w:rsidP="001A5D4A">
            <w:pPr>
              <w:pStyle w:val="NotesTable-ItemPlain"/>
              <w:rPr>
                <w:highlight w:val="yellow"/>
              </w:rPr>
            </w:pPr>
          </w:p>
        </w:tc>
      </w:tr>
    </w:tbl>
    <w:p w14:paraId="253F74F4" w14:textId="77777777" w:rsidR="003411A8" w:rsidRDefault="003411A8">
      <w:r>
        <w:rPr>
          <w:b/>
          <w:i/>
        </w:rPr>
        <w:br w:type="page"/>
      </w:r>
    </w:p>
    <w:tbl>
      <w:tblPr>
        <w:tblW w:w="5000" w:type="pct"/>
        <w:tblCellMar>
          <w:left w:w="0" w:type="dxa"/>
          <w:right w:w="0" w:type="dxa"/>
        </w:tblCellMar>
        <w:tblLook w:val="0000" w:firstRow="0" w:lastRow="0" w:firstColumn="0" w:lastColumn="0" w:noHBand="0" w:noVBand="0"/>
      </w:tblPr>
      <w:tblGrid>
        <w:gridCol w:w="1669"/>
        <w:gridCol w:w="16"/>
        <w:gridCol w:w="8575"/>
      </w:tblGrid>
      <w:tr w:rsidR="00BC5733" w:rsidRPr="00824502" w14:paraId="42238273" w14:textId="77777777" w:rsidTr="00BC5733">
        <w:trPr>
          <w:trHeight w:val="227"/>
        </w:trPr>
        <w:tc>
          <w:tcPr>
            <w:tcW w:w="5000" w:type="pct"/>
            <w:gridSpan w:val="3"/>
          </w:tcPr>
          <w:p w14:paraId="5EFA4485" w14:textId="1B91037C" w:rsidR="00BC5733" w:rsidRPr="00824502" w:rsidRDefault="00BC5733" w:rsidP="00BC5733">
            <w:pPr>
              <w:pStyle w:val="TOC3"/>
              <w:ind w:left="0"/>
            </w:pPr>
            <w:r w:rsidRPr="002432EC">
              <w:lastRenderedPageBreak/>
              <w:t>Note 51</w:t>
            </w:r>
            <w:r>
              <w:t xml:space="preserve">. </w:t>
            </w:r>
            <w:r w:rsidRPr="002432EC">
              <w:t>Fair Value Measurements (continued)</w:t>
            </w:r>
          </w:p>
        </w:tc>
      </w:tr>
      <w:tr w:rsidR="00BC5733" w:rsidRPr="00824502" w14:paraId="3709BD5A" w14:textId="77777777" w:rsidTr="00BC5733">
        <w:trPr>
          <w:trHeight w:val="227"/>
        </w:trPr>
        <w:tc>
          <w:tcPr>
            <w:tcW w:w="5000" w:type="pct"/>
            <w:gridSpan w:val="3"/>
          </w:tcPr>
          <w:p w14:paraId="6DB79631" w14:textId="2D3E3EFA" w:rsidR="00BC5733" w:rsidRPr="00824502" w:rsidRDefault="00BC5733" w:rsidP="00BC5733">
            <w:r>
              <w:t>AASB132,AASB7, AASB13</w:t>
            </w:r>
          </w:p>
        </w:tc>
      </w:tr>
      <w:tr w:rsidR="00296FA7" w:rsidRPr="00824502" w14:paraId="038A4437" w14:textId="77777777" w:rsidTr="003411A8">
        <w:trPr>
          <w:trHeight w:val="227"/>
        </w:trPr>
        <w:tc>
          <w:tcPr>
            <w:tcW w:w="821" w:type="pct"/>
            <w:gridSpan w:val="2"/>
          </w:tcPr>
          <w:p w14:paraId="038A4435" w14:textId="77777777" w:rsidR="00296FA7" w:rsidRPr="008677E3" w:rsidRDefault="00296FA7" w:rsidP="001A5D4A">
            <w:pPr>
              <w:pStyle w:val="Note-Refs"/>
            </w:pPr>
            <w:r w:rsidRPr="008677E3">
              <w:t>AASB</w:t>
            </w:r>
            <w:r>
              <w:t>13.93b,d,97</w:t>
            </w:r>
          </w:p>
        </w:tc>
        <w:tc>
          <w:tcPr>
            <w:tcW w:w="4179" w:type="pct"/>
          </w:tcPr>
          <w:p w14:paraId="038A4436" w14:textId="2F5CC0BC" w:rsidR="00296FA7" w:rsidRPr="00824502" w:rsidRDefault="00296FA7" w:rsidP="001A5D4A">
            <w:pPr>
              <w:pStyle w:val="NotesTable-ItemPlain"/>
            </w:pPr>
            <w:r w:rsidRPr="00824502">
              <w:t xml:space="preserve">The fair value of non-current borrowings disclosed in note 31 is estimated by discounting the future contractual cash flows at the current market interest rates that are available to the group for similar financial instruments. For the period ending 31 December </w:t>
            </w:r>
            <w:r w:rsidR="006864EC">
              <w:t>2014</w:t>
            </w:r>
            <w:r w:rsidRPr="00824502">
              <w:t>, the borrowing rates were determined to be between X% and X%, depending on the type of borrowing. The fair value of current borrowings approximates the carrying amount, as the impact of discounting is not significant (level 2).</w:t>
            </w:r>
          </w:p>
        </w:tc>
      </w:tr>
      <w:tr w:rsidR="00296FA7" w:rsidRPr="00824502" w14:paraId="038A443A" w14:textId="77777777" w:rsidTr="003411A8">
        <w:trPr>
          <w:trHeight w:hRule="exact" w:val="85"/>
        </w:trPr>
        <w:tc>
          <w:tcPr>
            <w:tcW w:w="821" w:type="pct"/>
            <w:gridSpan w:val="2"/>
          </w:tcPr>
          <w:p w14:paraId="038A4438" w14:textId="77777777" w:rsidR="00296FA7" w:rsidRPr="008677E3" w:rsidRDefault="00296FA7" w:rsidP="001A5D4A">
            <w:pPr>
              <w:pStyle w:val="Note-Refs"/>
            </w:pPr>
          </w:p>
        </w:tc>
        <w:tc>
          <w:tcPr>
            <w:tcW w:w="4179" w:type="pct"/>
            <w:vAlign w:val="bottom"/>
          </w:tcPr>
          <w:p w14:paraId="038A4439" w14:textId="77777777" w:rsidR="00296FA7" w:rsidRPr="00824502" w:rsidRDefault="00296FA7" w:rsidP="001A5D4A">
            <w:pPr>
              <w:pStyle w:val="NotesTable-ItemPlain"/>
            </w:pPr>
          </w:p>
        </w:tc>
      </w:tr>
      <w:tr w:rsidR="00296FA7" w:rsidRPr="00824502" w14:paraId="038A443D" w14:textId="77777777" w:rsidTr="003411A8">
        <w:trPr>
          <w:trHeight w:val="227"/>
        </w:trPr>
        <w:tc>
          <w:tcPr>
            <w:tcW w:w="821" w:type="pct"/>
            <w:gridSpan w:val="2"/>
          </w:tcPr>
          <w:p w14:paraId="038A443B" w14:textId="77777777" w:rsidR="00296FA7" w:rsidRDefault="00296FA7" w:rsidP="001A5D4A">
            <w:pPr>
              <w:pStyle w:val="Note-Refs"/>
              <w:rPr>
                <w:b/>
              </w:rPr>
            </w:pPr>
            <w:r>
              <w:t>AASB13.93d</w:t>
            </w:r>
          </w:p>
        </w:tc>
        <w:tc>
          <w:tcPr>
            <w:tcW w:w="4179" w:type="pct"/>
          </w:tcPr>
          <w:p w14:paraId="038A443C" w14:textId="77777777" w:rsidR="00296FA7" w:rsidRPr="00824502" w:rsidRDefault="00296FA7" w:rsidP="001A5D4A">
            <w:pPr>
              <w:pStyle w:val="NotesTable-ItemPlain"/>
              <w:rPr>
                <w:highlight w:val="yellow"/>
              </w:rPr>
            </w:pPr>
            <w:r w:rsidRPr="00824502">
              <w:t>Derivative contracts classified as held for trading are fair valued by comparing the contracted rate to the current market rate for a contract with the same remaining period to maturity.</w:t>
            </w:r>
          </w:p>
        </w:tc>
      </w:tr>
      <w:tr w:rsidR="00296FA7" w:rsidRPr="00606AC4" w14:paraId="038A4440" w14:textId="77777777" w:rsidTr="003411A8">
        <w:trPr>
          <w:trHeight w:hRule="exact" w:val="85"/>
        </w:trPr>
        <w:tc>
          <w:tcPr>
            <w:tcW w:w="821" w:type="pct"/>
            <w:gridSpan w:val="2"/>
          </w:tcPr>
          <w:p w14:paraId="038A443E" w14:textId="77777777" w:rsidR="00296FA7" w:rsidRDefault="00296FA7" w:rsidP="001A5D4A">
            <w:pPr>
              <w:pStyle w:val="Note-Refs"/>
            </w:pPr>
          </w:p>
        </w:tc>
        <w:tc>
          <w:tcPr>
            <w:tcW w:w="4179" w:type="pct"/>
          </w:tcPr>
          <w:p w14:paraId="038A443F" w14:textId="77777777" w:rsidR="00296FA7" w:rsidRPr="00606AC4" w:rsidRDefault="00296FA7" w:rsidP="001A5D4A">
            <w:pPr>
              <w:pStyle w:val="NotesTable-ItemPlain"/>
              <w:rPr>
                <w:highlight w:val="yellow"/>
              </w:rPr>
            </w:pPr>
          </w:p>
        </w:tc>
      </w:tr>
      <w:tr w:rsidR="00296FA7" w:rsidRPr="008677E3" w14:paraId="038A4443" w14:textId="77777777" w:rsidTr="003411A8">
        <w:trPr>
          <w:trHeight w:val="227"/>
        </w:trPr>
        <w:tc>
          <w:tcPr>
            <w:tcW w:w="821" w:type="pct"/>
            <w:gridSpan w:val="2"/>
          </w:tcPr>
          <w:p w14:paraId="038A4441" w14:textId="77777777" w:rsidR="00296FA7" w:rsidRDefault="00296FA7" w:rsidP="001A5D4A">
            <w:pPr>
              <w:pStyle w:val="Note-Refs"/>
            </w:pPr>
          </w:p>
        </w:tc>
        <w:tc>
          <w:tcPr>
            <w:tcW w:w="4179" w:type="pct"/>
          </w:tcPr>
          <w:p w14:paraId="038A4442" w14:textId="77777777" w:rsidR="00296FA7" w:rsidRPr="008677E3" w:rsidRDefault="00296FA7" w:rsidP="001A5D4A">
            <w:pPr>
              <w:pStyle w:val="Note-TextHeader"/>
              <w:rPr>
                <w:highlight w:val="yellow"/>
              </w:rPr>
            </w:pPr>
            <w:r w:rsidRPr="008677E3">
              <w:t>(c)</w:t>
            </w:r>
            <w:r w:rsidR="008942E9">
              <w:t xml:space="preserve"> </w:t>
            </w:r>
            <w:r w:rsidR="008942E9">
              <w:tab/>
            </w:r>
            <w:r w:rsidRPr="008677E3">
              <w:t>Valuation techniques used to derive level 2 and level 3 fair values</w:t>
            </w:r>
          </w:p>
        </w:tc>
      </w:tr>
      <w:tr w:rsidR="00296FA7" w:rsidRPr="00824502" w14:paraId="038A4446" w14:textId="77777777" w:rsidTr="003411A8">
        <w:trPr>
          <w:trHeight w:hRule="exact" w:val="227"/>
        </w:trPr>
        <w:tc>
          <w:tcPr>
            <w:tcW w:w="821" w:type="pct"/>
            <w:gridSpan w:val="2"/>
          </w:tcPr>
          <w:p w14:paraId="038A4444" w14:textId="77777777" w:rsidR="00296FA7" w:rsidRDefault="00296FA7" w:rsidP="001A5D4A">
            <w:pPr>
              <w:pStyle w:val="Note-Refs"/>
            </w:pPr>
          </w:p>
        </w:tc>
        <w:tc>
          <w:tcPr>
            <w:tcW w:w="4179" w:type="pct"/>
          </w:tcPr>
          <w:p w14:paraId="038A4445" w14:textId="77777777" w:rsidR="00296FA7" w:rsidRPr="00824502" w:rsidRDefault="00296FA7" w:rsidP="001A5D4A">
            <w:pPr>
              <w:pStyle w:val="Note-TextSubheader"/>
            </w:pPr>
            <w:r w:rsidRPr="00824502">
              <w:t>(i) Recurring fair value measurements</w:t>
            </w:r>
          </w:p>
        </w:tc>
      </w:tr>
      <w:tr w:rsidR="00296FA7" w:rsidRPr="00824502" w14:paraId="038A4449" w14:textId="77777777" w:rsidTr="003411A8">
        <w:trPr>
          <w:cantSplit/>
          <w:trHeight w:val="227"/>
        </w:trPr>
        <w:tc>
          <w:tcPr>
            <w:tcW w:w="821" w:type="pct"/>
            <w:gridSpan w:val="2"/>
          </w:tcPr>
          <w:p w14:paraId="038A4447" w14:textId="77777777" w:rsidR="00296FA7" w:rsidRDefault="00296FA7" w:rsidP="001A5D4A">
            <w:pPr>
              <w:pStyle w:val="Note-Refs"/>
            </w:pPr>
            <w:r>
              <w:t>AASB13.91a, 93d</w:t>
            </w:r>
          </w:p>
        </w:tc>
        <w:tc>
          <w:tcPr>
            <w:tcW w:w="4179" w:type="pct"/>
          </w:tcPr>
          <w:p w14:paraId="038A4448" w14:textId="4903FD8E" w:rsidR="00296FA7" w:rsidRPr="00824502" w:rsidRDefault="00296FA7" w:rsidP="001A5D4A">
            <w:pPr>
              <w:pStyle w:val="NotesTable-ItemPlain"/>
              <w:rPr>
                <w:highlight w:val="yellow"/>
              </w:rPr>
            </w:pPr>
            <w:r w:rsidRPr="00824502">
              <w:t>The fair value of financial instruments that are not traded in an active market (for example, over</w:t>
            </w:r>
            <w:r w:rsidRPr="00824502">
              <w:noBreakHyphen/>
              <w:t>the</w:t>
            </w:r>
            <w:r w:rsidRPr="00824502">
              <w:noBreakHyphen/>
              <w:t>counter derivatives) is determined using valuation techniques. These valuation techniques maximise the use of observable market data where it is available and rely as little as possible on entity specific estimates.</w:t>
            </w:r>
            <w:r w:rsidR="001A35D6">
              <w:t xml:space="preserve"> </w:t>
            </w:r>
            <w:r w:rsidRPr="00824502">
              <w:t xml:space="preserve">If all significant inputs required to fair value an instrument are observable, the instrument is included in level 2. </w:t>
            </w:r>
          </w:p>
        </w:tc>
      </w:tr>
      <w:tr w:rsidR="00296FA7" w:rsidRPr="00824502" w14:paraId="038A444C" w14:textId="77777777" w:rsidTr="003411A8">
        <w:trPr>
          <w:trHeight w:hRule="exact" w:val="85"/>
        </w:trPr>
        <w:tc>
          <w:tcPr>
            <w:tcW w:w="821" w:type="pct"/>
            <w:gridSpan w:val="2"/>
          </w:tcPr>
          <w:p w14:paraId="038A444A" w14:textId="77777777" w:rsidR="00296FA7" w:rsidRPr="005C0D27" w:rsidRDefault="00296FA7" w:rsidP="001A5D4A">
            <w:pPr>
              <w:pStyle w:val="Note-Refs"/>
            </w:pPr>
          </w:p>
        </w:tc>
        <w:tc>
          <w:tcPr>
            <w:tcW w:w="4179" w:type="pct"/>
            <w:vAlign w:val="bottom"/>
          </w:tcPr>
          <w:p w14:paraId="038A444B" w14:textId="77777777" w:rsidR="00296FA7" w:rsidRPr="00824502" w:rsidRDefault="00296FA7" w:rsidP="001A5D4A">
            <w:pPr>
              <w:pStyle w:val="NotesTable-ItemPlain"/>
            </w:pPr>
          </w:p>
        </w:tc>
      </w:tr>
      <w:tr w:rsidR="00296FA7" w:rsidRPr="00824502" w14:paraId="038A444F" w14:textId="77777777" w:rsidTr="003411A8">
        <w:trPr>
          <w:trHeight w:val="227"/>
        </w:trPr>
        <w:tc>
          <w:tcPr>
            <w:tcW w:w="821" w:type="pct"/>
            <w:gridSpan w:val="2"/>
          </w:tcPr>
          <w:p w14:paraId="038A444D" w14:textId="77777777" w:rsidR="00296FA7" w:rsidRPr="005C0D27" w:rsidRDefault="00296FA7" w:rsidP="001A5D4A">
            <w:pPr>
              <w:pStyle w:val="Note-Refs"/>
            </w:pPr>
          </w:p>
        </w:tc>
        <w:tc>
          <w:tcPr>
            <w:tcW w:w="4179" w:type="pct"/>
            <w:vAlign w:val="bottom"/>
          </w:tcPr>
          <w:p w14:paraId="038A444E" w14:textId="764562DB" w:rsidR="00296FA7" w:rsidRPr="00824502" w:rsidRDefault="00296FA7" w:rsidP="001A5D4A">
            <w:pPr>
              <w:pStyle w:val="NotesTable-ItemPlain"/>
            </w:pPr>
            <w:r w:rsidRPr="00824502">
              <w:t>If one or more of the significant inputs is not based on observable market data, the instrument is included in level 3. This is the case for unlisted equity securities.</w:t>
            </w:r>
          </w:p>
        </w:tc>
      </w:tr>
      <w:tr w:rsidR="00296FA7" w:rsidRPr="00824502" w14:paraId="038A4452" w14:textId="77777777" w:rsidTr="003411A8">
        <w:trPr>
          <w:trHeight w:hRule="exact" w:val="85"/>
        </w:trPr>
        <w:tc>
          <w:tcPr>
            <w:tcW w:w="821" w:type="pct"/>
            <w:gridSpan w:val="2"/>
          </w:tcPr>
          <w:p w14:paraId="038A4450" w14:textId="77777777" w:rsidR="00296FA7" w:rsidRPr="005C0D27" w:rsidRDefault="00296FA7" w:rsidP="001A5D4A">
            <w:pPr>
              <w:pStyle w:val="Note-Refs"/>
            </w:pPr>
          </w:p>
        </w:tc>
        <w:tc>
          <w:tcPr>
            <w:tcW w:w="4179" w:type="pct"/>
            <w:vAlign w:val="bottom"/>
          </w:tcPr>
          <w:p w14:paraId="038A4451" w14:textId="77777777" w:rsidR="00296FA7" w:rsidRPr="00824502" w:rsidRDefault="00296FA7" w:rsidP="001A5D4A">
            <w:pPr>
              <w:pStyle w:val="NotesTable-ItemPlain"/>
            </w:pPr>
          </w:p>
        </w:tc>
      </w:tr>
      <w:tr w:rsidR="00296FA7" w:rsidRPr="00824502" w14:paraId="038A4455" w14:textId="77777777" w:rsidTr="003411A8">
        <w:trPr>
          <w:trHeight w:val="227"/>
        </w:trPr>
        <w:tc>
          <w:tcPr>
            <w:tcW w:w="821" w:type="pct"/>
            <w:gridSpan w:val="2"/>
          </w:tcPr>
          <w:p w14:paraId="038A4453" w14:textId="77777777" w:rsidR="00296FA7" w:rsidRPr="005C0D27" w:rsidRDefault="00296FA7" w:rsidP="001A5D4A">
            <w:pPr>
              <w:pStyle w:val="Note-Refs"/>
            </w:pPr>
          </w:p>
        </w:tc>
        <w:tc>
          <w:tcPr>
            <w:tcW w:w="4179" w:type="pct"/>
            <w:vAlign w:val="bottom"/>
          </w:tcPr>
          <w:p w14:paraId="038A4454" w14:textId="5EEE5030" w:rsidR="00296FA7" w:rsidRPr="00824502" w:rsidRDefault="00296FA7" w:rsidP="001A5D4A">
            <w:pPr>
              <w:pStyle w:val="NotesTable-ItemPlain"/>
            </w:pPr>
            <w:r w:rsidRPr="00824502">
              <w:t>The Group uses a variety of methods and makes assumptions that are based on market conditions existing at each balance date</w:t>
            </w:r>
            <w:r>
              <w:t xml:space="preserve">. </w:t>
            </w:r>
            <w:r w:rsidRPr="00824502">
              <w:t>Specific valuation techniques used to value financial instruments include:</w:t>
            </w:r>
          </w:p>
        </w:tc>
      </w:tr>
      <w:tr w:rsidR="00296FA7" w:rsidRPr="00F61D7B" w14:paraId="038A4458" w14:textId="77777777" w:rsidTr="003411A8">
        <w:trPr>
          <w:trHeight w:hRule="exact" w:val="227"/>
        </w:trPr>
        <w:tc>
          <w:tcPr>
            <w:tcW w:w="821" w:type="pct"/>
            <w:gridSpan w:val="2"/>
          </w:tcPr>
          <w:p w14:paraId="038A4456" w14:textId="77777777" w:rsidR="00296FA7" w:rsidRPr="005C0D27" w:rsidRDefault="00296FA7" w:rsidP="001A5D4A">
            <w:pPr>
              <w:pStyle w:val="Note-Refs"/>
            </w:pPr>
          </w:p>
        </w:tc>
        <w:tc>
          <w:tcPr>
            <w:tcW w:w="4179" w:type="pct"/>
            <w:vAlign w:val="bottom"/>
          </w:tcPr>
          <w:p w14:paraId="038A4457" w14:textId="77777777" w:rsidR="00296FA7" w:rsidRPr="00F61D7B" w:rsidRDefault="009C1FAC" w:rsidP="001A5D4A">
            <w:pPr>
              <w:pStyle w:val="Note-Text"/>
              <w:numPr>
                <w:ilvl w:val="0"/>
                <w:numId w:val="3"/>
              </w:numPr>
            </w:pPr>
            <w:r>
              <w:t>t</w:t>
            </w:r>
            <w:r w:rsidR="00296FA7">
              <w:t>he use of quoted market prices or dealer quotes for similar instruments</w:t>
            </w:r>
          </w:p>
        </w:tc>
      </w:tr>
      <w:tr w:rsidR="00296FA7" w:rsidRPr="00F61D7B" w14:paraId="038A445B" w14:textId="77777777" w:rsidTr="003411A8">
        <w:trPr>
          <w:trHeight w:val="227"/>
        </w:trPr>
        <w:tc>
          <w:tcPr>
            <w:tcW w:w="821" w:type="pct"/>
            <w:gridSpan w:val="2"/>
          </w:tcPr>
          <w:p w14:paraId="038A4459" w14:textId="77777777" w:rsidR="00296FA7" w:rsidRPr="005C0D27" w:rsidRDefault="00296FA7" w:rsidP="001A5D4A">
            <w:pPr>
              <w:pStyle w:val="Note-Refs"/>
            </w:pPr>
          </w:p>
        </w:tc>
        <w:tc>
          <w:tcPr>
            <w:tcW w:w="4179" w:type="pct"/>
            <w:vAlign w:val="bottom"/>
          </w:tcPr>
          <w:p w14:paraId="038A445A" w14:textId="77777777" w:rsidR="00296FA7" w:rsidRPr="00F61D7B" w:rsidRDefault="009C1FAC" w:rsidP="001A5D4A">
            <w:pPr>
              <w:pStyle w:val="Note-Text"/>
              <w:numPr>
                <w:ilvl w:val="0"/>
                <w:numId w:val="3"/>
              </w:numPr>
            </w:pPr>
            <w:r>
              <w:t>t</w:t>
            </w:r>
            <w:r w:rsidR="00296FA7">
              <w:t>he fair value of interest rate swaps is calculated as the present value of the estimated future cash flows based on observable yield curves</w:t>
            </w:r>
          </w:p>
        </w:tc>
      </w:tr>
      <w:tr w:rsidR="00296FA7" w:rsidRPr="00F61D7B" w14:paraId="038A445E" w14:textId="77777777" w:rsidTr="003411A8">
        <w:trPr>
          <w:trHeight w:val="227"/>
        </w:trPr>
        <w:tc>
          <w:tcPr>
            <w:tcW w:w="821" w:type="pct"/>
            <w:gridSpan w:val="2"/>
          </w:tcPr>
          <w:p w14:paraId="038A445C" w14:textId="77777777" w:rsidR="00296FA7" w:rsidRPr="005C0D27" w:rsidRDefault="00296FA7" w:rsidP="001A5D4A">
            <w:pPr>
              <w:pStyle w:val="Note-Refs"/>
            </w:pPr>
          </w:p>
        </w:tc>
        <w:tc>
          <w:tcPr>
            <w:tcW w:w="4179" w:type="pct"/>
            <w:vAlign w:val="bottom"/>
          </w:tcPr>
          <w:p w14:paraId="038A445D" w14:textId="46905171" w:rsidR="00296FA7" w:rsidRPr="00F61D7B" w:rsidRDefault="009C1FAC" w:rsidP="001A5D4A">
            <w:pPr>
              <w:pStyle w:val="Note-Text"/>
              <w:numPr>
                <w:ilvl w:val="0"/>
                <w:numId w:val="3"/>
              </w:numPr>
            </w:pPr>
            <w:r>
              <w:t>t</w:t>
            </w:r>
            <w:r w:rsidR="00296FA7">
              <w:t xml:space="preserve">he fair value of forward foreign exchange contracts is determined using forward exchange rates at the </w:t>
            </w:r>
            <w:r w:rsidR="007A534E">
              <w:t>end of the reporting period</w:t>
            </w:r>
          </w:p>
        </w:tc>
      </w:tr>
      <w:tr w:rsidR="00296FA7" w:rsidRPr="00F61D7B" w14:paraId="038A4461" w14:textId="77777777" w:rsidTr="003411A8">
        <w:trPr>
          <w:trHeight w:val="227"/>
        </w:trPr>
        <w:tc>
          <w:tcPr>
            <w:tcW w:w="821" w:type="pct"/>
            <w:gridSpan w:val="2"/>
          </w:tcPr>
          <w:p w14:paraId="038A445F" w14:textId="77777777" w:rsidR="00296FA7" w:rsidRPr="005C0D27" w:rsidRDefault="00296FA7" w:rsidP="001A5D4A">
            <w:pPr>
              <w:pStyle w:val="Note-Refs"/>
            </w:pPr>
          </w:p>
        </w:tc>
        <w:tc>
          <w:tcPr>
            <w:tcW w:w="4179" w:type="pct"/>
            <w:vAlign w:val="bottom"/>
          </w:tcPr>
          <w:p w14:paraId="038A4460" w14:textId="77777777" w:rsidR="00296FA7" w:rsidRPr="00F61D7B" w:rsidRDefault="009C1FAC" w:rsidP="001A5D4A">
            <w:pPr>
              <w:pStyle w:val="Note-Text"/>
              <w:numPr>
                <w:ilvl w:val="0"/>
                <w:numId w:val="3"/>
              </w:numPr>
            </w:pPr>
            <w:r>
              <w:t>o</w:t>
            </w:r>
            <w:r w:rsidR="00296FA7">
              <w:t>ther techniques, such as discounted cash flow analysis, are used to determine fair value for the remaining financial instruments</w:t>
            </w:r>
          </w:p>
        </w:tc>
      </w:tr>
      <w:tr w:rsidR="00296FA7" w:rsidRPr="00F61D7B" w14:paraId="038A4464" w14:textId="77777777" w:rsidTr="003411A8">
        <w:trPr>
          <w:trHeight w:hRule="exact" w:val="227"/>
        </w:trPr>
        <w:tc>
          <w:tcPr>
            <w:tcW w:w="821" w:type="pct"/>
            <w:gridSpan w:val="2"/>
          </w:tcPr>
          <w:p w14:paraId="038A4462" w14:textId="77777777" w:rsidR="00296FA7" w:rsidRPr="005C0D27" w:rsidRDefault="00296FA7" w:rsidP="001A5D4A">
            <w:pPr>
              <w:pStyle w:val="Note-Refs"/>
            </w:pPr>
          </w:p>
        </w:tc>
        <w:tc>
          <w:tcPr>
            <w:tcW w:w="4179" w:type="pct"/>
            <w:vAlign w:val="bottom"/>
          </w:tcPr>
          <w:p w14:paraId="038A4463" w14:textId="77777777" w:rsidR="00296FA7" w:rsidRPr="00F61D7B" w:rsidRDefault="00296FA7" w:rsidP="001A5D4A">
            <w:pPr>
              <w:pStyle w:val="Note-Text"/>
              <w:numPr>
                <w:ilvl w:val="0"/>
                <w:numId w:val="3"/>
              </w:numPr>
            </w:pPr>
            <w:r>
              <w:t>[Specify as required]</w:t>
            </w:r>
          </w:p>
        </w:tc>
      </w:tr>
      <w:tr w:rsidR="00296FA7" w:rsidRPr="00F61D7B" w14:paraId="038A4467" w14:textId="77777777" w:rsidTr="003411A8">
        <w:trPr>
          <w:trHeight w:hRule="exact" w:val="85"/>
        </w:trPr>
        <w:tc>
          <w:tcPr>
            <w:tcW w:w="821" w:type="pct"/>
            <w:gridSpan w:val="2"/>
          </w:tcPr>
          <w:p w14:paraId="038A4465" w14:textId="77777777" w:rsidR="00296FA7" w:rsidRPr="005C0D27" w:rsidRDefault="00296FA7" w:rsidP="001A5D4A">
            <w:pPr>
              <w:pStyle w:val="Note-Refs"/>
            </w:pPr>
          </w:p>
        </w:tc>
        <w:tc>
          <w:tcPr>
            <w:tcW w:w="4179" w:type="pct"/>
            <w:vAlign w:val="bottom"/>
          </w:tcPr>
          <w:p w14:paraId="038A4466" w14:textId="77777777" w:rsidR="00296FA7" w:rsidRDefault="00296FA7" w:rsidP="001A5D4A">
            <w:pPr>
              <w:pStyle w:val="Note-Text"/>
            </w:pPr>
          </w:p>
        </w:tc>
      </w:tr>
      <w:tr w:rsidR="00296FA7" w:rsidRPr="00F61D7B" w14:paraId="038A446A" w14:textId="77777777" w:rsidTr="003411A8">
        <w:trPr>
          <w:trHeight w:val="159"/>
        </w:trPr>
        <w:tc>
          <w:tcPr>
            <w:tcW w:w="821" w:type="pct"/>
            <w:gridSpan w:val="2"/>
          </w:tcPr>
          <w:p w14:paraId="038A4468" w14:textId="77777777" w:rsidR="00296FA7" w:rsidRPr="005C0D27" w:rsidRDefault="00296FA7" w:rsidP="001A5D4A">
            <w:pPr>
              <w:pStyle w:val="Note-Refs"/>
            </w:pPr>
          </w:p>
        </w:tc>
        <w:tc>
          <w:tcPr>
            <w:tcW w:w="4179" w:type="pct"/>
            <w:vAlign w:val="bottom"/>
          </w:tcPr>
          <w:p w14:paraId="038A4469" w14:textId="2356DCEF" w:rsidR="00296FA7" w:rsidRDefault="00296FA7" w:rsidP="001A5D4A">
            <w:pPr>
              <w:pStyle w:val="NotesTable-ItemPlain"/>
            </w:pPr>
            <w:r>
              <w:t>[The contingent consideration receivable was valued by applying the income approach as described in note 4</w:t>
            </w:r>
            <w:r w:rsidR="00B725DE">
              <w:t>3</w:t>
            </w:r>
            <w:r w:rsidR="00EB1E15">
              <w:t>(business combinations)</w:t>
            </w:r>
            <w:r w:rsidR="00B725DE">
              <w:t>]</w:t>
            </w:r>
          </w:p>
        </w:tc>
      </w:tr>
      <w:tr w:rsidR="00296FA7" w:rsidRPr="00824502" w14:paraId="038A446D" w14:textId="77777777" w:rsidTr="003411A8">
        <w:trPr>
          <w:trHeight w:hRule="exact" w:val="85"/>
        </w:trPr>
        <w:tc>
          <w:tcPr>
            <w:tcW w:w="821" w:type="pct"/>
            <w:gridSpan w:val="2"/>
          </w:tcPr>
          <w:p w14:paraId="038A446B" w14:textId="77777777" w:rsidR="00296FA7" w:rsidRPr="005C0D27" w:rsidRDefault="00296FA7" w:rsidP="001A5D4A">
            <w:pPr>
              <w:pStyle w:val="Note-Refs"/>
            </w:pPr>
          </w:p>
        </w:tc>
        <w:tc>
          <w:tcPr>
            <w:tcW w:w="4179" w:type="pct"/>
            <w:vAlign w:val="bottom"/>
          </w:tcPr>
          <w:p w14:paraId="038A446C" w14:textId="77777777" w:rsidR="00296FA7" w:rsidRPr="00824502" w:rsidRDefault="00296FA7" w:rsidP="001A5D4A">
            <w:pPr>
              <w:pStyle w:val="NotesTable-ItemPlain"/>
            </w:pPr>
          </w:p>
        </w:tc>
      </w:tr>
      <w:tr w:rsidR="00296FA7" w:rsidRPr="00824502" w14:paraId="038A4470" w14:textId="77777777" w:rsidTr="003411A8">
        <w:trPr>
          <w:trHeight w:val="227"/>
        </w:trPr>
        <w:tc>
          <w:tcPr>
            <w:tcW w:w="821" w:type="pct"/>
            <w:gridSpan w:val="2"/>
          </w:tcPr>
          <w:p w14:paraId="038A446E" w14:textId="1A414BD0" w:rsidR="00296FA7" w:rsidRPr="005C0D27" w:rsidRDefault="00296FA7" w:rsidP="001A5D4A">
            <w:pPr>
              <w:pStyle w:val="Note-Refs"/>
            </w:pPr>
          </w:p>
        </w:tc>
        <w:tc>
          <w:tcPr>
            <w:tcW w:w="4179" w:type="pct"/>
            <w:vAlign w:val="bottom"/>
          </w:tcPr>
          <w:p w14:paraId="038A446F" w14:textId="77777777" w:rsidR="00296FA7" w:rsidRPr="00824502" w:rsidRDefault="00296FA7" w:rsidP="001A5D4A">
            <w:pPr>
              <w:pStyle w:val="NotesTable-ItemPlain"/>
            </w:pPr>
            <w:r w:rsidRPr="00824502">
              <w:t>All of the resulting fair value estimates are included in level 2 except for unlisted equity securities, [specify] explained in (</w:t>
            </w:r>
            <w:r w:rsidR="008942E9">
              <w:t>d</w:t>
            </w:r>
            <w:r w:rsidRPr="00824502">
              <w:t>) below.</w:t>
            </w:r>
          </w:p>
        </w:tc>
      </w:tr>
      <w:tr w:rsidR="00296FA7" w:rsidRPr="00824502" w14:paraId="038A4473" w14:textId="77777777" w:rsidTr="003411A8">
        <w:trPr>
          <w:trHeight w:hRule="exact" w:val="85"/>
        </w:trPr>
        <w:tc>
          <w:tcPr>
            <w:tcW w:w="821" w:type="pct"/>
            <w:gridSpan w:val="2"/>
          </w:tcPr>
          <w:p w14:paraId="038A4471" w14:textId="77777777" w:rsidR="00296FA7" w:rsidRPr="005C0D27" w:rsidRDefault="00296FA7" w:rsidP="001A5D4A">
            <w:pPr>
              <w:pStyle w:val="Note-Refs"/>
            </w:pPr>
          </w:p>
        </w:tc>
        <w:tc>
          <w:tcPr>
            <w:tcW w:w="4179" w:type="pct"/>
            <w:vAlign w:val="bottom"/>
          </w:tcPr>
          <w:p w14:paraId="038A4472" w14:textId="77777777" w:rsidR="00296FA7" w:rsidRPr="00824502" w:rsidRDefault="00296FA7" w:rsidP="001A5D4A">
            <w:pPr>
              <w:pStyle w:val="NotesTable-ItemPlain"/>
            </w:pPr>
          </w:p>
        </w:tc>
      </w:tr>
      <w:tr w:rsidR="00AC681A" w:rsidRPr="00824502" w14:paraId="038A4476" w14:textId="77777777" w:rsidTr="003411A8">
        <w:trPr>
          <w:trHeight w:val="227"/>
        </w:trPr>
        <w:tc>
          <w:tcPr>
            <w:tcW w:w="821" w:type="pct"/>
            <w:gridSpan w:val="2"/>
          </w:tcPr>
          <w:p w14:paraId="038A4474" w14:textId="77777777" w:rsidR="00AC681A" w:rsidRPr="005C0D27" w:rsidRDefault="00AC681A" w:rsidP="001A5D4A">
            <w:pPr>
              <w:pStyle w:val="Note-Refs"/>
            </w:pPr>
          </w:p>
        </w:tc>
        <w:tc>
          <w:tcPr>
            <w:tcW w:w="4179" w:type="pct"/>
            <w:vAlign w:val="bottom"/>
          </w:tcPr>
          <w:p w14:paraId="038A4475" w14:textId="14DDC817" w:rsidR="00AC681A" w:rsidRPr="00824502" w:rsidRDefault="00AC681A" w:rsidP="001A5D4A">
            <w:pPr>
              <w:pStyle w:val="NotesTable-ItemPlain"/>
            </w:pPr>
            <w:r>
              <w:t xml:space="preserve">Investment properties are valued independently (specify period) and freehold land and building (classified as property, plant and equipment) </w:t>
            </w:r>
            <w:r w:rsidR="004C7A08">
              <w:t>at least every three years. At the end of each reporting period, the Group updates their assessment of the fair value of each property, taking into account the most recent independent valuations. The Group determines the property’s value within a range of reasonable fair value estimates.</w:t>
            </w:r>
          </w:p>
        </w:tc>
      </w:tr>
      <w:tr w:rsidR="004C7A08" w:rsidRPr="00824502" w14:paraId="038A4479" w14:textId="77777777" w:rsidTr="003411A8">
        <w:trPr>
          <w:trHeight w:hRule="exact" w:val="85"/>
        </w:trPr>
        <w:tc>
          <w:tcPr>
            <w:tcW w:w="821" w:type="pct"/>
            <w:gridSpan w:val="2"/>
          </w:tcPr>
          <w:p w14:paraId="038A4477" w14:textId="77777777" w:rsidR="004C7A08" w:rsidRPr="005C0D27" w:rsidRDefault="004C7A08" w:rsidP="001A5D4A">
            <w:pPr>
              <w:pStyle w:val="Note-Refs"/>
            </w:pPr>
          </w:p>
        </w:tc>
        <w:tc>
          <w:tcPr>
            <w:tcW w:w="4179" w:type="pct"/>
            <w:vAlign w:val="bottom"/>
          </w:tcPr>
          <w:p w14:paraId="038A4478" w14:textId="77777777" w:rsidR="004C7A08" w:rsidRDefault="004C7A08" w:rsidP="001A5D4A">
            <w:pPr>
              <w:pStyle w:val="NotesTable-ItemPlain"/>
            </w:pPr>
          </w:p>
        </w:tc>
      </w:tr>
      <w:tr w:rsidR="00BD175A" w:rsidRPr="00824502" w14:paraId="038A4480" w14:textId="77777777" w:rsidTr="003411A8">
        <w:trPr>
          <w:trHeight w:val="227"/>
        </w:trPr>
        <w:tc>
          <w:tcPr>
            <w:tcW w:w="821" w:type="pct"/>
            <w:gridSpan w:val="2"/>
          </w:tcPr>
          <w:p w14:paraId="038A447E" w14:textId="77777777" w:rsidR="00BD175A" w:rsidRPr="005C0D27" w:rsidRDefault="00BD175A" w:rsidP="001A5D4A">
            <w:pPr>
              <w:pStyle w:val="Note-Refs"/>
            </w:pPr>
          </w:p>
        </w:tc>
        <w:tc>
          <w:tcPr>
            <w:tcW w:w="4179" w:type="pct"/>
            <w:vAlign w:val="bottom"/>
          </w:tcPr>
          <w:p w14:paraId="038A447F" w14:textId="672C0EFB" w:rsidR="00BD175A" w:rsidRPr="00824502" w:rsidRDefault="00BD175A" w:rsidP="001A5D4A">
            <w:pPr>
              <w:pStyle w:val="NotesTable-ItemPlain"/>
            </w:pPr>
            <w:r>
              <w:t xml:space="preserve">The best evidence of fair value is current prices </w:t>
            </w:r>
            <w:r w:rsidR="002A430C">
              <w:t>in an</w:t>
            </w:r>
            <w:r>
              <w:t xml:space="preserve"> active market for similar properties. Where such information is not available the Group considers information from a variety of sources, including:</w:t>
            </w:r>
          </w:p>
        </w:tc>
      </w:tr>
      <w:tr w:rsidR="00BD175A" w14:paraId="038A4483" w14:textId="77777777" w:rsidTr="003411A8">
        <w:trPr>
          <w:trHeight w:val="227"/>
        </w:trPr>
        <w:tc>
          <w:tcPr>
            <w:tcW w:w="821" w:type="pct"/>
            <w:gridSpan w:val="2"/>
          </w:tcPr>
          <w:p w14:paraId="038A4481" w14:textId="77777777" w:rsidR="00BD175A" w:rsidRPr="005C0D27" w:rsidRDefault="00BD175A" w:rsidP="001A5D4A">
            <w:pPr>
              <w:pStyle w:val="Note-Refs"/>
            </w:pPr>
          </w:p>
        </w:tc>
        <w:tc>
          <w:tcPr>
            <w:tcW w:w="4179" w:type="pct"/>
            <w:vAlign w:val="bottom"/>
          </w:tcPr>
          <w:p w14:paraId="038A4482" w14:textId="77777777" w:rsidR="00BD175A" w:rsidRDefault="00BD175A" w:rsidP="001A5D4A">
            <w:pPr>
              <w:pStyle w:val="Note-Text"/>
            </w:pPr>
            <w:r w:rsidRPr="004C7A08">
              <w:t>•</w:t>
            </w:r>
            <w:r w:rsidRPr="004C7A08">
              <w:tab/>
            </w:r>
            <w:r>
              <w:t>current prices in an active market for properties of different nature or recent prices of similar properties in less active markets, adjusted to reflect those differences</w:t>
            </w:r>
          </w:p>
        </w:tc>
      </w:tr>
      <w:tr w:rsidR="00BD175A" w14:paraId="038A4486" w14:textId="77777777" w:rsidTr="003411A8">
        <w:trPr>
          <w:trHeight w:val="227"/>
        </w:trPr>
        <w:tc>
          <w:tcPr>
            <w:tcW w:w="821" w:type="pct"/>
            <w:gridSpan w:val="2"/>
          </w:tcPr>
          <w:p w14:paraId="038A4484" w14:textId="77777777" w:rsidR="00BD175A" w:rsidRPr="005C0D27" w:rsidRDefault="00BD175A" w:rsidP="001A5D4A">
            <w:pPr>
              <w:pStyle w:val="Note-Refs"/>
            </w:pPr>
          </w:p>
        </w:tc>
        <w:tc>
          <w:tcPr>
            <w:tcW w:w="4179" w:type="pct"/>
            <w:vAlign w:val="bottom"/>
          </w:tcPr>
          <w:p w14:paraId="038A4485" w14:textId="77777777" w:rsidR="00BD175A" w:rsidRDefault="00BD175A" w:rsidP="001A5D4A">
            <w:pPr>
              <w:pStyle w:val="Note-Text"/>
            </w:pPr>
            <w:r w:rsidRPr="004C7A08">
              <w:t>•</w:t>
            </w:r>
            <w:r w:rsidRPr="004C7A08">
              <w:tab/>
            </w:r>
            <w:r>
              <w:t>discounted cash flow projections based on reliable estimates of future cash flows</w:t>
            </w:r>
          </w:p>
        </w:tc>
      </w:tr>
      <w:tr w:rsidR="00BD175A" w14:paraId="038A4489" w14:textId="77777777" w:rsidTr="003411A8">
        <w:trPr>
          <w:trHeight w:val="227"/>
        </w:trPr>
        <w:tc>
          <w:tcPr>
            <w:tcW w:w="821" w:type="pct"/>
            <w:gridSpan w:val="2"/>
          </w:tcPr>
          <w:p w14:paraId="038A4487" w14:textId="77777777" w:rsidR="00BD175A" w:rsidRPr="005C0D27" w:rsidRDefault="00BD175A" w:rsidP="001A5D4A">
            <w:pPr>
              <w:pStyle w:val="Note-Refs"/>
            </w:pPr>
          </w:p>
        </w:tc>
        <w:tc>
          <w:tcPr>
            <w:tcW w:w="4179" w:type="pct"/>
            <w:vAlign w:val="bottom"/>
          </w:tcPr>
          <w:p w14:paraId="038A4488" w14:textId="77777777" w:rsidR="00BD175A" w:rsidRDefault="00BD175A" w:rsidP="001A5D4A">
            <w:pPr>
              <w:pStyle w:val="Note-Text"/>
            </w:pPr>
            <w:r w:rsidRPr="004C7A08">
              <w:t>•</w:t>
            </w:r>
            <w:r w:rsidRPr="004C7A08">
              <w:tab/>
            </w:r>
            <w:r>
              <w:t>capitalised income projections based on a property’s estimated net market income, and a capitalisation rate derived from an analysis of market evidence</w:t>
            </w:r>
          </w:p>
        </w:tc>
      </w:tr>
      <w:tr w:rsidR="009C1FAC" w:rsidRPr="00824502" w14:paraId="038A448C" w14:textId="77777777" w:rsidTr="003411A8">
        <w:trPr>
          <w:trHeight w:val="227"/>
        </w:trPr>
        <w:tc>
          <w:tcPr>
            <w:tcW w:w="821" w:type="pct"/>
            <w:gridSpan w:val="2"/>
          </w:tcPr>
          <w:p w14:paraId="038A448A" w14:textId="77777777" w:rsidR="009C1FAC" w:rsidRPr="005C0D27" w:rsidRDefault="009C1FAC" w:rsidP="001A5D4A">
            <w:pPr>
              <w:pStyle w:val="Note-Refs"/>
            </w:pPr>
          </w:p>
        </w:tc>
        <w:tc>
          <w:tcPr>
            <w:tcW w:w="4179" w:type="pct"/>
            <w:vAlign w:val="bottom"/>
          </w:tcPr>
          <w:p w14:paraId="038A448B" w14:textId="39230089" w:rsidR="009C1FAC" w:rsidRPr="004C7A08" w:rsidRDefault="009C1FAC" w:rsidP="001A5D4A">
            <w:pPr>
              <w:pStyle w:val="NotesTable-ItemPlain"/>
            </w:pPr>
            <w:r>
              <w:t xml:space="preserve">All resulting </w:t>
            </w:r>
            <w:r w:rsidR="008771FA">
              <w:t>fair value estimates for properties are included in level 3 except for vacant land. The level 2 fair value of vacant land has been derived using the sales comparison approach. Sale prices of comparable land in close proximity are adjusted for differences in key attributes such as property size.</w:t>
            </w:r>
            <w:r w:rsidR="001A35D6">
              <w:t xml:space="preserve"> </w:t>
            </w:r>
            <w:r w:rsidR="008771FA">
              <w:t>The most significant input into this valuation approach is price per square metre.</w:t>
            </w:r>
          </w:p>
        </w:tc>
      </w:tr>
      <w:tr w:rsidR="00AC681A" w:rsidRPr="00824502" w14:paraId="038A448F" w14:textId="77777777" w:rsidTr="003411A8">
        <w:trPr>
          <w:trHeight w:hRule="exact" w:val="85"/>
        </w:trPr>
        <w:tc>
          <w:tcPr>
            <w:tcW w:w="821" w:type="pct"/>
            <w:gridSpan w:val="2"/>
          </w:tcPr>
          <w:p w14:paraId="038A448D" w14:textId="77777777" w:rsidR="00AC681A" w:rsidRPr="005C0D27" w:rsidRDefault="00AC681A" w:rsidP="001A5D4A">
            <w:pPr>
              <w:pStyle w:val="Note-Refs"/>
            </w:pPr>
          </w:p>
        </w:tc>
        <w:tc>
          <w:tcPr>
            <w:tcW w:w="4179" w:type="pct"/>
            <w:vAlign w:val="bottom"/>
          </w:tcPr>
          <w:p w14:paraId="038A448E" w14:textId="77777777" w:rsidR="00AC681A" w:rsidRPr="00824502" w:rsidRDefault="00AC681A" w:rsidP="001A5D4A">
            <w:pPr>
              <w:pStyle w:val="NotesTable-ItemPlain"/>
            </w:pPr>
          </w:p>
        </w:tc>
      </w:tr>
      <w:tr w:rsidR="003411A8" w:rsidRPr="00075ACF" w14:paraId="363DDB8E" w14:textId="77777777" w:rsidTr="003411A8">
        <w:trPr>
          <w:trHeight w:hRule="exact" w:val="227"/>
        </w:trPr>
        <w:tc>
          <w:tcPr>
            <w:tcW w:w="813" w:type="pct"/>
          </w:tcPr>
          <w:p w14:paraId="5B32F474" w14:textId="77777777" w:rsidR="003411A8" w:rsidRPr="005C0D27" w:rsidRDefault="003411A8" w:rsidP="003411A8">
            <w:pPr>
              <w:pStyle w:val="Note-Refs"/>
            </w:pPr>
          </w:p>
        </w:tc>
        <w:tc>
          <w:tcPr>
            <w:tcW w:w="4187" w:type="pct"/>
            <w:gridSpan w:val="2"/>
            <w:vAlign w:val="bottom"/>
          </w:tcPr>
          <w:p w14:paraId="4CD8DA5C" w14:textId="77777777" w:rsidR="003411A8" w:rsidRPr="00075ACF" w:rsidRDefault="003411A8" w:rsidP="003411A8">
            <w:pPr>
              <w:pStyle w:val="Note-TextSubheader"/>
            </w:pPr>
            <w:r>
              <w:t>(ii) Non-recurring fair value measurements</w:t>
            </w:r>
          </w:p>
        </w:tc>
      </w:tr>
      <w:tr w:rsidR="003411A8" w:rsidRPr="00075ACF" w14:paraId="0846EA44" w14:textId="77777777" w:rsidTr="003411A8">
        <w:trPr>
          <w:trHeight w:val="227"/>
        </w:trPr>
        <w:tc>
          <w:tcPr>
            <w:tcW w:w="813" w:type="pct"/>
          </w:tcPr>
          <w:p w14:paraId="7E1CB225" w14:textId="77777777" w:rsidR="003411A8" w:rsidRDefault="003411A8" w:rsidP="003411A8">
            <w:pPr>
              <w:pStyle w:val="Note-Refs"/>
            </w:pPr>
            <w:r>
              <w:t>AASB13.91a,93d</w:t>
            </w:r>
          </w:p>
          <w:p w14:paraId="2DEB344C" w14:textId="77777777" w:rsidR="003411A8" w:rsidRPr="005C0D27" w:rsidRDefault="003411A8" w:rsidP="003411A8">
            <w:pPr>
              <w:pStyle w:val="Note-Refs"/>
            </w:pPr>
            <w:r>
              <w:t>AASB5.15</w:t>
            </w:r>
          </w:p>
        </w:tc>
        <w:tc>
          <w:tcPr>
            <w:tcW w:w="4187" w:type="pct"/>
            <w:gridSpan w:val="2"/>
            <w:vAlign w:val="bottom"/>
          </w:tcPr>
          <w:p w14:paraId="33420F04" w14:textId="77777777" w:rsidR="003411A8" w:rsidRPr="00075ACF" w:rsidRDefault="003411A8" w:rsidP="003411A8">
            <w:pPr>
              <w:pStyle w:val="NotesTable-ItemPlain"/>
            </w:pPr>
            <w:r>
              <w:t>Land and non-current assets (or disposal groups) classified as held for sale during the reporting period were measured at the lower of their carrying amount and fair value less costs to sell at the time of the reclassification. The fair value of the land was also determined using the sales comparison approach as described under (i) above.</w:t>
            </w:r>
          </w:p>
        </w:tc>
      </w:tr>
      <w:tr w:rsidR="003411A8" w:rsidRPr="00075ACF" w14:paraId="6617EDCF" w14:textId="77777777" w:rsidTr="003411A8">
        <w:trPr>
          <w:trHeight w:hRule="exact" w:val="85"/>
        </w:trPr>
        <w:tc>
          <w:tcPr>
            <w:tcW w:w="821" w:type="pct"/>
            <w:gridSpan w:val="2"/>
          </w:tcPr>
          <w:p w14:paraId="2395F611" w14:textId="77777777" w:rsidR="003411A8" w:rsidRPr="005C0D27" w:rsidRDefault="003411A8" w:rsidP="003411A8">
            <w:pPr>
              <w:pStyle w:val="Note-Refs"/>
            </w:pPr>
          </w:p>
        </w:tc>
        <w:tc>
          <w:tcPr>
            <w:tcW w:w="4179" w:type="pct"/>
            <w:vAlign w:val="bottom"/>
          </w:tcPr>
          <w:p w14:paraId="4B0DA8F7" w14:textId="77777777" w:rsidR="003411A8" w:rsidRPr="00075ACF" w:rsidRDefault="003411A8" w:rsidP="003411A8">
            <w:pPr>
              <w:pStyle w:val="Note-Text"/>
            </w:pPr>
          </w:p>
        </w:tc>
      </w:tr>
    </w:tbl>
    <w:p w14:paraId="796A985F" w14:textId="77777777" w:rsidR="003411A8" w:rsidRDefault="003411A8">
      <w:pPr>
        <w:spacing w:after="0"/>
      </w:pPr>
    </w:p>
    <w:p w14:paraId="6280B785" w14:textId="77777777" w:rsidR="003411A8" w:rsidRDefault="003411A8">
      <w:pPr>
        <w:spacing w:after="0"/>
      </w:pPr>
      <w:r>
        <w:br w:type="page"/>
      </w:r>
    </w:p>
    <w:tbl>
      <w:tblPr>
        <w:tblW w:w="5000" w:type="pct"/>
        <w:tblCellMar>
          <w:left w:w="0" w:type="dxa"/>
          <w:right w:w="0" w:type="dxa"/>
        </w:tblCellMar>
        <w:tblLook w:val="0000" w:firstRow="0" w:lastRow="0" w:firstColumn="0" w:lastColumn="0" w:noHBand="0" w:noVBand="0"/>
      </w:tblPr>
      <w:tblGrid>
        <w:gridCol w:w="1669"/>
        <w:gridCol w:w="3606"/>
        <w:gridCol w:w="997"/>
        <w:gridCol w:w="999"/>
        <w:gridCol w:w="997"/>
        <w:gridCol w:w="999"/>
        <w:gridCol w:w="993"/>
      </w:tblGrid>
      <w:tr w:rsidR="00BC5733" w:rsidRPr="00075ACF" w14:paraId="035314EC" w14:textId="77777777" w:rsidTr="00BC5733">
        <w:trPr>
          <w:trHeight w:hRule="exact" w:val="397"/>
        </w:trPr>
        <w:tc>
          <w:tcPr>
            <w:tcW w:w="5000" w:type="pct"/>
            <w:gridSpan w:val="7"/>
          </w:tcPr>
          <w:p w14:paraId="439D4454" w14:textId="78DE74A4" w:rsidR="00BC5733" w:rsidRDefault="00BC5733" w:rsidP="00BC5733">
            <w:pPr>
              <w:pStyle w:val="TOC3"/>
            </w:pPr>
            <w:r w:rsidRPr="00183B19">
              <w:lastRenderedPageBreak/>
              <w:t>Note 51</w:t>
            </w:r>
            <w:r>
              <w:t xml:space="preserve">. </w:t>
            </w:r>
            <w:r w:rsidRPr="00183B19">
              <w:t>Fair Value Measurements (continued)</w:t>
            </w:r>
          </w:p>
        </w:tc>
      </w:tr>
      <w:tr w:rsidR="00BC5733" w:rsidRPr="00075ACF" w14:paraId="59A3C486" w14:textId="77777777" w:rsidTr="00BC5733">
        <w:trPr>
          <w:trHeight w:hRule="exact" w:val="227"/>
        </w:trPr>
        <w:tc>
          <w:tcPr>
            <w:tcW w:w="5000" w:type="pct"/>
            <w:gridSpan w:val="7"/>
          </w:tcPr>
          <w:p w14:paraId="0B2305D7" w14:textId="092DB0AB" w:rsidR="00BC5733" w:rsidRDefault="00BC5733" w:rsidP="00BC5733">
            <w:r>
              <w:t>AASB132,AASB7, AASB13</w:t>
            </w:r>
          </w:p>
        </w:tc>
      </w:tr>
      <w:tr w:rsidR="003150D0" w:rsidRPr="00075ACF" w14:paraId="038A449B" w14:textId="77777777" w:rsidTr="00BC5733">
        <w:trPr>
          <w:trHeight w:val="227"/>
        </w:trPr>
        <w:tc>
          <w:tcPr>
            <w:tcW w:w="813" w:type="pct"/>
          </w:tcPr>
          <w:p w14:paraId="038A4499" w14:textId="77777777" w:rsidR="003150D0" w:rsidRDefault="003150D0" w:rsidP="001A5D4A">
            <w:pPr>
              <w:pStyle w:val="Note-Refs"/>
            </w:pPr>
          </w:p>
        </w:tc>
        <w:tc>
          <w:tcPr>
            <w:tcW w:w="4187" w:type="pct"/>
            <w:gridSpan w:val="6"/>
            <w:vAlign w:val="bottom"/>
          </w:tcPr>
          <w:p w14:paraId="038A449A" w14:textId="77777777" w:rsidR="003150D0" w:rsidRDefault="003150D0" w:rsidP="001A5D4A">
            <w:pPr>
              <w:pStyle w:val="Note-TextHeader"/>
            </w:pPr>
            <w:r>
              <w:t>(d)</w:t>
            </w:r>
            <w:r>
              <w:tab/>
            </w:r>
            <w:r w:rsidRPr="00075ACF">
              <w:t>Fair value measurements using significant unobservable inputs (level 3)</w:t>
            </w:r>
          </w:p>
        </w:tc>
      </w:tr>
      <w:tr w:rsidR="00E9476B" w:rsidRPr="00075ACF" w14:paraId="038A449E" w14:textId="77777777" w:rsidTr="00BC5733">
        <w:trPr>
          <w:trHeight w:val="227"/>
        </w:trPr>
        <w:tc>
          <w:tcPr>
            <w:tcW w:w="813" w:type="pct"/>
          </w:tcPr>
          <w:p w14:paraId="038A449C" w14:textId="77777777" w:rsidR="00E9476B" w:rsidRPr="005C0D27" w:rsidRDefault="00E9476B" w:rsidP="001A5D4A">
            <w:pPr>
              <w:pStyle w:val="Note-Refs"/>
            </w:pPr>
            <w:r>
              <w:t>AASB13.93e</w:t>
            </w:r>
          </w:p>
        </w:tc>
        <w:tc>
          <w:tcPr>
            <w:tcW w:w="4187" w:type="pct"/>
            <w:gridSpan w:val="6"/>
            <w:vAlign w:val="bottom"/>
          </w:tcPr>
          <w:p w14:paraId="038A449D" w14:textId="612147B1" w:rsidR="00E9476B" w:rsidRPr="00075ACF" w:rsidRDefault="00E9476B" w:rsidP="001A5D4A">
            <w:pPr>
              <w:pStyle w:val="NotesTable-ItemPlain"/>
            </w:pPr>
            <w:r>
              <w:t xml:space="preserve">The following table is a reconciliation of level 3 items for the periods ended 31 December </w:t>
            </w:r>
            <w:r w:rsidR="006864EC">
              <w:t>2014</w:t>
            </w:r>
            <w:r>
              <w:t xml:space="preserve"> and </w:t>
            </w:r>
            <w:r w:rsidR="006864EC">
              <w:t>2013</w:t>
            </w:r>
            <w:r>
              <w:t>:</w:t>
            </w:r>
          </w:p>
        </w:tc>
      </w:tr>
      <w:tr w:rsidR="00E9476B" w:rsidRPr="00075ACF" w14:paraId="038A44A1" w14:textId="77777777" w:rsidTr="00BC5733">
        <w:trPr>
          <w:trHeight w:val="227"/>
        </w:trPr>
        <w:tc>
          <w:tcPr>
            <w:tcW w:w="813" w:type="pct"/>
          </w:tcPr>
          <w:p w14:paraId="038A449F" w14:textId="77777777" w:rsidR="00E9476B" w:rsidRPr="005C0D27" w:rsidRDefault="00E9476B" w:rsidP="001A5D4A">
            <w:pPr>
              <w:pStyle w:val="Note-Refs"/>
            </w:pPr>
          </w:p>
        </w:tc>
        <w:tc>
          <w:tcPr>
            <w:tcW w:w="4187" w:type="pct"/>
            <w:gridSpan w:val="6"/>
            <w:vAlign w:val="bottom"/>
          </w:tcPr>
          <w:p w14:paraId="038A44A0" w14:textId="77777777" w:rsidR="00E9476B" w:rsidRPr="00075ACF" w:rsidRDefault="00E9476B" w:rsidP="001A5D4A">
            <w:pPr>
              <w:pStyle w:val="NotesTable-ItemPlain"/>
            </w:pPr>
          </w:p>
        </w:tc>
      </w:tr>
      <w:tr w:rsidR="00242CBC" w:rsidRPr="00075ACF" w14:paraId="038A44A9" w14:textId="77777777" w:rsidTr="00BC5733">
        <w:trPr>
          <w:trHeight w:val="216"/>
        </w:trPr>
        <w:tc>
          <w:tcPr>
            <w:tcW w:w="813" w:type="pct"/>
          </w:tcPr>
          <w:p w14:paraId="038A44A2" w14:textId="77777777" w:rsidR="00242CBC" w:rsidRPr="00075ACF" w:rsidRDefault="00242CBC" w:rsidP="001A5D4A">
            <w:pPr>
              <w:pStyle w:val="Note-Refs"/>
            </w:pPr>
          </w:p>
        </w:tc>
        <w:tc>
          <w:tcPr>
            <w:tcW w:w="1757" w:type="pct"/>
          </w:tcPr>
          <w:p w14:paraId="038A44A3" w14:textId="54C83375" w:rsidR="00242CBC" w:rsidRPr="00075ACF" w:rsidRDefault="00242CBC" w:rsidP="001A5D4A">
            <w:pPr>
              <w:pStyle w:val="NotesTable-ItemBold"/>
            </w:pPr>
            <w:r>
              <w:t xml:space="preserve">Level 3 Fair Value Measurements </w:t>
            </w:r>
            <w:r w:rsidR="006864EC">
              <w:t>2014</w:t>
            </w:r>
          </w:p>
        </w:tc>
        <w:tc>
          <w:tcPr>
            <w:tcW w:w="486" w:type="pct"/>
          </w:tcPr>
          <w:p w14:paraId="038A44A4" w14:textId="77777777" w:rsidR="00242CBC" w:rsidRPr="00075ACF" w:rsidRDefault="00242CBC" w:rsidP="001A5D4A">
            <w:pPr>
              <w:pStyle w:val="NotesTable-CellPlain"/>
              <w:rPr>
                <w:b/>
              </w:rPr>
            </w:pPr>
            <w:r>
              <w:t>Unlisted equity securities</w:t>
            </w:r>
            <w:r>
              <w:br/>
              <w:t>$‘000</w:t>
            </w:r>
          </w:p>
        </w:tc>
        <w:tc>
          <w:tcPr>
            <w:tcW w:w="487" w:type="pct"/>
          </w:tcPr>
          <w:p w14:paraId="038A44A5" w14:textId="77777777" w:rsidR="00242CBC" w:rsidRPr="00075ACF" w:rsidRDefault="00CD3E35" w:rsidP="001A5D4A">
            <w:pPr>
              <w:pStyle w:val="NotesTable-CellPlain"/>
            </w:pPr>
            <w:r>
              <w:t xml:space="preserve">Buildings </w:t>
            </w:r>
            <w:r>
              <w:br/>
              <w:t>$’000</w:t>
            </w:r>
          </w:p>
        </w:tc>
        <w:tc>
          <w:tcPr>
            <w:tcW w:w="486" w:type="pct"/>
          </w:tcPr>
          <w:p w14:paraId="038A44A6" w14:textId="77777777" w:rsidR="00242CBC" w:rsidRPr="00075ACF" w:rsidRDefault="00CD3E35" w:rsidP="001A5D4A">
            <w:pPr>
              <w:pStyle w:val="NotesTable-CellPlain"/>
            </w:pPr>
            <w:r>
              <w:t>Other financial assets</w:t>
            </w:r>
            <w:r>
              <w:br/>
              <w:t>$‘000</w:t>
            </w:r>
            <w:r w:rsidDel="00CD3E35">
              <w:t xml:space="preserve"> </w:t>
            </w:r>
          </w:p>
        </w:tc>
        <w:tc>
          <w:tcPr>
            <w:tcW w:w="487" w:type="pct"/>
          </w:tcPr>
          <w:p w14:paraId="038A44A7" w14:textId="00B04566" w:rsidR="00242CBC" w:rsidRPr="00075ACF" w:rsidRDefault="00CD3E35" w:rsidP="001A5D4A">
            <w:pPr>
              <w:pStyle w:val="NotesTable-CellPlain"/>
            </w:pPr>
            <w:r>
              <w:t>[</w:t>
            </w:r>
            <w:r w:rsidR="00DD007C">
              <w:t>Financial liabilities</w:t>
            </w:r>
            <w:r>
              <w:t>]</w:t>
            </w:r>
            <w:r>
              <w:br/>
              <w:t>$’000</w:t>
            </w:r>
          </w:p>
        </w:tc>
        <w:tc>
          <w:tcPr>
            <w:tcW w:w="484" w:type="pct"/>
          </w:tcPr>
          <w:p w14:paraId="038A44A8" w14:textId="77777777" w:rsidR="00242CBC" w:rsidRPr="00075ACF" w:rsidRDefault="00242CBC" w:rsidP="001A5D4A">
            <w:pPr>
              <w:pStyle w:val="NotesTable-CellPlain"/>
            </w:pPr>
            <w:r>
              <w:t>Total</w:t>
            </w:r>
            <w:r>
              <w:br/>
              <w:t>$’000</w:t>
            </w:r>
          </w:p>
        </w:tc>
      </w:tr>
      <w:tr w:rsidR="00242CBC" w:rsidRPr="00075ACF" w14:paraId="038A44B1" w14:textId="77777777" w:rsidTr="00BC5733">
        <w:trPr>
          <w:trHeight w:val="205"/>
        </w:trPr>
        <w:tc>
          <w:tcPr>
            <w:tcW w:w="813" w:type="pct"/>
          </w:tcPr>
          <w:p w14:paraId="038A44AA" w14:textId="77777777" w:rsidR="00242CBC" w:rsidRPr="00075ACF" w:rsidRDefault="00242CBC" w:rsidP="001A5D4A">
            <w:pPr>
              <w:pStyle w:val="Note-Refs"/>
            </w:pPr>
          </w:p>
        </w:tc>
        <w:tc>
          <w:tcPr>
            <w:tcW w:w="1757" w:type="pct"/>
            <w:vAlign w:val="bottom"/>
          </w:tcPr>
          <w:p w14:paraId="038A44AB" w14:textId="77777777" w:rsidR="00242CBC" w:rsidRPr="00075ACF" w:rsidRDefault="00242CBC" w:rsidP="001A5D4A">
            <w:pPr>
              <w:pStyle w:val="NotesTable-ItemPlain"/>
            </w:pPr>
            <w:r>
              <w:t>Opening balance</w:t>
            </w:r>
          </w:p>
        </w:tc>
        <w:tc>
          <w:tcPr>
            <w:tcW w:w="486" w:type="pct"/>
          </w:tcPr>
          <w:p w14:paraId="038A44AC" w14:textId="77777777" w:rsidR="00242CBC" w:rsidRPr="00F61D7B" w:rsidRDefault="00242CBC" w:rsidP="001A5D4A">
            <w:pPr>
              <w:pStyle w:val="NotesTable-CellPlain"/>
            </w:pPr>
            <w:r w:rsidRPr="00F61D7B">
              <w:t>–</w:t>
            </w:r>
          </w:p>
        </w:tc>
        <w:tc>
          <w:tcPr>
            <w:tcW w:w="487" w:type="pct"/>
          </w:tcPr>
          <w:p w14:paraId="038A44AD" w14:textId="77777777" w:rsidR="00242CBC" w:rsidRPr="00F61D7B" w:rsidRDefault="00242CBC" w:rsidP="001A5D4A">
            <w:pPr>
              <w:pStyle w:val="NotesTable-CellPlain"/>
            </w:pPr>
            <w:r w:rsidRPr="00F61D7B">
              <w:t>–</w:t>
            </w:r>
          </w:p>
        </w:tc>
        <w:tc>
          <w:tcPr>
            <w:tcW w:w="486" w:type="pct"/>
          </w:tcPr>
          <w:p w14:paraId="038A44AE" w14:textId="77777777" w:rsidR="00242CBC" w:rsidRPr="00F61D7B" w:rsidRDefault="00242CBC" w:rsidP="001A5D4A">
            <w:pPr>
              <w:pStyle w:val="NotesTable-CellPlain"/>
            </w:pPr>
            <w:r w:rsidRPr="00F61D7B">
              <w:t>–</w:t>
            </w:r>
          </w:p>
        </w:tc>
        <w:tc>
          <w:tcPr>
            <w:tcW w:w="487" w:type="pct"/>
          </w:tcPr>
          <w:p w14:paraId="038A44AF" w14:textId="77777777" w:rsidR="00242CBC" w:rsidRPr="00F61D7B" w:rsidRDefault="00242CBC" w:rsidP="001A5D4A">
            <w:pPr>
              <w:pStyle w:val="NotesTable-CellPlain"/>
            </w:pPr>
            <w:r w:rsidRPr="00F61D7B">
              <w:t>–</w:t>
            </w:r>
          </w:p>
        </w:tc>
        <w:tc>
          <w:tcPr>
            <w:tcW w:w="484" w:type="pct"/>
          </w:tcPr>
          <w:p w14:paraId="038A44B0" w14:textId="77777777" w:rsidR="00242CBC" w:rsidRPr="00F61D7B" w:rsidRDefault="00242CBC" w:rsidP="001A5D4A">
            <w:pPr>
              <w:pStyle w:val="NotesTable-CellPlain"/>
            </w:pPr>
            <w:r w:rsidRPr="00F61D7B">
              <w:t>–</w:t>
            </w:r>
          </w:p>
        </w:tc>
      </w:tr>
      <w:tr w:rsidR="00242CBC" w:rsidRPr="00075ACF" w14:paraId="038A44C1" w14:textId="77777777" w:rsidTr="00BC5733">
        <w:trPr>
          <w:trHeight w:val="205"/>
        </w:trPr>
        <w:tc>
          <w:tcPr>
            <w:tcW w:w="813" w:type="pct"/>
          </w:tcPr>
          <w:p w14:paraId="038A44BA" w14:textId="77777777" w:rsidR="00242CBC" w:rsidRPr="00075ACF" w:rsidRDefault="00242CBC" w:rsidP="001A5D4A">
            <w:pPr>
              <w:pStyle w:val="Note-Refs"/>
            </w:pPr>
          </w:p>
        </w:tc>
        <w:tc>
          <w:tcPr>
            <w:tcW w:w="1757" w:type="pct"/>
            <w:vAlign w:val="bottom"/>
          </w:tcPr>
          <w:p w14:paraId="038A44BB" w14:textId="77777777" w:rsidR="00242CBC" w:rsidRPr="00075ACF" w:rsidRDefault="00242CBC" w:rsidP="001A5D4A">
            <w:pPr>
              <w:pStyle w:val="NotesTable-ItemPlain"/>
            </w:pPr>
            <w:r>
              <w:t>Acquisitions</w:t>
            </w:r>
          </w:p>
        </w:tc>
        <w:tc>
          <w:tcPr>
            <w:tcW w:w="486" w:type="pct"/>
          </w:tcPr>
          <w:p w14:paraId="038A44BC" w14:textId="77777777" w:rsidR="00242CBC" w:rsidRPr="00F61D7B" w:rsidRDefault="00242CBC" w:rsidP="001A5D4A">
            <w:pPr>
              <w:pStyle w:val="NotesTable-CellPlain"/>
            </w:pPr>
            <w:r w:rsidRPr="00F61D7B">
              <w:t>–</w:t>
            </w:r>
          </w:p>
        </w:tc>
        <w:tc>
          <w:tcPr>
            <w:tcW w:w="487" w:type="pct"/>
          </w:tcPr>
          <w:p w14:paraId="038A44BD" w14:textId="77777777" w:rsidR="00242CBC" w:rsidRPr="00F61D7B" w:rsidRDefault="00242CBC" w:rsidP="001A5D4A">
            <w:pPr>
              <w:pStyle w:val="NotesTable-CellPlain"/>
            </w:pPr>
            <w:r w:rsidRPr="00F61D7B">
              <w:t>–</w:t>
            </w:r>
          </w:p>
        </w:tc>
        <w:tc>
          <w:tcPr>
            <w:tcW w:w="486" w:type="pct"/>
          </w:tcPr>
          <w:p w14:paraId="038A44BE" w14:textId="77777777" w:rsidR="00242CBC" w:rsidRPr="00F61D7B" w:rsidRDefault="00242CBC" w:rsidP="001A5D4A">
            <w:pPr>
              <w:pStyle w:val="NotesTable-CellPlain"/>
            </w:pPr>
            <w:r w:rsidRPr="00F61D7B">
              <w:t>–</w:t>
            </w:r>
          </w:p>
        </w:tc>
        <w:tc>
          <w:tcPr>
            <w:tcW w:w="487" w:type="pct"/>
          </w:tcPr>
          <w:p w14:paraId="038A44BF" w14:textId="77777777" w:rsidR="00242CBC" w:rsidRPr="00F61D7B" w:rsidRDefault="00242CBC" w:rsidP="001A5D4A">
            <w:pPr>
              <w:pStyle w:val="NotesTable-CellPlain"/>
            </w:pPr>
            <w:r w:rsidRPr="00F61D7B">
              <w:t>–</w:t>
            </w:r>
          </w:p>
        </w:tc>
        <w:tc>
          <w:tcPr>
            <w:tcW w:w="484" w:type="pct"/>
          </w:tcPr>
          <w:p w14:paraId="038A44C0" w14:textId="77777777" w:rsidR="00242CBC" w:rsidRPr="00F61D7B" w:rsidRDefault="00242CBC" w:rsidP="001A5D4A">
            <w:pPr>
              <w:pStyle w:val="NotesTable-CellPlain"/>
            </w:pPr>
            <w:r w:rsidRPr="00F61D7B">
              <w:t>–</w:t>
            </w:r>
          </w:p>
        </w:tc>
      </w:tr>
      <w:tr w:rsidR="00242CBC" w:rsidRPr="00075ACF" w14:paraId="038A44C9" w14:textId="77777777" w:rsidTr="00BC5733">
        <w:trPr>
          <w:trHeight w:val="205"/>
        </w:trPr>
        <w:tc>
          <w:tcPr>
            <w:tcW w:w="813" w:type="pct"/>
          </w:tcPr>
          <w:p w14:paraId="038A44C2" w14:textId="77777777" w:rsidR="00242CBC" w:rsidRPr="00075ACF" w:rsidRDefault="00242CBC" w:rsidP="001A5D4A">
            <w:pPr>
              <w:pStyle w:val="Note-Refs"/>
            </w:pPr>
          </w:p>
        </w:tc>
        <w:tc>
          <w:tcPr>
            <w:tcW w:w="1757" w:type="pct"/>
            <w:vAlign w:val="bottom"/>
          </w:tcPr>
          <w:p w14:paraId="038A44C3" w14:textId="77777777" w:rsidR="00242CBC" w:rsidRPr="00075ACF" w:rsidRDefault="00242CBC" w:rsidP="001A5D4A">
            <w:pPr>
              <w:pStyle w:val="NotesTable-ItemPlain"/>
            </w:pPr>
            <w:r>
              <w:t>Transfers from level 1</w:t>
            </w:r>
          </w:p>
        </w:tc>
        <w:tc>
          <w:tcPr>
            <w:tcW w:w="486" w:type="pct"/>
          </w:tcPr>
          <w:p w14:paraId="038A44C4" w14:textId="77777777" w:rsidR="00242CBC" w:rsidRPr="00F61D7B" w:rsidRDefault="00242CBC" w:rsidP="001A5D4A">
            <w:pPr>
              <w:pStyle w:val="NotesTable-CellPlain"/>
            </w:pPr>
            <w:r w:rsidRPr="00F61D7B">
              <w:t>–</w:t>
            </w:r>
          </w:p>
        </w:tc>
        <w:tc>
          <w:tcPr>
            <w:tcW w:w="487" w:type="pct"/>
          </w:tcPr>
          <w:p w14:paraId="038A44C5" w14:textId="77777777" w:rsidR="00242CBC" w:rsidRPr="00F61D7B" w:rsidRDefault="00242CBC" w:rsidP="001A5D4A">
            <w:pPr>
              <w:pStyle w:val="NotesTable-CellPlain"/>
            </w:pPr>
            <w:r w:rsidRPr="00F61D7B">
              <w:t>–</w:t>
            </w:r>
          </w:p>
        </w:tc>
        <w:tc>
          <w:tcPr>
            <w:tcW w:w="486" w:type="pct"/>
          </w:tcPr>
          <w:p w14:paraId="038A44C6" w14:textId="77777777" w:rsidR="00242CBC" w:rsidRPr="00F61D7B" w:rsidRDefault="00242CBC" w:rsidP="001A5D4A">
            <w:pPr>
              <w:pStyle w:val="NotesTable-CellPlain"/>
            </w:pPr>
            <w:r w:rsidRPr="00F61D7B">
              <w:t>–</w:t>
            </w:r>
          </w:p>
        </w:tc>
        <w:tc>
          <w:tcPr>
            <w:tcW w:w="487" w:type="pct"/>
          </w:tcPr>
          <w:p w14:paraId="038A44C7" w14:textId="77777777" w:rsidR="00242CBC" w:rsidRPr="00F61D7B" w:rsidRDefault="00242CBC" w:rsidP="001A5D4A">
            <w:pPr>
              <w:pStyle w:val="NotesTable-CellPlain"/>
            </w:pPr>
            <w:r w:rsidRPr="00F61D7B">
              <w:t>–</w:t>
            </w:r>
          </w:p>
        </w:tc>
        <w:tc>
          <w:tcPr>
            <w:tcW w:w="484" w:type="pct"/>
          </w:tcPr>
          <w:p w14:paraId="038A44C8" w14:textId="77777777" w:rsidR="00242CBC" w:rsidRPr="00F61D7B" w:rsidRDefault="00242CBC" w:rsidP="001A5D4A">
            <w:pPr>
              <w:pStyle w:val="NotesTable-CellPlain"/>
            </w:pPr>
            <w:r w:rsidRPr="00F61D7B">
              <w:t>–</w:t>
            </w:r>
          </w:p>
        </w:tc>
      </w:tr>
      <w:tr w:rsidR="00242CBC" w:rsidRPr="00075ACF" w14:paraId="038A44D1" w14:textId="77777777" w:rsidTr="00BC5733">
        <w:trPr>
          <w:trHeight w:val="205"/>
        </w:trPr>
        <w:tc>
          <w:tcPr>
            <w:tcW w:w="813" w:type="pct"/>
          </w:tcPr>
          <w:p w14:paraId="038A44CA" w14:textId="77777777" w:rsidR="00242CBC" w:rsidRPr="00075ACF" w:rsidRDefault="00242CBC" w:rsidP="001A5D4A">
            <w:pPr>
              <w:pStyle w:val="Note-Refs"/>
            </w:pPr>
          </w:p>
        </w:tc>
        <w:tc>
          <w:tcPr>
            <w:tcW w:w="1757" w:type="pct"/>
            <w:vAlign w:val="bottom"/>
          </w:tcPr>
          <w:p w14:paraId="038A44CB" w14:textId="77777777" w:rsidR="00242CBC" w:rsidRPr="00075ACF" w:rsidRDefault="00242CBC" w:rsidP="001A5D4A">
            <w:pPr>
              <w:pStyle w:val="NotesTable-ItemPlain"/>
            </w:pPr>
            <w:r>
              <w:t>Transfers from level 2</w:t>
            </w:r>
          </w:p>
        </w:tc>
        <w:tc>
          <w:tcPr>
            <w:tcW w:w="486" w:type="pct"/>
          </w:tcPr>
          <w:p w14:paraId="038A44CC" w14:textId="77777777" w:rsidR="00242CBC" w:rsidRPr="00F61D7B" w:rsidRDefault="00242CBC" w:rsidP="001A5D4A">
            <w:pPr>
              <w:pStyle w:val="NotesTable-CellPlain"/>
            </w:pPr>
            <w:r w:rsidRPr="00F61D7B">
              <w:t>–</w:t>
            </w:r>
          </w:p>
        </w:tc>
        <w:tc>
          <w:tcPr>
            <w:tcW w:w="487" w:type="pct"/>
          </w:tcPr>
          <w:p w14:paraId="038A44CD" w14:textId="77777777" w:rsidR="00242CBC" w:rsidRPr="00F61D7B" w:rsidRDefault="00242CBC" w:rsidP="001A5D4A">
            <w:pPr>
              <w:pStyle w:val="NotesTable-CellPlain"/>
            </w:pPr>
            <w:r w:rsidRPr="00F61D7B">
              <w:t>–</w:t>
            </w:r>
          </w:p>
        </w:tc>
        <w:tc>
          <w:tcPr>
            <w:tcW w:w="486" w:type="pct"/>
          </w:tcPr>
          <w:p w14:paraId="038A44CE" w14:textId="77777777" w:rsidR="00242CBC" w:rsidRPr="00F61D7B" w:rsidRDefault="00242CBC" w:rsidP="001A5D4A">
            <w:pPr>
              <w:pStyle w:val="NotesTable-CellPlain"/>
            </w:pPr>
            <w:r w:rsidRPr="00F61D7B">
              <w:t>–</w:t>
            </w:r>
          </w:p>
        </w:tc>
        <w:tc>
          <w:tcPr>
            <w:tcW w:w="487" w:type="pct"/>
          </w:tcPr>
          <w:p w14:paraId="038A44CF" w14:textId="77777777" w:rsidR="00242CBC" w:rsidRPr="00F61D7B" w:rsidRDefault="00242CBC" w:rsidP="001A5D4A">
            <w:pPr>
              <w:pStyle w:val="NotesTable-CellPlain"/>
            </w:pPr>
            <w:r w:rsidRPr="00F61D7B">
              <w:t>–</w:t>
            </w:r>
          </w:p>
        </w:tc>
        <w:tc>
          <w:tcPr>
            <w:tcW w:w="484" w:type="pct"/>
          </w:tcPr>
          <w:p w14:paraId="038A44D0" w14:textId="77777777" w:rsidR="00242CBC" w:rsidRPr="00F61D7B" w:rsidRDefault="00242CBC" w:rsidP="001A5D4A">
            <w:pPr>
              <w:pStyle w:val="NotesTable-CellPlain"/>
            </w:pPr>
            <w:r w:rsidRPr="00F61D7B">
              <w:t>–</w:t>
            </w:r>
          </w:p>
        </w:tc>
      </w:tr>
      <w:tr w:rsidR="00242CBC" w:rsidRPr="00075ACF" w14:paraId="038A44D9" w14:textId="77777777" w:rsidTr="00BC5733">
        <w:trPr>
          <w:trHeight w:val="205"/>
        </w:trPr>
        <w:tc>
          <w:tcPr>
            <w:tcW w:w="813" w:type="pct"/>
          </w:tcPr>
          <w:p w14:paraId="038A44D2" w14:textId="77777777" w:rsidR="00242CBC" w:rsidRPr="00075ACF" w:rsidRDefault="00242CBC" w:rsidP="001A5D4A">
            <w:pPr>
              <w:pStyle w:val="Note-Refs"/>
            </w:pPr>
          </w:p>
        </w:tc>
        <w:tc>
          <w:tcPr>
            <w:tcW w:w="1757" w:type="pct"/>
            <w:vAlign w:val="bottom"/>
          </w:tcPr>
          <w:p w14:paraId="038A44D3" w14:textId="77777777" w:rsidR="00242CBC" w:rsidRPr="00075ACF" w:rsidRDefault="00242CBC" w:rsidP="001A5D4A">
            <w:pPr>
              <w:pStyle w:val="NotesTable-ItemPlain"/>
            </w:pPr>
            <w:r>
              <w:t>Transfers out of level 3</w:t>
            </w:r>
          </w:p>
        </w:tc>
        <w:tc>
          <w:tcPr>
            <w:tcW w:w="486" w:type="pct"/>
          </w:tcPr>
          <w:p w14:paraId="038A44D4" w14:textId="77777777" w:rsidR="00242CBC" w:rsidRPr="00F61D7B" w:rsidRDefault="00242CBC" w:rsidP="001A5D4A">
            <w:pPr>
              <w:pStyle w:val="NotesTable-CellPlain"/>
            </w:pPr>
            <w:r w:rsidRPr="00F61D7B">
              <w:t>–</w:t>
            </w:r>
          </w:p>
        </w:tc>
        <w:tc>
          <w:tcPr>
            <w:tcW w:w="487" w:type="pct"/>
          </w:tcPr>
          <w:p w14:paraId="038A44D5" w14:textId="77777777" w:rsidR="00242CBC" w:rsidRPr="00F61D7B" w:rsidRDefault="00242CBC" w:rsidP="001A5D4A">
            <w:pPr>
              <w:pStyle w:val="NotesTable-CellPlain"/>
            </w:pPr>
            <w:r w:rsidRPr="00F61D7B">
              <w:t>–</w:t>
            </w:r>
          </w:p>
        </w:tc>
        <w:tc>
          <w:tcPr>
            <w:tcW w:w="486" w:type="pct"/>
          </w:tcPr>
          <w:p w14:paraId="038A44D6" w14:textId="77777777" w:rsidR="00242CBC" w:rsidRPr="00F61D7B" w:rsidRDefault="00242CBC" w:rsidP="001A5D4A">
            <w:pPr>
              <w:pStyle w:val="NotesTable-CellPlain"/>
            </w:pPr>
            <w:r w:rsidRPr="00F61D7B">
              <w:t>–</w:t>
            </w:r>
          </w:p>
        </w:tc>
        <w:tc>
          <w:tcPr>
            <w:tcW w:w="487" w:type="pct"/>
          </w:tcPr>
          <w:p w14:paraId="038A44D7" w14:textId="77777777" w:rsidR="00242CBC" w:rsidRPr="00F61D7B" w:rsidRDefault="00242CBC" w:rsidP="001A5D4A">
            <w:pPr>
              <w:pStyle w:val="NotesTable-CellPlain"/>
            </w:pPr>
            <w:r w:rsidRPr="00F61D7B">
              <w:t>–</w:t>
            </w:r>
          </w:p>
        </w:tc>
        <w:tc>
          <w:tcPr>
            <w:tcW w:w="484" w:type="pct"/>
          </w:tcPr>
          <w:p w14:paraId="038A44D8" w14:textId="77777777" w:rsidR="00242CBC" w:rsidRPr="00F61D7B" w:rsidRDefault="00242CBC" w:rsidP="001A5D4A">
            <w:pPr>
              <w:pStyle w:val="NotesTable-CellPlain"/>
            </w:pPr>
            <w:r w:rsidRPr="00F61D7B">
              <w:t>–</w:t>
            </w:r>
          </w:p>
        </w:tc>
      </w:tr>
      <w:tr w:rsidR="00242CBC" w:rsidRPr="00075ACF" w14:paraId="038A44E1" w14:textId="77777777" w:rsidTr="00BC5733">
        <w:trPr>
          <w:trHeight w:val="205"/>
        </w:trPr>
        <w:tc>
          <w:tcPr>
            <w:tcW w:w="813" w:type="pct"/>
          </w:tcPr>
          <w:p w14:paraId="038A44DA" w14:textId="77777777" w:rsidR="00242CBC" w:rsidRPr="00075ACF" w:rsidRDefault="00242CBC" w:rsidP="001A5D4A">
            <w:pPr>
              <w:pStyle w:val="Note-Refs"/>
            </w:pPr>
          </w:p>
        </w:tc>
        <w:tc>
          <w:tcPr>
            <w:tcW w:w="1757" w:type="pct"/>
            <w:vAlign w:val="bottom"/>
          </w:tcPr>
          <w:p w14:paraId="038A44DB" w14:textId="77777777" w:rsidR="00242CBC" w:rsidRPr="00075ACF" w:rsidRDefault="00242CBC" w:rsidP="001A5D4A">
            <w:pPr>
              <w:pStyle w:val="NotesTable-ItemPlain"/>
            </w:pPr>
            <w:r>
              <w:t xml:space="preserve">Sales </w:t>
            </w:r>
          </w:p>
        </w:tc>
        <w:tc>
          <w:tcPr>
            <w:tcW w:w="486" w:type="pct"/>
          </w:tcPr>
          <w:p w14:paraId="038A44DC" w14:textId="77777777" w:rsidR="00242CBC" w:rsidRPr="00F61D7B" w:rsidRDefault="00242CBC" w:rsidP="001A5D4A">
            <w:pPr>
              <w:pStyle w:val="NotesTable-CellPlain"/>
            </w:pPr>
            <w:r w:rsidRPr="00F61D7B">
              <w:t>–</w:t>
            </w:r>
          </w:p>
        </w:tc>
        <w:tc>
          <w:tcPr>
            <w:tcW w:w="487" w:type="pct"/>
          </w:tcPr>
          <w:p w14:paraId="038A44DD" w14:textId="77777777" w:rsidR="00242CBC" w:rsidRPr="00F61D7B" w:rsidRDefault="00242CBC" w:rsidP="001A5D4A">
            <w:pPr>
              <w:pStyle w:val="NotesTable-CellPlain"/>
            </w:pPr>
            <w:r w:rsidRPr="00F61D7B">
              <w:t>–</w:t>
            </w:r>
          </w:p>
        </w:tc>
        <w:tc>
          <w:tcPr>
            <w:tcW w:w="486" w:type="pct"/>
          </w:tcPr>
          <w:p w14:paraId="038A44DE" w14:textId="77777777" w:rsidR="00242CBC" w:rsidRPr="00F61D7B" w:rsidRDefault="00242CBC" w:rsidP="001A5D4A">
            <w:pPr>
              <w:pStyle w:val="NotesTable-CellPlain"/>
            </w:pPr>
            <w:r w:rsidRPr="00F61D7B">
              <w:t>–</w:t>
            </w:r>
          </w:p>
        </w:tc>
        <w:tc>
          <w:tcPr>
            <w:tcW w:w="487" w:type="pct"/>
          </w:tcPr>
          <w:p w14:paraId="038A44DF" w14:textId="77777777" w:rsidR="00242CBC" w:rsidRPr="00F61D7B" w:rsidRDefault="00242CBC" w:rsidP="001A5D4A">
            <w:pPr>
              <w:pStyle w:val="NotesTable-CellPlain"/>
            </w:pPr>
            <w:r w:rsidRPr="00F61D7B">
              <w:t>–</w:t>
            </w:r>
          </w:p>
        </w:tc>
        <w:tc>
          <w:tcPr>
            <w:tcW w:w="484" w:type="pct"/>
          </w:tcPr>
          <w:p w14:paraId="038A44E0" w14:textId="77777777" w:rsidR="00242CBC" w:rsidRPr="00F61D7B" w:rsidRDefault="00242CBC" w:rsidP="001A5D4A">
            <w:pPr>
              <w:pStyle w:val="NotesTable-CellPlain"/>
            </w:pPr>
            <w:r w:rsidRPr="00F61D7B">
              <w:t>–</w:t>
            </w:r>
          </w:p>
        </w:tc>
      </w:tr>
      <w:tr w:rsidR="00242CBC" w:rsidRPr="00075ACF" w14:paraId="038A44E9" w14:textId="77777777" w:rsidTr="00BC5733">
        <w:trPr>
          <w:trHeight w:val="205"/>
        </w:trPr>
        <w:tc>
          <w:tcPr>
            <w:tcW w:w="813" w:type="pct"/>
          </w:tcPr>
          <w:p w14:paraId="038A44E2" w14:textId="77777777" w:rsidR="00242CBC" w:rsidRPr="00075ACF" w:rsidRDefault="00242CBC" w:rsidP="001A5D4A">
            <w:pPr>
              <w:pStyle w:val="Note-Refs"/>
            </w:pPr>
          </w:p>
        </w:tc>
        <w:tc>
          <w:tcPr>
            <w:tcW w:w="1757" w:type="pct"/>
            <w:vAlign w:val="bottom"/>
          </w:tcPr>
          <w:p w14:paraId="038A44E3" w14:textId="77777777" w:rsidR="00242CBC" w:rsidRPr="00075ACF" w:rsidRDefault="00242CBC" w:rsidP="001A5D4A">
            <w:pPr>
              <w:pStyle w:val="NotesTable-ItemPlain"/>
            </w:pPr>
            <w:r>
              <w:t>Issues</w:t>
            </w:r>
          </w:p>
        </w:tc>
        <w:tc>
          <w:tcPr>
            <w:tcW w:w="486" w:type="pct"/>
          </w:tcPr>
          <w:p w14:paraId="038A44E4" w14:textId="77777777" w:rsidR="00242CBC" w:rsidRPr="00F61D7B" w:rsidRDefault="00242CBC" w:rsidP="001A5D4A">
            <w:pPr>
              <w:pStyle w:val="NotesTable-CellPlain"/>
            </w:pPr>
            <w:r w:rsidRPr="00F61D7B">
              <w:t>–</w:t>
            </w:r>
          </w:p>
        </w:tc>
        <w:tc>
          <w:tcPr>
            <w:tcW w:w="487" w:type="pct"/>
          </w:tcPr>
          <w:p w14:paraId="038A44E5" w14:textId="77777777" w:rsidR="00242CBC" w:rsidRPr="00F61D7B" w:rsidRDefault="00242CBC" w:rsidP="001A5D4A">
            <w:pPr>
              <w:pStyle w:val="NotesTable-CellPlain"/>
            </w:pPr>
            <w:r w:rsidRPr="00F61D7B">
              <w:t>–</w:t>
            </w:r>
          </w:p>
        </w:tc>
        <w:tc>
          <w:tcPr>
            <w:tcW w:w="486" w:type="pct"/>
          </w:tcPr>
          <w:p w14:paraId="038A44E6" w14:textId="77777777" w:rsidR="00242CBC" w:rsidRPr="00F61D7B" w:rsidRDefault="00242CBC" w:rsidP="001A5D4A">
            <w:pPr>
              <w:pStyle w:val="NotesTable-CellPlain"/>
            </w:pPr>
            <w:r w:rsidRPr="00F61D7B">
              <w:t>–</w:t>
            </w:r>
          </w:p>
        </w:tc>
        <w:tc>
          <w:tcPr>
            <w:tcW w:w="487" w:type="pct"/>
          </w:tcPr>
          <w:p w14:paraId="038A44E7" w14:textId="77777777" w:rsidR="00242CBC" w:rsidRPr="00F61D7B" w:rsidRDefault="00242CBC" w:rsidP="001A5D4A">
            <w:pPr>
              <w:pStyle w:val="NotesTable-CellPlain"/>
            </w:pPr>
            <w:r w:rsidRPr="00F61D7B">
              <w:t>–</w:t>
            </w:r>
          </w:p>
        </w:tc>
        <w:tc>
          <w:tcPr>
            <w:tcW w:w="484" w:type="pct"/>
          </w:tcPr>
          <w:p w14:paraId="038A44E8" w14:textId="77777777" w:rsidR="00242CBC" w:rsidRPr="00F61D7B" w:rsidRDefault="00242CBC" w:rsidP="001A5D4A">
            <w:pPr>
              <w:pStyle w:val="NotesTable-CellPlain"/>
            </w:pPr>
            <w:r w:rsidRPr="00F61D7B">
              <w:t>–</w:t>
            </w:r>
          </w:p>
        </w:tc>
      </w:tr>
      <w:tr w:rsidR="00242CBC" w:rsidRPr="00075ACF" w14:paraId="038A44F1" w14:textId="77777777" w:rsidTr="00BC5733">
        <w:trPr>
          <w:trHeight w:val="205"/>
        </w:trPr>
        <w:tc>
          <w:tcPr>
            <w:tcW w:w="813" w:type="pct"/>
          </w:tcPr>
          <w:p w14:paraId="038A44EA" w14:textId="77777777" w:rsidR="00242CBC" w:rsidRPr="00075ACF" w:rsidRDefault="00242CBC" w:rsidP="001A5D4A">
            <w:pPr>
              <w:pStyle w:val="Note-Refs"/>
            </w:pPr>
          </w:p>
        </w:tc>
        <w:tc>
          <w:tcPr>
            <w:tcW w:w="1757" w:type="pct"/>
            <w:vAlign w:val="bottom"/>
          </w:tcPr>
          <w:p w14:paraId="038A44EB" w14:textId="77777777" w:rsidR="00242CBC" w:rsidRPr="00075ACF" w:rsidRDefault="00242CBC" w:rsidP="001A5D4A">
            <w:pPr>
              <w:pStyle w:val="NotesTable-ItemPlain"/>
            </w:pPr>
            <w:r>
              <w:t>Settlements</w:t>
            </w:r>
          </w:p>
        </w:tc>
        <w:tc>
          <w:tcPr>
            <w:tcW w:w="486" w:type="pct"/>
          </w:tcPr>
          <w:p w14:paraId="038A44EC" w14:textId="77777777" w:rsidR="00242CBC" w:rsidRPr="00F61D7B" w:rsidRDefault="00242CBC" w:rsidP="001A5D4A">
            <w:pPr>
              <w:pStyle w:val="NotesTable-CellPlain"/>
            </w:pPr>
            <w:r w:rsidRPr="00F61D7B">
              <w:t>–</w:t>
            </w:r>
          </w:p>
        </w:tc>
        <w:tc>
          <w:tcPr>
            <w:tcW w:w="487" w:type="pct"/>
          </w:tcPr>
          <w:p w14:paraId="038A44ED" w14:textId="77777777" w:rsidR="00242CBC" w:rsidRPr="00F61D7B" w:rsidRDefault="00242CBC" w:rsidP="001A5D4A">
            <w:pPr>
              <w:pStyle w:val="NotesTable-CellPlain"/>
            </w:pPr>
            <w:r w:rsidRPr="00F61D7B">
              <w:t>–</w:t>
            </w:r>
          </w:p>
        </w:tc>
        <w:tc>
          <w:tcPr>
            <w:tcW w:w="486" w:type="pct"/>
          </w:tcPr>
          <w:p w14:paraId="038A44EE" w14:textId="77777777" w:rsidR="00242CBC" w:rsidRPr="00F61D7B" w:rsidRDefault="00242CBC" w:rsidP="001A5D4A">
            <w:pPr>
              <w:pStyle w:val="NotesTable-CellPlain"/>
            </w:pPr>
            <w:r w:rsidRPr="00F61D7B">
              <w:t>–</w:t>
            </w:r>
          </w:p>
        </w:tc>
        <w:tc>
          <w:tcPr>
            <w:tcW w:w="487" w:type="pct"/>
          </w:tcPr>
          <w:p w14:paraId="038A44EF" w14:textId="77777777" w:rsidR="00242CBC" w:rsidRPr="00F61D7B" w:rsidRDefault="00242CBC" w:rsidP="001A5D4A">
            <w:pPr>
              <w:pStyle w:val="NotesTable-CellPlain"/>
            </w:pPr>
            <w:r w:rsidRPr="00F61D7B">
              <w:t>–</w:t>
            </w:r>
          </w:p>
        </w:tc>
        <w:tc>
          <w:tcPr>
            <w:tcW w:w="484" w:type="pct"/>
          </w:tcPr>
          <w:p w14:paraId="038A44F0" w14:textId="77777777" w:rsidR="00242CBC" w:rsidRPr="00F61D7B" w:rsidRDefault="00242CBC" w:rsidP="001A5D4A">
            <w:pPr>
              <w:pStyle w:val="NotesTable-CellPlain"/>
            </w:pPr>
            <w:r w:rsidRPr="00F61D7B">
              <w:t>–</w:t>
            </w:r>
          </w:p>
        </w:tc>
      </w:tr>
      <w:tr w:rsidR="00242CBC" w:rsidRPr="00075ACF" w14:paraId="038A44F9" w14:textId="77777777" w:rsidTr="00BC5733">
        <w:trPr>
          <w:trHeight w:val="205"/>
        </w:trPr>
        <w:tc>
          <w:tcPr>
            <w:tcW w:w="813" w:type="pct"/>
          </w:tcPr>
          <w:p w14:paraId="038A44F2" w14:textId="77777777" w:rsidR="00242CBC" w:rsidRPr="00075ACF" w:rsidRDefault="00242CBC" w:rsidP="001A5D4A">
            <w:pPr>
              <w:pStyle w:val="Note-Refs"/>
            </w:pPr>
          </w:p>
        </w:tc>
        <w:tc>
          <w:tcPr>
            <w:tcW w:w="1757" w:type="pct"/>
            <w:vAlign w:val="bottom"/>
          </w:tcPr>
          <w:p w14:paraId="038A44F3" w14:textId="77777777" w:rsidR="00242CBC" w:rsidRPr="00075ACF" w:rsidRDefault="00242CBC" w:rsidP="001A5D4A">
            <w:pPr>
              <w:pStyle w:val="NotesTable-ItemBold"/>
            </w:pPr>
            <w:r>
              <w:t>Total gains/(losses)</w:t>
            </w:r>
          </w:p>
        </w:tc>
        <w:tc>
          <w:tcPr>
            <w:tcW w:w="486" w:type="pct"/>
            <w:tcBorders>
              <w:bottom w:val="single" w:sz="4" w:space="0" w:color="auto"/>
            </w:tcBorders>
          </w:tcPr>
          <w:p w14:paraId="038A44F4"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4F5" w14:textId="77777777" w:rsidR="00242CBC" w:rsidRPr="00F61D7B" w:rsidRDefault="00242CBC" w:rsidP="001A5D4A">
            <w:pPr>
              <w:pStyle w:val="NotesTable-CellPlain"/>
            </w:pPr>
            <w:r w:rsidRPr="00F61D7B">
              <w:t>–</w:t>
            </w:r>
          </w:p>
        </w:tc>
        <w:tc>
          <w:tcPr>
            <w:tcW w:w="486" w:type="pct"/>
            <w:tcBorders>
              <w:bottom w:val="single" w:sz="4" w:space="0" w:color="auto"/>
            </w:tcBorders>
          </w:tcPr>
          <w:p w14:paraId="038A44F6"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4F7" w14:textId="77777777" w:rsidR="00242CBC" w:rsidRPr="00F61D7B" w:rsidRDefault="00242CBC" w:rsidP="001A5D4A">
            <w:pPr>
              <w:pStyle w:val="NotesTable-CellPlain"/>
            </w:pPr>
            <w:r w:rsidRPr="00F61D7B">
              <w:t>–</w:t>
            </w:r>
          </w:p>
        </w:tc>
        <w:tc>
          <w:tcPr>
            <w:tcW w:w="484" w:type="pct"/>
            <w:tcBorders>
              <w:bottom w:val="single" w:sz="4" w:space="0" w:color="auto"/>
            </w:tcBorders>
          </w:tcPr>
          <w:p w14:paraId="038A44F8" w14:textId="77777777" w:rsidR="00242CBC" w:rsidRPr="00F61D7B" w:rsidRDefault="00242CBC" w:rsidP="001A5D4A">
            <w:pPr>
              <w:pStyle w:val="NotesTable-CellPlain"/>
            </w:pPr>
            <w:r w:rsidRPr="00F61D7B">
              <w:t>–</w:t>
            </w:r>
          </w:p>
        </w:tc>
      </w:tr>
      <w:tr w:rsidR="00242CBC" w:rsidRPr="00075ACF" w14:paraId="038A4501" w14:textId="77777777" w:rsidTr="00BC5733">
        <w:trPr>
          <w:trHeight w:val="205"/>
        </w:trPr>
        <w:tc>
          <w:tcPr>
            <w:tcW w:w="813" w:type="pct"/>
          </w:tcPr>
          <w:p w14:paraId="038A44FA" w14:textId="77777777" w:rsidR="00242CBC" w:rsidRPr="00075ACF" w:rsidRDefault="00242CBC" w:rsidP="001A5D4A">
            <w:pPr>
              <w:pStyle w:val="Note-Refs"/>
            </w:pPr>
          </w:p>
        </w:tc>
        <w:tc>
          <w:tcPr>
            <w:tcW w:w="1757" w:type="pct"/>
            <w:vAlign w:val="bottom"/>
          </w:tcPr>
          <w:p w14:paraId="038A44FB" w14:textId="77777777" w:rsidR="00242CBC" w:rsidRPr="00075ACF" w:rsidRDefault="00242CBC" w:rsidP="001A5D4A">
            <w:pPr>
              <w:pStyle w:val="Note-Text"/>
              <w:rPr>
                <w:b/>
              </w:rPr>
            </w:pPr>
            <w:r>
              <w:t>Recognised in profit or loss*</w:t>
            </w:r>
          </w:p>
        </w:tc>
        <w:tc>
          <w:tcPr>
            <w:tcW w:w="486" w:type="pct"/>
            <w:tcBorders>
              <w:top w:val="single" w:sz="4" w:space="0" w:color="auto"/>
            </w:tcBorders>
          </w:tcPr>
          <w:p w14:paraId="038A44FC"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4FD" w14:textId="77777777" w:rsidR="00242CBC" w:rsidRPr="00F61D7B" w:rsidRDefault="00242CBC" w:rsidP="001A5D4A">
            <w:pPr>
              <w:pStyle w:val="NotesTable-CellPlain"/>
            </w:pPr>
            <w:r w:rsidRPr="00F61D7B">
              <w:t>–</w:t>
            </w:r>
          </w:p>
        </w:tc>
        <w:tc>
          <w:tcPr>
            <w:tcW w:w="486" w:type="pct"/>
            <w:tcBorders>
              <w:top w:val="single" w:sz="4" w:space="0" w:color="auto"/>
            </w:tcBorders>
          </w:tcPr>
          <w:p w14:paraId="038A44FE"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4FF" w14:textId="77777777" w:rsidR="00242CBC" w:rsidRPr="00F61D7B" w:rsidRDefault="00242CBC" w:rsidP="001A5D4A">
            <w:pPr>
              <w:pStyle w:val="NotesTable-CellPlain"/>
            </w:pPr>
            <w:r w:rsidRPr="00F61D7B">
              <w:t>–</w:t>
            </w:r>
          </w:p>
        </w:tc>
        <w:tc>
          <w:tcPr>
            <w:tcW w:w="484" w:type="pct"/>
            <w:tcBorders>
              <w:top w:val="single" w:sz="4" w:space="0" w:color="auto"/>
            </w:tcBorders>
          </w:tcPr>
          <w:p w14:paraId="038A4500" w14:textId="77777777" w:rsidR="00242CBC" w:rsidRPr="00F61D7B" w:rsidRDefault="00242CBC" w:rsidP="001A5D4A">
            <w:pPr>
              <w:pStyle w:val="NotesTable-CellPlain"/>
            </w:pPr>
            <w:r w:rsidRPr="00F61D7B">
              <w:t>–</w:t>
            </w:r>
          </w:p>
        </w:tc>
      </w:tr>
      <w:tr w:rsidR="00242CBC" w:rsidRPr="00075ACF" w14:paraId="038A4509" w14:textId="77777777" w:rsidTr="00BC5733">
        <w:trPr>
          <w:trHeight w:val="205"/>
        </w:trPr>
        <w:tc>
          <w:tcPr>
            <w:tcW w:w="813" w:type="pct"/>
          </w:tcPr>
          <w:p w14:paraId="038A4502" w14:textId="77777777" w:rsidR="00242CBC" w:rsidRPr="00075ACF" w:rsidRDefault="00242CBC" w:rsidP="001A5D4A">
            <w:pPr>
              <w:pStyle w:val="Note-Refs"/>
            </w:pPr>
          </w:p>
        </w:tc>
        <w:tc>
          <w:tcPr>
            <w:tcW w:w="1757" w:type="pct"/>
            <w:vAlign w:val="bottom"/>
          </w:tcPr>
          <w:p w14:paraId="038A4503" w14:textId="77777777" w:rsidR="00242CBC" w:rsidRPr="00075ACF" w:rsidRDefault="00242CBC" w:rsidP="001A5D4A">
            <w:pPr>
              <w:pStyle w:val="Note-Text"/>
              <w:rPr>
                <w:b/>
              </w:rPr>
            </w:pPr>
            <w:r>
              <w:t>Recognised in other comprehensive income</w:t>
            </w:r>
          </w:p>
        </w:tc>
        <w:tc>
          <w:tcPr>
            <w:tcW w:w="486" w:type="pct"/>
            <w:tcBorders>
              <w:bottom w:val="single" w:sz="4" w:space="0" w:color="auto"/>
            </w:tcBorders>
          </w:tcPr>
          <w:p w14:paraId="038A4504"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05" w14:textId="77777777" w:rsidR="00242CBC" w:rsidRPr="00F61D7B" w:rsidRDefault="00242CBC" w:rsidP="001A5D4A">
            <w:pPr>
              <w:pStyle w:val="NotesTable-CellPlain"/>
            </w:pPr>
            <w:r w:rsidRPr="00F61D7B">
              <w:t>–</w:t>
            </w:r>
          </w:p>
        </w:tc>
        <w:tc>
          <w:tcPr>
            <w:tcW w:w="486" w:type="pct"/>
            <w:tcBorders>
              <w:bottom w:val="single" w:sz="4" w:space="0" w:color="auto"/>
            </w:tcBorders>
          </w:tcPr>
          <w:p w14:paraId="038A4506"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07" w14:textId="77777777" w:rsidR="00242CBC" w:rsidRPr="00F61D7B" w:rsidRDefault="00242CBC" w:rsidP="001A5D4A">
            <w:pPr>
              <w:pStyle w:val="NotesTable-CellPlain"/>
            </w:pPr>
            <w:r w:rsidRPr="00F61D7B">
              <w:t>–</w:t>
            </w:r>
          </w:p>
        </w:tc>
        <w:tc>
          <w:tcPr>
            <w:tcW w:w="484" w:type="pct"/>
            <w:tcBorders>
              <w:bottom w:val="single" w:sz="4" w:space="0" w:color="auto"/>
            </w:tcBorders>
          </w:tcPr>
          <w:p w14:paraId="038A4508" w14:textId="77777777" w:rsidR="00242CBC" w:rsidRPr="00F61D7B" w:rsidRDefault="00242CBC" w:rsidP="001A5D4A">
            <w:pPr>
              <w:pStyle w:val="NotesTable-CellPlain"/>
            </w:pPr>
            <w:r w:rsidRPr="00F61D7B">
              <w:t>–</w:t>
            </w:r>
          </w:p>
        </w:tc>
      </w:tr>
      <w:tr w:rsidR="00242CBC" w:rsidRPr="00075ACF" w14:paraId="038A4511" w14:textId="77777777" w:rsidTr="00BC5733">
        <w:trPr>
          <w:trHeight w:val="205"/>
        </w:trPr>
        <w:tc>
          <w:tcPr>
            <w:tcW w:w="813" w:type="pct"/>
          </w:tcPr>
          <w:p w14:paraId="038A450A" w14:textId="77777777" w:rsidR="00242CBC" w:rsidRPr="00075ACF" w:rsidRDefault="00242CBC" w:rsidP="001A5D4A">
            <w:pPr>
              <w:pStyle w:val="Note-Refs"/>
            </w:pPr>
          </w:p>
        </w:tc>
        <w:tc>
          <w:tcPr>
            <w:tcW w:w="1757" w:type="pct"/>
            <w:vAlign w:val="bottom"/>
          </w:tcPr>
          <w:p w14:paraId="038A450B" w14:textId="77777777" w:rsidR="00242CBC" w:rsidRPr="00075ACF" w:rsidRDefault="00242CBC" w:rsidP="001A5D4A">
            <w:pPr>
              <w:pStyle w:val="NotesTable-ItemBold"/>
            </w:pPr>
            <w:r>
              <w:t>Closing balance</w:t>
            </w:r>
          </w:p>
        </w:tc>
        <w:tc>
          <w:tcPr>
            <w:tcW w:w="486" w:type="pct"/>
            <w:tcBorders>
              <w:top w:val="single" w:sz="4" w:space="0" w:color="auto"/>
            </w:tcBorders>
          </w:tcPr>
          <w:p w14:paraId="038A450C"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50D" w14:textId="77777777" w:rsidR="00242CBC" w:rsidRPr="00F61D7B" w:rsidRDefault="00242CBC" w:rsidP="001A5D4A">
            <w:pPr>
              <w:pStyle w:val="NotesTable-CellPlain"/>
            </w:pPr>
            <w:r w:rsidRPr="00F61D7B">
              <w:t>–</w:t>
            </w:r>
          </w:p>
        </w:tc>
        <w:tc>
          <w:tcPr>
            <w:tcW w:w="486" w:type="pct"/>
            <w:tcBorders>
              <w:top w:val="single" w:sz="4" w:space="0" w:color="auto"/>
            </w:tcBorders>
          </w:tcPr>
          <w:p w14:paraId="038A450E"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50F" w14:textId="77777777" w:rsidR="00242CBC" w:rsidRPr="00F61D7B" w:rsidRDefault="00242CBC" w:rsidP="001A5D4A">
            <w:pPr>
              <w:pStyle w:val="NotesTable-CellPlain"/>
            </w:pPr>
            <w:r w:rsidRPr="00F61D7B">
              <w:t>–</w:t>
            </w:r>
          </w:p>
        </w:tc>
        <w:tc>
          <w:tcPr>
            <w:tcW w:w="484" w:type="pct"/>
            <w:tcBorders>
              <w:top w:val="single" w:sz="4" w:space="0" w:color="auto"/>
            </w:tcBorders>
          </w:tcPr>
          <w:p w14:paraId="038A4510" w14:textId="77777777" w:rsidR="00242CBC" w:rsidRPr="00F61D7B" w:rsidRDefault="00242CBC" w:rsidP="001A5D4A">
            <w:pPr>
              <w:pStyle w:val="NotesTable-CellPlain"/>
            </w:pPr>
            <w:r w:rsidRPr="00F61D7B">
              <w:t>–</w:t>
            </w:r>
          </w:p>
        </w:tc>
      </w:tr>
      <w:tr w:rsidR="00242CBC" w:rsidRPr="00075ACF" w14:paraId="038A4514" w14:textId="77777777" w:rsidTr="00BC5733">
        <w:trPr>
          <w:trHeight w:val="205"/>
        </w:trPr>
        <w:tc>
          <w:tcPr>
            <w:tcW w:w="813" w:type="pct"/>
          </w:tcPr>
          <w:p w14:paraId="038A4512" w14:textId="77777777" w:rsidR="00242CBC" w:rsidRPr="00075ACF" w:rsidRDefault="00242CBC" w:rsidP="001A5D4A">
            <w:pPr>
              <w:pStyle w:val="Note-Refs"/>
            </w:pPr>
          </w:p>
        </w:tc>
        <w:tc>
          <w:tcPr>
            <w:tcW w:w="4187" w:type="pct"/>
            <w:gridSpan w:val="6"/>
          </w:tcPr>
          <w:p w14:paraId="038A4513" w14:textId="77777777" w:rsidR="00242CBC" w:rsidRPr="00075ACF" w:rsidRDefault="00242CBC" w:rsidP="001A5D4A">
            <w:pPr>
              <w:pStyle w:val="NotesTable-ItemPlain"/>
            </w:pPr>
          </w:p>
        </w:tc>
      </w:tr>
      <w:tr w:rsidR="00242CBC" w:rsidRPr="00075ACF" w14:paraId="038A451C" w14:textId="77777777" w:rsidTr="00BC5733">
        <w:trPr>
          <w:trHeight w:val="205"/>
        </w:trPr>
        <w:tc>
          <w:tcPr>
            <w:tcW w:w="813" w:type="pct"/>
          </w:tcPr>
          <w:p w14:paraId="038A4515" w14:textId="77777777" w:rsidR="00242CBC" w:rsidRPr="00075ACF" w:rsidRDefault="00242CBC" w:rsidP="001A5D4A">
            <w:pPr>
              <w:pStyle w:val="Note-Refs"/>
            </w:pPr>
          </w:p>
        </w:tc>
        <w:tc>
          <w:tcPr>
            <w:tcW w:w="1757" w:type="pct"/>
          </w:tcPr>
          <w:p w14:paraId="038A4516" w14:textId="341FBDF0" w:rsidR="00242CBC" w:rsidRPr="00F61D7B" w:rsidRDefault="00242CBC" w:rsidP="001A5D4A">
            <w:pPr>
              <w:pStyle w:val="NotesTable-ItemBold"/>
            </w:pPr>
            <w:r w:rsidRPr="00283202">
              <w:t>Leve</w:t>
            </w:r>
            <w:r>
              <w:t xml:space="preserve">l 3 Fair Value Measurements </w:t>
            </w:r>
            <w:r w:rsidR="006864EC">
              <w:t>2013</w:t>
            </w:r>
          </w:p>
        </w:tc>
        <w:tc>
          <w:tcPr>
            <w:tcW w:w="486" w:type="pct"/>
          </w:tcPr>
          <w:p w14:paraId="038A4517" w14:textId="77777777" w:rsidR="00242CBC" w:rsidRPr="00F61D7B" w:rsidRDefault="00242CBC" w:rsidP="001A5D4A">
            <w:pPr>
              <w:pStyle w:val="NotesTable-CellPlain"/>
            </w:pPr>
          </w:p>
        </w:tc>
        <w:tc>
          <w:tcPr>
            <w:tcW w:w="487" w:type="pct"/>
          </w:tcPr>
          <w:p w14:paraId="038A4518" w14:textId="77777777" w:rsidR="00242CBC" w:rsidRPr="00F61D7B" w:rsidRDefault="00242CBC" w:rsidP="001A5D4A">
            <w:pPr>
              <w:snapToGrid w:val="0"/>
              <w:ind w:right="227"/>
              <w:jc w:val="right"/>
              <w:rPr>
                <w:rFonts w:ascii="Arial" w:hAnsi="Arial" w:cs="Arial"/>
                <w:sz w:val="18"/>
                <w:szCs w:val="18"/>
              </w:rPr>
            </w:pPr>
          </w:p>
        </w:tc>
        <w:tc>
          <w:tcPr>
            <w:tcW w:w="486" w:type="pct"/>
          </w:tcPr>
          <w:p w14:paraId="038A4519" w14:textId="77777777" w:rsidR="00242CBC" w:rsidRPr="00F61D7B" w:rsidRDefault="00242CBC" w:rsidP="001A5D4A">
            <w:pPr>
              <w:snapToGrid w:val="0"/>
              <w:ind w:right="227"/>
              <w:jc w:val="right"/>
              <w:rPr>
                <w:rFonts w:ascii="Arial" w:hAnsi="Arial" w:cs="Arial"/>
                <w:sz w:val="18"/>
                <w:szCs w:val="18"/>
              </w:rPr>
            </w:pPr>
          </w:p>
        </w:tc>
        <w:tc>
          <w:tcPr>
            <w:tcW w:w="487" w:type="pct"/>
          </w:tcPr>
          <w:p w14:paraId="038A451A" w14:textId="77777777" w:rsidR="00242CBC" w:rsidRPr="00075ACF" w:rsidRDefault="00242CBC" w:rsidP="001A5D4A">
            <w:pPr>
              <w:pStyle w:val="NotesTable-CellPlain"/>
            </w:pPr>
          </w:p>
        </w:tc>
        <w:tc>
          <w:tcPr>
            <w:tcW w:w="484" w:type="pct"/>
          </w:tcPr>
          <w:p w14:paraId="038A451B" w14:textId="77777777" w:rsidR="00242CBC" w:rsidRPr="00075ACF" w:rsidRDefault="00242CBC" w:rsidP="001A5D4A">
            <w:pPr>
              <w:pStyle w:val="NotesTable-CellPlain"/>
            </w:pPr>
          </w:p>
        </w:tc>
      </w:tr>
      <w:tr w:rsidR="00242CBC" w:rsidRPr="00075ACF" w14:paraId="038A4524" w14:textId="77777777" w:rsidTr="00BC5733">
        <w:trPr>
          <w:trHeight w:val="205"/>
        </w:trPr>
        <w:tc>
          <w:tcPr>
            <w:tcW w:w="813" w:type="pct"/>
          </w:tcPr>
          <w:p w14:paraId="038A451D" w14:textId="77777777" w:rsidR="00242CBC" w:rsidRPr="00075ACF" w:rsidRDefault="00242CBC" w:rsidP="001A5D4A">
            <w:pPr>
              <w:pStyle w:val="Note-Refs"/>
            </w:pPr>
          </w:p>
        </w:tc>
        <w:tc>
          <w:tcPr>
            <w:tcW w:w="1757" w:type="pct"/>
            <w:vAlign w:val="bottom"/>
          </w:tcPr>
          <w:p w14:paraId="038A451E" w14:textId="77777777" w:rsidR="00242CBC" w:rsidRPr="00075ACF" w:rsidRDefault="00242CBC" w:rsidP="001A5D4A">
            <w:pPr>
              <w:pStyle w:val="NotesTable-ItemPlain"/>
            </w:pPr>
            <w:r>
              <w:t>Opening balance</w:t>
            </w:r>
          </w:p>
        </w:tc>
        <w:tc>
          <w:tcPr>
            <w:tcW w:w="486" w:type="pct"/>
          </w:tcPr>
          <w:p w14:paraId="038A451F" w14:textId="77777777" w:rsidR="00242CBC" w:rsidRPr="00075ACF" w:rsidRDefault="00242CBC" w:rsidP="001A5D4A">
            <w:pPr>
              <w:pStyle w:val="NotesTable-CellPlain"/>
            </w:pPr>
            <w:r w:rsidRPr="00F61D7B">
              <w:t>–</w:t>
            </w:r>
          </w:p>
        </w:tc>
        <w:tc>
          <w:tcPr>
            <w:tcW w:w="487" w:type="pct"/>
          </w:tcPr>
          <w:p w14:paraId="038A4520" w14:textId="77777777" w:rsidR="00242CBC" w:rsidRPr="00075ACF" w:rsidRDefault="00242CBC" w:rsidP="001A5D4A">
            <w:pPr>
              <w:pStyle w:val="NotesTable-CellPlain"/>
            </w:pPr>
            <w:r w:rsidRPr="00F61D7B">
              <w:t>–</w:t>
            </w:r>
          </w:p>
        </w:tc>
        <w:tc>
          <w:tcPr>
            <w:tcW w:w="486" w:type="pct"/>
          </w:tcPr>
          <w:p w14:paraId="038A4521" w14:textId="77777777" w:rsidR="00242CBC" w:rsidRPr="00075ACF" w:rsidRDefault="00242CBC" w:rsidP="001A5D4A">
            <w:pPr>
              <w:pStyle w:val="NotesTable-CellPlain"/>
            </w:pPr>
            <w:r w:rsidRPr="00F61D7B">
              <w:t>–</w:t>
            </w:r>
          </w:p>
        </w:tc>
        <w:tc>
          <w:tcPr>
            <w:tcW w:w="487" w:type="pct"/>
          </w:tcPr>
          <w:p w14:paraId="038A4522" w14:textId="77777777" w:rsidR="00242CBC" w:rsidRPr="00075ACF" w:rsidRDefault="00242CBC" w:rsidP="001A5D4A">
            <w:pPr>
              <w:pStyle w:val="NotesTable-CellPlain"/>
            </w:pPr>
            <w:r w:rsidRPr="00F61D7B">
              <w:t>–</w:t>
            </w:r>
          </w:p>
        </w:tc>
        <w:tc>
          <w:tcPr>
            <w:tcW w:w="484" w:type="pct"/>
          </w:tcPr>
          <w:p w14:paraId="038A4523" w14:textId="77777777" w:rsidR="00242CBC" w:rsidRPr="00075ACF" w:rsidRDefault="00242CBC" w:rsidP="001A5D4A">
            <w:pPr>
              <w:pStyle w:val="NotesTable-CellPlain"/>
            </w:pPr>
            <w:r w:rsidRPr="00F61D7B">
              <w:t>–</w:t>
            </w:r>
          </w:p>
        </w:tc>
      </w:tr>
      <w:tr w:rsidR="00242CBC" w:rsidRPr="00075ACF" w14:paraId="038A452C" w14:textId="77777777" w:rsidTr="00BC5733">
        <w:trPr>
          <w:trHeight w:val="205"/>
        </w:trPr>
        <w:tc>
          <w:tcPr>
            <w:tcW w:w="813" w:type="pct"/>
          </w:tcPr>
          <w:p w14:paraId="038A4525" w14:textId="77777777" w:rsidR="00242CBC" w:rsidRPr="00075ACF" w:rsidRDefault="00242CBC" w:rsidP="001A5D4A">
            <w:pPr>
              <w:pStyle w:val="Note-Refs"/>
            </w:pPr>
          </w:p>
        </w:tc>
        <w:tc>
          <w:tcPr>
            <w:tcW w:w="1757" w:type="pct"/>
            <w:vAlign w:val="bottom"/>
          </w:tcPr>
          <w:p w14:paraId="038A4526" w14:textId="77777777" w:rsidR="00242CBC" w:rsidRPr="00075ACF" w:rsidRDefault="00242CBC" w:rsidP="001A5D4A">
            <w:pPr>
              <w:pStyle w:val="NotesTable-ItemPlain"/>
            </w:pPr>
            <w:r>
              <w:t>Transfers from level 1</w:t>
            </w:r>
          </w:p>
        </w:tc>
        <w:tc>
          <w:tcPr>
            <w:tcW w:w="486" w:type="pct"/>
          </w:tcPr>
          <w:p w14:paraId="038A4527" w14:textId="77777777" w:rsidR="00242CBC" w:rsidRPr="00075ACF" w:rsidRDefault="00242CBC" w:rsidP="001A5D4A">
            <w:pPr>
              <w:pStyle w:val="NotesTable-CellPlain"/>
            </w:pPr>
            <w:r w:rsidRPr="00F61D7B">
              <w:t>–</w:t>
            </w:r>
          </w:p>
        </w:tc>
        <w:tc>
          <w:tcPr>
            <w:tcW w:w="487" w:type="pct"/>
          </w:tcPr>
          <w:p w14:paraId="038A4528" w14:textId="77777777" w:rsidR="00242CBC" w:rsidRPr="00075ACF" w:rsidRDefault="00242CBC" w:rsidP="001A5D4A">
            <w:pPr>
              <w:pStyle w:val="NotesTable-CellPlain"/>
            </w:pPr>
            <w:r w:rsidRPr="00F61D7B">
              <w:t>–</w:t>
            </w:r>
          </w:p>
        </w:tc>
        <w:tc>
          <w:tcPr>
            <w:tcW w:w="486" w:type="pct"/>
          </w:tcPr>
          <w:p w14:paraId="038A4529" w14:textId="77777777" w:rsidR="00242CBC" w:rsidRPr="00075ACF" w:rsidRDefault="00242CBC" w:rsidP="001A5D4A">
            <w:pPr>
              <w:pStyle w:val="NotesTable-CellPlain"/>
            </w:pPr>
            <w:r w:rsidRPr="00F61D7B">
              <w:t>–</w:t>
            </w:r>
          </w:p>
        </w:tc>
        <w:tc>
          <w:tcPr>
            <w:tcW w:w="487" w:type="pct"/>
          </w:tcPr>
          <w:p w14:paraId="038A452A" w14:textId="77777777" w:rsidR="00242CBC" w:rsidRPr="00075ACF" w:rsidRDefault="00242CBC" w:rsidP="001A5D4A">
            <w:pPr>
              <w:pStyle w:val="NotesTable-CellPlain"/>
            </w:pPr>
            <w:r w:rsidRPr="00F61D7B">
              <w:t>–</w:t>
            </w:r>
          </w:p>
        </w:tc>
        <w:tc>
          <w:tcPr>
            <w:tcW w:w="484" w:type="pct"/>
          </w:tcPr>
          <w:p w14:paraId="038A452B" w14:textId="77777777" w:rsidR="00242CBC" w:rsidRPr="00075ACF" w:rsidRDefault="00242CBC" w:rsidP="001A5D4A">
            <w:pPr>
              <w:pStyle w:val="NotesTable-CellPlain"/>
            </w:pPr>
            <w:r w:rsidRPr="00F61D7B">
              <w:t>–</w:t>
            </w:r>
          </w:p>
        </w:tc>
      </w:tr>
      <w:tr w:rsidR="00242CBC" w:rsidRPr="00075ACF" w14:paraId="038A4534" w14:textId="77777777" w:rsidTr="00BC5733">
        <w:trPr>
          <w:trHeight w:val="205"/>
        </w:trPr>
        <w:tc>
          <w:tcPr>
            <w:tcW w:w="813" w:type="pct"/>
          </w:tcPr>
          <w:p w14:paraId="038A452D" w14:textId="77777777" w:rsidR="00242CBC" w:rsidRPr="00075ACF" w:rsidRDefault="00242CBC" w:rsidP="001A5D4A">
            <w:pPr>
              <w:pStyle w:val="Note-Refs"/>
            </w:pPr>
          </w:p>
        </w:tc>
        <w:tc>
          <w:tcPr>
            <w:tcW w:w="1757" w:type="pct"/>
            <w:vAlign w:val="bottom"/>
          </w:tcPr>
          <w:p w14:paraId="038A452E" w14:textId="77777777" w:rsidR="00242CBC" w:rsidRPr="00075ACF" w:rsidRDefault="00242CBC" w:rsidP="001A5D4A">
            <w:pPr>
              <w:pStyle w:val="NotesTable-ItemPlain"/>
            </w:pPr>
            <w:r>
              <w:t>Disposals</w:t>
            </w:r>
          </w:p>
        </w:tc>
        <w:tc>
          <w:tcPr>
            <w:tcW w:w="486" w:type="pct"/>
          </w:tcPr>
          <w:p w14:paraId="038A452F" w14:textId="77777777" w:rsidR="00242CBC" w:rsidRPr="00075ACF" w:rsidRDefault="00242CBC" w:rsidP="001A5D4A">
            <w:pPr>
              <w:pStyle w:val="NotesTable-CellPlain"/>
            </w:pPr>
            <w:r w:rsidRPr="00F61D7B">
              <w:t>–</w:t>
            </w:r>
          </w:p>
        </w:tc>
        <w:tc>
          <w:tcPr>
            <w:tcW w:w="487" w:type="pct"/>
          </w:tcPr>
          <w:p w14:paraId="038A4530" w14:textId="77777777" w:rsidR="00242CBC" w:rsidRPr="00075ACF" w:rsidRDefault="00242CBC" w:rsidP="001A5D4A">
            <w:pPr>
              <w:pStyle w:val="NotesTable-CellPlain"/>
            </w:pPr>
            <w:r w:rsidRPr="00F61D7B">
              <w:t>–</w:t>
            </w:r>
          </w:p>
        </w:tc>
        <w:tc>
          <w:tcPr>
            <w:tcW w:w="486" w:type="pct"/>
          </w:tcPr>
          <w:p w14:paraId="038A4531" w14:textId="77777777" w:rsidR="00242CBC" w:rsidRPr="00075ACF" w:rsidRDefault="00242CBC" w:rsidP="001A5D4A">
            <w:pPr>
              <w:pStyle w:val="NotesTable-CellPlain"/>
            </w:pPr>
            <w:r w:rsidRPr="00F61D7B">
              <w:t>–</w:t>
            </w:r>
          </w:p>
        </w:tc>
        <w:tc>
          <w:tcPr>
            <w:tcW w:w="487" w:type="pct"/>
          </w:tcPr>
          <w:p w14:paraId="038A4532" w14:textId="77777777" w:rsidR="00242CBC" w:rsidRPr="00075ACF" w:rsidRDefault="00242CBC" w:rsidP="001A5D4A">
            <w:pPr>
              <w:pStyle w:val="NotesTable-CellPlain"/>
            </w:pPr>
            <w:r w:rsidRPr="00F61D7B">
              <w:t>–</w:t>
            </w:r>
          </w:p>
        </w:tc>
        <w:tc>
          <w:tcPr>
            <w:tcW w:w="484" w:type="pct"/>
          </w:tcPr>
          <w:p w14:paraId="038A4533" w14:textId="77777777" w:rsidR="00242CBC" w:rsidRPr="00075ACF" w:rsidRDefault="00242CBC" w:rsidP="001A5D4A">
            <w:pPr>
              <w:pStyle w:val="NotesTable-CellPlain"/>
            </w:pPr>
            <w:r w:rsidRPr="00F61D7B">
              <w:t>–</w:t>
            </w:r>
          </w:p>
        </w:tc>
      </w:tr>
      <w:tr w:rsidR="00242CBC" w:rsidRPr="00F61D7B" w14:paraId="038A453C" w14:textId="77777777" w:rsidTr="00BC5733">
        <w:trPr>
          <w:trHeight w:val="205"/>
        </w:trPr>
        <w:tc>
          <w:tcPr>
            <w:tcW w:w="813" w:type="pct"/>
          </w:tcPr>
          <w:p w14:paraId="038A4535" w14:textId="77777777" w:rsidR="00242CBC" w:rsidRPr="00075ACF" w:rsidRDefault="00242CBC" w:rsidP="001A5D4A">
            <w:pPr>
              <w:pStyle w:val="Note-Refs"/>
            </w:pPr>
          </w:p>
        </w:tc>
        <w:tc>
          <w:tcPr>
            <w:tcW w:w="1757" w:type="pct"/>
            <w:vAlign w:val="bottom"/>
          </w:tcPr>
          <w:p w14:paraId="038A4536" w14:textId="77777777" w:rsidR="00242CBC" w:rsidRPr="00075ACF" w:rsidRDefault="00242CBC" w:rsidP="001A5D4A">
            <w:pPr>
              <w:pStyle w:val="NotesTable-ItemBold"/>
            </w:pPr>
            <w:r>
              <w:t>Total gains/(losses)</w:t>
            </w:r>
          </w:p>
        </w:tc>
        <w:tc>
          <w:tcPr>
            <w:tcW w:w="486" w:type="pct"/>
            <w:tcBorders>
              <w:bottom w:val="single" w:sz="4" w:space="0" w:color="auto"/>
            </w:tcBorders>
          </w:tcPr>
          <w:p w14:paraId="038A4537"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38" w14:textId="77777777" w:rsidR="00242CBC" w:rsidRPr="00F61D7B" w:rsidRDefault="00242CBC" w:rsidP="001A5D4A">
            <w:pPr>
              <w:pStyle w:val="NotesTable-CellPlain"/>
            </w:pPr>
            <w:r w:rsidRPr="00F61D7B">
              <w:t>–</w:t>
            </w:r>
          </w:p>
        </w:tc>
        <w:tc>
          <w:tcPr>
            <w:tcW w:w="486" w:type="pct"/>
            <w:tcBorders>
              <w:bottom w:val="single" w:sz="4" w:space="0" w:color="auto"/>
            </w:tcBorders>
          </w:tcPr>
          <w:p w14:paraId="038A4539"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3A" w14:textId="77777777" w:rsidR="00242CBC" w:rsidRPr="00F61D7B" w:rsidRDefault="00242CBC" w:rsidP="001A5D4A">
            <w:pPr>
              <w:pStyle w:val="NotesTable-CellPlain"/>
            </w:pPr>
            <w:r w:rsidRPr="00F61D7B">
              <w:t>–</w:t>
            </w:r>
          </w:p>
        </w:tc>
        <w:tc>
          <w:tcPr>
            <w:tcW w:w="484" w:type="pct"/>
            <w:tcBorders>
              <w:bottom w:val="single" w:sz="4" w:space="0" w:color="auto"/>
            </w:tcBorders>
          </w:tcPr>
          <w:p w14:paraId="038A453B" w14:textId="77777777" w:rsidR="00242CBC" w:rsidRPr="00F61D7B" w:rsidRDefault="00242CBC" w:rsidP="001A5D4A">
            <w:pPr>
              <w:pStyle w:val="NotesTable-CellPlain"/>
            </w:pPr>
            <w:r w:rsidRPr="00F61D7B">
              <w:t>–</w:t>
            </w:r>
          </w:p>
        </w:tc>
      </w:tr>
      <w:tr w:rsidR="00242CBC" w:rsidRPr="00F61D7B" w14:paraId="038A4544" w14:textId="77777777" w:rsidTr="00BC5733">
        <w:trPr>
          <w:trHeight w:val="205"/>
        </w:trPr>
        <w:tc>
          <w:tcPr>
            <w:tcW w:w="813" w:type="pct"/>
          </w:tcPr>
          <w:p w14:paraId="038A453D" w14:textId="77777777" w:rsidR="00242CBC" w:rsidRPr="00075ACF" w:rsidRDefault="00242CBC" w:rsidP="001A5D4A">
            <w:pPr>
              <w:pStyle w:val="Note-Refs"/>
            </w:pPr>
          </w:p>
        </w:tc>
        <w:tc>
          <w:tcPr>
            <w:tcW w:w="1757" w:type="pct"/>
            <w:vAlign w:val="bottom"/>
          </w:tcPr>
          <w:p w14:paraId="038A453E" w14:textId="27AAB754" w:rsidR="00242CBC" w:rsidRPr="00075ACF" w:rsidRDefault="00242CBC" w:rsidP="001A5D4A">
            <w:pPr>
              <w:pStyle w:val="Note-Text"/>
              <w:rPr>
                <w:b/>
              </w:rPr>
            </w:pPr>
            <w:r>
              <w:t>Recognised in profit or loss</w:t>
            </w:r>
            <w:r w:rsidR="00EE75A5">
              <w:t>*</w:t>
            </w:r>
          </w:p>
        </w:tc>
        <w:tc>
          <w:tcPr>
            <w:tcW w:w="486" w:type="pct"/>
            <w:tcBorders>
              <w:top w:val="single" w:sz="4" w:space="0" w:color="auto"/>
            </w:tcBorders>
          </w:tcPr>
          <w:p w14:paraId="038A453F"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540" w14:textId="77777777" w:rsidR="00242CBC" w:rsidRPr="00F61D7B" w:rsidRDefault="00242CBC" w:rsidP="001A5D4A">
            <w:pPr>
              <w:pStyle w:val="NotesTable-CellPlain"/>
            </w:pPr>
            <w:r w:rsidRPr="00F61D7B">
              <w:t>–</w:t>
            </w:r>
          </w:p>
        </w:tc>
        <w:tc>
          <w:tcPr>
            <w:tcW w:w="486" w:type="pct"/>
            <w:tcBorders>
              <w:top w:val="single" w:sz="4" w:space="0" w:color="auto"/>
            </w:tcBorders>
          </w:tcPr>
          <w:p w14:paraId="038A4541" w14:textId="77777777" w:rsidR="00242CBC" w:rsidRPr="00F61D7B" w:rsidRDefault="00242CBC" w:rsidP="001A5D4A">
            <w:pPr>
              <w:pStyle w:val="NotesTable-CellPlain"/>
            </w:pPr>
            <w:r w:rsidRPr="00F61D7B">
              <w:t>–</w:t>
            </w:r>
          </w:p>
        </w:tc>
        <w:tc>
          <w:tcPr>
            <w:tcW w:w="487" w:type="pct"/>
            <w:tcBorders>
              <w:top w:val="single" w:sz="4" w:space="0" w:color="auto"/>
            </w:tcBorders>
          </w:tcPr>
          <w:p w14:paraId="038A4542" w14:textId="77777777" w:rsidR="00242CBC" w:rsidRPr="00F61D7B" w:rsidRDefault="00242CBC" w:rsidP="001A5D4A">
            <w:pPr>
              <w:pStyle w:val="NotesTable-CellPlain"/>
            </w:pPr>
            <w:r w:rsidRPr="00F61D7B">
              <w:t>–</w:t>
            </w:r>
          </w:p>
        </w:tc>
        <w:tc>
          <w:tcPr>
            <w:tcW w:w="484" w:type="pct"/>
            <w:tcBorders>
              <w:top w:val="single" w:sz="4" w:space="0" w:color="auto"/>
            </w:tcBorders>
          </w:tcPr>
          <w:p w14:paraId="038A4543" w14:textId="77777777" w:rsidR="00242CBC" w:rsidRPr="00F61D7B" w:rsidRDefault="00242CBC" w:rsidP="001A5D4A">
            <w:pPr>
              <w:pStyle w:val="NotesTable-CellPlain"/>
            </w:pPr>
            <w:r w:rsidRPr="00F61D7B">
              <w:t>–</w:t>
            </w:r>
          </w:p>
        </w:tc>
      </w:tr>
      <w:tr w:rsidR="00242CBC" w:rsidRPr="00F61D7B" w14:paraId="038A454C" w14:textId="77777777" w:rsidTr="00BC5733">
        <w:trPr>
          <w:trHeight w:val="205"/>
        </w:trPr>
        <w:tc>
          <w:tcPr>
            <w:tcW w:w="813" w:type="pct"/>
          </w:tcPr>
          <w:p w14:paraId="038A4545" w14:textId="77777777" w:rsidR="00242CBC" w:rsidRPr="00075ACF" w:rsidRDefault="00242CBC" w:rsidP="001A5D4A">
            <w:pPr>
              <w:pStyle w:val="Note-Refs"/>
            </w:pPr>
          </w:p>
        </w:tc>
        <w:tc>
          <w:tcPr>
            <w:tcW w:w="1757" w:type="pct"/>
            <w:vAlign w:val="bottom"/>
          </w:tcPr>
          <w:p w14:paraId="038A4546" w14:textId="40C66ABE" w:rsidR="00242CBC" w:rsidRPr="00075ACF" w:rsidRDefault="00242CBC" w:rsidP="001A5D4A">
            <w:pPr>
              <w:pStyle w:val="Note-Text"/>
              <w:rPr>
                <w:b/>
              </w:rPr>
            </w:pPr>
            <w:r>
              <w:t>Recognised in other comprehensive income</w:t>
            </w:r>
          </w:p>
        </w:tc>
        <w:tc>
          <w:tcPr>
            <w:tcW w:w="486" w:type="pct"/>
            <w:tcBorders>
              <w:bottom w:val="single" w:sz="4" w:space="0" w:color="auto"/>
            </w:tcBorders>
          </w:tcPr>
          <w:p w14:paraId="038A4547"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48" w14:textId="77777777" w:rsidR="00242CBC" w:rsidRPr="00F61D7B" w:rsidRDefault="00242CBC" w:rsidP="001A5D4A">
            <w:pPr>
              <w:pStyle w:val="NotesTable-CellPlain"/>
            </w:pPr>
            <w:r w:rsidRPr="00F61D7B">
              <w:t>–</w:t>
            </w:r>
          </w:p>
        </w:tc>
        <w:tc>
          <w:tcPr>
            <w:tcW w:w="486" w:type="pct"/>
            <w:tcBorders>
              <w:bottom w:val="single" w:sz="4" w:space="0" w:color="auto"/>
            </w:tcBorders>
          </w:tcPr>
          <w:p w14:paraId="038A4549" w14:textId="77777777" w:rsidR="00242CBC" w:rsidRPr="00F61D7B" w:rsidRDefault="00242CBC" w:rsidP="001A5D4A">
            <w:pPr>
              <w:pStyle w:val="NotesTable-CellPlain"/>
            </w:pPr>
            <w:r w:rsidRPr="00F61D7B">
              <w:t>–</w:t>
            </w:r>
          </w:p>
        </w:tc>
        <w:tc>
          <w:tcPr>
            <w:tcW w:w="487" w:type="pct"/>
            <w:tcBorders>
              <w:bottom w:val="single" w:sz="4" w:space="0" w:color="auto"/>
            </w:tcBorders>
          </w:tcPr>
          <w:p w14:paraId="038A454A" w14:textId="77777777" w:rsidR="00242CBC" w:rsidRPr="00F61D7B" w:rsidRDefault="00242CBC" w:rsidP="001A5D4A">
            <w:pPr>
              <w:pStyle w:val="NotesTable-CellPlain"/>
            </w:pPr>
            <w:r w:rsidRPr="00F61D7B">
              <w:t>–</w:t>
            </w:r>
          </w:p>
        </w:tc>
        <w:tc>
          <w:tcPr>
            <w:tcW w:w="484" w:type="pct"/>
            <w:tcBorders>
              <w:bottom w:val="single" w:sz="4" w:space="0" w:color="auto"/>
            </w:tcBorders>
          </w:tcPr>
          <w:p w14:paraId="038A454B" w14:textId="77777777" w:rsidR="00242CBC" w:rsidRPr="00F61D7B" w:rsidRDefault="00242CBC" w:rsidP="001A5D4A">
            <w:pPr>
              <w:pStyle w:val="NotesTable-CellPlain"/>
            </w:pPr>
            <w:r w:rsidRPr="00F61D7B">
              <w:t>–</w:t>
            </w:r>
          </w:p>
        </w:tc>
      </w:tr>
      <w:tr w:rsidR="00242CBC" w:rsidRPr="00075ACF" w14:paraId="038A4554" w14:textId="77777777" w:rsidTr="00BC5733">
        <w:trPr>
          <w:trHeight w:val="205"/>
        </w:trPr>
        <w:tc>
          <w:tcPr>
            <w:tcW w:w="813" w:type="pct"/>
          </w:tcPr>
          <w:p w14:paraId="038A454D" w14:textId="77777777" w:rsidR="00242CBC" w:rsidRPr="00075ACF" w:rsidRDefault="00242CBC" w:rsidP="001A5D4A">
            <w:pPr>
              <w:pStyle w:val="Note-Refs"/>
            </w:pPr>
          </w:p>
        </w:tc>
        <w:tc>
          <w:tcPr>
            <w:tcW w:w="1757" w:type="pct"/>
            <w:vAlign w:val="bottom"/>
          </w:tcPr>
          <w:p w14:paraId="038A454E" w14:textId="77777777" w:rsidR="00242CBC" w:rsidRPr="00075ACF" w:rsidRDefault="00242CBC" w:rsidP="001A5D4A">
            <w:pPr>
              <w:pStyle w:val="NotesTable-ItemBold"/>
            </w:pPr>
            <w:r>
              <w:t>Closing balance</w:t>
            </w:r>
          </w:p>
        </w:tc>
        <w:tc>
          <w:tcPr>
            <w:tcW w:w="486" w:type="pct"/>
          </w:tcPr>
          <w:p w14:paraId="038A454F" w14:textId="77777777" w:rsidR="00242CBC" w:rsidRPr="00F61D7B" w:rsidRDefault="00242CBC" w:rsidP="001A5D4A">
            <w:pPr>
              <w:pStyle w:val="NotesTable-CellPlain"/>
            </w:pPr>
            <w:r w:rsidRPr="00F61D7B">
              <w:t>–</w:t>
            </w:r>
          </w:p>
        </w:tc>
        <w:tc>
          <w:tcPr>
            <w:tcW w:w="487" w:type="pct"/>
          </w:tcPr>
          <w:p w14:paraId="038A4550" w14:textId="77777777" w:rsidR="00242CBC" w:rsidRPr="00F61D7B" w:rsidRDefault="00242CBC" w:rsidP="001A5D4A">
            <w:pPr>
              <w:pStyle w:val="NotesTable-CellPlain"/>
            </w:pPr>
            <w:r w:rsidRPr="00F61D7B">
              <w:t>–</w:t>
            </w:r>
          </w:p>
        </w:tc>
        <w:tc>
          <w:tcPr>
            <w:tcW w:w="486" w:type="pct"/>
          </w:tcPr>
          <w:p w14:paraId="038A4551" w14:textId="77777777" w:rsidR="00242CBC" w:rsidRPr="00F61D7B" w:rsidRDefault="00242CBC" w:rsidP="001A5D4A">
            <w:pPr>
              <w:pStyle w:val="NotesTable-CellPlain"/>
            </w:pPr>
            <w:r w:rsidRPr="00F61D7B">
              <w:t>–</w:t>
            </w:r>
          </w:p>
        </w:tc>
        <w:tc>
          <w:tcPr>
            <w:tcW w:w="487" w:type="pct"/>
          </w:tcPr>
          <w:p w14:paraId="038A4552" w14:textId="77777777" w:rsidR="00242CBC" w:rsidRPr="00F61D7B" w:rsidRDefault="00242CBC" w:rsidP="001A5D4A">
            <w:pPr>
              <w:pStyle w:val="NotesTable-CellPlain"/>
            </w:pPr>
            <w:r w:rsidRPr="00F61D7B">
              <w:t>–</w:t>
            </w:r>
          </w:p>
        </w:tc>
        <w:tc>
          <w:tcPr>
            <w:tcW w:w="484" w:type="pct"/>
          </w:tcPr>
          <w:p w14:paraId="038A4553" w14:textId="77777777" w:rsidR="00242CBC" w:rsidRPr="00F61D7B" w:rsidRDefault="00242CBC" w:rsidP="001A5D4A">
            <w:pPr>
              <w:pStyle w:val="NotesTable-CellPlain"/>
            </w:pPr>
            <w:r w:rsidRPr="00F61D7B">
              <w:t>–</w:t>
            </w:r>
          </w:p>
        </w:tc>
      </w:tr>
      <w:tr w:rsidR="00242CBC" w:rsidRPr="00075ACF" w14:paraId="038A4557" w14:textId="77777777" w:rsidTr="00BC5733">
        <w:trPr>
          <w:trHeight w:hRule="exact" w:val="85"/>
        </w:trPr>
        <w:tc>
          <w:tcPr>
            <w:tcW w:w="813" w:type="pct"/>
          </w:tcPr>
          <w:p w14:paraId="038A4555" w14:textId="77777777" w:rsidR="00242CBC" w:rsidRPr="00075ACF" w:rsidRDefault="00242CBC" w:rsidP="001A5D4A">
            <w:pPr>
              <w:pStyle w:val="Note-Refs"/>
            </w:pPr>
          </w:p>
        </w:tc>
        <w:tc>
          <w:tcPr>
            <w:tcW w:w="4187" w:type="pct"/>
            <w:gridSpan w:val="6"/>
          </w:tcPr>
          <w:p w14:paraId="038A4556" w14:textId="77777777" w:rsidR="00242CBC" w:rsidRPr="00075ACF" w:rsidRDefault="00242CBC" w:rsidP="001A5D4A">
            <w:pPr>
              <w:pStyle w:val="NotesTable-ItemPlain"/>
            </w:pPr>
          </w:p>
        </w:tc>
      </w:tr>
      <w:tr w:rsidR="00BA7C0D" w:rsidRPr="00075ACF" w14:paraId="038A455F" w14:textId="77777777" w:rsidTr="00BC5733">
        <w:trPr>
          <w:trHeight w:val="205"/>
        </w:trPr>
        <w:tc>
          <w:tcPr>
            <w:tcW w:w="813" w:type="pct"/>
          </w:tcPr>
          <w:p w14:paraId="038A4558" w14:textId="61AC3CF0" w:rsidR="00BA7C0D" w:rsidRPr="00075ACF" w:rsidRDefault="00B725DE" w:rsidP="001A5D4A">
            <w:pPr>
              <w:pStyle w:val="Note-Refs"/>
            </w:pPr>
            <w:r>
              <w:t>AASB13.93</w:t>
            </w:r>
            <w:r w:rsidR="00EE75A5">
              <w:t>f</w:t>
            </w:r>
          </w:p>
        </w:tc>
        <w:tc>
          <w:tcPr>
            <w:tcW w:w="4187" w:type="pct"/>
            <w:gridSpan w:val="6"/>
          </w:tcPr>
          <w:p w14:paraId="038A455E" w14:textId="70582C5F" w:rsidR="00BA7C0D" w:rsidRPr="00075ACF" w:rsidRDefault="00DA3CBD" w:rsidP="001A5D4A">
            <w:pPr>
              <w:pStyle w:val="NotesTable-ItemPlain"/>
            </w:pPr>
            <w:r>
              <w:t>*</w:t>
            </w:r>
            <w:r w:rsidR="00B725DE">
              <w:t xml:space="preserve">This includes gains/(losses) of $XX (2013 $XX) attributable to the </w:t>
            </w:r>
            <w:r w:rsidR="00BA7C0D">
              <w:t xml:space="preserve">change in unrealised gains/(losses) recognised in profit or loss attributable to </w:t>
            </w:r>
            <w:r w:rsidR="00EE75A5">
              <w:t xml:space="preserve">[specify the line item in profit or loss in which the gains/(losses) are recognised] </w:t>
            </w:r>
          </w:p>
        </w:tc>
      </w:tr>
      <w:tr w:rsidR="003D3F9E" w:rsidRPr="00075ACF" w14:paraId="038A4567" w14:textId="77777777" w:rsidTr="00BC5733">
        <w:trPr>
          <w:trHeight w:hRule="exact" w:val="85"/>
        </w:trPr>
        <w:tc>
          <w:tcPr>
            <w:tcW w:w="813" w:type="pct"/>
          </w:tcPr>
          <w:p w14:paraId="038A4560" w14:textId="77777777" w:rsidR="003D3F9E" w:rsidRPr="00075ACF" w:rsidRDefault="003D3F9E" w:rsidP="001A5D4A">
            <w:pPr>
              <w:pStyle w:val="Note-Refs"/>
            </w:pPr>
          </w:p>
        </w:tc>
        <w:tc>
          <w:tcPr>
            <w:tcW w:w="1757" w:type="pct"/>
            <w:vAlign w:val="bottom"/>
          </w:tcPr>
          <w:p w14:paraId="038A4561" w14:textId="77777777" w:rsidR="003D3F9E" w:rsidRDefault="003D3F9E" w:rsidP="001A5D4A">
            <w:pPr>
              <w:pStyle w:val="NotesTable-ItemPlain"/>
            </w:pPr>
          </w:p>
        </w:tc>
        <w:tc>
          <w:tcPr>
            <w:tcW w:w="486" w:type="pct"/>
          </w:tcPr>
          <w:p w14:paraId="038A4562" w14:textId="77777777" w:rsidR="003D3F9E" w:rsidRPr="00D667C2" w:rsidRDefault="003D3F9E" w:rsidP="001A5D4A">
            <w:pPr>
              <w:pStyle w:val="NotesTable-CellPlain"/>
            </w:pPr>
          </w:p>
        </w:tc>
        <w:tc>
          <w:tcPr>
            <w:tcW w:w="487" w:type="pct"/>
          </w:tcPr>
          <w:p w14:paraId="038A4563" w14:textId="77777777" w:rsidR="003D3F9E" w:rsidRPr="007913FF" w:rsidRDefault="003D3F9E" w:rsidP="001A5D4A">
            <w:pPr>
              <w:pStyle w:val="NotesTable-CellPlain"/>
            </w:pPr>
          </w:p>
        </w:tc>
        <w:tc>
          <w:tcPr>
            <w:tcW w:w="486" w:type="pct"/>
          </w:tcPr>
          <w:p w14:paraId="038A4564" w14:textId="77777777" w:rsidR="003D3F9E" w:rsidRPr="00D667C2" w:rsidRDefault="003D3F9E" w:rsidP="001A5D4A">
            <w:pPr>
              <w:pStyle w:val="NotesTable-CellPlain"/>
            </w:pPr>
          </w:p>
        </w:tc>
        <w:tc>
          <w:tcPr>
            <w:tcW w:w="487" w:type="pct"/>
          </w:tcPr>
          <w:p w14:paraId="038A4565" w14:textId="77777777" w:rsidR="003D3F9E" w:rsidRPr="00D667C2" w:rsidRDefault="003D3F9E" w:rsidP="001A5D4A">
            <w:pPr>
              <w:pStyle w:val="NotesTable-CellPlain"/>
            </w:pPr>
          </w:p>
        </w:tc>
        <w:tc>
          <w:tcPr>
            <w:tcW w:w="484" w:type="pct"/>
          </w:tcPr>
          <w:p w14:paraId="038A4566" w14:textId="77777777" w:rsidR="003D3F9E" w:rsidRPr="00D667C2" w:rsidRDefault="003D3F9E" w:rsidP="001A5D4A">
            <w:pPr>
              <w:pStyle w:val="NotesTable-CellPlain"/>
            </w:pPr>
          </w:p>
        </w:tc>
      </w:tr>
      <w:tr w:rsidR="003D3F9E" w:rsidRPr="00075ACF" w14:paraId="038A456F" w14:textId="77777777" w:rsidTr="00BC5733">
        <w:trPr>
          <w:trHeight w:val="205"/>
        </w:trPr>
        <w:tc>
          <w:tcPr>
            <w:tcW w:w="813" w:type="pct"/>
          </w:tcPr>
          <w:p w14:paraId="038A4568" w14:textId="77777777" w:rsidR="003D3F9E" w:rsidRPr="00075ACF" w:rsidRDefault="003D3F9E" w:rsidP="001A5D4A">
            <w:pPr>
              <w:pStyle w:val="Note-Refs"/>
            </w:pPr>
          </w:p>
        </w:tc>
        <w:tc>
          <w:tcPr>
            <w:tcW w:w="1757" w:type="pct"/>
            <w:vAlign w:val="bottom"/>
          </w:tcPr>
          <w:p w14:paraId="038A4569" w14:textId="633BEA00" w:rsidR="003D3F9E" w:rsidRPr="009B1832" w:rsidRDefault="006864EC" w:rsidP="001A5D4A">
            <w:pPr>
              <w:pStyle w:val="NotesTable-ItemBold"/>
            </w:pPr>
            <w:r>
              <w:t>2014</w:t>
            </w:r>
          </w:p>
        </w:tc>
        <w:tc>
          <w:tcPr>
            <w:tcW w:w="486" w:type="pct"/>
          </w:tcPr>
          <w:p w14:paraId="038A456A" w14:textId="77777777" w:rsidR="003D3F9E" w:rsidRPr="00F61D7B" w:rsidRDefault="003D3F9E" w:rsidP="001A5D4A">
            <w:pPr>
              <w:pStyle w:val="NotesTable-CellPlain"/>
            </w:pPr>
            <w:r w:rsidRPr="00D667C2">
              <w:t>–</w:t>
            </w:r>
          </w:p>
        </w:tc>
        <w:tc>
          <w:tcPr>
            <w:tcW w:w="487" w:type="pct"/>
          </w:tcPr>
          <w:p w14:paraId="038A456B" w14:textId="77777777" w:rsidR="003D3F9E" w:rsidRPr="00F61D7B" w:rsidRDefault="003D3F9E" w:rsidP="001A5D4A">
            <w:pPr>
              <w:pStyle w:val="NotesTable-CellPlain"/>
            </w:pPr>
            <w:r w:rsidRPr="007913FF">
              <w:t>–</w:t>
            </w:r>
          </w:p>
        </w:tc>
        <w:tc>
          <w:tcPr>
            <w:tcW w:w="486" w:type="pct"/>
          </w:tcPr>
          <w:p w14:paraId="038A456C" w14:textId="77777777" w:rsidR="003D3F9E" w:rsidRPr="00F61D7B" w:rsidRDefault="003D3F9E" w:rsidP="001A5D4A">
            <w:pPr>
              <w:pStyle w:val="NotesTable-CellPlain"/>
            </w:pPr>
            <w:r w:rsidRPr="00D667C2">
              <w:t>–</w:t>
            </w:r>
          </w:p>
        </w:tc>
        <w:tc>
          <w:tcPr>
            <w:tcW w:w="487" w:type="pct"/>
          </w:tcPr>
          <w:p w14:paraId="038A456D" w14:textId="77777777" w:rsidR="003D3F9E" w:rsidRPr="00F61D7B" w:rsidRDefault="003D3F9E" w:rsidP="001A5D4A">
            <w:pPr>
              <w:pStyle w:val="NotesTable-CellPlain"/>
            </w:pPr>
            <w:r w:rsidRPr="00D667C2">
              <w:t>–</w:t>
            </w:r>
          </w:p>
        </w:tc>
        <w:tc>
          <w:tcPr>
            <w:tcW w:w="484" w:type="pct"/>
          </w:tcPr>
          <w:p w14:paraId="038A456E" w14:textId="77777777" w:rsidR="003D3F9E" w:rsidRPr="00F61D7B" w:rsidRDefault="003D3F9E" w:rsidP="001A5D4A">
            <w:pPr>
              <w:pStyle w:val="NotesTable-CellPlain"/>
            </w:pPr>
            <w:r w:rsidRPr="00D667C2">
              <w:t>–</w:t>
            </w:r>
          </w:p>
        </w:tc>
      </w:tr>
      <w:tr w:rsidR="003D3F9E" w:rsidRPr="00075ACF" w14:paraId="038A4577" w14:textId="77777777" w:rsidTr="00BC5733">
        <w:trPr>
          <w:trHeight w:val="205"/>
        </w:trPr>
        <w:tc>
          <w:tcPr>
            <w:tcW w:w="813" w:type="pct"/>
          </w:tcPr>
          <w:p w14:paraId="038A4570" w14:textId="77777777" w:rsidR="003D3F9E" w:rsidRPr="00075ACF" w:rsidRDefault="003D3F9E" w:rsidP="001A5D4A">
            <w:pPr>
              <w:pStyle w:val="Note-Refs"/>
            </w:pPr>
          </w:p>
        </w:tc>
        <w:tc>
          <w:tcPr>
            <w:tcW w:w="1757" w:type="pct"/>
            <w:vAlign w:val="bottom"/>
          </w:tcPr>
          <w:p w14:paraId="038A4571" w14:textId="0C8CF9D0" w:rsidR="003D3F9E" w:rsidRPr="009B1832" w:rsidRDefault="006864EC" w:rsidP="001A5D4A">
            <w:pPr>
              <w:pStyle w:val="NotesTable-ItemPlain"/>
            </w:pPr>
            <w:r>
              <w:t>2013</w:t>
            </w:r>
          </w:p>
        </w:tc>
        <w:tc>
          <w:tcPr>
            <w:tcW w:w="486" w:type="pct"/>
          </w:tcPr>
          <w:p w14:paraId="038A4572" w14:textId="77777777" w:rsidR="003D3F9E" w:rsidRPr="009B1832" w:rsidRDefault="003D3F9E" w:rsidP="001A5D4A">
            <w:pPr>
              <w:pStyle w:val="NotesTable-CellPlain"/>
            </w:pPr>
            <w:r w:rsidRPr="00F61D7B">
              <w:t>–</w:t>
            </w:r>
          </w:p>
        </w:tc>
        <w:tc>
          <w:tcPr>
            <w:tcW w:w="487" w:type="pct"/>
          </w:tcPr>
          <w:p w14:paraId="038A4573" w14:textId="77777777" w:rsidR="003D3F9E" w:rsidRPr="009B1832" w:rsidRDefault="003D3F9E" w:rsidP="001A5D4A">
            <w:pPr>
              <w:pStyle w:val="NotesTable-CellPlain"/>
            </w:pPr>
            <w:r w:rsidRPr="00F61D7B">
              <w:t>–</w:t>
            </w:r>
          </w:p>
        </w:tc>
        <w:tc>
          <w:tcPr>
            <w:tcW w:w="486" w:type="pct"/>
          </w:tcPr>
          <w:p w14:paraId="038A4574" w14:textId="77777777" w:rsidR="003D3F9E" w:rsidRPr="009B1832" w:rsidRDefault="003D3F9E" w:rsidP="001A5D4A">
            <w:pPr>
              <w:pStyle w:val="NotesTable-CellPlain"/>
            </w:pPr>
            <w:r w:rsidRPr="00F61D7B">
              <w:t>–</w:t>
            </w:r>
          </w:p>
        </w:tc>
        <w:tc>
          <w:tcPr>
            <w:tcW w:w="487" w:type="pct"/>
          </w:tcPr>
          <w:p w14:paraId="038A4575" w14:textId="77777777" w:rsidR="003D3F9E" w:rsidRPr="009B1832" w:rsidRDefault="003D3F9E" w:rsidP="001A5D4A">
            <w:pPr>
              <w:pStyle w:val="NotesTable-CellPlain"/>
            </w:pPr>
            <w:r w:rsidRPr="00F61D7B">
              <w:t>–</w:t>
            </w:r>
          </w:p>
        </w:tc>
        <w:tc>
          <w:tcPr>
            <w:tcW w:w="484" w:type="pct"/>
          </w:tcPr>
          <w:p w14:paraId="038A4576" w14:textId="77777777" w:rsidR="003D3F9E" w:rsidRPr="009B1832" w:rsidRDefault="003D3F9E" w:rsidP="001A5D4A">
            <w:pPr>
              <w:pStyle w:val="NotesTable-CellPlain"/>
            </w:pPr>
            <w:r w:rsidRPr="00F61D7B">
              <w:t>–</w:t>
            </w:r>
          </w:p>
        </w:tc>
      </w:tr>
      <w:tr w:rsidR="00F04A15" w:rsidRPr="00075ACF" w14:paraId="038A457A" w14:textId="77777777" w:rsidTr="00BC5733">
        <w:trPr>
          <w:trHeight w:hRule="exact" w:val="85"/>
        </w:trPr>
        <w:tc>
          <w:tcPr>
            <w:tcW w:w="813" w:type="pct"/>
          </w:tcPr>
          <w:p w14:paraId="038A4578" w14:textId="77777777" w:rsidR="00F04A15" w:rsidRPr="005C0D27" w:rsidRDefault="00F04A15" w:rsidP="001A5D4A">
            <w:pPr>
              <w:pStyle w:val="Note-Refs"/>
            </w:pPr>
          </w:p>
        </w:tc>
        <w:tc>
          <w:tcPr>
            <w:tcW w:w="4187" w:type="pct"/>
            <w:gridSpan w:val="6"/>
            <w:vAlign w:val="bottom"/>
          </w:tcPr>
          <w:p w14:paraId="038A4579" w14:textId="77777777" w:rsidR="00F04A15" w:rsidRPr="00075ACF" w:rsidRDefault="00F04A15" w:rsidP="001A5D4A">
            <w:pPr>
              <w:pStyle w:val="NotesTable-ItemPlain"/>
            </w:pPr>
          </w:p>
        </w:tc>
      </w:tr>
      <w:tr w:rsidR="00F04A15" w:rsidRPr="00075ACF" w14:paraId="038A457D" w14:textId="77777777" w:rsidTr="00BC5733">
        <w:trPr>
          <w:trHeight w:val="227"/>
        </w:trPr>
        <w:tc>
          <w:tcPr>
            <w:tcW w:w="813" w:type="pct"/>
          </w:tcPr>
          <w:p w14:paraId="038A457B" w14:textId="77777777" w:rsidR="00F04A15" w:rsidRPr="005C0D27" w:rsidRDefault="00F04A15" w:rsidP="001A5D4A">
            <w:pPr>
              <w:pStyle w:val="Note-Refs"/>
            </w:pPr>
          </w:p>
        </w:tc>
        <w:tc>
          <w:tcPr>
            <w:tcW w:w="4187" w:type="pct"/>
            <w:gridSpan w:val="6"/>
            <w:vAlign w:val="bottom"/>
          </w:tcPr>
          <w:p w14:paraId="038A457C" w14:textId="77777777" w:rsidR="00F04A15" w:rsidRPr="00075ACF" w:rsidRDefault="00F04A15" w:rsidP="001A5D4A">
            <w:pPr>
              <w:pStyle w:val="Note-TextSubheader"/>
            </w:pPr>
            <w:r>
              <w:t>(i) Transfers between levels 2 and 3 and changes in valuation techniques</w:t>
            </w:r>
          </w:p>
        </w:tc>
      </w:tr>
      <w:tr w:rsidR="00F04A15" w:rsidRPr="00075ACF" w14:paraId="038A4580" w14:textId="77777777" w:rsidTr="00BC5733">
        <w:trPr>
          <w:trHeight w:val="227"/>
        </w:trPr>
        <w:tc>
          <w:tcPr>
            <w:tcW w:w="813" w:type="pct"/>
          </w:tcPr>
          <w:p w14:paraId="038A457E" w14:textId="77777777" w:rsidR="00F04A15" w:rsidRPr="005C0D27" w:rsidRDefault="00F04A15" w:rsidP="001A5D4A">
            <w:pPr>
              <w:pStyle w:val="Note-Refs"/>
            </w:pPr>
            <w:r>
              <w:t>AASB13.93d</w:t>
            </w:r>
          </w:p>
        </w:tc>
        <w:tc>
          <w:tcPr>
            <w:tcW w:w="4187" w:type="pct"/>
            <w:gridSpan w:val="6"/>
            <w:vAlign w:val="bottom"/>
          </w:tcPr>
          <w:p w14:paraId="038A457F" w14:textId="77777777" w:rsidR="00F04A15" w:rsidRPr="00075ACF" w:rsidRDefault="00F04A15" w:rsidP="001A5D4A">
            <w:pPr>
              <w:pStyle w:val="NotesTable-ItemPlain"/>
            </w:pPr>
            <w:r>
              <w:t>[Specify]</w:t>
            </w:r>
          </w:p>
        </w:tc>
      </w:tr>
    </w:tbl>
    <w:p w14:paraId="15EEF347" w14:textId="28E44F76" w:rsidR="00BC5733" w:rsidRDefault="00BC5733"/>
    <w:p w14:paraId="59C92F6B" w14:textId="77777777" w:rsidR="00BC5733" w:rsidRDefault="00BC5733">
      <w:pPr>
        <w:spacing w:after="0"/>
      </w:pPr>
      <w:r>
        <w:br w:type="page"/>
      </w:r>
    </w:p>
    <w:tbl>
      <w:tblPr>
        <w:tblW w:w="5000" w:type="pct"/>
        <w:tblCellMar>
          <w:left w:w="0" w:type="dxa"/>
          <w:right w:w="0" w:type="dxa"/>
        </w:tblCellMar>
        <w:tblLook w:val="0000" w:firstRow="0" w:lastRow="0" w:firstColumn="0" w:lastColumn="0" w:noHBand="0" w:noVBand="0"/>
      </w:tblPr>
      <w:tblGrid>
        <w:gridCol w:w="1668"/>
        <w:gridCol w:w="1720"/>
        <w:gridCol w:w="1332"/>
        <w:gridCol w:w="2107"/>
        <w:gridCol w:w="1720"/>
        <w:gridCol w:w="1713"/>
      </w:tblGrid>
      <w:tr w:rsidR="00BC5733" w:rsidRPr="00075ACF" w14:paraId="038A4584" w14:textId="77777777" w:rsidTr="00BC5733">
        <w:trPr>
          <w:trHeight w:val="227"/>
        </w:trPr>
        <w:tc>
          <w:tcPr>
            <w:tcW w:w="5000" w:type="pct"/>
            <w:gridSpan w:val="6"/>
          </w:tcPr>
          <w:p w14:paraId="038A4583" w14:textId="6DC08E9C" w:rsidR="00BC5733" w:rsidRPr="00183B19" w:rsidRDefault="00BC5733" w:rsidP="00BC5733">
            <w:pPr>
              <w:pStyle w:val="TOC3"/>
              <w:ind w:left="0"/>
            </w:pPr>
            <w:r w:rsidRPr="00183B19">
              <w:lastRenderedPageBreak/>
              <w:t>Note 51</w:t>
            </w:r>
            <w:r>
              <w:t xml:space="preserve">. </w:t>
            </w:r>
            <w:r w:rsidRPr="00183B19">
              <w:t>Fair Value Measurements (continued)</w:t>
            </w:r>
          </w:p>
        </w:tc>
      </w:tr>
      <w:tr w:rsidR="00BC5733" w:rsidRPr="00075ACF" w14:paraId="6D044AEA" w14:textId="77777777" w:rsidTr="00BC5733">
        <w:trPr>
          <w:trHeight w:val="227"/>
        </w:trPr>
        <w:tc>
          <w:tcPr>
            <w:tcW w:w="5000" w:type="pct"/>
            <w:gridSpan w:val="6"/>
          </w:tcPr>
          <w:p w14:paraId="6EB9E7F3" w14:textId="68B3B728" w:rsidR="00BC5733" w:rsidRPr="00183B19" w:rsidRDefault="00BC5733" w:rsidP="001A5D4A">
            <w:r>
              <w:t>AASB132,AASB7, AASB13</w:t>
            </w:r>
          </w:p>
        </w:tc>
      </w:tr>
      <w:tr w:rsidR="00F749EC" w:rsidRPr="00075ACF" w14:paraId="038A4587" w14:textId="77777777" w:rsidTr="00BC5733">
        <w:trPr>
          <w:trHeight w:hRule="exact" w:val="85"/>
        </w:trPr>
        <w:tc>
          <w:tcPr>
            <w:tcW w:w="813" w:type="pct"/>
          </w:tcPr>
          <w:p w14:paraId="038A4585" w14:textId="77777777" w:rsidR="00F749EC" w:rsidRPr="005C0D27" w:rsidRDefault="00F749EC" w:rsidP="001A5D4A">
            <w:pPr>
              <w:pStyle w:val="Note-Refs"/>
            </w:pPr>
          </w:p>
        </w:tc>
        <w:tc>
          <w:tcPr>
            <w:tcW w:w="4187" w:type="pct"/>
            <w:gridSpan w:val="5"/>
            <w:vAlign w:val="bottom"/>
          </w:tcPr>
          <w:p w14:paraId="038A4586" w14:textId="77777777" w:rsidR="00F749EC" w:rsidRPr="00075ACF" w:rsidRDefault="00F749EC" w:rsidP="001A5D4A">
            <w:pPr>
              <w:pStyle w:val="NotesTable-ItemPlain"/>
            </w:pPr>
          </w:p>
        </w:tc>
      </w:tr>
      <w:tr w:rsidR="00F749EC" w:rsidRPr="00075ACF" w14:paraId="038A458A" w14:textId="77777777" w:rsidTr="00BC5733">
        <w:trPr>
          <w:trHeight w:val="227"/>
        </w:trPr>
        <w:tc>
          <w:tcPr>
            <w:tcW w:w="813" w:type="pct"/>
          </w:tcPr>
          <w:p w14:paraId="038A4588" w14:textId="77777777" w:rsidR="00F749EC" w:rsidRPr="005C0D27" w:rsidRDefault="00F749EC" w:rsidP="001A5D4A">
            <w:pPr>
              <w:pStyle w:val="Note-Refs"/>
            </w:pPr>
          </w:p>
        </w:tc>
        <w:tc>
          <w:tcPr>
            <w:tcW w:w="4187" w:type="pct"/>
            <w:gridSpan w:val="5"/>
            <w:vAlign w:val="bottom"/>
          </w:tcPr>
          <w:p w14:paraId="038A4589" w14:textId="77777777" w:rsidR="00F749EC" w:rsidRPr="00075ACF" w:rsidRDefault="00F749EC" w:rsidP="001A5D4A">
            <w:pPr>
              <w:pStyle w:val="Note-TextSubheader"/>
            </w:pPr>
            <w:r>
              <w:t>(ii) Valuation inputs and relationships to fair value</w:t>
            </w:r>
          </w:p>
        </w:tc>
      </w:tr>
      <w:tr w:rsidR="00F749EC" w:rsidRPr="00075ACF" w14:paraId="038A458D" w14:textId="77777777" w:rsidTr="00BC5733">
        <w:trPr>
          <w:trHeight w:val="227"/>
        </w:trPr>
        <w:tc>
          <w:tcPr>
            <w:tcW w:w="813" w:type="pct"/>
          </w:tcPr>
          <w:p w14:paraId="038A458B" w14:textId="77777777" w:rsidR="00F749EC" w:rsidRPr="005C0D27" w:rsidRDefault="00F749EC" w:rsidP="001A5D4A">
            <w:pPr>
              <w:pStyle w:val="Note-Refs"/>
            </w:pPr>
            <w:r>
              <w:t>AASB13.93d,99</w:t>
            </w:r>
          </w:p>
        </w:tc>
        <w:tc>
          <w:tcPr>
            <w:tcW w:w="4187" w:type="pct"/>
            <w:gridSpan w:val="5"/>
            <w:vAlign w:val="bottom"/>
          </w:tcPr>
          <w:p w14:paraId="038A458C" w14:textId="0ED85A58" w:rsidR="00F749EC" w:rsidRPr="00E67C45" w:rsidRDefault="00F749EC" w:rsidP="001A5D4A">
            <w:pPr>
              <w:pStyle w:val="NotesTable-ItemPlain"/>
            </w:pPr>
            <w:r w:rsidRPr="00A336FB">
              <w:t xml:space="preserve">The following table summarises the quantitative information about the significant unobservable inputs used in </w:t>
            </w:r>
            <w:r w:rsidRPr="00E67C45">
              <w:t>level 3 fair value measurements.</w:t>
            </w:r>
            <w:r w:rsidR="001A35D6">
              <w:t xml:space="preserve"> </w:t>
            </w:r>
            <w:r w:rsidRPr="00E67C45">
              <w:t>See (c) above for the valuation techniques adopted.</w:t>
            </w:r>
          </w:p>
        </w:tc>
      </w:tr>
      <w:tr w:rsidR="00F749EC" w:rsidRPr="00075ACF" w14:paraId="038A4590" w14:textId="77777777" w:rsidTr="00BC5733">
        <w:trPr>
          <w:trHeight w:hRule="exact" w:val="85"/>
        </w:trPr>
        <w:tc>
          <w:tcPr>
            <w:tcW w:w="813" w:type="pct"/>
          </w:tcPr>
          <w:p w14:paraId="038A458E" w14:textId="77777777" w:rsidR="00F749EC" w:rsidRPr="005C0D27" w:rsidRDefault="00F749EC" w:rsidP="001A5D4A">
            <w:pPr>
              <w:pStyle w:val="Note-Refs"/>
            </w:pPr>
          </w:p>
        </w:tc>
        <w:tc>
          <w:tcPr>
            <w:tcW w:w="4187" w:type="pct"/>
            <w:gridSpan w:val="5"/>
            <w:vAlign w:val="bottom"/>
          </w:tcPr>
          <w:p w14:paraId="038A458F" w14:textId="77777777" w:rsidR="00F749EC" w:rsidRDefault="00F749EC" w:rsidP="001A5D4A">
            <w:pPr>
              <w:pStyle w:val="NotesTable-ItemPlain"/>
            </w:pPr>
          </w:p>
        </w:tc>
      </w:tr>
      <w:tr w:rsidR="00F749EC" w:rsidRPr="00075ACF" w14:paraId="038A4597" w14:textId="77777777" w:rsidTr="00BC5733">
        <w:trPr>
          <w:trHeight w:val="227"/>
        </w:trPr>
        <w:tc>
          <w:tcPr>
            <w:tcW w:w="813" w:type="pct"/>
          </w:tcPr>
          <w:p w14:paraId="038A4591" w14:textId="77777777" w:rsidR="00F749EC" w:rsidRPr="005C0D27" w:rsidRDefault="00F749EC" w:rsidP="001A5D4A">
            <w:pPr>
              <w:pStyle w:val="Note-Refs"/>
            </w:pPr>
            <w:r w:rsidRPr="00F54CE0">
              <w:t>AASB13.93d,h(i),(ii)</w:t>
            </w:r>
          </w:p>
        </w:tc>
        <w:tc>
          <w:tcPr>
            <w:tcW w:w="838" w:type="pct"/>
            <w:shd w:val="clear" w:color="auto" w:fill="FFFFFF" w:themeFill="background1"/>
          </w:tcPr>
          <w:p w14:paraId="038A4592" w14:textId="77777777" w:rsidR="00F749EC" w:rsidRDefault="00F749EC" w:rsidP="001A5D4A">
            <w:pPr>
              <w:pStyle w:val="NotesTable-HeadPlain"/>
            </w:pPr>
            <w:r>
              <w:t>Description</w:t>
            </w:r>
          </w:p>
        </w:tc>
        <w:tc>
          <w:tcPr>
            <w:tcW w:w="649" w:type="pct"/>
            <w:shd w:val="clear" w:color="auto" w:fill="FFFFFF" w:themeFill="background1"/>
          </w:tcPr>
          <w:p w14:paraId="038A4593" w14:textId="1758650D" w:rsidR="00F749EC" w:rsidRDefault="00F749EC" w:rsidP="001A5D4A">
            <w:pPr>
              <w:pStyle w:val="NotesTable-HeadPlain"/>
            </w:pPr>
            <w:r>
              <w:t xml:space="preserve">Fair value at 31 Dec </w:t>
            </w:r>
            <w:r w:rsidR="006864EC">
              <w:t>2014</w:t>
            </w:r>
            <w:r>
              <w:br/>
              <w:t>$’000</w:t>
            </w:r>
          </w:p>
        </w:tc>
        <w:tc>
          <w:tcPr>
            <w:tcW w:w="1027" w:type="pct"/>
            <w:shd w:val="clear" w:color="auto" w:fill="FFFFFF" w:themeFill="background1"/>
          </w:tcPr>
          <w:p w14:paraId="038A4594" w14:textId="77777777" w:rsidR="00F749EC" w:rsidRDefault="00F749EC" w:rsidP="001A5D4A">
            <w:pPr>
              <w:pStyle w:val="NotesTable-HeadPlain"/>
            </w:pPr>
            <w:r>
              <w:t>Unobservable inputs*</w:t>
            </w:r>
          </w:p>
        </w:tc>
        <w:tc>
          <w:tcPr>
            <w:tcW w:w="838" w:type="pct"/>
            <w:shd w:val="clear" w:color="auto" w:fill="FFFFFF" w:themeFill="background1"/>
          </w:tcPr>
          <w:p w14:paraId="038A4595" w14:textId="77777777" w:rsidR="00F749EC" w:rsidRDefault="00F749EC" w:rsidP="001A5D4A">
            <w:pPr>
              <w:pStyle w:val="NotesTable-HeadPlain"/>
            </w:pPr>
            <w:r>
              <w:t>Range of inputs (probability weighted average)</w:t>
            </w:r>
          </w:p>
        </w:tc>
        <w:tc>
          <w:tcPr>
            <w:tcW w:w="835" w:type="pct"/>
            <w:shd w:val="clear" w:color="auto" w:fill="FFFFFF" w:themeFill="background1"/>
          </w:tcPr>
          <w:p w14:paraId="038A4596" w14:textId="77777777" w:rsidR="00F749EC" w:rsidRDefault="00F749EC" w:rsidP="001A5D4A">
            <w:pPr>
              <w:pStyle w:val="NotesTable-HeadPlain"/>
            </w:pPr>
            <w:r>
              <w:t>Relationship of unobservable inputs to fair value</w:t>
            </w:r>
          </w:p>
        </w:tc>
      </w:tr>
      <w:tr w:rsidR="008B0AE5" w:rsidRPr="00075ACF" w14:paraId="5C6E3F40" w14:textId="77777777" w:rsidTr="00BC5733">
        <w:trPr>
          <w:trHeight w:val="227"/>
        </w:trPr>
        <w:tc>
          <w:tcPr>
            <w:tcW w:w="813" w:type="pct"/>
          </w:tcPr>
          <w:p w14:paraId="4249148E" w14:textId="77777777" w:rsidR="008B0AE5" w:rsidRPr="00F54CE0" w:rsidRDefault="008B0AE5" w:rsidP="001A5D4A">
            <w:pPr>
              <w:pStyle w:val="Note-Refs"/>
            </w:pPr>
          </w:p>
        </w:tc>
        <w:tc>
          <w:tcPr>
            <w:tcW w:w="838" w:type="pct"/>
            <w:shd w:val="clear" w:color="auto" w:fill="FFFFFF" w:themeFill="background1"/>
          </w:tcPr>
          <w:p w14:paraId="08A66847" w14:textId="77777777" w:rsidR="008B0AE5" w:rsidRDefault="008B0AE5" w:rsidP="001A5D4A">
            <w:pPr>
              <w:pStyle w:val="NotesTable-HeadPlain"/>
            </w:pPr>
          </w:p>
        </w:tc>
        <w:tc>
          <w:tcPr>
            <w:tcW w:w="649" w:type="pct"/>
            <w:shd w:val="clear" w:color="auto" w:fill="FFFFFF" w:themeFill="background1"/>
          </w:tcPr>
          <w:p w14:paraId="72FB135A" w14:textId="77777777" w:rsidR="008B0AE5" w:rsidRDefault="008B0AE5" w:rsidP="001A5D4A">
            <w:pPr>
              <w:pStyle w:val="NotesTable-HeadPlain"/>
            </w:pPr>
          </w:p>
        </w:tc>
        <w:tc>
          <w:tcPr>
            <w:tcW w:w="1027" w:type="pct"/>
            <w:shd w:val="clear" w:color="auto" w:fill="FFFFFF" w:themeFill="background1"/>
          </w:tcPr>
          <w:p w14:paraId="2522604E" w14:textId="77777777" w:rsidR="008B0AE5" w:rsidRDefault="008B0AE5" w:rsidP="001A5D4A">
            <w:pPr>
              <w:pStyle w:val="NotesTable-HeadPlain"/>
            </w:pPr>
          </w:p>
        </w:tc>
        <w:tc>
          <w:tcPr>
            <w:tcW w:w="838" w:type="pct"/>
            <w:shd w:val="clear" w:color="auto" w:fill="FFFFFF" w:themeFill="background1"/>
          </w:tcPr>
          <w:p w14:paraId="32D54683" w14:textId="77777777" w:rsidR="008B0AE5" w:rsidRDefault="008B0AE5" w:rsidP="001A5D4A">
            <w:pPr>
              <w:pStyle w:val="NotesTable-HeadPlain"/>
            </w:pPr>
          </w:p>
        </w:tc>
        <w:tc>
          <w:tcPr>
            <w:tcW w:w="835" w:type="pct"/>
            <w:shd w:val="clear" w:color="auto" w:fill="FFFFFF" w:themeFill="background1"/>
          </w:tcPr>
          <w:p w14:paraId="3AFECF94" w14:textId="77777777" w:rsidR="008B0AE5" w:rsidRDefault="008B0AE5" w:rsidP="001A5D4A">
            <w:pPr>
              <w:pStyle w:val="NotesTable-HeadPlain"/>
            </w:pPr>
          </w:p>
        </w:tc>
      </w:tr>
      <w:tr w:rsidR="00266032" w:rsidRPr="00075ACF" w14:paraId="038A459E" w14:textId="77777777" w:rsidTr="00BC5733">
        <w:trPr>
          <w:trHeight w:val="798"/>
        </w:trPr>
        <w:tc>
          <w:tcPr>
            <w:tcW w:w="813" w:type="pct"/>
            <w:tcBorders>
              <w:right w:val="dotted" w:sz="4" w:space="0" w:color="D9D9D9" w:themeColor="background1" w:themeShade="D9"/>
            </w:tcBorders>
          </w:tcPr>
          <w:p w14:paraId="038A4598" w14:textId="77777777" w:rsidR="00266032" w:rsidRPr="00F54CE0" w:rsidRDefault="00266032" w:rsidP="001A5D4A">
            <w:pPr>
              <w:pStyle w:val="Note-Refs"/>
            </w:pPr>
          </w:p>
        </w:tc>
        <w:tc>
          <w:tcPr>
            <w:tcW w:w="838" w:type="pct"/>
            <w:vMerge w:val="restart"/>
            <w:tcBorders>
              <w:left w:val="dotted" w:sz="4" w:space="0" w:color="D9D9D9" w:themeColor="background1" w:themeShade="D9"/>
              <w:right w:val="dotted" w:sz="4" w:space="0" w:color="D9D9D9" w:themeColor="background1" w:themeShade="D9"/>
            </w:tcBorders>
            <w:vAlign w:val="center"/>
          </w:tcPr>
          <w:p w14:paraId="038A4599" w14:textId="77777777" w:rsidR="00266032" w:rsidRDefault="00266032" w:rsidP="001A5D4A">
            <w:pPr>
              <w:pStyle w:val="NotesTable-ItemPlain"/>
            </w:pPr>
            <w:r>
              <w:t>Unlisted equity securities</w:t>
            </w:r>
          </w:p>
        </w:tc>
        <w:tc>
          <w:tcPr>
            <w:tcW w:w="649" w:type="pct"/>
            <w:vMerge w:val="restart"/>
            <w:tcBorders>
              <w:left w:val="dotted" w:sz="4" w:space="0" w:color="D9D9D9" w:themeColor="background1" w:themeShade="D9"/>
              <w:right w:val="dotted" w:sz="4" w:space="0" w:color="D9D9D9" w:themeColor="background1" w:themeShade="D9"/>
            </w:tcBorders>
            <w:vAlign w:val="center"/>
          </w:tcPr>
          <w:p w14:paraId="038A459A" w14:textId="77777777" w:rsidR="00266032" w:rsidRDefault="00266032" w:rsidP="001A5D4A">
            <w:pPr>
              <w:pStyle w:val="NotesTable-CellPlain"/>
            </w:pPr>
            <w:r w:rsidRPr="00F61D7B">
              <w:t>–</w:t>
            </w:r>
          </w:p>
        </w:tc>
        <w:tc>
          <w:tcPr>
            <w:tcW w:w="1027" w:type="pct"/>
            <w:tcBorders>
              <w:left w:val="dotted" w:sz="4" w:space="0" w:color="D9D9D9" w:themeColor="background1" w:themeShade="D9"/>
              <w:right w:val="dotted" w:sz="4" w:space="0" w:color="D9D9D9" w:themeColor="background1" w:themeShade="D9"/>
            </w:tcBorders>
            <w:vAlign w:val="center"/>
          </w:tcPr>
          <w:p w14:paraId="038A459B" w14:textId="60A387CF" w:rsidR="00266032" w:rsidRDefault="00266032" w:rsidP="001A5D4A">
            <w:pPr>
              <w:pStyle w:val="NotesTable-ItemPlain"/>
            </w:pPr>
            <w:r>
              <w:t>[</w:t>
            </w:r>
            <w:proofErr w:type="spellStart"/>
            <w:r>
              <w:t>Eg</w:t>
            </w:r>
            <w:proofErr w:type="spellEnd"/>
            <w:r>
              <w:t>: earnings growth factor]</w:t>
            </w:r>
          </w:p>
        </w:tc>
        <w:tc>
          <w:tcPr>
            <w:tcW w:w="838" w:type="pct"/>
            <w:tcBorders>
              <w:left w:val="dotted" w:sz="4" w:space="0" w:color="D9D9D9" w:themeColor="background1" w:themeShade="D9"/>
              <w:right w:val="dotted" w:sz="4" w:space="0" w:color="D9D9D9" w:themeColor="background1" w:themeShade="D9"/>
            </w:tcBorders>
            <w:vAlign w:val="center"/>
          </w:tcPr>
          <w:p w14:paraId="038A459C" w14:textId="77777777" w:rsidR="00266032" w:rsidRDefault="00C82F3C" w:rsidP="001A5D4A">
            <w:pPr>
              <w:pStyle w:val="NotesTable-ItemPlain"/>
            </w:pPr>
            <w:r>
              <w:t xml:space="preserve">[x - </w:t>
            </w:r>
            <w:proofErr w:type="gramStart"/>
            <w:r>
              <w:t>x</w:t>
            </w:r>
            <w:proofErr w:type="gramEnd"/>
            <w:r>
              <w:t>% (x%)]</w:t>
            </w:r>
          </w:p>
        </w:tc>
        <w:tc>
          <w:tcPr>
            <w:tcW w:w="835" w:type="pct"/>
            <w:vMerge w:val="restart"/>
            <w:tcBorders>
              <w:left w:val="dotted" w:sz="4" w:space="0" w:color="D9D9D9" w:themeColor="background1" w:themeShade="D9"/>
              <w:right w:val="dotted" w:sz="4" w:space="0" w:color="D9D9D9" w:themeColor="background1" w:themeShade="D9"/>
            </w:tcBorders>
            <w:vAlign w:val="center"/>
          </w:tcPr>
          <w:p w14:paraId="038A459D" w14:textId="040BB6A7" w:rsidR="00266032" w:rsidRDefault="00266032" w:rsidP="001A5D4A">
            <w:pPr>
              <w:pStyle w:val="NotesTable-ItemPlain"/>
            </w:pPr>
            <w:r>
              <w:t>[</w:t>
            </w:r>
            <w:proofErr w:type="spellStart"/>
            <w:r>
              <w:t>Eg</w:t>
            </w:r>
            <w:proofErr w:type="spellEnd"/>
            <w:r>
              <w:t>: increased earnings</w:t>
            </w:r>
            <w:r w:rsidR="00C82F3C">
              <w:t xml:space="preserve"> </w:t>
            </w:r>
            <w:r>
              <w:t>growth factor (+50 basis points and lower discoun</w:t>
            </w:r>
            <w:r w:rsidR="00C82F3C">
              <w:t>t rate would increase FV by $x]</w:t>
            </w:r>
          </w:p>
        </w:tc>
      </w:tr>
      <w:tr w:rsidR="00266032" w:rsidRPr="00075ACF" w14:paraId="038A45A5" w14:textId="77777777" w:rsidTr="00BC5733">
        <w:trPr>
          <w:trHeight w:val="227"/>
        </w:trPr>
        <w:tc>
          <w:tcPr>
            <w:tcW w:w="813" w:type="pct"/>
            <w:tcBorders>
              <w:right w:val="dotted" w:sz="4" w:space="0" w:color="D9D9D9" w:themeColor="background1" w:themeShade="D9"/>
            </w:tcBorders>
          </w:tcPr>
          <w:p w14:paraId="038A459F" w14:textId="77777777" w:rsidR="00266032" w:rsidRPr="00F54CE0" w:rsidRDefault="00266032" w:rsidP="001A5D4A">
            <w:pPr>
              <w:pStyle w:val="NotesTable-ItemPlain"/>
            </w:pPr>
          </w:p>
        </w:tc>
        <w:tc>
          <w:tcPr>
            <w:tcW w:w="838" w:type="pct"/>
            <w:vMerge/>
            <w:tcBorders>
              <w:left w:val="dotted" w:sz="4" w:space="0" w:color="D9D9D9" w:themeColor="background1" w:themeShade="D9"/>
              <w:right w:val="dotted" w:sz="4" w:space="0" w:color="D9D9D9" w:themeColor="background1" w:themeShade="D9"/>
            </w:tcBorders>
            <w:vAlign w:val="bottom"/>
          </w:tcPr>
          <w:p w14:paraId="038A45A0" w14:textId="77777777" w:rsidR="00266032" w:rsidRDefault="00266032" w:rsidP="001A5D4A">
            <w:pPr>
              <w:pStyle w:val="NotesTable-ItemPlain"/>
            </w:pPr>
          </w:p>
        </w:tc>
        <w:tc>
          <w:tcPr>
            <w:tcW w:w="649" w:type="pct"/>
            <w:vMerge/>
            <w:tcBorders>
              <w:left w:val="dotted" w:sz="4" w:space="0" w:color="D9D9D9" w:themeColor="background1" w:themeShade="D9"/>
              <w:right w:val="dotted" w:sz="4" w:space="0" w:color="D9D9D9" w:themeColor="background1" w:themeShade="D9"/>
            </w:tcBorders>
          </w:tcPr>
          <w:p w14:paraId="038A45A1" w14:textId="77777777" w:rsidR="00266032" w:rsidRPr="00F61D7B" w:rsidRDefault="00266032" w:rsidP="001A5D4A">
            <w:pPr>
              <w:pStyle w:val="NotesTable-ItemPlain"/>
            </w:pPr>
          </w:p>
        </w:tc>
        <w:tc>
          <w:tcPr>
            <w:tcW w:w="1027" w:type="pct"/>
            <w:tcBorders>
              <w:left w:val="dotted" w:sz="4" w:space="0" w:color="D9D9D9" w:themeColor="background1" w:themeShade="D9"/>
              <w:right w:val="dotted" w:sz="4" w:space="0" w:color="D9D9D9" w:themeColor="background1" w:themeShade="D9"/>
            </w:tcBorders>
          </w:tcPr>
          <w:p w14:paraId="038A45A2" w14:textId="7C9E09BB" w:rsidR="00266032" w:rsidRDefault="00266032" w:rsidP="001A5D4A">
            <w:pPr>
              <w:pStyle w:val="NotesTable-ItemPlain"/>
            </w:pPr>
            <w:r>
              <w:t>[</w:t>
            </w:r>
            <w:proofErr w:type="spellStart"/>
            <w:r>
              <w:t>Eg</w:t>
            </w:r>
            <w:proofErr w:type="spellEnd"/>
            <w:r>
              <w:t>: risk-adjusted discount rate]</w:t>
            </w:r>
          </w:p>
        </w:tc>
        <w:tc>
          <w:tcPr>
            <w:tcW w:w="838" w:type="pct"/>
            <w:tcBorders>
              <w:left w:val="dotted" w:sz="4" w:space="0" w:color="D9D9D9" w:themeColor="background1" w:themeShade="D9"/>
              <w:right w:val="dotted" w:sz="4" w:space="0" w:color="D9D9D9" w:themeColor="background1" w:themeShade="D9"/>
            </w:tcBorders>
          </w:tcPr>
          <w:p w14:paraId="038A45A3" w14:textId="77777777" w:rsidR="00266032" w:rsidRDefault="00266032" w:rsidP="001A5D4A">
            <w:pPr>
              <w:pStyle w:val="NotesTable-ItemPlain"/>
            </w:pPr>
            <w:r>
              <w:t>[</w:t>
            </w:r>
            <w:proofErr w:type="gramStart"/>
            <w:r>
              <w:t>x</w:t>
            </w:r>
            <w:proofErr w:type="gramEnd"/>
            <w:r>
              <w:t>% - x% (x%)]</w:t>
            </w:r>
          </w:p>
        </w:tc>
        <w:tc>
          <w:tcPr>
            <w:tcW w:w="835" w:type="pct"/>
            <w:vMerge/>
            <w:tcBorders>
              <w:left w:val="dotted" w:sz="4" w:space="0" w:color="D9D9D9" w:themeColor="background1" w:themeShade="D9"/>
              <w:right w:val="dotted" w:sz="4" w:space="0" w:color="D9D9D9" w:themeColor="background1" w:themeShade="D9"/>
            </w:tcBorders>
            <w:vAlign w:val="bottom"/>
          </w:tcPr>
          <w:p w14:paraId="038A45A4" w14:textId="77777777" w:rsidR="00266032" w:rsidRDefault="00266032" w:rsidP="001A5D4A">
            <w:pPr>
              <w:pStyle w:val="NotesTable-ItemPlain"/>
            </w:pPr>
          </w:p>
        </w:tc>
      </w:tr>
      <w:tr w:rsidR="008B0AE5" w:rsidRPr="00075ACF" w14:paraId="00771914" w14:textId="77777777" w:rsidTr="00BC5733">
        <w:trPr>
          <w:trHeight w:val="227"/>
        </w:trPr>
        <w:tc>
          <w:tcPr>
            <w:tcW w:w="813" w:type="pct"/>
            <w:tcBorders>
              <w:right w:val="dotted" w:sz="4" w:space="0" w:color="D9D9D9" w:themeColor="background1" w:themeShade="D9"/>
            </w:tcBorders>
          </w:tcPr>
          <w:p w14:paraId="415CB25A" w14:textId="77777777" w:rsidR="008B0AE5" w:rsidRPr="00F54CE0" w:rsidRDefault="008B0AE5"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1C330F5F" w14:textId="77777777" w:rsidR="008B0AE5" w:rsidRDefault="008B0AE5" w:rsidP="001A5D4A">
            <w:pPr>
              <w:pStyle w:val="NotesTable-ItemPlain"/>
            </w:pPr>
          </w:p>
        </w:tc>
        <w:tc>
          <w:tcPr>
            <w:tcW w:w="649" w:type="pct"/>
            <w:tcBorders>
              <w:left w:val="dotted" w:sz="4" w:space="0" w:color="D9D9D9" w:themeColor="background1" w:themeShade="D9"/>
              <w:right w:val="dotted" w:sz="4" w:space="0" w:color="D9D9D9" w:themeColor="background1" w:themeShade="D9"/>
            </w:tcBorders>
            <w:vAlign w:val="center"/>
          </w:tcPr>
          <w:p w14:paraId="6DE17FD5" w14:textId="77777777" w:rsidR="008B0AE5" w:rsidRPr="00F61D7B" w:rsidRDefault="008B0AE5" w:rsidP="001A5D4A">
            <w:pPr>
              <w:pStyle w:val="NotesTable-CellPlain"/>
            </w:pPr>
          </w:p>
        </w:tc>
        <w:tc>
          <w:tcPr>
            <w:tcW w:w="1027" w:type="pct"/>
            <w:tcBorders>
              <w:left w:val="dotted" w:sz="4" w:space="0" w:color="D9D9D9" w:themeColor="background1" w:themeShade="D9"/>
              <w:right w:val="dotted" w:sz="4" w:space="0" w:color="D9D9D9" w:themeColor="background1" w:themeShade="D9"/>
            </w:tcBorders>
            <w:vAlign w:val="center"/>
          </w:tcPr>
          <w:p w14:paraId="7EF203CA" w14:textId="77777777" w:rsidR="008B0AE5" w:rsidRDefault="008B0AE5" w:rsidP="001A5D4A">
            <w:pPr>
              <w:pStyle w:val="NotesTable-CellPlain"/>
            </w:pPr>
          </w:p>
        </w:tc>
        <w:tc>
          <w:tcPr>
            <w:tcW w:w="838" w:type="pct"/>
            <w:tcBorders>
              <w:left w:val="dotted" w:sz="4" w:space="0" w:color="D9D9D9" w:themeColor="background1" w:themeShade="D9"/>
              <w:right w:val="dotted" w:sz="4" w:space="0" w:color="D9D9D9" w:themeColor="background1" w:themeShade="D9"/>
            </w:tcBorders>
            <w:vAlign w:val="center"/>
          </w:tcPr>
          <w:p w14:paraId="25884E80" w14:textId="77777777" w:rsidR="008B0AE5" w:rsidRDefault="008B0AE5" w:rsidP="001A5D4A">
            <w:pPr>
              <w:pStyle w:val="NotesTable-CellPlain"/>
            </w:pPr>
          </w:p>
        </w:tc>
        <w:tc>
          <w:tcPr>
            <w:tcW w:w="835" w:type="pct"/>
            <w:tcBorders>
              <w:left w:val="dotted" w:sz="4" w:space="0" w:color="D9D9D9" w:themeColor="background1" w:themeShade="D9"/>
              <w:right w:val="dotted" w:sz="4" w:space="0" w:color="D9D9D9" w:themeColor="background1" w:themeShade="D9"/>
            </w:tcBorders>
            <w:vAlign w:val="center"/>
          </w:tcPr>
          <w:p w14:paraId="7938508D" w14:textId="77777777" w:rsidR="008B0AE5" w:rsidRDefault="008B0AE5" w:rsidP="001A5D4A">
            <w:pPr>
              <w:pStyle w:val="NotesTable-CellPlain"/>
            </w:pPr>
          </w:p>
        </w:tc>
      </w:tr>
      <w:tr w:rsidR="00F749EC" w:rsidRPr="00075ACF" w14:paraId="038A45AC" w14:textId="77777777" w:rsidTr="00BC5733">
        <w:trPr>
          <w:trHeight w:val="227"/>
        </w:trPr>
        <w:tc>
          <w:tcPr>
            <w:tcW w:w="813" w:type="pct"/>
            <w:tcBorders>
              <w:right w:val="dotted" w:sz="4" w:space="0" w:color="D9D9D9" w:themeColor="background1" w:themeShade="D9"/>
            </w:tcBorders>
          </w:tcPr>
          <w:p w14:paraId="038A45A6" w14:textId="77777777" w:rsidR="00F749EC" w:rsidRPr="00F54CE0" w:rsidRDefault="00F749EC"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038A45A7" w14:textId="77777777" w:rsidR="00F749EC" w:rsidRDefault="003D3F9E" w:rsidP="001A5D4A">
            <w:pPr>
              <w:pStyle w:val="NotesTable-ItemPlain"/>
            </w:pPr>
            <w:r>
              <w:t>Buildings</w:t>
            </w:r>
          </w:p>
        </w:tc>
        <w:tc>
          <w:tcPr>
            <w:tcW w:w="649" w:type="pct"/>
            <w:tcBorders>
              <w:left w:val="dotted" w:sz="4" w:space="0" w:color="D9D9D9" w:themeColor="background1" w:themeShade="D9"/>
              <w:right w:val="dotted" w:sz="4" w:space="0" w:color="D9D9D9" w:themeColor="background1" w:themeShade="D9"/>
            </w:tcBorders>
            <w:vAlign w:val="center"/>
          </w:tcPr>
          <w:p w14:paraId="038A45A8" w14:textId="77777777" w:rsidR="00F749EC" w:rsidRDefault="00F749EC" w:rsidP="001A5D4A">
            <w:pPr>
              <w:pStyle w:val="NotesTable-CellPlain"/>
            </w:pPr>
            <w:r w:rsidRPr="00F61D7B">
              <w:t>–</w:t>
            </w:r>
          </w:p>
        </w:tc>
        <w:tc>
          <w:tcPr>
            <w:tcW w:w="1027" w:type="pct"/>
            <w:tcBorders>
              <w:left w:val="dotted" w:sz="4" w:space="0" w:color="D9D9D9" w:themeColor="background1" w:themeShade="D9"/>
              <w:right w:val="dotted" w:sz="4" w:space="0" w:color="D9D9D9" w:themeColor="background1" w:themeShade="D9"/>
            </w:tcBorders>
            <w:vAlign w:val="center"/>
          </w:tcPr>
          <w:p w14:paraId="038A45A9" w14:textId="77777777" w:rsidR="00F749EC" w:rsidRDefault="00F749EC" w:rsidP="001A5D4A">
            <w:pPr>
              <w:pStyle w:val="NotesTable-CellPlain"/>
            </w:pPr>
            <w:r>
              <w:t>[Specify]</w:t>
            </w:r>
          </w:p>
        </w:tc>
        <w:tc>
          <w:tcPr>
            <w:tcW w:w="838" w:type="pct"/>
            <w:tcBorders>
              <w:left w:val="dotted" w:sz="4" w:space="0" w:color="D9D9D9" w:themeColor="background1" w:themeShade="D9"/>
              <w:right w:val="dotted" w:sz="4" w:space="0" w:color="D9D9D9" w:themeColor="background1" w:themeShade="D9"/>
            </w:tcBorders>
            <w:vAlign w:val="center"/>
          </w:tcPr>
          <w:p w14:paraId="038A45AA" w14:textId="77777777" w:rsidR="00F749EC" w:rsidRDefault="00F749EC" w:rsidP="001A5D4A">
            <w:pPr>
              <w:pStyle w:val="NotesTable-CellPlain"/>
            </w:pPr>
            <w:r>
              <w:t>[Specify]</w:t>
            </w:r>
          </w:p>
        </w:tc>
        <w:tc>
          <w:tcPr>
            <w:tcW w:w="835" w:type="pct"/>
            <w:tcBorders>
              <w:left w:val="dotted" w:sz="4" w:space="0" w:color="D9D9D9" w:themeColor="background1" w:themeShade="D9"/>
              <w:right w:val="dotted" w:sz="4" w:space="0" w:color="D9D9D9" w:themeColor="background1" w:themeShade="D9"/>
            </w:tcBorders>
            <w:vAlign w:val="center"/>
          </w:tcPr>
          <w:p w14:paraId="038A45AB" w14:textId="77777777" w:rsidR="00F749EC" w:rsidRDefault="00F749EC" w:rsidP="001A5D4A">
            <w:pPr>
              <w:pStyle w:val="NotesTable-CellPlain"/>
            </w:pPr>
            <w:r>
              <w:t>[Specify]</w:t>
            </w:r>
          </w:p>
        </w:tc>
      </w:tr>
      <w:tr w:rsidR="008B0AE5" w:rsidRPr="00075ACF" w14:paraId="2D15262E" w14:textId="77777777" w:rsidTr="00BC5733">
        <w:trPr>
          <w:trHeight w:val="227"/>
        </w:trPr>
        <w:tc>
          <w:tcPr>
            <w:tcW w:w="813" w:type="pct"/>
            <w:tcBorders>
              <w:right w:val="dotted" w:sz="4" w:space="0" w:color="D9D9D9" w:themeColor="background1" w:themeShade="D9"/>
            </w:tcBorders>
          </w:tcPr>
          <w:p w14:paraId="0952E52B" w14:textId="77777777" w:rsidR="008B0AE5" w:rsidRPr="00F54CE0" w:rsidRDefault="008B0AE5"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4C2E5546" w14:textId="77777777" w:rsidR="008B0AE5" w:rsidRDefault="008B0AE5" w:rsidP="001A5D4A">
            <w:pPr>
              <w:pStyle w:val="NotesTable-ItemPlain"/>
            </w:pPr>
          </w:p>
        </w:tc>
        <w:tc>
          <w:tcPr>
            <w:tcW w:w="649" w:type="pct"/>
            <w:tcBorders>
              <w:left w:val="dotted" w:sz="4" w:space="0" w:color="D9D9D9" w:themeColor="background1" w:themeShade="D9"/>
              <w:right w:val="dotted" w:sz="4" w:space="0" w:color="D9D9D9" w:themeColor="background1" w:themeShade="D9"/>
            </w:tcBorders>
            <w:vAlign w:val="center"/>
          </w:tcPr>
          <w:p w14:paraId="288A302E" w14:textId="77777777" w:rsidR="008B0AE5" w:rsidRPr="00F61D7B" w:rsidRDefault="008B0AE5" w:rsidP="001A5D4A">
            <w:pPr>
              <w:pStyle w:val="NotesTable-CellPlain"/>
            </w:pPr>
          </w:p>
        </w:tc>
        <w:tc>
          <w:tcPr>
            <w:tcW w:w="1027" w:type="pct"/>
            <w:tcBorders>
              <w:left w:val="dotted" w:sz="4" w:space="0" w:color="D9D9D9" w:themeColor="background1" w:themeShade="D9"/>
              <w:right w:val="dotted" w:sz="4" w:space="0" w:color="D9D9D9" w:themeColor="background1" w:themeShade="D9"/>
            </w:tcBorders>
            <w:vAlign w:val="center"/>
          </w:tcPr>
          <w:p w14:paraId="58670EB4" w14:textId="77777777" w:rsidR="008B0AE5" w:rsidRDefault="008B0AE5" w:rsidP="001A5D4A">
            <w:pPr>
              <w:pStyle w:val="NotesTable-CellPlain"/>
            </w:pPr>
          </w:p>
        </w:tc>
        <w:tc>
          <w:tcPr>
            <w:tcW w:w="838" w:type="pct"/>
            <w:tcBorders>
              <w:left w:val="dotted" w:sz="4" w:space="0" w:color="D9D9D9" w:themeColor="background1" w:themeShade="D9"/>
              <w:right w:val="dotted" w:sz="4" w:space="0" w:color="D9D9D9" w:themeColor="background1" w:themeShade="D9"/>
            </w:tcBorders>
            <w:vAlign w:val="center"/>
          </w:tcPr>
          <w:p w14:paraId="04ABFFDD" w14:textId="77777777" w:rsidR="008B0AE5" w:rsidRDefault="008B0AE5" w:rsidP="001A5D4A">
            <w:pPr>
              <w:pStyle w:val="NotesTable-CellPlain"/>
            </w:pPr>
          </w:p>
        </w:tc>
        <w:tc>
          <w:tcPr>
            <w:tcW w:w="835" w:type="pct"/>
            <w:tcBorders>
              <w:left w:val="dotted" w:sz="4" w:space="0" w:color="D9D9D9" w:themeColor="background1" w:themeShade="D9"/>
              <w:right w:val="dotted" w:sz="4" w:space="0" w:color="D9D9D9" w:themeColor="background1" w:themeShade="D9"/>
            </w:tcBorders>
            <w:vAlign w:val="center"/>
          </w:tcPr>
          <w:p w14:paraId="5583670C" w14:textId="77777777" w:rsidR="008B0AE5" w:rsidRDefault="008B0AE5" w:rsidP="001A5D4A">
            <w:pPr>
              <w:pStyle w:val="NotesTable-CellPlain"/>
            </w:pPr>
          </w:p>
        </w:tc>
      </w:tr>
      <w:tr w:rsidR="00D331C5" w:rsidRPr="00075ACF" w14:paraId="038A45B3" w14:textId="77777777" w:rsidTr="00BC5733">
        <w:trPr>
          <w:trHeight w:val="227"/>
        </w:trPr>
        <w:tc>
          <w:tcPr>
            <w:tcW w:w="813" w:type="pct"/>
            <w:tcBorders>
              <w:right w:val="dotted" w:sz="4" w:space="0" w:color="D9D9D9" w:themeColor="background1" w:themeShade="D9"/>
            </w:tcBorders>
          </w:tcPr>
          <w:p w14:paraId="038A45AD" w14:textId="77777777" w:rsidR="00D331C5" w:rsidRPr="00F54CE0" w:rsidRDefault="00D331C5"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038A45AE" w14:textId="77777777" w:rsidR="00D331C5" w:rsidRDefault="00D331C5" w:rsidP="001A5D4A">
            <w:pPr>
              <w:pStyle w:val="NotesTable-ItemPlain"/>
            </w:pPr>
            <w:r>
              <w:t>Other financial assets</w:t>
            </w:r>
          </w:p>
        </w:tc>
        <w:tc>
          <w:tcPr>
            <w:tcW w:w="649" w:type="pct"/>
            <w:tcBorders>
              <w:left w:val="dotted" w:sz="4" w:space="0" w:color="D9D9D9" w:themeColor="background1" w:themeShade="D9"/>
              <w:right w:val="dotted" w:sz="4" w:space="0" w:color="D9D9D9" w:themeColor="background1" w:themeShade="D9"/>
            </w:tcBorders>
            <w:vAlign w:val="center"/>
          </w:tcPr>
          <w:p w14:paraId="038A45AF" w14:textId="77777777" w:rsidR="00D331C5" w:rsidRPr="00F61D7B" w:rsidRDefault="00D331C5" w:rsidP="001A5D4A">
            <w:pPr>
              <w:pStyle w:val="NotesTable-CellPlain"/>
            </w:pPr>
            <w:r w:rsidRPr="00F61D7B">
              <w:t>–</w:t>
            </w:r>
          </w:p>
        </w:tc>
        <w:tc>
          <w:tcPr>
            <w:tcW w:w="1027" w:type="pct"/>
            <w:tcBorders>
              <w:left w:val="dotted" w:sz="4" w:space="0" w:color="D9D9D9" w:themeColor="background1" w:themeShade="D9"/>
              <w:right w:val="dotted" w:sz="4" w:space="0" w:color="D9D9D9" w:themeColor="background1" w:themeShade="D9"/>
            </w:tcBorders>
            <w:vAlign w:val="center"/>
          </w:tcPr>
          <w:p w14:paraId="038A45B0" w14:textId="77777777" w:rsidR="00D331C5" w:rsidRDefault="00D331C5" w:rsidP="001A5D4A">
            <w:pPr>
              <w:pStyle w:val="NotesTable-CellPlain"/>
            </w:pPr>
            <w:r>
              <w:t>[Specify]</w:t>
            </w:r>
          </w:p>
        </w:tc>
        <w:tc>
          <w:tcPr>
            <w:tcW w:w="838" w:type="pct"/>
            <w:tcBorders>
              <w:left w:val="dotted" w:sz="4" w:space="0" w:color="D9D9D9" w:themeColor="background1" w:themeShade="D9"/>
              <w:right w:val="dotted" w:sz="4" w:space="0" w:color="D9D9D9" w:themeColor="background1" w:themeShade="D9"/>
            </w:tcBorders>
            <w:vAlign w:val="center"/>
          </w:tcPr>
          <w:p w14:paraId="038A45B1" w14:textId="77777777" w:rsidR="00D331C5" w:rsidRDefault="00D331C5" w:rsidP="001A5D4A">
            <w:pPr>
              <w:pStyle w:val="NotesTable-CellPlain"/>
            </w:pPr>
            <w:r>
              <w:t>[Specify]</w:t>
            </w:r>
          </w:p>
        </w:tc>
        <w:tc>
          <w:tcPr>
            <w:tcW w:w="835" w:type="pct"/>
            <w:tcBorders>
              <w:left w:val="dotted" w:sz="4" w:space="0" w:color="D9D9D9" w:themeColor="background1" w:themeShade="D9"/>
              <w:right w:val="dotted" w:sz="4" w:space="0" w:color="D9D9D9" w:themeColor="background1" w:themeShade="D9"/>
            </w:tcBorders>
            <w:vAlign w:val="center"/>
          </w:tcPr>
          <w:p w14:paraId="038A45B2" w14:textId="77777777" w:rsidR="00D331C5" w:rsidRDefault="00D331C5" w:rsidP="001A5D4A">
            <w:pPr>
              <w:pStyle w:val="NotesTable-CellPlain"/>
            </w:pPr>
            <w:r>
              <w:t>[Specify]</w:t>
            </w:r>
          </w:p>
        </w:tc>
      </w:tr>
      <w:tr w:rsidR="008B0AE5" w:rsidRPr="00075ACF" w14:paraId="26CA8976" w14:textId="77777777" w:rsidTr="00BC5733">
        <w:trPr>
          <w:trHeight w:val="227"/>
        </w:trPr>
        <w:tc>
          <w:tcPr>
            <w:tcW w:w="813" w:type="pct"/>
            <w:tcBorders>
              <w:right w:val="dotted" w:sz="4" w:space="0" w:color="D9D9D9" w:themeColor="background1" w:themeShade="D9"/>
            </w:tcBorders>
          </w:tcPr>
          <w:p w14:paraId="35B71342" w14:textId="77777777" w:rsidR="008B0AE5" w:rsidRPr="00F54CE0" w:rsidRDefault="008B0AE5"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4B6AA33E" w14:textId="77777777" w:rsidR="008B0AE5" w:rsidRDefault="008B0AE5" w:rsidP="001A5D4A">
            <w:pPr>
              <w:pStyle w:val="NotesTable-ItemPlain"/>
            </w:pPr>
          </w:p>
        </w:tc>
        <w:tc>
          <w:tcPr>
            <w:tcW w:w="649" w:type="pct"/>
            <w:tcBorders>
              <w:left w:val="dotted" w:sz="4" w:space="0" w:color="D9D9D9" w:themeColor="background1" w:themeShade="D9"/>
              <w:right w:val="dotted" w:sz="4" w:space="0" w:color="D9D9D9" w:themeColor="background1" w:themeShade="D9"/>
            </w:tcBorders>
            <w:vAlign w:val="center"/>
          </w:tcPr>
          <w:p w14:paraId="55055A50" w14:textId="77777777" w:rsidR="008B0AE5" w:rsidRPr="00F61D7B" w:rsidRDefault="008B0AE5" w:rsidP="001A5D4A">
            <w:pPr>
              <w:pStyle w:val="NotesTable-CellPlain"/>
            </w:pPr>
          </w:p>
        </w:tc>
        <w:tc>
          <w:tcPr>
            <w:tcW w:w="1027" w:type="pct"/>
            <w:tcBorders>
              <w:left w:val="dotted" w:sz="4" w:space="0" w:color="D9D9D9" w:themeColor="background1" w:themeShade="D9"/>
              <w:right w:val="dotted" w:sz="4" w:space="0" w:color="D9D9D9" w:themeColor="background1" w:themeShade="D9"/>
            </w:tcBorders>
            <w:vAlign w:val="center"/>
          </w:tcPr>
          <w:p w14:paraId="49669244" w14:textId="77777777" w:rsidR="008B0AE5" w:rsidRDefault="008B0AE5" w:rsidP="001A5D4A">
            <w:pPr>
              <w:pStyle w:val="NotesTable-CellPlain"/>
            </w:pPr>
          </w:p>
        </w:tc>
        <w:tc>
          <w:tcPr>
            <w:tcW w:w="838" w:type="pct"/>
            <w:tcBorders>
              <w:left w:val="dotted" w:sz="4" w:space="0" w:color="D9D9D9" w:themeColor="background1" w:themeShade="D9"/>
              <w:right w:val="dotted" w:sz="4" w:space="0" w:color="D9D9D9" w:themeColor="background1" w:themeShade="D9"/>
            </w:tcBorders>
            <w:vAlign w:val="center"/>
          </w:tcPr>
          <w:p w14:paraId="7F06276C" w14:textId="77777777" w:rsidR="008B0AE5" w:rsidRDefault="008B0AE5" w:rsidP="001A5D4A">
            <w:pPr>
              <w:pStyle w:val="NotesTable-CellPlain"/>
            </w:pPr>
          </w:p>
        </w:tc>
        <w:tc>
          <w:tcPr>
            <w:tcW w:w="835" w:type="pct"/>
            <w:tcBorders>
              <w:left w:val="dotted" w:sz="4" w:space="0" w:color="D9D9D9" w:themeColor="background1" w:themeShade="D9"/>
              <w:right w:val="dotted" w:sz="4" w:space="0" w:color="D9D9D9" w:themeColor="background1" w:themeShade="D9"/>
            </w:tcBorders>
            <w:vAlign w:val="center"/>
          </w:tcPr>
          <w:p w14:paraId="2A234994" w14:textId="77777777" w:rsidR="008B0AE5" w:rsidRDefault="008B0AE5" w:rsidP="001A5D4A">
            <w:pPr>
              <w:pStyle w:val="NotesTable-CellPlain"/>
            </w:pPr>
          </w:p>
        </w:tc>
      </w:tr>
      <w:tr w:rsidR="00F749EC" w:rsidRPr="00075ACF" w14:paraId="038A45BA" w14:textId="77777777" w:rsidTr="00BC5733">
        <w:trPr>
          <w:trHeight w:val="227"/>
        </w:trPr>
        <w:tc>
          <w:tcPr>
            <w:tcW w:w="813" w:type="pct"/>
            <w:tcBorders>
              <w:right w:val="dotted" w:sz="4" w:space="0" w:color="D9D9D9" w:themeColor="background1" w:themeShade="D9"/>
            </w:tcBorders>
          </w:tcPr>
          <w:p w14:paraId="038A45B4" w14:textId="77777777" w:rsidR="00F749EC" w:rsidRPr="00F54CE0" w:rsidRDefault="00F749EC"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038A45B5" w14:textId="77777777" w:rsidR="00F749EC" w:rsidRDefault="00F749EC" w:rsidP="001A5D4A">
            <w:pPr>
              <w:pStyle w:val="NotesTable-ItemPlain"/>
            </w:pPr>
            <w:r>
              <w:t>[Specify]</w:t>
            </w:r>
          </w:p>
        </w:tc>
        <w:tc>
          <w:tcPr>
            <w:tcW w:w="649" w:type="pct"/>
            <w:tcBorders>
              <w:left w:val="dotted" w:sz="4" w:space="0" w:color="D9D9D9" w:themeColor="background1" w:themeShade="D9"/>
              <w:right w:val="dotted" w:sz="4" w:space="0" w:color="D9D9D9" w:themeColor="background1" w:themeShade="D9"/>
            </w:tcBorders>
            <w:vAlign w:val="center"/>
          </w:tcPr>
          <w:p w14:paraId="038A45B6" w14:textId="77777777" w:rsidR="00F749EC" w:rsidRDefault="00F749EC" w:rsidP="001A5D4A">
            <w:pPr>
              <w:pStyle w:val="NotesTable-CellPlain"/>
            </w:pPr>
            <w:r w:rsidRPr="00F61D7B">
              <w:t>–</w:t>
            </w:r>
          </w:p>
        </w:tc>
        <w:tc>
          <w:tcPr>
            <w:tcW w:w="1027" w:type="pct"/>
            <w:tcBorders>
              <w:left w:val="dotted" w:sz="4" w:space="0" w:color="D9D9D9" w:themeColor="background1" w:themeShade="D9"/>
              <w:right w:val="dotted" w:sz="4" w:space="0" w:color="D9D9D9" w:themeColor="background1" w:themeShade="D9"/>
            </w:tcBorders>
            <w:vAlign w:val="center"/>
          </w:tcPr>
          <w:p w14:paraId="038A45B7" w14:textId="77777777" w:rsidR="00F749EC" w:rsidRDefault="00F749EC" w:rsidP="001A5D4A">
            <w:pPr>
              <w:pStyle w:val="NotesTable-CellPlain"/>
            </w:pPr>
            <w:r>
              <w:t>[Specify]</w:t>
            </w:r>
          </w:p>
        </w:tc>
        <w:tc>
          <w:tcPr>
            <w:tcW w:w="838" w:type="pct"/>
            <w:tcBorders>
              <w:left w:val="dotted" w:sz="4" w:space="0" w:color="D9D9D9" w:themeColor="background1" w:themeShade="D9"/>
              <w:right w:val="dotted" w:sz="4" w:space="0" w:color="D9D9D9" w:themeColor="background1" w:themeShade="D9"/>
            </w:tcBorders>
            <w:vAlign w:val="center"/>
          </w:tcPr>
          <w:p w14:paraId="038A45B8" w14:textId="77777777" w:rsidR="00F749EC" w:rsidRDefault="00F749EC" w:rsidP="001A5D4A">
            <w:pPr>
              <w:pStyle w:val="NotesTable-CellPlain"/>
            </w:pPr>
            <w:r>
              <w:t>[Specify]</w:t>
            </w:r>
          </w:p>
        </w:tc>
        <w:tc>
          <w:tcPr>
            <w:tcW w:w="835" w:type="pct"/>
            <w:tcBorders>
              <w:left w:val="dotted" w:sz="4" w:space="0" w:color="D9D9D9" w:themeColor="background1" w:themeShade="D9"/>
              <w:right w:val="dotted" w:sz="4" w:space="0" w:color="D9D9D9" w:themeColor="background1" w:themeShade="D9"/>
            </w:tcBorders>
            <w:vAlign w:val="center"/>
          </w:tcPr>
          <w:p w14:paraId="038A45B9" w14:textId="77777777" w:rsidR="00F749EC" w:rsidRDefault="00F749EC" w:rsidP="001A5D4A">
            <w:pPr>
              <w:pStyle w:val="NotesTable-CellPlain"/>
            </w:pPr>
            <w:r>
              <w:t>[Specify]</w:t>
            </w:r>
          </w:p>
        </w:tc>
      </w:tr>
      <w:tr w:rsidR="00F749EC" w:rsidRPr="00075ACF" w14:paraId="038A45C1" w14:textId="77777777" w:rsidTr="00BC5733">
        <w:trPr>
          <w:trHeight w:val="227"/>
        </w:trPr>
        <w:tc>
          <w:tcPr>
            <w:tcW w:w="813" w:type="pct"/>
            <w:tcBorders>
              <w:right w:val="dotted" w:sz="4" w:space="0" w:color="D9D9D9" w:themeColor="background1" w:themeShade="D9"/>
            </w:tcBorders>
          </w:tcPr>
          <w:p w14:paraId="038A45BB" w14:textId="77777777" w:rsidR="00F749EC" w:rsidRPr="00F54CE0" w:rsidRDefault="00F749EC" w:rsidP="001A5D4A">
            <w:pPr>
              <w:pStyle w:val="Note-Refs"/>
            </w:pPr>
          </w:p>
        </w:tc>
        <w:tc>
          <w:tcPr>
            <w:tcW w:w="838" w:type="pct"/>
            <w:tcBorders>
              <w:left w:val="dotted" w:sz="4" w:space="0" w:color="D9D9D9" w:themeColor="background1" w:themeShade="D9"/>
              <w:right w:val="dotted" w:sz="4" w:space="0" w:color="D9D9D9" w:themeColor="background1" w:themeShade="D9"/>
            </w:tcBorders>
            <w:vAlign w:val="bottom"/>
          </w:tcPr>
          <w:p w14:paraId="038A45BC" w14:textId="77777777" w:rsidR="00F749EC" w:rsidRDefault="00F749EC" w:rsidP="001A5D4A">
            <w:pPr>
              <w:pStyle w:val="NotesTable-ItemPlain"/>
            </w:pPr>
          </w:p>
        </w:tc>
        <w:tc>
          <w:tcPr>
            <w:tcW w:w="649" w:type="pct"/>
            <w:tcBorders>
              <w:left w:val="dotted" w:sz="4" w:space="0" w:color="D9D9D9" w:themeColor="background1" w:themeShade="D9"/>
              <w:right w:val="dotted" w:sz="4" w:space="0" w:color="D9D9D9" w:themeColor="background1" w:themeShade="D9"/>
            </w:tcBorders>
            <w:vAlign w:val="bottom"/>
          </w:tcPr>
          <w:p w14:paraId="038A45BD" w14:textId="77777777" w:rsidR="00F749EC" w:rsidRDefault="00F749EC" w:rsidP="001A5D4A">
            <w:pPr>
              <w:pStyle w:val="NotesTable-CellPlain"/>
            </w:pPr>
          </w:p>
        </w:tc>
        <w:tc>
          <w:tcPr>
            <w:tcW w:w="1027" w:type="pct"/>
            <w:tcBorders>
              <w:left w:val="dotted" w:sz="4" w:space="0" w:color="D9D9D9" w:themeColor="background1" w:themeShade="D9"/>
              <w:right w:val="dotted" w:sz="4" w:space="0" w:color="D9D9D9" w:themeColor="background1" w:themeShade="D9"/>
            </w:tcBorders>
            <w:vAlign w:val="bottom"/>
          </w:tcPr>
          <w:p w14:paraId="038A45BE" w14:textId="77777777" w:rsidR="00F749EC" w:rsidRDefault="00F749EC" w:rsidP="001A5D4A">
            <w:pPr>
              <w:pStyle w:val="NotesTable-CellPlain"/>
            </w:pPr>
          </w:p>
        </w:tc>
        <w:tc>
          <w:tcPr>
            <w:tcW w:w="838" w:type="pct"/>
            <w:tcBorders>
              <w:left w:val="dotted" w:sz="4" w:space="0" w:color="D9D9D9" w:themeColor="background1" w:themeShade="D9"/>
              <w:right w:val="dotted" w:sz="4" w:space="0" w:color="D9D9D9" w:themeColor="background1" w:themeShade="D9"/>
            </w:tcBorders>
            <w:vAlign w:val="bottom"/>
          </w:tcPr>
          <w:p w14:paraId="038A45BF" w14:textId="77777777" w:rsidR="00F749EC" w:rsidRDefault="00F749EC" w:rsidP="001A5D4A">
            <w:pPr>
              <w:pStyle w:val="NotesTable-CellPlain"/>
            </w:pPr>
          </w:p>
        </w:tc>
        <w:tc>
          <w:tcPr>
            <w:tcW w:w="835" w:type="pct"/>
            <w:tcBorders>
              <w:left w:val="dotted" w:sz="4" w:space="0" w:color="D9D9D9" w:themeColor="background1" w:themeShade="D9"/>
              <w:right w:val="dotted" w:sz="4" w:space="0" w:color="D9D9D9" w:themeColor="background1" w:themeShade="D9"/>
            </w:tcBorders>
            <w:vAlign w:val="bottom"/>
          </w:tcPr>
          <w:p w14:paraId="038A45C0" w14:textId="77777777" w:rsidR="00F749EC" w:rsidRDefault="00F749EC" w:rsidP="001A5D4A">
            <w:pPr>
              <w:pStyle w:val="NotesTable-CellPlain"/>
            </w:pPr>
          </w:p>
        </w:tc>
      </w:tr>
      <w:tr w:rsidR="00F749EC" w:rsidRPr="00075ACF" w14:paraId="038A45C4" w14:textId="77777777" w:rsidTr="00BC5733">
        <w:trPr>
          <w:trHeight w:val="227"/>
        </w:trPr>
        <w:tc>
          <w:tcPr>
            <w:tcW w:w="813" w:type="pct"/>
          </w:tcPr>
          <w:p w14:paraId="038A45C2" w14:textId="77777777" w:rsidR="00F749EC" w:rsidRPr="005C0D27" w:rsidRDefault="00F749EC" w:rsidP="001A5D4A">
            <w:pPr>
              <w:pStyle w:val="Note-Refs"/>
            </w:pPr>
          </w:p>
        </w:tc>
        <w:tc>
          <w:tcPr>
            <w:tcW w:w="4187" w:type="pct"/>
            <w:gridSpan w:val="5"/>
            <w:vAlign w:val="bottom"/>
          </w:tcPr>
          <w:p w14:paraId="038A45C3" w14:textId="77777777" w:rsidR="00F749EC" w:rsidRDefault="00F749EC" w:rsidP="001A5D4A">
            <w:pPr>
              <w:pStyle w:val="NotesTable-ItemPlain"/>
            </w:pPr>
          </w:p>
        </w:tc>
      </w:tr>
      <w:tr w:rsidR="00F749EC" w:rsidRPr="00075ACF" w14:paraId="038A45C7" w14:textId="77777777" w:rsidTr="00BC5733">
        <w:trPr>
          <w:trHeight w:val="227"/>
        </w:trPr>
        <w:tc>
          <w:tcPr>
            <w:tcW w:w="813" w:type="pct"/>
          </w:tcPr>
          <w:p w14:paraId="038A45C5" w14:textId="77777777" w:rsidR="00F749EC" w:rsidRPr="005C0D27" w:rsidRDefault="00F749EC" w:rsidP="001A5D4A">
            <w:pPr>
              <w:pStyle w:val="Note-Refs"/>
            </w:pPr>
            <w:r>
              <w:t>AASB13.93h(i)</w:t>
            </w:r>
          </w:p>
        </w:tc>
        <w:tc>
          <w:tcPr>
            <w:tcW w:w="4187" w:type="pct"/>
            <w:gridSpan w:val="5"/>
            <w:vAlign w:val="bottom"/>
          </w:tcPr>
          <w:p w14:paraId="038A45C6" w14:textId="77777777" w:rsidR="00F749EC" w:rsidRDefault="00F749EC" w:rsidP="001A5D4A">
            <w:pPr>
              <w:pStyle w:val="NotesTable-ItemPlain"/>
            </w:pPr>
            <w:r>
              <w:t>*There were no significant inter-relationships between unobservable inputs that materially affects fair value</w:t>
            </w:r>
          </w:p>
        </w:tc>
      </w:tr>
      <w:tr w:rsidR="00F749EC" w:rsidRPr="00075ACF" w14:paraId="038A45CA" w14:textId="77777777" w:rsidTr="00BC5733">
        <w:trPr>
          <w:trHeight w:val="227"/>
        </w:trPr>
        <w:tc>
          <w:tcPr>
            <w:tcW w:w="813" w:type="pct"/>
          </w:tcPr>
          <w:p w14:paraId="038A45C8" w14:textId="77777777" w:rsidR="00F749EC" w:rsidRPr="005C0D27" w:rsidRDefault="00F749EC" w:rsidP="001A5D4A">
            <w:pPr>
              <w:pStyle w:val="Note-Refs"/>
            </w:pPr>
          </w:p>
        </w:tc>
        <w:tc>
          <w:tcPr>
            <w:tcW w:w="4187" w:type="pct"/>
            <w:gridSpan w:val="5"/>
            <w:vAlign w:val="bottom"/>
          </w:tcPr>
          <w:p w14:paraId="038A45C9" w14:textId="77777777" w:rsidR="00F749EC" w:rsidRDefault="00F749EC" w:rsidP="001A5D4A">
            <w:pPr>
              <w:pStyle w:val="NotesTable-ItemPlain"/>
            </w:pPr>
          </w:p>
        </w:tc>
      </w:tr>
      <w:tr w:rsidR="00F749EC" w:rsidRPr="00075ACF" w14:paraId="038A45CD" w14:textId="77777777" w:rsidTr="00BC5733">
        <w:trPr>
          <w:trHeight w:val="227"/>
        </w:trPr>
        <w:tc>
          <w:tcPr>
            <w:tcW w:w="813" w:type="pct"/>
          </w:tcPr>
          <w:p w14:paraId="038A45CB" w14:textId="77777777" w:rsidR="00F749EC" w:rsidRPr="005C0D27" w:rsidRDefault="00F749EC" w:rsidP="001A5D4A">
            <w:pPr>
              <w:pStyle w:val="Note-Refs"/>
            </w:pPr>
            <w:r>
              <w:t>AASB13.93g</w:t>
            </w:r>
          </w:p>
        </w:tc>
        <w:tc>
          <w:tcPr>
            <w:tcW w:w="4187" w:type="pct"/>
            <w:gridSpan w:val="5"/>
            <w:vAlign w:val="bottom"/>
          </w:tcPr>
          <w:p w14:paraId="038A45CC" w14:textId="77777777" w:rsidR="00F749EC" w:rsidRDefault="00F749EC" w:rsidP="001A5D4A">
            <w:pPr>
              <w:pStyle w:val="Note-TextSubheader"/>
            </w:pPr>
            <w:r>
              <w:t>(iii) Valuation processes</w:t>
            </w:r>
          </w:p>
        </w:tc>
      </w:tr>
      <w:tr w:rsidR="00F749EC" w:rsidRPr="00075ACF" w14:paraId="038A45D0" w14:textId="77777777" w:rsidTr="00BC5733">
        <w:trPr>
          <w:trHeight w:val="227"/>
        </w:trPr>
        <w:tc>
          <w:tcPr>
            <w:tcW w:w="813" w:type="pct"/>
          </w:tcPr>
          <w:p w14:paraId="038A45CE" w14:textId="77777777" w:rsidR="00F749EC" w:rsidRPr="005C0D27" w:rsidRDefault="00F749EC" w:rsidP="001A5D4A">
            <w:pPr>
              <w:pStyle w:val="Note-Refs"/>
            </w:pPr>
          </w:p>
        </w:tc>
        <w:tc>
          <w:tcPr>
            <w:tcW w:w="4187" w:type="pct"/>
            <w:gridSpan w:val="5"/>
            <w:vAlign w:val="bottom"/>
          </w:tcPr>
          <w:p w14:paraId="038A45CF" w14:textId="77777777" w:rsidR="00F749EC" w:rsidRDefault="00F749EC" w:rsidP="001A5D4A">
            <w:pPr>
              <w:pStyle w:val="NotesTable-ItemPlain"/>
            </w:pPr>
            <w:r>
              <w:t>[Specify]</w:t>
            </w:r>
          </w:p>
        </w:tc>
      </w:tr>
      <w:tr w:rsidR="00F749EC" w:rsidRPr="00075ACF" w14:paraId="038A45D3" w14:textId="77777777" w:rsidTr="00BC5733">
        <w:trPr>
          <w:trHeight w:val="227"/>
        </w:trPr>
        <w:tc>
          <w:tcPr>
            <w:tcW w:w="813" w:type="pct"/>
          </w:tcPr>
          <w:p w14:paraId="038A45D1" w14:textId="77777777" w:rsidR="00F749EC" w:rsidRPr="005C0D27" w:rsidRDefault="00F749EC" w:rsidP="001A5D4A">
            <w:pPr>
              <w:pStyle w:val="Note-Refs"/>
            </w:pPr>
          </w:p>
        </w:tc>
        <w:tc>
          <w:tcPr>
            <w:tcW w:w="4187" w:type="pct"/>
            <w:gridSpan w:val="5"/>
            <w:vAlign w:val="bottom"/>
          </w:tcPr>
          <w:p w14:paraId="038A45D2" w14:textId="77777777" w:rsidR="00F749EC" w:rsidRDefault="00F749EC" w:rsidP="001A5D4A">
            <w:pPr>
              <w:pStyle w:val="NotesTable-ItemPlain"/>
            </w:pPr>
          </w:p>
        </w:tc>
      </w:tr>
    </w:tbl>
    <w:p w14:paraId="038A45D4" w14:textId="77777777" w:rsidR="00121B7E" w:rsidRPr="00183B19" w:rsidRDefault="00121B7E" w:rsidP="001A5D4A">
      <w:r w:rsidRPr="00183B19">
        <w:br w:type="page"/>
      </w:r>
    </w:p>
    <w:p w14:paraId="55DF773D" w14:textId="77777777" w:rsidR="00210017" w:rsidRPr="00210017" w:rsidRDefault="00210017" w:rsidP="001A5D4A">
      <w:pPr>
        <w:pStyle w:val="Heading3"/>
        <w:rPr>
          <w:color w:val="2D3E7B" w:themeColor="text2" w:themeShade="BF"/>
        </w:rPr>
      </w:pPr>
      <w:bookmarkStart w:id="432" w:name="_Toc410807687"/>
      <w:bookmarkStart w:id="433" w:name="_Toc410822748"/>
      <w:r w:rsidRPr="00210017">
        <w:rPr>
          <w:color w:val="2D3E7B" w:themeColor="text2" w:themeShade="BF"/>
        </w:rPr>
        <w:lastRenderedPageBreak/>
        <w:t>Commentary – Fair Value Measurement</w:t>
      </w:r>
      <w:bookmarkEnd w:id="432"/>
      <w:bookmarkEnd w:id="433"/>
    </w:p>
    <w:p w14:paraId="5BE1CD3B" w14:textId="77777777" w:rsidR="00210017" w:rsidRPr="00AA2125" w:rsidRDefault="00210017" w:rsidP="00AB24D3">
      <w:pPr>
        <w:pStyle w:val="Heading4"/>
        <w:rPr>
          <w:color w:val="2D3E7B" w:themeColor="text2" w:themeShade="BF"/>
          <w14:textFill>
            <w14:solidFill>
              <w14:schemeClr w14:val="tx2">
                <w14:lumMod w14:val="75000"/>
                <w14:lumMod w14:val="75000"/>
              </w14:schemeClr>
            </w14:solidFill>
          </w14:textFill>
        </w:rPr>
      </w:pPr>
      <w:r w:rsidRPr="00AA2125">
        <w:rPr>
          <w:color w:val="2D3E7B" w:themeColor="text2" w:themeShade="BF"/>
          <w14:textFill>
            <w14:solidFill>
              <w14:schemeClr w14:val="tx2">
                <w14:lumMod w14:val="75000"/>
                <w14:lumMod w14:val="75000"/>
              </w14:schemeClr>
            </w14:solidFill>
          </w14:textFill>
        </w:rPr>
        <w:t>Fair value measurement disclosure</w:t>
      </w:r>
    </w:p>
    <w:p w14:paraId="008B29FA" w14:textId="77777777" w:rsidR="00210017" w:rsidRPr="00210017" w:rsidRDefault="00210017" w:rsidP="00655761">
      <w:pPr>
        <w:pStyle w:val="Heading6"/>
      </w:pPr>
      <w:r w:rsidRPr="00210017">
        <w:t>AASB13.91a</w:t>
      </w:r>
    </w:p>
    <w:p w14:paraId="75D6119E" w14:textId="77777777" w:rsidR="00210017" w:rsidRPr="00210017" w:rsidRDefault="00210017" w:rsidP="001A5D4A">
      <w:pPr>
        <w:rPr>
          <w:color w:val="2D3E7B" w:themeColor="text2" w:themeShade="BF"/>
        </w:rPr>
      </w:pPr>
      <w:r w:rsidRPr="00210017">
        <w:rPr>
          <w:color w:val="2D3E7B" w:themeColor="text2" w:themeShade="BF"/>
        </w:rPr>
        <w:t>In relation to fair value measurements recognised in the statement of financial position, an entity shall disclose for each class of asset or liability the methods and assumptions applied in determining fair values and if there has been a change in valuation technique, the change and the reasons for making it:</w:t>
      </w:r>
    </w:p>
    <w:p w14:paraId="306EC446" w14:textId="77777777" w:rsidR="00210017" w:rsidRPr="00210017" w:rsidRDefault="00210017" w:rsidP="00655761">
      <w:pPr>
        <w:pStyle w:val="Heading6"/>
      </w:pPr>
      <w:r w:rsidRPr="00210017">
        <w:t>AASB13.72</w:t>
      </w:r>
    </w:p>
    <w:p w14:paraId="246C899F" w14:textId="7915CFF8" w:rsidR="00210017" w:rsidRPr="00210017" w:rsidRDefault="00210017" w:rsidP="009B1E46">
      <w:pPr>
        <w:pStyle w:val="ListParagraph"/>
        <w:numPr>
          <w:ilvl w:val="0"/>
          <w:numId w:val="63"/>
        </w:numPr>
        <w:rPr>
          <w:color w:val="2D3E7B" w:themeColor="text2" w:themeShade="BF"/>
        </w:rPr>
      </w:pPr>
      <w:r w:rsidRPr="00210017">
        <w:rPr>
          <w:color w:val="2D3E7B" w:themeColor="text2" w:themeShade="BF"/>
        </w:rPr>
        <w:t>The level in the fair value hierarchy into which the fair value measurements are categorised as per AASB13.72</w:t>
      </w:r>
    </w:p>
    <w:p w14:paraId="72E86A95" w14:textId="77777777" w:rsidR="00210017" w:rsidRPr="00210017" w:rsidRDefault="00210017" w:rsidP="00655761">
      <w:pPr>
        <w:pStyle w:val="Heading6"/>
      </w:pPr>
      <w:r w:rsidRPr="00210017">
        <w:t>AASB13.93c</w:t>
      </w:r>
    </w:p>
    <w:p w14:paraId="594DBD74" w14:textId="1211BE4D" w:rsidR="00210017" w:rsidRPr="00210017" w:rsidRDefault="00210017" w:rsidP="009B1E46">
      <w:pPr>
        <w:pStyle w:val="ListParagraph"/>
        <w:numPr>
          <w:ilvl w:val="0"/>
          <w:numId w:val="63"/>
        </w:numPr>
        <w:rPr>
          <w:color w:val="2D3E7B" w:themeColor="text2" w:themeShade="BF"/>
        </w:rPr>
      </w:pPr>
      <w:proofErr w:type="gramStart"/>
      <w:r w:rsidRPr="00210017">
        <w:rPr>
          <w:color w:val="2D3E7B" w:themeColor="text2" w:themeShade="BF"/>
        </w:rPr>
        <w:t>any</w:t>
      </w:r>
      <w:proofErr w:type="gramEnd"/>
      <w:r w:rsidRPr="00210017">
        <w:rPr>
          <w:color w:val="2D3E7B" w:themeColor="text2" w:themeShade="BF"/>
        </w:rPr>
        <w:t xml:space="preserve"> significant transfers between level 1 and level 2 of the fair value hierarchy and the reasons for those transfers. Transfers into and out of each level should be disclosed and discussed separately.</w:t>
      </w:r>
    </w:p>
    <w:p w14:paraId="1669F791" w14:textId="77777777" w:rsidR="00210017" w:rsidRPr="00210017" w:rsidRDefault="00210017" w:rsidP="00655761">
      <w:pPr>
        <w:pStyle w:val="Heading6"/>
      </w:pPr>
      <w:r w:rsidRPr="00210017">
        <w:t>AASB13.93e</w:t>
      </w:r>
    </w:p>
    <w:p w14:paraId="7A4B22C8" w14:textId="7E1B1911" w:rsidR="00210017" w:rsidRPr="00210017" w:rsidRDefault="00210017" w:rsidP="009B1E46">
      <w:pPr>
        <w:pStyle w:val="ListParagraph"/>
        <w:numPr>
          <w:ilvl w:val="0"/>
          <w:numId w:val="63"/>
        </w:numPr>
        <w:rPr>
          <w:color w:val="2D3E7B" w:themeColor="text2" w:themeShade="BF"/>
        </w:rPr>
      </w:pPr>
      <w:r w:rsidRPr="00210017">
        <w:rPr>
          <w:color w:val="2D3E7B" w:themeColor="text2" w:themeShade="BF"/>
        </w:rPr>
        <w:t>for fair value measurements in level 3, a reconciliation from the beginning balances to the ending balances, disclosing separately changes attributable to the following:</w:t>
      </w:r>
    </w:p>
    <w:p w14:paraId="31F17EDD" w14:textId="5A43EBE1" w:rsidR="00210017" w:rsidRPr="00210017" w:rsidRDefault="00210017" w:rsidP="009B1E46">
      <w:pPr>
        <w:pStyle w:val="ListParagraph"/>
        <w:numPr>
          <w:ilvl w:val="1"/>
          <w:numId w:val="63"/>
        </w:numPr>
        <w:rPr>
          <w:color w:val="2D3E7B" w:themeColor="text2" w:themeShade="BF"/>
        </w:rPr>
      </w:pPr>
      <w:r w:rsidRPr="00210017">
        <w:rPr>
          <w:color w:val="2D3E7B" w:themeColor="text2" w:themeShade="BF"/>
        </w:rPr>
        <w:t>total gains or losses for the period recognised in profit or loss and a description of where they are presented in the statement of comprehensive income;</w:t>
      </w:r>
    </w:p>
    <w:p w14:paraId="507E8010" w14:textId="6F07F5A4" w:rsidR="00210017" w:rsidRPr="00210017" w:rsidRDefault="00210017" w:rsidP="009B1E46">
      <w:pPr>
        <w:pStyle w:val="ListParagraph"/>
        <w:numPr>
          <w:ilvl w:val="1"/>
          <w:numId w:val="63"/>
        </w:numPr>
        <w:rPr>
          <w:color w:val="2D3E7B" w:themeColor="text2" w:themeShade="BF"/>
        </w:rPr>
      </w:pPr>
      <w:r w:rsidRPr="00210017">
        <w:rPr>
          <w:color w:val="2D3E7B" w:themeColor="text2" w:themeShade="BF"/>
        </w:rPr>
        <w:t>total gains or losses recognised in other comprehensive income;</w:t>
      </w:r>
    </w:p>
    <w:p w14:paraId="4C99C74B" w14:textId="46AA83B0" w:rsidR="00210017" w:rsidRPr="00210017" w:rsidRDefault="00210017" w:rsidP="009B1E46">
      <w:pPr>
        <w:pStyle w:val="ListParagraph"/>
        <w:numPr>
          <w:ilvl w:val="1"/>
          <w:numId w:val="63"/>
        </w:numPr>
        <w:rPr>
          <w:color w:val="2D3E7B" w:themeColor="text2" w:themeShade="BF"/>
        </w:rPr>
      </w:pPr>
      <w:r w:rsidRPr="00210017">
        <w:rPr>
          <w:color w:val="2D3E7B" w:themeColor="text2" w:themeShade="BF"/>
        </w:rPr>
        <w:t>purchases, sales, issues and settlements (each type of movement disclosed separately); and</w:t>
      </w:r>
    </w:p>
    <w:p w14:paraId="2DD4014B" w14:textId="60499B98" w:rsidR="00210017" w:rsidRPr="00210017" w:rsidRDefault="00210017" w:rsidP="009B1E46">
      <w:pPr>
        <w:pStyle w:val="ListParagraph"/>
        <w:numPr>
          <w:ilvl w:val="1"/>
          <w:numId w:val="63"/>
        </w:numPr>
        <w:rPr>
          <w:color w:val="2D3E7B" w:themeColor="text2" w:themeShade="BF"/>
        </w:rPr>
      </w:pPr>
      <w:proofErr w:type="gramStart"/>
      <w:r w:rsidRPr="00210017">
        <w:rPr>
          <w:color w:val="2D3E7B" w:themeColor="text2" w:themeShade="BF"/>
        </w:rPr>
        <w:t>transfers</w:t>
      </w:r>
      <w:proofErr w:type="gramEnd"/>
      <w:r w:rsidRPr="00210017">
        <w:rPr>
          <w:color w:val="2D3E7B" w:themeColor="text2" w:themeShade="BF"/>
        </w:rPr>
        <w:t xml:space="preserve"> into or out of level 3 and the reasons for those transfers.</w:t>
      </w:r>
    </w:p>
    <w:p w14:paraId="39425D3C" w14:textId="77777777" w:rsidR="00210017" w:rsidRPr="00210017" w:rsidRDefault="00210017" w:rsidP="00655761">
      <w:pPr>
        <w:pStyle w:val="Heading6"/>
      </w:pPr>
      <w:r w:rsidRPr="00210017">
        <w:t>AASB13.93f</w:t>
      </w:r>
    </w:p>
    <w:p w14:paraId="41FF891C" w14:textId="4BA179A2" w:rsidR="00210017" w:rsidRPr="00210017" w:rsidRDefault="00210017" w:rsidP="009B1E46">
      <w:pPr>
        <w:pStyle w:val="ListParagraph"/>
        <w:numPr>
          <w:ilvl w:val="0"/>
          <w:numId w:val="63"/>
        </w:numPr>
        <w:rPr>
          <w:color w:val="2D3E7B" w:themeColor="text2" w:themeShade="BF"/>
        </w:rPr>
      </w:pPr>
      <w:r w:rsidRPr="00210017">
        <w:rPr>
          <w:color w:val="2D3E7B" w:themeColor="text2" w:themeShade="BF"/>
        </w:rPr>
        <w:t>the amount of total gains or losses for the period in (c)(i) above included in profit or loss that are attributable to gains or losses relating to those assets and liabilities held at the end of the reporting period and a description of where those gains or losses are presented in the statement of comprehensive income statement.</w:t>
      </w:r>
    </w:p>
    <w:p w14:paraId="033BC780" w14:textId="77777777" w:rsidR="00210017" w:rsidRPr="00210017" w:rsidRDefault="00210017" w:rsidP="00655761">
      <w:pPr>
        <w:pStyle w:val="Heading6"/>
      </w:pPr>
      <w:proofErr w:type="gramStart"/>
      <w:r w:rsidRPr="00210017">
        <w:t>AASB13.93h(</w:t>
      </w:r>
      <w:proofErr w:type="gramEnd"/>
      <w:r w:rsidRPr="00210017">
        <w:t>ii)</w:t>
      </w:r>
    </w:p>
    <w:p w14:paraId="27612230" w14:textId="42EB28BF" w:rsidR="00210017" w:rsidRPr="00210017" w:rsidRDefault="00210017" w:rsidP="009B1E46">
      <w:pPr>
        <w:pStyle w:val="ListParagraph"/>
        <w:numPr>
          <w:ilvl w:val="0"/>
          <w:numId w:val="63"/>
        </w:numPr>
        <w:rPr>
          <w:color w:val="2D3E7B" w:themeColor="text2" w:themeShade="BF"/>
        </w:rPr>
      </w:pPr>
      <w:proofErr w:type="gramStart"/>
      <w:r w:rsidRPr="00210017">
        <w:rPr>
          <w:color w:val="2D3E7B" w:themeColor="text2" w:themeShade="BF"/>
        </w:rPr>
        <w:t>for</w:t>
      </w:r>
      <w:proofErr w:type="gramEnd"/>
      <w:r w:rsidRPr="00210017">
        <w:rPr>
          <w:color w:val="2D3E7B" w:themeColor="text2" w:themeShade="BF"/>
        </w:rPr>
        <w:t xml:space="preserve"> fair value measurements in level 3, if changing one or more of the inputs to reasonably possible alternative assumptions would change fair value significantly, the entity shall state that fact and disclose the effect of those changes.</w:t>
      </w:r>
    </w:p>
    <w:p w14:paraId="5469571E" w14:textId="77777777" w:rsidR="00210017" w:rsidRPr="00210017" w:rsidRDefault="00210017" w:rsidP="00655761">
      <w:pPr>
        <w:pStyle w:val="Heading6"/>
      </w:pPr>
      <w:r w:rsidRPr="00210017">
        <w:t>AASB13.99</w:t>
      </w:r>
    </w:p>
    <w:p w14:paraId="683FF5E9" w14:textId="77777777" w:rsidR="00210017" w:rsidRPr="00210017" w:rsidRDefault="00210017" w:rsidP="001A5D4A">
      <w:pPr>
        <w:rPr>
          <w:color w:val="2D3E7B" w:themeColor="text2" w:themeShade="BF"/>
        </w:rPr>
      </w:pPr>
      <w:r w:rsidRPr="00210017">
        <w:rPr>
          <w:color w:val="2D3E7B" w:themeColor="text2" w:themeShade="BF"/>
        </w:rPr>
        <w:t>An entity shall present the quantitative disclosures required by this paragraph in tabular format (as illustrated above) unless another format is more appropriate.</w:t>
      </w:r>
    </w:p>
    <w:p w14:paraId="7644BC2B" w14:textId="76538DC1" w:rsidR="00210017" w:rsidRPr="00210017" w:rsidRDefault="00210017" w:rsidP="00655761">
      <w:pPr>
        <w:pStyle w:val="Heading6"/>
      </w:pPr>
      <w:r w:rsidRPr="00210017">
        <w:t>Education</w:t>
      </w:r>
    </w:p>
    <w:p w14:paraId="45F3BCC6" w14:textId="77777777" w:rsidR="00210017" w:rsidRPr="00210017" w:rsidRDefault="00210017" w:rsidP="001A5D4A">
      <w:pPr>
        <w:rPr>
          <w:color w:val="2D3E7B" w:themeColor="text2" w:themeShade="BF"/>
        </w:rPr>
      </w:pPr>
      <w:r w:rsidRPr="00210017">
        <w:rPr>
          <w:color w:val="2D3E7B" w:themeColor="text2" w:themeShade="BF"/>
        </w:rPr>
        <w:t>Regardless of whether the valuation was compiled internally or externally, management should review and understand the inputs used in the valuation to determine the appropriate classification of those inputs in the fair value hierarchy.</w:t>
      </w:r>
    </w:p>
    <w:p w14:paraId="393FCFC6" w14:textId="77777777" w:rsidR="00210017" w:rsidRPr="00210017" w:rsidRDefault="00210017" w:rsidP="00655761">
      <w:pPr>
        <w:pStyle w:val="Heading6"/>
      </w:pPr>
      <w:r w:rsidRPr="00210017">
        <w:t>AASB13.91</w:t>
      </w:r>
    </w:p>
    <w:p w14:paraId="6012B612" w14:textId="77777777" w:rsidR="00210017" w:rsidRPr="00210017" w:rsidRDefault="00210017" w:rsidP="001A5D4A">
      <w:pPr>
        <w:rPr>
          <w:color w:val="2D3E7B" w:themeColor="text2" w:themeShade="BF"/>
        </w:rPr>
      </w:pPr>
      <w:r w:rsidRPr="00210017">
        <w:rPr>
          <w:color w:val="2D3E7B" w:themeColor="text2" w:themeShade="BF"/>
        </w:rPr>
        <w:t>AASB13 requires disclosure of information that helps users of its financial statements assess:</w:t>
      </w:r>
    </w:p>
    <w:p w14:paraId="49052C7C" w14:textId="7AF1D2E6" w:rsidR="00210017" w:rsidRPr="00210017" w:rsidRDefault="00210017" w:rsidP="009B1E46">
      <w:pPr>
        <w:pStyle w:val="ListParagraph"/>
        <w:numPr>
          <w:ilvl w:val="0"/>
          <w:numId w:val="64"/>
        </w:numPr>
        <w:rPr>
          <w:color w:val="2D3E7B" w:themeColor="text2" w:themeShade="BF"/>
        </w:rPr>
      </w:pPr>
      <w:r w:rsidRPr="00210017">
        <w:rPr>
          <w:color w:val="2D3E7B" w:themeColor="text2" w:themeShade="BF"/>
        </w:rPr>
        <w:t xml:space="preserve">for assets and liabilities that are measured at fair value on a recurring or non-recurring basis after initial recognition, the valuation techniques and inputs used to develop those measurements </w:t>
      </w:r>
    </w:p>
    <w:p w14:paraId="1C762140" w14:textId="5C4876F0" w:rsidR="00210017" w:rsidRPr="00210017" w:rsidRDefault="00210017" w:rsidP="009B1E46">
      <w:pPr>
        <w:pStyle w:val="ListParagraph"/>
        <w:numPr>
          <w:ilvl w:val="0"/>
          <w:numId w:val="64"/>
        </w:numPr>
        <w:rPr>
          <w:color w:val="2D3E7B" w:themeColor="text2" w:themeShade="BF"/>
        </w:rPr>
      </w:pPr>
      <w:r w:rsidRPr="00210017">
        <w:rPr>
          <w:color w:val="2D3E7B" w:themeColor="text2" w:themeShade="BF"/>
        </w:rPr>
        <w:t>for recurring fair value measurements using significant unobservable inputs (level3), the effect of the measurements on profit or loss or other comprehensive income for the period</w:t>
      </w:r>
    </w:p>
    <w:p w14:paraId="63C9CF68" w14:textId="77777777" w:rsidR="00210017" w:rsidRPr="00210017" w:rsidRDefault="00210017" w:rsidP="00655761">
      <w:pPr>
        <w:pStyle w:val="Heading6"/>
      </w:pPr>
      <w:r w:rsidRPr="00210017">
        <w:lastRenderedPageBreak/>
        <w:t>AASB13.92</w:t>
      </w:r>
    </w:p>
    <w:p w14:paraId="5026BF8B" w14:textId="77777777" w:rsidR="00210017" w:rsidRPr="00210017" w:rsidRDefault="00210017" w:rsidP="001A5D4A">
      <w:pPr>
        <w:rPr>
          <w:color w:val="2D3E7B" w:themeColor="text2" w:themeShade="BF"/>
        </w:rPr>
      </w:pPr>
      <w:r w:rsidRPr="00210017">
        <w:rPr>
          <w:color w:val="2D3E7B" w:themeColor="text2" w:themeShade="BF"/>
        </w:rPr>
        <w:t>HEP shall consider what level of detail is necessary to satisfy the disclosure objectives, how much emphasis needs to be placed on each of the requirements, to what extent information should be aggregated or disaggregated and whether any additional information is necessary to meet those objectives.</w:t>
      </w:r>
    </w:p>
    <w:p w14:paraId="0C188F0D" w14:textId="77777777" w:rsidR="00210017" w:rsidRPr="00210017" w:rsidRDefault="00210017" w:rsidP="00655761">
      <w:pPr>
        <w:pStyle w:val="Heading6"/>
      </w:pPr>
      <w:r w:rsidRPr="00210017">
        <w:t>AASB13.99</w:t>
      </w:r>
    </w:p>
    <w:p w14:paraId="038A4635" w14:textId="7E721DE5" w:rsidR="00023312" w:rsidRDefault="00210017" w:rsidP="001A5D4A">
      <w:r w:rsidRPr="00210017">
        <w:rPr>
          <w:color w:val="2D3E7B" w:themeColor="text2" w:themeShade="BF"/>
        </w:rPr>
        <w:t>The information should be presented in tabular format unless another format is more appropriate.</w:t>
      </w:r>
      <w:r w:rsidR="00121B7E" w:rsidRPr="00183B19">
        <w:br w:type="page"/>
      </w:r>
    </w:p>
    <w:p w14:paraId="1CB2CCCE" w14:textId="325439AC" w:rsidR="00183B19" w:rsidRPr="00183B19" w:rsidRDefault="00183B19" w:rsidP="00AA2125">
      <w:pPr>
        <w:pStyle w:val="Heading2"/>
      </w:pPr>
      <w:bookmarkStart w:id="434" w:name="_Toc410807688"/>
      <w:bookmarkStart w:id="435" w:name="_Toc410822749"/>
      <w:proofErr w:type="gramStart"/>
      <w:r w:rsidRPr="00183B19">
        <w:lastRenderedPageBreak/>
        <w:t>Note 52.</w:t>
      </w:r>
      <w:proofErr w:type="gramEnd"/>
      <w:r>
        <w:t xml:space="preserve"> </w:t>
      </w:r>
      <w:r w:rsidRPr="00183B19">
        <w:t>Defined Benefit Plans</w:t>
      </w:r>
      <w:bookmarkEnd w:id="434"/>
      <w:bookmarkEnd w:id="435"/>
    </w:p>
    <w:tbl>
      <w:tblPr>
        <w:tblW w:w="5000" w:type="pct"/>
        <w:tblCellMar>
          <w:left w:w="0" w:type="dxa"/>
          <w:right w:w="0" w:type="dxa"/>
        </w:tblCellMar>
        <w:tblLook w:val="0000" w:firstRow="0" w:lastRow="0" w:firstColumn="0" w:lastColumn="0" w:noHBand="0" w:noVBand="0"/>
      </w:tblPr>
      <w:tblGrid>
        <w:gridCol w:w="1544"/>
        <w:gridCol w:w="1677"/>
        <w:gridCol w:w="1673"/>
        <w:gridCol w:w="129"/>
        <w:gridCol w:w="796"/>
        <w:gridCol w:w="964"/>
        <w:gridCol w:w="966"/>
        <w:gridCol w:w="964"/>
        <w:gridCol w:w="1547"/>
      </w:tblGrid>
      <w:tr w:rsidR="008E6E2B" w14:paraId="038A463B" w14:textId="77777777" w:rsidTr="00261A68">
        <w:trPr>
          <w:cantSplit/>
          <w:trHeight w:val="159"/>
        </w:trPr>
        <w:tc>
          <w:tcPr>
            <w:tcW w:w="752" w:type="pct"/>
          </w:tcPr>
          <w:p w14:paraId="038A4639" w14:textId="77777777" w:rsidR="008E6E2B" w:rsidRPr="00D869C0" w:rsidRDefault="008E6E2B" w:rsidP="001A5D4A">
            <w:pPr>
              <w:pStyle w:val="Note-Refs"/>
            </w:pPr>
          </w:p>
        </w:tc>
        <w:tc>
          <w:tcPr>
            <w:tcW w:w="4248" w:type="pct"/>
            <w:gridSpan w:val="8"/>
          </w:tcPr>
          <w:p w14:paraId="038A463A" w14:textId="77777777" w:rsidR="008E6E2B" w:rsidRDefault="008E6E2B" w:rsidP="001A5D4A">
            <w:pPr>
              <w:pStyle w:val="Note-TextHeader"/>
              <w:rPr>
                <w:b w:val="0"/>
              </w:rPr>
            </w:pPr>
            <w:r>
              <w:t>a) Fund specific disclosure</w:t>
            </w:r>
          </w:p>
        </w:tc>
      </w:tr>
      <w:tr w:rsidR="008E6E2B" w14:paraId="038A463E" w14:textId="77777777" w:rsidTr="00261A68">
        <w:trPr>
          <w:cantSplit/>
          <w:trHeight w:hRule="exact" w:val="85"/>
        </w:trPr>
        <w:tc>
          <w:tcPr>
            <w:tcW w:w="752" w:type="pct"/>
          </w:tcPr>
          <w:p w14:paraId="038A463C" w14:textId="77777777" w:rsidR="008E6E2B" w:rsidRPr="00D869C0" w:rsidRDefault="008E6E2B" w:rsidP="001A5D4A">
            <w:pPr>
              <w:pStyle w:val="Note-Refs"/>
            </w:pPr>
          </w:p>
        </w:tc>
        <w:tc>
          <w:tcPr>
            <w:tcW w:w="4248" w:type="pct"/>
            <w:gridSpan w:val="8"/>
          </w:tcPr>
          <w:p w14:paraId="038A463D" w14:textId="77777777" w:rsidR="008E6E2B" w:rsidRDefault="008E6E2B" w:rsidP="001A5D4A">
            <w:pPr>
              <w:pStyle w:val="NotesTable-ItemPlain"/>
            </w:pPr>
          </w:p>
        </w:tc>
      </w:tr>
      <w:tr w:rsidR="008E6E2B" w14:paraId="038A4641" w14:textId="77777777" w:rsidTr="00261A68">
        <w:trPr>
          <w:cantSplit/>
          <w:trHeight w:val="159"/>
        </w:trPr>
        <w:tc>
          <w:tcPr>
            <w:tcW w:w="752" w:type="pct"/>
          </w:tcPr>
          <w:p w14:paraId="038A463F" w14:textId="77777777" w:rsidR="008E6E2B" w:rsidRPr="00D869C0" w:rsidRDefault="008E6E2B" w:rsidP="001A5D4A">
            <w:pPr>
              <w:pStyle w:val="Note-Refs"/>
            </w:pPr>
          </w:p>
        </w:tc>
        <w:tc>
          <w:tcPr>
            <w:tcW w:w="4248" w:type="pct"/>
            <w:gridSpan w:val="8"/>
          </w:tcPr>
          <w:p w14:paraId="038A4640" w14:textId="77777777" w:rsidR="008E6E2B" w:rsidRDefault="008E6E2B" w:rsidP="001A5D4A">
            <w:pPr>
              <w:pStyle w:val="Note-TextHeader"/>
              <w:rPr>
                <w:b w:val="0"/>
              </w:rPr>
            </w:pPr>
            <w:r>
              <w:t>[Specify Defined Benefit Scheme]</w:t>
            </w:r>
          </w:p>
        </w:tc>
      </w:tr>
      <w:tr w:rsidR="008E6E2B" w14:paraId="038A4644" w14:textId="77777777" w:rsidTr="00261A68">
        <w:trPr>
          <w:cantSplit/>
          <w:trHeight w:hRule="exact" w:val="85"/>
        </w:trPr>
        <w:tc>
          <w:tcPr>
            <w:tcW w:w="752" w:type="pct"/>
          </w:tcPr>
          <w:p w14:paraId="038A4642" w14:textId="77777777" w:rsidR="008E6E2B" w:rsidRPr="00D869C0" w:rsidRDefault="008E6E2B" w:rsidP="001A5D4A">
            <w:pPr>
              <w:pStyle w:val="Note-Refs"/>
            </w:pPr>
          </w:p>
        </w:tc>
        <w:tc>
          <w:tcPr>
            <w:tcW w:w="4248" w:type="pct"/>
            <w:gridSpan w:val="8"/>
          </w:tcPr>
          <w:p w14:paraId="038A4643" w14:textId="77777777" w:rsidR="008E6E2B" w:rsidRDefault="008E6E2B" w:rsidP="001A5D4A">
            <w:pPr>
              <w:pStyle w:val="NotesTable-ItemPlain"/>
            </w:pPr>
          </w:p>
        </w:tc>
      </w:tr>
      <w:tr w:rsidR="008E6E2B" w14:paraId="038A4647" w14:textId="77777777" w:rsidTr="00261A68">
        <w:trPr>
          <w:cantSplit/>
          <w:trHeight w:val="159"/>
        </w:trPr>
        <w:tc>
          <w:tcPr>
            <w:tcW w:w="752" w:type="pct"/>
          </w:tcPr>
          <w:p w14:paraId="038A4645" w14:textId="77777777" w:rsidR="008E6E2B" w:rsidRPr="00D869C0" w:rsidRDefault="00A41053" w:rsidP="001A5D4A">
            <w:pPr>
              <w:pStyle w:val="Note-Refs"/>
            </w:pPr>
            <w:r>
              <w:t>AASB119.139</w:t>
            </w:r>
          </w:p>
        </w:tc>
        <w:tc>
          <w:tcPr>
            <w:tcW w:w="4248" w:type="pct"/>
            <w:gridSpan w:val="8"/>
          </w:tcPr>
          <w:p w14:paraId="038A4646" w14:textId="77777777" w:rsidR="008E6E2B" w:rsidRDefault="008E6E2B" w:rsidP="001A5D4A">
            <w:pPr>
              <w:pStyle w:val="NotesTable-ItemPlain"/>
              <w:rPr>
                <w:b/>
              </w:rPr>
            </w:pPr>
            <w:r>
              <w:t>[</w:t>
            </w:r>
            <w:r w:rsidR="00AD6BF4">
              <w:t xml:space="preserve">Provide </w:t>
            </w:r>
            <w:r w:rsidR="00A41053">
              <w:t>information about the characteristics of the defined benefit plans, including:</w:t>
            </w:r>
            <w:r w:rsidR="00A41053">
              <w:br/>
              <w:t>-nature of the benefits provided by the plan,</w:t>
            </w:r>
            <w:r w:rsidR="00A41053">
              <w:br/>
              <w:t>-</w:t>
            </w:r>
            <w:r w:rsidR="00DB0B49">
              <w:t xml:space="preserve"> </w:t>
            </w:r>
            <w:r w:rsidR="00A41053">
              <w:t xml:space="preserve">description of the regulatory framework in which the plan operates, </w:t>
            </w:r>
            <w:r w:rsidR="00A41053">
              <w:br/>
              <w:t>-</w:t>
            </w:r>
            <w:r w:rsidR="00DB0B49">
              <w:t xml:space="preserve"> </w:t>
            </w:r>
            <w:r w:rsidR="00A41053">
              <w:t>description of any other entity’s responsibilities for the governance of the plan</w:t>
            </w:r>
            <w:r w:rsidR="00A41053">
              <w:br/>
              <w:t>- description of the risks to which the plan exposes the entity; and</w:t>
            </w:r>
            <w:r w:rsidR="00A41053">
              <w:br/>
              <w:t>- description of any plan amendments , curtailments and settlements</w:t>
            </w:r>
            <w:r>
              <w:t>]</w:t>
            </w:r>
          </w:p>
        </w:tc>
      </w:tr>
      <w:tr w:rsidR="008E6E2B" w14:paraId="038A464A" w14:textId="77777777" w:rsidTr="00261A68">
        <w:trPr>
          <w:cantSplit/>
          <w:trHeight w:hRule="exact" w:val="85"/>
        </w:trPr>
        <w:tc>
          <w:tcPr>
            <w:tcW w:w="752" w:type="pct"/>
          </w:tcPr>
          <w:p w14:paraId="038A4648" w14:textId="77777777" w:rsidR="008E6E2B" w:rsidRPr="00D869C0" w:rsidRDefault="008E6E2B" w:rsidP="001A5D4A">
            <w:pPr>
              <w:pStyle w:val="Note-Refs"/>
            </w:pPr>
          </w:p>
        </w:tc>
        <w:tc>
          <w:tcPr>
            <w:tcW w:w="4248" w:type="pct"/>
            <w:gridSpan w:val="8"/>
          </w:tcPr>
          <w:p w14:paraId="038A4649" w14:textId="77777777" w:rsidR="008E6E2B" w:rsidRDefault="008E6E2B" w:rsidP="001A5D4A">
            <w:pPr>
              <w:pStyle w:val="NotesTable-ItemPlain"/>
            </w:pPr>
          </w:p>
        </w:tc>
      </w:tr>
      <w:tr w:rsidR="008E6E2B" w14:paraId="038A464D" w14:textId="77777777" w:rsidTr="00261A68">
        <w:trPr>
          <w:cantSplit/>
          <w:trHeight w:val="159"/>
        </w:trPr>
        <w:tc>
          <w:tcPr>
            <w:tcW w:w="752" w:type="pct"/>
          </w:tcPr>
          <w:p w14:paraId="038A464B" w14:textId="77777777" w:rsidR="008E6E2B" w:rsidRPr="003325C5" w:rsidRDefault="008E6E2B" w:rsidP="001A5D4A">
            <w:pPr>
              <w:pStyle w:val="Note-Refs"/>
            </w:pPr>
            <w:r w:rsidRPr="00D869C0">
              <w:t>AASB119.147b</w:t>
            </w:r>
          </w:p>
        </w:tc>
        <w:tc>
          <w:tcPr>
            <w:tcW w:w="4248" w:type="pct"/>
            <w:gridSpan w:val="8"/>
          </w:tcPr>
          <w:p w14:paraId="038A464C" w14:textId="352957F3" w:rsidR="008E6E2B" w:rsidRDefault="008E6E2B" w:rsidP="001A5D4A">
            <w:pPr>
              <w:pStyle w:val="NotesTable-ItemPlain"/>
              <w:rPr>
                <w:b/>
              </w:rPr>
            </w:pPr>
            <w:r>
              <w:t>The [HEP] expects to make a contribution of $x million (</w:t>
            </w:r>
            <w:r w:rsidR="006864EC">
              <w:t>2013</w:t>
            </w:r>
            <w:r>
              <w:t>: $x million) to the defined benefit plan during the next financial year.</w:t>
            </w:r>
          </w:p>
        </w:tc>
      </w:tr>
      <w:tr w:rsidR="00DB0B49" w14:paraId="038A4650" w14:textId="77777777" w:rsidTr="00261A68">
        <w:trPr>
          <w:cantSplit/>
          <w:trHeight w:hRule="exact" w:val="85"/>
        </w:trPr>
        <w:tc>
          <w:tcPr>
            <w:tcW w:w="752" w:type="pct"/>
          </w:tcPr>
          <w:p w14:paraId="038A464E" w14:textId="77777777" w:rsidR="00DB0B49" w:rsidRPr="00D869C0" w:rsidRDefault="00DB0B49" w:rsidP="001A5D4A">
            <w:pPr>
              <w:pStyle w:val="Note-Refs"/>
            </w:pPr>
          </w:p>
        </w:tc>
        <w:tc>
          <w:tcPr>
            <w:tcW w:w="4248" w:type="pct"/>
            <w:gridSpan w:val="8"/>
          </w:tcPr>
          <w:p w14:paraId="038A464F" w14:textId="77777777" w:rsidR="00DB0B49" w:rsidRDefault="00DB0B49" w:rsidP="001A5D4A">
            <w:pPr>
              <w:pStyle w:val="NotesTable-ItemPlain"/>
            </w:pPr>
          </w:p>
        </w:tc>
      </w:tr>
      <w:tr w:rsidR="00DB0B49" w14:paraId="038A4653" w14:textId="77777777" w:rsidTr="00261A68">
        <w:trPr>
          <w:cantSplit/>
          <w:trHeight w:val="159"/>
        </w:trPr>
        <w:tc>
          <w:tcPr>
            <w:tcW w:w="752" w:type="pct"/>
          </w:tcPr>
          <w:p w14:paraId="038A4651" w14:textId="77777777" w:rsidR="00DB0B49" w:rsidRPr="00D869C0" w:rsidRDefault="00DB0B49" w:rsidP="001A5D4A">
            <w:pPr>
              <w:pStyle w:val="Note-Refs"/>
            </w:pPr>
            <w:r>
              <w:t>AASB119.147c</w:t>
            </w:r>
          </w:p>
        </w:tc>
        <w:tc>
          <w:tcPr>
            <w:tcW w:w="4248" w:type="pct"/>
            <w:gridSpan w:val="8"/>
          </w:tcPr>
          <w:p w14:paraId="038A4652" w14:textId="01AB2024" w:rsidR="00DB0B49" w:rsidRDefault="00DB0B49" w:rsidP="001A5D4A">
            <w:pPr>
              <w:pStyle w:val="NotesTable-ItemPlain"/>
            </w:pPr>
            <w:r>
              <w:t>The weighted average duration of the defined benefit obligation is x years (</w:t>
            </w:r>
            <w:r w:rsidR="006864EC">
              <w:t>2013</w:t>
            </w:r>
            <w:r>
              <w:t xml:space="preserve"> x years)</w:t>
            </w:r>
            <w:r w:rsidR="003F1553">
              <w:t xml:space="preserve">. The expected maturity analysis of undiscounted benefit </w:t>
            </w:r>
            <w:r w:rsidR="0052667C">
              <w:t xml:space="preserve">payments </w:t>
            </w:r>
            <w:r w:rsidR="003F1553">
              <w:t>is as follows:</w:t>
            </w:r>
          </w:p>
        </w:tc>
      </w:tr>
      <w:tr w:rsidR="00F321E7" w14:paraId="038A4656" w14:textId="77777777" w:rsidTr="00261A68">
        <w:trPr>
          <w:cantSplit/>
          <w:trHeight w:hRule="exact" w:val="85"/>
        </w:trPr>
        <w:tc>
          <w:tcPr>
            <w:tcW w:w="752" w:type="pct"/>
          </w:tcPr>
          <w:p w14:paraId="038A4654" w14:textId="77777777" w:rsidR="00F321E7" w:rsidRPr="00D869C0" w:rsidRDefault="00F321E7" w:rsidP="001A5D4A">
            <w:pPr>
              <w:pStyle w:val="Note-Refs"/>
            </w:pPr>
          </w:p>
        </w:tc>
        <w:tc>
          <w:tcPr>
            <w:tcW w:w="4248" w:type="pct"/>
            <w:gridSpan w:val="8"/>
          </w:tcPr>
          <w:p w14:paraId="038A4655" w14:textId="77777777" w:rsidR="00F321E7" w:rsidRDefault="00F321E7" w:rsidP="001A5D4A">
            <w:pPr>
              <w:pStyle w:val="Note-TextHeader"/>
            </w:pPr>
          </w:p>
        </w:tc>
      </w:tr>
      <w:tr w:rsidR="003F1553" w14:paraId="038A465E" w14:textId="77777777" w:rsidTr="00261A68">
        <w:trPr>
          <w:cantSplit/>
          <w:trHeight w:val="159"/>
        </w:trPr>
        <w:tc>
          <w:tcPr>
            <w:tcW w:w="752" w:type="pct"/>
          </w:tcPr>
          <w:p w14:paraId="038A4657" w14:textId="77777777" w:rsidR="003F1553" w:rsidRPr="00D869C0" w:rsidRDefault="003F1553" w:rsidP="001A5D4A">
            <w:pPr>
              <w:pStyle w:val="Note-Refs"/>
            </w:pPr>
          </w:p>
        </w:tc>
        <w:tc>
          <w:tcPr>
            <w:tcW w:w="1632" w:type="pct"/>
            <w:gridSpan w:val="2"/>
          </w:tcPr>
          <w:p w14:paraId="038A4658" w14:textId="77777777" w:rsidR="003F1553" w:rsidRDefault="003F1553" w:rsidP="001A5D4A">
            <w:pPr>
              <w:pStyle w:val="Note-TextHeader"/>
            </w:pPr>
          </w:p>
        </w:tc>
        <w:tc>
          <w:tcPr>
            <w:tcW w:w="451" w:type="pct"/>
            <w:gridSpan w:val="2"/>
          </w:tcPr>
          <w:p w14:paraId="038A4659" w14:textId="77777777" w:rsidR="003F1553" w:rsidRDefault="003F1553" w:rsidP="001A5D4A">
            <w:pPr>
              <w:pStyle w:val="NotesTable-HeadBold"/>
            </w:pPr>
            <w:r>
              <w:t>Less than 1 year</w:t>
            </w:r>
            <w:r>
              <w:br/>
              <w:t>$’000</w:t>
            </w:r>
          </w:p>
        </w:tc>
        <w:tc>
          <w:tcPr>
            <w:tcW w:w="470" w:type="pct"/>
          </w:tcPr>
          <w:p w14:paraId="038A465A" w14:textId="77777777" w:rsidR="003F1553" w:rsidRDefault="003F1553" w:rsidP="001A5D4A">
            <w:pPr>
              <w:pStyle w:val="NotesTable-HeadBold"/>
            </w:pPr>
            <w:r>
              <w:t>Between 1 and 2 years</w:t>
            </w:r>
            <w:r>
              <w:br/>
              <w:t>$’000</w:t>
            </w:r>
          </w:p>
        </w:tc>
        <w:tc>
          <w:tcPr>
            <w:tcW w:w="471" w:type="pct"/>
          </w:tcPr>
          <w:p w14:paraId="038A465B" w14:textId="77777777" w:rsidR="003F1553" w:rsidRDefault="003F1553" w:rsidP="001A5D4A">
            <w:pPr>
              <w:pStyle w:val="NotesTable-HeadBold"/>
            </w:pPr>
            <w:r>
              <w:t>Between 2 and 5 years</w:t>
            </w:r>
            <w:r>
              <w:br/>
              <w:t>$’000</w:t>
            </w:r>
          </w:p>
        </w:tc>
        <w:tc>
          <w:tcPr>
            <w:tcW w:w="470" w:type="pct"/>
          </w:tcPr>
          <w:p w14:paraId="038A465C" w14:textId="77777777" w:rsidR="003F1553" w:rsidRDefault="003F1553" w:rsidP="001A5D4A">
            <w:pPr>
              <w:pStyle w:val="NotesTable-HeadBold"/>
            </w:pPr>
            <w:r>
              <w:t>Over 5 years</w:t>
            </w:r>
            <w:r>
              <w:br/>
              <w:t>$’000</w:t>
            </w:r>
          </w:p>
        </w:tc>
        <w:tc>
          <w:tcPr>
            <w:tcW w:w="753" w:type="pct"/>
          </w:tcPr>
          <w:p w14:paraId="038A465D" w14:textId="77777777" w:rsidR="003F1553" w:rsidRDefault="003F1553" w:rsidP="001A5D4A">
            <w:pPr>
              <w:pStyle w:val="NotesTable-HeadBold"/>
            </w:pPr>
            <w:r>
              <w:t>Total</w:t>
            </w:r>
            <w:r>
              <w:br/>
              <w:t>$’000</w:t>
            </w:r>
          </w:p>
        </w:tc>
      </w:tr>
      <w:tr w:rsidR="003F1553" w14:paraId="038A4666" w14:textId="77777777" w:rsidTr="00261A68">
        <w:trPr>
          <w:cantSplit/>
          <w:trHeight w:val="159"/>
        </w:trPr>
        <w:tc>
          <w:tcPr>
            <w:tcW w:w="752" w:type="pct"/>
          </w:tcPr>
          <w:p w14:paraId="038A465F" w14:textId="77777777" w:rsidR="003F1553" w:rsidRPr="00D869C0" w:rsidRDefault="003F1553" w:rsidP="001A5D4A">
            <w:pPr>
              <w:pStyle w:val="Note-Refs"/>
            </w:pPr>
          </w:p>
        </w:tc>
        <w:tc>
          <w:tcPr>
            <w:tcW w:w="1632" w:type="pct"/>
            <w:gridSpan w:val="2"/>
          </w:tcPr>
          <w:p w14:paraId="038A4660" w14:textId="7577CDD2" w:rsidR="003F1553" w:rsidRDefault="003F1553" w:rsidP="001A5D4A">
            <w:pPr>
              <w:pStyle w:val="NotesTable-ItemPlain"/>
            </w:pPr>
            <w:r>
              <w:t xml:space="preserve">Defined benefit obligation - 31 Dec </w:t>
            </w:r>
            <w:r w:rsidR="006864EC">
              <w:t>2014</w:t>
            </w:r>
          </w:p>
        </w:tc>
        <w:tc>
          <w:tcPr>
            <w:tcW w:w="451" w:type="pct"/>
            <w:gridSpan w:val="2"/>
          </w:tcPr>
          <w:p w14:paraId="038A4661" w14:textId="77777777" w:rsidR="003F1553" w:rsidRDefault="003F1553" w:rsidP="001A5D4A">
            <w:pPr>
              <w:pStyle w:val="NotesTable-HeadPlain"/>
            </w:pPr>
            <w:r>
              <w:t>-</w:t>
            </w:r>
          </w:p>
        </w:tc>
        <w:tc>
          <w:tcPr>
            <w:tcW w:w="470" w:type="pct"/>
          </w:tcPr>
          <w:p w14:paraId="038A4662" w14:textId="77777777" w:rsidR="003F1553" w:rsidRDefault="003F1553" w:rsidP="001A5D4A">
            <w:pPr>
              <w:pStyle w:val="NotesTable-HeadPlain"/>
            </w:pPr>
            <w:r>
              <w:t>-</w:t>
            </w:r>
          </w:p>
        </w:tc>
        <w:tc>
          <w:tcPr>
            <w:tcW w:w="471" w:type="pct"/>
          </w:tcPr>
          <w:p w14:paraId="038A4663" w14:textId="77777777" w:rsidR="003F1553" w:rsidRDefault="003F1553" w:rsidP="001A5D4A">
            <w:pPr>
              <w:pStyle w:val="NotesTable-HeadPlain"/>
            </w:pPr>
            <w:r>
              <w:t>-</w:t>
            </w:r>
          </w:p>
        </w:tc>
        <w:tc>
          <w:tcPr>
            <w:tcW w:w="470" w:type="pct"/>
          </w:tcPr>
          <w:p w14:paraId="038A4664" w14:textId="77777777" w:rsidR="003F1553" w:rsidRDefault="003F1553" w:rsidP="001A5D4A">
            <w:pPr>
              <w:pStyle w:val="NotesTable-HeadPlain"/>
            </w:pPr>
            <w:r>
              <w:t>-</w:t>
            </w:r>
          </w:p>
        </w:tc>
        <w:tc>
          <w:tcPr>
            <w:tcW w:w="753" w:type="pct"/>
          </w:tcPr>
          <w:p w14:paraId="038A4665" w14:textId="77777777" w:rsidR="003F1553" w:rsidRDefault="003F1553" w:rsidP="001A5D4A">
            <w:pPr>
              <w:pStyle w:val="NotesTable-HeadPlain"/>
            </w:pPr>
            <w:r>
              <w:t>-</w:t>
            </w:r>
          </w:p>
        </w:tc>
      </w:tr>
      <w:tr w:rsidR="003F1553" w14:paraId="038A466E" w14:textId="77777777" w:rsidTr="00261A68">
        <w:trPr>
          <w:cantSplit/>
          <w:trHeight w:val="159"/>
        </w:trPr>
        <w:tc>
          <w:tcPr>
            <w:tcW w:w="752" w:type="pct"/>
          </w:tcPr>
          <w:p w14:paraId="038A4667" w14:textId="77777777" w:rsidR="003F1553" w:rsidRPr="00D869C0" w:rsidRDefault="003F1553" w:rsidP="001A5D4A">
            <w:pPr>
              <w:pStyle w:val="Note-Refs"/>
            </w:pPr>
          </w:p>
        </w:tc>
        <w:tc>
          <w:tcPr>
            <w:tcW w:w="1632" w:type="pct"/>
            <w:gridSpan w:val="2"/>
          </w:tcPr>
          <w:p w14:paraId="038A4668" w14:textId="101FE9A1" w:rsidR="003F1553" w:rsidRDefault="003F1553" w:rsidP="001A5D4A">
            <w:pPr>
              <w:pStyle w:val="NotesTable-ItemPlain"/>
            </w:pPr>
            <w:r>
              <w:t xml:space="preserve">Defined benefit obligation - 31 Dec </w:t>
            </w:r>
            <w:r w:rsidR="006864EC">
              <w:t>2013</w:t>
            </w:r>
          </w:p>
        </w:tc>
        <w:tc>
          <w:tcPr>
            <w:tcW w:w="451" w:type="pct"/>
            <w:gridSpan w:val="2"/>
          </w:tcPr>
          <w:p w14:paraId="038A4669" w14:textId="77777777" w:rsidR="003F1553" w:rsidRDefault="003F1553" w:rsidP="001A5D4A">
            <w:pPr>
              <w:pStyle w:val="NotesTable-HeadPlain"/>
            </w:pPr>
            <w:r>
              <w:t>-</w:t>
            </w:r>
          </w:p>
        </w:tc>
        <w:tc>
          <w:tcPr>
            <w:tcW w:w="470" w:type="pct"/>
          </w:tcPr>
          <w:p w14:paraId="038A466A" w14:textId="77777777" w:rsidR="003F1553" w:rsidRDefault="003F1553" w:rsidP="001A5D4A">
            <w:pPr>
              <w:pStyle w:val="NotesTable-HeadPlain"/>
            </w:pPr>
            <w:r>
              <w:t>-</w:t>
            </w:r>
          </w:p>
        </w:tc>
        <w:tc>
          <w:tcPr>
            <w:tcW w:w="471" w:type="pct"/>
          </w:tcPr>
          <w:p w14:paraId="038A466B" w14:textId="77777777" w:rsidR="003F1553" w:rsidRDefault="003F1553" w:rsidP="001A5D4A">
            <w:pPr>
              <w:pStyle w:val="NotesTable-HeadPlain"/>
            </w:pPr>
            <w:r>
              <w:t>-</w:t>
            </w:r>
          </w:p>
        </w:tc>
        <w:tc>
          <w:tcPr>
            <w:tcW w:w="470" w:type="pct"/>
          </w:tcPr>
          <w:p w14:paraId="038A466C" w14:textId="77777777" w:rsidR="003F1553" w:rsidRDefault="003F1553" w:rsidP="001A5D4A">
            <w:pPr>
              <w:pStyle w:val="NotesTable-HeadPlain"/>
            </w:pPr>
            <w:r>
              <w:t>-</w:t>
            </w:r>
          </w:p>
        </w:tc>
        <w:tc>
          <w:tcPr>
            <w:tcW w:w="753" w:type="pct"/>
          </w:tcPr>
          <w:p w14:paraId="038A466D" w14:textId="77777777" w:rsidR="003F1553" w:rsidRDefault="003F1553" w:rsidP="001A5D4A">
            <w:pPr>
              <w:pStyle w:val="NotesTable-HeadPlain"/>
            </w:pPr>
            <w:r>
              <w:t>-</w:t>
            </w:r>
          </w:p>
        </w:tc>
      </w:tr>
      <w:tr w:rsidR="003F1553" w14:paraId="038A4671" w14:textId="77777777" w:rsidTr="00261A68">
        <w:trPr>
          <w:cantSplit/>
          <w:trHeight w:hRule="exact" w:val="85"/>
        </w:trPr>
        <w:tc>
          <w:tcPr>
            <w:tcW w:w="752" w:type="pct"/>
          </w:tcPr>
          <w:p w14:paraId="038A466F" w14:textId="77777777" w:rsidR="003F1553" w:rsidRPr="00D869C0" w:rsidRDefault="003F1553" w:rsidP="001A5D4A">
            <w:pPr>
              <w:pStyle w:val="Note-Refs"/>
            </w:pPr>
          </w:p>
        </w:tc>
        <w:tc>
          <w:tcPr>
            <w:tcW w:w="4248" w:type="pct"/>
            <w:gridSpan w:val="8"/>
          </w:tcPr>
          <w:p w14:paraId="038A4670" w14:textId="77777777" w:rsidR="003F1553" w:rsidRDefault="003F1553" w:rsidP="001A5D4A">
            <w:pPr>
              <w:pStyle w:val="Note-TextHeader"/>
            </w:pPr>
          </w:p>
        </w:tc>
      </w:tr>
      <w:tr w:rsidR="008E6E2B" w14:paraId="038A4674" w14:textId="77777777" w:rsidTr="00261A68">
        <w:trPr>
          <w:cantSplit/>
          <w:trHeight w:val="159"/>
        </w:trPr>
        <w:tc>
          <w:tcPr>
            <w:tcW w:w="752" w:type="pct"/>
          </w:tcPr>
          <w:p w14:paraId="038A4672" w14:textId="77777777" w:rsidR="008E6E2B" w:rsidRPr="00D869C0" w:rsidRDefault="008E6E2B" w:rsidP="001A5D4A">
            <w:pPr>
              <w:pStyle w:val="Note-Refs"/>
            </w:pPr>
          </w:p>
        </w:tc>
        <w:tc>
          <w:tcPr>
            <w:tcW w:w="4248" w:type="pct"/>
            <w:gridSpan w:val="8"/>
          </w:tcPr>
          <w:p w14:paraId="038A4673" w14:textId="77777777" w:rsidR="008E6E2B" w:rsidRDefault="00F321E7" w:rsidP="001A5D4A">
            <w:pPr>
              <w:pStyle w:val="Note-TextHeader"/>
            </w:pPr>
            <w:r>
              <w:t>b) Categories of plan assets</w:t>
            </w:r>
          </w:p>
        </w:tc>
      </w:tr>
      <w:tr w:rsidR="008E6E2B" w14:paraId="038A4677" w14:textId="77777777" w:rsidTr="00261A68">
        <w:trPr>
          <w:cantSplit/>
          <w:trHeight w:val="159"/>
        </w:trPr>
        <w:tc>
          <w:tcPr>
            <w:tcW w:w="752" w:type="pct"/>
            <w:vAlign w:val="bottom"/>
          </w:tcPr>
          <w:p w14:paraId="038A4675" w14:textId="77777777" w:rsidR="008E6E2B" w:rsidRPr="00220983" w:rsidRDefault="008E6E2B" w:rsidP="001A5D4A">
            <w:pPr>
              <w:pStyle w:val="Note-Refs"/>
            </w:pPr>
            <w:r w:rsidRPr="00D869C0">
              <w:t>AASB119.142</w:t>
            </w:r>
          </w:p>
        </w:tc>
        <w:tc>
          <w:tcPr>
            <w:tcW w:w="4248" w:type="pct"/>
            <w:gridSpan w:val="8"/>
          </w:tcPr>
          <w:p w14:paraId="038A4676" w14:textId="1CFCC0A6" w:rsidR="008E6E2B" w:rsidRDefault="008E6E2B" w:rsidP="001A5D4A">
            <w:pPr>
              <w:pStyle w:val="NotesTable-ItemPlain"/>
              <w:rPr>
                <w:b/>
              </w:rPr>
            </w:pPr>
            <w:r>
              <w:t xml:space="preserve">The analysis of the plan assets at the </w:t>
            </w:r>
            <w:r w:rsidR="007A534E">
              <w:t>end of the reporting period</w:t>
            </w:r>
            <w:r>
              <w:t xml:space="preserve"> is as follows:</w:t>
            </w:r>
          </w:p>
        </w:tc>
      </w:tr>
      <w:tr w:rsidR="003F1553" w14:paraId="038A467A" w14:textId="77777777" w:rsidTr="00261A68">
        <w:trPr>
          <w:cantSplit/>
          <w:trHeight w:hRule="exact" w:val="85"/>
        </w:trPr>
        <w:tc>
          <w:tcPr>
            <w:tcW w:w="752" w:type="pct"/>
            <w:vAlign w:val="bottom"/>
          </w:tcPr>
          <w:p w14:paraId="038A4678" w14:textId="77777777" w:rsidR="003F1553" w:rsidRPr="00D869C0" w:rsidRDefault="003F1553" w:rsidP="001A5D4A">
            <w:pPr>
              <w:pStyle w:val="Note-Refs"/>
            </w:pPr>
          </w:p>
        </w:tc>
        <w:tc>
          <w:tcPr>
            <w:tcW w:w="4248" w:type="pct"/>
            <w:gridSpan w:val="8"/>
          </w:tcPr>
          <w:p w14:paraId="038A4679" w14:textId="77777777" w:rsidR="003F1553" w:rsidRDefault="003F1553" w:rsidP="001A5D4A">
            <w:pPr>
              <w:pStyle w:val="NotesTable-ItemPlain"/>
            </w:pPr>
          </w:p>
        </w:tc>
      </w:tr>
      <w:tr w:rsidR="00610468" w14:paraId="038A467F" w14:textId="77777777" w:rsidTr="00261A68">
        <w:trPr>
          <w:cantSplit/>
          <w:trHeight w:val="159"/>
        </w:trPr>
        <w:tc>
          <w:tcPr>
            <w:tcW w:w="752" w:type="pct"/>
          </w:tcPr>
          <w:p w14:paraId="038A467B" w14:textId="77777777" w:rsidR="00610468" w:rsidRPr="00D869C0" w:rsidRDefault="00610468" w:rsidP="001A5D4A">
            <w:pPr>
              <w:pStyle w:val="Note-Refs"/>
            </w:pPr>
          </w:p>
        </w:tc>
        <w:tc>
          <w:tcPr>
            <w:tcW w:w="2083" w:type="pct"/>
            <w:gridSpan w:val="4"/>
          </w:tcPr>
          <w:p w14:paraId="038A467C" w14:textId="77777777" w:rsidR="00610468" w:rsidRPr="00610468" w:rsidRDefault="00610468" w:rsidP="001A5D4A">
            <w:pPr>
              <w:pStyle w:val="NotesTable-ItemPlain"/>
            </w:pPr>
          </w:p>
        </w:tc>
        <w:tc>
          <w:tcPr>
            <w:tcW w:w="1411" w:type="pct"/>
            <w:gridSpan w:val="3"/>
          </w:tcPr>
          <w:p w14:paraId="038A467D" w14:textId="33526E07" w:rsidR="00610468" w:rsidRDefault="006864EC" w:rsidP="001A5D4A">
            <w:pPr>
              <w:pStyle w:val="NotesTable-HeadBold"/>
            </w:pPr>
            <w:r>
              <w:t>2014</w:t>
            </w:r>
            <w:r w:rsidR="00610468">
              <w:t xml:space="preserve"> (%)</w:t>
            </w:r>
          </w:p>
        </w:tc>
        <w:tc>
          <w:tcPr>
            <w:tcW w:w="753" w:type="pct"/>
          </w:tcPr>
          <w:p w14:paraId="038A467E" w14:textId="7C53C048" w:rsidR="00610468" w:rsidRDefault="006864EC" w:rsidP="001A5D4A">
            <w:pPr>
              <w:pStyle w:val="NotesTable-HeadPlain"/>
            </w:pPr>
            <w:r>
              <w:t>2013</w:t>
            </w:r>
            <w:r w:rsidR="00610468">
              <w:t xml:space="preserve"> (%)</w:t>
            </w:r>
          </w:p>
        </w:tc>
      </w:tr>
      <w:tr w:rsidR="00610468" w14:paraId="038A4686" w14:textId="77777777" w:rsidTr="00261A68">
        <w:trPr>
          <w:cantSplit/>
          <w:trHeight w:val="159"/>
        </w:trPr>
        <w:tc>
          <w:tcPr>
            <w:tcW w:w="752" w:type="pct"/>
          </w:tcPr>
          <w:p w14:paraId="038A4680" w14:textId="77777777" w:rsidR="00610468" w:rsidRPr="00D869C0" w:rsidRDefault="00610468" w:rsidP="001A5D4A">
            <w:pPr>
              <w:pStyle w:val="Note-Refs"/>
            </w:pPr>
          </w:p>
        </w:tc>
        <w:tc>
          <w:tcPr>
            <w:tcW w:w="2083" w:type="pct"/>
            <w:gridSpan w:val="4"/>
            <w:vAlign w:val="bottom"/>
          </w:tcPr>
          <w:p w14:paraId="038A4681" w14:textId="77777777" w:rsidR="00610468" w:rsidRDefault="00610468" w:rsidP="001A5D4A">
            <w:pPr>
              <w:pStyle w:val="NotesTable-ItemPlain"/>
            </w:pPr>
          </w:p>
        </w:tc>
        <w:tc>
          <w:tcPr>
            <w:tcW w:w="470" w:type="pct"/>
          </w:tcPr>
          <w:p w14:paraId="038A4682" w14:textId="77777777" w:rsidR="00610468" w:rsidRPr="00901035" w:rsidRDefault="00610468" w:rsidP="001A5D4A">
            <w:pPr>
              <w:pStyle w:val="NotesTable-CellPlain"/>
            </w:pPr>
            <w:r w:rsidRPr="00610468">
              <w:t>Active Market</w:t>
            </w:r>
          </w:p>
        </w:tc>
        <w:tc>
          <w:tcPr>
            <w:tcW w:w="471" w:type="pct"/>
          </w:tcPr>
          <w:p w14:paraId="038A4683" w14:textId="77777777" w:rsidR="00610468" w:rsidRPr="00901035" w:rsidRDefault="00610468" w:rsidP="001A5D4A">
            <w:pPr>
              <w:pStyle w:val="NotesTable-CellPlain"/>
            </w:pPr>
            <w:r>
              <w:t>No Active Market</w:t>
            </w:r>
          </w:p>
        </w:tc>
        <w:tc>
          <w:tcPr>
            <w:tcW w:w="470" w:type="pct"/>
          </w:tcPr>
          <w:p w14:paraId="038A4684" w14:textId="77777777" w:rsidR="00610468" w:rsidRPr="00901035" w:rsidRDefault="00610468" w:rsidP="001A5D4A">
            <w:pPr>
              <w:pStyle w:val="NotesTable-CellPlain"/>
            </w:pPr>
            <w:r w:rsidRPr="00610468">
              <w:t>Active Market</w:t>
            </w:r>
          </w:p>
        </w:tc>
        <w:tc>
          <w:tcPr>
            <w:tcW w:w="753" w:type="pct"/>
          </w:tcPr>
          <w:p w14:paraId="038A4685" w14:textId="77777777" w:rsidR="00610468" w:rsidRPr="00901035" w:rsidRDefault="00610468" w:rsidP="001A5D4A">
            <w:pPr>
              <w:pStyle w:val="NotesTable-CellPlain"/>
            </w:pPr>
            <w:r>
              <w:t>No Active Market</w:t>
            </w:r>
          </w:p>
        </w:tc>
      </w:tr>
      <w:tr w:rsidR="00610468" w14:paraId="038A468D" w14:textId="77777777" w:rsidTr="00261A68">
        <w:trPr>
          <w:cantSplit/>
          <w:trHeight w:val="159"/>
        </w:trPr>
        <w:tc>
          <w:tcPr>
            <w:tcW w:w="752" w:type="pct"/>
            <w:vAlign w:val="bottom"/>
          </w:tcPr>
          <w:p w14:paraId="038A4687" w14:textId="77777777" w:rsidR="00610468" w:rsidRPr="00D869C0" w:rsidRDefault="00610468" w:rsidP="001A5D4A">
            <w:pPr>
              <w:pStyle w:val="Note-Refs"/>
            </w:pPr>
            <w:r w:rsidRPr="00D869C0">
              <w:t>AASB119.142a</w:t>
            </w:r>
          </w:p>
        </w:tc>
        <w:tc>
          <w:tcPr>
            <w:tcW w:w="2083" w:type="pct"/>
            <w:gridSpan w:val="4"/>
            <w:vAlign w:val="bottom"/>
          </w:tcPr>
          <w:p w14:paraId="038A4688" w14:textId="77777777" w:rsidR="00610468" w:rsidRDefault="00610468" w:rsidP="001A5D4A">
            <w:pPr>
              <w:pStyle w:val="NotesTable-ItemPlain"/>
            </w:pPr>
            <w:r>
              <w:t>Cash and Cash Equivalents</w:t>
            </w:r>
          </w:p>
        </w:tc>
        <w:tc>
          <w:tcPr>
            <w:tcW w:w="470" w:type="pct"/>
          </w:tcPr>
          <w:p w14:paraId="038A4689" w14:textId="77777777" w:rsidR="00610468" w:rsidRPr="00901035" w:rsidRDefault="00610468" w:rsidP="001A5D4A">
            <w:pPr>
              <w:pStyle w:val="NotesTable-CellBold"/>
            </w:pPr>
            <w:r w:rsidRPr="00901035">
              <w:t>–</w:t>
            </w:r>
          </w:p>
        </w:tc>
        <w:tc>
          <w:tcPr>
            <w:tcW w:w="471" w:type="pct"/>
          </w:tcPr>
          <w:p w14:paraId="038A468A" w14:textId="7F491C06" w:rsidR="00610468" w:rsidRPr="00901035" w:rsidRDefault="00611152" w:rsidP="001A5D4A">
            <w:pPr>
              <w:pStyle w:val="NotesTable-CellPlain"/>
            </w:pPr>
            <w:r>
              <w:t>--</w:t>
            </w:r>
          </w:p>
        </w:tc>
        <w:tc>
          <w:tcPr>
            <w:tcW w:w="470" w:type="pct"/>
          </w:tcPr>
          <w:p w14:paraId="038A468B" w14:textId="77777777" w:rsidR="00610468" w:rsidRDefault="00610468" w:rsidP="001A5D4A">
            <w:pPr>
              <w:pStyle w:val="NotesTable-CellBold"/>
            </w:pPr>
            <w:r w:rsidRPr="00901035">
              <w:t>–</w:t>
            </w:r>
          </w:p>
        </w:tc>
        <w:tc>
          <w:tcPr>
            <w:tcW w:w="753" w:type="pct"/>
          </w:tcPr>
          <w:p w14:paraId="038A468C" w14:textId="32C50319" w:rsidR="00610468" w:rsidRPr="00467640" w:rsidRDefault="00611152" w:rsidP="001A5D4A">
            <w:pPr>
              <w:pStyle w:val="NotesTable-CellPlain"/>
            </w:pPr>
            <w:r>
              <w:t>--</w:t>
            </w:r>
          </w:p>
        </w:tc>
      </w:tr>
      <w:tr w:rsidR="00610468" w14:paraId="038A4694" w14:textId="77777777" w:rsidTr="00261A68">
        <w:trPr>
          <w:cantSplit/>
          <w:trHeight w:val="159"/>
        </w:trPr>
        <w:tc>
          <w:tcPr>
            <w:tcW w:w="752" w:type="pct"/>
            <w:vAlign w:val="bottom"/>
          </w:tcPr>
          <w:p w14:paraId="038A468E" w14:textId="77777777" w:rsidR="00610468" w:rsidRPr="00D869C0" w:rsidRDefault="00610468" w:rsidP="001A5D4A">
            <w:pPr>
              <w:pStyle w:val="Note-Refs"/>
            </w:pPr>
            <w:r w:rsidRPr="00D869C0">
              <w:t>AASB119.142b</w:t>
            </w:r>
          </w:p>
        </w:tc>
        <w:tc>
          <w:tcPr>
            <w:tcW w:w="2083" w:type="pct"/>
            <w:gridSpan w:val="4"/>
            <w:vAlign w:val="bottom"/>
          </w:tcPr>
          <w:p w14:paraId="038A468F" w14:textId="77777777" w:rsidR="00610468" w:rsidRDefault="00610468" w:rsidP="001A5D4A">
            <w:pPr>
              <w:pStyle w:val="NotesTable-ItemPlain"/>
              <w:rPr>
                <w:b/>
              </w:rPr>
            </w:pPr>
            <w:r>
              <w:t>Equity instruments</w:t>
            </w:r>
          </w:p>
        </w:tc>
        <w:tc>
          <w:tcPr>
            <w:tcW w:w="470" w:type="pct"/>
          </w:tcPr>
          <w:p w14:paraId="038A4690" w14:textId="77777777" w:rsidR="00610468" w:rsidRDefault="00610468" w:rsidP="001A5D4A">
            <w:pPr>
              <w:pStyle w:val="NotesTable-CellBold"/>
              <w:rPr>
                <w:b w:val="0"/>
              </w:rPr>
            </w:pPr>
            <w:r w:rsidRPr="00901035">
              <w:t>–</w:t>
            </w:r>
          </w:p>
        </w:tc>
        <w:tc>
          <w:tcPr>
            <w:tcW w:w="471" w:type="pct"/>
          </w:tcPr>
          <w:p w14:paraId="038A4691" w14:textId="77777777" w:rsidR="00610468" w:rsidRPr="00467640" w:rsidRDefault="00610468" w:rsidP="001A5D4A">
            <w:pPr>
              <w:pStyle w:val="NotesTable-CellPlain"/>
              <w:rPr>
                <w:b/>
              </w:rPr>
            </w:pPr>
            <w:r w:rsidRPr="00901035">
              <w:t>–</w:t>
            </w:r>
          </w:p>
        </w:tc>
        <w:tc>
          <w:tcPr>
            <w:tcW w:w="470" w:type="pct"/>
          </w:tcPr>
          <w:p w14:paraId="038A4692" w14:textId="77777777" w:rsidR="00610468" w:rsidRDefault="00610468" w:rsidP="001A5D4A">
            <w:pPr>
              <w:pStyle w:val="NotesTable-CellBold"/>
            </w:pPr>
            <w:r w:rsidRPr="00901035">
              <w:t>–</w:t>
            </w:r>
          </w:p>
        </w:tc>
        <w:tc>
          <w:tcPr>
            <w:tcW w:w="753" w:type="pct"/>
          </w:tcPr>
          <w:p w14:paraId="038A4693" w14:textId="77777777" w:rsidR="00610468" w:rsidRPr="00467640" w:rsidRDefault="00610468" w:rsidP="001A5D4A">
            <w:pPr>
              <w:pStyle w:val="NotesTable-CellPlain"/>
            </w:pPr>
            <w:r w:rsidRPr="00901035">
              <w:t>–</w:t>
            </w:r>
          </w:p>
        </w:tc>
      </w:tr>
      <w:tr w:rsidR="00610468" w14:paraId="038A469B" w14:textId="77777777" w:rsidTr="00261A68">
        <w:trPr>
          <w:cantSplit/>
          <w:trHeight w:val="159"/>
        </w:trPr>
        <w:tc>
          <w:tcPr>
            <w:tcW w:w="752" w:type="pct"/>
            <w:vAlign w:val="bottom"/>
          </w:tcPr>
          <w:p w14:paraId="038A4695" w14:textId="77777777" w:rsidR="00610468" w:rsidRPr="00D869C0" w:rsidRDefault="00610468" w:rsidP="001A5D4A">
            <w:pPr>
              <w:pStyle w:val="Note-Refs"/>
            </w:pPr>
            <w:r w:rsidRPr="00D869C0">
              <w:t>AASB119.142c</w:t>
            </w:r>
          </w:p>
        </w:tc>
        <w:tc>
          <w:tcPr>
            <w:tcW w:w="2083" w:type="pct"/>
            <w:gridSpan w:val="4"/>
            <w:vAlign w:val="bottom"/>
          </w:tcPr>
          <w:p w14:paraId="038A4696" w14:textId="77777777" w:rsidR="00610468" w:rsidRDefault="00610468" w:rsidP="001A5D4A">
            <w:pPr>
              <w:pStyle w:val="NotesTable-ItemPlain"/>
              <w:rPr>
                <w:b/>
              </w:rPr>
            </w:pPr>
            <w:r>
              <w:t>Debt instruments</w:t>
            </w:r>
          </w:p>
        </w:tc>
        <w:tc>
          <w:tcPr>
            <w:tcW w:w="470" w:type="pct"/>
          </w:tcPr>
          <w:p w14:paraId="038A4697" w14:textId="77777777" w:rsidR="00610468" w:rsidRDefault="00610468" w:rsidP="001A5D4A">
            <w:pPr>
              <w:pStyle w:val="NotesTable-CellBold"/>
              <w:rPr>
                <w:b w:val="0"/>
              </w:rPr>
            </w:pPr>
            <w:r w:rsidRPr="00901035">
              <w:t>–</w:t>
            </w:r>
          </w:p>
        </w:tc>
        <w:tc>
          <w:tcPr>
            <w:tcW w:w="471" w:type="pct"/>
          </w:tcPr>
          <w:p w14:paraId="038A4698" w14:textId="77777777" w:rsidR="00610468" w:rsidRPr="00467640" w:rsidRDefault="00610468" w:rsidP="001A5D4A">
            <w:pPr>
              <w:pStyle w:val="NotesTable-CellPlain"/>
              <w:rPr>
                <w:b/>
              </w:rPr>
            </w:pPr>
            <w:r w:rsidRPr="00901035">
              <w:t>–</w:t>
            </w:r>
          </w:p>
        </w:tc>
        <w:tc>
          <w:tcPr>
            <w:tcW w:w="470" w:type="pct"/>
          </w:tcPr>
          <w:p w14:paraId="038A4699" w14:textId="77777777" w:rsidR="00610468" w:rsidRDefault="00610468" w:rsidP="001A5D4A">
            <w:pPr>
              <w:pStyle w:val="NotesTable-CellBold"/>
            </w:pPr>
            <w:r w:rsidRPr="00901035">
              <w:t>–</w:t>
            </w:r>
          </w:p>
        </w:tc>
        <w:tc>
          <w:tcPr>
            <w:tcW w:w="753" w:type="pct"/>
          </w:tcPr>
          <w:p w14:paraId="038A469A" w14:textId="77777777" w:rsidR="00610468" w:rsidRPr="00467640" w:rsidRDefault="00610468" w:rsidP="001A5D4A">
            <w:pPr>
              <w:pStyle w:val="NotesTable-CellPlain"/>
            </w:pPr>
            <w:r w:rsidRPr="00901035">
              <w:t>–</w:t>
            </w:r>
          </w:p>
        </w:tc>
      </w:tr>
      <w:tr w:rsidR="00610468" w14:paraId="038A46A2" w14:textId="77777777" w:rsidTr="00261A68">
        <w:trPr>
          <w:cantSplit/>
          <w:trHeight w:val="159"/>
        </w:trPr>
        <w:tc>
          <w:tcPr>
            <w:tcW w:w="752" w:type="pct"/>
            <w:vAlign w:val="bottom"/>
          </w:tcPr>
          <w:p w14:paraId="038A469C" w14:textId="77777777" w:rsidR="00610468" w:rsidRPr="00D869C0" w:rsidRDefault="00610468" w:rsidP="001A5D4A">
            <w:pPr>
              <w:pStyle w:val="Note-Refs"/>
            </w:pPr>
            <w:r w:rsidRPr="00D869C0">
              <w:t>AASB119.142d</w:t>
            </w:r>
          </w:p>
        </w:tc>
        <w:tc>
          <w:tcPr>
            <w:tcW w:w="2083" w:type="pct"/>
            <w:gridSpan w:val="4"/>
            <w:vAlign w:val="bottom"/>
          </w:tcPr>
          <w:p w14:paraId="038A469D" w14:textId="77777777" w:rsidR="00610468" w:rsidRDefault="00610468" w:rsidP="001A5D4A">
            <w:pPr>
              <w:pStyle w:val="NotesTable-ItemPlain"/>
              <w:rPr>
                <w:b/>
              </w:rPr>
            </w:pPr>
            <w:r>
              <w:t>Property</w:t>
            </w:r>
          </w:p>
        </w:tc>
        <w:tc>
          <w:tcPr>
            <w:tcW w:w="470" w:type="pct"/>
          </w:tcPr>
          <w:p w14:paraId="038A469E" w14:textId="77777777" w:rsidR="00610468" w:rsidRDefault="00610468" w:rsidP="001A5D4A">
            <w:pPr>
              <w:pStyle w:val="NotesTable-CellBold"/>
              <w:rPr>
                <w:b w:val="0"/>
              </w:rPr>
            </w:pPr>
            <w:r w:rsidRPr="00901035">
              <w:t>–</w:t>
            </w:r>
          </w:p>
        </w:tc>
        <w:tc>
          <w:tcPr>
            <w:tcW w:w="471" w:type="pct"/>
          </w:tcPr>
          <w:p w14:paraId="038A469F" w14:textId="77777777" w:rsidR="00610468" w:rsidRPr="00467640" w:rsidRDefault="00610468" w:rsidP="001A5D4A">
            <w:pPr>
              <w:pStyle w:val="NotesTable-CellPlain"/>
              <w:rPr>
                <w:b/>
              </w:rPr>
            </w:pPr>
            <w:r w:rsidRPr="00901035">
              <w:t>–</w:t>
            </w:r>
          </w:p>
        </w:tc>
        <w:tc>
          <w:tcPr>
            <w:tcW w:w="470" w:type="pct"/>
          </w:tcPr>
          <w:p w14:paraId="038A46A0" w14:textId="77777777" w:rsidR="00610468" w:rsidRDefault="00610468" w:rsidP="001A5D4A">
            <w:pPr>
              <w:pStyle w:val="NotesTable-CellBold"/>
            </w:pPr>
            <w:r w:rsidRPr="00901035">
              <w:t>–</w:t>
            </w:r>
          </w:p>
        </w:tc>
        <w:tc>
          <w:tcPr>
            <w:tcW w:w="753" w:type="pct"/>
          </w:tcPr>
          <w:p w14:paraId="038A46A1" w14:textId="77777777" w:rsidR="00610468" w:rsidRPr="00467640" w:rsidRDefault="00610468" w:rsidP="001A5D4A">
            <w:pPr>
              <w:pStyle w:val="NotesTable-CellPlain"/>
            </w:pPr>
            <w:r w:rsidRPr="00901035">
              <w:t>–</w:t>
            </w:r>
          </w:p>
        </w:tc>
      </w:tr>
      <w:tr w:rsidR="00610468" w14:paraId="038A46A9" w14:textId="77777777" w:rsidTr="00261A68">
        <w:trPr>
          <w:cantSplit/>
          <w:trHeight w:val="159"/>
        </w:trPr>
        <w:tc>
          <w:tcPr>
            <w:tcW w:w="752" w:type="pct"/>
            <w:vAlign w:val="bottom"/>
          </w:tcPr>
          <w:p w14:paraId="038A46A3" w14:textId="77777777" w:rsidR="00610468" w:rsidRPr="00D869C0" w:rsidRDefault="00610468" w:rsidP="001A5D4A">
            <w:pPr>
              <w:pStyle w:val="Note-Refs"/>
            </w:pPr>
            <w:r w:rsidRPr="00D869C0">
              <w:t>AASB119.142e-h</w:t>
            </w:r>
          </w:p>
        </w:tc>
        <w:tc>
          <w:tcPr>
            <w:tcW w:w="2083" w:type="pct"/>
            <w:gridSpan w:val="4"/>
            <w:vAlign w:val="bottom"/>
          </w:tcPr>
          <w:p w14:paraId="038A46A4" w14:textId="77777777" w:rsidR="00610468" w:rsidRDefault="00610468" w:rsidP="001A5D4A">
            <w:pPr>
              <w:pStyle w:val="NotesTable-ItemPlain"/>
              <w:rPr>
                <w:b/>
              </w:rPr>
            </w:pPr>
            <w:r>
              <w:t>Other [specify]</w:t>
            </w:r>
          </w:p>
        </w:tc>
        <w:tc>
          <w:tcPr>
            <w:tcW w:w="470" w:type="pct"/>
            <w:tcBorders>
              <w:bottom w:val="single" w:sz="4" w:space="0" w:color="000000"/>
            </w:tcBorders>
          </w:tcPr>
          <w:p w14:paraId="038A46A5" w14:textId="77777777" w:rsidR="00610468" w:rsidRDefault="00610468" w:rsidP="001A5D4A">
            <w:pPr>
              <w:pStyle w:val="NotesTable-CellBold"/>
              <w:rPr>
                <w:b w:val="0"/>
              </w:rPr>
            </w:pPr>
            <w:r w:rsidRPr="00901035">
              <w:t>–</w:t>
            </w:r>
          </w:p>
        </w:tc>
        <w:tc>
          <w:tcPr>
            <w:tcW w:w="471" w:type="pct"/>
            <w:tcBorders>
              <w:bottom w:val="single" w:sz="4" w:space="0" w:color="000000"/>
            </w:tcBorders>
          </w:tcPr>
          <w:p w14:paraId="038A46A6" w14:textId="77777777" w:rsidR="00610468" w:rsidRPr="00467640" w:rsidRDefault="00610468" w:rsidP="001A5D4A">
            <w:pPr>
              <w:pStyle w:val="NotesTable-CellPlain"/>
              <w:rPr>
                <w:b/>
              </w:rPr>
            </w:pPr>
            <w:r w:rsidRPr="00901035">
              <w:t>–</w:t>
            </w:r>
          </w:p>
        </w:tc>
        <w:tc>
          <w:tcPr>
            <w:tcW w:w="470" w:type="pct"/>
            <w:tcBorders>
              <w:bottom w:val="single" w:sz="4" w:space="0" w:color="auto"/>
            </w:tcBorders>
          </w:tcPr>
          <w:p w14:paraId="038A46A7" w14:textId="77777777" w:rsidR="00610468" w:rsidRDefault="00610468" w:rsidP="001A5D4A">
            <w:pPr>
              <w:pStyle w:val="NotesTable-CellBold"/>
            </w:pPr>
            <w:r w:rsidRPr="00901035">
              <w:t>–</w:t>
            </w:r>
          </w:p>
        </w:tc>
        <w:tc>
          <w:tcPr>
            <w:tcW w:w="753" w:type="pct"/>
            <w:tcBorders>
              <w:bottom w:val="single" w:sz="4" w:space="0" w:color="auto"/>
            </w:tcBorders>
          </w:tcPr>
          <w:p w14:paraId="038A46A8" w14:textId="77777777" w:rsidR="00610468" w:rsidRPr="00467640" w:rsidRDefault="00610468" w:rsidP="001A5D4A">
            <w:pPr>
              <w:pStyle w:val="NotesTable-CellPlain"/>
            </w:pPr>
            <w:r w:rsidRPr="00901035">
              <w:t>–</w:t>
            </w:r>
          </w:p>
        </w:tc>
      </w:tr>
      <w:tr w:rsidR="00610468" w14:paraId="038A46B0" w14:textId="77777777" w:rsidTr="00261A68">
        <w:trPr>
          <w:cantSplit/>
          <w:trHeight w:val="159"/>
        </w:trPr>
        <w:tc>
          <w:tcPr>
            <w:tcW w:w="752" w:type="pct"/>
          </w:tcPr>
          <w:p w14:paraId="038A46AA" w14:textId="77777777" w:rsidR="00610468" w:rsidRPr="00D869C0" w:rsidRDefault="00610468" w:rsidP="001A5D4A">
            <w:pPr>
              <w:pStyle w:val="Note-Refs"/>
            </w:pPr>
          </w:p>
        </w:tc>
        <w:tc>
          <w:tcPr>
            <w:tcW w:w="2083" w:type="pct"/>
            <w:gridSpan w:val="4"/>
            <w:vAlign w:val="bottom"/>
          </w:tcPr>
          <w:p w14:paraId="038A46AB" w14:textId="77777777" w:rsidR="00610468" w:rsidRDefault="00F321E7" w:rsidP="001A5D4A">
            <w:pPr>
              <w:pStyle w:val="NotesTable-ItemPlain"/>
              <w:rPr>
                <w:b/>
              </w:rPr>
            </w:pPr>
            <w:r>
              <w:t>Total</w:t>
            </w:r>
          </w:p>
        </w:tc>
        <w:tc>
          <w:tcPr>
            <w:tcW w:w="470" w:type="pct"/>
            <w:tcBorders>
              <w:top w:val="single" w:sz="4" w:space="0" w:color="000000"/>
            </w:tcBorders>
          </w:tcPr>
          <w:p w14:paraId="038A46AC" w14:textId="77777777" w:rsidR="00610468" w:rsidRDefault="00610468" w:rsidP="001A5D4A">
            <w:pPr>
              <w:pStyle w:val="NotesTable-CellBold"/>
              <w:rPr>
                <w:b w:val="0"/>
              </w:rPr>
            </w:pPr>
            <w:r w:rsidRPr="00901035">
              <w:t>–</w:t>
            </w:r>
          </w:p>
        </w:tc>
        <w:tc>
          <w:tcPr>
            <w:tcW w:w="471" w:type="pct"/>
            <w:tcBorders>
              <w:top w:val="single" w:sz="4" w:space="0" w:color="000000"/>
            </w:tcBorders>
          </w:tcPr>
          <w:p w14:paraId="038A46AD" w14:textId="77777777" w:rsidR="00610468" w:rsidRPr="00467640" w:rsidRDefault="00610468" w:rsidP="001A5D4A">
            <w:pPr>
              <w:pStyle w:val="NotesTable-CellPlain"/>
              <w:rPr>
                <w:b/>
              </w:rPr>
            </w:pPr>
            <w:r w:rsidRPr="00901035">
              <w:t>–</w:t>
            </w:r>
          </w:p>
        </w:tc>
        <w:tc>
          <w:tcPr>
            <w:tcW w:w="470" w:type="pct"/>
            <w:tcBorders>
              <w:top w:val="single" w:sz="4" w:space="0" w:color="auto"/>
            </w:tcBorders>
          </w:tcPr>
          <w:p w14:paraId="038A46AE" w14:textId="77777777" w:rsidR="00610468" w:rsidRDefault="00610468" w:rsidP="001A5D4A">
            <w:pPr>
              <w:pStyle w:val="NotesTable-CellBold"/>
            </w:pPr>
            <w:r w:rsidRPr="00901035">
              <w:t>–</w:t>
            </w:r>
          </w:p>
        </w:tc>
        <w:tc>
          <w:tcPr>
            <w:tcW w:w="753" w:type="pct"/>
            <w:tcBorders>
              <w:top w:val="single" w:sz="4" w:space="0" w:color="auto"/>
            </w:tcBorders>
          </w:tcPr>
          <w:p w14:paraId="038A46AF" w14:textId="77777777" w:rsidR="00610468" w:rsidRPr="00467640" w:rsidRDefault="00610468" w:rsidP="001A5D4A">
            <w:pPr>
              <w:pStyle w:val="NotesTable-CellPlain"/>
            </w:pPr>
            <w:r w:rsidRPr="00901035">
              <w:t>–</w:t>
            </w:r>
          </w:p>
        </w:tc>
      </w:tr>
      <w:tr w:rsidR="00B618B5" w14:paraId="038A46B7" w14:textId="77777777" w:rsidTr="00261A68">
        <w:trPr>
          <w:cantSplit/>
          <w:trHeight w:hRule="exact" w:val="85"/>
        </w:trPr>
        <w:tc>
          <w:tcPr>
            <w:tcW w:w="752" w:type="pct"/>
          </w:tcPr>
          <w:p w14:paraId="038A46B1" w14:textId="77777777" w:rsidR="00B618B5" w:rsidRPr="00D869C0" w:rsidRDefault="00B618B5" w:rsidP="001A5D4A">
            <w:pPr>
              <w:pStyle w:val="Note-Refs"/>
            </w:pPr>
          </w:p>
        </w:tc>
        <w:tc>
          <w:tcPr>
            <w:tcW w:w="2083" w:type="pct"/>
            <w:gridSpan w:val="4"/>
            <w:vAlign w:val="bottom"/>
          </w:tcPr>
          <w:p w14:paraId="038A46B2" w14:textId="77777777" w:rsidR="00B618B5" w:rsidRDefault="00B618B5" w:rsidP="001A5D4A">
            <w:pPr>
              <w:pStyle w:val="NotesTable-ItemPlain"/>
            </w:pPr>
          </w:p>
        </w:tc>
        <w:tc>
          <w:tcPr>
            <w:tcW w:w="470" w:type="pct"/>
          </w:tcPr>
          <w:p w14:paraId="038A46B3" w14:textId="77777777" w:rsidR="00B618B5" w:rsidRPr="00901035" w:rsidRDefault="00B618B5" w:rsidP="001A5D4A">
            <w:pPr>
              <w:pStyle w:val="NotesTable-CellBold"/>
            </w:pPr>
          </w:p>
        </w:tc>
        <w:tc>
          <w:tcPr>
            <w:tcW w:w="471" w:type="pct"/>
          </w:tcPr>
          <w:p w14:paraId="038A46B4" w14:textId="77777777" w:rsidR="00B618B5" w:rsidRPr="00901035" w:rsidRDefault="00B618B5" w:rsidP="001A5D4A">
            <w:pPr>
              <w:pStyle w:val="NotesTable-CellPlain"/>
            </w:pPr>
          </w:p>
        </w:tc>
        <w:tc>
          <w:tcPr>
            <w:tcW w:w="470" w:type="pct"/>
          </w:tcPr>
          <w:p w14:paraId="038A46B5" w14:textId="77777777" w:rsidR="00B618B5" w:rsidRPr="00901035" w:rsidRDefault="00B618B5" w:rsidP="001A5D4A">
            <w:pPr>
              <w:pStyle w:val="NotesTable-CellBold"/>
            </w:pPr>
          </w:p>
        </w:tc>
        <w:tc>
          <w:tcPr>
            <w:tcW w:w="753" w:type="pct"/>
          </w:tcPr>
          <w:p w14:paraId="038A46B6" w14:textId="77777777" w:rsidR="00B618B5" w:rsidRPr="00901035" w:rsidRDefault="00B618B5" w:rsidP="001A5D4A">
            <w:pPr>
              <w:pStyle w:val="NotesTable-CellPlain"/>
            </w:pPr>
          </w:p>
        </w:tc>
      </w:tr>
      <w:tr w:rsidR="00B618B5" w14:paraId="038A46BE" w14:textId="77777777" w:rsidTr="00261A68">
        <w:trPr>
          <w:cantSplit/>
          <w:trHeight w:val="159"/>
        </w:trPr>
        <w:tc>
          <w:tcPr>
            <w:tcW w:w="752" w:type="pct"/>
          </w:tcPr>
          <w:p w14:paraId="038A46B8" w14:textId="77777777" w:rsidR="00B618B5" w:rsidRPr="003325C5" w:rsidRDefault="00B618B5" w:rsidP="001A5D4A">
            <w:pPr>
              <w:pStyle w:val="Note-Refs"/>
            </w:pPr>
            <w:r w:rsidRPr="00D869C0">
              <w:t>AASB119.144</w:t>
            </w:r>
          </w:p>
        </w:tc>
        <w:tc>
          <w:tcPr>
            <w:tcW w:w="2083" w:type="pct"/>
            <w:gridSpan w:val="4"/>
          </w:tcPr>
          <w:p w14:paraId="038A46B9" w14:textId="77777777" w:rsidR="00B618B5" w:rsidRDefault="00B618B5" w:rsidP="001A5D4A">
            <w:pPr>
              <w:pStyle w:val="NotesTable-ItemPlain"/>
              <w:rPr>
                <w:b/>
              </w:rPr>
            </w:pPr>
            <w:r>
              <w:t>The principal assumptions used for the purposes of the actuarial valuations were as follows (expressed as weighted averages):</w:t>
            </w:r>
          </w:p>
        </w:tc>
        <w:tc>
          <w:tcPr>
            <w:tcW w:w="470" w:type="pct"/>
          </w:tcPr>
          <w:p w14:paraId="038A46BA" w14:textId="77777777" w:rsidR="00B618B5" w:rsidRPr="00901035" w:rsidRDefault="00B618B5" w:rsidP="001A5D4A">
            <w:pPr>
              <w:pStyle w:val="NotesTable-CellBold"/>
            </w:pPr>
          </w:p>
        </w:tc>
        <w:tc>
          <w:tcPr>
            <w:tcW w:w="471" w:type="pct"/>
          </w:tcPr>
          <w:p w14:paraId="038A46BB" w14:textId="77777777" w:rsidR="00B618B5" w:rsidRPr="00901035" w:rsidRDefault="00B618B5" w:rsidP="001A5D4A">
            <w:pPr>
              <w:pStyle w:val="NotesTable-CellPlain"/>
            </w:pPr>
          </w:p>
        </w:tc>
        <w:tc>
          <w:tcPr>
            <w:tcW w:w="470" w:type="pct"/>
          </w:tcPr>
          <w:p w14:paraId="038A46BC" w14:textId="77777777" w:rsidR="00B618B5" w:rsidRPr="00901035" w:rsidRDefault="00B618B5" w:rsidP="001A5D4A">
            <w:pPr>
              <w:pStyle w:val="NotesTable-CellBold"/>
            </w:pPr>
          </w:p>
        </w:tc>
        <w:tc>
          <w:tcPr>
            <w:tcW w:w="753" w:type="pct"/>
          </w:tcPr>
          <w:p w14:paraId="038A46BD" w14:textId="77777777" w:rsidR="00B618B5" w:rsidRPr="00901035" w:rsidRDefault="00B618B5" w:rsidP="001A5D4A">
            <w:pPr>
              <w:pStyle w:val="NotesTable-CellPlain"/>
            </w:pPr>
          </w:p>
        </w:tc>
      </w:tr>
      <w:tr w:rsidR="00B618B5" w14:paraId="038A46C5" w14:textId="77777777" w:rsidTr="00261A68">
        <w:trPr>
          <w:cantSplit/>
          <w:trHeight w:val="159"/>
        </w:trPr>
        <w:tc>
          <w:tcPr>
            <w:tcW w:w="752" w:type="pct"/>
            <w:vAlign w:val="bottom"/>
          </w:tcPr>
          <w:p w14:paraId="038A46BF" w14:textId="77777777" w:rsidR="00B618B5" w:rsidRPr="00D869C0" w:rsidRDefault="00B618B5" w:rsidP="001A5D4A">
            <w:pPr>
              <w:pStyle w:val="Note-Refs"/>
            </w:pPr>
          </w:p>
        </w:tc>
        <w:tc>
          <w:tcPr>
            <w:tcW w:w="2083" w:type="pct"/>
            <w:gridSpan w:val="4"/>
            <w:vAlign w:val="bottom"/>
          </w:tcPr>
          <w:p w14:paraId="038A46C0" w14:textId="77777777" w:rsidR="00B618B5" w:rsidRDefault="00B618B5" w:rsidP="001A5D4A">
            <w:pPr>
              <w:pStyle w:val="NotesTable-ItemPlain"/>
            </w:pPr>
          </w:p>
        </w:tc>
        <w:tc>
          <w:tcPr>
            <w:tcW w:w="470" w:type="pct"/>
          </w:tcPr>
          <w:p w14:paraId="038A46C1" w14:textId="34047DC6" w:rsidR="00B618B5" w:rsidRDefault="006864EC" w:rsidP="001A5D4A">
            <w:pPr>
              <w:pStyle w:val="NotesTable-HeadBold"/>
            </w:pPr>
            <w:r>
              <w:t>2014</w:t>
            </w:r>
            <w:r w:rsidR="00B618B5">
              <w:t xml:space="preserve"> (%)</w:t>
            </w:r>
          </w:p>
        </w:tc>
        <w:tc>
          <w:tcPr>
            <w:tcW w:w="471" w:type="pct"/>
          </w:tcPr>
          <w:p w14:paraId="038A46C2" w14:textId="2B59D2E6" w:rsidR="00B618B5" w:rsidRDefault="006864EC" w:rsidP="001A5D4A">
            <w:pPr>
              <w:pStyle w:val="NotesTable-HeadPlain"/>
            </w:pPr>
            <w:r>
              <w:t>2013</w:t>
            </w:r>
            <w:r w:rsidR="00B618B5">
              <w:t>(%)</w:t>
            </w:r>
          </w:p>
        </w:tc>
        <w:tc>
          <w:tcPr>
            <w:tcW w:w="470" w:type="pct"/>
          </w:tcPr>
          <w:p w14:paraId="038A46C3" w14:textId="77777777" w:rsidR="00B618B5" w:rsidRDefault="00B618B5" w:rsidP="001A5D4A">
            <w:pPr>
              <w:pStyle w:val="NotesTable-HeadBold"/>
            </w:pPr>
          </w:p>
        </w:tc>
        <w:tc>
          <w:tcPr>
            <w:tcW w:w="753" w:type="pct"/>
          </w:tcPr>
          <w:p w14:paraId="038A46C4" w14:textId="77777777" w:rsidR="00B618B5" w:rsidRDefault="00B618B5" w:rsidP="001A5D4A">
            <w:pPr>
              <w:pStyle w:val="NotesTable-HeadPlain"/>
            </w:pPr>
          </w:p>
        </w:tc>
      </w:tr>
      <w:tr w:rsidR="00B618B5" w14:paraId="038A46CC" w14:textId="77777777" w:rsidTr="00261A68">
        <w:trPr>
          <w:cantSplit/>
          <w:trHeight w:val="159"/>
        </w:trPr>
        <w:tc>
          <w:tcPr>
            <w:tcW w:w="752" w:type="pct"/>
            <w:vAlign w:val="bottom"/>
          </w:tcPr>
          <w:p w14:paraId="038A46C6" w14:textId="77777777" w:rsidR="00B618B5" w:rsidRPr="00D869C0" w:rsidRDefault="00B618B5" w:rsidP="001A5D4A">
            <w:pPr>
              <w:pStyle w:val="Note-Refs"/>
            </w:pPr>
          </w:p>
        </w:tc>
        <w:tc>
          <w:tcPr>
            <w:tcW w:w="2083" w:type="pct"/>
            <w:gridSpan w:val="4"/>
            <w:vAlign w:val="bottom"/>
          </w:tcPr>
          <w:p w14:paraId="038A46C7" w14:textId="77777777" w:rsidR="00B618B5" w:rsidRDefault="00B618B5" w:rsidP="001A5D4A">
            <w:pPr>
              <w:pStyle w:val="NotesTable-ItemPlain"/>
              <w:rPr>
                <w:b/>
              </w:rPr>
            </w:pPr>
            <w:r>
              <w:t>Discount rate(s)</w:t>
            </w:r>
          </w:p>
        </w:tc>
        <w:tc>
          <w:tcPr>
            <w:tcW w:w="470" w:type="pct"/>
          </w:tcPr>
          <w:p w14:paraId="038A46C8" w14:textId="77777777" w:rsidR="00B618B5" w:rsidRDefault="00B618B5" w:rsidP="001A5D4A">
            <w:pPr>
              <w:pStyle w:val="NotesTable-CellBold"/>
              <w:rPr>
                <w:b w:val="0"/>
              </w:rPr>
            </w:pPr>
            <w:r w:rsidRPr="008F7ED2">
              <w:t>–</w:t>
            </w:r>
          </w:p>
        </w:tc>
        <w:tc>
          <w:tcPr>
            <w:tcW w:w="471" w:type="pct"/>
          </w:tcPr>
          <w:p w14:paraId="038A46C9" w14:textId="77777777" w:rsidR="00B618B5" w:rsidRPr="00467640" w:rsidRDefault="00B618B5" w:rsidP="001A5D4A">
            <w:pPr>
              <w:pStyle w:val="NotesTable-CellPlain"/>
              <w:rPr>
                <w:b/>
              </w:rPr>
            </w:pPr>
            <w:r w:rsidRPr="008F7ED2">
              <w:t>–</w:t>
            </w:r>
          </w:p>
        </w:tc>
        <w:tc>
          <w:tcPr>
            <w:tcW w:w="470" w:type="pct"/>
          </w:tcPr>
          <w:p w14:paraId="038A46CA" w14:textId="77777777" w:rsidR="00B618B5" w:rsidRDefault="00B618B5" w:rsidP="001A5D4A">
            <w:pPr>
              <w:pStyle w:val="NotesTable-CellBold"/>
            </w:pPr>
          </w:p>
        </w:tc>
        <w:tc>
          <w:tcPr>
            <w:tcW w:w="753" w:type="pct"/>
          </w:tcPr>
          <w:p w14:paraId="038A46CB" w14:textId="77777777" w:rsidR="00B618B5" w:rsidRPr="00467640" w:rsidRDefault="00B618B5" w:rsidP="001A5D4A">
            <w:pPr>
              <w:pStyle w:val="NotesTable-CellPlain"/>
            </w:pPr>
          </w:p>
        </w:tc>
      </w:tr>
      <w:tr w:rsidR="00B618B5" w14:paraId="038A46E1" w14:textId="77777777" w:rsidTr="00261A68">
        <w:trPr>
          <w:cantSplit/>
          <w:trHeight w:val="159"/>
        </w:trPr>
        <w:tc>
          <w:tcPr>
            <w:tcW w:w="752" w:type="pct"/>
            <w:vAlign w:val="bottom"/>
          </w:tcPr>
          <w:p w14:paraId="038A46DB" w14:textId="77777777" w:rsidR="00B618B5" w:rsidRPr="003325C5" w:rsidRDefault="00B618B5" w:rsidP="001A5D4A">
            <w:pPr>
              <w:pStyle w:val="Note-Refs"/>
            </w:pPr>
          </w:p>
        </w:tc>
        <w:tc>
          <w:tcPr>
            <w:tcW w:w="2083" w:type="pct"/>
            <w:gridSpan w:val="4"/>
            <w:vAlign w:val="bottom"/>
          </w:tcPr>
          <w:p w14:paraId="038A46DC" w14:textId="77777777" w:rsidR="00B618B5" w:rsidRDefault="00B618B5" w:rsidP="001A5D4A">
            <w:pPr>
              <w:pStyle w:val="NotesTable-ItemPlain"/>
              <w:rPr>
                <w:b/>
              </w:rPr>
            </w:pPr>
            <w:r>
              <w:t>Expected rate(s) of salary increase</w:t>
            </w:r>
          </w:p>
        </w:tc>
        <w:tc>
          <w:tcPr>
            <w:tcW w:w="470" w:type="pct"/>
          </w:tcPr>
          <w:p w14:paraId="038A46DD" w14:textId="77777777" w:rsidR="00B618B5" w:rsidRDefault="00B618B5" w:rsidP="001A5D4A">
            <w:pPr>
              <w:pStyle w:val="NotesTable-CellBold"/>
              <w:rPr>
                <w:b w:val="0"/>
              </w:rPr>
            </w:pPr>
            <w:r w:rsidRPr="008F7ED2">
              <w:t>–</w:t>
            </w:r>
          </w:p>
        </w:tc>
        <w:tc>
          <w:tcPr>
            <w:tcW w:w="471" w:type="pct"/>
          </w:tcPr>
          <w:p w14:paraId="038A46DE" w14:textId="77777777" w:rsidR="00B618B5" w:rsidRPr="00467640" w:rsidRDefault="00B618B5" w:rsidP="001A5D4A">
            <w:pPr>
              <w:pStyle w:val="NotesTable-CellPlain"/>
              <w:rPr>
                <w:b/>
              </w:rPr>
            </w:pPr>
            <w:r w:rsidRPr="008F7ED2">
              <w:t>–</w:t>
            </w:r>
          </w:p>
        </w:tc>
        <w:tc>
          <w:tcPr>
            <w:tcW w:w="470" w:type="pct"/>
          </w:tcPr>
          <w:p w14:paraId="038A46DF" w14:textId="77777777" w:rsidR="00B618B5" w:rsidRDefault="00B618B5" w:rsidP="001A5D4A">
            <w:pPr>
              <w:pStyle w:val="NotesTable-CellBold"/>
            </w:pPr>
          </w:p>
        </w:tc>
        <w:tc>
          <w:tcPr>
            <w:tcW w:w="753" w:type="pct"/>
          </w:tcPr>
          <w:p w14:paraId="038A46E0" w14:textId="77777777" w:rsidR="00B618B5" w:rsidRPr="00467640" w:rsidRDefault="00B618B5" w:rsidP="001A5D4A">
            <w:pPr>
              <w:pStyle w:val="NotesTable-CellPlain"/>
            </w:pPr>
          </w:p>
        </w:tc>
      </w:tr>
      <w:tr w:rsidR="00B618B5" w14:paraId="038A46E8" w14:textId="77777777" w:rsidTr="00261A68">
        <w:trPr>
          <w:cantSplit/>
          <w:trHeight w:val="159"/>
        </w:trPr>
        <w:tc>
          <w:tcPr>
            <w:tcW w:w="752" w:type="pct"/>
            <w:vAlign w:val="bottom"/>
          </w:tcPr>
          <w:p w14:paraId="038A46E2" w14:textId="77777777" w:rsidR="00B618B5" w:rsidRPr="003325C5" w:rsidRDefault="00B618B5" w:rsidP="001A5D4A">
            <w:pPr>
              <w:pStyle w:val="Note-Refs"/>
            </w:pPr>
          </w:p>
        </w:tc>
        <w:tc>
          <w:tcPr>
            <w:tcW w:w="2083" w:type="pct"/>
            <w:gridSpan w:val="4"/>
            <w:vAlign w:val="bottom"/>
          </w:tcPr>
          <w:p w14:paraId="038A46E3" w14:textId="77777777" w:rsidR="00B618B5" w:rsidRDefault="00B618B5" w:rsidP="001A5D4A">
            <w:pPr>
              <w:pStyle w:val="NotesTable-ItemPlain"/>
              <w:rPr>
                <w:b/>
              </w:rPr>
            </w:pPr>
            <w:r>
              <w:t>Other [specify]</w:t>
            </w:r>
          </w:p>
        </w:tc>
        <w:tc>
          <w:tcPr>
            <w:tcW w:w="470" w:type="pct"/>
          </w:tcPr>
          <w:p w14:paraId="038A46E4" w14:textId="77777777" w:rsidR="00B618B5" w:rsidRDefault="00B618B5" w:rsidP="001A5D4A">
            <w:pPr>
              <w:pStyle w:val="NotesTable-CellBold"/>
              <w:rPr>
                <w:b w:val="0"/>
              </w:rPr>
            </w:pPr>
            <w:r w:rsidRPr="008F7ED2">
              <w:t>–</w:t>
            </w:r>
          </w:p>
        </w:tc>
        <w:tc>
          <w:tcPr>
            <w:tcW w:w="471" w:type="pct"/>
          </w:tcPr>
          <w:p w14:paraId="038A46E5" w14:textId="77777777" w:rsidR="00B618B5" w:rsidRPr="00467640" w:rsidRDefault="00B618B5" w:rsidP="001A5D4A">
            <w:pPr>
              <w:pStyle w:val="NotesTable-CellPlain"/>
              <w:rPr>
                <w:b/>
              </w:rPr>
            </w:pPr>
            <w:r w:rsidRPr="008F7ED2">
              <w:t>–</w:t>
            </w:r>
          </w:p>
        </w:tc>
        <w:tc>
          <w:tcPr>
            <w:tcW w:w="470" w:type="pct"/>
          </w:tcPr>
          <w:p w14:paraId="038A46E6" w14:textId="77777777" w:rsidR="00B618B5" w:rsidRDefault="00B618B5" w:rsidP="001A5D4A">
            <w:pPr>
              <w:pStyle w:val="NotesTable-CellBold"/>
            </w:pPr>
          </w:p>
        </w:tc>
        <w:tc>
          <w:tcPr>
            <w:tcW w:w="753" w:type="pct"/>
          </w:tcPr>
          <w:p w14:paraId="038A46E7" w14:textId="77777777" w:rsidR="00B618B5" w:rsidRPr="00467640" w:rsidRDefault="00B618B5" w:rsidP="001A5D4A">
            <w:pPr>
              <w:pStyle w:val="NotesTable-CellPlain"/>
            </w:pPr>
          </w:p>
        </w:tc>
      </w:tr>
      <w:tr w:rsidR="00B618B5" w14:paraId="038A46EF" w14:textId="77777777" w:rsidTr="00261A68">
        <w:trPr>
          <w:cantSplit/>
          <w:trHeight w:hRule="exact" w:val="85"/>
        </w:trPr>
        <w:tc>
          <w:tcPr>
            <w:tcW w:w="752" w:type="pct"/>
            <w:vAlign w:val="bottom"/>
          </w:tcPr>
          <w:p w14:paraId="038A46E9" w14:textId="77777777" w:rsidR="00B618B5" w:rsidRPr="00D869C0" w:rsidDel="00A56E8F" w:rsidRDefault="00B618B5" w:rsidP="001A5D4A">
            <w:pPr>
              <w:pStyle w:val="Note-Refs"/>
            </w:pPr>
          </w:p>
        </w:tc>
        <w:tc>
          <w:tcPr>
            <w:tcW w:w="2083" w:type="pct"/>
            <w:gridSpan w:val="4"/>
            <w:vAlign w:val="bottom"/>
          </w:tcPr>
          <w:p w14:paraId="038A46EA" w14:textId="77777777" w:rsidR="00B618B5" w:rsidRDefault="00B618B5" w:rsidP="001A5D4A">
            <w:pPr>
              <w:pStyle w:val="NotesTable-ItemPlain"/>
            </w:pPr>
          </w:p>
        </w:tc>
        <w:tc>
          <w:tcPr>
            <w:tcW w:w="470" w:type="pct"/>
          </w:tcPr>
          <w:p w14:paraId="038A46EB" w14:textId="77777777" w:rsidR="00B618B5" w:rsidRPr="008F7ED2" w:rsidRDefault="00B618B5" w:rsidP="001A5D4A">
            <w:pPr>
              <w:pStyle w:val="NotesTable-CellBold"/>
            </w:pPr>
          </w:p>
        </w:tc>
        <w:tc>
          <w:tcPr>
            <w:tcW w:w="471" w:type="pct"/>
          </w:tcPr>
          <w:p w14:paraId="038A46EC" w14:textId="77777777" w:rsidR="00B618B5" w:rsidRPr="008F7ED2" w:rsidRDefault="00B618B5" w:rsidP="001A5D4A">
            <w:pPr>
              <w:pStyle w:val="NotesTable-CellPlain"/>
            </w:pPr>
          </w:p>
        </w:tc>
        <w:tc>
          <w:tcPr>
            <w:tcW w:w="470" w:type="pct"/>
          </w:tcPr>
          <w:p w14:paraId="038A46ED" w14:textId="77777777" w:rsidR="00B618B5" w:rsidRDefault="00B618B5" w:rsidP="001A5D4A">
            <w:pPr>
              <w:pStyle w:val="NotesTable-CellBold"/>
            </w:pPr>
          </w:p>
        </w:tc>
        <w:tc>
          <w:tcPr>
            <w:tcW w:w="753" w:type="pct"/>
          </w:tcPr>
          <w:p w14:paraId="038A46EE" w14:textId="77777777" w:rsidR="00B618B5" w:rsidRPr="00467640" w:rsidRDefault="00B618B5" w:rsidP="001A5D4A">
            <w:pPr>
              <w:pStyle w:val="NotesTable-CellPlain"/>
            </w:pPr>
          </w:p>
        </w:tc>
      </w:tr>
      <w:tr w:rsidR="00F321E7" w14:paraId="038A46F2" w14:textId="77777777" w:rsidTr="00261A68">
        <w:trPr>
          <w:cantSplit/>
          <w:trHeight w:hRule="exact" w:val="227"/>
        </w:trPr>
        <w:tc>
          <w:tcPr>
            <w:tcW w:w="752" w:type="pct"/>
            <w:vAlign w:val="bottom"/>
          </w:tcPr>
          <w:p w14:paraId="038A46F0" w14:textId="77777777" w:rsidR="00F321E7" w:rsidRDefault="00F321E7" w:rsidP="001A5D4A">
            <w:pPr>
              <w:pStyle w:val="Note-Refs"/>
            </w:pPr>
          </w:p>
        </w:tc>
        <w:tc>
          <w:tcPr>
            <w:tcW w:w="4248" w:type="pct"/>
            <w:gridSpan w:val="8"/>
            <w:vAlign w:val="bottom"/>
          </w:tcPr>
          <w:p w14:paraId="038A46F1" w14:textId="77777777" w:rsidR="00F321E7" w:rsidRDefault="00F321E7" w:rsidP="001A5D4A">
            <w:pPr>
              <w:pStyle w:val="Note-TextHeader"/>
            </w:pPr>
            <w:r>
              <w:t>c) Actuarial assumptions and sensitivity</w:t>
            </w:r>
          </w:p>
        </w:tc>
      </w:tr>
      <w:tr w:rsidR="00B618B5" w14:paraId="038A46F5" w14:textId="77777777" w:rsidTr="00261A68">
        <w:trPr>
          <w:cantSplit/>
          <w:trHeight w:hRule="exact" w:val="227"/>
        </w:trPr>
        <w:tc>
          <w:tcPr>
            <w:tcW w:w="752" w:type="pct"/>
            <w:vAlign w:val="bottom"/>
          </w:tcPr>
          <w:p w14:paraId="038A46F3" w14:textId="77777777" w:rsidR="00B618B5" w:rsidRPr="00D869C0" w:rsidDel="00A56E8F" w:rsidRDefault="00F321E7" w:rsidP="001A5D4A">
            <w:pPr>
              <w:pStyle w:val="Note-Refs"/>
            </w:pPr>
            <w:r>
              <w:t>AASB119.144</w:t>
            </w:r>
          </w:p>
        </w:tc>
        <w:tc>
          <w:tcPr>
            <w:tcW w:w="4248" w:type="pct"/>
            <w:gridSpan w:val="8"/>
            <w:vAlign w:val="bottom"/>
          </w:tcPr>
          <w:p w14:paraId="038A46F4" w14:textId="77777777" w:rsidR="00B618B5" w:rsidRPr="00467640" w:rsidRDefault="00B618B5" w:rsidP="001A5D4A">
            <w:pPr>
              <w:pStyle w:val="NotesTable-ItemPlain"/>
            </w:pPr>
            <w:r>
              <w:t>The sensitivity of the defined benefit obligation to changes in the significant assumptions is:</w:t>
            </w:r>
          </w:p>
        </w:tc>
      </w:tr>
      <w:tr w:rsidR="00B618B5" w14:paraId="038A46FA" w14:textId="77777777" w:rsidTr="00261A68">
        <w:trPr>
          <w:cantSplit/>
          <w:trHeight w:val="159"/>
        </w:trPr>
        <w:tc>
          <w:tcPr>
            <w:tcW w:w="752" w:type="pct"/>
            <w:vAlign w:val="bottom"/>
          </w:tcPr>
          <w:p w14:paraId="038A46F6" w14:textId="77777777" w:rsidR="00B618B5" w:rsidRPr="00D869C0" w:rsidDel="00A56E8F" w:rsidRDefault="00B618B5" w:rsidP="001A5D4A">
            <w:pPr>
              <w:pStyle w:val="Note-Refs"/>
            </w:pPr>
          </w:p>
        </w:tc>
        <w:tc>
          <w:tcPr>
            <w:tcW w:w="817" w:type="pct"/>
            <w:vAlign w:val="bottom"/>
          </w:tcPr>
          <w:p w14:paraId="038A46F7" w14:textId="77777777" w:rsidR="00B618B5" w:rsidRDefault="00B618B5" w:rsidP="001A5D4A">
            <w:pPr>
              <w:pStyle w:val="NotesTable-ItemPlain"/>
            </w:pPr>
          </w:p>
        </w:tc>
        <w:tc>
          <w:tcPr>
            <w:tcW w:w="878" w:type="pct"/>
            <w:gridSpan w:val="2"/>
          </w:tcPr>
          <w:p w14:paraId="038A46F8" w14:textId="77777777" w:rsidR="00B618B5" w:rsidRPr="008F7ED2" w:rsidRDefault="00B618B5" w:rsidP="001A5D4A">
            <w:pPr>
              <w:pStyle w:val="NotesTable-HeadBold"/>
            </w:pPr>
            <w:r>
              <w:t xml:space="preserve">Change in assumption </w:t>
            </w:r>
          </w:p>
        </w:tc>
        <w:tc>
          <w:tcPr>
            <w:tcW w:w="2553" w:type="pct"/>
            <w:gridSpan w:val="5"/>
          </w:tcPr>
          <w:p w14:paraId="038A46F9" w14:textId="77777777" w:rsidR="00B618B5" w:rsidRDefault="00B618B5" w:rsidP="001A5D4A">
            <w:pPr>
              <w:pStyle w:val="NotesTable-HeadBold"/>
            </w:pPr>
            <w:r>
              <w:t>Impact on defined benefit obligation</w:t>
            </w:r>
          </w:p>
        </w:tc>
      </w:tr>
      <w:tr w:rsidR="00B618B5" w14:paraId="038A4700" w14:textId="77777777" w:rsidTr="00261A68">
        <w:trPr>
          <w:cantSplit/>
          <w:trHeight w:val="159"/>
        </w:trPr>
        <w:tc>
          <w:tcPr>
            <w:tcW w:w="752" w:type="pct"/>
            <w:vAlign w:val="bottom"/>
          </w:tcPr>
          <w:p w14:paraId="038A46FB" w14:textId="77777777" w:rsidR="00B618B5" w:rsidRPr="00D869C0" w:rsidDel="00A56E8F" w:rsidRDefault="00B618B5" w:rsidP="001A5D4A">
            <w:pPr>
              <w:pStyle w:val="Note-Refs"/>
            </w:pPr>
          </w:p>
        </w:tc>
        <w:tc>
          <w:tcPr>
            <w:tcW w:w="817" w:type="pct"/>
            <w:vAlign w:val="bottom"/>
          </w:tcPr>
          <w:p w14:paraId="038A46FC" w14:textId="77777777" w:rsidR="00B618B5" w:rsidRDefault="00B618B5" w:rsidP="001A5D4A">
            <w:pPr>
              <w:pStyle w:val="NotesTable-ItemPlain"/>
            </w:pPr>
          </w:p>
        </w:tc>
        <w:tc>
          <w:tcPr>
            <w:tcW w:w="878" w:type="pct"/>
            <w:gridSpan w:val="2"/>
          </w:tcPr>
          <w:p w14:paraId="038A46FD" w14:textId="77777777" w:rsidR="00B618B5" w:rsidRPr="008F7ED2" w:rsidRDefault="00B618B5" w:rsidP="001A5D4A">
            <w:pPr>
              <w:pStyle w:val="NotesTable-CellBold"/>
            </w:pPr>
          </w:p>
        </w:tc>
        <w:tc>
          <w:tcPr>
            <w:tcW w:w="1329" w:type="pct"/>
            <w:gridSpan w:val="3"/>
          </w:tcPr>
          <w:p w14:paraId="038A46FE" w14:textId="77777777" w:rsidR="00B618B5" w:rsidRPr="008F7ED2" w:rsidRDefault="00B618B5" w:rsidP="001A5D4A">
            <w:pPr>
              <w:pStyle w:val="NotesTable-CellBold"/>
            </w:pPr>
            <w:r>
              <w:t>Increase in assumption</w:t>
            </w:r>
          </w:p>
        </w:tc>
        <w:tc>
          <w:tcPr>
            <w:tcW w:w="1223" w:type="pct"/>
            <w:gridSpan w:val="2"/>
          </w:tcPr>
          <w:p w14:paraId="038A46FF" w14:textId="77777777" w:rsidR="00B618B5" w:rsidRDefault="00B618B5" w:rsidP="001A5D4A">
            <w:pPr>
              <w:pStyle w:val="NotesTable-CellBold"/>
            </w:pPr>
            <w:r>
              <w:t>Decrease in assumption</w:t>
            </w:r>
          </w:p>
        </w:tc>
      </w:tr>
      <w:tr w:rsidR="00B618B5" w14:paraId="038A4706" w14:textId="77777777" w:rsidTr="00261A68">
        <w:trPr>
          <w:cantSplit/>
          <w:trHeight w:val="159"/>
        </w:trPr>
        <w:tc>
          <w:tcPr>
            <w:tcW w:w="752" w:type="pct"/>
            <w:vAlign w:val="bottom"/>
          </w:tcPr>
          <w:p w14:paraId="038A4701" w14:textId="77777777" w:rsidR="00B618B5" w:rsidRPr="00D869C0" w:rsidDel="00A56E8F" w:rsidRDefault="00B618B5" w:rsidP="001A5D4A">
            <w:pPr>
              <w:pStyle w:val="Note-Refs"/>
            </w:pPr>
          </w:p>
        </w:tc>
        <w:tc>
          <w:tcPr>
            <w:tcW w:w="817" w:type="pct"/>
            <w:vAlign w:val="bottom"/>
          </w:tcPr>
          <w:p w14:paraId="038A4702" w14:textId="77777777" w:rsidR="00B618B5" w:rsidRDefault="00B618B5" w:rsidP="001A5D4A">
            <w:pPr>
              <w:pStyle w:val="NotesTable-ItemPlain"/>
            </w:pPr>
            <w:r>
              <w:t>Discount rate</w:t>
            </w:r>
          </w:p>
        </w:tc>
        <w:tc>
          <w:tcPr>
            <w:tcW w:w="878" w:type="pct"/>
            <w:gridSpan w:val="2"/>
            <w:vAlign w:val="bottom"/>
          </w:tcPr>
          <w:p w14:paraId="038A4703" w14:textId="77777777" w:rsidR="00B618B5" w:rsidRPr="00B618B5" w:rsidRDefault="00DB0B49" w:rsidP="001A5D4A">
            <w:pPr>
              <w:pStyle w:val="NotesTable-HeadPlain"/>
            </w:pPr>
            <w:r>
              <w:t>x</w:t>
            </w:r>
            <w:r w:rsidR="00B618B5" w:rsidRPr="00B618B5">
              <w:t>%</w:t>
            </w:r>
          </w:p>
        </w:tc>
        <w:tc>
          <w:tcPr>
            <w:tcW w:w="1329" w:type="pct"/>
            <w:gridSpan w:val="3"/>
          </w:tcPr>
          <w:p w14:paraId="038A4704" w14:textId="77777777" w:rsidR="00B618B5" w:rsidRPr="008F7ED2" w:rsidRDefault="00B618B5" w:rsidP="001A5D4A">
            <w:pPr>
              <w:pStyle w:val="NotesTable-CellPlain"/>
            </w:pPr>
            <w:r>
              <w:t>Increase/decrease by x%</w:t>
            </w:r>
          </w:p>
        </w:tc>
        <w:tc>
          <w:tcPr>
            <w:tcW w:w="1223" w:type="pct"/>
            <w:gridSpan w:val="2"/>
          </w:tcPr>
          <w:p w14:paraId="038A4705" w14:textId="77777777" w:rsidR="00B618B5" w:rsidRDefault="00B618B5" w:rsidP="001A5D4A">
            <w:pPr>
              <w:pStyle w:val="NotesTable-CellPlain"/>
            </w:pPr>
            <w:r>
              <w:t>Increase/decrease by x%</w:t>
            </w:r>
          </w:p>
        </w:tc>
      </w:tr>
      <w:tr w:rsidR="00B618B5" w14:paraId="038A470C" w14:textId="77777777" w:rsidTr="00261A68">
        <w:trPr>
          <w:cantSplit/>
          <w:trHeight w:val="159"/>
        </w:trPr>
        <w:tc>
          <w:tcPr>
            <w:tcW w:w="752" w:type="pct"/>
            <w:vAlign w:val="bottom"/>
          </w:tcPr>
          <w:p w14:paraId="038A4707" w14:textId="77777777" w:rsidR="00B618B5" w:rsidRPr="00D869C0" w:rsidDel="00A56E8F" w:rsidRDefault="00B618B5" w:rsidP="001A5D4A">
            <w:pPr>
              <w:pStyle w:val="Note-Refs"/>
            </w:pPr>
          </w:p>
        </w:tc>
        <w:tc>
          <w:tcPr>
            <w:tcW w:w="817" w:type="pct"/>
            <w:vAlign w:val="bottom"/>
          </w:tcPr>
          <w:p w14:paraId="038A4708" w14:textId="77777777" w:rsidR="00B618B5" w:rsidRDefault="00B618B5" w:rsidP="001A5D4A">
            <w:pPr>
              <w:pStyle w:val="NotesTable-ItemPlain"/>
            </w:pPr>
            <w:r>
              <w:t>Salary growth rate</w:t>
            </w:r>
          </w:p>
        </w:tc>
        <w:tc>
          <w:tcPr>
            <w:tcW w:w="878" w:type="pct"/>
            <w:gridSpan w:val="2"/>
            <w:vAlign w:val="bottom"/>
          </w:tcPr>
          <w:p w14:paraId="038A4709" w14:textId="77777777" w:rsidR="00B618B5" w:rsidRPr="00B618B5" w:rsidRDefault="00DB0B49" w:rsidP="001A5D4A">
            <w:pPr>
              <w:pStyle w:val="NotesTable-HeadPlain"/>
            </w:pPr>
            <w:r>
              <w:t>x</w:t>
            </w:r>
            <w:r w:rsidR="00B618B5" w:rsidRPr="00B618B5">
              <w:t>%</w:t>
            </w:r>
          </w:p>
        </w:tc>
        <w:tc>
          <w:tcPr>
            <w:tcW w:w="1329" w:type="pct"/>
            <w:gridSpan w:val="3"/>
          </w:tcPr>
          <w:p w14:paraId="038A470A" w14:textId="77777777" w:rsidR="00B618B5" w:rsidRDefault="00B618B5" w:rsidP="001A5D4A">
            <w:pPr>
              <w:pStyle w:val="NotesTable-CellPlain"/>
            </w:pPr>
            <w:r w:rsidRPr="00DB1F88">
              <w:t>Increase/decrease by x%</w:t>
            </w:r>
          </w:p>
        </w:tc>
        <w:tc>
          <w:tcPr>
            <w:tcW w:w="1223" w:type="pct"/>
            <w:gridSpan w:val="2"/>
          </w:tcPr>
          <w:p w14:paraId="038A470B" w14:textId="77777777" w:rsidR="00B618B5" w:rsidRDefault="00B618B5" w:rsidP="001A5D4A">
            <w:pPr>
              <w:pStyle w:val="NotesTable-CellPlain"/>
            </w:pPr>
            <w:r w:rsidRPr="00DB1F88">
              <w:t>Increase/decrease by x%</w:t>
            </w:r>
          </w:p>
        </w:tc>
      </w:tr>
      <w:tr w:rsidR="00E3366A" w14:paraId="038A470F" w14:textId="77777777" w:rsidTr="00261A68">
        <w:trPr>
          <w:cantSplit/>
          <w:trHeight w:hRule="exact" w:val="85"/>
        </w:trPr>
        <w:tc>
          <w:tcPr>
            <w:tcW w:w="752" w:type="pct"/>
            <w:vAlign w:val="bottom"/>
          </w:tcPr>
          <w:p w14:paraId="038A470D" w14:textId="77777777" w:rsidR="00E3366A" w:rsidRPr="00D869C0" w:rsidDel="00A56E8F" w:rsidRDefault="00E3366A" w:rsidP="001A5D4A">
            <w:pPr>
              <w:pStyle w:val="Note-Refs"/>
            </w:pPr>
          </w:p>
        </w:tc>
        <w:tc>
          <w:tcPr>
            <w:tcW w:w="4248" w:type="pct"/>
            <w:gridSpan w:val="8"/>
            <w:vAlign w:val="bottom"/>
          </w:tcPr>
          <w:p w14:paraId="038A470E" w14:textId="77777777" w:rsidR="00E3366A" w:rsidRDefault="00E3366A" w:rsidP="001A5D4A">
            <w:pPr>
              <w:pStyle w:val="NotesTable-CellBold"/>
            </w:pPr>
          </w:p>
        </w:tc>
      </w:tr>
      <w:tr w:rsidR="00233C5F" w14:paraId="038A4718" w14:textId="77777777" w:rsidTr="00261A68">
        <w:trPr>
          <w:cantSplit/>
          <w:trHeight w:val="159"/>
        </w:trPr>
        <w:tc>
          <w:tcPr>
            <w:tcW w:w="752" w:type="pct"/>
            <w:vAlign w:val="bottom"/>
          </w:tcPr>
          <w:p w14:paraId="038A4716" w14:textId="77777777" w:rsidR="00233C5F" w:rsidRPr="003325C5" w:rsidDel="00A56E8F" w:rsidRDefault="00233C5F" w:rsidP="001A5D4A">
            <w:pPr>
              <w:pStyle w:val="Note-Refs"/>
            </w:pPr>
          </w:p>
        </w:tc>
        <w:tc>
          <w:tcPr>
            <w:tcW w:w="4248" w:type="pct"/>
            <w:gridSpan w:val="8"/>
            <w:vAlign w:val="bottom"/>
          </w:tcPr>
          <w:p w14:paraId="038A4717" w14:textId="4116B58C" w:rsidR="00233C5F" w:rsidRPr="003325C5" w:rsidRDefault="00541110" w:rsidP="001A5D4A">
            <w:pPr>
              <w:pStyle w:val="NotesTable-ItemPlain"/>
            </w:pPr>
            <w:r>
              <w:t xml:space="preserve">The above sensitivity analyses are based on a change in an assumption while holding all the other assumptions constant. In practice this is unlikely to occur, and changes in some of the assumptions may be correlated. When calculating the sensitivity of the defined benefit obligation to significant actuarial assumptions the same method has been applied as when calculating the defined benefit liability recognised in the </w:t>
            </w:r>
            <w:r w:rsidR="007A534E">
              <w:t>statement of financial position</w:t>
            </w:r>
            <w:r>
              <w:t>.</w:t>
            </w:r>
          </w:p>
        </w:tc>
      </w:tr>
      <w:tr w:rsidR="0052667C" w:rsidRPr="00276409" w14:paraId="381EBD96" w14:textId="77777777" w:rsidTr="00261A68">
        <w:trPr>
          <w:cantSplit/>
          <w:trHeight w:val="159"/>
        </w:trPr>
        <w:tc>
          <w:tcPr>
            <w:tcW w:w="752" w:type="pct"/>
            <w:vAlign w:val="bottom"/>
          </w:tcPr>
          <w:p w14:paraId="0866FED4" w14:textId="77777777" w:rsidR="0052667C" w:rsidRDefault="0052667C" w:rsidP="001A5D4A">
            <w:pPr>
              <w:pStyle w:val="Note-Refs"/>
            </w:pPr>
          </w:p>
        </w:tc>
        <w:tc>
          <w:tcPr>
            <w:tcW w:w="4248" w:type="pct"/>
            <w:gridSpan w:val="8"/>
            <w:vAlign w:val="bottom"/>
          </w:tcPr>
          <w:p w14:paraId="724ABC17" w14:textId="77777777" w:rsidR="0052667C" w:rsidRPr="0052667C" w:rsidRDefault="0052667C" w:rsidP="001A5D4A">
            <w:pPr>
              <w:pStyle w:val="NotesTable-ItemPlain"/>
            </w:pPr>
            <w:r w:rsidRPr="0052667C">
              <w:t>The methods and types of assumptions used in the preparation of the sensitivity analysis did not change compared to the prior period.</w:t>
            </w:r>
          </w:p>
        </w:tc>
      </w:tr>
    </w:tbl>
    <w:p w14:paraId="365D6DF1" w14:textId="77777777" w:rsidR="008B0AE5" w:rsidRPr="00183B19" w:rsidRDefault="008B0AE5" w:rsidP="001A5D4A">
      <w:r w:rsidRPr="00183B19">
        <w:br w:type="page"/>
      </w:r>
    </w:p>
    <w:tbl>
      <w:tblPr>
        <w:tblW w:w="5000" w:type="pct"/>
        <w:tblCellMar>
          <w:left w:w="0" w:type="dxa"/>
          <w:right w:w="0" w:type="dxa"/>
        </w:tblCellMar>
        <w:tblLook w:val="0000" w:firstRow="0" w:lastRow="0" w:firstColumn="0" w:lastColumn="0" w:noHBand="0" w:noVBand="0"/>
      </w:tblPr>
      <w:tblGrid>
        <w:gridCol w:w="1665"/>
        <w:gridCol w:w="4711"/>
        <w:gridCol w:w="556"/>
        <w:gridCol w:w="833"/>
        <w:gridCol w:w="833"/>
        <w:gridCol w:w="833"/>
        <w:gridCol w:w="829"/>
      </w:tblGrid>
      <w:tr w:rsidR="00AA2125" w14:paraId="038A4725" w14:textId="77777777" w:rsidTr="00AA2125">
        <w:trPr>
          <w:cantSplit/>
          <w:trHeight w:val="161"/>
        </w:trPr>
        <w:tc>
          <w:tcPr>
            <w:tcW w:w="5000" w:type="pct"/>
            <w:gridSpan w:val="7"/>
          </w:tcPr>
          <w:p w14:paraId="038A4724" w14:textId="73A23AA8" w:rsidR="00AA2125" w:rsidRPr="00183B19" w:rsidRDefault="00AA2125" w:rsidP="00AA2125">
            <w:pPr>
              <w:pStyle w:val="TOC3"/>
              <w:ind w:left="0"/>
            </w:pPr>
            <w:r w:rsidRPr="00183B19">
              <w:lastRenderedPageBreak/>
              <w:t>Note 52</w:t>
            </w:r>
            <w:r>
              <w:t xml:space="preserve">. </w:t>
            </w:r>
            <w:r w:rsidRPr="00183B19">
              <w:t>Defined Benefit Plans (continued)</w:t>
            </w:r>
          </w:p>
        </w:tc>
      </w:tr>
      <w:tr w:rsidR="00F321E7" w:rsidRPr="00BC1814" w14:paraId="038A472B" w14:textId="77777777" w:rsidTr="00261A68">
        <w:trPr>
          <w:cantSplit/>
          <w:trHeight w:val="161"/>
        </w:trPr>
        <w:tc>
          <w:tcPr>
            <w:tcW w:w="811" w:type="pct"/>
          </w:tcPr>
          <w:p w14:paraId="038A4729" w14:textId="77777777" w:rsidR="00F321E7" w:rsidRDefault="00F321E7" w:rsidP="001A5D4A">
            <w:pPr>
              <w:pStyle w:val="Note-Refs"/>
            </w:pPr>
          </w:p>
        </w:tc>
        <w:tc>
          <w:tcPr>
            <w:tcW w:w="4189" w:type="pct"/>
            <w:gridSpan w:val="6"/>
          </w:tcPr>
          <w:p w14:paraId="038A472A" w14:textId="1F3F87D7" w:rsidR="00F321E7" w:rsidRPr="00BC1814" w:rsidRDefault="00F321E7" w:rsidP="001A5D4A">
            <w:pPr>
              <w:pStyle w:val="Note-TextHeader"/>
            </w:pPr>
            <w:r>
              <w:t xml:space="preserve">d) </w:t>
            </w:r>
            <w:r w:rsidR="007A534E">
              <w:t>Statement of financial position</w:t>
            </w:r>
            <w:r>
              <w:t xml:space="preserve"> amounts</w:t>
            </w:r>
          </w:p>
        </w:tc>
      </w:tr>
      <w:tr w:rsidR="00406602" w:rsidRPr="00BC1814" w14:paraId="51FB7DE3" w14:textId="77777777" w:rsidTr="00AA2125">
        <w:trPr>
          <w:cantSplit/>
          <w:trHeight w:hRule="exact" w:val="85"/>
        </w:trPr>
        <w:tc>
          <w:tcPr>
            <w:tcW w:w="811" w:type="pct"/>
            <w:vAlign w:val="bottom"/>
          </w:tcPr>
          <w:p w14:paraId="2D4BFC12" w14:textId="77777777" w:rsidR="00406602" w:rsidRDefault="00406602" w:rsidP="001A5D4A">
            <w:pPr>
              <w:pStyle w:val="Note-Refs"/>
            </w:pPr>
          </w:p>
        </w:tc>
        <w:tc>
          <w:tcPr>
            <w:tcW w:w="2296" w:type="pct"/>
            <w:vAlign w:val="bottom"/>
          </w:tcPr>
          <w:p w14:paraId="57121A66" w14:textId="77777777" w:rsidR="00406602" w:rsidRDefault="00406602" w:rsidP="001A5D4A">
            <w:pPr>
              <w:pStyle w:val="NotesTable-ItemBold"/>
            </w:pPr>
          </w:p>
        </w:tc>
        <w:tc>
          <w:tcPr>
            <w:tcW w:w="271" w:type="pct"/>
          </w:tcPr>
          <w:p w14:paraId="6C8BAF6A" w14:textId="77777777" w:rsidR="00406602" w:rsidRPr="00BC1814" w:rsidRDefault="00406602" w:rsidP="001A5D4A">
            <w:pPr>
              <w:pStyle w:val="NotesTable-Notes"/>
            </w:pPr>
          </w:p>
        </w:tc>
        <w:tc>
          <w:tcPr>
            <w:tcW w:w="406" w:type="pct"/>
          </w:tcPr>
          <w:p w14:paraId="45D57915" w14:textId="77777777" w:rsidR="00406602" w:rsidRPr="00BC1814" w:rsidRDefault="00406602" w:rsidP="001A5D4A">
            <w:pPr>
              <w:pStyle w:val="NotesTable-HeadPlain"/>
            </w:pPr>
          </w:p>
        </w:tc>
        <w:tc>
          <w:tcPr>
            <w:tcW w:w="406" w:type="pct"/>
          </w:tcPr>
          <w:p w14:paraId="2992F2F9" w14:textId="77777777" w:rsidR="00406602" w:rsidRPr="00BC1814" w:rsidRDefault="00406602" w:rsidP="001A5D4A">
            <w:pPr>
              <w:pStyle w:val="NotesTable-HeadPlain"/>
            </w:pPr>
          </w:p>
        </w:tc>
        <w:tc>
          <w:tcPr>
            <w:tcW w:w="406" w:type="pct"/>
          </w:tcPr>
          <w:p w14:paraId="057FF3DB" w14:textId="77777777" w:rsidR="00406602" w:rsidRPr="00BC1814" w:rsidRDefault="00406602" w:rsidP="001A5D4A">
            <w:pPr>
              <w:pStyle w:val="NotesTable-HeadPlain"/>
            </w:pPr>
          </w:p>
        </w:tc>
        <w:tc>
          <w:tcPr>
            <w:tcW w:w="404" w:type="pct"/>
          </w:tcPr>
          <w:p w14:paraId="18BAD148" w14:textId="77777777" w:rsidR="00406602" w:rsidRPr="00BC1814" w:rsidRDefault="00406602" w:rsidP="001A5D4A">
            <w:pPr>
              <w:pStyle w:val="NotesTable-HeadPlain"/>
            </w:pPr>
          </w:p>
        </w:tc>
      </w:tr>
      <w:tr w:rsidR="00406602" w:rsidRPr="00BC1814" w14:paraId="35669785" w14:textId="77777777" w:rsidTr="00AA2125">
        <w:trPr>
          <w:cantSplit/>
          <w:trHeight w:val="181"/>
        </w:trPr>
        <w:tc>
          <w:tcPr>
            <w:tcW w:w="811" w:type="pct"/>
            <w:vAlign w:val="bottom"/>
          </w:tcPr>
          <w:p w14:paraId="0F0DE15F" w14:textId="77777777" w:rsidR="00406602" w:rsidRDefault="00406602" w:rsidP="001A5D4A">
            <w:pPr>
              <w:pStyle w:val="Note-Refs"/>
            </w:pPr>
            <w:r>
              <w:t>EDUCATION</w:t>
            </w:r>
          </w:p>
        </w:tc>
        <w:tc>
          <w:tcPr>
            <w:tcW w:w="2296" w:type="pct"/>
            <w:vAlign w:val="bottom"/>
          </w:tcPr>
          <w:p w14:paraId="228BB9E1" w14:textId="77777777" w:rsidR="00406602" w:rsidRDefault="00406602" w:rsidP="001A5D4A">
            <w:pPr>
              <w:pStyle w:val="NotesTable-ItemBold"/>
            </w:pPr>
            <w:r>
              <w:t>Amounts recognised in the statement of financial position - 2014</w:t>
            </w:r>
          </w:p>
        </w:tc>
        <w:tc>
          <w:tcPr>
            <w:tcW w:w="271" w:type="pct"/>
          </w:tcPr>
          <w:p w14:paraId="6566A156" w14:textId="77777777" w:rsidR="00406602" w:rsidRPr="00BC1814" w:rsidRDefault="00406602" w:rsidP="001A5D4A">
            <w:pPr>
              <w:pStyle w:val="NotesTable-Notes"/>
            </w:pPr>
          </w:p>
        </w:tc>
        <w:tc>
          <w:tcPr>
            <w:tcW w:w="406" w:type="pct"/>
          </w:tcPr>
          <w:p w14:paraId="2D484DB7" w14:textId="77777777" w:rsidR="00406602" w:rsidRPr="00BC1814" w:rsidRDefault="00406602" w:rsidP="001A5D4A">
            <w:pPr>
              <w:pStyle w:val="NotesTable-HeadPlain"/>
            </w:pPr>
            <w:r w:rsidRPr="00BC1814">
              <w:t>$’000</w:t>
            </w:r>
          </w:p>
        </w:tc>
        <w:tc>
          <w:tcPr>
            <w:tcW w:w="406" w:type="pct"/>
          </w:tcPr>
          <w:p w14:paraId="49DA276B" w14:textId="77777777" w:rsidR="00406602" w:rsidRPr="00BC1814" w:rsidRDefault="00406602" w:rsidP="001A5D4A">
            <w:pPr>
              <w:pStyle w:val="NotesTable-HeadPlain"/>
            </w:pPr>
            <w:r w:rsidRPr="00BC1814">
              <w:t>$’000</w:t>
            </w:r>
          </w:p>
        </w:tc>
        <w:tc>
          <w:tcPr>
            <w:tcW w:w="406" w:type="pct"/>
          </w:tcPr>
          <w:p w14:paraId="512707B7" w14:textId="77777777" w:rsidR="00406602" w:rsidRPr="00BC1814" w:rsidRDefault="00406602" w:rsidP="001A5D4A">
            <w:pPr>
              <w:pStyle w:val="NotesTable-HeadPlain"/>
            </w:pPr>
            <w:r w:rsidRPr="00BC1814">
              <w:t>$’000</w:t>
            </w:r>
          </w:p>
        </w:tc>
        <w:tc>
          <w:tcPr>
            <w:tcW w:w="404" w:type="pct"/>
          </w:tcPr>
          <w:p w14:paraId="615FDB22" w14:textId="77777777" w:rsidR="00406602" w:rsidRPr="00BC1814" w:rsidRDefault="00406602" w:rsidP="001A5D4A">
            <w:pPr>
              <w:pStyle w:val="NotesTable-HeadPlain"/>
            </w:pPr>
            <w:r w:rsidRPr="00BC1814">
              <w:t>$’000</w:t>
            </w:r>
          </w:p>
        </w:tc>
      </w:tr>
      <w:tr w:rsidR="00406602" w:rsidRPr="00BC1814" w14:paraId="35AFDBFF" w14:textId="77777777" w:rsidTr="00AA2125">
        <w:trPr>
          <w:cantSplit/>
          <w:trHeight w:val="181"/>
        </w:trPr>
        <w:tc>
          <w:tcPr>
            <w:tcW w:w="811" w:type="pct"/>
            <w:vAlign w:val="bottom"/>
          </w:tcPr>
          <w:p w14:paraId="3BCF9FEF" w14:textId="77777777" w:rsidR="00406602" w:rsidRDefault="00406602" w:rsidP="001A5D4A">
            <w:pPr>
              <w:pStyle w:val="Note-Refs"/>
            </w:pPr>
          </w:p>
        </w:tc>
        <w:tc>
          <w:tcPr>
            <w:tcW w:w="2296" w:type="pct"/>
            <w:vAlign w:val="bottom"/>
          </w:tcPr>
          <w:p w14:paraId="27376CC4" w14:textId="77777777" w:rsidR="00406602" w:rsidRDefault="00406602" w:rsidP="001A5D4A">
            <w:pPr>
              <w:pStyle w:val="Note-Text"/>
            </w:pPr>
          </w:p>
        </w:tc>
        <w:tc>
          <w:tcPr>
            <w:tcW w:w="271" w:type="pct"/>
          </w:tcPr>
          <w:p w14:paraId="145465FC" w14:textId="77777777" w:rsidR="00406602" w:rsidRPr="00BC1814" w:rsidRDefault="00406602" w:rsidP="001A5D4A">
            <w:pPr>
              <w:pStyle w:val="NotesTable-Notes"/>
            </w:pPr>
          </w:p>
        </w:tc>
        <w:tc>
          <w:tcPr>
            <w:tcW w:w="406" w:type="pct"/>
            <w:vAlign w:val="bottom"/>
          </w:tcPr>
          <w:p w14:paraId="04D932AB" w14:textId="77777777" w:rsidR="00406602" w:rsidRPr="00BC1814" w:rsidRDefault="00406602" w:rsidP="001A5D4A">
            <w:pPr>
              <w:pStyle w:val="NotesTable-HeadPlain"/>
            </w:pPr>
            <w:r w:rsidRPr="00BC1814">
              <w:t>Fund 1</w:t>
            </w:r>
          </w:p>
        </w:tc>
        <w:tc>
          <w:tcPr>
            <w:tcW w:w="406" w:type="pct"/>
            <w:vAlign w:val="bottom"/>
          </w:tcPr>
          <w:p w14:paraId="1B796D7D" w14:textId="77777777" w:rsidR="00406602" w:rsidRPr="00BC1814" w:rsidRDefault="00406602" w:rsidP="001A5D4A">
            <w:pPr>
              <w:pStyle w:val="NotesTable-HeadPlain"/>
            </w:pPr>
            <w:r w:rsidRPr="00BC1814">
              <w:t>Fund 2</w:t>
            </w:r>
          </w:p>
        </w:tc>
        <w:tc>
          <w:tcPr>
            <w:tcW w:w="406" w:type="pct"/>
            <w:vAlign w:val="bottom"/>
          </w:tcPr>
          <w:p w14:paraId="1C6A2410" w14:textId="77777777" w:rsidR="00406602" w:rsidRPr="00BC1814" w:rsidRDefault="00406602" w:rsidP="001A5D4A">
            <w:pPr>
              <w:pStyle w:val="NotesTable-HeadPlain"/>
            </w:pPr>
            <w:r w:rsidRPr="00BC1814">
              <w:t>Fund 3</w:t>
            </w:r>
          </w:p>
        </w:tc>
        <w:tc>
          <w:tcPr>
            <w:tcW w:w="404" w:type="pct"/>
            <w:vAlign w:val="bottom"/>
          </w:tcPr>
          <w:p w14:paraId="2EF63083" w14:textId="77777777" w:rsidR="00406602" w:rsidRPr="00BC1814" w:rsidRDefault="00406602" w:rsidP="001A5D4A">
            <w:pPr>
              <w:pStyle w:val="NotesTable-HeadPlain"/>
            </w:pPr>
            <w:r w:rsidRPr="00BC1814">
              <w:t>Total</w:t>
            </w:r>
          </w:p>
        </w:tc>
      </w:tr>
      <w:tr w:rsidR="00406602" w:rsidRPr="00BC1814" w14:paraId="30D29A20" w14:textId="77777777" w:rsidTr="00AA2125">
        <w:trPr>
          <w:cantSplit/>
          <w:trHeight w:val="181"/>
        </w:trPr>
        <w:tc>
          <w:tcPr>
            <w:tcW w:w="811" w:type="pct"/>
            <w:vAlign w:val="bottom"/>
          </w:tcPr>
          <w:p w14:paraId="36978746" w14:textId="77777777" w:rsidR="00406602" w:rsidRDefault="00406602" w:rsidP="001A5D4A">
            <w:pPr>
              <w:pStyle w:val="Note-Refs"/>
            </w:pPr>
          </w:p>
        </w:tc>
        <w:tc>
          <w:tcPr>
            <w:tcW w:w="2296" w:type="pct"/>
            <w:vAlign w:val="bottom"/>
          </w:tcPr>
          <w:p w14:paraId="6E2D66C3" w14:textId="77777777" w:rsidR="00406602" w:rsidRPr="002A767F" w:rsidRDefault="00406602" w:rsidP="001A5D4A">
            <w:pPr>
              <w:pStyle w:val="Note-TextHeader"/>
            </w:pPr>
            <w:r w:rsidRPr="002A767F">
              <w:t>Liabilities</w:t>
            </w:r>
          </w:p>
        </w:tc>
        <w:tc>
          <w:tcPr>
            <w:tcW w:w="271" w:type="pct"/>
          </w:tcPr>
          <w:p w14:paraId="5ECC3AFA" w14:textId="77777777" w:rsidR="00406602" w:rsidRPr="00BC1814" w:rsidRDefault="00406602" w:rsidP="001A5D4A">
            <w:pPr>
              <w:pStyle w:val="NotesTable-Notes"/>
            </w:pPr>
          </w:p>
        </w:tc>
        <w:tc>
          <w:tcPr>
            <w:tcW w:w="406" w:type="pct"/>
            <w:vAlign w:val="bottom"/>
          </w:tcPr>
          <w:p w14:paraId="5BFF777D" w14:textId="77777777" w:rsidR="00406602" w:rsidRPr="00BC1814" w:rsidRDefault="00406602" w:rsidP="001A5D4A">
            <w:pPr>
              <w:pStyle w:val="NotesTable-HeadPlain"/>
            </w:pPr>
          </w:p>
        </w:tc>
        <w:tc>
          <w:tcPr>
            <w:tcW w:w="406" w:type="pct"/>
            <w:vAlign w:val="bottom"/>
          </w:tcPr>
          <w:p w14:paraId="7297DB1C" w14:textId="77777777" w:rsidR="00406602" w:rsidRPr="00BC1814" w:rsidRDefault="00406602" w:rsidP="001A5D4A">
            <w:pPr>
              <w:pStyle w:val="NotesTable-HeadPlain"/>
            </w:pPr>
          </w:p>
        </w:tc>
        <w:tc>
          <w:tcPr>
            <w:tcW w:w="406" w:type="pct"/>
            <w:vAlign w:val="bottom"/>
          </w:tcPr>
          <w:p w14:paraId="46BDC62B" w14:textId="77777777" w:rsidR="00406602" w:rsidRPr="00BC1814" w:rsidRDefault="00406602" w:rsidP="001A5D4A">
            <w:pPr>
              <w:pStyle w:val="NotesTable-HeadPlain"/>
            </w:pPr>
          </w:p>
        </w:tc>
        <w:tc>
          <w:tcPr>
            <w:tcW w:w="404" w:type="pct"/>
            <w:vAlign w:val="bottom"/>
          </w:tcPr>
          <w:p w14:paraId="79684957" w14:textId="77777777" w:rsidR="00406602" w:rsidRPr="00BC1814" w:rsidRDefault="00406602" w:rsidP="001A5D4A">
            <w:pPr>
              <w:pStyle w:val="NotesTable-HeadPlain"/>
            </w:pPr>
          </w:p>
        </w:tc>
      </w:tr>
      <w:tr w:rsidR="00406602" w:rsidRPr="00BC1814" w14:paraId="60B7C814" w14:textId="77777777" w:rsidTr="00AA2125">
        <w:trPr>
          <w:cantSplit/>
          <w:trHeight w:val="181"/>
        </w:trPr>
        <w:tc>
          <w:tcPr>
            <w:tcW w:w="811" w:type="pct"/>
            <w:vAlign w:val="bottom"/>
          </w:tcPr>
          <w:p w14:paraId="1A6F7958" w14:textId="77777777" w:rsidR="00406602" w:rsidRDefault="00406602" w:rsidP="001A5D4A">
            <w:pPr>
              <w:pStyle w:val="Note-Refs"/>
            </w:pPr>
          </w:p>
        </w:tc>
        <w:tc>
          <w:tcPr>
            <w:tcW w:w="2296" w:type="pct"/>
            <w:vAlign w:val="bottom"/>
          </w:tcPr>
          <w:p w14:paraId="418EF5E4" w14:textId="77777777" w:rsidR="00406602" w:rsidRPr="002A767F" w:rsidRDefault="00406602" w:rsidP="001A5D4A">
            <w:pPr>
              <w:pStyle w:val="NotesTable-ItemPlain"/>
            </w:pPr>
            <w:r w:rsidRPr="002A767F">
              <w:t>Provision for deferred government benefits for superannuation</w:t>
            </w:r>
          </w:p>
        </w:tc>
        <w:tc>
          <w:tcPr>
            <w:tcW w:w="271" w:type="pct"/>
          </w:tcPr>
          <w:p w14:paraId="247C0C43" w14:textId="77777777" w:rsidR="00406602" w:rsidRPr="00BC1814" w:rsidRDefault="00406602" w:rsidP="001A5D4A">
            <w:pPr>
              <w:pStyle w:val="NotesTable-Notes"/>
            </w:pPr>
          </w:p>
        </w:tc>
        <w:tc>
          <w:tcPr>
            <w:tcW w:w="406" w:type="pct"/>
            <w:vAlign w:val="bottom"/>
          </w:tcPr>
          <w:p w14:paraId="45EF376A" w14:textId="13707605" w:rsidR="00406602" w:rsidRPr="00BC1814" w:rsidRDefault="00406602" w:rsidP="001A5D4A">
            <w:pPr>
              <w:pStyle w:val="NotesTable-HeadPlain"/>
            </w:pPr>
            <w:r w:rsidRPr="000A11B4">
              <w:t>–</w:t>
            </w:r>
          </w:p>
        </w:tc>
        <w:tc>
          <w:tcPr>
            <w:tcW w:w="406" w:type="pct"/>
            <w:vAlign w:val="bottom"/>
          </w:tcPr>
          <w:p w14:paraId="052DA585" w14:textId="45B356AC" w:rsidR="00406602" w:rsidRPr="00BC1814" w:rsidRDefault="00406602" w:rsidP="001A5D4A">
            <w:pPr>
              <w:pStyle w:val="NotesTable-HeadPlain"/>
            </w:pPr>
            <w:r w:rsidRPr="000A11B4">
              <w:t>–</w:t>
            </w:r>
          </w:p>
        </w:tc>
        <w:tc>
          <w:tcPr>
            <w:tcW w:w="406" w:type="pct"/>
            <w:vAlign w:val="bottom"/>
          </w:tcPr>
          <w:p w14:paraId="433381C9" w14:textId="7E78A475" w:rsidR="00406602" w:rsidRPr="00BC1814" w:rsidRDefault="00406602" w:rsidP="001A5D4A">
            <w:pPr>
              <w:pStyle w:val="NotesTable-HeadPlain"/>
            </w:pPr>
            <w:r w:rsidRPr="000A11B4">
              <w:t>–</w:t>
            </w:r>
          </w:p>
        </w:tc>
        <w:tc>
          <w:tcPr>
            <w:tcW w:w="404" w:type="pct"/>
            <w:vAlign w:val="bottom"/>
          </w:tcPr>
          <w:p w14:paraId="2A06C4C7" w14:textId="385B9092" w:rsidR="00406602" w:rsidRPr="00BC1814" w:rsidRDefault="00406602" w:rsidP="001A5D4A">
            <w:pPr>
              <w:pStyle w:val="NotesTable-HeadPlain"/>
            </w:pPr>
            <w:r w:rsidRPr="000A11B4">
              <w:t>–</w:t>
            </w:r>
          </w:p>
        </w:tc>
      </w:tr>
      <w:tr w:rsidR="00406602" w:rsidRPr="00BC1814" w14:paraId="642144B4" w14:textId="77777777" w:rsidTr="00AA2125">
        <w:trPr>
          <w:cantSplit/>
          <w:trHeight w:val="181"/>
        </w:trPr>
        <w:tc>
          <w:tcPr>
            <w:tcW w:w="811" w:type="pct"/>
            <w:vAlign w:val="bottom"/>
          </w:tcPr>
          <w:p w14:paraId="0583938A" w14:textId="77777777" w:rsidR="00406602" w:rsidRDefault="00406602" w:rsidP="001A5D4A">
            <w:pPr>
              <w:pStyle w:val="Note-Refs"/>
            </w:pPr>
          </w:p>
        </w:tc>
        <w:tc>
          <w:tcPr>
            <w:tcW w:w="2296" w:type="pct"/>
            <w:vAlign w:val="bottom"/>
          </w:tcPr>
          <w:p w14:paraId="23BFDAAB" w14:textId="77777777" w:rsidR="00406602" w:rsidRDefault="00406602" w:rsidP="001A5D4A">
            <w:pPr>
              <w:pStyle w:val="NotesTable-ItemPlain"/>
            </w:pPr>
            <w:r w:rsidRPr="002A767F">
              <w:t>Provision for pension entitlements</w:t>
            </w:r>
          </w:p>
        </w:tc>
        <w:tc>
          <w:tcPr>
            <w:tcW w:w="271" w:type="pct"/>
          </w:tcPr>
          <w:p w14:paraId="12349B2E" w14:textId="77777777" w:rsidR="00406602" w:rsidRPr="00BC1814" w:rsidRDefault="00406602" w:rsidP="001A5D4A">
            <w:pPr>
              <w:pStyle w:val="NotesTable-Notes"/>
            </w:pPr>
          </w:p>
        </w:tc>
        <w:tc>
          <w:tcPr>
            <w:tcW w:w="406" w:type="pct"/>
            <w:tcBorders>
              <w:bottom w:val="single" w:sz="4" w:space="0" w:color="auto"/>
            </w:tcBorders>
          </w:tcPr>
          <w:p w14:paraId="0731EB03" w14:textId="44FAF2A0" w:rsidR="00406602" w:rsidRPr="00BC1814" w:rsidRDefault="00406602" w:rsidP="001A5D4A">
            <w:pPr>
              <w:pStyle w:val="NotesTable-HeadPlain"/>
            </w:pPr>
            <w:r w:rsidRPr="000A11B4">
              <w:t>–</w:t>
            </w:r>
          </w:p>
        </w:tc>
        <w:tc>
          <w:tcPr>
            <w:tcW w:w="406" w:type="pct"/>
            <w:tcBorders>
              <w:bottom w:val="single" w:sz="4" w:space="0" w:color="auto"/>
            </w:tcBorders>
          </w:tcPr>
          <w:p w14:paraId="21118784" w14:textId="6A294350" w:rsidR="00406602" w:rsidRPr="00BC1814" w:rsidRDefault="00406602" w:rsidP="001A5D4A">
            <w:pPr>
              <w:pStyle w:val="NotesTable-HeadPlain"/>
            </w:pPr>
            <w:r w:rsidRPr="000A11B4">
              <w:t>–</w:t>
            </w:r>
          </w:p>
        </w:tc>
        <w:tc>
          <w:tcPr>
            <w:tcW w:w="406" w:type="pct"/>
            <w:tcBorders>
              <w:bottom w:val="single" w:sz="4" w:space="0" w:color="auto"/>
            </w:tcBorders>
          </w:tcPr>
          <w:p w14:paraId="388899FC" w14:textId="76FD01B7" w:rsidR="00406602" w:rsidRPr="00BC1814" w:rsidRDefault="00406602" w:rsidP="001A5D4A">
            <w:pPr>
              <w:pStyle w:val="NotesTable-HeadPlain"/>
            </w:pPr>
            <w:r w:rsidRPr="000A11B4">
              <w:t>–</w:t>
            </w:r>
          </w:p>
        </w:tc>
        <w:tc>
          <w:tcPr>
            <w:tcW w:w="404" w:type="pct"/>
            <w:tcBorders>
              <w:bottom w:val="single" w:sz="4" w:space="0" w:color="auto"/>
            </w:tcBorders>
          </w:tcPr>
          <w:p w14:paraId="6B8839E0" w14:textId="6EF3484D" w:rsidR="00406602" w:rsidRPr="00BC1814" w:rsidRDefault="00406602" w:rsidP="001A5D4A">
            <w:pPr>
              <w:pStyle w:val="NotesTable-HeadPlain"/>
            </w:pPr>
            <w:r w:rsidRPr="000A11B4">
              <w:t>–</w:t>
            </w:r>
          </w:p>
        </w:tc>
      </w:tr>
      <w:tr w:rsidR="00406602" w:rsidRPr="00BC1814" w14:paraId="0EE6968F" w14:textId="77777777" w:rsidTr="00AA2125">
        <w:trPr>
          <w:cantSplit/>
          <w:trHeight w:val="181"/>
        </w:trPr>
        <w:tc>
          <w:tcPr>
            <w:tcW w:w="811" w:type="pct"/>
            <w:vAlign w:val="bottom"/>
          </w:tcPr>
          <w:p w14:paraId="6B5590AB" w14:textId="77777777" w:rsidR="00406602" w:rsidRDefault="00406602" w:rsidP="001A5D4A">
            <w:pPr>
              <w:pStyle w:val="Note-Refs"/>
            </w:pPr>
          </w:p>
        </w:tc>
        <w:tc>
          <w:tcPr>
            <w:tcW w:w="2296" w:type="pct"/>
            <w:vAlign w:val="bottom"/>
          </w:tcPr>
          <w:p w14:paraId="4C9BE3CF" w14:textId="77777777" w:rsidR="00406602" w:rsidRPr="0074467D" w:rsidRDefault="00406602" w:rsidP="001A5D4A">
            <w:pPr>
              <w:pStyle w:val="NotesTable-ItemPlain"/>
            </w:pPr>
            <w:r w:rsidRPr="0074467D">
              <w:t>Total liabilities</w:t>
            </w:r>
          </w:p>
        </w:tc>
        <w:tc>
          <w:tcPr>
            <w:tcW w:w="271" w:type="pct"/>
          </w:tcPr>
          <w:p w14:paraId="137F676D" w14:textId="77777777" w:rsidR="00406602" w:rsidRPr="00BC1814" w:rsidRDefault="00406602" w:rsidP="001A5D4A">
            <w:pPr>
              <w:pStyle w:val="NotesTable-Notes"/>
            </w:pPr>
          </w:p>
        </w:tc>
        <w:tc>
          <w:tcPr>
            <w:tcW w:w="406" w:type="pct"/>
            <w:tcBorders>
              <w:top w:val="single" w:sz="4" w:space="0" w:color="auto"/>
            </w:tcBorders>
          </w:tcPr>
          <w:p w14:paraId="19AF714E" w14:textId="3C215B26" w:rsidR="00406602" w:rsidRPr="00BC1814" w:rsidRDefault="00406602" w:rsidP="001A5D4A">
            <w:pPr>
              <w:pStyle w:val="NotesTable-HeadPlain"/>
            </w:pPr>
            <w:r w:rsidRPr="000A11B4">
              <w:t>–</w:t>
            </w:r>
          </w:p>
        </w:tc>
        <w:tc>
          <w:tcPr>
            <w:tcW w:w="406" w:type="pct"/>
            <w:tcBorders>
              <w:top w:val="single" w:sz="4" w:space="0" w:color="auto"/>
            </w:tcBorders>
          </w:tcPr>
          <w:p w14:paraId="7A9A735B" w14:textId="6C792265" w:rsidR="00406602" w:rsidRPr="00BC1814" w:rsidRDefault="00406602" w:rsidP="001A5D4A">
            <w:pPr>
              <w:pStyle w:val="NotesTable-HeadPlain"/>
            </w:pPr>
            <w:r w:rsidRPr="000A11B4">
              <w:t>–</w:t>
            </w:r>
          </w:p>
        </w:tc>
        <w:tc>
          <w:tcPr>
            <w:tcW w:w="406" w:type="pct"/>
            <w:tcBorders>
              <w:top w:val="single" w:sz="4" w:space="0" w:color="auto"/>
            </w:tcBorders>
          </w:tcPr>
          <w:p w14:paraId="124868D7" w14:textId="18729153" w:rsidR="00406602" w:rsidRPr="00BC1814" w:rsidRDefault="00406602" w:rsidP="001A5D4A">
            <w:pPr>
              <w:pStyle w:val="NotesTable-HeadPlain"/>
            </w:pPr>
            <w:r w:rsidRPr="000A11B4">
              <w:t>–</w:t>
            </w:r>
          </w:p>
        </w:tc>
        <w:tc>
          <w:tcPr>
            <w:tcW w:w="404" w:type="pct"/>
            <w:tcBorders>
              <w:top w:val="single" w:sz="4" w:space="0" w:color="auto"/>
            </w:tcBorders>
          </w:tcPr>
          <w:p w14:paraId="7EEAC077" w14:textId="24A78018" w:rsidR="00406602" w:rsidRPr="00BC1814" w:rsidRDefault="00406602" w:rsidP="001A5D4A">
            <w:pPr>
              <w:pStyle w:val="NotesTable-HeadPlain"/>
            </w:pPr>
            <w:r w:rsidRPr="000A11B4">
              <w:t>–</w:t>
            </w:r>
          </w:p>
        </w:tc>
      </w:tr>
      <w:tr w:rsidR="00406602" w:rsidRPr="00BC1814" w14:paraId="2D2CDE34" w14:textId="77777777" w:rsidTr="00AA2125">
        <w:trPr>
          <w:cantSplit/>
          <w:trHeight w:val="181"/>
        </w:trPr>
        <w:tc>
          <w:tcPr>
            <w:tcW w:w="811" w:type="pct"/>
            <w:vAlign w:val="bottom"/>
          </w:tcPr>
          <w:p w14:paraId="3F2AB30E" w14:textId="77777777" w:rsidR="00406602" w:rsidRDefault="00406602" w:rsidP="001A5D4A">
            <w:pPr>
              <w:pStyle w:val="Note-Refs"/>
            </w:pPr>
          </w:p>
        </w:tc>
        <w:tc>
          <w:tcPr>
            <w:tcW w:w="2296" w:type="pct"/>
            <w:vAlign w:val="bottom"/>
          </w:tcPr>
          <w:p w14:paraId="64240862" w14:textId="77777777" w:rsidR="00406602" w:rsidRPr="0074467D" w:rsidRDefault="00406602" w:rsidP="001A5D4A">
            <w:pPr>
              <w:pStyle w:val="NotesTable-ItemPlain"/>
            </w:pPr>
            <w:r>
              <w:t>a</w:t>
            </w:r>
            <w:r w:rsidRPr="0074467D">
              <w:t>dd: On-costs on pension entitlements</w:t>
            </w:r>
          </w:p>
        </w:tc>
        <w:tc>
          <w:tcPr>
            <w:tcW w:w="271" w:type="pct"/>
          </w:tcPr>
          <w:p w14:paraId="556291CF" w14:textId="77777777" w:rsidR="00406602" w:rsidRPr="00BC1814" w:rsidRDefault="00406602" w:rsidP="001A5D4A">
            <w:pPr>
              <w:pStyle w:val="NotesTable-Notes"/>
            </w:pPr>
          </w:p>
        </w:tc>
        <w:tc>
          <w:tcPr>
            <w:tcW w:w="406" w:type="pct"/>
          </w:tcPr>
          <w:p w14:paraId="418095DB" w14:textId="4DD819FD" w:rsidR="00406602" w:rsidRPr="00BC1814" w:rsidRDefault="00406602" w:rsidP="001A5D4A">
            <w:pPr>
              <w:pStyle w:val="NotesTable-HeadPlain"/>
            </w:pPr>
            <w:r w:rsidRPr="000A11B4">
              <w:t>–</w:t>
            </w:r>
          </w:p>
        </w:tc>
        <w:tc>
          <w:tcPr>
            <w:tcW w:w="406" w:type="pct"/>
          </w:tcPr>
          <w:p w14:paraId="7D01BC5C" w14:textId="569E848F" w:rsidR="00406602" w:rsidRPr="00BC1814" w:rsidRDefault="00406602" w:rsidP="001A5D4A">
            <w:pPr>
              <w:pStyle w:val="NotesTable-HeadPlain"/>
            </w:pPr>
            <w:r w:rsidRPr="000A11B4">
              <w:t>–</w:t>
            </w:r>
          </w:p>
        </w:tc>
        <w:tc>
          <w:tcPr>
            <w:tcW w:w="406" w:type="pct"/>
          </w:tcPr>
          <w:p w14:paraId="46A41267" w14:textId="12DEC863" w:rsidR="00406602" w:rsidRPr="00BC1814" w:rsidRDefault="00406602" w:rsidP="001A5D4A">
            <w:pPr>
              <w:pStyle w:val="NotesTable-HeadPlain"/>
            </w:pPr>
            <w:r w:rsidRPr="000A11B4">
              <w:t>–</w:t>
            </w:r>
          </w:p>
        </w:tc>
        <w:tc>
          <w:tcPr>
            <w:tcW w:w="404" w:type="pct"/>
          </w:tcPr>
          <w:p w14:paraId="1F62D25C" w14:textId="0C9492E6" w:rsidR="00406602" w:rsidRPr="00BC1814" w:rsidRDefault="00406602" w:rsidP="001A5D4A">
            <w:pPr>
              <w:pStyle w:val="NotesTable-HeadPlain"/>
            </w:pPr>
            <w:r w:rsidRPr="000A11B4">
              <w:t>–</w:t>
            </w:r>
          </w:p>
        </w:tc>
      </w:tr>
      <w:tr w:rsidR="00406602" w:rsidRPr="00BC1814" w14:paraId="261D8017" w14:textId="77777777" w:rsidTr="00AA2125">
        <w:trPr>
          <w:cantSplit/>
          <w:trHeight w:val="181"/>
        </w:trPr>
        <w:tc>
          <w:tcPr>
            <w:tcW w:w="811" w:type="pct"/>
            <w:vAlign w:val="bottom"/>
          </w:tcPr>
          <w:p w14:paraId="2D552F02" w14:textId="77777777" w:rsidR="00406602" w:rsidRDefault="00406602" w:rsidP="001A5D4A">
            <w:pPr>
              <w:pStyle w:val="Note-Refs"/>
            </w:pPr>
          </w:p>
        </w:tc>
        <w:tc>
          <w:tcPr>
            <w:tcW w:w="2296" w:type="pct"/>
            <w:vAlign w:val="bottom"/>
          </w:tcPr>
          <w:p w14:paraId="37F92975" w14:textId="77777777" w:rsidR="00406602" w:rsidRPr="0074467D" w:rsidRDefault="00406602" w:rsidP="001A5D4A">
            <w:pPr>
              <w:pStyle w:val="NotesTable-ItemPlain"/>
            </w:pPr>
            <w:r w:rsidRPr="0074467D">
              <w:t>Total pension entitlements (</w:t>
            </w:r>
            <w:proofErr w:type="spellStart"/>
            <w:r w:rsidRPr="0074467D">
              <w:t>incl</w:t>
            </w:r>
            <w:proofErr w:type="spellEnd"/>
            <w:r w:rsidRPr="0074467D">
              <w:t xml:space="preserve"> on-costs)</w:t>
            </w:r>
          </w:p>
        </w:tc>
        <w:tc>
          <w:tcPr>
            <w:tcW w:w="271" w:type="pct"/>
          </w:tcPr>
          <w:p w14:paraId="6CB83D26" w14:textId="77777777" w:rsidR="00406602" w:rsidRPr="00BC1814" w:rsidRDefault="00406602" w:rsidP="001A5D4A">
            <w:pPr>
              <w:pStyle w:val="NotesTable-Notes"/>
            </w:pPr>
          </w:p>
        </w:tc>
        <w:tc>
          <w:tcPr>
            <w:tcW w:w="406" w:type="pct"/>
            <w:tcBorders>
              <w:bottom w:val="single" w:sz="4" w:space="0" w:color="auto"/>
            </w:tcBorders>
          </w:tcPr>
          <w:p w14:paraId="730EDE3A" w14:textId="7BA6F2B1" w:rsidR="00406602" w:rsidRPr="00BC1814" w:rsidRDefault="00406602" w:rsidP="001A5D4A">
            <w:pPr>
              <w:pStyle w:val="NotesTable-HeadPlain"/>
            </w:pPr>
            <w:r w:rsidRPr="000A11B4">
              <w:t>–</w:t>
            </w:r>
          </w:p>
        </w:tc>
        <w:tc>
          <w:tcPr>
            <w:tcW w:w="406" w:type="pct"/>
            <w:tcBorders>
              <w:bottom w:val="single" w:sz="4" w:space="0" w:color="auto"/>
            </w:tcBorders>
          </w:tcPr>
          <w:p w14:paraId="1C7047D7" w14:textId="3CDE4270" w:rsidR="00406602" w:rsidRPr="00BC1814" w:rsidRDefault="00406602" w:rsidP="001A5D4A">
            <w:pPr>
              <w:pStyle w:val="NotesTable-HeadPlain"/>
            </w:pPr>
            <w:r w:rsidRPr="000A11B4">
              <w:t>–</w:t>
            </w:r>
          </w:p>
        </w:tc>
        <w:tc>
          <w:tcPr>
            <w:tcW w:w="406" w:type="pct"/>
            <w:tcBorders>
              <w:bottom w:val="single" w:sz="4" w:space="0" w:color="auto"/>
            </w:tcBorders>
          </w:tcPr>
          <w:p w14:paraId="1A80C4D2" w14:textId="76CB7FA4" w:rsidR="00406602" w:rsidRPr="00BC1814" w:rsidRDefault="00406602" w:rsidP="001A5D4A">
            <w:pPr>
              <w:pStyle w:val="NotesTable-HeadPlain"/>
            </w:pPr>
            <w:r w:rsidRPr="000A11B4">
              <w:t>–</w:t>
            </w:r>
          </w:p>
        </w:tc>
        <w:tc>
          <w:tcPr>
            <w:tcW w:w="404" w:type="pct"/>
            <w:tcBorders>
              <w:bottom w:val="single" w:sz="4" w:space="0" w:color="auto"/>
            </w:tcBorders>
          </w:tcPr>
          <w:p w14:paraId="590B6B3A" w14:textId="4B477534" w:rsidR="00406602" w:rsidRPr="00BC1814" w:rsidRDefault="00406602" w:rsidP="001A5D4A">
            <w:pPr>
              <w:pStyle w:val="NotesTable-HeadPlain"/>
            </w:pPr>
            <w:r w:rsidRPr="000A11B4">
              <w:t>–</w:t>
            </w:r>
          </w:p>
        </w:tc>
      </w:tr>
      <w:tr w:rsidR="00406602" w:rsidRPr="00BC1814" w14:paraId="6C51AC1D" w14:textId="77777777" w:rsidTr="00AA2125">
        <w:trPr>
          <w:cantSplit/>
          <w:trHeight w:val="181"/>
        </w:trPr>
        <w:tc>
          <w:tcPr>
            <w:tcW w:w="811" w:type="pct"/>
            <w:vAlign w:val="bottom"/>
          </w:tcPr>
          <w:p w14:paraId="54C7BB09" w14:textId="77777777" w:rsidR="00406602" w:rsidRDefault="00406602" w:rsidP="001A5D4A">
            <w:pPr>
              <w:pStyle w:val="Note-Refs"/>
            </w:pPr>
          </w:p>
        </w:tc>
        <w:tc>
          <w:tcPr>
            <w:tcW w:w="2296" w:type="pct"/>
            <w:vAlign w:val="bottom"/>
          </w:tcPr>
          <w:p w14:paraId="0D5F2974" w14:textId="77777777" w:rsidR="00406602" w:rsidRDefault="00406602" w:rsidP="001A5D4A">
            <w:pPr>
              <w:pStyle w:val="NotesTable-ItemPlain"/>
            </w:pPr>
            <w:r>
              <w:t>Total liabilities recognised in statement of financial position</w:t>
            </w:r>
          </w:p>
        </w:tc>
        <w:tc>
          <w:tcPr>
            <w:tcW w:w="271" w:type="pct"/>
          </w:tcPr>
          <w:p w14:paraId="16C6112C" w14:textId="77777777" w:rsidR="00406602" w:rsidRPr="00BC1814" w:rsidRDefault="00406602" w:rsidP="001A5D4A">
            <w:pPr>
              <w:pStyle w:val="NotesTable-Notes"/>
            </w:pPr>
          </w:p>
        </w:tc>
        <w:tc>
          <w:tcPr>
            <w:tcW w:w="406" w:type="pct"/>
            <w:tcBorders>
              <w:top w:val="single" w:sz="4" w:space="0" w:color="auto"/>
            </w:tcBorders>
          </w:tcPr>
          <w:p w14:paraId="478D8A25" w14:textId="2B033705" w:rsidR="00406602" w:rsidRPr="00BC1814" w:rsidRDefault="00406602" w:rsidP="001A5D4A">
            <w:pPr>
              <w:pStyle w:val="NotesTable-HeadPlain"/>
            </w:pPr>
            <w:r w:rsidRPr="000A11B4">
              <w:t>–</w:t>
            </w:r>
          </w:p>
        </w:tc>
        <w:tc>
          <w:tcPr>
            <w:tcW w:w="406" w:type="pct"/>
            <w:tcBorders>
              <w:top w:val="single" w:sz="4" w:space="0" w:color="auto"/>
            </w:tcBorders>
          </w:tcPr>
          <w:p w14:paraId="1BF97A05" w14:textId="1E5BABD5" w:rsidR="00406602" w:rsidRPr="00BC1814" w:rsidRDefault="00406602" w:rsidP="001A5D4A">
            <w:pPr>
              <w:pStyle w:val="NotesTable-HeadPlain"/>
            </w:pPr>
            <w:r w:rsidRPr="000A11B4">
              <w:t>–</w:t>
            </w:r>
          </w:p>
        </w:tc>
        <w:tc>
          <w:tcPr>
            <w:tcW w:w="406" w:type="pct"/>
            <w:tcBorders>
              <w:top w:val="single" w:sz="4" w:space="0" w:color="auto"/>
            </w:tcBorders>
          </w:tcPr>
          <w:p w14:paraId="4CCADDB8" w14:textId="32E9C267" w:rsidR="00406602" w:rsidRPr="00BC1814" w:rsidRDefault="00406602" w:rsidP="001A5D4A">
            <w:pPr>
              <w:pStyle w:val="NotesTable-HeadPlain"/>
            </w:pPr>
            <w:r w:rsidRPr="000A11B4">
              <w:t>–</w:t>
            </w:r>
          </w:p>
        </w:tc>
        <w:tc>
          <w:tcPr>
            <w:tcW w:w="404" w:type="pct"/>
            <w:tcBorders>
              <w:top w:val="single" w:sz="4" w:space="0" w:color="auto"/>
            </w:tcBorders>
          </w:tcPr>
          <w:p w14:paraId="1DA8B5C3" w14:textId="71F3D849" w:rsidR="00406602" w:rsidRPr="00BC1814" w:rsidRDefault="00406602" w:rsidP="001A5D4A">
            <w:pPr>
              <w:pStyle w:val="NotesTable-HeadPlain"/>
            </w:pPr>
            <w:r w:rsidRPr="000A11B4">
              <w:t>–</w:t>
            </w:r>
          </w:p>
        </w:tc>
      </w:tr>
      <w:tr w:rsidR="00406602" w:rsidRPr="00BC1814" w14:paraId="02029F7A" w14:textId="77777777" w:rsidTr="00AA2125">
        <w:trPr>
          <w:cantSplit/>
          <w:trHeight w:val="181"/>
        </w:trPr>
        <w:tc>
          <w:tcPr>
            <w:tcW w:w="811" w:type="pct"/>
            <w:vAlign w:val="bottom"/>
          </w:tcPr>
          <w:p w14:paraId="1444D02B" w14:textId="77777777" w:rsidR="00406602" w:rsidRDefault="00406602" w:rsidP="001A5D4A">
            <w:pPr>
              <w:pStyle w:val="Note-Refs"/>
            </w:pPr>
          </w:p>
        </w:tc>
        <w:tc>
          <w:tcPr>
            <w:tcW w:w="2296" w:type="pct"/>
            <w:vAlign w:val="bottom"/>
          </w:tcPr>
          <w:p w14:paraId="2EF2D039" w14:textId="77777777" w:rsidR="00406602" w:rsidRDefault="00406602" w:rsidP="001A5D4A">
            <w:pPr>
              <w:pStyle w:val="NotesTable-ItemPlain"/>
            </w:pPr>
          </w:p>
        </w:tc>
        <w:tc>
          <w:tcPr>
            <w:tcW w:w="271" w:type="pct"/>
          </w:tcPr>
          <w:p w14:paraId="342AE2F0" w14:textId="77777777" w:rsidR="00406602" w:rsidRPr="00BC1814" w:rsidRDefault="00406602" w:rsidP="001A5D4A">
            <w:pPr>
              <w:pStyle w:val="NotesTable-Notes"/>
            </w:pPr>
          </w:p>
        </w:tc>
        <w:tc>
          <w:tcPr>
            <w:tcW w:w="406" w:type="pct"/>
            <w:vAlign w:val="bottom"/>
          </w:tcPr>
          <w:p w14:paraId="6C50EEEC" w14:textId="77777777" w:rsidR="00406602" w:rsidRPr="00BC1814" w:rsidRDefault="00406602" w:rsidP="001A5D4A">
            <w:pPr>
              <w:pStyle w:val="NotesTable-HeadPlain"/>
            </w:pPr>
          </w:p>
        </w:tc>
        <w:tc>
          <w:tcPr>
            <w:tcW w:w="406" w:type="pct"/>
            <w:vAlign w:val="bottom"/>
          </w:tcPr>
          <w:p w14:paraId="77EAB67D" w14:textId="77777777" w:rsidR="00406602" w:rsidRPr="00BC1814" w:rsidRDefault="00406602" w:rsidP="001A5D4A">
            <w:pPr>
              <w:pStyle w:val="NotesTable-HeadPlain"/>
            </w:pPr>
          </w:p>
        </w:tc>
        <w:tc>
          <w:tcPr>
            <w:tcW w:w="406" w:type="pct"/>
            <w:vAlign w:val="bottom"/>
          </w:tcPr>
          <w:p w14:paraId="0267C2B0" w14:textId="77777777" w:rsidR="00406602" w:rsidRPr="00BC1814" w:rsidRDefault="00406602" w:rsidP="001A5D4A">
            <w:pPr>
              <w:pStyle w:val="NotesTable-HeadPlain"/>
            </w:pPr>
          </w:p>
        </w:tc>
        <w:tc>
          <w:tcPr>
            <w:tcW w:w="404" w:type="pct"/>
            <w:vAlign w:val="bottom"/>
          </w:tcPr>
          <w:p w14:paraId="61A4955B" w14:textId="77777777" w:rsidR="00406602" w:rsidRPr="00BC1814" w:rsidRDefault="00406602" w:rsidP="001A5D4A">
            <w:pPr>
              <w:pStyle w:val="NotesTable-HeadPlain"/>
            </w:pPr>
          </w:p>
        </w:tc>
      </w:tr>
      <w:tr w:rsidR="00406602" w:rsidRPr="00BC1814" w14:paraId="7BED977E" w14:textId="77777777" w:rsidTr="00AA2125">
        <w:trPr>
          <w:cantSplit/>
          <w:trHeight w:val="181"/>
        </w:trPr>
        <w:tc>
          <w:tcPr>
            <w:tcW w:w="811" w:type="pct"/>
            <w:vAlign w:val="bottom"/>
          </w:tcPr>
          <w:p w14:paraId="39ACC684" w14:textId="77777777" w:rsidR="00406602" w:rsidRDefault="00406602" w:rsidP="001A5D4A">
            <w:pPr>
              <w:pStyle w:val="Note-Refs"/>
            </w:pPr>
          </w:p>
        </w:tc>
        <w:tc>
          <w:tcPr>
            <w:tcW w:w="2296" w:type="pct"/>
            <w:vAlign w:val="bottom"/>
          </w:tcPr>
          <w:p w14:paraId="34487C77" w14:textId="77777777" w:rsidR="00406602" w:rsidRPr="0074467D" w:rsidRDefault="00406602" w:rsidP="001A5D4A">
            <w:pPr>
              <w:pStyle w:val="Note-TextHeader"/>
            </w:pPr>
            <w:r w:rsidRPr="0074467D">
              <w:t>Assets</w:t>
            </w:r>
          </w:p>
        </w:tc>
        <w:tc>
          <w:tcPr>
            <w:tcW w:w="271" w:type="pct"/>
          </w:tcPr>
          <w:p w14:paraId="5BDBA8C9" w14:textId="77777777" w:rsidR="00406602" w:rsidRPr="00BC1814" w:rsidRDefault="00406602" w:rsidP="001A5D4A">
            <w:pPr>
              <w:pStyle w:val="NotesTable-Notes"/>
            </w:pPr>
          </w:p>
        </w:tc>
        <w:tc>
          <w:tcPr>
            <w:tcW w:w="406" w:type="pct"/>
            <w:vAlign w:val="bottom"/>
          </w:tcPr>
          <w:p w14:paraId="14E712C5" w14:textId="77777777" w:rsidR="00406602" w:rsidRPr="00BC1814" w:rsidRDefault="00406602" w:rsidP="001A5D4A">
            <w:pPr>
              <w:pStyle w:val="NotesTable-HeadPlain"/>
            </w:pPr>
          </w:p>
        </w:tc>
        <w:tc>
          <w:tcPr>
            <w:tcW w:w="406" w:type="pct"/>
            <w:vAlign w:val="bottom"/>
          </w:tcPr>
          <w:p w14:paraId="7FC7CAAE" w14:textId="77777777" w:rsidR="00406602" w:rsidRPr="00BC1814" w:rsidRDefault="00406602" w:rsidP="001A5D4A">
            <w:pPr>
              <w:pStyle w:val="NotesTable-HeadPlain"/>
            </w:pPr>
          </w:p>
        </w:tc>
        <w:tc>
          <w:tcPr>
            <w:tcW w:w="406" w:type="pct"/>
            <w:vAlign w:val="bottom"/>
          </w:tcPr>
          <w:p w14:paraId="2EB7817A" w14:textId="77777777" w:rsidR="00406602" w:rsidRPr="00BC1814" w:rsidRDefault="00406602" w:rsidP="001A5D4A">
            <w:pPr>
              <w:pStyle w:val="NotesTable-HeadPlain"/>
            </w:pPr>
          </w:p>
        </w:tc>
        <w:tc>
          <w:tcPr>
            <w:tcW w:w="404" w:type="pct"/>
            <w:vAlign w:val="bottom"/>
          </w:tcPr>
          <w:p w14:paraId="50EF005C" w14:textId="77777777" w:rsidR="00406602" w:rsidRPr="00BC1814" w:rsidRDefault="00406602" w:rsidP="001A5D4A">
            <w:pPr>
              <w:pStyle w:val="NotesTable-HeadPlain"/>
            </w:pPr>
          </w:p>
        </w:tc>
      </w:tr>
      <w:tr w:rsidR="00406602" w:rsidRPr="00BC1814" w14:paraId="49A5CB75" w14:textId="77777777" w:rsidTr="00AA2125">
        <w:trPr>
          <w:cantSplit/>
          <w:trHeight w:val="181"/>
        </w:trPr>
        <w:tc>
          <w:tcPr>
            <w:tcW w:w="811" w:type="pct"/>
            <w:vAlign w:val="bottom"/>
          </w:tcPr>
          <w:p w14:paraId="64D9C750" w14:textId="77777777" w:rsidR="00406602" w:rsidRDefault="00406602" w:rsidP="001A5D4A">
            <w:pPr>
              <w:pStyle w:val="Note-Refs"/>
            </w:pPr>
          </w:p>
        </w:tc>
        <w:tc>
          <w:tcPr>
            <w:tcW w:w="2296" w:type="pct"/>
            <w:vAlign w:val="bottom"/>
          </w:tcPr>
          <w:p w14:paraId="11C042B9" w14:textId="77777777" w:rsidR="00406602" w:rsidRPr="0074467D" w:rsidRDefault="00406602" w:rsidP="001A5D4A">
            <w:pPr>
              <w:pStyle w:val="NotesTable-ItemPlain"/>
            </w:pPr>
            <w:r w:rsidRPr="0074467D">
              <w:t xml:space="preserve">Receivable for deferred government </w:t>
            </w:r>
            <w:r>
              <w:t xml:space="preserve">benefit </w:t>
            </w:r>
            <w:r w:rsidRPr="0074467D">
              <w:t>for superannuation</w:t>
            </w:r>
          </w:p>
        </w:tc>
        <w:tc>
          <w:tcPr>
            <w:tcW w:w="271" w:type="pct"/>
          </w:tcPr>
          <w:p w14:paraId="17CC73F3" w14:textId="77777777" w:rsidR="00406602" w:rsidRPr="00BC1814" w:rsidRDefault="00406602" w:rsidP="001A5D4A">
            <w:pPr>
              <w:pStyle w:val="NotesTable-Notes"/>
            </w:pPr>
          </w:p>
        </w:tc>
        <w:tc>
          <w:tcPr>
            <w:tcW w:w="406" w:type="pct"/>
            <w:tcBorders>
              <w:bottom w:val="single" w:sz="4" w:space="0" w:color="auto"/>
            </w:tcBorders>
            <w:vAlign w:val="bottom"/>
          </w:tcPr>
          <w:p w14:paraId="1988E25C" w14:textId="107099DA" w:rsidR="00406602" w:rsidRPr="00BC1814" w:rsidRDefault="00406602" w:rsidP="001A5D4A">
            <w:pPr>
              <w:pStyle w:val="NotesTable-HeadPlain"/>
            </w:pPr>
            <w:r w:rsidRPr="000A11B4">
              <w:t>–</w:t>
            </w:r>
          </w:p>
        </w:tc>
        <w:tc>
          <w:tcPr>
            <w:tcW w:w="406" w:type="pct"/>
            <w:tcBorders>
              <w:bottom w:val="single" w:sz="4" w:space="0" w:color="auto"/>
            </w:tcBorders>
            <w:vAlign w:val="bottom"/>
          </w:tcPr>
          <w:p w14:paraId="336095ED" w14:textId="670CBDFD" w:rsidR="00406602" w:rsidRPr="00BC1814" w:rsidRDefault="00406602" w:rsidP="001A5D4A">
            <w:pPr>
              <w:pStyle w:val="NotesTable-HeadPlain"/>
            </w:pPr>
            <w:r w:rsidRPr="000A11B4">
              <w:t>–</w:t>
            </w:r>
          </w:p>
        </w:tc>
        <w:tc>
          <w:tcPr>
            <w:tcW w:w="406" w:type="pct"/>
            <w:tcBorders>
              <w:bottom w:val="single" w:sz="4" w:space="0" w:color="auto"/>
            </w:tcBorders>
            <w:vAlign w:val="bottom"/>
          </w:tcPr>
          <w:p w14:paraId="1B6468E9" w14:textId="5EF52FC8" w:rsidR="00406602" w:rsidRPr="00BC1814" w:rsidRDefault="00406602" w:rsidP="001A5D4A">
            <w:pPr>
              <w:pStyle w:val="NotesTable-HeadPlain"/>
            </w:pPr>
            <w:r w:rsidRPr="000A11B4">
              <w:t>–</w:t>
            </w:r>
          </w:p>
        </w:tc>
        <w:tc>
          <w:tcPr>
            <w:tcW w:w="404" w:type="pct"/>
            <w:tcBorders>
              <w:bottom w:val="single" w:sz="4" w:space="0" w:color="auto"/>
            </w:tcBorders>
            <w:vAlign w:val="bottom"/>
          </w:tcPr>
          <w:p w14:paraId="761974E1" w14:textId="7CB51544" w:rsidR="00406602" w:rsidRPr="00BC1814" w:rsidRDefault="00406602" w:rsidP="001A5D4A">
            <w:pPr>
              <w:pStyle w:val="NotesTable-HeadPlain"/>
            </w:pPr>
            <w:r w:rsidRPr="000A11B4">
              <w:t>–</w:t>
            </w:r>
          </w:p>
        </w:tc>
      </w:tr>
      <w:tr w:rsidR="00406602" w:rsidRPr="00BC1814" w14:paraId="31F0A078" w14:textId="77777777" w:rsidTr="00AA2125">
        <w:trPr>
          <w:cantSplit/>
          <w:trHeight w:val="181"/>
        </w:trPr>
        <w:tc>
          <w:tcPr>
            <w:tcW w:w="811" w:type="pct"/>
            <w:vAlign w:val="bottom"/>
          </w:tcPr>
          <w:p w14:paraId="787B1ABF" w14:textId="77777777" w:rsidR="00406602" w:rsidRDefault="00406602" w:rsidP="001A5D4A">
            <w:pPr>
              <w:pStyle w:val="Note-Refs"/>
            </w:pPr>
          </w:p>
        </w:tc>
        <w:tc>
          <w:tcPr>
            <w:tcW w:w="2296" w:type="pct"/>
            <w:vAlign w:val="bottom"/>
          </w:tcPr>
          <w:p w14:paraId="25BE0A06" w14:textId="77777777" w:rsidR="00406602" w:rsidRDefault="00406602" w:rsidP="001A5D4A">
            <w:pPr>
              <w:pStyle w:val="NotesTable-ItemPlain"/>
            </w:pPr>
            <w:r>
              <w:t>Total assets recognised in statement of financial position</w:t>
            </w:r>
          </w:p>
        </w:tc>
        <w:tc>
          <w:tcPr>
            <w:tcW w:w="271" w:type="pct"/>
          </w:tcPr>
          <w:p w14:paraId="06934C98" w14:textId="77777777" w:rsidR="00406602" w:rsidRPr="00BC1814" w:rsidRDefault="00406602" w:rsidP="001A5D4A">
            <w:pPr>
              <w:pStyle w:val="NotesTable-Notes"/>
            </w:pPr>
          </w:p>
        </w:tc>
        <w:tc>
          <w:tcPr>
            <w:tcW w:w="406" w:type="pct"/>
            <w:tcBorders>
              <w:top w:val="single" w:sz="4" w:space="0" w:color="auto"/>
              <w:bottom w:val="single" w:sz="4" w:space="0" w:color="auto"/>
            </w:tcBorders>
          </w:tcPr>
          <w:p w14:paraId="5BEE1079" w14:textId="26A1A31A" w:rsidR="00406602" w:rsidRPr="00BC1814" w:rsidRDefault="00406602" w:rsidP="001A5D4A">
            <w:pPr>
              <w:pStyle w:val="NotesTable-HeadPlain"/>
            </w:pPr>
            <w:r w:rsidRPr="000A11B4">
              <w:t>–</w:t>
            </w:r>
          </w:p>
        </w:tc>
        <w:tc>
          <w:tcPr>
            <w:tcW w:w="406" w:type="pct"/>
            <w:tcBorders>
              <w:top w:val="single" w:sz="4" w:space="0" w:color="auto"/>
              <w:bottom w:val="single" w:sz="4" w:space="0" w:color="auto"/>
            </w:tcBorders>
          </w:tcPr>
          <w:p w14:paraId="56FAE712" w14:textId="32B04CBD" w:rsidR="00406602" w:rsidRPr="00BC1814" w:rsidRDefault="00406602" w:rsidP="001A5D4A">
            <w:pPr>
              <w:pStyle w:val="NotesTable-HeadPlain"/>
            </w:pPr>
            <w:r w:rsidRPr="000A11B4">
              <w:t>–</w:t>
            </w:r>
          </w:p>
        </w:tc>
        <w:tc>
          <w:tcPr>
            <w:tcW w:w="406" w:type="pct"/>
            <w:tcBorders>
              <w:top w:val="single" w:sz="4" w:space="0" w:color="auto"/>
              <w:bottom w:val="single" w:sz="4" w:space="0" w:color="auto"/>
            </w:tcBorders>
          </w:tcPr>
          <w:p w14:paraId="727F73B4" w14:textId="3ABDAF5C" w:rsidR="00406602" w:rsidRPr="00BC1814" w:rsidRDefault="00406602" w:rsidP="001A5D4A">
            <w:pPr>
              <w:pStyle w:val="NotesTable-HeadPlain"/>
            </w:pPr>
            <w:r w:rsidRPr="000A11B4">
              <w:t>–</w:t>
            </w:r>
          </w:p>
        </w:tc>
        <w:tc>
          <w:tcPr>
            <w:tcW w:w="404" w:type="pct"/>
            <w:tcBorders>
              <w:top w:val="single" w:sz="4" w:space="0" w:color="auto"/>
              <w:bottom w:val="single" w:sz="4" w:space="0" w:color="auto"/>
            </w:tcBorders>
          </w:tcPr>
          <w:p w14:paraId="1E86BC40" w14:textId="1F6E38AA" w:rsidR="00406602" w:rsidRPr="00BC1814" w:rsidRDefault="00406602" w:rsidP="001A5D4A">
            <w:pPr>
              <w:pStyle w:val="NotesTable-HeadPlain"/>
            </w:pPr>
            <w:r w:rsidRPr="000A11B4">
              <w:t>–</w:t>
            </w:r>
          </w:p>
        </w:tc>
      </w:tr>
      <w:tr w:rsidR="00406602" w:rsidRPr="00BC1814" w14:paraId="69C37406" w14:textId="77777777" w:rsidTr="00AA2125">
        <w:trPr>
          <w:cantSplit/>
          <w:trHeight w:val="181"/>
        </w:trPr>
        <w:tc>
          <w:tcPr>
            <w:tcW w:w="811" w:type="pct"/>
            <w:vAlign w:val="bottom"/>
          </w:tcPr>
          <w:p w14:paraId="7748DE6D" w14:textId="77777777" w:rsidR="00406602" w:rsidRDefault="00406602" w:rsidP="001A5D4A">
            <w:pPr>
              <w:pStyle w:val="Note-Refs"/>
            </w:pPr>
          </w:p>
        </w:tc>
        <w:tc>
          <w:tcPr>
            <w:tcW w:w="2296" w:type="pct"/>
            <w:vAlign w:val="bottom"/>
          </w:tcPr>
          <w:p w14:paraId="4189FCB3" w14:textId="77777777" w:rsidR="00406602" w:rsidRDefault="00406602" w:rsidP="001A5D4A">
            <w:pPr>
              <w:pStyle w:val="NotesTable-ItemPlain"/>
            </w:pPr>
            <w:r>
              <w:t>Net liability recognised in the statement of financial position</w:t>
            </w:r>
          </w:p>
        </w:tc>
        <w:tc>
          <w:tcPr>
            <w:tcW w:w="271" w:type="pct"/>
          </w:tcPr>
          <w:p w14:paraId="65B037AA" w14:textId="77777777" w:rsidR="00406602" w:rsidRPr="00BC1814" w:rsidRDefault="00406602" w:rsidP="001A5D4A">
            <w:pPr>
              <w:pStyle w:val="NotesTable-Notes"/>
            </w:pPr>
          </w:p>
        </w:tc>
        <w:tc>
          <w:tcPr>
            <w:tcW w:w="406" w:type="pct"/>
            <w:tcBorders>
              <w:top w:val="single" w:sz="4" w:space="0" w:color="auto"/>
            </w:tcBorders>
          </w:tcPr>
          <w:p w14:paraId="34547064" w14:textId="7A1662DA" w:rsidR="00406602" w:rsidRPr="00BC1814" w:rsidRDefault="00406602" w:rsidP="001A5D4A">
            <w:pPr>
              <w:pStyle w:val="NotesTable-HeadPlain"/>
            </w:pPr>
            <w:r w:rsidRPr="000A11B4">
              <w:t>–</w:t>
            </w:r>
          </w:p>
        </w:tc>
        <w:tc>
          <w:tcPr>
            <w:tcW w:w="406" w:type="pct"/>
            <w:tcBorders>
              <w:top w:val="single" w:sz="4" w:space="0" w:color="auto"/>
            </w:tcBorders>
          </w:tcPr>
          <w:p w14:paraId="26687AEE" w14:textId="3E7E7435" w:rsidR="00406602" w:rsidRPr="00BC1814" w:rsidRDefault="00406602" w:rsidP="001A5D4A">
            <w:pPr>
              <w:pStyle w:val="NotesTable-HeadPlain"/>
            </w:pPr>
            <w:r w:rsidRPr="000A11B4">
              <w:t>–</w:t>
            </w:r>
          </w:p>
        </w:tc>
        <w:tc>
          <w:tcPr>
            <w:tcW w:w="406" w:type="pct"/>
            <w:tcBorders>
              <w:top w:val="single" w:sz="4" w:space="0" w:color="auto"/>
            </w:tcBorders>
          </w:tcPr>
          <w:p w14:paraId="1140C4B2" w14:textId="7E71371F" w:rsidR="00406602" w:rsidRPr="00BC1814" w:rsidRDefault="00406602" w:rsidP="001A5D4A">
            <w:pPr>
              <w:pStyle w:val="NotesTable-HeadPlain"/>
            </w:pPr>
            <w:r w:rsidRPr="000A11B4">
              <w:t>–</w:t>
            </w:r>
          </w:p>
        </w:tc>
        <w:tc>
          <w:tcPr>
            <w:tcW w:w="404" w:type="pct"/>
            <w:tcBorders>
              <w:top w:val="single" w:sz="4" w:space="0" w:color="auto"/>
            </w:tcBorders>
          </w:tcPr>
          <w:p w14:paraId="7CC69808" w14:textId="769E4EB7" w:rsidR="00406602" w:rsidRPr="00BC1814" w:rsidRDefault="00406602" w:rsidP="001A5D4A">
            <w:pPr>
              <w:pStyle w:val="NotesTable-HeadPlain"/>
            </w:pPr>
            <w:r w:rsidRPr="000A11B4">
              <w:t>–</w:t>
            </w:r>
          </w:p>
        </w:tc>
      </w:tr>
      <w:tr w:rsidR="00406602" w:rsidRPr="00BC1814" w14:paraId="4B7BD99F" w14:textId="77777777" w:rsidTr="00AA2125">
        <w:trPr>
          <w:cantSplit/>
          <w:trHeight w:val="181"/>
        </w:trPr>
        <w:tc>
          <w:tcPr>
            <w:tcW w:w="811" w:type="pct"/>
            <w:vAlign w:val="bottom"/>
          </w:tcPr>
          <w:p w14:paraId="733FA7E5" w14:textId="77777777" w:rsidR="00406602" w:rsidRDefault="00406602" w:rsidP="001A5D4A">
            <w:pPr>
              <w:pStyle w:val="Note-Refs"/>
            </w:pPr>
          </w:p>
        </w:tc>
        <w:tc>
          <w:tcPr>
            <w:tcW w:w="2296" w:type="pct"/>
            <w:vAlign w:val="bottom"/>
          </w:tcPr>
          <w:p w14:paraId="6C18FCFE" w14:textId="77777777" w:rsidR="00406602" w:rsidRPr="00BC1814" w:rsidRDefault="00406602" w:rsidP="001A5D4A">
            <w:pPr>
              <w:pStyle w:val="NotesTable-ItemPlain"/>
            </w:pPr>
          </w:p>
        </w:tc>
        <w:tc>
          <w:tcPr>
            <w:tcW w:w="271" w:type="pct"/>
          </w:tcPr>
          <w:p w14:paraId="15AE7F68" w14:textId="77777777" w:rsidR="00406602" w:rsidRPr="00BC1814" w:rsidRDefault="00406602" w:rsidP="001A5D4A">
            <w:pPr>
              <w:pStyle w:val="NotesTable-Notes"/>
            </w:pPr>
          </w:p>
        </w:tc>
        <w:tc>
          <w:tcPr>
            <w:tcW w:w="406" w:type="pct"/>
          </w:tcPr>
          <w:p w14:paraId="625A783E" w14:textId="77777777" w:rsidR="00406602" w:rsidRPr="00BC1814" w:rsidRDefault="00406602" w:rsidP="001A5D4A">
            <w:pPr>
              <w:pStyle w:val="NotesTable-CellPlain"/>
            </w:pPr>
          </w:p>
        </w:tc>
        <w:tc>
          <w:tcPr>
            <w:tcW w:w="406" w:type="pct"/>
          </w:tcPr>
          <w:p w14:paraId="43C3DCF5" w14:textId="77777777" w:rsidR="00406602" w:rsidRPr="00BC1814" w:rsidRDefault="00406602" w:rsidP="001A5D4A">
            <w:pPr>
              <w:pStyle w:val="NotesTable-CellPlain"/>
            </w:pPr>
          </w:p>
        </w:tc>
        <w:tc>
          <w:tcPr>
            <w:tcW w:w="406" w:type="pct"/>
          </w:tcPr>
          <w:p w14:paraId="4C007533" w14:textId="77777777" w:rsidR="00406602" w:rsidRPr="00BC1814" w:rsidRDefault="00406602" w:rsidP="001A5D4A">
            <w:pPr>
              <w:pStyle w:val="NotesTable-CellPlain"/>
            </w:pPr>
          </w:p>
        </w:tc>
        <w:tc>
          <w:tcPr>
            <w:tcW w:w="404" w:type="pct"/>
          </w:tcPr>
          <w:p w14:paraId="489D0955" w14:textId="77777777" w:rsidR="00406602" w:rsidRPr="00BC1814" w:rsidRDefault="00406602" w:rsidP="001A5D4A">
            <w:pPr>
              <w:pStyle w:val="NotesTable-CellPlain"/>
            </w:pPr>
          </w:p>
        </w:tc>
      </w:tr>
      <w:tr w:rsidR="00406602" w:rsidRPr="00BC1814" w14:paraId="4BECA8F2" w14:textId="77777777" w:rsidTr="00AA2125">
        <w:trPr>
          <w:cantSplit/>
          <w:trHeight w:val="181"/>
        </w:trPr>
        <w:tc>
          <w:tcPr>
            <w:tcW w:w="811" w:type="pct"/>
            <w:vAlign w:val="bottom"/>
          </w:tcPr>
          <w:p w14:paraId="69587722" w14:textId="77777777" w:rsidR="00406602" w:rsidRDefault="00406602" w:rsidP="001A5D4A">
            <w:pPr>
              <w:pStyle w:val="Note-Refs"/>
            </w:pPr>
          </w:p>
        </w:tc>
        <w:tc>
          <w:tcPr>
            <w:tcW w:w="2296" w:type="pct"/>
            <w:vAlign w:val="bottom"/>
          </w:tcPr>
          <w:p w14:paraId="01DF5368" w14:textId="7E600433" w:rsidR="00406602" w:rsidRPr="00BC1814" w:rsidRDefault="00406602" w:rsidP="001A5D4A">
            <w:pPr>
              <w:pStyle w:val="Note-TextHeader"/>
            </w:pPr>
            <w:r w:rsidRPr="00BC1814">
              <w:t>Net liability</w:t>
            </w:r>
            <w:r>
              <w:t xml:space="preserve"> reconciliation - 2014</w:t>
            </w:r>
          </w:p>
        </w:tc>
        <w:tc>
          <w:tcPr>
            <w:tcW w:w="271" w:type="pct"/>
          </w:tcPr>
          <w:p w14:paraId="6F8F8084" w14:textId="77777777" w:rsidR="00406602" w:rsidRPr="00BC1814" w:rsidRDefault="00406602" w:rsidP="001A5D4A">
            <w:pPr>
              <w:pStyle w:val="NotesTable-Notes"/>
            </w:pPr>
          </w:p>
        </w:tc>
        <w:tc>
          <w:tcPr>
            <w:tcW w:w="406" w:type="pct"/>
            <w:vAlign w:val="bottom"/>
          </w:tcPr>
          <w:p w14:paraId="6F422996" w14:textId="77777777" w:rsidR="00406602" w:rsidRPr="00BC1814" w:rsidRDefault="00406602" w:rsidP="001A5D4A">
            <w:pPr>
              <w:pStyle w:val="NotesTable-HeadPlain"/>
              <w:rPr>
                <w:b/>
              </w:rPr>
            </w:pPr>
            <w:r w:rsidRPr="00BC1814">
              <w:t>Fund 1</w:t>
            </w:r>
          </w:p>
        </w:tc>
        <w:tc>
          <w:tcPr>
            <w:tcW w:w="406" w:type="pct"/>
            <w:vAlign w:val="bottom"/>
          </w:tcPr>
          <w:p w14:paraId="584243F8" w14:textId="77777777" w:rsidR="00406602" w:rsidRPr="00BC1814" w:rsidRDefault="00406602" w:rsidP="001A5D4A">
            <w:pPr>
              <w:pStyle w:val="NotesTable-HeadPlain"/>
              <w:rPr>
                <w:b/>
              </w:rPr>
            </w:pPr>
            <w:r w:rsidRPr="00BC1814">
              <w:t>Fund 2</w:t>
            </w:r>
          </w:p>
        </w:tc>
        <w:tc>
          <w:tcPr>
            <w:tcW w:w="406" w:type="pct"/>
            <w:vAlign w:val="bottom"/>
          </w:tcPr>
          <w:p w14:paraId="01367144" w14:textId="77777777" w:rsidR="00406602" w:rsidRPr="00BC1814" w:rsidRDefault="00406602" w:rsidP="001A5D4A">
            <w:pPr>
              <w:pStyle w:val="NotesTable-HeadPlain"/>
              <w:rPr>
                <w:b/>
              </w:rPr>
            </w:pPr>
            <w:r w:rsidRPr="00BC1814">
              <w:t>Fund 3</w:t>
            </w:r>
          </w:p>
        </w:tc>
        <w:tc>
          <w:tcPr>
            <w:tcW w:w="404" w:type="pct"/>
            <w:vAlign w:val="bottom"/>
          </w:tcPr>
          <w:p w14:paraId="20A3EDF6" w14:textId="77777777" w:rsidR="00406602" w:rsidRPr="00BC1814" w:rsidRDefault="00406602" w:rsidP="001A5D4A">
            <w:pPr>
              <w:pStyle w:val="NotesTable-HeadPlain"/>
              <w:rPr>
                <w:b/>
              </w:rPr>
            </w:pPr>
            <w:r w:rsidRPr="00BC1814">
              <w:t>Total</w:t>
            </w:r>
          </w:p>
        </w:tc>
      </w:tr>
      <w:tr w:rsidR="00406602" w:rsidRPr="00BC1814" w14:paraId="6C5D9F77" w14:textId="77777777" w:rsidTr="00AA2125">
        <w:trPr>
          <w:cantSplit/>
          <w:trHeight w:val="181"/>
        </w:trPr>
        <w:tc>
          <w:tcPr>
            <w:tcW w:w="811" w:type="pct"/>
            <w:vAlign w:val="bottom"/>
          </w:tcPr>
          <w:p w14:paraId="511A2231" w14:textId="77777777" w:rsidR="00406602" w:rsidRDefault="00406602" w:rsidP="001A5D4A">
            <w:pPr>
              <w:pStyle w:val="Note-Refs"/>
            </w:pPr>
          </w:p>
        </w:tc>
        <w:tc>
          <w:tcPr>
            <w:tcW w:w="2296" w:type="pct"/>
            <w:vAlign w:val="bottom"/>
          </w:tcPr>
          <w:p w14:paraId="729EA4F6" w14:textId="77777777" w:rsidR="00406602" w:rsidRPr="00BC1814" w:rsidRDefault="00406602" w:rsidP="001A5D4A">
            <w:pPr>
              <w:pStyle w:val="NotesTable-ItemPlain"/>
              <w:rPr>
                <w:b/>
              </w:rPr>
            </w:pPr>
            <w:r w:rsidRPr="00BC1814">
              <w:t>Defined benefit obligation</w:t>
            </w:r>
          </w:p>
        </w:tc>
        <w:tc>
          <w:tcPr>
            <w:tcW w:w="271" w:type="pct"/>
          </w:tcPr>
          <w:p w14:paraId="4B2B788A" w14:textId="77777777" w:rsidR="00406602" w:rsidRPr="00BC1814" w:rsidRDefault="00406602" w:rsidP="001A5D4A">
            <w:pPr>
              <w:pStyle w:val="NotesTable-Notes"/>
            </w:pPr>
          </w:p>
        </w:tc>
        <w:tc>
          <w:tcPr>
            <w:tcW w:w="406" w:type="pct"/>
          </w:tcPr>
          <w:p w14:paraId="5DBC13AF" w14:textId="77777777" w:rsidR="00406602" w:rsidRPr="00BC1814" w:rsidRDefault="00406602" w:rsidP="001A5D4A">
            <w:pPr>
              <w:pStyle w:val="NotesTable-CellPlain"/>
              <w:rPr>
                <w:b/>
              </w:rPr>
            </w:pPr>
            <w:r w:rsidRPr="00755668">
              <w:t>–</w:t>
            </w:r>
          </w:p>
        </w:tc>
        <w:tc>
          <w:tcPr>
            <w:tcW w:w="406" w:type="pct"/>
          </w:tcPr>
          <w:p w14:paraId="134BFA57" w14:textId="77777777" w:rsidR="00406602" w:rsidRPr="00BC1814" w:rsidRDefault="00406602" w:rsidP="001A5D4A">
            <w:pPr>
              <w:pStyle w:val="NotesTable-CellPlain"/>
              <w:rPr>
                <w:b/>
              </w:rPr>
            </w:pPr>
            <w:r w:rsidRPr="00755668">
              <w:t>–</w:t>
            </w:r>
          </w:p>
        </w:tc>
        <w:tc>
          <w:tcPr>
            <w:tcW w:w="406" w:type="pct"/>
          </w:tcPr>
          <w:p w14:paraId="64CFA64F" w14:textId="77777777" w:rsidR="00406602" w:rsidRPr="00BC1814" w:rsidRDefault="00406602" w:rsidP="001A5D4A">
            <w:pPr>
              <w:pStyle w:val="NotesTable-CellPlain"/>
              <w:rPr>
                <w:b/>
              </w:rPr>
            </w:pPr>
            <w:r w:rsidRPr="00755668">
              <w:t>–</w:t>
            </w:r>
          </w:p>
        </w:tc>
        <w:tc>
          <w:tcPr>
            <w:tcW w:w="404" w:type="pct"/>
          </w:tcPr>
          <w:p w14:paraId="0D2C0237" w14:textId="77777777" w:rsidR="00406602" w:rsidRPr="00BC1814" w:rsidRDefault="00406602" w:rsidP="001A5D4A">
            <w:pPr>
              <w:pStyle w:val="NotesTable-CellPlain"/>
              <w:rPr>
                <w:b/>
              </w:rPr>
            </w:pPr>
            <w:r w:rsidRPr="00755668">
              <w:t>–</w:t>
            </w:r>
          </w:p>
        </w:tc>
      </w:tr>
      <w:tr w:rsidR="00406602" w:rsidRPr="00BC1814" w14:paraId="2A3E913A" w14:textId="77777777" w:rsidTr="00AA2125">
        <w:trPr>
          <w:cantSplit/>
          <w:trHeight w:val="181"/>
        </w:trPr>
        <w:tc>
          <w:tcPr>
            <w:tcW w:w="811" w:type="pct"/>
            <w:vAlign w:val="bottom"/>
          </w:tcPr>
          <w:p w14:paraId="5EBB8DDE" w14:textId="77777777" w:rsidR="00406602" w:rsidRDefault="00406602" w:rsidP="001A5D4A">
            <w:pPr>
              <w:pStyle w:val="Note-Refs"/>
            </w:pPr>
          </w:p>
        </w:tc>
        <w:tc>
          <w:tcPr>
            <w:tcW w:w="2296" w:type="pct"/>
            <w:vAlign w:val="bottom"/>
          </w:tcPr>
          <w:p w14:paraId="5C3E5E3B" w14:textId="77777777" w:rsidR="00406602" w:rsidRPr="00BC1814" w:rsidRDefault="00406602" w:rsidP="001A5D4A">
            <w:pPr>
              <w:pStyle w:val="NotesTable-ItemPlain"/>
              <w:rPr>
                <w:b/>
              </w:rPr>
            </w:pPr>
            <w:r w:rsidRPr="00BC1814">
              <w:t>Fair value of plan assets</w:t>
            </w:r>
          </w:p>
        </w:tc>
        <w:tc>
          <w:tcPr>
            <w:tcW w:w="271" w:type="pct"/>
          </w:tcPr>
          <w:p w14:paraId="5FB1DC71" w14:textId="77777777" w:rsidR="00406602" w:rsidRPr="00BC1814" w:rsidRDefault="00406602" w:rsidP="001A5D4A">
            <w:pPr>
              <w:pStyle w:val="NotesTable-Notes"/>
            </w:pPr>
          </w:p>
        </w:tc>
        <w:tc>
          <w:tcPr>
            <w:tcW w:w="406" w:type="pct"/>
          </w:tcPr>
          <w:p w14:paraId="4562C12E" w14:textId="77777777" w:rsidR="00406602" w:rsidRPr="00BC1814" w:rsidRDefault="00406602" w:rsidP="001A5D4A">
            <w:pPr>
              <w:pStyle w:val="NotesTable-CellPlain"/>
              <w:rPr>
                <w:b/>
              </w:rPr>
            </w:pPr>
            <w:r w:rsidRPr="00755668">
              <w:t>–</w:t>
            </w:r>
          </w:p>
        </w:tc>
        <w:tc>
          <w:tcPr>
            <w:tcW w:w="406" w:type="pct"/>
          </w:tcPr>
          <w:p w14:paraId="7899CB4A" w14:textId="77777777" w:rsidR="00406602" w:rsidRPr="00BC1814" w:rsidRDefault="00406602" w:rsidP="001A5D4A">
            <w:pPr>
              <w:pStyle w:val="NotesTable-CellPlain"/>
              <w:rPr>
                <w:b/>
              </w:rPr>
            </w:pPr>
            <w:r w:rsidRPr="00755668">
              <w:t>–</w:t>
            </w:r>
          </w:p>
        </w:tc>
        <w:tc>
          <w:tcPr>
            <w:tcW w:w="406" w:type="pct"/>
          </w:tcPr>
          <w:p w14:paraId="3F18BDF5" w14:textId="77777777" w:rsidR="00406602" w:rsidRPr="00BC1814" w:rsidRDefault="00406602" w:rsidP="001A5D4A">
            <w:pPr>
              <w:pStyle w:val="NotesTable-CellPlain"/>
              <w:rPr>
                <w:b/>
              </w:rPr>
            </w:pPr>
            <w:r w:rsidRPr="00755668">
              <w:t>–</w:t>
            </w:r>
          </w:p>
        </w:tc>
        <w:tc>
          <w:tcPr>
            <w:tcW w:w="404" w:type="pct"/>
          </w:tcPr>
          <w:p w14:paraId="333C4562" w14:textId="77777777" w:rsidR="00406602" w:rsidRPr="00BC1814" w:rsidRDefault="00406602" w:rsidP="001A5D4A">
            <w:pPr>
              <w:pStyle w:val="NotesTable-CellPlain"/>
              <w:rPr>
                <w:b/>
              </w:rPr>
            </w:pPr>
            <w:r w:rsidRPr="00755668">
              <w:t>–</w:t>
            </w:r>
          </w:p>
        </w:tc>
      </w:tr>
      <w:tr w:rsidR="00406602" w:rsidRPr="00BC1814" w14:paraId="7D5FD45B" w14:textId="77777777" w:rsidTr="00AA2125">
        <w:trPr>
          <w:cantSplit/>
          <w:trHeight w:val="181"/>
        </w:trPr>
        <w:tc>
          <w:tcPr>
            <w:tcW w:w="811" w:type="pct"/>
            <w:vAlign w:val="bottom"/>
          </w:tcPr>
          <w:p w14:paraId="3D5622A1" w14:textId="77777777" w:rsidR="00406602" w:rsidRDefault="00406602" w:rsidP="001A5D4A">
            <w:pPr>
              <w:pStyle w:val="Note-Refs"/>
            </w:pPr>
          </w:p>
        </w:tc>
        <w:tc>
          <w:tcPr>
            <w:tcW w:w="2296" w:type="pct"/>
            <w:vAlign w:val="bottom"/>
          </w:tcPr>
          <w:p w14:paraId="2C7B5C0C" w14:textId="77777777" w:rsidR="00406602" w:rsidRPr="00BC1814" w:rsidRDefault="00406602" w:rsidP="001A5D4A">
            <w:pPr>
              <w:pStyle w:val="NotesTable-ItemPlain"/>
              <w:rPr>
                <w:b/>
              </w:rPr>
            </w:pPr>
            <w:r w:rsidRPr="00BC1814">
              <w:t>Net liability</w:t>
            </w:r>
          </w:p>
        </w:tc>
        <w:tc>
          <w:tcPr>
            <w:tcW w:w="271" w:type="pct"/>
          </w:tcPr>
          <w:p w14:paraId="1386FEDF" w14:textId="77777777" w:rsidR="00406602" w:rsidRPr="00BC1814" w:rsidRDefault="00406602" w:rsidP="001A5D4A">
            <w:pPr>
              <w:pStyle w:val="NotesTable-Notes"/>
              <w:rPr>
                <w:b/>
              </w:rPr>
            </w:pPr>
            <w:r>
              <w:t>32</w:t>
            </w:r>
          </w:p>
        </w:tc>
        <w:tc>
          <w:tcPr>
            <w:tcW w:w="406" w:type="pct"/>
          </w:tcPr>
          <w:p w14:paraId="3CEC6191" w14:textId="77777777" w:rsidR="00406602" w:rsidRPr="00BC1814" w:rsidRDefault="00406602" w:rsidP="001A5D4A">
            <w:pPr>
              <w:pStyle w:val="NotesTable-CellPlain"/>
              <w:rPr>
                <w:b/>
              </w:rPr>
            </w:pPr>
            <w:r w:rsidRPr="00755668">
              <w:t>–</w:t>
            </w:r>
          </w:p>
        </w:tc>
        <w:tc>
          <w:tcPr>
            <w:tcW w:w="406" w:type="pct"/>
          </w:tcPr>
          <w:p w14:paraId="5367C620" w14:textId="77777777" w:rsidR="00406602" w:rsidRPr="00BC1814" w:rsidRDefault="00406602" w:rsidP="001A5D4A">
            <w:pPr>
              <w:pStyle w:val="NotesTable-CellPlain"/>
              <w:rPr>
                <w:b/>
              </w:rPr>
            </w:pPr>
            <w:r w:rsidRPr="00755668">
              <w:t>–</w:t>
            </w:r>
          </w:p>
        </w:tc>
        <w:tc>
          <w:tcPr>
            <w:tcW w:w="406" w:type="pct"/>
          </w:tcPr>
          <w:p w14:paraId="4F289A48" w14:textId="77777777" w:rsidR="00406602" w:rsidRPr="00BC1814" w:rsidRDefault="00406602" w:rsidP="001A5D4A">
            <w:pPr>
              <w:pStyle w:val="NotesTable-CellPlain"/>
              <w:rPr>
                <w:b/>
              </w:rPr>
            </w:pPr>
            <w:r w:rsidRPr="00755668">
              <w:t>–</w:t>
            </w:r>
          </w:p>
        </w:tc>
        <w:tc>
          <w:tcPr>
            <w:tcW w:w="404" w:type="pct"/>
          </w:tcPr>
          <w:p w14:paraId="63B3A222" w14:textId="77777777" w:rsidR="00406602" w:rsidRPr="00BC1814" w:rsidRDefault="00406602" w:rsidP="001A5D4A">
            <w:pPr>
              <w:pStyle w:val="NotesTable-CellPlain"/>
              <w:rPr>
                <w:b/>
              </w:rPr>
            </w:pPr>
            <w:r w:rsidRPr="00755668">
              <w:t>–</w:t>
            </w:r>
          </w:p>
        </w:tc>
      </w:tr>
      <w:tr w:rsidR="00406602" w:rsidRPr="00BC1814" w14:paraId="623F1F5B" w14:textId="77777777" w:rsidTr="00AA2125">
        <w:trPr>
          <w:cantSplit/>
          <w:trHeight w:val="181"/>
        </w:trPr>
        <w:tc>
          <w:tcPr>
            <w:tcW w:w="811" w:type="pct"/>
            <w:vAlign w:val="bottom"/>
          </w:tcPr>
          <w:p w14:paraId="60629760" w14:textId="77777777" w:rsidR="00406602" w:rsidRDefault="00406602" w:rsidP="001A5D4A">
            <w:pPr>
              <w:pStyle w:val="Note-Refs"/>
            </w:pPr>
          </w:p>
        </w:tc>
        <w:tc>
          <w:tcPr>
            <w:tcW w:w="2296" w:type="pct"/>
            <w:vAlign w:val="bottom"/>
          </w:tcPr>
          <w:p w14:paraId="41562281" w14:textId="77777777" w:rsidR="00406602" w:rsidRPr="00BC1814" w:rsidRDefault="00406602" w:rsidP="001A5D4A">
            <w:pPr>
              <w:pStyle w:val="NotesTable-ItemPlain"/>
              <w:rPr>
                <w:b/>
              </w:rPr>
            </w:pPr>
            <w:r w:rsidRPr="00BC1814">
              <w:t>Reimbursement right</w:t>
            </w:r>
          </w:p>
        </w:tc>
        <w:tc>
          <w:tcPr>
            <w:tcW w:w="271" w:type="pct"/>
          </w:tcPr>
          <w:p w14:paraId="20768688" w14:textId="77777777" w:rsidR="00406602" w:rsidRPr="00BC1814" w:rsidRDefault="00406602" w:rsidP="001A5D4A">
            <w:pPr>
              <w:pStyle w:val="NotesTable-Notes"/>
              <w:rPr>
                <w:b/>
              </w:rPr>
            </w:pPr>
            <w:r>
              <w:t>20</w:t>
            </w:r>
          </w:p>
        </w:tc>
        <w:tc>
          <w:tcPr>
            <w:tcW w:w="406" w:type="pct"/>
            <w:tcBorders>
              <w:bottom w:val="single" w:sz="4" w:space="0" w:color="000000"/>
            </w:tcBorders>
          </w:tcPr>
          <w:p w14:paraId="7E13D6CF" w14:textId="77777777" w:rsidR="00406602" w:rsidRPr="00BC1814" w:rsidRDefault="00406602" w:rsidP="001A5D4A">
            <w:pPr>
              <w:pStyle w:val="NotesTable-CellPlain"/>
              <w:rPr>
                <w:b/>
              </w:rPr>
            </w:pPr>
            <w:r w:rsidRPr="00755668">
              <w:t>–</w:t>
            </w:r>
          </w:p>
        </w:tc>
        <w:tc>
          <w:tcPr>
            <w:tcW w:w="406" w:type="pct"/>
            <w:tcBorders>
              <w:bottom w:val="single" w:sz="4" w:space="0" w:color="000000"/>
            </w:tcBorders>
          </w:tcPr>
          <w:p w14:paraId="5A24C75F" w14:textId="77777777" w:rsidR="00406602" w:rsidRPr="00BC1814" w:rsidRDefault="00406602" w:rsidP="001A5D4A">
            <w:pPr>
              <w:pStyle w:val="NotesTable-CellPlain"/>
              <w:rPr>
                <w:b/>
              </w:rPr>
            </w:pPr>
            <w:r w:rsidRPr="00755668">
              <w:t>–</w:t>
            </w:r>
          </w:p>
        </w:tc>
        <w:tc>
          <w:tcPr>
            <w:tcW w:w="406" w:type="pct"/>
            <w:tcBorders>
              <w:bottom w:val="single" w:sz="4" w:space="0" w:color="000000"/>
            </w:tcBorders>
          </w:tcPr>
          <w:p w14:paraId="5001713C" w14:textId="77777777" w:rsidR="00406602" w:rsidRPr="00BC1814" w:rsidRDefault="00406602" w:rsidP="001A5D4A">
            <w:pPr>
              <w:pStyle w:val="NotesTable-CellPlain"/>
              <w:rPr>
                <w:b/>
              </w:rPr>
            </w:pPr>
            <w:r w:rsidRPr="00755668">
              <w:t>–</w:t>
            </w:r>
          </w:p>
        </w:tc>
        <w:tc>
          <w:tcPr>
            <w:tcW w:w="404" w:type="pct"/>
            <w:tcBorders>
              <w:bottom w:val="single" w:sz="4" w:space="0" w:color="000000"/>
            </w:tcBorders>
          </w:tcPr>
          <w:p w14:paraId="6261EFF3" w14:textId="77777777" w:rsidR="00406602" w:rsidRPr="00BC1814" w:rsidRDefault="00406602" w:rsidP="001A5D4A">
            <w:pPr>
              <w:pStyle w:val="NotesTable-CellPlain"/>
              <w:rPr>
                <w:b/>
              </w:rPr>
            </w:pPr>
            <w:r w:rsidRPr="00755668">
              <w:t>–</w:t>
            </w:r>
          </w:p>
        </w:tc>
      </w:tr>
      <w:tr w:rsidR="00406602" w:rsidRPr="00BC1814" w14:paraId="19DEAC42" w14:textId="77777777" w:rsidTr="00AA2125">
        <w:trPr>
          <w:cantSplit/>
          <w:trHeight w:val="181"/>
        </w:trPr>
        <w:tc>
          <w:tcPr>
            <w:tcW w:w="811" w:type="pct"/>
            <w:vAlign w:val="bottom"/>
          </w:tcPr>
          <w:p w14:paraId="2AA2DD59" w14:textId="77777777" w:rsidR="00406602" w:rsidRDefault="00406602" w:rsidP="001A5D4A">
            <w:pPr>
              <w:pStyle w:val="Note-Refs"/>
            </w:pPr>
          </w:p>
        </w:tc>
        <w:tc>
          <w:tcPr>
            <w:tcW w:w="2296" w:type="pct"/>
            <w:vAlign w:val="bottom"/>
          </w:tcPr>
          <w:p w14:paraId="45125967" w14:textId="2777634B" w:rsidR="00406602" w:rsidRPr="00BC1814" w:rsidRDefault="00406602" w:rsidP="001A5D4A">
            <w:pPr>
              <w:pStyle w:val="NotesTable-ItemPlain"/>
              <w:rPr>
                <w:b/>
              </w:rPr>
            </w:pPr>
            <w:r>
              <w:t xml:space="preserve">Total net </w:t>
            </w:r>
            <w:r w:rsidRPr="00BC1814">
              <w:t>liability/(asset)</w:t>
            </w:r>
            <w:r>
              <w:t xml:space="preserve"> </w:t>
            </w:r>
          </w:p>
        </w:tc>
        <w:tc>
          <w:tcPr>
            <w:tcW w:w="271" w:type="pct"/>
          </w:tcPr>
          <w:p w14:paraId="6BFC957D" w14:textId="77777777" w:rsidR="00406602" w:rsidRPr="00BC1814" w:rsidRDefault="00406602" w:rsidP="001A5D4A">
            <w:pPr>
              <w:pStyle w:val="NotesTable-Notes"/>
            </w:pPr>
          </w:p>
        </w:tc>
        <w:tc>
          <w:tcPr>
            <w:tcW w:w="406" w:type="pct"/>
            <w:tcBorders>
              <w:top w:val="single" w:sz="4" w:space="0" w:color="000000"/>
            </w:tcBorders>
          </w:tcPr>
          <w:p w14:paraId="53FFCAC7" w14:textId="77777777" w:rsidR="00406602" w:rsidRPr="00BC1814" w:rsidRDefault="00406602" w:rsidP="001A5D4A">
            <w:pPr>
              <w:pStyle w:val="NotesTable-CellPlain"/>
              <w:rPr>
                <w:b/>
              </w:rPr>
            </w:pPr>
            <w:r w:rsidRPr="00755668">
              <w:t>–</w:t>
            </w:r>
          </w:p>
        </w:tc>
        <w:tc>
          <w:tcPr>
            <w:tcW w:w="406" w:type="pct"/>
            <w:tcBorders>
              <w:top w:val="single" w:sz="4" w:space="0" w:color="000000"/>
            </w:tcBorders>
          </w:tcPr>
          <w:p w14:paraId="17132390" w14:textId="77777777" w:rsidR="00406602" w:rsidRPr="00BC1814" w:rsidRDefault="00406602" w:rsidP="001A5D4A">
            <w:pPr>
              <w:pStyle w:val="NotesTable-CellPlain"/>
              <w:rPr>
                <w:b/>
              </w:rPr>
            </w:pPr>
            <w:r w:rsidRPr="00755668">
              <w:t>–</w:t>
            </w:r>
          </w:p>
        </w:tc>
        <w:tc>
          <w:tcPr>
            <w:tcW w:w="406" w:type="pct"/>
            <w:tcBorders>
              <w:top w:val="single" w:sz="4" w:space="0" w:color="000000"/>
            </w:tcBorders>
          </w:tcPr>
          <w:p w14:paraId="54481B09" w14:textId="77777777" w:rsidR="00406602" w:rsidRPr="00BC1814" w:rsidRDefault="00406602" w:rsidP="001A5D4A">
            <w:pPr>
              <w:pStyle w:val="NotesTable-CellPlain"/>
              <w:rPr>
                <w:b/>
              </w:rPr>
            </w:pPr>
            <w:r w:rsidRPr="00755668">
              <w:t>–</w:t>
            </w:r>
          </w:p>
        </w:tc>
        <w:tc>
          <w:tcPr>
            <w:tcW w:w="404" w:type="pct"/>
            <w:tcBorders>
              <w:top w:val="single" w:sz="4" w:space="0" w:color="000000"/>
            </w:tcBorders>
          </w:tcPr>
          <w:p w14:paraId="6D420C4C" w14:textId="77777777" w:rsidR="00406602" w:rsidRPr="00BC1814" w:rsidRDefault="00406602" w:rsidP="001A5D4A">
            <w:pPr>
              <w:pStyle w:val="NotesTable-CellPlain"/>
              <w:rPr>
                <w:b/>
              </w:rPr>
            </w:pPr>
            <w:r w:rsidRPr="00755668">
              <w:t>–</w:t>
            </w:r>
          </w:p>
        </w:tc>
      </w:tr>
      <w:tr w:rsidR="00406602" w:rsidRPr="00BC1814" w14:paraId="483B930D" w14:textId="77777777" w:rsidTr="00AA2125">
        <w:trPr>
          <w:cantSplit/>
          <w:trHeight w:val="181"/>
        </w:trPr>
        <w:tc>
          <w:tcPr>
            <w:tcW w:w="811" w:type="pct"/>
            <w:vAlign w:val="bottom"/>
          </w:tcPr>
          <w:p w14:paraId="0A46F375" w14:textId="77777777" w:rsidR="00406602" w:rsidRDefault="00406602" w:rsidP="001A5D4A">
            <w:pPr>
              <w:pStyle w:val="Note-Refs"/>
            </w:pPr>
          </w:p>
        </w:tc>
        <w:tc>
          <w:tcPr>
            <w:tcW w:w="2296" w:type="pct"/>
            <w:vAlign w:val="bottom"/>
          </w:tcPr>
          <w:p w14:paraId="5EF68AD8" w14:textId="77777777" w:rsidR="00406602" w:rsidRDefault="00406602" w:rsidP="001A5D4A">
            <w:pPr>
              <w:pStyle w:val="NotesTable-ItemBold"/>
            </w:pPr>
          </w:p>
        </w:tc>
        <w:tc>
          <w:tcPr>
            <w:tcW w:w="271" w:type="pct"/>
          </w:tcPr>
          <w:p w14:paraId="33397B47" w14:textId="77777777" w:rsidR="00406602" w:rsidRPr="00BC1814" w:rsidRDefault="00406602" w:rsidP="001A5D4A">
            <w:pPr>
              <w:pStyle w:val="NotesTable-Notes"/>
            </w:pPr>
          </w:p>
        </w:tc>
        <w:tc>
          <w:tcPr>
            <w:tcW w:w="406" w:type="pct"/>
            <w:vAlign w:val="bottom"/>
          </w:tcPr>
          <w:p w14:paraId="3F3B2178" w14:textId="77777777" w:rsidR="00406602" w:rsidRPr="00BC1814" w:rsidRDefault="00406602" w:rsidP="001A5D4A">
            <w:pPr>
              <w:pStyle w:val="NotesTable-HeadPlain"/>
            </w:pPr>
          </w:p>
        </w:tc>
        <w:tc>
          <w:tcPr>
            <w:tcW w:w="406" w:type="pct"/>
            <w:vAlign w:val="bottom"/>
          </w:tcPr>
          <w:p w14:paraId="5A7FC7CB" w14:textId="77777777" w:rsidR="00406602" w:rsidRPr="00BC1814" w:rsidRDefault="00406602" w:rsidP="001A5D4A">
            <w:pPr>
              <w:pStyle w:val="NotesTable-HeadPlain"/>
            </w:pPr>
          </w:p>
        </w:tc>
        <w:tc>
          <w:tcPr>
            <w:tcW w:w="406" w:type="pct"/>
            <w:vAlign w:val="bottom"/>
          </w:tcPr>
          <w:p w14:paraId="7320905C" w14:textId="77777777" w:rsidR="00406602" w:rsidRPr="00BC1814" w:rsidRDefault="00406602" w:rsidP="001A5D4A">
            <w:pPr>
              <w:pStyle w:val="NotesTable-HeadPlain"/>
            </w:pPr>
          </w:p>
        </w:tc>
        <w:tc>
          <w:tcPr>
            <w:tcW w:w="404" w:type="pct"/>
            <w:vAlign w:val="bottom"/>
          </w:tcPr>
          <w:p w14:paraId="434EFC8D" w14:textId="77777777" w:rsidR="00406602" w:rsidRPr="00BC1814" w:rsidRDefault="00406602" w:rsidP="001A5D4A">
            <w:pPr>
              <w:pStyle w:val="NotesTable-HeadPlain"/>
            </w:pPr>
          </w:p>
        </w:tc>
      </w:tr>
      <w:tr w:rsidR="00213294" w:rsidRPr="00BC1814" w14:paraId="1252180B" w14:textId="77777777" w:rsidTr="00AA2125">
        <w:trPr>
          <w:cantSplit/>
          <w:trHeight w:val="181"/>
        </w:trPr>
        <w:tc>
          <w:tcPr>
            <w:tcW w:w="811" w:type="pct"/>
            <w:vAlign w:val="bottom"/>
          </w:tcPr>
          <w:p w14:paraId="4630DEC8" w14:textId="7AB4B6A9" w:rsidR="00213294" w:rsidRDefault="00213294" w:rsidP="001A5D4A">
            <w:pPr>
              <w:pStyle w:val="Note-Refs"/>
            </w:pPr>
            <w:r>
              <w:t>AASB119.140b</w:t>
            </w:r>
          </w:p>
        </w:tc>
        <w:tc>
          <w:tcPr>
            <w:tcW w:w="2296" w:type="pct"/>
            <w:vAlign w:val="bottom"/>
          </w:tcPr>
          <w:p w14:paraId="5BDF66BC" w14:textId="01D05BDF" w:rsidR="00213294" w:rsidRDefault="00213294" w:rsidP="001A5D4A">
            <w:pPr>
              <w:pStyle w:val="Note-TextHeader"/>
            </w:pPr>
            <w:r>
              <w:t>Reimbursement rights - 2014</w:t>
            </w:r>
          </w:p>
        </w:tc>
        <w:tc>
          <w:tcPr>
            <w:tcW w:w="271" w:type="pct"/>
          </w:tcPr>
          <w:p w14:paraId="24753076" w14:textId="77777777" w:rsidR="00213294" w:rsidRPr="00BC1814" w:rsidRDefault="00213294" w:rsidP="001A5D4A">
            <w:pPr>
              <w:pStyle w:val="NotesTable-Notes"/>
            </w:pPr>
          </w:p>
        </w:tc>
        <w:tc>
          <w:tcPr>
            <w:tcW w:w="406" w:type="pct"/>
            <w:vAlign w:val="bottom"/>
          </w:tcPr>
          <w:p w14:paraId="3ED0E380" w14:textId="316131D6" w:rsidR="00213294" w:rsidRPr="00BC1814" w:rsidRDefault="00213294" w:rsidP="001A5D4A">
            <w:pPr>
              <w:pStyle w:val="NotesTable-HeadPlain"/>
            </w:pPr>
            <w:r w:rsidRPr="00BC1814">
              <w:t>Fund 1</w:t>
            </w:r>
          </w:p>
        </w:tc>
        <w:tc>
          <w:tcPr>
            <w:tcW w:w="406" w:type="pct"/>
            <w:vAlign w:val="bottom"/>
          </w:tcPr>
          <w:p w14:paraId="6EB48E06" w14:textId="78C19E95" w:rsidR="00213294" w:rsidRPr="00BC1814" w:rsidRDefault="00213294" w:rsidP="001A5D4A">
            <w:pPr>
              <w:pStyle w:val="NotesTable-HeadPlain"/>
            </w:pPr>
            <w:r w:rsidRPr="00BC1814">
              <w:t>Fund 2</w:t>
            </w:r>
          </w:p>
        </w:tc>
        <w:tc>
          <w:tcPr>
            <w:tcW w:w="406" w:type="pct"/>
            <w:vAlign w:val="bottom"/>
          </w:tcPr>
          <w:p w14:paraId="1FB964EF" w14:textId="36EDA1AE" w:rsidR="00213294" w:rsidRPr="00BC1814" w:rsidRDefault="00213294" w:rsidP="001A5D4A">
            <w:pPr>
              <w:pStyle w:val="NotesTable-HeadPlain"/>
            </w:pPr>
            <w:r w:rsidRPr="00BC1814">
              <w:t>Fund 3</w:t>
            </w:r>
          </w:p>
        </w:tc>
        <w:tc>
          <w:tcPr>
            <w:tcW w:w="404" w:type="pct"/>
            <w:vAlign w:val="bottom"/>
          </w:tcPr>
          <w:p w14:paraId="2661D5C1" w14:textId="55606B19" w:rsidR="00213294" w:rsidRPr="00BC1814" w:rsidRDefault="00213294" w:rsidP="001A5D4A">
            <w:pPr>
              <w:pStyle w:val="NotesTable-HeadPlain"/>
            </w:pPr>
            <w:r w:rsidRPr="00BC1814">
              <w:t>Total</w:t>
            </w:r>
          </w:p>
        </w:tc>
      </w:tr>
      <w:tr w:rsidR="00213294" w:rsidRPr="00BC1814" w14:paraId="4ED24F47" w14:textId="77777777" w:rsidTr="00AA2125">
        <w:trPr>
          <w:cantSplit/>
          <w:trHeight w:val="181"/>
        </w:trPr>
        <w:tc>
          <w:tcPr>
            <w:tcW w:w="811" w:type="pct"/>
            <w:vAlign w:val="bottom"/>
          </w:tcPr>
          <w:p w14:paraId="71D1597A" w14:textId="77777777" w:rsidR="00213294" w:rsidRDefault="00213294" w:rsidP="001A5D4A">
            <w:pPr>
              <w:pStyle w:val="Note-Refs"/>
            </w:pPr>
          </w:p>
        </w:tc>
        <w:tc>
          <w:tcPr>
            <w:tcW w:w="2296" w:type="pct"/>
            <w:vAlign w:val="bottom"/>
          </w:tcPr>
          <w:p w14:paraId="07628A32" w14:textId="6EF98495" w:rsidR="00213294" w:rsidRDefault="00213294" w:rsidP="001A5D4A">
            <w:pPr>
              <w:pStyle w:val="NotesTable-ItemPlain"/>
            </w:pPr>
            <w:r w:rsidRPr="00BC1814">
              <w:t>Opening value of reimbursement right</w:t>
            </w:r>
          </w:p>
        </w:tc>
        <w:tc>
          <w:tcPr>
            <w:tcW w:w="271" w:type="pct"/>
          </w:tcPr>
          <w:p w14:paraId="6A5C50CA" w14:textId="77777777" w:rsidR="00213294" w:rsidRPr="00BC1814" w:rsidRDefault="00213294" w:rsidP="001A5D4A">
            <w:pPr>
              <w:pStyle w:val="NotesTable-Notes"/>
            </w:pPr>
          </w:p>
        </w:tc>
        <w:tc>
          <w:tcPr>
            <w:tcW w:w="406" w:type="pct"/>
          </w:tcPr>
          <w:p w14:paraId="72945129" w14:textId="7560348C" w:rsidR="00213294" w:rsidRPr="00BC1814" w:rsidRDefault="00213294" w:rsidP="001A5D4A">
            <w:pPr>
              <w:pStyle w:val="NotesTable-HeadPlain"/>
            </w:pPr>
            <w:r w:rsidRPr="00232D19">
              <w:t>–</w:t>
            </w:r>
          </w:p>
        </w:tc>
        <w:tc>
          <w:tcPr>
            <w:tcW w:w="406" w:type="pct"/>
          </w:tcPr>
          <w:p w14:paraId="3EFA94CB" w14:textId="06CCD8C6" w:rsidR="00213294" w:rsidRPr="00BC1814" w:rsidRDefault="00213294" w:rsidP="001A5D4A">
            <w:pPr>
              <w:pStyle w:val="NotesTable-HeadPlain"/>
            </w:pPr>
            <w:r w:rsidRPr="00232D19">
              <w:t>–</w:t>
            </w:r>
          </w:p>
        </w:tc>
        <w:tc>
          <w:tcPr>
            <w:tcW w:w="406" w:type="pct"/>
          </w:tcPr>
          <w:p w14:paraId="2E2B162D" w14:textId="7BA4C56B" w:rsidR="00213294" w:rsidRPr="00BC1814" w:rsidRDefault="00213294" w:rsidP="001A5D4A">
            <w:pPr>
              <w:pStyle w:val="NotesTable-HeadPlain"/>
            </w:pPr>
            <w:r w:rsidRPr="00232D19">
              <w:t>–</w:t>
            </w:r>
          </w:p>
        </w:tc>
        <w:tc>
          <w:tcPr>
            <w:tcW w:w="404" w:type="pct"/>
          </w:tcPr>
          <w:p w14:paraId="45FE7B70" w14:textId="7B36A17D" w:rsidR="00213294" w:rsidRPr="00BC1814" w:rsidRDefault="00213294" w:rsidP="001A5D4A">
            <w:pPr>
              <w:pStyle w:val="NotesTable-HeadPlain"/>
            </w:pPr>
            <w:r w:rsidRPr="00232D19">
              <w:t>–</w:t>
            </w:r>
          </w:p>
        </w:tc>
      </w:tr>
      <w:tr w:rsidR="00213294" w:rsidRPr="00BC1814" w14:paraId="01D59110" w14:textId="77777777" w:rsidTr="00AA2125">
        <w:trPr>
          <w:cantSplit/>
          <w:trHeight w:val="181"/>
        </w:trPr>
        <w:tc>
          <w:tcPr>
            <w:tcW w:w="811" w:type="pct"/>
            <w:vAlign w:val="bottom"/>
          </w:tcPr>
          <w:p w14:paraId="75383D97" w14:textId="77777777" w:rsidR="00213294" w:rsidRDefault="00213294" w:rsidP="001A5D4A">
            <w:pPr>
              <w:pStyle w:val="Note-Refs"/>
            </w:pPr>
          </w:p>
        </w:tc>
        <w:tc>
          <w:tcPr>
            <w:tcW w:w="2296" w:type="pct"/>
            <w:vAlign w:val="bottom"/>
          </w:tcPr>
          <w:p w14:paraId="099FD227" w14:textId="69781EF9" w:rsidR="00213294" w:rsidRDefault="00AA49CC" w:rsidP="001A5D4A">
            <w:pPr>
              <w:pStyle w:val="NotesTable-ItemPlain"/>
            </w:pPr>
            <w:r>
              <w:t>Return</w:t>
            </w:r>
            <w:r w:rsidR="00213294">
              <w:t xml:space="preserve"> on reimbursement rights</w:t>
            </w:r>
          </w:p>
        </w:tc>
        <w:tc>
          <w:tcPr>
            <w:tcW w:w="271" w:type="pct"/>
          </w:tcPr>
          <w:p w14:paraId="534DE53A" w14:textId="77777777" w:rsidR="00213294" w:rsidRPr="00BC1814" w:rsidRDefault="00213294" w:rsidP="001A5D4A">
            <w:pPr>
              <w:pStyle w:val="NotesTable-Notes"/>
            </w:pPr>
          </w:p>
        </w:tc>
        <w:tc>
          <w:tcPr>
            <w:tcW w:w="406" w:type="pct"/>
          </w:tcPr>
          <w:p w14:paraId="6E5FD1B6" w14:textId="5BDB800A" w:rsidR="00213294" w:rsidRPr="00BC1814" w:rsidRDefault="00213294" w:rsidP="001A5D4A">
            <w:pPr>
              <w:pStyle w:val="NotesTable-HeadPlain"/>
            </w:pPr>
            <w:r w:rsidRPr="00232D19">
              <w:t>–</w:t>
            </w:r>
          </w:p>
        </w:tc>
        <w:tc>
          <w:tcPr>
            <w:tcW w:w="406" w:type="pct"/>
          </w:tcPr>
          <w:p w14:paraId="6CFD25AE" w14:textId="0ECBF9FE" w:rsidR="00213294" w:rsidRPr="00BC1814" w:rsidRDefault="00213294" w:rsidP="001A5D4A">
            <w:pPr>
              <w:pStyle w:val="NotesTable-HeadPlain"/>
            </w:pPr>
            <w:r w:rsidRPr="00232D19">
              <w:t>–</w:t>
            </w:r>
          </w:p>
        </w:tc>
        <w:tc>
          <w:tcPr>
            <w:tcW w:w="406" w:type="pct"/>
          </w:tcPr>
          <w:p w14:paraId="469B7A13" w14:textId="42425080" w:rsidR="00213294" w:rsidRPr="00BC1814" w:rsidRDefault="00213294" w:rsidP="001A5D4A">
            <w:pPr>
              <w:pStyle w:val="NotesTable-HeadPlain"/>
            </w:pPr>
            <w:r w:rsidRPr="00232D19">
              <w:t>–</w:t>
            </w:r>
          </w:p>
        </w:tc>
        <w:tc>
          <w:tcPr>
            <w:tcW w:w="404" w:type="pct"/>
          </w:tcPr>
          <w:p w14:paraId="55A6FA1A" w14:textId="0517266E" w:rsidR="00213294" w:rsidRPr="00BC1814" w:rsidRDefault="00213294" w:rsidP="001A5D4A">
            <w:pPr>
              <w:pStyle w:val="NotesTable-HeadPlain"/>
            </w:pPr>
            <w:r w:rsidRPr="00232D19">
              <w:t>–</w:t>
            </w:r>
          </w:p>
        </w:tc>
      </w:tr>
      <w:tr w:rsidR="00213294" w:rsidRPr="00BC1814" w14:paraId="1F20F739" w14:textId="77777777" w:rsidTr="00AA2125">
        <w:trPr>
          <w:cantSplit/>
          <w:trHeight w:val="181"/>
        </w:trPr>
        <w:tc>
          <w:tcPr>
            <w:tcW w:w="811" w:type="pct"/>
            <w:vAlign w:val="bottom"/>
          </w:tcPr>
          <w:p w14:paraId="6917DAAE" w14:textId="77777777" w:rsidR="00213294" w:rsidRDefault="00213294" w:rsidP="001A5D4A">
            <w:pPr>
              <w:pStyle w:val="Note-Refs"/>
            </w:pPr>
          </w:p>
        </w:tc>
        <w:tc>
          <w:tcPr>
            <w:tcW w:w="2296" w:type="pct"/>
            <w:vAlign w:val="bottom"/>
          </w:tcPr>
          <w:p w14:paraId="532D2A10" w14:textId="6429FAF6" w:rsidR="00213294" w:rsidRDefault="00213294" w:rsidP="001A5D4A">
            <w:pPr>
              <w:pStyle w:val="NotesTable-ItemPlain"/>
            </w:pPr>
            <w:r>
              <w:t>Remeasurements</w:t>
            </w:r>
          </w:p>
        </w:tc>
        <w:tc>
          <w:tcPr>
            <w:tcW w:w="271" w:type="pct"/>
          </w:tcPr>
          <w:p w14:paraId="06B39463" w14:textId="77777777" w:rsidR="00213294" w:rsidRPr="00BC1814" w:rsidRDefault="00213294" w:rsidP="001A5D4A">
            <w:pPr>
              <w:pStyle w:val="NotesTable-Notes"/>
            </w:pPr>
          </w:p>
        </w:tc>
        <w:tc>
          <w:tcPr>
            <w:tcW w:w="406" w:type="pct"/>
            <w:tcBorders>
              <w:bottom w:val="single" w:sz="4" w:space="0" w:color="auto"/>
            </w:tcBorders>
          </w:tcPr>
          <w:p w14:paraId="32505502" w14:textId="398DA7A1" w:rsidR="00213294" w:rsidRPr="00BC1814" w:rsidRDefault="00213294" w:rsidP="001A5D4A">
            <w:pPr>
              <w:pStyle w:val="NotesTable-HeadPlain"/>
            </w:pPr>
            <w:r w:rsidRPr="00232D19">
              <w:t>–</w:t>
            </w:r>
          </w:p>
        </w:tc>
        <w:tc>
          <w:tcPr>
            <w:tcW w:w="406" w:type="pct"/>
            <w:tcBorders>
              <w:bottom w:val="single" w:sz="4" w:space="0" w:color="auto"/>
            </w:tcBorders>
          </w:tcPr>
          <w:p w14:paraId="4EDA0CA9" w14:textId="0A64936C" w:rsidR="00213294" w:rsidRPr="00BC1814" w:rsidRDefault="00213294" w:rsidP="001A5D4A">
            <w:pPr>
              <w:pStyle w:val="NotesTable-HeadPlain"/>
            </w:pPr>
            <w:r w:rsidRPr="00232D19">
              <w:t>–</w:t>
            </w:r>
          </w:p>
        </w:tc>
        <w:tc>
          <w:tcPr>
            <w:tcW w:w="406" w:type="pct"/>
            <w:tcBorders>
              <w:bottom w:val="single" w:sz="4" w:space="0" w:color="auto"/>
            </w:tcBorders>
          </w:tcPr>
          <w:p w14:paraId="1E248E8E" w14:textId="4F785819" w:rsidR="00213294" w:rsidRPr="00BC1814" w:rsidRDefault="00213294" w:rsidP="001A5D4A">
            <w:pPr>
              <w:pStyle w:val="NotesTable-HeadPlain"/>
            </w:pPr>
            <w:r w:rsidRPr="00232D19">
              <w:t>–</w:t>
            </w:r>
          </w:p>
        </w:tc>
        <w:tc>
          <w:tcPr>
            <w:tcW w:w="404" w:type="pct"/>
            <w:tcBorders>
              <w:bottom w:val="single" w:sz="4" w:space="0" w:color="auto"/>
            </w:tcBorders>
          </w:tcPr>
          <w:p w14:paraId="7B7DAB49" w14:textId="56D883F5" w:rsidR="00213294" w:rsidRPr="00BC1814" w:rsidRDefault="00213294" w:rsidP="001A5D4A">
            <w:pPr>
              <w:pStyle w:val="NotesTable-HeadPlain"/>
            </w:pPr>
            <w:r w:rsidRPr="00232D19">
              <w:t>–</w:t>
            </w:r>
          </w:p>
        </w:tc>
      </w:tr>
      <w:tr w:rsidR="00213294" w:rsidRPr="00BC1814" w14:paraId="26C137F5" w14:textId="77777777" w:rsidTr="00AA2125">
        <w:trPr>
          <w:cantSplit/>
          <w:trHeight w:val="181"/>
        </w:trPr>
        <w:tc>
          <w:tcPr>
            <w:tcW w:w="811" w:type="pct"/>
            <w:vAlign w:val="bottom"/>
          </w:tcPr>
          <w:p w14:paraId="4EB9082B" w14:textId="77777777" w:rsidR="00213294" w:rsidRDefault="00213294" w:rsidP="001A5D4A">
            <w:pPr>
              <w:pStyle w:val="Note-Refs"/>
            </w:pPr>
          </w:p>
        </w:tc>
        <w:tc>
          <w:tcPr>
            <w:tcW w:w="2296" w:type="pct"/>
            <w:vAlign w:val="bottom"/>
          </w:tcPr>
          <w:p w14:paraId="2B7B37E2" w14:textId="4B4B35C7" w:rsidR="00213294" w:rsidRDefault="00213294" w:rsidP="001A5D4A">
            <w:pPr>
              <w:pStyle w:val="NotesTable-ItemPlain"/>
            </w:pPr>
            <w:r w:rsidRPr="00BC1814">
              <w:t>Closing value of reimbursement right</w:t>
            </w:r>
          </w:p>
        </w:tc>
        <w:tc>
          <w:tcPr>
            <w:tcW w:w="271" w:type="pct"/>
          </w:tcPr>
          <w:p w14:paraId="311B9FE9" w14:textId="1F5B0317" w:rsidR="00213294" w:rsidRPr="00BC1814" w:rsidRDefault="00213294" w:rsidP="001A5D4A">
            <w:pPr>
              <w:pStyle w:val="NotesTable-Notes"/>
            </w:pPr>
            <w:r>
              <w:t>20</w:t>
            </w:r>
          </w:p>
        </w:tc>
        <w:tc>
          <w:tcPr>
            <w:tcW w:w="406" w:type="pct"/>
            <w:tcBorders>
              <w:top w:val="single" w:sz="4" w:space="0" w:color="auto"/>
            </w:tcBorders>
          </w:tcPr>
          <w:p w14:paraId="0BD27A13" w14:textId="01923D23" w:rsidR="00213294" w:rsidRPr="00BC1814" w:rsidRDefault="00213294" w:rsidP="001A5D4A">
            <w:pPr>
              <w:pStyle w:val="NotesTable-HeadPlain"/>
            </w:pPr>
            <w:r w:rsidRPr="00232D19">
              <w:t>–</w:t>
            </w:r>
          </w:p>
        </w:tc>
        <w:tc>
          <w:tcPr>
            <w:tcW w:w="406" w:type="pct"/>
            <w:tcBorders>
              <w:top w:val="single" w:sz="4" w:space="0" w:color="auto"/>
            </w:tcBorders>
          </w:tcPr>
          <w:p w14:paraId="24A1E8DF" w14:textId="62400888" w:rsidR="00213294" w:rsidRPr="00BC1814" w:rsidRDefault="00213294" w:rsidP="001A5D4A">
            <w:pPr>
              <w:pStyle w:val="NotesTable-HeadPlain"/>
            </w:pPr>
            <w:r w:rsidRPr="00232D19">
              <w:t>–</w:t>
            </w:r>
          </w:p>
        </w:tc>
        <w:tc>
          <w:tcPr>
            <w:tcW w:w="406" w:type="pct"/>
            <w:tcBorders>
              <w:top w:val="single" w:sz="4" w:space="0" w:color="auto"/>
            </w:tcBorders>
          </w:tcPr>
          <w:p w14:paraId="726F6ECD" w14:textId="4D9438AD" w:rsidR="00213294" w:rsidRPr="00BC1814" w:rsidRDefault="00213294" w:rsidP="001A5D4A">
            <w:pPr>
              <w:pStyle w:val="NotesTable-HeadPlain"/>
            </w:pPr>
            <w:r w:rsidRPr="00232D19">
              <w:t>–</w:t>
            </w:r>
          </w:p>
        </w:tc>
        <w:tc>
          <w:tcPr>
            <w:tcW w:w="404" w:type="pct"/>
            <w:tcBorders>
              <w:top w:val="single" w:sz="4" w:space="0" w:color="auto"/>
            </w:tcBorders>
          </w:tcPr>
          <w:p w14:paraId="37FAACBA" w14:textId="4A4F2009" w:rsidR="00213294" w:rsidRPr="00BC1814" w:rsidRDefault="00213294" w:rsidP="001A5D4A">
            <w:pPr>
              <w:pStyle w:val="NotesTable-HeadPlain"/>
            </w:pPr>
            <w:r w:rsidRPr="00232D19">
              <w:t>–</w:t>
            </w:r>
          </w:p>
        </w:tc>
      </w:tr>
      <w:tr w:rsidR="00213294" w:rsidRPr="00BC1814" w14:paraId="5AC1C8C9" w14:textId="77777777" w:rsidTr="00AA2125">
        <w:trPr>
          <w:cantSplit/>
          <w:trHeight w:val="181"/>
        </w:trPr>
        <w:tc>
          <w:tcPr>
            <w:tcW w:w="811" w:type="pct"/>
            <w:vAlign w:val="bottom"/>
          </w:tcPr>
          <w:p w14:paraId="5D8C8A6B" w14:textId="77777777" w:rsidR="00213294" w:rsidRDefault="00213294" w:rsidP="001A5D4A">
            <w:pPr>
              <w:pStyle w:val="Note-Refs"/>
            </w:pPr>
          </w:p>
        </w:tc>
        <w:tc>
          <w:tcPr>
            <w:tcW w:w="2296" w:type="pct"/>
            <w:vAlign w:val="bottom"/>
          </w:tcPr>
          <w:p w14:paraId="73A71198" w14:textId="77777777" w:rsidR="00213294" w:rsidRDefault="00213294" w:rsidP="001A5D4A">
            <w:pPr>
              <w:pStyle w:val="NotesTable-ItemBold"/>
            </w:pPr>
          </w:p>
        </w:tc>
        <w:tc>
          <w:tcPr>
            <w:tcW w:w="271" w:type="pct"/>
          </w:tcPr>
          <w:p w14:paraId="6B5AF58B" w14:textId="77777777" w:rsidR="00213294" w:rsidRPr="00BC1814" w:rsidRDefault="00213294" w:rsidP="001A5D4A">
            <w:pPr>
              <w:pStyle w:val="NotesTable-Notes"/>
            </w:pPr>
          </w:p>
        </w:tc>
        <w:tc>
          <w:tcPr>
            <w:tcW w:w="406" w:type="pct"/>
          </w:tcPr>
          <w:p w14:paraId="1B8AC2F8" w14:textId="77777777" w:rsidR="00213294" w:rsidRPr="00BC1814" w:rsidRDefault="00213294" w:rsidP="001A5D4A">
            <w:pPr>
              <w:pStyle w:val="NotesTable-HeadPlain"/>
            </w:pPr>
          </w:p>
        </w:tc>
        <w:tc>
          <w:tcPr>
            <w:tcW w:w="406" w:type="pct"/>
          </w:tcPr>
          <w:p w14:paraId="3566661B" w14:textId="77777777" w:rsidR="00213294" w:rsidRPr="00BC1814" w:rsidRDefault="00213294" w:rsidP="001A5D4A">
            <w:pPr>
              <w:pStyle w:val="NotesTable-HeadPlain"/>
            </w:pPr>
          </w:p>
        </w:tc>
        <w:tc>
          <w:tcPr>
            <w:tcW w:w="406" w:type="pct"/>
          </w:tcPr>
          <w:p w14:paraId="3467F49F" w14:textId="77777777" w:rsidR="00213294" w:rsidRPr="00BC1814" w:rsidRDefault="00213294" w:rsidP="001A5D4A">
            <w:pPr>
              <w:pStyle w:val="NotesTable-HeadPlain"/>
            </w:pPr>
          </w:p>
        </w:tc>
        <w:tc>
          <w:tcPr>
            <w:tcW w:w="404" w:type="pct"/>
          </w:tcPr>
          <w:p w14:paraId="1320574C" w14:textId="77777777" w:rsidR="00213294" w:rsidRPr="00BC1814" w:rsidRDefault="00213294" w:rsidP="001A5D4A">
            <w:pPr>
              <w:pStyle w:val="NotesTable-HeadPlain"/>
            </w:pPr>
          </w:p>
        </w:tc>
      </w:tr>
      <w:tr w:rsidR="00213294" w:rsidRPr="00BC1814" w14:paraId="038A473B" w14:textId="77777777" w:rsidTr="00AA2125">
        <w:trPr>
          <w:cantSplit/>
          <w:trHeight w:val="161"/>
        </w:trPr>
        <w:tc>
          <w:tcPr>
            <w:tcW w:w="811" w:type="pct"/>
          </w:tcPr>
          <w:p w14:paraId="038A4734" w14:textId="77777777" w:rsidR="00213294" w:rsidRDefault="00213294" w:rsidP="001A5D4A">
            <w:pPr>
              <w:pStyle w:val="Note-Refs"/>
            </w:pPr>
            <w:r>
              <w:t>AASB119.140a(ii)</w:t>
            </w:r>
          </w:p>
        </w:tc>
        <w:tc>
          <w:tcPr>
            <w:tcW w:w="2296" w:type="pct"/>
            <w:vAlign w:val="bottom"/>
          </w:tcPr>
          <w:p w14:paraId="038A4735" w14:textId="2FFC7D59" w:rsidR="00213294" w:rsidRPr="00BC1814" w:rsidRDefault="00213294" w:rsidP="001A5D4A">
            <w:pPr>
              <w:pStyle w:val="Note-TextHeader"/>
            </w:pPr>
            <w:r w:rsidRPr="00BC1814">
              <w:t xml:space="preserve">Present value </w:t>
            </w:r>
            <w:r>
              <w:t xml:space="preserve">of </w:t>
            </w:r>
            <w:r w:rsidRPr="00BC1814">
              <w:t xml:space="preserve">obligation - </w:t>
            </w:r>
            <w:r>
              <w:t>2014</w:t>
            </w:r>
          </w:p>
        </w:tc>
        <w:tc>
          <w:tcPr>
            <w:tcW w:w="271" w:type="pct"/>
          </w:tcPr>
          <w:p w14:paraId="038A4736" w14:textId="77777777" w:rsidR="00213294" w:rsidRPr="00BC1814" w:rsidRDefault="00213294" w:rsidP="001A5D4A">
            <w:pPr>
              <w:pStyle w:val="NotesTable-Notes"/>
            </w:pPr>
          </w:p>
        </w:tc>
        <w:tc>
          <w:tcPr>
            <w:tcW w:w="406" w:type="pct"/>
            <w:vAlign w:val="bottom"/>
          </w:tcPr>
          <w:p w14:paraId="038A4737" w14:textId="77777777" w:rsidR="00213294" w:rsidRPr="00BC1814" w:rsidRDefault="00213294" w:rsidP="001A5D4A">
            <w:pPr>
              <w:pStyle w:val="NotesTable-HeadPlain"/>
              <w:rPr>
                <w:b/>
              </w:rPr>
            </w:pPr>
            <w:r w:rsidRPr="00BC1814">
              <w:t>Fund 1</w:t>
            </w:r>
          </w:p>
        </w:tc>
        <w:tc>
          <w:tcPr>
            <w:tcW w:w="406" w:type="pct"/>
            <w:vAlign w:val="bottom"/>
          </w:tcPr>
          <w:p w14:paraId="038A4738" w14:textId="77777777" w:rsidR="00213294" w:rsidRPr="00BC1814" w:rsidRDefault="00213294" w:rsidP="001A5D4A">
            <w:pPr>
              <w:pStyle w:val="NotesTable-HeadPlain"/>
              <w:rPr>
                <w:b/>
              </w:rPr>
            </w:pPr>
            <w:r w:rsidRPr="00BC1814">
              <w:t>Fund 2</w:t>
            </w:r>
          </w:p>
        </w:tc>
        <w:tc>
          <w:tcPr>
            <w:tcW w:w="406" w:type="pct"/>
            <w:vAlign w:val="bottom"/>
          </w:tcPr>
          <w:p w14:paraId="038A4739" w14:textId="77777777" w:rsidR="00213294" w:rsidRPr="00BC1814" w:rsidRDefault="00213294" w:rsidP="001A5D4A">
            <w:pPr>
              <w:pStyle w:val="NotesTable-HeadPlain"/>
              <w:rPr>
                <w:b/>
              </w:rPr>
            </w:pPr>
            <w:r w:rsidRPr="00BC1814">
              <w:t>Fund 3</w:t>
            </w:r>
          </w:p>
        </w:tc>
        <w:tc>
          <w:tcPr>
            <w:tcW w:w="404" w:type="pct"/>
            <w:vAlign w:val="bottom"/>
          </w:tcPr>
          <w:p w14:paraId="038A473A" w14:textId="77777777" w:rsidR="00213294" w:rsidRPr="00BC1814" w:rsidRDefault="00213294" w:rsidP="001A5D4A">
            <w:pPr>
              <w:pStyle w:val="NotesTable-HeadPlain"/>
              <w:rPr>
                <w:b/>
              </w:rPr>
            </w:pPr>
            <w:r w:rsidRPr="00BC1814">
              <w:t>Total</w:t>
            </w:r>
          </w:p>
        </w:tc>
      </w:tr>
      <w:tr w:rsidR="00213294" w:rsidRPr="00BC1814" w14:paraId="038A4743" w14:textId="77777777" w:rsidTr="00AA2125">
        <w:trPr>
          <w:cantSplit/>
          <w:trHeight w:val="161"/>
        </w:trPr>
        <w:tc>
          <w:tcPr>
            <w:tcW w:w="811" w:type="pct"/>
            <w:vAlign w:val="bottom"/>
          </w:tcPr>
          <w:p w14:paraId="038A473C" w14:textId="77777777" w:rsidR="00213294" w:rsidRDefault="00213294" w:rsidP="001A5D4A">
            <w:pPr>
              <w:pStyle w:val="Note-Refs"/>
            </w:pPr>
            <w:r>
              <w:t>AASB119.140</w:t>
            </w:r>
          </w:p>
        </w:tc>
        <w:tc>
          <w:tcPr>
            <w:tcW w:w="2296" w:type="pct"/>
            <w:vAlign w:val="bottom"/>
          </w:tcPr>
          <w:p w14:paraId="038A473D" w14:textId="77777777" w:rsidR="00213294" w:rsidRPr="00BC1814" w:rsidRDefault="00213294" w:rsidP="001A5D4A">
            <w:pPr>
              <w:pStyle w:val="NotesTable-ItemPlain"/>
              <w:rPr>
                <w:b/>
              </w:rPr>
            </w:pPr>
            <w:r w:rsidRPr="00BC1814">
              <w:t>Opening defined benefit obligation</w:t>
            </w:r>
          </w:p>
        </w:tc>
        <w:tc>
          <w:tcPr>
            <w:tcW w:w="271" w:type="pct"/>
          </w:tcPr>
          <w:p w14:paraId="038A473E" w14:textId="77777777" w:rsidR="00213294" w:rsidRPr="00BC1814" w:rsidRDefault="00213294" w:rsidP="001A5D4A">
            <w:pPr>
              <w:pStyle w:val="NotesTable-Notes"/>
            </w:pPr>
          </w:p>
        </w:tc>
        <w:tc>
          <w:tcPr>
            <w:tcW w:w="406" w:type="pct"/>
          </w:tcPr>
          <w:p w14:paraId="038A473F" w14:textId="77777777" w:rsidR="00213294" w:rsidRPr="00BC1814" w:rsidRDefault="00213294" w:rsidP="001A5D4A">
            <w:pPr>
              <w:pStyle w:val="NotesTable-CellPlain"/>
              <w:rPr>
                <w:b/>
              </w:rPr>
            </w:pPr>
            <w:r w:rsidRPr="000A11B4">
              <w:t>–</w:t>
            </w:r>
          </w:p>
        </w:tc>
        <w:tc>
          <w:tcPr>
            <w:tcW w:w="406" w:type="pct"/>
          </w:tcPr>
          <w:p w14:paraId="038A4740" w14:textId="77777777" w:rsidR="00213294" w:rsidRPr="00BC1814" w:rsidRDefault="00213294" w:rsidP="001A5D4A">
            <w:pPr>
              <w:pStyle w:val="NotesTable-CellPlain"/>
              <w:rPr>
                <w:b/>
              </w:rPr>
            </w:pPr>
            <w:r w:rsidRPr="000A11B4">
              <w:t>–</w:t>
            </w:r>
          </w:p>
        </w:tc>
        <w:tc>
          <w:tcPr>
            <w:tcW w:w="406" w:type="pct"/>
          </w:tcPr>
          <w:p w14:paraId="038A4741" w14:textId="77777777" w:rsidR="00213294" w:rsidRPr="00BC1814" w:rsidRDefault="00213294" w:rsidP="001A5D4A">
            <w:pPr>
              <w:pStyle w:val="NotesTable-CellPlain"/>
              <w:rPr>
                <w:b/>
              </w:rPr>
            </w:pPr>
            <w:r w:rsidRPr="000A11B4">
              <w:t>–</w:t>
            </w:r>
          </w:p>
        </w:tc>
        <w:tc>
          <w:tcPr>
            <w:tcW w:w="404" w:type="pct"/>
          </w:tcPr>
          <w:p w14:paraId="038A4742" w14:textId="77777777" w:rsidR="00213294" w:rsidRPr="00BC1814" w:rsidRDefault="00213294" w:rsidP="001A5D4A">
            <w:pPr>
              <w:pStyle w:val="NotesTable-CellPlain"/>
              <w:rPr>
                <w:b/>
              </w:rPr>
            </w:pPr>
            <w:r w:rsidRPr="000A11B4">
              <w:t>–</w:t>
            </w:r>
          </w:p>
        </w:tc>
      </w:tr>
      <w:tr w:rsidR="00213294" w:rsidRPr="00BC1814" w14:paraId="038A474B" w14:textId="77777777" w:rsidTr="00AA2125">
        <w:trPr>
          <w:cantSplit/>
          <w:trHeight w:val="161"/>
        </w:trPr>
        <w:tc>
          <w:tcPr>
            <w:tcW w:w="811" w:type="pct"/>
            <w:vAlign w:val="bottom"/>
          </w:tcPr>
          <w:p w14:paraId="038A4744" w14:textId="77777777" w:rsidR="00213294" w:rsidRDefault="00213294" w:rsidP="001A5D4A">
            <w:pPr>
              <w:pStyle w:val="Note-Refs"/>
              <w:rPr>
                <w:b/>
              </w:rPr>
            </w:pPr>
            <w:r>
              <w:t>AASB119.141a</w:t>
            </w:r>
          </w:p>
        </w:tc>
        <w:tc>
          <w:tcPr>
            <w:tcW w:w="2296" w:type="pct"/>
            <w:vAlign w:val="bottom"/>
          </w:tcPr>
          <w:p w14:paraId="038A4745" w14:textId="77777777" w:rsidR="00213294" w:rsidRPr="00BC1814" w:rsidRDefault="00213294" w:rsidP="001A5D4A">
            <w:pPr>
              <w:pStyle w:val="NotesTable-ItemPlain"/>
              <w:rPr>
                <w:b/>
              </w:rPr>
            </w:pPr>
            <w:r w:rsidRPr="00BC1814">
              <w:t>Current service cost</w:t>
            </w:r>
          </w:p>
        </w:tc>
        <w:tc>
          <w:tcPr>
            <w:tcW w:w="271" w:type="pct"/>
          </w:tcPr>
          <w:p w14:paraId="038A4746" w14:textId="77777777" w:rsidR="00213294" w:rsidRPr="00BC1814" w:rsidRDefault="00213294" w:rsidP="001A5D4A">
            <w:pPr>
              <w:pStyle w:val="NotesTable-Notes"/>
            </w:pPr>
          </w:p>
        </w:tc>
        <w:tc>
          <w:tcPr>
            <w:tcW w:w="406" w:type="pct"/>
          </w:tcPr>
          <w:p w14:paraId="038A4747" w14:textId="77777777" w:rsidR="00213294" w:rsidRPr="00BC1814" w:rsidRDefault="00213294" w:rsidP="001A5D4A">
            <w:pPr>
              <w:pStyle w:val="NotesTable-CellPlain"/>
              <w:rPr>
                <w:b/>
              </w:rPr>
            </w:pPr>
            <w:r w:rsidRPr="000A11B4">
              <w:t>–</w:t>
            </w:r>
          </w:p>
        </w:tc>
        <w:tc>
          <w:tcPr>
            <w:tcW w:w="406" w:type="pct"/>
          </w:tcPr>
          <w:p w14:paraId="038A4748" w14:textId="77777777" w:rsidR="00213294" w:rsidRPr="00BC1814" w:rsidRDefault="00213294" w:rsidP="001A5D4A">
            <w:pPr>
              <w:pStyle w:val="NotesTable-CellPlain"/>
              <w:rPr>
                <w:b/>
              </w:rPr>
            </w:pPr>
            <w:r w:rsidRPr="000A11B4">
              <w:t>–</w:t>
            </w:r>
          </w:p>
        </w:tc>
        <w:tc>
          <w:tcPr>
            <w:tcW w:w="406" w:type="pct"/>
          </w:tcPr>
          <w:p w14:paraId="038A4749" w14:textId="77777777" w:rsidR="00213294" w:rsidRPr="00BC1814" w:rsidRDefault="00213294" w:rsidP="001A5D4A">
            <w:pPr>
              <w:pStyle w:val="NotesTable-CellPlain"/>
              <w:rPr>
                <w:b/>
              </w:rPr>
            </w:pPr>
            <w:r w:rsidRPr="000A11B4">
              <w:t>–</w:t>
            </w:r>
          </w:p>
        </w:tc>
        <w:tc>
          <w:tcPr>
            <w:tcW w:w="404" w:type="pct"/>
          </w:tcPr>
          <w:p w14:paraId="038A474A" w14:textId="77777777" w:rsidR="00213294" w:rsidRPr="00BC1814" w:rsidRDefault="00213294" w:rsidP="001A5D4A">
            <w:pPr>
              <w:pStyle w:val="NotesTable-CellPlain"/>
              <w:rPr>
                <w:b/>
              </w:rPr>
            </w:pPr>
            <w:r w:rsidRPr="000A11B4">
              <w:t>–</w:t>
            </w:r>
          </w:p>
        </w:tc>
      </w:tr>
      <w:tr w:rsidR="00213294" w:rsidRPr="00BC1814" w14:paraId="038A4753" w14:textId="77777777" w:rsidTr="00AA2125">
        <w:trPr>
          <w:cantSplit/>
          <w:trHeight w:val="161"/>
        </w:trPr>
        <w:tc>
          <w:tcPr>
            <w:tcW w:w="811" w:type="pct"/>
            <w:vAlign w:val="bottom"/>
          </w:tcPr>
          <w:p w14:paraId="038A474C" w14:textId="77777777" w:rsidR="00213294" w:rsidRDefault="00213294" w:rsidP="001A5D4A">
            <w:pPr>
              <w:pStyle w:val="Note-Refs"/>
              <w:rPr>
                <w:b/>
              </w:rPr>
            </w:pPr>
            <w:r>
              <w:t>AASB119.141d</w:t>
            </w:r>
          </w:p>
        </w:tc>
        <w:tc>
          <w:tcPr>
            <w:tcW w:w="2296" w:type="pct"/>
            <w:vAlign w:val="bottom"/>
          </w:tcPr>
          <w:p w14:paraId="038A474D" w14:textId="77777777" w:rsidR="00213294" w:rsidRPr="00BC1814" w:rsidRDefault="00213294" w:rsidP="001A5D4A">
            <w:pPr>
              <w:pStyle w:val="NotesTable-ItemPlain"/>
              <w:rPr>
                <w:b/>
              </w:rPr>
            </w:pPr>
            <w:r w:rsidRPr="00BC1814">
              <w:t>Past service cost</w:t>
            </w:r>
          </w:p>
        </w:tc>
        <w:tc>
          <w:tcPr>
            <w:tcW w:w="271" w:type="pct"/>
          </w:tcPr>
          <w:p w14:paraId="038A474E" w14:textId="77777777" w:rsidR="00213294" w:rsidRPr="00BC1814" w:rsidRDefault="00213294" w:rsidP="001A5D4A">
            <w:pPr>
              <w:pStyle w:val="NotesTable-Notes"/>
            </w:pPr>
          </w:p>
        </w:tc>
        <w:tc>
          <w:tcPr>
            <w:tcW w:w="406" w:type="pct"/>
          </w:tcPr>
          <w:p w14:paraId="038A474F" w14:textId="77777777" w:rsidR="00213294" w:rsidRPr="00BC1814" w:rsidRDefault="00213294" w:rsidP="001A5D4A">
            <w:pPr>
              <w:pStyle w:val="NotesTable-CellPlain"/>
              <w:rPr>
                <w:b/>
              </w:rPr>
            </w:pPr>
            <w:r w:rsidRPr="000A11B4">
              <w:t>–</w:t>
            </w:r>
          </w:p>
        </w:tc>
        <w:tc>
          <w:tcPr>
            <w:tcW w:w="406" w:type="pct"/>
          </w:tcPr>
          <w:p w14:paraId="038A4750" w14:textId="77777777" w:rsidR="00213294" w:rsidRPr="00BC1814" w:rsidRDefault="00213294" w:rsidP="001A5D4A">
            <w:pPr>
              <w:pStyle w:val="NotesTable-CellPlain"/>
              <w:rPr>
                <w:b/>
              </w:rPr>
            </w:pPr>
            <w:r w:rsidRPr="000A11B4">
              <w:t>–</w:t>
            </w:r>
          </w:p>
        </w:tc>
        <w:tc>
          <w:tcPr>
            <w:tcW w:w="406" w:type="pct"/>
          </w:tcPr>
          <w:p w14:paraId="038A4751" w14:textId="77777777" w:rsidR="00213294" w:rsidRPr="00BC1814" w:rsidRDefault="00213294" w:rsidP="001A5D4A">
            <w:pPr>
              <w:pStyle w:val="NotesTable-CellPlain"/>
              <w:rPr>
                <w:b/>
              </w:rPr>
            </w:pPr>
            <w:r w:rsidRPr="000A11B4">
              <w:t>–</w:t>
            </w:r>
          </w:p>
        </w:tc>
        <w:tc>
          <w:tcPr>
            <w:tcW w:w="404" w:type="pct"/>
          </w:tcPr>
          <w:p w14:paraId="038A4752" w14:textId="77777777" w:rsidR="00213294" w:rsidRPr="00BC1814" w:rsidRDefault="00213294" w:rsidP="001A5D4A">
            <w:pPr>
              <w:pStyle w:val="NotesTable-CellPlain"/>
              <w:rPr>
                <w:b/>
              </w:rPr>
            </w:pPr>
            <w:r w:rsidRPr="000A11B4">
              <w:t>–</w:t>
            </w:r>
          </w:p>
        </w:tc>
      </w:tr>
      <w:tr w:rsidR="00213294" w:rsidRPr="00BC1814" w14:paraId="038A475B" w14:textId="77777777" w:rsidTr="00AA2125">
        <w:trPr>
          <w:cantSplit/>
          <w:trHeight w:val="161"/>
        </w:trPr>
        <w:tc>
          <w:tcPr>
            <w:tcW w:w="811" w:type="pct"/>
            <w:vAlign w:val="bottom"/>
          </w:tcPr>
          <w:p w14:paraId="038A4754" w14:textId="77777777" w:rsidR="00213294" w:rsidRDefault="00213294" w:rsidP="001A5D4A">
            <w:pPr>
              <w:pStyle w:val="Note-Refs"/>
              <w:rPr>
                <w:b/>
              </w:rPr>
            </w:pPr>
            <w:r>
              <w:t>AASB119.141b</w:t>
            </w:r>
          </w:p>
        </w:tc>
        <w:tc>
          <w:tcPr>
            <w:tcW w:w="2296" w:type="pct"/>
            <w:vAlign w:val="bottom"/>
          </w:tcPr>
          <w:p w14:paraId="038A4755" w14:textId="2A290D90" w:rsidR="00213294" w:rsidRPr="00BC1814" w:rsidRDefault="00213294" w:rsidP="001A5D4A">
            <w:pPr>
              <w:pStyle w:val="NotesTable-ItemPlain"/>
              <w:rPr>
                <w:b/>
              </w:rPr>
            </w:pPr>
            <w:r w:rsidRPr="00BC1814">
              <w:t xml:space="preserve">Interest </w:t>
            </w:r>
            <w:r>
              <w:t>expense</w:t>
            </w:r>
          </w:p>
        </w:tc>
        <w:tc>
          <w:tcPr>
            <w:tcW w:w="271" w:type="pct"/>
          </w:tcPr>
          <w:p w14:paraId="038A4756" w14:textId="77777777" w:rsidR="00213294" w:rsidRPr="00BC1814" w:rsidRDefault="00213294" w:rsidP="001A5D4A">
            <w:pPr>
              <w:pStyle w:val="NotesTable-Notes"/>
            </w:pPr>
          </w:p>
        </w:tc>
        <w:tc>
          <w:tcPr>
            <w:tcW w:w="406" w:type="pct"/>
            <w:tcBorders>
              <w:bottom w:val="single" w:sz="4" w:space="0" w:color="auto"/>
            </w:tcBorders>
          </w:tcPr>
          <w:p w14:paraId="038A4757" w14:textId="77777777" w:rsidR="00213294" w:rsidRPr="00BC1814" w:rsidRDefault="00213294" w:rsidP="001A5D4A">
            <w:pPr>
              <w:pStyle w:val="NotesTable-CellPlain"/>
              <w:rPr>
                <w:b/>
              </w:rPr>
            </w:pPr>
            <w:r w:rsidRPr="000A11B4">
              <w:t>–</w:t>
            </w:r>
          </w:p>
        </w:tc>
        <w:tc>
          <w:tcPr>
            <w:tcW w:w="406" w:type="pct"/>
            <w:tcBorders>
              <w:bottom w:val="single" w:sz="4" w:space="0" w:color="auto"/>
            </w:tcBorders>
          </w:tcPr>
          <w:p w14:paraId="038A4758" w14:textId="77777777" w:rsidR="00213294" w:rsidRPr="00BC1814" w:rsidRDefault="00213294" w:rsidP="001A5D4A">
            <w:pPr>
              <w:pStyle w:val="NotesTable-CellPlain"/>
              <w:rPr>
                <w:b/>
              </w:rPr>
            </w:pPr>
            <w:r w:rsidRPr="000A11B4">
              <w:t>–</w:t>
            </w:r>
          </w:p>
        </w:tc>
        <w:tc>
          <w:tcPr>
            <w:tcW w:w="406" w:type="pct"/>
            <w:tcBorders>
              <w:bottom w:val="single" w:sz="4" w:space="0" w:color="auto"/>
            </w:tcBorders>
          </w:tcPr>
          <w:p w14:paraId="038A4759" w14:textId="77777777" w:rsidR="00213294" w:rsidRPr="00BC1814" w:rsidRDefault="00213294" w:rsidP="001A5D4A">
            <w:pPr>
              <w:pStyle w:val="NotesTable-CellPlain"/>
              <w:rPr>
                <w:b/>
              </w:rPr>
            </w:pPr>
            <w:r w:rsidRPr="000A11B4">
              <w:t>–</w:t>
            </w:r>
          </w:p>
        </w:tc>
        <w:tc>
          <w:tcPr>
            <w:tcW w:w="404" w:type="pct"/>
            <w:tcBorders>
              <w:bottom w:val="single" w:sz="4" w:space="0" w:color="auto"/>
            </w:tcBorders>
          </w:tcPr>
          <w:p w14:paraId="038A475A" w14:textId="77777777" w:rsidR="00213294" w:rsidRPr="00BC1814" w:rsidRDefault="00213294" w:rsidP="001A5D4A">
            <w:pPr>
              <w:pStyle w:val="NotesTable-CellPlain"/>
              <w:rPr>
                <w:b/>
              </w:rPr>
            </w:pPr>
            <w:r w:rsidRPr="000A11B4">
              <w:t>–</w:t>
            </w:r>
          </w:p>
        </w:tc>
      </w:tr>
      <w:tr w:rsidR="00213294" w:rsidRPr="000A11B4" w14:paraId="038A4763" w14:textId="77777777" w:rsidTr="00AA2125">
        <w:trPr>
          <w:cantSplit/>
          <w:trHeight w:val="161"/>
        </w:trPr>
        <w:tc>
          <w:tcPr>
            <w:tcW w:w="811" w:type="pct"/>
            <w:vAlign w:val="bottom"/>
          </w:tcPr>
          <w:p w14:paraId="038A475C" w14:textId="77777777" w:rsidR="00213294" w:rsidRDefault="00213294" w:rsidP="001A5D4A">
            <w:pPr>
              <w:pStyle w:val="Note-Refs"/>
            </w:pPr>
          </w:p>
        </w:tc>
        <w:tc>
          <w:tcPr>
            <w:tcW w:w="2296" w:type="pct"/>
            <w:vAlign w:val="bottom"/>
          </w:tcPr>
          <w:p w14:paraId="038A475D" w14:textId="77777777" w:rsidR="00213294" w:rsidRDefault="00213294" w:rsidP="001A5D4A">
            <w:pPr>
              <w:pStyle w:val="NotesTable-ItemPlain"/>
            </w:pPr>
          </w:p>
        </w:tc>
        <w:tc>
          <w:tcPr>
            <w:tcW w:w="271" w:type="pct"/>
          </w:tcPr>
          <w:p w14:paraId="038A475E" w14:textId="77777777" w:rsidR="00213294" w:rsidRPr="00BC1814" w:rsidRDefault="00213294" w:rsidP="001A5D4A">
            <w:pPr>
              <w:pStyle w:val="NotesTable-Notes"/>
            </w:pPr>
          </w:p>
        </w:tc>
        <w:tc>
          <w:tcPr>
            <w:tcW w:w="406" w:type="pct"/>
            <w:tcBorders>
              <w:top w:val="single" w:sz="4" w:space="0" w:color="auto"/>
            </w:tcBorders>
          </w:tcPr>
          <w:p w14:paraId="038A475F" w14:textId="5EC8248F" w:rsidR="00213294" w:rsidRPr="000A11B4" w:rsidRDefault="00213294" w:rsidP="001A5D4A">
            <w:pPr>
              <w:pStyle w:val="NotesTable-CellPlain"/>
            </w:pPr>
            <w:r w:rsidRPr="000A11B4">
              <w:t>–</w:t>
            </w:r>
          </w:p>
        </w:tc>
        <w:tc>
          <w:tcPr>
            <w:tcW w:w="406" w:type="pct"/>
            <w:tcBorders>
              <w:top w:val="single" w:sz="4" w:space="0" w:color="auto"/>
            </w:tcBorders>
          </w:tcPr>
          <w:p w14:paraId="038A4760" w14:textId="16D88672" w:rsidR="00213294" w:rsidRPr="000A11B4" w:rsidRDefault="00213294" w:rsidP="001A5D4A">
            <w:pPr>
              <w:pStyle w:val="NotesTable-CellPlain"/>
            </w:pPr>
            <w:r w:rsidRPr="000A11B4">
              <w:t>–</w:t>
            </w:r>
          </w:p>
        </w:tc>
        <w:tc>
          <w:tcPr>
            <w:tcW w:w="406" w:type="pct"/>
            <w:tcBorders>
              <w:top w:val="single" w:sz="4" w:space="0" w:color="auto"/>
            </w:tcBorders>
          </w:tcPr>
          <w:p w14:paraId="038A4761" w14:textId="2768E5F0" w:rsidR="00213294" w:rsidRPr="000A11B4" w:rsidRDefault="00213294" w:rsidP="001A5D4A">
            <w:pPr>
              <w:pStyle w:val="NotesTable-CellPlain"/>
            </w:pPr>
            <w:r w:rsidRPr="000A11B4">
              <w:t>–</w:t>
            </w:r>
          </w:p>
        </w:tc>
        <w:tc>
          <w:tcPr>
            <w:tcW w:w="404" w:type="pct"/>
            <w:tcBorders>
              <w:top w:val="single" w:sz="4" w:space="0" w:color="auto"/>
            </w:tcBorders>
          </w:tcPr>
          <w:p w14:paraId="038A4762" w14:textId="77B57E4A" w:rsidR="00213294" w:rsidRPr="000A11B4" w:rsidRDefault="00213294" w:rsidP="001A5D4A">
            <w:pPr>
              <w:pStyle w:val="NotesTable-CellPlain"/>
            </w:pPr>
            <w:r w:rsidRPr="000A11B4">
              <w:t>–</w:t>
            </w:r>
          </w:p>
        </w:tc>
      </w:tr>
      <w:tr w:rsidR="00213294" w:rsidRPr="000A11B4" w14:paraId="038A476B" w14:textId="77777777" w:rsidTr="00AA2125">
        <w:trPr>
          <w:cantSplit/>
          <w:trHeight w:val="161"/>
        </w:trPr>
        <w:tc>
          <w:tcPr>
            <w:tcW w:w="811" w:type="pct"/>
            <w:vAlign w:val="bottom"/>
          </w:tcPr>
          <w:p w14:paraId="038A4764" w14:textId="77777777" w:rsidR="00213294" w:rsidRDefault="00213294" w:rsidP="001A5D4A">
            <w:pPr>
              <w:pStyle w:val="Note-Refs"/>
            </w:pPr>
          </w:p>
        </w:tc>
        <w:tc>
          <w:tcPr>
            <w:tcW w:w="2296" w:type="pct"/>
            <w:vAlign w:val="bottom"/>
          </w:tcPr>
          <w:p w14:paraId="038A4765" w14:textId="77777777" w:rsidR="00213294" w:rsidRPr="00BC1814" w:rsidRDefault="00213294" w:rsidP="001A5D4A">
            <w:pPr>
              <w:pStyle w:val="NotesTable-ItemPlain"/>
            </w:pPr>
            <w:r>
              <w:t>Remeasurements</w:t>
            </w:r>
          </w:p>
        </w:tc>
        <w:tc>
          <w:tcPr>
            <w:tcW w:w="271" w:type="pct"/>
          </w:tcPr>
          <w:p w14:paraId="038A4766" w14:textId="77777777" w:rsidR="00213294" w:rsidRPr="00BC1814" w:rsidRDefault="00213294" w:rsidP="001A5D4A">
            <w:pPr>
              <w:pStyle w:val="NotesTable-Notes"/>
            </w:pPr>
          </w:p>
        </w:tc>
        <w:tc>
          <w:tcPr>
            <w:tcW w:w="406" w:type="pct"/>
          </w:tcPr>
          <w:p w14:paraId="038A4767" w14:textId="77777777" w:rsidR="00213294" w:rsidRPr="000A11B4" w:rsidRDefault="00213294" w:rsidP="001A5D4A">
            <w:pPr>
              <w:pStyle w:val="NotesTable-CellPlain"/>
            </w:pPr>
          </w:p>
        </w:tc>
        <w:tc>
          <w:tcPr>
            <w:tcW w:w="406" w:type="pct"/>
          </w:tcPr>
          <w:p w14:paraId="038A4768" w14:textId="77777777" w:rsidR="00213294" w:rsidRPr="000A11B4" w:rsidRDefault="00213294" w:rsidP="001A5D4A">
            <w:pPr>
              <w:pStyle w:val="NotesTable-CellPlain"/>
            </w:pPr>
          </w:p>
        </w:tc>
        <w:tc>
          <w:tcPr>
            <w:tcW w:w="406" w:type="pct"/>
          </w:tcPr>
          <w:p w14:paraId="038A4769" w14:textId="77777777" w:rsidR="00213294" w:rsidRPr="000A11B4" w:rsidRDefault="00213294" w:rsidP="001A5D4A">
            <w:pPr>
              <w:pStyle w:val="NotesTable-CellPlain"/>
            </w:pPr>
          </w:p>
        </w:tc>
        <w:tc>
          <w:tcPr>
            <w:tcW w:w="404" w:type="pct"/>
          </w:tcPr>
          <w:p w14:paraId="038A476A" w14:textId="77777777" w:rsidR="00213294" w:rsidRPr="000A11B4" w:rsidRDefault="00213294" w:rsidP="001A5D4A">
            <w:pPr>
              <w:pStyle w:val="NotesTable-CellPlain"/>
            </w:pPr>
          </w:p>
        </w:tc>
      </w:tr>
      <w:tr w:rsidR="00213294" w:rsidRPr="00BC1814" w14:paraId="038A477B" w14:textId="77777777" w:rsidTr="00AA2125">
        <w:trPr>
          <w:cantSplit/>
          <w:trHeight w:val="161"/>
        </w:trPr>
        <w:tc>
          <w:tcPr>
            <w:tcW w:w="811" w:type="pct"/>
          </w:tcPr>
          <w:p w14:paraId="038A4774" w14:textId="706C2A85" w:rsidR="00213294" w:rsidRDefault="00213294" w:rsidP="001A5D4A">
            <w:pPr>
              <w:pStyle w:val="Note-Refs"/>
              <w:rPr>
                <w:b/>
              </w:rPr>
            </w:pPr>
            <w:r>
              <w:t>AASB119.141c(ii)</w:t>
            </w:r>
          </w:p>
        </w:tc>
        <w:tc>
          <w:tcPr>
            <w:tcW w:w="2296" w:type="pct"/>
            <w:vAlign w:val="bottom"/>
          </w:tcPr>
          <w:p w14:paraId="038A4775" w14:textId="56936A91" w:rsidR="00213294" w:rsidRPr="00BC1814" w:rsidRDefault="00213294" w:rsidP="001A5D4A">
            <w:pPr>
              <w:pStyle w:val="Note-Text"/>
              <w:rPr>
                <w:b/>
                <w:lang w:val="en-GB"/>
              </w:rPr>
            </w:pPr>
            <w:r w:rsidRPr="00BC1814">
              <w:t xml:space="preserve">Actuarial losses/(gains) </w:t>
            </w:r>
            <w:r>
              <w:t>arising from changes in demographic assumptions</w:t>
            </w:r>
          </w:p>
        </w:tc>
        <w:tc>
          <w:tcPr>
            <w:tcW w:w="271" w:type="pct"/>
          </w:tcPr>
          <w:p w14:paraId="038A4776" w14:textId="77777777" w:rsidR="00213294" w:rsidRPr="00BC1814" w:rsidRDefault="00213294" w:rsidP="001A5D4A">
            <w:pPr>
              <w:pStyle w:val="NotesTable-Notes"/>
            </w:pPr>
          </w:p>
        </w:tc>
        <w:tc>
          <w:tcPr>
            <w:tcW w:w="406" w:type="pct"/>
            <w:vAlign w:val="bottom"/>
          </w:tcPr>
          <w:p w14:paraId="038A4777" w14:textId="77777777" w:rsidR="00213294" w:rsidRPr="00BC1814" w:rsidRDefault="00213294" w:rsidP="001A5D4A">
            <w:pPr>
              <w:pStyle w:val="NotesTable-CellPlain"/>
              <w:rPr>
                <w:b/>
              </w:rPr>
            </w:pPr>
            <w:r w:rsidRPr="000A11B4">
              <w:t>–</w:t>
            </w:r>
          </w:p>
        </w:tc>
        <w:tc>
          <w:tcPr>
            <w:tcW w:w="406" w:type="pct"/>
            <w:vAlign w:val="bottom"/>
          </w:tcPr>
          <w:p w14:paraId="038A4778" w14:textId="77777777" w:rsidR="00213294" w:rsidRPr="00BC1814" w:rsidRDefault="00213294" w:rsidP="001A5D4A">
            <w:pPr>
              <w:pStyle w:val="NotesTable-CellPlain"/>
              <w:rPr>
                <w:b/>
              </w:rPr>
            </w:pPr>
            <w:r w:rsidRPr="000A11B4">
              <w:t>–</w:t>
            </w:r>
          </w:p>
        </w:tc>
        <w:tc>
          <w:tcPr>
            <w:tcW w:w="406" w:type="pct"/>
            <w:vAlign w:val="bottom"/>
          </w:tcPr>
          <w:p w14:paraId="038A4779" w14:textId="77777777" w:rsidR="00213294" w:rsidRPr="00BC1814" w:rsidRDefault="00213294" w:rsidP="001A5D4A">
            <w:pPr>
              <w:pStyle w:val="NotesTable-CellPlain"/>
              <w:rPr>
                <w:b/>
              </w:rPr>
            </w:pPr>
            <w:r w:rsidRPr="000A11B4">
              <w:t>–</w:t>
            </w:r>
          </w:p>
        </w:tc>
        <w:tc>
          <w:tcPr>
            <w:tcW w:w="404" w:type="pct"/>
            <w:vAlign w:val="bottom"/>
          </w:tcPr>
          <w:p w14:paraId="038A477A" w14:textId="77777777" w:rsidR="00213294" w:rsidRPr="00BC1814" w:rsidRDefault="00213294" w:rsidP="001A5D4A">
            <w:pPr>
              <w:pStyle w:val="NotesTable-CellPlain"/>
              <w:rPr>
                <w:b/>
              </w:rPr>
            </w:pPr>
            <w:r w:rsidRPr="000A11B4">
              <w:t>–</w:t>
            </w:r>
          </w:p>
        </w:tc>
      </w:tr>
      <w:tr w:rsidR="00AA49CC" w:rsidRPr="000A11B4" w14:paraId="038A4783" w14:textId="0389C194" w:rsidTr="00AA2125">
        <w:trPr>
          <w:cantSplit/>
          <w:trHeight w:val="161"/>
        </w:trPr>
        <w:tc>
          <w:tcPr>
            <w:tcW w:w="811" w:type="pct"/>
          </w:tcPr>
          <w:p w14:paraId="038A477C" w14:textId="38D5EB48" w:rsidR="00AA49CC" w:rsidRDefault="00AA49CC" w:rsidP="001A5D4A">
            <w:pPr>
              <w:pStyle w:val="Note-Refs"/>
            </w:pPr>
            <w:r>
              <w:t>AASB119.141c(iii)</w:t>
            </w:r>
          </w:p>
        </w:tc>
        <w:tc>
          <w:tcPr>
            <w:tcW w:w="2296" w:type="pct"/>
            <w:vAlign w:val="bottom"/>
          </w:tcPr>
          <w:p w14:paraId="038A477D" w14:textId="17DAF5CA" w:rsidR="00AA49CC" w:rsidRPr="00BC1814" w:rsidRDefault="00AA49CC" w:rsidP="001A5D4A">
            <w:pPr>
              <w:pStyle w:val="Note-Text"/>
              <w:rPr>
                <w:b/>
                <w:lang w:val="en-GB"/>
              </w:rPr>
            </w:pPr>
            <w:r>
              <w:t>Actuarial losses/(gains) arising from changes in financial assumptions</w:t>
            </w:r>
          </w:p>
        </w:tc>
        <w:tc>
          <w:tcPr>
            <w:tcW w:w="271" w:type="pct"/>
          </w:tcPr>
          <w:p w14:paraId="038A477E" w14:textId="4613F9EF" w:rsidR="00AA49CC" w:rsidRPr="00BC1814" w:rsidRDefault="00AA49CC" w:rsidP="001A5D4A">
            <w:pPr>
              <w:pStyle w:val="Note-Text"/>
            </w:pPr>
          </w:p>
        </w:tc>
        <w:tc>
          <w:tcPr>
            <w:tcW w:w="406" w:type="pct"/>
            <w:vAlign w:val="bottom"/>
          </w:tcPr>
          <w:p w14:paraId="038A477F" w14:textId="03FA1493" w:rsidR="00AA49CC" w:rsidRPr="000A11B4" w:rsidRDefault="00AA49CC" w:rsidP="001A5D4A">
            <w:pPr>
              <w:pStyle w:val="NotesTable-CellPlain"/>
            </w:pPr>
            <w:r w:rsidRPr="000A11B4">
              <w:t>–</w:t>
            </w:r>
          </w:p>
        </w:tc>
        <w:tc>
          <w:tcPr>
            <w:tcW w:w="406" w:type="pct"/>
            <w:vAlign w:val="bottom"/>
          </w:tcPr>
          <w:p w14:paraId="038A4780" w14:textId="2BF3F4EA" w:rsidR="00AA49CC" w:rsidRPr="000A11B4" w:rsidRDefault="00AA49CC" w:rsidP="001A5D4A">
            <w:pPr>
              <w:pStyle w:val="NotesTable-CellPlain"/>
            </w:pPr>
            <w:r w:rsidRPr="000A11B4">
              <w:t>–</w:t>
            </w:r>
          </w:p>
        </w:tc>
        <w:tc>
          <w:tcPr>
            <w:tcW w:w="406" w:type="pct"/>
            <w:vAlign w:val="bottom"/>
          </w:tcPr>
          <w:p w14:paraId="038A4781" w14:textId="4907809C" w:rsidR="00AA49CC" w:rsidRPr="000A11B4" w:rsidRDefault="00AA49CC" w:rsidP="001A5D4A">
            <w:pPr>
              <w:pStyle w:val="NotesTable-CellPlain"/>
            </w:pPr>
            <w:r w:rsidRPr="000A11B4">
              <w:t>–</w:t>
            </w:r>
          </w:p>
        </w:tc>
        <w:tc>
          <w:tcPr>
            <w:tcW w:w="404" w:type="pct"/>
            <w:vAlign w:val="bottom"/>
          </w:tcPr>
          <w:p w14:paraId="038A4782" w14:textId="3FDDC513" w:rsidR="00AA49CC" w:rsidRPr="000A11B4" w:rsidRDefault="00AA49CC" w:rsidP="001A5D4A">
            <w:pPr>
              <w:pStyle w:val="NotesTable-CellPlain"/>
            </w:pPr>
            <w:r w:rsidRPr="000A11B4">
              <w:t>–</w:t>
            </w:r>
          </w:p>
        </w:tc>
      </w:tr>
      <w:tr w:rsidR="00213294" w:rsidRPr="000A11B4" w14:paraId="038A478B" w14:textId="77777777" w:rsidTr="00AA2125">
        <w:trPr>
          <w:cantSplit/>
          <w:trHeight w:val="161"/>
        </w:trPr>
        <w:tc>
          <w:tcPr>
            <w:tcW w:w="811" w:type="pct"/>
            <w:vAlign w:val="bottom"/>
          </w:tcPr>
          <w:p w14:paraId="038A4784" w14:textId="77777777" w:rsidR="00213294" w:rsidRDefault="00213294" w:rsidP="001A5D4A">
            <w:pPr>
              <w:pStyle w:val="Note-Refs"/>
            </w:pPr>
            <w:r>
              <w:t>AASB119.141c(iv)</w:t>
            </w:r>
          </w:p>
        </w:tc>
        <w:tc>
          <w:tcPr>
            <w:tcW w:w="2296" w:type="pct"/>
            <w:vAlign w:val="bottom"/>
          </w:tcPr>
          <w:p w14:paraId="038A4785" w14:textId="77777777" w:rsidR="00213294" w:rsidRDefault="00213294" w:rsidP="001A5D4A">
            <w:pPr>
              <w:pStyle w:val="Note-Text"/>
            </w:pPr>
            <w:r>
              <w:t>Experience (gains)/losses</w:t>
            </w:r>
          </w:p>
        </w:tc>
        <w:tc>
          <w:tcPr>
            <w:tcW w:w="271" w:type="pct"/>
          </w:tcPr>
          <w:p w14:paraId="038A4786" w14:textId="77777777" w:rsidR="00213294" w:rsidRPr="00BC1814" w:rsidRDefault="00213294" w:rsidP="001A5D4A">
            <w:pPr>
              <w:pStyle w:val="NotesTable-Notes"/>
            </w:pPr>
          </w:p>
        </w:tc>
        <w:tc>
          <w:tcPr>
            <w:tcW w:w="406" w:type="pct"/>
            <w:tcBorders>
              <w:bottom w:val="single" w:sz="4" w:space="0" w:color="auto"/>
            </w:tcBorders>
          </w:tcPr>
          <w:p w14:paraId="038A4787" w14:textId="77777777" w:rsidR="00213294" w:rsidRPr="000A11B4" w:rsidRDefault="00213294" w:rsidP="001A5D4A">
            <w:pPr>
              <w:pStyle w:val="NotesTable-CellPlain"/>
            </w:pPr>
            <w:r w:rsidRPr="002A72F5">
              <w:t>–</w:t>
            </w:r>
          </w:p>
        </w:tc>
        <w:tc>
          <w:tcPr>
            <w:tcW w:w="406" w:type="pct"/>
            <w:tcBorders>
              <w:bottom w:val="single" w:sz="4" w:space="0" w:color="auto"/>
            </w:tcBorders>
          </w:tcPr>
          <w:p w14:paraId="038A4788" w14:textId="77777777" w:rsidR="00213294" w:rsidRPr="000A11B4" w:rsidRDefault="00213294" w:rsidP="001A5D4A">
            <w:pPr>
              <w:pStyle w:val="NotesTable-CellPlain"/>
            </w:pPr>
            <w:r w:rsidRPr="002A72F5">
              <w:t>–</w:t>
            </w:r>
          </w:p>
        </w:tc>
        <w:tc>
          <w:tcPr>
            <w:tcW w:w="406" w:type="pct"/>
            <w:tcBorders>
              <w:bottom w:val="single" w:sz="4" w:space="0" w:color="auto"/>
            </w:tcBorders>
          </w:tcPr>
          <w:p w14:paraId="038A4789" w14:textId="77777777" w:rsidR="00213294" w:rsidRPr="000A11B4" w:rsidRDefault="00213294" w:rsidP="001A5D4A">
            <w:pPr>
              <w:pStyle w:val="NotesTable-CellPlain"/>
            </w:pPr>
            <w:r w:rsidRPr="002A72F5">
              <w:t>–</w:t>
            </w:r>
          </w:p>
        </w:tc>
        <w:tc>
          <w:tcPr>
            <w:tcW w:w="404" w:type="pct"/>
            <w:tcBorders>
              <w:bottom w:val="single" w:sz="4" w:space="0" w:color="auto"/>
            </w:tcBorders>
          </w:tcPr>
          <w:p w14:paraId="038A478A" w14:textId="77777777" w:rsidR="00213294" w:rsidRPr="000A11B4" w:rsidRDefault="00213294" w:rsidP="001A5D4A">
            <w:pPr>
              <w:pStyle w:val="NotesTable-CellPlain"/>
            </w:pPr>
            <w:r w:rsidRPr="002A72F5">
              <w:t>–</w:t>
            </w:r>
          </w:p>
        </w:tc>
      </w:tr>
      <w:tr w:rsidR="00213294" w:rsidRPr="000A11B4" w14:paraId="038A4793" w14:textId="77777777" w:rsidTr="00AA2125">
        <w:trPr>
          <w:cantSplit/>
          <w:trHeight w:val="161"/>
        </w:trPr>
        <w:tc>
          <w:tcPr>
            <w:tcW w:w="811" w:type="pct"/>
            <w:vAlign w:val="bottom"/>
          </w:tcPr>
          <w:p w14:paraId="038A478C" w14:textId="77777777" w:rsidR="00213294" w:rsidRDefault="00213294" w:rsidP="001A5D4A">
            <w:pPr>
              <w:pStyle w:val="Note-Refs"/>
            </w:pPr>
          </w:p>
        </w:tc>
        <w:tc>
          <w:tcPr>
            <w:tcW w:w="2296" w:type="pct"/>
            <w:vAlign w:val="bottom"/>
          </w:tcPr>
          <w:p w14:paraId="038A478D" w14:textId="77777777" w:rsidR="00213294" w:rsidRDefault="00213294" w:rsidP="001A5D4A">
            <w:pPr>
              <w:pStyle w:val="NotesTable-ItemPlain"/>
            </w:pPr>
          </w:p>
        </w:tc>
        <w:tc>
          <w:tcPr>
            <w:tcW w:w="271" w:type="pct"/>
          </w:tcPr>
          <w:p w14:paraId="038A478E" w14:textId="77777777" w:rsidR="00213294" w:rsidRPr="00BC1814" w:rsidRDefault="00213294" w:rsidP="001A5D4A">
            <w:pPr>
              <w:pStyle w:val="NotesTable-Notes"/>
            </w:pPr>
          </w:p>
        </w:tc>
        <w:tc>
          <w:tcPr>
            <w:tcW w:w="406" w:type="pct"/>
            <w:tcBorders>
              <w:top w:val="single" w:sz="4" w:space="0" w:color="auto"/>
            </w:tcBorders>
          </w:tcPr>
          <w:p w14:paraId="038A478F" w14:textId="1442F810" w:rsidR="00213294" w:rsidRPr="000A11B4" w:rsidRDefault="00213294" w:rsidP="001A5D4A">
            <w:pPr>
              <w:pStyle w:val="NotesTable-CellPlain"/>
            </w:pPr>
            <w:r w:rsidRPr="002A72F5">
              <w:t>–</w:t>
            </w:r>
          </w:p>
        </w:tc>
        <w:tc>
          <w:tcPr>
            <w:tcW w:w="406" w:type="pct"/>
            <w:tcBorders>
              <w:top w:val="single" w:sz="4" w:space="0" w:color="auto"/>
            </w:tcBorders>
          </w:tcPr>
          <w:p w14:paraId="038A4790" w14:textId="68334418" w:rsidR="00213294" w:rsidRPr="000A11B4" w:rsidRDefault="00213294" w:rsidP="001A5D4A">
            <w:pPr>
              <w:pStyle w:val="NotesTable-CellPlain"/>
            </w:pPr>
            <w:r w:rsidRPr="002A72F5">
              <w:t>–</w:t>
            </w:r>
          </w:p>
        </w:tc>
        <w:tc>
          <w:tcPr>
            <w:tcW w:w="406" w:type="pct"/>
            <w:tcBorders>
              <w:top w:val="single" w:sz="4" w:space="0" w:color="auto"/>
            </w:tcBorders>
          </w:tcPr>
          <w:p w14:paraId="038A4791" w14:textId="11C83519" w:rsidR="00213294" w:rsidRPr="000A11B4" w:rsidRDefault="00213294" w:rsidP="001A5D4A">
            <w:pPr>
              <w:pStyle w:val="NotesTable-CellPlain"/>
            </w:pPr>
            <w:r w:rsidRPr="002A72F5">
              <w:t>–</w:t>
            </w:r>
          </w:p>
        </w:tc>
        <w:tc>
          <w:tcPr>
            <w:tcW w:w="404" w:type="pct"/>
            <w:tcBorders>
              <w:top w:val="single" w:sz="4" w:space="0" w:color="auto"/>
            </w:tcBorders>
          </w:tcPr>
          <w:p w14:paraId="038A4792" w14:textId="48A9B488" w:rsidR="00213294" w:rsidRPr="000A11B4" w:rsidRDefault="00213294" w:rsidP="001A5D4A">
            <w:pPr>
              <w:pStyle w:val="NotesTable-CellPlain"/>
            </w:pPr>
            <w:r w:rsidRPr="002A72F5">
              <w:t>–</w:t>
            </w:r>
          </w:p>
        </w:tc>
      </w:tr>
      <w:tr w:rsidR="00213294" w:rsidRPr="00BC1814" w14:paraId="038A47BB" w14:textId="77777777" w:rsidTr="00AA2125">
        <w:trPr>
          <w:cantSplit/>
          <w:trHeight w:val="161"/>
        </w:trPr>
        <w:tc>
          <w:tcPr>
            <w:tcW w:w="811" w:type="pct"/>
            <w:vAlign w:val="bottom"/>
          </w:tcPr>
          <w:p w14:paraId="038A47B4" w14:textId="77777777" w:rsidR="00213294" w:rsidRDefault="00213294" w:rsidP="001A5D4A">
            <w:pPr>
              <w:pStyle w:val="Note-Refs"/>
              <w:rPr>
                <w:b/>
              </w:rPr>
            </w:pPr>
            <w:r>
              <w:t>AASB119.141e</w:t>
            </w:r>
          </w:p>
        </w:tc>
        <w:tc>
          <w:tcPr>
            <w:tcW w:w="2296" w:type="pct"/>
            <w:vAlign w:val="bottom"/>
          </w:tcPr>
          <w:p w14:paraId="038A47B5" w14:textId="77777777" w:rsidR="00213294" w:rsidRPr="00BC1814" w:rsidRDefault="00213294" w:rsidP="001A5D4A">
            <w:pPr>
              <w:pStyle w:val="NotesTable-ItemPlain"/>
              <w:rPr>
                <w:b/>
              </w:rPr>
            </w:pPr>
            <w:r w:rsidRPr="00BC1814">
              <w:t>Exchange differences on foreign plans</w:t>
            </w:r>
          </w:p>
        </w:tc>
        <w:tc>
          <w:tcPr>
            <w:tcW w:w="271" w:type="pct"/>
          </w:tcPr>
          <w:p w14:paraId="038A47B6" w14:textId="77777777" w:rsidR="00213294" w:rsidRPr="00BC1814" w:rsidRDefault="00213294" w:rsidP="001A5D4A">
            <w:pPr>
              <w:pStyle w:val="NotesTable-Notes"/>
            </w:pPr>
          </w:p>
        </w:tc>
        <w:tc>
          <w:tcPr>
            <w:tcW w:w="406" w:type="pct"/>
          </w:tcPr>
          <w:p w14:paraId="038A47B7" w14:textId="77777777" w:rsidR="00213294" w:rsidRPr="00BC1814" w:rsidRDefault="00213294" w:rsidP="001A5D4A">
            <w:pPr>
              <w:pStyle w:val="NotesTable-CellPlain"/>
              <w:rPr>
                <w:b/>
              </w:rPr>
            </w:pPr>
            <w:r w:rsidRPr="000A11B4">
              <w:t>–</w:t>
            </w:r>
          </w:p>
        </w:tc>
        <w:tc>
          <w:tcPr>
            <w:tcW w:w="406" w:type="pct"/>
          </w:tcPr>
          <w:p w14:paraId="038A47B8" w14:textId="77777777" w:rsidR="00213294" w:rsidRPr="00BC1814" w:rsidRDefault="00213294" w:rsidP="001A5D4A">
            <w:pPr>
              <w:pStyle w:val="NotesTable-CellPlain"/>
              <w:rPr>
                <w:b/>
              </w:rPr>
            </w:pPr>
            <w:r w:rsidRPr="000A11B4">
              <w:t>–</w:t>
            </w:r>
          </w:p>
        </w:tc>
        <w:tc>
          <w:tcPr>
            <w:tcW w:w="406" w:type="pct"/>
          </w:tcPr>
          <w:p w14:paraId="038A47B9" w14:textId="77777777" w:rsidR="00213294" w:rsidRPr="00BC1814" w:rsidRDefault="00213294" w:rsidP="001A5D4A">
            <w:pPr>
              <w:pStyle w:val="NotesTable-CellPlain"/>
              <w:rPr>
                <w:b/>
              </w:rPr>
            </w:pPr>
            <w:r w:rsidRPr="000A11B4">
              <w:t>–</w:t>
            </w:r>
          </w:p>
        </w:tc>
        <w:tc>
          <w:tcPr>
            <w:tcW w:w="404" w:type="pct"/>
          </w:tcPr>
          <w:p w14:paraId="038A47BA" w14:textId="77777777" w:rsidR="00213294" w:rsidRPr="00BC1814" w:rsidRDefault="00213294" w:rsidP="001A5D4A">
            <w:pPr>
              <w:pStyle w:val="NotesTable-CellPlain"/>
              <w:rPr>
                <w:b/>
              </w:rPr>
            </w:pPr>
            <w:r w:rsidRPr="000A11B4">
              <w:t>–</w:t>
            </w:r>
          </w:p>
        </w:tc>
      </w:tr>
      <w:tr w:rsidR="00213294" w:rsidRPr="00BC1814" w14:paraId="038A47C3" w14:textId="77777777" w:rsidTr="00AA2125">
        <w:trPr>
          <w:cantSplit/>
          <w:trHeight w:val="161"/>
        </w:trPr>
        <w:tc>
          <w:tcPr>
            <w:tcW w:w="811" w:type="pct"/>
            <w:vAlign w:val="bottom"/>
          </w:tcPr>
          <w:p w14:paraId="038A47BC" w14:textId="77777777" w:rsidR="00213294" w:rsidRDefault="00213294" w:rsidP="001A5D4A">
            <w:pPr>
              <w:pStyle w:val="Note-Refs"/>
              <w:rPr>
                <w:b/>
              </w:rPr>
            </w:pPr>
            <w:r>
              <w:t>AASB119.141g</w:t>
            </w:r>
          </w:p>
        </w:tc>
        <w:tc>
          <w:tcPr>
            <w:tcW w:w="2296" w:type="pct"/>
            <w:vAlign w:val="bottom"/>
          </w:tcPr>
          <w:p w14:paraId="038A47BD" w14:textId="77777777" w:rsidR="00213294" w:rsidRPr="00BC1814" w:rsidRDefault="00213294" w:rsidP="001A5D4A">
            <w:pPr>
              <w:pStyle w:val="NotesTable-ItemPlain"/>
              <w:rPr>
                <w:b/>
              </w:rPr>
            </w:pPr>
            <w:r>
              <w:t>Payments from plan</w:t>
            </w:r>
          </w:p>
        </w:tc>
        <w:tc>
          <w:tcPr>
            <w:tcW w:w="271" w:type="pct"/>
          </w:tcPr>
          <w:p w14:paraId="038A47BE" w14:textId="77777777" w:rsidR="00213294" w:rsidRPr="00BC1814" w:rsidRDefault="00213294" w:rsidP="001A5D4A">
            <w:pPr>
              <w:pStyle w:val="NotesTable-Notes"/>
            </w:pPr>
          </w:p>
        </w:tc>
        <w:tc>
          <w:tcPr>
            <w:tcW w:w="406" w:type="pct"/>
          </w:tcPr>
          <w:p w14:paraId="038A47BF" w14:textId="77777777" w:rsidR="00213294" w:rsidRPr="00BC1814" w:rsidRDefault="00213294" w:rsidP="001A5D4A">
            <w:pPr>
              <w:pStyle w:val="NotesTable-CellPlain"/>
              <w:rPr>
                <w:b/>
              </w:rPr>
            </w:pPr>
          </w:p>
        </w:tc>
        <w:tc>
          <w:tcPr>
            <w:tcW w:w="406" w:type="pct"/>
          </w:tcPr>
          <w:p w14:paraId="038A47C0" w14:textId="77777777" w:rsidR="00213294" w:rsidRPr="00BC1814" w:rsidRDefault="00213294" w:rsidP="001A5D4A">
            <w:pPr>
              <w:pStyle w:val="NotesTable-CellPlain"/>
              <w:rPr>
                <w:b/>
              </w:rPr>
            </w:pPr>
          </w:p>
        </w:tc>
        <w:tc>
          <w:tcPr>
            <w:tcW w:w="406" w:type="pct"/>
          </w:tcPr>
          <w:p w14:paraId="038A47C1" w14:textId="77777777" w:rsidR="00213294" w:rsidRPr="00BC1814" w:rsidRDefault="00213294" w:rsidP="001A5D4A">
            <w:pPr>
              <w:pStyle w:val="NotesTable-CellPlain"/>
              <w:rPr>
                <w:b/>
              </w:rPr>
            </w:pPr>
          </w:p>
        </w:tc>
        <w:tc>
          <w:tcPr>
            <w:tcW w:w="404" w:type="pct"/>
          </w:tcPr>
          <w:p w14:paraId="038A47C2" w14:textId="77777777" w:rsidR="00213294" w:rsidRPr="00BC1814" w:rsidRDefault="00213294" w:rsidP="001A5D4A">
            <w:pPr>
              <w:pStyle w:val="NotesTable-CellPlain"/>
              <w:rPr>
                <w:b/>
              </w:rPr>
            </w:pPr>
          </w:p>
        </w:tc>
      </w:tr>
      <w:tr w:rsidR="00213294" w:rsidRPr="00BC1814" w14:paraId="038A47CB" w14:textId="77777777" w:rsidTr="00AA2125">
        <w:trPr>
          <w:cantSplit/>
          <w:trHeight w:val="161"/>
        </w:trPr>
        <w:tc>
          <w:tcPr>
            <w:tcW w:w="811" w:type="pct"/>
            <w:vAlign w:val="bottom"/>
          </w:tcPr>
          <w:p w14:paraId="038A47C4" w14:textId="77777777" w:rsidR="00213294" w:rsidRPr="003325C5" w:rsidRDefault="00213294" w:rsidP="001A5D4A">
            <w:pPr>
              <w:pStyle w:val="Note-Refs"/>
            </w:pPr>
          </w:p>
        </w:tc>
        <w:tc>
          <w:tcPr>
            <w:tcW w:w="2296" w:type="pct"/>
            <w:vAlign w:val="bottom"/>
          </w:tcPr>
          <w:p w14:paraId="038A47C5" w14:textId="77777777" w:rsidR="00213294" w:rsidRPr="00BC1814" w:rsidRDefault="00213294" w:rsidP="001A5D4A">
            <w:pPr>
              <w:pStyle w:val="Note-Text"/>
              <w:rPr>
                <w:b/>
                <w:lang w:val="en-GB"/>
              </w:rPr>
            </w:pPr>
            <w:r w:rsidRPr="00BC1814">
              <w:t>Benefits paid</w:t>
            </w:r>
            <w:r w:rsidRPr="00BC1814" w:rsidDel="00E47AA3">
              <w:t xml:space="preserve"> </w:t>
            </w:r>
          </w:p>
        </w:tc>
        <w:tc>
          <w:tcPr>
            <w:tcW w:w="271" w:type="pct"/>
          </w:tcPr>
          <w:p w14:paraId="038A47C6" w14:textId="77777777" w:rsidR="00213294" w:rsidRPr="00BC1814" w:rsidRDefault="00213294" w:rsidP="001A5D4A">
            <w:pPr>
              <w:pStyle w:val="NotesTable-Notes"/>
            </w:pPr>
          </w:p>
        </w:tc>
        <w:tc>
          <w:tcPr>
            <w:tcW w:w="406" w:type="pct"/>
          </w:tcPr>
          <w:p w14:paraId="038A47C7" w14:textId="77777777" w:rsidR="00213294" w:rsidRPr="00BC1814" w:rsidRDefault="00213294" w:rsidP="001A5D4A">
            <w:pPr>
              <w:pStyle w:val="NotesTable-CellPlain"/>
              <w:rPr>
                <w:b/>
              </w:rPr>
            </w:pPr>
            <w:r w:rsidRPr="000A11B4">
              <w:t>–</w:t>
            </w:r>
          </w:p>
        </w:tc>
        <w:tc>
          <w:tcPr>
            <w:tcW w:w="406" w:type="pct"/>
          </w:tcPr>
          <w:p w14:paraId="038A47C8" w14:textId="77777777" w:rsidR="00213294" w:rsidRPr="00BC1814" w:rsidRDefault="00213294" w:rsidP="001A5D4A">
            <w:pPr>
              <w:pStyle w:val="NotesTable-CellPlain"/>
              <w:rPr>
                <w:b/>
              </w:rPr>
            </w:pPr>
            <w:r w:rsidRPr="000A11B4">
              <w:t>–</w:t>
            </w:r>
          </w:p>
        </w:tc>
        <w:tc>
          <w:tcPr>
            <w:tcW w:w="406" w:type="pct"/>
          </w:tcPr>
          <w:p w14:paraId="038A47C9" w14:textId="77777777" w:rsidR="00213294" w:rsidRPr="00BC1814" w:rsidRDefault="00213294" w:rsidP="001A5D4A">
            <w:pPr>
              <w:pStyle w:val="NotesTable-CellPlain"/>
              <w:rPr>
                <w:b/>
              </w:rPr>
            </w:pPr>
            <w:r w:rsidRPr="000A11B4">
              <w:t>–</w:t>
            </w:r>
          </w:p>
        </w:tc>
        <w:tc>
          <w:tcPr>
            <w:tcW w:w="404" w:type="pct"/>
          </w:tcPr>
          <w:p w14:paraId="038A47CA" w14:textId="77777777" w:rsidR="00213294" w:rsidRPr="00BC1814" w:rsidRDefault="00213294" w:rsidP="001A5D4A">
            <w:pPr>
              <w:pStyle w:val="NotesTable-CellPlain"/>
              <w:rPr>
                <w:b/>
              </w:rPr>
            </w:pPr>
            <w:r w:rsidRPr="000A11B4">
              <w:t>–</w:t>
            </w:r>
          </w:p>
        </w:tc>
      </w:tr>
      <w:tr w:rsidR="00213294" w:rsidRPr="000A11B4" w:rsidDel="00E47AA3" w14:paraId="038A47D3" w14:textId="77777777" w:rsidTr="00AA2125">
        <w:trPr>
          <w:cantSplit/>
          <w:trHeight w:val="161"/>
        </w:trPr>
        <w:tc>
          <w:tcPr>
            <w:tcW w:w="811" w:type="pct"/>
            <w:vAlign w:val="bottom"/>
          </w:tcPr>
          <w:p w14:paraId="038A47CC" w14:textId="77777777" w:rsidR="00213294" w:rsidRPr="003325C5" w:rsidDel="00E47AA3" w:rsidRDefault="00213294" w:rsidP="001A5D4A">
            <w:pPr>
              <w:pStyle w:val="Note-Refs"/>
            </w:pPr>
          </w:p>
        </w:tc>
        <w:tc>
          <w:tcPr>
            <w:tcW w:w="2296" w:type="pct"/>
            <w:vAlign w:val="bottom"/>
          </w:tcPr>
          <w:p w14:paraId="038A47CD" w14:textId="77777777" w:rsidR="00213294" w:rsidRPr="003325C5" w:rsidDel="00E47AA3" w:rsidRDefault="00213294" w:rsidP="001A5D4A">
            <w:pPr>
              <w:pStyle w:val="Note-Text"/>
            </w:pPr>
            <w:r>
              <w:t>Settlements</w:t>
            </w:r>
          </w:p>
        </w:tc>
        <w:tc>
          <w:tcPr>
            <w:tcW w:w="271" w:type="pct"/>
          </w:tcPr>
          <w:p w14:paraId="038A47CE" w14:textId="77777777" w:rsidR="00213294" w:rsidRPr="00BC1814" w:rsidRDefault="00213294" w:rsidP="001A5D4A">
            <w:pPr>
              <w:pStyle w:val="NotesTable-Notes"/>
            </w:pPr>
          </w:p>
        </w:tc>
        <w:tc>
          <w:tcPr>
            <w:tcW w:w="406" w:type="pct"/>
            <w:tcBorders>
              <w:bottom w:val="single" w:sz="4" w:space="0" w:color="auto"/>
            </w:tcBorders>
          </w:tcPr>
          <w:p w14:paraId="038A47CF" w14:textId="77777777" w:rsidR="00213294" w:rsidRPr="003325C5" w:rsidDel="00E47AA3" w:rsidRDefault="00213294" w:rsidP="001A5D4A">
            <w:pPr>
              <w:pStyle w:val="NotesTable-CellPlain"/>
            </w:pPr>
            <w:r w:rsidRPr="000A11B4">
              <w:t>–</w:t>
            </w:r>
          </w:p>
        </w:tc>
        <w:tc>
          <w:tcPr>
            <w:tcW w:w="406" w:type="pct"/>
            <w:tcBorders>
              <w:bottom w:val="single" w:sz="4" w:space="0" w:color="auto"/>
            </w:tcBorders>
          </w:tcPr>
          <w:p w14:paraId="038A47D0" w14:textId="77777777" w:rsidR="00213294" w:rsidRPr="003325C5" w:rsidDel="00E47AA3" w:rsidRDefault="00213294" w:rsidP="001A5D4A">
            <w:pPr>
              <w:pStyle w:val="NotesTable-CellPlain"/>
            </w:pPr>
            <w:r w:rsidRPr="000A11B4">
              <w:t>–</w:t>
            </w:r>
          </w:p>
        </w:tc>
        <w:tc>
          <w:tcPr>
            <w:tcW w:w="406" w:type="pct"/>
            <w:tcBorders>
              <w:bottom w:val="single" w:sz="4" w:space="0" w:color="auto"/>
            </w:tcBorders>
          </w:tcPr>
          <w:p w14:paraId="038A47D1" w14:textId="77777777" w:rsidR="00213294" w:rsidRPr="003325C5" w:rsidDel="00E47AA3" w:rsidRDefault="00213294" w:rsidP="001A5D4A">
            <w:pPr>
              <w:pStyle w:val="NotesTable-CellPlain"/>
            </w:pPr>
            <w:r w:rsidRPr="000A11B4">
              <w:t>–</w:t>
            </w:r>
          </w:p>
        </w:tc>
        <w:tc>
          <w:tcPr>
            <w:tcW w:w="404" w:type="pct"/>
            <w:tcBorders>
              <w:bottom w:val="single" w:sz="4" w:space="0" w:color="auto"/>
            </w:tcBorders>
          </w:tcPr>
          <w:p w14:paraId="038A47D2" w14:textId="77777777" w:rsidR="00213294" w:rsidRPr="003325C5" w:rsidDel="00E47AA3" w:rsidRDefault="00213294" w:rsidP="001A5D4A">
            <w:pPr>
              <w:pStyle w:val="NotesTable-CellPlain"/>
            </w:pPr>
            <w:r w:rsidRPr="000A11B4">
              <w:t>–</w:t>
            </w:r>
          </w:p>
        </w:tc>
      </w:tr>
      <w:tr w:rsidR="00213294" w:rsidRPr="000A11B4" w14:paraId="038A47DB" w14:textId="77777777" w:rsidTr="00AA2125">
        <w:trPr>
          <w:cantSplit/>
          <w:trHeight w:val="161"/>
        </w:trPr>
        <w:tc>
          <w:tcPr>
            <w:tcW w:w="811" w:type="pct"/>
            <w:vAlign w:val="bottom"/>
          </w:tcPr>
          <w:p w14:paraId="038A47D4" w14:textId="77777777" w:rsidR="00213294" w:rsidRDefault="00213294" w:rsidP="001A5D4A">
            <w:pPr>
              <w:pStyle w:val="Note-Refs"/>
            </w:pPr>
          </w:p>
        </w:tc>
        <w:tc>
          <w:tcPr>
            <w:tcW w:w="2296" w:type="pct"/>
            <w:vAlign w:val="bottom"/>
          </w:tcPr>
          <w:p w14:paraId="038A47D5" w14:textId="77777777" w:rsidR="00213294" w:rsidRPr="00BC1814" w:rsidRDefault="00213294" w:rsidP="001A5D4A">
            <w:pPr>
              <w:pStyle w:val="NotesTable-ItemPlain"/>
            </w:pPr>
          </w:p>
        </w:tc>
        <w:tc>
          <w:tcPr>
            <w:tcW w:w="271" w:type="pct"/>
          </w:tcPr>
          <w:p w14:paraId="038A47D6" w14:textId="77777777" w:rsidR="00213294" w:rsidRPr="00BC1814" w:rsidRDefault="00213294" w:rsidP="001A5D4A">
            <w:pPr>
              <w:pStyle w:val="NotesTable-Notes"/>
            </w:pPr>
          </w:p>
        </w:tc>
        <w:tc>
          <w:tcPr>
            <w:tcW w:w="406" w:type="pct"/>
            <w:tcBorders>
              <w:top w:val="single" w:sz="4" w:space="0" w:color="auto"/>
            </w:tcBorders>
          </w:tcPr>
          <w:p w14:paraId="038A47D7" w14:textId="7A8F26EF" w:rsidR="00213294" w:rsidRPr="000A11B4" w:rsidRDefault="00213294" w:rsidP="001A5D4A">
            <w:pPr>
              <w:pStyle w:val="NotesTable-CellPlain"/>
            </w:pPr>
            <w:r w:rsidRPr="002A72F5">
              <w:t>–</w:t>
            </w:r>
          </w:p>
        </w:tc>
        <w:tc>
          <w:tcPr>
            <w:tcW w:w="406" w:type="pct"/>
            <w:tcBorders>
              <w:top w:val="single" w:sz="4" w:space="0" w:color="auto"/>
            </w:tcBorders>
          </w:tcPr>
          <w:p w14:paraId="038A47D8" w14:textId="60D5A073" w:rsidR="00213294" w:rsidRPr="000A11B4" w:rsidRDefault="00213294" w:rsidP="001A5D4A">
            <w:pPr>
              <w:pStyle w:val="NotesTable-CellPlain"/>
            </w:pPr>
            <w:r w:rsidRPr="002A72F5">
              <w:t>–</w:t>
            </w:r>
          </w:p>
        </w:tc>
        <w:tc>
          <w:tcPr>
            <w:tcW w:w="406" w:type="pct"/>
            <w:tcBorders>
              <w:top w:val="single" w:sz="4" w:space="0" w:color="auto"/>
            </w:tcBorders>
          </w:tcPr>
          <w:p w14:paraId="038A47D9" w14:textId="7E793EE7" w:rsidR="00213294" w:rsidRPr="000A11B4" w:rsidRDefault="00213294" w:rsidP="001A5D4A">
            <w:pPr>
              <w:pStyle w:val="NotesTable-CellPlain"/>
            </w:pPr>
            <w:r w:rsidRPr="002A72F5">
              <w:t>–</w:t>
            </w:r>
          </w:p>
        </w:tc>
        <w:tc>
          <w:tcPr>
            <w:tcW w:w="404" w:type="pct"/>
            <w:tcBorders>
              <w:top w:val="single" w:sz="4" w:space="0" w:color="auto"/>
            </w:tcBorders>
          </w:tcPr>
          <w:p w14:paraId="038A47DA" w14:textId="0C6F300A" w:rsidR="00213294" w:rsidRPr="000A11B4" w:rsidRDefault="00213294" w:rsidP="001A5D4A">
            <w:pPr>
              <w:pStyle w:val="NotesTable-CellPlain"/>
            </w:pPr>
            <w:r w:rsidRPr="002A72F5">
              <w:t>–</w:t>
            </w:r>
          </w:p>
        </w:tc>
      </w:tr>
      <w:tr w:rsidR="00213294" w:rsidRPr="00BC1814" w14:paraId="038A47E3" w14:textId="77777777" w:rsidTr="00AA2125">
        <w:trPr>
          <w:cantSplit/>
          <w:trHeight w:val="161"/>
        </w:trPr>
        <w:tc>
          <w:tcPr>
            <w:tcW w:w="811" w:type="pct"/>
            <w:vAlign w:val="bottom"/>
          </w:tcPr>
          <w:p w14:paraId="038A47DC" w14:textId="77777777" w:rsidR="00213294" w:rsidRDefault="00213294" w:rsidP="001A5D4A">
            <w:pPr>
              <w:pStyle w:val="Note-Refs"/>
              <w:rPr>
                <w:b/>
              </w:rPr>
            </w:pPr>
            <w:r>
              <w:t>AASB119.141h</w:t>
            </w:r>
          </w:p>
        </w:tc>
        <w:tc>
          <w:tcPr>
            <w:tcW w:w="2296" w:type="pct"/>
            <w:vAlign w:val="bottom"/>
          </w:tcPr>
          <w:p w14:paraId="038A47DD" w14:textId="77777777" w:rsidR="00213294" w:rsidRPr="00BC1814" w:rsidRDefault="00213294" w:rsidP="001A5D4A">
            <w:pPr>
              <w:pStyle w:val="NotesTable-ItemPlain"/>
              <w:rPr>
                <w:b/>
              </w:rPr>
            </w:pPr>
            <w:r w:rsidRPr="00BC1814">
              <w:t>Liabilities from business combination</w:t>
            </w:r>
            <w:r>
              <w:t xml:space="preserve"> </w:t>
            </w:r>
          </w:p>
        </w:tc>
        <w:tc>
          <w:tcPr>
            <w:tcW w:w="271" w:type="pct"/>
          </w:tcPr>
          <w:p w14:paraId="038A47DE" w14:textId="77777777" w:rsidR="00213294" w:rsidRPr="00BC1814" w:rsidRDefault="00213294" w:rsidP="001A5D4A">
            <w:pPr>
              <w:pStyle w:val="NotesTable-Notes"/>
            </w:pPr>
            <w:r>
              <w:t>44</w:t>
            </w:r>
          </w:p>
        </w:tc>
        <w:tc>
          <w:tcPr>
            <w:tcW w:w="406" w:type="pct"/>
          </w:tcPr>
          <w:p w14:paraId="038A47DF" w14:textId="77777777" w:rsidR="00213294" w:rsidRPr="00BC1814" w:rsidRDefault="00213294" w:rsidP="001A5D4A">
            <w:pPr>
              <w:pStyle w:val="NotesTable-CellPlain"/>
              <w:rPr>
                <w:b/>
              </w:rPr>
            </w:pPr>
            <w:r w:rsidRPr="000A11B4">
              <w:t>–</w:t>
            </w:r>
          </w:p>
        </w:tc>
        <w:tc>
          <w:tcPr>
            <w:tcW w:w="406" w:type="pct"/>
          </w:tcPr>
          <w:p w14:paraId="038A47E0" w14:textId="77777777" w:rsidR="00213294" w:rsidRPr="00BC1814" w:rsidRDefault="00213294" w:rsidP="001A5D4A">
            <w:pPr>
              <w:pStyle w:val="NotesTable-CellPlain"/>
              <w:rPr>
                <w:b/>
              </w:rPr>
            </w:pPr>
            <w:r w:rsidRPr="000A11B4">
              <w:t>–</w:t>
            </w:r>
          </w:p>
        </w:tc>
        <w:tc>
          <w:tcPr>
            <w:tcW w:w="406" w:type="pct"/>
          </w:tcPr>
          <w:p w14:paraId="038A47E1" w14:textId="77777777" w:rsidR="00213294" w:rsidRPr="00BC1814" w:rsidRDefault="00213294" w:rsidP="001A5D4A">
            <w:pPr>
              <w:pStyle w:val="NotesTable-CellPlain"/>
              <w:rPr>
                <w:b/>
              </w:rPr>
            </w:pPr>
            <w:r w:rsidRPr="000A11B4">
              <w:t>–</w:t>
            </w:r>
          </w:p>
        </w:tc>
        <w:tc>
          <w:tcPr>
            <w:tcW w:w="404" w:type="pct"/>
          </w:tcPr>
          <w:p w14:paraId="038A47E2" w14:textId="77777777" w:rsidR="00213294" w:rsidRPr="00BC1814" w:rsidRDefault="00213294" w:rsidP="001A5D4A">
            <w:pPr>
              <w:pStyle w:val="NotesTable-CellPlain"/>
              <w:rPr>
                <w:b/>
              </w:rPr>
            </w:pPr>
            <w:r w:rsidRPr="000A11B4">
              <w:t>–</w:t>
            </w:r>
          </w:p>
        </w:tc>
      </w:tr>
      <w:tr w:rsidR="00213294" w:rsidRPr="00BC1814" w14:paraId="038A47EB" w14:textId="77777777" w:rsidTr="00AA2125">
        <w:trPr>
          <w:cantSplit/>
          <w:trHeight w:val="161"/>
        </w:trPr>
        <w:tc>
          <w:tcPr>
            <w:tcW w:w="811" w:type="pct"/>
            <w:vAlign w:val="bottom"/>
          </w:tcPr>
          <w:p w14:paraId="038A47E4" w14:textId="77777777" w:rsidR="00213294" w:rsidRDefault="00213294" w:rsidP="001A5D4A">
            <w:pPr>
              <w:pStyle w:val="Note-Refs"/>
            </w:pPr>
            <w:r>
              <w:t>AASB119.140a(ii)</w:t>
            </w:r>
          </w:p>
        </w:tc>
        <w:tc>
          <w:tcPr>
            <w:tcW w:w="2296" w:type="pct"/>
            <w:vAlign w:val="bottom"/>
          </w:tcPr>
          <w:p w14:paraId="038A47E5" w14:textId="77777777" w:rsidR="00213294" w:rsidRPr="00BC1814" w:rsidRDefault="00213294" w:rsidP="001A5D4A">
            <w:pPr>
              <w:pStyle w:val="NotesTable-ItemPlain"/>
              <w:rPr>
                <w:b/>
              </w:rPr>
            </w:pPr>
            <w:r w:rsidRPr="00BC1814">
              <w:t>Closing defined benefit obligation</w:t>
            </w:r>
          </w:p>
        </w:tc>
        <w:tc>
          <w:tcPr>
            <w:tcW w:w="271" w:type="pct"/>
          </w:tcPr>
          <w:p w14:paraId="038A47E6" w14:textId="77777777" w:rsidR="00213294" w:rsidRPr="00BC1814" w:rsidRDefault="00213294" w:rsidP="001A5D4A">
            <w:pPr>
              <w:pStyle w:val="NotesTable-Notes"/>
            </w:pPr>
          </w:p>
        </w:tc>
        <w:tc>
          <w:tcPr>
            <w:tcW w:w="406" w:type="pct"/>
            <w:tcBorders>
              <w:top w:val="single" w:sz="4" w:space="0" w:color="auto"/>
            </w:tcBorders>
          </w:tcPr>
          <w:p w14:paraId="038A47E7" w14:textId="77777777" w:rsidR="00213294" w:rsidRPr="00BC1814" w:rsidRDefault="00213294" w:rsidP="001A5D4A">
            <w:pPr>
              <w:pStyle w:val="NotesTable-CellPlain"/>
              <w:rPr>
                <w:b/>
              </w:rPr>
            </w:pPr>
            <w:r w:rsidRPr="000A11B4">
              <w:t>–</w:t>
            </w:r>
          </w:p>
        </w:tc>
        <w:tc>
          <w:tcPr>
            <w:tcW w:w="406" w:type="pct"/>
            <w:tcBorders>
              <w:top w:val="single" w:sz="4" w:space="0" w:color="auto"/>
            </w:tcBorders>
          </w:tcPr>
          <w:p w14:paraId="038A47E8" w14:textId="77777777" w:rsidR="00213294" w:rsidRPr="00BC1814" w:rsidRDefault="00213294" w:rsidP="001A5D4A">
            <w:pPr>
              <w:pStyle w:val="NotesTable-CellPlain"/>
              <w:rPr>
                <w:b/>
              </w:rPr>
            </w:pPr>
            <w:r w:rsidRPr="000A11B4">
              <w:t>–</w:t>
            </w:r>
          </w:p>
        </w:tc>
        <w:tc>
          <w:tcPr>
            <w:tcW w:w="406" w:type="pct"/>
            <w:tcBorders>
              <w:top w:val="single" w:sz="4" w:space="0" w:color="auto"/>
            </w:tcBorders>
          </w:tcPr>
          <w:p w14:paraId="038A47E9" w14:textId="77777777" w:rsidR="00213294" w:rsidRPr="00BC1814" w:rsidRDefault="00213294" w:rsidP="001A5D4A">
            <w:pPr>
              <w:pStyle w:val="NotesTable-CellPlain"/>
              <w:rPr>
                <w:b/>
              </w:rPr>
            </w:pPr>
            <w:r w:rsidRPr="000A11B4">
              <w:t>–</w:t>
            </w:r>
          </w:p>
        </w:tc>
        <w:tc>
          <w:tcPr>
            <w:tcW w:w="404" w:type="pct"/>
            <w:tcBorders>
              <w:top w:val="single" w:sz="4" w:space="0" w:color="auto"/>
            </w:tcBorders>
          </w:tcPr>
          <w:p w14:paraId="038A47EA" w14:textId="77777777" w:rsidR="00213294" w:rsidRPr="00BC1814" w:rsidRDefault="00213294" w:rsidP="001A5D4A">
            <w:pPr>
              <w:pStyle w:val="NotesTable-CellPlain"/>
              <w:rPr>
                <w:b/>
              </w:rPr>
            </w:pPr>
            <w:r w:rsidRPr="000A11B4">
              <w:t>–</w:t>
            </w:r>
          </w:p>
        </w:tc>
      </w:tr>
      <w:tr w:rsidR="00213294" w:rsidRPr="00BC1814" w14:paraId="038A47F3" w14:textId="77777777" w:rsidTr="00AA2125">
        <w:trPr>
          <w:cantSplit/>
          <w:trHeight w:hRule="exact" w:val="113"/>
        </w:trPr>
        <w:tc>
          <w:tcPr>
            <w:tcW w:w="811" w:type="pct"/>
          </w:tcPr>
          <w:p w14:paraId="038A47EC" w14:textId="77777777" w:rsidR="00213294" w:rsidRDefault="00213294" w:rsidP="001A5D4A">
            <w:pPr>
              <w:pStyle w:val="Note-Refs"/>
            </w:pPr>
          </w:p>
        </w:tc>
        <w:tc>
          <w:tcPr>
            <w:tcW w:w="2296" w:type="pct"/>
          </w:tcPr>
          <w:p w14:paraId="038A47ED" w14:textId="77777777" w:rsidR="00213294" w:rsidRPr="00BC1814" w:rsidRDefault="00213294" w:rsidP="001A5D4A">
            <w:pPr>
              <w:pStyle w:val="NotesTable-ItemPlain"/>
            </w:pPr>
          </w:p>
        </w:tc>
        <w:tc>
          <w:tcPr>
            <w:tcW w:w="271" w:type="pct"/>
          </w:tcPr>
          <w:p w14:paraId="038A47EE" w14:textId="77777777" w:rsidR="00213294" w:rsidRPr="00BC1814" w:rsidRDefault="00213294" w:rsidP="001A5D4A">
            <w:pPr>
              <w:pStyle w:val="NotesTable-Notes"/>
            </w:pPr>
          </w:p>
        </w:tc>
        <w:tc>
          <w:tcPr>
            <w:tcW w:w="406" w:type="pct"/>
          </w:tcPr>
          <w:p w14:paraId="038A47EF" w14:textId="77777777" w:rsidR="00213294" w:rsidRPr="00BC1814" w:rsidRDefault="00213294" w:rsidP="001A5D4A">
            <w:pPr>
              <w:pStyle w:val="NotesTable-CellPlain"/>
            </w:pPr>
          </w:p>
        </w:tc>
        <w:tc>
          <w:tcPr>
            <w:tcW w:w="406" w:type="pct"/>
          </w:tcPr>
          <w:p w14:paraId="038A47F0" w14:textId="77777777" w:rsidR="00213294" w:rsidRPr="00BC1814" w:rsidRDefault="00213294" w:rsidP="001A5D4A">
            <w:pPr>
              <w:pStyle w:val="NotesTable-CellPlain"/>
            </w:pPr>
          </w:p>
        </w:tc>
        <w:tc>
          <w:tcPr>
            <w:tcW w:w="406" w:type="pct"/>
          </w:tcPr>
          <w:p w14:paraId="038A47F1" w14:textId="77777777" w:rsidR="00213294" w:rsidRPr="00BC1814" w:rsidRDefault="00213294" w:rsidP="001A5D4A">
            <w:pPr>
              <w:pStyle w:val="NotesTable-CellPlain"/>
            </w:pPr>
          </w:p>
        </w:tc>
        <w:tc>
          <w:tcPr>
            <w:tcW w:w="404" w:type="pct"/>
          </w:tcPr>
          <w:p w14:paraId="038A47F2" w14:textId="77777777" w:rsidR="00213294" w:rsidRPr="00BC1814" w:rsidRDefault="00213294" w:rsidP="001A5D4A">
            <w:pPr>
              <w:pStyle w:val="NotesTable-CellPlain"/>
            </w:pPr>
          </w:p>
        </w:tc>
      </w:tr>
    </w:tbl>
    <w:p w14:paraId="3B00AE7C" w14:textId="77777777" w:rsidR="00941343" w:rsidRPr="00183B19" w:rsidRDefault="00941343" w:rsidP="001A5D4A">
      <w:r w:rsidRPr="00183B19">
        <w:br w:type="page"/>
      </w:r>
    </w:p>
    <w:tbl>
      <w:tblPr>
        <w:tblW w:w="5000" w:type="pct"/>
        <w:tblCellMar>
          <w:left w:w="0" w:type="dxa"/>
          <w:right w:w="0" w:type="dxa"/>
        </w:tblCellMar>
        <w:tblLook w:val="0000" w:firstRow="0" w:lastRow="0" w:firstColumn="0" w:lastColumn="0" w:noHBand="0" w:noVBand="0"/>
      </w:tblPr>
      <w:tblGrid>
        <w:gridCol w:w="1665"/>
        <w:gridCol w:w="4711"/>
        <w:gridCol w:w="556"/>
        <w:gridCol w:w="833"/>
        <w:gridCol w:w="833"/>
        <w:gridCol w:w="833"/>
        <w:gridCol w:w="829"/>
      </w:tblGrid>
      <w:tr w:rsidR="00AA2125" w14:paraId="02A34EC5" w14:textId="77777777" w:rsidTr="00AA2125">
        <w:trPr>
          <w:cantSplit/>
          <w:trHeight w:val="161"/>
        </w:trPr>
        <w:tc>
          <w:tcPr>
            <w:tcW w:w="5000" w:type="pct"/>
            <w:gridSpan w:val="7"/>
          </w:tcPr>
          <w:p w14:paraId="72DC25CE" w14:textId="36959A4D" w:rsidR="00AA2125" w:rsidRPr="00183B19" w:rsidRDefault="00AA2125" w:rsidP="00AA2125">
            <w:pPr>
              <w:pStyle w:val="TOC3"/>
              <w:ind w:left="0"/>
            </w:pPr>
            <w:r>
              <w:lastRenderedPageBreak/>
              <w:t>Note 52. D</w:t>
            </w:r>
            <w:r w:rsidRPr="00183B19">
              <w:t>efined Benefit Plans (continued)</w:t>
            </w:r>
          </w:p>
        </w:tc>
      </w:tr>
      <w:tr w:rsidR="00E321F1" w14:paraId="12DBBE9F" w14:textId="77777777" w:rsidTr="00AA2125">
        <w:trPr>
          <w:cantSplit/>
          <w:trHeight w:val="161"/>
        </w:trPr>
        <w:tc>
          <w:tcPr>
            <w:tcW w:w="811" w:type="pct"/>
            <w:vAlign w:val="bottom"/>
          </w:tcPr>
          <w:p w14:paraId="03437B01" w14:textId="77777777" w:rsidR="00E321F1" w:rsidRDefault="00E321F1" w:rsidP="001A5D4A">
            <w:pPr>
              <w:pStyle w:val="Note-Refs"/>
            </w:pPr>
          </w:p>
        </w:tc>
        <w:tc>
          <w:tcPr>
            <w:tcW w:w="2296" w:type="pct"/>
            <w:vAlign w:val="bottom"/>
          </w:tcPr>
          <w:p w14:paraId="4ED2858B" w14:textId="77777777" w:rsidR="00E321F1" w:rsidRPr="00BC1814" w:rsidRDefault="00E321F1" w:rsidP="001A5D4A">
            <w:pPr>
              <w:pStyle w:val="NotesTable-ItemBold"/>
            </w:pPr>
          </w:p>
        </w:tc>
        <w:tc>
          <w:tcPr>
            <w:tcW w:w="271" w:type="pct"/>
          </w:tcPr>
          <w:p w14:paraId="7D59F777" w14:textId="77777777" w:rsidR="00E321F1" w:rsidRPr="00BC1814" w:rsidRDefault="00E321F1" w:rsidP="001A5D4A">
            <w:pPr>
              <w:pStyle w:val="NotesTable-Notes"/>
            </w:pPr>
          </w:p>
        </w:tc>
        <w:tc>
          <w:tcPr>
            <w:tcW w:w="406" w:type="pct"/>
          </w:tcPr>
          <w:p w14:paraId="7F779C7E" w14:textId="00920858" w:rsidR="00E321F1" w:rsidRPr="00BC1814" w:rsidRDefault="00E321F1" w:rsidP="001A5D4A">
            <w:pPr>
              <w:pStyle w:val="NotesTable-HeadPlain"/>
            </w:pPr>
            <w:r w:rsidRPr="00BC1814">
              <w:t>$’000</w:t>
            </w:r>
          </w:p>
        </w:tc>
        <w:tc>
          <w:tcPr>
            <w:tcW w:w="406" w:type="pct"/>
          </w:tcPr>
          <w:p w14:paraId="2ABB8F2D" w14:textId="7D56C526" w:rsidR="00E321F1" w:rsidRPr="00BC1814" w:rsidRDefault="00E321F1" w:rsidP="001A5D4A">
            <w:pPr>
              <w:pStyle w:val="NotesTable-HeadPlain"/>
            </w:pPr>
            <w:r w:rsidRPr="00BC1814">
              <w:t>$’000</w:t>
            </w:r>
          </w:p>
        </w:tc>
        <w:tc>
          <w:tcPr>
            <w:tcW w:w="406" w:type="pct"/>
          </w:tcPr>
          <w:p w14:paraId="78707F7F" w14:textId="04D630F4" w:rsidR="00E321F1" w:rsidRPr="00BC1814" w:rsidRDefault="00E321F1" w:rsidP="001A5D4A">
            <w:pPr>
              <w:pStyle w:val="NotesTable-HeadPlain"/>
            </w:pPr>
            <w:r w:rsidRPr="00BC1814">
              <w:t>$’000</w:t>
            </w:r>
          </w:p>
        </w:tc>
        <w:tc>
          <w:tcPr>
            <w:tcW w:w="404" w:type="pct"/>
          </w:tcPr>
          <w:p w14:paraId="0ED8164A" w14:textId="2820C01B" w:rsidR="00E321F1" w:rsidRPr="00BC1814" w:rsidRDefault="00E321F1" w:rsidP="001A5D4A">
            <w:pPr>
              <w:pStyle w:val="NotesTable-HeadPlain"/>
            </w:pPr>
            <w:r w:rsidRPr="00BC1814">
              <w:t>$’000</w:t>
            </w:r>
          </w:p>
        </w:tc>
      </w:tr>
      <w:tr w:rsidR="00213294" w14:paraId="038A47FB" w14:textId="77777777" w:rsidTr="00AA2125">
        <w:trPr>
          <w:cantSplit/>
          <w:trHeight w:val="161"/>
        </w:trPr>
        <w:tc>
          <w:tcPr>
            <w:tcW w:w="811" w:type="pct"/>
            <w:vAlign w:val="bottom"/>
          </w:tcPr>
          <w:p w14:paraId="038A47F4" w14:textId="77777777" w:rsidR="00213294" w:rsidRDefault="00213294" w:rsidP="001A5D4A">
            <w:pPr>
              <w:pStyle w:val="Note-Refs"/>
            </w:pPr>
            <w:r>
              <w:t>AASB119.140a(i)</w:t>
            </w:r>
          </w:p>
        </w:tc>
        <w:tc>
          <w:tcPr>
            <w:tcW w:w="2296" w:type="pct"/>
            <w:vAlign w:val="bottom"/>
          </w:tcPr>
          <w:p w14:paraId="038A47F5" w14:textId="0461973A" w:rsidR="00213294" w:rsidRPr="00BC1814" w:rsidRDefault="00213294" w:rsidP="001A5D4A">
            <w:pPr>
              <w:pStyle w:val="Note-TextHeader"/>
            </w:pPr>
            <w:r w:rsidRPr="00BC1814">
              <w:t xml:space="preserve">Present value of plan assets </w:t>
            </w:r>
            <w:r>
              <w:t>- 2014</w:t>
            </w:r>
          </w:p>
        </w:tc>
        <w:tc>
          <w:tcPr>
            <w:tcW w:w="271" w:type="pct"/>
          </w:tcPr>
          <w:p w14:paraId="038A47F6" w14:textId="77777777" w:rsidR="00213294" w:rsidRPr="00BC1814" w:rsidRDefault="00213294" w:rsidP="001A5D4A">
            <w:pPr>
              <w:pStyle w:val="NotesTable-Notes"/>
            </w:pPr>
          </w:p>
        </w:tc>
        <w:tc>
          <w:tcPr>
            <w:tcW w:w="406" w:type="pct"/>
            <w:vAlign w:val="bottom"/>
          </w:tcPr>
          <w:p w14:paraId="038A47F7" w14:textId="77777777" w:rsidR="00213294" w:rsidRPr="00BC1814" w:rsidRDefault="00213294" w:rsidP="001A5D4A">
            <w:pPr>
              <w:pStyle w:val="NotesTable-HeadPlain"/>
              <w:rPr>
                <w:b/>
              </w:rPr>
            </w:pPr>
            <w:r w:rsidRPr="00BC1814">
              <w:t>Fund 1</w:t>
            </w:r>
          </w:p>
        </w:tc>
        <w:tc>
          <w:tcPr>
            <w:tcW w:w="406" w:type="pct"/>
            <w:vAlign w:val="bottom"/>
          </w:tcPr>
          <w:p w14:paraId="038A47F8" w14:textId="77777777" w:rsidR="00213294" w:rsidRPr="00BC1814" w:rsidRDefault="00213294" w:rsidP="001A5D4A">
            <w:pPr>
              <w:pStyle w:val="NotesTable-HeadPlain"/>
              <w:rPr>
                <w:b/>
              </w:rPr>
            </w:pPr>
            <w:r w:rsidRPr="00BC1814">
              <w:t>Fund 2</w:t>
            </w:r>
          </w:p>
        </w:tc>
        <w:tc>
          <w:tcPr>
            <w:tcW w:w="406" w:type="pct"/>
            <w:vAlign w:val="bottom"/>
          </w:tcPr>
          <w:p w14:paraId="038A47F9" w14:textId="77777777" w:rsidR="00213294" w:rsidRPr="00BC1814" w:rsidRDefault="00213294" w:rsidP="001A5D4A">
            <w:pPr>
              <w:pStyle w:val="NotesTable-HeadPlain"/>
              <w:rPr>
                <w:b/>
              </w:rPr>
            </w:pPr>
            <w:r w:rsidRPr="00BC1814">
              <w:t>Fund 3</w:t>
            </w:r>
          </w:p>
        </w:tc>
        <w:tc>
          <w:tcPr>
            <w:tcW w:w="404" w:type="pct"/>
            <w:vAlign w:val="bottom"/>
          </w:tcPr>
          <w:p w14:paraId="038A47FA" w14:textId="77777777" w:rsidR="00213294" w:rsidRPr="00BC1814" w:rsidRDefault="00213294" w:rsidP="001A5D4A">
            <w:pPr>
              <w:pStyle w:val="NotesTable-HeadPlain"/>
              <w:rPr>
                <w:b/>
              </w:rPr>
            </w:pPr>
            <w:r w:rsidRPr="00BC1814">
              <w:t>Total</w:t>
            </w:r>
          </w:p>
        </w:tc>
      </w:tr>
      <w:tr w:rsidR="00213294" w14:paraId="038A4803" w14:textId="77777777" w:rsidTr="00AA2125">
        <w:trPr>
          <w:cantSplit/>
          <w:trHeight w:val="161"/>
        </w:trPr>
        <w:tc>
          <w:tcPr>
            <w:tcW w:w="811" w:type="pct"/>
            <w:vAlign w:val="bottom"/>
          </w:tcPr>
          <w:p w14:paraId="038A47FC" w14:textId="77777777" w:rsidR="00213294" w:rsidRDefault="00213294" w:rsidP="001A5D4A">
            <w:pPr>
              <w:pStyle w:val="Note-Refs"/>
            </w:pPr>
            <w:r>
              <w:t>AASB119.140</w:t>
            </w:r>
          </w:p>
        </w:tc>
        <w:tc>
          <w:tcPr>
            <w:tcW w:w="2296" w:type="pct"/>
            <w:vAlign w:val="bottom"/>
          </w:tcPr>
          <w:p w14:paraId="038A47FD" w14:textId="77777777" w:rsidR="00213294" w:rsidRPr="00BC1814" w:rsidRDefault="00213294" w:rsidP="001A5D4A">
            <w:pPr>
              <w:pStyle w:val="NotesTable-ItemPlain"/>
              <w:rPr>
                <w:b/>
              </w:rPr>
            </w:pPr>
            <w:r w:rsidRPr="00BC1814">
              <w:t>Opening fair value of plan assets</w:t>
            </w:r>
          </w:p>
        </w:tc>
        <w:tc>
          <w:tcPr>
            <w:tcW w:w="271" w:type="pct"/>
          </w:tcPr>
          <w:p w14:paraId="038A47FE" w14:textId="77777777" w:rsidR="00213294" w:rsidRPr="00BC1814" w:rsidRDefault="00213294" w:rsidP="001A5D4A">
            <w:pPr>
              <w:pStyle w:val="NotesTable-Notes"/>
            </w:pPr>
          </w:p>
        </w:tc>
        <w:tc>
          <w:tcPr>
            <w:tcW w:w="406" w:type="pct"/>
          </w:tcPr>
          <w:p w14:paraId="038A47FF" w14:textId="77777777" w:rsidR="00213294" w:rsidRPr="00BC1814" w:rsidRDefault="00213294" w:rsidP="001A5D4A">
            <w:pPr>
              <w:pStyle w:val="NotesTable-CellPlain"/>
              <w:rPr>
                <w:b/>
              </w:rPr>
            </w:pPr>
            <w:r w:rsidRPr="00997224">
              <w:t>–</w:t>
            </w:r>
          </w:p>
        </w:tc>
        <w:tc>
          <w:tcPr>
            <w:tcW w:w="406" w:type="pct"/>
          </w:tcPr>
          <w:p w14:paraId="038A4800" w14:textId="77777777" w:rsidR="00213294" w:rsidRPr="00BC1814" w:rsidRDefault="00213294" w:rsidP="001A5D4A">
            <w:pPr>
              <w:pStyle w:val="NotesTable-CellPlain"/>
              <w:rPr>
                <w:b/>
              </w:rPr>
            </w:pPr>
            <w:r w:rsidRPr="00997224">
              <w:t>–</w:t>
            </w:r>
          </w:p>
        </w:tc>
        <w:tc>
          <w:tcPr>
            <w:tcW w:w="406" w:type="pct"/>
          </w:tcPr>
          <w:p w14:paraId="038A4801" w14:textId="77777777" w:rsidR="00213294" w:rsidRPr="00BC1814" w:rsidRDefault="00213294" w:rsidP="001A5D4A">
            <w:pPr>
              <w:pStyle w:val="NotesTable-CellPlain"/>
            </w:pPr>
            <w:r w:rsidRPr="00997224">
              <w:t>–</w:t>
            </w:r>
          </w:p>
        </w:tc>
        <w:tc>
          <w:tcPr>
            <w:tcW w:w="404" w:type="pct"/>
          </w:tcPr>
          <w:p w14:paraId="038A4802" w14:textId="77777777" w:rsidR="00213294" w:rsidRPr="00BC1814" w:rsidRDefault="00213294" w:rsidP="001A5D4A">
            <w:pPr>
              <w:pStyle w:val="NotesTable-CellPlain"/>
              <w:rPr>
                <w:b/>
              </w:rPr>
            </w:pPr>
            <w:r w:rsidRPr="00997224">
              <w:t>–</w:t>
            </w:r>
          </w:p>
        </w:tc>
      </w:tr>
      <w:tr w:rsidR="00213294" w14:paraId="038A481B" w14:textId="77777777" w:rsidTr="00AA2125">
        <w:trPr>
          <w:cantSplit/>
          <w:trHeight w:val="161"/>
        </w:trPr>
        <w:tc>
          <w:tcPr>
            <w:tcW w:w="811" w:type="pct"/>
            <w:vAlign w:val="bottom"/>
          </w:tcPr>
          <w:p w14:paraId="038A4814" w14:textId="77777777" w:rsidR="00213294" w:rsidRDefault="00213294" w:rsidP="001A5D4A">
            <w:pPr>
              <w:pStyle w:val="Note-Refs"/>
              <w:rPr>
                <w:b/>
              </w:rPr>
            </w:pPr>
            <w:r>
              <w:t>AASB119.141b</w:t>
            </w:r>
          </w:p>
        </w:tc>
        <w:tc>
          <w:tcPr>
            <w:tcW w:w="2296" w:type="pct"/>
            <w:vAlign w:val="bottom"/>
          </w:tcPr>
          <w:p w14:paraId="038A4815" w14:textId="39DE5307" w:rsidR="00213294" w:rsidRPr="00BC1814" w:rsidRDefault="00213294" w:rsidP="001A5D4A">
            <w:pPr>
              <w:pStyle w:val="NotesTable-ItemPlain"/>
              <w:rPr>
                <w:b/>
              </w:rPr>
            </w:pPr>
            <w:r w:rsidRPr="00BC1814">
              <w:t xml:space="preserve">Interest </w:t>
            </w:r>
            <w:r>
              <w:t>(income)</w:t>
            </w:r>
          </w:p>
        </w:tc>
        <w:tc>
          <w:tcPr>
            <w:tcW w:w="271" w:type="pct"/>
          </w:tcPr>
          <w:p w14:paraId="038A4816" w14:textId="77777777" w:rsidR="00213294" w:rsidRPr="00BC1814" w:rsidRDefault="00213294" w:rsidP="001A5D4A">
            <w:pPr>
              <w:pStyle w:val="NotesTable-Notes"/>
            </w:pPr>
          </w:p>
        </w:tc>
        <w:tc>
          <w:tcPr>
            <w:tcW w:w="406" w:type="pct"/>
            <w:tcBorders>
              <w:bottom w:val="single" w:sz="4" w:space="0" w:color="auto"/>
            </w:tcBorders>
          </w:tcPr>
          <w:p w14:paraId="038A4817" w14:textId="77777777" w:rsidR="00213294" w:rsidRPr="00BC1814" w:rsidRDefault="00213294" w:rsidP="001A5D4A">
            <w:pPr>
              <w:pStyle w:val="NotesTable-CellPlain"/>
              <w:rPr>
                <w:b/>
              </w:rPr>
            </w:pPr>
            <w:r w:rsidRPr="000A11B4">
              <w:t>–</w:t>
            </w:r>
          </w:p>
        </w:tc>
        <w:tc>
          <w:tcPr>
            <w:tcW w:w="406" w:type="pct"/>
            <w:tcBorders>
              <w:bottom w:val="single" w:sz="4" w:space="0" w:color="auto"/>
            </w:tcBorders>
          </w:tcPr>
          <w:p w14:paraId="038A4818" w14:textId="77777777" w:rsidR="00213294" w:rsidRPr="00BC1814" w:rsidRDefault="00213294" w:rsidP="001A5D4A">
            <w:pPr>
              <w:pStyle w:val="NotesTable-CellPlain"/>
              <w:rPr>
                <w:b/>
              </w:rPr>
            </w:pPr>
            <w:r w:rsidRPr="000A11B4">
              <w:t>–</w:t>
            </w:r>
          </w:p>
        </w:tc>
        <w:tc>
          <w:tcPr>
            <w:tcW w:w="406" w:type="pct"/>
            <w:tcBorders>
              <w:bottom w:val="single" w:sz="4" w:space="0" w:color="auto"/>
            </w:tcBorders>
          </w:tcPr>
          <w:p w14:paraId="038A4819" w14:textId="77777777" w:rsidR="00213294" w:rsidRPr="00BC1814" w:rsidRDefault="00213294" w:rsidP="001A5D4A">
            <w:pPr>
              <w:pStyle w:val="NotesTable-CellPlain"/>
              <w:rPr>
                <w:b/>
              </w:rPr>
            </w:pPr>
            <w:r w:rsidRPr="000A11B4">
              <w:t>–</w:t>
            </w:r>
          </w:p>
        </w:tc>
        <w:tc>
          <w:tcPr>
            <w:tcW w:w="404" w:type="pct"/>
            <w:tcBorders>
              <w:bottom w:val="single" w:sz="4" w:space="0" w:color="auto"/>
            </w:tcBorders>
          </w:tcPr>
          <w:p w14:paraId="038A481A" w14:textId="77777777" w:rsidR="00213294" w:rsidRPr="00BC1814" w:rsidRDefault="00213294" w:rsidP="001A5D4A">
            <w:pPr>
              <w:pStyle w:val="NotesTable-CellPlain"/>
              <w:rPr>
                <w:b/>
              </w:rPr>
            </w:pPr>
            <w:r w:rsidRPr="000A11B4">
              <w:t>–</w:t>
            </w:r>
          </w:p>
        </w:tc>
      </w:tr>
      <w:tr w:rsidR="00213294" w14:paraId="038A4823" w14:textId="77777777" w:rsidTr="00AA2125">
        <w:trPr>
          <w:cantSplit/>
          <w:trHeight w:val="161"/>
        </w:trPr>
        <w:tc>
          <w:tcPr>
            <w:tcW w:w="811" w:type="pct"/>
            <w:vAlign w:val="bottom"/>
          </w:tcPr>
          <w:p w14:paraId="038A481C" w14:textId="77777777" w:rsidR="00213294" w:rsidRDefault="00213294" w:rsidP="001A5D4A">
            <w:pPr>
              <w:pStyle w:val="Note-Refs"/>
            </w:pPr>
          </w:p>
        </w:tc>
        <w:tc>
          <w:tcPr>
            <w:tcW w:w="2296" w:type="pct"/>
            <w:vAlign w:val="bottom"/>
          </w:tcPr>
          <w:p w14:paraId="038A481D" w14:textId="77777777" w:rsidR="00213294" w:rsidRDefault="00213294" w:rsidP="001A5D4A">
            <w:pPr>
              <w:pStyle w:val="NotesTable-ItemPlain"/>
            </w:pPr>
          </w:p>
        </w:tc>
        <w:tc>
          <w:tcPr>
            <w:tcW w:w="271" w:type="pct"/>
          </w:tcPr>
          <w:p w14:paraId="038A481E" w14:textId="77777777" w:rsidR="00213294" w:rsidRPr="00BC1814" w:rsidRDefault="00213294" w:rsidP="001A5D4A">
            <w:pPr>
              <w:pStyle w:val="NotesTable-Notes"/>
            </w:pPr>
          </w:p>
        </w:tc>
        <w:tc>
          <w:tcPr>
            <w:tcW w:w="406" w:type="pct"/>
            <w:tcBorders>
              <w:top w:val="single" w:sz="4" w:space="0" w:color="auto"/>
            </w:tcBorders>
          </w:tcPr>
          <w:p w14:paraId="038A481F" w14:textId="77777777" w:rsidR="00213294" w:rsidRPr="000A11B4" w:rsidRDefault="00213294" w:rsidP="001A5D4A">
            <w:pPr>
              <w:pStyle w:val="NotesTable-CellPlain"/>
            </w:pPr>
            <w:r w:rsidRPr="000A11B4">
              <w:t>–</w:t>
            </w:r>
          </w:p>
        </w:tc>
        <w:tc>
          <w:tcPr>
            <w:tcW w:w="406" w:type="pct"/>
            <w:tcBorders>
              <w:top w:val="single" w:sz="4" w:space="0" w:color="auto"/>
            </w:tcBorders>
          </w:tcPr>
          <w:p w14:paraId="038A4820" w14:textId="77777777" w:rsidR="00213294" w:rsidRPr="000A11B4" w:rsidRDefault="00213294" w:rsidP="001A5D4A">
            <w:pPr>
              <w:pStyle w:val="NotesTable-CellPlain"/>
            </w:pPr>
            <w:r w:rsidRPr="000A11B4">
              <w:t>–</w:t>
            </w:r>
          </w:p>
        </w:tc>
        <w:tc>
          <w:tcPr>
            <w:tcW w:w="406" w:type="pct"/>
            <w:tcBorders>
              <w:top w:val="single" w:sz="4" w:space="0" w:color="auto"/>
            </w:tcBorders>
          </w:tcPr>
          <w:p w14:paraId="038A4821" w14:textId="77777777" w:rsidR="00213294" w:rsidRPr="000A11B4" w:rsidRDefault="00213294" w:rsidP="001A5D4A">
            <w:pPr>
              <w:pStyle w:val="NotesTable-CellPlain"/>
            </w:pPr>
            <w:r w:rsidRPr="000A11B4">
              <w:t>–</w:t>
            </w:r>
          </w:p>
        </w:tc>
        <w:tc>
          <w:tcPr>
            <w:tcW w:w="404" w:type="pct"/>
            <w:tcBorders>
              <w:top w:val="single" w:sz="4" w:space="0" w:color="auto"/>
            </w:tcBorders>
          </w:tcPr>
          <w:p w14:paraId="038A4822" w14:textId="77777777" w:rsidR="00213294" w:rsidRPr="000A11B4" w:rsidRDefault="00213294" w:rsidP="001A5D4A">
            <w:pPr>
              <w:pStyle w:val="NotesTable-CellPlain"/>
            </w:pPr>
            <w:r w:rsidRPr="000A11B4">
              <w:t>–</w:t>
            </w:r>
          </w:p>
        </w:tc>
      </w:tr>
      <w:tr w:rsidR="00213294" w14:paraId="038A482B" w14:textId="77777777" w:rsidTr="00AA2125">
        <w:trPr>
          <w:cantSplit/>
          <w:trHeight w:val="161"/>
        </w:trPr>
        <w:tc>
          <w:tcPr>
            <w:tcW w:w="811" w:type="pct"/>
            <w:vAlign w:val="bottom"/>
          </w:tcPr>
          <w:p w14:paraId="038A4824" w14:textId="77777777" w:rsidR="00213294" w:rsidRDefault="00213294" w:rsidP="001A5D4A">
            <w:pPr>
              <w:pStyle w:val="Note-Refs"/>
            </w:pPr>
          </w:p>
        </w:tc>
        <w:tc>
          <w:tcPr>
            <w:tcW w:w="2296" w:type="pct"/>
            <w:vAlign w:val="bottom"/>
          </w:tcPr>
          <w:p w14:paraId="038A4825" w14:textId="77777777" w:rsidR="00213294" w:rsidRPr="00BC1814" w:rsidRDefault="00213294" w:rsidP="001A5D4A">
            <w:pPr>
              <w:pStyle w:val="NotesTable-ItemPlain"/>
            </w:pPr>
            <w:r>
              <w:t>Remeasurements</w:t>
            </w:r>
          </w:p>
        </w:tc>
        <w:tc>
          <w:tcPr>
            <w:tcW w:w="271" w:type="pct"/>
          </w:tcPr>
          <w:p w14:paraId="038A4826" w14:textId="77777777" w:rsidR="00213294" w:rsidRPr="00BC1814" w:rsidRDefault="00213294" w:rsidP="001A5D4A">
            <w:pPr>
              <w:pStyle w:val="NotesTable-Notes"/>
            </w:pPr>
          </w:p>
        </w:tc>
        <w:tc>
          <w:tcPr>
            <w:tcW w:w="406" w:type="pct"/>
          </w:tcPr>
          <w:p w14:paraId="038A4827" w14:textId="77777777" w:rsidR="00213294" w:rsidRPr="00997224" w:rsidRDefault="00213294" w:rsidP="001A5D4A">
            <w:pPr>
              <w:pStyle w:val="NotesTable-CellPlain"/>
            </w:pPr>
          </w:p>
        </w:tc>
        <w:tc>
          <w:tcPr>
            <w:tcW w:w="406" w:type="pct"/>
          </w:tcPr>
          <w:p w14:paraId="038A4828" w14:textId="77777777" w:rsidR="00213294" w:rsidRPr="00997224" w:rsidRDefault="00213294" w:rsidP="001A5D4A">
            <w:pPr>
              <w:pStyle w:val="NotesTable-CellPlain"/>
            </w:pPr>
          </w:p>
        </w:tc>
        <w:tc>
          <w:tcPr>
            <w:tcW w:w="406" w:type="pct"/>
          </w:tcPr>
          <w:p w14:paraId="038A4829" w14:textId="77777777" w:rsidR="00213294" w:rsidRPr="00997224" w:rsidRDefault="00213294" w:rsidP="001A5D4A">
            <w:pPr>
              <w:pStyle w:val="NotesTable-CellPlain"/>
            </w:pPr>
          </w:p>
        </w:tc>
        <w:tc>
          <w:tcPr>
            <w:tcW w:w="404" w:type="pct"/>
          </w:tcPr>
          <w:p w14:paraId="038A482A" w14:textId="77777777" w:rsidR="00213294" w:rsidRPr="00997224" w:rsidRDefault="00213294" w:rsidP="001A5D4A">
            <w:pPr>
              <w:pStyle w:val="NotesTable-CellPlain"/>
            </w:pPr>
          </w:p>
        </w:tc>
      </w:tr>
      <w:tr w:rsidR="00213294" w14:paraId="038A4833" w14:textId="77777777" w:rsidTr="00AA2125">
        <w:trPr>
          <w:cantSplit/>
          <w:trHeight w:val="161"/>
        </w:trPr>
        <w:tc>
          <w:tcPr>
            <w:tcW w:w="811" w:type="pct"/>
          </w:tcPr>
          <w:p w14:paraId="038A482C" w14:textId="77777777" w:rsidR="00213294" w:rsidRDefault="00213294" w:rsidP="001A5D4A">
            <w:pPr>
              <w:pStyle w:val="Note-Refs"/>
              <w:rPr>
                <w:b/>
              </w:rPr>
            </w:pPr>
            <w:r>
              <w:t>AASB119.141c(i)</w:t>
            </w:r>
          </w:p>
        </w:tc>
        <w:tc>
          <w:tcPr>
            <w:tcW w:w="2296" w:type="pct"/>
            <w:vAlign w:val="bottom"/>
          </w:tcPr>
          <w:p w14:paraId="038A482D" w14:textId="3A21D336" w:rsidR="00213294" w:rsidRPr="00BC1814" w:rsidRDefault="00213294" w:rsidP="001A5D4A">
            <w:pPr>
              <w:pStyle w:val="Note-Text"/>
              <w:rPr>
                <w:b/>
                <w:lang w:val="en-GB"/>
              </w:rPr>
            </w:pPr>
            <w:r>
              <w:t xml:space="preserve">Return on plan assets, excluding amounts included in </w:t>
            </w:r>
            <w:r w:rsidR="00AA49CC">
              <w:t xml:space="preserve">net </w:t>
            </w:r>
            <w:r>
              <w:t>interest expense</w:t>
            </w:r>
          </w:p>
        </w:tc>
        <w:tc>
          <w:tcPr>
            <w:tcW w:w="271" w:type="pct"/>
          </w:tcPr>
          <w:p w14:paraId="038A482E" w14:textId="77777777" w:rsidR="00213294" w:rsidRPr="00BC1814" w:rsidRDefault="00213294" w:rsidP="001A5D4A">
            <w:pPr>
              <w:pStyle w:val="NotesTable-Notes"/>
            </w:pPr>
          </w:p>
        </w:tc>
        <w:tc>
          <w:tcPr>
            <w:tcW w:w="406" w:type="pct"/>
            <w:vAlign w:val="bottom"/>
          </w:tcPr>
          <w:p w14:paraId="038A482F" w14:textId="77777777" w:rsidR="00213294" w:rsidRPr="00BC1814" w:rsidRDefault="00213294" w:rsidP="001A5D4A">
            <w:pPr>
              <w:pStyle w:val="NotesTable-CellPlain"/>
              <w:rPr>
                <w:b/>
              </w:rPr>
            </w:pPr>
            <w:r w:rsidRPr="002A72F5">
              <w:t>–</w:t>
            </w:r>
          </w:p>
        </w:tc>
        <w:tc>
          <w:tcPr>
            <w:tcW w:w="406" w:type="pct"/>
            <w:vAlign w:val="bottom"/>
          </w:tcPr>
          <w:p w14:paraId="038A4830" w14:textId="77777777" w:rsidR="00213294" w:rsidRPr="00BC1814" w:rsidRDefault="00213294" w:rsidP="001A5D4A">
            <w:pPr>
              <w:pStyle w:val="NotesTable-CellPlain"/>
              <w:rPr>
                <w:b/>
              </w:rPr>
            </w:pPr>
            <w:r w:rsidRPr="002A72F5">
              <w:t>–</w:t>
            </w:r>
          </w:p>
        </w:tc>
        <w:tc>
          <w:tcPr>
            <w:tcW w:w="406" w:type="pct"/>
            <w:vAlign w:val="bottom"/>
          </w:tcPr>
          <w:p w14:paraId="038A4831" w14:textId="77777777" w:rsidR="00213294" w:rsidRPr="00BC1814" w:rsidRDefault="00213294" w:rsidP="001A5D4A">
            <w:pPr>
              <w:pStyle w:val="NotesTable-CellPlain"/>
              <w:rPr>
                <w:b/>
              </w:rPr>
            </w:pPr>
            <w:r w:rsidRPr="002A72F5">
              <w:t>–</w:t>
            </w:r>
          </w:p>
        </w:tc>
        <w:tc>
          <w:tcPr>
            <w:tcW w:w="404" w:type="pct"/>
            <w:vAlign w:val="bottom"/>
          </w:tcPr>
          <w:p w14:paraId="038A4832" w14:textId="77777777" w:rsidR="00213294" w:rsidRPr="00BC1814" w:rsidRDefault="00213294" w:rsidP="001A5D4A">
            <w:pPr>
              <w:pStyle w:val="NotesTable-CellPlain"/>
              <w:rPr>
                <w:b/>
              </w:rPr>
            </w:pPr>
            <w:r w:rsidRPr="002A72F5">
              <w:t>–</w:t>
            </w:r>
          </w:p>
        </w:tc>
      </w:tr>
      <w:tr w:rsidR="00213294" w14:paraId="038A483B" w14:textId="77777777" w:rsidTr="00AA2125">
        <w:trPr>
          <w:cantSplit/>
          <w:trHeight w:val="161"/>
        </w:trPr>
        <w:tc>
          <w:tcPr>
            <w:tcW w:w="811" w:type="pct"/>
          </w:tcPr>
          <w:p w14:paraId="038A4834" w14:textId="5F0543D2" w:rsidR="00213294" w:rsidRDefault="00213294" w:rsidP="001A5D4A">
            <w:pPr>
              <w:pStyle w:val="Note-Refs"/>
              <w:rPr>
                <w:b/>
              </w:rPr>
            </w:pPr>
            <w:r>
              <w:t>AASB119.141c(ii),(iii)</w:t>
            </w:r>
          </w:p>
        </w:tc>
        <w:tc>
          <w:tcPr>
            <w:tcW w:w="2296" w:type="pct"/>
            <w:vAlign w:val="bottom"/>
          </w:tcPr>
          <w:p w14:paraId="038A4835" w14:textId="7ADAE7AC" w:rsidR="00213294" w:rsidRPr="00BC1814" w:rsidRDefault="00213294" w:rsidP="001A5D4A">
            <w:pPr>
              <w:pStyle w:val="Note-Text"/>
              <w:rPr>
                <w:b/>
                <w:lang w:val="en-GB"/>
              </w:rPr>
            </w:pPr>
            <w:r>
              <w:t>Other [Specify]</w:t>
            </w:r>
          </w:p>
        </w:tc>
        <w:tc>
          <w:tcPr>
            <w:tcW w:w="271" w:type="pct"/>
          </w:tcPr>
          <w:p w14:paraId="038A4836" w14:textId="77777777" w:rsidR="00213294" w:rsidRPr="00BC1814" w:rsidRDefault="00213294" w:rsidP="001A5D4A">
            <w:pPr>
              <w:pStyle w:val="NotesTable-Notes"/>
            </w:pPr>
          </w:p>
        </w:tc>
        <w:tc>
          <w:tcPr>
            <w:tcW w:w="406" w:type="pct"/>
            <w:vAlign w:val="bottom"/>
          </w:tcPr>
          <w:p w14:paraId="038A4837" w14:textId="77777777" w:rsidR="00213294" w:rsidRPr="00BC1814" w:rsidRDefault="00213294" w:rsidP="001A5D4A">
            <w:pPr>
              <w:pStyle w:val="NotesTable-CellPlain"/>
              <w:rPr>
                <w:b/>
              </w:rPr>
            </w:pPr>
            <w:r w:rsidRPr="000A11B4">
              <w:t>–</w:t>
            </w:r>
          </w:p>
        </w:tc>
        <w:tc>
          <w:tcPr>
            <w:tcW w:w="406" w:type="pct"/>
            <w:vAlign w:val="bottom"/>
          </w:tcPr>
          <w:p w14:paraId="038A4838" w14:textId="77777777" w:rsidR="00213294" w:rsidRPr="00BC1814" w:rsidRDefault="00213294" w:rsidP="001A5D4A">
            <w:pPr>
              <w:pStyle w:val="NotesTable-CellPlain"/>
              <w:rPr>
                <w:b/>
              </w:rPr>
            </w:pPr>
            <w:r w:rsidRPr="000A11B4">
              <w:t>–</w:t>
            </w:r>
          </w:p>
        </w:tc>
        <w:tc>
          <w:tcPr>
            <w:tcW w:w="406" w:type="pct"/>
            <w:vAlign w:val="bottom"/>
          </w:tcPr>
          <w:p w14:paraId="038A4839" w14:textId="77777777" w:rsidR="00213294" w:rsidRPr="00BC1814" w:rsidRDefault="00213294" w:rsidP="001A5D4A">
            <w:pPr>
              <w:pStyle w:val="NotesTable-CellPlain"/>
              <w:rPr>
                <w:b/>
              </w:rPr>
            </w:pPr>
            <w:r w:rsidRPr="000A11B4">
              <w:t>–</w:t>
            </w:r>
          </w:p>
        </w:tc>
        <w:tc>
          <w:tcPr>
            <w:tcW w:w="404" w:type="pct"/>
            <w:vAlign w:val="bottom"/>
          </w:tcPr>
          <w:p w14:paraId="038A483A" w14:textId="77777777" w:rsidR="00213294" w:rsidRPr="00BC1814" w:rsidRDefault="00213294" w:rsidP="001A5D4A">
            <w:pPr>
              <w:pStyle w:val="NotesTable-CellPlain"/>
              <w:rPr>
                <w:b/>
              </w:rPr>
            </w:pPr>
            <w:r w:rsidRPr="000A11B4">
              <w:t>–</w:t>
            </w:r>
          </w:p>
        </w:tc>
      </w:tr>
      <w:tr w:rsidR="00213294" w14:paraId="038A4853" w14:textId="77777777" w:rsidTr="00AA2125">
        <w:trPr>
          <w:cantSplit/>
          <w:trHeight w:val="161"/>
        </w:trPr>
        <w:tc>
          <w:tcPr>
            <w:tcW w:w="811" w:type="pct"/>
            <w:vAlign w:val="bottom"/>
          </w:tcPr>
          <w:p w14:paraId="038A484C" w14:textId="77777777" w:rsidR="00213294" w:rsidRDefault="00213294" w:rsidP="001A5D4A">
            <w:pPr>
              <w:pStyle w:val="Note-Refs"/>
            </w:pPr>
          </w:p>
        </w:tc>
        <w:tc>
          <w:tcPr>
            <w:tcW w:w="2296" w:type="pct"/>
            <w:vAlign w:val="bottom"/>
          </w:tcPr>
          <w:p w14:paraId="038A484D" w14:textId="77777777" w:rsidR="00213294" w:rsidRPr="00BC1814" w:rsidRDefault="00213294" w:rsidP="001A5D4A">
            <w:pPr>
              <w:pStyle w:val="NotesTable-ItemPlain"/>
            </w:pPr>
          </w:p>
        </w:tc>
        <w:tc>
          <w:tcPr>
            <w:tcW w:w="271" w:type="pct"/>
          </w:tcPr>
          <w:p w14:paraId="038A484E" w14:textId="77777777" w:rsidR="00213294" w:rsidRPr="00BC1814" w:rsidRDefault="00213294" w:rsidP="001A5D4A">
            <w:pPr>
              <w:pStyle w:val="NotesTable-Notes"/>
            </w:pPr>
          </w:p>
        </w:tc>
        <w:tc>
          <w:tcPr>
            <w:tcW w:w="406" w:type="pct"/>
            <w:tcBorders>
              <w:top w:val="single" w:sz="4" w:space="0" w:color="auto"/>
            </w:tcBorders>
          </w:tcPr>
          <w:p w14:paraId="038A484F" w14:textId="77777777" w:rsidR="00213294" w:rsidRPr="00BC1814" w:rsidRDefault="00213294" w:rsidP="001A5D4A">
            <w:pPr>
              <w:pStyle w:val="NotesTable-CellPlain"/>
              <w:rPr>
                <w:b/>
              </w:rPr>
            </w:pPr>
            <w:r w:rsidRPr="00997224">
              <w:t>–</w:t>
            </w:r>
          </w:p>
        </w:tc>
        <w:tc>
          <w:tcPr>
            <w:tcW w:w="406" w:type="pct"/>
            <w:tcBorders>
              <w:top w:val="single" w:sz="4" w:space="0" w:color="auto"/>
            </w:tcBorders>
          </w:tcPr>
          <w:p w14:paraId="038A4850" w14:textId="77777777" w:rsidR="00213294" w:rsidRPr="00BC1814" w:rsidRDefault="00213294" w:rsidP="001A5D4A">
            <w:pPr>
              <w:pStyle w:val="NotesTable-CellPlain"/>
              <w:rPr>
                <w:b/>
              </w:rPr>
            </w:pPr>
            <w:r w:rsidRPr="00997224">
              <w:t>–</w:t>
            </w:r>
          </w:p>
        </w:tc>
        <w:tc>
          <w:tcPr>
            <w:tcW w:w="406" w:type="pct"/>
            <w:tcBorders>
              <w:top w:val="single" w:sz="4" w:space="0" w:color="auto"/>
            </w:tcBorders>
          </w:tcPr>
          <w:p w14:paraId="038A4851" w14:textId="77777777" w:rsidR="00213294" w:rsidRPr="00BC1814" w:rsidRDefault="00213294" w:rsidP="001A5D4A">
            <w:pPr>
              <w:pStyle w:val="NotesTable-CellPlain"/>
              <w:rPr>
                <w:b/>
              </w:rPr>
            </w:pPr>
            <w:r w:rsidRPr="00997224">
              <w:t>–</w:t>
            </w:r>
          </w:p>
        </w:tc>
        <w:tc>
          <w:tcPr>
            <w:tcW w:w="404" w:type="pct"/>
            <w:tcBorders>
              <w:top w:val="single" w:sz="4" w:space="0" w:color="auto"/>
            </w:tcBorders>
          </w:tcPr>
          <w:p w14:paraId="038A4852" w14:textId="77777777" w:rsidR="00213294" w:rsidRPr="00BC1814" w:rsidRDefault="00213294" w:rsidP="001A5D4A">
            <w:pPr>
              <w:pStyle w:val="NotesTable-CellPlain"/>
              <w:rPr>
                <w:b/>
              </w:rPr>
            </w:pPr>
            <w:r w:rsidRPr="00997224">
              <w:t>–</w:t>
            </w:r>
          </w:p>
        </w:tc>
      </w:tr>
      <w:tr w:rsidR="00213294" w14:paraId="038A485B" w14:textId="77777777" w:rsidTr="00AA2125">
        <w:trPr>
          <w:cantSplit/>
          <w:trHeight w:val="161"/>
        </w:trPr>
        <w:tc>
          <w:tcPr>
            <w:tcW w:w="811" w:type="pct"/>
            <w:vAlign w:val="bottom"/>
          </w:tcPr>
          <w:p w14:paraId="038A4854" w14:textId="77777777" w:rsidR="00213294" w:rsidRDefault="00213294" w:rsidP="001A5D4A">
            <w:pPr>
              <w:pStyle w:val="Note-Refs"/>
              <w:rPr>
                <w:b/>
              </w:rPr>
            </w:pPr>
            <w:r>
              <w:t>AASB119.141e</w:t>
            </w:r>
          </w:p>
        </w:tc>
        <w:tc>
          <w:tcPr>
            <w:tcW w:w="2296" w:type="pct"/>
            <w:vAlign w:val="bottom"/>
          </w:tcPr>
          <w:p w14:paraId="038A4855" w14:textId="77777777" w:rsidR="00213294" w:rsidRPr="00BC1814" w:rsidRDefault="00213294" w:rsidP="001A5D4A">
            <w:pPr>
              <w:pStyle w:val="NotesTable-ItemPlain"/>
              <w:rPr>
                <w:b/>
              </w:rPr>
            </w:pPr>
            <w:r w:rsidRPr="00BC1814">
              <w:t>Exchange differences on foreign plans</w:t>
            </w:r>
          </w:p>
        </w:tc>
        <w:tc>
          <w:tcPr>
            <w:tcW w:w="271" w:type="pct"/>
          </w:tcPr>
          <w:p w14:paraId="038A4856" w14:textId="77777777" w:rsidR="00213294" w:rsidRPr="00BC1814" w:rsidRDefault="00213294" w:rsidP="001A5D4A">
            <w:pPr>
              <w:pStyle w:val="NotesTable-Notes"/>
            </w:pPr>
          </w:p>
        </w:tc>
        <w:tc>
          <w:tcPr>
            <w:tcW w:w="406" w:type="pct"/>
          </w:tcPr>
          <w:p w14:paraId="038A4857" w14:textId="77777777" w:rsidR="00213294" w:rsidRPr="00BC1814" w:rsidRDefault="00213294" w:rsidP="001A5D4A">
            <w:pPr>
              <w:pStyle w:val="NotesTable-CellPlain"/>
              <w:rPr>
                <w:b/>
              </w:rPr>
            </w:pPr>
            <w:r w:rsidRPr="00997224">
              <w:t>–</w:t>
            </w:r>
          </w:p>
        </w:tc>
        <w:tc>
          <w:tcPr>
            <w:tcW w:w="406" w:type="pct"/>
          </w:tcPr>
          <w:p w14:paraId="038A4858" w14:textId="77777777" w:rsidR="00213294" w:rsidRPr="00BC1814" w:rsidRDefault="00213294" w:rsidP="001A5D4A">
            <w:pPr>
              <w:pStyle w:val="NotesTable-CellPlain"/>
              <w:rPr>
                <w:b/>
              </w:rPr>
            </w:pPr>
            <w:r w:rsidRPr="00997224">
              <w:t>–</w:t>
            </w:r>
          </w:p>
        </w:tc>
        <w:tc>
          <w:tcPr>
            <w:tcW w:w="406" w:type="pct"/>
          </w:tcPr>
          <w:p w14:paraId="038A4859" w14:textId="77777777" w:rsidR="00213294" w:rsidRPr="00BC1814" w:rsidRDefault="00213294" w:rsidP="001A5D4A">
            <w:pPr>
              <w:pStyle w:val="NotesTable-CellPlain"/>
              <w:rPr>
                <w:b/>
              </w:rPr>
            </w:pPr>
            <w:r w:rsidRPr="00997224">
              <w:t>–</w:t>
            </w:r>
          </w:p>
        </w:tc>
        <w:tc>
          <w:tcPr>
            <w:tcW w:w="404" w:type="pct"/>
          </w:tcPr>
          <w:p w14:paraId="038A485A" w14:textId="77777777" w:rsidR="00213294" w:rsidRPr="00BC1814" w:rsidRDefault="00213294" w:rsidP="001A5D4A">
            <w:pPr>
              <w:pStyle w:val="NotesTable-CellPlain"/>
              <w:rPr>
                <w:b/>
              </w:rPr>
            </w:pPr>
            <w:r w:rsidRPr="00997224">
              <w:t>–</w:t>
            </w:r>
          </w:p>
        </w:tc>
      </w:tr>
      <w:tr w:rsidR="00213294" w14:paraId="038A4863" w14:textId="77777777" w:rsidTr="00AA2125">
        <w:trPr>
          <w:cantSplit/>
          <w:trHeight w:val="161"/>
        </w:trPr>
        <w:tc>
          <w:tcPr>
            <w:tcW w:w="811" w:type="pct"/>
            <w:vAlign w:val="bottom"/>
          </w:tcPr>
          <w:p w14:paraId="038A485C" w14:textId="77777777" w:rsidR="00213294" w:rsidRPr="003325C5" w:rsidRDefault="00213294" w:rsidP="001A5D4A">
            <w:pPr>
              <w:pStyle w:val="Note-Refs"/>
            </w:pPr>
            <w:r>
              <w:t>AASB119.141f</w:t>
            </w:r>
          </w:p>
        </w:tc>
        <w:tc>
          <w:tcPr>
            <w:tcW w:w="2296" w:type="pct"/>
            <w:vAlign w:val="bottom"/>
          </w:tcPr>
          <w:p w14:paraId="038A485D" w14:textId="77777777" w:rsidR="00213294" w:rsidRPr="000C54FD" w:rsidRDefault="00213294" w:rsidP="001A5D4A">
            <w:pPr>
              <w:pStyle w:val="NotesTable-ItemPlain"/>
            </w:pPr>
            <w:r>
              <w:t>Contributions</w:t>
            </w:r>
          </w:p>
        </w:tc>
        <w:tc>
          <w:tcPr>
            <w:tcW w:w="271" w:type="pct"/>
          </w:tcPr>
          <w:p w14:paraId="038A485E" w14:textId="77777777" w:rsidR="00213294" w:rsidRPr="00BC1814" w:rsidRDefault="00213294" w:rsidP="001A5D4A">
            <w:pPr>
              <w:pStyle w:val="NotesTable-Notes"/>
            </w:pPr>
          </w:p>
        </w:tc>
        <w:tc>
          <w:tcPr>
            <w:tcW w:w="406" w:type="pct"/>
          </w:tcPr>
          <w:p w14:paraId="038A485F" w14:textId="77777777" w:rsidR="00213294" w:rsidRPr="003325C5" w:rsidRDefault="00213294" w:rsidP="001A5D4A">
            <w:pPr>
              <w:pStyle w:val="NotesTable-CellPlain"/>
            </w:pPr>
          </w:p>
        </w:tc>
        <w:tc>
          <w:tcPr>
            <w:tcW w:w="406" w:type="pct"/>
          </w:tcPr>
          <w:p w14:paraId="038A4860" w14:textId="77777777" w:rsidR="00213294" w:rsidRPr="003325C5" w:rsidRDefault="00213294" w:rsidP="001A5D4A">
            <w:pPr>
              <w:pStyle w:val="NotesTable-CellPlain"/>
            </w:pPr>
          </w:p>
        </w:tc>
        <w:tc>
          <w:tcPr>
            <w:tcW w:w="406" w:type="pct"/>
          </w:tcPr>
          <w:p w14:paraId="038A4861" w14:textId="77777777" w:rsidR="00213294" w:rsidRPr="003325C5" w:rsidRDefault="00213294" w:rsidP="001A5D4A">
            <w:pPr>
              <w:pStyle w:val="NotesTable-CellPlain"/>
            </w:pPr>
          </w:p>
        </w:tc>
        <w:tc>
          <w:tcPr>
            <w:tcW w:w="404" w:type="pct"/>
          </w:tcPr>
          <w:p w14:paraId="038A4862" w14:textId="77777777" w:rsidR="00213294" w:rsidRPr="003325C5" w:rsidRDefault="00213294" w:rsidP="001A5D4A">
            <w:pPr>
              <w:pStyle w:val="NotesTable-CellPlain"/>
            </w:pPr>
          </w:p>
        </w:tc>
      </w:tr>
      <w:tr w:rsidR="00213294" w14:paraId="038A486B" w14:textId="77777777" w:rsidTr="00AA2125">
        <w:trPr>
          <w:cantSplit/>
          <w:trHeight w:val="161"/>
        </w:trPr>
        <w:tc>
          <w:tcPr>
            <w:tcW w:w="811" w:type="pct"/>
            <w:vAlign w:val="bottom"/>
          </w:tcPr>
          <w:p w14:paraId="038A4864" w14:textId="77777777" w:rsidR="00213294" w:rsidRDefault="00213294" w:rsidP="001A5D4A">
            <w:pPr>
              <w:pStyle w:val="Note-Refs"/>
            </w:pPr>
          </w:p>
        </w:tc>
        <w:tc>
          <w:tcPr>
            <w:tcW w:w="2296" w:type="pct"/>
            <w:vAlign w:val="bottom"/>
          </w:tcPr>
          <w:p w14:paraId="038A4865" w14:textId="77777777" w:rsidR="00213294" w:rsidRPr="00BC1814" w:rsidRDefault="00213294" w:rsidP="001A5D4A">
            <w:pPr>
              <w:pStyle w:val="Note-Text"/>
              <w:rPr>
                <w:b/>
                <w:lang w:val="en-GB"/>
              </w:rPr>
            </w:pPr>
            <w:r>
              <w:t>Employers</w:t>
            </w:r>
          </w:p>
        </w:tc>
        <w:tc>
          <w:tcPr>
            <w:tcW w:w="271" w:type="pct"/>
          </w:tcPr>
          <w:p w14:paraId="038A4866" w14:textId="77777777" w:rsidR="00213294" w:rsidRPr="00BC1814" w:rsidRDefault="00213294" w:rsidP="001A5D4A">
            <w:pPr>
              <w:pStyle w:val="NotesTable-Notes"/>
            </w:pPr>
          </w:p>
        </w:tc>
        <w:tc>
          <w:tcPr>
            <w:tcW w:w="406" w:type="pct"/>
          </w:tcPr>
          <w:p w14:paraId="038A4867" w14:textId="77777777" w:rsidR="00213294" w:rsidRPr="00BC1814" w:rsidRDefault="00213294" w:rsidP="001A5D4A">
            <w:pPr>
              <w:pStyle w:val="NotesTable-CellPlain"/>
              <w:rPr>
                <w:b/>
              </w:rPr>
            </w:pPr>
            <w:r w:rsidRPr="00997224">
              <w:t>–</w:t>
            </w:r>
          </w:p>
        </w:tc>
        <w:tc>
          <w:tcPr>
            <w:tcW w:w="406" w:type="pct"/>
          </w:tcPr>
          <w:p w14:paraId="038A4868" w14:textId="77777777" w:rsidR="00213294" w:rsidRPr="00BC1814" w:rsidRDefault="00213294" w:rsidP="001A5D4A">
            <w:pPr>
              <w:pStyle w:val="NotesTable-CellPlain"/>
              <w:rPr>
                <w:b/>
              </w:rPr>
            </w:pPr>
            <w:r w:rsidRPr="00997224">
              <w:t>–</w:t>
            </w:r>
          </w:p>
        </w:tc>
        <w:tc>
          <w:tcPr>
            <w:tcW w:w="406" w:type="pct"/>
          </w:tcPr>
          <w:p w14:paraId="038A4869" w14:textId="77777777" w:rsidR="00213294" w:rsidRPr="00BC1814" w:rsidRDefault="00213294" w:rsidP="001A5D4A">
            <w:pPr>
              <w:pStyle w:val="NotesTable-CellPlain"/>
              <w:rPr>
                <w:b/>
              </w:rPr>
            </w:pPr>
            <w:r w:rsidRPr="00997224">
              <w:t>–</w:t>
            </w:r>
          </w:p>
        </w:tc>
        <w:tc>
          <w:tcPr>
            <w:tcW w:w="404" w:type="pct"/>
          </w:tcPr>
          <w:p w14:paraId="038A486A" w14:textId="77777777" w:rsidR="00213294" w:rsidRPr="00BC1814" w:rsidRDefault="00213294" w:rsidP="001A5D4A">
            <w:pPr>
              <w:pStyle w:val="NotesTable-CellPlain"/>
              <w:rPr>
                <w:b/>
              </w:rPr>
            </w:pPr>
            <w:r w:rsidRPr="00997224">
              <w:t>–</w:t>
            </w:r>
          </w:p>
        </w:tc>
      </w:tr>
      <w:tr w:rsidR="00213294" w14:paraId="038A4873" w14:textId="77777777" w:rsidTr="00AA2125">
        <w:trPr>
          <w:cantSplit/>
          <w:trHeight w:val="161"/>
        </w:trPr>
        <w:tc>
          <w:tcPr>
            <w:tcW w:w="811" w:type="pct"/>
            <w:vAlign w:val="bottom"/>
          </w:tcPr>
          <w:p w14:paraId="038A486C" w14:textId="77777777" w:rsidR="00213294" w:rsidRDefault="00213294" w:rsidP="001A5D4A">
            <w:pPr>
              <w:pStyle w:val="Note-Refs"/>
            </w:pPr>
          </w:p>
        </w:tc>
        <w:tc>
          <w:tcPr>
            <w:tcW w:w="2296" w:type="pct"/>
            <w:vAlign w:val="bottom"/>
          </w:tcPr>
          <w:p w14:paraId="038A486D" w14:textId="77777777" w:rsidR="00213294" w:rsidRPr="00BC1814" w:rsidRDefault="00213294" w:rsidP="001A5D4A">
            <w:pPr>
              <w:pStyle w:val="Note-Text"/>
              <w:rPr>
                <w:b/>
                <w:lang w:val="en-GB"/>
              </w:rPr>
            </w:pPr>
            <w:r>
              <w:t>Plan participants</w:t>
            </w:r>
          </w:p>
        </w:tc>
        <w:tc>
          <w:tcPr>
            <w:tcW w:w="271" w:type="pct"/>
          </w:tcPr>
          <w:p w14:paraId="038A486E" w14:textId="77777777" w:rsidR="00213294" w:rsidRPr="00BC1814" w:rsidRDefault="00213294" w:rsidP="001A5D4A">
            <w:pPr>
              <w:pStyle w:val="NotesTable-Notes"/>
            </w:pPr>
          </w:p>
        </w:tc>
        <w:tc>
          <w:tcPr>
            <w:tcW w:w="406" w:type="pct"/>
            <w:tcBorders>
              <w:bottom w:val="single" w:sz="4" w:space="0" w:color="auto"/>
            </w:tcBorders>
          </w:tcPr>
          <w:p w14:paraId="038A486F" w14:textId="77777777" w:rsidR="00213294" w:rsidRPr="00BC1814" w:rsidRDefault="00213294" w:rsidP="001A5D4A">
            <w:pPr>
              <w:pStyle w:val="NotesTable-CellPlain"/>
              <w:rPr>
                <w:b/>
              </w:rPr>
            </w:pPr>
            <w:r w:rsidRPr="00997224">
              <w:t>–</w:t>
            </w:r>
          </w:p>
        </w:tc>
        <w:tc>
          <w:tcPr>
            <w:tcW w:w="406" w:type="pct"/>
            <w:tcBorders>
              <w:bottom w:val="single" w:sz="4" w:space="0" w:color="auto"/>
            </w:tcBorders>
          </w:tcPr>
          <w:p w14:paraId="038A4870" w14:textId="77777777" w:rsidR="00213294" w:rsidRPr="00BC1814" w:rsidRDefault="00213294" w:rsidP="001A5D4A">
            <w:pPr>
              <w:pStyle w:val="NotesTable-CellPlain"/>
              <w:rPr>
                <w:b/>
              </w:rPr>
            </w:pPr>
            <w:r w:rsidRPr="00997224">
              <w:t>–</w:t>
            </w:r>
          </w:p>
        </w:tc>
        <w:tc>
          <w:tcPr>
            <w:tcW w:w="406" w:type="pct"/>
            <w:tcBorders>
              <w:bottom w:val="single" w:sz="4" w:space="0" w:color="auto"/>
            </w:tcBorders>
          </w:tcPr>
          <w:p w14:paraId="038A4871" w14:textId="77777777" w:rsidR="00213294" w:rsidRPr="00BC1814" w:rsidRDefault="00213294" w:rsidP="001A5D4A">
            <w:pPr>
              <w:pStyle w:val="NotesTable-CellPlain"/>
              <w:rPr>
                <w:b/>
              </w:rPr>
            </w:pPr>
            <w:r w:rsidRPr="00997224">
              <w:t>–</w:t>
            </w:r>
          </w:p>
        </w:tc>
        <w:tc>
          <w:tcPr>
            <w:tcW w:w="404" w:type="pct"/>
            <w:tcBorders>
              <w:bottom w:val="single" w:sz="4" w:space="0" w:color="auto"/>
            </w:tcBorders>
          </w:tcPr>
          <w:p w14:paraId="038A4872" w14:textId="77777777" w:rsidR="00213294" w:rsidRPr="00BC1814" w:rsidRDefault="00213294" w:rsidP="001A5D4A">
            <w:pPr>
              <w:pStyle w:val="NotesTable-CellPlain"/>
              <w:rPr>
                <w:b/>
              </w:rPr>
            </w:pPr>
            <w:r w:rsidRPr="00997224">
              <w:t>–</w:t>
            </w:r>
          </w:p>
        </w:tc>
      </w:tr>
      <w:tr w:rsidR="00213294" w14:paraId="038A487B" w14:textId="77777777" w:rsidTr="00AA2125">
        <w:trPr>
          <w:cantSplit/>
          <w:trHeight w:val="161"/>
        </w:trPr>
        <w:tc>
          <w:tcPr>
            <w:tcW w:w="811" w:type="pct"/>
            <w:vAlign w:val="bottom"/>
          </w:tcPr>
          <w:p w14:paraId="038A4874" w14:textId="77777777" w:rsidR="00213294" w:rsidRDefault="00213294" w:rsidP="001A5D4A">
            <w:pPr>
              <w:pStyle w:val="Note-Refs"/>
            </w:pPr>
          </w:p>
        </w:tc>
        <w:tc>
          <w:tcPr>
            <w:tcW w:w="2296" w:type="pct"/>
            <w:vAlign w:val="bottom"/>
          </w:tcPr>
          <w:p w14:paraId="038A4875" w14:textId="77777777" w:rsidR="00213294" w:rsidRDefault="00213294" w:rsidP="001A5D4A">
            <w:pPr>
              <w:pStyle w:val="NotesTable-ItemPlain"/>
            </w:pPr>
          </w:p>
        </w:tc>
        <w:tc>
          <w:tcPr>
            <w:tcW w:w="271" w:type="pct"/>
          </w:tcPr>
          <w:p w14:paraId="038A4876" w14:textId="77777777" w:rsidR="00213294" w:rsidRPr="00BC1814" w:rsidRDefault="00213294" w:rsidP="001A5D4A">
            <w:pPr>
              <w:pStyle w:val="NotesTable-Notes"/>
            </w:pPr>
          </w:p>
        </w:tc>
        <w:tc>
          <w:tcPr>
            <w:tcW w:w="406" w:type="pct"/>
            <w:tcBorders>
              <w:top w:val="single" w:sz="4" w:space="0" w:color="auto"/>
            </w:tcBorders>
          </w:tcPr>
          <w:p w14:paraId="038A4877" w14:textId="77777777" w:rsidR="00213294" w:rsidRPr="00997224" w:rsidRDefault="00213294" w:rsidP="001A5D4A">
            <w:pPr>
              <w:pStyle w:val="NotesTable-CellPlain"/>
            </w:pPr>
            <w:r w:rsidRPr="00997224">
              <w:t>–</w:t>
            </w:r>
          </w:p>
        </w:tc>
        <w:tc>
          <w:tcPr>
            <w:tcW w:w="406" w:type="pct"/>
            <w:tcBorders>
              <w:top w:val="single" w:sz="4" w:space="0" w:color="auto"/>
            </w:tcBorders>
          </w:tcPr>
          <w:p w14:paraId="038A4878" w14:textId="77777777" w:rsidR="00213294" w:rsidRPr="00997224" w:rsidRDefault="00213294" w:rsidP="001A5D4A">
            <w:pPr>
              <w:pStyle w:val="NotesTable-CellPlain"/>
            </w:pPr>
            <w:r w:rsidRPr="00997224">
              <w:t>–</w:t>
            </w:r>
          </w:p>
        </w:tc>
        <w:tc>
          <w:tcPr>
            <w:tcW w:w="406" w:type="pct"/>
            <w:tcBorders>
              <w:top w:val="single" w:sz="4" w:space="0" w:color="auto"/>
            </w:tcBorders>
          </w:tcPr>
          <w:p w14:paraId="038A4879" w14:textId="77777777" w:rsidR="00213294" w:rsidRPr="00997224" w:rsidRDefault="00213294" w:rsidP="001A5D4A">
            <w:pPr>
              <w:pStyle w:val="NotesTable-CellPlain"/>
            </w:pPr>
            <w:r w:rsidRPr="00997224">
              <w:t>–</w:t>
            </w:r>
          </w:p>
        </w:tc>
        <w:tc>
          <w:tcPr>
            <w:tcW w:w="404" w:type="pct"/>
            <w:tcBorders>
              <w:top w:val="single" w:sz="4" w:space="0" w:color="auto"/>
            </w:tcBorders>
          </w:tcPr>
          <w:p w14:paraId="038A487A" w14:textId="77777777" w:rsidR="00213294" w:rsidRPr="00997224" w:rsidRDefault="00213294" w:rsidP="001A5D4A">
            <w:pPr>
              <w:pStyle w:val="NotesTable-CellPlain"/>
            </w:pPr>
            <w:r w:rsidRPr="00997224">
              <w:t>–</w:t>
            </w:r>
          </w:p>
        </w:tc>
      </w:tr>
      <w:tr w:rsidR="00213294" w14:paraId="038A4883" w14:textId="77777777" w:rsidTr="00AA2125">
        <w:trPr>
          <w:cantSplit/>
          <w:trHeight w:val="161"/>
        </w:trPr>
        <w:tc>
          <w:tcPr>
            <w:tcW w:w="811" w:type="pct"/>
            <w:vAlign w:val="bottom"/>
          </w:tcPr>
          <w:p w14:paraId="038A487C" w14:textId="77777777" w:rsidR="00213294" w:rsidRPr="003325C5" w:rsidRDefault="00213294" w:rsidP="001A5D4A">
            <w:pPr>
              <w:pStyle w:val="Note-Refs"/>
            </w:pPr>
            <w:r>
              <w:t>AASB119.141g</w:t>
            </w:r>
          </w:p>
        </w:tc>
        <w:tc>
          <w:tcPr>
            <w:tcW w:w="2296" w:type="pct"/>
            <w:vAlign w:val="bottom"/>
          </w:tcPr>
          <w:p w14:paraId="038A487D" w14:textId="77777777" w:rsidR="00213294" w:rsidRPr="000C54FD" w:rsidRDefault="00213294" w:rsidP="001A5D4A">
            <w:pPr>
              <w:pStyle w:val="NotesTable-ItemPlain"/>
            </w:pPr>
            <w:r>
              <w:t>Payments from plan</w:t>
            </w:r>
          </w:p>
        </w:tc>
        <w:tc>
          <w:tcPr>
            <w:tcW w:w="271" w:type="pct"/>
          </w:tcPr>
          <w:p w14:paraId="038A487E" w14:textId="77777777" w:rsidR="00213294" w:rsidRPr="00BC1814" w:rsidRDefault="00213294" w:rsidP="001A5D4A">
            <w:pPr>
              <w:pStyle w:val="NotesTable-Notes"/>
            </w:pPr>
          </w:p>
        </w:tc>
        <w:tc>
          <w:tcPr>
            <w:tcW w:w="406" w:type="pct"/>
          </w:tcPr>
          <w:p w14:paraId="038A487F" w14:textId="77777777" w:rsidR="00213294" w:rsidRPr="003325C5" w:rsidRDefault="00213294" w:rsidP="001A5D4A">
            <w:pPr>
              <w:pStyle w:val="NotesTable-CellPlain"/>
            </w:pPr>
          </w:p>
        </w:tc>
        <w:tc>
          <w:tcPr>
            <w:tcW w:w="406" w:type="pct"/>
          </w:tcPr>
          <w:p w14:paraId="038A4880" w14:textId="77777777" w:rsidR="00213294" w:rsidRPr="003325C5" w:rsidRDefault="00213294" w:rsidP="001A5D4A">
            <w:pPr>
              <w:pStyle w:val="NotesTable-CellPlain"/>
            </w:pPr>
          </w:p>
        </w:tc>
        <w:tc>
          <w:tcPr>
            <w:tcW w:w="406" w:type="pct"/>
          </w:tcPr>
          <w:p w14:paraId="038A4881" w14:textId="77777777" w:rsidR="00213294" w:rsidRPr="003325C5" w:rsidRDefault="00213294" w:rsidP="001A5D4A">
            <w:pPr>
              <w:pStyle w:val="NotesTable-CellPlain"/>
            </w:pPr>
          </w:p>
        </w:tc>
        <w:tc>
          <w:tcPr>
            <w:tcW w:w="404" w:type="pct"/>
          </w:tcPr>
          <w:p w14:paraId="038A4882" w14:textId="77777777" w:rsidR="00213294" w:rsidRPr="003325C5" w:rsidRDefault="00213294" w:rsidP="001A5D4A">
            <w:pPr>
              <w:pStyle w:val="NotesTable-CellPlain"/>
            </w:pPr>
          </w:p>
        </w:tc>
      </w:tr>
      <w:tr w:rsidR="00213294" w14:paraId="038A488B" w14:textId="77777777" w:rsidTr="00AA2125">
        <w:trPr>
          <w:cantSplit/>
          <w:trHeight w:val="161"/>
        </w:trPr>
        <w:tc>
          <w:tcPr>
            <w:tcW w:w="811" w:type="pct"/>
            <w:vAlign w:val="bottom"/>
          </w:tcPr>
          <w:p w14:paraId="038A4884" w14:textId="77777777" w:rsidR="00213294" w:rsidRPr="003325C5" w:rsidRDefault="00213294" w:rsidP="001A5D4A">
            <w:pPr>
              <w:pStyle w:val="Note-Refs"/>
            </w:pPr>
          </w:p>
        </w:tc>
        <w:tc>
          <w:tcPr>
            <w:tcW w:w="2296" w:type="pct"/>
            <w:vAlign w:val="bottom"/>
          </w:tcPr>
          <w:p w14:paraId="038A4885" w14:textId="77777777" w:rsidR="00213294" w:rsidRPr="00BC1814" w:rsidRDefault="00213294" w:rsidP="001A5D4A">
            <w:pPr>
              <w:pStyle w:val="Note-Text"/>
              <w:rPr>
                <w:b/>
                <w:lang w:val="en-GB"/>
              </w:rPr>
            </w:pPr>
            <w:r w:rsidRPr="00BC1814">
              <w:t>Benefits paid</w:t>
            </w:r>
          </w:p>
        </w:tc>
        <w:tc>
          <w:tcPr>
            <w:tcW w:w="271" w:type="pct"/>
          </w:tcPr>
          <w:p w14:paraId="038A4886" w14:textId="77777777" w:rsidR="00213294" w:rsidRPr="00BC1814" w:rsidRDefault="00213294" w:rsidP="001A5D4A">
            <w:pPr>
              <w:pStyle w:val="NotesTable-Notes"/>
            </w:pPr>
          </w:p>
        </w:tc>
        <w:tc>
          <w:tcPr>
            <w:tcW w:w="406" w:type="pct"/>
          </w:tcPr>
          <w:p w14:paraId="038A4887" w14:textId="77777777" w:rsidR="00213294" w:rsidRPr="00BC1814" w:rsidRDefault="00213294" w:rsidP="001A5D4A">
            <w:pPr>
              <w:pStyle w:val="NotesTable-CellPlain"/>
              <w:rPr>
                <w:b/>
              </w:rPr>
            </w:pPr>
            <w:r w:rsidRPr="00997224">
              <w:t>–</w:t>
            </w:r>
          </w:p>
        </w:tc>
        <w:tc>
          <w:tcPr>
            <w:tcW w:w="406" w:type="pct"/>
          </w:tcPr>
          <w:p w14:paraId="038A4888" w14:textId="77777777" w:rsidR="00213294" w:rsidRPr="00BC1814" w:rsidRDefault="00213294" w:rsidP="001A5D4A">
            <w:pPr>
              <w:pStyle w:val="NotesTable-CellPlain"/>
              <w:rPr>
                <w:b/>
              </w:rPr>
            </w:pPr>
            <w:r w:rsidRPr="00997224">
              <w:t>–</w:t>
            </w:r>
          </w:p>
        </w:tc>
        <w:tc>
          <w:tcPr>
            <w:tcW w:w="406" w:type="pct"/>
          </w:tcPr>
          <w:p w14:paraId="038A4889" w14:textId="77777777" w:rsidR="00213294" w:rsidRPr="00BC1814" w:rsidRDefault="00213294" w:rsidP="001A5D4A">
            <w:pPr>
              <w:pStyle w:val="NotesTable-CellPlain"/>
              <w:rPr>
                <w:b/>
              </w:rPr>
            </w:pPr>
            <w:r w:rsidRPr="00997224">
              <w:t>–</w:t>
            </w:r>
          </w:p>
        </w:tc>
        <w:tc>
          <w:tcPr>
            <w:tcW w:w="404" w:type="pct"/>
          </w:tcPr>
          <w:p w14:paraId="038A488A" w14:textId="77777777" w:rsidR="00213294" w:rsidRPr="00BC1814" w:rsidRDefault="00213294" w:rsidP="001A5D4A">
            <w:pPr>
              <w:pStyle w:val="NotesTable-CellPlain"/>
              <w:rPr>
                <w:b/>
              </w:rPr>
            </w:pPr>
            <w:r w:rsidRPr="00997224">
              <w:t>–</w:t>
            </w:r>
          </w:p>
        </w:tc>
      </w:tr>
      <w:tr w:rsidR="00213294" w14:paraId="038A4893" w14:textId="77777777" w:rsidTr="00AA2125">
        <w:trPr>
          <w:cantSplit/>
          <w:trHeight w:val="161"/>
        </w:trPr>
        <w:tc>
          <w:tcPr>
            <w:tcW w:w="811" w:type="pct"/>
            <w:vAlign w:val="bottom"/>
          </w:tcPr>
          <w:p w14:paraId="038A488C" w14:textId="77777777" w:rsidR="00213294" w:rsidRDefault="00213294" w:rsidP="001A5D4A">
            <w:pPr>
              <w:pStyle w:val="Note-Refs"/>
            </w:pPr>
          </w:p>
        </w:tc>
        <w:tc>
          <w:tcPr>
            <w:tcW w:w="2296" w:type="pct"/>
            <w:vAlign w:val="bottom"/>
          </w:tcPr>
          <w:p w14:paraId="038A488D" w14:textId="77777777" w:rsidR="00213294" w:rsidRPr="00BC1814" w:rsidRDefault="00213294" w:rsidP="001A5D4A">
            <w:pPr>
              <w:pStyle w:val="Note-Text"/>
              <w:rPr>
                <w:b/>
                <w:lang w:val="en-GB"/>
              </w:rPr>
            </w:pPr>
            <w:r>
              <w:t>Settlements</w:t>
            </w:r>
            <w:r w:rsidRPr="00BC1814" w:rsidDel="00B44390">
              <w:t xml:space="preserve"> </w:t>
            </w:r>
          </w:p>
        </w:tc>
        <w:tc>
          <w:tcPr>
            <w:tcW w:w="271" w:type="pct"/>
          </w:tcPr>
          <w:p w14:paraId="038A488E" w14:textId="77777777" w:rsidR="00213294" w:rsidRPr="00BC1814" w:rsidRDefault="00213294" w:rsidP="001A5D4A">
            <w:pPr>
              <w:pStyle w:val="NotesTable-Notes"/>
            </w:pPr>
          </w:p>
        </w:tc>
        <w:tc>
          <w:tcPr>
            <w:tcW w:w="406" w:type="pct"/>
            <w:tcBorders>
              <w:bottom w:val="single" w:sz="4" w:space="0" w:color="auto"/>
            </w:tcBorders>
          </w:tcPr>
          <w:p w14:paraId="038A488F" w14:textId="77777777" w:rsidR="00213294" w:rsidRPr="00BC1814" w:rsidRDefault="00213294" w:rsidP="001A5D4A">
            <w:pPr>
              <w:pStyle w:val="NotesTable-CellPlain"/>
              <w:rPr>
                <w:b/>
              </w:rPr>
            </w:pPr>
            <w:r w:rsidRPr="00997224">
              <w:t>–</w:t>
            </w:r>
          </w:p>
        </w:tc>
        <w:tc>
          <w:tcPr>
            <w:tcW w:w="406" w:type="pct"/>
            <w:tcBorders>
              <w:bottom w:val="single" w:sz="4" w:space="0" w:color="auto"/>
            </w:tcBorders>
          </w:tcPr>
          <w:p w14:paraId="038A4890" w14:textId="77777777" w:rsidR="00213294" w:rsidRPr="00BC1814" w:rsidRDefault="00213294" w:rsidP="001A5D4A">
            <w:pPr>
              <w:pStyle w:val="NotesTable-CellPlain"/>
              <w:rPr>
                <w:b/>
              </w:rPr>
            </w:pPr>
            <w:r w:rsidRPr="00997224">
              <w:t>–</w:t>
            </w:r>
          </w:p>
        </w:tc>
        <w:tc>
          <w:tcPr>
            <w:tcW w:w="406" w:type="pct"/>
            <w:tcBorders>
              <w:bottom w:val="single" w:sz="4" w:space="0" w:color="auto"/>
            </w:tcBorders>
          </w:tcPr>
          <w:p w14:paraId="038A4891" w14:textId="77777777" w:rsidR="00213294" w:rsidRPr="00BC1814" w:rsidRDefault="00213294" w:rsidP="001A5D4A">
            <w:pPr>
              <w:pStyle w:val="NotesTable-CellPlain"/>
              <w:rPr>
                <w:b/>
              </w:rPr>
            </w:pPr>
            <w:r w:rsidRPr="00997224">
              <w:t>–</w:t>
            </w:r>
          </w:p>
        </w:tc>
        <w:tc>
          <w:tcPr>
            <w:tcW w:w="404" w:type="pct"/>
            <w:tcBorders>
              <w:bottom w:val="single" w:sz="4" w:space="0" w:color="auto"/>
            </w:tcBorders>
          </w:tcPr>
          <w:p w14:paraId="038A4892" w14:textId="77777777" w:rsidR="00213294" w:rsidRPr="00BC1814" w:rsidRDefault="00213294" w:rsidP="001A5D4A">
            <w:pPr>
              <w:pStyle w:val="NotesTable-CellPlain"/>
              <w:rPr>
                <w:b/>
              </w:rPr>
            </w:pPr>
            <w:r w:rsidRPr="00997224">
              <w:t>–</w:t>
            </w:r>
          </w:p>
        </w:tc>
      </w:tr>
      <w:tr w:rsidR="00213294" w14:paraId="038A489B" w14:textId="77777777" w:rsidTr="00AA2125">
        <w:trPr>
          <w:cantSplit/>
          <w:trHeight w:val="161"/>
        </w:trPr>
        <w:tc>
          <w:tcPr>
            <w:tcW w:w="811" w:type="pct"/>
            <w:vAlign w:val="bottom"/>
          </w:tcPr>
          <w:p w14:paraId="038A4894" w14:textId="77777777" w:rsidR="00213294" w:rsidRDefault="00213294" w:rsidP="001A5D4A">
            <w:pPr>
              <w:pStyle w:val="Note-Refs"/>
            </w:pPr>
          </w:p>
        </w:tc>
        <w:tc>
          <w:tcPr>
            <w:tcW w:w="2296" w:type="pct"/>
            <w:vAlign w:val="bottom"/>
          </w:tcPr>
          <w:p w14:paraId="038A4895" w14:textId="77777777" w:rsidR="00213294" w:rsidRPr="00BC1814" w:rsidRDefault="00213294" w:rsidP="001A5D4A">
            <w:pPr>
              <w:pStyle w:val="NotesTable-ItemPlain"/>
            </w:pPr>
          </w:p>
        </w:tc>
        <w:tc>
          <w:tcPr>
            <w:tcW w:w="271" w:type="pct"/>
          </w:tcPr>
          <w:p w14:paraId="038A4896" w14:textId="77777777" w:rsidR="00213294" w:rsidRPr="00BC1814" w:rsidRDefault="00213294" w:rsidP="001A5D4A">
            <w:pPr>
              <w:pStyle w:val="NotesTable-Notes"/>
            </w:pPr>
          </w:p>
        </w:tc>
        <w:tc>
          <w:tcPr>
            <w:tcW w:w="406" w:type="pct"/>
            <w:tcBorders>
              <w:top w:val="single" w:sz="4" w:space="0" w:color="auto"/>
            </w:tcBorders>
          </w:tcPr>
          <w:p w14:paraId="038A4897" w14:textId="01AF015D" w:rsidR="00213294" w:rsidRPr="00BC1814" w:rsidRDefault="00213294" w:rsidP="001A5D4A">
            <w:pPr>
              <w:pStyle w:val="NotesTable-CellPlain"/>
              <w:rPr>
                <w:b/>
              </w:rPr>
            </w:pPr>
            <w:r w:rsidRPr="00997224">
              <w:t>–</w:t>
            </w:r>
          </w:p>
        </w:tc>
        <w:tc>
          <w:tcPr>
            <w:tcW w:w="406" w:type="pct"/>
            <w:tcBorders>
              <w:top w:val="single" w:sz="4" w:space="0" w:color="auto"/>
            </w:tcBorders>
          </w:tcPr>
          <w:p w14:paraId="038A4898" w14:textId="31D3FACB" w:rsidR="00213294" w:rsidRPr="00BC1814" w:rsidRDefault="00213294" w:rsidP="001A5D4A">
            <w:pPr>
              <w:pStyle w:val="NotesTable-CellPlain"/>
              <w:rPr>
                <w:b/>
              </w:rPr>
            </w:pPr>
            <w:r w:rsidRPr="00997224">
              <w:t>–</w:t>
            </w:r>
          </w:p>
        </w:tc>
        <w:tc>
          <w:tcPr>
            <w:tcW w:w="406" w:type="pct"/>
            <w:tcBorders>
              <w:top w:val="single" w:sz="4" w:space="0" w:color="auto"/>
            </w:tcBorders>
          </w:tcPr>
          <w:p w14:paraId="038A4899" w14:textId="2C491C74" w:rsidR="00213294" w:rsidRPr="00BC1814" w:rsidRDefault="00213294" w:rsidP="001A5D4A">
            <w:pPr>
              <w:pStyle w:val="NotesTable-CellPlain"/>
              <w:rPr>
                <w:b/>
              </w:rPr>
            </w:pPr>
            <w:r w:rsidRPr="00997224">
              <w:t>–</w:t>
            </w:r>
          </w:p>
        </w:tc>
        <w:tc>
          <w:tcPr>
            <w:tcW w:w="404" w:type="pct"/>
            <w:tcBorders>
              <w:top w:val="single" w:sz="4" w:space="0" w:color="auto"/>
            </w:tcBorders>
          </w:tcPr>
          <w:p w14:paraId="038A489A" w14:textId="0BD550C1" w:rsidR="00213294" w:rsidRPr="00BC1814" w:rsidRDefault="00213294" w:rsidP="001A5D4A">
            <w:pPr>
              <w:pStyle w:val="NotesTable-CellPlain"/>
              <w:rPr>
                <w:b/>
              </w:rPr>
            </w:pPr>
            <w:r w:rsidRPr="00997224">
              <w:t>–</w:t>
            </w:r>
          </w:p>
        </w:tc>
      </w:tr>
      <w:tr w:rsidR="00213294" w14:paraId="038A48A3" w14:textId="77777777" w:rsidTr="00AA2125">
        <w:trPr>
          <w:cantSplit/>
          <w:trHeight w:val="161"/>
        </w:trPr>
        <w:tc>
          <w:tcPr>
            <w:tcW w:w="811" w:type="pct"/>
            <w:vAlign w:val="bottom"/>
          </w:tcPr>
          <w:p w14:paraId="038A489C" w14:textId="77777777" w:rsidR="00213294" w:rsidRPr="00D264A2" w:rsidRDefault="00213294" w:rsidP="001A5D4A">
            <w:pPr>
              <w:pStyle w:val="Note-Refs"/>
            </w:pPr>
            <w:r>
              <w:t>AASB119.141h</w:t>
            </w:r>
          </w:p>
        </w:tc>
        <w:tc>
          <w:tcPr>
            <w:tcW w:w="2296" w:type="pct"/>
            <w:vAlign w:val="bottom"/>
          </w:tcPr>
          <w:p w14:paraId="038A489D" w14:textId="77777777" w:rsidR="00213294" w:rsidRPr="000C54FD" w:rsidRDefault="00213294" w:rsidP="001A5D4A">
            <w:pPr>
              <w:pStyle w:val="NotesTable-ItemPlain"/>
            </w:pPr>
            <w:r w:rsidRPr="00BC1814">
              <w:t xml:space="preserve">Assets acquired in a business combination </w:t>
            </w:r>
          </w:p>
        </w:tc>
        <w:tc>
          <w:tcPr>
            <w:tcW w:w="271" w:type="pct"/>
          </w:tcPr>
          <w:p w14:paraId="038A489E" w14:textId="77777777" w:rsidR="00213294" w:rsidRPr="00BC1814" w:rsidRDefault="00213294" w:rsidP="001A5D4A">
            <w:pPr>
              <w:pStyle w:val="NotesTable-Notes"/>
            </w:pPr>
            <w:r>
              <w:t>44</w:t>
            </w:r>
          </w:p>
        </w:tc>
        <w:tc>
          <w:tcPr>
            <w:tcW w:w="406" w:type="pct"/>
          </w:tcPr>
          <w:p w14:paraId="038A489F" w14:textId="77777777" w:rsidR="00213294" w:rsidRPr="00D264A2" w:rsidRDefault="00213294" w:rsidP="001A5D4A">
            <w:pPr>
              <w:pStyle w:val="NotesTable-CellPlain"/>
            </w:pPr>
            <w:r w:rsidRPr="00997224">
              <w:t>–</w:t>
            </w:r>
          </w:p>
        </w:tc>
        <w:tc>
          <w:tcPr>
            <w:tcW w:w="406" w:type="pct"/>
          </w:tcPr>
          <w:p w14:paraId="038A48A0" w14:textId="77777777" w:rsidR="00213294" w:rsidRPr="00D264A2" w:rsidRDefault="00213294" w:rsidP="001A5D4A">
            <w:pPr>
              <w:pStyle w:val="NotesTable-CellPlain"/>
            </w:pPr>
            <w:r w:rsidRPr="00997224">
              <w:t>–</w:t>
            </w:r>
          </w:p>
        </w:tc>
        <w:tc>
          <w:tcPr>
            <w:tcW w:w="406" w:type="pct"/>
          </w:tcPr>
          <w:p w14:paraId="038A48A1" w14:textId="77777777" w:rsidR="00213294" w:rsidRPr="00D264A2" w:rsidRDefault="00213294" w:rsidP="001A5D4A">
            <w:pPr>
              <w:pStyle w:val="NotesTable-CellPlain"/>
            </w:pPr>
            <w:r w:rsidRPr="00997224">
              <w:t>–</w:t>
            </w:r>
          </w:p>
        </w:tc>
        <w:tc>
          <w:tcPr>
            <w:tcW w:w="404" w:type="pct"/>
          </w:tcPr>
          <w:p w14:paraId="038A48A2" w14:textId="77777777" w:rsidR="00213294" w:rsidRPr="00D264A2" w:rsidRDefault="00213294" w:rsidP="001A5D4A">
            <w:pPr>
              <w:pStyle w:val="NotesTable-CellPlain"/>
            </w:pPr>
            <w:r w:rsidRPr="00997224">
              <w:t>–</w:t>
            </w:r>
          </w:p>
        </w:tc>
      </w:tr>
      <w:tr w:rsidR="00213294" w14:paraId="038A48AB" w14:textId="77777777" w:rsidTr="00AA2125">
        <w:trPr>
          <w:cantSplit/>
          <w:trHeight w:val="161"/>
        </w:trPr>
        <w:tc>
          <w:tcPr>
            <w:tcW w:w="811" w:type="pct"/>
            <w:vAlign w:val="bottom"/>
          </w:tcPr>
          <w:p w14:paraId="038A48A4" w14:textId="77777777" w:rsidR="00213294" w:rsidRDefault="00213294" w:rsidP="001A5D4A">
            <w:pPr>
              <w:pStyle w:val="Note-Refs"/>
            </w:pPr>
            <w:r>
              <w:t>AASB119.140a(ii)</w:t>
            </w:r>
          </w:p>
        </w:tc>
        <w:tc>
          <w:tcPr>
            <w:tcW w:w="2296" w:type="pct"/>
            <w:vAlign w:val="bottom"/>
          </w:tcPr>
          <w:p w14:paraId="038A48A5" w14:textId="77777777" w:rsidR="00213294" w:rsidRPr="00BC1814" w:rsidRDefault="00213294" w:rsidP="001A5D4A">
            <w:pPr>
              <w:pStyle w:val="NotesTable-ItemPlain"/>
              <w:rPr>
                <w:b/>
              </w:rPr>
            </w:pPr>
            <w:r w:rsidRPr="00BC1814">
              <w:t>Closing fair value of plans assets</w:t>
            </w:r>
          </w:p>
        </w:tc>
        <w:tc>
          <w:tcPr>
            <w:tcW w:w="271" w:type="pct"/>
          </w:tcPr>
          <w:p w14:paraId="038A48A6" w14:textId="77777777" w:rsidR="00213294" w:rsidRPr="00BC1814" w:rsidRDefault="00213294" w:rsidP="001A5D4A">
            <w:pPr>
              <w:pStyle w:val="NotesTable-Notes"/>
            </w:pPr>
          </w:p>
        </w:tc>
        <w:tc>
          <w:tcPr>
            <w:tcW w:w="406" w:type="pct"/>
            <w:tcBorders>
              <w:top w:val="single" w:sz="4" w:space="0" w:color="auto"/>
            </w:tcBorders>
          </w:tcPr>
          <w:p w14:paraId="038A48A7" w14:textId="77777777" w:rsidR="00213294" w:rsidRPr="00BC1814" w:rsidRDefault="00213294" w:rsidP="001A5D4A">
            <w:pPr>
              <w:pStyle w:val="NotesTable-CellPlain"/>
              <w:rPr>
                <w:b/>
              </w:rPr>
            </w:pPr>
            <w:r w:rsidRPr="00997224">
              <w:t>–</w:t>
            </w:r>
          </w:p>
        </w:tc>
        <w:tc>
          <w:tcPr>
            <w:tcW w:w="406" w:type="pct"/>
            <w:tcBorders>
              <w:top w:val="single" w:sz="4" w:space="0" w:color="auto"/>
            </w:tcBorders>
          </w:tcPr>
          <w:p w14:paraId="038A48A8" w14:textId="77777777" w:rsidR="00213294" w:rsidRPr="00BC1814" w:rsidRDefault="00213294" w:rsidP="001A5D4A">
            <w:pPr>
              <w:pStyle w:val="NotesTable-CellPlain"/>
              <w:rPr>
                <w:b/>
              </w:rPr>
            </w:pPr>
            <w:r w:rsidRPr="00997224">
              <w:t>–</w:t>
            </w:r>
          </w:p>
        </w:tc>
        <w:tc>
          <w:tcPr>
            <w:tcW w:w="406" w:type="pct"/>
            <w:tcBorders>
              <w:top w:val="single" w:sz="4" w:space="0" w:color="auto"/>
            </w:tcBorders>
          </w:tcPr>
          <w:p w14:paraId="038A48A9" w14:textId="77777777" w:rsidR="00213294" w:rsidRPr="00BC1814" w:rsidRDefault="00213294" w:rsidP="001A5D4A">
            <w:pPr>
              <w:pStyle w:val="NotesTable-CellPlain"/>
              <w:rPr>
                <w:b/>
              </w:rPr>
            </w:pPr>
            <w:r w:rsidRPr="00997224">
              <w:t>–</w:t>
            </w:r>
          </w:p>
        </w:tc>
        <w:tc>
          <w:tcPr>
            <w:tcW w:w="404" w:type="pct"/>
            <w:tcBorders>
              <w:top w:val="single" w:sz="4" w:space="0" w:color="auto"/>
            </w:tcBorders>
          </w:tcPr>
          <w:p w14:paraId="038A48AA" w14:textId="77777777" w:rsidR="00213294" w:rsidRPr="00BC1814" w:rsidRDefault="00213294" w:rsidP="001A5D4A">
            <w:pPr>
              <w:pStyle w:val="NotesTable-CellPlain"/>
              <w:rPr>
                <w:b/>
              </w:rPr>
            </w:pPr>
            <w:r w:rsidRPr="00997224">
              <w:t>–</w:t>
            </w:r>
          </w:p>
        </w:tc>
      </w:tr>
      <w:tr w:rsidR="00213294" w:rsidRPr="00BC1814" w14:paraId="7550A57E" w14:textId="77777777" w:rsidTr="00AA2125">
        <w:trPr>
          <w:cantSplit/>
          <w:trHeight w:val="161"/>
        </w:trPr>
        <w:tc>
          <w:tcPr>
            <w:tcW w:w="811" w:type="pct"/>
            <w:vAlign w:val="bottom"/>
          </w:tcPr>
          <w:p w14:paraId="7F464E01" w14:textId="77777777" w:rsidR="00213294" w:rsidRDefault="00213294" w:rsidP="001A5D4A">
            <w:pPr>
              <w:pStyle w:val="Note-Refs"/>
            </w:pPr>
          </w:p>
        </w:tc>
        <w:tc>
          <w:tcPr>
            <w:tcW w:w="2296" w:type="pct"/>
            <w:vAlign w:val="bottom"/>
          </w:tcPr>
          <w:p w14:paraId="472B6D21" w14:textId="77777777" w:rsidR="00213294" w:rsidRDefault="00213294" w:rsidP="001A5D4A">
            <w:pPr>
              <w:pStyle w:val="NotesTable-ItemPlain"/>
            </w:pPr>
          </w:p>
        </w:tc>
        <w:tc>
          <w:tcPr>
            <w:tcW w:w="271" w:type="pct"/>
          </w:tcPr>
          <w:p w14:paraId="68067310" w14:textId="77777777" w:rsidR="00213294" w:rsidRPr="00BC1814" w:rsidRDefault="00213294" w:rsidP="001A5D4A">
            <w:pPr>
              <w:pStyle w:val="NotesTable-Notes"/>
            </w:pPr>
          </w:p>
        </w:tc>
        <w:tc>
          <w:tcPr>
            <w:tcW w:w="406" w:type="pct"/>
          </w:tcPr>
          <w:p w14:paraId="5A79121D" w14:textId="77777777" w:rsidR="00213294" w:rsidRPr="00BC1814" w:rsidRDefault="00213294" w:rsidP="001A5D4A">
            <w:pPr>
              <w:pStyle w:val="NotesTable-CellPlain"/>
            </w:pPr>
          </w:p>
        </w:tc>
        <w:tc>
          <w:tcPr>
            <w:tcW w:w="406" w:type="pct"/>
          </w:tcPr>
          <w:p w14:paraId="71B8D28D" w14:textId="77777777" w:rsidR="00213294" w:rsidRPr="00BC1814" w:rsidRDefault="00213294" w:rsidP="001A5D4A">
            <w:pPr>
              <w:pStyle w:val="NotesTable-CellPlain"/>
            </w:pPr>
          </w:p>
        </w:tc>
        <w:tc>
          <w:tcPr>
            <w:tcW w:w="406" w:type="pct"/>
          </w:tcPr>
          <w:p w14:paraId="5A725A44" w14:textId="77777777" w:rsidR="00213294" w:rsidRPr="00BC1814" w:rsidRDefault="00213294" w:rsidP="001A5D4A">
            <w:pPr>
              <w:pStyle w:val="NotesTable-CellPlain"/>
            </w:pPr>
          </w:p>
        </w:tc>
        <w:tc>
          <w:tcPr>
            <w:tcW w:w="404" w:type="pct"/>
          </w:tcPr>
          <w:p w14:paraId="6FFDC3E2" w14:textId="77777777" w:rsidR="00213294" w:rsidRPr="00BC1814" w:rsidRDefault="00213294" w:rsidP="001A5D4A">
            <w:pPr>
              <w:pStyle w:val="NotesTable-CellPlain"/>
            </w:pPr>
          </w:p>
        </w:tc>
      </w:tr>
      <w:tr w:rsidR="00213294" w:rsidRPr="00BC1814" w14:paraId="2F67F34B" w14:textId="77777777" w:rsidTr="00AA2125">
        <w:trPr>
          <w:cantSplit/>
          <w:trHeight w:val="161"/>
        </w:trPr>
        <w:tc>
          <w:tcPr>
            <w:tcW w:w="811" w:type="pct"/>
            <w:vAlign w:val="bottom"/>
          </w:tcPr>
          <w:p w14:paraId="31E9BE4C" w14:textId="77777777" w:rsidR="00213294" w:rsidRDefault="00213294" w:rsidP="001A5D4A">
            <w:pPr>
              <w:pStyle w:val="Note-Refs"/>
            </w:pPr>
            <w:r>
              <w:t>AASB119.140a(i)</w:t>
            </w:r>
          </w:p>
        </w:tc>
        <w:tc>
          <w:tcPr>
            <w:tcW w:w="2296" w:type="pct"/>
            <w:vAlign w:val="bottom"/>
          </w:tcPr>
          <w:p w14:paraId="6F363642" w14:textId="77777777" w:rsidR="00213294" w:rsidRPr="00BC1814" w:rsidRDefault="00213294" w:rsidP="001A5D4A">
            <w:pPr>
              <w:pStyle w:val="Note-TextHeader"/>
            </w:pPr>
            <w:r>
              <w:t>Impact of asset ceiling</w:t>
            </w:r>
            <w:r w:rsidRPr="00BC1814">
              <w:t xml:space="preserve"> </w:t>
            </w:r>
            <w:r>
              <w:t xml:space="preserve">- 2014 </w:t>
            </w:r>
            <w:r w:rsidRPr="00213294">
              <w:t>(</w:t>
            </w:r>
            <w:r w:rsidRPr="00213294">
              <w:rPr>
                <w:i/>
              </w:rPr>
              <w:t>include as applicable</w:t>
            </w:r>
            <w:r w:rsidRPr="00213294">
              <w:t>)</w:t>
            </w:r>
          </w:p>
        </w:tc>
        <w:tc>
          <w:tcPr>
            <w:tcW w:w="271" w:type="pct"/>
          </w:tcPr>
          <w:p w14:paraId="0DCC7B37" w14:textId="77777777" w:rsidR="00213294" w:rsidRPr="00BC1814" w:rsidRDefault="00213294" w:rsidP="001A5D4A">
            <w:pPr>
              <w:pStyle w:val="NotesTable-Notes"/>
            </w:pPr>
          </w:p>
        </w:tc>
        <w:tc>
          <w:tcPr>
            <w:tcW w:w="406" w:type="pct"/>
          </w:tcPr>
          <w:p w14:paraId="789F9C68" w14:textId="77777777" w:rsidR="00213294" w:rsidRPr="00213294" w:rsidRDefault="00213294" w:rsidP="001A5D4A">
            <w:pPr>
              <w:pStyle w:val="NotesTable-CellPlain"/>
            </w:pPr>
            <w:r w:rsidRPr="00BC1814">
              <w:t>Fund 1</w:t>
            </w:r>
          </w:p>
        </w:tc>
        <w:tc>
          <w:tcPr>
            <w:tcW w:w="406" w:type="pct"/>
          </w:tcPr>
          <w:p w14:paraId="1E404129" w14:textId="77777777" w:rsidR="00213294" w:rsidRPr="00213294" w:rsidRDefault="00213294" w:rsidP="001A5D4A">
            <w:pPr>
              <w:pStyle w:val="NotesTable-CellPlain"/>
            </w:pPr>
            <w:r w:rsidRPr="00BC1814">
              <w:t>Fund 2</w:t>
            </w:r>
          </w:p>
        </w:tc>
        <w:tc>
          <w:tcPr>
            <w:tcW w:w="406" w:type="pct"/>
          </w:tcPr>
          <w:p w14:paraId="221093A5" w14:textId="77777777" w:rsidR="00213294" w:rsidRPr="00213294" w:rsidRDefault="00213294" w:rsidP="001A5D4A">
            <w:pPr>
              <w:pStyle w:val="NotesTable-CellPlain"/>
            </w:pPr>
            <w:r w:rsidRPr="00BC1814">
              <w:t>Fund 3</w:t>
            </w:r>
          </w:p>
        </w:tc>
        <w:tc>
          <w:tcPr>
            <w:tcW w:w="404" w:type="pct"/>
          </w:tcPr>
          <w:p w14:paraId="70FCDAEF" w14:textId="77777777" w:rsidR="00213294" w:rsidRPr="00213294" w:rsidRDefault="00213294" w:rsidP="001A5D4A">
            <w:pPr>
              <w:pStyle w:val="NotesTable-CellPlain"/>
            </w:pPr>
            <w:r w:rsidRPr="00BC1814">
              <w:t>Total</w:t>
            </w:r>
          </w:p>
        </w:tc>
      </w:tr>
      <w:tr w:rsidR="00213294" w:rsidRPr="00BC1814" w14:paraId="364CBF35" w14:textId="77777777" w:rsidTr="00AA2125">
        <w:trPr>
          <w:cantSplit/>
          <w:trHeight w:val="161"/>
        </w:trPr>
        <w:tc>
          <w:tcPr>
            <w:tcW w:w="811" w:type="pct"/>
            <w:vAlign w:val="bottom"/>
          </w:tcPr>
          <w:p w14:paraId="41ED5073" w14:textId="77777777" w:rsidR="00213294" w:rsidRDefault="00213294" w:rsidP="001A5D4A">
            <w:pPr>
              <w:pStyle w:val="Note-Refs"/>
            </w:pPr>
            <w:r>
              <w:t>AASB119.140</w:t>
            </w:r>
          </w:p>
        </w:tc>
        <w:tc>
          <w:tcPr>
            <w:tcW w:w="2296" w:type="pct"/>
            <w:vAlign w:val="bottom"/>
          </w:tcPr>
          <w:p w14:paraId="48341B33" w14:textId="77777777" w:rsidR="00213294" w:rsidRPr="00213294" w:rsidRDefault="00213294" w:rsidP="001A5D4A">
            <w:pPr>
              <w:pStyle w:val="NotesTable-ItemPlain"/>
            </w:pPr>
            <w:r w:rsidRPr="00BC1814">
              <w:t xml:space="preserve">Opening </w:t>
            </w:r>
            <w:r>
              <w:t>balance</w:t>
            </w:r>
          </w:p>
        </w:tc>
        <w:tc>
          <w:tcPr>
            <w:tcW w:w="271" w:type="pct"/>
          </w:tcPr>
          <w:p w14:paraId="1204620D" w14:textId="77777777" w:rsidR="00213294" w:rsidRPr="00BC1814" w:rsidRDefault="00213294" w:rsidP="001A5D4A">
            <w:pPr>
              <w:pStyle w:val="NotesTable-Notes"/>
            </w:pPr>
          </w:p>
        </w:tc>
        <w:tc>
          <w:tcPr>
            <w:tcW w:w="406" w:type="pct"/>
          </w:tcPr>
          <w:p w14:paraId="4D323D20" w14:textId="77777777" w:rsidR="00213294" w:rsidRPr="00213294" w:rsidRDefault="00213294" w:rsidP="001A5D4A">
            <w:pPr>
              <w:pStyle w:val="NotesTable-CellPlain"/>
            </w:pPr>
            <w:r w:rsidRPr="00997224">
              <w:t>–</w:t>
            </w:r>
          </w:p>
        </w:tc>
        <w:tc>
          <w:tcPr>
            <w:tcW w:w="406" w:type="pct"/>
          </w:tcPr>
          <w:p w14:paraId="1B5FDB81" w14:textId="77777777" w:rsidR="00213294" w:rsidRPr="00213294" w:rsidRDefault="00213294" w:rsidP="001A5D4A">
            <w:pPr>
              <w:pStyle w:val="NotesTable-CellPlain"/>
            </w:pPr>
            <w:r w:rsidRPr="00997224">
              <w:t>–</w:t>
            </w:r>
          </w:p>
        </w:tc>
        <w:tc>
          <w:tcPr>
            <w:tcW w:w="406" w:type="pct"/>
          </w:tcPr>
          <w:p w14:paraId="4774A666" w14:textId="77777777" w:rsidR="00213294" w:rsidRPr="00BC1814" w:rsidRDefault="00213294" w:rsidP="001A5D4A">
            <w:pPr>
              <w:pStyle w:val="NotesTable-CellPlain"/>
            </w:pPr>
            <w:r w:rsidRPr="00997224">
              <w:t>–</w:t>
            </w:r>
          </w:p>
        </w:tc>
        <w:tc>
          <w:tcPr>
            <w:tcW w:w="404" w:type="pct"/>
          </w:tcPr>
          <w:p w14:paraId="61207C48" w14:textId="77777777" w:rsidR="00213294" w:rsidRPr="00213294" w:rsidRDefault="00213294" w:rsidP="001A5D4A">
            <w:pPr>
              <w:pStyle w:val="NotesTable-CellPlain"/>
            </w:pPr>
            <w:r w:rsidRPr="00997224">
              <w:t>–</w:t>
            </w:r>
          </w:p>
        </w:tc>
      </w:tr>
      <w:tr w:rsidR="00213294" w:rsidRPr="00BC1814" w14:paraId="195C3EA6" w14:textId="77777777" w:rsidTr="00AA2125">
        <w:trPr>
          <w:cantSplit/>
          <w:trHeight w:val="161"/>
        </w:trPr>
        <w:tc>
          <w:tcPr>
            <w:tcW w:w="811" w:type="pct"/>
            <w:vAlign w:val="bottom"/>
          </w:tcPr>
          <w:p w14:paraId="3950210E" w14:textId="77777777" w:rsidR="00213294" w:rsidRPr="00213294" w:rsidRDefault="00213294" w:rsidP="001A5D4A">
            <w:pPr>
              <w:pStyle w:val="Note-Refs"/>
            </w:pPr>
            <w:r>
              <w:t>AASB119.141a</w:t>
            </w:r>
          </w:p>
        </w:tc>
        <w:tc>
          <w:tcPr>
            <w:tcW w:w="2296" w:type="pct"/>
            <w:vAlign w:val="bottom"/>
          </w:tcPr>
          <w:p w14:paraId="5210F6E4" w14:textId="77777777" w:rsidR="00213294" w:rsidRPr="00213294" w:rsidRDefault="00213294" w:rsidP="001A5D4A">
            <w:pPr>
              <w:pStyle w:val="NotesTable-ItemPlain"/>
            </w:pPr>
            <w:r w:rsidRPr="00BC1814">
              <w:t>Current service cost</w:t>
            </w:r>
          </w:p>
        </w:tc>
        <w:tc>
          <w:tcPr>
            <w:tcW w:w="271" w:type="pct"/>
          </w:tcPr>
          <w:p w14:paraId="6FDC7CBD" w14:textId="77777777" w:rsidR="00213294" w:rsidRPr="00BC1814" w:rsidRDefault="00213294" w:rsidP="001A5D4A">
            <w:pPr>
              <w:pStyle w:val="NotesTable-Notes"/>
            </w:pPr>
          </w:p>
        </w:tc>
        <w:tc>
          <w:tcPr>
            <w:tcW w:w="406" w:type="pct"/>
          </w:tcPr>
          <w:p w14:paraId="78AA5EC9" w14:textId="77777777" w:rsidR="00213294" w:rsidRPr="00213294" w:rsidRDefault="00213294" w:rsidP="001A5D4A">
            <w:pPr>
              <w:pStyle w:val="NotesTable-CellPlain"/>
            </w:pPr>
            <w:r w:rsidRPr="000A11B4">
              <w:t>–</w:t>
            </w:r>
          </w:p>
        </w:tc>
        <w:tc>
          <w:tcPr>
            <w:tcW w:w="406" w:type="pct"/>
          </w:tcPr>
          <w:p w14:paraId="3B033616" w14:textId="77777777" w:rsidR="00213294" w:rsidRPr="00213294" w:rsidRDefault="00213294" w:rsidP="001A5D4A">
            <w:pPr>
              <w:pStyle w:val="NotesTable-CellPlain"/>
            </w:pPr>
            <w:r w:rsidRPr="000A11B4">
              <w:t>–</w:t>
            </w:r>
          </w:p>
        </w:tc>
        <w:tc>
          <w:tcPr>
            <w:tcW w:w="406" w:type="pct"/>
          </w:tcPr>
          <w:p w14:paraId="053EC795" w14:textId="77777777" w:rsidR="00213294" w:rsidRPr="00213294" w:rsidRDefault="00213294" w:rsidP="001A5D4A">
            <w:pPr>
              <w:pStyle w:val="NotesTable-CellPlain"/>
            </w:pPr>
            <w:r w:rsidRPr="000A11B4">
              <w:t>–</w:t>
            </w:r>
          </w:p>
        </w:tc>
        <w:tc>
          <w:tcPr>
            <w:tcW w:w="404" w:type="pct"/>
          </w:tcPr>
          <w:p w14:paraId="547B4D95" w14:textId="77777777" w:rsidR="00213294" w:rsidRPr="00213294" w:rsidRDefault="00213294" w:rsidP="001A5D4A">
            <w:pPr>
              <w:pStyle w:val="NotesTable-CellPlain"/>
            </w:pPr>
            <w:r w:rsidRPr="000A11B4">
              <w:t>–</w:t>
            </w:r>
          </w:p>
        </w:tc>
      </w:tr>
      <w:tr w:rsidR="00213294" w:rsidRPr="00BC1814" w14:paraId="3BA674CA" w14:textId="77777777" w:rsidTr="00AA2125">
        <w:trPr>
          <w:cantSplit/>
          <w:trHeight w:val="161"/>
        </w:trPr>
        <w:tc>
          <w:tcPr>
            <w:tcW w:w="811" w:type="pct"/>
            <w:vAlign w:val="bottom"/>
          </w:tcPr>
          <w:p w14:paraId="02DC20E7" w14:textId="77777777" w:rsidR="00213294" w:rsidRPr="00213294" w:rsidRDefault="00213294" w:rsidP="001A5D4A">
            <w:pPr>
              <w:pStyle w:val="Note-Refs"/>
            </w:pPr>
            <w:r>
              <w:t>AASB119.141d</w:t>
            </w:r>
          </w:p>
        </w:tc>
        <w:tc>
          <w:tcPr>
            <w:tcW w:w="2296" w:type="pct"/>
            <w:vAlign w:val="bottom"/>
          </w:tcPr>
          <w:p w14:paraId="51E6F30B" w14:textId="77777777" w:rsidR="00213294" w:rsidRPr="00213294" w:rsidRDefault="00213294" w:rsidP="001A5D4A">
            <w:pPr>
              <w:pStyle w:val="NotesTable-ItemPlain"/>
            </w:pPr>
            <w:r w:rsidRPr="00BC1814">
              <w:t>Past service cost</w:t>
            </w:r>
          </w:p>
        </w:tc>
        <w:tc>
          <w:tcPr>
            <w:tcW w:w="271" w:type="pct"/>
          </w:tcPr>
          <w:p w14:paraId="2406BE86" w14:textId="77777777" w:rsidR="00213294" w:rsidRPr="00BC1814" w:rsidRDefault="00213294" w:rsidP="001A5D4A">
            <w:pPr>
              <w:pStyle w:val="NotesTable-Notes"/>
            </w:pPr>
          </w:p>
        </w:tc>
        <w:tc>
          <w:tcPr>
            <w:tcW w:w="406" w:type="pct"/>
          </w:tcPr>
          <w:p w14:paraId="31C7D6C6" w14:textId="77777777" w:rsidR="00213294" w:rsidRPr="00213294" w:rsidRDefault="00213294" w:rsidP="001A5D4A">
            <w:pPr>
              <w:pStyle w:val="NotesTable-CellPlain"/>
            </w:pPr>
            <w:r w:rsidRPr="000A11B4">
              <w:t>–</w:t>
            </w:r>
          </w:p>
        </w:tc>
        <w:tc>
          <w:tcPr>
            <w:tcW w:w="406" w:type="pct"/>
          </w:tcPr>
          <w:p w14:paraId="5A873754" w14:textId="77777777" w:rsidR="00213294" w:rsidRPr="00213294" w:rsidRDefault="00213294" w:rsidP="001A5D4A">
            <w:pPr>
              <w:pStyle w:val="NotesTable-CellPlain"/>
            </w:pPr>
            <w:r w:rsidRPr="000A11B4">
              <w:t>–</w:t>
            </w:r>
          </w:p>
        </w:tc>
        <w:tc>
          <w:tcPr>
            <w:tcW w:w="406" w:type="pct"/>
          </w:tcPr>
          <w:p w14:paraId="106283B6" w14:textId="77777777" w:rsidR="00213294" w:rsidRPr="00213294" w:rsidRDefault="00213294" w:rsidP="001A5D4A">
            <w:pPr>
              <w:pStyle w:val="NotesTable-CellPlain"/>
            </w:pPr>
            <w:r w:rsidRPr="000A11B4">
              <w:t>–</w:t>
            </w:r>
          </w:p>
        </w:tc>
        <w:tc>
          <w:tcPr>
            <w:tcW w:w="404" w:type="pct"/>
          </w:tcPr>
          <w:p w14:paraId="2E6389B3" w14:textId="77777777" w:rsidR="00213294" w:rsidRPr="00213294" w:rsidRDefault="00213294" w:rsidP="001A5D4A">
            <w:pPr>
              <w:pStyle w:val="NotesTable-CellPlain"/>
            </w:pPr>
            <w:r w:rsidRPr="000A11B4">
              <w:t>–</w:t>
            </w:r>
          </w:p>
        </w:tc>
      </w:tr>
      <w:tr w:rsidR="00213294" w:rsidRPr="00BC1814" w14:paraId="1020B329" w14:textId="77777777" w:rsidTr="00AA2125">
        <w:trPr>
          <w:cantSplit/>
          <w:trHeight w:val="161"/>
        </w:trPr>
        <w:tc>
          <w:tcPr>
            <w:tcW w:w="811" w:type="pct"/>
            <w:vAlign w:val="bottom"/>
          </w:tcPr>
          <w:p w14:paraId="7BDB3E46" w14:textId="77777777" w:rsidR="00213294" w:rsidRPr="00213294" w:rsidRDefault="00213294" w:rsidP="001A5D4A">
            <w:pPr>
              <w:pStyle w:val="Note-Refs"/>
            </w:pPr>
            <w:r>
              <w:t>AASB119.141b</w:t>
            </w:r>
          </w:p>
        </w:tc>
        <w:tc>
          <w:tcPr>
            <w:tcW w:w="2296" w:type="pct"/>
            <w:vAlign w:val="bottom"/>
          </w:tcPr>
          <w:p w14:paraId="24F0FBEB" w14:textId="77777777" w:rsidR="00213294" w:rsidRPr="00213294" w:rsidRDefault="00213294" w:rsidP="001A5D4A">
            <w:pPr>
              <w:pStyle w:val="NotesTable-ItemPlain"/>
            </w:pPr>
            <w:r w:rsidRPr="00BC1814">
              <w:t xml:space="preserve">Interest </w:t>
            </w:r>
            <w:r>
              <w:t>expense/(income)</w:t>
            </w:r>
          </w:p>
        </w:tc>
        <w:tc>
          <w:tcPr>
            <w:tcW w:w="271" w:type="pct"/>
          </w:tcPr>
          <w:p w14:paraId="4BFD1CD8" w14:textId="77777777" w:rsidR="00213294" w:rsidRPr="00BC1814" w:rsidRDefault="00213294" w:rsidP="001A5D4A">
            <w:pPr>
              <w:pStyle w:val="NotesTable-Notes"/>
            </w:pPr>
          </w:p>
        </w:tc>
        <w:tc>
          <w:tcPr>
            <w:tcW w:w="406" w:type="pct"/>
          </w:tcPr>
          <w:p w14:paraId="48486655" w14:textId="77777777" w:rsidR="00213294" w:rsidRPr="00213294" w:rsidRDefault="00213294" w:rsidP="001A5D4A">
            <w:pPr>
              <w:pStyle w:val="NotesTable-CellPlain"/>
            </w:pPr>
            <w:r w:rsidRPr="000A11B4">
              <w:t>–</w:t>
            </w:r>
          </w:p>
        </w:tc>
        <w:tc>
          <w:tcPr>
            <w:tcW w:w="406" w:type="pct"/>
          </w:tcPr>
          <w:p w14:paraId="1C8A98E2" w14:textId="77777777" w:rsidR="00213294" w:rsidRPr="00213294" w:rsidRDefault="00213294" w:rsidP="001A5D4A">
            <w:pPr>
              <w:pStyle w:val="NotesTable-CellPlain"/>
            </w:pPr>
            <w:r w:rsidRPr="000A11B4">
              <w:t>–</w:t>
            </w:r>
          </w:p>
        </w:tc>
        <w:tc>
          <w:tcPr>
            <w:tcW w:w="406" w:type="pct"/>
          </w:tcPr>
          <w:p w14:paraId="0C17CCF4" w14:textId="77777777" w:rsidR="00213294" w:rsidRPr="00213294" w:rsidRDefault="00213294" w:rsidP="001A5D4A">
            <w:pPr>
              <w:pStyle w:val="NotesTable-CellPlain"/>
            </w:pPr>
            <w:r w:rsidRPr="000A11B4">
              <w:t>–</w:t>
            </w:r>
          </w:p>
        </w:tc>
        <w:tc>
          <w:tcPr>
            <w:tcW w:w="404" w:type="pct"/>
          </w:tcPr>
          <w:p w14:paraId="081E5E9F" w14:textId="77777777" w:rsidR="00213294" w:rsidRPr="00213294" w:rsidRDefault="00213294" w:rsidP="001A5D4A">
            <w:pPr>
              <w:pStyle w:val="NotesTable-CellPlain"/>
            </w:pPr>
            <w:r w:rsidRPr="000A11B4">
              <w:t>–</w:t>
            </w:r>
          </w:p>
        </w:tc>
      </w:tr>
      <w:tr w:rsidR="00213294" w:rsidRPr="000A11B4" w14:paraId="34E983B5" w14:textId="77777777" w:rsidTr="00AA2125">
        <w:trPr>
          <w:cantSplit/>
          <w:trHeight w:val="161"/>
        </w:trPr>
        <w:tc>
          <w:tcPr>
            <w:tcW w:w="811" w:type="pct"/>
            <w:vAlign w:val="bottom"/>
          </w:tcPr>
          <w:p w14:paraId="5185E49D" w14:textId="77777777" w:rsidR="00213294" w:rsidRDefault="00213294" w:rsidP="001A5D4A">
            <w:pPr>
              <w:pStyle w:val="Note-Refs"/>
            </w:pPr>
          </w:p>
        </w:tc>
        <w:tc>
          <w:tcPr>
            <w:tcW w:w="2296" w:type="pct"/>
            <w:vAlign w:val="bottom"/>
          </w:tcPr>
          <w:p w14:paraId="18A04822" w14:textId="77777777" w:rsidR="00213294" w:rsidRDefault="00213294" w:rsidP="001A5D4A">
            <w:pPr>
              <w:pStyle w:val="NotesTable-ItemPlain"/>
            </w:pPr>
          </w:p>
        </w:tc>
        <w:tc>
          <w:tcPr>
            <w:tcW w:w="271" w:type="pct"/>
          </w:tcPr>
          <w:p w14:paraId="57FC05CF" w14:textId="77777777" w:rsidR="00213294" w:rsidRPr="00BC1814" w:rsidRDefault="00213294" w:rsidP="001A5D4A">
            <w:pPr>
              <w:pStyle w:val="NotesTable-Notes"/>
            </w:pPr>
          </w:p>
        </w:tc>
        <w:tc>
          <w:tcPr>
            <w:tcW w:w="406" w:type="pct"/>
          </w:tcPr>
          <w:p w14:paraId="7A77BEA5" w14:textId="77777777" w:rsidR="00213294" w:rsidRPr="000A11B4" w:rsidRDefault="00213294" w:rsidP="001A5D4A">
            <w:pPr>
              <w:pStyle w:val="NotesTable-CellPlain"/>
            </w:pPr>
            <w:r w:rsidRPr="000A11B4">
              <w:t>–</w:t>
            </w:r>
          </w:p>
        </w:tc>
        <w:tc>
          <w:tcPr>
            <w:tcW w:w="406" w:type="pct"/>
          </w:tcPr>
          <w:p w14:paraId="5ED9C816" w14:textId="77777777" w:rsidR="00213294" w:rsidRPr="000A11B4" w:rsidRDefault="00213294" w:rsidP="001A5D4A">
            <w:pPr>
              <w:pStyle w:val="NotesTable-CellPlain"/>
            </w:pPr>
            <w:r w:rsidRPr="000A11B4">
              <w:t>–</w:t>
            </w:r>
          </w:p>
        </w:tc>
        <w:tc>
          <w:tcPr>
            <w:tcW w:w="406" w:type="pct"/>
          </w:tcPr>
          <w:p w14:paraId="63DDCF7A" w14:textId="77777777" w:rsidR="00213294" w:rsidRPr="000A11B4" w:rsidRDefault="00213294" w:rsidP="001A5D4A">
            <w:pPr>
              <w:pStyle w:val="NotesTable-CellPlain"/>
            </w:pPr>
            <w:r w:rsidRPr="000A11B4">
              <w:t>–</w:t>
            </w:r>
          </w:p>
        </w:tc>
        <w:tc>
          <w:tcPr>
            <w:tcW w:w="404" w:type="pct"/>
          </w:tcPr>
          <w:p w14:paraId="4F6D7334" w14:textId="77777777" w:rsidR="00213294" w:rsidRPr="000A11B4" w:rsidRDefault="00213294" w:rsidP="001A5D4A">
            <w:pPr>
              <w:pStyle w:val="NotesTable-CellPlain"/>
            </w:pPr>
            <w:r w:rsidRPr="000A11B4">
              <w:t>–</w:t>
            </w:r>
          </w:p>
        </w:tc>
      </w:tr>
      <w:tr w:rsidR="00213294" w:rsidRPr="00997224" w14:paraId="7D45CF3D" w14:textId="77777777" w:rsidTr="00AA2125">
        <w:trPr>
          <w:cantSplit/>
          <w:trHeight w:val="161"/>
        </w:trPr>
        <w:tc>
          <w:tcPr>
            <w:tcW w:w="811" w:type="pct"/>
            <w:vAlign w:val="bottom"/>
          </w:tcPr>
          <w:p w14:paraId="7D6E8D38" w14:textId="77777777" w:rsidR="00213294" w:rsidRDefault="00213294" w:rsidP="001A5D4A">
            <w:pPr>
              <w:pStyle w:val="Note-Refs"/>
            </w:pPr>
          </w:p>
        </w:tc>
        <w:tc>
          <w:tcPr>
            <w:tcW w:w="2296" w:type="pct"/>
            <w:vAlign w:val="bottom"/>
          </w:tcPr>
          <w:p w14:paraId="152C8EB7" w14:textId="77777777" w:rsidR="00213294" w:rsidRPr="00BC1814" w:rsidRDefault="00213294" w:rsidP="001A5D4A">
            <w:pPr>
              <w:pStyle w:val="NotesTable-ItemPlain"/>
            </w:pPr>
            <w:r>
              <w:t>Remeasurements</w:t>
            </w:r>
          </w:p>
        </w:tc>
        <w:tc>
          <w:tcPr>
            <w:tcW w:w="271" w:type="pct"/>
          </w:tcPr>
          <w:p w14:paraId="696BAF36" w14:textId="77777777" w:rsidR="00213294" w:rsidRPr="00BC1814" w:rsidRDefault="00213294" w:rsidP="001A5D4A">
            <w:pPr>
              <w:pStyle w:val="NotesTable-Notes"/>
            </w:pPr>
          </w:p>
        </w:tc>
        <w:tc>
          <w:tcPr>
            <w:tcW w:w="406" w:type="pct"/>
          </w:tcPr>
          <w:p w14:paraId="632D9550" w14:textId="77777777" w:rsidR="00213294" w:rsidRPr="00997224" w:rsidRDefault="00213294" w:rsidP="001A5D4A">
            <w:pPr>
              <w:pStyle w:val="NotesTable-CellPlain"/>
            </w:pPr>
          </w:p>
        </w:tc>
        <w:tc>
          <w:tcPr>
            <w:tcW w:w="406" w:type="pct"/>
          </w:tcPr>
          <w:p w14:paraId="66C61113" w14:textId="77777777" w:rsidR="00213294" w:rsidRPr="00997224" w:rsidRDefault="00213294" w:rsidP="001A5D4A">
            <w:pPr>
              <w:pStyle w:val="NotesTable-CellPlain"/>
            </w:pPr>
          </w:p>
        </w:tc>
        <w:tc>
          <w:tcPr>
            <w:tcW w:w="406" w:type="pct"/>
          </w:tcPr>
          <w:p w14:paraId="5789FF23" w14:textId="77777777" w:rsidR="00213294" w:rsidRPr="00997224" w:rsidRDefault="00213294" w:rsidP="001A5D4A">
            <w:pPr>
              <w:pStyle w:val="NotesTable-CellPlain"/>
            </w:pPr>
          </w:p>
        </w:tc>
        <w:tc>
          <w:tcPr>
            <w:tcW w:w="404" w:type="pct"/>
          </w:tcPr>
          <w:p w14:paraId="640DB782" w14:textId="77777777" w:rsidR="00213294" w:rsidRPr="00997224" w:rsidRDefault="00213294" w:rsidP="001A5D4A">
            <w:pPr>
              <w:pStyle w:val="NotesTable-CellPlain"/>
            </w:pPr>
          </w:p>
        </w:tc>
      </w:tr>
      <w:tr w:rsidR="00213294" w:rsidRPr="00BC1814" w14:paraId="3AE71A67" w14:textId="77777777" w:rsidTr="00AA2125">
        <w:trPr>
          <w:cantSplit/>
          <w:trHeight w:val="161"/>
        </w:trPr>
        <w:tc>
          <w:tcPr>
            <w:tcW w:w="811" w:type="pct"/>
            <w:vAlign w:val="bottom"/>
          </w:tcPr>
          <w:p w14:paraId="7A2C4F44" w14:textId="77777777" w:rsidR="00213294" w:rsidRPr="00213294" w:rsidRDefault="00213294" w:rsidP="001A5D4A">
            <w:pPr>
              <w:pStyle w:val="Note-Refs"/>
            </w:pPr>
            <w:r>
              <w:t>AASB119.141c(i)</w:t>
            </w:r>
          </w:p>
        </w:tc>
        <w:tc>
          <w:tcPr>
            <w:tcW w:w="2296" w:type="pct"/>
            <w:vAlign w:val="bottom"/>
          </w:tcPr>
          <w:p w14:paraId="10E9EA81" w14:textId="77777777" w:rsidR="00213294" w:rsidRPr="00213294" w:rsidRDefault="00213294" w:rsidP="001A5D4A">
            <w:pPr>
              <w:pStyle w:val="Note-Text"/>
            </w:pPr>
            <w:r>
              <w:t>Return on plan assets, excluding amounts included in interest expense</w:t>
            </w:r>
          </w:p>
        </w:tc>
        <w:tc>
          <w:tcPr>
            <w:tcW w:w="271" w:type="pct"/>
          </w:tcPr>
          <w:p w14:paraId="78D601A5" w14:textId="77777777" w:rsidR="00213294" w:rsidRPr="00BC1814" w:rsidRDefault="00213294" w:rsidP="001A5D4A">
            <w:pPr>
              <w:pStyle w:val="NotesTable-Notes"/>
            </w:pPr>
          </w:p>
        </w:tc>
        <w:tc>
          <w:tcPr>
            <w:tcW w:w="406" w:type="pct"/>
          </w:tcPr>
          <w:p w14:paraId="450A0C47" w14:textId="77777777" w:rsidR="00213294" w:rsidRPr="00213294" w:rsidRDefault="00213294" w:rsidP="001A5D4A">
            <w:pPr>
              <w:pStyle w:val="NotesTable-CellPlain"/>
            </w:pPr>
            <w:r w:rsidRPr="002A72F5">
              <w:t>–</w:t>
            </w:r>
          </w:p>
        </w:tc>
        <w:tc>
          <w:tcPr>
            <w:tcW w:w="406" w:type="pct"/>
          </w:tcPr>
          <w:p w14:paraId="2D85EADE" w14:textId="77777777" w:rsidR="00213294" w:rsidRPr="00213294" w:rsidRDefault="00213294" w:rsidP="001A5D4A">
            <w:pPr>
              <w:pStyle w:val="NotesTable-CellPlain"/>
            </w:pPr>
            <w:r w:rsidRPr="002A72F5">
              <w:t>–</w:t>
            </w:r>
          </w:p>
        </w:tc>
        <w:tc>
          <w:tcPr>
            <w:tcW w:w="406" w:type="pct"/>
          </w:tcPr>
          <w:p w14:paraId="05900FC8" w14:textId="77777777" w:rsidR="00213294" w:rsidRPr="00213294" w:rsidRDefault="00213294" w:rsidP="001A5D4A">
            <w:pPr>
              <w:pStyle w:val="NotesTable-CellPlain"/>
            </w:pPr>
            <w:r w:rsidRPr="002A72F5">
              <w:t>–</w:t>
            </w:r>
          </w:p>
        </w:tc>
        <w:tc>
          <w:tcPr>
            <w:tcW w:w="404" w:type="pct"/>
          </w:tcPr>
          <w:p w14:paraId="02BA29ED" w14:textId="77777777" w:rsidR="00213294" w:rsidRPr="00213294" w:rsidRDefault="00213294" w:rsidP="001A5D4A">
            <w:pPr>
              <w:pStyle w:val="NotesTable-CellPlain"/>
            </w:pPr>
            <w:r w:rsidRPr="002A72F5">
              <w:t>–</w:t>
            </w:r>
          </w:p>
        </w:tc>
      </w:tr>
      <w:tr w:rsidR="00AA49CC" w:rsidRPr="00BC1814" w14:paraId="66A71A9D" w14:textId="77777777" w:rsidTr="00AA2125">
        <w:trPr>
          <w:cantSplit/>
          <w:trHeight w:val="161"/>
        </w:trPr>
        <w:tc>
          <w:tcPr>
            <w:tcW w:w="811" w:type="pct"/>
          </w:tcPr>
          <w:p w14:paraId="1DFAC510" w14:textId="77777777" w:rsidR="00AA49CC" w:rsidRDefault="00AA49CC" w:rsidP="001A5D4A">
            <w:pPr>
              <w:pStyle w:val="Note-Refs"/>
              <w:rPr>
                <w:b/>
              </w:rPr>
            </w:pPr>
            <w:r>
              <w:t>AASB119.141c(ii)</w:t>
            </w:r>
          </w:p>
        </w:tc>
        <w:tc>
          <w:tcPr>
            <w:tcW w:w="2296" w:type="pct"/>
            <w:vAlign w:val="bottom"/>
          </w:tcPr>
          <w:p w14:paraId="3866B29B" w14:textId="77777777" w:rsidR="00AA49CC" w:rsidRPr="00BC1814" w:rsidRDefault="00AA49CC" w:rsidP="001A5D4A">
            <w:pPr>
              <w:pStyle w:val="Note-Text"/>
              <w:rPr>
                <w:b/>
                <w:lang w:val="en-GB"/>
              </w:rPr>
            </w:pPr>
            <w:r w:rsidRPr="00BC1814">
              <w:t xml:space="preserve">Actuarial losses/(gains) </w:t>
            </w:r>
            <w:r>
              <w:t>arising from changes in demographic assumptions</w:t>
            </w:r>
          </w:p>
        </w:tc>
        <w:tc>
          <w:tcPr>
            <w:tcW w:w="271" w:type="pct"/>
          </w:tcPr>
          <w:p w14:paraId="56DEBC33" w14:textId="77777777" w:rsidR="00AA49CC" w:rsidRPr="00BC1814" w:rsidRDefault="00AA49CC" w:rsidP="001A5D4A">
            <w:pPr>
              <w:pStyle w:val="NotesTable-Notes"/>
            </w:pPr>
          </w:p>
        </w:tc>
        <w:tc>
          <w:tcPr>
            <w:tcW w:w="406" w:type="pct"/>
            <w:vAlign w:val="bottom"/>
          </w:tcPr>
          <w:p w14:paraId="39E6CCD7" w14:textId="77777777" w:rsidR="00AA49CC" w:rsidRPr="00BC1814" w:rsidRDefault="00AA49CC" w:rsidP="001A5D4A">
            <w:pPr>
              <w:pStyle w:val="NotesTable-CellPlain"/>
              <w:rPr>
                <w:b/>
              </w:rPr>
            </w:pPr>
            <w:r w:rsidRPr="000A11B4">
              <w:t>–</w:t>
            </w:r>
          </w:p>
        </w:tc>
        <w:tc>
          <w:tcPr>
            <w:tcW w:w="406" w:type="pct"/>
            <w:vAlign w:val="bottom"/>
          </w:tcPr>
          <w:p w14:paraId="664D258D" w14:textId="77777777" w:rsidR="00AA49CC" w:rsidRPr="00BC1814" w:rsidRDefault="00AA49CC" w:rsidP="001A5D4A">
            <w:pPr>
              <w:pStyle w:val="NotesTable-CellPlain"/>
              <w:rPr>
                <w:b/>
              </w:rPr>
            </w:pPr>
            <w:r w:rsidRPr="000A11B4">
              <w:t>–</w:t>
            </w:r>
          </w:p>
        </w:tc>
        <w:tc>
          <w:tcPr>
            <w:tcW w:w="406" w:type="pct"/>
            <w:vAlign w:val="bottom"/>
          </w:tcPr>
          <w:p w14:paraId="38A67D12" w14:textId="77777777" w:rsidR="00AA49CC" w:rsidRPr="00BC1814" w:rsidRDefault="00AA49CC" w:rsidP="001A5D4A">
            <w:pPr>
              <w:pStyle w:val="NotesTable-CellPlain"/>
              <w:rPr>
                <w:b/>
              </w:rPr>
            </w:pPr>
            <w:r w:rsidRPr="000A11B4">
              <w:t>–</w:t>
            </w:r>
          </w:p>
        </w:tc>
        <w:tc>
          <w:tcPr>
            <w:tcW w:w="404" w:type="pct"/>
            <w:vAlign w:val="bottom"/>
          </w:tcPr>
          <w:p w14:paraId="6618F620" w14:textId="77777777" w:rsidR="00AA49CC" w:rsidRPr="00BC1814" w:rsidRDefault="00AA49CC" w:rsidP="001A5D4A">
            <w:pPr>
              <w:pStyle w:val="NotesTable-CellPlain"/>
              <w:rPr>
                <w:b/>
              </w:rPr>
            </w:pPr>
            <w:r w:rsidRPr="000A11B4">
              <w:t>–</w:t>
            </w:r>
          </w:p>
        </w:tc>
      </w:tr>
      <w:tr w:rsidR="00AA49CC" w:rsidRPr="000A11B4" w14:paraId="5BC73AAF" w14:textId="77777777" w:rsidTr="00AA2125">
        <w:trPr>
          <w:cantSplit/>
          <w:trHeight w:val="161"/>
        </w:trPr>
        <w:tc>
          <w:tcPr>
            <w:tcW w:w="811" w:type="pct"/>
          </w:tcPr>
          <w:p w14:paraId="33B4F5F1" w14:textId="77777777" w:rsidR="00AA49CC" w:rsidRDefault="00AA49CC" w:rsidP="001A5D4A">
            <w:pPr>
              <w:pStyle w:val="Note-Refs"/>
            </w:pPr>
            <w:r>
              <w:t>AASB119.141c(iii)</w:t>
            </w:r>
          </w:p>
        </w:tc>
        <w:tc>
          <w:tcPr>
            <w:tcW w:w="2296" w:type="pct"/>
            <w:vAlign w:val="bottom"/>
          </w:tcPr>
          <w:p w14:paraId="404BF086" w14:textId="77777777" w:rsidR="00AA49CC" w:rsidRPr="00BC1814" w:rsidRDefault="00AA49CC" w:rsidP="001A5D4A">
            <w:pPr>
              <w:pStyle w:val="Note-Text"/>
              <w:rPr>
                <w:b/>
                <w:lang w:val="en-GB"/>
              </w:rPr>
            </w:pPr>
            <w:r>
              <w:t>Actuarial losses/(gains) arising from changes in financial assumptions</w:t>
            </w:r>
          </w:p>
        </w:tc>
        <w:tc>
          <w:tcPr>
            <w:tcW w:w="271" w:type="pct"/>
          </w:tcPr>
          <w:p w14:paraId="3C571394" w14:textId="77777777" w:rsidR="00AA49CC" w:rsidRPr="00BC1814" w:rsidRDefault="00AA49CC" w:rsidP="001A5D4A">
            <w:pPr>
              <w:pStyle w:val="Note-Text"/>
            </w:pPr>
          </w:p>
        </w:tc>
        <w:tc>
          <w:tcPr>
            <w:tcW w:w="406" w:type="pct"/>
            <w:vAlign w:val="bottom"/>
          </w:tcPr>
          <w:p w14:paraId="7396F8DE" w14:textId="77777777" w:rsidR="00AA49CC" w:rsidRPr="000A11B4" w:rsidRDefault="00AA49CC" w:rsidP="001A5D4A">
            <w:pPr>
              <w:pStyle w:val="NotesTable-CellPlain"/>
            </w:pPr>
            <w:r w:rsidRPr="000A11B4">
              <w:t>–</w:t>
            </w:r>
          </w:p>
        </w:tc>
        <w:tc>
          <w:tcPr>
            <w:tcW w:w="406" w:type="pct"/>
            <w:vAlign w:val="bottom"/>
          </w:tcPr>
          <w:p w14:paraId="01D65044" w14:textId="77777777" w:rsidR="00AA49CC" w:rsidRPr="000A11B4" w:rsidRDefault="00AA49CC" w:rsidP="001A5D4A">
            <w:pPr>
              <w:pStyle w:val="NotesTable-CellPlain"/>
            </w:pPr>
            <w:r w:rsidRPr="000A11B4">
              <w:t>–</w:t>
            </w:r>
          </w:p>
        </w:tc>
        <w:tc>
          <w:tcPr>
            <w:tcW w:w="406" w:type="pct"/>
            <w:vAlign w:val="bottom"/>
          </w:tcPr>
          <w:p w14:paraId="15D1FEAC" w14:textId="77777777" w:rsidR="00AA49CC" w:rsidRPr="000A11B4" w:rsidRDefault="00AA49CC" w:rsidP="001A5D4A">
            <w:pPr>
              <w:pStyle w:val="NotesTable-CellPlain"/>
            </w:pPr>
            <w:r w:rsidRPr="000A11B4">
              <w:t>–</w:t>
            </w:r>
          </w:p>
        </w:tc>
        <w:tc>
          <w:tcPr>
            <w:tcW w:w="404" w:type="pct"/>
            <w:vAlign w:val="bottom"/>
          </w:tcPr>
          <w:p w14:paraId="3423C848" w14:textId="77777777" w:rsidR="00AA49CC" w:rsidRPr="000A11B4" w:rsidRDefault="00AA49CC" w:rsidP="001A5D4A">
            <w:pPr>
              <w:pStyle w:val="NotesTable-CellPlain"/>
            </w:pPr>
            <w:r w:rsidRPr="000A11B4">
              <w:t>–</w:t>
            </w:r>
          </w:p>
        </w:tc>
      </w:tr>
      <w:tr w:rsidR="00213294" w:rsidRPr="000A11B4" w14:paraId="15E5EC73" w14:textId="77777777" w:rsidTr="00AA2125">
        <w:trPr>
          <w:cantSplit/>
          <w:trHeight w:val="161"/>
        </w:trPr>
        <w:tc>
          <w:tcPr>
            <w:tcW w:w="811" w:type="pct"/>
            <w:vAlign w:val="bottom"/>
          </w:tcPr>
          <w:p w14:paraId="19ADBF91" w14:textId="77777777" w:rsidR="00213294" w:rsidRDefault="00213294" w:rsidP="001A5D4A">
            <w:pPr>
              <w:pStyle w:val="Note-Refs"/>
            </w:pPr>
            <w:r>
              <w:t>AASB119.141c(iv)</w:t>
            </w:r>
          </w:p>
        </w:tc>
        <w:tc>
          <w:tcPr>
            <w:tcW w:w="2296" w:type="pct"/>
            <w:vAlign w:val="bottom"/>
          </w:tcPr>
          <w:p w14:paraId="399ADF77" w14:textId="77777777" w:rsidR="00213294" w:rsidRDefault="00213294" w:rsidP="001A5D4A">
            <w:pPr>
              <w:pStyle w:val="Note-Text"/>
            </w:pPr>
            <w:r>
              <w:t>Experience (gains)/losses</w:t>
            </w:r>
          </w:p>
        </w:tc>
        <w:tc>
          <w:tcPr>
            <w:tcW w:w="271" w:type="pct"/>
          </w:tcPr>
          <w:p w14:paraId="057B9E24" w14:textId="77777777" w:rsidR="00213294" w:rsidRPr="00BC1814" w:rsidRDefault="00213294" w:rsidP="001A5D4A">
            <w:pPr>
              <w:pStyle w:val="NotesTable-Notes"/>
            </w:pPr>
          </w:p>
        </w:tc>
        <w:tc>
          <w:tcPr>
            <w:tcW w:w="406" w:type="pct"/>
          </w:tcPr>
          <w:p w14:paraId="726E909C" w14:textId="77777777" w:rsidR="00213294" w:rsidRPr="000A11B4" w:rsidRDefault="00213294" w:rsidP="001A5D4A">
            <w:pPr>
              <w:pStyle w:val="NotesTable-CellPlain"/>
            </w:pPr>
            <w:r w:rsidRPr="002A72F5">
              <w:t>–</w:t>
            </w:r>
          </w:p>
        </w:tc>
        <w:tc>
          <w:tcPr>
            <w:tcW w:w="406" w:type="pct"/>
          </w:tcPr>
          <w:p w14:paraId="16AEA018" w14:textId="77777777" w:rsidR="00213294" w:rsidRPr="000A11B4" w:rsidRDefault="00213294" w:rsidP="001A5D4A">
            <w:pPr>
              <w:pStyle w:val="NotesTable-CellPlain"/>
            </w:pPr>
            <w:r w:rsidRPr="002A72F5">
              <w:t>–</w:t>
            </w:r>
          </w:p>
        </w:tc>
        <w:tc>
          <w:tcPr>
            <w:tcW w:w="406" w:type="pct"/>
          </w:tcPr>
          <w:p w14:paraId="44407017" w14:textId="77777777" w:rsidR="00213294" w:rsidRPr="000A11B4" w:rsidRDefault="00213294" w:rsidP="001A5D4A">
            <w:pPr>
              <w:pStyle w:val="NotesTable-CellPlain"/>
            </w:pPr>
            <w:r w:rsidRPr="002A72F5">
              <w:t>–</w:t>
            </w:r>
          </w:p>
        </w:tc>
        <w:tc>
          <w:tcPr>
            <w:tcW w:w="404" w:type="pct"/>
          </w:tcPr>
          <w:p w14:paraId="7719051C" w14:textId="77777777" w:rsidR="00213294" w:rsidRPr="000A11B4" w:rsidRDefault="00213294" w:rsidP="001A5D4A">
            <w:pPr>
              <w:pStyle w:val="NotesTable-CellPlain"/>
            </w:pPr>
            <w:r w:rsidRPr="002A72F5">
              <w:t>–</w:t>
            </w:r>
          </w:p>
        </w:tc>
      </w:tr>
      <w:tr w:rsidR="00213294" w:rsidRPr="000A11B4" w14:paraId="4591B9F5" w14:textId="77777777" w:rsidTr="00AA2125">
        <w:trPr>
          <w:cantSplit/>
          <w:trHeight w:val="161"/>
        </w:trPr>
        <w:tc>
          <w:tcPr>
            <w:tcW w:w="811" w:type="pct"/>
            <w:vAlign w:val="bottom"/>
          </w:tcPr>
          <w:p w14:paraId="30ACB332" w14:textId="77777777" w:rsidR="00213294" w:rsidRDefault="00213294" w:rsidP="001A5D4A">
            <w:pPr>
              <w:pStyle w:val="Note-Refs"/>
            </w:pPr>
          </w:p>
        </w:tc>
        <w:tc>
          <w:tcPr>
            <w:tcW w:w="2296" w:type="pct"/>
            <w:vAlign w:val="bottom"/>
          </w:tcPr>
          <w:p w14:paraId="6C636093" w14:textId="77777777" w:rsidR="00213294" w:rsidRPr="00BC1814" w:rsidRDefault="00213294" w:rsidP="001A5D4A">
            <w:pPr>
              <w:pStyle w:val="NotesTable-ItemPlain"/>
            </w:pPr>
          </w:p>
        </w:tc>
        <w:tc>
          <w:tcPr>
            <w:tcW w:w="271" w:type="pct"/>
          </w:tcPr>
          <w:p w14:paraId="3B7CD852" w14:textId="77777777" w:rsidR="00213294" w:rsidRPr="00BC1814" w:rsidRDefault="00213294" w:rsidP="001A5D4A">
            <w:pPr>
              <w:pStyle w:val="NotesTable-Notes"/>
            </w:pPr>
          </w:p>
        </w:tc>
        <w:tc>
          <w:tcPr>
            <w:tcW w:w="406" w:type="pct"/>
          </w:tcPr>
          <w:p w14:paraId="3F839170" w14:textId="77777777" w:rsidR="00213294" w:rsidRPr="000A11B4" w:rsidRDefault="00213294" w:rsidP="001A5D4A">
            <w:pPr>
              <w:pStyle w:val="NotesTable-CellPlain"/>
            </w:pPr>
            <w:r w:rsidRPr="002A72F5">
              <w:t>–</w:t>
            </w:r>
          </w:p>
        </w:tc>
        <w:tc>
          <w:tcPr>
            <w:tcW w:w="406" w:type="pct"/>
          </w:tcPr>
          <w:p w14:paraId="356F52C0" w14:textId="77777777" w:rsidR="00213294" w:rsidRPr="000A11B4" w:rsidRDefault="00213294" w:rsidP="001A5D4A">
            <w:pPr>
              <w:pStyle w:val="NotesTable-CellPlain"/>
            </w:pPr>
            <w:r w:rsidRPr="002A72F5">
              <w:t>–</w:t>
            </w:r>
          </w:p>
        </w:tc>
        <w:tc>
          <w:tcPr>
            <w:tcW w:w="406" w:type="pct"/>
          </w:tcPr>
          <w:p w14:paraId="0AC65A28" w14:textId="77777777" w:rsidR="00213294" w:rsidRPr="000A11B4" w:rsidRDefault="00213294" w:rsidP="001A5D4A">
            <w:pPr>
              <w:pStyle w:val="NotesTable-CellPlain"/>
            </w:pPr>
            <w:r w:rsidRPr="002A72F5">
              <w:t>–</w:t>
            </w:r>
          </w:p>
        </w:tc>
        <w:tc>
          <w:tcPr>
            <w:tcW w:w="404" w:type="pct"/>
          </w:tcPr>
          <w:p w14:paraId="767D722A" w14:textId="77777777" w:rsidR="00213294" w:rsidRPr="000A11B4" w:rsidRDefault="00213294" w:rsidP="001A5D4A">
            <w:pPr>
              <w:pStyle w:val="NotesTable-CellPlain"/>
            </w:pPr>
            <w:r w:rsidRPr="002A72F5">
              <w:t>–</w:t>
            </w:r>
          </w:p>
        </w:tc>
      </w:tr>
      <w:tr w:rsidR="00213294" w:rsidRPr="00BC1814" w14:paraId="738742B5" w14:textId="77777777" w:rsidTr="00AA2125">
        <w:trPr>
          <w:cantSplit/>
          <w:trHeight w:val="161"/>
        </w:trPr>
        <w:tc>
          <w:tcPr>
            <w:tcW w:w="811" w:type="pct"/>
            <w:vAlign w:val="bottom"/>
          </w:tcPr>
          <w:p w14:paraId="0297B9DC" w14:textId="77777777" w:rsidR="00213294" w:rsidRPr="00213294" w:rsidRDefault="00213294" w:rsidP="001A5D4A">
            <w:pPr>
              <w:pStyle w:val="Note-Refs"/>
            </w:pPr>
            <w:r>
              <w:t>AASB119.141e</w:t>
            </w:r>
          </w:p>
        </w:tc>
        <w:tc>
          <w:tcPr>
            <w:tcW w:w="2296" w:type="pct"/>
            <w:vAlign w:val="bottom"/>
          </w:tcPr>
          <w:p w14:paraId="11C1D5D6" w14:textId="77777777" w:rsidR="00213294" w:rsidRPr="00213294" w:rsidRDefault="00213294" w:rsidP="001A5D4A">
            <w:pPr>
              <w:pStyle w:val="NotesTable-ItemPlain"/>
            </w:pPr>
            <w:r w:rsidRPr="00BC1814">
              <w:t>Exchange differences on foreign plans</w:t>
            </w:r>
          </w:p>
        </w:tc>
        <w:tc>
          <w:tcPr>
            <w:tcW w:w="271" w:type="pct"/>
          </w:tcPr>
          <w:p w14:paraId="54352CF7" w14:textId="77777777" w:rsidR="00213294" w:rsidRPr="00BC1814" w:rsidRDefault="00213294" w:rsidP="001A5D4A">
            <w:pPr>
              <w:pStyle w:val="NotesTable-Notes"/>
            </w:pPr>
          </w:p>
        </w:tc>
        <w:tc>
          <w:tcPr>
            <w:tcW w:w="406" w:type="pct"/>
          </w:tcPr>
          <w:p w14:paraId="170ACF62" w14:textId="77777777" w:rsidR="00213294" w:rsidRPr="00213294" w:rsidRDefault="00213294" w:rsidP="001A5D4A">
            <w:pPr>
              <w:pStyle w:val="NotesTable-CellPlain"/>
            </w:pPr>
            <w:r w:rsidRPr="00997224">
              <w:t>–</w:t>
            </w:r>
          </w:p>
        </w:tc>
        <w:tc>
          <w:tcPr>
            <w:tcW w:w="406" w:type="pct"/>
          </w:tcPr>
          <w:p w14:paraId="14C2994D" w14:textId="77777777" w:rsidR="00213294" w:rsidRPr="00213294" w:rsidRDefault="00213294" w:rsidP="001A5D4A">
            <w:pPr>
              <w:pStyle w:val="NotesTable-CellPlain"/>
            </w:pPr>
            <w:r w:rsidRPr="00997224">
              <w:t>–</w:t>
            </w:r>
          </w:p>
        </w:tc>
        <w:tc>
          <w:tcPr>
            <w:tcW w:w="406" w:type="pct"/>
          </w:tcPr>
          <w:p w14:paraId="087FE961" w14:textId="77777777" w:rsidR="00213294" w:rsidRPr="00213294" w:rsidRDefault="00213294" w:rsidP="001A5D4A">
            <w:pPr>
              <w:pStyle w:val="NotesTable-CellPlain"/>
            </w:pPr>
            <w:r w:rsidRPr="00997224">
              <w:t>–</w:t>
            </w:r>
          </w:p>
        </w:tc>
        <w:tc>
          <w:tcPr>
            <w:tcW w:w="404" w:type="pct"/>
          </w:tcPr>
          <w:p w14:paraId="2E28EFE0" w14:textId="77777777" w:rsidR="00213294" w:rsidRPr="00213294" w:rsidRDefault="00213294" w:rsidP="001A5D4A">
            <w:pPr>
              <w:pStyle w:val="NotesTable-CellPlain"/>
            </w:pPr>
            <w:r w:rsidRPr="00997224">
              <w:t>–</w:t>
            </w:r>
          </w:p>
        </w:tc>
      </w:tr>
      <w:tr w:rsidR="00213294" w:rsidRPr="00997224" w14:paraId="327C28E3" w14:textId="77777777" w:rsidTr="00AA2125">
        <w:trPr>
          <w:cantSplit/>
          <w:trHeight w:val="161"/>
        </w:trPr>
        <w:tc>
          <w:tcPr>
            <w:tcW w:w="811" w:type="pct"/>
            <w:vAlign w:val="bottom"/>
          </w:tcPr>
          <w:p w14:paraId="27170DE5" w14:textId="77777777" w:rsidR="00213294" w:rsidRDefault="00213294" w:rsidP="001A5D4A">
            <w:pPr>
              <w:pStyle w:val="Note-Refs"/>
            </w:pPr>
            <w:r>
              <w:t>AASB119.141f</w:t>
            </w:r>
          </w:p>
        </w:tc>
        <w:tc>
          <w:tcPr>
            <w:tcW w:w="2296" w:type="pct"/>
            <w:vAlign w:val="bottom"/>
          </w:tcPr>
          <w:p w14:paraId="3A7CD27F" w14:textId="77777777" w:rsidR="00213294" w:rsidRPr="00BC1814" w:rsidRDefault="00213294" w:rsidP="001A5D4A">
            <w:pPr>
              <w:pStyle w:val="NotesTable-ItemPlain"/>
            </w:pPr>
            <w:r>
              <w:t>Contributions</w:t>
            </w:r>
          </w:p>
        </w:tc>
        <w:tc>
          <w:tcPr>
            <w:tcW w:w="271" w:type="pct"/>
          </w:tcPr>
          <w:p w14:paraId="61A436D7" w14:textId="77777777" w:rsidR="00213294" w:rsidRPr="00BC1814" w:rsidRDefault="00213294" w:rsidP="001A5D4A">
            <w:pPr>
              <w:pStyle w:val="NotesTable-Notes"/>
            </w:pPr>
          </w:p>
        </w:tc>
        <w:tc>
          <w:tcPr>
            <w:tcW w:w="406" w:type="pct"/>
          </w:tcPr>
          <w:p w14:paraId="73D8B4BD" w14:textId="77777777" w:rsidR="00213294" w:rsidRPr="00997224" w:rsidRDefault="00213294" w:rsidP="001A5D4A">
            <w:pPr>
              <w:pStyle w:val="NotesTable-CellPlain"/>
            </w:pPr>
          </w:p>
        </w:tc>
        <w:tc>
          <w:tcPr>
            <w:tcW w:w="406" w:type="pct"/>
          </w:tcPr>
          <w:p w14:paraId="5B9AA04F" w14:textId="77777777" w:rsidR="00213294" w:rsidRPr="00997224" w:rsidRDefault="00213294" w:rsidP="001A5D4A">
            <w:pPr>
              <w:pStyle w:val="NotesTable-CellPlain"/>
            </w:pPr>
          </w:p>
        </w:tc>
        <w:tc>
          <w:tcPr>
            <w:tcW w:w="406" w:type="pct"/>
          </w:tcPr>
          <w:p w14:paraId="5604D4E2" w14:textId="77777777" w:rsidR="00213294" w:rsidRPr="00997224" w:rsidRDefault="00213294" w:rsidP="001A5D4A">
            <w:pPr>
              <w:pStyle w:val="NotesTable-CellPlain"/>
            </w:pPr>
          </w:p>
        </w:tc>
        <w:tc>
          <w:tcPr>
            <w:tcW w:w="404" w:type="pct"/>
          </w:tcPr>
          <w:p w14:paraId="1267C84F" w14:textId="77777777" w:rsidR="00213294" w:rsidRPr="00997224" w:rsidRDefault="00213294" w:rsidP="001A5D4A">
            <w:pPr>
              <w:pStyle w:val="NotesTable-CellPlain"/>
            </w:pPr>
          </w:p>
        </w:tc>
      </w:tr>
      <w:tr w:rsidR="00213294" w:rsidRPr="00BC1814" w14:paraId="1021FBCC" w14:textId="77777777" w:rsidTr="00AA2125">
        <w:trPr>
          <w:cantSplit/>
          <w:trHeight w:val="161"/>
        </w:trPr>
        <w:tc>
          <w:tcPr>
            <w:tcW w:w="811" w:type="pct"/>
            <w:vAlign w:val="bottom"/>
          </w:tcPr>
          <w:p w14:paraId="60394A0E" w14:textId="77777777" w:rsidR="00213294" w:rsidRDefault="00213294" w:rsidP="001A5D4A">
            <w:pPr>
              <w:pStyle w:val="Note-Refs"/>
            </w:pPr>
          </w:p>
        </w:tc>
        <w:tc>
          <w:tcPr>
            <w:tcW w:w="2296" w:type="pct"/>
            <w:vAlign w:val="bottom"/>
          </w:tcPr>
          <w:p w14:paraId="10DAE0C4" w14:textId="77777777" w:rsidR="00213294" w:rsidRPr="00213294" w:rsidRDefault="00213294" w:rsidP="001A5D4A">
            <w:pPr>
              <w:pStyle w:val="Note-Text"/>
            </w:pPr>
            <w:r>
              <w:t>Employers</w:t>
            </w:r>
          </w:p>
        </w:tc>
        <w:tc>
          <w:tcPr>
            <w:tcW w:w="271" w:type="pct"/>
          </w:tcPr>
          <w:p w14:paraId="37ED8556" w14:textId="77777777" w:rsidR="00213294" w:rsidRPr="00BC1814" w:rsidRDefault="00213294" w:rsidP="001A5D4A">
            <w:pPr>
              <w:pStyle w:val="NotesTable-Notes"/>
            </w:pPr>
          </w:p>
        </w:tc>
        <w:tc>
          <w:tcPr>
            <w:tcW w:w="406" w:type="pct"/>
          </w:tcPr>
          <w:p w14:paraId="2E210EAF" w14:textId="77777777" w:rsidR="00213294" w:rsidRPr="00213294" w:rsidRDefault="00213294" w:rsidP="001A5D4A">
            <w:pPr>
              <w:pStyle w:val="NotesTable-CellPlain"/>
            </w:pPr>
            <w:r w:rsidRPr="00997224">
              <w:t>–</w:t>
            </w:r>
          </w:p>
        </w:tc>
        <w:tc>
          <w:tcPr>
            <w:tcW w:w="406" w:type="pct"/>
          </w:tcPr>
          <w:p w14:paraId="453D0C44" w14:textId="77777777" w:rsidR="00213294" w:rsidRPr="00213294" w:rsidRDefault="00213294" w:rsidP="001A5D4A">
            <w:pPr>
              <w:pStyle w:val="NotesTable-CellPlain"/>
            </w:pPr>
            <w:r w:rsidRPr="00997224">
              <w:t>–</w:t>
            </w:r>
          </w:p>
        </w:tc>
        <w:tc>
          <w:tcPr>
            <w:tcW w:w="406" w:type="pct"/>
          </w:tcPr>
          <w:p w14:paraId="520C6B7D" w14:textId="77777777" w:rsidR="00213294" w:rsidRPr="00213294" w:rsidRDefault="00213294" w:rsidP="001A5D4A">
            <w:pPr>
              <w:pStyle w:val="NotesTable-CellPlain"/>
            </w:pPr>
            <w:r w:rsidRPr="00997224">
              <w:t>–</w:t>
            </w:r>
          </w:p>
        </w:tc>
        <w:tc>
          <w:tcPr>
            <w:tcW w:w="404" w:type="pct"/>
          </w:tcPr>
          <w:p w14:paraId="41846BA2" w14:textId="77777777" w:rsidR="00213294" w:rsidRPr="00213294" w:rsidRDefault="00213294" w:rsidP="001A5D4A">
            <w:pPr>
              <w:pStyle w:val="NotesTable-CellPlain"/>
            </w:pPr>
            <w:r w:rsidRPr="00997224">
              <w:t>–</w:t>
            </w:r>
          </w:p>
        </w:tc>
      </w:tr>
      <w:tr w:rsidR="00213294" w:rsidRPr="00BC1814" w14:paraId="1015AC2B" w14:textId="77777777" w:rsidTr="00AA2125">
        <w:trPr>
          <w:cantSplit/>
          <w:trHeight w:val="161"/>
        </w:trPr>
        <w:tc>
          <w:tcPr>
            <w:tcW w:w="811" w:type="pct"/>
            <w:vAlign w:val="bottom"/>
          </w:tcPr>
          <w:p w14:paraId="02C581B4" w14:textId="77777777" w:rsidR="00213294" w:rsidRDefault="00213294" w:rsidP="001A5D4A">
            <w:pPr>
              <w:pStyle w:val="Note-Refs"/>
            </w:pPr>
          </w:p>
        </w:tc>
        <w:tc>
          <w:tcPr>
            <w:tcW w:w="2296" w:type="pct"/>
            <w:vAlign w:val="bottom"/>
          </w:tcPr>
          <w:p w14:paraId="6E0D7988" w14:textId="77777777" w:rsidR="00213294" w:rsidRPr="00213294" w:rsidRDefault="00213294" w:rsidP="001A5D4A">
            <w:pPr>
              <w:pStyle w:val="Note-Text"/>
            </w:pPr>
            <w:r>
              <w:t>Plan participants</w:t>
            </w:r>
          </w:p>
        </w:tc>
        <w:tc>
          <w:tcPr>
            <w:tcW w:w="271" w:type="pct"/>
          </w:tcPr>
          <w:p w14:paraId="15FC3785" w14:textId="77777777" w:rsidR="00213294" w:rsidRPr="00BC1814" w:rsidRDefault="00213294" w:rsidP="001A5D4A">
            <w:pPr>
              <w:pStyle w:val="NotesTable-Notes"/>
            </w:pPr>
          </w:p>
        </w:tc>
        <w:tc>
          <w:tcPr>
            <w:tcW w:w="406" w:type="pct"/>
          </w:tcPr>
          <w:p w14:paraId="07EA9CF2" w14:textId="77777777" w:rsidR="00213294" w:rsidRPr="00213294" w:rsidRDefault="00213294" w:rsidP="001A5D4A">
            <w:pPr>
              <w:pStyle w:val="NotesTable-CellPlain"/>
            </w:pPr>
            <w:r w:rsidRPr="00997224">
              <w:t>–</w:t>
            </w:r>
          </w:p>
        </w:tc>
        <w:tc>
          <w:tcPr>
            <w:tcW w:w="406" w:type="pct"/>
          </w:tcPr>
          <w:p w14:paraId="4E93A929" w14:textId="77777777" w:rsidR="00213294" w:rsidRPr="00213294" w:rsidRDefault="00213294" w:rsidP="001A5D4A">
            <w:pPr>
              <w:pStyle w:val="NotesTable-CellPlain"/>
            </w:pPr>
            <w:r w:rsidRPr="00997224">
              <w:t>–</w:t>
            </w:r>
          </w:p>
        </w:tc>
        <w:tc>
          <w:tcPr>
            <w:tcW w:w="406" w:type="pct"/>
          </w:tcPr>
          <w:p w14:paraId="11CD5B0C" w14:textId="77777777" w:rsidR="00213294" w:rsidRPr="00213294" w:rsidRDefault="00213294" w:rsidP="001A5D4A">
            <w:pPr>
              <w:pStyle w:val="NotesTable-CellPlain"/>
            </w:pPr>
            <w:r w:rsidRPr="00997224">
              <w:t>–</w:t>
            </w:r>
          </w:p>
        </w:tc>
        <w:tc>
          <w:tcPr>
            <w:tcW w:w="404" w:type="pct"/>
          </w:tcPr>
          <w:p w14:paraId="0E2A83F9" w14:textId="77777777" w:rsidR="00213294" w:rsidRPr="00213294" w:rsidRDefault="00213294" w:rsidP="001A5D4A">
            <w:pPr>
              <w:pStyle w:val="NotesTable-CellPlain"/>
            </w:pPr>
            <w:r w:rsidRPr="00997224">
              <w:t>–</w:t>
            </w:r>
          </w:p>
        </w:tc>
      </w:tr>
      <w:tr w:rsidR="00213294" w:rsidRPr="00997224" w14:paraId="77E8523B" w14:textId="77777777" w:rsidTr="00AA2125">
        <w:trPr>
          <w:cantSplit/>
          <w:trHeight w:val="161"/>
        </w:trPr>
        <w:tc>
          <w:tcPr>
            <w:tcW w:w="811" w:type="pct"/>
            <w:vAlign w:val="bottom"/>
          </w:tcPr>
          <w:p w14:paraId="2A7AB6C1" w14:textId="77777777" w:rsidR="00213294" w:rsidRDefault="00213294" w:rsidP="001A5D4A">
            <w:pPr>
              <w:pStyle w:val="Note-Refs"/>
            </w:pPr>
          </w:p>
        </w:tc>
        <w:tc>
          <w:tcPr>
            <w:tcW w:w="2296" w:type="pct"/>
            <w:vAlign w:val="bottom"/>
          </w:tcPr>
          <w:p w14:paraId="40C1C861" w14:textId="77777777" w:rsidR="00213294" w:rsidRDefault="00213294" w:rsidP="001A5D4A">
            <w:pPr>
              <w:pStyle w:val="NotesTable-ItemPlain"/>
            </w:pPr>
          </w:p>
        </w:tc>
        <w:tc>
          <w:tcPr>
            <w:tcW w:w="271" w:type="pct"/>
          </w:tcPr>
          <w:p w14:paraId="653108E7" w14:textId="77777777" w:rsidR="00213294" w:rsidRPr="00BC1814" w:rsidRDefault="00213294" w:rsidP="001A5D4A">
            <w:pPr>
              <w:pStyle w:val="NotesTable-Notes"/>
            </w:pPr>
          </w:p>
        </w:tc>
        <w:tc>
          <w:tcPr>
            <w:tcW w:w="406" w:type="pct"/>
          </w:tcPr>
          <w:p w14:paraId="252F73B1" w14:textId="77777777" w:rsidR="00213294" w:rsidRPr="00997224" w:rsidRDefault="00213294" w:rsidP="001A5D4A">
            <w:pPr>
              <w:pStyle w:val="NotesTable-CellPlain"/>
            </w:pPr>
            <w:r w:rsidRPr="00997224">
              <w:t>–</w:t>
            </w:r>
          </w:p>
        </w:tc>
        <w:tc>
          <w:tcPr>
            <w:tcW w:w="406" w:type="pct"/>
          </w:tcPr>
          <w:p w14:paraId="287604C0" w14:textId="77777777" w:rsidR="00213294" w:rsidRPr="00997224" w:rsidRDefault="00213294" w:rsidP="001A5D4A">
            <w:pPr>
              <w:pStyle w:val="NotesTable-CellPlain"/>
            </w:pPr>
            <w:r w:rsidRPr="00997224">
              <w:t>–</w:t>
            </w:r>
          </w:p>
        </w:tc>
        <w:tc>
          <w:tcPr>
            <w:tcW w:w="406" w:type="pct"/>
          </w:tcPr>
          <w:p w14:paraId="52A0FD1C" w14:textId="77777777" w:rsidR="00213294" w:rsidRPr="00997224" w:rsidRDefault="00213294" w:rsidP="001A5D4A">
            <w:pPr>
              <w:pStyle w:val="NotesTable-CellPlain"/>
            </w:pPr>
            <w:r w:rsidRPr="00997224">
              <w:t>–</w:t>
            </w:r>
          </w:p>
        </w:tc>
        <w:tc>
          <w:tcPr>
            <w:tcW w:w="404" w:type="pct"/>
          </w:tcPr>
          <w:p w14:paraId="051B0054" w14:textId="77777777" w:rsidR="00213294" w:rsidRPr="00997224" w:rsidRDefault="00213294" w:rsidP="001A5D4A">
            <w:pPr>
              <w:pStyle w:val="NotesTable-CellPlain"/>
            </w:pPr>
            <w:r w:rsidRPr="00997224">
              <w:t>–</w:t>
            </w:r>
          </w:p>
        </w:tc>
      </w:tr>
      <w:tr w:rsidR="00213294" w:rsidRPr="00997224" w14:paraId="4C14AB21" w14:textId="77777777" w:rsidTr="00AA2125">
        <w:trPr>
          <w:cantSplit/>
          <w:trHeight w:val="161"/>
        </w:trPr>
        <w:tc>
          <w:tcPr>
            <w:tcW w:w="811" w:type="pct"/>
            <w:vAlign w:val="bottom"/>
          </w:tcPr>
          <w:p w14:paraId="26A798B9" w14:textId="77777777" w:rsidR="00213294" w:rsidRDefault="00213294" w:rsidP="001A5D4A">
            <w:pPr>
              <w:pStyle w:val="Note-Refs"/>
            </w:pPr>
            <w:r>
              <w:t>AASB119.141g</w:t>
            </w:r>
          </w:p>
        </w:tc>
        <w:tc>
          <w:tcPr>
            <w:tcW w:w="2296" w:type="pct"/>
            <w:vAlign w:val="bottom"/>
          </w:tcPr>
          <w:p w14:paraId="069AAB48" w14:textId="77777777" w:rsidR="00213294" w:rsidRPr="00BC1814" w:rsidRDefault="00213294" w:rsidP="001A5D4A">
            <w:pPr>
              <w:pStyle w:val="NotesTable-ItemPlain"/>
            </w:pPr>
            <w:r>
              <w:t>Payments from plan</w:t>
            </w:r>
          </w:p>
        </w:tc>
        <w:tc>
          <w:tcPr>
            <w:tcW w:w="271" w:type="pct"/>
          </w:tcPr>
          <w:p w14:paraId="76A993DD" w14:textId="77777777" w:rsidR="00213294" w:rsidRPr="00BC1814" w:rsidRDefault="00213294" w:rsidP="001A5D4A">
            <w:pPr>
              <w:pStyle w:val="NotesTable-Notes"/>
            </w:pPr>
          </w:p>
        </w:tc>
        <w:tc>
          <w:tcPr>
            <w:tcW w:w="406" w:type="pct"/>
          </w:tcPr>
          <w:p w14:paraId="629A73A7" w14:textId="77777777" w:rsidR="00213294" w:rsidRPr="00997224" w:rsidRDefault="00213294" w:rsidP="001A5D4A">
            <w:pPr>
              <w:pStyle w:val="NotesTable-CellPlain"/>
            </w:pPr>
          </w:p>
        </w:tc>
        <w:tc>
          <w:tcPr>
            <w:tcW w:w="406" w:type="pct"/>
          </w:tcPr>
          <w:p w14:paraId="5A53BCEF" w14:textId="77777777" w:rsidR="00213294" w:rsidRPr="00997224" w:rsidRDefault="00213294" w:rsidP="001A5D4A">
            <w:pPr>
              <w:pStyle w:val="NotesTable-CellPlain"/>
            </w:pPr>
          </w:p>
        </w:tc>
        <w:tc>
          <w:tcPr>
            <w:tcW w:w="406" w:type="pct"/>
          </w:tcPr>
          <w:p w14:paraId="598412E9" w14:textId="77777777" w:rsidR="00213294" w:rsidRPr="00997224" w:rsidRDefault="00213294" w:rsidP="001A5D4A">
            <w:pPr>
              <w:pStyle w:val="NotesTable-CellPlain"/>
            </w:pPr>
          </w:p>
        </w:tc>
        <w:tc>
          <w:tcPr>
            <w:tcW w:w="404" w:type="pct"/>
          </w:tcPr>
          <w:p w14:paraId="3AD658AD" w14:textId="77777777" w:rsidR="00213294" w:rsidRPr="00997224" w:rsidRDefault="00213294" w:rsidP="001A5D4A">
            <w:pPr>
              <w:pStyle w:val="NotesTable-CellPlain"/>
            </w:pPr>
          </w:p>
        </w:tc>
      </w:tr>
      <w:tr w:rsidR="00213294" w:rsidRPr="00BC1814" w14:paraId="0FE7322C" w14:textId="77777777" w:rsidTr="00AA2125">
        <w:trPr>
          <w:cantSplit/>
          <w:trHeight w:val="161"/>
        </w:trPr>
        <w:tc>
          <w:tcPr>
            <w:tcW w:w="811" w:type="pct"/>
            <w:vAlign w:val="bottom"/>
          </w:tcPr>
          <w:p w14:paraId="4FF5F95D" w14:textId="77777777" w:rsidR="00213294" w:rsidRDefault="00213294" w:rsidP="001A5D4A">
            <w:pPr>
              <w:pStyle w:val="Note-Refs"/>
            </w:pPr>
          </w:p>
        </w:tc>
        <w:tc>
          <w:tcPr>
            <w:tcW w:w="2296" w:type="pct"/>
            <w:vAlign w:val="bottom"/>
          </w:tcPr>
          <w:p w14:paraId="2A6C3F9A" w14:textId="77777777" w:rsidR="00213294" w:rsidRPr="00213294" w:rsidRDefault="00213294" w:rsidP="001A5D4A">
            <w:pPr>
              <w:pStyle w:val="Note-Text"/>
            </w:pPr>
            <w:r w:rsidRPr="00BC1814">
              <w:t>Benefits paid</w:t>
            </w:r>
          </w:p>
        </w:tc>
        <w:tc>
          <w:tcPr>
            <w:tcW w:w="271" w:type="pct"/>
          </w:tcPr>
          <w:p w14:paraId="15D0B01E" w14:textId="77777777" w:rsidR="00213294" w:rsidRPr="00BC1814" w:rsidRDefault="00213294" w:rsidP="001A5D4A">
            <w:pPr>
              <w:pStyle w:val="NotesTable-Notes"/>
            </w:pPr>
          </w:p>
        </w:tc>
        <w:tc>
          <w:tcPr>
            <w:tcW w:w="406" w:type="pct"/>
          </w:tcPr>
          <w:p w14:paraId="02013915" w14:textId="77777777" w:rsidR="00213294" w:rsidRPr="00213294" w:rsidRDefault="00213294" w:rsidP="001A5D4A">
            <w:pPr>
              <w:pStyle w:val="NotesTable-CellPlain"/>
            </w:pPr>
            <w:r w:rsidRPr="00997224">
              <w:t>–</w:t>
            </w:r>
          </w:p>
        </w:tc>
        <w:tc>
          <w:tcPr>
            <w:tcW w:w="406" w:type="pct"/>
          </w:tcPr>
          <w:p w14:paraId="03F7875D" w14:textId="77777777" w:rsidR="00213294" w:rsidRPr="00213294" w:rsidRDefault="00213294" w:rsidP="001A5D4A">
            <w:pPr>
              <w:pStyle w:val="NotesTable-CellPlain"/>
            </w:pPr>
            <w:r w:rsidRPr="00997224">
              <w:t>–</w:t>
            </w:r>
          </w:p>
        </w:tc>
        <w:tc>
          <w:tcPr>
            <w:tcW w:w="406" w:type="pct"/>
          </w:tcPr>
          <w:p w14:paraId="4A10BF1F" w14:textId="77777777" w:rsidR="00213294" w:rsidRPr="00213294" w:rsidRDefault="00213294" w:rsidP="001A5D4A">
            <w:pPr>
              <w:pStyle w:val="NotesTable-CellPlain"/>
            </w:pPr>
            <w:r w:rsidRPr="00997224">
              <w:t>–</w:t>
            </w:r>
          </w:p>
        </w:tc>
        <w:tc>
          <w:tcPr>
            <w:tcW w:w="404" w:type="pct"/>
          </w:tcPr>
          <w:p w14:paraId="7F80EBE8" w14:textId="77777777" w:rsidR="00213294" w:rsidRPr="00213294" w:rsidRDefault="00213294" w:rsidP="001A5D4A">
            <w:pPr>
              <w:pStyle w:val="NotesTable-CellPlain"/>
            </w:pPr>
            <w:r w:rsidRPr="00997224">
              <w:t>–</w:t>
            </w:r>
          </w:p>
        </w:tc>
      </w:tr>
      <w:tr w:rsidR="00213294" w:rsidRPr="00BC1814" w14:paraId="2EEABC99" w14:textId="77777777" w:rsidTr="00AA2125">
        <w:trPr>
          <w:cantSplit/>
          <w:trHeight w:val="161"/>
        </w:trPr>
        <w:tc>
          <w:tcPr>
            <w:tcW w:w="811" w:type="pct"/>
            <w:vAlign w:val="bottom"/>
          </w:tcPr>
          <w:p w14:paraId="337C8472" w14:textId="77777777" w:rsidR="00213294" w:rsidRDefault="00213294" w:rsidP="001A5D4A">
            <w:pPr>
              <w:pStyle w:val="Note-Refs"/>
            </w:pPr>
          </w:p>
        </w:tc>
        <w:tc>
          <w:tcPr>
            <w:tcW w:w="2296" w:type="pct"/>
            <w:vAlign w:val="bottom"/>
          </w:tcPr>
          <w:p w14:paraId="4AF1E7AC" w14:textId="77777777" w:rsidR="00213294" w:rsidRPr="00213294" w:rsidRDefault="00213294" w:rsidP="001A5D4A">
            <w:pPr>
              <w:pStyle w:val="Note-Text"/>
            </w:pPr>
            <w:r>
              <w:t>Settlements</w:t>
            </w:r>
            <w:r w:rsidRPr="00BC1814" w:rsidDel="00B44390">
              <w:t xml:space="preserve"> </w:t>
            </w:r>
          </w:p>
        </w:tc>
        <w:tc>
          <w:tcPr>
            <w:tcW w:w="271" w:type="pct"/>
          </w:tcPr>
          <w:p w14:paraId="3D519EA8" w14:textId="77777777" w:rsidR="00213294" w:rsidRPr="00BC1814" w:rsidRDefault="00213294" w:rsidP="001A5D4A">
            <w:pPr>
              <w:pStyle w:val="NotesTable-Notes"/>
            </w:pPr>
          </w:p>
        </w:tc>
        <w:tc>
          <w:tcPr>
            <w:tcW w:w="406" w:type="pct"/>
          </w:tcPr>
          <w:p w14:paraId="7F405F74" w14:textId="77777777" w:rsidR="00213294" w:rsidRPr="00213294" w:rsidRDefault="00213294" w:rsidP="001A5D4A">
            <w:pPr>
              <w:pStyle w:val="NotesTable-CellPlain"/>
            </w:pPr>
            <w:r w:rsidRPr="00997224">
              <w:t>–</w:t>
            </w:r>
          </w:p>
        </w:tc>
        <w:tc>
          <w:tcPr>
            <w:tcW w:w="406" w:type="pct"/>
          </w:tcPr>
          <w:p w14:paraId="639AEFD5" w14:textId="77777777" w:rsidR="00213294" w:rsidRPr="00213294" w:rsidRDefault="00213294" w:rsidP="001A5D4A">
            <w:pPr>
              <w:pStyle w:val="NotesTable-CellPlain"/>
            </w:pPr>
            <w:r w:rsidRPr="00997224">
              <w:t>–</w:t>
            </w:r>
          </w:p>
        </w:tc>
        <w:tc>
          <w:tcPr>
            <w:tcW w:w="406" w:type="pct"/>
          </w:tcPr>
          <w:p w14:paraId="49EFA09C" w14:textId="77777777" w:rsidR="00213294" w:rsidRPr="00213294" w:rsidRDefault="00213294" w:rsidP="001A5D4A">
            <w:pPr>
              <w:pStyle w:val="NotesTable-CellPlain"/>
            </w:pPr>
            <w:r w:rsidRPr="00997224">
              <w:t>–</w:t>
            </w:r>
          </w:p>
        </w:tc>
        <w:tc>
          <w:tcPr>
            <w:tcW w:w="404" w:type="pct"/>
          </w:tcPr>
          <w:p w14:paraId="08F15F89" w14:textId="77777777" w:rsidR="00213294" w:rsidRPr="00213294" w:rsidRDefault="00213294" w:rsidP="001A5D4A">
            <w:pPr>
              <w:pStyle w:val="NotesTable-CellPlain"/>
            </w:pPr>
            <w:r w:rsidRPr="00997224">
              <w:t>–</w:t>
            </w:r>
          </w:p>
        </w:tc>
      </w:tr>
      <w:tr w:rsidR="00213294" w:rsidRPr="00BC1814" w14:paraId="75831579" w14:textId="77777777" w:rsidTr="00AA2125">
        <w:trPr>
          <w:cantSplit/>
          <w:trHeight w:val="161"/>
        </w:trPr>
        <w:tc>
          <w:tcPr>
            <w:tcW w:w="811" w:type="pct"/>
            <w:vAlign w:val="bottom"/>
          </w:tcPr>
          <w:p w14:paraId="7E520B66" w14:textId="77777777" w:rsidR="00213294" w:rsidRDefault="00213294" w:rsidP="001A5D4A">
            <w:pPr>
              <w:pStyle w:val="Note-Refs"/>
            </w:pPr>
          </w:p>
        </w:tc>
        <w:tc>
          <w:tcPr>
            <w:tcW w:w="2296" w:type="pct"/>
            <w:vAlign w:val="bottom"/>
          </w:tcPr>
          <w:p w14:paraId="2C8C55BF" w14:textId="77777777" w:rsidR="00213294" w:rsidRPr="00BC1814" w:rsidRDefault="00213294" w:rsidP="001A5D4A">
            <w:pPr>
              <w:pStyle w:val="NotesTable-ItemPlain"/>
            </w:pPr>
          </w:p>
        </w:tc>
        <w:tc>
          <w:tcPr>
            <w:tcW w:w="271" w:type="pct"/>
          </w:tcPr>
          <w:p w14:paraId="1EC24672" w14:textId="77777777" w:rsidR="00213294" w:rsidRPr="00BC1814" w:rsidRDefault="00213294" w:rsidP="001A5D4A">
            <w:pPr>
              <w:pStyle w:val="NotesTable-Notes"/>
            </w:pPr>
          </w:p>
        </w:tc>
        <w:tc>
          <w:tcPr>
            <w:tcW w:w="406" w:type="pct"/>
          </w:tcPr>
          <w:p w14:paraId="1E1556E3" w14:textId="77777777" w:rsidR="00213294" w:rsidRPr="00213294" w:rsidRDefault="00213294" w:rsidP="001A5D4A">
            <w:pPr>
              <w:pStyle w:val="NotesTable-CellPlain"/>
            </w:pPr>
            <w:r w:rsidRPr="00997224">
              <w:t>–</w:t>
            </w:r>
          </w:p>
        </w:tc>
        <w:tc>
          <w:tcPr>
            <w:tcW w:w="406" w:type="pct"/>
          </w:tcPr>
          <w:p w14:paraId="33B30347" w14:textId="77777777" w:rsidR="00213294" w:rsidRPr="00213294" w:rsidRDefault="00213294" w:rsidP="001A5D4A">
            <w:pPr>
              <w:pStyle w:val="NotesTable-CellPlain"/>
            </w:pPr>
            <w:r w:rsidRPr="00997224">
              <w:t>–</w:t>
            </w:r>
          </w:p>
        </w:tc>
        <w:tc>
          <w:tcPr>
            <w:tcW w:w="406" w:type="pct"/>
          </w:tcPr>
          <w:p w14:paraId="75919933" w14:textId="77777777" w:rsidR="00213294" w:rsidRPr="00213294" w:rsidRDefault="00213294" w:rsidP="001A5D4A">
            <w:pPr>
              <w:pStyle w:val="NotesTable-CellPlain"/>
            </w:pPr>
            <w:r w:rsidRPr="00997224">
              <w:t>–</w:t>
            </w:r>
          </w:p>
        </w:tc>
        <w:tc>
          <w:tcPr>
            <w:tcW w:w="404" w:type="pct"/>
          </w:tcPr>
          <w:p w14:paraId="6DAF34A2" w14:textId="77777777" w:rsidR="00213294" w:rsidRPr="00213294" w:rsidRDefault="00213294" w:rsidP="001A5D4A">
            <w:pPr>
              <w:pStyle w:val="NotesTable-CellPlain"/>
            </w:pPr>
            <w:r w:rsidRPr="00997224">
              <w:t>–</w:t>
            </w:r>
          </w:p>
        </w:tc>
      </w:tr>
      <w:tr w:rsidR="00213294" w:rsidRPr="00997224" w14:paraId="0CA8DFBD" w14:textId="77777777" w:rsidTr="00AA2125">
        <w:trPr>
          <w:cantSplit/>
          <w:trHeight w:val="161"/>
        </w:trPr>
        <w:tc>
          <w:tcPr>
            <w:tcW w:w="811" w:type="pct"/>
            <w:vAlign w:val="bottom"/>
          </w:tcPr>
          <w:p w14:paraId="40DBAF14" w14:textId="77777777" w:rsidR="00213294" w:rsidRDefault="00213294" w:rsidP="001A5D4A">
            <w:pPr>
              <w:pStyle w:val="Note-Refs"/>
            </w:pPr>
            <w:r>
              <w:t>AASB119.141h</w:t>
            </w:r>
          </w:p>
        </w:tc>
        <w:tc>
          <w:tcPr>
            <w:tcW w:w="2296" w:type="pct"/>
            <w:vAlign w:val="bottom"/>
          </w:tcPr>
          <w:p w14:paraId="46D8704D" w14:textId="77777777" w:rsidR="00213294" w:rsidRPr="00BC1814" w:rsidRDefault="00213294" w:rsidP="001A5D4A">
            <w:pPr>
              <w:pStyle w:val="NotesTable-ItemPlain"/>
            </w:pPr>
            <w:r w:rsidRPr="00BC1814">
              <w:t xml:space="preserve">Assets acquired in a business combination </w:t>
            </w:r>
          </w:p>
        </w:tc>
        <w:tc>
          <w:tcPr>
            <w:tcW w:w="271" w:type="pct"/>
          </w:tcPr>
          <w:p w14:paraId="7859123C" w14:textId="77777777" w:rsidR="00213294" w:rsidRPr="00BC1814" w:rsidRDefault="00213294" w:rsidP="001A5D4A">
            <w:pPr>
              <w:pStyle w:val="NotesTable-Notes"/>
            </w:pPr>
            <w:r>
              <w:t>44</w:t>
            </w:r>
          </w:p>
        </w:tc>
        <w:tc>
          <w:tcPr>
            <w:tcW w:w="406" w:type="pct"/>
          </w:tcPr>
          <w:p w14:paraId="0C1D86F4" w14:textId="77777777" w:rsidR="00213294" w:rsidRPr="00997224" w:rsidRDefault="00213294" w:rsidP="001A5D4A">
            <w:pPr>
              <w:pStyle w:val="NotesTable-CellPlain"/>
            </w:pPr>
            <w:r w:rsidRPr="00997224">
              <w:t>–</w:t>
            </w:r>
          </w:p>
        </w:tc>
        <w:tc>
          <w:tcPr>
            <w:tcW w:w="406" w:type="pct"/>
          </w:tcPr>
          <w:p w14:paraId="63CEFB8E" w14:textId="77777777" w:rsidR="00213294" w:rsidRPr="00997224" w:rsidRDefault="00213294" w:rsidP="001A5D4A">
            <w:pPr>
              <w:pStyle w:val="NotesTable-CellPlain"/>
            </w:pPr>
            <w:r w:rsidRPr="00997224">
              <w:t>–</w:t>
            </w:r>
          </w:p>
        </w:tc>
        <w:tc>
          <w:tcPr>
            <w:tcW w:w="406" w:type="pct"/>
          </w:tcPr>
          <w:p w14:paraId="16956A47" w14:textId="77777777" w:rsidR="00213294" w:rsidRPr="00997224" w:rsidRDefault="00213294" w:rsidP="001A5D4A">
            <w:pPr>
              <w:pStyle w:val="NotesTable-CellPlain"/>
            </w:pPr>
            <w:r w:rsidRPr="00997224">
              <w:t>–</w:t>
            </w:r>
          </w:p>
        </w:tc>
        <w:tc>
          <w:tcPr>
            <w:tcW w:w="404" w:type="pct"/>
          </w:tcPr>
          <w:p w14:paraId="7D1AEAA6" w14:textId="77777777" w:rsidR="00213294" w:rsidRPr="00997224" w:rsidRDefault="00213294" w:rsidP="001A5D4A">
            <w:pPr>
              <w:pStyle w:val="NotesTable-CellPlain"/>
            </w:pPr>
            <w:r w:rsidRPr="00997224">
              <w:t>–</w:t>
            </w:r>
          </w:p>
        </w:tc>
      </w:tr>
      <w:tr w:rsidR="00213294" w:rsidRPr="00BC1814" w14:paraId="5B23B1A9" w14:textId="77777777" w:rsidTr="00AA2125">
        <w:trPr>
          <w:cantSplit/>
          <w:trHeight w:val="161"/>
        </w:trPr>
        <w:tc>
          <w:tcPr>
            <w:tcW w:w="811" w:type="pct"/>
            <w:vAlign w:val="bottom"/>
          </w:tcPr>
          <w:p w14:paraId="459C0BAF" w14:textId="77777777" w:rsidR="00213294" w:rsidRPr="00213294" w:rsidRDefault="00213294" w:rsidP="001A5D4A">
            <w:pPr>
              <w:pStyle w:val="Note-Refs"/>
            </w:pPr>
            <w:r>
              <w:t>AASB119.140a(ii)</w:t>
            </w:r>
          </w:p>
        </w:tc>
        <w:tc>
          <w:tcPr>
            <w:tcW w:w="2296" w:type="pct"/>
            <w:vAlign w:val="bottom"/>
          </w:tcPr>
          <w:p w14:paraId="0E7910FE" w14:textId="77777777" w:rsidR="00213294" w:rsidRPr="00213294" w:rsidRDefault="00213294" w:rsidP="001A5D4A">
            <w:pPr>
              <w:pStyle w:val="NotesTable-ItemPlain"/>
            </w:pPr>
            <w:r w:rsidRPr="00BC1814">
              <w:t xml:space="preserve">Closing </w:t>
            </w:r>
            <w:r>
              <w:t>balance</w:t>
            </w:r>
          </w:p>
        </w:tc>
        <w:tc>
          <w:tcPr>
            <w:tcW w:w="271" w:type="pct"/>
          </w:tcPr>
          <w:p w14:paraId="558DA0A3" w14:textId="77777777" w:rsidR="00213294" w:rsidRPr="00BC1814" w:rsidRDefault="00213294" w:rsidP="001A5D4A">
            <w:pPr>
              <w:pStyle w:val="NotesTable-Notes"/>
            </w:pPr>
          </w:p>
        </w:tc>
        <w:tc>
          <w:tcPr>
            <w:tcW w:w="406" w:type="pct"/>
          </w:tcPr>
          <w:p w14:paraId="3558682E" w14:textId="77777777" w:rsidR="00213294" w:rsidRPr="00213294" w:rsidRDefault="00213294" w:rsidP="001A5D4A">
            <w:pPr>
              <w:pStyle w:val="NotesTable-CellPlain"/>
            </w:pPr>
            <w:r w:rsidRPr="00997224">
              <w:t>–</w:t>
            </w:r>
          </w:p>
        </w:tc>
        <w:tc>
          <w:tcPr>
            <w:tcW w:w="406" w:type="pct"/>
          </w:tcPr>
          <w:p w14:paraId="1BA173D2" w14:textId="77777777" w:rsidR="00213294" w:rsidRPr="00213294" w:rsidRDefault="00213294" w:rsidP="001A5D4A">
            <w:pPr>
              <w:pStyle w:val="NotesTable-CellPlain"/>
            </w:pPr>
            <w:r w:rsidRPr="00997224">
              <w:t>–</w:t>
            </w:r>
          </w:p>
        </w:tc>
        <w:tc>
          <w:tcPr>
            <w:tcW w:w="406" w:type="pct"/>
          </w:tcPr>
          <w:p w14:paraId="1BE5013A" w14:textId="77777777" w:rsidR="00213294" w:rsidRPr="00213294" w:rsidRDefault="00213294" w:rsidP="001A5D4A">
            <w:pPr>
              <w:pStyle w:val="NotesTable-CellPlain"/>
            </w:pPr>
            <w:r w:rsidRPr="00997224">
              <w:t>–</w:t>
            </w:r>
          </w:p>
        </w:tc>
        <w:tc>
          <w:tcPr>
            <w:tcW w:w="404" w:type="pct"/>
          </w:tcPr>
          <w:p w14:paraId="3B6CE1EA" w14:textId="77777777" w:rsidR="00213294" w:rsidRPr="00213294" w:rsidRDefault="00213294" w:rsidP="001A5D4A">
            <w:pPr>
              <w:pStyle w:val="NotesTable-CellPlain"/>
            </w:pPr>
            <w:r w:rsidRPr="00997224">
              <w:t>–</w:t>
            </w:r>
          </w:p>
        </w:tc>
      </w:tr>
      <w:tr w:rsidR="00213294" w:rsidRPr="00BC1814" w14:paraId="6E110369" w14:textId="77777777" w:rsidTr="00AA2125">
        <w:trPr>
          <w:cantSplit/>
          <w:trHeight w:val="161"/>
        </w:trPr>
        <w:tc>
          <w:tcPr>
            <w:tcW w:w="811" w:type="pct"/>
            <w:vAlign w:val="bottom"/>
          </w:tcPr>
          <w:p w14:paraId="03639091" w14:textId="77777777" w:rsidR="00213294" w:rsidRDefault="00213294" w:rsidP="001A5D4A">
            <w:pPr>
              <w:pStyle w:val="Note-Refs"/>
            </w:pPr>
          </w:p>
        </w:tc>
        <w:tc>
          <w:tcPr>
            <w:tcW w:w="2296" w:type="pct"/>
            <w:vAlign w:val="bottom"/>
          </w:tcPr>
          <w:p w14:paraId="1DADBAEF" w14:textId="77777777" w:rsidR="00213294" w:rsidRDefault="00213294" w:rsidP="001A5D4A">
            <w:pPr>
              <w:pStyle w:val="NotesTable-ItemPlain"/>
            </w:pPr>
          </w:p>
        </w:tc>
        <w:tc>
          <w:tcPr>
            <w:tcW w:w="271" w:type="pct"/>
          </w:tcPr>
          <w:p w14:paraId="2CE91567" w14:textId="77777777" w:rsidR="00213294" w:rsidRPr="00BC1814" w:rsidRDefault="00213294" w:rsidP="001A5D4A">
            <w:pPr>
              <w:pStyle w:val="NotesTable-Notes"/>
            </w:pPr>
          </w:p>
        </w:tc>
        <w:tc>
          <w:tcPr>
            <w:tcW w:w="406" w:type="pct"/>
            <w:tcBorders>
              <w:top w:val="single" w:sz="4" w:space="0" w:color="auto"/>
            </w:tcBorders>
          </w:tcPr>
          <w:p w14:paraId="04E6DB33" w14:textId="77777777" w:rsidR="00213294" w:rsidRPr="00BC1814" w:rsidRDefault="00213294" w:rsidP="001A5D4A">
            <w:pPr>
              <w:pStyle w:val="NotesTable-CellPlain"/>
            </w:pPr>
          </w:p>
        </w:tc>
        <w:tc>
          <w:tcPr>
            <w:tcW w:w="406" w:type="pct"/>
            <w:tcBorders>
              <w:top w:val="single" w:sz="4" w:space="0" w:color="auto"/>
            </w:tcBorders>
          </w:tcPr>
          <w:p w14:paraId="2773F1A5" w14:textId="77777777" w:rsidR="00213294" w:rsidRPr="00BC1814" w:rsidRDefault="00213294" w:rsidP="001A5D4A">
            <w:pPr>
              <w:pStyle w:val="NotesTable-CellPlain"/>
            </w:pPr>
          </w:p>
        </w:tc>
        <w:tc>
          <w:tcPr>
            <w:tcW w:w="406" w:type="pct"/>
            <w:tcBorders>
              <w:top w:val="single" w:sz="4" w:space="0" w:color="auto"/>
            </w:tcBorders>
          </w:tcPr>
          <w:p w14:paraId="260A10AC" w14:textId="77777777" w:rsidR="00213294" w:rsidRPr="00BC1814" w:rsidRDefault="00213294" w:rsidP="001A5D4A">
            <w:pPr>
              <w:pStyle w:val="NotesTable-CellPlain"/>
            </w:pPr>
          </w:p>
        </w:tc>
        <w:tc>
          <w:tcPr>
            <w:tcW w:w="404" w:type="pct"/>
            <w:tcBorders>
              <w:top w:val="single" w:sz="4" w:space="0" w:color="auto"/>
            </w:tcBorders>
          </w:tcPr>
          <w:p w14:paraId="6B2E6621" w14:textId="77777777" w:rsidR="00213294" w:rsidRPr="00BC1814" w:rsidRDefault="00213294" w:rsidP="001A5D4A">
            <w:pPr>
              <w:pStyle w:val="NotesTable-CellPlain"/>
            </w:pPr>
          </w:p>
        </w:tc>
      </w:tr>
    </w:tbl>
    <w:p w14:paraId="7C34B965" w14:textId="77777777" w:rsidR="00941343" w:rsidRPr="00183B19" w:rsidRDefault="00941343" w:rsidP="001A5D4A">
      <w:r w:rsidRPr="00183B19">
        <w:br w:type="page"/>
      </w:r>
    </w:p>
    <w:tbl>
      <w:tblPr>
        <w:tblW w:w="5000" w:type="pct"/>
        <w:tblCellMar>
          <w:left w:w="0" w:type="dxa"/>
          <w:right w:w="0" w:type="dxa"/>
        </w:tblCellMar>
        <w:tblLook w:val="0000" w:firstRow="0" w:lastRow="0" w:firstColumn="0" w:lastColumn="0" w:noHBand="0" w:noVBand="0"/>
      </w:tblPr>
      <w:tblGrid>
        <w:gridCol w:w="1665"/>
        <w:gridCol w:w="4711"/>
        <w:gridCol w:w="556"/>
        <w:gridCol w:w="833"/>
        <w:gridCol w:w="833"/>
        <w:gridCol w:w="833"/>
        <w:gridCol w:w="829"/>
      </w:tblGrid>
      <w:tr w:rsidR="00AA2125" w14:paraId="073E6DE9" w14:textId="77777777" w:rsidTr="00AA2125">
        <w:trPr>
          <w:cantSplit/>
          <w:trHeight w:val="161"/>
        </w:trPr>
        <w:tc>
          <w:tcPr>
            <w:tcW w:w="5000" w:type="pct"/>
            <w:gridSpan w:val="7"/>
          </w:tcPr>
          <w:p w14:paraId="7DD8F510" w14:textId="5291B3C6" w:rsidR="00AA2125" w:rsidRPr="00183B19" w:rsidRDefault="00AA2125" w:rsidP="00AA2125">
            <w:pPr>
              <w:pStyle w:val="TOC3"/>
              <w:ind w:left="0"/>
            </w:pPr>
            <w:r>
              <w:lastRenderedPageBreak/>
              <w:t xml:space="preserve">Note 52. </w:t>
            </w:r>
            <w:r w:rsidRPr="00183B19">
              <w:t>Defined Benefit Plans (continued)</w:t>
            </w:r>
          </w:p>
        </w:tc>
      </w:tr>
      <w:tr w:rsidR="00E321F1" w:rsidRPr="00BC1814" w14:paraId="70DF9B39" w14:textId="77777777" w:rsidTr="00261A68">
        <w:trPr>
          <w:cantSplit/>
          <w:trHeight w:val="161"/>
        </w:trPr>
        <w:tc>
          <w:tcPr>
            <w:tcW w:w="811" w:type="pct"/>
          </w:tcPr>
          <w:p w14:paraId="010B4A4E" w14:textId="77777777" w:rsidR="00E321F1" w:rsidRDefault="00E321F1" w:rsidP="001A5D4A">
            <w:pPr>
              <w:pStyle w:val="Note-Refs"/>
            </w:pPr>
          </w:p>
        </w:tc>
        <w:tc>
          <w:tcPr>
            <w:tcW w:w="4189" w:type="pct"/>
            <w:gridSpan w:val="6"/>
          </w:tcPr>
          <w:p w14:paraId="292E50D4" w14:textId="77777777" w:rsidR="00E321F1" w:rsidRPr="00BC1814" w:rsidRDefault="00E321F1" w:rsidP="001A5D4A">
            <w:pPr>
              <w:pStyle w:val="Note-TextHeader"/>
            </w:pPr>
            <w:r>
              <w:t>d) Statement of financial position amounts</w:t>
            </w:r>
          </w:p>
        </w:tc>
      </w:tr>
      <w:tr w:rsidR="00E321F1" w:rsidRPr="00BC1814" w14:paraId="090D351B" w14:textId="77777777" w:rsidTr="00AA2125">
        <w:trPr>
          <w:cantSplit/>
          <w:trHeight w:hRule="exact" w:val="85"/>
        </w:trPr>
        <w:tc>
          <w:tcPr>
            <w:tcW w:w="811" w:type="pct"/>
            <w:vAlign w:val="bottom"/>
          </w:tcPr>
          <w:p w14:paraId="4D52C69D" w14:textId="77777777" w:rsidR="00E321F1" w:rsidRDefault="00E321F1" w:rsidP="001A5D4A">
            <w:pPr>
              <w:pStyle w:val="Note-Refs"/>
            </w:pPr>
          </w:p>
        </w:tc>
        <w:tc>
          <w:tcPr>
            <w:tcW w:w="2296" w:type="pct"/>
            <w:vAlign w:val="bottom"/>
          </w:tcPr>
          <w:p w14:paraId="7B9A62A7" w14:textId="77777777" w:rsidR="00E321F1" w:rsidRDefault="00E321F1" w:rsidP="001A5D4A">
            <w:pPr>
              <w:pStyle w:val="NotesTable-ItemBold"/>
            </w:pPr>
          </w:p>
        </w:tc>
        <w:tc>
          <w:tcPr>
            <w:tcW w:w="271" w:type="pct"/>
          </w:tcPr>
          <w:p w14:paraId="6CC796E7" w14:textId="77777777" w:rsidR="00E321F1" w:rsidRPr="00BC1814" w:rsidRDefault="00E321F1" w:rsidP="001A5D4A">
            <w:pPr>
              <w:pStyle w:val="NotesTable-Notes"/>
            </w:pPr>
          </w:p>
        </w:tc>
        <w:tc>
          <w:tcPr>
            <w:tcW w:w="406" w:type="pct"/>
          </w:tcPr>
          <w:p w14:paraId="3FF50DE2" w14:textId="77777777" w:rsidR="00E321F1" w:rsidRPr="00BC1814" w:rsidRDefault="00E321F1" w:rsidP="001A5D4A">
            <w:pPr>
              <w:pStyle w:val="NotesTable-HeadPlain"/>
            </w:pPr>
          </w:p>
        </w:tc>
        <w:tc>
          <w:tcPr>
            <w:tcW w:w="406" w:type="pct"/>
          </w:tcPr>
          <w:p w14:paraId="37227B95" w14:textId="77777777" w:rsidR="00E321F1" w:rsidRPr="00BC1814" w:rsidRDefault="00E321F1" w:rsidP="001A5D4A">
            <w:pPr>
              <w:pStyle w:val="NotesTable-HeadPlain"/>
            </w:pPr>
          </w:p>
        </w:tc>
        <w:tc>
          <w:tcPr>
            <w:tcW w:w="406" w:type="pct"/>
          </w:tcPr>
          <w:p w14:paraId="40EBCCDC" w14:textId="77777777" w:rsidR="00E321F1" w:rsidRPr="00BC1814" w:rsidRDefault="00E321F1" w:rsidP="001A5D4A">
            <w:pPr>
              <w:pStyle w:val="NotesTable-HeadPlain"/>
            </w:pPr>
          </w:p>
        </w:tc>
        <w:tc>
          <w:tcPr>
            <w:tcW w:w="404" w:type="pct"/>
          </w:tcPr>
          <w:p w14:paraId="311EE392" w14:textId="77777777" w:rsidR="00E321F1" w:rsidRPr="00BC1814" w:rsidRDefault="00E321F1" w:rsidP="001A5D4A">
            <w:pPr>
              <w:pStyle w:val="NotesTable-HeadPlain"/>
            </w:pPr>
          </w:p>
        </w:tc>
      </w:tr>
      <w:tr w:rsidR="00E321F1" w:rsidRPr="00BC1814" w14:paraId="6F40943B" w14:textId="77777777" w:rsidTr="00AA2125">
        <w:trPr>
          <w:cantSplit/>
          <w:trHeight w:val="181"/>
        </w:trPr>
        <w:tc>
          <w:tcPr>
            <w:tcW w:w="811" w:type="pct"/>
            <w:vAlign w:val="bottom"/>
          </w:tcPr>
          <w:p w14:paraId="5ABAF0D9" w14:textId="77777777" w:rsidR="00E321F1" w:rsidRDefault="00E321F1" w:rsidP="001A5D4A">
            <w:pPr>
              <w:pStyle w:val="Note-Refs"/>
            </w:pPr>
            <w:r>
              <w:t>EDUCATION</w:t>
            </w:r>
          </w:p>
        </w:tc>
        <w:tc>
          <w:tcPr>
            <w:tcW w:w="2296" w:type="pct"/>
            <w:vAlign w:val="bottom"/>
          </w:tcPr>
          <w:p w14:paraId="50B69CD5" w14:textId="21FE5640" w:rsidR="00E321F1" w:rsidRDefault="00E321F1" w:rsidP="001A5D4A">
            <w:pPr>
              <w:pStyle w:val="NotesTable-ItemBold"/>
            </w:pPr>
            <w:r>
              <w:t>Amounts recognised in the statement of financial position - 2013</w:t>
            </w:r>
          </w:p>
        </w:tc>
        <w:tc>
          <w:tcPr>
            <w:tcW w:w="271" w:type="pct"/>
          </w:tcPr>
          <w:p w14:paraId="08AB75B8" w14:textId="77777777" w:rsidR="00E321F1" w:rsidRPr="00BC1814" w:rsidRDefault="00E321F1" w:rsidP="001A5D4A">
            <w:pPr>
              <w:pStyle w:val="NotesTable-Notes"/>
            </w:pPr>
          </w:p>
        </w:tc>
        <w:tc>
          <w:tcPr>
            <w:tcW w:w="406" w:type="pct"/>
          </w:tcPr>
          <w:p w14:paraId="34CFBB42" w14:textId="77777777" w:rsidR="00E321F1" w:rsidRPr="00BC1814" w:rsidRDefault="00E321F1" w:rsidP="001A5D4A">
            <w:pPr>
              <w:pStyle w:val="NotesTable-HeadPlain"/>
            </w:pPr>
            <w:r w:rsidRPr="00BC1814">
              <w:t>$’000</w:t>
            </w:r>
          </w:p>
        </w:tc>
        <w:tc>
          <w:tcPr>
            <w:tcW w:w="406" w:type="pct"/>
          </w:tcPr>
          <w:p w14:paraId="204F9B49" w14:textId="77777777" w:rsidR="00E321F1" w:rsidRPr="00BC1814" w:rsidRDefault="00E321F1" w:rsidP="001A5D4A">
            <w:pPr>
              <w:pStyle w:val="NotesTable-HeadPlain"/>
            </w:pPr>
            <w:r w:rsidRPr="00BC1814">
              <w:t>$’000</w:t>
            </w:r>
          </w:p>
        </w:tc>
        <w:tc>
          <w:tcPr>
            <w:tcW w:w="406" w:type="pct"/>
          </w:tcPr>
          <w:p w14:paraId="2904FDDD" w14:textId="77777777" w:rsidR="00E321F1" w:rsidRPr="00BC1814" w:rsidRDefault="00E321F1" w:rsidP="001A5D4A">
            <w:pPr>
              <w:pStyle w:val="NotesTable-HeadPlain"/>
            </w:pPr>
            <w:r w:rsidRPr="00BC1814">
              <w:t>$’000</w:t>
            </w:r>
          </w:p>
        </w:tc>
        <w:tc>
          <w:tcPr>
            <w:tcW w:w="404" w:type="pct"/>
          </w:tcPr>
          <w:p w14:paraId="3F8BBF8F" w14:textId="77777777" w:rsidR="00E321F1" w:rsidRPr="00BC1814" w:rsidRDefault="00E321F1" w:rsidP="001A5D4A">
            <w:pPr>
              <w:pStyle w:val="NotesTable-HeadPlain"/>
            </w:pPr>
            <w:r w:rsidRPr="00BC1814">
              <w:t>$’000</w:t>
            </w:r>
          </w:p>
        </w:tc>
      </w:tr>
      <w:tr w:rsidR="00E321F1" w:rsidRPr="00BC1814" w14:paraId="21E52C79" w14:textId="77777777" w:rsidTr="00AA2125">
        <w:trPr>
          <w:cantSplit/>
          <w:trHeight w:val="181"/>
        </w:trPr>
        <w:tc>
          <w:tcPr>
            <w:tcW w:w="811" w:type="pct"/>
            <w:vAlign w:val="bottom"/>
          </w:tcPr>
          <w:p w14:paraId="1B839FFC" w14:textId="77777777" w:rsidR="00E321F1" w:rsidRDefault="00E321F1" w:rsidP="001A5D4A">
            <w:pPr>
              <w:pStyle w:val="Note-Refs"/>
            </w:pPr>
          </w:p>
        </w:tc>
        <w:tc>
          <w:tcPr>
            <w:tcW w:w="2296" w:type="pct"/>
            <w:vAlign w:val="bottom"/>
          </w:tcPr>
          <w:p w14:paraId="239D4676" w14:textId="77777777" w:rsidR="00E321F1" w:rsidRDefault="00E321F1" w:rsidP="001A5D4A">
            <w:pPr>
              <w:pStyle w:val="Note-Text"/>
            </w:pPr>
          </w:p>
        </w:tc>
        <w:tc>
          <w:tcPr>
            <w:tcW w:w="271" w:type="pct"/>
          </w:tcPr>
          <w:p w14:paraId="63A4F462" w14:textId="77777777" w:rsidR="00E321F1" w:rsidRPr="00BC1814" w:rsidRDefault="00E321F1" w:rsidP="001A5D4A">
            <w:pPr>
              <w:pStyle w:val="NotesTable-Notes"/>
            </w:pPr>
          </w:p>
        </w:tc>
        <w:tc>
          <w:tcPr>
            <w:tcW w:w="406" w:type="pct"/>
            <w:vAlign w:val="bottom"/>
          </w:tcPr>
          <w:p w14:paraId="4A40336F" w14:textId="77777777" w:rsidR="00E321F1" w:rsidRPr="00BC1814" w:rsidRDefault="00E321F1" w:rsidP="001A5D4A">
            <w:pPr>
              <w:pStyle w:val="NotesTable-HeadPlain"/>
            </w:pPr>
            <w:r w:rsidRPr="00BC1814">
              <w:t>Fund 1</w:t>
            </w:r>
          </w:p>
        </w:tc>
        <w:tc>
          <w:tcPr>
            <w:tcW w:w="406" w:type="pct"/>
            <w:vAlign w:val="bottom"/>
          </w:tcPr>
          <w:p w14:paraId="1C020F61" w14:textId="77777777" w:rsidR="00E321F1" w:rsidRPr="00BC1814" w:rsidRDefault="00E321F1" w:rsidP="001A5D4A">
            <w:pPr>
              <w:pStyle w:val="NotesTable-HeadPlain"/>
            </w:pPr>
            <w:r w:rsidRPr="00BC1814">
              <w:t>Fund 2</w:t>
            </w:r>
          </w:p>
        </w:tc>
        <w:tc>
          <w:tcPr>
            <w:tcW w:w="406" w:type="pct"/>
            <w:vAlign w:val="bottom"/>
          </w:tcPr>
          <w:p w14:paraId="1614BEDA" w14:textId="77777777" w:rsidR="00E321F1" w:rsidRPr="00BC1814" w:rsidRDefault="00E321F1" w:rsidP="001A5D4A">
            <w:pPr>
              <w:pStyle w:val="NotesTable-HeadPlain"/>
            </w:pPr>
            <w:r w:rsidRPr="00BC1814">
              <w:t>Fund 3</w:t>
            </w:r>
          </w:p>
        </w:tc>
        <w:tc>
          <w:tcPr>
            <w:tcW w:w="404" w:type="pct"/>
            <w:vAlign w:val="bottom"/>
          </w:tcPr>
          <w:p w14:paraId="34EA7708" w14:textId="77777777" w:rsidR="00E321F1" w:rsidRPr="00BC1814" w:rsidRDefault="00E321F1" w:rsidP="001A5D4A">
            <w:pPr>
              <w:pStyle w:val="NotesTable-HeadPlain"/>
            </w:pPr>
            <w:r w:rsidRPr="00BC1814">
              <w:t>Total</w:t>
            </w:r>
          </w:p>
        </w:tc>
      </w:tr>
      <w:tr w:rsidR="00E321F1" w:rsidRPr="00BC1814" w14:paraId="6A7C900A" w14:textId="77777777" w:rsidTr="00AA2125">
        <w:trPr>
          <w:cantSplit/>
          <w:trHeight w:val="181"/>
        </w:trPr>
        <w:tc>
          <w:tcPr>
            <w:tcW w:w="811" w:type="pct"/>
            <w:vAlign w:val="bottom"/>
          </w:tcPr>
          <w:p w14:paraId="6FE7EB21" w14:textId="77777777" w:rsidR="00E321F1" w:rsidRDefault="00E321F1" w:rsidP="001A5D4A">
            <w:pPr>
              <w:pStyle w:val="Note-Refs"/>
            </w:pPr>
          </w:p>
        </w:tc>
        <w:tc>
          <w:tcPr>
            <w:tcW w:w="2296" w:type="pct"/>
            <w:vAlign w:val="bottom"/>
          </w:tcPr>
          <w:p w14:paraId="2F3454A3" w14:textId="77777777" w:rsidR="00E321F1" w:rsidRPr="002A767F" w:rsidRDefault="00E321F1" w:rsidP="001A5D4A">
            <w:pPr>
              <w:pStyle w:val="Note-TextHeader"/>
            </w:pPr>
            <w:r w:rsidRPr="002A767F">
              <w:t>Liabilities</w:t>
            </w:r>
          </w:p>
        </w:tc>
        <w:tc>
          <w:tcPr>
            <w:tcW w:w="271" w:type="pct"/>
          </w:tcPr>
          <w:p w14:paraId="059FD09A" w14:textId="77777777" w:rsidR="00E321F1" w:rsidRPr="00BC1814" w:rsidRDefault="00E321F1" w:rsidP="001A5D4A">
            <w:pPr>
              <w:pStyle w:val="NotesTable-Notes"/>
            </w:pPr>
          </w:p>
        </w:tc>
        <w:tc>
          <w:tcPr>
            <w:tcW w:w="406" w:type="pct"/>
            <w:vAlign w:val="bottom"/>
          </w:tcPr>
          <w:p w14:paraId="5F126030" w14:textId="77777777" w:rsidR="00E321F1" w:rsidRPr="00BC1814" w:rsidRDefault="00E321F1" w:rsidP="001A5D4A">
            <w:pPr>
              <w:pStyle w:val="NotesTable-HeadPlain"/>
            </w:pPr>
          </w:p>
        </w:tc>
        <w:tc>
          <w:tcPr>
            <w:tcW w:w="406" w:type="pct"/>
            <w:vAlign w:val="bottom"/>
          </w:tcPr>
          <w:p w14:paraId="5F00ECC6" w14:textId="77777777" w:rsidR="00E321F1" w:rsidRPr="00BC1814" w:rsidRDefault="00E321F1" w:rsidP="001A5D4A">
            <w:pPr>
              <w:pStyle w:val="NotesTable-HeadPlain"/>
            </w:pPr>
          </w:p>
        </w:tc>
        <w:tc>
          <w:tcPr>
            <w:tcW w:w="406" w:type="pct"/>
            <w:vAlign w:val="bottom"/>
          </w:tcPr>
          <w:p w14:paraId="418851E1" w14:textId="77777777" w:rsidR="00E321F1" w:rsidRPr="00BC1814" w:rsidRDefault="00E321F1" w:rsidP="001A5D4A">
            <w:pPr>
              <w:pStyle w:val="NotesTable-HeadPlain"/>
            </w:pPr>
          </w:p>
        </w:tc>
        <w:tc>
          <w:tcPr>
            <w:tcW w:w="404" w:type="pct"/>
            <w:vAlign w:val="bottom"/>
          </w:tcPr>
          <w:p w14:paraId="25B9F86F" w14:textId="77777777" w:rsidR="00E321F1" w:rsidRPr="00BC1814" w:rsidRDefault="00E321F1" w:rsidP="001A5D4A">
            <w:pPr>
              <w:pStyle w:val="NotesTable-HeadPlain"/>
            </w:pPr>
          </w:p>
        </w:tc>
      </w:tr>
      <w:tr w:rsidR="00E321F1" w:rsidRPr="00BC1814" w14:paraId="600C03F5" w14:textId="77777777" w:rsidTr="00AA2125">
        <w:trPr>
          <w:cantSplit/>
          <w:trHeight w:val="181"/>
        </w:trPr>
        <w:tc>
          <w:tcPr>
            <w:tcW w:w="811" w:type="pct"/>
            <w:vAlign w:val="bottom"/>
          </w:tcPr>
          <w:p w14:paraId="47AEC80B" w14:textId="77777777" w:rsidR="00E321F1" w:rsidRDefault="00E321F1" w:rsidP="001A5D4A">
            <w:pPr>
              <w:pStyle w:val="Note-Refs"/>
            </w:pPr>
          </w:p>
        </w:tc>
        <w:tc>
          <w:tcPr>
            <w:tcW w:w="2296" w:type="pct"/>
            <w:vAlign w:val="bottom"/>
          </w:tcPr>
          <w:p w14:paraId="173D23DE" w14:textId="77777777" w:rsidR="00E321F1" w:rsidRPr="002A767F" w:rsidRDefault="00E321F1" w:rsidP="001A5D4A">
            <w:pPr>
              <w:pStyle w:val="NotesTable-ItemPlain"/>
            </w:pPr>
            <w:r w:rsidRPr="002A767F">
              <w:t>Provision for deferred government benefits for superannuation</w:t>
            </w:r>
          </w:p>
        </w:tc>
        <w:tc>
          <w:tcPr>
            <w:tcW w:w="271" w:type="pct"/>
          </w:tcPr>
          <w:p w14:paraId="1F95B545" w14:textId="77777777" w:rsidR="00E321F1" w:rsidRPr="00BC1814" w:rsidRDefault="00E321F1" w:rsidP="001A5D4A">
            <w:pPr>
              <w:pStyle w:val="NotesTable-Notes"/>
            </w:pPr>
          </w:p>
        </w:tc>
        <w:tc>
          <w:tcPr>
            <w:tcW w:w="406" w:type="pct"/>
            <w:vAlign w:val="bottom"/>
          </w:tcPr>
          <w:p w14:paraId="4D57E5B1" w14:textId="77777777" w:rsidR="00E321F1" w:rsidRPr="00BC1814" w:rsidRDefault="00E321F1" w:rsidP="001A5D4A">
            <w:pPr>
              <w:pStyle w:val="NotesTable-HeadPlain"/>
            </w:pPr>
            <w:r w:rsidRPr="000A11B4">
              <w:t>–</w:t>
            </w:r>
          </w:p>
        </w:tc>
        <w:tc>
          <w:tcPr>
            <w:tcW w:w="406" w:type="pct"/>
            <w:vAlign w:val="bottom"/>
          </w:tcPr>
          <w:p w14:paraId="40139809" w14:textId="77777777" w:rsidR="00E321F1" w:rsidRPr="00BC1814" w:rsidRDefault="00E321F1" w:rsidP="001A5D4A">
            <w:pPr>
              <w:pStyle w:val="NotesTable-HeadPlain"/>
            </w:pPr>
            <w:r w:rsidRPr="000A11B4">
              <w:t>–</w:t>
            </w:r>
          </w:p>
        </w:tc>
        <w:tc>
          <w:tcPr>
            <w:tcW w:w="406" w:type="pct"/>
            <w:vAlign w:val="bottom"/>
          </w:tcPr>
          <w:p w14:paraId="4ABC57DA" w14:textId="77777777" w:rsidR="00E321F1" w:rsidRPr="00BC1814" w:rsidRDefault="00E321F1" w:rsidP="001A5D4A">
            <w:pPr>
              <w:pStyle w:val="NotesTable-HeadPlain"/>
            </w:pPr>
            <w:r w:rsidRPr="000A11B4">
              <w:t>–</w:t>
            </w:r>
          </w:p>
        </w:tc>
        <w:tc>
          <w:tcPr>
            <w:tcW w:w="404" w:type="pct"/>
            <w:vAlign w:val="bottom"/>
          </w:tcPr>
          <w:p w14:paraId="36832415" w14:textId="77777777" w:rsidR="00E321F1" w:rsidRPr="00BC1814" w:rsidRDefault="00E321F1" w:rsidP="001A5D4A">
            <w:pPr>
              <w:pStyle w:val="NotesTable-HeadPlain"/>
            </w:pPr>
            <w:r w:rsidRPr="000A11B4">
              <w:t>–</w:t>
            </w:r>
          </w:p>
        </w:tc>
      </w:tr>
      <w:tr w:rsidR="00E321F1" w:rsidRPr="00BC1814" w14:paraId="0DF0DCA3" w14:textId="77777777" w:rsidTr="00AA2125">
        <w:trPr>
          <w:cantSplit/>
          <w:trHeight w:val="181"/>
        </w:trPr>
        <w:tc>
          <w:tcPr>
            <w:tcW w:w="811" w:type="pct"/>
            <w:vAlign w:val="bottom"/>
          </w:tcPr>
          <w:p w14:paraId="4800AF09" w14:textId="77777777" w:rsidR="00E321F1" w:rsidRDefault="00E321F1" w:rsidP="001A5D4A">
            <w:pPr>
              <w:pStyle w:val="Note-Refs"/>
            </w:pPr>
          </w:p>
        </w:tc>
        <w:tc>
          <w:tcPr>
            <w:tcW w:w="2296" w:type="pct"/>
            <w:vAlign w:val="bottom"/>
          </w:tcPr>
          <w:p w14:paraId="5D47CEB9" w14:textId="77777777" w:rsidR="00E321F1" w:rsidRDefault="00E321F1" w:rsidP="001A5D4A">
            <w:pPr>
              <w:pStyle w:val="NotesTable-ItemPlain"/>
            </w:pPr>
            <w:r w:rsidRPr="002A767F">
              <w:t>Provision for pension entitlements</w:t>
            </w:r>
          </w:p>
        </w:tc>
        <w:tc>
          <w:tcPr>
            <w:tcW w:w="271" w:type="pct"/>
          </w:tcPr>
          <w:p w14:paraId="26D282F9" w14:textId="77777777" w:rsidR="00E321F1" w:rsidRPr="00BC1814" w:rsidRDefault="00E321F1" w:rsidP="001A5D4A">
            <w:pPr>
              <w:pStyle w:val="NotesTable-Notes"/>
            </w:pPr>
          </w:p>
        </w:tc>
        <w:tc>
          <w:tcPr>
            <w:tcW w:w="406" w:type="pct"/>
            <w:tcBorders>
              <w:bottom w:val="single" w:sz="4" w:space="0" w:color="auto"/>
            </w:tcBorders>
          </w:tcPr>
          <w:p w14:paraId="74F75648" w14:textId="77777777" w:rsidR="00E321F1" w:rsidRPr="00BC1814" w:rsidRDefault="00E321F1" w:rsidP="001A5D4A">
            <w:pPr>
              <w:pStyle w:val="NotesTable-HeadPlain"/>
            </w:pPr>
            <w:r w:rsidRPr="000A11B4">
              <w:t>–</w:t>
            </w:r>
          </w:p>
        </w:tc>
        <w:tc>
          <w:tcPr>
            <w:tcW w:w="406" w:type="pct"/>
            <w:tcBorders>
              <w:bottom w:val="single" w:sz="4" w:space="0" w:color="auto"/>
            </w:tcBorders>
          </w:tcPr>
          <w:p w14:paraId="4FB60177" w14:textId="77777777" w:rsidR="00E321F1" w:rsidRPr="00BC1814" w:rsidRDefault="00E321F1" w:rsidP="001A5D4A">
            <w:pPr>
              <w:pStyle w:val="NotesTable-HeadPlain"/>
            </w:pPr>
            <w:r w:rsidRPr="000A11B4">
              <w:t>–</w:t>
            </w:r>
          </w:p>
        </w:tc>
        <w:tc>
          <w:tcPr>
            <w:tcW w:w="406" w:type="pct"/>
            <w:tcBorders>
              <w:bottom w:val="single" w:sz="4" w:space="0" w:color="auto"/>
            </w:tcBorders>
          </w:tcPr>
          <w:p w14:paraId="14630F12" w14:textId="77777777" w:rsidR="00E321F1" w:rsidRPr="00BC1814" w:rsidRDefault="00E321F1" w:rsidP="001A5D4A">
            <w:pPr>
              <w:pStyle w:val="NotesTable-HeadPlain"/>
            </w:pPr>
            <w:r w:rsidRPr="000A11B4">
              <w:t>–</w:t>
            </w:r>
          </w:p>
        </w:tc>
        <w:tc>
          <w:tcPr>
            <w:tcW w:w="404" w:type="pct"/>
            <w:tcBorders>
              <w:bottom w:val="single" w:sz="4" w:space="0" w:color="auto"/>
            </w:tcBorders>
          </w:tcPr>
          <w:p w14:paraId="3745DB0A" w14:textId="77777777" w:rsidR="00E321F1" w:rsidRPr="00BC1814" w:rsidRDefault="00E321F1" w:rsidP="001A5D4A">
            <w:pPr>
              <w:pStyle w:val="NotesTable-HeadPlain"/>
            </w:pPr>
            <w:r w:rsidRPr="000A11B4">
              <w:t>–</w:t>
            </w:r>
          </w:p>
        </w:tc>
      </w:tr>
      <w:tr w:rsidR="00E321F1" w:rsidRPr="00BC1814" w14:paraId="1D1AE944" w14:textId="77777777" w:rsidTr="00AA2125">
        <w:trPr>
          <w:cantSplit/>
          <w:trHeight w:val="181"/>
        </w:trPr>
        <w:tc>
          <w:tcPr>
            <w:tcW w:w="811" w:type="pct"/>
            <w:vAlign w:val="bottom"/>
          </w:tcPr>
          <w:p w14:paraId="6C4D100F" w14:textId="77777777" w:rsidR="00E321F1" w:rsidRDefault="00E321F1" w:rsidP="001A5D4A">
            <w:pPr>
              <w:pStyle w:val="Note-Refs"/>
            </w:pPr>
          </w:p>
        </w:tc>
        <w:tc>
          <w:tcPr>
            <w:tcW w:w="2296" w:type="pct"/>
            <w:vAlign w:val="bottom"/>
          </w:tcPr>
          <w:p w14:paraId="636E0E27" w14:textId="77777777" w:rsidR="00E321F1" w:rsidRPr="0074467D" w:rsidRDefault="00E321F1" w:rsidP="001A5D4A">
            <w:pPr>
              <w:pStyle w:val="NotesTable-ItemPlain"/>
            </w:pPr>
            <w:r w:rsidRPr="0074467D">
              <w:t>Total liabilities</w:t>
            </w:r>
          </w:p>
        </w:tc>
        <w:tc>
          <w:tcPr>
            <w:tcW w:w="271" w:type="pct"/>
          </w:tcPr>
          <w:p w14:paraId="1021CE01" w14:textId="77777777" w:rsidR="00E321F1" w:rsidRPr="00BC1814" w:rsidRDefault="00E321F1" w:rsidP="001A5D4A">
            <w:pPr>
              <w:pStyle w:val="NotesTable-Notes"/>
            </w:pPr>
          </w:p>
        </w:tc>
        <w:tc>
          <w:tcPr>
            <w:tcW w:w="406" w:type="pct"/>
            <w:tcBorders>
              <w:top w:val="single" w:sz="4" w:space="0" w:color="auto"/>
            </w:tcBorders>
          </w:tcPr>
          <w:p w14:paraId="7BE8BC0D" w14:textId="77777777" w:rsidR="00E321F1" w:rsidRPr="00BC1814" w:rsidRDefault="00E321F1" w:rsidP="001A5D4A">
            <w:pPr>
              <w:pStyle w:val="NotesTable-HeadPlain"/>
            </w:pPr>
            <w:r w:rsidRPr="000A11B4">
              <w:t>–</w:t>
            </w:r>
          </w:p>
        </w:tc>
        <w:tc>
          <w:tcPr>
            <w:tcW w:w="406" w:type="pct"/>
            <w:tcBorders>
              <w:top w:val="single" w:sz="4" w:space="0" w:color="auto"/>
            </w:tcBorders>
          </w:tcPr>
          <w:p w14:paraId="2A8327B3" w14:textId="77777777" w:rsidR="00E321F1" w:rsidRPr="00BC1814" w:rsidRDefault="00E321F1" w:rsidP="001A5D4A">
            <w:pPr>
              <w:pStyle w:val="NotesTable-HeadPlain"/>
            </w:pPr>
            <w:r w:rsidRPr="000A11B4">
              <w:t>–</w:t>
            </w:r>
          </w:p>
        </w:tc>
        <w:tc>
          <w:tcPr>
            <w:tcW w:w="406" w:type="pct"/>
            <w:tcBorders>
              <w:top w:val="single" w:sz="4" w:space="0" w:color="auto"/>
            </w:tcBorders>
          </w:tcPr>
          <w:p w14:paraId="0496C3F0" w14:textId="77777777" w:rsidR="00E321F1" w:rsidRPr="00BC1814" w:rsidRDefault="00E321F1" w:rsidP="001A5D4A">
            <w:pPr>
              <w:pStyle w:val="NotesTable-HeadPlain"/>
            </w:pPr>
            <w:r w:rsidRPr="000A11B4">
              <w:t>–</w:t>
            </w:r>
          </w:p>
        </w:tc>
        <w:tc>
          <w:tcPr>
            <w:tcW w:w="404" w:type="pct"/>
            <w:tcBorders>
              <w:top w:val="single" w:sz="4" w:space="0" w:color="auto"/>
            </w:tcBorders>
          </w:tcPr>
          <w:p w14:paraId="26E793B9" w14:textId="77777777" w:rsidR="00E321F1" w:rsidRPr="00BC1814" w:rsidRDefault="00E321F1" w:rsidP="001A5D4A">
            <w:pPr>
              <w:pStyle w:val="NotesTable-HeadPlain"/>
            </w:pPr>
            <w:r w:rsidRPr="000A11B4">
              <w:t>–</w:t>
            </w:r>
          </w:p>
        </w:tc>
      </w:tr>
      <w:tr w:rsidR="00E321F1" w:rsidRPr="00BC1814" w14:paraId="0FDF1343" w14:textId="77777777" w:rsidTr="00AA2125">
        <w:trPr>
          <w:cantSplit/>
          <w:trHeight w:val="181"/>
        </w:trPr>
        <w:tc>
          <w:tcPr>
            <w:tcW w:w="811" w:type="pct"/>
            <w:vAlign w:val="bottom"/>
          </w:tcPr>
          <w:p w14:paraId="2C738D00" w14:textId="77777777" w:rsidR="00E321F1" w:rsidRDefault="00E321F1" w:rsidP="001A5D4A">
            <w:pPr>
              <w:pStyle w:val="Note-Refs"/>
            </w:pPr>
          </w:p>
        </w:tc>
        <w:tc>
          <w:tcPr>
            <w:tcW w:w="2296" w:type="pct"/>
            <w:vAlign w:val="bottom"/>
          </w:tcPr>
          <w:p w14:paraId="67F514C9" w14:textId="77777777" w:rsidR="00E321F1" w:rsidRPr="0074467D" w:rsidRDefault="00E321F1" w:rsidP="001A5D4A">
            <w:pPr>
              <w:pStyle w:val="NotesTable-ItemPlain"/>
            </w:pPr>
            <w:r>
              <w:t>a</w:t>
            </w:r>
            <w:r w:rsidRPr="0074467D">
              <w:t>dd: On-costs on pension entitlements</w:t>
            </w:r>
          </w:p>
        </w:tc>
        <w:tc>
          <w:tcPr>
            <w:tcW w:w="271" w:type="pct"/>
          </w:tcPr>
          <w:p w14:paraId="402B506A" w14:textId="77777777" w:rsidR="00E321F1" w:rsidRPr="00BC1814" w:rsidRDefault="00E321F1" w:rsidP="001A5D4A">
            <w:pPr>
              <w:pStyle w:val="NotesTable-Notes"/>
            </w:pPr>
          </w:p>
        </w:tc>
        <w:tc>
          <w:tcPr>
            <w:tcW w:w="406" w:type="pct"/>
          </w:tcPr>
          <w:p w14:paraId="58B8D3D7" w14:textId="77777777" w:rsidR="00E321F1" w:rsidRPr="00BC1814" w:rsidRDefault="00E321F1" w:rsidP="001A5D4A">
            <w:pPr>
              <w:pStyle w:val="NotesTable-HeadPlain"/>
            </w:pPr>
            <w:r w:rsidRPr="000A11B4">
              <w:t>–</w:t>
            </w:r>
          </w:p>
        </w:tc>
        <w:tc>
          <w:tcPr>
            <w:tcW w:w="406" w:type="pct"/>
          </w:tcPr>
          <w:p w14:paraId="45A3B712" w14:textId="77777777" w:rsidR="00E321F1" w:rsidRPr="00BC1814" w:rsidRDefault="00E321F1" w:rsidP="001A5D4A">
            <w:pPr>
              <w:pStyle w:val="NotesTable-HeadPlain"/>
            </w:pPr>
            <w:r w:rsidRPr="000A11B4">
              <w:t>–</w:t>
            </w:r>
          </w:p>
        </w:tc>
        <w:tc>
          <w:tcPr>
            <w:tcW w:w="406" w:type="pct"/>
          </w:tcPr>
          <w:p w14:paraId="34B310D2" w14:textId="77777777" w:rsidR="00E321F1" w:rsidRPr="00BC1814" w:rsidRDefault="00E321F1" w:rsidP="001A5D4A">
            <w:pPr>
              <w:pStyle w:val="NotesTable-HeadPlain"/>
            </w:pPr>
            <w:r w:rsidRPr="000A11B4">
              <w:t>–</w:t>
            </w:r>
          </w:p>
        </w:tc>
        <w:tc>
          <w:tcPr>
            <w:tcW w:w="404" w:type="pct"/>
          </w:tcPr>
          <w:p w14:paraId="5499159D" w14:textId="77777777" w:rsidR="00E321F1" w:rsidRPr="00BC1814" w:rsidRDefault="00E321F1" w:rsidP="001A5D4A">
            <w:pPr>
              <w:pStyle w:val="NotesTable-HeadPlain"/>
            </w:pPr>
            <w:r w:rsidRPr="000A11B4">
              <w:t>–</w:t>
            </w:r>
          </w:p>
        </w:tc>
      </w:tr>
      <w:tr w:rsidR="00E321F1" w:rsidRPr="00BC1814" w14:paraId="249CE032" w14:textId="77777777" w:rsidTr="00AA2125">
        <w:trPr>
          <w:cantSplit/>
          <w:trHeight w:val="181"/>
        </w:trPr>
        <w:tc>
          <w:tcPr>
            <w:tcW w:w="811" w:type="pct"/>
            <w:vAlign w:val="bottom"/>
          </w:tcPr>
          <w:p w14:paraId="7BF2A20A" w14:textId="77777777" w:rsidR="00E321F1" w:rsidRDefault="00E321F1" w:rsidP="001A5D4A">
            <w:pPr>
              <w:pStyle w:val="Note-Refs"/>
            </w:pPr>
          </w:p>
        </w:tc>
        <w:tc>
          <w:tcPr>
            <w:tcW w:w="2296" w:type="pct"/>
            <w:vAlign w:val="bottom"/>
          </w:tcPr>
          <w:p w14:paraId="263F5C62" w14:textId="77777777" w:rsidR="00E321F1" w:rsidRPr="0074467D" w:rsidRDefault="00E321F1" w:rsidP="001A5D4A">
            <w:pPr>
              <w:pStyle w:val="NotesTable-ItemPlain"/>
            </w:pPr>
            <w:r w:rsidRPr="0074467D">
              <w:t>Total pension entitlements (</w:t>
            </w:r>
            <w:proofErr w:type="spellStart"/>
            <w:r w:rsidRPr="0074467D">
              <w:t>incl</w:t>
            </w:r>
            <w:proofErr w:type="spellEnd"/>
            <w:r w:rsidRPr="0074467D">
              <w:t xml:space="preserve"> on-costs)</w:t>
            </w:r>
          </w:p>
        </w:tc>
        <w:tc>
          <w:tcPr>
            <w:tcW w:w="271" w:type="pct"/>
          </w:tcPr>
          <w:p w14:paraId="67C7F417" w14:textId="77777777" w:rsidR="00E321F1" w:rsidRPr="00BC1814" w:rsidRDefault="00E321F1" w:rsidP="001A5D4A">
            <w:pPr>
              <w:pStyle w:val="NotesTable-Notes"/>
            </w:pPr>
          </w:p>
        </w:tc>
        <w:tc>
          <w:tcPr>
            <w:tcW w:w="406" w:type="pct"/>
            <w:tcBorders>
              <w:bottom w:val="single" w:sz="4" w:space="0" w:color="auto"/>
            </w:tcBorders>
          </w:tcPr>
          <w:p w14:paraId="7CEC040C" w14:textId="77777777" w:rsidR="00E321F1" w:rsidRPr="00BC1814" w:rsidRDefault="00E321F1" w:rsidP="001A5D4A">
            <w:pPr>
              <w:pStyle w:val="NotesTable-HeadPlain"/>
            </w:pPr>
            <w:r w:rsidRPr="000A11B4">
              <w:t>–</w:t>
            </w:r>
          </w:p>
        </w:tc>
        <w:tc>
          <w:tcPr>
            <w:tcW w:w="406" w:type="pct"/>
            <w:tcBorders>
              <w:bottom w:val="single" w:sz="4" w:space="0" w:color="auto"/>
            </w:tcBorders>
          </w:tcPr>
          <w:p w14:paraId="05643D92" w14:textId="77777777" w:rsidR="00E321F1" w:rsidRPr="00BC1814" w:rsidRDefault="00E321F1" w:rsidP="001A5D4A">
            <w:pPr>
              <w:pStyle w:val="NotesTable-HeadPlain"/>
            </w:pPr>
            <w:r w:rsidRPr="000A11B4">
              <w:t>–</w:t>
            </w:r>
          </w:p>
        </w:tc>
        <w:tc>
          <w:tcPr>
            <w:tcW w:w="406" w:type="pct"/>
            <w:tcBorders>
              <w:bottom w:val="single" w:sz="4" w:space="0" w:color="auto"/>
            </w:tcBorders>
          </w:tcPr>
          <w:p w14:paraId="719AAB3B" w14:textId="77777777" w:rsidR="00E321F1" w:rsidRPr="00BC1814" w:rsidRDefault="00E321F1" w:rsidP="001A5D4A">
            <w:pPr>
              <w:pStyle w:val="NotesTable-HeadPlain"/>
            </w:pPr>
            <w:r w:rsidRPr="000A11B4">
              <w:t>–</w:t>
            </w:r>
          </w:p>
        </w:tc>
        <w:tc>
          <w:tcPr>
            <w:tcW w:w="404" w:type="pct"/>
            <w:tcBorders>
              <w:bottom w:val="single" w:sz="4" w:space="0" w:color="auto"/>
            </w:tcBorders>
          </w:tcPr>
          <w:p w14:paraId="55A7E22E" w14:textId="77777777" w:rsidR="00E321F1" w:rsidRPr="00BC1814" w:rsidRDefault="00E321F1" w:rsidP="001A5D4A">
            <w:pPr>
              <w:pStyle w:val="NotesTable-HeadPlain"/>
            </w:pPr>
            <w:r w:rsidRPr="000A11B4">
              <w:t>–</w:t>
            </w:r>
          </w:p>
        </w:tc>
      </w:tr>
      <w:tr w:rsidR="00E321F1" w:rsidRPr="00BC1814" w14:paraId="5FBACCAE" w14:textId="77777777" w:rsidTr="00AA2125">
        <w:trPr>
          <w:cantSplit/>
          <w:trHeight w:val="181"/>
        </w:trPr>
        <w:tc>
          <w:tcPr>
            <w:tcW w:w="811" w:type="pct"/>
            <w:vAlign w:val="bottom"/>
          </w:tcPr>
          <w:p w14:paraId="31519DB4" w14:textId="77777777" w:rsidR="00E321F1" w:rsidRDefault="00E321F1" w:rsidP="001A5D4A">
            <w:pPr>
              <w:pStyle w:val="Note-Refs"/>
            </w:pPr>
          </w:p>
        </w:tc>
        <w:tc>
          <w:tcPr>
            <w:tcW w:w="2296" w:type="pct"/>
            <w:vAlign w:val="bottom"/>
          </w:tcPr>
          <w:p w14:paraId="231BDD6E" w14:textId="77777777" w:rsidR="00E321F1" w:rsidRDefault="00E321F1" w:rsidP="001A5D4A">
            <w:pPr>
              <w:pStyle w:val="NotesTable-ItemPlain"/>
            </w:pPr>
            <w:r>
              <w:t>Total liabilities recognised in statement of financial position</w:t>
            </w:r>
          </w:p>
        </w:tc>
        <w:tc>
          <w:tcPr>
            <w:tcW w:w="271" w:type="pct"/>
          </w:tcPr>
          <w:p w14:paraId="7F0A9308" w14:textId="77777777" w:rsidR="00E321F1" w:rsidRPr="00BC1814" w:rsidRDefault="00E321F1" w:rsidP="001A5D4A">
            <w:pPr>
              <w:pStyle w:val="NotesTable-Notes"/>
            </w:pPr>
          </w:p>
        </w:tc>
        <w:tc>
          <w:tcPr>
            <w:tcW w:w="406" w:type="pct"/>
            <w:tcBorders>
              <w:top w:val="single" w:sz="4" w:space="0" w:color="auto"/>
            </w:tcBorders>
          </w:tcPr>
          <w:p w14:paraId="53B7A473" w14:textId="77777777" w:rsidR="00E321F1" w:rsidRPr="00BC1814" w:rsidRDefault="00E321F1" w:rsidP="001A5D4A">
            <w:pPr>
              <w:pStyle w:val="NotesTable-HeadPlain"/>
            </w:pPr>
            <w:r w:rsidRPr="000A11B4">
              <w:t>–</w:t>
            </w:r>
          </w:p>
        </w:tc>
        <w:tc>
          <w:tcPr>
            <w:tcW w:w="406" w:type="pct"/>
            <w:tcBorders>
              <w:top w:val="single" w:sz="4" w:space="0" w:color="auto"/>
            </w:tcBorders>
          </w:tcPr>
          <w:p w14:paraId="472CA412" w14:textId="77777777" w:rsidR="00E321F1" w:rsidRPr="00BC1814" w:rsidRDefault="00E321F1" w:rsidP="001A5D4A">
            <w:pPr>
              <w:pStyle w:val="NotesTable-HeadPlain"/>
            </w:pPr>
            <w:r w:rsidRPr="000A11B4">
              <w:t>–</w:t>
            </w:r>
          </w:p>
        </w:tc>
        <w:tc>
          <w:tcPr>
            <w:tcW w:w="406" w:type="pct"/>
            <w:tcBorders>
              <w:top w:val="single" w:sz="4" w:space="0" w:color="auto"/>
            </w:tcBorders>
          </w:tcPr>
          <w:p w14:paraId="169F2DA5" w14:textId="77777777" w:rsidR="00E321F1" w:rsidRPr="00BC1814" w:rsidRDefault="00E321F1" w:rsidP="001A5D4A">
            <w:pPr>
              <w:pStyle w:val="NotesTable-HeadPlain"/>
            </w:pPr>
            <w:r w:rsidRPr="000A11B4">
              <w:t>–</w:t>
            </w:r>
          </w:p>
        </w:tc>
        <w:tc>
          <w:tcPr>
            <w:tcW w:w="404" w:type="pct"/>
            <w:tcBorders>
              <w:top w:val="single" w:sz="4" w:space="0" w:color="auto"/>
            </w:tcBorders>
          </w:tcPr>
          <w:p w14:paraId="73A6C404" w14:textId="77777777" w:rsidR="00E321F1" w:rsidRPr="00BC1814" w:rsidRDefault="00E321F1" w:rsidP="001A5D4A">
            <w:pPr>
              <w:pStyle w:val="NotesTable-HeadPlain"/>
            </w:pPr>
            <w:r w:rsidRPr="000A11B4">
              <w:t>–</w:t>
            </w:r>
          </w:p>
        </w:tc>
      </w:tr>
      <w:tr w:rsidR="00E321F1" w:rsidRPr="00BC1814" w14:paraId="5ABC2FB5" w14:textId="77777777" w:rsidTr="00AA2125">
        <w:trPr>
          <w:cantSplit/>
          <w:trHeight w:val="181"/>
        </w:trPr>
        <w:tc>
          <w:tcPr>
            <w:tcW w:w="811" w:type="pct"/>
            <w:vAlign w:val="bottom"/>
          </w:tcPr>
          <w:p w14:paraId="1C4B1963" w14:textId="77777777" w:rsidR="00E321F1" w:rsidRDefault="00E321F1" w:rsidP="001A5D4A">
            <w:pPr>
              <w:pStyle w:val="Note-Refs"/>
            </w:pPr>
          </w:p>
        </w:tc>
        <w:tc>
          <w:tcPr>
            <w:tcW w:w="2296" w:type="pct"/>
            <w:vAlign w:val="bottom"/>
          </w:tcPr>
          <w:p w14:paraId="0819AD35" w14:textId="77777777" w:rsidR="00E321F1" w:rsidRDefault="00E321F1" w:rsidP="001A5D4A">
            <w:pPr>
              <w:pStyle w:val="NotesTable-ItemPlain"/>
            </w:pPr>
          </w:p>
        </w:tc>
        <w:tc>
          <w:tcPr>
            <w:tcW w:w="271" w:type="pct"/>
          </w:tcPr>
          <w:p w14:paraId="5C166D3E" w14:textId="77777777" w:rsidR="00E321F1" w:rsidRPr="00BC1814" w:rsidRDefault="00E321F1" w:rsidP="001A5D4A">
            <w:pPr>
              <w:pStyle w:val="NotesTable-Notes"/>
            </w:pPr>
          </w:p>
        </w:tc>
        <w:tc>
          <w:tcPr>
            <w:tcW w:w="406" w:type="pct"/>
            <w:vAlign w:val="bottom"/>
          </w:tcPr>
          <w:p w14:paraId="6369DD0E" w14:textId="77777777" w:rsidR="00E321F1" w:rsidRPr="00BC1814" w:rsidRDefault="00E321F1" w:rsidP="001A5D4A">
            <w:pPr>
              <w:pStyle w:val="NotesTable-HeadPlain"/>
            </w:pPr>
          </w:p>
        </w:tc>
        <w:tc>
          <w:tcPr>
            <w:tcW w:w="406" w:type="pct"/>
            <w:vAlign w:val="bottom"/>
          </w:tcPr>
          <w:p w14:paraId="6F5253C0" w14:textId="77777777" w:rsidR="00E321F1" w:rsidRPr="00BC1814" w:rsidRDefault="00E321F1" w:rsidP="001A5D4A">
            <w:pPr>
              <w:pStyle w:val="NotesTable-HeadPlain"/>
            </w:pPr>
          </w:p>
        </w:tc>
        <w:tc>
          <w:tcPr>
            <w:tcW w:w="406" w:type="pct"/>
            <w:vAlign w:val="bottom"/>
          </w:tcPr>
          <w:p w14:paraId="4463DBA5" w14:textId="77777777" w:rsidR="00E321F1" w:rsidRPr="00BC1814" w:rsidRDefault="00E321F1" w:rsidP="001A5D4A">
            <w:pPr>
              <w:pStyle w:val="NotesTable-HeadPlain"/>
            </w:pPr>
          </w:p>
        </w:tc>
        <w:tc>
          <w:tcPr>
            <w:tcW w:w="404" w:type="pct"/>
            <w:vAlign w:val="bottom"/>
          </w:tcPr>
          <w:p w14:paraId="45EE1C30" w14:textId="77777777" w:rsidR="00E321F1" w:rsidRPr="00BC1814" w:rsidRDefault="00E321F1" w:rsidP="001A5D4A">
            <w:pPr>
              <w:pStyle w:val="NotesTable-HeadPlain"/>
            </w:pPr>
          </w:p>
        </w:tc>
      </w:tr>
      <w:tr w:rsidR="00E321F1" w:rsidRPr="00BC1814" w14:paraId="3C2D11BD" w14:textId="77777777" w:rsidTr="00AA2125">
        <w:trPr>
          <w:cantSplit/>
          <w:trHeight w:val="181"/>
        </w:trPr>
        <w:tc>
          <w:tcPr>
            <w:tcW w:w="811" w:type="pct"/>
            <w:vAlign w:val="bottom"/>
          </w:tcPr>
          <w:p w14:paraId="007F1D88" w14:textId="77777777" w:rsidR="00E321F1" w:rsidRDefault="00E321F1" w:rsidP="001A5D4A">
            <w:pPr>
              <w:pStyle w:val="Note-Refs"/>
            </w:pPr>
          </w:p>
        </w:tc>
        <w:tc>
          <w:tcPr>
            <w:tcW w:w="2296" w:type="pct"/>
            <w:vAlign w:val="bottom"/>
          </w:tcPr>
          <w:p w14:paraId="279C97AA" w14:textId="77777777" w:rsidR="00E321F1" w:rsidRPr="0074467D" w:rsidRDefault="00E321F1" w:rsidP="001A5D4A">
            <w:pPr>
              <w:pStyle w:val="Note-TextHeader"/>
            </w:pPr>
            <w:r w:rsidRPr="0074467D">
              <w:t>Assets</w:t>
            </w:r>
          </w:p>
        </w:tc>
        <w:tc>
          <w:tcPr>
            <w:tcW w:w="271" w:type="pct"/>
          </w:tcPr>
          <w:p w14:paraId="3D732382" w14:textId="77777777" w:rsidR="00E321F1" w:rsidRPr="00BC1814" w:rsidRDefault="00E321F1" w:rsidP="001A5D4A">
            <w:pPr>
              <w:pStyle w:val="NotesTable-Notes"/>
            </w:pPr>
          </w:p>
        </w:tc>
        <w:tc>
          <w:tcPr>
            <w:tcW w:w="406" w:type="pct"/>
            <w:vAlign w:val="bottom"/>
          </w:tcPr>
          <w:p w14:paraId="052613E6" w14:textId="77777777" w:rsidR="00E321F1" w:rsidRPr="00BC1814" w:rsidRDefault="00E321F1" w:rsidP="001A5D4A">
            <w:pPr>
              <w:pStyle w:val="NotesTable-HeadPlain"/>
            </w:pPr>
          </w:p>
        </w:tc>
        <w:tc>
          <w:tcPr>
            <w:tcW w:w="406" w:type="pct"/>
            <w:vAlign w:val="bottom"/>
          </w:tcPr>
          <w:p w14:paraId="20D61C5F" w14:textId="77777777" w:rsidR="00E321F1" w:rsidRPr="00BC1814" w:rsidRDefault="00E321F1" w:rsidP="001A5D4A">
            <w:pPr>
              <w:pStyle w:val="NotesTable-HeadPlain"/>
            </w:pPr>
          </w:p>
        </w:tc>
        <w:tc>
          <w:tcPr>
            <w:tcW w:w="406" w:type="pct"/>
            <w:vAlign w:val="bottom"/>
          </w:tcPr>
          <w:p w14:paraId="510B3CBB" w14:textId="77777777" w:rsidR="00E321F1" w:rsidRPr="00BC1814" w:rsidRDefault="00E321F1" w:rsidP="001A5D4A">
            <w:pPr>
              <w:pStyle w:val="NotesTable-HeadPlain"/>
            </w:pPr>
          </w:p>
        </w:tc>
        <w:tc>
          <w:tcPr>
            <w:tcW w:w="404" w:type="pct"/>
            <w:vAlign w:val="bottom"/>
          </w:tcPr>
          <w:p w14:paraId="3725B211" w14:textId="77777777" w:rsidR="00E321F1" w:rsidRPr="00BC1814" w:rsidRDefault="00E321F1" w:rsidP="001A5D4A">
            <w:pPr>
              <w:pStyle w:val="NotesTable-HeadPlain"/>
            </w:pPr>
          </w:p>
        </w:tc>
      </w:tr>
      <w:tr w:rsidR="00E321F1" w:rsidRPr="00BC1814" w14:paraId="09A1DC4B" w14:textId="77777777" w:rsidTr="00AA2125">
        <w:trPr>
          <w:cantSplit/>
          <w:trHeight w:val="181"/>
        </w:trPr>
        <w:tc>
          <w:tcPr>
            <w:tcW w:w="811" w:type="pct"/>
            <w:vAlign w:val="bottom"/>
          </w:tcPr>
          <w:p w14:paraId="280E5827" w14:textId="77777777" w:rsidR="00E321F1" w:rsidRDefault="00E321F1" w:rsidP="001A5D4A">
            <w:pPr>
              <w:pStyle w:val="Note-Refs"/>
            </w:pPr>
          </w:p>
        </w:tc>
        <w:tc>
          <w:tcPr>
            <w:tcW w:w="2296" w:type="pct"/>
            <w:vAlign w:val="bottom"/>
          </w:tcPr>
          <w:p w14:paraId="49589780" w14:textId="77777777" w:rsidR="00E321F1" w:rsidRPr="0074467D" w:rsidRDefault="00E321F1" w:rsidP="001A5D4A">
            <w:pPr>
              <w:pStyle w:val="NotesTable-ItemPlain"/>
            </w:pPr>
            <w:r w:rsidRPr="0074467D">
              <w:t xml:space="preserve">Receivable for deferred government </w:t>
            </w:r>
            <w:r>
              <w:t xml:space="preserve">benefit </w:t>
            </w:r>
            <w:r w:rsidRPr="0074467D">
              <w:t>for superannuation</w:t>
            </w:r>
          </w:p>
        </w:tc>
        <w:tc>
          <w:tcPr>
            <w:tcW w:w="271" w:type="pct"/>
          </w:tcPr>
          <w:p w14:paraId="66B8E057" w14:textId="77777777" w:rsidR="00E321F1" w:rsidRPr="00BC1814" w:rsidRDefault="00E321F1" w:rsidP="001A5D4A">
            <w:pPr>
              <w:pStyle w:val="NotesTable-Notes"/>
            </w:pPr>
          </w:p>
        </w:tc>
        <w:tc>
          <w:tcPr>
            <w:tcW w:w="406" w:type="pct"/>
            <w:tcBorders>
              <w:bottom w:val="single" w:sz="4" w:space="0" w:color="auto"/>
            </w:tcBorders>
            <w:vAlign w:val="bottom"/>
          </w:tcPr>
          <w:p w14:paraId="5D835773" w14:textId="77777777" w:rsidR="00E321F1" w:rsidRPr="00BC1814" w:rsidRDefault="00E321F1" w:rsidP="001A5D4A">
            <w:pPr>
              <w:pStyle w:val="NotesTable-HeadPlain"/>
            </w:pPr>
            <w:r w:rsidRPr="000A11B4">
              <w:t>–</w:t>
            </w:r>
          </w:p>
        </w:tc>
        <w:tc>
          <w:tcPr>
            <w:tcW w:w="406" w:type="pct"/>
            <w:tcBorders>
              <w:bottom w:val="single" w:sz="4" w:space="0" w:color="auto"/>
            </w:tcBorders>
            <w:vAlign w:val="bottom"/>
          </w:tcPr>
          <w:p w14:paraId="12BEBB8F" w14:textId="77777777" w:rsidR="00E321F1" w:rsidRPr="00BC1814" w:rsidRDefault="00E321F1" w:rsidP="001A5D4A">
            <w:pPr>
              <w:pStyle w:val="NotesTable-HeadPlain"/>
            </w:pPr>
            <w:r w:rsidRPr="000A11B4">
              <w:t>–</w:t>
            </w:r>
          </w:p>
        </w:tc>
        <w:tc>
          <w:tcPr>
            <w:tcW w:w="406" w:type="pct"/>
            <w:tcBorders>
              <w:bottom w:val="single" w:sz="4" w:space="0" w:color="auto"/>
            </w:tcBorders>
            <w:vAlign w:val="bottom"/>
          </w:tcPr>
          <w:p w14:paraId="3A2E1C30" w14:textId="77777777" w:rsidR="00E321F1" w:rsidRPr="00BC1814" w:rsidRDefault="00E321F1" w:rsidP="001A5D4A">
            <w:pPr>
              <w:pStyle w:val="NotesTable-HeadPlain"/>
            </w:pPr>
            <w:r w:rsidRPr="000A11B4">
              <w:t>–</w:t>
            </w:r>
          </w:p>
        </w:tc>
        <w:tc>
          <w:tcPr>
            <w:tcW w:w="404" w:type="pct"/>
            <w:tcBorders>
              <w:bottom w:val="single" w:sz="4" w:space="0" w:color="auto"/>
            </w:tcBorders>
            <w:vAlign w:val="bottom"/>
          </w:tcPr>
          <w:p w14:paraId="15FC42F8" w14:textId="77777777" w:rsidR="00E321F1" w:rsidRPr="00BC1814" w:rsidRDefault="00E321F1" w:rsidP="001A5D4A">
            <w:pPr>
              <w:pStyle w:val="NotesTable-HeadPlain"/>
            </w:pPr>
            <w:r w:rsidRPr="000A11B4">
              <w:t>–</w:t>
            </w:r>
          </w:p>
        </w:tc>
      </w:tr>
      <w:tr w:rsidR="00E321F1" w:rsidRPr="00BC1814" w14:paraId="29551482" w14:textId="77777777" w:rsidTr="00AA2125">
        <w:trPr>
          <w:cantSplit/>
          <w:trHeight w:val="181"/>
        </w:trPr>
        <w:tc>
          <w:tcPr>
            <w:tcW w:w="811" w:type="pct"/>
            <w:vAlign w:val="bottom"/>
          </w:tcPr>
          <w:p w14:paraId="218CE591" w14:textId="77777777" w:rsidR="00E321F1" w:rsidRDefault="00E321F1" w:rsidP="001A5D4A">
            <w:pPr>
              <w:pStyle w:val="Note-Refs"/>
            </w:pPr>
          </w:p>
        </w:tc>
        <w:tc>
          <w:tcPr>
            <w:tcW w:w="2296" w:type="pct"/>
            <w:vAlign w:val="bottom"/>
          </w:tcPr>
          <w:p w14:paraId="354FA79F" w14:textId="77777777" w:rsidR="00E321F1" w:rsidRDefault="00E321F1" w:rsidP="001A5D4A">
            <w:pPr>
              <w:pStyle w:val="NotesTable-ItemPlain"/>
            </w:pPr>
            <w:r>
              <w:t>Total assets recognised in statement of financial position</w:t>
            </w:r>
          </w:p>
        </w:tc>
        <w:tc>
          <w:tcPr>
            <w:tcW w:w="271" w:type="pct"/>
          </w:tcPr>
          <w:p w14:paraId="4BDE3E3A" w14:textId="77777777" w:rsidR="00E321F1" w:rsidRPr="00BC1814" w:rsidRDefault="00E321F1" w:rsidP="001A5D4A">
            <w:pPr>
              <w:pStyle w:val="NotesTable-Notes"/>
            </w:pPr>
          </w:p>
        </w:tc>
        <w:tc>
          <w:tcPr>
            <w:tcW w:w="406" w:type="pct"/>
            <w:tcBorders>
              <w:top w:val="single" w:sz="4" w:space="0" w:color="auto"/>
              <w:bottom w:val="single" w:sz="4" w:space="0" w:color="auto"/>
            </w:tcBorders>
          </w:tcPr>
          <w:p w14:paraId="28060B24" w14:textId="77777777" w:rsidR="00E321F1" w:rsidRPr="00BC1814" w:rsidRDefault="00E321F1" w:rsidP="001A5D4A">
            <w:pPr>
              <w:pStyle w:val="NotesTable-HeadPlain"/>
            </w:pPr>
            <w:r w:rsidRPr="000A11B4">
              <w:t>–</w:t>
            </w:r>
          </w:p>
        </w:tc>
        <w:tc>
          <w:tcPr>
            <w:tcW w:w="406" w:type="pct"/>
            <w:tcBorders>
              <w:top w:val="single" w:sz="4" w:space="0" w:color="auto"/>
              <w:bottom w:val="single" w:sz="4" w:space="0" w:color="auto"/>
            </w:tcBorders>
          </w:tcPr>
          <w:p w14:paraId="0AE63647" w14:textId="77777777" w:rsidR="00E321F1" w:rsidRPr="00BC1814" w:rsidRDefault="00E321F1" w:rsidP="001A5D4A">
            <w:pPr>
              <w:pStyle w:val="NotesTable-HeadPlain"/>
            </w:pPr>
            <w:r w:rsidRPr="000A11B4">
              <w:t>–</w:t>
            </w:r>
          </w:p>
        </w:tc>
        <w:tc>
          <w:tcPr>
            <w:tcW w:w="406" w:type="pct"/>
            <w:tcBorders>
              <w:top w:val="single" w:sz="4" w:space="0" w:color="auto"/>
              <w:bottom w:val="single" w:sz="4" w:space="0" w:color="auto"/>
            </w:tcBorders>
          </w:tcPr>
          <w:p w14:paraId="3CBCFF3C" w14:textId="77777777" w:rsidR="00E321F1" w:rsidRPr="00BC1814" w:rsidRDefault="00E321F1" w:rsidP="001A5D4A">
            <w:pPr>
              <w:pStyle w:val="NotesTable-HeadPlain"/>
            </w:pPr>
            <w:r w:rsidRPr="000A11B4">
              <w:t>–</w:t>
            </w:r>
          </w:p>
        </w:tc>
        <w:tc>
          <w:tcPr>
            <w:tcW w:w="404" w:type="pct"/>
            <w:tcBorders>
              <w:top w:val="single" w:sz="4" w:space="0" w:color="auto"/>
              <w:bottom w:val="single" w:sz="4" w:space="0" w:color="auto"/>
            </w:tcBorders>
          </w:tcPr>
          <w:p w14:paraId="3998788A" w14:textId="77777777" w:rsidR="00E321F1" w:rsidRPr="00BC1814" w:rsidRDefault="00E321F1" w:rsidP="001A5D4A">
            <w:pPr>
              <w:pStyle w:val="NotesTable-HeadPlain"/>
            </w:pPr>
            <w:r w:rsidRPr="000A11B4">
              <w:t>–</w:t>
            </w:r>
          </w:p>
        </w:tc>
      </w:tr>
      <w:tr w:rsidR="00E321F1" w:rsidRPr="00BC1814" w14:paraId="7B3A7852" w14:textId="77777777" w:rsidTr="00AA2125">
        <w:trPr>
          <w:cantSplit/>
          <w:trHeight w:val="181"/>
        </w:trPr>
        <w:tc>
          <w:tcPr>
            <w:tcW w:w="811" w:type="pct"/>
            <w:vAlign w:val="bottom"/>
          </w:tcPr>
          <w:p w14:paraId="400098EB" w14:textId="77777777" w:rsidR="00E321F1" w:rsidRDefault="00E321F1" w:rsidP="001A5D4A">
            <w:pPr>
              <w:pStyle w:val="Note-Refs"/>
            </w:pPr>
          </w:p>
        </w:tc>
        <w:tc>
          <w:tcPr>
            <w:tcW w:w="2296" w:type="pct"/>
            <w:vAlign w:val="bottom"/>
          </w:tcPr>
          <w:p w14:paraId="71F7331B" w14:textId="77777777" w:rsidR="00E321F1" w:rsidRDefault="00E321F1" w:rsidP="001A5D4A">
            <w:pPr>
              <w:pStyle w:val="NotesTable-ItemPlain"/>
            </w:pPr>
            <w:r>
              <w:t>Net liability recognised in the statement of financial position</w:t>
            </w:r>
          </w:p>
        </w:tc>
        <w:tc>
          <w:tcPr>
            <w:tcW w:w="271" w:type="pct"/>
          </w:tcPr>
          <w:p w14:paraId="33707471" w14:textId="77777777" w:rsidR="00E321F1" w:rsidRPr="00BC1814" w:rsidRDefault="00E321F1" w:rsidP="001A5D4A">
            <w:pPr>
              <w:pStyle w:val="NotesTable-Notes"/>
            </w:pPr>
          </w:p>
        </w:tc>
        <w:tc>
          <w:tcPr>
            <w:tcW w:w="406" w:type="pct"/>
            <w:tcBorders>
              <w:top w:val="single" w:sz="4" w:space="0" w:color="auto"/>
            </w:tcBorders>
          </w:tcPr>
          <w:p w14:paraId="7C2FE099" w14:textId="77777777" w:rsidR="00E321F1" w:rsidRPr="00BC1814" w:rsidRDefault="00E321F1" w:rsidP="001A5D4A">
            <w:pPr>
              <w:pStyle w:val="NotesTable-HeadPlain"/>
            </w:pPr>
            <w:r w:rsidRPr="000A11B4">
              <w:t>–</w:t>
            </w:r>
          </w:p>
        </w:tc>
        <w:tc>
          <w:tcPr>
            <w:tcW w:w="406" w:type="pct"/>
            <w:tcBorders>
              <w:top w:val="single" w:sz="4" w:space="0" w:color="auto"/>
            </w:tcBorders>
          </w:tcPr>
          <w:p w14:paraId="53C84DB5" w14:textId="77777777" w:rsidR="00E321F1" w:rsidRPr="00BC1814" w:rsidRDefault="00E321F1" w:rsidP="001A5D4A">
            <w:pPr>
              <w:pStyle w:val="NotesTable-HeadPlain"/>
            </w:pPr>
            <w:r w:rsidRPr="000A11B4">
              <w:t>–</w:t>
            </w:r>
          </w:p>
        </w:tc>
        <w:tc>
          <w:tcPr>
            <w:tcW w:w="406" w:type="pct"/>
            <w:tcBorders>
              <w:top w:val="single" w:sz="4" w:space="0" w:color="auto"/>
            </w:tcBorders>
          </w:tcPr>
          <w:p w14:paraId="465A09D2" w14:textId="77777777" w:rsidR="00E321F1" w:rsidRPr="00BC1814" w:rsidRDefault="00E321F1" w:rsidP="001A5D4A">
            <w:pPr>
              <w:pStyle w:val="NotesTable-HeadPlain"/>
            </w:pPr>
            <w:r w:rsidRPr="000A11B4">
              <w:t>–</w:t>
            </w:r>
          </w:p>
        </w:tc>
        <w:tc>
          <w:tcPr>
            <w:tcW w:w="404" w:type="pct"/>
            <w:tcBorders>
              <w:top w:val="single" w:sz="4" w:space="0" w:color="auto"/>
            </w:tcBorders>
          </w:tcPr>
          <w:p w14:paraId="07379ACE" w14:textId="77777777" w:rsidR="00E321F1" w:rsidRPr="00BC1814" w:rsidRDefault="00E321F1" w:rsidP="001A5D4A">
            <w:pPr>
              <w:pStyle w:val="NotesTable-HeadPlain"/>
            </w:pPr>
            <w:r w:rsidRPr="000A11B4">
              <w:t>–</w:t>
            </w:r>
          </w:p>
        </w:tc>
      </w:tr>
      <w:tr w:rsidR="00E321F1" w:rsidRPr="00BC1814" w14:paraId="433BDB16" w14:textId="77777777" w:rsidTr="00AA2125">
        <w:trPr>
          <w:cantSplit/>
          <w:trHeight w:val="181"/>
        </w:trPr>
        <w:tc>
          <w:tcPr>
            <w:tcW w:w="811" w:type="pct"/>
            <w:vAlign w:val="bottom"/>
          </w:tcPr>
          <w:p w14:paraId="0D26D76E" w14:textId="77777777" w:rsidR="00E321F1" w:rsidRDefault="00E321F1" w:rsidP="001A5D4A">
            <w:pPr>
              <w:pStyle w:val="Note-Refs"/>
            </w:pPr>
          </w:p>
        </w:tc>
        <w:tc>
          <w:tcPr>
            <w:tcW w:w="2296" w:type="pct"/>
            <w:vAlign w:val="bottom"/>
          </w:tcPr>
          <w:p w14:paraId="2623512F" w14:textId="77777777" w:rsidR="00E321F1" w:rsidRPr="00BC1814" w:rsidRDefault="00E321F1" w:rsidP="001A5D4A">
            <w:pPr>
              <w:pStyle w:val="NotesTable-ItemPlain"/>
            </w:pPr>
          </w:p>
        </w:tc>
        <w:tc>
          <w:tcPr>
            <w:tcW w:w="271" w:type="pct"/>
          </w:tcPr>
          <w:p w14:paraId="33EE30B9" w14:textId="77777777" w:rsidR="00E321F1" w:rsidRPr="00BC1814" w:rsidRDefault="00E321F1" w:rsidP="001A5D4A">
            <w:pPr>
              <w:pStyle w:val="NotesTable-Notes"/>
            </w:pPr>
          </w:p>
        </w:tc>
        <w:tc>
          <w:tcPr>
            <w:tcW w:w="406" w:type="pct"/>
          </w:tcPr>
          <w:p w14:paraId="53CFE8F8" w14:textId="77777777" w:rsidR="00E321F1" w:rsidRPr="00BC1814" w:rsidRDefault="00E321F1" w:rsidP="001A5D4A">
            <w:pPr>
              <w:pStyle w:val="NotesTable-CellPlain"/>
            </w:pPr>
          </w:p>
        </w:tc>
        <w:tc>
          <w:tcPr>
            <w:tcW w:w="406" w:type="pct"/>
          </w:tcPr>
          <w:p w14:paraId="6A296209" w14:textId="77777777" w:rsidR="00E321F1" w:rsidRPr="00BC1814" w:rsidRDefault="00E321F1" w:rsidP="001A5D4A">
            <w:pPr>
              <w:pStyle w:val="NotesTable-CellPlain"/>
            </w:pPr>
          </w:p>
        </w:tc>
        <w:tc>
          <w:tcPr>
            <w:tcW w:w="406" w:type="pct"/>
          </w:tcPr>
          <w:p w14:paraId="50A2DB58" w14:textId="77777777" w:rsidR="00E321F1" w:rsidRPr="00BC1814" w:rsidRDefault="00E321F1" w:rsidP="001A5D4A">
            <w:pPr>
              <w:pStyle w:val="NotesTable-CellPlain"/>
            </w:pPr>
          </w:p>
        </w:tc>
        <w:tc>
          <w:tcPr>
            <w:tcW w:w="404" w:type="pct"/>
          </w:tcPr>
          <w:p w14:paraId="12C5A446" w14:textId="77777777" w:rsidR="00E321F1" w:rsidRPr="00BC1814" w:rsidRDefault="00E321F1" w:rsidP="001A5D4A">
            <w:pPr>
              <w:pStyle w:val="NotesTable-CellPlain"/>
            </w:pPr>
          </w:p>
        </w:tc>
      </w:tr>
      <w:tr w:rsidR="00E321F1" w:rsidRPr="00BC1814" w14:paraId="5CD9EE5B" w14:textId="77777777" w:rsidTr="00AA2125">
        <w:trPr>
          <w:cantSplit/>
          <w:trHeight w:val="181"/>
        </w:trPr>
        <w:tc>
          <w:tcPr>
            <w:tcW w:w="811" w:type="pct"/>
            <w:vAlign w:val="bottom"/>
          </w:tcPr>
          <w:p w14:paraId="6A50A3AC" w14:textId="77777777" w:rsidR="00E321F1" w:rsidRDefault="00E321F1" w:rsidP="001A5D4A">
            <w:pPr>
              <w:pStyle w:val="Note-Refs"/>
            </w:pPr>
          </w:p>
        </w:tc>
        <w:tc>
          <w:tcPr>
            <w:tcW w:w="2296" w:type="pct"/>
            <w:vAlign w:val="bottom"/>
          </w:tcPr>
          <w:p w14:paraId="32A3DEAB" w14:textId="62223118" w:rsidR="00E321F1" w:rsidRPr="00BC1814" w:rsidRDefault="00E321F1" w:rsidP="001A5D4A">
            <w:pPr>
              <w:pStyle w:val="Note-TextHeader"/>
            </w:pPr>
            <w:r w:rsidRPr="00BC1814">
              <w:t>Net liability</w:t>
            </w:r>
            <w:r>
              <w:t xml:space="preserve"> reconciliation - 2013</w:t>
            </w:r>
          </w:p>
        </w:tc>
        <w:tc>
          <w:tcPr>
            <w:tcW w:w="271" w:type="pct"/>
          </w:tcPr>
          <w:p w14:paraId="53A21026" w14:textId="77777777" w:rsidR="00E321F1" w:rsidRPr="00BC1814" w:rsidRDefault="00E321F1" w:rsidP="001A5D4A">
            <w:pPr>
              <w:pStyle w:val="NotesTable-Notes"/>
            </w:pPr>
          </w:p>
        </w:tc>
        <w:tc>
          <w:tcPr>
            <w:tcW w:w="406" w:type="pct"/>
            <w:vAlign w:val="bottom"/>
          </w:tcPr>
          <w:p w14:paraId="0B526D55" w14:textId="77777777" w:rsidR="00E321F1" w:rsidRPr="00BC1814" w:rsidRDefault="00E321F1" w:rsidP="001A5D4A">
            <w:pPr>
              <w:pStyle w:val="NotesTable-HeadPlain"/>
              <w:rPr>
                <w:b/>
              </w:rPr>
            </w:pPr>
            <w:r w:rsidRPr="00BC1814">
              <w:t>Fund 1</w:t>
            </w:r>
          </w:p>
        </w:tc>
        <w:tc>
          <w:tcPr>
            <w:tcW w:w="406" w:type="pct"/>
            <w:vAlign w:val="bottom"/>
          </w:tcPr>
          <w:p w14:paraId="7438FC17" w14:textId="77777777" w:rsidR="00E321F1" w:rsidRPr="00BC1814" w:rsidRDefault="00E321F1" w:rsidP="001A5D4A">
            <w:pPr>
              <w:pStyle w:val="NotesTable-HeadPlain"/>
              <w:rPr>
                <w:b/>
              </w:rPr>
            </w:pPr>
            <w:r w:rsidRPr="00BC1814">
              <w:t>Fund 2</w:t>
            </w:r>
          </w:p>
        </w:tc>
        <w:tc>
          <w:tcPr>
            <w:tcW w:w="406" w:type="pct"/>
            <w:vAlign w:val="bottom"/>
          </w:tcPr>
          <w:p w14:paraId="492BF09F" w14:textId="77777777" w:rsidR="00E321F1" w:rsidRPr="00BC1814" w:rsidRDefault="00E321F1" w:rsidP="001A5D4A">
            <w:pPr>
              <w:pStyle w:val="NotesTable-HeadPlain"/>
              <w:rPr>
                <w:b/>
              </w:rPr>
            </w:pPr>
            <w:r w:rsidRPr="00BC1814">
              <w:t>Fund 3</w:t>
            </w:r>
          </w:p>
        </w:tc>
        <w:tc>
          <w:tcPr>
            <w:tcW w:w="404" w:type="pct"/>
            <w:vAlign w:val="bottom"/>
          </w:tcPr>
          <w:p w14:paraId="35BADDC0" w14:textId="77777777" w:rsidR="00E321F1" w:rsidRPr="00BC1814" w:rsidRDefault="00E321F1" w:rsidP="001A5D4A">
            <w:pPr>
              <w:pStyle w:val="NotesTable-HeadPlain"/>
              <w:rPr>
                <w:b/>
              </w:rPr>
            </w:pPr>
            <w:r w:rsidRPr="00BC1814">
              <w:t>Total</w:t>
            </w:r>
          </w:p>
        </w:tc>
      </w:tr>
      <w:tr w:rsidR="00E321F1" w:rsidRPr="00BC1814" w14:paraId="28C591E6" w14:textId="77777777" w:rsidTr="00AA2125">
        <w:trPr>
          <w:cantSplit/>
          <w:trHeight w:val="181"/>
        </w:trPr>
        <w:tc>
          <w:tcPr>
            <w:tcW w:w="811" w:type="pct"/>
            <w:vAlign w:val="bottom"/>
          </w:tcPr>
          <w:p w14:paraId="2F9A1092" w14:textId="77777777" w:rsidR="00E321F1" w:rsidRDefault="00E321F1" w:rsidP="001A5D4A">
            <w:pPr>
              <w:pStyle w:val="Note-Refs"/>
            </w:pPr>
          </w:p>
        </w:tc>
        <w:tc>
          <w:tcPr>
            <w:tcW w:w="2296" w:type="pct"/>
            <w:vAlign w:val="bottom"/>
          </w:tcPr>
          <w:p w14:paraId="447A8003" w14:textId="77777777" w:rsidR="00E321F1" w:rsidRPr="00BC1814" w:rsidRDefault="00E321F1" w:rsidP="001A5D4A">
            <w:pPr>
              <w:pStyle w:val="NotesTable-ItemPlain"/>
              <w:rPr>
                <w:b/>
              </w:rPr>
            </w:pPr>
            <w:r w:rsidRPr="00BC1814">
              <w:t>Defined benefit obligation</w:t>
            </w:r>
          </w:p>
        </w:tc>
        <w:tc>
          <w:tcPr>
            <w:tcW w:w="271" w:type="pct"/>
          </w:tcPr>
          <w:p w14:paraId="2A8DDE2A" w14:textId="77777777" w:rsidR="00E321F1" w:rsidRPr="00BC1814" w:rsidRDefault="00E321F1" w:rsidP="001A5D4A">
            <w:pPr>
              <w:pStyle w:val="NotesTable-Notes"/>
            </w:pPr>
          </w:p>
        </w:tc>
        <w:tc>
          <w:tcPr>
            <w:tcW w:w="406" w:type="pct"/>
          </w:tcPr>
          <w:p w14:paraId="1F90BA64" w14:textId="77777777" w:rsidR="00E321F1" w:rsidRPr="00BC1814" w:rsidRDefault="00E321F1" w:rsidP="001A5D4A">
            <w:pPr>
              <w:pStyle w:val="NotesTable-CellPlain"/>
              <w:rPr>
                <w:b/>
              </w:rPr>
            </w:pPr>
            <w:r w:rsidRPr="00755668">
              <w:t>–</w:t>
            </w:r>
          </w:p>
        </w:tc>
        <w:tc>
          <w:tcPr>
            <w:tcW w:w="406" w:type="pct"/>
          </w:tcPr>
          <w:p w14:paraId="0E4B4C99" w14:textId="77777777" w:rsidR="00E321F1" w:rsidRPr="00BC1814" w:rsidRDefault="00E321F1" w:rsidP="001A5D4A">
            <w:pPr>
              <w:pStyle w:val="NotesTable-CellPlain"/>
              <w:rPr>
                <w:b/>
              </w:rPr>
            </w:pPr>
            <w:r w:rsidRPr="00755668">
              <w:t>–</w:t>
            </w:r>
          </w:p>
        </w:tc>
        <w:tc>
          <w:tcPr>
            <w:tcW w:w="406" w:type="pct"/>
          </w:tcPr>
          <w:p w14:paraId="79C63AE2" w14:textId="77777777" w:rsidR="00E321F1" w:rsidRPr="00BC1814" w:rsidRDefault="00E321F1" w:rsidP="001A5D4A">
            <w:pPr>
              <w:pStyle w:val="NotesTable-CellPlain"/>
              <w:rPr>
                <w:b/>
              </w:rPr>
            </w:pPr>
            <w:r w:rsidRPr="00755668">
              <w:t>–</w:t>
            </w:r>
          </w:p>
        </w:tc>
        <w:tc>
          <w:tcPr>
            <w:tcW w:w="404" w:type="pct"/>
          </w:tcPr>
          <w:p w14:paraId="44CDDDDF" w14:textId="77777777" w:rsidR="00E321F1" w:rsidRPr="00BC1814" w:rsidRDefault="00E321F1" w:rsidP="001A5D4A">
            <w:pPr>
              <w:pStyle w:val="NotesTable-CellPlain"/>
              <w:rPr>
                <w:b/>
              </w:rPr>
            </w:pPr>
            <w:r w:rsidRPr="00755668">
              <w:t>–</w:t>
            </w:r>
          </w:p>
        </w:tc>
      </w:tr>
      <w:tr w:rsidR="00E321F1" w:rsidRPr="00BC1814" w14:paraId="1C5B639C" w14:textId="77777777" w:rsidTr="00AA2125">
        <w:trPr>
          <w:cantSplit/>
          <w:trHeight w:val="181"/>
        </w:trPr>
        <w:tc>
          <w:tcPr>
            <w:tcW w:w="811" w:type="pct"/>
            <w:vAlign w:val="bottom"/>
          </w:tcPr>
          <w:p w14:paraId="3E7AEEE2" w14:textId="77777777" w:rsidR="00E321F1" w:rsidRDefault="00E321F1" w:rsidP="001A5D4A">
            <w:pPr>
              <w:pStyle w:val="Note-Refs"/>
            </w:pPr>
          </w:p>
        </w:tc>
        <w:tc>
          <w:tcPr>
            <w:tcW w:w="2296" w:type="pct"/>
            <w:vAlign w:val="bottom"/>
          </w:tcPr>
          <w:p w14:paraId="0D2B3523" w14:textId="77777777" w:rsidR="00E321F1" w:rsidRPr="00BC1814" w:rsidRDefault="00E321F1" w:rsidP="001A5D4A">
            <w:pPr>
              <w:pStyle w:val="NotesTable-ItemPlain"/>
              <w:rPr>
                <w:b/>
              </w:rPr>
            </w:pPr>
            <w:r w:rsidRPr="00BC1814">
              <w:t>Fair value of plan assets</w:t>
            </w:r>
          </w:p>
        </w:tc>
        <w:tc>
          <w:tcPr>
            <w:tcW w:w="271" w:type="pct"/>
          </w:tcPr>
          <w:p w14:paraId="4DA23BCF" w14:textId="77777777" w:rsidR="00E321F1" w:rsidRPr="00BC1814" w:rsidRDefault="00E321F1" w:rsidP="001A5D4A">
            <w:pPr>
              <w:pStyle w:val="NotesTable-Notes"/>
            </w:pPr>
          </w:p>
        </w:tc>
        <w:tc>
          <w:tcPr>
            <w:tcW w:w="406" w:type="pct"/>
          </w:tcPr>
          <w:p w14:paraId="63DD4199" w14:textId="77777777" w:rsidR="00E321F1" w:rsidRPr="00BC1814" w:rsidRDefault="00E321F1" w:rsidP="001A5D4A">
            <w:pPr>
              <w:pStyle w:val="NotesTable-CellPlain"/>
              <w:rPr>
                <w:b/>
              </w:rPr>
            </w:pPr>
            <w:r w:rsidRPr="00755668">
              <w:t>–</w:t>
            </w:r>
          </w:p>
        </w:tc>
        <w:tc>
          <w:tcPr>
            <w:tcW w:w="406" w:type="pct"/>
          </w:tcPr>
          <w:p w14:paraId="3A2A7CC6" w14:textId="77777777" w:rsidR="00E321F1" w:rsidRPr="00BC1814" w:rsidRDefault="00E321F1" w:rsidP="001A5D4A">
            <w:pPr>
              <w:pStyle w:val="NotesTable-CellPlain"/>
              <w:rPr>
                <w:b/>
              </w:rPr>
            </w:pPr>
            <w:r w:rsidRPr="00755668">
              <w:t>–</w:t>
            </w:r>
          </w:p>
        </w:tc>
        <w:tc>
          <w:tcPr>
            <w:tcW w:w="406" w:type="pct"/>
          </w:tcPr>
          <w:p w14:paraId="0B018AE1" w14:textId="77777777" w:rsidR="00E321F1" w:rsidRPr="00BC1814" w:rsidRDefault="00E321F1" w:rsidP="001A5D4A">
            <w:pPr>
              <w:pStyle w:val="NotesTable-CellPlain"/>
              <w:rPr>
                <w:b/>
              </w:rPr>
            </w:pPr>
            <w:r w:rsidRPr="00755668">
              <w:t>–</w:t>
            </w:r>
          </w:p>
        </w:tc>
        <w:tc>
          <w:tcPr>
            <w:tcW w:w="404" w:type="pct"/>
          </w:tcPr>
          <w:p w14:paraId="55399023" w14:textId="77777777" w:rsidR="00E321F1" w:rsidRPr="00BC1814" w:rsidRDefault="00E321F1" w:rsidP="001A5D4A">
            <w:pPr>
              <w:pStyle w:val="NotesTable-CellPlain"/>
              <w:rPr>
                <w:b/>
              </w:rPr>
            </w:pPr>
            <w:r w:rsidRPr="00755668">
              <w:t>–</w:t>
            </w:r>
          </w:p>
        </w:tc>
      </w:tr>
      <w:tr w:rsidR="00E321F1" w:rsidRPr="00BC1814" w14:paraId="77EA6D88" w14:textId="77777777" w:rsidTr="00AA2125">
        <w:trPr>
          <w:cantSplit/>
          <w:trHeight w:val="181"/>
        </w:trPr>
        <w:tc>
          <w:tcPr>
            <w:tcW w:w="811" w:type="pct"/>
            <w:vAlign w:val="bottom"/>
          </w:tcPr>
          <w:p w14:paraId="790929CA" w14:textId="77777777" w:rsidR="00E321F1" w:rsidRDefault="00E321F1" w:rsidP="001A5D4A">
            <w:pPr>
              <w:pStyle w:val="Note-Refs"/>
            </w:pPr>
          </w:p>
        </w:tc>
        <w:tc>
          <w:tcPr>
            <w:tcW w:w="2296" w:type="pct"/>
            <w:vAlign w:val="bottom"/>
          </w:tcPr>
          <w:p w14:paraId="6F952D94" w14:textId="77777777" w:rsidR="00E321F1" w:rsidRPr="00BC1814" w:rsidRDefault="00E321F1" w:rsidP="001A5D4A">
            <w:pPr>
              <w:pStyle w:val="NotesTable-ItemPlain"/>
              <w:rPr>
                <w:b/>
              </w:rPr>
            </w:pPr>
            <w:r w:rsidRPr="00BC1814">
              <w:t>Net liability</w:t>
            </w:r>
          </w:p>
        </w:tc>
        <w:tc>
          <w:tcPr>
            <w:tcW w:w="271" w:type="pct"/>
          </w:tcPr>
          <w:p w14:paraId="49028911" w14:textId="77777777" w:rsidR="00E321F1" w:rsidRPr="00BC1814" w:rsidRDefault="00E321F1" w:rsidP="001A5D4A">
            <w:pPr>
              <w:pStyle w:val="NotesTable-Notes"/>
              <w:rPr>
                <w:b/>
              </w:rPr>
            </w:pPr>
            <w:r>
              <w:t>32</w:t>
            </w:r>
          </w:p>
        </w:tc>
        <w:tc>
          <w:tcPr>
            <w:tcW w:w="406" w:type="pct"/>
          </w:tcPr>
          <w:p w14:paraId="01512639" w14:textId="77777777" w:rsidR="00E321F1" w:rsidRPr="00BC1814" w:rsidRDefault="00E321F1" w:rsidP="001A5D4A">
            <w:pPr>
              <w:pStyle w:val="NotesTable-CellPlain"/>
              <w:rPr>
                <w:b/>
              </w:rPr>
            </w:pPr>
            <w:r w:rsidRPr="00755668">
              <w:t>–</w:t>
            </w:r>
          </w:p>
        </w:tc>
        <w:tc>
          <w:tcPr>
            <w:tcW w:w="406" w:type="pct"/>
          </w:tcPr>
          <w:p w14:paraId="21341267" w14:textId="77777777" w:rsidR="00E321F1" w:rsidRPr="00BC1814" w:rsidRDefault="00E321F1" w:rsidP="001A5D4A">
            <w:pPr>
              <w:pStyle w:val="NotesTable-CellPlain"/>
              <w:rPr>
                <w:b/>
              </w:rPr>
            </w:pPr>
            <w:r w:rsidRPr="00755668">
              <w:t>–</w:t>
            </w:r>
          </w:p>
        </w:tc>
        <w:tc>
          <w:tcPr>
            <w:tcW w:w="406" w:type="pct"/>
          </w:tcPr>
          <w:p w14:paraId="65B2CE03" w14:textId="77777777" w:rsidR="00E321F1" w:rsidRPr="00BC1814" w:rsidRDefault="00E321F1" w:rsidP="001A5D4A">
            <w:pPr>
              <w:pStyle w:val="NotesTable-CellPlain"/>
              <w:rPr>
                <w:b/>
              </w:rPr>
            </w:pPr>
            <w:r w:rsidRPr="00755668">
              <w:t>–</w:t>
            </w:r>
          </w:p>
        </w:tc>
        <w:tc>
          <w:tcPr>
            <w:tcW w:w="404" w:type="pct"/>
          </w:tcPr>
          <w:p w14:paraId="17963135" w14:textId="77777777" w:rsidR="00E321F1" w:rsidRPr="00BC1814" w:rsidRDefault="00E321F1" w:rsidP="001A5D4A">
            <w:pPr>
              <w:pStyle w:val="NotesTable-CellPlain"/>
              <w:rPr>
                <w:b/>
              </w:rPr>
            </w:pPr>
            <w:r w:rsidRPr="00755668">
              <w:t>–</w:t>
            </w:r>
          </w:p>
        </w:tc>
      </w:tr>
      <w:tr w:rsidR="00E321F1" w:rsidRPr="00BC1814" w14:paraId="522CC892" w14:textId="77777777" w:rsidTr="00AA2125">
        <w:trPr>
          <w:cantSplit/>
          <w:trHeight w:val="181"/>
        </w:trPr>
        <w:tc>
          <w:tcPr>
            <w:tcW w:w="811" w:type="pct"/>
            <w:vAlign w:val="bottom"/>
          </w:tcPr>
          <w:p w14:paraId="7778EBD8" w14:textId="77777777" w:rsidR="00E321F1" w:rsidRDefault="00E321F1" w:rsidP="001A5D4A">
            <w:pPr>
              <w:pStyle w:val="Note-Refs"/>
            </w:pPr>
          </w:p>
        </w:tc>
        <w:tc>
          <w:tcPr>
            <w:tcW w:w="2296" w:type="pct"/>
            <w:vAlign w:val="bottom"/>
          </w:tcPr>
          <w:p w14:paraId="74FCBDD1" w14:textId="77777777" w:rsidR="00E321F1" w:rsidRPr="00BC1814" w:rsidRDefault="00E321F1" w:rsidP="001A5D4A">
            <w:pPr>
              <w:pStyle w:val="NotesTable-ItemPlain"/>
              <w:rPr>
                <w:b/>
              </w:rPr>
            </w:pPr>
            <w:r w:rsidRPr="00BC1814">
              <w:t>Reimbursement right</w:t>
            </w:r>
          </w:p>
        </w:tc>
        <w:tc>
          <w:tcPr>
            <w:tcW w:w="271" w:type="pct"/>
          </w:tcPr>
          <w:p w14:paraId="1F0B00FA" w14:textId="77777777" w:rsidR="00E321F1" w:rsidRPr="00BC1814" w:rsidRDefault="00E321F1" w:rsidP="001A5D4A">
            <w:pPr>
              <w:pStyle w:val="NotesTable-Notes"/>
              <w:rPr>
                <w:b/>
              </w:rPr>
            </w:pPr>
            <w:r>
              <w:t>20</w:t>
            </w:r>
          </w:p>
        </w:tc>
        <w:tc>
          <w:tcPr>
            <w:tcW w:w="406" w:type="pct"/>
            <w:tcBorders>
              <w:bottom w:val="single" w:sz="4" w:space="0" w:color="000000"/>
            </w:tcBorders>
          </w:tcPr>
          <w:p w14:paraId="043128A7" w14:textId="77777777" w:rsidR="00E321F1" w:rsidRPr="00BC1814" w:rsidRDefault="00E321F1" w:rsidP="001A5D4A">
            <w:pPr>
              <w:pStyle w:val="NotesTable-CellPlain"/>
              <w:rPr>
                <w:b/>
              </w:rPr>
            </w:pPr>
            <w:r w:rsidRPr="00755668">
              <w:t>–</w:t>
            </w:r>
          </w:p>
        </w:tc>
        <w:tc>
          <w:tcPr>
            <w:tcW w:w="406" w:type="pct"/>
            <w:tcBorders>
              <w:bottom w:val="single" w:sz="4" w:space="0" w:color="000000"/>
            </w:tcBorders>
          </w:tcPr>
          <w:p w14:paraId="6CF13A20" w14:textId="77777777" w:rsidR="00E321F1" w:rsidRPr="00BC1814" w:rsidRDefault="00E321F1" w:rsidP="001A5D4A">
            <w:pPr>
              <w:pStyle w:val="NotesTable-CellPlain"/>
              <w:rPr>
                <w:b/>
              </w:rPr>
            </w:pPr>
            <w:r w:rsidRPr="00755668">
              <w:t>–</w:t>
            </w:r>
          </w:p>
        </w:tc>
        <w:tc>
          <w:tcPr>
            <w:tcW w:w="406" w:type="pct"/>
            <w:tcBorders>
              <w:bottom w:val="single" w:sz="4" w:space="0" w:color="000000"/>
            </w:tcBorders>
          </w:tcPr>
          <w:p w14:paraId="7D4FC4F3" w14:textId="77777777" w:rsidR="00E321F1" w:rsidRPr="00BC1814" w:rsidRDefault="00E321F1" w:rsidP="001A5D4A">
            <w:pPr>
              <w:pStyle w:val="NotesTable-CellPlain"/>
              <w:rPr>
                <w:b/>
              </w:rPr>
            </w:pPr>
            <w:r w:rsidRPr="00755668">
              <w:t>–</w:t>
            </w:r>
          </w:p>
        </w:tc>
        <w:tc>
          <w:tcPr>
            <w:tcW w:w="404" w:type="pct"/>
            <w:tcBorders>
              <w:bottom w:val="single" w:sz="4" w:space="0" w:color="000000"/>
            </w:tcBorders>
          </w:tcPr>
          <w:p w14:paraId="78438AB2" w14:textId="77777777" w:rsidR="00E321F1" w:rsidRPr="00BC1814" w:rsidRDefault="00E321F1" w:rsidP="001A5D4A">
            <w:pPr>
              <w:pStyle w:val="NotesTable-CellPlain"/>
              <w:rPr>
                <w:b/>
              </w:rPr>
            </w:pPr>
            <w:r w:rsidRPr="00755668">
              <w:t>–</w:t>
            </w:r>
          </w:p>
        </w:tc>
      </w:tr>
      <w:tr w:rsidR="00E321F1" w:rsidRPr="00BC1814" w14:paraId="0B274B52" w14:textId="77777777" w:rsidTr="00AA2125">
        <w:trPr>
          <w:cantSplit/>
          <w:trHeight w:val="181"/>
        </w:trPr>
        <w:tc>
          <w:tcPr>
            <w:tcW w:w="811" w:type="pct"/>
            <w:vAlign w:val="bottom"/>
          </w:tcPr>
          <w:p w14:paraId="1B177743" w14:textId="77777777" w:rsidR="00E321F1" w:rsidRDefault="00E321F1" w:rsidP="001A5D4A">
            <w:pPr>
              <w:pStyle w:val="Note-Refs"/>
            </w:pPr>
          </w:p>
        </w:tc>
        <w:tc>
          <w:tcPr>
            <w:tcW w:w="2296" w:type="pct"/>
            <w:vAlign w:val="bottom"/>
          </w:tcPr>
          <w:p w14:paraId="6E47003B" w14:textId="77777777" w:rsidR="00E321F1" w:rsidRPr="00BC1814" w:rsidRDefault="00E321F1" w:rsidP="001A5D4A">
            <w:pPr>
              <w:pStyle w:val="NotesTable-ItemPlain"/>
              <w:rPr>
                <w:b/>
              </w:rPr>
            </w:pPr>
            <w:r>
              <w:t xml:space="preserve">Total net </w:t>
            </w:r>
            <w:r w:rsidRPr="00BC1814">
              <w:t>liability/(asset)</w:t>
            </w:r>
            <w:r>
              <w:t xml:space="preserve"> </w:t>
            </w:r>
          </w:p>
        </w:tc>
        <w:tc>
          <w:tcPr>
            <w:tcW w:w="271" w:type="pct"/>
          </w:tcPr>
          <w:p w14:paraId="34E0CECC" w14:textId="77777777" w:rsidR="00E321F1" w:rsidRPr="00BC1814" w:rsidRDefault="00E321F1" w:rsidP="001A5D4A">
            <w:pPr>
              <w:pStyle w:val="NotesTable-Notes"/>
            </w:pPr>
          </w:p>
        </w:tc>
        <w:tc>
          <w:tcPr>
            <w:tcW w:w="406" w:type="pct"/>
            <w:tcBorders>
              <w:top w:val="single" w:sz="4" w:space="0" w:color="000000"/>
            </w:tcBorders>
          </w:tcPr>
          <w:p w14:paraId="2F6A2939" w14:textId="77777777" w:rsidR="00E321F1" w:rsidRPr="00BC1814" w:rsidRDefault="00E321F1" w:rsidP="001A5D4A">
            <w:pPr>
              <w:pStyle w:val="NotesTable-CellPlain"/>
              <w:rPr>
                <w:b/>
              </w:rPr>
            </w:pPr>
            <w:r w:rsidRPr="00755668">
              <w:t>–</w:t>
            </w:r>
          </w:p>
        </w:tc>
        <w:tc>
          <w:tcPr>
            <w:tcW w:w="406" w:type="pct"/>
            <w:tcBorders>
              <w:top w:val="single" w:sz="4" w:space="0" w:color="000000"/>
            </w:tcBorders>
          </w:tcPr>
          <w:p w14:paraId="16BC43A1" w14:textId="77777777" w:rsidR="00E321F1" w:rsidRPr="00BC1814" w:rsidRDefault="00E321F1" w:rsidP="001A5D4A">
            <w:pPr>
              <w:pStyle w:val="NotesTable-CellPlain"/>
              <w:rPr>
                <w:b/>
              </w:rPr>
            </w:pPr>
            <w:r w:rsidRPr="00755668">
              <w:t>–</w:t>
            </w:r>
          </w:p>
        </w:tc>
        <w:tc>
          <w:tcPr>
            <w:tcW w:w="406" w:type="pct"/>
            <w:tcBorders>
              <w:top w:val="single" w:sz="4" w:space="0" w:color="000000"/>
            </w:tcBorders>
          </w:tcPr>
          <w:p w14:paraId="4F7B3BBF" w14:textId="77777777" w:rsidR="00E321F1" w:rsidRPr="00BC1814" w:rsidRDefault="00E321F1" w:rsidP="001A5D4A">
            <w:pPr>
              <w:pStyle w:val="NotesTable-CellPlain"/>
              <w:rPr>
                <w:b/>
              </w:rPr>
            </w:pPr>
            <w:r w:rsidRPr="00755668">
              <w:t>–</w:t>
            </w:r>
          </w:p>
        </w:tc>
        <w:tc>
          <w:tcPr>
            <w:tcW w:w="404" w:type="pct"/>
            <w:tcBorders>
              <w:top w:val="single" w:sz="4" w:space="0" w:color="000000"/>
            </w:tcBorders>
          </w:tcPr>
          <w:p w14:paraId="45AFFA6F" w14:textId="77777777" w:rsidR="00E321F1" w:rsidRPr="00BC1814" w:rsidRDefault="00E321F1" w:rsidP="001A5D4A">
            <w:pPr>
              <w:pStyle w:val="NotesTable-CellPlain"/>
              <w:rPr>
                <w:b/>
              </w:rPr>
            </w:pPr>
            <w:r w:rsidRPr="00755668">
              <w:t>–</w:t>
            </w:r>
          </w:p>
        </w:tc>
      </w:tr>
      <w:tr w:rsidR="00E321F1" w:rsidRPr="00BC1814" w14:paraId="08EC836E" w14:textId="77777777" w:rsidTr="00AA2125">
        <w:trPr>
          <w:cantSplit/>
          <w:trHeight w:val="181"/>
        </w:trPr>
        <w:tc>
          <w:tcPr>
            <w:tcW w:w="811" w:type="pct"/>
            <w:vAlign w:val="bottom"/>
          </w:tcPr>
          <w:p w14:paraId="7D8137D7" w14:textId="77777777" w:rsidR="00E321F1" w:rsidRDefault="00E321F1" w:rsidP="001A5D4A">
            <w:pPr>
              <w:pStyle w:val="Note-Refs"/>
            </w:pPr>
          </w:p>
        </w:tc>
        <w:tc>
          <w:tcPr>
            <w:tcW w:w="2296" w:type="pct"/>
            <w:vAlign w:val="bottom"/>
          </w:tcPr>
          <w:p w14:paraId="61483601" w14:textId="77777777" w:rsidR="00E321F1" w:rsidRDefault="00E321F1" w:rsidP="001A5D4A">
            <w:pPr>
              <w:pStyle w:val="NotesTable-ItemBold"/>
            </w:pPr>
          </w:p>
        </w:tc>
        <w:tc>
          <w:tcPr>
            <w:tcW w:w="271" w:type="pct"/>
          </w:tcPr>
          <w:p w14:paraId="2A4CAACB" w14:textId="77777777" w:rsidR="00E321F1" w:rsidRPr="00BC1814" w:rsidRDefault="00E321F1" w:rsidP="001A5D4A">
            <w:pPr>
              <w:pStyle w:val="NotesTable-Notes"/>
            </w:pPr>
          </w:p>
        </w:tc>
        <w:tc>
          <w:tcPr>
            <w:tcW w:w="406" w:type="pct"/>
            <w:vAlign w:val="bottom"/>
          </w:tcPr>
          <w:p w14:paraId="5A40ECD6" w14:textId="77777777" w:rsidR="00E321F1" w:rsidRPr="00BC1814" w:rsidRDefault="00E321F1" w:rsidP="001A5D4A">
            <w:pPr>
              <w:pStyle w:val="NotesTable-HeadPlain"/>
            </w:pPr>
          </w:p>
        </w:tc>
        <w:tc>
          <w:tcPr>
            <w:tcW w:w="406" w:type="pct"/>
            <w:vAlign w:val="bottom"/>
          </w:tcPr>
          <w:p w14:paraId="07CAA556" w14:textId="77777777" w:rsidR="00E321F1" w:rsidRPr="00BC1814" w:rsidRDefault="00E321F1" w:rsidP="001A5D4A">
            <w:pPr>
              <w:pStyle w:val="NotesTable-HeadPlain"/>
            </w:pPr>
          </w:p>
        </w:tc>
        <w:tc>
          <w:tcPr>
            <w:tcW w:w="406" w:type="pct"/>
            <w:vAlign w:val="bottom"/>
          </w:tcPr>
          <w:p w14:paraId="043594AF" w14:textId="77777777" w:rsidR="00E321F1" w:rsidRPr="00BC1814" w:rsidRDefault="00E321F1" w:rsidP="001A5D4A">
            <w:pPr>
              <w:pStyle w:val="NotesTable-HeadPlain"/>
            </w:pPr>
          </w:p>
        </w:tc>
        <w:tc>
          <w:tcPr>
            <w:tcW w:w="404" w:type="pct"/>
            <w:vAlign w:val="bottom"/>
          </w:tcPr>
          <w:p w14:paraId="1695B925" w14:textId="77777777" w:rsidR="00E321F1" w:rsidRPr="00BC1814" w:rsidRDefault="00E321F1" w:rsidP="001A5D4A">
            <w:pPr>
              <w:pStyle w:val="NotesTable-HeadPlain"/>
            </w:pPr>
          </w:p>
        </w:tc>
      </w:tr>
      <w:tr w:rsidR="00E321F1" w:rsidRPr="00BC1814" w14:paraId="015EC35F" w14:textId="77777777" w:rsidTr="00AA2125">
        <w:trPr>
          <w:cantSplit/>
          <w:trHeight w:val="181"/>
        </w:trPr>
        <w:tc>
          <w:tcPr>
            <w:tcW w:w="811" w:type="pct"/>
            <w:vAlign w:val="bottom"/>
          </w:tcPr>
          <w:p w14:paraId="747AD545" w14:textId="77777777" w:rsidR="00E321F1" w:rsidRDefault="00E321F1" w:rsidP="001A5D4A">
            <w:pPr>
              <w:pStyle w:val="Note-Refs"/>
            </w:pPr>
            <w:r>
              <w:t>AASB119.140b</w:t>
            </w:r>
          </w:p>
        </w:tc>
        <w:tc>
          <w:tcPr>
            <w:tcW w:w="2296" w:type="pct"/>
            <w:vAlign w:val="bottom"/>
          </w:tcPr>
          <w:p w14:paraId="2754AEC1" w14:textId="3C51F402" w:rsidR="00E321F1" w:rsidRDefault="00E321F1" w:rsidP="001A5D4A">
            <w:pPr>
              <w:pStyle w:val="Note-TextHeader"/>
            </w:pPr>
            <w:r>
              <w:t>Reimbursement rights - 2013</w:t>
            </w:r>
          </w:p>
        </w:tc>
        <w:tc>
          <w:tcPr>
            <w:tcW w:w="271" w:type="pct"/>
          </w:tcPr>
          <w:p w14:paraId="76C0F129" w14:textId="77777777" w:rsidR="00E321F1" w:rsidRPr="00BC1814" w:rsidRDefault="00E321F1" w:rsidP="001A5D4A">
            <w:pPr>
              <w:pStyle w:val="NotesTable-Notes"/>
            </w:pPr>
          </w:p>
        </w:tc>
        <w:tc>
          <w:tcPr>
            <w:tcW w:w="406" w:type="pct"/>
            <w:vAlign w:val="bottom"/>
          </w:tcPr>
          <w:p w14:paraId="62F0A3EF" w14:textId="77777777" w:rsidR="00E321F1" w:rsidRPr="00BC1814" w:rsidRDefault="00E321F1" w:rsidP="001A5D4A">
            <w:pPr>
              <w:pStyle w:val="NotesTable-HeadPlain"/>
            </w:pPr>
            <w:r w:rsidRPr="00BC1814">
              <w:t>Fund 1</w:t>
            </w:r>
          </w:p>
        </w:tc>
        <w:tc>
          <w:tcPr>
            <w:tcW w:w="406" w:type="pct"/>
            <w:vAlign w:val="bottom"/>
          </w:tcPr>
          <w:p w14:paraId="44CDF332" w14:textId="77777777" w:rsidR="00E321F1" w:rsidRPr="00BC1814" w:rsidRDefault="00E321F1" w:rsidP="001A5D4A">
            <w:pPr>
              <w:pStyle w:val="NotesTable-HeadPlain"/>
            </w:pPr>
            <w:r w:rsidRPr="00BC1814">
              <w:t>Fund 2</w:t>
            </w:r>
          </w:p>
        </w:tc>
        <w:tc>
          <w:tcPr>
            <w:tcW w:w="406" w:type="pct"/>
            <w:vAlign w:val="bottom"/>
          </w:tcPr>
          <w:p w14:paraId="2BF7AA2B" w14:textId="77777777" w:rsidR="00E321F1" w:rsidRPr="00BC1814" w:rsidRDefault="00E321F1" w:rsidP="001A5D4A">
            <w:pPr>
              <w:pStyle w:val="NotesTable-HeadPlain"/>
            </w:pPr>
            <w:r w:rsidRPr="00BC1814">
              <w:t>Fund 3</w:t>
            </w:r>
          </w:p>
        </w:tc>
        <w:tc>
          <w:tcPr>
            <w:tcW w:w="404" w:type="pct"/>
            <w:vAlign w:val="bottom"/>
          </w:tcPr>
          <w:p w14:paraId="574807C4" w14:textId="77777777" w:rsidR="00E321F1" w:rsidRPr="00BC1814" w:rsidRDefault="00E321F1" w:rsidP="001A5D4A">
            <w:pPr>
              <w:pStyle w:val="NotesTable-HeadPlain"/>
            </w:pPr>
            <w:r w:rsidRPr="00BC1814">
              <w:t>Total</w:t>
            </w:r>
          </w:p>
        </w:tc>
      </w:tr>
      <w:tr w:rsidR="00E321F1" w:rsidRPr="00BC1814" w14:paraId="479CF59E" w14:textId="77777777" w:rsidTr="00AA2125">
        <w:trPr>
          <w:cantSplit/>
          <w:trHeight w:val="181"/>
        </w:trPr>
        <w:tc>
          <w:tcPr>
            <w:tcW w:w="811" w:type="pct"/>
            <w:vAlign w:val="bottom"/>
          </w:tcPr>
          <w:p w14:paraId="2B79CCD5" w14:textId="77777777" w:rsidR="00E321F1" w:rsidRDefault="00E321F1" w:rsidP="001A5D4A">
            <w:pPr>
              <w:pStyle w:val="Note-Refs"/>
            </w:pPr>
          </w:p>
        </w:tc>
        <w:tc>
          <w:tcPr>
            <w:tcW w:w="2296" w:type="pct"/>
            <w:vAlign w:val="bottom"/>
          </w:tcPr>
          <w:p w14:paraId="7AB3DF7E" w14:textId="77777777" w:rsidR="00E321F1" w:rsidRDefault="00E321F1" w:rsidP="001A5D4A">
            <w:pPr>
              <w:pStyle w:val="NotesTable-ItemPlain"/>
            </w:pPr>
            <w:r w:rsidRPr="00BC1814">
              <w:t>Opening value of reimbursement right</w:t>
            </w:r>
          </w:p>
        </w:tc>
        <w:tc>
          <w:tcPr>
            <w:tcW w:w="271" w:type="pct"/>
          </w:tcPr>
          <w:p w14:paraId="6191E17D" w14:textId="77777777" w:rsidR="00E321F1" w:rsidRPr="00BC1814" w:rsidRDefault="00E321F1" w:rsidP="001A5D4A">
            <w:pPr>
              <w:pStyle w:val="NotesTable-Notes"/>
            </w:pPr>
          </w:p>
        </w:tc>
        <w:tc>
          <w:tcPr>
            <w:tcW w:w="406" w:type="pct"/>
          </w:tcPr>
          <w:p w14:paraId="34847278" w14:textId="77777777" w:rsidR="00E321F1" w:rsidRPr="00BC1814" w:rsidRDefault="00E321F1" w:rsidP="001A5D4A">
            <w:pPr>
              <w:pStyle w:val="NotesTable-HeadPlain"/>
            </w:pPr>
            <w:r w:rsidRPr="00232D19">
              <w:t>–</w:t>
            </w:r>
          </w:p>
        </w:tc>
        <w:tc>
          <w:tcPr>
            <w:tcW w:w="406" w:type="pct"/>
          </w:tcPr>
          <w:p w14:paraId="58283B50" w14:textId="77777777" w:rsidR="00E321F1" w:rsidRPr="00BC1814" w:rsidRDefault="00E321F1" w:rsidP="001A5D4A">
            <w:pPr>
              <w:pStyle w:val="NotesTable-HeadPlain"/>
            </w:pPr>
            <w:r w:rsidRPr="00232D19">
              <w:t>–</w:t>
            </w:r>
          </w:p>
        </w:tc>
        <w:tc>
          <w:tcPr>
            <w:tcW w:w="406" w:type="pct"/>
          </w:tcPr>
          <w:p w14:paraId="1A783E1D" w14:textId="77777777" w:rsidR="00E321F1" w:rsidRPr="00BC1814" w:rsidRDefault="00E321F1" w:rsidP="001A5D4A">
            <w:pPr>
              <w:pStyle w:val="NotesTable-HeadPlain"/>
            </w:pPr>
            <w:r w:rsidRPr="00232D19">
              <w:t>–</w:t>
            </w:r>
          </w:p>
        </w:tc>
        <w:tc>
          <w:tcPr>
            <w:tcW w:w="404" w:type="pct"/>
          </w:tcPr>
          <w:p w14:paraId="11F38E0B" w14:textId="77777777" w:rsidR="00E321F1" w:rsidRPr="00BC1814" w:rsidRDefault="00E321F1" w:rsidP="001A5D4A">
            <w:pPr>
              <w:pStyle w:val="NotesTable-HeadPlain"/>
            </w:pPr>
            <w:r w:rsidRPr="00232D19">
              <w:t>–</w:t>
            </w:r>
          </w:p>
        </w:tc>
      </w:tr>
      <w:tr w:rsidR="00E321F1" w:rsidRPr="00BC1814" w14:paraId="600455EC" w14:textId="77777777" w:rsidTr="00AA2125">
        <w:trPr>
          <w:cantSplit/>
          <w:trHeight w:val="181"/>
        </w:trPr>
        <w:tc>
          <w:tcPr>
            <w:tcW w:w="811" w:type="pct"/>
            <w:vAlign w:val="bottom"/>
          </w:tcPr>
          <w:p w14:paraId="6B877C06" w14:textId="77777777" w:rsidR="00E321F1" w:rsidRDefault="00E321F1" w:rsidP="001A5D4A">
            <w:pPr>
              <w:pStyle w:val="Note-Refs"/>
            </w:pPr>
          </w:p>
        </w:tc>
        <w:tc>
          <w:tcPr>
            <w:tcW w:w="2296" w:type="pct"/>
            <w:vAlign w:val="bottom"/>
          </w:tcPr>
          <w:p w14:paraId="47ADD2E9" w14:textId="77777777" w:rsidR="00E321F1" w:rsidRDefault="00E321F1" w:rsidP="001A5D4A">
            <w:pPr>
              <w:pStyle w:val="NotesTable-ItemPlain"/>
            </w:pPr>
            <w:r>
              <w:t>Return on reimbursement rights</w:t>
            </w:r>
          </w:p>
        </w:tc>
        <w:tc>
          <w:tcPr>
            <w:tcW w:w="271" w:type="pct"/>
          </w:tcPr>
          <w:p w14:paraId="728121AA" w14:textId="77777777" w:rsidR="00E321F1" w:rsidRPr="00BC1814" w:rsidRDefault="00E321F1" w:rsidP="001A5D4A">
            <w:pPr>
              <w:pStyle w:val="NotesTable-Notes"/>
            </w:pPr>
          </w:p>
        </w:tc>
        <w:tc>
          <w:tcPr>
            <w:tcW w:w="406" w:type="pct"/>
          </w:tcPr>
          <w:p w14:paraId="5EF55B9C" w14:textId="77777777" w:rsidR="00E321F1" w:rsidRPr="00BC1814" w:rsidRDefault="00E321F1" w:rsidP="001A5D4A">
            <w:pPr>
              <w:pStyle w:val="NotesTable-HeadPlain"/>
            </w:pPr>
            <w:r w:rsidRPr="00232D19">
              <w:t>–</w:t>
            </w:r>
          </w:p>
        </w:tc>
        <w:tc>
          <w:tcPr>
            <w:tcW w:w="406" w:type="pct"/>
          </w:tcPr>
          <w:p w14:paraId="05C85C3F" w14:textId="77777777" w:rsidR="00E321F1" w:rsidRPr="00BC1814" w:rsidRDefault="00E321F1" w:rsidP="001A5D4A">
            <w:pPr>
              <w:pStyle w:val="NotesTable-HeadPlain"/>
            </w:pPr>
            <w:r w:rsidRPr="00232D19">
              <w:t>–</w:t>
            </w:r>
          </w:p>
        </w:tc>
        <w:tc>
          <w:tcPr>
            <w:tcW w:w="406" w:type="pct"/>
          </w:tcPr>
          <w:p w14:paraId="728797ED" w14:textId="77777777" w:rsidR="00E321F1" w:rsidRPr="00BC1814" w:rsidRDefault="00E321F1" w:rsidP="001A5D4A">
            <w:pPr>
              <w:pStyle w:val="NotesTable-HeadPlain"/>
            </w:pPr>
            <w:r w:rsidRPr="00232D19">
              <w:t>–</w:t>
            </w:r>
          </w:p>
        </w:tc>
        <w:tc>
          <w:tcPr>
            <w:tcW w:w="404" w:type="pct"/>
          </w:tcPr>
          <w:p w14:paraId="56DC6465" w14:textId="77777777" w:rsidR="00E321F1" w:rsidRPr="00BC1814" w:rsidRDefault="00E321F1" w:rsidP="001A5D4A">
            <w:pPr>
              <w:pStyle w:val="NotesTable-HeadPlain"/>
            </w:pPr>
            <w:r w:rsidRPr="00232D19">
              <w:t>–</w:t>
            </w:r>
          </w:p>
        </w:tc>
      </w:tr>
      <w:tr w:rsidR="00E321F1" w:rsidRPr="00BC1814" w14:paraId="461CCB66" w14:textId="77777777" w:rsidTr="00AA2125">
        <w:trPr>
          <w:cantSplit/>
          <w:trHeight w:val="181"/>
        </w:trPr>
        <w:tc>
          <w:tcPr>
            <w:tcW w:w="811" w:type="pct"/>
            <w:vAlign w:val="bottom"/>
          </w:tcPr>
          <w:p w14:paraId="216139C5" w14:textId="77777777" w:rsidR="00E321F1" w:rsidRDefault="00E321F1" w:rsidP="001A5D4A">
            <w:pPr>
              <w:pStyle w:val="Note-Refs"/>
            </w:pPr>
          </w:p>
        </w:tc>
        <w:tc>
          <w:tcPr>
            <w:tcW w:w="2296" w:type="pct"/>
            <w:vAlign w:val="bottom"/>
          </w:tcPr>
          <w:p w14:paraId="29F1F7C9" w14:textId="77777777" w:rsidR="00E321F1" w:rsidRDefault="00E321F1" w:rsidP="001A5D4A">
            <w:pPr>
              <w:pStyle w:val="NotesTable-ItemPlain"/>
            </w:pPr>
            <w:r>
              <w:t>Remeasurements</w:t>
            </w:r>
          </w:p>
        </w:tc>
        <w:tc>
          <w:tcPr>
            <w:tcW w:w="271" w:type="pct"/>
          </w:tcPr>
          <w:p w14:paraId="42BB9CDB" w14:textId="77777777" w:rsidR="00E321F1" w:rsidRPr="00BC1814" w:rsidRDefault="00E321F1" w:rsidP="001A5D4A">
            <w:pPr>
              <w:pStyle w:val="NotesTable-Notes"/>
            </w:pPr>
          </w:p>
        </w:tc>
        <w:tc>
          <w:tcPr>
            <w:tcW w:w="406" w:type="pct"/>
            <w:tcBorders>
              <w:bottom w:val="single" w:sz="4" w:space="0" w:color="auto"/>
            </w:tcBorders>
          </w:tcPr>
          <w:p w14:paraId="327D584C" w14:textId="77777777" w:rsidR="00E321F1" w:rsidRPr="00BC1814" w:rsidRDefault="00E321F1" w:rsidP="001A5D4A">
            <w:pPr>
              <w:pStyle w:val="NotesTable-HeadPlain"/>
            </w:pPr>
            <w:r w:rsidRPr="00232D19">
              <w:t>–</w:t>
            </w:r>
          </w:p>
        </w:tc>
        <w:tc>
          <w:tcPr>
            <w:tcW w:w="406" w:type="pct"/>
            <w:tcBorders>
              <w:bottom w:val="single" w:sz="4" w:space="0" w:color="auto"/>
            </w:tcBorders>
          </w:tcPr>
          <w:p w14:paraId="0DB1342E" w14:textId="77777777" w:rsidR="00E321F1" w:rsidRPr="00BC1814" w:rsidRDefault="00E321F1" w:rsidP="001A5D4A">
            <w:pPr>
              <w:pStyle w:val="NotesTable-HeadPlain"/>
            </w:pPr>
            <w:r w:rsidRPr="00232D19">
              <w:t>–</w:t>
            </w:r>
          </w:p>
        </w:tc>
        <w:tc>
          <w:tcPr>
            <w:tcW w:w="406" w:type="pct"/>
            <w:tcBorders>
              <w:bottom w:val="single" w:sz="4" w:space="0" w:color="auto"/>
            </w:tcBorders>
          </w:tcPr>
          <w:p w14:paraId="622B70A5" w14:textId="77777777" w:rsidR="00E321F1" w:rsidRPr="00BC1814" w:rsidRDefault="00E321F1" w:rsidP="001A5D4A">
            <w:pPr>
              <w:pStyle w:val="NotesTable-HeadPlain"/>
            </w:pPr>
            <w:r w:rsidRPr="00232D19">
              <w:t>–</w:t>
            </w:r>
          </w:p>
        </w:tc>
        <w:tc>
          <w:tcPr>
            <w:tcW w:w="404" w:type="pct"/>
            <w:tcBorders>
              <w:bottom w:val="single" w:sz="4" w:space="0" w:color="auto"/>
            </w:tcBorders>
          </w:tcPr>
          <w:p w14:paraId="378D6307" w14:textId="77777777" w:rsidR="00E321F1" w:rsidRPr="00BC1814" w:rsidRDefault="00E321F1" w:rsidP="001A5D4A">
            <w:pPr>
              <w:pStyle w:val="NotesTable-HeadPlain"/>
            </w:pPr>
            <w:r w:rsidRPr="00232D19">
              <w:t>–</w:t>
            </w:r>
          </w:p>
        </w:tc>
      </w:tr>
      <w:tr w:rsidR="00E321F1" w:rsidRPr="00BC1814" w14:paraId="5EFA1F73" w14:textId="77777777" w:rsidTr="00AA2125">
        <w:trPr>
          <w:cantSplit/>
          <w:trHeight w:val="181"/>
        </w:trPr>
        <w:tc>
          <w:tcPr>
            <w:tcW w:w="811" w:type="pct"/>
            <w:vAlign w:val="bottom"/>
          </w:tcPr>
          <w:p w14:paraId="59B3E94F" w14:textId="77777777" w:rsidR="00E321F1" w:rsidRDefault="00E321F1" w:rsidP="001A5D4A">
            <w:pPr>
              <w:pStyle w:val="Note-Refs"/>
            </w:pPr>
          </w:p>
        </w:tc>
        <w:tc>
          <w:tcPr>
            <w:tcW w:w="2296" w:type="pct"/>
            <w:vAlign w:val="bottom"/>
          </w:tcPr>
          <w:p w14:paraId="660A730F" w14:textId="77777777" w:rsidR="00E321F1" w:rsidRDefault="00E321F1" w:rsidP="001A5D4A">
            <w:pPr>
              <w:pStyle w:val="NotesTable-ItemPlain"/>
            </w:pPr>
            <w:r w:rsidRPr="00BC1814">
              <w:t>Closing value of reimbursement right</w:t>
            </w:r>
          </w:p>
        </w:tc>
        <w:tc>
          <w:tcPr>
            <w:tcW w:w="271" w:type="pct"/>
          </w:tcPr>
          <w:p w14:paraId="39ECEDDA" w14:textId="77777777" w:rsidR="00E321F1" w:rsidRPr="00BC1814" w:rsidRDefault="00E321F1" w:rsidP="001A5D4A">
            <w:pPr>
              <w:pStyle w:val="NotesTable-Notes"/>
            </w:pPr>
            <w:r>
              <w:t>20</w:t>
            </w:r>
          </w:p>
        </w:tc>
        <w:tc>
          <w:tcPr>
            <w:tcW w:w="406" w:type="pct"/>
            <w:tcBorders>
              <w:top w:val="single" w:sz="4" w:space="0" w:color="auto"/>
            </w:tcBorders>
          </w:tcPr>
          <w:p w14:paraId="516D9125" w14:textId="77777777" w:rsidR="00E321F1" w:rsidRPr="00BC1814" w:rsidRDefault="00E321F1" w:rsidP="001A5D4A">
            <w:pPr>
              <w:pStyle w:val="NotesTable-HeadPlain"/>
            </w:pPr>
            <w:r w:rsidRPr="00232D19">
              <w:t>–</w:t>
            </w:r>
          </w:p>
        </w:tc>
        <w:tc>
          <w:tcPr>
            <w:tcW w:w="406" w:type="pct"/>
            <w:tcBorders>
              <w:top w:val="single" w:sz="4" w:space="0" w:color="auto"/>
            </w:tcBorders>
          </w:tcPr>
          <w:p w14:paraId="7366272F" w14:textId="77777777" w:rsidR="00E321F1" w:rsidRPr="00BC1814" w:rsidRDefault="00E321F1" w:rsidP="001A5D4A">
            <w:pPr>
              <w:pStyle w:val="NotesTable-HeadPlain"/>
            </w:pPr>
            <w:r w:rsidRPr="00232D19">
              <w:t>–</w:t>
            </w:r>
          </w:p>
        </w:tc>
        <w:tc>
          <w:tcPr>
            <w:tcW w:w="406" w:type="pct"/>
            <w:tcBorders>
              <w:top w:val="single" w:sz="4" w:space="0" w:color="auto"/>
            </w:tcBorders>
          </w:tcPr>
          <w:p w14:paraId="30FA21BF" w14:textId="77777777" w:rsidR="00E321F1" w:rsidRPr="00BC1814" w:rsidRDefault="00E321F1" w:rsidP="001A5D4A">
            <w:pPr>
              <w:pStyle w:val="NotesTable-HeadPlain"/>
            </w:pPr>
            <w:r w:rsidRPr="00232D19">
              <w:t>–</w:t>
            </w:r>
          </w:p>
        </w:tc>
        <w:tc>
          <w:tcPr>
            <w:tcW w:w="404" w:type="pct"/>
            <w:tcBorders>
              <w:top w:val="single" w:sz="4" w:space="0" w:color="auto"/>
            </w:tcBorders>
          </w:tcPr>
          <w:p w14:paraId="06ED76FB" w14:textId="77777777" w:rsidR="00E321F1" w:rsidRPr="00BC1814" w:rsidRDefault="00E321F1" w:rsidP="001A5D4A">
            <w:pPr>
              <w:pStyle w:val="NotesTable-HeadPlain"/>
            </w:pPr>
            <w:r w:rsidRPr="00232D19">
              <w:t>–</w:t>
            </w:r>
          </w:p>
        </w:tc>
      </w:tr>
      <w:tr w:rsidR="00E321F1" w:rsidRPr="00BC1814" w14:paraId="1ED77BC1" w14:textId="77777777" w:rsidTr="00AA2125">
        <w:trPr>
          <w:cantSplit/>
          <w:trHeight w:val="181"/>
        </w:trPr>
        <w:tc>
          <w:tcPr>
            <w:tcW w:w="811" w:type="pct"/>
            <w:vAlign w:val="bottom"/>
          </w:tcPr>
          <w:p w14:paraId="3C955552" w14:textId="77777777" w:rsidR="00E321F1" w:rsidRDefault="00E321F1" w:rsidP="001A5D4A">
            <w:pPr>
              <w:pStyle w:val="Note-Refs"/>
            </w:pPr>
          </w:p>
        </w:tc>
        <w:tc>
          <w:tcPr>
            <w:tcW w:w="2296" w:type="pct"/>
            <w:vAlign w:val="bottom"/>
          </w:tcPr>
          <w:p w14:paraId="47F6FCC3" w14:textId="77777777" w:rsidR="00E321F1" w:rsidRDefault="00E321F1" w:rsidP="001A5D4A">
            <w:pPr>
              <w:pStyle w:val="NotesTable-ItemBold"/>
            </w:pPr>
          </w:p>
        </w:tc>
        <w:tc>
          <w:tcPr>
            <w:tcW w:w="271" w:type="pct"/>
          </w:tcPr>
          <w:p w14:paraId="694B93BD" w14:textId="77777777" w:rsidR="00E321F1" w:rsidRPr="00BC1814" w:rsidRDefault="00E321F1" w:rsidP="001A5D4A">
            <w:pPr>
              <w:pStyle w:val="NotesTable-Notes"/>
            </w:pPr>
          </w:p>
        </w:tc>
        <w:tc>
          <w:tcPr>
            <w:tcW w:w="406" w:type="pct"/>
          </w:tcPr>
          <w:p w14:paraId="136F9DC4" w14:textId="77777777" w:rsidR="00E321F1" w:rsidRPr="00BC1814" w:rsidRDefault="00E321F1" w:rsidP="001A5D4A">
            <w:pPr>
              <w:pStyle w:val="NotesTable-HeadPlain"/>
            </w:pPr>
          </w:p>
        </w:tc>
        <w:tc>
          <w:tcPr>
            <w:tcW w:w="406" w:type="pct"/>
          </w:tcPr>
          <w:p w14:paraId="3C043574" w14:textId="77777777" w:rsidR="00E321F1" w:rsidRPr="00BC1814" w:rsidRDefault="00E321F1" w:rsidP="001A5D4A">
            <w:pPr>
              <w:pStyle w:val="NotesTable-HeadPlain"/>
            </w:pPr>
          </w:p>
        </w:tc>
        <w:tc>
          <w:tcPr>
            <w:tcW w:w="406" w:type="pct"/>
          </w:tcPr>
          <w:p w14:paraId="08838766" w14:textId="77777777" w:rsidR="00E321F1" w:rsidRPr="00BC1814" w:rsidRDefault="00E321F1" w:rsidP="001A5D4A">
            <w:pPr>
              <w:pStyle w:val="NotesTable-HeadPlain"/>
            </w:pPr>
          </w:p>
        </w:tc>
        <w:tc>
          <w:tcPr>
            <w:tcW w:w="404" w:type="pct"/>
          </w:tcPr>
          <w:p w14:paraId="38EE08E1" w14:textId="77777777" w:rsidR="00E321F1" w:rsidRPr="00BC1814" w:rsidRDefault="00E321F1" w:rsidP="001A5D4A">
            <w:pPr>
              <w:pStyle w:val="NotesTable-HeadPlain"/>
            </w:pPr>
          </w:p>
        </w:tc>
      </w:tr>
      <w:tr w:rsidR="00E321F1" w:rsidRPr="00BC1814" w14:paraId="151D22A4" w14:textId="77777777" w:rsidTr="00AA2125">
        <w:trPr>
          <w:cantSplit/>
          <w:trHeight w:val="161"/>
        </w:trPr>
        <w:tc>
          <w:tcPr>
            <w:tcW w:w="811" w:type="pct"/>
          </w:tcPr>
          <w:p w14:paraId="4BB350B0" w14:textId="77777777" w:rsidR="00E321F1" w:rsidRDefault="00E321F1" w:rsidP="001A5D4A">
            <w:pPr>
              <w:pStyle w:val="Note-Refs"/>
            </w:pPr>
            <w:r>
              <w:t>AASB119.140a(ii)</w:t>
            </w:r>
          </w:p>
        </w:tc>
        <w:tc>
          <w:tcPr>
            <w:tcW w:w="2296" w:type="pct"/>
            <w:vAlign w:val="bottom"/>
          </w:tcPr>
          <w:p w14:paraId="392B44E8" w14:textId="4B2C984E" w:rsidR="00E321F1" w:rsidRPr="00BC1814" w:rsidRDefault="00E321F1" w:rsidP="001A5D4A">
            <w:pPr>
              <w:pStyle w:val="Note-TextHeader"/>
            </w:pPr>
            <w:r w:rsidRPr="00BC1814">
              <w:t xml:space="preserve">Present value </w:t>
            </w:r>
            <w:r>
              <w:t xml:space="preserve">of </w:t>
            </w:r>
            <w:r w:rsidRPr="00BC1814">
              <w:t xml:space="preserve">obligation - </w:t>
            </w:r>
            <w:r>
              <w:t>2013</w:t>
            </w:r>
          </w:p>
        </w:tc>
        <w:tc>
          <w:tcPr>
            <w:tcW w:w="271" w:type="pct"/>
          </w:tcPr>
          <w:p w14:paraId="4BFF515F" w14:textId="77777777" w:rsidR="00E321F1" w:rsidRPr="00BC1814" w:rsidRDefault="00E321F1" w:rsidP="001A5D4A">
            <w:pPr>
              <w:pStyle w:val="NotesTable-Notes"/>
            </w:pPr>
          </w:p>
        </w:tc>
        <w:tc>
          <w:tcPr>
            <w:tcW w:w="406" w:type="pct"/>
            <w:vAlign w:val="bottom"/>
          </w:tcPr>
          <w:p w14:paraId="1CE1823B" w14:textId="77777777" w:rsidR="00E321F1" w:rsidRPr="00BC1814" w:rsidRDefault="00E321F1" w:rsidP="001A5D4A">
            <w:pPr>
              <w:pStyle w:val="NotesTable-HeadPlain"/>
              <w:rPr>
                <w:b/>
              </w:rPr>
            </w:pPr>
            <w:r w:rsidRPr="00BC1814">
              <w:t>Fund 1</w:t>
            </w:r>
          </w:p>
        </w:tc>
        <w:tc>
          <w:tcPr>
            <w:tcW w:w="406" w:type="pct"/>
            <w:vAlign w:val="bottom"/>
          </w:tcPr>
          <w:p w14:paraId="124DC74F" w14:textId="77777777" w:rsidR="00E321F1" w:rsidRPr="00BC1814" w:rsidRDefault="00E321F1" w:rsidP="001A5D4A">
            <w:pPr>
              <w:pStyle w:val="NotesTable-HeadPlain"/>
              <w:rPr>
                <w:b/>
              </w:rPr>
            </w:pPr>
            <w:r w:rsidRPr="00BC1814">
              <w:t>Fund 2</w:t>
            </w:r>
          </w:p>
        </w:tc>
        <w:tc>
          <w:tcPr>
            <w:tcW w:w="406" w:type="pct"/>
            <w:vAlign w:val="bottom"/>
          </w:tcPr>
          <w:p w14:paraId="4CE3EC2D" w14:textId="77777777" w:rsidR="00E321F1" w:rsidRPr="00BC1814" w:rsidRDefault="00E321F1" w:rsidP="001A5D4A">
            <w:pPr>
              <w:pStyle w:val="NotesTable-HeadPlain"/>
              <w:rPr>
                <w:b/>
              </w:rPr>
            </w:pPr>
            <w:r w:rsidRPr="00BC1814">
              <w:t>Fund 3</w:t>
            </w:r>
          </w:p>
        </w:tc>
        <w:tc>
          <w:tcPr>
            <w:tcW w:w="404" w:type="pct"/>
            <w:vAlign w:val="bottom"/>
          </w:tcPr>
          <w:p w14:paraId="5EE86951" w14:textId="77777777" w:rsidR="00E321F1" w:rsidRPr="00BC1814" w:rsidRDefault="00E321F1" w:rsidP="001A5D4A">
            <w:pPr>
              <w:pStyle w:val="NotesTable-HeadPlain"/>
              <w:rPr>
                <w:b/>
              </w:rPr>
            </w:pPr>
            <w:r w:rsidRPr="00BC1814">
              <w:t>Total</w:t>
            </w:r>
          </w:p>
        </w:tc>
      </w:tr>
      <w:tr w:rsidR="00E321F1" w:rsidRPr="00BC1814" w14:paraId="0C237B68" w14:textId="77777777" w:rsidTr="00AA2125">
        <w:trPr>
          <w:cantSplit/>
          <w:trHeight w:val="161"/>
        </w:trPr>
        <w:tc>
          <w:tcPr>
            <w:tcW w:w="811" w:type="pct"/>
            <w:vAlign w:val="bottom"/>
          </w:tcPr>
          <w:p w14:paraId="19C6BBBB" w14:textId="77777777" w:rsidR="00E321F1" w:rsidRDefault="00E321F1" w:rsidP="001A5D4A">
            <w:pPr>
              <w:pStyle w:val="Note-Refs"/>
            </w:pPr>
            <w:r>
              <w:t>AASB119.140</w:t>
            </w:r>
          </w:p>
        </w:tc>
        <w:tc>
          <w:tcPr>
            <w:tcW w:w="2296" w:type="pct"/>
            <w:vAlign w:val="bottom"/>
          </w:tcPr>
          <w:p w14:paraId="781CB9B7" w14:textId="77777777" w:rsidR="00E321F1" w:rsidRPr="00BC1814" w:rsidRDefault="00E321F1" w:rsidP="001A5D4A">
            <w:pPr>
              <w:pStyle w:val="NotesTable-ItemPlain"/>
              <w:rPr>
                <w:b/>
              </w:rPr>
            </w:pPr>
            <w:r w:rsidRPr="00BC1814">
              <w:t>Opening defined benefit obligation</w:t>
            </w:r>
          </w:p>
        </w:tc>
        <w:tc>
          <w:tcPr>
            <w:tcW w:w="271" w:type="pct"/>
          </w:tcPr>
          <w:p w14:paraId="010D97F2" w14:textId="77777777" w:rsidR="00E321F1" w:rsidRPr="00BC1814" w:rsidRDefault="00E321F1" w:rsidP="001A5D4A">
            <w:pPr>
              <w:pStyle w:val="NotesTable-Notes"/>
            </w:pPr>
          </w:p>
        </w:tc>
        <w:tc>
          <w:tcPr>
            <w:tcW w:w="406" w:type="pct"/>
          </w:tcPr>
          <w:p w14:paraId="018AD923" w14:textId="77777777" w:rsidR="00E321F1" w:rsidRPr="00BC1814" w:rsidRDefault="00E321F1" w:rsidP="001A5D4A">
            <w:pPr>
              <w:pStyle w:val="NotesTable-CellPlain"/>
              <w:rPr>
                <w:b/>
              </w:rPr>
            </w:pPr>
            <w:r w:rsidRPr="000A11B4">
              <w:t>–</w:t>
            </w:r>
          </w:p>
        </w:tc>
        <w:tc>
          <w:tcPr>
            <w:tcW w:w="406" w:type="pct"/>
          </w:tcPr>
          <w:p w14:paraId="46B8CC5D" w14:textId="77777777" w:rsidR="00E321F1" w:rsidRPr="00BC1814" w:rsidRDefault="00E321F1" w:rsidP="001A5D4A">
            <w:pPr>
              <w:pStyle w:val="NotesTable-CellPlain"/>
              <w:rPr>
                <w:b/>
              </w:rPr>
            </w:pPr>
            <w:r w:rsidRPr="000A11B4">
              <w:t>–</w:t>
            </w:r>
          </w:p>
        </w:tc>
        <w:tc>
          <w:tcPr>
            <w:tcW w:w="406" w:type="pct"/>
          </w:tcPr>
          <w:p w14:paraId="3A84D70D" w14:textId="77777777" w:rsidR="00E321F1" w:rsidRPr="00BC1814" w:rsidRDefault="00E321F1" w:rsidP="001A5D4A">
            <w:pPr>
              <w:pStyle w:val="NotesTable-CellPlain"/>
              <w:rPr>
                <w:b/>
              </w:rPr>
            </w:pPr>
            <w:r w:rsidRPr="000A11B4">
              <w:t>–</w:t>
            </w:r>
          </w:p>
        </w:tc>
        <w:tc>
          <w:tcPr>
            <w:tcW w:w="404" w:type="pct"/>
          </w:tcPr>
          <w:p w14:paraId="153ACEFD" w14:textId="77777777" w:rsidR="00E321F1" w:rsidRPr="00BC1814" w:rsidRDefault="00E321F1" w:rsidP="001A5D4A">
            <w:pPr>
              <w:pStyle w:val="NotesTable-CellPlain"/>
              <w:rPr>
                <w:b/>
              </w:rPr>
            </w:pPr>
            <w:r w:rsidRPr="000A11B4">
              <w:t>–</w:t>
            </w:r>
          </w:p>
        </w:tc>
      </w:tr>
      <w:tr w:rsidR="00E321F1" w:rsidRPr="00BC1814" w14:paraId="313A33E4" w14:textId="77777777" w:rsidTr="00AA2125">
        <w:trPr>
          <w:cantSplit/>
          <w:trHeight w:val="161"/>
        </w:trPr>
        <w:tc>
          <w:tcPr>
            <w:tcW w:w="811" w:type="pct"/>
            <w:vAlign w:val="bottom"/>
          </w:tcPr>
          <w:p w14:paraId="484200CC" w14:textId="77777777" w:rsidR="00E321F1" w:rsidRDefault="00E321F1" w:rsidP="001A5D4A">
            <w:pPr>
              <w:pStyle w:val="Note-Refs"/>
              <w:rPr>
                <w:b/>
              </w:rPr>
            </w:pPr>
            <w:r>
              <w:t>AASB119.141a</w:t>
            </w:r>
          </w:p>
        </w:tc>
        <w:tc>
          <w:tcPr>
            <w:tcW w:w="2296" w:type="pct"/>
            <w:vAlign w:val="bottom"/>
          </w:tcPr>
          <w:p w14:paraId="27257EE8" w14:textId="77777777" w:rsidR="00E321F1" w:rsidRPr="00BC1814" w:rsidRDefault="00E321F1" w:rsidP="001A5D4A">
            <w:pPr>
              <w:pStyle w:val="NotesTable-ItemPlain"/>
              <w:rPr>
                <w:b/>
              </w:rPr>
            </w:pPr>
            <w:r w:rsidRPr="00BC1814">
              <w:t>Current service cost</w:t>
            </w:r>
          </w:p>
        </w:tc>
        <w:tc>
          <w:tcPr>
            <w:tcW w:w="271" w:type="pct"/>
          </w:tcPr>
          <w:p w14:paraId="64825A3A" w14:textId="77777777" w:rsidR="00E321F1" w:rsidRPr="00BC1814" w:rsidRDefault="00E321F1" w:rsidP="001A5D4A">
            <w:pPr>
              <w:pStyle w:val="NotesTable-Notes"/>
            </w:pPr>
          </w:p>
        </w:tc>
        <w:tc>
          <w:tcPr>
            <w:tcW w:w="406" w:type="pct"/>
          </w:tcPr>
          <w:p w14:paraId="77CC5C00" w14:textId="77777777" w:rsidR="00E321F1" w:rsidRPr="00BC1814" w:rsidRDefault="00E321F1" w:rsidP="001A5D4A">
            <w:pPr>
              <w:pStyle w:val="NotesTable-CellPlain"/>
              <w:rPr>
                <w:b/>
              </w:rPr>
            </w:pPr>
            <w:r w:rsidRPr="000A11B4">
              <w:t>–</w:t>
            </w:r>
          </w:p>
        </w:tc>
        <w:tc>
          <w:tcPr>
            <w:tcW w:w="406" w:type="pct"/>
          </w:tcPr>
          <w:p w14:paraId="75F272A5" w14:textId="77777777" w:rsidR="00E321F1" w:rsidRPr="00BC1814" w:rsidRDefault="00E321F1" w:rsidP="001A5D4A">
            <w:pPr>
              <w:pStyle w:val="NotesTable-CellPlain"/>
              <w:rPr>
                <w:b/>
              </w:rPr>
            </w:pPr>
            <w:r w:rsidRPr="000A11B4">
              <w:t>–</w:t>
            </w:r>
          </w:p>
        </w:tc>
        <w:tc>
          <w:tcPr>
            <w:tcW w:w="406" w:type="pct"/>
          </w:tcPr>
          <w:p w14:paraId="71250D83" w14:textId="77777777" w:rsidR="00E321F1" w:rsidRPr="00BC1814" w:rsidRDefault="00E321F1" w:rsidP="001A5D4A">
            <w:pPr>
              <w:pStyle w:val="NotesTable-CellPlain"/>
              <w:rPr>
                <w:b/>
              </w:rPr>
            </w:pPr>
            <w:r w:rsidRPr="000A11B4">
              <w:t>–</w:t>
            </w:r>
          </w:p>
        </w:tc>
        <w:tc>
          <w:tcPr>
            <w:tcW w:w="404" w:type="pct"/>
          </w:tcPr>
          <w:p w14:paraId="3584583F" w14:textId="77777777" w:rsidR="00E321F1" w:rsidRPr="00BC1814" w:rsidRDefault="00E321F1" w:rsidP="001A5D4A">
            <w:pPr>
              <w:pStyle w:val="NotesTable-CellPlain"/>
              <w:rPr>
                <w:b/>
              </w:rPr>
            </w:pPr>
            <w:r w:rsidRPr="000A11B4">
              <w:t>–</w:t>
            </w:r>
          </w:p>
        </w:tc>
      </w:tr>
      <w:tr w:rsidR="00E321F1" w:rsidRPr="00BC1814" w14:paraId="70183FA2" w14:textId="77777777" w:rsidTr="00AA2125">
        <w:trPr>
          <w:cantSplit/>
          <w:trHeight w:val="161"/>
        </w:trPr>
        <w:tc>
          <w:tcPr>
            <w:tcW w:w="811" w:type="pct"/>
            <w:vAlign w:val="bottom"/>
          </w:tcPr>
          <w:p w14:paraId="20E584DA" w14:textId="77777777" w:rsidR="00E321F1" w:rsidRDefault="00E321F1" w:rsidP="001A5D4A">
            <w:pPr>
              <w:pStyle w:val="Note-Refs"/>
              <w:rPr>
                <w:b/>
              </w:rPr>
            </w:pPr>
            <w:r>
              <w:t>AASB119.141d</w:t>
            </w:r>
          </w:p>
        </w:tc>
        <w:tc>
          <w:tcPr>
            <w:tcW w:w="2296" w:type="pct"/>
            <w:vAlign w:val="bottom"/>
          </w:tcPr>
          <w:p w14:paraId="20265C90" w14:textId="77777777" w:rsidR="00E321F1" w:rsidRPr="00BC1814" w:rsidRDefault="00E321F1" w:rsidP="001A5D4A">
            <w:pPr>
              <w:pStyle w:val="NotesTable-ItemPlain"/>
              <w:rPr>
                <w:b/>
              </w:rPr>
            </w:pPr>
            <w:r w:rsidRPr="00BC1814">
              <w:t>Past service cost</w:t>
            </w:r>
          </w:p>
        </w:tc>
        <w:tc>
          <w:tcPr>
            <w:tcW w:w="271" w:type="pct"/>
          </w:tcPr>
          <w:p w14:paraId="7AB9D115" w14:textId="77777777" w:rsidR="00E321F1" w:rsidRPr="00BC1814" w:rsidRDefault="00E321F1" w:rsidP="001A5D4A">
            <w:pPr>
              <w:pStyle w:val="NotesTable-Notes"/>
            </w:pPr>
          </w:p>
        </w:tc>
        <w:tc>
          <w:tcPr>
            <w:tcW w:w="406" w:type="pct"/>
          </w:tcPr>
          <w:p w14:paraId="45970B7D" w14:textId="77777777" w:rsidR="00E321F1" w:rsidRPr="00BC1814" w:rsidRDefault="00E321F1" w:rsidP="001A5D4A">
            <w:pPr>
              <w:pStyle w:val="NotesTable-CellPlain"/>
              <w:rPr>
                <w:b/>
              </w:rPr>
            </w:pPr>
            <w:r w:rsidRPr="000A11B4">
              <w:t>–</w:t>
            </w:r>
          </w:p>
        </w:tc>
        <w:tc>
          <w:tcPr>
            <w:tcW w:w="406" w:type="pct"/>
          </w:tcPr>
          <w:p w14:paraId="4EA093CD" w14:textId="77777777" w:rsidR="00E321F1" w:rsidRPr="00BC1814" w:rsidRDefault="00E321F1" w:rsidP="001A5D4A">
            <w:pPr>
              <w:pStyle w:val="NotesTable-CellPlain"/>
              <w:rPr>
                <w:b/>
              </w:rPr>
            </w:pPr>
            <w:r w:rsidRPr="000A11B4">
              <w:t>–</w:t>
            </w:r>
          </w:p>
        </w:tc>
        <w:tc>
          <w:tcPr>
            <w:tcW w:w="406" w:type="pct"/>
          </w:tcPr>
          <w:p w14:paraId="0152EDB4" w14:textId="77777777" w:rsidR="00E321F1" w:rsidRPr="00BC1814" w:rsidRDefault="00E321F1" w:rsidP="001A5D4A">
            <w:pPr>
              <w:pStyle w:val="NotesTable-CellPlain"/>
              <w:rPr>
                <w:b/>
              </w:rPr>
            </w:pPr>
            <w:r w:rsidRPr="000A11B4">
              <w:t>–</w:t>
            </w:r>
          </w:p>
        </w:tc>
        <w:tc>
          <w:tcPr>
            <w:tcW w:w="404" w:type="pct"/>
          </w:tcPr>
          <w:p w14:paraId="6575B7C7" w14:textId="77777777" w:rsidR="00E321F1" w:rsidRPr="00BC1814" w:rsidRDefault="00E321F1" w:rsidP="001A5D4A">
            <w:pPr>
              <w:pStyle w:val="NotesTable-CellPlain"/>
              <w:rPr>
                <w:b/>
              </w:rPr>
            </w:pPr>
            <w:r w:rsidRPr="000A11B4">
              <w:t>–</w:t>
            </w:r>
          </w:p>
        </w:tc>
      </w:tr>
      <w:tr w:rsidR="00E321F1" w:rsidRPr="00BC1814" w14:paraId="38C97E9A" w14:textId="77777777" w:rsidTr="00AA2125">
        <w:trPr>
          <w:cantSplit/>
          <w:trHeight w:val="161"/>
        </w:trPr>
        <w:tc>
          <w:tcPr>
            <w:tcW w:w="811" w:type="pct"/>
            <w:vAlign w:val="bottom"/>
          </w:tcPr>
          <w:p w14:paraId="6D4E1632" w14:textId="77777777" w:rsidR="00E321F1" w:rsidRDefault="00E321F1" w:rsidP="001A5D4A">
            <w:pPr>
              <w:pStyle w:val="Note-Refs"/>
              <w:rPr>
                <w:b/>
              </w:rPr>
            </w:pPr>
            <w:r>
              <w:t>AASB119.141b</w:t>
            </w:r>
          </w:p>
        </w:tc>
        <w:tc>
          <w:tcPr>
            <w:tcW w:w="2296" w:type="pct"/>
            <w:vAlign w:val="bottom"/>
          </w:tcPr>
          <w:p w14:paraId="67B66F07" w14:textId="77777777" w:rsidR="00E321F1" w:rsidRPr="00BC1814" w:rsidRDefault="00E321F1" w:rsidP="001A5D4A">
            <w:pPr>
              <w:pStyle w:val="NotesTable-ItemPlain"/>
              <w:rPr>
                <w:b/>
              </w:rPr>
            </w:pPr>
            <w:r w:rsidRPr="00BC1814">
              <w:t xml:space="preserve">Interest </w:t>
            </w:r>
            <w:r>
              <w:t>expense</w:t>
            </w:r>
          </w:p>
        </w:tc>
        <w:tc>
          <w:tcPr>
            <w:tcW w:w="271" w:type="pct"/>
          </w:tcPr>
          <w:p w14:paraId="5CCE4AEA" w14:textId="77777777" w:rsidR="00E321F1" w:rsidRPr="00BC1814" w:rsidRDefault="00E321F1" w:rsidP="001A5D4A">
            <w:pPr>
              <w:pStyle w:val="NotesTable-Notes"/>
            </w:pPr>
          </w:p>
        </w:tc>
        <w:tc>
          <w:tcPr>
            <w:tcW w:w="406" w:type="pct"/>
            <w:tcBorders>
              <w:bottom w:val="single" w:sz="4" w:space="0" w:color="auto"/>
            </w:tcBorders>
          </w:tcPr>
          <w:p w14:paraId="711CD802" w14:textId="77777777" w:rsidR="00E321F1" w:rsidRPr="00BC1814" w:rsidRDefault="00E321F1" w:rsidP="001A5D4A">
            <w:pPr>
              <w:pStyle w:val="NotesTable-CellPlain"/>
              <w:rPr>
                <w:b/>
              </w:rPr>
            </w:pPr>
            <w:r w:rsidRPr="000A11B4">
              <w:t>–</w:t>
            </w:r>
          </w:p>
        </w:tc>
        <w:tc>
          <w:tcPr>
            <w:tcW w:w="406" w:type="pct"/>
            <w:tcBorders>
              <w:bottom w:val="single" w:sz="4" w:space="0" w:color="auto"/>
            </w:tcBorders>
          </w:tcPr>
          <w:p w14:paraId="7A97BF3B" w14:textId="77777777" w:rsidR="00E321F1" w:rsidRPr="00BC1814" w:rsidRDefault="00E321F1" w:rsidP="001A5D4A">
            <w:pPr>
              <w:pStyle w:val="NotesTable-CellPlain"/>
              <w:rPr>
                <w:b/>
              </w:rPr>
            </w:pPr>
            <w:r w:rsidRPr="000A11B4">
              <w:t>–</w:t>
            </w:r>
          </w:p>
        </w:tc>
        <w:tc>
          <w:tcPr>
            <w:tcW w:w="406" w:type="pct"/>
            <w:tcBorders>
              <w:bottom w:val="single" w:sz="4" w:space="0" w:color="auto"/>
            </w:tcBorders>
          </w:tcPr>
          <w:p w14:paraId="2A903A0A" w14:textId="77777777" w:rsidR="00E321F1" w:rsidRPr="00BC1814" w:rsidRDefault="00E321F1" w:rsidP="001A5D4A">
            <w:pPr>
              <w:pStyle w:val="NotesTable-CellPlain"/>
              <w:rPr>
                <w:b/>
              </w:rPr>
            </w:pPr>
            <w:r w:rsidRPr="000A11B4">
              <w:t>–</w:t>
            </w:r>
          </w:p>
        </w:tc>
        <w:tc>
          <w:tcPr>
            <w:tcW w:w="404" w:type="pct"/>
            <w:tcBorders>
              <w:bottom w:val="single" w:sz="4" w:space="0" w:color="auto"/>
            </w:tcBorders>
          </w:tcPr>
          <w:p w14:paraId="7A0F51FE" w14:textId="77777777" w:rsidR="00E321F1" w:rsidRPr="00BC1814" w:rsidRDefault="00E321F1" w:rsidP="001A5D4A">
            <w:pPr>
              <w:pStyle w:val="NotesTable-CellPlain"/>
              <w:rPr>
                <w:b/>
              </w:rPr>
            </w:pPr>
            <w:r w:rsidRPr="000A11B4">
              <w:t>–</w:t>
            </w:r>
          </w:p>
        </w:tc>
      </w:tr>
      <w:tr w:rsidR="00E321F1" w:rsidRPr="000A11B4" w14:paraId="797D151D" w14:textId="77777777" w:rsidTr="00AA2125">
        <w:trPr>
          <w:cantSplit/>
          <w:trHeight w:val="161"/>
        </w:trPr>
        <w:tc>
          <w:tcPr>
            <w:tcW w:w="811" w:type="pct"/>
            <w:vAlign w:val="bottom"/>
          </w:tcPr>
          <w:p w14:paraId="250AA10E" w14:textId="77777777" w:rsidR="00E321F1" w:rsidRDefault="00E321F1" w:rsidP="001A5D4A">
            <w:pPr>
              <w:pStyle w:val="Note-Refs"/>
            </w:pPr>
          </w:p>
        </w:tc>
        <w:tc>
          <w:tcPr>
            <w:tcW w:w="2296" w:type="pct"/>
            <w:vAlign w:val="bottom"/>
          </w:tcPr>
          <w:p w14:paraId="23D15806" w14:textId="77777777" w:rsidR="00E321F1" w:rsidRDefault="00E321F1" w:rsidP="001A5D4A">
            <w:pPr>
              <w:pStyle w:val="NotesTable-ItemPlain"/>
            </w:pPr>
          </w:p>
        </w:tc>
        <w:tc>
          <w:tcPr>
            <w:tcW w:w="271" w:type="pct"/>
          </w:tcPr>
          <w:p w14:paraId="312AB207" w14:textId="77777777" w:rsidR="00E321F1" w:rsidRPr="00BC1814" w:rsidRDefault="00E321F1" w:rsidP="001A5D4A">
            <w:pPr>
              <w:pStyle w:val="NotesTable-Notes"/>
            </w:pPr>
          </w:p>
        </w:tc>
        <w:tc>
          <w:tcPr>
            <w:tcW w:w="406" w:type="pct"/>
            <w:tcBorders>
              <w:top w:val="single" w:sz="4" w:space="0" w:color="auto"/>
            </w:tcBorders>
          </w:tcPr>
          <w:p w14:paraId="4DFC73D5" w14:textId="77777777" w:rsidR="00E321F1" w:rsidRPr="000A11B4" w:rsidRDefault="00E321F1" w:rsidP="001A5D4A">
            <w:pPr>
              <w:pStyle w:val="NotesTable-CellPlain"/>
            </w:pPr>
            <w:r w:rsidRPr="000A11B4">
              <w:t>–</w:t>
            </w:r>
          </w:p>
        </w:tc>
        <w:tc>
          <w:tcPr>
            <w:tcW w:w="406" w:type="pct"/>
            <w:tcBorders>
              <w:top w:val="single" w:sz="4" w:space="0" w:color="auto"/>
            </w:tcBorders>
          </w:tcPr>
          <w:p w14:paraId="68F4A28B" w14:textId="77777777" w:rsidR="00E321F1" w:rsidRPr="000A11B4" w:rsidRDefault="00E321F1" w:rsidP="001A5D4A">
            <w:pPr>
              <w:pStyle w:val="NotesTable-CellPlain"/>
            </w:pPr>
            <w:r w:rsidRPr="000A11B4">
              <w:t>–</w:t>
            </w:r>
          </w:p>
        </w:tc>
        <w:tc>
          <w:tcPr>
            <w:tcW w:w="406" w:type="pct"/>
            <w:tcBorders>
              <w:top w:val="single" w:sz="4" w:space="0" w:color="auto"/>
            </w:tcBorders>
          </w:tcPr>
          <w:p w14:paraId="0C0CAB7B" w14:textId="77777777" w:rsidR="00E321F1" w:rsidRPr="000A11B4" w:rsidRDefault="00E321F1" w:rsidP="001A5D4A">
            <w:pPr>
              <w:pStyle w:val="NotesTable-CellPlain"/>
            </w:pPr>
            <w:r w:rsidRPr="000A11B4">
              <w:t>–</w:t>
            </w:r>
          </w:p>
        </w:tc>
        <w:tc>
          <w:tcPr>
            <w:tcW w:w="404" w:type="pct"/>
            <w:tcBorders>
              <w:top w:val="single" w:sz="4" w:space="0" w:color="auto"/>
            </w:tcBorders>
          </w:tcPr>
          <w:p w14:paraId="5D1B4042" w14:textId="77777777" w:rsidR="00E321F1" w:rsidRPr="000A11B4" w:rsidRDefault="00E321F1" w:rsidP="001A5D4A">
            <w:pPr>
              <w:pStyle w:val="NotesTable-CellPlain"/>
            </w:pPr>
            <w:r w:rsidRPr="000A11B4">
              <w:t>–</w:t>
            </w:r>
          </w:p>
        </w:tc>
      </w:tr>
      <w:tr w:rsidR="00E321F1" w:rsidRPr="000A11B4" w14:paraId="6C67A824" w14:textId="77777777" w:rsidTr="00AA2125">
        <w:trPr>
          <w:cantSplit/>
          <w:trHeight w:val="161"/>
        </w:trPr>
        <w:tc>
          <w:tcPr>
            <w:tcW w:w="811" w:type="pct"/>
            <w:vAlign w:val="bottom"/>
          </w:tcPr>
          <w:p w14:paraId="4EA00460" w14:textId="77777777" w:rsidR="00E321F1" w:rsidRDefault="00E321F1" w:rsidP="001A5D4A">
            <w:pPr>
              <w:pStyle w:val="Note-Refs"/>
            </w:pPr>
          </w:p>
        </w:tc>
        <w:tc>
          <w:tcPr>
            <w:tcW w:w="2296" w:type="pct"/>
            <w:vAlign w:val="bottom"/>
          </w:tcPr>
          <w:p w14:paraId="6BD4C70A" w14:textId="77777777" w:rsidR="00E321F1" w:rsidRPr="00BC1814" w:rsidRDefault="00E321F1" w:rsidP="001A5D4A">
            <w:pPr>
              <w:pStyle w:val="NotesTable-ItemPlain"/>
            </w:pPr>
            <w:r>
              <w:t>Remeasurements</w:t>
            </w:r>
          </w:p>
        </w:tc>
        <w:tc>
          <w:tcPr>
            <w:tcW w:w="271" w:type="pct"/>
          </w:tcPr>
          <w:p w14:paraId="5CE4C79D" w14:textId="77777777" w:rsidR="00E321F1" w:rsidRPr="00BC1814" w:rsidRDefault="00E321F1" w:rsidP="001A5D4A">
            <w:pPr>
              <w:pStyle w:val="NotesTable-Notes"/>
            </w:pPr>
          </w:p>
        </w:tc>
        <w:tc>
          <w:tcPr>
            <w:tcW w:w="406" w:type="pct"/>
          </w:tcPr>
          <w:p w14:paraId="4FCAAAF9" w14:textId="77777777" w:rsidR="00E321F1" w:rsidRPr="000A11B4" w:rsidRDefault="00E321F1" w:rsidP="001A5D4A">
            <w:pPr>
              <w:pStyle w:val="NotesTable-CellPlain"/>
            </w:pPr>
          </w:p>
        </w:tc>
        <w:tc>
          <w:tcPr>
            <w:tcW w:w="406" w:type="pct"/>
          </w:tcPr>
          <w:p w14:paraId="2D0E039A" w14:textId="77777777" w:rsidR="00E321F1" w:rsidRPr="000A11B4" w:rsidRDefault="00E321F1" w:rsidP="001A5D4A">
            <w:pPr>
              <w:pStyle w:val="NotesTable-CellPlain"/>
            </w:pPr>
          </w:p>
        </w:tc>
        <w:tc>
          <w:tcPr>
            <w:tcW w:w="406" w:type="pct"/>
          </w:tcPr>
          <w:p w14:paraId="0DACE910" w14:textId="77777777" w:rsidR="00E321F1" w:rsidRPr="000A11B4" w:rsidRDefault="00E321F1" w:rsidP="001A5D4A">
            <w:pPr>
              <w:pStyle w:val="NotesTable-CellPlain"/>
            </w:pPr>
          </w:p>
        </w:tc>
        <w:tc>
          <w:tcPr>
            <w:tcW w:w="404" w:type="pct"/>
          </w:tcPr>
          <w:p w14:paraId="3D75D48B" w14:textId="77777777" w:rsidR="00E321F1" w:rsidRPr="000A11B4" w:rsidRDefault="00E321F1" w:rsidP="001A5D4A">
            <w:pPr>
              <w:pStyle w:val="NotesTable-CellPlain"/>
            </w:pPr>
          </w:p>
        </w:tc>
      </w:tr>
      <w:tr w:rsidR="00E321F1" w:rsidRPr="00BC1814" w14:paraId="124947E1" w14:textId="77777777" w:rsidTr="00AA2125">
        <w:trPr>
          <w:cantSplit/>
          <w:trHeight w:val="161"/>
        </w:trPr>
        <w:tc>
          <w:tcPr>
            <w:tcW w:w="811" w:type="pct"/>
          </w:tcPr>
          <w:p w14:paraId="5FAA7080" w14:textId="77777777" w:rsidR="00E321F1" w:rsidRDefault="00E321F1" w:rsidP="001A5D4A">
            <w:pPr>
              <w:pStyle w:val="Note-Refs"/>
              <w:rPr>
                <w:b/>
              </w:rPr>
            </w:pPr>
            <w:r>
              <w:t>AASB119.141c(ii)</w:t>
            </w:r>
          </w:p>
        </w:tc>
        <w:tc>
          <w:tcPr>
            <w:tcW w:w="2296" w:type="pct"/>
            <w:vAlign w:val="bottom"/>
          </w:tcPr>
          <w:p w14:paraId="28AACF45" w14:textId="77777777" w:rsidR="00E321F1" w:rsidRPr="00BC1814" w:rsidRDefault="00E321F1" w:rsidP="001A5D4A">
            <w:pPr>
              <w:pStyle w:val="Note-Text"/>
              <w:rPr>
                <w:b/>
                <w:lang w:val="en-GB"/>
              </w:rPr>
            </w:pPr>
            <w:r w:rsidRPr="00BC1814">
              <w:t xml:space="preserve">Actuarial losses/(gains) </w:t>
            </w:r>
            <w:r>
              <w:t>arising from changes in demographic assumptions</w:t>
            </w:r>
          </w:p>
        </w:tc>
        <w:tc>
          <w:tcPr>
            <w:tcW w:w="271" w:type="pct"/>
          </w:tcPr>
          <w:p w14:paraId="3BDE4BB4" w14:textId="77777777" w:rsidR="00E321F1" w:rsidRPr="00BC1814" w:rsidRDefault="00E321F1" w:rsidP="001A5D4A">
            <w:pPr>
              <w:pStyle w:val="NotesTable-Notes"/>
            </w:pPr>
          </w:p>
        </w:tc>
        <w:tc>
          <w:tcPr>
            <w:tcW w:w="406" w:type="pct"/>
            <w:vAlign w:val="bottom"/>
          </w:tcPr>
          <w:p w14:paraId="5A0B16B9" w14:textId="77777777" w:rsidR="00E321F1" w:rsidRPr="00BC1814" w:rsidRDefault="00E321F1" w:rsidP="001A5D4A">
            <w:pPr>
              <w:pStyle w:val="NotesTable-CellPlain"/>
              <w:rPr>
                <w:b/>
              </w:rPr>
            </w:pPr>
            <w:r w:rsidRPr="000A11B4">
              <w:t>–</w:t>
            </w:r>
          </w:p>
        </w:tc>
        <w:tc>
          <w:tcPr>
            <w:tcW w:w="406" w:type="pct"/>
            <w:vAlign w:val="bottom"/>
          </w:tcPr>
          <w:p w14:paraId="7673AB58" w14:textId="77777777" w:rsidR="00E321F1" w:rsidRPr="00BC1814" w:rsidRDefault="00E321F1" w:rsidP="001A5D4A">
            <w:pPr>
              <w:pStyle w:val="NotesTable-CellPlain"/>
              <w:rPr>
                <w:b/>
              </w:rPr>
            </w:pPr>
            <w:r w:rsidRPr="000A11B4">
              <w:t>–</w:t>
            </w:r>
          </w:p>
        </w:tc>
        <w:tc>
          <w:tcPr>
            <w:tcW w:w="406" w:type="pct"/>
            <w:vAlign w:val="bottom"/>
          </w:tcPr>
          <w:p w14:paraId="4E813DA3" w14:textId="77777777" w:rsidR="00E321F1" w:rsidRPr="00BC1814" w:rsidRDefault="00E321F1" w:rsidP="001A5D4A">
            <w:pPr>
              <w:pStyle w:val="NotesTable-CellPlain"/>
              <w:rPr>
                <w:b/>
              </w:rPr>
            </w:pPr>
            <w:r w:rsidRPr="000A11B4">
              <w:t>–</w:t>
            </w:r>
          </w:p>
        </w:tc>
        <w:tc>
          <w:tcPr>
            <w:tcW w:w="404" w:type="pct"/>
            <w:vAlign w:val="bottom"/>
          </w:tcPr>
          <w:p w14:paraId="4F267AFE" w14:textId="77777777" w:rsidR="00E321F1" w:rsidRPr="00BC1814" w:rsidRDefault="00E321F1" w:rsidP="001A5D4A">
            <w:pPr>
              <w:pStyle w:val="NotesTable-CellPlain"/>
              <w:rPr>
                <w:b/>
              </w:rPr>
            </w:pPr>
            <w:r w:rsidRPr="000A11B4">
              <w:t>–</w:t>
            </w:r>
          </w:p>
        </w:tc>
      </w:tr>
      <w:tr w:rsidR="00E321F1" w:rsidRPr="000A11B4" w14:paraId="12DFF8ED" w14:textId="77777777" w:rsidTr="00AA2125">
        <w:trPr>
          <w:cantSplit/>
          <w:trHeight w:val="161"/>
        </w:trPr>
        <w:tc>
          <w:tcPr>
            <w:tcW w:w="811" w:type="pct"/>
          </w:tcPr>
          <w:p w14:paraId="205741E8" w14:textId="77777777" w:rsidR="00E321F1" w:rsidRDefault="00E321F1" w:rsidP="001A5D4A">
            <w:pPr>
              <w:pStyle w:val="Note-Refs"/>
            </w:pPr>
            <w:r>
              <w:t>AASB119.141c(iii)</w:t>
            </w:r>
          </w:p>
        </w:tc>
        <w:tc>
          <w:tcPr>
            <w:tcW w:w="2296" w:type="pct"/>
            <w:vAlign w:val="bottom"/>
          </w:tcPr>
          <w:p w14:paraId="4E88197A" w14:textId="77777777" w:rsidR="00E321F1" w:rsidRPr="00BC1814" w:rsidRDefault="00E321F1" w:rsidP="001A5D4A">
            <w:pPr>
              <w:pStyle w:val="Note-Text"/>
              <w:rPr>
                <w:b/>
                <w:lang w:val="en-GB"/>
              </w:rPr>
            </w:pPr>
            <w:r>
              <w:t>Actuarial losses/(gains) arising from changes in financial assumptions</w:t>
            </w:r>
          </w:p>
        </w:tc>
        <w:tc>
          <w:tcPr>
            <w:tcW w:w="271" w:type="pct"/>
          </w:tcPr>
          <w:p w14:paraId="56464000" w14:textId="77777777" w:rsidR="00E321F1" w:rsidRPr="00BC1814" w:rsidRDefault="00E321F1" w:rsidP="001A5D4A">
            <w:pPr>
              <w:pStyle w:val="Note-Text"/>
            </w:pPr>
          </w:p>
        </w:tc>
        <w:tc>
          <w:tcPr>
            <w:tcW w:w="406" w:type="pct"/>
            <w:vAlign w:val="bottom"/>
          </w:tcPr>
          <w:p w14:paraId="6012224E" w14:textId="77777777" w:rsidR="00E321F1" w:rsidRPr="000A11B4" w:rsidRDefault="00E321F1" w:rsidP="001A5D4A">
            <w:pPr>
              <w:pStyle w:val="NotesTable-CellPlain"/>
            </w:pPr>
            <w:r w:rsidRPr="000A11B4">
              <w:t>–</w:t>
            </w:r>
          </w:p>
        </w:tc>
        <w:tc>
          <w:tcPr>
            <w:tcW w:w="406" w:type="pct"/>
            <w:vAlign w:val="bottom"/>
          </w:tcPr>
          <w:p w14:paraId="32BAF02A" w14:textId="77777777" w:rsidR="00E321F1" w:rsidRPr="000A11B4" w:rsidRDefault="00E321F1" w:rsidP="001A5D4A">
            <w:pPr>
              <w:pStyle w:val="NotesTable-CellPlain"/>
            </w:pPr>
            <w:r w:rsidRPr="000A11B4">
              <w:t>–</w:t>
            </w:r>
          </w:p>
        </w:tc>
        <w:tc>
          <w:tcPr>
            <w:tcW w:w="406" w:type="pct"/>
            <w:vAlign w:val="bottom"/>
          </w:tcPr>
          <w:p w14:paraId="489C4F54" w14:textId="77777777" w:rsidR="00E321F1" w:rsidRPr="000A11B4" w:rsidRDefault="00E321F1" w:rsidP="001A5D4A">
            <w:pPr>
              <w:pStyle w:val="NotesTable-CellPlain"/>
            </w:pPr>
            <w:r w:rsidRPr="000A11B4">
              <w:t>–</w:t>
            </w:r>
          </w:p>
        </w:tc>
        <w:tc>
          <w:tcPr>
            <w:tcW w:w="404" w:type="pct"/>
            <w:vAlign w:val="bottom"/>
          </w:tcPr>
          <w:p w14:paraId="2F9C1BB7" w14:textId="77777777" w:rsidR="00E321F1" w:rsidRPr="000A11B4" w:rsidRDefault="00E321F1" w:rsidP="001A5D4A">
            <w:pPr>
              <w:pStyle w:val="NotesTable-CellPlain"/>
            </w:pPr>
            <w:r w:rsidRPr="000A11B4">
              <w:t>–</w:t>
            </w:r>
          </w:p>
        </w:tc>
      </w:tr>
      <w:tr w:rsidR="00E321F1" w:rsidRPr="000A11B4" w14:paraId="24EF279F" w14:textId="77777777" w:rsidTr="00AA2125">
        <w:trPr>
          <w:cantSplit/>
          <w:trHeight w:val="161"/>
        </w:trPr>
        <w:tc>
          <w:tcPr>
            <w:tcW w:w="811" w:type="pct"/>
            <w:vAlign w:val="bottom"/>
          </w:tcPr>
          <w:p w14:paraId="355D4D7A" w14:textId="77777777" w:rsidR="00E321F1" w:rsidRDefault="00E321F1" w:rsidP="001A5D4A">
            <w:pPr>
              <w:pStyle w:val="Note-Refs"/>
            </w:pPr>
            <w:r>
              <w:t>AASB119.141c(iv)</w:t>
            </w:r>
          </w:p>
        </w:tc>
        <w:tc>
          <w:tcPr>
            <w:tcW w:w="2296" w:type="pct"/>
            <w:vAlign w:val="bottom"/>
          </w:tcPr>
          <w:p w14:paraId="57720FB2" w14:textId="77777777" w:rsidR="00E321F1" w:rsidRDefault="00E321F1" w:rsidP="001A5D4A">
            <w:pPr>
              <w:pStyle w:val="Note-Text"/>
            </w:pPr>
            <w:r>
              <w:t>Experience (gains)/losses</w:t>
            </w:r>
          </w:p>
        </w:tc>
        <w:tc>
          <w:tcPr>
            <w:tcW w:w="271" w:type="pct"/>
          </w:tcPr>
          <w:p w14:paraId="4DD0F95A" w14:textId="77777777" w:rsidR="00E321F1" w:rsidRPr="00BC1814" w:rsidRDefault="00E321F1" w:rsidP="001A5D4A">
            <w:pPr>
              <w:pStyle w:val="NotesTable-Notes"/>
            </w:pPr>
          </w:p>
        </w:tc>
        <w:tc>
          <w:tcPr>
            <w:tcW w:w="406" w:type="pct"/>
            <w:tcBorders>
              <w:bottom w:val="single" w:sz="4" w:space="0" w:color="auto"/>
            </w:tcBorders>
          </w:tcPr>
          <w:p w14:paraId="64FADBCB" w14:textId="77777777" w:rsidR="00E321F1" w:rsidRPr="000A11B4" w:rsidRDefault="00E321F1" w:rsidP="001A5D4A">
            <w:pPr>
              <w:pStyle w:val="NotesTable-CellPlain"/>
            </w:pPr>
            <w:r w:rsidRPr="002A72F5">
              <w:t>–</w:t>
            </w:r>
          </w:p>
        </w:tc>
        <w:tc>
          <w:tcPr>
            <w:tcW w:w="406" w:type="pct"/>
            <w:tcBorders>
              <w:bottom w:val="single" w:sz="4" w:space="0" w:color="auto"/>
            </w:tcBorders>
          </w:tcPr>
          <w:p w14:paraId="06CEDC62" w14:textId="77777777" w:rsidR="00E321F1" w:rsidRPr="000A11B4" w:rsidRDefault="00E321F1" w:rsidP="001A5D4A">
            <w:pPr>
              <w:pStyle w:val="NotesTable-CellPlain"/>
            </w:pPr>
            <w:r w:rsidRPr="002A72F5">
              <w:t>–</w:t>
            </w:r>
          </w:p>
        </w:tc>
        <w:tc>
          <w:tcPr>
            <w:tcW w:w="406" w:type="pct"/>
            <w:tcBorders>
              <w:bottom w:val="single" w:sz="4" w:space="0" w:color="auto"/>
            </w:tcBorders>
          </w:tcPr>
          <w:p w14:paraId="48E942B7" w14:textId="77777777" w:rsidR="00E321F1" w:rsidRPr="000A11B4" w:rsidRDefault="00E321F1" w:rsidP="001A5D4A">
            <w:pPr>
              <w:pStyle w:val="NotesTable-CellPlain"/>
            </w:pPr>
            <w:r w:rsidRPr="002A72F5">
              <w:t>–</w:t>
            </w:r>
          </w:p>
        </w:tc>
        <w:tc>
          <w:tcPr>
            <w:tcW w:w="404" w:type="pct"/>
            <w:tcBorders>
              <w:bottom w:val="single" w:sz="4" w:space="0" w:color="auto"/>
            </w:tcBorders>
          </w:tcPr>
          <w:p w14:paraId="37B13947" w14:textId="77777777" w:rsidR="00E321F1" w:rsidRPr="000A11B4" w:rsidRDefault="00E321F1" w:rsidP="001A5D4A">
            <w:pPr>
              <w:pStyle w:val="NotesTable-CellPlain"/>
            </w:pPr>
            <w:r w:rsidRPr="002A72F5">
              <w:t>–</w:t>
            </w:r>
          </w:p>
        </w:tc>
      </w:tr>
      <w:tr w:rsidR="00E321F1" w:rsidRPr="000A11B4" w14:paraId="362C5807" w14:textId="77777777" w:rsidTr="00AA2125">
        <w:trPr>
          <w:cantSplit/>
          <w:trHeight w:val="161"/>
        </w:trPr>
        <w:tc>
          <w:tcPr>
            <w:tcW w:w="811" w:type="pct"/>
            <w:vAlign w:val="bottom"/>
          </w:tcPr>
          <w:p w14:paraId="05CFB58A" w14:textId="77777777" w:rsidR="00E321F1" w:rsidRDefault="00E321F1" w:rsidP="001A5D4A">
            <w:pPr>
              <w:pStyle w:val="Note-Refs"/>
            </w:pPr>
          </w:p>
        </w:tc>
        <w:tc>
          <w:tcPr>
            <w:tcW w:w="2296" w:type="pct"/>
            <w:vAlign w:val="bottom"/>
          </w:tcPr>
          <w:p w14:paraId="0C741A25" w14:textId="77777777" w:rsidR="00E321F1" w:rsidRDefault="00E321F1" w:rsidP="001A5D4A">
            <w:pPr>
              <w:pStyle w:val="NotesTable-ItemPlain"/>
            </w:pPr>
          </w:p>
        </w:tc>
        <w:tc>
          <w:tcPr>
            <w:tcW w:w="271" w:type="pct"/>
          </w:tcPr>
          <w:p w14:paraId="5D1BBAF5" w14:textId="77777777" w:rsidR="00E321F1" w:rsidRPr="00BC1814" w:rsidRDefault="00E321F1" w:rsidP="001A5D4A">
            <w:pPr>
              <w:pStyle w:val="NotesTable-Notes"/>
            </w:pPr>
          </w:p>
        </w:tc>
        <w:tc>
          <w:tcPr>
            <w:tcW w:w="406" w:type="pct"/>
            <w:tcBorders>
              <w:top w:val="single" w:sz="4" w:space="0" w:color="auto"/>
            </w:tcBorders>
          </w:tcPr>
          <w:p w14:paraId="0BE027B7" w14:textId="77777777" w:rsidR="00E321F1" w:rsidRPr="000A11B4" w:rsidRDefault="00E321F1" w:rsidP="001A5D4A">
            <w:pPr>
              <w:pStyle w:val="NotesTable-CellPlain"/>
            </w:pPr>
            <w:r w:rsidRPr="002A72F5">
              <w:t>–</w:t>
            </w:r>
          </w:p>
        </w:tc>
        <w:tc>
          <w:tcPr>
            <w:tcW w:w="406" w:type="pct"/>
            <w:tcBorders>
              <w:top w:val="single" w:sz="4" w:space="0" w:color="auto"/>
            </w:tcBorders>
          </w:tcPr>
          <w:p w14:paraId="316061BC" w14:textId="77777777" w:rsidR="00E321F1" w:rsidRPr="000A11B4" w:rsidRDefault="00E321F1" w:rsidP="001A5D4A">
            <w:pPr>
              <w:pStyle w:val="NotesTable-CellPlain"/>
            </w:pPr>
            <w:r w:rsidRPr="002A72F5">
              <w:t>–</w:t>
            </w:r>
          </w:p>
        </w:tc>
        <w:tc>
          <w:tcPr>
            <w:tcW w:w="406" w:type="pct"/>
            <w:tcBorders>
              <w:top w:val="single" w:sz="4" w:space="0" w:color="auto"/>
            </w:tcBorders>
          </w:tcPr>
          <w:p w14:paraId="5992435C" w14:textId="77777777" w:rsidR="00E321F1" w:rsidRPr="000A11B4" w:rsidRDefault="00E321F1" w:rsidP="001A5D4A">
            <w:pPr>
              <w:pStyle w:val="NotesTable-CellPlain"/>
            </w:pPr>
            <w:r w:rsidRPr="002A72F5">
              <w:t>–</w:t>
            </w:r>
          </w:p>
        </w:tc>
        <w:tc>
          <w:tcPr>
            <w:tcW w:w="404" w:type="pct"/>
            <w:tcBorders>
              <w:top w:val="single" w:sz="4" w:space="0" w:color="auto"/>
            </w:tcBorders>
          </w:tcPr>
          <w:p w14:paraId="5B2F06FF" w14:textId="77777777" w:rsidR="00E321F1" w:rsidRPr="000A11B4" w:rsidRDefault="00E321F1" w:rsidP="001A5D4A">
            <w:pPr>
              <w:pStyle w:val="NotesTable-CellPlain"/>
            </w:pPr>
            <w:r w:rsidRPr="002A72F5">
              <w:t>–</w:t>
            </w:r>
          </w:p>
        </w:tc>
      </w:tr>
      <w:tr w:rsidR="00E321F1" w:rsidRPr="00BC1814" w14:paraId="4D5DEF94" w14:textId="77777777" w:rsidTr="00AA2125">
        <w:trPr>
          <w:cantSplit/>
          <w:trHeight w:val="161"/>
        </w:trPr>
        <w:tc>
          <w:tcPr>
            <w:tcW w:w="811" w:type="pct"/>
            <w:vAlign w:val="bottom"/>
          </w:tcPr>
          <w:p w14:paraId="5E39D3E4" w14:textId="77777777" w:rsidR="00E321F1" w:rsidRDefault="00E321F1" w:rsidP="001A5D4A">
            <w:pPr>
              <w:pStyle w:val="Note-Refs"/>
              <w:rPr>
                <w:b/>
              </w:rPr>
            </w:pPr>
            <w:r>
              <w:t>AASB119.141e</w:t>
            </w:r>
          </w:p>
        </w:tc>
        <w:tc>
          <w:tcPr>
            <w:tcW w:w="2296" w:type="pct"/>
            <w:vAlign w:val="bottom"/>
          </w:tcPr>
          <w:p w14:paraId="6B82B960" w14:textId="77777777" w:rsidR="00E321F1" w:rsidRPr="00BC1814" w:rsidRDefault="00E321F1" w:rsidP="001A5D4A">
            <w:pPr>
              <w:pStyle w:val="NotesTable-ItemPlain"/>
              <w:rPr>
                <w:b/>
              </w:rPr>
            </w:pPr>
            <w:r w:rsidRPr="00BC1814">
              <w:t>Exchange differences on foreign plans</w:t>
            </w:r>
          </w:p>
        </w:tc>
        <w:tc>
          <w:tcPr>
            <w:tcW w:w="271" w:type="pct"/>
          </w:tcPr>
          <w:p w14:paraId="110E9921" w14:textId="77777777" w:rsidR="00E321F1" w:rsidRPr="00BC1814" w:rsidRDefault="00E321F1" w:rsidP="001A5D4A">
            <w:pPr>
              <w:pStyle w:val="NotesTable-Notes"/>
            </w:pPr>
          </w:p>
        </w:tc>
        <w:tc>
          <w:tcPr>
            <w:tcW w:w="406" w:type="pct"/>
          </w:tcPr>
          <w:p w14:paraId="78154733" w14:textId="77777777" w:rsidR="00E321F1" w:rsidRPr="00BC1814" w:rsidRDefault="00E321F1" w:rsidP="001A5D4A">
            <w:pPr>
              <w:pStyle w:val="NotesTable-CellPlain"/>
              <w:rPr>
                <w:b/>
              </w:rPr>
            </w:pPr>
            <w:r w:rsidRPr="000A11B4">
              <w:t>–</w:t>
            </w:r>
          </w:p>
        </w:tc>
        <w:tc>
          <w:tcPr>
            <w:tcW w:w="406" w:type="pct"/>
          </w:tcPr>
          <w:p w14:paraId="635962EA" w14:textId="77777777" w:rsidR="00E321F1" w:rsidRPr="00BC1814" w:rsidRDefault="00E321F1" w:rsidP="001A5D4A">
            <w:pPr>
              <w:pStyle w:val="NotesTable-CellPlain"/>
              <w:rPr>
                <w:b/>
              </w:rPr>
            </w:pPr>
            <w:r w:rsidRPr="000A11B4">
              <w:t>–</w:t>
            </w:r>
          </w:p>
        </w:tc>
        <w:tc>
          <w:tcPr>
            <w:tcW w:w="406" w:type="pct"/>
          </w:tcPr>
          <w:p w14:paraId="7734A0B8" w14:textId="77777777" w:rsidR="00E321F1" w:rsidRPr="00BC1814" w:rsidRDefault="00E321F1" w:rsidP="001A5D4A">
            <w:pPr>
              <w:pStyle w:val="NotesTable-CellPlain"/>
              <w:rPr>
                <w:b/>
              </w:rPr>
            </w:pPr>
            <w:r w:rsidRPr="000A11B4">
              <w:t>–</w:t>
            </w:r>
          </w:p>
        </w:tc>
        <w:tc>
          <w:tcPr>
            <w:tcW w:w="404" w:type="pct"/>
          </w:tcPr>
          <w:p w14:paraId="39069A65" w14:textId="77777777" w:rsidR="00E321F1" w:rsidRPr="00BC1814" w:rsidRDefault="00E321F1" w:rsidP="001A5D4A">
            <w:pPr>
              <w:pStyle w:val="NotesTable-CellPlain"/>
              <w:rPr>
                <w:b/>
              </w:rPr>
            </w:pPr>
            <w:r w:rsidRPr="000A11B4">
              <w:t>–</w:t>
            </w:r>
          </w:p>
        </w:tc>
      </w:tr>
      <w:tr w:rsidR="00E321F1" w:rsidRPr="00BC1814" w14:paraId="11BD1921" w14:textId="77777777" w:rsidTr="00AA2125">
        <w:trPr>
          <w:cantSplit/>
          <w:trHeight w:val="161"/>
        </w:trPr>
        <w:tc>
          <w:tcPr>
            <w:tcW w:w="811" w:type="pct"/>
            <w:vAlign w:val="bottom"/>
          </w:tcPr>
          <w:p w14:paraId="27BCE745" w14:textId="77777777" w:rsidR="00E321F1" w:rsidRDefault="00E321F1" w:rsidP="001A5D4A">
            <w:pPr>
              <w:pStyle w:val="Note-Refs"/>
              <w:rPr>
                <w:b/>
              </w:rPr>
            </w:pPr>
            <w:r>
              <w:t>AASB119.141g</w:t>
            </w:r>
          </w:p>
        </w:tc>
        <w:tc>
          <w:tcPr>
            <w:tcW w:w="2296" w:type="pct"/>
            <w:vAlign w:val="bottom"/>
          </w:tcPr>
          <w:p w14:paraId="15010821" w14:textId="77777777" w:rsidR="00E321F1" w:rsidRPr="00BC1814" w:rsidRDefault="00E321F1" w:rsidP="001A5D4A">
            <w:pPr>
              <w:pStyle w:val="NotesTable-ItemPlain"/>
              <w:rPr>
                <w:b/>
              </w:rPr>
            </w:pPr>
            <w:r>
              <w:t>Payments from plan</w:t>
            </w:r>
          </w:p>
        </w:tc>
        <w:tc>
          <w:tcPr>
            <w:tcW w:w="271" w:type="pct"/>
          </w:tcPr>
          <w:p w14:paraId="63A18718" w14:textId="77777777" w:rsidR="00E321F1" w:rsidRPr="00BC1814" w:rsidRDefault="00E321F1" w:rsidP="001A5D4A">
            <w:pPr>
              <w:pStyle w:val="NotesTable-Notes"/>
            </w:pPr>
          </w:p>
        </w:tc>
        <w:tc>
          <w:tcPr>
            <w:tcW w:w="406" w:type="pct"/>
          </w:tcPr>
          <w:p w14:paraId="46C88AE5" w14:textId="77777777" w:rsidR="00E321F1" w:rsidRPr="00BC1814" w:rsidRDefault="00E321F1" w:rsidP="001A5D4A">
            <w:pPr>
              <w:pStyle w:val="NotesTable-CellPlain"/>
              <w:rPr>
                <w:b/>
              </w:rPr>
            </w:pPr>
          </w:p>
        </w:tc>
        <w:tc>
          <w:tcPr>
            <w:tcW w:w="406" w:type="pct"/>
          </w:tcPr>
          <w:p w14:paraId="1685519B" w14:textId="77777777" w:rsidR="00E321F1" w:rsidRPr="00BC1814" w:rsidRDefault="00E321F1" w:rsidP="001A5D4A">
            <w:pPr>
              <w:pStyle w:val="NotesTable-CellPlain"/>
              <w:rPr>
                <w:b/>
              </w:rPr>
            </w:pPr>
          </w:p>
        </w:tc>
        <w:tc>
          <w:tcPr>
            <w:tcW w:w="406" w:type="pct"/>
          </w:tcPr>
          <w:p w14:paraId="139855B1" w14:textId="77777777" w:rsidR="00E321F1" w:rsidRPr="00BC1814" w:rsidRDefault="00E321F1" w:rsidP="001A5D4A">
            <w:pPr>
              <w:pStyle w:val="NotesTable-CellPlain"/>
              <w:rPr>
                <w:b/>
              </w:rPr>
            </w:pPr>
          </w:p>
        </w:tc>
        <w:tc>
          <w:tcPr>
            <w:tcW w:w="404" w:type="pct"/>
          </w:tcPr>
          <w:p w14:paraId="561C2B7C" w14:textId="77777777" w:rsidR="00E321F1" w:rsidRPr="00BC1814" w:rsidRDefault="00E321F1" w:rsidP="001A5D4A">
            <w:pPr>
              <w:pStyle w:val="NotesTable-CellPlain"/>
              <w:rPr>
                <w:b/>
              </w:rPr>
            </w:pPr>
          </w:p>
        </w:tc>
      </w:tr>
      <w:tr w:rsidR="00E321F1" w:rsidRPr="00BC1814" w14:paraId="3101ADDD" w14:textId="77777777" w:rsidTr="00AA2125">
        <w:trPr>
          <w:cantSplit/>
          <w:trHeight w:val="161"/>
        </w:trPr>
        <w:tc>
          <w:tcPr>
            <w:tcW w:w="811" w:type="pct"/>
            <w:vAlign w:val="bottom"/>
          </w:tcPr>
          <w:p w14:paraId="1E79BBBD" w14:textId="77777777" w:rsidR="00E321F1" w:rsidRPr="003325C5" w:rsidRDefault="00E321F1" w:rsidP="001A5D4A">
            <w:pPr>
              <w:pStyle w:val="Note-Refs"/>
            </w:pPr>
          </w:p>
        </w:tc>
        <w:tc>
          <w:tcPr>
            <w:tcW w:w="2296" w:type="pct"/>
            <w:vAlign w:val="bottom"/>
          </w:tcPr>
          <w:p w14:paraId="3F2416B4" w14:textId="77777777" w:rsidR="00E321F1" w:rsidRPr="00BC1814" w:rsidRDefault="00E321F1" w:rsidP="001A5D4A">
            <w:pPr>
              <w:pStyle w:val="Note-Text"/>
              <w:rPr>
                <w:b/>
                <w:lang w:val="en-GB"/>
              </w:rPr>
            </w:pPr>
            <w:r w:rsidRPr="00BC1814">
              <w:t>Benefits paid</w:t>
            </w:r>
            <w:r w:rsidRPr="00BC1814" w:rsidDel="00E47AA3">
              <w:t xml:space="preserve"> </w:t>
            </w:r>
          </w:p>
        </w:tc>
        <w:tc>
          <w:tcPr>
            <w:tcW w:w="271" w:type="pct"/>
          </w:tcPr>
          <w:p w14:paraId="6687D772" w14:textId="77777777" w:rsidR="00E321F1" w:rsidRPr="00BC1814" w:rsidRDefault="00E321F1" w:rsidP="001A5D4A">
            <w:pPr>
              <w:pStyle w:val="NotesTable-Notes"/>
            </w:pPr>
          </w:p>
        </w:tc>
        <w:tc>
          <w:tcPr>
            <w:tcW w:w="406" w:type="pct"/>
          </w:tcPr>
          <w:p w14:paraId="04612B60" w14:textId="77777777" w:rsidR="00E321F1" w:rsidRPr="00BC1814" w:rsidRDefault="00E321F1" w:rsidP="001A5D4A">
            <w:pPr>
              <w:pStyle w:val="NotesTable-CellPlain"/>
              <w:rPr>
                <w:b/>
              </w:rPr>
            </w:pPr>
            <w:r w:rsidRPr="000A11B4">
              <w:t>–</w:t>
            </w:r>
          </w:p>
        </w:tc>
        <w:tc>
          <w:tcPr>
            <w:tcW w:w="406" w:type="pct"/>
          </w:tcPr>
          <w:p w14:paraId="1EC9B820" w14:textId="77777777" w:rsidR="00E321F1" w:rsidRPr="00BC1814" w:rsidRDefault="00E321F1" w:rsidP="001A5D4A">
            <w:pPr>
              <w:pStyle w:val="NotesTable-CellPlain"/>
              <w:rPr>
                <w:b/>
              </w:rPr>
            </w:pPr>
            <w:r w:rsidRPr="000A11B4">
              <w:t>–</w:t>
            </w:r>
          </w:p>
        </w:tc>
        <w:tc>
          <w:tcPr>
            <w:tcW w:w="406" w:type="pct"/>
          </w:tcPr>
          <w:p w14:paraId="3BA96A95" w14:textId="77777777" w:rsidR="00E321F1" w:rsidRPr="00BC1814" w:rsidRDefault="00E321F1" w:rsidP="001A5D4A">
            <w:pPr>
              <w:pStyle w:val="NotesTable-CellPlain"/>
              <w:rPr>
                <w:b/>
              </w:rPr>
            </w:pPr>
            <w:r w:rsidRPr="000A11B4">
              <w:t>–</w:t>
            </w:r>
          </w:p>
        </w:tc>
        <w:tc>
          <w:tcPr>
            <w:tcW w:w="404" w:type="pct"/>
          </w:tcPr>
          <w:p w14:paraId="6D6AB07D" w14:textId="77777777" w:rsidR="00E321F1" w:rsidRPr="00BC1814" w:rsidRDefault="00E321F1" w:rsidP="001A5D4A">
            <w:pPr>
              <w:pStyle w:val="NotesTable-CellPlain"/>
              <w:rPr>
                <w:b/>
              </w:rPr>
            </w:pPr>
            <w:r w:rsidRPr="000A11B4">
              <w:t>–</w:t>
            </w:r>
          </w:p>
        </w:tc>
      </w:tr>
      <w:tr w:rsidR="00E321F1" w:rsidRPr="000A11B4" w:rsidDel="00E47AA3" w14:paraId="7B6BC504" w14:textId="77777777" w:rsidTr="00AA2125">
        <w:trPr>
          <w:cantSplit/>
          <w:trHeight w:val="161"/>
        </w:trPr>
        <w:tc>
          <w:tcPr>
            <w:tcW w:w="811" w:type="pct"/>
            <w:vAlign w:val="bottom"/>
          </w:tcPr>
          <w:p w14:paraId="2877B3E7" w14:textId="77777777" w:rsidR="00E321F1" w:rsidRPr="003325C5" w:rsidDel="00E47AA3" w:rsidRDefault="00E321F1" w:rsidP="001A5D4A">
            <w:pPr>
              <w:pStyle w:val="Note-Refs"/>
            </w:pPr>
          </w:p>
        </w:tc>
        <w:tc>
          <w:tcPr>
            <w:tcW w:w="2296" w:type="pct"/>
            <w:vAlign w:val="bottom"/>
          </w:tcPr>
          <w:p w14:paraId="133D7CBD" w14:textId="77777777" w:rsidR="00E321F1" w:rsidRPr="003325C5" w:rsidDel="00E47AA3" w:rsidRDefault="00E321F1" w:rsidP="001A5D4A">
            <w:pPr>
              <w:pStyle w:val="Note-Text"/>
            </w:pPr>
            <w:r>
              <w:t>Settlements</w:t>
            </w:r>
          </w:p>
        </w:tc>
        <w:tc>
          <w:tcPr>
            <w:tcW w:w="271" w:type="pct"/>
          </w:tcPr>
          <w:p w14:paraId="38E70DA4" w14:textId="77777777" w:rsidR="00E321F1" w:rsidRPr="00BC1814" w:rsidRDefault="00E321F1" w:rsidP="001A5D4A">
            <w:pPr>
              <w:pStyle w:val="NotesTable-Notes"/>
            </w:pPr>
          </w:p>
        </w:tc>
        <w:tc>
          <w:tcPr>
            <w:tcW w:w="406" w:type="pct"/>
            <w:tcBorders>
              <w:bottom w:val="single" w:sz="4" w:space="0" w:color="auto"/>
            </w:tcBorders>
          </w:tcPr>
          <w:p w14:paraId="13032226" w14:textId="77777777" w:rsidR="00E321F1" w:rsidRPr="003325C5" w:rsidDel="00E47AA3" w:rsidRDefault="00E321F1" w:rsidP="001A5D4A">
            <w:pPr>
              <w:pStyle w:val="NotesTable-CellPlain"/>
            </w:pPr>
            <w:r w:rsidRPr="000A11B4">
              <w:t>–</w:t>
            </w:r>
          </w:p>
        </w:tc>
        <w:tc>
          <w:tcPr>
            <w:tcW w:w="406" w:type="pct"/>
            <w:tcBorders>
              <w:bottom w:val="single" w:sz="4" w:space="0" w:color="auto"/>
            </w:tcBorders>
          </w:tcPr>
          <w:p w14:paraId="7A41CFE9" w14:textId="77777777" w:rsidR="00E321F1" w:rsidRPr="003325C5" w:rsidDel="00E47AA3" w:rsidRDefault="00E321F1" w:rsidP="001A5D4A">
            <w:pPr>
              <w:pStyle w:val="NotesTable-CellPlain"/>
            </w:pPr>
            <w:r w:rsidRPr="000A11B4">
              <w:t>–</w:t>
            </w:r>
          </w:p>
        </w:tc>
        <w:tc>
          <w:tcPr>
            <w:tcW w:w="406" w:type="pct"/>
            <w:tcBorders>
              <w:bottom w:val="single" w:sz="4" w:space="0" w:color="auto"/>
            </w:tcBorders>
          </w:tcPr>
          <w:p w14:paraId="49D2221E" w14:textId="77777777" w:rsidR="00E321F1" w:rsidRPr="003325C5" w:rsidDel="00E47AA3" w:rsidRDefault="00E321F1" w:rsidP="001A5D4A">
            <w:pPr>
              <w:pStyle w:val="NotesTable-CellPlain"/>
            </w:pPr>
            <w:r w:rsidRPr="000A11B4">
              <w:t>–</w:t>
            </w:r>
          </w:p>
        </w:tc>
        <w:tc>
          <w:tcPr>
            <w:tcW w:w="404" w:type="pct"/>
            <w:tcBorders>
              <w:bottom w:val="single" w:sz="4" w:space="0" w:color="auto"/>
            </w:tcBorders>
          </w:tcPr>
          <w:p w14:paraId="1D73B822" w14:textId="77777777" w:rsidR="00E321F1" w:rsidRPr="003325C5" w:rsidDel="00E47AA3" w:rsidRDefault="00E321F1" w:rsidP="001A5D4A">
            <w:pPr>
              <w:pStyle w:val="NotesTable-CellPlain"/>
            </w:pPr>
            <w:r w:rsidRPr="000A11B4">
              <w:t>–</w:t>
            </w:r>
          </w:p>
        </w:tc>
      </w:tr>
      <w:tr w:rsidR="00E321F1" w:rsidRPr="000A11B4" w14:paraId="6BE85840" w14:textId="77777777" w:rsidTr="00AA2125">
        <w:trPr>
          <w:cantSplit/>
          <w:trHeight w:val="161"/>
        </w:trPr>
        <w:tc>
          <w:tcPr>
            <w:tcW w:w="811" w:type="pct"/>
            <w:vAlign w:val="bottom"/>
          </w:tcPr>
          <w:p w14:paraId="70723465" w14:textId="77777777" w:rsidR="00E321F1" w:rsidRDefault="00E321F1" w:rsidP="001A5D4A">
            <w:pPr>
              <w:pStyle w:val="Note-Refs"/>
            </w:pPr>
          </w:p>
        </w:tc>
        <w:tc>
          <w:tcPr>
            <w:tcW w:w="2296" w:type="pct"/>
            <w:vAlign w:val="bottom"/>
          </w:tcPr>
          <w:p w14:paraId="6850EFF7" w14:textId="77777777" w:rsidR="00E321F1" w:rsidRPr="00BC1814" w:rsidRDefault="00E321F1" w:rsidP="001A5D4A">
            <w:pPr>
              <w:pStyle w:val="NotesTable-ItemPlain"/>
            </w:pPr>
          </w:p>
        </w:tc>
        <w:tc>
          <w:tcPr>
            <w:tcW w:w="271" w:type="pct"/>
          </w:tcPr>
          <w:p w14:paraId="0412B884" w14:textId="77777777" w:rsidR="00E321F1" w:rsidRPr="00BC1814" w:rsidRDefault="00E321F1" w:rsidP="001A5D4A">
            <w:pPr>
              <w:pStyle w:val="NotesTable-Notes"/>
            </w:pPr>
          </w:p>
        </w:tc>
        <w:tc>
          <w:tcPr>
            <w:tcW w:w="406" w:type="pct"/>
            <w:tcBorders>
              <w:top w:val="single" w:sz="4" w:space="0" w:color="auto"/>
            </w:tcBorders>
          </w:tcPr>
          <w:p w14:paraId="5D3D5500" w14:textId="77777777" w:rsidR="00E321F1" w:rsidRPr="000A11B4" w:rsidRDefault="00E321F1" w:rsidP="001A5D4A">
            <w:pPr>
              <w:pStyle w:val="NotesTable-CellPlain"/>
            </w:pPr>
            <w:r w:rsidRPr="002A72F5">
              <w:t>–</w:t>
            </w:r>
          </w:p>
        </w:tc>
        <w:tc>
          <w:tcPr>
            <w:tcW w:w="406" w:type="pct"/>
            <w:tcBorders>
              <w:top w:val="single" w:sz="4" w:space="0" w:color="auto"/>
            </w:tcBorders>
          </w:tcPr>
          <w:p w14:paraId="14F2D1EB" w14:textId="77777777" w:rsidR="00E321F1" w:rsidRPr="000A11B4" w:rsidRDefault="00E321F1" w:rsidP="001A5D4A">
            <w:pPr>
              <w:pStyle w:val="NotesTable-CellPlain"/>
            </w:pPr>
            <w:r w:rsidRPr="002A72F5">
              <w:t>–</w:t>
            </w:r>
          </w:p>
        </w:tc>
        <w:tc>
          <w:tcPr>
            <w:tcW w:w="406" w:type="pct"/>
            <w:tcBorders>
              <w:top w:val="single" w:sz="4" w:space="0" w:color="auto"/>
            </w:tcBorders>
          </w:tcPr>
          <w:p w14:paraId="426BF3F2" w14:textId="77777777" w:rsidR="00E321F1" w:rsidRPr="000A11B4" w:rsidRDefault="00E321F1" w:rsidP="001A5D4A">
            <w:pPr>
              <w:pStyle w:val="NotesTable-CellPlain"/>
            </w:pPr>
            <w:r w:rsidRPr="002A72F5">
              <w:t>–</w:t>
            </w:r>
          </w:p>
        </w:tc>
        <w:tc>
          <w:tcPr>
            <w:tcW w:w="404" w:type="pct"/>
            <w:tcBorders>
              <w:top w:val="single" w:sz="4" w:space="0" w:color="auto"/>
            </w:tcBorders>
          </w:tcPr>
          <w:p w14:paraId="427A6102" w14:textId="77777777" w:rsidR="00E321F1" w:rsidRPr="000A11B4" w:rsidRDefault="00E321F1" w:rsidP="001A5D4A">
            <w:pPr>
              <w:pStyle w:val="NotesTable-CellPlain"/>
            </w:pPr>
            <w:r w:rsidRPr="002A72F5">
              <w:t>–</w:t>
            </w:r>
          </w:p>
        </w:tc>
      </w:tr>
      <w:tr w:rsidR="00E321F1" w:rsidRPr="00BC1814" w14:paraId="27E5EF4D" w14:textId="77777777" w:rsidTr="00AA2125">
        <w:trPr>
          <w:cantSplit/>
          <w:trHeight w:val="161"/>
        </w:trPr>
        <w:tc>
          <w:tcPr>
            <w:tcW w:w="811" w:type="pct"/>
            <w:vAlign w:val="bottom"/>
          </w:tcPr>
          <w:p w14:paraId="4B8E76E0" w14:textId="77777777" w:rsidR="00E321F1" w:rsidRDefault="00E321F1" w:rsidP="001A5D4A">
            <w:pPr>
              <w:pStyle w:val="Note-Refs"/>
              <w:rPr>
                <w:b/>
              </w:rPr>
            </w:pPr>
            <w:r>
              <w:t>AASB119.141h</w:t>
            </w:r>
          </w:p>
        </w:tc>
        <w:tc>
          <w:tcPr>
            <w:tcW w:w="2296" w:type="pct"/>
            <w:vAlign w:val="bottom"/>
          </w:tcPr>
          <w:p w14:paraId="3373514F" w14:textId="77777777" w:rsidR="00E321F1" w:rsidRPr="00BC1814" w:rsidRDefault="00E321F1" w:rsidP="001A5D4A">
            <w:pPr>
              <w:pStyle w:val="NotesTable-ItemPlain"/>
              <w:rPr>
                <w:b/>
              </w:rPr>
            </w:pPr>
            <w:r w:rsidRPr="00BC1814">
              <w:t>Liabilities from business combination</w:t>
            </w:r>
            <w:r>
              <w:t xml:space="preserve"> </w:t>
            </w:r>
          </w:p>
        </w:tc>
        <w:tc>
          <w:tcPr>
            <w:tcW w:w="271" w:type="pct"/>
          </w:tcPr>
          <w:p w14:paraId="6A0306AF" w14:textId="77777777" w:rsidR="00E321F1" w:rsidRPr="00BC1814" w:rsidRDefault="00E321F1" w:rsidP="001A5D4A">
            <w:pPr>
              <w:pStyle w:val="NotesTable-Notes"/>
            </w:pPr>
            <w:r>
              <w:t>44</w:t>
            </w:r>
          </w:p>
        </w:tc>
        <w:tc>
          <w:tcPr>
            <w:tcW w:w="406" w:type="pct"/>
          </w:tcPr>
          <w:p w14:paraId="11245041" w14:textId="77777777" w:rsidR="00E321F1" w:rsidRPr="00BC1814" w:rsidRDefault="00E321F1" w:rsidP="001A5D4A">
            <w:pPr>
              <w:pStyle w:val="NotesTable-CellPlain"/>
              <w:rPr>
                <w:b/>
              </w:rPr>
            </w:pPr>
            <w:r w:rsidRPr="000A11B4">
              <w:t>–</w:t>
            </w:r>
          </w:p>
        </w:tc>
        <w:tc>
          <w:tcPr>
            <w:tcW w:w="406" w:type="pct"/>
          </w:tcPr>
          <w:p w14:paraId="39277793" w14:textId="77777777" w:rsidR="00E321F1" w:rsidRPr="00BC1814" w:rsidRDefault="00E321F1" w:rsidP="001A5D4A">
            <w:pPr>
              <w:pStyle w:val="NotesTable-CellPlain"/>
              <w:rPr>
                <w:b/>
              </w:rPr>
            </w:pPr>
            <w:r w:rsidRPr="000A11B4">
              <w:t>–</w:t>
            </w:r>
          </w:p>
        </w:tc>
        <w:tc>
          <w:tcPr>
            <w:tcW w:w="406" w:type="pct"/>
          </w:tcPr>
          <w:p w14:paraId="3A231174" w14:textId="77777777" w:rsidR="00E321F1" w:rsidRPr="00BC1814" w:rsidRDefault="00E321F1" w:rsidP="001A5D4A">
            <w:pPr>
              <w:pStyle w:val="NotesTable-CellPlain"/>
              <w:rPr>
                <w:b/>
              </w:rPr>
            </w:pPr>
            <w:r w:rsidRPr="000A11B4">
              <w:t>–</w:t>
            </w:r>
          </w:p>
        </w:tc>
        <w:tc>
          <w:tcPr>
            <w:tcW w:w="404" w:type="pct"/>
          </w:tcPr>
          <w:p w14:paraId="6E615AD1" w14:textId="77777777" w:rsidR="00E321F1" w:rsidRPr="00BC1814" w:rsidRDefault="00E321F1" w:rsidP="001A5D4A">
            <w:pPr>
              <w:pStyle w:val="NotesTable-CellPlain"/>
              <w:rPr>
                <w:b/>
              </w:rPr>
            </w:pPr>
            <w:r w:rsidRPr="000A11B4">
              <w:t>–</w:t>
            </w:r>
          </w:p>
        </w:tc>
      </w:tr>
      <w:tr w:rsidR="00E321F1" w:rsidRPr="00BC1814" w14:paraId="64772DAC" w14:textId="77777777" w:rsidTr="00AA2125">
        <w:trPr>
          <w:cantSplit/>
          <w:trHeight w:val="161"/>
        </w:trPr>
        <w:tc>
          <w:tcPr>
            <w:tcW w:w="811" w:type="pct"/>
            <w:vAlign w:val="bottom"/>
          </w:tcPr>
          <w:p w14:paraId="3B1A1BB0" w14:textId="77777777" w:rsidR="00E321F1" w:rsidRDefault="00E321F1" w:rsidP="001A5D4A">
            <w:pPr>
              <w:pStyle w:val="Note-Refs"/>
            </w:pPr>
            <w:r>
              <w:t>AASB119.140a(ii)</w:t>
            </w:r>
          </w:p>
        </w:tc>
        <w:tc>
          <w:tcPr>
            <w:tcW w:w="2296" w:type="pct"/>
            <w:vAlign w:val="bottom"/>
          </w:tcPr>
          <w:p w14:paraId="73A50A0C" w14:textId="77777777" w:rsidR="00E321F1" w:rsidRPr="00BC1814" w:rsidRDefault="00E321F1" w:rsidP="001A5D4A">
            <w:pPr>
              <w:pStyle w:val="NotesTable-ItemPlain"/>
              <w:rPr>
                <w:b/>
              </w:rPr>
            </w:pPr>
            <w:r w:rsidRPr="00BC1814">
              <w:t>Closing defined benefit obligation</w:t>
            </w:r>
          </w:p>
        </w:tc>
        <w:tc>
          <w:tcPr>
            <w:tcW w:w="271" w:type="pct"/>
          </w:tcPr>
          <w:p w14:paraId="1D7F69C5" w14:textId="77777777" w:rsidR="00E321F1" w:rsidRPr="00BC1814" w:rsidRDefault="00E321F1" w:rsidP="001A5D4A">
            <w:pPr>
              <w:pStyle w:val="NotesTable-Notes"/>
            </w:pPr>
          </w:p>
        </w:tc>
        <w:tc>
          <w:tcPr>
            <w:tcW w:w="406" w:type="pct"/>
            <w:tcBorders>
              <w:top w:val="single" w:sz="4" w:space="0" w:color="auto"/>
            </w:tcBorders>
          </w:tcPr>
          <w:p w14:paraId="3C096456" w14:textId="77777777" w:rsidR="00E321F1" w:rsidRPr="00BC1814" w:rsidRDefault="00E321F1" w:rsidP="001A5D4A">
            <w:pPr>
              <w:pStyle w:val="NotesTable-CellPlain"/>
              <w:rPr>
                <w:b/>
              </w:rPr>
            </w:pPr>
            <w:r w:rsidRPr="000A11B4">
              <w:t>–</w:t>
            </w:r>
          </w:p>
        </w:tc>
        <w:tc>
          <w:tcPr>
            <w:tcW w:w="406" w:type="pct"/>
            <w:tcBorders>
              <w:top w:val="single" w:sz="4" w:space="0" w:color="auto"/>
            </w:tcBorders>
          </w:tcPr>
          <w:p w14:paraId="4F5B12CE" w14:textId="77777777" w:rsidR="00E321F1" w:rsidRPr="00BC1814" w:rsidRDefault="00E321F1" w:rsidP="001A5D4A">
            <w:pPr>
              <w:pStyle w:val="NotesTable-CellPlain"/>
              <w:rPr>
                <w:b/>
              </w:rPr>
            </w:pPr>
            <w:r w:rsidRPr="000A11B4">
              <w:t>–</w:t>
            </w:r>
          </w:p>
        </w:tc>
        <w:tc>
          <w:tcPr>
            <w:tcW w:w="406" w:type="pct"/>
            <w:tcBorders>
              <w:top w:val="single" w:sz="4" w:space="0" w:color="auto"/>
            </w:tcBorders>
          </w:tcPr>
          <w:p w14:paraId="73ED4153" w14:textId="77777777" w:rsidR="00E321F1" w:rsidRPr="00BC1814" w:rsidRDefault="00E321F1" w:rsidP="001A5D4A">
            <w:pPr>
              <w:pStyle w:val="NotesTable-CellPlain"/>
              <w:rPr>
                <w:b/>
              </w:rPr>
            </w:pPr>
            <w:r w:rsidRPr="000A11B4">
              <w:t>–</w:t>
            </w:r>
          </w:p>
        </w:tc>
        <w:tc>
          <w:tcPr>
            <w:tcW w:w="404" w:type="pct"/>
            <w:tcBorders>
              <w:top w:val="single" w:sz="4" w:space="0" w:color="auto"/>
            </w:tcBorders>
          </w:tcPr>
          <w:p w14:paraId="6FEFFAD8" w14:textId="77777777" w:rsidR="00E321F1" w:rsidRPr="00BC1814" w:rsidRDefault="00E321F1" w:rsidP="001A5D4A">
            <w:pPr>
              <w:pStyle w:val="NotesTable-CellPlain"/>
              <w:rPr>
                <w:b/>
              </w:rPr>
            </w:pPr>
            <w:r w:rsidRPr="000A11B4">
              <w:t>–</w:t>
            </w:r>
          </w:p>
        </w:tc>
      </w:tr>
      <w:tr w:rsidR="00E321F1" w:rsidRPr="00BC1814" w14:paraId="28DA420B" w14:textId="77777777" w:rsidTr="00AA2125">
        <w:trPr>
          <w:cantSplit/>
          <w:trHeight w:hRule="exact" w:val="113"/>
        </w:trPr>
        <w:tc>
          <w:tcPr>
            <w:tcW w:w="811" w:type="pct"/>
          </w:tcPr>
          <w:p w14:paraId="4B200D67" w14:textId="77777777" w:rsidR="00E321F1" w:rsidRDefault="00E321F1" w:rsidP="001A5D4A">
            <w:pPr>
              <w:pStyle w:val="Note-Refs"/>
            </w:pPr>
          </w:p>
        </w:tc>
        <w:tc>
          <w:tcPr>
            <w:tcW w:w="2296" w:type="pct"/>
          </w:tcPr>
          <w:p w14:paraId="27AF142B" w14:textId="77777777" w:rsidR="00E321F1" w:rsidRPr="00BC1814" w:rsidRDefault="00E321F1" w:rsidP="001A5D4A">
            <w:pPr>
              <w:pStyle w:val="NotesTable-ItemPlain"/>
            </w:pPr>
          </w:p>
        </w:tc>
        <w:tc>
          <w:tcPr>
            <w:tcW w:w="271" w:type="pct"/>
          </w:tcPr>
          <w:p w14:paraId="02A570BE" w14:textId="77777777" w:rsidR="00E321F1" w:rsidRPr="00BC1814" w:rsidRDefault="00E321F1" w:rsidP="001A5D4A">
            <w:pPr>
              <w:pStyle w:val="NotesTable-Notes"/>
            </w:pPr>
          </w:p>
        </w:tc>
        <w:tc>
          <w:tcPr>
            <w:tcW w:w="406" w:type="pct"/>
          </w:tcPr>
          <w:p w14:paraId="1FE2E891" w14:textId="77777777" w:rsidR="00E321F1" w:rsidRPr="00BC1814" w:rsidRDefault="00E321F1" w:rsidP="001A5D4A">
            <w:pPr>
              <w:pStyle w:val="NotesTable-CellPlain"/>
            </w:pPr>
          </w:p>
        </w:tc>
        <w:tc>
          <w:tcPr>
            <w:tcW w:w="406" w:type="pct"/>
          </w:tcPr>
          <w:p w14:paraId="5F00B75A" w14:textId="77777777" w:rsidR="00E321F1" w:rsidRPr="00BC1814" w:rsidRDefault="00E321F1" w:rsidP="001A5D4A">
            <w:pPr>
              <w:pStyle w:val="NotesTable-CellPlain"/>
            </w:pPr>
          </w:p>
        </w:tc>
        <w:tc>
          <w:tcPr>
            <w:tcW w:w="406" w:type="pct"/>
          </w:tcPr>
          <w:p w14:paraId="3986DCC6" w14:textId="77777777" w:rsidR="00E321F1" w:rsidRPr="00BC1814" w:rsidRDefault="00E321F1" w:rsidP="001A5D4A">
            <w:pPr>
              <w:pStyle w:val="NotesTable-CellPlain"/>
            </w:pPr>
          </w:p>
        </w:tc>
        <w:tc>
          <w:tcPr>
            <w:tcW w:w="404" w:type="pct"/>
          </w:tcPr>
          <w:p w14:paraId="05D0730C" w14:textId="77777777" w:rsidR="00E321F1" w:rsidRPr="00BC1814" w:rsidRDefault="00E321F1" w:rsidP="001A5D4A">
            <w:pPr>
              <w:pStyle w:val="NotesTable-CellPlain"/>
            </w:pPr>
          </w:p>
        </w:tc>
      </w:tr>
    </w:tbl>
    <w:p w14:paraId="1D490A85" w14:textId="77777777" w:rsidR="00213294" w:rsidRDefault="00213294" w:rsidP="001A5D4A">
      <w:pPr>
        <w:rPr>
          <w:iCs/>
        </w:rPr>
      </w:pPr>
      <w:r>
        <w:rPr>
          <w:iCs/>
        </w:rPr>
        <w:br w:type="page"/>
      </w:r>
    </w:p>
    <w:tbl>
      <w:tblPr>
        <w:tblW w:w="5000" w:type="pct"/>
        <w:tblCellMar>
          <w:left w:w="0" w:type="dxa"/>
          <w:right w:w="0" w:type="dxa"/>
        </w:tblCellMar>
        <w:tblLook w:val="0000" w:firstRow="0" w:lastRow="0" w:firstColumn="0" w:lastColumn="0" w:noHBand="0" w:noVBand="0"/>
      </w:tblPr>
      <w:tblGrid>
        <w:gridCol w:w="1665"/>
        <w:gridCol w:w="4711"/>
        <w:gridCol w:w="556"/>
        <w:gridCol w:w="833"/>
        <w:gridCol w:w="833"/>
        <w:gridCol w:w="833"/>
        <w:gridCol w:w="829"/>
      </w:tblGrid>
      <w:tr w:rsidR="00AA2125" w14:paraId="085D764F" w14:textId="77777777" w:rsidTr="00AA2125">
        <w:trPr>
          <w:cantSplit/>
          <w:trHeight w:val="161"/>
        </w:trPr>
        <w:tc>
          <w:tcPr>
            <w:tcW w:w="5000" w:type="pct"/>
            <w:gridSpan w:val="7"/>
          </w:tcPr>
          <w:p w14:paraId="6EE5FE66" w14:textId="3647B0B4" w:rsidR="00AA2125" w:rsidRPr="00183B19" w:rsidRDefault="00AA2125" w:rsidP="00AA2125">
            <w:pPr>
              <w:pStyle w:val="TOC3"/>
              <w:ind w:left="0"/>
            </w:pPr>
            <w:r>
              <w:lastRenderedPageBreak/>
              <w:t xml:space="preserve">Note 52. </w:t>
            </w:r>
            <w:r w:rsidRPr="00183B19">
              <w:t>Defined Benefit Plans (continued)</w:t>
            </w:r>
          </w:p>
        </w:tc>
      </w:tr>
      <w:tr w:rsidR="00E321F1" w14:paraId="19BAD38F" w14:textId="77777777" w:rsidTr="00AA2125">
        <w:trPr>
          <w:cantSplit/>
          <w:trHeight w:val="161"/>
        </w:trPr>
        <w:tc>
          <w:tcPr>
            <w:tcW w:w="811" w:type="pct"/>
            <w:vAlign w:val="bottom"/>
          </w:tcPr>
          <w:p w14:paraId="1A9F3712" w14:textId="77777777" w:rsidR="00E321F1" w:rsidRDefault="00E321F1" w:rsidP="001A5D4A">
            <w:pPr>
              <w:pStyle w:val="Note-Refs"/>
            </w:pPr>
          </w:p>
        </w:tc>
        <w:tc>
          <w:tcPr>
            <w:tcW w:w="2296" w:type="pct"/>
            <w:vAlign w:val="bottom"/>
          </w:tcPr>
          <w:p w14:paraId="691069B4" w14:textId="77777777" w:rsidR="00E321F1" w:rsidRPr="00BC1814" w:rsidRDefault="00E321F1" w:rsidP="001A5D4A">
            <w:pPr>
              <w:pStyle w:val="NotesTable-ItemBold"/>
            </w:pPr>
          </w:p>
        </w:tc>
        <w:tc>
          <w:tcPr>
            <w:tcW w:w="271" w:type="pct"/>
          </w:tcPr>
          <w:p w14:paraId="35B41920" w14:textId="77777777" w:rsidR="00E321F1" w:rsidRPr="00BC1814" w:rsidRDefault="00E321F1" w:rsidP="001A5D4A">
            <w:pPr>
              <w:pStyle w:val="NotesTable-Notes"/>
            </w:pPr>
          </w:p>
        </w:tc>
        <w:tc>
          <w:tcPr>
            <w:tcW w:w="406" w:type="pct"/>
          </w:tcPr>
          <w:p w14:paraId="5934A855" w14:textId="279D6646" w:rsidR="00E321F1" w:rsidRPr="00BC1814" w:rsidRDefault="00E321F1" w:rsidP="001A5D4A">
            <w:pPr>
              <w:pStyle w:val="NotesTable-HeadPlain"/>
            </w:pPr>
            <w:r w:rsidRPr="00BC1814">
              <w:t>$’000</w:t>
            </w:r>
          </w:p>
        </w:tc>
        <w:tc>
          <w:tcPr>
            <w:tcW w:w="406" w:type="pct"/>
          </w:tcPr>
          <w:p w14:paraId="542A9833" w14:textId="5C695888" w:rsidR="00E321F1" w:rsidRPr="00BC1814" w:rsidRDefault="00E321F1" w:rsidP="001A5D4A">
            <w:pPr>
              <w:pStyle w:val="NotesTable-HeadPlain"/>
            </w:pPr>
            <w:r w:rsidRPr="00BC1814">
              <w:t>$’000</w:t>
            </w:r>
          </w:p>
        </w:tc>
        <w:tc>
          <w:tcPr>
            <w:tcW w:w="406" w:type="pct"/>
          </w:tcPr>
          <w:p w14:paraId="011DB5C5" w14:textId="50762FB9" w:rsidR="00E321F1" w:rsidRPr="00BC1814" w:rsidRDefault="00E321F1" w:rsidP="001A5D4A">
            <w:pPr>
              <w:pStyle w:val="NotesTable-HeadPlain"/>
            </w:pPr>
            <w:r w:rsidRPr="00BC1814">
              <w:t>$’000</w:t>
            </w:r>
          </w:p>
        </w:tc>
        <w:tc>
          <w:tcPr>
            <w:tcW w:w="404" w:type="pct"/>
          </w:tcPr>
          <w:p w14:paraId="6BD306DA" w14:textId="6111AFA3" w:rsidR="00E321F1" w:rsidRPr="00BC1814" w:rsidRDefault="00E321F1" w:rsidP="001A5D4A">
            <w:pPr>
              <w:pStyle w:val="NotesTable-HeadPlain"/>
            </w:pPr>
            <w:r w:rsidRPr="00BC1814">
              <w:t>$’000</w:t>
            </w:r>
          </w:p>
        </w:tc>
      </w:tr>
      <w:tr w:rsidR="00E321F1" w14:paraId="3CDCA255" w14:textId="77777777" w:rsidTr="00AA2125">
        <w:trPr>
          <w:cantSplit/>
          <w:trHeight w:val="161"/>
        </w:trPr>
        <w:tc>
          <w:tcPr>
            <w:tcW w:w="811" w:type="pct"/>
            <w:vAlign w:val="bottom"/>
          </w:tcPr>
          <w:p w14:paraId="049073B8" w14:textId="77777777" w:rsidR="00E321F1" w:rsidRDefault="00E321F1" w:rsidP="001A5D4A">
            <w:pPr>
              <w:pStyle w:val="Note-Refs"/>
            </w:pPr>
            <w:r>
              <w:t>AASB119.140a(i)</w:t>
            </w:r>
          </w:p>
        </w:tc>
        <w:tc>
          <w:tcPr>
            <w:tcW w:w="2296" w:type="pct"/>
            <w:vAlign w:val="bottom"/>
          </w:tcPr>
          <w:p w14:paraId="34B4041B" w14:textId="220B7B8E" w:rsidR="00E321F1" w:rsidRPr="00BC1814" w:rsidRDefault="00E321F1" w:rsidP="001A5D4A">
            <w:pPr>
              <w:pStyle w:val="Note-TextHeader"/>
            </w:pPr>
            <w:r w:rsidRPr="00BC1814">
              <w:t xml:space="preserve">Present value of plan assets </w:t>
            </w:r>
            <w:r>
              <w:t>- 2013</w:t>
            </w:r>
          </w:p>
        </w:tc>
        <w:tc>
          <w:tcPr>
            <w:tcW w:w="271" w:type="pct"/>
          </w:tcPr>
          <w:p w14:paraId="790E445D" w14:textId="77777777" w:rsidR="00E321F1" w:rsidRPr="00BC1814" w:rsidRDefault="00E321F1" w:rsidP="001A5D4A">
            <w:pPr>
              <w:pStyle w:val="NotesTable-Notes"/>
            </w:pPr>
          </w:p>
        </w:tc>
        <w:tc>
          <w:tcPr>
            <w:tcW w:w="406" w:type="pct"/>
            <w:vAlign w:val="bottom"/>
          </w:tcPr>
          <w:p w14:paraId="3361ABB5" w14:textId="77777777" w:rsidR="00E321F1" w:rsidRPr="00BC1814" w:rsidRDefault="00E321F1" w:rsidP="001A5D4A">
            <w:pPr>
              <w:pStyle w:val="NotesTable-HeadPlain"/>
              <w:rPr>
                <w:b/>
              </w:rPr>
            </w:pPr>
            <w:r w:rsidRPr="00BC1814">
              <w:t>Fund 1</w:t>
            </w:r>
          </w:p>
        </w:tc>
        <w:tc>
          <w:tcPr>
            <w:tcW w:w="406" w:type="pct"/>
            <w:vAlign w:val="bottom"/>
          </w:tcPr>
          <w:p w14:paraId="45050543" w14:textId="77777777" w:rsidR="00E321F1" w:rsidRPr="00BC1814" w:rsidRDefault="00E321F1" w:rsidP="001A5D4A">
            <w:pPr>
              <w:pStyle w:val="NotesTable-HeadPlain"/>
              <w:rPr>
                <w:b/>
              </w:rPr>
            </w:pPr>
            <w:r w:rsidRPr="00BC1814">
              <w:t>Fund 2</w:t>
            </w:r>
          </w:p>
        </w:tc>
        <w:tc>
          <w:tcPr>
            <w:tcW w:w="406" w:type="pct"/>
            <w:vAlign w:val="bottom"/>
          </w:tcPr>
          <w:p w14:paraId="6CA7B241" w14:textId="77777777" w:rsidR="00E321F1" w:rsidRPr="00BC1814" w:rsidRDefault="00E321F1" w:rsidP="001A5D4A">
            <w:pPr>
              <w:pStyle w:val="NotesTable-HeadPlain"/>
              <w:rPr>
                <w:b/>
              </w:rPr>
            </w:pPr>
            <w:r w:rsidRPr="00BC1814">
              <w:t>Fund 3</w:t>
            </w:r>
          </w:p>
        </w:tc>
        <w:tc>
          <w:tcPr>
            <w:tcW w:w="404" w:type="pct"/>
            <w:vAlign w:val="bottom"/>
          </w:tcPr>
          <w:p w14:paraId="786E5C6C" w14:textId="77777777" w:rsidR="00E321F1" w:rsidRPr="00BC1814" w:rsidRDefault="00E321F1" w:rsidP="001A5D4A">
            <w:pPr>
              <w:pStyle w:val="NotesTable-HeadPlain"/>
              <w:rPr>
                <w:b/>
              </w:rPr>
            </w:pPr>
            <w:r w:rsidRPr="00BC1814">
              <w:t>Total</w:t>
            </w:r>
          </w:p>
        </w:tc>
      </w:tr>
      <w:tr w:rsidR="00E321F1" w14:paraId="7E51482F" w14:textId="77777777" w:rsidTr="00AA2125">
        <w:trPr>
          <w:cantSplit/>
          <w:trHeight w:val="161"/>
        </w:trPr>
        <w:tc>
          <w:tcPr>
            <w:tcW w:w="811" w:type="pct"/>
            <w:vAlign w:val="bottom"/>
          </w:tcPr>
          <w:p w14:paraId="774C5D89" w14:textId="77777777" w:rsidR="00E321F1" w:rsidRDefault="00E321F1" w:rsidP="001A5D4A">
            <w:pPr>
              <w:pStyle w:val="Note-Refs"/>
            </w:pPr>
            <w:r>
              <w:t>AASB119.140</w:t>
            </w:r>
          </w:p>
        </w:tc>
        <w:tc>
          <w:tcPr>
            <w:tcW w:w="2296" w:type="pct"/>
            <w:vAlign w:val="bottom"/>
          </w:tcPr>
          <w:p w14:paraId="47AD359F" w14:textId="77777777" w:rsidR="00E321F1" w:rsidRPr="00BC1814" w:rsidRDefault="00E321F1" w:rsidP="001A5D4A">
            <w:pPr>
              <w:pStyle w:val="NotesTable-ItemPlain"/>
              <w:rPr>
                <w:b/>
              </w:rPr>
            </w:pPr>
            <w:r w:rsidRPr="00BC1814">
              <w:t>Opening fair value of plan assets</w:t>
            </w:r>
          </w:p>
        </w:tc>
        <w:tc>
          <w:tcPr>
            <w:tcW w:w="271" w:type="pct"/>
          </w:tcPr>
          <w:p w14:paraId="5AEF0155" w14:textId="77777777" w:rsidR="00E321F1" w:rsidRPr="00BC1814" w:rsidRDefault="00E321F1" w:rsidP="001A5D4A">
            <w:pPr>
              <w:pStyle w:val="NotesTable-Notes"/>
            </w:pPr>
          </w:p>
        </w:tc>
        <w:tc>
          <w:tcPr>
            <w:tcW w:w="406" w:type="pct"/>
          </w:tcPr>
          <w:p w14:paraId="1E12FB4A" w14:textId="77777777" w:rsidR="00E321F1" w:rsidRPr="00BC1814" w:rsidRDefault="00E321F1" w:rsidP="001A5D4A">
            <w:pPr>
              <w:pStyle w:val="NotesTable-CellPlain"/>
              <w:rPr>
                <w:b/>
              </w:rPr>
            </w:pPr>
            <w:r w:rsidRPr="00997224">
              <w:t>–</w:t>
            </w:r>
          </w:p>
        </w:tc>
        <w:tc>
          <w:tcPr>
            <w:tcW w:w="406" w:type="pct"/>
          </w:tcPr>
          <w:p w14:paraId="593EFE74" w14:textId="77777777" w:rsidR="00E321F1" w:rsidRPr="00BC1814" w:rsidRDefault="00E321F1" w:rsidP="001A5D4A">
            <w:pPr>
              <w:pStyle w:val="NotesTable-CellPlain"/>
              <w:rPr>
                <w:b/>
              </w:rPr>
            </w:pPr>
            <w:r w:rsidRPr="00997224">
              <w:t>–</w:t>
            </w:r>
          </w:p>
        </w:tc>
        <w:tc>
          <w:tcPr>
            <w:tcW w:w="406" w:type="pct"/>
          </w:tcPr>
          <w:p w14:paraId="60B4874C" w14:textId="77777777" w:rsidR="00E321F1" w:rsidRPr="00BC1814" w:rsidRDefault="00E321F1" w:rsidP="001A5D4A">
            <w:pPr>
              <w:pStyle w:val="NotesTable-CellPlain"/>
            </w:pPr>
            <w:r w:rsidRPr="00997224">
              <w:t>–</w:t>
            </w:r>
          </w:p>
        </w:tc>
        <w:tc>
          <w:tcPr>
            <w:tcW w:w="404" w:type="pct"/>
          </w:tcPr>
          <w:p w14:paraId="08B762AD" w14:textId="77777777" w:rsidR="00E321F1" w:rsidRPr="00BC1814" w:rsidRDefault="00E321F1" w:rsidP="001A5D4A">
            <w:pPr>
              <w:pStyle w:val="NotesTable-CellPlain"/>
              <w:rPr>
                <w:b/>
              </w:rPr>
            </w:pPr>
            <w:r w:rsidRPr="00997224">
              <w:t>–</w:t>
            </w:r>
          </w:p>
        </w:tc>
      </w:tr>
      <w:tr w:rsidR="00E321F1" w14:paraId="5268624E" w14:textId="77777777" w:rsidTr="00AA2125">
        <w:trPr>
          <w:cantSplit/>
          <w:trHeight w:val="161"/>
        </w:trPr>
        <w:tc>
          <w:tcPr>
            <w:tcW w:w="811" w:type="pct"/>
            <w:vAlign w:val="bottom"/>
          </w:tcPr>
          <w:p w14:paraId="0F4B1BE7" w14:textId="77777777" w:rsidR="00E321F1" w:rsidRDefault="00E321F1" w:rsidP="001A5D4A">
            <w:pPr>
              <w:pStyle w:val="Note-Refs"/>
              <w:rPr>
                <w:b/>
              </w:rPr>
            </w:pPr>
            <w:r>
              <w:t>AASB119.141b</w:t>
            </w:r>
          </w:p>
        </w:tc>
        <w:tc>
          <w:tcPr>
            <w:tcW w:w="2296" w:type="pct"/>
            <w:vAlign w:val="bottom"/>
          </w:tcPr>
          <w:p w14:paraId="4F7A24E4" w14:textId="77777777" w:rsidR="00E321F1" w:rsidRPr="00BC1814" w:rsidRDefault="00E321F1" w:rsidP="001A5D4A">
            <w:pPr>
              <w:pStyle w:val="NotesTable-ItemPlain"/>
              <w:rPr>
                <w:b/>
              </w:rPr>
            </w:pPr>
            <w:r w:rsidRPr="00BC1814">
              <w:t xml:space="preserve">Interest </w:t>
            </w:r>
            <w:r>
              <w:t>(income)</w:t>
            </w:r>
          </w:p>
        </w:tc>
        <w:tc>
          <w:tcPr>
            <w:tcW w:w="271" w:type="pct"/>
          </w:tcPr>
          <w:p w14:paraId="1BE60C9B" w14:textId="77777777" w:rsidR="00E321F1" w:rsidRPr="00BC1814" w:rsidRDefault="00E321F1" w:rsidP="001A5D4A">
            <w:pPr>
              <w:pStyle w:val="NotesTable-Notes"/>
            </w:pPr>
          </w:p>
        </w:tc>
        <w:tc>
          <w:tcPr>
            <w:tcW w:w="406" w:type="pct"/>
            <w:tcBorders>
              <w:bottom w:val="single" w:sz="4" w:space="0" w:color="auto"/>
            </w:tcBorders>
          </w:tcPr>
          <w:p w14:paraId="637E5E9D" w14:textId="77777777" w:rsidR="00E321F1" w:rsidRPr="00BC1814" w:rsidRDefault="00E321F1" w:rsidP="001A5D4A">
            <w:pPr>
              <w:pStyle w:val="NotesTable-CellPlain"/>
              <w:rPr>
                <w:b/>
              </w:rPr>
            </w:pPr>
            <w:r w:rsidRPr="000A11B4">
              <w:t>–</w:t>
            </w:r>
          </w:p>
        </w:tc>
        <w:tc>
          <w:tcPr>
            <w:tcW w:w="406" w:type="pct"/>
            <w:tcBorders>
              <w:bottom w:val="single" w:sz="4" w:space="0" w:color="auto"/>
            </w:tcBorders>
          </w:tcPr>
          <w:p w14:paraId="020091BE" w14:textId="77777777" w:rsidR="00E321F1" w:rsidRPr="00BC1814" w:rsidRDefault="00E321F1" w:rsidP="001A5D4A">
            <w:pPr>
              <w:pStyle w:val="NotesTable-CellPlain"/>
              <w:rPr>
                <w:b/>
              </w:rPr>
            </w:pPr>
            <w:r w:rsidRPr="000A11B4">
              <w:t>–</w:t>
            </w:r>
          </w:p>
        </w:tc>
        <w:tc>
          <w:tcPr>
            <w:tcW w:w="406" w:type="pct"/>
            <w:tcBorders>
              <w:bottom w:val="single" w:sz="4" w:space="0" w:color="auto"/>
            </w:tcBorders>
          </w:tcPr>
          <w:p w14:paraId="6AE3DE4B" w14:textId="77777777" w:rsidR="00E321F1" w:rsidRPr="00BC1814" w:rsidRDefault="00E321F1" w:rsidP="001A5D4A">
            <w:pPr>
              <w:pStyle w:val="NotesTable-CellPlain"/>
              <w:rPr>
                <w:b/>
              </w:rPr>
            </w:pPr>
            <w:r w:rsidRPr="000A11B4">
              <w:t>–</w:t>
            </w:r>
          </w:p>
        </w:tc>
        <w:tc>
          <w:tcPr>
            <w:tcW w:w="404" w:type="pct"/>
            <w:tcBorders>
              <w:bottom w:val="single" w:sz="4" w:space="0" w:color="auto"/>
            </w:tcBorders>
          </w:tcPr>
          <w:p w14:paraId="42D3CCE6" w14:textId="77777777" w:rsidR="00E321F1" w:rsidRPr="00BC1814" w:rsidRDefault="00E321F1" w:rsidP="001A5D4A">
            <w:pPr>
              <w:pStyle w:val="NotesTable-CellPlain"/>
              <w:rPr>
                <w:b/>
              </w:rPr>
            </w:pPr>
            <w:r w:rsidRPr="000A11B4">
              <w:t>–</w:t>
            </w:r>
          </w:p>
        </w:tc>
      </w:tr>
      <w:tr w:rsidR="00E321F1" w14:paraId="0B6FCEBD" w14:textId="77777777" w:rsidTr="00AA2125">
        <w:trPr>
          <w:cantSplit/>
          <w:trHeight w:val="161"/>
        </w:trPr>
        <w:tc>
          <w:tcPr>
            <w:tcW w:w="811" w:type="pct"/>
            <w:vAlign w:val="bottom"/>
          </w:tcPr>
          <w:p w14:paraId="09902082" w14:textId="77777777" w:rsidR="00E321F1" w:rsidRDefault="00E321F1" w:rsidP="001A5D4A">
            <w:pPr>
              <w:pStyle w:val="Note-Refs"/>
            </w:pPr>
          </w:p>
        </w:tc>
        <w:tc>
          <w:tcPr>
            <w:tcW w:w="2296" w:type="pct"/>
            <w:vAlign w:val="bottom"/>
          </w:tcPr>
          <w:p w14:paraId="793BCA5A" w14:textId="77777777" w:rsidR="00E321F1" w:rsidRDefault="00E321F1" w:rsidP="001A5D4A">
            <w:pPr>
              <w:pStyle w:val="NotesTable-ItemPlain"/>
            </w:pPr>
          </w:p>
        </w:tc>
        <w:tc>
          <w:tcPr>
            <w:tcW w:w="271" w:type="pct"/>
          </w:tcPr>
          <w:p w14:paraId="05CEE891" w14:textId="77777777" w:rsidR="00E321F1" w:rsidRPr="00BC1814" w:rsidRDefault="00E321F1" w:rsidP="001A5D4A">
            <w:pPr>
              <w:pStyle w:val="NotesTable-Notes"/>
            </w:pPr>
          </w:p>
        </w:tc>
        <w:tc>
          <w:tcPr>
            <w:tcW w:w="406" w:type="pct"/>
            <w:tcBorders>
              <w:top w:val="single" w:sz="4" w:space="0" w:color="auto"/>
            </w:tcBorders>
          </w:tcPr>
          <w:p w14:paraId="6DBCBE8B" w14:textId="77777777" w:rsidR="00E321F1" w:rsidRPr="000A11B4" w:rsidRDefault="00E321F1" w:rsidP="001A5D4A">
            <w:pPr>
              <w:pStyle w:val="NotesTable-CellPlain"/>
            </w:pPr>
            <w:r w:rsidRPr="000A11B4">
              <w:t>–</w:t>
            </w:r>
          </w:p>
        </w:tc>
        <w:tc>
          <w:tcPr>
            <w:tcW w:w="406" w:type="pct"/>
            <w:tcBorders>
              <w:top w:val="single" w:sz="4" w:space="0" w:color="auto"/>
            </w:tcBorders>
          </w:tcPr>
          <w:p w14:paraId="7CE6B95A" w14:textId="77777777" w:rsidR="00E321F1" w:rsidRPr="000A11B4" w:rsidRDefault="00E321F1" w:rsidP="001A5D4A">
            <w:pPr>
              <w:pStyle w:val="NotesTable-CellPlain"/>
            </w:pPr>
            <w:r w:rsidRPr="000A11B4">
              <w:t>–</w:t>
            </w:r>
          </w:p>
        </w:tc>
        <w:tc>
          <w:tcPr>
            <w:tcW w:w="406" w:type="pct"/>
            <w:tcBorders>
              <w:top w:val="single" w:sz="4" w:space="0" w:color="auto"/>
            </w:tcBorders>
          </w:tcPr>
          <w:p w14:paraId="3A61B040" w14:textId="77777777" w:rsidR="00E321F1" w:rsidRPr="000A11B4" w:rsidRDefault="00E321F1" w:rsidP="001A5D4A">
            <w:pPr>
              <w:pStyle w:val="NotesTable-CellPlain"/>
            </w:pPr>
            <w:r w:rsidRPr="000A11B4">
              <w:t>–</w:t>
            </w:r>
          </w:p>
        </w:tc>
        <w:tc>
          <w:tcPr>
            <w:tcW w:w="404" w:type="pct"/>
            <w:tcBorders>
              <w:top w:val="single" w:sz="4" w:space="0" w:color="auto"/>
            </w:tcBorders>
          </w:tcPr>
          <w:p w14:paraId="50B35925" w14:textId="77777777" w:rsidR="00E321F1" w:rsidRPr="000A11B4" w:rsidRDefault="00E321F1" w:rsidP="001A5D4A">
            <w:pPr>
              <w:pStyle w:val="NotesTable-CellPlain"/>
            </w:pPr>
            <w:r w:rsidRPr="000A11B4">
              <w:t>–</w:t>
            </w:r>
          </w:p>
        </w:tc>
      </w:tr>
      <w:tr w:rsidR="00E321F1" w14:paraId="5A94BA96" w14:textId="77777777" w:rsidTr="00AA2125">
        <w:trPr>
          <w:cantSplit/>
          <w:trHeight w:val="161"/>
        </w:trPr>
        <w:tc>
          <w:tcPr>
            <w:tcW w:w="811" w:type="pct"/>
            <w:vAlign w:val="bottom"/>
          </w:tcPr>
          <w:p w14:paraId="5B5AEA85" w14:textId="77777777" w:rsidR="00E321F1" w:rsidRDefault="00E321F1" w:rsidP="001A5D4A">
            <w:pPr>
              <w:pStyle w:val="Note-Refs"/>
            </w:pPr>
          </w:p>
        </w:tc>
        <w:tc>
          <w:tcPr>
            <w:tcW w:w="2296" w:type="pct"/>
            <w:vAlign w:val="bottom"/>
          </w:tcPr>
          <w:p w14:paraId="49E3E38E" w14:textId="77777777" w:rsidR="00E321F1" w:rsidRPr="00BC1814" w:rsidRDefault="00E321F1" w:rsidP="001A5D4A">
            <w:pPr>
              <w:pStyle w:val="NotesTable-ItemPlain"/>
            </w:pPr>
            <w:r>
              <w:t>Remeasurements</w:t>
            </w:r>
          </w:p>
        </w:tc>
        <w:tc>
          <w:tcPr>
            <w:tcW w:w="271" w:type="pct"/>
          </w:tcPr>
          <w:p w14:paraId="469DA65D" w14:textId="77777777" w:rsidR="00E321F1" w:rsidRPr="00BC1814" w:rsidRDefault="00E321F1" w:rsidP="001A5D4A">
            <w:pPr>
              <w:pStyle w:val="NotesTable-Notes"/>
            </w:pPr>
          </w:p>
        </w:tc>
        <w:tc>
          <w:tcPr>
            <w:tcW w:w="406" w:type="pct"/>
          </w:tcPr>
          <w:p w14:paraId="29040737" w14:textId="77777777" w:rsidR="00E321F1" w:rsidRPr="00997224" w:rsidRDefault="00E321F1" w:rsidP="001A5D4A">
            <w:pPr>
              <w:pStyle w:val="NotesTable-CellPlain"/>
            </w:pPr>
          </w:p>
        </w:tc>
        <w:tc>
          <w:tcPr>
            <w:tcW w:w="406" w:type="pct"/>
          </w:tcPr>
          <w:p w14:paraId="1A95A31F" w14:textId="77777777" w:rsidR="00E321F1" w:rsidRPr="00997224" w:rsidRDefault="00E321F1" w:rsidP="001A5D4A">
            <w:pPr>
              <w:pStyle w:val="NotesTable-CellPlain"/>
            </w:pPr>
          </w:p>
        </w:tc>
        <w:tc>
          <w:tcPr>
            <w:tcW w:w="406" w:type="pct"/>
          </w:tcPr>
          <w:p w14:paraId="799FA371" w14:textId="77777777" w:rsidR="00E321F1" w:rsidRPr="00997224" w:rsidRDefault="00E321F1" w:rsidP="001A5D4A">
            <w:pPr>
              <w:pStyle w:val="NotesTable-CellPlain"/>
            </w:pPr>
          </w:p>
        </w:tc>
        <w:tc>
          <w:tcPr>
            <w:tcW w:w="404" w:type="pct"/>
          </w:tcPr>
          <w:p w14:paraId="7C4E1551" w14:textId="77777777" w:rsidR="00E321F1" w:rsidRPr="00997224" w:rsidRDefault="00E321F1" w:rsidP="001A5D4A">
            <w:pPr>
              <w:pStyle w:val="NotesTable-CellPlain"/>
            </w:pPr>
          </w:p>
        </w:tc>
      </w:tr>
      <w:tr w:rsidR="00E321F1" w14:paraId="3F311395" w14:textId="77777777" w:rsidTr="00AA2125">
        <w:trPr>
          <w:cantSplit/>
          <w:trHeight w:val="161"/>
        </w:trPr>
        <w:tc>
          <w:tcPr>
            <w:tcW w:w="811" w:type="pct"/>
          </w:tcPr>
          <w:p w14:paraId="16C6F791" w14:textId="77777777" w:rsidR="00E321F1" w:rsidRDefault="00E321F1" w:rsidP="001A5D4A">
            <w:pPr>
              <w:pStyle w:val="Note-Refs"/>
              <w:rPr>
                <w:b/>
              </w:rPr>
            </w:pPr>
            <w:r>
              <w:t>AASB119.141c(i)</w:t>
            </w:r>
          </w:p>
        </w:tc>
        <w:tc>
          <w:tcPr>
            <w:tcW w:w="2296" w:type="pct"/>
            <w:vAlign w:val="bottom"/>
          </w:tcPr>
          <w:p w14:paraId="6A143ECE" w14:textId="77777777" w:rsidR="00E321F1" w:rsidRPr="00BC1814" w:rsidRDefault="00E321F1" w:rsidP="001A5D4A">
            <w:pPr>
              <w:pStyle w:val="Note-Text"/>
              <w:rPr>
                <w:b/>
                <w:lang w:val="en-GB"/>
              </w:rPr>
            </w:pPr>
            <w:r>
              <w:t>Return on plan assets, excluding amounts included in net interest expense</w:t>
            </w:r>
          </w:p>
        </w:tc>
        <w:tc>
          <w:tcPr>
            <w:tcW w:w="271" w:type="pct"/>
          </w:tcPr>
          <w:p w14:paraId="25BA4977" w14:textId="77777777" w:rsidR="00E321F1" w:rsidRPr="00BC1814" w:rsidRDefault="00E321F1" w:rsidP="001A5D4A">
            <w:pPr>
              <w:pStyle w:val="NotesTable-Notes"/>
            </w:pPr>
          </w:p>
        </w:tc>
        <w:tc>
          <w:tcPr>
            <w:tcW w:w="406" w:type="pct"/>
            <w:vAlign w:val="bottom"/>
          </w:tcPr>
          <w:p w14:paraId="76A131E5" w14:textId="77777777" w:rsidR="00E321F1" w:rsidRPr="00BC1814" w:rsidRDefault="00E321F1" w:rsidP="001A5D4A">
            <w:pPr>
              <w:pStyle w:val="NotesTable-CellPlain"/>
              <w:rPr>
                <w:b/>
              </w:rPr>
            </w:pPr>
            <w:r w:rsidRPr="002A72F5">
              <w:t>–</w:t>
            </w:r>
          </w:p>
        </w:tc>
        <w:tc>
          <w:tcPr>
            <w:tcW w:w="406" w:type="pct"/>
            <w:vAlign w:val="bottom"/>
          </w:tcPr>
          <w:p w14:paraId="21040BF7" w14:textId="77777777" w:rsidR="00E321F1" w:rsidRPr="00BC1814" w:rsidRDefault="00E321F1" w:rsidP="001A5D4A">
            <w:pPr>
              <w:pStyle w:val="NotesTable-CellPlain"/>
              <w:rPr>
                <w:b/>
              </w:rPr>
            </w:pPr>
            <w:r w:rsidRPr="002A72F5">
              <w:t>–</w:t>
            </w:r>
          </w:p>
        </w:tc>
        <w:tc>
          <w:tcPr>
            <w:tcW w:w="406" w:type="pct"/>
            <w:vAlign w:val="bottom"/>
          </w:tcPr>
          <w:p w14:paraId="334BBA41" w14:textId="77777777" w:rsidR="00E321F1" w:rsidRPr="00BC1814" w:rsidRDefault="00E321F1" w:rsidP="001A5D4A">
            <w:pPr>
              <w:pStyle w:val="NotesTable-CellPlain"/>
              <w:rPr>
                <w:b/>
              </w:rPr>
            </w:pPr>
            <w:r w:rsidRPr="002A72F5">
              <w:t>–</w:t>
            </w:r>
          </w:p>
        </w:tc>
        <w:tc>
          <w:tcPr>
            <w:tcW w:w="404" w:type="pct"/>
            <w:vAlign w:val="bottom"/>
          </w:tcPr>
          <w:p w14:paraId="7B3519F0" w14:textId="77777777" w:rsidR="00E321F1" w:rsidRPr="00BC1814" w:rsidRDefault="00E321F1" w:rsidP="001A5D4A">
            <w:pPr>
              <w:pStyle w:val="NotesTable-CellPlain"/>
              <w:rPr>
                <w:b/>
              </w:rPr>
            </w:pPr>
            <w:r w:rsidRPr="002A72F5">
              <w:t>–</w:t>
            </w:r>
          </w:p>
        </w:tc>
      </w:tr>
      <w:tr w:rsidR="00E321F1" w14:paraId="6701C8D4" w14:textId="77777777" w:rsidTr="00AA2125">
        <w:trPr>
          <w:cantSplit/>
          <w:trHeight w:val="161"/>
        </w:trPr>
        <w:tc>
          <w:tcPr>
            <w:tcW w:w="811" w:type="pct"/>
          </w:tcPr>
          <w:p w14:paraId="58C91DA9" w14:textId="77777777" w:rsidR="00E321F1" w:rsidRDefault="00E321F1" w:rsidP="001A5D4A">
            <w:pPr>
              <w:pStyle w:val="Note-Refs"/>
              <w:rPr>
                <w:b/>
              </w:rPr>
            </w:pPr>
            <w:r>
              <w:t>AASB119.141c(ii),(iii)</w:t>
            </w:r>
          </w:p>
        </w:tc>
        <w:tc>
          <w:tcPr>
            <w:tcW w:w="2296" w:type="pct"/>
            <w:vAlign w:val="bottom"/>
          </w:tcPr>
          <w:p w14:paraId="3683B0C4" w14:textId="77777777" w:rsidR="00E321F1" w:rsidRPr="00BC1814" w:rsidRDefault="00E321F1" w:rsidP="001A5D4A">
            <w:pPr>
              <w:pStyle w:val="Note-Text"/>
              <w:rPr>
                <w:b/>
                <w:lang w:val="en-GB"/>
              </w:rPr>
            </w:pPr>
            <w:r>
              <w:t>Other [Specify]</w:t>
            </w:r>
          </w:p>
        </w:tc>
        <w:tc>
          <w:tcPr>
            <w:tcW w:w="271" w:type="pct"/>
          </w:tcPr>
          <w:p w14:paraId="752116E8" w14:textId="77777777" w:rsidR="00E321F1" w:rsidRPr="00BC1814" w:rsidRDefault="00E321F1" w:rsidP="001A5D4A">
            <w:pPr>
              <w:pStyle w:val="NotesTable-Notes"/>
            </w:pPr>
          </w:p>
        </w:tc>
        <w:tc>
          <w:tcPr>
            <w:tcW w:w="406" w:type="pct"/>
            <w:vAlign w:val="bottom"/>
          </w:tcPr>
          <w:p w14:paraId="1178BBF8" w14:textId="77777777" w:rsidR="00E321F1" w:rsidRPr="00BC1814" w:rsidRDefault="00E321F1" w:rsidP="001A5D4A">
            <w:pPr>
              <w:pStyle w:val="NotesTable-CellPlain"/>
              <w:rPr>
                <w:b/>
              </w:rPr>
            </w:pPr>
            <w:r w:rsidRPr="000A11B4">
              <w:t>–</w:t>
            </w:r>
          </w:p>
        </w:tc>
        <w:tc>
          <w:tcPr>
            <w:tcW w:w="406" w:type="pct"/>
            <w:vAlign w:val="bottom"/>
          </w:tcPr>
          <w:p w14:paraId="5FCFCBF8" w14:textId="77777777" w:rsidR="00E321F1" w:rsidRPr="00BC1814" w:rsidRDefault="00E321F1" w:rsidP="001A5D4A">
            <w:pPr>
              <w:pStyle w:val="NotesTable-CellPlain"/>
              <w:rPr>
                <w:b/>
              </w:rPr>
            </w:pPr>
            <w:r w:rsidRPr="000A11B4">
              <w:t>–</w:t>
            </w:r>
          </w:p>
        </w:tc>
        <w:tc>
          <w:tcPr>
            <w:tcW w:w="406" w:type="pct"/>
            <w:vAlign w:val="bottom"/>
          </w:tcPr>
          <w:p w14:paraId="41D0CFBF" w14:textId="77777777" w:rsidR="00E321F1" w:rsidRPr="00BC1814" w:rsidRDefault="00E321F1" w:rsidP="001A5D4A">
            <w:pPr>
              <w:pStyle w:val="NotesTable-CellPlain"/>
              <w:rPr>
                <w:b/>
              </w:rPr>
            </w:pPr>
            <w:r w:rsidRPr="000A11B4">
              <w:t>–</w:t>
            </w:r>
          </w:p>
        </w:tc>
        <w:tc>
          <w:tcPr>
            <w:tcW w:w="404" w:type="pct"/>
            <w:vAlign w:val="bottom"/>
          </w:tcPr>
          <w:p w14:paraId="02BEA663" w14:textId="77777777" w:rsidR="00E321F1" w:rsidRPr="00BC1814" w:rsidRDefault="00E321F1" w:rsidP="001A5D4A">
            <w:pPr>
              <w:pStyle w:val="NotesTable-CellPlain"/>
              <w:rPr>
                <w:b/>
              </w:rPr>
            </w:pPr>
            <w:r w:rsidRPr="000A11B4">
              <w:t>–</w:t>
            </w:r>
          </w:p>
        </w:tc>
      </w:tr>
      <w:tr w:rsidR="00E321F1" w14:paraId="64631655" w14:textId="77777777" w:rsidTr="00AA2125">
        <w:trPr>
          <w:cantSplit/>
          <w:trHeight w:val="161"/>
        </w:trPr>
        <w:tc>
          <w:tcPr>
            <w:tcW w:w="811" w:type="pct"/>
            <w:vAlign w:val="bottom"/>
          </w:tcPr>
          <w:p w14:paraId="4A8254F1" w14:textId="77777777" w:rsidR="00E321F1" w:rsidRDefault="00E321F1" w:rsidP="001A5D4A">
            <w:pPr>
              <w:pStyle w:val="Note-Refs"/>
            </w:pPr>
          </w:p>
        </w:tc>
        <w:tc>
          <w:tcPr>
            <w:tcW w:w="2296" w:type="pct"/>
            <w:vAlign w:val="bottom"/>
          </w:tcPr>
          <w:p w14:paraId="05018FED" w14:textId="77777777" w:rsidR="00E321F1" w:rsidRPr="00BC1814" w:rsidRDefault="00E321F1" w:rsidP="001A5D4A">
            <w:pPr>
              <w:pStyle w:val="NotesTable-ItemPlain"/>
            </w:pPr>
          </w:p>
        </w:tc>
        <w:tc>
          <w:tcPr>
            <w:tcW w:w="271" w:type="pct"/>
          </w:tcPr>
          <w:p w14:paraId="27FB1991" w14:textId="77777777" w:rsidR="00E321F1" w:rsidRPr="00BC1814" w:rsidRDefault="00E321F1" w:rsidP="001A5D4A">
            <w:pPr>
              <w:pStyle w:val="NotesTable-Notes"/>
            </w:pPr>
          </w:p>
        </w:tc>
        <w:tc>
          <w:tcPr>
            <w:tcW w:w="406" w:type="pct"/>
            <w:tcBorders>
              <w:top w:val="single" w:sz="4" w:space="0" w:color="auto"/>
            </w:tcBorders>
          </w:tcPr>
          <w:p w14:paraId="6710986E"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02B49C1E"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65D5CA71" w14:textId="77777777" w:rsidR="00E321F1" w:rsidRPr="00BC1814" w:rsidRDefault="00E321F1" w:rsidP="001A5D4A">
            <w:pPr>
              <w:pStyle w:val="NotesTable-CellPlain"/>
              <w:rPr>
                <w:b/>
              </w:rPr>
            </w:pPr>
            <w:r w:rsidRPr="00997224">
              <w:t>–</w:t>
            </w:r>
          </w:p>
        </w:tc>
        <w:tc>
          <w:tcPr>
            <w:tcW w:w="404" w:type="pct"/>
            <w:tcBorders>
              <w:top w:val="single" w:sz="4" w:space="0" w:color="auto"/>
            </w:tcBorders>
          </w:tcPr>
          <w:p w14:paraId="55C43CF3" w14:textId="77777777" w:rsidR="00E321F1" w:rsidRPr="00BC1814" w:rsidRDefault="00E321F1" w:rsidP="001A5D4A">
            <w:pPr>
              <w:pStyle w:val="NotesTable-CellPlain"/>
              <w:rPr>
                <w:b/>
              </w:rPr>
            </w:pPr>
            <w:r w:rsidRPr="00997224">
              <w:t>–</w:t>
            </w:r>
          </w:p>
        </w:tc>
      </w:tr>
      <w:tr w:rsidR="00E321F1" w14:paraId="36C42267" w14:textId="77777777" w:rsidTr="00AA2125">
        <w:trPr>
          <w:cantSplit/>
          <w:trHeight w:val="161"/>
        </w:trPr>
        <w:tc>
          <w:tcPr>
            <w:tcW w:w="811" w:type="pct"/>
            <w:vAlign w:val="bottom"/>
          </w:tcPr>
          <w:p w14:paraId="485CB5D6" w14:textId="77777777" w:rsidR="00E321F1" w:rsidRDefault="00E321F1" w:rsidP="001A5D4A">
            <w:pPr>
              <w:pStyle w:val="Note-Refs"/>
              <w:rPr>
                <w:b/>
              </w:rPr>
            </w:pPr>
            <w:r>
              <w:t>AASB119.141e</w:t>
            </w:r>
          </w:p>
        </w:tc>
        <w:tc>
          <w:tcPr>
            <w:tcW w:w="2296" w:type="pct"/>
            <w:vAlign w:val="bottom"/>
          </w:tcPr>
          <w:p w14:paraId="27B8AF5B" w14:textId="77777777" w:rsidR="00E321F1" w:rsidRPr="00BC1814" w:rsidRDefault="00E321F1" w:rsidP="001A5D4A">
            <w:pPr>
              <w:pStyle w:val="NotesTable-ItemPlain"/>
              <w:rPr>
                <w:b/>
              </w:rPr>
            </w:pPr>
            <w:r w:rsidRPr="00BC1814">
              <w:t>Exchange differences on foreign plans</w:t>
            </w:r>
          </w:p>
        </w:tc>
        <w:tc>
          <w:tcPr>
            <w:tcW w:w="271" w:type="pct"/>
          </w:tcPr>
          <w:p w14:paraId="732BFD03" w14:textId="77777777" w:rsidR="00E321F1" w:rsidRPr="00BC1814" w:rsidRDefault="00E321F1" w:rsidP="001A5D4A">
            <w:pPr>
              <w:pStyle w:val="NotesTable-Notes"/>
            </w:pPr>
          </w:p>
        </w:tc>
        <w:tc>
          <w:tcPr>
            <w:tcW w:w="406" w:type="pct"/>
          </w:tcPr>
          <w:p w14:paraId="79965CD0" w14:textId="77777777" w:rsidR="00E321F1" w:rsidRPr="00BC1814" w:rsidRDefault="00E321F1" w:rsidP="001A5D4A">
            <w:pPr>
              <w:pStyle w:val="NotesTable-CellPlain"/>
              <w:rPr>
                <w:b/>
              </w:rPr>
            </w:pPr>
            <w:r w:rsidRPr="00997224">
              <w:t>–</w:t>
            </w:r>
          </w:p>
        </w:tc>
        <w:tc>
          <w:tcPr>
            <w:tcW w:w="406" w:type="pct"/>
          </w:tcPr>
          <w:p w14:paraId="18739A04" w14:textId="77777777" w:rsidR="00E321F1" w:rsidRPr="00BC1814" w:rsidRDefault="00E321F1" w:rsidP="001A5D4A">
            <w:pPr>
              <w:pStyle w:val="NotesTable-CellPlain"/>
              <w:rPr>
                <w:b/>
              </w:rPr>
            </w:pPr>
            <w:r w:rsidRPr="00997224">
              <w:t>–</w:t>
            </w:r>
          </w:p>
        </w:tc>
        <w:tc>
          <w:tcPr>
            <w:tcW w:w="406" w:type="pct"/>
          </w:tcPr>
          <w:p w14:paraId="25E84812" w14:textId="77777777" w:rsidR="00E321F1" w:rsidRPr="00BC1814" w:rsidRDefault="00E321F1" w:rsidP="001A5D4A">
            <w:pPr>
              <w:pStyle w:val="NotesTable-CellPlain"/>
              <w:rPr>
                <w:b/>
              </w:rPr>
            </w:pPr>
            <w:r w:rsidRPr="00997224">
              <w:t>–</w:t>
            </w:r>
          </w:p>
        </w:tc>
        <w:tc>
          <w:tcPr>
            <w:tcW w:w="404" w:type="pct"/>
          </w:tcPr>
          <w:p w14:paraId="5B21B25B" w14:textId="77777777" w:rsidR="00E321F1" w:rsidRPr="00BC1814" w:rsidRDefault="00E321F1" w:rsidP="001A5D4A">
            <w:pPr>
              <w:pStyle w:val="NotesTable-CellPlain"/>
              <w:rPr>
                <w:b/>
              </w:rPr>
            </w:pPr>
            <w:r w:rsidRPr="00997224">
              <w:t>–</w:t>
            </w:r>
          </w:p>
        </w:tc>
      </w:tr>
      <w:tr w:rsidR="00E321F1" w14:paraId="0A6C4F14" w14:textId="77777777" w:rsidTr="00AA2125">
        <w:trPr>
          <w:cantSplit/>
          <w:trHeight w:val="161"/>
        </w:trPr>
        <w:tc>
          <w:tcPr>
            <w:tcW w:w="811" w:type="pct"/>
            <w:vAlign w:val="bottom"/>
          </w:tcPr>
          <w:p w14:paraId="1D689EFD" w14:textId="77777777" w:rsidR="00E321F1" w:rsidRPr="003325C5" w:rsidRDefault="00E321F1" w:rsidP="001A5D4A">
            <w:pPr>
              <w:pStyle w:val="Note-Refs"/>
            </w:pPr>
            <w:r>
              <w:t>AASB119.141f</w:t>
            </w:r>
          </w:p>
        </w:tc>
        <w:tc>
          <w:tcPr>
            <w:tcW w:w="2296" w:type="pct"/>
            <w:vAlign w:val="bottom"/>
          </w:tcPr>
          <w:p w14:paraId="51A81405" w14:textId="77777777" w:rsidR="00E321F1" w:rsidRPr="000C54FD" w:rsidRDefault="00E321F1" w:rsidP="001A5D4A">
            <w:pPr>
              <w:pStyle w:val="NotesTable-ItemPlain"/>
            </w:pPr>
            <w:r>
              <w:t>Contributions</w:t>
            </w:r>
          </w:p>
        </w:tc>
        <w:tc>
          <w:tcPr>
            <w:tcW w:w="271" w:type="pct"/>
          </w:tcPr>
          <w:p w14:paraId="3814E1ED" w14:textId="77777777" w:rsidR="00E321F1" w:rsidRPr="00BC1814" w:rsidRDefault="00E321F1" w:rsidP="001A5D4A">
            <w:pPr>
              <w:pStyle w:val="NotesTable-Notes"/>
            </w:pPr>
          </w:p>
        </w:tc>
        <w:tc>
          <w:tcPr>
            <w:tcW w:w="406" w:type="pct"/>
          </w:tcPr>
          <w:p w14:paraId="142C2056" w14:textId="77777777" w:rsidR="00E321F1" w:rsidRPr="003325C5" w:rsidRDefault="00E321F1" w:rsidP="001A5D4A">
            <w:pPr>
              <w:pStyle w:val="NotesTable-CellPlain"/>
            </w:pPr>
          </w:p>
        </w:tc>
        <w:tc>
          <w:tcPr>
            <w:tcW w:w="406" w:type="pct"/>
          </w:tcPr>
          <w:p w14:paraId="7BE1318B" w14:textId="77777777" w:rsidR="00E321F1" w:rsidRPr="003325C5" w:rsidRDefault="00E321F1" w:rsidP="001A5D4A">
            <w:pPr>
              <w:pStyle w:val="NotesTable-CellPlain"/>
            </w:pPr>
          </w:p>
        </w:tc>
        <w:tc>
          <w:tcPr>
            <w:tcW w:w="406" w:type="pct"/>
          </w:tcPr>
          <w:p w14:paraId="0936AB71" w14:textId="77777777" w:rsidR="00E321F1" w:rsidRPr="003325C5" w:rsidRDefault="00E321F1" w:rsidP="001A5D4A">
            <w:pPr>
              <w:pStyle w:val="NotesTable-CellPlain"/>
            </w:pPr>
          </w:p>
        </w:tc>
        <w:tc>
          <w:tcPr>
            <w:tcW w:w="404" w:type="pct"/>
          </w:tcPr>
          <w:p w14:paraId="115BD0F7" w14:textId="77777777" w:rsidR="00E321F1" w:rsidRPr="003325C5" w:rsidRDefault="00E321F1" w:rsidP="001A5D4A">
            <w:pPr>
              <w:pStyle w:val="NotesTable-CellPlain"/>
            </w:pPr>
          </w:p>
        </w:tc>
      </w:tr>
      <w:tr w:rsidR="00E321F1" w14:paraId="02BF8588" w14:textId="77777777" w:rsidTr="00AA2125">
        <w:trPr>
          <w:cantSplit/>
          <w:trHeight w:val="161"/>
        </w:trPr>
        <w:tc>
          <w:tcPr>
            <w:tcW w:w="811" w:type="pct"/>
            <w:vAlign w:val="bottom"/>
          </w:tcPr>
          <w:p w14:paraId="78226058" w14:textId="77777777" w:rsidR="00E321F1" w:rsidRDefault="00E321F1" w:rsidP="001A5D4A">
            <w:pPr>
              <w:pStyle w:val="Note-Refs"/>
            </w:pPr>
          </w:p>
        </w:tc>
        <w:tc>
          <w:tcPr>
            <w:tcW w:w="2296" w:type="pct"/>
            <w:vAlign w:val="bottom"/>
          </w:tcPr>
          <w:p w14:paraId="59D70501" w14:textId="77777777" w:rsidR="00E321F1" w:rsidRPr="00BC1814" w:rsidRDefault="00E321F1" w:rsidP="001A5D4A">
            <w:pPr>
              <w:pStyle w:val="Note-Text"/>
              <w:rPr>
                <w:b/>
                <w:lang w:val="en-GB"/>
              </w:rPr>
            </w:pPr>
            <w:r>
              <w:t>Employers</w:t>
            </w:r>
          </w:p>
        </w:tc>
        <w:tc>
          <w:tcPr>
            <w:tcW w:w="271" w:type="pct"/>
          </w:tcPr>
          <w:p w14:paraId="28E7ECED" w14:textId="77777777" w:rsidR="00E321F1" w:rsidRPr="00BC1814" w:rsidRDefault="00E321F1" w:rsidP="001A5D4A">
            <w:pPr>
              <w:pStyle w:val="NotesTable-Notes"/>
            </w:pPr>
          </w:p>
        </w:tc>
        <w:tc>
          <w:tcPr>
            <w:tcW w:w="406" w:type="pct"/>
          </w:tcPr>
          <w:p w14:paraId="647919B6" w14:textId="77777777" w:rsidR="00E321F1" w:rsidRPr="00BC1814" w:rsidRDefault="00E321F1" w:rsidP="001A5D4A">
            <w:pPr>
              <w:pStyle w:val="NotesTable-CellPlain"/>
              <w:rPr>
                <w:b/>
              </w:rPr>
            </w:pPr>
            <w:r w:rsidRPr="00997224">
              <w:t>–</w:t>
            </w:r>
          </w:p>
        </w:tc>
        <w:tc>
          <w:tcPr>
            <w:tcW w:w="406" w:type="pct"/>
          </w:tcPr>
          <w:p w14:paraId="14DC3E40" w14:textId="77777777" w:rsidR="00E321F1" w:rsidRPr="00BC1814" w:rsidRDefault="00E321F1" w:rsidP="001A5D4A">
            <w:pPr>
              <w:pStyle w:val="NotesTable-CellPlain"/>
              <w:rPr>
                <w:b/>
              </w:rPr>
            </w:pPr>
            <w:r w:rsidRPr="00997224">
              <w:t>–</w:t>
            </w:r>
          </w:p>
        </w:tc>
        <w:tc>
          <w:tcPr>
            <w:tcW w:w="406" w:type="pct"/>
          </w:tcPr>
          <w:p w14:paraId="604CDCA3" w14:textId="77777777" w:rsidR="00E321F1" w:rsidRPr="00BC1814" w:rsidRDefault="00E321F1" w:rsidP="001A5D4A">
            <w:pPr>
              <w:pStyle w:val="NotesTable-CellPlain"/>
              <w:rPr>
                <w:b/>
              </w:rPr>
            </w:pPr>
            <w:r w:rsidRPr="00997224">
              <w:t>–</w:t>
            </w:r>
          </w:p>
        </w:tc>
        <w:tc>
          <w:tcPr>
            <w:tcW w:w="404" w:type="pct"/>
          </w:tcPr>
          <w:p w14:paraId="7FB94CAD" w14:textId="77777777" w:rsidR="00E321F1" w:rsidRPr="00BC1814" w:rsidRDefault="00E321F1" w:rsidP="001A5D4A">
            <w:pPr>
              <w:pStyle w:val="NotesTable-CellPlain"/>
              <w:rPr>
                <w:b/>
              </w:rPr>
            </w:pPr>
            <w:r w:rsidRPr="00997224">
              <w:t>–</w:t>
            </w:r>
          </w:p>
        </w:tc>
      </w:tr>
      <w:tr w:rsidR="00E321F1" w14:paraId="4FA9740A" w14:textId="77777777" w:rsidTr="00AA2125">
        <w:trPr>
          <w:cantSplit/>
          <w:trHeight w:val="161"/>
        </w:trPr>
        <w:tc>
          <w:tcPr>
            <w:tcW w:w="811" w:type="pct"/>
            <w:vAlign w:val="bottom"/>
          </w:tcPr>
          <w:p w14:paraId="08726F7A" w14:textId="77777777" w:rsidR="00E321F1" w:rsidRDefault="00E321F1" w:rsidP="001A5D4A">
            <w:pPr>
              <w:pStyle w:val="Note-Refs"/>
            </w:pPr>
          </w:p>
        </w:tc>
        <w:tc>
          <w:tcPr>
            <w:tcW w:w="2296" w:type="pct"/>
            <w:vAlign w:val="bottom"/>
          </w:tcPr>
          <w:p w14:paraId="292B5039" w14:textId="77777777" w:rsidR="00E321F1" w:rsidRPr="00BC1814" w:rsidRDefault="00E321F1" w:rsidP="001A5D4A">
            <w:pPr>
              <w:pStyle w:val="Note-Text"/>
              <w:rPr>
                <w:b/>
                <w:lang w:val="en-GB"/>
              </w:rPr>
            </w:pPr>
            <w:r>
              <w:t>Plan participants</w:t>
            </w:r>
          </w:p>
        </w:tc>
        <w:tc>
          <w:tcPr>
            <w:tcW w:w="271" w:type="pct"/>
          </w:tcPr>
          <w:p w14:paraId="7DB16E50" w14:textId="77777777" w:rsidR="00E321F1" w:rsidRPr="00BC1814" w:rsidRDefault="00E321F1" w:rsidP="001A5D4A">
            <w:pPr>
              <w:pStyle w:val="NotesTable-Notes"/>
            </w:pPr>
          </w:p>
        </w:tc>
        <w:tc>
          <w:tcPr>
            <w:tcW w:w="406" w:type="pct"/>
            <w:tcBorders>
              <w:bottom w:val="single" w:sz="4" w:space="0" w:color="auto"/>
            </w:tcBorders>
          </w:tcPr>
          <w:p w14:paraId="1AE1FF4B" w14:textId="77777777" w:rsidR="00E321F1" w:rsidRPr="00BC1814" w:rsidRDefault="00E321F1" w:rsidP="001A5D4A">
            <w:pPr>
              <w:pStyle w:val="NotesTable-CellPlain"/>
              <w:rPr>
                <w:b/>
              </w:rPr>
            </w:pPr>
            <w:r w:rsidRPr="00997224">
              <w:t>–</w:t>
            </w:r>
          </w:p>
        </w:tc>
        <w:tc>
          <w:tcPr>
            <w:tcW w:w="406" w:type="pct"/>
            <w:tcBorders>
              <w:bottom w:val="single" w:sz="4" w:space="0" w:color="auto"/>
            </w:tcBorders>
          </w:tcPr>
          <w:p w14:paraId="6B0BA4A7" w14:textId="77777777" w:rsidR="00E321F1" w:rsidRPr="00BC1814" w:rsidRDefault="00E321F1" w:rsidP="001A5D4A">
            <w:pPr>
              <w:pStyle w:val="NotesTable-CellPlain"/>
              <w:rPr>
                <w:b/>
              </w:rPr>
            </w:pPr>
            <w:r w:rsidRPr="00997224">
              <w:t>–</w:t>
            </w:r>
          </w:p>
        </w:tc>
        <w:tc>
          <w:tcPr>
            <w:tcW w:w="406" w:type="pct"/>
            <w:tcBorders>
              <w:bottom w:val="single" w:sz="4" w:space="0" w:color="auto"/>
            </w:tcBorders>
          </w:tcPr>
          <w:p w14:paraId="38B894A7" w14:textId="77777777" w:rsidR="00E321F1" w:rsidRPr="00BC1814" w:rsidRDefault="00E321F1" w:rsidP="001A5D4A">
            <w:pPr>
              <w:pStyle w:val="NotesTable-CellPlain"/>
              <w:rPr>
                <w:b/>
              </w:rPr>
            </w:pPr>
            <w:r w:rsidRPr="00997224">
              <w:t>–</w:t>
            </w:r>
          </w:p>
        </w:tc>
        <w:tc>
          <w:tcPr>
            <w:tcW w:w="404" w:type="pct"/>
            <w:tcBorders>
              <w:bottom w:val="single" w:sz="4" w:space="0" w:color="auto"/>
            </w:tcBorders>
          </w:tcPr>
          <w:p w14:paraId="1C2B996C" w14:textId="77777777" w:rsidR="00E321F1" w:rsidRPr="00BC1814" w:rsidRDefault="00E321F1" w:rsidP="001A5D4A">
            <w:pPr>
              <w:pStyle w:val="NotesTable-CellPlain"/>
              <w:rPr>
                <w:b/>
              </w:rPr>
            </w:pPr>
            <w:r w:rsidRPr="00997224">
              <w:t>–</w:t>
            </w:r>
          </w:p>
        </w:tc>
      </w:tr>
      <w:tr w:rsidR="00E321F1" w14:paraId="71650BAE" w14:textId="77777777" w:rsidTr="00AA2125">
        <w:trPr>
          <w:cantSplit/>
          <w:trHeight w:val="161"/>
        </w:trPr>
        <w:tc>
          <w:tcPr>
            <w:tcW w:w="811" w:type="pct"/>
            <w:vAlign w:val="bottom"/>
          </w:tcPr>
          <w:p w14:paraId="32D57921" w14:textId="77777777" w:rsidR="00E321F1" w:rsidRDefault="00E321F1" w:rsidP="001A5D4A">
            <w:pPr>
              <w:pStyle w:val="Note-Refs"/>
            </w:pPr>
          </w:p>
        </w:tc>
        <w:tc>
          <w:tcPr>
            <w:tcW w:w="2296" w:type="pct"/>
            <w:vAlign w:val="bottom"/>
          </w:tcPr>
          <w:p w14:paraId="4294A421" w14:textId="77777777" w:rsidR="00E321F1" w:rsidRDefault="00E321F1" w:rsidP="001A5D4A">
            <w:pPr>
              <w:pStyle w:val="NotesTable-ItemPlain"/>
            </w:pPr>
          </w:p>
        </w:tc>
        <w:tc>
          <w:tcPr>
            <w:tcW w:w="271" w:type="pct"/>
          </w:tcPr>
          <w:p w14:paraId="5B696838" w14:textId="77777777" w:rsidR="00E321F1" w:rsidRPr="00BC1814" w:rsidRDefault="00E321F1" w:rsidP="001A5D4A">
            <w:pPr>
              <w:pStyle w:val="NotesTable-Notes"/>
            </w:pPr>
          </w:p>
        </w:tc>
        <w:tc>
          <w:tcPr>
            <w:tcW w:w="406" w:type="pct"/>
            <w:tcBorders>
              <w:top w:val="single" w:sz="4" w:space="0" w:color="auto"/>
            </w:tcBorders>
          </w:tcPr>
          <w:p w14:paraId="75D00B33" w14:textId="77777777" w:rsidR="00E321F1" w:rsidRPr="00997224" w:rsidRDefault="00E321F1" w:rsidP="001A5D4A">
            <w:pPr>
              <w:pStyle w:val="NotesTable-CellPlain"/>
            </w:pPr>
            <w:r w:rsidRPr="00997224">
              <w:t>–</w:t>
            </w:r>
          </w:p>
        </w:tc>
        <w:tc>
          <w:tcPr>
            <w:tcW w:w="406" w:type="pct"/>
            <w:tcBorders>
              <w:top w:val="single" w:sz="4" w:space="0" w:color="auto"/>
            </w:tcBorders>
          </w:tcPr>
          <w:p w14:paraId="494AA215" w14:textId="77777777" w:rsidR="00E321F1" w:rsidRPr="00997224" w:rsidRDefault="00E321F1" w:rsidP="001A5D4A">
            <w:pPr>
              <w:pStyle w:val="NotesTable-CellPlain"/>
            </w:pPr>
            <w:r w:rsidRPr="00997224">
              <w:t>–</w:t>
            </w:r>
          </w:p>
        </w:tc>
        <w:tc>
          <w:tcPr>
            <w:tcW w:w="406" w:type="pct"/>
            <w:tcBorders>
              <w:top w:val="single" w:sz="4" w:space="0" w:color="auto"/>
            </w:tcBorders>
          </w:tcPr>
          <w:p w14:paraId="4F38D186" w14:textId="77777777" w:rsidR="00E321F1" w:rsidRPr="00997224" w:rsidRDefault="00E321F1" w:rsidP="001A5D4A">
            <w:pPr>
              <w:pStyle w:val="NotesTable-CellPlain"/>
            </w:pPr>
            <w:r w:rsidRPr="00997224">
              <w:t>–</w:t>
            </w:r>
          </w:p>
        </w:tc>
        <w:tc>
          <w:tcPr>
            <w:tcW w:w="404" w:type="pct"/>
            <w:tcBorders>
              <w:top w:val="single" w:sz="4" w:space="0" w:color="auto"/>
            </w:tcBorders>
          </w:tcPr>
          <w:p w14:paraId="51CAEFF9" w14:textId="77777777" w:rsidR="00E321F1" w:rsidRPr="00997224" w:rsidRDefault="00E321F1" w:rsidP="001A5D4A">
            <w:pPr>
              <w:pStyle w:val="NotesTable-CellPlain"/>
            </w:pPr>
            <w:r w:rsidRPr="00997224">
              <w:t>–</w:t>
            </w:r>
          </w:p>
        </w:tc>
      </w:tr>
      <w:tr w:rsidR="00E321F1" w14:paraId="7D5E8A67" w14:textId="77777777" w:rsidTr="00AA2125">
        <w:trPr>
          <w:cantSplit/>
          <w:trHeight w:val="161"/>
        </w:trPr>
        <w:tc>
          <w:tcPr>
            <w:tcW w:w="811" w:type="pct"/>
            <w:vAlign w:val="bottom"/>
          </w:tcPr>
          <w:p w14:paraId="4C7E0573" w14:textId="77777777" w:rsidR="00E321F1" w:rsidRPr="003325C5" w:rsidRDefault="00E321F1" w:rsidP="001A5D4A">
            <w:pPr>
              <w:pStyle w:val="Note-Refs"/>
            </w:pPr>
            <w:r>
              <w:t>AASB119.141g</w:t>
            </w:r>
          </w:p>
        </w:tc>
        <w:tc>
          <w:tcPr>
            <w:tcW w:w="2296" w:type="pct"/>
            <w:vAlign w:val="bottom"/>
          </w:tcPr>
          <w:p w14:paraId="19A3F48E" w14:textId="77777777" w:rsidR="00E321F1" w:rsidRPr="000C54FD" w:rsidRDefault="00E321F1" w:rsidP="001A5D4A">
            <w:pPr>
              <w:pStyle w:val="NotesTable-ItemPlain"/>
            </w:pPr>
            <w:r>
              <w:t>Payments from plan</w:t>
            </w:r>
          </w:p>
        </w:tc>
        <w:tc>
          <w:tcPr>
            <w:tcW w:w="271" w:type="pct"/>
          </w:tcPr>
          <w:p w14:paraId="41E9B504" w14:textId="77777777" w:rsidR="00E321F1" w:rsidRPr="00BC1814" w:rsidRDefault="00E321F1" w:rsidP="001A5D4A">
            <w:pPr>
              <w:pStyle w:val="NotesTable-Notes"/>
            </w:pPr>
          </w:p>
        </w:tc>
        <w:tc>
          <w:tcPr>
            <w:tcW w:w="406" w:type="pct"/>
          </w:tcPr>
          <w:p w14:paraId="3DD23498" w14:textId="77777777" w:rsidR="00E321F1" w:rsidRPr="003325C5" w:rsidRDefault="00E321F1" w:rsidP="001A5D4A">
            <w:pPr>
              <w:pStyle w:val="NotesTable-CellPlain"/>
            </w:pPr>
          </w:p>
        </w:tc>
        <w:tc>
          <w:tcPr>
            <w:tcW w:w="406" w:type="pct"/>
          </w:tcPr>
          <w:p w14:paraId="44387267" w14:textId="77777777" w:rsidR="00E321F1" w:rsidRPr="003325C5" w:rsidRDefault="00E321F1" w:rsidP="001A5D4A">
            <w:pPr>
              <w:pStyle w:val="NotesTable-CellPlain"/>
            </w:pPr>
          </w:p>
        </w:tc>
        <w:tc>
          <w:tcPr>
            <w:tcW w:w="406" w:type="pct"/>
          </w:tcPr>
          <w:p w14:paraId="4489A253" w14:textId="77777777" w:rsidR="00E321F1" w:rsidRPr="003325C5" w:rsidRDefault="00E321F1" w:rsidP="001A5D4A">
            <w:pPr>
              <w:pStyle w:val="NotesTable-CellPlain"/>
            </w:pPr>
          </w:p>
        </w:tc>
        <w:tc>
          <w:tcPr>
            <w:tcW w:w="404" w:type="pct"/>
          </w:tcPr>
          <w:p w14:paraId="6F2519E0" w14:textId="77777777" w:rsidR="00E321F1" w:rsidRPr="003325C5" w:rsidRDefault="00E321F1" w:rsidP="001A5D4A">
            <w:pPr>
              <w:pStyle w:val="NotesTable-CellPlain"/>
            </w:pPr>
          </w:p>
        </w:tc>
      </w:tr>
      <w:tr w:rsidR="00E321F1" w14:paraId="76483077" w14:textId="77777777" w:rsidTr="00AA2125">
        <w:trPr>
          <w:cantSplit/>
          <w:trHeight w:val="161"/>
        </w:trPr>
        <w:tc>
          <w:tcPr>
            <w:tcW w:w="811" w:type="pct"/>
            <w:vAlign w:val="bottom"/>
          </w:tcPr>
          <w:p w14:paraId="2EF07E24" w14:textId="77777777" w:rsidR="00E321F1" w:rsidRPr="003325C5" w:rsidRDefault="00E321F1" w:rsidP="001A5D4A">
            <w:pPr>
              <w:pStyle w:val="Note-Refs"/>
            </w:pPr>
          </w:p>
        </w:tc>
        <w:tc>
          <w:tcPr>
            <w:tcW w:w="2296" w:type="pct"/>
            <w:vAlign w:val="bottom"/>
          </w:tcPr>
          <w:p w14:paraId="5B23F422" w14:textId="77777777" w:rsidR="00E321F1" w:rsidRPr="00BC1814" w:rsidRDefault="00E321F1" w:rsidP="001A5D4A">
            <w:pPr>
              <w:pStyle w:val="Note-Text"/>
              <w:rPr>
                <w:b/>
                <w:lang w:val="en-GB"/>
              </w:rPr>
            </w:pPr>
            <w:r w:rsidRPr="00BC1814">
              <w:t>Benefits paid</w:t>
            </w:r>
          </w:p>
        </w:tc>
        <w:tc>
          <w:tcPr>
            <w:tcW w:w="271" w:type="pct"/>
          </w:tcPr>
          <w:p w14:paraId="0D599A04" w14:textId="77777777" w:rsidR="00E321F1" w:rsidRPr="00BC1814" w:rsidRDefault="00E321F1" w:rsidP="001A5D4A">
            <w:pPr>
              <w:pStyle w:val="NotesTable-Notes"/>
            </w:pPr>
          </w:p>
        </w:tc>
        <w:tc>
          <w:tcPr>
            <w:tcW w:w="406" w:type="pct"/>
          </w:tcPr>
          <w:p w14:paraId="417640E1" w14:textId="77777777" w:rsidR="00E321F1" w:rsidRPr="00BC1814" w:rsidRDefault="00E321F1" w:rsidP="001A5D4A">
            <w:pPr>
              <w:pStyle w:val="NotesTable-CellPlain"/>
              <w:rPr>
                <w:b/>
              </w:rPr>
            </w:pPr>
            <w:r w:rsidRPr="00997224">
              <w:t>–</w:t>
            </w:r>
          </w:p>
        </w:tc>
        <w:tc>
          <w:tcPr>
            <w:tcW w:w="406" w:type="pct"/>
          </w:tcPr>
          <w:p w14:paraId="70A3BEC5" w14:textId="77777777" w:rsidR="00E321F1" w:rsidRPr="00BC1814" w:rsidRDefault="00E321F1" w:rsidP="001A5D4A">
            <w:pPr>
              <w:pStyle w:val="NotesTable-CellPlain"/>
              <w:rPr>
                <w:b/>
              </w:rPr>
            </w:pPr>
            <w:r w:rsidRPr="00997224">
              <w:t>–</w:t>
            </w:r>
          </w:p>
        </w:tc>
        <w:tc>
          <w:tcPr>
            <w:tcW w:w="406" w:type="pct"/>
          </w:tcPr>
          <w:p w14:paraId="54DA6CE6" w14:textId="77777777" w:rsidR="00E321F1" w:rsidRPr="00BC1814" w:rsidRDefault="00E321F1" w:rsidP="001A5D4A">
            <w:pPr>
              <w:pStyle w:val="NotesTable-CellPlain"/>
              <w:rPr>
                <w:b/>
              </w:rPr>
            </w:pPr>
            <w:r w:rsidRPr="00997224">
              <w:t>–</w:t>
            </w:r>
          </w:p>
        </w:tc>
        <w:tc>
          <w:tcPr>
            <w:tcW w:w="404" w:type="pct"/>
          </w:tcPr>
          <w:p w14:paraId="5A908B98" w14:textId="77777777" w:rsidR="00E321F1" w:rsidRPr="00BC1814" w:rsidRDefault="00E321F1" w:rsidP="001A5D4A">
            <w:pPr>
              <w:pStyle w:val="NotesTable-CellPlain"/>
              <w:rPr>
                <w:b/>
              </w:rPr>
            </w:pPr>
            <w:r w:rsidRPr="00997224">
              <w:t>–</w:t>
            </w:r>
          </w:p>
        </w:tc>
      </w:tr>
      <w:tr w:rsidR="00E321F1" w14:paraId="6DD3DAC2" w14:textId="77777777" w:rsidTr="00AA2125">
        <w:trPr>
          <w:cantSplit/>
          <w:trHeight w:val="161"/>
        </w:trPr>
        <w:tc>
          <w:tcPr>
            <w:tcW w:w="811" w:type="pct"/>
            <w:vAlign w:val="bottom"/>
          </w:tcPr>
          <w:p w14:paraId="4A7834CC" w14:textId="77777777" w:rsidR="00E321F1" w:rsidRDefault="00E321F1" w:rsidP="001A5D4A">
            <w:pPr>
              <w:pStyle w:val="Note-Refs"/>
            </w:pPr>
          </w:p>
        </w:tc>
        <w:tc>
          <w:tcPr>
            <w:tcW w:w="2296" w:type="pct"/>
            <w:vAlign w:val="bottom"/>
          </w:tcPr>
          <w:p w14:paraId="008E61C9" w14:textId="77777777" w:rsidR="00E321F1" w:rsidRPr="00BC1814" w:rsidRDefault="00E321F1" w:rsidP="001A5D4A">
            <w:pPr>
              <w:pStyle w:val="Note-Text"/>
              <w:rPr>
                <w:b/>
                <w:lang w:val="en-GB"/>
              </w:rPr>
            </w:pPr>
            <w:r>
              <w:t>Settlements</w:t>
            </w:r>
            <w:r w:rsidRPr="00BC1814" w:rsidDel="00B44390">
              <w:t xml:space="preserve"> </w:t>
            </w:r>
          </w:p>
        </w:tc>
        <w:tc>
          <w:tcPr>
            <w:tcW w:w="271" w:type="pct"/>
          </w:tcPr>
          <w:p w14:paraId="714A102B" w14:textId="77777777" w:rsidR="00E321F1" w:rsidRPr="00BC1814" w:rsidRDefault="00E321F1" w:rsidP="001A5D4A">
            <w:pPr>
              <w:pStyle w:val="NotesTable-Notes"/>
            </w:pPr>
          </w:p>
        </w:tc>
        <w:tc>
          <w:tcPr>
            <w:tcW w:w="406" w:type="pct"/>
            <w:tcBorders>
              <w:bottom w:val="single" w:sz="4" w:space="0" w:color="auto"/>
            </w:tcBorders>
          </w:tcPr>
          <w:p w14:paraId="415B2BA5" w14:textId="77777777" w:rsidR="00E321F1" w:rsidRPr="00BC1814" w:rsidRDefault="00E321F1" w:rsidP="001A5D4A">
            <w:pPr>
              <w:pStyle w:val="NotesTable-CellPlain"/>
              <w:rPr>
                <w:b/>
              </w:rPr>
            </w:pPr>
            <w:r w:rsidRPr="00997224">
              <w:t>–</w:t>
            </w:r>
          </w:p>
        </w:tc>
        <w:tc>
          <w:tcPr>
            <w:tcW w:w="406" w:type="pct"/>
            <w:tcBorders>
              <w:bottom w:val="single" w:sz="4" w:space="0" w:color="auto"/>
            </w:tcBorders>
          </w:tcPr>
          <w:p w14:paraId="61A63F11" w14:textId="77777777" w:rsidR="00E321F1" w:rsidRPr="00BC1814" w:rsidRDefault="00E321F1" w:rsidP="001A5D4A">
            <w:pPr>
              <w:pStyle w:val="NotesTable-CellPlain"/>
              <w:rPr>
                <w:b/>
              </w:rPr>
            </w:pPr>
            <w:r w:rsidRPr="00997224">
              <w:t>–</w:t>
            </w:r>
          </w:p>
        </w:tc>
        <w:tc>
          <w:tcPr>
            <w:tcW w:w="406" w:type="pct"/>
            <w:tcBorders>
              <w:bottom w:val="single" w:sz="4" w:space="0" w:color="auto"/>
            </w:tcBorders>
          </w:tcPr>
          <w:p w14:paraId="41CE5F1E" w14:textId="77777777" w:rsidR="00E321F1" w:rsidRPr="00BC1814" w:rsidRDefault="00E321F1" w:rsidP="001A5D4A">
            <w:pPr>
              <w:pStyle w:val="NotesTable-CellPlain"/>
              <w:rPr>
                <w:b/>
              </w:rPr>
            </w:pPr>
            <w:r w:rsidRPr="00997224">
              <w:t>–</w:t>
            </w:r>
          </w:p>
        </w:tc>
        <w:tc>
          <w:tcPr>
            <w:tcW w:w="404" w:type="pct"/>
            <w:tcBorders>
              <w:bottom w:val="single" w:sz="4" w:space="0" w:color="auto"/>
            </w:tcBorders>
          </w:tcPr>
          <w:p w14:paraId="2523E9FA" w14:textId="77777777" w:rsidR="00E321F1" w:rsidRPr="00BC1814" w:rsidRDefault="00E321F1" w:rsidP="001A5D4A">
            <w:pPr>
              <w:pStyle w:val="NotesTable-CellPlain"/>
              <w:rPr>
                <w:b/>
              </w:rPr>
            </w:pPr>
            <w:r w:rsidRPr="00997224">
              <w:t>–</w:t>
            </w:r>
          </w:p>
        </w:tc>
      </w:tr>
      <w:tr w:rsidR="00E321F1" w14:paraId="56385497" w14:textId="77777777" w:rsidTr="00AA2125">
        <w:trPr>
          <w:cantSplit/>
          <w:trHeight w:val="161"/>
        </w:trPr>
        <w:tc>
          <w:tcPr>
            <w:tcW w:w="811" w:type="pct"/>
            <w:vAlign w:val="bottom"/>
          </w:tcPr>
          <w:p w14:paraId="737C347E" w14:textId="77777777" w:rsidR="00E321F1" w:rsidRDefault="00E321F1" w:rsidP="001A5D4A">
            <w:pPr>
              <w:pStyle w:val="Note-Refs"/>
            </w:pPr>
          </w:p>
        </w:tc>
        <w:tc>
          <w:tcPr>
            <w:tcW w:w="2296" w:type="pct"/>
            <w:vAlign w:val="bottom"/>
          </w:tcPr>
          <w:p w14:paraId="7EF6B4E3" w14:textId="77777777" w:rsidR="00E321F1" w:rsidRPr="00BC1814" w:rsidRDefault="00E321F1" w:rsidP="001A5D4A">
            <w:pPr>
              <w:pStyle w:val="NotesTable-ItemPlain"/>
            </w:pPr>
          </w:p>
        </w:tc>
        <w:tc>
          <w:tcPr>
            <w:tcW w:w="271" w:type="pct"/>
          </w:tcPr>
          <w:p w14:paraId="5986770D" w14:textId="77777777" w:rsidR="00E321F1" w:rsidRPr="00BC1814" w:rsidRDefault="00E321F1" w:rsidP="001A5D4A">
            <w:pPr>
              <w:pStyle w:val="NotesTable-Notes"/>
            </w:pPr>
          </w:p>
        </w:tc>
        <w:tc>
          <w:tcPr>
            <w:tcW w:w="406" w:type="pct"/>
            <w:tcBorders>
              <w:top w:val="single" w:sz="4" w:space="0" w:color="auto"/>
            </w:tcBorders>
          </w:tcPr>
          <w:p w14:paraId="1692210A"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7F0A4503"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48066FC3" w14:textId="77777777" w:rsidR="00E321F1" w:rsidRPr="00BC1814" w:rsidRDefault="00E321F1" w:rsidP="001A5D4A">
            <w:pPr>
              <w:pStyle w:val="NotesTable-CellPlain"/>
              <w:rPr>
                <w:b/>
              </w:rPr>
            </w:pPr>
            <w:r w:rsidRPr="00997224">
              <w:t>–</w:t>
            </w:r>
          </w:p>
        </w:tc>
        <w:tc>
          <w:tcPr>
            <w:tcW w:w="404" w:type="pct"/>
            <w:tcBorders>
              <w:top w:val="single" w:sz="4" w:space="0" w:color="auto"/>
            </w:tcBorders>
          </w:tcPr>
          <w:p w14:paraId="39FA666E" w14:textId="77777777" w:rsidR="00E321F1" w:rsidRPr="00BC1814" w:rsidRDefault="00E321F1" w:rsidP="001A5D4A">
            <w:pPr>
              <w:pStyle w:val="NotesTable-CellPlain"/>
              <w:rPr>
                <w:b/>
              </w:rPr>
            </w:pPr>
            <w:r w:rsidRPr="00997224">
              <w:t>–</w:t>
            </w:r>
          </w:p>
        </w:tc>
      </w:tr>
      <w:tr w:rsidR="00E321F1" w14:paraId="6F514763" w14:textId="77777777" w:rsidTr="00AA2125">
        <w:trPr>
          <w:cantSplit/>
          <w:trHeight w:val="161"/>
        </w:trPr>
        <w:tc>
          <w:tcPr>
            <w:tcW w:w="811" w:type="pct"/>
            <w:vAlign w:val="bottom"/>
          </w:tcPr>
          <w:p w14:paraId="4A11FB66" w14:textId="77777777" w:rsidR="00E321F1" w:rsidRPr="00D264A2" w:rsidRDefault="00E321F1" w:rsidP="001A5D4A">
            <w:pPr>
              <w:pStyle w:val="Note-Refs"/>
            </w:pPr>
            <w:r>
              <w:t>AASB119.141h</w:t>
            </w:r>
          </w:p>
        </w:tc>
        <w:tc>
          <w:tcPr>
            <w:tcW w:w="2296" w:type="pct"/>
            <w:vAlign w:val="bottom"/>
          </w:tcPr>
          <w:p w14:paraId="2EE64A07" w14:textId="77777777" w:rsidR="00E321F1" w:rsidRPr="000C54FD" w:rsidRDefault="00E321F1" w:rsidP="001A5D4A">
            <w:pPr>
              <w:pStyle w:val="NotesTable-ItemPlain"/>
            </w:pPr>
            <w:r w:rsidRPr="00BC1814">
              <w:t xml:space="preserve">Assets acquired in a business combination </w:t>
            </w:r>
          </w:p>
        </w:tc>
        <w:tc>
          <w:tcPr>
            <w:tcW w:w="271" w:type="pct"/>
          </w:tcPr>
          <w:p w14:paraId="53B2BD71" w14:textId="77777777" w:rsidR="00E321F1" w:rsidRPr="00BC1814" w:rsidRDefault="00E321F1" w:rsidP="001A5D4A">
            <w:pPr>
              <w:pStyle w:val="NotesTable-Notes"/>
            </w:pPr>
            <w:r>
              <w:t>44</w:t>
            </w:r>
          </w:p>
        </w:tc>
        <w:tc>
          <w:tcPr>
            <w:tcW w:w="406" w:type="pct"/>
          </w:tcPr>
          <w:p w14:paraId="0B1A7C29" w14:textId="77777777" w:rsidR="00E321F1" w:rsidRPr="00D264A2" w:rsidRDefault="00E321F1" w:rsidP="001A5D4A">
            <w:pPr>
              <w:pStyle w:val="NotesTable-CellPlain"/>
            </w:pPr>
            <w:r w:rsidRPr="00997224">
              <w:t>–</w:t>
            </w:r>
          </w:p>
        </w:tc>
        <w:tc>
          <w:tcPr>
            <w:tcW w:w="406" w:type="pct"/>
          </w:tcPr>
          <w:p w14:paraId="1219D7C9" w14:textId="77777777" w:rsidR="00E321F1" w:rsidRPr="00D264A2" w:rsidRDefault="00E321F1" w:rsidP="001A5D4A">
            <w:pPr>
              <w:pStyle w:val="NotesTable-CellPlain"/>
            </w:pPr>
            <w:r w:rsidRPr="00997224">
              <w:t>–</w:t>
            </w:r>
          </w:p>
        </w:tc>
        <w:tc>
          <w:tcPr>
            <w:tcW w:w="406" w:type="pct"/>
          </w:tcPr>
          <w:p w14:paraId="0477F7EA" w14:textId="77777777" w:rsidR="00E321F1" w:rsidRPr="00D264A2" w:rsidRDefault="00E321F1" w:rsidP="001A5D4A">
            <w:pPr>
              <w:pStyle w:val="NotesTable-CellPlain"/>
            </w:pPr>
            <w:r w:rsidRPr="00997224">
              <w:t>–</w:t>
            </w:r>
          </w:p>
        </w:tc>
        <w:tc>
          <w:tcPr>
            <w:tcW w:w="404" w:type="pct"/>
          </w:tcPr>
          <w:p w14:paraId="096E80D6" w14:textId="77777777" w:rsidR="00E321F1" w:rsidRPr="00D264A2" w:rsidRDefault="00E321F1" w:rsidP="001A5D4A">
            <w:pPr>
              <w:pStyle w:val="NotesTable-CellPlain"/>
            </w:pPr>
            <w:r w:rsidRPr="00997224">
              <w:t>–</w:t>
            </w:r>
          </w:p>
        </w:tc>
      </w:tr>
      <w:tr w:rsidR="00E321F1" w14:paraId="18A154F0" w14:textId="77777777" w:rsidTr="00AA2125">
        <w:trPr>
          <w:cantSplit/>
          <w:trHeight w:val="161"/>
        </w:trPr>
        <w:tc>
          <w:tcPr>
            <w:tcW w:w="811" w:type="pct"/>
            <w:vAlign w:val="bottom"/>
          </w:tcPr>
          <w:p w14:paraId="1C2CA345" w14:textId="77777777" w:rsidR="00E321F1" w:rsidRDefault="00E321F1" w:rsidP="001A5D4A">
            <w:pPr>
              <w:pStyle w:val="Note-Refs"/>
            </w:pPr>
            <w:r>
              <w:t>AASB119.140a(ii)</w:t>
            </w:r>
          </w:p>
        </w:tc>
        <w:tc>
          <w:tcPr>
            <w:tcW w:w="2296" w:type="pct"/>
            <w:vAlign w:val="bottom"/>
          </w:tcPr>
          <w:p w14:paraId="77803CBE" w14:textId="77777777" w:rsidR="00E321F1" w:rsidRPr="00BC1814" w:rsidRDefault="00E321F1" w:rsidP="001A5D4A">
            <w:pPr>
              <w:pStyle w:val="NotesTable-ItemPlain"/>
              <w:rPr>
                <w:b/>
              </w:rPr>
            </w:pPr>
            <w:r w:rsidRPr="00BC1814">
              <w:t>Closing fair value of plans assets</w:t>
            </w:r>
          </w:p>
        </w:tc>
        <w:tc>
          <w:tcPr>
            <w:tcW w:w="271" w:type="pct"/>
          </w:tcPr>
          <w:p w14:paraId="0DA74B73" w14:textId="77777777" w:rsidR="00E321F1" w:rsidRPr="00BC1814" w:rsidRDefault="00E321F1" w:rsidP="001A5D4A">
            <w:pPr>
              <w:pStyle w:val="NotesTable-Notes"/>
            </w:pPr>
          </w:p>
        </w:tc>
        <w:tc>
          <w:tcPr>
            <w:tcW w:w="406" w:type="pct"/>
            <w:tcBorders>
              <w:top w:val="single" w:sz="4" w:space="0" w:color="auto"/>
            </w:tcBorders>
          </w:tcPr>
          <w:p w14:paraId="66062902"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15600E57" w14:textId="77777777" w:rsidR="00E321F1" w:rsidRPr="00BC1814" w:rsidRDefault="00E321F1" w:rsidP="001A5D4A">
            <w:pPr>
              <w:pStyle w:val="NotesTable-CellPlain"/>
              <w:rPr>
                <w:b/>
              </w:rPr>
            </w:pPr>
            <w:r w:rsidRPr="00997224">
              <w:t>–</w:t>
            </w:r>
          </w:p>
        </w:tc>
        <w:tc>
          <w:tcPr>
            <w:tcW w:w="406" w:type="pct"/>
            <w:tcBorders>
              <w:top w:val="single" w:sz="4" w:space="0" w:color="auto"/>
            </w:tcBorders>
          </w:tcPr>
          <w:p w14:paraId="2112E691" w14:textId="77777777" w:rsidR="00E321F1" w:rsidRPr="00BC1814" w:rsidRDefault="00E321F1" w:rsidP="001A5D4A">
            <w:pPr>
              <w:pStyle w:val="NotesTable-CellPlain"/>
              <w:rPr>
                <w:b/>
              </w:rPr>
            </w:pPr>
            <w:r w:rsidRPr="00997224">
              <w:t>–</w:t>
            </w:r>
          </w:p>
        </w:tc>
        <w:tc>
          <w:tcPr>
            <w:tcW w:w="404" w:type="pct"/>
            <w:tcBorders>
              <w:top w:val="single" w:sz="4" w:space="0" w:color="auto"/>
            </w:tcBorders>
          </w:tcPr>
          <w:p w14:paraId="6D23FCAC" w14:textId="77777777" w:rsidR="00E321F1" w:rsidRPr="00BC1814" w:rsidRDefault="00E321F1" w:rsidP="001A5D4A">
            <w:pPr>
              <w:pStyle w:val="NotesTable-CellPlain"/>
              <w:rPr>
                <w:b/>
              </w:rPr>
            </w:pPr>
            <w:r w:rsidRPr="00997224">
              <w:t>–</w:t>
            </w:r>
          </w:p>
        </w:tc>
      </w:tr>
      <w:tr w:rsidR="00E321F1" w:rsidRPr="00BC1814" w14:paraId="370866D1" w14:textId="77777777" w:rsidTr="00AA2125">
        <w:trPr>
          <w:cantSplit/>
          <w:trHeight w:val="161"/>
        </w:trPr>
        <w:tc>
          <w:tcPr>
            <w:tcW w:w="811" w:type="pct"/>
            <w:vAlign w:val="bottom"/>
          </w:tcPr>
          <w:p w14:paraId="004437CF" w14:textId="77777777" w:rsidR="00E321F1" w:rsidRDefault="00E321F1" w:rsidP="001A5D4A">
            <w:pPr>
              <w:pStyle w:val="Note-Refs"/>
            </w:pPr>
          </w:p>
        </w:tc>
        <w:tc>
          <w:tcPr>
            <w:tcW w:w="2296" w:type="pct"/>
            <w:vAlign w:val="bottom"/>
          </w:tcPr>
          <w:p w14:paraId="541DB1A7" w14:textId="77777777" w:rsidR="00E321F1" w:rsidRDefault="00E321F1" w:rsidP="001A5D4A">
            <w:pPr>
              <w:pStyle w:val="NotesTable-ItemPlain"/>
            </w:pPr>
          </w:p>
        </w:tc>
        <w:tc>
          <w:tcPr>
            <w:tcW w:w="271" w:type="pct"/>
          </w:tcPr>
          <w:p w14:paraId="12352904" w14:textId="77777777" w:rsidR="00E321F1" w:rsidRPr="00BC1814" w:rsidRDefault="00E321F1" w:rsidP="001A5D4A">
            <w:pPr>
              <w:pStyle w:val="NotesTable-Notes"/>
            </w:pPr>
          </w:p>
        </w:tc>
        <w:tc>
          <w:tcPr>
            <w:tcW w:w="406" w:type="pct"/>
          </w:tcPr>
          <w:p w14:paraId="1C733C0C" w14:textId="77777777" w:rsidR="00E321F1" w:rsidRPr="00BC1814" w:rsidRDefault="00E321F1" w:rsidP="001A5D4A">
            <w:pPr>
              <w:pStyle w:val="NotesTable-CellPlain"/>
            </w:pPr>
          </w:p>
        </w:tc>
        <w:tc>
          <w:tcPr>
            <w:tcW w:w="406" w:type="pct"/>
          </w:tcPr>
          <w:p w14:paraId="0BD357AD" w14:textId="77777777" w:rsidR="00E321F1" w:rsidRPr="00BC1814" w:rsidRDefault="00E321F1" w:rsidP="001A5D4A">
            <w:pPr>
              <w:pStyle w:val="NotesTable-CellPlain"/>
            </w:pPr>
          </w:p>
        </w:tc>
        <w:tc>
          <w:tcPr>
            <w:tcW w:w="406" w:type="pct"/>
          </w:tcPr>
          <w:p w14:paraId="45D74DFB" w14:textId="77777777" w:rsidR="00E321F1" w:rsidRPr="00BC1814" w:rsidRDefault="00E321F1" w:rsidP="001A5D4A">
            <w:pPr>
              <w:pStyle w:val="NotesTable-CellPlain"/>
            </w:pPr>
          </w:p>
        </w:tc>
        <w:tc>
          <w:tcPr>
            <w:tcW w:w="404" w:type="pct"/>
          </w:tcPr>
          <w:p w14:paraId="6FD7709F" w14:textId="77777777" w:rsidR="00E321F1" w:rsidRPr="00BC1814" w:rsidRDefault="00E321F1" w:rsidP="001A5D4A">
            <w:pPr>
              <w:pStyle w:val="NotesTable-CellPlain"/>
            </w:pPr>
          </w:p>
        </w:tc>
      </w:tr>
      <w:tr w:rsidR="00E321F1" w:rsidRPr="00BC1814" w14:paraId="7E73FB68" w14:textId="77777777" w:rsidTr="00AA2125">
        <w:trPr>
          <w:cantSplit/>
          <w:trHeight w:val="161"/>
        </w:trPr>
        <w:tc>
          <w:tcPr>
            <w:tcW w:w="811" w:type="pct"/>
            <w:vAlign w:val="bottom"/>
          </w:tcPr>
          <w:p w14:paraId="585D3EB5" w14:textId="77777777" w:rsidR="00E321F1" w:rsidRDefault="00E321F1" w:rsidP="001A5D4A">
            <w:pPr>
              <w:pStyle w:val="Note-Refs"/>
            </w:pPr>
            <w:r>
              <w:t>AASB119.140a(i)</w:t>
            </w:r>
          </w:p>
        </w:tc>
        <w:tc>
          <w:tcPr>
            <w:tcW w:w="2296" w:type="pct"/>
            <w:vAlign w:val="bottom"/>
          </w:tcPr>
          <w:p w14:paraId="0C3B9D58" w14:textId="53E44660" w:rsidR="00E321F1" w:rsidRPr="00BC1814" w:rsidRDefault="00E321F1" w:rsidP="001A5D4A">
            <w:pPr>
              <w:pStyle w:val="Note-TextHeader"/>
            </w:pPr>
            <w:r>
              <w:t>Impact of asset ceiling</w:t>
            </w:r>
            <w:r w:rsidRPr="00BC1814">
              <w:t xml:space="preserve"> </w:t>
            </w:r>
            <w:r>
              <w:t xml:space="preserve">- 2013 </w:t>
            </w:r>
            <w:r w:rsidRPr="00213294">
              <w:t>(</w:t>
            </w:r>
            <w:r w:rsidRPr="00213294">
              <w:rPr>
                <w:i/>
              </w:rPr>
              <w:t>include as applicable</w:t>
            </w:r>
            <w:r w:rsidRPr="00213294">
              <w:t>)</w:t>
            </w:r>
          </w:p>
        </w:tc>
        <w:tc>
          <w:tcPr>
            <w:tcW w:w="271" w:type="pct"/>
          </w:tcPr>
          <w:p w14:paraId="660FE88C" w14:textId="77777777" w:rsidR="00E321F1" w:rsidRPr="00BC1814" w:rsidRDefault="00E321F1" w:rsidP="001A5D4A">
            <w:pPr>
              <w:pStyle w:val="NotesTable-Notes"/>
            </w:pPr>
          </w:p>
        </w:tc>
        <w:tc>
          <w:tcPr>
            <w:tcW w:w="406" w:type="pct"/>
          </w:tcPr>
          <w:p w14:paraId="0B5929D0" w14:textId="77777777" w:rsidR="00E321F1" w:rsidRPr="00213294" w:rsidRDefault="00E321F1" w:rsidP="001A5D4A">
            <w:pPr>
              <w:pStyle w:val="NotesTable-CellPlain"/>
            </w:pPr>
            <w:r w:rsidRPr="00BC1814">
              <w:t>Fund 1</w:t>
            </w:r>
          </w:p>
        </w:tc>
        <w:tc>
          <w:tcPr>
            <w:tcW w:w="406" w:type="pct"/>
          </w:tcPr>
          <w:p w14:paraId="76A5DA10" w14:textId="77777777" w:rsidR="00E321F1" w:rsidRPr="00213294" w:rsidRDefault="00E321F1" w:rsidP="001A5D4A">
            <w:pPr>
              <w:pStyle w:val="NotesTable-CellPlain"/>
            </w:pPr>
            <w:r w:rsidRPr="00BC1814">
              <w:t>Fund 2</w:t>
            </w:r>
          </w:p>
        </w:tc>
        <w:tc>
          <w:tcPr>
            <w:tcW w:w="406" w:type="pct"/>
          </w:tcPr>
          <w:p w14:paraId="53AB9F48" w14:textId="77777777" w:rsidR="00E321F1" w:rsidRPr="00213294" w:rsidRDefault="00E321F1" w:rsidP="001A5D4A">
            <w:pPr>
              <w:pStyle w:val="NotesTable-CellPlain"/>
            </w:pPr>
            <w:r w:rsidRPr="00BC1814">
              <w:t>Fund 3</w:t>
            </w:r>
          </w:p>
        </w:tc>
        <w:tc>
          <w:tcPr>
            <w:tcW w:w="404" w:type="pct"/>
          </w:tcPr>
          <w:p w14:paraId="7A0A7694" w14:textId="77777777" w:rsidR="00E321F1" w:rsidRPr="00213294" w:rsidRDefault="00E321F1" w:rsidP="001A5D4A">
            <w:pPr>
              <w:pStyle w:val="NotesTable-CellPlain"/>
            </w:pPr>
            <w:r w:rsidRPr="00BC1814">
              <w:t>Total</w:t>
            </w:r>
          </w:p>
        </w:tc>
      </w:tr>
      <w:tr w:rsidR="00E321F1" w:rsidRPr="00BC1814" w14:paraId="0339EA3B" w14:textId="77777777" w:rsidTr="00AA2125">
        <w:trPr>
          <w:cantSplit/>
          <w:trHeight w:val="161"/>
        </w:trPr>
        <w:tc>
          <w:tcPr>
            <w:tcW w:w="811" w:type="pct"/>
            <w:vAlign w:val="bottom"/>
          </w:tcPr>
          <w:p w14:paraId="4280B759" w14:textId="77777777" w:rsidR="00E321F1" w:rsidRDefault="00E321F1" w:rsidP="001A5D4A">
            <w:pPr>
              <w:pStyle w:val="Note-Refs"/>
            </w:pPr>
            <w:r>
              <w:t>AASB119.140</w:t>
            </w:r>
          </w:p>
        </w:tc>
        <w:tc>
          <w:tcPr>
            <w:tcW w:w="2296" w:type="pct"/>
            <w:vAlign w:val="bottom"/>
          </w:tcPr>
          <w:p w14:paraId="5F06A0D4" w14:textId="77777777" w:rsidR="00E321F1" w:rsidRPr="00213294" w:rsidRDefault="00E321F1" w:rsidP="001A5D4A">
            <w:pPr>
              <w:pStyle w:val="NotesTable-ItemPlain"/>
            </w:pPr>
            <w:r w:rsidRPr="00BC1814">
              <w:t xml:space="preserve">Opening </w:t>
            </w:r>
            <w:r>
              <w:t>balance</w:t>
            </w:r>
          </w:p>
        </w:tc>
        <w:tc>
          <w:tcPr>
            <w:tcW w:w="271" w:type="pct"/>
          </w:tcPr>
          <w:p w14:paraId="1C54DA81" w14:textId="77777777" w:rsidR="00E321F1" w:rsidRPr="00BC1814" w:rsidRDefault="00E321F1" w:rsidP="001A5D4A">
            <w:pPr>
              <w:pStyle w:val="NotesTable-Notes"/>
            </w:pPr>
          </w:p>
        </w:tc>
        <w:tc>
          <w:tcPr>
            <w:tcW w:w="406" w:type="pct"/>
          </w:tcPr>
          <w:p w14:paraId="7E4F5981" w14:textId="77777777" w:rsidR="00E321F1" w:rsidRPr="00213294" w:rsidRDefault="00E321F1" w:rsidP="001A5D4A">
            <w:pPr>
              <w:pStyle w:val="NotesTable-CellPlain"/>
            </w:pPr>
            <w:r w:rsidRPr="00997224">
              <w:t>–</w:t>
            </w:r>
          </w:p>
        </w:tc>
        <w:tc>
          <w:tcPr>
            <w:tcW w:w="406" w:type="pct"/>
          </w:tcPr>
          <w:p w14:paraId="4529B77A" w14:textId="77777777" w:rsidR="00E321F1" w:rsidRPr="00213294" w:rsidRDefault="00E321F1" w:rsidP="001A5D4A">
            <w:pPr>
              <w:pStyle w:val="NotesTable-CellPlain"/>
            </w:pPr>
            <w:r w:rsidRPr="00997224">
              <w:t>–</w:t>
            </w:r>
          </w:p>
        </w:tc>
        <w:tc>
          <w:tcPr>
            <w:tcW w:w="406" w:type="pct"/>
          </w:tcPr>
          <w:p w14:paraId="6C70A8B2" w14:textId="77777777" w:rsidR="00E321F1" w:rsidRPr="00BC1814" w:rsidRDefault="00E321F1" w:rsidP="001A5D4A">
            <w:pPr>
              <w:pStyle w:val="NotesTable-CellPlain"/>
            </w:pPr>
            <w:r w:rsidRPr="00997224">
              <w:t>–</w:t>
            </w:r>
          </w:p>
        </w:tc>
        <w:tc>
          <w:tcPr>
            <w:tcW w:w="404" w:type="pct"/>
          </w:tcPr>
          <w:p w14:paraId="3904ABA7" w14:textId="77777777" w:rsidR="00E321F1" w:rsidRPr="00213294" w:rsidRDefault="00E321F1" w:rsidP="001A5D4A">
            <w:pPr>
              <w:pStyle w:val="NotesTable-CellPlain"/>
            </w:pPr>
            <w:r w:rsidRPr="00997224">
              <w:t>–</w:t>
            </w:r>
          </w:p>
        </w:tc>
      </w:tr>
      <w:tr w:rsidR="00E321F1" w:rsidRPr="00BC1814" w14:paraId="42DF72E0" w14:textId="77777777" w:rsidTr="00AA2125">
        <w:trPr>
          <w:cantSplit/>
          <w:trHeight w:val="161"/>
        </w:trPr>
        <w:tc>
          <w:tcPr>
            <w:tcW w:w="811" w:type="pct"/>
            <w:vAlign w:val="bottom"/>
          </w:tcPr>
          <w:p w14:paraId="5FDB94A0" w14:textId="77777777" w:rsidR="00E321F1" w:rsidRPr="00213294" w:rsidRDefault="00E321F1" w:rsidP="001A5D4A">
            <w:pPr>
              <w:pStyle w:val="Note-Refs"/>
            </w:pPr>
            <w:r>
              <w:t>AASB119.141a</w:t>
            </w:r>
          </w:p>
        </w:tc>
        <w:tc>
          <w:tcPr>
            <w:tcW w:w="2296" w:type="pct"/>
            <w:vAlign w:val="bottom"/>
          </w:tcPr>
          <w:p w14:paraId="05E1AB01" w14:textId="77777777" w:rsidR="00E321F1" w:rsidRPr="00213294" w:rsidRDefault="00E321F1" w:rsidP="001A5D4A">
            <w:pPr>
              <w:pStyle w:val="NotesTable-ItemPlain"/>
            </w:pPr>
            <w:r w:rsidRPr="00BC1814">
              <w:t>Current service cost</w:t>
            </w:r>
          </w:p>
        </w:tc>
        <w:tc>
          <w:tcPr>
            <w:tcW w:w="271" w:type="pct"/>
          </w:tcPr>
          <w:p w14:paraId="3D69E68F" w14:textId="77777777" w:rsidR="00E321F1" w:rsidRPr="00BC1814" w:rsidRDefault="00E321F1" w:rsidP="001A5D4A">
            <w:pPr>
              <w:pStyle w:val="NotesTable-Notes"/>
            </w:pPr>
          </w:p>
        </w:tc>
        <w:tc>
          <w:tcPr>
            <w:tcW w:w="406" w:type="pct"/>
          </w:tcPr>
          <w:p w14:paraId="22BEC156" w14:textId="77777777" w:rsidR="00E321F1" w:rsidRPr="00213294" w:rsidRDefault="00E321F1" w:rsidP="001A5D4A">
            <w:pPr>
              <w:pStyle w:val="NotesTable-CellPlain"/>
            </w:pPr>
            <w:r w:rsidRPr="000A11B4">
              <w:t>–</w:t>
            </w:r>
          </w:p>
        </w:tc>
        <w:tc>
          <w:tcPr>
            <w:tcW w:w="406" w:type="pct"/>
          </w:tcPr>
          <w:p w14:paraId="0B0BBB5D" w14:textId="77777777" w:rsidR="00E321F1" w:rsidRPr="00213294" w:rsidRDefault="00E321F1" w:rsidP="001A5D4A">
            <w:pPr>
              <w:pStyle w:val="NotesTable-CellPlain"/>
            </w:pPr>
            <w:r w:rsidRPr="000A11B4">
              <w:t>–</w:t>
            </w:r>
          </w:p>
        </w:tc>
        <w:tc>
          <w:tcPr>
            <w:tcW w:w="406" w:type="pct"/>
          </w:tcPr>
          <w:p w14:paraId="5C1F9E53" w14:textId="77777777" w:rsidR="00E321F1" w:rsidRPr="00213294" w:rsidRDefault="00E321F1" w:rsidP="001A5D4A">
            <w:pPr>
              <w:pStyle w:val="NotesTable-CellPlain"/>
            </w:pPr>
            <w:r w:rsidRPr="000A11B4">
              <w:t>–</w:t>
            </w:r>
          </w:p>
        </w:tc>
        <w:tc>
          <w:tcPr>
            <w:tcW w:w="404" w:type="pct"/>
          </w:tcPr>
          <w:p w14:paraId="4409B131" w14:textId="77777777" w:rsidR="00E321F1" w:rsidRPr="00213294" w:rsidRDefault="00E321F1" w:rsidP="001A5D4A">
            <w:pPr>
              <w:pStyle w:val="NotesTable-CellPlain"/>
            </w:pPr>
            <w:r w:rsidRPr="000A11B4">
              <w:t>–</w:t>
            </w:r>
          </w:p>
        </w:tc>
      </w:tr>
      <w:tr w:rsidR="00E321F1" w:rsidRPr="00BC1814" w14:paraId="017EDB4F" w14:textId="77777777" w:rsidTr="00AA2125">
        <w:trPr>
          <w:cantSplit/>
          <w:trHeight w:val="161"/>
        </w:trPr>
        <w:tc>
          <w:tcPr>
            <w:tcW w:w="811" w:type="pct"/>
            <w:vAlign w:val="bottom"/>
          </w:tcPr>
          <w:p w14:paraId="1146DF8F" w14:textId="77777777" w:rsidR="00E321F1" w:rsidRPr="00213294" w:rsidRDefault="00E321F1" w:rsidP="001A5D4A">
            <w:pPr>
              <w:pStyle w:val="Note-Refs"/>
            </w:pPr>
            <w:r>
              <w:t>AASB119.141d</w:t>
            </w:r>
          </w:p>
        </w:tc>
        <w:tc>
          <w:tcPr>
            <w:tcW w:w="2296" w:type="pct"/>
            <w:vAlign w:val="bottom"/>
          </w:tcPr>
          <w:p w14:paraId="66FB1ECE" w14:textId="77777777" w:rsidR="00E321F1" w:rsidRPr="00213294" w:rsidRDefault="00E321F1" w:rsidP="001A5D4A">
            <w:pPr>
              <w:pStyle w:val="NotesTable-ItemPlain"/>
            </w:pPr>
            <w:r w:rsidRPr="00BC1814">
              <w:t>Past service cost</w:t>
            </w:r>
          </w:p>
        </w:tc>
        <w:tc>
          <w:tcPr>
            <w:tcW w:w="271" w:type="pct"/>
          </w:tcPr>
          <w:p w14:paraId="4AD9A4F8" w14:textId="77777777" w:rsidR="00E321F1" w:rsidRPr="00BC1814" w:rsidRDefault="00E321F1" w:rsidP="001A5D4A">
            <w:pPr>
              <w:pStyle w:val="NotesTable-Notes"/>
            </w:pPr>
          </w:p>
        </w:tc>
        <w:tc>
          <w:tcPr>
            <w:tcW w:w="406" w:type="pct"/>
          </w:tcPr>
          <w:p w14:paraId="1A9A99A9" w14:textId="77777777" w:rsidR="00E321F1" w:rsidRPr="00213294" w:rsidRDefault="00E321F1" w:rsidP="001A5D4A">
            <w:pPr>
              <w:pStyle w:val="NotesTable-CellPlain"/>
            </w:pPr>
            <w:r w:rsidRPr="000A11B4">
              <w:t>–</w:t>
            </w:r>
          </w:p>
        </w:tc>
        <w:tc>
          <w:tcPr>
            <w:tcW w:w="406" w:type="pct"/>
          </w:tcPr>
          <w:p w14:paraId="38059A86" w14:textId="77777777" w:rsidR="00E321F1" w:rsidRPr="00213294" w:rsidRDefault="00E321F1" w:rsidP="001A5D4A">
            <w:pPr>
              <w:pStyle w:val="NotesTable-CellPlain"/>
            </w:pPr>
            <w:r w:rsidRPr="000A11B4">
              <w:t>–</w:t>
            </w:r>
          </w:p>
        </w:tc>
        <w:tc>
          <w:tcPr>
            <w:tcW w:w="406" w:type="pct"/>
          </w:tcPr>
          <w:p w14:paraId="4A05CE03" w14:textId="77777777" w:rsidR="00E321F1" w:rsidRPr="00213294" w:rsidRDefault="00E321F1" w:rsidP="001A5D4A">
            <w:pPr>
              <w:pStyle w:val="NotesTable-CellPlain"/>
            </w:pPr>
            <w:r w:rsidRPr="000A11B4">
              <w:t>–</w:t>
            </w:r>
          </w:p>
        </w:tc>
        <w:tc>
          <w:tcPr>
            <w:tcW w:w="404" w:type="pct"/>
          </w:tcPr>
          <w:p w14:paraId="5BBD1FEE" w14:textId="77777777" w:rsidR="00E321F1" w:rsidRPr="00213294" w:rsidRDefault="00E321F1" w:rsidP="001A5D4A">
            <w:pPr>
              <w:pStyle w:val="NotesTable-CellPlain"/>
            </w:pPr>
            <w:r w:rsidRPr="000A11B4">
              <w:t>–</w:t>
            </w:r>
          </w:p>
        </w:tc>
      </w:tr>
      <w:tr w:rsidR="00E321F1" w:rsidRPr="00BC1814" w14:paraId="6A1BFF76" w14:textId="77777777" w:rsidTr="00AA2125">
        <w:trPr>
          <w:cantSplit/>
          <w:trHeight w:val="161"/>
        </w:trPr>
        <w:tc>
          <w:tcPr>
            <w:tcW w:w="811" w:type="pct"/>
            <w:vAlign w:val="bottom"/>
          </w:tcPr>
          <w:p w14:paraId="7AB0241C" w14:textId="77777777" w:rsidR="00E321F1" w:rsidRPr="00213294" w:rsidRDefault="00E321F1" w:rsidP="001A5D4A">
            <w:pPr>
              <w:pStyle w:val="Note-Refs"/>
            </w:pPr>
            <w:r>
              <w:t>AASB119.141b</w:t>
            </w:r>
          </w:p>
        </w:tc>
        <w:tc>
          <w:tcPr>
            <w:tcW w:w="2296" w:type="pct"/>
            <w:vAlign w:val="bottom"/>
          </w:tcPr>
          <w:p w14:paraId="52665223" w14:textId="77777777" w:rsidR="00E321F1" w:rsidRPr="00213294" w:rsidRDefault="00E321F1" w:rsidP="001A5D4A">
            <w:pPr>
              <w:pStyle w:val="NotesTable-ItemPlain"/>
            </w:pPr>
            <w:r w:rsidRPr="00BC1814">
              <w:t xml:space="preserve">Interest </w:t>
            </w:r>
            <w:r>
              <w:t>expense/(income)</w:t>
            </w:r>
          </w:p>
        </w:tc>
        <w:tc>
          <w:tcPr>
            <w:tcW w:w="271" w:type="pct"/>
          </w:tcPr>
          <w:p w14:paraId="3A69F9C8" w14:textId="77777777" w:rsidR="00E321F1" w:rsidRPr="00BC1814" w:rsidRDefault="00E321F1" w:rsidP="001A5D4A">
            <w:pPr>
              <w:pStyle w:val="NotesTable-Notes"/>
            </w:pPr>
          </w:p>
        </w:tc>
        <w:tc>
          <w:tcPr>
            <w:tcW w:w="406" w:type="pct"/>
          </w:tcPr>
          <w:p w14:paraId="0EA04B2C" w14:textId="77777777" w:rsidR="00E321F1" w:rsidRPr="00213294" w:rsidRDefault="00E321F1" w:rsidP="001A5D4A">
            <w:pPr>
              <w:pStyle w:val="NotesTable-CellPlain"/>
            </w:pPr>
            <w:r w:rsidRPr="000A11B4">
              <w:t>–</w:t>
            </w:r>
          </w:p>
        </w:tc>
        <w:tc>
          <w:tcPr>
            <w:tcW w:w="406" w:type="pct"/>
          </w:tcPr>
          <w:p w14:paraId="36707E79" w14:textId="77777777" w:rsidR="00E321F1" w:rsidRPr="00213294" w:rsidRDefault="00E321F1" w:rsidP="001A5D4A">
            <w:pPr>
              <w:pStyle w:val="NotesTable-CellPlain"/>
            </w:pPr>
            <w:r w:rsidRPr="000A11B4">
              <w:t>–</w:t>
            </w:r>
          </w:p>
        </w:tc>
        <w:tc>
          <w:tcPr>
            <w:tcW w:w="406" w:type="pct"/>
          </w:tcPr>
          <w:p w14:paraId="14B0B73C" w14:textId="77777777" w:rsidR="00E321F1" w:rsidRPr="00213294" w:rsidRDefault="00E321F1" w:rsidP="001A5D4A">
            <w:pPr>
              <w:pStyle w:val="NotesTable-CellPlain"/>
            </w:pPr>
            <w:r w:rsidRPr="000A11B4">
              <w:t>–</w:t>
            </w:r>
          </w:p>
        </w:tc>
        <w:tc>
          <w:tcPr>
            <w:tcW w:w="404" w:type="pct"/>
          </w:tcPr>
          <w:p w14:paraId="5A723304" w14:textId="77777777" w:rsidR="00E321F1" w:rsidRPr="00213294" w:rsidRDefault="00E321F1" w:rsidP="001A5D4A">
            <w:pPr>
              <w:pStyle w:val="NotesTable-CellPlain"/>
            </w:pPr>
            <w:r w:rsidRPr="000A11B4">
              <w:t>–</w:t>
            </w:r>
          </w:p>
        </w:tc>
      </w:tr>
      <w:tr w:rsidR="00E321F1" w:rsidRPr="000A11B4" w14:paraId="6EEF65A4" w14:textId="77777777" w:rsidTr="00AA2125">
        <w:trPr>
          <w:cantSplit/>
          <w:trHeight w:val="161"/>
        </w:trPr>
        <w:tc>
          <w:tcPr>
            <w:tcW w:w="811" w:type="pct"/>
            <w:vAlign w:val="bottom"/>
          </w:tcPr>
          <w:p w14:paraId="4F2437FE" w14:textId="77777777" w:rsidR="00E321F1" w:rsidRDefault="00E321F1" w:rsidP="001A5D4A">
            <w:pPr>
              <w:pStyle w:val="Note-Refs"/>
            </w:pPr>
          </w:p>
        </w:tc>
        <w:tc>
          <w:tcPr>
            <w:tcW w:w="2296" w:type="pct"/>
            <w:vAlign w:val="bottom"/>
          </w:tcPr>
          <w:p w14:paraId="3B84FB38" w14:textId="77777777" w:rsidR="00E321F1" w:rsidRDefault="00E321F1" w:rsidP="001A5D4A">
            <w:pPr>
              <w:pStyle w:val="NotesTable-ItemPlain"/>
            </w:pPr>
          </w:p>
        </w:tc>
        <w:tc>
          <w:tcPr>
            <w:tcW w:w="271" w:type="pct"/>
          </w:tcPr>
          <w:p w14:paraId="77A6550E" w14:textId="77777777" w:rsidR="00E321F1" w:rsidRPr="00BC1814" w:rsidRDefault="00E321F1" w:rsidP="001A5D4A">
            <w:pPr>
              <w:pStyle w:val="NotesTable-Notes"/>
            </w:pPr>
          </w:p>
        </w:tc>
        <w:tc>
          <w:tcPr>
            <w:tcW w:w="406" w:type="pct"/>
          </w:tcPr>
          <w:p w14:paraId="4319DF64" w14:textId="77777777" w:rsidR="00E321F1" w:rsidRPr="000A11B4" w:rsidRDefault="00E321F1" w:rsidP="001A5D4A">
            <w:pPr>
              <w:pStyle w:val="NotesTable-CellPlain"/>
            </w:pPr>
            <w:r w:rsidRPr="000A11B4">
              <w:t>–</w:t>
            </w:r>
          </w:p>
        </w:tc>
        <w:tc>
          <w:tcPr>
            <w:tcW w:w="406" w:type="pct"/>
          </w:tcPr>
          <w:p w14:paraId="529BC8FB" w14:textId="77777777" w:rsidR="00E321F1" w:rsidRPr="000A11B4" w:rsidRDefault="00E321F1" w:rsidP="001A5D4A">
            <w:pPr>
              <w:pStyle w:val="NotesTable-CellPlain"/>
            </w:pPr>
            <w:r w:rsidRPr="000A11B4">
              <w:t>–</w:t>
            </w:r>
          </w:p>
        </w:tc>
        <w:tc>
          <w:tcPr>
            <w:tcW w:w="406" w:type="pct"/>
          </w:tcPr>
          <w:p w14:paraId="3D7A343A" w14:textId="77777777" w:rsidR="00E321F1" w:rsidRPr="000A11B4" w:rsidRDefault="00E321F1" w:rsidP="001A5D4A">
            <w:pPr>
              <w:pStyle w:val="NotesTable-CellPlain"/>
            </w:pPr>
            <w:r w:rsidRPr="000A11B4">
              <w:t>–</w:t>
            </w:r>
          </w:p>
        </w:tc>
        <w:tc>
          <w:tcPr>
            <w:tcW w:w="404" w:type="pct"/>
          </w:tcPr>
          <w:p w14:paraId="14327641" w14:textId="77777777" w:rsidR="00E321F1" w:rsidRPr="000A11B4" w:rsidRDefault="00E321F1" w:rsidP="001A5D4A">
            <w:pPr>
              <w:pStyle w:val="NotesTable-CellPlain"/>
            </w:pPr>
            <w:r w:rsidRPr="000A11B4">
              <w:t>–</w:t>
            </w:r>
          </w:p>
        </w:tc>
      </w:tr>
      <w:tr w:rsidR="00E321F1" w:rsidRPr="00997224" w14:paraId="4DFB1E19" w14:textId="77777777" w:rsidTr="00AA2125">
        <w:trPr>
          <w:cantSplit/>
          <w:trHeight w:val="161"/>
        </w:trPr>
        <w:tc>
          <w:tcPr>
            <w:tcW w:w="811" w:type="pct"/>
            <w:vAlign w:val="bottom"/>
          </w:tcPr>
          <w:p w14:paraId="711B3019" w14:textId="77777777" w:rsidR="00E321F1" w:rsidRDefault="00E321F1" w:rsidP="001A5D4A">
            <w:pPr>
              <w:pStyle w:val="Note-Refs"/>
            </w:pPr>
          </w:p>
        </w:tc>
        <w:tc>
          <w:tcPr>
            <w:tcW w:w="2296" w:type="pct"/>
            <w:vAlign w:val="bottom"/>
          </w:tcPr>
          <w:p w14:paraId="3B112219" w14:textId="77777777" w:rsidR="00E321F1" w:rsidRPr="00BC1814" w:rsidRDefault="00E321F1" w:rsidP="001A5D4A">
            <w:pPr>
              <w:pStyle w:val="NotesTable-ItemPlain"/>
            </w:pPr>
            <w:r>
              <w:t>Remeasurements</w:t>
            </w:r>
          </w:p>
        </w:tc>
        <w:tc>
          <w:tcPr>
            <w:tcW w:w="271" w:type="pct"/>
          </w:tcPr>
          <w:p w14:paraId="1B55EC08" w14:textId="77777777" w:rsidR="00E321F1" w:rsidRPr="00BC1814" w:rsidRDefault="00E321F1" w:rsidP="001A5D4A">
            <w:pPr>
              <w:pStyle w:val="NotesTable-Notes"/>
            </w:pPr>
          </w:p>
        </w:tc>
        <w:tc>
          <w:tcPr>
            <w:tcW w:w="406" w:type="pct"/>
          </w:tcPr>
          <w:p w14:paraId="4A4CA54E" w14:textId="77777777" w:rsidR="00E321F1" w:rsidRPr="00997224" w:rsidRDefault="00E321F1" w:rsidP="001A5D4A">
            <w:pPr>
              <w:pStyle w:val="NotesTable-CellPlain"/>
            </w:pPr>
          </w:p>
        </w:tc>
        <w:tc>
          <w:tcPr>
            <w:tcW w:w="406" w:type="pct"/>
          </w:tcPr>
          <w:p w14:paraId="796E763A" w14:textId="77777777" w:rsidR="00E321F1" w:rsidRPr="00997224" w:rsidRDefault="00E321F1" w:rsidP="001A5D4A">
            <w:pPr>
              <w:pStyle w:val="NotesTable-CellPlain"/>
            </w:pPr>
          </w:p>
        </w:tc>
        <w:tc>
          <w:tcPr>
            <w:tcW w:w="406" w:type="pct"/>
          </w:tcPr>
          <w:p w14:paraId="1DBA878F" w14:textId="77777777" w:rsidR="00E321F1" w:rsidRPr="00997224" w:rsidRDefault="00E321F1" w:rsidP="001A5D4A">
            <w:pPr>
              <w:pStyle w:val="NotesTable-CellPlain"/>
            </w:pPr>
          </w:p>
        </w:tc>
        <w:tc>
          <w:tcPr>
            <w:tcW w:w="404" w:type="pct"/>
          </w:tcPr>
          <w:p w14:paraId="17EF2F6D" w14:textId="77777777" w:rsidR="00E321F1" w:rsidRPr="00997224" w:rsidRDefault="00E321F1" w:rsidP="001A5D4A">
            <w:pPr>
              <w:pStyle w:val="NotesTable-CellPlain"/>
            </w:pPr>
          </w:p>
        </w:tc>
      </w:tr>
      <w:tr w:rsidR="00E321F1" w:rsidRPr="00BC1814" w14:paraId="7A0EC7E9" w14:textId="77777777" w:rsidTr="00AA2125">
        <w:trPr>
          <w:cantSplit/>
          <w:trHeight w:val="161"/>
        </w:trPr>
        <w:tc>
          <w:tcPr>
            <w:tcW w:w="811" w:type="pct"/>
            <w:vAlign w:val="bottom"/>
          </w:tcPr>
          <w:p w14:paraId="35BE7315" w14:textId="77777777" w:rsidR="00E321F1" w:rsidRPr="00213294" w:rsidRDefault="00E321F1" w:rsidP="001A5D4A">
            <w:pPr>
              <w:pStyle w:val="Note-Refs"/>
            </w:pPr>
            <w:r>
              <w:t>AASB119.141c(i)</w:t>
            </w:r>
          </w:p>
        </w:tc>
        <w:tc>
          <w:tcPr>
            <w:tcW w:w="2296" w:type="pct"/>
            <w:vAlign w:val="bottom"/>
          </w:tcPr>
          <w:p w14:paraId="6651C9D6" w14:textId="77777777" w:rsidR="00E321F1" w:rsidRPr="00213294" w:rsidRDefault="00E321F1" w:rsidP="001A5D4A">
            <w:pPr>
              <w:pStyle w:val="Note-Text"/>
            </w:pPr>
            <w:r>
              <w:t>Return on plan assets, excluding amounts included in interest expense</w:t>
            </w:r>
          </w:p>
        </w:tc>
        <w:tc>
          <w:tcPr>
            <w:tcW w:w="271" w:type="pct"/>
          </w:tcPr>
          <w:p w14:paraId="6AB91572" w14:textId="77777777" w:rsidR="00E321F1" w:rsidRPr="00BC1814" w:rsidRDefault="00E321F1" w:rsidP="001A5D4A">
            <w:pPr>
              <w:pStyle w:val="NotesTable-Notes"/>
            </w:pPr>
          </w:p>
        </w:tc>
        <w:tc>
          <w:tcPr>
            <w:tcW w:w="406" w:type="pct"/>
          </w:tcPr>
          <w:p w14:paraId="5978962C" w14:textId="77777777" w:rsidR="00E321F1" w:rsidRPr="00213294" w:rsidRDefault="00E321F1" w:rsidP="001A5D4A">
            <w:pPr>
              <w:pStyle w:val="NotesTable-CellPlain"/>
            </w:pPr>
            <w:r w:rsidRPr="002A72F5">
              <w:t>–</w:t>
            </w:r>
          </w:p>
        </w:tc>
        <w:tc>
          <w:tcPr>
            <w:tcW w:w="406" w:type="pct"/>
          </w:tcPr>
          <w:p w14:paraId="0225F513" w14:textId="77777777" w:rsidR="00E321F1" w:rsidRPr="00213294" w:rsidRDefault="00E321F1" w:rsidP="001A5D4A">
            <w:pPr>
              <w:pStyle w:val="NotesTable-CellPlain"/>
            </w:pPr>
            <w:r w:rsidRPr="002A72F5">
              <w:t>–</w:t>
            </w:r>
          </w:p>
        </w:tc>
        <w:tc>
          <w:tcPr>
            <w:tcW w:w="406" w:type="pct"/>
          </w:tcPr>
          <w:p w14:paraId="05377A46" w14:textId="77777777" w:rsidR="00E321F1" w:rsidRPr="00213294" w:rsidRDefault="00E321F1" w:rsidP="001A5D4A">
            <w:pPr>
              <w:pStyle w:val="NotesTable-CellPlain"/>
            </w:pPr>
            <w:r w:rsidRPr="002A72F5">
              <w:t>–</w:t>
            </w:r>
          </w:p>
        </w:tc>
        <w:tc>
          <w:tcPr>
            <w:tcW w:w="404" w:type="pct"/>
          </w:tcPr>
          <w:p w14:paraId="3C5A94E4" w14:textId="77777777" w:rsidR="00E321F1" w:rsidRPr="00213294" w:rsidRDefault="00E321F1" w:rsidP="001A5D4A">
            <w:pPr>
              <w:pStyle w:val="NotesTable-CellPlain"/>
            </w:pPr>
            <w:r w:rsidRPr="002A72F5">
              <w:t>–</w:t>
            </w:r>
          </w:p>
        </w:tc>
      </w:tr>
      <w:tr w:rsidR="00E321F1" w:rsidRPr="00BC1814" w14:paraId="2998536B" w14:textId="77777777" w:rsidTr="00AA2125">
        <w:trPr>
          <w:cantSplit/>
          <w:trHeight w:val="161"/>
        </w:trPr>
        <w:tc>
          <w:tcPr>
            <w:tcW w:w="811" w:type="pct"/>
          </w:tcPr>
          <w:p w14:paraId="24182D15" w14:textId="77777777" w:rsidR="00E321F1" w:rsidRDefault="00E321F1" w:rsidP="001A5D4A">
            <w:pPr>
              <w:pStyle w:val="Note-Refs"/>
              <w:rPr>
                <w:b/>
              </w:rPr>
            </w:pPr>
            <w:r>
              <w:t>AASB119.141c(ii)</w:t>
            </w:r>
          </w:p>
        </w:tc>
        <w:tc>
          <w:tcPr>
            <w:tcW w:w="2296" w:type="pct"/>
            <w:vAlign w:val="bottom"/>
          </w:tcPr>
          <w:p w14:paraId="4E8646A2" w14:textId="77777777" w:rsidR="00E321F1" w:rsidRPr="00BC1814" w:rsidRDefault="00E321F1" w:rsidP="001A5D4A">
            <w:pPr>
              <w:pStyle w:val="Note-Text"/>
              <w:rPr>
                <w:b/>
                <w:lang w:val="en-GB"/>
              </w:rPr>
            </w:pPr>
            <w:r w:rsidRPr="00BC1814">
              <w:t xml:space="preserve">Actuarial losses/(gains) </w:t>
            </w:r>
            <w:r>
              <w:t>arising from changes in demographic assumptions</w:t>
            </w:r>
          </w:p>
        </w:tc>
        <w:tc>
          <w:tcPr>
            <w:tcW w:w="271" w:type="pct"/>
          </w:tcPr>
          <w:p w14:paraId="1050A40C" w14:textId="77777777" w:rsidR="00E321F1" w:rsidRPr="00BC1814" w:rsidRDefault="00E321F1" w:rsidP="001A5D4A">
            <w:pPr>
              <w:pStyle w:val="NotesTable-Notes"/>
            </w:pPr>
          </w:p>
        </w:tc>
        <w:tc>
          <w:tcPr>
            <w:tcW w:w="406" w:type="pct"/>
            <w:vAlign w:val="bottom"/>
          </w:tcPr>
          <w:p w14:paraId="00B2291E" w14:textId="77777777" w:rsidR="00E321F1" w:rsidRPr="00BC1814" w:rsidRDefault="00E321F1" w:rsidP="001A5D4A">
            <w:pPr>
              <w:pStyle w:val="NotesTable-CellPlain"/>
              <w:rPr>
                <w:b/>
              </w:rPr>
            </w:pPr>
            <w:r w:rsidRPr="000A11B4">
              <w:t>–</w:t>
            </w:r>
          </w:p>
        </w:tc>
        <w:tc>
          <w:tcPr>
            <w:tcW w:w="406" w:type="pct"/>
            <w:vAlign w:val="bottom"/>
          </w:tcPr>
          <w:p w14:paraId="4DE025AF" w14:textId="77777777" w:rsidR="00E321F1" w:rsidRPr="00BC1814" w:rsidRDefault="00E321F1" w:rsidP="001A5D4A">
            <w:pPr>
              <w:pStyle w:val="NotesTable-CellPlain"/>
              <w:rPr>
                <w:b/>
              </w:rPr>
            </w:pPr>
            <w:r w:rsidRPr="000A11B4">
              <w:t>–</w:t>
            </w:r>
          </w:p>
        </w:tc>
        <w:tc>
          <w:tcPr>
            <w:tcW w:w="406" w:type="pct"/>
            <w:vAlign w:val="bottom"/>
          </w:tcPr>
          <w:p w14:paraId="2B1296D9" w14:textId="77777777" w:rsidR="00E321F1" w:rsidRPr="00BC1814" w:rsidRDefault="00E321F1" w:rsidP="001A5D4A">
            <w:pPr>
              <w:pStyle w:val="NotesTable-CellPlain"/>
              <w:rPr>
                <w:b/>
              </w:rPr>
            </w:pPr>
            <w:r w:rsidRPr="000A11B4">
              <w:t>–</w:t>
            </w:r>
          </w:p>
        </w:tc>
        <w:tc>
          <w:tcPr>
            <w:tcW w:w="404" w:type="pct"/>
            <w:vAlign w:val="bottom"/>
          </w:tcPr>
          <w:p w14:paraId="0331D3D5" w14:textId="77777777" w:rsidR="00E321F1" w:rsidRPr="00BC1814" w:rsidRDefault="00E321F1" w:rsidP="001A5D4A">
            <w:pPr>
              <w:pStyle w:val="NotesTable-CellPlain"/>
              <w:rPr>
                <w:b/>
              </w:rPr>
            </w:pPr>
            <w:r w:rsidRPr="000A11B4">
              <w:t>–</w:t>
            </w:r>
          </w:p>
        </w:tc>
      </w:tr>
      <w:tr w:rsidR="00E321F1" w:rsidRPr="000A11B4" w14:paraId="337643DA" w14:textId="77777777" w:rsidTr="00AA2125">
        <w:trPr>
          <w:cantSplit/>
          <w:trHeight w:val="161"/>
        </w:trPr>
        <w:tc>
          <w:tcPr>
            <w:tcW w:w="811" w:type="pct"/>
          </w:tcPr>
          <w:p w14:paraId="53C4FCD3" w14:textId="77777777" w:rsidR="00E321F1" w:rsidRDefault="00E321F1" w:rsidP="001A5D4A">
            <w:pPr>
              <w:pStyle w:val="Note-Refs"/>
            </w:pPr>
            <w:r>
              <w:t>AASB119.141c(iii)</w:t>
            </w:r>
          </w:p>
        </w:tc>
        <w:tc>
          <w:tcPr>
            <w:tcW w:w="2296" w:type="pct"/>
            <w:vAlign w:val="bottom"/>
          </w:tcPr>
          <w:p w14:paraId="47240A09" w14:textId="77777777" w:rsidR="00E321F1" w:rsidRPr="00BC1814" w:rsidRDefault="00E321F1" w:rsidP="001A5D4A">
            <w:pPr>
              <w:pStyle w:val="Note-Text"/>
              <w:rPr>
                <w:b/>
                <w:lang w:val="en-GB"/>
              </w:rPr>
            </w:pPr>
            <w:r>
              <w:t>Actuarial losses/(gains) arising from changes in financial assumptions</w:t>
            </w:r>
          </w:p>
        </w:tc>
        <w:tc>
          <w:tcPr>
            <w:tcW w:w="271" w:type="pct"/>
          </w:tcPr>
          <w:p w14:paraId="4CA1DDE0" w14:textId="77777777" w:rsidR="00E321F1" w:rsidRPr="00BC1814" w:rsidRDefault="00E321F1" w:rsidP="001A5D4A">
            <w:pPr>
              <w:pStyle w:val="Note-Text"/>
            </w:pPr>
          </w:p>
        </w:tc>
        <w:tc>
          <w:tcPr>
            <w:tcW w:w="406" w:type="pct"/>
            <w:vAlign w:val="bottom"/>
          </w:tcPr>
          <w:p w14:paraId="78C9B5B6" w14:textId="77777777" w:rsidR="00E321F1" w:rsidRPr="000A11B4" w:rsidRDefault="00E321F1" w:rsidP="001A5D4A">
            <w:pPr>
              <w:pStyle w:val="NotesTable-CellPlain"/>
            </w:pPr>
            <w:r w:rsidRPr="000A11B4">
              <w:t>–</w:t>
            </w:r>
          </w:p>
        </w:tc>
        <w:tc>
          <w:tcPr>
            <w:tcW w:w="406" w:type="pct"/>
            <w:vAlign w:val="bottom"/>
          </w:tcPr>
          <w:p w14:paraId="6D4CF110" w14:textId="77777777" w:rsidR="00E321F1" w:rsidRPr="000A11B4" w:rsidRDefault="00E321F1" w:rsidP="001A5D4A">
            <w:pPr>
              <w:pStyle w:val="NotesTable-CellPlain"/>
            </w:pPr>
            <w:r w:rsidRPr="000A11B4">
              <w:t>–</w:t>
            </w:r>
          </w:p>
        </w:tc>
        <w:tc>
          <w:tcPr>
            <w:tcW w:w="406" w:type="pct"/>
            <w:vAlign w:val="bottom"/>
          </w:tcPr>
          <w:p w14:paraId="3BC8ECDF" w14:textId="77777777" w:rsidR="00E321F1" w:rsidRPr="000A11B4" w:rsidRDefault="00E321F1" w:rsidP="001A5D4A">
            <w:pPr>
              <w:pStyle w:val="NotesTable-CellPlain"/>
            </w:pPr>
            <w:r w:rsidRPr="000A11B4">
              <w:t>–</w:t>
            </w:r>
          </w:p>
        </w:tc>
        <w:tc>
          <w:tcPr>
            <w:tcW w:w="404" w:type="pct"/>
            <w:vAlign w:val="bottom"/>
          </w:tcPr>
          <w:p w14:paraId="2633FCCE" w14:textId="77777777" w:rsidR="00E321F1" w:rsidRPr="000A11B4" w:rsidRDefault="00E321F1" w:rsidP="001A5D4A">
            <w:pPr>
              <w:pStyle w:val="NotesTable-CellPlain"/>
            </w:pPr>
            <w:r w:rsidRPr="000A11B4">
              <w:t>–</w:t>
            </w:r>
          </w:p>
        </w:tc>
      </w:tr>
      <w:tr w:rsidR="00E321F1" w:rsidRPr="000A11B4" w14:paraId="6325E4D1" w14:textId="77777777" w:rsidTr="00AA2125">
        <w:trPr>
          <w:cantSplit/>
          <w:trHeight w:val="161"/>
        </w:trPr>
        <w:tc>
          <w:tcPr>
            <w:tcW w:w="811" w:type="pct"/>
            <w:vAlign w:val="bottom"/>
          </w:tcPr>
          <w:p w14:paraId="5B15D3F1" w14:textId="77777777" w:rsidR="00E321F1" w:rsidRDefault="00E321F1" w:rsidP="001A5D4A">
            <w:pPr>
              <w:pStyle w:val="Note-Refs"/>
            </w:pPr>
            <w:r>
              <w:t>AASB119.141c(iv)</w:t>
            </w:r>
          </w:p>
        </w:tc>
        <w:tc>
          <w:tcPr>
            <w:tcW w:w="2296" w:type="pct"/>
            <w:vAlign w:val="bottom"/>
          </w:tcPr>
          <w:p w14:paraId="6F70A4E8" w14:textId="77777777" w:rsidR="00E321F1" w:rsidRDefault="00E321F1" w:rsidP="001A5D4A">
            <w:pPr>
              <w:pStyle w:val="Note-Text"/>
            </w:pPr>
            <w:r>
              <w:t>Experience (gains)/losses</w:t>
            </w:r>
          </w:p>
        </w:tc>
        <w:tc>
          <w:tcPr>
            <w:tcW w:w="271" w:type="pct"/>
          </w:tcPr>
          <w:p w14:paraId="4F7348BF" w14:textId="77777777" w:rsidR="00E321F1" w:rsidRPr="00BC1814" w:rsidRDefault="00E321F1" w:rsidP="001A5D4A">
            <w:pPr>
              <w:pStyle w:val="NotesTable-Notes"/>
            </w:pPr>
          </w:p>
        </w:tc>
        <w:tc>
          <w:tcPr>
            <w:tcW w:w="406" w:type="pct"/>
          </w:tcPr>
          <w:p w14:paraId="14BAB9F4" w14:textId="77777777" w:rsidR="00E321F1" w:rsidRPr="000A11B4" w:rsidRDefault="00E321F1" w:rsidP="001A5D4A">
            <w:pPr>
              <w:pStyle w:val="NotesTable-CellPlain"/>
            </w:pPr>
            <w:r w:rsidRPr="002A72F5">
              <w:t>–</w:t>
            </w:r>
          </w:p>
        </w:tc>
        <w:tc>
          <w:tcPr>
            <w:tcW w:w="406" w:type="pct"/>
          </w:tcPr>
          <w:p w14:paraId="5A7C9510" w14:textId="77777777" w:rsidR="00E321F1" w:rsidRPr="000A11B4" w:rsidRDefault="00E321F1" w:rsidP="001A5D4A">
            <w:pPr>
              <w:pStyle w:val="NotesTable-CellPlain"/>
            </w:pPr>
            <w:r w:rsidRPr="002A72F5">
              <w:t>–</w:t>
            </w:r>
          </w:p>
        </w:tc>
        <w:tc>
          <w:tcPr>
            <w:tcW w:w="406" w:type="pct"/>
          </w:tcPr>
          <w:p w14:paraId="786F7554" w14:textId="77777777" w:rsidR="00E321F1" w:rsidRPr="000A11B4" w:rsidRDefault="00E321F1" w:rsidP="001A5D4A">
            <w:pPr>
              <w:pStyle w:val="NotesTable-CellPlain"/>
            </w:pPr>
            <w:r w:rsidRPr="002A72F5">
              <w:t>–</w:t>
            </w:r>
          </w:p>
        </w:tc>
        <w:tc>
          <w:tcPr>
            <w:tcW w:w="404" w:type="pct"/>
          </w:tcPr>
          <w:p w14:paraId="66F514A5" w14:textId="77777777" w:rsidR="00E321F1" w:rsidRPr="000A11B4" w:rsidRDefault="00E321F1" w:rsidP="001A5D4A">
            <w:pPr>
              <w:pStyle w:val="NotesTable-CellPlain"/>
            </w:pPr>
            <w:r w:rsidRPr="002A72F5">
              <w:t>–</w:t>
            </w:r>
          </w:p>
        </w:tc>
      </w:tr>
      <w:tr w:rsidR="00E321F1" w:rsidRPr="000A11B4" w14:paraId="02946A08" w14:textId="77777777" w:rsidTr="00AA2125">
        <w:trPr>
          <w:cantSplit/>
          <w:trHeight w:val="161"/>
        </w:trPr>
        <w:tc>
          <w:tcPr>
            <w:tcW w:w="811" w:type="pct"/>
            <w:vAlign w:val="bottom"/>
          </w:tcPr>
          <w:p w14:paraId="3FC80ED3" w14:textId="77777777" w:rsidR="00E321F1" w:rsidRDefault="00E321F1" w:rsidP="001A5D4A">
            <w:pPr>
              <w:pStyle w:val="Note-Refs"/>
            </w:pPr>
          </w:p>
        </w:tc>
        <w:tc>
          <w:tcPr>
            <w:tcW w:w="2296" w:type="pct"/>
            <w:vAlign w:val="bottom"/>
          </w:tcPr>
          <w:p w14:paraId="78ED99E1" w14:textId="77777777" w:rsidR="00E321F1" w:rsidRPr="00BC1814" w:rsidRDefault="00E321F1" w:rsidP="001A5D4A">
            <w:pPr>
              <w:pStyle w:val="NotesTable-ItemPlain"/>
            </w:pPr>
          </w:p>
        </w:tc>
        <w:tc>
          <w:tcPr>
            <w:tcW w:w="271" w:type="pct"/>
          </w:tcPr>
          <w:p w14:paraId="4E3535CA" w14:textId="77777777" w:rsidR="00E321F1" w:rsidRPr="00BC1814" w:rsidRDefault="00E321F1" w:rsidP="001A5D4A">
            <w:pPr>
              <w:pStyle w:val="NotesTable-Notes"/>
            </w:pPr>
          </w:p>
        </w:tc>
        <w:tc>
          <w:tcPr>
            <w:tcW w:w="406" w:type="pct"/>
          </w:tcPr>
          <w:p w14:paraId="6A5D532F" w14:textId="77777777" w:rsidR="00E321F1" w:rsidRPr="000A11B4" w:rsidRDefault="00E321F1" w:rsidP="001A5D4A">
            <w:pPr>
              <w:pStyle w:val="NotesTable-CellPlain"/>
            </w:pPr>
            <w:r w:rsidRPr="002A72F5">
              <w:t>–</w:t>
            </w:r>
          </w:p>
        </w:tc>
        <w:tc>
          <w:tcPr>
            <w:tcW w:w="406" w:type="pct"/>
          </w:tcPr>
          <w:p w14:paraId="194D12E2" w14:textId="77777777" w:rsidR="00E321F1" w:rsidRPr="000A11B4" w:rsidRDefault="00E321F1" w:rsidP="001A5D4A">
            <w:pPr>
              <w:pStyle w:val="NotesTable-CellPlain"/>
            </w:pPr>
            <w:r w:rsidRPr="002A72F5">
              <w:t>–</w:t>
            </w:r>
          </w:p>
        </w:tc>
        <w:tc>
          <w:tcPr>
            <w:tcW w:w="406" w:type="pct"/>
          </w:tcPr>
          <w:p w14:paraId="3CDA35A7" w14:textId="77777777" w:rsidR="00E321F1" w:rsidRPr="000A11B4" w:rsidRDefault="00E321F1" w:rsidP="001A5D4A">
            <w:pPr>
              <w:pStyle w:val="NotesTable-CellPlain"/>
            </w:pPr>
            <w:r w:rsidRPr="002A72F5">
              <w:t>–</w:t>
            </w:r>
          </w:p>
        </w:tc>
        <w:tc>
          <w:tcPr>
            <w:tcW w:w="404" w:type="pct"/>
          </w:tcPr>
          <w:p w14:paraId="1A49216F" w14:textId="77777777" w:rsidR="00E321F1" w:rsidRPr="000A11B4" w:rsidRDefault="00E321F1" w:rsidP="001A5D4A">
            <w:pPr>
              <w:pStyle w:val="NotesTable-CellPlain"/>
            </w:pPr>
            <w:r w:rsidRPr="002A72F5">
              <w:t>–</w:t>
            </w:r>
          </w:p>
        </w:tc>
      </w:tr>
      <w:tr w:rsidR="00E321F1" w:rsidRPr="00BC1814" w14:paraId="10DE9AB8" w14:textId="77777777" w:rsidTr="00AA2125">
        <w:trPr>
          <w:cantSplit/>
          <w:trHeight w:val="161"/>
        </w:trPr>
        <w:tc>
          <w:tcPr>
            <w:tcW w:w="811" w:type="pct"/>
            <w:vAlign w:val="bottom"/>
          </w:tcPr>
          <w:p w14:paraId="12B46C0E" w14:textId="77777777" w:rsidR="00E321F1" w:rsidRPr="00213294" w:rsidRDefault="00E321F1" w:rsidP="001A5D4A">
            <w:pPr>
              <w:pStyle w:val="Note-Refs"/>
            </w:pPr>
            <w:r>
              <w:t>AASB119.141e</w:t>
            </w:r>
          </w:p>
        </w:tc>
        <w:tc>
          <w:tcPr>
            <w:tcW w:w="2296" w:type="pct"/>
            <w:vAlign w:val="bottom"/>
          </w:tcPr>
          <w:p w14:paraId="2EA222F1" w14:textId="77777777" w:rsidR="00E321F1" w:rsidRPr="00213294" w:rsidRDefault="00E321F1" w:rsidP="001A5D4A">
            <w:pPr>
              <w:pStyle w:val="NotesTable-ItemPlain"/>
            </w:pPr>
            <w:r w:rsidRPr="00BC1814">
              <w:t>Exchange differences on foreign plans</w:t>
            </w:r>
          </w:p>
        </w:tc>
        <w:tc>
          <w:tcPr>
            <w:tcW w:w="271" w:type="pct"/>
          </w:tcPr>
          <w:p w14:paraId="1D233778" w14:textId="77777777" w:rsidR="00E321F1" w:rsidRPr="00BC1814" w:rsidRDefault="00E321F1" w:rsidP="001A5D4A">
            <w:pPr>
              <w:pStyle w:val="NotesTable-Notes"/>
            </w:pPr>
          </w:p>
        </w:tc>
        <w:tc>
          <w:tcPr>
            <w:tcW w:w="406" w:type="pct"/>
          </w:tcPr>
          <w:p w14:paraId="6B13A7BF" w14:textId="77777777" w:rsidR="00E321F1" w:rsidRPr="00213294" w:rsidRDefault="00E321F1" w:rsidP="001A5D4A">
            <w:pPr>
              <w:pStyle w:val="NotesTable-CellPlain"/>
            </w:pPr>
            <w:r w:rsidRPr="00997224">
              <w:t>–</w:t>
            </w:r>
          </w:p>
        </w:tc>
        <w:tc>
          <w:tcPr>
            <w:tcW w:w="406" w:type="pct"/>
          </w:tcPr>
          <w:p w14:paraId="6C172A38" w14:textId="77777777" w:rsidR="00E321F1" w:rsidRPr="00213294" w:rsidRDefault="00E321F1" w:rsidP="001A5D4A">
            <w:pPr>
              <w:pStyle w:val="NotesTable-CellPlain"/>
            </w:pPr>
            <w:r w:rsidRPr="00997224">
              <w:t>–</w:t>
            </w:r>
          </w:p>
        </w:tc>
        <w:tc>
          <w:tcPr>
            <w:tcW w:w="406" w:type="pct"/>
          </w:tcPr>
          <w:p w14:paraId="4FBB8C78" w14:textId="77777777" w:rsidR="00E321F1" w:rsidRPr="00213294" w:rsidRDefault="00E321F1" w:rsidP="001A5D4A">
            <w:pPr>
              <w:pStyle w:val="NotesTable-CellPlain"/>
            </w:pPr>
            <w:r w:rsidRPr="00997224">
              <w:t>–</w:t>
            </w:r>
          </w:p>
        </w:tc>
        <w:tc>
          <w:tcPr>
            <w:tcW w:w="404" w:type="pct"/>
          </w:tcPr>
          <w:p w14:paraId="6908C79C" w14:textId="77777777" w:rsidR="00E321F1" w:rsidRPr="00213294" w:rsidRDefault="00E321F1" w:rsidP="001A5D4A">
            <w:pPr>
              <w:pStyle w:val="NotesTable-CellPlain"/>
            </w:pPr>
            <w:r w:rsidRPr="00997224">
              <w:t>–</w:t>
            </w:r>
          </w:p>
        </w:tc>
      </w:tr>
      <w:tr w:rsidR="00E321F1" w:rsidRPr="00997224" w14:paraId="078403D7" w14:textId="77777777" w:rsidTr="00AA2125">
        <w:trPr>
          <w:cantSplit/>
          <w:trHeight w:val="161"/>
        </w:trPr>
        <w:tc>
          <w:tcPr>
            <w:tcW w:w="811" w:type="pct"/>
            <w:vAlign w:val="bottom"/>
          </w:tcPr>
          <w:p w14:paraId="46E23FAA" w14:textId="77777777" w:rsidR="00E321F1" w:rsidRDefault="00E321F1" w:rsidP="001A5D4A">
            <w:pPr>
              <w:pStyle w:val="Note-Refs"/>
            </w:pPr>
            <w:r>
              <w:t>AASB119.141f</w:t>
            </w:r>
          </w:p>
        </w:tc>
        <w:tc>
          <w:tcPr>
            <w:tcW w:w="2296" w:type="pct"/>
            <w:vAlign w:val="bottom"/>
          </w:tcPr>
          <w:p w14:paraId="70B126C9" w14:textId="77777777" w:rsidR="00E321F1" w:rsidRPr="00BC1814" w:rsidRDefault="00E321F1" w:rsidP="001A5D4A">
            <w:pPr>
              <w:pStyle w:val="NotesTable-ItemPlain"/>
            </w:pPr>
            <w:r>
              <w:t>Contributions</w:t>
            </w:r>
          </w:p>
        </w:tc>
        <w:tc>
          <w:tcPr>
            <w:tcW w:w="271" w:type="pct"/>
          </w:tcPr>
          <w:p w14:paraId="5729D88A" w14:textId="77777777" w:rsidR="00E321F1" w:rsidRPr="00BC1814" w:rsidRDefault="00E321F1" w:rsidP="001A5D4A">
            <w:pPr>
              <w:pStyle w:val="NotesTable-Notes"/>
            </w:pPr>
          </w:p>
        </w:tc>
        <w:tc>
          <w:tcPr>
            <w:tcW w:w="406" w:type="pct"/>
          </w:tcPr>
          <w:p w14:paraId="7B651925" w14:textId="77777777" w:rsidR="00E321F1" w:rsidRPr="00997224" w:rsidRDefault="00E321F1" w:rsidP="001A5D4A">
            <w:pPr>
              <w:pStyle w:val="NotesTable-CellPlain"/>
            </w:pPr>
          </w:p>
        </w:tc>
        <w:tc>
          <w:tcPr>
            <w:tcW w:w="406" w:type="pct"/>
          </w:tcPr>
          <w:p w14:paraId="708299AC" w14:textId="77777777" w:rsidR="00E321F1" w:rsidRPr="00997224" w:rsidRDefault="00E321F1" w:rsidP="001A5D4A">
            <w:pPr>
              <w:pStyle w:val="NotesTable-CellPlain"/>
            </w:pPr>
          </w:p>
        </w:tc>
        <w:tc>
          <w:tcPr>
            <w:tcW w:w="406" w:type="pct"/>
          </w:tcPr>
          <w:p w14:paraId="5D4E57A4" w14:textId="77777777" w:rsidR="00E321F1" w:rsidRPr="00997224" w:rsidRDefault="00E321F1" w:rsidP="001A5D4A">
            <w:pPr>
              <w:pStyle w:val="NotesTable-CellPlain"/>
            </w:pPr>
          </w:p>
        </w:tc>
        <w:tc>
          <w:tcPr>
            <w:tcW w:w="404" w:type="pct"/>
          </w:tcPr>
          <w:p w14:paraId="218507AC" w14:textId="77777777" w:rsidR="00E321F1" w:rsidRPr="00997224" w:rsidRDefault="00E321F1" w:rsidP="001A5D4A">
            <w:pPr>
              <w:pStyle w:val="NotesTable-CellPlain"/>
            </w:pPr>
          </w:p>
        </w:tc>
      </w:tr>
      <w:tr w:rsidR="00E321F1" w:rsidRPr="00BC1814" w14:paraId="2255FC2C" w14:textId="77777777" w:rsidTr="00AA2125">
        <w:trPr>
          <w:cantSplit/>
          <w:trHeight w:val="161"/>
        </w:trPr>
        <w:tc>
          <w:tcPr>
            <w:tcW w:w="811" w:type="pct"/>
            <w:vAlign w:val="bottom"/>
          </w:tcPr>
          <w:p w14:paraId="6E9404FA" w14:textId="77777777" w:rsidR="00E321F1" w:rsidRDefault="00E321F1" w:rsidP="001A5D4A">
            <w:pPr>
              <w:pStyle w:val="Note-Refs"/>
            </w:pPr>
          </w:p>
        </w:tc>
        <w:tc>
          <w:tcPr>
            <w:tcW w:w="2296" w:type="pct"/>
            <w:vAlign w:val="bottom"/>
          </w:tcPr>
          <w:p w14:paraId="3F8FDBAA" w14:textId="77777777" w:rsidR="00E321F1" w:rsidRPr="00213294" w:rsidRDefault="00E321F1" w:rsidP="001A5D4A">
            <w:pPr>
              <w:pStyle w:val="Note-Text"/>
            </w:pPr>
            <w:r>
              <w:t>Employers</w:t>
            </w:r>
          </w:p>
        </w:tc>
        <w:tc>
          <w:tcPr>
            <w:tcW w:w="271" w:type="pct"/>
          </w:tcPr>
          <w:p w14:paraId="0CEAD15E" w14:textId="77777777" w:rsidR="00E321F1" w:rsidRPr="00BC1814" w:rsidRDefault="00E321F1" w:rsidP="001A5D4A">
            <w:pPr>
              <w:pStyle w:val="NotesTable-Notes"/>
            </w:pPr>
          </w:p>
        </w:tc>
        <w:tc>
          <w:tcPr>
            <w:tcW w:w="406" w:type="pct"/>
          </w:tcPr>
          <w:p w14:paraId="276EB700" w14:textId="77777777" w:rsidR="00E321F1" w:rsidRPr="00213294" w:rsidRDefault="00E321F1" w:rsidP="001A5D4A">
            <w:pPr>
              <w:pStyle w:val="NotesTable-CellPlain"/>
            </w:pPr>
            <w:r w:rsidRPr="00997224">
              <w:t>–</w:t>
            </w:r>
          </w:p>
        </w:tc>
        <w:tc>
          <w:tcPr>
            <w:tcW w:w="406" w:type="pct"/>
          </w:tcPr>
          <w:p w14:paraId="5D6F4926" w14:textId="77777777" w:rsidR="00E321F1" w:rsidRPr="00213294" w:rsidRDefault="00E321F1" w:rsidP="001A5D4A">
            <w:pPr>
              <w:pStyle w:val="NotesTable-CellPlain"/>
            </w:pPr>
            <w:r w:rsidRPr="00997224">
              <w:t>–</w:t>
            </w:r>
          </w:p>
        </w:tc>
        <w:tc>
          <w:tcPr>
            <w:tcW w:w="406" w:type="pct"/>
          </w:tcPr>
          <w:p w14:paraId="115621F5" w14:textId="77777777" w:rsidR="00E321F1" w:rsidRPr="00213294" w:rsidRDefault="00E321F1" w:rsidP="001A5D4A">
            <w:pPr>
              <w:pStyle w:val="NotesTable-CellPlain"/>
            </w:pPr>
            <w:r w:rsidRPr="00997224">
              <w:t>–</w:t>
            </w:r>
          </w:p>
        </w:tc>
        <w:tc>
          <w:tcPr>
            <w:tcW w:w="404" w:type="pct"/>
          </w:tcPr>
          <w:p w14:paraId="30615DBE" w14:textId="77777777" w:rsidR="00E321F1" w:rsidRPr="00213294" w:rsidRDefault="00E321F1" w:rsidP="001A5D4A">
            <w:pPr>
              <w:pStyle w:val="NotesTable-CellPlain"/>
            </w:pPr>
            <w:r w:rsidRPr="00997224">
              <w:t>–</w:t>
            </w:r>
          </w:p>
        </w:tc>
      </w:tr>
      <w:tr w:rsidR="00E321F1" w:rsidRPr="00BC1814" w14:paraId="4D5077D2" w14:textId="77777777" w:rsidTr="00AA2125">
        <w:trPr>
          <w:cantSplit/>
          <w:trHeight w:val="161"/>
        </w:trPr>
        <w:tc>
          <w:tcPr>
            <w:tcW w:w="811" w:type="pct"/>
            <w:vAlign w:val="bottom"/>
          </w:tcPr>
          <w:p w14:paraId="57B7D5A9" w14:textId="77777777" w:rsidR="00E321F1" w:rsidRDefault="00E321F1" w:rsidP="001A5D4A">
            <w:pPr>
              <w:pStyle w:val="Note-Refs"/>
            </w:pPr>
          </w:p>
        </w:tc>
        <w:tc>
          <w:tcPr>
            <w:tcW w:w="2296" w:type="pct"/>
            <w:vAlign w:val="bottom"/>
          </w:tcPr>
          <w:p w14:paraId="428C9EA5" w14:textId="77777777" w:rsidR="00E321F1" w:rsidRPr="00213294" w:rsidRDefault="00E321F1" w:rsidP="001A5D4A">
            <w:pPr>
              <w:pStyle w:val="Note-Text"/>
            </w:pPr>
            <w:r>
              <w:t>Plan participants</w:t>
            </w:r>
          </w:p>
        </w:tc>
        <w:tc>
          <w:tcPr>
            <w:tcW w:w="271" w:type="pct"/>
          </w:tcPr>
          <w:p w14:paraId="27AEE926" w14:textId="77777777" w:rsidR="00E321F1" w:rsidRPr="00BC1814" w:rsidRDefault="00E321F1" w:rsidP="001A5D4A">
            <w:pPr>
              <w:pStyle w:val="NotesTable-Notes"/>
            </w:pPr>
          </w:p>
        </w:tc>
        <w:tc>
          <w:tcPr>
            <w:tcW w:w="406" w:type="pct"/>
          </w:tcPr>
          <w:p w14:paraId="7C331C09" w14:textId="77777777" w:rsidR="00E321F1" w:rsidRPr="00213294" w:rsidRDefault="00E321F1" w:rsidP="001A5D4A">
            <w:pPr>
              <w:pStyle w:val="NotesTable-CellPlain"/>
            </w:pPr>
            <w:r w:rsidRPr="00997224">
              <w:t>–</w:t>
            </w:r>
          </w:p>
        </w:tc>
        <w:tc>
          <w:tcPr>
            <w:tcW w:w="406" w:type="pct"/>
          </w:tcPr>
          <w:p w14:paraId="4FC77F2D" w14:textId="77777777" w:rsidR="00E321F1" w:rsidRPr="00213294" w:rsidRDefault="00E321F1" w:rsidP="001A5D4A">
            <w:pPr>
              <w:pStyle w:val="NotesTable-CellPlain"/>
            </w:pPr>
            <w:r w:rsidRPr="00997224">
              <w:t>–</w:t>
            </w:r>
          </w:p>
        </w:tc>
        <w:tc>
          <w:tcPr>
            <w:tcW w:w="406" w:type="pct"/>
          </w:tcPr>
          <w:p w14:paraId="3366CF91" w14:textId="77777777" w:rsidR="00E321F1" w:rsidRPr="00213294" w:rsidRDefault="00E321F1" w:rsidP="001A5D4A">
            <w:pPr>
              <w:pStyle w:val="NotesTable-CellPlain"/>
            </w:pPr>
            <w:r w:rsidRPr="00997224">
              <w:t>–</w:t>
            </w:r>
          </w:p>
        </w:tc>
        <w:tc>
          <w:tcPr>
            <w:tcW w:w="404" w:type="pct"/>
          </w:tcPr>
          <w:p w14:paraId="0A35CEF0" w14:textId="77777777" w:rsidR="00E321F1" w:rsidRPr="00213294" w:rsidRDefault="00E321F1" w:rsidP="001A5D4A">
            <w:pPr>
              <w:pStyle w:val="NotesTable-CellPlain"/>
            </w:pPr>
            <w:r w:rsidRPr="00997224">
              <w:t>–</w:t>
            </w:r>
          </w:p>
        </w:tc>
      </w:tr>
      <w:tr w:rsidR="00E321F1" w:rsidRPr="00997224" w14:paraId="10833333" w14:textId="77777777" w:rsidTr="00AA2125">
        <w:trPr>
          <w:cantSplit/>
          <w:trHeight w:val="161"/>
        </w:trPr>
        <w:tc>
          <w:tcPr>
            <w:tcW w:w="811" w:type="pct"/>
            <w:vAlign w:val="bottom"/>
          </w:tcPr>
          <w:p w14:paraId="23119AB1" w14:textId="77777777" w:rsidR="00E321F1" w:rsidRDefault="00E321F1" w:rsidP="001A5D4A">
            <w:pPr>
              <w:pStyle w:val="Note-Refs"/>
            </w:pPr>
          </w:p>
        </w:tc>
        <w:tc>
          <w:tcPr>
            <w:tcW w:w="2296" w:type="pct"/>
            <w:vAlign w:val="bottom"/>
          </w:tcPr>
          <w:p w14:paraId="75684540" w14:textId="77777777" w:rsidR="00E321F1" w:rsidRDefault="00E321F1" w:rsidP="001A5D4A">
            <w:pPr>
              <w:pStyle w:val="NotesTable-ItemPlain"/>
            </w:pPr>
          </w:p>
        </w:tc>
        <w:tc>
          <w:tcPr>
            <w:tcW w:w="271" w:type="pct"/>
          </w:tcPr>
          <w:p w14:paraId="3C3596FF" w14:textId="77777777" w:rsidR="00E321F1" w:rsidRPr="00BC1814" w:rsidRDefault="00E321F1" w:rsidP="001A5D4A">
            <w:pPr>
              <w:pStyle w:val="NotesTable-Notes"/>
            </w:pPr>
          </w:p>
        </w:tc>
        <w:tc>
          <w:tcPr>
            <w:tcW w:w="406" w:type="pct"/>
          </w:tcPr>
          <w:p w14:paraId="6EEE79F1" w14:textId="77777777" w:rsidR="00E321F1" w:rsidRPr="00997224" w:rsidRDefault="00E321F1" w:rsidP="001A5D4A">
            <w:pPr>
              <w:pStyle w:val="NotesTable-CellPlain"/>
            </w:pPr>
            <w:r w:rsidRPr="00997224">
              <w:t>–</w:t>
            </w:r>
          </w:p>
        </w:tc>
        <w:tc>
          <w:tcPr>
            <w:tcW w:w="406" w:type="pct"/>
          </w:tcPr>
          <w:p w14:paraId="4DC9136D" w14:textId="77777777" w:rsidR="00E321F1" w:rsidRPr="00997224" w:rsidRDefault="00E321F1" w:rsidP="001A5D4A">
            <w:pPr>
              <w:pStyle w:val="NotesTable-CellPlain"/>
            </w:pPr>
            <w:r w:rsidRPr="00997224">
              <w:t>–</w:t>
            </w:r>
          </w:p>
        </w:tc>
        <w:tc>
          <w:tcPr>
            <w:tcW w:w="406" w:type="pct"/>
          </w:tcPr>
          <w:p w14:paraId="35FB269F" w14:textId="77777777" w:rsidR="00E321F1" w:rsidRPr="00997224" w:rsidRDefault="00E321F1" w:rsidP="001A5D4A">
            <w:pPr>
              <w:pStyle w:val="NotesTable-CellPlain"/>
            </w:pPr>
            <w:r w:rsidRPr="00997224">
              <w:t>–</w:t>
            </w:r>
          </w:p>
        </w:tc>
        <w:tc>
          <w:tcPr>
            <w:tcW w:w="404" w:type="pct"/>
          </w:tcPr>
          <w:p w14:paraId="7F057C6C" w14:textId="77777777" w:rsidR="00E321F1" w:rsidRPr="00997224" w:rsidRDefault="00E321F1" w:rsidP="001A5D4A">
            <w:pPr>
              <w:pStyle w:val="NotesTable-CellPlain"/>
            </w:pPr>
            <w:r w:rsidRPr="00997224">
              <w:t>–</w:t>
            </w:r>
          </w:p>
        </w:tc>
      </w:tr>
      <w:tr w:rsidR="00E321F1" w:rsidRPr="00997224" w14:paraId="17CE951A" w14:textId="77777777" w:rsidTr="00AA2125">
        <w:trPr>
          <w:cantSplit/>
          <w:trHeight w:val="161"/>
        </w:trPr>
        <w:tc>
          <w:tcPr>
            <w:tcW w:w="811" w:type="pct"/>
            <w:vAlign w:val="bottom"/>
          </w:tcPr>
          <w:p w14:paraId="144FD7AA" w14:textId="77777777" w:rsidR="00E321F1" w:rsidRDefault="00E321F1" w:rsidP="001A5D4A">
            <w:pPr>
              <w:pStyle w:val="Note-Refs"/>
            </w:pPr>
            <w:r>
              <w:t>AASB119.141g</w:t>
            </w:r>
          </w:p>
        </w:tc>
        <w:tc>
          <w:tcPr>
            <w:tcW w:w="2296" w:type="pct"/>
            <w:vAlign w:val="bottom"/>
          </w:tcPr>
          <w:p w14:paraId="561147B5" w14:textId="77777777" w:rsidR="00E321F1" w:rsidRPr="00BC1814" w:rsidRDefault="00E321F1" w:rsidP="001A5D4A">
            <w:pPr>
              <w:pStyle w:val="NotesTable-ItemPlain"/>
            </w:pPr>
            <w:r>
              <w:t>Payments from plan</w:t>
            </w:r>
          </w:p>
        </w:tc>
        <w:tc>
          <w:tcPr>
            <w:tcW w:w="271" w:type="pct"/>
          </w:tcPr>
          <w:p w14:paraId="6FF8D85F" w14:textId="77777777" w:rsidR="00E321F1" w:rsidRPr="00BC1814" w:rsidRDefault="00E321F1" w:rsidP="001A5D4A">
            <w:pPr>
              <w:pStyle w:val="NotesTable-Notes"/>
            </w:pPr>
          </w:p>
        </w:tc>
        <w:tc>
          <w:tcPr>
            <w:tcW w:w="406" w:type="pct"/>
          </w:tcPr>
          <w:p w14:paraId="3891AAC0" w14:textId="77777777" w:rsidR="00E321F1" w:rsidRPr="00997224" w:rsidRDefault="00E321F1" w:rsidP="001A5D4A">
            <w:pPr>
              <w:pStyle w:val="NotesTable-CellPlain"/>
            </w:pPr>
          </w:p>
        </w:tc>
        <w:tc>
          <w:tcPr>
            <w:tcW w:w="406" w:type="pct"/>
          </w:tcPr>
          <w:p w14:paraId="4750535A" w14:textId="77777777" w:rsidR="00E321F1" w:rsidRPr="00997224" w:rsidRDefault="00E321F1" w:rsidP="001A5D4A">
            <w:pPr>
              <w:pStyle w:val="NotesTable-CellPlain"/>
            </w:pPr>
          </w:p>
        </w:tc>
        <w:tc>
          <w:tcPr>
            <w:tcW w:w="406" w:type="pct"/>
          </w:tcPr>
          <w:p w14:paraId="6F9A8819" w14:textId="77777777" w:rsidR="00E321F1" w:rsidRPr="00997224" w:rsidRDefault="00E321F1" w:rsidP="001A5D4A">
            <w:pPr>
              <w:pStyle w:val="NotesTable-CellPlain"/>
            </w:pPr>
          </w:p>
        </w:tc>
        <w:tc>
          <w:tcPr>
            <w:tcW w:w="404" w:type="pct"/>
          </w:tcPr>
          <w:p w14:paraId="16641036" w14:textId="77777777" w:rsidR="00E321F1" w:rsidRPr="00997224" w:rsidRDefault="00E321F1" w:rsidP="001A5D4A">
            <w:pPr>
              <w:pStyle w:val="NotesTable-CellPlain"/>
            </w:pPr>
          </w:p>
        </w:tc>
      </w:tr>
      <w:tr w:rsidR="00E321F1" w:rsidRPr="00BC1814" w14:paraId="388D0199" w14:textId="77777777" w:rsidTr="00AA2125">
        <w:trPr>
          <w:cantSplit/>
          <w:trHeight w:val="161"/>
        </w:trPr>
        <w:tc>
          <w:tcPr>
            <w:tcW w:w="811" w:type="pct"/>
            <w:vAlign w:val="bottom"/>
          </w:tcPr>
          <w:p w14:paraId="6B3AC3BC" w14:textId="77777777" w:rsidR="00E321F1" w:rsidRDefault="00E321F1" w:rsidP="001A5D4A">
            <w:pPr>
              <w:pStyle w:val="Note-Refs"/>
            </w:pPr>
          </w:p>
        </w:tc>
        <w:tc>
          <w:tcPr>
            <w:tcW w:w="2296" w:type="pct"/>
            <w:vAlign w:val="bottom"/>
          </w:tcPr>
          <w:p w14:paraId="4873F377" w14:textId="77777777" w:rsidR="00E321F1" w:rsidRPr="00213294" w:rsidRDefault="00E321F1" w:rsidP="001A5D4A">
            <w:pPr>
              <w:pStyle w:val="Note-Text"/>
            </w:pPr>
            <w:r w:rsidRPr="00BC1814">
              <w:t>Benefits paid</w:t>
            </w:r>
          </w:p>
        </w:tc>
        <w:tc>
          <w:tcPr>
            <w:tcW w:w="271" w:type="pct"/>
          </w:tcPr>
          <w:p w14:paraId="234FF2ED" w14:textId="77777777" w:rsidR="00E321F1" w:rsidRPr="00BC1814" w:rsidRDefault="00E321F1" w:rsidP="001A5D4A">
            <w:pPr>
              <w:pStyle w:val="NotesTable-Notes"/>
            </w:pPr>
          </w:p>
        </w:tc>
        <w:tc>
          <w:tcPr>
            <w:tcW w:w="406" w:type="pct"/>
          </w:tcPr>
          <w:p w14:paraId="4D2727A4" w14:textId="77777777" w:rsidR="00E321F1" w:rsidRPr="00213294" w:rsidRDefault="00E321F1" w:rsidP="001A5D4A">
            <w:pPr>
              <w:pStyle w:val="NotesTable-CellPlain"/>
            </w:pPr>
            <w:r w:rsidRPr="00997224">
              <w:t>–</w:t>
            </w:r>
          </w:p>
        </w:tc>
        <w:tc>
          <w:tcPr>
            <w:tcW w:w="406" w:type="pct"/>
          </w:tcPr>
          <w:p w14:paraId="7228AB99" w14:textId="77777777" w:rsidR="00E321F1" w:rsidRPr="00213294" w:rsidRDefault="00E321F1" w:rsidP="001A5D4A">
            <w:pPr>
              <w:pStyle w:val="NotesTable-CellPlain"/>
            </w:pPr>
            <w:r w:rsidRPr="00997224">
              <w:t>–</w:t>
            </w:r>
          </w:p>
        </w:tc>
        <w:tc>
          <w:tcPr>
            <w:tcW w:w="406" w:type="pct"/>
          </w:tcPr>
          <w:p w14:paraId="1D4BF170" w14:textId="77777777" w:rsidR="00E321F1" w:rsidRPr="00213294" w:rsidRDefault="00E321F1" w:rsidP="001A5D4A">
            <w:pPr>
              <w:pStyle w:val="NotesTable-CellPlain"/>
            </w:pPr>
            <w:r w:rsidRPr="00997224">
              <w:t>–</w:t>
            </w:r>
          </w:p>
        </w:tc>
        <w:tc>
          <w:tcPr>
            <w:tcW w:w="404" w:type="pct"/>
          </w:tcPr>
          <w:p w14:paraId="057A1BE6" w14:textId="77777777" w:rsidR="00E321F1" w:rsidRPr="00213294" w:rsidRDefault="00E321F1" w:rsidP="001A5D4A">
            <w:pPr>
              <w:pStyle w:val="NotesTable-CellPlain"/>
            </w:pPr>
            <w:r w:rsidRPr="00997224">
              <w:t>–</w:t>
            </w:r>
          </w:p>
        </w:tc>
      </w:tr>
      <w:tr w:rsidR="00E321F1" w:rsidRPr="00BC1814" w14:paraId="73196D09" w14:textId="77777777" w:rsidTr="00AA2125">
        <w:trPr>
          <w:cantSplit/>
          <w:trHeight w:val="161"/>
        </w:trPr>
        <w:tc>
          <w:tcPr>
            <w:tcW w:w="811" w:type="pct"/>
            <w:vAlign w:val="bottom"/>
          </w:tcPr>
          <w:p w14:paraId="14832985" w14:textId="77777777" w:rsidR="00E321F1" w:rsidRDefault="00E321F1" w:rsidP="001A5D4A">
            <w:pPr>
              <w:pStyle w:val="Note-Refs"/>
            </w:pPr>
          </w:p>
        </w:tc>
        <w:tc>
          <w:tcPr>
            <w:tcW w:w="2296" w:type="pct"/>
            <w:vAlign w:val="bottom"/>
          </w:tcPr>
          <w:p w14:paraId="06DC8C1E" w14:textId="77777777" w:rsidR="00E321F1" w:rsidRPr="00213294" w:rsidRDefault="00E321F1" w:rsidP="001A5D4A">
            <w:pPr>
              <w:pStyle w:val="Note-Text"/>
            </w:pPr>
            <w:r>
              <w:t>Settlements</w:t>
            </w:r>
            <w:r w:rsidRPr="00BC1814" w:rsidDel="00B44390">
              <w:t xml:space="preserve"> </w:t>
            </w:r>
          </w:p>
        </w:tc>
        <w:tc>
          <w:tcPr>
            <w:tcW w:w="271" w:type="pct"/>
          </w:tcPr>
          <w:p w14:paraId="55F8023C" w14:textId="77777777" w:rsidR="00E321F1" w:rsidRPr="00BC1814" w:rsidRDefault="00E321F1" w:rsidP="001A5D4A">
            <w:pPr>
              <w:pStyle w:val="NotesTable-Notes"/>
            </w:pPr>
          </w:p>
        </w:tc>
        <w:tc>
          <w:tcPr>
            <w:tcW w:w="406" w:type="pct"/>
          </w:tcPr>
          <w:p w14:paraId="267A9F80" w14:textId="77777777" w:rsidR="00E321F1" w:rsidRPr="00213294" w:rsidRDefault="00E321F1" w:rsidP="001A5D4A">
            <w:pPr>
              <w:pStyle w:val="NotesTable-CellPlain"/>
            </w:pPr>
            <w:r w:rsidRPr="00997224">
              <w:t>–</w:t>
            </w:r>
          </w:p>
        </w:tc>
        <w:tc>
          <w:tcPr>
            <w:tcW w:w="406" w:type="pct"/>
          </w:tcPr>
          <w:p w14:paraId="4945B3F6" w14:textId="77777777" w:rsidR="00E321F1" w:rsidRPr="00213294" w:rsidRDefault="00E321F1" w:rsidP="001A5D4A">
            <w:pPr>
              <w:pStyle w:val="NotesTable-CellPlain"/>
            </w:pPr>
            <w:r w:rsidRPr="00997224">
              <w:t>–</w:t>
            </w:r>
          </w:p>
        </w:tc>
        <w:tc>
          <w:tcPr>
            <w:tcW w:w="406" w:type="pct"/>
          </w:tcPr>
          <w:p w14:paraId="1215C2A1" w14:textId="77777777" w:rsidR="00E321F1" w:rsidRPr="00213294" w:rsidRDefault="00E321F1" w:rsidP="001A5D4A">
            <w:pPr>
              <w:pStyle w:val="NotesTable-CellPlain"/>
            </w:pPr>
            <w:r w:rsidRPr="00997224">
              <w:t>–</w:t>
            </w:r>
          </w:p>
        </w:tc>
        <w:tc>
          <w:tcPr>
            <w:tcW w:w="404" w:type="pct"/>
          </w:tcPr>
          <w:p w14:paraId="67D8614B" w14:textId="77777777" w:rsidR="00E321F1" w:rsidRPr="00213294" w:rsidRDefault="00E321F1" w:rsidP="001A5D4A">
            <w:pPr>
              <w:pStyle w:val="NotesTable-CellPlain"/>
            </w:pPr>
            <w:r w:rsidRPr="00997224">
              <w:t>–</w:t>
            </w:r>
          </w:p>
        </w:tc>
      </w:tr>
      <w:tr w:rsidR="00E321F1" w:rsidRPr="00BC1814" w14:paraId="33127B0F" w14:textId="77777777" w:rsidTr="00AA2125">
        <w:trPr>
          <w:cantSplit/>
          <w:trHeight w:val="161"/>
        </w:trPr>
        <w:tc>
          <w:tcPr>
            <w:tcW w:w="811" w:type="pct"/>
            <w:vAlign w:val="bottom"/>
          </w:tcPr>
          <w:p w14:paraId="3178D69A" w14:textId="77777777" w:rsidR="00E321F1" w:rsidRDefault="00E321F1" w:rsidP="001A5D4A">
            <w:pPr>
              <w:pStyle w:val="Note-Refs"/>
            </w:pPr>
          </w:p>
        </w:tc>
        <w:tc>
          <w:tcPr>
            <w:tcW w:w="2296" w:type="pct"/>
            <w:vAlign w:val="bottom"/>
          </w:tcPr>
          <w:p w14:paraId="03CD8DD1" w14:textId="77777777" w:rsidR="00E321F1" w:rsidRPr="00BC1814" w:rsidRDefault="00E321F1" w:rsidP="001A5D4A">
            <w:pPr>
              <w:pStyle w:val="NotesTable-ItemPlain"/>
            </w:pPr>
          </w:p>
        </w:tc>
        <w:tc>
          <w:tcPr>
            <w:tcW w:w="271" w:type="pct"/>
          </w:tcPr>
          <w:p w14:paraId="7FC6436B" w14:textId="77777777" w:rsidR="00E321F1" w:rsidRPr="00BC1814" w:rsidRDefault="00E321F1" w:rsidP="001A5D4A">
            <w:pPr>
              <w:pStyle w:val="NotesTable-Notes"/>
            </w:pPr>
          </w:p>
        </w:tc>
        <w:tc>
          <w:tcPr>
            <w:tcW w:w="406" w:type="pct"/>
          </w:tcPr>
          <w:p w14:paraId="74155E6C" w14:textId="77777777" w:rsidR="00E321F1" w:rsidRPr="00213294" w:rsidRDefault="00E321F1" w:rsidP="001A5D4A">
            <w:pPr>
              <w:pStyle w:val="NotesTable-CellPlain"/>
            </w:pPr>
            <w:r w:rsidRPr="00997224">
              <w:t>–</w:t>
            </w:r>
          </w:p>
        </w:tc>
        <w:tc>
          <w:tcPr>
            <w:tcW w:w="406" w:type="pct"/>
          </w:tcPr>
          <w:p w14:paraId="72D44D7E" w14:textId="77777777" w:rsidR="00E321F1" w:rsidRPr="00213294" w:rsidRDefault="00E321F1" w:rsidP="001A5D4A">
            <w:pPr>
              <w:pStyle w:val="NotesTable-CellPlain"/>
            </w:pPr>
            <w:r w:rsidRPr="00997224">
              <w:t>–</w:t>
            </w:r>
          </w:p>
        </w:tc>
        <w:tc>
          <w:tcPr>
            <w:tcW w:w="406" w:type="pct"/>
          </w:tcPr>
          <w:p w14:paraId="55ADC924" w14:textId="77777777" w:rsidR="00E321F1" w:rsidRPr="00213294" w:rsidRDefault="00E321F1" w:rsidP="001A5D4A">
            <w:pPr>
              <w:pStyle w:val="NotesTable-CellPlain"/>
            </w:pPr>
            <w:r w:rsidRPr="00997224">
              <w:t>–</w:t>
            </w:r>
          </w:p>
        </w:tc>
        <w:tc>
          <w:tcPr>
            <w:tcW w:w="404" w:type="pct"/>
          </w:tcPr>
          <w:p w14:paraId="070A595A" w14:textId="77777777" w:rsidR="00E321F1" w:rsidRPr="00213294" w:rsidRDefault="00E321F1" w:rsidP="001A5D4A">
            <w:pPr>
              <w:pStyle w:val="NotesTable-CellPlain"/>
            </w:pPr>
            <w:r w:rsidRPr="00997224">
              <w:t>–</w:t>
            </w:r>
          </w:p>
        </w:tc>
      </w:tr>
      <w:tr w:rsidR="00E321F1" w:rsidRPr="00997224" w14:paraId="745C7663" w14:textId="77777777" w:rsidTr="00AA2125">
        <w:trPr>
          <w:cantSplit/>
          <w:trHeight w:val="161"/>
        </w:trPr>
        <w:tc>
          <w:tcPr>
            <w:tcW w:w="811" w:type="pct"/>
            <w:vAlign w:val="bottom"/>
          </w:tcPr>
          <w:p w14:paraId="6707AC1D" w14:textId="77777777" w:rsidR="00E321F1" w:rsidRDefault="00E321F1" w:rsidP="001A5D4A">
            <w:pPr>
              <w:pStyle w:val="Note-Refs"/>
            </w:pPr>
            <w:r>
              <w:t>AASB119.141h</w:t>
            </w:r>
          </w:p>
        </w:tc>
        <w:tc>
          <w:tcPr>
            <w:tcW w:w="2296" w:type="pct"/>
            <w:vAlign w:val="bottom"/>
          </w:tcPr>
          <w:p w14:paraId="2C62C12F" w14:textId="77777777" w:rsidR="00E321F1" w:rsidRPr="00BC1814" w:rsidRDefault="00E321F1" w:rsidP="001A5D4A">
            <w:pPr>
              <w:pStyle w:val="NotesTable-ItemPlain"/>
            </w:pPr>
            <w:r w:rsidRPr="00BC1814">
              <w:t xml:space="preserve">Assets acquired in a business combination </w:t>
            </w:r>
          </w:p>
        </w:tc>
        <w:tc>
          <w:tcPr>
            <w:tcW w:w="271" w:type="pct"/>
          </w:tcPr>
          <w:p w14:paraId="6399EA16" w14:textId="77777777" w:rsidR="00E321F1" w:rsidRPr="00BC1814" w:rsidRDefault="00E321F1" w:rsidP="001A5D4A">
            <w:pPr>
              <w:pStyle w:val="NotesTable-Notes"/>
            </w:pPr>
            <w:r>
              <w:t>44</w:t>
            </w:r>
          </w:p>
        </w:tc>
        <w:tc>
          <w:tcPr>
            <w:tcW w:w="406" w:type="pct"/>
          </w:tcPr>
          <w:p w14:paraId="22B628CF" w14:textId="77777777" w:rsidR="00E321F1" w:rsidRPr="00997224" w:rsidRDefault="00E321F1" w:rsidP="001A5D4A">
            <w:pPr>
              <w:pStyle w:val="NotesTable-CellPlain"/>
            </w:pPr>
            <w:r w:rsidRPr="00997224">
              <w:t>–</w:t>
            </w:r>
          </w:p>
        </w:tc>
        <w:tc>
          <w:tcPr>
            <w:tcW w:w="406" w:type="pct"/>
          </w:tcPr>
          <w:p w14:paraId="4148465F" w14:textId="77777777" w:rsidR="00E321F1" w:rsidRPr="00997224" w:rsidRDefault="00E321F1" w:rsidP="001A5D4A">
            <w:pPr>
              <w:pStyle w:val="NotesTable-CellPlain"/>
            </w:pPr>
            <w:r w:rsidRPr="00997224">
              <w:t>–</w:t>
            </w:r>
          </w:p>
        </w:tc>
        <w:tc>
          <w:tcPr>
            <w:tcW w:w="406" w:type="pct"/>
          </w:tcPr>
          <w:p w14:paraId="0CC074B2" w14:textId="77777777" w:rsidR="00E321F1" w:rsidRPr="00997224" w:rsidRDefault="00E321F1" w:rsidP="001A5D4A">
            <w:pPr>
              <w:pStyle w:val="NotesTable-CellPlain"/>
            </w:pPr>
            <w:r w:rsidRPr="00997224">
              <w:t>–</w:t>
            </w:r>
          </w:p>
        </w:tc>
        <w:tc>
          <w:tcPr>
            <w:tcW w:w="404" w:type="pct"/>
          </w:tcPr>
          <w:p w14:paraId="4E497D65" w14:textId="77777777" w:rsidR="00E321F1" w:rsidRPr="00997224" w:rsidRDefault="00E321F1" w:rsidP="001A5D4A">
            <w:pPr>
              <w:pStyle w:val="NotesTable-CellPlain"/>
            </w:pPr>
            <w:r w:rsidRPr="00997224">
              <w:t>–</w:t>
            </w:r>
          </w:p>
        </w:tc>
      </w:tr>
      <w:tr w:rsidR="00E321F1" w:rsidRPr="00BC1814" w14:paraId="3AD4179F" w14:textId="77777777" w:rsidTr="00AA2125">
        <w:trPr>
          <w:cantSplit/>
          <w:trHeight w:val="161"/>
        </w:trPr>
        <w:tc>
          <w:tcPr>
            <w:tcW w:w="811" w:type="pct"/>
            <w:vAlign w:val="bottom"/>
          </w:tcPr>
          <w:p w14:paraId="1A36A6FB" w14:textId="77777777" w:rsidR="00E321F1" w:rsidRPr="00213294" w:rsidRDefault="00E321F1" w:rsidP="001A5D4A">
            <w:pPr>
              <w:pStyle w:val="Note-Refs"/>
            </w:pPr>
            <w:r>
              <w:t>AASB119.140a(ii)</w:t>
            </w:r>
          </w:p>
        </w:tc>
        <w:tc>
          <w:tcPr>
            <w:tcW w:w="2296" w:type="pct"/>
            <w:vAlign w:val="bottom"/>
          </w:tcPr>
          <w:p w14:paraId="3DB0BE21" w14:textId="77777777" w:rsidR="00E321F1" w:rsidRPr="00213294" w:rsidRDefault="00E321F1" w:rsidP="001A5D4A">
            <w:pPr>
              <w:pStyle w:val="NotesTable-ItemPlain"/>
            </w:pPr>
            <w:r w:rsidRPr="00BC1814">
              <w:t xml:space="preserve">Closing </w:t>
            </w:r>
            <w:r>
              <w:t>balance</w:t>
            </w:r>
          </w:p>
        </w:tc>
        <w:tc>
          <w:tcPr>
            <w:tcW w:w="271" w:type="pct"/>
          </w:tcPr>
          <w:p w14:paraId="407AD4C0" w14:textId="77777777" w:rsidR="00E321F1" w:rsidRPr="00BC1814" w:rsidRDefault="00E321F1" w:rsidP="001A5D4A">
            <w:pPr>
              <w:pStyle w:val="NotesTable-Notes"/>
            </w:pPr>
          </w:p>
        </w:tc>
        <w:tc>
          <w:tcPr>
            <w:tcW w:w="406" w:type="pct"/>
          </w:tcPr>
          <w:p w14:paraId="43409EA5" w14:textId="77777777" w:rsidR="00E321F1" w:rsidRPr="00213294" w:rsidRDefault="00E321F1" w:rsidP="001A5D4A">
            <w:pPr>
              <w:pStyle w:val="NotesTable-CellPlain"/>
            </w:pPr>
            <w:r w:rsidRPr="00997224">
              <w:t>–</w:t>
            </w:r>
          </w:p>
        </w:tc>
        <w:tc>
          <w:tcPr>
            <w:tcW w:w="406" w:type="pct"/>
          </w:tcPr>
          <w:p w14:paraId="2112F211" w14:textId="77777777" w:rsidR="00E321F1" w:rsidRPr="00213294" w:rsidRDefault="00E321F1" w:rsidP="001A5D4A">
            <w:pPr>
              <w:pStyle w:val="NotesTable-CellPlain"/>
            </w:pPr>
            <w:r w:rsidRPr="00997224">
              <w:t>–</w:t>
            </w:r>
          </w:p>
        </w:tc>
        <w:tc>
          <w:tcPr>
            <w:tcW w:w="406" w:type="pct"/>
          </w:tcPr>
          <w:p w14:paraId="6EDD2CA5" w14:textId="77777777" w:rsidR="00E321F1" w:rsidRPr="00213294" w:rsidRDefault="00E321F1" w:rsidP="001A5D4A">
            <w:pPr>
              <w:pStyle w:val="NotesTable-CellPlain"/>
            </w:pPr>
            <w:r w:rsidRPr="00997224">
              <w:t>–</w:t>
            </w:r>
          </w:p>
        </w:tc>
        <w:tc>
          <w:tcPr>
            <w:tcW w:w="404" w:type="pct"/>
          </w:tcPr>
          <w:p w14:paraId="3606B82B" w14:textId="77777777" w:rsidR="00E321F1" w:rsidRPr="00213294" w:rsidRDefault="00E321F1" w:rsidP="001A5D4A">
            <w:pPr>
              <w:pStyle w:val="NotesTable-CellPlain"/>
            </w:pPr>
            <w:r w:rsidRPr="00997224">
              <w:t>–</w:t>
            </w:r>
          </w:p>
        </w:tc>
      </w:tr>
      <w:tr w:rsidR="00E321F1" w:rsidRPr="00BC1814" w14:paraId="4877107C" w14:textId="77777777" w:rsidTr="00AA2125">
        <w:trPr>
          <w:cantSplit/>
          <w:trHeight w:val="161"/>
        </w:trPr>
        <w:tc>
          <w:tcPr>
            <w:tcW w:w="811" w:type="pct"/>
            <w:vAlign w:val="bottom"/>
          </w:tcPr>
          <w:p w14:paraId="759B0BF8" w14:textId="77777777" w:rsidR="00E321F1" w:rsidRDefault="00E321F1" w:rsidP="001A5D4A">
            <w:pPr>
              <w:pStyle w:val="Note-Refs"/>
            </w:pPr>
          </w:p>
        </w:tc>
        <w:tc>
          <w:tcPr>
            <w:tcW w:w="2296" w:type="pct"/>
            <w:vAlign w:val="bottom"/>
          </w:tcPr>
          <w:p w14:paraId="582727CC" w14:textId="77777777" w:rsidR="00E321F1" w:rsidRDefault="00E321F1" w:rsidP="001A5D4A">
            <w:pPr>
              <w:pStyle w:val="NotesTable-ItemPlain"/>
            </w:pPr>
          </w:p>
        </w:tc>
        <w:tc>
          <w:tcPr>
            <w:tcW w:w="271" w:type="pct"/>
          </w:tcPr>
          <w:p w14:paraId="712E9CF1" w14:textId="77777777" w:rsidR="00E321F1" w:rsidRPr="00BC1814" w:rsidRDefault="00E321F1" w:rsidP="001A5D4A">
            <w:pPr>
              <w:pStyle w:val="NotesTable-Notes"/>
            </w:pPr>
          </w:p>
        </w:tc>
        <w:tc>
          <w:tcPr>
            <w:tcW w:w="406" w:type="pct"/>
            <w:tcBorders>
              <w:top w:val="single" w:sz="4" w:space="0" w:color="auto"/>
            </w:tcBorders>
          </w:tcPr>
          <w:p w14:paraId="2447AF9B" w14:textId="77777777" w:rsidR="00E321F1" w:rsidRPr="00BC1814" w:rsidRDefault="00E321F1" w:rsidP="001A5D4A">
            <w:pPr>
              <w:pStyle w:val="NotesTable-CellPlain"/>
            </w:pPr>
          </w:p>
        </w:tc>
        <w:tc>
          <w:tcPr>
            <w:tcW w:w="406" w:type="pct"/>
            <w:tcBorders>
              <w:top w:val="single" w:sz="4" w:space="0" w:color="auto"/>
            </w:tcBorders>
          </w:tcPr>
          <w:p w14:paraId="6D288FEB" w14:textId="77777777" w:rsidR="00E321F1" w:rsidRPr="00BC1814" w:rsidRDefault="00E321F1" w:rsidP="001A5D4A">
            <w:pPr>
              <w:pStyle w:val="NotesTable-CellPlain"/>
            </w:pPr>
          </w:p>
        </w:tc>
        <w:tc>
          <w:tcPr>
            <w:tcW w:w="406" w:type="pct"/>
            <w:tcBorders>
              <w:top w:val="single" w:sz="4" w:space="0" w:color="auto"/>
            </w:tcBorders>
          </w:tcPr>
          <w:p w14:paraId="48261691" w14:textId="77777777" w:rsidR="00E321F1" w:rsidRPr="00BC1814" w:rsidRDefault="00E321F1" w:rsidP="001A5D4A">
            <w:pPr>
              <w:pStyle w:val="NotesTable-CellPlain"/>
            </w:pPr>
          </w:p>
        </w:tc>
        <w:tc>
          <w:tcPr>
            <w:tcW w:w="404" w:type="pct"/>
            <w:tcBorders>
              <w:top w:val="single" w:sz="4" w:space="0" w:color="auto"/>
            </w:tcBorders>
          </w:tcPr>
          <w:p w14:paraId="783C9D9A" w14:textId="77777777" w:rsidR="00E321F1" w:rsidRPr="00BC1814" w:rsidRDefault="00E321F1" w:rsidP="001A5D4A">
            <w:pPr>
              <w:pStyle w:val="NotesTable-CellPlain"/>
            </w:pPr>
          </w:p>
        </w:tc>
      </w:tr>
    </w:tbl>
    <w:p w14:paraId="600F6D1C" w14:textId="77777777" w:rsidR="008B0AE5" w:rsidRPr="00183B19" w:rsidRDefault="008B0AE5" w:rsidP="001A5D4A">
      <w:r w:rsidRPr="00183B19">
        <w:br w:type="page"/>
      </w:r>
    </w:p>
    <w:tbl>
      <w:tblPr>
        <w:tblW w:w="5000" w:type="pct"/>
        <w:tblCellMar>
          <w:left w:w="0" w:type="dxa"/>
          <w:right w:w="0" w:type="dxa"/>
        </w:tblCellMar>
        <w:tblLook w:val="0000" w:firstRow="0" w:lastRow="0" w:firstColumn="0" w:lastColumn="0" w:noHBand="0" w:noVBand="0"/>
      </w:tblPr>
      <w:tblGrid>
        <w:gridCol w:w="1664"/>
        <w:gridCol w:w="4855"/>
        <w:gridCol w:w="415"/>
        <w:gridCol w:w="833"/>
        <w:gridCol w:w="833"/>
        <w:gridCol w:w="833"/>
        <w:gridCol w:w="827"/>
      </w:tblGrid>
      <w:tr w:rsidR="00AA2125" w:rsidRPr="00BC1814" w14:paraId="46BFBFD9" w14:textId="77777777" w:rsidTr="00AA2125">
        <w:trPr>
          <w:cantSplit/>
          <w:trHeight w:val="161"/>
        </w:trPr>
        <w:tc>
          <w:tcPr>
            <w:tcW w:w="5000" w:type="pct"/>
            <w:gridSpan w:val="7"/>
            <w:vAlign w:val="bottom"/>
          </w:tcPr>
          <w:p w14:paraId="14DEE9E5" w14:textId="5546B28F" w:rsidR="00AA2125" w:rsidRPr="00183B19" w:rsidRDefault="00AA2125" w:rsidP="00AA2125">
            <w:pPr>
              <w:pStyle w:val="TOC3"/>
              <w:ind w:left="0"/>
            </w:pPr>
            <w:r w:rsidRPr="00183B19">
              <w:lastRenderedPageBreak/>
              <w:t>Note 52. Defined Benefit Plans (continued)</w:t>
            </w:r>
          </w:p>
        </w:tc>
      </w:tr>
      <w:tr w:rsidR="008D7091" w:rsidRPr="00BC1814" w14:paraId="564D0827" w14:textId="77777777" w:rsidTr="00AA2125">
        <w:trPr>
          <w:cantSplit/>
          <w:trHeight w:val="161"/>
        </w:trPr>
        <w:tc>
          <w:tcPr>
            <w:tcW w:w="811" w:type="pct"/>
            <w:vAlign w:val="bottom"/>
          </w:tcPr>
          <w:p w14:paraId="4BCCF4DA" w14:textId="77777777" w:rsidR="008D7091" w:rsidRDefault="008D7091" w:rsidP="001A5D4A">
            <w:pPr>
              <w:pStyle w:val="Note-Refs"/>
            </w:pPr>
          </w:p>
        </w:tc>
        <w:tc>
          <w:tcPr>
            <w:tcW w:w="2366" w:type="pct"/>
            <w:vAlign w:val="bottom"/>
          </w:tcPr>
          <w:p w14:paraId="10DA3F5E" w14:textId="77777777" w:rsidR="008D7091" w:rsidRPr="008D7091" w:rsidRDefault="008D7091" w:rsidP="001A5D4A">
            <w:pPr>
              <w:pStyle w:val="NotesTable-ItemPlain"/>
            </w:pPr>
          </w:p>
        </w:tc>
        <w:tc>
          <w:tcPr>
            <w:tcW w:w="202" w:type="pct"/>
          </w:tcPr>
          <w:p w14:paraId="1FBDA968" w14:textId="77777777" w:rsidR="008D7091" w:rsidRPr="00BC1814" w:rsidRDefault="008D7091" w:rsidP="001A5D4A">
            <w:pPr>
              <w:pStyle w:val="NotesTable-Notes"/>
            </w:pPr>
          </w:p>
        </w:tc>
        <w:tc>
          <w:tcPr>
            <w:tcW w:w="406" w:type="pct"/>
          </w:tcPr>
          <w:p w14:paraId="4A18AD5C" w14:textId="77777777" w:rsidR="008D7091" w:rsidRPr="00BC1814" w:rsidRDefault="008D7091" w:rsidP="001A5D4A">
            <w:pPr>
              <w:pStyle w:val="NotesTable-CellPlain"/>
            </w:pPr>
          </w:p>
        </w:tc>
        <w:tc>
          <w:tcPr>
            <w:tcW w:w="406" w:type="pct"/>
          </w:tcPr>
          <w:p w14:paraId="2FBF6D34" w14:textId="77777777" w:rsidR="008D7091" w:rsidRPr="00BC1814" w:rsidRDefault="008D7091" w:rsidP="001A5D4A">
            <w:pPr>
              <w:pStyle w:val="NotesTable-CellPlain"/>
            </w:pPr>
          </w:p>
        </w:tc>
        <w:tc>
          <w:tcPr>
            <w:tcW w:w="406" w:type="pct"/>
          </w:tcPr>
          <w:p w14:paraId="5DCD2201" w14:textId="77777777" w:rsidR="008D7091" w:rsidRPr="00BC1814" w:rsidRDefault="008D7091" w:rsidP="001A5D4A">
            <w:pPr>
              <w:pStyle w:val="NotesTable-CellPlain"/>
            </w:pPr>
          </w:p>
        </w:tc>
        <w:tc>
          <w:tcPr>
            <w:tcW w:w="403" w:type="pct"/>
          </w:tcPr>
          <w:p w14:paraId="219E7075" w14:textId="77777777" w:rsidR="008D7091" w:rsidRPr="00BC1814" w:rsidRDefault="008D7091" w:rsidP="001A5D4A">
            <w:pPr>
              <w:pStyle w:val="NotesTable-CellPlain"/>
            </w:pPr>
          </w:p>
        </w:tc>
      </w:tr>
      <w:tr w:rsidR="0025680C" w:rsidRPr="00BC1814" w14:paraId="0C131BEC" w14:textId="77777777" w:rsidTr="00AA2125">
        <w:trPr>
          <w:cantSplit/>
          <w:trHeight w:val="161"/>
        </w:trPr>
        <w:tc>
          <w:tcPr>
            <w:tcW w:w="811" w:type="pct"/>
            <w:vAlign w:val="bottom"/>
          </w:tcPr>
          <w:p w14:paraId="65BE3F36" w14:textId="1F7609C2" w:rsidR="0025680C" w:rsidRDefault="00455C03" w:rsidP="001A5D4A">
            <w:pPr>
              <w:pStyle w:val="Note-Refs"/>
            </w:pPr>
            <w:r>
              <w:t>EDUCATION</w:t>
            </w:r>
          </w:p>
        </w:tc>
        <w:tc>
          <w:tcPr>
            <w:tcW w:w="2366" w:type="pct"/>
            <w:vAlign w:val="bottom"/>
          </w:tcPr>
          <w:p w14:paraId="4E8BD67B" w14:textId="3E7B8C97" w:rsidR="0025680C" w:rsidRPr="0074467D" w:rsidRDefault="0025680C" w:rsidP="001A5D4A">
            <w:pPr>
              <w:pStyle w:val="Note-TextHeader"/>
            </w:pPr>
            <w:r w:rsidRPr="0074467D">
              <w:t>e) Amounts recognised in other statements</w:t>
            </w:r>
          </w:p>
        </w:tc>
        <w:tc>
          <w:tcPr>
            <w:tcW w:w="202" w:type="pct"/>
          </w:tcPr>
          <w:p w14:paraId="65AFFAAF" w14:textId="77777777" w:rsidR="0025680C" w:rsidRPr="00BC1814" w:rsidRDefault="0025680C" w:rsidP="001A5D4A">
            <w:pPr>
              <w:pStyle w:val="NotesTable-Notes"/>
            </w:pPr>
          </w:p>
        </w:tc>
        <w:tc>
          <w:tcPr>
            <w:tcW w:w="406" w:type="pct"/>
          </w:tcPr>
          <w:p w14:paraId="2B30E8C9" w14:textId="1EE6E05E" w:rsidR="0025680C" w:rsidRPr="00755668" w:rsidRDefault="0025680C" w:rsidP="001A5D4A">
            <w:pPr>
              <w:pStyle w:val="NotesTable-CellPlain"/>
            </w:pPr>
            <w:r w:rsidRPr="00BC1814">
              <w:t>$’000</w:t>
            </w:r>
          </w:p>
        </w:tc>
        <w:tc>
          <w:tcPr>
            <w:tcW w:w="406" w:type="pct"/>
          </w:tcPr>
          <w:p w14:paraId="0E5F3F5D" w14:textId="1A3A3026" w:rsidR="0025680C" w:rsidRPr="00755668" w:rsidRDefault="0025680C" w:rsidP="001A5D4A">
            <w:pPr>
              <w:pStyle w:val="NotesTable-CellPlain"/>
            </w:pPr>
            <w:r w:rsidRPr="00BC1814">
              <w:t>$’000</w:t>
            </w:r>
          </w:p>
        </w:tc>
        <w:tc>
          <w:tcPr>
            <w:tcW w:w="406" w:type="pct"/>
          </w:tcPr>
          <w:p w14:paraId="770E8C2D" w14:textId="4555D10C" w:rsidR="0025680C" w:rsidRPr="00755668" w:rsidRDefault="0025680C" w:rsidP="001A5D4A">
            <w:pPr>
              <w:pStyle w:val="NotesTable-CellPlain"/>
            </w:pPr>
            <w:r w:rsidRPr="00BC1814">
              <w:t>$’000</w:t>
            </w:r>
          </w:p>
        </w:tc>
        <w:tc>
          <w:tcPr>
            <w:tcW w:w="403" w:type="pct"/>
          </w:tcPr>
          <w:p w14:paraId="04249FCD" w14:textId="08419424" w:rsidR="0025680C" w:rsidRPr="00755668" w:rsidRDefault="0025680C" w:rsidP="001A5D4A">
            <w:pPr>
              <w:pStyle w:val="NotesTable-CellPlain"/>
            </w:pPr>
            <w:r w:rsidRPr="00BC1814">
              <w:t>$’000</w:t>
            </w:r>
          </w:p>
        </w:tc>
      </w:tr>
      <w:tr w:rsidR="0025680C" w:rsidRPr="00BC1814" w14:paraId="5F68EB85" w14:textId="77777777" w:rsidTr="00AA2125">
        <w:trPr>
          <w:cantSplit/>
          <w:trHeight w:val="161"/>
        </w:trPr>
        <w:tc>
          <w:tcPr>
            <w:tcW w:w="811" w:type="pct"/>
            <w:vAlign w:val="bottom"/>
          </w:tcPr>
          <w:p w14:paraId="4907529A" w14:textId="77777777" w:rsidR="0025680C" w:rsidRDefault="0025680C" w:rsidP="001A5D4A">
            <w:pPr>
              <w:pStyle w:val="Note-Refs"/>
            </w:pPr>
          </w:p>
        </w:tc>
        <w:tc>
          <w:tcPr>
            <w:tcW w:w="2366" w:type="pct"/>
            <w:vAlign w:val="bottom"/>
          </w:tcPr>
          <w:p w14:paraId="38F8A893" w14:textId="77777777" w:rsidR="0025680C" w:rsidRDefault="0025680C" w:rsidP="001A5D4A">
            <w:pPr>
              <w:pStyle w:val="NotesTable-ItemPlain"/>
            </w:pPr>
          </w:p>
        </w:tc>
        <w:tc>
          <w:tcPr>
            <w:tcW w:w="202" w:type="pct"/>
          </w:tcPr>
          <w:p w14:paraId="3667E5F2" w14:textId="77777777" w:rsidR="0025680C" w:rsidRPr="00BC1814" w:rsidRDefault="0025680C" w:rsidP="001A5D4A">
            <w:pPr>
              <w:pStyle w:val="NotesTable-Notes"/>
            </w:pPr>
          </w:p>
        </w:tc>
        <w:tc>
          <w:tcPr>
            <w:tcW w:w="406" w:type="pct"/>
            <w:vAlign w:val="bottom"/>
          </w:tcPr>
          <w:p w14:paraId="4AED46E3" w14:textId="56DCCB9E" w:rsidR="0025680C" w:rsidRPr="00755668" w:rsidRDefault="0025680C" w:rsidP="001A5D4A">
            <w:pPr>
              <w:pStyle w:val="NotesTable-CellPlain"/>
            </w:pPr>
            <w:r w:rsidRPr="00BC1814">
              <w:t>Fund 1</w:t>
            </w:r>
          </w:p>
        </w:tc>
        <w:tc>
          <w:tcPr>
            <w:tcW w:w="406" w:type="pct"/>
            <w:vAlign w:val="bottom"/>
          </w:tcPr>
          <w:p w14:paraId="0BC5415E" w14:textId="6F7C627C" w:rsidR="0025680C" w:rsidRPr="00755668" w:rsidRDefault="0025680C" w:rsidP="001A5D4A">
            <w:pPr>
              <w:pStyle w:val="NotesTable-CellPlain"/>
            </w:pPr>
            <w:r w:rsidRPr="00BC1814">
              <w:t>Fund 2</w:t>
            </w:r>
          </w:p>
        </w:tc>
        <w:tc>
          <w:tcPr>
            <w:tcW w:w="406" w:type="pct"/>
            <w:vAlign w:val="bottom"/>
          </w:tcPr>
          <w:p w14:paraId="296970E4" w14:textId="11DB1314" w:rsidR="0025680C" w:rsidRPr="00755668" w:rsidRDefault="0025680C" w:rsidP="001A5D4A">
            <w:pPr>
              <w:pStyle w:val="NotesTable-CellPlain"/>
            </w:pPr>
            <w:r w:rsidRPr="00BC1814">
              <w:t>Fund 3</w:t>
            </w:r>
          </w:p>
        </w:tc>
        <w:tc>
          <w:tcPr>
            <w:tcW w:w="403" w:type="pct"/>
            <w:vAlign w:val="bottom"/>
          </w:tcPr>
          <w:p w14:paraId="4D1CA814" w14:textId="1C77ACA0" w:rsidR="0025680C" w:rsidRPr="00755668" w:rsidRDefault="0025680C" w:rsidP="001A5D4A">
            <w:pPr>
              <w:pStyle w:val="NotesTable-CellPlain"/>
            </w:pPr>
            <w:r w:rsidRPr="00BC1814">
              <w:t>Total</w:t>
            </w:r>
          </w:p>
        </w:tc>
      </w:tr>
      <w:tr w:rsidR="0025680C" w:rsidRPr="00BC1814" w14:paraId="17A1D40A" w14:textId="77777777" w:rsidTr="00AA2125">
        <w:trPr>
          <w:cantSplit/>
          <w:trHeight w:val="161"/>
        </w:trPr>
        <w:tc>
          <w:tcPr>
            <w:tcW w:w="811" w:type="pct"/>
            <w:vAlign w:val="bottom"/>
          </w:tcPr>
          <w:p w14:paraId="2EC2E461" w14:textId="77777777" w:rsidR="0025680C" w:rsidRDefault="0025680C" w:rsidP="001A5D4A">
            <w:pPr>
              <w:pStyle w:val="Note-Refs"/>
            </w:pPr>
          </w:p>
        </w:tc>
        <w:tc>
          <w:tcPr>
            <w:tcW w:w="2366" w:type="pct"/>
            <w:vAlign w:val="bottom"/>
          </w:tcPr>
          <w:p w14:paraId="05C02CD1" w14:textId="60CB7BC2" w:rsidR="0025680C" w:rsidRPr="0074467D" w:rsidRDefault="00397F70" w:rsidP="001A5D4A">
            <w:pPr>
              <w:pStyle w:val="Note-TextHeader"/>
            </w:pPr>
            <w:r w:rsidRPr="0074467D">
              <w:t xml:space="preserve">Amounts recognised in the Income Statement </w:t>
            </w:r>
            <w:r w:rsidR="0020055F">
              <w:t>-</w:t>
            </w:r>
            <w:r w:rsidRPr="0074467D">
              <w:t xml:space="preserve"> </w:t>
            </w:r>
            <w:r w:rsidR="006864EC">
              <w:t>2014</w:t>
            </w:r>
          </w:p>
        </w:tc>
        <w:tc>
          <w:tcPr>
            <w:tcW w:w="202" w:type="pct"/>
          </w:tcPr>
          <w:p w14:paraId="3883FDA8" w14:textId="77777777" w:rsidR="0025680C" w:rsidRPr="00BC1814" w:rsidRDefault="0025680C" w:rsidP="001A5D4A">
            <w:pPr>
              <w:pStyle w:val="Note-TextHeader"/>
            </w:pPr>
          </w:p>
        </w:tc>
        <w:tc>
          <w:tcPr>
            <w:tcW w:w="406" w:type="pct"/>
          </w:tcPr>
          <w:p w14:paraId="3AA6E48F" w14:textId="77777777" w:rsidR="0025680C" w:rsidRPr="00755668" w:rsidRDefault="0025680C" w:rsidP="001A5D4A">
            <w:pPr>
              <w:pStyle w:val="NotesTable-CellPlain"/>
            </w:pPr>
          </w:p>
        </w:tc>
        <w:tc>
          <w:tcPr>
            <w:tcW w:w="406" w:type="pct"/>
          </w:tcPr>
          <w:p w14:paraId="2F9B0337" w14:textId="77777777" w:rsidR="0025680C" w:rsidRPr="00755668" w:rsidRDefault="0025680C" w:rsidP="001A5D4A">
            <w:pPr>
              <w:pStyle w:val="NotesTable-CellPlain"/>
            </w:pPr>
          </w:p>
        </w:tc>
        <w:tc>
          <w:tcPr>
            <w:tcW w:w="406" w:type="pct"/>
          </w:tcPr>
          <w:p w14:paraId="68D71079" w14:textId="77777777" w:rsidR="0025680C" w:rsidRPr="00755668" w:rsidRDefault="0025680C" w:rsidP="001A5D4A">
            <w:pPr>
              <w:pStyle w:val="NotesTable-CellPlain"/>
            </w:pPr>
          </w:p>
        </w:tc>
        <w:tc>
          <w:tcPr>
            <w:tcW w:w="403" w:type="pct"/>
          </w:tcPr>
          <w:p w14:paraId="1D9FD457" w14:textId="77777777" w:rsidR="0025680C" w:rsidRPr="00755668" w:rsidRDefault="0025680C" w:rsidP="001A5D4A">
            <w:pPr>
              <w:pStyle w:val="NotesTable-CellPlain"/>
            </w:pPr>
          </w:p>
        </w:tc>
      </w:tr>
      <w:tr w:rsidR="00397F70" w:rsidRPr="00BC1814" w14:paraId="7CCDD4CE" w14:textId="77777777" w:rsidTr="00261A68">
        <w:trPr>
          <w:cantSplit/>
          <w:trHeight w:val="161"/>
        </w:trPr>
        <w:tc>
          <w:tcPr>
            <w:tcW w:w="811" w:type="pct"/>
            <w:vAlign w:val="bottom"/>
          </w:tcPr>
          <w:p w14:paraId="04CB057C" w14:textId="77777777" w:rsidR="00397F70" w:rsidRDefault="00397F70" w:rsidP="001A5D4A">
            <w:pPr>
              <w:pStyle w:val="Note-Refs"/>
            </w:pPr>
          </w:p>
        </w:tc>
        <w:tc>
          <w:tcPr>
            <w:tcW w:w="4189" w:type="pct"/>
            <w:gridSpan w:val="6"/>
          </w:tcPr>
          <w:p w14:paraId="251DA19D" w14:textId="075000CE" w:rsidR="00397F70" w:rsidRPr="00755668" w:rsidRDefault="00397F70" w:rsidP="001A5D4A">
            <w:pPr>
              <w:pStyle w:val="NotesTable-ItemPlain"/>
            </w:pPr>
            <w:r>
              <w:t xml:space="preserve">The amounts recognised in the income statement are restricted to the X scheme and pension in accordance with note 1(r). The amounts are included in </w:t>
            </w:r>
            <w:r w:rsidR="00A85B38">
              <w:t>the Income Statement.</w:t>
            </w:r>
          </w:p>
        </w:tc>
      </w:tr>
      <w:tr w:rsidR="00A85B38" w:rsidRPr="00BC1814" w14:paraId="2A53C0FC" w14:textId="77777777" w:rsidTr="00AA2125">
        <w:trPr>
          <w:cantSplit/>
          <w:trHeight w:val="161"/>
        </w:trPr>
        <w:tc>
          <w:tcPr>
            <w:tcW w:w="811" w:type="pct"/>
            <w:vAlign w:val="bottom"/>
          </w:tcPr>
          <w:p w14:paraId="212AB3D3" w14:textId="77777777" w:rsidR="00A85B38" w:rsidRDefault="00A85B38" w:rsidP="001A5D4A">
            <w:pPr>
              <w:pStyle w:val="Note-Refs"/>
            </w:pPr>
          </w:p>
        </w:tc>
        <w:tc>
          <w:tcPr>
            <w:tcW w:w="2366" w:type="pct"/>
            <w:vAlign w:val="bottom"/>
          </w:tcPr>
          <w:p w14:paraId="7E41729A" w14:textId="7D255083" w:rsidR="00A85B38" w:rsidRDefault="00A85B38" w:rsidP="001A5D4A">
            <w:pPr>
              <w:pStyle w:val="NotesTable-ItemPlain"/>
            </w:pPr>
            <w:r>
              <w:t>Current service cost</w:t>
            </w:r>
          </w:p>
        </w:tc>
        <w:tc>
          <w:tcPr>
            <w:tcW w:w="202" w:type="pct"/>
          </w:tcPr>
          <w:p w14:paraId="2FD66CB1" w14:textId="77777777" w:rsidR="00A85B38" w:rsidRPr="00BC1814" w:rsidRDefault="00A85B38" w:rsidP="001A5D4A">
            <w:pPr>
              <w:pStyle w:val="NotesTable-Notes"/>
            </w:pPr>
          </w:p>
        </w:tc>
        <w:tc>
          <w:tcPr>
            <w:tcW w:w="406" w:type="pct"/>
            <w:vAlign w:val="bottom"/>
          </w:tcPr>
          <w:p w14:paraId="5014879C" w14:textId="233B9DED" w:rsidR="00A85B38" w:rsidRPr="00755668" w:rsidRDefault="00A85B38" w:rsidP="001A5D4A">
            <w:pPr>
              <w:pStyle w:val="NotesTable-CellPlain"/>
            </w:pPr>
            <w:r w:rsidRPr="002A72F5">
              <w:t>–</w:t>
            </w:r>
          </w:p>
        </w:tc>
        <w:tc>
          <w:tcPr>
            <w:tcW w:w="406" w:type="pct"/>
            <w:vAlign w:val="bottom"/>
          </w:tcPr>
          <w:p w14:paraId="3EA34630" w14:textId="412664B0" w:rsidR="00A85B38" w:rsidRPr="00755668" w:rsidRDefault="00A85B38" w:rsidP="001A5D4A">
            <w:pPr>
              <w:pStyle w:val="NotesTable-CellPlain"/>
            </w:pPr>
            <w:r w:rsidRPr="002A72F5">
              <w:t>–</w:t>
            </w:r>
          </w:p>
        </w:tc>
        <w:tc>
          <w:tcPr>
            <w:tcW w:w="406" w:type="pct"/>
            <w:vAlign w:val="bottom"/>
          </w:tcPr>
          <w:p w14:paraId="18C8631A" w14:textId="78F19ABC" w:rsidR="00A85B38" w:rsidRPr="00755668" w:rsidRDefault="00A85B38" w:rsidP="001A5D4A">
            <w:pPr>
              <w:pStyle w:val="NotesTable-CellPlain"/>
            </w:pPr>
            <w:r w:rsidRPr="002A72F5">
              <w:t>–</w:t>
            </w:r>
          </w:p>
        </w:tc>
        <w:tc>
          <w:tcPr>
            <w:tcW w:w="403" w:type="pct"/>
            <w:vAlign w:val="bottom"/>
          </w:tcPr>
          <w:p w14:paraId="5A8E90BE" w14:textId="67CA2697" w:rsidR="00A85B38" w:rsidRPr="00755668" w:rsidRDefault="00A85B38" w:rsidP="001A5D4A">
            <w:pPr>
              <w:pStyle w:val="NotesTable-CellPlain"/>
            </w:pPr>
            <w:r w:rsidRPr="002A72F5">
              <w:t>–</w:t>
            </w:r>
          </w:p>
        </w:tc>
      </w:tr>
      <w:tr w:rsidR="002F7B63" w:rsidRPr="00BC1814" w14:paraId="2AE5DC78" w14:textId="77777777" w:rsidTr="00AA2125">
        <w:trPr>
          <w:cantSplit/>
          <w:trHeight w:val="161"/>
        </w:trPr>
        <w:tc>
          <w:tcPr>
            <w:tcW w:w="811" w:type="pct"/>
            <w:vAlign w:val="bottom"/>
          </w:tcPr>
          <w:p w14:paraId="508CB61E" w14:textId="77777777" w:rsidR="002F7B63" w:rsidRDefault="002F7B63" w:rsidP="001A5D4A">
            <w:pPr>
              <w:pStyle w:val="Note-Refs"/>
            </w:pPr>
          </w:p>
        </w:tc>
        <w:tc>
          <w:tcPr>
            <w:tcW w:w="2366" w:type="pct"/>
            <w:vAlign w:val="bottom"/>
          </w:tcPr>
          <w:p w14:paraId="41336CEC" w14:textId="4F47C0FC" w:rsidR="002F7B63" w:rsidRDefault="002F7B63" w:rsidP="001A5D4A">
            <w:pPr>
              <w:pStyle w:val="NotesTable-ItemPlain"/>
            </w:pPr>
            <w:r>
              <w:t>Past service cost</w:t>
            </w:r>
          </w:p>
        </w:tc>
        <w:tc>
          <w:tcPr>
            <w:tcW w:w="202" w:type="pct"/>
          </w:tcPr>
          <w:p w14:paraId="6CE67345" w14:textId="77777777" w:rsidR="002F7B63" w:rsidRPr="00BC1814" w:rsidRDefault="002F7B63" w:rsidP="001A5D4A">
            <w:pPr>
              <w:pStyle w:val="NotesTable-Notes"/>
            </w:pPr>
          </w:p>
        </w:tc>
        <w:tc>
          <w:tcPr>
            <w:tcW w:w="406" w:type="pct"/>
            <w:vAlign w:val="bottom"/>
          </w:tcPr>
          <w:p w14:paraId="5FE12097" w14:textId="4B4DB290" w:rsidR="002F7B63" w:rsidRPr="002A72F5" w:rsidRDefault="002F7B63" w:rsidP="001A5D4A">
            <w:pPr>
              <w:pStyle w:val="NotesTable-CellPlain"/>
            </w:pPr>
            <w:r w:rsidRPr="002A72F5">
              <w:t>–</w:t>
            </w:r>
          </w:p>
        </w:tc>
        <w:tc>
          <w:tcPr>
            <w:tcW w:w="406" w:type="pct"/>
            <w:vAlign w:val="bottom"/>
          </w:tcPr>
          <w:p w14:paraId="5AAC2ABA" w14:textId="7EC81D78" w:rsidR="002F7B63" w:rsidRPr="002A72F5" w:rsidRDefault="002F7B63" w:rsidP="001A5D4A">
            <w:pPr>
              <w:pStyle w:val="NotesTable-CellPlain"/>
            </w:pPr>
            <w:r w:rsidRPr="002A72F5">
              <w:t>–</w:t>
            </w:r>
          </w:p>
        </w:tc>
        <w:tc>
          <w:tcPr>
            <w:tcW w:w="406" w:type="pct"/>
            <w:vAlign w:val="bottom"/>
          </w:tcPr>
          <w:p w14:paraId="19F014AA" w14:textId="5E1F78A8" w:rsidR="002F7B63" w:rsidRPr="002A72F5" w:rsidRDefault="002F7B63" w:rsidP="001A5D4A">
            <w:pPr>
              <w:pStyle w:val="NotesTable-CellPlain"/>
            </w:pPr>
            <w:r w:rsidRPr="002A72F5">
              <w:t>–</w:t>
            </w:r>
          </w:p>
        </w:tc>
        <w:tc>
          <w:tcPr>
            <w:tcW w:w="403" w:type="pct"/>
            <w:vAlign w:val="bottom"/>
          </w:tcPr>
          <w:p w14:paraId="2A55713C" w14:textId="7864ACCE" w:rsidR="002F7B63" w:rsidRPr="002A72F5" w:rsidRDefault="002F7B63" w:rsidP="001A5D4A">
            <w:pPr>
              <w:pStyle w:val="NotesTable-CellPlain"/>
            </w:pPr>
            <w:r w:rsidRPr="002A72F5">
              <w:t>–</w:t>
            </w:r>
          </w:p>
        </w:tc>
      </w:tr>
      <w:tr w:rsidR="00A85B38" w:rsidRPr="00BC1814" w14:paraId="171363DE" w14:textId="77777777" w:rsidTr="00AA2125">
        <w:trPr>
          <w:cantSplit/>
          <w:trHeight w:val="161"/>
        </w:trPr>
        <w:tc>
          <w:tcPr>
            <w:tcW w:w="811" w:type="pct"/>
            <w:vAlign w:val="bottom"/>
          </w:tcPr>
          <w:p w14:paraId="41C76403" w14:textId="77777777" w:rsidR="00A85B38" w:rsidRDefault="00A85B38" w:rsidP="001A5D4A">
            <w:pPr>
              <w:pStyle w:val="Note-Refs"/>
            </w:pPr>
          </w:p>
        </w:tc>
        <w:tc>
          <w:tcPr>
            <w:tcW w:w="2366" w:type="pct"/>
            <w:vAlign w:val="bottom"/>
          </w:tcPr>
          <w:p w14:paraId="19549398" w14:textId="1B8EB517" w:rsidR="00A85B38" w:rsidRDefault="00A85B38" w:rsidP="001A5D4A">
            <w:pPr>
              <w:pStyle w:val="NotesTable-ItemPlain"/>
            </w:pPr>
            <w:r>
              <w:t>Interest expense</w:t>
            </w:r>
          </w:p>
        </w:tc>
        <w:tc>
          <w:tcPr>
            <w:tcW w:w="202" w:type="pct"/>
          </w:tcPr>
          <w:p w14:paraId="5CAEF327" w14:textId="77777777" w:rsidR="00A85B38" w:rsidRPr="00BC1814" w:rsidRDefault="00A85B38" w:rsidP="001A5D4A">
            <w:pPr>
              <w:pStyle w:val="NotesTable-Notes"/>
            </w:pPr>
          </w:p>
        </w:tc>
        <w:tc>
          <w:tcPr>
            <w:tcW w:w="406" w:type="pct"/>
            <w:vAlign w:val="bottom"/>
          </w:tcPr>
          <w:p w14:paraId="3EB2FD34" w14:textId="51375847" w:rsidR="00A85B38" w:rsidRPr="00755668" w:rsidRDefault="00A85B38" w:rsidP="001A5D4A">
            <w:pPr>
              <w:pStyle w:val="NotesTable-CellPlain"/>
            </w:pPr>
            <w:r w:rsidRPr="002A72F5">
              <w:t>–</w:t>
            </w:r>
          </w:p>
        </w:tc>
        <w:tc>
          <w:tcPr>
            <w:tcW w:w="406" w:type="pct"/>
            <w:vAlign w:val="bottom"/>
          </w:tcPr>
          <w:p w14:paraId="73A88C27" w14:textId="53428B6F" w:rsidR="00A85B38" w:rsidRPr="00755668" w:rsidRDefault="00A85B38" w:rsidP="001A5D4A">
            <w:pPr>
              <w:pStyle w:val="NotesTable-CellPlain"/>
            </w:pPr>
            <w:r w:rsidRPr="002A72F5">
              <w:t>–</w:t>
            </w:r>
          </w:p>
        </w:tc>
        <w:tc>
          <w:tcPr>
            <w:tcW w:w="406" w:type="pct"/>
            <w:vAlign w:val="bottom"/>
          </w:tcPr>
          <w:p w14:paraId="2415B353" w14:textId="3AEC13E4" w:rsidR="00A85B38" w:rsidRPr="00755668" w:rsidRDefault="00A85B38" w:rsidP="001A5D4A">
            <w:pPr>
              <w:pStyle w:val="NotesTable-CellPlain"/>
            </w:pPr>
            <w:r w:rsidRPr="002A72F5">
              <w:t>–</w:t>
            </w:r>
          </w:p>
        </w:tc>
        <w:tc>
          <w:tcPr>
            <w:tcW w:w="403" w:type="pct"/>
            <w:vAlign w:val="bottom"/>
          </w:tcPr>
          <w:p w14:paraId="6F8D3411" w14:textId="0DC3E141" w:rsidR="00A85B38" w:rsidRPr="00755668" w:rsidRDefault="00A85B38" w:rsidP="001A5D4A">
            <w:pPr>
              <w:pStyle w:val="NotesTable-CellPlain"/>
            </w:pPr>
            <w:r w:rsidRPr="002A72F5">
              <w:t>–</w:t>
            </w:r>
          </w:p>
        </w:tc>
      </w:tr>
      <w:tr w:rsidR="00A85B38" w:rsidRPr="00BC1814" w14:paraId="134706AB" w14:textId="77777777" w:rsidTr="00AA2125">
        <w:trPr>
          <w:cantSplit/>
          <w:trHeight w:val="161"/>
        </w:trPr>
        <w:tc>
          <w:tcPr>
            <w:tcW w:w="811" w:type="pct"/>
            <w:vAlign w:val="bottom"/>
          </w:tcPr>
          <w:p w14:paraId="44356131" w14:textId="77777777" w:rsidR="00A85B38" w:rsidRDefault="00A85B38" w:rsidP="001A5D4A">
            <w:pPr>
              <w:pStyle w:val="Note-Refs"/>
            </w:pPr>
          </w:p>
        </w:tc>
        <w:tc>
          <w:tcPr>
            <w:tcW w:w="2366" w:type="pct"/>
            <w:vAlign w:val="bottom"/>
          </w:tcPr>
          <w:p w14:paraId="4EDE68A5" w14:textId="4CC604CD" w:rsidR="00A85B38" w:rsidRDefault="00A85B38" w:rsidP="001A5D4A">
            <w:pPr>
              <w:pStyle w:val="NotesTable-ItemPlain"/>
            </w:pPr>
            <w:r>
              <w:t>Interest income</w:t>
            </w:r>
          </w:p>
        </w:tc>
        <w:tc>
          <w:tcPr>
            <w:tcW w:w="202" w:type="pct"/>
          </w:tcPr>
          <w:p w14:paraId="4561710F" w14:textId="77777777" w:rsidR="00A85B38" w:rsidRPr="00BC1814" w:rsidRDefault="00A85B38" w:rsidP="001A5D4A">
            <w:pPr>
              <w:pStyle w:val="NotesTable-Notes"/>
            </w:pPr>
          </w:p>
        </w:tc>
        <w:tc>
          <w:tcPr>
            <w:tcW w:w="406" w:type="pct"/>
            <w:tcBorders>
              <w:bottom w:val="single" w:sz="4" w:space="0" w:color="auto"/>
            </w:tcBorders>
            <w:vAlign w:val="bottom"/>
          </w:tcPr>
          <w:p w14:paraId="463B3499" w14:textId="2EA542C5" w:rsidR="00A85B38" w:rsidRPr="00755668" w:rsidRDefault="00A85B38" w:rsidP="001A5D4A">
            <w:pPr>
              <w:pStyle w:val="NotesTable-CellPlain"/>
            </w:pPr>
            <w:r w:rsidRPr="002A72F5">
              <w:t>–</w:t>
            </w:r>
          </w:p>
        </w:tc>
        <w:tc>
          <w:tcPr>
            <w:tcW w:w="406" w:type="pct"/>
            <w:tcBorders>
              <w:bottom w:val="single" w:sz="4" w:space="0" w:color="auto"/>
            </w:tcBorders>
            <w:vAlign w:val="bottom"/>
          </w:tcPr>
          <w:p w14:paraId="685DBDDA" w14:textId="14FF5656" w:rsidR="00A85B38" w:rsidRPr="00755668" w:rsidRDefault="00A85B38" w:rsidP="001A5D4A">
            <w:pPr>
              <w:pStyle w:val="NotesTable-CellPlain"/>
            </w:pPr>
            <w:r w:rsidRPr="002A72F5">
              <w:t>–</w:t>
            </w:r>
          </w:p>
        </w:tc>
        <w:tc>
          <w:tcPr>
            <w:tcW w:w="406" w:type="pct"/>
            <w:tcBorders>
              <w:bottom w:val="single" w:sz="4" w:space="0" w:color="auto"/>
            </w:tcBorders>
            <w:vAlign w:val="bottom"/>
          </w:tcPr>
          <w:p w14:paraId="6F494017" w14:textId="229FE1C2" w:rsidR="00A85B38" w:rsidRPr="00755668" w:rsidRDefault="00A85B38" w:rsidP="001A5D4A">
            <w:pPr>
              <w:pStyle w:val="NotesTable-CellPlain"/>
            </w:pPr>
            <w:r w:rsidRPr="002A72F5">
              <w:t>–</w:t>
            </w:r>
          </w:p>
        </w:tc>
        <w:tc>
          <w:tcPr>
            <w:tcW w:w="403" w:type="pct"/>
            <w:tcBorders>
              <w:bottom w:val="single" w:sz="4" w:space="0" w:color="auto"/>
            </w:tcBorders>
            <w:vAlign w:val="bottom"/>
          </w:tcPr>
          <w:p w14:paraId="682CA1C6" w14:textId="6AA49203" w:rsidR="00A85B38" w:rsidRPr="00755668" w:rsidRDefault="00A85B38" w:rsidP="001A5D4A">
            <w:pPr>
              <w:pStyle w:val="NotesTable-CellPlain"/>
            </w:pPr>
            <w:r w:rsidRPr="002A72F5">
              <w:t>–</w:t>
            </w:r>
          </w:p>
        </w:tc>
      </w:tr>
      <w:tr w:rsidR="00A85B38" w:rsidRPr="00BC1814" w14:paraId="7060527E" w14:textId="77777777" w:rsidTr="00AA2125">
        <w:trPr>
          <w:cantSplit/>
          <w:trHeight w:val="161"/>
        </w:trPr>
        <w:tc>
          <w:tcPr>
            <w:tcW w:w="811" w:type="pct"/>
            <w:vAlign w:val="bottom"/>
          </w:tcPr>
          <w:p w14:paraId="3C6847AD" w14:textId="77777777" w:rsidR="00A85B38" w:rsidRDefault="00A85B38" w:rsidP="001A5D4A">
            <w:pPr>
              <w:pStyle w:val="Note-Refs"/>
            </w:pPr>
          </w:p>
        </w:tc>
        <w:tc>
          <w:tcPr>
            <w:tcW w:w="2366" w:type="pct"/>
            <w:vAlign w:val="bottom"/>
          </w:tcPr>
          <w:p w14:paraId="0792997C" w14:textId="63B31752" w:rsidR="00A85B38" w:rsidRPr="0074467D" w:rsidRDefault="00A85B38" w:rsidP="001A5D4A">
            <w:pPr>
              <w:pStyle w:val="NotesTable-ItemPlain"/>
            </w:pPr>
            <w:r w:rsidRPr="0074467D">
              <w:t>Total expense recognised in the Income Statement</w:t>
            </w:r>
          </w:p>
        </w:tc>
        <w:tc>
          <w:tcPr>
            <w:tcW w:w="202" w:type="pct"/>
          </w:tcPr>
          <w:p w14:paraId="1E16D129" w14:textId="4616A089" w:rsidR="00A85B38" w:rsidRPr="00BC1814" w:rsidRDefault="00A85B38" w:rsidP="001A5D4A">
            <w:pPr>
              <w:pStyle w:val="NotesTable-Notes"/>
            </w:pPr>
            <w:r>
              <w:t>11</w:t>
            </w:r>
          </w:p>
        </w:tc>
        <w:tc>
          <w:tcPr>
            <w:tcW w:w="406" w:type="pct"/>
            <w:tcBorders>
              <w:top w:val="single" w:sz="4" w:space="0" w:color="auto"/>
            </w:tcBorders>
            <w:vAlign w:val="bottom"/>
          </w:tcPr>
          <w:p w14:paraId="6C62E4B0" w14:textId="46826251" w:rsidR="00A85B38" w:rsidRPr="00755668" w:rsidRDefault="00A85B38" w:rsidP="001A5D4A">
            <w:pPr>
              <w:pStyle w:val="NotesTable-CellPlain"/>
            </w:pPr>
            <w:r w:rsidRPr="002A72F5">
              <w:t>–</w:t>
            </w:r>
          </w:p>
        </w:tc>
        <w:tc>
          <w:tcPr>
            <w:tcW w:w="406" w:type="pct"/>
            <w:tcBorders>
              <w:top w:val="single" w:sz="4" w:space="0" w:color="auto"/>
            </w:tcBorders>
            <w:vAlign w:val="bottom"/>
          </w:tcPr>
          <w:p w14:paraId="28EC2921" w14:textId="1302A67A" w:rsidR="00A85B38" w:rsidRPr="00755668" w:rsidRDefault="00A85B38" w:rsidP="001A5D4A">
            <w:pPr>
              <w:pStyle w:val="NotesTable-CellPlain"/>
            </w:pPr>
            <w:r w:rsidRPr="002A72F5">
              <w:t>–</w:t>
            </w:r>
          </w:p>
        </w:tc>
        <w:tc>
          <w:tcPr>
            <w:tcW w:w="406" w:type="pct"/>
            <w:tcBorders>
              <w:top w:val="single" w:sz="4" w:space="0" w:color="auto"/>
            </w:tcBorders>
            <w:vAlign w:val="bottom"/>
          </w:tcPr>
          <w:p w14:paraId="06F28DC4" w14:textId="67B9631F" w:rsidR="00A85B38" w:rsidRPr="00755668" w:rsidRDefault="00A85B38" w:rsidP="001A5D4A">
            <w:pPr>
              <w:pStyle w:val="NotesTable-CellPlain"/>
            </w:pPr>
            <w:r w:rsidRPr="002A72F5">
              <w:t>–</w:t>
            </w:r>
          </w:p>
        </w:tc>
        <w:tc>
          <w:tcPr>
            <w:tcW w:w="403" w:type="pct"/>
            <w:tcBorders>
              <w:top w:val="single" w:sz="4" w:space="0" w:color="auto"/>
            </w:tcBorders>
            <w:vAlign w:val="bottom"/>
          </w:tcPr>
          <w:p w14:paraId="22354337" w14:textId="4E1C7D12" w:rsidR="00A85B38" w:rsidRPr="00755668" w:rsidRDefault="00A85B38" w:rsidP="001A5D4A">
            <w:pPr>
              <w:pStyle w:val="NotesTable-CellPlain"/>
            </w:pPr>
            <w:r w:rsidRPr="002A72F5">
              <w:t>–</w:t>
            </w:r>
          </w:p>
        </w:tc>
      </w:tr>
      <w:tr w:rsidR="0025680C" w:rsidRPr="00BC1814" w14:paraId="728616C8" w14:textId="77777777" w:rsidTr="00AA2125">
        <w:trPr>
          <w:cantSplit/>
          <w:trHeight w:val="161"/>
        </w:trPr>
        <w:tc>
          <w:tcPr>
            <w:tcW w:w="811" w:type="pct"/>
            <w:vAlign w:val="bottom"/>
          </w:tcPr>
          <w:p w14:paraId="740B36C8" w14:textId="77777777" w:rsidR="0025680C" w:rsidRDefault="0025680C" w:rsidP="001A5D4A">
            <w:pPr>
              <w:pStyle w:val="Note-Refs"/>
            </w:pPr>
          </w:p>
        </w:tc>
        <w:tc>
          <w:tcPr>
            <w:tcW w:w="2366" w:type="pct"/>
            <w:vAlign w:val="bottom"/>
          </w:tcPr>
          <w:p w14:paraId="6D419F66" w14:textId="77777777" w:rsidR="0025680C" w:rsidRDefault="0025680C" w:rsidP="001A5D4A">
            <w:pPr>
              <w:pStyle w:val="NotesTable-ItemPlain"/>
            </w:pPr>
          </w:p>
        </w:tc>
        <w:tc>
          <w:tcPr>
            <w:tcW w:w="202" w:type="pct"/>
          </w:tcPr>
          <w:p w14:paraId="098CF8EE" w14:textId="77777777" w:rsidR="0025680C" w:rsidRPr="00BC1814" w:rsidRDefault="0025680C" w:rsidP="001A5D4A">
            <w:pPr>
              <w:pStyle w:val="NotesTable-Notes"/>
            </w:pPr>
          </w:p>
        </w:tc>
        <w:tc>
          <w:tcPr>
            <w:tcW w:w="406" w:type="pct"/>
          </w:tcPr>
          <w:p w14:paraId="00367318" w14:textId="77777777" w:rsidR="0025680C" w:rsidRPr="00755668" w:rsidRDefault="0025680C" w:rsidP="001A5D4A">
            <w:pPr>
              <w:pStyle w:val="NotesTable-CellPlain"/>
            </w:pPr>
          </w:p>
        </w:tc>
        <w:tc>
          <w:tcPr>
            <w:tcW w:w="406" w:type="pct"/>
          </w:tcPr>
          <w:p w14:paraId="43EA0EC6" w14:textId="77777777" w:rsidR="0025680C" w:rsidRPr="00755668" w:rsidRDefault="0025680C" w:rsidP="001A5D4A">
            <w:pPr>
              <w:pStyle w:val="NotesTable-CellPlain"/>
            </w:pPr>
          </w:p>
        </w:tc>
        <w:tc>
          <w:tcPr>
            <w:tcW w:w="406" w:type="pct"/>
          </w:tcPr>
          <w:p w14:paraId="05459E79" w14:textId="77777777" w:rsidR="0025680C" w:rsidRPr="00755668" w:rsidRDefault="0025680C" w:rsidP="001A5D4A">
            <w:pPr>
              <w:pStyle w:val="NotesTable-CellPlain"/>
            </w:pPr>
          </w:p>
        </w:tc>
        <w:tc>
          <w:tcPr>
            <w:tcW w:w="403" w:type="pct"/>
          </w:tcPr>
          <w:p w14:paraId="5ADD2FF8" w14:textId="77777777" w:rsidR="0025680C" w:rsidRPr="00755668" w:rsidRDefault="0025680C" w:rsidP="001A5D4A">
            <w:pPr>
              <w:pStyle w:val="NotesTable-CellPlain"/>
            </w:pPr>
          </w:p>
        </w:tc>
      </w:tr>
      <w:tr w:rsidR="004F301D" w:rsidRPr="00BC1814" w14:paraId="2367A93B" w14:textId="77777777" w:rsidTr="00261A68">
        <w:trPr>
          <w:cantSplit/>
          <w:trHeight w:val="161"/>
        </w:trPr>
        <w:tc>
          <w:tcPr>
            <w:tcW w:w="811" w:type="pct"/>
            <w:vAlign w:val="bottom"/>
          </w:tcPr>
          <w:p w14:paraId="51160D23" w14:textId="77777777" w:rsidR="004F301D" w:rsidRDefault="004F301D" w:rsidP="001A5D4A">
            <w:pPr>
              <w:pStyle w:val="Note-Refs"/>
            </w:pPr>
          </w:p>
        </w:tc>
        <w:tc>
          <w:tcPr>
            <w:tcW w:w="4189" w:type="pct"/>
            <w:gridSpan w:val="6"/>
          </w:tcPr>
          <w:p w14:paraId="6E573A62" w14:textId="5C58F11E" w:rsidR="004F301D" w:rsidRPr="00755668" w:rsidRDefault="004F301D" w:rsidP="001A5D4A">
            <w:pPr>
              <w:pStyle w:val="Note-TextHeader"/>
            </w:pPr>
            <w:r w:rsidRPr="0074467D">
              <w:t xml:space="preserve">Amounts recognised in </w:t>
            </w:r>
            <w:r w:rsidR="00E321F1">
              <w:t>other c</w:t>
            </w:r>
            <w:r w:rsidRPr="0074467D">
              <w:t xml:space="preserve">omprehensive </w:t>
            </w:r>
            <w:r w:rsidR="00E321F1">
              <w:t>i</w:t>
            </w:r>
            <w:r w:rsidRPr="0074467D">
              <w:t xml:space="preserve">ncome - </w:t>
            </w:r>
            <w:r w:rsidR="006864EC">
              <w:t>2014</w:t>
            </w:r>
          </w:p>
        </w:tc>
      </w:tr>
      <w:tr w:rsidR="004F301D" w:rsidRPr="00BC1814" w14:paraId="6041BDF5" w14:textId="77777777" w:rsidTr="00261A68">
        <w:trPr>
          <w:cantSplit/>
          <w:trHeight w:val="161"/>
        </w:trPr>
        <w:tc>
          <w:tcPr>
            <w:tcW w:w="811" w:type="pct"/>
            <w:vAlign w:val="bottom"/>
          </w:tcPr>
          <w:p w14:paraId="2478B637" w14:textId="77777777" w:rsidR="004F301D" w:rsidRDefault="004F301D" w:rsidP="001A5D4A">
            <w:pPr>
              <w:pStyle w:val="Note-Refs"/>
            </w:pPr>
          </w:p>
        </w:tc>
        <w:tc>
          <w:tcPr>
            <w:tcW w:w="4189" w:type="pct"/>
            <w:gridSpan w:val="6"/>
          </w:tcPr>
          <w:p w14:paraId="236B239B" w14:textId="01C36D3F" w:rsidR="004F301D" w:rsidRPr="00755668" w:rsidRDefault="004F301D" w:rsidP="001A5D4A">
            <w:pPr>
              <w:pStyle w:val="NotesTable-ItemPlain"/>
            </w:pPr>
            <w:r>
              <w:t xml:space="preserve">The amounts recognised in the statement of comprehensive income are restricted to the X scheme and pension in accordance with note 1(r). The amounts are included in </w:t>
            </w:r>
            <w:r w:rsidR="00A85B38">
              <w:t xml:space="preserve">retained earnings </w:t>
            </w:r>
            <w:r>
              <w:t xml:space="preserve">(note </w:t>
            </w:r>
            <w:r w:rsidR="00A85B38">
              <w:t>36)</w:t>
            </w:r>
          </w:p>
        </w:tc>
      </w:tr>
      <w:tr w:rsidR="0025680C" w:rsidRPr="00BC1814" w14:paraId="697B6F50" w14:textId="77777777" w:rsidTr="00AA2125">
        <w:trPr>
          <w:cantSplit/>
          <w:trHeight w:val="161"/>
        </w:trPr>
        <w:tc>
          <w:tcPr>
            <w:tcW w:w="811" w:type="pct"/>
            <w:vAlign w:val="bottom"/>
          </w:tcPr>
          <w:p w14:paraId="752B9AE7" w14:textId="77777777" w:rsidR="0025680C" w:rsidRDefault="0025680C" w:rsidP="001A5D4A">
            <w:pPr>
              <w:pStyle w:val="Note-Refs"/>
            </w:pPr>
          </w:p>
        </w:tc>
        <w:tc>
          <w:tcPr>
            <w:tcW w:w="2366" w:type="pct"/>
            <w:vAlign w:val="bottom"/>
          </w:tcPr>
          <w:p w14:paraId="24E2828F" w14:textId="4FEB0D97" w:rsidR="0025680C" w:rsidRPr="0074467D" w:rsidRDefault="004F301D" w:rsidP="001A5D4A">
            <w:pPr>
              <w:pStyle w:val="NotesTable-ItemPlain"/>
            </w:pPr>
            <w:r w:rsidRPr="0074467D">
              <w:t>Remeasurements</w:t>
            </w:r>
          </w:p>
        </w:tc>
        <w:tc>
          <w:tcPr>
            <w:tcW w:w="202" w:type="pct"/>
          </w:tcPr>
          <w:p w14:paraId="20B77E58" w14:textId="77777777" w:rsidR="0025680C" w:rsidRPr="00BC1814" w:rsidRDefault="0025680C" w:rsidP="001A5D4A">
            <w:pPr>
              <w:pStyle w:val="NotesTable-Notes"/>
            </w:pPr>
          </w:p>
        </w:tc>
        <w:tc>
          <w:tcPr>
            <w:tcW w:w="406" w:type="pct"/>
          </w:tcPr>
          <w:p w14:paraId="3A76BA01" w14:textId="77777777" w:rsidR="0025680C" w:rsidRPr="00755668" w:rsidRDefault="0025680C" w:rsidP="001A5D4A">
            <w:pPr>
              <w:pStyle w:val="NotesTable-CellPlain"/>
            </w:pPr>
          </w:p>
        </w:tc>
        <w:tc>
          <w:tcPr>
            <w:tcW w:w="406" w:type="pct"/>
          </w:tcPr>
          <w:p w14:paraId="77CA8F80" w14:textId="77777777" w:rsidR="0025680C" w:rsidRPr="00755668" w:rsidRDefault="0025680C" w:rsidP="001A5D4A">
            <w:pPr>
              <w:pStyle w:val="NotesTable-CellPlain"/>
            </w:pPr>
          </w:p>
        </w:tc>
        <w:tc>
          <w:tcPr>
            <w:tcW w:w="406" w:type="pct"/>
          </w:tcPr>
          <w:p w14:paraId="30F02B38" w14:textId="77777777" w:rsidR="0025680C" w:rsidRPr="00755668" w:rsidRDefault="0025680C" w:rsidP="001A5D4A">
            <w:pPr>
              <w:pStyle w:val="NotesTable-CellPlain"/>
            </w:pPr>
          </w:p>
        </w:tc>
        <w:tc>
          <w:tcPr>
            <w:tcW w:w="403" w:type="pct"/>
          </w:tcPr>
          <w:p w14:paraId="08B6D7A4" w14:textId="77777777" w:rsidR="0025680C" w:rsidRPr="00755668" w:rsidRDefault="0025680C" w:rsidP="001A5D4A">
            <w:pPr>
              <w:pStyle w:val="NotesTable-CellPlain"/>
            </w:pPr>
          </w:p>
        </w:tc>
      </w:tr>
      <w:tr w:rsidR="00A85B38" w:rsidRPr="00BC1814" w14:paraId="54F4D835" w14:textId="77777777" w:rsidTr="00AA2125">
        <w:trPr>
          <w:cantSplit/>
          <w:trHeight w:val="161"/>
        </w:trPr>
        <w:tc>
          <w:tcPr>
            <w:tcW w:w="811" w:type="pct"/>
            <w:vAlign w:val="bottom"/>
          </w:tcPr>
          <w:p w14:paraId="0718F8D1" w14:textId="77777777" w:rsidR="00A85B38" w:rsidRDefault="00A85B38" w:rsidP="001A5D4A">
            <w:pPr>
              <w:pStyle w:val="Note-Refs"/>
            </w:pPr>
          </w:p>
        </w:tc>
        <w:tc>
          <w:tcPr>
            <w:tcW w:w="2366" w:type="pct"/>
            <w:vAlign w:val="bottom"/>
          </w:tcPr>
          <w:p w14:paraId="640E2890" w14:textId="369B7F27" w:rsidR="00A85B38" w:rsidRDefault="00A85B38" w:rsidP="001A5D4A">
            <w:pPr>
              <w:pStyle w:val="NotesTable-ItemPlain"/>
            </w:pPr>
            <w:r>
              <w:t xml:space="preserve">Actuarial losses (gains) arising from changes in </w:t>
            </w:r>
            <w:r w:rsidR="00E321F1">
              <w:t xml:space="preserve">demographic </w:t>
            </w:r>
            <w:r>
              <w:t xml:space="preserve">assumptions </w:t>
            </w:r>
          </w:p>
        </w:tc>
        <w:tc>
          <w:tcPr>
            <w:tcW w:w="202" w:type="pct"/>
          </w:tcPr>
          <w:p w14:paraId="0E3716D3" w14:textId="77777777" w:rsidR="00A85B38" w:rsidRPr="00BC1814" w:rsidRDefault="00A85B38" w:rsidP="001A5D4A">
            <w:pPr>
              <w:pStyle w:val="NotesTable-Notes"/>
            </w:pPr>
          </w:p>
        </w:tc>
        <w:tc>
          <w:tcPr>
            <w:tcW w:w="406" w:type="pct"/>
            <w:vAlign w:val="bottom"/>
          </w:tcPr>
          <w:p w14:paraId="72734F73" w14:textId="0669CC65" w:rsidR="00A85B38" w:rsidRPr="00755668" w:rsidRDefault="00A85B38" w:rsidP="001A5D4A">
            <w:pPr>
              <w:pStyle w:val="NotesTable-CellPlain"/>
            </w:pPr>
            <w:r w:rsidRPr="002A72F5">
              <w:t>–</w:t>
            </w:r>
          </w:p>
        </w:tc>
        <w:tc>
          <w:tcPr>
            <w:tcW w:w="406" w:type="pct"/>
            <w:vAlign w:val="bottom"/>
          </w:tcPr>
          <w:p w14:paraId="4CBBF4D3" w14:textId="23D2EE46" w:rsidR="00A85B38" w:rsidRPr="00755668" w:rsidRDefault="00A85B38" w:rsidP="001A5D4A">
            <w:pPr>
              <w:pStyle w:val="NotesTable-CellPlain"/>
            </w:pPr>
            <w:r w:rsidRPr="002A72F5">
              <w:t>–</w:t>
            </w:r>
          </w:p>
        </w:tc>
        <w:tc>
          <w:tcPr>
            <w:tcW w:w="406" w:type="pct"/>
            <w:vAlign w:val="bottom"/>
          </w:tcPr>
          <w:p w14:paraId="61AC1AD7" w14:textId="6E0BB404" w:rsidR="00A85B38" w:rsidRPr="00755668" w:rsidRDefault="00A85B38" w:rsidP="001A5D4A">
            <w:pPr>
              <w:pStyle w:val="NotesTable-CellPlain"/>
            </w:pPr>
            <w:r w:rsidRPr="002A72F5">
              <w:t>–</w:t>
            </w:r>
          </w:p>
        </w:tc>
        <w:tc>
          <w:tcPr>
            <w:tcW w:w="403" w:type="pct"/>
            <w:vAlign w:val="bottom"/>
          </w:tcPr>
          <w:p w14:paraId="228EA24B" w14:textId="5205ED52" w:rsidR="00A85B38" w:rsidRPr="00755668" w:rsidRDefault="00A85B38" w:rsidP="001A5D4A">
            <w:pPr>
              <w:pStyle w:val="NotesTable-CellPlain"/>
            </w:pPr>
            <w:r w:rsidRPr="002A72F5">
              <w:t>–</w:t>
            </w:r>
          </w:p>
        </w:tc>
      </w:tr>
      <w:tr w:rsidR="00A85B38" w:rsidRPr="00BC1814" w14:paraId="18A8AD33" w14:textId="77777777" w:rsidTr="00AA2125">
        <w:trPr>
          <w:cantSplit/>
          <w:trHeight w:val="161"/>
        </w:trPr>
        <w:tc>
          <w:tcPr>
            <w:tcW w:w="811" w:type="pct"/>
            <w:vAlign w:val="bottom"/>
          </w:tcPr>
          <w:p w14:paraId="69AFCE40" w14:textId="27D05104" w:rsidR="00A85B38" w:rsidRDefault="00A85B38" w:rsidP="001A5D4A">
            <w:pPr>
              <w:pStyle w:val="Note-Refs"/>
            </w:pPr>
          </w:p>
        </w:tc>
        <w:tc>
          <w:tcPr>
            <w:tcW w:w="2366" w:type="pct"/>
            <w:vAlign w:val="bottom"/>
          </w:tcPr>
          <w:p w14:paraId="1888587A" w14:textId="486E43F9" w:rsidR="00A85B38" w:rsidRDefault="00A85B38" w:rsidP="001A5D4A">
            <w:pPr>
              <w:pStyle w:val="NotesTable-ItemPlain"/>
            </w:pPr>
            <w:r>
              <w:t xml:space="preserve">Actuarial losses (gains) arising from changes in financial assumptions </w:t>
            </w:r>
          </w:p>
        </w:tc>
        <w:tc>
          <w:tcPr>
            <w:tcW w:w="202" w:type="pct"/>
          </w:tcPr>
          <w:p w14:paraId="41B6F106" w14:textId="77777777" w:rsidR="00A85B38" w:rsidRPr="00BC1814" w:rsidRDefault="00A85B38" w:rsidP="001A5D4A">
            <w:pPr>
              <w:pStyle w:val="NotesTable-Notes"/>
            </w:pPr>
          </w:p>
        </w:tc>
        <w:tc>
          <w:tcPr>
            <w:tcW w:w="406" w:type="pct"/>
            <w:vAlign w:val="bottom"/>
          </w:tcPr>
          <w:p w14:paraId="22494F92" w14:textId="4932717C" w:rsidR="00A85B38" w:rsidRPr="00755668" w:rsidRDefault="00A85B38" w:rsidP="001A5D4A">
            <w:pPr>
              <w:pStyle w:val="NotesTable-CellPlain"/>
            </w:pPr>
            <w:r w:rsidRPr="002A72F5">
              <w:t>–</w:t>
            </w:r>
          </w:p>
        </w:tc>
        <w:tc>
          <w:tcPr>
            <w:tcW w:w="406" w:type="pct"/>
            <w:vAlign w:val="bottom"/>
          </w:tcPr>
          <w:p w14:paraId="717E4617" w14:textId="2F388D92" w:rsidR="00A85B38" w:rsidRPr="00755668" w:rsidRDefault="00A85B38" w:rsidP="001A5D4A">
            <w:pPr>
              <w:pStyle w:val="NotesTable-CellPlain"/>
            </w:pPr>
            <w:r w:rsidRPr="002A72F5">
              <w:t>–</w:t>
            </w:r>
          </w:p>
        </w:tc>
        <w:tc>
          <w:tcPr>
            <w:tcW w:w="406" w:type="pct"/>
            <w:vAlign w:val="bottom"/>
          </w:tcPr>
          <w:p w14:paraId="1453C716" w14:textId="279BE69E" w:rsidR="00A85B38" w:rsidRPr="00755668" w:rsidRDefault="00A85B38" w:rsidP="001A5D4A">
            <w:pPr>
              <w:pStyle w:val="NotesTable-CellPlain"/>
            </w:pPr>
            <w:r w:rsidRPr="002A72F5">
              <w:t>–</w:t>
            </w:r>
          </w:p>
        </w:tc>
        <w:tc>
          <w:tcPr>
            <w:tcW w:w="403" w:type="pct"/>
            <w:vAlign w:val="bottom"/>
          </w:tcPr>
          <w:p w14:paraId="6D094BAA" w14:textId="22EB074E" w:rsidR="00A85B38" w:rsidRPr="00755668" w:rsidRDefault="00A85B38" w:rsidP="001A5D4A">
            <w:pPr>
              <w:pStyle w:val="NotesTable-CellPlain"/>
            </w:pPr>
            <w:r w:rsidRPr="002A72F5">
              <w:t>–</w:t>
            </w:r>
          </w:p>
        </w:tc>
      </w:tr>
      <w:tr w:rsidR="00A85B38" w:rsidRPr="00BC1814" w14:paraId="72BC57A7" w14:textId="77777777" w:rsidTr="00AA2125">
        <w:trPr>
          <w:cantSplit/>
          <w:trHeight w:val="161"/>
        </w:trPr>
        <w:tc>
          <w:tcPr>
            <w:tcW w:w="811" w:type="pct"/>
            <w:vAlign w:val="bottom"/>
          </w:tcPr>
          <w:p w14:paraId="7964903E" w14:textId="77777777" w:rsidR="00A85B38" w:rsidRDefault="00A85B38" w:rsidP="001A5D4A">
            <w:pPr>
              <w:pStyle w:val="Note-Refs"/>
            </w:pPr>
          </w:p>
        </w:tc>
        <w:tc>
          <w:tcPr>
            <w:tcW w:w="2366" w:type="pct"/>
            <w:vAlign w:val="bottom"/>
          </w:tcPr>
          <w:p w14:paraId="21FE9110" w14:textId="2D83EEE3" w:rsidR="00A85B38" w:rsidRDefault="00A85B38" w:rsidP="001A5D4A">
            <w:pPr>
              <w:pStyle w:val="NotesTable-ItemPlain"/>
            </w:pPr>
            <w:r>
              <w:t>Actuarial losses (gains) arising from experience</w:t>
            </w:r>
            <w:r w:rsidR="00E321F1">
              <w:t xml:space="preserve"> adjustments</w:t>
            </w:r>
          </w:p>
        </w:tc>
        <w:tc>
          <w:tcPr>
            <w:tcW w:w="202" w:type="pct"/>
          </w:tcPr>
          <w:p w14:paraId="3E0FD3ED" w14:textId="77777777" w:rsidR="00A85B38" w:rsidRPr="00BC1814" w:rsidRDefault="00A85B38" w:rsidP="001A5D4A">
            <w:pPr>
              <w:pStyle w:val="NotesTable-Notes"/>
            </w:pPr>
          </w:p>
        </w:tc>
        <w:tc>
          <w:tcPr>
            <w:tcW w:w="406" w:type="pct"/>
            <w:vAlign w:val="bottom"/>
          </w:tcPr>
          <w:p w14:paraId="0041FF06" w14:textId="3970531B" w:rsidR="00A85B38" w:rsidRPr="00755668" w:rsidRDefault="00A85B38" w:rsidP="001A5D4A">
            <w:pPr>
              <w:pStyle w:val="NotesTable-CellPlain"/>
            </w:pPr>
            <w:r w:rsidRPr="002A72F5">
              <w:t>–</w:t>
            </w:r>
          </w:p>
        </w:tc>
        <w:tc>
          <w:tcPr>
            <w:tcW w:w="406" w:type="pct"/>
            <w:vAlign w:val="bottom"/>
          </w:tcPr>
          <w:p w14:paraId="7EE12713" w14:textId="25310814" w:rsidR="00A85B38" w:rsidRPr="00755668" w:rsidRDefault="00A85B38" w:rsidP="001A5D4A">
            <w:pPr>
              <w:pStyle w:val="NotesTable-CellPlain"/>
            </w:pPr>
            <w:r w:rsidRPr="002A72F5">
              <w:t>–</w:t>
            </w:r>
          </w:p>
        </w:tc>
        <w:tc>
          <w:tcPr>
            <w:tcW w:w="406" w:type="pct"/>
            <w:vAlign w:val="bottom"/>
          </w:tcPr>
          <w:p w14:paraId="1EA4EFF4" w14:textId="650FB5DD" w:rsidR="00A85B38" w:rsidRPr="00755668" w:rsidRDefault="00A85B38" w:rsidP="001A5D4A">
            <w:pPr>
              <w:pStyle w:val="NotesTable-CellPlain"/>
            </w:pPr>
            <w:r w:rsidRPr="002A72F5">
              <w:t>–</w:t>
            </w:r>
          </w:p>
        </w:tc>
        <w:tc>
          <w:tcPr>
            <w:tcW w:w="403" w:type="pct"/>
            <w:vAlign w:val="bottom"/>
          </w:tcPr>
          <w:p w14:paraId="389622A8" w14:textId="26C0CDE2" w:rsidR="00A85B38" w:rsidRPr="00755668" w:rsidRDefault="00A85B38" w:rsidP="001A5D4A">
            <w:pPr>
              <w:pStyle w:val="NotesTable-CellPlain"/>
            </w:pPr>
            <w:r w:rsidRPr="002A72F5">
              <w:t>–</w:t>
            </w:r>
          </w:p>
        </w:tc>
      </w:tr>
      <w:tr w:rsidR="00A85B38" w:rsidRPr="00BC1814" w14:paraId="5E733F37" w14:textId="77777777" w:rsidTr="00AA2125">
        <w:trPr>
          <w:cantSplit/>
          <w:trHeight w:val="161"/>
        </w:trPr>
        <w:tc>
          <w:tcPr>
            <w:tcW w:w="811" w:type="pct"/>
            <w:vAlign w:val="bottom"/>
          </w:tcPr>
          <w:p w14:paraId="47984812" w14:textId="77777777" w:rsidR="00A85B38" w:rsidRDefault="00A85B38" w:rsidP="001A5D4A">
            <w:pPr>
              <w:pStyle w:val="Note-Refs"/>
            </w:pPr>
          </w:p>
        </w:tc>
        <w:tc>
          <w:tcPr>
            <w:tcW w:w="2366" w:type="pct"/>
            <w:vAlign w:val="bottom"/>
          </w:tcPr>
          <w:p w14:paraId="3811B8F3" w14:textId="6F44DEF8" w:rsidR="00A85B38" w:rsidRDefault="00A85B38" w:rsidP="001A5D4A">
            <w:pPr>
              <w:pStyle w:val="NotesTable-ItemPlain"/>
            </w:pPr>
            <w:r>
              <w:t>Actual return on plan assets less interest income</w:t>
            </w:r>
          </w:p>
        </w:tc>
        <w:tc>
          <w:tcPr>
            <w:tcW w:w="202" w:type="pct"/>
          </w:tcPr>
          <w:p w14:paraId="1AF11706" w14:textId="77777777" w:rsidR="00A85B38" w:rsidRPr="00BC1814" w:rsidRDefault="00A85B38" w:rsidP="001A5D4A">
            <w:pPr>
              <w:pStyle w:val="NotesTable-Notes"/>
            </w:pPr>
          </w:p>
        </w:tc>
        <w:tc>
          <w:tcPr>
            <w:tcW w:w="406" w:type="pct"/>
            <w:tcBorders>
              <w:bottom w:val="single" w:sz="4" w:space="0" w:color="auto"/>
            </w:tcBorders>
            <w:vAlign w:val="bottom"/>
          </w:tcPr>
          <w:p w14:paraId="2E0D055E" w14:textId="4DA70E79" w:rsidR="00A85B38" w:rsidRPr="00755668" w:rsidRDefault="00A85B38" w:rsidP="001A5D4A">
            <w:pPr>
              <w:pStyle w:val="NotesTable-CellPlain"/>
            </w:pPr>
            <w:r w:rsidRPr="002A72F5">
              <w:t>–</w:t>
            </w:r>
          </w:p>
        </w:tc>
        <w:tc>
          <w:tcPr>
            <w:tcW w:w="406" w:type="pct"/>
            <w:tcBorders>
              <w:bottom w:val="single" w:sz="4" w:space="0" w:color="auto"/>
            </w:tcBorders>
            <w:vAlign w:val="bottom"/>
          </w:tcPr>
          <w:p w14:paraId="4493A5DD" w14:textId="1CE31AB7" w:rsidR="00A85B38" w:rsidRPr="00755668" w:rsidRDefault="00A85B38" w:rsidP="001A5D4A">
            <w:pPr>
              <w:pStyle w:val="NotesTable-CellPlain"/>
            </w:pPr>
            <w:r w:rsidRPr="002A72F5">
              <w:t>–</w:t>
            </w:r>
          </w:p>
        </w:tc>
        <w:tc>
          <w:tcPr>
            <w:tcW w:w="406" w:type="pct"/>
            <w:tcBorders>
              <w:bottom w:val="single" w:sz="4" w:space="0" w:color="auto"/>
            </w:tcBorders>
            <w:vAlign w:val="bottom"/>
          </w:tcPr>
          <w:p w14:paraId="6F4EEA65" w14:textId="4F84A164" w:rsidR="00A85B38" w:rsidRPr="00755668" w:rsidRDefault="00A85B38" w:rsidP="001A5D4A">
            <w:pPr>
              <w:pStyle w:val="NotesTable-CellPlain"/>
            </w:pPr>
            <w:r w:rsidRPr="002A72F5">
              <w:t>–</w:t>
            </w:r>
          </w:p>
        </w:tc>
        <w:tc>
          <w:tcPr>
            <w:tcW w:w="403" w:type="pct"/>
            <w:tcBorders>
              <w:bottom w:val="single" w:sz="4" w:space="0" w:color="auto"/>
            </w:tcBorders>
            <w:vAlign w:val="bottom"/>
          </w:tcPr>
          <w:p w14:paraId="41832019" w14:textId="2E305B09" w:rsidR="00A85B38" w:rsidRPr="00755668" w:rsidRDefault="00A85B38" w:rsidP="001A5D4A">
            <w:pPr>
              <w:pStyle w:val="NotesTable-CellPlain"/>
            </w:pPr>
            <w:r w:rsidRPr="002A72F5">
              <w:t>–</w:t>
            </w:r>
          </w:p>
        </w:tc>
      </w:tr>
      <w:tr w:rsidR="00A85B38" w:rsidRPr="00BC1814" w14:paraId="3CC8090D" w14:textId="77777777" w:rsidTr="00AA2125">
        <w:trPr>
          <w:cantSplit/>
          <w:trHeight w:val="161"/>
        </w:trPr>
        <w:tc>
          <w:tcPr>
            <w:tcW w:w="811" w:type="pct"/>
            <w:vAlign w:val="bottom"/>
          </w:tcPr>
          <w:p w14:paraId="459CEBA5" w14:textId="6B4FCBA8" w:rsidR="00A85B38" w:rsidRDefault="00A85B38" w:rsidP="001A5D4A">
            <w:pPr>
              <w:pStyle w:val="Note-Refs"/>
            </w:pPr>
          </w:p>
        </w:tc>
        <w:tc>
          <w:tcPr>
            <w:tcW w:w="2366" w:type="pct"/>
            <w:vAlign w:val="bottom"/>
          </w:tcPr>
          <w:p w14:paraId="3008F840" w14:textId="10213CB8" w:rsidR="00A85B38" w:rsidRDefault="00A85B38" w:rsidP="001A5D4A">
            <w:pPr>
              <w:pStyle w:val="NotesTable-ItemPlain"/>
            </w:pPr>
            <w:r>
              <w:t xml:space="preserve">Total remeasurements </w:t>
            </w:r>
            <w:r w:rsidR="00E321F1">
              <w:t>in OCI</w:t>
            </w:r>
          </w:p>
        </w:tc>
        <w:tc>
          <w:tcPr>
            <w:tcW w:w="202" w:type="pct"/>
          </w:tcPr>
          <w:p w14:paraId="63288AE3" w14:textId="77777777" w:rsidR="00A85B38" w:rsidRPr="00BC1814" w:rsidRDefault="00A85B38" w:rsidP="001A5D4A">
            <w:pPr>
              <w:pStyle w:val="NotesTable-Notes"/>
            </w:pPr>
          </w:p>
        </w:tc>
        <w:tc>
          <w:tcPr>
            <w:tcW w:w="406" w:type="pct"/>
            <w:tcBorders>
              <w:top w:val="single" w:sz="4" w:space="0" w:color="auto"/>
            </w:tcBorders>
            <w:vAlign w:val="bottom"/>
          </w:tcPr>
          <w:p w14:paraId="256505ED" w14:textId="66230727" w:rsidR="00A85B38" w:rsidRPr="00755668" w:rsidRDefault="00A85B38" w:rsidP="001A5D4A">
            <w:pPr>
              <w:pStyle w:val="NotesTable-CellPlain"/>
            </w:pPr>
            <w:r w:rsidRPr="002A72F5">
              <w:t>–</w:t>
            </w:r>
          </w:p>
        </w:tc>
        <w:tc>
          <w:tcPr>
            <w:tcW w:w="406" w:type="pct"/>
            <w:tcBorders>
              <w:top w:val="single" w:sz="4" w:space="0" w:color="auto"/>
            </w:tcBorders>
            <w:vAlign w:val="bottom"/>
          </w:tcPr>
          <w:p w14:paraId="2FA1184F" w14:textId="68D658BA" w:rsidR="00A85B38" w:rsidRPr="00755668" w:rsidRDefault="00A85B38" w:rsidP="001A5D4A">
            <w:pPr>
              <w:pStyle w:val="NotesTable-CellPlain"/>
            </w:pPr>
            <w:r w:rsidRPr="002A72F5">
              <w:t>–</w:t>
            </w:r>
          </w:p>
        </w:tc>
        <w:tc>
          <w:tcPr>
            <w:tcW w:w="406" w:type="pct"/>
            <w:tcBorders>
              <w:top w:val="single" w:sz="4" w:space="0" w:color="auto"/>
            </w:tcBorders>
            <w:vAlign w:val="bottom"/>
          </w:tcPr>
          <w:p w14:paraId="522E65EA" w14:textId="0216D78D" w:rsidR="00A85B38" w:rsidRPr="00755668" w:rsidRDefault="00A85B38" w:rsidP="001A5D4A">
            <w:pPr>
              <w:pStyle w:val="NotesTable-CellPlain"/>
            </w:pPr>
            <w:r w:rsidRPr="002A72F5">
              <w:t>–</w:t>
            </w:r>
          </w:p>
        </w:tc>
        <w:tc>
          <w:tcPr>
            <w:tcW w:w="403" w:type="pct"/>
            <w:tcBorders>
              <w:top w:val="single" w:sz="4" w:space="0" w:color="auto"/>
            </w:tcBorders>
            <w:vAlign w:val="bottom"/>
          </w:tcPr>
          <w:p w14:paraId="5908AC54" w14:textId="4157F8FD" w:rsidR="00A85B38" w:rsidRPr="00755668" w:rsidRDefault="00A85B38" w:rsidP="001A5D4A">
            <w:pPr>
              <w:pStyle w:val="NotesTable-CellPlain"/>
            </w:pPr>
            <w:r w:rsidRPr="002A72F5">
              <w:t>–</w:t>
            </w:r>
          </w:p>
        </w:tc>
      </w:tr>
      <w:tr w:rsidR="00A85B38" w:rsidRPr="00BC1814" w14:paraId="0AD62C3C" w14:textId="77777777" w:rsidTr="00AA2125">
        <w:trPr>
          <w:cantSplit/>
          <w:trHeight w:val="161"/>
        </w:trPr>
        <w:tc>
          <w:tcPr>
            <w:tcW w:w="811" w:type="pct"/>
            <w:vAlign w:val="bottom"/>
          </w:tcPr>
          <w:p w14:paraId="7AD1FE4B" w14:textId="77777777" w:rsidR="00A85B38" w:rsidRDefault="00A85B38" w:rsidP="001A5D4A">
            <w:pPr>
              <w:pStyle w:val="Note-Refs"/>
            </w:pPr>
          </w:p>
        </w:tc>
        <w:tc>
          <w:tcPr>
            <w:tcW w:w="2366" w:type="pct"/>
            <w:vAlign w:val="bottom"/>
          </w:tcPr>
          <w:p w14:paraId="65158F0F" w14:textId="611B1389" w:rsidR="00A85B38" w:rsidRPr="0074467D" w:rsidRDefault="00A85B38" w:rsidP="001A5D4A">
            <w:pPr>
              <w:pStyle w:val="NotesTable-ItemPlain"/>
            </w:pPr>
            <w:r w:rsidRPr="0074467D">
              <w:t>Total</w:t>
            </w:r>
            <w:r w:rsidR="002F7B63">
              <w:t xml:space="preserve"> </w:t>
            </w:r>
            <w:r w:rsidR="00E321F1">
              <w:t>amounts</w:t>
            </w:r>
            <w:r w:rsidRPr="0074467D">
              <w:t xml:space="preserve"> recognised in the Statement of Comprehensive Income </w:t>
            </w:r>
          </w:p>
        </w:tc>
        <w:tc>
          <w:tcPr>
            <w:tcW w:w="202" w:type="pct"/>
          </w:tcPr>
          <w:p w14:paraId="071E308F" w14:textId="0E64A4E5" w:rsidR="00A85B38" w:rsidRPr="00BC1814" w:rsidRDefault="00A85B38" w:rsidP="001A5D4A">
            <w:pPr>
              <w:pStyle w:val="NotesTable-Notes"/>
            </w:pPr>
            <w:r>
              <w:t>37</w:t>
            </w:r>
          </w:p>
        </w:tc>
        <w:tc>
          <w:tcPr>
            <w:tcW w:w="406" w:type="pct"/>
            <w:vAlign w:val="bottom"/>
          </w:tcPr>
          <w:p w14:paraId="2C3985F6" w14:textId="66C95306" w:rsidR="00A85B38" w:rsidRPr="00755668" w:rsidRDefault="00A85B38" w:rsidP="001A5D4A">
            <w:pPr>
              <w:pStyle w:val="NotesTable-CellPlain"/>
            </w:pPr>
            <w:r w:rsidRPr="002A72F5">
              <w:t>–</w:t>
            </w:r>
          </w:p>
        </w:tc>
        <w:tc>
          <w:tcPr>
            <w:tcW w:w="406" w:type="pct"/>
            <w:vAlign w:val="bottom"/>
          </w:tcPr>
          <w:p w14:paraId="35D5080F" w14:textId="5482E85E" w:rsidR="00A85B38" w:rsidRPr="00755668" w:rsidRDefault="00A85B38" w:rsidP="001A5D4A">
            <w:pPr>
              <w:pStyle w:val="NotesTable-CellPlain"/>
            </w:pPr>
            <w:r w:rsidRPr="002A72F5">
              <w:t>–</w:t>
            </w:r>
          </w:p>
        </w:tc>
        <w:tc>
          <w:tcPr>
            <w:tcW w:w="406" w:type="pct"/>
            <w:vAlign w:val="bottom"/>
          </w:tcPr>
          <w:p w14:paraId="48A2EB2F" w14:textId="3D193A29" w:rsidR="00A85B38" w:rsidRPr="00755668" w:rsidRDefault="00A85B38" w:rsidP="001A5D4A">
            <w:pPr>
              <w:pStyle w:val="NotesTable-CellPlain"/>
            </w:pPr>
            <w:r w:rsidRPr="002A72F5">
              <w:t>–</w:t>
            </w:r>
          </w:p>
        </w:tc>
        <w:tc>
          <w:tcPr>
            <w:tcW w:w="403" w:type="pct"/>
            <w:vAlign w:val="bottom"/>
          </w:tcPr>
          <w:p w14:paraId="2D254BB5" w14:textId="0BD912D6" w:rsidR="00A85B38" w:rsidRPr="00755668" w:rsidRDefault="00A85B38" w:rsidP="001A5D4A">
            <w:pPr>
              <w:pStyle w:val="NotesTable-CellPlain"/>
            </w:pPr>
            <w:r w:rsidRPr="002A72F5">
              <w:t>–</w:t>
            </w:r>
          </w:p>
        </w:tc>
      </w:tr>
      <w:tr w:rsidR="00A85B38" w:rsidRPr="00BC1814" w14:paraId="1AEC9759" w14:textId="77777777" w:rsidTr="00AA2125">
        <w:trPr>
          <w:cantSplit/>
          <w:trHeight w:val="161"/>
        </w:trPr>
        <w:tc>
          <w:tcPr>
            <w:tcW w:w="811" w:type="pct"/>
            <w:vAlign w:val="bottom"/>
          </w:tcPr>
          <w:p w14:paraId="157F3DB1" w14:textId="77777777" w:rsidR="00A85B38" w:rsidRDefault="00A85B38" w:rsidP="001A5D4A">
            <w:pPr>
              <w:pStyle w:val="Note-Refs"/>
            </w:pPr>
          </w:p>
        </w:tc>
        <w:tc>
          <w:tcPr>
            <w:tcW w:w="2366" w:type="pct"/>
            <w:vAlign w:val="bottom"/>
          </w:tcPr>
          <w:p w14:paraId="4D6E5FB4" w14:textId="77777777" w:rsidR="00A85B38" w:rsidRPr="0074467D" w:rsidRDefault="00A85B38" w:rsidP="001A5D4A">
            <w:pPr>
              <w:pStyle w:val="NotesTable-ItemPlain"/>
            </w:pPr>
          </w:p>
        </w:tc>
        <w:tc>
          <w:tcPr>
            <w:tcW w:w="202" w:type="pct"/>
          </w:tcPr>
          <w:p w14:paraId="1E5A6345" w14:textId="77777777" w:rsidR="00A85B38" w:rsidRDefault="00A85B38" w:rsidP="001A5D4A">
            <w:pPr>
              <w:pStyle w:val="NotesTable-Notes"/>
            </w:pPr>
          </w:p>
        </w:tc>
        <w:tc>
          <w:tcPr>
            <w:tcW w:w="406" w:type="pct"/>
          </w:tcPr>
          <w:p w14:paraId="0C9F109B" w14:textId="77777777" w:rsidR="00A85B38" w:rsidRDefault="00A85B38" w:rsidP="001A5D4A">
            <w:pPr>
              <w:pStyle w:val="NotesTable-CellPlain"/>
            </w:pPr>
          </w:p>
        </w:tc>
        <w:tc>
          <w:tcPr>
            <w:tcW w:w="406" w:type="pct"/>
          </w:tcPr>
          <w:p w14:paraId="4D4CC92C" w14:textId="77777777" w:rsidR="00A85B38" w:rsidRDefault="00A85B38" w:rsidP="001A5D4A">
            <w:pPr>
              <w:pStyle w:val="NotesTable-CellPlain"/>
            </w:pPr>
          </w:p>
        </w:tc>
        <w:tc>
          <w:tcPr>
            <w:tcW w:w="406" w:type="pct"/>
          </w:tcPr>
          <w:p w14:paraId="15CE8609" w14:textId="77777777" w:rsidR="00A85B38" w:rsidRDefault="00A85B38" w:rsidP="001A5D4A">
            <w:pPr>
              <w:pStyle w:val="NotesTable-CellPlain"/>
            </w:pPr>
          </w:p>
        </w:tc>
        <w:tc>
          <w:tcPr>
            <w:tcW w:w="403" w:type="pct"/>
          </w:tcPr>
          <w:p w14:paraId="2EF8D413" w14:textId="77777777" w:rsidR="00A85B38" w:rsidRDefault="00A85B38" w:rsidP="001A5D4A">
            <w:pPr>
              <w:pStyle w:val="NotesTable-CellPlain"/>
            </w:pPr>
          </w:p>
        </w:tc>
      </w:tr>
      <w:tr w:rsidR="00E321F1" w:rsidRPr="00755668" w14:paraId="340200E6" w14:textId="77777777" w:rsidTr="00AA2125">
        <w:trPr>
          <w:cantSplit/>
          <w:trHeight w:val="161"/>
        </w:trPr>
        <w:tc>
          <w:tcPr>
            <w:tcW w:w="811" w:type="pct"/>
            <w:vAlign w:val="bottom"/>
          </w:tcPr>
          <w:p w14:paraId="26A79068" w14:textId="77777777" w:rsidR="00E321F1" w:rsidRDefault="00E321F1" w:rsidP="001A5D4A">
            <w:pPr>
              <w:pStyle w:val="Note-Refs"/>
            </w:pPr>
          </w:p>
        </w:tc>
        <w:tc>
          <w:tcPr>
            <w:tcW w:w="2366" w:type="pct"/>
            <w:vAlign w:val="bottom"/>
          </w:tcPr>
          <w:p w14:paraId="055BA95F" w14:textId="7957A547" w:rsidR="00E321F1" w:rsidRPr="0074467D" w:rsidRDefault="00E321F1" w:rsidP="001A5D4A">
            <w:pPr>
              <w:pStyle w:val="Note-TextHeader"/>
            </w:pPr>
            <w:r w:rsidRPr="0074467D">
              <w:t xml:space="preserve">Amounts recognised in the Income Statement </w:t>
            </w:r>
            <w:r w:rsidR="0020055F">
              <w:t>-</w:t>
            </w:r>
            <w:r w:rsidRPr="0074467D">
              <w:t xml:space="preserve"> </w:t>
            </w:r>
            <w:r>
              <w:t>2013</w:t>
            </w:r>
          </w:p>
        </w:tc>
        <w:tc>
          <w:tcPr>
            <w:tcW w:w="202" w:type="pct"/>
          </w:tcPr>
          <w:p w14:paraId="287D4ED8" w14:textId="77777777" w:rsidR="00E321F1" w:rsidRPr="00BC1814" w:rsidRDefault="00E321F1" w:rsidP="001A5D4A">
            <w:pPr>
              <w:pStyle w:val="NotesTable-Notes"/>
            </w:pPr>
          </w:p>
        </w:tc>
        <w:tc>
          <w:tcPr>
            <w:tcW w:w="406" w:type="pct"/>
          </w:tcPr>
          <w:p w14:paraId="6A468A2F" w14:textId="77777777" w:rsidR="00E321F1" w:rsidRPr="00755668" w:rsidRDefault="00E321F1" w:rsidP="001A5D4A">
            <w:pPr>
              <w:pStyle w:val="NotesTable-CellPlain"/>
            </w:pPr>
          </w:p>
        </w:tc>
        <w:tc>
          <w:tcPr>
            <w:tcW w:w="406" w:type="pct"/>
          </w:tcPr>
          <w:p w14:paraId="2F30257C" w14:textId="77777777" w:rsidR="00E321F1" w:rsidRPr="00755668" w:rsidRDefault="00E321F1" w:rsidP="001A5D4A">
            <w:pPr>
              <w:pStyle w:val="NotesTable-CellPlain"/>
            </w:pPr>
          </w:p>
        </w:tc>
        <w:tc>
          <w:tcPr>
            <w:tcW w:w="406" w:type="pct"/>
          </w:tcPr>
          <w:p w14:paraId="651ADBEA" w14:textId="77777777" w:rsidR="00E321F1" w:rsidRPr="00755668" w:rsidRDefault="00E321F1" w:rsidP="001A5D4A">
            <w:pPr>
              <w:pStyle w:val="NotesTable-CellPlain"/>
            </w:pPr>
          </w:p>
        </w:tc>
        <w:tc>
          <w:tcPr>
            <w:tcW w:w="403" w:type="pct"/>
          </w:tcPr>
          <w:p w14:paraId="52737FFD" w14:textId="77777777" w:rsidR="00E321F1" w:rsidRPr="00755668" w:rsidRDefault="00E321F1" w:rsidP="001A5D4A">
            <w:pPr>
              <w:pStyle w:val="NotesTable-CellPlain"/>
            </w:pPr>
          </w:p>
        </w:tc>
      </w:tr>
      <w:tr w:rsidR="00E321F1" w:rsidRPr="00755668" w14:paraId="05C6141F" w14:textId="77777777" w:rsidTr="00261A68">
        <w:trPr>
          <w:cantSplit/>
          <w:trHeight w:val="161"/>
        </w:trPr>
        <w:tc>
          <w:tcPr>
            <w:tcW w:w="811" w:type="pct"/>
            <w:vAlign w:val="bottom"/>
          </w:tcPr>
          <w:p w14:paraId="4BE95849" w14:textId="77777777" w:rsidR="00E321F1" w:rsidRDefault="00E321F1" w:rsidP="001A5D4A">
            <w:pPr>
              <w:pStyle w:val="Note-Refs"/>
            </w:pPr>
          </w:p>
        </w:tc>
        <w:tc>
          <w:tcPr>
            <w:tcW w:w="4189" w:type="pct"/>
            <w:gridSpan w:val="6"/>
          </w:tcPr>
          <w:p w14:paraId="51ECD577" w14:textId="77777777" w:rsidR="00E321F1" w:rsidRPr="00755668" w:rsidRDefault="00E321F1" w:rsidP="001A5D4A">
            <w:pPr>
              <w:pStyle w:val="NotesTable-ItemPlain"/>
            </w:pPr>
            <w:r>
              <w:t>The amounts recognised in the income statement are restricted to the X scheme and pension in accordance with note 1(r). The amounts are included in the Income Statement.</w:t>
            </w:r>
          </w:p>
        </w:tc>
      </w:tr>
      <w:tr w:rsidR="00E321F1" w14:paraId="1850D908" w14:textId="77777777" w:rsidTr="00AA2125">
        <w:trPr>
          <w:cantSplit/>
          <w:trHeight w:val="161"/>
        </w:trPr>
        <w:tc>
          <w:tcPr>
            <w:tcW w:w="811" w:type="pct"/>
            <w:vAlign w:val="bottom"/>
          </w:tcPr>
          <w:p w14:paraId="1AFE8D3B" w14:textId="77777777" w:rsidR="00E321F1" w:rsidRDefault="00E321F1" w:rsidP="001A5D4A">
            <w:pPr>
              <w:pStyle w:val="Note-Refs"/>
            </w:pPr>
          </w:p>
        </w:tc>
        <w:tc>
          <w:tcPr>
            <w:tcW w:w="2366" w:type="pct"/>
            <w:vAlign w:val="bottom"/>
          </w:tcPr>
          <w:p w14:paraId="327CCB1B" w14:textId="77777777" w:rsidR="00E321F1" w:rsidRDefault="00E321F1" w:rsidP="001A5D4A">
            <w:pPr>
              <w:pStyle w:val="NotesTable-ItemPlain"/>
            </w:pPr>
          </w:p>
        </w:tc>
        <w:tc>
          <w:tcPr>
            <w:tcW w:w="202" w:type="pct"/>
          </w:tcPr>
          <w:p w14:paraId="788886E6" w14:textId="77777777" w:rsidR="00E321F1" w:rsidRPr="00BC1814" w:rsidRDefault="00E321F1" w:rsidP="001A5D4A">
            <w:pPr>
              <w:pStyle w:val="NotesTable-Notes"/>
            </w:pPr>
          </w:p>
        </w:tc>
        <w:tc>
          <w:tcPr>
            <w:tcW w:w="406" w:type="pct"/>
          </w:tcPr>
          <w:p w14:paraId="28AC1952" w14:textId="77777777" w:rsidR="00E321F1" w:rsidRDefault="00E321F1" w:rsidP="001A5D4A">
            <w:pPr>
              <w:pStyle w:val="NotesTable-CellPlain"/>
            </w:pPr>
          </w:p>
        </w:tc>
        <w:tc>
          <w:tcPr>
            <w:tcW w:w="406" w:type="pct"/>
          </w:tcPr>
          <w:p w14:paraId="6D542AB0" w14:textId="77777777" w:rsidR="00E321F1" w:rsidRDefault="00E321F1" w:rsidP="001A5D4A">
            <w:pPr>
              <w:pStyle w:val="NotesTable-CellPlain"/>
            </w:pPr>
          </w:p>
        </w:tc>
        <w:tc>
          <w:tcPr>
            <w:tcW w:w="406" w:type="pct"/>
          </w:tcPr>
          <w:p w14:paraId="50F6A237" w14:textId="77777777" w:rsidR="00E321F1" w:rsidRDefault="00E321F1" w:rsidP="001A5D4A">
            <w:pPr>
              <w:pStyle w:val="NotesTable-CellPlain"/>
            </w:pPr>
          </w:p>
        </w:tc>
        <w:tc>
          <w:tcPr>
            <w:tcW w:w="403" w:type="pct"/>
          </w:tcPr>
          <w:p w14:paraId="20B9F09F" w14:textId="77777777" w:rsidR="00E321F1" w:rsidRDefault="00E321F1" w:rsidP="001A5D4A">
            <w:pPr>
              <w:pStyle w:val="NotesTable-CellPlain"/>
            </w:pPr>
          </w:p>
        </w:tc>
      </w:tr>
      <w:tr w:rsidR="00E321F1" w:rsidRPr="00755668" w14:paraId="5647509B" w14:textId="77777777" w:rsidTr="00AA2125">
        <w:trPr>
          <w:cantSplit/>
          <w:trHeight w:val="161"/>
        </w:trPr>
        <w:tc>
          <w:tcPr>
            <w:tcW w:w="811" w:type="pct"/>
            <w:vAlign w:val="bottom"/>
          </w:tcPr>
          <w:p w14:paraId="70A2D681" w14:textId="77777777" w:rsidR="00E321F1" w:rsidRDefault="00E321F1" w:rsidP="001A5D4A">
            <w:pPr>
              <w:pStyle w:val="Note-Refs"/>
            </w:pPr>
          </w:p>
        </w:tc>
        <w:tc>
          <w:tcPr>
            <w:tcW w:w="2366" w:type="pct"/>
            <w:vAlign w:val="bottom"/>
          </w:tcPr>
          <w:p w14:paraId="320C0175" w14:textId="77777777" w:rsidR="00E321F1" w:rsidRDefault="00E321F1" w:rsidP="001A5D4A">
            <w:pPr>
              <w:pStyle w:val="NotesTable-ItemPlain"/>
            </w:pPr>
            <w:r>
              <w:t>Current service cost</w:t>
            </w:r>
          </w:p>
        </w:tc>
        <w:tc>
          <w:tcPr>
            <w:tcW w:w="202" w:type="pct"/>
          </w:tcPr>
          <w:p w14:paraId="11A0C33E" w14:textId="77777777" w:rsidR="00E321F1" w:rsidRPr="00BC1814" w:rsidRDefault="00E321F1" w:rsidP="001A5D4A">
            <w:pPr>
              <w:pStyle w:val="NotesTable-Notes"/>
            </w:pPr>
          </w:p>
        </w:tc>
        <w:tc>
          <w:tcPr>
            <w:tcW w:w="406" w:type="pct"/>
            <w:vAlign w:val="bottom"/>
          </w:tcPr>
          <w:p w14:paraId="5F6EDDEA" w14:textId="77777777" w:rsidR="00E321F1" w:rsidRPr="00755668" w:rsidRDefault="00E321F1" w:rsidP="001A5D4A">
            <w:pPr>
              <w:pStyle w:val="NotesTable-CellPlain"/>
            </w:pPr>
            <w:r w:rsidRPr="002A72F5">
              <w:t>–</w:t>
            </w:r>
          </w:p>
        </w:tc>
        <w:tc>
          <w:tcPr>
            <w:tcW w:w="406" w:type="pct"/>
            <w:vAlign w:val="bottom"/>
          </w:tcPr>
          <w:p w14:paraId="3B444348" w14:textId="77777777" w:rsidR="00E321F1" w:rsidRPr="00755668" w:rsidRDefault="00E321F1" w:rsidP="001A5D4A">
            <w:pPr>
              <w:pStyle w:val="NotesTable-CellPlain"/>
            </w:pPr>
            <w:r w:rsidRPr="002A72F5">
              <w:t>–</w:t>
            </w:r>
          </w:p>
        </w:tc>
        <w:tc>
          <w:tcPr>
            <w:tcW w:w="406" w:type="pct"/>
            <w:vAlign w:val="bottom"/>
          </w:tcPr>
          <w:p w14:paraId="44D602DD" w14:textId="77777777" w:rsidR="00E321F1" w:rsidRPr="00755668" w:rsidRDefault="00E321F1" w:rsidP="001A5D4A">
            <w:pPr>
              <w:pStyle w:val="NotesTable-CellPlain"/>
            </w:pPr>
            <w:r w:rsidRPr="002A72F5">
              <w:t>–</w:t>
            </w:r>
          </w:p>
        </w:tc>
        <w:tc>
          <w:tcPr>
            <w:tcW w:w="403" w:type="pct"/>
            <w:vAlign w:val="bottom"/>
          </w:tcPr>
          <w:p w14:paraId="6138ACBA" w14:textId="77777777" w:rsidR="00E321F1" w:rsidRPr="00755668" w:rsidRDefault="00E321F1" w:rsidP="001A5D4A">
            <w:pPr>
              <w:pStyle w:val="NotesTable-CellPlain"/>
            </w:pPr>
            <w:r w:rsidRPr="002A72F5">
              <w:t>–</w:t>
            </w:r>
          </w:p>
        </w:tc>
      </w:tr>
      <w:tr w:rsidR="002F7B63" w:rsidRPr="00755668" w14:paraId="5EA3FA6C" w14:textId="77777777" w:rsidTr="00AA2125">
        <w:trPr>
          <w:cantSplit/>
          <w:trHeight w:val="161"/>
        </w:trPr>
        <w:tc>
          <w:tcPr>
            <w:tcW w:w="811" w:type="pct"/>
            <w:vAlign w:val="bottom"/>
          </w:tcPr>
          <w:p w14:paraId="7B67ACEF" w14:textId="77777777" w:rsidR="002F7B63" w:rsidRDefault="002F7B63" w:rsidP="001A5D4A">
            <w:pPr>
              <w:pStyle w:val="Note-Refs"/>
            </w:pPr>
          </w:p>
        </w:tc>
        <w:tc>
          <w:tcPr>
            <w:tcW w:w="2366" w:type="pct"/>
            <w:vAlign w:val="bottom"/>
          </w:tcPr>
          <w:p w14:paraId="536249E1" w14:textId="53CAE93C" w:rsidR="002F7B63" w:rsidRDefault="002F7B63" w:rsidP="001A5D4A">
            <w:pPr>
              <w:pStyle w:val="NotesTable-ItemPlain"/>
            </w:pPr>
            <w:r>
              <w:t>Past service cost</w:t>
            </w:r>
          </w:p>
        </w:tc>
        <w:tc>
          <w:tcPr>
            <w:tcW w:w="202" w:type="pct"/>
          </w:tcPr>
          <w:p w14:paraId="7CB91CB8" w14:textId="77777777" w:rsidR="002F7B63" w:rsidRPr="00BC1814" w:rsidRDefault="002F7B63" w:rsidP="001A5D4A">
            <w:pPr>
              <w:pStyle w:val="NotesTable-Notes"/>
            </w:pPr>
          </w:p>
        </w:tc>
        <w:tc>
          <w:tcPr>
            <w:tcW w:w="406" w:type="pct"/>
            <w:vAlign w:val="bottom"/>
          </w:tcPr>
          <w:p w14:paraId="648FB2D5" w14:textId="74744F56" w:rsidR="002F7B63" w:rsidRPr="002A72F5" w:rsidRDefault="002F7B63" w:rsidP="001A5D4A">
            <w:pPr>
              <w:pStyle w:val="NotesTable-CellPlain"/>
            </w:pPr>
            <w:r w:rsidRPr="002A72F5">
              <w:t>–</w:t>
            </w:r>
          </w:p>
        </w:tc>
        <w:tc>
          <w:tcPr>
            <w:tcW w:w="406" w:type="pct"/>
            <w:vAlign w:val="bottom"/>
          </w:tcPr>
          <w:p w14:paraId="77CC761C" w14:textId="2D148630" w:rsidR="002F7B63" w:rsidRPr="002A72F5" w:rsidRDefault="002F7B63" w:rsidP="001A5D4A">
            <w:pPr>
              <w:pStyle w:val="NotesTable-CellPlain"/>
            </w:pPr>
            <w:r w:rsidRPr="002A72F5">
              <w:t>–</w:t>
            </w:r>
          </w:p>
        </w:tc>
        <w:tc>
          <w:tcPr>
            <w:tcW w:w="406" w:type="pct"/>
            <w:vAlign w:val="bottom"/>
          </w:tcPr>
          <w:p w14:paraId="79DBFD1D" w14:textId="076CA127" w:rsidR="002F7B63" w:rsidRPr="002A72F5" w:rsidRDefault="002F7B63" w:rsidP="001A5D4A">
            <w:pPr>
              <w:pStyle w:val="NotesTable-CellPlain"/>
            </w:pPr>
            <w:r w:rsidRPr="002A72F5">
              <w:t>–</w:t>
            </w:r>
          </w:p>
        </w:tc>
        <w:tc>
          <w:tcPr>
            <w:tcW w:w="403" w:type="pct"/>
            <w:vAlign w:val="bottom"/>
          </w:tcPr>
          <w:p w14:paraId="078A45CA" w14:textId="6D6F141B" w:rsidR="002F7B63" w:rsidRPr="002A72F5" w:rsidRDefault="002F7B63" w:rsidP="001A5D4A">
            <w:pPr>
              <w:pStyle w:val="NotesTable-CellPlain"/>
            </w:pPr>
            <w:r w:rsidRPr="002A72F5">
              <w:t>–</w:t>
            </w:r>
          </w:p>
        </w:tc>
      </w:tr>
      <w:tr w:rsidR="00E321F1" w:rsidRPr="00755668" w14:paraId="1A1ECC13" w14:textId="77777777" w:rsidTr="00AA2125">
        <w:trPr>
          <w:cantSplit/>
          <w:trHeight w:val="161"/>
        </w:trPr>
        <w:tc>
          <w:tcPr>
            <w:tcW w:w="811" w:type="pct"/>
            <w:vAlign w:val="bottom"/>
          </w:tcPr>
          <w:p w14:paraId="08EC3FE0" w14:textId="77777777" w:rsidR="00E321F1" w:rsidRDefault="00E321F1" w:rsidP="001A5D4A">
            <w:pPr>
              <w:pStyle w:val="Note-Refs"/>
            </w:pPr>
          </w:p>
        </w:tc>
        <w:tc>
          <w:tcPr>
            <w:tcW w:w="2366" w:type="pct"/>
            <w:vAlign w:val="bottom"/>
          </w:tcPr>
          <w:p w14:paraId="6A5B27A0" w14:textId="77777777" w:rsidR="00E321F1" w:rsidRDefault="00E321F1" w:rsidP="001A5D4A">
            <w:pPr>
              <w:pStyle w:val="NotesTable-ItemPlain"/>
            </w:pPr>
            <w:r>
              <w:t>Interest expense</w:t>
            </w:r>
          </w:p>
        </w:tc>
        <w:tc>
          <w:tcPr>
            <w:tcW w:w="202" w:type="pct"/>
          </w:tcPr>
          <w:p w14:paraId="460C0841" w14:textId="77777777" w:rsidR="00E321F1" w:rsidRPr="00BC1814" w:rsidRDefault="00E321F1" w:rsidP="001A5D4A">
            <w:pPr>
              <w:pStyle w:val="NotesTable-Notes"/>
            </w:pPr>
          </w:p>
        </w:tc>
        <w:tc>
          <w:tcPr>
            <w:tcW w:w="406" w:type="pct"/>
            <w:vAlign w:val="bottom"/>
          </w:tcPr>
          <w:p w14:paraId="56A58B5D" w14:textId="77777777" w:rsidR="00E321F1" w:rsidRPr="00755668" w:rsidRDefault="00E321F1" w:rsidP="001A5D4A">
            <w:pPr>
              <w:pStyle w:val="NotesTable-CellPlain"/>
            </w:pPr>
            <w:r w:rsidRPr="002A72F5">
              <w:t>–</w:t>
            </w:r>
          </w:p>
        </w:tc>
        <w:tc>
          <w:tcPr>
            <w:tcW w:w="406" w:type="pct"/>
            <w:vAlign w:val="bottom"/>
          </w:tcPr>
          <w:p w14:paraId="27E06240" w14:textId="77777777" w:rsidR="00E321F1" w:rsidRPr="00755668" w:rsidRDefault="00E321F1" w:rsidP="001A5D4A">
            <w:pPr>
              <w:pStyle w:val="NotesTable-CellPlain"/>
            </w:pPr>
            <w:r w:rsidRPr="002A72F5">
              <w:t>–</w:t>
            </w:r>
          </w:p>
        </w:tc>
        <w:tc>
          <w:tcPr>
            <w:tcW w:w="406" w:type="pct"/>
            <w:vAlign w:val="bottom"/>
          </w:tcPr>
          <w:p w14:paraId="66260791" w14:textId="77777777" w:rsidR="00E321F1" w:rsidRPr="00755668" w:rsidRDefault="00E321F1" w:rsidP="001A5D4A">
            <w:pPr>
              <w:pStyle w:val="NotesTable-CellPlain"/>
            </w:pPr>
            <w:r w:rsidRPr="002A72F5">
              <w:t>–</w:t>
            </w:r>
          </w:p>
        </w:tc>
        <w:tc>
          <w:tcPr>
            <w:tcW w:w="403" w:type="pct"/>
            <w:vAlign w:val="bottom"/>
          </w:tcPr>
          <w:p w14:paraId="5BFD291B" w14:textId="77777777" w:rsidR="00E321F1" w:rsidRPr="00755668" w:rsidRDefault="00E321F1" w:rsidP="001A5D4A">
            <w:pPr>
              <w:pStyle w:val="NotesTable-CellPlain"/>
            </w:pPr>
            <w:r w:rsidRPr="002A72F5">
              <w:t>–</w:t>
            </w:r>
          </w:p>
        </w:tc>
      </w:tr>
      <w:tr w:rsidR="00E321F1" w:rsidRPr="00755668" w14:paraId="32FF550F" w14:textId="77777777" w:rsidTr="00AA2125">
        <w:trPr>
          <w:cantSplit/>
          <w:trHeight w:val="161"/>
        </w:trPr>
        <w:tc>
          <w:tcPr>
            <w:tcW w:w="811" w:type="pct"/>
            <w:vAlign w:val="bottom"/>
          </w:tcPr>
          <w:p w14:paraId="2A87B185" w14:textId="77777777" w:rsidR="00E321F1" w:rsidRDefault="00E321F1" w:rsidP="001A5D4A">
            <w:pPr>
              <w:pStyle w:val="Note-Refs"/>
            </w:pPr>
          </w:p>
        </w:tc>
        <w:tc>
          <w:tcPr>
            <w:tcW w:w="2366" w:type="pct"/>
            <w:vAlign w:val="bottom"/>
          </w:tcPr>
          <w:p w14:paraId="32B21322" w14:textId="77777777" w:rsidR="00E321F1" w:rsidRDefault="00E321F1" w:rsidP="001A5D4A">
            <w:pPr>
              <w:pStyle w:val="NotesTable-ItemPlain"/>
            </w:pPr>
            <w:r>
              <w:t>Interest income</w:t>
            </w:r>
          </w:p>
        </w:tc>
        <w:tc>
          <w:tcPr>
            <w:tcW w:w="202" w:type="pct"/>
          </w:tcPr>
          <w:p w14:paraId="7494D4B1" w14:textId="77777777" w:rsidR="00E321F1" w:rsidRPr="00BC1814" w:rsidRDefault="00E321F1" w:rsidP="001A5D4A">
            <w:pPr>
              <w:pStyle w:val="NotesTable-Notes"/>
            </w:pPr>
          </w:p>
        </w:tc>
        <w:tc>
          <w:tcPr>
            <w:tcW w:w="406" w:type="pct"/>
            <w:tcBorders>
              <w:bottom w:val="single" w:sz="4" w:space="0" w:color="auto"/>
            </w:tcBorders>
            <w:vAlign w:val="bottom"/>
          </w:tcPr>
          <w:p w14:paraId="0CB0863C" w14:textId="77777777" w:rsidR="00E321F1" w:rsidRPr="00755668" w:rsidRDefault="00E321F1" w:rsidP="001A5D4A">
            <w:pPr>
              <w:pStyle w:val="NotesTable-CellPlain"/>
            </w:pPr>
            <w:r w:rsidRPr="002A72F5">
              <w:t>–</w:t>
            </w:r>
          </w:p>
        </w:tc>
        <w:tc>
          <w:tcPr>
            <w:tcW w:w="406" w:type="pct"/>
            <w:tcBorders>
              <w:bottom w:val="single" w:sz="4" w:space="0" w:color="auto"/>
            </w:tcBorders>
            <w:vAlign w:val="bottom"/>
          </w:tcPr>
          <w:p w14:paraId="6B1A6FE8" w14:textId="77777777" w:rsidR="00E321F1" w:rsidRPr="00755668" w:rsidRDefault="00E321F1" w:rsidP="001A5D4A">
            <w:pPr>
              <w:pStyle w:val="NotesTable-CellPlain"/>
            </w:pPr>
            <w:r w:rsidRPr="002A72F5">
              <w:t>–</w:t>
            </w:r>
          </w:p>
        </w:tc>
        <w:tc>
          <w:tcPr>
            <w:tcW w:w="406" w:type="pct"/>
            <w:tcBorders>
              <w:bottom w:val="single" w:sz="4" w:space="0" w:color="auto"/>
            </w:tcBorders>
            <w:vAlign w:val="bottom"/>
          </w:tcPr>
          <w:p w14:paraId="7043F563" w14:textId="77777777" w:rsidR="00E321F1" w:rsidRPr="00755668" w:rsidRDefault="00E321F1" w:rsidP="001A5D4A">
            <w:pPr>
              <w:pStyle w:val="NotesTable-CellPlain"/>
            </w:pPr>
            <w:r w:rsidRPr="002A72F5">
              <w:t>–</w:t>
            </w:r>
          </w:p>
        </w:tc>
        <w:tc>
          <w:tcPr>
            <w:tcW w:w="403" w:type="pct"/>
            <w:tcBorders>
              <w:bottom w:val="single" w:sz="4" w:space="0" w:color="auto"/>
            </w:tcBorders>
            <w:vAlign w:val="bottom"/>
          </w:tcPr>
          <w:p w14:paraId="7A29DC8F" w14:textId="77777777" w:rsidR="00E321F1" w:rsidRPr="00755668" w:rsidRDefault="00E321F1" w:rsidP="001A5D4A">
            <w:pPr>
              <w:pStyle w:val="NotesTable-CellPlain"/>
            </w:pPr>
            <w:r w:rsidRPr="002A72F5">
              <w:t>–</w:t>
            </w:r>
          </w:p>
        </w:tc>
      </w:tr>
      <w:tr w:rsidR="00E321F1" w:rsidRPr="00755668" w14:paraId="57A5019F" w14:textId="77777777" w:rsidTr="00AA2125">
        <w:trPr>
          <w:cantSplit/>
          <w:trHeight w:val="161"/>
        </w:trPr>
        <w:tc>
          <w:tcPr>
            <w:tcW w:w="811" w:type="pct"/>
            <w:vAlign w:val="bottom"/>
          </w:tcPr>
          <w:p w14:paraId="086EE4B6" w14:textId="77777777" w:rsidR="00E321F1" w:rsidRDefault="00E321F1" w:rsidP="001A5D4A">
            <w:pPr>
              <w:pStyle w:val="Note-Refs"/>
            </w:pPr>
          </w:p>
        </w:tc>
        <w:tc>
          <w:tcPr>
            <w:tcW w:w="2366" w:type="pct"/>
            <w:vAlign w:val="bottom"/>
          </w:tcPr>
          <w:p w14:paraId="2148DFCD" w14:textId="77777777" w:rsidR="00E321F1" w:rsidRPr="0074467D" w:rsidRDefault="00E321F1" w:rsidP="001A5D4A">
            <w:pPr>
              <w:pStyle w:val="NotesTable-ItemPlain"/>
            </w:pPr>
            <w:r w:rsidRPr="0074467D">
              <w:t>Total expense recognised in the Income Statement</w:t>
            </w:r>
          </w:p>
        </w:tc>
        <w:tc>
          <w:tcPr>
            <w:tcW w:w="202" w:type="pct"/>
          </w:tcPr>
          <w:p w14:paraId="03BE9278" w14:textId="77777777" w:rsidR="00E321F1" w:rsidRPr="00BC1814" w:rsidRDefault="00E321F1" w:rsidP="001A5D4A">
            <w:pPr>
              <w:pStyle w:val="NotesTable-Notes"/>
            </w:pPr>
            <w:r>
              <w:t>11</w:t>
            </w:r>
          </w:p>
        </w:tc>
        <w:tc>
          <w:tcPr>
            <w:tcW w:w="406" w:type="pct"/>
            <w:tcBorders>
              <w:top w:val="single" w:sz="4" w:space="0" w:color="auto"/>
            </w:tcBorders>
            <w:vAlign w:val="bottom"/>
          </w:tcPr>
          <w:p w14:paraId="4105B4A6" w14:textId="77777777" w:rsidR="00E321F1" w:rsidRPr="00755668" w:rsidRDefault="00E321F1" w:rsidP="001A5D4A">
            <w:pPr>
              <w:pStyle w:val="NotesTable-CellPlain"/>
            </w:pPr>
            <w:r w:rsidRPr="002A72F5">
              <w:t>–</w:t>
            </w:r>
          </w:p>
        </w:tc>
        <w:tc>
          <w:tcPr>
            <w:tcW w:w="406" w:type="pct"/>
            <w:tcBorders>
              <w:top w:val="single" w:sz="4" w:space="0" w:color="auto"/>
            </w:tcBorders>
            <w:vAlign w:val="bottom"/>
          </w:tcPr>
          <w:p w14:paraId="12F020D8" w14:textId="77777777" w:rsidR="00E321F1" w:rsidRPr="00755668" w:rsidRDefault="00E321F1" w:rsidP="001A5D4A">
            <w:pPr>
              <w:pStyle w:val="NotesTable-CellPlain"/>
            </w:pPr>
            <w:r w:rsidRPr="002A72F5">
              <w:t>–</w:t>
            </w:r>
          </w:p>
        </w:tc>
        <w:tc>
          <w:tcPr>
            <w:tcW w:w="406" w:type="pct"/>
            <w:tcBorders>
              <w:top w:val="single" w:sz="4" w:space="0" w:color="auto"/>
            </w:tcBorders>
            <w:vAlign w:val="bottom"/>
          </w:tcPr>
          <w:p w14:paraId="2128BE76" w14:textId="77777777" w:rsidR="00E321F1" w:rsidRPr="00755668" w:rsidRDefault="00E321F1" w:rsidP="001A5D4A">
            <w:pPr>
              <w:pStyle w:val="NotesTable-CellPlain"/>
            </w:pPr>
            <w:r w:rsidRPr="002A72F5">
              <w:t>–</w:t>
            </w:r>
          </w:p>
        </w:tc>
        <w:tc>
          <w:tcPr>
            <w:tcW w:w="403" w:type="pct"/>
            <w:tcBorders>
              <w:top w:val="single" w:sz="4" w:space="0" w:color="auto"/>
            </w:tcBorders>
            <w:vAlign w:val="bottom"/>
          </w:tcPr>
          <w:p w14:paraId="331F6CFD" w14:textId="77777777" w:rsidR="00E321F1" w:rsidRPr="00755668" w:rsidRDefault="00E321F1" w:rsidP="001A5D4A">
            <w:pPr>
              <w:pStyle w:val="NotesTable-CellPlain"/>
            </w:pPr>
            <w:r w:rsidRPr="002A72F5">
              <w:t>–</w:t>
            </w:r>
          </w:p>
        </w:tc>
      </w:tr>
      <w:tr w:rsidR="00E321F1" w:rsidRPr="00755668" w14:paraId="4F6C0D1F" w14:textId="77777777" w:rsidTr="00AA2125">
        <w:trPr>
          <w:cantSplit/>
          <w:trHeight w:val="161"/>
        </w:trPr>
        <w:tc>
          <w:tcPr>
            <w:tcW w:w="811" w:type="pct"/>
            <w:vAlign w:val="bottom"/>
          </w:tcPr>
          <w:p w14:paraId="703C1730" w14:textId="77777777" w:rsidR="00E321F1" w:rsidRDefault="00E321F1" w:rsidP="001A5D4A">
            <w:pPr>
              <w:pStyle w:val="Note-Refs"/>
            </w:pPr>
          </w:p>
        </w:tc>
        <w:tc>
          <w:tcPr>
            <w:tcW w:w="2366" w:type="pct"/>
            <w:vAlign w:val="bottom"/>
          </w:tcPr>
          <w:p w14:paraId="4C5271E4" w14:textId="77777777" w:rsidR="00E321F1" w:rsidRDefault="00E321F1" w:rsidP="001A5D4A">
            <w:pPr>
              <w:pStyle w:val="NotesTable-ItemPlain"/>
            </w:pPr>
          </w:p>
        </w:tc>
        <w:tc>
          <w:tcPr>
            <w:tcW w:w="202" w:type="pct"/>
          </w:tcPr>
          <w:p w14:paraId="11E80F6C" w14:textId="77777777" w:rsidR="00E321F1" w:rsidRPr="00BC1814" w:rsidRDefault="00E321F1" w:rsidP="001A5D4A">
            <w:pPr>
              <w:pStyle w:val="NotesTable-Notes"/>
            </w:pPr>
          </w:p>
        </w:tc>
        <w:tc>
          <w:tcPr>
            <w:tcW w:w="406" w:type="pct"/>
          </w:tcPr>
          <w:p w14:paraId="0EA462AD" w14:textId="77777777" w:rsidR="00E321F1" w:rsidRPr="00755668" w:rsidRDefault="00E321F1" w:rsidP="001A5D4A">
            <w:pPr>
              <w:pStyle w:val="NotesTable-CellPlain"/>
            </w:pPr>
          </w:p>
        </w:tc>
        <w:tc>
          <w:tcPr>
            <w:tcW w:w="406" w:type="pct"/>
          </w:tcPr>
          <w:p w14:paraId="536A426A" w14:textId="77777777" w:rsidR="00E321F1" w:rsidRPr="00755668" w:rsidRDefault="00E321F1" w:rsidP="001A5D4A">
            <w:pPr>
              <w:pStyle w:val="NotesTable-CellPlain"/>
            </w:pPr>
          </w:p>
        </w:tc>
        <w:tc>
          <w:tcPr>
            <w:tcW w:w="406" w:type="pct"/>
          </w:tcPr>
          <w:p w14:paraId="2E82C5DC" w14:textId="77777777" w:rsidR="00E321F1" w:rsidRPr="00755668" w:rsidRDefault="00E321F1" w:rsidP="001A5D4A">
            <w:pPr>
              <w:pStyle w:val="NotesTable-CellPlain"/>
            </w:pPr>
          </w:p>
        </w:tc>
        <w:tc>
          <w:tcPr>
            <w:tcW w:w="403" w:type="pct"/>
          </w:tcPr>
          <w:p w14:paraId="69ED4B3B" w14:textId="77777777" w:rsidR="00E321F1" w:rsidRPr="00755668" w:rsidRDefault="00E321F1" w:rsidP="001A5D4A">
            <w:pPr>
              <w:pStyle w:val="NotesTable-CellPlain"/>
            </w:pPr>
          </w:p>
        </w:tc>
      </w:tr>
      <w:tr w:rsidR="00E321F1" w:rsidRPr="00755668" w14:paraId="7E763B07" w14:textId="77777777" w:rsidTr="00261A68">
        <w:trPr>
          <w:cantSplit/>
          <w:trHeight w:val="161"/>
        </w:trPr>
        <w:tc>
          <w:tcPr>
            <w:tcW w:w="811" w:type="pct"/>
            <w:vAlign w:val="bottom"/>
          </w:tcPr>
          <w:p w14:paraId="7F402D4F" w14:textId="77777777" w:rsidR="00E321F1" w:rsidRDefault="00E321F1" w:rsidP="001A5D4A">
            <w:pPr>
              <w:pStyle w:val="Note-Refs"/>
            </w:pPr>
          </w:p>
        </w:tc>
        <w:tc>
          <w:tcPr>
            <w:tcW w:w="4189" w:type="pct"/>
            <w:gridSpan w:val="6"/>
          </w:tcPr>
          <w:p w14:paraId="5C1721BD" w14:textId="254C8EBC" w:rsidR="00E321F1" w:rsidRPr="00755668" w:rsidRDefault="00E321F1" w:rsidP="001A5D4A">
            <w:pPr>
              <w:pStyle w:val="Note-TextHeader"/>
            </w:pPr>
            <w:r w:rsidRPr="0074467D">
              <w:t xml:space="preserve">Amounts recognised in </w:t>
            </w:r>
            <w:r>
              <w:t>other c</w:t>
            </w:r>
            <w:r w:rsidRPr="0074467D">
              <w:t xml:space="preserve">omprehensive </w:t>
            </w:r>
            <w:r>
              <w:t>i</w:t>
            </w:r>
            <w:r w:rsidRPr="0074467D">
              <w:t xml:space="preserve">ncome - </w:t>
            </w:r>
            <w:r>
              <w:t>2013</w:t>
            </w:r>
          </w:p>
        </w:tc>
      </w:tr>
      <w:tr w:rsidR="00E321F1" w:rsidRPr="00755668" w14:paraId="57295A8C" w14:textId="77777777" w:rsidTr="00261A68">
        <w:trPr>
          <w:cantSplit/>
          <w:trHeight w:val="161"/>
        </w:trPr>
        <w:tc>
          <w:tcPr>
            <w:tcW w:w="811" w:type="pct"/>
            <w:vAlign w:val="bottom"/>
          </w:tcPr>
          <w:p w14:paraId="18C386EA" w14:textId="77777777" w:rsidR="00E321F1" w:rsidRDefault="00E321F1" w:rsidP="001A5D4A">
            <w:pPr>
              <w:pStyle w:val="Note-Refs"/>
            </w:pPr>
          </w:p>
        </w:tc>
        <w:tc>
          <w:tcPr>
            <w:tcW w:w="4189" w:type="pct"/>
            <w:gridSpan w:val="6"/>
          </w:tcPr>
          <w:p w14:paraId="201B6CCB" w14:textId="77777777" w:rsidR="00E321F1" w:rsidRPr="00755668" w:rsidRDefault="00E321F1" w:rsidP="001A5D4A">
            <w:pPr>
              <w:pStyle w:val="NotesTable-ItemPlain"/>
            </w:pPr>
            <w:r>
              <w:t>The amounts recognised in the statement of comprehensive income are restricted to the X scheme and pension in accordance with note 1(r). The amounts are included in retained earnings (note 36)</w:t>
            </w:r>
          </w:p>
        </w:tc>
      </w:tr>
      <w:tr w:rsidR="00E321F1" w:rsidRPr="00755668" w14:paraId="66922717" w14:textId="77777777" w:rsidTr="00AA2125">
        <w:trPr>
          <w:cantSplit/>
          <w:trHeight w:val="161"/>
        </w:trPr>
        <w:tc>
          <w:tcPr>
            <w:tcW w:w="811" w:type="pct"/>
            <w:vAlign w:val="bottom"/>
          </w:tcPr>
          <w:p w14:paraId="68838C8A" w14:textId="77777777" w:rsidR="00E321F1" w:rsidRDefault="00E321F1" w:rsidP="001A5D4A">
            <w:pPr>
              <w:pStyle w:val="Note-Refs"/>
            </w:pPr>
          </w:p>
        </w:tc>
        <w:tc>
          <w:tcPr>
            <w:tcW w:w="2366" w:type="pct"/>
            <w:vAlign w:val="bottom"/>
          </w:tcPr>
          <w:p w14:paraId="19B3889D" w14:textId="77777777" w:rsidR="00E321F1" w:rsidRPr="0074467D" w:rsidRDefault="00E321F1" w:rsidP="001A5D4A">
            <w:pPr>
              <w:pStyle w:val="NotesTable-ItemPlain"/>
            </w:pPr>
            <w:r w:rsidRPr="0074467D">
              <w:t>Remeasurements</w:t>
            </w:r>
          </w:p>
        </w:tc>
        <w:tc>
          <w:tcPr>
            <w:tcW w:w="202" w:type="pct"/>
          </w:tcPr>
          <w:p w14:paraId="178CB9E4" w14:textId="77777777" w:rsidR="00E321F1" w:rsidRPr="00BC1814" w:rsidRDefault="00E321F1" w:rsidP="001A5D4A">
            <w:pPr>
              <w:pStyle w:val="NotesTable-Notes"/>
            </w:pPr>
          </w:p>
        </w:tc>
        <w:tc>
          <w:tcPr>
            <w:tcW w:w="406" w:type="pct"/>
          </w:tcPr>
          <w:p w14:paraId="0CC424EA" w14:textId="77777777" w:rsidR="00E321F1" w:rsidRPr="00755668" w:rsidRDefault="00E321F1" w:rsidP="001A5D4A">
            <w:pPr>
              <w:pStyle w:val="NotesTable-CellPlain"/>
            </w:pPr>
          </w:p>
        </w:tc>
        <w:tc>
          <w:tcPr>
            <w:tcW w:w="406" w:type="pct"/>
          </w:tcPr>
          <w:p w14:paraId="5BC8EA9D" w14:textId="77777777" w:rsidR="00E321F1" w:rsidRPr="00755668" w:rsidRDefault="00E321F1" w:rsidP="001A5D4A">
            <w:pPr>
              <w:pStyle w:val="NotesTable-CellPlain"/>
            </w:pPr>
          </w:p>
        </w:tc>
        <w:tc>
          <w:tcPr>
            <w:tcW w:w="406" w:type="pct"/>
          </w:tcPr>
          <w:p w14:paraId="45DD7F6C" w14:textId="77777777" w:rsidR="00E321F1" w:rsidRPr="00755668" w:rsidRDefault="00E321F1" w:rsidP="001A5D4A">
            <w:pPr>
              <w:pStyle w:val="NotesTable-CellPlain"/>
            </w:pPr>
          </w:p>
        </w:tc>
        <w:tc>
          <w:tcPr>
            <w:tcW w:w="403" w:type="pct"/>
          </w:tcPr>
          <w:p w14:paraId="5D6E2BC6" w14:textId="77777777" w:rsidR="00E321F1" w:rsidRPr="00755668" w:rsidRDefault="00E321F1" w:rsidP="001A5D4A">
            <w:pPr>
              <w:pStyle w:val="NotesTable-CellPlain"/>
            </w:pPr>
          </w:p>
        </w:tc>
      </w:tr>
      <w:tr w:rsidR="00E321F1" w:rsidRPr="00755668" w14:paraId="440039E3" w14:textId="77777777" w:rsidTr="00AA2125">
        <w:trPr>
          <w:cantSplit/>
          <w:trHeight w:val="161"/>
        </w:trPr>
        <w:tc>
          <w:tcPr>
            <w:tcW w:w="811" w:type="pct"/>
            <w:vAlign w:val="bottom"/>
          </w:tcPr>
          <w:p w14:paraId="0FF2873B" w14:textId="77777777" w:rsidR="00E321F1" w:rsidRDefault="00E321F1" w:rsidP="001A5D4A">
            <w:pPr>
              <w:pStyle w:val="Note-Refs"/>
            </w:pPr>
          </w:p>
        </w:tc>
        <w:tc>
          <w:tcPr>
            <w:tcW w:w="2366" w:type="pct"/>
            <w:vAlign w:val="bottom"/>
          </w:tcPr>
          <w:p w14:paraId="663AAF28" w14:textId="77777777" w:rsidR="00E321F1" w:rsidRDefault="00E321F1" w:rsidP="001A5D4A">
            <w:pPr>
              <w:pStyle w:val="NotesTable-ItemPlain"/>
            </w:pPr>
            <w:r>
              <w:t xml:space="preserve">Actuarial losses (gains) arising from changes in demographic assumptions </w:t>
            </w:r>
          </w:p>
        </w:tc>
        <w:tc>
          <w:tcPr>
            <w:tcW w:w="202" w:type="pct"/>
          </w:tcPr>
          <w:p w14:paraId="745E91BB" w14:textId="77777777" w:rsidR="00E321F1" w:rsidRPr="00BC1814" w:rsidRDefault="00E321F1" w:rsidP="001A5D4A">
            <w:pPr>
              <w:pStyle w:val="NotesTable-Notes"/>
            </w:pPr>
          </w:p>
        </w:tc>
        <w:tc>
          <w:tcPr>
            <w:tcW w:w="406" w:type="pct"/>
            <w:vAlign w:val="bottom"/>
          </w:tcPr>
          <w:p w14:paraId="6B09AAF7" w14:textId="77777777" w:rsidR="00E321F1" w:rsidRPr="00755668" w:rsidRDefault="00E321F1" w:rsidP="001A5D4A">
            <w:pPr>
              <w:pStyle w:val="NotesTable-CellPlain"/>
            </w:pPr>
            <w:r w:rsidRPr="002A72F5">
              <w:t>–</w:t>
            </w:r>
          </w:p>
        </w:tc>
        <w:tc>
          <w:tcPr>
            <w:tcW w:w="406" w:type="pct"/>
            <w:vAlign w:val="bottom"/>
          </w:tcPr>
          <w:p w14:paraId="6CF0C57B" w14:textId="77777777" w:rsidR="00E321F1" w:rsidRPr="00755668" w:rsidRDefault="00E321F1" w:rsidP="001A5D4A">
            <w:pPr>
              <w:pStyle w:val="NotesTable-CellPlain"/>
            </w:pPr>
            <w:r w:rsidRPr="002A72F5">
              <w:t>–</w:t>
            </w:r>
          </w:p>
        </w:tc>
        <w:tc>
          <w:tcPr>
            <w:tcW w:w="406" w:type="pct"/>
            <w:vAlign w:val="bottom"/>
          </w:tcPr>
          <w:p w14:paraId="6BD4F458" w14:textId="77777777" w:rsidR="00E321F1" w:rsidRPr="00755668" w:rsidRDefault="00E321F1" w:rsidP="001A5D4A">
            <w:pPr>
              <w:pStyle w:val="NotesTable-CellPlain"/>
            </w:pPr>
            <w:r w:rsidRPr="002A72F5">
              <w:t>–</w:t>
            </w:r>
          </w:p>
        </w:tc>
        <w:tc>
          <w:tcPr>
            <w:tcW w:w="403" w:type="pct"/>
            <w:vAlign w:val="bottom"/>
          </w:tcPr>
          <w:p w14:paraId="63AECD20" w14:textId="77777777" w:rsidR="00E321F1" w:rsidRPr="00755668" w:rsidRDefault="00E321F1" w:rsidP="001A5D4A">
            <w:pPr>
              <w:pStyle w:val="NotesTable-CellPlain"/>
            </w:pPr>
            <w:r w:rsidRPr="002A72F5">
              <w:t>–</w:t>
            </w:r>
          </w:p>
        </w:tc>
      </w:tr>
      <w:tr w:rsidR="00E321F1" w:rsidRPr="00755668" w14:paraId="2101DF46" w14:textId="77777777" w:rsidTr="00AA2125">
        <w:trPr>
          <w:cantSplit/>
          <w:trHeight w:val="161"/>
        </w:trPr>
        <w:tc>
          <w:tcPr>
            <w:tcW w:w="811" w:type="pct"/>
            <w:vAlign w:val="bottom"/>
          </w:tcPr>
          <w:p w14:paraId="57B99D91" w14:textId="77777777" w:rsidR="00E321F1" w:rsidRDefault="00E321F1" w:rsidP="001A5D4A">
            <w:pPr>
              <w:pStyle w:val="Note-Refs"/>
            </w:pPr>
          </w:p>
        </w:tc>
        <w:tc>
          <w:tcPr>
            <w:tcW w:w="2366" w:type="pct"/>
            <w:vAlign w:val="bottom"/>
          </w:tcPr>
          <w:p w14:paraId="06DEB74B" w14:textId="77777777" w:rsidR="00E321F1" w:rsidRDefault="00E321F1" w:rsidP="001A5D4A">
            <w:pPr>
              <w:pStyle w:val="NotesTable-ItemPlain"/>
            </w:pPr>
            <w:r>
              <w:t xml:space="preserve">Actuarial losses (gains) arising from changes in financial assumptions </w:t>
            </w:r>
          </w:p>
        </w:tc>
        <w:tc>
          <w:tcPr>
            <w:tcW w:w="202" w:type="pct"/>
          </w:tcPr>
          <w:p w14:paraId="292A7623" w14:textId="77777777" w:rsidR="00E321F1" w:rsidRPr="00BC1814" w:rsidRDefault="00E321F1" w:rsidP="001A5D4A">
            <w:pPr>
              <w:pStyle w:val="NotesTable-Notes"/>
            </w:pPr>
          </w:p>
        </w:tc>
        <w:tc>
          <w:tcPr>
            <w:tcW w:w="406" w:type="pct"/>
            <w:vAlign w:val="bottom"/>
          </w:tcPr>
          <w:p w14:paraId="5D02F7E7" w14:textId="77777777" w:rsidR="00E321F1" w:rsidRPr="00755668" w:rsidRDefault="00E321F1" w:rsidP="001A5D4A">
            <w:pPr>
              <w:pStyle w:val="NotesTable-CellPlain"/>
            </w:pPr>
            <w:r w:rsidRPr="002A72F5">
              <w:t>–</w:t>
            </w:r>
          </w:p>
        </w:tc>
        <w:tc>
          <w:tcPr>
            <w:tcW w:w="406" w:type="pct"/>
            <w:vAlign w:val="bottom"/>
          </w:tcPr>
          <w:p w14:paraId="55ED34EE" w14:textId="77777777" w:rsidR="00E321F1" w:rsidRPr="00755668" w:rsidRDefault="00E321F1" w:rsidP="001A5D4A">
            <w:pPr>
              <w:pStyle w:val="NotesTable-CellPlain"/>
            </w:pPr>
            <w:r w:rsidRPr="002A72F5">
              <w:t>–</w:t>
            </w:r>
          </w:p>
        </w:tc>
        <w:tc>
          <w:tcPr>
            <w:tcW w:w="406" w:type="pct"/>
            <w:vAlign w:val="bottom"/>
          </w:tcPr>
          <w:p w14:paraId="08146A67" w14:textId="77777777" w:rsidR="00E321F1" w:rsidRPr="00755668" w:rsidRDefault="00E321F1" w:rsidP="001A5D4A">
            <w:pPr>
              <w:pStyle w:val="NotesTable-CellPlain"/>
            </w:pPr>
            <w:r w:rsidRPr="002A72F5">
              <w:t>–</w:t>
            </w:r>
          </w:p>
        </w:tc>
        <w:tc>
          <w:tcPr>
            <w:tcW w:w="403" w:type="pct"/>
            <w:vAlign w:val="bottom"/>
          </w:tcPr>
          <w:p w14:paraId="1242A007" w14:textId="77777777" w:rsidR="00E321F1" w:rsidRPr="00755668" w:rsidRDefault="00E321F1" w:rsidP="001A5D4A">
            <w:pPr>
              <w:pStyle w:val="NotesTable-CellPlain"/>
            </w:pPr>
            <w:r w:rsidRPr="002A72F5">
              <w:t>–</w:t>
            </w:r>
          </w:p>
        </w:tc>
      </w:tr>
      <w:tr w:rsidR="00E321F1" w:rsidRPr="00755668" w14:paraId="4E58F121" w14:textId="77777777" w:rsidTr="00AA2125">
        <w:trPr>
          <w:cantSplit/>
          <w:trHeight w:val="161"/>
        </w:trPr>
        <w:tc>
          <w:tcPr>
            <w:tcW w:w="811" w:type="pct"/>
            <w:vAlign w:val="bottom"/>
          </w:tcPr>
          <w:p w14:paraId="5FDF32C8" w14:textId="77777777" w:rsidR="00E321F1" w:rsidRDefault="00E321F1" w:rsidP="001A5D4A">
            <w:pPr>
              <w:pStyle w:val="Note-Refs"/>
            </w:pPr>
          </w:p>
        </w:tc>
        <w:tc>
          <w:tcPr>
            <w:tcW w:w="2366" w:type="pct"/>
            <w:vAlign w:val="bottom"/>
          </w:tcPr>
          <w:p w14:paraId="10ABFEE5" w14:textId="77777777" w:rsidR="00E321F1" w:rsidRDefault="00E321F1" w:rsidP="001A5D4A">
            <w:pPr>
              <w:pStyle w:val="NotesTable-ItemPlain"/>
            </w:pPr>
            <w:r>
              <w:t>Actuarial losses (gains) arising from experience adjustments</w:t>
            </w:r>
          </w:p>
        </w:tc>
        <w:tc>
          <w:tcPr>
            <w:tcW w:w="202" w:type="pct"/>
          </w:tcPr>
          <w:p w14:paraId="315E61AC" w14:textId="77777777" w:rsidR="00E321F1" w:rsidRPr="00BC1814" w:rsidRDefault="00E321F1" w:rsidP="001A5D4A">
            <w:pPr>
              <w:pStyle w:val="NotesTable-Notes"/>
            </w:pPr>
          </w:p>
        </w:tc>
        <w:tc>
          <w:tcPr>
            <w:tcW w:w="406" w:type="pct"/>
            <w:vAlign w:val="bottom"/>
          </w:tcPr>
          <w:p w14:paraId="0CD5CC18" w14:textId="77777777" w:rsidR="00E321F1" w:rsidRPr="00755668" w:rsidRDefault="00E321F1" w:rsidP="001A5D4A">
            <w:pPr>
              <w:pStyle w:val="NotesTable-CellPlain"/>
            </w:pPr>
            <w:r w:rsidRPr="002A72F5">
              <w:t>–</w:t>
            </w:r>
          </w:p>
        </w:tc>
        <w:tc>
          <w:tcPr>
            <w:tcW w:w="406" w:type="pct"/>
            <w:vAlign w:val="bottom"/>
          </w:tcPr>
          <w:p w14:paraId="01036893" w14:textId="77777777" w:rsidR="00E321F1" w:rsidRPr="00755668" w:rsidRDefault="00E321F1" w:rsidP="001A5D4A">
            <w:pPr>
              <w:pStyle w:val="NotesTable-CellPlain"/>
            </w:pPr>
            <w:r w:rsidRPr="002A72F5">
              <w:t>–</w:t>
            </w:r>
          </w:p>
        </w:tc>
        <w:tc>
          <w:tcPr>
            <w:tcW w:w="406" w:type="pct"/>
            <w:vAlign w:val="bottom"/>
          </w:tcPr>
          <w:p w14:paraId="7ACF7730" w14:textId="77777777" w:rsidR="00E321F1" w:rsidRPr="00755668" w:rsidRDefault="00E321F1" w:rsidP="001A5D4A">
            <w:pPr>
              <w:pStyle w:val="NotesTable-CellPlain"/>
            </w:pPr>
            <w:r w:rsidRPr="002A72F5">
              <w:t>–</w:t>
            </w:r>
          </w:p>
        </w:tc>
        <w:tc>
          <w:tcPr>
            <w:tcW w:w="403" w:type="pct"/>
            <w:vAlign w:val="bottom"/>
          </w:tcPr>
          <w:p w14:paraId="041C5797" w14:textId="77777777" w:rsidR="00E321F1" w:rsidRPr="00755668" w:rsidRDefault="00E321F1" w:rsidP="001A5D4A">
            <w:pPr>
              <w:pStyle w:val="NotesTable-CellPlain"/>
            </w:pPr>
            <w:r w:rsidRPr="002A72F5">
              <w:t>–</w:t>
            </w:r>
          </w:p>
        </w:tc>
      </w:tr>
      <w:tr w:rsidR="00E321F1" w:rsidRPr="00755668" w14:paraId="062B8C08" w14:textId="77777777" w:rsidTr="00AA2125">
        <w:trPr>
          <w:cantSplit/>
          <w:trHeight w:val="161"/>
        </w:trPr>
        <w:tc>
          <w:tcPr>
            <w:tcW w:w="811" w:type="pct"/>
            <w:vAlign w:val="bottom"/>
          </w:tcPr>
          <w:p w14:paraId="45275E72" w14:textId="77777777" w:rsidR="00E321F1" w:rsidRDefault="00E321F1" w:rsidP="001A5D4A">
            <w:pPr>
              <w:pStyle w:val="Note-Refs"/>
            </w:pPr>
          </w:p>
        </w:tc>
        <w:tc>
          <w:tcPr>
            <w:tcW w:w="2366" w:type="pct"/>
            <w:vAlign w:val="bottom"/>
          </w:tcPr>
          <w:p w14:paraId="125F24FE" w14:textId="77777777" w:rsidR="00E321F1" w:rsidRDefault="00E321F1" w:rsidP="001A5D4A">
            <w:pPr>
              <w:pStyle w:val="NotesTable-ItemPlain"/>
            </w:pPr>
            <w:r>
              <w:t>Actual return on plan assets less interest income</w:t>
            </w:r>
          </w:p>
        </w:tc>
        <w:tc>
          <w:tcPr>
            <w:tcW w:w="202" w:type="pct"/>
          </w:tcPr>
          <w:p w14:paraId="671AD520" w14:textId="77777777" w:rsidR="00E321F1" w:rsidRPr="00BC1814" w:rsidRDefault="00E321F1" w:rsidP="001A5D4A">
            <w:pPr>
              <w:pStyle w:val="NotesTable-Notes"/>
            </w:pPr>
          </w:p>
        </w:tc>
        <w:tc>
          <w:tcPr>
            <w:tcW w:w="406" w:type="pct"/>
            <w:tcBorders>
              <w:bottom w:val="single" w:sz="4" w:space="0" w:color="auto"/>
            </w:tcBorders>
            <w:vAlign w:val="bottom"/>
          </w:tcPr>
          <w:p w14:paraId="0B6F16F4" w14:textId="77777777" w:rsidR="00E321F1" w:rsidRPr="00755668" w:rsidRDefault="00E321F1" w:rsidP="001A5D4A">
            <w:pPr>
              <w:pStyle w:val="NotesTable-CellPlain"/>
            </w:pPr>
            <w:r w:rsidRPr="002A72F5">
              <w:t>–</w:t>
            </w:r>
          </w:p>
        </w:tc>
        <w:tc>
          <w:tcPr>
            <w:tcW w:w="406" w:type="pct"/>
            <w:tcBorders>
              <w:bottom w:val="single" w:sz="4" w:space="0" w:color="auto"/>
            </w:tcBorders>
            <w:vAlign w:val="bottom"/>
          </w:tcPr>
          <w:p w14:paraId="3FD03873" w14:textId="77777777" w:rsidR="00E321F1" w:rsidRPr="00755668" w:rsidRDefault="00E321F1" w:rsidP="001A5D4A">
            <w:pPr>
              <w:pStyle w:val="NotesTable-CellPlain"/>
            </w:pPr>
            <w:r w:rsidRPr="002A72F5">
              <w:t>–</w:t>
            </w:r>
          </w:p>
        </w:tc>
        <w:tc>
          <w:tcPr>
            <w:tcW w:w="406" w:type="pct"/>
            <w:tcBorders>
              <w:bottom w:val="single" w:sz="4" w:space="0" w:color="auto"/>
            </w:tcBorders>
            <w:vAlign w:val="bottom"/>
          </w:tcPr>
          <w:p w14:paraId="32127B41" w14:textId="77777777" w:rsidR="00E321F1" w:rsidRPr="00755668" w:rsidRDefault="00E321F1" w:rsidP="001A5D4A">
            <w:pPr>
              <w:pStyle w:val="NotesTable-CellPlain"/>
            </w:pPr>
            <w:r w:rsidRPr="002A72F5">
              <w:t>–</w:t>
            </w:r>
          </w:p>
        </w:tc>
        <w:tc>
          <w:tcPr>
            <w:tcW w:w="403" w:type="pct"/>
            <w:tcBorders>
              <w:bottom w:val="single" w:sz="4" w:space="0" w:color="auto"/>
            </w:tcBorders>
            <w:vAlign w:val="bottom"/>
          </w:tcPr>
          <w:p w14:paraId="0A0F4089" w14:textId="77777777" w:rsidR="00E321F1" w:rsidRPr="00755668" w:rsidRDefault="00E321F1" w:rsidP="001A5D4A">
            <w:pPr>
              <w:pStyle w:val="NotesTable-CellPlain"/>
            </w:pPr>
            <w:r w:rsidRPr="002A72F5">
              <w:t>–</w:t>
            </w:r>
          </w:p>
        </w:tc>
      </w:tr>
      <w:tr w:rsidR="00E321F1" w:rsidRPr="00755668" w14:paraId="4A9081C2" w14:textId="77777777" w:rsidTr="00AA2125">
        <w:trPr>
          <w:cantSplit/>
          <w:trHeight w:val="161"/>
        </w:trPr>
        <w:tc>
          <w:tcPr>
            <w:tcW w:w="811" w:type="pct"/>
            <w:vAlign w:val="bottom"/>
          </w:tcPr>
          <w:p w14:paraId="4FA7D497" w14:textId="77777777" w:rsidR="00E321F1" w:rsidRDefault="00E321F1" w:rsidP="001A5D4A">
            <w:pPr>
              <w:pStyle w:val="Note-Refs"/>
            </w:pPr>
          </w:p>
        </w:tc>
        <w:tc>
          <w:tcPr>
            <w:tcW w:w="2366" w:type="pct"/>
            <w:vAlign w:val="bottom"/>
          </w:tcPr>
          <w:p w14:paraId="74937BD8" w14:textId="77777777" w:rsidR="00E321F1" w:rsidRDefault="00E321F1" w:rsidP="001A5D4A">
            <w:pPr>
              <w:pStyle w:val="NotesTable-ItemPlain"/>
            </w:pPr>
            <w:r>
              <w:t>Total remeasurements in OCI</w:t>
            </w:r>
          </w:p>
        </w:tc>
        <w:tc>
          <w:tcPr>
            <w:tcW w:w="202" w:type="pct"/>
          </w:tcPr>
          <w:p w14:paraId="59030940" w14:textId="77777777" w:rsidR="00E321F1" w:rsidRPr="00BC1814" w:rsidRDefault="00E321F1" w:rsidP="001A5D4A">
            <w:pPr>
              <w:pStyle w:val="NotesTable-Notes"/>
            </w:pPr>
          </w:p>
        </w:tc>
        <w:tc>
          <w:tcPr>
            <w:tcW w:w="406" w:type="pct"/>
            <w:tcBorders>
              <w:top w:val="single" w:sz="4" w:space="0" w:color="auto"/>
            </w:tcBorders>
            <w:vAlign w:val="bottom"/>
          </w:tcPr>
          <w:p w14:paraId="6486B8C9" w14:textId="77777777" w:rsidR="00E321F1" w:rsidRPr="00755668" w:rsidRDefault="00E321F1" w:rsidP="001A5D4A">
            <w:pPr>
              <w:pStyle w:val="NotesTable-CellPlain"/>
            </w:pPr>
            <w:r w:rsidRPr="002A72F5">
              <w:t>–</w:t>
            </w:r>
          </w:p>
        </w:tc>
        <w:tc>
          <w:tcPr>
            <w:tcW w:w="406" w:type="pct"/>
            <w:tcBorders>
              <w:top w:val="single" w:sz="4" w:space="0" w:color="auto"/>
            </w:tcBorders>
            <w:vAlign w:val="bottom"/>
          </w:tcPr>
          <w:p w14:paraId="1F6BDD60" w14:textId="77777777" w:rsidR="00E321F1" w:rsidRPr="00755668" w:rsidRDefault="00E321F1" w:rsidP="001A5D4A">
            <w:pPr>
              <w:pStyle w:val="NotesTable-CellPlain"/>
            </w:pPr>
            <w:r w:rsidRPr="002A72F5">
              <w:t>–</w:t>
            </w:r>
          </w:p>
        </w:tc>
        <w:tc>
          <w:tcPr>
            <w:tcW w:w="406" w:type="pct"/>
            <w:tcBorders>
              <w:top w:val="single" w:sz="4" w:space="0" w:color="auto"/>
            </w:tcBorders>
            <w:vAlign w:val="bottom"/>
          </w:tcPr>
          <w:p w14:paraId="08186400" w14:textId="77777777" w:rsidR="00E321F1" w:rsidRPr="00755668" w:rsidRDefault="00E321F1" w:rsidP="001A5D4A">
            <w:pPr>
              <w:pStyle w:val="NotesTable-CellPlain"/>
            </w:pPr>
            <w:r w:rsidRPr="002A72F5">
              <w:t>–</w:t>
            </w:r>
          </w:p>
        </w:tc>
        <w:tc>
          <w:tcPr>
            <w:tcW w:w="403" w:type="pct"/>
            <w:tcBorders>
              <w:top w:val="single" w:sz="4" w:space="0" w:color="auto"/>
            </w:tcBorders>
            <w:vAlign w:val="bottom"/>
          </w:tcPr>
          <w:p w14:paraId="2AC1095A" w14:textId="77777777" w:rsidR="00E321F1" w:rsidRPr="00755668" w:rsidRDefault="00E321F1" w:rsidP="001A5D4A">
            <w:pPr>
              <w:pStyle w:val="NotesTable-CellPlain"/>
            </w:pPr>
            <w:r w:rsidRPr="002A72F5">
              <w:t>–</w:t>
            </w:r>
          </w:p>
        </w:tc>
      </w:tr>
      <w:tr w:rsidR="00E321F1" w:rsidRPr="00755668" w14:paraId="4650B356" w14:textId="77777777" w:rsidTr="00AA2125">
        <w:trPr>
          <w:cantSplit/>
          <w:trHeight w:val="161"/>
        </w:trPr>
        <w:tc>
          <w:tcPr>
            <w:tcW w:w="811" w:type="pct"/>
            <w:vAlign w:val="bottom"/>
          </w:tcPr>
          <w:p w14:paraId="24CED4EE" w14:textId="77777777" w:rsidR="00E321F1" w:rsidRDefault="00E321F1" w:rsidP="001A5D4A">
            <w:pPr>
              <w:pStyle w:val="Note-Refs"/>
            </w:pPr>
          </w:p>
        </w:tc>
        <w:tc>
          <w:tcPr>
            <w:tcW w:w="2366" w:type="pct"/>
            <w:vAlign w:val="bottom"/>
          </w:tcPr>
          <w:p w14:paraId="2DCB860E" w14:textId="59633FD3" w:rsidR="00E321F1" w:rsidRPr="0074467D" w:rsidRDefault="00E321F1" w:rsidP="001A5D4A">
            <w:pPr>
              <w:pStyle w:val="NotesTable-ItemPlain"/>
            </w:pPr>
            <w:r w:rsidRPr="0074467D">
              <w:t>Total</w:t>
            </w:r>
            <w:r w:rsidR="002F7B63">
              <w:t xml:space="preserve"> </w:t>
            </w:r>
            <w:r>
              <w:t>amounts</w:t>
            </w:r>
            <w:r w:rsidRPr="0074467D">
              <w:t xml:space="preserve"> recognised in the Statement of Comprehensive Income </w:t>
            </w:r>
          </w:p>
        </w:tc>
        <w:tc>
          <w:tcPr>
            <w:tcW w:w="202" w:type="pct"/>
          </w:tcPr>
          <w:p w14:paraId="73E28785" w14:textId="77777777" w:rsidR="00E321F1" w:rsidRPr="00BC1814" w:rsidRDefault="00E321F1" w:rsidP="001A5D4A">
            <w:pPr>
              <w:pStyle w:val="NotesTable-Notes"/>
            </w:pPr>
            <w:r>
              <w:t>37</w:t>
            </w:r>
          </w:p>
        </w:tc>
        <w:tc>
          <w:tcPr>
            <w:tcW w:w="406" w:type="pct"/>
            <w:vAlign w:val="bottom"/>
          </w:tcPr>
          <w:p w14:paraId="5476019C" w14:textId="77777777" w:rsidR="00E321F1" w:rsidRPr="00755668" w:rsidRDefault="00E321F1" w:rsidP="001A5D4A">
            <w:pPr>
              <w:pStyle w:val="NotesTable-CellPlain"/>
            </w:pPr>
            <w:r w:rsidRPr="002A72F5">
              <w:t>–</w:t>
            </w:r>
          </w:p>
        </w:tc>
        <w:tc>
          <w:tcPr>
            <w:tcW w:w="406" w:type="pct"/>
            <w:vAlign w:val="bottom"/>
          </w:tcPr>
          <w:p w14:paraId="4E28A718" w14:textId="77777777" w:rsidR="00E321F1" w:rsidRPr="00755668" w:rsidRDefault="00E321F1" w:rsidP="001A5D4A">
            <w:pPr>
              <w:pStyle w:val="NotesTable-CellPlain"/>
            </w:pPr>
            <w:r w:rsidRPr="002A72F5">
              <w:t>–</w:t>
            </w:r>
          </w:p>
        </w:tc>
        <w:tc>
          <w:tcPr>
            <w:tcW w:w="406" w:type="pct"/>
            <w:vAlign w:val="bottom"/>
          </w:tcPr>
          <w:p w14:paraId="089F335E" w14:textId="77777777" w:rsidR="00E321F1" w:rsidRPr="00755668" w:rsidRDefault="00E321F1" w:rsidP="001A5D4A">
            <w:pPr>
              <w:pStyle w:val="NotesTable-CellPlain"/>
            </w:pPr>
            <w:r w:rsidRPr="002A72F5">
              <w:t>–</w:t>
            </w:r>
          </w:p>
        </w:tc>
        <w:tc>
          <w:tcPr>
            <w:tcW w:w="403" w:type="pct"/>
            <w:vAlign w:val="bottom"/>
          </w:tcPr>
          <w:p w14:paraId="5E8242FC" w14:textId="77777777" w:rsidR="00E321F1" w:rsidRPr="00755668" w:rsidRDefault="00E321F1" w:rsidP="001A5D4A">
            <w:pPr>
              <w:pStyle w:val="NotesTable-CellPlain"/>
            </w:pPr>
            <w:r w:rsidRPr="002A72F5">
              <w:t>–</w:t>
            </w:r>
          </w:p>
        </w:tc>
      </w:tr>
      <w:tr w:rsidR="00E321F1" w14:paraId="47ADCC93" w14:textId="77777777" w:rsidTr="00AA2125">
        <w:trPr>
          <w:cantSplit/>
          <w:trHeight w:val="161"/>
        </w:trPr>
        <w:tc>
          <w:tcPr>
            <w:tcW w:w="811" w:type="pct"/>
            <w:vAlign w:val="bottom"/>
          </w:tcPr>
          <w:p w14:paraId="20FCB266" w14:textId="77777777" w:rsidR="00E321F1" w:rsidRDefault="00E321F1" w:rsidP="001A5D4A">
            <w:pPr>
              <w:pStyle w:val="Note-Refs"/>
            </w:pPr>
          </w:p>
        </w:tc>
        <w:tc>
          <w:tcPr>
            <w:tcW w:w="2366" w:type="pct"/>
            <w:vAlign w:val="bottom"/>
          </w:tcPr>
          <w:p w14:paraId="1954C9D3" w14:textId="77777777" w:rsidR="00E321F1" w:rsidRPr="0074467D" w:rsidRDefault="00E321F1" w:rsidP="001A5D4A">
            <w:pPr>
              <w:pStyle w:val="NotesTable-ItemPlain"/>
            </w:pPr>
          </w:p>
        </w:tc>
        <w:tc>
          <w:tcPr>
            <w:tcW w:w="202" w:type="pct"/>
          </w:tcPr>
          <w:p w14:paraId="64CF642A" w14:textId="77777777" w:rsidR="00E321F1" w:rsidRDefault="00E321F1" w:rsidP="001A5D4A">
            <w:pPr>
              <w:pStyle w:val="NotesTable-Notes"/>
            </w:pPr>
          </w:p>
        </w:tc>
        <w:tc>
          <w:tcPr>
            <w:tcW w:w="406" w:type="pct"/>
          </w:tcPr>
          <w:p w14:paraId="03428829" w14:textId="77777777" w:rsidR="00E321F1" w:rsidRDefault="00E321F1" w:rsidP="001A5D4A">
            <w:pPr>
              <w:pStyle w:val="NotesTable-CellPlain"/>
            </w:pPr>
          </w:p>
        </w:tc>
        <w:tc>
          <w:tcPr>
            <w:tcW w:w="406" w:type="pct"/>
          </w:tcPr>
          <w:p w14:paraId="2A6E4BC3" w14:textId="77777777" w:rsidR="00E321F1" w:rsidRDefault="00E321F1" w:rsidP="001A5D4A">
            <w:pPr>
              <w:pStyle w:val="NotesTable-CellPlain"/>
            </w:pPr>
          </w:p>
        </w:tc>
        <w:tc>
          <w:tcPr>
            <w:tcW w:w="406" w:type="pct"/>
          </w:tcPr>
          <w:p w14:paraId="645D3A87" w14:textId="77777777" w:rsidR="00E321F1" w:rsidRDefault="00E321F1" w:rsidP="001A5D4A">
            <w:pPr>
              <w:pStyle w:val="NotesTable-CellPlain"/>
            </w:pPr>
          </w:p>
        </w:tc>
        <w:tc>
          <w:tcPr>
            <w:tcW w:w="403" w:type="pct"/>
          </w:tcPr>
          <w:p w14:paraId="679B30D8" w14:textId="77777777" w:rsidR="00E321F1" w:rsidRDefault="00E321F1" w:rsidP="001A5D4A">
            <w:pPr>
              <w:pStyle w:val="NotesTable-CellPlain"/>
            </w:pPr>
          </w:p>
        </w:tc>
      </w:tr>
    </w:tbl>
    <w:p w14:paraId="1AE135F8" w14:textId="77777777" w:rsidR="00210017" w:rsidRPr="00AA2125" w:rsidRDefault="00210017" w:rsidP="001A5D4A">
      <w:pPr>
        <w:pStyle w:val="Heading3"/>
        <w:rPr>
          <w:color w:val="2D3E7B" w:themeColor="text2" w:themeShade="BF"/>
        </w:rPr>
      </w:pPr>
      <w:bookmarkStart w:id="436" w:name="_Toc410807689"/>
      <w:bookmarkStart w:id="437" w:name="_Toc410822750"/>
      <w:r w:rsidRPr="00AA2125">
        <w:rPr>
          <w:color w:val="2D3E7B" w:themeColor="text2" w:themeShade="BF"/>
        </w:rPr>
        <w:t>Commentary – Defined Benefit Plans</w:t>
      </w:r>
      <w:bookmarkEnd w:id="436"/>
      <w:bookmarkEnd w:id="437"/>
    </w:p>
    <w:p w14:paraId="030FD983" w14:textId="77777777" w:rsidR="00210017" w:rsidRPr="00AA2125" w:rsidRDefault="00210017" w:rsidP="00655761">
      <w:pPr>
        <w:pStyle w:val="Heading6"/>
      </w:pPr>
      <w:r w:rsidRPr="00AA2125">
        <w:t>AASB119.8</w:t>
      </w:r>
    </w:p>
    <w:p w14:paraId="1218342F" w14:textId="77777777" w:rsidR="00210017" w:rsidRPr="00AA2125" w:rsidRDefault="00210017" w:rsidP="001A5D4A">
      <w:pPr>
        <w:rPr>
          <w:color w:val="2D3E7B" w:themeColor="text2" w:themeShade="BF"/>
        </w:rPr>
      </w:pPr>
      <w:r w:rsidRPr="00AA2125">
        <w:rPr>
          <w:color w:val="2D3E7B" w:themeColor="text2" w:themeShade="BF"/>
        </w:rPr>
        <w:t>This note deals with defined benefits plans as outlined in AASB119.26-152. AASB119.8 defines defined benefit plans as being post-employment benefit plans other than defined contribution plans. Defined contribution plans are defined in AASB119.8 as post-employment plans under which the entity pays fixed contributions into a fund and have no legal or constructive obligation to pay further contributions if the fund does not hold sufficient assets.</w:t>
      </w:r>
    </w:p>
    <w:p w14:paraId="4A37199A" w14:textId="77777777" w:rsidR="00210017" w:rsidRPr="00AA2125" w:rsidRDefault="00210017" w:rsidP="00655761">
      <w:pPr>
        <w:pStyle w:val="Heading6"/>
      </w:pPr>
      <w:r w:rsidRPr="00AA2125">
        <w:lastRenderedPageBreak/>
        <w:t>AASB119.53</w:t>
      </w:r>
    </w:p>
    <w:p w14:paraId="3EDE0CD3" w14:textId="77777777" w:rsidR="00210017" w:rsidRPr="00AA2125" w:rsidRDefault="00210017" w:rsidP="001A5D4A">
      <w:pPr>
        <w:rPr>
          <w:color w:val="2D3E7B" w:themeColor="text2" w:themeShade="BF"/>
        </w:rPr>
      </w:pPr>
      <w:r w:rsidRPr="00AA2125">
        <w:rPr>
          <w:color w:val="2D3E7B" w:themeColor="text2" w:themeShade="BF"/>
        </w:rPr>
        <w:t>Unisuper is a defined contribution plan and no disclosure is required under this note. In accordance with AASB119.53 disclosure for defined contribution plans (such as Unisuper) is limited to the amount recognised as an expense and this is included in Funded Contribution amounts of note 10 - Employee Related Expenses.</w:t>
      </w:r>
    </w:p>
    <w:p w14:paraId="744D4CB2" w14:textId="77777777" w:rsidR="00210017" w:rsidRPr="00AA2125" w:rsidRDefault="00210017" w:rsidP="00655761">
      <w:pPr>
        <w:pStyle w:val="Heading6"/>
      </w:pPr>
      <w:r w:rsidRPr="00AA2125">
        <w:t>AASB119.140</w:t>
      </w:r>
    </w:p>
    <w:p w14:paraId="54842F3D" w14:textId="77777777" w:rsidR="00210017" w:rsidRPr="00210017" w:rsidRDefault="00210017" w:rsidP="001A5D4A">
      <w:pPr>
        <w:rPr>
          <w:color w:val="2D3E7B" w:themeColor="text2" w:themeShade="BF"/>
          <w:highlight w:val="yellow"/>
        </w:rPr>
      </w:pPr>
      <w:r w:rsidRPr="00AA2125">
        <w:rPr>
          <w:color w:val="2D3E7B" w:themeColor="text2" w:themeShade="BF"/>
        </w:rPr>
        <w:t xml:space="preserve">AASB119.140 requires </w:t>
      </w:r>
      <w:r w:rsidRPr="00210017">
        <w:rPr>
          <w:color w:val="2D3E7B" w:themeColor="text2" w:themeShade="BF"/>
        </w:rPr>
        <w:t xml:space="preserve">a reconciliation between the items disclosed in this note and the items included in the statement of financial position, specifically, for the items Net Liability (to note 31), reimbursement right (to note 19) and expense recognised (to note 10). Where the university applies a net liability approach against all funds, the amounts above will align with the respective notes and as such no specific reconciliation disclosure is required apart from cross referencing the amounts (as per the disclosure above). Entities that separately report funds in a net asset position as an asset will need to disclose </w:t>
      </w:r>
      <w:proofErr w:type="gramStart"/>
      <w:r w:rsidRPr="00210017">
        <w:rPr>
          <w:color w:val="2D3E7B" w:themeColor="text2" w:themeShade="BF"/>
        </w:rPr>
        <w:t>a reconciliation</w:t>
      </w:r>
      <w:proofErr w:type="gramEnd"/>
      <w:r w:rsidRPr="00210017">
        <w:rPr>
          <w:color w:val="2D3E7B" w:themeColor="text2" w:themeShade="BF"/>
        </w:rPr>
        <w:t xml:space="preserve"> between the amounts in other notes and the face statements, and this note.</w:t>
      </w:r>
    </w:p>
    <w:p w14:paraId="5CD1B5F2" w14:textId="77777777" w:rsidR="00210017" w:rsidRPr="00210017" w:rsidRDefault="00210017" w:rsidP="001A5D4A">
      <w:pPr>
        <w:rPr>
          <w:color w:val="2D3E7B" w:themeColor="text2" w:themeShade="BF"/>
          <w:highlight w:val="yellow"/>
        </w:rPr>
      </w:pPr>
      <w:r w:rsidRPr="00210017">
        <w:rPr>
          <w:color w:val="2D3E7B" w:themeColor="text2" w:themeShade="BF"/>
        </w:rPr>
        <w:t>The reimbursement right is the amount expected to be received from the Commonwealth Government for the defined benefit schemes for whom the Commonwealth and State Governments shared responsibility.</w:t>
      </w:r>
    </w:p>
    <w:p w14:paraId="28DA961C" w14:textId="77777777" w:rsidR="00210017" w:rsidRPr="00210017" w:rsidRDefault="00210017" w:rsidP="001A5D4A">
      <w:pPr>
        <w:rPr>
          <w:color w:val="2D3E7B" w:themeColor="text2" w:themeShade="BF"/>
          <w:highlight w:val="yellow"/>
        </w:rPr>
      </w:pPr>
      <w:r w:rsidRPr="00210017">
        <w:rPr>
          <w:color w:val="2D3E7B" w:themeColor="text2" w:themeShade="BF"/>
        </w:rPr>
        <w:t xml:space="preserve">AASB119 has been reissued effective for periods from 1 January 2013. </w:t>
      </w:r>
      <w:proofErr w:type="gramStart"/>
      <w:r w:rsidRPr="00210017">
        <w:rPr>
          <w:color w:val="2D3E7B" w:themeColor="text2" w:themeShade="BF"/>
        </w:rPr>
        <w:t>Changes to accounting for defined benefit plans has</w:t>
      </w:r>
      <w:proofErr w:type="gramEnd"/>
      <w:r w:rsidRPr="00210017">
        <w:rPr>
          <w:color w:val="2D3E7B" w:themeColor="text2" w:themeShade="BF"/>
        </w:rPr>
        <w:t xml:space="preserve"> removed the corridor method, requiring all actuarial gains and losses to be recognised immediately in other comprehensive income. Gains and losses recognised in OCI can’t be recycled to profit or loss in a subsequent period. HEPs will need to recognise past service cost in the period of a plan amendment.</w:t>
      </w:r>
    </w:p>
    <w:p w14:paraId="09B96ADC" w14:textId="77777777" w:rsidR="00210017" w:rsidRPr="00210017" w:rsidRDefault="00210017" w:rsidP="001A5D4A">
      <w:pPr>
        <w:rPr>
          <w:color w:val="2D3E7B" w:themeColor="text2" w:themeShade="BF"/>
        </w:rPr>
      </w:pPr>
      <w:r w:rsidRPr="00210017">
        <w:rPr>
          <w:color w:val="2D3E7B" w:themeColor="text2" w:themeShade="BF"/>
        </w:rPr>
        <w:t xml:space="preserve">The overriding principle for the disclosures for defined benefit plans is that they must explain the characteristics of the plan and associated </w:t>
      </w:r>
      <w:proofErr w:type="gramStart"/>
      <w:r w:rsidRPr="00210017">
        <w:rPr>
          <w:color w:val="2D3E7B" w:themeColor="text2" w:themeShade="BF"/>
        </w:rPr>
        <w:t>risks,</w:t>
      </w:r>
      <w:proofErr w:type="gramEnd"/>
      <w:r w:rsidRPr="00210017">
        <w:rPr>
          <w:color w:val="2D3E7B" w:themeColor="text2" w:themeShade="BF"/>
        </w:rPr>
        <w:t xml:space="preserve"> identify and explain the amounts in the financial statements associated arising from the plans, describe how the plans may affect the amount, timing and uncertainty of the HEPs future cash flows.</w:t>
      </w:r>
    </w:p>
    <w:p w14:paraId="2C8545BF" w14:textId="2DD12186" w:rsidR="00210017" w:rsidRPr="00210017" w:rsidRDefault="00210017" w:rsidP="00655761">
      <w:pPr>
        <w:pStyle w:val="Heading6"/>
      </w:pPr>
      <w:r w:rsidRPr="00210017">
        <w:t>Education</w:t>
      </w:r>
    </w:p>
    <w:p w14:paraId="0FD188F5" w14:textId="77777777" w:rsidR="00210017" w:rsidRPr="00210017" w:rsidRDefault="00210017" w:rsidP="001A5D4A">
      <w:pPr>
        <w:rPr>
          <w:color w:val="2D3E7B" w:themeColor="text2" w:themeShade="BF"/>
          <w:highlight w:val="yellow"/>
        </w:rPr>
      </w:pPr>
      <w:r w:rsidRPr="00210017">
        <w:rPr>
          <w:color w:val="2D3E7B" w:themeColor="text2" w:themeShade="BF"/>
        </w:rPr>
        <w:t xml:space="preserve">Higher Education Superannuation Program funding should not be recognised as revenue. This funding is recognised in the Statement of Cash Flows and in note 53 (see the commentary for note 53 for acquittal of Superannuation Supplementation funding). </w:t>
      </w:r>
    </w:p>
    <w:p w14:paraId="3C9530C7" w14:textId="77777777" w:rsidR="00210017" w:rsidRPr="00210017" w:rsidRDefault="00210017" w:rsidP="001A5D4A">
      <w:pPr>
        <w:rPr>
          <w:color w:val="2D3E7B" w:themeColor="text2" w:themeShade="BF"/>
          <w:highlight w:val="yellow"/>
        </w:rPr>
      </w:pPr>
      <w:r w:rsidRPr="00210017">
        <w:rPr>
          <w:color w:val="2D3E7B" w:themeColor="text2" w:themeShade="BF"/>
        </w:rPr>
        <w:t>The expected return on reimbursement rights (namely, funding to universities provided for defined benefit funds covered by the Australian Government Higher Education Superannuation Program) is the sum of all expenses associated with the fund (necessarily excluding actuarial changes), less the return on plan assets. This treatment is considered reasonable in light of AASB119 and is also consistent with the conceptual frameworks matching principle.</w:t>
      </w:r>
    </w:p>
    <w:p w14:paraId="038A4CE5" w14:textId="77777777" w:rsidR="00023312" w:rsidRPr="00183B19" w:rsidRDefault="00023312" w:rsidP="001A5D4A">
      <w:pPr>
        <w:sectPr w:rsidR="00023312" w:rsidRPr="00183B19" w:rsidSect="003411A8">
          <w:headerReference w:type="even" r:id="rId34"/>
          <w:headerReference w:type="default" r:id="rId35"/>
          <w:footerReference w:type="even" r:id="rId36"/>
          <w:headerReference w:type="first" r:id="rId37"/>
          <w:footerReference w:type="first" r:id="rId38"/>
          <w:pgSz w:w="11905" w:h="16837"/>
          <w:pgMar w:top="1418" w:right="794" w:bottom="1418" w:left="851" w:header="850" w:footer="737" w:gutter="0"/>
          <w:cols w:space="720"/>
          <w:docGrid w:linePitch="360"/>
        </w:sectPr>
      </w:pPr>
    </w:p>
    <w:p w14:paraId="024D3092" w14:textId="011E0AB7" w:rsidR="00183B19" w:rsidRDefault="00183B19" w:rsidP="00AA2125">
      <w:pPr>
        <w:pStyle w:val="Heading2"/>
      </w:pPr>
      <w:bookmarkStart w:id="438" w:name="_Toc410807690"/>
      <w:bookmarkStart w:id="439" w:name="_Toc410822751"/>
      <w:proofErr w:type="gramStart"/>
      <w:r w:rsidRPr="00183B19">
        <w:lastRenderedPageBreak/>
        <w:t>Note 53.</w:t>
      </w:r>
      <w:proofErr w:type="gramEnd"/>
      <w:r>
        <w:t xml:space="preserve"> </w:t>
      </w:r>
      <w:r w:rsidRPr="00183B19">
        <w:t>Acquittal of Australian Government financial assistance</w:t>
      </w:r>
      <w:bookmarkEnd w:id="438"/>
      <w:bookmarkEnd w:id="439"/>
    </w:p>
    <w:tbl>
      <w:tblPr>
        <w:tblW w:w="5000" w:type="pct"/>
        <w:tblCellMar>
          <w:left w:w="0" w:type="dxa"/>
          <w:right w:w="0" w:type="dxa"/>
        </w:tblCellMar>
        <w:tblLook w:val="0000" w:firstRow="0" w:lastRow="0" w:firstColumn="0" w:lastColumn="0" w:noHBand="0" w:noVBand="0"/>
      </w:tblPr>
      <w:tblGrid>
        <w:gridCol w:w="1617"/>
        <w:gridCol w:w="4767"/>
        <w:gridCol w:w="744"/>
        <w:gridCol w:w="837"/>
        <w:gridCol w:w="837"/>
        <w:gridCol w:w="34"/>
        <w:gridCol w:w="803"/>
        <w:gridCol w:w="837"/>
        <w:gridCol w:w="837"/>
        <w:gridCol w:w="837"/>
        <w:gridCol w:w="837"/>
        <w:gridCol w:w="837"/>
        <w:gridCol w:w="837"/>
        <w:gridCol w:w="837"/>
      </w:tblGrid>
      <w:tr w:rsidR="003C2198" w14:paraId="038A4CEE" w14:textId="77777777" w:rsidTr="00261A68">
        <w:trPr>
          <w:cantSplit/>
          <w:trHeight w:val="256"/>
        </w:trPr>
        <w:tc>
          <w:tcPr>
            <w:tcW w:w="522" w:type="pct"/>
            <w:tcBorders>
              <w:right w:val="single" w:sz="8" w:space="0" w:color="CDCDCD"/>
            </w:tcBorders>
          </w:tcPr>
          <w:p w14:paraId="038A4CEB" w14:textId="1F088698" w:rsidR="003C2198" w:rsidRDefault="00AA2125" w:rsidP="001A5D4A">
            <w:pPr>
              <w:pStyle w:val="Note-Refs"/>
            </w:pPr>
            <w:r>
              <w:t>MANDATORY</w:t>
            </w:r>
          </w:p>
        </w:tc>
        <w:tc>
          <w:tcPr>
            <w:tcW w:w="2329" w:type="pct"/>
            <w:gridSpan w:val="5"/>
            <w:tcBorders>
              <w:left w:val="single" w:sz="8" w:space="0" w:color="CDCDCD"/>
              <w:right w:val="single" w:sz="8" w:space="0" w:color="CDCDCD"/>
            </w:tcBorders>
            <w:shd w:val="clear" w:color="auto" w:fill="CCCCCC"/>
          </w:tcPr>
          <w:p w14:paraId="2F8BDFE7" w14:textId="326C92E6" w:rsidR="003C2198" w:rsidRDefault="003C2198" w:rsidP="001A5D4A">
            <w:pPr>
              <w:pStyle w:val="NotesTable-AcquittalHeader"/>
            </w:pPr>
            <w:r>
              <w:t>53a Education – CGS and Other Education Grants</w:t>
            </w:r>
          </w:p>
        </w:tc>
        <w:tc>
          <w:tcPr>
            <w:tcW w:w="2149" w:type="pct"/>
            <w:gridSpan w:val="8"/>
            <w:tcBorders>
              <w:right w:val="single" w:sz="8" w:space="0" w:color="CDCDCD"/>
            </w:tcBorders>
            <w:shd w:val="clear" w:color="auto" w:fill="CCCCCC"/>
          </w:tcPr>
          <w:p w14:paraId="038A4CED" w14:textId="03E7E0CF" w:rsidR="003C2198" w:rsidRDefault="003C2198" w:rsidP="001A5D4A">
            <w:pPr>
              <w:pStyle w:val="NotesTable-ItemBold"/>
            </w:pPr>
            <w:r>
              <w:t>Parent entity (HEP) ONLY</w:t>
            </w:r>
          </w:p>
        </w:tc>
      </w:tr>
      <w:tr w:rsidR="00271026" w14:paraId="6B45229D" w14:textId="77777777" w:rsidTr="00261A68">
        <w:trPr>
          <w:cantSplit/>
          <w:trHeight w:val="256"/>
        </w:trPr>
        <w:tc>
          <w:tcPr>
            <w:tcW w:w="522" w:type="pct"/>
            <w:tcBorders>
              <w:right w:val="single" w:sz="8" w:space="0" w:color="CDCDCD"/>
            </w:tcBorders>
          </w:tcPr>
          <w:p w14:paraId="6C90C85E" w14:textId="2520251A" w:rsidR="00271026" w:rsidRDefault="00AA2125" w:rsidP="001A5D4A">
            <w:pPr>
              <w:pStyle w:val="Note-Refs"/>
            </w:pPr>
            <w:r>
              <w:t>EDUCATION</w:t>
            </w:r>
          </w:p>
        </w:tc>
        <w:tc>
          <w:tcPr>
            <w:tcW w:w="2329" w:type="pct"/>
            <w:gridSpan w:val="5"/>
            <w:tcBorders>
              <w:left w:val="single" w:sz="8" w:space="0" w:color="CDCDCD"/>
              <w:right w:val="single" w:sz="8" w:space="0" w:color="CDCDCD"/>
            </w:tcBorders>
            <w:shd w:val="clear" w:color="auto" w:fill="CCCCCC"/>
          </w:tcPr>
          <w:p w14:paraId="0963A63A" w14:textId="77777777" w:rsidR="00271026" w:rsidRDefault="00271026" w:rsidP="001A5D4A">
            <w:pPr>
              <w:pStyle w:val="NotesTable-AcquittalHeader"/>
            </w:pPr>
          </w:p>
        </w:tc>
        <w:tc>
          <w:tcPr>
            <w:tcW w:w="2149" w:type="pct"/>
            <w:gridSpan w:val="8"/>
            <w:tcBorders>
              <w:right w:val="single" w:sz="8" w:space="0" w:color="CDCDCD"/>
            </w:tcBorders>
            <w:shd w:val="clear" w:color="auto" w:fill="CCCCCC"/>
          </w:tcPr>
          <w:p w14:paraId="4EECBE16" w14:textId="77777777" w:rsidR="00271026" w:rsidRDefault="00271026" w:rsidP="001A5D4A">
            <w:pPr>
              <w:pStyle w:val="NotesTable-HeadBold"/>
            </w:pPr>
          </w:p>
        </w:tc>
      </w:tr>
      <w:tr w:rsidR="00B25F05" w14:paraId="038A4CF6" w14:textId="77777777" w:rsidTr="00261A68">
        <w:trPr>
          <w:cantSplit/>
          <w:trHeight w:val="256"/>
        </w:trPr>
        <w:tc>
          <w:tcPr>
            <w:tcW w:w="522" w:type="pct"/>
            <w:tcBorders>
              <w:right w:val="single" w:sz="8" w:space="0" w:color="CDCDCD"/>
            </w:tcBorders>
          </w:tcPr>
          <w:p w14:paraId="038A4CEF" w14:textId="77777777" w:rsidR="002131A1" w:rsidRDefault="002131A1" w:rsidP="001A5D4A">
            <w:pPr>
              <w:pStyle w:val="Note-Refs"/>
            </w:pPr>
          </w:p>
        </w:tc>
        <w:tc>
          <w:tcPr>
            <w:tcW w:w="1778" w:type="pct"/>
            <w:gridSpan w:val="2"/>
            <w:tcBorders>
              <w:left w:val="single" w:sz="8" w:space="0" w:color="CDCDCD"/>
            </w:tcBorders>
            <w:shd w:val="clear" w:color="auto" w:fill="CCCCCC"/>
          </w:tcPr>
          <w:p w14:paraId="038A4CF0" w14:textId="77777777" w:rsidR="002131A1" w:rsidRDefault="002131A1" w:rsidP="001A5D4A">
            <w:pPr>
              <w:pStyle w:val="NotesTable-CellPlain"/>
            </w:pPr>
          </w:p>
        </w:tc>
        <w:tc>
          <w:tcPr>
            <w:tcW w:w="540" w:type="pct"/>
            <w:gridSpan w:val="2"/>
            <w:shd w:val="clear" w:color="auto" w:fill="CCCCCC"/>
          </w:tcPr>
          <w:p w14:paraId="038A4CF1" w14:textId="77777777" w:rsidR="002131A1" w:rsidRDefault="002131A1" w:rsidP="001A5D4A">
            <w:pPr>
              <w:pStyle w:val="NotesTable-HeadPlain"/>
            </w:pPr>
            <w:r>
              <w:t>Commonw’lth Grant</w:t>
            </w:r>
            <w:r>
              <w:br/>
              <w:t xml:space="preserve">Scheme </w:t>
            </w:r>
            <w:r w:rsidRPr="00F65A01">
              <w:rPr>
                <w:vertAlign w:val="superscript"/>
              </w:rPr>
              <w:t>#1</w:t>
            </w:r>
          </w:p>
        </w:tc>
        <w:tc>
          <w:tcPr>
            <w:tcW w:w="540" w:type="pct"/>
            <w:gridSpan w:val="3"/>
            <w:shd w:val="clear" w:color="auto" w:fill="CCCCCC"/>
          </w:tcPr>
          <w:p w14:paraId="038A4CF2" w14:textId="1D0E9BE4" w:rsidR="002131A1" w:rsidRDefault="002131A1" w:rsidP="001A5D4A">
            <w:pPr>
              <w:pStyle w:val="NotesTable-HeadPlain"/>
            </w:pPr>
            <w:r>
              <w:t>Indigenous</w:t>
            </w:r>
            <w:r w:rsidR="001A35D6">
              <w:t xml:space="preserve"> </w:t>
            </w:r>
            <w:r>
              <w:t>Support Program</w:t>
            </w:r>
          </w:p>
        </w:tc>
        <w:tc>
          <w:tcPr>
            <w:tcW w:w="540" w:type="pct"/>
            <w:gridSpan w:val="2"/>
            <w:shd w:val="clear" w:color="auto" w:fill="CCCCCC"/>
          </w:tcPr>
          <w:p w14:paraId="038A4CF3" w14:textId="77777777" w:rsidR="002131A1" w:rsidRDefault="002131A1" w:rsidP="001A5D4A">
            <w:pPr>
              <w:pStyle w:val="NotesTable-HeadPlain"/>
            </w:pPr>
            <w:r>
              <w:t>Partnership &amp; Participation</w:t>
            </w:r>
            <w:r w:rsidR="00807179">
              <w:t xml:space="preserve"> </w:t>
            </w:r>
            <w:r>
              <w:t>Program</w:t>
            </w:r>
            <w:r w:rsidRPr="00CB7156">
              <w:rPr>
                <w:vertAlign w:val="superscript"/>
              </w:rPr>
              <w:t>#2</w:t>
            </w:r>
          </w:p>
        </w:tc>
        <w:tc>
          <w:tcPr>
            <w:tcW w:w="540" w:type="pct"/>
            <w:gridSpan w:val="2"/>
            <w:shd w:val="clear" w:color="auto" w:fill="CCCCCC"/>
          </w:tcPr>
          <w:p w14:paraId="038A4CF4" w14:textId="77777777" w:rsidR="002131A1" w:rsidRDefault="002131A1" w:rsidP="001A5D4A">
            <w:pPr>
              <w:pStyle w:val="NotesTable-HeadPlain"/>
            </w:pPr>
            <w:r>
              <w:t>Disability Support Program</w:t>
            </w:r>
          </w:p>
        </w:tc>
        <w:tc>
          <w:tcPr>
            <w:tcW w:w="540" w:type="pct"/>
            <w:gridSpan w:val="2"/>
            <w:tcBorders>
              <w:right w:val="single" w:sz="8" w:space="0" w:color="CDCDCD"/>
            </w:tcBorders>
            <w:shd w:val="clear" w:color="auto" w:fill="CCCCCC"/>
          </w:tcPr>
          <w:p w14:paraId="038A4CF5" w14:textId="77777777" w:rsidR="002131A1" w:rsidRDefault="002131A1" w:rsidP="001A5D4A">
            <w:pPr>
              <w:pStyle w:val="NotesTable-HeadPlain"/>
            </w:pPr>
            <w:r>
              <w:t>Workplace Reform Program</w:t>
            </w:r>
          </w:p>
        </w:tc>
      </w:tr>
      <w:tr w:rsidR="00B25F05" w14:paraId="038A4D04" w14:textId="77777777" w:rsidTr="00261A68">
        <w:trPr>
          <w:cantSplit/>
          <w:trHeight w:val="255"/>
        </w:trPr>
        <w:tc>
          <w:tcPr>
            <w:tcW w:w="522" w:type="pct"/>
            <w:tcBorders>
              <w:right w:val="single" w:sz="8" w:space="0" w:color="CDCDCD"/>
            </w:tcBorders>
          </w:tcPr>
          <w:p w14:paraId="038A4CF7" w14:textId="77777777" w:rsidR="00A73253" w:rsidRDefault="00A73253" w:rsidP="001A5D4A">
            <w:pPr>
              <w:pStyle w:val="Note-Refs"/>
            </w:pPr>
          </w:p>
        </w:tc>
        <w:tc>
          <w:tcPr>
            <w:tcW w:w="1538" w:type="pct"/>
            <w:tcBorders>
              <w:left w:val="single" w:sz="8" w:space="0" w:color="CDCDCD"/>
            </w:tcBorders>
            <w:shd w:val="clear" w:color="auto" w:fill="CCCCCC"/>
          </w:tcPr>
          <w:p w14:paraId="038A4CF8" w14:textId="77777777" w:rsidR="00A73253" w:rsidRDefault="00A73253" w:rsidP="001A5D4A">
            <w:pPr>
              <w:pStyle w:val="NotesTable-ItemPlain"/>
            </w:pPr>
          </w:p>
        </w:tc>
        <w:tc>
          <w:tcPr>
            <w:tcW w:w="240" w:type="pct"/>
            <w:shd w:val="clear" w:color="auto" w:fill="CCCCCC"/>
          </w:tcPr>
          <w:p w14:paraId="038A4CF9" w14:textId="77777777" w:rsidR="00A73253" w:rsidRDefault="00A73253" w:rsidP="001A5D4A">
            <w:pPr>
              <w:pStyle w:val="NotesTable-Notes"/>
            </w:pPr>
            <w:r>
              <w:t>Notes</w:t>
            </w:r>
          </w:p>
        </w:tc>
        <w:tc>
          <w:tcPr>
            <w:tcW w:w="270" w:type="pct"/>
            <w:shd w:val="clear" w:color="auto" w:fill="CCCCCC"/>
          </w:tcPr>
          <w:p w14:paraId="038A4CFA" w14:textId="3511ECA6" w:rsidR="00A73253" w:rsidRDefault="006864EC" w:rsidP="001A5D4A">
            <w:pPr>
              <w:pStyle w:val="NotesTable-HeadBold"/>
            </w:pPr>
            <w:r>
              <w:t>2014</w:t>
            </w:r>
          </w:p>
        </w:tc>
        <w:tc>
          <w:tcPr>
            <w:tcW w:w="270" w:type="pct"/>
            <w:shd w:val="clear" w:color="auto" w:fill="CCCCCC"/>
          </w:tcPr>
          <w:p w14:paraId="038A4CFB" w14:textId="0BB069B6" w:rsidR="00A73253" w:rsidRDefault="006864EC" w:rsidP="001A5D4A">
            <w:pPr>
              <w:pStyle w:val="NotesTable-HeadPlain"/>
            </w:pPr>
            <w:r>
              <w:t>2013</w:t>
            </w:r>
          </w:p>
        </w:tc>
        <w:tc>
          <w:tcPr>
            <w:tcW w:w="270" w:type="pct"/>
            <w:gridSpan w:val="2"/>
            <w:shd w:val="clear" w:color="auto" w:fill="CCCCCC"/>
          </w:tcPr>
          <w:p w14:paraId="038A4CFC" w14:textId="09D41096" w:rsidR="00A73253" w:rsidRDefault="006864EC" w:rsidP="001A5D4A">
            <w:pPr>
              <w:pStyle w:val="NotesTable-HeadBold"/>
            </w:pPr>
            <w:r>
              <w:t>2014</w:t>
            </w:r>
          </w:p>
        </w:tc>
        <w:tc>
          <w:tcPr>
            <w:tcW w:w="270" w:type="pct"/>
            <w:shd w:val="clear" w:color="auto" w:fill="CCCCCC"/>
          </w:tcPr>
          <w:p w14:paraId="038A4CFD" w14:textId="278CF714" w:rsidR="00A73253" w:rsidRDefault="006864EC" w:rsidP="001A5D4A">
            <w:pPr>
              <w:pStyle w:val="NotesTable-HeadPlain"/>
            </w:pPr>
            <w:r>
              <w:t>2013</w:t>
            </w:r>
          </w:p>
        </w:tc>
        <w:tc>
          <w:tcPr>
            <w:tcW w:w="270" w:type="pct"/>
            <w:shd w:val="clear" w:color="auto" w:fill="CCCCCC"/>
          </w:tcPr>
          <w:p w14:paraId="038A4CFE" w14:textId="2DC1FEA7" w:rsidR="00A73253" w:rsidRDefault="006864EC" w:rsidP="001A5D4A">
            <w:pPr>
              <w:pStyle w:val="NotesTable-HeadBold"/>
            </w:pPr>
            <w:r>
              <w:t>2014</w:t>
            </w:r>
          </w:p>
        </w:tc>
        <w:tc>
          <w:tcPr>
            <w:tcW w:w="270" w:type="pct"/>
            <w:shd w:val="clear" w:color="auto" w:fill="CCCCCC"/>
          </w:tcPr>
          <w:p w14:paraId="038A4CFF" w14:textId="06531ECB" w:rsidR="00A73253" w:rsidRDefault="006864EC" w:rsidP="001A5D4A">
            <w:pPr>
              <w:pStyle w:val="NotesTable-HeadPlain"/>
            </w:pPr>
            <w:r>
              <w:t>2013</w:t>
            </w:r>
          </w:p>
        </w:tc>
        <w:tc>
          <w:tcPr>
            <w:tcW w:w="270" w:type="pct"/>
            <w:shd w:val="clear" w:color="auto" w:fill="CCCCCC"/>
          </w:tcPr>
          <w:p w14:paraId="038A4D00" w14:textId="3DD10838" w:rsidR="00A73253" w:rsidRDefault="006864EC" w:rsidP="001A5D4A">
            <w:pPr>
              <w:pStyle w:val="NotesTable-HeadBold"/>
            </w:pPr>
            <w:r>
              <w:t>2014</w:t>
            </w:r>
          </w:p>
        </w:tc>
        <w:tc>
          <w:tcPr>
            <w:tcW w:w="270" w:type="pct"/>
            <w:shd w:val="clear" w:color="auto" w:fill="CCCCCC"/>
          </w:tcPr>
          <w:p w14:paraId="038A4D01" w14:textId="17352835" w:rsidR="00A73253" w:rsidRDefault="006864EC" w:rsidP="001A5D4A">
            <w:pPr>
              <w:pStyle w:val="NotesTable-HeadPlain"/>
            </w:pPr>
            <w:r>
              <w:t>2013</w:t>
            </w:r>
          </w:p>
        </w:tc>
        <w:tc>
          <w:tcPr>
            <w:tcW w:w="270" w:type="pct"/>
            <w:shd w:val="clear" w:color="auto" w:fill="CCCCCC"/>
          </w:tcPr>
          <w:p w14:paraId="038A4D02" w14:textId="6D544740" w:rsidR="00A73253" w:rsidRDefault="006864EC" w:rsidP="001A5D4A">
            <w:pPr>
              <w:pStyle w:val="NotesTable-HeadBold"/>
            </w:pPr>
            <w:r>
              <w:t>2014</w:t>
            </w:r>
          </w:p>
        </w:tc>
        <w:tc>
          <w:tcPr>
            <w:tcW w:w="270" w:type="pct"/>
            <w:tcBorders>
              <w:right w:val="single" w:sz="8" w:space="0" w:color="CDCDCD"/>
            </w:tcBorders>
            <w:shd w:val="clear" w:color="auto" w:fill="CCCCCC"/>
          </w:tcPr>
          <w:p w14:paraId="038A4D03" w14:textId="553E65D3" w:rsidR="00A73253" w:rsidRDefault="006864EC" w:rsidP="001A5D4A">
            <w:pPr>
              <w:pStyle w:val="NotesTable-HeadPlain"/>
            </w:pPr>
            <w:r>
              <w:t>2013</w:t>
            </w:r>
          </w:p>
        </w:tc>
      </w:tr>
      <w:tr w:rsidR="00B25F05" w14:paraId="038A4D12" w14:textId="77777777" w:rsidTr="00261A68">
        <w:trPr>
          <w:cantSplit/>
          <w:trHeight w:val="255"/>
        </w:trPr>
        <w:tc>
          <w:tcPr>
            <w:tcW w:w="522" w:type="pct"/>
            <w:tcBorders>
              <w:right w:val="single" w:sz="8" w:space="0" w:color="CDCDCD"/>
            </w:tcBorders>
          </w:tcPr>
          <w:p w14:paraId="038A4D05" w14:textId="77777777" w:rsidR="00A73253" w:rsidRDefault="00A73253" w:rsidP="001A5D4A">
            <w:pPr>
              <w:pStyle w:val="Note-Refs"/>
            </w:pPr>
          </w:p>
        </w:tc>
        <w:tc>
          <w:tcPr>
            <w:tcW w:w="1538" w:type="pct"/>
            <w:tcBorders>
              <w:left w:val="single" w:sz="8" w:space="0" w:color="CDCDCD"/>
            </w:tcBorders>
            <w:shd w:val="clear" w:color="auto" w:fill="CCCCCC"/>
          </w:tcPr>
          <w:p w14:paraId="038A4D06" w14:textId="77777777" w:rsidR="00A73253" w:rsidRDefault="00A73253" w:rsidP="001A5D4A">
            <w:pPr>
              <w:pStyle w:val="NotesTable-ItemPlain"/>
            </w:pPr>
          </w:p>
        </w:tc>
        <w:tc>
          <w:tcPr>
            <w:tcW w:w="240" w:type="pct"/>
            <w:shd w:val="clear" w:color="auto" w:fill="CCCCCC"/>
          </w:tcPr>
          <w:p w14:paraId="038A4D07" w14:textId="77777777" w:rsidR="00A73253" w:rsidRDefault="00A73253" w:rsidP="001A5D4A">
            <w:pPr>
              <w:pStyle w:val="NotesTable-Notes"/>
            </w:pPr>
          </w:p>
        </w:tc>
        <w:tc>
          <w:tcPr>
            <w:tcW w:w="270" w:type="pct"/>
            <w:shd w:val="clear" w:color="auto" w:fill="CCCCCC"/>
          </w:tcPr>
          <w:p w14:paraId="038A4D08" w14:textId="77777777" w:rsidR="00A73253" w:rsidRDefault="00A73253" w:rsidP="001A5D4A">
            <w:pPr>
              <w:pStyle w:val="NotesTable-HeadBold"/>
            </w:pPr>
            <w:r>
              <w:t>$’000</w:t>
            </w:r>
          </w:p>
        </w:tc>
        <w:tc>
          <w:tcPr>
            <w:tcW w:w="270" w:type="pct"/>
            <w:shd w:val="clear" w:color="auto" w:fill="CCCCCC"/>
          </w:tcPr>
          <w:p w14:paraId="038A4D09" w14:textId="77777777" w:rsidR="00A73253" w:rsidRDefault="00A73253" w:rsidP="001A5D4A">
            <w:pPr>
              <w:pStyle w:val="NotesTable-HeadPlain"/>
            </w:pPr>
            <w:r>
              <w:t>$’000</w:t>
            </w:r>
          </w:p>
        </w:tc>
        <w:tc>
          <w:tcPr>
            <w:tcW w:w="270" w:type="pct"/>
            <w:gridSpan w:val="2"/>
            <w:shd w:val="clear" w:color="auto" w:fill="CCCCCC"/>
          </w:tcPr>
          <w:p w14:paraId="038A4D0A" w14:textId="77777777" w:rsidR="00A73253" w:rsidRDefault="00A73253" w:rsidP="001A5D4A">
            <w:pPr>
              <w:pStyle w:val="NotesTable-HeadBold"/>
            </w:pPr>
            <w:r>
              <w:t>$’000</w:t>
            </w:r>
          </w:p>
        </w:tc>
        <w:tc>
          <w:tcPr>
            <w:tcW w:w="270" w:type="pct"/>
            <w:shd w:val="clear" w:color="auto" w:fill="CCCCCC"/>
          </w:tcPr>
          <w:p w14:paraId="038A4D0B" w14:textId="77777777" w:rsidR="00A73253" w:rsidRDefault="00A73253" w:rsidP="001A5D4A">
            <w:pPr>
              <w:pStyle w:val="NotesTable-HeadPlain"/>
            </w:pPr>
            <w:r>
              <w:t>$’000</w:t>
            </w:r>
          </w:p>
        </w:tc>
        <w:tc>
          <w:tcPr>
            <w:tcW w:w="270" w:type="pct"/>
            <w:shd w:val="clear" w:color="auto" w:fill="CCCCCC"/>
          </w:tcPr>
          <w:p w14:paraId="038A4D0C" w14:textId="77777777" w:rsidR="00A73253" w:rsidRDefault="00A73253" w:rsidP="001A5D4A">
            <w:pPr>
              <w:pStyle w:val="NotesTable-HeadBold"/>
            </w:pPr>
            <w:r>
              <w:t>$’000</w:t>
            </w:r>
          </w:p>
        </w:tc>
        <w:tc>
          <w:tcPr>
            <w:tcW w:w="270" w:type="pct"/>
            <w:shd w:val="clear" w:color="auto" w:fill="CCCCCC"/>
          </w:tcPr>
          <w:p w14:paraId="038A4D0D" w14:textId="77777777" w:rsidR="00A73253" w:rsidRDefault="00A73253" w:rsidP="001A5D4A">
            <w:pPr>
              <w:pStyle w:val="NotesTable-HeadPlain"/>
            </w:pPr>
            <w:r>
              <w:t>$’000</w:t>
            </w:r>
          </w:p>
        </w:tc>
        <w:tc>
          <w:tcPr>
            <w:tcW w:w="270" w:type="pct"/>
            <w:shd w:val="clear" w:color="auto" w:fill="CCCCCC"/>
          </w:tcPr>
          <w:p w14:paraId="038A4D0E" w14:textId="77777777" w:rsidR="00A73253" w:rsidRDefault="00A73253" w:rsidP="001A5D4A">
            <w:pPr>
              <w:pStyle w:val="NotesTable-HeadBold"/>
            </w:pPr>
            <w:r>
              <w:t>$’000</w:t>
            </w:r>
          </w:p>
        </w:tc>
        <w:tc>
          <w:tcPr>
            <w:tcW w:w="270" w:type="pct"/>
            <w:shd w:val="clear" w:color="auto" w:fill="CCCCCC"/>
          </w:tcPr>
          <w:p w14:paraId="038A4D0F" w14:textId="77777777" w:rsidR="00A73253" w:rsidRDefault="00A73253" w:rsidP="001A5D4A">
            <w:pPr>
              <w:pStyle w:val="NotesTable-HeadPlain"/>
            </w:pPr>
            <w:r>
              <w:t>$’000</w:t>
            </w:r>
          </w:p>
        </w:tc>
        <w:tc>
          <w:tcPr>
            <w:tcW w:w="270" w:type="pct"/>
            <w:shd w:val="clear" w:color="auto" w:fill="CCCCCC"/>
          </w:tcPr>
          <w:p w14:paraId="038A4D10" w14:textId="77777777" w:rsidR="00A73253" w:rsidRDefault="00A73253" w:rsidP="001A5D4A">
            <w:pPr>
              <w:pStyle w:val="NotesTable-HeadBold"/>
            </w:pPr>
            <w:r>
              <w:t>$’000</w:t>
            </w:r>
          </w:p>
        </w:tc>
        <w:tc>
          <w:tcPr>
            <w:tcW w:w="270" w:type="pct"/>
            <w:tcBorders>
              <w:right w:val="single" w:sz="8" w:space="0" w:color="CDCDCD"/>
            </w:tcBorders>
            <w:shd w:val="clear" w:color="auto" w:fill="CCCCCC"/>
          </w:tcPr>
          <w:p w14:paraId="038A4D11" w14:textId="77777777" w:rsidR="00A73253" w:rsidRDefault="00A73253" w:rsidP="001A5D4A">
            <w:pPr>
              <w:pStyle w:val="NotesTable-HeadPlain"/>
            </w:pPr>
            <w:r>
              <w:t>$’000</w:t>
            </w:r>
          </w:p>
        </w:tc>
      </w:tr>
      <w:tr w:rsidR="00B25F05" w14:paraId="038A4D20" w14:textId="77777777" w:rsidTr="00261A68">
        <w:trPr>
          <w:cantSplit/>
          <w:trHeight w:val="255"/>
        </w:trPr>
        <w:tc>
          <w:tcPr>
            <w:tcW w:w="522" w:type="pct"/>
            <w:tcBorders>
              <w:right w:val="single" w:sz="8" w:space="0" w:color="CDCDCD"/>
            </w:tcBorders>
          </w:tcPr>
          <w:p w14:paraId="038A4D13" w14:textId="77777777" w:rsidR="00A73253" w:rsidRDefault="00A73253" w:rsidP="001A5D4A">
            <w:pPr>
              <w:pStyle w:val="Note-Refs"/>
            </w:pPr>
            <w:r>
              <w:t>A</w:t>
            </w:r>
          </w:p>
        </w:tc>
        <w:tc>
          <w:tcPr>
            <w:tcW w:w="1538" w:type="pct"/>
            <w:tcBorders>
              <w:left w:val="single" w:sz="8" w:space="0" w:color="CDCDCD"/>
            </w:tcBorders>
            <w:shd w:val="clear" w:color="auto" w:fill="CCCCCC"/>
          </w:tcPr>
          <w:p w14:paraId="038A4D14" w14:textId="77777777" w:rsidR="00A73253" w:rsidRDefault="00A73253" w:rsidP="001A5D4A">
            <w:pPr>
              <w:pStyle w:val="NotesTable-ItemPlain"/>
              <w:rPr>
                <w:b/>
              </w:rPr>
            </w:pPr>
            <w:r>
              <w:t>Financial assistance received in CASH during the reporting period (total cash received from the Australian Government for the program)</w:t>
            </w:r>
          </w:p>
        </w:tc>
        <w:tc>
          <w:tcPr>
            <w:tcW w:w="240" w:type="pct"/>
            <w:shd w:val="clear" w:color="auto" w:fill="CCCCCC"/>
          </w:tcPr>
          <w:p w14:paraId="038A4D15" w14:textId="77777777" w:rsidR="00A73253" w:rsidRDefault="00A73253" w:rsidP="001A5D4A">
            <w:pPr>
              <w:pStyle w:val="NotesTable-Notes"/>
            </w:pPr>
          </w:p>
        </w:tc>
        <w:tc>
          <w:tcPr>
            <w:tcW w:w="270" w:type="pct"/>
            <w:shd w:val="clear" w:color="auto" w:fill="CCCCCC"/>
            <w:vAlign w:val="bottom"/>
          </w:tcPr>
          <w:p w14:paraId="038A4D16" w14:textId="77777777" w:rsidR="00A73253" w:rsidRDefault="00A73253" w:rsidP="001A5D4A">
            <w:pPr>
              <w:pStyle w:val="NotesTable-CellBold"/>
            </w:pPr>
            <w:r>
              <w:t>–</w:t>
            </w:r>
          </w:p>
        </w:tc>
        <w:tc>
          <w:tcPr>
            <w:tcW w:w="270" w:type="pct"/>
            <w:shd w:val="clear" w:color="auto" w:fill="CCCCCC"/>
            <w:vAlign w:val="bottom"/>
          </w:tcPr>
          <w:p w14:paraId="038A4D17" w14:textId="77777777" w:rsidR="00A73253" w:rsidRDefault="00A73253" w:rsidP="001A5D4A">
            <w:pPr>
              <w:pStyle w:val="NotesTable-CellPlain"/>
            </w:pPr>
            <w:r>
              <w:t>–</w:t>
            </w:r>
          </w:p>
        </w:tc>
        <w:tc>
          <w:tcPr>
            <w:tcW w:w="270" w:type="pct"/>
            <w:gridSpan w:val="2"/>
            <w:shd w:val="clear" w:color="auto" w:fill="CCCCCC"/>
            <w:vAlign w:val="bottom"/>
          </w:tcPr>
          <w:p w14:paraId="038A4D18" w14:textId="77777777" w:rsidR="00A73253" w:rsidRDefault="00A73253" w:rsidP="001A5D4A">
            <w:pPr>
              <w:pStyle w:val="NotesTable-CellBold"/>
            </w:pPr>
            <w:r>
              <w:t>–</w:t>
            </w:r>
          </w:p>
        </w:tc>
        <w:tc>
          <w:tcPr>
            <w:tcW w:w="270" w:type="pct"/>
            <w:shd w:val="clear" w:color="auto" w:fill="CCCCCC"/>
            <w:vAlign w:val="bottom"/>
          </w:tcPr>
          <w:p w14:paraId="038A4D19" w14:textId="77777777" w:rsidR="00A73253" w:rsidRDefault="00A73253" w:rsidP="001A5D4A">
            <w:pPr>
              <w:pStyle w:val="NotesTable-CellPlain"/>
            </w:pPr>
            <w:r>
              <w:t>–</w:t>
            </w:r>
          </w:p>
        </w:tc>
        <w:tc>
          <w:tcPr>
            <w:tcW w:w="270" w:type="pct"/>
            <w:shd w:val="clear" w:color="auto" w:fill="CCCCCC"/>
            <w:vAlign w:val="bottom"/>
          </w:tcPr>
          <w:p w14:paraId="038A4D1A" w14:textId="77777777" w:rsidR="00A73253" w:rsidRDefault="00A73253" w:rsidP="001A5D4A">
            <w:pPr>
              <w:pStyle w:val="NotesTable-CellBold"/>
            </w:pPr>
            <w:r>
              <w:t>–</w:t>
            </w:r>
          </w:p>
        </w:tc>
        <w:tc>
          <w:tcPr>
            <w:tcW w:w="270" w:type="pct"/>
            <w:shd w:val="clear" w:color="auto" w:fill="CCCCCC"/>
            <w:vAlign w:val="bottom"/>
          </w:tcPr>
          <w:p w14:paraId="038A4D1B" w14:textId="77777777" w:rsidR="00A73253" w:rsidRDefault="00A73253" w:rsidP="001A5D4A">
            <w:pPr>
              <w:pStyle w:val="NotesTable-CellPlain"/>
            </w:pPr>
            <w:r>
              <w:t>–</w:t>
            </w:r>
          </w:p>
        </w:tc>
        <w:tc>
          <w:tcPr>
            <w:tcW w:w="270" w:type="pct"/>
            <w:shd w:val="clear" w:color="auto" w:fill="CCCCCC"/>
            <w:vAlign w:val="bottom"/>
          </w:tcPr>
          <w:p w14:paraId="038A4D1C" w14:textId="77777777" w:rsidR="00A73253" w:rsidRDefault="00A73253" w:rsidP="001A5D4A">
            <w:pPr>
              <w:pStyle w:val="NotesTable-CellBold"/>
            </w:pPr>
            <w:r>
              <w:t>–</w:t>
            </w:r>
          </w:p>
        </w:tc>
        <w:tc>
          <w:tcPr>
            <w:tcW w:w="270" w:type="pct"/>
            <w:shd w:val="clear" w:color="auto" w:fill="CCCCCC"/>
            <w:vAlign w:val="bottom"/>
          </w:tcPr>
          <w:p w14:paraId="038A4D1D" w14:textId="77777777" w:rsidR="00A73253" w:rsidRDefault="00A73253" w:rsidP="001A5D4A">
            <w:pPr>
              <w:pStyle w:val="NotesTable-CellPlain"/>
            </w:pPr>
            <w:r>
              <w:t>–</w:t>
            </w:r>
          </w:p>
        </w:tc>
        <w:tc>
          <w:tcPr>
            <w:tcW w:w="270" w:type="pct"/>
            <w:shd w:val="clear" w:color="auto" w:fill="CCCCCC"/>
            <w:vAlign w:val="bottom"/>
          </w:tcPr>
          <w:p w14:paraId="038A4D1E" w14:textId="77777777" w:rsidR="00A73253" w:rsidRDefault="00A73253" w:rsidP="001A5D4A">
            <w:pPr>
              <w:pStyle w:val="NotesTable-CellBold"/>
            </w:pPr>
            <w:r>
              <w:t>–</w:t>
            </w:r>
          </w:p>
        </w:tc>
        <w:tc>
          <w:tcPr>
            <w:tcW w:w="270" w:type="pct"/>
            <w:tcBorders>
              <w:right w:val="single" w:sz="8" w:space="0" w:color="CDCDCD"/>
            </w:tcBorders>
            <w:shd w:val="clear" w:color="auto" w:fill="CCCCCC"/>
            <w:vAlign w:val="bottom"/>
          </w:tcPr>
          <w:p w14:paraId="038A4D1F" w14:textId="77777777" w:rsidR="00A73253" w:rsidRDefault="00A73253" w:rsidP="001A5D4A">
            <w:pPr>
              <w:pStyle w:val="NotesTable-CellPlain"/>
            </w:pPr>
            <w:r>
              <w:t>–</w:t>
            </w:r>
          </w:p>
        </w:tc>
      </w:tr>
      <w:tr w:rsidR="00B25F05" w14:paraId="038A4D2E" w14:textId="77777777" w:rsidTr="00261A68">
        <w:trPr>
          <w:cantSplit/>
          <w:trHeight w:val="255"/>
        </w:trPr>
        <w:tc>
          <w:tcPr>
            <w:tcW w:w="522" w:type="pct"/>
            <w:tcBorders>
              <w:right w:val="single" w:sz="8" w:space="0" w:color="CDCDCD"/>
            </w:tcBorders>
          </w:tcPr>
          <w:p w14:paraId="038A4D21" w14:textId="77777777" w:rsidR="00A73253" w:rsidRDefault="00A73253" w:rsidP="001A5D4A">
            <w:pPr>
              <w:pStyle w:val="Note-Refs"/>
            </w:pPr>
            <w:r>
              <w:t>B</w:t>
            </w:r>
          </w:p>
        </w:tc>
        <w:tc>
          <w:tcPr>
            <w:tcW w:w="1538" w:type="pct"/>
            <w:tcBorders>
              <w:left w:val="single" w:sz="8" w:space="0" w:color="CDCDCD"/>
            </w:tcBorders>
            <w:shd w:val="clear" w:color="auto" w:fill="CCCCCC"/>
          </w:tcPr>
          <w:p w14:paraId="038A4D22" w14:textId="77777777" w:rsidR="00A73253" w:rsidRDefault="00A73253" w:rsidP="001A5D4A">
            <w:pPr>
              <w:pStyle w:val="NotesTable-ItemPlain"/>
              <w:rPr>
                <w:b/>
              </w:rPr>
            </w:pPr>
            <w:r>
              <w:t>Net accrual adjustments</w:t>
            </w:r>
          </w:p>
        </w:tc>
        <w:tc>
          <w:tcPr>
            <w:tcW w:w="240" w:type="pct"/>
            <w:shd w:val="clear" w:color="auto" w:fill="CCCCCC"/>
          </w:tcPr>
          <w:p w14:paraId="038A4D23" w14:textId="77777777" w:rsidR="00A73253" w:rsidRDefault="00A73253" w:rsidP="001A5D4A">
            <w:pPr>
              <w:pStyle w:val="NotesTable-Notes"/>
            </w:pPr>
          </w:p>
        </w:tc>
        <w:tc>
          <w:tcPr>
            <w:tcW w:w="270" w:type="pct"/>
            <w:tcBorders>
              <w:bottom w:val="single" w:sz="4" w:space="0" w:color="000000"/>
            </w:tcBorders>
            <w:shd w:val="clear" w:color="auto" w:fill="CCCCCC"/>
          </w:tcPr>
          <w:p w14:paraId="038A4D24"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25" w14:textId="77777777" w:rsidR="00A73253" w:rsidRDefault="00A73253" w:rsidP="001A5D4A">
            <w:pPr>
              <w:pStyle w:val="NotesTable-CellPlain"/>
            </w:pPr>
            <w:r>
              <w:t>–</w:t>
            </w:r>
          </w:p>
        </w:tc>
        <w:tc>
          <w:tcPr>
            <w:tcW w:w="270" w:type="pct"/>
            <w:gridSpan w:val="2"/>
            <w:tcBorders>
              <w:bottom w:val="single" w:sz="4" w:space="0" w:color="000000"/>
            </w:tcBorders>
            <w:shd w:val="clear" w:color="auto" w:fill="CCCCCC"/>
          </w:tcPr>
          <w:p w14:paraId="038A4D26"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27"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28"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29"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2A"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2B"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2C" w14:textId="77777777" w:rsidR="00A73253" w:rsidRDefault="00A73253" w:rsidP="001A5D4A">
            <w:pPr>
              <w:pStyle w:val="NotesTable-CellBold"/>
            </w:pPr>
            <w:r>
              <w:t>–</w:t>
            </w:r>
          </w:p>
        </w:tc>
        <w:tc>
          <w:tcPr>
            <w:tcW w:w="270" w:type="pct"/>
            <w:tcBorders>
              <w:bottom w:val="single" w:sz="4" w:space="0" w:color="000000"/>
              <w:right w:val="single" w:sz="8" w:space="0" w:color="CDCDCD"/>
            </w:tcBorders>
            <w:shd w:val="clear" w:color="auto" w:fill="CCCCCC"/>
          </w:tcPr>
          <w:p w14:paraId="038A4D2D" w14:textId="77777777" w:rsidR="00A73253" w:rsidRDefault="00A73253" w:rsidP="001A5D4A">
            <w:pPr>
              <w:pStyle w:val="NotesTable-CellPlain"/>
            </w:pPr>
            <w:r>
              <w:t>–</w:t>
            </w:r>
          </w:p>
        </w:tc>
      </w:tr>
      <w:tr w:rsidR="00B25F05" w14:paraId="038A4D3C" w14:textId="77777777" w:rsidTr="00261A68">
        <w:trPr>
          <w:cantSplit/>
          <w:trHeight w:val="255"/>
        </w:trPr>
        <w:tc>
          <w:tcPr>
            <w:tcW w:w="522" w:type="pct"/>
            <w:tcBorders>
              <w:right w:val="single" w:sz="8" w:space="0" w:color="CDCDCD"/>
            </w:tcBorders>
          </w:tcPr>
          <w:p w14:paraId="038A4D2F" w14:textId="77777777" w:rsidR="00A73253" w:rsidRDefault="00A73253" w:rsidP="001A5D4A">
            <w:pPr>
              <w:pStyle w:val="Note-Refs"/>
              <w:rPr>
                <w:b/>
              </w:rPr>
            </w:pPr>
            <w:r>
              <w:t>C = A + B</w:t>
            </w:r>
          </w:p>
        </w:tc>
        <w:tc>
          <w:tcPr>
            <w:tcW w:w="1538" w:type="pct"/>
            <w:tcBorders>
              <w:left w:val="single" w:sz="8" w:space="0" w:color="CDCDCD"/>
            </w:tcBorders>
            <w:shd w:val="clear" w:color="auto" w:fill="CCCCCC"/>
          </w:tcPr>
          <w:p w14:paraId="038A4D30" w14:textId="77777777" w:rsidR="00A73253" w:rsidRDefault="00A73253" w:rsidP="001A5D4A">
            <w:pPr>
              <w:pStyle w:val="NotesTable-ItemPlain"/>
              <w:rPr>
                <w:b/>
              </w:rPr>
            </w:pPr>
            <w:r>
              <w:t>Revenue for the period</w:t>
            </w:r>
          </w:p>
        </w:tc>
        <w:tc>
          <w:tcPr>
            <w:tcW w:w="240" w:type="pct"/>
            <w:shd w:val="clear" w:color="auto" w:fill="CCCCCC"/>
          </w:tcPr>
          <w:p w14:paraId="038A4D31" w14:textId="77777777" w:rsidR="00A73253" w:rsidRDefault="00A73253" w:rsidP="001A5D4A">
            <w:pPr>
              <w:pStyle w:val="NotesTable-Notes"/>
            </w:pPr>
            <w:r>
              <w:t>3(a)</w:t>
            </w:r>
          </w:p>
        </w:tc>
        <w:tc>
          <w:tcPr>
            <w:tcW w:w="270" w:type="pct"/>
            <w:tcBorders>
              <w:top w:val="single" w:sz="4" w:space="0" w:color="000000"/>
            </w:tcBorders>
            <w:shd w:val="clear" w:color="auto" w:fill="CCCCCC"/>
          </w:tcPr>
          <w:p w14:paraId="038A4D32"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33" w14:textId="77777777" w:rsidR="00A73253" w:rsidRDefault="00A73253" w:rsidP="001A5D4A">
            <w:pPr>
              <w:pStyle w:val="NotesTable-CellPlain"/>
            </w:pPr>
            <w:r>
              <w:t>–</w:t>
            </w:r>
          </w:p>
        </w:tc>
        <w:tc>
          <w:tcPr>
            <w:tcW w:w="270" w:type="pct"/>
            <w:gridSpan w:val="2"/>
            <w:tcBorders>
              <w:top w:val="single" w:sz="4" w:space="0" w:color="000000"/>
            </w:tcBorders>
            <w:shd w:val="clear" w:color="auto" w:fill="CCCCCC"/>
          </w:tcPr>
          <w:p w14:paraId="038A4D34"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35"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36"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37"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38"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39"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3A" w14:textId="77777777" w:rsidR="00A73253" w:rsidRDefault="00A73253" w:rsidP="001A5D4A">
            <w:pPr>
              <w:pStyle w:val="NotesTable-CellBold"/>
            </w:pPr>
            <w:r>
              <w:t>–</w:t>
            </w:r>
          </w:p>
        </w:tc>
        <w:tc>
          <w:tcPr>
            <w:tcW w:w="270" w:type="pct"/>
            <w:tcBorders>
              <w:top w:val="single" w:sz="4" w:space="0" w:color="000000"/>
              <w:right w:val="single" w:sz="8" w:space="0" w:color="CDCDCD"/>
            </w:tcBorders>
            <w:shd w:val="clear" w:color="auto" w:fill="CCCCCC"/>
          </w:tcPr>
          <w:p w14:paraId="038A4D3B" w14:textId="77777777" w:rsidR="00A73253" w:rsidRDefault="00A73253" w:rsidP="001A5D4A">
            <w:pPr>
              <w:pStyle w:val="NotesTable-CellPlain"/>
            </w:pPr>
            <w:r>
              <w:t>–</w:t>
            </w:r>
          </w:p>
        </w:tc>
      </w:tr>
      <w:tr w:rsidR="00B25F05" w14:paraId="038A4D4A" w14:textId="77777777" w:rsidTr="00261A68">
        <w:trPr>
          <w:cantSplit/>
          <w:trHeight w:val="255"/>
        </w:trPr>
        <w:tc>
          <w:tcPr>
            <w:tcW w:w="522" w:type="pct"/>
            <w:tcBorders>
              <w:right w:val="single" w:sz="8" w:space="0" w:color="CDCDCD"/>
            </w:tcBorders>
          </w:tcPr>
          <w:p w14:paraId="038A4D3D" w14:textId="77777777" w:rsidR="00A73253" w:rsidRDefault="00A73253" w:rsidP="001A5D4A">
            <w:pPr>
              <w:pStyle w:val="Note-Refs"/>
            </w:pPr>
          </w:p>
        </w:tc>
        <w:tc>
          <w:tcPr>
            <w:tcW w:w="1538" w:type="pct"/>
            <w:tcBorders>
              <w:left w:val="single" w:sz="8" w:space="0" w:color="CDCDCD"/>
            </w:tcBorders>
            <w:shd w:val="clear" w:color="auto" w:fill="CCCCCC"/>
          </w:tcPr>
          <w:p w14:paraId="038A4D3E" w14:textId="77777777" w:rsidR="00A73253" w:rsidRDefault="00A73253" w:rsidP="001A5D4A">
            <w:pPr>
              <w:pStyle w:val="NotesTable-ItemPlain"/>
            </w:pPr>
          </w:p>
        </w:tc>
        <w:tc>
          <w:tcPr>
            <w:tcW w:w="240" w:type="pct"/>
            <w:shd w:val="clear" w:color="auto" w:fill="CCCCCC"/>
          </w:tcPr>
          <w:p w14:paraId="038A4D3F" w14:textId="77777777" w:rsidR="00A73253" w:rsidRDefault="00A73253" w:rsidP="001A5D4A">
            <w:pPr>
              <w:pStyle w:val="NotesTable-Notes"/>
            </w:pPr>
          </w:p>
        </w:tc>
        <w:tc>
          <w:tcPr>
            <w:tcW w:w="270" w:type="pct"/>
            <w:shd w:val="clear" w:color="auto" w:fill="CCCCCC"/>
          </w:tcPr>
          <w:p w14:paraId="038A4D40" w14:textId="77777777" w:rsidR="00A73253" w:rsidRDefault="00A73253" w:rsidP="001A5D4A">
            <w:pPr>
              <w:pStyle w:val="NotesTable-CellBold"/>
            </w:pPr>
          </w:p>
        </w:tc>
        <w:tc>
          <w:tcPr>
            <w:tcW w:w="270" w:type="pct"/>
            <w:shd w:val="clear" w:color="auto" w:fill="CCCCCC"/>
          </w:tcPr>
          <w:p w14:paraId="038A4D41" w14:textId="77777777" w:rsidR="00A73253" w:rsidRDefault="00A73253" w:rsidP="001A5D4A">
            <w:pPr>
              <w:pStyle w:val="NotesTable-CellPlain"/>
            </w:pPr>
          </w:p>
        </w:tc>
        <w:tc>
          <w:tcPr>
            <w:tcW w:w="270" w:type="pct"/>
            <w:gridSpan w:val="2"/>
            <w:shd w:val="clear" w:color="auto" w:fill="CCCCCC"/>
          </w:tcPr>
          <w:p w14:paraId="038A4D42" w14:textId="77777777" w:rsidR="00A73253" w:rsidRDefault="00A73253" w:rsidP="001A5D4A">
            <w:pPr>
              <w:pStyle w:val="NotesTable-CellBold"/>
            </w:pPr>
          </w:p>
        </w:tc>
        <w:tc>
          <w:tcPr>
            <w:tcW w:w="270" w:type="pct"/>
            <w:shd w:val="clear" w:color="auto" w:fill="CCCCCC"/>
          </w:tcPr>
          <w:p w14:paraId="038A4D43" w14:textId="77777777" w:rsidR="00A73253" w:rsidRDefault="00A73253" w:rsidP="001A5D4A">
            <w:pPr>
              <w:pStyle w:val="NotesTable-CellPlain"/>
            </w:pPr>
          </w:p>
        </w:tc>
        <w:tc>
          <w:tcPr>
            <w:tcW w:w="270" w:type="pct"/>
            <w:shd w:val="clear" w:color="auto" w:fill="CCCCCC"/>
          </w:tcPr>
          <w:p w14:paraId="038A4D44" w14:textId="77777777" w:rsidR="00A73253" w:rsidRDefault="00A73253" w:rsidP="001A5D4A">
            <w:pPr>
              <w:pStyle w:val="NotesTable-CellBold"/>
            </w:pPr>
          </w:p>
        </w:tc>
        <w:tc>
          <w:tcPr>
            <w:tcW w:w="270" w:type="pct"/>
            <w:shd w:val="clear" w:color="auto" w:fill="CCCCCC"/>
          </w:tcPr>
          <w:p w14:paraId="038A4D45" w14:textId="77777777" w:rsidR="00A73253" w:rsidRDefault="00A73253" w:rsidP="001A5D4A">
            <w:pPr>
              <w:pStyle w:val="NotesTable-CellPlain"/>
            </w:pPr>
          </w:p>
        </w:tc>
        <w:tc>
          <w:tcPr>
            <w:tcW w:w="270" w:type="pct"/>
            <w:shd w:val="clear" w:color="auto" w:fill="CCCCCC"/>
          </w:tcPr>
          <w:p w14:paraId="038A4D46" w14:textId="77777777" w:rsidR="00A73253" w:rsidRDefault="00A73253" w:rsidP="001A5D4A">
            <w:pPr>
              <w:pStyle w:val="NotesTable-CellBold"/>
            </w:pPr>
          </w:p>
        </w:tc>
        <w:tc>
          <w:tcPr>
            <w:tcW w:w="270" w:type="pct"/>
            <w:shd w:val="clear" w:color="auto" w:fill="CCCCCC"/>
          </w:tcPr>
          <w:p w14:paraId="038A4D47" w14:textId="77777777" w:rsidR="00A73253" w:rsidRDefault="00A73253" w:rsidP="001A5D4A">
            <w:pPr>
              <w:pStyle w:val="NotesTable-CellPlain"/>
            </w:pPr>
          </w:p>
        </w:tc>
        <w:tc>
          <w:tcPr>
            <w:tcW w:w="270" w:type="pct"/>
            <w:shd w:val="clear" w:color="auto" w:fill="CCCCCC"/>
          </w:tcPr>
          <w:p w14:paraId="038A4D48" w14:textId="77777777" w:rsidR="00A73253" w:rsidRDefault="00A73253" w:rsidP="001A5D4A">
            <w:pPr>
              <w:pStyle w:val="NotesTable-CellBold"/>
            </w:pPr>
          </w:p>
        </w:tc>
        <w:tc>
          <w:tcPr>
            <w:tcW w:w="270" w:type="pct"/>
            <w:tcBorders>
              <w:right w:val="single" w:sz="8" w:space="0" w:color="CDCDCD"/>
            </w:tcBorders>
            <w:shd w:val="clear" w:color="auto" w:fill="CCCCCC"/>
          </w:tcPr>
          <w:p w14:paraId="038A4D49" w14:textId="77777777" w:rsidR="00A73253" w:rsidRDefault="00A73253" w:rsidP="001A5D4A">
            <w:pPr>
              <w:pStyle w:val="NotesTable-CellPlain"/>
            </w:pPr>
          </w:p>
        </w:tc>
      </w:tr>
      <w:tr w:rsidR="00B25F05" w14:paraId="038A4D58" w14:textId="77777777" w:rsidTr="00261A68">
        <w:trPr>
          <w:cantSplit/>
          <w:trHeight w:val="255"/>
        </w:trPr>
        <w:tc>
          <w:tcPr>
            <w:tcW w:w="522" w:type="pct"/>
            <w:tcBorders>
              <w:right w:val="single" w:sz="8" w:space="0" w:color="CDCDCD"/>
            </w:tcBorders>
          </w:tcPr>
          <w:p w14:paraId="038A4D4B" w14:textId="77777777" w:rsidR="00A73253" w:rsidRDefault="00A73253" w:rsidP="001A5D4A">
            <w:pPr>
              <w:pStyle w:val="Note-Refs"/>
            </w:pPr>
            <w:r>
              <w:t>D</w:t>
            </w:r>
          </w:p>
        </w:tc>
        <w:tc>
          <w:tcPr>
            <w:tcW w:w="1538" w:type="pct"/>
            <w:tcBorders>
              <w:left w:val="single" w:sz="8" w:space="0" w:color="CDCDCD"/>
            </w:tcBorders>
            <w:shd w:val="clear" w:color="auto" w:fill="CCCCCC"/>
          </w:tcPr>
          <w:p w14:paraId="038A4D4C" w14:textId="77777777" w:rsidR="00A73253" w:rsidRDefault="00A73253" w:rsidP="001A5D4A">
            <w:pPr>
              <w:pStyle w:val="NotesTable-ItemPlain"/>
              <w:rPr>
                <w:b/>
              </w:rPr>
            </w:pPr>
            <w:r>
              <w:t>Surplus / (deficit) from the previous year</w:t>
            </w:r>
          </w:p>
        </w:tc>
        <w:tc>
          <w:tcPr>
            <w:tcW w:w="240" w:type="pct"/>
            <w:shd w:val="clear" w:color="auto" w:fill="CCCCCC"/>
          </w:tcPr>
          <w:p w14:paraId="038A4D4D" w14:textId="77777777" w:rsidR="00A73253" w:rsidRDefault="00A73253" w:rsidP="001A5D4A">
            <w:pPr>
              <w:pStyle w:val="NotesTable-Notes"/>
            </w:pPr>
          </w:p>
        </w:tc>
        <w:tc>
          <w:tcPr>
            <w:tcW w:w="270" w:type="pct"/>
            <w:tcBorders>
              <w:bottom w:val="single" w:sz="4" w:space="0" w:color="000000"/>
            </w:tcBorders>
            <w:shd w:val="clear" w:color="auto" w:fill="CCCCCC"/>
          </w:tcPr>
          <w:p w14:paraId="038A4D4E"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4F" w14:textId="77777777" w:rsidR="00A73253" w:rsidRDefault="00A73253" w:rsidP="001A5D4A">
            <w:pPr>
              <w:pStyle w:val="NotesTable-CellPlain"/>
            </w:pPr>
            <w:r>
              <w:t>–</w:t>
            </w:r>
          </w:p>
        </w:tc>
        <w:tc>
          <w:tcPr>
            <w:tcW w:w="270" w:type="pct"/>
            <w:gridSpan w:val="2"/>
            <w:tcBorders>
              <w:bottom w:val="single" w:sz="4" w:space="0" w:color="000000"/>
            </w:tcBorders>
            <w:shd w:val="clear" w:color="auto" w:fill="CCCCCC"/>
          </w:tcPr>
          <w:p w14:paraId="038A4D50"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51"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52"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53"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54"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55"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56" w14:textId="77777777" w:rsidR="00A73253" w:rsidRDefault="00A73253" w:rsidP="001A5D4A">
            <w:pPr>
              <w:pStyle w:val="NotesTable-CellBold"/>
            </w:pPr>
            <w:r>
              <w:t>–</w:t>
            </w:r>
          </w:p>
        </w:tc>
        <w:tc>
          <w:tcPr>
            <w:tcW w:w="270" w:type="pct"/>
            <w:tcBorders>
              <w:bottom w:val="single" w:sz="4" w:space="0" w:color="000000"/>
              <w:right w:val="single" w:sz="8" w:space="0" w:color="CDCDCD"/>
            </w:tcBorders>
            <w:shd w:val="clear" w:color="auto" w:fill="CCCCCC"/>
          </w:tcPr>
          <w:p w14:paraId="038A4D57" w14:textId="77777777" w:rsidR="00A73253" w:rsidRDefault="00A73253" w:rsidP="001A5D4A">
            <w:pPr>
              <w:pStyle w:val="NotesTable-CellPlain"/>
            </w:pPr>
            <w:r>
              <w:t>–</w:t>
            </w:r>
          </w:p>
        </w:tc>
      </w:tr>
      <w:tr w:rsidR="00B25F05" w14:paraId="038A4D66" w14:textId="77777777" w:rsidTr="00261A68">
        <w:trPr>
          <w:cantSplit/>
          <w:trHeight w:val="255"/>
        </w:trPr>
        <w:tc>
          <w:tcPr>
            <w:tcW w:w="522" w:type="pct"/>
            <w:tcBorders>
              <w:right w:val="single" w:sz="8" w:space="0" w:color="CDCDCD"/>
            </w:tcBorders>
          </w:tcPr>
          <w:p w14:paraId="038A4D59" w14:textId="77777777" w:rsidR="00A73253" w:rsidRDefault="00A73253" w:rsidP="001A5D4A">
            <w:pPr>
              <w:pStyle w:val="Note-Refs"/>
              <w:rPr>
                <w:b/>
              </w:rPr>
            </w:pPr>
            <w:r>
              <w:t>E = C + D</w:t>
            </w:r>
          </w:p>
        </w:tc>
        <w:tc>
          <w:tcPr>
            <w:tcW w:w="1538" w:type="pct"/>
            <w:tcBorders>
              <w:left w:val="single" w:sz="8" w:space="0" w:color="CDCDCD"/>
            </w:tcBorders>
            <w:shd w:val="clear" w:color="auto" w:fill="CCCCCC"/>
          </w:tcPr>
          <w:p w14:paraId="038A4D5A" w14:textId="77777777" w:rsidR="00A73253" w:rsidRDefault="00A73253" w:rsidP="001A5D4A">
            <w:pPr>
              <w:pStyle w:val="NotesTable-ItemPlain"/>
              <w:rPr>
                <w:b/>
              </w:rPr>
            </w:pPr>
            <w:r>
              <w:t>Total revenue including accrued revenue</w:t>
            </w:r>
          </w:p>
        </w:tc>
        <w:tc>
          <w:tcPr>
            <w:tcW w:w="240" w:type="pct"/>
            <w:shd w:val="clear" w:color="auto" w:fill="CCCCCC"/>
          </w:tcPr>
          <w:p w14:paraId="038A4D5B" w14:textId="77777777" w:rsidR="00A73253" w:rsidRDefault="00A73253" w:rsidP="001A5D4A">
            <w:pPr>
              <w:pStyle w:val="NotesTable-Notes"/>
            </w:pPr>
          </w:p>
        </w:tc>
        <w:tc>
          <w:tcPr>
            <w:tcW w:w="270" w:type="pct"/>
            <w:tcBorders>
              <w:top w:val="single" w:sz="4" w:space="0" w:color="000000"/>
            </w:tcBorders>
            <w:shd w:val="clear" w:color="auto" w:fill="CCCCCC"/>
          </w:tcPr>
          <w:p w14:paraId="038A4D5C"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5D" w14:textId="77777777" w:rsidR="00A73253" w:rsidRDefault="00A73253" w:rsidP="001A5D4A">
            <w:pPr>
              <w:pStyle w:val="NotesTable-CellPlain"/>
            </w:pPr>
            <w:r>
              <w:t>–</w:t>
            </w:r>
          </w:p>
        </w:tc>
        <w:tc>
          <w:tcPr>
            <w:tcW w:w="270" w:type="pct"/>
            <w:gridSpan w:val="2"/>
            <w:tcBorders>
              <w:top w:val="single" w:sz="4" w:space="0" w:color="000000"/>
            </w:tcBorders>
            <w:shd w:val="clear" w:color="auto" w:fill="CCCCCC"/>
          </w:tcPr>
          <w:p w14:paraId="038A4D5E"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5F"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60"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61"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62"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D63"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D64" w14:textId="77777777" w:rsidR="00A73253" w:rsidRDefault="00A73253" w:rsidP="001A5D4A">
            <w:pPr>
              <w:pStyle w:val="NotesTable-CellBold"/>
            </w:pPr>
            <w:r>
              <w:t>–</w:t>
            </w:r>
          </w:p>
        </w:tc>
        <w:tc>
          <w:tcPr>
            <w:tcW w:w="270" w:type="pct"/>
            <w:tcBorders>
              <w:top w:val="single" w:sz="4" w:space="0" w:color="000000"/>
              <w:right w:val="single" w:sz="8" w:space="0" w:color="CDCDCD"/>
            </w:tcBorders>
            <w:shd w:val="clear" w:color="auto" w:fill="CCCCCC"/>
          </w:tcPr>
          <w:p w14:paraId="038A4D65" w14:textId="77777777" w:rsidR="00A73253" w:rsidRDefault="00A73253" w:rsidP="001A5D4A">
            <w:pPr>
              <w:pStyle w:val="NotesTable-CellPlain"/>
            </w:pPr>
            <w:r>
              <w:t>–</w:t>
            </w:r>
          </w:p>
        </w:tc>
      </w:tr>
      <w:tr w:rsidR="00B25F05" w14:paraId="038A4D74" w14:textId="77777777" w:rsidTr="00261A68">
        <w:trPr>
          <w:cantSplit/>
          <w:trHeight w:val="255"/>
        </w:trPr>
        <w:tc>
          <w:tcPr>
            <w:tcW w:w="522" w:type="pct"/>
            <w:tcBorders>
              <w:right w:val="single" w:sz="8" w:space="0" w:color="CDCDCD"/>
            </w:tcBorders>
          </w:tcPr>
          <w:p w14:paraId="038A4D67" w14:textId="77777777" w:rsidR="00A73253" w:rsidRDefault="00A73253" w:rsidP="001A5D4A">
            <w:pPr>
              <w:pStyle w:val="Note-Refs"/>
            </w:pPr>
            <w:r>
              <w:t>F</w:t>
            </w:r>
          </w:p>
        </w:tc>
        <w:tc>
          <w:tcPr>
            <w:tcW w:w="1538" w:type="pct"/>
            <w:tcBorders>
              <w:left w:val="single" w:sz="8" w:space="0" w:color="CDCDCD"/>
            </w:tcBorders>
            <w:shd w:val="clear" w:color="auto" w:fill="CCCCCC"/>
          </w:tcPr>
          <w:p w14:paraId="038A4D68" w14:textId="77777777" w:rsidR="00A73253" w:rsidRDefault="00A73253" w:rsidP="001A5D4A">
            <w:pPr>
              <w:pStyle w:val="NotesTable-ItemPlain"/>
              <w:rPr>
                <w:b/>
              </w:rPr>
            </w:pPr>
            <w:r>
              <w:t>Less expenses including accrued expenses</w:t>
            </w:r>
          </w:p>
        </w:tc>
        <w:tc>
          <w:tcPr>
            <w:tcW w:w="240" w:type="pct"/>
            <w:shd w:val="clear" w:color="auto" w:fill="CCCCCC"/>
          </w:tcPr>
          <w:p w14:paraId="038A4D69" w14:textId="77777777" w:rsidR="00A73253" w:rsidRDefault="00A73253" w:rsidP="001A5D4A">
            <w:pPr>
              <w:pStyle w:val="NotesTable-Notes"/>
            </w:pPr>
          </w:p>
        </w:tc>
        <w:tc>
          <w:tcPr>
            <w:tcW w:w="270" w:type="pct"/>
            <w:tcBorders>
              <w:bottom w:val="single" w:sz="4" w:space="0" w:color="000000"/>
            </w:tcBorders>
            <w:shd w:val="clear" w:color="auto" w:fill="CCCCCC"/>
          </w:tcPr>
          <w:p w14:paraId="038A4D6A"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6B" w14:textId="77777777" w:rsidR="00A73253" w:rsidRDefault="00A73253" w:rsidP="001A5D4A">
            <w:pPr>
              <w:pStyle w:val="NotesTable-CellPlain"/>
            </w:pPr>
            <w:r>
              <w:t>–</w:t>
            </w:r>
          </w:p>
        </w:tc>
        <w:tc>
          <w:tcPr>
            <w:tcW w:w="270" w:type="pct"/>
            <w:gridSpan w:val="2"/>
            <w:tcBorders>
              <w:bottom w:val="single" w:sz="4" w:space="0" w:color="000000"/>
            </w:tcBorders>
            <w:shd w:val="clear" w:color="auto" w:fill="CCCCCC"/>
          </w:tcPr>
          <w:p w14:paraId="038A4D6C"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6D"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6E"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6F"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70" w14:textId="77777777" w:rsidR="00A73253" w:rsidRDefault="00A73253" w:rsidP="001A5D4A">
            <w:pPr>
              <w:pStyle w:val="NotesTable-CellBold"/>
            </w:pPr>
            <w:r>
              <w:t>–</w:t>
            </w:r>
          </w:p>
        </w:tc>
        <w:tc>
          <w:tcPr>
            <w:tcW w:w="270" w:type="pct"/>
            <w:tcBorders>
              <w:bottom w:val="single" w:sz="4" w:space="0" w:color="000000"/>
            </w:tcBorders>
            <w:shd w:val="clear" w:color="auto" w:fill="CCCCCC"/>
          </w:tcPr>
          <w:p w14:paraId="038A4D71" w14:textId="77777777" w:rsidR="00A73253" w:rsidRDefault="00A73253" w:rsidP="001A5D4A">
            <w:pPr>
              <w:pStyle w:val="NotesTable-CellPlain"/>
            </w:pPr>
            <w:r>
              <w:t>–</w:t>
            </w:r>
          </w:p>
        </w:tc>
        <w:tc>
          <w:tcPr>
            <w:tcW w:w="270" w:type="pct"/>
            <w:tcBorders>
              <w:bottom w:val="single" w:sz="4" w:space="0" w:color="000000"/>
            </w:tcBorders>
            <w:shd w:val="clear" w:color="auto" w:fill="CCCCCC"/>
          </w:tcPr>
          <w:p w14:paraId="038A4D72" w14:textId="77777777" w:rsidR="00A73253" w:rsidRDefault="00A73253" w:rsidP="001A5D4A">
            <w:pPr>
              <w:pStyle w:val="NotesTable-CellBold"/>
            </w:pPr>
            <w:r>
              <w:t>–</w:t>
            </w:r>
          </w:p>
        </w:tc>
        <w:tc>
          <w:tcPr>
            <w:tcW w:w="270" w:type="pct"/>
            <w:tcBorders>
              <w:bottom w:val="single" w:sz="4" w:space="0" w:color="000000"/>
              <w:right w:val="single" w:sz="8" w:space="0" w:color="CDCDCD"/>
            </w:tcBorders>
            <w:shd w:val="clear" w:color="auto" w:fill="CCCCCC"/>
          </w:tcPr>
          <w:p w14:paraId="038A4D73" w14:textId="77777777" w:rsidR="00A73253" w:rsidRDefault="00A73253" w:rsidP="001A5D4A">
            <w:pPr>
              <w:pStyle w:val="NotesTable-CellPlain"/>
            </w:pPr>
            <w:r>
              <w:t>–</w:t>
            </w:r>
          </w:p>
        </w:tc>
      </w:tr>
      <w:tr w:rsidR="00B25F05" w14:paraId="038A4D82" w14:textId="77777777" w:rsidTr="00261A68">
        <w:trPr>
          <w:cantSplit/>
          <w:trHeight w:val="255"/>
        </w:trPr>
        <w:tc>
          <w:tcPr>
            <w:tcW w:w="522" w:type="pct"/>
            <w:tcBorders>
              <w:right w:val="single" w:sz="8" w:space="0" w:color="CDCDCD"/>
            </w:tcBorders>
          </w:tcPr>
          <w:p w14:paraId="038A4D75" w14:textId="77777777" w:rsidR="00A73253" w:rsidRDefault="00A73253" w:rsidP="001A5D4A">
            <w:pPr>
              <w:pStyle w:val="Note-Refs"/>
              <w:rPr>
                <w:b/>
              </w:rPr>
            </w:pPr>
            <w:r>
              <w:t>G = E – F</w:t>
            </w:r>
          </w:p>
        </w:tc>
        <w:tc>
          <w:tcPr>
            <w:tcW w:w="1538" w:type="pct"/>
            <w:tcBorders>
              <w:left w:val="single" w:sz="8" w:space="0" w:color="CDCDCD"/>
            </w:tcBorders>
            <w:shd w:val="clear" w:color="auto" w:fill="CCCCCC"/>
          </w:tcPr>
          <w:p w14:paraId="038A4D76" w14:textId="77777777" w:rsidR="00A73253" w:rsidRDefault="00A73253" w:rsidP="001A5D4A">
            <w:pPr>
              <w:pStyle w:val="NotesTable-ItemPlain"/>
              <w:rPr>
                <w:b/>
              </w:rPr>
            </w:pPr>
            <w:r>
              <w:t>Surplus / (deficit) for reporting period</w:t>
            </w:r>
          </w:p>
        </w:tc>
        <w:tc>
          <w:tcPr>
            <w:tcW w:w="240" w:type="pct"/>
            <w:shd w:val="clear" w:color="auto" w:fill="CCCCCC"/>
          </w:tcPr>
          <w:p w14:paraId="038A4D77" w14:textId="77777777" w:rsidR="00A73253" w:rsidRDefault="00A73253" w:rsidP="001A5D4A">
            <w:pPr>
              <w:pStyle w:val="NotesTable-Notes"/>
            </w:pPr>
          </w:p>
        </w:tc>
        <w:tc>
          <w:tcPr>
            <w:tcW w:w="270" w:type="pct"/>
            <w:tcBorders>
              <w:bottom w:val="single" w:sz="4" w:space="0" w:color="auto"/>
            </w:tcBorders>
            <w:shd w:val="clear" w:color="auto" w:fill="CCCCCC"/>
          </w:tcPr>
          <w:p w14:paraId="038A4D78" w14:textId="77777777" w:rsidR="00A73253" w:rsidRDefault="00A73253" w:rsidP="001A5D4A">
            <w:pPr>
              <w:pStyle w:val="NotesTable-CellBold"/>
            </w:pPr>
            <w:r>
              <w:t>–</w:t>
            </w:r>
          </w:p>
        </w:tc>
        <w:tc>
          <w:tcPr>
            <w:tcW w:w="270" w:type="pct"/>
            <w:tcBorders>
              <w:bottom w:val="single" w:sz="4" w:space="0" w:color="auto"/>
            </w:tcBorders>
            <w:shd w:val="clear" w:color="auto" w:fill="CCCCCC"/>
          </w:tcPr>
          <w:p w14:paraId="038A4D79" w14:textId="77777777" w:rsidR="00A73253" w:rsidRDefault="00A73253" w:rsidP="001A5D4A">
            <w:pPr>
              <w:pStyle w:val="NotesTable-CellPlain"/>
            </w:pPr>
            <w:r>
              <w:t>–</w:t>
            </w:r>
          </w:p>
        </w:tc>
        <w:tc>
          <w:tcPr>
            <w:tcW w:w="270" w:type="pct"/>
            <w:gridSpan w:val="2"/>
            <w:tcBorders>
              <w:bottom w:val="single" w:sz="4" w:space="0" w:color="auto"/>
            </w:tcBorders>
            <w:shd w:val="clear" w:color="auto" w:fill="CCCCCC"/>
          </w:tcPr>
          <w:p w14:paraId="038A4D7A" w14:textId="77777777" w:rsidR="00A73253" w:rsidRDefault="00A73253" w:rsidP="001A5D4A">
            <w:pPr>
              <w:pStyle w:val="NotesTable-CellBold"/>
            </w:pPr>
            <w:r>
              <w:t>–</w:t>
            </w:r>
          </w:p>
        </w:tc>
        <w:tc>
          <w:tcPr>
            <w:tcW w:w="270" w:type="pct"/>
            <w:tcBorders>
              <w:bottom w:val="single" w:sz="4" w:space="0" w:color="auto"/>
            </w:tcBorders>
            <w:shd w:val="clear" w:color="auto" w:fill="CCCCCC"/>
          </w:tcPr>
          <w:p w14:paraId="038A4D7B" w14:textId="77777777" w:rsidR="00A73253" w:rsidRDefault="00A73253" w:rsidP="001A5D4A">
            <w:pPr>
              <w:pStyle w:val="NotesTable-CellPlain"/>
            </w:pPr>
            <w:r>
              <w:t>–</w:t>
            </w:r>
          </w:p>
        </w:tc>
        <w:tc>
          <w:tcPr>
            <w:tcW w:w="270" w:type="pct"/>
            <w:tcBorders>
              <w:bottom w:val="single" w:sz="4" w:space="0" w:color="auto"/>
            </w:tcBorders>
            <w:shd w:val="clear" w:color="auto" w:fill="CCCCCC"/>
          </w:tcPr>
          <w:p w14:paraId="038A4D7C" w14:textId="77777777" w:rsidR="00A73253" w:rsidRDefault="00A73253" w:rsidP="001A5D4A">
            <w:pPr>
              <w:pStyle w:val="NotesTable-CellBold"/>
            </w:pPr>
            <w:r>
              <w:t>–</w:t>
            </w:r>
          </w:p>
        </w:tc>
        <w:tc>
          <w:tcPr>
            <w:tcW w:w="270" w:type="pct"/>
            <w:tcBorders>
              <w:bottom w:val="single" w:sz="4" w:space="0" w:color="auto"/>
            </w:tcBorders>
            <w:shd w:val="clear" w:color="auto" w:fill="CCCCCC"/>
          </w:tcPr>
          <w:p w14:paraId="038A4D7D" w14:textId="77777777" w:rsidR="00A73253" w:rsidRDefault="00A73253" w:rsidP="001A5D4A">
            <w:pPr>
              <w:pStyle w:val="NotesTable-CellPlain"/>
            </w:pPr>
            <w:r>
              <w:t>–</w:t>
            </w:r>
          </w:p>
        </w:tc>
        <w:tc>
          <w:tcPr>
            <w:tcW w:w="270" w:type="pct"/>
            <w:tcBorders>
              <w:bottom w:val="single" w:sz="4" w:space="0" w:color="auto"/>
            </w:tcBorders>
            <w:shd w:val="clear" w:color="auto" w:fill="CCCCCC"/>
          </w:tcPr>
          <w:p w14:paraId="038A4D7E" w14:textId="77777777" w:rsidR="00A73253" w:rsidRDefault="00A73253" w:rsidP="001A5D4A">
            <w:pPr>
              <w:pStyle w:val="NotesTable-CellBold"/>
            </w:pPr>
            <w:r>
              <w:t>–</w:t>
            </w:r>
          </w:p>
        </w:tc>
        <w:tc>
          <w:tcPr>
            <w:tcW w:w="270" w:type="pct"/>
            <w:tcBorders>
              <w:bottom w:val="single" w:sz="4" w:space="0" w:color="auto"/>
            </w:tcBorders>
            <w:shd w:val="clear" w:color="auto" w:fill="CCCCCC"/>
          </w:tcPr>
          <w:p w14:paraId="038A4D7F" w14:textId="77777777" w:rsidR="00A73253" w:rsidRDefault="00A73253" w:rsidP="001A5D4A">
            <w:pPr>
              <w:pStyle w:val="NotesTable-CellPlain"/>
            </w:pPr>
            <w:r>
              <w:t>–</w:t>
            </w:r>
          </w:p>
        </w:tc>
        <w:tc>
          <w:tcPr>
            <w:tcW w:w="270" w:type="pct"/>
            <w:tcBorders>
              <w:bottom w:val="single" w:sz="4" w:space="0" w:color="auto"/>
            </w:tcBorders>
            <w:shd w:val="clear" w:color="auto" w:fill="CCCCCC"/>
          </w:tcPr>
          <w:p w14:paraId="038A4D80" w14:textId="77777777" w:rsidR="00A73253" w:rsidRDefault="00A73253" w:rsidP="001A5D4A">
            <w:pPr>
              <w:pStyle w:val="NotesTable-CellBold"/>
            </w:pPr>
            <w:r>
              <w:t>–</w:t>
            </w:r>
          </w:p>
        </w:tc>
        <w:tc>
          <w:tcPr>
            <w:tcW w:w="270" w:type="pct"/>
            <w:tcBorders>
              <w:bottom w:val="single" w:sz="4" w:space="0" w:color="auto"/>
              <w:right w:val="single" w:sz="8" w:space="0" w:color="CDCDCD"/>
            </w:tcBorders>
            <w:shd w:val="clear" w:color="auto" w:fill="CCCCCC"/>
          </w:tcPr>
          <w:p w14:paraId="038A4D81" w14:textId="77777777" w:rsidR="00A73253" w:rsidRDefault="00A73253" w:rsidP="001A5D4A">
            <w:pPr>
              <w:pStyle w:val="NotesTable-CellPlain"/>
            </w:pPr>
            <w:r>
              <w:t>–</w:t>
            </w:r>
          </w:p>
        </w:tc>
      </w:tr>
      <w:tr w:rsidR="00B25F05" w14:paraId="038A4D90" w14:textId="77777777" w:rsidTr="00261A68">
        <w:trPr>
          <w:cantSplit/>
          <w:trHeight w:val="255"/>
        </w:trPr>
        <w:tc>
          <w:tcPr>
            <w:tcW w:w="522" w:type="pct"/>
            <w:tcBorders>
              <w:right w:val="single" w:sz="8" w:space="0" w:color="CDCDCD"/>
            </w:tcBorders>
          </w:tcPr>
          <w:p w14:paraId="038A4D83" w14:textId="77777777" w:rsidR="00883953" w:rsidRDefault="00883953" w:rsidP="001A5D4A">
            <w:pPr>
              <w:pStyle w:val="Note-Refs"/>
            </w:pPr>
          </w:p>
        </w:tc>
        <w:tc>
          <w:tcPr>
            <w:tcW w:w="1538" w:type="pct"/>
            <w:tcBorders>
              <w:left w:val="single" w:sz="8" w:space="0" w:color="CDCDCD"/>
              <w:bottom w:val="single" w:sz="8" w:space="0" w:color="CDCDCD"/>
            </w:tcBorders>
            <w:shd w:val="clear" w:color="auto" w:fill="CCCCCC"/>
          </w:tcPr>
          <w:p w14:paraId="038A4D84" w14:textId="77777777" w:rsidR="00883953" w:rsidRDefault="00883953" w:rsidP="001A5D4A">
            <w:pPr>
              <w:pStyle w:val="NotesTable-ItemPlain"/>
            </w:pPr>
          </w:p>
        </w:tc>
        <w:tc>
          <w:tcPr>
            <w:tcW w:w="240" w:type="pct"/>
            <w:tcBorders>
              <w:bottom w:val="single" w:sz="8" w:space="0" w:color="CDCDCD"/>
            </w:tcBorders>
            <w:shd w:val="clear" w:color="auto" w:fill="CCCCCC"/>
          </w:tcPr>
          <w:p w14:paraId="038A4D85" w14:textId="77777777" w:rsidR="00883953" w:rsidRDefault="00883953" w:rsidP="001A5D4A">
            <w:pPr>
              <w:pStyle w:val="NotesTable-Notes"/>
            </w:pPr>
          </w:p>
        </w:tc>
        <w:tc>
          <w:tcPr>
            <w:tcW w:w="270" w:type="pct"/>
            <w:tcBorders>
              <w:top w:val="single" w:sz="4" w:space="0" w:color="auto"/>
              <w:bottom w:val="single" w:sz="8" w:space="0" w:color="CDCDCD"/>
            </w:tcBorders>
            <w:shd w:val="clear" w:color="auto" w:fill="CCCCCC"/>
          </w:tcPr>
          <w:p w14:paraId="038A4D86" w14:textId="77777777" w:rsidR="00883953" w:rsidRDefault="00883953" w:rsidP="001A5D4A">
            <w:pPr>
              <w:pStyle w:val="NotesTable-CellBold"/>
            </w:pPr>
          </w:p>
        </w:tc>
        <w:tc>
          <w:tcPr>
            <w:tcW w:w="270" w:type="pct"/>
            <w:tcBorders>
              <w:top w:val="single" w:sz="4" w:space="0" w:color="auto"/>
              <w:bottom w:val="single" w:sz="8" w:space="0" w:color="CDCDCD"/>
            </w:tcBorders>
            <w:shd w:val="clear" w:color="auto" w:fill="CCCCCC"/>
          </w:tcPr>
          <w:p w14:paraId="038A4D87" w14:textId="77777777" w:rsidR="00883953" w:rsidRDefault="00883953" w:rsidP="001A5D4A">
            <w:pPr>
              <w:pStyle w:val="NotesTable-CellPlain"/>
            </w:pPr>
          </w:p>
        </w:tc>
        <w:tc>
          <w:tcPr>
            <w:tcW w:w="270" w:type="pct"/>
            <w:gridSpan w:val="2"/>
            <w:tcBorders>
              <w:top w:val="single" w:sz="4" w:space="0" w:color="auto"/>
              <w:bottom w:val="single" w:sz="8" w:space="0" w:color="CDCDCD"/>
            </w:tcBorders>
            <w:shd w:val="clear" w:color="auto" w:fill="CCCCCC"/>
          </w:tcPr>
          <w:p w14:paraId="038A4D88" w14:textId="77777777" w:rsidR="00883953" w:rsidRDefault="00883953" w:rsidP="001A5D4A">
            <w:pPr>
              <w:pStyle w:val="NotesTable-CellBold"/>
            </w:pPr>
          </w:p>
        </w:tc>
        <w:tc>
          <w:tcPr>
            <w:tcW w:w="270" w:type="pct"/>
            <w:tcBorders>
              <w:top w:val="single" w:sz="4" w:space="0" w:color="auto"/>
              <w:bottom w:val="single" w:sz="8" w:space="0" w:color="CDCDCD"/>
            </w:tcBorders>
            <w:shd w:val="clear" w:color="auto" w:fill="CCCCCC"/>
          </w:tcPr>
          <w:p w14:paraId="038A4D89" w14:textId="77777777" w:rsidR="00883953" w:rsidRDefault="00883953" w:rsidP="001A5D4A">
            <w:pPr>
              <w:pStyle w:val="NotesTable-CellPlain"/>
            </w:pPr>
          </w:p>
        </w:tc>
        <w:tc>
          <w:tcPr>
            <w:tcW w:w="270" w:type="pct"/>
            <w:tcBorders>
              <w:top w:val="single" w:sz="4" w:space="0" w:color="auto"/>
              <w:bottom w:val="single" w:sz="8" w:space="0" w:color="CDCDCD"/>
            </w:tcBorders>
            <w:shd w:val="clear" w:color="auto" w:fill="CCCCCC"/>
          </w:tcPr>
          <w:p w14:paraId="038A4D8A" w14:textId="77777777" w:rsidR="00883953" w:rsidRDefault="00883953" w:rsidP="001A5D4A">
            <w:pPr>
              <w:pStyle w:val="NotesTable-CellBold"/>
            </w:pPr>
          </w:p>
        </w:tc>
        <w:tc>
          <w:tcPr>
            <w:tcW w:w="270" w:type="pct"/>
            <w:tcBorders>
              <w:top w:val="single" w:sz="4" w:space="0" w:color="auto"/>
              <w:bottom w:val="single" w:sz="8" w:space="0" w:color="CDCDCD"/>
            </w:tcBorders>
            <w:shd w:val="clear" w:color="auto" w:fill="CCCCCC"/>
          </w:tcPr>
          <w:p w14:paraId="038A4D8B" w14:textId="77777777" w:rsidR="00883953" w:rsidRDefault="00883953" w:rsidP="001A5D4A">
            <w:pPr>
              <w:pStyle w:val="NotesTable-CellPlain"/>
            </w:pPr>
          </w:p>
        </w:tc>
        <w:tc>
          <w:tcPr>
            <w:tcW w:w="270" w:type="pct"/>
            <w:tcBorders>
              <w:top w:val="single" w:sz="4" w:space="0" w:color="auto"/>
              <w:bottom w:val="single" w:sz="8" w:space="0" w:color="CDCDCD"/>
            </w:tcBorders>
            <w:shd w:val="clear" w:color="auto" w:fill="CCCCCC"/>
          </w:tcPr>
          <w:p w14:paraId="038A4D8C" w14:textId="77777777" w:rsidR="00883953" w:rsidRDefault="00883953" w:rsidP="001A5D4A">
            <w:pPr>
              <w:pStyle w:val="NotesTable-CellBold"/>
            </w:pPr>
          </w:p>
        </w:tc>
        <w:tc>
          <w:tcPr>
            <w:tcW w:w="270" w:type="pct"/>
            <w:tcBorders>
              <w:top w:val="single" w:sz="4" w:space="0" w:color="auto"/>
              <w:bottom w:val="single" w:sz="8" w:space="0" w:color="CDCDCD"/>
            </w:tcBorders>
            <w:shd w:val="clear" w:color="auto" w:fill="CCCCCC"/>
          </w:tcPr>
          <w:p w14:paraId="038A4D8D" w14:textId="77777777" w:rsidR="00883953" w:rsidRDefault="00883953" w:rsidP="001A5D4A">
            <w:pPr>
              <w:pStyle w:val="NotesTable-CellPlain"/>
            </w:pPr>
          </w:p>
        </w:tc>
        <w:tc>
          <w:tcPr>
            <w:tcW w:w="270" w:type="pct"/>
            <w:tcBorders>
              <w:top w:val="single" w:sz="4" w:space="0" w:color="auto"/>
              <w:bottom w:val="single" w:sz="8" w:space="0" w:color="CDCDCD"/>
            </w:tcBorders>
            <w:shd w:val="clear" w:color="auto" w:fill="CCCCCC"/>
          </w:tcPr>
          <w:p w14:paraId="038A4D8E" w14:textId="77777777" w:rsidR="00883953" w:rsidRDefault="00883953" w:rsidP="001A5D4A">
            <w:pPr>
              <w:pStyle w:val="NotesTable-CellBold"/>
            </w:pPr>
          </w:p>
        </w:tc>
        <w:tc>
          <w:tcPr>
            <w:tcW w:w="270" w:type="pct"/>
            <w:tcBorders>
              <w:top w:val="single" w:sz="4" w:space="0" w:color="auto"/>
              <w:bottom w:val="single" w:sz="8" w:space="0" w:color="CDCDCD"/>
              <w:right w:val="single" w:sz="8" w:space="0" w:color="CDCDCD"/>
            </w:tcBorders>
            <w:shd w:val="clear" w:color="auto" w:fill="CCCCCC"/>
          </w:tcPr>
          <w:p w14:paraId="038A4D8F" w14:textId="77777777" w:rsidR="00883953" w:rsidRDefault="00883953" w:rsidP="001A5D4A">
            <w:pPr>
              <w:pStyle w:val="NotesTable-CellPlain"/>
            </w:pPr>
          </w:p>
        </w:tc>
      </w:tr>
    </w:tbl>
    <w:p w14:paraId="038A4D92" w14:textId="77777777" w:rsidR="00923C3F" w:rsidRPr="00183B19" w:rsidRDefault="00923C3F" w:rsidP="001A5D4A">
      <w:r w:rsidRPr="00183B19">
        <w:t xml:space="preserve">#1 </w:t>
      </w:r>
      <w:proofErr w:type="gramStart"/>
      <w:r w:rsidRPr="00183B19">
        <w:t>Includes</w:t>
      </w:r>
      <w:proofErr w:type="gramEnd"/>
      <w:r w:rsidRPr="00183B19">
        <w:t xml:space="preserve"> the basic CGS grant amount, CGS – Regional Loading, CGS – Enabling Loading, Maths and Science Transition Loading and Full Fee Places Transition Loading.</w:t>
      </w:r>
    </w:p>
    <w:p w14:paraId="038A4D93" w14:textId="77777777" w:rsidR="00AD6BF4" w:rsidRPr="00183B19" w:rsidRDefault="00CB7156" w:rsidP="001A5D4A">
      <w:r w:rsidRPr="00183B19">
        <w:t>#2 Includes Equity Support Program</w:t>
      </w:r>
      <w:r w:rsidR="00AD6BF4" w:rsidRPr="00183B19">
        <w:br w:type="page"/>
      </w:r>
    </w:p>
    <w:tbl>
      <w:tblPr>
        <w:tblW w:w="5000" w:type="pct"/>
        <w:tblLook w:val="0000" w:firstRow="0" w:lastRow="0" w:firstColumn="0" w:lastColumn="0" w:noHBand="0" w:noVBand="0"/>
      </w:tblPr>
      <w:tblGrid>
        <w:gridCol w:w="1642"/>
        <w:gridCol w:w="4836"/>
        <w:gridCol w:w="753"/>
        <w:gridCol w:w="707"/>
        <w:gridCol w:w="707"/>
        <w:gridCol w:w="430"/>
        <w:gridCol w:w="276"/>
        <w:gridCol w:w="707"/>
        <w:gridCol w:w="707"/>
        <w:gridCol w:w="707"/>
        <w:gridCol w:w="707"/>
        <w:gridCol w:w="707"/>
        <w:gridCol w:w="707"/>
        <w:gridCol w:w="707"/>
        <w:gridCol w:w="707"/>
        <w:gridCol w:w="97"/>
        <w:gridCol w:w="600"/>
      </w:tblGrid>
      <w:tr w:rsidR="00AA2125" w14:paraId="038A4D98" w14:textId="710CA73B" w:rsidTr="00AA2125">
        <w:trPr>
          <w:cantSplit/>
          <w:trHeight w:val="161"/>
        </w:trPr>
        <w:tc>
          <w:tcPr>
            <w:tcW w:w="4808" w:type="pct"/>
            <w:gridSpan w:val="16"/>
            <w:tcBorders>
              <w:right w:val="single" w:sz="8" w:space="0" w:color="CDCDCD"/>
            </w:tcBorders>
          </w:tcPr>
          <w:p w14:paraId="038A4D97" w14:textId="4BC4D8F6" w:rsidR="00AA2125" w:rsidRPr="00AA2125" w:rsidRDefault="00AA2125" w:rsidP="004B7414">
            <w:pPr>
              <w:pStyle w:val="TOC3"/>
              <w:ind w:left="0"/>
            </w:pPr>
            <w:r>
              <w:lastRenderedPageBreak/>
              <w:t xml:space="preserve">Note 53. </w:t>
            </w:r>
            <w:r w:rsidRPr="00183B19">
              <w:t>Acquittal of Australian Government financial assistance (continued)</w:t>
            </w:r>
          </w:p>
        </w:tc>
        <w:tc>
          <w:tcPr>
            <w:tcW w:w="192" w:type="pct"/>
            <w:tcBorders>
              <w:top w:val="single" w:sz="8" w:space="0" w:color="CDCDCD"/>
              <w:left w:val="single" w:sz="8" w:space="0" w:color="CDCDCD"/>
              <w:right w:val="single" w:sz="8" w:space="0" w:color="CDCDCD"/>
            </w:tcBorders>
            <w:shd w:val="clear" w:color="auto" w:fill="auto"/>
          </w:tcPr>
          <w:p w14:paraId="0D786BDC" w14:textId="77777777" w:rsidR="00AA2125" w:rsidRDefault="00AA2125" w:rsidP="001A5D4A">
            <w:pPr>
              <w:pStyle w:val="Note-Title"/>
            </w:pPr>
          </w:p>
        </w:tc>
      </w:tr>
      <w:tr w:rsidR="00E06EAA" w14:paraId="038A4D9C" w14:textId="5FCEA046" w:rsidTr="00AA2125">
        <w:trPr>
          <w:cantSplit/>
          <w:trHeight w:val="290"/>
        </w:trPr>
        <w:tc>
          <w:tcPr>
            <w:tcW w:w="523" w:type="pct"/>
            <w:tcBorders>
              <w:right w:val="single" w:sz="8" w:space="0" w:color="CDCDCD"/>
            </w:tcBorders>
          </w:tcPr>
          <w:p w14:paraId="038A4D99" w14:textId="7BB51AEC" w:rsidR="00E06EAA" w:rsidRPr="00AA2125" w:rsidRDefault="00AA2125" w:rsidP="00AA2125">
            <w:pPr>
              <w:pStyle w:val="Note-Refs"/>
              <w:rPr>
                <w:b/>
              </w:rPr>
            </w:pPr>
            <w:r>
              <w:t>MANDATORY</w:t>
            </w:r>
          </w:p>
        </w:tc>
        <w:tc>
          <w:tcPr>
            <w:tcW w:w="2367" w:type="pct"/>
            <w:gridSpan w:val="5"/>
            <w:tcBorders>
              <w:left w:val="single" w:sz="8" w:space="0" w:color="CDCDCD"/>
            </w:tcBorders>
            <w:shd w:val="clear" w:color="auto" w:fill="CCCCCC"/>
          </w:tcPr>
          <w:p w14:paraId="038A4D9A" w14:textId="6DD1302C" w:rsidR="00E06EAA" w:rsidRDefault="00E06EAA" w:rsidP="001A5D4A">
            <w:pPr>
              <w:pStyle w:val="NotesTable-AcquittalHeader"/>
              <w:rPr>
                <w:b w:val="0"/>
              </w:rPr>
            </w:pPr>
            <w:r>
              <w:t>53a Education – CGS and Other Education Grants (continued)</w:t>
            </w:r>
          </w:p>
        </w:tc>
        <w:tc>
          <w:tcPr>
            <w:tcW w:w="1919" w:type="pct"/>
            <w:gridSpan w:val="10"/>
            <w:tcBorders>
              <w:left w:val="single" w:sz="4" w:space="0" w:color="C0C0C0"/>
              <w:right w:val="single" w:sz="8" w:space="0" w:color="CDCDCD"/>
            </w:tcBorders>
            <w:shd w:val="clear" w:color="auto" w:fill="CCCCCC"/>
          </w:tcPr>
          <w:p w14:paraId="038A4D9B" w14:textId="77777777" w:rsidR="00E06EAA" w:rsidRDefault="00E06EAA" w:rsidP="001A5D4A">
            <w:pPr>
              <w:pStyle w:val="NotesTable-ItemBold"/>
            </w:pPr>
            <w:r>
              <w:t>Parent entity (HEP) ONLY</w:t>
            </w:r>
          </w:p>
        </w:tc>
        <w:tc>
          <w:tcPr>
            <w:tcW w:w="192" w:type="pct"/>
            <w:tcBorders>
              <w:left w:val="single" w:sz="4" w:space="0" w:color="C0C0C0"/>
              <w:right w:val="single" w:sz="8" w:space="0" w:color="CDCDCD"/>
            </w:tcBorders>
            <w:shd w:val="clear" w:color="auto" w:fill="CCCCCC"/>
          </w:tcPr>
          <w:p w14:paraId="14E796F7" w14:textId="77777777" w:rsidR="00E06EAA" w:rsidRDefault="00E06EAA" w:rsidP="001A5D4A">
            <w:pPr>
              <w:pStyle w:val="NotesTable-HeadBold"/>
            </w:pPr>
          </w:p>
        </w:tc>
      </w:tr>
      <w:tr w:rsidR="00271026" w14:paraId="02EEADE9" w14:textId="77777777" w:rsidTr="00AA2125">
        <w:trPr>
          <w:cantSplit/>
          <w:trHeight w:val="290"/>
        </w:trPr>
        <w:tc>
          <w:tcPr>
            <w:tcW w:w="523" w:type="pct"/>
            <w:tcBorders>
              <w:right w:val="single" w:sz="8" w:space="0" w:color="CDCDCD"/>
            </w:tcBorders>
          </w:tcPr>
          <w:p w14:paraId="2646F0E1" w14:textId="18B89191" w:rsidR="00271026" w:rsidRDefault="00AA2125" w:rsidP="001A5D4A">
            <w:pPr>
              <w:pStyle w:val="Note-Refs"/>
            </w:pPr>
            <w:r>
              <w:t>EDUCATION</w:t>
            </w:r>
          </w:p>
        </w:tc>
        <w:tc>
          <w:tcPr>
            <w:tcW w:w="2367" w:type="pct"/>
            <w:gridSpan w:val="5"/>
            <w:tcBorders>
              <w:left w:val="single" w:sz="8" w:space="0" w:color="CDCDCD"/>
            </w:tcBorders>
            <w:shd w:val="clear" w:color="auto" w:fill="CCCCCC"/>
          </w:tcPr>
          <w:p w14:paraId="0A939C0B" w14:textId="77777777" w:rsidR="00271026" w:rsidRDefault="00271026" w:rsidP="001A5D4A">
            <w:pPr>
              <w:pStyle w:val="NotesTable-AcquittalHeader"/>
            </w:pPr>
          </w:p>
        </w:tc>
        <w:tc>
          <w:tcPr>
            <w:tcW w:w="1919" w:type="pct"/>
            <w:gridSpan w:val="10"/>
            <w:tcBorders>
              <w:left w:val="single" w:sz="4" w:space="0" w:color="C0C0C0"/>
              <w:right w:val="single" w:sz="8" w:space="0" w:color="CDCDCD"/>
            </w:tcBorders>
            <w:shd w:val="clear" w:color="auto" w:fill="CCCCCC"/>
          </w:tcPr>
          <w:p w14:paraId="5BD5FD3A" w14:textId="77777777" w:rsidR="00271026" w:rsidRDefault="00271026" w:rsidP="001A5D4A">
            <w:pPr>
              <w:pStyle w:val="NotesTable-HeadBold"/>
            </w:pPr>
          </w:p>
        </w:tc>
        <w:tc>
          <w:tcPr>
            <w:tcW w:w="192" w:type="pct"/>
            <w:tcBorders>
              <w:left w:val="single" w:sz="4" w:space="0" w:color="C0C0C0"/>
              <w:right w:val="single" w:sz="8" w:space="0" w:color="CDCDCD"/>
            </w:tcBorders>
            <w:shd w:val="clear" w:color="auto" w:fill="CCCCCC"/>
          </w:tcPr>
          <w:p w14:paraId="3B6092DB" w14:textId="77777777" w:rsidR="00271026" w:rsidRDefault="00271026" w:rsidP="001A5D4A">
            <w:pPr>
              <w:pStyle w:val="NotesTable-HeadBold"/>
            </w:pPr>
          </w:p>
        </w:tc>
      </w:tr>
      <w:tr w:rsidR="00E06EAA" w14:paraId="038A4DA4" w14:textId="13974D09" w:rsidTr="00AA2125">
        <w:trPr>
          <w:cantSplit/>
          <w:trHeight w:val="253"/>
        </w:trPr>
        <w:tc>
          <w:tcPr>
            <w:tcW w:w="523" w:type="pct"/>
            <w:tcBorders>
              <w:right w:val="single" w:sz="8" w:space="0" w:color="CDCDCD"/>
            </w:tcBorders>
          </w:tcPr>
          <w:p w14:paraId="038A4D9D" w14:textId="77777777" w:rsidR="00E06EAA" w:rsidRDefault="00E06EAA" w:rsidP="001A5D4A">
            <w:pPr>
              <w:pStyle w:val="Note-Refs"/>
            </w:pPr>
          </w:p>
        </w:tc>
        <w:tc>
          <w:tcPr>
            <w:tcW w:w="1779" w:type="pct"/>
            <w:gridSpan w:val="2"/>
            <w:tcBorders>
              <w:left w:val="single" w:sz="8" w:space="0" w:color="CDCDCD"/>
            </w:tcBorders>
            <w:shd w:val="clear" w:color="auto" w:fill="CCCCCC"/>
          </w:tcPr>
          <w:p w14:paraId="038A4D9E" w14:textId="77777777" w:rsidR="00E06EAA" w:rsidRDefault="00E06EAA" w:rsidP="001A5D4A">
            <w:pPr>
              <w:pStyle w:val="NotesTable-ItemPlain"/>
            </w:pPr>
          </w:p>
        </w:tc>
        <w:tc>
          <w:tcPr>
            <w:tcW w:w="450" w:type="pct"/>
            <w:gridSpan w:val="2"/>
            <w:shd w:val="clear" w:color="auto" w:fill="CCCCCC"/>
          </w:tcPr>
          <w:p w14:paraId="038A4D9F" w14:textId="41307617" w:rsidR="00E06EAA" w:rsidRPr="00CB7156" w:rsidRDefault="00E06EAA" w:rsidP="001A5D4A">
            <w:pPr>
              <w:pStyle w:val="NotesTable-HeadPlain"/>
            </w:pPr>
            <w:r w:rsidRPr="00CB7156">
              <w:t>Learning &amp; Teaching Performance Fund</w:t>
            </w:r>
          </w:p>
        </w:tc>
        <w:tc>
          <w:tcPr>
            <w:tcW w:w="450" w:type="pct"/>
            <w:gridSpan w:val="3"/>
            <w:shd w:val="clear" w:color="auto" w:fill="CCCCCC"/>
          </w:tcPr>
          <w:p w14:paraId="038A4DA0" w14:textId="1D983EF9" w:rsidR="00E06EAA" w:rsidRPr="00CB7156" w:rsidRDefault="00E06EAA" w:rsidP="001A5D4A">
            <w:pPr>
              <w:pStyle w:val="NotesTable-HeadPlain"/>
            </w:pPr>
            <w:r w:rsidRPr="00CB7156">
              <w:t xml:space="preserve">National Institutes </w:t>
            </w:r>
            <w:r>
              <w:t>Funding</w:t>
            </w:r>
          </w:p>
        </w:tc>
        <w:tc>
          <w:tcPr>
            <w:tcW w:w="450" w:type="pct"/>
            <w:gridSpan w:val="2"/>
            <w:shd w:val="clear" w:color="auto" w:fill="CCCCCC"/>
          </w:tcPr>
          <w:p w14:paraId="038A4DA1" w14:textId="77777777" w:rsidR="00E06EAA" w:rsidRPr="00CB7156" w:rsidRDefault="00E06EAA" w:rsidP="001A5D4A">
            <w:pPr>
              <w:pStyle w:val="NotesTable-HeadPlain"/>
            </w:pPr>
            <w:r w:rsidRPr="00CB7156">
              <w:t>Capital Development Pool</w:t>
            </w:r>
          </w:p>
        </w:tc>
        <w:tc>
          <w:tcPr>
            <w:tcW w:w="450" w:type="pct"/>
            <w:gridSpan w:val="2"/>
            <w:shd w:val="clear" w:color="auto" w:fill="CCCCCC"/>
          </w:tcPr>
          <w:p w14:paraId="038A4DA2" w14:textId="77777777" w:rsidR="00E06EAA" w:rsidRPr="00CB7156" w:rsidRDefault="00E06EAA" w:rsidP="001A5D4A">
            <w:pPr>
              <w:pStyle w:val="NotesTable-HeadPlain"/>
            </w:pPr>
            <w:r w:rsidRPr="00CB7156">
              <w:t xml:space="preserve">Diversity and Structural Adjustment Fund </w:t>
            </w:r>
            <w:r w:rsidRPr="00CB7156">
              <w:rPr>
                <w:vertAlign w:val="superscript"/>
              </w:rPr>
              <w:t>#</w:t>
            </w:r>
            <w:r>
              <w:rPr>
                <w:vertAlign w:val="superscript"/>
              </w:rPr>
              <w:t>3</w:t>
            </w:r>
          </w:p>
        </w:tc>
        <w:tc>
          <w:tcPr>
            <w:tcW w:w="450" w:type="pct"/>
            <w:gridSpan w:val="2"/>
            <w:tcBorders>
              <w:right w:val="single" w:sz="8" w:space="0" w:color="CDCDCD"/>
            </w:tcBorders>
            <w:shd w:val="clear" w:color="auto" w:fill="CCCCCC"/>
          </w:tcPr>
          <w:p w14:paraId="038A4DA3" w14:textId="77777777" w:rsidR="00E06EAA" w:rsidRDefault="00E06EAA" w:rsidP="001A5D4A">
            <w:pPr>
              <w:pStyle w:val="NotesTable-HeadPlain"/>
            </w:pPr>
            <w:r>
              <w:t>Transitional Cost Program</w:t>
            </w:r>
          </w:p>
        </w:tc>
        <w:tc>
          <w:tcPr>
            <w:tcW w:w="447" w:type="pct"/>
            <w:gridSpan w:val="3"/>
            <w:tcBorders>
              <w:right w:val="single" w:sz="8" w:space="0" w:color="CDCDCD"/>
            </w:tcBorders>
            <w:shd w:val="clear" w:color="auto" w:fill="CCCCCC"/>
          </w:tcPr>
          <w:p w14:paraId="2E731ACD" w14:textId="5785B443" w:rsidR="00E06EAA" w:rsidRDefault="00E06EAA" w:rsidP="001A5D4A">
            <w:pPr>
              <w:pStyle w:val="NotesTable-HeadPlain"/>
            </w:pPr>
            <w:r>
              <w:t xml:space="preserve">Promo of </w:t>
            </w:r>
            <w:proofErr w:type="spellStart"/>
            <w:r>
              <w:t>Exc</w:t>
            </w:r>
            <w:proofErr w:type="spellEnd"/>
            <w:r>
              <w:t xml:space="preserve"> in Learn and Teaching</w:t>
            </w:r>
          </w:p>
        </w:tc>
      </w:tr>
      <w:tr w:rsidR="00B25F05" w14:paraId="038A4DB2" w14:textId="10D7FDB9" w:rsidTr="00AA2125">
        <w:trPr>
          <w:cantSplit/>
          <w:trHeight w:val="255"/>
        </w:trPr>
        <w:tc>
          <w:tcPr>
            <w:tcW w:w="523" w:type="pct"/>
            <w:tcBorders>
              <w:right w:val="single" w:sz="8" w:space="0" w:color="CDCDCD"/>
            </w:tcBorders>
          </w:tcPr>
          <w:p w14:paraId="038A4DA5" w14:textId="77777777" w:rsidR="00E06EAA" w:rsidRDefault="00E06EAA" w:rsidP="001A5D4A">
            <w:pPr>
              <w:pStyle w:val="Note-Refs"/>
            </w:pPr>
          </w:p>
        </w:tc>
        <w:tc>
          <w:tcPr>
            <w:tcW w:w="1540" w:type="pct"/>
            <w:tcBorders>
              <w:left w:val="single" w:sz="8" w:space="0" w:color="CDCDCD"/>
            </w:tcBorders>
            <w:shd w:val="clear" w:color="auto" w:fill="CCCCCC"/>
          </w:tcPr>
          <w:p w14:paraId="038A4DA6" w14:textId="77777777" w:rsidR="00E06EAA" w:rsidRDefault="00E06EAA" w:rsidP="001A5D4A">
            <w:pPr>
              <w:pStyle w:val="NotesTable-ItemPlain"/>
            </w:pPr>
          </w:p>
        </w:tc>
        <w:tc>
          <w:tcPr>
            <w:tcW w:w="240" w:type="pct"/>
            <w:shd w:val="clear" w:color="auto" w:fill="CCCCCC"/>
          </w:tcPr>
          <w:p w14:paraId="038A4DA7" w14:textId="77777777" w:rsidR="00E06EAA" w:rsidRDefault="00E06EAA" w:rsidP="001A5D4A">
            <w:pPr>
              <w:pStyle w:val="NotesTable-Notes"/>
            </w:pPr>
            <w:r>
              <w:t>Notes</w:t>
            </w:r>
          </w:p>
        </w:tc>
        <w:tc>
          <w:tcPr>
            <w:tcW w:w="225" w:type="pct"/>
            <w:shd w:val="clear" w:color="auto" w:fill="CCCCCC"/>
          </w:tcPr>
          <w:p w14:paraId="038A4DA8" w14:textId="55D527FE" w:rsidR="00E06EAA" w:rsidRDefault="00E06EAA" w:rsidP="001A5D4A">
            <w:pPr>
              <w:pStyle w:val="NotesTable-HeadBold"/>
            </w:pPr>
            <w:r>
              <w:t>2014</w:t>
            </w:r>
          </w:p>
        </w:tc>
        <w:tc>
          <w:tcPr>
            <w:tcW w:w="225" w:type="pct"/>
            <w:shd w:val="clear" w:color="auto" w:fill="CCCCCC"/>
          </w:tcPr>
          <w:p w14:paraId="038A4DA9" w14:textId="6D6C1B08" w:rsidR="00E06EAA" w:rsidRDefault="00E06EAA" w:rsidP="001A5D4A">
            <w:pPr>
              <w:pStyle w:val="NotesTable-HeadPlain"/>
            </w:pPr>
            <w:r>
              <w:t>2013</w:t>
            </w:r>
          </w:p>
        </w:tc>
        <w:tc>
          <w:tcPr>
            <w:tcW w:w="225" w:type="pct"/>
            <w:gridSpan w:val="2"/>
            <w:shd w:val="clear" w:color="auto" w:fill="CCCCCC"/>
          </w:tcPr>
          <w:p w14:paraId="038A4DAA" w14:textId="6755E0FD" w:rsidR="00E06EAA" w:rsidRDefault="00E06EAA" w:rsidP="001A5D4A">
            <w:pPr>
              <w:pStyle w:val="NotesTable-HeadBold"/>
            </w:pPr>
            <w:r>
              <w:t>2014</w:t>
            </w:r>
          </w:p>
        </w:tc>
        <w:tc>
          <w:tcPr>
            <w:tcW w:w="225" w:type="pct"/>
            <w:shd w:val="clear" w:color="auto" w:fill="CCCCCC"/>
          </w:tcPr>
          <w:p w14:paraId="038A4DAB" w14:textId="64A53714" w:rsidR="00E06EAA" w:rsidRDefault="00E06EAA" w:rsidP="001A5D4A">
            <w:pPr>
              <w:pStyle w:val="NotesTable-HeadPlain"/>
            </w:pPr>
            <w:r>
              <w:t>2013</w:t>
            </w:r>
          </w:p>
        </w:tc>
        <w:tc>
          <w:tcPr>
            <w:tcW w:w="225" w:type="pct"/>
            <w:shd w:val="clear" w:color="auto" w:fill="CCCCCC"/>
          </w:tcPr>
          <w:p w14:paraId="038A4DAC" w14:textId="313EED0F" w:rsidR="00E06EAA" w:rsidRDefault="00E06EAA" w:rsidP="001A5D4A">
            <w:pPr>
              <w:pStyle w:val="NotesTable-HeadBold"/>
            </w:pPr>
            <w:r>
              <w:t>2014</w:t>
            </w:r>
          </w:p>
        </w:tc>
        <w:tc>
          <w:tcPr>
            <w:tcW w:w="225" w:type="pct"/>
            <w:shd w:val="clear" w:color="auto" w:fill="CCCCCC"/>
          </w:tcPr>
          <w:p w14:paraId="038A4DAD" w14:textId="5619166A" w:rsidR="00E06EAA" w:rsidRDefault="00E06EAA" w:rsidP="001A5D4A">
            <w:pPr>
              <w:pStyle w:val="NotesTable-HeadPlain"/>
            </w:pPr>
            <w:r>
              <w:t>2013</w:t>
            </w:r>
          </w:p>
        </w:tc>
        <w:tc>
          <w:tcPr>
            <w:tcW w:w="225" w:type="pct"/>
            <w:shd w:val="clear" w:color="auto" w:fill="CCCCCC"/>
          </w:tcPr>
          <w:p w14:paraId="038A4DAE" w14:textId="1B7DC2AB" w:rsidR="00E06EAA" w:rsidRDefault="00E06EAA" w:rsidP="001A5D4A">
            <w:pPr>
              <w:pStyle w:val="NotesTable-HeadBold"/>
            </w:pPr>
            <w:r>
              <w:t>2014</w:t>
            </w:r>
          </w:p>
        </w:tc>
        <w:tc>
          <w:tcPr>
            <w:tcW w:w="225" w:type="pct"/>
            <w:shd w:val="clear" w:color="auto" w:fill="CCCCCC"/>
          </w:tcPr>
          <w:p w14:paraId="038A4DAF" w14:textId="42A1CBA6" w:rsidR="00E06EAA" w:rsidRDefault="00E06EAA" w:rsidP="001A5D4A">
            <w:pPr>
              <w:pStyle w:val="NotesTable-HeadPlain"/>
            </w:pPr>
            <w:r>
              <w:t>2013</w:t>
            </w:r>
          </w:p>
        </w:tc>
        <w:tc>
          <w:tcPr>
            <w:tcW w:w="225" w:type="pct"/>
            <w:shd w:val="clear" w:color="auto" w:fill="CCCCCC"/>
          </w:tcPr>
          <w:p w14:paraId="038A4DB0" w14:textId="540E7B9E" w:rsidR="00E06EAA" w:rsidRDefault="00E06EAA" w:rsidP="001A5D4A">
            <w:pPr>
              <w:pStyle w:val="NotesTable-HeadBold"/>
            </w:pPr>
            <w:r>
              <w:t>2014</w:t>
            </w:r>
          </w:p>
        </w:tc>
        <w:tc>
          <w:tcPr>
            <w:tcW w:w="225" w:type="pct"/>
            <w:tcBorders>
              <w:right w:val="single" w:sz="8" w:space="0" w:color="CDCDCD"/>
            </w:tcBorders>
            <w:shd w:val="clear" w:color="auto" w:fill="CCCCCC"/>
          </w:tcPr>
          <w:p w14:paraId="038A4DB1" w14:textId="4AA92DD8" w:rsidR="00E06EAA" w:rsidRDefault="00E06EAA" w:rsidP="001A5D4A">
            <w:pPr>
              <w:pStyle w:val="NotesTable-HeadPlain"/>
            </w:pPr>
            <w:r>
              <w:t>2013</w:t>
            </w:r>
          </w:p>
        </w:tc>
        <w:tc>
          <w:tcPr>
            <w:tcW w:w="225" w:type="pct"/>
            <w:tcBorders>
              <w:right w:val="single" w:sz="8" w:space="0" w:color="CDCDCD"/>
            </w:tcBorders>
            <w:shd w:val="clear" w:color="auto" w:fill="CCCCCC"/>
          </w:tcPr>
          <w:p w14:paraId="4C351E42" w14:textId="6E4C683A" w:rsidR="00E06EAA" w:rsidRDefault="00E06EAA" w:rsidP="001A5D4A">
            <w:pPr>
              <w:pStyle w:val="NotesTable-HeadBold"/>
            </w:pPr>
            <w:r>
              <w:t>2014</w:t>
            </w:r>
          </w:p>
        </w:tc>
        <w:tc>
          <w:tcPr>
            <w:tcW w:w="222" w:type="pct"/>
            <w:gridSpan w:val="2"/>
            <w:tcBorders>
              <w:right w:val="single" w:sz="8" w:space="0" w:color="CDCDCD"/>
            </w:tcBorders>
            <w:shd w:val="clear" w:color="auto" w:fill="CDCDCD"/>
          </w:tcPr>
          <w:p w14:paraId="492D4E1D" w14:textId="04477109" w:rsidR="00E06EAA" w:rsidRDefault="00E06EAA" w:rsidP="001A5D4A">
            <w:pPr>
              <w:pStyle w:val="NotesTable-HeadPlain"/>
            </w:pPr>
            <w:r>
              <w:t>2013</w:t>
            </w:r>
          </w:p>
        </w:tc>
      </w:tr>
      <w:tr w:rsidR="00B25F05" w14:paraId="038A4DC0" w14:textId="6A1A994E" w:rsidTr="00AA2125">
        <w:trPr>
          <w:cantSplit/>
          <w:trHeight w:val="255"/>
        </w:trPr>
        <w:tc>
          <w:tcPr>
            <w:tcW w:w="523" w:type="pct"/>
            <w:tcBorders>
              <w:right w:val="single" w:sz="8" w:space="0" w:color="CDCDCD"/>
            </w:tcBorders>
          </w:tcPr>
          <w:p w14:paraId="038A4DB3" w14:textId="77777777" w:rsidR="00E06EAA" w:rsidRDefault="00E06EAA" w:rsidP="001A5D4A">
            <w:pPr>
              <w:pStyle w:val="Note-Refs"/>
            </w:pPr>
          </w:p>
        </w:tc>
        <w:tc>
          <w:tcPr>
            <w:tcW w:w="1540" w:type="pct"/>
            <w:tcBorders>
              <w:left w:val="single" w:sz="8" w:space="0" w:color="CDCDCD"/>
            </w:tcBorders>
            <w:shd w:val="clear" w:color="auto" w:fill="CCCCCC"/>
          </w:tcPr>
          <w:p w14:paraId="038A4DB4" w14:textId="77777777" w:rsidR="00E06EAA" w:rsidRDefault="00E06EAA" w:rsidP="001A5D4A">
            <w:pPr>
              <w:pStyle w:val="NotesTable-ItemPlain"/>
            </w:pPr>
          </w:p>
        </w:tc>
        <w:tc>
          <w:tcPr>
            <w:tcW w:w="240" w:type="pct"/>
            <w:shd w:val="clear" w:color="auto" w:fill="CCCCCC"/>
          </w:tcPr>
          <w:p w14:paraId="038A4DB5" w14:textId="77777777" w:rsidR="00E06EAA" w:rsidRDefault="00E06EAA" w:rsidP="001A5D4A">
            <w:pPr>
              <w:pStyle w:val="NotesTable-Notes"/>
            </w:pPr>
          </w:p>
        </w:tc>
        <w:tc>
          <w:tcPr>
            <w:tcW w:w="225" w:type="pct"/>
            <w:shd w:val="clear" w:color="auto" w:fill="CCCCCC"/>
          </w:tcPr>
          <w:p w14:paraId="038A4DB6" w14:textId="77777777" w:rsidR="00E06EAA" w:rsidRDefault="00E06EAA" w:rsidP="001A5D4A">
            <w:pPr>
              <w:pStyle w:val="NotesTable-HeadBold"/>
            </w:pPr>
            <w:r>
              <w:t>$’000</w:t>
            </w:r>
          </w:p>
        </w:tc>
        <w:tc>
          <w:tcPr>
            <w:tcW w:w="225" w:type="pct"/>
            <w:shd w:val="clear" w:color="auto" w:fill="CCCCCC"/>
          </w:tcPr>
          <w:p w14:paraId="038A4DB7" w14:textId="77777777" w:rsidR="00E06EAA" w:rsidRDefault="00E06EAA" w:rsidP="001A5D4A">
            <w:pPr>
              <w:pStyle w:val="NotesTable-HeadPlain"/>
            </w:pPr>
            <w:r>
              <w:t>$’000</w:t>
            </w:r>
          </w:p>
        </w:tc>
        <w:tc>
          <w:tcPr>
            <w:tcW w:w="225" w:type="pct"/>
            <w:gridSpan w:val="2"/>
            <w:shd w:val="clear" w:color="auto" w:fill="CCCCCC"/>
          </w:tcPr>
          <w:p w14:paraId="038A4DB8" w14:textId="77777777" w:rsidR="00E06EAA" w:rsidRDefault="00E06EAA" w:rsidP="001A5D4A">
            <w:pPr>
              <w:pStyle w:val="NotesTable-HeadBold"/>
            </w:pPr>
            <w:r>
              <w:t>$’000</w:t>
            </w:r>
          </w:p>
        </w:tc>
        <w:tc>
          <w:tcPr>
            <w:tcW w:w="225" w:type="pct"/>
            <w:shd w:val="clear" w:color="auto" w:fill="CCCCCC"/>
          </w:tcPr>
          <w:p w14:paraId="038A4DB9" w14:textId="77777777" w:rsidR="00E06EAA" w:rsidRDefault="00E06EAA" w:rsidP="001A5D4A">
            <w:pPr>
              <w:pStyle w:val="NotesTable-HeadPlain"/>
            </w:pPr>
            <w:r>
              <w:t>$’000</w:t>
            </w:r>
          </w:p>
        </w:tc>
        <w:tc>
          <w:tcPr>
            <w:tcW w:w="225" w:type="pct"/>
            <w:shd w:val="clear" w:color="auto" w:fill="CCCCCC"/>
          </w:tcPr>
          <w:p w14:paraId="038A4DBA" w14:textId="77777777" w:rsidR="00E06EAA" w:rsidRDefault="00E06EAA" w:rsidP="001A5D4A">
            <w:pPr>
              <w:pStyle w:val="NotesTable-HeadBold"/>
            </w:pPr>
            <w:r>
              <w:t>$’000</w:t>
            </w:r>
          </w:p>
        </w:tc>
        <w:tc>
          <w:tcPr>
            <w:tcW w:w="225" w:type="pct"/>
            <w:shd w:val="clear" w:color="auto" w:fill="CCCCCC"/>
          </w:tcPr>
          <w:p w14:paraId="038A4DBB" w14:textId="77777777" w:rsidR="00E06EAA" w:rsidRDefault="00E06EAA" w:rsidP="001A5D4A">
            <w:pPr>
              <w:pStyle w:val="NotesTable-HeadPlain"/>
            </w:pPr>
            <w:r>
              <w:t>$’000</w:t>
            </w:r>
          </w:p>
        </w:tc>
        <w:tc>
          <w:tcPr>
            <w:tcW w:w="225" w:type="pct"/>
            <w:shd w:val="clear" w:color="auto" w:fill="CCCCCC"/>
          </w:tcPr>
          <w:p w14:paraId="038A4DBC" w14:textId="77777777" w:rsidR="00E06EAA" w:rsidRDefault="00E06EAA" w:rsidP="001A5D4A">
            <w:pPr>
              <w:pStyle w:val="NotesTable-HeadBold"/>
            </w:pPr>
            <w:r>
              <w:t>$’000</w:t>
            </w:r>
          </w:p>
        </w:tc>
        <w:tc>
          <w:tcPr>
            <w:tcW w:w="225" w:type="pct"/>
            <w:shd w:val="clear" w:color="auto" w:fill="CCCCCC"/>
          </w:tcPr>
          <w:p w14:paraId="038A4DBD" w14:textId="77777777" w:rsidR="00E06EAA" w:rsidRDefault="00E06EAA" w:rsidP="001A5D4A">
            <w:pPr>
              <w:pStyle w:val="NotesTable-HeadPlain"/>
            </w:pPr>
            <w:r>
              <w:t>$’000</w:t>
            </w:r>
          </w:p>
        </w:tc>
        <w:tc>
          <w:tcPr>
            <w:tcW w:w="225" w:type="pct"/>
            <w:shd w:val="clear" w:color="auto" w:fill="CCCCCC"/>
          </w:tcPr>
          <w:p w14:paraId="038A4DBE" w14:textId="77777777" w:rsidR="00E06EAA" w:rsidRDefault="00E06EAA" w:rsidP="001A5D4A">
            <w:pPr>
              <w:pStyle w:val="NotesTable-HeadBold"/>
            </w:pPr>
            <w:r>
              <w:t>$’000</w:t>
            </w:r>
          </w:p>
        </w:tc>
        <w:tc>
          <w:tcPr>
            <w:tcW w:w="225" w:type="pct"/>
            <w:tcBorders>
              <w:right w:val="single" w:sz="8" w:space="0" w:color="CDCDCD"/>
            </w:tcBorders>
            <w:shd w:val="clear" w:color="auto" w:fill="CCCCCC"/>
          </w:tcPr>
          <w:p w14:paraId="038A4DBF" w14:textId="77777777" w:rsidR="00E06EAA" w:rsidRDefault="00E06EAA" w:rsidP="001A5D4A">
            <w:pPr>
              <w:pStyle w:val="NotesTable-HeadPlain"/>
            </w:pPr>
            <w:r>
              <w:t>$’000</w:t>
            </w:r>
          </w:p>
        </w:tc>
        <w:tc>
          <w:tcPr>
            <w:tcW w:w="225" w:type="pct"/>
            <w:tcBorders>
              <w:right w:val="single" w:sz="8" w:space="0" w:color="CDCDCD"/>
            </w:tcBorders>
            <w:shd w:val="clear" w:color="auto" w:fill="CCCCCC"/>
          </w:tcPr>
          <w:p w14:paraId="309020B5" w14:textId="43C81267" w:rsidR="00E06EAA" w:rsidRDefault="00E06EAA" w:rsidP="001A5D4A">
            <w:pPr>
              <w:pStyle w:val="NotesTable-HeadBold"/>
            </w:pPr>
            <w:r>
              <w:t>$’000</w:t>
            </w:r>
          </w:p>
        </w:tc>
        <w:tc>
          <w:tcPr>
            <w:tcW w:w="222" w:type="pct"/>
            <w:gridSpan w:val="2"/>
            <w:tcBorders>
              <w:right w:val="single" w:sz="8" w:space="0" w:color="CDCDCD"/>
            </w:tcBorders>
            <w:shd w:val="clear" w:color="auto" w:fill="CDCDCD"/>
          </w:tcPr>
          <w:p w14:paraId="19783F52" w14:textId="6D76D2BB" w:rsidR="00E06EAA" w:rsidRDefault="00E06EAA" w:rsidP="001A5D4A">
            <w:pPr>
              <w:pStyle w:val="NotesTable-HeadPlain"/>
            </w:pPr>
            <w:r>
              <w:t>$’000</w:t>
            </w:r>
          </w:p>
        </w:tc>
      </w:tr>
      <w:tr w:rsidR="00B25F05" w14:paraId="038A4DCE" w14:textId="3521FB8A" w:rsidTr="00AA2125">
        <w:trPr>
          <w:cantSplit/>
          <w:trHeight w:val="255"/>
        </w:trPr>
        <w:tc>
          <w:tcPr>
            <w:tcW w:w="523" w:type="pct"/>
            <w:tcBorders>
              <w:right w:val="single" w:sz="8" w:space="0" w:color="CDCDCD"/>
            </w:tcBorders>
          </w:tcPr>
          <w:p w14:paraId="038A4DC1" w14:textId="77777777" w:rsidR="00E06EAA" w:rsidRDefault="00E06EAA" w:rsidP="001A5D4A">
            <w:pPr>
              <w:pStyle w:val="Note-Refs"/>
            </w:pPr>
            <w:r>
              <w:t>A</w:t>
            </w:r>
          </w:p>
        </w:tc>
        <w:tc>
          <w:tcPr>
            <w:tcW w:w="1540" w:type="pct"/>
            <w:tcBorders>
              <w:left w:val="single" w:sz="8" w:space="0" w:color="CDCDCD"/>
            </w:tcBorders>
            <w:shd w:val="clear" w:color="auto" w:fill="CCCCCC"/>
          </w:tcPr>
          <w:p w14:paraId="038A4DC2" w14:textId="77777777" w:rsidR="00E06EAA" w:rsidRDefault="00E06EAA" w:rsidP="001A5D4A">
            <w:pPr>
              <w:pStyle w:val="NotesTable-ItemPlain"/>
              <w:rPr>
                <w:b/>
              </w:rPr>
            </w:pPr>
            <w:r>
              <w:t>Financial assistance received in CASH during the reporting period (total cash received from the Australian Government for the program)</w:t>
            </w:r>
          </w:p>
        </w:tc>
        <w:tc>
          <w:tcPr>
            <w:tcW w:w="240" w:type="pct"/>
            <w:shd w:val="clear" w:color="auto" w:fill="CCCCCC"/>
          </w:tcPr>
          <w:p w14:paraId="038A4DC3" w14:textId="77777777" w:rsidR="00E06EAA" w:rsidRDefault="00E06EAA" w:rsidP="001A5D4A">
            <w:pPr>
              <w:pStyle w:val="NotesTable-Notes"/>
            </w:pPr>
          </w:p>
        </w:tc>
        <w:tc>
          <w:tcPr>
            <w:tcW w:w="225" w:type="pct"/>
            <w:shd w:val="clear" w:color="auto" w:fill="CCCCCC"/>
            <w:vAlign w:val="bottom"/>
          </w:tcPr>
          <w:p w14:paraId="038A4DC4" w14:textId="77777777" w:rsidR="00E06EAA" w:rsidRDefault="00E06EAA" w:rsidP="001A5D4A">
            <w:pPr>
              <w:pStyle w:val="NotesTable-CellBold"/>
            </w:pPr>
            <w:r>
              <w:t>–</w:t>
            </w:r>
          </w:p>
        </w:tc>
        <w:tc>
          <w:tcPr>
            <w:tcW w:w="225" w:type="pct"/>
            <w:shd w:val="clear" w:color="auto" w:fill="CCCCCC"/>
            <w:vAlign w:val="bottom"/>
          </w:tcPr>
          <w:p w14:paraId="038A4DC5" w14:textId="77777777" w:rsidR="00E06EAA" w:rsidRDefault="00E06EAA" w:rsidP="001A5D4A">
            <w:pPr>
              <w:pStyle w:val="NotesTable-CellPlain"/>
            </w:pPr>
            <w:r>
              <w:t>–</w:t>
            </w:r>
          </w:p>
        </w:tc>
        <w:tc>
          <w:tcPr>
            <w:tcW w:w="225" w:type="pct"/>
            <w:gridSpan w:val="2"/>
            <w:shd w:val="clear" w:color="auto" w:fill="CCCCCC"/>
            <w:vAlign w:val="bottom"/>
          </w:tcPr>
          <w:p w14:paraId="038A4DC6" w14:textId="77777777" w:rsidR="00E06EAA" w:rsidRDefault="00E06EAA" w:rsidP="001A5D4A">
            <w:pPr>
              <w:pStyle w:val="NotesTable-CellBold"/>
            </w:pPr>
            <w:r>
              <w:t>–</w:t>
            </w:r>
          </w:p>
        </w:tc>
        <w:tc>
          <w:tcPr>
            <w:tcW w:w="225" w:type="pct"/>
            <w:shd w:val="clear" w:color="auto" w:fill="CCCCCC"/>
            <w:vAlign w:val="bottom"/>
          </w:tcPr>
          <w:p w14:paraId="038A4DC7" w14:textId="77777777" w:rsidR="00E06EAA" w:rsidRDefault="00E06EAA" w:rsidP="001A5D4A">
            <w:pPr>
              <w:pStyle w:val="NotesTable-CellPlain"/>
            </w:pPr>
            <w:r>
              <w:t>–</w:t>
            </w:r>
          </w:p>
        </w:tc>
        <w:tc>
          <w:tcPr>
            <w:tcW w:w="225" w:type="pct"/>
            <w:shd w:val="clear" w:color="auto" w:fill="CCCCCC"/>
            <w:vAlign w:val="bottom"/>
          </w:tcPr>
          <w:p w14:paraId="038A4DC8" w14:textId="77777777" w:rsidR="00E06EAA" w:rsidRDefault="00E06EAA" w:rsidP="001A5D4A">
            <w:pPr>
              <w:pStyle w:val="NotesTable-CellBold"/>
            </w:pPr>
            <w:r>
              <w:t>–</w:t>
            </w:r>
          </w:p>
        </w:tc>
        <w:tc>
          <w:tcPr>
            <w:tcW w:w="225" w:type="pct"/>
            <w:shd w:val="clear" w:color="auto" w:fill="CCCCCC"/>
            <w:vAlign w:val="bottom"/>
          </w:tcPr>
          <w:p w14:paraId="038A4DC9" w14:textId="77777777" w:rsidR="00E06EAA" w:rsidRDefault="00E06EAA" w:rsidP="001A5D4A">
            <w:pPr>
              <w:pStyle w:val="NotesTable-CellPlain"/>
            </w:pPr>
            <w:r>
              <w:t>–</w:t>
            </w:r>
          </w:p>
        </w:tc>
        <w:tc>
          <w:tcPr>
            <w:tcW w:w="225" w:type="pct"/>
            <w:shd w:val="clear" w:color="auto" w:fill="CCCCCC"/>
            <w:vAlign w:val="bottom"/>
          </w:tcPr>
          <w:p w14:paraId="038A4DCA" w14:textId="77777777" w:rsidR="00E06EAA" w:rsidRDefault="00E06EAA" w:rsidP="001A5D4A">
            <w:pPr>
              <w:pStyle w:val="NotesTable-CellBold"/>
            </w:pPr>
            <w:r>
              <w:t>–</w:t>
            </w:r>
          </w:p>
        </w:tc>
        <w:tc>
          <w:tcPr>
            <w:tcW w:w="225" w:type="pct"/>
            <w:shd w:val="clear" w:color="auto" w:fill="CCCCCC"/>
            <w:vAlign w:val="bottom"/>
          </w:tcPr>
          <w:p w14:paraId="038A4DCB" w14:textId="77777777" w:rsidR="00E06EAA" w:rsidRDefault="00E06EAA" w:rsidP="001A5D4A">
            <w:pPr>
              <w:pStyle w:val="NotesTable-CellPlain"/>
            </w:pPr>
            <w:r>
              <w:t>–</w:t>
            </w:r>
          </w:p>
        </w:tc>
        <w:tc>
          <w:tcPr>
            <w:tcW w:w="225" w:type="pct"/>
            <w:shd w:val="clear" w:color="auto" w:fill="CCCCCC"/>
            <w:vAlign w:val="bottom"/>
          </w:tcPr>
          <w:p w14:paraId="038A4DCC" w14:textId="77777777" w:rsidR="00E06EAA" w:rsidRDefault="00E06EAA" w:rsidP="001A5D4A">
            <w:pPr>
              <w:pStyle w:val="NotesTable-CellBold"/>
            </w:pPr>
            <w:r>
              <w:t>–</w:t>
            </w:r>
          </w:p>
        </w:tc>
        <w:tc>
          <w:tcPr>
            <w:tcW w:w="225" w:type="pct"/>
            <w:tcBorders>
              <w:right w:val="single" w:sz="8" w:space="0" w:color="CDCDCD"/>
            </w:tcBorders>
            <w:shd w:val="clear" w:color="auto" w:fill="CCCCCC"/>
            <w:vAlign w:val="bottom"/>
          </w:tcPr>
          <w:p w14:paraId="038A4DCD" w14:textId="77777777" w:rsidR="00E06EAA" w:rsidRDefault="00E06EAA" w:rsidP="001A5D4A">
            <w:pPr>
              <w:pStyle w:val="NotesTable-CellPlain"/>
            </w:pPr>
            <w:r>
              <w:t>–</w:t>
            </w:r>
          </w:p>
        </w:tc>
        <w:tc>
          <w:tcPr>
            <w:tcW w:w="225" w:type="pct"/>
            <w:tcBorders>
              <w:right w:val="single" w:sz="8" w:space="0" w:color="CDCDCD"/>
            </w:tcBorders>
            <w:shd w:val="clear" w:color="auto" w:fill="CCCCCC"/>
            <w:vAlign w:val="bottom"/>
          </w:tcPr>
          <w:p w14:paraId="08693788" w14:textId="027F3D8F" w:rsidR="00E06EAA" w:rsidRDefault="00E06EAA" w:rsidP="001A5D4A">
            <w:pPr>
              <w:pStyle w:val="NotesTable-CellPlain"/>
            </w:pPr>
            <w:r>
              <w:t>–</w:t>
            </w:r>
          </w:p>
        </w:tc>
        <w:tc>
          <w:tcPr>
            <w:tcW w:w="222" w:type="pct"/>
            <w:gridSpan w:val="2"/>
            <w:tcBorders>
              <w:right w:val="single" w:sz="8" w:space="0" w:color="CDCDCD"/>
            </w:tcBorders>
            <w:shd w:val="clear" w:color="auto" w:fill="CDCDCD"/>
            <w:vAlign w:val="bottom"/>
          </w:tcPr>
          <w:p w14:paraId="73BBB34C" w14:textId="66694088" w:rsidR="00E06EAA" w:rsidRDefault="00E06EAA" w:rsidP="001A5D4A">
            <w:pPr>
              <w:pStyle w:val="NotesTable-CellPlain"/>
            </w:pPr>
            <w:r>
              <w:t>–</w:t>
            </w:r>
          </w:p>
        </w:tc>
      </w:tr>
      <w:tr w:rsidR="00B25F05" w14:paraId="038A4DDC" w14:textId="02DA6678" w:rsidTr="00AA2125">
        <w:trPr>
          <w:cantSplit/>
          <w:trHeight w:val="255"/>
        </w:trPr>
        <w:tc>
          <w:tcPr>
            <w:tcW w:w="523" w:type="pct"/>
            <w:tcBorders>
              <w:right w:val="single" w:sz="8" w:space="0" w:color="CDCDCD"/>
            </w:tcBorders>
          </w:tcPr>
          <w:p w14:paraId="038A4DCF" w14:textId="77777777" w:rsidR="00E06EAA" w:rsidRDefault="00E06EAA" w:rsidP="001A5D4A">
            <w:pPr>
              <w:pStyle w:val="Note-Refs"/>
            </w:pPr>
            <w:r>
              <w:t>B</w:t>
            </w:r>
          </w:p>
        </w:tc>
        <w:tc>
          <w:tcPr>
            <w:tcW w:w="1540" w:type="pct"/>
            <w:tcBorders>
              <w:left w:val="single" w:sz="8" w:space="0" w:color="CDCDCD"/>
            </w:tcBorders>
            <w:shd w:val="clear" w:color="auto" w:fill="CCCCCC"/>
          </w:tcPr>
          <w:p w14:paraId="038A4DD0" w14:textId="77777777" w:rsidR="00E06EAA" w:rsidRDefault="00E06EAA" w:rsidP="001A5D4A">
            <w:pPr>
              <w:pStyle w:val="NotesTable-ItemPlain"/>
              <w:rPr>
                <w:b/>
              </w:rPr>
            </w:pPr>
            <w:r>
              <w:t>Net accrual adjustments</w:t>
            </w:r>
          </w:p>
        </w:tc>
        <w:tc>
          <w:tcPr>
            <w:tcW w:w="240" w:type="pct"/>
            <w:shd w:val="clear" w:color="auto" w:fill="CCCCCC"/>
          </w:tcPr>
          <w:p w14:paraId="038A4DD1" w14:textId="77777777" w:rsidR="00E06EAA" w:rsidRDefault="00E06EAA" w:rsidP="001A5D4A">
            <w:pPr>
              <w:pStyle w:val="NotesTable-Notes"/>
            </w:pPr>
          </w:p>
        </w:tc>
        <w:tc>
          <w:tcPr>
            <w:tcW w:w="225" w:type="pct"/>
            <w:tcBorders>
              <w:bottom w:val="single" w:sz="4" w:space="0" w:color="000000"/>
            </w:tcBorders>
            <w:shd w:val="clear" w:color="auto" w:fill="CCCCCC"/>
          </w:tcPr>
          <w:p w14:paraId="038A4DD2"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D3" w14:textId="77777777" w:rsidR="00E06EAA" w:rsidRDefault="00E06EAA" w:rsidP="001A5D4A">
            <w:pPr>
              <w:pStyle w:val="NotesTable-CellPlain"/>
            </w:pPr>
            <w:r>
              <w:t>–</w:t>
            </w:r>
          </w:p>
        </w:tc>
        <w:tc>
          <w:tcPr>
            <w:tcW w:w="225" w:type="pct"/>
            <w:gridSpan w:val="2"/>
            <w:tcBorders>
              <w:bottom w:val="single" w:sz="4" w:space="0" w:color="000000"/>
            </w:tcBorders>
            <w:shd w:val="clear" w:color="auto" w:fill="CCCCCC"/>
          </w:tcPr>
          <w:p w14:paraId="038A4DD4"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D5"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DD6"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D7"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DD8"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D9"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DDA" w14:textId="77777777" w:rsidR="00E06EAA" w:rsidRDefault="00E06EAA" w:rsidP="001A5D4A">
            <w:pPr>
              <w:pStyle w:val="NotesTable-CellBold"/>
            </w:pPr>
            <w:r>
              <w:t>–</w:t>
            </w:r>
          </w:p>
        </w:tc>
        <w:tc>
          <w:tcPr>
            <w:tcW w:w="225" w:type="pct"/>
            <w:tcBorders>
              <w:bottom w:val="single" w:sz="4" w:space="0" w:color="auto"/>
              <w:right w:val="single" w:sz="8" w:space="0" w:color="CDCDCD"/>
            </w:tcBorders>
            <w:shd w:val="clear" w:color="auto" w:fill="CCCCCC"/>
          </w:tcPr>
          <w:p w14:paraId="038A4DDB" w14:textId="77777777" w:rsidR="00E06EAA" w:rsidRDefault="00E06EAA" w:rsidP="001A5D4A">
            <w:pPr>
              <w:pStyle w:val="NotesTable-CellPlain"/>
            </w:pPr>
            <w:r>
              <w:t>–</w:t>
            </w:r>
          </w:p>
        </w:tc>
        <w:tc>
          <w:tcPr>
            <w:tcW w:w="225" w:type="pct"/>
            <w:tcBorders>
              <w:bottom w:val="single" w:sz="4" w:space="0" w:color="auto"/>
              <w:right w:val="single" w:sz="8" w:space="0" w:color="CDCDCD"/>
            </w:tcBorders>
            <w:shd w:val="clear" w:color="auto" w:fill="CCCCCC"/>
          </w:tcPr>
          <w:p w14:paraId="660C1AE9" w14:textId="6EDD9A57" w:rsidR="00E06EAA" w:rsidRDefault="00E06EAA" w:rsidP="001A5D4A">
            <w:pPr>
              <w:pStyle w:val="NotesTable-CellBold"/>
            </w:pPr>
            <w:r>
              <w:t>–</w:t>
            </w:r>
          </w:p>
        </w:tc>
        <w:tc>
          <w:tcPr>
            <w:tcW w:w="222" w:type="pct"/>
            <w:gridSpan w:val="2"/>
            <w:tcBorders>
              <w:bottom w:val="single" w:sz="4" w:space="0" w:color="auto"/>
              <w:right w:val="single" w:sz="8" w:space="0" w:color="CDCDCD"/>
            </w:tcBorders>
            <w:shd w:val="clear" w:color="auto" w:fill="CDCDCD"/>
          </w:tcPr>
          <w:p w14:paraId="0F99C6D0" w14:textId="4676F2E4" w:rsidR="00E06EAA" w:rsidRDefault="00E06EAA" w:rsidP="001A5D4A">
            <w:pPr>
              <w:pStyle w:val="NotesTable-CellBold"/>
            </w:pPr>
            <w:r>
              <w:t>–</w:t>
            </w:r>
          </w:p>
        </w:tc>
      </w:tr>
      <w:tr w:rsidR="00B25F05" w14:paraId="038A4DEA" w14:textId="196CDC67" w:rsidTr="00AA2125">
        <w:trPr>
          <w:cantSplit/>
          <w:trHeight w:val="255"/>
        </w:trPr>
        <w:tc>
          <w:tcPr>
            <w:tcW w:w="523" w:type="pct"/>
            <w:tcBorders>
              <w:right w:val="single" w:sz="8" w:space="0" w:color="CDCDCD"/>
            </w:tcBorders>
          </w:tcPr>
          <w:p w14:paraId="038A4DDD" w14:textId="77777777" w:rsidR="00E06EAA" w:rsidRDefault="00E06EAA" w:rsidP="001A5D4A">
            <w:pPr>
              <w:pStyle w:val="Note-Refs"/>
              <w:rPr>
                <w:b/>
              </w:rPr>
            </w:pPr>
            <w:r>
              <w:t>C = A + B</w:t>
            </w:r>
          </w:p>
        </w:tc>
        <w:tc>
          <w:tcPr>
            <w:tcW w:w="1540" w:type="pct"/>
            <w:tcBorders>
              <w:left w:val="single" w:sz="8" w:space="0" w:color="CDCDCD"/>
            </w:tcBorders>
            <w:shd w:val="clear" w:color="auto" w:fill="CCCCCC"/>
          </w:tcPr>
          <w:p w14:paraId="038A4DDE" w14:textId="77777777" w:rsidR="00E06EAA" w:rsidRDefault="00E06EAA" w:rsidP="001A5D4A">
            <w:pPr>
              <w:pStyle w:val="NotesTable-ItemPlain"/>
              <w:rPr>
                <w:b/>
              </w:rPr>
            </w:pPr>
            <w:r>
              <w:t>Revenue for the period</w:t>
            </w:r>
          </w:p>
        </w:tc>
        <w:tc>
          <w:tcPr>
            <w:tcW w:w="240" w:type="pct"/>
            <w:shd w:val="clear" w:color="auto" w:fill="CCCCCC"/>
          </w:tcPr>
          <w:p w14:paraId="038A4DDF" w14:textId="77777777" w:rsidR="00E06EAA" w:rsidRDefault="00E06EAA" w:rsidP="001A5D4A">
            <w:pPr>
              <w:pStyle w:val="NotesTable-Notes"/>
            </w:pPr>
            <w:r>
              <w:t>3(a)</w:t>
            </w:r>
          </w:p>
        </w:tc>
        <w:tc>
          <w:tcPr>
            <w:tcW w:w="225" w:type="pct"/>
            <w:tcBorders>
              <w:top w:val="single" w:sz="4" w:space="0" w:color="000000"/>
            </w:tcBorders>
            <w:shd w:val="clear" w:color="auto" w:fill="CCCCCC"/>
          </w:tcPr>
          <w:p w14:paraId="038A4DE0"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DE1" w14:textId="77777777" w:rsidR="00E06EAA" w:rsidRDefault="00E06EAA" w:rsidP="001A5D4A">
            <w:pPr>
              <w:pStyle w:val="NotesTable-CellPlain"/>
            </w:pPr>
            <w:r>
              <w:t>–</w:t>
            </w:r>
          </w:p>
        </w:tc>
        <w:tc>
          <w:tcPr>
            <w:tcW w:w="225" w:type="pct"/>
            <w:gridSpan w:val="2"/>
            <w:tcBorders>
              <w:top w:val="single" w:sz="4" w:space="0" w:color="000000"/>
            </w:tcBorders>
            <w:shd w:val="clear" w:color="auto" w:fill="CCCCCC"/>
          </w:tcPr>
          <w:p w14:paraId="038A4DE2"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DE3"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DE4"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DE5"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DE6"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DE7"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DE8" w14:textId="77777777" w:rsidR="00E06EAA" w:rsidRDefault="00E06EAA" w:rsidP="001A5D4A">
            <w:pPr>
              <w:pStyle w:val="NotesTable-CellBold"/>
            </w:pPr>
            <w:r>
              <w:t>–</w:t>
            </w:r>
          </w:p>
        </w:tc>
        <w:tc>
          <w:tcPr>
            <w:tcW w:w="225" w:type="pct"/>
            <w:tcBorders>
              <w:top w:val="single" w:sz="4" w:space="0" w:color="auto"/>
              <w:right w:val="single" w:sz="8" w:space="0" w:color="CDCDCD"/>
            </w:tcBorders>
            <w:shd w:val="clear" w:color="auto" w:fill="CCCCCC"/>
          </w:tcPr>
          <w:p w14:paraId="038A4DE9" w14:textId="77777777" w:rsidR="00E06EAA" w:rsidRDefault="00E06EAA" w:rsidP="001A5D4A">
            <w:pPr>
              <w:pStyle w:val="NotesTable-CellPlain"/>
            </w:pPr>
            <w:r>
              <w:t>–</w:t>
            </w:r>
          </w:p>
        </w:tc>
        <w:tc>
          <w:tcPr>
            <w:tcW w:w="225" w:type="pct"/>
            <w:tcBorders>
              <w:top w:val="single" w:sz="4" w:space="0" w:color="auto"/>
              <w:right w:val="single" w:sz="8" w:space="0" w:color="CDCDCD"/>
            </w:tcBorders>
            <w:shd w:val="clear" w:color="auto" w:fill="CCCCCC"/>
          </w:tcPr>
          <w:p w14:paraId="490D71F3" w14:textId="5C50F542" w:rsidR="00E06EAA" w:rsidRDefault="00E06EAA" w:rsidP="001A5D4A">
            <w:pPr>
              <w:pStyle w:val="NotesTable-CellPlain"/>
            </w:pPr>
            <w:r>
              <w:t>–</w:t>
            </w:r>
          </w:p>
        </w:tc>
        <w:tc>
          <w:tcPr>
            <w:tcW w:w="222" w:type="pct"/>
            <w:gridSpan w:val="2"/>
            <w:tcBorders>
              <w:top w:val="single" w:sz="4" w:space="0" w:color="auto"/>
              <w:right w:val="single" w:sz="8" w:space="0" w:color="CDCDCD"/>
            </w:tcBorders>
            <w:shd w:val="clear" w:color="auto" w:fill="CDCDCD"/>
          </w:tcPr>
          <w:p w14:paraId="005026CD" w14:textId="28DDDC6A" w:rsidR="00E06EAA" w:rsidRDefault="00E06EAA" w:rsidP="001A5D4A">
            <w:pPr>
              <w:pStyle w:val="NotesTable-CellPlain"/>
            </w:pPr>
            <w:r>
              <w:t>–</w:t>
            </w:r>
          </w:p>
        </w:tc>
      </w:tr>
      <w:tr w:rsidR="00B25F05" w14:paraId="038A4DF8" w14:textId="1DED2F9C" w:rsidTr="00AA2125">
        <w:trPr>
          <w:cantSplit/>
          <w:trHeight w:val="255"/>
        </w:trPr>
        <w:tc>
          <w:tcPr>
            <w:tcW w:w="523" w:type="pct"/>
            <w:tcBorders>
              <w:right w:val="single" w:sz="8" w:space="0" w:color="CDCDCD"/>
            </w:tcBorders>
          </w:tcPr>
          <w:p w14:paraId="038A4DEB" w14:textId="77777777" w:rsidR="00E06EAA" w:rsidRDefault="00E06EAA" w:rsidP="001A5D4A">
            <w:pPr>
              <w:pStyle w:val="Note-Refs"/>
            </w:pPr>
          </w:p>
        </w:tc>
        <w:tc>
          <w:tcPr>
            <w:tcW w:w="1540" w:type="pct"/>
            <w:tcBorders>
              <w:left w:val="single" w:sz="8" w:space="0" w:color="CDCDCD"/>
            </w:tcBorders>
            <w:shd w:val="clear" w:color="auto" w:fill="CCCCCC"/>
          </w:tcPr>
          <w:p w14:paraId="038A4DEC" w14:textId="77777777" w:rsidR="00E06EAA" w:rsidRDefault="00E06EAA" w:rsidP="001A5D4A">
            <w:pPr>
              <w:pStyle w:val="NotesTable-ItemPlain"/>
            </w:pPr>
          </w:p>
        </w:tc>
        <w:tc>
          <w:tcPr>
            <w:tcW w:w="240" w:type="pct"/>
            <w:shd w:val="clear" w:color="auto" w:fill="CCCCCC"/>
          </w:tcPr>
          <w:p w14:paraId="038A4DED" w14:textId="77777777" w:rsidR="00E06EAA" w:rsidRDefault="00E06EAA" w:rsidP="001A5D4A">
            <w:pPr>
              <w:pStyle w:val="NotesTable-Notes"/>
            </w:pPr>
          </w:p>
        </w:tc>
        <w:tc>
          <w:tcPr>
            <w:tcW w:w="225" w:type="pct"/>
            <w:shd w:val="clear" w:color="auto" w:fill="CCCCCC"/>
          </w:tcPr>
          <w:p w14:paraId="038A4DEE" w14:textId="77777777" w:rsidR="00E06EAA" w:rsidRDefault="00E06EAA" w:rsidP="001A5D4A">
            <w:pPr>
              <w:pStyle w:val="NotesTable-CellBold"/>
            </w:pPr>
          </w:p>
        </w:tc>
        <w:tc>
          <w:tcPr>
            <w:tcW w:w="225" w:type="pct"/>
            <w:shd w:val="clear" w:color="auto" w:fill="CCCCCC"/>
          </w:tcPr>
          <w:p w14:paraId="038A4DEF" w14:textId="77777777" w:rsidR="00E06EAA" w:rsidRDefault="00E06EAA" w:rsidP="001A5D4A">
            <w:pPr>
              <w:pStyle w:val="NotesTable-CellPlain"/>
            </w:pPr>
          </w:p>
        </w:tc>
        <w:tc>
          <w:tcPr>
            <w:tcW w:w="225" w:type="pct"/>
            <w:gridSpan w:val="2"/>
            <w:shd w:val="clear" w:color="auto" w:fill="CCCCCC"/>
          </w:tcPr>
          <w:p w14:paraId="038A4DF0" w14:textId="77777777" w:rsidR="00E06EAA" w:rsidRDefault="00E06EAA" w:rsidP="001A5D4A">
            <w:pPr>
              <w:pStyle w:val="NotesTable-CellBold"/>
            </w:pPr>
          </w:p>
        </w:tc>
        <w:tc>
          <w:tcPr>
            <w:tcW w:w="225" w:type="pct"/>
            <w:shd w:val="clear" w:color="auto" w:fill="CCCCCC"/>
          </w:tcPr>
          <w:p w14:paraId="038A4DF1" w14:textId="77777777" w:rsidR="00E06EAA" w:rsidRDefault="00E06EAA" w:rsidP="001A5D4A">
            <w:pPr>
              <w:pStyle w:val="NotesTable-CellPlain"/>
            </w:pPr>
          </w:p>
        </w:tc>
        <w:tc>
          <w:tcPr>
            <w:tcW w:w="225" w:type="pct"/>
            <w:shd w:val="clear" w:color="auto" w:fill="CCCCCC"/>
          </w:tcPr>
          <w:p w14:paraId="038A4DF2" w14:textId="77777777" w:rsidR="00E06EAA" w:rsidRDefault="00E06EAA" w:rsidP="001A5D4A">
            <w:pPr>
              <w:pStyle w:val="NotesTable-CellBold"/>
            </w:pPr>
          </w:p>
        </w:tc>
        <w:tc>
          <w:tcPr>
            <w:tcW w:w="225" w:type="pct"/>
            <w:shd w:val="clear" w:color="auto" w:fill="CCCCCC"/>
          </w:tcPr>
          <w:p w14:paraId="038A4DF3" w14:textId="77777777" w:rsidR="00E06EAA" w:rsidRDefault="00E06EAA" w:rsidP="001A5D4A">
            <w:pPr>
              <w:pStyle w:val="NotesTable-CellPlain"/>
            </w:pPr>
          </w:p>
        </w:tc>
        <w:tc>
          <w:tcPr>
            <w:tcW w:w="225" w:type="pct"/>
            <w:shd w:val="clear" w:color="auto" w:fill="CCCCCC"/>
          </w:tcPr>
          <w:p w14:paraId="038A4DF4" w14:textId="77777777" w:rsidR="00E06EAA" w:rsidRDefault="00E06EAA" w:rsidP="001A5D4A">
            <w:pPr>
              <w:pStyle w:val="NotesTable-CellBold"/>
            </w:pPr>
          </w:p>
        </w:tc>
        <w:tc>
          <w:tcPr>
            <w:tcW w:w="225" w:type="pct"/>
            <w:shd w:val="clear" w:color="auto" w:fill="CCCCCC"/>
          </w:tcPr>
          <w:p w14:paraId="038A4DF5" w14:textId="77777777" w:rsidR="00E06EAA" w:rsidRDefault="00E06EAA" w:rsidP="001A5D4A">
            <w:pPr>
              <w:pStyle w:val="NotesTable-CellPlain"/>
            </w:pPr>
          </w:p>
        </w:tc>
        <w:tc>
          <w:tcPr>
            <w:tcW w:w="225" w:type="pct"/>
            <w:shd w:val="clear" w:color="auto" w:fill="CCCCCC"/>
          </w:tcPr>
          <w:p w14:paraId="038A4DF6" w14:textId="77777777" w:rsidR="00E06EAA" w:rsidRDefault="00E06EAA" w:rsidP="001A5D4A">
            <w:pPr>
              <w:pStyle w:val="NotesTable-CellBold"/>
            </w:pPr>
          </w:p>
        </w:tc>
        <w:tc>
          <w:tcPr>
            <w:tcW w:w="225" w:type="pct"/>
            <w:tcBorders>
              <w:right w:val="single" w:sz="8" w:space="0" w:color="CDCDCD"/>
            </w:tcBorders>
            <w:shd w:val="clear" w:color="auto" w:fill="CCCCCC"/>
          </w:tcPr>
          <w:p w14:paraId="038A4DF7" w14:textId="77777777" w:rsidR="00E06EAA" w:rsidRDefault="00E06EAA" w:rsidP="001A5D4A">
            <w:pPr>
              <w:pStyle w:val="NotesTable-CellPlain"/>
            </w:pPr>
          </w:p>
        </w:tc>
        <w:tc>
          <w:tcPr>
            <w:tcW w:w="225" w:type="pct"/>
            <w:tcBorders>
              <w:right w:val="single" w:sz="8" w:space="0" w:color="CDCDCD"/>
            </w:tcBorders>
            <w:shd w:val="clear" w:color="auto" w:fill="CCCCCC"/>
          </w:tcPr>
          <w:p w14:paraId="261AFAE3" w14:textId="77777777" w:rsidR="00E06EAA" w:rsidRDefault="00E06EAA" w:rsidP="001A5D4A">
            <w:pPr>
              <w:pStyle w:val="NotesTable-CellPlain"/>
            </w:pPr>
          </w:p>
        </w:tc>
        <w:tc>
          <w:tcPr>
            <w:tcW w:w="222" w:type="pct"/>
            <w:gridSpan w:val="2"/>
            <w:tcBorders>
              <w:right w:val="single" w:sz="8" w:space="0" w:color="CDCDCD"/>
            </w:tcBorders>
            <w:shd w:val="clear" w:color="auto" w:fill="CDCDCD"/>
          </w:tcPr>
          <w:p w14:paraId="2F4842CD" w14:textId="41FD1BA9" w:rsidR="00E06EAA" w:rsidRDefault="00E06EAA" w:rsidP="001A5D4A">
            <w:pPr>
              <w:pStyle w:val="NotesTable-CellPlain"/>
            </w:pPr>
          </w:p>
        </w:tc>
      </w:tr>
      <w:tr w:rsidR="00B25F05" w14:paraId="038A4E06" w14:textId="02376D25" w:rsidTr="00AA2125">
        <w:trPr>
          <w:cantSplit/>
          <w:trHeight w:val="255"/>
        </w:trPr>
        <w:tc>
          <w:tcPr>
            <w:tcW w:w="523" w:type="pct"/>
            <w:tcBorders>
              <w:right w:val="single" w:sz="8" w:space="0" w:color="CDCDCD"/>
            </w:tcBorders>
          </w:tcPr>
          <w:p w14:paraId="038A4DF9" w14:textId="77777777" w:rsidR="00E06EAA" w:rsidRDefault="00E06EAA" w:rsidP="001A5D4A">
            <w:pPr>
              <w:pStyle w:val="Note-Refs"/>
            </w:pPr>
            <w:r>
              <w:t>D</w:t>
            </w:r>
          </w:p>
        </w:tc>
        <w:tc>
          <w:tcPr>
            <w:tcW w:w="1540" w:type="pct"/>
            <w:tcBorders>
              <w:left w:val="single" w:sz="8" w:space="0" w:color="CDCDCD"/>
            </w:tcBorders>
            <w:shd w:val="clear" w:color="auto" w:fill="CCCCCC"/>
          </w:tcPr>
          <w:p w14:paraId="038A4DFA" w14:textId="77777777" w:rsidR="00E06EAA" w:rsidRDefault="00E06EAA" w:rsidP="001A5D4A">
            <w:pPr>
              <w:pStyle w:val="NotesTable-ItemPlain"/>
              <w:rPr>
                <w:b/>
              </w:rPr>
            </w:pPr>
            <w:r>
              <w:t>Surplus / (deficit) from the previous year</w:t>
            </w:r>
          </w:p>
        </w:tc>
        <w:tc>
          <w:tcPr>
            <w:tcW w:w="240" w:type="pct"/>
            <w:shd w:val="clear" w:color="auto" w:fill="CCCCCC"/>
          </w:tcPr>
          <w:p w14:paraId="038A4DFB" w14:textId="77777777" w:rsidR="00E06EAA" w:rsidRDefault="00E06EAA" w:rsidP="001A5D4A">
            <w:pPr>
              <w:pStyle w:val="NotesTable-Notes"/>
            </w:pPr>
          </w:p>
        </w:tc>
        <w:tc>
          <w:tcPr>
            <w:tcW w:w="225" w:type="pct"/>
            <w:tcBorders>
              <w:bottom w:val="single" w:sz="4" w:space="0" w:color="000000"/>
            </w:tcBorders>
            <w:shd w:val="clear" w:color="auto" w:fill="CCCCCC"/>
          </w:tcPr>
          <w:p w14:paraId="038A4DFC"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FD" w14:textId="77777777" w:rsidR="00E06EAA" w:rsidRDefault="00E06EAA" w:rsidP="001A5D4A">
            <w:pPr>
              <w:pStyle w:val="NotesTable-CellPlain"/>
            </w:pPr>
            <w:r>
              <w:t>–</w:t>
            </w:r>
          </w:p>
        </w:tc>
        <w:tc>
          <w:tcPr>
            <w:tcW w:w="225" w:type="pct"/>
            <w:gridSpan w:val="2"/>
            <w:tcBorders>
              <w:bottom w:val="single" w:sz="4" w:space="0" w:color="000000"/>
            </w:tcBorders>
            <w:shd w:val="clear" w:color="auto" w:fill="CCCCCC"/>
          </w:tcPr>
          <w:p w14:paraId="038A4DFE"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DFF"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00"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01"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02"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03"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04" w14:textId="77777777" w:rsidR="00E06EAA" w:rsidRDefault="00E06EAA" w:rsidP="001A5D4A">
            <w:pPr>
              <w:pStyle w:val="NotesTable-CellBold"/>
            </w:pPr>
            <w:r>
              <w:t>–</w:t>
            </w:r>
          </w:p>
        </w:tc>
        <w:tc>
          <w:tcPr>
            <w:tcW w:w="225" w:type="pct"/>
            <w:tcBorders>
              <w:bottom w:val="single" w:sz="4" w:space="0" w:color="000000"/>
              <w:right w:val="single" w:sz="8" w:space="0" w:color="CDCDCD"/>
            </w:tcBorders>
            <w:shd w:val="clear" w:color="auto" w:fill="CCCCCC"/>
          </w:tcPr>
          <w:p w14:paraId="038A4E05" w14:textId="77777777" w:rsidR="00E06EAA" w:rsidRDefault="00E06EAA" w:rsidP="001A5D4A">
            <w:pPr>
              <w:pStyle w:val="NotesTable-CellPlain"/>
            </w:pPr>
            <w:r>
              <w:t>–</w:t>
            </w:r>
          </w:p>
        </w:tc>
        <w:tc>
          <w:tcPr>
            <w:tcW w:w="225" w:type="pct"/>
            <w:tcBorders>
              <w:bottom w:val="single" w:sz="4" w:space="0" w:color="000000"/>
              <w:right w:val="single" w:sz="8" w:space="0" w:color="CDCDCD"/>
            </w:tcBorders>
            <w:shd w:val="clear" w:color="auto" w:fill="CCCCCC"/>
          </w:tcPr>
          <w:p w14:paraId="7911FBFD" w14:textId="625D9683" w:rsidR="00E06EAA" w:rsidRDefault="00E06EAA" w:rsidP="001A5D4A">
            <w:pPr>
              <w:pStyle w:val="NotesTable-CellPlain"/>
            </w:pPr>
            <w:r>
              <w:t>–</w:t>
            </w:r>
          </w:p>
        </w:tc>
        <w:tc>
          <w:tcPr>
            <w:tcW w:w="222" w:type="pct"/>
            <w:gridSpan w:val="2"/>
            <w:tcBorders>
              <w:bottom w:val="single" w:sz="4" w:space="0" w:color="000000"/>
              <w:right w:val="single" w:sz="8" w:space="0" w:color="CDCDCD"/>
            </w:tcBorders>
            <w:shd w:val="clear" w:color="auto" w:fill="CDCDCD"/>
          </w:tcPr>
          <w:p w14:paraId="2362E089" w14:textId="3B640EC9" w:rsidR="00E06EAA" w:rsidRDefault="00E06EAA" w:rsidP="001A5D4A">
            <w:pPr>
              <w:pStyle w:val="NotesTable-CellPlain"/>
            </w:pPr>
            <w:r>
              <w:t>–</w:t>
            </w:r>
          </w:p>
        </w:tc>
      </w:tr>
      <w:tr w:rsidR="00B25F05" w14:paraId="038A4E14" w14:textId="234CB52D" w:rsidTr="00AA2125">
        <w:trPr>
          <w:cantSplit/>
          <w:trHeight w:val="255"/>
        </w:trPr>
        <w:tc>
          <w:tcPr>
            <w:tcW w:w="523" w:type="pct"/>
            <w:tcBorders>
              <w:right w:val="single" w:sz="8" w:space="0" w:color="CDCDCD"/>
            </w:tcBorders>
          </w:tcPr>
          <w:p w14:paraId="038A4E07" w14:textId="77777777" w:rsidR="00E06EAA" w:rsidRDefault="00E06EAA" w:rsidP="001A5D4A">
            <w:pPr>
              <w:pStyle w:val="Note-Refs"/>
              <w:rPr>
                <w:b/>
              </w:rPr>
            </w:pPr>
            <w:r>
              <w:t>E = C + D</w:t>
            </w:r>
          </w:p>
        </w:tc>
        <w:tc>
          <w:tcPr>
            <w:tcW w:w="1540" w:type="pct"/>
            <w:tcBorders>
              <w:left w:val="single" w:sz="8" w:space="0" w:color="CDCDCD"/>
            </w:tcBorders>
            <w:shd w:val="clear" w:color="auto" w:fill="CCCCCC"/>
          </w:tcPr>
          <w:p w14:paraId="038A4E08" w14:textId="77777777" w:rsidR="00E06EAA" w:rsidRDefault="00E06EAA" w:rsidP="001A5D4A">
            <w:pPr>
              <w:pStyle w:val="NotesTable-ItemPlain"/>
              <w:rPr>
                <w:b/>
              </w:rPr>
            </w:pPr>
            <w:r>
              <w:t>Total revenue including accrued revenue</w:t>
            </w:r>
          </w:p>
        </w:tc>
        <w:tc>
          <w:tcPr>
            <w:tcW w:w="240" w:type="pct"/>
            <w:shd w:val="clear" w:color="auto" w:fill="CCCCCC"/>
          </w:tcPr>
          <w:p w14:paraId="038A4E09" w14:textId="77777777" w:rsidR="00E06EAA" w:rsidRDefault="00E06EAA" w:rsidP="001A5D4A">
            <w:pPr>
              <w:pStyle w:val="NotesTable-Notes"/>
            </w:pPr>
          </w:p>
        </w:tc>
        <w:tc>
          <w:tcPr>
            <w:tcW w:w="225" w:type="pct"/>
            <w:tcBorders>
              <w:top w:val="single" w:sz="4" w:space="0" w:color="000000"/>
            </w:tcBorders>
            <w:shd w:val="clear" w:color="auto" w:fill="CCCCCC"/>
          </w:tcPr>
          <w:p w14:paraId="038A4E0A"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E0B" w14:textId="77777777" w:rsidR="00E06EAA" w:rsidRDefault="00E06EAA" w:rsidP="001A5D4A">
            <w:pPr>
              <w:pStyle w:val="NotesTable-CellPlain"/>
            </w:pPr>
            <w:r>
              <w:t>–</w:t>
            </w:r>
          </w:p>
        </w:tc>
        <w:tc>
          <w:tcPr>
            <w:tcW w:w="225" w:type="pct"/>
            <w:gridSpan w:val="2"/>
            <w:tcBorders>
              <w:top w:val="single" w:sz="4" w:space="0" w:color="000000"/>
            </w:tcBorders>
            <w:shd w:val="clear" w:color="auto" w:fill="CCCCCC"/>
          </w:tcPr>
          <w:p w14:paraId="038A4E0C"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E0D"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E0E"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E0F"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E10" w14:textId="77777777" w:rsidR="00E06EAA" w:rsidRDefault="00E06EAA" w:rsidP="001A5D4A">
            <w:pPr>
              <w:pStyle w:val="NotesTable-CellBold"/>
            </w:pPr>
            <w:r>
              <w:t>–</w:t>
            </w:r>
          </w:p>
        </w:tc>
        <w:tc>
          <w:tcPr>
            <w:tcW w:w="225" w:type="pct"/>
            <w:tcBorders>
              <w:top w:val="single" w:sz="4" w:space="0" w:color="000000"/>
            </w:tcBorders>
            <w:shd w:val="clear" w:color="auto" w:fill="CCCCCC"/>
          </w:tcPr>
          <w:p w14:paraId="038A4E11" w14:textId="77777777" w:rsidR="00E06EAA" w:rsidRDefault="00E06EAA" w:rsidP="001A5D4A">
            <w:pPr>
              <w:pStyle w:val="NotesTable-CellPlain"/>
            </w:pPr>
            <w:r>
              <w:t>–</w:t>
            </w:r>
          </w:p>
        </w:tc>
        <w:tc>
          <w:tcPr>
            <w:tcW w:w="225" w:type="pct"/>
            <w:tcBorders>
              <w:top w:val="single" w:sz="4" w:space="0" w:color="000000"/>
            </w:tcBorders>
            <w:shd w:val="clear" w:color="auto" w:fill="CCCCCC"/>
          </w:tcPr>
          <w:p w14:paraId="038A4E12" w14:textId="77777777" w:rsidR="00E06EAA" w:rsidRDefault="00E06EAA" w:rsidP="001A5D4A">
            <w:pPr>
              <w:pStyle w:val="NotesTable-CellBold"/>
            </w:pPr>
            <w:r>
              <w:t>–</w:t>
            </w:r>
          </w:p>
        </w:tc>
        <w:tc>
          <w:tcPr>
            <w:tcW w:w="225" w:type="pct"/>
            <w:tcBorders>
              <w:top w:val="single" w:sz="4" w:space="0" w:color="000000"/>
              <w:right w:val="single" w:sz="8" w:space="0" w:color="CDCDCD"/>
            </w:tcBorders>
            <w:shd w:val="clear" w:color="auto" w:fill="CCCCCC"/>
          </w:tcPr>
          <w:p w14:paraId="038A4E13" w14:textId="77777777" w:rsidR="00E06EAA" w:rsidRDefault="00E06EAA" w:rsidP="001A5D4A">
            <w:pPr>
              <w:pStyle w:val="NotesTable-CellPlain"/>
            </w:pPr>
            <w:r>
              <w:t>–</w:t>
            </w:r>
          </w:p>
        </w:tc>
        <w:tc>
          <w:tcPr>
            <w:tcW w:w="225" w:type="pct"/>
            <w:tcBorders>
              <w:top w:val="single" w:sz="4" w:space="0" w:color="000000"/>
              <w:right w:val="single" w:sz="8" w:space="0" w:color="CDCDCD"/>
            </w:tcBorders>
            <w:shd w:val="clear" w:color="auto" w:fill="CCCCCC"/>
          </w:tcPr>
          <w:p w14:paraId="67049D78" w14:textId="0897FDC7" w:rsidR="00E06EAA" w:rsidRDefault="00E06EAA" w:rsidP="001A5D4A">
            <w:pPr>
              <w:pStyle w:val="NotesTable-CellPlain"/>
            </w:pPr>
            <w:r>
              <w:t>–</w:t>
            </w:r>
          </w:p>
        </w:tc>
        <w:tc>
          <w:tcPr>
            <w:tcW w:w="222" w:type="pct"/>
            <w:gridSpan w:val="2"/>
            <w:tcBorders>
              <w:top w:val="single" w:sz="4" w:space="0" w:color="000000"/>
              <w:right w:val="single" w:sz="8" w:space="0" w:color="CDCDCD"/>
            </w:tcBorders>
            <w:shd w:val="clear" w:color="auto" w:fill="CDCDCD"/>
          </w:tcPr>
          <w:p w14:paraId="50CF3BD0" w14:textId="49EF7D14" w:rsidR="00E06EAA" w:rsidRDefault="00E06EAA" w:rsidP="001A5D4A">
            <w:pPr>
              <w:pStyle w:val="NotesTable-CellPlain"/>
            </w:pPr>
            <w:r>
              <w:t>–</w:t>
            </w:r>
          </w:p>
        </w:tc>
      </w:tr>
      <w:tr w:rsidR="00B25F05" w14:paraId="038A4E22" w14:textId="39368ACE" w:rsidTr="00AA2125">
        <w:trPr>
          <w:cantSplit/>
          <w:trHeight w:val="255"/>
        </w:trPr>
        <w:tc>
          <w:tcPr>
            <w:tcW w:w="523" w:type="pct"/>
            <w:tcBorders>
              <w:right w:val="single" w:sz="8" w:space="0" w:color="CDCDCD"/>
            </w:tcBorders>
          </w:tcPr>
          <w:p w14:paraId="038A4E15" w14:textId="77777777" w:rsidR="00E06EAA" w:rsidRDefault="00E06EAA" w:rsidP="001A5D4A">
            <w:pPr>
              <w:pStyle w:val="Note-Refs"/>
            </w:pPr>
            <w:r>
              <w:t>F</w:t>
            </w:r>
          </w:p>
        </w:tc>
        <w:tc>
          <w:tcPr>
            <w:tcW w:w="1540" w:type="pct"/>
            <w:tcBorders>
              <w:left w:val="single" w:sz="8" w:space="0" w:color="CDCDCD"/>
            </w:tcBorders>
            <w:shd w:val="clear" w:color="auto" w:fill="CCCCCC"/>
          </w:tcPr>
          <w:p w14:paraId="038A4E16" w14:textId="77777777" w:rsidR="00E06EAA" w:rsidRDefault="00E06EAA" w:rsidP="001A5D4A">
            <w:pPr>
              <w:pStyle w:val="NotesTable-ItemPlain"/>
              <w:rPr>
                <w:b/>
              </w:rPr>
            </w:pPr>
            <w:r>
              <w:t>Less expenses including accrued expenses</w:t>
            </w:r>
          </w:p>
        </w:tc>
        <w:tc>
          <w:tcPr>
            <w:tcW w:w="240" w:type="pct"/>
            <w:shd w:val="clear" w:color="auto" w:fill="CCCCCC"/>
          </w:tcPr>
          <w:p w14:paraId="038A4E17" w14:textId="77777777" w:rsidR="00E06EAA" w:rsidRDefault="00E06EAA" w:rsidP="001A5D4A">
            <w:pPr>
              <w:pStyle w:val="NotesTable-Notes"/>
            </w:pPr>
          </w:p>
        </w:tc>
        <w:tc>
          <w:tcPr>
            <w:tcW w:w="225" w:type="pct"/>
            <w:tcBorders>
              <w:bottom w:val="single" w:sz="4" w:space="0" w:color="000000"/>
            </w:tcBorders>
            <w:shd w:val="clear" w:color="auto" w:fill="CCCCCC"/>
          </w:tcPr>
          <w:p w14:paraId="038A4E18"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19" w14:textId="77777777" w:rsidR="00E06EAA" w:rsidRDefault="00E06EAA" w:rsidP="001A5D4A">
            <w:pPr>
              <w:pStyle w:val="NotesTable-CellPlain"/>
            </w:pPr>
            <w:r>
              <w:t>–</w:t>
            </w:r>
          </w:p>
        </w:tc>
        <w:tc>
          <w:tcPr>
            <w:tcW w:w="225" w:type="pct"/>
            <w:gridSpan w:val="2"/>
            <w:tcBorders>
              <w:bottom w:val="single" w:sz="4" w:space="0" w:color="000000"/>
            </w:tcBorders>
            <w:shd w:val="clear" w:color="auto" w:fill="CCCCCC"/>
          </w:tcPr>
          <w:p w14:paraId="038A4E1A"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1B"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1C"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1D"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1E" w14:textId="77777777" w:rsidR="00E06EAA" w:rsidRDefault="00E06EAA" w:rsidP="001A5D4A">
            <w:pPr>
              <w:pStyle w:val="NotesTable-CellBold"/>
            </w:pPr>
            <w:r>
              <w:t>–</w:t>
            </w:r>
          </w:p>
        </w:tc>
        <w:tc>
          <w:tcPr>
            <w:tcW w:w="225" w:type="pct"/>
            <w:tcBorders>
              <w:bottom w:val="single" w:sz="4" w:space="0" w:color="000000"/>
            </w:tcBorders>
            <w:shd w:val="clear" w:color="auto" w:fill="CCCCCC"/>
          </w:tcPr>
          <w:p w14:paraId="038A4E1F" w14:textId="77777777" w:rsidR="00E06EAA" w:rsidRDefault="00E06EAA" w:rsidP="001A5D4A">
            <w:pPr>
              <w:pStyle w:val="NotesTable-CellPlain"/>
            </w:pPr>
            <w:r>
              <w:t>–</w:t>
            </w:r>
          </w:p>
        </w:tc>
        <w:tc>
          <w:tcPr>
            <w:tcW w:w="225" w:type="pct"/>
            <w:tcBorders>
              <w:bottom w:val="single" w:sz="4" w:space="0" w:color="000000"/>
            </w:tcBorders>
            <w:shd w:val="clear" w:color="auto" w:fill="CCCCCC"/>
          </w:tcPr>
          <w:p w14:paraId="038A4E20" w14:textId="77777777" w:rsidR="00E06EAA" w:rsidRDefault="00E06EAA" w:rsidP="001A5D4A">
            <w:pPr>
              <w:pStyle w:val="NotesTable-CellBold"/>
            </w:pPr>
            <w:r>
              <w:t>–</w:t>
            </w:r>
          </w:p>
        </w:tc>
        <w:tc>
          <w:tcPr>
            <w:tcW w:w="225" w:type="pct"/>
            <w:tcBorders>
              <w:bottom w:val="single" w:sz="4" w:space="0" w:color="000000"/>
              <w:right w:val="single" w:sz="8" w:space="0" w:color="CDCDCD"/>
            </w:tcBorders>
            <w:shd w:val="clear" w:color="auto" w:fill="CCCCCC"/>
          </w:tcPr>
          <w:p w14:paraId="038A4E21" w14:textId="77777777" w:rsidR="00E06EAA" w:rsidRDefault="00E06EAA" w:rsidP="001A5D4A">
            <w:pPr>
              <w:pStyle w:val="NotesTable-CellPlain"/>
            </w:pPr>
            <w:r>
              <w:t>–</w:t>
            </w:r>
          </w:p>
        </w:tc>
        <w:tc>
          <w:tcPr>
            <w:tcW w:w="225" w:type="pct"/>
            <w:tcBorders>
              <w:bottom w:val="single" w:sz="4" w:space="0" w:color="000000"/>
              <w:right w:val="single" w:sz="8" w:space="0" w:color="CDCDCD"/>
            </w:tcBorders>
            <w:shd w:val="clear" w:color="auto" w:fill="CCCCCC"/>
          </w:tcPr>
          <w:p w14:paraId="24F2D196" w14:textId="039E548B" w:rsidR="00E06EAA" w:rsidRDefault="00E06EAA" w:rsidP="001A5D4A">
            <w:pPr>
              <w:pStyle w:val="NotesTable-CellPlain"/>
            </w:pPr>
            <w:r>
              <w:t>–</w:t>
            </w:r>
          </w:p>
        </w:tc>
        <w:tc>
          <w:tcPr>
            <w:tcW w:w="222" w:type="pct"/>
            <w:gridSpan w:val="2"/>
            <w:tcBorders>
              <w:bottom w:val="single" w:sz="4" w:space="0" w:color="000000"/>
              <w:right w:val="single" w:sz="8" w:space="0" w:color="CDCDCD"/>
            </w:tcBorders>
            <w:shd w:val="clear" w:color="auto" w:fill="CDCDCD"/>
          </w:tcPr>
          <w:p w14:paraId="7C77DE6B" w14:textId="6C1DF7AA" w:rsidR="00E06EAA" w:rsidRDefault="00E06EAA" w:rsidP="001A5D4A">
            <w:pPr>
              <w:pStyle w:val="NotesTable-CellPlain"/>
            </w:pPr>
            <w:r>
              <w:t>–</w:t>
            </w:r>
          </w:p>
        </w:tc>
      </w:tr>
      <w:tr w:rsidR="00B25F05" w14:paraId="038A4E30" w14:textId="1D9CAA0E" w:rsidTr="00AA2125">
        <w:trPr>
          <w:cantSplit/>
          <w:trHeight w:val="255"/>
        </w:trPr>
        <w:tc>
          <w:tcPr>
            <w:tcW w:w="523" w:type="pct"/>
            <w:tcBorders>
              <w:right w:val="single" w:sz="8" w:space="0" w:color="CDCDCD"/>
            </w:tcBorders>
          </w:tcPr>
          <w:p w14:paraId="038A4E23" w14:textId="77777777" w:rsidR="00E06EAA" w:rsidRDefault="00E06EAA" w:rsidP="001A5D4A">
            <w:pPr>
              <w:pStyle w:val="Note-Refs"/>
              <w:rPr>
                <w:b/>
              </w:rPr>
            </w:pPr>
            <w:r>
              <w:t>G = E – F</w:t>
            </w:r>
          </w:p>
        </w:tc>
        <w:tc>
          <w:tcPr>
            <w:tcW w:w="1540" w:type="pct"/>
            <w:tcBorders>
              <w:left w:val="single" w:sz="8" w:space="0" w:color="CDCDCD"/>
            </w:tcBorders>
            <w:shd w:val="clear" w:color="auto" w:fill="CCCCCC"/>
          </w:tcPr>
          <w:p w14:paraId="038A4E24" w14:textId="77777777" w:rsidR="00E06EAA" w:rsidRDefault="00E06EAA" w:rsidP="001A5D4A">
            <w:pPr>
              <w:pStyle w:val="NotesTable-ItemPlain"/>
              <w:rPr>
                <w:b/>
              </w:rPr>
            </w:pPr>
            <w:r>
              <w:t>Surplus / (deficit) for reporting period</w:t>
            </w:r>
          </w:p>
        </w:tc>
        <w:tc>
          <w:tcPr>
            <w:tcW w:w="240" w:type="pct"/>
            <w:shd w:val="clear" w:color="auto" w:fill="CCCCCC"/>
          </w:tcPr>
          <w:p w14:paraId="038A4E25" w14:textId="77777777" w:rsidR="00E06EAA" w:rsidRDefault="00E06EAA" w:rsidP="001A5D4A">
            <w:pPr>
              <w:pStyle w:val="NotesTable-Notes"/>
            </w:pPr>
          </w:p>
        </w:tc>
        <w:tc>
          <w:tcPr>
            <w:tcW w:w="225" w:type="pct"/>
            <w:tcBorders>
              <w:bottom w:val="single" w:sz="4" w:space="0" w:color="auto"/>
            </w:tcBorders>
            <w:shd w:val="clear" w:color="auto" w:fill="CCCCCC"/>
          </w:tcPr>
          <w:p w14:paraId="038A4E26" w14:textId="77777777" w:rsidR="00E06EAA" w:rsidRDefault="00E06EAA" w:rsidP="001A5D4A">
            <w:pPr>
              <w:pStyle w:val="NotesTable-CellBold"/>
            </w:pPr>
            <w:r>
              <w:t>–</w:t>
            </w:r>
          </w:p>
        </w:tc>
        <w:tc>
          <w:tcPr>
            <w:tcW w:w="225" w:type="pct"/>
            <w:tcBorders>
              <w:bottom w:val="single" w:sz="4" w:space="0" w:color="auto"/>
            </w:tcBorders>
            <w:shd w:val="clear" w:color="auto" w:fill="CCCCCC"/>
          </w:tcPr>
          <w:p w14:paraId="038A4E27" w14:textId="77777777" w:rsidR="00E06EAA" w:rsidRDefault="00E06EAA" w:rsidP="001A5D4A">
            <w:pPr>
              <w:pStyle w:val="NotesTable-CellPlain"/>
            </w:pPr>
            <w:r>
              <w:t>–</w:t>
            </w:r>
          </w:p>
        </w:tc>
        <w:tc>
          <w:tcPr>
            <w:tcW w:w="225" w:type="pct"/>
            <w:gridSpan w:val="2"/>
            <w:tcBorders>
              <w:bottom w:val="single" w:sz="4" w:space="0" w:color="auto"/>
            </w:tcBorders>
            <w:shd w:val="clear" w:color="auto" w:fill="CCCCCC"/>
          </w:tcPr>
          <w:p w14:paraId="038A4E28" w14:textId="77777777" w:rsidR="00E06EAA" w:rsidRDefault="00E06EAA" w:rsidP="001A5D4A">
            <w:pPr>
              <w:pStyle w:val="NotesTable-CellBold"/>
            </w:pPr>
            <w:r>
              <w:t>–</w:t>
            </w:r>
          </w:p>
        </w:tc>
        <w:tc>
          <w:tcPr>
            <w:tcW w:w="225" w:type="pct"/>
            <w:tcBorders>
              <w:bottom w:val="single" w:sz="4" w:space="0" w:color="auto"/>
            </w:tcBorders>
            <w:shd w:val="clear" w:color="auto" w:fill="CCCCCC"/>
          </w:tcPr>
          <w:p w14:paraId="038A4E29" w14:textId="77777777" w:rsidR="00E06EAA" w:rsidRDefault="00E06EAA" w:rsidP="001A5D4A">
            <w:pPr>
              <w:pStyle w:val="NotesTable-CellPlain"/>
            </w:pPr>
            <w:r>
              <w:t>–</w:t>
            </w:r>
          </w:p>
        </w:tc>
        <w:tc>
          <w:tcPr>
            <w:tcW w:w="225" w:type="pct"/>
            <w:tcBorders>
              <w:bottom w:val="single" w:sz="4" w:space="0" w:color="auto"/>
            </w:tcBorders>
            <w:shd w:val="clear" w:color="auto" w:fill="CCCCCC"/>
          </w:tcPr>
          <w:p w14:paraId="038A4E2A" w14:textId="77777777" w:rsidR="00E06EAA" w:rsidRDefault="00E06EAA" w:rsidP="001A5D4A">
            <w:pPr>
              <w:pStyle w:val="NotesTable-CellBold"/>
            </w:pPr>
            <w:r>
              <w:t>–</w:t>
            </w:r>
          </w:p>
        </w:tc>
        <w:tc>
          <w:tcPr>
            <w:tcW w:w="225" w:type="pct"/>
            <w:tcBorders>
              <w:bottom w:val="single" w:sz="4" w:space="0" w:color="auto"/>
            </w:tcBorders>
            <w:shd w:val="clear" w:color="auto" w:fill="CCCCCC"/>
          </w:tcPr>
          <w:p w14:paraId="038A4E2B" w14:textId="77777777" w:rsidR="00E06EAA" w:rsidRDefault="00E06EAA" w:rsidP="001A5D4A">
            <w:pPr>
              <w:pStyle w:val="NotesTable-CellPlain"/>
            </w:pPr>
            <w:r>
              <w:t>–</w:t>
            </w:r>
          </w:p>
        </w:tc>
        <w:tc>
          <w:tcPr>
            <w:tcW w:w="225" w:type="pct"/>
            <w:tcBorders>
              <w:bottom w:val="single" w:sz="4" w:space="0" w:color="auto"/>
            </w:tcBorders>
            <w:shd w:val="clear" w:color="auto" w:fill="CCCCCC"/>
          </w:tcPr>
          <w:p w14:paraId="038A4E2C" w14:textId="77777777" w:rsidR="00E06EAA" w:rsidRDefault="00E06EAA" w:rsidP="001A5D4A">
            <w:pPr>
              <w:pStyle w:val="NotesTable-CellBold"/>
            </w:pPr>
            <w:r>
              <w:t>–</w:t>
            </w:r>
          </w:p>
        </w:tc>
        <w:tc>
          <w:tcPr>
            <w:tcW w:w="225" w:type="pct"/>
            <w:tcBorders>
              <w:bottom w:val="single" w:sz="4" w:space="0" w:color="auto"/>
            </w:tcBorders>
            <w:shd w:val="clear" w:color="auto" w:fill="CCCCCC"/>
          </w:tcPr>
          <w:p w14:paraId="038A4E2D" w14:textId="77777777" w:rsidR="00E06EAA" w:rsidRDefault="00E06EAA" w:rsidP="001A5D4A">
            <w:pPr>
              <w:pStyle w:val="NotesTable-CellPlain"/>
            </w:pPr>
            <w:r>
              <w:t>–</w:t>
            </w:r>
          </w:p>
        </w:tc>
        <w:tc>
          <w:tcPr>
            <w:tcW w:w="225" w:type="pct"/>
            <w:tcBorders>
              <w:bottom w:val="single" w:sz="4" w:space="0" w:color="auto"/>
            </w:tcBorders>
            <w:shd w:val="clear" w:color="auto" w:fill="CCCCCC"/>
          </w:tcPr>
          <w:p w14:paraId="038A4E2E" w14:textId="77777777" w:rsidR="00E06EAA" w:rsidRDefault="00E06EAA" w:rsidP="001A5D4A">
            <w:pPr>
              <w:pStyle w:val="NotesTable-CellBold"/>
            </w:pPr>
            <w:r>
              <w:t>–</w:t>
            </w:r>
          </w:p>
        </w:tc>
        <w:tc>
          <w:tcPr>
            <w:tcW w:w="225" w:type="pct"/>
            <w:tcBorders>
              <w:bottom w:val="single" w:sz="4" w:space="0" w:color="auto"/>
              <w:right w:val="single" w:sz="8" w:space="0" w:color="CDCDCD"/>
            </w:tcBorders>
            <w:shd w:val="clear" w:color="auto" w:fill="CCCCCC"/>
          </w:tcPr>
          <w:p w14:paraId="038A4E2F" w14:textId="77777777" w:rsidR="00E06EAA" w:rsidRDefault="00E06EAA" w:rsidP="001A5D4A">
            <w:pPr>
              <w:pStyle w:val="NotesTable-CellPlain"/>
            </w:pPr>
            <w:r>
              <w:t>–</w:t>
            </w:r>
          </w:p>
        </w:tc>
        <w:tc>
          <w:tcPr>
            <w:tcW w:w="225" w:type="pct"/>
            <w:tcBorders>
              <w:bottom w:val="single" w:sz="4" w:space="0" w:color="auto"/>
              <w:right w:val="single" w:sz="8" w:space="0" w:color="CDCDCD"/>
            </w:tcBorders>
            <w:shd w:val="clear" w:color="auto" w:fill="CCCCCC"/>
          </w:tcPr>
          <w:p w14:paraId="26EA0EDF" w14:textId="54B3242D" w:rsidR="00E06EAA" w:rsidRDefault="00E06EAA" w:rsidP="001A5D4A">
            <w:pPr>
              <w:pStyle w:val="NotesTable-CellPlain"/>
            </w:pPr>
            <w:r>
              <w:t>–</w:t>
            </w:r>
          </w:p>
        </w:tc>
        <w:tc>
          <w:tcPr>
            <w:tcW w:w="222" w:type="pct"/>
            <w:gridSpan w:val="2"/>
            <w:tcBorders>
              <w:bottom w:val="single" w:sz="4" w:space="0" w:color="auto"/>
              <w:right w:val="single" w:sz="8" w:space="0" w:color="CDCDCD"/>
            </w:tcBorders>
            <w:shd w:val="clear" w:color="auto" w:fill="CDCDCD"/>
          </w:tcPr>
          <w:p w14:paraId="1E34A63E" w14:textId="777FB014" w:rsidR="00E06EAA" w:rsidRDefault="00E06EAA" w:rsidP="001A5D4A">
            <w:pPr>
              <w:pStyle w:val="NotesTable-CellPlain"/>
            </w:pPr>
            <w:r>
              <w:t>–</w:t>
            </w:r>
          </w:p>
        </w:tc>
      </w:tr>
      <w:tr w:rsidR="00B25F05" w14:paraId="038A4E3E" w14:textId="64DA531E" w:rsidTr="00AA2125">
        <w:trPr>
          <w:cantSplit/>
          <w:trHeight w:val="255"/>
        </w:trPr>
        <w:tc>
          <w:tcPr>
            <w:tcW w:w="523" w:type="pct"/>
            <w:tcBorders>
              <w:bottom w:val="single" w:sz="4" w:space="0" w:color="FFFFFF"/>
              <w:right w:val="single" w:sz="8" w:space="0" w:color="CDCDCD"/>
            </w:tcBorders>
          </w:tcPr>
          <w:p w14:paraId="038A4E31" w14:textId="77777777" w:rsidR="00E06EAA" w:rsidRDefault="00E06EAA" w:rsidP="001A5D4A">
            <w:pPr>
              <w:pStyle w:val="Note-Refs"/>
            </w:pPr>
          </w:p>
        </w:tc>
        <w:tc>
          <w:tcPr>
            <w:tcW w:w="1540" w:type="pct"/>
            <w:tcBorders>
              <w:left w:val="single" w:sz="8" w:space="0" w:color="CDCDCD"/>
              <w:bottom w:val="single" w:sz="8" w:space="0" w:color="CDCDCD"/>
            </w:tcBorders>
            <w:shd w:val="clear" w:color="auto" w:fill="CCCCCC"/>
          </w:tcPr>
          <w:p w14:paraId="038A4E32" w14:textId="77777777" w:rsidR="00E06EAA" w:rsidRDefault="00E06EAA" w:rsidP="001A5D4A">
            <w:pPr>
              <w:pStyle w:val="NotesTable-ItemPlain"/>
            </w:pPr>
          </w:p>
        </w:tc>
        <w:tc>
          <w:tcPr>
            <w:tcW w:w="240" w:type="pct"/>
            <w:tcBorders>
              <w:bottom w:val="single" w:sz="8" w:space="0" w:color="CDCDCD"/>
            </w:tcBorders>
            <w:shd w:val="clear" w:color="auto" w:fill="CCCCCC"/>
          </w:tcPr>
          <w:p w14:paraId="038A4E33" w14:textId="77777777" w:rsidR="00E06EAA" w:rsidRDefault="00E06EAA" w:rsidP="001A5D4A">
            <w:pPr>
              <w:pStyle w:val="NotesTable-Notes"/>
            </w:pPr>
          </w:p>
        </w:tc>
        <w:tc>
          <w:tcPr>
            <w:tcW w:w="225" w:type="pct"/>
            <w:tcBorders>
              <w:top w:val="single" w:sz="4" w:space="0" w:color="auto"/>
              <w:bottom w:val="single" w:sz="8" w:space="0" w:color="CDCDCD"/>
            </w:tcBorders>
            <w:shd w:val="clear" w:color="auto" w:fill="CCCCCC"/>
          </w:tcPr>
          <w:p w14:paraId="038A4E34" w14:textId="77777777" w:rsidR="00E06EAA" w:rsidRDefault="00E06EAA" w:rsidP="001A5D4A">
            <w:pPr>
              <w:pStyle w:val="NotesTable-CellBold"/>
            </w:pPr>
          </w:p>
        </w:tc>
        <w:tc>
          <w:tcPr>
            <w:tcW w:w="225" w:type="pct"/>
            <w:tcBorders>
              <w:top w:val="single" w:sz="4" w:space="0" w:color="auto"/>
              <w:bottom w:val="single" w:sz="8" w:space="0" w:color="CDCDCD"/>
            </w:tcBorders>
            <w:shd w:val="clear" w:color="auto" w:fill="CCCCCC"/>
          </w:tcPr>
          <w:p w14:paraId="038A4E35" w14:textId="77777777" w:rsidR="00E06EAA" w:rsidRDefault="00E06EAA" w:rsidP="001A5D4A">
            <w:pPr>
              <w:pStyle w:val="NotesTable-CellPlain"/>
            </w:pPr>
          </w:p>
        </w:tc>
        <w:tc>
          <w:tcPr>
            <w:tcW w:w="225" w:type="pct"/>
            <w:gridSpan w:val="2"/>
            <w:tcBorders>
              <w:top w:val="single" w:sz="4" w:space="0" w:color="auto"/>
              <w:bottom w:val="single" w:sz="8" w:space="0" w:color="CDCDCD"/>
            </w:tcBorders>
            <w:shd w:val="clear" w:color="auto" w:fill="CCCCCC"/>
          </w:tcPr>
          <w:p w14:paraId="038A4E36" w14:textId="77777777" w:rsidR="00E06EAA" w:rsidRDefault="00E06EAA" w:rsidP="001A5D4A">
            <w:pPr>
              <w:pStyle w:val="NotesTable-CellBold"/>
            </w:pPr>
          </w:p>
        </w:tc>
        <w:tc>
          <w:tcPr>
            <w:tcW w:w="225" w:type="pct"/>
            <w:tcBorders>
              <w:top w:val="single" w:sz="4" w:space="0" w:color="auto"/>
              <w:bottom w:val="single" w:sz="8" w:space="0" w:color="CDCDCD"/>
            </w:tcBorders>
            <w:shd w:val="clear" w:color="auto" w:fill="CCCCCC"/>
          </w:tcPr>
          <w:p w14:paraId="038A4E37" w14:textId="77777777" w:rsidR="00E06EAA" w:rsidRDefault="00E06EAA" w:rsidP="001A5D4A">
            <w:pPr>
              <w:pStyle w:val="NotesTable-CellPlain"/>
            </w:pPr>
          </w:p>
        </w:tc>
        <w:tc>
          <w:tcPr>
            <w:tcW w:w="225" w:type="pct"/>
            <w:tcBorders>
              <w:top w:val="single" w:sz="4" w:space="0" w:color="auto"/>
              <w:bottom w:val="single" w:sz="8" w:space="0" w:color="CDCDCD"/>
            </w:tcBorders>
            <w:shd w:val="clear" w:color="auto" w:fill="CCCCCC"/>
          </w:tcPr>
          <w:p w14:paraId="038A4E38" w14:textId="77777777" w:rsidR="00E06EAA" w:rsidRDefault="00E06EAA" w:rsidP="001A5D4A">
            <w:pPr>
              <w:pStyle w:val="NotesTable-CellBold"/>
            </w:pPr>
          </w:p>
        </w:tc>
        <w:tc>
          <w:tcPr>
            <w:tcW w:w="225" w:type="pct"/>
            <w:tcBorders>
              <w:top w:val="single" w:sz="4" w:space="0" w:color="auto"/>
              <w:bottom w:val="single" w:sz="8" w:space="0" w:color="CDCDCD"/>
            </w:tcBorders>
            <w:shd w:val="clear" w:color="auto" w:fill="CCCCCC"/>
          </w:tcPr>
          <w:p w14:paraId="038A4E39" w14:textId="77777777" w:rsidR="00E06EAA" w:rsidRDefault="00E06EAA" w:rsidP="001A5D4A">
            <w:pPr>
              <w:pStyle w:val="NotesTable-CellPlain"/>
            </w:pPr>
          </w:p>
        </w:tc>
        <w:tc>
          <w:tcPr>
            <w:tcW w:w="225" w:type="pct"/>
            <w:tcBorders>
              <w:top w:val="single" w:sz="4" w:space="0" w:color="auto"/>
              <w:bottom w:val="single" w:sz="8" w:space="0" w:color="CDCDCD"/>
            </w:tcBorders>
            <w:shd w:val="clear" w:color="auto" w:fill="CCCCCC"/>
          </w:tcPr>
          <w:p w14:paraId="038A4E3A" w14:textId="77777777" w:rsidR="00E06EAA" w:rsidRDefault="00E06EAA" w:rsidP="001A5D4A">
            <w:pPr>
              <w:pStyle w:val="NotesTable-CellBold"/>
            </w:pPr>
          </w:p>
        </w:tc>
        <w:tc>
          <w:tcPr>
            <w:tcW w:w="225" w:type="pct"/>
            <w:tcBorders>
              <w:top w:val="single" w:sz="4" w:space="0" w:color="auto"/>
              <w:bottom w:val="single" w:sz="8" w:space="0" w:color="CDCDCD"/>
            </w:tcBorders>
            <w:shd w:val="clear" w:color="auto" w:fill="CCCCCC"/>
          </w:tcPr>
          <w:p w14:paraId="038A4E3B" w14:textId="77777777" w:rsidR="00E06EAA" w:rsidRDefault="00E06EAA" w:rsidP="001A5D4A">
            <w:pPr>
              <w:pStyle w:val="NotesTable-CellPlain"/>
            </w:pPr>
          </w:p>
        </w:tc>
        <w:tc>
          <w:tcPr>
            <w:tcW w:w="225" w:type="pct"/>
            <w:tcBorders>
              <w:top w:val="single" w:sz="4" w:space="0" w:color="auto"/>
              <w:bottom w:val="single" w:sz="8" w:space="0" w:color="CDCDCD"/>
            </w:tcBorders>
            <w:shd w:val="clear" w:color="auto" w:fill="CCCCCC"/>
          </w:tcPr>
          <w:p w14:paraId="038A4E3C" w14:textId="77777777" w:rsidR="00E06EAA" w:rsidRDefault="00E06EAA" w:rsidP="001A5D4A">
            <w:pPr>
              <w:pStyle w:val="NotesTable-CellBold"/>
            </w:pPr>
          </w:p>
        </w:tc>
        <w:tc>
          <w:tcPr>
            <w:tcW w:w="225" w:type="pct"/>
            <w:tcBorders>
              <w:top w:val="single" w:sz="4" w:space="0" w:color="auto"/>
              <w:bottom w:val="single" w:sz="8" w:space="0" w:color="CDCDCD"/>
              <w:right w:val="single" w:sz="8" w:space="0" w:color="CDCDCD"/>
            </w:tcBorders>
            <w:shd w:val="clear" w:color="auto" w:fill="CCCCCC"/>
          </w:tcPr>
          <w:p w14:paraId="038A4E3D" w14:textId="77777777" w:rsidR="00E06EAA" w:rsidRDefault="00E06EAA" w:rsidP="001A5D4A">
            <w:pPr>
              <w:pStyle w:val="NotesTable-CellPlain"/>
            </w:pPr>
          </w:p>
        </w:tc>
        <w:tc>
          <w:tcPr>
            <w:tcW w:w="225" w:type="pct"/>
            <w:tcBorders>
              <w:top w:val="single" w:sz="4" w:space="0" w:color="auto"/>
              <w:bottom w:val="single" w:sz="8" w:space="0" w:color="CDCDCD"/>
              <w:right w:val="single" w:sz="8" w:space="0" w:color="CDCDCD"/>
            </w:tcBorders>
            <w:shd w:val="clear" w:color="auto" w:fill="CCCCCC"/>
          </w:tcPr>
          <w:p w14:paraId="5803916A" w14:textId="77777777" w:rsidR="00E06EAA" w:rsidRDefault="00E06EAA" w:rsidP="001A5D4A">
            <w:pPr>
              <w:pStyle w:val="NotesTable-CellPlain"/>
            </w:pPr>
          </w:p>
        </w:tc>
        <w:tc>
          <w:tcPr>
            <w:tcW w:w="222" w:type="pct"/>
            <w:gridSpan w:val="2"/>
            <w:tcBorders>
              <w:top w:val="single" w:sz="4" w:space="0" w:color="auto"/>
              <w:bottom w:val="single" w:sz="8" w:space="0" w:color="CDCDCD"/>
              <w:right w:val="single" w:sz="8" w:space="0" w:color="CDCDCD"/>
            </w:tcBorders>
            <w:shd w:val="clear" w:color="auto" w:fill="CDCDCD"/>
          </w:tcPr>
          <w:p w14:paraId="26B38163" w14:textId="4FD275F1" w:rsidR="00E06EAA" w:rsidRDefault="00E06EAA" w:rsidP="001A5D4A">
            <w:pPr>
              <w:pStyle w:val="NotesTable-CellPlain"/>
            </w:pPr>
          </w:p>
        </w:tc>
      </w:tr>
    </w:tbl>
    <w:p w14:paraId="038A4E40" w14:textId="07BA7493" w:rsidR="00AD6BF4" w:rsidRPr="00183B19" w:rsidRDefault="00F65A01" w:rsidP="001A5D4A">
      <w:r w:rsidRPr="00183B19">
        <w:t>#</w:t>
      </w:r>
      <w:r w:rsidR="00CB7156" w:rsidRPr="00183B19">
        <w:t>3</w:t>
      </w:r>
      <w:r w:rsidR="002A430C" w:rsidRPr="00183B19">
        <w:t xml:space="preserve"> I</w:t>
      </w:r>
      <w:r w:rsidRPr="00183B19">
        <w:t>ncludes Collaboration and Structural Adjustment Program</w:t>
      </w:r>
    </w:p>
    <w:p w14:paraId="038A4E41" w14:textId="77777777" w:rsidR="00AD6BF4" w:rsidRPr="00183B19" w:rsidRDefault="00AD6BF4" w:rsidP="001A5D4A">
      <w:r w:rsidRPr="00183B19">
        <w:br w:type="page"/>
      </w:r>
    </w:p>
    <w:tbl>
      <w:tblPr>
        <w:tblW w:w="5000" w:type="pct"/>
        <w:tblLook w:val="0000" w:firstRow="0" w:lastRow="0" w:firstColumn="0" w:lastColumn="0" w:noHBand="0" w:noVBand="0"/>
      </w:tblPr>
      <w:tblGrid>
        <w:gridCol w:w="1634"/>
        <w:gridCol w:w="4611"/>
        <w:gridCol w:w="726"/>
        <w:gridCol w:w="873"/>
        <w:gridCol w:w="876"/>
        <w:gridCol w:w="308"/>
        <w:gridCol w:w="568"/>
        <w:gridCol w:w="870"/>
        <w:gridCol w:w="9"/>
        <w:gridCol w:w="876"/>
        <w:gridCol w:w="864"/>
        <w:gridCol w:w="13"/>
        <w:gridCol w:w="876"/>
        <w:gridCol w:w="857"/>
        <w:gridCol w:w="19"/>
        <w:gridCol w:w="876"/>
        <w:gridCol w:w="848"/>
      </w:tblGrid>
      <w:tr w:rsidR="00AA2125" w14:paraId="038A4E46" w14:textId="0ECE795A" w:rsidTr="00AA2125">
        <w:trPr>
          <w:cantSplit/>
          <w:trHeight w:val="180"/>
        </w:trPr>
        <w:tc>
          <w:tcPr>
            <w:tcW w:w="5000" w:type="pct"/>
            <w:gridSpan w:val="17"/>
            <w:tcBorders>
              <w:right w:val="single" w:sz="8" w:space="0" w:color="CDCDCD"/>
            </w:tcBorders>
          </w:tcPr>
          <w:p w14:paraId="221231B0" w14:textId="59C44203" w:rsidR="00AA2125" w:rsidRPr="004B7414" w:rsidRDefault="00AA2125" w:rsidP="004B7414">
            <w:pPr>
              <w:pStyle w:val="TOC3"/>
              <w:ind w:left="0"/>
            </w:pPr>
            <w:r>
              <w:lastRenderedPageBreak/>
              <w:t xml:space="preserve">Note 53. </w:t>
            </w:r>
            <w:r w:rsidRPr="006D022E">
              <w:t>Acquittal of Australian Government financial assistance (continued)</w:t>
            </w:r>
          </w:p>
        </w:tc>
      </w:tr>
      <w:tr w:rsidR="00271026" w14:paraId="038A4E4B" w14:textId="2F08E50F" w:rsidTr="00261A68">
        <w:trPr>
          <w:cantSplit/>
          <w:trHeight w:val="256"/>
        </w:trPr>
        <w:tc>
          <w:tcPr>
            <w:tcW w:w="520" w:type="pct"/>
            <w:tcBorders>
              <w:right w:val="single" w:sz="8" w:space="0" w:color="CDCDCD"/>
            </w:tcBorders>
          </w:tcPr>
          <w:p w14:paraId="6681A40E" w14:textId="77777777" w:rsidR="00AA2125" w:rsidRPr="00E47831" w:rsidRDefault="00AA2125" w:rsidP="00AA2125">
            <w:pPr>
              <w:pStyle w:val="Note-Refs"/>
            </w:pPr>
            <w:r w:rsidRPr="00EA48FB">
              <w:t>MANDATORY</w:t>
            </w:r>
          </w:p>
          <w:p w14:paraId="038A4E47" w14:textId="383C632E" w:rsidR="00271026" w:rsidRDefault="00AA2125" w:rsidP="001A5D4A">
            <w:pPr>
              <w:pStyle w:val="Note-Refs"/>
            </w:pPr>
            <w:r w:rsidRPr="00EA48FB">
              <w:t>EDUCATION</w:t>
            </w:r>
          </w:p>
        </w:tc>
        <w:tc>
          <w:tcPr>
            <w:tcW w:w="2354" w:type="pct"/>
            <w:gridSpan w:val="5"/>
            <w:tcBorders>
              <w:left w:val="single" w:sz="8" w:space="0" w:color="CDCDCD"/>
              <w:right w:val="single" w:sz="8" w:space="0" w:color="CDCDCD"/>
            </w:tcBorders>
            <w:shd w:val="clear" w:color="auto" w:fill="CCCCCC"/>
          </w:tcPr>
          <w:p w14:paraId="782BE9F0" w14:textId="0A4C5002" w:rsidR="00271026" w:rsidRDefault="00271026" w:rsidP="001A5D4A">
            <w:pPr>
              <w:pStyle w:val="NotesTable-AcquittalHeader"/>
            </w:pPr>
            <w:r>
              <w:t>53a Education – CGS and Other Education Grants (continued)</w:t>
            </w:r>
          </w:p>
        </w:tc>
        <w:tc>
          <w:tcPr>
            <w:tcW w:w="2126" w:type="pct"/>
            <w:gridSpan w:val="11"/>
            <w:tcBorders>
              <w:right w:val="single" w:sz="8" w:space="0" w:color="CDCDCD"/>
            </w:tcBorders>
            <w:shd w:val="clear" w:color="auto" w:fill="CCCCCC"/>
          </w:tcPr>
          <w:p w14:paraId="03484C2A" w14:textId="12862B60" w:rsidR="00271026" w:rsidRDefault="00271026" w:rsidP="001A5D4A">
            <w:pPr>
              <w:pStyle w:val="NotesTable-ItemBold"/>
            </w:pPr>
            <w:r>
              <w:t>Parent entity (HEP) ONLY</w:t>
            </w:r>
          </w:p>
        </w:tc>
      </w:tr>
      <w:tr w:rsidR="00271026" w14:paraId="4A8E944E" w14:textId="77777777" w:rsidTr="00261A68">
        <w:trPr>
          <w:cantSplit/>
          <w:trHeight w:val="256"/>
        </w:trPr>
        <w:tc>
          <w:tcPr>
            <w:tcW w:w="520" w:type="pct"/>
            <w:tcBorders>
              <w:right w:val="single" w:sz="8" w:space="0" w:color="CDCDCD"/>
            </w:tcBorders>
          </w:tcPr>
          <w:p w14:paraId="56675995" w14:textId="77777777" w:rsidR="00271026" w:rsidRDefault="00271026" w:rsidP="001A5D4A">
            <w:pPr>
              <w:pStyle w:val="Note-Refs"/>
            </w:pPr>
          </w:p>
        </w:tc>
        <w:tc>
          <w:tcPr>
            <w:tcW w:w="2354" w:type="pct"/>
            <w:gridSpan w:val="5"/>
            <w:tcBorders>
              <w:left w:val="single" w:sz="8" w:space="0" w:color="CDCDCD"/>
              <w:right w:val="single" w:sz="8" w:space="0" w:color="CDCDCD"/>
            </w:tcBorders>
            <w:shd w:val="clear" w:color="auto" w:fill="CCCCCC"/>
          </w:tcPr>
          <w:p w14:paraId="55E492ED" w14:textId="77777777" w:rsidR="00271026" w:rsidRDefault="00271026" w:rsidP="001A5D4A">
            <w:pPr>
              <w:pStyle w:val="NotesTable-AcquittalHeader"/>
            </w:pPr>
          </w:p>
        </w:tc>
        <w:tc>
          <w:tcPr>
            <w:tcW w:w="2126" w:type="pct"/>
            <w:gridSpan w:val="11"/>
            <w:tcBorders>
              <w:right w:val="single" w:sz="8" w:space="0" w:color="CDCDCD"/>
            </w:tcBorders>
            <w:shd w:val="clear" w:color="auto" w:fill="CCCCCC"/>
          </w:tcPr>
          <w:p w14:paraId="3CE57A38" w14:textId="77777777" w:rsidR="00271026" w:rsidRDefault="00271026" w:rsidP="001A5D4A">
            <w:pPr>
              <w:pStyle w:val="NotesTable-HeadBold"/>
            </w:pPr>
          </w:p>
        </w:tc>
      </w:tr>
      <w:tr w:rsidR="00E06EAA" w14:paraId="038A4E52" w14:textId="079EA753" w:rsidTr="00AA2125">
        <w:trPr>
          <w:cantSplit/>
          <w:trHeight w:val="256"/>
        </w:trPr>
        <w:tc>
          <w:tcPr>
            <w:tcW w:w="520" w:type="pct"/>
            <w:tcBorders>
              <w:right w:val="single" w:sz="8" w:space="0" w:color="CDCDCD"/>
            </w:tcBorders>
          </w:tcPr>
          <w:p w14:paraId="038A4E4C" w14:textId="77777777" w:rsidR="00E06EAA" w:rsidRDefault="00E06EAA" w:rsidP="001A5D4A">
            <w:pPr>
              <w:pStyle w:val="Note-Refs"/>
            </w:pPr>
          </w:p>
        </w:tc>
        <w:tc>
          <w:tcPr>
            <w:tcW w:w="1699" w:type="pct"/>
            <w:gridSpan w:val="2"/>
            <w:tcBorders>
              <w:left w:val="single" w:sz="8" w:space="0" w:color="CDCDCD"/>
            </w:tcBorders>
            <w:shd w:val="clear" w:color="auto" w:fill="CCCCCC"/>
          </w:tcPr>
          <w:p w14:paraId="038A4E4D" w14:textId="77777777" w:rsidR="00E06EAA" w:rsidRDefault="00E06EAA" w:rsidP="001A5D4A">
            <w:pPr>
              <w:pStyle w:val="NotesTable-ItemPlain"/>
            </w:pPr>
          </w:p>
        </w:tc>
        <w:tc>
          <w:tcPr>
            <w:tcW w:w="557" w:type="pct"/>
            <w:gridSpan w:val="2"/>
            <w:shd w:val="clear" w:color="auto" w:fill="CCCCCC"/>
          </w:tcPr>
          <w:p w14:paraId="038A4E4E" w14:textId="2C49B17A" w:rsidR="00E06EAA" w:rsidRDefault="00E06EAA" w:rsidP="001A5D4A">
            <w:pPr>
              <w:pStyle w:val="NotesTable-HeadPlain"/>
            </w:pPr>
            <w:r>
              <w:t>Reward Funding</w:t>
            </w:r>
          </w:p>
        </w:tc>
        <w:tc>
          <w:tcPr>
            <w:tcW w:w="556" w:type="pct"/>
            <w:gridSpan w:val="3"/>
            <w:shd w:val="clear" w:color="auto" w:fill="CCCCCC"/>
          </w:tcPr>
          <w:p w14:paraId="038A4E4F" w14:textId="222A63C6" w:rsidR="00E06EAA" w:rsidRDefault="00E06EAA" w:rsidP="001A5D4A">
            <w:pPr>
              <w:pStyle w:val="NotesTable-HeadPlain"/>
            </w:pPr>
            <w:r>
              <w:t>Australian Maths &amp; Science Partnership Program</w:t>
            </w:r>
          </w:p>
        </w:tc>
        <w:tc>
          <w:tcPr>
            <w:tcW w:w="557" w:type="pct"/>
            <w:gridSpan w:val="3"/>
            <w:shd w:val="clear" w:color="auto" w:fill="CCCCCC"/>
          </w:tcPr>
          <w:p w14:paraId="038A4E50" w14:textId="4F425D39" w:rsidR="00E06EAA" w:rsidRDefault="00E06EAA" w:rsidP="001A5D4A">
            <w:pPr>
              <w:pStyle w:val="NotesTable-HeadPlain"/>
            </w:pPr>
            <w:r>
              <w:t>Improving the Quality of Ma</w:t>
            </w:r>
            <w:r w:rsidR="00BA4F38">
              <w:t>ths &amp; Science Teaching Program</w:t>
            </w:r>
            <w:r>
              <w:t xml:space="preserve"> </w:t>
            </w:r>
          </w:p>
        </w:tc>
        <w:tc>
          <w:tcPr>
            <w:tcW w:w="556" w:type="pct"/>
            <w:gridSpan w:val="3"/>
            <w:tcBorders>
              <w:right w:val="single" w:sz="8" w:space="0" w:color="CDCDCD"/>
            </w:tcBorders>
            <w:shd w:val="clear" w:color="auto" w:fill="CCCCCC"/>
          </w:tcPr>
          <w:p w14:paraId="038A4E51" w14:textId="3FFF39AF" w:rsidR="00E06EAA" w:rsidRDefault="00E06EAA" w:rsidP="001A5D4A">
            <w:pPr>
              <w:pStyle w:val="NotesTable-HeadPlain"/>
            </w:pPr>
            <w:r>
              <w:t>Other</w:t>
            </w:r>
            <w:r w:rsidDel="00E06EAA">
              <w:t xml:space="preserve"> </w:t>
            </w:r>
          </w:p>
        </w:tc>
        <w:tc>
          <w:tcPr>
            <w:tcW w:w="555" w:type="pct"/>
            <w:gridSpan w:val="3"/>
            <w:tcBorders>
              <w:right w:val="single" w:sz="8" w:space="0" w:color="CDCDCD"/>
            </w:tcBorders>
            <w:shd w:val="clear" w:color="auto" w:fill="CCCCCC"/>
          </w:tcPr>
          <w:p w14:paraId="6C85DA3E" w14:textId="7137AEE8" w:rsidR="00E06EAA" w:rsidRDefault="00E06EAA" w:rsidP="001A5D4A">
            <w:pPr>
              <w:pStyle w:val="NotesTable-HeadPlain"/>
            </w:pPr>
            <w:r>
              <w:t>Total</w:t>
            </w:r>
          </w:p>
        </w:tc>
      </w:tr>
      <w:tr w:rsidR="00E06EAA" w14:paraId="038A4E5E" w14:textId="66126B1B" w:rsidTr="00AA2125">
        <w:trPr>
          <w:cantSplit/>
          <w:trHeight w:val="225"/>
        </w:trPr>
        <w:tc>
          <w:tcPr>
            <w:tcW w:w="520" w:type="pct"/>
            <w:tcBorders>
              <w:right w:val="single" w:sz="8" w:space="0" w:color="CDCDCD"/>
            </w:tcBorders>
          </w:tcPr>
          <w:p w14:paraId="038A4E53" w14:textId="77777777" w:rsidR="00E06EAA" w:rsidRDefault="00E06EAA" w:rsidP="001A5D4A">
            <w:pPr>
              <w:pStyle w:val="Note-Refs"/>
            </w:pPr>
          </w:p>
        </w:tc>
        <w:tc>
          <w:tcPr>
            <w:tcW w:w="1468" w:type="pct"/>
            <w:tcBorders>
              <w:left w:val="single" w:sz="8" w:space="0" w:color="CDCDCD"/>
            </w:tcBorders>
            <w:shd w:val="clear" w:color="auto" w:fill="CCCCCC"/>
          </w:tcPr>
          <w:p w14:paraId="038A4E54" w14:textId="77777777" w:rsidR="00E06EAA" w:rsidRDefault="00E06EAA" w:rsidP="001A5D4A">
            <w:pPr>
              <w:pStyle w:val="NotesTable-ItemPlain"/>
            </w:pPr>
          </w:p>
        </w:tc>
        <w:tc>
          <w:tcPr>
            <w:tcW w:w="231" w:type="pct"/>
            <w:shd w:val="clear" w:color="auto" w:fill="CCCCCC"/>
          </w:tcPr>
          <w:p w14:paraId="038A4E55" w14:textId="77777777" w:rsidR="00E06EAA" w:rsidRDefault="00E06EAA" w:rsidP="001A5D4A">
            <w:pPr>
              <w:pStyle w:val="NotesTable-Notes"/>
            </w:pPr>
            <w:r>
              <w:t>Notes</w:t>
            </w:r>
          </w:p>
        </w:tc>
        <w:tc>
          <w:tcPr>
            <w:tcW w:w="278" w:type="pct"/>
            <w:shd w:val="clear" w:color="auto" w:fill="CCCCCC"/>
          </w:tcPr>
          <w:p w14:paraId="038A4E56" w14:textId="5750A251" w:rsidR="00E06EAA" w:rsidRDefault="00E06EAA" w:rsidP="001A5D4A">
            <w:pPr>
              <w:pStyle w:val="NotesTable-HeadBold"/>
            </w:pPr>
            <w:r>
              <w:t>2014</w:t>
            </w:r>
          </w:p>
        </w:tc>
        <w:tc>
          <w:tcPr>
            <w:tcW w:w="279" w:type="pct"/>
            <w:shd w:val="clear" w:color="auto" w:fill="CCCCCC"/>
          </w:tcPr>
          <w:p w14:paraId="038A4E57" w14:textId="4B6FD804" w:rsidR="00E06EAA" w:rsidRDefault="00E06EAA" w:rsidP="001A5D4A">
            <w:pPr>
              <w:pStyle w:val="NotesTable-HeadPlain"/>
            </w:pPr>
            <w:r>
              <w:t>2013</w:t>
            </w:r>
          </w:p>
        </w:tc>
        <w:tc>
          <w:tcPr>
            <w:tcW w:w="279" w:type="pct"/>
            <w:gridSpan w:val="2"/>
            <w:shd w:val="clear" w:color="auto" w:fill="CCCCCC"/>
          </w:tcPr>
          <w:p w14:paraId="038A4E58" w14:textId="1CBEDC16" w:rsidR="00E06EAA" w:rsidRDefault="00E06EAA" w:rsidP="001A5D4A">
            <w:pPr>
              <w:pStyle w:val="NotesTable-HeadBold"/>
            </w:pPr>
            <w:r>
              <w:t>2014</w:t>
            </w:r>
          </w:p>
        </w:tc>
        <w:tc>
          <w:tcPr>
            <w:tcW w:w="280" w:type="pct"/>
            <w:gridSpan w:val="2"/>
            <w:shd w:val="clear" w:color="auto" w:fill="CCCCCC"/>
          </w:tcPr>
          <w:p w14:paraId="038A4E59" w14:textId="610DE82B" w:rsidR="00E06EAA" w:rsidRDefault="00E06EAA" w:rsidP="001A5D4A">
            <w:pPr>
              <w:pStyle w:val="NotesTable-HeadPlain"/>
            </w:pPr>
            <w:r>
              <w:t>2013</w:t>
            </w:r>
          </w:p>
        </w:tc>
        <w:tc>
          <w:tcPr>
            <w:tcW w:w="279" w:type="pct"/>
            <w:shd w:val="clear" w:color="auto" w:fill="CCCCCC"/>
          </w:tcPr>
          <w:p w14:paraId="038A4E5A" w14:textId="6D90B1F4" w:rsidR="00E06EAA" w:rsidRDefault="00E06EAA" w:rsidP="001A5D4A">
            <w:pPr>
              <w:pStyle w:val="NotesTable-HeadBold"/>
            </w:pPr>
            <w:r>
              <w:t>2014</w:t>
            </w:r>
          </w:p>
        </w:tc>
        <w:tc>
          <w:tcPr>
            <w:tcW w:w="279" w:type="pct"/>
            <w:gridSpan w:val="2"/>
            <w:shd w:val="clear" w:color="auto" w:fill="CCCCCC"/>
          </w:tcPr>
          <w:p w14:paraId="038A4E5B" w14:textId="6307D2E7" w:rsidR="00E06EAA" w:rsidRDefault="00E06EAA" w:rsidP="001A5D4A">
            <w:pPr>
              <w:pStyle w:val="NotesTable-HeadPlain"/>
            </w:pPr>
            <w:r>
              <w:t>2013</w:t>
            </w:r>
          </w:p>
        </w:tc>
        <w:tc>
          <w:tcPr>
            <w:tcW w:w="279" w:type="pct"/>
            <w:shd w:val="clear" w:color="auto" w:fill="CCCCCC"/>
          </w:tcPr>
          <w:p w14:paraId="038A4E5C" w14:textId="3E32CC19" w:rsidR="00E06EAA" w:rsidRDefault="00E06EAA" w:rsidP="001A5D4A">
            <w:pPr>
              <w:pStyle w:val="NotesTable-HeadBold"/>
            </w:pPr>
            <w:r>
              <w:t>2014</w:t>
            </w:r>
          </w:p>
        </w:tc>
        <w:tc>
          <w:tcPr>
            <w:tcW w:w="279" w:type="pct"/>
            <w:gridSpan w:val="2"/>
            <w:tcBorders>
              <w:right w:val="single" w:sz="8" w:space="0" w:color="CDCDCD"/>
            </w:tcBorders>
            <w:shd w:val="clear" w:color="auto" w:fill="CCCCCC"/>
          </w:tcPr>
          <w:p w14:paraId="038A4E5D" w14:textId="3DCCAF4D" w:rsidR="00E06EAA" w:rsidRDefault="00E06EAA" w:rsidP="001A5D4A">
            <w:pPr>
              <w:pStyle w:val="NotesTable-HeadPlain"/>
            </w:pPr>
            <w:r>
              <w:t>2013</w:t>
            </w:r>
          </w:p>
        </w:tc>
        <w:tc>
          <w:tcPr>
            <w:tcW w:w="279" w:type="pct"/>
            <w:tcBorders>
              <w:right w:val="single" w:sz="8" w:space="0" w:color="CDCDCD"/>
            </w:tcBorders>
            <w:shd w:val="clear" w:color="auto" w:fill="CCCCCC"/>
          </w:tcPr>
          <w:p w14:paraId="0C743528" w14:textId="71313A6C" w:rsidR="00E06EAA" w:rsidRDefault="00E06EAA" w:rsidP="001A5D4A">
            <w:pPr>
              <w:pStyle w:val="NotesTable-HeadBold"/>
            </w:pPr>
            <w:r>
              <w:t>2014</w:t>
            </w:r>
          </w:p>
        </w:tc>
        <w:tc>
          <w:tcPr>
            <w:tcW w:w="270" w:type="pct"/>
            <w:tcBorders>
              <w:right w:val="single" w:sz="8" w:space="0" w:color="CDCDCD"/>
            </w:tcBorders>
            <w:shd w:val="clear" w:color="auto" w:fill="CDCDCD"/>
          </w:tcPr>
          <w:p w14:paraId="6BA3DF9F" w14:textId="089B4231" w:rsidR="00E06EAA" w:rsidRDefault="00E06EAA" w:rsidP="001A5D4A">
            <w:pPr>
              <w:pStyle w:val="NotesTable-HeadPlain"/>
            </w:pPr>
            <w:r>
              <w:t>2013</w:t>
            </w:r>
          </w:p>
        </w:tc>
      </w:tr>
      <w:tr w:rsidR="00E06EAA" w14:paraId="038A4E6A" w14:textId="08C6B76C" w:rsidTr="00AA2125">
        <w:trPr>
          <w:cantSplit/>
          <w:trHeight w:val="225"/>
        </w:trPr>
        <w:tc>
          <w:tcPr>
            <w:tcW w:w="520" w:type="pct"/>
            <w:tcBorders>
              <w:right w:val="single" w:sz="8" w:space="0" w:color="CDCDCD"/>
            </w:tcBorders>
          </w:tcPr>
          <w:p w14:paraId="038A4E5F" w14:textId="77777777" w:rsidR="00E06EAA" w:rsidRDefault="00E06EAA" w:rsidP="001A5D4A">
            <w:pPr>
              <w:pStyle w:val="Note-Refs"/>
            </w:pPr>
          </w:p>
        </w:tc>
        <w:tc>
          <w:tcPr>
            <w:tcW w:w="1468" w:type="pct"/>
            <w:tcBorders>
              <w:left w:val="single" w:sz="8" w:space="0" w:color="CDCDCD"/>
            </w:tcBorders>
            <w:shd w:val="clear" w:color="auto" w:fill="CCCCCC"/>
          </w:tcPr>
          <w:p w14:paraId="038A4E60" w14:textId="77777777" w:rsidR="00E06EAA" w:rsidRDefault="00E06EAA" w:rsidP="001A5D4A">
            <w:pPr>
              <w:pStyle w:val="NotesTable-ItemPlain"/>
            </w:pPr>
          </w:p>
        </w:tc>
        <w:tc>
          <w:tcPr>
            <w:tcW w:w="231" w:type="pct"/>
            <w:shd w:val="clear" w:color="auto" w:fill="CCCCCC"/>
          </w:tcPr>
          <w:p w14:paraId="038A4E61" w14:textId="77777777" w:rsidR="00E06EAA" w:rsidRDefault="00E06EAA" w:rsidP="001A5D4A">
            <w:pPr>
              <w:pStyle w:val="NotesTable-Notes"/>
            </w:pPr>
          </w:p>
        </w:tc>
        <w:tc>
          <w:tcPr>
            <w:tcW w:w="278" w:type="pct"/>
            <w:shd w:val="clear" w:color="auto" w:fill="CCCCCC"/>
          </w:tcPr>
          <w:p w14:paraId="038A4E62" w14:textId="77777777" w:rsidR="00E06EAA" w:rsidRDefault="00E06EAA" w:rsidP="001A5D4A">
            <w:pPr>
              <w:pStyle w:val="NotesTable-HeadBold"/>
            </w:pPr>
            <w:r>
              <w:t>$’000</w:t>
            </w:r>
          </w:p>
        </w:tc>
        <w:tc>
          <w:tcPr>
            <w:tcW w:w="279" w:type="pct"/>
            <w:shd w:val="clear" w:color="auto" w:fill="CCCCCC"/>
          </w:tcPr>
          <w:p w14:paraId="038A4E63" w14:textId="77777777" w:rsidR="00E06EAA" w:rsidRDefault="00E06EAA" w:rsidP="001A5D4A">
            <w:pPr>
              <w:pStyle w:val="NotesTable-HeadPlain"/>
            </w:pPr>
            <w:r>
              <w:t>$’000</w:t>
            </w:r>
          </w:p>
        </w:tc>
        <w:tc>
          <w:tcPr>
            <w:tcW w:w="279" w:type="pct"/>
            <w:gridSpan w:val="2"/>
            <w:shd w:val="clear" w:color="auto" w:fill="CCCCCC"/>
          </w:tcPr>
          <w:p w14:paraId="038A4E64" w14:textId="77777777" w:rsidR="00E06EAA" w:rsidRDefault="00E06EAA" w:rsidP="001A5D4A">
            <w:pPr>
              <w:pStyle w:val="NotesTable-HeadBold"/>
            </w:pPr>
            <w:r>
              <w:t>$’000</w:t>
            </w:r>
          </w:p>
        </w:tc>
        <w:tc>
          <w:tcPr>
            <w:tcW w:w="280" w:type="pct"/>
            <w:gridSpan w:val="2"/>
            <w:shd w:val="clear" w:color="auto" w:fill="CCCCCC"/>
          </w:tcPr>
          <w:p w14:paraId="038A4E65" w14:textId="77777777" w:rsidR="00E06EAA" w:rsidRDefault="00E06EAA" w:rsidP="001A5D4A">
            <w:pPr>
              <w:pStyle w:val="NotesTable-HeadPlain"/>
            </w:pPr>
            <w:r>
              <w:t>$’000</w:t>
            </w:r>
          </w:p>
        </w:tc>
        <w:tc>
          <w:tcPr>
            <w:tcW w:w="279" w:type="pct"/>
            <w:shd w:val="clear" w:color="auto" w:fill="CCCCCC"/>
          </w:tcPr>
          <w:p w14:paraId="038A4E66" w14:textId="77777777" w:rsidR="00E06EAA" w:rsidRDefault="00E06EAA" w:rsidP="001A5D4A">
            <w:pPr>
              <w:pStyle w:val="NotesTable-HeadBold"/>
            </w:pPr>
            <w:r>
              <w:t>$’000</w:t>
            </w:r>
          </w:p>
        </w:tc>
        <w:tc>
          <w:tcPr>
            <w:tcW w:w="279" w:type="pct"/>
            <w:gridSpan w:val="2"/>
            <w:shd w:val="clear" w:color="auto" w:fill="CCCCCC"/>
          </w:tcPr>
          <w:p w14:paraId="038A4E67" w14:textId="77777777" w:rsidR="00E06EAA" w:rsidRDefault="00E06EAA" w:rsidP="001A5D4A">
            <w:pPr>
              <w:pStyle w:val="NotesTable-HeadPlain"/>
            </w:pPr>
            <w:r>
              <w:t>$’000</w:t>
            </w:r>
          </w:p>
        </w:tc>
        <w:tc>
          <w:tcPr>
            <w:tcW w:w="279" w:type="pct"/>
            <w:shd w:val="clear" w:color="auto" w:fill="CCCCCC"/>
          </w:tcPr>
          <w:p w14:paraId="038A4E68" w14:textId="77777777" w:rsidR="00E06EAA" w:rsidRDefault="00E06EAA" w:rsidP="001A5D4A">
            <w:pPr>
              <w:pStyle w:val="NotesTable-HeadBold"/>
            </w:pPr>
            <w:r>
              <w:t>$’000</w:t>
            </w:r>
          </w:p>
        </w:tc>
        <w:tc>
          <w:tcPr>
            <w:tcW w:w="279" w:type="pct"/>
            <w:gridSpan w:val="2"/>
            <w:tcBorders>
              <w:right w:val="single" w:sz="8" w:space="0" w:color="CDCDCD"/>
            </w:tcBorders>
            <w:shd w:val="clear" w:color="auto" w:fill="CCCCCC"/>
          </w:tcPr>
          <w:p w14:paraId="038A4E69" w14:textId="77777777" w:rsidR="00E06EAA" w:rsidRDefault="00E06EAA" w:rsidP="001A5D4A">
            <w:pPr>
              <w:pStyle w:val="NotesTable-HeadPlain"/>
            </w:pPr>
            <w:r>
              <w:t>$’000</w:t>
            </w:r>
          </w:p>
        </w:tc>
        <w:tc>
          <w:tcPr>
            <w:tcW w:w="279" w:type="pct"/>
            <w:tcBorders>
              <w:right w:val="single" w:sz="8" w:space="0" w:color="CDCDCD"/>
            </w:tcBorders>
            <w:shd w:val="clear" w:color="auto" w:fill="CCCCCC"/>
          </w:tcPr>
          <w:p w14:paraId="515B4ABC" w14:textId="4746F624" w:rsidR="00E06EAA" w:rsidRDefault="00E06EAA" w:rsidP="001A5D4A">
            <w:pPr>
              <w:pStyle w:val="NotesTable-HeadBold"/>
            </w:pPr>
            <w:r>
              <w:t>$’000</w:t>
            </w:r>
          </w:p>
        </w:tc>
        <w:tc>
          <w:tcPr>
            <w:tcW w:w="270" w:type="pct"/>
            <w:tcBorders>
              <w:right w:val="single" w:sz="8" w:space="0" w:color="CDCDCD"/>
            </w:tcBorders>
            <w:shd w:val="clear" w:color="auto" w:fill="CDCDCD"/>
          </w:tcPr>
          <w:p w14:paraId="4A7769D9" w14:textId="085DA098" w:rsidR="00E06EAA" w:rsidRDefault="00E06EAA" w:rsidP="001A5D4A">
            <w:pPr>
              <w:pStyle w:val="NotesTable-HeadPlain"/>
            </w:pPr>
            <w:r>
              <w:t>$’000</w:t>
            </w:r>
          </w:p>
        </w:tc>
      </w:tr>
      <w:tr w:rsidR="00E06EAA" w14:paraId="038A4E76" w14:textId="62248BD6" w:rsidTr="00AA2125">
        <w:trPr>
          <w:cantSplit/>
          <w:trHeight w:val="255"/>
        </w:trPr>
        <w:tc>
          <w:tcPr>
            <w:tcW w:w="520" w:type="pct"/>
            <w:tcBorders>
              <w:right w:val="single" w:sz="8" w:space="0" w:color="CDCDCD"/>
            </w:tcBorders>
          </w:tcPr>
          <w:p w14:paraId="038A4E6B" w14:textId="77777777" w:rsidR="00E06EAA" w:rsidRDefault="00E06EAA" w:rsidP="001A5D4A">
            <w:pPr>
              <w:pStyle w:val="Note-Refs"/>
            </w:pPr>
            <w:r>
              <w:t>A</w:t>
            </w:r>
          </w:p>
        </w:tc>
        <w:tc>
          <w:tcPr>
            <w:tcW w:w="1468" w:type="pct"/>
            <w:tcBorders>
              <w:left w:val="single" w:sz="8" w:space="0" w:color="CDCDCD"/>
            </w:tcBorders>
            <w:shd w:val="clear" w:color="auto" w:fill="CCCCCC"/>
          </w:tcPr>
          <w:p w14:paraId="038A4E6C" w14:textId="77777777" w:rsidR="00E06EAA" w:rsidRDefault="00E06EAA" w:rsidP="001A5D4A">
            <w:pPr>
              <w:pStyle w:val="NotesTable-ItemPlain"/>
              <w:rPr>
                <w:b/>
              </w:rPr>
            </w:pPr>
            <w:r>
              <w:t>Financial assistance received in CASH during the reporting period (total cash received from the Australian Government for the program)</w:t>
            </w:r>
          </w:p>
        </w:tc>
        <w:tc>
          <w:tcPr>
            <w:tcW w:w="231" w:type="pct"/>
            <w:shd w:val="clear" w:color="auto" w:fill="CCCCCC"/>
          </w:tcPr>
          <w:p w14:paraId="038A4E6D" w14:textId="77777777" w:rsidR="00E06EAA" w:rsidRDefault="00E06EAA" w:rsidP="001A5D4A">
            <w:pPr>
              <w:pStyle w:val="NotesTable-Notes"/>
            </w:pPr>
          </w:p>
        </w:tc>
        <w:tc>
          <w:tcPr>
            <w:tcW w:w="278" w:type="pct"/>
            <w:shd w:val="clear" w:color="auto" w:fill="CCCCCC"/>
            <w:vAlign w:val="bottom"/>
          </w:tcPr>
          <w:p w14:paraId="038A4E6E" w14:textId="77777777" w:rsidR="00E06EAA" w:rsidRDefault="00E06EAA" w:rsidP="001A5D4A">
            <w:pPr>
              <w:pStyle w:val="NotesTable-CellBold"/>
            </w:pPr>
            <w:r>
              <w:t>–</w:t>
            </w:r>
          </w:p>
        </w:tc>
        <w:tc>
          <w:tcPr>
            <w:tcW w:w="279" w:type="pct"/>
            <w:shd w:val="clear" w:color="auto" w:fill="CCCCCC"/>
            <w:vAlign w:val="bottom"/>
          </w:tcPr>
          <w:p w14:paraId="038A4E6F" w14:textId="77777777" w:rsidR="00E06EAA" w:rsidRDefault="00E06EAA" w:rsidP="001A5D4A">
            <w:pPr>
              <w:pStyle w:val="NotesTable-CellPlain"/>
            </w:pPr>
            <w:r>
              <w:t>–</w:t>
            </w:r>
          </w:p>
        </w:tc>
        <w:tc>
          <w:tcPr>
            <w:tcW w:w="279" w:type="pct"/>
            <w:gridSpan w:val="2"/>
            <w:shd w:val="clear" w:color="auto" w:fill="CCCCCC"/>
            <w:vAlign w:val="bottom"/>
          </w:tcPr>
          <w:p w14:paraId="038A4E70" w14:textId="77777777" w:rsidR="00E06EAA" w:rsidRDefault="00E06EAA" w:rsidP="001A5D4A">
            <w:pPr>
              <w:pStyle w:val="NotesTable-CellBold"/>
            </w:pPr>
            <w:r>
              <w:t>–</w:t>
            </w:r>
          </w:p>
        </w:tc>
        <w:tc>
          <w:tcPr>
            <w:tcW w:w="280" w:type="pct"/>
            <w:gridSpan w:val="2"/>
            <w:shd w:val="clear" w:color="auto" w:fill="CCCCCC"/>
            <w:vAlign w:val="bottom"/>
          </w:tcPr>
          <w:p w14:paraId="038A4E71" w14:textId="77777777" w:rsidR="00E06EAA" w:rsidRDefault="00E06EAA" w:rsidP="001A5D4A">
            <w:pPr>
              <w:pStyle w:val="NotesTable-CellPlain"/>
            </w:pPr>
            <w:r>
              <w:t>–</w:t>
            </w:r>
          </w:p>
        </w:tc>
        <w:tc>
          <w:tcPr>
            <w:tcW w:w="279" w:type="pct"/>
            <w:shd w:val="clear" w:color="auto" w:fill="CCCCCC"/>
            <w:vAlign w:val="bottom"/>
          </w:tcPr>
          <w:p w14:paraId="038A4E72" w14:textId="77777777" w:rsidR="00E06EAA" w:rsidRDefault="00E06EAA" w:rsidP="001A5D4A">
            <w:pPr>
              <w:pStyle w:val="NotesTable-CellBold"/>
            </w:pPr>
            <w:r>
              <w:t>–</w:t>
            </w:r>
          </w:p>
        </w:tc>
        <w:tc>
          <w:tcPr>
            <w:tcW w:w="279" w:type="pct"/>
            <w:gridSpan w:val="2"/>
            <w:shd w:val="clear" w:color="auto" w:fill="CCCCCC"/>
            <w:vAlign w:val="bottom"/>
          </w:tcPr>
          <w:p w14:paraId="038A4E73" w14:textId="77777777" w:rsidR="00E06EAA" w:rsidRDefault="00E06EAA" w:rsidP="001A5D4A">
            <w:pPr>
              <w:pStyle w:val="NotesTable-CellPlain"/>
            </w:pPr>
            <w:r>
              <w:t>–</w:t>
            </w:r>
          </w:p>
        </w:tc>
        <w:tc>
          <w:tcPr>
            <w:tcW w:w="279" w:type="pct"/>
            <w:shd w:val="clear" w:color="auto" w:fill="CCCCCC"/>
            <w:vAlign w:val="bottom"/>
          </w:tcPr>
          <w:p w14:paraId="038A4E74" w14:textId="77777777" w:rsidR="00E06EAA" w:rsidRDefault="00E06EAA" w:rsidP="001A5D4A">
            <w:pPr>
              <w:pStyle w:val="NotesTable-CellBold"/>
            </w:pPr>
            <w:r>
              <w:t>–</w:t>
            </w:r>
          </w:p>
        </w:tc>
        <w:tc>
          <w:tcPr>
            <w:tcW w:w="279" w:type="pct"/>
            <w:gridSpan w:val="2"/>
            <w:tcBorders>
              <w:right w:val="single" w:sz="8" w:space="0" w:color="CDCDCD"/>
            </w:tcBorders>
            <w:shd w:val="clear" w:color="auto" w:fill="CCCCCC"/>
            <w:vAlign w:val="bottom"/>
          </w:tcPr>
          <w:p w14:paraId="038A4E75" w14:textId="77777777" w:rsidR="00E06EAA" w:rsidRDefault="00E06EAA" w:rsidP="001A5D4A">
            <w:pPr>
              <w:pStyle w:val="NotesTable-CellPlain"/>
            </w:pPr>
            <w:r>
              <w:t>–</w:t>
            </w:r>
          </w:p>
        </w:tc>
        <w:tc>
          <w:tcPr>
            <w:tcW w:w="279" w:type="pct"/>
            <w:tcBorders>
              <w:right w:val="single" w:sz="8" w:space="0" w:color="CDCDCD"/>
            </w:tcBorders>
            <w:shd w:val="clear" w:color="auto" w:fill="CCCCCC"/>
            <w:vAlign w:val="bottom"/>
          </w:tcPr>
          <w:p w14:paraId="0C0E041F" w14:textId="0AE68EB6" w:rsidR="00E06EAA" w:rsidRDefault="00E06EAA" w:rsidP="001A5D4A">
            <w:pPr>
              <w:pStyle w:val="NotesTable-CellPlain"/>
            </w:pPr>
            <w:r>
              <w:t>–</w:t>
            </w:r>
          </w:p>
        </w:tc>
        <w:tc>
          <w:tcPr>
            <w:tcW w:w="270" w:type="pct"/>
            <w:tcBorders>
              <w:right w:val="single" w:sz="8" w:space="0" w:color="CDCDCD"/>
            </w:tcBorders>
            <w:shd w:val="clear" w:color="auto" w:fill="CDCDCD"/>
            <w:vAlign w:val="bottom"/>
          </w:tcPr>
          <w:p w14:paraId="2F158110" w14:textId="49FD8507" w:rsidR="00E06EAA" w:rsidRDefault="00E06EAA" w:rsidP="001A5D4A">
            <w:pPr>
              <w:pStyle w:val="NotesTable-CellPlain"/>
            </w:pPr>
            <w:r>
              <w:t>–</w:t>
            </w:r>
          </w:p>
        </w:tc>
      </w:tr>
      <w:tr w:rsidR="00E06EAA" w14:paraId="038A4E82" w14:textId="67050100" w:rsidTr="00AA2125">
        <w:trPr>
          <w:cantSplit/>
          <w:trHeight w:val="225"/>
        </w:trPr>
        <w:tc>
          <w:tcPr>
            <w:tcW w:w="520" w:type="pct"/>
            <w:tcBorders>
              <w:right w:val="single" w:sz="8" w:space="0" w:color="CDCDCD"/>
            </w:tcBorders>
          </w:tcPr>
          <w:p w14:paraId="038A4E77" w14:textId="77777777" w:rsidR="00E06EAA" w:rsidRDefault="00E06EAA" w:rsidP="001A5D4A">
            <w:pPr>
              <w:pStyle w:val="Note-Refs"/>
            </w:pPr>
            <w:r>
              <w:t>B</w:t>
            </w:r>
          </w:p>
        </w:tc>
        <w:tc>
          <w:tcPr>
            <w:tcW w:w="1468" w:type="pct"/>
            <w:tcBorders>
              <w:left w:val="single" w:sz="8" w:space="0" w:color="CDCDCD"/>
            </w:tcBorders>
            <w:shd w:val="clear" w:color="auto" w:fill="CCCCCC"/>
          </w:tcPr>
          <w:p w14:paraId="038A4E78" w14:textId="77777777" w:rsidR="00E06EAA" w:rsidRDefault="00E06EAA" w:rsidP="001A5D4A">
            <w:pPr>
              <w:pStyle w:val="NotesTable-ItemPlain"/>
              <w:rPr>
                <w:b/>
              </w:rPr>
            </w:pPr>
            <w:r>
              <w:t>Net accrual adjustments</w:t>
            </w:r>
          </w:p>
        </w:tc>
        <w:tc>
          <w:tcPr>
            <w:tcW w:w="231" w:type="pct"/>
            <w:shd w:val="clear" w:color="auto" w:fill="CCCCCC"/>
          </w:tcPr>
          <w:p w14:paraId="038A4E79" w14:textId="77777777" w:rsidR="00E06EAA" w:rsidRDefault="00E06EAA" w:rsidP="001A5D4A">
            <w:pPr>
              <w:pStyle w:val="NotesTable-Notes"/>
            </w:pPr>
          </w:p>
        </w:tc>
        <w:tc>
          <w:tcPr>
            <w:tcW w:w="278" w:type="pct"/>
            <w:tcBorders>
              <w:bottom w:val="single" w:sz="4" w:space="0" w:color="000000"/>
            </w:tcBorders>
            <w:shd w:val="clear" w:color="auto" w:fill="CCCCCC"/>
          </w:tcPr>
          <w:p w14:paraId="038A4E7A" w14:textId="77777777" w:rsidR="00E06EAA" w:rsidRDefault="00E06EAA" w:rsidP="001A5D4A">
            <w:pPr>
              <w:pStyle w:val="NotesTable-CellBold"/>
            </w:pPr>
            <w:r>
              <w:t>–</w:t>
            </w:r>
          </w:p>
        </w:tc>
        <w:tc>
          <w:tcPr>
            <w:tcW w:w="279" w:type="pct"/>
            <w:tcBorders>
              <w:bottom w:val="single" w:sz="4" w:space="0" w:color="000000"/>
            </w:tcBorders>
            <w:shd w:val="clear" w:color="auto" w:fill="CCCCCC"/>
          </w:tcPr>
          <w:p w14:paraId="038A4E7B" w14:textId="77777777" w:rsidR="00E06EAA" w:rsidRDefault="00E06EAA" w:rsidP="001A5D4A">
            <w:pPr>
              <w:pStyle w:val="NotesTable-CellPlain"/>
            </w:pPr>
            <w:r>
              <w:t>–</w:t>
            </w:r>
          </w:p>
        </w:tc>
        <w:tc>
          <w:tcPr>
            <w:tcW w:w="279" w:type="pct"/>
            <w:gridSpan w:val="2"/>
            <w:tcBorders>
              <w:bottom w:val="single" w:sz="4" w:space="0" w:color="000000"/>
            </w:tcBorders>
            <w:shd w:val="clear" w:color="auto" w:fill="CCCCCC"/>
          </w:tcPr>
          <w:p w14:paraId="038A4E7C" w14:textId="77777777" w:rsidR="00E06EAA" w:rsidRDefault="00E06EAA" w:rsidP="001A5D4A">
            <w:pPr>
              <w:pStyle w:val="NotesTable-CellBold"/>
            </w:pPr>
            <w:r>
              <w:t>–</w:t>
            </w:r>
          </w:p>
        </w:tc>
        <w:tc>
          <w:tcPr>
            <w:tcW w:w="280" w:type="pct"/>
            <w:gridSpan w:val="2"/>
            <w:tcBorders>
              <w:bottom w:val="single" w:sz="4" w:space="0" w:color="000000"/>
            </w:tcBorders>
            <w:shd w:val="clear" w:color="auto" w:fill="CCCCCC"/>
          </w:tcPr>
          <w:p w14:paraId="038A4E7D"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7E" w14:textId="77777777" w:rsidR="00E06EAA" w:rsidRDefault="00E06EAA" w:rsidP="001A5D4A">
            <w:pPr>
              <w:pStyle w:val="NotesTable-CellBold"/>
            </w:pPr>
            <w:r>
              <w:t>–</w:t>
            </w:r>
          </w:p>
        </w:tc>
        <w:tc>
          <w:tcPr>
            <w:tcW w:w="279" w:type="pct"/>
            <w:gridSpan w:val="2"/>
            <w:tcBorders>
              <w:bottom w:val="single" w:sz="4" w:space="0" w:color="000000"/>
            </w:tcBorders>
            <w:shd w:val="clear" w:color="auto" w:fill="CCCCCC"/>
          </w:tcPr>
          <w:p w14:paraId="038A4E7F"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80" w14:textId="77777777" w:rsidR="00E06EAA" w:rsidRDefault="00E06EAA" w:rsidP="001A5D4A">
            <w:pPr>
              <w:pStyle w:val="NotesTable-CellBold"/>
            </w:pPr>
            <w:r>
              <w:t>–</w:t>
            </w:r>
          </w:p>
        </w:tc>
        <w:tc>
          <w:tcPr>
            <w:tcW w:w="279" w:type="pct"/>
            <w:gridSpan w:val="2"/>
            <w:tcBorders>
              <w:bottom w:val="single" w:sz="4" w:space="0" w:color="auto"/>
              <w:right w:val="single" w:sz="8" w:space="0" w:color="CDCDCD"/>
            </w:tcBorders>
            <w:shd w:val="clear" w:color="auto" w:fill="CCCCCC"/>
          </w:tcPr>
          <w:p w14:paraId="038A4E81" w14:textId="77777777" w:rsidR="00E06EAA" w:rsidRDefault="00E06EAA" w:rsidP="001A5D4A">
            <w:pPr>
              <w:pStyle w:val="NotesTable-CellPlain"/>
            </w:pPr>
            <w:r>
              <w:t>–</w:t>
            </w:r>
          </w:p>
        </w:tc>
        <w:tc>
          <w:tcPr>
            <w:tcW w:w="279" w:type="pct"/>
            <w:tcBorders>
              <w:bottom w:val="single" w:sz="4" w:space="0" w:color="auto"/>
              <w:right w:val="single" w:sz="8" w:space="0" w:color="CDCDCD"/>
            </w:tcBorders>
            <w:shd w:val="clear" w:color="auto" w:fill="CCCCCC"/>
          </w:tcPr>
          <w:p w14:paraId="169A7307" w14:textId="1DE53E21" w:rsidR="00E06EAA" w:rsidRDefault="00E06EAA" w:rsidP="001A5D4A">
            <w:pPr>
              <w:pStyle w:val="NotesTable-CellPlain"/>
            </w:pPr>
            <w:r>
              <w:t>–</w:t>
            </w:r>
          </w:p>
        </w:tc>
        <w:tc>
          <w:tcPr>
            <w:tcW w:w="270" w:type="pct"/>
            <w:tcBorders>
              <w:bottom w:val="single" w:sz="4" w:space="0" w:color="auto"/>
              <w:right w:val="single" w:sz="8" w:space="0" w:color="CDCDCD"/>
            </w:tcBorders>
            <w:shd w:val="clear" w:color="auto" w:fill="CDCDCD"/>
          </w:tcPr>
          <w:p w14:paraId="46045410" w14:textId="7E8D30A1" w:rsidR="00E06EAA" w:rsidRDefault="00E06EAA" w:rsidP="001A5D4A">
            <w:pPr>
              <w:pStyle w:val="NotesTable-CellPlain"/>
            </w:pPr>
            <w:r>
              <w:t>–</w:t>
            </w:r>
          </w:p>
        </w:tc>
      </w:tr>
      <w:tr w:rsidR="00E06EAA" w14:paraId="038A4E8E" w14:textId="2F19B557" w:rsidTr="00AA2125">
        <w:trPr>
          <w:cantSplit/>
          <w:trHeight w:val="225"/>
        </w:trPr>
        <w:tc>
          <w:tcPr>
            <w:tcW w:w="520" w:type="pct"/>
            <w:tcBorders>
              <w:right w:val="single" w:sz="8" w:space="0" w:color="CDCDCD"/>
            </w:tcBorders>
          </w:tcPr>
          <w:p w14:paraId="038A4E83" w14:textId="77777777" w:rsidR="00E06EAA" w:rsidRDefault="00E06EAA" w:rsidP="001A5D4A">
            <w:pPr>
              <w:pStyle w:val="Note-Refs"/>
              <w:rPr>
                <w:b/>
              </w:rPr>
            </w:pPr>
            <w:r>
              <w:t>C = A + B</w:t>
            </w:r>
          </w:p>
        </w:tc>
        <w:tc>
          <w:tcPr>
            <w:tcW w:w="1468" w:type="pct"/>
            <w:tcBorders>
              <w:left w:val="single" w:sz="8" w:space="0" w:color="CDCDCD"/>
            </w:tcBorders>
            <w:shd w:val="clear" w:color="auto" w:fill="CCCCCC"/>
          </w:tcPr>
          <w:p w14:paraId="038A4E84" w14:textId="77777777" w:rsidR="00E06EAA" w:rsidRDefault="00E06EAA" w:rsidP="001A5D4A">
            <w:pPr>
              <w:pStyle w:val="NotesTable-ItemPlain"/>
              <w:rPr>
                <w:b/>
              </w:rPr>
            </w:pPr>
            <w:r>
              <w:t>Revenue for the period</w:t>
            </w:r>
          </w:p>
        </w:tc>
        <w:tc>
          <w:tcPr>
            <w:tcW w:w="231" w:type="pct"/>
            <w:shd w:val="clear" w:color="auto" w:fill="CCCCCC"/>
          </w:tcPr>
          <w:p w14:paraId="038A4E85" w14:textId="77777777" w:rsidR="00E06EAA" w:rsidRDefault="00E06EAA" w:rsidP="001A5D4A">
            <w:pPr>
              <w:pStyle w:val="NotesTable-Notes"/>
            </w:pPr>
            <w:r>
              <w:t>3(a)</w:t>
            </w:r>
          </w:p>
        </w:tc>
        <w:tc>
          <w:tcPr>
            <w:tcW w:w="278" w:type="pct"/>
            <w:tcBorders>
              <w:top w:val="single" w:sz="4" w:space="0" w:color="000000"/>
            </w:tcBorders>
            <w:shd w:val="clear" w:color="auto" w:fill="CCCCCC"/>
          </w:tcPr>
          <w:p w14:paraId="038A4E86" w14:textId="77777777" w:rsidR="00E06EAA" w:rsidRDefault="00E06EAA" w:rsidP="001A5D4A">
            <w:pPr>
              <w:pStyle w:val="NotesTable-CellBold"/>
            </w:pPr>
            <w:r>
              <w:t>–</w:t>
            </w:r>
          </w:p>
        </w:tc>
        <w:tc>
          <w:tcPr>
            <w:tcW w:w="279" w:type="pct"/>
            <w:tcBorders>
              <w:top w:val="single" w:sz="4" w:space="0" w:color="000000"/>
            </w:tcBorders>
            <w:shd w:val="clear" w:color="auto" w:fill="CCCCCC"/>
          </w:tcPr>
          <w:p w14:paraId="038A4E87" w14:textId="77777777" w:rsidR="00E06EAA" w:rsidRDefault="00E06EAA" w:rsidP="001A5D4A">
            <w:pPr>
              <w:pStyle w:val="NotesTable-CellPlain"/>
            </w:pPr>
            <w:r>
              <w:t>–</w:t>
            </w:r>
          </w:p>
        </w:tc>
        <w:tc>
          <w:tcPr>
            <w:tcW w:w="279" w:type="pct"/>
            <w:gridSpan w:val="2"/>
            <w:tcBorders>
              <w:top w:val="single" w:sz="4" w:space="0" w:color="000000"/>
            </w:tcBorders>
            <w:shd w:val="clear" w:color="auto" w:fill="CCCCCC"/>
          </w:tcPr>
          <w:p w14:paraId="038A4E88" w14:textId="77777777" w:rsidR="00E06EAA" w:rsidRDefault="00E06EAA" w:rsidP="001A5D4A">
            <w:pPr>
              <w:pStyle w:val="NotesTable-CellBold"/>
            </w:pPr>
            <w:r>
              <w:t>–</w:t>
            </w:r>
          </w:p>
        </w:tc>
        <w:tc>
          <w:tcPr>
            <w:tcW w:w="280" w:type="pct"/>
            <w:gridSpan w:val="2"/>
            <w:tcBorders>
              <w:top w:val="single" w:sz="4" w:space="0" w:color="000000"/>
            </w:tcBorders>
            <w:shd w:val="clear" w:color="auto" w:fill="CCCCCC"/>
          </w:tcPr>
          <w:p w14:paraId="038A4E89" w14:textId="77777777" w:rsidR="00E06EAA" w:rsidRDefault="00E06EAA" w:rsidP="001A5D4A">
            <w:pPr>
              <w:pStyle w:val="NotesTable-CellPlain"/>
            </w:pPr>
            <w:r>
              <w:t>–</w:t>
            </w:r>
          </w:p>
        </w:tc>
        <w:tc>
          <w:tcPr>
            <w:tcW w:w="279" w:type="pct"/>
            <w:tcBorders>
              <w:top w:val="single" w:sz="4" w:space="0" w:color="000000"/>
            </w:tcBorders>
            <w:shd w:val="clear" w:color="auto" w:fill="CCCCCC"/>
          </w:tcPr>
          <w:p w14:paraId="038A4E8A" w14:textId="77777777" w:rsidR="00E06EAA" w:rsidRDefault="00E06EAA" w:rsidP="001A5D4A">
            <w:pPr>
              <w:pStyle w:val="NotesTable-CellBold"/>
            </w:pPr>
            <w:r>
              <w:t>–</w:t>
            </w:r>
          </w:p>
        </w:tc>
        <w:tc>
          <w:tcPr>
            <w:tcW w:w="279" w:type="pct"/>
            <w:gridSpan w:val="2"/>
            <w:tcBorders>
              <w:top w:val="single" w:sz="4" w:space="0" w:color="000000"/>
            </w:tcBorders>
            <w:shd w:val="clear" w:color="auto" w:fill="CCCCCC"/>
          </w:tcPr>
          <w:p w14:paraId="038A4E8B" w14:textId="77777777" w:rsidR="00E06EAA" w:rsidRDefault="00E06EAA" w:rsidP="001A5D4A">
            <w:pPr>
              <w:pStyle w:val="NotesTable-CellPlain"/>
            </w:pPr>
            <w:r>
              <w:t>–</w:t>
            </w:r>
          </w:p>
        </w:tc>
        <w:tc>
          <w:tcPr>
            <w:tcW w:w="279" w:type="pct"/>
            <w:tcBorders>
              <w:top w:val="single" w:sz="4" w:space="0" w:color="000000"/>
            </w:tcBorders>
            <w:shd w:val="clear" w:color="auto" w:fill="CCCCCC"/>
          </w:tcPr>
          <w:p w14:paraId="038A4E8C" w14:textId="77777777" w:rsidR="00E06EAA" w:rsidRDefault="00E06EAA" w:rsidP="001A5D4A">
            <w:pPr>
              <w:pStyle w:val="NotesTable-CellBold"/>
            </w:pPr>
            <w:r>
              <w:t>–</w:t>
            </w:r>
          </w:p>
        </w:tc>
        <w:tc>
          <w:tcPr>
            <w:tcW w:w="279" w:type="pct"/>
            <w:gridSpan w:val="2"/>
            <w:tcBorders>
              <w:top w:val="single" w:sz="4" w:space="0" w:color="auto"/>
              <w:right w:val="single" w:sz="8" w:space="0" w:color="CDCDCD"/>
            </w:tcBorders>
            <w:shd w:val="clear" w:color="auto" w:fill="CCCCCC"/>
          </w:tcPr>
          <w:p w14:paraId="038A4E8D" w14:textId="77777777" w:rsidR="00E06EAA" w:rsidRDefault="00E06EAA" w:rsidP="001A5D4A">
            <w:pPr>
              <w:pStyle w:val="NotesTable-CellPlain"/>
            </w:pPr>
            <w:r>
              <w:t>–</w:t>
            </w:r>
          </w:p>
        </w:tc>
        <w:tc>
          <w:tcPr>
            <w:tcW w:w="279" w:type="pct"/>
            <w:tcBorders>
              <w:top w:val="single" w:sz="4" w:space="0" w:color="auto"/>
              <w:right w:val="single" w:sz="8" w:space="0" w:color="CDCDCD"/>
            </w:tcBorders>
            <w:shd w:val="clear" w:color="auto" w:fill="CCCCCC"/>
          </w:tcPr>
          <w:p w14:paraId="1CE5DC4D" w14:textId="098F9CFC" w:rsidR="00E06EAA" w:rsidRDefault="00E06EAA" w:rsidP="001A5D4A">
            <w:pPr>
              <w:pStyle w:val="NotesTable-CellPlain"/>
            </w:pPr>
            <w:r>
              <w:t>–</w:t>
            </w:r>
          </w:p>
        </w:tc>
        <w:tc>
          <w:tcPr>
            <w:tcW w:w="270" w:type="pct"/>
            <w:tcBorders>
              <w:top w:val="single" w:sz="4" w:space="0" w:color="auto"/>
              <w:right w:val="single" w:sz="8" w:space="0" w:color="CDCDCD"/>
            </w:tcBorders>
            <w:shd w:val="clear" w:color="auto" w:fill="CDCDCD"/>
          </w:tcPr>
          <w:p w14:paraId="084EA80B" w14:textId="658612D6" w:rsidR="00E06EAA" w:rsidRDefault="00E06EAA" w:rsidP="001A5D4A">
            <w:pPr>
              <w:pStyle w:val="NotesTable-CellPlain"/>
            </w:pPr>
            <w:r>
              <w:t>–</w:t>
            </w:r>
          </w:p>
        </w:tc>
      </w:tr>
      <w:tr w:rsidR="00E06EAA" w14:paraId="038A4E9A" w14:textId="4C9174E1" w:rsidTr="00AA2125">
        <w:trPr>
          <w:cantSplit/>
          <w:trHeight w:val="225"/>
        </w:trPr>
        <w:tc>
          <w:tcPr>
            <w:tcW w:w="520" w:type="pct"/>
            <w:tcBorders>
              <w:right w:val="single" w:sz="8" w:space="0" w:color="CDCDCD"/>
            </w:tcBorders>
          </w:tcPr>
          <w:p w14:paraId="038A4E8F" w14:textId="77777777" w:rsidR="00E06EAA" w:rsidRDefault="00E06EAA" w:rsidP="001A5D4A">
            <w:pPr>
              <w:pStyle w:val="Note-Refs"/>
            </w:pPr>
          </w:p>
        </w:tc>
        <w:tc>
          <w:tcPr>
            <w:tcW w:w="1468" w:type="pct"/>
            <w:tcBorders>
              <w:left w:val="single" w:sz="8" w:space="0" w:color="CDCDCD"/>
            </w:tcBorders>
            <w:shd w:val="clear" w:color="auto" w:fill="CCCCCC"/>
          </w:tcPr>
          <w:p w14:paraId="038A4E90" w14:textId="77777777" w:rsidR="00E06EAA" w:rsidRDefault="00E06EAA" w:rsidP="001A5D4A">
            <w:pPr>
              <w:pStyle w:val="NotesTable-ItemPlain"/>
            </w:pPr>
          </w:p>
        </w:tc>
        <w:tc>
          <w:tcPr>
            <w:tcW w:w="231" w:type="pct"/>
            <w:shd w:val="clear" w:color="auto" w:fill="CCCCCC"/>
          </w:tcPr>
          <w:p w14:paraId="038A4E91" w14:textId="77777777" w:rsidR="00E06EAA" w:rsidRDefault="00E06EAA" w:rsidP="001A5D4A">
            <w:pPr>
              <w:pStyle w:val="NotesTable-Notes"/>
            </w:pPr>
          </w:p>
        </w:tc>
        <w:tc>
          <w:tcPr>
            <w:tcW w:w="278" w:type="pct"/>
            <w:shd w:val="clear" w:color="auto" w:fill="CCCCCC"/>
          </w:tcPr>
          <w:p w14:paraId="038A4E92" w14:textId="77777777" w:rsidR="00E06EAA" w:rsidRDefault="00E06EAA" w:rsidP="001A5D4A">
            <w:pPr>
              <w:pStyle w:val="NotesTable-CellBold"/>
            </w:pPr>
          </w:p>
        </w:tc>
        <w:tc>
          <w:tcPr>
            <w:tcW w:w="279" w:type="pct"/>
            <w:shd w:val="clear" w:color="auto" w:fill="CCCCCC"/>
          </w:tcPr>
          <w:p w14:paraId="038A4E93" w14:textId="77777777" w:rsidR="00E06EAA" w:rsidRDefault="00E06EAA" w:rsidP="001A5D4A">
            <w:pPr>
              <w:pStyle w:val="NotesTable-CellPlain"/>
            </w:pPr>
          </w:p>
        </w:tc>
        <w:tc>
          <w:tcPr>
            <w:tcW w:w="279" w:type="pct"/>
            <w:gridSpan w:val="2"/>
            <w:shd w:val="clear" w:color="auto" w:fill="CCCCCC"/>
          </w:tcPr>
          <w:p w14:paraId="038A4E94" w14:textId="77777777" w:rsidR="00E06EAA" w:rsidRDefault="00E06EAA" w:rsidP="001A5D4A">
            <w:pPr>
              <w:pStyle w:val="NotesTable-CellBold"/>
            </w:pPr>
          </w:p>
        </w:tc>
        <w:tc>
          <w:tcPr>
            <w:tcW w:w="280" w:type="pct"/>
            <w:gridSpan w:val="2"/>
            <w:shd w:val="clear" w:color="auto" w:fill="CCCCCC"/>
          </w:tcPr>
          <w:p w14:paraId="038A4E95" w14:textId="77777777" w:rsidR="00E06EAA" w:rsidRDefault="00E06EAA" w:rsidP="001A5D4A">
            <w:pPr>
              <w:pStyle w:val="NotesTable-CellPlain"/>
            </w:pPr>
          </w:p>
        </w:tc>
        <w:tc>
          <w:tcPr>
            <w:tcW w:w="279" w:type="pct"/>
            <w:shd w:val="clear" w:color="auto" w:fill="CCCCCC"/>
          </w:tcPr>
          <w:p w14:paraId="038A4E96" w14:textId="77777777" w:rsidR="00E06EAA" w:rsidRDefault="00E06EAA" w:rsidP="001A5D4A">
            <w:pPr>
              <w:pStyle w:val="NotesTable-CellBold"/>
            </w:pPr>
          </w:p>
        </w:tc>
        <w:tc>
          <w:tcPr>
            <w:tcW w:w="279" w:type="pct"/>
            <w:gridSpan w:val="2"/>
            <w:shd w:val="clear" w:color="auto" w:fill="CCCCCC"/>
          </w:tcPr>
          <w:p w14:paraId="038A4E97" w14:textId="77777777" w:rsidR="00E06EAA" w:rsidRDefault="00E06EAA" w:rsidP="001A5D4A">
            <w:pPr>
              <w:pStyle w:val="NotesTable-CellPlain"/>
            </w:pPr>
          </w:p>
        </w:tc>
        <w:tc>
          <w:tcPr>
            <w:tcW w:w="279" w:type="pct"/>
            <w:shd w:val="clear" w:color="auto" w:fill="CCCCCC"/>
          </w:tcPr>
          <w:p w14:paraId="038A4E98" w14:textId="77777777" w:rsidR="00E06EAA" w:rsidRDefault="00E06EAA" w:rsidP="001A5D4A">
            <w:pPr>
              <w:pStyle w:val="NotesTable-CellBold"/>
            </w:pPr>
          </w:p>
        </w:tc>
        <w:tc>
          <w:tcPr>
            <w:tcW w:w="279" w:type="pct"/>
            <w:gridSpan w:val="2"/>
            <w:tcBorders>
              <w:right w:val="single" w:sz="8" w:space="0" w:color="CDCDCD"/>
            </w:tcBorders>
            <w:shd w:val="clear" w:color="auto" w:fill="CCCCCC"/>
          </w:tcPr>
          <w:p w14:paraId="038A4E99" w14:textId="77777777" w:rsidR="00E06EAA" w:rsidRDefault="00E06EAA" w:rsidP="001A5D4A">
            <w:pPr>
              <w:pStyle w:val="NotesTable-CellPlain"/>
            </w:pPr>
          </w:p>
        </w:tc>
        <w:tc>
          <w:tcPr>
            <w:tcW w:w="279" w:type="pct"/>
            <w:tcBorders>
              <w:right w:val="single" w:sz="8" w:space="0" w:color="CDCDCD"/>
            </w:tcBorders>
            <w:shd w:val="clear" w:color="auto" w:fill="CCCCCC"/>
          </w:tcPr>
          <w:p w14:paraId="7C2407DD" w14:textId="77777777" w:rsidR="00E06EAA" w:rsidRDefault="00E06EAA" w:rsidP="001A5D4A">
            <w:pPr>
              <w:pStyle w:val="NotesTable-CellPlain"/>
            </w:pPr>
          </w:p>
        </w:tc>
        <w:tc>
          <w:tcPr>
            <w:tcW w:w="270" w:type="pct"/>
            <w:tcBorders>
              <w:right w:val="single" w:sz="8" w:space="0" w:color="CDCDCD"/>
            </w:tcBorders>
            <w:shd w:val="clear" w:color="auto" w:fill="CDCDCD"/>
          </w:tcPr>
          <w:p w14:paraId="033DAF23" w14:textId="45FC53B4" w:rsidR="00E06EAA" w:rsidRDefault="00E06EAA" w:rsidP="001A5D4A">
            <w:pPr>
              <w:pStyle w:val="NotesTable-CellPlain"/>
            </w:pPr>
          </w:p>
        </w:tc>
      </w:tr>
      <w:tr w:rsidR="00E06EAA" w14:paraId="038A4EA6" w14:textId="70748B8F" w:rsidTr="00AA2125">
        <w:trPr>
          <w:cantSplit/>
          <w:trHeight w:val="225"/>
        </w:trPr>
        <w:tc>
          <w:tcPr>
            <w:tcW w:w="520" w:type="pct"/>
            <w:tcBorders>
              <w:right w:val="single" w:sz="8" w:space="0" w:color="CDCDCD"/>
            </w:tcBorders>
          </w:tcPr>
          <w:p w14:paraId="038A4E9B" w14:textId="77777777" w:rsidR="00E06EAA" w:rsidRDefault="00E06EAA" w:rsidP="001A5D4A">
            <w:pPr>
              <w:pStyle w:val="Note-Refs"/>
            </w:pPr>
            <w:r>
              <w:t>D</w:t>
            </w:r>
          </w:p>
        </w:tc>
        <w:tc>
          <w:tcPr>
            <w:tcW w:w="1468" w:type="pct"/>
            <w:tcBorders>
              <w:left w:val="single" w:sz="8" w:space="0" w:color="CDCDCD"/>
            </w:tcBorders>
            <w:shd w:val="clear" w:color="auto" w:fill="CCCCCC"/>
          </w:tcPr>
          <w:p w14:paraId="038A4E9C" w14:textId="77777777" w:rsidR="00E06EAA" w:rsidRDefault="00E06EAA" w:rsidP="001A5D4A">
            <w:pPr>
              <w:pStyle w:val="NotesTable-ItemPlain"/>
              <w:rPr>
                <w:b/>
              </w:rPr>
            </w:pPr>
            <w:r>
              <w:t>Surplus / (deficit) from the previous year</w:t>
            </w:r>
          </w:p>
        </w:tc>
        <w:tc>
          <w:tcPr>
            <w:tcW w:w="231" w:type="pct"/>
            <w:shd w:val="clear" w:color="auto" w:fill="CCCCCC"/>
          </w:tcPr>
          <w:p w14:paraId="038A4E9D" w14:textId="77777777" w:rsidR="00E06EAA" w:rsidRDefault="00E06EAA" w:rsidP="001A5D4A">
            <w:pPr>
              <w:pStyle w:val="NotesTable-Notes"/>
            </w:pPr>
          </w:p>
        </w:tc>
        <w:tc>
          <w:tcPr>
            <w:tcW w:w="278" w:type="pct"/>
            <w:tcBorders>
              <w:bottom w:val="single" w:sz="4" w:space="0" w:color="000000"/>
            </w:tcBorders>
            <w:shd w:val="clear" w:color="auto" w:fill="CCCCCC"/>
          </w:tcPr>
          <w:p w14:paraId="038A4E9E" w14:textId="77777777" w:rsidR="00E06EAA" w:rsidRDefault="00E06EAA" w:rsidP="001A5D4A">
            <w:pPr>
              <w:pStyle w:val="NotesTable-CellBold"/>
            </w:pPr>
            <w:r>
              <w:t>–</w:t>
            </w:r>
          </w:p>
        </w:tc>
        <w:tc>
          <w:tcPr>
            <w:tcW w:w="279" w:type="pct"/>
            <w:tcBorders>
              <w:bottom w:val="single" w:sz="4" w:space="0" w:color="000000"/>
            </w:tcBorders>
            <w:shd w:val="clear" w:color="auto" w:fill="CCCCCC"/>
          </w:tcPr>
          <w:p w14:paraId="038A4E9F" w14:textId="77777777" w:rsidR="00E06EAA" w:rsidRDefault="00E06EAA" w:rsidP="001A5D4A">
            <w:pPr>
              <w:pStyle w:val="NotesTable-CellPlain"/>
            </w:pPr>
            <w:r>
              <w:t>–</w:t>
            </w:r>
          </w:p>
        </w:tc>
        <w:tc>
          <w:tcPr>
            <w:tcW w:w="279" w:type="pct"/>
            <w:gridSpan w:val="2"/>
            <w:tcBorders>
              <w:bottom w:val="single" w:sz="4" w:space="0" w:color="000000"/>
            </w:tcBorders>
            <w:shd w:val="clear" w:color="auto" w:fill="CCCCCC"/>
          </w:tcPr>
          <w:p w14:paraId="038A4EA0" w14:textId="77777777" w:rsidR="00E06EAA" w:rsidRDefault="00E06EAA" w:rsidP="001A5D4A">
            <w:pPr>
              <w:pStyle w:val="NotesTable-CellBold"/>
            </w:pPr>
            <w:r>
              <w:t>–</w:t>
            </w:r>
          </w:p>
        </w:tc>
        <w:tc>
          <w:tcPr>
            <w:tcW w:w="280" w:type="pct"/>
            <w:gridSpan w:val="2"/>
            <w:tcBorders>
              <w:bottom w:val="single" w:sz="4" w:space="0" w:color="000000"/>
            </w:tcBorders>
            <w:shd w:val="clear" w:color="auto" w:fill="CCCCCC"/>
          </w:tcPr>
          <w:p w14:paraId="038A4EA1"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A2" w14:textId="77777777" w:rsidR="00E06EAA" w:rsidRDefault="00E06EAA" w:rsidP="001A5D4A">
            <w:pPr>
              <w:pStyle w:val="NotesTable-CellBold"/>
            </w:pPr>
            <w:r>
              <w:t>–</w:t>
            </w:r>
          </w:p>
        </w:tc>
        <w:tc>
          <w:tcPr>
            <w:tcW w:w="279" w:type="pct"/>
            <w:gridSpan w:val="2"/>
            <w:tcBorders>
              <w:bottom w:val="single" w:sz="4" w:space="0" w:color="000000"/>
            </w:tcBorders>
            <w:shd w:val="clear" w:color="auto" w:fill="CCCCCC"/>
          </w:tcPr>
          <w:p w14:paraId="038A4EA3"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A4" w14:textId="77777777" w:rsidR="00E06EAA" w:rsidRDefault="00E06EAA" w:rsidP="001A5D4A">
            <w:pPr>
              <w:pStyle w:val="NotesTable-CellBold"/>
            </w:pPr>
            <w:r>
              <w:t>–</w:t>
            </w:r>
          </w:p>
        </w:tc>
        <w:tc>
          <w:tcPr>
            <w:tcW w:w="279" w:type="pct"/>
            <w:gridSpan w:val="2"/>
            <w:tcBorders>
              <w:bottom w:val="single" w:sz="4" w:space="0" w:color="000000"/>
              <w:right w:val="single" w:sz="8" w:space="0" w:color="CDCDCD"/>
            </w:tcBorders>
            <w:shd w:val="clear" w:color="auto" w:fill="CCCCCC"/>
          </w:tcPr>
          <w:p w14:paraId="038A4EA5" w14:textId="77777777" w:rsidR="00E06EAA" w:rsidRDefault="00E06EAA" w:rsidP="001A5D4A">
            <w:pPr>
              <w:pStyle w:val="NotesTable-CellPlain"/>
            </w:pPr>
            <w:r>
              <w:t>–</w:t>
            </w:r>
          </w:p>
        </w:tc>
        <w:tc>
          <w:tcPr>
            <w:tcW w:w="279" w:type="pct"/>
            <w:tcBorders>
              <w:bottom w:val="single" w:sz="4" w:space="0" w:color="000000"/>
              <w:right w:val="single" w:sz="8" w:space="0" w:color="CDCDCD"/>
            </w:tcBorders>
            <w:shd w:val="clear" w:color="auto" w:fill="CCCCCC"/>
          </w:tcPr>
          <w:p w14:paraId="6B235838" w14:textId="638D8AC9" w:rsidR="00E06EAA" w:rsidRDefault="00E06EAA" w:rsidP="001A5D4A">
            <w:pPr>
              <w:pStyle w:val="NotesTable-CellPlain"/>
            </w:pPr>
            <w:r>
              <w:t>–</w:t>
            </w:r>
          </w:p>
        </w:tc>
        <w:tc>
          <w:tcPr>
            <w:tcW w:w="270" w:type="pct"/>
            <w:tcBorders>
              <w:bottom w:val="single" w:sz="4" w:space="0" w:color="000000"/>
              <w:right w:val="single" w:sz="8" w:space="0" w:color="CDCDCD"/>
            </w:tcBorders>
            <w:shd w:val="clear" w:color="auto" w:fill="CDCDCD"/>
          </w:tcPr>
          <w:p w14:paraId="421ACF7C" w14:textId="48122234" w:rsidR="00E06EAA" w:rsidRDefault="00E06EAA" w:rsidP="001A5D4A">
            <w:pPr>
              <w:pStyle w:val="NotesTable-CellPlain"/>
            </w:pPr>
            <w:r>
              <w:t>–</w:t>
            </w:r>
          </w:p>
        </w:tc>
      </w:tr>
      <w:tr w:rsidR="00E06EAA" w14:paraId="038A4EB2" w14:textId="19968D0F" w:rsidTr="00AA2125">
        <w:trPr>
          <w:cantSplit/>
          <w:trHeight w:val="225"/>
        </w:trPr>
        <w:tc>
          <w:tcPr>
            <w:tcW w:w="520" w:type="pct"/>
            <w:tcBorders>
              <w:right w:val="single" w:sz="8" w:space="0" w:color="CDCDCD"/>
            </w:tcBorders>
          </w:tcPr>
          <w:p w14:paraId="038A4EA7" w14:textId="77777777" w:rsidR="00E06EAA" w:rsidRDefault="00E06EAA" w:rsidP="001A5D4A">
            <w:pPr>
              <w:pStyle w:val="Note-Refs"/>
              <w:rPr>
                <w:b/>
              </w:rPr>
            </w:pPr>
            <w:r>
              <w:t>E = C + D</w:t>
            </w:r>
          </w:p>
        </w:tc>
        <w:tc>
          <w:tcPr>
            <w:tcW w:w="1468" w:type="pct"/>
            <w:tcBorders>
              <w:left w:val="single" w:sz="8" w:space="0" w:color="CDCDCD"/>
            </w:tcBorders>
            <w:shd w:val="clear" w:color="auto" w:fill="CCCCCC"/>
          </w:tcPr>
          <w:p w14:paraId="038A4EA8" w14:textId="77777777" w:rsidR="00E06EAA" w:rsidRDefault="00E06EAA" w:rsidP="001A5D4A">
            <w:pPr>
              <w:pStyle w:val="NotesTable-ItemPlain"/>
              <w:rPr>
                <w:b/>
              </w:rPr>
            </w:pPr>
            <w:r>
              <w:t>Total revenue including accrued revenue</w:t>
            </w:r>
          </w:p>
        </w:tc>
        <w:tc>
          <w:tcPr>
            <w:tcW w:w="231" w:type="pct"/>
            <w:shd w:val="clear" w:color="auto" w:fill="CCCCCC"/>
          </w:tcPr>
          <w:p w14:paraId="038A4EA9" w14:textId="77777777" w:rsidR="00E06EAA" w:rsidRDefault="00E06EAA" w:rsidP="001A5D4A">
            <w:pPr>
              <w:pStyle w:val="NotesTable-Notes"/>
            </w:pPr>
          </w:p>
        </w:tc>
        <w:tc>
          <w:tcPr>
            <w:tcW w:w="278" w:type="pct"/>
            <w:tcBorders>
              <w:top w:val="single" w:sz="4" w:space="0" w:color="000000"/>
            </w:tcBorders>
            <w:shd w:val="clear" w:color="auto" w:fill="CCCCCC"/>
          </w:tcPr>
          <w:p w14:paraId="038A4EAA" w14:textId="77777777" w:rsidR="00E06EAA" w:rsidRDefault="00E06EAA" w:rsidP="001A5D4A">
            <w:pPr>
              <w:pStyle w:val="NotesTable-CellBold"/>
            </w:pPr>
            <w:r>
              <w:t>–</w:t>
            </w:r>
          </w:p>
        </w:tc>
        <w:tc>
          <w:tcPr>
            <w:tcW w:w="279" w:type="pct"/>
            <w:tcBorders>
              <w:top w:val="single" w:sz="4" w:space="0" w:color="000000"/>
            </w:tcBorders>
            <w:shd w:val="clear" w:color="auto" w:fill="CCCCCC"/>
          </w:tcPr>
          <w:p w14:paraId="038A4EAB" w14:textId="77777777" w:rsidR="00E06EAA" w:rsidRDefault="00E06EAA" w:rsidP="001A5D4A">
            <w:pPr>
              <w:pStyle w:val="NotesTable-CellPlain"/>
            </w:pPr>
            <w:r>
              <w:t>–</w:t>
            </w:r>
          </w:p>
        </w:tc>
        <w:tc>
          <w:tcPr>
            <w:tcW w:w="279" w:type="pct"/>
            <w:gridSpan w:val="2"/>
            <w:tcBorders>
              <w:top w:val="single" w:sz="4" w:space="0" w:color="000000"/>
            </w:tcBorders>
            <w:shd w:val="clear" w:color="auto" w:fill="CCCCCC"/>
          </w:tcPr>
          <w:p w14:paraId="038A4EAC" w14:textId="77777777" w:rsidR="00E06EAA" w:rsidRDefault="00E06EAA" w:rsidP="001A5D4A">
            <w:pPr>
              <w:pStyle w:val="NotesTable-CellBold"/>
            </w:pPr>
            <w:r>
              <w:t>–</w:t>
            </w:r>
          </w:p>
        </w:tc>
        <w:tc>
          <w:tcPr>
            <w:tcW w:w="280" w:type="pct"/>
            <w:gridSpan w:val="2"/>
            <w:tcBorders>
              <w:top w:val="single" w:sz="4" w:space="0" w:color="000000"/>
            </w:tcBorders>
            <w:shd w:val="clear" w:color="auto" w:fill="CCCCCC"/>
          </w:tcPr>
          <w:p w14:paraId="038A4EAD" w14:textId="77777777" w:rsidR="00E06EAA" w:rsidRDefault="00E06EAA" w:rsidP="001A5D4A">
            <w:pPr>
              <w:pStyle w:val="NotesTable-CellPlain"/>
            </w:pPr>
            <w:r>
              <w:t>–</w:t>
            </w:r>
          </w:p>
        </w:tc>
        <w:tc>
          <w:tcPr>
            <w:tcW w:w="279" w:type="pct"/>
            <w:tcBorders>
              <w:top w:val="single" w:sz="4" w:space="0" w:color="000000"/>
            </w:tcBorders>
            <w:shd w:val="clear" w:color="auto" w:fill="CCCCCC"/>
          </w:tcPr>
          <w:p w14:paraId="038A4EAE" w14:textId="77777777" w:rsidR="00E06EAA" w:rsidRDefault="00E06EAA" w:rsidP="001A5D4A">
            <w:pPr>
              <w:pStyle w:val="NotesTable-CellBold"/>
            </w:pPr>
            <w:r>
              <w:t>–</w:t>
            </w:r>
          </w:p>
        </w:tc>
        <w:tc>
          <w:tcPr>
            <w:tcW w:w="279" w:type="pct"/>
            <w:gridSpan w:val="2"/>
            <w:tcBorders>
              <w:top w:val="single" w:sz="4" w:space="0" w:color="000000"/>
            </w:tcBorders>
            <w:shd w:val="clear" w:color="auto" w:fill="CCCCCC"/>
          </w:tcPr>
          <w:p w14:paraId="038A4EAF" w14:textId="77777777" w:rsidR="00E06EAA" w:rsidRDefault="00E06EAA" w:rsidP="001A5D4A">
            <w:pPr>
              <w:pStyle w:val="NotesTable-CellPlain"/>
            </w:pPr>
            <w:r>
              <w:t>–</w:t>
            </w:r>
          </w:p>
        </w:tc>
        <w:tc>
          <w:tcPr>
            <w:tcW w:w="279" w:type="pct"/>
            <w:tcBorders>
              <w:top w:val="single" w:sz="4" w:space="0" w:color="000000"/>
            </w:tcBorders>
            <w:shd w:val="clear" w:color="auto" w:fill="CCCCCC"/>
          </w:tcPr>
          <w:p w14:paraId="038A4EB0" w14:textId="77777777" w:rsidR="00E06EAA" w:rsidRDefault="00E06EAA" w:rsidP="001A5D4A">
            <w:pPr>
              <w:pStyle w:val="NotesTable-CellBold"/>
            </w:pPr>
            <w:r>
              <w:t>–</w:t>
            </w:r>
          </w:p>
        </w:tc>
        <w:tc>
          <w:tcPr>
            <w:tcW w:w="279" w:type="pct"/>
            <w:gridSpan w:val="2"/>
            <w:tcBorders>
              <w:top w:val="single" w:sz="4" w:space="0" w:color="000000"/>
              <w:right w:val="single" w:sz="8" w:space="0" w:color="CDCDCD"/>
            </w:tcBorders>
            <w:shd w:val="clear" w:color="auto" w:fill="CCCCCC"/>
          </w:tcPr>
          <w:p w14:paraId="038A4EB1" w14:textId="77777777" w:rsidR="00E06EAA" w:rsidRDefault="00E06EAA" w:rsidP="001A5D4A">
            <w:pPr>
              <w:pStyle w:val="NotesTable-CellPlain"/>
            </w:pPr>
            <w:r>
              <w:t>–</w:t>
            </w:r>
          </w:p>
        </w:tc>
        <w:tc>
          <w:tcPr>
            <w:tcW w:w="279" w:type="pct"/>
            <w:tcBorders>
              <w:top w:val="single" w:sz="4" w:space="0" w:color="000000"/>
              <w:right w:val="single" w:sz="8" w:space="0" w:color="CDCDCD"/>
            </w:tcBorders>
            <w:shd w:val="clear" w:color="auto" w:fill="CCCCCC"/>
          </w:tcPr>
          <w:p w14:paraId="12219B28" w14:textId="7AB6EEEB" w:rsidR="00E06EAA" w:rsidRDefault="00E06EAA" w:rsidP="001A5D4A">
            <w:pPr>
              <w:pStyle w:val="NotesTable-CellPlain"/>
            </w:pPr>
            <w:r>
              <w:t>–</w:t>
            </w:r>
          </w:p>
        </w:tc>
        <w:tc>
          <w:tcPr>
            <w:tcW w:w="270" w:type="pct"/>
            <w:tcBorders>
              <w:top w:val="single" w:sz="4" w:space="0" w:color="000000"/>
              <w:right w:val="single" w:sz="8" w:space="0" w:color="CDCDCD"/>
            </w:tcBorders>
            <w:shd w:val="clear" w:color="auto" w:fill="CDCDCD"/>
          </w:tcPr>
          <w:p w14:paraId="3FAE3717" w14:textId="56F898E4" w:rsidR="00E06EAA" w:rsidRDefault="00E06EAA" w:rsidP="001A5D4A">
            <w:pPr>
              <w:pStyle w:val="NotesTable-CellPlain"/>
            </w:pPr>
            <w:r>
              <w:t>–</w:t>
            </w:r>
          </w:p>
        </w:tc>
      </w:tr>
      <w:tr w:rsidR="00E06EAA" w14:paraId="038A4EBE" w14:textId="19844181" w:rsidTr="00AA2125">
        <w:trPr>
          <w:cantSplit/>
          <w:trHeight w:val="225"/>
        </w:trPr>
        <w:tc>
          <w:tcPr>
            <w:tcW w:w="520" w:type="pct"/>
            <w:tcBorders>
              <w:right w:val="single" w:sz="8" w:space="0" w:color="CDCDCD"/>
            </w:tcBorders>
          </w:tcPr>
          <w:p w14:paraId="038A4EB3" w14:textId="77777777" w:rsidR="00E06EAA" w:rsidRDefault="00E06EAA" w:rsidP="001A5D4A">
            <w:pPr>
              <w:pStyle w:val="Note-Refs"/>
            </w:pPr>
            <w:r>
              <w:t>F</w:t>
            </w:r>
          </w:p>
        </w:tc>
        <w:tc>
          <w:tcPr>
            <w:tcW w:w="1468" w:type="pct"/>
            <w:tcBorders>
              <w:left w:val="single" w:sz="8" w:space="0" w:color="CDCDCD"/>
            </w:tcBorders>
            <w:shd w:val="clear" w:color="auto" w:fill="CCCCCC"/>
          </w:tcPr>
          <w:p w14:paraId="038A4EB4" w14:textId="77777777" w:rsidR="00E06EAA" w:rsidRDefault="00E06EAA" w:rsidP="001A5D4A">
            <w:pPr>
              <w:pStyle w:val="NotesTable-ItemPlain"/>
              <w:rPr>
                <w:b/>
              </w:rPr>
            </w:pPr>
            <w:r>
              <w:t>Less expenses including accrued expenses</w:t>
            </w:r>
          </w:p>
        </w:tc>
        <w:tc>
          <w:tcPr>
            <w:tcW w:w="231" w:type="pct"/>
            <w:shd w:val="clear" w:color="auto" w:fill="CCCCCC"/>
          </w:tcPr>
          <w:p w14:paraId="038A4EB5" w14:textId="77777777" w:rsidR="00E06EAA" w:rsidRDefault="00E06EAA" w:rsidP="001A5D4A">
            <w:pPr>
              <w:pStyle w:val="NotesTable-Notes"/>
            </w:pPr>
          </w:p>
        </w:tc>
        <w:tc>
          <w:tcPr>
            <w:tcW w:w="278" w:type="pct"/>
            <w:tcBorders>
              <w:bottom w:val="single" w:sz="4" w:space="0" w:color="000000"/>
            </w:tcBorders>
            <w:shd w:val="clear" w:color="auto" w:fill="CCCCCC"/>
          </w:tcPr>
          <w:p w14:paraId="038A4EB6" w14:textId="77777777" w:rsidR="00E06EAA" w:rsidRDefault="00E06EAA" w:rsidP="001A5D4A">
            <w:pPr>
              <w:pStyle w:val="NotesTable-CellBold"/>
            </w:pPr>
            <w:r>
              <w:t>–</w:t>
            </w:r>
          </w:p>
        </w:tc>
        <w:tc>
          <w:tcPr>
            <w:tcW w:w="279" w:type="pct"/>
            <w:tcBorders>
              <w:bottom w:val="single" w:sz="4" w:space="0" w:color="000000"/>
            </w:tcBorders>
            <w:shd w:val="clear" w:color="auto" w:fill="CCCCCC"/>
          </w:tcPr>
          <w:p w14:paraId="038A4EB7" w14:textId="77777777" w:rsidR="00E06EAA" w:rsidRDefault="00E06EAA" w:rsidP="001A5D4A">
            <w:pPr>
              <w:pStyle w:val="NotesTable-CellPlain"/>
            </w:pPr>
            <w:r>
              <w:t>–</w:t>
            </w:r>
          </w:p>
        </w:tc>
        <w:tc>
          <w:tcPr>
            <w:tcW w:w="279" w:type="pct"/>
            <w:gridSpan w:val="2"/>
            <w:tcBorders>
              <w:bottom w:val="single" w:sz="4" w:space="0" w:color="000000"/>
            </w:tcBorders>
            <w:shd w:val="clear" w:color="auto" w:fill="CCCCCC"/>
          </w:tcPr>
          <w:p w14:paraId="038A4EB8" w14:textId="77777777" w:rsidR="00E06EAA" w:rsidRDefault="00E06EAA" w:rsidP="001A5D4A">
            <w:pPr>
              <w:pStyle w:val="NotesTable-CellBold"/>
            </w:pPr>
            <w:r>
              <w:t>–</w:t>
            </w:r>
          </w:p>
        </w:tc>
        <w:tc>
          <w:tcPr>
            <w:tcW w:w="280" w:type="pct"/>
            <w:gridSpan w:val="2"/>
            <w:tcBorders>
              <w:bottom w:val="single" w:sz="4" w:space="0" w:color="000000"/>
            </w:tcBorders>
            <w:shd w:val="clear" w:color="auto" w:fill="CCCCCC"/>
          </w:tcPr>
          <w:p w14:paraId="038A4EB9"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BA" w14:textId="77777777" w:rsidR="00E06EAA" w:rsidRDefault="00E06EAA" w:rsidP="001A5D4A">
            <w:pPr>
              <w:pStyle w:val="NotesTable-CellBold"/>
            </w:pPr>
            <w:r>
              <w:t>–</w:t>
            </w:r>
          </w:p>
        </w:tc>
        <w:tc>
          <w:tcPr>
            <w:tcW w:w="279" w:type="pct"/>
            <w:gridSpan w:val="2"/>
            <w:tcBorders>
              <w:bottom w:val="single" w:sz="4" w:space="0" w:color="000000"/>
            </w:tcBorders>
            <w:shd w:val="clear" w:color="auto" w:fill="CCCCCC"/>
          </w:tcPr>
          <w:p w14:paraId="038A4EBB" w14:textId="77777777" w:rsidR="00E06EAA" w:rsidRDefault="00E06EAA" w:rsidP="001A5D4A">
            <w:pPr>
              <w:pStyle w:val="NotesTable-CellPlain"/>
            </w:pPr>
            <w:r>
              <w:t>–</w:t>
            </w:r>
          </w:p>
        </w:tc>
        <w:tc>
          <w:tcPr>
            <w:tcW w:w="279" w:type="pct"/>
            <w:tcBorders>
              <w:bottom w:val="single" w:sz="4" w:space="0" w:color="000000"/>
            </w:tcBorders>
            <w:shd w:val="clear" w:color="auto" w:fill="CCCCCC"/>
          </w:tcPr>
          <w:p w14:paraId="038A4EBC" w14:textId="77777777" w:rsidR="00E06EAA" w:rsidRDefault="00E06EAA" w:rsidP="001A5D4A">
            <w:pPr>
              <w:pStyle w:val="NotesTable-CellBold"/>
            </w:pPr>
            <w:r>
              <w:t>–</w:t>
            </w:r>
          </w:p>
        </w:tc>
        <w:tc>
          <w:tcPr>
            <w:tcW w:w="279" w:type="pct"/>
            <w:gridSpan w:val="2"/>
            <w:tcBorders>
              <w:bottom w:val="single" w:sz="4" w:space="0" w:color="000000"/>
              <w:right w:val="single" w:sz="8" w:space="0" w:color="CDCDCD"/>
            </w:tcBorders>
            <w:shd w:val="clear" w:color="auto" w:fill="CCCCCC"/>
          </w:tcPr>
          <w:p w14:paraId="038A4EBD" w14:textId="77777777" w:rsidR="00E06EAA" w:rsidRDefault="00E06EAA" w:rsidP="001A5D4A">
            <w:pPr>
              <w:pStyle w:val="NotesTable-CellPlain"/>
            </w:pPr>
            <w:r>
              <w:t>–</w:t>
            </w:r>
          </w:p>
        </w:tc>
        <w:tc>
          <w:tcPr>
            <w:tcW w:w="279" w:type="pct"/>
            <w:tcBorders>
              <w:bottom w:val="single" w:sz="4" w:space="0" w:color="000000"/>
              <w:right w:val="single" w:sz="8" w:space="0" w:color="CDCDCD"/>
            </w:tcBorders>
            <w:shd w:val="clear" w:color="auto" w:fill="CCCCCC"/>
          </w:tcPr>
          <w:p w14:paraId="5BD827C5" w14:textId="1A0E55D8" w:rsidR="00E06EAA" w:rsidRDefault="00E06EAA" w:rsidP="001A5D4A">
            <w:pPr>
              <w:pStyle w:val="NotesTable-CellPlain"/>
            </w:pPr>
            <w:r>
              <w:t>–</w:t>
            </w:r>
          </w:p>
        </w:tc>
        <w:tc>
          <w:tcPr>
            <w:tcW w:w="270" w:type="pct"/>
            <w:tcBorders>
              <w:bottom w:val="single" w:sz="4" w:space="0" w:color="000000"/>
              <w:right w:val="single" w:sz="8" w:space="0" w:color="CDCDCD"/>
            </w:tcBorders>
            <w:shd w:val="clear" w:color="auto" w:fill="CDCDCD"/>
          </w:tcPr>
          <w:p w14:paraId="01D1A4AB" w14:textId="33001257" w:rsidR="00E06EAA" w:rsidRDefault="00E06EAA" w:rsidP="001A5D4A">
            <w:pPr>
              <w:pStyle w:val="NotesTable-CellPlain"/>
            </w:pPr>
            <w:r>
              <w:t>–</w:t>
            </w:r>
          </w:p>
        </w:tc>
      </w:tr>
      <w:tr w:rsidR="00E06EAA" w14:paraId="038A4ECA" w14:textId="62A6ED70" w:rsidTr="00AA2125">
        <w:trPr>
          <w:cantSplit/>
          <w:trHeight w:val="225"/>
        </w:trPr>
        <w:tc>
          <w:tcPr>
            <w:tcW w:w="520" w:type="pct"/>
            <w:tcBorders>
              <w:right w:val="single" w:sz="8" w:space="0" w:color="CDCDCD"/>
            </w:tcBorders>
          </w:tcPr>
          <w:p w14:paraId="038A4EBF" w14:textId="77777777" w:rsidR="00E06EAA" w:rsidRDefault="00E06EAA" w:rsidP="001A5D4A">
            <w:pPr>
              <w:pStyle w:val="Note-Refs"/>
              <w:rPr>
                <w:b/>
              </w:rPr>
            </w:pPr>
            <w:r>
              <w:t>G = E – F</w:t>
            </w:r>
          </w:p>
        </w:tc>
        <w:tc>
          <w:tcPr>
            <w:tcW w:w="1468" w:type="pct"/>
            <w:tcBorders>
              <w:left w:val="single" w:sz="8" w:space="0" w:color="CDCDCD"/>
            </w:tcBorders>
            <w:shd w:val="clear" w:color="auto" w:fill="CCCCCC"/>
          </w:tcPr>
          <w:p w14:paraId="038A4EC0" w14:textId="77777777" w:rsidR="00E06EAA" w:rsidRDefault="00E06EAA" w:rsidP="001A5D4A">
            <w:pPr>
              <w:pStyle w:val="NotesTable-ItemPlain"/>
              <w:rPr>
                <w:b/>
              </w:rPr>
            </w:pPr>
            <w:r>
              <w:t>Surplus / (deficit) for reporting period</w:t>
            </w:r>
          </w:p>
        </w:tc>
        <w:tc>
          <w:tcPr>
            <w:tcW w:w="231" w:type="pct"/>
            <w:shd w:val="clear" w:color="auto" w:fill="CCCCCC"/>
          </w:tcPr>
          <w:p w14:paraId="038A4EC1" w14:textId="77777777" w:rsidR="00E06EAA" w:rsidRDefault="00E06EAA" w:rsidP="001A5D4A">
            <w:pPr>
              <w:pStyle w:val="NotesTable-Notes"/>
            </w:pPr>
          </w:p>
        </w:tc>
        <w:tc>
          <w:tcPr>
            <w:tcW w:w="278" w:type="pct"/>
            <w:tcBorders>
              <w:bottom w:val="single" w:sz="4" w:space="0" w:color="auto"/>
            </w:tcBorders>
            <w:shd w:val="clear" w:color="auto" w:fill="CCCCCC"/>
          </w:tcPr>
          <w:p w14:paraId="038A4EC2" w14:textId="77777777" w:rsidR="00E06EAA" w:rsidRDefault="00E06EAA" w:rsidP="001A5D4A">
            <w:pPr>
              <w:pStyle w:val="NotesTable-CellBold"/>
            </w:pPr>
            <w:r>
              <w:t>–</w:t>
            </w:r>
          </w:p>
        </w:tc>
        <w:tc>
          <w:tcPr>
            <w:tcW w:w="279" w:type="pct"/>
            <w:tcBorders>
              <w:bottom w:val="single" w:sz="4" w:space="0" w:color="auto"/>
            </w:tcBorders>
            <w:shd w:val="clear" w:color="auto" w:fill="CCCCCC"/>
          </w:tcPr>
          <w:p w14:paraId="038A4EC3" w14:textId="77777777" w:rsidR="00E06EAA" w:rsidRDefault="00E06EAA" w:rsidP="001A5D4A">
            <w:pPr>
              <w:pStyle w:val="NotesTable-CellPlain"/>
            </w:pPr>
            <w:r>
              <w:t>–</w:t>
            </w:r>
          </w:p>
        </w:tc>
        <w:tc>
          <w:tcPr>
            <w:tcW w:w="279" w:type="pct"/>
            <w:gridSpan w:val="2"/>
            <w:tcBorders>
              <w:bottom w:val="single" w:sz="4" w:space="0" w:color="auto"/>
            </w:tcBorders>
            <w:shd w:val="clear" w:color="auto" w:fill="CCCCCC"/>
          </w:tcPr>
          <w:p w14:paraId="038A4EC4" w14:textId="77777777" w:rsidR="00E06EAA" w:rsidRDefault="00E06EAA" w:rsidP="001A5D4A">
            <w:pPr>
              <w:pStyle w:val="NotesTable-CellBold"/>
            </w:pPr>
            <w:r>
              <w:t>–</w:t>
            </w:r>
          </w:p>
        </w:tc>
        <w:tc>
          <w:tcPr>
            <w:tcW w:w="280" w:type="pct"/>
            <w:gridSpan w:val="2"/>
            <w:tcBorders>
              <w:bottom w:val="single" w:sz="4" w:space="0" w:color="auto"/>
            </w:tcBorders>
            <w:shd w:val="clear" w:color="auto" w:fill="CCCCCC"/>
          </w:tcPr>
          <w:p w14:paraId="038A4EC5" w14:textId="77777777" w:rsidR="00E06EAA" w:rsidRDefault="00E06EAA" w:rsidP="001A5D4A">
            <w:pPr>
              <w:pStyle w:val="NotesTable-CellPlain"/>
            </w:pPr>
            <w:r>
              <w:t>–</w:t>
            </w:r>
          </w:p>
        </w:tc>
        <w:tc>
          <w:tcPr>
            <w:tcW w:w="279" w:type="pct"/>
            <w:tcBorders>
              <w:bottom w:val="single" w:sz="4" w:space="0" w:color="auto"/>
            </w:tcBorders>
            <w:shd w:val="clear" w:color="auto" w:fill="CCCCCC"/>
          </w:tcPr>
          <w:p w14:paraId="038A4EC6" w14:textId="77777777" w:rsidR="00E06EAA" w:rsidRDefault="00E06EAA" w:rsidP="001A5D4A">
            <w:pPr>
              <w:pStyle w:val="NotesTable-CellBold"/>
            </w:pPr>
            <w:r>
              <w:t>–</w:t>
            </w:r>
          </w:p>
        </w:tc>
        <w:tc>
          <w:tcPr>
            <w:tcW w:w="279" w:type="pct"/>
            <w:gridSpan w:val="2"/>
            <w:tcBorders>
              <w:bottom w:val="single" w:sz="4" w:space="0" w:color="auto"/>
            </w:tcBorders>
            <w:shd w:val="clear" w:color="auto" w:fill="CCCCCC"/>
          </w:tcPr>
          <w:p w14:paraId="038A4EC7" w14:textId="77777777" w:rsidR="00E06EAA" w:rsidRDefault="00E06EAA" w:rsidP="001A5D4A">
            <w:pPr>
              <w:pStyle w:val="NotesTable-CellPlain"/>
            </w:pPr>
            <w:r>
              <w:t>–</w:t>
            </w:r>
          </w:p>
        </w:tc>
        <w:tc>
          <w:tcPr>
            <w:tcW w:w="279" w:type="pct"/>
            <w:tcBorders>
              <w:bottom w:val="single" w:sz="4" w:space="0" w:color="auto"/>
            </w:tcBorders>
            <w:shd w:val="clear" w:color="auto" w:fill="CCCCCC"/>
          </w:tcPr>
          <w:p w14:paraId="038A4EC8" w14:textId="77777777" w:rsidR="00E06EAA" w:rsidRDefault="00E06EAA" w:rsidP="001A5D4A">
            <w:pPr>
              <w:pStyle w:val="NotesTable-CellBold"/>
            </w:pPr>
            <w:r>
              <w:t>–</w:t>
            </w:r>
          </w:p>
        </w:tc>
        <w:tc>
          <w:tcPr>
            <w:tcW w:w="279" w:type="pct"/>
            <w:gridSpan w:val="2"/>
            <w:tcBorders>
              <w:bottom w:val="single" w:sz="4" w:space="0" w:color="auto"/>
              <w:right w:val="single" w:sz="8" w:space="0" w:color="CDCDCD"/>
            </w:tcBorders>
            <w:shd w:val="clear" w:color="auto" w:fill="CCCCCC"/>
          </w:tcPr>
          <w:p w14:paraId="038A4EC9" w14:textId="77777777" w:rsidR="00E06EAA" w:rsidRDefault="00E06EAA" w:rsidP="001A5D4A">
            <w:pPr>
              <w:pStyle w:val="NotesTable-CellPlain"/>
            </w:pPr>
            <w:r>
              <w:t>–</w:t>
            </w:r>
          </w:p>
        </w:tc>
        <w:tc>
          <w:tcPr>
            <w:tcW w:w="279" w:type="pct"/>
            <w:tcBorders>
              <w:bottom w:val="single" w:sz="4" w:space="0" w:color="auto"/>
              <w:right w:val="single" w:sz="8" w:space="0" w:color="CDCDCD"/>
            </w:tcBorders>
            <w:shd w:val="clear" w:color="auto" w:fill="CCCCCC"/>
          </w:tcPr>
          <w:p w14:paraId="483FCC2C" w14:textId="24CC6966" w:rsidR="00E06EAA" w:rsidRDefault="00E06EAA" w:rsidP="001A5D4A">
            <w:pPr>
              <w:pStyle w:val="NotesTable-CellPlain"/>
            </w:pPr>
            <w:r>
              <w:t>–</w:t>
            </w:r>
          </w:p>
        </w:tc>
        <w:tc>
          <w:tcPr>
            <w:tcW w:w="270" w:type="pct"/>
            <w:tcBorders>
              <w:bottom w:val="single" w:sz="4" w:space="0" w:color="auto"/>
              <w:right w:val="single" w:sz="8" w:space="0" w:color="CDCDCD"/>
            </w:tcBorders>
            <w:shd w:val="clear" w:color="auto" w:fill="CDCDCD"/>
          </w:tcPr>
          <w:p w14:paraId="38EFE02B" w14:textId="50F44712" w:rsidR="00E06EAA" w:rsidRDefault="00E06EAA" w:rsidP="001A5D4A">
            <w:pPr>
              <w:pStyle w:val="NotesTable-CellPlain"/>
            </w:pPr>
            <w:r>
              <w:t>–</w:t>
            </w:r>
          </w:p>
        </w:tc>
      </w:tr>
      <w:tr w:rsidR="00E06EAA" w14:paraId="038A4ED6" w14:textId="6577B37A" w:rsidTr="00AA2125">
        <w:trPr>
          <w:cantSplit/>
          <w:trHeight w:val="225"/>
        </w:trPr>
        <w:tc>
          <w:tcPr>
            <w:tcW w:w="520" w:type="pct"/>
            <w:tcBorders>
              <w:right w:val="single" w:sz="8" w:space="0" w:color="CDCDCD"/>
            </w:tcBorders>
          </w:tcPr>
          <w:p w14:paraId="038A4ECB" w14:textId="77777777" w:rsidR="00E06EAA" w:rsidRDefault="00E06EAA" w:rsidP="001A5D4A">
            <w:pPr>
              <w:pStyle w:val="Note-Refs"/>
            </w:pPr>
          </w:p>
        </w:tc>
        <w:tc>
          <w:tcPr>
            <w:tcW w:w="1468" w:type="pct"/>
            <w:tcBorders>
              <w:left w:val="single" w:sz="8" w:space="0" w:color="CDCDCD"/>
              <w:bottom w:val="single" w:sz="8" w:space="0" w:color="CDCDCD"/>
            </w:tcBorders>
            <w:shd w:val="clear" w:color="auto" w:fill="CCCCCC"/>
          </w:tcPr>
          <w:p w14:paraId="038A4ECC" w14:textId="77777777" w:rsidR="00E06EAA" w:rsidRDefault="00E06EAA" w:rsidP="001A5D4A">
            <w:pPr>
              <w:pStyle w:val="NotesTable-ItemPlain"/>
            </w:pPr>
          </w:p>
        </w:tc>
        <w:tc>
          <w:tcPr>
            <w:tcW w:w="231" w:type="pct"/>
            <w:tcBorders>
              <w:bottom w:val="single" w:sz="8" w:space="0" w:color="CDCDCD"/>
            </w:tcBorders>
            <w:shd w:val="clear" w:color="auto" w:fill="CCCCCC"/>
          </w:tcPr>
          <w:p w14:paraId="038A4ECD" w14:textId="77777777" w:rsidR="00E06EAA" w:rsidRDefault="00E06EAA" w:rsidP="001A5D4A">
            <w:pPr>
              <w:pStyle w:val="NotesTable-Notes"/>
            </w:pPr>
          </w:p>
        </w:tc>
        <w:tc>
          <w:tcPr>
            <w:tcW w:w="278" w:type="pct"/>
            <w:tcBorders>
              <w:top w:val="single" w:sz="4" w:space="0" w:color="auto"/>
              <w:bottom w:val="single" w:sz="8" w:space="0" w:color="CDCDCD"/>
            </w:tcBorders>
            <w:shd w:val="clear" w:color="auto" w:fill="CCCCCC"/>
          </w:tcPr>
          <w:p w14:paraId="038A4ECE" w14:textId="77777777" w:rsidR="00E06EAA" w:rsidRDefault="00E06EAA" w:rsidP="001A5D4A">
            <w:pPr>
              <w:pStyle w:val="NotesTable-CellBold"/>
            </w:pPr>
          </w:p>
        </w:tc>
        <w:tc>
          <w:tcPr>
            <w:tcW w:w="279" w:type="pct"/>
            <w:tcBorders>
              <w:top w:val="single" w:sz="4" w:space="0" w:color="auto"/>
              <w:bottom w:val="single" w:sz="8" w:space="0" w:color="CDCDCD"/>
            </w:tcBorders>
            <w:shd w:val="clear" w:color="auto" w:fill="CCCCCC"/>
          </w:tcPr>
          <w:p w14:paraId="038A4ECF" w14:textId="77777777" w:rsidR="00E06EAA" w:rsidRDefault="00E06EAA" w:rsidP="001A5D4A">
            <w:pPr>
              <w:pStyle w:val="NotesTable-CellPlain"/>
            </w:pPr>
          </w:p>
        </w:tc>
        <w:tc>
          <w:tcPr>
            <w:tcW w:w="279" w:type="pct"/>
            <w:gridSpan w:val="2"/>
            <w:tcBorders>
              <w:top w:val="single" w:sz="4" w:space="0" w:color="auto"/>
              <w:bottom w:val="single" w:sz="8" w:space="0" w:color="CDCDCD"/>
            </w:tcBorders>
            <w:shd w:val="clear" w:color="auto" w:fill="CCCCCC"/>
          </w:tcPr>
          <w:p w14:paraId="038A4ED0" w14:textId="77777777" w:rsidR="00E06EAA" w:rsidRDefault="00E06EAA" w:rsidP="001A5D4A">
            <w:pPr>
              <w:pStyle w:val="NotesTable-CellBold"/>
            </w:pPr>
          </w:p>
        </w:tc>
        <w:tc>
          <w:tcPr>
            <w:tcW w:w="280" w:type="pct"/>
            <w:gridSpan w:val="2"/>
            <w:tcBorders>
              <w:top w:val="single" w:sz="4" w:space="0" w:color="auto"/>
              <w:bottom w:val="single" w:sz="8" w:space="0" w:color="CDCDCD"/>
            </w:tcBorders>
            <w:shd w:val="clear" w:color="auto" w:fill="CCCCCC"/>
          </w:tcPr>
          <w:p w14:paraId="038A4ED1" w14:textId="77777777" w:rsidR="00E06EAA" w:rsidRDefault="00E06EAA" w:rsidP="001A5D4A">
            <w:pPr>
              <w:pStyle w:val="NotesTable-CellPlain"/>
            </w:pPr>
          </w:p>
        </w:tc>
        <w:tc>
          <w:tcPr>
            <w:tcW w:w="279" w:type="pct"/>
            <w:tcBorders>
              <w:top w:val="single" w:sz="4" w:space="0" w:color="auto"/>
              <w:bottom w:val="single" w:sz="8" w:space="0" w:color="CDCDCD"/>
            </w:tcBorders>
            <w:shd w:val="clear" w:color="auto" w:fill="CCCCCC"/>
          </w:tcPr>
          <w:p w14:paraId="038A4ED2" w14:textId="77777777" w:rsidR="00E06EAA" w:rsidRDefault="00E06EAA" w:rsidP="001A5D4A">
            <w:pPr>
              <w:pStyle w:val="NotesTable-CellBold"/>
            </w:pPr>
          </w:p>
        </w:tc>
        <w:tc>
          <w:tcPr>
            <w:tcW w:w="279" w:type="pct"/>
            <w:gridSpan w:val="2"/>
            <w:tcBorders>
              <w:top w:val="single" w:sz="4" w:space="0" w:color="auto"/>
              <w:bottom w:val="single" w:sz="8" w:space="0" w:color="CDCDCD"/>
            </w:tcBorders>
            <w:shd w:val="clear" w:color="auto" w:fill="CCCCCC"/>
          </w:tcPr>
          <w:p w14:paraId="038A4ED3" w14:textId="77777777" w:rsidR="00E06EAA" w:rsidRDefault="00E06EAA" w:rsidP="001A5D4A">
            <w:pPr>
              <w:pStyle w:val="NotesTable-CellPlain"/>
            </w:pPr>
          </w:p>
        </w:tc>
        <w:tc>
          <w:tcPr>
            <w:tcW w:w="279" w:type="pct"/>
            <w:tcBorders>
              <w:top w:val="single" w:sz="4" w:space="0" w:color="auto"/>
              <w:bottom w:val="single" w:sz="8" w:space="0" w:color="CDCDCD"/>
            </w:tcBorders>
            <w:shd w:val="clear" w:color="auto" w:fill="CCCCCC"/>
          </w:tcPr>
          <w:p w14:paraId="038A4ED4" w14:textId="77777777" w:rsidR="00E06EAA" w:rsidRDefault="00E06EAA" w:rsidP="001A5D4A">
            <w:pPr>
              <w:pStyle w:val="NotesTable-CellBold"/>
            </w:pPr>
          </w:p>
        </w:tc>
        <w:tc>
          <w:tcPr>
            <w:tcW w:w="279" w:type="pct"/>
            <w:gridSpan w:val="2"/>
            <w:tcBorders>
              <w:top w:val="single" w:sz="4" w:space="0" w:color="auto"/>
              <w:bottom w:val="single" w:sz="8" w:space="0" w:color="CDCDCD"/>
              <w:right w:val="single" w:sz="8" w:space="0" w:color="CDCDCD"/>
            </w:tcBorders>
            <w:shd w:val="clear" w:color="auto" w:fill="CCCCCC"/>
          </w:tcPr>
          <w:p w14:paraId="038A4ED5" w14:textId="77777777" w:rsidR="00E06EAA" w:rsidRDefault="00E06EAA" w:rsidP="001A5D4A">
            <w:pPr>
              <w:pStyle w:val="NotesTable-CellPlain"/>
            </w:pPr>
          </w:p>
        </w:tc>
        <w:tc>
          <w:tcPr>
            <w:tcW w:w="279" w:type="pct"/>
            <w:tcBorders>
              <w:top w:val="single" w:sz="4" w:space="0" w:color="auto"/>
              <w:bottom w:val="single" w:sz="8" w:space="0" w:color="CDCDCD"/>
              <w:right w:val="single" w:sz="8" w:space="0" w:color="CDCDCD"/>
            </w:tcBorders>
            <w:shd w:val="clear" w:color="auto" w:fill="CCCCCC"/>
          </w:tcPr>
          <w:p w14:paraId="5DB4430D" w14:textId="77777777" w:rsidR="00E06EAA" w:rsidRDefault="00E06EAA" w:rsidP="001A5D4A">
            <w:pPr>
              <w:pStyle w:val="NotesTable-CellPlain"/>
            </w:pPr>
          </w:p>
        </w:tc>
        <w:tc>
          <w:tcPr>
            <w:tcW w:w="270" w:type="pct"/>
            <w:tcBorders>
              <w:top w:val="single" w:sz="4" w:space="0" w:color="auto"/>
              <w:bottom w:val="single" w:sz="8" w:space="0" w:color="CDCDCD"/>
              <w:right w:val="single" w:sz="8" w:space="0" w:color="CDCDCD"/>
            </w:tcBorders>
            <w:shd w:val="clear" w:color="auto" w:fill="CDCDCD"/>
          </w:tcPr>
          <w:p w14:paraId="3C2D31B4" w14:textId="1EA93DCA" w:rsidR="00E06EAA" w:rsidRDefault="00E06EAA" w:rsidP="001A5D4A">
            <w:pPr>
              <w:pStyle w:val="NotesTable-CellPlain"/>
            </w:pPr>
          </w:p>
        </w:tc>
      </w:tr>
    </w:tbl>
    <w:p w14:paraId="038A4ED7" w14:textId="77777777" w:rsidR="00AD6BF4" w:rsidRPr="006D022E" w:rsidRDefault="00AD6BF4" w:rsidP="001A5D4A">
      <w:r w:rsidRPr="006D022E">
        <w:br w:type="page"/>
      </w:r>
    </w:p>
    <w:tbl>
      <w:tblPr>
        <w:tblW w:w="5000" w:type="pct"/>
        <w:tblLook w:val="0000" w:firstRow="0" w:lastRow="0" w:firstColumn="0" w:lastColumn="0" w:noHBand="0" w:noVBand="0"/>
      </w:tblPr>
      <w:tblGrid>
        <w:gridCol w:w="1658"/>
        <w:gridCol w:w="4809"/>
        <w:gridCol w:w="769"/>
        <w:gridCol w:w="845"/>
        <w:gridCol w:w="848"/>
        <w:gridCol w:w="229"/>
        <w:gridCol w:w="619"/>
        <w:gridCol w:w="845"/>
        <w:gridCol w:w="848"/>
        <w:gridCol w:w="848"/>
        <w:gridCol w:w="845"/>
        <w:gridCol w:w="848"/>
        <w:gridCol w:w="848"/>
        <w:gridCol w:w="845"/>
      </w:tblGrid>
      <w:tr w:rsidR="00AA2125" w14:paraId="038A4EDB" w14:textId="77777777" w:rsidTr="00AA2125">
        <w:trPr>
          <w:cantSplit/>
          <w:trHeight w:val="266"/>
        </w:trPr>
        <w:tc>
          <w:tcPr>
            <w:tcW w:w="5000" w:type="pct"/>
            <w:gridSpan w:val="14"/>
            <w:tcBorders>
              <w:right w:val="single" w:sz="8" w:space="0" w:color="CDCDCD"/>
            </w:tcBorders>
            <w:shd w:val="clear" w:color="auto" w:fill="auto"/>
          </w:tcPr>
          <w:p w14:paraId="038A4EDA" w14:textId="59255577" w:rsidR="00AA2125" w:rsidRPr="004B7414" w:rsidRDefault="00AA2125" w:rsidP="004B7414">
            <w:pPr>
              <w:pStyle w:val="TOC3"/>
              <w:ind w:left="0"/>
            </w:pPr>
            <w:r w:rsidRPr="006D022E">
              <w:lastRenderedPageBreak/>
              <w:t>Note 53</w:t>
            </w:r>
            <w:r>
              <w:t xml:space="preserve">. </w:t>
            </w:r>
            <w:r w:rsidRPr="006D022E">
              <w:t>Acquittal of Australian Government financial assistance (continued)</w:t>
            </w:r>
          </w:p>
        </w:tc>
      </w:tr>
      <w:tr w:rsidR="00EA0A1D" w14:paraId="038A4EDF" w14:textId="77777777" w:rsidTr="00261A68">
        <w:trPr>
          <w:cantSplit/>
          <w:trHeight w:val="253"/>
        </w:trPr>
        <w:tc>
          <w:tcPr>
            <w:tcW w:w="528" w:type="pct"/>
            <w:tcBorders>
              <w:right w:val="single" w:sz="8" w:space="0" w:color="CDCDCD"/>
            </w:tcBorders>
          </w:tcPr>
          <w:p w14:paraId="70C1CA7D" w14:textId="77777777" w:rsidR="00AA2125" w:rsidRDefault="00AA2125" w:rsidP="00AA2125">
            <w:pPr>
              <w:pStyle w:val="Note-Refs"/>
              <w:rPr>
                <w:b/>
              </w:rPr>
            </w:pPr>
            <w:r>
              <w:t>MANDATORY</w:t>
            </w:r>
          </w:p>
          <w:p w14:paraId="038A4EDC" w14:textId="55820124" w:rsidR="00EA0A1D" w:rsidRDefault="00AA2125" w:rsidP="00AA2125">
            <w:pPr>
              <w:pStyle w:val="Note-Refs"/>
            </w:pPr>
            <w:r>
              <w:t>EDUCATION</w:t>
            </w:r>
          </w:p>
        </w:tc>
        <w:tc>
          <w:tcPr>
            <w:tcW w:w="2388" w:type="pct"/>
            <w:gridSpan w:val="5"/>
            <w:tcBorders>
              <w:left w:val="single" w:sz="8" w:space="0" w:color="CDCDCD"/>
              <w:right w:val="single" w:sz="8" w:space="0" w:color="CDCDCD"/>
            </w:tcBorders>
            <w:shd w:val="clear" w:color="auto" w:fill="CCCCCC"/>
          </w:tcPr>
          <w:p w14:paraId="038A4EDD" w14:textId="204FD68B" w:rsidR="00EA0A1D" w:rsidRDefault="00F67F7F" w:rsidP="001A5D4A">
            <w:pPr>
              <w:pStyle w:val="NotesTable-AcquittalHeader"/>
              <w:rPr>
                <w:b w:val="0"/>
              </w:rPr>
            </w:pPr>
            <w:r>
              <w:t>5</w:t>
            </w:r>
            <w:r w:rsidR="007E133A">
              <w:t>3</w:t>
            </w:r>
            <w:r>
              <w:t>b</w:t>
            </w:r>
            <w:r w:rsidR="00EA0A1D">
              <w:t xml:space="preserve"> Higher Education Loan Programs (</w:t>
            </w:r>
            <w:proofErr w:type="spellStart"/>
            <w:r w:rsidR="00EA0A1D">
              <w:t>excl</w:t>
            </w:r>
            <w:proofErr w:type="spellEnd"/>
            <w:r w:rsidR="00EA0A1D">
              <w:t xml:space="preserve"> OS-HELP)</w:t>
            </w:r>
          </w:p>
        </w:tc>
        <w:tc>
          <w:tcPr>
            <w:tcW w:w="2084" w:type="pct"/>
            <w:gridSpan w:val="8"/>
            <w:tcBorders>
              <w:left w:val="single" w:sz="8" w:space="0" w:color="CDCDCD"/>
              <w:right w:val="single" w:sz="8" w:space="0" w:color="CDCDCD"/>
            </w:tcBorders>
            <w:shd w:val="clear" w:color="auto" w:fill="CCCCCC"/>
          </w:tcPr>
          <w:p w14:paraId="038A4EDE" w14:textId="77777777" w:rsidR="00EA0A1D" w:rsidRPr="00C02007" w:rsidRDefault="00EA0A1D" w:rsidP="001A5D4A">
            <w:pPr>
              <w:pStyle w:val="NotesTable-ItemBold"/>
            </w:pPr>
            <w:r w:rsidRPr="001D4EEA">
              <w:t>Parent entity (HEP) ONLY</w:t>
            </w:r>
          </w:p>
        </w:tc>
      </w:tr>
      <w:tr w:rsidR="00271026" w14:paraId="34FEA908" w14:textId="77777777" w:rsidTr="00261A68">
        <w:trPr>
          <w:cantSplit/>
          <w:trHeight w:val="253"/>
        </w:trPr>
        <w:tc>
          <w:tcPr>
            <w:tcW w:w="528" w:type="pct"/>
            <w:tcBorders>
              <w:right w:val="single" w:sz="8" w:space="0" w:color="CDCDCD"/>
            </w:tcBorders>
          </w:tcPr>
          <w:p w14:paraId="4CA9335D" w14:textId="77777777" w:rsidR="00271026" w:rsidRDefault="00271026" w:rsidP="001A5D4A">
            <w:pPr>
              <w:pStyle w:val="Note-Refs"/>
            </w:pPr>
          </w:p>
        </w:tc>
        <w:tc>
          <w:tcPr>
            <w:tcW w:w="2388" w:type="pct"/>
            <w:gridSpan w:val="5"/>
            <w:tcBorders>
              <w:left w:val="single" w:sz="8" w:space="0" w:color="CDCDCD"/>
              <w:right w:val="single" w:sz="8" w:space="0" w:color="CDCDCD"/>
            </w:tcBorders>
            <w:shd w:val="clear" w:color="auto" w:fill="CCCCCC"/>
          </w:tcPr>
          <w:p w14:paraId="12245460" w14:textId="77777777" w:rsidR="00271026" w:rsidRDefault="00271026" w:rsidP="001A5D4A">
            <w:pPr>
              <w:pStyle w:val="NotesTable-AcquittalHeader"/>
            </w:pPr>
          </w:p>
        </w:tc>
        <w:tc>
          <w:tcPr>
            <w:tcW w:w="2084" w:type="pct"/>
            <w:gridSpan w:val="8"/>
            <w:tcBorders>
              <w:left w:val="single" w:sz="8" w:space="0" w:color="CDCDCD"/>
              <w:right w:val="single" w:sz="8" w:space="0" w:color="CDCDCD"/>
            </w:tcBorders>
            <w:shd w:val="clear" w:color="auto" w:fill="CCCCCC"/>
          </w:tcPr>
          <w:p w14:paraId="16C59555" w14:textId="77777777" w:rsidR="00271026" w:rsidRDefault="00271026" w:rsidP="001A5D4A">
            <w:pPr>
              <w:pStyle w:val="NotesTable-HeadBold"/>
            </w:pPr>
          </w:p>
        </w:tc>
      </w:tr>
      <w:tr w:rsidR="00716AEC" w14:paraId="038A4EE8" w14:textId="77777777" w:rsidTr="00AA2125">
        <w:trPr>
          <w:cantSplit/>
          <w:trHeight w:val="253"/>
        </w:trPr>
        <w:tc>
          <w:tcPr>
            <w:tcW w:w="528" w:type="pct"/>
            <w:tcBorders>
              <w:right w:val="single" w:sz="8" w:space="0" w:color="CDCDCD"/>
            </w:tcBorders>
          </w:tcPr>
          <w:p w14:paraId="038A4EE0" w14:textId="77777777" w:rsidR="00716AEC" w:rsidRDefault="00716AEC" w:rsidP="001A5D4A">
            <w:pPr>
              <w:pStyle w:val="Note-Refs"/>
            </w:pPr>
          </w:p>
        </w:tc>
        <w:tc>
          <w:tcPr>
            <w:tcW w:w="1776" w:type="pct"/>
            <w:gridSpan w:val="2"/>
            <w:tcBorders>
              <w:left w:val="single" w:sz="8" w:space="0" w:color="CDCDCD"/>
            </w:tcBorders>
            <w:shd w:val="clear" w:color="auto" w:fill="CCCCCC"/>
          </w:tcPr>
          <w:p w14:paraId="038A4EE1" w14:textId="77777777" w:rsidR="00716AEC" w:rsidRDefault="00716AEC" w:rsidP="001A5D4A">
            <w:pPr>
              <w:pStyle w:val="NotesTable-ItemPlain"/>
            </w:pPr>
          </w:p>
        </w:tc>
        <w:tc>
          <w:tcPr>
            <w:tcW w:w="539" w:type="pct"/>
            <w:gridSpan w:val="2"/>
            <w:shd w:val="clear" w:color="auto" w:fill="CCCCCC"/>
          </w:tcPr>
          <w:p w14:paraId="038A4EE2" w14:textId="77777777" w:rsidR="00716AEC" w:rsidRPr="00C02007" w:rsidRDefault="00716AEC" w:rsidP="001A5D4A">
            <w:pPr>
              <w:pStyle w:val="NotesTable-HeadPlain"/>
            </w:pPr>
            <w:r w:rsidRPr="001D4EEA">
              <w:t>HECS-HELP</w:t>
            </w:r>
          </w:p>
          <w:p w14:paraId="038A4EE3" w14:textId="77777777" w:rsidR="00716AEC" w:rsidRPr="008222DA" w:rsidRDefault="00716AEC" w:rsidP="001A5D4A">
            <w:pPr>
              <w:pStyle w:val="NotesTable-HeadPlain"/>
            </w:pPr>
            <w:r w:rsidRPr="008222DA">
              <w:t>(Australian Government payments only)</w:t>
            </w:r>
          </w:p>
        </w:tc>
        <w:tc>
          <w:tcPr>
            <w:tcW w:w="539" w:type="pct"/>
            <w:gridSpan w:val="3"/>
            <w:shd w:val="clear" w:color="auto" w:fill="CCCCCC"/>
          </w:tcPr>
          <w:p w14:paraId="038A4EE4" w14:textId="77777777" w:rsidR="00716AEC" w:rsidRPr="001D4EEA" w:rsidRDefault="00716AEC" w:rsidP="001A5D4A">
            <w:pPr>
              <w:pStyle w:val="NotesTable-HeadPlain"/>
            </w:pPr>
            <w:r w:rsidRPr="008222DA">
              <w:t xml:space="preserve">FEE-HELP </w:t>
            </w:r>
            <w:r w:rsidRPr="007F61A9">
              <w:rPr>
                <w:iCs w:val="0"/>
                <w:vertAlign w:val="superscript"/>
              </w:rPr>
              <w:t>#4</w:t>
            </w:r>
          </w:p>
        </w:tc>
        <w:tc>
          <w:tcPr>
            <w:tcW w:w="540" w:type="pct"/>
            <w:gridSpan w:val="2"/>
            <w:shd w:val="clear" w:color="auto" w:fill="CCCCCC"/>
          </w:tcPr>
          <w:p w14:paraId="038A4EE5" w14:textId="77777777" w:rsidR="00716AEC" w:rsidRPr="00C02007" w:rsidRDefault="00716AEC" w:rsidP="001A5D4A">
            <w:pPr>
              <w:pStyle w:val="NotesTable-HeadPlain"/>
            </w:pPr>
            <w:r w:rsidRPr="00C02007">
              <w:t>VET FEE-HELP</w:t>
            </w:r>
          </w:p>
        </w:tc>
        <w:tc>
          <w:tcPr>
            <w:tcW w:w="539" w:type="pct"/>
            <w:gridSpan w:val="2"/>
            <w:shd w:val="clear" w:color="auto" w:fill="CCCCCC"/>
          </w:tcPr>
          <w:p w14:paraId="038A4EE6" w14:textId="77777777" w:rsidR="00716AEC" w:rsidRPr="008222DA" w:rsidRDefault="00716AEC" w:rsidP="001A5D4A">
            <w:pPr>
              <w:pStyle w:val="NotesTable-HeadPlain"/>
            </w:pPr>
            <w:r w:rsidRPr="008222DA">
              <w:t>SA-HELP</w:t>
            </w:r>
          </w:p>
        </w:tc>
        <w:tc>
          <w:tcPr>
            <w:tcW w:w="539" w:type="pct"/>
            <w:gridSpan w:val="2"/>
            <w:tcBorders>
              <w:right w:val="single" w:sz="8" w:space="0" w:color="CDCDCD"/>
            </w:tcBorders>
            <w:shd w:val="clear" w:color="auto" w:fill="CCCCCC"/>
          </w:tcPr>
          <w:p w14:paraId="038A4EE7" w14:textId="02D4990E" w:rsidR="00716AEC" w:rsidRPr="008222DA" w:rsidRDefault="00716AEC" w:rsidP="001A5D4A">
            <w:pPr>
              <w:pStyle w:val="NotesTable-HeadPlain"/>
            </w:pPr>
            <w:r w:rsidRPr="008222DA">
              <w:t>Total</w:t>
            </w:r>
          </w:p>
        </w:tc>
      </w:tr>
      <w:tr w:rsidR="00A73253" w14:paraId="038A4EF6" w14:textId="77777777" w:rsidTr="00AA2125">
        <w:trPr>
          <w:cantSplit/>
          <w:trHeight w:val="255"/>
        </w:trPr>
        <w:tc>
          <w:tcPr>
            <w:tcW w:w="528" w:type="pct"/>
            <w:tcBorders>
              <w:right w:val="single" w:sz="8" w:space="0" w:color="CDCDCD"/>
            </w:tcBorders>
          </w:tcPr>
          <w:p w14:paraId="038A4EE9" w14:textId="77777777" w:rsidR="00A73253" w:rsidRDefault="00A73253" w:rsidP="001A5D4A">
            <w:pPr>
              <w:pStyle w:val="Note-Refs"/>
            </w:pPr>
          </w:p>
        </w:tc>
        <w:tc>
          <w:tcPr>
            <w:tcW w:w="1531" w:type="pct"/>
            <w:tcBorders>
              <w:left w:val="single" w:sz="8" w:space="0" w:color="CDCDCD"/>
            </w:tcBorders>
            <w:shd w:val="clear" w:color="auto" w:fill="CCCCCC"/>
          </w:tcPr>
          <w:p w14:paraId="038A4EEA" w14:textId="77777777" w:rsidR="00A73253" w:rsidRDefault="00A73253" w:rsidP="001A5D4A">
            <w:pPr>
              <w:pStyle w:val="NotesTable-ItemPlain"/>
            </w:pPr>
          </w:p>
        </w:tc>
        <w:tc>
          <w:tcPr>
            <w:tcW w:w="245" w:type="pct"/>
            <w:shd w:val="clear" w:color="auto" w:fill="CCCCCC"/>
          </w:tcPr>
          <w:p w14:paraId="038A4EEB" w14:textId="77777777" w:rsidR="00A73253" w:rsidRDefault="00A73253" w:rsidP="001A5D4A">
            <w:pPr>
              <w:pStyle w:val="NotesTable-Notes"/>
            </w:pPr>
            <w:r>
              <w:t>Notes</w:t>
            </w:r>
          </w:p>
        </w:tc>
        <w:tc>
          <w:tcPr>
            <w:tcW w:w="269" w:type="pct"/>
            <w:shd w:val="clear" w:color="auto" w:fill="CCCCCC"/>
          </w:tcPr>
          <w:p w14:paraId="038A4EEC" w14:textId="706DFD1A" w:rsidR="00A73253" w:rsidRDefault="006864EC" w:rsidP="001A5D4A">
            <w:pPr>
              <w:pStyle w:val="NotesTable-HeadBold"/>
            </w:pPr>
            <w:r>
              <w:t>2014</w:t>
            </w:r>
          </w:p>
        </w:tc>
        <w:tc>
          <w:tcPr>
            <w:tcW w:w="270" w:type="pct"/>
            <w:shd w:val="clear" w:color="auto" w:fill="CCCCCC"/>
          </w:tcPr>
          <w:p w14:paraId="038A4EED" w14:textId="4693D05F" w:rsidR="00A73253" w:rsidRDefault="006864EC" w:rsidP="001A5D4A">
            <w:pPr>
              <w:pStyle w:val="NotesTable-HeadPlain"/>
            </w:pPr>
            <w:r>
              <w:t>2013</w:t>
            </w:r>
          </w:p>
        </w:tc>
        <w:tc>
          <w:tcPr>
            <w:tcW w:w="270" w:type="pct"/>
            <w:gridSpan w:val="2"/>
            <w:shd w:val="clear" w:color="auto" w:fill="CCCCCC"/>
          </w:tcPr>
          <w:p w14:paraId="038A4EEE" w14:textId="2FADA501" w:rsidR="00A73253" w:rsidRDefault="006864EC" w:rsidP="001A5D4A">
            <w:pPr>
              <w:pStyle w:val="NotesTable-HeadBold"/>
            </w:pPr>
            <w:r>
              <w:t>2014</w:t>
            </w:r>
          </w:p>
        </w:tc>
        <w:tc>
          <w:tcPr>
            <w:tcW w:w="269" w:type="pct"/>
            <w:shd w:val="clear" w:color="auto" w:fill="CCCCCC"/>
          </w:tcPr>
          <w:p w14:paraId="038A4EEF" w14:textId="339FDEB2" w:rsidR="00A73253" w:rsidRDefault="006864EC" w:rsidP="001A5D4A">
            <w:pPr>
              <w:pStyle w:val="NotesTable-HeadPlain"/>
            </w:pPr>
            <w:r>
              <w:t>2013</w:t>
            </w:r>
          </w:p>
        </w:tc>
        <w:tc>
          <w:tcPr>
            <w:tcW w:w="270" w:type="pct"/>
            <w:shd w:val="clear" w:color="auto" w:fill="CCCCCC"/>
          </w:tcPr>
          <w:p w14:paraId="038A4EF0" w14:textId="172F2982" w:rsidR="00A73253" w:rsidRDefault="006864EC" w:rsidP="001A5D4A">
            <w:pPr>
              <w:pStyle w:val="NotesTable-HeadBold"/>
            </w:pPr>
            <w:r>
              <w:t>2014</w:t>
            </w:r>
          </w:p>
        </w:tc>
        <w:tc>
          <w:tcPr>
            <w:tcW w:w="270" w:type="pct"/>
            <w:shd w:val="clear" w:color="auto" w:fill="CCCCCC"/>
          </w:tcPr>
          <w:p w14:paraId="038A4EF1" w14:textId="075827B6" w:rsidR="00A73253" w:rsidRDefault="006864EC" w:rsidP="001A5D4A">
            <w:pPr>
              <w:pStyle w:val="NotesTable-HeadPlain"/>
            </w:pPr>
            <w:r>
              <w:t>2013</w:t>
            </w:r>
          </w:p>
        </w:tc>
        <w:tc>
          <w:tcPr>
            <w:tcW w:w="269" w:type="pct"/>
            <w:shd w:val="clear" w:color="auto" w:fill="CCCCCC"/>
          </w:tcPr>
          <w:p w14:paraId="038A4EF2" w14:textId="5BF82F88" w:rsidR="00A73253" w:rsidRDefault="006864EC" w:rsidP="001A5D4A">
            <w:pPr>
              <w:pStyle w:val="NotesTable-HeadBold"/>
            </w:pPr>
            <w:r>
              <w:t>2014</w:t>
            </w:r>
          </w:p>
        </w:tc>
        <w:tc>
          <w:tcPr>
            <w:tcW w:w="270" w:type="pct"/>
            <w:shd w:val="clear" w:color="auto" w:fill="CCCCCC"/>
          </w:tcPr>
          <w:p w14:paraId="038A4EF3" w14:textId="5B445A02" w:rsidR="00A73253" w:rsidRDefault="006864EC" w:rsidP="001A5D4A">
            <w:pPr>
              <w:pStyle w:val="NotesTable-HeadPlain"/>
            </w:pPr>
            <w:r>
              <w:t>2013</w:t>
            </w:r>
          </w:p>
        </w:tc>
        <w:tc>
          <w:tcPr>
            <w:tcW w:w="270" w:type="pct"/>
            <w:shd w:val="clear" w:color="auto" w:fill="CCCCCC"/>
          </w:tcPr>
          <w:p w14:paraId="038A4EF4" w14:textId="683DE441" w:rsidR="00A73253" w:rsidRDefault="006864EC" w:rsidP="001A5D4A">
            <w:pPr>
              <w:pStyle w:val="NotesTable-HeadBold"/>
            </w:pPr>
            <w:r>
              <w:t>2014</w:t>
            </w:r>
          </w:p>
        </w:tc>
        <w:tc>
          <w:tcPr>
            <w:tcW w:w="269" w:type="pct"/>
            <w:tcBorders>
              <w:right w:val="single" w:sz="8" w:space="0" w:color="CDCDCD"/>
            </w:tcBorders>
            <w:shd w:val="clear" w:color="auto" w:fill="CCCCCC"/>
          </w:tcPr>
          <w:p w14:paraId="038A4EF5" w14:textId="296A702D" w:rsidR="00A73253" w:rsidRDefault="006864EC" w:rsidP="001A5D4A">
            <w:pPr>
              <w:pStyle w:val="NotesTable-HeadPlain"/>
            </w:pPr>
            <w:r>
              <w:t>2013</w:t>
            </w:r>
          </w:p>
        </w:tc>
      </w:tr>
      <w:tr w:rsidR="00A73253" w14:paraId="038A4F04" w14:textId="77777777" w:rsidTr="00AA2125">
        <w:trPr>
          <w:cantSplit/>
          <w:trHeight w:val="255"/>
        </w:trPr>
        <w:tc>
          <w:tcPr>
            <w:tcW w:w="528" w:type="pct"/>
            <w:tcBorders>
              <w:right w:val="single" w:sz="8" w:space="0" w:color="CDCDCD"/>
            </w:tcBorders>
          </w:tcPr>
          <w:p w14:paraId="038A4EF7" w14:textId="77777777" w:rsidR="00A73253" w:rsidRDefault="00A73253" w:rsidP="001A5D4A">
            <w:pPr>
              <w:pStyle w:val="Note-Refs"/>
            </w:pPr>
          </w:p>
        </w:tc>
        <w:tc>
          <w:tcPr>
            <w:tcW w:w="1531" w:type="pct"/>
            <w:tcBorders>
              <w:left w:val="single" w:sz="8" w:space="0" w:color="CDCDCD"/>
            </w:tcBorders>
            <w:shd w:val="clear" w:color="auto" w:fill="CCCCCC"/>
          </w:tcPr>
          <w:p w14:paraId="038A4EF8" w14:textId="77777777" w:rsidR="00A73253" w:rsidRDefault="00A73253" w:rsidP="001A5D4A">
            <w:pPr>
              <w:pStyle w:val="NotesTable-ItemPlain"/>
            </w:pPr>
          </w:p>
        </w:tc>
        <w:tc>
          <w:tcPr>
            <w:tcW w:w="245" w:type="pct"/>
            <w:shd w:val="clear" w:color="auto" w:fill="CCCCCC"/>
          </w:tcPr>
          <w:p w14:paraId="038A4EF9" w14:textId="77777777" w:rsidR="00A73253" w:rsidRDefault="00A73253" w:rsidP="001A5D4A">
            <w:pPr>
              <w:pStyle w:val="NotesTable-Notes"/>
            </w:pPr>
          </w:p>
        </w:tc>
        <w:tc>
          <w:tcPr>
            <w:tcW w:w="269" w:type="pct"/>
            <w:shd w:val="clear" w:color="auto" w:fill="CCCCCC"/>
          </w:tcPr>
          <w:p w14:paraId="038A4EFA" w14:textId="77777777" w:rsidR="00A73253" w:rsidRDefault="00A73253" w:rsidP="001A5D4A">
            <w:pPr>
              <w:pStyle w:val="NotesTable-HeadBold"/>
            </w:pPr>
            <w:r>
              <w:t>$’000</w:t>
            </w:r>
          </w:p>
        </w:tc>
        <w:tc>
          <w:tcPr>
            <w:tcW w:w="270" w:type="pct"/>
            <w:shd w:val="clear" w:color="auto" w:fill="CCCCCC"/>
          </w:tcPr>
          <w:p w14:paraId="038A4EFB" w14:textId="77777777" w:rsidR="00A73253" w:rsidRDefault="00A73253" w:rsidP="001A5D4A">
            <w:pPr>
              <w:pStyle w:val="NotesTable-HeadPlain"/>
            </w:pPr>
            <w:r>
              <w:t>$’000</w:t>
            </w:r>
          </w:p>
        </w:tc>
        <w:tc>
          <w:tcPr>
            <w:tcW w:w="270" w:type="pct"/>
            <w:gridSpan w:val="2"/>
            <w:shd w:val="clear" w:color="auto" w:fill="CCCCCC"/>
          </w:tcPr>
          <w:p w14:paraId="038A4EFC" w14:textId="77777777" w:rsidR="00A73253" w:rsidRDefault="00A73253" w:rsidP="001A5D4A">
            <w:pPr>
              <w:pStyle w:val="NotesTable-HeadBold"/>
            </w:pPr>
            <w:r>
              <w:t>$’000</w:t>
            </w:r>
          </w:p>
        </w:tc>
        <w:tc>
          <w:tcPr>
            <w:tcW w:w="269" w:type="pct"/>
            <w:shd w:val="clear" w:color="auto" w:fill="CCCCCC"/>
          </w:tcPr>
          <w:p w14:paraId="038A4EFD" w14:textId="77777777" w:rsidR="00A73253" w:rsidRDefault="00A73253" w:rsidP="001A5D4A">
            <w:pPr>
              <w:pStyle w:val="NotesTable-HeadPlain"/>
            </w:pPr>
            <w:r>
              <w:t>$’000</w:t>
            </w:r>
          </w:p>
        </w:tc>
        <w:tc>
          <w:tcPr>
            <w:tcW w:w="270" w:type="pct"/>
            <w:shd w:val="clear" w:color="auto" w:fill="CCCCCC"/>
          </w:tcPr>
          <w:p w14:paraId="038A4EFE" w14:textId="77777777" w:rsidR="00A73253" w:rsidRDefault="00A73253" w:rsidP="001A5D4A">
            <w:pPr>
              <w:pStyle w:val="NotesTable-HeadBold"/>
            </w:pPr>
            <w:r>
              <w:t>$’000</w:t>
            </w:r>
          </w:p>
        </w:tc>
        <w:tc>
          <w:tcPr>
            <w:tcW w:w="270" w:type="pct"/>
            <w:shd w:val="clear" w:color="auto" w:fill="CCCCCC"/>
          </w:tcPr>
          <w:p w14:paraId="038A4EFF" w14:textId="77777777" w:rsidR="00A73253" w:rsidRDefault="00A73253" w:rsidP="001A5D4A">
            <w:pPr>
              <w:pStyle w:val="NotesTable-HeadPlain"/>
            </w:pPr>
            <w:r>
              <w:t>$’000</w:t>
            </w:r>
          </w:p>
        </w:tc>
        <w:tc>
          <w:tcPr>
            <w:tcW w:w="269" w:type="pct"/>
            <w:shd w:val="clear" w:color="auto" w:fill="CCCCCC"/>
          </w:tcPr>
          <w:p w14:paraId="038A4F00" w14:textId="77777777" w:rsidR="00A73253" w:rsidRDefault="00A73253" w:rsidP="001A5D4A">
            <w:pPr>
              <w:pStyle w:val="NotesTable-HeadBold"/>
            </w:pPr>
            <w:r>
              <w:t>$’000</w:t>
            </w:r>
          </w:p>
        </w:tc>
        <w:tc>
          <w:tcPr>
            <w:tcW w:w="270" w:type="pct"/>
            <w:shd w:val="clear" w:color="auto" w:fill="CCCCCC"/>
          </w:tcPr>
          <w:p w14:paraId="038A4F01" w14:textId="77777777" w:rsidR="00A73253" w:rsidRDefault="00A73253" w:rsidP="001A5D4A">
            <w:pPr>
              <w:pStyle w:val="NotesTable-HeadPlain"/>
            </w:pPr>
            <w:r>
              <w:t>$’000</w:t>
            </w:r>
          </w:p>
        </w:tc>
        <w:tc>
          <w:tcPr>
            <w:tcW w:w="270" w:type="pct"/>
            <w:shd w:val="clear" w:color="auto" w:fill="CCCCCC"/>
          </w:tcPr>
          <w:p w14:paraId="038A4F02" w14:textId="77777777" w:rsidR="00A73253" w:rsidRDefault="00A73253" w:rsidP="001A5D4A">
            <w:pPr>
              <w:pStyle w:val="NotesTable-HeadBold"/>
            </w:pPr>
            <w:r>
              <w:t>$’000</w:t>
            </w:r>
          </w:p>
        </w:tc>
        <w:tc>
          <w:tcPr>
            <w:tcW w:w="269" w:type="pct"/>
            <w:tcBorders>
              <w:right w:val="single" w:sz="8" w:space="0" w:color="CDCDCD"/>
            </w:tcBorders>
            <w:shd w:val="clear" w:color="auto" w:fill="CCCCCC"/>
          </w:tcPr>
          <w:p w14:paraId="038A4F03" w14:textId="77777777" w:rsidR="00A73253" w:rsidRDefault="00A73253" w:rsidP="001A5D4A">
            <w:pPr>
              <w:pStyle w:val="NotesTable-HeadPlain"/>
            </w:pPr>
            <w:r>
              <w:t>$’000</w:t>
            </w:r>
          </w:p>
        </w:tc>
      </w:tr>
      <w:tr w:rsidR="00A73253" w14:paraId="038A4F12" w14:textId="77777777" w:rsidTr="00AA2125">
        <w:trPr>
          <w:cantSplit/>
          <w:trHeight w:val="255"/>
        </w:trPr>
        <w:tc>
          <w:tcPr>
            <w:tcW w:w="528" w:type="pct"/>
            <w:tcBorders>
              <w:right w:val="single" w:sz="8" w:space="0" w:color="CDCDCD"/>
            </w:tcBorders>
          </w:tcPr>
          <w:p w14:paraId="038A4F05" w14:textId="77777777" w:rsidR="00A73253" w:rsidRDefault="00A73253" w:rsidP="001A5D4A">
            <w:pPr>
              <w:pStyle w:val="Note-Refs"/>
            </w:pPr>
          </w:p>
        </w:tc>
        <w:tc>
          <w:tcPr>
            <w:tcW w:w="1531" w:type="pct"/>
            <w:tcBorders>
              <w:left w:val="single" w:sz="8" w:space="0" w:color="CDCDCD"/>
            </w:tcBorders>
            <w:shd w:val="clear" w:color="auto" w:fill="CCCCCC"/>
          </w:tcPr>
          <w:p w14:paraId="038A4F06" w14:textId="77777777" w:rsidR="00A73253" w:rsidRDefault="00A73253" w:rsidP="001A5D4A">
            <w:pPr>
              <w:pStyle w:val="NotesTable-ItemPlain"/>
            </w:pPr>
          </w:p>
        </w:tc>
        <w:tc>
          <w:tcPr>
            <w:tcW w:w="245" w:type="pct"/>
            <w:shd w:val="clear" w:color="auto" w:fill="CCCCCC"/>
          </w:tcPr>
          <w:p w14:paraId="038A4F07" w14:textId="77777777" w:rsidR="00A73253" w:rsidRDefault="00A73253" w:rsidP="001A5D4A">
            <w:pPr>
              <w:pStyle w:val="NotesTable-Notes"/>
            </w:pPr>
          </w:p>
        </w:tc>
        <w:tc>
          <w:tcPr>
            <w:tcW w:w="269" w:type="pct"/>
            <w:shd w:val="clear" w:color="auto" w:fill="CCCCCC"/>
            <w:vAlign w:val="bottom"/>
          </w:tcPr>
          <w:p w14:paraId="038A4F08" w14:textId="77777777" w:rsidR="00A73253" w:rsidRDefault="00A73253" w:rsidP="001A5D4A">
            <w:pPr>
              <w:pStyle w:val="NotesTable-CellBold"/>
            </w:pPr>
          </w:p>
        </w:tc>
        <w:tc>
          <w:tcPr>
            <w:tcW w:w="270" w:type="pct"/>
            <w:shd w:val="clear" w:color="auto" w:fill="CCCCCC"/>
            <w:vAlign w:val="bottom"/>
          </w:tcPr>
          <w:p w14:paraId="038A4F09" w14:textId="77777777" w:rsidR="00A73253" w:rsidRDefault="00A73253" w:rsidP="001A5D4A">
            <w:pPr>
              <w:pStyle w:val="NotesTable-CellPlain"/>
            </w:pPr>
          </w:p>
        </w:tc>
        <w:tc>
          <w:tcPr>
            <w:tcW w:w="270" w:type="pct"/>
            <w:gridSpan w:val="2"/>
            <w:shd w:val="clear" w:color="auto" w:fill="CCCCCC"/>
            <w:vAlign w:val="bottom"/>
          </w:tcPr>
          <w:p w14:paraId="038A4F0A" w14:textId="77777777" w:rsidR="00A73253" w:rsidRDefault="00A73253" w:rsidP="001A5D4A">
            <w:pPr>
              <w:pStyle w:val="NotesTable-CellBold"/>
            </w:pPr>
          </w:p>
        </w:tc>
        <w:tc>
          <w:tcPr>
            <w:tcW w:w="269" w:type="pct"/>
            <w:shd w:val="clear" w:color="auto" w:fill="CCCCCC"/>
            <w:vAlign w:val="bottom"/>
          </w:tcPr>
          <w:p w14:paraId="038A4F0B" w14:textId="77777777" w:rsidR="00A73253" w:rsidRDefault="00A73253" w:rsidP="001A5D4A">
            <w:pPr>
              <w:pStyle w:val="NotesTable-CellPlain"/>
            </w:pPr>
          </w:p>
        </w:tc>
        <w:tc>
          <w:tcPr>
            <w:tcW w:w="270" w:type="pct"/>
            <w:shd w:val="clear" w:color="auto" w:fill="CCCCCC"/>
            <w:vAlign w:val="bottom"/>
          </w:tcPr>
          <w:p w14:paraId="038A4F0C" w14:textId="77777777" w:rsidR="00A73253" w:rsidRDefault="00A73253" w:rsidP="001A5D4A">
            <w:pPr>
              <w:pStyle w:val="NotesTable-CellBold"/>
            </w:pPr>
          </w:p>
        </w:tc>
        <w:tc>
          <w:tcPr>
            <w:tcW w:w="270" w:type="pct"/>
            <w:shd w:val="clear" w:color="auto" w:fill="CCCCCC"/>
            <w:vAlign w:val="bottom"/>
          </w:tcPr>
          <w:p w14:paraId="038A4F0D" w14:textId="77777777" w:rsidR="00A73253" w:rsidRDefault="00A73253" w:rsidP="001A5D4A">
            <w:pPr>
              <w:pStyle w:val="NotesTable-CellPlain"/>
            </w:pPr>
          </w:p>
        </w:tc>
        <w:tc>
          <w:tcPr>
            <w:tcW w:w="269" w:type="pct"/>
            <w:shd w:val="clear" w:color="auto" w:fill="CCCCCC"/>
            <w:vAlign w:val="bottom"/>
          </w:tcPr>
          <w:p w14:paraId="038A4F0E" w14:textId="77777777" w:rsidR="00A73253" w:rsidRDefault="00A73253" w:rsidP="001A5D4A">
            <w:pPr>
              <w:pStyle w:val="NotesTable-CellBold"/>
            </w:pPr>
          </w:p>
        </w:tc>
        <w:tc>
          <w:tcPr>
            <w:tcW w:w="270" w:type="pct"/>
            <w:shd w:val="clear" w:color="auto" w:fill="CCCCCC"/>
            <w:vAlign w:val="bottom"/>
          </w:tcPr>
          <w:p w14:paraId="038A4F0F" w14:textId="77777777" w:rsidR="00A73253" w:rsidRDefault="00A73253" w:rsidP="001A5D4A">
            <w:pPr>
              <w:pStyle w:val="NotesTable-CellPlain"/>
            </w:pPr>
          </w:p>
        </w:tc>
        <w:tc>
          <w:tcPr>
            <w:tcW w:w="270" w:type="pct"/>
            <w:shd w:val="clear" w:color="auto" w:fill="CCCCCC"/>
            <w:vAlign w:val="bottom"/>
          </w:tcPr>
          <w:p w14:paraId="038A4F10" w14:textId="77777777" w:rsidR="00A73253" w:rsidRDefault="00A73253" w:rsidP="001A5D4A">
            <w:pPr>
              <w:pStyle w:val="NotesTable-CellBold"/>
            </w:pPr>
          </w:p>
        </w:tc>
        <w:tc>
          <w:tcPr>
            <w:tcW w:w="269" w:type="pct"/>
            <w:tcBorders>
              <w:right w:val="single" w:sz="8" w:space="0" w:color="CDCDCD"/>
            </w:tcBorders>
            <w:shd w:val="clear" w:color="auto" w:fill="CCCCCC"/>
            <w:vAlign w:val="bottom"/>
          </w:tcPr>
          <w:p w14:paraId="038A4F11" w14:textId="77777777" w:rsidR="00A73253" w:rsidRDefault="00A73253" w:rsidP="001A5D4A">
            <w:pPr>
              <w:pStyle w:val="NotesTable-CellPlain"/>
            </w:pPr>
          </w:p>
        </w:tc>
      </w:tr>
      <w:tr w:rsidR="00A73253" w14:paraId="038A4F20" w14:textId="77777777" w:rsidTr="00AA2125">
        <w:trPr>
          <w:cantSplit/>
          <w:trHeight w:val="255"/>
        </w:trPr>
        <w:tc>
          <w:tcPr>
            <w:tcW w:w="528" w:type="pct"/>
            <w:tcBorders>
              <w:right w:val="single" w:sz="8" w:space="0" w:color="CDCDCD"/>
            </w:tcBorders>
          </w:tcPr>
          <w:p w14:paraId="038A4F13" w14:textId="77777777" w:rsidR="00A73253" w:rsidRDefault="00A73253" w:rsidP="001A5D4A">
            <w:pPr>
              <w:pStyle w:val="Note-Refs"/>
            </w:pPr>
            <w:r>
              <w:t>A</w:t>
            </w:r>
          </w:p>
        </w:tc>
        <w:tc>
          <w:tcPr>
            <w:tcW w:w="1531" w:type="pct"/>
            <w:tcBorders>
              <w:left w:val="single" w:sz="8" w:space="0" w:color="CDCDCD"/>
            </w:tcBorders>
            <w:shd w:val="clear" w:color="auto" w:fill="CCCCCC"/>
          </w:tcPr>
          <w:p w14:paraId="038A4F14" w14:textId="77777777" w:rsidR="00A73253" w:rsidRDefault="00A73253" w:rsidP="001A5D4A">
            <w:pPr>
              <w:pStyle w:val="NotesTable-ItemPlain"/>
              <w:rPr>
                <w:b/>
              </w:rPr>
            </w:pPr>
            <w:r>
              <w:t>Cash Payable/(Receivable) at beginning of year</w:t>
            </w:r>
          </w:p>
        </w:tc>
        <w:tc>
          <w:tcPr>
            <w:tcW w:w="245" w:type="pct"/>
            <w:shd w:val="clear" w:color="auto" w:fill="CCCCCC"/>
          </w:tcPr>
          <w:p w14:paraId="038A4F15" w14:textId="77777777" w:rsidR="00A73253" w:rsidRDefault="00A73253" w:rsidP="001A5D4A">
            <w:pPr>
              <w:pStyle w:val="NotesTable-Notes"/>
            </w:pPr>
          </w:p>
        </w:tc>
        <w:tc>
          <w:tcPr>
            <w:tcW w:w="269" w:type="pct"/>
            <w:shd w:val="clear" w:color="auto" w:fill="CCCCCC"/>
            <w:vAlign w:val="bottom"/>
          </w:tcPr>
          <w:p w14:paraId="038A4F16" w14:textId="77777777" w:rsidR="00A73253" w:rsidRDefault="00A73253" w:rsidP="001A5D4A">
            <w:pPr>
              <w:pStyle w:val="NotesTable-CellBold"/>
            </w:pPr>
            <w:r>
              <w:t>–</w:t>
            </w:r>
          </w:p>
        </w:tc>
        <w:tc>
          <w:tcPr>
            <w:tcW w:w="270" w:type="pct"/>
            <w:shd w:val="clear" w:color="auto" w:fill="CCCCCC"/>
            <w:vAlign w:val="bottom"/>
          </w:tcPr>
          <w:p w14:paraId="038A4F17" w14:textId="77777777" w:rsidR="00A73253" w:rsidRDefault="00A73253" w:rsidP="001A5D4A">
            <w:pPr>
              <w:pStyle w:val="NotesTable-CellPlain"/>
            </w:pPr>
            <w:r>
              <w:t>–</w:t>
            </w:r>
          </w:p>
        </w:tc>
        <w:tc>
          <w:tcPr>
            <w:tcW w:w="270" w:type="pct"/>
            <w:gridSpan w:val="2"/>
            <w:shd w:val="clear" w:color="auto" w:fill="CCCCCC"/>
            <w:vAlign w:val="bottom"/>
          </w:tcPr>
          <w:p w14:paraId="038A4F18" w14:textId="77777777" w:rsidR="00A73253" w:rsidRDefault="00A73253" w:rsidP="001A5D4A">
            <w:pPr>
              <w:pStyle w:val="NotesTable-CellBold"/>
            </w:pPr>
            <w:r>
              <w:t>–</w:t>
            </w:r>
          </w:p>
        </w:tc>
        <w:tc>
          <w:tcPr>
            <w:tcW w:w="269" w:type="pct"/>
            <w:shd w:val="clear" w:color="auto" w:fill="CCCCCC"/>
            <w:vAlign w:val="bottom"/>
          </w:tcPr>
          <w:p w14:paraId="038A4F19" w14:textId="77777777" w:rsidR="00A73253" w:rsidRDefault="00A73253" w:rsidP="001A5D4A">
            <w:pPr>
              <w:pStyle w:val="NotesTable-CellPlain"/>
            </w:pPr>
            <w:r>
              <w:t>–</w:t>
            </w:r>
          </w:p>
        </w:tc>
        <w:tc>
          <w:tcPr>
            <w:tcW w:w="270" w:type="pct"/>
            <w:shd w:val="clear" w:color="auto" w:fill="CCCCCC"/>
            <w:vAlign w:val="bottom"/>
          </w:tcPr>
          <w:p w14:paraId="038A4F1A" w14:textId="77777777" w:rsidR="00A73253" w:rsidRDefault="00A73253" w:rsidP="001A5D4A">
            <w:pPr>
              <w:pStyle w:val="NotesTable-CellBold"/>
            </w:pPr>
            <w:r>
              <w:t>–</w:t>
            </w:r>
          </w:p>
        </w:tc>
        <w:tc>
          <w:tcPr>
            <w:tcW w:w="270" w:type="pct"/>
            <w:shd w:val="clear" w:color="auto" w:fill="CCCCCC"/>
            <w:vAlign w:val="bottom"/>
          </w:tcPr>
          <w:p w14:paraId="038A4F1B" w14:textId="77777777" w:rsidR="00A73253" w:rsidRDefault="00A73253" w:rsidP="001A5D4A">
            <w:pPr>
              <w:pStyle w:val="NotesTable-CellPlain"/>
            </w:pPr>
            <w:r>
              <w:t>–</w:t>
            </w:r>
          </w:p>
        </w:tc>
        <w:tc>
          <w:tcPr>
            <w:tcW w:w="269" w:type="pct"/>
            <w:shd w:val="clear" w:color="auto" w:fill="CCCCCC"/>
            <w:vAlign w:val="bottom"/>
          </w:tcPr>
          <w:p w14:paraId="038A4F1C" w14:textId="77777777" w:rsidR="00A73253" w:rsidRDefault="00A73253" w:rsidP="001A5D4A">
            <w:pPr>
              <w:pStyle w:val="NotesTable-CellBold"/>
            </w:pPr>
            <w:r>
              <w:t>–</w:t>
            </w:r>
          </w:p>
        </w:tc>
        <w:tc>
          <w:tcPr>
            <w:tcW w:w="270" w:type="pct"/>
            <w:shd w:val="clear" w:color="auto" w:fill="CCCCCC"/>
            <w:vAlign w:val="bottom"/>
          </w:tcPr>
          <w:p w14:paraId="038A4F1D" w14:textId="77777777" w:rsidR="00A73253" w:rsidRDefault="00A73253" w:rsidP="001A5D4A">
            <w:pPr>
              <w:pStyle w:val="NotesTable-CellPlain"/>
            </w:pPr>
            <w:r>
              <w:t>–</w:t>
            </w:r>
          </w:p>
        </w:tc>
        <w:tc>
          <w:tcPr>
            <w:tcW w:w="270" w:type="pct"/>
            <w:shd w:val="clear" w:color="auto" w:fill="CCCCCC"/>
            <w:vAlign w:val="bottom"/>
          </w:tcPr>
          <w:p w14:paraId="038A4F1E" w14:textId="77777777" w:rsidR="00A73253" w:rsidRDefault="00A73253" w:rsidP="001A5D4A">
            <w:pPr>
              <w:pStyle w:val="NotesTable-CellBold"/>
            </w:pPr>
            <w:r>
              <w:t>–</w:t>
            </w:r>
          </w:p>
        </w:tc>
        <w:tc>
          <w:tcPr>
            <w:tcW w:w="269" w:type="pct"/>
            <w:tcBorders>
              <w:right w:val="single" w:sz="8" w:space="0" w:color="CDCDCD"/>
            </w:tcBorders>
            <w:shd w:val="clear" w:color="auto" w:fill="CCCCCC"/>
            <w:vAlign w:val="bottom"/>
          </w:tcPr>
          <w:p w14:paraId="038A4F1F" w14:textId="77777777" w:rsidR="00A73253" w:rsidRDefault="00A73253" w:rsidP="001A5D4A">
            <w:pPr>
              <w:pStyle w:val="NotesTable-CellPlain"/>
            </w:pPr>
            <w:r>
              <w:t>–</w:t>
            </w:r>
          </w:p>
        </w:tc>
      </w:tr>
      <w:tr w:rsidR="00A73253" w14:paraId="038A4F2E" w14:textId="77777777" w:rsidTr="00AA2125">
        <w:trPr>
          <w:cantSplit/>
          <w:trHeight w:val="255"/>
        </w:trPr>
        <w:tc>
          <w:tcPr>
            <w:tcW w:w="528" w:type="pct"/>
            <w:tcBorders>
              <w:right w:val="single" w:sz="8" w:space="0" w:color="CDCDCD"/>
            </w:tcBorders>
          </w:tcPr>
          <w:p w14:paraId="038A4F21" w14:textId="77777777" w:rsidR="00A73253" w:rsidRDefault="00A73253" w:rsidP="001A5D4A">
            <w:pPr>
              <w:pStyle w:val="Note-Refs"/>
            </w:pPr>
            <w:r>
              <w:t>B</w:t>
            </w:r>
          </w:p>
        </w:tc>
        <w:tc>
          <w:tcPr>
            <w:tcW w:w="1531" w:type="pct"/>
            <w:tcBorders>
              <w:left w:val="single" w:sz="8" w:space="0" w:color="CDCDCD"/>
            </w:tcBorders>
            <w:shd w:val="clear" w:color="auto" w:fill="CCCCCC"/>
          </w:tcPr>
          <w:p w14:paraId="038A4F22" w14:textId="77777777" w:rsidR="00A73253" w:rsidRDefault="00A73253" w:rsidP="001A5D4A">
            <w:pPr>
              <w:pStyle w:val="NotesTable-ItemPlain"/>
              <w:rPr>
                <w:b/>
              </w:rPr>
            </w:pPr>
            <w:r>
              <w:t>Financial assistance received in Cash during the reporting period</w:t>
            </w:r>
          </w:p>
        </w:tc>
        <w:tc>
          <w:tcPr>
            <w:tcW w:w="245" w:type="pct"/>
            <w:shd w:val="clear" w:color="auto" w:fill="CCCCCC"/>
          </w:tcPr>
          <w:p w14:paraId="038A4F23" w14:textId="77777777" w:rsidR="00A73253" w:rsidRDefault="00A73253" w:rsidP="001A5D4A">
            <w:pPr>
              <w:pStyle w:val="NotesTable-Notes"/>
            </w:pPr>
          </w:p>
        </w:tc>
        <w:tc>
          <w:tcPr>
            <w:tcW w:w="269" w:type="pct"/>
            <w:tcBorders>
              <w:bottom w:val="single" w:sz="4" w:space="0" w:color="auto"/>
            </w:tcBorders>
            <w:shd w:val="clear" w:color="auto" w:fill="CCCCCC"/>
            <w:vAlign w:val="bottom"/>
          </w:tcPr>
          <w:p w14:paraId="038A4F24" w14:textId="77777777" w:rsidR="00A73253" w:rsidRDefault="00A73253" w:rsidP="001A5D4A">
            <w:pPr>
              <w:pStyle w:val="NotesTable-CellBold"/>
            </w:pPr>
            <w:r>
              <w:t>–</w:t>
            </w:r>
          </w:p>
        </w:tc>
        <w:tc>
          <w:tcPr>
            <w:tcW w:w="270" w:type="pct"/>
            <w:tcBorders>
              <w:bottom w:val="single" w:sz="4" w:space="0" w:color="auto"/>
            </w:tcBorders>
            <w:shd w:val="clear" w:color="auto" w:fill="CCCCCC"/>
            <w:vAlign w:val="bottom"/>
          </w:tcPr>
          <w:p w14:paraId="038A4F25" w14:textId="77777777" w:rsidR="00A73253" w:rsidRDefault="00A73253" w:rsidP="001A5D4A">
            <w:pPr>
              <w:pStyle w:val="NotesTable-CellPlain"/>
            </w:pPr>
            <w:r>
              <w:t>–</w:t>
            </w:r>
          </w:p>
        </w:tc>
        <w:tc>
          <w:tcPr>
            <w:tcW w:w="270" w:type="pct"/>
            <w:gridSpan w:val="2"/>
            <w:tcBorders>
              <w:bottom w:val="single" w:sz="4" w:space="0" w:color="auto"/>
            </w:tcBorders>
            <w:shd w:val="clear" w:color="auto" w:fill="CCCCCC"/>
            <w:vAlign w:val="bottom"/>
          </w:tcPr>
          <w:p w14:paraId="038A4F26" w14:textId="77777777" w:rsidR="00A73253" w:rsidRDefault="00A73253" w:rsidP="001A5D4A">
            <w:pPr>
              <w:pStyle w:val="NotesTable-CellBold"/>
            </w:pPr>
            <w:r>
              <w:t>–</w:t>
            </w:r>
          </w:p>
        </w:tc>
        <w:tc>
          <w:tcPr>
            <w:tcW w:w="269" w:type="pct"/>
            <w:tcBorders>
              <w:bottom w:val="single" w:sz="4" w:space="0" w:color="auto"/>
            </w:tcBorders>
            <w:shd w:val="clear" w:color="auto" w:fill="CCCCCC"/>
            <w:vAlign w:val="bottom"/>
          </w:tcPr>
          <w:p w14:paraId="038A4F27" w14:textId="77777777" w:rsidR="00A73253" w:rsidRDefault="00A73253" w:rsidP="001A5D4A">
            <w:pPr>
              <w:pStyle w:val="NotesTable-CellPlain"/>
            </w:pPr>
            <w:r>
              <w:t>–</w:t>
            </w:r>
          </w:p>
        </w:tc>
        <w:tc>
          <w:tcPr>
            <w:tcW w:w="270" w:type="pct"/>
            <w:tcBorders>
              <w:bottom w:val="single" w:sz="4" w:space="0" w:color="auto"/>
            </w:tcBorders>
            <w:shd w:val="clear" w:color="auto" w:fill="CCCCCC"/>
            <w:vAlign w:val="bottom"/>
          </w:tcPr>
          <w:p w14:paraId="038A4F28" w14:textId="77777777" w:rsidR="00A73253" w:rsidRDefault="00A73253" w:rsidP="001A5D4A">
            <w:pPr>
              <w:pStyle w:val="NotesTable-CellBold"/>
            </w:pPr>
            <w:r>
              <w:t>–</w:t>
            </w:r>
          </w:p>
        </w:tc>
        <w:tc>
          <w:tcPr>
            <w:tcW w:w="270" w:type="pct"/>
            <w:tcBorders>
              <w:bottom w:val="single" w:sz="4" w:space="0" w:color="auto"/>
            </w:tcBorders>
            <w:shd w:val="clear" w:color="auto" w:fill="CCCCCC"/>
            <w:vAlign w:val="bottom"/>
          </w:tcPr>
          <w:p w14:paraId="038A4F29" w14:textId="77777777" w:rsidR="00A73253" w:rsidRDefault="00A73253" w:rsidP="001A5D4A">
            <w:pPr>
              <w:pStyle w:val="NotesTable-CellPlain"/>
            </w:pPr>
            <w:r>
              <w:t>–</w:t>
            </w:r>
          </w:p>
        </w:tc>
        <w:tc>
          <w:tcPr>
            <w:tcW w:w="269" w:type="pct"/>
            <w:tcBorders>
              <w:bottom w:val="single" w:sz="4" w:space="0" w:color="auto"/>
            </w:tcBorders>
            <w:shd w:val="clear" w:color="auto" w:fill="CCCCCC"/>
            <w:vAlign w:val="bottom"/>
          </w:tcPr>
          <w:p w14:paraId="038A4F2A" w14:textId="77777777" w:rsidR="00A73253" w:rsidRDefault="00A73253" w:rsidP="001A5D4A">
            <w:pPr>
              <w:pStyle w:val="NotesTable-CellBold"/>
            </w:pPr>
            <w:r>
              <w:t>–</w:t>
            </w:r>
          </w:p>
        </w:tc>
        <w:tc>
          <w:tcPr>
            <w:tcW w:w="270" w:type="pct"/>
            <w:tcBorders>
              <w:bottom w:val="single" w:sz="4" w:space="0" w:color="auto"/>
            </w:tcBorders>
            <w:shd w:val="clear" w:color="auto" w:fill="CCCCCC"/>
            <w:vAlign w:val="bottom"/>
          </w:tcPr>
          <w:p w14:paraId="038A4F2B" w14:textId="77777777" w:rsidR="00A73253" w:rsidRDefault="00A73253" w:rsidP="001A5D4A">
            <w:pPr>
              <w:pStyle w:val="NotesTable-CellPlain"/>
            </w:pPr>
            <w:r>
              <w:t>–</w:t>
            </w:r>
          </w:p>
        </w:tc>
        <w:tc>
          <w:tcPr>
            <w:tcW w:w="270" w:type="pct"/>
            <w:tcBorders>
              <w:bottom w:val="single" w:sz="4" w:space="0" w:color="auto"/>
            </w:tcBorders>
            <w:shd w:val="clear" w:color="auto" w:fill="CCCCCC"/>
            <w:vAlign w:val="bottom"/>
          </w:tcPr>
          <w:p w14:paraId="038A4F2C" w14:textId="77777777" w:rsidR="00A73253" w:rsidRDefault="00A73253" w:rsidP="001A5D4A">
            <w:pPr>
              <w:pStyle w:val="NotesTable-CellBold"/>
            </w:pPr>
            <w:r>
              <w:t>–</w:t>
            </w:r>
          </w:p>
        </w:tc>
        <w:tc>
          <w:tcPr>
            <w:tcW w:w="269" w:type="pct"/>
            <w:tcBorders>
              <w:bottom w:val="single" w:sz="4" w:space="0" w:color="auto"/>
              <w:right w:val="single" w:sz="8" w:space="0" w:color="CDCDCD"/>
            </w:tcBorders>
            <w:shd w:val="clear" w:color="auto" w:fill="CCCCCC"/>
            <w:vAlign w:val="bottom"/>
          </w:tcPr>
          <w:p w14:paraId="038A4F2D" w14:textId="77777777" w:rsidR="00A73253" w:rsidRDefault="00A73253" w:rsidP="001A5D4A">
            <w:pPr>
              <w:pStyle w:val="NotesTable-CellPlain"/>
            </w:pPr>
            <w:r>
              <w:t>–</w:t>
            </w:r>
          </w:p>
        </w:tc>
      </w:tr>
      <w:tr w:rsidR="00A73253" w14:paraId="038A4F3C" w14:textId="77777777" w:rsidTr="00AA2125">
        <w:trPr>
          <w:cantSplit/>
          <w:trHeight w:val="255"/>
        </w:trPr>
        <w:tc>
          <w:tcPr>
            <w:tcW w:w="528" w:type="pct"/>
            <w:tcBorders>
              <w:right w:val="single" w:sz="8" w:space="0" w:color="CDCDCD"/>
            </w:tcBorders>
          </w:tcPr>
          <w:p w14:paraId="038A4F2F" w14:textId="77777777" w:rsidR="00A73253" w:rsidRDefault="00A73253" w:rsidP="001A5D4A">
            <w:pPr>
              <w:pStyle w:val="Note-Refs"/>
              <w:rPr>
                <w:b/>
              </w:rPr>
            </w:pPr>
            <w:r>
              <w:t>C = A + B</w:t>
            </w:r>
          </w:p>
        </w:tc>
        <w:tc>
          <w:tcPr>
            <w:tcW w:w="1531" w:type="pct"/>
            <w:tcBorders>
              <w:left w:val="single" w:sz="8" w:space="0" w:color="CDCDCD"/>
            </w:tcBorders>
            <w:shd w:val="clear" w:color="auto" w:fill="CCCCCC"/>
          </w:tcPr>
          <w:p w14:paraId="038A4F30" w14:textId="77777777" w:rsidR="00A73253" w:rsidRDefault="00A73253" w:rsidP="001A5D4A">
            <w:pPr>
              <w:pStyle w:val="NotesTable-ItemPlain"/>
              <w:rPr>
                <w:b/>
              </w:rPr>
            </w:pPr>
            <w:r>
              <w:t>Cash available for period</w:t>
            </w:r>
          </w:p>
        </w:tc>
        <w:tc>
          <w:tcPr>
            <w:tcW w:w="245" w:type="pct"/>
            <w:shd w:val="clear" w:color="auto" w:fill="CCCCCC"/>
          </w:tcPr>
          <w:p w14:paraId="038A4F31" w14:textId="77777777" w:rsidR="00A73253" w:rsidRDefault="00A73253" w:rsidP="001A5D4A">
            <w:pPr>
              <w:pStyle w:val="NotesTable-Notes"/>
            </w:pPr>
          </w:p>
        </w:tc>
        <w:tc>
          <w:tcPr>
            <w:tcW w:w="269" w:type="pct"/>
            <w:tcBorders>
              <w:top w:val="single" w:sz="4" w:space="0" w:color="auto"/>
            </w:tcBorders>
            <w:shd w:val="clear" w:color="auto" w:fill="CCCCCC"/>
          </w:tcPr>
          <w:p w14:paraId="038A4F32" w14:textId="77777777" w:rsidR="00A73253" w:rsidRDefault="00A73253" w:rsidP="001A5D4A">
            <w:pPr>
              <w:pStyle w:val="NotesTable-CellBold"/>
            </w:pPr>
            <w:r>
              <w:t>–</w:t>
            </w:r>
          </w:p>
        </w:tc>
        <w:tc>
          <w:tcPr>
            <w:tcW w:w="270" w:type="pct"/>
            <w:tcBorders>
              <w:top w:val="single" w:sz="4" w:space="0" w:color="auto"/>
            </w:tcBorders>
            <w:shd w:val="clear" w:color="auto" w:fill="CCCCCC"/>
          </w:tcPr>
          <w:p w14:paraId="038A4F33" w14:textId="77777777" w:rsidR="00A73253" w:rsidRDefault="00A73253" w:rsidP="001A5D4A">
            <w:pPr>
              <w:pStyle w:val="NotesTable-CellPlain"/>
            </w:pPr>
            <w:r>
              <w:t>–</w:t>
            </w:r>
          </w:p>
        </w:tc>
        <w:tc>
          <w:tcPr>
            <w:tcW w:w="270" w:type="pct"/>
            <w:gridSpan w:val="2"/>
            <w:tcBorders>
              <w:top w:val="single" w:sz="4" w:space="0" w:color="auto"/>
            </w:tcBorders>
            <w:shd w:val="clear" w:color="auto" w:fill="CCCCCC"/>
          </w:tcPr>
          <w:p w14:paraId="038A4F34" w14:textId="77777777" w:rsidR="00A73253" w:rsidRDefault="00A73253" w:rsidP="001A5D4A">
            <w:pPr>
              <w:pStyle w:val="NotesTable-CellBold"/>
            </w:pPr>
            <w:r>
              <w:t>–</w:t>
            </w:r>
          </w:p>
        </w:tc>
        <w:tc>
          <w:tcPr>
            <w:tcW w:w="269" w:type="pct"/>
            <w:tcBorders>
              <w:top w:val="single" w:sz="4" w:space="0" w:color="auto"/>
            </w:tcBorders>
            <w:shd w:val="clear" w:color="auto" w:fill="CCCCCC"/>
          </w:tcPr>
          <w:p w14:paraId="038A4F35" w14:textId="77777777" w:rsidR="00A73253" w:rsidRDefault="00A73253" w:rsidP="001A5D4A">
            <w:pPr>
              <w:pStyle w:val="NotesTable-CellPlain"/>
            </w:pPr>
            <w:r>
              <w:t>–</w:t>
            </w:r>
          </w:p>
        </w:tc>
        <w:tc>
          <w:tcPr>
            <w:tcW w:w="270" w:type="pct"/>
            <w:tcBorders>
              <w:top w:val="single" w:sz="4" w:space="0" w:color="auto"/>
            </w:tcBorders>
            <w:shd w:val="clear" w:color="auto" w:fill="CCCCCC"/>
          </w:tcPr>
          <w:p w14:paraId="038A4F36" w14:textId="77777777" w:rsidR="00A73253" w:rsidRDefault="00A73253" w:rsidP="001A5D4A">
            <w:pPr>
              <w:pStyle w:val="NotesTable-CellBold"/>
            </w:pPr>
            <w:r>
              <w:t>–</w:t>
            </w:r>
          </w:p>
        </w:tc>
        <w:tc>
          <w:tcPr>
            <w:tcW w:w="270" w:type="pct"/>
            <w:tcBorders>
              <w:top w:val="single" w:sz="4" w:space="0" w:color="auto"/>
            </w:tcBorders>
            <w:shd w:val="clear" w:color="auto" w:fill="CCCCCC"/>
          </w:tcPr>
          <w:p w14:paraId="038A4F37" w14:textId="77777777" w:rsidR="00A73253" w:rsidRDefault="00A73253" w:rsidP="001A5D4A">
            <w:pPr>
              <w:pStyle w:val="NotesTable-CellPlain"/>
            </w:pPr>
            <w:r>
              <w:t>–</w:t>
            </w:r>
          </w:p>
        </w:tc>
        <w:tc>
          <w:tcPr>
            <w:tcW w:w="269" w:type="pct"/>
            <w:tcBorders>
              <w:top w:val="single" w:sz="4" w:space="0" w:color="auto"/>
            </w:tcBorders>
            <w:shd w:val="clear" w:color="auto" w:fill="CCCCCC"/>
          </w:tcPr>
          <w:p w14:paraId="038A4F38" w14:textId="77777777" w:rsidR="00A73253" w:rsidRDefault="00A73253" w:rsidP="001A5D4A">
            <w:pPr>
              <w:pStyle w:val="NotesTable-CellBold"/>
            </w:pPr>
            <w:r>
              <w:t>–</w:t>
            </w:r>
          </w:p>
        </w:tc>
        <w:tc>
          <w:tcPr>
            <w:tcW w:w="270" w:type="pct"/>
            <w:tcBorders>
              <w:top w:val="single" w:sz="4" w:space="0" w:color="auto"/>
            </w:tcBorders>
            <w:shd w:val="clear" w:color="auto" w:fill="CCCCCC"/>
          </w:tcPr>
          <w:p w14:paraId="038A4F39" w14:textId="77777777" w:rsidR="00A73253" w:rsidRDefault="00A73253" w:rsidP="001A5D4A">
            <w:pPr>
              <w:pStyle w:val="NotesTable-CellPlain"/>
            </w:pPr>
            <w:r>
              <w:t>–</w:t>
            </w:r>
          </w:p>
        </w:tc>
        <w:tc>
          <w:tcPr>
            <w:tcW w:w="270" w:type="pct"/>
            <w:tcBorders>
              <w:top w:val="single" w:sz="4" w:space="0" w:color="auto"/>
            </w:tcBorders>
            <w:shd w:val="clear" w:color="auto" w:fill="CCCCCC"/>
          </w:tcPr>
          <w:p w14:paraId="038A4F3A" w14:textId="77777777" w:rsidR="00A73253" w:rsidRDefault="00A73253" w:rsidP="001A5D4A">
            <w:pPr>
              <w:pStyle w:val="NotesTable-CellBold"/>
            </w:pPr>
            <w:r>
              <w:t>–</w:t>
            </w:r>
          </w:p>
        </w:tc>
        <w:tc>
          <w:tcPr>
            <w:tcW w:w="269" w:type="pct"/>
            <w:tcBorders>
              <w:top w:val="single" w:sz="4" w:space="0" w:color="auto"/>
              <w:right w:val="single" w:sz="8" w:space="0" w:color="CDCDCD"/>
            </w:tcBorders>
            <w:shd w:val="clear" w:color="auto" w:fill="CCCCCC"/>
          </w:tcPr>
          <w:p w14:paraId="038A4F3B" w14:textId="77777777" w:rsidR="00A73253" w:rsidRDefault="00A73253" w:rsidP="001A5D4A">
            <w:pPr>
              <w:pStyle w:val="NotesTable-CellPlain"/>
            </w:pPr>
            <w:r>
              <w:t>–</w:t>
            </w:r>
          </w:p>
        </w:tc>
      </w:tr>
      <w:tr w:rsidR="00A73253" w14:paraId="038A4F4A" w14:textId="77777777" w:rsidTr="00AA2125">
        <w:trPr>
          <w:cantSplit/>
          <w:trHeight w:val="255"/>
        </w:trPr>
        <w:tc>
          <w:tcPr>
            <w:tcW w:w="528" w:type="pct"/>
            <w:tcBorders>
              <w:right w:val="single" w:sz="8" w:space="0" w:color="CDCDCD"/>
            </w:tcBorders>
          </w:tcPr>
          <w:p w14:paraId="038A4F3D" w14:textId="77777777" w:rsidR="00A73253" w:rsidRDefault="00A73253" w:rsidP="001A5D4A">
            <w:pPr>
              <w:pStyle w:val="Note-Refs"/>
            </w:pPr>
            <w:r>
              <w:t>D</w:t>
            </w:r>
          </w:p>
        </w:tc>
        <w:tc>
          <w:tcPr>
            <w:tcW w:w="1531" w:type="pct"/>
            <w:tcBorders>
              <w:left w:val="single" w:sz="8" w:space="0" w:color="CDCDCD"/>
            </w:tcBorders>
            <w:shd w:val="clear" w:color="auto" w:fill="CCCCCC"/>
          </w:tcPr>
          <w:p w14:paraId="038A4F3E" w14:textId="77777777" w:rsidR="00A73253" w:rsidRDefault="00A73253" w:rsidP="001A5D4A">
            <w:pPr>
              <w:pStyle w:val="NotesTable-ItemPlain"/>
              <w:rPr>
                <w:b/>
              </w:rPr>
            </w:pPr>
            <w:r>
              <w:t>Revenue earned</w:t>
            </w:r>
          </w:p>
        </w:tc>
        <w:tc>
          <w:tcPr>
            <w:tcW w:w="245" w:type="pct"/>
            <w:shd w:val="clear" w:color="auto" w:fill="CCCCCC"/>
          </w:tcPr>
          <w:p w14:paraId="038A4F3F" w14:textId="77777777" w:rsidR="00A73253" w:rsidRDefault="00A73253" w:rsidP="001A5D4A">
            <w:pPr>
              <w:pStyle w:val="NotesTable-Notes"/>
            </w:pPr>
            <w:r>
              <w:t>3(b)</w:t>
            </w:r>
          </w:p>
        </w:tc>
        <w:tc>
          <w:tcPr>
            <w:tcW w:w="269" w:type="pct"/>
            <w:shd w:val="clear" w:color="auto" w:fill="CCCCCC"/>
          </w:tcPr>
          <w:p w14:paraId="038A4F40" w14:textId="77777777" w:rsidR="00A73253" w:rsidRDefault="00A73253" w:rsidP="001A5D4A">
            <w:pPr>
              <w:pStyle w:val="NotesTable-CellBold"/>
            </w:pPr>
            <w:r>
              <w:t>–</w:t>
            </w:r>
          </w:p>
        </w:tc>
        <w:tc>
          <w:tcPr>
            <w:tcW w:w="270" w:type="pct"/>
            <w:shd w:val="clear" w:color="auto" w:fill="CCCCCC"/>
          </w:tcPr>
          <w:p w14:paraId="038A4F41" w14:textId="77777777" w:rsidR="00A73253" w:rsidRDefault="00A73253" w:rsidP="001A5D4A">
            <w:pPr>
              <w:pStyle w:val="NotesTable-CellPlain"/>
            </w:pPr>
            <w:r>
              <w:t>–</w:t>
            </w:r>
          </w:p>
        </w:tc>
        <w:tc>
          <w:tcPr>
            <w:tcW w:w="270" w:type="pct"/>
            <w:gridSpan w:val="2"/>
            <w:shd w:val="clear" w:color="auto" w:fill="CCCCCC"/>
          </w:tcPr>
          <w:p w14:paraId="038A4F42" w14:textId="77777777" w:rsidR="00A73253" w:rsidRDefault="00A73253" w:rsidP="001A5D4A">
            <w:pPr>
              <w:pStyle w:val="NotesTable-CellBold"/>
            </w:pPr>
            <w:r>
              <w:t>–</w:t>
            </w:r>
          </w:p>
        </w:tc>
        <w:tc>
          <w:tcPr>
            <w:tcW w:w="269" w:type="pct"/>
            <w:shd w:val="clear" w:color="auto" w:fill="CCCCCC"/>
          </w:tcPr>
          <w:p w14:paraId="038A4F43" w14:textId="77777777" w:rsidR="00A73253" w:rsidRDefault="00A73253" w:rsidP="001A5D4A">
            <w:pPr>
              <w:pStyle w:val="NotesTable-CellPlain"/>
            </w:pPr>
            <w:r>
              <w:t>–</w:t>
            </w:r>
          </w:p>
        </w:tc>
        <w:tc>
          <w:tcPr>
            <w:tcW w:w="270" w:type="pct"/>
            <w:shd w:val="clear" w:color="auto" w:fill="CCCCCC"/>
          </w:tcPr>
          <w:p w14:paraId="038A4F44" w14:textId="77777777" w:rsidR="00A73253" w:rsidRDefault="00A73253" w:rsidP="001A5D4A">
            <w:pPr>
              <w:pStyle w:val="NotesTable-CellBold"/>
            </w:pPr>
            <w:r>
              <w:t>–</w:t>
            </w:r>
          </w:p>
        </w:tc>
        <w:tc>
          <w:tcPr>
            <w:tcW w:w="270" w:type="pct"/>
            <w:shd w:val="clear" w:color="auto" w:fill="CCCCCC"/>
          </w:tcPr>
          <w:p w14:paraId="038A4F45" w14:textId="77777777" w:rsidR="00A73253" w:rsidRDefault="00A73253" w:rsidP="001A5D4A">
            <w:pPr>
              <w:pStyle w:val="NotesTable-CellPlain"/>
            </w:pPr>
            <w:r>
              <w:t>–</w:t>
            </w:r>
          </w:p>
        </w:tc>
        <w:tc>
          <w:tcPr>
            <w:tcW w:w="269" w:type="pct"/>
            <w:shd w:val="clear" w:color="auto" w:fill="CCCCCC"/>
          </w:tcPr>
          <w:p w14:paraId="038A4F46" w14:textId="77777777" w:rsidR="00A73253" w:rsidRDefault="00A73253" w:rsidP="001A5D4A">
            <w:pPr>
              <w:pStyle w:val="NotesTable-CellBold"/>
            </w:pPr>
            <w:r>
              <w:t>–</w:t>
            </w:r>
          </w:p>
        </w:tc>
        <w:tc>
          <w:tcPr>
            <w:tcW w:w="270" w:type="pct"/>
            <w:shd w:val="clear" w:color="auto" w:fill="CCCCCC"/>
          </w:tcPr>
          <w:p w14:paraId="038A4F47" w14:textId="77777777" w:rsidR="00A73253" w:rsidRDefault="00A73253" w:rsidP="001A5D4A">
            <w:pPr>
              <w:pStyle w:val="NotesTable-CellPlain"/>
            </w:pPr>
            <w:r>
              <w:t>–</w:t>
            </w:r>
          </w:p>
        </w:tc>
        <w:tc>
          <w:tcPr>
            <w:tcW w:w="270" w:type="pct"/>
            <w:shd w:val="clear" w:color="auto" w:fill="CCCCCC"/>
          </w:tcPr>
          <w:p w14:paraId="038A4F48" w14:textId="77777777" w:rsidR="00A73253" w:rsidRDefault="00A73253" w:rsidP="001A5D4A">
            <w:pPr>
              <w:pStyle w:val="NotesTable-CellBold"/>
            </w:pPr>
            <w:r>
              <w:t>–</w:t>
            </w:r>
          </w:p>
        </w:tc>
        <w:tc>
          <w:tcPr>
            <w:tcW w:w="269" w:type="pct"/>
            <w:tcBorders>
              <w:right w:val="single" w:sz="8" w:space="0" w:color="CDCDCD"/>
            </w:tcBorders>
            <w:shd w:val="clear" w:color="auto" w:fill="CCCCCC"/>
          </w:tcPr>
          <w:p w14:paraId="038A4F49" w14:textId="77777777" w:rsidR="00A73253" w:rsidRDefault="00A73253" w:rsidP="001A5D4A">
            <w:pPr>
              <w:pStyle w:val="NotesTable-CellPlain"/>
            </w:pPr>
            <w:r>
              <w:t>–</w:t>
            </w:r>
          </w:p>
        </w:tc>
      </w:tr>
      <w:tr w:rsidR="00A73253" w14:paraId="038A4F58" w14:textId="77777777" w:rsidTr="00AA2125">
        <w:trPr>
          <w:cantSplit/>
          <w:trHeight w:val="255"/>
        </w:trPr>
        <w:tc>
          <w:tcPr>
            <w:tcW w:w="528" w:type="pct"/>
            <w:tcBorders>
              <w:right w:val="single" w:sz="8" w:space="0" w:color="CDCDCD"/>
            </w:tcBorders>
          </w:tcPr>
          <w:p w14:paraId="038A4F4B" w14:textId="77777777" w:rsidR="00A73253" w:rsidDel="00D922EA" w:rsidRDefault="00A73253" w:rsidP="001A5D4A">
            <w:pPr>
              <w:pStyle w:val="Note-Refs"/>
              <w:rPr>
                <w:b/>
              </w:rPr>
            </w:pPr>
            <w:r>
              <w:t>E = C - D</w:t>
            </w:r>
          </w:p>
        </w:tc>
        <w:tc>
          <w:tcPr>
            <w:tcW w:w="1531" w:type="pct"/>
            <w:tcBorders>
              <w:left w:val="single" w:sz="8" w:space="0" w:color="CDCDCD"/>
            </w:tcBorders>
            <w:shd w:val="clear" w:color="auto" w:fill="CCCCCC"/>
          </w:tcPr>
          <w:p w14:paraId="038A4F4C" w14:textId="77777777" w:rsidR="00A73253" w:rsidRDefault="00A73253" w:rsidP="001A5D4A">
            <w:pPr>
              <w:pStyle w:val="NotesTable-ItemPlain"/>
              <w:rPr>
                <w:b/>
              </w:rPr>
            </w:pPr>
            <w:r w:rsidRPr="00D922EA">
              <w:t>Cash Payable/(Receivable) at end of year</w:t>
            </w:r>
          </w:p>
        </w:tc>
        <w:tc>
          <w:tcPr>
            <w:tcW w:w="245" w:type="pct"/>
            <w:shd w:val="clear" w:color="auto" w:fill="CCCCCC"/>
          </w:tcPr>
          <w:p w14:paraId="038A4F4D" w14:textId="77777777" w:rsidR="00A73253" w:rsidRDefault="00A73253" w:rsidP="001A5D4A">
            <w:pPr>
              <w:pStyle w:val="NotesTable-Notes"/>
            </w:pPr>
          </w:p>
        </w:tc>
        <w:tc>
          <w:tcPr>
            <w:tcW w:w="269" w:type="pct"/>
            <w:tcBorders>
              <w:top w:val="single" w:sz="4" w:space="0" w:color="000000"/>
            </w:tcBorders>
            <w:shd w:val="clear" w:color="auto" w:fill="CCCCCC"/>
          </w:tcPr>
          <w:p w14:paraId="038A4F4E"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F4F" w14:textId="77777777" w:rsidR="00A73253" w:rsidRDefault="00A73253" w:rsidP="001A5D4A">
            <w:pPr>
              <w:pStyle w:val="NotesTable-CellPlain"/>
            </w:pPr>
            <w:r>
              <w:t>–</w:t>
            </w:r>
          </w:p>
        </w:tc>
        <w:tc>
          <w:tcPr>
            <w:tcW w:w="270" w:type="pct"/>
            <w:gridSpan w:val="2"/>
            <w:tcBorders>
              <w:top w:val="single" w:sz="4" w:space="0" w:color="000000"/>
            </w:tcBorders>
            <w:shd w:val="clear" w:color="auto" w:fill="CCCCCC"/>
          </w:tcPr>
          <w:p w14:paraId="038A4F50" w14:textId="77777777" w:rsidR="00A73253" w:rsidRDefault="00A73253" w:rsidP="001A5D4A">
            <w:pPr>
              <w:pStyle w:val="NotesTable-CellBold"/>
            </w:pPr>
            <w:r>
              <w:t>–</w:t>
            </w:r>
          </w:p>
        </w:tc>
        <w:tc>
          <w:tcPr>
            <w:tcW w:w="269" w:type="pct"/>
            <w:tcBorders>
              <w:top w:val="single" w:sz="4" w:space="0" w:color="000000"/>
            </w:tcBorders>
            <w:shd w:val="clear" w:color="auto" w:fill="CCCCCC"/>
          </w:tcPr>
          <w:p w14:paraId="038A4F51"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F52"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F53" w14:textId="77777777" w:rsidR="00A73253" w:rsidRDefault="00A73253" w:rsidP="001A5D4A">
            <w:pPr>
              <w:pStyle w:val="NotesTable-CellPlain"/>
            </w:pPr>
            <w:r>
              <w:t>–</w:t>
            </w:r>
          </w:p>
        </w:tc>
        <w:tc>
          <w:tcPr>
            <w:tcW w:w="269" w:type="pct"/>
            <w:tcBorders>
              <w:top w:val="single" w:sz="4" w:space="0" w:color="000000"/>
            </w:tcBorders>
            <w:shd w:val="clear" w:color="auto" w:fill="CCCCCC"/>
          </w:tcPr>
          <w:p w14:paraId="038A4F54" w14:textId="77777777" w:rsidR="00A73253" w:rsidRDefault="00A73253" w:rsidP="001A5D4A">
            <w:pPr>
              <w:pStyle w:val="NotesTable-CellBold"/>
            </w:pPr>
            <w:r>
              <w:t>–</w:t>
            </w:r>
          </w:p>
        </w:tc>
        <w:tc>
          <w:tcPr>
            <w:tcW w:w="270" w:type="pct"/>
            <w:tcBorders>
              <w:top w:val="single" w:sz="4" w:space="0" w:color="000000"/>
            </w:tcBorders>
            <w:shd w:val="clear" w:color="auto" w:fill="CCCCCC"/>
          </w:tcPr>
          <w:p w14:paraId="038A4F55" w14:textId="77777777" w:rsidR="00A73253" w:rsidRDefault="00A73253" w:rsidP="001A5D4A">
            <w:pPr>
              <w:pStyle w:val="NotesTable-CellPlain"/>
            </w:pPr>
            <w:r>
              <w:t>–</w:t>
            </w:r>
          </w:p>
        </w:tc>
        <w:tc>
          <w:tcPr>
            <w:tcW w:w="270" w:type="pct"/>
            <w:tcBorders>
              <w:top w:val="single" w:sz="4" w:space="0" w:color="000000"/>
            </w:tcBorders>
            <w:shd w:val="clear" w:color="auto" w:fill="CCCCCC"/>
          </w:tcPr>
          <w:p w14:paraId="038A4F56" w14:textId="77777777" w:rsidR="00A73253" w:rsidRDefault="00A73253" w:rsidP="001A5D4A">
            <w:pPr>
              <w:pStyle w:val="NotesTable-CellBold"/>
            </w:pPr>
            <w:r>
              <w:t>–</w:t>
            </w:r>
          </w:p>
        </w:tc>
        <w:tc>
          <w:tcPr>
            <w:tcW w:w="269" w:type="pct"/>
            <w:tcBorders>
              <w:top w:val="single" w:sz="4" w:space="0" w:color="000000"/>
              <w:right w:val="single" w:sz="8" w:space="0" w:color="CDCDCD"/>
            </w:tcBorders>
            <w:shd w:val="clear" w:color="auto" w:fill="CCCCCC"/>
          </w:tcPr>
          <w:p w14:paraId="038A4F57" w14:textId="77777777" w:rsidR="00A73253" w:rsidRDefault="00A73253" w:rsidP="001A5D4A">
            <w:pPr>
              <w:pStyle w:val="NotesTable-CellPlain"/>
            </w:pPr>
            <w:r>
              <w:t>–</w:t>
            </w:r>
          </w:p>
        </w:tc>
      </w:tr>
      <w:tr w:rsidR="00A73253" w14:paraId="038A4F66" w14:textId="77777777" w:rsidTr="00AA2125">
        <w:trPr>
          <w:cantSplit/>
          <w:trHeight w:val="255"/>
        </w:trPr>
        <w:tc>
          <w:tcPr>
            <w:tcW w:w="528" w:type="pct"/>
            <w:tcBorders>
              <w:right w:val="single" w:sz="8" w:space="0" w:color="CDCDCD"/>
            </w:tcBorders>
          </w:tcPr>
          <w:p w14:paraId="038A4F59" w14:textId="77777777" w:rsidR="00A73253" w:rsidRDefault="00A73253" w:rsidP="001A5D4A">
            <w:pPr>
              <w:pStyle w:val="Note-Refs"/>
            </w:pPr>
          </w:p>
        </w:tc>
        <w:tc>
          <w:tcPr>
            <w:tcW w:w="1531" w:type="pct"/>
            <w:tcBorders>
              <w:left w:val="single" w:sz="8" w:space="0" w:color="CDCDCD"/>
              <w:bottom w:val="single" w:sz="8" w:space="0" w:color="CDCDCD"/>
            </w:tcBorders>
            <w:shd w:val="clear" w:color="auto" w:fill="CCCCCC"/>
          </w:tcPr>
          <w:p w14:paraId="038A4F5A" w14:textId="77777777" w:rsidR="00A73253" w:rsidRPr="00D922EA" w:rsidRDefault="00A73253" w:rsidP="001A5D4A">
            <w:pPr>
              <w:pStyle w:val="NotesTable-ItemPlain"/>
            </w:pPr>
          </w:p>
        </w:tc>
        <w:tc>
          <w:tcPr>
            <w:tcW w:w="245" w:type="pct"/>
            <w:tcBorders>
              <w:bottom w:val="single" w:sz="8" w:space="0" w:color="CDCDCD"/>
            </w:tcBorders>
            <w:shd w:val="clear" w:color="auto" w:fill="CCCCCC"/>
          </w:tcPr>
          <w:p w14:paraId="038A4F5B" w14:textId="77777777" w:rsidR="00A73253" w:rsidRDefault="00A73253" w:rsidP="001A5D4A">
            <w:pPr>
              <w:pStyle w:val="NotesTable-Notes"/>
            </w:pPr>
          </w:p>
        </w:tc>
        <w:tc>
          <w:tcPr>
            <w:tcW w:w="269" w:type="pct"/>
            <w:tcBorders>
              <w:top w:val="single" w:sz="4" w:space="0" w:color="000000"/>
              <w:bottom w:val="single" w:sz="8" w:space="0" w:color="CDCDCD"/>
            </w:tcBorders>
            <w:shd w:val="clear" w:color="auto" w:fill="CCCCCC"/>
          </w:tcPr>
          <w:p w14:paraId="038A4F5C" w14:textId="77777777" w:rsidR="00A73253" w:rsidRDefault="00A73253" w:rsidP="001A5D4A">
            <w:pPr>
              <w:pStyle w:val="NotesTable-CellBold"/>
            </w:pPr>
          </w:p>
        </w:tc>
        <w:tc>
          <w:tcPr>
            <w:tcW w:w="270" w:type="pct"/>
            <w:tcBorders>
              <w:top w:val="single" w:sz="4" w:space="0" w:color="000000"/>
              <w:bottom w:val="single" w:sz="8" w:space="0" w:color="CDCDCD"/>
            </w:tcBorders>
            <w:shd w:val="clear" w:color="auto" w:fill="CCCCCC"/>
          </w:tcPr>
          <w:p w14:paraId="038A4F5D" w14:textId="77777777" w:rsidR="00A73253" w:rsidRDefault="00A73253" w:rsidP="001A5D4A">
            <w:pPr>
              <w:pStyle w:val="NotesTable-CellPlain"/>
            </w:pPr>
          </w:p>
        </w:tc>
        <w:tc>
          <w:tcPr>
            <w:tcW w:w="270" w:type="pct"/>
            <w:gridSpan w:val="2"/>
            <w:tcBorders>
              <w:top w:val="single" w:sz="4" w:space="0" w:color="000000"/>
              <w:bottom w:val="single" w:sz="8" w:space="0" w:color="CDCDCD"/>
            </w:tcBorders>
            <w:shd w:val="clear" w:color="auto" w:fill="CCCCCC"/>
          </w:tcPr>
          <w:p w14:paraId="038A4F5E" w14:textId="77777777" w:rsidR="00A73253" w:rsidRDefault="00A73253" w:rsidP="001A5D4A">
            <w:pPr>
              <w:pStyle w:val="NotesTable-CellBold"/>
            </w:pPr>
          </w:p>
        </w:tc>
        <w:tc>
          <w:tcPr>
            <w:tcW w:w="269" w:type="pct"/>
            <w:tcBorders>
              <w:top w:val="single" w:sz="4" w:space="0" w:color="000000"/>
              <w:bottom w:val="single" w:sz="8" w:space="0" w:color="CDCDCD"/>
            </w:tcBorders>
            <w:shd w:val="clear" w:color="auto" w:fill="CCCCCC"/>
          </w:tcPr>
          <w:p w14:paraId="038A4F5F" w14:textId="77777777" w:rsidR="00A73253" w:rsidRDefault="00A73253" w:rsidP="001A5D4A">
            <w:pPr>
              <w:pStyle w:val="NotesTable-CellPlain"/>
            </w:pPr>
          </w:p>
        </w:tc>
        <w:tc>
          <w:tcPr>
            <w:tcW w:w="270" w:type="pct"/>
            <w:tcBorders>
              <w:top w:val="single" w:sz="4" w:space="0" w:color="000000"/>
              <w:bottom w:val="single" w:sz="8" w:space="0" w:color="CDCDCD"/>
            </w:tcBorders>
            <w:shd w:val="clear" w:color="auto" w:fill="CCCCCC"/>
          </w:tcPr>
          <w:p w14:paraId="038A4F60" w14:textId="77777777" w:rsidR="00A73253" w:rsidRDefault="00A73253" w:rsidP="001A5D4A">
            <w:pPr>
              <w:pStyle w:val="NotesTable-CellBold"/>
            </w:pPr>
          </w:p>
        </w:tc>
        <w:tc>
          <w:tcPr>
            <w:tcW w:w="270" w:type="pct"/>
            <w:tcBorders>
              <w:top w:val="single" w:sz="4" w:space="0" w:color="000000"/>
              <w:bottom w:val="single" w:sz="8" w:space="0" w:color="CDCDCD"/>
            </w:tcBorders>
            <w:shd w:val="clear" w:color="auto" w:fill="CCCCCC"/>
          </w:tcPr>
          <w:p w14:paraId="038A4F61" w14:textId="77777777" w:rsidR="00A73253" w:rsidRDefault="00A73253" w:rsidP="001A5D4A">
            <w:pPr>
              <w:pStyle w:val="NotesTable-CellPlain"/>
            </w:pPr>
          </w:p>
        </w:tc>
        <w:tc>
          <w:tcPr>
            <w:tcW w:w="269" w:type="pct"/>
            <w:tcBorders>
              <w:top w:val="single" w:sz="4" w:space="0" w:color="000000"/>
              <w:bottom w:val="single" w:sz="8" w:space="0" w:color="CDCDCD"/>
            </w:tcBorders>
            <w:shd w:val="clear" w:color="auto" w:fill="CCCCCC"/>
          </w:tcPr>
          <w:p w14:paraId="038A4F62" w14:textId="77777777" w:rsidR="00A73253" w:rsidRDefault="00A73253" w:rsidP="001A5D4A">
            <w:pPr>
              <w:pStyle w:val="NotesTable-CellBold"/>
            </w:pPr>
          </w:p>
        </w:tc>
        <w:tc>
          <w:tcPr>
            <w:tcW w:w="270" w:type="pct"/>
            <w:tcBorders>
              <w:top w:val="single" w:sz="4" w:space="0" w:color="000000"/>
              <w:bottom w:val="single" w:sz="8" w:space="0" w:color="CDCDCD"/>
            </w:tcBorders>
            <w:shd w:val="clear" w:color="auto" w:fill="CCCCCC"/>
          </w:tcPr>
          <w:p w14:paraId="038A4F63" w14:textId="77777777" w:rsidR="00A73253" w:rsidRDefault="00A73253" w:rsidP="001A5D4A">
            <w:pPr>
              <w:pStyle w:val="NotesTable-CellPlain"/>
            </w:pPr>
          </w:p>
        </w:tc>
        <w:tc>
          <w:tcPr>
            <w:tcW w:w="270" w:type="pct"/>
            <w:tcBorders>
              <w:top w:val="single" w:sz="4" w:space="0" w:color="000000"/>
              <w:bottom w:val="single" w:sz="8" w:space="0" w:color="CDCDCD"/>
            </w:tcBorders>
            <w:shd w:val="clear" w:color="auto" w:fill="CCCCCC"/>
          </w:tcPr>
          <w:p w14:paraId="038A4F64" w14:textId="77777777" w:rsidR="00A73253" w:rsidRDefault="00A73253" w:rsidP="001A5D4A">
            <w:pPr>
              <w:pStyle w:val="NotesTable-CellBold"/>
            </w:pPr>
          </w:p>
        </w:tc>
        <w:tc>
          <w:tcPr>
            <w:tcW w:w="269" w:type="pct"/>
            <w:tcBorders>
              <w:top w:val="single" w:sz="4" w:space="0" w:color="000000"/>
              <w:bottom w:val="single" w:sz="8" w:space="0" w:color="CDCDCD"/>
              <w:right w:val="single" w:sz="8" w:space="0" w:color="CDCDCD"/>
            </w:tcBorders>
            <w:shd w:val="clear" w:color="auto" w:fill="CCCCCC"/>
          </w:tcPr>
          <w:p w14:paraId="038A4F65" w14:textId="77777777" w:rsidR="00A73253" w:rsidRDefault="00A73253" w:rsidP="001A5D4A">
            <w:pPr>
              <w:pStyle w:val="NotesTable-CellPlain"/>
            </w:pPr>
          </w:p>
        </w:tc>
      </w:tr>
    </w:tbl>
    <w:p w14:paraId="038A4F67" w14:textId="77777777" w:rsidR="00023312" w:rsidRDefault="00023312" w:rsidP="001A5D4A">
      <w:pPr>
        <w:tabs>
          <w:tab w:val="left" w:pos="1843"/>
        </w:tabs>
        <w:rPr>
          <w:rFonts w:ascii="Arial" w:hAnsi="Arial" w:cs="Arial"/>
          <w:sz w:val="18"/>
          <w:szCs w:val="18"/>
        </w:rPr>
      </w:pPr>
    </w:p>
    <w:p w14:paraId="038A4F68" w14:textId="77777777" w:rsidR="00AD6BF4" w:rsidRPr="006D022E" w:rsidRDefault="00923C3F" w:rsidP="001A5D4A">
      <w:r w:rsidRPr="006D022E">
        <w:t>#</w:t>
      </w:r>
      <w:r w:rsidR="000B00BA" w:rsidRPr="006D022E">
        <w:t>4</w:t>
      </w:r>
      <w:r w:rsidRPr="006D022E">
        <w:t xml:space="preserve"> </w:t>
      </w:r>
      <w:proofErr w:type="gramStart"/>
      <w:r w:rsidRPr="006D022E">
        <w:t>Program</w:t>
      </w:r>
      <w:proofErr w:type="gramEnd"/>
      <w:r w:rsidRPr="006D022E">
        <w:t xml:space="preserve"> is in respect of FEE-HELP for Higher Education only and excludes funds received in respect of VET FEE-HELP.</w:t>
      </w:r>
    </w:p>
    <w:p w14:paraId="038A4F69" w14:textId="77777777" w:rsidR="00AD6BF4" w:rsidRPr="006D022E" w:rsidRDefault="00AD6BF4" w:rsidP="001A5D4A">
      <w:r w:rsidRPr="006D022E">
        <w:br w:type="page"/>
      </w:r>
    </w:p>
    <w:tbl>
      <w:tblPr>
        <w:tblW w:w="5000" w:type="pct"/>
        <w:tblLook w:val="0000" w:firstRow="0" w:lastRow="0" w:firstColumn="0" w:lastColumn="0" w:noHBand="0" w:noVBand="0"/>
      </w:tblPr>
      <w:tblGrid>
        <w:gridCol w:w="1648"/>
        <w:gridCol w:w="3413"/>
        <w:gridCol w:w="734"/>
        <w:gridCol w:w="12"/>
        <w:gridCol w:w="706"/>
        <w:gridCol w:w="690"/>
        <w:gridCol w:w="16"/>
        <w:gridCol w:w="707"/>
        <w:gridCol w:w="79"/>
        <w:gridCol w:w="616"/>
        <w:gridCol w:w="13"/>
        <w:gridCol w:w="471"/>
        <w:gridCol w:w="236"/>
        <w:gridCol w:w="694"/>
        <w:gridCol w:w="13"/>
        <w:gridCol w:w="707"/>
        <w:gridCol w:w="694"/>
        <w:gridCol w:w="13"/>
        <w:gridCol w:w="707"/>
        <w:gridCol w:w="694"/>
        <w:gridCol w:w="13"/>
        <w:gridCol w:w="707"/>
        <w:gridCol w:w="694"/>
        <w:gridCol w:w="13"/>
        <w:gridCol w:w="707"/>
        <w:gridCol w:w="707"/>
      </w:tblGrid>
      <w:tr w:rsidR="00AA2125" w14:paraId="038A4F6D" w14:textId="77777777" w:rsidTr="00AA2125">
        <w:trPr>
          <w:cantSplit/>
          <w:trHeight w:val="180"/>
        </w:trPr>
        <w:tc>
          <w:tcPr>
            <w:tcW w:w="5000" w:type="pct"/>
            <w:gridSpan w:val="26"/>
            <w:tcBorders>
              <w:right w:val="single" w:sz="8" w:space="0" w:color="CDCDCD"/>
            </w:tcBorders>
            <w:shd w:val="clear" w:color="auto" w:fill="auto"/>
          </w:tcPr>
          <w:p w14:paraId="038A4F6C" w14:textId="51505596" w:rsidR="00B43B52" w:rsidRPr="004B7414" w:rsidRDefault="00AA2125" w:rsidP="004B7414">
            <w:pPr>
              <w:pStyle w:val="TOC3"/>
              <w:ind w:left="0"/>
            </w:pPr>
            <w:r w:rsidRPr="006D022E">
              <w:lastRenderedPageBreak/>
              <w:t>Note 53</w:t>
            </w:r>
            <w:r>
              <w:t xml:space="preserve">. </w:t>
            </w:r>
            <w:r w:rsidRPr="006D022E">
              <w:t>Acquittal of Australian Government financial assistance (continued)</w:t>
            </w:r>
          </w:p>
        </w:tc>
      </w:tr>
      <w:tr w:rsidR="008222DA" w14:paraId="038A4F71" w14:textId="77777777" w:rsidTr="00AA2125">
        <w:trPr>
          <w:cantSplit/>
          <w:trHeight w:val="293"/>
        </w:trPr>
        <w:tc>
          <w:tcPr>
            <w:tcW w:w="525" w:type="pct"/>
            <w:tcBorders>
              <w:right w:val="single" w:sz="8" w:space="0" w:color="CDCDCD"/>
            </w:tcBorders>
          </w:tcPr>
          <w:p w14:paraId="13AC4327" w14:textId="77777777" w:rsidR="00AA2125" w:rsidRDefault="00AA2125" w:rsidP="00AA2125">
            <w:pPr>
              <w:pStyle w:val="Note-Refs"/>
              <w:rPr>
                <w:b/>
              </w:rPr>
            </w:pPr>
            <w:r>
              <w:t>MANDATORY</w:t>
            </w:r>
          </w:p>
          <w:p w14:paraId="038A4F6E" w14:textId="5298EF28" w:rsidR="008222DA" w:rsidRDefault="00AA2125" w:rsidP="00AA2125">
            <w:pPr>
              <w:pStyle w:val="Note-Refs"/>
            </w:pPr>
            <w:r>
              <w:t>EDUCATION</w:t>
            </w:r>
          </w:p>
        </w:tc>
        <w:tc>
          <w:tcPr>
            <w:tcW w:w="2375" w:type="pct"/>
            <w:gridSpan w:val="11"/>
            <w:tcBorders>
              <w:left w:val="single" w:sz="8" w:space="0" w:color="CDCDCD"/>
              <w:right w:val="single" w:sz="8" w:space="0" w:color="CDCDCD"/>
            </w:tcBorders>
            <w:shd w:val="clear" w:color="auto" w:fill="CCCCCC"/>
          </w:tcPr>
          <w:p w14:paraId="0813E87C" w14:textId="77777777" w:rsidR="008222DA" w:rsidRDefault="008222DA" w:rsidP="001A5D4A">
            <w:pPr>
              <w:pStyle w:val="NotesTable-AcquittalHeader"/>
              <w:rPr>
                <w:b w:val="0"/>
              </w:rPr>
            </w:pPr>
            <w:r>
              <w:t>53c Scholarships</w:t>
            </w:r>
          </w:p>
        </w:tc>
        <w:tc>
          <w:tcPr>
            <w:tcW w:w="2100" w:type="pct"/>
            <w:gridSpan w:val="14"/>
            <w:tcBorders>
              <w:left w:val="single" w:sz="8" w:space="0" w:color="CDCDCD"/>
              <w:right w:val="single" w:sz="8" w:space="0" w:color="CDCDCD"/>
            </w:tcBorders>
            <w:shd w:val="clear" w:color="auto" w:fill="CCCCCC"/>
          </w:tcPr>
          <w:p w14:paraId="038A4F70" w14:textId="2CA61706" w:rsidR="008222DA" w:rsidRDefault="008222DA" w:rsidP="001A5D4A">
            <w:pPr>
              <w:pStyle w:val="NotesTable-ItemBold"/>
            </w:pPr>
            <w:r>
              <w:t>Parent entity (HEP) ONLY</w:t>
            </w:r>
            <w:r w:rsidDel="008222DA">
              <w:t xml:space="preserve"> </w:t>
            </w:r>
          </w:p>
        </w:tc>
      </w:tr>
      <w:tr w:rsidR="00271026" w14:paraId="2986A293" w14:textId="77777777" w:rsidTr="00AA2125">
        <w:trPr>
          <w:cantSplit/>
          <w:trHeight w:val="293"/>
        </w:trPr>
        <w:tc>
          <w:tcPr>
            <w:tcW w:w="525" w:type="pct"/>
            <w:tcBorders>
              <w:right w:val="single" w:sz="8" w:space="0" w:color="CDCDCD"/>
            </w:tcBorders>
          </w:tcPr>
          <w:p w14:paraId="600E6F97" w14:textId="77777777" w:rsidR="00271026" w:rsidRDefault="00271026" w:rsidP="001A5D4A">
            <w:pPr>
              <w:pStyle w:val="Note-Refs"/>
            </w:pPr>
          </w:p>
        </w:tc>
        <w:tc>
          <w:tcPr>
            <w:tcW w:w="2025" w:type="pct"/>
            <w:gridSpan w:val="8"/>
            <w:tcBorders>
              <w:left w:val="single" w:sz="8" w:space="0" w:color="CDCDCD"/>
            </w:tcBorders>
            <w:shd w:val="clear" w:color="auto" w:fill="CCCCCC"/>
          </w:tcPr>
          <w:p w14:paraId="24DBF0B0" w14:textId="77777777" w:rsidR="00271026" w:rsidRDefault="00271026" w:rsidP="001A5D4A">
            <w:pPr>
              <w:pStyle w:val="NotesTable-AcquittalHeader"/>
            </w:pPr>
          </w:p>
        </w:tc>
        <w:tc>
          <w:tcPr>
            <w:tcW w:w="2450" w:type="pct"/>
            <w:gridSpan w:val="17"/>
            <w:tcBorders>
              <w:right w:val="single" w:sz="8" w:space="0" w:color="CDCDCD"/>
            </w:tcBorders>
            <w:shd w:val="clear" w:color="auto" w:fill="CCCCCC"/>
          </w:tcPr>
          <w:p w14:paraId="24AD5AF1" w14:textId="2FCB2772" w:rsidR="00271026" w:rsidRDefault="00271026" w:rsidP="001A5D4A">
            <w:pPr>
              <w:pStyle w:val="NotesTable-HeadBold"/>
            </w:pPr>
          </w:p>
        </w:tc>
      </w:tr>
      <w:tr w:rsidR="005A21D2" w14:paraId="038A4F7B" w14:textId="77777777" w:rsidTr="00AA2125">
        <w:trPr>
          <w:cantSplit/>
          <w:trHeight w:val="256"/>
        </w:trPr>
        <w:tc>
          <w:tcPr>
            <w:tcW w:w="525" w:type="pct"/>
            <w:tcBorders>
              <w:right w:val="single" w:sz="8" w:space="0" w:color="CDCDCD"/>
            </w:tcBorders>
          </w:tcPr>
          <w:p w14:paraId="038A4F72" w14:textId="77777777" w:rsidR="00023312" w:rsidRDefault="00023312" w:rsidP="001A5D4A">
            <w:pPr>
              <w:pStyle w:val="Note-Refs"/>
            </w:pPr>
          </w:p>
        </w:tc>
        <w:tc>
          <w:tcPr>
            <w:tcW w:w="1321" w:type="pct"/>
            <w:gridSpan w:val="2"/>
            <w:tcBorders>
              <w:left w:val="single" w:sz="8" w:space="0" w:color="CDCDCD"/>
            </w:tcBorders>
            <w:shd w:val="clear" w:color="auto" w:fill="CDCDCD"/>
          </w:tcPr>
          <w:p w14:paraId="038A4F73" w14:textId="77777777" w:rsidR="00023312" w:rsidRDefault="00023312" w:rsidP="001A5D4A">
            <w:pPr>
              <w:pStyle w:val="NotesTable-ItemPlain"/>
            </w:pPr>
          </w:p>
        </w:tc>
        <w:tc>
          <w:tcPr>
            <w:tcW w:w="449" w:type="pct"/>
            <w:gridSpan w:val="3"/>
            <w:shd w:val="clear" w:color="auto" w:fill="CCCCCC"/>
          </w:tcPr>
          <w:p w14:paraId="038A4F74" w14:textId="31005161" w:rsidR="00023312" w:rsidRDefault="00023312" w:rsidP="001A5D4A">
            <w:pPr>
              <w:pStyle w:val="NotesTable-HeadPlain"/>
            </w:pPr>
            <w:r>
              <w:t>Australian Postgraduate Awards</w:t>
            </w:r>
          </w:p>
        </w:tc>
        <w:tc>
          <w:tcPr>
            <w:tcW w:w="451" w:type="pct"/>
            <w:gridSpan w:val="4"/>
            <w:shd w:val="clear" w:color="auto" w:fill="CCCCCC"/>
          </w:tcPr>
          <w:p w14:paraId="038A4F75" w14:textId="77777777" w:rsidR="00023312" w:rsidRDefault="00023312" w:rsidP="001A5D4A">
            <w:pPr>
              <w:pStyle w:val="NotesTable-HeadPlain"/>
            </w:pPr>
            <w:r>
              <w:t>International Postgraduate Research Scholarships</w:t>
            </w:r>
          </w:p>
        </w:tc>
        <w:tc>
          <w:tcPr>
            <w:tcW w:w="450" w:type="pct"/>
            <w:gridSpan w:val="4"/>
            <w:shd w:val="clear" w:color="auto" w:fill="CCCCCC"/>
          </w:tcPr>
          <w:p w14:paraId="038A4F76" w14:textId="77777777" w:rsidR="00023312" w:rsidRDefault="00023312" w:rsidP="001A5D4A">
            <w:pPr>
              <w:pStyle w:val="NotesTable-HeadPlain"/>
            </w:pPr>
            <w:r>
              <w:t>Commonw</w:t>
            </w:r>
            <w:r w:rsidR="005A21D2">
              <w:t>’</w:t>
            </w:r>
            <w:r>
              <w:t>lth Education Cost Scholarships</w:t>
            </w:r>
            <w:r w:rsidR="00923C3F">
              <w:t xml:space="preserve"> </w:t>
            </w:r>
            <w:r w:rsidR="00923C3F" w:rsidRPr="00923C3F">
              <w:rPr>
                <w:vertAlign w:val="superscript"/>
              </w:rPr>
              <w:t>#</w:t>
            </w:r>
            <w:r w:rsidR="000B00BA">
              <w:rPr>
                <w:vertAlign w:val="superscript"/>
              </w:rPr>
              <w:t>5</w:t>
            </w:r>
          </w:p>
        </w:tc>
        <w:tc>
          <w:tcPr>
            <w:tcW w:w="450" w:type="pct"/>
            <w:gridSpan w:val="3"/>
            <w:shd w:val="clear" w:color="auto" w:fill="CCCCCC"/>
          </w:tcPr>
          <w:p w14:paraId="038A4F77" w14:textId="77777777" w:rsidR="00023312" w:rsidRDefault="00023312" w:rsidP="001A5D4A">
            <w:pPr>
              <w:pStyle w:val="NotesTable-HeadPlain"/>
            </w:pPr>
            <w:proofErr w:type="spellStart"/>
            <w:r>
              <w:t>Commonw</w:t>
            </w:r>
            <w:r w:rsidR="005A21D2">
              <w:t>’</w:t>
            </w:r>
            <w:r>
              <w:t>lth</w:t>
            </w:r>
            <w:proofErr w:type="spellEnd"/>
            <w:r>
              <w:t xml:space="preserve"> </w:t>
            </w:r>
            <w:proofErr w:type="spellStart"/>
            <w:r>
              <w:t>Accom</w:t>
            </w:r>
            <w:proofErr w:type="spellEnd"/>
            <w:r>
              <w:t xml:space="preserve"> Scholarships</w:t>
            </w:r>
            <w:r w:rsidR="00923C3F">
              <w:t xml:space="preserve"> </w:t>
            </w:r>
            <w:r w:rsidR="00923C3F" w:rsidRPr="00923C3F">
              <w:rPr>
                <w:vertAlign w:val="superscript"/>
              </w:rPr>
              <w:t>#</w:t>
            </w:r>
            <w:r w:rsidR="000B00BA">
              <w:rPr>
                <w:vertAlign w:val="superscript"/>
              </w:rPr>
              <w:t>5</w:t>
            </w:r>
          </w:p>
        </w:tc>
        <w:tc>
          <w:tcPr>
            <w:tcW w:w="450" w:type="pct"/>
            <w:gridSpan w:val="3"/>
            <w:shd w:val="clear" w:color="auto" w:fill="CCCCCC"/>
          </w:tcPr>
          <w:p w14:paraId="038A4F78" w14:textId="77777777" w:rsidR="00023312" w:rsidRDefault="00023312" w:rsidP="001A5D4A">
            <w:pPr>
              <w:pStyle w:val="NotesTable-HeadPlain"/>
            </w:pPr>
            <w:r>
              <w:t>Indigenous Access Scholarships</w:t>
            </w:r>
          </w:p>
        </w:tc>
        <w:tc>
          <w:tcPr>
            <w:tcW w:w="450" w:type="pct"/>
            <w:gridSpan w:val="3"/>
            <w:shd w:val="clear" w:color="auto" w:fill="CCCCCC"/>
          </w:tcPr>
          <w:p w14:paraId="038A4F79" w14:textId="77777777" w:rsidR="00023312" w:rsidRDefault="00023312" w:rsidP="001A5D4A">
            <w:pPr>
              <w:pStyle w:val="NotesTable-HeadPlain"/>
            </w:pPr>
            <w:r>
              <w:t>Indigenous Staff Scholarships</w:t>
            </w:r>
          </w:p>
        </w:tc>
        <w:tc>
          <w:tcPr>
            <w:tcW w:w="453" w:type="pct"/>
            <w:gridSpan w:val="3"/>
            <w:tcBorders>
              <w:right w:val="single" w:sz="8" w:space="0" w:color="CDCDCD"/>
            </w:tcBorders>
            <w:shd w:val="clear" w:color="auto" w:fill="CCCCCC"/>
          </w:tcPr>
          <w:p w14:paraId="038A4F7A" w14:textId="77777777" w:rsidR="00023312" w:rsidRDefault="00023312" w:rsidP="001A5D4A">
            <w:pPr>
              <w:pStyle w:val="NotesTable-HeadPlain"/>
            </w:pPr>
            <w:r>
              <w:t>Total</w:t>
            </w:r>
          </w:p>
        </w:tc>
      </w:tr>
      <w:tr w:rsidR="00162352" w14:paraId="038A4F8E" w14:textId="77777777" w:rsidTr="00AA2125">
        <w:trPr>
          <w:cantSplit/>
          <w:trHeight w:val="255"/>
        </w:trPr>
        <w:tc>
          <w:tcPr>
            <w:tcW w:w="525" w:type="pct"/>
            <w:tcBorders>
              <w:right w:val="single" w:sz="8" w:space="0" w:color="CDCDCD"/>
            </w:tcBorders>
          </w:tcPr>
          <w:p w14:paraId="038A4F7C" w14:textId="77777777" w:rsidR="00A73253" w:rsidRDefault="00A73253" w:rsidP="001A5D4A">
            <w:pPr>
              <w:pStyle w:val="Note-Refs"/>
            </w:pPr>
          </w:p>
        </w:tc>
        <w:tc>
          <w:tcPr>
            <w:tcW w:w="1087" w:type="pct"/>
            <w:tcBorders>
              <w:left w:val="single" w:sz="8" w:space="0" w:color="CDCDCD"/>
            </w:tcBorders>
            <w:shd w:val="clear" w:color="auto" w:fill="CCCCCC"/>
          </w:tcPr>
          <w:p w14:paraId="038A4F7D" w14:textId="77777777" w:rsidR="00A73253" w:rsidRDefault="00A73253" w:rsidP="001A5D4A">
            <w:pPr>
              <w:pStyle w:val="NotesTable-ItemPlain"/>
            </w:pPr>
          </w:p>
          <w:p w14:paraId="038A4F7E" w14:textId="77777777" w:rsidR="004F16E3" w:rsidRDefault="004F16E3" w:rsidP="001A5D4A">
            <w:pPr>
              <w:pStyle w:val="NotesTable-ItemPlain"/>
            </w:pPr>
          </w:p>
        </w:tc>
        <w:tc>
          <w:tcPr>
            <w:tcW w:w="238" w:type="pct"/>
            <w:gridSpan w:val="2"/>
            <w:shd w:val="clear" w:color="auto" w:fill="CCCCCC"/>
          </w:tcPr>
          <w:p w14:paraId="038A4F7F" w14:textId="77777777" w:rsidR="00A73253" w:rsidRDefault="00A73253" w:rsidP="001A5D4A">
            <w:pPr>
              <w:pStyle w:val="NotesTable-Notes"/>
            </w:pPr>
            <w:r>
              <w:t>Notes</w:t>
            </w:r>
          </w:p>
        </w:tc>
        <w:tc>
          <w:tcPr>
            <w:tcW w:w="225" w:type="pct"/>
            <w:shd w:val="clear" w:color="auto" w:fill="CCCCCC"/>
          </w:tcPr>
          <w:p w14:paraId="038A4F80" w14:textId="735E2AAA" w:rsidR="00A73253" w:rsidRDefault="006864EC" w:rsidP="001A5D4A">
            <w:pPr>
              <w:pStyle w:val="NotesTable-HeadBold"/>
            </w:pPr>
            <w:r>
              <w:t>2014</w:t>
            </w:r>
          </w:p>
        </w:tc>
        <w:tc>
          <w:tcPr>
            <w:tcW w:w="225" w:type="pct"/>
            <w:gridSpan w:val="2"/>
            <w:shd w:val="clear" w:color="auto" w:fill="CCCCCC"/>
          </w:tcPr>
          <w:p w14:paraId="038A4F81" w14:textId="7E979E0F" w:rsidR="00A73253" w:rsidRDefault="006864EC" w:rsidP="001A5D4A">
            <w:pPr>
              <w:pStyle w:val="NotesTable-HeadPlain"/>
            </w:pPr>
            <w:r>
              <w:t>2013</w:t>
            </w:r>
          </w:p>
        </w:tc>
        <w:tc>
          <w:tcPr>
            <w:tcW w:w="225" w:type="pct"/>
            <w:shd w:val="clear" w:color="auto" w:fill="CCCCCC"/>
          </w:tcPr>
          <w:p w14:paraId="038A4F82" w14:textId="1997B1A5" w:rsidR="00A73253" w:rsidRDefault="006864EC" w:rsidP="001A5D4A">
            <w:pPr>
              <w:pStyle w:val="NotesTable-HeadBold"/>
            </w:pPr>
            <w:r>
              <w:t>2014</w:t>
            </w:r>
          </w:p>
        </w:tc>
        <w:tc>
          <w:tcPr>
            <w:tcW w:w="225" w:type="pct"/>
            <w:gridSpan w:val="3"/>
            <w:shd w:val="clear" w:color="auto" w:fill="CCCCCC"/>
          </w:tcPr>
          <w:p w14:paraId="038A4F83" w14:textId="6B86B4B8" w:rsidR="00A73253" w:rsidRDefault="006864EC" w:rsidP="001A5D4A">
            <w:pPr>
              <w:pStyle w:val="NotesTable-HeadPlain"/>
            </w:pPr>
            <w:r>
              <w:t>2013</w:t>
            </w:r>
          </w:p>
        </w:tc>
        <w:tc>
          <w:tcPr>
            <w:tcW w:w="225" w:type="pct"/>
            <w:gridSpan w:val="2"/>
            <w:shd w:val="clear" w:color="auto" w:fill="CCCCCC"/>
          </w:tcPr>
          <w:p w14:paraId="038A4F84" w14:textId="29CFF660" w:rsidR="00A73253" w:rsidRDefault="006864EC" w:rsidP="001A5D4A">
            <w:pPr>
              <w:pStyle w:val="NotesTable-HeadBold"/>
            </w:pPr>
            <w:r>
              <w:t>2014</w:t>
            </w:r>
          </w:p>
        </w:tc>
        <w:tc>
          <w:tcPr>
            <w:tcW w:w="225" w:type="pct"/>
            <w:gridSpan w:val="2"/>
            <w:shd w:val="clear" w:color="auto" w:fill="CCCCCC"/>
          </w:tcPr>
          <w:p w14:paraId="038A4F85" w14:textId="2A2B7A32" w:rsidR="00A73253" w:rsidRDefault="006864EC" w:rsidP="001A5D4A">
            <w:pPr>
              <w:pStyle w:val="NotesTable-HeadPlain"/>
            </w:pPr>
            <w:r>
              <w:t>2013</w:t>
            </w:r>
          </w:p>
        </w:tc>
        <w:tc>
          <w:tcPr>
            <w:tcW w:w="225" w:type="pct"/>
            <w:shd w:val="clear" w:color="auto" w:fill="CCCCCC"/>
          </w:tcPr>
          <w:p w14:paraId="038A4F86" w14:textId="60FBA847" w:rsidR="00A73253" w:rsidRDefault="006864EC" w:rsidP="001A5D4A">
            <w:pPr>
              <w:pStyle w:val="NotesTable-HeadBold"/>
            </w:pPr>
            <w:r>
              <w:t>2014</w:t>
            </w:r>
          </w:p>
        </w:tc>
        <w:tc>
          <w:tcPr>
            <w:tcW w:w="225" w:type="pct"/>
            <w:gridSpan w:val="2"/>
            <w:shd w:val="clear" w:color="auto" w:fill="CCCCCC"/>
          </w:tcPr>
          <w:p w14:paraId="038A4F87" w14:textId="31739D03" w:rsidR="00A73253" w:rsidRDefault="006864EC" w:rsidP="001A5D4A">
            <w:pPr>
              <w:pStyle w:val="NotesTable-HeadPlain"/>
            </w:pPr>
            <w:r>
              <w:t>2013</w:t>
            </w:r>
          </w:p>
        </w:tc>
        <w:tc>
          <w:tcPr>
            <w:tcW w:w="225" w:type="pct"/>
            <w:shd w:val="clear" w:color="auto" w:fill="CCCCCC"/>
          </w:tcPr>
          <w:p w14:paraId="038A4F88" w14:textId="3B5B412D" w:rsidR="00A73253" w:rsidRDefault="006864EC" w:rsidP="001A5D4A">
            <w:pPr>
              <w:pStyle w:val="NotesTable-HeadBold"/>
            </w:pPr>
            <w:r>
              <w:t>2014</w:t>
            </w:r>
          </w:p>
        </w:tc>
        <w:tc>
          <w:tcPr>
            <w:tcW w:w="225" w:type="pct"/>
            <w:gridSpan w:val="2"/>
            <w:shd w:val="clear" w:color="auto" w:fill="CCCCCC"/>
          </w:tcPr>
          <w:p w14:paraId="038A4F89" w14:textId="36E020F5" w:rsidR="00A73253" w:rsidRDefault="006864EC" w:rsidP="001A5D4A">
            <w:pPr>
              <w:pStyle w:val="NotesTable-HeadPlain"/>
            </w:pPr>
            <w:r>
              <w:t>2013</w:t>
            </w:r>
          </w:p>
        </w:tc>
        <w:tc>
          <w:tcPr>
            <w:tcW w:w="225" w:type="pct"/>
            <w:shd w:val="clear" w:color="auto" w:fill="CCCCCC"/>
          </w:tcPr>
          <w:p w14:paraId="038A4F8A" w14:textId="4F5D2707" w:rsidR="00A73253" w:rsidRDefault="006864EC" w:rsidP="001A5D4A">
            <w:pPr>
              <w:pStyle w:val="NotesTable-HeadBold"/>
            </w:pPr>
            <w:r>
              <w:t>2014</w:t>
            </w:r>
          </w:p>
        </w:tc>
        <w:tc>
          <w:tcPr>
            <w:tcW w:w="225" w:type="pct"/>
            <w:gridSpan w:val="2"/>
            <w:shd w:val="clear" w:color="auto" w:fill="CCCCCC"/>
          </w:tcPr>
          <w:p w14:paraId="038A4F8B" w14:textId="43AF1115" w:rsidR="00A73253" w:rsidRDefault="006864EC" w:rsidP="001A5D4A">
            <w:pPr>
              <w:pStyle w:val="NotesTable-HeadPlain"/>
            </w:pPr>
            <w:r>
              <w:t>2013</w:t>
            </w:r>
          </w:p>
        </w:tc>
        <w:tc>
          <w:tcPr>
            <w:tcW w:w="225" w:type="pct"/>
            <w:shd w:val="clear" w:color="auto" w:fill="CCCCCC"/>
          </w:tcPr>
          <w:p w14:paraId="038A4F8C" w14:textId="2E2F2ECB" w:rsidR="00A73253" w:rsidRDefault="006864EC" w:rsidP="001A5D4A">
            <w:pPr>
              <w:pStyle w:val="NotesTable-HeadBold"/>
            </w:pPr>
            <w:r>
              <w:t>2014</w:t>
            </w:r>
          </w:p>
        </w:tc>
        <w:tc>
          <w:tcPr>
            <w:tcW w:w="224" w:type="pct"/>
            <w:tcBorders>
              <w:right w:val="single" w:sz="8" w:space="0" w:color="CDCDCD"/>
            </w:tcBorders>
            <w:shd w:val="clear" w:color="auto" w:fill="CCCCCC"/>
          </w:tcPr>
          <w:p w14:paraId="038A4F8D" w14:textId="6322E541" w:rsidR="00A73253" w:rsidRDefault="006864EC" w:rsidP="001A5D4A">
            <w:pPr>
              <w:pStyle w:val="NotesTable-HeadPlain"/>
            </w:pPr>
            <w:r>
              <w:t>2013</w:t>
            </w:r>
          </w:p>
        </w:tc>
      </w:tr>
      <w:tr w:rsidR="00162352" w14:paraId="038A4FA0" w14:textId="77777777" w:rsidTr="00AA2125">
        <w:trPr>
          <w:cantSplit/>
          <w:trHeight w:val="255"/>
        </w:trPr>
        <w:tc>
          <w:tcPr>
            <w:tcW w:w="525" w:type="pct"/>
            <w:tcBorders>
              <w:right w:val="single" w:sz="8" w:space="0" w:color="CDCDCD"/>
            </w:tcBorders>
          </w:tcPr>
          <w:p w14:paraId="038A4F8F" w14:textId="77777777" w:rsidR="00A73253" w:rsidRDefault="00A73253" w:rsidP="001A5D4A">
            <w:pPr>
              <w:pStyle w:val="Note-Refs"/>
            </w:pPr>
          </w:p>
        </w:tc>
        <w:tc>
          <w:tcPr>
            <w:tcW w:w="1087" w:type="pct"/>
            <w:tcBorders>
              <w:left w:val="single" w:sz="8" w:space="0" w:color="CDCDCD"/>
            </w:tcBorders>
            <w:shd w:val="clear" w:color="auto" w:fill="CCCCCC"/>
          </w:tcPr>
          <w:p w14:paraId="038A4F90" w14:textId="77777777" w:rsidR="00A73253" w:rsidRDefault="00A73253" w:rsidP="001A5D4A">
            <w:pPr>
              <w:pStyle w:val="NotesTable-ItemPlain"/>
            </w:pPr>
          </w:p>
        </w:tc>
        <w:tc>
          <w:tcPr>
            <w:tcW w:w="238" w:type="pct"/>
            <w:gridSpan w:val="2"/>
            <w:shd w:val="clear" w:color="auto" w:fill="CCCCCC"/>
          </w:tcPr>
          <w:p w14:paraId="038A4F91" w14:textId="77777777" w:rsidR="00A73253" w:rsidRDefault="00A73253" w:rsidP="001A5D4A">
            <w:pPr>
              <w:pStyle w:val="NotesTable-Notes"/>
            </w:pPr>
          </w:p>
        </w:tc>
        <w:tc>
          <w:tcPr>
            <w:tcW w:w="225" w:type="pct"/>
            <w:shd w:val="clear" w:color="auto" w:fill="CCCCCC"/>
          </w:tcPr>
          <w:p w14:paraId="038A4F92" w14:textId="77777777" w:rsidR="00A73253" w:rsidRDefault="00A73253" w:rsidP="001A5D4A">
            <w:pPr>
              <w:pStyle w:val="NotesTable-HeadBold"/>
            </w:pPr>
            <w:r>
              <w:t>$’000</w:t>
            </w:r>
          </w:p>
        </w:tc>
        <w:tc>
          <w:tcPr>
            <w:tcW w:w="225" w:type="pct"/>
            <w:gridSpan w:val="2"/>
            <w:shd w:val="clear" w:color="auto" w:fill="CCCCCC"/>
          </w:tcPr>
          <w:p w14:paraId="038A4F93" w14:textId="77777777" w:rsidR="00A73253" w:rsidRDefault="00A73253" w:rsidP="001A5D4A">
            <w:pPr>
              <w:pStyle w:val="NotesTable-HeadPlain"/>
            </w:pPr>
            <w:r>
              <w:t>$’000</w:t>
            </w:r>
          </w:p>
        </w:tc>
        <w:tc>
          <w:tcPr>
            <w:tcW w:w="225" w:type="pct"/>
            <w:shd w:val="clear" w:color="auto" w:fill="CCCCCC"/>
          </w:tcPr>
          <w:p w14:paraId="038A4F94" w14:textId="77777777" w:rsidR="00A73253" w:rsidRDefault="00A73253" w:rsidP="001A5D4A">
            <w:pPr>
              <w:pStyle w:val="NotesTable-HeadBold"/>
            </w:pPr>
            <w:r>
              <w:t>$’000</w:t>
            </w:r>
          </w:p>
        </w:tc>
        <w:tc>
          <w:tcPr>
            <w:tcW w:w="225" w:type="pct"/>
            <w:gridSpan w:val="3"/>
            <w:shd w:val="clear" w:color="auto" w:fill="CCCCCC"/>
          </w:tcPr>
          <w:p w14:paraId="038A4F95" w14:textId="77777777" w:rsidR="00A73253" w:rsidRDefault="00A73253" w:rsidP="001A5D4A">
            <w:pPr>
              <w:pStyle w:val="NotesTable-HeadPlain"/>
            </w:pPr>
            <w:r>
              <w:t>$’000</w:t>
            </w:r>
          </w:p>
        </w:tc>
        <w:tc>
          <w:tcPr>
            <w:tcW w:w="225" w:type="pct"/>
            <w:gridSpan w:val="2"/>
            <w:shd w:val="clear" w:color="auto" w:fill="CCCCCC"/>
          </w:tcPr>
          <w:p w14:paraId="038A4F96" w14:textId="77777777" w:rsidR="00A73253" w:rsidRDefault="00A73253" w:rsidP="001A5D4A">
            <w:pPr>
              <w:pStyle w:val="NotesTable-HeadBold"/>
            </w:pPr>
            <w:r>
              <w:t>$’000</w:t>
            </w:r>
          </w:p>
        </w:tc>
        <w:tc>
          <w:tcPr>
            <w:tcW w:w="225" w:type="pct"/>
            <w:gridSpan w:val="2"/>
            <w:shd w:val="clear" w:color="auto" w:fill="CCCCCC"/>
          </w:tcPr>
          <w:p w14:paraId="038A4F97" w14:textId="77777777" w:rsidR="00A73253" w:rsidRDefault="00A73253" w:rsidP="001A5D4A">
            <w:pPr>
              <w:pStyle w:val="NotesTable-HeadPlain"/>
            </w:pPr>
            <w:r>
              <w:t>$’000</w:t>
            </w:r>
          </w:p>
        </w:tc>
        <w:tc>
          <w:tcPr>
            <w:tcW w:w="225" w:type="pct"/>
            <w:shd w:val="clear" w:color="auto" w:fill="CCCCCC"/>
          </w:tcPr>
          <w:p w14:paraId="038A4F98" w14:textId="77777777" w:rsidR="00A73253" w:rsidRDefault="00A73253" w:rsidP="001A5D4A">
            <w:pPr>
              <w:pStyle w:val="NotesTable-HeadBold"/>
            </w:pPr>
            <w:r>
              <w:t>$’000</w:t>
            </w:r>
          </w:p>
        </w:tc>
        <w:tc>
          <w:tcPr>
            <w:tcW w:w="225" w:type="pct"/>
            <w:gridSpan w:val="2"/>
            <w:shd w:val="clear" w:color="auto" w:fill="CCCCCC"/>
          </w:tcPr>
          <w:p w14:paraId="038A4F99" w14:textId="77777777" w:rsidR="00A73253" w:rsidRDefault="00A73253" w:rsidP="001A5D4A">
            <w:pPr>
              <w:pStyle w:val="NotesTable-HeadPlain"/>
            </w:pPr>
            <w:r>
              <w:t>$’000</w:t>
            </w:r>
          </w:p>
        </w:tc>
        <w:tc>
          <w:tcPr>
            <w:tcW w:w="225" w:type="pct"/>
            <w:shd w:val="clear" w:color="auto" w:fill="CCCCCC"/>
          </w:tcPr>
          <w:p w14:paraId="038A4F9A" w14:textId="77777777" w:rsidR="00A73253" w:rsidRDefault="00A73253" w:rsidP="001A5D4A">
            <w:pPr>
              <w:pStyle w:val="NotesTable-HeadBold"/>
            </w:pPr>
            <w:r>
              <w:t>$’000</w:t>
            </w:r>
          </w:p>
        </w:tc>
        <w:tc>
          <w:tcPr>
            <w:tcW w:w="225" w:type="pct"/>
            <w:gridSpan w:val="2"/>
            <w:shd w:val="clear" w:color="auto" w:fill="CCCCCC"/>
          </w:tcPr>
          <w:p w14:paraId="038A4F9B" w14:textId="77777777" w:rsidR="00A73253" w:rsidRDefault="00A73253" w:rsidP="001A5D4A">
            <w:pPr>
              <w:pStyle w:val="NotesTable-HeadPlain"/>
            </w:pPr>
            <w:r>
              <w:t>$’000</w:t>
            </w:r>
          </w:p>
        </w:tc>
        <w:tc>
          <w:tcPr>
            <w:tcW w:w="225" w:type="pct"/>
            <w:shd w:val="clear" w:color="auto" w:fill="CCCCCC"/>
          </w:tcPr>
          <w:p w14:paraId="038A4F9C" w14:textId="77777777" w:rsidR="00A73253" w:rsidRDefault="00A73253" w:rsidP="001A5D4A">
            <w:pPr>
              <w:pStyle w:val="NotesTable-HeadBold"/>
            </w:pPr>
            <w:r>
              <w:t>$’000</w:t>
            </w:r>
          </w:p>
        </w:tc>
        <w:tc>
          <w:tcPr>
            <w:tcW w:w="225" w:type="pct"/>
            <w:gridSpan w:val="2"/>
            <w:shd w:val="clear" w:color="auto" w:fill="CCCCCC"/>
          </w:tcPr>
          <w:p w14:paraId="038A4F9D" w14:textId="77777777" w:rsidR="00A73253" w:rsidRDefault="00A73253" w:rsidP="001A5D4A">
            <w:pPr>
              <w:pStyle w:val="NotesTable-HeadPlain"/>
            </w:pPr>
            <w:r>
              <w:t>$’000</w:t>
            </w:r>
          </w:p>
        </w:tc>
        <w:tc>
          <w:tcPr>
            <w:tcW w:w="225" w:type="pct"/>
            <w:shd w:val="clear" w:color="auto" w:fill="CCCCCC"/>
          </w:tcPr>
          <w:p w14:paraId="038A4F9E" w14:textId="77777777" w:rsidR="00A73253" w:rsidRDefault="00A73253" w:rsidP="001A5D4A">
            <w:pPr>
              <w:pStyle w:val="NotesTable-HeadBold"/>
            </w:pPr>
            <w:r>
              <w:t>$’000</w:t>
            </w:r>
          </w:p>
        </w:tc>
        <w:tc>
          <w:tcPr>
            <w:tcW w:w="224" w:type="pct"/>
            <w:tcBorders>
              <w:right w:val="single" w:sz="8" w:space="0" w:color="CDCDCD"/>
            </w:tcBorders>
            <w:shd w:val="clear" w:color="auto" w:fill="CCCCCC"/>
          </w:tcPr>
          <w:p w14:paraId="038A4F9F" w14:textId="77777777" w:rsidR="00A73253" w:rsidRDefault="00A73253" w:rsidP="001A5D4A">
            <w:pPr>
              <w:pStyle w:val="NotesTable-HeadPlain"/>
            </w:pPr>
            <w:r>
              <w:t>$’000</w:t>
            </w:r>
          </w:p>
        </w:tc>
      </w:tr>
      <w:tr w:rsidR="00162352" w14:paraId="038A4FB2" w14:textId="77777777" w:rsidTr="00AA2125">
        <w:trPr>
          <w:cantSplit/>
          <w:trHeight w:val="255"/>
        </w:trPr>
        <w:tc>
          <w:tcPr>
            <w:tcW w:w="525" w:type="pct"/>
            <w:tcBorders>
              <w:right w:val="single" w:sz="8" w:space="0" w:color="CDCDCD"/>
            </w:tcBorders>
          </w:tcPr>
          <w:p w14:paraId="038A4FA1" w14:textId="77777777" w:rsidR="00A73253" w:rsidRDefault="00A73253" w:rsidP="001A5D4A">
            <w:pPr>
              <w:pStyle w:val="Note-Refs"/>
            </w:pPr>
            <w:r>
              <w:t>A</w:t>
            </w:r>
          </w:p>
        </w:tc>
        <w:tc>
          <w:tcPr>
            <w:tcW w:w="1087" w:type="pct"/>
            <w:tcBorders>
              <w:left w:val="single" w:sz="8" w:space="0" w:color="CDCDCD"/>
            </w:tcBorders>
            <w:shd w:val="clear" w:color="auto" w:fill="CCCCCC"/>
          </w:tcPr>
          <w:p w14:paraId="038A4FA2" w14:textId="77777777" w:rsidR="00A73253" w:rsidRDefault="00A73253" w:rsidP="001A5D4A">
            <w:pPr>
              <w:pStyle w:val="NotesTable-ItemPlain"/>
              <w:rPr>
                <w:b/>
              </w:rPr>
            </w:pPr>
            <w:r>
              <w:t>Financial assistance received in CASH during the reporting period (total cash received from the Australian Government for the program)</w:t>
            </w:r>
          </w:p>
        </w:tc>
        <w:tc>
          <w:tcPr>
            <w:tcW w:w="238" w:type="pct"/>
            <w:gridSpan w:val="2"/>
            <w:shd w:val="clear" w:color="auto" w:fill="CCCCCC"/>
          </w:tcPr>
          <w:p w14:paraId="038A4FA3" w14:textId="77777777" w:rsidR="00A73253" w:rsidRDefault="00A73253" w:rsidP="001A5D4A">
            <w:pPr>
              <w:pStyle w:val="NotesTable-Notes"/>
            </w:pPr>
          </w:p>
        </w:tc>
        <w:tc>
          <w:tcPr>
            <w:tcW w:w="225" w:type="pct"/>
            <w:shd w:val="clear" w:color="auto" w:fill="CCCCCC"/>
            <w:vAlign w:val="bottom"/>
          </w:tcPr>
          <w:p w14:paraId="038A4FA4" w14:textId="77777777" w:rsidR="00A73253" w:rsidRDefault="00A73253" w:rsidP="001A5D4A">
            <w:pPr>
              <w:pStyle w:val="NotesTable-CellBold"/>
            </w:pPr>
            <w:r>
              <w:t>–</w:t>
            </w:r>
          </w:p>
        </w:tc>
        <w:tc>
          <w:tcPr>
            <w:tcW w:w="225" w:type="pct"/>
            <w:gridSpan w:val="2"/>
            <w:shd w:val="clear" w:color="auto" w:fill="CCCCCC"/>
            <w:vAlign w:val="bottom"/>
          </w:tcPr>
          <w:p w14:paraId="038A4FA5" w14:textId="77777777" w:rsidR="00A73253" w:rsidRDefault="00A73253" w:rsidP="001A5D4A">
            <w:pPr>
              <w:pStyle w:val="NotesTable-CellPlain"/>
            </w:pPr>
            <w:r>
              <w:t>–</w:t>
            </w:r>
          </w:p>
        </w:tc>
        <w:tc>
          <w:tcPr>
            <w:tcW w:w="225" w:type="pct"/>
            <w:shd w:val="clear" w:color="auto" w:fill="CCCCCC"/>
            <w:vAlign w:val="bottom"/>
          </w:tcPr>
          <w:p w14:paraId="038A4FA6" w14:textId="77777777" w:rsidR="00A73253" w:rsidRDefault="00A73253" w:rsidP="001A5D4A">
            <w:pPr>
              <w:pStyle w:val="NotesTable-CellBold"/>
            </w:pPr>
            <w:r>
              <w:t>–</w:t>
            </w:r>
          </w:p>
        </w:tc>
        <w:tc>
          <w:tcPr>
            <w:tcW w:w="225" w:type="pct"/>
            <w:gridSpan w:val="3"/>
            <w:shd w:val="clear" w:color="auto" w:fill="CCCCCC"/>
            <w:vAlign w:val="bottom"/>
          </w:tcPr>
          <w:p w14:paraId="038A4FA7" w14:textId="77777777" w:rsidR="00A73253" w:rsidRDefault="00A73253" w:rsidP="001A5D4A">
            <w:pPr>
              <w:pStyle w:val="NotesTable-CellPlain"/>
            </w:pPr>
            <w:r>
              <w:t>–</w:t>
            </w:r>
          </w:p>
        </w:tc>
        <w:tc>
          <w:tcPr>
            <w:tcW w:w="225" w:type="pct"/>
            <w:gridSpan w:val="2"/>
            <w:shd w:val="clear" w:color="auto" w:fill="CCCCCC"/>
            <w:vAlign w:val="bottom"/>
          </w:tcPr>
          <w:p w14:paraId="038A4FA8" w14:textId="77777777" w:rsidR="00A73253" w:rsidRDefault="00A73253" w:rsidP="001A5D4A">
            <w:pPr>
              <w:pStyle w:val="NotesTable-CellBold"/>
            </w:pPr>
            <w:r>
              <w:t>–</w:t>
            </w:r>
          </w:p>
        </w:tc>
        <w:tc>
          <w:tcPr>
            <w:tcW w:w="225" w:type="pct"/>
            <w:gridSpan w:val="2"/>
            <w:shd w:val="clear" w:color="auto" w:fill="CCCCCC"/>
            <w:vAlign w:val="bottom"/>
          </w:tcPr>
          <w:p w14:paraId="038A4FA9" w14:textId="77777777" w:rsidR="00A73253" w:rsidRDefault="00A73253" w:rsidP="001A5D4A">
            <w:pPr>
              <w:pStyle w:val="NotesTable-CellPlain"/>
            </w:pPr>
            <w:r>
              <w:t>–</w:t>
            </w:r>
          </w:p>
        </w:tc>
        <w:tc>
          <w:tcPr>
            <w:tcW w:w="225" w:type="pct"/>
            <w:shd w:val="clear" w:color="auto" w:fill="CCCCCC"/>
            <w:vAlign w:val="bottom"/>
          </w:tcPr>
          <w:p w14:paraId="038A4FAA" w14:textId="77777777" w:rsidR="00A73253" w:rsidRDefault="00A73253" w:rsidP="001A5D4A">
            <w:pPr>
              <w:pStyle w:val="NotesTable-CellBold"/>
            </w:pPr>
            <w:r>
              <w:t>–</w:t>
            </w:r>
          </w:p>
        </w:tc>
        <w:tc>
          <w:tcPr>
            <w:tcW w:w="225" w:type="pct"/>
            <w:gridSpan w:val="2"/>
            <w:shd w:val="clear" w:color="auto" w:fill="CCCCCC"/>
            <w:vAlign w:val="bottom"/>
          </w:tcPr>
          <w:p w14:paraId="038A4FAB" w14:textId="77777777" w:rsidR="00A73253" w:rsidRDefault="00A73253" w:rsidP="001A5D4A">
            <w:pPr>
              <w:pStyle w:val="NotesTable-CellPlain"/>
            </w:pPr>
            <w:r>
              <w:t>–</w:t>
            </w:r>
          </w:p>
        </w:tc>
        <w:tc>
          <w:tcPr>
            <w:tcW w:w="225" w:type="pct"/>
            <w:shd w:val="clear" w:color="auto" w:fill="CCCCCC"/>
            <w:vAlign w:val="bottom"/>
          </w:tcPr>
          <w:p w14:paraId="038A4FAC" w14:textId="77777777" w:rsidR="00A73253" w:rsidRDefault="00A73253" w:rsidP="001A5D4A">
            <w:pPr>
              <w:pStyle w:val="NotesTable-CellBold"/>
            </w:pPr>
            <w:r>
              <w:t>–</w:t>
            </w:r>
          </w:p>
        </w:tc>
        <w:tc>
          <w:tcPr>
            <w:tcW w:w="225" w:type="pct"/>
            <w:gridSpan w:val="2"/>
            <w:shd w:val="clear" w:color="auto" w:fill="CCCCCC"/>
            <w:vAlign w:val="bottom"/>
          </w:tcPr>
          <w:p w14:paraId="038A4FAD" w14:textId="77777777" w:rsidR="00A73253" w:rsidRDefault="00A73253" w:rsidP="001A5D4A">
            <w:pPr>
              <w:pStyle w:val="NotesTable-CellPlain"/>
            </w:pPr>
            <w:r>
              <w:t>–</w:t>
            </w:r>
          </w:p>
        </w:tc>
        <w:tc>
          <w:tcPr>
            <w:tcW w:w="225" w:type="pct"/>
            <w:shd w:val="clear" w:color="auto" w:fill="CCCCCC"/>
            <w:vAlign w:val="bottom"/>
          </w:tcPr>
          <w:p w14:paraId="038A4FAE" w14:textId="77777777" w:rsidR="00A73253" w:rsidRDefault="00A73253" w:rsidP="001A5D4A">
            <w:pPr>
              <w:pStyle w:val="NotesTable-CellBold"/>
            </w:pPr>
            <w:r>
              <w:t>–</w:t>
            </w:r>
          </w:p>
        </w:tc>
        <w:tc>
          <w:tcPr>
            <w:tcW w:w="225" w:type="pct"/>
            <w:gridSpan w:val="2"/>
            <w:shd w:val="clear" w:color="auto" w:fill="CCCCCC"/>
            <w:vAlign w:val="bottom"/>
          </w:tcPr>
          <w:p w14:paraId="038A4FAF" w14:textId="77777777" w:rsidR="00A73253" w:rsidRDefault="00A73253" w:rsidP="001A5D4A">
            <w:pPr>
              <w:pStyle w:val="NotesTable-CellPlain"/>
            </w:pPr>
            <w:r>
              <w:t>–</w:t>
            </w:r>
          </w:p>
        </w:tc>
        <w:tc>
          <w:tcPr>
            <w:tcW w:w="225" w:type="pct"/>
            <w:shd w:val="clear" w:color="auto" w:fill="CCCCCC"/>
            <w:vAlign w:val="bottom"/>
          </w:tcPr>
          <w:p w14:paraId="038A4FB0" w14:textId="77777777" w:rsidR="00A73253" w:rsidRDefault="00A73253" w:rsidP="001A5D4A">
            <w:pPr>
              <w:pStyle w:val="NotesTable-CellBold"/>
            </w:pPr>
            <w:r>
              <w:t>–</w:t>
            </w:r>
          </w:p>
        </w:tc>
        <w:tc>
          <w:tcPr>
            <w:tcW w:w="224" w:type="pct"/>
            <w:tcBorders>
              <w:right w:val="single" w:sz="8" w:space="0" w:color="CDCDCD"/>
            </w:tcBorders>
            <w:shd w:val="clear" w:color="auto" w:fill="CCCCCC"/>
            <w:vAlign w:val="bottom"/>
          </w:tcPr>
          <w:p w14:paraId="038A4FB1" w14:textId="77777777" w:rsidR="00A73253" w:rsidRDefault="00A73253" w:rsidP="001A5D4A">
            <w:pPr>
              <w:pStyle w:val="NotesTable-CellPlain"/>
            </w:pPr>
            <w:r>
              <w:t>–</w:t>
            </w:r>
          </w:p>
        </w:tc>
      </w:tr>
      <w:tr w:rsidR="00162352" w14:paraId="038A4FC4" w14:textId="77777777" w:rsidTr="00AA2125">
        <w:trPr>
          <w:cantSplit/>
          <w:trHeight w:val="255"/>
        </w:trPr>
        <w:tc>
          <w:tcPr>
            <w:tcW w:w="525" w:type="pct"/>
            <w:tcBorders>
              <w:right w:val="single" w:sz="8" w:space="0" w:color="CDCDCD"/>
            </w:tcBorders>
          </w:tcPr>
          <w:p w14:paraId="038A4FB3" w14:textId="77777777" w:rsidR="00A73253" w:rsidRDefault="00A73253" w:rsidP="001A5D4A">
            <w:pPr>
              <w:pStyle w:val="Note-Refs"/>
            </w:pPr>
            <w:r>
              <w:t>B</w:t>
            </w:r>
          </w:p>
        </w:tc>
        <w:tc>
          <w:tcPr>
            <w:tcW w:w="1087" w:type="pct"/>
            <w:tcBorders>
              <w:left w:val="single" w:sz="8" w:space="0" w:color="CDCDCD"/>
            </w:tcBorders>
            <w:shd w:val="clear" w:color="auto" w:fill="CCCCCC"/>
          </w:tcPr>
          <w:p w14:paraId="038A4FB4" w14:textId="77777777" w:rsidR="00A73253" w:rsidRDefault="00A73253" w:rsidP="001A5D4A">
            <w:pPr>
              <w:pStyle w:val="NotesTable-ItemPlain"/>
              <w:rPr>
                <w:b/>
              </w:rPr>
            </w:pPr>
            <w:r>
              <w:t>Net accrual adjustments</w:t>
            </w:r>
          </w:p>
        </w:tc>
        <w:tc>
          <w:tcPr>
            <w:tcW w:w="238" w:type="pct"/>
            <w:gridSpan w:val="2"/>
            <w:shd w:val="clear" w:color="auto" w:fill="CCCCCC"/>
          </w:tcPr>
          <w:p w14:paraId="038A4FB5" w14:textId="77777777" w:rsidR="00A73253" w:rsidRDefault="00A73253" w:rsidP="001A5D4A">
            <w:pPr>
              <w:pStyle w:val="NotesTable-Notes"/>
            </w:pPr>
          </w:p>
        </w:tc>
        <w:tc>
          <w:tcPr>
            <w:tcW w:w="225" w:type="pct"/>
            <w:tcBorders>
              <w:bottom w:val="single" w:sz="4" w:space="0" w:color="000000"/>
            </w:tcBorders>
            <w:shd w:val="clear" w:color="auto" w:fill="CCCCCC"/>
          </w:tcPr>
          <w:p w14:paraId="038A4FB6"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B7"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B8" w14:textId="77777777" w:rsidR="00A73253" w:rsidRDefault="00A73253" w:rsidP="001A5D4A">
            <w:pPr>
              <w:pStyle w:val="NotesTable-CellBold"/>
            </w:pPr>
            <w:r>
              <w:t>–</w:t>
            </w:r>
          </w:p>
        </w:tc>
        <w:tc>
          <w:tcPr>
            <w:tcW w:w="225" w:type="pct"/>
            <w:gridSpan w:val="3"/>
            <w:tcBorders>
              <w:bottom w:val="single" w:sz="4" w:space="0" w:color="000000"/>
            </w:tcBorders>
            <w:shd w:val="clear" w:color="auto" w:fill="CCCCCC"/>
          </w:tcPr>
          <w:p w14:paraId="038A4FB9" w14:textId="77777777" w:rsidR="00A73253" w:rsidRDefault="00A73253" w:rsidP="001A5D4A">
            <w:pPr>
              <w:pStyle w:val="NotesTable-CellPlain"/>
            </w:pPr>
            <w:r>
              <w:t>–</w:t>
            </w:r>
          </w:p>
        </w:tc>
        <w:tc>
          <w:tcPr>
            <w:tcW w:w="225" w:type="pct"/>
            <w:gridSpan w:val="2"/>
            <w:tcBorders>
              <w:bottom w:val="single" w:sz="4" w:space="0" w:color="000000"/>
            </w:tcBorders>
            <w:shd w:val="clear" w:color="auto" w:fill="CCCCCC"/>
          </w:tcPr>
          <w:p w14:paraId="038A4FBA"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BB"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BC"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BD"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BE"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BF"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C0"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C1"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C2" w14:textId="77777777" w:rsidR="00A73253" w:rsidRDefault="00A73253" w:rsidP="001A5D4A">
            <w:pPr>
              <w:pStyle w:val="NotesTable-CellBold"/>
            </w:pPr>
            <w:r>
              <w:t>–</w:t>
            </w:r>
          </w:p>
        </w:tc>
        <w:tc>
          <w:tcPr>
            <w:tcW w:w="224" w:type="pct"/>
            <w:tcBorders>
              <w:bottom w:val="single" w:sz="4" w:space="0" w:color="000000"/>
              <w:right w:val="single" w:sz="8" w:space="0" w:color="CDCDCD"/>
            </w:tcBorders>
            <w:shd w:val="clear" w:color="auto" w:fill="CCCCCC"/>
          </w:tcPr>
          <w:p w14:paraId="038A4FC3" w14:textId="77777777" w:rsidR="00A73253" w:rsidRDefault="00A73253" w:rsidP="001A5D4A">
            <w:pPr>
              <w:pStyle w:val="NotesTable-CellPlain"/>
            </w:pPr>
            <w:r>
              <w:t>–</w:t>
            </w:r>
          </w:p>
        </w:tc>
      </w:tr>
      <w:tr w:rsidR="00162352" w14:paraId="038A4FD6" w14:textId="77777777" w:rsidTr="00AA2125">
        <w:trPr>
          <w:cantSplit/>
          <w:trHeight w:val="255"/>
        </w:trPr>
        <w:tc>
          <w:tcPr>
            <w:tcW w:w="525" w:type="pct"/>
            <w:tcBorders>
              <w:right w:val="single" w:sz="8" w:space="0" w:color="CDCDCD"/>
            </w:tcBorders>
          </w:tcPr>
          <w:p w14:paraId="038A4FC5" w14:textId="77777777" w:rsidR="00A73253" w:rsidRDefault="00A73253" w:rsidP="001A5D4A">
            <w:pPr>
              <w:pStyle w:val="Note-Refs"/>
              <w:rPr>
                <w:b/>
              </w:rPr>
            </w:pPr>
            <w:r>
              <w:t>C = A + B</w:t>
            </w:r>
          </w:p>
        </w:tc>
        <w:tc>
          <w:tcPr>
            <w:tcW w:w="1087" w:type="pct"/>
            <w:tcBorders>
              <w:left w:val="single" w:sz="8" w:space="0" w:color="CDCDCD"/>
            </w:tcBorders>
            <w:shd w:val="clear" w:color="auto" w:fill="CCCCCC"/>
          </w:tcPr>
          <w:p w14:paraId="038A4FC6" w14:textId="77777777" w:rsidR="00A73253" w:rsidRDefault="00A73253" w:rsidP="001A5D4A">
            <w:pPr>
              <w:pStyle w:val="NotesTable-ItemPlain"/>
              <w:rPr>
                <w:b/>
              </w:rPr>
            </w:pPr>
            <w:r>
              <w:t>Revenue for the period</w:t>
            </w:r>
          </w:p>
        </w:tc>
        <w:tc>
          <w:tcPr>
            <w:tcW w:w="238" w:type="pct"/>
            <w:gridSpan w:val="2"/>
            <w:shd w:val="clear" w:color="auto" w:fill="CCCCCC"/>
          </w:tcPr>
          <w:p w14:paraId="038A4FC7" w14:textId="77777777" w:rsidR="00A73253" w:rsidRDefault="00A73253" w:rsidP="001A5D4A">
            <w:pPr>
              <w:pStyle w:val="NotesTable-Notes"/>
            </w:pPr>
            <w:r>
              <w:t>3(c)</w:t>
            </w:r>
          </w:p>
        </w:tc>
        <w:tc>
          <w:tcPr>
            <w:tcW w:w="225" w:type="pct"/>
            <w:tcBorders>
              <w:top w:val="single" w:sz="4" w:space="0" w:color="000000"/>
            </w:tcBorders>
            <w:shd w:val="clear" w:color="auto" w:fill="CCCCCC"/>
          </w:tcPr>
          <w:p w14:paraId="038A4FC8"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C9"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4FCA" w14:textId="77777777" w:rsidR="00A73253" w:rsidRDefault="00A73253" w:rsidP="001A5D4A">
            <w:pPr>
              <w:pStyle w:val="NotesTable-CellBold"/>
            </w:pPr>
            <w:r>
              <w:t>–</w:t>
            </w:r>
          </w:p>
        </w:tc>
        <w:tc>
          <w:tcPr>
            <w:tcW w:w="225" w:type="pct"/>
            <w:gridSpan w:val="3"/>
            <w:tcBorders>
              <w:top w:val="single" w:sz="4" w:space="0" w:color="000000"/>
            </w:tcBorders>
            <w:shd w:val="clear" w:color="auto" w:fill="CCCCCC"/>
          </w:tcPr>
          <w:p w14:paraId="038A4FCB" w14:textId="77777777" w:rsidR="00A73253" w:rsidRDefault="00A73253" w:rsidP="001A5D4A">
            <w:pPr>
              <w:pStyle w:val="NotesTable-CellPlain"/>
            </w:pPr>
            <w:r>
              <w:t>–</w:t>
            </w:r>
          </w:p>
        </w:tc>
        <w:tc>
          <w:tcPr>
            <w:tcW w:w="225" w:type="pct"/>
            <w:gridSpan w:val="2"/>
            <w:tcBorders>
              <w:top w:val="single" w:sz="4" w:space="0" w:color="000000"/>
            </w:tcBorders>
            <w:shd w:val="clear" w:color="auto" w:fill="CCCCCC"/>
          </w:tcPr>
          <w:p w14:paraId="038A4FCC"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CD"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4FCE"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CF"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4FD0"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D1"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4FD2"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D3"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4FD4" w14:textId="77777777" w:rsidR="00A73253" w:rsidRDefault="00A73253" w:rsidP="001A5D4A">
            <w:pPr>
              <w:pStyle w:val="NotesTable-CellBold"/>
            </w:pPr>
            <w:r>
              <w:t>–</w:t>
            </w:r>
          </w:p>
        </w:tc>
        <w:tc>
          <w:tcPr>
            <w:tcW w:w="224" w:type="pct"/>
            <w:tcBorders>
              <w:top w:val="single" w:sz="4" w:space="0" w:color="000000"/>
              <w:right w:val="single" w:sz="8" w:space="0" w:color="CDCDCD"/>
            </w:tcBorders>
            <w:shd w:val="clear" w:color="auto" w:fill="CCCCCC"/>
          </w:tcPr>
          <w:p w14:paraId="038A4FD5" w14:textId="77777777" w:rsidR="00A73253" w:rsidRDefault="00A73253" w:rsidP="001A5D4A">
            <w:pPr>
              <w:pStyle w:val="NotesTable-CellPlain"/>
            </w:pPr>
            <w:r>
              <w:t>–</w:t>
            </w:r>
          </w:p>
        </w:tc>
      </w:tr>
      <w:tr w:rsidR="00162352" w14:paraId="038A4FE8" w14:textId="77777777" w:rsidTr="00AA2125">
        <w:trPr>
          <w:cantSplit/>
          <w:trHeight w:val="255"/>
        </w:trPr>
        <w:tc>
          <w:tcPr>
            <w:tcW w:w="525" w:type="pct"/>
            <w:tcBorders>
              <w:right w:val="single" w:sz="8" w:space="0" w:color="CDCDCD"/>
            </w:tcBorders>
          </w:tcPr>
          <w:p w14:paraId="038A4FD7" w14:textId="77777777" w:rsidR="00A73253" w:rsidRDefault="00A73253" w:rsidP="001A5D4A">
            <w:pPr>
              <w:pStyle w:val="Note-Refs"/>
            </w:pPr>
          </w:p>
        </w:tc>
        <w:tc>
          <w:tcPr>
            <w:tcW w:w="1087" w:type="pct"/>
            <w:tcBorders>
              <w:left w:val="single" w:sz="8" w:space="0" w:color="CDCDCD"/>
            </w:tcBorders>
            <w:shd w:val="clear" w:color="auto" w:fill="CCCCCC"/>
          </w:tcPr>
          <w:p w14:paraId="038A4FD8" w14:textId="77777777" w:rsidR="00A73253" w:rsidRDefault="00A73253" w:rsidP="001A5D4A">
            <w:pPr>
              <w:pStyle w:val="NotesTable-ItemPlain"/>
            </w:pPr>
          </w:p>
        </w:tc>
        <w:tc>
          <w:tcPr>
            <w:tcW w:w="238" w:type="pct"/>
            <w:gridSpan w:val="2"/>
            <w:shd w:val="clear" w:color="auto" w:fill="CCCCCC"/>
          </w:tcPr>
          <w:p w14:paraId="038A4FD9" w14:textId="77777777" w:rsidR="00A73253" w:rsidRDefault="00A73253" w:rsidP="001A5D4A">
            <w:pPr>
              <w:pStyle w:val="NotesTable-Notes"/>
            </w:pPr>
          </w:p>
        </w:tc>
        <w:tc>
          <w:tcPr>
            <w:tcW w:w="225" w:type="pct"/>
            <w:shd w:val="clear" w:color="auto" w:fill="CCCCCC"/>
          </w:tcPr>
          <w:p w14:paraId="038A4FDA" w14:textId="77777777" w:rsidR="00A73253" w:rsidRDefault="00A73253" w:rsidP="001A5D4A">
            <w:pPr>
              <w:pStyle w:val="NotesTable-CellBold"/>
            </w:pPr>
          </w:p>
        </w:tc>
        <w:tc>
          <w:tcPr>
            <w:tcW w:w="225" w:type="pct"/>
            <w:gridSpan w:val="2"/>
            <w:shd w:val="clear" w:color="auto" w:fill="CCCCCC"/>
          </w:tcPr>
          <w:p w14:paraId="038A4FDB" w14:textId="77777777" w:rsidR="00A73253" w:rsidRDefault="00A73253" w:rsidP="001A5D4A">
            <w:pPr>
              <w:pStyle w:val="NotesTable-CellPlain"/>
            </w:pPr>
          </w:p>
        </w:tc>
        <w:tc>
          <w:tcPr>
            <w:tcW w:w="225" w:type="pct"/>
            <w:shd w:val="clear" w:color="auto" w:fill="CCCCCC"/>
          </w:tcPr>
          <w:p w14:paraId="038A4FDC" w14:textId="77777777" w:rsidR="00A73253" w:rsidRDefault="00A73253" w:rsidP="001A5D4A">
            <w:pPr>
              <w:pStyle w:val="NotesTable-CellBold"/>
            </w:pPr>
          </w:p>
        </w:tc>
        <w:tc>
          <w:tcPr>
            <w:tcW w:w="225" w:type="pct"/>
            <w:gridSpan w:val="3"/>
            <w:shd w:val="clear" w:color="auto" w:fill="CCCCCC"/>
          </w:tcPr>
          <w:p w14:paraId="038A4FDD" w14:textId="77777777" w:rsidR="00A73253" w:rsidRDefault="00A73253" w:rsidP="001A5D4A">
            <w:pPr>
              <w:pStyle w:val="NotesTable-CellPlain"/>
            </w:pPr>
          </w:p>
        </w:tc>
        <w:tc>
          <w:tcPr>
            <w:tcW w:w="225" w:type="pct"/>
            <w:gridSpan w:val="2"/>
            <w:shd w:val="clear" w:color="auto" w:fill="CCCCCC"/>
          </w:tcPr>
          <w:p w14:paraId="038A4FDE" w14:textId="77777777" w:rsidR="00A73253" w:rsidRDefault="00A73253" w:rsidP="001A5D4A">
            <w:pPr>
              <w:pStyle w:val="NotesTable-CellBold"/>
            </w:pPr>
          </w:p>
        </w:tc>
        <w:tc>
          <w:tcPr>
            <w:tcW w:w="225" w:type="pct"/>
            <w:gridSpan w:val="2"/>
            <w:shd w:val="clear" w:color="auto" w:fill="CCCCCC"/>
          </w:tcPr>
          <w:p w14:paraId="038A4FDF" w14:textId="77777777" w:rsidR="00A73253" w:rsidRDefault="00A73253" w:rsidP="001A5D4A">
            <w:pPr>
              <w:pStyle w:val="NotesTable-CellPlain"/>
            </w:pPr>
          </w:p>
        </w:tc>
        <w:tc>
          <w:tcPr>
            <w:tcW w:w="225" w:type="pct"/>
            <w:shd w:val="clear" w:color="auto" w:fill="CCCCCC"/>
          </w:tcPr>
          <w:p w14:paraId="038A4FE0" w14:textId="77777777" w:rsidR="00A73253" w:rsidRDefault="00A73253" w:rsidP="001A5D4A">
            <w:pPr>
              <w:pStyle w:val="NotesTable-CellBold"/>
            </w:pPr>
          </w:p>
        </w:tc>
        <w:tc>
          <w:tcPr>
            <w:tcW w:w="225" w:type="pct"/>
            <w:gridSpan w:val="2"/>
            <w:shd w:val="clear" w:color="auto" w:fill="CCCCCC"/>
          </w:tcPr>
          <w:p w14:paraId="038A4FE1" w14:textId="77777777" w:rsidR="00A73253" w:rsidRDefault="00A73253" w:rsidP="001A5D4A">
            <w:pPr>
              <w:pStyle w:val="NotesTable-CellPlain"/>
            </w:pPr>
          </w:p>
        </w:tc>
        <w:tc>
          <w:tcPr>
            <w:tcW w:w="225" w:type="pct"/>
            <w:shd w:val="clear" w:color="auto" w:fill="CCCCCC"/>
          </w:tcPr>
          <w:p w14:paraId="038A4FE2" w14:textId="77777777" w:rsidR="00A73253" w:rsidRDefault="00A73253" w:rsidP="001A5D4A">
            <w:pPr>
              <w:pStyle w:val="NotesTable-CellBold"/>
            </w:pPr>
          </w:p>
        </w:tc>
        <w:tc>
          <w:tcPr>
            <w:tcW w:w="225" w:type="pct"/>
            <w:gridSpan w:val="2"/>
            <w:shd w:val="clear" w:color="auto" w:fill="CCCCCC"/>
          </w:tcPr>
          <w:p w14:paraId="038A4FE3" w14:textId="77777777" w:rsidR="00A73253" w:rsidRDefault="00A73253" w:rsidP="001A5D4A">
            <w:pPr>
              <w:pStyle w:val="NotesTable-CellPlain"/>
              <w:rPr>
                <w:b/>
              </w:rPr>
            </w:pPr>
          </w:p>
        </w:tc>
        <w:tc>
          <w:tcPr>
            <w:tcW w:w="225" w:type="pct"/>
            <w:shd w:val="clear" w:color="auto" w:fill="CCCCCC"/>
          </w:tcPr>
          <w:p w14:paraId="038A4FE4" w14:textId="77777777" w:rsidR="00A73253" w:rsidRDefault="00A73253" w:rsidP="001A5D4A">
            <w:pPr>
              <w:pStyle w:val="NotesTable-CellBold"/>
            </w:pPr>
          </w:p>
        </w:tc>
        <w:tc>
          <w:tcPr>
            <w:tcW w:w="225" w:type="pct"/>
            <w:gridSpan w:val="2"/>
            <w:shd w:val="clear" w:color="auto" w:fill="CCCCCC"/>
          </w:tcPr>
          <w:p w14:paraId="038A4FE5" w14:textId="77777777" w:rsidR="00A73253" w:rsidRDefault="00A73253" w:rsidP="001A5D4A">
            <w:pPr>
              <w:pStyle w:val="NotesTable-CellPlain"/>
            </w:pPr>
          </w:p>
        </w:tc>
        <w:tc>
          <w:tcPr>
            <w:tcW w:w="225" w:type="pct"/>
            <w:shd w:val="clear" w:color="auto" w:fill="CCCCCC"/>
          </w:tcPr>
          <w:p w14:paraId="038A4FE6" w14:textId="77777777" w:rsidR="00A73253" w:rsidRDefault="00A73253" w:rsidP="001A5D4A">
            <w:pPr>
              <w:pStyle w:val="NotesTable-CellBold"/>
            </w:pPr>
          </w:p>
        </w:tc>
        <w:tc>
          <w:tcPr>
            <w:tcW w:w="224" w:type="pct"/>
            <w:tcBorders>
              <w:right w:val="single" w:sz="8" w:space="0" w:color="CDCDCD"/>
            </w:tcBorders>
            <w:shd w:val="clear" w:color="auto" w:fill="CCCCCC"/>
          </w:tcPr>
          <w:p w14:paraId="038A4FE7" w14:textId="77777777" w:rsidR="00A73253" w:rsidRDefault="00A73253" w:rsidP="001A5D4A">
            <w:pPr>
              <w:pStyle w:val="NotesTable-CellPlain"/>
            </w:pPr>
          </w:p>
        </w:tc>
      </w:tr>
      <w:tr w:rsidR="00162352" w14:paraId="038A4FFA" w14:textId="77777777" w:rsidTr="00AA2125">
        <w:trPr>
          <w:cantSplit/>
          <w:trHeight w:val="255"/>
        </w:trPr>
        <w:tc>
          <w:tcPr>
            <w:tcW w:w="525" w:type="pct"/>
            <w:tcBorders>
              <w:right w:val="single" w:sz="8" w:space="0" w:color="CDCDCD"/>
            </w:tcBorders>
          </w:tcPr>
          <w:p w14:paraId="038A4FE9" w14:textId="77777777" w:rsidR="00A73253" w:rsidRDefault="00A73253" w:rsidP="001A5D4A">
            <w:pPr>
              <w:pStyle w:val="Note-Refs"/>
            </w:pPr>
            <w:r>
              <w:t>D</w:t>
            </w:r>
          </w:p>
        </w:tc>
        <w:tc>
          <w:tcPr>
            <w:tcW w:w="1087" w:type="pct"/>
            <w:tcBorders>
              <w:left w:val="single" w:sz="8" w:space="0" w:color="CDCDCD"/>
            </w:tcBorders>
            <w:shd w:val="clear" w:color="auto" w:fill="CCCCCC"/>
          </w:tcPr>
          <w:p w14:paraId="038A4FEA" w14:textId="77777777" w:rsidR="00A73253" w:rsidRDefault="00A73253" w:rsidP="001A5D4A">
            <w:pPr>
              <w:pStyle w:val="NotesTable-ItemPlain"/>
              <w:rPr>
                <w:b/>
              </w:rPr>
            </w:pPr>
            <w:r>
              <w:t>Surplus / (deficit) from the previous year</w:t>
            </w:r>
          </w:p>
        </w:tc>
        <w:tc>
          <w:tcPr>
            <w:tcW w:w="238" w:type="pct"/>
            <w:gridSpan w:val="2"/>
            <w:shd w:val="clear" w:color="auto" w:fill="CCCCCC"/>
          </w:tcPr>
          <w:p w14:paraId="038A4FEB" w14:textId="77777777" w:rsidR="00A73253" w:rsidRDefault="00A73253" w:rsidP="001A5D4A">
            <w:pPr>
              <w:pStyle w:val="NotesTable-Notes"/>
            </w:pPr>
          </w:p>
        </w:tc>
        <w:tc>
          <w:tcPr>
            <w:tcW w:w="225" w:type="pct"/>
            <w:tcBorders>
              <w:bottom w:val="single" w:sz="4" w:space="0" w:color="000000"/>
            </w:tcBorders>
            <w:shd w:val="clear" w:color="auto" w:fill="CCCCCC"/>
          </w:tcPr>
          <w:p w14:paraId="038A4FEC"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ED"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EE" w14:textId="77777777" w:rsidR="00A73253" w:rsidRDefault="00A73253" w:rsidP="001A5D4A">
            <w:pPr>
              <w:pStyle w:val="NotesTable-CellBold"/>
            </w:pPr>
            <w:r>
              <w:t>–</w:t>
            </w:r>
          </w:p>
        </w:tc>
        <w:tc>
          <w:tcPr>
            <w:tcW w:w="225" w:type="pct"/>
            <w:gridSpan w:val="3"/>
            <w:tcBorders>
              <w:bottom w:val="single" w:sz="4" w:space="0" w:color="000000"/>
            </w:tcBorders>
            <w:shd w:val="clear" w:color="auto" w:fill="CCCCCC"/>
          </w:tcPr>
          <w:p w14:paraId="038A4FEF" w14:textId="77777777" w:rsidR="00A73253" w:rsidRDefault="00A73253" w:rsidP="001A5D4A">
            <w:pPr>
              <w:pStyle w:val="NotesTable-CellPlain"/>
            </w:pPr>
            <w:r>
              <w:t>–</w:t>
            </w:r>
          </w:p>
        </w:tc>
        <w:tc>
          <w:tcPr>
            <w:tcW w:w="225" w:type="pct"/>
            <w:gridSpan w:val="2"/>
            <w:tcBorders>
              <w:bottom w:val="single" w:sz="4" w:space="0" w:color="000000"/>
            </w:tcBorders>
            <w:shd w:val="clear" w:color="auto" w:fill="CCCCCC"/>
          </w:tcPr>
          <w:p w14:paraId="038A4FF0"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F1"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F2"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F3"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F4"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F5"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F6"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4FF7"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4FF8" w14:textId="77777777" w:rsidR="00A73253" w:rsidRDefault="00A73253" w:rsidP="001A5D4A">
            <w:pPr>
              <w:pStyle w:val="NotesTable-CellBold"/>
            </w:pPr>
            <w:r>
              <w:t>–</w:t>
            </w:r>
          </w:p>
        </w:tc>
        <w:tc>
          <w:tcPr>
            <w:tcW w:w="224" w:type="pct"/>
            <w:tcBorders>
              <w:bottom w:val="single" w:sz="4" w:space="0" w:color="000000"/>
              <w:right w:val="single" w:sz="8" w:space="0" w:color="CDCDCD"/>
            </w:tcBorders>
            <w:shd w:val="clear" w:color="auto" w:fill="CCCCCC"/>
          </w:tcPr>
          <w:p w14:paraId="038A4FF9" w14:textId="77777777" w:rsidR="00A73253" w:rsidRDefault="00A73253" w:rsidP="001A5D4A">
            <w:pPr>
              <w:pStyle w:val="NotesTable-CellPlain"/>
            </w:pPr>
            <w:r>
              <w:t>–</w:t>
            </w:r>
          </w:p>
        </w:tc>
      </w:tr>
      <w:tr w:rsidR="00162352" w14:paraId="038A500C" w14:textId="77777777" w:rsidTr="00AA2125">
        <w:trPr>
          <w:cantSplit/>
          <w:trHeight w:val="255"/>
        </w:trPr>
        <w:tc>
          <w:tcPr>
            <w:tcW w:w="525" w:type="pct"/>
            <w:tcBorders>
              <w:right w:val="single" w:sz="8" w:space="0" w:color="CDCDCD"/>
            </w:tcBorders>
          </w:tcPr>
          <w:p w14:paraId="038A4FFB" w14:textId="77777777" w:rsidR="00A73253" w:rsidRDefault="00A73253" w:rsidP="001A5D4A">
            <w:pPr>
              <w:pStyle w:val="Note-Refs"/>
              <w:rPr>
                <w:b/>
              </w:rPr>
            </w:pPr>
            <w:r>
              <w:t>E = C + D</w:t>
            </w:r>
          </w:p>
        </w:tc>
        <w:tc>
          <w:tcPr>
            <w:tcW w:w="1087" w:type="pct"/>
            <w:tcBorders>
              <w:left w:val="single" w:sz="8" w:space="0" w:color="CDCDCD"/>
            </w:tcBorders>
            <w:shd w:val="clear" w:color="auto" w:fill="CCCCCC"/>
          </w:tcPr>
          <w:p w14:paraId="038A4FFC" w14:textId="77777777" w:rsidR="00A73253" w:rsidRDefault="00A73253" w:rsidP="001A5D4A">
            <w:pPr>
              <w:pStyle w:val="NotesTable-ItemPlain"/>
              <w:rPr>
                <w:b/>
              </w:rPr>
            </w:pPr>
            <w:r>
              <w:t>Total revenue including accrued revenue</w:t>
            </w:r>
          </w:p>
        </w:tc>
        <w:tc>
          <w:tcPr>
            <w:tcW w:w="238" w:type="pct"/>
            <w:gridSpan w:val="2"/>
            <w:shd w:val="clear" w:color="auto" w:fill="CCCCCC"/>
          </w:tcPr>
          <w:p w14:paraId="038A4FFD" w14:textId="77777777" w:rsidR="00A73253" w:rsidRDefault="00A73253" w:rsidP="001A5D4A">
            <w:pPr>
              <w:pStyle w:val="NotesTable-Notes"/>
            </w:pPr>
          </w:p>
        </w:tc>
        <w:tc>
          <w:tcPr>
            <w:tcW w:w="225" w:type="pct"/>
            <w:tcBorders>
              <w:top w:val="single" w:sz="4" w:space="0" w:color="000000"/>
            </w:tcBorders>
            <w:shd w:val="clear" w:color="auto" w:fill="CCCCCC"/>
          </w:tcPr>
          <w:p w14:paraId="038A4FFE"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4FFF"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5000" w14:textId="77777777" w:rsidR="00A73253" w:rsidRDefault="00A73253" w:rsidP="001A5D4A">
            <w:pPr>
              <w:pStyle w:val="NotesTable-CellBold"/>
            </w:pPr>
            <w:r>
              <w:t>–</w:t>
            </w:r>
          </w:p>
        </w:tc>
        <w:tc>
          <w:tcPr>
            <w:tcW w:w="225" w:type="pct"/>
            <w:gridSpan w:val="3"/>
            <w:tcBorders>
              <w:top w:val="single" w:sz="4" w:space="0" w:color="000000"/>
            </w:tcBorders>
            <w:shd w:val="clear" w:color="auto" w:fill="CCCCCC"/>
          </w:tcPr>
          <w:p w14:paraId="038A5001" w14:textId="77777777" w:rsidR="00A73253" w:rsidRDefault="00A73253" w:rsidP="001A5D4A">
            <w:pPr>
              <w:pStyle w:val="NotesTable-CellPlain"/>
            </w:pPr>
            <w:r>
              <w:t>–</w:t>
            </w:r>
          </w:p>
        </w:tc>
        <w:tc>
          <w:tcPr>
            <w:tcW w:w="225" w:type="pct"/>
            <w:gridSpan w:val="2"/>
            <w:tcBorders>
              <w:top w:val="single" w:sz="4" w:space="0" w:color="000000"/>
            </w:tcBorders>
            <w:shd w:val="clear" w:color="auto" w:fill="CCCCCC"/>
          </w:tcPr>
          <w:p w14:paraId="038A5002"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5003"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5004"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5005"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5006"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5007"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5008" w14:textId="77777777" w:rsidR="00A73253" w:rsidRDefault="00A73253" w:rsidP="001A5D4A">
            <w:pPr>
              <w:pStyle w:val="NotesTable-CellBold"/>
            </w:pPr>
            <w:r>
              <w:t>–</w:t>
            </w:r>
          </w:p>
        </w:tc>
        <w:tc>
          <w:tcPr>
            <w:tcW w:w="225" w:type="pct"/>
            <w:gridSpan w:val="2"/>
            <w:tcBorders>
              <w:top w:val="single" w:sz="4" w:space="0" w:color="000000"/>
            </w:tcBorders>
            <w:shd w:val="clear" w:color="auto" w:fill="CCCCCC"/>
          </w:tcPr>
          <w:p w14:paraId="038A5009" w14:textId="77777777" w:rsidR="00A73253" w:rsidRDefault="00A73253" w:rsidP="001A5D4A">
            <w:pPr>
              <w:pStyle w:val="NotesTable-CellPlain"/>
            </w:pPr>
            <w:r>
              <w:t>–</w:t>
            </w:r>
          </w:p>
        </w:tc>
        <w:tc>
          <w:tcPr>
            <w:tcW w:w="225" w:type="pct"/>
            <w:tcBorders>
              <w:top w:val="single" w:sz="4" w:space="0" w:color="000000"/>
            </w:tcBorders>
            <w:shd w:val="clear" w:color="auto" w:fill="CCCCCC"/>
          </w:tcPr>
          <w:p w14:paraId="038A500A" w14:textId="77777777" w:rsidR="00A73253" w:rsidRDefault="00A73253" w:rsidP="001A5D4A">
            <w:pPr>
              <w:pStyle w:val="NotesTable-CellBold"/>
            </w:pPr>
            <w:r>
              <w:t>–</w:t>
            </w:r>
          </w:p>
        </w:tc>
        <w:tc>
          <w:tcPr>
            <w:tcW w:w="224" w:type="pct"/>
            <w:tcBorders>
              <w:top w:val="single" w:sz="4" w:space="0" w:color="000000"/>
              <w:right w:val="single" w:sz="8" w:space="0" w:color="CDCDCD"/>
            </w:tcBorders>
            <w:shd w:val="clear" w:color="auto" w:fill="CCCCCC"/>
          </w:tcPr>
          <w:p w14:paraId="038A500B" w14:textId="77777777" w:rsidR="00A73253" w:rsidRDefault="00A73253" w:rsidP="001A5D4A">
            <w:pPr>
              <w:pStyle w:val="NotesTable-CellPlain"/>
            </w:pPr>
            <w:r>
              <w:t>–</w:t>
            </w:r>
          </w:p>
        </w:tc>
      </w:tr>
      <w:tr w:rsidR="00162352" w14:paraId="038A501E" w14:textId="77777777" w:rsidTr="00AA2125">
        <w:trPr>
          <w:cantSplit/>
          <w:trHeight w:val="255"/>
        </w:trPr>
        <w:tc>
          <w:tcPr>
            <w:tcW w:w="525" w:type="pct"/>
            <w:tcBorders>
              <w:right w:val="single" w:sz="8" w:space="0" w:color="CDCDCD"/>
            </w:tcBorders>
          </w:tcPr>
          <w:p w14:paraId="038A500D" w14:textId="77777777" w:rsidR="00A73253" w:rsidRDefault="00A73253" w:rsidP="001A5D4A">
            <w:pPr>
              <w:pStyle w:val="Note-Refs"/>
            </w:pPr>
            <w:r>
              <w:t>F</w:t>
            </w:r>
          </w:p>
        </w:tc>
        <w:tc>
          <w:tcPr>
            <w:tcW w:w="1087" w:type="pct"/>
            <w:tcBorders>
              <w:left w:val="single" w:sz="8" w:space="0" w:color="CDCDCD"/>
            </w:tcBorders>
            <w:shd w:val="clear" w:color="auto" w:fill="CCCCCC"/>
          </w:tcPr>
          <w:p w14:paraId="038A500E" w14:textId="77777777" w:rsidR="00A73253" w:rsidRDefault="00A73253" w:rsidP="001A5D4A">
            <w:pPr>
              <w:pStyle w:val="NotesTable-ItemPlain"/>
              <w:rPr>
                <w:b/>
              </w:rPr>
            </w:pPr>
            <w:r>
              <w:t>Less expenses including accrued expenses</w:t>
            </w:r>
          </w:p>
        </w:tc>
        <w:tc>
          <w:tcPr>
            <w:tcW w:w="238" w:type="pct"/>
            <w:gridSpan w:val="2"/>
            <w:shd w:val="clear" w:color="auto" w:fill="CCCCCC"/>
          </w:tcPr>
          <w:p w14:paraId="038A500F" w14:textId="77777777" w:rsidR="00A73253" w:rsidRDefault="00A73253" w:rsidP="001A5D4A">
            <w:pPr>
              <w:pStyle w:val="NotesTable-Notes"/>
            </w:pPr>
          </w:p>
        </w:tc>
        <w:tc>
          <w:tcPr>
            <w:tcW w:w="225" w:type="pct"/>
            <w:tcBorders>
              <w:bottom w:val="single" w:sz="4" w:space="0" w:color="000000"/>
            </w:tcBorders>
            <w:shd w:val="clear" w:color="auto" w:fill="CCCCCC"/>
          </w:tcPr>
          <w:p w14:paraId="038A5010"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5011"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5012" w14:textId="77777777" w:rsidR="00A73253" w:rsidRDefault="00A73253" w:rsidP="001A5D4A">
            <w:pPr>
              <w:pStyle w:val="NotesTable-CellBold"/>
            </w:pPr>
            <w:r>
              <w:t>–</w:t>
            </w:r>
          </w:p>
        </w:tc>
        <w:tc>
          <w:tcPr>
            <w:tcW w:w="225" w:type="pct"/>
            <w:gridSpan w:val="3"/>
            <w:tcBorders>
              <w:bottom w:val="single" w:sz="4" w:space="0" w:color="000000"/>
            </w:tcBorders>
            <w:shd w:val="clear" w:color="auto" w:fill="CCCCCC"/>
          </w:tcPr>
          <w:p w14:paraId="038A5013" w14:textId="77777777" w:rsidR="00A73253" w:rsidRDefault="00A73253" w:rsidP="001A5D4A">
            <w:pPr>
              <w:pStyle w:val="NotesTable-CellPlain"/>
            </w:pPr>
            <w:r>
              <w:t>–</w:t>
            </w:r>
          </w:p>
        </w:tc>
        <w:tc>
          <w:tcPr>
            <w:tcW w:w="225" w:type="pct"/>
            <w:gridSpan w:val="2"/>
            <w:tcBorders>
              <w:bottom w:val="single" w:sz="4" w:space="0" w:color="000000"/>
            </w:tcBorders>
            <w:shd w:val="clear" w:color="auto" w:fill="CCCCCC"/>
          </w:tcPr>
          <w:p w14:paraId="038A5014"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5015"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5016"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5017"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5018"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5019"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501A" w14:textId="77777777" w:rsidR="00A73253" w:rsidRDefault="00A73253" w:rsidP="001A5D4A">
            <w:pPr>
              <w:pStyle w:val="NotesTable-CellBold"/>
            </w:pPr>
            <w:r>
              <w:t>–</w:t>
            </w:r>
          </w:p>
        </w:tc>
        <w:tc>
          <w:tcPr>
            <w:tcW w:w="225" w:type="pct"/>
            <w:gridSpan w:val="2"/>
            <w:tcBorders>
              <w:bottom w:val="single" w:sz="4" w:space="0" w:color="000000"/>
            </w:tcBorders>
            <w:shd w:val="clear" w:color="auto" w:fill="CCCCCC"/>
          </w:tcPr>
          <w:p w14:paraId="038A501B" w14:textId="77777777" w:rsidR="00A73253" w:rsidRDefault="00A73253" w:rsidP="001A5D4A">
            <w:pPr>
              <w:pStyle w:val="NotesTable-CellPlain"/>
            </w:pPr>
            <w:r>
              <w:t>–</w:t>
            </w:r>
          </w:p>
        </w:tc>
        <w:tc>
          <w:tcPr>
            <w:tcW w:w="225" w:type="pct"/>
            <w:tcBorders>
              <w:bottom w:val="single" w:sz="4" w:space="0" w:color="000000"/>
            </w:tcBorders>
            <w:shd w:val="clear" w:color="auto" w:fill="CCCCCC"/>
          </w:tcPr>
          <w:p w14:paraId="038A501C" w14:textId="77777777" w:rsidR="00A73253" w:rsidRDefault="00A73253" w:rsidP="001A5D4A">
            <w:pPr>
              <w:pStyle w:val="NotesTable-CellBold"/>
            </w:pPr>
            <w:r>
              <w:t>–</w:t>
            </w:r>
          </w:p>
        </w:tc>
        <w:tc>
          <w:tcPr>
            <w:tcW w:w="224" w:type="pct"/>
            <w:tcBorders>
              <w:bottom w:val="single" w:sz="4" w:space="0" w:color="000000"/>
              <w:right w:val="single" w:sz="8" w:space="0" w:color="CDCDCD"/>
            </w:tcBorders>
            <w:shd w:val="clear" w:color="auto" w:fill="CCCCCC"/>
          </w:tcPr>
          <w:p w14:paraId="038A501D" w14:textId="77777777" w:rsidR="00A73253" w:rsidRDefault="00A73253" w:rsidP="001A5D4A">
            <w:pPr>
              <w:pStyle w:val="NotesTable-CellPlain"/>
            </w:pPr>
            <w:r>
              <w:t>–</w:t>
            </w:r>
          </w:p>
        </w:tc>
      </w:tr>
      <w:tr w:rsidR="00162352" w14:paraId="038A5030" w14:textId="77777777" w:rsidTr="00AA2125">
        <w:trPr>
          <w:cantSplit/>
          <w:trHeight w:val="255"/>
        </w:trPr>
        <w:tc>
          <w:tcPr>
            <w:tcW w:w="525" w:type="pct"/>
            <w:tcBorders>
              <w:right w:val="single" w:sz="8" w:space="0" w:color="CDCDCD"/>
            </w:tcBorders>
          </w:tcPr>
          <w:p w14:paraId="038A501F" w14:textId="77777777" w:rsidR="00A73253" w:rsidRDefault="00A73253" w:rsidP="001A5D4A">
            <w:pPr>
              <w:pStyle w:val="Note-Refs"/>
              <w:rPr>
                <w:b/>
              </w:rPr>
            </w:pPr>
            <w:r>
              <w:t>G = E – F</w:t>
            </w:r>
          </w:p>
        </w:tc>
        <w:tc>
          <w:tcPr>
            <w:tcW w:w="1087" w:type="pct"/>
            <w:tcBorders>
              <w:left w:val="single" w:sz="8" w:space="0" w:color="CDCDCD"/>
            </w:tcBorders>
            <w:shd w:val="clear" w:color="auto" w:fill="CCCCCC"/>
          </w:tcPr>
          <w:p w14:paraId="038A5020" w14:textId="77777777" w:rsidR="00A73253" w:rsidRDefault="00A73253" w:rsidP="001A5D4A">
            <w:pPr>
              <w:pStyle w:val="NotesTable-ItemPlain"/>
              <w:rPr>
                <w:b/>
              </w:rPr>
            </w:pPr>
            <w:r>
              <w:t>Surplus / (deficit) for reporting period</w:t>
            </w:r>
          </w:p>
        </w:tc>
        <w:tc>
          <w:tcPr>
            <w:tcW w:w="238" w:type="pct"/>
            <w:gridSpan w:val="2"/>
            <w:shd w:val="clear" w:color="auto" w:fill="CCCCCC"/>
          </w:tcPr>
          <w:p w14:paraId="038A5021" w14:textId="77777777" w:rsidR="00A73253" w:rsidRDefault="00A73253" w:rsidP="001A5D4A">
            <w:pPr>
              <w:pStyle w:val="NotesTable-Notes"/>
            </w:pPr>
          </w:p>
        </w:tc>
        <w:tc>
          <w:tcPr>
            <w:tcW w:w="225" w:type="pct"/>
            <w:tcBorders>
              <w:bottom w:val="single" w:sz="4" w:space="0" w:color="auto"/>
            </w:tcBorders>
            <w:shd w:val="clear" w:color="auto" w:fill="CCCCCC"/>
          </w:tcPr>
          <w:p w14:paraId="038A5022" w14:textId="77777777" w:rsidR="00A73253" w:rsidRDefault="00A73253" w:rsidP="001A5D4A">
            <w:pPr>
              <w:pStyle w:val="NotesTable-CellBold"/>
            </w:pPr>
            <w:r>
              <w:t>–</w:t>
            </w:r>
          </w:p>
        </w:tc>
        <w:tc>
          <w:tcPr>
            <w:tcW w:w="225" w:type="pct"/>
            <w:gridSpan w:val="2"/>
            <w:tcBorders>
              <w:bottom w:val="single" w:sz="4" w:space="0" w:color="auto"/>
            </w:tcBorders>
            <w:shd w:val="clear" w:color="auto" w:fill="CCCCCC"/>
          </w:tcPr>
          <w:p w14:paraId="038A5023" w14:textId="77777777" w:rsidR="00A73253" w:rsidRDefault="00A73253" w:rsidP="001A5D4A">
            <w:pPr>
              <w:pStyle w:val="NotesTable-CellPlain"/>
            </w:pPr>
            <w:r>
              <w:t>–</w:t>
            </w:r>
          </w:p>
        </w:tc>
        <w:tc>
          <w:tcPr>
            <w:tcW w:w="225" w:type="pct"/>
            <w:tcBorders>
              <w:bottom w:val="single" w:sz="4" w:space="0" w:color="auto"/>
            </w:tcBorders>
            <w:shd w:val="clear" w:color="auto" w:fill="CCCCCC"/>
          </w:tcPr>
          <w:p w14:paraId="038A5024" w14:textId="77777777" w:rsidR="00A73253" w:rsidRDefault="00A73253" w:rsidP="001A5D4A">
            <w:pPr>
              <w:pStyle w:val="NotesTable-CellBold"/>
            </w:pPr>
            <w:r>
              <w:t>–</w:t>
            </w:r>
          </w:p>
        </w:tc>
        <w:tc>
          <w:tcPr>
            <w:tcW w:w="225" w:type="pct"/>
            <w:gridSpan w:val="3"/>
            <w:tcBorders>
              <w:bottom w:val="single" w:sz="4" w:space="0" w:color="auto"/>
            </w:tcBorders>
            <w:shd w:val="clear" w:color="auto" w:fill="CCCCCC"/>
          </w:tcPr>
          <w:p w14:paraId="038A5025" w14:textId="77777777" w:rsidR="00A73253" w:rsidRDefault="00A73253" w:rsidP="001A5D4A">
            <w:pPr>
              <w:pStyle w:val="NotesTable-CellPlain"/>
            </w:pPr>
            <w:r>
              <w:t>–</w:t>
            </w:r>
          </w:p>
        </w:tc>
        <w:tc>
          <w:tcPr>
            <w:tcW w:w="225" w:type="pct"/>
            <w:gridSpan w:val="2"/>
            <w:tcBorders>
              <w:bottom w:val="single" w:sz="4" w:space="0" w:color="auto"/>
            </w:tcBorders>
            <w:shd w:val="clear" w:color="auto" w:fill="CCCCCC"/>
          </w:tcPr>
          <w:p w14:paraId="038A5026" w14:textId="77777777" w:rsidR="00A73253" w:rsidRDefault="00A73253" w:rsidP="001A5D4A">
            <w:pPr>
              <w:pStyle w:val="NotesTable-CellBold"/>
            </w:pPr>
            <w:r>
              <w:t>–</w:t>
            </w:r>
          </w:p>
        </w:tc>
        <w:tc>
          <w:tcPr>
            <w:tcW w:w="225" w:type="pct"/>
            <w:gridSpan w:val="2"/>
            <w:tcBorders>
              <w:bottom w:val="single" w:sz="4" w:space="0" w:color="auto"/>
            </w:tcBorders>
            <w:shd w:val="clear" w:color="auto" w:fill="CCCCCC"/>
          </w:tcPr>
          <w:p w14:paraId="038A5027" w14:textId="77777777" w:rsidR="00A73253" w:rsidRDefault="00A73253" w:rsidP="001A5D4A">
            <w:pPr>
              <w:pStyle w:val="NotesTable-CellPlain"/>
            </w:pPr>
            <w:r>
              <w:t>–</w:t>
            </w:r>
          </w:p>
        </w:tc>
        <w:tc>
          <w:tcPr>
            <w:tcW w:w="225" w:type="pct"/>
            <w:tcBorders>
              <w:bottom w:val="single" w:sz="4" w:space="0" w:color="auto"/>
            </w:tcBorders>
            <w:shd w:val="clear" w:color="auto" w:fill="CCCCCC"/>
          </w:tcPr>
          <w:p w14:paraId="038A5028" w14:textId="77777777" w:rsidR="00A73253" w:rsidRDefault="00A73253" w:rsidP="001A5D4A">
            <w:pPr>
              <w:pStyle w:val="NotesTable-CellBold"/>
            </w:pPr>
            <w:r>
              <w:t>–</w:t>
            </w:r>
          </w:p>
        </w:tc>
        <w:tc>
          <w:tcPr>
            <w:tcW w:w="225" w:type="pct"/>
            <w:gridSpan w:val="2"/>
            <w:tcBorders>
              <w:bottom w:val="single" w:sz="4" w:space="0" w:color="auto"/>
            </w:tcBorders>
            <w:shd w:val="clear" w:color="auto" w:fill="CCCCCC"/>
          </w:tcPr>
          <w:p w14:paraId="038A5029" w14:textId="77777777" w:rsidR="00A73253" w:rsidRDefault="00A73253" w:rsidP="001A5D4A">
            <w:pPr>
              <w:pStyle w:val="NotesTable-CellPlain"/>
            </w:pPr>
            <w:r>
              <w:t>–</w:t>
            </w:r>
          </w:p>
        </w:tc>
        <w:tc>
          <w:tcPr>
            <w:tcW w:w="225" w:type="pct"/>
            <w:tcBorders>
              <w:bottom w:val="single" w:sz="4" w:space="0" w:color="auto"/>
            </w:tcBorders>
            <w:shd w:val="clear" w:color="auto" w:fill="CCCCCC"/>
          </w:tcPr>
          <w:p w14:paraId="038A502A" w14:textId="77777777" w:rsidR="00A73253" w:rsidRDefault="00A73253" w:rsidP="001A5D4A">
            <w:pPr>
              <w:pStyle w:val="NotesTable-CellBold"/>
            </w:pPr>
            <w:r>
              <w:t>–</w:t>
            </w:r>
          </w:p>
        </w:tc>
        <w:tc>
          <w:tcPr>
            <w:tcW w:w="225" w:type="pct"/>
            <w:gridSpan w:val="2"/>
            <w:tcBorders>
              <w:bottom w:val="single" w:sz="4" w:space="0" w:color="auto"/>
            </w:tcBorders>
            <w:shd w:val="clear" w:color="auto" w:fill="CCCCCC"/>
          </w:tcPr>
          <w:p w14:paraId="038A502B" w14:textId="77777777" w:rsidR="00A73253" w:rsidRDefault="00A73253" w:rsidP="001A5D4A">
            <w:pPr>
              <w:pStyle w:val="NotesTable-CellPlain"/>
            </w:pPr>
            <w:r>
              <w:t>–</w:t>
            </w:r>
          </w:p>
        </w:tc>
        <w:tc>
          <w:tcPr>
            <w:tcW w:w="225" w:type="pct"/>
            <w:tcBorders>
              <w:bottom w:val="single" w:sz="4" w:space="0" w:color="auto"/>
            </w:tcBorders>
            <w:shd w:val="clear" w:color="auto" w:fill="CCCCCC"/>
          </w:tcPr>
          <w:p w14:paraId="038A502C" w14:textId="77777777" w:rsidR="00A73253" w:rsidRDefault="00A73253" w:rsidP="001A5D4A">
            <w:pPr>
              <w:pStyle w:val="NotesTable-CellBold"/>
            </w:pPr>
            <w:r>
              <w:t>–</w:t>
            </w:r>
          </w:p>
        </w:tc>
        <w:tc>
          <w:tcPr>
            <w:tcW w:w="225" w:type="pct"/>
            <w:gridSpan w:val="2"/>
            <w:tcBorders>
              <w:bottom w:val="single" w:sz="4" w:space="0" w:color="auto"/>
            </w:tcBorders>
            <w:shd w:val="clear" w:color="auto" w:fill="CCCCCC"/>
          </w:tcPr>
          <w:p w14:paraId="038A502D" w14:textId="77777777" w:rsidR="00A73253" w:rsidRDefault="00A73253" w:rsidP="001A5D4A">
            <w:pPr>
              <w:pStyle w:val="NotesTable-CellPlain"/>
            </w:pPr>
            <w:r>
              <w:t>–</w:t>
            </w:r>
          </w:p>
        </w:tc>
        <w:tc>
          <w:tcPr>
            <w:tcW w:w="225" w:type="pct"/>
            <w:tcBorders>
              <w:bottom w:val="single" w:sz="4" w:space="0" w:color="auto"/>
            </w:tcBorders>
            <w:shd w:val="clear" w:color="auto" w:fill="CCCCCC"/>
          </w:tcPr>
          <w:p w14:paraId="038A502E" w14:textId="77777777" w:rsidR="00A73253" w:rsidRDefault="00A73253" w:rsidP="001A5D4A">
            <w:pPr>
              <w:pStyle w:val="NotesTable-CellBold"/>
            </w:pPr>
            <w:r>
              <w:t>–</w:t>
            </w:r>
          </w:p>
        </w:tc>
        <w:tc>
          <w:tcPr>
            <w:tcW w:w="224" w:type="pct"/>
            <w:tcBorders>
              <w:bottom w:val="single" w:sz="4" w:space="0" w:color="auto"/>
              <w:right w:val="single" w:sz="8" w:space="0" w:color="CDCDCD"/>
            </w:tcBorders>
            <w:shd w:val="clear" w:color="auto" w:fill="CCCCCC"/>
          </w:tcPr>
          <w:p w14:paraId="038A502F" w14:textId="77777777" w:rsidR="00A73253" w:rsidRDefault="00A73253" w:rsidP="001A5D4A">
            <w:pPr>
              <w:pStyle w:val="NotesTable-CellPlain"/>
            </w:pPr>
            <w:r>
              <w:t>–</w:t>
            </w:r>
          </w:p>
        </w:tc>
      </w:tr>
      <w:tr w:rsidR="00162352" w14:paraId="038A5042" w14:textId="77777777" w:rsidTr="00AA2125">
        <w:trPr>
          <w:cantSplit/>
          <w:trHeight w:val="255"/>
        </w:trPr>
        <w:tc>
          <w:tcPr>
            <w:tcW w:w="525" w:type="pct"/>
            <w:tcBorders>
              <w:bottom w:val="single" w:sz="4" w:space="0" w:color="FFFFFF"/>
              <w:right w:val="single" w:sz="8" w:space="0" w:color="CDCDCD"/>
            </w:tcBorders>
          </w:tcPr>
          <w:p w14:paraId="038A5031" w14:textId="77777777" w:rsidR="005B15D9" w:rsidRDefault="005B15D9" w:rsidP="001A5D4A">
            <w:pPr>
              <w:pStyle w:val="Note-Refs"/>
            </w:pPr>
          </w:p>
        </w:tc>
        <w:tc>
          <w:tcPr>
            <w:tcW w:w="1087" w:type="pct"/>
            <w:tcBorders>
              <w:left w:val="single" w:sz="8" w:space="0" w:color="CDCDCD"/>
              <w:bottom w:val="single" w:sz="8" w:space="0" w:color="CDCDCD"/>
            </w:tcBorders>
            <w:shd w:val="clear" w:color="auto" w:fill="CCCCCC"/>
          </w:tcPr>
          <w:p w14:paraId="038A5032" w14:textId="77777777" w:rsidR="005B15D9" w:rsidRDefault="005B15D9" w:rsidP="001A5D4A">
            <w:pPr>
              <w:pStyle w:val="NotesTable-ItemPlain"/>
            </w:pPr>
          </w:p>
        </w:tc>
        <w:tc>
          <w:tcPr>
            <w:tcW w:w="238" w:type="pct"/>
            <w:gridSpan w:val="2"/>
            <w:tcBorders>
              <w:bottom w:val="single" w:sz="8" w:space="0" w:color="CDCDCD"/>
            </w:tcBorders>
            <w:shd w:val="clear" w:color="auto" w:fill="CCCCCC"/>
          </w:tcPr>
          <w:p w14:paraId="038A5033" w14:textId="77777777" w:rsidR="005B15D9" w:rsidRDefault="005B15D9" w:rsidP="001A5D4A">
            <w:pPr>
              <w:pStyle w:val="NotesTable-Notes"/>
            </w:pPr>
          </w:p>
        </w:tc>
        <w:tc>
          <w:tcPr>
            <w:tcW w:w="225" w:type="pct"/>
            <w:tcBorders>
              <w:top w:val="single" w:sz="4" w:space="0" w:color="auto"/>
              <w:bottom w:val="single" w:sz="8" w:space="0" w:color="CDCDCD"/>
            </w:tcBorders>
            <w:shd w:val="clear" w:color="auto" w:fill="CCCCCC"/>
          </w:tcPr>
          <w:p w14:paraId="038A5034" w14:textId="77777777" w:rsidR="005B15D9" w:rsidRDefault="005B15D9" w:rsidP="001A5D4A">
            <w:pPr>
              <w:pStyle w:val="NotesTable-CellBold"/>
            </w:pPr>
          </w:p>
        </w:tc>
        <w:tc>
          <w:tcPr>
            <w:tcW w:w="225" w:type="pct"/>
            <w:gridSpan w:val="2"/>
            <w:tcBorders>
              <w:top w:val="single" w:sz="4" w:space="0" w:color="auto"/>
              <w:bottom w:val="single" w:sz="8" w:space="0" w:color="CDCDCD"/>
            </w:tcBorders>
            <w:shd w:val="clear" w:color="auto" w:fill="CCCCCC"/>
          </w:tcPr>
          <w:p w14:paraId="038A5035" w14:textId="77777777" w:rsidR="005B15D9" w:rsidRDefault="005B15D9" w:rsidP="001A5D4A">
            <w:pPr>
              <w:pStyle w:val="NotesTable-CellPlain"/>
            </w:pPr>
          </w:p>
        </w:tc>
        <w:tc>
          <w:tcPr>
            <w:tcW w:w="225" w:type="pct"/>
            <w:tcBorders>
              <w:top w:val="single" w:sz="4" w:space="0" w:color="auto"/>
              <w:bottom w:val="single" w:sz="8" w:space="0" w:color="CDCDCD"/>
            </w:tcBorders>
            <w:shd w:val="clear" w:color="auto" w:fill="CCCCCC"/>
          </w:tcPr>
          <w:p w14:paraId="038A5036" w14:textId="77777777" w:rsidR="005B15D9" w:rsidRDefault="005B15D9" w:rsidP="001A5D4A">
            <w:pPr>
              <w:pStyle w:val="NotesTable-CellBold"/>
            </w:pPr>
          </w:p>
        </w:tc>
        <w:tc>
          <w:tcPr>
            <w:tcW w:w="225" w:type="pct"/>
            <w:gridSpan w:val="3"/>
            <w:tcBorders>
              <w:top w:val="single" w:sz="4" w:space="0" w:color="auto"/>
              <w:bottom w:val="single" w:sz="8" w:space="0" w:color="CDCDCD"/>
            </w:tcBorders>
            <w:shd w:val="clear" w:color="auto" w:fill="CCCCCC"/>
          </w:tcPr>
          <w:p w14:paraId="038A5037" w14:textId="77777777" w:rsidR="005B15D9" w:rsidRDefault="005B15D9" w:rsidP="001A5D4A">
            <w:pPr>
              <w:pStyle w:val="NotesTable-CellPlain"/>
            </w:pPr>
          </w:p>
        </w:tc>
        <w:tc>
          <w:tcPr>
            <w:tcW w:w="225" w:type="pct"/>
            <w:gridSpan w:val="2"/>
            <w:tcBorders>
              <w:top w:val="single" w:sz="4" w:space="0" w:color="auto"/>
              <w:bottom w:val="single" w:sz="8" w:space="0" w:color="CDCDCD"/>
            </w:tcBorders>
            <w:shd w:val="clear" w:color="auto" w:fill="CCCCCC"/>
          </w:tcPr>
          <w:p w14:paraId="038A5038" w14:textId="77777777" w:rsidR="005B15D9" w:rsidRDefault="005B15D9" w:rsidP="001A5D4A">
            <w:pPr>
              <w:pStyle w:val="NotesTable-CellBold"/>
            </w:pPr>
          </w:p>
        </w:tc>
        <w:tc>
          <w:tcPr>
            <w:tcW w:w="225" w:type="pct"/>
            <w:gridSpan w:val="2"/>
            <w:tcBorders>
              <w:top w:val="single" w:sz="4" w:space="0" w:color="auto"/>
              <w:bottom w:val="single" w:sz="8" w:space="0" w:color="CDCDCD"/>
            </w:tcBorders>
            <w:shd w:val="clear" w:color="auto" w:fill="CCCCCC"/>
          </w:tcPr>
          <w:p w14:paraId="038A5039" w14:textId="77777777" w:rsidR="005B15D9" w:rsidRDefault="005B15D9" w:rsidP="001A5D4A">
            <w:pPr>
              <w:pStyle w:val="NotesTable-CellPlain"/>
            </w:pPr>
          </w:p>
        </w:tc>
        <w:tc>
          <w:tcPr>
            <w:tcW w:w="225" w:type="pct"/>
            <w:tcBorders>
              <w:top w:val="single" w:sz="4" w:space="0" w:color="auto"/>
              <w:bottom w:val="single" w:sz="8" w:space="0" w:color="CDCDCD"/>
            </w:tcBorders>
            <w:shd w:val="clear" w:color="auto" w:fill="CCCCCC"/>
          </w:tcPr>
          <w:p w14:paraId="038A503A" w14:textId="77777777" w:rsidR="005B15D9" w:rsidRDefault="005B15D9" w:rsidP="001A5D4A">
            <w:pPr>
              <w:pStyle w:val="NotesTable-CellBold"/>
            </w:pPr>
          </w:p>
        </w:tc>
        <w:tc>
          <w:tcPr>
            <w:tcW w:w="225" w:type="pct"/>
            <w:gridSpan w:val="2"/>
            <w:tcBorders>
              <w:top w:val="single" w:sz="4" w:space="0" w:color="auto"/>
              <w:bottom w:val="single" w:sz="8" w:space="0" w:color="CDCDCD"/>
            </w:tcBorders>
            <w:shd w:val="clear" w:color="auto" w:fill="CCCCCC"/>
          </w:tcPr>
          <w:p w14:paraId="038A503B" w14:textId="77777777" w:rsidR="005B15D9" w:rsidRDefault="005B15D9" w:rsidP="001A5D4A">
            <w:pPr>
              <w:pStyle w:val="NotesTable-CellPlain"/>
            </w:pPr>
          </w:p>
        </w:tc>
        <w:tc>
          <w:tcPr>
            <w:tcW w:w="225" w:type="pct"/>
            <w:tcBorders>
              <w:top w:val="single" w:sz="4" w:space="0" w:color="auto"/>
              <w:bottom w:val="single" w:sz="8" w:space="0" w:color="CDCDCD"/>
            </w:tcBorders>
            <w:shd w:val="clear" w:color="auto" w:fill="CCCCCC"/>
          </w:tcPr>
          <w:p w14:paraId="038A503C" w14:textId="77777777" w:rsidR="005B15D9" w:rsidRDefault="005B15D9" w:rsidP="001A5D4A">
            <w:pPr>
              <w:pStyle w:val="NotesTable-CellBold"/>
            </w:pPr>
          </w:p>
        </w:tc>
        <w:tc>
          <w:tcPr>
            <w:tcW w:w="225" w:type="pct"/>
            <w:gridSpan w:val="2"/>
            <w:tcBorders>
              <w:top w:val="single" w:sz="4" w:space="0" w:color="auto"/>
              <w:bottom w:val="single" w:sz="8" w:space="0" w:color="CDCDCD"/>
            </w:tcBorders>
            <w:shd w:val="clear" w:color="auto" w:fill="CCCCCC"/>
          </w:tcPr>
          <w:p w14:paraId="038A503D" w14:textId="77777777" w:rsidR="005B15D9" w:rsidRDefault="005B15D9" w:rsidP="001A5D4A">
            <w:pPr>
              <w:pStyle w:val="NotesTable-CellPlain"/>
            </w:pPr>
          </w:p>
        </w:tc>
        <w:tc>
          <w:tcPr>
            <w:tcW w:w="225" w:type="pct"/>
            <w:tcBorders>
              <w:top w:val="single" w:sz="4" w:space="0" w:color="auto"/>
              <w:bottom w:val="single" w:sz="8" w:space="0" w:color="CDCDCD"/>
            </w:tcBorders>
            <w:shd w:val="clear" w:color="auto" w:fill="CCCCCC"/>
          </w:tcPr>
          <w:p w14:paraId="038A503E" w14:textId="77777777" w:rsidR="005B15D9" w:rsidRDefault="005B15D9" w:rsidP="001A5D4A">
            <w:pPr>
              <w:pStyle w:val="NotesTable-CellBold"/>
            </w:pPr>
          </w:p>
        </w:tc>
        <w:tc>
          <w:tcPr>
            <w:tcW w:w="225" w:type="pct"/>
            <w:gridSpan w:val="2"/>
            <w:tcBorders>
              <w:top w:val="single" w:sz="4" w:space="0" w:color="auto"/>
              <w:bottom w:val="single" w:sz="8" w:space="0" w:color="CDCDCD"/>
            </w:tcBorders>
            <w:shd w:val="clear" w:color="auto" w:fill="CCCCCC"/>
          </w:tcPr>
          <w:p w14:paraId="038A503F" w14:textId="77777777" w:rsidR="005B15D9" w:rsidRDefault="005B15D9" w:rsidP="001A5D4A">
            <w:pPr>
              <w:pStyle w:val="NotesTable-CellPlain"/>
            </w:pPr>
          </w:p>
        </w:tc>
        <w:tc>
          <w:tcPr>
            <w:tcW w:w="225" w:type="pct"/>
            <w:tcBorders>
              <w:top w:val="single" w:sz="4" w:space="0" w:color="auto"/>
              <w:bottom w:val="single" w:sz="8" w:space="0" w:color="CDCDCD"/>
            </w:tcBorders>
            <w:shd w:val="clear" w:color="auto" w:fill="CCCCCC"/>
          </w:tcPr>
          <w:p w14:paraId="038A5040" w14:textId="77777777" w:rsidR="005B15D9" w:rsidRDefault="005B15D9" w:rsidP="001A5D4A">
            <w:pPr>
              <w:pStyle w:val="NotesTable-CellBold"/>
            </w:pPr>
          </w:p>
        </w:tc>
        <w:tc>
          <w:tcPr>
            <w:tcW w:w="224" w:type="pct"/>
            <w:tcBorders>
              <w:top w:val="single" w:sz="4" w:space="0" w:color="auto"/>
              <w:bottom w:val="single" w:sz="8" w:space="0" w:color="CDCDCD"/>
              <w:right w:val="single" w:sz="8" w:space="0" w:color="CDCDCD"/>
            </w:tcBorders>
            <w:shd w:val="clear" w:color="auto" w:fill="CCCCCC"/>
          </w:tcPr>
          <w:p w14:paraId="038A5041" w14:textId="77777777" w:rsidR="005B15D9" w:rsidRDefault="005B15D9" w:rsidP="001A5D4A">
            <w:pPr>
              <w:pStyle w:val="NotesTable-CellPlain"/>
            </w:pPr>
          </w:p>
        </w:tc>
      </w:tr>
    </w:tbl>
    <w:p w14:paraId="038A5044" w14:textId="77777777" w:rsidR="00AD6BF4" w:rsidRPr="006D022E" w:rsidRDefault="00923C3F" w:rsidP="001A5D4A">
      <w:proofErr w:type="gramStart"/>
      <w:r w:rsidRPr="006D022E">
        <w:t>#</w:t>
      </w:r>
      <w:r w:rsidR="000B00BA" w:rsidRPr="006D022E">
        <w:t>5</w:t>
      </w:r>
      <w:r w:rsidRPr="006D022E">
        <w:t xml:space="preserve"> Includes </w:t>
      </w:r>
      <w:r w:rsidR="00EA087B" w:rsidRPr="006D022E">
        <w:t xml:space="preserve">Grandfathered Scholarships, </w:t>
      </w:r>
      <w:r w:rsidRPr="006D022E">
        <w:t>National Priority and N</w:t>
      </w:r>
      <w:r w:rsidR="00000312" w:rsidRPr="006D022E">
        <w:t>a</w:t>
      </w:r>
      <w:r w:rsidRPr="006D022E">
        <w:t>tional Accommodation Priority Scholarships respectively.</w:t>
      </w:r>
      <w:proofErr w:type="gramEnd"/>
    </w:p>
    <w:p w14:paraId="038A5045" w14:textId="77777777" w:rsidR="00AD6BF4" w:rsidRPr="006D022E" w:rsidRDefault="00AD6BF4" w:rsidP="001A5D4A">
      <w:r w:rsidRPr="006D022E">
        <w:br w:type="page"/>
      </w:r>
    </w:p>
    <w:tbl>
      <w:tblPr>
        <w:tblW w:w="5000" w:type="pct"/>
        <w:tblLook w:val="0000" w:firstRow="0" w:lastRow="0" w:firstColumn="0" w:lastColumn="0" w:noHBand="0" w:noVBand="0"/>
      </w:tblPr>
      <w:tblGrid>
        <w:gridCol w:w="1664"/>
        <w:gridCol w:w="4293"/>
        <w:gridCol w:w="839"/>
        <w:gridCol w:w="889"/>
        <w:gridCol w:w="704"/>
        <w:gridCol w:w="188"/>
        <w:gridCol w:w="616"/>
        <w:gridCol w:w="276"/>
        <w:gridCol w:w="892"/>
        <w:gridCol w:w="892"/>
        <w:gridCol w:w="889"/>
        <w:gridCol w:w="892"/>
        <w:gridCol w:w="892"/>
        <w:gridCol w:w="892"/>
        <w:gridCol w:w="886"/>
      </w:tblGrid>
      <w:tr w:rsidR="004B7414" w14:paraId="038A504A" w14:textId="77777777" w:rsidTr="004B7414">
        <w:trPr>
          <w:cantSplit/>
          <w:trHeight w:val="180"/>
        </w:trPr>
        <w:tc>
          <w:tcPr>
            <w:tcW w:w="5000" w:type="pct"/>
            <w:gridSpan w:val="15"/>
            <w:tcBorders>
              <w:right w:val="single" w:sz="8" w:space="0" w:color="CDCDCD"/>
            </w:tcBorders>
            <w:shd w:val="clear" w:color="auto" w:fill="auto"/>
          </w:tcPr>
          <w:p w14:paraId="038A5049" w14:textId="285C1C6B" w:rsidR="004B7414" w:rsidRPr="004B7414" w:rsidRDefault="004B7414" w:rsidP="004B7414">
            <w:pPr>
              <w:pStyle w:val="TOC3"/>
              <w:ind w:left="0"/>
            </w:pPr>
            <w:r>
              <w:lastRenderedPageBreak/>
              <w:t xml:space="preserve">Note 53. </w:t>
            </w:r>
            <w:r w:rsidRPr="006D022E">
              <w:t>Acquittal of Australian Government financial assistance (continued)</w:t>
            </w:r>
          </w:p>
        </w:tc>
      </w:tr>
      <w:tr w:rsidR="008222DA" w14:paraId="038A504F" w14:textId="77777777" w:rsidTr="004B7414">
        <w:trPr>
          <w:cantSplit/>
          <w:trHeight w:val="293"/>
        </w:trPr>
        <w:tc>
          <w:tcPr>
            <w:tcW w:w="530" w:type="pct"/>
            <w:tcBorders>
              <w:right w:val="single" w:sz="8" w:space="0" w:color="CDCDCD"/>
            </w:tcBorders>
          </w:tcPr>
          <w:p w14:paraId="3F980DE6" w14:textId="77777777" w:rsidR="004B7414" w:rsidRDefault="004B7414" w:rsidP="004B7414">
            <w:pPr>
              <w:pStyle w:val="Note-Refs"/>
              <w:rPr>
                <w:b/>
              </w:rPr>
            </w:pPr>
            <w:r>
              <w:t>MANDATORY</w:t>
            </w:r>
          </w:p>
          <w:p w14:paraId="038A504B" w14:textId="475A15DC" w:rsidR="008222DA" w:rsidRDefault="004B7414" w:rsidP="004B7414">
            <w:pPr>
              <w:pStyle w:val="Note-Refs"/>
            </w:pPr>
            <w:r>
              <w:t>EDUCATION</w:t>
            </w:r>
          </w:p>
        </w:tc>
        <w:tc>
          <w:tcPr>
            <w:tcW w:w="2397" w:type="pct"/>
            <w:gridSpan w:val="6"/>
            <w:tcBorders>
              <w:left w:val="single" w:sz="8" w:space="0" w:color="CDCDCD"/>
              <w:right w:val="single" w:sz="8" w:space="0" w:color="CDCDCD"/>
            </w:tcBorders>
            <w:shd w:val="clear" w:color="auto" w:fill="CCCCCC"/>
          </w:tcPr>
          <w:p w14:paraId="05F9DDD9" w14:textId="7ACE00CA" w:rsidR="008222DA" w:rsidRDefault="008222DA" w:rsidP="001A5D4A">
            <w:pPr>
              <w:pStyle w:val="NotesTable-AcquittalHeader"/>
              <w:rPr>
                <w:b w:val="0"/>
              </w:rPr>
            </w:pPr>
            <w:r>
              <w:t xml:space="preserve">53d Education Research </w:t>
            </w:r>
            <w:r w:rsidRPr="00EE06D4">
              <w:rPr>
                <w:sz w:val="24"/>
                <w:vertAlign w:val="superscript"/>
              </w:rPr>
              <w:t>#</w:t>
            </w:r>
            <w:r>
              <w:rPr>
                <w:sz w:val="24"/>
                <w:vertAlign w:val="superscript"/>
              </w:rPr>
              <w:t>6</w:t>
            </w:r>
          </w:p>
        </w:tc>
        <w:tc>
          <w:tcPr>
            <w:tcW w:w="2073" w:type="pct"/>
            <w:gridSpan w:val="8"/>
            <w:tcBorders>
              <w:left w:val="single" w:sz="8" w:space="0" w:color="CDCDCD"/>
              <w:right w:val="single" w:sz="8" w:space="0" w:color="CDCDCD"/>
            </w:tcBorders>
            <w:shd w:val="clear" w:color="auto" w:fill="CCCCCC"/>
          </w:tcPr>
          <w:p w14:paraId="038A504E" w14:textId="4C014DC0" w:rsidR="008222DA" w:rsidRDefault="008222DA" w:rsidP="001A5D4A">
            <w:pPr>
              <w:pStyle w:val="NotesTable-ItemBold"/>
            </w:pPr>
            <w:r>
              <w:t>Parent entity (HEP) ONLY</w:t>
            </w:r>
            <w:r w:rsidDel="008222DA">
              <w:t xml:space="preserve"> </w:t>
            </w:r>
          </w:p>
        </w:tc>
      </w:tr>
      <w:tr w:rsidR="00271026" w14:paraId="0FA3EC86" w14:textId="77777777" w:rsidTr="004B7414">
        <w:trPr>
          <w:cantSplit/>
          <w:trHeight w:val="293"/>
        </w:trPr>
        <w:tc>
          <w:tcPr>
            <w:tcW w:w="530" w:type="pct"/>
            <w:tcBorders>
              <w:right w:val="single" w:sz="8" w:space="0" w:color="CDCDCD"/>
            </w:tcBorders>
          </w:tcPr>
          <w:p w14:paraId="7D0D4E0A" w14:textId="77777777" w:rsidR="00271026" w:rsidRDefault="00271026" w:rsidP="001A5D4A">
            <w:pPr>
              <w:pStyle w:val="Note-Refs"/>
            </w:pPr>
          </w:p>
        </w:tc>
        <w:tc>
          <w:tcPr>
            <w:tcW w:w="1634" w:type="pct"/>
            <w:gridSpan w:val="2"/>
            <w:tcBorders>
              <w:left w:val="single" w:sz="8" w:space="0" w:color="CDCDCD"/>
            </w:tcBorders>
            <w:shd w:val="clear" w:color="auto" w:fill="CCCCCC"/>
          </w:tcPr>
          <w:p w14:paraId="0277CEB9" w14:textId="77777777" w:rsidR="00271026" w:rsidRDefault="00271026" w:rsidP="001A5D4A">
            <w:pPr>
              <w:pStyle w:val="NotesTable-AcquittalHeader"/>
            </w:pPr>
          </w:p>
        </w:tc>
        <w:tc>
          <w:tcPr>
            <w:tcW w:w="507" w:type="pct"/>
            <w:gridSpan w:val="2"/>
            <w:shd w:val="clear" w:color="auto" w:fill="CCCCCC"/>
          </w:tcPr>
          <w:p w14:paraId="494230B3" w14:textId="77777777" w:rsidR="00271026" w:rsidRDefault="00271026" w:rsidP="001A5D4A">
            <w:pPr>
              <w:pStyle w:val="NotesTable-HeadBold"/>
            </w:pPr>
          </w:p>
        </w:tc>
        <w:tc>
          <w:tcPr>
            <w:tcW w:w="2329" w:type="pct"/>
            <w:gridSpan w:val="10"/>
            <w:tcBorders>
              <w:right w:val="single" w:sz="8" w:space="0" w:color="CDCDCD"/>
            </w:tcBorders>
            <w:shd w:val="clear" w:color="auto" w:fill="CCCCCC"/>
          </w:tcPr>
          <w:p w14:paraId="0B53244A" w14:textId="7DB09EF1" w:rsidR="00271026" w:rsidRDefault="00271026" w:rsidP="001A5D4A">
            <w:pPr>
              <w:pStyle w:val="NotesTable-HeadBold"/>
            </w:pPr>
          </w:p>
        </w:tc>
      </w:tr>
      <w:tr w:rsidR="00EA0A1D" w14:paraId="038A5057" w14:textId="77777777" w:rsidTr="004B7414">
        <w:trPr>
          <w:cantSplit/>
          <w:trHeight w:val="256"/>
        </w:trPr>
        <w:tc>
          <w:tcPr>
            <w:tcW w:w="530" w:type="pct"/>
            <w:tcBorders>
              <w:right w:val="single" w:sz="8" w:space="0" w:color="CDCDCD"/>
            </w:tcBorders>
          </w:tcPr>
          <w:p w14:paraId="038A5050" w14:textId="77777777" w:rsidR="00EA0A1D" w:rsidRDefault="00EA0A1D" w:rsidP="001A5D4A">
            <w:pPr>
              <w:pStyle w:val="Note-Refs"/>
            </w:pPr>
          </w:p>
        </w:tc>
        <w:tc>
          <w:tcPr>
            <w:tcW w:w="1634" w:type="pct"/>
            <w:gridSpan w:val="2"/>
            <w:tcBorders>
              <w:left w:val="single" w:sz="8" w:space="0" w:color="CDCDCD"/>
            </w:tcBorders>
            <w:shd w:val="clear" w:color="auto" w:fill="CCCCCC"/>
          </w:tcPr>
          <w:p w14:paraId="038A5051" w14:textId="77777777" w:rsidR="00EA0A1D" w:rsidRDefault="00EA0A1D" w:rsidP="001A5D4A">
            <w:pPr>
              <w:pStyle w:val="NotesTable-ItemPlain"/>
            </w:pPr>
          </w:p>
        </w:tc>
        <w:tc>
          <w:tcPr>
            <w:tcW w:w="567" w:type="pct"/>
            <w:gridSpan w:val="3"/>
            <w:shd w:val="clear" w:color="auto" w:fill="CCCCCC"/>
          </w:tcPr>
          <w:p w14:paraId="038A5052" w14:textId="7E9F7AAC" w:rsidR="00EA0A1D" w:rsidRDefault="00EA0A1D" w:rsidP="001A5D4A">
            <w:pPr>
              <w:pStyle w:val="NotesTable-HeadPlain"/>
            </w:pPr>
            <w:r>
              <w:t>Joint Research Engagement</w:t>
            </w:r>
          </w:p>
        </w:tc>
        <w:tc>
          <w:tcPr>
            <w:tcW w:w="568" w:type="pct"/>
            <w:gridSpan w:val="3"/>
            <w:shd w:val="clear" w:color="auto" w:fill="CCCCCC"/>
          </w:tcPr>
          <w:p w14:paraId="038A5053" w14:textId="77777777" w:rsidR="00EA0A1D" w:rsidRDefault="00EA0A1D" w:rsidP="001A5D4A">
            <w:pPr>
              <w:pStyle w:val="NotesTable-HeadPlain"/>
            </w:pPr>
            <w:r>
              <w:t>JRE Engineering Cadetships</w:t>
            </w:r>
          </w:p>
        </w:tc>
        <w:tc>
          <w:tcPr>
            <w:tcW w:w="567" w:type="pct"/>
            <w:gridSpan w:val="2"/>
            <w:shd w:val="clear" w:color="auto" w:fill="CCCCCC"/>
          </w:tcPr>
          <w:p w14:paraId="038A5054" w14:textId="77777777" w:rsidR="00EA0A1D" w:rsidRDefault="00EA0A1D" w:rsidP="001A5D4A">
            <w:pPr>
              <w:pStyle w:val="NotesTable-HeadPlain"/>
            </w:pPr>
            <w:r>
              <w:t>Research Training Scheme</w:t>
            </w:r>
          </w:p>
        </w:tc>
        <w:tc>
          <w:tcPr>
            <w:tcW w:w="568" w:type="pct"/>
            <w:gridSpan w:val="2"/>
            <w:shd w:val="clear" w:color="auto" w:fill="CCCCCC"/>
          </w:tcPr>
          <w:p w14:paraId="038A5055" w14:textId="77777777" w:rsidR="00EA0A1D" w:rsidRDefault="00EA0A1D" w:rsidP="001A5D4A">
            <w:pPr>
              <w:pStyle w:val="NotesTable-HeadPlain"/>
            </w:pPr>
            <w:r>
              <w:t>Research Infrastructure Block Grants</w:t>
            </w:r>
          </w:p>
        </w:tc>
        <w:tc>
          <w:tcPr>
            <w:tcW w:w="566" w:type="pct"/>
            <w:gridSpan w:val="2"/>
            <w:tcBorders>
              <w:right w:val="single" w:sz="8" w:space="0" w:color="CDCDCD"/>
            </w:tcBorders>
            <w:shd w:val="clear" w:color="auto" w:fill="CCCCCC"/>
          </w:tcPr>
          <w:p w14:paraId="038A5056" w14:textId="77777777" w:rsidR="00EA0A1D" w:rsidRDefault="000D34D0" w:rsidP="001A5D4A">
            <w:pPr>
              <w:pStyle w:val="NotesTable-HeadPlain"/>
            </w:pPr>
            <w:r w:rsidRPr="000D34D0">
              <w:t>Implementation Assistance Program</w:t>
            </w:r>
          </w:p>
        </w:tc>
      </w:tr>
      <w:tr w:rsidR="00EA0A1D" w14:paraId="038A5065" w14:textId="77777777" w:rsidTr="004B7414">
        <w:trPr>
          <w:cantSplit/>
          <w:trHeight w:val="255"/>
        </w:trPr>
        <w:tc>
          <w:tcPr>
            <w:tcW w:w="530" w:type="pct"/>
            <w:tcBorders>
              <w:right w:val="single" w:sz="8" w:space="0" w:color="CDCDCD"/>
            </w:tcBorders>
          </w:tcPr>
          <w:p w14:paraId="038A5058" w14:textId="77777777" w:rsidR="00EA0A1D" w:rsidRDefault="00EA0A1D" w:rsidP="001A5D4A">
            <w:pPr>
              <w:pStyle w:val="Note-Refs"/>
            </w:pPr>
          </w:p>
        </w:tc>
        <w:tc>
          <w:tcPr>
            <w:tcW w:w="1367" w:type="pct"/>
            <w:tcBorders>
              <w:left w:val="single" w:sz="8" w:space="0" w:color="CDCDCD"/>
            </w:tcBorders>
            <w:shd w:val="clear" w:color="auto" w:fill="CCCCCC"/>
          </w:tcPr>
          <w:p w14:paraId="038A5059" w14:textId="77777777" w:rsidR="00EA0A1D" w:rsidRDefault="00EA0A1D" w:rsidP="001A5D4A">
            <w:pPr>
              <w:pStyle w:val="NotesTable-ItemPlain"/>
            </w:pPr>
          </w:p>
        </w:tc>
        <w:tc>
          <w:tcPr>
            <w:tcW w:w="267" w:type="pct"/>
            <w:shd w:val="clear" w:color="auto" w:fill="CCCCCC"/>
          </w:tcPr>
          <w:p w14:paraId="038A505A" w14:textId="77777777" w:rsidR="00EA0A1D" w:rsidRDefault="00EA0A1D" w:rsidP="001A5D4A">
            <w:pPr>
              <w:pStyle w:val="NotesTable-Notes"/>
            </w:pPr>
            <w:r>
              <w:t>Notes</w:t>
            </w:r>
          </w:p>
        </w:tc>
        <w:tc>
          <w:tcPr>
            <w:tcW w:w="283" w:type="pct"/>
            <w:shd w:val="clear" w:color="auto" w:fill="CCCCCC"/>
          </w:tcPr>
          <w:p w14:paraId="038A505B" w14:textId="4CC1E1B4" w:rsidR="00EA0A1D" w:rsidRDefault="006864EC" w:rsidP="001A5D4A">
            <w:pPr>
              <w:pStyle w:val="NotesTable-HeadBold"/>
            </w:pPr>
            <w:r>
              <w:t>2014</w:t>
            </w:r>
          </w:p>
        </w:tc>
        <w:tc>
          <w:tcPr>
            <w:tcW w:w="284" w:type="pct"/>
            <w:gridSpan w:val="2"/>
            <w:shd w:val="clear" w:color="auto" w:fill="CCCCCC"/>
          </w:tcPr>
          <w:p w14:paraId="038A505C" w14:textId="44FC903B" w:rsidR="00EA0A1D" w:rsidRDefault="006864EC" w:rsidP="001A5D4A">
            <w:pPr>
              <w:pStyle w:val="NotesTable-HeadPlain"/>
            </w:pPr>
            <w:r>
              <w:t>2013</w:t>
            </w:r>
          </w:p>
        </w:tc>
        <w:tc>
          <w:tcPr>
            <w:tcW w:w="284" w:type="pct"/>
            <w:gridSpan w:val="2"/>
            <w:shd w:val="clear" w:color="auto" w:fill="CCCCCC"/>
          </w:tcPr>
          <w:p w14:paraId="038A505D" w14:textId="2835F91B" w:rsidR="00EA0A1D" w:rsidRDefault="006864EC" w:rsidP="001A5D4A">
            <w:pPr>
              <w:pStyle w:val="NotesTable-HeadBold"/>
            </w:pPr>
            <w:r>
              <w:t>2014</w:t>
            </w:r>
          </w:p>
        </w:tc>
        <w:tc>
          <w:tcPr>
            <w:tcW w:w="284" w:type="pct"/>
            <w:shd w:val="clear" w:color="auto" w:fill="CCCCCC"/>
          </w:tcPr>
          <w:p w14:paraId="038A505E" w14:textId="39A25A33" w:rsidR="00EA0A1D" w:rsidRDefault="006864EC" w:rsidP="001A5D4A">
            <w:pPr>
              <w:pStyle w:val="NotesTable-HeadBold"/>
            </w:pPr>
            <w:r>
              <w:t>2013</w:t>
            </w:r>
          </w:p>
        </w:tc>
        <w:tc>
          <w:tcPr>
            <w:tcW w:w="284" w:type="pct"/>
            <w:shd w:val="clear" w:color="auto" w:fill="CCCCCC"/>
          </w:tcPr>
          <w:p w14:paraId="038A505F" w14:textId="246B24C1" w:rsidR="00EA0A1D" w:rsidRDefault="006864EC" w:rsidP="001A5D4A">
            <w:pPr>
              <w:pStyle w:val="NotesTable-HeadBold"/>
            </w:pPr>
            <w:r>
              <w:t>2014</w:t>
            </w:r>
          </w:p>
        </w:tc>
        <w:tc>
          <w:tcPr>
            <w:tcW w:w="283" w:type="pct"/>
            <w:shd w:val="clear" w:color="auto" w:fill="CCCCCC"/>
          </w:tcPr>
          <w:p w14:paraId="038A5060" w14:textId="3D6DCBDE" w:rsidR="00EA0A1D" w:rsidRDefault="006864EC" w:rsidP="001A5D4A">
            <w:pPr>
              <w:pStyle w:val="NotesTable-HeadPlain"/>
            </w:pPr>
            <w:r>
              <w:t>2013</w:t>
            </w:r>
          </w:p>
        </w:tc>
        <w:tc>
          <w:tcPr>
            <w:tcW w:w="284" w:type="pct"/>
            <w:shd w:val="clear" w:color="auto" w:fill="CCCCCC"/>
          </w:tcPr>
          <w:p w14:paraId="038A5061" w14:textId="3832CFA0" w:rsidR="00EA0A1D" w:rsidRDefault="006864EC" w:rsidP="001A5D4A">
            <w:pPr>
              <w:pStyle w:val="NotesTable-HeadBold"/>
            </w:pPr>
            <w:r>
              <w:t>2014</w:t>
            </w:r>
          </w:p>
        </w:tc>
        <w:tc>
          <w:tcPr>
            <w:tcW w:w="284" w:type="pct"/>
            <w:shd w:val="clear" w:color="auto" w:fill="CCCCCC"/>
          </w:tcPr>
          <w:p w14:paraId="038A5062" w14:textId="10540E03" w:rsidR="00EA0A1D" w:rsidRDefault="006864EC" w:rsidP="001A5D4A">
            <w:pPr>
              <w:pStyle w:val="NotesTable-HeadPlain"/>
            </w:pPr>
            <w:r>
              <w:t>2013</w:t>
            </w:r>
          </w:p>
        </w:tc>
        <w:tc>
          <w:tcPr>
            <w:tcW w:w="284" w:type="pct"/>
            <w:shd w:val="clear" w:color="auto" w:fill="CCCCCC"/>
          </w:tcPr>
          <w:p w14:paraId="038A5063" w14:textId="03AA3740" w:rsidR="00EA0A1D" w:rsidRDefault="006864EC" w:rsidP="001A5D4A">
            <w:pPr>
              <w:pStyle w:val="NotesTable-HeadBold"/>
            </w:pPr>
            <w:r>
              <w:t>2014</w:t>
            </w:r>
          </w:p>
        </w:tc>
        <w:tc>
          <w:tcPr>
            <w:tcW w:w="282" w:type="pct"/>
            <w:tcBorders>
              <w:right w:val="single" w:sz="8" w:space="0" w:color="CDCDCD"/>
            </w:tcBorders>
            <w:shd w:val="clear" w:color="auto" w:fill="CCCCCC"/>
          </w:tcPr>
          <w:p w14:paraId="038A5064" w14:textId="34164188" w:rsidR="00EA0A1D" w:rsidRDefault="006864EC" w:rsidP="001A5D4A">
            <w:pPr>
              <w:pStyle w:val="NotesTable-HeadPlain"/>
            </w:pPr>
            <w:r>
              <w:t>2013</w:t>
            </w:r>
          </w:p>
        </w:tc>
      </w:tr>
      <w:tr w:rsidR="00EA0A1D" w14:paraId="038A5073" w14:textId="77777777" w:rsidTr="004B7414">
        <w:trPr>
          <w:cantSplit/>
          <w:trHeight w:val="255"/>
        </w:trPr>
        <w:tc>
          <w:tcPr>
            <w:tcW w:w="530" w:type="pct"/>
            <w:tcBorders>
              <w:right w:val="single" w:sz="8" w:space="0" w:color="CDCDCD"/>
            </w:tcBorders>
          </w:tcPr>
          <w:p w14:paraId="038A5066" w14:textId="77777777" w:rsidR="00EA0A1D" w:rsidRDefault="00EA0A1D" w:rsidP="001A5D4A">
            <w:pPr>
              <w:pStyle w:val="Note-Refs"/>
            </w:pPr>
          </w:p>
        </w:tc>
        <w:tc>
          <w:tcPr>
            <w:tcW w:w="1367" w:type="pct"/>
            <w:tcBorders>
              <w:left w:val="single" w:sz="8" w:space="0" w:color="CDCDCD"/>
            </w:tcBorders>
            <w:shd w:val="clear" w:color="auto" w:fill="CCCCCC"/>
          </w:tcPr>
          <w:p w14:paraId="038A5067" w14:textId="77777777" w:rsidR="00EA0A1D" w:rsidRDefault="00EA0A1D" w:rsidP="001A5D4A">
            <w:pPr>
              <w:pStyle w:val="NotesTable-ItemPlain"/>
            </w:pPr>
          </w:p>
        </w:tc>
        <w:tc>
          <w:tcPr>
            <w:tcW w:w="267" w:type="pct"/>
            <w:shd w:val="clear" w:color="auto" w:fill="CCCCCC"/>
          </w:tcPr>
          <w:p w14:paraId="038A5068" w14:textId="77777777" w:rsidR="00EA0A1D" w:rsidRDefault="00EA0A1D" w:rsidP="001A5D4A">
            <w:pPr>
              <w:pStyle w:val="NotesTable-Notes"/>
            </w:pPr>
          </w:p>
        </w:tc>
        <w:tc>
          <w:tcPr>
            <w:tcW w:w="283" w:type="pct"/>
            <w:shd w:val="clear" w:color="auto" w:fill="CCCCCC"/>
          </w:tcPr>
          <w:p w14:paraId="038A5069" w14:textId="77777777" w:rsidR="00EA0A1D" w:rsidRDefault="00EA0A1D" w:rsidP="001A5D4A">
            <w:pPr>
              <w:pStyle w:val="NotesTable-HeadBold"/>
            </w:pPr>
            <w:r>
              <w:t>$’000</w:t>
            </w:r>
          </w:p>
        </w:tc>
        <w:tc>
          <w:tcPr>
            <w:tcW w:w="284" w:type="pct"/>
            <w:gridSpan w:val="2"/>
            <w:shd w:val="clear" w:color="auto" w:fill="CCCCCC"/>
          </w:tcPr>
          <w:p w14:paraId="038A506A" w14:textId="77777777" w:rsidR="00EA0A1D" w:rsidRDefault="00EA0A1D" w:rsidP="001A5D4A">
            <w:pPr>
              <w:pStyle w:val="NotesTable-HeadPlain"/>
            </w:pPr>
            <w:r>
              <w:t>$’000</w:t>
            </w:r>
          </w:p>
        </w:tc>
        <w:tc>
          <w:tcPr>
            <w:tcW w:w="284" w:type="pct"/>
            <w:gridSpan w:val="2"/>
            <w:shd w:val="clear" w:color="auto" w:fill="CCCCCC"/>
          </w:tcPr>
          <w:p w14:paraId="038A506B" w14:textId="77777777" w:rsidR="00EA0A1D" w:rsidRDefault="00EA0A1D" w:rsidP="001A5D4A">
            <w:pPr>
              <w:pStyle w:val="NotesTable-HeadBold"/>
            </w:pPr>
            <w:r>
              <w:t>$’000</w:t>
            </w:r>
          </w:p>
        </w:tc>
        <w:tc>
          <w:tcPr>
            <w:tcW w:w="284" w:type="pct"/>
            <w:shd w:val="clear" w:color="auto" w:fill="CCCCCC"/>
          </w:tcPr>
          <w:p w14:paraId="038A506C" w14:textId="77777777" w:rsidR="00EA0A1D" w:rsidRDefault="00EA0A1D" w:rsidP="001A5D4A">
            <w:pPr>
              <w:pStyle w:val="NotesTable-HeadBold"/>
            </w:pPr>
            <w:r>
              <w:t>$’000</w:t>
            </w:r>
          </w:p>
        </w:tc>
        <w:tc>
          <w:tcPr>
            <w:tcW w:w="284" w:type="pct"/>
            <w:shd w:val="clear" w:color="auto" w:fill="CCCCCC"/>
          </w:tcPr>
          <w:p w14:paraId="038A506D" w14:textId="77777777" w:rsidR="00EA0A1D" w:rsidRDefault="00EA0A1D" w:rsidP="001A5D4A">
            <w:pPr>
              <w:pStyle w:val="NotesTable-HeadBold"/>
            </w:pPr>
            <w:r>
              <w:t>$’000</w:t>
            </w:r>
          </w:p>
        </w:tc>
        <w:tc>
          <w:tcPr>
            <w:tcW w:w="283" w:type="pct"/>
            <w:shd w:val="clear" w:color="auto" w:fill="CCCCCC"/>
          </w:tcPr>
          <w:p w14:paraId="038A506E" w14:textId="77777777" w:rsidR="00EA0A1D" w:rsidRDefault="00EA0A1D" w:rsidP="001A5D4A">
            <w:pPr>
              <w:pStyle w:val="NotesTable-HeadPlain"/>
            </w:pPr>
            <w:r>
              <w:t>$’000</w:t>
            </w:r>
          </w:p>
        </w:tc>
        <w:tc>
          <w:tcPr>
            <w:tcW w:w="284" w:type="pct"/>
            <w:shd w:val="clear" w:color="auto" w:fill="CCCCCC"/>
          </w:tcPr>
          <w:p w14:paraId="038A506F" w14:textId="77777777" w:rsidR="00EA0A1D" w:rsidRDefault="00EA0A1D" w:rsidP="001A5D4A">
            <w:pPr>
              <w:pStyle w:val="NotesTable-HeadBold"/>
            </w:pPr>
            <w:r>
              <w:t>$’000</w:t>
            </w:r>
          </w:p>
        </w:tc>
        <w:tc>
          <w:tcPr>
            <w:tcW w:w="284" w:type="pct"/>
            <w:shd w:val="clear" w:color="auto" w:fill="CCCCCC"/>
          </w:tcPr>
          <w:p w14:paraId="038A5070" w14:textId="77777777" w:rsidR="00EA0A1D" w:rsidRDefault="00EA0A1D" w:rsidP="001A5D4A">
            <w:pPr>
              <w:pStyle w:val="NotesTable-HeadPlain"/>
            </w:pPr>
            <w:r>
              <w:t>$’000</w:t>
            </w:r>
          </w:p>
        </w:tc>
        <w:tc>
          <w:tcPr>
            <w:tcW w:w="284" w:type="pct"/>
            <w:shd w:val="clear" w:color="auto" w:fill="CCCCCC"/>
          </w:tcPr>
          <w:p w14:paraId="038A5071" w14:textId="77777777" w:rsidR="00EA0A1D" w:rsidRDefault="00EA0A1D" w:rsidP="001A5D4A">
            <w:pPr>
              <w:pStyle w:val="NotesTable-HeadBold"/>
            </w:pPr>
            <w:r>
              <w:t>$’000</w:t>
            </w:r>
          </w:p>
        </w:tc>
        <w:tc>
          <w:tcPr>
            <w:tcW w:w="282" w:type="pct"/>
            <w:tcBorders>
              <w:right w:val="single" w:sz="8" w:space="0" w:color="CDCDCD"/>
            </w:tcBorders>
            <w:shd w:val="clear" w:color="auto" w:fill="CCCCCC"/>
          </w:tcPr>
          <w:p w14:paraId="038A5072" w14:textId="77777777" w:rsidR="00EA0A1D" w:rsidRDefault="00EA0A1D" w:rsidP="001A5D4A">
            <w:pPr>
              <w:pStyle w:val="NotesTable-HeadPlain"/>
            </w:pPr>
            <w:r>
              <w:t>$’000</w:t>
            </w:r>
          </w:p>
        </w:tc>
      </w:tr>
      <w:tr w:rsidR="00EA0A1D" w14:paraId="038A5081" w14:textId="77777777" w:rsidTr="004B7414">
        <w:trPr>
          <w:cantSplit/>
          <w:trHeight w:val="255"/>
        </w:trPr>
        <w:tc>
          <w:tcPr>
            <w:tcW w:w="530" w:type="pct"/>
            <w:tcBorders>
              <w:right w:val="single" w:sz="8" w:space="0" w:color="CDCDCD"/>
            </w:tcBorders>
          </w:tcPr>
          <w:p w14:paraId="038A5074" w14:textId="77777777" w:rsidR="00EA0A1D" w:rsidRDefault="00EA0A1D" w:rsidP="001A5D4A">
            <w:pPr>
              <w:pStyle w:val="Note-Refs"/>
            </w:pPr>
            <w:r>
              <w:t>A</w:t>
            </w:r>
          </w:p>
        </w:tc>
        <w:tc>
          <w:tcPr>
            <w:tcW w:w="1367" w:type="pct"/>
            <w:tcBorders>
              <w:left w:val="single" w:sz="8" w:space="0" w:color="CDCDCD"/>
            </w:tcBorders>
            <w:shd w:val="clear" w:color="auto" w:fill="CCCCCC"/>
          </w:tcPr>
          <w:p w14:paraId="038A5075" w14:textId="77777777" w:rsidR="00EA0A1D" w:rsidRDefault="00EA0A1D" w:rsidP="001A5D4A">
            <w:pPr>
              <w:pStyle w:val="NotesTable-ItemPlain"/>
              <w:rPr>
                <w:b/>
              </w:rPr>
            </w:pPr>
            <w:r>
              <w:t>Financial assistance received in CASH during the reporting period (total cash received from the Australian Government for the program)</w:t>
            </w:r>
          </w:p>
        </w:tc>
        <w:tc>
          <w:tcPr>
            <w:tcW w:w="267" w:type="pct"/>
            <w:shd w:val="clear" w:color="auto" w:fill="CCCCCC"/>
          </w:tcPr>
          <w:p w14:paraId="038A5076" w14:textId="77777777" w:rsidR="00EA0A1D" w:rsidRDefault="00EA0A1D" w:rsidP="001A5D4A">
            <w:pPr>
              <w:pStyle w:val="NotesTable-Notes"/>
            </w:pPr>
          </w:p>
        </w:tc>
        <w:tc>
          <w:tcPr>
            <w:tcW w:w="283" w:type="pct"/>
            <w:shd w:val="clear" w:color="auto" w:fill="CCCCCC"/>
            <w:vAlign w:val="bottom"/>
          </w:tcPr>
          <w:p w14:paraId="038A5077" w14:textId="77777777" w:rsidR="00EA0A1D" w:rsidRDefault="00EA0A1D" w:rsidP="001A5D4A">
            <w:pPr>
              <w:pStyle w:val="NotesTable-CellBold"/>
            </w:pPr>
            <w:r>
              <w:t>–</w:t>
            </w:r>
          </w:p>
        </w:tc>
        <w:tc>
          <w:tcPr>
            <w:tcW w:w="284" w:type="pct"/>
            <w:gridSpan w:val="2"/>
            <w:shd w:val="clear" w:color="auto" w:fill="CCCCCC"/>
            <w:vAlign w:val="bottom"/>
          </w:tcPr>
          <w:p w14:paraId="038A5078" w14:textId="77777777" w:rsidR="00EA0A1D" w:rsidRDefault="00EA0A1D" w:rsidP="001A5D4A">
            <w:pPr>
              <w:pStyle w:val="NotesTable-CellPlain"/>
            </w:pPr>
            <w:r>
              <w:t>–</w:t>
            </w:r>
          </w:p>
        </w:tc>
        <w:tc>
          <w:tcPr>
            <w:tcW w:w="284" w:type="pct"/>
            <w:gridSpan w:val="2"/>
            <w:shd w:val="clear" w:color="auto" w:fill="CCCCCC"/>
            <w:vAlign w:val="bottom"/>
          </w:tcPr>
          <w:p w14:paraId="038A5079" w14:textId="77777777" w:rsidR="00EA0A1D" w:rsidRDefault="00EA0A1D" w:rsidP="001A5D4A">
            <w:pPr>
              <w:pStyle w:val="NotesTable-CellBold"/>
            </w:pPr>
            <w:r>
              <w:t>–</w:t>
            </w:r>
          </w:p>
        </w:tc>
        <w:tc>
          <w:tcPr>
            <w:tcW w:w="284" w:type="pct"/>
            <w:shd w:val="clear" w:color="auto" w:fill="CCCCCC"/>
            <w:vAlign w:val="bottom"/>
          </w:tcPr>
          <w:p w14:paraId="038A507A" w14:textId="77777777" w:rsidR="00EA0A1D" w:rsidRDefault="00EA0A1D" w:rsidP="001A5D4A">
            <w:pPr>
              <w:pStyle w:val="NotesTable-CellBold"/>
            </w:pPr>
            <w:r>
              <w:t>–</w:t>
            </w:r>
          </w:p>
        </w:tc>
        <w:tc>
          <w:tcPr>
            <w:tcW w:w="284" w:type="pct"/>
            <w:shd w:val="clear" w:color="auto" w:fill="CCCCCC"/>
            <w:vAlign w:val="bottom"/>
          </w:tcPr>
          <w:p w14:paraId="038A507B" w14:textId="77777777" w:rsidR="00EA0A1D" w:rsidRDefault="00EA0A1D" w:rsidP="001A5D4A">
            <w:pPr>
              <w:pStyle w:val="NotesTable-CellBold"/>
            </w:pPr>
            <w:r>
              <w:t>–</w:t>
            </w:r>
          </w:p>
        </w:tc>
        <w:tc>
          <w:tcPr>
            <w:tcW w:w="283" w:type="pct"/>
            <w:shd w:val="clear" w:color="auto" w:fill="CCCCCC"/>
            <w:vAlign w:val="bottom"/>
          </w:tcPr>
          <w:p w14:paraId="038A507C" w14:textId="77777777" w:rsidR="00EA0A1D" w:rsidRDefault="00EA0A1D" w:rsidP="001A5D4A">
            <w:pPr>
              <w:pStyle w:val="NotesTable-CellPlain"/>
            </w:pPr>
            <w:r>
              <w:t>–</w:t>
            </w:r>
          </w:p>
        </w:tc>
        <w:tc>
          <w:tcPr>
            <w:tcW w:w="284" w:type="pct"/>
            <w:shd w:val="clear" w:color="auto" w:fill="CCCCCC"/>
            <w:vAlign w:val="bottom"/>
          </w:tcPr>
          <w:p w14:paraId="038A507D" w14:textId="77777777" w:rsidR="00EA0A1D" w:rsidRDefault="00EA0A1D" w:rsidP="001A5D4A">
            <w:pPr>
              <w:pStyle w:val="NotesTable-CellBold"/>
            </w:pPr>
            <w:r>
              <w:t>–</w:t>
            </w:r>
          </w:p>
        </w:tc>
        <w:tc>
          <w:tcPr>
            <w:tcW w:w="284" w:type="pct"/>
            <w:shd w:val="clear" w:color="auto" w:fill="CCCCCC"/>
            <w:vAlign w:val="bottom"/>
          </w:tcPr>
          <w:p w14:paraId="038A507E" w14:textId="77777777" w:rsidR="00EA0A1D" w:rsidRDefault="00EA0A1D" w:rsidP="001A5D4A">
            <w:pPr>
              <w:pStyle w:val="NotesTable-CellPlain"/>
            </w:pPr>
            <w:r>
              <w:t>–</w:t>
            </w:r>
          </w:p>
        </w:tc>
        <w:tc>
          <w:tcPr>
            <w:tcW w:w="284" w:type="pct"/>
            <w:shd w:val="clear" w:color="auto" w:fill="CCCCCC"/>
            <w:vAlign w:val="bottom"/>
          </w:tcPr>
          <w:p w14:paraId="038A507F" w14:textId="77777777" w:rsidR="00EA0A1D" w:rsidRDefault="00EA0A1D" w:rsidP="001A5D4A">
            <w:pPr>
              <w:pStyle w:val="NotesTable-CellBold"/>
            </w:pPr>
            <w:r>
              <w:t>–</w:t>
            </w:r>
          </w:p>
        </w:tc>
        <w:tc>
          <w:tcPr>
            <w:tcW w:w="282" w:type="pct"/>
            <w:tcBorders>
              <w:right w:val="single" w:sz="8" w:space="0" w:color="CDCDCD"/>
            </w:tcBorders>
            <w:shd w:val="clear" w:color="auto" w:fill="CCCCCC"/>
            <w:vAlign w:val="bottom"/>
          </w:tcPr>
          <w:p w14:paraId="038A5080" w14:textId="77777777" w:rsidR="00EA0A1D" w:rsidRDefault="00EA0A1D" w:rsidP="001A5D4A">
            <w:pPr>
              <w:pStyle w:val="NotesTable-CellPlain"/>
            </w:pPr>
            <w:r>
              <w:t>–</w:t>
            </w:r>
          </w:p>
        </w:tc>
      </w:tr>
      <w:tr w:rsidR="00EA0A1D" w14:paraId="038A508F" w14:textId="77777777" w:rsidTr="004B7414">
        <w:trPr>
          <w:cantSplit/>
          <w:trHeight w:val="255"/>
        </w:trPr>
        <w:tc>
          <w:tcPr>
            <w:tcW w:w="530" w:type="pct"/>
            <w:tcBorders>
              <w:right w:val="single" w:sz="8" w:space="0" w:color="CDCDCD"/>
            </w:tcBorders>
          </w:tcPr>
          <w:p w14:paraId="038A5082" w14:textId="77777777" w:rsidR="00EA0A1D" w:rsidRDefault="00EA0A1D" w:rsidP="001A5D4A">
            <w:pPr>
              <w:pStyle w:val="Note-Refs"/>
            </w:pPr>
            <w:r>
              <w:t>B</w:t>
            </w:r>
          </w:p>
        </w:tc>
        <w:tc>
          <w:tcPr>
            <w:tcW w:w="1367" w:type="pct"/>
            <w:tcBorders>
              <w:left w:val="single" w:sz="8" w:space="0" w:color="CDCDCD"/>
            </w:tcBorders>
            <w:shd w:val="clear" w:color="auto" w:fill="CCCCCC"/>
          </w:tcPr>
          <w:p w14:paraId="038A5083" w14:textId="77777777" w:rsidR="00EA0A1D" w:rsidRDefault="00EA0A1D" w:rsidP="001A5D4A">
            <w:pPr>
              <w:pStyle w:val="NotesTable-ItemPlain"/>
              <w:rPr>
                <w:b/>
              </w:rPr>
            </w:pPr>
            <w:r>
              <w:t>Net accrual adjustments</w:t>
            </w:r>
          </w:p>
        </w:tc>
        <w:tc>
          <w:tcPr>
            <w:tcW w:w="267" w:type="pct"/>
            <w:shd w:val="clear" w:color="auto" w:fill="CCCCCC"/>
          </w:tcPr>
          <w:p w14:paraId="038A5084" w14:textId="77777777" w:rsidR="00EA0A1D" w:rsidRDefault="00EA0A1D" w:rsidP="001A5D4A">
            <w:pPr>
              <w:pStyle w:val="NotesTable-Notes"/>
            </w:pPr>
          </w:p>
        </w:tc>
        <w:tc>
          <w:tcPr>
            <w:tcW w:w="283" w:type="pct"/>
            <w:tcBorders>
              <w:bottom w:val="single" w:sz="4" w:space="0" w:color="000000"/>
            </w:tcBorders>
            <w:shd w:val="clear" w:color="auto" w:fill="CCCCCC"/>
          </w:tcPr>
          <w:p w14:paraId="038A5085" w14:textId="77777777" w:rsidR="00EA0A1D" w:rsidRDefault="00EA0A1D" w:rsidP="001A5D4A">
            <w:pPr>
              <w:pStyle w:val="NotesTable-CellBold"/>
            </w:pPr>
            <w:r>
              <w:t>–</w:t>
            </w:r>
          </w:p>
        </w:tc>
        <w:tc>
          <w:tcPr>
            <w:tcW w:w="284" w:type="pct"/>
            <w:gridSpan w:val="2"/>
            <w:tcBorders>
              <w:bottom w:val="single" w:sz="4" w:space="0" w:color="000000"/>
            </w:tcBorders>
            <w:shd w:val="clear" w:color="auto" w:fill="CCCCCC"/>
          </w:tcPr>
          <w:p w14:paraId="038A5086" w14:textId="77777777" w:rsidR="00EA0A1D" w:rsidRDefault="00EA0A1D" w:rsidP="001A5D4A">
            <w:pPr>
              <w:pStyle w:val="NotesTable-CellPlain"/>
            </w:pPr>
            <w:r>
              <w:t>–</w:t>
            </w:r>
          </w:p>
        </w:tc>
        <w:tc>
          <w:tcPr>
            <w:tcW w:w="284" w:type="pct"/>
            <w:gridSpan w:val="2"/>
            <w:tcBorders>
              <w:bottom w:val="single" w:sz="4" w:space="0" w:color="000000"/>
            </w:tcBorders>
            <w:shd w:val="clear" w:color="auto" w:fill="CCCCCC"/>
          </w:tcPr>
          <w:p w14:paraId="038A5087"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88"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89" w14:textId="77777777" w:rsidR="00EA0A1D" w:rsidRDefault="00EA0A1D" w:rsidP="001A5D4A">
            <w:pPr>
              <w:pStyle w:val="NotesTable-CellBold"/>
            </w:pPr>
            <w:r>
              <w:t>–</w:t>
            </w:r>
          </w:p>
        </w:tc>
        <w:tc>
          <w:tcPr>
            <w:tcW w:w="283" w:type="pct"/>
            <w:tcBorders>
              <w:bottom w:val="single" w:sz="4" w:space="0" w:color="000000"/>
            </w:tcBorders>
            <w:shd w:val="clear" w:color="auto" w:fill="CCCCCC"/>
          </w:tcPr>
          <w:p w14:paraId="038A508A"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8B"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8C"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8D" w14:textId="77777777" w:rsidR="00EA0A1D" w:rsidRDefault="00EA0A1D" w:rsidP="001A5D4A">
            <w:pPr>
              <w:pStyle w:val="NotesTable-CellBold"/>
            </w:pPr>
            <w:r>
              <w:t>–</w:t>
            </w:r>
          </w:p>
        </w:tc>
        <w:tc>
          <w:tcPr>
            <w:tcW w:w="282" w:type="pct"/>
            <w:tcBorders>
              <w:bottom w:val="single" w:sz="4" w:space="0" w:color="000000"/>
              <w:right w:val="single" w:sz="8" w:space="0" w:color="CDCDCD"/>
            </w:tcBorders>
            <w:shd w:val="clear" w:color="auto" w:fill="CCCCCC"/>
          </w:tcPr>
          <w:p w14:paraId="038A508E" w14:textId="77777777" w:rsidR="00EA0A1D" w:rsidRDefault="00EA0A1D" w:rsidP="001A5D4A">
            <w:pPr>
              <w:pStyle w:val="NotesTable-CellPlain"/>
            </w:pPr>
            <w:r>
              <w:t>–</w:t>
            </w:r>
          </w:p>
        </w:tc>
      </w:tr>
      <w:tr w:rsidR="00EA0A1D" w14:paraId="038A509D" w14:textId="77777777" w:rsidTr="004B7414">
        <w:trPr>
          <w:cantSplit/>
          <w:trHeight w:val="255"/>
        </w:trPr>
        <w:tc>
          <w:tcPr>
            <w:tcW w:w="530" w:type="pct"/>
            <w:tcBorders>
              <w:right w:val="single" w:sz="8" w:space="0" w:color="CDCDCD"/>
            </w:tcBorders>
          </w:tcPr>
          <w:p w14:paraId="038A5090" w14:textId="77777777" w:rsidR="00EA0A1D" w:rsidRDefault="00EA0A1D" w:rsidP="001A5D4A">
            <w:pPr>
              <w:pStyle w:val="Note-Refs"/>
              <w:rPr>
                <w:b/>
              </w:rPr>
            </w:pPr>
            <w:r>
              <w:t>C = A + B</w:t>
            </w:r>
          </w:p>
        </w:tc>
        <w:tc>
          <w:tcPr>
            <w:tcW w:w="1367" w:type="pct"/>
            <w:tcBorders>
              <w:left w:val="single" w:sz="8" w:space="0" w:color="CDCDCD"/>
            </w:tcBorders>
            <w:shd w:val="clear" w:color="auto" w:fill="CCCCCC"/>
          </w:tcPr>
          <w:p w14:paraId="038A5091" w14:textId="77777777" w:rsidR="00EA0A1D" w:rsidRDefault="00EA0A1D" w:rsidP="001A5D4A">
            <w:pPr>
              <w:pStyle w:val="NotesTable-ItemPlain"/>
              <w:rPr>
                <w:b/>
              </w:rPr>
            </w:pPr>
            <w:r>
              <w:t>Revenue for the period</w:t>
            </w:r>
          </w:p>
        </w:tc>
        <w:tc>
          <w:tcPr>
            <w:tcW w:w="267" w:type="pct"/>
            <w:shd w:val="clear" w:color="auto" w:fill="CCCCCC"/>
          </w:tcPr>
          <w:p w14:paraId="038A5092" w14:textId="77777777" w:rsidR="00EA0A1D" w:rsidRDefault="00EA0A1D" w:rsidP="001A5D4A">
            <w:pPr>
              <w:pStyle w:val="NotesTable-Notes"/>
            </w:pPr>
            <w:r>
              <w:t>3(d)</w:t>
            </w:r>
          </w:p>
        </w:tc>
        <w:tc>
          <w:tcPr>
            <w:tcW w:w="283" w:type="pct"/>
            <w:tcBorders>
              <w:top w:val="single" w:sz="4" w:space="0" w:color="000000"/>
            </w:tcBorders>
            <w:shd w:val="clear" w:color="auto" w:fill="CCCCCC"/>
          </w:tcPr>
          <w:p w14:paraId="038A5093" w14:textId="77777777" w:rsidR="00EA0A1D" w:rsidRDefault="00EA0A1D" w:rsidP="001A5D4A">
            <w:pPr>
              <w:pStyle w:val="NotesTable-CellBold"/>
            </w:pPr>
            <w:r>
              <w:t>–</w:t>
            </w:r>
          </w:p>
        </w:tc>
        <w:tc>
          <w:tcPr>
            <w:tcW w:w="284" w:type="pct"/>
            <w:gridSpan w:val="2"/>
            <w:tcBorders>
              <w:top w:val="single" w:sz="4" w:space="0" w:color="000000"/>
            </w:tcBorders>
            <w:shd w:val="clear" w:color="auto" w:fill="CCCCCC"/>
          </w:tcPr>
          <w:p w14:paraId="038A5094" w14:textId="77777777" w:rsidR="00EA0A1D" w:rsidRDefault="00EA0A1D" w:rsidP="001A5D4A">
            <w:pPr>
              <w:pStyle w:val="NotesTable-CellPlain"/>
            </w:pPr>
            <w:r>
              <w:t>–</w:t>
            </w:r>
          </w:p>
        </w:tc>
        <w:tc>
          <w:tcPr>
            <w:tcW w:w="284" w:type="pct"/>
            <w:gridSpan w:val="2"/>
            <w:tcBorders>
              <w:top w:val="single" w:sz="4" w:space="0" w:color="000000"/>
            </w:tcBorders>
            <w:shd w:val="clear" w:color="auto" w:fill="CCCCCC"/>
          </w:tcPr>
          <w:p w14:paraId="038A5095"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96"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97" w14:textId="77777777" w:rsidR="00EA0A1D" w:rsidRDefault="00EA0A1D" w:rsidP="001A5D4A">
            <w:pPr>
              <w:pStyle w:val="NotesTable-CellBold"/>
            </w:pPr>
            <w:r>
              <w:t>–</w:t>
            </w:r>
          </w:p>
        </w:tc>
        <w:tc>
          <w:tcPr>
            <w:tcW w:w="283" w:type="pct"/>
            <w:tcBorders>
              <w:top w:val="single" w:sz="4" w:space="0" w:color="000000"/>
            </w:tcBorders>
            <w:shd w:val="clear" w:color="auto" w:fill="CCCCCC"/>
          </w:tcPr>
          <w:p w14:paraId="038A5098" w14:textId="77777777" w:rsidR="00EA0A1D" w:rsidRDefault="00EA0A1D" w:rsidP="001A5D4A">
            <w:pPr>
              <w:pStyle w:val="NotesTable-CellPlain"/>
            </w:pPr>
            <w:r>
              <w:t>–</w:t>
            </w:r>
          </w:p>
        </w:tc>
        <w:tc>
          <w:tcPr>
            <w:tcW w:w="284" w:type="pct"/>
            <w:tcBorders>
              <w:top w:val="single" w:sz="4" w:space="0" w:color="000000"/>
            </w:tcBorders>
            <w:shd w:val="clear" w:color="auto" w:fill="CCCCCC"/>
          </w:tcPr>
          <w:p w14:paraId="038A5099"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9A" w14:textId="77777777" w:rsidR="00EA0A1D" w:rsidRDefault="00EA0A1D" w:rsidP="001A5D4A">
            <w:pPr>
              <w:pStyle w:val="NotesTable-CellPlain"/>
            </w:pPr>
            <w:r>
              <w:t>–</w:t>
            </w:r>
          </w:p>
        </w:tc>
        <w:tc>
          <w:tcPr>
            <w:tcW w:w="284" w:type="pct"/>
            <w:tcBorders>
              <w:top w:val="single" w:sz="4" w:space="0" w:color="000000"/>
            </w:tcBorders>
            <w:shd w:val="clear" w:color="auto" w:fill="CCCCCC"/>
          </w:tcPr>
          <w:p w14:paraId="038A509B" w14:textId="77777777" w:rsidR="00EA0A1D" w:rsidRDefault="00EA0A1D" w:rsidP="001A5D4A">
            <w:pPr>
              <w:pStyle w:val="NotesTable-CellBold"/>
            </w:pPr>
            <w:r>
              <w:t>–</w:t>
            </w:r>
          </w:p>
        </w:tc>
        <w:tc>
          <w:tcPr>
            <w:tcW w:w="282" w:type="pct"/>
            <w:tcBorders>
              <w:top w:val="single" w:sz="4" w:space="0" w:color="000000"/>
              <w:right w:val="single" w:sz="8" w:space="0" w:color="CDCDCD"/>
            </w:tcBorders>
            <w:shd w:val="clear" w:color="auto" w:fill="CCCCCC"/>
          </w:tcPr>
          <w:p w14:paraId="038A509C" w14:textId="77777777" w:rsidR="00EA0A1D" w:rsidRDefault="00EA0A1D" w:rsidP="001A5D4A">
            <w:pPr>
              <w:pStyle w:val="NotesTable-CellPlain"/>
            </w:pPr>
            <w:r>
              <w:t>–</w:t>
            </w:r>
          </w:p>
        </w:tc>
      </w:tr>
      <w:tr w:rsidR="00EA0A1D" w14:paraId="038A50AB" w14:textId="77777777" w:rsidTr="004B7414">
        <w:trPr>
          <w:cantSplit/>
          <w:trHeight w:val="255"/>
        </w:trPr>
        <w:tc>
          <w:tcPr>
            <w:tcW w:w="530" w:type="pct"/>
            <w:tcBorders>
              <w:right w:val="single" w:sz="8" w:space="0" w:color="CDCDCD"/>
            </w:tcBorders>
          </w:tcPr>
          <w:p w14:paraId="038A509E" w14:textId="77777777" w:rsidR="00EA0A1D" w:rsidRDefault="00EA0A1D" w:rsidP="001A5D4A">
            <w:pPr>
              <w:pStyle w:val="Note-Refs"/>
            </w:pPr>
          </w:p>
        </w:tc>
        <w:tc>
          <w:tcPr>
            <w:tcW w:w="1367" w:type="pct"/>
            <w:tcBorders>
              <w:left w:val="single" w:sz="8" w:space="0" w:color="CDCDCD"/>
            </w:tcBorders>
            <w:shd w:val="clear" w:color="auto" w:fill="CCCCCC"/>
          </w:tcPr>
          <w:p w14:paraId="038A509F" w14:textId="77777777" w:rsidR="00EA0A1D" w:rsidRDefault="00EA0A1D" w:rsidP="001A5D4A">
            <w:pPr>
              <w:pStyle w:val="NotesTable-ItemPlain"/>
            </w:pPr>
          </w:p>
        </w:tc>
        <w:tc>
          <w:tcPr>
            <w:tcW w:w="267" w:type="pct"/>
            <w:shd w:val="clear" w:color="auto" w:fill="CCCCCC"/>
          </w:tcPr>
          <w:p w14:paraId="038A50A0" w14:textId="77777777" w:rsidR="00EA0A1D" w:rsidRDefault="00EA0A1D" w:rsidP="001A5D4A">
            <w:pPr>
              <w:pStyle w:val="NotesTable-Notes"/>
            </w:pPr>
          </w:p>
        </w:tc>
        <w:tc>
          <w:tcPr>
            <w:tcW w:w="283" w:type="pct"/>
            <w:shd w:val="clear" w:color="auto" w:fill="CCCCCC"/>
          </w:tcPr>
          <w:p w14:paraId="038A50A1" w14:textId="77777777" w:rsidR="00EA0A1D" w:rsidRDefault="00EA0A1D" w:rsidP="001A5D4A">
            <w:pPr>
              <w:pStyle w:val="NotesTable-CellBold"/>
            </w:pPr>
          </w:p>
        </w:tc>
        <w:tc>
          <w:tcPr>
            <w:tcW w:w="284" w:type="pct"/>
            <w:gridSpan w:val="2"/>
            <w:shd w:val="clear" w:color="auto" w:fill="CCCCCC"/>
          </w:tcPr>
          <w:p w14:paraId="038A50A2" w14:textId="77777777" w:rsidR="00EA0A1D" w:rsidRDefault="00EA0A1D" w:rsidP="001A5D4A">
            <w:pPr>
              <w:pStyle w:val="NotesTable-CellPlain"/>
            </w:pPr>
          </w:p>
        </w:tc>
        <w:tc>
          <w:tcPr>
            <w:tcW w:w="284" w:type="pct"/>
            <w:gridSpan w:val="2"/>
            <w:shd w:val="clear" w:color="auto" w:fill="CCCCCC"/>
          </w:tcPr>
          <w:p w14:paraId="038A50A3" w14:textId="77777777" w:rsidR="00EA0A1D" w:rsidRDefault="00EA0A1D" w:rsidP="001A5D4A">
            <w:pPr>
              <w:pStyle w:val="NotesTable-CellBold"/>
            </w:pPr>
          </w:p>
        </w:tc>
        <w:tc>
          <w:tcPr>
            <w:tcW w:w="284" w:type="pct"/>
            <w:shd w:val="clear" w:color="auto" w:fill="CCCCCC"/>
          </w:tcPr>
          <w:p w14:paraId="038A50A4" w14:textId="77777777" w:rsidR="00EA0A1D" w:rsidRDefault="00EA0A1D" w:rsidP="001A5D4A">
            <w:pPr>
              <w:pStyle w:val="NotesTable-CellBold"/>
            </w:pPr>
          </w:p>
        </w:tc>
        <w:tc>
          <w:tcPr>
            <w:tcW w:w="284" w:type="pct"/>
            <w:shd w:val="clear" w:color="auto" w:fill="CCCCCC"/>
          </w:tcPr>
          <w:p w14:paraId="038A50A5" w14:textId="77777777" w:rsidR="00EA0A1D" w:rsidRDefault="00EA0A1D" w:rsidP="001A5D4A">
            <w:pPr>
              <w:pStyle w:val="NotesTable-CellBold"/>
            </w:pPr>
          </w:p>
        </w:tc>
        <w:tc>
          <w:tcPr>
            <w:tcW w:w="283" w:type="pct"/>
            <w:shd w:val="clear" w:color="auto" w:fill="CCCCCC"/>
          </w:tcPr>
          <w:p w14:paraId="038A50A6" w14:textId="77777777" w:rsidR="00EA0A1D" w:rsidRDefault="00EA0A1D" w:rsidP="001A5D4A">
            <w:pPr>
              <w:pStyle w:val="NotesTable-CellPlain"/>
            </w:pPr>
          </w:p>
        </w:tc>
        <w:tc>
          <w:tcPr>
            <w:tcW w:w="284" w:type="pct"/>
            <w:shd w:val="clear" w:color="auto" w:fill="CCCCCC"/>
          </w:tcPr>
          <w:p w14:paraId="038A50A7" w14:textId="77777777" w:rsidR="00EA0A1D" w:rsidRDefault="00EA0A1D" w:rsidP="001A5D4A">
            <w:pPr>
              <w:pStyle w:val="NotesTable-CellBold"/>
            </w:pPr>
          </w:p>
        </w:tc>
        <w:tc>
          <w:tcPr>
            <w:tcW w:w="284" w:type="pct"/>
            <w:shd w:val="clear" w:color="auto" w:fill="CCCCCC"/>
          </w:tcPr>
          <w:p w14:paraId="038A50A8" w14:textId="77777777" w:rsidR="00EA0A1D" w:rsidRDefault="00EA0A1D" w:rsidP="001A5D4A">
            <w:pPr>
              <w:pStyle w:val="NotesTable-CellPlain"/>
            </w:pPr>
          </w:p>
        </w:tc>
        <w:tc>
          <w:tcPr>
            <w:tcW w:w="284" w:type="pct"/>
            <w:shd w:val="clear" w:color="auto" w:fill="CCCCCC"/>
          </w:tcPr>
          <w:p w14:paraId="038A50A9" w14:textId="77777777" w:rsidR="00EA0A1D" w:rsidRDefault="00EA0A1D" w:rsidP="001A5D4A">
            <w:pPr>
              <w:pStyle w:val="NotesTable-CellBold"/>
            </w:pPr>
          </w:p>
        </w:tc>
        <w:tc>
          <w:tcPr>
            <w:tcW w:w="282" w:type="pct"/>
            <w:tcBorders>
              <w:right w:val="single" w:sz="8" w:space="0" w:color="CDCDCD"/>
            </w:tcBorders>
            <w:shd w:val="clear" w:color="auto" w:fill="CCCCCC"/>
          </w:tcPr>
          <w:p w14:paraId="038A50AA" w14:textId="77777777" w:rsidR="00EA0A1D" w:rsidRDefault="00EA0A1D" w:rsidP="001A5D4A">
            <w:pPr>
              <w:pStyle w:val="NotesTable-CellPlain"/>
            </w:pPr>
          </w:p>
        </w:tc>
      </w:tr>
      <w:tr w:rsidR="00EA0A1D" w14:paraId="038A50B9" w14:textId="77777777" w:rsidTr="004B7414">
        <w:trPr>
          <w:cantSplit/>
          <w:trHeight w:val="255"/>
        </w:trPr>
        <w:tc>
          <w:tcPr>
            <w:tcW w:w="530" w:type="pct"/>
            <w:tcBorders>
              <w:right w:val="single" w:sz="8" w:space="0" w:color="CDCDCD"/>
            </w:tcBorders>
          </w:tcPr>
          <w:p w14:paraId="038A50AC" w14:textId="77777777" w:rsidR="00EA0A1D" w:rsidRDefault="00EA0A1D" w:rsidP="001A5D4A">
            <w:pPr>
              <w:pStyle w:val="Note-Refs"/>
            </w:pPr>
            <w:r>
              <w:t>D</w:t>
            </w:r>
          </w:p>
        </w:tc>
        <w:tc>
          <w:tcPr>
            <w:tcW w:w="1367" w:type="pct"/>
            <w:tcBorders>
              <w:left w:val="single" w:sz="8" w:space="0" w:color="CDCDCD"/>
            </w:tcBorders>
            <w:shd w:val="clear" w:color="auto" w:fill="CCCCCC"/>
          </w:tcPr>
          <w:p w14:paraId="038A50AD" w14:textId="77777777" w:rsidR="00EA0A1D" w:rsidRDefault="00EA0A1D" w:rsidP="001A5D4A">
            <w:pPr>
              <w:pStyle w:val="NotesTable-ItemPlain"/>
              <w:rPr>
                <w:b/>
              </w:rPr>
            </w:pPr>
            <w:r>
              <w:t>Surplus / (deficit) from the previous year</w:t>
            </w:r>
          </w:p>
        </w:tc>
        <w:tc>
          <w:tcPr>
            <w:tcW w:w="267" w:type="pct"/>
            <w:shd w:val="clear" w:color="auto" w:fill="CCCCCC"/>
          </w:tcPr>
          <w:p w14:paraId="038A50AE" w14:textId="77777777" w:rsidR="00EA0A1D" w:rsidRDefault="00EA0A1D" w:rsidP="001A5D4A">
            <w:pPr>
              <w:pStyle w:val="NotesTable-Notes"/>
            </w:pPr>
          </w:p>
        </w:tc>
        <w:tc>
          <w:tcPr>
            <w:tcW w:w="283" w:type="pct"/>
            <w:tcBorders>
              <w:bottom w:val="single" w:sz="4" w:space="0" w:color="000000"/>
            </w:tcBorders>
            <w:shd w:val="clear" w:color="auto" w:fill="CCCCCC"/>
          </w:tcPr>
          <w:p w14:paraId="038A50AF" w14:textId="77777777" w:rsidR="00EA0A1D" w:rsidRDefault="00EA0A1D" w:rsidP="001A5D4A">
            <w:pPr>
              <w:pStyle w:val="NotesTable-CellBold"/>
            </w:pPr>
            <w:r>
              <w:t>–</w:t>
            </w:r>
          </w:p>
        </w:tc>
        <w:tc>
          <w:tcPr>
            <w:tcW w:w="284" w:type="pct"/>
            <w:gridSpan w:val="2"/>
            <w:tcBorders>
              <w:bottom w:val="single" w:sz="4" w:space="0" w:color="000000"/>
            </w:tcBorders>
            <w:shd w:val="clear" w:color="auto" w:fill="CCCCCC"/>
          </w:tcPr>
          <w:p w14:paraId="038A50B0" w14:textId="77777777" w:rsidR="00EA0A1D" w:rsidRDefault="00EA0A1D" w:rsidP="001A5D4A">
            <w:pPr>
              <w:pStyle w:val="NotesTable-CellPlain"/>
            </w:pPr>
            <w:r>
              <w:t>–</w:t>
            </w:r>
          </w:p>
        </w:tc>
        <w:tc>
          <w:tcPr>
            <w:tcW w:w="284" w:type="pct"/>
            <w:gridSpan w:val="2"/>
            <w:tcBorders>
              <w:bottom w:val="single" w:sz="4" w:space="0" w:color="000000"/>
            </w:tcBorders>
            <w:shd w:val="clear" w:color="auto" w:fill="CCCCCC"/>
          </w:tcPr>
          <w:p w14:paraId="038A50B1"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B2"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B3" w14:textId="77777777" w:rsidR="00EA0A1D" w:rsidRDefault="00EA0A1D" w:rsidP="001A5D4A">
            <w:pPr>
              <w:pStyle w:val="NotesTable-CellBold"/>
            </w:pPr>
            <w:r>
              <w:t>–</w:t>
            </w:r>
          </w:p>
        </w:tc>
        <w:tc>
          <w:tcPr>
            <w:tcW w:w="283" w:type="pct"/>
            <w:tcBorders>
              <w:bottom w:val="single" w:sz="4" w:space="0" w:color="000000"/>
            </w:tcBorders>
            <w:shd w:val="clear" w:color="auto" w:fill="CCCCCC"/>
          </w:tcPr>
          <w:p w14:paraId="038A50B4"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B5"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B6"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B7" w14:textId="77777777" w:rsidR="00EA0A1D" w:rsidRDefault="00EA0A1D" w:rsidP="001A5D4A">
            <w:pPr>
              <w:pStyle w:val="NotesTable-CellBold"/>
            </w:pPr>
            <w:r>
              <w:t>–</w:t>
            </w:r>
          </w:p>
        </w:tc>
        <w:tc>
          <w:tcPr>
            <w:tcW w:w="282" w:type="pct"/>
            <w:tcBorders>
              <w:bottom w:val="single" w:sz="4" w:space="0" w:color="000000"/>
              <w:right w:val="single" w:sz="8" w:space="0" w:color="CDCDCD"/>
            </w:tcBorders>
            <w:shd w:val="clear" w:color="auto" w:fill="CCCCCC"/>
          </w:tcPr>
          <w:p w14:paraId="038A50B8" w14:textId="77777777" w:rsidR="00EA0A1D" w:rsidRDefault="00EA0A1D" w:rsidP="001A5D4A">
            <w:pPr>
              <w:pStyle w:val="NotesTable-CellPlain"/>
            </w:pPr>
            <w:r>
              <w:t>–</w:t>
            </w:r>
          </w:p>
        </w:tc>
      </w:tr>
      <w:tr w:rsidR="00EA0A1D" w14:paraId="038A50C7" w14:textId="77777777" w:rsidTr="004B7414">
        <w:trPr>
          <w:cantSplit/>
          <w:trHeight w:val="255"/>
        </w:trPr>
        <w:tc>
          <w:tcPr>
            <w:tcW w:w="530" w:type="pct"/>
            <w:tcBorders>
              <w:right w:val="single" w:sz="8" w:space="0" w:color="CDCDCD"/>
            </w:tcBorders>
          </w:tcPr>
          <w:p w14:paraId="038A50BA" w14:textId="77777777" w:rsidR="00EA0A1D" w:rsidRDefault="00EA0A1D" w:rsidP="001A5D4A">
            <w:pPr>
              <w:pStyle w:val="Note-Refs"/>
              <w:rPr>
                <w:b/>
              </w:rPr>
            </w:pPr>
            <w:r>
              <w:t>E = C + D</w:t>
            </w:r>
          </w:p>
        </w:tc>
        <w:tc>
          <w:tcPr>
            <w:tcW w:w="1367" w:type="pct"/>
            <w:tcBorders>
              <w:left w:val="single" w:sz="8" w:space="0" w:color="CDCDCD"/>
            </w:tcBorders>
            <w:shd w:val="clear" w:color="auto" w:fill="CCCCCC"/>
          </w:tcPr>
          <w:p w14:paraId="038A50BB" w14:textId="77777777" w:rsidR="00EA0A1D" w:rsidRDefault="00EA0A1D" w:rsidP="001A5D4A">
            <w:pPr>
              <w:pStyle w:val="NotesTable-ItemPlain"/>
              <w:rPr>
                <w:b/>
              </w:rPr>
            </w:pPr>
            <w:r>
              <w:t>Total revenue including accrued revenue</w:t>
            </w:r>
          </w:p>
        </w:tc>
        <w:tc>
          <w:tcPr>
            <w:tcW w:w="267" w:type="pct"/>
            <w:shd w:val="clear" w:color="auto" w:fill="CCCCCC"/>
          </w:tcPr>
          <w:p w14:paraId="038A50BC" w14:textId="77777777" w:rsidR="00EA0A1D" w:rsidRDefault="00EA0A1D" w:rsidP="001A5D4A">
            <w:pPr>
              <w:pStyle w:val="NotesTable-Notes"/>
            </w:pPr>
          </w:p>
        </w:tc>
        <w:tc>
          <w:tcPr>
            <w:tcW w:w="283" w:type="pct"/>
            <w:tcBorders>
              <w:top w:val="single" w:sz="4" w:space="0" w:color="000000"/>
            </w:tcBorders>
            <w:shd w:val="clear" w:color="auto" w:fill="CCCCCC"/>
          </w:tcPr>
          <w:p w14:paraId="038A50BD" w14:textId="77777777" w:rsidR="00EA0A1D" w:rsidRDefault="00EA0A1D" w:rsidP="001A5D4A">
            <w:pPr>
              <w:pStyle w:val="NotesTable-CellBold"/>
            </w:pPr>
            <w:r>
              <w:t>–</w:t>
            </w:r>
          </w:p>
        </w:tc>
        <w:tc>
          <w:tcPr>
            <w:tcW w:w="284" w:type="pct"/>
            <w:gridSpan w:val="2"/>
            <w:tcBorders>
              <w:top w:val="single" w:sz="4" w:space="0" w:color="000000"/>
            </w:tcBorders>
            <w:shd w:val="clear" w:color="auto" w:fill="CCCCCC"/>
          </w:tcPr>
          <w:p w14:paraId="038A50BE" w14:textId="77777777" w:rsidR="00EA0A1D" w:rsidRDefault="00EA0A1D" w:rsidP="001A5D4A">
            <w:pPr>
              <w:pStyle w:val="NotesTable-CellPlain"/>
            </w:pPr>
            <w:r>
              <w:t>–</w:t>
            </w:r>
          </w:p>
        </w:tc>
        <w:tc>
          <w:tcPr>
            <w:tcW w:w="284" w:type="pct"/>
            <w:gridSpan w:val="2"/>
            <w:tcBorders>
              <w:top w:val="single" w:sz="4" w:space="0" w:color="000000"/>
            </w:tcBorders>
            <w:shd w:val="clear" w:color="auto" w:fill="CCCCCC"/>
          </w:tcPr>
          <w:p w14:paraId="038A50BF"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C0"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C1" w14:textId="77777777" w:rsidR="00EA0A1D" w:rsidRDefault="00EA0A1D" w:rsidP="001A5D4A">
            <w:pPr>
              <w:pStyle w:val="NotesTable-CellBold"/>
            </w:pPr>
            <w:r>
              <w:t>–</w:t>
            </w:r>
          </w:p>
        </w:tc>
        <w:tc>
          <w:tcPr>
            <w:tcW w:w="283" w:type="pct"/>
            <w:tcBorders>
              <w:top w:val="single" w:sz="4" w:space="0" w:color="000000"/>
            </w:tcBorders>
            <w:shd w:val="clear" w:color="auto" w:fill="CCCCCC"/>
          </w:tcPr>
          <w:p w14:paraId="038A50C2" w14:textId="77777777" w:rsidR="00EA0A1D" w:rsidRDefault="00EA0A1D" w:rsidP="001A5D4A">
            <w:pPr>
              <w:pStyle w:val="NotesTable-CellPlain"/>
            </w:pPr>
            <w:r>
              <w:t>–</w:t>
            </w:r>
          </w:p>
        </w:tc>
        <w:tc>
          <w:tcPr>
            <w:tcW w:w="284" w:type="pct"/>
            <w:tcBorders>
              <w:top w:val="single" w:sz="4" w:space="0" w:color="000000"/>
            </w:tcBorders>
            <w:shd w:val="clear" w:color="auto" w:fill="CCCCCC"/>
          </w:tcPr>
          <w:p w14:paraId="038A50C3" w14:textId="77777777" w:rsidR="00EA0A1D" w:rsidRDefault="00EA0A1D" w:rsidP="001A5D4A">
            <w:pPr>
              <w:pStyle w:val="NotesTable-CellBold"/>
            </w:pPr>
            <w:r>
              <w:t>–</w:t>
            </w:r>
          </w:p>
        </w:tc>
        <w:tc>
          <w:tcPr>
            <w:tcW w:w="284" w:type="pct"/>
            <w:tcBorders>
              <w:top w:val="single" w:sz="4" w:space="0" w:color="000000"/>
            </w:tcBorders>
            <w:shd w:val="clear" w:color="auto" w:fill="CCCCCC"/>
          </w:tcPr>
          <w:p w14:paraId="038A50C4" w14:textId="77777777" w:rsidR="00EA0A1D" w:rsidRDefault="00EA0A1D" w:rsidP="001A5D4A">
            <w:pPr>
              <w:pStyle w:val="NotesTable-CellPlain"/>
            </w:pPr>
            <w:r>
              <w:t>–</w:t>
            </w:r>
          </w:p>
        </w:tc>
        <w:tc>
          <w:tcPr>
            <w:tcW w:w="284" w:type="pct"/>
            <w:tcBorders>
              <w:top w:val="single" w:sz="4" w:space="0" w:color="000000"/>
            </w:tcBorders>
            <w:shd w:val="clear" w:color="auto" w:fill="CCCCCC"/>
          </w:tcPr>
          <w:p w14:paraId="038A50C5" w14:textId="77777777" w:rsidR="00EA0A1D" w:rsidRDefault="00EA0A1D" w:rsidP="001A5D4A">
            <w:pPr>
              <w:pStyle w:val="NotesTable-CellBold"/>
            </w:pPr>
            <w:r>
              <w:t>–</w:t>
            </w:r>
          </w:p>
        </w:tc>
        <w:tc>
          <w:tcPr>
            <w:tcW w:w="282" w:type="pct"/>
            <w:tcBorders>
              <w:top w:val="single" w:sz="4" w:space="0" w:color="000000"/>
              <w:right w:val="single" w:sz="8" w:space="0" w:color="CDCDCD"/>
            </w:tcBorders>
            <w:shd w:val="clear" w:color="auto" w:fill="CCCCCC"/>
          </w:tcPr>
          <w:p w14:paraId="038A50C6" w14:textId="77777777" w:rsidR="00EA0A1D" w:rsidRDefault="00EA0A1D" w:rsidP="001A5D4A">
            <w:pPr>
              <w:pStyle w:val="NotesTable-CellPlain"/>
            </w:pPr>
            <w:r>
              <w:t>–</w:t>
            </w:r>
          </w:p>
        </w:tc>
      </w:tr>
      <w:tr w:rsidR="00EA0A1D" w14:paraId="038A50D5" w14:textId="77777777" w:rsidTr="004B7414">
        <w:trPr>
          <w:cantSplit/>
          <w:trHeight w:val="255"/>
        </w:trPr>
        <w:tc>
          <w:tcPr>
            <w:tcW w:w="530" w:type="pct"/>
            <w:tcBorders>
              <w:right w:val="single" w:sz="8" w:space="0" w:color="CDCDCD"/>
            </w:tcBorders>
          </w:tcPr>
          <w:p w14:paraId="038A50C8" w14:textId="77777777" w:rsidR="00EA0A1D" w:rsidRDefault="00EA0A1D" w:rsidP="001A5D4A">
            <w:pPr>
              <w:pStyle w:val="Note-Refs"/>
            </w:pPr>
            <w:r>
              <w:t>F</w:t>
            </w:r>
          </w:p>
        </w:tc>
        <w:tc>
          <w:tcPr>
            <w:tcW w:w="1367" w:type="pct"/>
            <w:tcBorders>
              <w:left w:val="single" w:sz="8" w:space="0" w:color="CDCDCD"/>
            </w:tcBorders>
            <w:shd w:val="clear" w:color="auto" w:fill="CCCCCC"/>
          </w:tcPr>
          <w:p w14:paraId="038A50C9" w14:textId="77777777" w:rsidR="00EA0A1D" w:rsidRDefault="00EA0A1D" w:rsidP="001A5D4A">
            <w:pPr>
              <w:pStyle w:val="NotesTable-ItemPlain"/>
              <w:rPr>
                <w:b/>
              </w:rPr>
            </w:pPr>
            <w:r>
              <w:t>Less expenses including accrued expenses</w:t>
            </w:r>
          </w:p>
        </w:tc>
        <w:tc>
          <w:tcPr>
            <w:tcW w:w="267" w:type="pct"/>
            <w:shd w:val="clear" w:color="auto" w:fill="CCCCCC"/>
          </w:tcPr>
          <w:p w14:paraId="038A50CA" w14:textId="77777777" w:rsidR="00EA0A1D" w:rsidRDefault="00EA0A1D" w:rsidP="001A5D4A">
            <w:pPr>
              <w:pStyle w:val="NotesTable-Notes"/>
            </w:pPr>
          </w:p>
        </w:tc>
        <w:tc>
          <w:tcPr>
            <w:tcW w:w="283" w:type="pct"/>
            <w:tcBorders>
              <w:bottom w:val="single" w:sz="4" w:space="0" w:color="000000"/>
            </w:tcBorders>
            <w:shd w:val="clear" w:color="auto" w:fill="CCCCCC"/>
          </w:tcPr>
          <w:p w14:paraId="038A50CB" w14:textId="77777777" w:rsidR="00EA0A1D" w:rsidRDefault="00EA0A1D" w:rsidP="001A5D4A">
            <w:pPr>
              <w:pStyle w:val="NotesTable-CellBold"/>
            </w:pPr>
            <w:r>
              <w:t>–</w:t>
            </w:r>
          </w:p>
        </w:tc>
        <w:tc>
          <w:tcPr>
            <w:tcW w:w="284" w:type="pct"/>
            <w:gridSpan w:val="2"/>
            <w:tcBorders>
              <w:bottom w:val="single" w:sz="4" w:space="0" w:color="000000"/>
            </w:tcBorders>
            <w:shd w:val="clear" w:color="auto" w:fill="CCCCCC"/>
          </w:tcPr>
          <w:p w14:paraId="038A50CC" w14:textId="77777777" w:rsidR="00EA0A1D" w:rsidRDefault="00EA0A1D" w:rsidP="001A5D4A">
            <w:pPr>
              <w:pStyle w:val="NotesTable-CellPlain"/>
            </w:pPr>
            <w:r>
              <w:t>–</w:t>
            </w:r>
          </w:p>
        </w:tc>
        <w:tc>
          <w:tcPr>
            <w:tcW w:w="284" w:type="pct"/>
            <w:gridSpan w:val="2"/>
            <w:tcBorders>
              <w:bottom w:val="single" w:sz="4" w:space="0" w:color="000000"/>
            </w:tcBorders>
            <w:shd w:val="clear" w:color="auto" w:fill="CCCCCC"/>
          </w:tcPr>
          <w:p w14:paraId="038A50CD"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CE"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CF" w14:textId="77777777" w:rsidR="00EA0A1D" w:rsidRDefault="00EA0A1D" w:rsidP="001A5D4A">
            <w:pPr>
              <w:pStyle w:val="NotesTable-CellBold"/>
            </w:pPr>
            <w:r>
              <w:t>–</w:t>
            </w:r>
          </w:p>
        </w:tc>
        <w:tc>
          <w:tcPr>
            <w:tcW w:w="283" w:type="pct"/>
            <w:tcBorders>
              <w:bottom w:val="single" w:sz="4" w:space="0" w:color="000000"/>
            </w:tcBorders>
            <w:shd w:val="clear" w:color="auto" w:fill="CCCCCC"/>
          </w:tcPr>
          <w:p w14:paraId="038A50D0"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D1" w14:textId="77777777" w:rsidR="00EA0A1D" w:rsidRDefault="00EA0A1D" w:rsidP="001A5D4A">
            <w:pPr>
              <w:pStyle w:val="NotesTable-CellBold"/>
            </w:pPr>
            <w:r>
              <w:t>–</w:t>
            </w:r>
          </w:p>
        </w:tc>
        <w:tc>
          <w:tcPr>
            <w:tcW w:w="284" w:type="pct"/>
            <w:tcBorders>
              <w:bottom w:val="single" w:sz="4" w:space="0" w:color="000000"/>
            </w:tcBorders>
            <w:shd w:val="clear" w:color="auto" w:fill="CCCCCC"/>
          </w:tcPr>
          <w:p w14:paraId="038A50D2" w14:textId="77777777" w:rsidR="00EA0A1D" w:rsidRDefault="00EA0A1D" w:rsidP="001A5D4A">
            <w:pPr>
              <w:pStyle w:val="NotesTable-CellPlain"/>
            </w:pPr>
            <w:r>
              <w:t>–</w:t>
            </w:r>
          </w:p>
        </w:tc>
        <w:tc>
          <w:tcPr>
            <w:tcW w:w="284" w:type="pct"/>
            <w:tcBorders>
              <w:bottom w:val="single" w:sz="4" w:space="0" w:color="000000"/>
            </w:tcBorders>
            <w:shd w:val="clear" w:color="auto" w:fill="CCCCCC"/>
          </w:tcPr>
          <w:p w14:paraId="038A50D3" w14:textId="77777777" w:rsidR="00EA0A1D" w:rsidRDefault="00EA0A1D" w:rsidP="001A5D4A">
            <w:pPr>
              <w:pStyle w:val="NotesTable-CellBold"/>
            </w:pPr>
            <w:r>
              <w:t>–</w:t>
            </w:r>
          </w:p>
        </w:tc>
        <w:tc>
          <w:tcPr>
            <w:tcW w:w="282" w:type="pct"/>
            <w:tcBorders>
              <w:bottom w:val="single" w:sz="4" w:space="0" w:color="000000"/>
              <w:right w:val="single" w:sz="8" w:space="0" w:color="CDCDCD"/>
            </w:tcBorders>
            <w:shd w:val="clear" w:color="auto" w:fill="CCCCCC"/>
          </w:tcPr>
          <w:p w14:paraId="038A50D4" w14:textId="77777777" w:rsidR="00EA0A1D" w:rsidRDefault="00EA0A1D" w:rsidP="001A5D4A">
            <w:pPr>
              <w:pStyle w:val="NotesTable-CellPlain"/>
            </w:pPr>
            <w:r>
              <w:t>–</w:t>
            </w:r>
          </w:p>
        </w:tc>
      </w:tr>
      <w:tr w:rsidR="00EA0A1D" w14:paraId="038A50E3" w14:textId="77777777" w:rsidTr="004B7414">
        <w:trPr>
          <w:cantSplit/>
          <w:trHeight w:val="255"/>
        </w:trPr>
        <w:tc>
          <w:tcPr>
            <w:tcW w:w="530" w:type="pct"/>
            <w:tcBorders>
              <w:right w:val="single" w:sz="8" w:space="0" w:color="CDCDCD"/>
            </w:tcBorders>
          </w:tcPr>
          <w:p w14:paraId="038A50D6" w14:textId="77777777" w:rsidR="00EA0A1D" w:rsidRDefault="00EA0A1D" w:rsidP="001A5D4A">
            <w:pPr>
              <w:pStyle w:val="Note-Refs"/>
              <w:rPr>
                <w:b/>
              </w:rPr>
            </w:pPr>
            <w:r>
              <w:t>G = E – F</w:t>
            </w:r>
          </w:p>
        </w:tc>
        <w:tc>
          <w:tcPr>
            <w:tcW w:w="1367" w:type="pct"/>
            <w:tcBorders>
              <w:left w:val="single" w:sz="8" w:space="0" w:color="CDCDCD"/>
            </w:tcBorders>
            <w:shd w:val="clear" w:color="auto" w:fill="CCCCCC"/>
          </w:tcPr>
          <w:p w14:paraId="038A50D7" w14:textId="77777777" w:rsidR="00EA0A1D" w:rsidRDefault="00EA0A1D" w:rsidP="001A5D4A">
            <w:pPr>
              <w:pStyle w:val="NotesTable-ItemPlain"/>
              <w:rPr>
                <w:b/>
              </w:rPr>
            </w:pPr>
            <w:r>
              <w:t>Surplus / (deficit) for reporting period</w:t>
            </w:r>
          </w:p>
        </w:tc>
        <w:tc>
          <w:tcPr>
            <w:tcW w:w="267" w:type="pct"/>
            <w:shd w:val="clear" w:color="auto" w:fill="CCCCCC"/>
          </w:tcPr>
          <w:p w14:paraId="038A50D8" w14:textId="77777777" w:rsidR="00EA0A1D" w:rsidRDefault="00EA0A1D" w:rsidP="001A5D4A">
            <w:pPr>
              <w:pStyle w:val="NotesTable-Notes"/>
            </w:pPr>
          </w:p>
        </w:tc>
        <w:tc>
          <w:tcPr>
            <w:tcW w:w="283" w:type="pct"/>
            <w:tcBorders>
              <w:bottom w:val="single" w:sz="4" w:space="0" w:color="auto"/>
            </w:tcBorders>
            <w:shd w:val="clear" w:color="auto" w:fill="CCCCCC"/>
          </w:tcPr>
          <w:p w14:paraId="038A50D9" w14:textId="77777777" w:rsidR="00EA0A1D" w:rsidRDefault="00EA0A1D" w:rsidP="001A5D4A">
            <w:pPr>
              <w:pStyle w:val="NotesTable-CellBold"/>
            </w:pPr>
            <w:r>
              <w:t>–</w:t>
            </w:r>
          </w:p>
        </w:tc>
        <w:tc>
          <w:tcPr>
            <w:tcW w:w="284" w:type="pct"/>
            <w:gridSpan w:val="2"/>
            <w:tcBorders>
              <w:bottom w:val="single" w:sz="4" w:space="0" w:color="auto"/>
            </w:tcBorders>
            <w:shd w:val="clear" w:color="auto" w:fill="CCCCCC"/>
          </w:tcPr>
          <w:p w14:paraId="038A50DA" w14:textId="77777777" w:rsidR="00EA0A1D" w:rsidRDefault="00EA0A1D" w:rsidP="001A5D4A">
            <w:pPr>
              <w:pStyle w:val="NotesTable-CellPlain"/>
            </w:pPr>
            <w:r>
              <w:t>–</w:t>
            </w:r>
          </w:p>
        </w:tc>
        <w:tc>
          <w:tcPr>
            <w:tcW w:w="284" w:type="pct"/>
            <w:gridSpan w:val="2"/>
            <w:tcBorders>
              <w:bottom w:val="single" w:sz="4" w:space="0" w:color="auto"/>
            </w:tcBorders>
            <w:shd w:val="clear" w:color="auto" w:fill="CCCCCC"/>
          </w:tcPr>
          <w:p w14:paraId="038A50DB" w14:textId="77777777" w:rsidR="00EA0A1D" w:rsidRDefault="00EA0A1D" w:rsidP="001A5D4A">
            <w:pPr>
              <w:pStyle w:val="NotesTable-CellBold"/>
            </w:pPr>
            <w:r>
              <w:t>–</w:t>
            </w:r>
          </w:p>
        </w:tc>
        <w:tc>
          <w:tcPr>
            <w:tcW w:w="284" w:type="pct"/>
            <w:tcBorders>
              <w:bottom w:val="single" w:sz="4" w:space="0" w:color="auto"/>
            </w:tcBorders>
            <w:shd w:val="clear" w:color="auto" w:fill="CCCCCC"/>
          </w:tcPr>
          <w:p w14:paraId="038A50DC" w14:textId="77777777" w:rsidR="00EA0A1D" w:rsidRDefault="00EA0A1D" w:rsidP="001A5D4A">
            <w:pPr>
              <w:pStyle w:val="NotesTable-CellBold"/>
            </w:pPr>
            <w:r>
              <w:t>–</w:t>
            </w:r>
          </w:p>
        </w:tc>
        <w:tc>
          <w:tcPr>
            <w:tcW w:w="284" w:type="pct"/>
            <w:tcBorders>
              <w:bottom w:val="single" w:sz="4" w:space="0" w:color="auto"/>
            </w:tcBorders>
            <w:shd w:val="clear" w:color="auto" w:fill="CCCCCC"/>
          </w:tcPr>
          <w:p w14:paraId="038A50DD" w14:textId="77777777" w:rsidR="00EA0A1D" w:rsidRDefault="00EA0A1D" w:rsidP="001A5D4A">
            <w:pPr>
              <w:pStyle w:val="NotesTable-CellBold"/>
            </w:pPr>
            <w:r>
              <w:t>–</w:t>
            </w:r>
          </w:p>
        </w:tc>
        <w:tc>
          <w:tcPr>
            <w:tcW w:w="283" w:type="pct"/>
            <w:tcBorders>
              <w:bottom w:val="single" w:sz="4" w:space="0" w:color="auto"/>
            </w:tcBorders>
            <w:shd w:val="clear" w:color="auto" w:fill="CCCCCC"/>
          </w:tcPr>
          <w:p w14:paraId="038A50DE" w14:textId="77777777" w:rsidR="00EA0A1D" w:rsidRDefault="00EA0A1D" w:rsidP="001A5D4A">
            <w:pPr>
              <w:pStyle w:val="NotesTable-CellPlain"/>
            </w:pPr>
            <w:r>
              <w:t>–</w:t>
            </w:r>
          </w:p>
        </w:tc>
        <w:tc>
          <w:tcPr>
            <w:tcW w:w="284" w:type="pct"/>
            <w:tcBorders>
              <w:bottom w:val="single" w:sz="4" w:space="0" w:color="auto"/>
            </w:tcBorders>
            <w:shd w:val="clear" w:color="auto" w:fill="CCCCCC"/>
          </w:tcPr>
          <w:p w14:paraId="038A50DF" w14:textId="77777777" w:rsidR="00EA0A1D" w:rsidRDefault="00EA0A1D" w:rsidP="001A5D4A">
            <w:pPr>
              <w:pStyle w:val="NotesTable-CellBold"/>
            </w:pPr>
            <w:r>
              <w:t>–</w:t>
            </w:r>
          </w:p>
        </w:tc>
        <w:tc>
          <w:tcPr>
            <w:tcW w:w="284" w:type="pct"/>
            <w:tcBorders>
              <w:bottom w:val="single" w:sz="4" w:space="0" w:color="auto"/>
            </w:tcBorders>
            <w:shd w:val="clear" w:color="auto" w:fill="CCCCCC"/>
          </w:tcPr>
          <w:p w14:paraId="038A50E0" w14:textId="77777777" w:rsidR="00EA0A1D" w:rsidRDefault="00EA0A1D" w:rsidP="001A5D4A">
            <w:pPr>
              <w:pStyle w:val="NotesTable-CellPlain"/>
            </w:pPr>
            <w:r>
              <w:t>–</w:t>
            </w:r>
          </w:p>
        </w:tc>
        <w:tc>
          <w:tcPr>
            <w:tcW w:w="284" w:type="pct"/>
            <w:tcBorders>
              <w:bottom w:val="single" w:sz="4" w:space="0" w:color="auto"/>
            </w:tcBorders>
            <w:shd w:val="clear" w:color="auto" w:fill="CCCCCC"/>
          </w:tcPr>
          <w:p w14:paraId="038A50E1" w14:textId="77777777" w:rsidR="00EA0A1D" w:rsidRDefault="00EA0A1D" w:rsidP="001A5D4A">
            <w:pPr>
              <w:pStyle w:val="NotesTable-CellBold"/>
            </w:pPr>
            <w:r>
              <w:t>–</w:t>
            </w:r>
          </w:p>
        </w:tc>
        <w:tc>
          <w:tcPr>
            <w:tcW w:w="282" w:type="pct"/>
            <w:tcBorders>
              <w:bottom w:val="single" w:sz="4" w:space="0" w:color="auto"/>
              <w:right w:val="single" w:sz="8" w:space="0" w:color="CDCDCD"/>
            </w:tcBorders>
            <w:shd w:val="clear" w:color="auto" w:fill="CCCCCC"/>
          </w:tcPr>
          <w:p w14:paraId="038A50E2" w14:textId="77777777" w:rsidR="00EA0A1D" w:rsidRDefault="00EA0A1D" w:rsidP="001A5D4A">
            <w:pPr>
              <w:pStyle w:val="NotesTable-CellPlain"/>
            </w:pPr>
            <w:r>
              <w:t>–</w:t>
            </w:r>
          </w:p>
        </w:tc>
      </w:tr>
      <w:tr w:rsidR="00EA0A1D" w14:paraId="038A50F1" w14:textId="77777777" w:rsidTr="004B7414">
        <w:trPr>
          <w:cantSplit/>
          <w:trHeight w:val="255"/>
        </w:trPr>
        <w:tc>
          <w:tcPr>
            <w:tcW w:w="530" w:type="pct"/>
            <w:tcBorders>
              <w:bottom w:val="single" w:sz="4" w:space="0" w:color="FFFFFF"/>
              <w:right w:val="single" w:sz="8" w:space="0" w:color="CDCDCD"/>
            </w:tcBorders>
          </w:tcPr>
          <w:p w14:paraId="038A50E4" w14:textId="77777777" w:rsidR="00EA0A1D" w:rsidRDefault="00EA0A1D" w:rsidP="001A5D4A">
            <w:pPr>
              <w:pStyle w:val="Note-Refs"/>
            </w:pPr>
          </w:p>
        </w:tc>
        <w:tc>
          <w:tcPr>
            <w:tcW w:w="1367" w:type="pct"/>
            <w:tcBorders>
              <w:left w:val="single" w:sz="8" w:space="0" w:color="CDCDCD"/>
              <w:bottom w:val="single" w:sz="8" w:space="0" w:color="CDCDCD"/>
            </w:tcBorders>
            <w:shd w:val="clear" w:color="auto" w:fill="CCCCCC"/>
          </w:tcPr>
          <w:p w14:paraId="038A50E5" w14:textId="77777777" w:rsidR="00EA0A1D" w:rsidRDefault="00EA0A1D" w:rsidP="001A5D4A">
            <w:pPr>
              <w:pStyle w:val="NotesTable-ItemPlain"/>
            </w:pPr>
          </w:p>
        </w:tc>
        <w:tc>
          <w:tcPr>
            <w:tcW w:w="267" w:type="pct"/>
            <w:tcBorders>
              <w:bottom w:val="single" w:sz="8" w:space="0" w:color="CDCDCD"/>
            </w:tcBorders>
            <w:shd w:val="clear" w:color="auto" w:fill="CCCCCC"/>
          </w:tcPr>
          <w:p w14:paraId="038A50E6" w14:textId="77777777" w:rsidR="00EA0A1D" w:rsidRDefault="00EA0A1D" w:rsidP="001A5D4A">
            <w:pPr>
              <w:pStyle w:val="NotesTable-Notes"/>
            </w:pPr>
          </w:p>
        </w:tc>
        <w:tc>
          <w:tcPr>
            <w:tcW w:w="283" w:type="pct"/>
            <w:tcBorders>
              <w:top w:val="single" w:sz="4" w:space="0" w:color="auto"/>
              <w:bottom w:val="single" w:sz="8" w:space="0" w:color="CDCDCD"/>
            </w:tcBorders>
            <w:shd w:val="clear" w:color="auto" w:fill="CCCCCC"/>
          </w:tcPr>
          <w:p w14:paraId="038A50E7" w14:textId="77777777" w:rsidR="00EA0A1D" w:rsidRDefault="00EA0A1D" w:rsidP="001A5D4A">
            <w:pPr>
              <w:pStyle w:val="NotesTable-CellBold"/>
            </w:pPr>
          </w:p>
        </w:tc>
        <w:tc>
          <w:tcPr>
            <w:tcW w:w="284" w:type="pct"/>
            <w:gridSpan w:val="2"/>
            <w:tcBorders>
              <w:top w:val="single" w:sz="4" w:space="0" w:color="auto"/>
              <w:bottom w:val="single" w:sz="8" w:space="0" w:color="CDCDCD"/>
            </w:tcBorders>
            <w:shd w:val="clear" w:color="auto" w:fill="CCCCCC"/>
          </w:tcPr>
          <w:p w14:paraId="038A50E8" w14:textId="77777777" w:rsidR="00EA0A1D" w:rsidRDefault="00EA0A1D" w:rsidP="001A5D4A">
            <w:pPr>
              <w:pStyle w:val="NotesTable-CellPlain"/>
            </w:pPr>
          </w:p>
        </w:tc>
        <w:tc>
          <w:tcPr>
            <w:tcW w:w="284" w:type="pct"/>
            <w:gridSpan w:val="2"/>
            <w:tcBorders>
              <w:top w:val="single" w:sz="4" w:space="0" w:color="auto"/>
              <w:bottom w:val="single" w:sz="8" w:space="0" w:color="CDCDCD"/>
            </w:tcBorders>
            <w:shd w:val="clear" w:color="auto" w:fill="CCCCCC"/>
          </w:tcPr>
          <w:p w14:paraId="038A50E9" w14:textId="77777777" w:rsidR="00EA0A1D" w:rsidRDefault="00EA0A1D" w:rsidP="001A5D4A">
            <w:pPr>
              <w:pStyle w:val="NotesTable-CellBold"/>
            </w:pPr>
          </w:p>
        </w:tc>
        <w:tc>
          <w:tcPr>
            <w:tcW w:w="284" w:type="pct"/>
            <w:tcBorders>
              <w:top w:val="single" w:sz="4" w:space="0" w:color="auto"/>
              <w:bottom w:val="single" w:sz="8" w:space="0" w:color="CDCDCD"/>
            </w:tcBorders>
            <w:shd w:val="clear" w:color="auto" w:fill="CCCCCC"/>
          </w:tcPr>
          <w:p w14:paraId="038A50EA" w14:textId="77777777" w:rsidR="00EA0A1D" w:rsidRDefault="00EA0A1D" w:rsidP="001A5D4A">
            <w:pPr>
              <w:pStyle w:val="NotesTable-CellBold"/>
            </w:pPr>
          </w:p>
        </w:tc>
        <w:tc>
          <w:tcPr>
            <w:tcW w:w="284" w:type="pct"/>
            <w:tcBorders>
              <w:top w:val="single" w:sz="4" w:space="0" w:color="auto"/>
              <w:bottom w:val="single" w:sz="8" w:space="0" w:color="CDCDCD"/>
            </w:tcBorders>
            <w:shd w:val="clear" w:color="auto" w:fill="CCCCCC"/>
          </w:tcPr>
          <w:p w14:paraId="038A50EB" w14:textId="77777777" w:rsidR="00EA0A1D" w:rsidRDefault="00EA0A1D" w:rsidP="001A5D4A">
            <w:pPr>
              <w:pStyle w:val="NotesTable-CellBold"/>
            </w:pPr>
          </w:p>
        </w:tc>
        <w:tc>
          <w:tcPr>
            <w:tcW w:w="283" w:type="pct"/>
            <w:tcBorders>
              <w:top w:val="single" w:sz="4" w:space="0" w:color="auto"/>
              <w:bottom w:val="single" w:sz="8" w:space="0" w:color="CDCDCD"/>
            </w:tcBorders>
            <w:shd w:val="clear" w:color="auto" w:fill="CCCCCC"/>
          </w:tcPr>
          <w:p w14:paraId="038A50EC" w14:textId="77777777" w:rsidR="00EA0A1D" w:rsidRDefault="00EA0A1D" w:rsidP="001A5D4A">
            <w:pPr>
              <w:pStyle w:val="NotesTable-CellPlain"/>
            </w:pPr>
          </w:p>
        </w:tc>
        <w:tc>
          <w:tcPr>
            <w:tcW w:w="284" w:type="pct"/>
            <w:tcBorders>
              <w:top w:val="single" w:sz="4" w:space="0" w:color="auto"/>
              <w:bottom w:val="single" w:sz="8" w:space="0" w:color="CDCDCD"/>
            </w:tcBorders>
            <w:shd w:val="clear" w:color="auto" w:fill="CCCCCC"/>
          </w:tcPr>
          <w:p w14:paraId="038A50ED" w14:textId="77777777" w:rsidR="00EA0A1D" w:rsidRDefault="00EA0A1D" w:rsidP="001A5D4A">
            <w:pPr>
              <w:pStyle w:val="NotesTable-CellBold"/>
            </w:pPr>
          </w:p>
        </w:tc>
        <w:tc>
          <w:tcPr>
            <w:tcW w:w="284" w:type="pct"/>
            <w:tcBorders>
              <w:top w:val="single" w:sz="4" w:space="0" w:color="auto"/>
              <w:bottom w:val="single" w:sz="8" w:space="0" w:color="CDCDCD"/>
            </w:tcBorders>
            <w:shd w:val="clear" w:color="auto" w:fill="CCCCCC"/>
          </w:tcPr>
          <w:p w14:paraId="038A50EE" w14:textId="77777777" w:rsidR="00EA0A1D" w:rsidRDefault="00EA0A1D" w:rsidP="001A5D4A">
            <w:pPr>
              <w:pStyle w:val="NotesTable-CellPlain"/>
            </w:pPr>
          </w:p>
        </w:tc>
        <w:tc>
          <w:tcPr>
            <w:tcW w:w="284" w:type="pct"/>
            <w:tcBorders>
              <w:top w:val="single" w:sz="4" w:space="0" w:color="auto"/>
              <w:bottom w:val="single" w:sz="8" w:space="0" w:color="CDCDCD"/>
            </w:tcBorders>
            <w:shd w:val="clear" w:color="auto" w:fill="CCCCCC"/>
          </w:tcPr>
          <w:p w14:paraId="038A50EF" w14:textId="77777777" w:rsidR="00EA0A1D" w:rsidRDefault="00EA0A1D" w:rsidP="001A5D4A">
            <w:pPr>
              <w:pStyle w:val="NotesTable-CellBold"/>
            </w:pPr>
          </w:p>
        </w:tc>
        <w:tc>
          <w:tcPr>
            <w:tcW w:w="282" w:type="pct"/>
            <w:tcBorders>
              <w:top w:val="single" w:sz="4" w:space="0" w:color="auto"/>
              <w:bottom w:val="single" w:sz="8" w:space="0" w:color="CDCDCD"/>
              <w:right w:val="single" w:sz="8" w:space="0" w:color="CDCDCD"/>
            </w:tcBorders>
            <w:shd w:val="clear" w:color="auto" w:fill="CCCCCC"/>
          </w:tcPr>
          <w:p w14:paraId="038A50F0" w14:textId="77777777" w:rsidR="00EA0A1D" w:rsidRDefault="00EA0A1D" w:rsidP="001A5D4A">
            <w:pPr>
              <w:pStyle w:val="NotesTable-CellPlain"/>
            </w:pPr>
          </w:p>
        </w:tc>
      </w:tr>
    </w:tbl>
    <w:p w14:paraId="038A50F4" w14:textId="77777777" w:rsidR="00AD6BF4" w:rsidRPr="006D022E" w:rsidRDefault="00AD6BF4" w:rsidP="001A5D4A">
      <w:r w:rsidRPr="006D022E">
        <w:br w:type="page"/>
      </w:r>
    </w:p>
    <w:tbl>
      <w:tblPr>
        <w:tblW w:w="5000" w:type="pct"/>
        <w:tblLook w:val="0000" w:firstRow="0" w:lastRow="0" w:firstColumn="0" w:lastColumn="0" w:noHBand="0" w:noVBand="0"/>
      </w:tblPr>
      <w:tblGrid>
        <w:gridCol w:w="1664"/>
        <w:gridCol w:w="4174"/>
        <w:gridCol w:w="798"/>
        <w:gridCol w:w="474"/>
        <w:gridCol w:w="433"/>
        <w:gridCol w:w="908"/>
        <w:gridCol w:w="741"/>
        <w:gridCol w:w="166"/>
        <w:gridCol w:w="908"/>
        <w:gridCol w:w="908"/>
        <w:gridCol w:w="908"/>
        <w:gridCol w:w="908"/>
        <w:gridCol w:w="908"/>
        <w:gridCol w:w="908"/>
        <w:gridCol w:w="898"/>
      </w:tblGrid>
      <w:tr w:rsidR="004B7414" w14:paraId="038A50F8" w14:textId="77777777" w:rsidTr="004B7414">
        <w:trPr>
          <w:cantSplit/>
          <w:trHeight w:val="180"/>
        </w:trPr>
        <w:tc>
          <w:tcPr>
            <w:tcW w:w="5000" w:type="pct"/>
            <w:gridSpan w:val="15"/>
            <w:tcBorders>
              <w:right w:val="single" w:sz="8" w:space="0" w:color="CDCDCD"/>
            </w:tcBorders>
            <w:shd w:val="clear" w:color="auto" w:fill="auto"/>
          </w:tcPr>
          <w:p w14:paraId="038A50F7" w14:textId="70BB039E"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8222DA" w14:paraId="038A50FC" w14:textId="77777777" w:rsidTr="004B7414">
        <w:trPr>
          <w:cantSplit/>
          <w:trHeight w:val="293"/>
        </w:trPr>
        <w:tc>
          <w:tcPr>
            <w:tcW w:w="530" w:type="pct"/>
            <w:tcBorders>
              <w:right w:val="single" w:sz="8" w:space="0" w:color="CDCDCD"/>
            </w:tcBorders>
          </w:tcPr>
          <w:p w14:paraId="44D212F5" w14:textId="77777777" w:rsidR="004B7414" w:rsidRDefault="004B7414" w:rsidP="004B7414">
            <w:pPr>
              <w:pStyle w:val="Note-Refs"/>
              <w:rPr>
                <w:b/>
              </w:rPr>
            </w:pPr>
            <w:r>
              <w:t>MANDATORY</w:t>
            </w:r>
          </w:p>
          <w:p w14:paraId="038A50F9" w14:textId="4A2E2A34" w:rsidR="008222DA" w:rsidRDefault="004B7414" w:rsidP="004B7414">
            <w:pPr>
              <w:pStyle w:val="Note-Refs"/>
            </w:pPr>
            <w:r>
              <w:t>EDUCATION</w:t>
            </w:r>
          </w:p>
        </w:tc>
        <w:tc>
          <w:tcPr>
            <w:tcW w:w="2397" w:type="pct"/>
            <w:gridSpan w:val="6"/>
            <w:tcBorders>
              <w:left w:val="single" w:sz="8" w:space="0" w:color="CDCDCD"/>
              <w:right w:val="single" w:sz="8" w:space="0" w:color="CDCDCD"/>
            </w:tcBorders>
            <w:shd w:val="clear" w:color="auto" w:fill="CCCCCC"/>
          </w:tcPr>
          <w:p w14:paraId="4709526C" w14:textId="6910AF11" w:rsidR="008222DA" w:rsidRDefault="008222DA" w:rsidP="001A5D4A">
            <w:pPr>
              <w:pStyle w:val="NotesTable-AcquittalHeader"/>
              <w:rPr>
                <w:b w:val="0"/>
              </w:rPr>
            </w:pPr>
            <w:r>
              <w:t xml:space="preserve">53d Education Research (continued) </w:t>
            </w:r>
            <w:r w:rsidRPr="00796570">
              <w:rPr>
                <w:sz w:val="24"/>
                <w:vertAlign w:val="superscript"/>
              </w:rPr>
              <w:t>#</w:t>
            </w:r>
            <w:r>
              <w:rPr>
                <w:sz w:val="24"/>
                <w:vertAlign w:val="superscript"/>
              </w:rPr>
              <w:t>6</w:t>
            </w:r>
          </w:p>
        </w:tc>
        <w:tc>
          <w:tcPr>
            <w:tcW w:w="2073" w:type="pct"/>
            <w:gridSpan w:val="8"/>
            <w:tcBorders>
              <w:left w:val="single" w:sz="8" w:space="0" w:color="CDCDCD"/>
              <w:right w:val="single" w:sz="8" w:space="0" w:color="CDCDCD"/>
            </w:tcBorders>
            <w:shd w:val="clear" w:color="auto" w:fill="CCCCCC"/>
          </w:tcPr>
          <w:p w14:paraId="038A50FB" w14:textId="401903BB" w:rsidR="008222DA" w:rsidRDefault="008222DA" w:rsidP="001A5D4A">
            <w:pPr>
              <w:pStyle w:val="NotesTable-ItemBold"/>
            </w:pPr>
            <w:r>
              <w:t>Parent entity (HEP) ONLY</w:t>
            </w:r>
            <w:r w:rsidDel="008222DA">
              <w:t xml:space="preserve"> </w:t>
            </w:r>
          </w:p>
        </w:tc>
      </w:tr>
      <w:tr w:rsidR="00271026" w14:paraId="0892796C" w14:textId="77777777" w:rsidTr="00261A68">
        <w:trPr>
          <w:cantSplit/>
          <w:trHeight w:val="293"/>
        </w:trPr>
        <w:tc>
          <w:tcPr>
            <w:tcW w:w="530" w:type="pct"/>
            <w:tcBorders>
              <w:right w:val="single" w:sz="8" w:space="0" w:color="CDCDCD"/>
            </w:tcBorders>
          </w:tcPr>
          <w:p w14:paraId="51D2DC8C" w14:textId="77777777" w:rsidR="00271026" w:rsidRDefault="00271026" w:rsidP="001A5D4A">
            <w:pPr>
              <w:pStyle w:val="Note-Refs"/>
            </w:pPr>
          </w:p>
        </w:tc>
        <w:tc>
          <w:tcPr>
            <w:tcW w:w="1734" w:type="pct"/>
            <w:gridSpan w:val="3"/>
            <w:tcBorders>
              <w:left w:val="single" w:sz="8" w:space="0" w:color="CDCDCD"/>
            </w:tcBorders>
            <w:shd w:val="clear" w:color="auto" w:fill="CCCCCC"/>
          </w:tcPr>
          <w:p w14:paraId="2163C57F" w14:textId="77777777" w:rsidR="00271026" w:rsidRDefault="00271026" w:rsidP="001A5D4A">
            <w:pPr>
              <w:pStyle w:val="NotesTable-AcquittalHeader"/>
            </w:pPr>
          </w:p>
        </w:tc>
        <w:tc>
          <w:tcPr>
            <w:tcW w:w="2736" w:type="pct"/>
            <w:gridSpan w:val="11"/>
            <w:tcBorders>
              <w:right w:val="single" w:sz="8" w:space="0" w:color="CDCDCD"/>
            </w:tcBorders>
            <w:shd w:val="clear" w:color="auto" w:fill="CCCCCC"/>
          </w:tcPr>
          <w:p w14:paraId="0B9C5C6D" w14:textId="06684D65" w:rsidR="00271026" w:rsidRDefault="00271026" w:rsidP="001A5D4A">
            <w:pPr>
              <w:pStyle w:val="NotesTable-HeadBold"/>
            </w:pPr>
          </w:p>
        </w:tc>
      </w:tr>
      <w:tr w:rsidR="000D34D0" w14:paraId="038A5104" w14:textId="77777777" w:rsidTr="004B7414">
        <w:trPr>
          <w:cantSplit/>
          <w:trHeight w:val="256"/>
        </w:trPr>
        <w:tc>
          <w:tcPr>
            <w:tcW w:w="530" w:type="pct"/>
            <w:tcBorders>
              <w:right w:val="single" w:sz="8" w:space="0" w:color="CDCDCD"/>
            </w:tcBorders>
          </w:tcPr>
          <w:p w14:paraId="038A50FD" w14:textId="77777777" w:rsidR="000D34D0" w:rsidRDefault="000D34D0" w:rsidP="001A5D4A">
            <w:pPr>
              <w:pStyle w:val="Note-Refs"/>
            </w:pPr>
          </w:p>
        </w:tc>
        <w:tc>
          <w:tcPr>
            <w:tcW w:w="1583" w:type="pct"/>
            <w:gridSpan w:val="2"/>
            <w:tcBorders>
              <w:left w:val="single" w:sz="8" w:space="0" w:color="CDCDCD"/>
            </w:tcBorders>
            <w:shd w:val="clear" w:color="auto" w:fill="CCCCCC"/>
          </w:tcPr>
          <w:p w14:paraId="038A50FE" w14:textId="77777777" w:rsidR="000D34D0" w:rsidRDefault="000D34D0" w:rsidP="001A5D4A">
            <w:pPr>
              <w:pStyle w:val="NotesTable-ItemPlain"/>
            </w:pPr>
          </w:p>
        </w:tc>
        <w:tc>
          <w:tcPr>
            <w:tcW w:w="578" w:type="pct"/>
            <w:gridSpan w:val="3"/>
            <w:shd w:val="clear" w:color="auto" w:fill="CCCCCC"/>
          </w:tcPr>
          <w:p w14:paraId="038A50FF" w14:textId="77777777" w:rsidR="000D34D0" w:rsidRDefault="000D34D0" w:rsidP="001A5D4A">
            <w:pPr>
              <w:pStyle w:val="NotesTable-HeadPlain"/>
            </w:pPr>
            <w:r>
              <w:t>Australian Scheme for Higher Education Repositories</w:t>
            </w:r>
          </w:p>
        </w:tc>
        <w:tc>
          <w:tcPr>
            <w:tcW w:w="578" w:type="pct"/>
            <w:gridSpan w:val="3"/>
            <w:shd w:val="clear" w:color="auto" w:fill="CCCCCC"/>
          </w:tcPr>
          <w:p w14:paraId="038A5100" w14:textId="743EBEEB" w:rsidR="000D34D0" w:rsidRDefault="000D34D0" w:rsidP="001A5D4A">
            <w:pPr>
              <w:pStyle w:val="NotesTable-HeadPlain"/>
            </w:pPr>
            <w:proofErr w:type="spellStart"/>
            <w:r>
              <w:t>Commercialisat’n</w:t>
            </w:r>
            <w:proofErr w:type="spellEnd"/>
            <w:r>
              <w:t xml:space="preserve"> Training Scheme</w:t>
            </w:r>
          </w:p>
        </w:tc>
        <w:tc>
          <w:tcPr>
            <w:tcW w:w="578" w:type="pct"/>
            <w:gridSpan w:val="2"/>
            <w:shd w:val="clear" w:color="auto" w:fill="CCCCCC"/>
          </w:tcPr>
          <w:p w14:paraId="038A5101" w14:textId="77777777" w:rsidR="000D34D0" w:rsidRDefault="000D34D0" w:rsidP="001A5D4A">
            <w:pPr>
              <w:pStyle w:val="NotesTable-HeadPlain"/>
            </w:pPr>
            <w:r>
              <w:t>Sustainable Research Excellence in Universities</w:t>
            </w:r>
          </w:p>
        </w:tc>
        <w:tc>
          <w:tcPr>
            <w:tcW w:w="578" w:type="pct"/>
            <w:gridSpan w:val="2"/>
            <w:shd w:val="clear" w:color="auto" w:fill="CCCCCC"/>
          </w:tcPr>
          <w:p w14:paraId="038A5102" w14:textId="262F358F" w:rsidR="000D34D0" w:rsidRDefault="000D34D0" w:rsidP="001A5D4A">
            <w:pPr>
              <w:pStyle w:val="NotesTable-HeadPlain"/>
            </w:pPr>
            <w:r>
              <w:t>Other</w:t>
            </w:r>
          </w:p>
        </w:tc>
        <w:tc>
          <w:tcPr>
            <w:tcW w:w="575" w:type="pct"/>
            <w:gridSpan w:val="2"/>
            <w:tcBorders>
              <w:right w:val="single" w:sz="8" w:space="0" w:color="CDCDCD"/>
            </w:tcBorders>
            <w:shd w:val="clear" w:color="auto" w:fill="CCCCCC"/>
          </w:tcPr>
          <w:p w14:paraId="038A5103" w14:textId="7C266FE9" w:rsidR="000D34D0" w:rsidRDefault="000D34D0" w:rsidP="001A5D4A">
            <w:pPr>
              <w:pStyle w:val="NotesTable-HeadPlain"/>
            </w:pPr>
            <w:r>
              <w:t>Total</w:t>
            </w:r>
          </w:p>
        </w:tc>
      </w:tr>
      <w:tr w:rsidR="000D34D0" w14:paraId="038A5112" w14:textId="77777777" w:rsidTr="004B7414">
        <w:trPr>
          <w:cantSplit/>
          <w:trHeight w:val="255"/>
        </w:trPr>
        <w:tc>
          <w:tcPr>
            <w:tcW w:w="530" w:type="pct"/>
            <w:tcBorders>
              <w:right w:val="single" w:sz="8" w:space="0" w:color="CDCDCD"/>
            </w:tcBorders>
          </w:tcPr>
          <w:p w14:paraId="038A5105" w14:textId="77777777" w:rsidR="000D34D0" w:rsidRDefault="000D34D0" w:rsidP="001A5D4A">
            <w:pPr>
              <w:pStyle w:val="Note-Refs"/>
            </w:pPr>
          </w:p>
        </w:tc>
        <w:tc>
          <w:tcPr>
            <w:tcW w:w="1329" w:type="pct"/>
            <w:tcBorders>
              <w:left w:val="single" w:sz="8" w:space="0" w:color="CDCDCD"/>
            </w:tcBorders>
            <w:shd w:val="clear" w:color="auto" w:fill="CCCCCC"/>
          </w:tcPr>
          <w:p w14:paraId="038A5106" w14:textId="77777777" w:rsidR="000D34D0" w:rsidRDefault="000D34D0" w:rsidP="001A5D4A">
            <w:pPr>
              <w:pStyle w:val="NotesTable-ItemPlain"/>
            </w:pPr>
          </w:p>
        </w:tc>
        <w:tc>
          <w:tcPr>
            <w:tcW w:w="254" w:type="pct"/>
            <w:shd w:val="clear" w:color="auto" w:fill="CCCCCC"/>
          </w:tcPr>
          <w:p w14:paraId="038A5107" w14:textId="77777777" w:rsidR="000D34D0" w:rsidRDefault="000D34D0" w:rsidP="001A5D4A">
            <w:pPr>
              <w:pStyle w:val="NotesTable-Notes"/>
            </w:pPr>
            <w:r>
              <w:t>Notes</w:t>
            </w:r>
          </w:p>
        </w:tc>
        <w:tc>
          <w:tcPr>
            <w:tcW w:w="289" w:type="pct"/>
            <w:gridSpan w:val="2"/>
            <w:shd w:val="clear" w:color="auto" w:fill="CCCCCC"/>
          </w:tcPr>
          <w:p w14:paraId="038A5108" w14:textId="54DCC97C" w:rsidR="000D34D0" w:rsidRDefault="006864EC" w:rsidP="001A5D4A">
            <w:pPr>
              <w:pStyle w:val="NotesTable-HeadBold"/>
            </w:pPr>
            <w:r>
              <w:t>2014</w:t>
            </w:r>
          </w:p>
        </w:tc>
        <w:tc>
          <w:tcPr>
            <w:tcW w:w="289" w:type="pct"/>
            <w:shd w:val="clear" w:color="auto" w:fill="CCCCCC"/>
          </w:tcPr>
          <w:p w14:paraId="038A5109" w14:textId="38B25CE1" w:rsidR="000D34D0" w:rsidRDefault="006864EC" w:rsidP="001A5D4A">
            <w:pPr>
              <w:pStyle w:val="NotesTable-HeadPlain"/>
            </w:pPr>
            <w:r>
              <w:t>2013</w:t>
            </w:r>
          </w:p>
        </w:tc>
        <w:tc>
          <w:tcPr>
            <w:tcW w:w="289" w:type="pct"/>
            <w:gridSpan w:val="2"/>
            <w:shd w:val="clear" w:color="auto" w:fill="CCCCCC"/>
          </w:tcPr>
          <w:p w14:paraId="038A510A" w14:textId="2DA1F4E3" w:rsidR="000D34D0" w:rsidRDefault="006864EC" w:rsidP="001A5D4A">
            <w:pPr>
              <w:pStyle w:val="NotesTable-HeadBold"/>
            </w:pPr>
            <w:r>
              <w:t>2014</w:t>
            </w:r>
          </w:p>
        </w:tc>
        <w:tc>
          <w:tcPr>
            <w:tcW w:w="289" w:type="pct"/>
            <w:shd w:val="clear" w:color="auto" w:fill="CCCCCC"/>
          </w:tcPr>
          <w:p w14:paraId="038A510B" w14:textId="393C7771" w:rsidR="000D34D0" w:rsidRDefault="006864EC" w:rsidP="001A5D4A">
            <w:pPr>
              <w:pStyle w:val="NotesTable-HeadPlain"/>
            </w:pPr>
            <w:r>
              <w:t>2013</w:t>
            </w:r>
          </w:p>
        </w:tc>
        <w:tc>
          <w:tcPr>
            <w:tcW w:w="289" w:type="pct"/>
            <w:shd w:val="clear" w:color="auto" w:fill="CCCCCC"/>
          </w:tcPr>
          <w:p w14:paraId="038A510C" w14:textId="5FBEEEC2" w:rsidR="000D34D0" w:rsidRDefault="006864EC" w:rsidP="001A5D4A">
            <w:pPr>
              <w:pStyle w:val="NotesTable-HeadBold"/>
            </w:pPr>
            <w:r>
              <w:t>2014</w:t>
            </w:r>
          </w:p>
        </w:tc>
        <w:tc>
          <w:tcPr>
            <w:tcW w:w="289" w:type="pct"/>
            <w:shd w:val="clear" w:color="auto" w:fill="CCCCCC"/>
          </w:tcPr>
          <w:p w14:paraId="038A510D" w14:textId="3ADA77F8" w:rsidR="000D34D0" w:rsidRDefault="006864EC" w:rsidP="001A5D4A">
            <w:pPr>
              <w:pStyle w:val="NotesTable-HeadPlain"/>
            </w:pPr>
            <w:r>
              <w:t>2013</w:t>
            </w:r>
          </w:p>
        </w:tc>
        <w:tc>
          <w:tcPr>
            <w:tcW w:w="289" w:type="pct"/>
            <w:shd w:val="clear" w:color="auto" w:fill="CCCCCC"/>
          </w:tcPr>
          <w:p w14:paraId="038A510E" w14:textId="6A3949B8" w:rsidR="000D34D0" w:rsidRDefault="006864EC" w:rsidP="001A5D4A">
            <w:pPr>
              <w:pStyle w:val="NotesTable-HeadBold"/>
            </w:pPr>
            <w:r>
              <w:t>2014</w:t>
            </w:r>
          </w:p>
        </w:tc>
        <w:tc>
          <w:tcPr>
            <w:tcW w:w="289" w:type="pct"/>
            <w:shd w:val="clear" w:color="auto" w:fill="CCCCCC"/>
          </w:tcPr>
          <w:p w14:paraId="038A510F" w14:textId="32CE15E0" w:rsidR="000D34D0" w:rsidRDefault="006864EC" w:rsidP="001A5D4A">
            <w:pPr>
              <w:pStyle w:val="NotesTable-HeadPlain"/>
            </w:pPr>
            <w:r>
              <w:t>2013</w:t>
            </w:r>
          </w:p>
        </w:tc>
        <w:tc>
          <w:tcPr>
            <w:tcW w:w="289" w:type="pct"/>
            <w:shd w:val="clear" w:color="auto" w:fill="CCCCCC"/>
          </w:tcPr>
          <w:p w14:paraId="038A5110" w14:textId="2729F9C9" w:rsidR="000D34D0" w:rsidRDefault="006864EC" w:rsidP="001A5D4A">
            <w:pPr>
              <w:pStyle w:val="NotesTable-HeadBold"/>
            </w:pPr>
            <w:r>
              <w:t>2014</w:t>
            </w:r>
          </w:p>
        </w:tc>
        <w:tc>
          <w:tcPr>
            <w:tcW w:w="286" w:type="pct"/>
            <w:tcBorders>
              <w:right w:val="single" w:sz="8" w:space="0" w:color="CDCDCD"/>
            </w:tcBorders>
            <w:shd w:val="clear" w:color="auto" w:fill="CCCCCC"/>
          </w:tcPr>
          <w:p w14:paraId="038A5111" w14:textId="10604B78" w:rsidR="000D34D0" w:rsidRDefault="006864EC" w:rsidP="001A5D4A">
            <w:pPr>
              <w:pStyle w:val="NotesTable-HeadPlain"/>
            </w:pPr>
            <w:r>
              <w:t>2013</w:t>
            </w:r>
          </w:p>
        </w:tc>
      </w:tr>
      <w:tr w:rsidR="000D34D0" w14:paraId="038A5120" w14:textId="77777777" w:rsidTr="004B7414">
        <w:trPr>
          <w:cantSplit/>
          <w:trHeight w:val="255"/>
        </w:trPr>
        <w:tc>
          <w:tcPr>
            <w:tcW w:w="530" w:type="pct"/>
            <w:tcBorders>
              <w:right w:val="single" w:sz="8" w:space="0" w:color="CDCDCD"/>
            </w:tcBorders>
          </w:tcPr>
          <w:p w14:paraId="038A5113" w14:textId="77777777" w:rsidR="000D34D0" w:rsidRDefault="000D34D0" w:rsidP="001A5D4A">
            <w:pPr>
              <w:pStyle w:val="Note-Refs"/>
            </w:pPr>
          </w:p>
        </w:tc>
        <w:tc>
          <w:tcPr>
            <w:tcW w:w="1329" w:type="pct"/>
            <w:tcBorders>
              <w:left w:val="single" w:sz="8" w:space="0" w:color="CDCDCD"/>
            </w:tcBorders>
            <w:shd w:val="clear" w:color="auto" w:fill="CCCCCC"/>
          </w:tcPr>
          <w:p w14:paraId="038A5114" w14:textId="77777777" w:rsidR="000D34D0" w:rsidRDefault="000D34D0" w:rsidP="001A5D4A">
            <w:pPr>
              <w:pStyle w:val="NotesTable-ItemPlain"/>
            </w:pPr>
          </w:p>
        </w:tc>
        <w:tc>
          <w:tcPr>
            <w:tcW w:w="254" w:type="pct"/>
            <w:shd w:val="clear" w:color="auto" w:fill="CCCCCC"/>
          </w:tcPr>
          <w:p w14:paraId="038A5115" w14:textId="77777777" w:rsidR="000D34D0" w:rsidRDefault="000D34D0" w:rsidP="001A5D4A">
            <w:pPr>
              <w:pStyle w:val="NotesTable-Notes"/>
            </w:pPr>
          </w:p>
        </w:tc>
        <w:tc>
          <w:tcPr>
            <w:tcW w:w="289" w:type="pct"/>
            <w:gridSpan w:val="2"/>
            <w:shd w:val="clear" w:color="auto" w:fill="CCCCCC"/>
          </w:tcPr>
          <w:p w14:paraId="038A5116" w14:textId="77777777" w:rsidR="000D34D0" w:rsidRDefault="000D34D0" w:rsidP="001A5D4A">
            <w:pPr>
              <w:pStyle w:val="NotesTable-HeadBold"/>
            </w:pPr>
            <w:r>
              <w:t>$’000</w:t>
            </w:r>
          </w:p>
        </w:tc>
        <w:tc>
          <w:tcPr>
            <w:tcW w:w="289" w:type="pct"/>
            <w:shd w:val="clear" w:color="auto" w:fill="CCCCCC"/>
          </w:tcPr>
          <w:p w14:paraId="038A5117" w14:textId="77777777" w:rsidR="000D34D0" w:rsidRDefault="000D34D0" w:rsidP="001A5D4A">
            <w:pPr>
              <w:pStyle w:val="NotesTable-HeadPlain"/>
            </w:pPr>
            <w:r>
              <w:t>$’000</w:t>
            </w:r>
          </w:p>
        </w:tc>
        <w:tc>
          <w:tcPr>
            <w:tcW w:w="289" w:type="pct"/>
            <w:gridSpan w:val="2"/>
            <w:shd w:val="clear" w:color="auto" w:fill="CCCCCC"/>
          </w:tcPr>
          <w:p w14:paraId="038A5118" w14:textId="77777777" w:rsidR="000D34D0" w:rsidRDefault="000D34D0" w:rsidP="001A5D4A">
            <w:pPr>
              <w:pStyle w:val="NotesTable-HeadBold"/>
            </w:pPr>
            <w:r>
              <w:t>$’000</w:t>
            </w:r>
          </w:p>
        </w:tc>
        <w:tc>
          <w:tcPr>
            <w:tcW w:w="289" w:type="pct"/>
            <w:shd w:val="clear" w:color="auto" w:fill="CCCCCC"/>
          </w:tcPr>
          <w:p w14:paraId="038A5119" w14:textId="77777777" w:rsidR="000D34D0" w:rsidRDefault="000D34D0" w:rsidP="001A5D4A">
            <w:pPr>
              <w:pStyle w:val="NotesTable-HeadPlain"/>
            </w:pPr>
            <w:r>
              <w:t>$’000</w:t>
            </w:r>
          </w:p>
        </w:tc>
        <w:tc>
          <w:tcPr>
            <w:tcW w:w="289" w:type="pct"/>
            <w:shd w:val="clear" w:color="auto" w:fill="CCCCCC"/>
          </w:tcPr>
          <w:p w14:paraId="038A511A" w14:textId="77777777" w:rsidR="000D34D0" w:rsidRDefault="000D34D0" w:rsidP="001A5D4A">
            <w:pPr>
              <w:pStyle w:val="NotesTable-HeadBold"/>
            </w:pPr>
            <w:r>
              <w:t>$’000</w:t>
            </w:r>
          </w:p>
        </w:tc>
        <w:tc>
          <w:tcPr>
            <w:tcW w:w="289" w:type="pct"/>
            <w:shd w:val="clear" w:color="auto" w:fill="CCCCCC"/>
          </w:tcPr>
          <w:p w14:paraId="038A511B" w14:textId="77777777" w:rsidR="000D34D0" w:rsidRDefault="000D34D0" w:rsidP="001A5D4A">
            <w:pPr>
              <w:pStyle w:val="NotesTable-HeadPlain"/>
            </w:pPr>
            <w:r>
              <w:t>$’000</w:t>
            </w:r>
          </w:p>
        </w:tc>
        <w:tc>
          <w:tcPr>
            <w:tcW w:w="289" w:type="pct"/>
            <w:shd w:val="clear" w:color="auto" w:fill="CCCCCC"/>
          </w:tcPr>
          <w:p w14:paraId="038A511C" w14:textId="77777777" w:rsidR="000D34D0" w:rsidRDefault="000D34D0" w:rsidP="001A5D4A">
            <w:pPr>
              <w:pStyle w:val="NotesTable-HeadBold"/>
            </w:pPr>
            <w:r>
              <w:t>$’000</w:t>
            </w:r>
          </w:p>
        </w:tc>
        <w:tc>
          <w:tcPr>
            <w:tcW w:w="289" w:type="pct"/>
            <w:shd w:val="clear" w:color="auto" w:fill="CCCCCC"/>
          </w:tcPr>
          <w:p w14:paraId="038A511D" w14:textId="77777777" w:rsidR="000D34D0" w:rsidRDefault="000D34D0" w:rsidP="001A5D4A">
            <w:pPr>
              <w:pStyle w:val="NotesTable-HeadPlain"/>
            </w:pPr>
            <w:r>
              <w:t>$’000</w:t>
            </w:r>
          </w:p>
        </w:tc>
        <w:tc>
          <w:tcPr>
            <w:tcW w:w="289" w:type="pct"/>
            <w:shd w:val="clear" w:color="auto" w:fill="CCCCCC"/>
          </w:tcPr>
          <w:p w14:paraId="038A511E" w14:textId="77777777" w:rsidR="000D34D0" w:rsidRDefault="000D34D0" w:rsidP="001A5D4A">
            <w:pPr>
              <w:pStyle w:val="NotesTable-HeadBold"/>
            </w:pPr>
            <w:r>
              <w:t>$’000</w:t>
            </w:r>
          </w:p>
        </w:tc>
        <w:tc>
          <w:tcPr>
            <w:tcW w:w="286" w:type="pct"/>
            <w:tcBorders>
              <w:right w:val="single" w:sz="8" w:space="0" w:color="CDCDCD"/>
            </w:tcBorders>
            <w:shd w:val="clear" w:color="auto" w:fill="CCCCCC"/>
          </w:tcPr>
          <w:p w14:paraId="038A511F" w14:textId="77777777" w:rsidR="000D34D0" w:rsidRDefault="000D34D0" w:rsidP="001A5D4A">
            <w:pPr>
              <w:pStyle w:val="NotesTable-HeadPlain"/>
            </w:pPr>
            <w:r>
              <w:t>$’000</w:t>
            </w:r>
          </w:p>
        </w:tc>
      </w:tr>
      <w:tr w:rsidR="000D34D0" w14:paraId="038A512E" w14:textId="77777777" w:rsidTr="004B7414">
        <w:trPr>
          <w:cantSplit/>
          <w:trHeight w:val="255"/>
        </w:trPr>
        <w:tc>
          <w:tcPr>
            <w:tcW w:w="530" w:type="pct"/>
            <w:tcBorders>
              <w:right w:val="single" w:sz="8" w:space="0" w:color="CDCDCD"/>
            </w:tcBorders>
          </w:tcPr>
          <w:p w14:paraId="038A5121" w14:textId="77777777" w:rsidR="000D34D0" w:rsidRDefault="000D34D0" w:rsidP="001A5D4A">
            <w:pPr>
              <w:pStyle w:val="Note-Refs"/>
            </w:pPr>
            <w:r>
              <w:t>A</w:t>
            </w:r>
          </w:p>
        </w:tc>
        <w:tc>
          <w:tcPr>
            <w:tcW w:w="1329" w:type="pct"/>
            <w:tcBorders>
              <w:left w:val="single" w:sz="8" w:space="0" w:color="CDCDCD"/>
            </w:tcBorders>
            <w:shd w:val="clear" w:color="auto" w:fill="CCCCCC"/>
          </w:tcPr>
          <w:p w14:paraId="038A5122" w14:textId="77777777" w:rsidR="000D34D0" w:rsidRDefault="000D34D0" w:rsidP="001A5D4A">
            <w:pPr>
              <w:pStyle w:val="NotesTable-ItemPlain"/>
              <w:rPr>
                <w:b/>
              </w:rPr>
            </w:pPr>
            <w:r>
              <w:t>Financial assistance received in CASH during the reporting period (total cash received from the Australian Government for the program)</w:t>
            </w:r>
          </w:p>
        </w:tc>
        <w:tc>
          <w:tcPr>
            <w:tcW w:w="254" w:type="pct"/>
            <w:shd w:val="clear" w:color="auto" w:fill="CCCCCC"/>
          </w:tcPr>
          <w:p w14:paraId="038A5123" w14:textId="77777777" w:rsidR="000D34D0" w:rsidRDefault="000D34D0" w:rsidP="001A5D4A">
            <w:pPr>
              <w:pStyle w:val="NotesTable-Notes"/>
            </w:pPr>
          </w:p>
        </w:tc>
        <w:tc>
          <w:tcPr>
            <w:tcW w:w="289" w:type="pct"/>
            <w:gridSpan w:val="2"/>
            <w:shd w:val="clear" w:color="auto" w:fill="CCCCCC"/>
            <w:vAlign w:val="bottom"/>
          </w:tcPr>
          <w:p w14:paraId="038A5124" w14:textId="77777777" w:rsidR="000D34D0" w:rsidRDefault="000D34D0" w:rsidP="001A5D4A">
            <w:pPr>
              <w:pStyle w:val="NotesTable-CellBold"/>
            </w:pPr>
            <w:r>
              <w:t>–</w:t>
            </w:r>
          </w:p>
        </w:tc>
        <w:tc>
          <w:tcPr>
            <w:tcW w:w="289" w:type="pct"/>
            <w:shd w:val="clear" w:color="auto" w:fill="CCCCCC"/>
            <w:vAlign w:val="bottom"/>
          </w:tcPr>
          <w:p w14:paraId="038A5125" w14:textId="77777777" w:rsidR="000D34D0" w:rsidRDefault="000D34D0" w:rsidP="001A5D4A">
            <w:pPr>
              <w:pStyle w:val="NotesTable-CellPlain"/>
            </w:pPr>
            <w:r>
              <w:t>–</w:t>
            </w:r>
          </w:p>
        </w:tc>
        <w:tc>
          <w:tcPr>
            <w:tcW w:w="289" w:type="pct"/>
            <w:gridSpan w:val="2"/>
            <w:shd w:val="clear" w:color="auto" w:fill="CCCCCC"/>
            <w:vAlign w:val="bottom"/>
          </w:tcPr>
          <w:p w14:paraId="038A5126" w14:textId="77777777" w:rsidR="000D34D0" w:rsidRDefault="000D34D0" w:rsidP="001A5D4A">
            <w:pPr>
              <w:pStyle w:val="NotesTable-CellBold"/>
            </w:pPr>
            <w:r>
              <w:t>–</w:t>
            </w:r>
          </w:p>
        </w:tc>
        <w:tc>
          <w:tcPr>
            <w:tcW w:w="289" w:type="pct"/>
            <w:shd w:val="clear" w:color="auto" w:fill="CCCCCC"/>
            <w:vAlign w:val="bottom"/>
          </w:tcPr>
          <w:p w14:paraId="038A5127" w14:textId="77777777" w:rsidR="000D34D0" w:rsidRDefault="000D34D0" w:rsidP="001A5D4A">
            <w:pPr>
              <w:pStyle w:val="NotesTable-CellPlain"/>
            </w:pPr>
            <w:r>
              <w:t>–</w:t>
            </w:r>
          </w:p>
        </w:tc>
        <w:tc>
          <w:tcPr>
            <w:tcW w:w="289" w:type="pct"/>
            <w:shd w:val="clear" w:color="auto" w:fill="CCCCCC"/>
            <w:vAlign w:val="bottom"/>
          </w:tcPr>
          <w:p w14:paraId="038A5128" w14:textId="77777777" w:rsidR="000D34D0" w:rsidRDefault="000D34D0" w:rsidP="001A5D4A">
            <w:pPr>
              <w:pStyle w:val="NotesTable-CellBold"/>
            </w:pPr>
            <w:r>
              <w:t>–</w:t>
            </w:r>
          </w:p>
        </w:tc>
        <w:tc>
          <w:tcPr>
            <w:tcW w:w="289" w:type="pct"/>
            <w:shd w:val="clear" w:color="auto" w:fill="CCCCCC"/>
            <w:vAlign w:val="bottom"/>
          </w:tcPr>
          <w:p w14:paraId="038A5129" w14:textId="77777777" w:rsidR="000D34D0" w:rsidRDefault="000D34D0" w:rsidP="001A5D4A">
            <w:pPr>
              <w:pStyle w:val="NotesTable-CellPlain"/>
            </w:pPr>
            <w:r>
              <w:t>–</w:t>
            </w:r>
          </w:p>
        </w:tc>
        <w:tc>
          <w:tcPr>
            <w:tcW w:w="289" w:type="pct"/>
            <w:shd w:val="clear" w:color="auto" w:fill="CCCCCC"/>
            <w:vAlign w:val="bottom"/>
          </w:tcPr>
          <w:p w14:paraId="038A512A" w14:textId="77777777" w:rsidR="000D34D0" w:rsidRDefault="000D34D0" w:rsidP="001A5D4A">
            <w:pPr>
              <w:pStyle w:val="NotesTable-CellBold"/>
            </w:pPr>
            <w:r>
              <w:t>–</w:t>
            </w:r>
          </w:p>
        </w:tc>
        <w:tc>
          <w:tcPr>
            <w:tcW w:w="289" w:type="pct"/>
            <w:shd w:val="clear" w:color="auto" w:fill="CCCCCC"/>
            <w:vAlign w:val="bottom"/>
          </w:tcPr>
          <w:p w14:paraId="038A512B" w14:textId="77777777" w:rsidR="000D34D0" w:rsidRDefault="000D34D0" w:rsidP="001A5D4A">
            <w:pPr>
              <w:pStyle w:val="NotesTable-CellPlain"/>
            </w:pPr>
            <w:r>
              <w:t>–</w:t>
            </w:r>
          </w:p>
        </w:tc>
        <w:tc>
          <w:tcPr>
            <w:tcW w:w="289" w:type="pct"/>
            <w:shd w:val="clear" w:color="auto" w:fill="CCCCCC"/>
            <w:vAlign w:val="bottom"/>
          </w:tcPr>
          <w:p w14:paraId="038A512C" w14:textId="77777777" w:rsidR="000D34D0" w:rsidRDefault="000D34D0" w:rsidP="001A5D4A">
            <w:pPr>
              <w:pStyle w:val="NotesTable-CellBold"/>
            </w:pPr>
            <w:r>
              <w:t>–</w:t>
            </w:r>
          </w:p>
        </w:tc>
        <w:tc>
          <w:tcPr>
            <w:tcW w:w="286" w:type="pct"/>
            <w:tcBorders>
              <w:right w:val="single" w:sz="8" w:space="0" w:color="CDCDCD"/>
            </w:tcBorders>
            <w:shd w:val="clear" w:color="auto" w:fill="CCCCCC"/>
            <w:vAlign w:val="bottom"/>
          </w:tcPr>
          <w:p w14:paraId="038A512D" w14:textId="77777777" w:rsidR="000D34D0" w:rsidRDefault="000D34D0" w:rsidP="001A5D4A">
            <w:pPr>
              <w:pStyle w:val="NotesTable-CellPlain"/>
            </w:pPr>
            <w:r>
              <w:t>–</w:t>
            </w:r>
          </w:p>
        </w:tc>
      </w:tr>
      <w:tr w:rsidR="000D34D0" w14:paraId="038A513C" w14:textId="77777777" w:rsidTr="004B7414">
        <w:trPr>
          <w:cantSplit/>
          <w:trHeight w:val="255"/>
        </w:trPr>
        <w:tc>
          <w:tcPr>
            <w:tcW w:w="530" w:type="pct"/>
            <w:tcBorders>
              <w:right w:val="single" w:sz="8" w:space="0" w:color="CDCDCD"/>
            </w:tcBorders>
          </w:tcPr>
          <w:p w14:paraId="038A512F" w14:textId="77777777" w:rsidR="000D34D0" w:rsidRDefault="000D34D0" w:rsidP="001A5D4A">
            <w:pPr>
              <w:pStyle w:val="Note-Refs"/>
            </w:pPr>
            <w:r>
              <w:t>B</w:t>
            </w:r>
          </w:p>
        </w:tc>
        <w:tc>
          <w:tcPr>
            <w:tcW w:w="1329" w:type="pct"/>
            <w:tcBorders>
              <w:left w:val="single" w:sz="8" w:space="0" w:color="CDCDCD"/>
            </w:tcBorders>
            <w:shd w:val="clear" w:color="auto" w:fill="CCCCCC"/>
          </w:tcPr>
          <w:p w14:paraId="038A5130" w14:textId="77777777" w:rsidR="000D34D0" w:rsidRDefault="000D34D0" w:rsidP="001A5D4A">
            <w:pPr>
              <w:pStyle w:val="NotesTable-ItemPlain"/>
              <w:rPr>
                <w:b/>
              </w:rPr>
            </w:pPr>
            <w:r>
              <w:t>Net accrual adjustments</w:t>
            </w:r>
          </w:p>
        </w:tc>
        <w:tc>
          <w:tcPr>
            <w:tcW w:w="254" w:type="pct"/>
            <w:shd w:val="clear" w:color="auto" w:fill="CCCCCC"/>
          </w:tcPr>
          <w:p w14:paraId="038A5131" w14:textId="77777777" w:rsidR="000D34D0" w:rsidRDefault="000D34D0" w:rsidP="001A5D4A">
            <w:pPr>
              <w:pStyle w:val="NotesTable-Notes"/>
            </w:pPr>
          </w:p>
        </w:tc>
        <w:tc>
          <w:tcPr>
            <w:tcW w:w="289" w:type="pct"/>
            <w:gridSpan w:val="2"/>
            <w:tcBorders>
              <w:bottom w:val="single" w:sz="4" w:space="0" w:color="000000"/>
            </w:tcBorders>
            <w:shd w:val="clear" w:color="auto" w:fill="CCCCCC"/>
          </w:tcPr>
          <w:p w14:paraId="038A5132"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33" w14:textId="77777777" w:rsidR="000D34D0" w:rsidRDefault="000D34D0" w:rsidP="001A5D4A">
            <w:pPr>
              <w:pStyle w:val="NotesTable-CellPlain"/>
            </w:pPr>
            <w:r>
              <w:t>–</w:t>
            </w:r>
          </w:p>
        </w:tc>
        <w:tc>
          <w:tcPr>
            <w:tcW w:w="289" w:type="pct"/>
            <w:gridSpan w:val="2"/>
            <w:tcBorders>
              <w:bottom w:val="single" w:sz="4" w:space="0" w:color="000000"/>
            </w:tcBorders>
            <w:shd w:val="clear" w:color="auto" w:fill="CCCCCC"/>
          </w:tcPr>
          <w:p w14:paraId="038A5134"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35"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36"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37"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38"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39"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3A" w14:textId="77777777" w:rsidR="000D34D0" w:rsidRDefault="000D34D0" w:rsidP="001A5D4A">
            <w:pPr>
              <w:pStyle w:val="NotesTable-CellBold"/>
            </w:pPr>
            <w:r>
              <w:t>–</w:t>
            </w:r>
          </w:p>
        </w:tc>
        <w:tc>
          <w:tcPr>
            <w:tcW w:w="286" w:type="pct"/>
            <w:tcBorders>
              <w:bottom w:val="single" w:sz="4" w:space="0" w:color="000000"/>
              <w:right w:val="single" w:sz="8" w:space="0" w:color="CDCDCD"/>
            </w:tcBorders>
            <w:shd w:val="clear" w:color="auto" w:fill="CCCCCC"/>
          </w:tcPr>
          <w:p w14:paraId="038A513B" w14:textId="77777777" w:rsidR="000D34D0" w:rsidRDefault="000D34D0" w:rsidP="001A5D4A">
            <w:pPr>
              <w:pStyle w:val="NotesTable-CellPlain"/>
            </w:pPr>
            <w:r>
              <w:t>–</w:t>
            </w:r>
          </w:p>
        </w:tc>
      </w:tr>
      <w:tr w:rsidR="000D34D0" w14:paraId="038A514A" w14:textId="77777777" w:rsidTr="004B7414">
        <w:trPr>
          <w:cantSplit/>
          <w:trHeight w:val="255"/>
        </w:trPr>
        <w:tc>
          <w:tcPr>
            <w:tcW w:w="530" w:type="pct"/>
            <w:tcBorders>
              <w:right w:val="single" w:sz="8" w:space="0" w:color="CDCDCD"/>
            </w:tcBorders>
          </w:tcPr>
          <w:p w14:paraId="038A513D" w14:textId="77777777" w:rsidR="000D34D0" w:rsidRDefault="000D34D0" w:rsidP="001A5D4A">
            <w:pPr>
              <w:pStyle w:val="Note-Refs"/>
              <w:rPr>
                <w:b/>
              </w:rPr>
            </w:pPr>
            <w:r>
              <w:t>C = A + B</w:t>
            </w:r>
          </w:p>
        </w:tc>
        <w:tc>
          <w:tcPr>
            <w:tcW w:w="1329" w:type="pct"/>
            <w:tcBorders>
              <w:left w:val="single" w:sz="8" w:space="0" w:color="CDCDCD"/>
            </w:tcBorders>
            <w:shd w:val="clear" w:color="auto" w:fill="CCCCCC"/>
          </w:tcPr>
          <w:p w14:paraId="038A513E" w14:textId="77777777" w:rsidR="000D34D0" w:rsidRDefault="000D34D0" w:rsidP="001A5D4A">
            <w:pPr>
              <w:pStyle w:val="NotesTable-ItemPlain"/>
              <w:rPr>
                <w:b/>
              </w:rPr>
            </w:pPr>
            <w:r>
              <w:t>Revenue for the period</w:t>
            </w:r>
          </w:p>
        </w:tc>
        <w:tc>
          <w:tcPr>
            <w:tcW w:w="254" w:type="pct"/>
            <w:shd w:val="clear" w:color="auto" w:fill="CCCCCC"/>
          </w:tcPr>
          <w:p w14:paraId="038A513F" w14:textId="77777777" w:rsidR="000D34D0" w:rsidRDefault="000D34D0" w:rsidP="001A5D4A">
            <w:pPr>
              <w:pStyle w:val="NotesTable-Notes"/>
            </w:pPr>
            <w:r>
              <w:t>3(d)</w:t>
            </w:r>
          </w:p>
        </w:tc>
        <w:tc>
          <w:tcPr>
            <w:tcW w:w="289" w:type="pct"/>
            <w:gridSpan w:val="2"/>
            <w:tcBorders>
              <w:top w:val="single" w:sz="4" w:space="0" w:color="000000"/>
            </w:tcBorders>
            <w:shd w:val="clear" w:color="auto" w:fill="CCCCCC"/>
          </w:tcPr>
          <w:p w14:paraId="038A5140"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41" w14:textId="77777777" w:rsidR="000D34D0" w:rsidRDefault="000D34D0" w:rsidP="001A5D4A">
            <w:pPr>
              <w:pStyle w:val="NotesTable-CellPlain"/>
            </w:pPr>
            <w:r>
              <w:t>–</w:t>
            </w:r>
          </w:p>
        </w:tc>
        <w:tc>
          <w:tcPr>
            <w:tcW w:w="289" w:type="pct"/>
            <w:gridSpan w:val="2"/>
            <w:tcBorders>
              <w:top w:val="single" w:sz="4" w:space="0" w:color="000000"/>
            </w:tcBorders>
            <w:shd w:val="clear" w:color="auto" w:fill="CCCCCC"/>
          </w:tcPr>
          <w:p w14:paraId="038A5142"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43"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44"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45"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46"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47"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48" w14:textId="77777777" w:rsidR="000D34D0" w:rsidRDefault="000D34D0" w:rsidP="001A5D4A">
            <w:pPr>
              <w:pStyle w:val="NotesTable-CellBold"/>
            </w:pPr>
            <w:r>
              <w:t>–</w:t>
            </w:r>
          </w:p>
        </w:tc>
        <w:tc>
          <w:tcPr>
            <w:tcW w:w="286" w:type="pct"/>
            <w:tcBorders>
              <w:top w:val="single" w:sz="4" w:space="0" w:color="000000"/>
              <w:right w:val="single" w:sz="8" w:space="0" w:color="CDCDCD"/>
            </w:tcBorders>
            <w:shd w:val="clear" w:color="auto" w:fill="CCCCCC"/>
          </w:tcPr>
          <w:p w14:paraId="038A5149" w14:textId="77777777" w:rsidR="000D34D0" w:rsidRDefault="000D34D0" w:rsidP="001A5D4A">
            <w:pPr>
              <w:pStyle w:val="NotesTable-CellPlain"/>
            </w:pPr>
            <w:r>
              <w:t>–</w:t>
            </w:r>
          </w:p>
        </w:tc>
      </w:tr>
      <w:tr w:rsidR="000D34D0" w14:paraId="038A5158" w14:textId="77777777" w:rsidTr="004B7414">
        <w:trPr>
          <w:cantSplit/>
          <w:trHeight w:val="255"/>
        </w:trPr>
        <w:tc>
          <w:tcPr>
            <w:tcW w:w="530" w:type="pct"/>
            <w:tcBorders>
              <w:right w:val="single" w:sz="8" w:space="0" w:color="CDCDCD"/>
            </w:tcBorders>
          </w:tcPr>
          <w:p w14:paraId="038A514B" w14:textId="77777777" w:rsidR="000D34D0" w:rsidRDefault="000D34D0" w:rsidP="001A5D4A">
            <w:pPr>
              <w:pStyle w:val="Note-Refs"/>
            </w:pPr>
          </w:p>
        </w:tc>
        <w:tc>
          <w:tcPr>
            <w:tcW w:w="1329" w:type="pct"/>
            <w:tcBorders>
              <w:left w:val="single" w:sz="8" w:space="0" w:color="CDCDCD"/>
            </w:tcBorders>
            <w:shd w:val="clear" w:color="auto" w:fill="CCCCCC"/>
          </w:tcPr>
          <w:p w14:paraId="038A514C" w14:textId="77777777" w:rsidR="000D34D0" w:rsidRDefault="000D34D0" w:rsidP="001A5D4A">
            <w:pPr>
              <w:pStyle w:val="NotesTable-ItemPlain"/>
            </w:pPr>
          </w:p>
        </w:tc>
        <w:tc>
          <w:tcPr>
            <w:tcW w:w="254" w:type="pct"/>
            <w:shd w:val="clear" w:color="auto" w:fill="CCCCCC"/>
          </w:tcPr>
          <w:p w14:paraId="038A514D" w14:textId="77777777" w:rsidR="000D34D0" w:rsidRDefault="000D34D0" w:rsidP="001A5D4A">
            <w:pPr>
              <w:pStyle w:val="NotesTable-Notes"/>
            </w:pPr>
          </w:p>
        </w:tc>
        <w:tc>
          <w:tcPr>
            <w:tcW w:w="289" w:type="pct"/>
            <w:gridSpan w:val="2"/>
            <w:shd w:val="clear" w:color="auto" w:fill="CCCCCC"/>
          </w:tcPr>
          <w:p w14:paraId="038A514E" w14:textId="77777777" w:rsidR="000D34D0" w:rsidRDefault="000D34D0" w:rsidP="001A5D4A">
            <w:pPr>
              <w:pStyle w:val="NotesTable-CellBold"/>
            </w:pPr>
          </w:p>
        </w:tc>
        <w:tc>
          <w:tcPr>
            <w:tcW w:w="289" w:type="pct"/>
            <w:shd w:val="clear" w:color="auto" w:fill="CCCCCC"/>
          </w:tcPr>
          <w:p w14:paraId="038A514F" w14:textId="77777777" w:rsidR="000D34D0" w:rsidRDefault="000D34D0" w:rsidP="001A5D4A">
            <w:pPr>
              <w:pStyle w:val="NotesTable-CellPlain"/>
            </w:pPr>
          </w:p>
        </w:tc>
        <w:tc>
          <w:tcPr>
            <w:tcW w:w="289" w:type="pct"/>
            <w:gridSpan w:val="2"/>
            <w:shd w:val="clear" w:color="auto" w:fill="CCCCCC"/>
          </w:tcPr>
          <w:p w14:paraId="038A5150" w14:textId="77777777" w:rsidR="000D34D0" w:rsidRDefault="000D34D0" w:rsidP="001A5D4A">
            <w:pPr>
              <w:pStyle w:val="NotesTable-CellBold"/>
            </w:pPr>
          </w:p>
        </w:tc>
        <w:tc>
          <w:tcPr>
            <w:tcW w:w="289" w:type="pct"/>
            <w:shd w:val="clear" w:color="auto" w:fill="CCCCCC"/>
          </w:tcPr>
          <w:p w14:paraId="038A5151" w14:textId="77777777" w:rsidR="000D34D0" w:rsidRDefault="000D34D0" w:rsidP="001A5D4A">
            <w:pPr>
              <w:pStyle w:val="NotesTable-CellPlain"/>
            </w:pPr>
          </w:p>
        </w:tc>
        <w:tc>
          <w:tcPr>
            <w:tcW w:w="289" w:type="pct"/>
            <w:shd w:val="clear" w:color="auto" w:fill="CCCCCC"/>
          </w:tcPr>
          <w:p w14:paraId="038A5152" w14:textId="77777777" w:rsidR="000D34D0" w:rsidRDefault="000D34D0" w:rsidP="001A5D4A">
            <w:pPr>
              <w:pStyle w:val="NotesTable-CellBold"/>
            </w:pPr>
          </w:p>
        </w:tc>
        <w:tc>
          <w:tcPr>
            <w:tcW w:w="289" w:type="pct"/>
            <w:shd w:val="clear" w:color="auto" w:fill="CCCCCC"/>
          </w:tcPr>
          <w:p w14:paraId="038A5153" w14:textId="77777777" w:rsidR="000D34D0" w:rsidRDefault="000D34D0" w:rsidP="001A5D4A">
            <w:pPr>
              <w:pStyle w:val="NotesTable-CellPlain"/>
            </w:pPr>
          </w:p>
        </w:tc>
        <w:tc>
          <w:tcPr>
            <w:tcW w:w="289" w:type="pct"/>
            <w:shd w:val="clear" w:color="auto" w:fill="CCCCCC"/>
          </w:tcPr>
          <w:p w14:paraId="038A5154" w14:textId="77777777" w:rsidR="000D34D0" w:rsidRDefault="000D34D0" w:rsidP="001A5D4A">
            <w:pPr>
              <w:pStyle w:val="NotesTable-CellBold"/>
            </w:pPr>
          </w:p>
        </w:tc>
        <w:tc>
          <w:tcPr>
            <w:tcW w:w="289" w:type="pct"/>
            <w:shd w:val="clear" w:color="auto" w:fill="CCCCCC"/>
          </w:tcPr>
          <w:p w14:paraId="038A5155" w14:textId="77777777" w:rsidR="000D34D0" w:rsidRDefault="000D34D0" w:rsidP="001A5D4A">
            <w:pPr>
              <w:pStyle w:val="NotesTable-CellPlain"/>
            </w:pPr>
          </w:p>
        </w:tc>
        <w:tc>
          <w:tcPr>
            <w:tcW w:w="289" w:type="pct"/>
            <w:shd w:val="clear" w:color="auto" w:fill="CCCCCC"/>
          </w:tcPr>
          <w:p w14:paraId="038A5156" w14:textId="77777777" w:rsidR="000D34D0" w:rsidRDefault="000D34D0" w:rsidP="001A5D4A">
            <w:pPr>
              <w:pStyle w:val="NotesTable-CellBold"/>
            </w:pPr>
          </w:p>
        </w:tc>
        <w:tc>
          <w:tcPr>
            <w:tcW w:w="286" w:type="pct"/>
            <w:tcBorders>
              <w:right w:val="single" w:sz="8" w:space="0" w:color="CDCDCD"/>
            </w:tcBorders>
            <w:shd w:val="clear" w:color="auto" w:fill="CCCCCC"/>
          </w:tcPr>
          <w:p w14:paraId="038A5157" w14:textId="77777777" w:rsidR="000D34D0" w:rsidRDefault="000D34D0" w:rsidP="001A5D4A">
            <w:pPr>
              <w:pStyle w:val="NotesTable-CellPlain"/>
            </w:pPr>
          </w:p>
        </w:tc>
      </w:tr>
      <w:tr w:rsidR="000D34D0" w14:paraId="038A5166" w14:textId="77777777" w:rsidTr="004B7414">
        <w:trPr>
          <w:cantSplit/>
          <w:trHeight w:val="255"/>
        </w:trPr>
        <w:tc>
          <w:tcPr>
            <w:tcW w:w="530" w:type="pct"/>
            <w:tcBorders>
              <w:right w:val="single" w:sz="8" w:space="0" w:color="CDCDCD"/>
            </w:tcBorders>
          </w:tcPr>
          <w:p w14:paraId="038A5159" w14:textId="77777777" w:rsidR="000D34D0" w:rsidRDefault="000D34D0" w:rsidP="001A5D4A">
            <w:pPr>
              <w:pStyle w:val="Note-Refs"/>
            </w:pPr>
            <w:r>
              <w:t>D</w:t>
            </w:r>
          </w:p>
        </w:tc>
        <w:tc>
          <w:tcPr>
            <w:tcW w:w="1329" w:type="pct"/>
            <w:tcBorders>
              <w:left w:val="single" w:sz="8" w:space="0" w:color="CDCDCD"/>
            </w:tcBorders>
            <w:shd w:val="clear" w:color="auto" w:fill="CCCCCC"/>
          </w:tcPr>
          <w:p w14:paraId="038A515A" w14:textId="77777777" w:rsidR="000D34D0" w:rsidRDefault="000D34D0" w:rsidP="001A5D4A">
            <w:pPr>
              <w:pStyle w:val="NotesTable-ItemPlain"/>
              <w:rPr>
                <w:b/>
              </w:rPr>
            </w:pPr>
            <w:r>
              <w:t>Surplus / (deficit) from the previous year</w:t>
            </w:r>
          </w:p>
        </w:tc>
        <w:tc>
          <w:tcPr>
            <w:tcW w:w="254" w:type="pct"/>
            <w:shd w:val="clear" w:color="auto" w:fill="CCCCCC"/>
          </w:tcPr>
          <w:p w14:paraId="038A515B" w14:textId="77777777" w:rsidR="000D34D0" w:rsidRDefault="000D34D0" w:rsidP="001A5D4A">
            <w:pPr>
              <w:pStyle w:val="NotesTable-Notes"/>
            </w:pPr>
          </w:p>
        </w:tc>
        <w:tc>
          <w:tcPr>
            <w:tcW w:w="289" w:type="pct"/>
            <w:gridSpan w:val="2"/>
            <w:tcBorders>
              <w:bottom w:val="single" w:sz="4" w:space="0" w:color="000000"/>
            </w:tcBorders>
            <w:shd w:val="clear" w:color="auto" w:fill="CCCCCC"/>
          </w:tcPr>
          <w:p w14:paraId="038A515C"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5D" w14:textId="77777777" w:rsidR="000D34D0" w:rsidRDefault="000D34D0" w:rsidP="001A5D4A">
            <w:pPr>
              <w:pStyle w:val="NotesTable-CellPlain"/>
            </w:pPr>
            <w:r>
              <w:t>–</w:t>
            </w:r>
          </w:p>
        </w:tc>
        <w:tc>
          <w:tcPr>
            <w:tcW w:w="289" w:type="pct"/>
            <w:gridSpan w:val="2"/>
            <w:tcBorders>
              <w:bottom w:val="single" w:sz="4" w:space="0" w:color="000000"/>
            </w:tcBorders>
            <w:shd w:val="clear" w:color="auto" w:fill="CCCCCC"/>
          </w:tcPr>
          <w:p w14:paraId="038A515E"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5F"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60"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61"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62"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63"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64" w14:textId="77777777" w:rsidR="000D34D0" w:rsidRDefault="000D34D0" w:rsidP="001A5D4A">
            <w:pPr>
              <w:pStyle w:val="NotesTable-CellBold"/>
            </w:pPr>
            <w:r>
              <w:t>–</w:t>
            </w:r>
          </w:p>
        </w:tc>
        <w:tc>
          <w:tcPr>
            <w:tcW w:w="286" w:type="pct"/>
            <w:tcBorders>
              <w:bottom w:val="single" w:sz="4" w:space="0" w:color="000000"/>
              <w:right w:val="single" w:sz="8" w:space="0" w:color="CDCDCD"/>
            </w:tcBorders>
            <w:shd w:val="clear" w:color="auto" w:fill="CCCCCC"/>
          </w:tcPr>
          <w:p w14:paraId="038A5165" w14:textId="77777777" w:rsidR="000D34D0" w:rsidRDefault="000D34D0" w:rsidP="001A5D4A">
            <w:pPr>
              <w:pStyle w:val="NotesTable-CellPlain"/>
            </w:pPr>
            <w:r>
              <w:t>–</w:t>
            </w:r>
          </w:p>
        </w:tc>
      </w:tr>
      <w:tr w:rsidR="000D34D0" w14:paraId="038A5174" w14:textId="77777777" w:rsidTr="004B7414">
        <w:trPr>
          <w:cantSplit/>
          <w:trHeight w:val="255"/>
        </w:trPr>
        <w:tc>
          <w:tcPr>
            <w:tcW w:w="530" w:type="pct"/>
            <w:tcBorders>
              <w:right w:val="single" w:sz="8" w:space="0" w:color="CDCDCD"/>
            </w:tcBorders>
          </w:tcPr>
          <w:p w14:paraId="038A5167" w14:textId="77777777" w:rsidR="000D34D0" w:rsidRDefault="000D34D0" w:rsidP="001A5D4A">
            <w:pPr>
              <w:pStyle w:val="Note-Refs"/>
              <w:rPr>
                <w:b/>
              </w:rPr>
            </w:pPr>
            <w:r>
              <w:t>E = C + D</w:t>
            </w:r>
          </w:p>
        </w:tc>
        <w:tc>
          <w:tcPr>
            <w:tcW w:w="1329" w:type="pct"/>
            <w:tcBorders>
              <w:left w:val="single" w:sz="8" w:space="0" w:color="CDCDCD"/>
            </w:tcBorders>
            <w:shd w:val="clear" w:color="auto" w:fill="CCCCCC"/>
          </w:tcPr>
          <w:p w14:paraId="038A5168" w14:textId="77777777" w:rsidR="000D34D0" w:rsidRDefault="000D34D0" w:rsidP="001A5D4A">
            <w:pPr>
              <w:pStyle w:val="NotesTable-ItemPlain"/>
              <w:rPr>
                <w:b/>
              </w:rPr>
            </w:pPr>
            <w:r>
              <w:t>Total revenue including accrued revenue</w:t>
            </w:r>
          </w:p>
        </w:tc>
        <w:tc>
          <w:tcPr>
            <w:tcW w:w="254" w:type="pct"/>
            <w:shd w:val="clear" w:color="auto" w:fill="CCCCCC"/>
          </w:tcPr>
          <w:p w14:paraId="038A5169" w14:textId="77777777" w:rsidR="000D34D0" w:rsidRDefault="000D34D0" w:rsidP="001A5D4A">
            <w:pPr>
              <w:pStyle w:val="NotesTable-Notes"/>
            </w:pPr>
          </w:p>
        </w:tc>
        <w:tc>
          <w:tcPr>
            <w:tcW w:w="289" w:type="pct"/>
            <w:gridSpan w:val="2"/>
            <w:tcBorders>
              <w:top w:val="single" w:sz="4" w:space="0" w:color="000000"/>
            </w:tcBorders>
            <w:shd w:val="clear" w:color="auto" w:fill="CCCCCC"/>
          </w:tcPr>
          <w:p w14:paraId="038A516A"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6B" w14:textId="77777777" w:rsidR="000D34D0" w:rsidRDefault="000D34D0" w:rsidP="001A5D4A">
            <w:pPr>
              <w:pStyle w:val="NotesTable-CellPlain"/>
            </w:pPr>
            <w:r>
              <w:t>–</w:t>
            </w:r>
          </w:p>
        </w:tc>
        <w:tc>
          <w:tcPr>
            <w:tcW w:w="289" w:type="pct"/>
            <w:gridSpan w:val="2"/>
            <w:tcBorders>
              <w:top w:val="single" w:sz="4" w:space="0" w:color="000000"/>
            </w:tcBorders>
            <w:shd w:val="clear" w:color="auto" w:fill="CCCCCC"/>
          </w:tcPr>
          <w:p w14:paraId="038A516C"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6D"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6E"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6F"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70" w14:textId="77777777" w:rsidR="000D34D0" w:rsidRDefault="000D34D0" w:rsidP="001A5D4A">
            <w:pPr>
              <w:pStyle w:val="NotesTable-CellBold"/>
            </w:pPr>
            <w:r>
              <w:t>–</w:t>
            </w:r>
          </w:p>
        </w:tc>
        <w:tc>
          <w:tcPr>
            <w:tcW w:w="289" w:type="pct"/>
            <w:tcBorders>
              <w:top w:val="single" w:sz="4" w:space="0" w:color="000000"/>
            </w:tcBorders>
            <w:shd w:val="clear" w:color="auto" w:fill="CCCCCC"/>
          </w:tcPr>
          <w:p w14:paraId="038A5171" w14:textId="77777777" w:rsidR="000D34D0" w:rsidRDefault="000D34D0" w:rsidP="001A5D4A">
            <w:pPr>
              <w:pStyle w:val="NotesTable-CellPlain"/>
            </w:pPr>
            <w:r>
              <w:t>–</w:t>
            </w:r>
          </w:p>
        </w:tc>
        <w:tc>
          <w:tcPr>
            <w:tcW w:w="289" w:type="pct"/>
            <w:tcBorders>
              <w:top w:val="single" w:sz="4" w:space="0" w:color="000000"/>
            </w:tcBorders>
            <w:shd w:val="clear" w:color="auto" w:fill="CCCCCC"/>
          </w:tcPr>
          <w:p w14:paraId="038A5172" w14:textId="77777777" w:rsidR="000D34D0" w:rsidRDefault="000D34D0" w:rsidP="001A5D4A">
            <w:pPr>
              <w:pStyle w:val="NotesTable-CellBold"/>
            </w:pPr>
            <w:r>
              <w:t>–</w:t>
            </w:r>
          </w:p>
        </w:tc>
        <w:tc>
          <w:tcPr>
            <w:tcW w:w="286" w:type="pct"/>
            <w:tcBorders>
              <w:top w:val="single" w:sz="4" w:space="0" w:color="000000"/>
              <w:right w:val="single" w:sz="8" w:space="0" w:color="CDCDCD"/>
            </w:tcBorders>
            <w:shd w:val="clear" w:color="auto" w:fill="CCCCCC"/>
          </w:tcPr>
          <w:p w14:paraId="038A5173" w14:textId="77777777" w:rsidR="000D34D0" w:rsidRDefault="000D34D0" w:rsidP="001A5D4A">
            <w:pPr>
              <w:pStyle w:val="NotesTable-CellPlain"/>
            </w:pPr>
            <w:r>
              <w:t>–</w:t>
            </w:r>
          </w:p>
        </w:tc>
      </w:tr>
      <w:tr w:rsidR="000D34D0" w14:paraId="038A5182" w14:textId="77777777" w:rsidTr="004B7414">
        <w:trPr>
          <w:cantSplit/>
          <w:trHeight w:val="255"/>
        </w:trPr>
        <w:tc>
          <w:tcPr>
            <w:tcW w:w="530" w:type="pct"/>
            <w:tcBorders>
              <w:right w:val="single" w:sz="8" w:space="0" w:color="CDCDCD"/>
            </w:tcBorders>
          </w:tcPr>
          <w:p w14:paraId="038A5175" w14:textId="77777777" w:rsidR="000D34D0" w:rsidRDefault="000D34D0" w:rsidP="001A5D4A">
            <w:pPr>
              <w:pStyle w:val="Note-Refs"/>
            </w:pPr>
            <w:r>
              <w:t>F</w:t>
            </w:r>
          </w:p>
        </w:tc>
        <w:tc>
          <w:tcPr>
            <w:tcW w:w="1329" w:type="pct"/>
            <w:tcBorders>
              <w:left w:val="single" w:sz="8" w:space="0" w:color="CDCDCD"/>
            </w:tcBorders>
            <w:shd w:val="clear" w:color="auto" w:fill="CCCCCC"/>
          </w:tcPr>
          <w:p w14:paraId="038A5176" w14:textId="77777777" w:rsidR="000D34D0" w:rsidRDefault="000D34D0" w:rsidP="001A5D4A">
            <w:pPr>
              <w:pStyle w:val="NotesTable-ItemPlain"/>
              <w:rPr>
                <w:b/>
              </w:rPr>
            </w:pPr>
            <w:r>
              <w:t>Less expenses including accrued expenses</w:t>
            </w:r>
          </w:p>
        </w:tc>
        <w:tc>
          <w:tcPr>
            <w:tcW w:w="254" w:type="pct"/>
            <w:shd w:val="clear" w:color="auto" w:fill="CCCCCC"/>
          </w:tcPr>
          <w:p w14:paraId="038A5177" w14:textId="77777777" w:rsidR="000D34D0" w:rsidRDefault="000D34D0" w:rsidP="001A5D4A">
            <w:pPr>
              <w:pStyle w:val="NotesTable-Notes"/>
            </w:pPr>
          </w:p>
        </w:tc>
        <w:tc>
          <w:tcPr>
            <w:tcW w:w="289" w:type="pct"/>
            <w:gridSpan w:val="2"/>
            <w:tcBorders>
              <w:bottom w:val="single" w:sz="4" w:space="0" w:color="000000"/>
            </w:tcBorders>
            <w:shd w:val="clear" w:color="auto" w:fill="CCCCCC"/>
          </w:tcPr>
          <w:p w14:paraId="038A5178"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79" w14:textId="77777777" w:rsidR="000D34D0" w:rsidRDefault="000D34D0" w:rsidP="001A5D4A">
            <w:pPr>
              <w:pStyle w:val="NotesTable-CellPlain"/>
            </w:pPr>
            <w:r>
              <w:t>–</w:t>
            </w:r>
          </w:p>
        </w:tc>
        <w:tc>
          <w:tcPr>
            <w:tcW w:w="289" w:type="pct"/>
            <w:gridSpan w:val="2"/>
            <w:tcBorders>
              <w:bottom w:val="single" w:sz="4" w:space="0" w:color="000000"/>
            </w:tcBorders>
            <w:shd w:val="clear" w:color="auto" w:fill="CCCCCC"/>
          </w:tcPr>
          <w:p w14:paraId="038A517A"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7B"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7C"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7D"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7E" w14:textId="77777777" w:rsidR="000D34D0" w:rsidRDefault="000D34D0" w:rsidP="001A5D4A">
            <w:pPr>
              <w:pStyle w:val="NotesTable-CellBold"/>
            </w:pPr>
            <w:r>
              <w:t>–</w:t>
            </w:r>
          </w:p>
        </w:tc>
        <w:tc>
          <w:tcPr>
            <w:tcW w:w="289" w:type="pct"/>
            <w:tcBorders>
              <w:bottom w:val="single" w:sz="4" w:space="0" w:color="000000"/>
            </w:tcBorders>
            <w:shd w:val="clear" w:color="auto" w:fill="CCCCCC"/>
          </w:tcPr>
          <w:p w14:paraId="038A517F" w14:textId="77777777" w:rsidR="000D34D0" w:rsidRDefault="000D34D0" w:rsidP="001A5D4A">
            <w:pPr>
              <w:pStyle w:val="NotesTable-CellPlain"/>
            </w:pPr>
            <w:r>
              <w:t>–</w:t>
            </w:r>
          </w:p>
        </w:tc>
        <w:tc>
          <w:tcPr>
            <w:tcW w:w="289" w:type="pct"/>
            <w:tcBorders>
              <w:bottom w:val="single" w:sz="4" w:space="0" w:color="000000"/>
            </w:tcBorders>
            <w:shd w:val="clear" w:color="auto" w:fill="CCCCCC"/>
          </w:tcPr>
          <w:p w14:paraId="038A5180" w14:textId="77777777" w:rsidR="000D34D0" w:rsidRDefault="000D34D0" w:rsidP="001A5D4A">
            <w:pPr>
              <w:pStyle w:val="NotesTable-CellBold"/>
            </w:pPr>
            <w:r>
              <w:t>–</w:t>
            </w:r>
          </w:p>
        </w:tc>
        <w:tc>
          <w:tcPr>
            <w:tcW w:w="286" w:type="pct"/>
            <w:tcBorders>
              <w:bottom w:val="single" w:sz="4" w:space="0" w:color="000000"/>
              <w:right w:val="single" w:sz="8" w:space="0" w:color="CDCDCD"/>
            </w:tcBorders>
            <w:shd w:val="clear" w:color="auto" w:fill="CCCCCC"/>
          </w:tcPr>
          <w:p w14:paraId="038A5181" w14:textId="77777777" w:rsidR="000D34D0" w:rsidRDefault="000D34D0" w:rsidP="001A5D4A">
            <w:pPr>
              <w:pStyle w:val="NotesTable-CellPlain"/>
            </w:pPr>
            <w:r>
              <w:t>–</w:t>
            </w:r>
          </w:p>
        </w:tc>
      </w:tr>
      <w:tr w:rsidR="000D34D0" w14:paraId="038A5190" w14:textId="77777777" w:rsidTr="004B7414">
        <w:trPr>
          <w:cantSplit/>
          <w:trHeight w:val="255"/>
        </w:trPr>
        <w:tc>
          <w:tcPr>
            <w:tcW w:w="530" w:type="pct"/>
            <w:tcBorders>
              <w:right w:val="single" w:sz="8" w:space="0" w:color="CDCDCD"/>
            </w:tcBorders>
          </w:tcPr>
          <w:p w14:paraId="038A5183" w14:textId="77777777" w:rsidR="000D34D0" w:rsidRDefault="000D34D0" w:rsidP="001A5D4A">
            <w:pPr>
              <w:pStyle w:val="Note-Refs"/>
              <w:rPr>
                <w:b/>
              </w:rPr>
            </w:pPr>
            <w:r>
              <w:t>G = E – F</w:t>
            </w:r>
          </w:p>
        </w:tc>
        <w:tc>
          <w:tcPr>
            <w:tcW w:w="1329" w:type="pct"/>
            <w:tcBorders>
              <w:left w:val="single" w:sz="8" w:space="0" w:color="CDCDCD"/>
            </w:tcBorders>
            <w:shd w:val="clear" w:color="auto" w:fill="CCCCCC"/>
          </w:tcPr>
          <w:p w14:paraId="038A5184" w14:textId="77777777" w:rsidR="000D34D0" w:rsidRDefault="000D34D0" w:rsidP="001A5D4A">
            <w:pPr>
              <w:pStyle w:val="NotesTable-ItemPlain"/>
              <w:rPr>
                <w:b/>
              </w:rPr>
            </w:pPr>
            <w:r>
              <w:t>Surplus / (deficit) for reporting period</w:t>
            </w:r>
          </w:p>
        </w:tc>
        <w:tc>
          <w:tcPr>
            <w:tcW w:w="254" w:type="pct"/>
            <w:shd w:val="clear" w:color="auto" w:fill="CCCCCC"/>
          </w:tcPr>
          <w:p w14:paraId="038A5185" w14:textId="77777777" w:rsidR="000D34D0" w:rsidRDefault="000D34D0" w:rsidP="001A5D4A">
            <w:pPr>
              <w:pStyle w:val="NotesTable-Notes"/>
            </w:pPr>
          </w:p>
        </w:tc>
        <w:tc>
          <w:tcPr>
            <w:tcW w:w="289" w:type="pct"/>
            <w:gridSpan w:val="2"/>
            <w:tcBorders>
              <w:bottom w:val="single" w:sz="4" w:space="0" w:color="auto"/>
            </w:tcBorders>
            <w:shd w:val="clear" w:color="auto" w:fill="CCCCCC"/>
          </w:tcPr>
          <w:p w14:paraId="038A5186" w14:textId="77777777" w:rsidR="000D34D0" w:rsidRDefault="000D34D0" w:rsidP="001A5D4A">
            <w:pPr>
              <w:pStyle w:val="NotesTable-CellBold"/>
            </w:pPr>
            <w:r>
              <w:t>–</w:t>
            </w:r>
          </w:p>
        </w:tc>
        <w:tc>
          <w:tcPr>
            <w:tcW w:w="289" w:type="pct"/>
            <w:tcBorders>
              <w:bottom w:val="single" w:sz="4" w:space="0" w:color="auto"/>
            </w:tcBorders>
            <w:shd w:val="clear" w:color="auto" w:fill="CCCCCC"/>
          </w:tcPr>
          <w:p w14:paraId="038A5187" w14:textId="77777777" w:rsidR="000D34D0" w:rsidRDefault="000D34D0" w:rsidP="001A5D4A">
            <w:pPr>
              <w:pStyle w:val="NotesTable-CellPlain"/>
            </w:pPr>
            <w:r>
              <w:t>–</w:t>
            </w:r>
          </w:p>
        </w:tc>
        <w:tc>
          <w:tcPr>
            <w:tcW w:w="289" w:type="pct"/>
            <w:gridSpan w:val="2"/>
            <w:tcBorders>
              <w:bottom w:val="single" w:sz="4" w:space="0" w:color="auto"/>
            </w:tcBorders>
            <w:shd w:val="clear" w:color="auto" w:fill="CCCCCC"/>
          </w:tcPr>
          <w:p w14:paraId="038A5188" w14:textId="77777777" w:rsidR="000D34D0" w:rsidRDefault="000D34D0" w:rsidP="001A5D4A">
            <w:pPr>
              <w:pStyle w:val="NotesTable-CellBold"/>
            </w:pPr>
            <w:r>
              <w:t>–</w:t>
            </w:r>
          </w:p>
        </w:tc>
        <w:tc>
          <w:tcPr>
            <w:tcW w:w="289" w:type="pct"/>
            <w:tcBorders>
              <w:bottom w:val="single" w:sz="4" w:space="0" w:color="auto"/>
            </w:tcBorders>
            <w:shd w:val="clear" w:color="auto" w:fill="CCCCCC"/>
          </w:tcPr>
          <w:p w14:paraId="038A5189" w14:textId="77777777" w:rsidR="000D34D0" w:rsidRDefault="000D34D0" w:rsidP="001A5D4A">
            <w:pPr>
              <w:pStyle w:val="NotesTable-CellPlain"/>
            </w:pPr>
            <w:r>
              <w:t>–</w:t>
            </w:r>
          </w:p>
        </w:tc>
        <w:tc>
          <w:tcPr>
            <w:tcW w:w="289" w:type="pct"/>
            <w:tcBorders>
              <w:bottom w:val="single" w:sz="4" w:space="0" w:color="auto"/>
            </w:tcBorders>
            <w:shd w:val="clear" w:color="auto" w:fill="CCCCCC"/>
          </w:tcPr>
          <w:p w14:paraId="038A518A" w14:textId="77777777" w:rsidR="000D34D0" w:rsidRDefault="000D34D0" w:rsidP="001A5D4A">
            <w:pPr>
              <w:pStyle w:val="NotesTable-CellBold"/>
            </w:pPr>
            <w:r>
              <w:t>–</w:t>
            </w:r>
          </w:p>
        </w:tc>
        <w:tc>
          <w:tcPr>
            <w:tcW w:w="289" w:type="pct"/>
            <w:tcBorders>
              <w:bottom w:val="single" w:sz="4" w:space="0" w:color="auto"/>
            </w:tcBorders>
            <w:shd w:val="clear" w:color="auto" w:fill="CCCCCC"/>
          </w:tcPr>
          <w:p w14:paraId="038A518B" w14:textId="77777777" w:rsidR="000D34D0" w:rsidRDefault="000D34D0" w:rsidP="001A5D4A">
            <w:pPr>
              <w:pStyle w:val="NotesTable-CellPlain"/>
            </w:pPr>
            <w:r>
              <w:t>–</w:t>
            </w:r>
          </w:p>
        </w:tc>
        <w:tc>
          <w:tcPr>
            <w:tcW w:w="289" w:type="pct"/>
            <w:tcBorders>
              <w:bottom w:val="single" w:sz="4" w:space="0" w:color="auto"/>
            </w:tcBorders>
            <w:shd w:val="clear" w:color="auto" w:fill="CCCCCC"/>
          </w:tcPr>
          <w:p w14:paraId="038A518C" w14:textId="77777777" w:rsidR="000D34D0" w:rsidRDefault="000D34D0" w:rsidP="001A5D4A">
            <w:pPr>
              <w:pStyle w:val="NotesTable-CellBold"/>
            </w:pPr>
            <w:r>
              <w:t>–</w:t>
            </w:r>
          </w:p>
        </w:tc>
        <w:tc>
          <w:tcPr>
            <w:tcW w:w="289" w:type="pct"/>
            <w:tcBorders>
              <w:bottom w:val="single" w:sz="4" w:space="0" w:color="auto"/>
            </w:tcBorders>
            <w:shd w:val="clear" w:color="auto" w:fill="CCCCCC"/>
          </w:tcPr>
          <w:p w14:paraId="038A518D" w14:textId="77777777" w:rsidR="000D34D0" w:rsidRDefault="000D34D0" w:rsidP="001A5D4A">
            <w:pPr>
              <w:pStyle w:val="NotesTable-CellPlain"/>
            </w:pPr>
            <w:r>
              <w:t>–</w:t>
            </w:r>
          </w:p>
        </w:tc>
        <w:tc>
          <w:tcPr>
            <w:tcW w:w="289" w:type="pct"/>
            <w:tcBorders>
              <w:bottom w:val="single" w:sz="4" w:space="0" w:color="auto"/>
            </w:tcBorders>
            <w:shd w:val="clear" w:color="auto" w:fill="CCCCCC"/>
          </w:tcPr>
          <w:p w14:paraId="038A518E" w14:textId="77777777" w:rsidR="000D34D0" w:rsidRDefault="000D34D0" w:rsidP="001A5D4A">
            <w:pPr>
              <w:pStyle w:val="NotesTable-CellBold"/>
            </w:pPr>
            <w:r>
              <w:t>–</w:t>
            </w:r>
          </w:p>
        </w:tc>
        <w:tc>
          <w:tcPr>
            <w:tcW w:w="286" w:type="pct"/>
            <w:tcBorders>
              <w:bottom w:val="single" w:sz="4" w:space="0" w:color="auto"/>
              <w:right w:val="single" w:sz="8" w:space="0" w:color="CDCDCD"/>
            </w:tcBorders>
            <w:shd w:val="clear" w:color="auto" w:fill="CCCCCC"/>
          </w:tcPr>
          <w:p w14:paraId="038A518F" w14:textId="77777777" w:rsidR="000D34D0" w:rsidRDefault="000D34D0" w:rsidP="001A5D4A">
            <w:pPr>
              <w:pStyle w:val="NotesTable-CellPlain"/>
            </w:pPr>
            <w:r>
              <w:t>–</w:t>
            </w:r>
          </w:p>
        </w:tc>
      </w:tr>
      <w:tr w:rsidR="000D34D0" w14:paraId="038A519E" w14:textId="77777777" w:rsidTr="004B7414">
        <w:trPr>
          <w:cantSplit/>
          <w:trHeight w:val="255"/>
        </w:trPr>
        <w:tc>
          <w:tcPr>
            <w:tcW w:w="530" w:type="pct"/>
            <w:tcBorders>
              <w:bottom w:val="single" w:sz="4" w:space="0" w:color="FFFFFF"/>
              <w:right w:val="single" w:sz="8" w:space="0" w:color="CDCDCD"/>
            </w:tcBorders>
          </w:tcPr>
          <w:p w14:paraId="038A5191" w14:textId="77777777" w:rsidR="000D34D0" w:rsidRDefault="000D34D0" w:rsidP="001A5D4A">
            <w:pPr>
              <w:pStyle w:val="Note-Refs"/>
            </w:pPr>
          </w:p>
        </w:tc>
        <w:tc>
          <w:tcPr>
            <w:tcW w:w="1329" w:type="pct"/>
            <w:tcBorders>
              <w:left w:val="single" w:sz="8" w:space="0" w:color="CDCDCD"/>
              <w:bottom w:val="single" w:sz="8" w:space="0" w:color="CDCDCD"/>
            </w:tcBorders>
            <w:shd w:val="clear" w:color="auto" w:fill="CCCCCC"/>
          </w:tcPr>
          <w:p w14:paraId="038A5192" w14:textId="77777777" w:rsidR="000D34D0" w:rsidRDefault="000D34D0" w:rsidP="001A5D4A">
            <w:pPr>
              <w:pStyle w:val="NotesTable-ItemPlain"/>
            </w:pPr>
          </w:p>
        </w:tc>
        <w:tc>
          <w:tcPr>
            <w:tcW w:w="254" w:type="pct"/>
            <w:tcBorders>
              <w:bottom w:val="single" w:sz="8" w:space="0" w:color="CDCDCD"/>
            </w:tcBorders>
            <w:shd w:val="clear" w:color="auto" w:fill="CCCCCC"/>
          </w:tcPr>
          <w:p w14:paraId="038A5193" w14:textId="77777777" w:rsidR="000D34D0" w:rsidRDefault="000D34D0" w:rsidP="001A5D4A">
            <w:pPr>
              <w:pStyle w:val="NotesTable-Notes"/>
            </w:pPr>
          </w:p>
        </w:tc>
        <w:tc>
          <w:tcPr>
            <w:tcW w:w="289" w:type="pct"/>
            <w:gridSpan w:val="2"/>
            <w:tcBorders>
              <w:top w:val="single" w:sz="4" w:space="0" w:color="auto"/>
              <w:bottom w:val="single" w:sz="8" w:space="0" w:color="CDCDCD"/>
            </w:tcBorders>
            <w:shd w:val="clear" w:color="auto" w:fill="CCCCCC"/>
          </w:tcPr>
          <w:p w14:paraId="038A5194" w14:textId="77777777" w:rsidR="000D34D0" w:rsidRDefault="000D34D0" w:rsidP="001A5D4A">
            <w:pPr>
              <w:pStyle w:val="NotesTable-CellBold"/>
            </w:pPr>
          </w:p>
        </w:tc>
        <w:tc>
          <w:tcPr>
            <w:tcW w:w="289" w:type="pct"/>
            <w:tcBorders>
              <w:top w:val="single" w:sz="4" w:space="0" w:color="auto"/>
              <w:bottom w:val="single" w:sz="8" w:space="0" w:color="CDCDCD"/>
            </w:tcBorders>
            <w:shd w:val="clear" w:color="auto" w:fill="CCCCCC"/>
          </w:tcPr>
          <w:p w14:paraId="038A5195" w14:textId="77777777" w:rsidR="000D34D0" w:rsidRDefault="000D34D0" w:rsidP="001A5D4A">
            <w:pPr>
              <w:pStyle w:val="NotesTable-CellPlain"/>
            </w:pPr>
          </w:p>
        </w:tc>
        <w:tc>
          <w:tcPr>
            <w:tcW w:w="289" w:type="pct"/>
            <w:gridSpan w:val="2"/>
            <w:tcBorders>
              <w:top w:val="single" w:sz="4" w:space="0" w:color="auto"/>
              <w:bottom w:val="single" w:sz="8" w:space="0" w:color="CDCDCD"/>
            </w:tcBorders>
            <w:shd w:val="clear" w:color="auto" w:fill="CCCCCC"/>
          </w:tcPr>
          <w:p w14:paraId="038A5196" w14:textId="77777777" w:rsidR="000D34D0" w:rsidRDefault="000D34D0" w:rsidP="001A5D4A">
            <w:pPr>
              <w:pStyle w:val="NotesTable-CellBold"/>
            </w:pPr>
          </w:p>
        </w:tc>
        <w:tc>
          <w:tcPr>
            <w:tcW w:w="289" w:type="pct"/>
            <w:tcBorders>
              <w:top w:val="single" w:sz="4" w:space="0" w:color="auto"/>
              <w:bottom w:val="single" w:sz="8" w:space="0" w:color="CDCDCD"/>
            </w:tcBorders>
            <w:shd w:val="clear" w:color="auto" w:fill="CCCCCC"/>
          </w:tcPr>
          <w:p w14:paraId="038A5197" w14:textId="77777777" w:rsidR="000D34D0" w:rsidRDefault="000D34D0" w:rsidP="001A5D4A">
            <w:pPr>
              <w:pStyle w:val="NotesTable-CellPlain"/>
            </w:pPr>
          </w:p>
        </w:tc>
        <w:tc>
          <w:tcPr>
            <w:tcW w:w="289" w:type="pct"/>
            <w:tcBorders>
              <w:top w:val="single" w:sz="4" w:space="0" w:color="auto"/>
              <w:bottom w:val="single" w:sz="8" w:space="0" w:color="CDCDCD"/>
            </w:tcBorders>
            <w:shd w:val="clear" w:color="auto" w:fill="CCCCCC"/>
          </w:tcPr>
          <w:p w14:paraId="038A5198" w14:textId="77777777" w:rsidR="000D34D0" w:rsidRDefault="000D34D0" w:rsidP="001A5D4A">
            <w:pPr>
              <w:pStyle w:val="NotesTable-CellBold"/>
            </w:pPr>
          </w:p>
        </w:tc>
        <w:tc>
          <w:tcPr>
            <w:tcW w:w="289" w:type="pct"/>
            <w:tcBorders>
              <w:top w:val="single" w:sz="4" w:space="0" w:color="auto"/>
              <w:bottom w:val="single" w:sz="8" w:space="0" w:color="CDCDCD"/>
            </w:tcBorders>
            <w:shd w:val="clear" w:color="auto" w:fill="CCCCCC"/>
          </w:tcPr>
          <w:p w14:paraId="038A5199" w14:textId="77777777" w:rsidR="000D34D0" w:rsidRDefault="000D34D0" w:rsidP="001A5D4A">
            <w:pPr>
              <w:pStyle w:val="NotesTable-CellPlain"/>
            </w:pPr>
          </w:p>
        </w:tc>
        <w:tc>
          <w:tcPr>
            <w:tcW w:w="289" w:type="pct"/>
            <w:tcBorders>
              <w:top w:val="single" w:sz="4" w:space="0" w:color="auto"/>
              <w:bottom w:val="single" w:sz="8" w:space="0" w:color="CDCDCD"/>
            </w:tcBorders>
            <w:shd w:val="clear" w:color="auto" w:fill="CCCCCC"/>
          </w:tcPr>
          <w:p w14:paraId="038A519A" w14:textId="77777777" w:rsidR="000D34D0" w:rsidRDefault="000D34D0" w:rsidP="001A5D4A">
            <w:pPr>
              <w:pStyle w:val="NotesTable-CellBold"/>
            </w:pPr>
          </w:p>
        </w:tc>
        <w:tc>
          <w:tcPr>
            <w:tcW w:w="289" w:type="pct"/>
            <w:tcBorders>
              <w:top w:val="single" w:sz="4" w:space="0" w:color="auto"/>
              <w:bottom w:val="single" w:sz="8" w:space="0" w:color="CDCDCD"/>
            </w:tcBorders>
            <w:shd w:val="clear" w:color="auto" w:fill="CCCCCC"/>
          </w:tcPr>
          <w:p w14:paraId="038A519B" w14:textId="77777777" w:rsidR="000D34D0" w:rsidRDefault="000D34D0" w:rsidP="001A5D4A">
            <w:pPr>
              <w:pStyle w:val="NotesTable-CellPlain"/>
            </w:pPr>
          </w:p>
        </w:tc>
        <w:tc>
          <w:tcPr>
            <w:tcW w:w="289" w:type="pct"/>
            <w:tcBorders>
              <w:top w:val="single" w:sz="4" w:space="0" w:color="auto"/>
              <w:bottom w:val="single" w:sz="8" w:space="0" w:color="CDCDCD"/>
            </w:tcBorders>
            <w:shd w:val="clear" w:color="auto" w:fill="CCCCCC"/>
          </w:tcPr>
          <w:p w14:paraId="038A519C" w14:textId="77777777" w:rsidR="000D34D0" w:rsidRDefault="000D34D0" w:rsidP="001A5D4A">
            <w:pPr>
              <w:pStyle w:val="NotesTable-CellBold"/>
            </w:pPr>
          </w:p>
        </w:tc>
        <w:tc>
          <w:tcPr>
            <w:tcW w:w="286" w:type="pct"/>
            <w:tcBorders>
              <w:top w:val="single" w:sz="4" w:space="0" w:color="auto"/>
              <w:bottom w:val="single" w:sz="8" w:space="0" w:color="CDCDCD"/>
              <w:right w:val="single" w:sz="8" w:space="0" w:color="CDCDCD"/>
            </w:tcBorders>
            <w:shd w:val="clear" w:color="auto" w:fill="CCCCCC"/>
          </w:tcPr>
          <w:p w14:paraId="038A519D" w14:textId="77777777" w:rsidR="000D34D0" w:rsidRDefault="000D34D0" w:rsidP="001A5D4A">
            <w:pPr>
              <w:pStyle w:val="NotesTable-CellPlain"/>
            </w:pPr>
          </w:p>
        </w:tc>
      </w:tr>
    </w:tbl>
    <w:p w14:paraId="038A51A0" w14:textId="1AB0EDA2" w:rsidR="00AD6BF4" w:rsidRPr="006D022E" w:rsidRDefault="00D86575" w:rsidP="001A5D4A">
      <w:r w:rsidRPr="006D022E">
        <w:t>#</w:t>
      </w:r>
      <w:r w:rsidR="0075542B" w:rsidRPr="006D022E">
        <w:t>6</w:t>
      </w:r>
      <w:r w:rsidRPr="006D022E">
        <w:t xml:space="preserve"> </w:t>
      </w:r>
      <w:proofErr w:type="gramStart"/>
      <w:r w:rsidRPr="006D022E">
        <w:t>The</w:t>
      </w:r>
      <w:proofErr w:type="gramEnd"/>
      <w:r w:rsidRPr="006D022E">
        <w:t xml:space="preserve"> reported surpluses for [program names] of $</w:t>
      </w:r>
      <w:proofErr w:type="spellStart"/>
      <w:r w:rsidRPr="006D022E">
        <w:t>x.xxx</w:t>
      </w:r>
      <w:proofErr w:type="spellEnd"/>
      <w:r w:rsidRPr="006D022E">
        <w:t xml:space="preserve"> million for </w:t>
      </w:r>
      <w:r w:rsidR="006864EC" w:rsidRPr="006D022E">
        <w:t>2014</w:t>
      </w:r>
      <w:r w:rsidRPr="006D022E">
        <w:t xml:space="preserve"> are expected to be rolled over for future use by </w:t>
      </w:r>
      <w:r w:rsidR="009C76B1" w:rsidRPr="006D022E">
        <w:t>Education</w:t>
      </w:r>
      <w:r w:rsidRPr="006D022E">
        <w:t xml:space="preserve"> and the surpluses for [program names] of $</w:t>
      </w:r>
      <w:proofErr w:type="spellStart"/>
      <w:r w:rsidRPr="006D022E">
        <w:t>x.xxx</w:t>
      </w:r>
      <w:proofErr w:type="spellEnd"/>
      <w:r w:rsidRPr="006D022E">
        <w:t xml:space="preserve"> million for </w:t>
      </w:r>
      <w:r w:rsidR="006864EC" w:rsidRPr="006D022E">
        <w:t>2014</w:t>
      </w:r>
      <w:r w:rsidRPr="006D022E">
        <w:t xml:space="preserve"> are expected to be returned to </w:t>
      </w:r>
      <w:r w:rsidR="009C76B1" w:rsidRPr="006D022E">
        <w:t>Education</w:t>
      </w:r>
      <w:r w:rsidRPr="006D022E">
        <w:t>.</w:t>
      </w:r>
    </w:p>
    <w:p w14:paraId="038A51A1" w14:textId="77777777" w:rsidR="00AD6BF4" w:rsidRPr="006D022E" w:rsidRDefault="00AD6BF4" w:rsidP="001A5D4A">
      <w:r w:rsidRPr="006D022E">
        <w:br w:type="page"/>
      </w:r>
    </w:p>
    <w:tbl>
      <w:tblPr>
        <w:tblW w:w="5000" w:type="pct"/>
        <w:tblLook w:val="0000" w:firstRow="0" w:lastRow="0" w:firstColumn="0" w:lastColumn="0" w:noHBand="0" w:noVBand="0"/>
      </w:tblPr>
      <w:tblGrid>
        <w:gridCol w:w="1664"/>
        <w:gridCol w:w="4293"/>
        <w:gridCol w:w="798"/>
        <w:gridCol w:w="1492"/>
        <w:gridCol w:w="942"/>
        <w:gridCol w:w="550"/>
        <w:gridCol w:w="1492"/>
        <w:gridCol w:w="1492"/>
        <w:gridCol w:w="1492"/>
        <w:gridCol w:w="1489"/>
      </w:tblGrid>
      <w:tr w:rsidR="004B7414" w14:paraId="038A51A5" w14:textId="77777777" w:rsidTr="004B7414">
        <w:trPr>
          <w:cantSplit/>
          <w:trHeight w:val="180"/>
        </w:trPr>
        <w:tc>
          <w:tcPr>
            <w:tcW w:w="5000" w:type="pct"/>
            <w:gridSpan w:val="10"/>
            <w:tcBorders>
              <w:right w:val="single" w:sz="8" w:space="0" w:color="CDCDCD"/>
            </w:tcBorders>
            <w:shd w:val="clear" w:color="auto" w:fill="auto"/>
          </w:tcPr>
          <w:p w14:paraId="038A51A4" w14:textId="5186C0EE"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8222DA" w14:paraId="038A51A9" w14:textId="77777777" w:rsidTr="00261A68">
        <w:trPr>
          <w:cantSplit/>
          <w:trHeight w:val="293"/>
        </w:trPr>
        <w:tc>
          <w:tcPr>
            <w:tcW w:w="530" w:type="pct"/>
            <w:tcBorders>
              <w:right w:val="single" w:sz="8" w:space="0" w:color="CDCDCD"/>
            </w:tcBorders>
          </w:tcPr>
          <w:p w14:paraId="135DDB6E" w14:textId="77777777" w:rsidR="004B7414" w:rsidRDefault="004B7414" w:rsidP="004B7414">
            <w:pPr>
              <w:pStyle w:val="Note-Refs"/>
              <w:rPr>
                <w:b/>
              </w:rPr>
            </w:pPr>
            <w:r>
              <w:t>MANDATORY</w:t>
            </w:r>
          </w:p>
          <w:p w14:paraId="038A51A6" w14:textId="12B7B8BF" w:rsidR="008222DA" w:rsidRDefault="004B7414" w:rsidP="004B7414">
            <w:pPr>
              <w:pStyle w:val="Note-Refs"/>
            </w:pPr>
            <w:r>
              <w:t>EDUCATION</w:t>
            </w:r>
          </w:p>
        </w:tc>
        <w:tc>
          <w:tcPr>
            <w:tcW w:w="2396" w:type="pct"/>
            <w:gridSpan w:val="4"/>
            <w:tcBorders>
              <w:left w:val="single" w:sz="8" w:space="0" w:color="CDCDCD"/>
              <w:right w:val="single" w:sz="8" w:space="0" w:color="CDCDCD"/>
            </w:tcBorders>
            <w:shd w:val="clear" w:color="auto" w:fill="CCCCCC"/>
          </w:tcPr>
          <w:p w14:paraId="19F7C13A" w14:textId="77777777" w:rsidR="008222DA" w:rsidRDefault="008222DA" w:rsidP="001A5D4A">
            <w:pPr>
              <w:pStyle w:val="NotesTable-AcquittalHeader"/>
              <w:rPr>
                <w:b w:val="0"/>
              </w:rPr>
            </w:pPr>
            <w:r>
              <w:t>53e Voluntary Student Unionism</w:t>
            </w:r>
          </w:p>
        </w:tc>
        <w:tc>
          <w:tcPr>
            <w:tcW w:w="2074" w:type="pct"/>
            <w:gridSpan w:val="5"/>
            <w:tcBorders>
              <w:left w:val="single" w:sz="8" w:space="0" w:color="CDCDCD"/>
              <w:right w:val="single" w:sz="8" w:space="0" w:color="CDCDCD"/>
            </w:tcBorders>
            <w:shd w:val="clear" w:color="auto" w:fill="CCCCCC"/>
          </w:tcPr>
          <w:p w14:paraId="038A51A8" w14:textId="10992B62" w:rsidR="008222DA" w:rsidRDefault="008222DA" w:rsidP="001A5D4A">
            <w:pPr>
              <w:pStyle w:val="NotesTable-ItemBold"/>
            </w:pPr>
            <w:r>
              <w:t>Parent entity (HEP) ONLY</w:t>
            </w:r>
            <w:r w:rsidDel="008222DA">
              <w:t xml:space="preserve"> </w:t>
            </w:r>
          </w:p>
        </w:tc>
      </w:tr>
      <w:tr w:rsidR="00271026" w14:paraId="5CC2B560" w14:textId="77777777" w:rsidTr="00261A68">
        <w:trPr>
          <w:cantSplit/>
          <w:trHeight w:val="293"/>
        </w:trPr>
        <w:tc>
          <w:tcPr>
            <w:tcW w:w="530" w:type="pct"/>
            <w:tcBorders>
              <w:right w:val="single" w:sz="8" w:space="0" w:color="CDCDCD"/>
            </w:tcBorders>
          </w:tcPr>
          <w:p w14:paraId="0154337C" w14:textId="77777777" w:rsidR="00271026" w:rsidRDefault="00271026" w:rsidP="001A5D4A">
            <w:pPr>
              <w:pStyle w:val="Note-Refs"/>
            </w:pPr>
          </w:p>
        </w:tc>
        <w:tc>
          <w:tcPr>
            <w:tcW w:w="1621" w:type="pct"/>
            <w:gridSpan w:val="2"/>
            <w:tcBorders>
              <w:left w:val="single" w:sz="8" w:space="0" w:color="CDCDCD"/>
            </w:tcBorders>
            <w:shd w:val="clear" w:color="auto" w:fill="CCCCCC"/>
          </w:tcPr>
          <w:p w14:paraId="1647DE10" w14:textId="77777777" w:rsidR="00271026" w:rsidRDefault="00271026" w:rsidP="001A5D4A">
            <w:pPr>
              <w:pStyle w:val="NotesTable-AcquittalHeader"/>
            </w:pPr>
          </w:p>
        </w:tc>
        <w:tc>
          <w:tcPr>
            <w:tcW w:w="2849" w:type="pct"/>
            <w:gridSpan w:val="7"/>
            <w:tcBorders>
              <w:right w:val="single" w:sz="8" w:space="0" w:color="CDCDCD"/>
            </w:tcBorders>
            <w:shd w:val="clear" w:color="auto" w:fill="CCCCCC"/>
          </w:tcPr>
          <w:p w14:paraId="5E1EC043" w14:textId="0D041E64" w:rsidR="00271026" w:rsidRDefault="00271026" w:rsidP="001A5D4A">
            <w:pPr>
              <w:pStyle w:val="NotesTable-HeadBold"/>
            </w:pPr>
          </w:p>
        </w:tc>
      </w:tr>
      <w:tr w:rsidR="000D34D0" w14:paraId="038A51AF" w14:textId="77777777" w:rsidTr="004B7414">
        <w:trPr>
          <w:cantSplit/>
          <w:trHeight w:val="256"/>
        </w:trPr>
        <w:tc>
          <w:tcPr>
            <w:tcW w:w="530" w:type="pct"/>
            <w:tcBorders>
              <w:right w:val="single" w:sz="8" w:space="0" w:color="CDCDCD"/>
            </w:tcBorders>
          </w:tcPr>
          <w:p w14:paraId="038A51AA" w14:textId="77777777" w:rsidR="000D34D0" w:rsidRDefault="000D34D0" w:rsidP="001A5D4A">
            <w:pPr>
              <w:pStyle w:val="Note-Refs"/>
            </w:pPr>
          </w:p>
        </w:tc>
        <w:tc>
          <w:tcPr>
            <w:tcW w:w="1621" w:type="pct"/>
            <w:gridSpan w:val="2"/>
            <w:tcBorders>
              <w:left w:val="single" w:sz="8" w:space="0" w:color="CDCDCD"/>
            </w:tcBorders>
            <w:shd w:val="clear" w:color="auto" w:fill="CCCCCC"/>
          </w:tcPr>
          <w:p w14:paraId="038A51AB" w14:textId="77777777" w:rsidR="000D34D0" w:rsidRDefault="000D34D0" w:rsidP="001A5D4A">
            <w:pPr>
              <w:pStyle w:val="NotesTable-ItemPlain"/>
            </w:pPr>
          </w:p>
        </w:tc>
        <w:tc>
          <w:tcPr>
            <w:tcW w:w="950" w:type="pct"/>
            <w:gridSpan w:val="3"/>
            <w:shd w:val="clear" w:color="auto" w:fill="CCCCCC"/>
          </w:tcPr>
          <w:p w14:paraId="038A51AC" w14:textId="77777777" w:rsidR="000D34D0" w:rsidRDefault="000D34D0" w:rsidP="001A5D4A">
            <w:pPr>
              <w:pStyle w:val="NotesTable-HeadPlain"/>
            </w:pPr>
            <w:r>
              <w:t>VSU Transition Fund</w:t>
            </w:r>
          </w:p>
        </w:tc>
        <w:tc>
          <w:tcPr>
            <w:tcW w:w="950" w:type="pct"/>
            <w:gridSpan w:val="2"/>
            <w:shd w:val="clear" w:color="auto" w:fill="CCCCCC"/>
          </w:tcPr>
          <w:p w14:paraId="038A51AD" w14:textId="77777777" w:rsidR="000D34D0" w:rsidRDefault="000D34D0" w:rsidP="001A5D4A">
            <w:pPr>
              <w:pStyle w:val="NotesTable-HeadPlain"/>
            </w:pPr>
            <w:r>
              <w:t>Support for Small Businesses</w:t>
            </w:r>
          </w:p>
        </w:tc>
        <w:tc>
          <w:tcPr>
            <w:tcW w:w="949" w:type="pct"/>
            <w:gridSpan w:val="2"/>
            <w:shd w:val="clear" w:color="auto" w:fill="CCCCCC"/>
          </w:tcPr>
          <w:p w14:paraId="038A51AE" w14:textId="77777777" w:rsidR="000D34D0" w:rsidRDefault="000D34D0" w:rsidP="001A5D4A">
            <w:pPr>
              <w:pStyle w:val="NotesTable-HeadPlain"/>
            </w:pPr>
            <w:r>
              <w:t>Total</w:t>
            </w:r>
          </w:p>
        </w:tc>
      </w:tr>
      <w:tr w:rsidR="000D34D0" w14:paraId="038A51B9" w14:textId="77777777" w:rsidTr="004B7414">
        <w:trPr>
          <w:cantSplit/>
          <w:trHeight w:val="255"/>
        </w:trPr>
        <w:tc>
          <w:tcPr>
            <w:tcW w:w="530" w:type="pct"/>
            <w:tcBorders>
              <w:right w:val="single" w:sz="8" w:space="0" w:color="CDCDCD"/>
            </w:tcBorders>
          </w:tcPr>
          <w:p w14:paraId="038A51B0" w14:textId="77777777" w:rsidR="000D34D0" w:rsidRDefault="000D34D0" w:rsidP="001A5D4A">
            <w:pPr>
              <w:pStyle w:val="Note-Refs"/>
            </w:pPr>
          </w:p>
        </w:tc>
        <w:tc>
          <w:tcPr>
            <w:tcW w:w="1367" w:type="pct"/>
            <w:tcBorders>
              <w:left w:val="single" w:sz="8" w:space="0" w:color="CDCDCD"/>
            </w:tcBorders>
            <w:shd w:val="clear" w:color="auto" w:fill="CCCCCC"/>
          </w:tcPr>
          <w:p w14:paraId="038A51B1" w14:textId="77777777" w:rsidR="000D34D0" w:rsidRDefault="000D34D0" w:rsidP="001A5D4A">
            <w:pPr>
              <w:pStyle w:val="NotesTable-ItemPlain"/>
            </w:pPr>
          </w:p>
        </w:tc>
        <w:tc>
          <w:tcPr>
            <w:tcW w:w="254" w:type="pct"/>
            <w:shd w:val="clear" w:color="auto" w:fill="CCCCCC"/>
          </w:tcPr>
          <w:p w14:paraId="038A51B2" w14:textId="77777777" w:rsidR="000D34D0" w:rsidRDefault="000D34D0" w:rsidP="001A5D4A">
            <w:pPr>
              <w:pStyle w:val="NotesTable-Notes"/>
            </w:pPr>
            <w:r>
              <w:t>Notes</w:t>
            </w:r>
          </w:p>
        </w:tc>
        <w:tc>
          <w:tcPr>
            <w:tcW w:w="475" w:type="pct"/>
            <w:shd w:val="clear" w:color="auto" w:fill="CCCCCC"/>
          </w:tcPr>
          <w:p w14:paraId="038A51B3" w14:textId="706373D3" w:rsidR="000D34D0" w:rsidRDefault="006864EC" w:rsidP="001A5D4A">
            <w:pPr>
              <w:pStyle w:val="NotesTable-HeadBold"/>
            </w:pPr>
            <w:r>
              <w:t>2014</w:t>
            </w:r>
          </w:p>
        </w:tc>
        <w:tc>
          <w:tcPr>
            <w:tcW w:w="475" w:type="pct"/>
            <w:gridSpan w:val="2"/>
            <w:shd w:val="clear" w:color="auto" w:fill="CCCCCC"/>
          </w:tcPr>
          <w:p w14:paraId="038A51B4" w14:textId="325F5D04" w:rsidR="000D34D0" w:rsidRDefault="006864EC" w:rsidP="001A5D4A">
            <w:pPr>
              <w:pStyle w:val="NotesTable-HeadPlain"/>
            </w:pPr>
            <w:r>
              <w:t>2013</w:t>
            </w:r>
          </w:p>
        </w:tc>
        <w:tc>
          <w:tcPr>
            <w:tcW w:w="475" w:type="pct"/>
            <w:shd w:val="clear" w:color="auto" w:fill="CCCCCC"/>
          </w:tcPr>
          <w:p w14:paraId="038A51B5" w14:textId="0F802392" w:rsidR="000D34D0" w:rsidRDefault="006864EC" w:rsidP="001A5D4A">
            <w:pPr>
              <w:pStyle w:val="NotesTable-HeadBold"/>
            </w:pPr>
            <w:r>
              <w:t>2014</w:t>
            </w:r>
          </w:p>
        </w:tc>
        <w:tc>
          <w:tcPr>
            <w:tcW w:w="475" w:type="pct"/>
            <w:shd w:val="clear" w:color="auto" w:fill="CCCCCC"/>
          </w:tcPr>
          <w:p w14:paraId="038A51B6" w14:textId="41E14598" w:rsidR="000D34D0" w:rsidRDefault="006864EC" w:rsidP="001A5D4A">
            <w:pPr>
              <w:pStyle w:val="NotesTable-HeadPlain"/>
            </w:pPr>
            <w:r>
              <w:t>2013</w:t>
            </w:r>
          </w:p>
        </w:tc>
        <w:tc>
          <w:tcPr>
            <w:tcW w:w="475" w:type="pct"/>
            <w:shd w:val="clear" w:color="auto" w:fill="CCCCCC"/>
          </w:tcPr>
          <w:p w14:paraId="038A51B7" w14:textId="7A37C2D7" w:rsidR="000D34D0" w:rsidRDefault="006864EC" w:rsidP="001A5D4A">
            <w:pPr>
              <w:pStyle w:val="NotesTable-HeadBold"/>
            </w:pPr>
            <w:r>
              <w:t>2014</w:t>
            </w:r>
          </w:p>
        </w:tc>
        <w:tc>
          <w:tcPr>
            <w:tcW w:w="474" w:type="pct"/>
            <w:shd w:val="clear" w:color="auto" w:fill="CCCCCC"/>
          </w:tcPr>
          <w:p w14:paraId="038A51B8" w14:textId="483A9E27" w:rsidR="000D34D0" w:rsidRDefault="006864EC" w:rsidP="001A5D4A">
            <w:pPr>
              <w:pStyle w:val="NotesTable-HeadPlain"/>
            </w:pPr>
            <w:r>
              <w:t>2013</w:t>
            </w:r>
          </w:p>
        </w:tc>
      </w:tr>
      <w:tr w:rsidR="000D34D0" w14:paraId="038A51C3" w14:textId="77777777" w:rsidTr="004B7414">
        <w:trPr>
          <w:cantSplit/>
          <w:trHeight w:val="255"/>
        </w:trPr>
        <w:tc>
          <w:tcPr>
            <w:tcW w:w="530" w:type="pct"/>
            <w:tcBorders>
              <w:right w:val="single" w:sz="8" w:space="0" w:color="CDCDCD"/>
            </w:tcBorders>
          </w:tcPr>
          <w:p w14:paraId="038A51BA" w14:textId="77777777" w:rsidR="000D34D0" w:rsidRDefault="000D34D0" w:rsidP="001A5D4A">
            <w:pPr>
              <w:pStyle w:val="Note-Refs"/>
            </w:pPr>
          </w:p>
        </w:tc>
        <w:tc>
          <w:tcPr>
            <w:tcW w:w="1367" w:type="pct"/>
            <w:tcBorders>
              <w:left w:val="single" w:sz="8" w:space="0" w:color="CDCDCD"/>
            </w:tcBorders>
            <w:shd w:val="clear" w:color="auto" w:fill="CCCCCC"/>
          </w:tcPr>
          <w:p w14:paraId="038A51BB" w14:textId="77777777" w:rsidR="000D34D0" w:rsidRDefault="000D34D0" w:rsidP="001A5D4A">
            <w:pPr>
              <w:pStyle w:val="NotesTable-ItemPlain"/>
            </w:pPr>
          </w:p>
        </w:tc>
        <w:tc>
          <w:tcPr>
            <w:tcW w:w="254" w:type="pct"/>
            <w:shd w:val="clear" w:color="auto" w:fill="CCCCCC"/>
          </w:tcPr>
          <w:p w14:paraId="038A51BC" w14:textId="77777777" w:rsidR="000D34D0" w:rsidRDefault="000D34D0" w:rsidP="001A5D4A">
            <w:pPr>
              <w:pStyle w:val="NotesTable-Notes"/>
            </w:pPr>
          </w:p>
        </w:tc>
        <w:tc>
          <w:tcPr>
            <w:tcW w:w="475" w:type="pct"/>
            <w:shd w:val="clear" w:color="auto" w:fill="CCCCCC"/>
          </w:tcPr>
          <w:p w14:paraId="038A51BD" w14:textId="77777777" w:rsidR="000D34D0" w:rsidRDefault="000D34D0" w:rsidP="001A5D4A">
            <w:pPr>
              <w:pStyle w:val="NotesTable-HeadBold"/>
            </w:pPr>
            <w:r>
              <w:t>$’000</w:t>
            </w:r>
          </w:p>
        </w:tc>
        <w:tc>
          <w:tcPr>
            <w:tcW w:w="475" w:type="pct"/>
            <w:gridSpan w:val="2"/>
            <w:shd w:val="clear" w:color="auto" w:fill="CCCCCC"/>
          </w:tcPr>
          <w:p w14:paraId="038A51BE" w14:textId="77777777" w:rsidR="000D34D0" w:rsidRDefault="000D34D0" w:rsidP="001A5D4A">
            <w:pPr>
              <w:pStyle w:val="NotesTable-HeadPlain"/>
            </w:pPr>
            <w:r>
              <w:t>$’000</w:t>
            </w:r>
          </w:p>
        </w:tc>
        <w:tc>
          <w:tcPr>
            <w:tcW w:w="475" w:type="pct"/>
            <w:shd w:val="clear" w:color="auto" w:fill="CCCCCC"/>
          </w:tcPr>
          <w:p w14:paraId="038A51BF" w14:textId="77777777" w:rsidR="000D34D0" w:rsidRDefault="000D34D0" w:rsidP="001A5D4A">
            <w:pPr>
              <w:pStyle w:val="NotesTable-HeadBold"/>
            </w:pPr>
            <w:r>
              <w:t>$’000</w:t>
            </w:r>
          </w:p>
        </w:tc>
        <w:tc>
          <w:tcPr>
            <w:tcW w:w="475" w:type="pct"/>
            <w:shd w:val="clear" w:color="auto" w:fill="CCCCCC"/>
          </w:tcPr>
          <w:p w14:paraId="038A51C0" w14:textId="77777777" w:rsidR="000D34D0" w:rsidRDefault="000D34D0" w:rsidP="001A5D4A">
            <w:pPr>
              <w:pStyle w:val="NotesTable-HeadPlain"/>
            </w:pPr>
            <w:r>
              <w:t>$’000</w:t>
            </w:r>
          </w:p>
        </w:tc>
        <w:tc>
          <w:tcPr>
            <w:tcW w:w="475" w:type="pct"/>
            <w:shd w:val="clear" w:color="auto" w:fill="CCCCCC"/>
          </w:tcPr>
          <w:p w14:paraId="038A51C1" w14:textId="77777777" w:rsidR="000D34D0" w:rsidRDefault="000D34D0" w:rsidP="001A5D4A">
            <w:pPr>
              <w:pStyle w:val="NotesTable-HeadBold"/>
            </w:pPr>
            <w:r>
              <w:t>$’000</w:t>
            </w:r>
          </w:p>
        </w:tc>
        <w:tc>
          <w:tcPr>
            <w:tcW w:w="474" w:type="pct"/>
            <w:shd w:val="clear" w:color="auto" w:fill="CCCCCC"/>
          </w:tcPr>
          <w:p w14:paraId="038A51C2" w14:textId="77777777" w:rsidR="000D34D0" w:rsidRDefault="000D34D0" w:rsidP="001A5D4A">
            <w:pPr>
              <w:pStyle w:val="NotesTable-HeadPlain"/>
            </w:pPr>
            <w:r>
              <w:t>$’000</w:t>
            </w:r>
          </w:p>
        </w:tc>
      </w:tr>
      <w:tr w:rsidR="000D34D0" w14:paraId="038A51CD" w14:textId="77777777" w:rsidTr="004B7414">
        <w:trPr>
          <w:cantSplit/>
          <w:trHeight w:val="255"/>
        </w:trPr>
        <w:tc>
          <w:tcPr>
            <w:tcW w:w="530" w:type="pct"/>
            <w:tcBorders>
              <w:right w:val="single" w:sz="8" w:space="0" w:color="CDCDCD"/>
            </w:tcBorders>
          </w:tcPr>
          <w:p w14:paraId="038A51C4" w14:textId="77777777" w:rsidR="000D34D0" w:rsidRDefault="000D34D0" w:rsidP="001A5D4A">
            <w:pPr>
              <w:pStyle w:val="Note-Refs"/>
            </w:pPr>
            <w:r>
              <w:t>A</w:t>
            </w:r>
          </w:p>
        </w:tc>
        <w:tc>
          <w:tcPr>
            <w:tcW w:w="1367" w:type="pct"/>
            <w:tcBorders>
              <w:left w:val="single" w:sz="8" w:space="0" w:color="CDCDCD"/>
            </w:tcBorders>
            <w:shd w:val="clear" w:color="auto" w:fill="CCCCCC"/>
          </w:tcPr>
          <w:p w14:paraId="038A51C5" w14:textId="77777777" w:rsidR="000D34D0" w:rsidRDefault="000D34D0" w:rsidP="001A5D4A">
            <w:pPr>
              <w:pStyle w:val="NotesTable-ItemPlain"/>
              <w:rPr>
                <w:b/>
              </w:rPr>
            </w:pPr>
            <w:r>
              <w:t>Financial assistance received in CASH during the reporting period (total cash received from the Australian Government for the program)</w:t>
            </w:r>
          </w:p>
        </w:tc>
        <w:tc>
          <w:tcPr>
            <w:tcW w:w="254" w:type="pct"/>
            <w:shd w:val="clear" w:color="auto" w:fill="CCCCCC"/>
          </w:tcPr>
          <w:p w14:paraId="038A51C6" w14:textId="77777777" w:rsidR="000D34D0" w:rsidRDefault="000D34D0" w:rsidP="001A5D4A">
            <w:pPr>
              <w:pStyle w:val="NotesTable-Notes"/>
            </w:pPr>
          </w:p>
        </w:tc>
        <w:tc>
          <w:tcPr>
            <w:tcW w:w="475" w:type="pct"/>
            <w:shd w:val="clear" w:color="auto" w:fill="CCCCCC"/>
            <w:vAlign w:val="bottom"/>
          </w:tcPr>
          <w:p w14:paraId="038A51C7" w14:textId="77777777" w:rsidR="000D34D0" w:rsidRDefault="000D34D0" w:rsidP="001A5D4A">
            <w:pPr>
              <w:pStyle w:val="NotesTable-CellBold"/>
            </w:pPr>
            <w:r>
              <w:t>–</w:t>
            </w:r>
          </w:p>
        </w:tc>
        <w:tc>
          <w:tcPr>
            <w:tcW w:w="475" w:type="pct"/>
            <w:gridSpan w:val="2"/>
            <w:shd w:val="clear" w:color="auto" w:fill="CCCCCC"/>
            <w:vAlign w:val="bottom"/>
          </w:tcPr>
          <w:p w14:paraId="038A51C8" w14:textId="77777777" w:rsidR="000D34D0" w:rsidRDefault="000D34D0" w:rsidP="001A5D4A">
            <w:pPr>
              <w:pStyle w:val="NotesTable-CellPlain"/>
            </w:pPr>
            <w:r>
              <w:t>–</w:t>
            </w:r>
          </w:p>
        </w:tc>
        <w:tc>
          <w:tcPr>
            <w:tcW w:w="475" w:type="pct"/>
            <w:shd w:val="clear" w:color="auto" w:fill="CCCCCC"/>
            <w:vAlign w:val="bottom"/>
          </w:tcPr>
          <w:p w14:paraId="038A51C9" w14:textId="77777777" w:rsidR="000D34D0" w:rsidRDefault="000D34D0" w:rsidP="001A5D4A">
            <w:pPr>
              <w:pStyle w:val="NotesTable-CellBold"/>
            </w:pPr>
            <w:r>
              <w:t>–</w:t>
            </w:r>
          </w:p>
        </w:tc>
        <w:tc>
          <w:tcPr>
            <w:tcW w:w="475" w:type="pct"/>
            <w:shd w:val="clear" w:color="auto" w:fill="CCCCCC"/>
            <w:vAlign w:val="bottom"/>
          </w:tcPr>
          <w:p w14:paraId="038A51CA" w14:textId="77777777" w:rsidR="000D34D0" w:rsidRDefault="000D34D0" w:rsidP="001A5D4A">
            <w:pPr>
              <w:pStyle w:val="NotesTable-CellPlain"/>
            </w:pPr>
            <w:r>
              <w:t>–</w:t>
            </w:r>
          </w:p>
        </w:tc>
        <w:tc>
          <w:tcPr>
            <w:tcW w:w="475" w:type="pct"/>
            <w:shd w:val="clear" w:color="auto" w:fill="CCCCCC"/>
            <w:vAlign w:val="bottom"/>
          </w:tcPr>
          <w:p w14:paraId="038A51CB" w14:textId="77777777" w:rsidR="000D34D0" w:rsidRDefault="000D34D0" w:rsidP="001A5D4A">
            <w:pPr>
              <w:pStyle w:val="NotesTable-CellBold"/>
            </w:pPr>
            <w:r>
              <w:t>–</w:t>
            </w:r>
          </w:p>
        </w:tc>
        <w:tc>
          <w:tcPr>
            <w:tcW w:w="474" w:type="pct"/>
            <w:shd w:val="clear" w:color="auto" w:fill="CCCCCC"/>
            <w:vAlign w:val="bottom"/>
          </w:tcPr>
          <w:p w14:paraId="038A51CC" w14:textId="77777777" w:rsidR="000D34D0" w:rsidRDefault="000D34D0" w:rsidP="001A5D4A">
            <w:pPr>
              <w:pStyle w:val="NotesTable-CellPlain"/>
            </w:pPr>
            <w:r>
              <w:t>–</w:t>
            </w:r>
          </w:p>
        </w:tc>
      </w:tr>
      <w:tr w:rsidR="000D34D0" w14:paraId="038A51D7" w14:textId="77777777" w:rsidTr="004B7414">
        <w:trPr>
          <w:cantSplit/>
          <w:trHeight w:val="255"/>
        </w:trPr>
        <w:tc>
          <w:tcPr>
            <w:tcW w:w="530" w:type="pct"/>
            <w:tcBorders>
              <w:right w:val="single" w:sz="8" w:space="0" w:color="CDCDCD"/>
            </w:tcBorders>
          </w:tcPr>
          <w:p w14:paraId="038A51CE" w14:textId="77777777" w:rsidR="000D34D0" w:rsidRDefault="000D34D0" w:rsidP="001A5D4A">
            <w:pPr>
              <w:pStyle w:val="Note-Refs"/>
            </w:pPr>
            <w:r>
              <w:t>B</w:t>
            </w:r>
          </w:p>
        </w:tc>
        <w:tc>
          <w:tcPr>
            <w:tcW w:w="1367" w:type="pct"/>
            <w:tcBorders>
              <w:left w:val="single" w:sz="8" w:space="0" w:color="CDCDCD"/>
            </w:tcBorders>
            <w:shd w:val="clear" w:color="auto" w:fill="CCCCCC"/>
          </w:tcPr>
          <w:p w14:paraId="038A51CF" w14:textId="77777777" w:rsidR="000D34D0" w:rsidRDefault="000D34D0" w:rsidP="001A5D4A">
            <w:pPr>
              <w:pStyle w:val="NotesTable-ItemPlain"/>
              <w:rPr>
                <w:b/>
              </w:rPr>
            </w:pPr>
            <w:r>
              <w:t>Net accrual adjustments</w:t>
            </w:r>
          </w:p>
        </w:tc>
        <w:tc>
          <w:tcPr>
            <w:tcW w:w="254" w:type="pct"/>
            <w:shd w:val="clear" w:color="auto" w:fill="CCCCCC"/>
          </w:tcPr>
          <w:p w14:paraId="038A51D0" w14:textId="77777777" w:rsidR="000D34D0" w:rsidRDefault="000D34D0" w:rsidP="001A5D4A">
            <w:pPr>
              <w:pStyle w:val="NotesTable-Notes"/>
            </w:pPr>
          </w:p>
        </w:tc>
        <w:tc>
          <w:tcPr>
            <w:tcW w:w="475" w:type="pct"/>
            <w:tcBorders>
              <w:bottom w:val="single" w:sz="4" w:space="0" w:color="000000"/>
            </w:tcBorders>
            <w:shd w:val="clear" w:color="auto" w:fill="CCCCCC"/>
          </w:tcPr>
          <w:p w14:paraId="038A51D1" w14:textId="77777777" w:rsidR="000D34D0" w:rsidRDefault="000D34D0" w:rsidP="001A5D4A">
            <w:pPr>
              <w:pStyle w:val="NotesTable-CellBold"/>
            </w:pPr>
            <w:r>
              <w:t>–</w:t>
            </w:r>
          </w:p>
        </w:tc>
        <w:tc>
          <w:tcPr>
            <w:tcW w:w="475" w:type="pct"/>
            <w:gridSpan w:val="2"/>
            <w:tcBorders>
              <w:bottom w:val="single" w:sz="4" w:space="0" w:color="000000"/>
            </w:tcBorders>
            <w:shd w:val="clear" w:color="auto" w:fill="CCCCCC"/>
          </w:tcPr>
          <w:p w14:paraId="038A51D2"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1D3" w14:textId="77777777" w:rsidR="000D34D0" w:rsidRDefault="000D34D0" w:rsidP="001A5D4A">
            <w:pPr>
              <w:pStyle w:val="NotesTable-CellBold"/>
            </w:pPr>
            <w:r>
              <w:t>–</w:t>
            </w:r>
          </w:p>
        </w:tc>
        <w:tc>
          <w:tcPr>
            <w:tcW w:w="475" w:type="pct"/>
            <w:tcBorders>
              <w:bottom w:val="single" w:sz="4" w:space="0" w:color="000000"/>
            </w:tcBorders>
            <w:shd w:val="clear" w:color="auto" w:fill="CCCCCC"/>
          </w:tcPr>
          <w:p w14:paraId="038A51D4"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1D5" w14:textId="77777777" w:rsidR="000D34D0" w:rsidRDefault="000D34D0" w:rsidP="001A5D4A">
            <w:pPr>
              <w:pStyle w:val="NotesTable-CellBold"/>
            </w:pPr>
            <w:r>
              <w:t>–</w:t>
            </w:r>
          </w:p>
        </w:tc>
        <w:tc>
          <w:tcPr>
            <w:tcW w:w="474" w:type="pct"/>
            <w:tcBorders>
              <w:bottom w:val="single" w:sz="4" w:space="0" w:color="000000"/>
            </w:tcBorders>
            <w:shd w:val="clear" w:color="auto" w:fill="CCCCCC"/>
          </w:tcPr>
          <w:p w14:paraId="038A51D6" w14:textId="77777777" w:rsidR="000D34D0" w:rsidRDefault="000D34D0" w:rsidP="001A5D4A">
            <w:pPr>
              <w:pStyle w:val="NotesTable-CellPlain"/>
            </w:pPr>
            <w:r>
              <w:t>–</w:t>
            </w:r>
          </w:p>
        </w:tc>
      </w:tr>
      <w:tr w:rsidR="000D34D0" w14:paraId="038A51E1" w14:textId="77777777" w:rsidTr="004B7414">
        <w:trPr>
          <w:cantSplit/>
          <w:trHeight w:val="255"/>
        </w:trPr>
        <w:tc>
          <w:tcPr>
            <w:tcW w:w="530" w:type="pct"/>
            <w:tcBorders>
              <w:right w:val="single" w:sz="8" w:space="0" w:color="CDCDCD"/>
            </w:tcBorders>
          </w:tcPr>
          <w:p w14:paraId="038A51D8" w14:textId="77777777" w:rsidR="000D34D0" w:rsidRDefault="000D34D0" w:rsidP="001A5D4A">
            <w:pPr>
              <w:pStyle w:val="Note-Refs"/>
              <w:rPr>
                <w:b/>
              </w:rPr>
            </w:pPr>
            <w:r>
              <w:t>C = A + B</w:t>
            </w:r>
          </w:p>
        </w:tc>
        <w:tc>
          <w:tcPr>
            <w:tcW w:w="1367" w:type="pct"/>
            <w:tcBorders>
              <w:left w:val="single" w:sz="8" w:space="0" w:color="CDCDCD"/>
            </w:tcBorders>
            <w:shd w:val="clear" w:color="auto" w:fill="CCCCCC"/>
          </w:tcPr>
          <w:p w14:paraId="038A51D9" w14:textId="77777777" w:rsidR="000D34D0" w:rsidRDefault="000D34D0" w:rsidP="001A5D4A">
            <w:pPr>
              <w:pStyle w:val="NotesTable-ItemPlain"/>
              <w:rPr>
                <w:b/>
              </w:rPr>
            </w:pPr>
            <w:r>
              <w:t>Revenue for the period</w:t>
            </w:r>
          </w:p>
        </w:tc>
        <w:tc>
          <w:tcPr>
            <w:tcW w:w="254" w:type="pct"/>
            <w:shd w:val="clear" w:color="auto" w:fill="CCCCCC"/>
          </w:tcPr>
          <w:p w14:paraId="038A51DA" w14:textId="77777777" w:rsidR="000D34D0" w:rsidRDefault="000D34D0" w:rsidP="001A5D4A">
            <w:pPr>
              <w:pStyle w:val="NotesTable-Notes"/>
            </w:pPr>
            <w:r>
              <w:t>3(e)</w:t>
            </w:r>
          </w:p>
        </w:tc>
        <w:tc>
          <w:tcPr>
            <w:tcW w:w="475" w:type="pct"/>
            <w:tcBorders>
              <w:top w:val="single" w:sz="4" w:space="0" w:color="000000"/>
            </w:tcBorders>
            <w:shd w:val="clear" w:color="auto" w:fill="CCCCCC"/>
          </w:tcPr>
          <w:p w14:paraId="038A51DB" w14:textId="77777777" w:rsidR="000D34D0" w:rsidRDefault="000D34D0" w:rsidP="001A5D4A">
            <w:pPr>
              <w:pStyle w:val="NotesTable-CellBold"/>
            </w:pPr>
            <w:r>
              <w:t>–</w:t>
            </w:r>
          </w:p>
        </w:tc>
        <w:tc>
          <w:tcPr>
            <w:tcW w:w="475" w:type="pct"/>
            <w:gridSpan w:val="2"/>
            <w:tcBorders>
              <w:top w:val="single" w:sz="4" w:space="0" w:color="000000"/>
            </w:tcBorders>
            <w:shd w:val="clear" w:color="auto" w:fill="CCCCCC"/>
          </w:tcPr>
          <w:p w14:paraId="038A51DC" w14:textId="77777777" w:rsidR="000D34D0" w:rsidRDefault="000D34D0" w:rsidP="001A5D4A">
            <w:pPr>
              <w:pStyle w:val="NotesTable-CellPlain"/>
            </w:pPr>
            <w:r>
              <w:t>–</w:t>
            </w:r>
          </w:p>
        </w:tc>
        <w:tc>
          <w:tcPr>
            <w:tcW w:w="475" w:type="pct"/>
            <w:tcBorders>
              <w:top w:val="single" w:sz="4" w:space="0" w:color="000000"/>
            </w:tcBorders>
            <w:shd w:val="clear" w:color="auto" w:fill="CCCCCC"/>
          </w:tcPr>
          <w:p w14:paraId="038A51DD" w14:textId="77777777" w:rsidR="000D34D0" w:rsidRDefault="000D34D0" w:rsidP="001A5D4A">
            <w:pPr>
              <w:pStyle w:val="NotesTable-CellBold"/>
            </w:pPr>
            <w:r>
              <w:t>–</w:t>
            </w:r>
          </w:p>
        </w:tc>
        <w:tc>
          <w:tcPr>
            <w:tcW w:w="475" w:type="pct"/>
            <w:tcBorders>
              <w:top w:val="single" w:sz="4" w:space="0" w:color="000000"/>
            </w:tcBorders>
            <w:shd w:val="clear" w:color="auto" w:fill="CCCCCC"/>
          </w:tcPr>
          <w:p w14:paraId="038A51DE" w14:textId="77777777" w:rsidR="000D34D0" w:rsidRDefault="000D34D0" w:rsidP="001A5D4A">
            <w:pPr>
              <w:pStyle w:val="NotesTable-CellPlain"/>
            </w:pPr>
            <w:r>
              <w:t>–</w:t>
            </w:r>
          </w:p>
        </w:tc>
        <w:tc>
          <w:tcPr>
            <w:tcW w:w="475" w:type="pct"/>
            <w:tcBorders>
              <w:top w:val="single" w:sz="4" w:space="0" w:color="000000"/>
            </w:tcBorders>
            <w:shd w:val="clear" w:color="auto" w:fill="CCCCCC"/>
          </w:tcPr>
          <w:p w14:paraId="038A51DF" w14:textId="77777777" w:rsidR="000D34D0" w:rsidRDefault="000D34D0" w:rsidP="001A5D4A">
            <w:pPr>
              <w:pStyle w:val="NotesTable-CellBold"/>
            </w:pPr>
            <w:r>
              <w:t>–</w:t>
            </w:r>
          </w:p>
        </w:tc>
        <w:tc>
          <w:tcPr>
            <w:tcW w:w="474" w:type="pct"/>
            <w:tcBorders>
              <w:top w:val="single" w:sz="4" w:space="0" w:color="000000"/>
            </w:tcBorders>
            <w:shd w:val="clear" w:color="auto" w:fill="CCCCCC"/>
          </w:tcPr>
          <w:p w14:paraId="038A51E0" w14:textId="77777777" w:rsidR="000D34D0" w:rsidRDefault="000D34D0" w:rsidP="001A5D4A">
            <w:pPr>
              <w:pStyle w:val="NotesTable-CellPlain"/>
            </w:pPr>
            <w:r>
              <w:t>–</w:t>
            </w:r>
          </w:p>
        </w:tc>
      </w:tr>
      <w:tr w:rsidR="000D34D0" w14:paraId="038A51EB" w14:textId="77777777" w:rsidTr="004B7414">
        <w:trPr>
          <w:cantSplit/>
          <w:trHeight w:val="255"/>
        </w:trPr>
        <w:tc>
          <w:tcPr>
            <w:tcW w:w="530" w:type="pct"/>
            <w:tcBorders>
              <w:right w:val="single" w:sz="8" w:space="0" w:color="CDCDCD"/>
            </w:tcBorders>
          </w:tcPr>
          <w:p w14:paraId="038A51E2" w14:textId="77777777" w:rsidR="000D34D0" w:rsidRDefault="000D34D0" w:rsidP="001A5D4A">
            <w:pPr>
              <w:pStyle w:val="Note-Refs"/>
            </w:pPr>
          </w:p>
        </w:tc>
        <w:tc>
          <w:tcPr>
            <w:tcW w:w="1367" w:type="pct"/>
            <w:tcBorders>
              <w:left w:val="single" w:sz="8" w:space="0" w:color="CDCDCD"/>
            </w:tcBorders>
            <w:shd w:val="clear" w:color="auto" w:fill="CCCCCC"/>
          </w:tcPr>
          <w:p w14:paraId="038A51E3" w14:textId="77777777" w:rsidR="000D34D0" w:rsidRDefault="000D34D0" w:rsidP="001A5D4A">
            <w:pPr>
              <w:pStyle w:val="NotesTable-ItemPlain"/>
            </w:pPr>
          </w:p>
        </w:tc>
        <w:tc>
          <w:tcPr>
            <w:tcW w:w="254" w:type="pct"/>
            <w:shd w:val="clear" w:color="auto" w:fill="CCCCCC"/>
          </w:tcPr>
          <w:p w14:paraId="038A51E4" w14:textId="77777777" w:rsidR="000D34D0" w:rsidRDefault="000D34D0" w:rsidP="001A5D4A">
            <w:pPr>
              <w:pStyle w:val="NotesTable-Notes"/>
            </w:pPr>
          </w:p>
        </w:tc>
        <w:tc>
          <w:tcPr>
            <w:tcW w:w="475" w:type="pct"/>
            <w:shd w:val="clear" w:color="auto" w:fill="CCCCCC"/>
          </w:tcPr>
          <w:p w14:paraId="038A51E5" w14:textId="77777777" w:rsidR="000D34D0" w:rsidRDefault="000D34D0" w:rsidP="001A5D4A">
            <w:pPr>
              <w:pStyle w:val="NotesTable-CellBold"/>
            </w:pPr>
          </w:p>
        </w:tc>
        <w:tc>
          <w:tcPr>
            <w:tcW w:w="475" w:type="pct"/>
            <w:gridSpan w:val="2"/>
            <w:shd w:val="clear" w:color="auto" w:fill="CCCCCC"/>
          </w:tcPr>
          <w:p w14:paraId="038A51E6" w14:textId="77777777" w:rsidR="000D34D0" w:rsidRDefault="000D34D0" w:rsidP="001A5D4A">
            <w:pPr>
              <w:pStyle w:val="NotesTable-CellPlain"/>
            </w:pPr>
          </w:p>
        </w:tc>
        <w:tc>
          <w:tcPr>
            <w:tcW w:w="475" w:type="pct"/>
            <w:shd w:val="clear" w:color="auto" w:fill="CCCCCC"/>
          </w:tcPr>
          <w:p w14:paraId="038A51E7" w14:textId="77777777" w:rsidR="000D34D0" w:rsidRDefault="000D34D0" w:rsidP="001A5D4A">
            <w:pPr>
              <w:pStyle w:val="NotesTable-CellBold"/>
            </w:pPr>
          </w:p>
        </w:tc>
        <w:tc>
          <w:tcPr>
            <w:tcW w:w="475" w:type="pct"/>
            <w:shd w:val="clear" w:color="auto" w:fill="CCCCCC"/>
          </w:tcPr>
          <w:p w14:paraId="038A51E8" w14:textId="77777777" w:rsidR="000D34D0" w:rsidRDefault="000D34D0" w:rsidP="001A5D4A">
            <w:pPr>
              <w:pStyle w:val="NotesTable-CellPlain"/>
            </w:pPr>
          </w:p>
        </w:tc>
        <w:tc>
          <w:tcPr>
            <w:tcW w:w="475" w:type="pct"/>
            <w:shd w:val="clear" w:color="auto" w:fill="CCCCCC"/>
          </w:tcPr>
          <w:p w14:paraId="038A51E9" w14:textId="77777777" w:rsidR="000D34D0" w:rsidRDefault="000D34D0" w:rsidP="001A5D4A">
            <w:pPr>
              <w:pStyle w:val="NotesTable-CellBold"/>
            </w:pPr>
          </w:p>
        </w:tc>
        <w:tc>
          <w:tcPr>
            <w:tcW w:w="474" w:type="pct"/>
            <w:shd w:val="clear" w:color="auto" w:fill="CCCCCC"/>
          </w:tcPr>
          <w:p w14:paraId="038A51EA" w14:textId="77777777" w:rsidR="000D34D0" w:rsidRDefault="000D34D0" w:rsidP="001A5D4A">
            <w:pPr>
              <w:pStyle w:val="NotesTable-CellPlain"/>
            </w:pPr>
          </w:p>
        </w:tc>
      </w:tr>
      <w:tr w:rsidR="000D34D0" w14:paraId="038A51F5" w14:textId="77777777" w:rsidTr="004B7414">
        <w:trPr>
          <w:cantSplit/>
          <w:trHeight w:val="255"/>
        </w:trPr>
        <w:tc>
          <w:tcPr>
            <w:tcW w:w="530" w:type="pct"/>
            <w:tcBorders>
              <w:right w:val="single" w:sz="8" w:space="0" w:color="CDCDCD"/>
            </w:tcBorders>
          </w:tcPr>
          <w:p w14:paraId="038A51EC" w14:textId="77777777" w:rsidR="000D34D0" w:rsidRDefault="000D34D0" w:rsidP="001A5D4A">
            <w:pPr>
              <w:pStyle w:val="Note-Refs"/>
            </w:pPr>
            <w:r>
              <w:t>D</w:t>
            </w:r>
          </w:p>
        </w:tc>
        <w:tc>
          <w:tcPr>
            <w:tcW w:w="1367" w:type="pct"/>
            <w:tcBorders>
              <w:left w:val="single" w:sz="8" w:space="0" w:color="CDCDCD"/>
            </w:tcBorders>
            <w:shd w:val="clear" w:color="auto" w:fill="CCCCCC"/>
          </w:tcPr>
          <w:p w14:paraId="038A51ED" w14:textId="77777777" w:rsidR="000D34D0" w:rsidRDefault="000D34D0" w:rsidP="001A5D4A">
            <w:pPr>
              <w:pStyle w:val="NotesTable-ItemPlain"/>
              <w:rPr>
                <w:b/>
              </w:rPr>
            </w:pPr>
            <w:r>
              <w:t>Surplus / (deficit) from the previous year</w:t>
            </w:r>
          </w:p>
        </w:tc>
        <w:tc>
          <w:tcPr>
            <w:tcW w:w="254" w:type="pct"/>
            <w:shd w:val="clear" w:color="auto" w:fill="CCCCCC"/>
          </w:tcPr>
          <w:p w14:paraId="038A51EE" w14:textId="77777777" w:rsidR="000D34D0" w:rsidRDefault="000D34D0" w:rsidP="001A5D4A">
            <w:pPr>
              <w:pStyle w:val="NotesTable-Notes"/>
            </w:pPr>
          </w:p>
        </w:tc>
        <w:tc>
          <w:tcPr>
            <w:tcW w:w="475" w:type="pct"/>
            <w:tcBorders>
              <w:bottom w:val="single" w:sz="4" w:space="0" w:color="000000"/>
            </w:tcBorders>
            <w:shd w:val="clear" w:color="auto" w:fill="CCCCCC"/>
          </w:tcPr>
          <w:p w14:paraId="038A51EF" w14:textId="77777777" w:rsidR="000D34D0" w:rsidRDefault="000D34D0" w:rsidP="001A5D4A">
            <w:pPr>
              <w:pStyle w:val="NotesTable-CellBold"/>
            </w:pPr>
            <w:r>
              <w:t>–</w:t>
            </w:r>
          </w:p>
        </w:tc>
        <w:tc>
          <w:tcPr>
            <w:tcW w:w="475" w:type="pct"/>
            <w:gridSpan w:val="2"/>
            <w:tcBorders>
              <w:bottom w:val="single" w:sz="4" w:space="0" w:color="000000"/>
            </w:tcBorders>
            <w:shd w:val="clear" w:color="auto" w:fill="CCCCCC"/>
          </w:tcPr>
          <w:p w14:paraId="038A51F0"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1F1" w14:textId="77777777" w:rsidR="000D34D0" w:rsidRDefault="000D34D0" w:rsidP="001A5D4A">
            <w:pPr>
              <w:pStyle w:val="NotesTable-CellBold"/>
            </w:pPr>
            <w:r>
              <w:t>–</w:t>
            </w:r>
          </w:p>
        </w:tc>
        <w:tc>
          <w:tcPr>
            <w:tcW w:w="475" w:type="pct"/>
            <w:tcBorders>
              <w:bottom w:val="single" w:sz="4" w:space="0" w:color="000000"/>
            </w:tcBorders>
            <w:shd w:val="clear" w:color="auto" w:fill="CCCCCC"/>
          </w:tcPr>
          <w:p w14:paraId="038A51F2"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1F3" w14:textId="77777777" w:rsidR="000D34D0" w:rsidRDefault="000D34D0" w:rsidP="001A5D4A">
            <w:pPr>
              <w:pStyle w:val="NotesTable-CellBold"/>
            </w:pPr>
            <w:r>
              <w:t>–</w:t>
            </w:r>
          </w:p>
        </w:tc>
        <w:tc>
          <w:tcPr>
            <w:tcW w:w="474" w:type="pct"/>
            <w:tcBorders>
              <w:bottom w:val="single" w:sz="4" w:space="0" w:color="000000"/>
            </w:tcBorders>
            <w:shd w:val="clear" w:color="auto" w:fill="CCCCCC"/>
          </w:tcPr>
          <w:p w14:paraId="038A51F4" w14:textId="77777777" w:rsidR="000D34D0" w:rsidRDefault="000D34D0" w:rsidP="001A5D4A">
            <w:pPr>
              <w:pStyle w:val="NotesTable-CellPlain"/>
            </w:pPr>
            <w:r>
              <w:t>–</w:t>
            </w:r>
          </w:p>
        </w:tc>
      </w:tr>
      <w:tr w:rsidR="000D34D0" w14:paraId="038A51FF" w14:textId="77777777" w:rsidTr="004B7414">
        <w:trPr>
          <w:cantSplit/>
          <w:trHeight w:val="255"/>
        </w:trPr>
        <w:tc>
          <w:tcPr>
            <w:tcW w:w="530" w:type="pct"/>
            <w:tcBorders>
              <w:right w:val="single" w:sz="8" w:space="0" w:color="CDCDCD"/>
            </w:tcBorders>
          </w:tcPr>
          <w:p w14:paraId="038A51F6" w14:textId="77777777" w:rsidR="000D34D0" w:rsidRDefault="000D34D0" w:rsidP="001A5D4A">
            <w:pPr>
              <w:pStyle w:val="Note-Refs"/>
              <w:rPr>
                <w:b/>
              </w:rPr>
            </w:pPr>
            <w:r>
              <w:t>E = C + D</w:t>
            </w:r>
          </w:p>
        </w:tc>
        <w:tc>
          <w:tcPr>
            <w:tcW w:w="1367" w:type="pct"/>
            <w:tcBorders>
              <w:left w:val="single" w:sz="8" w:space="0" w:color="CDCDCD"/>
            </w:tcBorders>
            <w:shd w:val="clear" w:color="auto" w:fill="CCCCCC"/>
          </w:tcPr>
          <w:p w14:paraId="038A51F7" w14:textId="77777777" w:rsidR="000D34D0" w:rsidRDefault="000D34D0" w:rsidP="001A5D4A">
            <w:pPr>
              <w:pStyle w:val="NotesTable-ItemPlain"/>
              <w:rPr>
                <w:b/>
              </w:rPr>
            </w:pPr>
            <w:r>
              <w:t>Total revenue including accrued revenue</w:t>
            </w:r>
          </w:p>
        </w:tc>
        <w:tc>
          <w:tcPr>
            <w:tcW w:w="254" w:type="pct"/>
            <w:shd w:val="clear" w:color="auto" w:fill="CCCCCC"/>
          </w:tcPr>
          <w:p w14:paraId="038A51F8" w14:textId="77777777" w:rsidR="000D34D0" w:rsidRDefault="000D34D0" w:rsidP="001A5D4A">
            <w:pPr>
              <w:pStyle w:val="NotesTable-Notes"/>
            </w:pPr>
          </w:p>
        </w:tc>
        <w:tc>
          <w:tcPr>
            <w:tcW w:w="475" w:type="pct"/>
            <w:tcBorders>
              <w:top w:val="single" w:sz="4" w:space="0" w:color="000000"/>
            </w:tcBorders>
            <w:shd w:val="clear" w:color="auto" w:fill="CCCCCC"/>
          </w:tcPr>
          <w:p w14:paraId="038A51F9" w14:textId="77777777" w:rsidR="000D34D0" w:rsidRDefault="000D34D0" w:rsidP="001A5D4A">
            <w:pPr>
              <w:pStyle w:val="NotesTable-CellBold"/>
            </w:pPr>
            <w:r>
              <w:t>–</w:t>
            </w:r>
          </w:p>
        </w:tc>
        <w:tc>
          <w:tcPr>
            <w:tcW w:w="475" w:type="pct"/>
            <w:gridSpan w:val="2"/>
            <w:tcBorders>
              <w:top w:val="single" w:sz="4" w:space="0" w:color="000000"/>
            </w:tcBorders>
            <w:shd w:val="clear" w:color="auto" w:fill="CCCCCC"/>
          </w:tcPr>
          <w:p w14:paraId="038A51FA" w14:textId="77777777" w:rsidR="000D34D0" w:rsidRDefault="000D34D0" w:rsidP="001A5D4A">
            <w:pPr>
              <w:pStyle w:val="NotesTable-CellPlain"/>
            </w:pPr>
            <w:r>
              <w:t>–</w:t>
            </w:r>
          </w:p>
        </w:tc>
        <w:tc>
          <w:tcPr>
            <w:tcW w:w="475" w:type="pct"/>
            <w:tcBorders>
              <w:top w:val="single" w:sz="4" w:space="0" w:color="000000"/>
            </w:tcBorders>
            <w:shd w:val="clear" w:color="auto" w:fill="CCCCCC"/>
          </w:tcPr>
          <w:p w14:paraId="038A51FB" w14:textId="77777777" w:rsidR="000D34D0" w:rsidRDefault="000D34D0" w:rsidP="001A5D4A">
            <w:pPr>
              <w:pStyle w:val="NotesTable-CellBold"/>
            </w:pPr>
            <w:r>
              <w:t>–</w:t>
            </w:r>
          </w:p>
        </w:tc>
        <w:tc>
          <w:tcPr>
            <w:tcW w:w="475" w:type="pct"/>
            <w:tcBorders>
              <w:top w:val="single" w:sz="4" w:space="0" w:color="000000"/>
            </w:tcBorders>
            <w:shd w:val="clear" w:color="auto" w:fill="CCCCCC"/>
          </w:tcPr>
          <w:p w14:paraId="038A51FC" w14:textId="77777777" w:rsidR="000D34D0" w:rsidRDefault="000D34D0" w:rsidP="001A5D4A">
            <w:pPr>
              <w:pStyle w:val="NotesTable-CellPlain"/>
            </w:pPr>
            <w:r>
              <w:t>–</w:t>
            </w:r>
          </w:p>
        </w:tc>
        <w:tc>
          <w:tcPr>
            <w:tcW w:w="475" w:type="pct"/>
            <w:tcBorders>
              <w:top w:val="single" w:sz="4" w:space="0" w:color="000000"/>
            </w:tcBorders>
            <w:shd w:val="clear" w:color="auto" w:fill="CCCCCC"/>
          </w:tcPr>
          <w:p w14:paraId="038A51FD" w14:textId="77777777" w:rsidR="000D34D0" w:rsidRDefault="000D34D0" w:rsidP="001A5D4A">
            <w:pPr>
              <w:pStyle w:val="NotesTable-CellBold"/>
            </w:pPr>
            <w:r>
              <w:t>–</w:t>
            </w:r>
          </w:p>
        </w:tc>
        <w:tc>
          <w:tcPr>
            <w:tcW w:w="474" w:type="pct"/>
            <w:tcBorders>
              <w:top w:val="single" w:sz="4" w:space="0" w:color="000000"/>
            </w:tcBorders>
            <w:shd w:val="clear" w:color="auto" w:fill="CCCCCC"/>
          </w:tcPr>
          <w:p w14:paraId="038A51FE" w14:textId="77777777" w:rsidR="000D34D0" w:rsidRDefault="000D34D0" w:rsidP="001A5D4A">
            <w:pPr>
              <w:pStyle w:val="NotesTable-CellPlain"/>
            </w:pPr>
            <w:r>
              <w:t>–</w:t>
            </w:r>
          </w:p>
        </w:tc>
      </w:tr>
      <w:tr w:rsidR="000D34D0" w14:paraId="038A5209" w14:textId="77777777" w:rsidTr="004B7414">
        <w:trPr>
          <w:cantSplit/>
          <w:trHeight w:val="255"/>
        </w:trPr>
        <w:tc>
          <w:tcPr>
            <w:tcW w:w="530" w:type="pct"/>
            <w:tcBorders>
              <w:right w:val="single" w:sz="8" w:space="0" w:color="CDCDCD"/>
            </w:tcBorders>
          </w:tcPr>
          <w:p w14:paraId="038A5200" w14:textId="77777777" w:rsidR="000D34D0" w:rsidRDefault="000D34D0" w:rsidP="001A5D4A">
            <w:pPr>
              <w:pStyle w:val="Note-Refs"/>
            </w:pPr>
            <w:r>
              <w:t>F</w:t>
            </w:r>
          </w:p>
        </w:tc>
        <w:tc>
          <w:tcPr>
            <w:tcW w:w="1367" w:type="pct"/>
            <w:tcBorders>
              <w:left w:val="single" w:sz="8" w:space="0" w:color="CDCDCD"/>
            </w:tcBorders>
            <w:shd w:val="clear" w:color="auto" w:fill="CCCCCC"/>
          </w:tcPr>
          <w:p w14:paraId="038A5201" w14:textId="77777777" w:rsidR="000D34D0" w:rsidRDefault="000D34D0" w:rsidP="001A5D4A">
            <w:pPr>
              <w:pStyle w:val="NotesTable-ItemPlain"/>
              <w:rPr>
                <w:b/>
              </w:rPr>
            </w:pPr>
            <w:r>
              <w:t>Less expenses including accrued expenses</w:t>
            </w:r>
          </w:p>
        </w:tc>
        <w:tc>
          <w:tcPr>
            <w:tcW w:w="254" w:type="pct"/>
            <w:shd w:val="clear" w:color="auto" w:fill="CCCCCC"/>
          </w:tcPr>
          <w:p w14:paraId="038A5202" w14:textId="77777777" w:rsidR="000D34D0" w:rsidRDefault="000D34D0" w:rsidP="001A5D4A">
            <w:pPr>
              <w:pStyle w:val="NotesTable-Notes"/>
            </w:pPr>
          </w:p>
        </w:tc>
        <w:tc>
          <w:tcPr>
            <w:tcW w:w="475" w:type="pct"/>
            <w:tcBorders>
              <w:bottom w:val="single" w:sz="4" w:space="0" w:color="000000"/>
            </w:tcBorders>
            <w:shd w:val="clear" w:color="auto" w:fill="CCCCCC"/>
          </w:tcPr>
          <w:p w14:paraId="038A5203" w14:textId="77777777" w:rsidR="000D34D0" w:rsidRDefault="000D34D0" w:rsidP="001A5D4A">
            <w:pPr>
              <w:pStyle w:val="NotesTable-CellBold"/>
            </w:pPr>
            <w:r>
              <w:t>–</w:t>
            </w:r>
          </w:p>
        </w:tc>
        <w:tc>
          <w:tcPr>
            <w:tcW w:w="475" w:type="pct"/>
            <w:gridSpan w:val="2"/>
            <w:tcBorders>
              <w:bottom w:val="single" w:sz="4" w:space="0" w:color="000000"/>
            </w:tcBorders>
            <w:shd w:val="clear" w:color="auto" w:fill="CCCCCC"/>
          </w:tcPr>
          <w:p w14:paraId="038A5204"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205" w14:textId="77777777" w:rsidR="000D34D0" w:rsidRDefault="000D34D0" w:rsidP="001A5D4A">
            <w:pPr>
              <w:pStyle w:val="NotesTable-CellBold"/>
            </w:pPr>
            <w:r>
              <w:t>–</w:t>
            </w:r>
          </w:p>
        </w:tc>
        <w:tc>
          <w:tcPr>
            <w:tcW w:w="475" w:type="pct"/>
            <w:tcBorders>
              <w:bottom w:val="single" w:sz="4" w:space="0" w:color="000000"/>
            </w:tcBorders>
            <w:shd w:val="clear" w:color="auto" w:fill="CCCCCC"/>
          </w:tcPr>
          <w:p w14:paraId="038A5206" w14:textId="77777777" w:rsidR="000D34D0" w:rsidRDefault="000D34D0" w:rsidP="001A5D4A">
            <w:pPr>
              <w:pStyle w:val="NotesTable-CellPlain"/>
            </w:pPr>
            <w:r>
              <w:t>–</w:t>
            </w:r>
          </w:p>
        </w:tc>
        <w:tc>
          <w:tcPr>
            <w:tcW w:w="475" w:type="pct"/>
            <w:tcBorders>
              <w:bottom w:val="single" w:sz="4" w:space="0" w:color="000000"/>
            </w:tcBorders>
            <w:shd w:val="clear" w:color="auto" w:fill="CCCCCC"/>
          </w:tcPr>
          <w:p w14:paraId="038A5207" w14:textId="77777777" w:rsidR="000D34D0" w:rsidRDefault="000D34D0" w:rsidP="001A5D4A">
            <w:pPr>
              <w:pStyle w:val="NotesTable-CellBold"/>
            </w:pPr>
            <w:r>
              <w:t>–</w:t>
            </w:r>
          </w:p>
        </w:tc>
        <w:tc>
          <w:tcPr>
            <w:tcW w:w="474" w:type="pct"/>
            <w:tcBorders>
              <w:bottom w:val="single" w:sz="4" w:space="0" w:color="000000"/>
            </w:tcBorders>
            <w:shd w:val="clear" w:color="auto" w:fill="CCCCCC"/>
          </w:tcPr>
          <w:p w14:paraId="038A5208" w14:textId="77777777" w:rsidR="000D34D0" w:rsidRDefault="000D34D0" w:rsidP="001A5D4A">
            <w:pPr>
              <w:pStyle w:val="NotesTable-CellPlain"/>
            </w:pPr>
            <w:r>
              <w:t>–</w:t>
            </w:r>
          </w:p>
        </w:tc>
      </w:tr>
      <w:tr w:rsidR="000D34D0" w14:paraId="038A5213" w14:textId="77777777" w:rsidTr="004B7414">
        <w:trPr>
          <w:cantSplit/>
          <w:trHeight w:val="255"/>
        </w:trPr>
        <w:tc>
          <w:tcPr>
            <w:tcW w:w="530" w:type="pct"/>
            <w:tcBorders>
              <w:right w:val="single" w:sz="8" w:space="0" w:color="CDCDCD"/>
            </w:tcBorders>
          </w:tcPr>
          <w:p w14:paraId="038A520A" w14:textId="77777777" w:rsidR="000D34D0" w:rsidRDefault="000D34D0" w:rsidP="001A5D4A">
            <w:pPr>
              <w:pStyle w:val="Note-Refs"/>
              <w:rPr>
                <w:b/>
              </w:rPr>
            </w:pPr>
            <w:r>
              <w:t>G = E – F</w:t>
            </w:r>
          </w:p>
        </w:tc>
        <w:tc>
          <w:tcPr>
            <w:tcW w:w="1367" w:type="pct"/>
            <w:tcBorders>
              <w:left w:val="single" w:sz="8" w:space="0" w:color="CDCDCD"/>
            </w:tcBorders>
            <w:shd w:val="clear" w:color="auto" w:fill="CCCCCC"/>
          </w:tcPr>
          <w:p w14:paraId="038A520B" w14:textId="77777777" w:rsidR="000D34D0" w:rsidRDefault="000D34D0" w:rsidP="001A5D4A">
            <w:pPr>
              <w:pStyle w:val="NotesTable-ItemPlain"/>
              <w:rPr>
                <w:b/>
              </w:rPr>
            </w:pPr>
            <w:r>
              <w:t>Surplus / (deficit) for reporting period</w:t>
            </w:r>
          </w:p>
        </w:tc>
        <w:tc>
          <w:tcPr>
            <w:tcW w:w="254" w:type="pct"/>
            <w:shd w:val="clear" w:color="auto" w:fill="CCCCCC"/>
          </w:tcPr>
          <w:p w14:paraId="038A520C" w14:textId="77777777" w:rsidR="000D34D0" w:rsidRDefault="000D34D0" w:rsidP="001A5D4A">
            <w:pPr>
              <w:pStyle w:val="NotesTable-Notes"/>
            </w:pPr>
          </w:p>
        </w:tc>
        <w:tc>
          <w:tcPr>
            <w:tcW w:w="475" w:type="pct"/>
            <w:tcBorders>
              <w:bottom w:val="single" w:sz="4" w:space="0" w:color="auto"/>
            </w:tcBorders>
            <w:shd w:val="clear" w:color="auto" w:fill="CCCCCC"/>
          </w:tcPr>
          <w:p w14:paraId="038A520D" w14:textId="77777777" w:rsidR="000D34D0" w:rsidRDefault="000D34D0" w:rsidP="001A5D4A">
            <w:pPr>
              <w:pStyle w:val="NotesTable-CellBold"/>
            </w:pPr>
            <w:r>
              <w:t>–</w:t>
            </w:r>
          </w:p>
        </w:tc>
        <w:tc>
          <w:tcPr>
            <w:tcW w:w="475" w:type="pct"/>
            <w:gridSpan w:val="2"/>
            <w:tcBorders>
              <w:bottom w:val="single" w:sz="4" w:space="0" w:color="auto"/>
            </w:tcBorders>
            <w:shd w:val="clear" w:color="auto" w:fill="CCCCCC"/>
          </w:tcPr>
          <w:p w14:paraId="038A520E" w14:textId="77777777" w:rsidR="000D34D0" w:rsidRDefault="000D34D0" w:rsidP="001A5D4A">
            <w:pPr>
              <w:pStyle w:val="NotesTable-CellPlain"/>
            </w:pPr>
            <w:r>
              <w:t>–</w:t>
            </w:r>
          </w:p>
        </w:tc>
        <w:tc>
          <w:tcPr>
            <w:tcW w:w="475" w:type="pct"/>
            <w:tcBorders>
              <w:bottom w:val="single" w:sz="4" w:space="0" w:color="auto"/>
            </w:tcBorders>
            <w:shd w:val="clear" w:color="auto" w:fill="CCCCCC"/>
          </w:tcPr>
          <w:p w14:paraId="038A520F" w14:textId="77777777" w:rsidR="000D34D0" w:rsidRDefault="000D34D0" w:rsidP="001A5D4A">
            <w:pPr>
              <w:pStyle w:val="NotesTable-CellBold"/>
            </w:pPr>
            <w:r>
              <w:t>–</w:t>
            </w:r>
          </w:p>
        </w:tc>
        <w:tc>
          <w:tcPr>
            <w:tcW w:w="475" w:type="pct"/>
            <w:tcBorders>
              <w:bottom w:val="single" w:sz="4" w:space="0" w:color="auto"/>
            </w:tcBorders>
            <w:shd w:val="clear" w:color="auto" w:fill="CCCCCC"/>
          </w:tcPr>
          <w:p w14:paraId="038A5210" w14:textId="77777777" w:rsidR="000D34D0" w:rsidRDefault="000D34D0" w:rsidP="001A5D4A">
            <w:pPr>
              <w:pStyle w:val="NotesTable-CellPlain"/>
            </w:pPr>
            <w:r>
              <w:t>–</w:t>
            </w:r>
          </w:p>
        </w:tc>
        <w:tc>
          <w:tcPr>
            <w:tcW w:w="475" w:type="pct"/>
            <w:tcBorders>
              <w:bottom w:val="single" w:sz="4" w:space="0" w:color="auto"/>
            </w:tcBorders>
            <w:shd w:val="clear" w:color="auto" w:fill="CCCCCC"/>
          </w:tcPr>
          <w:p w14:paraId="038A5211" w14:textId="77777777" w:rsidR="000D34D0" w:rsidRDefault="000D34D0" w:rsidP="001A5D4A">
            <w:pPr>
              <w:pStyle w:val="NotesTable-CellBold"/>
            </w:pPr>
            <w:r>
              <w:t>–</w:t>
            </w:r>
          </w:p>
        </w:tc>
        <w:tc>
          <w:tcPr>
            <w:tcW w:w="474" w:type="pct"/>
            <w:tcBorders>
              <w:bottom w:val="single" w:sz="4" w:space="0" w:color="auto"/>
            </w:tcBorders>
            <w:shd w:val="clear" w:color="auto" w:fill="CCCCCC"/>
          </w:tcPr>
          <w:p w14:paraId="038A5212" w14:textId="77777777" w:rsidR="000D34D0" w:rsidRDefault="000D34D0" w:rsidP="001A5D4A">
            <w:pPr>
              <w:pStyle w:val="NotesTable-CellPlain"/>
            </w:pPr>
            <w:r>
              <w:t>–</w:t>
            </w:r>
          </w:p>
        </w:tc>
      </w:tr>
      <w:tr w:rsidR="000D34D0" w14:paraId="038A521D" w14:textId="77777777" w:rsidTr="004B7414">
        <w:trPr>
          <w:cantSplit/>
          <w:trHeight w:val="255"/>
        </w:trPr>
        <w:tc>
          <w:tcPr>
            <w:tcW w:w="530" w:type="pct"/>
            <w:tcBorders>
              <w:bottom w:val="single" w:sz="4" w:space="0" w:color="FFFFFF"/>
              <w:right w:val="single" w:sz="8" w:space="0" w:color="CDCDCD"/>
            </w:tcBorders>
          </w:tcPr>
          <w:p w14:paraId="038A5214" w14:textId="77777777" w:rsidR="000D34D0" w:rsidRDefault="000D34D0" w:rsidP="001A5D4A">
            <w:pPr>
              <w:pStyle w:val="Note-Refs"/>
            </w:pPr>
          </w:p>
        </w:tc>
        <w:tc>
          <w:tcPr>
            <w:tcW w:w="1367" w:type="pct"/>
            <w:tcBorders>
              <w:left w:val="single" w:sz="8" w:space="0" w:color="CDCDCD"/>
              <w:bottom w:val="single" w:sz="8" w:space="0" w:color="CDCDCD"/>
            </w:tcBorders>
            <w:shd w:val="clear" w:color="auto" w:fill="CCCCCC"/>
          </w:tcPr>
          <w:p w14:paraId="038A5215" w14:textId="77777777" w:rsidR="000D34D0" w:rsidRDefault="000D34D0" w:rsidP="001A5D4A">
            <w:pPr>
              <w:pStyle w:val="NotesTable-ItemPlain"/>
            </w:pPr>
          </w:p>
        </w:tc>
        <w:tc>
          <w:tcPr>
            <w:tcW w:w="254" w:type="pct"/>
            <w:tcBorders>
              <w:bottom w:val="single" w:sz="8" w:space="0" w:color="CDCDCD"/>
            </w:tcBorders>
            <w:shd w:val="clear" w:color="auto" w:fill="CCCCCC"/>
          </w:tcPr>
          <w:p w14:paraId="038A5216" w14:textId="77777777" w:rsidR="000D34D0" w:rsidRDefault="000D34D0" w:rsidP="001A5D4A">
            <w:pPr>
              <w:pStyle w:val="NotesTable-Notes"/>
            </w:pPr>
          </w:p>
        </w:tc>
        <w:tc>
          <w:tcPr>
            <w:tcW w:w="475" w:type="pct"/>
            <w:tcBorders>
              <w:top w:val="single" w:sz="4" w:space="0" w:color="auto"/>
              <w:bottom w:val="single" w:sz="8" w:space="0" w:color="CDCDCD"/>
            </w:tcBorders>
            <w:shd w:val="clear" w:color="auto" w:fill="CCCCCC"/>
          </w:tcPr>
          <w:p w14:paraId="038A5217" w14:textId="77777777" w:rsidR="000D34D0" w:rsidRDefault="000D34D0" w:rsidP="001A5D4A">
            <w:pPr>
              <w:pStyle w:val="NotesTable-CellBold"/>
            </w:pPr>
          </w:p>
        </w:tc>
        <w:tc>
          <w:tcPr>
            <w:tcW w:w="475" w:type="pct"/>
            <w:gridSpan w:val="2"/>
            <w:tcBorders>
              <w:top w:val="single" w:sz="4" w:space="0" w:color="auto"/>
              <w:bottom w:val="single" w:sz="8" w:space="0" w:color="CDCDCD"/>
            </w:tcBorders>
            <w:shd w:val="clear" w:color="auto" w:fill="CCCCCC"/>
          </w:tcPr>
          <w:p w14:paraId="038A5218" w14:textId="77777777" w:rsidR="000D34D0" w:rsidRDefault="000D34D0" w:rsidP="001A5D4A">
            <w:pPr>
              <w:pStyle w:val="NotesTable-CellPlain"/>
            </w:pPr>
          </w:p>
        </w:tc>
        <w:tc>
          <w:tcPr>
            <w:tcW w:w="475" w:type="pct"/>
            <w:tcBorders>
              <w:top w:val="single" w:sz="4" w:space="0" w:color="auto"/>
              <w:bottom w:val="single" w:sz="8" w:space="0" w:color="CDCDCD"/>
            </w:tcBorders>
            <w:shd w:val="clear" w:color="auto" w:fill="CCCCCC"/>
          </w:tcPr>
          <w:p w14:paraId="038A5219" w14:textId="77777777" w:rsidR="000D34D0" w:rsidRDefault="000D34D0" w:rsidP="001A5D4A">
            <w:pPr>
              <w:pStyle w:val="NotesTable-CellBold"/>
            </w:pPr>
          </w:p>
        </w:tc>
        <w:tc>
          <w:tcPr>
            <w:tcW w:w="475" w:type="pct"/>
            <w:tcBorders>
              <w:top w:val="single" w:sz="4" w:space="0" w:color="auto"/>
              <w:bottom w:val="single" w:sz="8" w:space="0" w:color="CDCDCD"/>
            </w:tcBorders>
            <w:shd w:val="clear" w:color="auto" w:fill="CCCCCC"/>
          </w:tcPr>
          <w:p w14:paraId="038A521A" w14:textId="77777777" w:rsidR="000D34D0" w:rsidRDefault="000D34D0" w:rsidP="001A5D4A">
            <w:pPr>
              <w:pStyle w:val="NotesTable-CellPlain"/>
            </w:pPr>
          </w:p>
        </w:tc>
        <w:tc>
          <w:tcPr>
            <w:tcW w:w="475" w:type="pct"/>
            <w:tcBorders>
              <w:top w:val="single" w:sz="4" w:space="0" w:color="auto"/>
              <w:bottom w:val="single" w:sz="8" w:space="0" w:color="CDCDCD"/>
            </w:tcBorders>
            <w:shd w:val="clear" w:color="auto" w:fill="CCCCCC"/>
          </w:tcPr>
          <w:p w14:paraId="038A521B" w14:textId="77777777" w:rsidR="000D34D0" w:rsidRDefault="000D34D0" w:rsidP="001A5D4A">
            <w:pPr>
              <w:pStyle w:val="NotesTable-CellBold"/>
            </w:pPr>
          </w:p>
        </w:tc>
        <w:tc>
          <w:tcPr>
            <w:tcW w:w="474" w:type="pct"/>
            <w:tcBorders>
              <w:top w:val="single" w:sz="4" w:space="0" w:color="auto"/>
              <w:bottom w:val="single" w:sz="8" w:space="0" w:color="CDCDCD"/>
            </w:tcBorders>
            <w:shd w:val="clear" w:color="auto" w:fill="CCCCCC"/>
          </w:tcPr>
          <w:p w14:paraId="038A521C" w14:textId="77777777" w:rsidR="000D34D0" w:rsidRDefault="000D34D0" w:rsidP="001A5D4A">
            <w:pPr>
              <w:pStyle w:val="NotesTable-CellPlain"/>
            </w:pPr>
          </w:p>
        </w:tc>
      </w:tr>
    </w:tbl>
    <w:p w14:paraId="038A521E" w14:textId="77777777" w:rsidR="00023312" w:rsidRPr="006D022E" w:rsidRDefault="008C7629" w:rsidP="001A5D4A">
      <w:r w:rsidRPr="006D022E">
        <w:br w:type="page"/>
      </w:r>
    </w:p>
    <w:tbl>
      <w:tblPr>
        <w:tblW w:w="5000" w:type="pct"/>
        <w:tblLook w:val="0000" w:firstRow="0" w:lastRow="0" w:firstColumn="0" w:lastColumn="0" w:noHBand="0" w:noVBand="0"/>
      </w:tblPr>
      <w:tblGrid>
        <w:gridCol w:w="1673"/>
        <w:gridCol w:w="5439"/>
        <w:gridCol w:w="794"/>
        <w:gridCol w:w="779"/>
        <w:gridCol w:w="195"/>
        <w:gridCol w:w="974"/>
        <w:gridCol w:w="974"/>
        <w:gridCol w:w="977"/>
        <w:gridCol w:w="974"/>
        <w:gridCol w:w="977"/>
        <w:gridCol w:w="974"/>
        <w:gridCol w:w="974"/>
      </w:tblGrid>
      <w:tr w:rsidR="004B7414" w14:paraId="038A5223" w14:textId="77777777" w:rsidTr="004B7414">
        <w:trPr>
          <w:cantSplit/>
          <w:trHeight w:val="180"/>
        </w:trPr>
        <w:tc>
          <w:tcPr>
            <w:tcW w:w="5000" w:type="pct"/>
            <w:gridSpan w:val="12"/>
            <w:tcBorders>
              <w:right w:val="single" w:sz="8" w:space="0" w:color="CDCDCD"/>
            </w:tcBorders>
            <w:shd w:val="clear" w:color="auto" w:fill="auto"/>
          </w:tcPr>
          <w:p w14:paraId="038A5222" w14:textId="39A4401B"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8222DA" w14:paraId="038A5227" w14:textId="77777777" w:rsidTr="004B7414">
        <w:trPr>
          <w:cantSplit/>
          <w:trHeight w:val="256"/>
        </w:trPr>
        <w:tc>
          <w:tcPr>
            <w:tcW w:w="533" w:type="pct"/>
            <w:tcBorders>
              <w:right w:val="single" w:sz="8" w:space="0" w:color="CDCDCD"/>
            </w:tcBorders>
          </w:tcPr>
          <w:p w14:paraId="5B5672C0" w14:textId="77777777" w:rsidR="004B7414" w:rsidRDefault="004B7414" w:rsidP="004B7414">
            <w:pPr>
              <w:pStyle w:val="Note-Refs"/>
              <w:rPr>
                <w:b/>
              </w:rPr>
            </w:pPr>
            <w:r>
              <w:t>MANDATORY</w:t>
            </w:r>
          </w:p>
          <w:p w14:paraId="038A5224" w14:textId="41527015" w:rsidR="008222DA" w:rsidRPr="004B7414" w:rsidRDefault="004B7414" w:rsidP="001A5D4A">
            <w:pPr>
              <w:pStyle w:val="Note-Refs"/>
              <w:rPr>
                <w:b/>
              </w:rPr>
            </w:pPr>
            <w:r>
              <w:t>EDUCATION</w:t>
            </w:r>
          </w:p>
        </w:tc>
        <w:tc>
          <w:tcPr>
            <w:tcW w:w="2233" w:type="pct"/>
            <w:gridSpan w:val="3"/>
            <w:tcBorders>
              <w:left w:val="single" w:sz="8" w:space="0" w:color="CDCDCD"/>
              <w:right w:val="single" w:sz="8" w:space="0" w:color="CDCDCD"/>
            </w:tcBorders>
            <w:shd w:val="clear" w:color="auto" w:fill="CCCCCC"/>
          </w:tcPr>
          <w:p w14:paraId="2A772445" w14:textId="77777777" w:rsidR="008222DA" w:rsidRDefault="008222DA" w:rsidP="001A5D4A">
            <w:pPr>
              <w:pStyle w:val="NotesTable-AcquittalHeader"/>
              <w:rPr>
                <w:b w:val="0"/>
              </w:rPr>
            </w:pPr>
            <w:r>
              <w:t>53f Other Capital Funding</w:t>
            </w:r>
          </w:p>
        </w:tc>
        <w:tc>
          <w:tcPr>
            <w:tcW w:w="2235" w:type="pct"/>
            <w:gridSpan w:val="8"/>
            <w:tcBorders>
              <w:left w:val="single" w:sz="8" w:space="0" w:color="CDCDCD"/>
              <w:right w:val="single" w:sz="8" w:space="0" w:color="CDCDCD"/>
            </w:tcBorders>
            <w:shd w:val="clear" w:color="auto" w:fill="CCCCCC"/>
          </w:tcPr>
          <w:p w14:paraId="038A5226" w14:textId="5F2205AC" w:rsidR="008222DA" w:rsidRDefault="008222DA" w:rsidP="001A5D4A">
            <w:pPr>
              <w:pStyle w:val="NotesTable-ItemBold"/>
            </w:pPr>
            <w:r>
              <w:t>Parent entity (HEP) ONLY</w:t>
            </w:r>
            <w:r w:rsidDel="008222DA">
              <w:t xml:space="preserve"> </w:t>
            </w:r>
          </w:p>
        </w:tc>
      </w:tr>
      <w:tr w:rsidR="008222DA" w14:paraId="435A8218" w14:textId="77777777" w:rsidTr="00261A68">
        <w:trPr>
          <w:cantSplit/>
          <w:trHeight w:val="256"/>
        </w:trPr>
        <w:tc>
          <w:tcPr>
            <w:tcW w:w="533" w:type="pct"/>
            <w:tcBorders>
              <w:right w:val="single" w:sz="8" w:space="0" w:color="CDCDCD"/>
            </w:tcBorders>
          </w:tcPr>
          <w:p w14:paraId="2CB57EAE" w14:textId="77777777" w:rsidR="008222DA" w:rsidRDefault="008222DA" w:rsidP="001A5D4A">
            <w:pPr>
              <w:pStyle w:val="Note-Refs"/>
            </w:pPr>
          </w:p>
        </w:tc>
        <w:tc>
          <w:tcPr>
            <w:tcW w:w="1985" w:type="pct"/>
            <w:gridSpan w:val="2"/>
            <w:tcBorders>
              <w:left w:val="single" w:sz="8" w:space="0" w:color="CDCDCD"/>
            </w:tcBorders>
            <w:shd w:val="clear" w:color="auto" w:fill="CCCCCC"/>
          </w:tcPr>
          <w:p w14:paraId="49C9AA22" w14:textId="77777777" w:rsidR="008222DA" w:rsidRDefault="008222DA" w:rsidP="001A5D4A">
            <w:pPr>
              <w:pStyle w:val="NotesTable-AcquittalHeader"/>
            </w:pPr>
          </w:p>
        </w:tc>
        <w:tc>
          <w:tcPr>
            <w:tcW w:w="2483" w:type="pct"/>
            <w:gridSpan w:val="9"/>
            <w:tcBorders>
              <w:right w:val="single" w:sz="8" w:space="0" w:color="CDCDCD"/>
            </w:tcBorders>
            <w:shd w:val="clear" w:color="auto" w:fill="CCCCCC"/>
          </w:tcPr>
          <w:p w14:paraId="5890BAC8" w14:textId="563E6AF1" w:rsidR="008222DA" w:rsidRDefault="008222DA" w:rsidP="001A5D4A">
            <w:pPr>
              <w:pStyle w:val="NotesTable-HeadBold"/>
            </w:pPr>
          </w:p>
        </w:tc>
      </w:tr>
      <w:tr w:rsidR="008C7629" w14:paraId="038A522E" w14:textId="77777777" w:rsidTr="004B7414">
        <w:trPr>
          <w:cantSplit/>
          <w:trHeight w:val="256"/>
        </w:trPr>
        <w:tc>
          <w:tcPr>
            <w:tcW w:w="533" w:type="pct"/>
            <w:tcBorders>
              <w:right w:val="single" w:sz="8" w:space="0" w:color="CDCDCD"/>
            </w:tcBorders>
          </w:tcPr>
          <w:p w14:paraId="038A5228" w14:textId="77777777" w:rsidR="008C7629" w:rsidRDefault="008C7629" w:rsidP="001A5D4A">
            <w:pPr>
              <w:pStyle w:val="Note-Refs"/>
            </w:pPr>
          </w:p>
        </w:tc>
        <w:tc>
          <w:tcPr>
            <w:tcW w:w="1985" w:type="pct"/>
            <w:gridSpan w:val="2"/>
            <w:tcBorders>
              <w:left w:val="single" w:sz="8" w:space="0" w:color="CDCDCD"/>
            </w:tcBorders>
            <w:shd w:val="clear" w:color="auto" w:fill="CCCCCC"/>
          </w:tcPr>
          <w:p w14:paraId="038A5229" w14:textId="77777777" w:rsidR="008C7629" w:rsidRDefault="008C7629" w:rsidP="001A5D4A">
            <w:pPr>
              <w:pStyle w:val="NotesTable-ItemPlain"/>
            </w:pPr>
          </w:p>
        </w:tc>
        <w:tc>
          <w:tcPr>
            <w:tcW w:w="620" w:type="pct"/>
            <w:gridSpan w:val="3"/>
            <w:shd w:val="clear" w:color="auto" w:fill="CCCCCC"/>
          </w:tcPr>
          <w:p w14:paraId="038A522A" w14:textId="77777777" w:rsidR="008C7629" w:rsidRDefault="008C7629" w:rsidP="001A5D4A">
            <w:pPr>
              <w:pStyle w:val="NotesTable-HeadPlain"/>
            </w:pPr>
            <w:r>
              <w:t xml:space="preserve">Better Universities </w:t>
            </w:r>
            <w:r w:rsidR="0002695A">
              <w:t>Renewal</w:t>
            </w:r>
            <w:r>
              <w:t xml:space="preserve"> Fund</w:t>
            </w:r>
          </w:p>
        </w:tc>
        <w:tc>
          <w:tcPr>
            <w:tcW w:w="621" w:type="pct"/>
            <w:gridSpan w:val="2"/>
            <w:shd w:val="clear" w:color="auto" w:fill="CCCCCC"/>
          </w:tcPr>
          <w:p w14:paraId="038A522B" w14:textId="77777777" w:rsidR="008C7629" w:rsidRDefault="008C7629" w:rsidP="001A5D4A">
            <w:pPr>
              <w:pStyle w:val="NotesTable-HeadPlain"/>
            </w:pPr>
            <w:r>
              <w:t>Teaching and Learning Capital Fund</w:t>
            </w:r>
          </w:p>
        </w:tc>
        <w:tc>
          <w:tcPr>
            <w:tcW w:w="621" w:type="pct"/>
            <w:gridSpan w:val="2"/>
            <w:shd w:val="clear" w:color="auto" w:fill="CCCCCC"/>
          </w:tcPr>
          <w:p w14:paraId="038A522C" w14:textId="77777777" w:rsidR="008C7629" w:rsidRDefault="008C7629" w:rsidP="001A5D4A">
            <w:pPr>
              <w:pStyle w:val="NotesTable-HeadPlain"/>
            </w:pPr>
            <w:r>
              <w:t>Education Investment Fund</w:t>
            </w:r>
          </w:p>
        </w:tc>
        <w:tc>
          <w:tcPr>
            <w:tcW w:w="620" w:type="pct"/>
            <w:gridSpan w:val="2"/>
            <w:tcBorders>
              <w:right w:val="single" w:sz="8" w:space="0" w:color="CDCDCD"/>
            </w:tcBorders>
            <w:shd w:val="clear" w:color="auto" w:fill="CCCCCC"/>
          </w:tcPr>
          <w:p w14:paraId="038A522D" w14:textId="77777777" w:rsidR="008C7629" w:rsidRDefault="008C7629" w:rsidP="001A5D4A">
            <w:pPr>
              <w:pStyle w:val="NotesTable-HeadPlain"/>
            </w:pPr>
            <w:r>
              <w:t>Total</w:t>
            </w:r>
          </w:p>
        </w:tc>
      </w:tr>
      <w:tr w:rsidR="00A73253" w14:paraId="038A523A" w14:textId="77777777" w:rsidTr="004B7414">
        <w:trPr>
          <w:cantSplit/>
          <w:trHeight w:val="255"/>
        </w:trPr>
        <w:tc>
          <w:tcPr>
            <w:tcW w:w="533" w:type="pct"/>
            <w:tcBorders>
              <w:right w:val="single" w:sz="8" w:space="0" w:color="CDCDCD"/>
            </w:tcBorders>
          </w:tcPr>
          <w:p w14:paraId="038A522F" w14:textId="77777777" w:rsidR="00A73253" w:rsidRDefault="00A73253" w:rsidP="001A5D4A">
            <w:pPr>
              <w:pStyle w:val="Note-Refs"/>
            </w:pPr>
          </w:p>
        </w:tc>
        <w:tc>
          <w:tcPr>
            <w:tcW w:w="1732" w:type="pct"/>
            <w:tcBorders>
              <w:left w:val="single" w:sz="8" w:space="0" w:color="CDCDCD"/>
            </w:tcBorders>
            <w:shd w:val="clear" w:color="auto" w:fill="CCCCCC"/>
          </w:tcPr>
          <w:p w14:paraId="038A5230" w14:textId="77777777" w:rsidR="00A73253" w:rsidRDefault="00A73253" w:rsidP="001A5D4A">
            <w:pPr>
              <w:pStyle w:val="NotesTable-ItemPlain"/>
            </w:pPr>
          </w:p>
        </w:tc>
        <w:tc>
          <w:tcPr>
            <w:tcW w:w="253" w:type="pct"/>
            <w:shd w:val="clear" w:color="auto" w:fill="CCCCCC"/>
          </w:tcPr>
          <w:p w14:paraId="038A5231" w14:textId="77777777" w:rsidR="00A73253" w:rsidRDefault="00A73253" w:rsidP="001A5D4A">
            <w:pPr>
              <w:pStyle w:val="NotesTable-Notes"/>
            </w:pPr>
            <w:r>
              <w:t>Notes</w:t>
            </w:r>
          </w:p>
        </w:tc>
        <w:tc>
          <w:tcPr>
            <w:tcW w:w="310" w:type="pct"/>
            <w:gridSpan w:val="2"/>
            <w:shd w:val="clear" w:color="auto" w:fill="CCCCCC"/>
          </w:tcPr>
          <w:p w14:paraId="038A5232" w14:textId="0BD2152A" w:rsidR="00A73253" w:rsidRDefault="006864EC" w:rsidP="001A5D4A">
            <w:pPr>
              <w:pStyle w:val="NotesTable-HeadBold"/>
            </w:pPr>
            <w:r>
              <w:t>2014</w:t>
            </w:r>
          </w:p>
        </w:tc>
        <w:tc>
          <w:tcPr>
            <w:tcW w:w="310" w:type="pct"/>
            <w:shd w:val="clear" w:color="auto" w:fill="CCCCCC"/>
          </w:tcPr>
          <w:p w14:paraId="038A5233" w14:textId="15829B51" w:rsidR="00A73253" w:rsidRDefault="006864EC" w:rsidP="001A5D4A">
            <w:pPr>
              <w:pStyle w:val="NotesTable-HeadPlain"/>
            </w:pPr>
            <w:r>
              <w:t>2013</w:t>
            </w:r>
          </w:p>
        </w:tc>
        <w:tc>
          <w:tcPr>
            <w:tcW w:w="310" w:type="pct"/>
            <w:shd w:val="clear" w:color="auto" w:fill="CCCCCC"/>
          </w:tcPr>
          <w:p w14:paraId="038A5234" w14:textId="4E8D2899" w:rsidR="00A73253" w:rsidRDefault="006864EC" w:rsidP="001A5D4A">
            <w:pPr>
              <w:pStyle w:val="NotesTable-HeadBold"/>
            </w:pPr>
            <w:r>
              <w:t>2014</w:t>
            </w:r>
          </w:p>
        </w:tc>
        <w:tc>
          <w:tcPr>
            <w:tcW w:w="311" w:type="pct"/>
            <w:shd w:val="clear" w:color="auto" w:fill="CCCCCC"/>
          </w:tcPr>
          <w:p w14:paraId="038A5235" w14:textId="185B5BF0" w:rsidR="00A73253" w:rsidRDefault="006864EC" w:rsidP="001A5D4A">
            <w:pPr>
              <w:pStyle w:val="NotesTable-HeadPlain"/>
            </w:pPr>
            <w:r>
              <w:t>2013</w:t>
            </w:r>
          </w:p>
        </w:tc>
        <w:tc>
          <w:tcPr>
            <w:tcW w:w="310" w:type="pct"/>
            <w:shd w:val="clear" w:color="auto" w:fill="CCCCCC"/>
          </w:tcPr>
          <w:p w14:paraId="038A5236" w14:textId="03E2BE50" w:rsidR="00A73253" w:rsidRDefault="006864EC" w:rsidP="001A5D4A">
            <w:pPr>
              <w:pStyle w:val="NotesTable-HeadBold"/>
            </w:pPr>
            <w:r>
              <w:t>2014</w:t>
            </w:r>
          </w:p>
        </w:tc>
        <w:tc>
          <w:tcPr>
            <w:tcW w:w="311" w:type="pct"/>
            <w:shd w:val="clear" w:color="auto" w:fill="CCCCCC"/>
          </w:tcPr>
          <w:p w14:paraId="038A5237" w14:textId="2CABB86A" w:rsidR="00A73253" w:rsidRDefault="006864EC" w:rsidP="001A5D4A">
            <w:pPr>
              <w:pStyle w:val="NotesTable-HeadPlain"/>
            </w:pPr>
            <w:r>
              <w:t>2013</w:t>
            </w:r>
          </w:p>
        </w:tc>
        <w:tc>
          <w:tcPr>
            <w:tcW w:w="310" w:type="pct"/>
            <w:shd w:val="clear" w:color="auto" w:fill="CCCCCC"/>
          </w:tcPr>
          <w:p w14:paraId="038A5238" w14:textId="52CE7A92" w:rsidR="00A73253" w:rsidRDefault="006864EC" w:rsidP="001A5D4A">
            <w:pPr>
              <w:pStyle w:val="NotesTable-HeadBold"/>
            </w:pPr>
            <w:r>
              <w:t>2014</w:t>
            </w:r>
          </w:p>
        </w:tc>
        <w:tc>
          <w:tcPr>
            <w:tcW w:w="310" w:type="pct"/>
            <w:tcBorders>
              <w:right w:val="single" w:sz="8" w:space="0" w:color="CDCDCD"/>
            </w:tcBorders>
            <w:shd w:val="clear" w:color="auto" w:fill="CCCCCC"/>
          </w:tcPr>
          <w:p w14:paraId="038A5239" w14:textId="5641187E" w:rsidR="00A73253" w:rsidRDefault="006864EC" w:rsidP="001A5D4A">
            <w:pPr>
              <w:pStyle w:val="NotesTable-HeadPlain"/>
            </w:pPr>
            <w:r>
              <w:t>2013</w:t>
            </w:r>
          </w:p>
        </w:tc>
      </w:tr>
      <w:tr w:rsidR="00A73253" w14:paraId="038A5246" w14:textId="77777777" w:rsidTr="004B7414">
        <w:trPr>
          <w:cantSplit/>
          <w:trHeight w:val="255"/>
        </w:trPr>
        <w:tc>
          <w:tcPr>
            <w:tcW w:w="533" w:type="pct"/>
            <w:tcBorders>
              <w:right w:val="single" w:sz="8" w:space="0" w:color="CDCDCD"/>
            </w:tcBorders>
          </w:tcPr>
          <w:p w14:paraId="038A523B" w14:textId="77777777" w:rsidR="00A73253" w:rsidRDefault="00A73253" w:rsidP="001A5D4A">
            <w:pPr>
              <w:pStyle w:val="Note-Refs"/>
            </w:pPr>
          </w:p>
        </w:tc>
        <w:tc>
          <w:tcPr>
            <w:tcW w:w="1732" w:type="pct"/>
            <w:tcBorders>
              <w:left w:val="single" w:sz="8" w:space="0" w:color="CDCDCD"/>
            </w:tcBorders>
            <w:shd w:val="clear" w:color="auto" w:fill="CCCCCC"/>
          </w:tcPr>
          <w:p w14:paraId="038A523C" w14:textId="77777777" w:rsidR="00A73253" w:rsidRDefault="00A73253" w:rsidP="001A5D4A">
            <w:pPr>
              <w:pStyle w:val="NotesTable-ItemPlain"/>
            </w:pPr>
          </w:p>
        </w:tc>
        <w:tc>
          <w:tcPr>
            <w:tcW w:w="253" w:type="pct"/>
            <w:shd w:val="clear" w:color="auto" w:fill="CCCCCC"/>
          </w:tcPr>
          <w:p w14:paraId="038A523D" w14:textId="77777777" w:rsidR="00A73253" w:rsidRDefault="00A73253" w:rsidP="001A5D4A">
            <w:pPr>
              <w:pStyle w:val="NotesTable-Notes"/>
            </w:pPr>
          </w:p>
        </w:tc>
        <w:tc>
          <w:tcPr>
            <w:tcW w:w="310" w:type="pct"/>
            <w:gridSpan w:val="2"/>
            <w:shd w:val="clear" w:color="auto" w:fill="CCCCCC"/>
          </w:tcPr>
          <w:p w14:paraId="038A523E" w14:textId="77777777" w:rsidR="00A73253" w:rsidRDefault="00A73253" w:rsidP="001A5D4A">
            <w:pPr>
              <w:pStyle w:val="NotesTable-HeadBold"/>
            </w:pPr>
            <w:r>
              <w:t>$’000</w:t>
            </w:r>
          </w:p>
        </w:tc>
        <w:tc>
          <w:tcPr>
            <w:tcW w:w="310" w:type="pct"/>
            <w:shd w:val="clear" w:color="auto" w:fill="CCCCCC"/>
          </w:tcPr>
          <w:p w14:paraId="038A523F" w14:textId="77777777" w:rsidR="00A73253" w:rsidRDefault="00A73253" w:rsidP="001A5D4A">
            <w:pPr>
              <w:pStyle w:val="NotesTable-HeadPlain"/>
            </w:pPr>
            <w:r>
              <w:t>$’000</w:t>
            </w:r>
          </w:p>
        </w:tc>
        <w:tc>
          <w:tcPr>
            <w:tcW w:w="310" w:type="pct"/>
            <w:shd w:val="clear" w:color="auto" w:fill="CCCCCC"/>
          </w:tcPr>
          <w:p w14:paraId="038A5240" w14:textId="77777777" w:rsidR="00A73253" w:rsidRDefault="00A73253" w:rsidP="001A5D4A">
            <w:pPr>
              <w:pStyle w:val="NotesTable-HeadBold"/>
            </w:pPr>
            <w:r>
              <w:t>$’000</w:t>
            </w:r>
          </w:p>
        </w:tc>
        <w:tc>
          <w:tcPr>
            <w:tcW w:w="311" w:type="pct"/>
            <w:shd w:val="clear" w:color="auto" w:fill="CCCCCC"/>
          </w:tcPr>
          <w:p w14:paraId="038A5241" w14:textId="77777777" w:rsidR="00A73253" w:rsidRDefault="00A73253" w:rsidP="001A5D4A">
            <w:pPr>
              <w:pStyle w:val="NotesTable-HeadPlain"/>
            </w:pPr>
            <w:r>
              <w:t>$’000</w:t>
            </w:r>
          </w:p>
        </w:tc>
        <w:tc>
          <w:tcPr>
            <w:tcW w:w="310" w:type="pct"/>
            <w:shd w:val="clear" w:color="auto" w:fill="CCCCCC"/>
          </w:tcPr>
          <w:p w14:paraId="038A5242" w14:textId="77777777" w:rsidR="00A73253" w:rsidRDefault="00A73253" w:rsidP="001A5D4A">
            <w:pPr>
              <w:pStyle w:val="NotesTable-HeadBold"/>
            </w:pPr>
            <w:r>
              <w:t>$’000</w:t>
            </w:r>
          </w:p>
        </w:tc>
        <w:tc>
          <w:tcPr>
            <w:tcW w:w="311" w:type="pct"/>
            <w:shd w:val="clear" w:color="auto" w:fill="CCCCCC"/>
          </w:tcPr>
          <w:p w14:paraId="038A5243" w14:textId="77777777" w:rsidR="00A73253" w:rsidRDefault="00A73253" w:rsidP="001A5D4A">
            <w:pPr>
              <w:pStyle w:val="NotesTable-HeadPlain"/>
            </w:pPr>
            <w:r>
              <w:t>$’000</w:t>
            </w:r>
          </w:p>
        </w:tc>
        <w:tc>
          <w:tcPr>
            <w:tcW w:w="310" w:type="pct"/>
            <w:shd w:val="clear" w:color="auto" w:fill="CCCCCC"/>
          </w:tcPr>
          <w:p w14:paraId="038A5244" w14:textId="77777777" w:rsidR="00A73253" w:rsidRDefault="00A73253" w:rsidP="001A5D4A">
            <w:pPr>
              <w:pStyle w:val="NotesTable-HeadBold"/>
            </w:pPr>
            <w:r>
              <w:t>$’000</w:t>
            </w:r>
          </w:p>
        </w:tc>
        <w:tc>
          <w:tcPr>
            <w:tcW w:w="310" w:type="pct"/>
            <w:tcBorders>
              <w:right w:val="single" w:sz="8" w:space="0" w:color="CDCDCD"/>
            </w:tcBorders>
            <w:shd w:val="clear" w:color="auto" w:fill="CCCCCC"/>
          </w:tcPr>
          <w:p w14:paraId="038A5245" w14:textId="77777777" w:rsidR="00A73253" w:rsidRDefault="00A73253" w:rsidP="001A5D4A">
            <w:pPr>
              <w:pStyle w:val="NotesTable-HeadPlain"/>
            </w:pPr>
            <w:r>
              <w:t>$’000</w:t>
            </w:r>
          </w:p>
        </w:tc>
      </w:tr>
      <w:tr w:rsidR="00A73253" w14:paraId="038A5252" w14:textId="77777777" w:rsidTr="004B7414">
        <w:trPr>
          <w:cantSplit/>
          <w:trHeight w:val="255"/>
        </w:trPr>
        <w:tc>
          <w:tcPr>
            <w:tcW w:w="533" w:type="pct"/>
            <w:tcBorders>
              <w:right w:val="single" w:sz="8" w:space="0" w:color="CDCDCD"/>
            </w:tcBorders>
          </w:tcPr>
          <w:p w14:paraId="038A5247" w14:textId="77777777" w:rsidR="00A73253" w:rsidRDefault="00A73253" w:rsidP="001A5D4A">
            <w:pPr>
              <w:pStyle w:val="Note-Refs"/>
            </w:pPr>
            <w:r>
              <w:t>A</w:t>
            </w:r>
          </w:p>
        </w:tc>
        <w:tc>
          <w:tcPr>
            <w:tcW w:w="1732" w:type="pct"/>
            <w:tcBorders>
              <w:left w:val="single" w:sz="8" w:space="0" w:color="CDCDCD"/>
            </w:tcBorders>
            <w:shd w:val="clear" w:color="auto" w:fill="CCCCCC"/>
          </w:tcPr>
          <w:p w14:paraId="038A5248" w14:textId="77777777" w:rsidR="00A73253" w:rsidRDefault="00A73253" w:rsidP="001A5D4A">
            <w:pPr>
              <w:pStyle w:val="NotesTable-ItemPlain"/>
              <w:rPr>
                <w:b/>
              </w:rPr>
            </w:pPr>
            <w:r>
              <w:t>Financial assistance received in CASH during the reporting period (total cash received from the Australian Government for the program)</w:t>
            </w:r>
          </w:p>
        </w:tc>
        <w:tc>
          <w:tcPr>
            <w:tcW w:w="253" w:type="pct"/>
            <w:shd w:val="clear" w:color="auto" w:fill="CCCCCC"/>
          </w:tcPr>
          <w:p w14:paraId="038A5249" w14:textId="77777777" w:rsidR="00A73253" w:rsidRDefault="00A73253" w:rsidP="001A5D4A">
            <w:pPr>
              <w:pStyle w:val="NotesTable-Notes"/>
            </w:pPr>
          </w:p>
        </w:tc>
        <w:tc>
          <w:tcPr>
            <w:tcW w:w="310" w:type="pct"/>
            <w:gridSpan w:val="2"/>
            <w:shd w:val="clear" w:color="auto" w:fill="CCCCCC"/>
            <w:vAlign w:val="bottom"/>
          </w:tcPr>
          <w:p w14:paraId="038A524A" w14:textId="77777777" w:rsidR="00A73253" w:rsidRDefault="00A73253" w:rsidP="001A5D4A">
            <w:pPr>
              <w:pStyle w:val="NotesTable-CellBold"/>
            </w:pPr>
            <w:r>
              <w:t>–</w:t>
            </w:r>
          </w:p>
        </w:tc>
        <w:tc>
          <w:tcPr>
            <w:tcW w:w="310" w:type="pct"/>
            <w:shd w:val="clear" w:color="auto" w:fill="CCCCCC"/>
            <w:vAlign w:val="bottom"/>
          </w:tcPr>
          <w:p w14:paraId="038A524B" w14:textId="77777777" w:rsidR="00A73253" w:rsidRDefault="00A73253" w:rsidP="001A5D4A">
            <w:pPr>
              <w:pStyle w:val="NotesTable-CellPlain"/>
            </w:pPr>
            <w:r>
              <w:t>–</w:t>
            </w:r>
          </w:p>
        </w:tc>
        <w:tc>
          <w:tcPr>
            <w:tcW w:w="310" w:type="pct"/>
            <w:shd w:val="clear" w:color="auto" w:fill="CCCCCC"/>
            <w:vAlign w:val="bottom"/>
          </w:tcPr>
          <w:p w14:paraId="038A524C" w14:textId="77777777" w:rsidR="00A73253" w:rsidRDefault="00A73253" w:rsidP="001A5D4A">
            <w:pPr>
              <w:pStyle w:val="NotesTable-CellBold"/>
            </w:pPr>
            <w:r>
              <w:t>–</w:t>
            </w:r>
          </w:p>
        </w:tc>
        <w:tc>
          <w:tcPr>
            <w:tcW w:w="311" w:type="pct"/>
            <w:shd w:val="clear" w:color="auto" w:fill="CCCCCC"/>
            <w:vAlign w:val="bottom"/>
          </w:tcPr>
          <w:p w14:paraId="038A524D" w14:textId="77777777" w:rsidR="00A73253" w:rsidRDefault="00A73253" w:rsidP="001A5D4A">
            <w:pPr>
              <w:pStyle w:val="NotesTable-CellPlain"/>
            </w:pPr>
            <w:r>
              <w:t>–</w:t>
            </w:r>
          </w:p>
        </w:tc>
        <w:tc>
          <w:tcPr>
            <w:tcW w:w="310" w:type="pct"/>
            <w:shd w:val="clear" w:color="auto" w:fill="CCCCCC"/>
            <w:vAlign w:val="bottom"/>
          </w:tcPr>
          <w:p w14:paraId="038A524E" w14:textId="77777777" w:rsidR="00A73253" w:rsidRDefault="00A73253" w:rsidP="001A5D4A">
            <w:pPr>
              <w:pStyle w:val="NotesTable-CellBold"/>
            </w:pPr>
            <w:r>
              <w:t>–</w:t>
            </w:r>
          </w:p>
        </w:tc>
        <w:tc>
          <w:tcPr>
            <w:tcW w:w="311" w:type="pct"/>
            <w:shd w:val="clear" w:color="auto" w:fill="CCCCCC"/>
            <w:vAlign w:val="bottom"/>
          </w:tcPr>
          <w:p w14:paraId="038A524F" w14:textId="77777777" w:rsidR="00A73253" w:rsidRDefault="00A73253" w:rsidP="001A5D4A">
            <w:pPr>
              <w:pStyle w:val="NotesTable-CellPlain"/>
            </w:pPr>
            <w:r>
              <w:t>–</w:t>
            </w:r>
          </w:p>
        </w:tc>
        <w:tc>
          <w:tcPr>
            <w:tcW w:w="310" w:type="pct"/>
            <w:shd w:val="clear" w:color="auto" w:fill="CCCCCC"/>
            <w:vAlign w:val="bottom"/>
          </w:tcPr>
          <w:p w14:paraId="038A5250" w14:textId="77777777" w:rsidR="00A73253" w:rsidRDefault="00A73253" w:rsidP="001A5D4A">
            <w:pPr>
              <w:pStyle w:val="NotesTable-CellBold"/>
            </w:pPr>
            <w:r>
              <w:t>–</w:t>
            </w:r>
          </w:p>
        </w:tc>
        <w:tc>
          <w:tcPr>
            <w:tcW w:w="310" w:type="pct"/>
            <w:tcBorders>
              <w:right w:val="single" w:sz="8" w:space="0" w:color="CDCDCD"/>
            </w:tcBorders>
            <w:shd w:val="clear" w:color="auto" w:fill="CCCCCC"/>
            <w:vAlign w:val="bottom"/>
          </w:tcPr>
          <w:p w14:paraId="038A5251" w14:textId="77777777" w:rsidR="00A73253" w:rsidRDefault="00A73253" w:rsidP="001A5D4A">
            <w:pPr>
              <w:pStyle w:val="NotesTable-CellPlain"/>
            </w:pPr>
            <w:r>
              <w:t>–</w:t>
            </w:r>
          </w:p>
        </w:tc>
      </w:tr>
      <w:tr w:rsidR="00A73253" w14:paraId="038A525E" w14:textId="77777777" w:rsidTr="004B7414">
        <w:trPr>
          <w:cantSplit/>
          <w:trHeight w:val="255"/>
        </w:trPr>
        <w:tc>
          <w:tcPr>
            <w:tcW w:w="533" w:type="pct"/>
            <w:tcBorders>
              <w:right w:val="single" w:sz="8" w:space="0" w:color="CDCDCD"/>
            </w:tcBorders>
          </w:tcPr>
          <w:p w14:paraId="038A5253" w14:textId="77777777" w:rsidR="00A73253" w:rsidRDefault="00A73253" w:rsidP="001A5D4A">
            <w:pPr>
              <w:pStyle w:val="Note-Refs"/>
            </w:pPr>
            <w:r>
              <w:t>B</w:t>
            </w:r>
          </w:p>
        </w:tc>
        <w:tc>
          <w:tcPr>
            <w:tcW w:w="1732" w:type="pct"/>
            <w:tcBorders>
              <w:left w:val="single" w:sz="8" w:space="0" w:color="CDCDCD"/>
            </w:tcBorders>
            <w:shd w:val="clear" w:color="auto" w:fill="CCCCCC"/>
          </w:tcPr>
          <w:p w14:paraId="038A5254" w14:textId="77777777" w:rsidR="00A73253" w:rsidRDefault="00A73253" w:rsidP="001A5D4A">
            <w:pPr>
              <w:pStyle w:val="NotesTable-ItemPlain"/>
              <w:rPr>
                <w:b/>
              </w:rPr>
            </w:pPr>
            <w:r>
              <w:t>Net accrual adjustments</w:t>
            </w:r>
          </w:p>
        </w:tc>
        <w:tc>
          <w:tcPr>
            <w:tcW w:w="253" w:type="pct"/>
            <w:shd w:val="clear" w:color="auto" w:fill="CCCCCC"/>
          </w:tcPr>
          <w:p w14:paraId="038A5255" w14:textId="77777777" w:rsidR="00A73253" w:rsidRDefault="00A73253" w:rsidP="001A5D4A">
            <w:pPr>
              <w:pStyle w:val="NotesTable-Notes"/>
            </w:pPr>
          </w:p>
        </w:tc>
        <w:tc>
          <w:tcPr>
            <w:tcW w:w="310" w:type="pct"/>
            <w:gridSpan w:val="2"/>
            <w:tcBorders>
              <w:bottom w:val="single" w:sz="4" w:space="0" w:color="000000"/>
            </w:tcBorders>
            <w:shd w:val="clear" w:color="auto" w:fill="CCCCCC"/>
          </w:tcPr>
          <w:p w14:paraId="038A5256" w14:textId="77777777" w:rsidR="00A73253" w:rsidRDefault="00A73253" w:rsidP="001A5D4A">
            <w:pPr>
              <w:pStyle w:val="NotesTable-CellBold"/>
            </w:pPr>
            <w:r>
              <w:t>–</w:t>
            </w:r>
          </w:p>
        </w:tc>
        <w:tc>
          <w:tcPr>
            <w:tcW w:w="310" w:type="pct"/>
            <w:tcBorders>
              <w:bottom w:val="single" w:sz="4" w:space="0" w:color="000000"/>
            </w:tcBorders>
            <w:shd w:val="clear" w:color="auto" w:fill="CCCCCC"/>
          </w:tcPr>
          <w:p w14:paraId="038A5257"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58"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59"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5A"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5B"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5C" w14:textId="77777777" w:rsidR="00A73253" w:rsidRDefault="00A73253" w:rsidP="001A5D4A">
            <w:pPr>
              <w:pStyle w:val="NotesTable-CellBold"/>
            </w:pPr>
            <w:r>
              <w:t>–</w:t>
            </w:r>
          </w:p>
        </w:tc>
        <w:tc>
          <w:tcPr>
            <w:tcW w:w="310" w:type="pct"/>
            <w:tcBorders>
              <w:bottom w:val="single" w:sz="4" w:space="0" w:color="000000"/>
              <w:right w:val="single" w:sz="8" w:space="0" w:color="CDCDCD"/>
            </w:tcBorders>
            <w:shd w:val="clear" w:color="auto" w:fill="CCCCCC"/>
          </w:tcPr>
          <w:p w14:paraId="038A525D" w14:textId="77777777" w:rsidR="00A73253" w:rsidRDefault="00A73253" w:rsidP="001A5D4A">
            <w:pPr>
              <w:pStyle w:val="NotesTable-CellPlain"/>
            </w:pPr>
            <w:r>
              <w:t>–</w:t>
            </w:r>
          </w:p>
        </w:tc>
      </w:tr>
      <w:tr w:rsidR="00A73253" w14:paraId="038A526A" w14:textId="77777777" w:rsidTr="004B7414">
        <w:trPr>
          <w:cantSplit/>
          <w:trHeight w:val="255"/>
        </w:trPr>
        <w:tc>
          <w:tcPr>
            <w:tcW w:w="533" w:type="pct"/>
            <w:tcBorders>
              <w:right w:val="single" w:sz="8" w:space="0" w:color="CDCDCD"/>
            </w:tcBorders>
          </w:tcPr>
          <w:p w14:paraId="038A525F" w14:textId="77777777" w:rsidR="00A73253" w:rsidRDefault="00A73253" w:rsidP="001A5D4A">
            <w:pPr>
              <w:pStyle w:val="Note-Refs"/>
              <w:rPr>
                <w:b/>
              </w:rPr>
            </w:pPr>
            <w:r>
              <w:t>C = A + B</w:t>
            </w:r>
          </w:p>
        </w:tc>
        <w:tc>
          <w:tcPr>
            <w:tcW w:w="1732" w:type="pct"/>
            <w:tcBorders>
              <w:left w:val="single" w:sz="8" w:space="0" w:color="CDCDCD"/>
            </w:tcBorders>
            <w:shd w:val="clear" w:color="auto" w:fill="CCCCCC"/>
          </w:tcPr>
          <w:p w14:paraId="038A5260" w14:textId="77777777" w:rsidR="00A73253" w:rsidRDefault="00A73253" w:rsidP="001A5D4A">
            <w:pPr>
              <w:pStyle w:val="NotesTable-ItemPlain"/>
              <w:rPr>
                <w:b/>
              </w:rPr>
            </w:pPr>
            <w:r>
              <w:t>Revenue for the period</w:t>
            </w:r>
          </w:p>
        </w:tc>
        <w:tc>
          <w:tcPr>
            <w:tcW w:w="253" w:type="pct"/>
            <w:shd w:val="clear" w:color="auto" w:fill="CCCCCC"/>
          </w:tcPr>
          <w:p w14:paraId="038A5261" w14:textId="77777777" w:rsidR="00A73253" w:rsidRDefault="00A73253" w:rsidP="001A5D4A">
            <w:pPr>
              <w:pStyle w:val="NotesTable-Notes"/>
            </w:pPr>
            <w:r>
              <w:t>3(f)</w:t>
            </w:r>
          </w:p>
        </w:tc>
        <w:tc>
          <w:tcPr>
            <w:tcW w:w="310" w:type="pct"/>
            <w:gridSpan w:val="2"/>
            <w:tcBorders>
              <w:top w:val="single" w:sz="4" w:space="0" w:color="000000"/>
            </w:tcBorders>
            <w:shd w:val="clear" w:color="auto" w:fill="CCCCCC"/>
          </w:tcPr>
          <w:p w14:paraId="038A5262" w14:textId="77777777" w:rsidR="00A73253" w:rsidRDefault="00A73253" w:rsidP="001A5D4A">
            <w:pPr>
              <w:pStyle w:val="NotesTable-CellBold"/>
            </w:pPr>
            <w:r>
              <w:t>–</w:t>
            </w:r>
          </w:p>
        </w:tc>
        <w:tc>
          <w:tcPr>
            <w:tcW w:w="310" w:type="pct"/>
            <w:tcBorders>
              <w:top w:val="single" w:sz="4" w:space="0" w:color="000000"/>
            </w:tcBorders>
            <w:shd w:val="clear" w:color="auto" w:fill="CCCCCC"/>
          </w:tcPr>
          <w:p w14:paraId="038A5263"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64" w14:textId="77777777" w:rsidR="00A73253" w:rsidRDefault="00A73253" w:rsidP="001A5D4A">
            <w:pPr>
              <w:pStyle w:val="NotesTable-CellBold"/>
            </w:pPr>
            <w:r>
              <w:t>–</w:t>
            </w:r>
          </w:p>
        </w:tc>
        <w:tc>
          <w:tcPr>
            <w:tcW w:w="311" w:type="pct"/>
            <w:tcBorders>
              <w:top w:val="single" w:sz="4" w:space="0" w:color="000000"/>
            </w:tcBorders>
            <w:shd w:val="clear" w:color="auto" w:fill="CCCCCC"/>
          </w:tcPr>
          <w:p w14:paraId="038A5265"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66" w14:textId="77777777" w:rsidR="00A73253" w:rsidRDefault="00A73253" w:rsidP="001A5D4A">
            <w:pPr>
              <w:pStyle w:val="NotesTable-CellBold"/>
            </w:pPr>
            <w:r>
              <w:t>–</w:t>
            </w:r>
          </w:p>
        </w:tc>
        <w:tc>
          <w:tcPr>
            <w:tcW w:w="311" w:type="pct"/>
            <w:tcBorders>
              <w:top w:val="single" w:sz="4" w:space="0" w:color="000000"/>
            </w:tcBorders>
            <w:shd w:val="clear" w:color="auto" w:fill="CCCCCC"/>
          </w:tcPr>
          <w:p w14:paraId="038A5267"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68" w14:textId="77777777" w:rsidR="00A73253" w:rsidRDefault="00A73253" w:rsidP="001A5D4A">
            <w:pPr>
              <w:pStyle w:val="NotesTable-CellBold"/>
            </w:pPr>
            <w:r>
              <w:t>–</w:t>
            </w:r>
          </w:p>
        </w:tc>
        <w:tc>
          <w:tcPr>
            <w:tcW w:w="310" w:type="pct"/>
            <w:tcBorders>
              <w:top w:val="single" w:sz="4" w:space="0" w:color="000000"/>
              <w:right w:val="single" w:sz="8" w:space="0" w:color="CDCDCD"/>
            </w:tcBorders>
            <w:shd w:val="clear" w:color="auto" w:fill="CCCCCC"/>
          </w:tcPr>
          <w:p w14:paraId="038A5269" w14:textId="77777777" w:rsidR="00A73253" w:rsidRDefault="00A73253" w:rsidP="001A5D4A">
            <w:pPr>
              <w:pStyle w:val="NotesTable-CellPlain"/>
            </w:pPr>
            <w:r>
              <w:t>–</w:t>
            </w:r>
          </w:p>
        </w:tc>
      </w:tr>
      <w:tr w:rsidR="00A73253" w14:paraId="038A5276" w14:textId="77777777" w:rsidTr="004B7414">
        <w:trPr>
          <w:cantSplit/>
          <w:trHeight w:val="255"/>
        </w:trPr>
        <w:tc>
          <w:tcPr>
            <w:tcW w:w="533" w:type="pct"/>
            <w:tcBorders>
              <w:right w:val="single" w:sz="8" w:space="0" w:color="CDCDCD"/>
            </w:tcBorders>
          </w:tcPr>
          <w:p w14:paraId="038A526B" w14:textId="77777777" w:rsidR="00A73253" w:rsidRDefault="00A73253" w:rsidP="001A5D4A">
            <w:pPr>
              <w:pStyle w:val="Note-Refs"/>
            </w:pPr>
          </w:p>
        </w:tc>
        <w:tc>
          <w:tcPr>
            <w:tcW w:w="1732" w:type="pct"/>
            <w:tcBorders>
              <w:left w:val="single" w:sz="8" w:space="0" w:color="CDCDCD"/>
            </w:tcBorders>
            <w:shd w:val="clear" w:color="auto" w:fill="CCCCCC"/>
          </w:tcPr>
          <w:p w14:paraId="038A526C" w14:textId="77777777" w:rsidR="00A73253" w:rsidRDefault="00A73253" w:rsidP="001A5D4A">
            <w:pPr>
              <w:pStyle w:val="NotesTable-ItemPlain"/>
            </w:pPr>
          </w:p>
        </w:tc>
        <w:tc>
          <w:tcPr>
            <w:tcW w:w="253" w:type="pct"/>
            <w:shd w:val="clear" w:color="auto" w:fill="CCCCCC"/>
          </w:tcPr>
          <w:p w14:paraId="038A526D" w14:textId="77777777" w:rsidR="00A73253" w:rsidRDefault="00A73253" w:rsidP="001A5D4A">
            <w:pPr>
              <w:pStyle w:val="NotesTable-Notes"/>
            </w:pPr>
          </w:p>
        </w:tc>
        <w:tc>
          <w:tcPr>
            <w:tcW w:w="310" w:type="pct"/>
            <w:gridSpan w:val="2"/>
            <w:shd w:val="clear" w:color="auto" w:fill="CCCCCC"/>
          </w:tcPr>
          <w:p w14:paraId="038A526E" w14:textId="77777777" w:rsidR="00A73253" w:rsidRDefault="00A73253" w:rsidP="001A5D4A">
            <w:pPr>
              <w:pStyle w:val="NotesTable-CellBold"/>
            </w:pPr>
          </w:p>
        </w:tc>
        <w:tc>
          <w:tcPr>
            <w:tcW w:w="310" w:type="pct"/>
            <w:shd w:val="clear" w:color="auto" w:fill="CCCCCC"/>
          </w:tcPr>
          <w:p w14:paraId="038A526F" w14:textId="77777777" w:rsidR="00A73253" w:rsidRDefault="00A73253" w:rsidP="001A5D4A">
            <w:pPr>
              <w:pStyle w:val="NotesTable-CellPlain"/>
            </w:pPr>
          </w:p>
        </w:tc>
        <w:tc>
          <w:tcPr>
            <w:tcW w:w="310" w:type="pct"/>
            <w:shd w:val="clear" w:color="auto" w:fill="CCCCCC"/>
          </w:tcPr>
          <w:p w14:paraId="038A5270" w14:textId="77777777" w:rsidR="00A73253" w:rsidRDefault="00A73253" w:rsidP="001A5D4A">
            <w:pPr>
              <w:pStyle w:val="NotesTable-CellBold"/>
            </w:pPr>
          </w:p>
        </w:tc>
        <w:tc>
          <w:tcPr>
            <w:tcW w:w="311" w:type="pct"/>
            <w:shd w:val="clear" w:color="auto" w:fill="CCCCCC"/>
          </w:tcPr>
          <w:p w14:paraId="038A5271" w14:textId="77777777" w:rsidR="00A73253" w:rsidRDefault="00A73253" w:rsidP="001A5D4A">
            <w:pPr>
              <w:pStyle w:val="NotesTable-CellPlain"/>
            </w:pPr>
          </w:p>
        </w:tc>
        <w:tc>
          <w:tcPr>
            <w:tcW w:w="310" w:type="pct"/>
            <w:shd w:val="clear" w:color="auto" w:fill="CCCCCC"/>
          </w:tcPr>
          <w:p w14:paraId="038A5272" w14:textId="77777777" w:rsidR="00A73253" w:rsidRDefault="00A73253" w:rsidP="001A5D4A">
            <w:pPr>
              <w:pStyle w:val="NotesTable-CellBold"/>
            </w:pPr>
          </w:p>
        </w:tc>
        <w:tc>
          <w:tcPr>
            <w:tcW w:w="311" w:type="pct"/>
            <w:shd w:val="clear" w:color="auto" w:fill="CCCCCC"/>
          </w:tcPr>
          <w:p w14:paraId="038A5273" w14:textId="77777777" w:rsidR="00A73253" w:rsidRDefault="00A73253" w:rsidP="001A5D4A">
            <w:pPr>
              <w:pStyle w:val="NotesTable-CellPlain"/>
            </w:pPr>
          </w:p>
        </w:tc>
        <w:tc>
          <w:tcPr>
            <w:tcW w:w="310" w:type="pct"/>
            <w:shd w:val="clear" w:color="auto" w:fill="CCCCCC"/>
          </w:tcPr>
          <w:p w14:paraId="038A5274" w14:textId="77777777" w:rsidR="00A73253" w:rsidRDefault="00A73253" w:rsidP="001A5D4A">
            <w:pPr>
              <w:pStyle w:val="NotesTable-CellBold"/>
            </w:pPr>
          </w:p>
        </w:tc>
        <w:tc>
          <w:tcPr>
            <w:tcW w:w="310" w:type="pct"/>
            <w:tcBorders>
              <w:right w:val="single" w:sz="8" w:space="0" w:color="CDCDCD"/>
            </w:tcBorders>
            <w:shd w:val="clear" w:color="auto" w:fill="CCCCCC"/>
          </w:tcPr>
          <w:p w14:paraId="038A5275" w14:textId="77777777" w:rsidR="00A73253" w:rsidRDefault="00A73253" w:rsidP="001A5D4A">
            <w:pPr>
              <w:pStyle w:val="NotesTable-CellPlain"/>
            </w:pPr>
          </w:p>
        </w:tc>
      </w:tr>
      <w:tr w:rsidR="00A73253" w14:paraId="038A5282" w14:textId="77777777" w:rsidTr="004B7414">
        <w:trPr>
          <w:cantSplit/>
          <w:trHeight w:val="255"/>
        </w:trPr>
        <w:tc>
          <w:tcPr>
            <w:tcW w:w="533" w:type="pct"/>
            <w:tcBorders>
              <w:right w:val="single" w:sz="8" w:space="0" w:color="CDCDCD"/>
            </w:tcBorders>
          </w:tcPr>
          <w:p w14:paraId="038A5277" w14:textId="77777777" w:rsidR="00A73253" w:rsidRDefault="00A73253" w:rsidP="001A5D4A">
            <w:pPr>
              <w:pStyle w:val="Note-Refs"/>
            </w:pPr>
            <w:r>
              <w:t>D</w:t>
            </w:r>
          </w:p>
        </w:tc>
        <w:tc>
          <w:tcPr>
            <w:tcW w:w="1732" w:type="pct"/>
            <w:tcBorders>
              <w:left w:val="single" w:sz="8" w:space="0" w:color="CDCDCD"/>
            </w:tcBorders>
            <w:shd w:val="clear" w:color="auto" w:fill="CCCCCC"/>
          </w:tcPr>
          <w:p w14:paraId="038A5278" w14:textId="77777777" w:rsidR="00A73253" w:rsidRDefault="00A73253" w:rsidP="001A5D4A">
            <w:pPr>
              <w:pStyle w:val="NotesTable-ItemPlain"/>
              <w:rPr>
                <w:b/>
              </w:rPr>
            </w:pPr>
            <w:r>
              <w:t>Surplus / (deficit) from the previous year</w:t>
            </w:r>
          </w:p>
        </w:tc>
        <w:tc>
          <w:tcPr>
            <w:tcW w:w="253" w:type="pct"/>
            <w:shd w:val="clear" w:color="auto" w:fill="CCCCCC"/>
          </w:tcPr>
          <w:p w14:paraId="038A5279" w14:textId="77777777" w:rsidR="00A73253" w:rsidRDefault="00A73253" w:rsidP="001A5D4A">
            <w:pPr>
              <w:pStyle w:val="NotesTable-Notes"/>
            </w:pPr>
          </w:p>
        </w:tc>
        <w:tc>
          <w:tcPr>
            <w:tcW w:w="310" w:type="pct"/>
            <w:gridSpan w:val="2"/>
            <w:tcBorders>
              <w:bottom w:val="single" w:sz="4" w:space="0" w:color="000000"/>
            </w:tcBorders>
            <w:shd w:val="clear" w:color="auto" w:fill="CCCCCC"/>
          </w:tcPr>
          <w:p w14:paraId="038A527A" w14:textId="77777777" w:rsidR="00A73253" w:rsidRDefault="00A73253" w:rsidP="001A5D4A">
            <w:pPr>
              <w:pStyle w:val="NotesTable-CellBold"/>
            </w:pPr>
            <w:r>
              <w:t>–</w:t>
            </w:r>
          </w:p>
        </w:tc>
        <w:tc>
          <w:tcPr>
            <w:tcW w:w="310" w:type="pct"/>
            <w:tcBorders>
              <w:bottom w:val="single" w:sz="4" w:space="0" w:color="000000"/>
            </w:tcBorders>
            <w:shd w:val="clear" w:color="auto" w:fill="CCCCCC"/>
          </w:tcPr>
          <w:p w14:paraId="038A527B"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7C"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7D"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7E"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7F"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80" w14:textId="77777777" w:rsidR="00A73253" w:rsidRDefault="00A73253" w:rsidP="001A5D4A">
            <w:pPr>
              <w:pStyle w:val="NotesTable-CellBold"/>
            </w:pPr>
            <w:r>
              <w:t>–</w:t>
            </w:r>
          </w:p>
        </w:tc>
        <w:tc>
          <w:tcPr>
            <w:tcW w:w="310" w:type="pct"/>
            <w:tcBorders>
              <w:bottom w:val="single" w:sz="4" w:space="0" w:color="000000"/>
              <w:right w:val="single" w:sz="8" w:space="0" w:color="CDCDCD"/>
            </w:tcBorders>
            <w:shd w:val="clear" w:color="auto" w:fill="CCCCCC"/>
          </w:tcPr>
          <w:p w14:paraId="038A5281" w14:textId="77777777" w:rsidR="00A73253" w:rsidRDefault="00A73253" w:rsidP="001A5D4A">
            <w:pPr>
              <w:pStyle w:val="NotesTable-CellPlain"/>
            </w:pPr>
            <w:r>
              <w:t>–</w:t>
            </w:r>
          </w:p>
        </w:tc>
      </w:tr>
      <w:tr w:rsidR="00A73253" w14:paraId="038A528E" w14:textId="77777777" w:rsidTr="004B7414">
        <w:trPr>
          <w:cantSplit/>
          <w:trHeight w:val="255"/>
        </w:trPr>
        <w:tc>
          <w:tcPr>
            <w:tcW w:w="533" w:type="pct"/>
            <w:tcBorders>
              <w:right w:val="single" w:sz="8" w:space="0" w:color="CDCDCD"/>
            </w:tcBorders>
          </w:tcPr>
          <w:p w14:paraId="038A5283" w14:textId="77777777" w:rsidR="00A73253" w:rsidRDefault="00A73253" w:rsidP="001A5D4A">
            <w:pPr>
              <w:pStyle w:val="Note-Refs"/>
              <w:rPr>
                <w:b/>
              </w:rPr>
            </w:pPr>
            <w:r>
              <w:t>E = C + D</w:t>
            </w:r>
          </w:p>
        </w:tc>
        <w:tc>
          <w:tcPr>
            <w:tcW w:w="1732" w:type="pct"/>
            <w:tcBorders>
              <w:left w:val="single" w:sz="8" w:space="0" w:color="CDCDCD"/>
            </w:tcBorders>
            <w:shd w:val="clear" w:color="auto" w:fill="CCCCCC"/>
          </w:tcPr>
          <w:p w14:paraId="038A5284" w14:textId="77777777" w:rsidR="00A73253" w:rsidRDefault="00A73253" w:rsidP="001A5D4A">
            <w:pPr>
              <w:pStyle w:val="NotesTable-ItemPlain"/>
              <w:rPr>
                <w:b/>
              </w:rPr>
            </w:pPr>
            <w:r>
              <w:t>Total revenue including accrued revenue</w:t>
            </w:r>
          </w:p>
        </w:tc>
        <w:tc>
          <w:tcPr>
            <w:tcW w:w="253" w:type="pct"/>
            <w:shd w:val="clear" w:color="auto" w:fill="CCCCCC"/>
          </w:tcPr>
          <w:p w14:paraId="038A5285" w14:textId="77777777" w:rsidR="00A73253" w:rsidRDefault="00A73253" w:rsidP="001A5D4A">
            <w:pPr>
              <w:pStyle w:val="NotesTable-Notes"/>
            </w:pPr>
          </w:p>
        </w:tc>
        <w:tc>
          <w:tcPr>
            <w:tcW w:w="310" w:type="pct"/>
            <w:gridSpan w:val="2"/>
            <w:tcBorders>
              <w:top w:val="single" w:sz="4" w:space="0" w:color="000000"/>
            </w:tcBorders>
            <w:shd w:val="clear" w:color="auto" w:fill="CCCCCC"/>
          </w:tcPr>
          <w:p w14:paraId="038A5286" w14:textId="77777777" w:rsidR="00A73253" w:rsidRDefault="00A73253" w:rsidP="001A5D4A">
            <w:pPr>
              <w:pStyle w:val="NotesTable-CellBold"/>
            </w:pPr>
            <w:r>
              <w:t>–</w:t>
            </w:r>
          </w:p>
        </w:tc>
        <w:tc>
          <w:tcPr>
            <w:tcW w:w="310" w:type="pct"/>
            <w:tcBorders>
              <w:top w:val="single" w:sz="4" w:space="0" w:color="000000"/>
            </w:tcBorders>
            <w:shd w:val="clear" w:color="auto" w:fill="CCCCCC"/>
          </w:tcPr>
          <w:p w14:paraId="038A5287"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88" w14:textId="77777777" w:rsidR="00A73253" w:rsidRDefault="00A73253" w:rsidP="001A5D4A">
            <w:pPr>
              <w:pStyle w:val="NotesTable-CellBold"/>
            </w:pPr>
            <w:r>
              <w:t>–</w:t>
            </w:r>
          </w:p>
        </w:tc>
        <w:tc>
          <w:tcPr>
            <w:tcW w:w="311" w:type="pct"/>
            <w:tcBorders>
              <w:top w:val="single" w:sz="4" w:space="0" w:color="000000"/>
            </w:tcBorders>
            <w:shd w:val="clear" w:color="auto" w:fill="CCCCCC"/>
          </w:tcPr>
          <w:p w14:paraId="038A5289"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8A" w14:textId="77777777" w:rsidR="00A73253" w:rsidRDefault="00A73253" w:rsidP="001A5D4A">
            <w:pPr>
              <w:pStyle w:val="NotesTable-CellBold"/>
            </w:pPr>
            <w:r>
              <w:t>–</w:t>
            </w:r>
          </w:p>
        </w:tc>
        <w:tc>
          <w:tcPr>
            <w:tcW w:w="311" w:type="pct"/>
            <w:tcBorders>
              <w:top w:val="single" w:sz="4" w:space="0" w:color="000000"/>
            </w:tcBorders>
            <w:shd w:val="clear" w:color="auto" w:fill="CCCCCC"/>
          </w:tcPr>
          <w:p w14:paraId="038A528B" w14:textId="77777777" w:rsidR="00A73253" w:rsidRDefault="00A73253" w:rsidP="001A5D4A">
            <w:pPr>
              <w:pStyle w:val="NotesTable-CellPlain"/>
            </w:pPr>
            <w:r>
              <w:t>–</w:t>
            </w:r>
          </w:p>
        </w:tc>
        <w:tc>
          <w:tcPr>
            <w:tcW w:w="310" w:type="pct"/>
            <w:tcBorders>
              <w:top w:val="single" w:sz="4" w:space="0" w:color="000000"/>
            </w:tcBorders>
            <w:shd w:val="clear" w:color="auto" w:fill="CCCCCC"/>
          </w:tcPr>
          <w:p w14:paraId="038A528C" w14:textId="77777777" w:rsidR="00A73253" w:rsidRDefault="00A73253" w:rsidP="001A5D4A">
            <w:pPr>
              <w:pStyle w:val="NotesTable-CellBold"/>
            </w:pPr>
            <w:r>
              <w:t>–</w:t>
            </w:r>
          </w:p>
        </w:tc>
        <w:tc>
          <w:tcPr>
            <w:tcW w:w="310" w:type="pct"/>
            <w:tcBorders>
              <w:top w:val="single" w:sz="4" w:space="0" w:color="000000"/>
              <w:right w:val="single" w:sz="8" w:space="0" w:color="CDCDCD"/>
            </w:tcBorders>
            <w:shd w:val="clear" w:color="auto" w:fill="CCCCCC"/>
          </w:tcPr>
          <w:p w14:paraId="038A528D" w14:textId="77777777" w:rsidR="00A73253" w:rsidRDefault="00A73253" w:rsidP="001A5D4A">
            <w:pPr>
              <w:pStyle w:val="NotesTable-CellPlain"/>
            </w:pPr>
            <w:r>
              <w:t>–</w:t>
            </w:r>
          </w:p>
        </w:tc>
      </w:tr>
      <w:tr w:rsidR="00A73253" w14:paraId="038A529A" w14:textId="77777777" w:rsidTr="004B7414">
        <w:trPr>
          <w:cantSplit/>
          <w:trHeight w:val="255"/>
        </w:trPr>
        <w:tc>
          <w:tcPr>
            <w:tcW w:w="533" w:type="pct"/>
            <w:tcBorders>
              <w:right w:val="single" w:sz="8" w:space="0" w:color="CDCDCD"/>
            </w:tcBorders>
          </w:tcPr>
          <w:p w14:paraId="038A528F" w14:textId="77777777" w:rsidR="00A73253" w:rsidRDefault="00A73253" w:rsidP="001A5D4A">
            <w:pPr>
              <w:pStyle w:val="Note-Refs"/>
            </w:pPr>
            <w:r>
              <w:t>F</w:t>
            </w:r>
          </w:p>
        </w:tc>
        <w:tc>
          <w:tcPr>
            <w:tcW w:w="1732" w:type="pct"/>
            <w:tcBorders>
              <w:left w:val="single" w:sz="8" w:space="0" w:color="CDCDCD"/>
            </w:tcBorders>
            <w:shd w:val="clear" w:color="auto" w:fill="CCCCCC"/>
          </w:tcPr>
          <w:p w14:paraId="038A5290" w14:textId="77777777" w:rsidR="00A73253" w:rsidRDefault="00A73253" w:rsidP="001A5D4A">
            <w:pPr>
              <w:pStyle w:val="NotesTable-ItemPlain"/>
              <w:rPr>
                <w:b/>
              </w:rPr>
            </w:pPr>
            <w:r>
              <w:t>Less expenses including accrued expenses</w:t>
            </w:r>
          </w:p>
        </w:tc>
        <w:tc>
          <w:tcPr>
            <w:tcW w:w="253" w:type="pct"/>
            <w:shd w:val="clear" w:color="auto" w:fill="CCCCCC"/>
          </w:tcPr>
          <w:p w14:paraId="038A5291" w14:textId="77777777" w:rsidR="00A73253" w:rsidRDefault="00A73253" w:rsidP="001A5D4A">
            <w:pPr>
              <w:pStyle w:val="NotesTable-Notes"/>
            </w:pPr>
          </w:p>
        </w:tc>
        <w:tc>
          <w:tcPr>
            <w:tcW w:w="310" w:type="pct"/>
            <w:gridSpan w:val="2"/>
            <w:tcBorders>
              <w:bottom w:val="single" w:sz="4" w:space="0" w:color="000000"/>
            </w:tcBorders>
            <w:shd w:val="clear" w:color="auto" w:fill="CCCCCC"/>
          </w:tcPr>
          <w:p w14:paraId="038A5292" w14:textId="77777777" w:rsidR="00A73253" w:rsidRDefault="00A73253" w:rsidP="001A5D4A">
            <w:pPr>
              <w:pStyle w:val="NotesTable-CellBold"/>
            </w:pPr>
            <w:r>
              <w:t>–</w:t>
            </w:r>
          </w:p>
        </w:tc>
        <w:tc>
          <w:tcPr>
            <w:tcW w:w="310" w:type="pct"/>
            <w:tcBorders>
              <w:bottom w:val="single" w:sz="4" w:space="0" w:color="000000"/>
            </w:tcBorders>
            <w:shd w:val="clear" w:color="auto" w:fill="CCCCCC"/>
          </w:tcPr>
          <w:p w14:paraId="038A5293"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94"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95"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96" w14:textId="77777777" w:rsidR="00A73253" w:rsidRDefault="00A73253" w:rsidP="001A5D4A">
            <w:pPr>
              <w:pStyle w:val="NotesTable-CellBold"/>
            </w:pPr>
            <w:r>
              <w:t>–</w:t>
            </w:r>
          </w:p>
        </w:tc>
        <w:tc>
          <w:tcPr>
            <w:tcW w:w="311" w:type="pct"/>
            <w:tcBorders>
              <w:bottom w:val="single" w:sz="4" w:space="0" w:color="000000"/>
            </w:tcBorders>
            <w:shd w:val="clear" w:color="auto" w:fill="CCCCCC"/>
          </w:tcPr>
          <w:p w14:paraId="038A5297" w14:textId="77777777" w:rsidR="00A73253" w:rsidRDefault="00A73253" w:rsidP="001A5D4A">
            <w:pPr>
              <w:pStyle w:val="NotesTable-CellPlain"/>
            </w:pPr>
            <w:r>
              <w:t>–</w:t>
            </w:r>
          </w:p>
        </w:tc>
        <w:tc>
          <w:tcPr>
            <w:tcW w:w="310" w:type="pct"/>
            <w:tcBorders>
              <w:bottom w:val="single" w:sz="4" w:space="0" w:color="000000"/>
            </w:tcBorders>
            <w:shd w:val="clear" w:color="auto" w:fill="CCCCCC"/>
          </w:tcPr>
          <w:p w14:paraId="038A5298" w14:textId="77777777" w:rsidR="00A73253" w:rsidRDefault="00A73253" w:rsidP="001A5D4A">
            <w:pPr>
              <w:pStyle w:val="NotesTable-CellBold"/>
            </w:pPr>
            <w:r>
              <w:t>–</w:t>
            </w:r>
          </w:p>
        </w:tc>
        <w:tc>
          <w:tcPr>
            <w:tcW w:w="310" w:type="pct"/>
            <w:tcBorders>
              <w:bottom w:val="single" w:sz="4" w:space="0" w:color="000000"/>
              <w:right w:val="single" w:sz="8" w:space="0" w:color="CDCDCD"/>
            </w:tcBorders>
            <w:shd w:val="clear" w:color="auto" w:fill="CCCCCC"/>
          </w:tcPr>
          <w:p w14:paraId="038A5299" w14:textId="77777777" w:rsidR="00A73253" w:rsidRDefault="00A73253" w:rsidP="001A5D4A">
            <w:pPr>
              <w:pStyle w:val="NotesTable-CellPlain"/>
            </w:pPr>
            <w:r>
              <w:t>–</w:t>
            </w:r>
          </w:p>
        </w:tc>
      </w:tr>
      <w:tr w:rsidR="00A73253" w14:paraId="038A52A6" w14:textId="77777777" w:rsidTr="004B7414">
        <w:trPr>
          <w:cantSplit/>
          <w:trHeight w:val="255"/>
        </w:trPr>
        <w:tc>
          <w:tcPr>
            <w:tcW w:w="533" w:type="pct"/>
            <w:tcBorders>
              <w:right w:val="single" w:sz="8" w:space="0" w:color="CDCDCD"/>
            </w:tcBorders>
          </w:tcPr>
          <w:p w14:paraId="038A529B" w14:textId="77777777" w:rsidR="00A73253" w:rsidRDefault="00A73253" w:rsidP="001A5D4A">
            <w:pPr>
              <w:pStyle w:val="Note-Refs"/>
              <w:rPr>
                <w:b/>
              </w:rPr>
            </w:pPr>
            <w:r>
              <w:t>G = E – F</w:t>
            </w:r>
          </w:p>
        </w:tc>
        <w:tc>
          <w:tcPr>
            <w:tcW w:w="1732" w:type="pct"/>
            <w:tcBorders>
              <w:left w:val="single" w:sz="8" w:space="0" w:color="CDCDCD"/>
            </w:tcBorders>
            <w:shd w:val="clear" w:color="auto" w:fill="CCCCCC"/>
          </w:tcPr>
          <w:p w14:paraId="038A529C" w14:textId="77777777" w:rsidR="00A73253" w:rsidRDefault="00A73253" w:rsidP="001A5D4A">
            <w:pPr>
              <w:pStyle w:val="NotesTable-ItemPlain"/>
              <w:rPr>
                <w:b/>
              </w:rPr>
            </w:pPr>
            <w:r>
              <w:t>Surplus / (deficit) for reporting period</w:t>
            </w:r>
          </w:p>
        </w:tc>
        <w:tc>
          <w:tcPr>
            <w:tcW w:w="253" w:type="pct"/>
            <w:shd w:val="clear" w:color="auto" w:fill="CCCCCC"/>
          </w:tcPr>
          <w:p w14:paraId="038A529D" w14:textId="77777777" w:rsidR="00A73253" w:rsidRDefault="00A73253" w:rsidP="001A5D4A">
            <w:pPr>
              <w:pStyle w:val="NotesTable-Notes"/>
            </w:pPr>
          </w:p>
        </w:tc>
        <w:tc>
          <w:tcPr>
            <w:tcW w:w="310" w:type="pct"/>
            <w:gridSpan w:val="2"/>
            <w:tcBorders>
              <w:bottom w:val="single" w:sz="4" w:space="0" w:color="auto"/>
            </w:tcBorders>
            <w:shd w:val="clear" w:color="auto" w:fill="CCCCCC"/>
          </w:tcPr>
          <w:p w14:paraId="038A529E" w14:textId="77777777" w:rsidR="00A73253" w:rsidRDefault="00A73253" w:rsidP="001A5D4A">
            <w:pPr>
              <w:pStyle w:val="NotesTable-CellBold"/>
            </w:pPr>
            <w:r>
              <w:t>–</w:t>
            </w:r>
          </w:p>
        </w:tc>
        <w:tc>
          <w:tcPr>
            <w:tcW w:w="310" w:type="pct"/>
            <w:tcBorders>
              <w:bottom w:val="single" w:sz="4" w:space="0" w:color="auto"/>
            </w:tcBorders>
            <w:shd w:val="clear" w:color="auto" w:fill="CCCCCC"/>
          </w:tcPr>
          <w:p w14:paraId="038A529F" w14:textId="77777777" w:rsidR="00A73253" w:rsidRDefault="00A73253" w:rsidP="001A5D4A">
            <w:pPr>
              <w:pStyle w:val="NotesTable-CellPlain"/>
            </w:pPr>
            <w:r>
              <w:t>–</w:t>
            </w:r>
          </w:p>
        </w:tc>
        <w:tc>
          <w:tcPr>
            <w:tcW w:w="310" w:type="pct"/>
            <w:tcBorders>
              <w:bottom w:val="single" w:sz="4" w:space="0" w:color="auto"/>
            </w:tcBorders>
            <w:shd w:val="clear" w:color="auto" w:fill="CCCCCC"/>
          </w:tcPr>
          <w:p w14:paraId="038A52A0" w14:textId="77777777" w:rsidR="00A73253" w:rsidRDefault="00A73253" w:rsidP="001A5D4A">
            <w:pPr>
              <w:pStyle w:val="NotesTable-CellBold"/>
            </w:pPr>
            <w:r>
              <w:t>–</w:t>
            </w:r>
          </w:p>
        </w:tc>
        <w:tc>
          <w:tcPr>
            <w:tcW w:w="311" w:type="pct"/>
            <w:tcBorders>
              <w:bottom w:val="single" w:sz="4" w:space="0" w:color="auto"/>
            </w:tcBorders>
            <w:shd w:val="clear" w:color="auto" w:fill="CCCCCC"/>
          </w:tcPr>
          <w:p w14:paraId="038A52A1" w14:textId="77777777" w:rsidR="00A73253" w:rsidRDefault="00A73253" w:rsidP="001A5D4A">
            <w:pPr>
              <w:pStyle w:val="NotesTable-CellPlain"/>
            </w:pPr>
            <w:r>
              <w:t>–</w:t>
            </w:r>
          </w:p>
        </w:tc>
        <w:tc>
          <w:tcPr>
            <w:tcW w:w="310" w:type="pct"/>
            <w:tcBorders>
              <w:bottom w:val="single" w:sz="4" w:space="0" w:color="auto"/>
            </w:tcBorders>
            <w:shd w:val="clear" w:color="auto" w:fill="CCCCCC"/>
          </w:tcPr>
          <w:p w14:paraId="038A52A2" w14:textId="77777777" w:rsidR="00A73253" w:rsidRDefault="00A73253" w:rsidP="001A5D4A">
            <w:pPr>
              <w:pStyle w:val="NotesTable-CellBold"/>
            </w:pPr>
            <w:r>
              <w:t>–</w:t>
            </w:r>
          </w:p>
        </w:tc>
        <w:tc>
          <w:tcPr>
            <w:tcW w:w="311" w:type="pct"/>
            <w:tcBorders>
              <w:bottom w:val="single" w:sz="4" w:space="0" w:color="auto"/>
            </w:tcBorders>
            <w:shd w:val="clear" w:color="auto" w:fill="CCCCCC"/>
          </w:tcPr>
          <w:p w14:paraId="038A52A3" w14:textId="77777777" w:rsidR="00A73253" w:rsidRDefault="00A73253" w:rsidP="001A5D4A">
            <w:pPr>
              <w:pStyle w:val="NotesTable-CellPlain"/>
            </w:pPr>
            <w:r>
              <w:t>–</w:t>
            </w:r>
          </w:p>
        </w:tc>
        <w:tc>
          <w:tcPr>
            <w:tcW w:w="310" w:type="pct"/>
            <w:tcBorders>
              <w:bottom w:val="single" w:sz="4" w:space="0" w:color="auto"/>
            </w:tcBorders>
            <w:shd w:val="clear" w:color="auto" w:fill="CCCCCC"/>
          </w:tcPr>
          <w:p w14:paraId="038A52A4" w14:textId="77777777" w:rsidR="00A73253" w:rsidRDefault="00A73253" w:rsidP="001A5D4A">
            <w:pPr>
              <w:pStyle w:val="NotesTable-CellBold"/>
            </w:pPr>
            <w:r>
              <w:t>–</w:t>
            </w:r>
          </w:p>
        </w:tc>
        <w:tc>
          <w:tcPr>
            <w:tcW w:w="310" w:type="pct"/>
            <w:tcBorders>
              <w:bottom w:val="single" w:sz="4" w:space="0" w:color="auto"/>
              <w:right w:val="single" w:sz="8" w:space="0" w:color="CDCDCD"/>
            </w:tcBorders>
            <w:shd w:val="clear" w:color="auto" w:fill="CCCCCC"/>
          </w:tcPr>
          <w:p w14:paraId="038A52A5" w14:textId="77777777" w:rsidR="00A73253" w:rsidRDefault="00A73253" w:rsidP="001A5D4A">
            <w:pPr>
              <w:pStyle w:val="NotesTable-CellPlain"/>
            </w:pPr>
            <w:r>
              <w:t>–</w:t>
            </w:r>
          </w:p>
        </w:tc>
      </w:tr>
      <w:tr w:rsidR="00774F5C" w14:paraId="038A52B2" w14:textId="77777777" w:rsidTr="004B7414">
        <w:trPr>
          <w:cantSplit/>
          <w:trHeight w:val="255"/>
        </w:trPr>
        <w:tc>
          <w:tcPr>
            <w:tcW w:w="533" w:type="pct"/>
            <w:tcBorders>
              <w:right w:val="single" w:sz="8" w:space="0" w:color="CDCDCD"/>
            </w:tcBorders>
          </w:tcPr>
          <w:p w14:paraId="038A52A7" w14:textId="77777777" w:rsidR="00774F5C" w:rsidRDefault="00774F5C" w:rsidP="001A5D4A">
            <w:pPr>
              <w:pStyle w:val="Note-Refs"/>
            </w:pPr>
          </w:p>
        </w:tc>
        <w:tc>
          <w:tcPr>
            <w:tcW w:w="1732" w:type="pct"/>
            <w:tcBorders>
              <w:left w:val="single" w:sz="8" w:space="0" w:color="CDCDCD"/>
              <w:bottom w:val="single" w:sz="8" w:space="0" w:color="CDCDCD"/>
            </w:tcBorders>
            <w:shd w:val="clear" w:color="auto" w:fill="CCCCCC"/>
          </w:tcPr>
          <w:p w14:paraId="038A52A8" w14:textId="77777777" w:rsidR="00774F5C" w:rsidRDefault="00774F5C" w:rsidP="001A5D4A">
            <w:pPr>
              <w:pStyle w:val="NotesTable-ItemPlain"/>
            </w:pPr>
          </w:p>
        </w:tc>
        <w:tc>
          <w:tcPr>
            <w:tcW w:w="253" w:type="pct"/>
            <w:tcBorders>
              <w:bottom w:val="single" w:sz="8" w:space="0" w:color="CDCDCD"/>
            </w:tcBorders>
            <w:shd w:val="clear" w:color="auto" w:fill="CCCCCC"/>
          </w:tcPr>
          <w:p w14:paraId="038A52A9" w14:textId="77777777" w:rsidR="00774F5C" w:rsidRDefault="00774F5C" w:rsidP="001A5D4A">
            <w:pPr>
              <w:pStyle w:val="NotesTable-Notes"/>
            </w:pPr>
          </w:p>
        </w:tc>
        <w:tc>
          <w:tcPr>
            <w:tcW w:w="310" w:type="pct"/>
            <w:gridSpan w:val="2"/>
            <w:tcBorders>
              <w:top w:val="single" w:sz="4" w:space="0" w:color="auto"/>
              <w:bottom w:val="single" w:sz="8" w:space="0" w:color="CDCDCD"/>
            </w:tcBorders>
            <w:shd w:val="clear" w:color="auto" w:fill="CCCCCC"/>
          </w:tcPr>
          <w:p w14:paraId="038A52AA" w14:textId="77777777" w:rsidR="00774F5C" w:rsidRDefault="00774F5C" w:rsidP="001A5D4A">
            <w:pPr>
              <w:pStyle w:val="NotesTable-CellBold"/>
            </w:pPr>
          </w:p>
        </w:tc>
        <w:tc>
          <w:tcPr>
            <w:tcW w:w="310" w:type="pct"/>
            <w:tcBorders>
              <w:top w:val="single" w:sz="4" w:space="0" w:color="auto"/>
              <w:bottom w:val="single" w:sz="8" w:space="0" w:color="CDCDCD"/>
            </w:tcBorders>
            <w:shd w:val="clear" w:color="auto" w:fill="CCCCCC"/>
          </w:tcPr>
          <w:p w14:paraId="038A52AB" w14:textId="77777777" w:rsidR="00774F5C" w:rsidRDefault="00774F5C" w:rsidP="001A5D4A">
            <w:pPr>
              <w:pStyle w:val="NotesTable-CellPlain"/>
            </w:pPr>
          </w:p>
        </w:tc>
        <w:tc>
          <w:tcPr>
            <w:tcW w:w="310" w:type="pct"/>
            <w:tcBorders>
              <w:top w:val="single" w:sz="4" w:space="0" w:color="auto"/>
              <w:bottom w:val="single" w:sz="8" w:space="0" w:color="CDCDCD"/>
            </w:tcBorders>
            <w:shd w:val="clear" w:color="auto" w:fill="CCCCCC"/>
          </w:tcPr>
          <w:p w14:paraId="038A52AC" w14:textId="77777777" w:rsidR="00774F5C" w:rsidRDefault="00774F5C" w:rsidP="001A5D4A">
            <w:pPr>
              <w:pStyle w:val="NotesTable-CellBold"/>
            </w:pPr>
          </w:p>
        </w:tc>
        <w:tc>
          <w:tcPr>
            <w:tcW w:w="311" w:type="pct"/>
            <w:tcBorders>
              <w:top w:val="single" w:sz="4" w:space="0" w:color="auto"/>
              <w:bottom w:val="single" w:sz="8" w:space="0" w:color="CDCDCD"/>
            </w:tcBorders>
            <w:shd w:val="clear" w:color="auto" w:fill="CCCCCC"/>
          </w:tcPr>
          <w:p w14:paraId="038A52AD" w14:textId="77777777" w:rsidR="00774F5C" w:rsidRDefault="00774F5C" w:rsidP="001A5D4A">
            <w:pPr>
              <w:pStyle w:val="NotesTable-CellPlain"/>
            </w:pPr>
          </w:p>
        </w:tc>
        <w:tc>
          <w:tcPr>
            <w:tcW w:w="310" w:type="pct"/>
            <w:tcBorders>
              <w:top w:val="single" w:sz="4" w:space="0" w:color="auto"/>
              <w:bottom w:val="single" w:sz="8" w:space="0" w:color="CDCDCD"/>
            </w:tcBorders>
            <w:shd w:val="clear" w:color="auto" w:fill="CCCCCC"/>
          </w:tcPr>
          <w:p w14:paraId="038A52AE" w14:textId="77777777" w:rsidR="00774F5C" w:rsidRDefault="00774F5C" w:rsidP="001A5D4A">
            <w:pPr>
              <w:pStyle w:val="NotesTable-CellBold"/>
            </w:pPr>
          </w:p>
        </w:tc>
        <w:tc>
          <w:tcPr>
            <w:tcW w:w="311" w:type="pct"/>
            <w:tcBorders>
              <w:top w:val="single" w:sz="4" w:space="0" w:color="auto"/>
              <w:bottom w:val="single" w:sz="8" w:space="0" w:color="CDCDCD"/>
            </w:tcBorders>
            <w:shd w:val="clear" w:color="auto" w:fill="CCCCCC"/>
          </w:tcPr>
          <w:p w14:paraId="038A52AF" w14:textId="77777777" w:rsidR="00774F5C" w:rsidRDefault="00774F5C" w:rsidP="001A5D4A">
            <w:pPr>
              <w:pStyle w:val="NotesTable-CellPlain"/>
            </w:pPr>
          </w:p>
        </w:tc>
        <w:tc>
          <w:tcPr>
            <w:tcW w:w="310" w:type="pct"/>
            <w:tcBorders>
              <w:top w:val="single" w:sz="4" w:space="0" w:color="auto"/>
              <w:bottom w:val="single" w:sz="8" w:space="0" w:color="CDCDCD"/>
            </w:tcBorders>
            <w:shd w:val="clear" w:color="auto" w:fill="CCCCCC"/>
          </w:tcPr>
          <w:p w14:paraId="038A52B0" w14:textId="77777777" w:rsidR="00774F5C" w:rsidRDefault="00774F5C" w:rsidP="001A5D4A">
            <w:pPr>
              <w:pStyle w:val="NotesTable-CellBold"/>
            </w:pPr>
          </w:p>
        </w:tc>
        <w:tc>
          <w:tcPr>
            <w:tcW w:w="310" w:type="pct"/>
            <w:tcBorders>
              <w:top w:val="single" w:sz="4" w:space="0" w:color="auto"/>
              <w:bottom w:val="single" w:sz="8" w:space="0" w:color="CDCDCD"/>
              <w:right w:val="single" w:sz="8" w:space="0" w:color="CDCDCD"/>
            </w:tcBorders>
            <w:shd w:val="clear" w:color="auto" w:fill="CCCCCC"/>
          </w:tcPr>
          <w:p w14:paraId="038A52B1" w14:textId="77777777" w:rsidR="00774F5C" w:rsidRDefault="00774F5C" w:rsidP="001A5D4A">
            <w:pPr>
              <w:pStyle w:val="NotesTable-CellPlain"/>
            </w:pPr>
          </w:p>
        </w:tc>
      </w:tr>
    </w:tbl>
    <w:p w14:paraId="038A52B3" w14:textId="77777777" w:rsidR="008C7629" w:rsidRPr="006D022E" w:rsidRDefault="008C7629" w:rsidP="001A5D4A">
      <w:r w:rsidRPr="006D022E">
        <w:br w:type="page"/>
      </w:r>
    </w:p>
    <w:tbl>
      <w:tblPr>
        <w:tblW w:w="5000" w:type="pct"/>
        <w:tblLook w:val="0000" w:firstRow="0" w:lastRow="0" w:firstColumn="0" w:lastColumn="0" w:noHBand="0" w:noVBand="0"/>
      </w:tblPr>
      <w:tblGrid>
        <w:gridCol w:w="1679"/>
        <w:gridCol w:w="5606"/>
        <w:gridCol w:w="820"/>
        <w:gridCol w:w="949"/>
        <w:gridCol w:w="232"/>
        <w:gridCol w:w="719"/>
        <w:gridCol w:w="949"/>
        <w:gridCol w:w="952"/>
        <w:gridCol w:w="952"/>
        <w:gridCol w:w="949"/>
        <w:gridCol w:w="952"/>
        <w:gridCol w:w="945"/>
      </w:tblGrid>
      <w:tr w:rsidR="004B7414" w14:paraId="038A52B8" w14:textId="77777777" w:rsidTr="004B7414">
        <w:trPr>
          <w:cantSplit/>
          <w:trHeight w:val="180"/>
        </w:trPr>
        <w:tc>
          <w:tcPr>
            <w:tcW w:w="5000" w:type="pct"/>
            <w:gridSpan w:val="12"/>
            <w:tcBorders>
              <w:right w:val="single" w:sz="8" w:space="0" w:color="CDCDCD"/>
            </w:tcBorders>
            <w:shd w:val="clear" w:color="auto" w:fill="auto"/>
          </w:tcPr>
          <w:p w14:paraId="038A52B7" w14:textId="6D3C16E2"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8222DA" w14:paraId="038A52BC" w14:textId="77777777" w:rsidTr="00261A68">
        <w:trPr>
          <w:cantSplit/>
          <w:trHeight w:val="256"/>
        </w:trPr>
        <w:tc>
          <w:tcPr>
            <w:tcW w:w="535" w:type="pct"/>
            <w:tcBorders>
              <w:right w:val="single" w:sz="8" w:space="0" w:color="CDCDCD"/>
            </w:tcBorders>
          </w:tcPr>
          <w:p w14:paraId="0FEBFB83" w14:textId="77777777" w:rsidR="004B7414" w:rsidRDefault="004B7414" w:rsidP="004B7414">
            <w:pPr>
              <w:pStyle w:val="Note-Refs"/>
              <w:rPr>
                <w:b/>
              </w:rPr>
            </w:pPr>
            <w:r>
              <w:t>MANDATORY</w:t>
            </w:r>
          </w:p>
          <w:p w14:paraId="038A52B9" w14:textId="42537735" w:rsidR="008222DA" w:rsidRPr="004B7414" w:rsidRDefault="004B7414" w:rsidP="001A5D4A">
            <w:pPr>
              <w:pStyle w:val="Note-Refs"/>
              <w:rPr>
                <w:b/>
              </w:rPr>
            </w:pPr>
            <w:r>
              <w:t>EDUCATION</w:t>
            </w:r>
          </w:p>
        </w:tc>
        <w:tc>
          <w:tcPr>
            <w:tcW w:w="2422" w:type="pct"/>
            <w:gridSpan w:val="4"/>
            <w:tcBorders>
              <w:left w:val="single" w:sz="8" w:space="0" w:color="CDCDCD"/>
              <w:right w:val="single" w:sz="8" w:space="0" w:color="CDCDCD"/>
            </w:tcBorders>
            <w:shd w:val="clear" w:color="auto" w:fill="CCCCCC"/>
          </w:tcPr>
          <w:p w14:paraId="1208252E" w14:textId="77777777" w:rsidR="008222DA" w:rsidRDefault="008222DA" w:rsidP="001A5D4A">
            <w:pPr>
              <w:pStyle w:val="NotesTable-AcquittalHeader"/>
              <w:rPr>
                <w:b w:val="0"/>
              </w:rPr>
            </w:pPr>
            <w:r>
              <w:t>53g Australian Research Council Grants</w:t>
            </w:r>
          </w:p>
        </w:tc>
        <w:tc>
          <w:tcPr>
            <w:tcW w:w="2043" w:type="pct"/>
            <w:gridSpan w:val="7"/>
            <w:tcBorders>
              <w:left w:val="single" w:sz="8" w:space="0" w:color="CDCDCD"/>
              <w:right w:val="single" w:sz="8" w:space="0" w:color="CDCDCD"/>
            </w:tcBorders>
            <w:shd w:val="clear" w:color="auto" w:fill="CCCCCC"/>
          </w:tcPr>
          <w:p w14:paraId="038A52BB" w14:textId="374084BB" w:rsidR="008222DA" w:rsidRDefault="008222DA" w:rsidP="001A5D4A">
            <w:pPr>
              <w:pStyle w:val="NotesTable-ItemBold"/>
            </w:pPr>
            <w:r>
              <w:t>Parent entity (HEP) ONLY</w:t>
            </w:r>
            <w:r w:rsidDel="008222DA">
              <w:t xml:space="preserve"> </w:t>
            </w:r>
          </w:p>
        </w:tc>
      </w:tr>
      <w:tr w:rsidR="008222DA" w14:paraId="21919BB3" w14:textId="77777777" w:rsidTr="004B7414">
        <w:trPr>
          <w:cantSplit/>
          <w:trHeight w:val="256"/>
        </w:trPr>
        <w:tc>
          <w:tcPr>
            <w:tcW w:w="535" w:type="pct"/>
            <w:tcBorders>
              <w:right w:val="single" w:sz="8" w:space="0" w:color="CDCDCD"/>
            </w:tcBorders>
          </w:tcPr>
          <w:p w14:paraId="6D1BD923" w14:textId="77777777" w:rsidR="008222DA" w:rsidRDefault="008222DA" w:rsidP="001A5D4A">
            <w:pPr>
              <w:pStyle w:val="Note-Refs"/>
            </w:pPr>
          </w:p>
        </w:tc>
        <w:tc>
          <w:tcPr>
            <w:tcW w:w="2046" w:type="pct"/>
            <w:gridSpan w:val="2"/>
            <w:tcBorders>
              <w:left w:val="single" w:sz="8" w:space="0" w:color="CDCDCD"/>
            </w:tcBorders>
            <w:shd w:val="clear" w:color="auto" w:fill="CCCCCC"/>
          </w:tcPr>
          <w:p w14:paraId="6065F6EB" w14:textId="77777777" w:rsidR="008222DA" w:rsidRDefault="008222DA" w:rsidP="001A5D4A">
            <w:pPr>
              <w:pStyle w:val="NotesTable-AcquittalHeader"/>
            </w:pPr>
          </w:p>
        </w:tc>
        <w:tc>
          <w:tcPr>
            <w:tcW w:w="2419" w:type="pct"/>
            <w:gridSpan w:val="9"/>
            <w:tcBorders>
              <w:right w:val="single" w:sz="8" w:space="0" w:color="CDCDCD"/>
            </w:tcBorders>
            <w:shd w:val="clear" w:color="auto" w:fill="CCCCCC"/>
          </w:tcPr>
          <w:p w14:paraId="42BE8218" w14:textId="07730CC8" w:rsidR="008222DA" w:rsidRDefault="008222DA" w:rsidP="001A5D4A">
            <w:pPr>
              <w:pStyle w:val="NotesTable-HeadBold"/>
            </w:pPr>
          </w:p>
        </w:tc>
      </w:tr>
      <w:tr w:rsidR="00023312" w14:paraId="038A52C3" w14:textId="77777777" w:rsidTr="004B7414">
        <w:trPr>
          <w:cantSplit/>
          <w:trHeight w:val="256"/>
        </w:trPr>
        <w:tc>
          <w:tcPr>
            <w:tcW w:w="535" w:type="pct"/>
            <w:tcBorders>
              <w:right w:val="single" w:sz="8" w:space="0" w:color="CDCDCD"/>
            </w:tcBorders>
          </w:tcPr>
          <w:p w14:paraId="038A52BD" w14:textId="77777777" w:rsidR="00023312" w:rsidRDefault="00023312" w:rsidP="001A5D4A">
            <w:pPr>
              <w:pStyle w:val="Note-Refs"/>
            </w:pPr>
          </w:p>
        </w:tc>
        <w:tc>
          <w:tcPr>
            <w:tcW w:w="2046" w:type="pct"/>
            <w:gridSpan w:val="2"/>
            <w:tcBorders>
              <w:left w:val="single" w:sz="8" w:space="0" w:color="CDCDCD"/>
            </w:tcBorders>
            <w:shd w:val="clear" w:color="auto" w:fill="CCCCCC"/>
          </w:tcPr>
          <w:p w14:paraId="038A52BE" w14:textId="77777777" w:rsidR="00023312" w:rsidRDefault="00023312" w:rsidP="001A5D4A">
            <w:pPr>
              <w:pStyle w:val="NotesTable-ItemBold"/>
            </w:pPr>
            <w:r>
              <w:t>(</w:t>
            </w:r>
            <w:r w:rsidR="00220983">
              <w:t>i</w:t>
            </w:r>
            <w:r>
              <w:t>) Discovery</w:t>
            </w:r>
          </w:p>
        </w:tc>
        <w:tc>
          <w:tcPr>
            <w:tcW w:w="605" w:type="pct"/>
            <w:gridSpan w:val="3"/>
            <w:shd w:val="clear" w:color="auto" w:fill="CCCCCC"/>
          </w:tcPr>
          <w:p w14:paraId="038A52BF" w14:textId="77777777" w:rsidR="00023312" w:rsidRDefault="00023312" w:rsidP="001A5D4A">
            <w:pPr>
              <w:pStyle w:val="NotesTable-HeadPlain"/>
            </w:pPr>
            <w:r>
              <w:t>Projects</w:t>
            </w:r>
          </w:p>
        </w:tc>
        <w:tc>
          <w:tcPr>
            <w:tcW w:w="605" w:type="pct"/>
            <w:gridSpan w:val="2"/>
            <w:shd w:val="clear" w:color="auto" w:fill="CCCCCC"/>
          </w:tcPr>
          <w:p w14:paraId="038A52C0" w14:textId="77777777" w:rsidR="00023312" w:rsidRDefault="00023312" w:rsidP="001A5D4A">
            <w:pPr>
              <w:pStyle w:val="NotesTable-HeadPlain"/>
            </w:pPr>
            <w:r>
              <w:t>Fellowships</w:t>
            </w:r>
          </w:p>
        </w:tc>
        <w:tc>
          <w:tcPr>
            <w:tcW w:w="605" w:type="pct"/>
            <w:gridSpan w:val="2"/>
            <w:shd w:val="clear" w:color="auto" w:fill="CCCCCC"/>
          </w:tcPr>
          <w:p w14:paraId="038A52C1" w14:textId="77777777" w:rsidR="00023312" w:rsidRDefault="00023312" w:rsidP="001A5D4A">
            <w:pPr>
              <w:pStyle w:val="NotesTable-HeadPlain"/>
            </w:pPr>
            <w:r>
              <w:t>Indigenous Researchers Development</w:t>
            </w:r>
          </w:p>
        </w:tc>
        <w:tc>
          <w:tcPr>
            <w:tcW w:w="604" w:type="pct"/>
            <w:gridSpan w:val="2"/>
            <w:tcBorders>
              <w:right w:val="single" w:sz="8" w:space="0" w:color="CDCDCD"/>
            </w:tcBorders>
            <w:shd w:val="clear" w:color="auto" w:fill="CCCCCC"/>
          </w:tcPr>
          <w:p w14:paraId="038A52C2" w14:textId="079BA7D5" w:rsidR="00023312" w:rsidRDefault="00023312" w:rsidP="001A5D4A">
            <w:pPr>
              <w:pStyle w:val="NotesTable-HeadPlain"/>
            </w:pPr>
            <w:r>
              <w:t>Total</w:t>
            </w:r>
            <w:r w:rsidR="000D65C6">
              <w:t xml:space="preserve"> Discovery</w:t>
            </w:r>
          </w:p>
        </w:tc>
      </w:tr>
      <w:tr w:rsidR="00A73253" w14:paraId="038A52CF" w14:textId="77777777" w:rsidTr="004B7414">
        <w:trPr>
          <w:cantSplit/>
          <w:trHeight w:val="255"/>
        </w:trPr>
        <w:tc>
          <w:tcPr>
            <w:tcW w:w="535" w:type="pct"/>
            <w:tcBorders>
              <w:right w:val="single" w:sz="8" w:space="0" w:color="CDCDCD"/>
            </w:tcBorders>
          </w:tcPr>
          <w:p w14:paraId="038A52C4" w14:textId="77777777" w:rsidR="00A73253" w:rsidRDefault="00A73253" w:rsidP="001A5D4A">
            <w:pPr>
              <w:pStyle w:val="Note-Refs"/>
            </w:pPr>
          </w:p>
        </w:tc>
        <w:tc>
          <w:tcPr>
            <w:tcW w:w="1785" w:type="pct"/>
            <w:tcBorders>
              <w:left w:val="single" w:sz="8" w:space="0" w:color="CDCDCD"/>
            </w:tcBorders>
            <w:shd w:val="clear" w:color="auto" w:fill="CCCCCC"/>
          </w:tcPr>
          <w:p w14:paraId="038A52C5" w14:textId="77777777" w:rsidR="00A73253" w:rsidRDefault="00A73253" w:rsidP="001A5D4A">
            <w:pPr>
              <w:pStyle w:val="NotesTable-ItemPlain"/>
            </w:pPr>
          </w:p>
        </w:tc>
        <w:tc>
          <w:tcPr>
            <w:tcW w:w="261" w:type="pct"/>
            <w:shd w:val="clear" w:color="auto" w:fill="CCCCCC"/>
          </w:tcPr>
          <w:p w14:paraId="038A52C6" w14:textId="77777777" w:rsidR="00A73253" w:rsidRDefault="00A73253" w:rsidP="001A5D4A">
            <w:pPr>
              <w:pStyle w:val="NotesTable-Notes"/>
            </w:pPr>
            <w:r>
              <w:t>Notes</w:t>
            </w:r>
          </w:p>
        </w:tc>
        <w:tc>
          <w:tcPr>
            <w:tcW w:w="302" w:type="pct"/>
            <w:shd w:val="clear" w:color="auto" w:fill="CCCCCC"/>
          </w:tcPr>
          <w:p w14:paraId="038A52C7" w14:textId="1A55715E" w:rsidR="00A73253" w:rsidRDefault="006864EC" w:rsidP="001A5D4A">
            <w:pPr>
              <w:pStyle w:val="NotesTable-HeadBold"/>
            </w:pPr>
            <w:r>
              <w:t>2014</w:t>
            </w:r>
          </w:p>
        </w:tc>
        <w:tc>
          <w:tcPr>
            <w:tcW w:w="303" w:type="pct"/>
            <w:gridSpan w:val="2"/>
            <w:shd w:val="clear" w:color="auto" w:fill="CCCCCC"/>
          </w:tcPr>
          <w:p w14:paraId="038A52C8" w14:textId="5AEAE396" w:rsidR="00A73253" w:rsidRDefault="006864EC" w:rsidP="001A5D4A">
            <w:pPr>
              <w:pStyle w:val="NotesTable-HeadPlain"/>
            </w:pPr>
            <w:r>
              <w:t>2013</w:t>
            </w:r>
          </w:p>
        </w:tc>
        <w:tc>
          <w:tcPr>
            <w:tcW w:w="302" w:type="pct"/>
            <w:shd w:val="clear" w:color="auto" w:fill="CCCCCC"/>
          </w:tcPr>
          <w:p w14:paraId="038A52C9" w14:textId="0029D36D" w:rsidR="00A73253" w:rsidRDefault="006864EC" w:rsidP="001A5D4A">
            <w:pPr>
              <w:pStyle w:val="NotesTable-HeadBold"/>
            </w:pPr>
            <w:r>
              <w:t>2014</w:t>
            </w:r>
          </w:p>
        </w:tc>
        <w:tc>
          <w:tcPr>
            <w:tcW w:w="303" w:type="pct"/>
            <w:shd w:val="clear" w:color="auto" w:fill="CCCCCC"/>
          </w:tcPr>
          <w:p w14:paraId="038A52CA" w14:textId="5FA0BF95" w:rsidR="00A73253" w:rsidRDefault="006864EC" w:rsidP="001A5D4A">
            <w:pPr>
              <w:pStyle w:val="NotesTable-HeadPlain"/>
            </w:pPr>
            <w:r>
              <w:t>2013</w:t>
            </w:r>
          </w:p>
        </w:tc>
        <w:tc>
          <w:tcPr>
            <w:tcW w:w="303" w:type="pct"/>
            <w:shd w:val="clear" w:color="auto" w:fill="CCCCCC"/>
          </w:tcPr>
          <w:p w14:paraId="038A52CB" w14:textId="34E29FCE" w:rsidR="00A73253" w:rsidRDefault="006864EC" w:rsidP="001A5D4A">
            <w:pPr>
              <w:pStyle w:val="NotesTable-HeadBold"/>
            </w:pPr>
            <w:r>
              <w:t>2014</w:t>
            </w:r>
          </w:p>
        </w:tc>
        <w:tc>
          <w:tcPr>
            <w:tcW w:w="302" w:type="pct"/>
            <w:shd w:val="clear" w:color="auto" w:fill="CCCCCC"/>
          </w:tcPr>
          <w:p w14:paraId="038A52CC" w14:textId="7519808B" w:rsidR="00A73253" w:rsidRDefault="006864EC" w:rsidP="001A5D4A">
            <w:pPr>
              <w:pStyle w:val="NotesTable-HeadPlain"/>
            </w:pPr>
            <w:r>
              <w:t>2013</w:t>
            </w:r>
          </w:p>
        </w:tc>
        <w:tc>
          <w:tcPr>
            <w:tcW w:w="303" w:type="pct"/>
            <w:shd w:val="clear" w:color="auto" w:fill="CCCCCC"/>
          </w:tcPr>
          <w:p w14:paraId="038A52CD" w14:textId="6E65451C" w:rsidR="00A73253" w:rsidRDefault="006864EC" w:rsidP="001A5D4A">
            <w:pPr>
              <w:pStyle w:val="NotesTable-HeadBold"/>
            </w:pPr>
            <w:r>
              <w:t>2014</w:t>
            </w:r>
          </w:p>
        </w:tc>
        <w:tc>
          <w:tcPr>
            <w:tcW w:w="301" w:type="pct"/>
            <w:tcBorders>
              <w:right w:val="single" w:sz="8" w:space="0" w:color="CDCDCD"/>
            </w:tcBorders>
            <w:shd w:val="clear" w:color="auto" w:fill="CCCCCC"/>
          </w:tcPr>
          <w:p w14:paraId="038A52CE" w14:textId="3E1943AD" w:rsidR="00A73253" w:rsidRDefault="006864EC" w:rsidP="001A5D4A">
            <w:pPr>
              <w:pStyle w:val="NotesTable-HeadPlain"/>
            </w:pPr>
            <w:r>
              <w:t>2013</w:t>
            </w:r>
          </w:p>
        </w:tc>
      </w:tr>
      <w:tr w:rsidR="00A73253" w14:paraId="038A52DB" w14:textId="77777777" w:rsidTr="004B7414">
        <w:trPr>
          <w:cantSplit/>
          <w:trHeight w:val="255"/>
        </w:trPr>
        <w:tc>
          <w:tcPr>
            <w:tcW w:w="535" w:type="pct"/>
            <w:tcBorders>
              <w:right w:val="single" w:sz="8" w:space="0" w:color="CDCDCD"/>
            </w:tcBorders>
          </w:tcPr>
          <w:p w14:paraId="038A52D0" w14:textId="77777777" w:rsidR="00A73253" w:rsidRDefault="00A73253" w:rsidP="001A5D4A">
            <w:pPr>
              <w:pStyle w:val="Note-Refs"/>
            </w:pPr>
          </w:p>
        </w:tc>
        <w:tc>
          <w:tcPr>
            <w:tcW w:w="1785" w:type="pct"/>
            <w:tcBorders>
              <w:left w:val="single" w:sz="8" w:space="0" w:color="CDCDCD"/>
            </w:tcBorders>
            <w:shd w:val="clear" w:color="auto" w:fill="CCCCCC"/>
          </w:tcPr>
          <w:p w14:paraId="038A52D1" w14:textId="77777777" w:rsidR="00A73253" w:rsidRDefault="00A73253" w:rsidP="001A5D4A">
            <w:pPr>
              <w:pStyle w:val="NotesTable-ItemPlain"/>
            </w:pPr>
          </w:p>
        </w:tc>
        <w:tc>
          <w:tcPr>
            <w:tcW w:w="261" w:type="pct"/>
            <w:shd w:val="clear" w:color="auto" w:fill="CCCCCC"/>
          </w:tcPr>
          <w:p w14:paraId="038A52D2" w14:textId="77777777" w:rsidR="00A73253" w:rsidRDefault="00A73253" w:rsidP="001A5D4A">
            <w:pPr>
              <w:pStyle w:val="NotesTable-Notes"/>
            </w:pPr>
          </w:p>
        </w:tc>
        <w:tc>
          <w:tcPr>
            <w:tcW w:w="302" w:type="pct"/>
            <w:shd w:val="clear" w:color="auto" w:fill="CCCCCC"/>
          </w:tcPr>
          <w:p w14:paraId="038A52D3" w14:textId="77777777" w:rsidR="00A73253" w:rsidRDefault="00A73253" w:rsidP="001A5D4A">
            <w:pPr>
              <w:pStyle w:val="NotesTable-HeadBold"/>
            </w:pPr>
            <w:r>
              <w:t>$’000</w:t>
            </w:r>
          </w:p>
        </w:tc>
        <w:tc>
          <w:tcPr>
            <w:tcW w:w="303" w:type="pct"/>
            <w:gridSpan w:val="2"/>
            <w:shd w:val="clear" w:color="auto" w:fill="CCCCCC"/>
          </w:tcPr>
          <w:p w14:paraId="038A52D4" w14:textId="77777777" w:rsidR="00A73253" w:rsidRDefault="00A73253" w:rsidP="001A5D4A">
            <w:pPr>
              <w:pStyle w:val="NotesTable-HeadPlain"/>
            </w:pPr>
            <w:r>
              <w:t>$’000</w:t>
            </w:r>
          </w:p>
        </w:tc>
        <w:tc>
          <w:tcPr>
            <w:tcW w:w="302" w:type="pct"/>
            <w:shd w:val="clear" w:color="auto" w:fill="CCCCCC"/>
          </w:tcPr>
          <w:p w14:paraId="038A52D5" w14:textId="77777777" w:rsidR="00A73253" w:rsidRDefault="00A73253" w:rsidP="001A5D4A">
            <w:pPr>
              <w:pStyle w:val="NotesTable-HeadBold"/>
            </w:pPr>
            <w:r>
              <w:t>$’000</w:t>
            </w:r>
          </w:p>
        </w:tc>
        <w:tc>
          <w:tcPr>
            <w:tcW w:w="303" w:type="pct"/>
            <w:shd w:val="clear" w:color="auto" w:fill="CCCCCC"/>
          </w:tcPr>
          <w:p w14:paraId="038A52D6" w14:textId="77777777" w:rsidR="00A73253" w:rsidRDefault="00A73253" w:rsidP="001A5D4A">
            <w:pPr>
              <w:pStyle w:val="NotesTable-HeadPlain"/>
            </w:pPr>
            <w:r>
              <w:t>$’000</w:t>
            </w:r>
          </w:p>
        </w:tc>
        <w:tc>
          <w:tcPr>
            <w:tcW w:w="303" w:type="pct"/>
            <w:shd w:val="clear" w:color="auto" w:fill="CCCCCC"/>
          </w:tcPr>
          <w:p w14:paraId="038A52D7" w14:textId="77777777" w:rsidR="00A73253" w:rsidRDefault="00A73253" w:rsidP="001A5D4A">
            <w:pPr>
              <w:pStyle w:val="NotesTable-HeadBold"/>
            </w:pPr>
            <w:r>
              <w:t>$’000</w:t>
            </w:r>
          </w:p>
        </w:tc>
        <w:tc>
          <w:tcPr>
            <w:tcW w:w="302" w:type="pct"/>
            <w:shd w:val="clear" w:color="auto" w:fill="CCCCCC"/>
          </w:tcPr>
          <w:p w14:paraId="038A52D8" w14:textId="77777777" w:rsidR="00A73253" w:rsidRDefault="00A73253" w:rsidP="001A5D4A">
            <w:pPr>
              <w:pStyle w:val="NotesTable-HeadPlain"/>
            </w:pPr>
            <w:r>
              <w:t>$’000</w:t>
            </w:r>
          </w:p>
        </w:tc>
        <w:tc>
          <w:tcPr>
            <w:tcW w:w="303" w:type="pct"/>
            <w:shd w:val="clear" w:color="auto" w:fill="CCCCCC"/>
          </w:tcPr>
          <w:p w14:paraId="038A52D9" w14:textId="77777777" w:rsidR="00A73253" w:rsidRDefault="00A73253" w:rsidP="001A5D4A">
            <w:pPr>
              <w:pStyle w:val="NotesTable-HeadBold"/>
            </w:pPr>
            <w:r>
              <w:t>$’000</w:t>
            </w:r>
          </w:p>
        </w:tc>
        <w:tc>
          <w:tcPr>
            <w:tcW w:w="301" w:type="pct"/>
            <w:tcBorders>
              <w:right w:val="single" w:sz="8" w:space="0" w:color="CDCDCD"/>
            </w:tcBorders>
            <w:shd w:val="clear" w:color="auto" w:fill="CCCCCC"/>
          </w:tcPr>
          <w:p w14:paraId="038A52DA" w14:textId="77777777" w:rsidR="00A73253" w:rsidRDefault="00A73253" w:rsidP="001A5D4A">
            <w:pPr>
              <w:pStyle w:val="NotesTable-HeadPlain"/>
            </w:pPr>
            <w:r>
              <w:t>$’000</w:t>
            </w:r>
          </w:p>
        </w:tc>
      </w:tr>
      <w:tr w:rsidR="00A73253" w14:paraId="038A52E7" w14:textId="77777777" w:rsidTr="004B7414">
        <w:trPr>
          <w:cantSplit/>
          <w:trHeight w:val="255"/>
        </w:trPr>
        <w:tc>
          <w:tcPr>
            <w:tcW w:w="535" w:type="pct"/>
            <w:tcBorders>
              <w:right w:val="single" w:sz="8" w:space="0" w:color="CDCDCD"/>
            </w:tcBorders>
          </w:tcPr>
          <w:p w14:paraId="038A52DC" w14:textId="77777777" w:rsidR="00A73253" w:rsidRDefault="00A73253" w:rsidP="001A5D4A">
            <w:pPr>
              <w:pStyle w:val="Note-Refs"/>
            </w:pPr>
            <w:r>
              <w:t>A</w:t>
            </w:r>
          </w:p>
        </w:tc>
        <w:tc>
          <w:tcPr>
            <w:tcW w:w="1785" w:type="pct"/>
            <w:tcBorders>
              <w:left w:val="single" w:sz="8" w:space="0" w:color="CDCDCD"/>
            </w:tcBorders>
            <w:shd w:val="clear" w:color="auto" w:fill="CCCCCC"/>
          </w:tcPr>
          <w:p w14:paraId="038A52DD" w14:textId="77777777" w:rsidR="00A73253" w:rsidRDefault="00A73253" w:rsidP="001A5D4A">
            <w:pPr>
              <w:pStyle w:val="NotesTable-ItemPlain"/>
              <w:rPr>
                <w:b/>
              </w:rPr>
            </w:pPr>
            <w:r>
              <w:t>Financial assistance received in CASH during the reporting period (total cash received from the Australian Government for the program)</w:t>
            </w:r>
          </w:p>
        </w:tc>
        <w:tc>
          <w:tcPr>
            <w:tcW w:w="261" w:type="pct"/>
            <w:shd w:val="clear" w:color="auto" w:fill="CCCCCC"/>
          </w:tcPr>
          <w:p w14:paraId="038A52DE" w14:textId="77777777" w:rsidR="00A73253" w:rsidRDefault="00A73253" w:rsidP="001A5D4A">
            <w:pPr>
              <w:pStyle w:val="NotesTable-Notes"/>
            </w:pPr>
          </w:p>
        </w:tc>
        <w:tc>
          <w:tcPr>
            <w:tcW w:w="302" w:type="pct"/>
            <w:shd w:val="clear" w:color="auto" w:fill="CCCCCC"/>
            <w:vAlign w:val="bottom"/>
          </w:tcPr>
          <w:p w14:paraId="038A52DF" w14:textId="77777777" w:rsidR="00A73253" w:rsidRDefault="00A73253" w:rsidP="001A5D4A">
            <w:pPr>
              <w:pStyle w:val="NotesTable-CellBold"/>
            </w:pPr>
            <w:r>
              <w:t>–</w:t>
            </w:r>
          </w:p>
        </w:tc>
        <w:tc>
          <w:tcPr>
            <w:tcW w:w="303" w:type="pct"/>
            <w:gridSpan w:val="2"/>
            <w:shd w:val="clear" w:color="auto" w:fill="CCCCCC"/>
            <w:vAlign w:val="bottom"/>
          </w:tcPr>
          <w:p w14:paraId="038A52E0" w14:textId="77777777" w:rsidR="00A73253" w:rsidRDefault="00A73253" w:rsidP="001A5D4A">
            <w:pPr>
              <w:pStyle w:val="NotesTable-CellPlain"/>
            </w:pPr>
            <w:r>
              <w:t>–</w:t>
            </w:r>
          </w:p>
        </w:tc>
        <w:tc>
          <w:tcPr>
            <w:tcW w:w="302" w:type="pct"/>
            <w:shd w:val="clear" w:color="auto" w:fill="CCCCCC"/>
            <w:vAlign w:val="bottom"/>
          </w:tcPr>
          <w:p w14:paraId="038A52E1" w14:textId="77777777" w:rsidR="00A73253" w:rsidRDefault="00A73253" w:rsidP="001A5D4A">
            <w:pPr>
              <w:pStyle w:val="NotesTable-CellBold"/>
            </w:pPr>
            <w:r>
              <w:t>–</w:t>
            </w:r>
          </w:p>
        </w:tc>
        <w:tc>
          <w:tcPr>
            <w:tcW w:w="303" w:type="pct"/>
            <w:shd w:val="clear" w:color="auto" w:fill="CCCCCC"/>
            <w:vAlign w:val="bottom"/>
          </w:tcPr>
          <w:p w14:paraId="038A52E2" w14:textId="77777777" w:rsidR="00A73253" w:rsidRDefault="00A73253" w:rsidP="001A5D4A">
            <w:pPr>
              <w:pStyle w:val="NotesTable-CellPlain"/>
            </w:pPr>
            <w:r>
              <w:t>–</w:t>
            </w:r>
          </w:p>
        </w:tc>
        <w:tc>
          <w:tcPr>
            <w:tcW w:w="303" w:type="pct"/>
            <w:shd w:val="clear" w:color="auto" w:fill="CCCCCC"/>
            <w:vAlign w:val="bottom"/>
          </w:tcPr>
          <w:p w14:paraId="038A52E3" w14:textId="77777777" w:rsidR="00A73253" w:rsidRDefault="00A73253" w:rsidP="001A5D4A">
            <w:pPr>
              <w:pStyle w:val="NotesTable-CellBold"/>
            </w:pPr>
            <w:r>
              <w:t>–</w:t>
            </w:r>
          </w:p>
        </w:tc>
        <w:tc>
          <w:tcPr>
            <w:tcW w:w="302" w:type="pct"/>
            <w:shd w:val="clear" w:color="auto" w:fill="CCCCCC"/>
            <w:vAlign w:val="bottom"/>
          </w:tcPr>
          <w:p w14:paraId="038A52E4" w14:textId="77777777" w:rsidR="00A73253" w:rsidRDefault="00A73253" w:rsidP="001A5D4A">
            <w:pPr>
              <w:pStyle w:val="NotesTable-CellPlain"/>
            </w:pPr>
            <w:r>
              <w:t>–</w:t>
            </w:r>
          </w:p>
        </w:tc>
        <w:tc>
          <w:tcPr>
            <w:tcW w:w="303" w:type="pct"/>
            <w:shd w:val="clear" w:color="auto" w:fill="CCCCCC"/>
            <w:vAlign w:val="bottom"/>
          </w:tcPr>
          <w:p w14:paraId="038A52E5" w14:textId="77777777" w:rsidR="00A73253" w:rsidRDefault="00A73253" w:rsidP="001A5D4A">
            <w:pPr>
              <w:pStyle w:val="NotesTable-CellBold"/>
            </w:pPr>
            <w:r>
              <w:t>–</w:t>
            </w:r>
          </w:p>
        </w:tc>
        <w:tc>
          <w:tcPr>
            <w:tcW w:w="301" w:type="pct"/>
            <w:tcBorders>
              <w:right w:val="single" w:sz="8" w:space="0" w:color="CDCDCD"/>
            </w:tcBorders>
            <w:shd w:val="clear" w:color="auto" w:fill="CCCCCC"/>
            <w:vAlign w:val="bottom"/>
          </w:tcPr>
          <w:p w14:paraId="038A52E6" w14:textId="77777777" w:rsidR="00A73253" w:rsidRDefault="00A73253" w:rsidP="001A5D4A">
            <w:pPr>
              <w:pStyle w:val="NotesTable-CellPlain"/>
            </w:pPr>
            <w:r>
              <w:t>–</w:t>
            </w:r>
          </w:p>
        </w:tc>
      </w:tr>
      <w:tr w:rsidR="00A73253" w14:paraId="038A52F3" w14:textId="77777777" w:rsidTr="004B7414">
        <w:trPr>
          <w:cantSplit/>
          <w:trHeight w:val="255"/>
        </w:trPr>
        <w:tc>
          <w:tcPr>
            <w:tcW w:w="535" w:type="pct"/>
            <w:tcBorders>
              <w:right w:val="single" w:sz="8" w:space="0" w:color="CDCDCD"/>
            </w:tcBorders>
          </w:tcPr>
          <w:p w14:paraId="038A52E8" w14:textId="77777777" w:rsidR="00A73253" w:rsidRDefault="00A73253" w:rsidP="001A5D4A">
            <w:pPr>
              <w:pStyle w:val="Note-Refs"/>
            </w:pPr>
            <w:r>
              <w:t>B</w:t>
            </w:r>
          </w:p>
        </w:tc>
        <w:tc>
          <w:tcPr>
            <w:tcW w:w="1785" w:type="pct"/>
            <w:tcBorders>
              <w:left w:val="single" w:sz="8" w:space="0" w:color="CDCDCD"/>
            </w:tcBorders>
            <w:shd w:val="clear" w:color="auto" w:fill="CCCCCC"/>
          </w:tcPr>
          <w:p w14:paraId="038A52E9" w14:textId="77777777" w:rsidR="00A73253" w:rsidRDefault="00A73253" w:rsidP="001A5D4A">
            <w:pPr>
              <w:pStyle w:val="NotesTable-ItemPlain"/>
              <w:rPr>
                <w:b/>
              </w:rPr>
            </w:pPr>
            <w:r>
              <w:t>Net accrual adjustments</w:t>
            </w:r>
          </w:p>
        </w:tc>
        <w:tc>
          <w:tcPr>
            <w:tcW w:w="261" w:type="pct"/>
            <w:shd w:val="clear" w:color="auto" w:fill="CCCCCC"/>
          </w:tcPr>
          <w:p w14:paraId="038A52EA" w14:textId="77777777" w:rsidR="00A73253" w:rsidRDefault="00A73253" w:rsidP="001A5D4A">
            <w:pPr>
              <w:pStyle w:val="NotesTable-Notes"/>
            </w:pPr>
          </w:p>
        </w:tc>
        <w:tc>
          <w:tcPr>
            <w:tcW w:w="302" w:type="pct"/>
            <w:tcBorders>
              <w:bottom w:val="single" w:sz="4" w:space="0" w:color="000000"/>
            </w:tcBorders>
            <w:shd w:val="clear" w:color="auto" w:fill="CCCCCC"/>
          </w:tcPr>
          <w:p w14:paraId="038A52EB" w14:textId="77777777" w:rsidR="00A73253" w:rsidRDefault="00A73253" w:rsidP="001A5D4A">
            <w:pPr>
              <w:pStyle w:val="NotesTable-CellBold"/>
            </w:pPr>
            <w:r>
              <w:t>–</w:t>
            </w:r>
          </w:p>
        </w:tc>
        <w:tc>
          <w:tcPr>
            <w:tcW w:w="303" w:type="pct"/>
            <w:gridSpan w:val="2"/>
            <w:tcBorders>
              <w:bottom w:val="single" w:sz="4" w:space="0" w:color="000000"/>
            </w:tcBorders>
            <w:shd w:val="clear" w:color="auto" w:fill="CCCCCC"/>
          </w:tcPr>
          <w:p w14:paraId="038A52EC" w14:textId="77777777" w:rsidR="00A73253" w:rsidRDefault="00A73253" w:rsidP="001A5D4A">
            <w:pPr>
              <w:pStyle w:val="NotesTable-CellPlain"/>
            </w:pPr>
            <w:r>
              <w:t>–</w:t>
            </w:r>
          </w:p>
        </w:tc>
        <w:tc>
          <w:tcPr>
            <w:tcW w:w="302" w:type="pct"/>
            <w:tcBorders>
              <w:bottom w:val="single" w:sz="4" w:space="0" w:color="000000"/>
            </w:tcBorders>
            <w:shd w:val="clear" w:color="auto" w:fill="CCCCCC"/>
          </w:tcPr>
          <w:p w14:paraId="038A52ED" w14:textId="77777777" w:rsidR="00A73253" w:rsidRDefault="00A73253" w:rsidP="001A5D4A">
            <w:pPr>
              <w:pStyle w:val="NotesTable-CellBold"/>
            </w:pPr>
            <w:r>
              <w:t>–</w:t>
            </w:r>
          </w:p>
        </w:tc>
        <w:tc>
          <w:tcPr>
            <w:tcW w:w="303" w:type="pct"/>
            <w:tcBorders>
              <w:bottom w:val="single" w:sz="4" w:space="0" w:color="000000"/>
            </w:tcBorders>
            <w:shd w:val="clear" w:color="auto" w:fill="CCCCCC"/>
          </w:tcPr>
          <w:p w14:paraId="038A52EE" w14:textId="77777777" w:rsidR="00A73253" w:rsidRDefault="00A73253" w:rsidP="001A5D4A">
            <w:pPr>
              <w:pStyle w:val="NotesTable-CellPlain"/>
            </w:pPr>
            <w:r>
              <w:t>–</w:t>
            </w:r>
          </w:p>
        </w:tc>
        <w:tc>
          <w:tcPr>
            <w:tcW w:w="303" w:type="pct"/>
            <w:tcBorders>
              <w:bottom w:val="single" w:sz="4" w:space="0" w:color="000000"/>
            </w:tcBorders>
            <w:shd w:val="clear" w:color="auto" w:fill="CCCCCC"/>
          </w:tcPr>
          <w:p w14:paraId="038A52EF" w14:textId="77777777" w:rsidR="00A73253" w:rsidRDefault="00A73253" w:rsidP="001A5D4A">
            <w:pPr>
              <w:pStyle w:val="NotesTable-CellBold"/>
            </w:pPr>
            <w:r>
              <w:t>–</w:t>
            </w:r>
          </w:p>
        </w:tc>
        <w:tc>
          <w:tcPr>
            <w:tcW w:w="302" w:type="pct"/>
            <w:tcBorders>
              <w:bottom w:val="single" w:sz="4" w:space="0" w:color="000000"/>
            </w:tcBorders>
            <w:shd w:val="clear" w:color="auto" w:fill="CCCCCC"/>
          </w:tcPr>
          <w:p w14:paraId="038A52F0" w14:textId="77777777" w:rsidR="00A73253" w:rsidRDefault="00A73253" w:rsidP="001A5D4A">
            <w:pPr>
              <w:pStyle w:val="NotesTable-CellPlain"/>
            </w:pPr>
            <w:r>
              <w:t>–</w:t>
            </w:r>
          </w:p>
        </w:tc>
        <w:tc>
          <w:tcPr>
            <w:tcW w:w="303" w:type="pct"/>
            <w:tcBorders>
              <w:bottom w:val="single" w:sz="4" w:space="0" w:color="000000"/>
            </w:tcBorders>
            <w:shd w:val="clear" w:color="auto" w:fill="CCCCCC"/>
          </w:tcPr>
          <w:p w14:paraId="038A52F1" w14:textId="77777777" w:rsidR="00A73253" w:rsidRDefault="00A73253" w:rsidP="001A5D4A">
            <w:pPr>
              <w:pStyle w:val="NotesTable-CellBold"/>
            </w:pPr>
            <w:r>
              <w:t>–</w:t>
            </w:r>
          </w:p>
        </w:tc>
        <w:tc>
          <w:tcPr>
            <w:tcW w:w="301" w:type="pct"/>
            <w:tcBorders>
              <w:bottom w:val="single" w:sz="4" w:space="0" w:color="000000"/>
              <w:right w:val="single" w:sz="8" w:space="0" w:color="CDCDCD"/>
            </w:tcBorders>
            <w:shd w:val="clear" w:color="auto" w:fill="CCCCCC"/>
          </w:tcPr>
          <w:p w14:paraId="038A52F2" w14:textId="77777777" w:rsidR="00A73253" w:rsidRDefault="00A73253" w:rsidP="001A5D4A">
            <w:pPr>
              <w:pStyle w:val="NotesTable-CellPlain"/>
            </w:pPr>
            <w:r>
              <w:t>–</w:t>
            </w:r>
          </w:p>
        </w:tc>
      </w:tr>
      <w:tr w:rsidR="00A73253" w14:paraId="038A52FF" w14:textId="77777777" w:rsidTr="004B7414">
        <w:trPr>
          <w:cantSplit/>
          <w:trHeight w:val="255"/>
        </w:trPr>
        <w:tc>
          <w:tcPr>
            <w:tcW w:w="535" w:type="pct"/>
            <w:tcBorders>
              <w:right w:val="single" w:sz="8" w:space="0" w:color="CDCDCD"/>
            </w:tcBorders>
          </w:tcPr>
          <w:p w14:paraId="038A52F4" w14:textId="77777777" w:rsidR="00A73253" w:rsidRDefault="00A73253" w:rsidP="001A5D4A">
            <w:pPr>
              <w:pStyle w:val="Note-Refs"/>
              <w:rPr>
                <w:b/>
              </w:rPr>
            </w:pPr>
            <w:r>
              <w:t>C = A + B</w:t>
            </w:r>
          </w:p>
        </w:tc>
        <w:tc>
          <w:tcPr>
            <w:tcW w:w="1785" w:type="pct"/>
            <w:tcBorders>
              <w:left w:val="single" w:sz="8" w:space="0" w:color="CDCDCD"/>
            </w:tcBorders>
            <w:shd w:val="clear" w:color="auto" w:fill="CCCCCC"/>
          </w:tcPr>
          <w:p w14:paraId="038A52F5" w14:textId="77777777" w:rsidR="00A73253" w:rsidRDefault="00A73253" w:rsidP="001A5D4A">
            <w:pPr>
              <w:pStyle w:val="NotesTable-ItemPlain"/>
              <w:rPr>
                <w:b/>
              </w:rPr>
            </w:pPr>
            <w:r>
              <w:t>Revenue for the period</w:t>
            </w:r>
          </w:p>
        </w:tc>
        <w:tc>
          <w:tcPr>
            <w:tcW w:w="261" w:type="pct"/>
            <w:shd w:val="clear" w:color="auto" w:fill="CCCCCC"/>
          </w:tcPr>
          <w:p w14:paraId="038A52F6" w14:textId="77777777" w:rsidR="00A73253" w:rsidRDefault="00A73253" w:rsidP="001A5D4A">
            <w:pPr>
              <w:pStyle w:val="NotesTable-Notes"/>
            </w:pPr>
            <w:r>
              <w:t>3(g)(i)</w:t>
            </w:r>
          </w:p>
        </w:tc>
        <w:tc>
          <w:tcPr>
            <w:tcW w:w="302" w:type="pct"/>
            <w:tcBorders>
              <w:top w:val="single" w:sz="4" w:space="0" w:color="000000"/>
            </w:tcBorders>
            <w:shd w:val="clear" w:color="auto" w:fill="CCCCCC"/>
          </w:tcPr>
          <w:p w14:paraId="038A52F7" w14:textId="77777777" w:rsidR="00A73253" w:rsidRDefault="00A73253" w:rsidP="001A5D4A">
            <w:pPr>
              <w:pStyle w:val="NotesTable-CellBold"/>
            </w:pPr>
            <w:r>
              <w:t>–</w:t>
            </w:r>
          </w:p>
        </w:tc>
        <w:tc>
          <w:tcPr>
            <w:tcW w:w="303" w:type="pct"/>
            <w:gridSpan w:val="2"/>
            <w:tcBorders>
              <w:top w:val="single" w:sz="4" w:space="0" w:color="000000"/>
            </w:tcBorders>
            <w:shd w:val="clear" w:color="auto" w:fill="CCCCCC"/>
          </w:tcPr>
          <w:p w14:paraId="038A52F8" w14:textId="77777777" w:rsidR="00A73253" w:rsidRDefault="00A73253" w:rsidP="001A5D4A">
            <w:pPr>
              <w:pStyle w:val="NotesTable-CellPlain"/>
            </w:pPr>
            <w:r>
              <w:t>–</w:t>
            </w:r>
          </w:p>
        </w:tc>
        <w:tc>
          <w:tcPr>
            <w:tcW w:w="302" w:type="pct"/>
            <w:tcBorders>
              <w:top w:val="single" w:sz="4" w:space="0" w:color="000000"/>
            </w:tcBorders>
            <w:shd w:val="clear" w:color="auto" w:fill="CCCCCC"/>
          </w:tcPr>
          <w:p w14:paraId="038A52F9" w14:textId="77777777" w:rsidR="00A73253" w:rsidRDefault="00A73253" w:rsidP="001A5D4A">
            <w:pPr>
              <w:pStyle w:val="NotesTable-CellBold"/>
            </w:pPr>
            <w:r>
              <w:t>–</w:t>
            </w:r>
          </w:p>
        </w:tc>
        <w:tc>
          <w:tcPr>
            <w:tcW w:w="303" w:type="pct"/>
            <w:tcBorders>
              <w:top w:val="single" w:sz="4" w:space="0" w:color="000000"/>
            </w:tcBorders>
            <w:shd w:val="clear" w:color="auto" w:fill="CCCCCC"/>
          </w:tcPr>
          <w:p w14:paraId="038A52FA" w14:textId="77777777" w:rsidR="00A73253" w:rsidRDefault="00A73253" w:rsidP="001A5D4A">
            <w:pPr>
              <w:pStyle w:val="NotesTable-CellPlain"/>
            </w:pPr>
            <w:r>
              <w:t>–</w:t>
            </w:r>
          </w:p>
        </w:tc>
        <w:tc>
          <w:tcPr>
            <w:tcW w:w="303" w:type="pct"/>
            <w:tcBorders>
              <w:top w:val="single" w:sz="4" w:space="0" w:color="000000"/>
            </w:tcBorders>
            <w:shd w:val="clear" w:color="auto" w:fill="CCCCCC"/>
          </w:tcPr>
          <w:p w14:paraId="038A52FB" w14:textId="77777777" w:rsidR="00A73253" w:rsidRDefault="00A73253" w:rsidP="001A5D4A">
            <w:pPr>
              <w:pStyle w:val="NotesTable-CellBold"/>
            </w:pPr>
            <w:r>
              <w:t>–</w:t>
            </w:r>
          </w:p>
        </w:tc>
        <w:tc>
          <w:tcPr>
            <w:tcW w:w="302" w:type="pct"/>
            <w:tcBorders>
              <w:top w:val="single" w:sz="4" w:space="0" w:color="000000"/>
            </w:tcBorders>
            <w:shd w:val="clear" w:color="auto" w:fill="CCCCCC"/>
          </w:tcPr>
          <w:p w14:paraId="038A52FC" w14:textId="77777777" w:rsidR="00A73253" w:rsidRDefault="00A73253" w:rsidP="001A5D4A">
            <w:pPr>
              <w:pStyle w:val="NotesTable-CellPlain"/>
            </w:pPr>
            <w:r>
              <w:t>–</w:t>
            </w:r>
          </w:p>
        </w:tc>
        <w:tc>
          <w:tcPr>
            <w:tcW w:w="303" w:type="pct"/>
            <w:tcBorders>
              <w:top w:val="single" w:sz="4" w:space="0" w:color="000000"/>
            </w:tcBorders>
            <w:shd w:val="clear" w:color="auto" w:fill="CCCCCC"/>
          </w:tcPr>
          <w:p w14:paraId="038A52FD" w14:textId="77777777" w:rsidR="00A73253" w:rsidRDefault="00A73253" w:rsidP="001A5D4A">
            <w:pPr>
              <w:pStyle w:val="NotesTable-CellBold"/>
            </w:pPr>
            <w:r>
              <w:t>–</w:t>
            </w:r>
          </w:p>
        </w:tc>
        <w:tc>
          <w:tcPr>
            <w:tcW w:w="301" w:type="pct"/>
            <w:tcBorders>
              <w:top w:val="single" w:sz="4" w:space="0" w:color="000000"/>
              <w:right w:val="single" w:sz="8" w:space="0" w:color="CDCDCD"/>
            </w:tcBorders>
            <w:shd w:val="clear" w:color="auto" w:fill="CCCCCC"/>
          </w:tcPr>
          <w:p w14:paraId="038A52FE" w14:textId="77777777" w:rsidR="00A73253" w:rsidRDefault="00A73253" w:rsidP="001A5D4A">
            <w:pPr>
              <w:pStyle w:val="NotesTable-CellPlain"/>
            </w:pPr>
            <w:r>
              <w:t>–</w:t>
            </w:r>
          </w:p>
        </w:tc>
      </w:tr>
      <w:tr w:rsidR="00A73253" w14:paraId="038A530B" w14:textId="77777777" w:rsidTr="004B7414">
        <w:trPr>
          <w:cantSplit/>
          <w:trHeight w:val="255"/>
        </w:trPr>
        <w:tc>
          <w:tcPr>
            <w:tcW w:w="535" w:type="pct"/>
            <w:tcBorders>
              <w:right w:val="single" w:sz="8" w:space="0" w:color="CDCDCD"/>
            </w:tcBorders>
          </w:tcPr>
          <w:p w14:paraId="038A5300" w14:textId="77777777" w:rsidR="00A73253" w:rsidRDefault="00A73253" w:rsidP="001A5D4A">
            <w:pPr>
              <w:pStyle w:val="Note-Refs"/>
            </w:pPr>
          </w:p>
        </w:tc>
        <w:tc>
          <w:tcPr>
            <w:tcW w:w="1785" w:type="pct"/>
            <w:tcBorders>
              <w:left w:val="single" w:sz="8" w:space="0" w:color="CDCDCD"/>
            </w:tcBorders>
            <w:shd w:val="clear" w:color="auto" w:fill="CCCCCC"/>
          </w:tcPr>
          <w:p w14:paraId="038A5301" w14:textId="77777777" w:rsidR="00A73253" w:rsidRDefault="00A73253" w:rsidP="001A5D4A">
            <w:pPr>
              <w:pStyle w:val="NotesTable-ItemPlain"/>
            </w:pPr>
          </w:p>
        </w:tc>
        <w:tc>
          <w:tcPr>
            <w:tcW w:w="261" w:type="pct"/>
            <w:shd w:val="clear" w:color="auto" w:fill="CCCCCC"/>
          </w:tcPr>
          <w:p w14:paraId="038A5302" w14:textId="77777777" w:rsidR="00A73253" w:rsidRDefault="00A73253" w:rsidP="001A5D4A">
            <w:pPr>
              <w:pStyle w:val="NotesTable-Notes"/>
            </w:pPr>
          </w:p>
        </w:tc>
        <w:tc>
          <w:tcPr>
            <w:tcW w:w="302" w:type="pct"/>
            <w:shd w:val="clear" w:color="auto" w:fill="CCCCCC"/>
          </w:tcPr>
          <w:p w14:paraId="038A5303" w14:textId="77777777" w:rsidR="00A73253" w:rsidRDefault="00A73253" w:rsidP="001A5D4A">
            <w:pPr>
              <w:pStyle w:val="NotesTable-CellBold"/>
            </w:pPr>
          </w:p>
        </w:tc>
        <w:tc>
          <w:tcPr>
            <w:tcW w:w="303" w:type="pct"/>
            <w:gridSpan w:val="2"/>
            <w:shd w:val="clear" w:color="auto" w:fill="CCCCCC"/>
          </w:tcPr>
          <w:p w14:paraId="038A5304" w14:textId="77777777" w:rsidR="00A73253" w:rsidRDefault="00A73253" w:rsidP="001A5D4A">
            <w:pPr>
              <w:pStyle w:val="NotesTable-CellPlain"/>
            </w:pPr>
          </w:p>
        </w:tc>
        <w:tc>
          <w:tcPr>
            <w:tcW w:w="302" w:type="pct"/>
            <w:shd w:val="clear" w:color="auto" w:fill="CCCCCC"/>
          </w:tcPr>
          <w:p w14:paraId="038A5305" w14:textId="77777777" w:rsidR="00A73253" w:rsidRDefault="00A73253" w:rsidP="001A5D4A">
            <w:pPr>
              <w:pStyle w:val="NotesTable-CellBold"/>
            </w:pPr>
          </w:p>
        </w:tc>
        <w:tc>
          <w:tcPr>
            <w:tcW w:w="303" w:type="pct"/>
            <w:shd w:val="clear" w:color="auto" w:fill="CCCCCC"/>
          </w:tcPr>
          <w:p w14:paraId="038A5306" w14:textId="77777777" w:rsidR="00A73253" w:rsidRDefault="00A73253" w:rsidP="001A5D4A">
            <w:pPr>
              <w:pStyle w:val="NotesTable-CellPlain"/>
            </w:pPr>
          </w:p>
        </w:tc>
        <w:tc>
          <w:tcPr>
            <w:tcW w:w="303" w:type="pct"/>
            <w:shd w:val="clear" w:color="auto" w:fill="CCCCCC"/>
          </w:tcPr>
          <w:p w14:paraId="038A5307" w14:textId="77777777" w:rsidR="00A73253" w:rsidRDefault="00A73253" w:rsidP="001A5D4A">
            <w:pPr>
              <w:pStyle w:val="NotesTable-CellBold"/>
            </w:pPr>
          </w:p>
        </w:tc>
        <w:tc>
          <w:tcPr>
            <w:tcW w:w="302" w:type="pct"/>
            <w:shd w:val="clear" w:color="auto" w:fill="CCCCCC"/>
          </w:tcPr>
          <w:p w14:paraId="038A5308" w14:textId="77777777" w:rsidR="00A73253" w:rsidRDefault="00A73253" w:rsidP="001A5D4A">
            <w:pPr>
              <w:pStyle w:val="NotesTable-CellPlain"/>
            </w:pPr>
          </w:p>
        </w:tc>
        <w:tc>
          <w:tcPr>
            <w:tcW w:w="303" w:type="pct"/>
            <w:shd w:val="clear" w:color="auto" w:fill="CCCCCC"/>
          </w:tcPr>
          <w:p w14:paraId="038A5309" w14:textId="77777777" w:rsidR="00A73253" w:rsidRDefault="00A73253" w:rsidP="001A5D4A">
            <w:pPr>
              <w:pStyle w:val="NotesTable-CellBold"/>
            </w:pPr>
          </w:p>
        </w:tc>
        <w:tc>
          <w:tcPr>
            <w:tcW w:w="301" w:type="pct"/>
            <w:tcBorders>
              <w:right w:val="single" w:sz="8" w:space="0" w:color="CDCDCD"/>
            </w:tcBorders>
            <w:shd w:val="clear" w:color="auto" w:fill="CCCCCC"/>
          </w:tcPr>
          <w:p w14:paraId="038A530A" w14:textId="77777777" w:rsidR="00A73253" w:rsidRDefault="00A73253" w:rsidP="001A5D4A">
            <w:pPr>
              <w:pStyle w:val="NotesTable-CellPlain"/>
            </w:pPr>
          </w:p>
        </w:tc>
      </w:tr>
      <w:tr w:rsidR="00A73253" w14:paraId="038A5317" w14:textId="77777777" w:rsidTr="004B7414">
        <w:trPr>
          <w:cantSplit/>
          <w:trHeight w:val="255"/>
        </w:trPr>
        <w:tc>
          <w:tcPr>
            <w:tcW w:w="535" w:type="pct"/>
            <w:tcBorders>
              <w:right w:val="single" w:sz="8" w:space="0" w:color="CDCDCD"/>
            </w:tcBorders>
          </w:tcPr>
          <w:p w14:paraId="038A530C" w14:textId="77777777" w:rsidR="00A73253" w:rsidRDefault="00A73253" w:rsidP="001A5D4A">
            <w:pPr>
              <w:pStyle w:val="Note-Refs"/>
            </w:pPr>
            <w:r>
              <w:t>D</w:t>
            </w:r>
          </w:p>
        </w:tc>
        <w:tc>
          <w:tcPr>
            <w:tcW w:w="1785" w:type="pct"/>
            <w:tcBorders>
              <w:left w:val="single" w:sz="8" w:space="0" w:color="CDCDCD"/>
            </w:tcBorders>
            <w:shd w:val="clear" w:color="auto" w:fill="CCCCCC"/>
          </w:tcPr>
          <w:p w14:paraId="038A530D" w14:textId="77777777" w:rsidR="00A73253" w:rsidRDefault="00A73253" w:rsidP="001A5D4A">
            <w:pPr>
              <w:pStyle w:val="NotesTable-ItemPlain"/>
              <w:rPr>
                <w:b/>
              </w:rPr>
            </w:pPr>
            <w:r>
              <w:t>Surplus / (deficit) from the previous year</w:t>
            </w:r>
          </w:p>
        </w:tc>
        <w:tc>
          <w:tcPr>
            <w:tcW w:w="261" w:type="pct"/>
            <w:shd w:val="clear" w:color="auto" w:fill="CCCCCC"/>
          </w:tcPr>
          <w:p w14:paraId="038A530E" w14:textId="77777777" w:rsidR="00A73253" w:rsidRDefault="00A73253" w:rsidP="001A5D4A">
            <w:pPr>
              <w:pStyle w:val="NotesTable-Notes"/>
            </w:pPr>
          </w:p>
        </w:tc>
        <w:tc>
          <w:tcPr>
            <w:tcW w:w="302" w:type="pct"/>
            <w:tcBorders>
              <w:bottom w:val="single" w:sz="4" w:space="0" w:color="000000"/>
            </w:tcBorders>
            <w:shd w:val="clear" w:color="auto" w:fill="CCCCCC"/>
          </w:tcPr>
          <w:p w14:paraId="038A530F" w14:textId="77777777" w:rsidR="00A73253" w:rsidRDefault="00A73253" w:rsidP="001A5D4A">
            <w:pPr>
              <w:pStyle w:val="NotesTable-CellBold"/>
            </w:pPr>
            <w:r>
              <w:t>–</w:t>
            </w:r>
          </w:p>
        </w:tc>
        <w:tc>
          <w:tcPr>
            <w:tcW w:w="303" w:type="pct"/>
            <w:gridSpan w:val="2"/>
            <w:tcBorders>
              <w:bottom w:val="single" w:sz="4" w:space="0" w:color="000000"/>
            </w:tcBorders>
            <w:shd w:val="clear" w:color="auto" w:fill="CCCCCC"/>
          </w:tcPr>
          <w:p w14:paraId="038A5310" w14:textId="77777777" w:rsidR="00A73253" w:rsidRDefault="00A73253" w:rsidP="001A5D4A">
            <w:pPr>
              <w:pStyle w:val="NotesTable-CellPlain"/>
            </w:pPr>
            <w:r>
              <w:t>–</w:t>
            </w:r>
          </w:p>
        </w:tc>
        <w:tc>
          <w:tcPr>
            <w:tcW w:w="302" w:type="pct"/>
            <w:tcBorders>
              <w:bottom w:val="single" w:sz="4" w:space="0" w:color="000000"/>
            </w:tcBorders>
            <w:shd w:val="clear" w:color="auto" w:fill="CCCCCC"/>
          </w:tcPr>
          <w:p w14:paraId="038A5311" w14:textId="77777777" w:rsidR="00A73253" w:rsidRDefault="00A73253" w:rsidP="001A5D4A">
            <w:pPr>
              <w:pStyle w:val="NotesTable-CellBold"/>
            </w:pPr>
            <w:r>
              <w:t>–</w:t>
            </w:r>
          </w:p>
        </w:tc>
        <w:tc>
          <w:tcPr>
            <w:tcW w:w="303" w:type="pct"/>
            <w:tcBorders>
              <w:bottom w:val="single" w:sz="4" w:space="0" w:color="000000"/>
            </w:tcBorders>
            <w:shd w:val="clear" w:color="auto" w:fill="CCCCCC"/>
          </w:tcPr>
          <w:p w14:paraId="038A5312" w14:textId="77777777" w:rsidR="00A73253" w:rsidRDefault="00A73253" w:rsidP="001A5D4A">
            <w:pPr>
              <w:pStyle w:val="NotesTable-CellPlain"/>
            </w:pPr>
            <w:r>
              <w:t>–</w:t>
            </w:r>
          </w:p>
        </w:tc>
        <w:tc>
          <w:tcPr>
            <w:tcW w:w="303" w:type="pct"/>
            <w:tcBorders>
              <w:bottom w:val="single" w:sz="4" w:space="0" w:color="000000"/>
            </w:tcBorders>
            <w:shd w:val="clear" w:color="auto" w:fill="CCCCCC"/>
          </w:tcPr>
          <w:p w14:paraId="038A5313" w14:textId="77777777" w:rsidR="00A73253" w:rsidRDefault="00A73253" w:rsidP="001A5D4A">
            <w:pPr>
              <w:pStyle w:val="NotesTable-CellBold"/>
            </w:pPr>
            <w:r>
              <w:t>–</w:t>
            </w:r>
          </w:p>
        </w:tc>
        <w:tc>
          <w:tcPr>
            <w:tcW w:w="302" w:type="pct"/>
            <w:tcBorders>
              <w:bottom w:val="single" w:sz="4" w:space="0" w:color="000000"/>
            </w:tcBorders>
            <w:shd w:val="clear" w:color="auto" w:fill="CCCCCC"/>
          </w:tcPr>
          <w:p w14:paraId="038A5314" w14:textId="77777777" w:rsidR="00A73253" w:rsidRDefault="00A73253" w:rsidP="001A5D4A">
            <w:pPr>
              <w:pStyle w:val="NotesTable-CellPlain"/>
            </w:pPr>
            <w:r>
              <w:t>–</w:t>
            </w:r>
          </w:p>
        </w:tc>
        <w:tc>
          <w:tcPr>
            <w:tcW w:w="303" w:type="pct"/>
            <w:tcBorders>
              <w:bottom w:val="single" w:sz="4" w:space="0" w:color="000000"/>
            </w:tcBorders>
            <w:shd w:val="clear" w:color="auto" w:fill="CCCCCC"/>
          </w:tcPr>
          <w:p w14:paraId="038A5315" w14:textId="77777777" w:rsidR="00A73253" w:rsidRDefault="00A73253" w:rsidP="001A5D4A">
            <w:pPr>
              <w:pStyle w:val="NotesTable-CellBold"/>
            </w:pPr>
            <w:r>
              <w:t>–</w:t>
            </w:r>
          </w:p>
        </w:tc>
        <w:tc>
          <w:tcPr>
            <w:tcW w:w="301" w:type="pct"/>
            <w:tcBorders>
              <w:bottom w:val="single" w:sz="4" w:space="0" w:color="000000"/>
              <w:right w:val="single" w:sz="8" w:space="0" w:color="CDCDCD"/>
            </w:tcBorders>
            <w:shd w:val="clear" w:color="auto" w:fill="CCCCCC"/>
          </w:tcPr>
          <w:p w14:paraId="038A5316" w14:textId="77777777" w:rsidR="00A73253" w:rsidRDefault="00A73253" w:rsidP="001A5D4A">
            <w:pPr>
              <w:pStyle w:val="NotesTable-CellPlain"/>
            </w:pPr>
            <w:r>
              <w:t>–</w:t>
            </w:r>
          </w:p>
        </w:tc>
      </w:tr>
      <w:tr w:rsidR="00A73253" w14:paraId="038A5323" w14:textId="77777777" w:rsidTr="004B7414">
        <w:trPr>
          <w:cantSplit/>
          <w:trHeight w:val="255"/>
        </w:trPr>
        <w:tc>
          <w:tcPr>
            <w:tcW w:w="535" w:type="pct"/>
            <w:tcBorders>
              <w:right w:val="single" w:sz="8" w:space="0" w:color="CDCDCD"/>
            </w:tcBorders>
          </w:tcPr>
          <w:p w14:paraId="038A5318" w14:textId="77777777" w:rsidR="00A73253" w:rsidRDefault="00A73253" w:rsidP="001A5D4A">
            <w:pPr>
              <w:pStyle w:val="Note-Refs"/>
              <w:rPr>
                <w:b/>
              </w:rPr>
            </w:pPr>
            <w:r>
              <w:t>E = C + D</w:t>
            </w:r>
          </w:p>
        </w:tc>
        <w:tc>
          <w:tcPr>
            <w:tcW w:w="1785" w:type="pct"/>
            <w:tcBorders>
              <w:left w:val="single" w:sz="8" w:space="0" w:color="CDCDCD"/>
            </w:tcBorders>
            <w:shd w:val="clear" w:color="auto" w:fill="CCCCCC"/>
          </w:tcPr>
          <w:p w14:paraId="038A5319" w14:textId="77777777" w:rsidR="00A73253" w:rsidRDefault="00A73253" w:rsidP="001A5D4A">
            <w:pPr>
              <w:pStyle w:val="NotesTable-ItemPlain"/>
              <w:rPr>
                <w:b/>
              </w:rPr>
            </w:pPr>
            <w:r>
              <w:t>Total revenue including accrued revenue</w:t>
            </w:r>
          </w:p>
        </w:tc>
        <w:tc>
          <w:tcPr>
            <w:tcW w:w="261" w:type="pct"/>
            <w:shd w:val="clear" w:color="auto" w:fill="CCCCCC"/>
          </w:tcPr>
          <w:p w14:paraId="038A531A" w14:textId="77777777" w:rsidR="00A73253" w:rsidRDefault="00A73253" w:rsidP="001A5D4A">
            <w:pPr>
              <w:pStyle w:val="NotesTable-Notes"/>
            </w:pPr>
          </w:p>
        </w:tc>
        <w:tc>
          <w:tcPr>
            <w:tcW w:w="302" w:type="pct"/>
            <w:tcBorders>
              <w:top w:val="single" w:sz="4" w:space="0" w:color="000000"/>
            </w:tcBorders>
            <w:shd w:val="clear" w:color="auto" w:fill="CCCCCC"/>
          </w:tcPr>
          <w:p w14:paraId="038A531B" w14:textId="77777777" w:rsidR="00A73253" w:rsidRDefault="00A73253" w:rsidP="001A5D4A">
            <w:pPr>
              <w:pStyle w:val="NotesTable-CellBold"/>
            </w:pPr>
            <w:r>
              <w:t>–</w:t>
            </w:r>
          </w:p>
        </w:tc>
        <w:tc>
          <w:tcPr>
            <w:tcW w:w="303" w:type="pct"/>
            <w:gridSpan w:val="2"/>
            <w:tcBorders>
              <w:top w:val="single" w:sz="4" w:space="0" w:color="000000"/>
            </w:tcBorders>
            <w:shd w:val="clear" w:color="auto" w:fill="CCCCCC"/>
          </w:tcPr>
          <w:p w14:paraId="038A531C" w14:textId="77777777" w:rsidR="00A73253" w:rsidRDefault="00A73253" w:rsidP="001A5D4A">
            <w:pPr>
              <w:pStyle w:val="NotesTable-CellPlain"/>
            </w:pPr>
            <w:r>
              <w:t>–</w:t>
            </w:r>
          </w:p>
        </w:tc>
        <w:tc>
          <w:tcPr>
            <w:tcW w:w="302" w:type="pct"/>
            <w:tcBorders>
              <w:top w:val="single" w:sz="4" w:space="0" w:color="000000"/>
            </w:tcBorders>
            <w:shd w:val="clear" w:color="auto" w:fill="CCCCCC"/>
          </w:tcPr>
          <w:p w14:paraId="038A531D" w14:textId="77777777" w:rsidR="00A73253" w:rsidRDefault="00A73253" w:rsidP="001A5D4A">
            <w:pPr>
              <w:pStyle w:val="NotesTable-CellBold"/>
            </w:pPr>
            <w:r>
              <w:t>–</w:t>
            </w:r>
          </w:p>
        </w:tc>
        <w:tc>
          <w:tcPr>
            <w:tcW w:w="303" w:type="pct"/>
            <w:tcBorders>
              <w:top w:val="single" w:sz="4" w:space="0" w:color="000000"/>
            </w:tcBorders>
            <w:shd w:val="clear" w:color="auto" w:fill="CCCCCC"/>
          </w:tcPr>
          <w:p w14:paraId="038A531E" w14:textId="77777777" w:rsidR="00A73253" w:rsidRDefault="00A73253" w:rsidP="001A5D4A">
            <w:pPr>
              <w:pStyle w:val="NotesTable-CellPlain"/>
            </w:pPr>
            <w:r>
              <w:t>–</w:t>
            </w:r>
          </w:p>
        </w:tc>
        <w:tc>
          <w:tcPr>
            <w:tcW w:w="303" w:type="pct"/>
            <w:tcBorders>
              <w:top w:val="single" w:sz="4" w:space="0" w:color="000000"/>
            </w:tcBorders>
            <w:shd w:val="clear" w:color="auto" w:fill="CCCCCC"/>
          </w:tcPr>
          <w:p w14:paraId="038A531F" w14:textId="77777777" w:rsidR="00A73253" w:rsidRDefault="00A73253" w:rsidP="001A5D4A">
            <w:pPr>
              <w:pStyle w:val="NotesTable-CellBold"/>
            </w:pPr>
            <w:r>
              <w:t>–</w:t>
            </w:r>
          </w:p>
        </w:tc>
        <w:tc>
          <w:tcPr>
            <w:tcW w:w="302" w:type="pct"/>
            <w:tcBorders>
              <w:top w:val="single" w:sz="4" w:space="0" w:color="000000"/>
            </w:tcBorders>
            <w:shd w:val="clear" w:color="auto" w:fill="CCCCCC"/>
          </w:tcPr>
          <w:p w14:paraId="038A5320" w14:textId="77777777" w:rsidR="00A73253" w:rsidRDefault="00A73253" w:rsidP="001A5D4A">
            <w:pPr>
              <w:pStyle w:val="NotesTable-CellPlain"/>
            </w:pPr>
            <w:r>
              <w:t>–</w:t>
            </w:r>
          </w:p>
        </w:tc>
        <w:tc>
          <w:tcPr>
            <w:tcW w:w="303" w:type="pct"/>
            <w:tcBorders>
              <w:top w:val="single" w:sz="4" w:space="0" w:color="000000"/>
            </w:tcBorders>
            <w:shd w:val="clear" w:color="auto" w:fill="CCCCCC"/>
          </w:tcPr>
          <w:p w14:paraId="038A5321" w14:textId="77777777" w:rsidR="00A73253" w:rsidRDefault="00A73253" w:rsidP="001A5D4A">
            <w:pPr>
              <w:pStyle w:val="NotesTable-CellBold"/>
            </w:pPr>
            <w:r>
              <w:t>–</w:t>
            </w:r>
          </w:p>
        </w:tc>
        <w:tc>
          <w:tcPr>
            <w:tcW w:w="301" w:type="pct"/>
            <w:tcBorders>
              <w:top w:val="single" w:sz="4" w:space="0" w:color="000000"/>
              <w:right w:val="single" w:sz="8" w:space="0" w:color="CDCDCD"/>
            </w:tcBorders>
            <w:shd w:val="clear" w:color="auto" w:fill="CCCCCC"/>
          </w:tcPr>
          <w:p w14:paraId="038A5322" w14:textId="77777777" w:rsidR="00A73253" w:rsidRDefault="00A73253" w:rsidP="001A5D4A">
            <w:pPr>
              <w:pStyle w:val="NotesTable-CellPlain"/>
            </w:pPr>
            <w:r>
              <w:t>–</w:t>
            </w:r>
          </w:p>
        </w:tc>
      </w:tr>
      <w:tr w:rsidR="00A73253" w14:paraId="038A532F" w14:textId="77777777" w:rsidTr="004B7414">
        <w:trPr>
          <w:cantSplit/>
          <w:trHeight w:val="255"/>
        </w:trPr>
        <w:tc>
          <w:tcPr>
            <w:tcW w:w="535" w:type="pct"/>
            <w:tcBorders>
              <w:right w:val="single" w:sz="8" w:space="0" w:color="CDCDCD"/>
            </w:tcBorders>
          </w:tcPr>
          <w:p w14:paraId="038A5324" w14:textId="77777777" w:rsidR="00A73253" w:rsidRDefault="00A73253" w:rsidP="001A5D4A">
            <w:pPr>
              <w:pStyle w:val="Note-Refs"/>
            </w:pPr>
            <w:r>
              <w:t>F</w:t>
            </w:r>
          </w:p>
        </w:tc>
        <w:tc>
          <w:tcPr>
            <w:tcW w:w="1785" w:type="pct"/>
            <w:tcBorders>
              <w:left w:val="single" w:sz="8" w:space="0" w:color="CDCDCD"/>
            </w:tcBorders>
            <w:shd w:val="clear" w:color="auto" w:fill="CCCCCC"/>
          </w:tcPr>
          <w:p w14:paraId="038A5325" w14:textId="77777777" w:rsidR="00A73253" w:rsidRDefault="00A73253" w:rsidP="001A5D4A">
            <w:pPr>
              <w:pStyle w:val="NotesTable-ItemPlain"/>
              <w:rPr>
                <w:b/>
              </w:rPr>
            </w:pPr>
            <w:r>
              <w:t>Less expenses including accrued expenses</w:t>
            </w:r>
          </w:p>
        </w:tc>
        <w:tc>
          <w:tcPr>
            <w:tcW w:w="261" w:type="pct"/>
            <w:shd w:val="clear" w:color="auto" w:fill="CCCCCC"/>
          </w:tcPr>
          <w:p w14:paraId="038A5326" w14:textId="77777777" w:rsidR="00A73253" w:rsidRDefault="00A73253" w:rsidP="001A5D4A">
            <w:pPr>
              <w:pStyle w:val="NotesTable-Notes"/>
            </w:pPr>
          </w:p>
        </w:tc>
        <w:tc>
          <w:tcPr>
            <w:tcW w:w="302" w:type="pct"/>
            <w:tcBorders>
              <w:bottom w:val="single" w:sz="4" w:space="0" w:color="auto"/>
            </w:tcBorders>
            <w:shd w:val="clear" w:color="auto" w:fill="CCCCCC"/>
          </w:tcPr>
          <w:p w14:paraId="038A5327" w14:textId="77777777" w:rsidR="00A73253" w:rsidRDefault="00A73253" w:rsidP="001A5D4A">
            <w:pPr>
              <w:pStyle w:val="NotesTable-CellBold"/>
            </w:pPr>
            <w:r>
              <w:t>–</w:t>
            </w:r>
          </w:p>
        </w:tc>
        <w:tc>
          <w:tcPr>
            <w:tcW w:w="303" w:type="pct"/>
            <w:gridSpan w:val="2"/>
            <w:tcBorders>
              <w:bottom w:val="single" w:sz="4" w:space="0" w:color="auto"/>
            </w:tcBorders>
            <w:shd w:val="clear" w:color="auto" w:fill="CCCCCC"/>
          </w:tcPr>
          <w:p w14:paraId="038A5328" w14:textId="77777777" w:rsidR="00A73253" w:rsidRDefault="00A73253" w:rsidP="001A5D4A">
            <w:pPr>
              <w:pStyle w:val="NotesTable-CellPlain"/>
            </w:pPr>
            <w:r>
              <w:t>–</w:t>
            </w:r>
          </w:p>
        </w:tc>
        <w:tc>
          <w:tcPr>
            <w:tcW w:w="302" w:type="pct"/>
            <w:tcBorders>
              <w:bottom w:val="single" w:sz="4" w:space="0" w:color="auto"/>
            </w:tcBorders>
            <w:shd w:val="clear" w:color="auto" w:fill="CCCCCC"/>
          </w:tcPr>
          <w:p w14:paraId="038A5329" w14:textId="77777777" w:rsidR="00A73253" w:rsidRDefault="00A73253" w:rsidP="001A5D4A">
            <w:pPr>
              <w:pStyle w:val="NotesTable-CellBold"/>
            </w:pPr>
            <w:r>
              <w:t>–</w:t>
            </w:r>
          </w:p>
        </w:tc>
        <w:tc>
          <w:tcPr>
            <w:tcW w:w="303" w:type="pct"/>
            <w:tcBorders>
              <w:bottom w:val="single" w:sz="4" w:space="0" w:color="auto"/>
            </w:tcBorders>
            <w:shd w:val="clear" w:color="auto" w:fill="CCCCCC"/>
          </w:tcPr>
          <w:p w14:paraId="038A532A" w14:textId="77777777" w:rsidR="00A73253" w:rsidRDefault="00A73253" w:rsidP="001A5D4A">
            <w:pPr>
              <w:pStyle w:val="NotesTable-CellPlain"/>
            </w:pPr>
            <w:r>
              <w:t>–</w:t>
            </w:r>
          </w:p>
        </w:tc>
        <w:tc>
          <w:tcPr>
            <w:tcW w:w="303" w:type="pct"/>
            <w:tcBorders>
              <w:bottom w:val="single" w:sz="4" w:space="0" w:color="auto"/>
            </w:tcBorders>
            <w:shd w:val="clear" w:color="auto" w:fill="CCCCCC"/>
          </w:tcPr>
          <w:p w14:paraId="038A532B" w14:textId="77777777" w:rsidR="00A73253" w:rsidRDefault="00A73253" w:rsidP="001A5D4A">
            <w:pPr>
              <w:pStyle w:val="NotesTable-CellBold"/>
            </w:pPr>
            <w:r>
              <w:t>–</w:t>
            </w:r>
          </w:p>
        </w:tc>
        <w:tc>
          <w:tcPr>
            <w:tcW w:w="302" w:type="pct"/>
            <w:tcBorders>
              <w:bottom w:val="single" w:sz="4" w:space="0" w:color="auto"/>
            </w:tcBorders>
            <w:shd w:val="clear" w:color="auto" w:fill="CCCCCC"/>
          </w:tcPr>
          <w:p w14:paraId="038A532C" w14:textId="77777777" w:rsidR="00A73253" w:rsidRDefault="00A73253" w:rsidP="001A5D4A">
            <w:pPr>
              <w:pStyle w:val="NotesTable-CellPlain"/>
            </w:pPr>
            <w:r>
              <w:t>–</w:t>
            </w:r>
          </w:p>
        </w:tc>
        <w:tc>
          <w:tcPr>
            <w:tcW w:w="303" w:type="pct"/>
            <w:tcBorders>
              <w:bottom w:val="single" w:sz="4" w:space="0" w:color="auto"/>
            </w:tcBorders>
            <w:shd w:val="clear" w:color="auto" w:fill="CCCCCC"/>
          </w:tcPr>
          <w:p w14:paraId="038A532D" w14:textId="77777777" w:rsidR="00A73253" w:rsidRDefault="00A73253" w:rsidP="001A5D4A">
            <w:pPr>
              <w:pStyle w:val="NotesTable-CellBold"/>
            </w:pPr>
            <w:r>
              <w:t>–</w:t>
            </w:r>
          </w:p>
        </w:tc>
        <w:tc>
          <w:tcPr>
            <w:tcW w:w="301" w:type="pct"/>
            <w:tcBorders>
              <w:bottom w:val="single" w:sz="4" w:space="0" w:color="auto"/>
              <w:right w:val="single" w:sz="8" w:space="0" w:color="CDCDCD"/>
            </w:tcBorders>
            <w:shd w:val="clear" w:color="auto" w:fill="CCCCCC"/>
          </w:tcPr>
          <w:p w14:paraId="038A532E" w14:textId="77777777" w:rsidR="00A73253" w:rsidRDefault="00A73253" w:rsidP="001A5D4A">
            <w:pPr>
              <w:pStyle w:val="NotesTable-CellPlain"/>
            </w:pPr>
            <w:r>
              <w:t>–</w:t>
            </w:r>
          </w:p>
        </w:tc>
      </w:tr>
      <w:tr w:rsidR="00A73253" w14:paraId="038A533B" w14:textId="77777777" w:rsidTr="004B7414">
        <w:trPr>
          <w:cantSplit/>
          <w:trHeight w:val="255"/>
        </w:trPr>
        <w:tc>
          <w:tcPr>
            <w:tcW w:w="535" w:type="pct"/>
            <w:tcBorders>
              <w:right w:val="single" w:sz="8" w:space="0" w:color="CDCDCD"/>
            </w:tcBorders>
          </w:tcPr>
          <w:p w14:paraId="038A5330" w14:textId="77777777" w:rsidR="00A73253" w:rsidRDefault="00A73253" w:rsidP="001A5D4A">
            <w:pPr>
              <w:pStyle w:val="Note-Refs"/>
              <w:rPr>
                <w:b/>
              </w:rPr>
            </w:pPr>
            <w:r>
              <w:t>G = E – F</w:t>
            </w:r>
          </w:p>
        </w:tc>
        <w:tc>
          <w:tcPr>
            <w:tcW w:w="1785" w:type="pct"/>
            <w:tcBorders>
              <w:left w:val="single" w:sz="8" w:space="0" w:color="CDCDCD"/>
            </w:tcBorders>
            <w:shd w:val="clear" w:color="auto" w:fill="CCCCCC"/>
          </w:tcPr>
          <w:p w14:paraId="038A5331" w14:textId="77777777" w:rsidR="00A73253" w:rsidRDefault="00A73253" w:rsidP="001A5D4A">
            <w:pPr>
              <w:pStyle w:val="NotesTable-ItemPlain"/>
              <w:rPr>
                <w:b/>
              </w:rPr>
            </w:pPr>
            <w:r>
              <w:t>Surplus / (deficit) for reporting period</w:t>
            </w:r>
          </w:p>
        </w:tc>
        <w:tc>
          <w:tcPr>
            <w:tcW w:w="261" w:type="pct"/>
            <w:shd w:val="clear" w:color="auto" w:fill="CCCCCC"/>
          </w:tcPr>
          <w:p w14:paraId="038A5332" w14:textId="77777777" w:rsidR="00A73253" w:rsidRDefault="00A73253" w:rsidP="001A5D4A">
            <w:pPr>
              <w:pStyle w:val="NotesTable-Notes"/>
            </w:pPr>
          </w:p>
        </w:tc>
        <w:tc>
          <w:tcPr>
            <w:tcW w:w="302" w:type="pct"/>
            <w:tcBorders>
              <w:top w:val="single" w:sz="4" w:space="0" w:color="auto"/>
              <w:bottom w:val="single" w:sz="4" w:space="0" w:color="auto"/>
            </w:tcBorders>
            <w:shd w:val="clear" w:color="auto" w:fill="CCCCCC"/>
          </w:tcPr>
          <w:p w14:paraId="038A5333" w14:textId="77777777" w:rsidR="00A73253" w:rsidRDefault="00A73253" w:rsidP="001A5D4A">
            <w:pPr>
              <w:pStyle w:val="NotesTable-CellBold"/>
            </w:pPr>
            <w:r>
              <w:t>–</w:t>
            </w:r>
          </w:p>
        </w:tc>
        <w:tc>
          <w:tcPr>
            <w:tcW w:w="303" w:type="pct"/>
            <w:gridSpan w:val="2"/>
            <w:tcBorders>
              <w:top w:val="single" w:sz="4" w:space="0" w:color="auto"/>
              <w:bottom w:val="single" w:sz="4" w:space="0" w:color="auto"/>
            </w:tcBorders>
            <w:shd w:val="clear" w:color="auto" w:fill="CCCCCC"/>
          </w:tcPr>
          <w:p w14:paraId="038A5334" w14:textId="77777777" w:rsidR="00A73253" w:rsidRDefault="00A73253" w:rsidP="001A5D4A">
            <w:pPr>
              <w:pStyle w:val="NotesTable-CellPlain"/>
            </w:pPr>
            <w:r>
              <w:t>–</w:t>
            </w:r>
          </w:p>
        </w:tc>
        <w:tc>
          <w:tcPr>
            <w:tcW w:w="302" w:type="pct"/>
            <w:tcBorders>
              <w:top w:val="single" w:sz="4" w:space="0" w:color="auto"/>
              <w:bottom w:val="single" w:sz="4" w:space="0" w:color="auto"/>
            </w:tcBorders>
            <w:shd w:val="clear" w:color="auto" w:fill="CCCCCC"/>
          </w:tcPr>
          <w:p w14:paraId="038A5335" w14:textId="77777777" w:rsidR="00A73253" w:rsidRDefault="00A73253" w:rsidP="001A5D4A">
            <w:pPr>
              <w:pStyle w:val="NotesTable-CellBold"/>
            </w:pPr>
            <w:r>
              <w:t>–</w:t>
            </w:r>
          </w:p>
        </w:tc>
        <w:tc>
          <w:tcPr>
            <w:tcW w:w="303" w:type="pct"/>
            <w:tcBorders>
              <w:top w:val="single" w:sz="4" w:space="0" w:color="auto"/>
              <w:bottom w:val="single" w:sz="4" w:space="0" w:color="auto"/>
            </w:tcBorders>
            <w:shd w:val="clear" w:color="auto" w:fill="CCCCCC"/>
          </w:tcPr>
          <w:p w14:paraId="038A5336" w14:textId="77777777" w:rsidR="00A73253" w:rsidRDefault="00A73253" w:rsidP="001A5D4A">
            <w:pPr>
              <w:pStyle w:val="NotesTable-CellPlain"/>
            </w:pPr>
            <w:r>
              <w:t>–</w:t>
            </w:r>
          </w:p>
        </w:tc>
        <w:tc>
          <w:tcPr>
            <w:tcW w:w="303" w:type="pct"/>
            <w:tcBorders>
              <w:top w:val="single" w:sz="4" w:space="0" w:color="auto"/>
              <w:bottom w:val="single" w:sz="4" w:space="0" w:color="auto"/>
            </w:tcBorders>
            <w:shd w:val="clear" w:color="auto" w:fill="CCCCCC"/>
          </w:tcPr>
          <w:p w14:paraId="038A5337" w14:textId="77777777" w:rsidR="00A73253" w:rsidRDefault="00A73253" w:rsidP="001A5D4A">
            <w:pPr>
              <w:pStyle w:val="NotesTable-CellBold"/>
            </w:pPr>
            <w:r>
              <w:t>–</w:t>
            </w:r>
          </w:p>
        </w:tc>
        <w:tc>
          <w:tcPr>
            <w:tcW w:w="302" w:type="pct"/>
            <w:tcBorders>
              <w:top w:val="single" w:sz="4" w:space="0" w:color="auto"/>
              <w:bottom w:val="single" w:sz="4" w:space="0" w:color="auto"/>
            </w:tcBorders>
            <w:shd w:val="clear" w:color="auto" w:fill="CCCCCC"/>
          </w:tcPr>
          <w:p w14:paraId="038A5338" w14:textId="77777777" w:rsidR="00A73253" w:rsidRDefault="00A73253" w:rsidP="001A5D4A">
            <w:pPr>
              <w:pStyle w:val="NotesTable-CellPlain"/>
            </w:pPr>
            <w:r>
              <w:t>–</w:t>
            </w:r>
          </w:p>
        </w:tc>
        <w:tc>
          <w:tcPr>
            <w:tcW w:w="303" w:type="pct"/>
            <w:tcBorders>
              <w:top w:val="single" w:sz="4" w:space="0" w:color="auto"/>
              <w:bottom w:val="single" w:sz="4" w:space="0" w:color="auto"/>
            </w:tcBorders>
            <w:shd w:val="clear" w:color="auto" w:fill="CCCCCC"/>
          </w:tcPr>
          <w:p w14:paraId="038A5339" w14:textId="77777777" w:rsidR="00A73253" w:rsidRDefault="00A73253" w:rsidP="001A5D4A">
            <w:pPr>
              <w:pStyle w:val="NotesTable-CellBold"/>
            </w:pPr>
            <w:r>
              <w:t>–</w:t>
            </w:r>
          </w:p>
        </w:tc>
        <w:tc>
          <w:tcPr>
            <w:tcW w:w="301" w:type="pct"/>
            <w:tcBorders>
              <w:top w:val="single" w:sz="4" w:space="0" w:color="auto"/>
              <w:bottom w:val="single" w:sz="4" w:space="0" w:color="auto"/>
              <w:right w:val="single" w:sz="8" w:space="0" w:color="CDCDCD"/>
            </w:tcBorders>
            <w:shd w:val="clear" w:color="auto" w:fill="CCCCCC"/>
          </w:tcPr>
          <w:p w14:paraId="038A533A" w14:textId="77777777" w:rsidR="00A73253" w:rsidRDefault="00A73253" w:rsidP="001A5D4A">
            <w:pPr>
              <w:pStyle w:val="NotesTable-CellPlain"/>
            </w:pPr>
            <w:r>
              <w:t>–</w:t>
            </w:r>
          </w:p>
        </w:tc>
      </w:tr>
      <w:tr w:rsidR="008B61FE" w14:paraId="038A5347" w14:textId="77777777" w:rsidTr="004B7414">
        <w:trPr>
          <w:cantSplit/>
          <w:trHeight w:val="255"/>
        </w:trPr>
        <w:tc>
          <w:tcPr>
            <w:tcW w:w="535" w:type="pct"/>
            <w:tcBorders>
              <w:right w:val="single" w:sz="8" w:space="0" w:color="CDCDCD"/>
            </w:tcBorders>
          </w:tcPr>
          <w:p w14:paraId="038A533C" w14:textId="77777777" w:rsidR="008B61FE" w:rsidRDefault="008B61FE" w:rsidP="001A5D4A">
            <w:pPr>
              <w:pStyle w:val="Note-Refs"/>
            </w:pPr>
          </w:p>
        </w:tc>
        <w:tc>
          <w:tcPr>
            <w:tcW w:w="1785" w:type="pct"/>
            <w:tcBorders>
              <w:left w:val="single" w:sz="8" w:space="0" w:color="CDCDCD"/>
              <w:bottom w:val="single" w:sz="8" w:space="0" w:color="CDCDCD"/>
            </w:tcBorders>
            <w:shd w:val="clear" w:color="auto" w:fill="CCCCCC"/>
          </w:tcPr>
          <w:p w14:paraId="038A533D" w14:textId="77777777" w:rsidR="008B61FE" w:rsidRDefault="008B61FE" w:rsidP="001A5D4A">
            <w:pPr>
              <w:pStyle w:val="NotesTable-ItemPlain"/>
            </w:pPr>
          </w:p>
        </w:tc>
        <w:tc>
          <w:tcPr>
            <w:tcW w:w="261" w:type="pct"/>
            <w:tcBorders>
              <w:bottom w:val="single" w:sz="8" w:space="0" w:color="CDCDCD"/>
            </w:tcBorders>
            <w:shd w:val="clear" w:color="auto" w:fill="CCCCCC"/>
          </w:tcPr>
          <w:p w14:paraId="038A533E" w14:textId="77777777" w:rsidR="008B61FE" w:rsidRDefault="008B61FE" w:rsidP="001A5D4A">
            <w:pPr>
              <w:pStyle w:val="NotesTable-Notes"/>
            </w:pPr>
          </w:p>
        </w:tc>
        <w:tc>
          <w:tcPr>
            <w:tcW w:w="302" w:type="pct"/>
            <w:tcBorders>
              <w:top w:val="single" w:sz="4" w:space="0" w:color="auto"/>
              <w:bottom w:val="single" w:sz="8" w:space="0" w:color="CDCDCD"/>
            </w:tcBorders>
            <w:shd w:val="clear" w:color="auto" w:fill="CCCCCC"/>
          </w:tcPr>
          <w:p w14:paraId="038A533F" w14:textId="77777777" w:rsidR="008B61FE" w:rsidRDefault="008B61FE" w:rsidP="001A5D4A">
            <w:pPr>
              <w:pStyle w:val="NotesTable-CellBold"/>
            </w:pPr>
          </w:p>
        </w:tc>
        <w:tc>
          <w:tcPr>
            <w:tcW w:w="303" w:type="pct"/>
            <w:gridSpan w:val="2"/>
            <w:tcBorders>
              <w:top w:val="single" w:sz="4" w:space="0" w:color="auto"/>
              <w:bottom w:val="single" w:sz="8" w:space="0" w:color="CDCDCD"/>
            </w:tcBorders>
            <w:shd w:val="clear" w:color="auto" w:fill="CCCCCC"/>
          </w:tcPr>
          <w:p w14:paraId="038A5340" w14:textId="77777777" w:rsidR="008B61FE" w:rsidRDefault="008B61FE" w:rsidP="001A5D4A">
            <w:pPr>
              <w:pStyle w:val="NotesTable-CellPlain"/>
            </w:pPr>
          </w:p>
        </w:tc>
        <w:tc>
          <w:tcPr>
            <w:tcW w:w="302" w:type="pct"/>
            <w:tcBorders>
              <w:top w:val="single" w:sz="4" w:space="0" w:color="auto"/>
              <w:bottom w:val="single" w:sz="8" w:space="0" w:color="CDCDCD"/>
            </w:tcBorders>
            <w:shd w:val="clear" w:color="auto" w:fill="CCCCCC"/>
          </w:tcPr>
          <w:p w14:paraId="038A5341" w14:textId="77777777" w:rsidR="008B61FE" w:rsidRDefault="008B61FE" w:rsidP="001A5D4A">
            <w:pPr>
              <w:pStyle w:val="NotesTable-CellBold"/>
            </w:pPr>
          </w:p>
        </w:tc>
        <w:tc>
          <w:tcPr>
            <w:tcW w:w="303" w:type="pct"/>
            <w:tcBorders>
              <w:top w:val="single" w:sz="4" w:space="0" w:color="auto"/>
              <w:bottom w:val="single" w:sz="8" w:space="0" w:color="CDCDCD"/>
            </w:tcBorders>
            <w:shd w:val="clear" w:color="auto" w:fill="CCCCCC"/>
          </w:tcPr>
          <w:p w14:paraId="038A5342" w14:textId="77777777" w:rsidR="008B61FE" w:rsidRDefault="008B61FE" w:rsidP="001A5D4A">
            <w:pPr>
              <w:pStyle w:val="NotesTable-CellPlain"/>
            </w:pPr>
          </w:p>
        </w:tc>
        <w:tc>
          <w:tcPr>
            <w:tcW w:w="303" w:type="pct"/>
            <w:tcBorders>
              <w:top w:val="single" w:sz="4" w:space="0" w:color="auto"/>
              <w:bottom w:val="single" w:sz="8" w:space="0" w:color="CDCDCD"/>
            </w:tcBorders>
            <w:shd w:val="clear" w:color="auto" w:fill="CCCCCC"/>
          </w:tcPr>
          <w:p w14:paraId="038A5343" w14:textId="77777777" w:rsidR="008B61FE" w:rsidRDefault="008B61FE" w:rsidP="001A5D4A">
            <w:pPr>
              <w:pStyle w:val="NotesTable-CellBold"/>
            </w:pPr>
          </w:p>
        </w:tc>
        <w:tc>
          <w:tcPr>
            <w:tcW w:w="302" w:type="pct"/>
            <w:tcBorders>
              <w:top w:val="single" w:sz="4" w:space="0" w:color="auto"/>
              <w:bottom w:val="single" w:sz="8" w:space="0" w:color="CDCDCD"/>
            </w:tcBorders>
            <w:shd w:val="clear" w:color="auto" w:fill="CCCCCC"/>
          </w:tcPr>
          <w:p w14:paraId="038A5344" w14:textId="77777777" w:rsidR="008B61FE" w:rsidRDefault="008B61FE" w:rsidP="001A5D4A">
            <w:pPr>
              <w:pStyle w:val="NotesTable-CellPlain"/>
            </w:pPr>
          </w:p>
        </w:tc>
        <w:tc>
          <w:tcPr>
            <w:tcW w:w="303" w:type="pct"/>
            <w:tcBorders>
              <w:top w:val="single" w:sz="4" w:space="0" w:color="auto"/>
              <w:bottom w:val="single" w:sz="8" w:space="0" w:color="CDCDCD"/>
            </w:tcBorders>
            <w:shd w:val="clear" w:color="auto" w:fill="CCCCCC"/>
          </w:tcPr>
          <w:p w14:paraId="038A5345" w14:textId="77777777" w:rsidR="008B61FE" w:rsidRDefault="008B61FE" w:rsidP="001A5D4A">
            <w:pPr>
              <w:pStyle w:val="NotesTable-CellBold"/>
            </w:pPr>
          </w:p>
        </w:tc>
        <w:tc>
          <w:tcPr>
            <w:tcW w:w="301" w:type="pct"/>
            <w:tcBorders>
              <w:top w:val="single" w:sz="4" w:space="0" w:color="auto"/>
              <w:bottom w:val="single" w:sz="8" w:space="0" w:color="CDCDCD"/>
              <w:right w:val="single" w:sz="8" w:space="0" w:color="CDCDCD"/>
            </w:tcBorders>
            <w:shd w:val="clear" w:color="auto" w:fill="CCCCCC"/>
          </w:tcPr>
          <w:p w14:paraId="038A5346" w14:textId="77777777" w:rsidR="008B61FE" w:rsidRDefault="008B61FE" w:rsidP="001A5D4A">
            <w:pPr>
              <w:pStyle w:val="NotesTable-CellPlain"/>
            </w:pPr>
          </w:p>
        </w:tc>
      </w:tr>
    </w:tbl>
    <w:p w14:paraId="038A5348" w14:textId="77777777" w:rsidR="00AD6BF4" w:rsidRPr="006D022E" w:rsidRDefault="00AD6BF4" w:rsidP="001A5D4A">
      <w:r w:rsidRPr="006D022E">
        <w:br w:type="page"/>
      </w:r>
    </w:p>
    <w:tbl>
      <w:tblPr>
        <w:tblW w:w="5000" w:type="pct"/>
        <w:tblLook w:val="0000" w:firstRow="0" w:lastRow="0" w:firstColumn="0" w:lastColumn="0" w:noHBand="0" w:noVBand="0"/>
      </w:tblPr>
      <w:tblGrid>
        <w:gridCol w:w="1656"/>
        <w:gridCol w:w="4052"/>
        <w:gridCol w:w="823"/>
        <w:gridCol w:w="917"/>
        <w:gridCol w:w="917"/>
        <w:gridCol w:w="791"/>
        <w:gridCol w:w="126"/>
        <w:gridCol w:w="917"/>
        <w:gridCol w:w="917"/>
        <w:gridCol w:w="920"/>
        <w:gridCol w:w="917"/>
        <w:gridCol w:w="917"/>
        <w:gridCol w:w="917"/>
        <w:gridCol w:w="917"/>
      </w:tblGrid>
      <w:tr w:rsidR="004B7414" w14:paraId="038A534D" w14:textId="77777777" w:rsidTr="004B7414">
        <w:trPr>
          <w:cantSplit/>
          <w:trHeight w:val="210"/>
        </w:trPr>
        <w:tc>
          <w:tcPr>
            <w:tcW w:w="5000" w:type="pct"/>
            <w:gridSpan w:val="14"/>
            <w:tcBorders>
              <w:right w:val="single" w:sz="8" w:space="0" w:color="CDCDCD"/>
            </w:tcBorders>
            <w:shd w:val="clear" w:color="auto" w:fill="auto"/>
          </w:tcPr>
          <w:p w14:paraId="038A534C" w14:textId="3546DC74"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8222DA" w14:paraId="038A5353" w14:textId="77777777" w:rsidTr="00261A68">
        <w:trPr>
          <w:cantSplit/>
          <w:trHeight w:val="256"/>
        </w:trPr>
        <w:tc>
          <w:tcPr>
            <w:tcW w:w="527" w:type="pct"/>
            <w:tcBorders>
              <w:right w:val="single" w:sz="8" w:space="0" w:color="CDCDCD"/>
            </w:tcBorders>
          </w:tcPr>
          <w:p w14:paraId="7FE9727B" w14:textId="77777777" w:rsidR="004B7414" w:rsidRDefault="004B7414" w:rsidP="004B7414">
            <w:pPr>
              <w:pStyle w:val="Note-Refs"/>
              <w:rPr>
                <w:b/>
              </w:rPr>
            </w:pPr>
            <w:r>
              <w:t>MANDATORY</w:t>
            </w:r>
          </w:p>
          <w:p w14:paraId="038A534E" w14:textId="39D9D37E" w:rsidR="008222DA" w:rsidRDefault="004B7414" w:rsidP="004B7414">
            <w:pPr>
              <w:pStyle w:val="Note-Refs"/>
            </w:pPr>
            <w:r>
              <w:t>EDUCATION</w:t>
            </w:r>
          </w:p>
        </w:tc>
        <w:tc>
          <w:tcPr>
            <w:tcW w:w="2388" w:type="pct"/>
            <w:gridSpan w:val="5"/>
            <w:tcBorders>
              <w:left w:val="single" w:sz="8" w:space="0" w:color="CDCDCD"/>
            </w:tcBorders>
            <w:shd w:val="clear" w:color="auto" w:fill="CCCCCC"/>
          </w:tcPr>
          <w:p w14:paraId="038A5350" w14:textId="0841EFBA" w:rsidR="008222DA" w:rsidRDefault="008222DA" w:rsidP="001A5D4A">
            <w:pPr>
              <w:pStyle w:val="NotesTable-AcquittalHeader"/>
            </w:pPr>
            <w:r>
              <w:t>53g Australian Research Council Grants</w:t>
            </w:r>
          </w:p>
        </w:tc>
        <w:tc>
          <w:tcPr>
            <w:tcW w:w="2085" w:type="pct"/>
            <w:gridSpan w:val="8"/>
            <w:tcBorders>
              <w:right w:val="single" w:sz="8" w:space="0" w:color="CDCDCD"/>
            </w:tcBorders>
            <w:shd w:val="clear" w:color="auto" w:fill="CCCCCC"/>
          </w:tcPr>
          <w:p w14:paraId="038A5352" w14:textId="77777777" w:rsidR="008222DA" w:rsidRDefault="008222DA" w:rsidP="001A5D4A">
            <w:pPr>
              <w:pStyle w:val="NotesTable-ItemBold"/>
            </w:pPr>
            <w:r>
              <w:t>Parent entity (HEP) ONLY</w:t>
            </w:r>
          </w:p>
        </w:tc>
      </w:tr>
      <w:tr w:rsidR="008222DA" w14:paraId="653FB8A2" w14:textId="77777777" w:rsidTr="00261A68">
        <w:trPr>
          <w:cantSplit/>
          <w:trHeight w:val="256"/>
        </w:trPr>
        <w:tc>
          <w:tcPr>
            <w:tcW w:w="527" w:type="pct"/>
            <w:tcBorders>
              <w:right w:val="single" w:sz="8" w:space="0" w:color="CDCDCD"/>
            </w:tcBorders>
          </w:tcPr>
          <w:p w14:paraId="44DC7A70" w14:textId="77777777" w:rsidR="008222DA" w:rsidRDefault="008222DA" w:rsidP="001A5D4A">
            <w:pPr>
              <w:pStyle w:val="Note-Refs"/>
            </w:pPr>
          </w:p>
        </w:tc>
        <w:tc>
          <w:tcPr>
            <w:tcW w:w="2388" w:type="pct"/>
            <w:gridSpan w:val="5"/>
            <w:tcBorders>
              <w:left w:val="single" w:sz="8" w:space="0" w:color="CDCDCD"/>
            </w:tcBorders>
            <w:shd w:val="clear" w:color="auto" w:fill="CCCCCC"/>
          </w:tcPr>
          <w:p w14:paraId="5951F9D8" w14:textId="77777777" w:rsidR="008222DA" w:rsidRDefault="008222DA" w:rsidP="001A5D4A">
            <w:pPr>
              <w:pStyle w:val="NotesTable-AcquittalHeader"/>
            </w:pPr>
          </w:p>
        </w:tc>
        <w:tc>
          <w:tcPr>
            <w:tcW w:w="2085" w:type="pct"/>
            <w:gridSpan w:val="8"/>
            <w:tcBorders>
              <w:right w:val="single" w:sz="8" w:space="0" w:color="CDCDCD"/>
            </w:tcBorders>
            <w:shd w:val="clear" w:color="auto" w:fill="CCCCCC"/>
          </w:tcPr>
          <w:p w14:paraId="21F5941C" w14:textId="77777777" w:rsidR="008222DA" w:rsidRDefault="008222DA" w:rsidP="001A5D4A">
            <w:pPr>
              <w:pStyle w:val="NotesTable-ItemBold"/>
            </w:pPr>
          </w:p>
        </w:tc>
      </w:tr>
      <w:tr w:rsidR="000D65C6" w14:paraId="038A535C" w14:textId="77777777" w:rsidTr="004B7414">
        <w:trPr>
          <w:cantSplit/>
          <w:trHeight w:val="256"/>
        </w:trPr>
        <w:tc>
          <w:tcPr>
            <w:tcW w:w="527" w:type="pct"/>
            <w:tcBorders>
              <w:right w:val="single" w:sz="8" w:space="0" w:color="CDCDCD"/>
            </w:tcBorders>
          </w:tcPr>
          <w:p w14:paraId="038A5354" w14:textId="77777777" w:rsidR="000D65C6" w:rsidRDefault="000D65C6" w:rsidP="001A5D4A">
            <w:pPr>
              <w:pStyle w:val="Note-Refs"/>
            </w:pPr>
          </w:p>
        </w:tc>
        <w:tc>
          <w:tcPr>
            <w:tcW w:w="1552" w:type="pct"/>
            <w:gridSpan w:val="2"/>
            <w:tcBorders>
              <w:left w:val="single" w:sz="8" w:space="0" w:color="CDCDCD"/>
            </w:tcBorders>
            <w:shd w:val="clear" w:color="auto" w:fill="CCCCCC"/>
          </w:tcPr>
          <w:p w14:paraId="038A5355" w14:textId="77777777" w:rsidR="000D65C6" w:rsidRDefault="000D65C6" w:rsidP="001A5D4A">
            <w:pPr>
              <w:pStyle w:val="NotesTable-ItemBold"/>
            </w:pPr>
            <w:r>
              <w:t>(ii) Linkages</w:t>
            </w:r>
          </w:p>
        </w:tc>
        <w:tc>
          <w:tcPr>
            <w:tcW w:w="584" w:type="pct"/>
            <w:gridSpan w:val="2"/>
            <w:shd w:val="clear" w:color="auto" w:fill="CCCCCC"/>
          </w:tcPr>
          <w:p w14:paraId="038A5356" w14:textId="69A029FD" w:rsidR="000D65C6" w:rsidRDefault="000D65C6" w:rsidP="001A5D4A">
            <w:pPr>
              <w:pStyle w:val="NotesTable-HeadPlain"/>
            </w:pPr>
            <w:r>
              <w:t>Infrastructure</w:t>
            </w:r>
          </w:p>
        </w:tc>
        <w:tc>
          <w:tcPr>
            <w:tcW w:w="584" w:type="pct"/>
            <w:gridSpan w:val="3"/>
            <w:shd w:val="clear" w:color="auto" w:fill="CCCCCC"/>
          </w:tcPr>
          <w:p w14:paraId="038A5357" w14:textId="4077C1C7" w:rsidR="000D65C6" w:rsidRDefault="000D65C6" w:rsidP="001A5D4A">
            <w:pPr>
              <w:pStyle w:val="NotesTable-HeadPlain"/>
            </w:pPr>
            <w:r>
              <w:t>International</w:t>
            </w:r>
          </w:p>
        </w:tc>
        <w:tc>
          <w:tcPr>
            <w:tcW w:w="585" w:type="pct"/>
            <w:gridSpan w:val="2"/>
            <w:shd w:val="clear" w:color="auto" w:fill="CCCCCC"/>
          </w:tcPr>
          <w:p w14:paraId="038A5358" w14:textId="4D51B43A" w:rsidR="000D65C6" w:rsidRDefault="000D65C6" w:rsidP="001A5D4A">
            <w:pPr>
              <w:pStyle w:val="NotesTable-HeadPlain"/>
            </w:pPr>
            <w:r>
              <w:t>Projects</w:t>
            </w:r>
          </w:p>
        </w:tc>
        <w:tc>
          <w:tcPr>
            <w:tcW w:w="584" w:type="pct"/>
            <w:gridSpan w:val="2"/>
            <w:shd w:val="clear" w:color="auto" w:fill="CCCCCC"/>
          </w:tcPr>
          <w:p w14:paraId="038A5359" w14:textId="4B871B40" w:rsidR="000D65C6" w:rsidRDefault="000D65C6" w:rsidP="001A5D4A">
            <w:pPr>
              <w:pStyle w:val="NotesTable-HeadPlain"/>
            </w:pPr>
            <w:r>
              <w:t>Industrial Transformation Research Program</w:t>
            </w:r>
          </w:p>
        </w:tc>
        <w:tc>
          <w:tcPr>
            <w:tcW w:w="584" w:type="pct"/>
            <w:gridSpan w:val="2"/>
            <w:tcBorders>
              <w:right w:val="single" w:sz="8" w:space="0" w:color="CDCDCD"/>
            </w:tcBorders>
            <w:shd w:val="clear" w:color="auto" w:fill="CCCCCC"/>
          </w:tcPr>
          <w:p w14:paraId="038A535B" w14:textId="37CE7CEF" w:rsidR="000D65C6" w:rsidRDefault="000D65C6" w:rsidP="001A5D4A">
            <w:pPr>
              <w:pStyle w:val="NotesTable-HeadPlain"/>
            </w:pPr>
            <w:r>
              <w:t>Total Linkages</w:t>
            </w:r>
          </w:p>
        </w:tc>
      </w:tr>
      <w:tr w:rsidR="000D65C6" w14:paraId="038A536C" w14:textId="77777777" w:rsidTr="004B7414">
        <w:trPr>
          <w:cantSplit/>
          <w:trHeight w:val="255"/>
        </w:trPr>
        <w:tc>
          <w:tcPr>
            <w:tcW w:w="527" w:type="pct"/>
            <w:tcBorders>
              <w:right w:val="single" w:sz="8" w:space="0" w:color="CDCDCD"/>
            </w:tcBorders>
          </w:tcPr>
          <w:p w14:paraId="038A535D" w14:textId="77777777" w:rsidR="000D65C6" w:rsidRDefault="000D65C6" w:rsidP="001A5D4A">
            <w:pPr>
              <w:pStyle w:val="Note-Refs"/>
            </w:pPr>
          </w:p>
        </w:tc>
        <w:tc>
          <w:tcPr>
            <w:tcW w:w="1290" w:type="pct"/>
            <w:tcBorders>
              <w:left w:val="single" w:sz="8" w:space="0" w:color="CDCDCD"/>
            </w:tcBorders>
            <w:shd w:val="clear" w:color="auto" w:fill="CCCCCC"/>
          </w:tcPr>
          <w:p w14:paraId="038A535E" w14:textId="77777777" w:rsidR="000D65C6" w:rsidRDefault="000D65C6" w:rsidP="001A5D4A">
            <w:pPr>
              <w:pStyle w:val="NotesTable-ItemPlain"/>
            </w:pPr>
          </w:p>
        </w:tc>
        <w:tc>
          <w:tcPr>
            <w:tcW w:w="262" w:type="pct"/>
            <w:shd w:val="clear" w:color="auto" w:fill="CCCCCC"/>
          </w:tcPr>
          <w:p w14:paraId="038A535F" w14:textId="77777777" w:rsidR="000D65C6" w:rsidRDefault="000D65C6" w:rsidP="001A5D4A">
            <w:pPr>
              <w:pStyle w:val="NotesTable-Notes"/>
            </w:pPr>
            <w:r>
              <w:t>Notes</w:t>
            </w:r>
          </w:p>
        </w:tc>
        <w:tc>
          <w:tcPr>
            <w:tcW w:w="292" w:type="pct"/>
            <w:shd w:val="clear" w:color="auto" w:fill="CCCCCC"/>
          </w:tcPr>
          <w:p w14:paraId="038A5360" w14:textId="6A460B1A" w:rsidR="000D65C6" w:rsidRDefault="000D65C6" w:rsidP="001A5D4A">
            <w:pPr>
              <w:pStyle w:val="NotesTable-HeadBold"/>
            </w:pPr>
            <w:r>
              <w:t>2014</w:t>
            </w:r>
          </w:p>
        </w:tc>
        <w:tc>
          <w:tcPr>
            <w:tcW w:w="292" w:type="pct"/>
            <w:shd w:val="clear" w:color="auto" w:fill="CCCCCC"/>
          </w:tcPr>
          <w:p w14:paraId="038A5361" w14:textId="1C24DAAF" w:rsidR="000D65C6" w:rsidRDefault="000D65C6" w:rsidP="001A5D4A">
            <w:pPr>
              <w:pStyle w:val="NotesTable-HeadPlain"/>
            </w:pPr>
            <w:r>
              <w:t>2013</w:t>
            </w:r>
          </w:p>
        </w:tc>
        <w:tc>
          <w:tcPr>
            <w:tcW w:w="292" w:type="pct"/>
            <w:gridSpan w:val="2"/>
            <w:shd w:val="clear" w:color="auto" w:fill="CCCCCC"/>
          </w:tcPr>
          <w:p w14:paraId="038A5362" w14:textId="4CE6372D" w:rsidR="000D65C6" w:rsidRDefault="000D65C6" w:rsidP="001A5D4A">
            <w:pPr>
              <w:pStyle w:val="NotesTable-HeadBold"/>
            </w:pPr>
            <w:r>
              <w:t>2014</w:t>
            </w:r>
          </w:p>
        </w:tc>
        <w:tc>
          <w:tcPr>
            <w:tcW w:w="292" w:type="pct"/>
            <w:shd w:val="clear" w:color="auto" w:fill="CCCCCC"/>
          </w:tcPr>
          <w:p w14:paraId="038A5363" w14:textId="36DF9DC1" w:rsidR="000D65C6" w:rsidRDefault="000D65C6" w:rsidP="001A5D4A">
            <w:pPr>
              <w:pStyle w:val="NotesTable-HeadPlain"/>
            </w:pPr>
            <w:r>
              <w:t>2013</w:t>
            </w:r>
          </w:p>
        </w:tc>
        <w:tc>
          <w:tcPr>
            <w:tcW w:w="292" w:type="pct"/>
            <w:shd w:val="clear" w:color="auto" w:fill="CCCCCC"/>
          </w:tcPr>
          <w:p w14:paraId="038A5364" w14:textId="78A1E024" w:rsidR="000D65C6" w:rsidRDefault="000D65C6" w:rsidP="001A5D4A">
            <w:pPr>
              <w:pStyle w:val="NotesTable-HeadBold"/>
            </w:pPr>
            <w:r>
              <w:t>2014</w:t>
            </w:r>
          </w:p>
        </w:tc>
        <w:tc>
          <w:tcPr>
            <w:tcW w:w="293" w:type="pct"/>
            <w:shd w:val="clear" w:color="auto" w:fill="CCCCCC"/>
          </w:tcPr>
          <w:p w14:paraId="038A5365" w14:textId="7520C820" w:rsidR="000D65C6" w:rsidRDefault="000D65C6" w:rsidP="001A5D4A">
            <w:pPr>
              <w:pStyle w:val="NotesTable-HeadPlain"/>
            </w:pPr>
            <w:r>
              <w:t>2013</w:t>
            </w:r>
          </w:p>
        </w:tc>
        <w:tc>
          <w:tcPr>
            <w:tcW w:w="292" w:type="pct"/>
            <w:shd w:val="clear" w:color="auto" w:fill="CCCCCC"/>
          </w:tcPr>
          <w:p w14:paraId="038A5366" w14:textId="05AA67FE" w:rsidR="000D65C6" w:rsidRDefault="000D65C6" w:rsidP="001A5D4A">
            <w:pPr>
              <w:pStyle w:val="NotesTable-HeadBold"/>
            </w:pPr>
            <w:r>
              <w:t>2014</w:t>
            </w:r>
          </w:p>
        </w:tc>
        <w:tc>
          <w:tcPr>
            <w:tcW w:w="292" w:type="pct"/>
            <w:shd w:val="clear" w:color="auto" w:fill="CCCCCC"/>
          </w:tcPr>
          <w:p w14:paraId="038A5367" w14:textId="75643231" w:rsidR="000D65C6" w:rsidRDefault="000D65C6" w:rsidP="001A5D4A">
            <w:pPr>
              <w:pStyle w:val="NotesTable-HeadPlain"/>
            </w:pPr>
            <w:r>
              <w:t>2013</w:t>
            </w:r>
          </w:p>
        </w:tc>
        <w:tc>
          <w:tcPr>
            <w:tcW w:w="292" w:type="pct"/>
            <w:shd w:val="clear" w:color="auto" w:fill="CCCCCC"/>
          </w:tcPr>
          <w:p w14:paraId="038A536A" w14:textId="059E8EAE" w:rsidR="000D65C6" w:rsidRDefault="000D65C6" w:rsidP="001A5D4A">
            <w:pPr>
              <w:pStyle w:val="NotesTable-HeadBold"/>
            </w:pPr>
            <w:r>
              <w:t>2014</w:t>
            </w:r>
          </w:p>
        </w:tc>
        <w:tc>
          <w:tcPr>
            <w:tcW w:w="292" w:type="pct"/>
            <w:tcBorders>
              <w:right w:val="single" w:sz="8" w:space="0" w:color="CDCDCD"/>
            </w:tcBorders>
            <w:shd w:val="clear" w:color="auto" w:fill="CCCCCC"/>
          </w:tcPr>
          <w:p w14:paraId="038A536B" w14:textId="2ED46C6C" w:rsidR="000D65C6" w:rsidRDefault="000D65C6" w:rsidP="001A5D4A">
            <w:pPr>
              <w:pStyle w:val="NotesTable-HeadPlain"/>
            </w:pPr>
            <w:r>
              <w:t>2013</w:t>
            </w:r>
          </w:p>
        </w:tc>
      </w:tr>
      <w:tr w:rsidR="000D65C6" w14:paraId="038A537C" w14:textId="77777777" w:rsidTr="004B7414">
        <w:trPr>
          <w:cantSplit/>
          <w:trHeight w:val="255"/>
        </w:trPr>
        <w:tc>
          <w:tcPr>
            <w:tcW w:w="527" w:type="pct"/>
            <w:tcBorders>
              <w:right w:val="single" w:sz="8" w:space="0" w:color="CDCDCD"/>
            </w:tcBorders>
          </w:tcPr>
          <w:p w14:paraId="038A536D" w14:textId="77777777" w:rsidR="000D65C6" w:rsidRDefault="000D65C6" w:rsidP="001A5D4A">
            <w:pPr>
              <w:pStyle w:val="Note-Refs"/>
            </w:pPr>
          </w:p>
        </w:tc>
        <w:tc>
          <w:tcPr>
            <w:tcW w:w="1290" w:type="pct"/>
            <w:tcBorders>
              <w:left w:val="single" w:sz="8" w:space="0" w:color="CDCDCD"/>
            </w:tcBorders>
            <w:shd w:val="clear" w:color="auto" w:fill="CCCCCC"/>
          </w:tcPr>
          <w:p w14:paraId="038A536E" w14:textId="77777777" w:rsidR="000D65C6" w:rsidRDefault="000D65C6" w:rsidP="001A5D4A">
            <w:pPr>
              <w:pStyle w:val="NotesTable-ItemPlain"/>
            </w:pPr>
          </w:p>
        </w:tc>
        <w:tc>
          <w:tcPr>
            <w:tcW w:w="262" w:type="pct"/>
            <w:shd w:val="clear" w:color="auto" w:fill="CCCCCC"/>
          </w:tcPr>
          <w:p w14:paraId="038A536F" w14:textId="77777777" w:rsidR="000D65C6" w:rsidRDefault="000D65C6" w:rsidP="001A5D4A">
            <w:pPr>
              <w:pStyle w:val="NotesTable-Notes"/>
            </w:pPr>
          </w:p>
        </w:tc>
        <w:tc>
          <w:tcPr>
            <w:tcW w:w="292" w:type="pct"/>
            <w:shd w:val="clear" w:color="auto" w:fill="CCCCCC"/>
          </w:tcPr>
          <w:p w14:paraId="038A5370" w14:textId="77777777" w:rsidR="000D65C6" w:rsidRDefault="000D65C6" w:rsidP="001A5D4A">
            <w:pPr>
              <w:pStyle w:val="NotesTable-HeadBold"/>
            </w:pPr>
            <w:r>
              <w:t>$’000</w:t>
            </w:r>
          </w:p>
        </w:tc>
        <w:tc>
          <w:tcPr>
            <w:tcW w:w="292" w:type="pct"/>
            <w:shd w:val="clear" w:color="auto" w:fill="CCCCCC"/>
          </w:tcPr>
          <w:p w14:paraId="038A5371" w14:textId="77777777" w:rsidR="000D65C6" w:rsidRDefault="000D65C6" w:rsidP="001A5D4A">
            <w:pPr>
              <w:pStyle w:val="NotesTable-HeadPlain"/>
            </w:pPr>
            <w:r>
              <w:t>$’000</w:t>
            </w:r>
          </w:p>
        </w:tc>
        <w:tc>
          <w:tcPr>
            <w:tcW w:w="292" w:type="pct"/>
            <w:gridSpan w:val="2"/>
            <w:shd w:val="clear" w:color="auto" w:fill="CCCCCC"/>
          </w:tcPr>
          <w:p w14:paraId="038A5372" w14:textId="77777777" w:rsidR="000D65C6" w:rsidRDefault="000D65C6" w:rsidP="001A5D4A">
            <w:pPr>
              <w:pStyle w:val="NotesTable-HeadBold"/>
            </w:pPr>
            <w:r>
              <w:t>$’000</w:t>
            </w:r>
          </w:p>
        </w:tc>
        <w:tc>
          <w:tcPr>
            <w:tcW w:w="292" w:type="pct"/>
            <w:shd w:val="clear" w:color="auto" w:fill="CCCCCC"/>
          </w:tcPr>
          <w:p w14:paraId="038A5373" w14:textId="77777777" w:rsidR="000D65C6" w:rsidRDefault="000D65C6" w:rsidP="001A5D4A">
            <w:pPr>
              <w:pStyle w:val="NotesTable-HeadPlain"/>
            </w:pPr>
            <w:r>
              <w:t>$’000</w:t>
            </w:r>
          </w:p>
        </w:tc>
        <w:tc>
          <w:tcPr>
            <w:tcW w:w="292" w:type="pct"/>
            <w:shd w:val="clear" w:color="auto" w:fill="CCCCCC"/>
          </w:tcPr>
          <w:p w14:paraId="038A5374" w14:textId="77777777" w:rsidR="000D65C6" w:rsidRDefault="000D65C6" w:rsidP="001A5D4A">
            <w:pPr>
              <w:pStyle w:val="NotesTable-HeadBold"/>
            </w:pPr>
            <w:r>
              <w:t>$’000</w:t>
            </w:r>
          </w:p>
        </w:tc>
        <w:tc>
          <w:tcPr>
            <w:tcW w:w="293" w:type="pct"/>
            <w:shd w:val="clear" w:color="auto" w:fill="CCCCCC"/>
          </w:tcPr>
          <w:p w14:paraId="038A5375" w14:textId="77777777" w:rsidR="000D65C6" w:rsidRDefault="000D65C6" w:rsidP="001A5D4A">
            <w:pPr>
              <w:pStyle w:val="NotesTable-HeadPlain"/>
            </w:pPr>
            <w:r>
              <w:t>$’000</w:t>
            </w:r>
          </w:p>
        </w:tc>
        <w:tc>
          <w:tcPr>
            <w:tcW w:w="292" w:type="pct"/>
            <w:shd w:val="clear" w:color="auto" w:fill="CCCCCC"/>
          </w:tcPr>
          <w:p w14:paraId="038A5376" w14:textId="77777777" w:rsidR="000D65C6" w:rsidRDefault="000D65C6" w:rsidP="001A5D4A">
            <w:pPr>
              <w:pStyle w:val="NotesTable-HeadBold"/>
            </w:pPr>
            <w:r>
              <w:t>$’000</w:t>
            </w:r>
          </w:p>
        </w:tc>
        <w:tc>
          <w:tcPr>
            <w:tcW w:w="292" w:type="pct"/>
            <w:shd w:val="clear" w:color="auto" w:fill="CCCCCC"/>
          </w:tcPr>
          <w:p w14:paraId="038A5377" w14:textId="77777777" w:rsidR="000D65C6" w:rsidRDefault="000D65C6" w:rsidP="001A5D4A">
            <w:pPr>
              <w:pStyle w:val="NotesTable-HeadPlain"/>
            </w:pPr>
            <w:r>
              <w:t>$’000</w:t>
            </w:r>
          </w:p>
        </w:tc>
        <w:tc>
          <w:tcPr>
            <w:tcW w:w="292" w:type="pct"/>
            <w:shd w:val="clear" w:color="auto" w:fill="CCCCCC"/>
          </w:tcPr>
          <w:p w14:paraId="038A537A" w14:textId="77777777" w:rsidR="000D65C6" w:rsidRDefault="000D65C6" w:rsidP="001A5D4A">
            <w:pPr>
              <w:pStyle w:val="NotesTable-HeadBold"/>
            </w:pPr>
            <w:r>
              <w:t>$’000</w:t>
            </w:r>
          </w:p>
        </w:tc>
        <w:tc>
          <w:tcPr>
            <w:tcW w:w="292" w:type="pct"/>
            <w:tcBorders>
              <w:right w:val="single" w:sz="8" w:space="0" w:color="CDCDCD"/>
            </w:tcBorders>
            <w:shd w:val="clear" w:color="auto" w:fill="CCCCCC"/>
          </w:tcPr>
          <w:p w14:paraId="038A537B" w14:textId="77777777" w:rsidR="000D65C6" w:rsidRDefault="000D65C6" w:rsidP="001A5D4A">
            <w:pPr>
              <w:pStyle w:val="NotesTable-HeadPlain"/>
            </w:pPr>
            <w:r>
              <w:t>$’000</w:t>
            </w:r>
          </w:p>
        </w:tc>
      </w:tr>
      <w:tr w:rsidR="000D65C6" w14:paraId="038A538C" w14:textId="77777777" w:rsidTr="004B7414">
        <w:trPr>
          <w:cantSplit/>
          <w:trHeight w:val="255"/>
        </w:trPr>
        <w:tc>
          <w:tcPr>
            <w:tcW w:w="527" w:type="pct"/>
            <w:tcBorders>
              <w:right w:val="single" w:sz="8" w:space="0" w:color="CDCDCD"/>
            </w:tcBorders>
          </w:tcPr>
          <w:p w14:paraId="038A537D" w14:textId="77777777" w:rsidR="000D65C6" w:rsidRDefault="000D65C6" w:rsidP="001A5D4A">
            <w:pPr>
              <w:pStyle w:val="Note-Refs"/>
            </w:pPr>
            <w:r>
              <w:t>A</w:t>
            </w:r>
          </w:p>
        </w:tc>
        <w:tc>
          <w:tcPr>
            <w:tcW w:w="1290" w:type="pct"/>
            <w:tcBorders>
              <w:left w:val="single" w:sz="8" w:space="0" w:color="CDCDCD"/>
            </w:tcBorders>
            <w:shd w:val="clear" w:color="auto" w:fill="CCCCCC"/>
          </w:tcPr>
          <w:p w14:paraId="038A537E" w14:textId="77777777" w:rsidR="000D65C6" w:rsidRDefault="000D65C6" w:rsidP="001A5D4A">
            <w:pPr>
              <w:pStyle w:val="NotesTable-ItemPlain"/>
              <w:rPr>
                <w:b/>
              </w:rPr>
            </w:pPr>
            <w:r>
              <w:t>Financial assistance received in CASH during the reporting period (total cash received from the Australian Government for the program)</w:t>
            </w:r>
          </w:p>
        </w:tc>
        <w:tc>
          <w:tcPr>
            <w:tcW w:w="262" w:type="pct"/>
            <w:shd w:val="clear" w:color="auto" w:fill="CCCCCC"/>
          </w:tcPr>
          <w:p w14:paraId="038A537F" w14:textId="77777777" w:rsidR="000D65C6" w:rsidRDefault="000D65C6" w:rsidP="001A5D4A">
            <w:pPr>
              <w:pStyle w:val="NotesTable-Notes"/>
            </w:pPr>
          </w:p>
        </w:tc>
        <w:tc>
          <w:tcPr>
            <w:tcW w:w="292" w:type="pct"/>
            <w:shd w:val="clear" w:color="auto" w:fill="CCCCCC"/>
            <w:vAlign w:val="bottom"/>
          </w:tcPr>
          <w:p w14:paraId="038A5380" w14:textId="77777777" w:rsidR="000D65C6" w:rsidRDefault="000D65C6" w:rsidP="001A5D4A">
            <w:pPr>
              <w:pStyle w:val="NotesTable-CellBold"/>
            </w:pPr>
            <w:r>
              <w:t>–</w:t>
            </w:r>
          </w:p>
        </w:tc>
        <w:tc>
          <w:tcPr>
            <w:tcW w:w="292" w:type="pct"/>
            <w:shd w:val="clear" w:color="auto" w:fill="CCCCCC"/>
            <w:vAlign w:val="bottom"/>
          </w:tcPr>
          <w:p w14:paraId="038A5381" w14:textId="77777777" w:rsidR="000D65C6" w:rsidRDefault="000D65C6" w:rsidP="001A5D4A">
            <w:pPr>
              <w:pStyle w:val="NotesTable-CellPlain"/>
            </w:pPr>
            <w:r>
              <w:t>–</w:t>
            </w:r>
          </w:p>
        </w:tc>
        <w:tc>
          <w:tcPr>
            <w:tcW w:w="292" w:type="pct"/>
            <w:gridSpan w:val="2"/>
            <w:shd w:val="clear" w:color="auto" w:fill="CCCCCC"/>
            <w:vAlign w:val="bottom"/>
          </w:tcPr>
          <w:p w14:paraId="038A5382" w14:textId="77777777" w:rsidR="000D65C6" w:rsidRDefault="000D65C6" w:rsidP="001A5D4A">
            <w:pPr>
              <w:pStyle w:val="NotesTable-CellBold"/>
            </w:pPr>
            <w:r>
              <w:t>–</w:t>
            </w:r>
          </w:p>
        </w:tc>
        <w:tc>
          <w:tcPr>
            <w:tcW w:w="292" w:type="pct"/>
            <w:shd w:val="clear" w:color="auto" w:fill="CCCCCC"/>
            <w:vAlign w:val="bottom"/>
          </w:tcPr>
          <w:p w14:paraId="038A5383" w14:textId="77777777" w:rsidR="000D65C6" w:rsidRDefault="000D65C6" w:rsidP="001A5D4A">
            <w:pPr>
              <w:pStyle w:val="NotesTable-CellPlain"/>
            </w:pPr>
            <w:r>
              <w:t>–</w:t>
            </w:r>
          </w:p>
        </w:tc>
        <w:tc>
          <w:tcPr>
            <w:tcW w:w="292" w:type="pct"/>
            <w:shd w:val="clear" w:color="auto" w:fill="CCCCCC"/>
            <w:vAlign w:val="bottom"/>
          </w:tcPr>
          <w:p w14:paraId="038A5384" w14:textId="77777777" w:rsidR="000D65C6" w:rsidRDefault="000D65C6" w:rsidP="001A5D4A">
            <w:pPr>
              <w:pStyle w:val="NotesTable-CellBold"/>
            </w:pPr>
            <w:r>
              <w:t>–</w:t>
            </w:r>
          </w:p>
        </w:tc>
        <w:tc>
          <w:tcPr>
            <w:tcW w:w="293" w:type="pct"/>
            <w:shd w:val="clear" w:color="auto" w:fill="CCCCCC"/>
            <w:vAlign w:val="bottom"/>
          </w:tcPr>
          <w:p w14:paraId="038A5385" w14:textId="77777777" w:rsidR="000D65C6" w:rsidRDefault="000D65C6" w:rsidP="001A5D4A">
            <w:pPr>
              <w:pStyle w:val="NotesTable-CellPlain"/>
            </w:pPr>
            <w:r>
              <w:t>–</w:t>
            </w:r>
          </w:p>
        </w:tc>
        <w:tc>
          <w:tcPr>
            <w:tcW w:w="292" w:type="pct"/>
            <w:shd w:val="clear" w:color="auto" w:fill="CCCCCC"/>
            <w:vAlign w:val="bottom"/>
          </w:tcPr>
          <w:p w14:paraId="038A5386" w14:textId="77777777" w:rsidR="000D65C6" w:rsidRDefault="000D65C6" w:rsidP="001A5D4A">
            <w:pPr>
              <w:pStyle w:val="NotesTable-CellBold"/>
            </w:pPr>
            <w:r>
              <w:t>–</w:t>
            </w:r>
          </w:p>
        </w:tc>
        <w:tc>
          <w:tcPr>
            <w:tcW w:w="292" w:type="pct"/>
            <w:shd w:val="clear" w:color="auto" w:fill="CCCCCC"/>
            <w:vAlign w:val="bottom"/>
          </w:tcPr>
          <w:p w14:paraId="038A5387" w14:textId="77777777" w:rsidR="000D65C6" w:rsidRDefault="000D65C6" w:rsidP="001A5D4A">
            <w:pPr>
              <w:pStyle w:val="NotesTable-CellPlain"/>
            </w:pPr>
            <w:r>
              <w:t>–</w:t>
            </w:r>
          </w:p>
        </w:tc>
        <w:tc>
          <w:tcPr>
            <w:tcW w:w="292" w:type="pct"/>
            <w:shd w:val="clear" w:color="auto" w:fill="CCCCCC"/>
            <w:vAlign w:val="bottom"/>
          </w:tcPr>
          <w:p w14:paraId="038A538A" w14:textId="77777777" w:rsidR="000D65C6" w:rsidRDefault="000D65C6" w:rsidP="001A5D4A">
            <w:pPr>
              <w:pStyle w:val="NotesTable-CellBold"/>
            </w:pPr>
            <w:r>
              <w:t>–</w:t>
            </w:r>
          </w:p>
        </w:tc>
        <w:tc>
          <w:tcPr>
            <w:tcW w:w="292" w:type="pct"/>
            <w:tcBorders>
              <w:right w:val="single" w:sz="8" w:space="0" w:color="CDCDCD"/>
            </w:tcBorders>
            <w:shd w:val="clear" w:color="auto" w:fill="CCCCCC"/>
            <w:vAlign w:val="bottom"/>
          </w:tcPr>
          <w:p w14:paraId="038A538B" w14:textId="77777777" w:rsidR="000D65C6" w:rsidRDefault="000D65C6" w:rsidP="001A5D4A">
            <w:pPr>
              <w:pStyle w:val="NotesTable-CellPlain"/>
            </w:pPr>
            <w:r>
              <w:t>–</w:t>
            </w:r>
          </w:p>
        </w:tc>
      </w:tr>
      <w:tr w:rsidR="000D65C6" w14:paraId="038A539C" w14:textId="77777777" w:rsidTr="004B7414">
        <w:trPr>
          <w:cantSplit/>
          <w:trHeight w:val="255"/>
        </w:trPr>
        <w:tc>
          <w:tcPr>
            <w:tcW w:w="527" w:type="pct"/>
            <w:tcBorders>
              <w:right w:val="single" w:sz="8" w:space="0" w:color="CDCDCD"/>
            </w:tcBorders>
          </w:tcPr>
          <w:p w14:paraId="038A538D" w14:textId="77777777" w:rsidR="000D65C6" w:rsidRDefault="000D65C6" w:rsidP="001A5D4A">
            <w:pPr>
              <w:pStyle w:val="Note-Refs"/>
            </w:pPr>
            <w:r>
              <w:t>B</w:t>
            </w:r>
          </w:p>
        </w:tc>
        <w:tc>
          <w:tcPr>
            <w:tcW w:w="1290" w:type="pct"/>
            <w:tcBorders>
              <w:left w:val="single" w:sz="8" w:space="0" w:color="CDCDCD"/>
            </w:tcBorders>
            <w:shd w:val="clear" w:color="auto" w:fill="CCCCCC"/>
          </w:tcPr>
          <w:p w14:paraId="038A538E" w14:textId="77777777" w:rsidR="000D65C6" w:rsidRDefault="000D65C6" w:rsidP="001A5D4A">
            <w:pPr>
              <w:pStyle w:val="NotesTable-ItemPlain"/>
              <w:rPr>
                <w:b/>
              </w:rPr>
            </w:pPr>
            <w:r>
              <w:t>Net accrual adjustments</w:t>
            </w:r>
          </w:p>
        </w:tc>
        <w:tc>
          <w:tcPr>
            <w:tcW w:w="262" w:type="pct"/>
            <w:shd w:val="clear" w:color="auto" w:fill="CCCCCC"/>
          </w:tcPr>
          <w:p w14:paraId="038A538F" w14:textId="77777777" w:rsidR="000D65C6" w:rsidRDefault="000D65C6" w:rsidP="001A5D4A">
            <w:pPr>
              <w:pStyle w:val="NotesTable-Notes"/>
            </w:pPr>
          </w:p>
        </w:tc>
        <w:tc>
          <w:tcPr>
            <w:tcW w:w="292" w:type="pct"/>
            <w:tcBorders>
              <w:bottom w:val="single" w:sz="4" w:space="0" w:color="000000"/>
            </w:tcBorders>
            <w:shd w:val="clear" w:color="auto" w:fill="CCCCCC"/>
          </w:tcPr>
          <w:p w14:paraId="038A5390"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91" w14:textId="77777777" w:rsidR="000D65C6" w:rsidRDefault="000D65C6" w:rsidP="001A5D4A">
            <w:pPr>
              <w:pStyle w:val="NotesTable-CellPlain"/>
            </w:pPr>
            <w:r>
              <w:t>–</w:t>
            </w:r>
          </w:p>
        </w:tc>
        <w:tc>
          <w:tcPr>
            <w:tcW w:w="292" w:type="pct"/>
            <w:gridSpan w:val="2"/>
            <w:tcBorders>
              <w:bottom w:val="single" w:sz="4" w:space="0" w:color="000000"/>
            </w:tcBorders>
            <w:shd w:val="clear" w:color="auto" w:fill="CCCCCC"/>
          </w:tcPr>
          <w:p w14:paraId="038A5392"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93"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94" w14:textId="77777777" w:rsidR="000D65C6" w:rsidRDefault="000D65C6" w:rsidP="001A5D4A">
            <w:pPr>
              <w:pStyle w:val="NotesTable-CellBold"/>
            </w:pPr>
            <w:r>
              <w:t>–</w:t>
            </w:r>
          </w:p>
        </w:tc>
        <w:tc>
          <w:tcPr>
            <w:tcW w:w="293" w:type="pct"/>
            <w:tcBorders>
              <w:bottom w:val="single" w:sz="4" w:space="0" w:color="000000"/>
            </w:tcBorders>
            <w:shd w:val="clear" w:color="auto" w:fill="CCCCCC"/>
          </w:tcPr>
          <w:p w14:paraId="038A5395"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96"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97"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9A" w14:textId="77777777" w:rsidR="000D65C6" w:rsidRDefault="000D65C6" w:rsidP="001A5D4A">
            <w:pPr>
              <w:pStyle w:val="NotesTable-CellBold"/>
            </w:pPr>
            <w:r>
              <w:t>–</w:t>
            </w:r>
          </w:p>
        </w:tc>
        <w:tc>
          <w:tcPr>
            <w:tcW w:w="292" w:type="pct"/>
            <w:tcBorders>
              <w:bottom w:val="single" w:sz="4" w:space="0" w:color="000000"/>
              <w:right w:val="single" w:sz="8" w:space="0" w:color="CDCDCD"/>
            </w:tcBorders>
            <w:shd w:val="clear" w:color="auto" w:fill="CCCCCC"/>
          </w:tcPr>
          <w:p w14:paraId="038A539B" w14:textId="77777777" w:rsidR="000D65C6" w:rsidRDefault="000D65C6" w:rsidP="001A5D4A">
            <w:pPr>
              <w:pStyle w:val="NotesTable-CellPlain"/>
            </w:pPr>
            <w:r>
              <w:t>–</w:t>
            </w:r>
          </w:p>
        </w:tc>
      </w:tr>
      <w:tr w:rsidR="000D65C6" w14:paraId="038A53AC" w14:textId="77777777" w:rsidTr="004B7414">
        <w:trPr>
          <w:cantSplit/>
          <w:trHeight w:val="255"/>
        </w:trPr>
        <w:tc>
          <w:tcPr>
            <w:tcW w:w="527" w:type="pct"/>
            <w:tcBorders>
              <w:right w:val="single" w:sz="8" w:space="0" w:color="CDCDCD"/>
            </w:tcBorders>
          </w:tcPr>
          <w:p w14:paraId="038A539D" w14:textId="77777777" w:rsidR="000D65C6" w:rsidRDefault="000D65C6" w:rsidP="001A5D4A">
            <w:pPr>
              <w:pStyle w:val="Note-Refs"/>
              <w:rPr>
                <w:b/>
              </w:rPr>
            </w:pPr>
            <w:r>
              <w:t>C = A + B</w:t>
            </w:r>
          </w:p>
        </w:tc>
        <w:tc>
          <w:tcPr>
            <w:tcW w:w="1290" w:type="pct"/>
            <w:tcBorders>
              <w:left w:val="single" w:sz="8" w:space="0" w:color="CDCDCD"/>
            </w:tcBorders>
            <w:shd w:val="clear" w:color="auto" w:fill="CCCCCC"/>
          </w:tcPr>
          <w:p w14:paraId="038A539E" w14:textId="77777777" w:rsidR="000D65C6" w:rsidRDefault="000D65C6" w:rsidP="001A5D4A">
            <w:pPr>
              <w:pStyle w:val="NotesTable-ItemPlain"/>
              <w:rPr>
                <w:b/>
              </w:rPr>
            </w:pPr>
            <w:r>
              <w:t>Revenue for the period</w:t>
            </w:r>
          </w:p>
        </w:tc>
        <w:tc>
          <w:tcPr>
            <w:tcW w:w="262" w:type="pct"/>
            <w:shd w:val="clear" w:color="auto" w:fill="CCCCCC"/>
          </w:tcPr>
          <w:p w14:paraId="038A539F" w14:textId="77777777" w:rsidR="000D65C6" w:rsidRDefault="000D65C6" w:rsidP="001A5D4A">
            <w:pPr>
              <w:pStyle w:val="NotesTable-Notes"/>
            </w:pPr>
            <w:r>
              <w:t>3(g)(ii)</w:t>
            </w:r>
          </w:p>
        </w:tc>
        <w:tc>
          <w:tcPr>
            <w:tcW w:w="292" w:type="pct"/>
            <w:tcBorders>
              <w:top w:val="single" w:sz="4" w:space="0" w:color="000000"/>
            </w:tcBorders>
            <w:shd w:val="clear" w:color="auto" w:fill="CCCCCC"/>
          </w:tcPr>
          <w:p w14:paraId="038A53A0"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A1" w14:textId="77777777" w:rsidR="000D65C6" w:rsidRDefault="000D65C6" w:rsidP="001A5D4A">
            <w:pPr>
              <w:pStyle w:val="NotesTable-CellPlain"/>
            </w:pPr>
            <w:r>
              <w:t>–</w:t>
            </w:r>
          </w:p>
        </w:tc>
        <w:tc>
          <w:tcPr>
            <w:tcW w:w="292" w:type="pct"/>
            <w:gridSpan w:val="2"/>
            <w:tcBorders>
              <w:top w:val="single" w:sz="4" w:space="0" w:color="000000"/>
            </w:tcBorders>
            <w:shd w:val="clear" w:color="auto" w:fill="CCCCCC"/>
          </w:tcPr>
          <w:p w14:paraId="038A53A2"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A3"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A4" w14:textId="77777777" w:rsidR="000D65C6" w:rsidRDefault="000D65C6" w:rsidP="001A5D4A">
            <w:pPr>
              <w:pStyle w:val="NotesTable-CellBold"/>
            </w:pPr>
            <w:r>
              <w:t>–</w:t>
            </w:r>
          </w:p>
        </w:tc>
        <w:tc>
          <w:tcPr>
            <w:tcW w:w="293" w:type="pct"/>
            <w:tcBorders>
              <w:top w:val="single" w:sz="4" w:space="0" w:color="000000"/>
            </w:tcBorders>
            <w:shd w:val="clear" w:color="auto" w:fill="CCCCCC"/>
          </w:tcPr>
          <w:p w14:paraId="038A53A5"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A6"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A7"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AA" w14:textId="77777777" w:rsidR="000D65C6" w:rsidRDefault="000D65C6" w:rsidP="001A5D4A">
            <w:pPr>
              <w:pStyle w:val="NotesTable-CellBold"/>
            </w:pPr>
            <w:r>
              <w:t>–</w:t>
            </w:r>
          </w:p>
        </w:tc>
        <w:tc>
          <w:tcPr>
            <w:tcW w:w="292" w:type="pct"/>
            <w:tcBorders>
              <w:top w:val="single" w:sz="4" w:space="0" w:color="000000"/>
              <w:right w:val="single" w:sz="8" w:space="0" w:color="CDCDCD"/>
            </w:tcBorders>
            <w:shd w:val="clear" w:color="auto" w:fill="CCCCCC"/>
          </w:tcPr>
          <w:p w14:paraId="038A53AB" w14:textId="77777777" w:rsidR="000D65C6" w:rsidRDefault="000D65C6" w:rsidP="001A5D4A">
            <w:pPr>
              <w:pStyle w:val="NotesTable-CellPlain"/>
            </w:pPr>
            <w:r>
              <w:t>–</w:t>
            </w:r>
          </w:p>
        </w:tc>
      </w:tr>
      <w:tr w:rsidR="000D65C6" w14:paraId="038A53BC" w14:textId="77777777" w:rsidTr="004B7414">
        <w:trPr>
          <w:cantSplit/>
          <w:trHeight w:val="255"/>
        </w:trPr>
        <w:tc>
          <w:tcPr>
            <w:tcW w:w="527" w:type="pct"/>
            <w:tcBorders>
              <w:right w:val="single" w:sz="8" w:space="0" w:color="CDCDCD"/>
            </w:tcBorders>
          </w:tcPr>
          <w:p w14:paraId="038A53AD" w14:textId="77777777" w:rsidR="000D65C6" w:rsidRDefault="000D65C6" w:rsidP="001A5D4A">
            <w:pPr>
              <w:pStyle w:val="Note-Refs"/>
            </w:pPr>
          </w:p>
        </w:tc>
        <w:tc>
          <w:tcPr>
            <w:tcW w:w="1290" w:type="pct"/>
            <w:tcBorders>
              <w:left w:val="single" w:sz="8" w:space="0" w:color="CDCDCD"/>
            </w:tcBorders>
            <w:shd w:val="clear" w:color="auto" w:fill="CCCCCC"/>
          </w:tcPr>
          <w:p w14:paraId="038A53AE" w14:textId="77777777" w:rsidR="000D65C6" w:rsidRDefault="000D65C6" w:rsidP="001A5D4A">
            <w:pPr>
              <w:pStyle w:val="NotesTable-ItemPlain"/>
            </w:pPr>
          </w:p>
        </w:tc>
        <w:tc>
          <w:tcPr>
            <w:tcW w:w="262" w:type="pct"/>
            <w:shd w:val="clear" w:color="auto" w:fill="CCCCCC"/>
          </w:tcPr>
          <w:p w14:paraId="038A53AF" w14:textId="77777777" w:rsidR="000D65C6" w:rsidRDefault="000D65C6" w:rsidP="001A5D4A">
            <w:pPr>
              <w:pStyle w:val="NotesTable-Notes"/>
            </w:pPr>
          </w:p>
        </w:tc>
        <w:tc>
          <w:tcPr>
            <w:tcW w:w="292" w:type="pct"/>
            <w:shd w:val="clear" w:color="auto" w:fill="CCCCCC"/>
          </w:tcPr>
          <w:p w14:paraId="038A53B0" w14:textId="77777777" w:rsidR="000D65C6" w:rsidRDefault="000D65C6" w:rsidP="001A5D4A">
            <w:pPr>
              <w:pStyle w:val="NotesTable-CellBold"/>
            </w:pPr>
          </w:p>
        </w:tc>
        <w:tc>
          <w:tcPr>
            <w:tcW w:w="292" w:type="pct"/>
            <w:shd w:val="clear" w:color="auto" w:fill="CCCCCC"/>
          </w:tcPr>
          <w:p w14:paraId="038A53B1" w14:textId="77777777" w:rsidR="000D65C6" w:rsidRDefault="000D65C6" w:rsidP="001A5D4A">
            <w:pPr>
              <w:pStyle w:val="NotesTable-CellPlain"/>
            </w:pPr>
          </w:p>
        </w:tc>
        <w:tc>
          <w:tcPr>
            <w:tcW w:w="292" w:type="pct"/>
            <w:gridSpan w:val="2"/>
            <w:shd w:val="clear" w:color="auto" w:fill="CCCCCC"/>
          </w:tcPr>
          <w:p w14:paraId="038A53B2" w14:textId="77777777" w:rsidR="000D65C6" w:rsidRDefault="000D65C6" w:rsidP="001A5D4A">
            <w:pPr>
              <w:pStyle w:val="NotesTable-CellBold"/>
            </w:pPr>
          </w:p>
        </w:tc>
        <w:tc>
          <w:tcPr>
            <w:tcW w:w="292" w:type="pct"/>
            <w:shd w:val="clear" w:color="auto" w:fill="CCCCCC"/>
          </w:tcPr>
          <w:p w14:paraId="038A53B3" w14:textId="77777777" w:rsidR="000D65C6" w:rsidRDefault="000D65C6" w:rsidP="001A5D4A">
            <w:pPr>
              <w:pStyle w:val="NotesTable-CellPlain"/>
            </w:pPr>
          </w:p>
        </w:tc>
        <w:tc>
          <w:tcPr>
            <w:tcW w:w="292" w:type="pct"/>
            <w:shd w:val="clear" w:color="auto" w:fill="CCCCCC"/>
          </w:tcPr>
          <w:p w14:paraId="038A53B4" w14:textId="77777777" w:rsidR="000D65C6" w:rsidRDefault="000D65C6" w:rsidP="001A5D4A">
            <w:pPr>
              <w:pStyle w:val="NotesTable-CellBold"/>
            </w:pPr>
          </w:p>
        </w:tc>
        <w:tc>
          <w:tcPr>
            <w:tcW w:w="293" w:type="pct"/>
            <w:shd w:val="clear" w:color="auto" w:fill="CCCCCC"/>
          </w:tcPr>
          <w:p w14:paraId="038A53B5" w14:textId="77777777" w:rsidR="000D65C6" w:rsidRDefault="000D65C6" w:rsidP="001A5D4A">
            <w:pPr>
              <w:pStyle w:val="NotesTable-CellPlain"/>
            </w:pPr>
          </w:p>
        </w:tc>
        <w:tc>
          <w:tcPr>
            <w:tcW w:w="292" w:type="pct"/>
            <w:shd w:val="clear" w:color="auto" w:fill="CCCCCC"/>
          </w:tcPr>
          <w:p w14:paraId="038A53B6" w14:textId="77777777" w:rsidR="000D65C6" w:rsidRDefault="000D65C6" w:rsidP="001A5D4A">
            <w:pPr>
              <w:pStyle w:val="NotesTable-CellBold"/>
            </w:pPr>
          </w:p>
        </w:tc>
        <w:tc>
          <w:tcPr>
            <w:tcW w:w="292" w:type="pct"/>
            <w:shd w:val="clear" w:color="auto" w:fill="CCCCCC"/>
          </w:tcPr>
          <w:p w14:paraId="038A53B7" w14:textId="77777777" w:rsidR="000D65C6" w:rsidRDefault="000D65C6" w:rsidP="001A5D4A">
            <w:pPr>
              <w:pStyle w:val="NotesTable-CellPlain"/>
            </w:pPr>
          </w:p>
        </w:tc>
        <w:tc>
          <w:tcPr>
            <w:tcW w:w="292" w:type="pct"/>
            <w:shd w:val="clear" w:color="auto" w:fill="CCCCCC"/>
          </w:tcPr>
          <w:p w14:paraId="038A53BA" w14:textId="77777777" w:rsidR="000D65C6" w:rsidRDefault="000D65C6" w:rsidP="001A5D4A">
            <w:pPr>
              <w:pStyle w:val="NotesTable-CellBold"/>
            </w:pPr>
          </w:p>
        </w:tc>
        <w:tc>
          <w:tcPr>
            <w:tcW w:w="292" w:type="pct"/>
            <w:tcBorders>
              <w:right w:val="single" w:sz="8" w:space="0" w:color="CDCDCD"/>
            </w:tcBorders>
            <w:shd w:val="clear" w:color="auto" w:fill="CCCCCC"/>
          </w:tcPr>
          <w:p w14:paraId="038A53BB" w14:textId="77777777" w:rsidR="000D65C6" w:rsidRDefault="000D65C6" w:rsidP="001A5D4A">
            <w:pPr>
              <w:pStyle w:val="NotesTable-CellPlain"/>
            </w:pPr>
          </w:p>
        </w:tc>
      </w:tr>
      <w:tr w:rsidR="000D65C6" w14:paraId="038A53CC" w14:textId="77777777" w:rsidTr="004B7414">
        <w:trPr>
          <w:cantSplit/>
          <w:trHeight w:val="255"/>
        </w:trPr>
        <w:tc>
          <w:tcPr>
            <w:tcW w:w="527" w:type="pct"/>
            <w:tcBorders>
              <w:right w:val="single" w:sz="8" w:space="0" w:color="CDCDCD"/>
            </w:tcBorders>
          </w:tcPr>
          <w:p w14:paraId="038A53BD" w14:textId="77777777" w:rsidR="000D65C6" w:rsidRDefault="000D65C6" w:rsidP="001A5D4A">
            <w:pPr>
              <w:pStyle w:val="Note-Refs"/>
            </w:pPr>
            <w:r>
              <w:t>D</w:t>
            </w:r>
          </w:p>
        </w:tc>
        <w:tc>
          <w:tcPr>
            <w:tcW w:w="1290" w:type="pct"/>
            <w:tcBorders>
              <w:left w:val="single" w:sz="8" w:space="0" w:color="CDCDCD"/>
            </w:tcBorders>
            <w:shd w:val="clear" w:color="auto" w:fill="CCCCCC"/>
          </w:tcPr>
          <w:p w14:paraId="038A53BE" w14:textId="77777777" w:rsidR="000D65C6" w:rsidRDefault="000D65C6" w:rsidP="001A5D4A">
            <w:pPr>
              <w:pStyle w:val="NotesTable-ItemPlain"/>
              <w:rPr>
                <w:b/>
              </w:rPr>
            </w:pPr>
            <w:r>
              <w:t>Surplus / (deficit) from the previous year</w:t>
            </w:r>
          </w:p>
        </w:tc>
        <w:tc>
          <w:tcPr>
            <w:tcW w:w="262" w:type="pct"/>
            <w:shd w:val="clear" w:color="auto" w:fill="CCCCCC"/>
          </w:tcPr>
          <w:p w14:paraId="038A53BF" w14:textId="77777777" w:rsidR="000D65C6" w:rsidRDefault="000D65C6" w:rsidP="001A5D4A">
            <w:pPr>
              <w:pStyle w:val="NotesTable-Notes"/>
            </w:pPr>
          </w:p>
        </w:tc>
        <w:tc>
          <w:tcPr>
            <w:tcW w:w="292" w:type="pct"/>
            <w:tcBorders>
              <w:bottom w:val="single" w:sz="4" w:space="0" w:color="000000"/>
            </w:tcBorders>
            <w:shd w:val="clear" w:color="auto" w:fill="CCCCCC"/>
          </w:tcPr>
          <w:p w14:paraId="038A53C0"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C1" w14:textId="77777777" w:rsidR="000D65C6" w:rsidRDefault="000D65C6" w:rsidP="001A5D4A">
            <w:pPr>
              <w:pStyle w:val="NotesTable-CellPlain"/>
            </w:pPr>
            <w:r>
              <w:t>–</w:t>
            </w:r>
          </w:p>
        </w:tc>
        <w:tc>
          <w:tcPr>
            <w:tcW w:w="292" w:type="pct"/>
            <w:gridSpan w:val="2"/>
            <w:tcBorders>
              <w:bottom w:val="single" w:sz="4" w:space="0" w:color="000000"/>
            </w:tcBorders>
            <w:shd w:val="clear" w:color="auto" w:fill="CCCCCC"/>
          </w:tcPr>
          <w:p w14:paraId="038A53C2"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C3"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C4" w14:textId="77777777" w:rsidR="000D65C6" w:rsidRDefault="000D65C6" w:rsidP="001A5D4A">
            <w:pPr>
              <w:pStyle w:val="NotesTable-CellBold"/>
            </w:pPr>
            <w:r>
              <w:t>–</w:t>
            </w:r>
          </w:p>
        </w:tc>
        <w:tc>
          <w:tcPr>
            <w:tcW w:w="293" w:type="pct"/>
            <w:tcBorders>
              <w:bottom w:val="single" w:sz="4" w:space="0" w:color="000000"/>
            </w:tcBorders>
            <w:shd w:val="clear" w:color="auto" w:fill="CCCCCC"/>
          </w:tcPr>
          <w:p w14:paraId="038A53C5"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C6" w14:textId="77777777" w:rsidR="000D65C6" w:rsidRDefault="000D65C6" w:rsidP="001A5D4A">
            <w:pPr>
              <w:pStyle w:val="NotesTable-CellBold"/>
            </w:pPr>
            <w:r>
              <w:t>–</w:t>
            </w:r>
          </w:p>
        </w:tc>
        <w:tc>
          <w:tcPr>
            <w:tcW w:w="292" w:type="pct"/>
            <w:tcBorders>
              <w:bottom w:val="single" w:sz="4" w:space="0" w:color="000000"/>
            </w:tcBorders>
            <w:shd w:val="clear" w:color="auto" w:fill="CCCCCC"/>
          </w:tcPr>
          <w:p w14:paraId="038A53C7" w14:textId="77777777" w:rsidR="000D65C6" w:rsidRDefault="000D65C6" w:rsidP="001A5D4A">
            <w:pPr>
              <w:pStyle w:val="NotesTable-CellPlain"/>
            </w:pPr>
            <w:r>
              <w:t>–</w:t>
            </w:r>
          </w:p>
        </w:tc>
        <w:tc>
          <w:tcPr>
            <w:tcW w:w="292" w:type="pct"/>
            <w:tcBorders>
              <w:bottom w:val="single" w:sz="4" w:space="0" w:color="000000"/>
            </w:tcBorders>
            <w:shd w:val="clear" w:color="auto" w:fill="CCCCCC"/>
          </w:tcPr>
          <w:p w14:paraId="038A53CA" w14:textId="77777777" w:rsidR="000D65C6" w:rsidRDefault="000D65C6" w:rsidP="001A5D4A">
            <w:pPr>
              <w:pStyle w:val="NotesTable-CellBold"/>
            </w:pPr>
            <w:r>
              <w:t>–</w:t>
            </w:r>
          </w:p>
        </w:tc>
        <w:tc>
          <w:tcPr>
            <w:tcW w:w="292" w:type="pct"/>
            <w:tcBorders>
              <w:bottom w:val="single" w:sz="4" w:space="0" w:color="000000"/>
              <w:right w:val="single" w:sz="8" w:space="0" w:color="CDCDCD"/>
            </w:tcBorders>
            <w:shd w:val="clear" w:color="auto" w:fill="CCCCCC"/>
          </w:tcPr>
          <w:p w14:paraId="038A53CB" w14:textId="77777777" w:rsidR="000D65C6" w:rsidRDefault="000D65C6" w:rsidP="001A5D4A">
            <w:pPr>
              <w:pStyle w:val="NotesTable-CellPlain"/>
            </w:pPr>
            <w:r>
              <w:t>–</w:t>
            </w:r>
          </w:p>
        </w:tc>
      </w:tr>
      <w:tr w:rsidR="000D65C6" w14:paraId="038A53DC" w14:textId="77777777" w:rsidTr="004B7414">
        <w:trPr>
          <w:cantSplit/>
          <w:trHeight w:val="255"/>
        </w:trPr>
        <w:tc>
          <w:tcPr>
            <w:tcW w:w="527" w:type="pct"/>
            <w:tcBorders>
              <w:right w:val="single" w:sz="8" w:space="0" w:color="CDCDCD"/>
            </w:tcBorders>
          </w:tcPr>
          <w:p w14:paraId="038A53CD" w14:textId="77777777" w:rsidR="000D65C6" w:rsidRDefault="000D65C6" w:rsidP="001A5D4A">
            <w:pPr>
              <w:pStyle w:val="Note-Refs"/>
              <w:rPr>
                <w:b/>
              </w:rPr>
            </w:pPr>
            <w:r>
              <w:t>E = C + D</w:t>
            </w:r>
          </w:p>
        </w:tc>
        <w:tc>
          <w:tcPr>
            <w:tcW w:w="1290" w:type="pct"/>
            <w:tcBorders>
              <w:left w:val="single" w:sz="8" w:space="0" w:color="CDCDCD"/>
            </w:tcBorders>
            <w:shd w:val="clear" w:color="auto" w:fill="CCCCCC"/>
          </w:tcPr>
          <w:p w14:paraId="038A53CE" w14:textId="77777777" w:rsidR="000D65C6" w:rsidRDefault="000D65C6" w:rsidP="001A5D4A">
            <w:pPr>
              <w:pStyle w:val="NotesTable-ItemPlain"/>
              <w:rPr>
                <w:b/>
              </w:rPr>
            </w:pPr>
            <w:r>
              <w:t>Total revenue including accrued revenue</w:t>
            </w:r>
          </w:p>
        </w:tc>
        <w:tc>
          <w:tcPr>
            <w:tcW w:w="262" w:type="pct"/>
            <w:shd w:val="clear" w:color="auto" w:fill="CCCCCC"/>
          </w:tcPr>
          <w:p w14:paraId="038A53CF" w14:textId="77777777" w:rsidR="000D65C6" w:rsidRDefault="000D65C6" w:rsidP="001A5D4A">
            <w:pPr>
              <w:pStyle w:val="NotesTable-Notes"/>
            </w:pPr>
          </w:p>
        </w:tc>
        <w:tc>
          <w:tcPr>
            <w:tcW w:w="292" w:type="pct"/>
            <w:tcBorders>
              <w:top w:val="single" w:sz="4" w:space="0" w:color="000000"/>
            </w:tcBorders>
            <w:shd w:val="clear" w:color="auto" w:fill="CCCCCC"/>
          </w:tcPr>
          <w:p w14:paraId="038A53D0"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D1" w14:textId="77777777" w:rsidR="000D65C6" w:rsidRDefault="000D65C6" w:rsidP="001A5D4A">
            <w:pPr>
              <w:pStyle w:val="NotesTable-CellPlain"/>
            </w:pPr>
            <w:r>
              <w:t>–</w:t>
            </w:r>
          </w:p>
        </w:tc>
        <w:tc>
          <w:tcPr>
            <w:tcW w:w="292" w:type="pct"/>
            <w:gridSpan w:val="2"/>
            <w:tcBorders>
              <w:top w:val="single" w:sz="4" w:space="0" w:color="000000"/>
            </w:tcBorders>
            <w:shd w:val="clear" w:color="auto" w:fill="CCCCCC"/>
          </w:tcPr>
          <w:p w14:paraId="038A53D2"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D3"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D4" w14:textId="77777777" w:rsidR="000D65C6" w:rsidRDefault="000D65C6" w:rsidP="001A5D4A">
            <w:pPr>
              <w:pStyle w:val="NotesTable-CellBold"/>
            </w:pPr>
            <w:r>
              <w:t>–</w:t>
            </w:r>
          </w:p>
        </w:tc>
        <w:tc>
          <w:tcPr>
            <w:tcW w:w="293" w:type="pct"/>
            <w:tcBorders>
              <w:top w:val="single" w:sz="4" w:space="0" w:color="000000"/>
            </w:tcBorders>
            <w:shd w:val="clear" w:color="auto" w:fill="CCCCCC"/>
          </w:tcPr>
          <w:p w14:paraId="038A53D5"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D6" w14:textId="77777777" w:rsidR="000D65C6" w:rsidRDefault="000D65C6" w:rsidP="001A5D4A">
            <w:pPr>
              <w:pStyle w:val="NotesTable-CellBold"/>
            </w:pPr>
            <w:r>
              <w:t>–</w:t>
            </w:r>
          </w:p>
        </w:tc>
        <w:tc>
          <w:tcPr>
            <w:tcW w:w="292" w:type="pct"/>
            <w:tcBorders>
              <w:top w:val="single" w:sz="4" w:space="0" w:color="000000"/>
            </w:tcBorders>
            <w:shd w:val="clear" w:color="auto" w:fill="CCCCCC"/>
          </w:tcPr>
          <w:p w14:paraId="038A53D7" w14:textId="77777777" w:rsidR="000D65C6" w:rsidRDefault="000D65C6" w:rsidP="001A5D4A">
            <w:pPr>
              <w:pStyle w:val="NotesTable-CellPlain"/>
            </w:pPr>
            <w:r>
              <w:t>–</w:t>
            </w:r>
          </w:p>
        </w:tc>
        <w:tc>
          <w:tcPr>
            <w:tcW w:w="292" w:type="pct"/>
            <w:tcBorders>
              <w:top w:val="single" w:sz="4" w:space="0" w:color="000000"/>
            </w:tcBorders>
            <w:shd w:val="clear" w:color="auto" w:fill="CCCCCC"/>
          </w:tcPr>
          <w:p w14:paraId="038A53DA" w14:textId="77777777" w:rsidR="000D65C6" w:rsidRDefault="000D65C6" w:rsidP="001A5D4A">
            <w:pPr>
              <w:pStyle w:val="NotesTable-CellBold"/>
            </w:pPr>
            <w:r>
              <w:t>–</w:t>
            </w:r>
          </w:p>
        </w:tc>
        <w:tc>
          <w:tcPr>
            <w:tcW w:w="292" w:type="pct"/>
            <w:tcBorders>
              <w:top w:val="single" w:sz="4" w:space="0" w:color="000000"/>
              <w:right w:val="single" w:sz="8" w:space="0" w:color="CDCDCD"/>
            </w:tcBorders>
            <w:shd w:val="clear" w:color="auto" w:fill="CCCCCC"/>
          </w:tcPr>
          <w:p w14:paraId="038A53DB" w14:textId="77777777" w:rsidR="000D65C6" w:rsidRDefault="000D65C6" w:rsidP="001A5D4A">
            <w:pPr>
              <w:pStyle w:val="NotesTable-CellPlain"/>
            </w:pPr>
            <w:r>
              <w:t>–</w:t>
            </w:r>
          </w:p>
        </w:tc>
      </w:tr>
      <w:tr w:rsidR="000D65C6" w14:paraId="038A53EC" w14:textId="77777777" w:rsidTr="004B7414">
        <w:trPr>
          <w:cantSplit/>
          <w:trHeight w:val="255"/>
        </w:trPr>
        <w:tc>
          <w:tcPr>
            <w:tcW w:w="527" w:type="pct"/>
            <w:tcBorders>
              <w:right w:val="single" w:sz="8" w:space="0" w:color="CDCDCD"/>
            </w:tcBorders>
          </w:tcPr>
          <w:p w14:paraId="038A53DD" w14:textId="77777777" w:rsidR="000D65C6" w:rsidRDefault="000D65C6" w:rsidP="001A5D4A">
            <w:pPr>
              <w:pStyle w:val="Note-Refs"/>
            </w:pPr>
            <w:r>
              <w:t>F</w:t>
            </w:r>
          </w:p>
        </w:tc>
        <w:tc>
          <w:tcPr>
            <w:tcW w:w="1290" w:type="pct"/>
            <w:tcBorders>
              <w:left w:val="single" w:sz="8" w:space="0" w:color="CDCDCD"/>
            </w:tcBorders>
            <w:shd w:val="clear" w:color="auto" w:fill="CCCCCC"/>
          </w:tcPr>
          <w:p w14:paraId="038A53DE" w14:textId="77777777" w:rsidR="000D65C6" w:rsidRDefault="000D65C6" w:rsidP="001A5D4A">
            <w:pPr>
              <w:pStyle w:val="NotesTable-ItemPlain"/>
              <w:rPr>
                <w:b/>
              </w:rPr>
            </w:pPr>
            <w:r>
              <w:t>Less expenses including accrued expenses</w:t>
            </w:r>
          </w:p>
        </w:tc>
        <w:tc>
          <w:tcPr>
            <w:tcW w:w="262" w:type="pct"/>
            <w:shd w:val="clear" w:color="auto" w:fill="CCCCCC"/>
          </w:tcPr>
          <w:p w14:paraId="038A53DF" w14:textId="77777777" w:rsidR="000D65C6" w:rsidRDefault="000D65C6" w:rsidP="001A5D4A">
            <w:pPr>
              <w:pStyle w:val="NotesTable-Notes"/>
            </w:pPr>
          </w:p>
        </w:tc>
        <w:tc>
          <w:tcPr>
            <w:tcW w:w="292" w:type="pct"/>
            <w:tcBorders>
              <w:bottom w:val="single" w:sz="4" w:space="0" w:color="auto"/>
            </w:tcBorders>
            <w:shd w:val="clear" w:color="auto" w:fill="CCCCCC"/>
          </w:tcPr>
          <w:p w14:paraId="038A53E0" w14:textId="77777777" w:rsidR="000D65C6" w:rsidRDefault="000D65C6" w:rsidP="001A5D4A">
            <w:pPr>
              <w:pStyle w:val="NotesTable-CellBold"/>
            </w:pPr>
            <w:r>
              <w:t>–</w:t>
            </w:r>
          </w:p>
        </w:tc>
        <w:tc>
          <w:tcPr>
            <w:tcW w:w="292" w:type="pct"/>
            <w:tcBorders>
              <w:bottom w:val="single" w:sz="4" w:space="0" w:color="auto"/>
            </w:tcBorders>
            <w:shd w:val="clear" w:color="auto" w:fill="CCCCCC"/>
          </w:tcPr>
          <w:p w14:paraId="038A53E1" w14:textId="77777777" w:rsidR="000D65C6" w:rsidRDefault="000D65C6" w:rsidP="001A5D4A">
            <w:pPr>
              <w:pStyle w:val="NotesTable-CellPlain"/>
            </w:pPr>
            <w:r>
              <w:t>–</w:t>
            </w:r>
          </w:p>
        </w:tc>
        <w:tc>
          <w:tcPr>
            <w:tcW w:w="292" w:type="pct"/>
            <w:gridSpan w:val="2"/>
            <w:tcBorders>
              <w:bottom w:val="single" w:sz="4" w:space="0" w:color="auto"/>
            </w:tcBorders>
            <w:shd w:val="clear" w:color="auto" w:fill="CCCCCC"/>
          </w:tcPr>
          <w:p w14:paraId="038A53E2" w14:textId="77777777" w:rsidR="000D65C6" w:rsidRDefault="000D65C6" w:rsidP="001A5D4A">
            <w:pPr>
              <w:pStyle w:val="NotesTable-CellBold"/>
            </w:pPr>
            <w:r>
              <w:t>–</w:t>
            </w:r>
          </w:p>
        </w:tc>
        <w:tc>
          <w:tcPr>
            <w:tcW w:w="292" w:type="pct"/>
            <w:tcBorders>
              <w:bottom w:val="single" w:sz="4" w:space="0" w:color="auto"/>
            </w:tcBorders>
            <w:shd w:val="clear" w:color="auto" w:fill="CCCCCC"/>
          </w:tcPr>
          <w:p w14:paraId="038A53E3" w14:textId="77777777" w:rsidR="000D65C6" w:rsidRDefault="000D65C6" w:rsidP="001A5D4A">
            <w:pPr>
              <w:pStyle w:val="NotesTable-CellPlain"/>
            </w:pPr>
            <w:r>
              <w:t>–</w:t>
            </w:r>
          </w:p>
        </w:tc>
        <w:tc>
          <w:tcPr>
            <w:tcW w:w="292" w:type="pct"/>
            <w:tcBorders>
              <w:bottom w:val="single" w:sz="4" w:space="0" w:color="auto"/>
            </w:tcBorders>
            <w:shd w:val="clear" w:color="auto" w:fill="CCCCCC"/>
          </w:tcPr>
          <w:p w14:paraId="038A53E4" w14:textId="77777777" w:rsidR="000D65C6" w:rsidRDefault="000D65C6" w:rsidP="001A5D4A">
            <w:pPr>
              <w:pStyle w:val="NotesTable-CellBold"/>
            </w:pPr>
            <w:r>
              <w:t>–</w:t>
            </w:r>
          </w:p>
        </w:tc>
        <w:tc>
          <w:tcPr>
            <w:tcW w:w="293" w:type="pct"/>
            <w:tcBorders>
              <w:bottom w:val="single" w:sz="4" w:space="0" w:color="auto"/>
            </w:tcBorders>
            <w:shd w:val="clear" w:color="auto" w:fill="CCCCCC"/>
          </w:tcPr>
          <w:p w14:paraId="038A53E5" w14:textId="77777777" w:rsidR="000D65C6" w:rsidRDefault="000D65C6" w:rsidP="001A5D4A">
            <w:pPr>
              <w:pStyle w:val="NotesTable-CellPlain"/>
            </w:pPr>
            <w:r>
              <w:t>–</w:t>
            </w:r>
          </w:p>
        </w:tc>
        <w:tc>
          <w:tcPr>
            <w:tcW w:w="292" w:type="pct"/>
            <w:tcBorders>
              <w:bottom w:val="single" w:sz="4" w:space="0" w:color="auto"/>
            </w:tcBorders>
            <w:shd w:val="clear" w:color="auto" w:fill="CCCCCC"/>
          </w:tcPr>
          <w:p w14:paraId="038A53E6" w14:textId="77777777" w:rsidR="000D65C6" w:rsidRDefault="000D65C6" w:rsidP="001A5D4A">
            <w:pPr>
              <w:pStyle w:val="NotesTable-CellBold"/>
            </w:pPr>
            <w:r>
              <w:t>–</w:t>
            </w:r>
          </w:p>
        </w:tc>
        <w:tc>
          <w:tcPr>
            <w:tcW w:w="292" w:type="pct"/>
            <w:tcBorders>
              <w:bottom w:val="single" w:sz="4" w:space="0" w:color="auto"/>
            </w:tcBorders>
            <w:shd w:val="clear" w:color="auto" w:fill="CCCCCC"/>
          </w:tcPr>
          <w:p w14:paraId="038A53E7" w14:textId="77777777" w:rsidR="000D65C6" w:rsidRDefault="000D65C6" w:rsidP="001A5D4A">
            <w:pPr>
              <w:pStyle w:val="NotesTable-CellPlain"/>
            </w:pPr>
            <w:r>
              <w:t>–</w:t>
            </w:r>
          </w:p>
        </w:tc>
        <w:tc>
          <w:tcPr>
            <w:tcW w:w="292" w:type="pct"/>
            <w:tcBorders>
              <w:bottom w:val="single" w:sz="4" w:space="0" w:color="auto"/>
            </w:tcBorders>
            <w:shd w:val="clear" w:color="auto" w:fill="CCCCCC"/>
          </w:tcPr>
          <w:p w14:paraId="038A53EA" w14:textId="77777777" w:rsidR="000D65C6" w:rsidRDefault="000D65C6" w:rsidP="001A5D4A">
            <w:pPr>
              <w:pStyle w:val="NotesTable-CellBold"/>
            </w:pPr>
            <w:r>
              <w:t>–</w:t>
            </w:r>
          </w:p>
        </w:tc>
        <w:tc>
          <w:tcPr>
            <w:tcW w:w="292" w:type="pct"/>
            <w:tcBorders>
              <w:bottom w:val="single" w:sz="4" w:space="0" w:color="auto"/>
              <w:right w:val="single" w:sz="8" w:space="0" w:color="CDCDCD"/>
            </w:tcBorders>
            <w:shd w:val="clear" w:color="auto" w:fill="CCCCCC"/>
          </w:tcPr>
          <w:p w14:paraId="038A53EB" w14:textId="77777777" w:rsidR="000D65C6" w:rsidRDefault="000D65C6" w:rsidP="001A5D4A">
            <w:pPr>
              <w:pStyle w:val="NotesTable-CellPlain"/>
            </w:pPr>
            <w:r>
              <w:t>–</w:t>
            </w:r>
          </w:p>
        </w:tc>
      </w:tr>
      <w:tr w:rsidR="000D65C6" w14:paraId="038A53FC" w14:textId="77777777" w:rsidTr="004B7414">
        <w:trPr>
          <w:cantSplit/>
          <w:trHeight w:val="255"/>
        </w:trPr>
        <w:tc>
          <w:tcPr>
            <w:tcW w:w="527" w:type="pct"/>
            <w:tcBorders>
              <w:right w:val="single" w:sz="8" w:space="0" w:color="CDCDCD"/>
            </w:tcBorders>
          </w:tcPr>
          <w:p w14:paraId="038A53ED" w14:textId="77777777" w:rsidR="000D65C6" w:rsidRDefault="000D65C6" w:rsidP="001A5D4A">
            <w:pPr>
              <w:pStyle w:val="Note-Refs"/>
              <w:rPr>
                <w:b/>
              </w:rPr>
            </w:pPr>
            <w:r>
              <w:t>G = E – F</w:t>
            </w:r>
          </w:p>
        </w:tc>
        <w:tc>
          <w:tcPr>
            <w:tcW w:w="1290" w:type="pct"/>
            <w:tcBorders>
              <w:left w:val="single" w:sz="8" w:space="0" w:color="CDCDCD"/>
            </w:tcBorders>
            <w:shd w:val="clear" w:color="auto" w:fill="CCCCCC"/>
          </w:tcPr>
          <w:p w14:paraId="038A53EE" w14:textId="77777777" w:rsidR="000D65C6" w:rsidRDefault="000D65C6" w:rsidP="001A5D4A">
            <w:pPr>
              <w:pStyle w:val="NotesTable-ItemPlain"/>
              <w:rPr>
                <w:b/>
              </w:rPr>
            </w:pPr>
            <w:r>
              <w:t>Surplus / (deficit) for reporting period</w:t>
            </w:r>
          </w:p>
        </w:tc>
        <w:tc>
          <w:tcPr>
            <w:tcW w:w="262" w:type="pct"/>
            <w:shd w:val="clear" w:color="auto" w:fill="CCCCCC"/>
          </w:tcPr>
          <w:p w14:paraId="038A53EF" w14:textId="77777777" w:rsidR="000D65C6" w:rsidRDefault="000D65C6" w:rsidP="001A5D4A">
            <w:pPr>
              <w:pStyle w:val="NotesTable-Notes"/>
            </w:pPr>
          </w:p>
        </w:tc>
        <w:tc>
          <w:tcPr>
            <w:tcW w:w="292" w:type="pct"/>
            <w:tcBorders>
              <w:top w:val="single" w:sz="4" w:space="0" w:color="auto"/>
              <w:bottom w:val="single" w:sz="4" w:space="0" w:color="auto"/>
            </w:tcBorders>
            <w:shd w:val="clear" w:color="auto" w:fill="CCCCCC"/>
          </w:tcPr>
          <w:p w14:paraId="038A53F0" w14:textId="77777777" w:rsidR="000D65C6" w:rsidRDefault="000D65C6" w:rsidP="001A5D4A">
            <w:pPr>
              <w:pStyle w:val="NotesTable-CellBold"/>
            </w:pPr>
            <w:r>
              <w:t>–</w:t>
            </w:r>
          </w:p>
        </w:tc>
        <w:tc>
          <w:tcPr>
            <w:tcW w:w="292" w:type="pct"/>
            <w:tcBorders>
              <w:top w:val="single" w:sz="4" w:space="0" w:color="auto"/>
              <w:bottom w:val="single" w:sz="4" w:space="0" w:color="auto"/>
            </w:tcBorders>
            <w:shd w:val="clear" w:color="auto" w:fill="CCCCCC"/>
          </w:tcPr>
          <w:p w14:paraId="038A53F1" w14:textId="77777777" w:rsidR="000D65C6" w:rsidRDefault="000D65C6" w:rsidP="001A5D4A">
            <w:pPr>
              <w:pStyle w:val="NotesTable-CellPlain"/>
            </w:pPr>
            <w:r>
              <w:t>–</w:t>
            </w:r>
          </w:p>
        </w:tc>
        <w:tc>
          <w:tcPr>
            <w:tcW w:w="292" w:type="pct"/>
            <w:gridSpan w:val="2"/>
            <w:tcBorders>
              <w:top w:val="single" w:sz="4" w:space="0" w:color="auto"/>
              <w:bottom w:val="single" w:sz="4" w:space="0" w:color="auto"/>
            </w:tcBorders>
            <w:shd w:val="clear" w:color="auto" w:fill="CCCCCC"/>
          </w:tcPr>
          <w:p w14:paraId="038A53F2" w14:textId="77777777" w:rsidR="000D65C6" w:rsidRDefault="000D65C6" w:rsidP="001A5D4A">
            <w:pPr>
              <w:pStyle w:val="NotesTable-CellBold"/>
            </w:pPr>
            <w:r>
              <w:t>–</w:t>
            </w:r>
          </w:p>
        </w:tc>
        <w:tc>
          <w:tcPr>
            <w:tcW w:w="292" w:type="pct"/>
            <w:tcBorders>
              <w:top w:val="single" w:sz="4" w:space="0" w:color="auto"/>
              <w:bottom w:val="single" w:sz="4" w:space="0" w:color="auto"/>
            </w:tcBorders>
            <w:shd w:val="clear" w:color="auto" w:fill="CCCCCC"/>
          </w:tcPr>
          <w:p w14:paraId="038A53F3" w14:textId="77777777" w:rsidR="000D65C6" w:rsidRDefault="000D65C6" w:rsidP="001A5D4A">
            <w:pPr>
              <w:pStyle w:val="NotesTable-CellPlain"/>
            </w:pPr>
            <w:r>
              <w:t>–</w:t>
            </w:r>
          </w:p>
        </w:tc>
        <w:tc>
          <w:tcPr>
            <w:tcW w:w="292" w:type="pct"/>
            <w:tcBorders>
              <w:top w:val="single" w:sz="4" w:space="0" w:color="auto"/>
              <w:bottom w:val="single" w:sz="4" w:space="0" w:color="auto"/>
            </w:tcBorders>
            <w:shd w:val="clear" w:color="auto" w:fill="CCCCCC"/>
          </w:tcPr>
          <w:p w14:paraId="038A53F4" w14:textId="77777777" w:rsidR="000D65C6" w:rsidRDefault="000D65C6" w:rsidP="001A5D4A">
            <w:pPr>
              <w:pStyle w:val="NotesTable-CellBold"/>
            </w:pPr>
            <w:r>
              <w:t>–</w:t>
            </w:r>
          </w:p>
        </w:tc>
        <w:tc>
          <w:tcPr>
            <w:tcW w:w="293" w:type="pct"/>
            <w:tcBorders>
              <w:top w:val="single" w:sz="4" w:space="0" w:color="auto"/>
              <w:bottom w:val="single" w:sz="4" w:space="0" w:color="auto"/>
            </w:tcBorders>
            <w:shd w:val="clear" w:color="auto" w:fill="CCCCCC"/>
          </w:tcPr>
          <w:p w14:paraId="038A53F5" w14:textId="77777777" w:rsidR="000D65C6" w:rsidRDefault="000D65C6" w:rsidP="001A5D4A">
            <w:pPr>
              <w:pStyle w:val="NotesTable-CellPlain"/>
            </w:pPr>
            <w:r>
              <w:t>–</w:t>
            </w:r>
          </w:p>
        </w:tc>
        <w:tc>
          <w:tcPr>
            <w:tcW w:w="292" w:type="pct"/>
            <w:tcBorders>
              <w:top w:val="single" w:sz="4" w:space="0" w:color="auto"/>
              <w:bottom w:val="single" w:sz="4" w:space="0" w:color="auto"/>
            </w:tcBorders>
            <w:shd w:val="clear" w:color="auto" w:fill="CCCCCC"/>
          </w:tcPr>
          <w:p w14:paraId="038A53F6" w14:textId="77777777" w:rsidR="000D65C6" w:rsidRDefault="000D65C6" w:rsidP="001A5D4A">
            <w:pPr>
              <w:pStyle w:val="NotesTable-CellBold"/>
            </w:pPr>
            <w:r>
              <w:t>–</w:t>
            </w:r>
          </w:p>
        </w:tc>
        <w:tc>
          <w:tcPr>
            <w:tcW w:w="292" w:type="pct"/>
            <w:tcBorders>
              <w:top w:val="single" w:sz="4" w:space="0" w:color="auto"/>
              <w:bottom w:val="single" w:sz="4" w:space="0" w:color="auto"/>
            </w:tcBorders>
            <w:shd w:val="clear" w:color="auto" w:fill="CCCCCC"/>
          </w:tcPr>
          <w:p w14:paraId="038A53F7" w14:textId="77777777" w:rsidR="000D65C6" w:rsidRDefault="000D65C6" w:rsidP="001A5D4A">
            <w:pPr>
              <w:pStyle w:val="NotesTable-CellPlain"/>
            </w:pPr>
            <w:r>
              <w:t>–</w:t>
            </w:r>
          </w:p>
        </w:tc>
        <w:tc>
          <w:tcPr>
            <w:tcW w:w="292" w:type="pct"/>
            <w:tcBorders>
              <w:top w:val="single" w:sz="4" w:space="0" w:color="auto"/>
              <w:bottom w:val="single" w:sz="4" w:space="0" w:color="auto"/>
            </w:tcBorders>
            <w:shd w:val="clear" w:color="auto" w:fill="CCCCCC"/>
          </w:tcPr>
          <w:p w14:paraId="038A53FA" w14:textId="77777777" w:rsidR="000D65C6" w:rsidRDefault="000D65C6" w:rsidP="001A5D4A">
            <w:pPr>
              <w:pStyle w:val="NotesTable-CellBold"/>
            </w:pPr>
            <w:r>
              <w:t>–</w:t>
            </w:r>
          </w:p>
        </w:tc>
        <w:tc>
          <w:tcPr>
            <w:tcW w:w="292" w:type="pct"/>
            <w:tcBorders>
              <w:top w:val="single" w:sz="4" w:space="0" w:color="auto"/>
              <w:bottom w:val="single" w:sz="4" w:space="0" w:color="auto"/>
              <w:right w:val="single" w:sz="8" w:space="0" w:color="CDCDCD"/>
            </w:tcBorders>
            <w:shd w:val="clear" w:color="auto" w:fill="CCCCCC"/>
          </w:tcPr>
          <w:p w14:paraId="038A53FB" w14:textId="77777777" w:rsidR="000D65C6" w:rsidRDefault="000D65C6" w:rsidP="001A5D4A">
            <w:pPr>
              <w:pStyle w:val="NotesTable-CellPlain"/>
            </w:pPr>
            <w:r>
              <w:t>–</w:t>
            </w:r>
          </w:p>
        </w:tc>
      </w:tr>
      <w:tr w:rsidR="00162352" w14:paraId="038A540C" w14:textId="77777777" w:rsidTr="004B7414">
        <w:trPr>
          <w:cantSplit/>
          <w:trHeight w:val="255"/>
        </w:trPr>
        <w:tc>
          <w:tcPr>
            <w:tcW w:w="527" w:type="pct"/>
            <w:tcBorders>
              <w:bottom w:val="single" w:sz="4" w:space="0" w:color="FFFFFF"/>
              <w:right w:val="single" w:sz="8" w:space="0" w:color="CDCDCD"/>
            </w:tcBorders>
          </w:tcPr>
          <w:p w14:paraId="038A53FD" w14:textId="77777777" w:rsidR="000D65C6" w:rsidRDefault="000D65C6" w:rsidP="001A5D4A">
            <w:pPr>
              <w:pStyle w:val="Note-Refs"/>
            </w:pPr>
          </w:p>
        </w:tc>
        <w:tc>
          <w:tcPr>
            <w:tcW w:w="1290" w:type="pct"/>
            <w:tcBorders>
              <w:left w:val="single" w:sz="8" w:space="0" w:color="CDCDCD"/>
              <w:bottom w:val="single" w:sz="8" w:space="0" w:color="CDCDCD"/>
            </w:tcBorders>
            <w:shd w:val="clear" w:color="auto" w:fill="CCCCCC"/>
          </w:tcPr>
          <w:p w14:paraId="038A53FE" w14:textId="77777777" w:rsidR="000D65C6" w:rsidRDefault="000D65C6" w:rsidP="001A5D4A">
            <w:pPr>
              <w:pStyle w:val="NotesTable-ItemPlain"/>
            </w:pPr>
          </w:p>
        </w:tc>
        <w:tc>
          <w:tcPr>
            <w:tcW w:w="262" w:type="pct"/>
            <w:tcBorders>
              <w:bottom w:val="single" w:sz="8" w:space="0" w:color="CDCDCD"/>
            </w:tcBorders>
            <w:shd w:val="clear" w:color="auto" w:fill="CCCCCC"/>
          </w:tcPr>
          <w:p w14:paraId="038A53FF" w14:textId="77777777" w:rsidR="000D65C6" w:rsidRDefault="000D65C6" w:rsidP="001A5D4A">
            <w:pPr>
              <w:pStyle w:val="NotesTable-Notes"/>
            </w:pPr>
          </w:p>
        </w:tc>
        <w:tc>
          <w:tcPr>
            <w:tcW w:w="292" w:type="pct"/>
            <w:tcBorders>
              <w:top w:val="single" w:sz="4" w:space="0" w:color="auto"/>
              <w:bottom w:val="single" w:sz="8" w:space="0" w:color="CDCDCD"/>
            </w:tcBorders>
            <w:shd w:val="clear" w:color="auto" w:fill="CCCCCC"/>
          </w:tcPr>
          <w:p w14:paraId="038A5400" w14:textId="77777777" w:rsidR="000D65C6" w:rsidRDefault="000D65C6" w:rsidP="001A5D4A">
            <w:pPr>
              <w:pStyle w:val="NotesTable-CellBold"/>
            </w:pPr>
          </w:p>
        </w:tc>
        <w:tc>
          <w:tcPr>
            <w:tcW w:w="292" w:type="pct"/>
            <w:tcBorders>
              <w:top w:val="single" w:sz="4" w:space="0" w:color="auto"/>
              <w:bottom w:val="single" w:sz="8" w:space="0" w:color="CDCDCD"/>
            </w:tcBorders>
            <w:shd w:val="clear" w:color="auto" w:fill="CCCCCC"/>
          </w:tcPr>
          <w:p w14:paraId="038A5401" w14:textId="77777777" w:rsidR="000D65C6" w:rsidRDefault="000D65C6" w:rsidP="001A5D4A">
            <w:pPr>
              <w:pStyle w:val="NotesTable-CellPlain"/>
            </w:pPr>
          </w:p>
        </w:tc>
        <w:tc>
          <w:tcPr>
            <w:tcW w:w="292" w:type="pct"/>
            <w:gridSpan w:val="2"/>
            <w:tcBorders>
              <w:top w:val="single" w:sz="4" w:space="0" w:color="auto"/>
              <w:bottom w:val="single" w:sz="8" w:space="0" w:color="CDCDCD"/>
            </w:tcBorders>
            <w:shd w:val="clear" w:color="auto" w:fill="CCCCCC"/>
          </w:tcPr>
          <w:p w14:paraId="038A5402" w14:textId="77777777" w:rsidR="000D65C6" w:rsidRDefault="000D65C6" w:rsidP="001A5D4A">
            <w:pPr>
              <w:pStyle w:val="NotesTable-CellBold"/>
            </w:pPr>
          </w:p>
        </w:tc>
        <w:tc>
          <w:tcPr>
            <w:tcW w:w="292" w:type="pct"/>
            <w:tcBorders>
              <w:top w:val="single" w:sz="4" w:space="0" w:color="auto"/>
              <w:bottom w:val="single" w:sz="8" w:space="0" w:color="CDCDCD"/>
            </w:tcBorders>
            <w:shd w:val="clear" w:color="auto" w:fill="CCCCCC"/>
          </w:tcPr>
          <w:p w14:paraId="038A5403" w14:textId="77777777" w:rsidR="000D65C6" w:rsidRDefault="000D65C6" w:rsidP="001A5D4A">
            <w:pPr>
              <w:pStyle w:val="NotesTable-CellPlain"/>
            </w:pPr>
          </w:p>
        </w:tc>
        <w:tc>
          <w:tcPr>
            <w:tcW w:w="292" w:type="pct"/>
            <w:tcBorders>
              <w:top w:val="single" w:sz="4" w:space="0" w:color="auto"/>
              <w:bottom w:val="single" w:sz="8" w:space="0" w:color="CDCDCD"/>
            </w:tcBorders>
            <w:shd w:val="clear" w:color="auto" w:fill="CCCCCC"/>
          </w:tcPr>
          <w:p w14:paraId="038A5404" w14:textId="77777777" w:rsidR="000D65C6" w:rsidRDefault="000D65C6" w:rsidP="001A5D4A">
            <w:pPr>
              <w:pStyle w:val="NotesTable-CellBold"/>
            </w:pPr>
          </w:p>
        </w:tc>
        <w:tc>
          <w:tcPr>
            <w:tcW w:w="293" w:type="pct"/>
            <w:tcBorders>
              <w:top w:val="single" w:sz="4" w:space="0" w:color="auto"/>
              <w:bottom w:val="single" w:sz="8" w:space="0" w:color="CDCDCD"/>
            </w:tcBorders>
            <w:shd w:val="clear" w:color="auto" w:fill="CCCCCC"/>
          </w:tcPr>
          <w:p w14:paraId="038A5405" w14:textId="77777777" w:rsidR="000D65C6" w:rsidRDefault="000D65C6" w:rsidP="001A5D4A">
            <w:pPr>
              <w:pStyle w:val="NotesTable-CellPlain"/>
            </w:pPr>
          </w:p>
        </w:tc>
        <w:tc>
          <w:tcPr>
            <w:tcW w:w="292" w:type="pct"/>
            <w:tcBorders>
              <w:top w:val="single" w:sz="4" w:space="0" w:color="auto"/>
              <w:bottom w:val="single" w:sz="8" w:space="0" w:color="CDCDCD"/>
            </w:tcBorders>
            <w:shd w:val="clear" w:color="auto" w:fill="CCCCCC"/>
          </w:tcPr>
          <w:p w14:paraId="038A5406" w14:textId="77777777" w:rsidR="000D65C6" w:rsidRDefault="000D65C6" w:rsidP="001A5D4A">
            <w:pPr>
              <w:pStyle w:val="NotesTable-CellBold"/>
            </w:pPr>
          </w:p>
        </w:tc>
        <w:tc>
          <w:tcPr>
            <w:tcW w:w="292" w:type="pct"/>
            <w:tcBorders>
              <w:top w:val="single" w:sz="4" w:space="0" w:color="auto"/>
              <w:bottom w:val="single" w:sz="8" w:space="0" w:color="CDCDCD"/>
            </w:tcBorders>
            <w:shd w:val="clear" w:color="auto" w:fill="CCCCCC"/>
          </w:tcPr>
          <w:p w14:paraId="038A5407" w14:textId="77777777" w:rsidR="000D65C6" w:rsidRDefault="000D65C6" w:rsidP="001A5D4A">
            <w:pPr>
              <w:pStyle w:val="NotesTable-CellPlain"/>
            </w:pPr>
          </w:p>
        </w:tc>
        <w:tc>
          <w:tcPr>
            <w:tcW w:w="292" w:type="pct"/>
            <w:tcBorders>
              <w:top w:val="single" w:sz="4" w:space="0" w:color="auto"/>
              <w:bottom w:val="single" w:sz="8" w:space="0" w:color="CDCDCD"/>
            </w:tcBorders>
            <w:shd w:val="clear" w:color="auto" w:fill="CCCCCC"/>
          </w:tcPr>
          <w:p w14:paraId="038A540A" w14:textId="77777777" w:rsidR="000D65C6" w:rsidRDefault="000D65C6" w:rsidP="001A5D4A">
            <w:pPr>
              <w:pStyle w:val="NotesTable-CellBold"/>
            </w:pPr>
          </w:p>
        </w:tc>
        <w:tc>
          <w:tcPr>
            <w:tcW w:w="292" w:type="pct"/>
            <w:tcBorders>
              <w:top w:val="single" w:sz="4" w:space="0" w:color="auto"/>
              <w:bottom w:val="single" w:sz="8" w:space="0" w:color="CDCDCD"/>
              <w:right w:val="single" w:sz="8" w:space="0" w:color="CDCDCD"/>
            </w:tcBorders>
            <w:shd w:val="clear" w:color="auto" w:fill="CCCCCC"/>
          </w:tcPr>
          <w:p w14:paraId="038A540B" w14:textId="77777777" w:rsidR="000D65C6" w:rsidRDefault="000D65C6" w:rsidP="001A5D4A">
            <w:pPr>
              <w:pStyle w:val="NotesTable-CellPlain"/>
            </w:pPr>
          </w:p>
        </w:tc>
      </w:tr>
    </w:tbl>
    <w:p w14:paraId="038A540E" w14:textId="77777777" w:rsidR="00AD6BF4" w:rsidRPr="006D022E" w:rsidRDefault="00AD6BF4" w:rsidP="001A5D4A">
      <w:r w:rsidRPr="006D022E">
        <w:br w:type="page"/>
      </w:r>
    </w:p>
    <w:tbl>
      <w:tblPr>
        <w:tblW w:w="5000" w:type="pct"/>
        <w:tblLook w:val="0000" w:firstRow="0" w:lastRow="0" w:firstColumn="0" w:lastColumn="0" w:noHBand="0" w:noVBand="0"/>
      </w:tblPr>
      <w:tblGrid>
        <w:gridCol w:w="1670"/>
        <w:gridCol w:w="3840"/>
        <w:gridCol w:w="913"/>
        <w:gridCol w:w="927"/>
        <w:gridCol w:w="930"/>
        <w:gridCol w:w="930"/>
        <w:gridCol w:w="13"/>
        <w:gridCol w:w="914"/>
        <w:gridCol w:w="930"/>
        <w:gridCol w:w="930"/>
        <w:gridCol w:w="927"/>
        <w:gridCol w:w="930"/>
        <w:gridCol w:w="930"/>
        <w:gridCol w:w="920"/>
      </w:tblGrid>
      <w:tr w:rsidR="004B7414" w14:paraId="038A5413" w14:textId="34CCE82E" w:rsidTr="004B7414">
        <w:trPr>
          <w:cantSplit/>
          <w:trHeight w:val="293"/>
        </w:trPr>
        <w:tc>
          <w:tcPr>
            <w:tcW w:w="5000" w:type="pct"/>
            <w:gridSpan w:val="14"/>
            <w:tcBorders>
              <w:right w:val="single" w:sz="8" w:space="0" w:color="CDCDCD"/>
            </w:tcBorders>
            <w:shd w:val="clear" w:color="auto" w:fill="auto"/>
          </w:tcPr>
          <w:p w14:paraId="33F40EF1" w14:textId="7A842DD2" w:rsidR="004B7414" w:rsidRPr="004B7414" w:rsidRDefault="004B7414" w:rsidP="004B7414">
            <w:pPr>
              <w:pStyle w:val="TOC3"/>
              <w:ind w:left="0"/>
            </w:pPr>
            <w:r>
              <w:lastRenderedPageBreak/>
              <w:t xml:space="preserve">Note 53. </w:t>
            </w:r>
            <w:r w:rsidRPr="006D022E">
              <w:t xml:space="preserve">Acquittal of Australian Government financial assistance (continued) </w:t>
            </w:r>
          </w:p>
        </w:tc>
      </w:tr>
      <w:tr w:rsidR="00B25F05" w14:paraId="038A5417" w14:textId="34EE1269" w:rsidTr="00261A68">
        <w:trPr>
          <w:cantSplit/>
          <w:trHeight w:val="293"/>
        </w:trPr>
        <w:tc>
          <w:tcPr>
            <w:tcW w:w="532" w:type="pct"/>
            <w:tcBorders>
              <w:right w:val="single" w:sz="8" w:space="0" w:color="CDCDCD"/>
            </w:tcBorders>
          </w:tcPr>
          <w:p w14:paraId="708B440B" w14:textId="77777777" w:rsidR="004B7414" w:rsidRDefault="004B7414" w:rsidP="004B7414">
            <w:pPr>
              <w:pStyle w:val="Note-Refs"/>
              <w:rPr>
                <w:b/>
              </w:rPr>
            </w:pPr>
            <w:r>
              <w:t>MANDATORY</w:t>
            </w:r>
          </w:p>
          <w:p w14:paraId="038A5414" w14:textId="0785BD9E" w:rsidR="00B25F05" w:rsidRPr="004B7414" w:rsidRDefault="004B7414" w:rsidP="001A5D4A">
            <w:pPr>
              <w:pStyle w:val="Note-Refs"/>
              <w:rPr>
                <w:b/>
              </w:rPr>
            </w:pPr>
            <w:r>
              <w:t>EDUCATION</w:t>
            </w:r>
          </w:p>
        </w:tc>
        <w:tc>
          <w:tcPr>
            <w:tcW w:w="2405" w:type="pct"/>
            <w:gridSpan w:val="6"/>
            <w:tcBorders>
              <w:left w:val="single" w:sz="8" w:space="0" w:color="CDCDCD"/>
            </w:tcBorders>
            <w:shd w:val="clear" w:color="auto" w:fill="CCCCCC"/>
          </w:tcPr>
          <w:p w14:paraId="038A5415" w14:textId="3C090470" w:rsidR="00B25F05" w:rsidRDefault="00B25F05" w:rsidP="001A5D4A">
            <w:pPr>
              <w:pStyle w:val="NotesTable-AcquittalHeader"/>
              <w:rPr>
                <w:b w:val="0"/>
                <w:sz w:val="18"/>
                <w:szCs w:val="18"/>
              </w:rPr>
            </w:pPr>
            <w:r>
              <w:t>53g Australian Research Council Grants</w:t>
            </w:r>
          </w:p>
        </w:tc>
        <w:tc>
          <w:tcPr>
            <w:tcW w:w="2063" w:type="pct"/>
            <w:gridSpan w:val="7"/>
            <w:tcBorders>
              <w:right w:val="single" w:sz="8" w:space="0" w:color="CDCDCD"/>
            </w:tcBorders>
            <w:shd w:val="clear" w:color="auto" w:fill="CCCCCC"/>
          </w:tcPr>
          <w:p w14:paraId="2C451E56" w14:textId="0B402714" w:rsidR="00B25F05" w:rsidRDefault="00B25F05" w:rsidP="001A5D4A">
            <w:pPr>
              <w:pStyle w:val="NotesTable-ItemBold"/>
            </w:pPr>
            <w:r>
              <w:t>Parent entity (HEP) ONLY</w:t>
            </w:r>
          </w:p>
        </w:tc>
      </w:tr>
      <w:tr w:rsidR="008222DA" w14:paraId="5AC26AA4" w14:textId="77777777" w:rsidTr="00261A68">
        <w:trPr>
          <w:cantSplit/>
          <w:trHeight w:val="293"/>
        </w:trPr>
        <w:tc>
          <w:tcPr>
            <w:tcW w:w="532" w:type="pct"/>
            <w:tcBorders>
              <w:right w:val="single" w:sz="8" w:space="0" w:color="CDCDCD"/>
            </w:tcBorders>
          </w:tcPr>
          <w:p w14:paraId="2BF7DB06" w14:textId="77777777" w:rsidR="008222DA" w:rsidRDefault="008222DA" w:rsidP="001A5D4A">
            <w:pPr>
              <w:pStyle w:val="Note-Refs"/>
            </w:pPr>
          </w:p>
        </w:tc>
        <w:tc>
          <w:tcPr>
            <w:tcW w:w="2405" w:type="pct"/>
            <w:gridSpan w:val="6"/>
            <w:tcBorders>
              <w:left w:val="single" w:sz="8" w:space="0" w:color="CDCDCD"/>
            </w:tcBorders>
            <w:shd w:val="clear" w:color="auto" w:fill="CCCCCC"/>
          </w:tcPr>
          <w:p w14:paraId="5E9A30F9" w14:textId="77777777" w:rsidR="008222DA" w:rsidRDefault="008222DA" w:rsidP="001A5D4A">
            <w:pPr>
              <w:pStyle w:val="NotesTable-AcquittalHeader"/>
            </w:pPr>
          </w:p>
        </w:tc>
        <w:tc>
          <w:tcPr>
            <w:tcW w:w="2063" w:type="pct"/>
            <w:gridSpan w:val="7"/>
            <w:tcBorders>
              <w:right w:val="single" w:sz="8" w:space="0" w:color="CDCDCD"/>
            </w:tcBorders>
            <w:shd w:val="clear" w:color="auto" w:fill="CCCCCC"/>
          </w:tcPr>
          <w:p w14:paraId="5C559859" w14:textId="77777777" w:rsidR="008222DA" w:rsidRDefault="008222DA" w:rsidP="001A5D4A">
            <w:pPr>
              <w:pStyle w:val="NotesTable-HeadBold"/>
            </w:pPr>
          </w:p>
        </w:tc>
      </w:tr>
      <w:tr w:rsidR="00FE23EA" w14:paraId="038A541D" w14:textId="72A99B10" w:rsidTr="004B7414">
        <w:trPr>
          <w:cantSplit/>
          <w:trHeight w:val="328"/>
        </w:trPr>
        <w:tc>
          <w:tcPr>
            <w:tcW w:w="532" w:type="pct"/>
            <w:tcBorders>
              <w:right w:val="single" w:sz="8" w:space="0" w:color="CDCDCD"/>
            </w:tcBorders>
          </w:tcPr>
          <w:p w14:paraId="038A5418" w14:textId="77777777" w:rsidR="000D65C6" w:rsidRDefault="000D65C6" w:rsidP="001A5D4A">
            <w:pPr>
              <w:pStyle w:val="Note-Refs"/>
            </w:pPr>
          </w:p>
        </w:tc>
        <w:tc>
          <w:tcPr>
            <w:tcW w:w="1513" w:type="pct"/>
            <w:gridSpan w:val="2"/>
            <w:tcBorders>
              <w:left w:val="single" w:sz="8" w:space="0" w:color="CDCDCD"/>
            </w:tcBorders>
            <w:shd w:val="clear" w:color="auto" w:fill="CCCCCC"/>
          </w:tcPr>
          <w:p w14:paraId="038A5419" w14:textId="5F27703B" w:rsidR="000D65C6" w:rsidRDefault="000D65C6" w:rsidP="001A5D4A">
            <w:pPr>
              <w:pStyle w:val="NotesTable-ItemBold"/>
            </w:pPr>
            <w:r>
              <w:t>(iii) Networks and Centres and Special Research Initiatives</w:t>
            </w:r>
          </w:p>
        </w:tc>
        <w:tc>
          <w:tcPr>
            <w:tcW w:w="591" w:type="pct"/>
            <w:gridSpan w:val="2"/>
            <w:shd w:val="clear" w:color="auto" w:fill="CCCCCC"/>
          </w:tcPr>
          <w:p w14:paraId="038A541A" w14:textId="77777777" w:rsidR="000D65C6" w:rsidRDefault="000D65C6" w:rsidP="001A5D4A">
            <w:pPr>
              <w:pStyle w:val="NotesTable-HeadPlain"/>
            </w:pPr>
            <w:r>
              <w:t>Research Networks</w:t>
            </w:r>
          </w:p>
        </w:tc>
        <w:tc>
          <w:tcPr>
            <w:tcW w:w="591" w:type="pct"/>
            <w:gridSpan w:val="3"/>
            <w:shd w:val="clear" w:color="auto" w:fill="CCCCCC"/>
          </w:tcPr>
          <w:p w14:paraId="038A541B" w14:textId="77777777" w:rsidR="000D65C6" w:rsidRDefault="000D65C6" w:rsidP="001A5D4A">
            <w:pPr>
              <w:pStyle w:val="NotesTable-HeadPlain"/>
            </w:pPr>
            <w:r>
              <w:t>Centres</w:t>
            </w:r>
          </w:p>
        </w:tc>
        <w:tc>
          <w:tcPr>
            <w:tcW w:w="592" w:type="pct"/>
            <w:gridSpan w:val="2"/>
            <w:tcBorders>
              <w:right w:val="single" w:sz="8" w:space="0" w:color="CDCDCD"/>
            </w:tcBorders>
            <w:shd w:val="clear" w:color="auto" w:fill="CCCCCC"/>
          </w:tcPr>
          <w:p w14:paraId="2734C26A" w14:textId="35C36367" w:rsidR="000D65C6" w:rsidRDefault="000D65C6" w:rsidP="001A5D4A">
            <w:pPr>
              <w:pStyle w:val="NotesTable-HeadPlain"/>
            </w:pPr>
            <w:r>
              <w:t>Total Networks and Centres</w:t>
            </w:r>
          </w:p>
        </w:tc>
        <w:tc>
          <w:tcPr>
            <w:tcW w:w="591" w:type="pct"/>
            <w:gridSpan w:val="2"/>
            <w:tcBorders>
              <w:right w:val="single" w:sz="8" w:space="0" w:color="CDCDCD"/>
            </w:tcBorders>
            <w:shd w:val="clear" w:color="auto" w:fill="CCCCCC"/>
          </w:tcPr>
          <w:p w14:paraId="038A541C" w14:textId="571A0D42" w:rsidR="000D65C6" w:rsidRDefault="000D65C6" w:rsidP="001A5D4A">
            <w:pPr>
              <w:pStyle w:val="NotesTable-HeadPlain"/>
            </w:pPr>
            <w:r>
              <w:t>Special Research Initiatives</w:t>
            </w:r>
          </w:p>
        </w:tc>
        <w:tc>
          <w:tcPr>
            <w:tcW w:w="589" w:type="pct"/>
            <w:gridSpan w:val="2"/>
            <w:tcBorders>
              <w:right w:val="single" w:sz="8" w:space="0" w:color="CDCDCD"/>
            </w:tcBorders>
            <w:shd w:val="clear" w:color="auto" w:fill="CCCCCC"/>
          </w:tcPr>
          <w:p w14:paraId="6FAE9C23" w14:textId="727619F3" w:rsidR="000D65C6" w:rsidRDefault="000D65C6" w:rsidP="001A5D4A">
            <w:pPr>
              <w:pStyle w:val="NotesTable-HeadPlain"/>
            </w:pPr>
            <w:r>
              <w:t>Total</w:t>
            </w:r>
          </w:p>
        </w:tc>
      </w:tr>
      <w:tr w:rsidR="00B25F05" w14:paraId="038A5427" w14:textId="18A8D724" w:rsidTr="004B7414">
        <w:trPr>
          <w:cantSplit/>
          <w:trHeight w:val="255"/>
        </w:trPr>
        <w:tc>
          <w:tcPr>
            <w:tcW w:w="532" w:type="pct"/>
            <w:tcBorders>
              <w:right w:val="single" w:sz="8" w:space="0" w:color="CDCDCD"/>
            </w:tcBorders>
          </w:tcPr>
          <w:p w14:paraId="038A541E" w14:textId="77777777" w:rsidR="000D65C6" w:rsidRDefault="000D65C6" w:rsidP="001A5D4A">
            <w:pPr>
              <w:pStyle w:val="Note-Refs"/>
            </w:pPr>
          </w:p>
        </w:tc>
        <w:tc>
          <w:tcPr>
            <w:tcW w:w="1223" w:type="pct"/>
            <w:tcBorders>
              <w:left w:val="single" w:sz="8" w:space="0" w:color="CDCDCD"/>
            </w:tcBorders>
            <w:shd w:val="clear" w:color="auto" w:fill="CCCCCC"/>
          </w:tcPr>
          <w:p w14:paraId="038A541F" w14:textId="77777777" w:rsidR="000D65C6" w:rsidRDefault="000D65C6" w:rsidP="001A5D4A">
            <w:pPr>
              <w:pStyle w:val="NotesTable-ItemPlain"/>
            </w:pPr>
          </w:p>
        </w:tc>
        <w:tc>
          <w:tcPr>
            <w:tcW w:w="291" w:type="pct"/>
            <w:shd w:val="clear" w:color="auto" w:fill="CCCCCC"/>
          </w:tcPr>
          <w:p w14:paraId="038A5420" w14:textId="77777777" w:rsidR="000D65C6" w:rsidRDefault="000D65C6" w:rsidP="001A5D4A">
            <w:pPr>
              <w:pStyle w:val="NotesTable-Notes"/>
            </w:pPr>
            <w:r>
              <w:t>Notes</w:t>
            </w:r>
          </w:p>
        </w:tc>
        <w:tc>
          <w:tcPr>
            <w:tcW w:w="295" w:type="pct"/>
            <w:shd w:val="clear" w:color="auto" w:fill="CCCCCC"/>
          </w:tcPr>
          <w:p w14:paraId="038A5421" w14:textId="26504274" w:rsidR="000D65C6" w:rsidRDefault="000D65C6" w:rsidP="001A5D4A">
            <w:pPr>
              <w:pStyle w:val="NotesTable-HeadBold"/>
            </w:pPr>
            <w:r>
              <w:t>2014</w:t>
            </w:r>
          </w:p>
        </w:tc>
        <w:tc>
          <w:tcPr>
            <w:tcW w:w="296" w:type="pct"/>
            <w:shd w:val="clear" w:color="auto" w:fill="CCCCCC"/>
          </w:tcPr>
          <w:p w14:paraId="038A5422" w14:textId="70122019" w:rsidR="000D65C6" w:rsidRDefault="000D65C6" w:rsidP="001A5D4A">
            <w:pPr>
              <w:pStyle w:val="NotesTable-HeadPlain"/>
            </w:pPr>
            <w:r>
              <w:t>2013</w:t>
            </w:r>
          </w:p>
        </w:tc>
        <w:tc>
          <w:tcPr>
            <w:tcW w:w="296" w:type="pct"/>
            <w:shd w:val="clear" w:color="auto" w:fill="CCCCCC"/>
          </w:tcPr>
          <w:p w14:paraId="038A5423" w14:textId="0266559F" w:rsidR="000D65C6" w:rsidRDefault="000D65C6" w:rsidP="001A5D4A">
            <w:pPr>
              <w:pStyle w:val="NotesTable-HeadBold"/>
            </w:pPr>
            <w:r>
              <w:t>2014</w:t>
            </w:r>
          </w:p>
        </w:tc>
        <w:tc>
          <w:tcPr>
            <w:tcW w:w="295" w:type="pct"/>
            <w:gridSpan w:val="2"/>
            <w:shd w:val="clear" w:color="auto" w:fill="CCCCCC"/>
          </w:tcPr>
          <w:p w14:paraId="038A5424" w14:textId="2AEF75E0" w:rsidR="000D65C6" w:rsidRDefault="000D65C6" w:rsidP="001A5D4A">
            <w:pPr>
              <w:pStyle w:val="NotesTable-HeadPlain"/>
            </w:pPr>
            <w:r>
              <w:t>2013</w:t>
            </w:r>
          </w:p>
        </w:tc>
        <w:tc>
          <w:tcPr>
            <w:tcW w:w="296" w:type="pct"/>
            <w:shd w:val="clear" w:color="auto" w:fill="CCCCCC"/>
          </w:tcPr>
          <w:p w14:paraId="038A5425" w14:textId="3F89E64C" w:rsidR="000D65C6" w:rsidRDefault="000D65C6" w:rsidP="001A5D4A">
            <w:pPr>
              <w:pStyle w:val="NotesTable-HeadBold"/>
            </w:pPr>
            <w:r>
              <w:t>2014</w:t>
            </w:r>
          </w:p>
        </w:tc>
        <w:tc>
          <w:tcPr>
            <w:tcW w:w="296" w:type="pct"/>
            <w:tcBorders>
              <w:right w:val="single" w:sz="8" w:space="0" w:color="CDCDCD"/>
            </w:tcBorders>
            <w:shd w:val="clear" w:color="auto" w:fill="CCCCCC"/>
          </w:tcPr>
          <w:p w14:paraId="2B84313A" w14:textId="77777777" w:rsidR="000D65C6" w:rsidRDefault="000D65C6" w:rsidP="001A5D4A">
            <w:pPr>
              <w:pStyle w:val="NotesTable-HeadPlain"/>
            </w:pPr>
            <w:r>
              <w:t>2013</w:t>
            </w:r>
          </w:p>
          <w:p w14:paraId="2A73A644" w14:textId="0F05F2C2" w:rsidR="000D65C6" w:rsidRDefault="000D65C6" w:rsidP="001A5D4A">
            <w:pPr>
              <w:pStyle w:val="NotesTable-CellPlain"/>
            </w:pPr>
          </w:p>
        </w:tc>
        <w:tc>
          <w:tcPr>
            <w:tcW w:w="295" w:type="pct"/>
            <w:tcBorders>
              <w:right w:val="single" w:sz="8" w:space="0" w:color="CDCDCD"/>
            </w:tcBorders>
            <w:shd w:val="clear" w:color="auto" w:fill="CCCCCC"/>
          </w:tcPr>
          <w:p w14:paraId="55EDF406" w14:textId="17BEFAB9" w:rsidR="000D65C6" w:rsidRDefault="000D65C6" w:rsidP="001A5D4A">
            <w:pPr>
              <w:pStyle w:val="NotesTable-HeadBold"/>
            </w:pPr>
            <w:r>
              <w:t>2014</w:t>
            </w:r>
          </w:p>
        </w:tc>
        <w:tc>
          <w:tcPr>
            <w:tcW w:w="296" w:type="pct"/>
            <w:tcBorders>
              <w:right w:val="single" w:sz="8" w:space="0" w:color="CDCDCD"/>
            </w:tcBorders>
            <w:shd w:val="clear" w:color="auto" w:fill="CCCCCC"/>
          </w:tcPr>
          <w:p w14:paraId="038A5426" w14:textId="6C560F18" w:rsidR="000D65C6" w:rsidRDefault="000D65C6" w:rsidP="001A5D4A">
            <w:pPr>
              <w:pStyle w:val="NotesTable-CellPlain"/>
            </w:pPr>
            <w:r>
              <w:t>2013</w:t>
            </w:r>
          </w:p>
        </w:tc>
        <w:tc>
          <w:tcPr>
            <w:tcW w:w="296" w:type="pct"/>
            <w:tcBorders>
              <w:right w:val="single" w:sz="8" w:space="0" w:color="CDCDCD"/>
            </w:tcBorders>
            <w:shd w:val="clear" w:color="auto" w:fill="CCCCCC"/>
          </w:tcPr>
          <w:p w14:paraId="2D3F99DD" w14:textId="69165D39" w:rsidR="000D65C6" w:rsidRDefault="000D65C6" w:rsidP="001A5D4A">
            <w:pPr>
              <w:pStyle w:val="NotesTable-CellBold"/>
            </w:pPr>
            <w:r>
              <w:t>2014</w:t>
            </w:r>
          </w:p>
        </w:tc>
        <w:tc>
          <w:tcPr>
            <w:tcW w:w="293" w:type="pct"/>
            <w:tcBorders>
              <w:right w:val="single" w:sz="8" w:space="0" w:color="CDCDCD"/>
            </w:tcBorders>
            <w:shd w:val="clear" w:color="auto" w:fill="CCCCCC"/>
          </w:tcPr>
          <w:p w14:paraId="20522D43" w14:textId="1A034A79" w:rsidR="000D65C6" w:rsidRDefault="000D65C6" w:rsidP="001A5D4A">
            <w:pPr>
              <w:pStyle w:val="NotesTable-CellPlain"/>
            </w:pPr>
            <w:r>
              <w:t>2013</w:t>
            </w:r>
          </w:p>
        </w:tc>
      </w:tr>
      <w:tr w:rsidR="00B25F05" w14:paraId="038A5431" w14:textId="0B9F2B20" w:rsidTr="004B7414">
        <w:trPr>
          <w:cantSplit/>
          <w:trHeight w:val="255"/>
        </w:trPr>
        <w:tc>
          <w:tcPr>
            <w:tcW w:w="532" w:type="pct"/>
            <w:tcBorders>
              <w:right w:val="single" w:sz="8" w:space="0" w:color="CDCDCD"/>
            </w:tcBorders>
          </w:tcPr>
          <w:p w14:paraId="038A5428" w14:textId="77777777" w:rsidR="000D65C6" w:rsidRDefault="000D65C6" w:rsidP="001A5D4A">
            <w:pPr>
              <w:pStyle w:val="Note-Refs"/>
            </w:pPr>
          </w:p>
        </w:tc>
        <w:tc>
          <w:tcPr>
            <w:tcW w:w="1223" w:type="pct"/>
            <w:tcBorders>
              <w:left w:val="single" w:sz="8" w:space="0" w:color="CDCDCD"/>
            </w:tcBorders>
            <w:shd w:val="clear" w:color="auto" w:fill="CCCCCC"/>
          </w:tcPr>
          <w:p w14:paraId="038A5429" w14:textId="77777777" w:rsidR="000D65C6" w:rsidRDefault="000D65C6" w:rsidP="001A5D4A">
            <w:pPr>
              <w:pStyle w:val="NotesTable-ItemPlain"/>
            </w:pPr>
          </w:p>
        </w:tc>
        <w:tc>
          <w:tcPr>
            <w:tcW w:w="291" w:type="pct"/>
            <w:shd w:val="clear" w:color="auto" w:fill="CCCCCC"/>
          </w:tcPr>
          <w:p w14:paraId="038A542A" w14:textId="77777777" w:rsidR="000D65C6" w:rsidRDefault="000D65C6" w:rsidP="001A5D4A">
            <w:pPr>
              <w:pStyle w:val="NotesTable-Notes"/>
            </w:pPr>
          </w:p>
        </w:tc>
        <w:tc>
          <w:tcPr>
            <w:tcW w:w="295" w:type="pct"/>
            <w:shd w:val="clear" w:color="auto" w:fill="CCCCCC"/>
          </w:tcPr>
          <w:p w14:paraId="038A542B" w14:textId="77777777" w:rsidR="000D65C6" w:rsidRDefault="000D65C6" w:rsidP="001A5D4A">
            <w:pPr>
              <w:pStyle w:val="NotesTable-HeadBold"/>
            </w:pPr>
            <w:r>
              <w:t>$’000</w:t>
            </w:r>
          </w:p>
        </w:tc>
        <w:tc>
          <w:tcPr>
            <w:tcW w:w="296" w:type="pct"/>
            <w:shd w:val="clear" w:color="auto" w:fill="CCCCCC"/>
          </w:tcPr>
          <w:p w14:paraId="038A542C" w14:textId="77777777" w:rsidR="000D65C6" w:rsidRDefault="000D65C6" w:rsidP="001A5D4A">
            <w:pPr>
              <w:pStyle w:val="NotesTable-HeadPlain"/>
            </w:pPr>
            <w:r>
              <w:t>$’000</w:t>
            </w:r>
          </w:p>
        </w:tc>
        <w:tc>
          <w:tcPr>
            <w:tcW w:w="296" w:type="pct"/>
            <w:shd w:val="clear" w:color="auto" w:fill="CCCCCC"/>
          </w:tcPr>
          <w:p w14:paraId="038A542D" w14:textId="77777777" w:rsidR="000D65C6" w:rsidRDefault="000D65C6" w:rsidP="001A5D4A">
            <w:pPr>
              <w:pStyle w:val="NotesTable-HeadBold"/>
            </w:pPr>
            <w:r>
              <w:t>$’000</w:t>
            </w:r>
          </w:p>
        </w:tc>
        <w:tc>
          <w:tcPr>
            <w:tcW w:w="295" w:type="pct"/>
            <w:gridSpan w:val="2"/>
            <w:shd w:val="clear" w:color="auto" w:fill="CCCCCC"/>
          </w:tcPr>
          <w:p w14:paraId="038A542E" w14:textId="77777777" w:rsidR="000D65C6" w:rsidRDefault="000D65C6" w:rsidP="001A5D4A">
            <w:pPr>
              <w:pStyle w:val="NotesTable-HeadPlain"/>
            </w:pPr>
            <w:r>
              <w:t>$’000</w:t>
            </w:r>
          </w:p>
        </w:tc>
        <w:tc>
          <w:tcPr>
            <w:tcW w:w="296" w:type="pct"/>
            <w:shd w:val="clear" w:color="auto" w:fill="CCCCCC"/>
          </w:tcPr>
          <w:p w14:paraId="038A542F" w14:textId="77777777" w:rsidR="000D65C6" w:rsidRDefault="000D65C6" w:rsidP="001A5D4A">
            <w:pPr>
              <w:pStyle w:val="NotesTable-HeadBold"/>
            </w:pPr>
            <w:r>
              <w:t>$’000</w:t>
            </w:r>
          </w:p>
        </w:tc>
        <w:tc>
          <w:tcPr>
            <w:tcW w:w="296" w:type="pct"/>
            <w:tcBorders>
              <w:right w:val="single" w:sz="8" w:space="0" w:color="CDCDCD"/>
            </w:tcBorders>
            <w:shd w:val="clear" w:color="auto" w:fill="CCCCCC"/>
          </w:tcPr>
          <w:p w14:paraId="43AE76C8" w14:textId="77777777" w:rsidR="000D65C6" w:rsidRDefault="000D65C6" w:rsidP="001A5D4A">
            <w:pPr>
              <w:pStyle w:val="NotesTable-HeadPlain"/>
            </w:pPr>
            <w:r>
              <w:t>$’000</w:t>
            </w:r>
          </w:p>
          <w:p w14:paraId="43FDF73F" w14:textId="77777777" w:rsidR="000D65C6" w:rsidRDefault="000D65C6" w:rsidP="001A5D4A">
            <w:pPr>
              <w:pStyle w:val="NotesTable-CellPlain"/>
              <w:rPr>
                <w:b/>
              </w:rPr>
            </w:pPr>
          </w:p>
        </w:tc>
        <w:tc>
          <w:tcPr>
            <w:tcW w:w="295" w:type="pct"/>
            <w:tcBorders>
              <w:right w:val="single" w:sz="8" w:space="0" w:color="CDCDCD"/>
            </w:tcBorders>
            <w:shd w:val="clear" w:color="auto" w:fill="CCCCCC"/>
          </w:tcPr>
          <w:p w14:paraId="010305A8" w14:textId="14A55B62" w:rsidR="000D65C6" w:rsidRDefault="000D65C6" w:rsidP="001A5D4A">
            <w:pPr>
              <w:pStyle w:val="NotesTable-HeadBold"/>
            </w:pPr>
            <w:r>
              <w:t>$’000</w:t>
            </w:r>
          </w:p>
        </w:tc>
        <w:tc>
          <w:tcPr>
            <w:tcW w:w="296" w:type="pct"/>
            <w:tcBorders>
              <w:right w:val="single" w:sz="8" w:space="0" w:color="CDCDCD"/>
            </w:tcBorders>
            <w:shd w:val="clear" w:color="auto" w:fill="CCCCCC"/>
          </w:tcPr>
          <w:p w14:paraId="038A5430" w14:textId="23DFA035" w:rsidR="000D65C6" w:rsidRDefault="000D65C6" w:rsidP="001A5D4A">
            <w:pPr>
              <w:pStyle w:val="NotesTable-CellPlain"/>
              <w:rPr>
                <w:b/>
              </w:rPr>
            </w:pPr>
            <w:r>
              <w:t>$’000</w:t>
            </w:r>
          </w:p>
        </w:tc>
        <w:tc>
          <w:tcPr>
            <w:tcW w:w="296" w:type="pct"/>
            <w:tcBorders>
              <w:right w:val="single" w:sz="8" w:space="0" w:color="CDCDCD"/>
            </w:tcBorders>
            <w:shd w:val="clear" w:color="auto" w:fill="CCCCCC"/>
          </w:tcPr>
          <w:p w14:paraId="65610205" w14:textId="0B4CB39D" w:rsidR="000D65C6" w:rsidRDefault="000D65C6" w:rsidP="001A5D4A">
            <w:pPr>
              <w:pStyle w:val="NotesTable-CellBold"/>
            </w:pPr>
            <w:r>
              <w:t>$’000</w:t>
            </w:r>
          </w:p>
        </w:tc>
        <w:tc>
          <w:tcPr>
            <w:tcW w:w="293" w:type="pct"/>
            <w:tcBorders>
              <w:right w:val="single" w:sz="8" w:space="0" w:color="CDCDCD"/>
            </w:tcBorders>
            <w:shd w:val="clear" w:color="auto" w:fill="CCCCCC"/>
          </w:tcPr>
          <w:p w14:paraId="74461E8C" w14:textId="18935598" w:rsidR="000D65C6" w:rsidRDefault="000D65C6" w:rsidP="001A5D4A">
            <w:pPr>
              <w:pStyle w:val="NotesTable-CellPlain"/>
            </w:pPr>
            <w:r>
              <w:t>$’000</w:t>
            </w:r>
          </w:p>
        </w:tc>
      </w:tr>
      <w:tr w:rsidR="00B25F05" w14:paraId="038A543B" w14:textId="410EDC57" w:rsidTr="004B7414">
        <w:trPr>
          <w:cantSplit/>
          <w:trHeight w:val="255"/>
        </w:trPr>
        <w:tc>
          <w:tcPr>
            <w:tcW w:w="532" w:type="pct"/>
            <w:tcBorders>
              <w:right w:val="single" w:sz="8" w:space="0" w:color="CDCDCD"/>
            </w:tcBorders>
          </w:tcPr>
          <w:p w14:paraId="038A5432" w14:textId="77777777" w:rsidR="000D65C6" w:rsidRDefault="000D65C6" w:rsidP="001A5D4A">
            <w:pPr>
              <w:pStyle w:val="Note-Refs"/>
            </w:pPr>
            <w:r>
              <w:t>A</w:t>
            </w:r>
          </w:p>
        </w:tc>
        <w:tc>
          <w:tcPr>
            <w:tcW w:w="1223" w:type="pct"/>
            <w:tcBorders>
              <w:left w:val="single" w:sz="8" w:space="0" w:color="CDCDCD"/>
            </w:tcBorders>
            <w:shd w:val="clear" w:color="auto" w:fill="CCCCCC"/>
          </w:tcPr>
          <w:p w14:paraId="038A5433" w14:textId="77777777" w:rsidR="000D65C6" w:rsidRDefault="000D65C6" w:rsidP="001A5D4A">
            <w:pPr>
              <w:pStyle w:val="NotesTable-ItemPlain"/>
              <w:rPr>
                <w:b/>
              </w:rPr>
            </w:pPr>
            <w:r>
              <w:t>Financial assistance received in CASH during the reporting period (total cash received from the Australian Government for the program)</w:t>
            </w:r>
          </w:p>
        </w:tc>
        <w:tc>
          <w:tcPr>
            <w:tcW w:w="291" w:type="pct"/>
            <w:shd w:val="clear" w:color="auto" w:fill="CCCCCC"/>
            <w:vAlign w:val="bottom"/>
          </w:tcPr>
          <w:p w14:paraId="038A5434" w14:textId="77777777" w:rsidR="000D65C6" w:rsidRDefault="000D65C6" w:rsidP="001A5D4A">
            <w:pPr>
              <w:pStyle w:val="NotesTable-Notes"/>
            </w:pPr>
          </w:p>
        </w:tc>
        <w:tc>
          <w:tcPr>
            <w:tcW w:w="295" w:type="pct"/>
            <w:shd w:val="clear" w:color="auto" w:fill="CCCCCC"/>
            <w:vAlign w:val="bottom"/>
          </w:tcPr>
          <w:p w14:paraId="038A5435" w14:textId="77777777" w:rsidR="000D65C6" w:rsidRDefault="000D65C6" w:rsidP="001A5D4A">
            <w:pPr>
              <w:pStyle w:val="NotesTable-CellBold"/>
            </w:pPr>
            <w:r>
              <w:t>–</w:t>
            </w:r>
          </w:p>
        </w:tc>
        <w:tc>
          <w:tcPr>
            <w:tcW w:w="296" w:type="pct"/>
            <w:shd w:val="clear" w:color="auto" w:fill="CCCCCC"/>
            <w:vAlign w:val="bottom"/>
          </w:tcPr>
          <w:p w14:paraId="038A5436" w14:textId="77777777" w:rsidR="000D65C6" w:rsidRDefault="000D65C6" w:rsidP="001A5D4A">
            <w:pPr>
              <w:pStyle w:val="NotesTable-CellPlain"/>
            </w:pPr>
            <w:r>
              <w:t>–</w:t>
            </w:r>
          </w:p>
        </w:tc>
        <w:tc>
          <w:tcPr>
            <w:tcW w:w="296" w:type="pct"/>
            <w:shd w:val="clear" w:color="auto" w:fill="CCCCCC"/>
            <w:vAlign w:val="bottom"/>
          </w:tcPr>
          <w:p w14:paraId="038A5437" w14:textId="77777777" w:rsidR="000D65C6" w:rsidRDefault="000D65C6" w:rsidP="001A5D4A">
            <w:pPr>
              <w:pStyle w:val="NotesTable-CellBold"/>
            </w:pPr>
            <w:r>
              <w:t>–</w:t>
            </w:r>
          </w:p>
        </w:tc>
        <w:tc>
          <w:tcPr>
            <w:tcW w:w="295" w:type="pct"/>
            <w:gridSpan w:val="2"/>
            <w:shd w:val="clear" w:color="auto" w:fill="CCCCCC"/>
            <w:vAlign w:val="bottom"/>
          </w:tcPr>
          <w:p w14:paraId="038A5438" w14:textId="77777777" w:rsidR="000D65C6" w:rsidRDefault="000D65C6" w:rsidP="001A5D4A">
            <w:pPr>
              <w:pStyle w:val="NotesTable-CellPlain"/>
            </w:pPr>
            <w:r>
              <w:t>–</w:t>
            </w:r>
          </w:p>
        </w:tc>
        <w:tc>
          <w:tcPr>
            <w:tcW w:w="296" w:type="pct"/>
            <w:shd w:val="clear" w:color="auto" w:fill="CCCCCC"/>
            <w:vAlign w:val="bottom"/>
          </w:tcPr>
          <w:p w14:paraId="038A5439" w14:textId="77777777" w:rsidR="000D65C6" w:rsidRDefault="000D65C6" w:rsidP="001A5D4A">
            <w:pPr>
              <w:pStyle w:val="NotesTable-CellBold"/>
            </w:pPr>
            <w:r>
              <w:t>–</w:t>
            </w:r>
          </w:p>
        </w:tc>
        <w:tc>
          <w:tcPr>
            <w:tcW w:w="296" w:type="pct"/>
            <w:tcBorders>
              <w:right w:val="single" w:sz="8" w:space="0" w:color="CDCDCD"/>
            </w:tcBorders>
            <w:shd w:val="clear" w:color="auto" w:fill="CCCCCC"/>
            <w:vAlign w:val="bottom"/>
          </w:tcPr>
          <w:p w14:paraId="15440F0C" w14:textId="63B67EEE" w:rsidR="000D65C6" w:rsidRDefault="000D65C6" w:rsidP="001A5D4A">
            <w:pPr>
              <w:pStyle w:val="NotesTable-CellPlain"/>
            </w:pPr>
            <w:r>
              <w:t>–</w:t>
            </w:r>
          </w:p>
        </w:tc>
        <w:tc>
          <w:tcPr>
            <w:tcW w:w="295" w:type="pct"/>
            <w:tcBorders>
              <w:right w:val="single" w:sz="8" w:space="0" w:color="CDCDCD"/>
            </w:tcBorders>
            <w:shd w:val="clear" w:color="auto" w:fill="CCCCCC"/>
            <w:vAlign w:val="bottom"/>
          </w:tcPr>
          <w:p w14:paraId="6F020318" w14:textId="7A6660BD" w:rsidR="000D65C6" w:rsidRDefault="000D65C6" w:rsidP="001A5D4A">
            <w:pPr>
              <w:pStyle w:val="NotesTable-CellBold"/>
            </w:pPr>
            <w:r>
              <w:t>–</w:t>
            </w:r>
          </w:p>
        </w:tc>
        <w:tc>
          <w:tcPr>
            <w:tcW w:w="296" w:type="pct"/>
            <w:tcBorders>
              <w:right w:val="single" w:sz="8" w:space="0" w:color="CDCDCD"/>
            </w:tcBorders>
            <w:shd w:val="clear" w:color="auto" w:fill="CCCCCC"/>
            <w:vAlign w:val="bottom"/>
          </w:tcPr>
          <w:p w14:paraId="038A543A" w14:textId="286CAC4F" w:rsidR="000D65C6" w:rsidRDefault="000D65C6" w:rsidP="001A5D4A">
            <w:pPr>
              <w:pStyle w:val="NotesTable-CellPlain"/>
            </w:pPr>
            <w:r>
              <w:t>–</w:t>
            </w:r>
          </w:p>
        </w:tc>
        <w:tc>
          <w:tcPr>
            <w:tcW w:w="296" w:type="pct"/>
            <w:tcBorders>
              <w:right w:val="single" w:sz="8" w:space="0" w:color="CDCDCD"/>
            </w:tcBorders>
            <w:shd w:val="clear" w:color="auto" w:fill="CCCCCC"/>
            <w:vAlign w:val="bottom"/>
          </w:tcPr>
          <w:p w14:paraId="0E3E74A6" w14:textId="67476D9A" w:rsidR="000D65C6" w:rsidRDefault="000D65C6" w:rsidP="001A5D4A">
            <w:pPr>
              <w:pStyle w:val="NotesTable-CellPlain"/>
            </w:pPr>
            <w:r>
              <w:t>–</w:t>
            </w:r>
          </w:p>
        </w:tc>
        <w:tc>
          <w:tcPr>
            <w:tcW w:w="293" w:type="pct"/>
            <w:tcBorders>
              <w:right w:val="single" w:sz="8" w:space="0" w:color="CDCDCD"/>
            </w:tcBorders>
            <w:shd w:val="clear" w:color="auto" w:fill="CCCCCC"/>
            <w:vAlign w:val="bottom"/>
          </w:tcPr>
          <w:p w14:paraId="7227DCA1" w14:textId="3A448E6D" w:rsidR="000D65C6" w:rsidRDefault="000D65C6" w:rsidP="001A5D4A">
            <w:pPr>
              <w:pStyle w:val="NotesTable-CellPlain"/>
            </w:pPr>
            <w:r>
              <w:t>–</w:t>
            </w:r>
          </w:p>
        </w:tc>
      </w:tr>
      <w:tr w:rsidR="00B25F05" w14:paraId="038A5445" w14:textId="7E480352" w:rsidTr="004B7414">
        <w:trPr>
          <w:cantSplit/>
          <w:trHeight w:val="255"/>
        </w:trPr>
        <w:tc>
          <w:tcPr>
            <w:tcW w:w="532" w:type="pct"/>
            <w:tcBorders>
              <w:right w:val="single" w:sz="8" w:space="0" w:color="CDCDCD"/>
            </w:tcBorders>
          </w:tcPr>
          <w:p w14:paraId="038A543C" w14:textId="77777777" w:rsidR="000D65C6" w:rsidRDefault="000D65C6" w:rsidP="001A5D4A">
            <w:pPr>
              <w:pStyle w:val="Note-Refs"/>
            </w:pPr>
            <w:r>
              <w:t>B</w:t>
            </w:r>
          </w:p>
        </w:tc>
        <w:tc>
          <w:tcPr>
            <w:tcW w:w="1223" w:type="pct"/>
            <w:tcBorders>
              <w:left w:val="single" w:sz="8" w:space="0" w:color="CDCDCD"/>
            </w:tcBorders>
            <w:shd w:val="clear" w:color="auto" w:fill="CCCCCC"/>
          </w:tcPr>
          <w:p w14:paraId="038A543D" w14:textId="77777777" w:rsidR="000D65C6" w:rsidRDefault="000D65C6" w:rsidP="001A5D4A">
            <w:pPr>
              <w:pStyle w:val="NotesTable-ItemPlain"/>
              <w:rPr>
                <w:b/>
              </w:rPr>
            </w:pPr>
            <w:r>
              <w:t>Net accrual adjustments</w:t>
            </w:r>
          </w:p>
        </w:tc>
        <w:tc>
          <w:tcPr>
            <w:tcW w:w="291" w:type="pct"/>
            <w:shd w:val="clear" w:color="auto" w:fill="CCCCCC"/>
            <w:vAlign w:val="bottom"/>
          </w:tcPr>
          <w:p w14:paraId="038A543E" w14:textId="77777777" w:rsidR="000D65C6" w:rsidRDefault="000D65C6" w:rsidP="001A5D4A">
            <w:pPr>
              <w:pStyle w:val="NotesTable-Notes"/>
            </w:pPr>
          </w:p>
        </w:tc>
        <w:tc>
          <w:tcPr>
            <w:tcW w:w="295" w:type="pct"/>
            <w:tcBorders>
              <w:bottom w:val="single" w:sz="4" w:space="0" w:color="000000"/>
            </w:tcBorders>
            <w:shd w:val="clear" w:color="auto" w:fill="CCCCCC"/>
          </w:tcPr>
          <w:p w14:paraId="038A543F" w14:textId="77777777" w:rsidR="000D65C6" w:rsidRDefault="000D65C6" w:rsidP="001A5D4A">
            <w:pPr>
              <w:pStyle w:val="NotesTable-CellBold"/>
            </w:pPr>
            <w:r>
              <w:t>–</w:t>
            </w:r>
          </w:p>
        </w:tc>
        <w:tc>
          <w:tcPr>
            <w:tcW w:w="296" w:type="pct"/>
            <w:tcBorders>
              <w:bottom w:val="single" w:sz="4" w:space="0" w:color="000000"/>
            </w:tcBorders>
            <w:shd w:val="clear" w:color="auto" w:fill="CCCCCC"/>
          </w:tcPr>
          <w:p w14:paraId="038A5440" w14:textId="77777777" w:rsidR="000D65C6" w:rsidRDefault="000D65C6" w:rsidP="001A5D4A">
            <w:pPr>
              <w:pStyle w:val="NotesTable-CellPlain"/>
            </w:pPr>
            <w:r>
              <w:t>–</w:t>
            </w:r>
          </w:p>
        </w:tc>
        <w:tc>
          <w:tcPr>
            <w:tcW w:w="296" w:type="pct"/>
            <w:tcBorders>
              <w:bottom w:val="single" w:sz="4" w:space="0" w:color="000000"/>
            </w:tcBorders>
            <w:shd w:val="clear" w:color="auto" w:fill="CCCCCC"/>
          </w:tcPr>
          <w:p w14:paraId="038A5441" w14:textId="77777777" w:rsidR="000D65C6" w:rsidRDefault="000D65C6" w:rsidP="001A5D4A">
            <w:pPr>
              <w:pStyle w:val="NotesTable-CellBold"/>
            </w:pPr>
            <w:r>
              <w:t>–</w:t>
            </w:r>
          </w:p>
        </w:tc>
        <w:tc>
          <w:tcPr>
            <w:tcW w:w="295" w:type="pct"/>
            <w:gridSpan w:val="2"/>
            <w:tcBorders>
              <w:bottom w:val="single" w:sz="4" w:space="0" w:color="000000"/>
            </w:tcBorders>
            <w:shd w:val="clear" w:color="auto" w:fill="CCCCCC"/>
          </w:tcPr>
          <w:p w14:paraId="038A5442" w14:textId="77777777" w:rsidR="000D65C6" w:rsidRDefault="000D65C6" w:rsidP="001A5D4A">
            <w:pPr>
              <w:pStyle w:val="NotesTable-CellPlain"/>
            </w:pPr>
            <w:r>
              <w:t>–</w:t>
            </w:r>
          </w:p>
        </w:tc>
        <w:tc>
          <w:tcPr>
            <w:tcW w:w="296" w:type="pct"/>
            <w:tcBorders>
              <w:bottom w:val="single" w:sz="4" w:space="0" w:color="000000"/>
            </w:tcBorders>
            <w:shd w:val="clear" w:color="auto" w:fill="CCCCCC"/>
          </w:tcPr>
          <w:p w14:paraId="038A5443" w14:textId="77777777"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tcPr>
          <w:p w14:paraId="0494DBAA" w14:textId="3CD13C40" w:rsidR="000D65C6" w:rsidRDefault="000D65C6" w:rsidP="001A5D4A">
            <w:pPr>
              <w:pStyle w:val="NotesTable-CellPlain"/>
            </w:pPr>
            <w:r>
              <w:t>–</w:t>
            </w:r>
          </w:p>
        </w:tc>
        <w:tc>
          <w:tcPr>
            <w:tcW w:w="295" w:type="pct"/>
            <w:tcBorders>
              <w:bottom w:val="single" w:sz="4" w:space="0" w:color="auto"/>
              <w:right w:val="single" w:sz="8" w:space="0" w:color="CDCDCD"/>
            </w:tcBorders>
            <w:shd w:val="clear" w:color="auto" w:fill="CCCCCC"/>
          </w:tcPr>
          <w:p w14:paraId="5DBBBA22" w14:textId="6B47B279"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tcPr>
          <w:p w14:paraId="038A5444" w14:textId="697CFC52" w:rsidR="000D65C6" w:rsidRDefault="000D65C6" w:rsidP="001A5D4A">
            <w:pPr>
              <w:pStyle w:val="NotesTable-CellPlain"/>
            </w:pPr>
            <w:r>
              <w:t>–</w:t>
            </w:r>
          </w:p>
        </w:tc>
        <w:tc>
          <w:tcPr>
            <w:tcW w:w="296" w:type="pct"/>
            <w:tcBorders>
              <w:bottom w:val="single" w:sz="4" w:space="0" w:color="auto"/>
              <w:right w:val="single" w:sz="8" w:space="0" w:color="CDCDCD"/>
            </w:tcBorders>
            <w:shd w:val="clear" w:color="auto" w:fill="CCCCCC"/>
          </w:tcPr>
          <w:p w14:paraId="5FB5F68E" w14:textId="7318D17F" w:rsidR="000D65C6" w:rsidRDefault="000D65C6" w:rsidP="001A5D4A">
            <w:pPr>
              <w:pStyle w:val="NotesTable-CellPlain"/>
            </w:pPr>
            <w:r>
              <w:t>–</w:t>
            </w:r>
          </w:p>
        </w:tc>
        <w:tc>
          <w:tcPr>
            <w:tcW w:w="293" w:type="pct"/>
            <w:tcBorders>
              <w:bottom w:val="single" w:sz="4" w:space="0" w:color="auto"/>
              <w:right w:val="single" w:sz="8" w:space="0" w:color="CDCDCD"/>
            </w:tcBorders>
            <w:shd w:val="clear" w:color="auto" w:fill="CCCCCC"/>
          </w:tcPr>
          <w:p w14:paraId="2BB4644A" w14:textId="1A29F68A" w:rsidR="000D65C6" w:rsidRDefault="000D65C6" w:rsidP="001A5D4A">
            <w:pPr>
              <w:pStyle w:val="NotesTable-CellPlain"/>
            </w:pPr>
            <w:r>
              <w:t>–</w:t>
            </w:r>
          </w:p>
        </w:tc>
      </w:tr>
      <w:tr w:rsidR="00B25F05" w14:paraId="038A544F" w14:textId="42783C54" w:rsidTr="004B7414">
        <w:trPr>
          <w:cantSplit/>
          <w:trHeight w:val="255"/>
        </w:trPr>
        <w:tc>
          <w:tcPr>
            <w:tcW w:w="532" w:type="pct"/>
            <w:tcBorders>
              <w:right w:val="single" w:sz="8" w:space="0" w:color="CDCDCD"/>
            </w:tcBorders>
          </w:tcPr>
          <w:p w14:paraId="038A5446" w14:textId="77777777" w:rsidR="000D65C6" w:rsidRDefault="000D65C6" w:rsidP="001A5D4A">
            <w:pPr>
              <w:pStyle w:val="Note-Refs"/>
              <w:rPr>
                <w:b/>
              </w:rPr>
            </w:pPr>
            <w:r>
              <w:t>C = A + B</w:t>
            </w:r>
          </w:p>
        </w:tc>
        <w:tc>
          <w:tcPr>
            <w:tcW w:w="1223" w:type="pct"/>
            <w:tcBorders>
              <w:left w:val="single" w:sz="8" w:space="0" w:color="CDCDCD"/>
            </w:tcBorders>
            <w:shd w:val="clear" w:color="auto" w:fill="CCCCCC"/>
          </w:tcPr>
          <w:p w14:paraId="038A5447" w14:textId="77777777" w:rsidR="000D65C6" w:rsidRDefault="000D65C6" w:rsidP="001A5D4A">
            <w:pPr>
              <w:pStyle w:val="NotesTable-ItemPlain"/>
              <w:rPr>
                <w:b/>
              </w:rPr>
            </w:pPr>
            <w:r>
              <w:t>Revenue for the period</w:t>
            </w:r>
          </w:p>
        </w:tc>
        <w:tc>
          <w:tcPr>
            <w:tcW w:w="291" w:type="pct"/>
            <w:shd w:val="clear" w:color="auto" w:fill="CCCCCC"/>
            <w:vAlign w:val="bottom"/>
          </w:tcPr>
          <w:p w14:paraId="038A5448" w14:textId="77777777" w:rsidR="000D65C6" w:rsidRDefault="000D65C6" w:rsidP="001A5D4A">
            <w:pPr>
              <w:pStyle w:val="NotesTable-Notes"/>
            </w:pPr>
            <w:r>
              <w:t>3(g)(iii)</w:t>
            </w:r>
          </w:p>
        </w:tc>
        <w:tc>
          <w:tcPr>
            <w:tcW w:w="295" w:type="pct"/>
            <w:tcBorders>
              <w:top w:val="single" w:sz="4" w:space="0" w:color="000000"/>
            </w:tcBorders>
            <w:shd w:val="clear" w:color="auto" w:fill="CCCCCC"/>
          </w:tcPr>
          <w:p w14:paraId="038A5449" w14:textId="77777777" w:rsidR="000D65C6" w:rsidRDefault="000D65C6" w:rsidP="001A5D4A">
            <w:pPr>
              <w:pStyle w:val="NotesTable-CellBold"/>
            </w:pPr>
            <w:r>
              <w:t>–</w:t>
            </w:r>
          </w:p>
        </w:tc>
        <w:tc>
          <w:tcPr>
            <w:tcW w:w="296" w:type="pct"/>
            <w:tcBorders>
              <w:top w:val="single" w:sz="4" w:space="0" w:color="000000"/>
            </w:tcBorders>
            <w:shd w:val="clear" w:color="auto" w:fill="CCCCCC"/>
          </w:tcPr>
          <w:p w14:paraId="038A544A" w14:textId="77777777" w:rsidR="000D65C6" w:rsidRDefault="000D65C6" w:rsidP="001A5D4A">
            <w:pPr>
              <w:pStyle w:val="NotesTable-CellPlain"/>
            </w:pPr>
            <w:r>
              <w:t>–</w:t>
            </w:r>
          </w:p>
        </w:tc>
        <w:tc>
          <w:tcPr>
            <w:tcW w:w="296" w:type="pct"/>
            <w:tcBorders>
              <w:top w:val="single" w:sz="4" w:space="0" w:color="000000"/>
            </w:tcBorders>
            <w:shd w:val="clear" w:color="auto" w:fill="CCCCCC"/>
          </w:tcPr>
          <w:p w14:paraId="038A544B" w14:textId="77777777" w:rsidR="000D65C6" w:rsidRDefault="000D65C6" w:rsidP="001A5D4A">
            <w:pPr>
              <w:pStyle w:val="NotesTable-CellBold"/>
            </w:pPr>
            <w:r>
              <w:t>–</w:t>
            </w:r>
          </w:p>
        </w:tc>
        <w:tc>
          <w:tcPr>
            <w:tcW w:w="295" w:type="pct"/>
            <w:gridSpan w:val="2"/>
            <w:tcBorders>
              <w:top w:val="single" w:sz="4" w:space="0" w:color="000000"/>
            </w:tcBorders>
            <w:shd w:val="clear" w:color="auto" w:fill="CCCCCC"/>
          </w:tcPr>
          <w:p w14:paraId="038A544C" w14:textId="77777777" w:rsidR="000D65C6" w:rsidRDefault="000D65C6" w:rsidP="001A5D4A">
            <w:pPr>
              <w:pStyle w:val="NotesTable-CellPlain"/>
            </w:pPr>
            <w:r>
              <w:t>–</w:t>
            </w:r>
          </w:p>
        </w:tc>
        <w:tc>
          <w:tcPr>
            <w:tcW w:w="296" w:type="pct"/>
            <w:tcBorders>
              <w:top w:val="single" w:sz="4" w:space="0" w:color="000000"/>
            </w:tcBorders>
            <w:shd w:val="clear" w:color="auto" w:fill="CCCCCC"/>
          </w:tcPr>
          <w:p w14:paraId="038A544D" w14:textId="77777777" w:rsidR="000D65C6" w:rsidRDefault="000D65C6" w:rsidP="001A5D4A">
            <w:pPr>
              <w:pStyle w:val="NotesTable-CellBold"/>
            </w:pPr>
            <w:r>
              <w:t>–</w:t>
            </w:r>
          </w:p>
        </w:tc>
        <w:tc>
          <w:tcPr>
            <w:tcW w:w="296" w:type="pct"/>
            <w:tcBorders>
              <w:top w:val="single" w:sz="4" w:space="0" w:color="auto"/>
              <w:right w:val="single" w:sz="8" w:space="0" w:color="CDCDCD"/>
            </w:tcBorders>
            <w:shd w:val="clear" w:color="auto" w:fill="CCCCCC"/>
          </w:tcPr>
          <w:p w14:paraId="3C2A3583" w14:textId="70C9896A" w:rsidR="000D65C6" w:rsidRDefault="000D65C6" w:rsidP="001A5D4A">
            <w:pPr>
              <w:pStyle w:val="NotesTable-CellPlain"/>
            </w:pPr>
            <w:r>
              <w:t>–</w:t>
            </w:r>
          </w:p>
        </w:tc>
        <w:tc>
          <w:tcPr>
            <w:tcW w:w="295" w:type="pct"/>
            <w:tcBorders>
              <w:top w:val="single" w:sz="4" w:space="0" w:color="auto"/>
              <w:right w:val="single" w:sz="8" w:space="0" w:color="CDCDCD"/>
            </w:tcBorders>
            <w:shd w:val="clear" w:color="auto" w:fill="CCCCCC"/>
          </w:tcPr>
          <w:p w14:paraId="3A53B6A9" w14:textId="0C3731D0" w:rsidR="000D65C6" w:rsidRDefault="000D65C6" w:rsidP="001A5D4A">
            <w:pPr>
              <w:pStyle w:val="NotesTable-CellBold"/>
            </w:pPr>
            <w:r>
              <w:t>–</w:t>
            </w:r>
          </w:p>
        </w:tc>
        <w:tc>
          <w:tcPr>
            <w:tcW w:w="296" w:type="pct"/>
            <w:tcBorders>
              <w:top w:val="single" w:sz="4" w:space="0" w:color="auto"/>
              <w:right w:val="single" w:sz="8" w:space="0" w:color="CDCDCD"/>
            </w:tcBorders>
            <w:shd w:val="clear" w:color="auto" w:fill="CCCCCC"/>
          </w:tcPr>
          <w:p w14:paraId="038A544E" w14:textId="4E13693A" w:rsidR="000D65C6" w:rsidRDefault="000D65C6" w:rsidP="001A5D4A">
            <w:pPr>
              <w:pStyle w:val="NotesTable-CellPlain"/>
            </w:pPr>
            <w:r>
              <w:t>–</w:t>
            </w:r>
          </w:p>
        </w:tc>
        <w:tc>
          <w:tcPr>
            <w:tcW w:w="296" w:type="pct"/>
            <w:tcBorders>
              <w:top w:val="single" w:sz="4" w:space="0" w:color="auto"/>
              <w:right w:val="single" w:sz="8" w:space="0" w:color="CDCDCD"/>
            </w:tcBorders>
            <w:shd w:val="clear" w:color="auto" w:fill="CCCCCC"/>
          </w:tcPr>
          <w:p w14:paraId="2EF82326" w14:textId="56E3DA48" w:rsidR="000D65C6" w:rsidRDefault="000D65C6" w:rsidP="001A5D4A">
            <w:pPr>
              <w:pStyle w:val="NotesTable-CellPlain"/>
            </w:pPr>
            <w:r>
              <w:t>–</w:t>
            </w:r>
          </w:p>
        </w:tc>
        <w:tc>
          <w:tcPr>
            <w:tcW w:w="293" w:type="pct"/>
            <w:tcBorders>
              <w:top w:val="single" w:sz="4" w:space="0" w:color="auto"/>
              <w:right w:val="single" w:sz="8" w:space="0" w:color="CDCDCD"/>
            </w:tcBorders>
            <w:shd w:val="clear" w:color="auto" w:fill="CCCCCC"/>
          </w:tcPr>
          <w:p w14:paraId="19AF4D5E" w14:textId="7E39E74D" w:rsidR="000D65C6" w:rsidRDefault="000D65C6" w:rsidP="001A5D4A">
            <w:pPr>
              <w:pStyle w:val="NotesTable-CellPlain"/>
            </w:pPr>
            <w:r>
              <w:t>–</w:t>
            </w:r>
          </w:p>
        </w:tc>
      </w:tr>
      <w:tr w:rsidR="00B25F05" w14:paraId="038A5459" w14:textId="7537C35F" w:rsidTr="004B7414">
        <w:trPr>
          <w:cantSplit/>
          <w:trHeight w:val="255"/>
        </w:trPr>
        <w:tc>
          <w:tcPr>
            <w:tcW w:w="532" w:type="pct"/>
            <w:tcBorders>
              <w:right w:val="single" w:sz="8" w:space="0" w:color="CDCDCD"/>
            </w:tcBorders>
          </w:tcPr>
          <w:p w14:paraId="038A5450" w14:textId="77777777" w:rsidR="000D65C6" w:rsidRDefault="000D65C6" w:rsidP="001A5D4A">
            <w:pPr>
              <w:pStyle w:val="Note-Refs"/>
            </w:pPr>
          </w:p>
        </w:tc>
        <w:tc>
          <w:tcPr>
            <w:tcW w:w="1223" w:type="pct"/>
            <w:tcBorders>
              <w:left w:val="single" w:sz="8" w:space="0" w:color="CDCDCD"/>
            </w:tcBorders>
            <w:shd w:val="clear" w:color="auto" w:fill="CCCCCC"/>
          </w:tcPr>
          <w:p w14:paraId="038A5451" w14:textId="77777777" w:rsidR="000D65C6" w:rsidRDefault="000D65C6" w:rsidP="001A5D4A">
            <w:pPr>
              <w:pStyle w:val="NotesTable-ItemPlain"/>
            </w:pPr>
          </w:p>
        </w:tc>
        <w:tc>
          <w:tcPr>
            <w:tcW w:w="291" w:type="pct"/>
            <w:shd w:val="clear" w:color="auto" w:fill="CCCCCC"/>
            <w:vAlign w:val="bottom"/>
          </w:tcPr>
          <w:p w14:paraId="038A5452" w14:textId="77777777" w:rsidR="000D65C6" w:rsidRDefault="000D65C6" w:rsidP="001A5D4A">
            <w:pPr>
              <w:pStyle w:val="NotesTable-Notes"/>
            </w:pPr>
          </w:p>
        </w:tc>
        <w:tc>
          <w:tcPr>
            <w:tcW w:w="295" w:type="pct"/>
            <w:shd w:val="clear" w:color="auto" w:fill="CCCCCC"/>
          </w:tcPr>
          <w:p w14:paraId="038A5453" w14:textId="77777777" w:rsidR="000D65C6" w:rsidRDefault="000D65C6" w:rsidP="001A5D4A">
            <w:pPr>
              <w:pStyle w:val="NotesTable-CellBold"/>
            </w:pPr>
          </w:p>
        </w:tc>
        <w:tc>
          <w:tcPr>
            <w:tcW w:w="296" w:type="pct"/>
            <w:shd w:val="clear" w:color="auto" w:fill="CCCCCC"/>
          </w:tcPr>
          <w:p w14:paraId="038A5454" w14:textId="77777777" w:rsidR="000D65C6" w:rsidRDefault="000D65C6" w:rsidP="001A5D4A">
            <w:pPr>
              <w:pStyle w:val="NotesTable-CellPlain"/>
            </w:pPr>
          </w:p>
        </w:tc>
        <w:tc>
          <w:tcPr>
            <w:tcW w:w="296" w:type="pct"/>
            <w:shd w:val="clear" w:color="auto" w:fill="CCCCCC"/>
          </w:tcPr>
          <w:p w14:paraId="038A5455" w14:textId="77777777" w:rsidR="000D65C6" w:rsidRDefault="000D65C6" w:rsidP="001A5D4A">
            <w:pPr>
              <w:pStyle w:val="NotesTable-CellBold"/>
            </w:pPr>
          </w:p>
        </w:tc>
        <w:tc>
          <w:tcPr>
            <w:tcW w:w="295" w:type="pct"/>
            <w:gridSpan w:val="2"/>
            <w:shd w:val="clear" w:color="auto" w:fill="CCCCCC"/>
          </w:tcPr>
          <w:p w14:paraId="038A5456" w14:textId="77777777" w:rsidR="000D65C6" w:rsidRDefault="000D65C6" w:rsidP="001A5D4A">
            <w:pPr>
              <w:pStyle w:val="NotesTable-CellPlain"/>
            </w:pPr>
          </w:p>
        </w:tc>
        <w:tc>
          <w:tcPr>
            <w:tcW w:w="296" w:type="pct"/>
            <w:shd w:val="clear" w:color="auto" w:fill="CCCCCC"/>
          </w:tcPr>
          <w:p w14:paraId="038A5457" w14:textId="77777777" w:rsidR="000D65C6" w:rsidRDefault="000D65C6" w:rsidP="001A5D4A">
            <w:pPr>
              <w:pStyle w:val="NotesTable-CellBold"/>
            </w:pPr>
          </w:p>
        </w:tc>
        <w:tc>
          <w:tcPr>
            <w:tcW w:w="296" w:type="pct"/>
            <w:tcBorders>
              <w:right w:val="single" w:sz="8" w:space="0" w:color="CDCDCD"/>
            </w:tcBorders>
            <w:shd w:val="clear" w:color="auto" w:fill="CCCCCC"/>
          </w:tcPr>
          <w:p w14:paraId="0CF0384A" w14:textId="77777777" w:rsidR="000D65C6" w:rsidRDefault="000D65C6" w:rsidP="001A5D4A">
            <w:pPr>
              <w:pStyle w:val="NotesTable-CellPlain"/>
            </w:pPr>
          </w:p>
        </w:tc>
        <w:tc>
          <w:tcPr>
            <w:tcW w:w="295" w:type="pct"/>
            <w:tcBorders>
              <w:right w:val="single" w:sz="8" w:space="0" w:color="CDCDCD"/>
            </w:tcBorders>
            <w:shd w:val="clear" w:color="auto" w:fill="CCCCCC"/>
          </w:tcPr>
          <w:p w14:paraId="76AC2221" w14:textId="77777777" w:rsidR="000D65C6" w:rsidRDefault="000D65C6" w:rsidP="001A5D4A">
            <w:pPr>
              <w:pStyle w:val="NotesTable-CellBold"/>
            </w:pPr>
          </w:p>
        </w:tc>
        <w:tc>
          <w:tcPr>
            <w:tcW w:w="296" w:type="pct"/>
            <w:tcBorders>
              <w:right w:val="single" w:sz="8" w:space="0" w:color="CDCDCD"/>
            </w:tcBorders>
            <w:shd w:val="clear" w:color="auto" w:fill="CCCCCC"/>
          </w:tcPr>
          <w:p w14:paraId="038A5458" w14:textId="4EB1900E" w:rsidR="000D65C6" w:rsidRDefault="000D65C6" w:rsidP="001A5D4A">
            <w:pPr>
              <w:pStyle w:val="NotesTable-CellPlain"/>
            </w:pPr>
          </w:p>
        </w:tc>
        <w:tc>
          <w:tcPr>
            <w:tcW w:w="296" w:type="pct"/>
            <w:tcBorders>
              <w:right w:val="single" w:sz="8" w:space="0" w:color="CDCDCD"/>
            </w:tcBorders>
            <w:shd w:val="clear" w:color="auto" w:fill="CCCCCC"/>
          </w:tcPr>
          <w:p w14:paraId="66CBD22B" w14:textId="77777777" w:rsidR="000D65C6" w:rsidRDefault="000D65C6" w:rsidP="001A5D4A">
            <w:pPr>
              <w:pStyle w:val="NotesTable-CellPlain"/>
            </w:pPr>
          </w:p>
        </w:tc>
        <w:tc>
          <w:tcPr>
            <w:tcW w:w="293" w:type="pct"/>
            <w:tcBorders>
              <w:right w:val="single" w:sz="8" w:space="0" w:color="CDCDCD"/>
            </w:tcBorders>
            <w:shd w:val="clear" w:color="auto" w:fill="CCCCCC"/>
          </w:tcPr>
          <w:p w14:paraId="774F0480" w14:textId="1853ED85" w:rsidR="000D65C6" w:rsidRDefault="000D65C6" w:rsidP="001A5D4A">
            <w:pPr>
              <w:pStyle w:val="NotesTable-CellPlain"/>
            </w:pPr>
          </w:p>
        </w:tc>
      </w:tr>
      <w:tr w:rsidR="00B25F05" w14:paraId="038A5463" w14:textId="2D6C9F68" w:rsidTr="004B7414">
        <w:trPr>
          <w:cantSplit/>
          <w:trHeight w:val="255"/>
        </w:trPr>
        <w:tc>
          <w:tcPr>
            <w:tcW w:w="532" w:type="pct"/>
            <w:tcBorders>
              <w:right w:val="single" w:sz="8" w:space="0" w:color="CDCDCD"/>
            </w:tcBorders>
          </w:tcPr>
          <w:p w14:paraId="038A545A" w14:textId="77777777" w:rsidR="000D65C6" w:rsidRDefault="000D65C6" w:rsidP="001A5D4A">
            <w:pPr>
              <w:pStyle w:val="Note-Refs"/>
            </w:pPr>
            <w:r>
              <w:t>D</w:t>
            </w:r>
          </w:p>
        </w:tc>
        <w:tc>
          <w:tcPr>
            <w:tcW w:w="1223" w:type="pct"/>
            <w:tcBorders>
              <w:left w:val="single" w:sz="8" w:space="0" w:color="CDCDCD"/>
            </w:tcBorders>
            <w:shd w:val="clear" w:color="auto" w:fill="CCCCCC"/>
          </w:tcPr>
          <w:p w14:paraId="038A545B" w14:textId="77777777" w:rsidR="000D65C6" w:rsidRDefault="000D65C6" w:rsidP="001A5D4A">
            <w:pPr>
              <w:pStyle w:val="NotesTable-ItemPlain"/>
              <w:rPr>
                <w:b/>
              </w:rPr>
            </w:pPr>
            <w:r>
              <w:t>Surplus / (deficit) from the previous year</w:t>
            </w:r>
          </w:p>
        </w:tc>
        <w:tc>
          <w:tcPr>
            <w:tcW w:w="291" w:type="pct"/>
            <w:shd w:val="clear" w:color="auto" w:fill="CCCCCC"/>
            <w:vAlign w:val="bottom"/>
          </w:tcPr>
          <w:p w14:paraId="038A545C" w14:textId="77777777" w:rsidR="000D65C6" w:rsidRDefault="000D65C6" w:rsidP="001A5D4A">
            <w:pPr>
              <w:pStyle w:val="NotesTable-Notes"/>
            </w:pPr>
          </w:p>
        </w:tc>
        <w:tc>
          <w:tcPr>
            <w:tcW w:w="295" w:type="pct"/>
            <w:tcBorders>
              <w:bottom w:val="single" w:sz="4" w:space="0" w:color="000000"/>
            </w:tcBorders>
            <w:shd w:val="clear" w:color="auto" w:fill="CCCCCC"/>
            <w:vAlign w:val="bottom"/>
          </w:tcPr>
          <w:p w14:paraId="038A545D" w14:textId="77777777" w:rsidR="000D65C6" w:rsidRDefault="000D65C6" w:rsidP="001A5D4A">
            <w:pPr>
              <w:pStyle w:val="NotesTable-CellBold"/>
            </w:pPr>
            <w:r>
              <w:t>–</w:t>
            </w:r>
          </w:p>
        </w:tc>
        <w:tc>
          <w:tcPr>
            <w:tcW w:w="296" w:type="pct"/>
            <w:tcBorders>
              <w:bottom w:val="single" w:sz="4" w:space="0" w:color="000000"/>
            </w:tcBorders>
            <w:shd w:val="clear" w:color="auto" w:fill="CCCCCC"/>
            <w:vAlign w:val="bottom"/>
          </w:tcPr>
          <w:p w14:paraId="038A545E" w14:textId="77777777" w:rsidR="000D65C6" w:rsidRDefault="000D65C6" w:rsidP="001A5D4A">
            <w:pPr>
              <w:pStyle w:val="NotesTable-CellPlain"/>
            </w:pPr>
            <w:r>
              <w:t>–</w:t>
            </w:r>
          </w:p>
        </w:tc>
        <w:tc>
          <w:tcPr>
            <w:tcW w:w="296" w:type="pct"/>
            <w:tcBorders>
              <w:bottom w:val="single" w:sz="4" w:space="0" w:color="000000"/>
            </w:tcBorders>
            <w:shd w:val="clear" w:color="auto" w:fill="CCCCCC"/>
            <w:vAlign w:val="bottom"/>
          </w:tcPr>
          <w:p w14:paraId="038A545F" w14:textId="77777777" w:rsidR="000D65C6" w:rsidRDefault="000D65C6" w:rsidP="001A5D4A">
            <w:pPr>
              <w:pStyle w:val="NotesTable-CellBold"/>
            </w:pPr>
            <w:r>
              <w:t>–</w:t>
            </w:r>
          </w:p>
        </w:tc>
        <w:tc>
          <w:tcPr>
            <w:tcW w:w="295" w:type="pct"/>
            <w:gridSpan w:val="2"/>
            <w:tcBorders>
              <w:bottom w:val="single" w:sz="4" w:space="0" w:color="000000"/>
            </w:tcBorders>
            <w:shd w:val="clear" w:color="auto" w:fill="CCCCCC"/>
            <w:vAlign w:val="bottom"/>
          </w:tcPr>
          <w:p w14:paraId="038A5460" w14:textId="77777777" w:rsidR="000D65C6" w:rsidRDefault="000D65C6" w:rsidP="001A5D4A">
            <w:pPr>
              <w:pStyle w:val="NotesTable-CellPlain"/>
            </w:pPr>
            <w:r>
              <w:t>–</w:t>
            </w:r>
          </w:p>
        </w:tc>
        <w:tc>
          <w:tcPr>
            <w:tcW w:w="296" w:type="pct"/>
            <w:tcBorders>
              <w:bottom w:val="single" w:sz="4" w:space="0" w:color="000000"/>
            </w:tcBorders>
            <w:shd w:val="clear" w:color="auto" w:fill="CCCCCC"/>
            <w:vAlign w:val="bottom"/>
          </w:tcPr>
          <w:p w14:paraId="038A5461" w14:textId="77777777"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vAlign w:val="bottom"/>
          </w:tcPr>
          <w:p w14:paraId="18BB8A49" w14:textId="25A29015" w:rsidR="000D65C6" w:rsidRDefault="000D65C6" w:rsidP="001A5D4A">
            <w:pPr>
              <w:pStyle w:val="NotesTable-CellPlain"/>
            </w:pPr>
            <w:r>
              <w:t>–</w:t>
            </w:r>
          </w:p>
        </w:tc>
        <w:tc>
          <w:tcPr>
            <w:tcW w:w="295" w:type="pct"/>
            <w:tcBorders>
              <w:bottom w:val="single" w:sz="4" w:space="0" w:color="auto"/>
              <w:right w:val="single" w:sz="8" w:space="0" w:color="CDCDCD"/>
            </w:tcBorders>
            <w:shd w:val="clear" w:color="auto" w:fill="CCCCCC"/>
            <w:vAlign w:val="bottom"/>
          </w:tcPr>
          <w:p w14:paraId="6DB4DDE5" w14:textId="660D459A"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vAlign w:val="bottom"/>
          </w:tcPr>
          <w:p w14:paraId="038A5462" w14:textId="1C0ADD49" w:rsidR="000D65C6" w:rsidRDefault="000D65C6" w:rsidP="001A5D4A">
            <w:pPr>
              <w:pStyle w:val="NotesTable-CellPlain"/>
            </w:pPr>
            <w:r>
              <w:t>–</w:t>
            </w:r>
          </w:p>
        </w:tc>
        <w:tc>
          <w:tcPr>
            <w:tcW w:w="296" w:type="pct"/>
            <w:tcBorders>
              <w:bottom w:val="single" w:sz="4" w:space="0" w:color="auto"/>
              <w:right w:val="single" w:sz="8" w:space="0" w:color="CDCDCD"/>
            </w:tcBorders>
            <w:shd w:val="clear" w:color="auto" w:fill="CCCCCC"/>
            <w:vAlign w:val="bottom"/>
          </w:tcPr>
          <w:p w14:paraId="77086692" w14:textId="0E6B6B70" w:rsidR="000D65C6" w:rsidRDefault="000D65C6" w:rsidP="001A5D4A">
            <w:pPr>
              <w:pStyle w:val="NotesTable-CellPlain"/>
            </w:pPr>
            <w:r>
              <w:t>–</w:t>
            </w:r>
          </w:p>
        </w:tc>
        <w:tc>
          <w:tcPr>
            <w:tcW w:w="293" w:type="pct"/>
            <w:tcBorders>
              <w:bottom w:val="single" w:sz="4" w:space="0" w:color="auto"/>
              <w:right w:val="single" w:sz="8" w:space="0" w:color="CDCDCD"/>
            </w:tcBorders>
            <w:shd w:val="clear" w:color="auto" w:fill="CCCCCC"/>
            <w:vAlign w:val="bottom"/>
          </w:tcPr>
          <w:p w14:paraId="3B2C2AD4" w14:textId="4A0561E8" w:rsidR="000D65C6" w:rsidRDefault="000D65C6" w:rsidP="001A5D4A">
            <w:pPr>
              <w:pStyle w:val="NotesTable-CellPlain"/>
            </w:pPr>
            <w:r>
              <w:t>–</w:t>
            </w:r>
          </w:p>
        </w:tc>
      </w:tr>
      <w:tr w:rsidR="00B25F05" w14:paraId="038A546D" w14:textId="2873DCE3" w:rsidTr="004B7414">
        <w:trPr>
          <w:cantSplit/>
          <w:trHeight w:val="255"/>
        </w:trPr>
        <w:tc>
          <w:tcPr>
            <w:tcW w:w="532" w:type="pct"/>
            <w:tcBorders>
              <w:right w:val="single" w:sz="8" w:space="0" w:color="CDCDCD"/>
            </w:tcBorders>
          </w:tcPr>
          <w:p w14:paraId="038A5464" w14:textId="77777777" w:rsidR="000D65C6" w:rsidRDefault="000D65C6" w:rsidP="001A5D4A">
            <w:pPr>
              <w:pStyle w:val="Note-Refs"/>
              <w:rPr>
                <w:b/>
              </w:rPr>
            </w:pPr>
            <w:r>
              <w:t>E = C + D</w:t>
            </w:r>
          </w:p>
        </w:tc>
        <w:tc>
          <w:tcPr>
            <w:tcW w:w="1223" w:type="pct"/>
            <w:tcBorders>
              <w:left w:val="single" w:sz="8" w:space="0" w:color="CDCDCD"/>
            </w:tcBorders>
            <w:shd w:val="clear" w:color="auto" w:fill="CCCCCC"/>
          </w:tcPr>
          <w:p w14:paraId="038A5465" w14:textId="77777777" w:rsidR="000D65C6" w:rsidRDefault="000D65C6" w:rsidP="001A5D4A">
            <w:pPr>
              <w:pStyle w:val="NotesTable-ItemPlain"/>
              <w:rPr>
                <w:b/>
              </w:rPr>
            </w:pPr>
            <w:r>
              <w:t>Total revenue including accrued revenue</w:t>
            </w:r>
          </w:p>
        </w:tc>
        <w:tc>
          <w:tcPr>
            <w:tcW w:w="291" w:type="pct"/>
            <w:shd w:val="clear" w:color="auto" w:fill="CCCCCC"/>
            <w:vAlign w:val="bottom"/>
          </w:tcPr>
          <w:p w14:paraId="038A5466" w14:textId="77777777" w:rsidR="000D65C6" w:rsidRDefault="000D65C6" w:rsidP="001A5D4A">
            <w:pPr>
              <w:pStyle w:val="NotesTable-Notes"/>
            </w:pPr>
          </w:p>
        </w:tc>
        <w:tc>
          <w:tcPr>
            <w:tcW w:w="295" w:type="pct"/>
            <w:tcBorders>
              <w:top w:val="single" w:sz="4" w:space="0" w:color="000000"/>
            </w:tcBorders>
            <w:shd w:val="clear" w:color="auto" w:fill="CCCCCC"/>
          </w:tcPr>
          <w:p w14:paraId="038A5467" w14:textId="77777777" w:rsidR="000D65C6" w:rsidRDefault="000D65C6" w:rsidP="001A5D4A">
            <w:pPr>
              <w:pStyle w:val="NotesTable-CellBold"/>
            </w:pPr>
            <w:r>
              <w:t>–</w:t>
            </w:r>
          </w:p>
        </w:tc>
        <w:tc>
          <w:tcPr>
            <w:tcW w:w="296" w:type="pct"/>
            <w:tcBorders>
              <w:top w:val="single" w:sz="4" w:space="0" w:color="000000"/>
            </w:tcBorders>
            <w:shd w:val="clear" w:color="auto" w:fill="CCCCCC"/>
          </w:tcPr>
          <w:p w14:paraId="038A5468" w14:textId="77777777" w:rsidR="000D65C6" w:rsidRDefault="000D65C6" w:rsidP="001A5D4A">
            <w:pPr>
              <w:pStyle w:val="NotesTable-CellPlain"/>
            </w:pPr>
            <w:r>
              <w:t>–</w:t>
            </w:r>
          </w:p>
        </w:tc>
        <w:tc>
          <w:tcPr>
            <w:tcW w:w="296" w:type="pct"/>
            <w:tcBorders>
              <w:top w:val="single" w:sz="4" w:space="0" w:color="000000"/>
            </w:tcBorders>
            <w:shd w:val="clear" w:color="auto" w:fill="CCCCCC"/>
          </w:tcPr>
          <w:p w14:paraId="038A5469" w14:textId="77777777" w:rsidR="000D65C6" w:rsidRDefault="000D65C6" w:rsidP="001A5D4A">
            <w:pPr>
              <w:pStyle w:val="NotesTable-CellBold"/>
            </w:pPr>
            <w:r>
              <w:t>–</w:t>
            </w:r>
          </w:p>
        </w:tc>
        <w:tc>
          <w:tcPr>
            <w:tcW w:w="295" w:type="pct"/>
            <w:gridSpan w:val="2"/>
            <w:tcBorders>
              <w:top w:val="single" w:sz="4" w:space="0" w:color="000000"/>
            </w:tcBorders>
            <w:shd w:val="clear" w:color="auto" w:fill="CCCCCC"/>
          </w:tcPr>
          <w:p w14:paraId="038A546A" w14:textId="77777777" w:rsidR="000D65C6" w:rsidRDefault="000D65C6" w:rsidP="001A5D4A">
            <w:pPr>
              <w:pStyle w:val="NotesTable-CellPlain"/>
            </w:pPr>
            <w:r>
              <w:t>–</w:t>
            </w:r>
          </w:p>
        </w:tc>
        <w:tc>
          <w:tcPr>
            <w:tcW w:w="296" w:type="pct"/>
            <w:tcBorders>
              <w:top w:val="single" w:sz="4" w:space="0" w:color="000000"/>
            </w:tcBorders>
            <w:shd w:val="clear" w:color="auto" w:fill="CCCCCC"/>
          </w:tcPr>
          <w:p w14:paraId="038A546B" w14:textId="77777777" w:rsidR="000D65C6" w:rsidRDefault="000D65C6" w:rsidP="001A5D4A">
            <w:pPr>
              <w:pStyle w:val="NotesTable-CellBold"/>
            </w:pPr>
            <w:r>
              <w:t>–</w:t>
            </w:r>
          </w:p>
        </w:tc>
        <w:tc>
          <w:tcPr>
            <w:tcW w:w="296" w:type="pct"/>
            <w:tcBorders>
              <w:top w:val="single" w:sz="4" w:space="0" w:color="auto"/>
              <w:right w:val="single" w:sz="8" w:space="0" w:color="CDCDCD"/>
            </w:tcBorders>
            <w:shd w:val="clear" w:color="auto" w:fill="CCCCCC"/>
          </w:tcPr>
          <w:p w14:paraId="28FB59B7" w14:textId="2568F1C0" w:rsidR="000D65C6" w:rsidRDefault="000D65C6" w:rsidP="001A5D4A">
            <w:pPr>
              <w:pStyle w:val="NotesTable-CellPlain"/>
            </w:pPr>
            <w:r>
              <w:t>–</w:t>
            </w:r>
          </w:p>
        </w:tc>
        <w:tc>
          <w:tcPr>
            <w:tcW w:w="295" w:type="pct"/>
            <w:tcBorders>
              <w:top w:val="single" w:sz="4" w:space="0" w:color="auto"/>
              <w:right w:val="single" w:sz="8" w:space="0" w:color="CDCDCD"/>
            </w:tcBorders>
            <w:shd w:val="clear" w:color="auto" w:fill="CCCCCC"/>
          </w:tcPr>
          <w:p w14:paraId="4DAD9314" w14:textId="33D0960C" w:rsidR="000D65C6" w:rsidRDefault="000D65C6" w:rsidP="001A5D4A">
            <w:pPr>
              <w:pStyle w:val="NotesTable-CellBold"/>
            </w:pPr>
            <w:r>
              <w:t>–</w:t>
            </w:r>
          </w:p>
        </w:tc>
        <w:tc>
          <w:tcPr>
            <w:tcW w:w="296" w:type="pct"/>
            <w:tcBorders>
              <w:top w:val="single" w:sz="4" w:space="0" w:color="auto"/>
              <w:right w:val="single" w:sz="8" w:space="0" w:color="CDCDCD"/>
            </w:tcBorders>
            <w:shd w:val="clear" w:color="auto" w:fill="CCCCCC"/>
          </w:tcPr>
          <w:p w14:paraId="038A546C" w14:textId="650FDD40" w:rsidR="000D65C6" w:rsidRDefault="000D65C6" w:rsidP="001A5D4A">
            <w:pPr>
              <w:pStyle w:val="NotesTable-CellPlain"/>
            </w:pPr>
            <w:r>
              <w:t>–</w:t>
            </w:r>
          </w:p>
        </w:tc>
        <w:tc>
          <w:tcPr>
            <w:tcW w:w="296" w:type="pct"/>
            <w:tcBorders>
              <w:top w:val="single" w:sz="4" w:space="0" w:color="auto"/>
              <w:right w:val="single" w:sz="8" w:space="0" w:color="CDCDCD"/>
            </w:tcBorders>
            <w:shd w:val="clear" w:color="auto" w:fill="CCCCCC"/>
          </w:tcPr>
          <w:p w14:paraId="52B5DA92" w14:textId="4B89E04A" w:rsidR="000D65C6" w:rsidRDefault="000D65C6" w:rsidP="001A5D4A">
            <w:pPr>
              <w:pStyle w:val="NotesTable-CellPlain"/>
            </w:pPr>
            <w:r>
              <w:t>–</w:t>
            </w:r>
          </w:p>
        </w:tc>
        <w:tc>
          <w:tcPr>
            <w:tcW w:w="293" w:type="pct"/>
            <w:tcBorders>
              <w:top w:val="single" w:sz="4" w:space="0" w:color="auto"/>
              <w:right w:val="single" w:sz="8" w:space="0" w:color="CDCDCD"/>
            </w:tcBorders>
            <w:shd w:val="clear" w:color="auto" w:fill="CCCCCC"/>
          </w:tcPr>
          <w:p w14:paraId="7FEDAA15" w14:textId="036E5D04" w:rsidR="000D65C6" w:rsidRDefault="000D65C6" w:rsidP="001A5D4A">
            <w:pPr>
              <w:pStyle w:val="NotesTable-CellPlain"/>
            </w:pPr>
            <w:r>
              <w:t>–</w:t>
            </w:r>
          </w:p>
        </w:tc>
      </w:tr>
      <w:tr w:rsidR="00B25F05" w14:paraId="038A5477" w14:textId="5BA2DB9E" w:rsidTr="004B7414">
        <w:trPr>
          <w:cantSplit/>
          <w:trHeight w:val="255"/>
        </w:trPr>
        <w:tc>
          <w:tcPr>
            <w:tcW w:w="532" w:type="pct"/>
            <w:tcBorders>
              <w:right w:val="single" w:sz="8" w:space="0" w:color="CDCDCD"/>
            </w:tcBorders>
          </w:tcPr>
          <w:p w14:paraId="038A546E" w14:textId="77777777" w:rsidR="000D65C6" w:rsidRDefault="000D65C6" w:rsidP="001A5D4A">
            <w:pPr>
              <w:pStyle w:val="Note-Refs"/>
            </w:pPr>
            <w:r>
              <w:t>F</w:t>
            </w:r>
          </w:p>
        </w:tc>
        <w:tc>
          <w:tcPr>
            <w:tcW w:w="1223" w:type="pct"/>
            <w:tcBorders>
              <w:left w:val="single" w:sz="8" w:space="0" w:color="CDCDCD"/>
            </w:tcBorders>
            <w:shd w:val="clear" w:color="auto" w:fill="CCCCCC"/>
          </w:tcPr>
          <w:p w14:paraId="038A546F" w14:textId="77777777" w:rsidR="000D65C6" w:rsidRDefault="000D65C6" w:rsidP="001A5D4A">
            <w:pPr>
              <w:pStyle w:val="NotesTable-ItemPlain"/>
              <w:rPr>
                <w:b/>
              </w:rPr>
            </w:pPr>
            <w:r>
              <w:t>Less expenses including accrued expenses</w:t>
            </w:r>
          </w:p>
        </w:tc>
        <w:tc>
          <w:tcPr>
            <w:tcW w:w="291" w:type="pct"/>
            <w:shd w:val="clear" w:color="auto" w:fill="CCCCCC"/>
            <w:vAlign w:val="bottom"/>
          </w:tcPr>
          <w:p w14:paraId="038A5470" w14:textId="77777777" w:rsidR="000D65C6" w:rsidRDefault="000D65C6" w:rsidP="001A5D4A">
            <w:pPr>
              <w:pStyle w:val="NotesTable-Notes"/>
            </w:pPr>
          </w:p>
        </w:tc>
        <w:tc>
          <w:tcPr>
            <w:tcW w:w="295" w:type="pct"/>
            <w:tcBorders>
              <w:bottom w:val="single" w:sz="4" w:space="0" w:color="auto"/>
            </w:tcBorders>
            <w:shd w:val="clear" w:color="auto" w:fill="CCCCCC"/>
          </w:tcPr>
          <w:p w14:paraId="038A5471" w14:textId="77777777" w:rsidR="000D65C6" w:rsidRDefault="000D65C6" w:rsidP="001A5D4A">
            <w:pPr>
              <w:pStyle w:val="NotesTable-CellBold"/>
            </w:pPr>
            <w:r>
              <w:t>–</w:t>
            </w:r>
          </w:p>
        </w:tc>
        <w:tc>
          <w:tcPr>
            <w:tcW w:w="296" w:type="pct"/>
            <w:tcBorders>
              <w:bottom w:val="single" w:sz="4" w:space="0" w:color="auto"/>
            </w:tcBorders>
            <w:shd w:val="clear" w:color="auto" w:fill="CCCCCC"/>
          </w:tcPr>
          <w:p w14:paraId="038A5472" w14:textId="77777777" w:rsidR="000D65C6" w:rsidRDefault="000D65C6" w:rsidP="001A5D4A">
            <w:pPr>
              <w:pStyle w:val="NotesTable-CellPlain"/>
            </w:pPr>
            <w:r>
              <w:t>–</w:t>
            </w:r>
          </w:p>
        </w:tc>
        <w:tc>
          <w:tcPr>
            <w:tcW w:w="296" w:type="pct"/>
            <w:tcBorders>
              <w:bottom w:val="single" w:sz="4" w:space="0" w:color="auto"/>
            </w:tcBorders>
            <w:shd w:val="clear" w:color="auto" w:fill="CCCCCC"/>
          </w:tcPr>
          <w:p w14:paraId="038A5473" w14:textId="77777777" w:rsidR="000D65C6" w:rsidRDefault="000D65C6" w:rsidP="001A5D4A">
            <w:pPr>
              <w:pStyle w:val="NotesTable-CellBold"/>
            </w:pPr>
            <w:r>
              <w:t>–</w:t>
            </w:r>
          </w:p>
        </w:tc>
        <w:tc>
          <w:tcPr>
            <w:tcW w:w="295" w:type="pct"/>
            <w:gridSpan w:val="2"/>
            <w:tcBorders>
              <w:bottom w:val="single" w:sz="4" w:space="0" w:color="auto"/>
            </w:tcBorders>
            <w:shd w:val="clear" w:color="auto" w:fill="CCCCCC"/>
          </w:tcPr>
          <w:p w14:paraId="038A5474" w14:textId="77777777" w:rsidR="000D65C6" w:rsidRDefault="000D65C6" w:rsidP="001A5D4A">
            <w:pPr>
              <w:pStyle w:val="NotesTable-CellPlain"/>
            </w:pPr>
            <w:r>
              <w:t>–</w:t>
            </w:r>
          </w:p>
        </w:tc>
        <w:tc>
          <w:tcPr>
            <w:tcW w:w="296" w:type="pct"/>
            <w:tcBorders>
              <w:bottom w:val="single" w:sz="4" w:space="0" w:color="auto"/>
            </w:tcBorders>
            <w:shd w:val="clear" w:color="auto" w:fill="CCCCCC"/>
          </w:tcPr>
          <w:p w14:paraId="038A5475" w14:textId="77777777"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tcPr>
          <w:p w14:paraId="6ADD6544" w14:textId="180613BF" w:rsidR="000D65C6" w:rsidRDefault="000D65C6" w:rsidP="001A5D4A">
            <w:pPr>
              <w:pStyle w:val="NotesTable-CellPlain"/>
            </w:pPr>
            <w:r>
              <w:t>–</w:t>
            </w:r>
          </w:p>
        </w:tc>
        <w:tc>
          <w:tcPr>
            <w:tcW w:w="295" w:type="pct"/>
            <w:tcBorders>
              <w:bottom w:val="single" w:sz="4" w:space="0" w:color="auto"/>
              <w:right w:val="single" w:sz="8" w:space="0" w:color="CDCDCD"/>
            </w:tcBorders>
            <w:shd w:val="clear" w:color="auto" w:fill="CCCCCC"/>
          </w:tcPr>
          <w:p w14:paraId="4A82E367" w14:textId="3066CE8B" w:rsidR="000D65C6" w:rsidRDefault="000D65C6" w:rsidP="001A5D4A">
            <w:pPr>
              <w:pStyle w:val="NotesTable-CellBold"/>
            </w:pPr>
            <w:r>
              <w:t>–</w:t>
            </w:r>
          </w:p>
        </w:tc>
        <w:tc>
          <w:tcPr>
            <w:tcW w:w="296" w:type="pct"/>
            <w:tcBorders>
              <w:bottom w:val="single" w:sz="4" w:space="0" w:color="auto"/>
              <w:right w:val="single" w:sz="8" w:space="0" w:color="CDCDCD"/>
            </w:tcBorders>
            <w:shd w:val="clear" w:color="auto" w:fill="CCCCCC"/>
          </w:tcPr>
          <w:p w14:paraId="038A5476" w14:textId="3CBFB1D1" w:rsidR="000D65C6" w:rsidRDefault="000D65C6" w:rsidP="001A5D4A">
            <w:pPr>
              <w:pStyle w:val="NotesTable-CellPlain"/>
            </w:pPr>
            <w:r>
              <w:t>–</w:t>
            </w:r>
          </w:p>
        </w:tc>
        <w:tc>
          <w:tcPr>
            <w:tcW w:w="296" w:type="pct"/>
            <w:tcBorders>
              <w:bottom w:val="single" w:sz="4" w:space="0" w:color="auto"/>
              <w:right w:val="single" w:sz="8" w:space="0" w:color="CDCDCD"/>
            </w:tcBorders>
            <w:shd w:val="clear" w:color="auto" w:fill="CCCCCC"/>
          </w:tcPr>
          <w:p w14:paraId="64F87E90" w14:textId="3BF305AC" w:rsidR="000D65C6" w:rsidRDefault="000D65C6" w:rsidP="001A5D4A">
            <w:pPr>
              <w:pStyle w:val="NotesTable-CellPlain"/>
            </w:pPr>
            <w:r>
              <w:t>–</w:t>
            </w:r>
          </w:p>
        </w:tc>
        <w:tc>
          <w:tcPr>
            <w:tcW w:w="293" w:type="pct"/>
            <w:tcBorders>
              <w:bottom w:val="single" w:sz="4" w:space="0" w:color="auto"/>
              <w:right w:val="single" w:sz="8" w:space="0" w:color="CDCDCD"/>
            </w:tcBorders>
            <w:shd w:val="clear" w:color="auto" w:fill="CCCCCC"/>
          </w:tcPr>
          <w:p w14:paraId="11D01D22" w14:textId="752D5932" w:rsidR="000D65C6" w:rsidRDefault="000D65C6" w:rsidP="001A5D4A">
            <w:pPr>
              <w:pStyle w:val="NotesTable-CellPlain"/>
            </w:pPr>
            <w:r>
              <w:t>–</w:t>
            </w:r>
          </w:p>
        </w:tc>
      </w:tr>
      <w:tr w:rsidR="00B25F05" w14:paraId="038A5481" w14:textId="77FA67EE" w:rsidTr="004B7414">
        <w:trPr>
          <w:cantSplit/>
          <w:trHeight w:val="255"/>
        </w:trPr>
        <w:tc>
          <w:tcPr>
            <w:tcW w:w="532" w:type="pct"/>
            <w:tcBorders>
              <w:right w:val="single" w:sz="8" w:space="0" w:color="CDCDCD"/>
            </w:tcBorders>
          </w:tcPr>
          <w:p w14:paraId="038A5478" w14:textId="77777777" w:rsidR="000D65C6" w:rsidRDefault="000D65C6" w:rsidP="001A5D4A">
            <w:pPr>
              <w:pStyle w:val="Note-Refs"/>
              <w:rPr>
                <w:b/>
              </w:rPr>
            </w:pPr>
            <w:r>
              <w:t>G = E – F</w:t>
            </w:r>
          </w:p>
        </w:tc>
        <w:tc>
          <w:tcPr>
            <w:tcW w:w="1223" w:type="pct"/>
            <w:tcBorders>
              <w:left w:val="single" w:sz="8" w:space="0" w:color="CDCDCD"/>
            </w:tcBorders>
            <w:shd w:val="clear" w:color="auto" w:fill="CCCCCC"/>
          </w:tcPr>
          <w:p w14:paraId="038A5479" w14:textId="77777777" w:rsidR="000D65C6" w:rsidRDefault="000D65C6" w:rsidP="001A5D4A">
            <w:pPr>
              <w:pStyle w:val="NotesTable-ItemPlain"/>
              <w:rPr>
                <w:b/>
              </w:rPr>
            </w:pPr>
            <w:r>
              <w:t>Surplus / (deficit) for reporting period</w:t>
            </w:r>
          </w:p>
        </w:tc>
        <w:tc>
          <w:tcPr>
            <w:tcW w:w="291" w:type="pct"/>
            <w:shd w:val="clear" w:color="auto" w:fill="CCCCCC"/>
          </w:tcPr>
          <w:p w14:paraId="038A547A" w14:textId="77777777" w:rsidR="000D65C6" w:rsidRDefault="000D65C6" w:rsidP="001A5D4A">
            <w:pPr>
              <w:pStyle w:val="NotesTable-Notes"/>
            </w:pPr>
          </w:p>
        </w:tc>
        <w:tc>
          <w:tcPr>
            <w:tcW w:w="295" w:type="pct"/>
            <w:tcBorders>
              <w:top w:val="single" w:sz="4" w:space="0" w:color="auto"/>
              <w:bottom w:val="single" w:sz="4" w:space="0" w:color="auto"/>
            </w:tcBorders>
            <w:shd w:val="clear" w:color="auto" w:fill="CCCCCC"/>
            <w:vAlign w:val="bottom"/>
          </w:tcPr>
          <w:p w14:paraId="038A547B" w14:textId="77777777" w:rsidR="000D65C6" w:rsidRDefault="000D65C6" w:rsidP="001A5D4A">
            <w:pPr>
              <w:pStyle w:val="NotesTable-CellBold"/>
            </w:pPr>
            <w:r>
              <w:t>–</w:t>
            </w:r>
          </w:p>
        </w:tc>
        <w:tc>
          <w:tcPr>
            <w:tcW w:w="296" w:type="pct"/>
            <w:tcBorders>
              <w:top w:val="single" w:sz="4" w:space="0" w:color="auto"/>
              <w:bottom w:val="single" w:sz="4" w:space="0" w:color="auto"/>
            </w:tcBorders>
            <w:shd w:val="clear" w:color="auto" w:fill="CCCCCC"/>
            <w:vAlign w:val="bottom"/>
          </w:tcPr>
          <w:p w14:paraId="038A547C" w14:textId="77777777" w:rsidR="000D65C6" w:rsidRDefault="000D65C6" w:rsidP="001A5D4A">
            <w:pPr>
              <w:pStyle w:val="NotesTable-CellPlain"/>
            </w:pPr>
            <w:r>
              <w:t>–</w:t>
            </w:r>
          </w:p>
        </w:tc>
        <w:tc>
          <w:tcPr>
            <w:tcW w:w="296" w:type="pct"/>
            <w:tcBorders>
              <w:top w:val="single" w:sz="4" w:space="0" w:color="auto"/>
              <w:bottom w:val="single" w:sz="4" w:space="0" w:color="auto"/>
            </w:tcBorders>
            <w:shd w:val="clear" w:color="auto" w:fill="CCCCCC"/>
            <w:vAlign w:val="bottom"/>
          </w:tcPr>
          <w:p w14:paraId="038A547D" w14:textId="77777777" w:rsidR="000D65C6" w:rsidRDefault="000D65C6" w:rsidP="001A5D4A">
            <w:pPr>
              <w:pStyle w:val="NotesTable-CellBold"/>
            </w:pPr>
            <w:r>
              <w:t>–</w:t>
            </w:r>
          </w:p>
        </w:tc>
        <w:tc>
          <w:tcPr>
            <w:tcW w:w="295" w:type="pct"/>
            <w:gridSpan w:val="2"/>
            <w:tcBorders>
              <w:top w:val="single" w:sz="4" w:space="0" w:color="auto"/>
              <w:bottom w:val="single" w:sz="4" w:space="0" w:color="auto"/>
            </w:tcBorders>
            <w:shd w:val="clear" w:color="auto" w:fill="CCCCCC"/>
            <w:vAlign w:val="bottom"/>
          </w:tcPr>
          <w:p w14:paraId="038A547E" w14:textId="77777777" w:rsidR="000D65C6" w:rsidRDefault="000D65C6" w:rsidP="001A5D4A">
            <w:pPr>
              <w:pStyle w:val="NotesTable-CellPlain"/>
            </w:pPr>
            <w:r>
              <w:t>–</w:t>
            </w:r>
          </w:p>
        </w:tc>
        <w:tc>
          <w:tcPr>
            <w:tcW w:w="296" w:type="pct"/>
            <w:tcBorders>
              <w:top w:val="single" w:sz="4" w:space="0" w:color="auto"/>
              <w:bottom w:val="single" w:sz="4" w:space="0" w:color="auto"/>
            </w:tcBorders>
            <w:shd w:val="clear" w:color="auto" w:fill="CCCCCC"/>
            <w:vAlign w:val="bottom"/>
          </w:tcPr>
          <w:p w14:paraId="038A547F" w14:textId="77777777" w:rsidR="000D65C6" w:rsidRDefault="000D65C6" w:rsidP="001A5D4A">
            <w:pPr>
              <w:pStyle w:val="NotesTable-CellBold"/>
            </w:pPr>
            <w:r>
              <w:t>–</w:t>
            </w:r>
          </w:p>
        </w:tc>
        <w:tc>
          <w:tcPr>
            <w:tcW w:w="296" w:type="pct"/>
            <w:tcBorders>
              <w:top w:val="single" w:sz="4" w:space="0" w:color="auto"/>
              <w:bottom w:val="single" w:sz="4" w:space="0" w:color="auto"/>
              <w:right w:val="single" w:sz="8" w:space="0" w:color="CDCDCD"/>
            </w:tcBorders>
            <w:shd w:val="clear" w:color="auto" w:fill="CCCCCC"/>
            <w:vAlign w:val="bottom"/>
          </w:tcPr>
          <w:p w14:paraId="464C9261" w14:textId="1EFDFDEC" w:rsidR="000D65C6" w:rsidRDefault="000D65C6" w:rsidP="001A5D4A">
            <w:pPr>
              <w:pStyle w:val="NotesTable-CellPlain"/>
            </w:pPr>
            <w:r>
              <w:t>–</w:t>
            </w:r>
          </w:p>
        </w:tc>
        <w:tc>
          <w:tcPr>
            <w:tcW w:w="295" w:type="pct"/>
            <w:tcBorders>
              <w:top w:val="single" w:sz="4" w:space="0" w:color="auto"/>
              <w:bottom w:val="single" w:sz="4" w:space="0" w:color="auto"/>
              <w:right w:val="single" w:sz="8" w:space="0" w:color="CDCDCD"/>
            </w:tcBorders>
            <w:shd w:val="clear" w:color="auto" w:fill="CCCCCC"/>
            <w:vAlign w:val="bottom"/>
          </w:tcPr>
          <w:p w14:paraId="029872C7" w14:textId="0A37BF9F" w:rsidR="000D65C6" w:rsidRDefault="000D65C6" w:rsidP="001A5D4A">
            <w:pPr>
              <w:pStyle w:val="NotesTable-CellBold"/>
            </w:pPr>
            <w:r>
              <w:t>–</w:t>
            </w:r>
          </w:p>
        </w:tc>
        <w:tc>
          <w:tcPr>
            <w:tcW w:w="296" w:type="pct"/>
            <w:tcBorders>
              <w:top w:val="single" w:sz="4" w:space="0" w:color="auto"/>
              <w:bottom w:val="single" w:sz="4" w:space="0" w:color="auto"/>
              <w:right w:val="single" w:sz="8" w:space="0" w:color="CDCDCD"/>
            </w:tcBorders>
            <w:shd w:val="clear" w:color="auto" w:fill="CCCCCC"/>
            <w:vAlign w:val="bottom"/>
          </w:tcPr>
          <w:p w14:paraId="038A5480" w14:textId="4F428ED3" w:rsidR="000D65C6" w:rsidRDefault="000D65C6" w:rsidP="001A5D4A">
            <w:pPr>
              <w:pStyle w:val="NotesTable-CellPlain"/>
            </w:pPr>
            <w:r>
              <w:t>–</w:t>
            </w:r>
          </w:p>
        </w:tc>
        <w:tc>
          <w:tcPr>
            <w:tcW w:w="296" w:type="pct"/>
            <w:tcBorders>
              <w:top w:val="single" w:sz="4" w:space="0" w:color="auto"/>
              <w:bottom w:val="single" w:sz="4" w:space="0" w:color="auto"/>
              <w:right w:val="single" w:sz="8" w:space="0" w:color="CDCDCD"/>
            </w:tcBorders>
            <w:shd w:val="clear" w:color="auto" w:fill="CCCCCC"/>
            <w:vAlign w:val="bottom"/>
          </w:tcPr>
          <w:p w14:paraId="1CE37898" w14:textId="67C3B877" w:rsidR="000D65C6" w:rsidRDefault="000D65C6" w:rsidP="001A5D4A">
            <w:pPr>
              <w:pStyle w:val="NotesTable-CellPlain"/>
            </w:pPr>
            <w:r>
              <w:t>–</w:t>
            </w:r>
          </w:p>
        </w:tc>
        <w:tc>
          <w:tcPr>
            <w:tcW w:w="293" w:type="pct"/>
            <w:tcBorders>
              <w:top w:val="single" w:sz="4" w:space="0" w:color="auto"/>
              <w:bottom w:val="single" w:sz="4" w:space="0" w:color="auto"/>
              <w:right w:val="single" w:sz="8" w:space="0" w:color="CDCDCD"/>
            </w:tcBorders>
            <w:shd w:val="clear" w:color="auto" w:fill="CCCCCC"/>
            <w:vAlign w:val="bottom"/>
          </w:tcPr>
          <w:p w14:paraId="5C7219B5" w14:textId="5A889D3F" w:rsidR="000D65C6" w:rsidRDefault="000D65C6" w:rsidP="001A5D4A">
            <w:pPr>
              <w:pStyle w:val="NotesTable-CellPlain"/>
            </w:pPr>
            <w:r>
              <w:t>–</w:t>
            </w:r>
          </w:p>
        </w:tc>
      </w:tr>
      <w:tr w:rsidR="00B25F05" w14:paraId="038A548B" w14:textId="20512586" w:rsidTr="004B7414">
        <w:trPr>
          <w:cantSplit/>
          <w:trHeight w:val="255"/>
        </w:trPr>
        <w:tc>
          <w:tcPr>
            <w:tcW w:w="532" w:type="pct"/>
            <w:tcBorders>
              <w:right w:val="single" w:sz="8" w:space="0" w:color="CDCDCD"/>
            </w:tcBorders>
          </w:tcPr>
          <w:p w14:paraId="038A5482" w14:textId="77777777" w:rsidR="000D65C6" w:rsidRDefault="000D65C6" w:rsidP="001A5D4A">
            <w:pPr>
              <w:pStyle w:val="Note-Refs"/>
            </w:pPr>
          </w:p>
        </w:tc>
        <w:tc>
          <w:tcPr>
            <w:tcW w:w="1223" w:type="pct"/>
            <w:tcBorders>
              <w:left w:val="single" w:sz="8" w:space="0" w:color="CDCDCD"/>
              <w:bottom w:val="single" w:sz="8" w:space="0" w:color="CDCDCD"/>
            </w:tcBorders>
            <w:shd w:val="clear" w:color="auto" w:fill="CCCCCC"/>
          </w:tcPr>
          <w:p w14:paraId="038A5483" w14:textId="77777777" w:rsidR="000D65C6" w:rsidRDefault="000D65C6" w:rsidP="001A5D4A">
            <w:pPr>
              <w:pStyle w:val="NotesTable-ItemPlain"/>
            </w:pPr>
          </w:p>
        </w:tc>
        <w:tc>
          <w:tcPr>
            <w:tcW w:w="291" w:type="pct"/>
            <w:tcBorders>
              <w:bottom w:val="single" w:sz="8" w:space="0" w:color="CDCDCD"/>
            </w:tcBorders>
            <w:shd w:val="clear" w:color="auto" w:fill="CCCCCC"/>
          </w:tcPr>
          <w:p w14:paraId="038A5484" w14:textId="77777777" w:rsidR="000D65C6" w:rsidRDefault="000D65C6" w:rsidP="001A5D4A">
            <w:pPr>
              <w:pStyle w:val="NotesTable-Notes"/>
            </w:pPr>
          </w:p>
        </w:tc>
        <w:tc>
          <w:tcPr>
            <w:tcW w:w="295" w:type="pct"/>
            <w:tcBorders>
              <w:top w:val="single" w:sz="4" w:space="0" w:color="auto"/>
              <w:bottom w:val="single" w:sz="8" w:space="0" w:color="CDCDCD"/>
            </w:tcBorders>
            <w:shd w:val="clear" w:color="auto" w:fill="CCCCCC"/>
            <w:vAlign w:val="bottom"/>
          </w:tcPr>
          <w:p w14:paraId="038A5485" w14:textId="77777777" w:rsidR="000D65C6" w:rsidRDefault="000D65C6" w:rsidP="001A5D4A">
            <w:pPr>
              <w:pStyle w:val="NotesTable-CellBold"/>
            </w:pPr>
          </w:p>
        </w:tc>
        <w:tc>
          <w:tcPr>
            <w:tcW w:w="296" w:type="pct"/>
            <w:tcBorders>
              <w:top w:val="single" w:sz="4" w:space="0" w:color="auto"/>
              <w:bottom w:val="single" w:sz="8" w:space="0" w:color="CDCDCD"/>
            </w:tcBorders>
            <w:shd w:val="clear" w:color="auto" w:fill="CCCCCC"/>
            <w:vAlign w:val="bottom"/>
          </w:tcPr>
          <w:p w14:paraId="038A5486" w14:textId="77777777" w:rsidR="000D65C6" w:rsidRDefault="000D65C6" w:rsidP="001A5D4A">
            <w:pPr>
              <w:pStyle w:val="NotesTable-CellPlain"/>
            </w:pPr>
          </w:p>
        </w:tc>
        <w:tc>
          <w:tcPr>
            <w:tcW w:w="296" w:type="pct"/>
            <w:tcBorders>
              <w:top w:val="single" w:sz="4" w:space="0" w:color="auto"/>
              <w:bottom w:val="single" w:sz="8" w:space="0" w:color="CDCDCD"/>
            </w:tcBorders>
            <w:shd w:val="clear" w:color="auto" w:fill="CCCCCC"/>
            <w:vAlign w:val="bottom"/>
          </w:tcPr>
          <w:p w14:paraId="038A5487" w14:textId="77777777" w:rsidR="000D65C6" w:rsidRDefault="000D65C6" w:rsidP="001A5D4A">
            <w:pPr>
              <w:pStyle w:val="NotesTable-CellBold"/>
            </w:pPr>
          </w:p>
        </w:tc>
        <w:tc>
          <w:tcPr>
            <w:tcW w:w="295" w:type="pct"/>
            <w:gridSpan w:val="2"/>
            <w:tcBorders>
              <w:top w:val="single" w:sz="4" w:space="0" w:color="auto"/>
              <w:bottom w:val="single" w:sz="8" w:space="0" w:color="CDCDCD"/>
            </w:tcBorders>
            <w:shd w:val="clear" w:color="auto" w:fill="CCCCCC"/>
            <w:vAlign w:val="bottom"/>
          </w:tcPr>
          <w:p w14:paraId="038A5488" w14:textId="77777777" w:rsidR="000D65C6" w:rsidRDefault="000D65C6" w:rsidP="001A5D4A">
            <w:pPr>
              <w:pStyle w:val="NotesTable-CellPlain"/>
            </w:pPr>
          </w:p>
        </w:tc>
        <w:tc>
          <w:tcPr>
            <w:tcW w:w="296" w:type="pct"/>
            <w:tcBorders>
              <w:top w:val="single" w:sz="4" w:space="0" w:color="auto"/>
              <w:bottom w:val="single" w:sz="8" w:space="0" w:color="CDCDCD"/>
            </w:tcBorders>
            <w:shd w:val="clear" w:color="auto" w:fill="CCCCCC"/>
            <w:vAlign w:val="bottom"/>
          </w:tcPr>
          <w:p w14:paraId="038A5489" w14:textId="77777777" w:rsidR="000D65C6" w:rsidRDefault="000D65C6" w:rsidP="001A5D4A">
            <w:pPr>
              <w:pStyle w:val="NotesTable-CellBold"/>
            </w:pPr>
          </w:p>
        </w:tc>
        <w:tc>
          <w:tcPr>
            <w:tcW w:w="296" w:type="pct"/>
            <w:tcBorders>
              <w:top w:val="single" w:sz="4" w:space="0" w:color="auto"/>
              <w:bottom w:val="single" w:sz="8" w:space="0" w:color="CDCDCD"/>
              <w:right w:val="single" w:sz="8" w:space="0" w:color="CDCDCD"/>
            </w:tcBorders>
            <w:shd w:val="clear" w:color="auto" w:fill="CCCCCC"/>
            <w:vAlign w:val="bottom"/>
          </w:tcPr>
          <w:p w14:paraId="31A1C2D5" w14:textId="77777777" w:rsidR="000D65C6" w:rsidRDefault="000D65C6" w:rsidP="001A5D4A">
            <w:pPr>
              <w:pStyle w:val="NotesTable-CellPlain"/>
            </w:pPr>
          </w:p>
        </w:tc>
        <w:tc>
          <w:tcPr>
            <w:tcW w:w="295" w:type="pct"/>
            <w:tcBorders>
              <w:top w:val="single" w:sz="4" w:space="0" w:color="auto"/>
              <w:bottom w:val="single" w:sz="8" w:space="0" w:color="CDCDCD"/>
              <w:right w:val="single" w:sz="8" w:space="0" w:color="CDCDCD"/>
            </w:tcBorders>
            <w:shd w:val="clear" w:color="auto" w:fill="CCCCCC"/>
            <w:vAlign w:val="bottom"/>
          </w:tcPr>
          <w:p w14:paraId="25BC2BAA" w14:textId="19C4ACC4" w:rsidR="000D65C6" w:rsidRDefault="000D65C6" w:rsidP="001A5D4A">
            <w:pPr>
              <w:pStyle w:val="NotesTable-CellPlain"/>
            </w:pPr>
          </w:p>
        </w:tc>
        <w:tc>
          <w:tcPr>
            <w:tcW w:w="296" w:type="pct"/>
            <w:tcBorders>
              <w:top w:val="single" w:sz="4" w:space="0" w:color="auto"/>
              <w:bottom w:val="single" w:sz="8" w:space="0" w:color="CDCDCD"/>
              <w:right w:val="single" w:sz="8" w:space="0" w:color="CDCDCD"/>
            </w:tcBorders>
            <w:shd w:val="clear" w:color="auto" w:fill="CCCCCC"/>
          </w:tcPr>
          <w:p w14:paraId="038A548A" w14:textId="700C0FBD" w:rsidR="000D65C6" w:rsidRDefault="000D65C6" w:rsidP="001A5D4A">
            <w:pPr>
              <w:pStyle w:val="NotesTable-CellPlain"/>
            </w:pPr>
          </w:p>
        </w:tc>
        <w:tc>
          <w:tcPr>
            <w:tcW w:w="296" w:type="pct"/>
            <w:tcBorders>
              <w:top w:val="single" w:sz="4" w:space="0" w:color="auto"/>
              <w:bottom w:val="single" w:sz="8" w:space="0" w:color="CDCDCD"/>
              <w:right w:val="single" w:sz="8" w:space="0" w:color="CDCDCD"/>
            </w:tcBorders>
            <w:shd w:val="clear" w:color="auto" w:fill="CCCCCC"/>
            <w:vAlign w:val="bottom"/>
          </w:tcPr>
          <w:p w14:paraId="6FA84F54" w14:textId="77777777" w:rsidR="000D65C6" w:rsidRDefault="000D65C6" w:rsidP="001A5D4A">
            <w:pPr>
              <w:pStyle w:val="NotesTable-CellPlain"/>
            </w:pPr>
          </w:p>
        </w:tc>
        <w:tc>
          <w:tcPr>
            <w:tcW w:w="293" w:type="pct"/>
            <w:tcBorders>
              <w:top w:val="single" w:sz="4" w:space="0" w:color="auto"/>
              <w:bottom w:val="single" w:sz="8" w:space="0" w:color="CDCDCD"/>
              <w:right w:val="single" w:sz="8" w:space="0" w:color="CDCDCD"/>
            </w:tcBorders>
            <w:shd w:val="clear" w:color="auto" w:fill="CCCCCC"/>
            <w:vAlign w:val="bottom"/>
          </w:tcPr>
          <w:p w14:paraId="64194751" w14:textId="54CDA10D" w:rsidR="000D65C6" w:rsidRDefault="000D65C6" w:rsidP="001A5D4A">
            <w:pPr>
              <w:pStyle w:val="NotesTable-CellPlain"/>
            </w:pPr>
          </w:p>
        </w:tc>
      </w:tr>
    </w:tbl>
    <w:p w14:paraId="038A548C" w14:textId="77777777" w:rsidR="00023312" w:rsidRPr="006D022E" w:rsidRDefault="00023312" w:rsidP="001A5D4A"/>
    <w:p w14:paraId="038A548D" w14:textId="77777777" w:rsidR="00E20FF4" w:rsidRPr="006D022E" w:rsidRDefault="00E20FF4" w:rsidP="001A5D4A">
      <w:pPr>
        <w:sectPr w:rsidR="00E20FF4" w:rsidRPr="006D022E">
          <w:headerReference w:type="even" r:id="rId39"/>
          <w:headerReference w:type="default" r:id="rId40"/>
          <w:footerReference w:type="even" r:id="rId41"/>
          <w:headerReference w:type="first" r:id="rId42"/>
          <w:footerReference w:type="first" r:id="rId43"/>
          <w:pgSz w:w="16837" w:h="11905" w:orient="landscape"/>
          <w:pgMar w:top="1141" w:right="255" w:bottom="1084" w:left="1094" w:header="851" w:footer="794" w:gutter="0"/>
          <w:cols w:space="720"/>
          <w:docGrid w:linePitch="360"/>
        </w:sectPr>
      </w:pPr>
    </w:p>
    <w:tbl>
      <w:tblPr>
        <w:tblW w:w="5000" w:type="pct"/>
        <w:tblCellMar>
          <w:left w:w="0" w:type="dxa"/>
          <w:right w:w="0" w:type="dxa"/>
        </w:tblCellMar>
        <w:tblLook w:val="0000" w:firstRow="0" w:lastRow="0" w:firstColumn="0" w:lastColumn="0" w:noHBand="0" w:noVBand="0"/>
      </w:tblPr>
      <w:tblGrid>
        <w:gridCol w:w="1467"/>
        <w:gridCol w:w="3782"/>
        <w:gridCol w:w="1176"/>
        <w:gridCol w:w="744"/>
        <w:gridCol w:w="991"/>
        <w:gridCol w:w="870"/>
      </w:tblGrid>
      <w:tr w:rsidR="004B7414" w14:paraId="038A5492" w14:textId="77777777" w:rsidTr="004B7414">
        <w:trPr>
          <w:cantSplit/>
          <w:trHeight w:val="290"/>
        </w:trPr>
        <w:tc>
          <w:tcPr>
            <w:tcW w:w="5000" w:type="pct"/>
            <w:gridSpan w:val="6"/>
            <w:tcBorders>
              <w:right w:val="single" w:sz="4" w:space="0" w:color="C0C0C0"/>
            </w:tcBorders>
            <w:shd w:val="clear" w:color="auto" w:fill="auto"/>
          </w:tcPr>
          <w:p w14:paraId="038A5491" w14:textId="4578CA5D" w:rsidR="004B7414" w:rsidRPr="004B7414" w:rsidRDefault="004B7414" w:rsidP="004B7414">
            <w:pPr>
              <w:pStyle w:val="TOC3"/>
              <w:ind w:left="0"/>
            </w:pPr>
            <w:r w:rsidRPr="006D022E">
              <w:lastRenderedPageBreak/>
              <w:t>Note 53</w:t>
            </w:r>
            <w:r>
              <w:t xml:space="preserve">. </w:t>
            </w:r>
            <w:r w:rsidRPr="006D022E">
              <w:t>Acquittal of Australian Government financial assistance (continued)</w:t>
            </w:r>
          </w:p>
        </w:tc>
      </w:tr>
      <w:tr w:rsidR="004B7414" w14:paraId="32DC4D02" w14:textId="77777777" w:rsidTr="004B7414">
        <w:trPr>
          <w:cantSplit/>
          <w:trHeight w:val="210"/>
        </w:trPr>
        <w:tc>
          <w:tcPr>
            <w:tcW w:w="812" w:type="pct"/>
          </w:tcPr>
          <w:p w14:paraId="0BD6CCAD" w14:textId="029CE927" w:rsidR="004B7414" w:rsidRPr="004B7414" w:rsidRDefault="004B7414" w:rsidP="004B7414">
            <w:pPr>
              <w:pStyle w:val="Note-Refs"/>
              <w:rPr>
                <w:b/>
              </w:rPr>
            </w:pPr>
            <w:r>
              <w:t>MANDATORY</w:t>
            </w:r>
          </w:p>
        </w:tc>
        <w:tc>
          <w:tcPr>
            <w:tcW w:w="2094" w:type="pct"/>
            <w:tcBorders>
              <w:right w:val="single" w:sz="4" w:space="0" w:color="C0C0C0"/>
            </w:tcBorders>
            <w:shd w:val="clear" w:color="auto" w:fill="CCCCCC"/>
          </w:tcPr>
          <w:p w14:paraId="4A76B162" w14:textId="77777777" w:rsidR="004B7414" w:rsidRDefault="004B7414" w:rsidP="004B7414">
            <w:pPr>
              <w:pStyle w:val="Note-Table1"/>
              <w:ind w:left="0" w:firstLine="0"/>
            </w:pPr>
          </w:p>
        </w:tc>
        <w:tc>
          <w:tcPr>
            <w:tcW w:w="2094" w:type="pct"/>
            <w:gridSpan w:val="4"/>
            <w:tcBorders>
              <w:right w:val="single" w:sz="4" w:space="0" w:color="C0C0C0"/>
            </w:tcBorders>
            <w:shd w:val="clear" w:color="auto" w:fill="CCCCCC"/>
          </w:tcPr>
          <w:p w14:paraId="467FE0B5" w14:textId="77777777" w:rsidR="004B7414" w:rsidRDefault="004B7414" w:rsidP="001A5D4A">
            <w:pPr>
              <w:pStyle w:val="NotesTable-HeadBold"/>
            </w:pPr>
          </w:p>
        </w:tc>
      </w:tr>
      <w:tr w:rsidR="00051ABF" w14:paraId="038A5496" w14:textId="77777777" w:rsidTr="00261A68">
        <w:trPr>
          <w:cantSplit/>
          <w:trHeight w:val="290"/>
        </w:trPr>
        <w:tc>
          <w:tcPr>
            <w:tcW w:w="812" w:type="pct"/>
          </w:tcPr>
          <w:p w14:paraId="038A5493" w14:textId="34322407" w:rsidR="00051ABF" w:rsidRPr="004B7414" w:rsidRDefault="004B7414" w:rsidP="001A5D4A">
            <w:pPr>
              <w:pStyle w:val="Note-Refs"/>
              <w:rPr>
                <w:b/>
              </w:rPr>
            </w:pPr>
            <w:r>
              <w:t>EDUCATION</w:t>
            </w:r>
          </w:p>
        </w:tc>
        <w:tc>
          <w:tcPr>
            <w:tcW w:w="2094" w:type="pct"/>
            <w:tcBorders>
              <w:right w:val="single" w:sz="4" w:space="0" w:color="C0C0C0"/>
            </w:tcBorders>
            <w:shd w:val="clear" w:color="auto" w:fill="CCCCCC"/>
          </w:tcPr>
          <w:p w14:paraId="038A5494" w14:textId="77777777" w:rsidR="00051ABF" w:rsidRDefault="00051ABF" w:rsidP="001A5D4A">
            <w:pPr>
              <w:pStyle w:val="NotesTable-HeadBold"/>
            </w:pPr>
          </w:p>
        </w:tc>
        <w:tc>
          <w:tcPr>
            <w:tcW w:w="2094" w:type="pct"/>
            <w:gridSpan w:val="4"/>
            <w:tcBorders>
              <w:right w:val="single" w:sz="4" w:space="0" w:color="C0C0C0"/>
            </w:tcBorders>
            <w:shd w:val="clear" w:color="auto" w:fill="CCCCCC"/>
          </w:tcPr>
          <w:p w14:paraId="038A5495" w14:textId="77777777" w:rsidR="00051ABF" w:rsidRDefault="00051ABF" w:rsidP="001A5D4A">
            <w:pPr>
              <w:pStyle w:val="NotesTable-HeadBold"/>
              <w:rPr>
                <w:sz w:val="28"/>
                <w:szCs w:val="28"/>
              </w:rPr>
            </w:pPr>
            <w:r>
              <w:t>Parent entity (HEP) ONLY</w:t>
            </w:r>
          </w:p>
        </w:tc>
      </w:tr>
      <w:tr w:rsidR="00DE76B1" w14:paraId="038A549C" w14:textId="77777777" w:rsidTr="004B7414">
        <w:trPr>
          <w:cantSplit/>
          <w:trHeight w:val="207"/>
        </w:trPr>
        <w:tc>
          <w:tcPr>
            <w:tcW w:w="812" w:type="pct"/>
          </w:tcPr>
          <w:p w14:paraId="038A5497" w14:textId="77777777" w:rsidR="00DE76B1" w:rsidRDefault="00DE76B1" w:rsidP="001A5D4A">
            <w:pPr>
              <w:pStyle w:val="Note-Refs"/>
            </w:pPr>
          </w:p>
        </w:tc>
        <w:tc>
          <w:tcPr>
            <w:tcW w:w="2745" w:type="pct"/>
            <w:gridSpan w:val="2"/>
            <w:shd w:val="clear" w:color="auto" w:fill="CCCCCC"/>
          </w:tcPr>
          <w:p w14:paraId="038A5498" w14:textId="663002A2" w:rsidR="00DE76B1" w:rsidRPr="0074467D" w:rsidRDefault="00F67F7F" w:rsidP="001A5D4A">
            <w:pPr>
              <w:pStyle w:val="NotesTable-ItemBold"/>
            </w:pPr>
            <w:r>
              <w:t>5</w:t>
            </w:r>
            <w:r w:rsidR="007E133A">
              <w:t>3</w:t>
            </w:r>
            <w:r>
              <w:t>h</w:t>
            </w:r>
            <w:r w:rsidR="00DE76B1" w:rsidRPr="0074467D">
              <w:t xml:space="preserve"> OS-HELP</w:t>
            </w:r>
          </w:p>
        </w:tc>
        <w:tc>
          <w:tcPr>
            <w:tcW w:w="412" w:type="pct"/>
            <w:shd w:val="clear" w:color="auto" w:fill="CCCCCC"/>
          </w:tcPr>
          <w:p w14:paraId="038A5499" w14:textId="77777777" w:rsidR="00DE76B1" w:rsidRDefault="00DE76B1" w:rsidP="001A5D4A">
            <w:pPr>
              <w:pStyle w:val="NotesTable-Notes"/>
            </w:pPr>
            <w:r>
              <w:t>Notes</w:t>
            </w:r>
          </w:p>
        </w:tc>
        <w:tc>
          <w:tcPr>
            <w:tcW w:w="549" w:type="pct"/>
            <w:shd w:val="clear" w:color="auto" w:fill="CCCCCC"/>
          </w:tcPr>
          <w:p w14:paraId="038A549A" w14:textId="584469FE" w:rsidR="00DE76B1" w:rsidRDefault="006864EC" w:rsidP="001A5D4A">
            <w:pPr>
              <w:pStyle w:val="NotesTable-HeadBold"/>
            </w:pPr>
            <w:r>
              <w:t>2014</w:t>
            </w:r>
          </w:p>
        </w:tc>
        <w:tc>
          <w:tcPr>
            <w:tcW w:w="482" w:type="pct"/>
            <w:shd w:val="clear" w:color="auto" w:fill="CCCCCC"/>
          </w:tcPr>
          <w:p w14:paraId="038A549B" w14:textId="53A30D17" w:rsidR="00DE76B1" w:rsidRDefault="006864EC" w:rsidP="001A5D4A">
            <w:pPr>
              <w:pStyle w:val="NotesTable-HeadPlain"/>
            </w:pPr>
            <w:r>
              <w:t>2013</w:t>
            </w:r>
          </w:p>
        </w:tc>
      </w:tr>
      <w:tr w:rsidR="00DE76B1" w14:paraId="038A54A2" w14:textId="77777777" w:rsidTr="004B7414">
        <w:trPr>
          <w:cantSplit/>
          <w:trHeight w:val="207"/>
        </w:trPr>
        <w:tc>
          <w:tcPr>
            <w:tcW w:w="812" w:type="pct"/>
          </w:tcPr>
          <w:p w14:paraId="038A549D" w14:textId="77777777" w:rsidR="00DE76B1" w:rsidRDefault="00DE76B1" w:rsidP="001A5D4A">
            <w:pPr>
              <w:pStyle w:val="Note-Refs"/>
            </w:pPr>
          </w:p>
        </w:tc>
        <w:tc>
          <w:tcPr>
            <w:tcW w:w="2745" w:type="pct"/>
            <w:gridSpan w:val="2"/>
            <w:shd w:val="clear" w:color="auto" w:fill="CCCCCC"/>
          </w:tcPr>
          <w:p w14:paraId="038A549E" w14:textId="77777777" w:rsidR="00DE76B1" w:rsidRDefault="00DE76B1" w:rsidP="001A5D4A">
            <w:pPr>
              <w:pStyle w:val="NotesTable-ItemPlain"/>
            </w:pPr>
          </w:p>
        </w:tc>
        <w:tc>
          <w:tcPr>
            <w:tcW w:w="412" w:type="pct"/>
            <w:shd w:val="clear" w:color="auto" w:fill="CCCCCC"/>
            <w:vAlign w:val="bottom"/>
          </w:tcPr>
          <w:p w14:paraId="038A549F" w14:textId="77777777" w:rsidR="00DE76B1" w:rsidRDefault="00DE76B1" w:rsidP="001A5D4A">
            <w:pPr>
              <w:pStyle w:val="NotesTable-Notes"/>
            </w:pPr>
          </w:p>
        </w:tc>
        <w:tc>
          <w:tcPr>
            <w:tcW w:w="549" w:type="pct"/>
            <w:shd w:val="clear" w:color="auto" w:fill="CCCCCC"/>
          </w:tcPr>
          <w:p w14:paraId="038A54A0" w14:textId="77777777" w:rsidR="00DE76B1" w:rsidRDefault="00DE76B1" w:rsidP="001A5D4A">
            <w:pPr>
              <w:pStyle w:val="NotesTable-HeadBold"/>
            </w:pPr>
            <w:r>
              <w:t>$’000</w:t>
            </w:r>
          </w:p>
        </w:tc>
        <w:tc>
          <w:tcPr>
            <w:tcW w:w="482" w:type="pct"/>
            <w:shd w:val="clear" w:color="auto" w:fill="CCCCCC"/>
          </w:tcPr>
          <w:p w14:paraId="038A54A1" w14:textId="77777777" w:rsidR="00DE76B1" w:rsidRDefault="00DE76B1" w:rsidP="001A5D4A">
            <w:pPr>
              <w:pStyle w:val="NotesTable-HeadPlain"/>
            </w:pPr>
            <w:r>
              <w:t>$’000</w:t>
            </w:r>
          </w:p>
        </w:tc>
      </w:tr>
      <w:tr w:rsidR="00DE76B1" w14:paraId="038A54A8" w14:textId="77777777" w:rsidTr="004B7414">
        <w:trPr>
          <w:cantSplit/>
          <w:trHeight w:val="207"/>
        </w:trPr>
        <w:tc>
          <w:tcPr>
            <w:tcW w:w="812" w:type="pct"/>
          </w:tcPr>
          <w:p w14:paraId="038A54A3" w14:textId="77777777" w:rsidR="00DE76B1" w:rsidRDefault="00DE76B1" w:rsidP="001A5D4A">
            <w:pPr>
              <w:pStyle w:val="Note-Refs"/>
            </w:pPr>
            <w:r>
              <w:t>A</w:t>
            </w:r>
          </w:p>
        </w:tc>
        <w:tc>
          <w:tcPr>
            <w:tcW w:w="2745" w:type="pct"/>
            <w:gridSpan w:val="2"/>
            <w:shd w:val="clear" w:color="auto" w:fill="CCCCCC"/>
          </w:tcPr>
          <w:p w14:paraId="038A54A4" w14:textId="77777777" w:rsidR="00DE76B1" w:rsidRDefault="00DE76B1" w:rsidP="001A5D4A">
            <w:pPr>
              <w:pStyle w:val="NotesTable-ItemPlain"/>
              <w:rPr>
                <w:b/>
              </w:rPr>
            </w:pPr>
            <w:r>
              <w:t>Cash Received during the reporting period</w:t>
            </w:r>
          </w:p>
        </w:tc>
        <w:tc>
          <w:tcPr>
            <w:tcW w:w="412" w:type="pct"/>
            <w:shd w:val="clear" w:color="auto" w:fill="CCCCCC"/>
            <w:vAlign w:val="bottom"/>
          </w:tcPr>
          <w:p w14:paraId="038A54A5" w14:textId="77777777" w:rsidR="00DE76B1" w:rsidRDefault="00DE76B1" w:rsidP="001A5D4A">
            <w:pPr>
              <w:pStyle w:val="NotesTable-Notes"/>
            </w:pPr>
          </w:p>
        </w:tc>
        <w:tc>
          <w:tcPr>
            <w:tcW w:w="549" w:type="pct"/>
            <w:shd w:val="clear" w:color="auto" w:fill="CCCCCC"/>
          </w:tcPr>
          <w:p w14:paraId="038A54A6" w14:textId="77777777" w:rsidR="00DE76B1" w:rsidRDefault="00DE76B1" w:rsidP="001A5D4A">
            <w:pPr>
              <w:pStyle w:val="NotesTable-CellBold"/>
            </w:pPr>
            <w:r>
              <w:t>–</w:t>
            </w:r>
          </w:p>
        </w:tc>
        <w:tc>
          <w:tcPr>
            <w:tcW w:w="482" w:type="pct"/>
            <w:shd w:val="clear" w:color="auto" w:fill="CCCCCC"/>
          </w:tcPr>
          <w:p w14:paraId="038A54A7" w14:textId="77777777" w:rsidR="00DE76B1" w:rsidRDefault="00DE76B1" w:rsidP="001A5D4A">
            <w:pPr>
              <w:pStyle w:val="NotesTable-CellPlain"/>
            </w:pPr>
            <w:r>
              <w:t>–</w:t>
            </w:r>
          </w:p>
        </w:tc>
      </w:tr>
      <w:tr w:rsidR="00DE76B1" w14:paraId="038A54AE" w14:textId="77777777" w:rsidTr="004B7414">
        <w:trPr>
          <w:cantSplit/>
          <w:trHeight w:val="207"/>
        </w:trPr>
        <w:tc>
          <w:tcPr>
            <w:tcW w:w="812" w:type="pct"/>
          </w:tcPr>
          <w:p w14:paraId="038A54A9" w14:textId="77777777" w:rsidR="00DE76B1" w:rsidRDefault="00DE76B1" w:rsidP="001A5D4A">
            <w:pPr>
              <w:pStyle w:val="Note-Refs"/>
            </w:pPr>
            <w:r>
              <w:t>B</w:t>
            </w:r>
          </w:p>
        </w:tc>
        <w:tc>
          <w:tcPr>
            <w:tcW w:w="2745" w:type="pct"/>
            <w:gridSpan w:val="2"/>
            <w:shd w:val="clear" w:color="auto" w:fill="CCCCCC"/>
          </w:tcPr>
          <w:p w14:paraId="038A54AA" w14:textId="77777777" w:rsidR="00DE76B1" w:rsidRDefault="00DE76B1" w:rsidP="001A5D4A">
            <w:pPr>
              <w:pStyle w:val="NotesTable-ItemPlain"/>
              <w:rPr>
                <w:b/>
              </w:rPr>
            </w:pPr>
            <w:r>
              <w:t>Cash Spent during the reporting period</w:t>
            </w:r>
          </w:p>
        </w:tc>
        <w:tc>
          <w:tcPr>
            <w:tcW w:w="412" w:type="pct"/>
            <w:shd w:val="clear" w:color="auto" w:fill="CCCCCC"/>
            <w:vAlign w:val="bottom"/>
          </w:tcPr>
          <w:p w14:paraId="038A54AB" w14:textId="77777777" w:rsidR="00DE76B1" w:rsidRDefault="00DE76B1" w:rsidP="001A5D4A">
            <w:pPr>
              <w:pStyle w:val="NotesTable-Notes"/>
            </w:pPr>
          </w:p>
        </w:tc>
        <w:tc>
          <w:tcPr>
            <w:tcW w:w="549" w:type="pct"/>
            <w:tcBorders>
              <w:bottom w:val="single" w:sz="4" w:space="0" w:color="000000"/>
            </w:tcBorders>
            <w:shd w:val="clear" w:color="auto" w:fill="CCCCCC"/>
          </w:tcPr>
          <w:p w14:paraId="038A54AC" w14:textId="77777777" w:rsidR="00DE76B1" w:rsidRDefault="00DE76B1" w:rsidP="001A5D4A">
            <w:pPr>
              <w:pStyle w:val="NotesTable-CellBold"/>
            </w:pPr>
            <w:r>
              <w:t>–</w:t>
            </w:r>
          </w:p>
        </w:tc>
        <w:tc>
          <w:tcPr>
            <w:tcW w:w="482" w:type="pct"/>
            <w:tcBorders>
              <w:bottom w:val="single" w:sz="4" w:space="0" w:color="000000"/>
            </w:tcBorders>
            <w:shd w:val="clear" w:color="auto" w:fill="CCCCCC"/>
          </w:tcPr>
          <w:p w14:paraId="038A54AD" w14:textId="77777777" w:rsidR="00DE76B1" w:rsidRDefault="00DE76B1" w:rsidP="001A5D4A">
            <w:pPr>
              <w:pStyle w:val="NotesTable-CellPlain"/>
            </w:pPr>
            <w:r>
              <w:t>–</w:t>
            </w:r>
          </w:p>
        </w:tc>
      </w:tr>
      <w:tr w:rsidR="00DE76B1" w14:paraId="038A54B4" w14:textId="77777777" w:rsidTr="004B7414">
        <w:trPr>
          <w:cantSplit/>
          <w:trHeight w:val="224"/>
        </w:trPr>
        <w:tc>
          <w:tcPr>
            <w:tcW w:w="812" w:type="pct"/>
          </w:tcPr>
          <w:p w14:paraId="038A54AF" w14:textId="77777777" w:rsidR="00DE76B1" w:rsidRDefault="00DE76B1" w:rsidP="001A5D4A">
            <w:pPr>
              <w:pStyle w:val="Note-Refs"/>
              <w:rPr>
                <w:b/>
              </w:rPr>
            </w:pPr>
            <w:r>
              <w:t>C = A - B</w:t>
            </w:r>
          </w:p>
        </w:tc>
        <w:tc>
          <w:tcPr>
            <w:tcW w:w="2745" w:type="pct"/>
            <w:gridSpan w:val="2"/>
            <w:shd w:val="clear" w:color="auto" w:fill="CCCCCC"/>
          </w:tcPr>
          <w:p w14:paraId="038A54B0" w14:textId="77777777" w:rsidR="00DE76B1" w:rsidRDefault="00DE76B1" w:rsidP="001A5D4A">
            <w:pPr>
              <w:pStyle w:val="NotesTable-ItemPlain"/>
              <w:rPr>
                <w:b/>
              </w:rPr>
            </w:pPr>
            <w:r>
              <w:t>Net Cash received</w:t>
            </w:r>
          </w:p>
        </w:tc>
        <w:tc>
          <w:tcPr>
            <w:tcW w:w="412" w:type="pct"/>
            <w:shd w:val="clear" w:color="auto" w:fill="CCCCCC"/>
            <w:vAlign w:val="bottom"/>
          </w:tcPr>
          <w:p w14:paraId="038A54B1" w14:textId="77777777" w:rsidR="00DE76B1" w:rsidRDefault="00DE76B1" w:rsidP="001A5D4A">
            <w:pPr>
              <w:pStyle w:val="NotesTable-Notes"/>
            </w:pPr>
            <w:r>
              <w:t>3(i)</w:t>
            </w:r>
          </w:p>
        </w:tc>
        <w:tc>
          <w:tcPr>
            <w:tcW w:w="549" w:type="pct"/>
            <w:tcBorders>
              <w:top w:val="single" w:sz="4" w:space="0" w:color="000000"/>
            </w:tcBorders>
            <w:shd w:val="clear" w:color="auto" w:fill="CCCCCC"/>
          </w:tcPr>
          <w:p w14:paraId="038A54B2" w14:textId="77777777" w:rsidR="00DE76B1" w:rsidRDefault="00DE76B1" w:rsidP="001A5D4A">
            <w:pPr>
              <w:pStyle w:val="NotesTable-CellBold"/>
            </w:pPr>
            <w:r>
              <w:t>–</w:t>
            </w:r>
          </w:p>
        </w:tc>
        <w:tc>
          <w:tcPr>
            <w:tcW w:w="482" w:type="pct"/>
            <w:tcBorders>
              <w:top w:val="single" w:sz="4" w:space="0" w:color="000000"/>
            </w:tcBorders>
            <w:shd w:val="clear" w:color="auto" w:fill="CCCCCC"/>
          </w:tcPr>
          <w:p w14:paraId="038A54B3" w14:textId="77777777" w:rsidR="00DE76B1" w:rsidRDefault="00DE76B1" w:rsidP="001A5D4A">
            <w:pPr>
              <w:pStyle w:val="NotesTable-CellPlain"/>
            </w:pPr>
            <w:r>
              <w:t>–</w:t>
            </w:r>
          </w:p>
        </w:tc>
      </w:tr>
      <w:tr w:rsidR="00DE76B1" w14:paraId="038A54BA" w14:textId="77777777" w:rsidTr="004B7414">
        <w:trPr>
          <w:cantSplit/>
          <w:trHeight w:val="209"/>
        </w:trPr>
        <w:tc>
          <w:tcPr>
            <w:tcW w:w="812" w:type="pct"/>
          </w:tcPr>
          <w:p w14:paraId="038A54B5" w14:textId="77777777" w:rsidR="00DE76B1" w:rsidRDefault="00DE76B1" w:rsidP="001A5D4A">
            <w:pPr>
              <w:pStyle w:val="Note-Refs"/>
            </w:pPr>
            <w:r>
              <w:t>D</w:t>
            </w:r>
          </w:p>
        </w:tc>
        <w:tc>
          <w:tcPr>
            <w:tcW w:w="2745" w:type="pct"/>
            <w:gridSpan w:val="2"/>
            <w:shd w:val="clear" w:color="auto" w:fill="CCCCCC"/>
          </w:tcPr>
          <w:p w14:paraId="038A54B6" w14:textId="77777777" w:rsidR="00DE76B1" w:rsidRDefault="00DE76B1" w:rsidP="001A5D4A">
            <w:pPr>
              <w:pStyle w:val="NotesTable-ItemPlain"/>
              <w:rPr>
                <w:b/>
              </w:rPr>
            </w:pPr>
            <w:r>
              <w:t>Cash Surplus / (deficit) from the previous period</w:t>
            </w:r>
          </w:p>
        </w:tc>
        <w:tc>
          <w:tcPr>
            <w:tcW w:w="412" w:type="pct"/>
            <w:shd w:val="clear" w:color="auto" w:fill="CCCCCC"/>
            <w:vAlign w:val="bottom"/>
          </w:tcPr>
          <w:p w14:paraId="038A54B7" w14:textId="77777777" w:rsidR="00DE76B1" w:rsidRDefault="00DE76B1" w:rsidP="001A5D4A">
            <w:pPr>
              <w:pStyle w:val="NotesTable-Notes"/>
            </w:pPr>
          </w:p>
        </w:tc>
        <w:tc>
          <w:tcPr>
            <w:tcW w:w="549" w:type="pct"/>
            <w:tcBorders>
              <w:bottom w:val="single" w:sz="4" w:space="0" w:color="000000"/>
            </w:tcBorders>
            <w:shd w:val="clear" w:color="auto" w:fill="CCCCCC"/>
            <w:vAlign w:val="bottom"/>
          </w:tcPr>
          <w:p w14:paraId="038A54B8" w14:textId="77777777" w:rsidR="00DE76B1" w:rsidRDefault="00DE76B1" w:rsidP="001A5D4A">
            <w:pPr>
              <w:pStyle w:val="NotesTable-CellBold"/>
            </w:pPr>
            <w:r>
              <w:t>–</w:t>
            </w:r>
          </w:p>
        </w:tc>
        <w:tc>
          <w:tcPr>
            <w:tcW w:w="482" w:type="pct"/>
            <w:tcBorders>
              <w:bottom w:val="single" w:sz="4" w:space="0" w:color="000000"/>
            </w:tcBorders>
            <w:shd w:val="clear" w:color="auto" w:fill="CCCCCC"/>
            <w:vAlign w:val="bottom"/>
          </w:tcPr>
          <w:p w14:paraId="038A54B9" w14:textId="77777777" w:rsidR="00DE76B1" w:rsidRDefault="00DE76B1" w:rsidP="001A5D4A">
            <w:pPr>
              <w:pStyle w:val="NotesTable-CellPlain"/>
            </w:pPr>
            <w:r>
              <w:t>–</w:t>
            </w:r>
          </w:p>
        </w:tc>
      </w:tr>
      <w:tr w:rsidR="00DE76B1" w14:paraId="038A54C0" w14:textId="77777777" w:rsidTr="004B7414">
        <w:trPr>
          <w:cantSplit/>
          <w:trHeight w:val="207"/>
        </w:trPr>
        <w:tc>
          <w:tcPr>
            <w:tcW w:w="812" w:type="pct"/>
          </w:tcPr>
          <w:p w14:paraId="038A54BB" w14:textId="77777777" w:rsidR="00DE76B1" w:rsidRDefault="00DE76B1" w:rsidP="001A5D4A">
            <w:pPr>
              <w:pStyle w:val="Note-Refs"/>
              <w:rPr>
                <w:b/>
              </w:rPr>
            </w:pPr>
            <w:r>
              <w:t>E = C + D</w:t>
            </w:r>
          </w:p>
        </w:tc>
        <w:tc>
          <w:tcPr>
            <w:tcW w:w="2745" w:type="pct"/>
            <w:gridSpan w:val="2"/>
            <w:shd w:val="clear" w:color="auto" w:fill="CCCCCC"/>
          </w:tcPr>
          <w:p w14:paraId="038A54BC" w14:textId="77777777" w:rsidR="00DE76B1" w:rsidRDefault="00DE76B1" w:rsidP="001A5D4A">
            <w:pPr>
              <w:pStyle w:val="NotesTable-ItemPlain"/>
              <w:rPr>
                <w:b/>
              </w:rPr>
            </w:pPr>
            <w:r>
              <w:t>Cash Surplus / (deficit) for reporting period</w:t>
            </w:r>
          </w:p>
        </w:tc>
        <w:tc>
          <w:tcPr>
            <w:tcW w:w="412" w:type="pct"/>
            <w:shd w:val="clear" w:color="auto" w:fill="CCCCCC"/>
            <w:vAlign w:val="bottom"/>
          </w:tcPr>
          <w:p w14:paraId="038A54BD" w14:textId="77777777" w:rsidR="00DE76B1" w:rsidRDefault="00DE76B1" w:rsidP="001A5D4A">
            <w:pPr>
              <w:pStyle w:val="NotesTable-Notes"/>
            </w:pPr>
            <w:r>
              <w:t>30</w:t>
            </w:r>
          </w:p>
        </w:tc>
        <w:tc>
          <w:tcPr>
            <w:tcW w:w="549" w:type="pct"/>
            <w:tcBorders>
              <w:top w:val="single" w:sz="4" w:space="0" w:color="000000"/>
              <w:bottom w:val="single" w:sz="4" w:space="0" w:color="000000"/>
            </w:tcBorders>
            <w:shd w:val="clear" w:color="auto" w:fill="CCCCCC"/>
          </w:tcPr>
          <w:p w14:paraId="038A54BE" w14:textId="77777777" w:rsidR="00DE76B1" w:rsidRDefault="00DE76B1" w:rsidP="001A5D4A">
            <w:pPr>
              <w:pStyle w:val="NotesTable-CellBold"/>
            </w:pPr>
            <w:r>
              <w:t>–</w:t>
            </w:r>
          </w:p>
        </w:tc>
        <w:tc>
          <w:tcPr>
            <w:tcW w:w="482" w:type="pct"/>
            <w:tcBorders>
              <w:top w:val="single" w:sz="4" w:space="0" w:color="000000"/>
              <w:bottom w:val="single" w:sz="4" w:space="0" w:color="000000"/>
            </w:tcBorders>
            <w:shd w:val="clear" w:color="auto" w:fill="CCCCCC"/>
          </w:tcPr>
          <w:p w14:paraId="038A54BF" w14:textId="77777777" w:rsidR="00DE76B1" w:rsidRDefault="00DE76B1" w:rsidP="001A5D4A">
            <w:pPr>
              <w:pStyle w:val="NotesTable-CellPlain"/>
            </w:pPr>
            <w:r>
              <w:t>–</w:t>
            </w:r>
          </w:p>
        </w:tc>
      </w:tr>
      <w:tr w:rsidR="00DE76B1" w14:paraId="038A54C6" w14:textId="77777777" w:rsidTr="004B7414">
        <w:trPr>
          <w:cantSplit/>
          <w:trHeight w:val="207"/>
        </w:trPr>
        <w:tc>
          <w:tcPr>
            <w:tcW w:w="812" w:type="pct"/>
          </w:tcPr>
          <w:p w14:paraId="038A54C1" w14:textId="77777777" w:rsidR="00DE76B1" w:rsidRDefault="00DE76B1" w:rsidP="001A5D4A">
            <w:pPr>
              <w:pStyle w:val="Note-Refs"/>
            </w:pPr>
          </w:p>
        </w:tc>
        <w:tc>
          <w:tcPr>
            <w:tcW w:w="2745" w:type="pct"/>
            <w:gridSpan w:val="2"/>
            <w:shd w:val="clear" w:color="auto" w:fill="CCCCCC"/>
          </w:tcPr>
          <w:p w14:paraId="038A54C2" w14:textId="77777777" w:rsidR="00DE76B1" w:rsidRDefault="00DE76B1" w:rsidP="001A5D4A">
            <w:pPr>
              <w:pStyle w:val="NotesTable-ItemPlain"/>
            </w:pPr>
          </w:p>
        </w:tc>
        <w:tc>
          <w:tcPr>
            <w:tcW w:w="412" w:type="pct"/>
            <w:shd w:val="clear" w:color="auto" w:fill="CCCCCC"/>
            <w:vAlign w:val="bottom"/>
          </w:tcPr>
          <w:p w14:paraId="038A54C3" w14:textId="77777777" w:rsidR="00DE76B1" w:rsidRDefault="00DE76B1" w:rsidP="001A5D4A">
            <w:pPr>
              <w:pStyle w:val="NotesTable-Notes"/>
            </w:pPr>
          </w:p>
        </w:tc>
        <w:tc>
          <w:tcPr>
            <w:tcW w:w="549" w:type="pct"/>
            <w:tcBorders>
              <w:top w:val="single" w:sz="4" w:space="0" w:color="000000"/>
            </w:tcBorders>
            <w:shd w:val="clear" w:color="auto" w:fill="CCCCCC"/>
          </w:tcPr>
          <w:p w14:paraId="038A54C4" w14:textId="77777777" w:rsidR="00DE76B1" w:rsidRDefault="00DE76B1" w:rsidP="001A5D4A">
            <w:pPr>
              <w:pStyle w:val="NotesTable-CellBold"/>
            </w:pPr>
          </w:p>
        </w:tc>
        <w:tc>
          <w:tcPr>
            <w:tcW w:w="482" w:type="pct"/>
            <w:tcBorders>
              <w:top w:val="single" w:sz="4" w:space="0" w:color="000000"/>
            </w:tcBorders>
            <w:shd w:val="clear" w:color="auto" w:fill="CCCCCC"/>
          </w:tcPr>
          <w:p w14:paraId="038A54C5" w14:textId="77777777" w:rsidR="00DE76B1" w:rsidRDefault="00DE76B1" w:rsidP="001A5D4A">
            <w:pPr>
              <w:pStyle w:val="NotesTable-CellPlain"/>
            </w:pPr>
          </w:p>
        </w:tc>
      </w:tr>
      <w:tr w:rsidR="00DE76B1" w14:paraId="038A54CC" w14:textId="77777777" w:rsidTr="004B7414">
        <w:trPr>
          <w:cantSplit/>
          <w:trHeight w:val="207"/>
        </w:trPr>
        <w:tc>
          <w:tcPr>
            <w:tcW w:w="812" w:type="pct"/>
          </w:tcPr>
          <w:p w14:paraId="038A54C7" w14:textId="77777777" w:rsidR="00DE76B1" w:rsidRDefault="00DE76B1" w:rsidP="001A5D4A">
            <w:pPr>
              <w:pStyle w:val="Note-Refs"/>
            </w:pPr>
          </w:p>
        </w:tc>
        <w:tc>
          <w:tcPr>
            <w:tcW w:w="2745" w:type="pct"/>
            <w:gridSpan w:val="2"/>
            <w:shd w:val="clear" w:color="auto" w:fill="CCCCCC"/>
          </w:tcPr>
          <w:p w14:paraId="038A54C8" w14:textId="5AE1F2D1" w:rsidR="00DE76B1" w:rsidRPr="0074467D" w:rsidRDefault="00F67F7F" w:rsidP="001A5D4A">
            <w:pPr>
              <w:pStyle w:val="NotesTable-ItemBold"/>
            </w:pPr>
            <w:r>
              <w:t>5</w:t>
            </w:r>
            <w:r w:rsidR="007E133A">
              <w:t>3</w:t>
            </w:r>
            <w:r>
              <w:t>i</w:t>
            </w:r>
            <w:r w:rsidR="00DE76B1" w:rsidRPr="0074467D">
              <w:t xml:space="preserve"> </w:t>
            </w:r>
            <w:r w:rsidR="00C71BBC" w:rsidRPr="0074467D">
              <w:t>Higher Education Superannuation</w:t>
            </w:r>
            <w:r w:rsidR="0088009F">
              <w:t xml:space="preserve"> Program</w:t>
            </w:r>
          </w:p>
        </w:tc>
        <w:tc>
          <w:tcPr>
            <w:tcW w:w="412" w:type="pct"/>
            <w:shd w:val="clear" w:color="auto" w:fill="CCCCCC"/>
          </w:tcPr>
          <w:p w14:paraId="038A54C9" w14:textId="77777777" w:rsidR="00DE76B1" w:rsidRDefault="00DE76B1" w:rsidP="001A5D4A">
            <w:pPr>
              <w:pStyle w:val="NotesTable-Notes"/>
            </w:pPr>
            <w:r>
              <w:t>Notes</w:t>
            </w:r>
          </w:p>
        </w:tc>
        <w:tc>
          <w:tcPr>
            <w:tcW w:w="549" w:type="pct"/>
            <w:shd w:val="clear" w:color="auto" w:fill="CCCCCC"/>
          </w:tcPr>
          <w:p w14:paraId="038A54CA" w14:textId="313A00B3" w:rsidR="00DE76B1" w:rsidRDefault="006864EC" w:rsidP="001A5D4A">
            <w:pPr>
              <w:pStyle w:val="NotesTable-HeadBold"/>
            </w:pPr>
            <w:r>
              <w:t>2014</w:t>
            </w:r>
          </w:p>
        </w:tc>
        <w:tc>
          <w:tcPr>
            <w:tcW w:w="482" w:type="pct"/>
            <w:shd w:val="clear" w:color="auto" w:fill="CCCCCC"/>
          </w:tcPr>
          <w:p w14:paraId="038A54CB" w14:textId="1939A899" w:rsidR="00DE76B1" w:rsidRDefault="006864EC" w:rsidP="001A5D4A">
            <w:pPr>
              <w:pStyle w:val="NotesTable-HeadPlain"/>
            </w:pPr>
            <w:r>
              <w:t>2013</w:t>
            </w:r>
          </w:p>
        </w:tc>
      </w:tr>
      <w:tr w:rsidR="00DE76B1" w14:paraId="038A54D2" w14:textId="77777777" w:rsidTr="004B7414">
        <w:trPr>
          <w:cantSplit/>
          <w:trHeight w:val="207"/>
        </w:trPr>
        <w:tc>
          <w:tcPr>
            <w:tcW w:w="812" w:type="pct"/>
          </w:tcPr>
          <w:p w14:paraId="038A54CD" w14:textId="77777777" w:rsidR="00DE76B1" w:rsidRDefault="00DE76B1" w:rsidP="001A5D4A">
            <w:pPr>
              <w:pStyle w:val="Note-Refs"/>
            </w:pPr>
          </w:p>
        </w:tc>
        <w:tc>
          <w:tcPr>
            <w:tcW w:w="2745" w:type="pct"/>
            <w:gridSpan w:val="2"/>
            <w:shd w:val="clear" w:color="auto" w:fill="CCCCCC"/>
          </w:tcPr>
          <w:p w14:paraId="038A54CE" w14:textId="77777777" w:rsidR="00DE76B1" w:rsidRDefault="00DE76B1" w:rsidP="001A5D4A">
            <w:pPr>
              <w:pStyle w:val="NotesTable-ItemPlain"/>
            </w:pPr>
          </w:p>
        </w:tc>
        <w:tc>
          <w:tcPr>
            <w:tcW w:w="412" w:type="pct"/>
            <w:shd w:val="clear" w:color="auto" w:fill="CCCCCC"/>
            <w:vAlign w:val="bottom"/>
          </w:tcPr>
          <w:p w14:paraId="038A54CF" w14:textId="77777777" w:rsidR="00DE76B1" w:rsidRDefault="00DE76B1" w:rsidP="001A5D4A">
            <w:pPr>
              <w:pStyle w:val="NotesTable-Notes"/>
            </w:pPr>
          </w:p>
        </w:tc>
        <w:tc>
          <w:tcPr>
            <w:tcW w:w="549" w:type="pct"/>
            <w:shd w:val="clear" w:color="auto" w:fill="CCCCCC"/>
          </w:tcPr>
          <w:p w14:paraId="038A54D0" w14:textId="77777777" w:rsidR="00DE76B1" w:rsidRDefault="00DE76B1" w:rsidP="001A5D4A">
            <w:pPr>
              <w:pStyle w:val="NotesTable-HeadBold"/>
            </w:pPr>
            <w:r>
              <w:t>$’000</w:t>
            </w:r>
          </w:p>
        </w:tc>
        <w:tc>
          <w:tcPr>
            <w:tcW w:w="482" w:type="pct"/>
            <w:shd w:val="clear" w:color="auto" w:fill="CCCCCC"/>
          </w:tcPr>
          <w:p w14:paraId="038A54D1" w14:textId="77777777" w:rsidR="00DE76B1" w:rsidRDefault="00DE76B1" w:rsidP="001A5D4A">
            <w:pPr>
              <w:pStyle w:val="NotesTable-HeadPlain"/>
            </w:pPr>
            <w:r>
              <w:t>$’000</w:t>
            </w:r>
          </w:p>
        </w:tc>
      </w:tr>
      <w:tr w:rsidR="00DE76B1" w14:paraId="038A54D8" w14:textId="77777777" w:rsidTr="004B7414">
        <w:trPr>
          <w:cantSplit/>
          <w:trHeight w:val="207"/>
        </w:trPr>
        <w:tc>
          <w:tcPr>
            <w:tcW w:w="812" w:type="pct"/>
          </w:tcPr>
          <w:p w14:paraId="038A54D3" w14:textId="77777777" w:rsidR="00DE76B1" w:rsidRDefault="00DE76B1" w:rsidP="001A5D4A">
            <w:pPr>
              <w:pStyle w:val="Note-Refs"/>
            </w:pPr>
            <w:r>
              <w:t>A</w:t>
            </w:r>
          </w:p>
        </w:tc>
        <w:tc>
          <w:tcPr>
            <w:tcW w:w="2745" w:type="pct"/>
            <w:gridSpan w:val="2"/>
            <w:shd w:val="clear" w:color="auto" w:fill="CCCCCC"/>
          </w:tcPr>
          <w:p w14:paraId="038A54D4" w14:textId="77777777" w:rsidR="00DE76B1" w:rsidRDefault="00DE76B1" w:rsidP="001A5D4A">
            <w:pPr>
              <w:pStyle w:val="NotesTable-ItemPlain"/>
              <w:rPr>
                <w:b/>
              </w:rPr>
            </w:pPr>
            <w:r>
              <w:t>Cash Received during the reporting period</w:t>
            </w:r>
          </w:p>
        </w:tc>
        <w:tc>
          <w:tcPr>
            <w:tcW w:w="412" w:type="pct"/>
            <w:shd w:val="clear" w:color="auto" w:fill="CCCCCC"/>
            <w:vAlign w:val="bottom"/>
          </w:tcPr>
          <w:p w14:paraId="038A54D5" w14:textId="77777777" w:rsidR="00DE76B1" w:rsidRDefault="00DE76B1" w:rsidP="001A5D4A">
            <w:pPr>
              <w:pStyle w:val="NotesTable-Notes"/>
            </w:pPr>
            <w:r>
              <w:t>3(i)</w:t>
            </w:r>
          </w:p>
        </w:tc>
        <w:tc>
          <w:tcPr>
            <w:tcW w:w="549" w:type="pct"/>
            <w:shd w:val="clear" w:color="auto" w:fill="CCCCCC"/>
          </w:tcPr>
          <w:p w14:paraId="038A54D6" w14:textId="77777777" w:rsidR="00DE76B1" w:rsidRDefault="00DE76B1" w:rsidP="001A5D4A">
            <w:pPr>
              <w:pStyle w:val="NotesTable-CellBold"/>
            </w:pPr>
            <w:r>
              <w:t>–</w:t>
            </w:r>
          </w:p>
        </w:tc>
        <w:tc>
          <w:tcPr>
            <w:tcW w:w="482" w:type="pct"/>
            <w:shd w:val="clear" w:color="auto" w:fill="CCCCCC"/>
          </w:tcPr>
          <w:p w14:paraId="038A54D7" w14:textId="77777777" w:rsidR="00DE76B1" w:rsidRDefault="00DE76B1" w:rsidP="001A5D4A">
            <w:pPr>
              <w:pStyle w:val="NotesTable-CellPlain"/>
            </w:pPr>
            <w:r>
              <w:t>–</w:t>
            </w:r>
          </w:p>
        </w:tc>
      </w:tr>
      <w:tr w:rsidR="00DE76B1" w14:paraId="038A54DE" w14:textId="77777777" w:rsidTr="004B7414">
        <w:trPr>
          <w:cantSplit/>
          <w:trHeight w:val="207"/>
        </w:trPr>
        <w:tc>
          <w:tcPr>
            <w:tcW w:w="812" w:type="pct"/>
          </w:tcPr>
          <w:p w14:paraId="038A54D9" w14:textId="77777777" w:rsidR="00DE76B1" w:rsidRDefault="00DE76B1" w:rsidP="001A5D4A">
            <w:pPr>
              <w:pStyle w:val="Note-Refs"/>
            </w:pPr>
            <w:r>
              <w:t>B</w:t>
            </w:r>
          </w:p>
        </w:tc>
        <w:tc>
          <w:tcPr>
            <w:tcW w:w="2745" w:type="pct"/>
            <w:gridSpan w:val="2"/>
            <w:shd w:val="clear" w:color="auto" w:fill="CCCCCC"/>
          </w:tcPr>
          <w:p w14:paraId="038A54DA" w14:textId="77777777" w:rsidR="00DE76B1" w:rsidRDefault="00DE76B1" w:rsidP="001A5D4A">
            <w:pPr>
              <w:pStyle w:val="NotesTable-ItemPlain"/>
              <w:rPr>
                <w:b/>
              </w:rPr>
            </w:pPr>
            <w:r>
              <w:t>University contribution in respect of current employees</w:t>
            </w:r>
          </w:p>
        </w:tc>
        <w:tc>
          <w:tcPr>
            <w:tcW w:w="412" w:type="pct"/>
            <w:shd w:val="clear" w:color="auto" w:fill="CCCCCC"/>
            <w:vAlign w:val="bottom"/>
          </w:tcPr>
          <w:p w14:paraId="038A54DB" w14:textId="77777777" w:rsidR="00DE76B1" w:rsidRDefault="00DE76B1" w:rsidP="001A5D4A">
            <w:pPr>
              <w:pStyle w:val="NotesTable-Notes"/>
            </w:pPr>
          </w:p>
        </w:tc>
        <w:tc>
          <w:tcPr>
            <w:tcW w:w="549" w:type="pct"/>
            <w:tcBorders>
              <w:bottom w:val="single" w:sz="4" w:space="0" w:color="000000"/>
            </w:tcBorders>
            <w:shd w:val="clear" w:color="auto" w:fill="CCCCCC"/>
          </w:tcPr>
          <w:p w14:paraId="038A54DC" w14:textId="77777777" w:rsidR="00DE76B1" w:rsidRDefault="00DE76B1" w:rsidP="001A5D4A">
            <w:pPr>
              <w:pStyle w:val="NotesTable-CellBold"/>
            </w:pPr>
            <w:r>
              <w:t>–</w:t>
            </w:r>
          </w:p>
        </w:tc>
        <w:tc>
          <w:tcPr>
            <w:tcW w:w="482" w:type="pct"/>
            <w:tcBorders>
              <w:bottom w:val="single" w:sz="4" w:space="0" w:color="000000"/>
            </w:tcBorders>
            <w:shd w:val="clear" w:color="auto" w:fill="CCCCCC"/>
          </w:tcPr>
          <w:p w14:paraId="038A54DD" w14:textId="77777777" w:rsidR="00DE76B1" w:rsidRDefault="00DE76B1" w:rsidP="001A5D4A">
            <w:pPr>
              <w:pStyle w:val="NotesTable-CellPlain"/>
            </w:pPr>
            <w:r>
              <w:t>–</w:t>
            </w:r>
          </w:p>
        </w:tc>
      </w:tr>
      <w:tr w:rsidR="00DE76B1" w14:paraId="038A54E4" w14:textId="77777777" w:rsidTr="004B7414">
        <w:trPr>
          <w:cantSplit/>
          <w:trHeight w:val="224"/>
        </w:trPr>
        <w:tc>
          <w:tcPr>
            <w:tcW w:w="812" w:type="pct"/>
          </w:tcPr>
          <w:p w14:paraId="038A54DF" w14:textId="77777777" w:rsidR="00DE76B1" w:rsidRDefault="00DE76B1" w:rsidP="001A5D4A">
            <w:pPr>
              <w:pStyle w:val="Note-Refs"/>
              <w:rPr>
                <w:b/>
              </w:rPr>
            </w:pPr>
            <w:r>
              <w:t>C = A + B</w:t>
            </w:r>
          </w:p>
        </w:tc>
        <w:tc>
          <w:tcPr>
            <w:tcW w:w="2745" w:type="pct"/>
            <w:gridSpan w:val="2"/>
            <w:shd w:val="clear" w:color="auto" w:fill="CCCCCC"/>
          </w:tcPr>
          <w:p w14:paraId="038A54E0" w14:textId="77777777" w:rsidR="00DE76B1" w:rsidRDefault="00DE76B1" w:rsidP="001A5D4A">
            <w:pPr>
              <w:pStyle w:val="NotesTable-ItemPlain"/>
              <w:rPr>
                <w:b/>
              </w:rPr>
            </w:pPr>
            <w:r>
              <w:t>Cash available</w:t>
            </w:r>
          </w:p>
        </w:tc>
        <w:tc>
          <w:tcPr>
            <w:tcW w:w="412" w:type="pct"/>
            <w:shd w:val="clear" w:color="auto" w:fill="CCCCCC"/>
            <w:vAlign w:val="bottom"/>
          </w:tcPr>
          <w:p w14:paraId="038A54E1" w14:textId="77777777" w:rsidR="00DE76B1" w:rsidRDefault="00DE76B1" w:rsidP="001A5D4A">
            <w:pPr>
              <w:pStyle w:val="NotesTable-Notes"/>
            </w:pPr>
          </w:p>
        </w:tc>
        <w:tc>
          <w:tcPr>
            <w:tcW w:w="549" w:type="pct"/>
            <w:tcBorders>
              <w:top w:val="single" w:sz="4" w:space="0" w:color="000000"/>
            </w:tcBorders>
            <w:shd w:val="clear" w:color="auto" w:fill="CCCCCC"/>
          </w:tcPr>
          <w:p w14:paraId="038A54E2" w14:textId="77777777" w:rsidR="00DE76B1" w:rsidRDefault="00DE76B1" w:rsidP="001A5D4A">
            <w:pPr>
              <w:pStyle w:val="NotesTable-CellBold"/>
            </w:pPr>
            <w:r>
              <w:t>–</w:t>
            </w:r>
          </w:p>
        </w:tc>
        <w:tc>
          <w:tcPr>
            <w:tcW w:w="482" w:type="pct"/>
            <w:tcBorders>
              <w:top w:val="single" w:sz="4" w:space="0" w:color="000000"/>
            </w:tcBorders>
            <w:shd w:val="clear" w:color="auto" w:fill="CCCCCC"/>
          </w:tcPr>
          <w:p w14:paraId="038A54E3" w14:textId="77777777" w:rsidR="00DE76B1" w:rsidRDefault="00DE76B1" w:rsidP="001A5D4A">
            <w:pPr>
              <w:pStyle w:val="NotesTable-CellPlain"/>
            </w:pPr>
            <w:r>
              <w:t>–</w:t>
            </w:r>
          </w:p>
        </w:tc>
      </w:tr>
      <w:tr w:rsidR="00DE76B1" w14:paraId="038A54EA" w14:textId="77777777" w:rsidTr="004B7414">
        <w:trPr>
          <w:cantSplit/>
          <w:trHeight w:val="209"/>
        </w:trPr>
        <w:tc>
          <w:tcPr>
            <w:tcW w:w="812" w:type="pct"/>
          </w:tcPr>
          <w:p w14:paraId="038A54E5" w14:textId="77777777" w:rsidR="00DE76B1" w:rsidRDefault="00DE76B1" w:rsidP="001A5D4A">
            <w:pPr>
              <w:pStyle w:val="Note-Refs"/>
            </w:pPr>
            <w:r>
              <w:t>D</w:t>
            </w:r>
          </w:p>
        </w:tc>
        <w:tc>
          <w:tcPr>
            <w:tcW w:w="2745" w:type="pct"/>
            <w:gridSpan w:val="2"/>
            <w:shd w:val="clear" w:color="auto" w:fill="CCCCCC"/>
          </w:tcPr>
          <w:p w14:paraId="038A54E6" w14:textId="77777777" w:rsidR="00DE76B1" w:rsidRDefault="00DE76B1" w:rsidP="001A5D4A">
            <w:pPr>
              <w:pStyle w:val="NotesTable-ItemPlain"/>
              <w:rPr>
                <w:b/>
              </w:rPr>
            </w:pPr>
            <w:r>
              <w:t>Cash Surplus / (deficit) from the previous period</w:t>
            </w:r>
          </w:p>
        </w:tc>
        <w:tc>
          <w:tcPr>
            <w:tcW w:w="412" w:type="pct"/>
            <w:shd w:val="clear" w:color="auto" w:fill="CCCCCC"/>
            <w:vAlign w:val="bottom"/>
          </w:tcPr>
          <w:p w14:paraId="038A54E7" w14:textId="77777777" w:rsidR="00DE76B1" w:rsidRDefault="00DE76B1" w:rsidP="001A5D4A">
            <w:pPr>
              <w:pStyle w:val="NotesTable-Notes"/>
            </w:pPr>
          </w:p>
        </w:tc>
        <w:tc>
          <w:tcPr>
            <w:tcW w:w="549" w:type="pct"/>
            <w:tcBorders>
              <w:bottom w:val="single" w:sz="4" w:space="0" w:color="000000"/>
            </w:tcBorders>
            <w:shd w:val="clear" w:color="auto" w:fill="CCCCCC"/>
            <w:vAlign w:val="bottom"/>
          </w:tcPr>
          <w:p w14:paraId="038A54E8" w14:textId="77777777" w:rsidR="00DE76B1" w:rsidRDefault="00DE76B1" w:rsidP="001A5D4A">
            <w:pPr>
              <w:pStyle w:val="NotesTable-CellBold"/>
            </w:pPr>
            <w:r>
              <w:t>–</w:t>
            </w:r>
          </w:p>
        </w:tc>
        <w:tc>
          <w:tcPr>
            <w:tcW w:w="482" w:type="pct"/>
            <w:tcBorders>
              <w:bottom w:val="single" w:sz="4" w:space="0" w:color="000000"/>
            </w:tcBorders>
            <w:shd w:val="clear" w:color="auto" w:fill="CCCCCC"/>
            <w:vAlign w:val="bottom"/>
          </w:tcPr>
          <w:p w14:paraId="038A54E9" w14:textId="77777777" w:rsidR="00DE76B1" w:rsidRDefault="00DE76B1" w:rsidP="001A5D4A">
            <w:pPr>
              <w:pStyle w:val="NotesTable-CellPlain"/>
            </w:pPr>
            <w:r>
              <w:t>–</w:t>
            </w:r>
          </w:p>
        </w:tc>
      </w:tr>
      <w:tr w:rsidR="00DE76B1" w14:paraId="038A54F0" w14:textId="77777777" w:rsidTr="004B7414">
        <w:trPr>
          <w:cantSplit/>
          <w:trHeight w:val="209"/>
        </w:trPr>
        <w:tc>
          <w:tcPr>
            <w:tcW w:w="812" w:type="pct"/>
          </w:tcPr>
          <w:p w14:paraId="038A54EB" w14:textId="77777777" w:rsidR="00DE76B1" w:rsidRDefault="00DE76B1" w:rsidP="001A5D4A">
            <w:pPr>
              <w:pStyle w:val="Note-Refs"/>
              <w:rPr>
                <w:b/>
              </w:rPr>
            </w:pPr>
            <w:r>
              <w:t>E = C + D</w:t>
            </w:r>
          </w:p>
        </w:tc>
        <w:tc>
          <w:tcPr>
            <w:tcW w:w="2745" w:type="pct"/>
            <w:gridSpan w:val="2"/>
            <w:shd w:val="clear" w:color="auto" w:fill="CCCCCC"/>
          </w:tcPr>
          <w:p w14:paraId="038A54EC" w14:textId="77777777" w:rsidR="00DE76B1" w:rsidRDefault="00DE76B1" w:rsidP="001A5D4A">
            <w:pPr>
              <w:pStyle w:val="NotesTable-ItemPlain"/>
              <w:rPr>
                <w:b/>
              </w:rPr>
            </w:pPr>
            <w:r>
              <w:t>Cash available for current period</w:t>
            </w:r>
          </w:p>
        </w:tc>
        <w:tc>
          <w:tcPr>
            <w:tcW w:w="412" w:type="pct"/>
            <w:shd w:val="clear" w:color="auto" w:fill="CCCCCC"/>
            <w:vAlign w:val="bottom"/>
          </w:tcPr>
          <w:p w14:paraId="038A54ED" w14:textId="77777777" w:rsidR="00DE76B1" w:rsidRDefault="00DE76B1" w:rsidP="001A5D4A">
            <w:pPr>
              <w:pStyle w:val="NotesTable-Notes"/>
            </w:pPr>
          </w:p>
        </w:tc>
        <w:tc>
          <w:tcPr>
            <w:tcW w:w="549" w:type="pct"/>
            <w:tcBorders>
              <w:top w:val="single" w:sz="4" w:space="0" w:color="000000"/>
            </w:tcBorders>
            <w:shd w:val="clear" w:color="auto" w:fill="CCCCCC"/>
          </w:tcPr>
          <w:p w14:paraId="038A54EE" w14:textId="77777777" w:rsidR="00DE76B1" w:rsidRDefault="00DE76B1" w:rsidP="001A5D4A">
            <w:pPr>
              <w:pStyle w:val="NotesTable-CellBold"/>
            </w:pPr>
            <w:r>
              <w:t>–</w:t>
            </w:r>
          </w:p>
        </w:tc>
        <w:tc>
          <w:tcPr>
            <w:tcW w:w="482" w:type="pct"/>
            <w:tcBorders>
              <w:top w:val="single" w:sz="4" w:space="0" w:color="000000"/>
            </w:tcBorders>
            <w:shd w:val="clear" w:color="auto" w:fill="CCCCCC"/>
          </w:tcPr>
          <w:p w14:paraId="038A54EF" w14:textId="77777777" w:rsidR="00DE76B1" w:rsidRDefault="00DE76B1" w:rsidP="001A5D4A">
            <w:pPr>
              <w:pStyle w:val="NotesTable-CellPlain"/>
            </w:pPr>
            <w:r>
              <w:t>–</w:t>
            </w:r>
          </w:p>
        </w:tc>
      </w:tr>
      <w:tr w:rsidR="00DE76B1" w14:paraId="038A54F6" w14:textId="77777777" w:rsidTr="004B7414">
        <w:trPr>
          <w:cantSplit/>
          <w:trHeight w:val="207"/>
        </w:trPr>
        <w:tc>
          <w:tcPr>
            <w:tcW w:w="812" w:type="pct"/>
          </w:tcPr>
          <w:p w14:paraId="038A54F1" w14:textId="77777777" w:rsidR="00DE76B1" w:rsidRDefault="00DE76B1" w:rsidP="001A5D4A">
            <w:pPr>
              <w:pStyle w:val="Note-Refs"/>
            </w:pPr>
            <w:r>
              <w:t>F</w:t>
            </w:r>
          </w:p>
        </w:tc>
        <w:tc>
          <w:tcPr>
            <w:tcW w:w="2745" w:type="pct"/>
            <w:gridSpan w:val="2"/>
            <w:shd w:val="clear" w:color="auto" w:fill="CCCCCC"/>
          </w:tcPr>
          <w:p w14:paraId="038A54F2" w14:textId="77777777" w:rsidR="00DE76B1" w:rsidRDefault="00DE76B1" w:rsidP="001A5D4A">
            <w:pPr>
              <w:pStyle w:val="NotesTable-ItemPlain"/>
              <w:rPr>
                <w:b/>
              </w:rPr>
            </w:pPr>
            <w:r>
              <w:t>Contributions to specified defined benefit funds</w:t>
            </w:r>
          </w:p>
        </w:tc>
        <w:tc>
          <w:tcPr>
            <w:tcW w:w="412" w:type="pct"/>
            <w:shd w:val="clear" w:color="auto" w:fill="CCCCCC"/>
            <w:vAlign w:val="bottom"/>
          </w:tcPr>
          <w:p w14:paraId="038A54F3" w14:textId="77777777" w:rsidR="00DE76B1" w:rsidRDefault="00DE76B1" w:rsidP="001A5D4A">
            <w:pPr>
              <w:pStyle w:val="NotesTable-Notes"/>
            </w:pPr>
            <w:r>
              <w:t>20/5</w:t>
            </w:r>
            <w:r w:rsidR="007A41C0">
              <w:t>3</w:t>
            </w:r>
          </w:p>
        </w:tc>
        <w:tc>
          <w:tcPr>
            <w:tcW w:w="549" w:type="pct"/>
            <w:tcBorders>
              <w:bottom w:val="single" w:sz="4" w:space="0" w:color="000000"/>
            </w:tcBorders>
            <w:shd w:val="clear" w:color="auto" w:fill="CCCCCC"/>
          </w:tcPr>
          <w:p w14:paraId="038A54F4" w14:textId="77777777" w:rsidR="00DE76B1" w:rsidRDefault="00DE76B1" w:rsidP="001A5D4A">
            <w:pPr>
              <w:pStyle w:val="NotesTable-CellBold"/>
            </w:pPr>
            <w:r>
              <w:t>–</w:t>
            </w:r>
          </w:p>
        </w:tc>
        <w:tc>
          <w:tcPr>
            <w:tcW w:w="482" w:type="pct"/>
            <w:tcBorders>
              <w:bottom w:val="single" w:sz="4" w:space="0" w:color="000000"/>
            </w:tcBorders>
            <w:shd w:val="clear" w:color="auto" w:fill="CCCCCC"/>
          </w:tcPr>
          <w:p w14:paraId="038A54F5" w14:textId="77777777" w:rsidR="00DE76B1" w:rsidRDefault="00DE76B1" w:rsidP="001A5D4A">
            <w:pPr>
              <w:pStyle w:val="NotesTable-CellPlain"/>
            </w:pPr>
            <w:r>
              <w:t>–</w:t>
            </w:r>
          </w:p>
        </w:tc>
      </w:tr>
      <w:tr w:rsidR="00DE76B1" w14:paraId="038A54FC" w14:textId="77777777" w:rsidTr="004B7414">
        <w:trPr>
          <w:cantSplit/>
          <w:trHeight w:val="207"/>
        </w:trPr>
        <w:tc>
          <w:tcPr>
            <w:tcW w:w="812" w:type="pct"/>
          </w:tcPr>
          <w:p w14:paraId="038A54F7" w14:textId="77777777" w:rsidR="00DE76B1" w:rsidRDefault="00DE76B1" w:rsidP="001A5D4A">
            <w:pPr>
              <w:pStyle w:val="Note-Refs"/>
              <w:rPr>
                <w:b/>
              </w:rPr>
            </w:pPr>
            <w:r>
              <w:t>G = E - F</w:t>
            </w:r>
          </w:p>
        </w:tc>
        <w:tc>
          <w:tcPr>
            <w:tcW w:w="2745" w:type="pct"/>
            <w:gridSpan w:val="2"/>
            <w:shd w:val="clear" w:color="auto" w:fill="CCCCCC"/>
          </w:tcPr>
          <w:p w14:paraId="038A54F8" w14:textId="77777777" w:rsidR="00DE76B1" w:rsidRDefault="00DE76B1" w:rsidP="001A5D4A">
            <w:pPr>
              <w:pStyle w:val="NotesTable-ItemPlain"/>
              <w:rPr>
                <w:b/>
              </w:rPr>
            </w:pPr>
            <w:r>
              <w:t>Cash Surplus / (deficit) this period</w:t>
            </w:r>
          </w:p>
        </w:tc>
        <w:tc>
          <w:tcPr>
            <w:tcW w:w="412" w:type="pct"/>
            <w:shd w:val="clear" w:color="auto" w:fill="CCCCCC"/>
            <w:vAlign w:val="bottom"/>
          </w:tcPr>
          <w:p w14:paraId="038A54F9" w14:textId="77777777" w:rsidR="00DE76B1" w:rsidRDefault="00DE76B1" w:rsidP="001A5D4A">
            <w:pPr>
              <w:pStyle w:val="NotesTable-Notes"/>
            </w:pPr>
          </w:p>
        </w:tc>
        <w:tc>
          <w:tcPr>
            <w:tcW w:w="549" w:type="pct"/>
            <w:tcBorders>
              <w:top w:val="single" w:sz="4" w:space="0" w:color="000000"/>
              <w:bottom w:val="single" w:sz="4" w:space="0" w:color="000000"/>
            </w:tcBorders>
            <w:shd w:val="clear" w:color="auto" w:fill="CCCCCC"/>
          </w:tcPr>
          <w:p w14:paraId="038A54FA" w14:textId="77777777" w:rsidR="00DE76B1" w:rsidRDefault="00DE76B1" w:rsidP="001A5D4A">
            <w:pPr>
              <w:pStyle w:val="NotesTable-CellBold"/>
            </w:pPr>
            <w:r>
              <w:t>–</w:t>
            </w:r>
          </w:p>
        </w:tc>
        <w:tc>
          <w:tcPr>
            <w:tcW w:w="482" w:type="pct"/>
            <w:tcBorders>
              <w:top w:val="single" w:sz="4" w:space="0" w:color="000000"/>
              <w:bottom w:val="single" w:sz="4" w:space="0" w:color="000000"/>
            </w:tcBorders>
            <w:shd w:val="clear" w:color="auto" w:fill="CCCCCC"/>
          </w:tcPr>
          <w:p w14:paraId="038A54FB" w14:textId="77777777" w:rsidR="00DE76B1" w:rsidRDefault="00DE76B1" w:rsidP="001A5D4A">
            <w:pPr>
              <w:pStyle w:val="NotesTable-CellPlain"/>
            </w:pPr>
            <w:r>
              <w:t>–</w:t>
            </w:r>
          </w:p>
        </w:tc>
      </w:tr>
      <w:tr w:rsidR="00DE76B1" w14:paraId="038A5502" w14:textId="77777777" w:rsidTr="004B7414">
        <w:trPr>
          <w:cantSplit/>
          <w:trHeight w:val="207"/>
        </w:trPr>
        <w:tc>
          <w:tcPr>
            <w:tcW w:w="812" w:type="pct"/>
            <w:vAlign w:val="bottom"/>
          </w:tcPr>
          <w:p w14:paraId="038A54FD" w14:textId="77777777" w:rsidR="00DE76B1" w:rsidRDefault="00DE76B1" w:rsidP="001A5D4A">
            <w:pPr>
              <w:pStyle w:val="Note-Refs"/>
            </w:pPr>
          </w:p>
        </w:tc>
        <w:tc>
          <w:tcPr>
            <w:tcW w:w="2745" w:type="pct"/>
            <w:gridSpan w:val="2"/>
            <w:shd w:val="clear" w:color="auto" w:fill="CCCCCC"/>
          </w:tcPr>
          <w:p w14:paraId="038A54FE" w14:textId="77777777" w:rsidR="00DE76B1" w:rsidRPr="004646E6" w:rsidRDefault="00DE76B1" w:rsidP="001A5D4A">
            <w:pPr>
              <w:pStyle w:val="NotesTable-ItemPlain"/>
            </w:pPr>
          </w:p>
        </w:tc>
        <w:tc>
          <w:tcPr>
            <w:tcW w:w="412" w:type="pct"/>
            <w:shd w:val="clear" w:color="auto" w:fill="CCCCCC"/>
            <w:vAlign w:val="bottom"/>
          </w:tcPr>
          <w:p w14:paraId="038A54FF" w14:textId="77777777" w:rsidR="00DE76B1" w:rsidRDefault="00DE76B1" w:rsidP="001A5D4A">
            <w:pPr>
              <w:pStyle w:val="NotesTable-Notes"/>
            </w:pPr>
          </w:p>
        </w:tc>
        <w:tc>
          <w:tcPr>
            <w:tcW w:w="549" w:type="pct"/>
            <w:shd w:val="clear" w:color="auto" w:fill="CCCCCC"/>
          </w:tcPr>
          <w:p w14:paraId="038A5500" w14:textId="77777777" w:rsidR="00DE76B1" w:rsidRPr="004646E6" w:rsidRDefault="00DE76B1" w:rsidP="001A5D4A">
            <w:pPr>
              <w:pStyle w:val="NotesTable-CellBold"/>
            </w:pPr>
          </w:p>
        </w:tc>
        <w:tc>
          <w:tcPr>
            <w:tcW w:w="482" w:type="pct"/>
            <w:shd w:val="clear" w:color="auto" w:fill="CCCCCC"/>
          </w:tcPr>
          <w:p w14:paraId="038A5501" w14:textId="77777777" w:rsidR="00DE76B1" w:rsidRDefault="00DE76B1" w:rsidP="001A5D4A">
            <w:pPr>
              <w:pStyle w:val="NotesTable-CellPlain"/>
            </w:pPr>
          </w:p>
        </w:tc>
      </w:tr>
      <w:tr w:rsidR="00DE76B1" w14:paraId="038A5508" w14:textId="77777777" w:rsidTr="004B7414">
        <w:trPr>
          <w:cantSplit/>
          <w:trHeight w:val="207"/>
        </w:trPr>
        <w:tc>
          <w:tcPr>
            <w:tcW w:w="812" w:type="pct"/>
            <w:vAlign w:val="bottom"/>
          </w:tcPr>
          <w:p w14:paraId="038A5503" w14:textId="77777777" w:rsidR="00DE76B1" w:rsidRDefault="00DE76B1" w:rsidP="001A5D4A">
            <w:pPr>
              <w:pStyle w:val="Note-Refs"/>
            </w:pPr>
          </w:p>
        </w:tc>
        <w:tc>
          <w:tcPr>
            <w:tcW w:w="2745" w:type="pct"/>
            <w:gridSpan w:val="2"/>
            <w:shd w:val="clear" w:color="auto" w:fill="CCCCCC"/>
          </w:tcPr>
          <w:p w14:paraId="038A5504" w14:textId="292D2055" w:rsidR="00DE76B1" w:rsidRPr="0074467D" w:rsidRDefault="00F67F7F" w:rsidP="001A5D4A">
            <w:pPr>
              <w:pStyle w:val="NotesTable-ItemBold"/>
            </w:pPr>
            <w:r>
              <w:t>5</w:t>
            </w:r>
            <w:r w:rsidR="007E133A">
              <w:t>3</w:t>
            </w:r>
            <w:r>
              <w:t>j</w:t>
            </w:r>
            <w:r w:rsidR="00DE76B1" w:rsidRPr="0074467D">
              <w:t xml:space="preserve"> Student Services and Amenities Fee</w:t>
            </w:r>
          </w:p>
        </w:tc>
        <w:tc>
          <w:tcPr>
            <w:tcW w:w="412" w:type="pct"/>
            <w:shd w:val="clear" w:color="auto" w:fill="CCCCCC"/>
          </w:tcPr>
          <w:p w14:paraId="038A5505" w14:textId="77777777" w:rsidR="00DE76B1" w:rsidRDefault="00DE76B1" w:rsidP="001A5D4A">
            <w:pPr>
              <w:pStyle w:val="NotesTable-Notes"/>
            </w:pPr>
            <w:r>
              <w:t>Notes</w:t>
            </w:r>
          </w:p>
        </w:tc>
        <w:tc>
          <w:tcPr>
            <w:tcW w:w="549" w:type="pct"/>
            <w:shd w:val="clear" w:color="auto" w:fill="CCCCCC"/>
          </w:tcPr>
          <w:p w14:paraId="038A5506" w14:textId="5405B9B1" w:rsidR="00DE76B1" w:rsidRPr="004646E6" w:rsidRDefault="006864EC" w:rsidP="001A5D4A">
            <w:pPr>
              <w:pStyle w:val="NotesTable-HeadBold"/>
            </w:pPr>
            <w:r>
              <w:t>2014</w:t>
            </w:r>
          </w:p>
        </w:tc>
        <w:tc>
          <w:tcPr>
            <w:tcW w:w="482" w:type="pct"/>
            <w:shd w:val="clear" w:color="auto" w:fill="CCCCCC"/>
          </w:tcPr>
          <w:p w14:paraId="038A5507" w14:textId="7AB19968" w:rsidR="00DE76B1" w:rsidRDefault="006864EC" w:rsidP="001A5D4A">
            <w:pPr>
              <w:pStyle w:val="NotesTable-HeadPlain"/>
            </w:pPr>
            <w:r>
              <w:t>2013</w:t>
            </w:r>
          </w:p>
        </w:tc>
      </w:tr>
      <w:tr w:rsidR="00DE76B1" w14:paraId="038A550E" w14:textId="77777777" w:rsidTr="004B7414">
        <w:trPr>
          <w:cantSplit/>
          <w:trHeight w:val="207"/>
        </w:trPr>
        <w:tc>
          <w:tcPr>
            <w:tcW w:w="812" w:type="pct"/>
          </w:tcPr>
          <w:p w14:paraId="038A5509" w14:textId="77777777" w:rsidR="00DE76B1" w:rsidRDefault="00DE76B1" w:rsidP="001A5D4A">
            <w:pPr>
              <w:pStyle w:val="Note-Refs"/>
            </w:pPr>
          </w:p>
        </w:tc>
        <w:tc>
          <w:tcPr>
            <w:tcW w:w="2745" w:type="pct"/>
            <w:gridSpan w:val="2"/>
            <w:shd w:val="clear" w:color="auto" w:fill="CCCCCC"/>
          </w:tcPr>
          <w:p w14:paraId="038A550A" w14:textId="77777777" w:rsidR="00DE76B1" w:rsidRDefault="00DE76B1" w:rsidP="001A5D4A">
            <w:pPr>
              <w:pStyle w:val="NotesTable-ItemPlain"/>
            </w:pPr>
          </w:p>
        </w:tc>
        <w:tc>
          <w:tcPr>
            <w:tcW w:w="412" w:type="pct"/>
            <w:shd w:val="clear" w:color="auto" w:fill="CCCCCC"/>
          </w:tcPr>
          <w:p w14:paraId="038A550B" w14:textId="77777777" w:rsidR="00DE76B1" w:rsidRDefault="00DE76B1" w:rsidP="001A5D4A">
            <w:pPr>
              <w:pStyle w:val="NotesTable-Notes"/>
            </w:pPr>
          </w:p>
        </w:tc>
        <w:tc>
          <w:tcPr>
            <w:tcW w:w="549" w:type="pct"/>
            <w:shd w:val="clear" w:color="auto" w:fill="CCCCCC"/>
          </w:tcPr>
          <w:p w14:paraId="038A550C" w14:textId="77777777" w:rsidR="00DE76B1" w:rsidRPr="004646E6" w:rsidRDefault="00DE76B1" w:rsidP="001A5D4A">
            <w:pPr>
              <w:pStyle w:val="NotesTable-HeadBold"/>
            </w:pPr>
            <w:r>
              <w:t>$’000</w:t>
            </w:r>
          </w:p>
        </w:tc>
        <w:tc>
          <w:tcPr>
            <w:tcW w:w="482" w:type="pct"/>
            <w:shd w:val="clear" w:color="auto" w:fill="CCCCCC"/>
          </w:tcPr>
          <w:p w14:paraId="038A550D" w14:textId="77777777" w:rsidR="00DE76B1" w:rsidRDefault="00DE76B1" w:rsidP="001A5D4A">
            <w:pPr>
              <w:pStyle w:val="NotesTable-HeadPlain"/>
            </w:pPr>
            <w:r>
              <w:t>$’000</w:t>
            </w:r>
          </w:p>
        </w:tc>
      </w:tr>
      <w:tr w:rsidR="00DE76B1" w14:paraId="038A5514" w14:textId="77777777" w:rsidTr="004B7414">
        <w:trPr>
          <w:cantSplit/>
          <w:trHeight w:val="207"/>
        </w:trPr>
        <w:tc>
          <w:tcPr>
            <w:tcW w:w="812" w:type="pct"/>
          </w:tcPr>
          <w:p w14:paraId="038A550F" w14:textId="77777777" w:rsidR="00DE76B1" w:rsidRDefault="00DE76B1" w:rsidP="001A5D4A">
            <w:pPr>
              <w:pStyle w:val="Note-Refs"/>
            </w:pPr>
            <w:r>
              <w:t>A</w:t>
            </w:r>
          </w:p>
        </w:tc>
        <w:tc>
          <w:tcPr>
            <w:tcW w:w="2745" w:type="pct"/>
            <w:gridSpan w:val="2"/>
            <w:shd w:val="clear" w:color="auto" w:fill="CCCCCC"/>
          </w:tcPr>
          <w:p w14:paraId="038A5510" w14:textId="77777777" w:rsidR="00DE76B1" w:rsidRDefault="00DE76B1" w:rsidP="001A5D4A">
            <w:pPr>
              <w:pStyle w:val="NotesTable-ItemPlain"/>
              <w:rPr>
                <w:b/>
                <w:bCs/>
              </w:rPr>
            </w:pPr>
            <w:r>
              <w:t>Unspent/(overspent) revenue from previous period</w:t>
            </w:r>
          </w:p>
        </w:tc>
        <w:tc>
          <w:tcPr>
            <w:tcW w:w="412" w:type="pct"/>
            <w:shd w:val="clear" w:color="auto" w:fill="CCCCCC"/>
            <w:vAlign w:val="bottom"/>
          </w:tcPr>
          <w:p w14:paraId="038A5511" w14:textId="77777777" w:rsidR="00DE76B1" w:rsidRDefault="00DE76B1" w:rsidP="001A5D4A">
            <w:pPr>
              <w:pStyle w:val="NotesTable-Notes"/>
            </w:pPr>
            <w:r>
              <w:t> </w:t>
            </w:r>
          </w:p>
        </w:tc>
        <w:tc>
          <w:tcPr>
            <w:tcW w:w="549" w:type="pct"/>
            <w:shd w:val="clear" w:color="auto" w:fill="CCCCCC"/>
          </w:tcPr>
          <w:p w14:paraId="038A5512" w14:textId="77777777" w:rsidR="00DE76B1" w:rsidRPr="004646E6" w:rsidRDefault="00DE76B1" w:rsidP="001A5D4A">
            <w:pPr>
              <w:pStyle w:val="NotesTable-CellBold"/>
            </w:pPr>
            <w:r w:rsidRPr="004646E6">
              <w:t>–</w:t>
            </w:r>
          </w:p>
        </w:tc>
        <w:tc>
          <w:tcPr>
            <w:tcW w:w="482" w:type="pct"/>
            <w:shd w:val="clear" w:color="auto" w:fill="CCCCCC"/>
          </w:tcPr>
          <w:p w14:paraId="038A5513" w14:textId="77777777" w:rsidR="00DE76B1" w:rsidRDefault="00DE76B1" w:rsidP="001A5D4A">
            <w:pPr>
              <w:pStyle w:val="NotesTable-CellPlain"/>
            </w:pPr>
            <w:r>
              <w:t>–</w:t>
            </w:r>
          </w:p>
        </w:tc>
      </w:tr>
      <w:tr w:rsidR="00DE76B1" w14:paraId="038A551A" w14:textId="77777777" w:rsidTr="004B7414">
        <w:trPr>
          <w:cantSplit/>
          <w:trHeight w:val="207"/>
        </w:trPr>
        <w:tc>
          <w:tcPr>
            <w:tcW w:w="812" w:type="pct"/>
          </w:tcPr>
          <w:p w14:paraId="038A5515" w14:textId="77777777" w:rsidR="00DE76B1" w:rsidRDefault="00DE76B1" w:rsidP="001A5D4A">
            <w:pPr>
              <w:pStyle w:val="Note-Refs"/>
            </w:pPr>
            <w:r>
              <w:t>B</w:t>
            </w:r>
          </w:p>
        </w:tc>
        <w:tc>
          <w:tcPr>
            <w:tcW w:w="2745" w:type="pct"/>
            <w:gridSpan w:val="2"/>
            <w:shd w:val="clear" w:color="auto" w:fill="CCCCCC"/>
          </w:tcPr>
          <w:p w14:paraId="038A5516" w14:textId="77777777" w:rsidR="00DE76B1" w:rsidRDefault="00DE76B1" w:rsidP="001A5D4A">
            <w:pPr>
              <w:pStyle w:val="NotesTable-ItemPlain"/>
              <w:rPr>
                <w:b/>
                <w:bCs/>
              </w:rPr>
            </w:pPr>
            <w:r>
              <w:t>SA-HELP Revenue Earned</w:t>
            </w:r>
          </w:p>
        </w:tc>
        <w:tc>
          <w:tcPr>
            <w:tcW w:w="412" w:type="pct"/>
            <w:shd w:val="clear" w:color="auto" w:fill="CCCCCC"/>
            <w:vAlign w:val="bottom"/>
          </w:tcPr>
          <w:p w14:paraId="038A5517" w14:textId="77777777" w:rsidR="00DE76B1" w:rsidRDefault="00DE76B1" w:rsidP="001A5D4A">
            <w:pPr>
              <w:pStyle w:val="NotesTable-Notes"/>
            </w:pPr>
            <w:r>
              <w:t>3(b)</w:t>
            </w:r>
          </w:p>
        </w:tc>
        <w:tc>
          <w:tcPr>
            <w:tcW w:w="549" w:type="pct"/>
            <w:shd w:val="clear" w:color="auto" w:fill="CCCCCC"/>
          </w:tcPr>
          <w:p w14:paraId="038A5518" w14:textId="77777777" w:rsidR="00DE76B1" w:rsidRPr="004646E6" w:rsidRDefault="00DE76B1" w:rsidP="001A5D4A">
            <w:pPr>
              <w:pStyle w:val="NotesTable-CellBold"/>
            </w:pPr>
            <w:r w:rsidRPr="004646E6">
              <w:t>–</w:t>
            </w:r>
          </w:p>
        </w:tc>
        <w:tc>
          <w:tcPr>
            <w:tcW w:w="482" w:type="pct"/>
            <w:shd w:val="clear" w:color="auto" w:fill="CCCCCC"/>
          </w:tcPr>
          <w:p w14:paraId="038A5519" w14:textId="77777777" w:rsidR="00DE76B1" w:rsidRDefault="00DE76B1" w:rsidP="001A5D4A">
            <w:pPr>
              <w:pStyle w:val="NotesTable-CellPlain"/>
            </w:pPr>
            <w:r>
              <w:t>–</w:t>
            </w:r>
          </w:p>
        </w:tc>
      </w:tr>
      <w:tr w:rsidR="00DE76B1" w14:paraId="038A5520" w14:textId="77777777" w:rsidTr="004B7414">
        <w:trPr>
          <w:cantSplit/>
          <w:trHeight w:val="207"/>
        </w:trPr>
        <w:tc>
          <w:tcPr>
            <w:tcW w:w="812" w:type="pct"/>
          </w:tcPr>
          <w:p w14:paraId="038A551B" w14:textId="77777777" w:rsidR="00DE76B1" w:rsidRDefault="00DE76B1" w:rsidP="001A5D4A">
            <w:pPr>
              <w:pStyle w:val="Note-Refs"/>
            </w:pPr>
            <w:r>
              <w:t>C</w:t>
            </w:r>
          </w:p>
        </w:tc>
        <w:tc>
          <w:tcPr>
            <w:tcW w:w="2745" w:type="pct"/>
            <w:gridSpan w:val="2"/>
            <w:shd w:val="clear" w:color="auto" w:fill="CCCCCC"/>
          </w:tcPr>
          <w:p w14:paraId="038A551C" w14:textId="77777777" w:rsidR="00DE76B1" w:rsidRDefault="00DE76B1" w:rsidP="001A5D4A">
            <w:pPr>
              <w:pStyle w:val="NotesTable-ItemPlain"/>
              <w:rPr>
                <w:b/>
                <w:bCs/>
              </w:rPr>
            </w:pPr>
            <w:r>
              <w:t>Student Services</w:t>
            </w:r>
            <w:r w:rsidR="000D34D0">
              <w:t xml:space="preserve"> and Amenities</w:t>
            </w:r>
            <w:r>
              <w:t xml:space="preserve"> Fees direct from Students</w:t>
            </w:r>
          </w:p>
        </w:tc>
        <w:tc>
          <w:tcPr>
            <w:tcW w:w="412" w:type="pct"/>
            <w:shd w:val="clear" w:color="auto" w:fill="CCCCCC"/>
            <w:vAlign w:val="bottom"/>
          </w:tcPr>
          <w:p w14:paraId="038A551D" w14:textId="77777777" w:rsidR="00DE76B1" w:rsidRDefault="00DE76B1" w:rsidP="001A5D4A">
            <w:pPr>
              <w:pStyle w:val="NotesTable-Notes"/>
            </w:pPr>
            <w:r>
              <w:t>5</w:t>
            </w:r>
          </w:p>
        </w:tc>
        <w:tc>
          <w:tcPr>
            <w:tcW w:w="549" w:type="pct"/>
            <w:tcBorders>
              <w:bottom w:val="single" w:sz="8" w:space="0" w:color="auto"/>
            </w:tcBorders>
            <w:shd w:val="clear" w:color="auto" w:fill="CCCCCC"/>
          </w:tcPr>
          <w:p w14:paraId="038A551E" w14:textId="77777777" w:rsidR="00DE76B1" w:rsidRPr="004646E6" w:rsidRDefault="00DE76B1" w:rsidP="001A5D4A">
            <w:pPr>
              <w:pStyle w:val="NotesTable-CellBold"/>
            </w:pPr>
            <w:r w:rsidRPr="004646E6">
              <w:t>–</w:t>
            </w:r>
          </w:p>
        </w:tc>
        <w:tc>
          <w:tcPr>
            <w:tcW w:w="482" w:type="pct"/>
            <w:tcBorders>
              <w:bottom w:val="single" w:sz="8" w:space="0" w:color="auto"/>
            </w:tcBorders>
            <w:shd w:val="clear" w:color="auto" w:fill="CCCCCC"/>
          </w:tcPr>
          <w:p w14:paraId="038A551F" w14:textId="77777777" w:rsidR="00DE76B1" w:rsidRDefault="00DE76B1" w:rsidP="001A5D4A">
            <w:pPr>
              <w:pStyle w:val="NotesTable-CellPlain"/>
            </w:pPr>
            <w:r>
              <w:t>–</w:t>
            </w:r>
          </w:p>
        </w:tc>
      </w:tr>
      <w:tr w:rsidR="00DE76B1" w14:paraId="038A5526" w14:textId="77777777" w:rsidTr="004B7414">
        <w:trPr>
          <w:cantSplit/>
          <w:trHeight w:val="207"/>
        </w:trPr>
        <w:tc>
          <w:tcPr>
            <w:tcW w:w="812" w:type="pct"/>
          </w:tcPr>
          <w:p w14:paraId="038A5521" w14:textId="77777777" w:rsidR="00DE76B1" w:rsidRDefault="00DE76B1" w:rsidP="001A5D4A">
            <w:pPr>
              <w:pStyle w:val="Note-Refs"/>
              <w:rPr>
                <w:b/>
              </w:rPr>
            </w:pPr>
            <w:r>
              <w:t>D = A + B + C</w:t>
            </w:r>
          </w:p>
        </w:tc>
        <w:tc>
          <w:tcPr>
            <w:tcW w:w="2745" w:type="pct"/>
            <w:gridSpan w:val="2"/>
            <w:shd w:val="clear" w:color="auto" w:fill="CCCCCC"/>
          </w:tcPr>
          <w:p w14:paraId="038A5522" w14:textId="77777777" w:rsidR="00DE76B1" w:rsidRDefault="00DE76B1" w:rsidP="001A5D4A">
            <w:pPr>
              <w:pStyle w:val="NotesTable-ItemPlain"/>
              <w:rPr>
                <w:b/>
                <w:bCs/>
              </w:rPr>
            </w:pPr>
            <w:r>
              <w:t>Total revenue expendable in period</w:t>
            </w:r>
          </w:p>
        </w:tc>
        <w:tc>
          <w:tcPr>
            <w:tcW w:w="412" w:type="pct"/>
            <w:shd w:val="clear" w:color="auto" w:fill="CCCCCC"/>
            <w:vAlign w:val="bottom"/>
          </w:tcPr>
          <w:p w14:paraId="038A5523" w14:textId="77777777" w:rsidR="00DE76B1" w:rsidRDefault="00DE76B1" w:rsidP="001A5D4A">
            <w:pPr>
              <w:pStyle w:val="NotesTable-Notes"/>
            </w:pPr>
            <w:r>
              <w:t> </w:t>
            </w:r>
          </w:p>
        </w:tc>
        <w:tc>
          <w:tcPr>
            <w:tcW w:w="549" w:type="pct"/>
            <w:tcBorders>
              <w:top w:val="single" w:sz="8" w:space="0" w:color="auto"/>
            </w:tcBorders>
            <w:shd w:val="clear" w:color="auto" w:fill="CCCCCC"/>
          </w:tcPr>
          <w:p w14:paraId="038A5524" w14:textId="77777777" w:rsidR="00DE76B1" w:rsidRPr="004646E6" w:rsidRDefault="00DE76B1" w:rsidP="001A5D4A">
            <w:pPr>
              <w:pStyle w:val="NotesTable-CellBold"/>
            </w:pPr>
            <w:r w:rsidRPr="004646E6">
              <w:t>–</w:t>
            </w:r>
          </w:p>
        </w:tc>
        <w:tc>
          <w:tcPr>
            <w:tcW w:w="482" w:type="pct"/>
            <w:tcBorders>
              <w:top w:val="single" w:sz="8" w:space="0" w:color="auto"/>
            </w:tcBorders>
            <w:shd w:val="clear" w:color="auto" w:fill="CCCCCC"/>
          </w:tcPr>
          <w:p w14:paraId="038A5525" w14:textId="77777777" w:rsidR="00DE76B1" w:rsidRDefault="00DE76B1" w:rsidP="001A5D4A">
            <w:pPr>
              <w:pStyle w:val="NotesTable-CellPlain"/>
            </w:pPr>
            <w:r>
              <w:t>–</w:t>
            </w:r>
          </w:p>
        </w:tc>
      </w:tr>
      <w:tr w:rsidR="00DE76B1" w14:paraId="038A552C" w14:textId="77777777" w:rsidTr="004B7414">
        <w:trPr>
          <w:cantSplit/>
          <w:trHeight w:val="207"/>
        </w:trPr>
        <w:tc>
          <w:tcPr>
            <w:tcW w:w="812" w:type="pct"/>
          </w:tcPr>
          <w:p w14:paraId="038A5527" w14:textId="77777777" w:rsidR="00DE76B1" w:rsidRDefault="00DE76B1" w:rsidP="001A5D4A">
            <w:pPr>
              <w:pStyle w:val="Note-Refs"/>
            </w:pPr>
            <w:r>
              <w:t>E</w:t>
            </w:r>
          </w:p>
        </w:tc>
        <w:tc>
          <w:tcPr>
            <w:tcW w:w="2745" w:type="pct"/>
            <w:gridSpan w:val="2"/>
            <w:shd w:val="clear" w:color="auto" w:fill="CCCCCC"/>
          </w:tcPr>
          <w:p w14:paraId="038A5528" w14:textId="77777777" w:rsidR="00DE76B1" w:rsidRDefault="00DE76B1" w:rsidP="001A5D4A">
            <w:pPr>
              <w:pStyle w:val="NotesTable-ItemPlain"/>
              <w:rPr>
                <w:b/>
                <w:bCs/>
              </w:rPr>
            </w:pPr>
            <w:r>
              <w:t>Student Services expenses during period</w:t>
            </w:r>
          </w:p>
        </w:tc>
        <w:tc>
          <w:tcPr>
            <w:tcW w:w="412" w:type="pct"/>
            <w:shd w:val="clear" w:color="auto" w:fill="CCCCCC"/>
            <w:vAlign w:val="bottom"/>
          </w:tcPr>
          <w:p w14:paraId="038A5529" w14:textId="77777777" w:rsidR="00DE76B1" w:rsidRDefault="00DE76B1" w:rsidP="001A5D4A">
            <w:pPr>
              <w:pStyle w:val="NotesTable-Notes"/>
            </w:pPr>
            <w:r>
              <w:t> </w:t>
            </w:r>
          </w:p>
        </w:tc>
        <w:tc>
          <w:tcPr>
            <w:tcW w:w="549" w:type="pct"/>
            <w:tcBorders>
              <w:bottom w:val="single" w:sz="8" w:space="0" w:color="auto"/>
            </w:tcBorders>
            <w:shd w:val="clear" w:color="auto" w:fill="CCCCCC"/>
          </w:tcPr>
          <w:p w14:paraId="038A552A" w14:textId="77777777" w:rsidR="00DE76B1" w:rsidRPr="004646E6" w:rsidRDefault="00DE76B1" w:rsidP="001A5D4A">
            <w:pPr>
              <w:pStyle w:val="NotesTable-CellBold"/>
            </w:pPr>
            <w:r w:rsidRPr="004646E6">
              <w:t>–</w:t>
            </w:r>
          </w:p>
        </w:tc>
        <w:tc>
          <w:tcPr>
            <w:tcW w:w="482" w:type="pct"/>
            <w:tcBorders>
              <w:bottom w:val="single" w:sz="8" w:space="0" w:color="auto"/>
            </w:tcBorders>
            <w:shd w:val="clear" w:color="auto" w:fill="CCCCCC"/>
          </w:tcPr>
          <w:p w14:paraId="038A552B" w14:textId="77777777" w:rsidR="00DE76B1" w:rsidRDefault="00DE76B1" w:rsidP="001A5D4A">
            <w:pPr>
              <w:pStyle w:val="NotesTable-CellPlain"/>
            </w:pPr>
            <w:r>
              <w:t>–</w:t>
            </w:r>
          </w:p>
        </w:tc>
      </w:tr>
      <w:tr w:rsidR="00DE76B1" w14:paraId="038A5532" w14:textId="77777777" w:rsidTr="004B7414">
        <w:trPr>
          <w:cantSplit/>
          <w:trHeight w:val="207"/>
        </w:trPr>
        <w:tc>
          <w:tcPr>
            <w:tcW w:w="812" w:type="pct"/>
          </w:tcPr>
          <w:p w14:paraId="038A552D" w14:textId="77777777" w:rsidR="00DE76B1" w:rsidRDefault="00DE76B1" w:rsidP="001A5D4A">
            <w:pPr>
              <w:pStyle w:val="Note-Refs"/>
              <w:rPr>
                <w:b/>
              </w:rPr>
            </w:pPr>
            <w:r>
              <w:t>F = E - D</w:t>
            </w:r>
          </w:p>
        </w:tc>
        <w:tc>
          <w:tcPr>
            <w:tcW w:w="2745" w:type="pct"/>
            <w:gridSpan w:val="2"/>
            <w:shd w:val="clear" w:color="auto" w:fill="CCCCCC"/>
          </w:tcPr>
          <w:p w14:paraId="038A552E" w14:textId="77777777" w:rsidR="00DE76B1" w:rsidRDefault="00DE76B1" w:rsidP="001A5D4A">
            <w:pPr>
              <w:pStyle w:val="NotesTable-ItemPlain"/>
              <w:rPr>
                <w:b/>
                <w:bCs/>
              </w:rPr>
            </w:pPr>
            <w:r>
              <w:t>Unspent/(overspent) Student Services Revenue</w:t>
            </w:r>
          </w:p>
        </w:tc>
        <w:tc>
          <w:tcPr>
            <w:tcW w:w="412" w:type="pct"/>
            <w:shd w:val="clear" w:color="auto" w:fill="CCCCCC"/>
            <w:vAlign w:val="bottom"/>
          </w:tcPr>
          <w:p w14:paraId="038A552F" w14:textId="77777777" w:rsidR="00DE76B1" w:rsidRDefault="00DE76B1" w:rsidP="001A5D4A">
            <w:pPr>
              <w:pStyle w:val="NotesTable-Notes"/>
            </w:pPr>
            <w:r>
              <w:t> </w:t>
            </w:r>
          </w:p>
        </w:tc>
        <w:tc>
          <w:tcPr>
            <w:tcW w:w="549" w:type="pct"/>
            <w:tcBorders>
              <w:top w:val="single" w:sz="8" w:space="0" w:color="auto"/>
              <w:bottom w:val="single" w:sz="8" w:space="0" w:color="auto"/>
            </w:tcBorders>
            <w:shd w:val="clear" w:color="auto" w:fill="CCCCCC"/>
          </w:tcPr>
          <w:p w14:paraId="038A5530" w14:textId="77777777" w:rsidR="00DE76B1" w:rsidRPr="004646E6" w:rsidRDefault="00DE76B1" w:rsidP="001A5D4A">
            <w:pPr>
              <w:pStyle w:val="NotesTable-CellBold"/>
            </w:pPr>
            <w:r w:rsidRPr="004646E6">
              <w:t>–</w:t>
            </w:r>
          </w:p>
        </w:tc>
        <w:tc>
          <w:tcPr>
            <w:tcW w:w="482" w:type="pct"/>
            <w:tcBorders>
              <w:top w:val="single" w:sz="8" w:space="0" w:color="auto"/>
              <w:bottom w:val="single" w:sz="8" w:space="0" w:color="auto"/>
            </w:tcBorders>
            <w:shd w:val="clear" w:color="auto" w:fill="CCCCCC"/>
          </w:tcPr>
          <w:p w14:paraId="038A5531" w14:textId="77777777" w:rsidR="00DE76B1" w:rsidRDefault="00DE76B1" w:rsidP="001A5D4A">
            <w:pPr>
              <w:pStyle w:val="NotesTable-CellPlain"/>
            </w:pPr>
            <w:r>
              <w:t>–</w:t>
            </w:r>
          </w:p>
        </w:tc>
      </w:tr>
      <w:tr w:rsidR="00DE76B1" w14:paraId="038A5538" w14:textId="77777777" w:rsidTr="004B7414">
        <w:trPr>
          <w:cantSplit/>
          <w:trHeight w:val="207"/>
        </w:trPr>
        <w:tc>
          <w:tcPr>
            <w:tcW w:w="812" w:type="pct"/>
          </w:tcPr>
          <w:p w14:paraId="038A5533" w14:textId="77777777" w:rsidR="00DE76B1" w:rsidRDefault="00DE76B1" w:rsidP="001A5D4A">
            <w:pPr>
              <w:pStyle w:val="Note-Refs"/>
            </w:pPr>
          </w:p>
        </w:tc>
        <w:tc>
          <w:tcPr>
            <w:tcW w:w="2745" w:type="pct"/>
            <w:gridSpan w:val="2"/>
            <w:shd w:val="clear" w:color="auto" w:fill="CCCCCC"/>
          </w:tcPr>
          <w:p w14:paraId="038A5534" w14:textId="77777777" w:rsidR="00DE76B1" w:rsidRDefault="00DE76B1" w:rsidP="001A5D4A">
            <w:pPr>
              <w:pStyle w:val="NotesTable-ItemPlain"/>
            </w:pPr>
          </w:p>
        </w:tc>
        <w:tc>
          <w:tcPr>
            <w:tcW w:w="412" w:type="pct"/>
            <w:shd w:val="clear" w:color="auto" w:fill="CCCCCC"/>
          </w:tcPr>
          <w:p w14:paraId="038A5535" w14:textId="77777777" w:rsidR="00DE76B1" w:rsidRDefault="00DE76B1" w:rsidP="001A5D4A">
            <w:pPr>
              <w:pStyle w:val="NotesTable-Notes"/>
            </w:pPr>
          </w:p>
        </w:tc>
        <w:tc>
          <w:tcPr>
            <w:tcW w:w="549" w:type="pct"/>
            <w:tcBorders>
              <w:top w:val="single" w:sz="8" w:space="0" w:color="auto"/>
            </w:tcBorders>
            <w:shd w:val="clear" w:color="auto" w:fill="CCCCCC"/>
          </w:tcPr>
          <w:p w14:paraId="038A5536" w14:textId="77777777" w:rsidR="00DE76B1" w:rsidRPr="004646E6" w:rsidRDefault="00DE76B1" w:rsidP="001A5D4A">
            <w:pPr>
              <w:pStyle w:val="NotesTable-CellBold"/>
            </w:pPr>
          </w:p>
        </w:tc>
        <w:tc>
          <w:tcPr>
            <w:tcW w:w="482" w:type="pct"/>
            <w:tcBorders>
              <w:top w:val="single" w:sz="8" w:space="0" w:color="auto"/>
            </w:tcBorders>
            <w:shd w:val="clear" w:color="auto" w:fill="CCCCCC"/>
          </w:tcPr>
          <w:p w14:paraId="038A5537" w14:textId="77777777" w:rsidR="00DE76B1" w:rsidRDefault="00DE76B1" w:rsidP="001A5D4A">
            <w:pPr>
              <w:pStyle w:val="NotesTable-CellPlain"/>
            </w:pPr>
          </w:p>
        </w:tc>
      </w:tr>
    </w:tbl>
    <w:p w14:paraId="53A84545" w14:textId="77777777" w:rsidR="00210017" w:rsidRPr="006D022E" w:rsidRDefault="00210017" w:rsidP="001A5D4A">
      <w:r w:rsidRPr="006D022E">
        <w:br w:type="page"/>
      </w:r>
    </w:p>
    <w:p w14:paraId="33A813DB" w14:textId="7472DAFD" w:rsidR="00210017" w:rsidRPr="000D1053" w:rsidRDefault="00210017" w:rsidP="001A5D4A">
      <w:pPr>
        <w:pStyle w:val="Heading3"/>
        <w:rPr>
          <w:color w:val="2D3E7B" w:themeColor="text2" w:themeShade="BF"/>
        </w:rPr>
      </w:pPr>
      <w:bookmarkStart w:id="440" w:name="_Toc410807691"/>
      <w:bookmarkStart w:id="441" w:name="_Toc410822752"/>
      <w:r w:rsidRPr="000D1053">
        <w:rPr>
          <w:color w:val="2D3E7B" w:themeColor="text2" w:themeShade="BF"/>
        </w:rPr>
        <w:lastRenderedPageBreak/>
        <w:t>Commentary - Acquittal of Australian Government financial assistance</w:t>
      </w:r>
      <w:bookmarkEnd w:id="440"/>
      <w:bookmarkEnd w:id="441"/>
    </w:p>
    <w:p w14:paraId="50775F81" w14:textId="77777777" w:rsidR="00210017" w:rsidRPr="004B7414" w:rsidRDefault="00210017" w:rsidP="004B7414">
      <w:pPr>
        <w:pStyle w:val="Heading4"/>
        <w:rPr>
          <w:color w:val="2D3E7B" w:themeColor="text2" w:themeShade="BF"/>
          <w14:textFill>
            <w14:solidFill>
              <w14:schemeClr w14:val="tx2">
                <w14:lumMod w14:val="75000"/>
                <w14:lumMod w14:val="75000"/>
              </w14:schemeClr>
            </w14:solidFill>
          </w14:textFill>
        </w:rPr>
      </w:pPr>
      <w:r w:rsidRPr="004B7414">
        <w:rPr>
          <w:color w:val="2D3E7B" w:themeColor="text2" w:themeShade="BF"/>
          <w14:textFill>
            <w14:solidFill>
              <w14:schemeClr w14:val="tx2">
                <w14:lumMod w14:val="75000"/>
                <w14:lumMod w14:val="75000"/>
              </w14:schemeClr>
            </w14:solidFill>
          </w14:textFill>
        </w:rPr>
        <w:t>Acquittal of Australian Government Financial Assistance</w:t>
      </w:r>
    </w:p>
    <w:p w14:paraId="5C308E8C" w14:textId="77777777" w:rsidR="004B7414" w:rsidRPr="004B7414" w:rsidRDefault="004B7414" w:rsidP="00655761">
      <w:pPr>
        <w:pStyle w:val="Heading6"/>
      </w:pPr>
      <w:r w:rsidRPr="004B7414">
        <w:t>Education</w:t>
      </w:r>
    </w:p>
    <w:p w14:paraId="1519EC87" w14:textId="77777777" w:rsidR="00210017" w:rsidRPr="000D1053" w:rsidRDefault="00210017" w:rsidP="00210017">
      <w:pPr>
        <w:rPr>
          <w:color w:val="2D3E7B" w:themeColor="text2" w:themeShade="BF"/>
        </w:rPr>
      </w:pPr>
      <w:r w:rsidRPr="000D1053">
        <w:rPr>
          <w:color w:val="2D3E7B" w:themeColor="text2" w:themeShade="BF"/>
        </w:rPr>
        <w:t>This disclosure provides information to the Department of Education and the ARC to gain assurance that monies appropriated by the Australian Government have been spent for the purpose(s) for which they were appropriated.</w:t>
      </w:r>
    </w:p>
    <w:p w14:paraId="40323350" w14:textId="77777777" w:rsidR="00210017" w:rsidRPr="000D1053" w:rsidRDefault="00210017" w:rsidP="00210017">
      <w:pPr>
        <w:rPr>
          <w:color w:val="2D3E7B" w:themeColor="text2" w:themeShade="BF"/>
        </w:rPr>
      </w:pPr>
      <w:r w:rsidRPr="000D1053">
        <w:rPr>
          <w:color w:val="2D3E7B" w:themeColor="text2" w:themeShade="BF"/>
        </w:rPr>
        <w:t>In the Guidelines for the 2014 reporting period, row ‘A’ seeks information on the ‘total CASH amount’ received from the Australian Government (Education or ARC) for the specified program during the reporting period. Only ‘actual cash amounts’ received during the reporting period should be reported in this row. As part of the acquittal process, these amounts are compared against Education financial systems and any variance to the actual cash received in a period will result in requests for clarification from the Institution.</w:t>
      </w:r>
    </w:p>
    <w:p w14:paraId="49DDA23C" w14:textId="77777777" w:rsidR="00210017" w:rsidRPr="000D1053" w:rsidRDefault="00210017" w:rsidP="00210017">
      <w:pPr>
        <w:rPr>
          <w:color w:val="2D3E7B" w:themeColor="text2" w:themeShade="BF"/>
        </w:rPr>
      </w:pPr>
      <w:r w:rsidRPr="000D1053">
        <w:rPr>
          <w:color w:val="2D3E7B" w:themeColor="text2" w:themeShade="BF"/>
        </w:rPr>
        <w:t>For each category of Australian Government financial assistance, the ‘cash’ amounts disclosed under ‘Total’ in row ‘</w:t>
      </w:r>
      <w:proofErr w:type="gramStart"/>
      <w:r w:rsidRPr="000D1053">
        <w:rPr>
          <w:color w:val="2D3E7B" w:themeColor="text2" w:themeShade="BF"/>
        </w:rPr>
        <w:t>A</w:t>
      </w:r>
      <w:proofErr w:type="gramEnd"/>
      <w:r w:rsidRPr="000D1053">
        <w:rPr>
          <w:color w:val="2D3E7B" w:themeColor="text2" w:themeShade="BF"/>
        </w:rPr>
        <w:t>’ in notes 53a, 53b, 53c, 53d, 53e, 53h and 53i must match the figures for the relevant categories in the Statement of cash flows and note 3(i)</w:t>
      </w:r>
    </w:p>
    <w:p w14:paraId="59B03190" w14:textId="77777777" w:rsidR="00210017" w:rsidRPr="000D1053" w:rsidRDefault="00210017" w:rsidP="00210017">
      <w:pPr>
        <w:rPr>
          <w:color w:val="2D3E7B" w:themeColor="text2" w:themeShade="BF"/>
        </w:rPr>
      </w:pPr>
      <w:r w:rsidRPr="000D1053">
        <w:rPr>
          <w:color w:val="2D3E7B" w:themeColor="text2" w:themeShade="BF"/>
        </w:rPr>
        <w:t>Row ‘B’ refers to ‘net’ accrual adjustments such as transfers to/from other HEPs, recoveries of prior year financial assistance etc. Generally government grants should be recognised as income when received in accordance with AASB1004. As such, commentary on accrual adjustment for programs except HELP should be included in the commentary.</w:t>
      </w:r>
    </w:p>
    <w:p w14:paraId="6CDF5F8B" w14:textId="6BC0B950" w:rsidR="00210017" w:rsidRPr="000D1053" w:rsidRDefault="00210017" w:rsidP="00210017">
      <w:pPr>
        <w:rPr>
          <w:color w:val="2D3E7B" w:themeColor="text2" w:themeShade="BF"/>
        </w:rPr>
      </w:pPr>
      <w:r w:rsidRPr="000D1053">
        <w:rPr>
          <w:color w:val="2D3E7B" w:themeColor="text2" w:themeShade="BF"/>
        </w:rPr>
        <w:t>For each category of Australian Government financial assistance, the amounts disclosed under Revenue for the period’ in both the income statement and note 3 (a) to (h) should be equal to the amounts disclosed in row ‘C’ in notes 53a, 53b, 53c, 53d, 53e and 53g. The amount disclosed in row ‘A’ should be equal to the amounts disclosed in the note 3(i) and the statement of cash flows.</w:t>
      </w:r>
    </w:p>
    <w:p w14:paraId="4AEBA594" w14:textId="77777777" w:rsidR="00210017" w:rsidRPr="000D1053" w:rsidRDefault="00210017" w:rsidP="00210017">
      <w:pPr>
        <w:rPr>
          <w:color w:val="2D3E7B" w:themeColor="text2" w:themeShade="BF"/>
        </w:rPr>
      </w:pPr>
      <w:r w:rsidRPr="000D1053">
        <w:rPr>
          <w:color w:val="2D3E7B" w:themeColor="text2" w:themeShade="BF"/>
        </w:rPr>
        <w:t>OS-HELP should not be recognised as revenue. Row ‘C’ should be disclosed in note 3(i) and explicitly in the statement of cash flows.</w:t>
      </w:r>
    </w:p>
    <w:p w14:paraId="0FA0A902" w14:textId="77777777" w:rsidR="00210017" w:rsidRPr="000D1053" w:rsidRDefault="00210017" w:rsidP="00210017">
      <w:pPr>
        <w:rPr>
          <w:color w:val="2D3E7B" w:themeColor="text2" w:themeShade="BF"/>
        </w:rPr>
      </w:pPr>
      <w:r w:rsidRPr="000D1053">
        <w:rPr>
          <w:color w:val="2D3E7B" w:themeColor="text2" w:themeShade="BF"/>
        </w:rPr>
        <w:t>Superannuation Supplementation funding row ‘A’ should be disclosed in note 3(i) and explicitly in the statement of cash flows. Revenue and expense items relevant to the Superannuation Supplementation program are included in the defined benefit obligation disclosures at note 53.</w:t>
      </w:r>
    </w:p>
    <w:p w14:paraId="19DF940D" w14:textId="77777777" w:rsidR="00210017" w:rsidRPr="000D1053" w:rsidRDefault="00210017" w:rsidP="00210017">
      <w:pPr>
        <w:rPr>
          <w:color w:val="2D3E7B" w:themeColor="text2" w:themeShade="BF"/>
        </w:rPr>
      </w:pPr>
      <w:r w:rsidRPr="000D1053">
        <w:rPr>
          <w:color w:val="2D3E7B" w:themeColor="text2" w:themeShade="BF"/>
        </w:rPr>
        <w:t>‘Reasonable assurance’ is defined in ASA 200 – Objective and General Principles Governing an Audit of a financial report. It is the Department of Education’s expectation that, in relation to ‘Expenses for current period’ in notes 53a, 53b, 53c, 53d, 53e, 53f, 53g, 53h and 53i HEPs are mindful of the definition of ‘reasonable assurance’ in the systems and procedures they implement.</w:t>
      </w:r>
    </w:p>
    <w:p w14:paraId="4BB93610" w14:textId="77777777" w:rsidR="00210017" w:rsidRPr="000D1053" w:rsidRDefault="00210017" w:rsidP="000D1053">
      <w:pPr>
        <w:pBdr>
          <w:top w:val="single" w:sz="8" w:space="1" w:color="2D3E7B" w:themeColor="text2" w:themeShade="BF"/>
          <w:left w:val="single" w:sz="8" w:space="4" w:color="2D3E7B" w:themeColor="text2" w:themeShade="BF"/>
          <w:bottom w:val="single" w:sz="8" w:space="1" w:color="2D3E7B" w:themeColor="text2" w:themeShade="BF"/>
          <w:right w:val="single" w:sz="8" w:space="4" w:color="2D3E7B" w:themeColor="text2" w:themeShade="BF"/>
          <w:between w:val="single" w:sz="8" w:space="1" w:color="2D3E7B" w:themeColor="text2" w:themeShade="BF"/>
          <w:bar w:val="single" w:sz="8" w:color="2D3E7B" w:themeColor="text2" w:themeShade="BF"/>
        </w:pBdr>
        <w:rPr>
          <w:color w:val="2D3E7B" w:themeColor="text2" w:themeShade="BF"/>
        </w:rPr>
      </w:pPr>
      <w:proofErr w:type="gramStart"/>
      <w:r w:rsidRPr="000D1053">
        <w:rPr>
          <w:color w:val="2D3E7B" w:themeColor="text2" w:themeShade="BF"/>
        </w:rPr>
        <w:t>Note 53.</w:t>
      </w:r>
      <w:proofErr w:type="gramEnd"/>
      <w:r w:rsidRPr="000D1053">
        <w:rPr>
          <w:color w:val="2D3E7B" w:themeColor="text2" w:themeShade="BF"/>
        </w:rPr>
        <w:t xml:space="preserve"> (Student Services and Amenities Fees) disclosure is mandatory.</w:t>
      </w:r>
    </w:p>
    <w:p w14:paraId="00940D86" w14:textId="77777777" w:rsidR="00210017" w:rsidRPr="000D1053" w:rsidRDefault="00210017" w:rsidP="00210017">
      <w:pPr>
        <w:rPr>
          <w:color w:val="2D3E7B" w:themeColor="text2" w:themeShade="BF"/>
        </w:rPr>
      </w:pPr>
      <w:r w:rsidRPr="000D1053">
        <w:rPr>
          <w:color w:val="2D3E7B" w:themeColor="text2" w:themeShade="BF"/>
        </w:rPr>
        <w:t>The Education Research footnote #7 in respect of note 53d is included to automatically instigate rollover procedures for the funds indicated. If this footnote is not included it will be understood that the university intends to return Education Research surplus to Education. Each program for which a rollover is sought should be identified (including amount of rollover for that program) in the footnote.</w:t>
      </w:r>
    </w:p>
    <w:p w14:paraId="2E44D7A9" w14:textId="353060EE" w:rsidR="001A5292" w:rsidRPr="000D1053" w:rsidRDefault="00210017" w:rsidP="00F81E1E">
      <w:pPr>
        <w:pBdr>
          <w:top w:val="single" w:sz="4" w:space="1" w:color="2D3E7B" w:themeColor="text2" w:themeShade="BF"/>
          <w:left w:val="single" w:sz="4" w:space="4" w:color="2D3E7B" w:themeColor="text2" w:themeShade="BF"/>
          <w:bottom w:val="single" w:sz="4" w:space="1" w:color="2D3E7B" w:themeColor="text2" w:themeShade="BF"/>
          <w:right w:val="single" w:sz="4" w:space="4" w:color="2D3E7B" w:themeColor="text2" w:themeShade="BF"/>
        </w:pBdr>
      </w:pPr>
      <w:r w:rsidRPr="000D1053">
        <w:rPr>
          <w:color w:val="2D3E7B" w:themeColor="text2" w:themeShade="BF"/>
        </w:rPr>
        <w:t>You should note that giving false or misleading information is a serious offence.</w:t>
      </w:r>
      <w:r w:rsidR="001A5292">
        <w:br w:type="page"/>
      </w:r>
    </w:p>
    <w:p w14:paraId="6AAA6E9F" w14:textId="10C03EE0" w:rsidR="001A5D4A" w:rsidRPr="004B7414" w:rsidRDefault="001A5D4A" w:rsidP="001A5D4A">
      <w:pPr>
        <w:pStyle w:val="Heading1"/>
      </w:pPr>
      <w:bookmarkStart w:id="442" w:name="_Toc410807692"/>
      <w:bookmarkStart w:id="443" w:name="_Toc410822753"/>
      <w:bookmarkStart w:id="444" w:name="_Toc411854288"/>
      <w:bookmarkStart w:id="445" w:name="_Toc411854321"/>
      <w:r w:rsidRPr="004B7414">
        <w:lastRenderedPageBreak/>
        <w:t>Certifications</w:t>
      </w:r>
      <w:bookmarkEnd w:id="442"/>
      <w:bookmarkEnd w:id="443"/>
      <w:bookmarkEnd w:id="444"/>
      <w:bookmarkEnd w:id="445"/>
    </w:p>
    <w:p w14:paraId="2762B4D6" w14:textId="77777777" w:rsidR="001A5D4A" w:rsidRPr="004B7414" w:rsidRDefault="001A5D4A" w:rsidP="004B7414">
      <w:pPr>
        <w:pStyle w:val="Heading2"/>
      </w:pPr>
      <w:r w:rsidRPr="004B7414">
        <w:t>Commentary - Certifications</w:t>
      </w:r>
    </w:p>
    <w:p w14:paraId="6644B283" w14:textId="77777777" w:rsidR="000D1053" w:rsidRPr="004B7414" w:rsidRDefault="000D1053" w:rsidP="004B7414">
      <w:pPr>
        <w:pStyle w:val="Heading3"/>
      </w:pPr>
      <w:r w:rsidRPr="004B7414">
        <w:t>Mandatory - Required certifications</w:t>
      </w:r>
    </w:p>
    <w:p w14:paraId="45B708D7" w14:textId="77777777" w:rsidR="00CA4A83" w:rsidRPr="004B7414" w:rsidRDefault="00CA4A83" w:rsidP="00655761">
      <w:pPr>
        <w:pStyle w:val="Heading6"/>
      </w:pPr>
      <w:r w:rsidRPr="004B7414">
        <w:t>Education</w:t>
      </w:r>
    </w:p>
    <w:p w14:paraId="1C7C9C7E" w14:textId="77777777" w:rsidR="000D1053" w:rsidRPr="00440E32" w:rsidRDefault="000D1053" w:rsidP="000D1053">
      <w:pPr>
        <w:rPr>
          <w:color w:val="2D3E7B" w:themeColor="text2" w:themeShade="BF"/>
        </w:rPr>
      </w:pPr>
      <w:r w:rsidRPr="00440E32">
        <w:rPr>
          <w:color w:val="2D3E7B" w:themeColor="text2" w:themeShade="BF"/>
        </w:rPr>
        <w:t>Certifications relating to the integrity of the financial statements vary across the States and Territories in Australia according to the reporting requirements of the jurisdiction.</w:t>
      </w:r>
    </w:p>
    <w:p w14:paraId="18A16325" w14:textId="77777777" w:rsidR="000D1053" w:rsidRPr="00440E32" w:rsidRDefault="000D1053" w:rsidP="000D1053">
      <w:pPr>
        <w:rPr>
          <w:color w:val="2D3E7B" w:themeColor="text2" w:themeShade="BF"/>
        </w:rPr>
      </w:pPr>
      <w:r w:rsidRPr="00440E32">
        <w:rPr>
          <w:color w:val="2D3E7B" w:themeColor="text2" w:themeShade="BF"/>
        </w:rPr>
        <w:t xml:space="preserve">Another variation across jurisdictions is the position(s) or office(s) of the person(s) who are able to be signatories of the certifications. In some jurisdictions, Board Members (or members of the governing council) of the HEP are signatories while in others the signatories are the Vice-Chancellor/Chief Executive Officer and the Chief Finance Officer. </w:t>
      </w:r>
    </w:p>
    <w:p w14:paraId="664BDFE4" w14:textId="77777777" w:rsidR="000D1053" w:rsidRPr="00440E32" w:rsidRDefault="000D1053" w:rsidP="000D1053">
      <w:pPr>
        <w:rPr>
          <w:color w:val="2D3E7B" w:themeColor="text2" w:themeShade="BF"/>
        </w:rPr>
      </w:pPr>
      <w:r w:rsidRPr="00440E32">
        <w:rPr>
          <w:color w:val="2D3E7B" w:themeColor="text2" w:themeShade="BF"/>
        </w:rPr>
        <w:t>The Department of Education requires that a HEP include the following two declarations in its “Statement of Certification(s)” signed by the Vice-Chancellor (or Chief Executive Officer) and a Member on behalf of the Board (or governing body</w:t>
      </w:r>
      <w:proofErr w:type="gramStart"/>
      <w:r w:rsidRPr="00440E32">
        <w:rPr>
          <w:color w:val="2D3E7B" w:themeColor="text2" w:themeShade="BF"/>
        </w:rPr>
        <w:t>) declaring</w:t>
      </w:r>
      <w:proofErr w:type="gramEnd"/>
      <w:r w:rsidRPr="00440E32">
        <w:rPr>
          <w:color w:val="2D3E7B" w:themeColor="text2" w:themeShade="BF"/>
        </w:rPr>
        <w:t xml:space="preserve"> the following:</w:t>
      </w:r>
    </w:p>
    <w:p w14:paraId="1346AC3B" w14:textId="77777777" w:rsidR="000D1053" w:rsidRPr="00440E32" w:rsidRDefault="000D1053" w:rsidP="000D1053">
      <w:pPr>
        <w:rPr>
          <w:color w:val="2D3E7B" w:themeColor="text2" w:themeShade="BF"/>
        </w:rPr>
      </w:pPr>
      <w:r w:rsidRPr="00440E32">
        <w:rPr>
          <w:color w:val="2D3E7B" w:themeColor="text2" w:themeShade="BF"/>
        </w:rPr>
        <w:t>The amount of Australian Government financial assistance expended during the reporting period was for the purpose(s) for which it was intended and [HEP] has complied with applicable legislation, contracts, agreements and program guidelines in making expenditure.</w:t>
      </w:r>
    </w:p>
    <w:p w14:paraId="67CB185C" w14:textId="77777777" w:rsidR="000D1053" w:rsidRPr="00440E32" w:rsidRDefault="000D1053" w:rsidP="000D1053">
      <w:pPr>
        <w:rPr>
          <w:color w:val="2D3E7B" w:themeColor="text2" w:themeShade="BF"/>
        </w:rPr>
      </w:pPr>
      <w:r w:rsidRPr="00440E32">
        <w:rPr>
          <w:color w:val="2D3E7B" w:themeColor="text2" w:themeShade="BF"/>
        </w:rPr>
        <w:t xml:space="preserve">[HEP] charged Student Services and Amenities Fees strictly in accordance with the </w:t>
      </w:r>
      <w:r w:rsidRPr="009B1E46">
        <w:rPr>
          <w:i/>
          <w:color w:val="2D3E7B" w:themeColor="text2" w:themeShade="BF"/>
        </w:rPr>
        <w:t xml:space="preserve">Higher Education Support Act 2003 </w:t>
      </w:r>
      <w:r w:rsidRPr="00440E32">
        <w:rPr>
          <w:color w:val="2D3E7B" w:themeColor="text2" w:themeShade="BF"/>
        </w:rPr>
        <w:t>and the Administration Guidelines made under the Act. Revenue from the fee was spent strictly in accordance with the Act and only on services and amenities specified in subsection 19-38(4) of the Act.</w:t>
      </w:r>
    </w:p>
    <w:p w14:paraId="03B2F696" w14:textId="77777777" w:rsidR="00F81E1E" w:rsidRDefault="00F81E1E">
      <w:pPr>
        <w:spacing w:after="0"/>
        <w:rPr>
          <w:rFonts w:asciiTheme="majorHAnsi" w:eastAsiaTheme="majorEastAsia" w:hAnsiTheme="majorHAnsi"/>
          <w:b/>
          <w:bCs/>
          <w:kern w:val="32"/>
          <w:sz w:val="32"/>
          <w:szCs w:val="32"/>
        </w:rPr>
      </w:pPr>
      <w:bookmarkStart w:id="446" w:name="_Toc410807693"/>
      <w:bookmarkStart w:id="447" w:name="_Toc410822754"/>
      <w:r>
        <w:br w:type="page"/>
      </w:r>
    </w:p>
    <w:p w14:paraId="3168CC3F" w14:textId="1E92E048" w:rsidR="001A5D4A" w:rsidRPr="00440E32" w:rsidRDefault="001A5D4A" w:rsidP="001A5D4A">
      <w:pPr>
        <w:pStyle w:val="Heading1"/>
      </w:pPr>
      <w:bookmarkStart w:id="448" w:name="_Toc411854289"/>
      <w:bookmarkStart w:id="449" w:name="_Toc411854322"/>
      <w:r w:rsidRPr="00440E32">
        <w:lastRenderedPageBreak/>
        <w:t>Auditor’s report</w:t>
      </w:r>
      <w:bookmarkEnd w:id="446"/>
      <w:bookmarkEnd w:id="447"/>
      <w:bookmarkEnd w:id="448"/>
      <w:bookmarkEnd w:id="449"/>
    </w:p>
    <w:p w14:paraId="1C70544C" w14:textId="77777777" w:rsidR="001A5D4A" w:rsidRPr="004B7414" w:rsidRDefault="001A5D4A" w:rsidP="004B7414">
      <w:pPr>
        <w:pStyle w:val="Heading2"/>
        <w:rPr>
          <w:color w:val="2D3E7B" w:themeColor="text2" w:themeShade="BF"/>
        </w:rPr>
      </w:pPr>
      <w:r w:rsidRPr="004B7414">
        <w:rPr>
          <w:color w:val="2D3E7B" w:themeColor="text2" w:themeShade="BF"/>
        </w:rPr>
        <w:t>Commentary - Auditor’s report</w:t>
      </w:r>
    </w:p>
    <w:p w14:paraId="49617700" w14:textId="62F06AD0" w:rsidR="00CA4A83" w:rsidRPr="004B7414" w:rsidRDefault="00CA4A83" w:rsidP="004B7414">
      <w:pPr>
        <w:pStyle w:val="Heading3"/>
        <w:rPr>
          <w:color w:val="2D3E7B" w:themeColor="text2" w:themeShade="BF"/>
        </w:rPr>
      </w:pPr>
      <w:r w:rsidRPr="004B7414">
        <w:rPr>
          <w:color w:val="2D3E7B" w:themeColor="text2" w:themeShade="BF"/>
        </w:rPr>
        <w:t>Mandatory</w:t>
      </w:r>
    </w:p>
    <w:p w14:paraId="76EB8172" w14:textId="77777777" w:rsidR="000D1053" w:rsidRPr="004B7414" w:rsidRDefault="000D1053" w:rsidP="004B7414">
      <w:pPr>
        <w:pStyle w:val="Heading4"/>
        <w:rPr>
          <w:color w:val="2D3E7B" w:themeColor="text2" w:themeShade="BF"/>
          <w14:textFill>
            <w14:solidFill>
              <w14:schemeClr w14:val="tx2">
                <w14:lumMod w14:val="75000"/>
                <w14:lumMod w14:val="75000"/>
              </w14:schemeClr>
            </w14:solidFill>
          </w14:textFill>
        </w:rPr>
      </w:pPr>
      <w:r w:rsidRPr="004B7414">
        <w:rPr>
          <w:color w:val="2D3E7B" w:themeColor="text2" w:themeShade="BF"/>
          <w14:textFill>
            <w14:solidFill>
              <w14:schemeClr w14:val="tx2">
                <w14:lumMod w14:val="75000"/>
                <w14:lumMod w14:val="75000"/>
              </w14:schemeClr>
            </w14:solidFill>
          </w14:textFill>
        </w:rPr>
        <w:t>Form and content of audit report</w:t>
      </w:r>
    </w:p>
    <w:p w14:paraId="68AE850F" w14:textId="77777777" w:rsidR="000D1053" w:rsidRPr="004B7414" w:rsidRDefault="000D1053" w:rsidP="00655761">
      <w:pPr>
        <w:pStyle w:val="Heading6"/>
      </w:pPr>
      <w:r w:rsidRPr="004B7414">
        <w:t>APS1.1</w:t>
      </w:r>
      <w:r w:rsidRPr="004B7414">
        <w:br/>
        <w:t>AUS702</w:t>
      </w:r>
    </w:p>
    <w:p w14:paraId="0A33838B" w14:textId="77777777" w:rsidR="000D1053" w:rsidRPr="004B7414" w:rsidRDefault="000D1053" w:rsidP="001A5D4A">
      <w:pPr>
        <w:rPr>
          <w:color w:val="2D3E7B" w:themeColor="text2" w:themeShade="BF"/>
        </w:rPr>
      </w:pPr>
      <w:r w:rsidRPr="004B7414">
        <w:rPr>
          <w:color w:val="2D3E7B" w:themeColor="text2" w:themeShade="BF"/>
        </w:rPr>
        <w:t>Standards and guidance on the preparation of audit reports on general purpose financial reports are given in Auditing Standard ASA 700 Forming an Opinion and Reporting on a Financial Report. ASA 700 is mandatory for members of the Accounting Bodies.</w:t>
      </w:r>
    </w:p>
    <w:p w14:paraId="3C0D5E77" w14:textId="77777777" w:rsidR="000D1053" w:rsidRPr="004B7414" w:rsidRDefault="000D1053" w:rsidP="001A5D4A">
      <w:pPr>
        <w:pStyle w:val="Heading3"/>
        <w:rPr>
          <w:color w:val="2D3E7B" w:themeColor="text2" w:themeShade="BF"/>
        </w:rPr>
      </w:pPr>
      <w:r w:rsidRPr="004B7414">
        <w:rPr>
          <w:color w:val="2D3E7B" w:themeColor="text2" w:themeShade="BF"/>
        </w:rPr>
        <w:t>Mandatory</w:t>
      </w:r>
    </w:p>
    <w:p w14:paraId="67EDC6FB" w14:textId="05A31602" w:rsidR="000D1053" w:rsidRPr="004B7414" w:rsidRDefault="00CA4A83" w:rsidP="00655761">
      <w:pPr>
        <w:pStyle w:val="Heading6"/>
      </w:pPr>
      <w:r w:rsidRPr="004B7414">
        <w:t>Education</w:t>
      </w:r>
    </w:p>
    <w:p w14:paraId="038A55EF" w14:textId="23B597FD" w:rsidR="00023312" w:rsidRPr="00440E32" w:rsidRDefault="000D1053" w:rsidP="00CA4A83">
      <w:pPr>
        <w:rPr>
          <w:color w:val="2D3E7B" w:themeColor="text2" w:themeShade="BF"/>
        </w:rPr>
      </w:pPr>
      <w:r w:rsidRPr="00440E32">
        <w:rPr>
          <w:color w:val="2D3E7B" w:themeColor="text2" w:themeShade="BF"/>
        </w:rPr>
        <w:t>HEPs must provide a copy of the audit report with their financial statements when reporting to the Department of Education</w:t>
      </w:r>
    </w:p>
    <w:p w14:paraId="31C104AB" w14:textId="77777777" w:rsidR="004B7414" w:rsidRDefault="004B7414">
      <w:pPr>
        <w:spacing w:after="0"/>
        <w:rPr>
          <w:rFonts w:asciiTheme="majorHAnsi" w:eastAsiaTheme="majorEastAsia" w:hAnsiTheme="majorHAnsi"/>
          <w:b/>
          <w:bCs/>
          <w:kern w:val="32"/>
          <w:sz w:val="36"/>
          <w:szCs w:val="32"/>
        </w:rPr>
      </w:pPr>
      <w:bookmarkStart w:id="450" w:name="_Toc398721465"/>
      <w:bookmarkStart w:id="451" w:name="_Toc398721492"/>
      <w:bookmarkStart w:id="452" w:name="_Toc398721553"/>
      <w:bookmarkStart w:id="453" w:name="_Toc398721850"/>
      <w:bookmarkStart w:id="454" w:name="_Toc398722005"/>
      <w:bookmarkStart w:id="455" w:name="_Toc398729924"/>
      <w:bookmarkStart w:id="456" w:name="_Toc398731123"/>
      <w:bookmarkStart w:id="457" w:name="_Toc398731411"/>
      <w:bookmarkStart w:id="458" w:name="_Toc398731788"/>
      <w:bookmarkStart w:id="459" w:name="_Toc406751419"/>
      <w:bookmarkStart w:id="460" w:name="_Toc410807694"/>
      <w:bookmarkStart w:id="461" w:name="_Toc410822755"/>
      <w:bookmarkStart w:id="462" w:name="_Toc410823914"/>
      <w:bookmarkStart w:id="463" w:name="_Toc410825201"/>
      <w:r>
        <w:br w:type="page"/>
      </w:r>
    </w:p>
    <w:p w14:paraId="038A5630" w14:textId="4E37122C" w:rsidR="00023312" w:rsidRPr="007F5DE6" w:rsidRDefault="00023312" w:rsidP="004B7414">
      <w:pPr>
        <w:pStyle w:val="Heading1"/>
      </w:pPr>
      <w:bookmarkStart w:id="464" w:name="_Toc411854290"/>
      <w:bookmarkStart w:id="465" w:name="_Toc411854323"/>
      <w:r w:rsidRPr="004B7414">
        <w:lastRenderedPageBreak/>
        <w:t>Freedom</w:t>
      </w:r>
      <w:r w:rsidRPr="007F5DE6">
        <w:t xml:space="preserve"> of Information</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38A5631" w14:textId="160FAB5C" w:rsidR="00023312" w:rsidRPr="007F5DE6" w:rsidRDefault="00023312" w:rsidP="007F5DE6">
      <w:r w:rsidRPr="007F5DE6">
        <w:t xml:space="preserve">All documents created or held by the Australian Government Department of </w:t>
      </w:r>
      <w:r w:rsidR="001D55F4" w:rsidRPr="007F5DE6">
        <w:t xml:space="preserve">Education </w:t>
      </w:r>
      <w:r w:rsidRPr="007F5DE6">
        <w:t xml:space="preserve">with regard to Higher Education Providers’ financial statements for the </w:t>
      </w:r>
      <w:r w:rsidR="006864EC" w:rsidRPr="007F5DE6">
        <w:t>2014</w:t>
      </w:r>
      <w:r w:rsidRPr="007F5DE6">
        <w:t xml:space="preserve"> reporting period are subject to the Freedom of Information Act 1982 (“FOI Act”).</w:t>
      </w:r>
      <w:r w:rsidR="001A35D6" w:rsidRPr="007F5DE6">
        <w:t xml:space="preserve"> </w:t>
      </w:r>
      <w:r w:rsidRPr="007F5DE6">
        <w:t>Unless a document falls under an exemption provision, it will be made available to the general public if requested under the FOI Act.</w:t>
      </w:r>
    </w:p>
    <w:p w14:paraId="038A5633" w14:textId="7B72E344" w:rsidR="00023312" w:rsidRDefault="00023312" w:rsidP="007F5DE6">
      <w:r w:rsidRPr="007F5DE6">
        <w:t>All FOI requests are referred to the Principal Government Lawyer, Litigation and External Review Section, Procurement, Assurance and Legal Group, in the Department's National Office.</w:t>
      </w:r>
      <w:r w:rsidR="001A35D6" w:rsidRPr="007F5DE6">
        <w:t xml:space="preserve"> </w:t>
      </w:r>
      <w:r w:rsidRPr="007F5DE6">
        <w:t>Decisions regarding requests for access will be made by the authorised FOI decision-maker in accordance with the requirements of the FOI Act.</w:t>
      </w:r>
    </w:p>
    <w:p w14:paraId="425AE8A9" w14:textId="77777777" w:rsidR="00F81E1E" w:rsidRDefault="00F81E1E">
      <w:pPr>
        <w:spacing w:after="0"/>
        <w:rPr>
          <w:rFonts w:asciiTheme="majorHAnsi" w:eastAsiaTheme="majorEastAsia" w:hAnsiTheme="majorHAnsi"/>
          <w:b/>
          <w:bCs/>
          <w:kern w:val="32"/>
          <w:sz w:val="32"/>
          <w:szCs w:val="32"/>
        </w:rPr>
      </w:pPr>
      <w:bookmarkStart w:id="466" w:name="_Toc398721466"/>
      <w:bookmarkStart w:id="467" w:name="_Toc398721493"/>
      <w:bookmarkStart w:id="468" w:name="_Toc398721554"/>
      <w:bookmarkStart w:id="469" w:name="_Toc398721851"/>
      <w:bookmarkStart w:id="470" w:name="_Toc398722006"/>
      <w:bookmarkStart w:id="471" w:name="_Toc398729925"/>
      <w:bookmarkStart w:id="472" w:name="_Toc398731124"/>
      <w:bookmarkStart w:id="473" w:name="_Toc398731412"/>
      <w:bookmarkStart w:id="474" w:name="_Toc398731789"/>
      <w:bookmarkStart w:id="475" w:name="_Toc406751420"/>
      <w:bookmarkStart w:id="476" w:name="_Toc410807695"/>
      <w:bookmarkStart w:id="477" w:name="_Toc410822756"/>
      <w:bookmarkStart w:id="478" w:name="_Toc410823915"/>
      <w:bookmarkStart w:id="479" w:name="_Toc410825202"/>
      <w:r>
        <w:br w:type="page"/>
      </w:r>
    </w:p>
    <w:p w14:paraId="038A5634" w14:textId="03AA9676" w:rsidR="00023312" w:rsidRPr="007F5DE6" w:rsidRDefault="00023312" w:rsidP="004B7414">
      <w:pPr>
        <w:pStyle w:val="Heading1"/>
      </w:pPr>
      <w:bookmarkStart w:id="480" w:name="_Toc411854291"/>
      <w:bookmarkStart w:id="481" w:name="_Toc411854324"/>
      <w:r w:rsidRPr="007F5DE6">
        <w:lastRenderedPageBreak/>
        <w:t>Privacy Notice</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38A5636" w14:textId="2484CF41" w:rsidR="00023312" w:rsidRPr="007F5DE6" w:rsidRDefault="00023312" w:rsidP="007F5DE6">
      <w:r w:rsidRPr="007F5DE6">
        <w:t>Some of the financial statements required to be submitted to the Aust</w:t>
      </w:r>
      <w:r w:rsidR="00B90CFC" w:rsidRPr="007F5DE6">
        <w:t>ralian Government Department of</w:t>
      </w:r>
      <w:r w:rsidR="001D55F4" w:rsidRPr="007F5DE6">
        <w:t xml:space="preserve"> Education </w:t>
      </w:r>
      <w:r w:rsidRPr="007F5DE6">
        <w:t xml:space="preserve">under section 19-10 of the </w:t>
      </w:r>
      <w:r w:rsidRPr="007F5DE6">
        <w:rPr>
          <w:i/>
        </w:rPr>
        <w:t>Higher Education Support Act 2003</w:t>
      </w:r>
      <w:r w:rsidRPr="007F5DE6">
        <w:t xml:space="preserve"> (HESA) by Higher Education Providers may contain the personal information of individuals.</w:t>
      </w:r>
      <w:r w:rsidR="001A35D6" w:rsidRPr="007F5DE6">
        <w:t xml:space="preserve"> </w:t>
      </w:r>
      <w:r w:rsidRPr="007F5DE6">
        <w:t>This information is collected for the purpose of assessing a provider's continuing financial viability and will not be otherwise used or disclosed without consent, unless where authorised or required by law.</w:t>
      </w:r>
      <w:r w:rsidR="001A35D6" w:rsidRPr="007F5DE6">
        <w:t xml:space="preserve"> </w:t>
      </w:r>
    </w:p>
    <w:p w14:paraId="038A5638" w14:textId="79CC7B07" w:rsidR="00023312" w:rsidRPr="007F5DE6" w:rsidRDefault="00023312" w:rsidP="007F5DE6">
      <w:r w:rsidRPr="007F5DE6">
        <w:t>With respect to such personal information, the Department is bound by the provisions of the Privacy Act 1988. Section 14 of the Privacy Act contains the Information Privacy Principles (IPPs) which prescribe the rules for handling personal information.</w:t>
      </w:r>
      <w:r w:rsidR="001A35D6" w:rsidRPr="007F5DE6">
        <w:t xml:space="preserve"> </w:t>
      </w:r>
      <w:r w:rsidRPr="007F5DE6">
        <w:t>In brief, these require that:</w:t>
      </w:r>
    </w:p>
    <w:p w14:paraId="038A563A" w14:textId="3210A4CA" w:rsidR="00023312" w:rsidRPr="007F5DE6" w:rsidRDefault="00023312" w:rsidP="009B1E46">
      <w:pPr>
        <w:pStyle w:val="ListParagraph"/>
        <w:numPr>
          <w:ilvl w:val="0"/>
          <w:numId w:val="69"/>
        </w:numPr>
      </w:pPr>
      <w:r w:rsidRPr="007F5DE6">
        <w:t>personal information is collected in accordance with IPPs 1-3;</w:t>
      </w:r>
    </w:p>
    <w:p w14:paraId="038A563B" w14:textId="438EA523" w:rsidR="00023312" w:rsidRPr="007F5DE6" w:rsidRDefault="00023312" w:rsidP="009B1E46">
      <w:pPr>
        <w:pStyle w:val="ListParagraph"/>
        <w:numPr>
          <w:ilvl w:val="0"/>
          <w:numId w:val="69"/>
        </w:numPr>
      </w:pPr>
      <w:r w:rsidRPr="007F5DE6">
        <w:t>suitable storage arrangements, including appropriate filing procedures are in place;</w:t>
      </w:r>
    </w:p>
    <w:p w14:paraId="038A563C" w14:textId="5261FBB1" w:rsidR="00023312" w:rsidRPr="007F5DE6" w:rsidRDefault="00023312" w:rsidP="009B1E46">
      <w:pPr>
        <w:pStyle w:val="ListParagraph"/>
        <w:numPr>
          <w:ilvl w:val="0"/>
          <w:numId w:val="69"/>
        </w:numPr>
      </w:pPr>
      <w:r w:rsidRPr="007F5DE6">
        <w:t>suitable security arrangements exist for all records containing personal information;</w:t>
      </w:r>
    </w:p>
    <w:p w14:paraId="038A563D" w14:textId="14019630" w:rsidR="00023312" w:rsidRPr="007F5DE6" w:rsidRDefault="00023312" w:rsidP="009B1E46">
      <w:pPr>
        <w:pStyle w:val="ListParagraph"/>
        <w:numPr>
          <w:ilvl w:val="0"/>
          <w:numId w:val="69"/>
        </w:numPr>
      </w:pPr>
      <w:r w:rsidRPr="007F5DE6">
        <w:t>access to a person’s own personal information held by the organisation is made available to the person at no charge;</w:t>
      </w:r>
    </w:p>
    <w:p w14:paraId="038A563E" w14:textId="1BEB5D99" w:rsidR="00023312" w:rsidRPr="007F5DE6" w:rsidRDefault="00023312" w:rsidP="009B1E46">
      <w:pPr>
        <w:pStyle w:val="ListParagraph"/>
        <w:numPr>
          <w:ilvl w:val="0"/>
          <w:numId w:val="69"/>
        </w:numPr>
      </w:pPr>
      <w:r w:rsidRPr="007F5DE6">
        <w:t>records are accurate, up-to-date, complete and not misleading;</w:t>
      </w:r>
    </w:p>
    <w:p w14:paraId="038A563F" w14:textId="2F7265DD" w:rsidR="00023312" w:rsidRPr="007F5DE6" w:rsidRDefault="00023312" w:rsidP="009B1E46">
      <w:pPr>
        <w:pStyle w:val="ListParagraph"/>
        <w:numPr>
          <w:ilvl w:val="0"/>
          <w:numId w:val="69"/>
        </w:numPr>
      </w:pPr>
      <w:r w:rsidRPr="007F5DE6">
        <w:t>where a record is found to be inaccurate, the correction is made;</w:t>
      </w:r>
    </w:p>
    <w:p w14:paraId="038A5640" w14:textId="52BA9A5D" w:rsidR="00023312" w:rsidRPr="007F5DE6" w:rsidRDefault="00023312" w:rsidP="009B1E46">
      <w:pPr>
        <w:pStyle w:val="ListParagraph"/>
        <w:numPr>
          <w:ilvl w:val="0"/>
          <w:numId w:val="69"/>
        </w:numPr>
      </w:pPr>
      <w:r w:rsidRPr="007F5DE6">
        <w:t>where a person requests that a record be amended because it is inaccurate but the record is found to be accurate, the details of the request for amendment are noted on the record;</w:t>
      </w:r>
    </w:p>
    <w:p w14:paraId="038A5641" w14:textId="5BC0BBC6" w:rsidR="00023312" w:rsidRPr="007F5DE6" w:rsidRDefault="00023312" w:rsidP="009B1E46">
      <w:pPr>
        <w:pStyle w:val="ListParagraph"/>
        <w:numPr>
          <w:ilvl w:val="0"/>
          <w:numId w:val="69"/>
        </w:numPr>
      </w:pPr>
      <w:r w:rsidRPr="007F5DE6">
        <w:t xml:space="preserve">the personal information is only to be used for the purposes for which it was collected, or for other purposes where expressly allowed by </w:t>
      </w:r>
      <w:proofErr w:type="spellStart"/>
      <w:r w:rsidRPr="007F5DE6">
        <w:t>IPP</w:t>
      </w:r>
      <w:proofErr w:type="spellEnd"/>
      <w:r w:rsidRPr="007F5DE6">
        <w:t xml:space="preserve"> 10; and</w:t>
      </w:r>
    </w:p>
    <w:p w14:paraId="038A5642" w14:textId="0BF07A8B" w:rsidR="00023312" w:rsidRPr="007F5DE6" w:rsidRDefault="00023312" w:rsidP="009B1E46">
      <w:pPr>
        <w:pStyle w:val="ListParagraph"/>
        <w:numPr>
          <w:ilvl w:val="0"/>
          <w:numId w:val="69"/>
        </w:numPr>
      </w:pPr>
      <w:proofErr w:type="gramStart"/>
      <w:r w:rsidRPr="007F5DE6">
        <w:t>personal</w:t>
      </w:r>
      <w:proofErr w:type="gramEnd"/>
      <w:r w:rsidRPr="007F5DE6">
        <w:t xml:space="preserve"> information is only disclosed in accordance with </w:t>
      </w:r>
      <w:proofErr w:type="spellStart"/>
      <w:r w:rsidRPr="007F5DE6">
        <w:t>IPP</w:t>
      </w:r>
      <w:proofErr w:type="spellEnd"/>
      <w:r w:rsidRPr="007F5DE6">
        <w:t xml:space="preserve"> 11.</w:t>
      </w:r>
    </w:p>
    <w:p w14:paraId="038A5644" w14:textId="77777777" w:rsidR="00023312" w:rsidRPr="007F5DE6" w:rsidRDefault="00023312" w:rsidP="004B7414">
      <w:pPr>
        <w:pStyle w:val="Heading4"/>
      </w:pPr>
      <w:r w:rsidRPr="007F5DE6">
        <w:t xml:space="preserve">Privacy Complaints and Advice </w:t>
      </w:r>
    </w:p>
    <w:p w14:paraId="038A5646" w14:textId="4629381B" w:rsidR="00454B5A" w:rsidRPr="007F5DE6" w:rsidRDefault="00023312" w:rsidP="007F5DE6">
      <w:r w:rsidRPr="007F5DE6">
        <w:t>Complaints about breaches of privacy and requests for advice about privacy should be referred to the Litigation and External Review Section, Procurement, Assurance and Legal Group, in the Department's National Office.</w:t>
      </w:r>
      <w:r w:rsidR="001A35D6" w:rsidRPr="007F5DE6">
        <w:t xml:space="preserve"> </w:t>
      </w:r>
      <w:r w:rsidRPr="007F5DE6">
        <w:t>Privacy complaints can be made directly to the Federal Privacy Commissioner however the Federal Privacy Commissioner prefers that the Department be given an opportunity to deal with the complaint in the first instance.</w:t>
      </w:r>
    </w:p>
    <w:p w14:paraId="70FF93D4" w14:textId="77777777" w:rsidR="00F81E1E" w:rsidRDefault="00F81E1E">
      <w:pPr>
        <w:spacing w:after="0"/>
        <w:rPr>
          <w:rFonts w:asciiTheme="majorHAnsi" w:eastAsiaTheme="majorEastAsia" w:hAnsiTheme="majorHAnsi"/>
          <w:b/>
          <w:bCs/>
          <w:kern w:val="32"/>
          <w:sz w:val="32"/>
          <w:szCs w:val="32"/>
        </w:rPr>
      </w:pPr>
      <w:bookmarkStart w:id="482" w:name="_Toc398721467"/>
      <w:bookmarkStart w:id="483" w:name="_Toc398721494"/>
      <w:bookmarkStart w:id="484" w:name="_Toc398721555"/>
      <w:bookmarkStart w:id="485" w:name="_Toc398721852"/>
      <w:bookmarkStart w:id="486" w:name="_Toc398722007"/>
      <w:bookmarkStart w:id="487" w:name="_Toc398729926"/>
      <w:bookmarkStart w:id="488" w:name="_Toc398731125"/>
      <w:bookmarkStart w:id="489" w:name="_Toc398731413"/>
      <w:bookmarkStart w:id="490" w:name="_Toc398731790"/>
      <w:bookmarkStart w:id="491" w:name="_Toc406751421"/>
      <w:bookmarkStart w:id="492" w:name="_Toc410807696"/>
      <w:bookmarkStart w:id="493" w:name="_Toc410822757"/>
      <w:bookmarkStart w:id="494" w:name="_Toc410823916"/>
      <w:bookmarkStart w:id="495" w:name="_Toc410825203"/>
      <w:r>
        <w:br w:type="page"/>
      </w:r>
    </w:p>
    <w:p w14:paraId="038A5649" w14:textId="349C7349" w:rsidR="00454B5A" w:rsidRPr="007F5DE6" w:rsidRDefault="00FE029C" w:rsidP="007F5DE6">
      <w:pPr>
        <w:pStyle w:val="Heading1"/>
      </w:pPr>
      <w:bookmarkStart w:id="496" w:name="_Toc411854292"/>
      <w:bookmarkStart w:id="497" w:name="_Toc411854325"/>
      <w:r w:rsidRPr="007F5DE6">
        <w:lastRenderedPageBreak/>
        <w:t>Appendix 1</w:t>
      </w:r>
      <w:bookmarkEnd w:id="482"/>
      <w:bookmarkEnd w:id="483"/>
      <w:bookmarkEnd w:id="484"/>
      <w:bookmarkEnd w:id="485"/>
      <w:bookmarkEnd w:id="486"/>
      <w:bookmarkEnd w:id="487"/>
      <w:bookmarkEnd w:id="488"/>
      <w:bookmarkEnd w:id="489"/>
      <w:bookmarkEnd w:id="490"/>
      <w:bookmarkEnd w:id="491"/>
      <w:proofErr w:type="gramStart"/>
      <w:r w:rsidR="007F5DE6">
        <w:t>:</w:t>
      </w:r>
      <w:r w:rsidR="00454B5A" w:rsidRPr="007F5DE6">
        <w:t>Changes</w:t>
      </w:r>
      <w:proofErr w:type="gramEnd"/>
      <w:r w:rsidR="00454B5A" w:rsidRPr="007F5DE6">
        <w:t xml:space="preserve"> to the Guidelines as a result of AASB9</w:t>
      </w:r>
      <w:bookmarkEnd w:id="492"/>
      <w:bookmarkEnd w:id="493"/>
      <w:bookmarkEnd w:id="494"/>
      <w:bookmarkEnd w:id="495"/>
      <w:bookmarkEnd w:id="496"/>
      <w:bookmarkEnd w:id="497"/>
    </w:p>
    <w:p w14:paraId="038A564B" w14:textId="4CBDC2E1" w:rsidR="00454B5A" w:rsidRPr="007F5DE6" w:rsidRDefault="00454B5A" w:rsidP="007F5DE6">
      <w:r w:rsidRPr="007F5DE6">
        <w:t xml:space="preserve">While there are many changes in respect of adopting AASB9 issued Dec </w:t>
      </w:r>
      <w:r w:rsidR="006864EC" w:rsidRPr="007F5DE6">
        <w:t>201</w:t>
      </w:r>
      <w:r w:rsidR="00056979" w:rsidRPr="007F5DE6">
        <w:t>0</w:t>
      </w:r>
      <w:r w:rsidRPr="007F5DE6">
        <w:t xml:space="preserve"> and AASB</w:t>
      </w:r>
      <w:r w:rsidR="006864EC" w:rsidRPr="007F5DE6">
        <w:t>201</w:t>
      </w:r>
      <w:r w:rsidR="00056979" w:rsidRPr="007F5DE6">
        <w:t>2</w:t>
      </w:r>
      <w:r w:rsidRPr="007F5DE6">
        <w:t>-</w:t>
      </w:r>
      <w:r w:rsidR="00142B43" w:rsidRPr="007F5DE6">
        <w:t>6</w:t>
      </w:r>
      <w:r w:rsidRPr="007F5DE6">
        <w:t xml:space="preserve"> as a consequence (supersedes AASB9 issued Dec </w:t>
      </w:r>
      <w:r w:rsidR="006864EC" w:rsidRPr="007F5DE6">
        <w:t>20</w:t>
      </w:r>
      <w:r w:rsidR="00056979" w:rsidRPr="007F5DE6">
        <w:t>09</w:t>
      </w:r>
      <w:r w:rsidRPr="007F5DE6">
        <w:t xml:space="preserve"> and AASB</w:t>
      </w:r>
      <w:r w:rsidR="006864EC" w:rsidRPr="007F5DE6">
        <w:t>20</w:t>
      </w:r>
      <w:r w:rsidR="00056979" w:rsidRPr="007F5DE6">
        <w:t>09</w:t>
      </w:r>
      <w:r w:rsidRPr="007F5DE6">
        <w:t>-11</w:t>
      </w:r>
      <w:r w:rsidR="00142B43" w:rsidRPr="007F5DE6">
        <w:t>, AASB</w:t>
      </w:r>
      <w:r w:rsidR="006864EC" w:rsidRPr="007F5DE6">
        <w:t>201</w:t>
      </w:r>
      <w:r w:rsidR="00056979" w:rsidRPr="007F5DE6">
        <w:t>0</w:t>
      </w:r>
      <w:r w:rsidR="00142B43" w:rsidRPr="007F5DE6">
        <w:t>-7, AASB</w:t>
      </w:r>
      <w:r w:rsidR="006864EC" w:rsidRPr="007F5DE6">
        <w:t>201</w:t>
      </w:r>
      <w:r w:rsidR="00056979" w:rsidRPr="007F5DE6">
        <w:t>1</w:t>
      </w:r>
      <w:r w:rsidR="00142B43" w:rsidRPr="007F5DE6">
        <w:t>-7 and AASB</w:t>
      </w:r>
      <w:r w:rsidR="006864EC" w:rsidRPr="007F5DE6">
        <w:t>201</w:t>
      </w:r>
      <w:r w:rsidR="00056979" w:rsidRPr="007F5DE6">
        <w:t>1</w:t>
      </w:r>
      <w:r w:rsidR="00142B43" w:rsidRPr="007F5DE6">
        <w:t>-8</w:t>
      </w:r>
      <w:r w:rsidRPr="007F5DE6">
        <w:t xml:space="preserve">) this document deals with the major issues identified by </w:t>
      </w:r>
      <w:r w:rsidR="009C76B1" w:rsidRPr="007F5DE6">
        <w:t>the Department of Education</w:t>
      </w:r>
      <w:r w:rsidRPr="007F5DE6">
        <w:t xml:space="preserve"> and should not be considered complete.</w:t>
      </w:r>
    </w:p>
    <w:p w14:paraId="038A564E" w14:textId="2E254C14" w:rsidR="00454B5A" w:rsidRPr="007F5DE6" w:rsidRDefault="00454B5A" w:rsidP="007F5DE6">
      <w:r w:rsidRPr="007F5DE6">
        <w:t xml:space="preserve">The major areas of the guidelines that will be affected by the adoption of AASB9 are Note 1(m) Investment and Other Financial Assets Policy, Note 6, Investment Revenue and Income, and Note </w:t>
      </w:r>
      <w:r w:rsidR="00D779B9" w:rsidRPr="007F5DE6">
        <w:t>21</w:t>
      </w:r>
      <w:r w:rsidRPr="007F5DE6">
        <w:t>, Other Financial Assets.</w:t>
      </w:r>
    </w:p>
    <w:p w14:paraId="038A564F" w14:textId="17D723D4" w:rsidR="00454B5A" w:rsidRPr="007F5DE6" w:rsidRDefault="00454B5A" w:rsidP="007F5DE6">
      <w:r w:rsidRPr="007F5DE6">
        <w:t>These three notes have been amended and are included. Disclosure specifically related to adoption has been omitted.</w:t>
      </w:r>
    </w:p>
    <w:p w14:paraId="418C23AE" w14:textId="754C46D2" w:rsidR="006D022E" w:rsidRPr="006D022E" w:rsidRDefault="006D022E" w:rsidP="00E21724">
      <w:pPr>
        <w:pStyle w:val="Heading2"/>
      </w:pPr>
      <w:bookmarkStart w:id="498" w:name="_Toc410807697"/>
      <w:bookmarkStart w:id="499" w:name="_Toc410822758"/>
      <w:bookmarkStart w:id="500" w:name="_Toc410823917"/>
      <w:bookmarkStart w:id="501" w:name="_Toc410825204"/>
      <w:proofErr w:type="gramStart"/>
      <w:r w:rsidRPr="006D022E">
        <w:t>Note 1.</w:t>
      </w:r>
      <w:proofErr w:type="gramEnd"/>
      <w:r>
        <w:t xml:space="preserve"> </w:t>
      </w:r>
      <w:r w:rsidRPr="006D022E">
        <w:t>Summary of significant accounting polic</w:t>
      </w:r>
      <w:r>
        <w:t>ies (continued)</w:t>
      </w:r>
      <w:bookmarkEnd w:id="498"/>
      <w:bookmarkEnd w:id="499"/>
      <w:bookmarkEnd w:id="500"/>
      <w:bookmarkEnd w:id="501"/>
    </w:p>
    <w:p w14:paraId="1E5D898E" w14:textId="77777777" w:rsidR="006D022E" w:rsidRPr="006D022E" w:rsidRDefault="006D022E" w:rsidP="00E21724">
      <w:pPr>
        <w:pStyle w:val="Heading3"/>
      </w:pPr>
      <w:r w:rsidRPr="006D022E">
        <w:t xml:space="preserve">(m) </w:t>
      </w:r>
      <w:r w:rsidRPr="006D022E">
        <w:tab/>
        <w:t>Investments and other financial assets</w:t>
      </w:r>
    </w:p>
    <w:p w14:paraId="1E0859F2" w14:textId="77777777" w:rsidR="006D022E" w:rsidRPr="006D022E" w:rsidRDefault="006D022E" w:rsidP="00E21724">
      <w:r w:rsidRPr="006D022E">
        <w:t>Investments and other financial assets are classified into three categories:</w:t>
      </w:r>
    </w:p>
    <w:p w14:paraId="68EC8C98" w14:textId="5D5A882B" w:rsidR="006D022E" w:rsidRPr="006D022E" w:rsidRDefault="006D022E" w:rsidP="00AB24D3">
      <w:pPr>
        <w:pStyle w:val="Heading4"/>
      </w:pPr>
      <w:r w:rsidRPr="006D022E">
        <w:t>Financial assets at fair value through profit or loss</w:t>
      </w:r>
    </w:p>
    <w:p w14:paraId="55DA86DF" w14:textId="77777777" w:rsidR="006D022E" w:rsidRPr="006D022E" w:rsidRDefault="006D022E" w:rsidP="00E21724">
      <w:pPr>
        <w:pStyle w:val="Heading5"/>
      </w:pPr>
      <w:r w:rsidRPr="006D022E">
        <w:t>AASB9.4.1.4</w:t>
      </w:r>
    </w:p>
    <w:p w14:paraId="3B75092E" w14:textId="77777777" w:rsidR="006D022E" w:rsidRPr="006D022E" w:rsidRDefault="006D022E" w:rsidP="00E21724">
      <w:r w:rsidRPr="006D022E">
        <w:t>Financial assets which do not meet the criteria of the objective of the group’s business model for managing financial assets or the characteristics of the contractual cash flows, are measured at fair value through profit or loss.</w:t>
      </w:r>
    </w:p>
    <w:p w14:paraId="15B3A649" w14:textId="77777777" w:rsidR="006D022E" w:rsidRPr="006D022E" w:rsidRDefault="006D022E" w:rsidP="00E21724">
      <w:pPr>
        <w:pStyle w:val="Heading5"/>
      </w:pPr>
      <w:r w:rsidRPr="006D022E">
        <w:t>AASB9.5.4.2</w:t>
      </w:r>
    </w:p>
    <w:p w14:paraId="27FEFCA3" w14:textId="77777777" w:rsidR="006D022E" w:rsidRPr="006D022E" w:rsidRDefault="006D022E" w:rsidP="00E21724">
      <w:r w:rsidRPr="006D022E">
        <w:t>The fair values of quoted investments are based on current bid prices. If the market for a financial asset is not active (and for unlisted securities), the Group establishes fair value by using valuation techniques. These include reference to the fair values of recent arm’s length transactions, involving the same instruments or other instruments that are substantially the same, discounted cash flow analysis, and option pricing models refined to reflect the issuer’s specific circumstances.</w:t>
      </w:r>
    </w:p>
    <w:p w14:paraId="08B8AA74" w14:textId="77777777" w:rsidR="006D022E" w:rsidRPr="006D022E" w:rsidRDefault="006D022E" w:rsidP="00E21724">
      <w:pPr>
        <w:pStyle w:val="Heading5"/>
      </w:pPr>
      <w:r w:rsidRPr="006D022E">
        <w:t>AASB9.5.6.2</w:t>
      </w:r>
    </w:p>
    <w:p w14:paraId="2F6FCF27" w14:textId="77777777" w:rsidR="006D022E" w:rsidRPr="006D022E" w:rsidRDefault="006D022E" w:rsidP="00E21724">
      <w:r w:rsidRPr="006D022E">
        <w:t>If the group reclassifies these assets, their fair value is determined at reclassification date. Any gain or loss arising from a difference between the previous carrying amount and fair value is recognised in profit or loss.</w:t>
      </w:r>
    </w:p>
    <w:p w14:paraId="40DB02DC" w14:textId="77777777" w:rsidR="00DF3D95" w:rsidRDefault="00DF3D95">
      <w:pPr>
        <w:spacing w:after="0"/>
        <w:rPr>
          <w:b/>
          <w:bCs/>
          <w:sz w:val="28"/>
          <w:szCs w:val="28"/>
        </w:rPr>
      </w:pPr>
      <w:r>
        <w:br w:type="page"/>
      </w:r>
    </w:p>
    <w:p w14:paraId="0024D813" w14:textId="61EFA006" w:rsidR="006D022E" w:rsidRPr="006D022E" w:rsidRDefault="006D022E" w:rsidP="00AB24D3">
      <w:pPr>
        <w:pStyle w:val="Heading4"/>
      </w:pPr>
      <w:r>
        <w:lastRenderedPageBreak/>
        <w:t>F</w:t>
      </w:r>
      <w:r w:rsidRPr="006D022E">
        <w:t>inancial assets at amortised cost</w:t>
      </w:r>
    </w:p>
    <w:p w14:paraId="2081F1B9" w14:textId="77777777" w:rsidR="006D022E" w:rsidRPr="006D022E" w:rsidRDefault="006D022E" w:rsidP="00E21724">
      <w:pPr>
        <w:pStyle w:val="Heading5"/>
      </w:pPr>
      <w:r w:rsidRPr="006D022E">
        <w:t>AASB9.4.1.2</w:t>
      </w:r>
    </w:p>
    <w:p w14:paraId="34230F1D" w14:textId="77777777" w:rsidR="006D022E" w:rsidRPr="006D022E" w:rsidRDefault="006D022E" w:rsidP="00E21724">
      <w:r w:rsidRPr="006D022E">
        <w:t>Where the main objective of the group holding an asset or portfolio of assets is to collect contractual cash flows on specific dates and those cash flows are generally in the form of principal and/or interest, they are measured at amortised cost using the effective interest method and net of any impairment loss.</w:t>
      </w:r>
    </w:p>
    <w:p w14:paraId="113AD905" w14:textId="77777777" w:rsidR="006D022E" w:rsidRPr="006D022E" w:rsidRDefault="006D022E" w:rsidP="00E21724">
      <w:pPr>
        <w:pStyle w:val="Heading5"/>
      </w:pPr>
      <w:r w:rsidRPr="006D022E">
        <w:t>AASB9.5.6.3</w:t>
      </w:r>
    </w:p>
    <w:p w14:paraId="19A45209" w14:textId="77777777" w:rsidR="006D022E" w:rsidRPr="006D022E" w:rsidRDefault="006D022E" w:rsidP="00E21724">
      <w:r w:rsidRPr="006D022E">
        <w:t>When a financial asset at amortised cost is reclassified, its fair value at the reclassification date becomes its new carrying amount.</w:t>
      </w:r>
    </w:p>
    <w:p w14:paraId="14A775AF" w14:textId="77777777" w:rsidR="006D022E" w:rsidRPr="006D022E" w:rsidRDefault="006D022E" w:rsidP="00E21724">
      <w:pPr>
        <w:pStyle w:val="Heading5"/>
      </w:pPr>
      <w:r w:rsidRPr="006D022E">
        <w:t>AASB9.4.1.5</w:t>
      </w:r>
    </w:p>
    <w:p w14:paraId="775A65F4" w14:textId="77777777" w:rsidR="006D022E" w:rsidRPr="006D022E" w:rsidRDefault="006D022E" w:rsidP="00E21724">
      <w:r w:rsidRPr="006D022E">
        <w:t>Where the group has elected to measure a financial asset at fair value through profit or loss in order to eliminate any accounting mismatch, this is disclosed in note 51 – Financial Risk Management.</w:t>
      </w:r>
    </w:p>
    <w:p w14:paraId="3D70B3F5" w14:textId="77777777" w:rsidR="006D022E" w:rsidRPr="006D022E" w:rsidRDefault="006D022E" w:rsidP="00E21724">
      <w:pPr>
        <w:pStyle w:val="Heading5"/>
      </w:pPr>
      <w:r w:rsidRPr="006D022E">
        <w:t>AASB9.5.7.2</w:t>
      </w:r>
    </w:p>
    <w:p w14:paraId="27B48676" w14:textId="77777777" w:rsidR="006D022E" w:rsidRPr="006D022E" w:rsidRDefault="006D022E" w:rsidP="00E21724">
      <w:r w:rsidRPr="006D022E">
        <w:t>Financial assets at amortised costs are assessed for evidence of impairment at the end of each reporting period.</w:t>
      </w:r>
    </w:p>
    <w:p w14:paraId="5919006F" w14:textId="799F5083" w:rsidR="006D022E" w:rsidRPr="006D022E" w:rsidRDefault="006D022E" w:rsidP="00AB24D3">
      <w:pPr>
        <w:pStyle w:val="Heading4"/>
      </w:pPr>
      <w:r w:rsidRPr="006D022E">
        <w:t>Non-trading equity instrument</w:t>
      </w:r>
    </w:p>
    <w:p w14:paraId="2F3285C1" w14:textId="77777777" w:rsidR="006D022E" w:rsidRPr="006D022E" w:rsidRDefault="006D022E" w:rsidP="00E21724">
      <w:pPr>
        <w:pStyle w:val="Heading5"/>
      </w:pPr>
      <w:r w:rsidRPr="006D022E">
        <w:t>AASB9.5.7.5</w:t>
      </w:r>
    </w:p>
    <w:p w14:paraId="40421860" w14:textId="77777777" w:rsidR="006D022E" w:rsidRPr="006D022E" w:rsidRDefault="006D022E" w:rsidP="006D022E">
      <w:r w:rsidRPr="006D022E">
        <w:t>On initial recognition of an equity instrument obtained for purposes other than simply a financial return, the group irrevocably adopts to recognise changes in the fair value of the instrument in other comprehensive income. The group does not define any other financial assets as not held for trading.</w:t>
      </w:r>
    </w:p>
    <w:p w14:paraId="63F533E9" w14:textId="77777777" w:rsidR="006D022E" w:rsidRPr="006D022E" w:rsidRDefault="006D022E" w:rsidP="006D022E">
      <w:r w:rsidRPr="006D022E">
        <w:t>Dividends received from non-trading equity instruments are recognised in profit or loss when the dividend is received or the right to receive the dividend has been established.</w:t>
      </w:r>
    </w:p>
    <w:p w14:paraId="038A5698" w14:textId="77777777" w:rsidR="00454B5A" w:rsidRPr="004343C5" w:rsidRDefault="00454B5A" w:rsidP="004343C5">
      <w:r w:rsidRPr="004343C5">
        <w:br w:type="page"/>
      </w:r>
    </w:p>
    <w:p w14:paraId="335BEFEF" w14:textId="1E4F0F40" w:rsidR="00440E32" w:rsidRPr="004B7414" w:rsidRDefault="00440E32" w:rsidP="004B7414">
      <w:pPr>
        <w:pStyle w:val="Heading3"/>
        <w:rPr>
          <w:color w:val="2D3E7B" w:themeColor="text2" w:themeShade="BF"/>
        </w:rPr>
      </w:pPr>
      <w:bookmarkStart w:id="502" w:name="_Toc410807698"/>
      <w:bookmarkStart w:id="503" w:name="_Toc410822759"/>
      <w:bookmarkStart w:id="504" w:name="_Toc410823918"/>
      <w:bookmarkStart w:id="505" w:name="_Toc410825205"/>
      <w:r w:rsidRPr="004B7414">
        <w:rPr>
          <w:color w:val="2D3E7B" w:themeColor="text2" w:themeShade="BF"/>
        </w:rPr>
        <w:lastRenderedPageBreak/>
        <w:t>Commentary - Summary of significant accounting policies</w:t>
      </w:r>
      <w:bookmarkEnd w:id="502"/>
      <w:bookmarkEnd w:id="503"/>
      <w:bookmarkEnd w:id="504"/>
      <w:bookmarkEnd w:id="505"/>
    </w:p>
    <w:p w14:paraId="475DF9BF" w14:textId="77777777" w:rsidR="00440E32" w:rsidRPr="004B7414" w:rsidRDefault="00440E32" w:rsidP="00655761">
      <w:pPr>
        <w:pStyle w:val="Heading6"/>
      </w:pPr>
      <w:r w:rsidRPr="004B7414">
        <w:t>AASB9.5.7.5</w:t>
      </w:r>
    </w:p>
    <w:p w14:paraId="7B42DEA3" w14:textId="77777777" w:rsidR="00440E32" w:rsidRPr="004B7414" w:rsidRDefault="00440E32" w:rsidP="00E21724">
      <w:pPr>
        <w:rPr>
          <w:color w:val="2D3E7B" w:themeColor="text2" w:themeShade="BF"/>
        </w:rPr>
      </w:pPr>
      <w:r w:rsidRPr="004B7414">
        <w:rPr>
          <w:color w:val="2D3E7B" w:themeColor="text2" w:themeShade="BF"/>
        </w:rPr>
        <w:t>While AASB9.5.7.5 allows equity instruments that are not held for trading to be have subsequent changes in value to be recognised in other comprehensive income, the Department of Education only allows institutions to make this election under specific circumstances. In order to make this election, it must be clear that the institution does not hold the equity instrument purely for financial gain.</w:t>
      </w:r>
    </w:p>
    <w:p w14:paraId="2163254D" w14:textId="77777777" w:rsidR="00440E32" w:rsidRPr="004B7414" w:rsidRDefault="00440E32" w:rsidP="00E21724">
      <w:pPr>
        <w:rPr>
          <w:color w:val="2D3E7B" w:themeColor="text2" w:themeShade="BF"/>
        </w:rPr>
      </w:pPr>
      <w:r w:rsidRPr="004B7414">
        <w:rPr>
          <w:color w:val="2D3E7B" w:themeColor="text2" w:themeShade="BF"/>
        </w:rPr>
        <w:t>In order to clarify the usage, the name non-trading equity instrument has been utilised. Non-trading Equity Instruments are instruments that are held for purposes such as involvement in research, development or commercialisation of a new technology, and supporting the business of the institution (in a non-financial manner). These typically include investments in subsidiaries. Often but not always, the reason for holding the instrument will result in the other entity also being classified as an associate or related party.</w:t>
      </w:r>
    </w:p>
    <w:p w14:paraId="7C1F2127" w14:textId="77777777" w:rsidR="00440E32" w:rsidRPr="004B7414" w:rsidRDefault="00440E32" w:rsidP="00E21724">
      <w:pPr>
        <w:rPr>
          <w:color w:val="2D3E7B" w:themeColor="text2" w:themeShade="BF"/>
        </w:rPr>
      </w:pPr>
      <w:r w:rsidRPr="004B7414">
        <w:rPr>
          <w:color w:val="2D3E7B" w:themeColor="text2" w:themeShade="BF"/>
        </w:rPr>
        <w:t>If an equity instrument meets the criteria, an institution may select not to adopt the election under AASB9.5.7.5. If this is the case, note 1(m</w:t>
      </w:r>
      <w:proofErr w:type="gramStart"/>
      <w:r w:rsidRPr="004B7414">
        <w:rPr>
          <w:color w:val="2D3E7B" w:themeColor="text2" w:themeShade="BF"/>
        </w:rPr>
        <w:t>)(</w:t>
      </w:r>
      <w:proofErr w:type="gramEnd"/>
      <w:r w:rsidRPr="004B7414">
        <w:rPr>
          <w:color w:val="2D3E7B" w:themeColor="text2" w:themeShade="BF"/>
        </w:rPr>
        <w:t>iii) can be removed.</w:t>
      </w:r>
    </w:p>
    <w:p w14:paraId="60577DC4" w14:textId="77777777" w:rsidR="00440E32" w:rsidRPr="004B7414" w:rsidRDefault="00440E32" w:rsidP="00655761">
      <w:pPr>
        <w:pStyle w:val="Heading6"/>
      </w:pPr>
      <w:r w:rsidRPr="004B7414">
        <w:t>AASB7.11a</w:t>
      </w:r>
    </w:p>
    <w:p w14:paraId="1780AD95" w14:textId="77777777" w:rsidR="00440E32" w:rsidRPr="004B7414" w:rsidRDefault="00440E32" w:rsidP="00E21724">
      <w:pPr>
        <w:rPr>
          <w:color w:val="2D3E7B" w:themeColor="text2" w:themeShade="BF"/>
        </w:rPr>
      </w:pPr>
      <w:r w:rsidRPr="004B7414">
        <w:rPr>
          <w:color w:val="2D3E7B" w:themeColor="text2" w:themeShade="BF"/>
        </w:rPr>
        <w:t>Institutions who have equity instruments that meet the criteria above and elect to adopt the ‘fair value through OCI’ approach are required to include these additional disclosures:</w:t>
      </w:r>
    </w:p>
    <w:p w14:paraId="350699AC" w14:textId="26015F25" w:rsidR="00440E32" w:rsidRPr="004B7414" w:rsidRDefault="00440E32" w:rsidP="009B1E46">
      <w:pPr>
        <w:pStyle w:val="ListParagraph"/>
        <w:numPr>
          <w:ilvl w:val="0"/>
          <w:numId w:val="65"/>
        </w:numPr>
        <w:rPr>
          <w:color w:val="2D3E7B" w:themeColor="text2" w:themeShade="BF"/>
        </w:rPr>
      </w:pPr>
      <w:r w:rsidRPr="004B7414">
        <w:rPr>
          <w:color w:val="2D3E7B" w:themeColor="text2" w:themeShade="BF"/>
        </w:rPr>
        <w:t>Which investments have this treatment;</w:t>
      </w:r>
    </w:p>
    <w:p w14:paraId="5D2C9581" w14:textId="2CAE7A1D" w:rsidR="00440E32" w:rsidRPr="004B7414" w:rsidRDefault="00440E32" w:rsidP="009B1E46">
      <w:pPr>
        <w:pStyle w:val="ListParagraph"/>
        <w:numPr>
          <w:ilvl w:val="0"/>
          <w:numId w:val="65"/>
        </w:numPr>
        <w:rPr>
          <w:color w:val="2D3E7B" w:themeColor="text2" w:themeShade="BF"/>
        </w:rPr>
      </w:pPr>
      <w:r w:rsidRPr="004B7414">
        <w:rPr>
          <w:color w:val="2D3E7B" w:themeColor="text2" w:themeShade="BF"/>
        </w:rPr>
        <w:t>The reasons for adopting this treatment;</w:t>
      </w:r>
    </w:p>
    <w:p w14:paraId="793E631A" w14:textId="5BB4C895" w:rsidR="00440E32" w:rsidRPr="004B7414" w:rsidRDefault="00440E32" w:rsidP="009B1E46">
      <w:pPr>
        <w:pStyle w:val="ListParagraph"/>
        <w:numPr>
          <w:ilvl w:val="0"/>
          <w:numId w:val="65"/>
        </w:numPr>
        <w:rPr>
          <w:color w:val="2D3E7B" w:themeColor="text2" w:themeShade="BF"/>
        </w:rPr>
      </w:pPr>
      <w:r w:rsidRPr="004B7414">
        <w:rPr>
          <w:color w:val="2D3E7B" w:themeColor="text2" w:themeShade="BF"/>
        </w:rPr>
        <w:t>Fair value of each at the end of the reporting period;</w:t>
      </w:r>
    </w:p>
    <w:p w14:paraId="115F3236" w14:textId="151959B6" w:rsidR="00440E32" w:rsidRPr="004B7414" w:rsidRDefault="00440E32" w:rsidP="009B1E46">
      <w:pPr>
        <w:pStyle w:val="ListParagraph"/>
        <w:numPr>
          <w:ilvl w:val="0"/>
          <w:numId w:val="65"/>
        </w:numPr>
        <w:rPr>
          <w:color w:val="2D3E7B" w:themeColor="text2" w:themeShade="BF"/>
        </w:rPr>
      </w:pPr>
      <w:r w:rsidRPr="004B7414">
        <w:rPr>
          <w:color w:val="2D3E7B" w:themeColor="text2" w:themeShade="BF"/>
        </w:rPr>
        <w:t>Dividends recognised during the period, separately identifying those related to investments derecognised during the period and those related to instruments held at the end of the period; and</w:t>
      </w:r>
    </w:p>
    <w:p w14:paraId="42A1BD4B" w14:textId="768EA82B" w:rsidR="00440E32" w:rsidRPr="004B7414" w:rsidRDefault="00440E32" w:rsidP="009B1E46">
      <w:pPr>
        <w:pStyle w:val="ListParagraph"/>
        <w:numPr>
          <w:ilvl w:val="0"/>
          <w:numId w:val="65"/>
        </w:numPr>
        <w:rPr>
          <w:color w:val="2D3E7B" w:themeColor="text2" w:themeShade="BF"/>
        </w:rPr>
      </w:pPr>
      <w:r w:rsidRPr="004B7414">
        <w:rPr>
          <w:color w:val="2D3E7B" w:themeColor="text2" w:themeShade="BF"/>
        </w:rPr>
        <w:t>Any transfers of the cumulative gain or loss within the period including the reason for those transfers.</w:t>
      </w:r>
    </w:p>
    <w:p w14:paraId="1559C284" w14:textId="77777777" w:rsidR="00440E32" w:rsidRPr="004B7414" w:rsidRDefault="00440E32" w:rsidP="004F3ED9">
      <w:pPr>
        <w:pStyle w:val="Heading6"/>
      </w:pPr>
      <w:r w:rsidRPr="004B7414">
        <w:t>AASB7.11b</w:t>
      </w:r>
    </w:p>
    <w:p w14:paraId="2F87F907" w14:textId="77777777" w:rsidR="00440E32" w:rsidRPr="00440E32" w:rsidRDefault="00440E32" w:rsidP="00440E32">
      <w:pPr>
        <w:rPr>
          <w:color w:val="2D3E7B" w:themeColor="text2" w:themeShade="BF"/>
        </w:rPr>
      </w:pPr>
      <w:r w:rsidRPr="00440E32">
        <w:rPr>
          <w:color w:val="2D3E7B" w:themeColor="text2" w:themeShade="BF"/>
        </w:rPr>
        <w:t>Additionally, institutions adopting ‘fair value through OCI’ are required to disclose the following in respect of instruments derecognised during the period:</w:t>
      </w:r>
    </w:p>
    <w:p w14:paraId="780C50FD" w14:textId="78F9AE6F" w:rsidR="00440E32" w:rsidRPr="00440E32" w:rsidRDefault="00440E32" w:rsidP="009B1E46">
      <w:pPr>
        <w:pStyle w:val="ListParagraph"/>
        <w:numPr>
          <w:ilvl w:val="0"/>
          <w:numId w:val="66"/>
        </w:numPr>
        <w:rPr>
          <w:color w:val="2D3E7B" w:themeColor="text2" w:themeShade="BF"/>
        </w:rPr>
      </w:pPr>
      <w:r w:rsidRPr="00440E32">
        <w:rPr>
          <w:color w:val="2D3E7B" w:themeColor="text2" w:themeShade="BF"/>
        </w:rPr>
        <w:t>The reasons for disposing of the investment;</w:t>
      </w:r>
    </w:p>
    <w:p w14:paraId="14FB5138" w14:textId="260B4527" w:rsidR="00440E32" w:rsidRPr="00440E32" w:rsidRDefault="00440E32" w:rsidP="009B1E46">
      <w:pPr>
        <w:pStyle w:val="ListParagraph"/>
        <w:numPr>
          <w:ilvl w:val="0"/>
          <w:numId w:val="66"/>
        </w:numPr>
        <w:rPr>
          <w:color w:val="2D3E7B" w:themeColor="text2" w:themeShade="BF"/>
        </w:rPr>
      </w:pPr>
      <w:r w:rsidRPr="00440E32">
        <w:rPr>
          <w:color w:val="2D3E7B" w:themeColor="text2" w:themeShade="BF"/>
        </w:rPr>
        <w:t>The fair value of the investment on the date of derecognition; and</w:t>
      </w:r>
    </w:p>
    <w:p w14:paraId="058D6768" w14:textId="7156F9DE" w:rsidR="00440E32" w:rsidRPr="00440E32" w:rsidRDefault="00440E32" w:rsidP="009B1E46">
      <w:pPr>
        <w:pStyle w:val="ListParagraph"/>
        <w:numPr>
          <w:ilvl w:val="0"/>
          <w:numId w:val="66"/>
        </w:numPr>
        <w:rPr>
          <w:color w:val="2D3E7B" w:themeColor="text2" w:themeShade="BF"/>
        </w:rPr>
      </w:pPr>
      <w:r w:rsidRPr="00440E32">
        <w:rPr>
          <w:color w:val="2D3E7B" w:themeColor="text2" w:themeShade="BF"/>
        </w:rPr>
        <w:t>The cumulative gain or loss on disposal.</w:t>
      </w:r>
    </w:p>
    <w:p w14:paraId="038A56DB" w14:textId="77777777" w:rsidR="00454B5A" w:rsidRPr="004343C5" w:rsidRDefault="00454B5A" w:rsidP="004343C5">
      <w:r w:rsidRPr="004343C5">
        <w:br w:type="page"/>
      </w:r>
    </w:p>
    <w:p w14:paraId="2E7D3D1E" w14:textId="2366B6CB" w:rsidR="004343C5" w:rsidRPr="004343C5" w:rsidRDefault="004343C5" w:rsidP="00E21724">
      <w:pPr>
        <w:pStyle w:val="Heading2"/>
      </w:pPr>
      <w:bookmarkStart w:id="506" w:name="_Toc410807699"/>
      <w:bookmarkStart w:id="507" w:name="_Toc410822760"/>
      <w:bookmarkStart w:id="508" w:name="_Toc410823919"/>
      <w:bookmarkStart w:id="509" w:name="_Toc410825206"/>
      <w:proofErr w:type="gramStart"/>
      <w:r w:rsidRPr="004343C5">
        <w:lastRenderedPageBreak/>
        <w:t>Note 6.</w:t>
      </w:r>
      <w:proofErr w:type="gramEnd"/>
      <w:r>
        <w:t xml:space="preserve"> </w:t>
      </w:r>
      <w:r w:rsidRPr="004343C5">
        <w:t>Investment revenue and income</w:t>
      </w:r>
      <w:bookmarkEnd w:id="506"/>
      <w:bookmarkEnd w:id="507"/>
      <w:bookmarkEnd w:id="508"/>
      <w:bookmarkEnd w:id="509"/>
    </w:p>
    <w:tbl>
      <w:tblPr>
        <w:tblW w:w="5000" w:type="pct"/>
        <w:tblCellMar>
          <w:left w:w="0" w:type="dxa"/>
          <w:right w:w="0" w:type="dxa"/>
        </w:tblCellMar>
        <w:tblLook w:val="0000" w:firstRow="0" w:lastRow="0" w:firstColumn="0" w:lastColumn="0" w:noHBand="0" w:noVBand="0"/>
      </w:tblPr>
      <w:tblGrid>
        <w:gridCol w:w="1462"/>
        <w:gridCol w:w="4633"/>
        <w:gridCol w:w="733"/>
        <w:gridCol w:w="733"/>
        <w:gridCol w:w="733"/>
        <w:gridCol w:w="731"/>
      </w:tblGrid>
      <w:tr w:rsidR="00454B5A" w14:paraId="038A56E3" w14:textId="77777777" w:rsidTr="00261A68">
        <w:trPr>
          <w:cantSplit/>
          <w:trHeight w:hRule="exact" w:val="227"/>
        </w:trPr>
        <w:tc>
          <w:tcPr>
            <w:tcW w:w="810" w:type="pct"/>
          </w:tcPr>
          <w:p w14:paraId="038A56DF" w14:textId="77777777" w:rsidR="00454B5A" w:rsidRDefault="00454B5A" w:rsidP="00D11709">
            <w:pPr>
              <w:pStyle w:val="Note-Refs"/>
            </w:pPr>
          </w:p>
        </w:tc>
        <w:tc>
          <w:tcPr>
            <w:tcW w:w="2567" w:type="pct"/>
            <w:vAlign w:val="bottom"/>
          </w:tcPr>
          <w:p w14:paraId="038A56E0" w14:textId="77777777" w:rsidR="00454B5A" w:rsidRDefault="00454B5A">
            <w:pPr>
              <w:pStyle w:val="NotesTable-ItemPlain"/>
            </w:pPr>
          </w:p>
        </w:tc>
        <w:tc>
          <w:tcPr>
            <w:tcW w:w="811" w:type="pct"/>
            <w:gridSpan w:val="2"/>
          </w:tcPr>
          <w:p w14:paraId="038A56E1" w14:textId="77777777" w:rsidR="00454B5A" w:rsidRDefault="00454B5A" w:rsidP="001420DF">
            <w:pPr>
              <w:pStyle w:val="NotesTable-HeadPlain"/>
            </w:pPr>
            <w:r>
              <w:t>Consolidated</w:t>
            </w:r>
          </w:p>
        </w:tc>
        <w:tc>
          <w:tcPr>
            <w:tcW w:w="811" w:type="pct"/>
            <w:gridSpan w:val="2"/>
          </w:tcPr>
          <w:p w14:paraId="038A56E2" w14:textId="77777777" w:rsidR="00454B5A" w:rsidRDefault="00454B5A" w:rsidP="00C54AC3">
            <w:pPr>
              <w:pStyle w:val="NotesTable-HeadPlain"/>
            </w:pPr>
            <w:r>
              <w:t>Parent entity</w:t>
            </w:r>
          </w:p>
        </w:tc>
      </w:tr>
      <w:tr w:rsidR="00B0006E" w14:paraId="038A56EA" w14:textId="77777777" w:rsidTr="00261A68">
        <w:trPr>
          <w:cantSplit/>
          <w:trHeight w:hRule="exact" w:val="227"/>
        </w:trPr>
        <w:tc>
          <w:tcPr>
            <w:tcW w:w="810" w:type="pct"/>
          </w:tcPr>
          <w:p w14:paraId="038A56E4" w14:textId="77777777" w:rsidR="00B0006E" w:rsidRDefault="00B0006E" w:rsidP="00D11709">
            <w:pPr>
              <w:pStyle w:val="Note-Refs"/>
            </w:pPr>
          </w:p>
        </w:tc>
        <w:tc>
          <w:tcPr>
            <w:tcW w:w="2567" w:type="pct"/>
            <w:vAlign w:val="bottom"/>
          </w:tcPr>
          <w:p w14:paraId="038A56E5" w14:textId="77777777" w:rsidR="00B0006E" w:rsidRDefault="00B0006E">
            <w:pPr>
              <w:pStyle w:val="NotesTable-ItemPlain"/>
            </w:pPr>
          </w:p>
        </w:tc>
        <w:tc>
          <w:tcPr>
            <w:tcW w:w="406" w:type="pct"/>
          </w:tcPr>
          <w:p w14:paraId="038A56E6" w14:textId="50389959" w:rsidR="00B0006E" w:rsidRDefault="006864EC">
            <w:pPr>
              <w:pStyle w:val="NotesTable-HeadBold"/>
            </w:pPr>
            <w:r>
              <w:t>2014</w:t>
            </w:r>
          </w:p>
        </w:tc>
        <w:tc>
          <w:tcPr>
            <w:tcW w:w="406" w:type="pct"/>
          </w:tcPr>
          <w:p w14:paraId="038A56E7" w14:textId="265FBCF8" w:rsidR="00B0006E" w:rsidRDefault="006864EC" w:rsidP="00C54AC3">
            <w:pPr>
              <w:pStyle w:val="NotesTable-HeadPlain"/>
            </w:pPr>
            <w:r>
              <w:t>2013</w:t>
            </w:r>
          </w:p>
        </w:tc>
        <w:tc>
          <w:tcPr>
            <w:tcW w:w="406" w:type="pct"/>
          </w:tcPr>
          <w:p w14:paraId="038A56E8" w14:textId="41E138DB" w:rsidR="00B0006E" w:rsidRDefault="006864EC">
            <w:pPr>
              <w:pStyle w:val="NotesTable-HeadBold"/>
            </w:pPr>
            <w:r>
              <w:t>2014</w:t>
            </w:r>
          </w:p>
        </w:tc>
        <w:tc>
          <w:tcPr>
            <w:tcW w:w="406" w:type="pct"/>
          </w:tcPr>
          <w:p w14:paraId="038A56E9" w14:textId="784EFD53" w:rsidR="00B0006E" w:rsidRDefault="006864EC">
            <w:pPr>
              <w:pStyle w:val="NotesTable-HeadPlain"/>
            </w:pPr>
            <w:r>
              <w:t>2013</w:t>
            </w:r>
          </w:p>
        </w:tc>
      </w:tr>
      <w:tr w:rsidR="00B0006E" w14:paraId="038A56F1" w14:textId="77777777" w:rsidTr="00261A68">
        <w:trPr>
          <w:cantSplit/>
          <w:trHeight w:hRule="exact" w:val="227"/>
        </w:trPr>
        <w:tc>
          <w:tcPr>
            <w:tcW w:w="810" w:type="pct"/>
          </w:tcPr>
          <w:p w14:paraId="038A56EB" w14:textId="77777777" w:rsidR="00B0006E" w:rsidRDefault="00B0006E" w:rsidP="00D11709">
            <w:pPr>
              <w:pStyle w:val="Note-Refs"/>
            </w:pPr>
          </w:p>
        </w:tc>
        <w:tc>
          <w:tcPr>
            <w:tcW w:w="2567" w:type="pct"/>
            <w:vAlign w:val="bottom"/>
          </w:tcPr>
          <w:p w14:paraId="038A56EC" w14:textId="77777777" w:rsidR="00B0006E" w:rsidRDefault="00B0006E">
            <w:pPr>
              <w:pStyle w:val="NotesTable-ItemPlain"/>
            </w:pPr>
          </w:p>
        </w:tc>
        <w:tc>
          <w:tcPr>
            <w:tcW w:w="406" w:type="pct"/>
          </w:tcPr>
          <w:p w14:paraId="038A56ED" w14:textId="77777777" w:rsidR="00B0006E" w:rsidRDefault="00B0006E">
            <w:pPr>
              <w:pStyle w:val="NotesTable-HeadBold"/>
            </w:pPr>
            <w:r>
              <w:t>$’000</w:t>
            </w:r>
          </w:p>
        </w:tc>
        <w:tc>
          <w:tcPr>
            <w:tcW w:w="406" w:type="pct"/>
          </w:tcPr>
          <w:p w14:paraId="038A56EE" w14:textId="77777777" w:rsidR="00B0006E" w:rsidRDefault="00B0006E" w:rsidP="00C54AC3">
            <w:pPr>
              <w:pStyle w:val="NotesTable-HeadPlain"/>
            </w:pPr>
            <w:r>
              <w:t>$’000</w:t>
            </w:r>
          </w:p>
        </w:tc>
        <w:tc>
          <w:tcPr>
            <w:tcW w:w="406" w:type="pct"/>
          </w:tcPr>
          <w:p w14:paraId="038A56EF" w14:textId="77777777" w:rsidR="00B0006E" w:rsidRDefault="00B0006E">
            <w:pPr>
              <w:pStyle w:val="NotesTable-HeadBold"/>
            </w:pPr>
            <w:r>
              <w:t>$’000</w:t>
            </w:r>
          </w:p>
        </w:tc>
        <w:tc>
          <w:tcPr>
            <w:tcW w:w="406" w:type="pct"/>
          </w:tcPr>
          <w:p w14:paraId="038A56F0" w14:textId="77777777" w:rsidR="00B0006E" w:rsidRDefault="00B0006E">
            <w:pPr>
              <w:pStyle w:val="NotesTable-HeadPlain"/>
            </w:pPr>
            <w:r>
              <w:t>$’000</w:t>
            </w:r>
          </w:p>
        </w:tc>
      </w:tr>
      <w:tr w:rsidR="00536BAA" w14:paraId="038A56F8" w14:textId="77777777" w:rsidTr="00261A68">
        <w:trPr>
          <w:cantSplit/>
          <w:trHeight w:hRule="exact" w:val="227"/>
        </w:trPr>
        <w:tc>
          <w:tcPr>
            <w:tcW w:w="810" w:type="pct"/>
          </w:tcPr>
          <w:p w14:paraId="038A56F2" w14:textId="77777777" w:rsidR="00536BAA" w:rsidRDefault="00536BAA" w:rsidP="00D11709">
            <w:pPr>
              <w:pStyle w:val="Note-Refs"/>
              <w:rPr>
                <w:b/>
              </w:rPr>
            </w:pPr>
            <w:r>
              <w:t>AASB118.35b</w:t>
            </w:r>
          </w:p>
        </w:tc>
        <w:tc>
          <w:tcPr>
            <w:tcW w:w="2567" w:type="pct"/>
            <w:vAlign w:val="bottom"/>
          </w:tcPr>
          <w:p w14:paraId="038A56F3" w14:textId="77777777" w:rsidR="00536BAA" w:rsidRDefault="00536BAA">
            <w:pPr>
              <w:pStyle w:val="NotesTable-ItemPlain"/>
              <w:rPr>
                <w:b/>
              </w:rPr>
            </w:pPr>
            <w:r>
              <w:t>Interest</w:t>
            </w:r>
          </w:p>
        </w:tc>
        <w:tc>
          <w:tcPr>
            <w:tcW w:w="406" w:type="pct"/>
          </w:tcPr>
          <w:p w14:paraId="038A56F4" w14:textId="77777777" w:rsidR="00536BAA" w:rsidRDefault="00536BAA" w:rsidP="0087239E">
            <w:pPr>
              <w:pStyle w:val="NotesTable-CellBold"/>
            </w:pPr>
            <w:r>
              <w:t>–</w:t>
            </w:r>
          </w:p>
        </w:tc>
        <w:tc>
          <w:tcPr>
            <w:tcW w:w="406" w:type="pct"/>
          </w:tcPr>
          <w:p w14:paraId="038A56F5" w14:textId="77777777" w:rsidR="00536BAA" w:rsidRDefault="00536BAA" w:rsidP="0087239E">
            <w:pPr>
              <w:pStyle w:val="NotesTable-CellPlain"/>
            </w:pPr>
            <w:r>
              <w:t>–</w:t>
            </w:r>
          </w:p>
        </w:tc>
        <w:tc>
          <w:tcPr>
            <w:tcW w:w="406" w:type="pct"/>
          </w:tcPr>
          <w:p w14:paraId="038A56F6" w14:textId="77777777" w:rsidR="00536BAA" w:rsidRDefault="00536BAA" w:rsidP="0087239E">
            <w:pPr>
              <w:pStyle w:val="NotesTable-CellBold"/>
            </w:pPr>
            <w:r>
              <w:t>–</w:t>
            </w:r>
          </w:p>
        </w:tc>
        <w:tc>
          <w:tcPr>
            <w:tcW w:w="406" w:type="pct"/>
          </w:tcPr>
          <w:p w14:paraId="038A56F7" w14:textId="77777777" w:rsidR="00536BAA" w:rsidRDefault="00536BAA" w:rsidP="0087239E">
            <w:pPr>
              <w:pStyle w:val="NotesTable-CellPlain"/>
            </w:pPr>
            <w:r>
              <w:t>–</w:t>
            </w:r>
          </w:p>
        </w:tc>
      </w:tr>
      <w:tr w:rsidR="00536BAA" w14:paraId="038A56FF" w14:textId="77777777" w:rsidTr="00261A68">
        <w:trPr>
          <w:cantSplit/>
          <w:trHeight w:hRule="exact" w:val="227"/>
        </w:trPr>
        <w:tc>
          <w:tcPr>
            <w:tcW w:w="810" w:type="pct"/>
          </w:tcPr>
          <w:p w14:paraId="038A56F9" w14:textId="77777777" w:rsidR="00536BAA" w:rsidRDefault="00536BAA" w:rsidP="00D11709">
            <w:pPr>
              <w:pStyle w:val="Note-Refs"/>
            </w:pPr>
          </w:p>
        </w:tc>
        <w:tc>
          <w:tcPr>
            <w:tcW w:w="2567" w:type="pct"/>
            <w:vAlign w:val="bottom"/>
          </w:tcPr>
          <w:p w14:paraId="038A56FA" w14:textId="77777777" w:rsidR="00536BAA" w:rsidRDefault="00536BAA">
            <w:pPr>
              <w:pStyle w:val="NotesTable-ItemPlain"/>
              <w:rPr>
                <w:b/>
              </w:rPr>
            </w:pPr>
            <w:r>
              <w:t>Dividends</w:t>
            </w:r>
          </w:p>
        </w:tc>
        <w:tc>
          <w:tcPr>
            <w:tcW w:w="406" w:type="pct"/>
          </w:tcPr>
          <w:p w14:paraId="038A56FB" w14:textId="77777777" w:rsidR="00536BAA" w:rsidRDefault="00536BAA" w:rsidP="0087239E">
            <w:pPr>
              <w:pStyle w:val="NotesTable-CellBold"/>
            </w:pPr>
            <w:r>
              <w:t>–</w:t>
            </w:r>
          </w:p>
        </w:tc>
        <w:tc>
          <w:tcPr>
            <w:tcW w:w="406" w:type="pct"/>
          </w:tcPr>
          <w:p w14:paraId="038A56FC" w14:textId="77777777" w:rsidR="00536BAA" w:rsidRDefault="00536BAA" w:rsidP="0087239E">
            <w:pPr>
              <w:pStyle w:val="NotesTable-CellPlain"/>
            </w:pPr>
            <w:r>
              <w:t>–</w:t>
            </w:r>
          </w:p>
        </w:tc>
        <w:tc>
          <w:tcPr>
            <w:tcW w:w="406" w:type="pct"/>
          </w:tcPr>
          <w:p w14:paraId="038A56FD" w14:textId="77777777" w:rsidR="00536BAA" w:rsidRDefault="00536BAA" w:rsidP="0087239E">
            <w:pPr>
              <w:pStyle w:val="NotesTable-CellBold"/>
            </w:pPr>
            <w:r>
              <w:t>–</w:t>
            </w:r>
          </w:p>
        </w:tc>
        <w:tc>
          <w:tcPr>
            <w:tcW w:w="406" w:type="pct"/>
          </w:tcPr>
          <w:p w14:paraId="038A56FE" w14:textId="77777777" w:rsidR="00536BAA" w:rsidRDefault="00536BAA" w:rsidP="0087239E">
            <w:pPr>
              <w:pStyle w:val="NotesTable-CellPlain"/>
            </w:pPr>
            <w:r>
              <w:t>–</w:t>
            </w:r>
          </w:p>
        </w:tc>
      </w:tr>
      <w:tr w:rsidR="00536BAA" w14:paraId="038A5706" w14:textId="77777777" w:rsidTr="00261A68">
        <w:trPr>
          <w:cantSplit/>
          <w:trHeight w:hRule="exact" w:val="227"/>
        </w:trPr>
        <w:tc>
          <w:tcPr>
            <w:tcW w:w="810" w:type="pct"/>
          </w:tcPr>
          <w:p w14:paraId="038A5700" w14:textId="77777777" w:rsidR="00536BAA" w:rsidRDefault="00536BAA" w:rsidP="00D11709">
            <w:pPr>
              <w:pStyle w:val="Note-Refs"/>
            </w:pPr>
          </w:p>
        </w:tc>
        <w:tc>
          <w:tcPr>
            <w:tcW w:w="2567" w:type="pct"/>
            <w:vAlign w:val="bottom"/>
          </w:tcPr>
          <w:p w14:paraId="038A5701" w14:textId="77777777" w:rsidR="00536BAA" w:rsidRDefault="00536BAA">
            <w:pPr>
              <w:pStyle w:val="NotesTable-ItemPlain"/>
              <w:rPr>
                <w:b/>
              </w:rPr>
            </w:pPr>
            <w:r>
              <w:t>[Specify]</w:t>
            </w:r>
          </w:p>
        </w:tc>
        <w:tc>
          <w:tcPr>
            <w:tcW w:w="406" w:type="pct"/>
            <w:tcBorders>
              <w:bottom w:val="single" w:sz="4" w:space="0" w:color="000000"/>
            </w:tcBorders>
          </w:tcPr>
          <w:p w14:paraId="038A5702" w14:textId="77777777" w:rsidR="00536BAA" w:rsidRDefault="00536BAA" w:rsidP="0087239E">
            <w:pPr>
              <w:pStyle w:val="NotesTable-CellBold"/>
            </w:pPr>
            <w:r>
              <w:t>–</w:t>
            </w:r>
          </w:p>
        </w:tc>
        <w:tc>
          <w:tcPr>
            <w:tcW w:w="406" w:type="pct"/>
            <w:tcBorders>
              <w:bottom w:val="single" w:sz="4" w:space="0" w:color="000000"/>
            </w:tcBorders>
          </w:tcPr>
          <w:p w14:paraId="038A5703" w14:textId="77777777" w:rsidR="00536BAA" w:rsidRDefault="00536BAA" w:rsidP="0087239E">
            <w:pPr>
              <w:pStyle w:val="NotesTable-CellPlain"/>
            </w:pPr>
            <w:r>
              <w:t>–</w:t>
            </w:r>
          </w:p>
        </w:tc>
        <w:tc>
          <w:tcPr>
            <w:tcW w:w="406" w:type="pct"/>
            <w:tcBorders>
              <w:bottom w:val="single" w:sz="4" w:space="0" w:color="000000"/>
            </w:tcBorders>
          </w:tcPr>
          <w:p w14:paraId="038A5704" w14:textId="77777777" w:rsidR="00536BAA" w:rsidRDefault="00536BAA" w:rsidP="0087239E">
            <w:pPr>
              <w:pStyle w:val="NotesTable-CellBold"/>
            </w:pPr>
            <w:r>
              <w:t>–</w:t>
            </w:r>
          </w:p>
        </w:tc>
        <w:tc>
          <w:tcPr>
            <w:tcW w:w="406" w:type="pct"/>
            <w:tcBorders>
              <w:bottom w:val="single" w:sz="4" w:space="0" w:color="000000"/>
            </w:tcBorders>
          </w:tcPr>
          <w:p w14:paraId="038A5705" w14:textId="77777777" w:rsidR="00536BAA" w:rsidRDefault="00536BAA" w:rsidP="0087239E">
            <w:pPr>
              <w:pStyle w:val="NotesTable-CellPlain"/>
            </w:pPr>
            <w:r>
              <w:t>–</w:t>
            </w:r>
          </w:p>
        </w:tc>
      </w:tr>
      <w:tr w:rsidR="00536BAA" w14:paraId="038A570D" w14:textId="77777777" w:rsidTr="00261A68">
        <w:trPr>
          <w:cantSplit/>
          <w:trHeight w:hRule="exact" w:val="227"/>
        </w:trPr>
        <w:tc>
          <w:tcPr>
            <w:tcW w:w="810" w:type="pct"/>
          </w:tcPr>
          <w:p w14:paraId="038A5707" w14:textId="77777777" w:rsidR="00536BAA" w:rsidRDefault="00536BAA" w:rsidP="00D11709">
            <w:pPr>
              <w:pStyle w:val="Note-Refs"/>
            </w:pPr>
          </w:p>
        </w:tc>
        <w:tc>
          <w:tcPr>
            <w:tcW w:w="2567" w:type="pct"/>
            <w:vAlign w:val="bottom"/>
          </w:tcPr>
          <w:p w14:paraId="038A5708" w14:textId="77777777" w:rsidR="00536BAA" w:rsidRDefault="00536BAA">
            <w:pPr>
              <w:pStyle w:val="NotesTable-ItemPlain"/>
              <w:rPr>
                <w:b/>
              </w:rPr>
            </w:pPr>
            <w:r>
              <w:t>Total investment revenue</w:t>
            </w:r>
          </w:p>
        </w:tc>
        <w:tc>
          <w:tcPr>
            <w:tcW w:w="406" w:type="pct"/>
            <w:tcBorders>
              <w:top w:val="single" w:sz="4" w:space="0" w:color="000000"/>
            </w:tcBorders>
          </w:tcPr>
          <w:p w14:paraId="038A5709" w14:textId="77777777" w:rsidR="00536BAA" w:rsidRDefault="00536BAA" w:rsidP="0087239E">
            <w:pPr>
              <w:pStyle w:val="NotesTable-CellBold"/>
            </w:pPr>
            <w:r>
              <w:t>–</w:t>
            </w:r>
          </w:p>
        </w:tc>
        <w:tc>
          <w:tcPr>
            <w:tcW w:w="406" w:type="pct"/>
            <w:tcBorders>
              <w:top w:val="single" w:sz="4" w:space="0" w:color="000000"/>
            </w:tcBorders>
          </w:tcPr>
          <w:p w14:paraId="038A570A" w14:textId="77777777" w:rsidR="00536BAA" w:rsidRDefault="00536BAA" w:rsidP="0087239E">
            <w:pPr>
              <w:pStyle w:val="NotesTable-CellPlain"/>
            </w:pPr>
            <w:r>
              <w:t>–</w:t>
            </w:r>
          </w:p>
        </w:tc>
        <w:tc>
          <w:tcPr>
            <w:tcW w:w="406" w:type="pct"/>
            <w:tcBorders>
              <w:top w:val="single" w:sz="4" w:space="0" w:color="000000"/>
            </w:tcBorders>
          </w:tcPr>
          <w:p w14:paraId="038A570B" w14:textId="77777777" w:rsidR="00536BAA" w:rsidRDefault="00536BAA" w:rsidP="0087239E">
            <w:pPr>
              <w:pStyle w:val="NotesTable-CellBold"/>
            </w:pPr>
            <w:r>
              <w:t>–</w:t>
            </w:r>
          </w:p>
        </w:tc>
        <w:tc>
          <w:tcPr>
            <w:tcW w:w="406" w:type="pct"/>
            <w:tcBorders>
              <w:top w:val="single" w:sz="4" w:space="0" w:color="000000"/>
            </w:tcBorders>
          </w:tcPr>
          <w:p w14:paraId="038A570C" w14:textId="77777777" w:rsidR="00536BAA" w:rsidRDefault="00536BAA" w:rsidP="0087239E">
            <w:pPr>
              <w:pStyle w:val="NotesTable-CellPlain"/>
            </w:pPr>
            <w:r>
              <w:t>–</w:t>
            </w:r>
          </w:p>
        </w:tc>
      </w:tr>
      <w:tr w:rsidR="00536BAA" w14:paraId="038A5714" w14:textId="77777777" w:rsidTr="00261A68">
        <w:trPr>
          <w:cantSplit/>
          <w:trHeight w:hRule="exact" w:val="227"/>
        </w:trPr>
        <w:tc>
          <w:tcPr>
            <w:tcW w:w="810" w:type="pct"/>
          </w:tcPr>
          <w:p w14:paraId="038A570E" w14:textId="77777777" w:rsidR="00536BAA" w:rsidRDefault="00536BAA" w:rsidP="00D11709">
            <w:pPr>
              <w:pStyle w:val="Note-Refs"/>
            </w:pPr>
          </w:p>
        </w:tc>
        <w:tc>
          <w:tcPr>
            <w:tcW w:w="2567" w:type="pct"/>
            <w:vAlign w:val="bottom"/>
          </w:tcPr>
          <w:p w14:paraId="038A570F" w14:textId="77777777" w:rsidR="00536BAA" w:rsidRDefault="00536BAA">
            <w:pPr>
              <w:pStyle w:val="NotesTable-ItemPlain"/>
            </w:pPr>
          </w:p>
        </w:tc>
        <w:tc>
          <w:tcPr>
            <w:tcW w:w="406" w:type="pct"/>
          </w:tcPr>
          <w:p w14:paraId="038A5710" w14:textId="77777777" w:rsidR="00536BAA" w:rsidRDefault="00536BAA" w:rsidP="0087239E">
            <w:pPr>
              <w:pStyle w:val="NotesTable-CellBold"/>
            </w:pPr>
          </w:p>
        </w:tc>
        <w:tc>
          <w:tcPr>
            <w:tcW w:w="406" w:type="pct"/>
          </w:tcPr>
          <w:p w14:paraId="038A5711" w14:textId="77777777" w:rsidR="00536BAA" w:rsidRDefault="00536BAA" w:rsidP="0087239E">
            <w:pPr>
              <w:pStyle w:val="NotesTable-CellPlain"/>
            </w:pPr>
          </w:p>
        </w:tc>
        <w:tc>
          <w:tcPr>
            <w:tcW w:w="406" w:type="pct"/>
          </w:tcPr>
          <w:p w14:paraId="038A5712" w14:textId="77777777" w:rsidR="00536BAA" w:rsidRDefault="00536BAA" w:rsidP="0087239E">
            <w:pPr>
              <w:pStyle w:val="NotesTable-CellBold"/>
            </w:pPr>
          </w:p>
        </w:tc>
        <w:tc>
          <w:tcPr>
            <w:tcW w:w="406" w:type="pct"/>
          </w:tcPr>
          <w:p w14:paraId="038A5713" w14:textId="77777777" w:rsidR="00536BAA" w:rsidRDefault="00536BAA" w:rsidP="0087239E">
            <w:pPr>
              <w:pStyle w:val="NotesTable-CellPlain"/>
            </w:pPr>
          </w:p>
        </w:tc>
      </w:tr>
      <w:tr w:rsidR="00536BAA" w14:paraId="038A571B" w14:textId="77777777" w:rsidTr="00261A68">
        <w:trPr>
          <w:cantSplit/>
          <w:trHeight w:hRule="exact" w:val="454"/>
        </w:trPr>
        <w:tc>
          <w:tcPr>
            <w:tcW w:w="810" w:type="pct"/>
          </w:tcPr>
          <w:p w14:paraId="038A5715" w14:textId="77777777" w:rsidR="00536BAA" w:rsidRDefault="00536BAA" w:rsidP="00D11709">
            <w:pPr>
              <w:pStyle w:val="Note-Refs"/>
            </w:pPr>
          </w:p>
        </w:tc>
        <w:tc>
          <w:tcPr>
            <w:tcW w:w="2567" w:type="pct"/>
            <w:vAlign w:val="bottom"/>
          </w:tcPr>
          <w:p w14:paraId="038A5716" w14:textId="667BC850" w:rsidR="00536BAA" w:rsidRDefault="00536BAA">
            <w:pPr>
              <w:pStyle w:val="NotesTable-ItemPlain"/>
              <w:rPr>
                <w:b/>
              </w:rPr>
            </w:pPr>
            <w:r>
              <w:t xml:space="preserve">Change in fair value of financial assets designated as at fair value through profit </w:t>
            </w:r>
            <w:r w:rsidR="00992FA4">
              <w:t>or</w:t>
            </w:r>
            <w:r>
              <w:t xml:space="preserve"> loss</w:t>
            </w:r>
          </w:p>
        </w:tc>
        <w:tc>
          <w:tcPr>
            <w:tcW w:w="406" w:type="pct"/>
          </w:tcPr>
          <w:p w14:paraId="038A5717" w14:textId="77777777" w:rsidR="00536BAA" w:rsidRDefault="00536BAA" w:rsidP="0087239E">
            <w:pPr>
              <w:pStyle w:val="NotesTable-CellBold"/>
            </w:pPr>
            <w:r>
              <w:t>–</w:t>
            </w:r>
          </w:p>
        </w:tc>
        <w:tc>
          <w:tcPr>
            <w:tcW w:w="406" w:type="pct"/>
          </w:tcPr>
          <w:p w14:paraId="038A5718" w14:textId="77777777" w:rsidR="00536BAA" w:rsidRDefault="00536BAA" w:rsidP="0087239E">
            <w:pPr>
              <w:pStyle w:val="NotesTable-CellPlain"/>
            </w:pPr>
            <w:r>
              <w:t>–</w:t>
            </w:r>
          </w:p>
        </w:tc>
        <w:tc>
          <w:tcPr>
            <w:tcW w:w="406" w:type="pct"/>
          </w:tcPr>
          <w:p w14:paraId="038A5719" w14:textId="77777777" w:rsidR="00536BAA" w:rsidRDefault="00536BAA" w:rsidP="0087239E">
            <w:pPr>
              <w:pStyle w:val="NotesTable-CellBold"/>
            </w:pPr>
            <w:r>
              <w:t>–</w:t>
            </w:r>
          </w:p>
        </w:tc>
        <w:tc>
          <w:tcPr>
            <w:tcW w:w="406" w:type="pct"/>
          </w:tcPr>
          <w:p w14:paraId="038A571A" w14:textId="77777777" w:rsidR="00536BAA" w:rsidRDefault="00536BAA" w:rsidP="0087239E">
            <w:pPr>
              <w:pStyle w:val="NotesTable-CellPlain"/>
            </w:pPr>
            <w:r>
              <w:t>–</w:t>
            </w:r>
          </w:p>
        </w:tc>
      </w:tr>
      <w:tr w:rsidR="00536BAA" w14:paraId="038A5722" w14:textId="77777777" w:rsidTr="00261A68">
        <w:trPr>
          <w:cantSplit/>
          <w:trHeight w:hRule="exact" w:val="227"/>
        </w:trPr>
        <w:tc>
          <w:tcPr>
            <w:tcW w:w="810" w:type="pct"/>
          </w:tcPr>
          <w:p w14:paraId="038A571C" w14:textId="77777777" w:rsidR="00536BAA" w:rsidRDefault="00536BAA" w:rsidP="00D11709">
            <w:pPr>
              <w:pStyle w:val="Note-Refs"/>
            </w:pPr>
          </w:p>
        </w:tc>
        <w:tc>
          <w:tcPr>
            <w:tcW w:w="2567" w:type="pct"/>
            <w:vAlign w:val="bottom"/>
          </w:tcPr>
          <w:p w14:paraId="038A571D" w14:textId="77777777" w:rsidR="00536BAA" w:rsidRDefault="00536BAA">
            <w:pPr>
              <w:pStyle w:val="NotesTable-ItemPlain"/>
              <w:rPr>
                <w:b/>
              </w:rPr>
            </w:pPr>
            <w:r>
              <w:t>[Specify]</w:t>
            </w:r>
          </w:p>
        </w:tc>
        <w:tc>
          <w:tcPr>
            <w:tcW w:w="406" w:type="pct"/>
            <w:tcBorders>
              <w:bottom w:val="single" w:sz="4" w:space="0" w:color="000000"/>
            </w:tcBorders>
          </w:tcPr>
          <w:p w14:paraId="038A571E" w14:textId="77777777" w:rsidR="00536BAA" w:rsidRDefault="00536BAA" w:rsidP="0087239E">
            <w:pPr>
              <w:pStyle w:val="NotesTable-CellBold"/>
            </w:pPr>
            <w:r>
              <w:t>–</w:t>
            </w:r>
          </w:p>
        </w:tc>
        <w:tc>
          <w:tcPr>
            <w:tcW w:w="406" w:type="pct"/>
            <w:tcBorders>
              <w:bottom w:val="single" w:sz="4" w:space="0" w:color="000000"/>
            </w:tcBorders>
          </w:tcPr>
          <w:p w14:paraId="038A571F" w14:textId="77777777" w:rsidR="00536BAA" w:rsidRDefault="00536BAA" w:rsidP="0087239E">
            <w:pPr>
              <w:pStyle w:val="NotesTable-CellPlain"/>
            </w:pPr>
            <w:r>
              <w:t>–</w:t>
            </w:r>
          </w:p>
        </w:tc>
        <w:tc>
          <w:tcPr>
            <w:tcW w:w="406" w:type="pct"/>
            <w:tcBorders>
              <w:bottom w:val="single" w:sz="4" w:space="0" w:color="000000"/>
            </w:tcBorders>
          </w:tcPr>
          <w:p w14:paraId="038A5720" w14:textId="77777777" w:rsidR="00536BAA" w:rsidRDefault="00536BAA" w:rsidP="0087239E">
            <w:pPr>
              <w:pStyle w:val="NotesTable-CellBold"/>
            </w:pPr>
            <w:r>
              <w:t>–</w:t>
            </w:r>
          </w:p>
        </w:tc>
        <w:tc>
          <w:tcPr>
            <w:tcW w:w="406" w:type="pct"/>
            <w:tcBorders>
              <w:bottom w:val="single" w:sz="4" w:space="0" w:color="000000"/>
            </w:tcBorders>
          </w:tcPr>
          <w:p w14:paraId="038A5721" w14:textId="77777777" w:rsidR="00536BAA" w:rsidRDefault="00536BAA" w:rsidP="0087239E">
            <w:pPr>
              <w:pStyle w:val="NotesTable-CellPlain"/>
            </w:pPr>
            <w:r>
              <w:t>–</w:t>
            </w:r>
          </w:p>
        </w:tc>
      </w:tr>
      <w:tr w:rsidR="00536BAA" w14:paraId="038A5729" w14:textId="77777777" w:rsidTr="00261A68">
        <w:trPr>
          <w:cantSplit/>
          <w:trHeight w:hRule="exact" w:val="227"/>
        </w:trPr>
        <w:tc>
          <w:tcPr>
            <w:tcW w:w="810" w:type="pct"/>
          </w:tcPr>
          <w:p w14:paraId="038A5723" w14:textId="77777777" w:rsidR="00536BAA" w:rsidRDefault="00536BAA" w:rsidP="00D11709">
            <w:pPr>
              <w:pStyle w:val="Note-Refs"/>
            </w:pPr>
          </w:p>
        </w:tc>
        <w:tc>
          <w:tcPr>
            <w:tcW w:w="2567" w:type="pct"/>
            <w:vAlign w:val="bottom"/>
          </w:tcPr>
          <w:p w14:paraId="038A5724" w14:textId="77777777" w:rsidR="00536BAA" w:rsidRDefault="00536BAA">
            <w:pPr>
              <w:pStyle w:val="NotesTable-ItemPlain"/>
              <w:rPr>
                <w:b/>
              </w:rPr>
            </w:pPr>
            <w:r w:rsidRPr="000A0FE8">
              <w:t>Total</w:t>
            </w:r>
            <w:r>
              <w:t xml:space="preserve"> other investment income</w:t>
            </w:r>
          </w:p>
        </w:tc>
        <w:tc>
          <w:tcPr>
            <w:tcW w:w="406" w:type="pct"/>
            <w:tcBorders>
              <w:top w:val="single" w:sz="4" w:space="0" w:color="000000"/>
            </w:tcBorders>
          </w:tcPr>
          <w:p w14:paraId="038A5725" w14:textId="77777777" w:rsidR="00536BAA" w:rsidRDefault="00536BAA" w:rsidP="0087239E">
            <w:pPr>
              <w:pStyle w:val="NotesTable-CellBold"/>
            </w:pPr>
            <w:r>
              <w:t>–</w:t>
            </w:r>
          </w:p>
        </w:tc>
        <w:tc>
          <w:tcPr>
            <w:tcW w:w="406" w:type="pct"/>
            <w:tcBorders>
              <w:top w:val="single" w:sz="4" w:space="0" w:color="000000"/>
            </w:tcBorders>
          </w:tcPr>
          <w:p w14:paraId="038A5726" w14:textId="77777777" w:rsidR="00536BAA" w:rsidRDefault="00536BAA" w:rsidP="0087239E">
            <w:pPr>
              <w:pStyle w:val="NotesTable-CellPlain"/>
            </w:pPr>
            <w:r>
              <w:t>–</w:t>
            </w:r>
          </w:p>
        </w:tc>
        <w:tc>
          <w:tcPr>
            <w:tcW w:w="406" w:type="pct"/>
            <w:tcBorders>
              <w:top w:val="single" w:sz="4" w:space="0" w:color="000000"/>
            </w:tcBorders>
          </w:tcPr>
          <w:p w14:paraId="038A5727" w14:textId="77777777" w:rsidR="00536BAA" w:rsidRDefault="00536BAA" w:rsidP="0087239E">
            <w:pPr>
              <w:pStyle w:val="NotesTable-CellBold"/>
            </w:pPr>
            <w:r>
              <w:t>–</w:t>
            </w:r>
          </w:p>
        </w:tc>
        <w:tc>
          <w:tcPr>
            <w:tcW w:w="406" w:type="pct"/>
            <w:tcBorders>
              <w:top w:val="single" w:sz="4" w:space="0" w:color="000000"/>
            </w:tcBorders>
          </w:tcPr>
          <w:p w14:paraId="038A5728" w14:textId="77777777" w:rsidR="00536BAA" w:rsidRDefault="00536BAA" w:rsidP="0087239E">
            <w:pPr>
              <w:pStyle w:val="NotesTable-CellPlain"/>
            </w:pPr>
            <w:r>
              <w:t>–</w:t>
            </w:r>
          </w:p>
        </w:tc>
      </w:tr>
      <w:tr w:rsidR="00536BAA" w14:paraId="038A5730" w14:textId="77777777" w:rsidTr="00261A68">
        <w:trPr>
          <w:cantSplit/>
          <w:trHeight w:hRule="exact" w:val="227"/>
        </w:trPr>
        <w:tc>
          <w:tcPr>
            <w:tcW w:w="810" w:type="pct"/>
          </w:tcPr>
          <w:p w14:paraId="038A572A" w14:textId="77777777" w:rsidR="00536BAA" w:rsidRDefault="00536BAA" w:rsidP="00D11709">
            <w:pPr>
              <w:pStyle w:val="Note-Refs"/>
            </w:pPr>
          </w:p>
        </w:tc>
        <w:tc>
          <w:tcPr>
            <w:tcW w:w="2567" w:type="pct"/>
            <w:vAlign w:val="bottom"/>
          </w:tcPr>
          <w:p w14:paraId="038A572B" w14:textId="77777777" w:rsidR="00536BAA" w:rsidRDefault="00536BAA">
            <w:pPr>
              <w:pStyle w:val="NotesTable-ItemPlain"/>
            </w:pPr>
          </w:p>
        </w:tc>
        <w:tc>
          <w:tcPr>
            <w:tcW w:w="406" w:type="pct"/>
          </w:tcPr>
          <w:p w14:paraId="038A572C" w14:textId="77777777" w:rsidR="00536BAA" w:rsidRDefault="00536BAA" w:rsidP="0087239E">
            <w:pPr>
              <w:pStyle w:val="NotesTable-CellBold"/>
            </w:pPr>
          </w:p>
        </w:tc>
        <w:tc>
          <w:tcPr>
            <w:tcW w:w="406" w:type="pct"/>
          </w:tcPr>
          <w:p w14:paraId="038A572D" w14:textId="77777777" w:rsidR="00536BAA" w:rsidRDefault="00536BAA" w:rsidP="0087239E">
            <w:pPr>
              <w:pStyle w:val="NotesTable-CellPlain"/>
            </w:pPr>
          </w:p>
        </w:tc>
        <w:tc>
          <w:tcPr>
            <w:tcW w:w="406" w:type="pct"/>
          </w:tcPr>
          <w:p w14:paraId="038A572E" w14:textId="77777777" w:rsidR="00536BAA" w:rsidRDefault="00536BAA" w:rsidP="0087239E">
            <w:pPr>
              <w:pStyle w:val="NotesTable-CellBold"/>
            </w:pPr>
          </w:p>
        </w:tc>
        <w:tc>
          <w:tcPr>
            <w:tcW w:w="406" w:type="pct"/>
          </w:tcPr>
          <w:p w14:paraId="038A572F" w14:textId="77777777" w:rsidR="00536BAA" w:rsidRDefault="00536BAA" w:rsidP="0087239E">
            <w:pPr>
              <w:pStyle w:val="NotesTable-CellPlain"/>
            </w:pPr>
          </w:p>
        </w:tc>
      </w:tr>
      <w:tr w:rsidR="00536BAA" w14:paraId="038A5737" w14:textId="77777777" w:rsidTr="00261A68">
        <w:trPr>
          <w:cantSplit/>
          <w:trHeight w:hRule="exact" w:val="227"/>
        </w:trPr>
        <w:tc>
          <w:tcPr>
            <w:tcW w:w="810" w:type="pct"/>
          </w:tcPr>
          <w:p w14:paraId="038A5731" w14:textId="77777777" w:rsidR="00536BAA" w:rsidRDefault="00536BAA" w:rsidP="00D11709">
            <w:pPr>
              <w:pStyle w:val="Note-Refs"/>
            </w:pPr>
          </w:p>
        </w:tc>
        <w:tc>
          <w:tcPr>
            <w:tcW w:w="2567" w:type="pct"/>
            <w:vAlign w:val="bottom"/>
          </w:tcPr>
          <w:p w14:paraId="038A5732" w14:textId="77777777" w:rsidR="00536BAA" w:rsidRDefault="00536BAA">
            <w:pPr>
              <w:pStyle w:val="NotesTable-ItemPlain"/>
              <w:rPr>
                <w:b/>
              </w:rPr>
            </w:pPr>
            <w:r>
              <w:t>[Specify]</w:t>
            </w:r>
          </w:p>
        </w:tc>
        <w:tc>
          <w:tcPr>
            <w:tcW w:w="406" w:type="pct"/>
            <w:tcBorders>
              <w:bottom w:val="single" w:sz="4" w:space="0" w:color="000000"/>
            </w:tcBorders>
          </w:tcPr>
          <w:p w14:paraId="038A5733" w14:textId="77777777" w:rsidR="00536BAA" w:rsidRDefault="00536BAA" w:rsidP="0087239E">
            <w:pPr>
              <w:pStyle w:val="NotesTable-CellBold"/>
            </w:pPr>
            <w:r>
              <w:t>–</w:t>
            </w:r>
          </w:p>
        </w:tc>
        <w:tc>
          <w:tcPr>
            <w:tcW w:w="406" w:type="pct"/>
            <w:tcBorders>
              <w:bottom w:val="single" w:sz="4" w:space="0" w:color="000000"/>
            </w:tcBorders>
          </w:tcPr>
          <w:p w14:paraId="038A5734" w14:textId="77777777" w:rsidR="00536BAA" w:rsidRDefault="00536BAA" w:rsidP="0087239E">
            <w:pPr>
              <w:pStyle w:val="NotesTable-CellPlain"/>
            </w:pPr>
            <w:r>
              <w:t>–</w:t>
            </w:r>
          </w:p>
        </w:tc>
        <w:tc>
          <w:tcPr>
            <w:tcW w:w="406" w:type="pct"/>
            <w:tcBorders>
              <w:bottom w:val="single" w:sz="4" w:space="0" w:color="000000"/>
            </w:tcBorders>
          </w:tcPr>
          <w:p w14:paraId="038A5735" w14:textId="77777777" w:rsidR="00536BAA" w:rsidRDefault="00536BAA" w:rsidP="0087239E">
            <w:pPr>
              <w:pStyle w:val="NotesTable-CellBold"/>
            </w:pPr>
            <w:r>
              <w:t>–</w:t>
            </w:r>
          </w:p>
        </w:tc>
        <w:tc>
          <w:tcPr>
            <w:tcW w:w="406" w:type="pct"/>
            <w:tcBorders>
              <w:bottom w:val="single" w:sz="4" w:space="0" w:color="000000"/>
            </w:tcBorders>
          </w:tcPr>
          <w:p w14:paraId="038A5736" w14:textId="77777777" w:rsidR="00536BAA" w:rsidRDefault="00536BAA" w:rsidP="0087239E">
            <w:pPr>
              <w:pStyle w:val="NotesTable-CellPlain"/>
            </w:pPr>
            <w:r>
              <w:t>–</w:t>
            </w:r>
          </w:p>
        </w:tc>
      </w:tr>
      <w:tr w:rsidR="00536BAA" w14:paraId="038A573E" w14:textId="77777777" w:rsidTr="00261A68">
        <w:trPr>
          <w:cantSplit/>
          <w:trHeight w:hRule="exact" w:val="227"/>
        </w:trPr>
        <w:tc>
          <w:tcPr>
            <w:tcW w:w="810" w:type="pct"/>
          </w:tcPr>
          <w:p w14:paraId="038A5738" w14:textId="77777777" w:rsidR="00536BAA" w:rsidRDefault="00536BAA" w:rsidP="00D11709">
            <w:pPr>
              <w:pStyle w:val="Note-Refs"/>
            </w:pPr>
          </w:p>
        </w:tc>
        <w:tc>
          <w:tcPr>
            <w:tcW w:w="2567" w:type="pct"/>
            <w:vAlign w:val="bottom"/>
          </w:tcPr>
          <w:p w14:paraId="038A5739" w14:textId="77777777" w:rsidR="00536BAA" w:rsidRDefault="00536BAA">
            <w:pPr>
              <w:pStyle w:val="NotesTable-ItemPlain"/>
              <w:rPr>
                <w:b/>
              </w:rPr>
            </w:pPr>
            <w:r w:rsidRPr="000A0FE8">
              <w:t>Total</w:t>
            </w:r>
            <w:r>
              <w:t xml:space="preserve"> other investment losses</w:t>
            </w:r>
          </w:p>
        </w:tc>
        <w:tc>
          <w:tcPr>
            <w:tcW w:w="406" w:type="pct"/>
            <w:tcBorders>
              <w:top w:val="single" w:sz="4" w:space="0" w:color="000000"/>
            </w:tcBorders>
          </w:tcPr>
          <w:p w14:paraId="038A573A" w14:textId="77777777" w:rsidR="00536BAA" w:rsidRDefault="00536BAA" w:rsidP="0087239E">
            <w:pPr>
              <w:pStyle w:val="NotesTable-CellBold"/>
            </w:pPr>
            <w:r>
              <w:t>–</w:t>
            </w:r>
          </w:p>
        </w:tc>
        <w:tc>
          <w:tcPr>
            <w:tcW w:w="406" w:type="pct"/>
            <w:tcBorders>
              <w:top w:val="single" w:sz="4" w:space="0" w:color="000000"/>
            </w:tcBorders>
          </w:tcPr>
          <w:p w14:paraId="038A573B" w14:textId="77777777" w:rsidR="00536BAA" w:rsidRDefault="00536BAA" w:rsidP="0087239E">
            <w:pPr>
              <w:pStyle w:val="NotesTable-CellPlain"/>
            </w:pPr>
            <w:r>
              <w:t>–</w:t>
            </w:r>
          </w:p>
        </w:tc>
        <w:tc>
          <w:tcPr>
            <w:tcW w:w="406" w:type="pct"/>
            <w:tcBorders>
              <w:top w:val="single" w:sz="4" w:space="0" w:color="000000"/>
            </w:tcBorders>
          </w:tcPr>
          <w:p w14:paraId="038A573C" w14:textId="77777777" w:rsidR="00536BAA" w:rsidRDefault="00536BAA" w:rsidP="0087239E">
            <w:pPr>
              <w:pStyle w:val="NotesTable-CellBold"/>
            </w:pPr>
            <w:r>
              <w:t>–</w:t>
            </w:r>
          </w:p>
        </w:tc>
        <w:tc>
          <w:tcPr>
            <w:tcW w:w="406" w:type="pct"/>
            <w:tcBorders>
              <w:top w:val="single" w:sz="4" w:space="0" w:color="000000"/>
            </w:tcBorders>
          </w:tcPr>
          <w:p w14:paraId="038A573D" w14:textId="77777777" w:rsidR="00536BAA" w:rsidRDefault="00536BAA" w:rsidP="0087239E">
            <w:pPr>
              <w:pStyle w:val="NotesTable-CellPlain"/>
            </w:pPr>
            <w:r>
              <w:t>–</w:t>
            </w:r>
          </w:p>
        </w:tc>
      </w:tr>
      <w:tr w:rsidR="00536BAA" w14:paraId="038A5745" w14:textId="77777777" w:rsidTr="00261A68">
        <w:trPr>
          <w:cantSplit/>
          <w:trHeight w:hRule="exact" w:val="227"/>
        </w:trPr>
        <w:tc>
          <w:tcPr>
            <w:tcW w:w="810" w:type="pct"/>
          </w:tcPr>
          <w:p w14:paraId="038A573F" w14:textId="77777777" w:rsidR="00536BAA" w:rsidRDefault="00536BAA" w:rsidP="00D11709">
            <w:pPr>
              <w:pStyle w:val="Note-Refs"/>
            </w:pPr>
          </w:p>
        </w:tc>
        <w:tc>
          <w:tcPr>
            <w:tcW w:w="2567" w:type="pct"/>
            <w:vAlign w:val="bottom"/>
          </w:tcPr>
          <w:p w14:paraId="038A5740" w14:textId="77777777" w:rsidR="00536BAA" w:rsidRDefault="00536BAA">
            <w:pPr>
              <w:pStyle w:val="NotesTable-ItemPlain"/>
            </w:pPr>
          </w:p>
        </w:tc>
        <w:tc>
          <w:tcPr>
            <w:tcW w:w="406" w:type="pct"/>
          </w:tcPr>
          <w:p w14:paraId="038A5741" w14:textId="77777777" w:rsidR="00536BAA" w:rsidRDefault="00536BAA" w:rsidP="0087239E">
            <w:pPr>
              <w:pStyle w:val="NotesTable-CellBold"/>
            </w:pPr>
          </w:p>
        </w:tc>
        <w:tc>
          <w:tcPr>
            <w:tcW w:w="406" w:type="pct"/>
          </w:tcPr>
          <w:p w14:paraId="038A5742" w14:textId="77777777" w:rsidR="00536BAA" w:rsidRDefault="00536BAA" w:rsidP="0087239E">
            <w:pPr>
              <w:pStyle w:val="NotesTable-CellPlain"/>
            </w:pPr>
          </w:p>
        </w:tc>
        <w:tc>
          <w:tcPr>
            <w:tcW w:w="406" w:type="pct"/>
          </w:tcPr>
          <w:p w14:paraId="038A5743" w14:textId="77777777" w:rsidR="00536BAA" w:rsidRDefault="00536BAA" w:rsidP="0087239E">
            <w:pPr>
              <w:pStyle w:val="NotesTable-CellBold"/>
            </w:pPr>
          </w:p>
        </w:tc>
        <w:tc>
          <w:tcPr>
            <w:tcW w:w="406" w:type="pct"/>
          </w:tcPr>
          <w:p w14:paraId="038A5744" w14:textId="77777777" w:rsidR="00536BAA" w:rsidRDefault="00536BAA" w:rsidP="0087239E">
            <w:pPr>
              <w:pStyle w:val="NotesTable-CellPlain"/>
            </w:pPr>
          </w:p>
        </w:tc>
      </w:tr>
      <w:tr w:rsidR="00536BAA" w14:paraId="038A574C" w14:textId="77777777" w:rsidTr="00261A68">
        <w:trPr>
          <w:cantSplit/>
          <w:trHeight w:hRule="exact" w:val="227"/>
        </w:trPr>
        <w:tc>
          <w:tcPr>
            <w:tcW w:w="810" w:type="pct"/>
          </w:tcPr>
          <w:p w14:paraId="038A5746" w14:textId="77777777" w:rsidR="00536BAA" w:rsidRDefault="00536BAA" w:rsidP="00D11709">
            <w:pPr>
              <w:pStyle w:val="Note-Refs"/>
            </w:pPr>
          </w:p>
        </w:tc>
        <w:tc>
          <w:tcPr>
            <w:tcW w:w="2567" w:type="pct"/>
            <w:vAlign w:val="bottom"/>
          </w:tcPr>
          <w:p w14:paraId="038A5747" w14:textId="77777777" w:rsidR="00536BAA" w:rsidRDefault="00536BAA">
            <w:pPr>
              <w:pStyle w:val="NotesTable-ItemPlain"/>
              <w:rPr>
                <w:b/>
              </w:rPr>
            </w:pPr>
            <w:r>
              <w:t>Net investment income</w:t>
            </w:r>
          </w:p>
        </w:tc>
        <w:tc>
          <w:tcPr>
            <w:tcW w:w="406" w:type="pct"/>
          </w:tcPr>
          <w:p w14:paraId="038A5748" w14:textId="77777777" w:rsidR="00536BAA" w:rsidRDefault="00536BAA" w:rsidP="0087239E">
            <w:pPr>
              <w:pStyle w:val="NotesTable-CellBold"/>
            </w:pPr>
            <w:r>
              <w:t>–</w:t>
            </w:r>
          </w:p>
        </w:tc>
        <w:tc>
          <w:tcPr>
            <w:tcW w:w="406" w:type="pct"/>
          </w:tcPr>
          <w:p w14:paraId="038A5749" w14:textId="77777777" w:rsidR="00536BAA" w:rsidRDefault="00536BAA" w:rsidP="0087239E">
            <w:pPr>
              <w:pStyle w:val="NotesTable-CellPlain"/>
            </w:pPr>
            <w:r>
              <w:t>–</w:t>
            </w:r>
          </w:p>
        </w:tc>
        <w:tc>
          <w:tcPr>
            <w:tcW w:w="406" w:type="pct"/>
          </w:tcPr>
          <w:p w14:paraId="038A574A" w14:textId="77777777" w:rsidR="00536BAA" w:rsidRDefault="00536BAA" w:rsidP="0087239E">
            <w:pPr>
              <w:pStyle w:val="NotesTable-CellBold"/>
            </w:pPr>
            <w:r>
              <w:t>–</w:t>
            </w:r>
          </w:p>
        </w:tc>
        <w:tc>
          <w:tcPr>
            <w:tcW w:w="406" w:type="pct"/>
          </w:tcPr>
          <w:p w14:paraId="038A574B" w14:textId="77777777" w:rsidR="00536BAA" w:rsidRDefault="00536BAA" w:rsidP="0087239E">
            <w:pPr>
              <w:pStyle w:val="NotesTable-CellPlain"/>
            </w:pPr>
            <w:r>
              <w:t>–</w:t>
            </w:r>
          </w:p>
        </w:tc>
      </w:tr>
      <w:tr w:rsidR="00536BAA" w14:paraId="038A5753" w14:textId="77777777" w:rsidTr="00261A68">
        <w:trPr>
          <w:cantSplit/>
          <w:trHeight w:hRule="exact" w:val="227"/>
        </w:trPr>
        <w:tc>
          <w:tcPr>
            <w:tcW w:w="810" w:type="pct"/>
          </w:tcPr>
          <w:p w14:paraId="038A574D" w14:textId="77777777" w:rsidR="00536BAA" w:rsidRDefault="00536BAA" w:rsidP="00D11709">
            <w:pPr>
              <w:pStyle w:val="Note-Refs"/>
            </w:pPr>
          </w:p>
        </w:tc>
        <w:tc>
          <w:tcPr>
            <w:tcW w:w="2567" w:type="pct"/>
            <w:vAlign w:val="bottom"/>
          </w:tcPr>
          <w:p w14:paraId="038A574E" w14:textId="77777777" w:rsidR="00536BAA" w:rsidRDefault="00536BAA">
            <w:pPr>
              <w:pStyle w:val="NotesTable-ItemPlain"/>
            </w:pPr>
          </w:p>
        </w:tc>
        <w:tc>
          <w:tcPr>
            <w:tcW w:w="406" w:type="pct"/>
          </w:tcPr>
          <w:p w14:paraId="038A574F" w14:textId="77777777" w:rsidR="00536BAA" w:rsidRDefault="00536BAA" w:rsidP="0087239E">
            <w:pPr>
              <w:pStyle w:val="NotesTable-CellBold"/>
            </w:pPr>
          </w:p>
        </w:tc>
        <w:tc>
          <w:tcPr>
            <w:tcW w:w="406" w:type="pct"/>
          </w:tcPr>
          <w:p w14:paraId="038A5750" w14:textId="77777777" w:rsidR="00536BAA" w:rsidRDefault="00536BAA" w:rsidP="0087239E">
            <w:pPr>
              <w:pStyle w:val="NotesTable-CellPlain"/>
            </w:pPr>
          </w:p>
        </w:tc>
        <w:tc>
          <w:tcPr>
            <w:tcW w:w="406" w:type="pct"/>
          </w:tcPr>
          <w:p w14:paraId="038A5751" w14:textId="77777777" w:rsidR="00536BAA" w:rsidRDefault="00536BAA" w:rsidP="0087239E">
            <w:pPr>
              <w:pStyle w:val="NotesTable-CellBold"/>
            </w:pPr>
          </w:p>
        </w:tc>
        <w:tc>
          <w:tcPr>
            <w:tcW w:w="406" w:type="pct"/>
          </w:tcPr>
          <w:p w14:paraId="038A5752" w14:textId="77777777" w:rsidR="00536BAA" w:rsidRDefault="00536BAA" w:rsidP="0087239E">
            <w:pPr>
              <w:pStyle w:val="NotesTable-CellPlain"/>
            </w:pPr>
          </w:p>
        </w:tc>
      </w:tr>
      <w:tr w:rsidR="00536BAA" w14:paraId="038A575A" w14:textId="77777777" w:rsidTr="00261A68">
        <w:trPr>
          <w:cantSplit/>
          <w:trHeight w:hRule="exact" w:val="227"/>
        </w:trPr>
        <w:tc>
          <w:tcPr>
            <w:tcW w:w="810" w:type="pct"/>
          </w:tcPr>
          <w:p w14:paraId="038A5754" w14:textId="77777777" w:rsidR="00536BAA" w:rsidRDefault="00536BAA" w:rsidP="00D11709">
            <w:pPr>
              <w:pStyle w:val="Note-Refs"/>
            </w:pPr>
          </w:p>
        </w:tc>
        <w:tc>
          <w:tcPr>
            <w:tcW w:w="2567" w:type="pct"/>
            <w:vAlign w:val="bottom"/>
          </w:tcPr>
          <w:p w14:paraId="038A5755" w14:textId="77777777" w:rsidR="00536BAA" w:rsidRDefault="00536BAA">
            <w:pPr>
              <w:pStyle w:val="NotesTable-ItemPlain"/>
              <w:rPr>
                <w:b/>
              </w:rPr>
            </w:pPr>
            <w:r>
              <w:t>Change in fair value of non-trading equity instruments</w:t>
            </w:r>
          </w:p>
        </w:tc>
        <w:tc>
          <w:tcPr>
            <w:tcW w:w="406" w:type="pct"/>
          </w:tcPr>
          <w:p w14:paraId="038A5756" w14:textId="77777777" w:rsidR="00536BAA" w:rsidRDefault="00536BAA" w:rsidP="0087239E">
            <w:pPr>
              <w:pStyle w:val="NotesTable-CellBold"/>
            </w:pPr>
            <w:r>
              <w:t>–</w:t>
            </w:r>
          </w:p>
        </w:tc>
        <w:tc>
          <w:tcPr>
            <w:tcW w:w="406" w:type="pct"/>
          </w:tcPr>
          <w:p w14:paraId="038A5757" w14:textId="77777777" w:rsidR="00536BAA" w:rsidRDefault="00536BAA" w:rsidP="0087239E">
            <w:pPr>
              <w:pStyle w:val="NotesTable-CellPlain"/>
            </w:pPr>
            <w:r>
              <w:t>–</w:t>
            </w:r>
          </w:p>
        </w:tc>
        <w:tc>
          <w:tcPr>
            <w:tcW w:w="406" w:type="pct"/>
          </w:tcPr>
          <w:p w14:paraId="038A5758" w14:textId="77777777" w:rsidR="00536BAA" w:rsidRDefault="00536BAA" w:rsidP="0087239E">
            <w:pPr>
              <w:pStyle w:val="NotesTable-CellBold"/>
            </w:pPr>
            <w:r>
              <w:t>–</w:t>
            </w:r>
          </w:p>
        </w:tc>
        <w:tc>
          <w:tcPr>
            <w:tcW w:w="406" w:type="pct"/>
          </w:tcPr>
          <w:p w14:paraId="038A5759" w14:textId="77777777" w:rsidR="00536BAA" w:rsidRDefault="00536BAA" w:rsidP="0087239E">
            <w:pPr>
              <w:pStyle w:val="NotesTable-CellPlain"/>
            </w:pPr>
            <w:r>
              <w:t>–</w:t>
            </w:r>
          </w:p>
        </w:tc>
      </w:tr>
      <w:tr w:rsidR="00536BAA" w14:paraId="038A5761" w14:textId="77777777" w:rsidTr="00261A68">
        <w:trPr>
          <w:cantSplit/>
          <w:trHeight w:hRule="exact" w:val="227"/>
        </w:trPr>
        <w:tc>
          <w:tcPr>
            <w:tcW w:w="810" w:type="pct"/>
          </w:tcPr>
          <w:p w14:paraId="038A575B" w14:textId="77777777" w:rsidR="00536BAA" w:rsidRDefault="00536BAA" w:rsidP="00D11709">
            <w:pPr>
              <w:pStyle w:val="Note-Refs"/>
            </w:pPr>
          </w:p>
        </w:tc>
        <w:tc>
          <w:tcPr>
            <w:tcW w:w="2567" w:type="pct"/>
            <w:vAlign w:val="bottom"/>
          </w:tcPr>
          <w:p w14:paraId="038A575C" w14:textId="77777777" w:rsidR="00536BAA" w:rsidRDefault="00536BAA">
            <w:pPr>
              <w:pStyle w:val="NotesTable-ItemPlain"/>
            </w:pPr>
          </w:p>
        </w:tc>
        <w:tc>
          <w:tcPr>
            <w:tcW w:w="406" w:type="pct"/>
            <w:tcBorders>
              <w:bottom w:val="single" w:sz="4" w:space="0" w:color="auto"/>
            </w:tcBorders>
          </w:tcPr>
          <w:p w14:paraId="038A575D" w14:textId="77777777" w:rsidR="00536BAA" w:rsidRDefault="00536BAA" w:rsidP="0087239E">
            <w:pPr>
              <w:pStyle w:val="NotesTable-CellBold"/>
            </w:pPr>
          </w:p>
        </w:tc>
        <w:tc>
          <w:tcPr>
            <w:tcW w:w="406" w:type="pct"/>
            <w:tcBorders>
              <w:bottom w:val="single" w:sz="4" w:space="0" w:color="auto"/>
            </w:tcBorders>
          </w:tcPr>
          <w:p w14:paraId="038A575E" w14:textId="77777777" w:rsidR="00536BAA" w:rsidRDefault="00536BAA" w:rsidP="0087239E">
            <w:pPr>
              <w:pStyle w:val="NotesTable-CellPlain"/>
            </w:pPr>
          </w:p>
        </w:tc>
        <w:tc>
          <w:tcPr>
            <w:tcW w:w="406" w:type="pct"/>
            <w:tcBorders>
              <w:bottom w:val="single" w:sz="4" w:space="0" w:color="auto"/>
            </w:tcBorders>
          </w:tcPr>
          <w:p w14:paraId="038A575F" w14:textId="77777777" w:rsidR="00536BAA" w:rsidRDefault="00536BAA" w:rsidP="0087239E">
            <w:pPr>
              <w:pStyle w:val="NotesTable-CellBold"/>
            </w:pPr>
          </w:p>
        </w:tc>
        <w:tc>
          <w:tcPr>
            <w:tcW w:w="406" w:type="pct"/>
            <w:tcBorders>
              <w:bottom w:val="single" w:sz="4" w:space="0" w:color="auto"/>
            </w:tcBorders>
          </w:tcPr>
          <w:p w14:paraId="038A5760" w14:textId="77777777" w:rsidR="00536BAA" w:rsidRDefault="00536BAA" w:rsidP="0087239E">
            <w:pPr>
              <w:pStyle w:val="NotesTable-CellPlain"/>
            </w:pPr>
          </w:p>
        </w:tc>
      </w:tr>
      <w:tr w:rsidR="00536BAA" w14:paraId="038A5768" w14:textId="77777777" w:rsidTr="00261A68">
        <w:trPr>
          <w:cantSplit/>
          <w:trHeight w:hRule="exact" w:val="227"/>
        </w:trPr>
        <w:tc>
          <w:tcPr>
            <w:tcW w:w="810" w:type="pct"/>
          </w:tcPr>
          <w:p w14:paraId="038A5762" w14:textId="77777777" w:rsidR="00536BAA" w:rsidRDefault="00536BAA" w:rsidP="00D11709">
            <w:pPr>
              <w:pStyle w:val="Note-Refs"/>
            </w:pPr>
          </w:p>
        </w:tc>
        <w:tc>
          <w:tcPr>
            <w:tcW w:w="2567" w:type="pct"/>
            <w:vAlign w:val="bottom"/>
          </w:tcPr>
          <w:p w14:paraId="038A5763" w14:textId="77777777" w:rsidR="00536BAA" w:rsidRDefault="00536BAA">
            <w:pPr>
              <w:pStyle w:val="NotesTable-ItemPlain"/>
              <w:rPr>
                <w:b/>
              </w:rPr>
            </w:pPr>
            <w:r>
              <w:t>Total comprehensive investment income</w:t>
            </w:r>
          </w:p>
        </w:tc>
        <w:tc>
          <w:tcPr>
            <w:tcW w:w="406" w:type="pct"/>
            <w:tcBorders>
              <w:top w:val="single" w:sz="4" w:space="0" w:color="auto"/>
            </w:tcBorders>
          </w:tcPr>
          <w:p w14:paraId="038A5764" w14:textId="77777777" w:rsidR="00536BAA" w:rsidRDefault="00536BAA" w:rsidP="0087239E">
            <w:pPr>
              <w:pStyle w:val="NotesTable-CellBold"/>
            </w:pPr>
            <w:r>
              <w:t>–</w:t>
            </w:r>
          </w:p>
        </w:tc>
        <w:tc>
          <w:tcPr>
            <w:tcW w:w="406" w:type="pct"/>
            <w:tcBorders>
              <w:top w:val="single" w:sz="4" w:space="0" w:color="auto"/>
            </w:tcBorders>
          </w:tcPr>
          <w:p w14:paraId="038A5765" w14:textId="77777777" w:rsidR="00536BAA" w:rsidRDefault="00536BAA" w:rsidP="0087239E">
            <w:pPr>
              <w:pStyle w:val="NotesTable-CellPlain"/>
            </w:pPr>
            <w:r>
              <w:t>–</w:t>
            </w:r>
          </w:p>
        </w:tc>
        <w:tc>
          <w:tcPr>
            <w:tcW w:w="406" w:type="pct"/>
            <w:tcBorders>
              <w:top w:val="single" w:sz="4" w:space="0" w:color="auto"/>
            </w:tcBorders>
          </w:tcPr>
          <w:p w14:paraId="038A5766" w14:textId="77777777" w:rsidR="00536BAA" w:rsidRDefault="00536BAA" w:rsidP="0087239E">
            <w:pPr>
              <w:pStyle w:val="NotesTable-CellBold"/>
            </w:pPr>
            <w:r>
              <w:t>–</w:t>
            </w:r>
          </w:p>
        </w:tc>
        <w:tc>
          <w:tcPr>
            <w:tcW w:w="406" w:type="pct"/>
            <w:tcBorders>
              <w:top w:val="single" w:sz="4" w:space="0" w:color="auto"/>
            </w:tcBorders>
          </w:tcPr>
          <w:p w14:paraId="038A5767" w14:textId="77777777" w:rsidR="00536BAA" w:rsidRDefault="00536BAA" w:rsidP="0087239E">
            <w:pPr>
              <w:pStyle w:val="NotesTable-CellPlain"/>
            </w:pPr>
            <w:r>
              <w:t>–</w:t>
            </w:r>
          </w:p>
        </w:tc>
      </w:tr>
      <w:tr w:rsidR="00536BAA" w14:paraId="038A576F" w14:textId="77777777" w:rsidTr="00261A68">
        <w:trPr>
          <w:cantSplit/>
          <w:trHeight w:hRule="exact" w:val="227"/>
        </w:trPr>
        <w:tc>
          <w:tcPr>
            <w:tcW w:w="810" w:type="pct"/>
          </w:tcPr>
          <w:p w14:paraId="038A5769" w14:textId="77777777" w:rsidR="00536BAA" w:rsidRDefault="00536BAA" w:rsidP="00D11709">
            <w:pPr>
              <w:pStyle w:val="Note-Refs"/>
            </w:pPr>
          </w:p>
        </w:tc>
        <w:tc>
          <w:tcPr>
            <w:tcW w:w="2567" w:type="pct"/>
            <w:vAlign w:val="bottom"/>
          </w:tcPr>
          <w:p w14:paraId="038A576A" w14:textId="77777777" w:rsidR="00536BAA" w:rsidRDefault="00536BAA">
            <w:pPr>
              <w:pStyle w:val="NotesTable-ItemPlain"/>
            </w:pPr>
          </w:p>
        </w:tc>
        <w:tc>
          <w:tcPr>
            <w:tcW w:w="406" w:type="pct"/>
          </w:tcPr>
          <w:p w14:paraId="038A576B" w14:textId="77777777" w:rsidR="00536BAA" w:rsidRDefault="00536BAA" w:rsidP="0087239E">
            <w:pPr>
              <w:pStyle w:val="NotesTable-CellBold"/>
            </w:pPr>
          </w:p>
        </w:tc>
        <w:tc>
          <w:tcPr>
            <w:tcW w:w="406" w:type="pct"/>
          </w:tcPr>
          <w:p w14:paraId="038A576C" w14:textId="77777777" w:rsidR="00536BAA" w:rsidRDefault="00536BAA" w:rsidP="0087239E">
            <w:pPr>
              <w:pStyle w:val="NotesTable-CellPlain"/>
            </w:pPr>
          </w:p>
        </w:tc>
        <w:tc>
          <w:tcPr>
            <w:tcW w:w="406" w:type="pct"/>
          </w:tcPr>
          <w:p w14:paraId="038A576D" w14:textId="77777777" w:rsidR="00536BAA" w:rsidRDefault="00536BAA" w:rsidP="0087239E">
            <w:pPr>
              <w:pStyle w:val="NotesTable-CellBold"/>
            </w:pPr>
          </w:p>
        </w:tc>
        <w:tc>
          <w:tcPr>
            <w:tcW w:w="406" w:type="pct"/>
          </w:tcPr>
          <w:p w14:paraId="038A576E" w14:textId="77777777" w:rsidR="00536BAA" w:rsidRDefault="00536BAA" w:rsidP="0087239E">
            <w:pPr>
              <w:pStyle w:val="NotesTable-CellPlain"/>
            </w:pPr>
          </w:p>
        </w:tc>
      </w:tr>
    </w:tbl>
    <w:p w14:paraId="038A5770" w14:textId="77777777" w:rsidR="00454B5A" w:rsidRPr="004343C5" w:rsidRDefault="00454B5A" w:rsidP="004343C5">
      <w:r w:rsidRPr="004343C5">
        <w:br w:type="page"/>
      </w:r>
    </w:p>
    <w:p w14:paraId="30585C80" w14:textId="088A29B3" w:rsidR="004343C5" w:rsidRPr="004343C5" w:rsidRDefault="004343C5" w:rsidP="00E21724">
      <w:pPr>
        <w:pStyle w:val="Heading2"/>
      </w:pPr>
      <w:bookmarkStart w:id="510" w:name="_Toc410807700"/>
      <w:bookmarkStart w:id="511" w:name="_Toc410822761"/>
      <w:bookmarkStart w:id="512" w:name="_Toc410823920"/>
      <w:bookmarkStart w:id="513" w:name="_Toc410825207"/>
      <w:proofErr w:type="gramStart"/>
      <w:r w:rsidRPr="004343C5">
        <w:lastRenderedPageBreak/>
        <w:t>Note 21.</w:t>
      </w:r>
      <w:proofErr w:type="gramEnd"/>
      <w:r>
        <w:t xml:space="preserve"> </w:t>
      </w:r>
      <w:r w:rsidRPr="004343C5">
        <w:t>Other financial assets</w:t>
      </w:r>
      <w:bookmarkEnd w:id="510"/>
      <w:bookmarkEnd w:id="511"/>
      <w:bookmarkEnd w:id="512"/>
      <w:bookmarkEnd w:id="513"/>
      <w:r w:rsidRPr="004343C5">
        <w:t xml:space="preserve"> </w:t>
      </w:r>
    </w:p>
    <w:tbl>
      <w:tblPr>
        <w:tblW w:w="5000" w:type="pct"/>
        <w:tblCellMar>
          <w:left w:w="0" w:type="dxa"/>
          <w:right w:w="0" w:type="dxa"/>
        </w:tblCellMar>
        <w:tblLook w:val="0000" w:firstRow="0" w:lastRow="0" w:firstColumn="0" w:lastColumn="0" w:noHBand="0" w:noVBand="0"/>
      </w:tblPr>
      <w:tblGrid>
        <w:gridCol w:w="1462"/>
        <w:gridCol w:w="4633"/>
        <w:gridCol w:w="733"/>
        <w:gridCol w:w="733"/>
        <w:gridCol w:w="733"/>
        <w:gridCol w:w="731"/>
      </w:tblGrid>
      <w:tr w:rsidR="00B0006E" w14:paraId="038A5778" w14:textId="77777777" w:rsidTr="00261A68">
        <w:trPr>
          <w:cantSplit/>
          <w:trHeight w:hRule="exact" w:val="227"/>
        </w:trPr>
        <w:tc>
          <w:tcPr>
            <w:tcW w:w="810" w:type="pct"/>
          </w:tcPr>
          <w:p w14:paraId="038A5774" w14:textId="77777777" w:rsidR="00454B5A" w:rsidRDefault="00454B5A" w:rsidP="00D11709">
            <w:pPr>
              <w:pStyle w:val="Note-Refs"/>
            </w:pPr>
          </w:p>
        </w:tc>
        <w:tc>
          <w:tcPr>
            <w:tcW w:w="2567" w:type="pct"/>
            <w:vAlign w:val="bottom"/>
          </w:tcPr>
          <w:p w14:paraId="038A5775" w14:textId="77777777" w:rsidR="00454B5A" w:rsidRDefault="00454B5A">
            <w:pPr>
              <w:pStyle w:val="NotesTable-ItemPlain"/>
            </w:pPr>
          </w:p>
        </w:tc>
        <w:tc>
          <w:tcPr>
            <w:tcW w:w="811" w:type="pct"/>
            <w:gridSpan w:val="2"/>
          </w:tcPr>
          <w:p w14:paraId="038A5776" w14:textId="77777777" w:rsidR="00454B5A" w:rsidRDefault="00454B5A" w:rsidP="001420DF">
            <w:pPr>
              <w:pStyle w:val="NotesTable-HeadPlain"/>
            </w:pPr>
            <w:r>
              <w:t>Consolidated</w:t>
            </w:r>
          </w:p>
        </w:tc>
        <w:tc>
          <w:tcPr>
            <w:tcW w:w="811" w:type="pct"/>
            <w:gridSpan w:val="2"/>
          </w:tcPr>
          <w:p w14:paraId="038A5777" w14:textId="77777777" w:rsidR="00454B5A" w:rsidRDefault="00454B5A" w:rsidP="00C54AC3">
            <w:pPr>
              <w:pStyle w:val="NotesTable-HeadPlain"/>
            </w:pPr>
            <w:r>
              <w:t>Parent entity</w:t>
            </w:r>
          </w:p>
        </w:tc>
      </w:tr>
      <w:tr w:rsidR="00B0006E" w14:paraId="038A577F" w14:textId="77777777" w:rsidTr="00261A68">
        <w:trPr>
          <w:cantSplit/>
          <w:trHeight w:hRule="exact" w:val="227"/>
        </w:trPr>
        <w:tc>
          <w:tcPr>
            <w:tcW w:w="810" w:type="pct"/>
            <w:vAlign w:val="bottom"/>
          </w:tcPr>
          <w:p w14:paraId="038A5779" w14:textId="77777777" w:rsidR="00454B5A" w:rsidRDefault="00454B5A" w:rsidP="00D11709">
            <w:pPr>
              <w:pStyle w:val="Note-Refs"/>
            </w:pPr>
          </w:p>
        </w:tc>
        <w:tc>
          <w:tcPr>
            <w:tcW w:w="2567" w:type="pct"/>
            <w:vAlign w:val="bottom"/>
          </w:tcPr>
          <w:p w14:paraId="038A577A" w14:textId="77777777" w:rsidR="00454B5A" w:rsidRDefault="00454B5A">
            <w:pPr>
              <w:pStyle w:val="NotesTable-ItemPlain"/>
            </w:pPr>
          </w:p>
        </w:tc>
        <w:tc>
          <w:tcPr>
            <w:tcW w:w="406" w:type="pct"/>
            <w:vAlign w:val="bottom"/>
          </w:tcPr>
          <w:p w14:paraId="038A577B" w14:textId="09595C35" w:rsidR="00454B5A" w:rsidRDefault="006864EC">
            <w:pPr>
              <w:pStyle w:val="NotesTable-HeadBold"/>
            </w:pPr>
            <w:r>
              <w:t>2014</w:t>
            </w:r>
          </w:p>
        </w:tc>
        <w:tc>
          <w:tcPr>
            <w:tcW w:w="406" w:type="pct"/>
            <w:vAlign w:val="bottom"/>
          </w:tcPr>
          <w:p w14:paraId="038A577C" w14:textId="443304E4" w:rsidR="00454B5A" w:rsidRDefault="006864EC" w:rsidP="00C54AC3">
            <w:pPr>
              <w:pStyle w:val="NotesTable-HeadPlain"/>
            </w:pPr>
            <w:r>
              <w:t>2013</w:t>
            </w:r>
          </w:p>
        </w:tc>
        <w:tc>
          <w:tcPr>
            <w:tcW w:w="406" w:type="pct"/>
            <w:vAlign w:val="bottom"/>
          </w:tcPr>
          <w:p w14:paraId="038A577D" w14:textId="744F7C09" w:rsidR="00454B5A" w:rsidRDefault="006864EC">
            <w:pPr>
              <w:pStyle w:val="NotesTable-HeadBold"/>
            </w:pPr>
            <w:r>
              <w:t>2014</w:t>
            </w:r>
          </w:p>
        </w:tc>
        <w:tc>
          <w:tcPr>
            <w:tcW w:w="406" w:type="pct"/>
            <w:vAlign w:val="bottom"/>
          </w:tcPr>
          <w:p w14:paraId="038A577E" w14:textId="285663FA" w:rsidR="00454B5A" w:rsidRDefault="006864EC">
            <w:pPr>
              <w:pStyle w:val="NotesTable-HeadPlain"/>
            </w:pPr>
            <w:r>
              <w:t>2013</w:t>
            </w:r>
          </w:p>
        </w:tc>
      </w:tr>
      <w:tr w:rsidR="00B0006E" w14:paraId="038A5786" w14:textId="77777777" w:rsidTr="00261A68">
        <w:trPr>
          <w:cantSplit/>
          <w:trHeight w:hRule="exact" w:val="227"/>
        </w:trPr>
        <w:tc>
          <w:tcPr>
            <w:tcW w:w="810" w:type="pct"/>
            <w:vAlign w:val="bottom"/>
          </w:tcPr>
          <w:p w14:paraId="038A5780" w14:textId="77777777" w:rsidR="00454B5A" w:rsidRDefault="00454B5A" w:rsidP="00D11709">
            <w:pPr>
              <w:pStyle w:val="Note-Refs"/>
            </w:pPr>
          </w:p>
        </w:tc>
        <w:tc>
          <w:tcPr>
            <w:tcW w:w="2567" w:type="pct"/>
            <w:vAlign w:val="bottom"/>
          </w:tcPr>
          <w:p w14:paraId="038A5781" w14:textId="77777777" w:rsidR="00454B5A" w:rsidRDefault="00454B5A">
            <w:pPr>
              <w:pStyle w:val="NotesTable-ItemPlain"/>
            </w:pPr>
          </w:p>
        </w:tc>
        <w:tc>
          <w:tcPr>
            <w:tcW w:w="406" w:type="pct"/>
            <w:vAlign w:val="bottom"/>
          </w:tcPr>
          <w:p w14:paraId="038A5782" w14:textId="77777777" w:rsidR="00454B5A" w:rsidRDefault="00454B5A">
            <w:pPr>
              <w:pStyle w:val="NotesTable-HeadBold"/>
            </w:pPr>
            <w:r>
              <w:t>$'000</w:t>
            </w:r>
          </w:p>
        </w:tc>
        <w:tc>
          <w:tcPr>
            <w:tcW w:w="406" w:type="pct"/>
            <w:vAlign w:val="bottom"/>
          </w:tcPr>
          <w:p w14:paraId="038A5783" w14:textId="77777777" w:rsidR="00454B5A" w:rsidRDefault="00454B5A" w:rsidP="00C54AC3">
            <w:pPr>
              <w:pStyle w:val="NotesTable-HeadPlain"/>
            </w:pPr>
            <w:r>
              <w:t>$'000</w:t>
            </w:r>
          </w:p>
        </w:tc>
        <w:tc>
          <w:tcPr>
            <w:tcW w:w="406" w:type="pct"/>
            <w:vAlign w:val="bottom"/>
          </w:tcPr>
          <w:p w14:paraId="038A5784" w14:textId="77777777" w:rsidR="00454B5A" w:rsidRDefault="00454B5A">
            <w:pPr>
              <w:pStyle w:val="NotesTable-HeadBold"/>
            </w:pPr>
            <w:r>
              <w:t>$'000</w:t>
            </w:r>
          </w:p>
        </w:tc>
        <w:tc>
          <w:tcPr>
            <w:tcW w:w="406" w:type="pct"/>
            <w:vAlign w:val="bottom"/>
          </w:tcPr>
          <w:p w14:paraId="038A5785" w14:textId="77777777" w:rsidR="00454B5A" w:rsidRDefault="00454B5A">
            <w:pPr>
              <w:pStyle w:val="NotesTable-HeadPlain"/>
            </w:pPr>
            <w:r>
              <w:t>$'000</w:t>
            </w:r>
          </w:p>
        </w:tc>
      </w:tr>
      <w:tr w:rsidR="00B0006E" w14:paraId="038A578D" w14:textId="77777777" w:rsidTr="00261A68">
        <w:trPr>
          <w:cantSplit/>
          <w:trHeight w:hRule="exact" w:val="227"/>
        </w:trPr>
        <w:tc>
          <w:tcPr>
            <w:tcW w:w="810" w:type="pct"/>
          </w:tcPr>
          <w:p w14:paraId="038A5787" w14:textId="77777777" w:rsidR="00454B5A" w:rsidRDefault="00454B5A" w:rsidP="00D11709">
            <w:pPr>
              <w:pStyle w:val="Note-Refs"/>
            </w:pPr>
          </w:p>
        </w:tc>
        <w:tc>
          <w:tcPr>
            <w:tcW w:w="2567" w:type="pct"/>
            <w:vAlign w:val="bottom"/>
          </w:tcPr>
          <w:p w14:paraId="038A5788" w14:textId="77777777" w:rsidR="00454B5A" w:rsidRDefault="00454B5A" w:rsidP="00D11709">
            <w:pPr>
              <w:pStyle w:val="Note-TextHeader"/>
            </w:pPr>
            <w:r>
              <w:t>Current</w:t>
            </w:r>
          </w:p>
        </w:tc>
        <w:tc>
          <w:tcPr>
            <w:tcW w:w="406" w:type="pct"/>
          </w:tcPr>
          <w:p w14:paraId="038A5789" w14:textId="77777777" w:rsidR="00454B5A" w:rsidRDefault="00454B5A" w:rsidP="0087239E">
            <w:pPr>
              <w:pStyle w:val="NotesTable-CellBold"/>
            </w:pPr>
          </w:p>
        </w:tc>
        <w:tc>
          <w:tcPr>
            <w:tcW w:w="406" w:type="pct"/>
          </w:tcPr>
          <w:p w14:paraId="038A578A" w14:textId="77777777" w:rsidR="00454B5A" w:rsidRDefault="00454B5A" w:rsidP="0087239E">
            <w:pPr>
              <w:pStyle w:val="NotesTable-CellPlain"/>
            </w:pPr>
          </w:p>
        </w:tc>
        <w:tc>
          <w:tcPr>
            <w:tcW w:w="406" w:type="pct"/>
          </w:tcPr>
          <w:p w14:paraId="038A578B" w14:textId="77777777" w:rsidR="00454B5A" w:rsidRDefault="00454B5A" w:rsidP="0087239E">
            <w:pPr>
              <w:pStyle w:val="NotesTable-CellBold"/>
            </w:pPr>
          </w:p>
        </w:tc>
        <w:tc>
          <w:tcPr>
            <w:tcW w:w="406" w:type="pct"/>
          </w:tcPr>
          <w:p w14:paraId="038A578C" w14:textId="77777777" w:rsidR="00454B5A" w:rsidRDefault="00454B5A" w:rsidP="0087239E">
            <w:pPr>
              <w:pStyle w:val="NotesTable-CellPlain"/>
            </w:pPr>
          </w:p>
        </w:tc>
      </w:tr>
      <w:tr w:rsidR="00B0006E" w14:paraId="038A5794" w14:textId="77777777" w:rsidTr="00261A68">
        <w:trPr>
          <w:cantSplit/>
          <w:trHeight w:hRule="exact" w:val="227"/>
        </w:trPr>
        <w:tc>
          <w:tcPr>
            <w:tcW w:w="810" w:type="pct"/>
          </w:tcPr>
          <w:p w14:paraId="038A578E" w14:textId="77777777" w:rsidR="00454B5A" w:rsidRDefault="00454B5A" w:rsidP="00D11709">
            <w:pPr>
              <w:pStyle w:val="Note-Refs"/>
            </w:pPr>
          </w:p>
        </w:tc>
        <w:tc>
          <w:tcPr>
            <w:tcW w:w="2567" w:type="pct"/>
            <w:vAlign w:val="bottom"/>
          </w:tcPr>
          <w:p w14:paraId="038A578F" w14:textId="77777777" w:rsidR="00454B5A" w:rsidRDefault="00454B5A">
            <w:pPr>
              <w:pStyle w:val="NotesTable-ItemPlain"/>
              <w:rPr>
                <w:b/>
              </w:rPr>
            </w:pPr>
            <w:r>
              <w:t>Fair value through profit or loss</w:t>
            </w:r>
          </w:p>
        </w:tc>
        <w:tc>
          <w:tcPr>
            <w:tcW w:w="406" w:type="pct"/>
          </w:tcPr>
          <w:p w14:paraId="038A5790" w14:textId="77777777" w:rsidR="00454B5A" w:rsidRDefault="00454B5A" w:rsidP="0087239E">
            <w:pPr>
              <w:pStyle w:val="NotesTable-CellBold"/>
            </w:pPr>
            <w:r>
              <w:t>–</w:t>
            </w:r>
          </w:p>
        </w:tc>
        <w:tc>
          <w:tcPr>
            <w:tcW w:w="406" w:type="pct"/>
          </w:tcPr>
          <w:p w14:paraId="038A5791" w14:textId="77777777" w:rsidR="00454B5A" w:rsidRDefault="00454B5A" w:rsidP="0087239E">
            <w:pPr>
              <w:pStyle w:val="NotesTable-CellPlain"/>
            </w:pPr>
            <w:r>
              <w:t>–</w:t>
            </w:r>
          </w:p>
        </w:tc>
        <w:tc>
          <w:tcPr>
            <w:tcW w:w="406" w:type="pct"/>
          </w:tcPr>
          <w:p w14:paraId="038A5792" w14:textId="77777777" w:rsidR="00454B5A" w:rsidRDefault="00454B5A" w:rsidP="0087239E">
            <w:pPr>
              <w:pStyle w:val="NotesTable-CellBold"/>
            </w:pPr>
            <w:r>
              <w:t>–</w:t>
            </w:r>
          </w:p>
        </w:tc>
        <w:tc>
          <w:tcPr>
            <w:tcW w:w="406" w:type="pct"/>
          </w:tcPr>
          <w:p w14:paraId="038A5793" w14:textId="77777777" w:rsidR="00454B5A" w:rsidRDefault="00454B5A" w:rsidP="0087239E">
            <w:pPr>
              <w:pStyle w:val="NotesTable-CellPlain"/>
            </w:pPr>
            <w:r>
              <w:t>–</w:t>
            </w:r>
          </w:p>
        </w:tc>
      </w:tr>
      <w:tr w:rsidR="00B0006E" w14:paraId="038A579B" w14:textId="77777777" w:rsidTr="00261A68">
        <w:trPr>
          <w:cantSplit/>
          <w:trHeight w:hRule="exact" w:val="227"/>
        </w:trPr>
        <w:tc>
          <w:tcPr>
            <w:tcW w:w="810" w:type="pct"/>
          </w:tcPr>
          <w:p w14:paraId="038A5795" w14:textId="77777777" w:rsidR="00454B5A" w:rsidRDefault="00454B5A" w:rsidP="00D11709">
            <w:pPr>
              <w:pStyle w:val="Note-Refs"/>
            </w:pPr>
          </w:p>
        </w:tc>
        <w:tc>
          <w:tcPr>
            <w:tcW w:w="2567" w:type="pct"/>
            <w:vAlign w:val="bottom"/>
          </w:tcPr>
          <w:p w14:paraId="038A5796" w14:textId="77777777" w:rsidR="00454B5A" w:rsidRDefault="00454B5A">
            <w:pPr>
              <w:pStyle w:val="NotesTable-ItemPlain"/>
              <w:rPr>
                <w:b/>
              </w:rPr>
            </w:pPr>
            <w:r>
              <w:t>At amortised cost</w:t>
            </w:r>
          </w:p>
        </w:tc>
        <w:tc>
          <w:tcPr>
            <w:tcW w:w="406" w:type="pct"/>
          </w:tcPr>
          <w:p w14:paraId="038A5797" w14:textId="77777777" w:rsidR="00454B5A" w:rsidRDefault="00454B5A" w:rsidP="0087239E">
            <w:pPr>
              <w:pStyle w:val="NotesTable-CellBold"/>
            </w:pPr>
            <w:r>
              <w:t>–</w:t>
            </w:r>
          </w:p>
        </w:tc>
        <w:tc>
          <w:tcPr>
            <w:tcW w:w="406" w:type="pct"/>
          </w:tcPr>
          <w:p w14:paraId="038A5798" w14:textId="77777777" w:rsidR="00454B5A" w:rsidRDefault="00454B5A" w:rsidP="0087239E">
            <w:pPr>
              <w:pStyle w:val="NotesTable-CellPlain"/>
            </w:pPr>
            <w:r>
              <w:t>–</w:t>
            </w:r>
          </w:p>
        </w:tc>
        <w:tc>
          <w:tcPr>
            <w:tcW w:w="406" w:type="pct"/>
          </w:tcPr>
          <w:p w14:paraId="038A5799" w14:textId="77777777" w:rsidR="00454B5A" w:rsidRDefault="00454B5A" w:rsidP="0087239E">
            <w:pPr>
              <w:pStyle w:val="NotesTable-CellBold"/>
            </w:pPr>
            <w:r>
              <w:t>–</w:t>
            </w:r>
          </w:p>
        </w:tc>
        <w:tc>
          <w:tcPr>
            <w:tcW w:w="406" w:type="pct"/>
          </w:tcPr>
          <w:p w14:paraId="038A579A" w14:textId="77777777" w:rsidR="00454B5A" w:rsidRDefault="00454B5A" w:rsidP="0087239E">
            <w:pPr>
              <w:pStyle w:val="NotesTable-CellPlain"/>
            </w:pPr>
            <w:r>
              <w:t>–</w:t>
            </w:r>
          </w:p>
        </w:tc>
      </w:tr>
      <w:tr w:rsidR="00B0006E" w14:paraId="038A57A2" w14:textId="77777777" w:rsidTr="00261A68">
        <w:trPr>
          <w:cantSplit/>
          <w:trHeight w:hRule="exact" w:val="227"/>
        </w:trPr>
        <w:tc>
          <w:tcPr>
            <w:tcW w:w="810" w:type="pct"/>
          </w:tcPr>
          <w:p w14:paraId="038A579C" w14:textId="77777777" w:rsidR="00454B5A" w:rsidRDefault="00454B5A" w:rsidP="00D11709">
            <w:pPr>
              <w:pStyle w:val="Note-Refs"/>
            </w:pPr>
          </w:p>
        </w:tc>
        <w:tc>
          <w:tcPr>
            <w:tcW w:w="2567" w:type="pct"/>
            <w:vAlign w:val="bottom"/>
          </w:tcPr>
          <w:p w14:paraId="038A579D" w14:textId="77777777" w:rsidR="00454B5A" w:rsidRDefault="00454B5A">
            <w:pPr>
              <w:pStyle w:val="NotesTable-ItemPlain"/>
              <w:rPr>
                <w:b/>
              </w:rPr>
            </w:pPr>
            <w:r>
              <w:t>[Specify others]</w:t>
            </w:r>
          </w:p>
        </w:tc>
        <w:tc>
          <w:tcPr>
            <w:tcW w:w="406" w:type="pct"/>
            <w:tcBorders>
              <w:bottom w:val="single" w:sz="4" w:space="0" w:color="000000"/>
            </w:tcBorders>
          </w:tcPr>
          <w:p w14:paraId="038A579E" w14:textId="77777777" w:rsidR="00454B5A" w:rsidRDefault="00454B5A" w:rsidP="0087239E">
            <w:pPr>
              <w:pStyle w:val="NotesTable-CellBold"/>
            </w:pPr>
            <w:r>
              <w:t>–</w:t>
            </w:r>
          </w:p>
        </w:tc>
        <w:tc>
          <w:tcPr>
            <w:tcW w:w="406" w:type="pct"/>
            <w:tcBorders>
              <w:bottom w:val="single" w:sz="4" w:space="0" w:color="000000"/>
            </w:tcBorders>
          </w:tcPr>
          <w:p w14:paraId="038A579F" w14:textId="77777777" w:rsidR="00454B5A" w:rsidRDefault="00454B5A" w:rsidP="0087239E">
            <w:pPr>
              <w:pStyle w:val="NotesTable-CellPlain"/>
            </w:pPr>
            <w:r>
              <w:t>–</w:t>
            </w:r>
          </w:p>
        </w:tc>
        <w:tc>
          <w:tcPr>
            <w:tcW w:w="406" w:type="pct"/>
            <w:tcBorders>
              <w:bottom w:val="single" w:sz="4" w:space="0" w:color="000000"/>
            </w:tcBorders>
          </w:tcPr>
          <w:p w14:paraId="038A57A0" w14:textId="77777777" w:rsidR="00454B5A" w:rsidRDefault="00454B5A" w:rsidP="0087239E">
            <w:pPr>
              <w:pStyle w:val="NotesTable-CellBold"/>
            </w:pPr>
            <w:r>
              <w:t>–</w:t>
            </w:r>
          </w:p>
        </w:tc>
        <w:tc>
          <w:tcPr>
            <w:tcW w:w="406" w:type="pct"/>
            <w:tcBorders>
              <w:bottom w:val="single" w:sz="4" w:space="0" w:color="000000"/>
            </w:tcBorders>
          </w:tcPr>
          <w:p w14:paraId="038A57A1" w14:textId="77777777" w:rsidR="00454B5A" w:rsidRDefault="00454B5A" w:rsidP="0087239E">
            <w:pPr>
              <w:pStyle w:val="NotesTable-CellPlain"/>
            </w:pPr>
            <w:r>
              <w:t>–</w:t>
            </w:r>
          </w:p>
        </w:tc>
      </w:tr>
      <w:tr w:rsidR="00B0006E" w14:paraId="038A57A9" w14:textId="77777777" w:rsidTr="00261A68">
        <w:trPr>
          <w:cantSplit/>
          <w:trHeight w:hRule="exact" w:val="227"/>
        </w:trPr>
        <w:tc>
          <w:tcPr>
            <w:tcW w:w="810" w:type="pct"/>
          </w:tcPr>
          <w:p w14:paraId="038A57A3" w14:textId="77777777" w:rsidR="00454B5A" w:rsidRDefault="00454B5A" w:rsidP="00D11709">
            <w:pPr>
              <w:pStyle w:val="Note-Refs"/>
            </w:pPr>
          </w:p>
        </w:tc>
        <w:tc>
          <w:tcPr>
            <w:tcW w:w="2567" w:type="pct"/>
            <w:vAlign w:val="bottom"/>
          </w:tcPr>
          <w:p w14:paraId="038A57A4" w14:textId="77777777" w:rsidR="00454B5A" w:rsidRDefault="00454B5A">
            <w:pPr>
              <w:pStyle w:val="NotesTable-ItemPlain"/>
              <w:rPr>
                <w:b/>
              </w:rPr>
            </w:pPr>
            <w:r>
              <w:t>Total current other financial assets</w:t>
            </w:r>
          </w:p>
        </w:tc>
        <w:tc>
          <w:tcPr>
            <w:tcW w:w="406" w:type="pct"/>
            <w:tcBorders>
              <w:top w:val="single" w:sz="4" w:space="0" w:color="000000"/>
            </w:tcBorders>
          </w:tcPr>
          <w:p w14:paraId="038A57A5" w14:textId="77777777" w:rsidR="00454B5A" w:rsidRDefault="00454B5A" w:rsidP="0087239E">
            <w:pPr>
              <w:pStyle w:val="NotesTable-CellBold"/>
            </w:pPr>
            <w:r>
              <w:t>–</w:t>
            </w:r>
          </w:p>
        </w:tc>
        <w:tc>
          <w:tcPr>
            <w:tcW w:w="406" w:type="pct"/>
            <w:tcBorders>
              <w:top w:val="single" w:sz="4" w:space="0" w:color="000000"/>
            </w:tcBorders>
          </w:tcPr>
          <w:p w14:paraId="038A57A6" w14:textId="77777777" w:rsidR="00454B5A" w:rsidRDefault="00454B5A" w:rsidP="0087239E">
            <w:pPr>
              <w:pStyle w:val="NotesTable-CellPlain"/>
            </w:pPr>
            <w:r>
              <w:t>–</w:t>
            </w:r>
          </w:p>
        </w:tc>
        <w:tc>
          <w:tcPr>
            <w:tcW w:w="406" w:type="pct"/>
            <w:tcBorders>
              <w:top w:val="single" w:sz="4" w:space="0" w:color="000000"/>
            </w:tcBorders>
          </w:tcPr>
          <w:p w14:paraId="038A57A7" w14:textId="77777777" w:rsidR="00454B5A" w:rsidRDefault="00454B5A" w:rsidP="0087239E">
            <w:pPr>
              <w:pStyle w:val="NotesTable-CellBold"/>
            </w:pPr>
            <w:r>
              <w:t>–</w:t>
            </w:r>
          </w:p>
        </w:tc>
        <w:tc>
          <w:tcPr>
            <w:tcW w:w="406" w:type="pct"/>
            <w:tcBorders>
              <w:top w:val="single" w:sz="4" w:space="0" w:color="000000"/>
            </w:tcBorders>
          </w:tcPr>
          <w:p w14:paraId="038A57A8" w14:textId="77777777" w:rsidR="00454B5A" w:rsidRDefault="00454B5A" w:rsidP="0087239E">
            <w:pPr>
              <w:pStyle w:val="NotesTable-CellPlain"/>
            </w:pPr>
            <w:r>
              <w:t>–</w:t>
            </w:r>
          </w:p>
        </w:tc>
      </w:tr>
      <w:tr w:rsidR="00B0006E" w14:paraId="038A57B0" w14:textId="77777777" w:rsidTr="00261A68">
        <w:trPr>
          <w:cantSplit/>
          <w:trHeight w:hRule="exact" w:val="227"/>
        </w:trPr>
        <w:tc>
          <w:tcPr>
            <w:tcW w:w="810" w:type="pct"/>
          </w:tcPr>
          <w:p w14:paraId="038A57AA" w14:textId="77777777" w:rsidR="00454B5A" w:rsidRDefault="00454B5A" w:rsidP="00D11709">
            <w:pPr>
              <w:pStyle w:val="Note-Refs"/>
            </w:pPr>
          </w:p>
        </w:tc>
        <w:tc>
          <w:tcPr>
            <w:tcW w:w="2567" w:type="pct"/>
            <w:vAlign w:val="bottom"/>
          </w:tcPr>
          <w:p w14:paraId="038A57AB" w14:textId="77777777" w:rsidR="00454B5A" w:rsidRDefault="00454B5A">
            <w:pPr>
              <w:pStyle w:val="NotesTable-ItemPlain"/>
            </w:pPr>
          </w:p>
        </w:tc>
        <w:tc>
          <w:tcPr>
            <w:tcW w:w="406" w:type="pct"/>
          </w:tcPr>
          <w:p w14:paraId="038A57AC" w14:textId="77777777" w:rsidR="00454B5A" w:rsidRDefault="00454B5A" w:rsidP="0087239E">
            <w:pPr>
              <w:pStyle w:val="NotesTable-CellBold"/>
            </w:pPr>
          </w:p>
        </w:tc>
        <w:tc>
          <w:tcPr>
            <w:tcW w:w="406" w:type="pct"/>
          </w:tcPr>
          <w:p w14:paraId="038A57AD" w14:textId="77777777" w:rsidR="00454B5A" w:rsidRDefault="00454B5A" w:rsidP="0087239E">
            <w:pPr>
              <w:pStyle w:val="NotesTable-CellPlain"/>
            </w:pPr>
          </w:p>
        </w:tc>
        <w:tc>
          <w:tcPr>
            <w:tcW w:w="406" w:type="pct"/>
          </w:tcPr>
          <w:p w14:paraId="038A57AE" w14:textId="77777777" w:rsidR="00454B5A" w:rsidRDefault="00454B5A" w:rsidP="0087239E">
            <w:pPr>
              <w:pStyle w:val="NotesTable-CellBold"/>
            </w:pPr>
          </w:p>
        </w:tc>
        <w:tc>
          <w:tcPr>
            <w:tcW w:w="406" w:type="pct"/>
          </w:tcPr>
          <w:p w14:paraId="038A57AF" w14:textId="77777777" w:rsidR="00454B5A" w:rsidRDefault="00454B5A" w:rsidP="0087239E">
            <w:pPr>
              <w:pStyle w:val="NotesTable-CellPlain"/>
            </w:pPr>
          </w:p>
        </w:tc>
      </w:tr>
      <w:tr w:rsidR="00B0006E" w14:paraId="038A57B7" w14:textId="77777777" w:rsidTr="00261A68">
        <w:trPr>
          <w:cantSplit/>
          <w:trHeight w:hRule="exact" w:val="227"/>
        </w:trPr>
        <w:tc>
          <w:tcPr>
            <w:tcW w:w="810" w:type="pct"/>
          </w:tcPr>
          <w:p w14:paraId="038A57B1" w14:textId="77777777" w:rsidR="00454B5A" w:rsidRDefault="00454B5A" w:rsidP="00D11709">
            <w:pPr>
              <w:pStyle w:val="Note-Refs"/>
            </w:pPr>
          </w:p>
        </w:tc>
        <w:tc>
          <w:tcPr>
            <w:tcW w:w="2567" w:type="pct"/>
            <w:vAlign w:val="bottom"/>
          </w:tcPr>
          <w:p w14:paraId="038A57B2" w14:textId="77777777" w:rsidR="00454B5A" w:rsidRDefault="00454B5A" w:rsidP="00D11709">
            <w:pPr>
              <w:pStyle w:val="Note-TextHeader"/>
            </w:pPr>
            <w:r>
              <w:t>Non-current</w:t>
            </w:r>
          </w:p>
        </w:tc>
        <w:tc>
          <w:tcPr>
            <w:tcW w:w="406" w:type="pct"/>
          </w:tcPr>
          <w:p w14:paraId="038A57B3" w14:textId="77777777" w:rsidR="00454B5A" w:rsidRDefault="00454B5A" w:rsidP="0087239E">
            <w:pPr>
              <w:pStyle w:val="NotesTable-CellBold"/>
            </w:pPr>
          </w:p>
        </w:tc>
        <w:tc>
          <w:tcPr>
            <w:tcW w:w="406" w:type="pct"/>
          </w:tcPr>
          <w:p w14:paraId="038A57B4" w14:textId="77777777" w:rsidR="00454B5A" w:rsidRDefault="00454B5A" w:rsidP="0087239E">
            <w:pPr>
              <w:pStyle w:val="NotesTable-CellPlain"/>
            </w:pPr>
          </w:p>
        </w:tc>
        <w:tc>
          <w:tcPr>
            <w:tcW w:w="406" w:type="pct"/>
          </w:tcPr>
          <w:p w14:paraId="038A57B5" w14:textId="77777777" w:rsidR="00454B5A" w:rsidRDefault="00454B5A" w:rsidP="0087239E">
            <w:pPr>
              <w:pStyle w:val="NotesTable-CellBold"/>
            </w:pPr>
          </w:p>
        </w:tc>
        <w:tc>
          <w:tcPr>
            <w:tcW w:w="406" w:type="pct"/>
          </w:tcPr>
          <w:p w14:paraId="038A57B6" w14:textId="77777777" w:rsidR="00454B5A" w:rsidRDefault="00454B5A" w:rsidP="0087239E">
            <w:pPr>
              <w:pStyle w:val="NotesTable-CellPlain"/>
            </w:pPr>
          </w:p>
        </w:tc>
      </w:tr>
      <w:tr w:rsidR="00B0006E" w14:paraId="038A57BE" w14:textId="77777777" w:rsidTr="00261A68">
        <w:trPr>
          <w:cantSplit/>
          <w:trHeight w:hRule="exact" w:val="227"/>
        </w:trPr>
        <w:tc>
          <w:tcPr>
            <w:tcW w:w="810" w:type="pct"/>
          </w:tcPr>
          <w:p w14:paraId="038A57B8" w14:textId="77777777" w:rsidR="00454B5A" w:rsidRDefault="00454B5A" w:rsidP="00D11709">
            <w:pPr>
              <w:pStyle w:val="Note-Refs"/>
            </w:pPr>
          </w:p>
        </w:tc>
        <w:tc>
          <w:tcPr>
            <w:tcW w:w="2567" w:type="pct"/>
            <w:vAlign w:val="bottom"/>
          </w:tcPr>
          <w:p w14:paraId="038A57B9" w14:textId="77777777" w:rsidR="00454B5A" w:rsidRDefault="00454B5A">
            <w:pPr>
              <w:pStyle w:val="NotesTable-ItemPlain"/>
              <w:rPr>
                <w:b/>
              </w:rPr>
            </w:pPr>
            <w:r>
              <w:t>Fair value through profit or loss</w:t>
            </w:r>
          </w:p>
        </w:tc>
        <w:tc>
          <w:tcPr>
            <w:tcW w:w="406" w:type="pct"/>
          </w:tcPr>
          <w:p w14:paraId="038A57BA" w14:textId="77777777" w:rsidR="00454B5A" w:rsidRDefault="00454B5A" w:rsidP="0087239E">
            <w:pPr>
              <w:pStyle w:val="NotesTable-CellBold"/>
            </w:pPr>
            <w:r>
              <w:t>–</w:t>
            </w:r>
          </w:p>
        </w:tc>
        <w:tc>
          <w:tcPr>
            <w:tcW w:w="406" w:type="pct"/>
          </w:tcPr>
          <w:p w14:paraId="038A57BB" w14:textId="77777777" w:rsidR="00454B5A" w:rsidRDefault="00454B5A" w:rsidP="0087239E">
            <w:pPr>
              <w:pStyle w:val="NotesTable-CellPlain"/>
            </w:pPr>
            <w:r>
              <w:t>–</w:t>
            </w:r>
          </w:p>
        </w:tc>
        <w:tc>
          <w:tcPr>
            <w:tcW w:w="406" w:type="pct"/>
          </w:tcPr>
          <w:p w14:paraId="038A57BC" w14:textId="77777777" w:rsidR="00454B5A" w:rsidRDefault="00454B5A" w:rsidP="0087239E">
            <w:pPr>
              <w:pStyle w:val="NotesTable-CellBold"/>
            </w:pPr>
            <w:r>
              <w:t>–</w:t>
            </w:r>
          </w:p>
        </w:tc>
        <w:tc>
          <w:tcPr>
            <w:tcW w:w="406" w:type="pct"/>
          </w:tcPr>
          <w:p w14:paraId="038A57BD" w14:textId="77777777" w:rsidR="00454B5A" w:rsidRDefault="00454B5A" w:rsidP="0087239E">
            <w:pPr>
              <w:pStyle w:val="NotesTable-CellPlain"/>
            </w:pPr>
            <w:r>
              <w:t>–</w:t>
            </w:r>
          </w:p>
        </w:tc>
      </w:tr>
      <w:tr w:rsidR="00B0006E" w14:paraId="038A57C5" w14:textId="77777777" w:rsidTr="00261A68">
        <w:trPr>
          <w:cantSplit/>
          <w:trHeight w:hRule="exact" w:val="227"/>
        </w:trPr>
        <w:tc>
          <w:tcPr>
            <w:tcW w:w="810" w:type="pct"/>
          </w:tcPr>
          <w:p w14:paraId="038A57BF" w14:textId="77777777" w:rsidR="00454B5A" w:rsidRDefault="00454B5A" w:rsidP="00D11709">
            <w:pPr>
              <w:pStyle w:val="Note-Refs"/>
            </w:pPr>
          </w:p>
        </w:tc>
        <w:tc>
          <w:tcPr>
            <w:tcW w:w="2567" w:type="pct"/>
            <w:vAlign w:val="bottom"/>
          </w:tcPr>
          <w:p w14:paraId="038A57C0" w14:textId="77777777" w:rsidR="00454B5A" w:rsidRDefault="00454B5A">
            <w:pPr>
              <w:pStyle w:val="NotesTable-ItemPlain"/>
              <w:rPr>
                <w:b/>
              </w:rPr>
            </w:pPr>
            <w:r>
              <w:t>At amortised cost</w:t>
            </w:r>
          </w:p>
        </w:tc>
        <w:tc>
          <w:tcPr>
            <w:tcW w:w="406" w:type="pct"/>
          </w:tcPr>
          <w:p w14:paraId="038A57C1" w14:textId="77777777" w:rsidR="00454B5A" w:rsidRDefault="00454B5A" w:rsidP="0087239E">
            <w:pPr>
              <w:pStyle w:val="NotesTable-CellBold"/>
            </w:pPr>
            <w:r>
              <w:t>–</w:t>
            </w:r>
          </w:p>
        </w:tc>
        <w:tc>
          <w:tcPr>
            <w:tcW w:w="406" w:type="pct"/>
          </w:tcPr>
          <w:p w14:paraId="038A57C2" w14:textId="77777777" w:rsidR="00454B5A" w:rsidRDefault="00454B5A" w:rsidP="0087239E">
            <w:pPr>
              <w:pStyle w:val="NotesTable-CellPlain"/>
            </w:pPr>
            <w:r>
              <w:t>–</w:t>
            </w:r>
          </w:p>
        </w:tc>
        <w:tc>
          <w:tcPr>
            <w:tcW w:w="406" w:type="pct"/>
          </w:tcPr>
          <w:p w14:paraId="038A57C3" w14:textId="77777777" w:rsidR="00454B5A" w:rsidRDefault="00454B5A" w:rsidP="0087239E">
            <w:pPr>
              <w:pStyle w:val="NotesTable-CellBold"/>
            </w:pPr>
            <w:r>
              <w:t>–</w:t>
            </w:r>
          </w:p>
        </w:tc>
        <w:tc>
          <w:tcPr>
            <w:tcW w:w="406" w:type="pct"/>
          </w:tcPr>
          <w:p w14:paraId="038A57C4" w14:textId="77777777" w:rsidR="00454B5A" w:rsidRDefault="00454B5A" w:rsidP="0087239E">
            <w:pPr>
              <w:pStyle w:val="NotesTable-CellPlain"/>
            </w:pPr>
            <w:r>
              <w:t>–</w:t>
            </w:r>
          </w:p>
        </w:tc>
      </w:tr>
      <w:tr w:rsidR="00B0006E" w14:paraId="038A57CC" w14:textId="77777777" w:rsidTr="00261A68">
        <w:trPr>
          <w:cantSplit/>
          <w:trHeight w:hRule="exact" w:val="227"/>
        </w:trPr>
        <w:tc>
          <w:tcPr>
            <w:tcW w:w="810" w:type="pct"/>
          </w:tcPr>
          <w:p w14:paraId="038A57C6" w14:textId="77777777" w:rsidR="00454B5A" w:rsidRDefault="00454B5A" w:rsidP="00D11709">
            <w:pPr>
              <w:pStyle w:val="Note-Refs"/>
            </w:pPr>
          </w:p>
        </w:tc>
        <w:tc>
          <w:tcPr>
            <w:tcW w:w="2567" w:type="pct"/>
            <w:vAlign w:val="bottom"/>
          </w:tcPr>
          <w:p w14:paraId="038A57C7" w14:textId="77777777" w:rsidR="00454B5A" w:rsidRPr="006541B5" w:rsidRDefault="00454B5A">
            <w:pPr>
              <w:pStyle w:val="NotesTable-ItemPlain"/>
              <w:rPr>
                <w:b/>
              </w:rPr>
            </w:pPr>
            <w:r>
              <w:t>N</w:t>
            </w:r>
            <w:r w:rsidRPr="006541B5">
              <w:t>on-trading equity instruments</w:t>
            </w:r>
            <w:r>
              <w:t xml:space="preserve"> (a)</w:t>
            </w:r>
          </w:p>
        </w:tc>
        <w:tc>
          <w:tcPr>
            <w:tcW w:w="406" w:type="pct"/>
          </w:tcPr>
          <w:p w14:paraId="038A57C8" w14:textId="77777777" w:rsidR="00454B5A" w:rsidRDefault="00454B5A" w:rsidP="0087239E">
            <w:pPr>
              <w:pStyle w:val="NotesTable-CellBold"/>
            </w:pPr>
            <w:r>
              <w:t>–</w:t>
            </w:r>
          </w:p>
        </w:tc>
        <w:tc>
          <w:tcPr>
            <w:tcW w:w="406" w:type="pct"/>
          </w:tcPr>
          <w:p w14:paraId="038A57C9" w14:textId="77777777" w:rsidR="00454B5A" w:rsidRDefault="00454B5A" w:rsidP="0087239E">
            <w:pPr>
              <w:pStyle w:val="NotesTable-CellPlain"/>
            </w:pPr>
            <w:r>
              <w:t>–</w:t>
            </w:r>
          </w:p>
        </w:tc>
        <w:tc>
          <w:tcPr>
            <w:tcW w:w="406" w:type="pct"/>
          </w:tcPr>
          <w:p w14:paraId="038A57CA" w14:textId="77777777" w:rsidR="00454B5A" w:rsidRDefault="00454B5A" w:rsidP="0087239E">
            <w:pPr>
              <w:pStyle w:val="NotesTable-CellBold"/>
            </w:pPr>
            <w:r>
              <w:t>–</w:t>
            </w:r>
          </w:p>
        </w:tc>
        <w:tc>
          <w:tcPr>
            <w:tcW w:w="406" w:type="pct"/>
          </w:tcPr>
          <w:p w14:paraId="038A57CB" w14:textId="77777777" w:rsidR="00454B5A" w:rsidRDefault="00454B5A" w:rsidP="0087239E">
            <w:pPr>
              <w:pStyle w:val="NotesTable-CellPlain"/>
            </w:pPr>
            <w:r>
              <w:t>–</w:t>
            </w:r>
          </w:p>
        </w:tc>
      </w:tr>
      <w:tr w:rsidR="00B0006E" w14:paraId="038A57D3" w14:textId="77777777" w:rsidTr="00261A68">
        <w:trPr>
          <w:cantSplit/>
          <w:trHeight w:hRule="exact" w:val="227"/>
        </w:trPr>
        <w:tc>
          <w:tcPr>
            <w:tcW w:w="810" w:type="pct"/>
          </w:tcPr>
          <w:p w14:paraId="038A57CD" w14:textId="77777777" w:rsidR="00454B5A" w:rsidRDefault="00454B5A" w:rsidP="00D11709">
            <w:pPr>
              <w:pStyle w:val="Note-Refs"/>
            </w:pPr>
          </w:p>
        </w:tc>
        <w:tc>
          <w:tcPr>
            <w:tcW w:w="2567" w:type="pct"/>
            <w:vAlign w:val="bottom"/>
          </w:tcPr>
          <w:p w14:paraId="038A57CE" w14:textId="77777777" w:rsidR="00454B5A" w:rsidRDefault="00454B5A">
            <w:pPr>
              <w:pStyle w:val="NotesTable-ItemPlain"/>
              <w:rPr>
                <w:b/>
              </w:rPr>
            </w:pPr>
            <w:r>
              <w:t>[Specify others]</w:t>
            </w:r>
          </w:p>
        </w:tc>
        <w:tc>
          <w:tcPr>
            <w:tcW w:w="406" w:type="pct"/>
            <w:tcBorders>
              <w:bottom w:val="single" w:sz="4" w:space="0" w:color="000000"/>
            </w:tcBorders>
          </w:tcPr>
          <w:p w14:paraId="038A57CF" w14:textId="77777777" w:rsidR="00454B5A" w:rsidRDefault="00454B5A" w:rsidP="0087239E">
            <w:pPr>
              <w:pStyle w:val="NotesTable-CellBold"/>
            </w:pPr>
            <w:r>
              <w:t>–</w:t>
            </w:r>
          </w:p>
        </w:tc>
        <w:tc>
          <w:tcPr>
            <w:tcW w:w="406" w:type="pct"/>
            <w:tcBorders>
              <w:bottom w:val="single" w:sz="4" w:space="0" w:color="000000"/>
            </w:tcBorders>
          </w:tcPr>
          <w:p w14:paraId="038A57D0" w14:textId="77777777" w:rsidR="00454B5A" w:rsidRDefault="00454B5A" w:rsidP="0087239E">
            <w:pPr>
              <w:pStyle w:val="NotesTable-CellPlain"/>
            </w:pPr>
            <w:r>
              <w:t>–</w:t>
            </w:r>
          </w:p>
        </w:tc>
        <w:tc>
          <w:tcPr>
            <w:tcW w:w="406" w:type="pct"/>
            <w:tcBorders>
              <w:bottom w:val="single" w:sz="4" w:space="0" w:color="000000"/>
            </w:tcBorders>
          </w:tcPr>
          <w:p w14:paraId="038A57D1" w14:textId="77777777" w:rsidR="00454B5A" w:rsidRDefault="00454B5A" w:rsidP="0087239E">
            <w:pPr>
              <w:pStyle w:val="NotesTable-CellBold"/>
            </w:pPr>
            <w:r>
              <w:t>–</w:t>
            </w:r>
          </w:p>
        </w:tc>
        <w:tc>
          <w:tcPr>
            <w:tcW w:w="406" w:type="pct"/>
            <w:tcBorders>
              <w:bottom w:val="single" w:sz="4" w:space="0" w:color="000000"/>
            </w:tcBorders>
          </w:tcPr>
          <w:p w14:paraId="038A57D2" w14:textId="77777777" w:rsidR="00454B5A" w:rsidRDefault="00454B5A" w:rsidP="0087239E">
            <w:pPr>
              <w:pStyle w:val="NotesTable-CellPlain"/>
            </w:pPr>
            <w:r>
              <w:t>–</w:t>
            </w:r>
          </w:p>
        </w:tc>
      </w:tr>
      <w:tr w:rsidR="00C655DF" w14:paraId="038A57DA" w14:textId="77777777" w:rsidTr="00261A68">
        <w:trPr>
          <w:cantSplit/>
          <w:trHeight w:hRule="exact" w:val="227"/>
        </w:trPr>
        <w:tc>
          <w:tcPr>
            <w:tcW w:w="810" w:type="pct"/>
          </w:tcPr>
          <w:p w14:paraId="038A57D4" w14:textId="77777777" w:rsidR="00C655DF" w:rsidRDefault="00C655DF" w:rsidP="00D11709">
            <w:pPr>
              <w:pStyle w:val="Note-Refs"/>
            </w:pPr>
          </w:p>
        </w:tc>
        <w:tc>
          <w:tcPr>
            <w:tcW w:w="2567" w:type="pct"/>
            <w:vAlign w:val="bottom"/>
          </w:tcPr>
          <w:p w14:paraId="038A57D5" w14:textId="77777777" w:rsidR="00C655DF" w:rsidRDefault="00C655DF">
            <w:pPr>
              <w:pStyle w:val="NotesTable-ItemPlain"/>
            </w:pPr>
            <w:r>
              <w:t>Total non-current other financial assets</w:t>
            </w:r>
          </w:p>
        </w:tc>
        <w:tc>
          <w:tcPr>
            <w:tcW w:w="406" w:type="pct"/>
            <w:tcBorders>
              <w:top w:val="single" w:sz="4" w:space="0" w:color="000000"/>
            </w:tcBorders>
          </w:tcPr>
          <w:p w14:paraId="038A57D6" w14:textId="77777777" w:rsidR="00C655DF" w:rsidRDefault="00C655DF" w:rsidP="0087239E">
            <w:pPr>
              <w:pStyle w:val="NotesTable-CellBold"/>
            </w:pPr>
            <w:r w:rsidRPr="00214AAB">
              <w:t>–</w:t>
            </w:r>
          </w:p>
        </w:tc>
        <w:tc>
          <w:tcPr>
            <w:tcW w:w="406" w:type="pct"/>
            <w:tcBorders>
              <w:top w:val="single" w:sz="4" w:space="0" w:color="000000"/>
            </w:tcBorders>
          </w:tcPr>
          <w:p w14:paraId="038A57D7" w14:textId="77777777" w:rsidR="00C655DF" w:rsidRDefault="00C655DF" w:rsidP="0087239E">
            <w:pPr>
              <w:pStyle w:val="NotesTable-CellPlain"/>
            </w:pPr>
            <w:r w:rsidRPr="00214AAB">
              <w:t>–</w:t>
            </w:r>
          </w:p>
        </w:tc>
        <w:tc>
          <w:tcPr>
            <w:tcW w:w="406" w:type="pct"/>
            <w:tcBorders>
              <w:top w:val="single" w:sz="4" w:space="0" w:color="000000"/>
            </w:tcBorders>
          </w:tcPr>
          <w:p w14:paraId="038A57D8" w14:textId="77777777" w:rsidR="00C655DF" w:rsidRDefault="00C655DF" w:rsidP="0087239E">
            <w:pPr>
              <w:pStyle w:val="NotesTable-CellBold"/>
            </w:pPr>
            <w:r w:rsidRPr="00214AAB">
              <w:t>–</w:t>
            </w:r>
          </w:p>
        </w:tc>
        <w:tc>
          <w:tcPr>
            <w:tcW w:w="406" w:type="pct"/>
            <w:tcBorders>
              <w:top w:val="single" w:sz="4" w:space="0" w:color="000000"/>
            </w:tcBorders>
          </w:tcPr>
          <w:p w14:paraId="038A57D9" w14:textId="77777777" w:rsidR="00C655DF" w:rsidRDefault="00C655DF" w:rsidP="0087239E">
            <w:pPr>
              <w:pStyle w:val="NotesTable-CellPlain"/>
            </w:pPr>
            <w:r w:rsidRPr="00214AAB">
              <w:t>–</w:t>
            </w:r>
          </w:p>
        </w:tc>
      </w:tr>
      <w:tr w:rsidR="00B0006E" w14:paraId="038A57E1" w14:textId="77777777" w:rsidTr="00261A68">
        <w:trPr>
          <w:cantSplit/>
          <w:trHeight w:hRule="exact" w:val="227"/>
        </w:trPr>
        <w:tc>
          <w:tcPr>
            <w:tcW w:w="810" w:type="pct"/>
          </w:tcPr>
          <w:p w14:paraId="038A57DB" w14:textId="77777777" w:rsidR="00454B5A" w:rsidRDefault="00454B5A" w:rsidP="00D11709">
            <w:pPr>
              <w:pStyle w:val="Note-Refs"/>
            </w:pPr>
          </w:p>
        </w:tc>
        <w:tc>
          <w:tcPr>
            <w:tcW w:w="2567" w:type="pct"/>
            <w:vAlign w:val="bottom"/>
          </w:tcPr>
          <w:p w14:paraId="038A57DC" w14:textId="77777777" w:rsidR="00454B5A" w:rsidRDefault="00454B5A">
            <w:pPr>
              <w:pStyle w:val="NotesTable-ItemPlain"/>
            </w:pPr>
          </w:p>
        </w:tc>
        <w:tc>
          <w:tcPr>
            <w:tcW w:w="406" w:type="pct"/>
            <w:tcBorders>
              <w:bottom w:val="single" w:sz="4" w:space="0" w:color="auto"/>
            </w:tcBorders>
          </w:tcPr>
          <w:p w14:paraId="038A57DD" w14:textId="77777777" w:rsidR="00454B5A" w:rsidRDefault="00454B5A" w:rsidP="0087239E">
            <w:pPr>
              <w:pStyle w:val="NotesTable-CellBold"/>
            </w:pPr>
          </w:p>
        </w:tc>
        <w:tc>
          <w:tcPr>
            <w:tcW w:w="406" w:type="pct"/>
            <w:tcBorders>
              <w:bottom w:val="single" w:sz="4" w:space="0" w:color="auto"/>
            </w:tcBorders>
          </w:tcPr>
          <w:p w14:paraId="038A57DE" w14:textId="77777777" w:rsidR="00454B5A" w:rsidRDefault="00454B5A" w:rsidP="0087239E">
            <w:pPr>
              <w:pStyle w:val="NotesTable-CellPlain"/>
            </w:pPr>
          </w:p>
        </w:tc>
        <w:tc>
          <w:tcPr>
            <w:tcW w:w="406" w:type="pct"/>
            <w:tcBorders>
              <w:bottom w:val="single" w:sz="4" w:space="0" w:color="auto"/>
            </w:tcBorders>
          </w:tcPr>
          <w:p w14:paraId="038A57DF" w14:textId="77777777" w:rsidR="00454B5A" w:rsidRDefault="00454B5A" w:rsidP="0087239E">
            <w:pPr>
              <w:pStyle w:val="NotesTable-CellBold"/>
            </w:pPr>
          </w:p>
        </w:tc>
        <w:tc>
          <w:tcPr>
            <w:tcW w:w="406" w:type="pct"/>
            <w:tcBorders>
              <w:bottom w:val="single" w:sz="4" w:space="0" w:color="auto"/>
            </w:tcBorders>
          </w:tcPr>
          <w:p w14:paraId="038A57E0" w14:textId="77777777" w:rsidR="00454B5A" w:rsidRDefault="00454B5A" w:rsidP="0087239E">
            <w:pPr>
              <w:pStyle w:val="NotesTable-CellPlain"/>
            </w:pPr>
          </w:p>
        </w:tc>
      </w:tr>
      <w:tr w:rsidR="00B0006E" w14:paraId="038A57E8" w14:textId="77777777" w:rsidTr="00261A68">
        <w:trPr>
          <w:cantSplit/>
          <w:trHeight w:hRule="exact" w:val="227"/>
        </w:trPr>
        <w:tc>
          <w:tcPr>
            <w:tcW w:w="810" w:type="pct"/>
          </w:tcPr>
          <w:p w14:paraId="038A57E2" w14:textId="77777777" w:rsidR="00454B5A" w:rsidRDefault="00454B5A" w:rsidP="00D11709">
            <w:pPr>
              <w:pStyle w:val="Note-Refs"/>
            </w:pPr>
          </w:p>
        </w:tc>
        <w:tc>
          <w:tcPr>
            <w:tcW w:w="2567" w:type="pct"/>
            <w:vAlign w:val="bottom"/>
          </w:tcPr>
          <w:p w14:paraId="038A57E3" w14:textId="77777777" w:rsidR="00454B5A" w:rsidRDefault="00454B5A">
            <w:pPr>
              <w:pStyle w:val="NotesTable-ItemPlain"/>
              <w:rPr>
                <w:b/>
              </w:rPr>
            </w:pPr>
            <w:r>
              <w:t>Total other financial assets</w:t>
            </w:r>
          </w:p>
        </w:tc>
        <w:tc>
          <w:tcPr>
            <w:tcW w:w="406" w:type="pct"/>
            <w:tcBorders>
              <w:top w:val="single" w:sz="4" w:space="0" w:color="auto"/>
            </w:tcBorders>
          </w:tcPr>
          <w:p w14:paraId="038A57E4" w14:textId="77777777" w:rsidR="00454B5A" w:rsidRDefault="00454B5A" w:rsidP="0087239E">
            <w:pPr>
              <w:pStyle w:val="NotesTable-CellBold"/>
            </w:pPr>
            <w:r>
              <w:t>–</w:t>
            </w:r>
          </w:p>
        </w:tc>
        <w:tc>
          <w:tcPr>
            <w:tcW w:w="406" w:type="pct"/>
            <w:tcBorders>
              <w:top w:val="single" w:sz="4" w:space="0" w:color="auto"/>
            </w:tcBorders>
          </w:tcPr>
          <w:p w14:paraId="038A57E5" w14:textId="77777777" w:rsidR="00454B5A" w:rsidRDefault="00454B5A" w:rsidP="0087239E">
            <w:pPr>
              <w:pStyle w:val="NotesTable-CellPlain"/>
            </w:pPr>
            <w:r>
              <w:t>–</w:t>
            </w:r>
          </w:p>
        </w:tc>
        <w:tc>
          <w:tcPr>
            <w:tcW w:w="406" w:type="pct"/>
            <w:tcBorders>
              <w:top w:val="single" w:sz="4" w:space="0" w:color="auto"/>
            </w:tcBorders>
          </w:tcPr>
          <w:p w14:paraId="038A57E6" w14:textId="77777777" w:rsidR="00454B5A" w:rsidRDefault="00454B5A" w:rsidP="0087239E">
            <w:pPr>
              <w:pStyle w:val="NotesTable-CellBold"/>
            </w:pPr>
            <w:r>
              <w:t>–</w:t>
            </w:r>
          </w:p>
        </w:tc>
        <w:tc>
          <w:tcPr>
            <w:tcW w:w="406" w:type="pct"/>
            <w:tcBorders>
              <w:top w:val="single" w:sz="4" w:space="0" w:color="auto"/>
            </w:tcBorders>
          </w:tcPr>
          <w:p w14:paraId="038A57E7" w14:textId="77777777" w:rsidR="00454B5A" w:rsidRDefault="00454B5A" w:rsidP="0087239E">
            <w:pPr>
              <w:pStyle w:val="NotesTable-CellPlain"/>
            </w:pPr>
            <w:r>
              <w:t>–</w:t>
            </w:r>
          </w:p>
        </w:tc>
      </w:tr>
      <w:tr w:rsidR="00454B5A" w14:paraId="038A57EB" w14:textId="77777777" w:rsidTr="00261A68">
        <w:trPr>
          <w:cantSplit/>
          <w:trHeight w:hRule="exact" w:val="227"/>
        </w:trPr>
        <w:tc>
          <w:tcPr>
            <w:tcW w:w="810" w:type="pct"/>
          </w:tcPr>
          <w:p w14:paraId="038A57E9" w14:textId="77777777" w:rsidR="00454B5A" w:rsidRDefault="00454B5A" w:rsidP="00D11709">
            <w:pPr>
              <w:pStyle w:val="Note-Refs"/>
            </w:pPr>
          </w:p>
        </w:tc>
        <w:tc>
          <w:tcPr>
            <w:tcW w:w="4190" w:type="pct"/>
            <w:gridSpan w:val="5"/>
            <w:vAlign w:val="bottom"/>
          </w:tcPr>
          <w:p w14:paraId="038A57EA" w14:textId="77777777" w:rsidR="00454B5A" w:rsidRPr="00461327" w:rsidRDefault="00454B5A">
            <w:pPr>
              <w:pStyle w:val="NotesTable-ItemPlain"/>
            </w:pPr>
          </w:p>
        </w:tc>
      </w:tr>
      <w:tr w:rsidR="00454B5A" w14:paraId="038A57EE" w14:textId="77777777" w:rsidTr="00261A68">
        <w:trPr>
          <w:cantSplit/>
          <w:trHeight w:hRule="exact" w:val="454"/>
        </w:trPr>
        <w:tc>
          <w:tcPr>
            <w:tcW w:w="810" w:type="pct"/>
          </w:tcPr>
          <w:p w14:paraId="038A57EC" w14:textId="77777777" w:rsidR="00454B5A" w:rsidRDefault="00454B5A" w:rsidP="00D11709">
            <w:pPr>
              <w:pStyle w:val="Note-Refs"/>
            </w:pPr>
          </w:p>
        </w:tc>
        <w:tc>
          <w:tcPr>
            <w:tcW w:w="4190" w:type="pct"/>
            <w:gridSpan w:val="5"/>
            <w:vAlign w:val="bottom"/>
          </w:tcPr>
          <w:p w14:paraId="038A57ED" w14:textId="77777777" w:rsidR="00454B5A" w:rsidRDefault="00454B5A">
            <w:pPr>
              <w:pStyle w:val="NotesTable-ItemPlain"/>
            </w:pPr>
            <w:r w:rsidRPr="00461327">
              <w:t>Changes in fair values of other financial assets at fair value through profit or loss are recorded in other income in the income statement (note 6 – Investment Income).</w:t>
            </w:r>
          </w:p>
        </w:tc>
      </w:tr>
      <w:tr w:rsidR="00454B5A" w14:paraId="038A57F1" w14:textId="77777777" w:rsidTr="00261A68">
        <w:trPr>
          <w:cantSplit/>
          <w:trHeight w:hRule="exact" w:val="227"/>
        </w:trPr>
        <w:tc>
          <w:tcPr>
            <w:tcW w:w="810" w:type="pct"/>
          </w:tcPr>
          <w:p w14:paraId="038A57EF" w14:textId="77777777" w:rsidR="00454B5A" w:rsidRDefault="00454B5A" w:rsidP="00D11709">
            <w:pPr>
              <w:pStyle w:val="Note-Refs"/>
            </w:pPr>
          </w:p>
        </w:tc>
        <w:tc>
          <w:tcPr>
            <w:tcW w:w="4190" w:type="pct"/>
            <w:gridSpan w:val="5"/>
            <w:vAlign w:val="bottom"/>
          </w:tcPr>
          <w:p w14:paraId="038A57F0" w14:textId="77777777" w:rsidR="00454B5A" w:rsidRPr="00461327" w:rsidRDefault="00454B5A">
            <w:pPr>
              <w:pStyle w:val="NotesTable-ItemPlain"/>
            </w:pPr>
          </w:p>
        </w:tc>
      </w:tr>
      <w:tr w:rsidR="00454B5A" w14:paraId="038A57F4" w14:textId="77777777" w:rsidTr="00261A68">
        <w:trPr>
          <w:cantSplit/>
          <w:trHeight w:hRule="exact" w:val="227"/>
        </w:trPr>
        <w:tc>
          <w:tcPr>
            <w:tcW w:w="810" w:type="pct"/>
          </w:tcPr>
          <w:p w14:paraId="038A57F2" w14:textId="77777777" w:rsidR="00454B5A" w:rsidRDefault="00454B5A" w:rsidP="00D11709">
            <w:pPr>
              <w:pStyle w:val="Note-Refs"/>
            </w:pPr>
          </w:p>
        </w:tc>
        <w:tc>
          <w:tcPr>
            <w:tcW w:w="4190" w:type="pct"/>
            <w:gridSpan w:val="5"/>
            <w:vAlign w:val="bottom"/>
          </w:tcPr>
          <w:p w14:paraId="038A57F3" w14:textId="77777777" w:rsidR="00454B5A" w:rsidRPr="00461327" w:rsidRDefault="00454B5A" w:rsidP="00234712">
            <w:pPr>
              <w:pStyle w:val="Note-TextHeader"/>
              <w:rPr>
                <w:b w:val="0"/>
              </w:rPr>
            </w:pPr>
            <w:r w:rsidRPr="00461327">
              <w:t>(a) Non-trading equity instruments</w:t>
            </w:r>
          </w:p>
        </w:tc>
      </w:tr>
      <w:tr w:rsidR="00454B5A" w14:paraId="038A57F7" w14:textId="77777777" w:rsidTr="00261A68">
        <w:trPr>
          <w:cantSplit/>
          <w:trHeight w:hRule="exact" w:val="227"/>
        </w:trPr>
        <w:tc>
          <w:tcPr>
            <w:tcW w:w="810" w:type="pct"/>
          </w:tcPr>
          <w:p w14:paraId="038A57F5" w14:textId="77777777" w:rsidR="00454B5A" w:rsidRDefault="00454B5A" w:rsidP="00D11709">
            <w:pPr>
              <w:pStyle w:val="Note-Refs"/>
            </w:pPr>
          </w:p>
        </w:tc>
        <w:tc>
          <w:tcPr>
            <w:tcW w:w="4190" w:type="pct"/>
            <w:gridSpan w:val="5"/>
            <w:vAlign w:val="bottom"/>
          </w:tcPr>
          <w:p w14:paraId="038A57F6" w14:textId="77777777" w:rsidR="00454B5A" w:rsidRPr="00461327" w:rsidRDefault="00454B5A">
            <w:pPr>
              <w:pStyle w:val="NotesTable-ItemPlain"/>
            </w:pPr>
          </w:p>
        </w:tc>
      </w:tr>
      <w:tr w:rsidR="00454B5A" w14:paraId="038A57FA" w14:textId="77777777" w:rsidTr="00261A68">
        <w:trPr>
          <w:cantSplit/>
          <w:trHeight w:hRule="exact" w:val="227"/>
        </w:trPr>
        <w:tc>
          <w:tcPr>
            <w:tcW w:w="810" w:type="pct"/>
          </w:tcPr>
          <w:p w14:paraId="038A57F8" w14:textId="77777777" w:rsidR="00454B5A" w:rsidRDefault="00454B5A" w:rsidP="00D11709">
            <w:pPr>
              <w:pStyle w:val="Note-Refs"/>
            </w:pPr>
          </w:p>
        </w:tc>
        <w:tc>
          <w:tcPr>
            <w:tcW w:w="4190" w:type="pct"/>
            <w:gridSpan w:val="5"/>
            <w:vAlign w:val="bottom"/>
          </w:tcPr>
          <w:p w14:paraId="038A57F9" w14:textId="77777777" w:rsidR="00454B5A" w:rsidRDefault="00454B5A">
            <w:pPr>
              <w:pStyle w:val="NotesTable-ItemPlain"/>
              <w:rPr>
                <w:b/>
              </w:rPr>
            </w:pPr>
            <w:r w:rsidRPr="00606AC4">
              <w:t>[detailed disclosure as required by AASB7.11A – see commentary]</w:t>
            </w:r>
          </w:p>
        </w:tc>
      </w:tr>
      <w:tr w:rsidR="00454B5A" w14:paraId="038A57FD" w14:textId="77777777" w:rsidTr="00261A68">
        <w:trPr>
          <w:cantSplit/>
          <w:trHeight w:hRule="exact" w:val="227"/>
        </w:trPr>
        <w:tc>
          <w:tcPr>
            <w:tcW w:w="810" w:type="pct"/>
          </w:tcPr>
          <w:p w14:paraId="038A57FB" w14:textId="77777777" w:rsidR="00454B5A" w:rsidRDefault="00454B5A" w:rsidP="00D11709">
            <w:pPr>
              <w:pStyle w:val="Note-Refs"/>
            </w:pPr>
          </w:p>
        </w:tc>
        <w:tc>
          <w:tcPr>
            <w:tcW w:w="4190" w:type="pct"/>
            <w:gridSpan w:val="5"/>
            <w:vAlign w:val="bottom"/>
          </w:tcPr>
          <w:p w14:paraId="038A57FC" w14:textId="77777777" w:rsidR="00454B5A" w:rsidRPr="00461327" w:rsidRDefault="00454B5A">
            <w:pPr>
              <w:pStyle w:val="NotesTable-ItemPlain"/>
            </w:pPr>
          </w:p>
        </w:tc>
      </w:tr>
    </w:tbl>
    <w:p w14:paraId="2B27DB65" w14:textId="77777777" w:rsidR="00440E32" w:rsidRPr="004343C5" w:rsidRDefault="00440E32" w:rsidP="004343C5">
      <w:r w:rsidRPr="004343C5">
        <w:br w:type="page"/>
      </w:r>
    </w:p>
    <w:p w14:paraId="2581C1A1" w14:textId="7ADA7E2F" w:rsidR="00440E32" w:rsidRPr="004B7414" w:rsidRDefault="00440E32" w:rsidP="004B7414">
      <w:pPr>
        <w:pStyle w:val="Heading3"/>
        <w:rPr>
          <w:color w:val="2D3E7B" w:themeColor="text2" w:themeShade="BF"/>
        </w:rPr>
      </w:pPr>
      <w:bookmarkStart w:id="514" w:name="_Toc410807701"/>
      <w:bookmarkStart w:id="515" w:name="_Toc410822762"/>
      <w:bookmarkStart w:id="516" w:name="_Toc410823921"/>
      <w:bookmarkStart w:id="517" w:name="_Toc410825208"/>
      <w:r w:rsidRPr="004B7414">
        <w:rPr>
          <w:color w:val="2D3E7B" w:themeColor="text2" w:themeShade="BF"/>
        </w:rPr>
        <w:lastRenderedPageBreak/>
        <w:t>Commentary – Other financial assets</w:t>
      </w:r>
      <w:bookmarkEnd w:id="514"/>
      <w:bookmarkEnd w:id="515"/>
      <w:bookmarkEnd w:id="516"/>
      <w:bookmarkEnd w:id="517"/>
    </w:p>
    <w:p w14:paraId="4B280FF7" w14:textId="77777777" w:rsidR="00440E32" w:rsidRPr="00440E32" w:rsidRDefault="00440E32" w:rsidP="00E21724">
      <w:pPr>
        <w:rPr>
          <w:color w:val="2D3E7B" w:themeColor="text2" w:themeShade="BF"/>
        </w:rPr>
      </w:pPr>
      <w:r w:rsidRPr="00440E32">
        <w:rPr>
          <w:color w:val="2D3E7B" w:themeColor="text2" w:themeShade="BF"/>
        </w:rPr>
        <w:t>An entity shall not apply AASB9.5.7.5 except under the specific circumstance identified in note 1(m) and the associated commentary.</w:t>
      </w:r>
    </w:p>
    <w:p w14:paraId="270EF8DD" w14:textId="77777777" w:rsidR="00440E32" w:rsidRPr="004B7414" w:rsidRDefault="00440E32" w:rsidP="00655761">
      <w:pPr>
        <w:pStyle w:val="Heading6"/>
      </w:pPr>
      <w:r w:rsidRPr="004B7414">
        <w:t>AASB7.11A</w:t>
      </w:r>
    </w:p>
    <w:p w14:paraId="046DF395" w14:textId="77777777" w:rsidR="00440E32" w:rsidRPr="004B7414" w:rsidRDefault="00440E32" w:rsidP="00E21724">
      <w:pPr>
        <w:rPr>
          <w:color w:val="2D3E7B" w:themeColor="text2" w:themeShade="BF"/>
        </w:rPr>
      </w:pPr>
      <w:r w:rsidRPr="004B7414">
        <w:rPr>
          <w:color w:val="2D3E7B" w:themeColor="text2" w:themeShade="BF"/>
        </w:rPr>
        <w:t>Institutions who have equity instruments that meet the criteria above and elect to adopt the ‘fair value through OCI’ approach are required to include these additional disclosures:</w:t>
      </w:r>
    </w:p>
    <w:p w14:paraId="1B3B3DA9" w14:textId="0AE8D2CE" w:rsidR="00440E32" w:rsidRPr="004B7414" w:rsidRDefault="00440E32" w:rsidP="009B1E46">
      <w:pPr>
        <w:pStyle w:val="ListParagraph"/>
        <w:numPr>
          <w:ilvl w:val="0"/>
          <w:numId w:val="67"/>
        </w:numPr>
        <w:ind w:left="340" w:hanging="340"/>
        <w:rPr>
          <w:color w:val="2D3E7B" w:themeColor="text2" w:themeShade="BF"/>
        </w:rPr>
      </w:pPr>
      <w:r w:rsidRPr="004B7414">
        <w:rPr>
          <w:color w:val="2D3E7B" w:themeColor="text2" w:themeShade="BF"/>
        </w:rPr>
        <w:t>Which investments have this treatment;</w:t>
      </w:r>
    </w:p>
    <w:p w14:paraId="3D4BD13C" w14:textId="0BD107D8" w:rsidR="00440E32" w:rsidRPr="004B7414" w:rsidRDefault="00440E32" w:rsidP="009B1E46">
      <w:pPr>
        <w:pStyle w:val="ListParagraph"/>
        <w:numPr>
          <w:ilvl w:val="0"/>
          <w:numId w:val="67"/>
        </w:numPr>
        <w:ind w:left="340" w:hanging="340"/>
        <w:rPr>
          <w:color w:val="2D3E7B" w:themeColor="text2" w:themeShade="BF"/>
        </w:rPr>
      </w:pPr>
      <w:r w:rsidRPr="004B7414">
        <w:rPr>
          <w:color w:val="2D3E7B" w:themeColor="text2" w:themeShade="BF"/>
        </w:rPr>
        <w:t>The reasons for adopting this treatment;</w:t>
      </w:r>
    </w:p>
    <w:p w14:paraId="3A6AA086" w14:textId="0AE922E1" w:rsidR="00440E32" w:rsidRPr="004B7414" w:rsidRDefault="00440E32" w:rsidP="009B1E46">
      <w:pPr>
        <w:pStyle w:val="ListParagraph"/>
        <w:numPr>
          <w:ilvl w:val="0"/>
          <w:numId w:val="67"/>
        </w:numPr>
        <w:ind w:left="340" w:hanging="340"/>
        <w:rPr>
          <w:color w:val="2D3E7B" w:themeColor="text2" w:themeShade="BF"/>
        </w:rPr>
      </w:pPr>
      <w:r w:rsidRPr="004B7414">
        <w:rPr>
          <w:color w:val="2D3E7B" w:themeColor="text2" w:themeShade="BF"/>
        </w:rPr>
        <w:t>Fair value of each at the end of the reporting period;</w:t>
      </w:r>
    </w:p>
    <w:p w14:paraId="4DBBE793" w14:textId="5991BB1B" w:rsidR="00440E32" w:rsidRPr="004B7414" w:rsidRDefault="00440E32" w:rsidP="009B1E46">
      <w:pPr>
        <w:pStyle w:val="ListParagraph"/>
        <w:numPr>
          <w:ilvl w:val="0"/>
          <w:numId w:val="67"/>
        </w:numPr>
        <w:ind w:left="340" w:hanging="340"/>
        <w:rPr>
          <w:color w:val="2D3E7B" w:themeColor="text2" w:themeShade="BF"/>
        </w:rPr>
      </w:pPr>
      <w:r w:rsidRPr="004B7414">
        <w:rPr>
          <w:color w:val="2D3E7B" w:themeColor="text2" w:themeShade="BF"/>
        </w:rPr>
        <w:t>Dividends recognised during the period, separately identifying those related to investments derecognised during the period and those related to instruments held at the end of the period; and</w:t>
      </w:r>
    </w:p>
    <w:p w14:paraId="42AAD09F" w14:textId="7DAEBDC3" w:rsidR="00440E32" w:rsidRPr="004B7414" w:rsidRDefault="00440E32" w:rsidP="009B1E46">
      <w:pPr>
        <w:pStyle w:val="ListParagraph"/>
        <w:numPr>
          <w:ilvl w:val="0"/>
          <w:numId w:val="67"/>
        </w:numPr>
        <w:ind w:left="340" w:hanging="340"/>
        <w:rPr>
          <w:color w:val="2D3E7B" w:themeColor="text2" w:themeShade="BF"/>
        </w:rPr>
      </w:pPr>
      <w:r w:rsidRPr="004B7414">
        <w:rPr>
          <w:color w:val="2D3E7B" w:themeColor="text2" w:themeShade="BF"/>
        </w:rPr>
        <w:t>Any transfers of the cumulative gain or loss within the period including the reason for those transfers.</w:t>
      </w:r>
    </w:p>
    <w:p w14:paraId="4A086E3A" w14:textId="77777777" w:rsidR="00440E32" w:rsidRPr="004B7414" w:rsidRDefault="00440E32" w:rsidP="00655761">
      <w:pPr>
        <w:pStyle w:val="Heading6"/>
      </w:pPr>
      <w:r w:rsidRPr="004B7414">
        <w:t>AASB7.11B</w:t>
      </w:r>
    </w:p>
    <w:p w14:paraId="40798BC6" w14:textId="77777777" w:rsidR="00440E32" w:rsidRPr="00440E32" w:rsidRDefault="00440E32" w:rsidP="00440E32">
      <w:pPr>
        <w:rPr>
          <w:color w:val="2D3E7B" w:themeColor="text2" w:themeShade="BF"/>
        </w:rPr>
      </w:pPr>
      <w:r w:rsidRPr="00440E32">
        <w:rPr>
          <w:color w:val="2D3E7B" w:themeColor="text2" w:themeShade="BF"/>
        </w:rPr>
        <w:t>Additionally, institutions adopting ‘fair value through OCI’ are required to disclose the following in respect of instruments derecognised during the period:</w:t>
      </w:r>
    </w:p>
    <w:p w14:paraId="5A1FC2F6" w14:textId="5837155C" w:rsidR="00440E32" w:rsidRPr="00440E32" w:rsidRDefault="00440E32" w:rsidP="009B1E46">
      <w:pPr>
        <w:pStyle w:val="ListParagraph"/>
        <w:numPr>
          <w:ilvl w:val="0"/>
          <w:numId w:val="68"/>
        </w:numPr>
        <w:ind w:left="340" w:hanging="340"/>
        <w:rPr>
          <w:color w:val="2D3E7B" w:themeColor="text2" w:themeShade="BF"/>
        </w:rPr>
      </w:pPr>
      <w:r w:rsidRPr="00440E32">
        <w:rPr>
          <w:color w:val="2D3E7B" w:themeColor="text2" w:themeShade="BF"/>
        </w:rPr>
        <w:t>The reasons for disposing of the investment;</w:t>
      </w:r>
    </w:p>
    <w:p w14:paraId="511E486D" w14:textId="1379F8D3" w:rsidR="00440E32" w:rsidRPr="00440E32" w:rsidRDefault="00440E32" w:rsidP="009B1E46">
      <w:pPr>
        <w:pStyle w:val="ListParagraph"/>
        <w:numPr>
          <w:ilvl w:val="0"/>
          <w:numId w:val="68"/>
        </w:numPr>
        <w:ind w:left="340" w:hanging="340"/>
        <w:rPr>
          <w:color w:val="2D3E7B" w:themeColor="text2" w:themeShade="BF"/>
        </w:rPr>
      </w:pPr>
      <w:r w:rsidRPr="00440E32">
        <w:rPr>
          <w:color w:val="2D3E7B" w:themeColor="text2" w:themeShade="BF"/>
        </w:rPr>
        <w:t>The fair value of the investment on the date of derecognition; and</w:t>
      </w:r>
    </w:p>
    <w:p w14:paraId="0C3BC566" w14:textId="16F61558" w:rsidR="00440E32" w:rsidRPr="00440E32" w:rsidRDefault="00440E32" w:rsidP="009B1E46">
      <w:pPr>
        <w:pStyle w:val="ListParagraph"/>
        <w:numPr>
          <w:ilvl w:val="0"/>
          <w:numId w:val="68"/>
        </w:numPr>
        <w:ind w:left="340" w:hanging="340"/>
        <w:rPr>
          <w:color w:val="2D3E7B" w:themeColor="text2" w:themeShade="BF"/>
        </w:rPr>
      </w:pPr>
      <w:r w:rsidRPr="00440E32">
        <w:rPr>
          <w:color w:val="2D3E7B" w:themeColor="text2" w:themeShade="BF"/>
        </w:rPr>
        <w:t>The cumulative gain or loss on disposal.</w:t>
      </w:r>
    </w:p>
    <w:p w14:paraId="53D897A5" w14:textId="77777777" w:rsidR="00440E32" w:rsidRPr="00440E32" w:rsidRDefault="00440E32" w:rsidP="00440E32">
      <w:pPr>
        <w:rPr>
          <w:color w:val="2D3E7B" w:themeColor="text2" w:themeShade="BF"/>
        </w:rPr>
      </w:pPr>
      <w:r w:rsidRPr="00440E32">
        <w:rPr>
          <w:color w:val="2D3E7B" w:themeColor="text2" w:themeShade="BF"/>
        </w:rPr>
        <w:t>These details should be included in section (a) of this note.</w:t>
      </w:r>
      <w:bookmarkEnd w:id="25"/>
      <w:bookmarkEnd w:id="157"/>
    </w:p>
    <w:sectPr w:rsidR="00440E32" w:rsidRPr="00440E32" w:rsidSect="00530B02">
      <w:headerReference w:type="even" r:id="rId44"/>
      <w:headerReference w:type="default" r:id="rId45"/>
      <w:footerReference w:type="even" r:id="rId46"/>
      <w:headerReference w:type="first" r:id="rId47"/>
      <w:footerReference w:type="first" r:id="rId48"/>
      <w:pgSz w:w="11905" w:h="16837"/>
      <w:pgMar w:top="1440" w:right="1440" w:bottom="1440" w:left="1440" w:header="85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A5840" w14:textId="77777777" w:rsidR="00B31ABF" w:rsidRDefault="00B31ABF">
      <w:r>
        <w:separator/>
      </w:r>
    </w:p>
  </w:endnote>
  <w:endnote w:type="continuationSeparator" w:id="0">
    <w:p w14:paraId="038A5841" w14:textId="77777777" w:rsidR="00B31ABF" w:rsidRDefault="00B31ABF">
      <w:r>
        <w:continuationSeparator/>
      </w:r>
    </w:p>
  </w:endnote>
  <w:endnote w:type="continuationNotice" w:id="1">
    <w:p w14:paraId="038A5842" w14:textId="77777777" w:rsidR="00B31ABF" w:rsidRDefault="00B31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Unicode MS"/>
    <w:charset w:val="80"/>
    <w:family w:val="swiss"/>
    <w:pitch w:val="variable"/>
  </w:font>
  <w:font w:name="DejaVu Sans">
    <w:altName w:val="MS Mincho"/>
    <w:charset w:val="80"/>
    <w:family w:val="auto"/>
    <w:pitch w:val="variable"/>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4" w14:textId="77777777" w:rsidR="00B31ABF" w:rsidRPr="001E35A7" w:rsidRDefault="00B31ABF" w:rsidP="001E35A7">
    <w:pPr>
      <w:pStyle w:val="Footer"/>
      <w:jc w:val="center"/>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B" w14:textId="77777777" w:rsidR="00B31ABF" w:rsidRDefault="00B31AB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D" w14:textId="77777777" w:rsidR="00B31ABF" w:rsidRDefault="00B31AB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6A" w14:textId="77777777" w:rsidR="00B31ABF" w:rsidRDefault="00B31AB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6C" w14:textId="77777777" w:rsidR="00B31ABF" w:rsidRDefault="00B31A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6" w14:textId="3F5E27EF" w:rsidR="00B31ABF" w:rsidRPr="00EA2CDA" w:rsidRDefault="00B31ABF" w:rsidP="00AF78E2">
    <w:pPr>
      <w:jc w:val="center"/>
      <w:rPr>
        <w:sz w:val="20"/>
        <w:szCs w:val="20"/>
      </w:rPr>
    </w:pPr>
    <w:r w:rsidRPr="00EA2CDA">
      <w:rPr>
        <w:sz w:val="20"/>
        <w:szCs w:val="20"/>
      </w:rPr>
      <w:t>Financial Statement Guidelines for Australian Higher Education Providers for the 2014 Reporting Period</w:t>
    </w:r>
  </w:p>
  <w:p w14:paraId="038A5847" w14:textId="77777777" w:rsidR="00B31ABF" w:rsidRPr="00F9359F" w:rsidRDefault="00B31ABF" w:rsidP="001E35A7">
    <w:pPr>
      <w:pStyle w:val="Footer"/>
      <w:jc w:val="center"/>
      <w:rPr>
        <w:rFonts w:ascii="Arial" w:hAnsi="Arial" w:cs="Arial"/>
        <w:sz w:val="18"/>
        <w:szCs w:val="18"/>
      </w:rPr>
    </w:pPr>
    <w:r w:rsidRPr="00F9359F">
      <w:rPr>
        <w:rStyle w:val="PageNumber"/>
        <w:rFonts w:ascii="Arial" w:hAnsi="Arial" w:cs="Arial"/>
        <w:sz w:val="18"/>
        <w:szCs w:val="18"/>
      </w:rPr>
      <w:fldChar w:fldCharType="begin"/>
    </w:r>
    <w:r w:rsidRPr="00F9359F">
      <w:rPr>
        <w:rStyle w:val="PageNumber"/>
        <w:rFonts w:ascii="Arial" w:hAnsi="Arial" w:cs="Arial"/>
        <w:sz w:val="18"/>
        <w:szCs w:val="18"/>
      </w:rPr>
      <w:instrText xml:space="preserve"> PAGE </w:instrText>
    </w:r>
    <w:r w:rsidRPr="00F9359F">
      <w:rPr>
        <w:rStyle w:val="PageNumber"/>
        <w:rFonts w:ascii="Arial" w:hAnsi="Arial" w:cs="Arial"/>
        <w:sz w:val="18"/>
        <w:szCs w:val="18"/>
      </w:rPr>
      <w:fldChar w:fldCharType="separate"/>
    </w:r>
    <w:r w:rsidR="002C3264">
      <w:rPr>
        <w:rStyle w:val="PageNumber"/>
        <w:rFonts w:ascii="Arial" w:hAnsi="Arial" w:cs="Arial"/>
        <w:noProof/>
        <w:sz w:val="18"/>
        <w:szCs w:val="18"/>
      </w:rPr>
      <w:t>2</w:t>
    </w:r>
    <w:r w:rsidRPr="00F9359F">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9" w14:textId="77777777" w:rsidR="00B31ABF" w:rsidRDefault="00B31A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C" w14:textId="77777777" w:rsidR="00B31ABF" w:rsidRDefault="00B31A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E" w14:textId="77777777" w:rsidR="00B31ABF" w:rsidRDefault="00B31AB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1" w14:textId="77777777" w:rsidR="00B31ABF" w:rsidRDefault="00B31AB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3" w14:textId="77777777" w:rsidR="00B31ABF" w:rsidRDefault="00B31A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6" w14:textId="77777777" w:rsidR="00B31ABF" w:rsidRDefault="00B31AB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8" w14:textId="77777777" w:rsidR="00B31ABF" w:rsidRDefault="00B31A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A583D" w14:textId="77777777" w:rsidR="00B31ABF" w:rsidRDefault="00B31ABF">
      <w:r>
        <w:separator/>
      </w:r>
    </w:p>
  </w:footnote>
  <w:footnote w:type="continuationSeparator" w:id="0">
    <w:p w14:paraId="038A583E" w14:textId="77777777" w:rsidR="00B31ABF" w:rsidRDefault="00B31ABF">
      <w:r>
        <w:continuationSeparator/>
      </w:r>
    </w:p>
  </w:footnote>
  <w:footnote w:type="continuationNotice" w:id="1">
    <w:p w14:paraId="038A583F" w14:textId="77777777" w:rsidR="00B31ABF" w:rsidRDefault="00B31ABF"/>
  </w:footnote>
  <w:footnote w:id="2">
    <w:p w14:paraId="084A5320" w14:textId="77777777" w:rsidR="00B31ABF" w:rsidRDefault="00B31ABF" w:rsidP="00093DCE">
      <w:pPr>
        <w:pStyle w:val="FootnoteText"/>
        <w:rPr>
          <w:rFonts w:ascii="Arial" w:hAnsi="Arial" w:cs="Arial"/>
          <w:sz w:val="18"/>
          <w:szCs w:val="18"/>
        </w:rPr>
      </w:pPr>
      <w:r>
        <w:rPr>
          <w:rStyle w:val="FootnoteCharacters"/>
          <w:rFonts w:ascii="Arial" w:hAnsi="Arial"/>
        </w:rPr>
        <w:footnoteRef/>
      </w:r>
      <w:r>
        <w:rPr>
          <w:rFonts w:ascii="Arial" w:hAnsi="Arial" w:cs="Arial"/>
          <w:sz w:val="18"/>
          <w:szCs w:val="18"/>
        </w:rPr>
        <w:tab/>
        <w:t xml:space="preserve"> It is mandatory for the University to include a Director’s Report or Board Members’ Report in their Annual Report. The report presented above is provided as an example disclosure.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5" w14:textId="77777777" w:rsidR="00B31ABF" w:rsidRPr="00D200DD" w:rsidRDefault="00B31ABF" w:rsidP="00D200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5" w14:textId="77777777" w:rsidR="00B31ABF" w:rsidRPr="00296FA7" w:rsidRDefault="00B31ABF" w:rsidP="00296F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7" w14:textId="77777777" w:rsidR="00B31ABF" w:rsidRDefault="00B31AB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9" w14:textId="77777777" w:rsidR="00B31ABF" w:rsidRDefault="00B31AB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A" w14:textId="77777777" w:rsidR="00B31ABF" w:rsidRDefault="00B31AB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C" w14:textId="77777777" w:rsidR="00B31ABF" w:rsidRDefault="00B31AB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68" w14:textId="77777777" w:rsidR="00B31ABF" w:rsidRDefault="00B31AB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69" w14:textId="77777777" w:rsidR="00B31ABF" w:rsidRDefault="00B31AB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6B" w14:textId="77777777" w:rsidR="00B31ABF" w:rsidRDefault="00B31A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8" w14:textId="77777777" w:rsidR="00B31ABF" w:rsidRDefault="00B31A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A" w14:textId="77777777" w:rsidR="00B31ABF" w:rsidRDefault="00B31A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B" w14:textId="1B29FA89" w:rsidR="00B31ABF" w:rsidRPr="00180849" w:rsidRDefault="00B31ABF" w:rsidP="00530B02">
    <w:pPr>
      <w:pStyle w:val="Header"/>
      <w:tabs>
        <w:tab w:val="left" w:pos="119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D" w14:textId="77777777" w:rsidR="00B31ABF" w:rsidRDefault="00B3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4F" w14:textId="77777777" w:rsidR="00B31ABF" w:rsidRDefault="00B31A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0" w14:textId="77777777" w:rsidR="00B31ABF" w:rsidRDefault="00B31A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2" w14:textId="77777777" w:rsidR="00B31ABF" w:rsidRDefault="00B31A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5854" w14:textId="77777777" w:rsidR="00B31ABF" w:rsidRDefault="00B31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720"/>
        </w:tabs>
        <w:ind w:left="720" w:hanging="720"/>
      </w:pPr>
      <w:rPr>
        <w:rFonts w:ascii="Symbol" w:hAnsi="Symbol"/>
        <w:sz w:val="28"/>
      </w:rPr>
    </w:lvl>
  </w:abstractNum>
  <w:abstractNum w:abstractNumId="1">
    <w:nsid w:val="00000003"/>
    <w:multiLevelType w:val="singleLevel"/>
    <w:tmpl w:val="00000003"/>
    <w:name w:val="WW8Num6"/>
    <w:lvl w:ilvl="0">
      <w:start w:val="1"/>
      <w:numFmt w:val="bullet"/>
      <w:lvlText w:val=""/>
      <w:lvlJc w:val="left"/>
      <w:pPr>
        <w:tabs>
          <w:tab w:val="num" w:pos="1440"/>
        </w:tabs>
        <w:ind w:left="1440" w:hanging="720"/>
      </w:pPr>
      <w:rPr>
        <w:rFonts w:ascii="Symbol" w:hAnsi="Symbol"/>
      </w:rPr>
    </w:lvl>
  </w:abstractNum>
  <w:abstractNum w:abstractNumId="2">
    <w:nsid w:val="00000004"/>
    <w:multiLevelType w:val="singleLevel"/>
    <w:tmpl w:val="00000004"/>
    <w:name w:val="WW8Num7"/>
    <w:lvl w:ilvl="0">
      <w:start w:val="1"/>
      <w:numFmt w:val="bullet"/>
      <w:lvlText w:val=""/>
      <w:lvlJc w:val="left"/>
      <w:pPr>
        <w:tabs>
          <w:tab w:val="num" w:pos="1440"/>
        </w:tabs>
        <w:ind w:left="1440" w:hanging="363"/>
      </w:pPr>
      <w:rPr>
        <w:rFonts w:ascii="Wingdings" w:hAnsi="Wingdings"/>
        <w:sz w:val="12"/>
      </w:rPr>
    </w:lvl>
  </w:abstractNum>
  <w:abstractNum w:abstractNumId="3">
    <w:nsid w:val="00000005"/>
    <w:multiLevelType w:val="singleLevel"/>
    <w:tmpl w:val="00000005"/>
    <w:name w:val="WW8Num9"/>
    <w:lvl w:ilvl="0">
      <w:start w:val="5"/>
      <w:numFmt w:val="lowerLetter"/>
      <w:lvlText w:val="(%1)"/>
      <w:lvlJc w:val="left"/>
      <w:pPr>
        <w:tabs>
          <w:tab w:val="num" w:pos="1441"/>
        </w:tabs>
        <w:ind w:left="1441" w:hanging="840"/>
      </w:pPr>
    </w:lvl>
  </w:abstractNum>
  <w:abstractNum w:abstractNumId="4">
    <w:nsid w:val="00000006"/>
    <w:multiLevelType w:val="singleLevel"/>
    <w:tmpl w:val="00000006"/>
    <w:name w:val="WW8Num10"/>
    <w:lvl w:ilvl="0">
      <w:start w:val="1"/>
      <w:numFmt w:val="bullet"/>
      <w:lvlText w:val=""/>
      <w:lvlJc w:val="left"/>
      <w:pPr>
        <w:tabs>
          <w:tab w:val="num" w:pos="170"/>
        </w:tabs>
        <w:ind w:left="284" w:hanging="284"/>
      </w:pPr>
      <w:rPr>
        <w:rFonts w:ascii="Wingdings" w:hAnsi="Wingdings"/>
      </w:rPr>
    </w:lvl>
  </w:abstractNum>
  <w:abstractNum w:abstractNumId="5">
    <w:nsid w:val="00000007"/>
    <w:multiLevelType w:val="singleLevel"/>
    <w:tmpl w:val="00000007"/>
    <w:name w:val="WW8Num11"/>
    <w:lvl w:ilvl="0">
      <w:start w:val="1"/>
      <w:numFmt w:val="bullet"/>
      <w:lvlText w:val=""/>
      <w:lvlJc w:val="left"/>
      <w:pPr>
        <w:tabs>
          <w:tab w:val="num" w:pos="1440"/>
        </w:tabs>
        <w:ind w:left="1440" w:hanging="720"/>
      </w:pPr>
      <w:rPr>
        <w:rFonts w:ascii="Symbol" w:hAnsi="Symbol"/>
      </w:rPr>
    </w:lvl>
  </w:abstractNum>
  <w:abstractNum w:abstractNumId="6">
    <w:nsid w:val="00000008"/>
    <w:multiLevelType w:val="singleLevel"/>
    <w:tmpl w:val="00000008"/>
    <w:name w:val="WW8Num13"/>
    <w:lvl w:ilvl="0">
      <w:start w:val="1"/>
      <w:numFmt w:val="bullet"/>
      <w:lvlText w:val=""/>
      <w:lvlJc w:val="left"/>
      <w:pPr>
        <w:tabs>
          <w:tab w:val="num" w:pos="2160"/>
        </w:tabs>
        <w:ind w:left="2160" w:hanging="720"/>
      </w:pPr>
      <w:rPr>
        <w:rFonts w:ascii="Wingdings" w:hAnsi="Wingdings"/>
        <w:sz w:val="16"/>
      </w:rPr>
    </w:lvl>
  </w:abstractNum>
  <w:abstractNum w:abstractNumId="7">
    <w:nsid w:val="00000009"/>
    <w:multiLevelType w:val="singleLevel"/>
    <w:tmpl w:val="00000009"/>
    <w:name w:val="WW8Num15"/>
    <w:lvl w:ilvl="0">
      <w:start w:val="1"/>
      <w:numFmt w:val="bullet"/>
      <w:lvlText w:val="o"/>
      <w:lvlJc w:val="left"/>
      <w:pPr>
        <w:tabs>
          <w:tab w:val="num" w:pos="3555"/>
        </w:tabs>
        <w:ind w:left="3555" w:hanging="360"/>
      </w:pPr>
      <w:rPr>
        <w:rFonts w:ascii="Courier New" w:hAnsi="Courier New"/>
      </w:rPr>
    </w:lvl>
  </w:abstractNum>
  <w:abstractNum w:abstractNumId="8">
    <w:nsid w:val="0000000A"/>
    <w:multiLevelType w:val="singleLevel"/>
    <w:tmpl w:val="0000000A"/>
    <w:name w:val="WW8Num16"/>
    <w:lvl w:ilvl="0">
      <w:start w:val="1"/>
      <w:numFmt w:val="bullet"/>
      <w:lvlText w:val=""/>
      <w:lvlJc w:val="left"/>
      <w:pPr>
        <w:tabs>
          <w:tab w:val="num" w:pos="2880"/>
        </w:tabs>
        <w:ind w:left="2880" w:hanging="720"/>
      </w:pPr>
      <w:rPr>
        <w:rFonts w:ascii="Wingdings" w:hAnsi="Wingdings"/>
        <w:sz w:val="16"/>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Wingdings" w:hAnsi="Wingdings"/>
      </w:rPr>
    </w:lvl>
  </w:abstractNum>
  <w:abstractNum w:abstractNumId="10">
    <w:nsid w:val="0000000C"/>
    <w:multiLevelType w:val="singleLevel"/>
    <w:tmpl w:val="0000000C"/>
    <w:name w:val="WW8Num18"/>
    <w:lvl w:ilvl="0">
      <w:start w:val="1"/>
      <w:numFmt w:val="bullet"/>
      <w:lvlText w:val=""/>
      <w:lvlJc w:val="left"/>
      <w:pPr>
        <w:tabs>
          <w:tab w:val="num" w:pos="2160"/>
        </w:tabs>
        <w:ind w:left="2160" w:hanging="360"/>
      </w:pPr>
      <w:rPr>
        <w:rFonts w:ascii="Wingdings" w:hAnsi="Wingdings"/>
      </w:rPr>
    </w:lvl>
  </w:abstractNum>
  <w:abstractNum w:abstractNumId="11">
    <w:nsid w:val="0000000D"/>
    <w:multiLevelType w:val="singleLevel"/>
    <w:tmpl w:val="0000000D"/>
    <w:name w:val="WW8Num19"/>
    <w:lvl w:ilvl="0">
      <w:start w:val="1"/>
      <w:numFmt w:val="lowerLetter"/>
      <w:lvlText w:val="(%1)"/>
      <w:lvlJc w:val="left"/>
      <w:pPr>
        <w:tabs>
          <w:tab w:val="num" w:pos="927"/>
        </w:tabs>
        <w:ind w:left="927" w:hanging="360"/>
      </w:pPr>
    </w:lvl>
  </w:abstractNum>
  <w:abstractNum w:abstractNumId="12">
    <w:nsid w:val="0000000E"/>
    <w:multiLevelType w:val="singleLevel"/>
    <w:tmpl w:val="0000000E"/>
    <w:name w:val="WW8Num20"/>
    <w:lvl w:ilvl="0">
      <w:start w:val="1"/>
      <w:numFmt w:val="bullet"/>
      <w:lvlText w:val=""/>
      <w:lvlJc w:val="left"/>
      <w:pPr>
        <w:tabs>
          <w:tab w:val="num" w:pos="720"/>
        </w:tabs>
        <w:ind w:left="720" w:hanging="720"/>
      </w:pPr>
      <w:rPr>
        <w:rFonts w:ascii="Symbol" w:hAnsi="Symbol"/>
        <w:sz w:val="28"/>
      </w:rPr>
    </w:lvl>
  </w:abstractNum>
  <w:abstractNum w:abstractNumId="13">
    <w:nsid w:val="0000000F"/>
    <w:multiLevelType w:val="singleLevel"/>
    <w:tmpl w:val="0000000F"/>
    <w:name w:val="WW8Num23"/>
    <w:lvl w:ilvl="0">
      <w:start w:val="1"/>
      <w:numFmt w:val="bullet"/>
      <w:lvlText w:val=""/>
      <w:lvlJc w:val="left"/>
      <w:pPr>
        <w:tabs>
          <w:tab w:val="num" w:pos="1080"/>
        </w:tabs>
        <w:ind w:left="1080" w:hanging="360"/>
      </w:pPr>
      <w:rPr>
        <w:rFonts w:ascii="Wingdings" w:hAnsi="Wingdings"/>
        <w:sz w:val="12"/>
      </w:rPr>
    </w:lvl>
  </w:abstractNum>
  <w:abstractNum w:abstractNumId="14">
    <w:nsid w:val="00000010"/>
    <w:multiLevelType w:val="singleLevel"/>
    <w:tmpl w:val="00000010"/>
    <w:name w:val="WW8Num24"/>
    <w:lvl w:ilvl="0">
      <w:start w:val="1"/>
      <w:numFmt w:val="bullet"/>
      <w:lvlText w:val=""/>
      <w:lvlJc w:val="left"/>
      <w:pPr>
        <w:tabs>
          <w:tab w:val="num" w:pos="720"/>
        </w:tabs>
        <w:ind w:left="720" w:hanging="363"/>
      </w:pPr>
      <w:rPr>
        <w:rFonts w:ascii="Symbol" w:hAnsi="Symbol"/>
      </w:rPr>
    </w:lvl>
  </w:abstractNum>
  <w:abstractNum w:abstractNumId="15">
    <w:nsid w:val="00000011"/>
    <w:multiLevelType w:val="singleLevel"/>
    <w:tmpl w:val="EAC66B0E"/>
    <w:name w:val="WW8Num25"/>
    <w:lvl w:ilvl="0">
      <w:start w:val="1"/>
      <w:numFmt w:val="lowerLetter"/>
      <w:lvlText w:val="(%1)"/>
      <w:lvlJc w:val="left"/>
      <w:pPr>
        <w:tabs>
          <w:tab w:val="num" w:pos="1003"/>
        </w:tabs>
        <w:ind w:left="1003" w:hanging="360"/>
      </w:pPr>
      <w:rPr>
        <w:rFonts w:ascii="Arial" w:hAnsi="Arial" w:cs="Arial" w:hint="default"/>
        <w:sz w:val="18"/>
        <w:szCs w:val="18"/>
      </w:rPr>
    </w:lvl>
  </w:abstractNum>
  <w:abstractNum w:abstractNumId="16">
    <w:nsid w:val="00000012"/>
    <w:multiLevelType w:val="singleLevel"/>
    <w:tmpl w:val="00000012"/>
    <w:name w:val="WW8Num26"/>
    <w:lvl w:ilvl="0">
      <w:start w:val="1"/>
      <w:numFmt w:val="bullet"/>
      <w:lvlText w:val=""/>
      <w:lvlJc w:val="left"/>
      <w:pPr>
        <w:tabs>
          <w:tab w:val="num" w:pos="1321"/>
        </w:tabs>
        <w:ind w:left="1321" w:hanging="360"/>
      </w:pPr>
      <w:rPr>
        <w:rFonts w:ascii="Symbol" w:hAnsi="Symbol"/>
      </w:rPr>
    </w:lvl>
  </w:abstractNum>
  <w:abstractNum w:abstractNumId="17">
    <w:nsid w:val="00000013"/>
    <w:multiLevelType w:val="singleLevel"/>
    <w:tmpl w:val="00000013"/>
    <w:name w:val="WW8Num27"/>
    <w:lvl w:ilvl="0">
      <w:start w:val="1"/>
      <w:numFmt w:val="lowerLetter"/>
      <w:lvlText w:val="%1)"/>
      <w:lvlJc w:val="left"/>
      <w:pPr>
        <w:tabs>
          <w:tab w:val="num" w:pos="960"/>
        </w:tabs>
        <w:ind w:left="960" w:hanging="360"/>
      </w:pPr>
    </w:lvl>
  </w:abstractNum>
  <w:abstractNum w:abstractNumId="18">
    <w:nsid w:val="00000014"/>
    <w:multiLevelType w:val="singleLevel"/>
    <w:tmpl w:val="00000014"/>
    <w:name w:val="WW8Num28"/>
    <w:lvl w:ilvl="0">
      <w:start w:val="1"/>
      <w:numFmt w:val="bullet"/>
      <w:lvlText w:val=""/>
      <w:lvlJc w:val="left"/>
      <w:pPr>
        <w:tabs>
          <w:tab w:val="num" w:pos="360"/>
        </w:tabs>
        <w:ind w:left="360" w:hanging="360"/>
      </w:pPr>
      <w:rPr>
        <w:rFonts w:ascii="Symbol" w:hAnsi="Symbol"/>
        <w:sz w:val="18"/>
      </w:rPr>
    </w:lvl>
  </w:abstractNum>
  <w:abstractNum w:abstractNumId="19">
    <w:nsid w:val="00000015"/>
    <w:multiLevelType w:val="singleLevel"/>
    <w:tmpl w:val="00000015"/>
    <w:name w:val="WW8Num29"/>
    <w:lvl w:ilvl="0">
      <w:start w:val="1"/>
      <w:numFmt w:val="lowerLetter"/>
      <w:lvlText w:val="(%1)"/>
      <w:lvlJc w:val="left"/>
      <w:pPr>
        <w:tabs>
          <w:tab w:val="num" w:pos="753"/>
        </w:tabs>
        <w:ind w:left="753" w:hanging="435"/>
      </w:pPr>
    </w:lvl>
  </w:abstractNum>
  <w:abstractNum w:abstractNumId="20">
    <w:nsid w:val="00000016"/>
    <w:multiLevelType w:val="singleLevel"/>
    <w:tmpl w:val="00000016"/>
    <w:name w:val="WW8Num32"/>
    <w:lvl w:ilvl="0">
      <w:start w:val="1"/>
      <w:numFmt w:val="bullet"/>
      <w:lvlText w:val=""/>
      <w:lvlJc w:val="left"/>
      <w:pPr>
        <w:tabs>
          <w:tab w:val="num" w:pos="425"/>
        </w:tabs>
        <w:ind w:left="425" w:hanging="425"/>
      </w:pPr>
      <w:rPr>
        <w:rFonts w:ascii="Wingdings" w:hAnsi="Wingdings"/>
        <w:b w:val="0"/>
        <w:color w:val="3DA8D5"/>
        <w:sz w:val="18"/>
        <w:szCs w:val="18"/>
      </w:rPr>
    </w:lvl>
  </w:abstractNum>
  <w:abstractNum w:abstractNumId="21">
    <w:nsid w:val="00962434"/>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0DA5CCA"/>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42E15EA"/>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529223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060E009B"/>
    <w:multiLevelType w:val="hybridMultilevel"/>
    <w:tmpl w:val="C804C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07394383"/>
    <w:multiLevelType w:val="hybridMultilevel"/>
    <w:tmpl w:val="8ACAE9E0"/>
    <w:lvl w:ilvl="0" w:tplc="2BEA069E">
      <w:start w:val="1"/>
      <w:numFmt w:val="lowerLetter"/>
      <w:lvlText w:val="(%1)"/>
      <w:lvlJc w:val="left"/>
      <w:pPr>
        <w:ind w:left="1560" w:hanging="8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07CB308F"/>
    <w:multiLevelType w:val="hybridMultilevel"/>
    <w:tmpl w:val="3FA058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08316056"/>
    <w:multiLevelType w:val="hybridMultilevel"/>
    <w:tmpl w:val="A1A48454"/>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083C248A"/>
    <w:multiLevelType w:val="multilevel"/>
    <w:tmpl w:val="BA1C433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8537D2A"/>
    <w:multiLevelType w:val="hybridMultilevel"/>
    <w:tmpl w:val="2CF06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0BE5025B"/>
    <w:multiLevelType w:val="multilevel"/>
    <w:tmpl w:val="2DD01206"/>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0DFC1C15"/>
    <w:multiLevelType w:val="hybridMultilevel"/>
    <w:tmpl w:val="64B6EFF6"/>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13485906"/>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54C395A"/>
    <w:multiLevelType w:val="hybridMultilevel"/>
    <w:tmpl w:val="EFB81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16DB7EE5"/>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A7C401B"/>
    <w:multiLevelType w:val="hybridMultilevel"/>
    <w:tmpl w:val="2DD01206"/>
    <w:lvl w:ilvl="0" w:tplc="23748A92">
      <w:start w:val="1"/>
      <w:numFmt w:val="lowerLetter"/>
      <w:lvlText w:val="(%1)"/>
      <w:lvlJc w:val="left"/>
      <w:pPr>
        <w:ind w:left="1080" w:hanging="720"/>
      </w:pPr>
      <w:rPr>
        <w:rFonts w:hint="default"/>
      </w:rPr>
    </w:lvl>
    <w:lvl w:ilvl="1" w:tplc="EF10005C">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1B622307"/>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D5038D6"/>
    <w:multiLevelType w:val="multilevel"/>
    <w:tmpl w:val="4AFE4A7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3430BBE"/>
    <w:multiLevelType w:val="hybridMultilevel"/>
    <w:tmpl w:val="3050D21A"/>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24074E81"/>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5D17EC8"/>
    <w:multiLevelType w:val="multilevel"/>
    <w:tmpl w:val="CFAC91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AF077D5"/>
    <w:multiLevelType w:val="multilevel"/>
    <w:tmpl w:val="6512D3F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D4D0E8E"/>
    <w:multiLevelType w:val="multilevel"/>
    <w:tmpl w:val="E4400B3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30422A"/>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241344A"/>
    <w:multiLevelType w:val="hybridMultilevel"/>
    <w:tmpl w:val="6A9A11A2"/>
    <w:lvl w:ilvl="0" w:tplc="46D247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33A20D42"/>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3FE5829"/>
    <w:multiLevelType w:val="multilevel"/>
    <w:tmpl w:val="8E0846F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3FF0E1D"/>
    <w:multiLevelType w:val="multilevel"/>
    <w:tmpl w:val="CFAC91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A586FD4"/>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A8669EB"/>
    <w:multiLevelType w:val="hybridMultilevel"/>
    <w:tmpl w:val="71068AA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1">
    <w:nsid w:val="3AD37C98"/>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D1477FF"/>
    <w:multiLevelType w:val="multilevel"/>
    <w:tmpl w:val="5D18E0E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F2D6636"/>
    <w:multiLevelType w:val="hybridMultilevel"/>
    <w:tmpl w:val="C3CAADB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40CC1BDD"/>
    <w:multiLevelType w:val="hybridMultilevel"/>
    <w:tmpl w:val="2FBE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2CC3C06"/>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6334F98"/>
    <w:multiLevelType w:val="multilevel"/>
    <w:tmpl w:val="E4400B3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7B06A4F"/>
    <w:multiLevelType w:val="multilevel"/>
    <w:tmpl w:val="4AFE4A7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885660A"/>
    <w:multiLevelType w:val="multilevel"/>
    <w:tmpl w:val="8E0846F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90B6BE1"/>
    <w:multiLevelType w:val="hybridMultilevel"/>
    <w:tmpl w:val="2FB80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BB229B4"/>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C065352"/>
    <w:multiLevelType w:val="multilevel"/>
    <w:tmpl w:val="4AFE4A7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DC713A9"/>
    <w:multiLevelType w:val="hybridMultilevel"/>
    <w:tmpl w:val="ED16F4D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3">
    <w:nsid w:val="4E2363F1"/>
    <w:multiLevelType w:val="hybridMultilevel"/>
    <w:tmpl w:val="CEF04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nsid w:val="4F0F30D0"/>
    <w:multiLevelType w:val="hybridMultilevel"/>
    <w:tmpl w:val="A2B220B6"/>
    <w:lvl w:ilvl="0" w:tplc="46D24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27A4C74"/>
    <w:multiLevelType w:val="hybridMultilevel"/>
    <w:tmpl w:val="A7CE1748"/>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2D21B85"/>
    <w:multiLevelType w:val="hybridMultilevel"/>
    <w:tmpl w:val="E5E0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4516E40"/>
    <w:multiLevelType w:val="multilevel"/>
    <w:tmpl w:val="8E0846F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80799D"/>
    <w:multiLevelType w:val="hybridMultilevel"/>
    <w:tmpl w:val="9B4C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4B606B7"/>
    <w:multiLevelType w:val="multilevel"/>
    <w:tmpl w:val="5D18E0E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69C7963"/>
    <w:multiLevelType w:val="multilevel"/>
    <w:tmpl w:val="154ED8F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8BB38F9"/>
    <w:multiLevelType w:val="multilevel"/>
    <w:tmpl w:val="5D18E0E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9084F0E"/>
    <w:multiLevelType w:val="multilevel"/>
    <w:tmpl w:val="2DD01206"/>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5ADC00EC"/>
    <w:multiLevelType w:val="hybridMultilevel"/>
    <w:tmpl w:val="79AC586A"/>
    <w:lvl w:ilvl="0" w:tplc="3F88A1FA">
      <w:start w:val="1"/>
      <w:numFmt w:val="lowerLetter"/>
      <w:lvlText w:val="(e%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4">
    <w:nsid w:val="5B8D72D9"/>
    <w:multiLevelType w:val="multilevel"/>
    <w:tmpl w:val="4AFE4A7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D571F3E"/>
    <w:multiLevelType w:val="multilevel"/>
    <w:tmpl w:val="8E0846F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E9542EB"/>
    <w:multiLevelType w:val="multilevel"/>
    <w:tmpl w:val="E8B28B9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20C35D3"/>
    <w:multiLevelType w:val="hybridMultilevel"/>
    <w:tmpl w:val="0D98EDE8"/>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43D4E69"/>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4554C6D"/>
    <w:multiLevelType w:val="multilevel"/>
    <w:tmpl w:val="E4400B3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472257F"/>
    <w:multiLevelType w:val="hybridMultilevel"/>
    <w:tmpl w:val="42647120"/>
    <w:lvl w:ilvl="0" w:tplc="23748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649B5E48"/>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4EF70AD"/>
    <w:multiLevelType w:val="multilevel"/>
    <w:tmpl w:val="65169A6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7E33DC1"/>
    <w:multiLevelType w:val="hybridMultilevel"/>
    <w:tmpl w:val="8CC28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689568B4"/>
    <w:multiLevelType w:val="multilevel"/>
    <w:tmpl w:val="8E0846F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C6D5BE4"/>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D494BF4"/>
    <w:multiLevelType w:val="multilevel"/>
    <w:tmpl w:val="2DD01206"/>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7">
    <w:nsid w:val="6F7B0D6C"/>
    <w:multiLevelType w:val="multilevel"/>
    <w:tmpl w:val="2DD01206"/>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8">
    <w:nsid w:val="6FB836C4"/>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7635EB1"/>
    <w:multiLevelType w:val="multilevel"/>
    <w:tmpl w:val="F2CC1E2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9D117B2"/>
    <w:multiLevelType w:val="multilevel"/>
    <w:tmpl w:val="E4400B3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CB57F0D"/>
    <w:multiLevelType w:val="multilevel"/>
    <w:tmpl w:val="CFAC91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D237FA2"/>
    <w:multiLevelType w:val="multilevel"/>
    <w:tmpl w:val="2DD01206"/>
    <w:lvl w:ilvl="0">
      <w:start w:val="1"/>
      <w:numFmt w:val="lowerLetter"/>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DEF03D6"/>
    <w:multiLevelType w:val="multilevel"/>
    <w:tmpl w:val="CFAC91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777D65"/>
    <w:multiLevelType w:val="multilevel"/>
    <w:tmpl w:val="5D18E0E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50"/>
  </w:num>
  <w:num w:numId="3">
    <w:abstractNumId w:val="62"/>
  </w:num>
  <w:num w:numId="4">
    <w:abstractNumId w:val="59"/>
  </w:num>
  <w:num w:numId="5">
    <w:abstractNumId w:val="25"/>
  </w:num>
  <w:num w:numId="6">
    <w:abstractNumId w:val="54"/>
  </w:num>
  <w:num w:numId="7">
    <w:abstractNumId w:val="66"/>
  </w:num>
  <w:num w:numId="8">
    <w:abstractNumId w:val="45"/>
  </w:num>
  <w:num w:numId="9">
    <w:abstractNumId w:val="26"/>
  </w:num>
  <w:num w:numId="10">
    <w:abstractNumId w:val="28"/>
  </w:num>
  <w:num w:numId="11">
    <w:abstractNumId w:val="77"/>
  </w:num>
  <w:num w:numId="12">
    <w:abstractNumId w:val="36"/>
  </w:num>
  <w:num w:numId="13">
    <w:abstractNumId w:val="73"/>
  </w:num>
  <w:num w:numId="14">
    <w:abstractNumId w:val="64"/>
  </w:num>
  <w:num w:numId="15">
    <w:abstractNumId w:val="39"/>
  </w:num>
  <w:num w:numId="16">
    <w:abstractNumId w:val="80"/>
  </w:num>
  <w:num w:numId="17">
    <w:abstractNumId w:val="32"/>
  </w:num>
  <w:num w:numId="18">
    <w:abstractNumId w:val="65"/>
  </w:num>
  <w:num w:numId="19">
    <w:abstractNumId w:val="71"/>
  </w:num>
  <w:num w:numId="20">
    <w:abstractNumId w:val="69"/>
  </w:num>
  <w:num w:numId="21">
    <w:abstractNumId w:val="94"/>
  </w:num>
  <w:num w:numId="22">
    <w:abstractNumId w:val="52"/>
  </w:num>
  <w:num w:numId="23">
    <w:abstractNumId w:val="68"/>
  </w:num>
  <w:num w:numId="24">
    <w:abstractNumId w:val="76"/>
  </w:num>
  <w:num w:numId="25">
    <w:abstractNumId w:val="22"/>
  </w:num>
  <w:num w:numId="26">
    <w:abstractNumId w:val="44"/>
  </w:num>
  <w:num w:numId="27">
    <w:abstractNumId w:val="49"/>
  </w:num>
  <w:num w:numId="28">
    <w:abstractNumId w:val="33"/>
  </w:num>
  <w:num w:numId="29">
    <w:abstractNumId w:val="89"/>
  </w:num>
  <w:num w:numId="30">
    <w:abstractNumId w:val="37"/>
  </w:num>
  <w:num w:numId="31">
    <w:abstractNumId w:val="81"/>
  </w:num>
  <w:num w:numId="32">
    <w:abstractNumId w:val="78"/>
  </w:num>
  <w:num w:numId="33">
    <w:abstractNumId w:val="40"/>
  </w:num>
  <w:num w:numId="34">
    <w:abstractNumId w:val="46"/>
  </w:num>
  <w:num w:numId="35">
    <w:abstractNumId w:val="23"/>
  </w:num>
  <w:num w:numId="36">
    <w:abstractNumId w:val="88"/>
  </w:num>
  <w:num w:numId="37">
    <w:abstractNumId w:val="21"/>
  </w:num>
  <w:num w:numId="38">
    <w:abstractNumId w:val="35"/>
  </w:num>
  <w:num w:numId="39">
    <w:abstractNumId w:val="85"/>
  </w:num>
  <w:num w:numId="40">
    <w:abstractNumId w:val="60"/>
  </w:num>
  <w:num w:numId="41">
    <w:abstractNumId w:val="55"/>
  </w:num>
  <w:num w:numId="42">
    <w:abstractNumId w:val="51"/>
  </w:num>
  <w:num w:numId="43">
    <w:abstractNumId w:val="42"/>
  </w:num>
  <w:num w:numId="44">
    <w:abstractNumId w:val="82"/>
  </w:num>
  <w:num w:numId="45">
    <w:abstractNumId w:val="75"/>
  </w:num>
  <w:num w:numId="46">
    <w:abstractNumId w:val="58"/>
  </w:num>
  <w:num w:numId="47">
    <w:abstractNumId w:val="47"/>
  </w:num>
  <w:num w:numId="48">
    <w:abstractNumId w:val="67"/>
  </w:num>
  <w:num w:numId="49">
    <w:abstractNumId w:val="84"/>
  </w:num>
  <w:num w:numId="50">
    <w:abstractNumId w:val="38"/>
  </w:num>
  <w:num w:numId="51">
    <w:abstractNumId w:val="61"/>
  </w:num>
  <w:num w:numId="52">
    <w:abstractNumId w:val="92"/>
  </w:num>
  <w:num w:numId="53">
    <w:abstractNumId w:val="74"/>
  </w:num>
  <w:num w:numId="54">
    <w:abstractNumId w:val="91"/>
  </w:num>
  <w:num w:numId="55">
    <w:abstractNumId w:val="57"/>
  </w:num>
  <w:num w:numId="56">
    <w:abstractNumId w:val="41"/>
  </w:num>
  <w:num w:numId="57">
    <w:abstractNumId w:val="48"/>
  </w:num>
  <w:num w:numId="58">
    <w:abstractNumId w:val="53"/>
  </w:num>
  <w:num w:numId="59">
    <w:abstractNumId w:val="79"/>
  </w:num>
  <w:num w:numId="60">
    <w:abstractNumId w:val="56"/>
  </w:num>
  <w:num w:numId="61">
    <w:abstractNumId w:val="43"/>
  </w:num>
  <w:num w:numId="62">
    <w:abstractNumId w:val="90"/>
  </w:num>
  <w:num w:numId="63">
    <w:abstractNumId w:val="70"/>
  </w:num>
  <w:num w:numId="64">
    <w:abstractNumId w:val="29"/>
  </w:num>
  <w:num w:numId="65">
    <w:abstractNumId w:val="31"/>
  </w:num>
  <w:num w:numId="66">
    <w:abstractNumId w:val="86"/>
  </w:num>
  <w:num w:numId="67">
    <w:abstractNumId w:val="87"/>
  </w:num>
  <w:num w:numId="68">
    <w:abstractNumId w:val="72"/>
  </w:num>
  <w:num w:numId="69">
    <w:abstractNumId w:val="83"/>
  </w:num>
  <w:num w:numId="70">
    <w:abstractNumId w:val="63"/>
  </w:num>
  <w:num w:numId="71">
    <w:abstractNumId w:val="27"/>
  </w:num>
  <w:num w:numId="72">
    <w:abstractNumId w:val="30"/>
  </w:num>
  <w:num w:numId="73">
    <w:abstractNumId w:val="34"/>
  </w:num>
  <w:num w:numId="74">
    <w:abstractNumId w:val="9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60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12"/>
    <w:rsid w:val="00000312"/>
    <w:rsid w:val="0000063B"/>
    <w:rsid w:val="000021FE"/>
    <w:rsid w:val="00002263"/>
    <w:rsid w:val="00002329"/>
    <w:rsid w:val="000024D7"/>
    <w:rsid w:val="000029C1"/>
    <w:rsid w:val="00003E6A"/>
    <w:rsid w:val="000045CA"/>
    <w:rsid w:val="0000701C"/>
    <w:rsid w:val="00010366"/>
    <w:rsid w:val="00011B6F"/>
    <w:rsid w:val="000139A9"/>
    <w:rsid w:val="00014270"/>
    <w:rsid w:val="00014E50"/>
    <w:rsid w:val="00014E7D"/>
    <w:rsid w:val="00015CDC"/>
    <w:rsid w:val="0001663B"/>
    <w:rsid w:val="00022200"/>
    <w:rsid w:val="00022EFA"/>
    <w:rsid w:val="00023312"/>
    <w:rsid w:val="000249D5"/>
    <w:rsid w:val="000263BD"/>
    <w:rsid w:val="0002695A"/>
    <w:rsid w:val="00026EC3"/>
    <w:rsid w:val="000275F5"/>
    <w:rsid w:val="00027CD1"/>
    <w:rsid w:val="00030284"/>
    <w:rsid w:val="0003222A"/>
    <w:rsid w:val="0003367E"/>
    <w:rsid w:val="00033E0B"/>
    <w:rsid w:val="0003428B"/>
    <w:rsid w:val="000349A1"/>
    <w:rsid w:val="000352B7"/>
    <w:rsid w:val="00035A5D"/>
    <w:rsid w:val="00036A5B"/>
    <w:rsid w:val="00036CC2"/>
    <w:rsid w:val="00037615"/>
    <w:rsid w:val="00037A0A"/>
    <w:rsid w:val="00037C2D"/>
    <w:rsid w:val="00040EA0"/>
    <w:rsid w:val="00040F59"/>
    <w:rsid w:val="00042486"/>
    <w:rsid w:val="00042B81"/>
    <w:rsid w:val="00042CA3"/>
    <w:rsid w:val="00042EEB"/>
    <w:rsid w:val="00043A6F"/>
    <w:rsid w:val="00043BE6"/>
    <w:rsid w:val="00043F14"/>
    <w:rsid w:val="00044F02"/>
    <w:rsid w:val="00046293"/>
    <w:rsid w:val="0004679F"/>
    <w:rsid w:val="0005042A"/>
    <w:rsid w:val="00051865"/>
    <w:rsid w:val="00051ABF"/>
    <w:rsid w:val="0005206C"/>
    <w:rsid w:val="00053828"/>
    <w:rsid w:val="00053DC2"/>
    <w:rsid w:val="00054B09"/>
    <w:rsid w:val="000551F1"/>
    <w:rsid w:val="00056979"/>
    <w:rsid w:val="00056D7F"/>
    <w:rsid w:val="00057AB9"/>
    <w:rsid w:val="00057C9C"/>
    <w:rsid w:val="00057E19"/>
    <w:rsid w:val="00060C94"/>
    <w:rsid w:val="00060D59"/>
    <w:rsid w:val="00063D2D"/>
    <w:rsid w:val="000648C9"/>
    <w:rsid w:val="00065EE0"/>
    <w:rsid w:val="00066815"/>
    <w:rsid w:val="0006689E"/>
    <w:rsid w:val="000668F3"/>
    <w:rsid w:val="00066A24"/>
    <w:rsid w:val="00066A32"/>
    <w:rsid w:val="00066C0F"/>
    <w:rsid w:val="00066C92"/>
    <w:rsid w:val="00067173"/>
    <w:rsid w:val="00067B63"/>
    <w:rsid w:val="00067D64"/>
    <w:rsid w:val="000707C5"/>
    <w:rsid w:val="000709D7"/>
    <w:rsid w:val="00070BD4"/>
    <w:rsid w:val="000721FB"/>
    <w:rsid w:val="000727C2"/>
    <w:rsid w:val="000730EF"/>
    <w:rsid w:val="00073419"/>
    <w:rsid w:val="0007431C"/>
    <w:rsid w:val="00074929"/>
    <w:rsid w:val="000761D3"/>
    <w:rsid w:val="00076299"/>
    <w:rsid w:val="00076B0E"/>
    <w:rsid w:val="00076E83"/>
    <w:rsid w:val="00082F85"/>
    <w:rsid w:val="00083F11"/>
    <w:rsid w:val="000840FF"/>
    <w:rsid w:val="0008482E"/>
    <w:rsid w:val="00084F29"/>
    <w:rsid w:val="00085982"/>
    <w:rsid w:val="00087A4A"/>
    <w:rsid w:val="0009017D"/>
    <w:rsid w:val="000904E9"/>
    <w:rsid w:val="0009053B"/>
    <w:rsid w:val="000919DF"/>
    <w:rsid w:val="00091CFE"/>
    <w:rsid w:val="000936ED"/>
    <w:rsid w:val="00093DCE"/>
    <w:rsid w:val="000969D9"/>
    <w:rsid w:val="00097C40"/>
    <w:rsid w:val="000A0E22"/>
    <w:rsid w:val="000A10F3"/>
    <w:rsid w:val="000A14F0"/>
    <w:rsid w:val="000A1F43"/>
    <w:rsid w:val="000A346B"/>
    <w:rsid w:val="000A36BB"/>
    <w:rsid w:val="000B00BA"/>
    <w:rsid w:val="000B02BD"/>
    <w:rsid w:val="000B0A34"/>
    <w:rsid w:val="000B137D"/>
    <w:rsid w:val="000B1517"/>
    <w:rsid w:val="000B318E"/>
    <w:rsid w:val="000B38E6"/>
    <w:rsid w:val="000B4444"/>
    <w:rsid w:val="000B4D19"/>
    <w:rsid w:val="000B5A84"/>
    <w:rsid w:val="000B5C3C"/>
    <w:rsid w:val="000B64EE"/>
    <w:rsid w:val="000B7D38"/>
    <w:rsid w:val="000B7D79"/>
    <w:rsid w:val="000C1195"/>
    <w:rsid w:val="000C1AA2"/>
    <w:rsid w:val="000C27E3"/>
    <w:rsid w:val="000C2F2E"/>
    <w:rsid w:val="000C3A74"/>
    <w:rsid w:val="000C4757"/>
    <w:rsid w:val="000C4AD8"/>
    <w:rsid w:val="000C4C59"/>
    <w:rsid w:val="000C4F4D"/>
    <w:rsid w:val="000C54FD"/>
    <w:rsid w:val="000C581D"/>
    <w:rsid w:val="000C6598"/>
    <w:rsid w:val="000C7188"/>
    <w:rsid w:val="000C79E8"/>
    <w:rsid w:val="000D03CF"/>
    <w:rsid w:val="000D1053"/>
    <w:rsid w:val="000D1522"/>
    <w:rsid w:val="000D229E"/>
    <w:rsid w:val="000D28C6"/>
    <w:rsid w:val="000D34D0"/>
    <w:rsid w:val="000D45C2"/>
    <w:rsid w:val="000D4A68"/>
    <w:rsid w:val="000D65C6"/>
    <w:rsid w:val="000D7546"/>
    <w:rsid w:val="000E0D7D"/>
    <w:rsid w:val="000E0FA0"/>
    <w:rsid w:val="000E1493"/>
    <w:rsid w:val="000E1C90"/>
    <w:rsid w:val="000E206F"/>
    <w:rsid w:val="000E2647"/>
    <w:rsid w:val="000E35BE"/>
    <w:rsid w:val="000E3B50"/>
    <w:rsid w:val="000E4943"/>
    <w:rsid w:val="000E4D14"/>
    <w:rsid w:val="000E54CE"/>
    <w:rsid w:val="000F195E"/>
    <w:rsid w:val="000F1A41"/>
    <w:rsid w:val="000F3B8C"/>
    <w:rsid w:val="000F49A4"/>
    <w:rsid w:val="000F4BE5"/>
    <w:rsid w:val="000F4C4A"/>
    <w:rsid w:val="000F58E2"/>
    <w:rsid w:val="000F5FC8"/>
    <w:rsid w:val="000F7792"/>
    <w:rsid w:val="000F7FFE"/>
    <w:rsid w:val="0010003C"/>
    <w:rsid w:val="001034CE"/>
    <w:rsid w:val="001040E8"/>
    <w:rsid w:val="00104827"/>
    <w:rsid w:val="00104FE9"/>
    <w:rsid w:val="00106D3E"/>
    <w:rsid w:val="00106F1A"/>
    <w:rsid w:val="00107545"/>
    <w:rsid w:val="00107C2B"/>
    <w:rsid w:val="00107FC8"/>
    <w:rsid w:val="0011108B"/>
    <w:rsid w:val="00111459"/>
    <w:rsid w:val="00111C5A"/>
    <w:rsid w:val="001126B0"/>
    <w:rsid w:val="00113478"/>
    <w:rsid w:val="00113FAC"/>
    <w:rsid w:val="00114224"/>
    <w:rsid w:val="00114BF9"/>
    <w:rsid w:val="00117880"/>
    <w:rsid w:val="0012011A"/>
    <w:rsid w:val="00120A24"/>
    <w:rsid w:val="00121A81"/>
    <w:rsid w:val="00121B7E"/>
    <w:rsid w:val="00121EE9"/>
    <w:rsid w:val="001224CE"/>
    <w:rsid w:val="00123762"/>
    <w:rsid w:val="00123CB4"/>
    <w:rsid w:val="00123E31"/>
    <w:rsid w:val="00124EA6"/>
    <w:rsid w:val="0012522F"/>
    <w:rsid w:val="00125DBC"/>
    <w:rsid w:val="00125F36"/>
    <w:rsid w:val="001265C3"/>
    <w:rsid w:val="0012679D"/>
    <w:rsid w:val="001271EC"/>
    <w:rsid w:val="00130119"/>
    <w:rsid w:val="00131A43"/>
    <w:rsid w:val="00131EA4"/>
    <w:rsid w:val="00133002"/>
    <w:rsid w:val="001345DF"/>
    <w:rsid w:val="001361EF"/>
    <w:rsid w:val="001366FB"/>
    <w:rsid w:val="00137859"/>
    <w:rsid w:val="001400C8"/>
    <w:rsid w:val="00140398"/>
    <w:rsid w:val="00140B95"/>
    <w:rsid w:val="00141798"/>
    <w:rsid w:val="001420DF"/>
    <w:rsid w:val="00142B43"/>
    <w:rsid w:val="00142F1B"/>
    <w:rsid w:val="0014595D"/>
    <w:rsid w:val="00146706"/>
    <w:rsid w:val="001500B9"/>
    <w:rsid w:val="0015012D"/>
    <w:rsid w:val="001511CB"/>
    <w:rsid w:val="00151F14"/>
    <w:rsid w:val="00152234"/>
    <w:rsid w:val="00152E48"/>
    <w:rsid w:val="0015366C"/>
    <w:rsid w:val="001544F4"/>
    <w:rsid w:val="0015487B"/>
    <w:rsid w:val="00154EB5"/>
    <w:rsid w:val="00156507"/>
    <w:rsid w:val="00160B27"/>
    <w:rsid w:val="00161BEE"/>
    <w:rsid w:val="00162352"/>
    <w:rsid w:val="00162510"/>
    <w:rsid w:val="001625CB"/>
    <w:rsid w:val="00162AAA"/>
    <w:rsid w:val="00163420"/>
    <w:rsid w:val="0016367E"/>
    <w:rsid w:val="00163A34"/>
    <w:rsid w:val="0016670B"/>
    <w:rsid w:val="001723F1"/>
    <w:rsid w:val="00172F7F"/>
    <w:rsid w:val="001735C6"/>
    <w:rsid w:val="00174DB1"/>
    <w:rsid w:val="00174F5E"/>
    <w:rsid w:val="001757AA"/>
    <w:rsid w:val="001757EB"/>
    <w:rsid w:val="00176C8B"/>
    <w:rsid w:val="0017779C"/>
    <w:rsid w:val="00177E19"/>
    <w:rsid w:val="001805BF"/>
    <w:rsid w:val="00180849"/>
    <w:rsid w:val="0018185D"/>
    <w:rsid w:val="00181CD3"/>
    <w:rsid w:val="00183006"/>
    <w:rsid w:val="00183B19"/>
    <w:rsid w:val="00184618"/>
    <w:rsid w:val="0018464B"/>
    <w:rsid w:val="001849FE"/>
    <w:rsid w:val="00186ED1"/>
    <w:rsid w:val="00187906"/>
    <w:rsid w:val="0019059B"/>
    <w:rsid w:val="00190A8C"/>
    <w:rsid w:val="00190D8D"/>
    <w:rsid w:val="0019120C"/>
    <w:rsid w:val="00196B99"/>
    <w:rsid w:val="00196E40"/>
    <w:rsid w:val="001973D6"/>
    <w:rsid w:val="001A0DAE"/>
    <w:rsid w:val="001A0FFE"/>
    <w:rsid w:val="001A129F"/>
    <w:rsid w:val="001A2191"/>
    <w:rsid w:val="001A3393"/>
    <w:rsid w:val="001A35D6"/>
    <w:rsid w:val="001A3694"/>
    <w:rsid w:val="001A51C4"/>
    <w:rsid w:val="001A5292"/>
    <w:rsid w:val="001A5D4A"/>
    <w:rsid w:val="001A612F"/>
    <w:rsid w:val="001A63C8"/>
    <w:rsid w:val="001A65D8"/>
    <w:rsid w:val="001B2C5A"/>
    <w:rsid w:val="001B40AC"/>
    <w:rsid w:val="001B4522"/>
    <w:rsid w:val="001B4E7B"/>
    <w:rsid w:val="001B501D"/>
    <w:rsid w:val="001B50C6"/>
    <w:rsid w:val="001B61B8"/>
    <w:rsid w:val="001B64F5"/>
    <w:rsid w:val="001B6B14"/>
    <w:rsid w:val="001C39A6"/>
    <w:rsid w:val="001C39FB"/>
    <w:rsid w:val="001C3BD0"/>
    <w:rsid w:val="001C5CFC"/>
    <w:rsid w:val="001C6542"/>
    <w:rsid w:val="001C678E"/>
    <w:rsid w:val="001C6A77"/>
    <w:rsid w:val="001C6EF2"/>
    <w:rsid w:val="001C7C92"/>
    <w:rsid w:val="001C7E50"/>
    <w:rsid w:val="001D0333"/>
    <w:rsid w:val="001D1C85"/>
    <w:rsid w:val="001D45A6"/>
    <w:rsid w:val="001D4EEA"/>
    <w:rsid w:val="001D55F4"/>
    <w:rsid w:val="001D5768"/>
    <w:rsid w:val="001D60B2"/>
    <w:rsid w:val="001D62B0"/>
    <w:rsid w:val="001D7118"/>
    <w:rsid w:val="001E1B28"/>
    <w:rsid w:val="001E277E"/>
    <w:rsid w:val="001E35A7"/>
    <w:rsid w:val="001E3E50"/>
    <w:rsid w:val="001E541C"/>
    <w:rsid w:val="001E54BC"/>
    <w:rsid w:val="001E5F09"/>
    <w:rsid w:val="001F30ED"/>
    <w:rsid w:val="001F33D6"/>
    <w:rsid w:val="001F35AA"/>
    <w:rsid w:val="001F3698"/>
    <w:rsid w:val="001F36F6"/>
    <w:rsid w:val="001F3E2F"/>
    <w:rsid w:val="001F4E82"/>
    <w:rsid w:val="001F5DC7"/>
    <w:rsid w:val="001F6CAD"/>
    <w:rsid w:val="0020055F"/>
    <w:rsid w:val="00200770"/>
    <w:rsid w:val="00200FB4"/>
    <w:rsid w:val="00201404"/>
    <w:rsid w:val="0020376D"/>
    <w:rsid w:val="00204066"/>
    <w:rsid w:val="002041E7"/>
    <w:rsid w:val="00204240"/>
    <w:rsid w:val="002046E0"/>
    <w:rsid w:val="00205166"/>
    <w:rsid w:val="0020523F"/>
    <w:rsid w:val="002055FE"/>
    <w:rsid w:val="002059BF"/>
    <w:rsid w:val="00206568"/>
    <w:rsid w:val="00206A45"/>
    <w:rsid w:val="00210017"/>
    <w:rsid w:val="002102AB"/>
    <w:rsid w:val="002106BD"/>
    <w:rsid w:val="0021277F"/>
    <w:rsid w:val="00213199"/>
    <w:rsid w:val="002131A1"/>
    <w:rsid w:val="00213294"/>
    <w:rsid w:val="00214BF9"/>
    <w:rsid w:val="00214F77"/>
    <w:rsid w:val="002168F3"/>
    <w:rsid w:val="002176D2"/>
    <w:rsid w:val="00217F69"/>
    <w:rsid w:val="0022096F"/>
    <w:rsid w:val="00220983"/>
    <w:rsid w:val="00220CCF"/>
    <w:rsid w:val="002213EC"/>
    <w:rsid w:val="00221BC4"/>
    <w:rsid w:val="00221F14"/>
    <w:rsid w:val="00222C37"/>
    <w:rsid w:val="00223601"/>
    <w:rsid w:val="00223C6A"/>
    <w:rsid w:val="00224074"/>
    <w:rsid w:val="002244CB"/>
    <w:rsid w:val="00224E6E"/>
    <w:rsid w:val="002254C9"/>
    <w:rsid w:val="00226121"/>
    <w:rsid w:val="00226F92"/>
    <w:rsid w:val="00227330"/>
    <w:rsid w:val="00227701"/>
    <w:rsid w:val="00230535"/>
    <w:rsid w:val="002312D2"/>
    <w:rsid w:val="002322B7"/>
    <w:rsid w:val="002333F3"/>
    <w:rsid w:val="00233AC1"/>
    <w:rsid w:val="00233C5F"/>
    <w:rsid w:val="00234485"/>
    <w:rsid w:val="00234712"/>
    <w:rsid w:val="00234E16"/>
    <w:rsid w:val="00236F7B"/>
    <w:rsid w:val="0023735A"/>
    <w:rsid w:val="0023782A"/>
    <w:rsid w:val="0024037C"/>
    <w:rsid w:val="00240B0C"/>
    <w:rsid w:val="00240F4D"/>
    <w:rsid w:val="00241F09"/>
    <w:rsid w:val="00242CBC"/>
    <w:rsid w:val="002432EC"/>
    <w:rsid w:val="00243762"/>
    <w:rsid w:val="00243C24"/>
    <w:rsid w:val="00244123"/>
    <w:rsid w:val="00244220"/>
    <w:rsid w:val="0024486F"/>
    <w:rsid w:val="00245439"/>
    <w:rsid w:val="00246278"/>
    <w:rsid w:val="002468AD"/>
    <w:rsid w:val="00252468"/>
    <w:rsid w:val="00253593"/>
    <w:rsid w:val="00253CEB"/>
    <w:rsid w:val="00253F69"/>
    <w:rsid w:val="002541F0"/>
    <w:rsid w:val="00254379"/>
    <w:rsid w:val="00254B9C"/>
    <w:rsid w:val="0025517D"/>
    <w:rsid w:val="002552A0"/>
    <w:rsid w:val="00255336"/>
    <w:rsid w:val="0025680C"/>
    <w:rsid w:val="002601B1"/>
    <w:rsid w:val="00260EAA"/>
    <w:rsid w:val="00261A68"/>
    <w:rsid w:val="002622A6"/>
    <w:rsid w:val="00262AC6"/>
    <w:rsid w:val="00262B93"/>
    <w:rsid w:val="00263086"/>
    <w:rsid w:val="00263413"/>
    <w:rsid w:val="002636A0"/>
    <w:rsid w:val="00265DFD"/>
    <w:rsid w:val="00266032"/>
    <w:rsid w:val="00266E82"/>
    <w:rsid w:val="0026729F"/>
    <w:rsid w:val="00267A3B"/>
    <w:rsid w:val="00271026"/>
    <w:rsid w:val="00272A36"/>
    <w:rsid w:val="00273858"/>
    <w:rsid w:val="0027456F"/>
    <w:rsid w:val="00275AEA"/>
    <w:rsid w:val="00276409"/>
    <w:rsid w:val="0027787D"/>
    <w:rsid w:val="002779D6"/>
    <w:rsid w:val="00277F21"/>
    <w:rsid w:val="002800DD"/>
    <w:rsid w:val="00280821"/>
    <w:rsid w:val="0028231E"/>
    <w:rsid w:val="00282A2D"/>
    <w:rsid w:val="0028363C"/>
    <w:rsid w:val="00283D1E"/>
    <w:rsid w:val="002852AE"/>
    <w:rsid w:val="0028651F"/>
    <w:rsid w:val="00286AE7"/>
    <w:rsid w:val="00287655"/>
    <w:rsid w:val="00287A0C"/>
    <w:rsid w:val="00291A6A"/>
    <w:rsid w:val="00291F36"/>
    <w:rsid w:val="00292BE3"/>
    <w:rsid w:val="00293A1C"/>
    <w:rsid w:val="00293EBF"/>
    <w:rsid w:val="00296624"/>
    <w:rsid w:val="00296FA7"/>
    <w:rsid w:val="00297247"/>
    <w:rsid w:val="00297D33"/>
    <w:rsid w:val="00297F2E"/>
    <w:rsid w:val="002A14BF"/>
    <w:rsid w:val="002A199B"/>
    <w:rsid w:val="002A288A"/>
    <w:rsid w:val="002A2E11"/>
    <w:rsid w:val="002A3341"/>
    <w:rsid w:val="002A3869"/>
    <w:rsid w:val="002A3D91"/>
    <w:rsid w:val="002A430C"/>
    <w:rsid w:val="002A52EB"/>
    <w:rsid w:val="002A6800"/>
    <w:rsid w:val="002A767F"/>
    <w:rsid w:val="002A7750"/>
    <w:rsid w:val="002A7968"/>
    <w:rsid w:val="002A7A2C"/>
    <w:rsid w:val="002B0DEF"/>
    <w:rsid w:val="002B1BAF"/>
    <w:rsid w:val="002B2C9D"/>
    <w:rsid w:val="002B3A93"/>
    <w:rsid w:val="002B5CCE"/>
    <w:rsid w:val="002C210B"/>
    <w:rsid w:val="002C3264"/>
    <w:rsid w:val="002C414E"/>
    <w:rsid w:val="002C507E"/>
    <w:rsid w:val="002D1A40"/>
    <w:rsid w:val="002D1A73"/>
    <w:rsid w:val="002D4D0A"/>
    <w:rsid w:val="002E16E2"/>
    <w:rsid w:val="002E1A0B"/>
    <w:rsid w:val="002E1DF9"/>
    <w:rsid w:val="002E2004"/>
    <w:rsid w:val="002E2AD9"/>
    <w:rsid w:val="002E464B"/>
    <w:rsid w:val="002E4826"/>
    <w:rsid w:val="002E4F21"/>
    <w:rsid w:val="002E53A8"/>
    <w:rsid w:val="002E54AA"/>
    <w:rsid w:val="002E5AF4"/>
    <w:rsid w:val="002E69C1"/>
    <w:rsid w:val="002E6B1E"/>
    <w:rsid w:val="002E6D03"/>
    <w:rsid w:val="002E71AD"/>
    <w:rsid w:val="002E740E"/>
    <w:rsid w:val="002E7AD3"/>
    <w:rsid w:val="002F02EE"/>
    <w:rsid w:val="002F0E93"/>
    <w:rsid w:val="002F1AE0"/>
    <w:rsid w:val="002F24D8"/>
    <w:rsid w:val="002F2EB3"/>
    <w:rsid w:val="002F3F31"/>
    <w:rsid w:val="002F4AE9"/>
    <w:rsid w:val="002F4C55"/>
    <w:rsid w:val="002F7635"/>
    <w:rsid w:val="002F7B63"/>
    <w:rsid w:val="003001C1"/>
    <w:rsid w:val="00301434"/>
    <w:rsid w:val="00301DCB"/>
    <w:rsid w:val="00303522"/>
    <w:rsid w:val="00303985"/>
    <w:rsid w:val="003051F3"/>
    <w:rsid w:val="00305909"/>
    <w:rsid w:val="0030744A"/>
    <w:rsid w:val="00310454"/>
    <w:rsid w:val="00310C6A"/>
    <w:rsid w:val="00310C86"/>
    <w:rsid w:val="00310EF8"/>
    <w:rsid w:val="00311A64"/>
    <w:rsid w:val="00312B08"/>
    <w:rsid w:val="003150D0"/>
    <w:rsid w:val="00315924"/>
    <w:rsid w:val="00316ED1"/>
    <w:rsid w:val="00317826"/>
    <w:rsid w:val="00320C6A"/>
    <w:rsid w:val="0032318D"/>
    <w:rsid w:val="0032544E"/>
    <w:rsid w:val="0032559B"/>
    <w:rsid w:val="00325990"/>
    <w:rsid w:val="00325B70"/>
    <w:rsid w:val="00327A85"/>
    <w:rsid w:val="0033031E"/>
    <w:rsid w:val="00330A55"/>
    <w:rsid w:val="003325C5"/>
    <w:rsid w:val="0033286E"/>
    <w:rsid w:val="0033384C"/>
    <w:rsid w:val="00333A38"/>
    <w:rsid w:val="00333ECD"/>
    <w:rsid w:val="00334593"/>
    <w:rsid w:val="003345F9"/>
    <w:rsid w:val="00335D7C"/>
    <w:rsid w:val="00335DB9"/>
    <w:rsid w:val="00336DFA"/>
    <w:rsid w:val="00340A13"/>
    <w:rsid w:val="00340DBC"/>
    <w:rsid w:val="003411A8"/>
    <w:rsid w:val="003415DC"/>
    <w:rsid w:val="0034248C"/>
    <w:rsid w:val="00342C0D"/>
    <w:rsid w:val="003438E3"/>
    <w:rsid w:val="00344927"/>
    <w:rsid w:val="00344C62"/>
    <w:rsid w:val="00346D09"/>
    <w:rsid w:val="00347341"/>
    <w:rsid w:val="003475F0"/>
    <w:rsid w:val="00347FB3"/>
    <w:rsid w:val="00350DC4"/>
    <w:rsid w:val="00351EA9"/>
    <w:rsid w:val="00352200"/>
    <w:rsid w:val="0035236C"/>
    <w:rsid w:val="00352377"/>
    <w:rsid w:val="00352B59"/>
    <w:rsid w:val="00352FB4"/>
    <w:rsid w:val="003530F8"/>
    <w:rsid w:val="003532A6"/>
    <w:rsid w:val="00353C04"/>
    <w:rsid w:val="00356384"/>
    <w:rsid w:val="00356727"/>
    <w:rsid w:val="00361CBF"/>
    <w:rsid w:val="00362152"/>
    <w:rsid w:val="00362557"/>
    <w:rsid w:val="00365872"/>
    <w:rsid w:val="00365E0B"/>
    <w:rsid w:val="00366723"/>
    <w:rsid w:val="00367800"/>
    <w:rsid w:val="0037038C"/>
    <w:rsid w:val="003710EB"/>
    <w:rsid w:val="0037164B"/>
    <w:rsid w:val="003719BF"/>
    <w:rsid w:val="00373057"/>
    <w:rsid w:val="00375F6B"/>
    <w:rsid w:val="003803D9"/>
    <w:rsid w:val="0038042E"/>
    <w:rsid w:val="00383B0E"/>
    <w:rsid w:val="0038496F"/>
    <w:rsid w:val="00384FDF"/>
    <w:rsid w:val="00385848"/>
    <w:rsid w:val="00385AD1"/>
    <w:rsid w:val="00386E94"/>
    <w:rsid w:val="0039050B"/>
    <w:rsid w:val="00390864"/>
    <w:rsid w:val="00390E1C"/>
    <w:rsid w:val="00390EE0"/>
    <w:rsid w:val="003921E3"/>
    <w:rsid w:val="00393263"/>
    <w:rsid w:val="00394417"/>
    <w:rsid w:val="003949B1"/>
    <w:rsid w:val="00394AB9"/>
    <w:rsid w:val="003962F6"/>
    <w:rsid w:val="00396A57"/>
    <w:rsid w:val="00396D92"/>
    <w:rsid w:val="003970DE"/>
    <w:rsid w:val="00397F70"/>
    <w:rsid w:val="003A1C14"/>
    <w:rsid w:val="003A21D5"/>
    <w:rsid w:val="003A2AF6"/>
    <w:rsid w:val="003A3401"/>
    <w:rsid w:val="003A3585"/>
    <w:rsid w:val="003A3B3E"/>
    <w:rsid w:val="003A6A34"/>
    <w:rsid w:val="003A6A50"/>
    <w:rsid w:val="003A6BFE"/>
    <w:rsid w:val="003A70BC"/>
    <w:rsid w:val="003B0A74"/>
    <w:rsid w:val="003B0C4F"/>
    <w:rsid w:val="003B16B6"/>
    <w:rsid w:val="003B298C"/>
    <w:rsid w:val="003B305E"/>
    <w:rsid w:val="003B471B"/>
    <w:rsid w:val="003B4F4F"/>
    <w:rsid w:val="003B5BB3"/>
    <w:rsid w:val="003B5F5E"/>
    <w:rsid w:val="003B6044"/>
    <w:rsid w:val="003B66DD"/>
    <w:rsid w:val="003B6BB9"/>
    <w:rsid w:val="003B751F"/>
    <w:rsid w:val="003C09A8"/>
    <w:rsid w:val="003C09E6"/>
    <w:rsid w:val="003C0CE3"/>
    <w:rsid w:val="003C16E7"/>
    <w:rsid w:val="003C1BBA"/>
    <w:rsid w:val="003C2198"/>
    <w:rsid w:val="003C2293"/>
    <w:rsid w:val="003C4018"/>
    <w:rsid w:val="003C6DA1"/>
    <w:rsid w:val="003C77BC"/>
    <w:rsid w:val="003C7B03"/>
    <w:rsid w:val="003C7E0F"/>
    <w:rsid w:val="003C7E6A"/>
    <w:rsid w:val="003D102A"/>
    <w:rsid w:val="003D126A"/>
    <w:rsid w:val="003D199E"/>
    <w:rsid w:val="003D2C16"/>
    <w:rsid w:val="003D380E"/>
    <w:rsid w:val="003D3AE4"/>
    <w:rsid w:val="003D3F9E"/>
    <w:rsid w:val="003D48F5"/>
    <w:rsid w:val="003D63B0"/>
    <w:rsid w:val="003E08AD"/>
    <w:rsid w:val="003E09DF"/>
    <w:rsid w:val="003E289C"/>
    <w:rsid w:val="003E549B"/>
    <w:rsid w:val="003E577E"/>
    <w:rsid w:val="003E5DD4"/>
    <w:rsid w:val="003E6F0F"/>
    <w:rsid w:val="003E7552"/>
    <w:rsid w:val="003F08EE"/>
    <w:rsid w:val="003F1350"/>
    <w:rsid w:val="003F1553"/>
    <w:rsid w:val="003F234F"/>
    <w:rsid w:val="003F2B4A"/>
    <w:rsid w:val="003F35A9"/>
    <w:rsid w:val="003F59D9"/>
    <w:rsid w:val="003F6514"/>
    <w:rsid w:val="003F6649"/>
    <w:rsid w:val="0040009E"/>
    <w:rsid w:val="0040065A"/>
    <w:rsid w:val="00400725"/>
    <w:rsid w:val="004007BF"/>
    <w:rsid w:val="00401D16"/>
    <w:rsid w:val="004023E5"/>
    <w:rsid w:val="004026A0"/>
    <w:rsid w:val="004029E3"/>
    <w:rsid w:val="00403B26"/>
    <w:rsid w:val="00404D64"/>
    <w:rsid w:val="004053D9"/>
    <w:rsid w:val="00405916"/>
    <w:rsid w:val="00406252"/>
    <w:rsid w:val="00406591"/>
    <w:rsid w:val="00406602"/>
    <w:rsid w:val="00406638"/>
    <w:rsid w:val="00406DCD"/>
    <w:rsid w:val="0040748D"/>
    <w:rsid w:val="004106AF"/>
    <w:rsid w:val="00410D54"/>
    <w:rsid w:val="00411E4E"/>
    <w:rsid w:val="004124F5"/>
    <w:rsid w:val="00413E60"/>
    <w:rsid w:val="0041402C"/>
    <w:rsid w:val="00416856"/>
    <w:rsid w:val="00416AFC"/>
    <w:rsid w:val="0041795E"/>
    <w:rsid w:val="004179E9"/>
    <w:rsid w:val="00420B5F"/>
    <w:rsid w:val="00421852"/>
    <w:rsid w:val="004258A6"/>
    <w:rsid w:val="00425B44"/>
    <w:rsid w:val="004260E8"/>
    <w:rsid w:val="004267FE"/>
    <w:rsid w:val="00426927"/>
    <w:rsid w:val="004275D7"/>
    <w:rsid w:val="0042777C"/>
    <w:rsid w:val="00430284"/>
    <w:rsid w:val="004303B9"/>
    <w:rsid w:val="00431B02"/>
    <w:rsid w:val="00432A5F"/>
    <w:rsid w:val="00432B15"/>
    <w:rsid w:val="004340AB"/>
    <w:rsid w:val="004343C5"/>
    <w:rsid w:val="00435695"/>
    <w:rsid w:val="004361AB"/>
    <w:rsid w:val="004366A9"/>
    <w:rsid w:val="004404D2"/>
    <w:rsid w:val="00440E32"/>
    <w:rsid w:val="00441427"/>
    <w:rsid w:val="0044167B"/>
    <w:rsid w:val="00441E8C"/>
    <w:rsid w:val="00442427"/>
    <w:rsid w:val="00442BD8"/>
    <w:rsid w:val="00444E37"/>
    <w:rsid w:val="00445825"/>
    <w:rsid w:val="00446934"/>
    <w:rsid w:val="00446B78"/>
    <w:rsid w:val="0044726E"/>
    <w:rsid w:val="0044788A"/>
    <w:rsid w:val="00447B3D"/>
    <w:rsid w:val="00447DD7"/>
    <w:rsid w:val="00450024"/>
    <w:rsid w:val="00451282"/>
    <w:rsid w:val="0045174F"/>
    <w:rsid w:val="004517DB"/>
    <w:rsid w:val="00451F7F"/>
    <w:rsid w:val="00452FA7"/>
    <w:rsid w:val="004535D7"/>
    <w:rsid w:val="00454369"/>
    <w:rsid w:val="00454B5A"/>
    <w:rsid w:val="00455854"/>
    <w:rsid w:val="00455C03"/>
    <w:rsid w:val="00456320"/>
    <w:rsid w:val="00456471"/>
    <w:rsid w:val="00456B02"/>
    <w:rsid w:val="00457656"/>
    <w:rsid w:val="00457C7E"/>
    <w:rsid w:val="00457D16"/>
    <w:rsid w:val="004619A1"/>
    <w:rsid w:val="00461D21"/>
    <w:rsid w:val="0046238A"/>
    <w:rsid w:val="00463ABD"/>
    <w:rsid w:val="004646E6"/>
    <w:rsid w:val="00465727"/>
    <w:rsid w:val="00465CF6"/>
    <w:rsid w:val="004662F3"/>
    <w:rsid w:val="00467155"/>
    <w:rsid w:val="00467640"/>
    <w:rsid w:val="00470159"/>
    <w:rsid w:val="0047180A"/>
    <w:rsid w:val="00472C79"/>
    <w:rsid w:val="00473E44"/>
    <w:rsid w:val="004752DA"/>
    <w:rsid w:val="00475940"/>
    <w:rsid w:val="00475FFE"/>
    <w:rsid w:val="0047605D"/>
    <w:rsid w:val="004772A8"/>
    <w:rsid w:val="0047767A"/>
    <w:rsid w:val="0048112D"/>
    <w:rsid w:val="0048237E"/>
    <w:rsid w:val="00483529"/>
    <w:rsid w:val="00483DB9"/>
    <w:rsid w:val="00486227"/>
    <w:rsid w:val="00487471"/>
    <w:rsid w:val="00487C5C"/>
    <w:rsid w:val="004914AC"/>
    <w:rsid w:val="00491BF9"/>
    <w:rsid w:val="00491FF3"/>
    <w:rsid w:val="0049283A"/>
    <w:rsid w:val="00493046"/>
    <w:rsid w:val="0049403A"/>
    <w:rsid w:val="0049699D"/>
    <w:rsid w:val="00496F2E"/>
    <w:rsid w:val="0049758A"/>
    <w:rsid w:val="0049771B"/>
    <w:rsid w:val="004A09CE"/>
    <w:rsid w:val="004A0AEC"/>
    <w:rsid w:val="004A0C47"/>
    <w:rsid w:val="004A0F7D"/>
    <w:rsid w:val="004A1C6C"/>
    <w:rsid w:val="004A3C24"/>
    <w:rsid w:val="004A3D02"/>
    <w:rsid w:val="004A5671"/>
    <w:rsid w:val="004A711C"/>
    <w:rsid w:val="004B0DC8"/>
    <w:rsid w:val="004B13D9"/>
    <w:rsid w:val="004B1C0D"/>
    <w:rsid w:val="004B25C7"/>
    <w:rsid w:val="004B2C51"/>
    <w:rsid w:val="004B3BB4"/>
    <w:rsid w:val="004B402B"/>
    <w:rsid w:val="004B52AE"/>
    <w:rsid w:val="004B5977"/>
    <w:rsid w:val="004B5A49"/>
    <w:rsid w:val="004B6BE7"/>
    <w:rsid w:val="004B70EB"/>
    <w:rsid w:val="004B7414"/>
    <w:rsid w:val="004B7796"/>
    <w:rsid w:val="004C04A7"/>
    <w:rsid w:val="004C056C"/>
    <w:rsid w:val="004C05CE"/>
    <w:rsid w:val="004C0E41"/>
    <w:rsid w:val="004C33DE"/>
    <w:rsid w:val="004C3893"/>
    <w:rsid w:val="004C4AAA"/>
    <w:rsid w:val="004C55BC"/>
    <w:rsid w:val="004C769D"/>
    <w:rsid w:val="004C7A08"/>
    <w:rsid w:val="004D0D25"/>
    <w:rsid w:val="004D15EB"/>
    <w:rsid w:val="004D16B0"/>
    <w:rsid w:val="004D19BD"/>
    <w:rsid w:val="004D1D15"/>
    <w:rsid w:val="004D3146"/>
    <w:rsid w:val="004D392D"/>
    <w:rsid w:val="004D5694"/>
    <w:rsid w:val="004D5852"/>
    <w:rsid w:val="004D66D7"/>
    <w:rsid w:val="004E0725"/>
    <w:rsid w:val="004E0848"/>
    <w:rsid w:val="004E0A80"/>
    <w:rsid w:val="004E0EEA"/>
    <w:rsid w:val="004E2F35"/>
    <w:rsid w:val="004E306D"/>
    <w:rsid w:val="004E363E"/>
    <w:rsid w:val="004E4F81"/>
    <w:rsid w:val="004E6B74"/>
    <w:rsid w:val="004E6C86"/>
    <w:rsid w:val="004E745F"/>
    <w:rsid w:val="004E760A"/>
    <w:rsid w:val="004E7F49"/>
    <w:rsid w:val="004F072A"/>
    <w:rsid w:val="004F073F"/>
    <w:rsid w:val="004F16E3"/>
    <w:rsid w:val="004F1758"/>
    <w:rsid w:val="004F2C55"/>
    <w:rsid w:val="004F301D"/>
    <w:rsid w:val="004F3ED9"/>
    <w:rsid w:val="004F4628"/>
    <w:rsid w:val="004F4CD3"/>
    <w:rsid w:val="004F5048"/>
    <w:rsid w:val="004F52B1"/>
    <w:rsid w:val="004F617A"/>
    <w:rsid w:val="00500B2F"/>
    <w:rsid w:val="00502A76"/>
    <w:rsid w:val="00503DC7"/>
    <w:rsid w:val="00504B04"/>
    <w:rsid w:val="00505891"/>
    <w:rsid w:val="00507C3B"/>
    <w:rsid w:val="00511256"/>
    <w:rsid w:val="00512102"/>
    <w:rsid w:val="00512A42"/>
    <w:rsid w:val="00512CCD"/>
    <w:rsid w:val="0051367E"/>
    <w:rsid w:val="00513E08"/>
    <w:rsid w:val="0051415A"/>
    <w:rsid w:val="0051545D"/>
    <w:rsid w:val="00516334"/>
    <w:rsid w:val="00516E99"/>
    <w:rsid w:val="005205B2"/>
    <w:rsid w:val="00521C10"/>
    <w:rsid w:val="0052271A"/>
    <w:rsid w:val="00523D8E"/>
    <w:rsid w:val="005245A0"/>
    <w:rsid w:val="0052667C"/>
    <w:rsid w:val="0053013D"/>
    <w:rsid w:val="00530B02"/>
    <w:rsid w:val="00530B85"/>
    <w:rsid w:val="00532DD7"/>
    <w:rsid w:val="00532E3F"/>
    <w:rsid w:val="005344C9"/>
    <w:rsid w:val="005354E5"/>
    <w:rsid w:val="00535E59"/>
    <w:rsid w:val="00536054"/>
    <w:rsid w:val="0053673E"/>
    <w:rsid w:val="005368D1"/>
    <w:rsid w:val="00536B5F"/>
    <w:rsid w:val="00536BAA"/>
    <w:rsid w:val="00537914"/>
    <w:rsid w:val="00537CD2"/>
    <w:rsid w:val="00540705"/>
    <w:rsid w:val="00540E93"/>
    <w:rsid w:val="00541110"/>
    <w:rsid w:val="00541872"/>
    <w:rsid w:val="00541BEA"/>
    <w:rsid w:val="00541C08"/>
    <w:rsid w:val="00541D13"/>
    <w:rsid w:val="00542A27"/>
    <w:rsid w:val="0054501C"/>
    <w:rsid w:val="0054685C"/>
    <w:rsid w:val="00546B17"/>
    <w:rsid w:val="005479D2"/>
    <w:rsid w:val="00547A90"/>
    <w:rsid w:val="00547E80"/>
    <w:rsid w:val="00550140"/>
    <w:rsid w:val="00551388"/>
    <w:rsid w:val="0055190B"/>
    <w:rsid w:val="0055225F"/>
    <w:rsid w:val="00553167"/>
    <w:rsid w:val="00553325"/>
    <w:rsid w:val="00553EC9"/>
    <w:rsid w:val="00554246"/>
    <w:rsid w:val="0056047D"/>
    <w:rsid w:val="005607F9"/>
    <w:rsid w:val="00560884"/>
    <w:rsid w:val="00561138"/>
    <w:rsid w:val="00561201"/>
    <w:rsid w:val="00561A55"/>
    <w:rsid w:val="005628DB"/>
    <w:rsid w:val="00563292"/>
    <w:rsid w:val="00563386"/>
    <w:rsid w:val="00564BB9"/>
    <w:rsid w:val="0056537C"/>
    <w:rsid w:val="00566063"/>
    <w:rsid w:val="00566434"/>
    <w:rsid w:val="005673D9"/>
    <w:rsid w:val="005677EE"/>
    <w:rsid w:val="005678E3"/>
    <w:rsid w:val="0057159B"/>
    <w:rsid w:val="0057310F"/>
    <w:rsid w:val="00573B40"/>
    <w:rsid w:val="00573FFF"/>
    <w:rsid w:val="00575CDB"/>
    <w:rsid w:val="0057641C"/>
    <w:rsid w:val="00576780"/>
    <w:rsid w:val="0057709B"/>
    <w:rsid w:val="0057710A"/>
    <w:rsid w:val="00577169"/>
    <w:rsid w:val="005773C2"/>
    <w:rsid w:val="00581FEB"/>
    <w:rsid w:val="005820FE"/>
    <w:rsid w:val="005825E8"/>
    <w:rsid w:val="00583DF5"/>
    <w:rsid w:val="005850CE"/>
    <w:rsid w:val="00585BAB"/>
    <w:rsid w:val="00585E51"/>
    <w:rsid w:val="005862EA"/>
    <w:rsid w:val="005867FB"/>
    <w:rsid w:val="00586B22"/>
    <w:rsid w:val="0059137D"/>
    <w:rsid w:val="005914F3"/>
    <w:rsid w:val="00592162"/>
    <w:rsid w:val="00592412"/>
    <w:rsid w:val="00592869"/>
    <w:rsid w:val="00592F25"/>
    <w:rsid w:val="00593115"/>
    <w:rsid w:val="005939D5"/>
    <w:rsid w:val="00593B71"/>
    <w:rsid w:val="00593C9E"/>
    <w:rsid w:val="00593EC1"/>
    <w:rsid w:val="0059443A"/>
    <w:rsid w:val="0059674F"/>
    <w:rsid w:val="00597D11"/>
    <w:rsid w:val="005A05AF"/>
    <w:rsid w:val="005A1557"/>
    <w:rsid w:val="005A21D2"/>
    <w:rsid w:val="005A35F3"/>
    <w:rsid w:val="005A6540"/>
    <w:rsid w:val="005A74A0"/>
    <w:rsid w:val="005A7BE3"/>
    <w:rsid w:val="005A7CF5"/>
    <w:rsid w:val="005B0729"/>
    <w:rsid w:val="005B0BF8"/>
    <w:rsid w:val="005B0E68"/>
    <w:rsid w:val="005B15D9"/>
    <w:rsid w:val="005B3035"/>
    <w:rsid w:val="005B375A"/>
    <w:rsid w:val="005B5679"/>
    <w:rsid w:val="005B58A5"/>
    <w:rsid w:val="005B5D85"/>
    <w:rsid w:val="005B6F33"/>
    <w:rsid w:val="005B7512"/>
    <w:rsid w:val="005B7D7E"/>
    <w:rsid w:val="005C09AD"/>
    <w:rsid w:val="005C16B5"/>
    <w:rsid w:val="005C2645"/>
    <w:rsid w:val="005C3D2F"/>
    <w:rsid w:val="005C5E3F"/>
    <w:rsid w:val="005C61F6"/>
    <w:rsid w:val="005C6A7A"/>
    <w:rsid w:val="005D0327"/>
    <w:rsid w:val="005D0482"/>
    <w:rsid w:val="005D20F7"/>
    <w:rsid w:val="005D2361"/>
    <w:rsid w:val="005D298F"/>
    <w:rsid w:val="005D31BD"/>
    <w:rsid w:val="005D4154"/>
    <w:rsid w:val="005D595A"/>
    <w:rsid w:val="005D5F86"/>
    <w:rsid w:val="005D611F"/>
    <w:rsid w:val="005D61A8"/>
    <w:rsid w:val="005D75BF"/>
    <w:rsid w:val="005E207A"/>
    <w:rsid w:val="005E3509"/>
    <w:rsid w:val="005E3D34"/>
    <w:rsid w:val="005E4679"/>
    <w:rsid w:val="005E4899"/>
    <w:rsid w:val="005E6BD1"/>
    <w:rsid w:val="005E72A7"/>
    <w:rsid w:val="005E78A1"/>
    <w:rsid w:val="005E7DEF"/>
    <w:rsid w:val="005F0892"/>
    <w:rsid w:val="005F0FE0"/>
    <w:rsid w:val="005F1275"/>
    <w:rsid w:val="005F1D39"/>
    <w:rsid w:val="005F1EBD"/>
    <w:rsid w:val="005F231E"/>
    <w:rsid w:val="005F2DF5"/>
    <w:rsid w:val="005F2F4C"/>
    <w:rsid w:val="005F4AE7"/>
    <w:rsid w:val="005F65FA"/>
    <w:rsid w:val="005F6B9F"/>
    <w:rsid w:val="005F6DED"/>
    <w:rsid w:val="006003D6"/>
    <w:rsid w:val="00601058"/>
    <w:rsid w:val="006030C8"/>
    <w:rsid w:val="00603CFE"/>
    <w:rsid w:val="006040DC"/>
    <w:rsid w:val="00606085"/>
    <w:rsid w:val="0060666F"/>
    <w:rsid w:val="00606AC4"/>
    <w:rsid w:val="00606E04"/>
    <w:rsid w:val="00606E5A"/>
    <w:rsid w:val="00607745"/>
    <w:rsid w:val="00610320"/>
    <w:rsid w:val="00610468"/>
    <w:rsid w:val="00611152"/>
    <w:rsid w:val="00612612"/>
    <w:rsid w:val="00612632"/>
    <w:rsid w:val="006133B4"/>
    <w:rsid w:val="00613EEC"/>
    <w:rsid w:val="006140FC"/>
    <w:rsid w:val="00614556"/>
    <w:rsid w:val="0061463D"/>
    <w:rsid w:val="0061464D"/>
    <w:rsid w:val="00615836"/>
    <w:rsid w:val="00617F15"/>
    <w:rsid w:val="006205D9"/>
    <w:rsid w:val="0062144E"/>
    <w:rsid w:val="00621A82"/>
    <w:rsid w:val="00621BB8"/>
    <w:rsid w:val="00624630"/>
    <w:rsid w:val="0062518E"/>
    <w:rsid w:val="00625639"/>
    <w:rsid w:val="00630A7E"/>
    <w:rsid w:val="006319C9"/>
    <w:rsid w:val="00632241"/>
    <w:rsid w:val="00633A39"/>
    <w:rsid w:val="00633F99"/>
    <w:rsid w:val="00635008"/>
    <w:rsid w:val="006356ED"/>
    <w:rsid w:val="00637914"/>
    <w:rsid w:val="00640240"/>
    <w:rsid w:val="006408F7"/>
    <w:rsid w:val="00640B48"/>
    <w:rsid w:val="006410AC"/>
    <w:rsid w:val="00641C90"/>
    <w:rsid w:val="0064304C"/>
    <w:rsid w:val="00643105"/>
    <w:rsid w:val="00643EA5"/>
    <w:rsid w:val="00643ED3"/>
    <w:rsid w:val="006447BA"/>
    <w:rsid w:val="006449EA"/>
    <w:rsid w:val="00646ABF"/>
    <w:rsid w:val="006473E9"/>
    <w:rsid w:val="00647DD2"/>
    <w:rsid w:val="00651733"/>
    <w:rsid w:val="006535F9"/>
    <w:rsid w:val="00653F8D"/>
    <w:rsid w:val="00654541"/>
    <w:rsid w:val="00655393"/>
    <w:rsid w:val="00655761"/>
    <w:rsid w:val="006565C7"/>
    <w:rsid w:val="00656B8E"/>
    <w:rsid w:val="00657AB9"/>
    <w:rsid w:val="00663933"/>
    <w:rsid w:val="00663DA3"/>
    <w:rsid w:val="0066414E"/>
    <w:rsid w:val="00665082"/>
    <w:rsid w:val="0066651F"/>
    <w:rsid w:val="00666DC9"/>
    <w:rsid w:val="00667031"/>
    <w:rsid w:val="00667234"/>
    <w:rsid w:val="00667500"/>
    <w:rsid w:val="00667DE2"/>
    <w:rsid w:val="0067062D"/>
    <w:rsid w:val="00670853"/>
    <w:rsid w:val="006709A0"/>
    <w:rsid w:val="00671553"/>
    <w:rsid w:val="00671C14"/>
    <w:rsid w:val="006721EB"/>
    <w:rsid w:val="0067258C"/>
    <w:rsid w:val="00672B34"/>
    <w:rsid w:val="00673CAB"/>
    <w:rsid w:val="0067405E"/>
    <w:rsid w:val="00674102"/>
    <w:rsid w:val="0067423B"/>
    <w:rsid w:val="006744F8"/>
    <w:rsid w:val="00677F2E"/>
    <w:rsid w:val="0068066E"/>
    <w:rsid w:val="00682C1E"/>
    <w:rsid w:val="006864EC"/>
    <w:rsid w:val="00690577"/>
    <w:rsid w:val="00690871"/>
    <w:rsid w:val="006918CB"/>
    <w:rsid w:val="00691BCB"/>
    <w:rsid w:val="00691EB5"/>
    <w:rsid w:val="00691FAE"/>
    <w:rsid w:val="006931B3"/>
    <w:rsid w:val="00693283"/>
    <w:rsid w:val="00694BD3"/>
    <w:rsid w:val="00695024"/>
    <w:rsid w:val="0069517F"/>
    <w:rsid w:val="00695605"/>
    <w:rsid w:val="00696847"/>
    <w:rsid w:val="00697670"/>
    <w:rsid w:val="00697D28"/>
    <w:rsid w:val="006A036F"/>
    <w:rsid w:val="006A2F2D"/>
    <w:rsid w:val="006A3E08"/>
    <w:rsid w:val="006A4065"/>
    <w:rsid w:val="006A5A45"/>
    <w:rsid w:val="006A6A9F"/>
    <w:rsid w:val="006A7F55"/>
    <w:rsid w:val="006B0A66"/>
    <w:rsid w:val="006B111A"/>
    <w:rsid w:val="006B11B9"/>
    <w:rsid w:val="006B1880"/>
    <w:rsid w:val="006B2B01"/>
    <w:rsid w:val="006B2B98"/>
    <w:rsid w:val="006B2FB4"/>
    <w:rsid w:val="006B3AC0"/>
    <w:rsid w:val="006B3D30"/>
    <w:rsid w:val="006B3E40"/>
    <w:rsid w:val="006B4692"/>
    <w:rsid w:val="006B68EB"/>
    <w:rsid w:val="006B6BA1"/>
    <w:rsid w:val="006B7024"/>
    <w:rsid w:val="006B7E42"/>
    <w:rsid w:val="006B7EE2"/>
    <w:rsid w:val="006C061D"/>
    <w:rsid w:val="006C0D02"/>
    <w:rsid w:val="006C2368"/>
    <w:rsid w:val="006C3774"/>
    <w:rsid w:val="006C4085"/>
    <w:rsid w:val="006C4169"/>
    <w:rsid w:val="006C4838"/>
    <w:rsid w:val="006C4F48"/>
    <w:rsid w:val="006C6D0E"/>
    <w:rsid w:val="006C7BDD"/>
    <w:rsid w:val="006D0112"/>
    <w:rsid w:val="006D022E"/>
    <w:rsid w:val="006D0EC7"/>
    <w:rsid w:val="006D17DC"/>
    <w:rsid w:val="006D2BAE"/>
    <w:rsid w:val="006D3542"/>
    <w:rsid w:val="006D4674"/>
    <w:rsid w:val="006D4D29"/>
    <w:rsid w:val="006D50BA"/>
    <w:rsid w:val="006D66F1"/>
    <w:rsid w:val="006D77D9"/>
    <w:rsid w:val="006D7ABD"/>
    <w:rsid w:val="006E0F6D"/>
    <w:rsid w:val="006E1C31"/>
    <w:rsid w:val="006E1E71"/>
    <w:rsid w:val="006E553A"/>
    <w:rsid w:val="006E5FF5"/>
    <w:rsid w:val="006E7B59"/>
    <w:rsid w:val="006F0564"/>
    <w:rsid w:val="006F15EE"/>
    <w:rsid w:val="006F261E"/>
    <w:rsid w:val="006F3662"/>
    <w:rsid w:val="006F3B43"/>
    <w:rsid w:val="006F5970"/>
    <w:rsid w:val="006F5A2A"/>
    <w:rsid w:val="006F6047"/>
    <w:rsid w:val="006F68AB"/>
    <w:rsid w:val="006F78AE"/>
    <w:rsid w:val="006F7CC7"/>
    <w:rsid w:val="0070051F"/>
    <w:rsid w:val="00701EF3"/>
    <w:rsid w:val="0070220B"/>
    <w:rsid w:val="00702BA9"/>
    <w:rsid w:val="00703504"/>
    <w:rsid w:val="00703AE0"/>
    <w:rsid w:val="0070433C"/>
    <w:rsid w:val="00704380"/>
    <w:rsid w:val="007045E6"/>
    <w:rsid w:val="00704F20"/>
    <w:rsid w:val="00705837"/>
    <w:rsid w:val="00705C66"/>
    <w:rsid w:val="00706585"/>
    <w:rsid w:val="00706BF7"/>
    <w:rsid w:val="007105FD"/>
    <w:rsid w:val="00713AFB"/>
    <w:rsid w:val="0071444C"/>
    <w:rsid w:val="00714970"/>
    <w:rsid w:val="007151BE"/>
    <w:rsid w:val="007153D3"/>
    <w:rsid w:val="007160DB"/>
    <w:rsid w:val="00716AB7"/>
    <w:rsid w:val="00716AEC"/>
    <w:rsid w:val="00717984"/>
    <w:rsid w:val="0072053F"/>
    <w:rsid w:val="007207D0"/>
    <w:rsid w:val="00720B2E"/>
    <w:rsid w:val="007224A6"/>
    <w:rsid w:val="00722835"/>
    <w:rsid w:val="00722FB2"/>
    <w:rsid w:val="007244D2"/>
    <w:rsid w:val="00725E38"/>
    <w:rsid w:val="00726BA8"/>
    <w:rsid w:val="0072769E"/>
    <w:rsid w:val="00727BFD"/>
    <w:rsid w:val="00730660"/>
    <w:rsid w:val="00732804"/>
    <w:rsid w:val="007332DD"/>
    <w:rsid w:val="00733970"/>
    <w:rsid w:val="00733D00"/>
    <w:rsid w:val="00734C14"/>
    <w:rsid w:val="00734EFA"/>
    <w:rsid w:val="00735188"/>
    <w:rsid w:val="007364E6"/>
    <w:rsid w:val="00737C70"/>
    <w:rsid w:val="007407CA"/>
    <w:rsid w:val="007416BA"/>
    <w:rsid w:val="00742167"/>
    <w:rsid w:val="00742371"/>
    <w:rsid w:val="00742B9C"/>
    <w:rsid w:val="0074467D"/>
    <w:rsid w:val="00745760"/>
    <w:rsid w:val="00745BAC"/>
    <w:rsid w:val="00745F1C"/>
    <w:rsid w:val="007463D7"/>
    <w:rsid w:val="00746456"/>
    <w:rsid w:val="00746B1C"/>
    <w:rsid w:val="007477FF"/>
    <w:rsid w:val="0075443E"/>
    <w:rsid w:val="007549A2"/>
    <w:rsid w:val="007552BA"/>
    <w:rsid w:val="0075542B"/>
    <w:rsid w:val="00755E12"/>
    <w:rsid w:val="007562D4"/>
    <w:rsid w:val="00757B4B"/>
    <w:rsid w:val="0076088A"/>
    <w:rsid w:val="00760B9D"/>
    <w:rsid w:val="00760CC9"/>
    <w:rsid w:val="00762154"/>
    <w:rsid w:val="007627EC"/>
    <w:rsid w:val="00762B97"/>
    <w:rsid w:val="00763375"/>
    <w:rsid w:val="0076422E"/>
    <w:rsid w:val="00764C88"/>
    <w:rsid w:val="00764F69"/>
    <w:rsid w:val="00765F7A"/>
    <w:rsid w:val="00765F8A"/>
    <w:rsid w:val="007664C4"/>
    <w:rsid w:val="007673BF"/>
    <w:rsid w:val="007673CD"/>
    <w:rsid w:val="00770807"/>
    <w:rsid w:val="0077116F"/>
    <w:rsid w:val="00771559"/>
    <w:rsid w:val="00773059"/>
    <w:rsid w:val="00774F5C"/>
    <w:rsid w:val="00777C0E"/>
    <w:rsid w:val="00780138"/>
    <w:rsid w:val="00780E8A"/>
    <w:rsid w:val="00781AA9"/>
    <w:rsid w:val="00781E7B"/>
    <w:rsid w:val="007822BF"/>
    <w:rsid w:val="00782718"/>
    <w:rsid w:val="00784A72"/>
    <w:rsid w:val="00785260"/>
    <w:rsid w:val="0078550B"/>
    <w:rsid w:val="00785C24"/>
    <w:rsid w:val="00785D30"/>
    <w:rsid w:val="00785E0A"/>
    <w:rsid w:val="00790C6F"/>
    <w:rsid w:val="007913FF"/>
    <w:rsid w:val="007916C4"/>
    <w:rsid w:val="00791F92"/>
    <w:rsid w:val="007926CC"/>
    <w:rsid w:val="00792C9E"/>
    <w:rsid w:val="007931EA"/>
    <w:rsid w:val="007935A4"/>
    <w:rsid w:val="007948C1"/>
    <w:rsid w:val="00794EEE"/>
    <w:rsid w:val="00796570"/>
    <w:rsid w:val="00797139"/>
    <w:rsid w:val="007976AF"/>
    <w:rsid w:val="00797B32"/>
    <w:rsid w:val="007A3618"/>
    <w:rsid w:val="007A41C0"/>
    <w:rsid w:val="007A534E"/>
    <w:rsid w:val="007A5EFD"/>
    <w:rsid w:val="007A5F4F"/>
    <w:rsid w:val="007A6744"/>
    <w:rsid w:val="007A699A"/>
    <w:rsid w:val="007A6BA4"/>
    <w:rsid w:val="007B00F4"/>
    <w:rsid w:val="007B1AAC"/>
    <w:rsid w:val="007B378B"/>
    <w:rsid w:val="007B3A67"/>
    <w:rsid w:val="007B4400"/>
    <w:rsid w:val="007B5034"/>
    <w:rsid w:val="007B5995"/>
    <w:rsid w:val="007B5B97"/>
    <w:rsid w:val="007B6B8B"/>
    <w:rsid w:val="007C1E00"/>
    <w:rsid w:val="007C3DF2"/>
    <w:rsid w:val="007C406E"/>
    <w:rsid w:val="007C5749"/>
    <w:rsid w:val="007C6A8D"/>
    <w:rsid w:val="007C789C"/>
    <w:rsid w:val="007D0067"/>
    <w:rsid w:val="007D17C9"/>
    <w:rsid w:val="007D1A6F"/>
    <w:rsid w:val="007D380B"/>
    <w:rsid w:val="007D401B"/>
    <w:rsid w:val="007D5933"/>
    <w:rsid w:val="007D61E3"/>
    <w:rsid w:val="007D6CAA"/>
    <w:rsid w:val="007D6D82"/>
    <w:rsid w:val="007D7284"/>
    <w:rsid w:val="007D7481"/>
    <w:rsid w:val="007E133A"/>
    <w:rsid w:val="007E13CC"/>
    <w:rsid w:val="007E16F6"/>
    <w:rsid w:val="007E31F7"/>
    <w:rsid w:val="007E54F0"/>
    <w:rsid w:val="007E5B46"/>
    <w:rsid w:val="007E643E"/>
    <w:rsid w:val="007E6B67"/>
    <w:rsid w:val="007E7C63"/>
    <w:rsid w:val="007F08C3"/>
    <w:rsid w:val="007F1DCD"/>
    <w:rsid w:val="007F2447"/>
    <w:rsid w:val="007F33CD"/>
    <w:rsid w:val="007F59A8"/>
    <w:rsid w:val="007F5D41"/>
    <w:rsid w:val="007F5D87"/>
    <w:rsid w:val="007F5DE6"/>
    <w:rsid w:val="007F61A9"/>
    <w:rsid w:val="007F6347"/>
    <w:rsid w:val="007F7050"/>
    <w:rsid w:val="007F714C"/>
    <w:rsid w:val="007F7DC0"/>
    <w:rsid w:val="008000CF"/>
    <w:rsid w:val="008006B8"/>
    <w:rsid w:val="008008EA"/>
    <w:rsid w:val="008021B0"/>
    <w:rsid w:val="008024D8"/>
    <w:rsid w:val="008037A6"/>
    <w:rsid w:val="0080394A"/>
    <w:rsid w:val="00803F03"/>
    <w:rsid w:val="0080445B"/>
    <w:rsid w:val="00805C5B"/>
    <w:rsid w:val="00805D42"/>
    <w:rsid w:val="00807179"/>
    <w:rsid w:val="008107B5"/>
    <w:rsid w:val="00812DA4"/>
    <w:rsid w:val="00812F36"/>
    <w:rsid w:val="00813AD3"/>
    <w:rsid w:val="00815248"/>
    <w:rsid w:val="00816C1D"/>
    <w:rsid w:val="008172BA"/>
    <w:rsid w:val="008177C0"/>
    <w:rsid w:val="00817E49"/>
    <w:rsid w:val="0082023A"/>
    <w:rsid w:val="0082032F"/>
    <w:rsid w:val="00820B7A"/>
    <w:rsid w:val="00820C2C"/>
    <w:rsid w:val="00822071"/>
    <w:rsid w:val="008222DA"/>
    <w:rsid w:val="00824EB5"/>
    <w:rsid w:val="00826B4C"/>
    <w:rsid w:val="0082739B"/>
    <w:rsid w:val="0083099C"/>
    <w:rsid w:val="00832322"/>
    <w:rsid w:val="008325C5"/>
    <w:rsid w:val="008332C2"/>
    <w:rsid w:val="00833894"/>
    <w:rsid w:val="0083392C"/>
    <w:rsid w:val="00833B81"/>
    <w:rsid w:val="008345F9"/>
    <w:rsid w:val="008356D6"/>
    <w:rsid w:val="00836530"/>
    <w:rsid w:val="0083722F"/>
    <w:rsid w:val="00840EB5"/>
    <w:rsid w:val="008411AD"/>
    <w:rsid w:val="00841DF0"/>
    <w:rsid w:val="00841FE0"/>
    <w:rsid w:val="008431F2"/>
    <w:rsid w:val="0084331B"/>
    <w:rsid w:val="0084349E"/>
    <w:rsid w:val="00843994"/>
    <w:rsid w:val="00843E76"/>
    <w:rsid w:val="008443D8"/>
    <w:rsid w:val="008443FD"/>
    <w:rsid w:val="00844A98"/>
    <w:rsid w:val="008458DB"/>
    <w:rsid w:val="00845A02"/>
    <w:rsid w:val="00846E2E"/>
    <w:rsid w:val="00847803"/>
    <w:rsid w:val="00847D43"/>
    <w:rsid w:val="00850576"/>
    <w:rsid w:val="00850CFD"/>
    <w:rsid w:val="00852A35"/>
    <w:rsid w:val="008531F7"/>
    <w:rsid w:val="008535BA"/>
    <w:rsid w:val="0085377B"/>
    <w:rsid w:val="00855D05"/>
    <w:rsid w:val="00856635"/>
    <w:rsid w:val="00856682"/>
    <w:rsid w:val="00856B0C"/>
    <w:rsid w:val="00860968"/>
    <w:rsid w:val="008615B6"/>
    <w:rsid w:val="00861BE0"/>
    <w:rsid w:val="008622B0"/>
    <w:rsid w:val="0086265D"/>
    <w:rsid w:val="00863C24"/>
    <w:rsid w:val="00864286"/>
    <w:rsid w:val="00864B80"/>
    <w:rsid w:val="008656EE"/>
    <w:rsid w:val="008657AE"/>
    <w:rsid w:val="00865D62"/>
    <w:rsid w:val="00866283"/>
    <w:rsid w:val="00866E9C"/>
    <w:rsid w:val="00866F3B"/>
    <w:rsid w:val="00867646"/>
    <w:rsid w:val="0086792F"/>
    <w:rsid w:val="008710ED"/>
    <w:rsid w:val="00872027"/>
    <w:rsid w:val="0087213C"/>
    <w:rsid w:val="0087239E"/>
    <w:rsid w:val="00873741"/>
    <w:rsid w:val="008738BC"/>
    <w:rsid w:val="00873CD1"/>
    <w:rsid w:val="008740B0"/>
    <w:rsid w:val="0087430D"/>
    <w:rsid w:val="00874857"/>
    <w:rsid w:val="0087552A"/>
    <w:rsid w:val="00875EB9"/>
    <w:rsid w:val="008771FA"/>
    <w:rsid w:val="0088009F"/>
    <w:rsid w:val="008806C9"/>
    <w:rsid w:val="008810FF"/>
    <w:rsid w:val="0088142D"/>
    <w:rsid w:val="00881769"/>
    <w:rsid w:val="00881A52"/>
    <w:rsid w:val="00882463"/>
    <w:rsid w:val="00882A70"/>
    <w:rsid w:val="00883287"/>
    <w:rsid w:val="00883953"/>
    <w:rsid w:val="008847A1"/>
    <w:rsid w:val="00886110"/>
    <w:rsid w:val="00891D97"/>
    <w:rsid w:val="00892B57"/>
    <w:rsid w:val="008934F0"/>
    <w:rsid w:val="008934F2"/>
    <w:rsid w:val="00894153"/>
    <w:rsid w:val="008942E9"/>
    <w:rsid w:val="00894454"/>
    <w:rsid w:val="00894812"/>
    <w:rsid w:val="00894F19"/>
    <w:rsid w:val="008A2C5C"/>
    <w:rsid w:val="008A36E3"/>
    <w:rsid w:val="008A4686"/>
    <w:rsid w:val="008A5774"/>
    <w:rsid w:val="008A62FE"/>
    <w:rsid w:val="008A7CA1"/>
    <w:rsid w:val="008A7FD2"/>
    <w:rsid w:val="008B0022"/>
    <w:rsid w:val="008B0621"/>
    <w:rsid w:val="008B0AE5"/>
    <w:rsid w:val="008B1A42"/>
    <w:rsid w:val="008B464F"/>
    <w:rsid w:val="008B4C03"/>
    <w:rsid w:val="008B4C51"/>
    <w:rsid w:val="008B53DE"/>
    <w:rsid w:val="008B61FE"/>
    <w:rsid w:val="008B6C55"/>
    <w:rsid w:val="008B70C1"/>
    <w:rsid w:val="008B7365"/>
    <w:rsid w:val="008C0AC2"/>
    <w:rsid w:val="008C11B3"/>
    <w:rsid w:val="008C12FF"/>
    <w:rsid w:val="008C2392"/>
    <w:rsid w:val="008C24D0"/>
    <w:rsid w:val="008C28E7"/>
    <w:rsid w:val="008C35E6"/>
    <w:rsid w:val="008C3C34"/>
    <w:rsid w:val="008C48CF"/>
    <w:rsid w:val="008C4E37"/>
    <w:rsid w:val="008C5878"/>
    <w:rsid w:val="008C634E"/>
    <w:rsid w:val="008C6FB1"/>
    <w:rsid w:val="008C7629"/>
    <w:rsid w:val="008C7B83"/>
    <w:rsid w:val="008C7CC5"/>
    <w:rsid w:val="008D0375"/>
    <w:rsid w:val="008D046D"/>
    <w:rsid w:val="008D0549"/>
    <w:rsid w:val="008D0F3F"/>
    <w:rsid w:val="008D0F6A"/>
    <w:rsid w:val="008D1954"/>
    <w:rsid w:val="008D1AD6"/>
    <w:rsid w:val="008D470F"/>
    <w:rsid w:val="008D4E4D"/>
    <w:rsid w:val="008D506C"/>
    <w:rsid w:val="008D5696"/>
    <w:rsid w:val="008D7091"/>
    <w:rsid w:val="008D77B3"/>
    <w:rsid w:val="008D7974"/>
    <w:rsid w:val="008E02B6"/>
    <w:rsid w:val="008E0487"/>
    <w:rsid w:val="008E0647"/>
    <w:rsid w:val="008E0BE0"/>
    <w:rsid w:val="008E1D9C"/>
    <w:rsid w:val="008E29B0"/>
    <w:rsid w:val="008E3153"/>
    <w:rsid w:val="008E3F30"/>
    <w:rsid w:val="008E4943"/>
    <w:rsid w:val="008E62CD"/>
    <w:rsid w:val="008E6337"/>
    <w:rsid w:val="008E6E2B"/>
    <w:rsid w:val="008E76D6"/>
    <w:rsid w:val="008E7D0C"/>
    <w:rsid w:val="008F0DB7"/>
    <w:rsid w:val="008F209B"/>
    <w:rsid w:val="008F315E"/>
    <w:rsid w:val="008F37A7"/>
    <w:rsid w:val="008F55B4"/>
    <w:rsid w:val="008F5FDC"/>
    <w:rsid w:val="008F6270"/>
    <w:rsid w:val="008F6CFC"/>
    <w:rsid w:val="008F7609"/>
    <w:rsid w:val="008F7914"/>
    <w:rsid w:val="008F7954"/>
    <w:rsid w:val="008F7E16"/>
    <w:rsid w:val="00900BE8"/>
    <w:rsid w:val="00901030"/>
    <w:rsid w:val="0090165B"/>
    <w:rsid w:val="009021C3"/>
    <w:rsid w:val="009023F2"/>
    <w:rsid w:val="009031EF"/>
    <w:rsid w:val="00903212"/>
    <w:rsid w:val="00903BB6"/>
    <w:rsid w:val="00903C02"/>
    <w:rsid w:val="00903C0E"/>
    <w:rsid w:val="00903F6D"/>
    <w:rsid w:val="00904390"/>
    <w:rsid w:val="00905F61"/>
    <w:rsid w:val="00911226"/>
    <w:rsid w:val="00913AC2"/>
    <w:rsid w:val="00915227"/>
    <w:rsid w:val="00915296"/>
    <w:rsid w:val="009152D7"/>
    <w:rsid w:val="00915B74"/>
    <w:rsid w:val="009166AE"/>
    <w:rsid w:val="00917042"/>
    <w:rsid w:val="0091726F"/>
    <w:rsid w:val="00920C82"/>
    <w:rsid w:val="009211AA"/>
    <w:rsid w:val="0092154F"/>
    <w:rsid w:val="00921639"/>
    <w:rsid w:val="00921B15"/>
    <w:rsid w:val="00923550"/>
    <w:rsid w:val="00923C3F"/>
    <w:rsid w:val="00924775"/>
    <w:rsid w:val="00924B96"/>
    <w:rsid w:val="00924D68"/>
    <w:rsid w:val="00926ABA"/>
    <w:rsid w:val="00926E91"/>
    <w:rsid w:val="0092710B"/>
    <w:rsid w:val="009274F6"/>
    <w:rsid w:val="009304CF"/>
    <w:rsid w:val="009316BA"/>
    <w:rsid w:val="00933136"/>
    <w:rsid w:val="0093361F"/>
    <w:rsid w:val="00933A69"/>
    <w:rsid w:val="00933DBA"/>
    <w:rsid w:val="00933F7A"/>
    <w:rsid w:val="009343F5"/>
    <w:rsid w:val="00935BCF"/>
    <w:rsid w:val="00936549"/>
    <w:rsid w:val="00937472"/>
    <w:rsid w:val="009377CA"/>
    <w:rsid w:val="00940434"/>
    <w:rsid w:val="0094044F"/>
    <w:rsid w:val="00941343"/>
    <w:rsid w:val="009414F9"/>
    <w:rsid w:val="00942967"/>
    <w:rsid w:val="00943831"/>
    <w:rsid w:val="00945C96"/>
    <w:rsid w:val="009477E4"/>
    <w:rsid w:val="00947DD9"/>
    <w:rsid w:val="009504D2"/>
    <w:rsid w:val="00950E7D"/>
    <w:rsid w:val="00950F55"/>
    <w:rsid w:val="0095329E"/>
    <w:rsid w:val="00953D67"/>
    <w:rsid w:val="00954832"/>
    <w:rsid w:val="00954A32"/>
    <w:rsid w:val="009552E8"/>
    <w:rsid w:val="0095547D"/>
    <w:rsid w:val="009557EB"/>
    <w:rsid w:val="0096194F"/>
    <w:rsid w:val="009625E1"/>
    <w:rsid w:val="00962730"/>
    <w:rsid w:val="0096281A"/>
    <w:rsid w:val="00962B1E"/>
    <w:rsid w:val="0096364D"/>
    <w:rsid w:val="009638A0"/>
    <w:rsid w:val="00963D36"/>
    <w:rsid w:val="009648D1"/>
    <w:rsid w:val="00964A3B"/>
    <w:rsid w:val="00964F52"/>
    <w:rsid w:val="009668C9"/>
    <w:rsid w:val="00967AA9"/>
    <w:rsid w:val="00971919"/>
    <w:rsid w:val="00974106"/>
    <w:rsid w:val="00974BAE"/>
    <w:rsid w:val="0097560B"/>
    <w:rsid w:val="00976BC2"/>
    <w:rsid w:val="00977080"/>
    <w:rsid w:val="00977592"/>
    <w:rsid w:val="00977679"/>
    <w:rsid w:val="0098004C"/>
    <w:rsid w:val="00982FD8"/>
    <w:rsid w:val="00983B59"/>
    <w:rsid w:val="00984D33"/>
    <w:rsid w:val="00984F45"/>
    <w:rsid w:val="009856A2"/>
    <w:rsid w:val="00985A0B"/>
    <w:rsid w:val="00985B10"/>
    <w:rsid w:val="00985B79"/>
    <w:rsid w:val="009864FF"/>
    <w:rsid w:val="00986F13"/>
    <w:rsid w:val="0098793E"/>
    <w:rsid w:val="00992785"/>
    <w:rsid w:val="00992FA4"/>
    <w:rsid w:val="00994E63"/>
    <w:rsid w:val="00995DC9"/>
    <w:rsid w:val="0099740A"/>
    <w:rsid w:val="0099782E"/>
    <w:rsid w:val="009A0DC9"/>
    <w:rsid w:val="009A1EFC"/>
    <w:rsid w:val="009A3264"/>
    <w:rsid w:val="009A3949"/>
    <w:rsid w:val="009A3D5C"/>
    <w:rsid w:val="009A45DB"/>
    <w:rsid w:val="009A4B0C"/>
    <w:rsid w:val="009A5FB9"/>
    <w:rsid w:val="009A66FE"/>
    <w:rsid w:val="009A76E9"/>
    <w:rsid w:val="009A77C2"/>
    <w:rsid w:val="009B1E46"/>
    <w:rsid w:val="009B1EF5"/>
    <w:rsid w:val="009B2EDF"/>
    <w:rsid w:val="009B3634"/>
    <w:rsid w:val="009B3CEF"/>
    <w:rsid w:val="009B4870"/>
    <w:rsid w:val="009B631D"/>
    <w:rsid w:val="009B763A"/>
    <w:rsid w:val="009C07C9"/>
    <w:rsid w:val="009C0887"/>
    <w:rsid w:val="009C0C87"/>
    <w:rsid w:val="009C1323"/>
    <w:rsid w:val="009C1FAC"/>
    <w:rsid w:val="009C2E78"/>
    <w:rsid w:val="009C50E1"/>
    <w:rsid w:val="009C636E"/>
    <w:rsid w:val="009C68C3"/>
    <w:rsid w:val="009C76B1"/>
    <w:rsid w:val="009C7838"/>
    <w:rsid w:val="009C7DF5"/>
    <w:rsid w:val="009D02E2"/>
    <w:rsid w:val="009D0FF6"/>
    <w:rsid w:val="009D2AB8"/>
    <w:rsid w:val="009D3BE4"/>
    <w:rsid w:val="009D3DAE"/>
    <w:rsid w:val="009D4B49"/>
    <w:rsid w:val="009D655F"/>
    <w:rsid w:val="009D671C"/>
    <w:rsid w:val="009D6889"/>
    <w:rsid w:val="009D76A8"/>
    <w:rsid w:val="009D7A21"/>
    <w:rsid w:val="009D7E6F"/>
    <w:rsid w:val="009E04B9"/>
    <w:rsid w:val="009E1821"/>
    <w:rsid w:val="009E1FAA"/>
    <w:rsid w:val="009E2124"/>
    <w:rsid w:val="009E48D4"/>
    <w:rsid w:val="009E4FAD"/>
    <w:rsid w:val="009E50AC"/>
    <w:rsid w:val="009E5D2A"/>
    <w:rsid w:val="009E69F6"/>
    <w:rsid w:val="009E7043"/>
    <w:rsid w:val="009E7933"/>
    <w:rsid w:val="009E7D1B"/>
    <w:rsid w:val="009F024D"/>
    <w:rsid w:val="009F368C"/>
    <w:rsid w:val="009F3934"/>
    <w:rsid w:val="009F3E82"/>
    <w:rsid w:val="009F4D7B"/>
    <w:rsid w:val="009F544F"/>
    <w:rsid w:val="009F558F"/>
    <w:rsid w:val="009F5BD5"/>
    <w:rsid w:val="009F5C97"/>
    <w:rsid w:val="009F7780"/>
    <w:rsid w:val="009F78F0"/>
    <w:rsid w:val="009F7A8B"/>
    <w:rsid w:val="00A00518"/>
    <w:rsid w:val="00A00D2D"/>
    <w:rsid w:val="00A01638"/>
    <w:rsid w:val="00A02A9A"/>
    <w:rsid w:val="00A036C8"/>
    <w:rsid w:val="00A03C15"/>
    <w:rsid w:val="00A03EA3"/>
    <w:rsid w:val="00A04661"/>
    <w:rsid w:val="00A06192"/>
    <w:rsid w:val="00A06F14"/>
    <w:rsid w:val="00A1011A"/>
    <w:rsid w:val="00A11197"/>
    <w:rsid w:val="00A11296"/>
    <w:rsid w:val="00A1247E"/>
    <w:rsid w:val="00A126E1"/>
    <w:rsid w:val="00A12D2A"/>
    <w:rsid w:val="00A13113"/>
    <w:rsid w:val="00A13762"/>
    <w:rsid w:val="00A13F93"/>
    <w:rsid w:val="00A151C4"/>
    <w:rsid w:val="00A16A7D"/>
    <w:rsid w:val="00A21182"/>
    <w:rsid w:val="00A2230C"/>
    <w:rsid w:val="00A22549"/>
    <w:rsid w:val="00A236C1"/>
    <w:rsid w:val="00A2394E"/>
    <w:rsid w:val="00A24341"/>
    <w:rsid w:val="00A26582"/>
    <w:rsid w:val="00A26C02"/>
    <w:rsid w:val="00A26C99"/>
    <w:rsid w:val="00A30E44"/>
    <w:rsid w:val="00A30FBB"/>
    <w:rsid w:val="00A31DB6"/>
    <w:rsid w:val="00A336FB"/>
    <w:rsid w:val="00A3377B"/>
    <w:rsid w:val="00A34615"/>
    <w:rsid w:val="00A34857"/>
    <w:rsid w:val="00A355F4"/>
    <w:rsid w:val="00A35CAE"/>
    <w:rsid w:val="00A37C23"/>
    <w:rsid w:val="00A41053"/>
    <w:rsid w:val="00A425BF"/>
    <w:rsid w:val="00A42660"/>
    <w:rsid w:val="00A42AE6"/>
    <w:rsid w:val="00A434BD"/>
    <w:rsid w:val="00A437E0"/>
    <w:rsid w:val="00A437FA"/>
    <w:rsid w:val="00A44232"/>
    <w:rsid w:val="00A4518B"/>
    <w:rsid w:val="00A4555D"/>
    <w:rsid w:val="00A4685A"/>
    <w:rsid w:val="00A47266"/>
    <w:rsid w:val="00A4743D"/>
    <w:rsid w:val="00A47559"/>
    <w:rsid w:val="00A50352"/>
    <w:rsid w:val="00A53C65"/>
    <w:rsid w:val="00A55B4B"/>
    <w:rsid w:val="00A567BD"/>
    <w:rsid w:val="00A56E8F"/>
    <w:rsid w:val="00A57774"/>
    <w:rsid w:val="00A57A1E"/>
    <w:rsid w:val="00A606F8"/>
    <w:rsid w:val="00A61B38"/>
    <w:rsid w:val="00A62052"/>
    <w:rsid w:val="00A62399"/>
    <w:rsid w:val="00A63B30"/>
    <w:rsid w:val="00A64ABE"/>
    <w:rsid w:val="00A65303"/>
    <w:rsid w:val="00A65AF4"/>
    <w:rsid w:val="00A666E3"/>
    <w:rsid w:val="00A66995"/>
    <w:rsid w:val="00A66C09"/>
    <w:rsid w:val="00A66DBB"/>
    <w:rsid w:val="00A6714D"/>
    <w:rsid w:val="00A67266"/>
    <w:rsid w:val="00A7017A"/>
    <w:rsid w:val="00A707C0"/>
    <w:rsid w:val="00A70B79"/>
    <w:rsid w:val="00A71C85"/>
    <w:rsid w:val="00A72B49"/>
    <w:rsid w:val="00A730EE"/>
    <w:rsid w:val="00A73253"/>
    <w:rsid w:val="00A7467B"/>
    <w:rsid w:val="00A75D53"/>
    <w:rsid w:val="00A763D8"/>
    <w:rsid w:val="00A7642E"/>
    <w:rsid w:val="00A807A3"/>
    <w:rsid w:val="00A8104B"/>
    <w:rsid w:val="00A820E7"/>
    <w:rsid w:val="00A837D9"/>
    <w:rsid w:val="00A83916"/>
    <w:rsid w:val="00A83FCE"/>
    <w:rsid w:val="00A84A8E"/>
    <w:rsid w:val="00A84BB4"/>
    <w:rsid w:val="00A84C17"/>
    <w:rsid w:val="00A85B38"/>
    <w:rsid w:val="00A86535"/>
    <w:rsid w:val="00A86598"/>
    <w:rsid w:val="00A9015D"/>
    <w:rsid w:val="00A906DE"/>
    <w:rsid w:val="00A9126E"/>
    <w:rsid w:val="00A920B8"/>
    <w:rsid w:val="00A92EAB"/>
    <w:rsid w:val="00A9343F"/>
    <w:rsid w:val="00A93DDF"/>
    <w:rsid w:val="00A97576"/>
    <w:rsid w:val="00A9795E"/>
    <w:rsid w:val="00AA1222"/>
    <w:rsid w:val="00AA1E71"/>
    <w:rsid w:val="00AA2125"/>
    <w:rsid w:val="00AA28A1"/>
    <w:rsid w:val="00AA3A4A"/>
    <w:rsid w:val="00AA4969"/>
    <w:rsid w:val="00AA49CC"/>
    <w:rsid w:val="00AA53AC"/>
    <w:rsid w:val="00AA5977"/>
    <w:rsid w:val="00AA67CD"/>
    <w:rsid w:val="00AB0D32"/>
    <w:rsid w:val="00AB130C"/>
    <w:rsid w:val="00AB16CD"/>
    <w:rsid w:val="00AB1F1D"/>
    <w:rsid w:val="00AB204E"/>
    <w:rsid w:val="00AB24D3"/>
    <w:rsid w:val="00AB2871"/>
    <w:rsid w:val="00AB2DCE"/>
    <w:rsid w:val="00AB3185"/>
    <w:rsid w:val="00AB3203"/>
    <w:rsid w:val="00AB4B4C"/>
    <w:rsid w:val="00AB50EB"/>
    <w:rsid w:val="00AB54BC"/>
    <w:rsid w:val="00AB5BE1"/>
    <w:rsid w:val="00AB5E16"/>
    <w:rsid w:val="00AB669E"/>
    <w:rsid w:val="00AB6E17"/>
    <w:rsid w:val="00AB7152"/>
    <w:rsid w:val="00AB7BB0"/>
    <w:rsid w:val="00AB7E8E"/>
    <w:rsid w:val="00AC001A"/>
    <w:rsid w:val="00AC0101"/>
    <w:rsid w:val="00AC0A87"/>
    <w:rsid w:val="00AC279C"/>
    <w:rsid w:val="00AC2F4B"/>
    <w:rsid w:val="00AC41C4"/>
    <w:rsid w:val="00AC53C1"/>
    <w:rsid w:val="00AC681A"/>
    <w:rsid w:val="00AC6D4C"/>
    <w:rsid w:val="00AC7215"/>
    <w:rsid w:val="00AC7938"/>
    <w:rsid w:val="00AC7AB9"/>
    <w:rsid w:val="00AD025C"/>
    <w:rsid w:val="00AD048F"/>
    <w:rsid w:val="00AD082D"/>
    <w:rsid w:val="00AD10B5"/>
    <w:rsid w:val="00AD14D6"/>
    <w:rsid w:val="00AD3022"/>
    <w:rsid w:val="00AD4F7A"/>
    <w:rsid w:val="00AD5027"/>
    <w:rsid w:val="00AD685F"/>
    <w:rsid w:val="00AD6BF4"/>
    <w:rsid w:val="00AD718B"/>
    <w:rsid w:val="00AE1A89"/>
    <w:rsid w:val="00AE1ACC"/>
    <w:rsid w:val="00AE2053"/>
    <w:rsid w:val="00AE2BD4"/>
    <w:rsid w:val="00AE3990"/>
    <w:rsid w:val="00AE3CD8"/>
    <w:rsid w:val="00AE4392"/>
    <w:rsid w:val="00AE4986"/>
    <w:rsid w:val="00AE5C5E"/>
    <w:rsid w:val="00AE71C7"/>
    <w:rsid w:val="00AE7A0B"/>
    <w:rsid w:val="00AE7D95"/>
    <w:rsid w:val="00AF04F7"/>
    <w:rsid w:val="00AF1FE1"/>
    <w:rsid w:val="00AF2485"/>
    <w:rsid w:val="00AF267B"/>
    <w:rsid w:val="00AF36C2"/>
    <w:rsid w:val="00AF3E87"/>
    <w:rsid w:val="00AF4E18"/>
    <w:rsid w:val="00AF50D1"/>
    <w:rsid w:val="00AF5F49"/>
    <w:rsid w:val="00AF5F83"/>
    <w:rsid w:val="00AF5FE1"/>
    <w:rsid w:val="00AF68BD"/>
    <w:rsid w:val="00AF6992"/>
    <w:rsid w:val="00AF6E3F"/>
    <w:rsid w:val="00AF78E2"/>
    <w:rsid w:val="00B0006E"/>
    <w:rsid w:val="00B0084D"/>
    <w:rsid w:val="00B00E28"/>
    <w:rsid w:val="00B00EBA"/>
    <w:rsid w:val="00B0227F"/>
    <w:rsid w:val="00B026A2"/>
    <w:rsid w:val="00B03530"/>
    <w:rsid w:val="00B03A79"/>
    <w:rsid w:val="00B0499D"/>
    <w:rsid w:val="00B05C26"/>
    <w:rsid w:val="00B060C8"/>
    <w:rsid w:val="00B0658C"/>
    <w:rsid w:val="00B067F6"/>
    <w:rsid w:val="00B06CF2"/>
    <w:rsid w:val="00B0758A"/>
    <w:rsid w:val="00B076C9"/>
    <w:rsid w:val="00B07DD0"/>
    <w:rsid w:val="00B11F50"/>
    <w:rsid w:val="00B12319"/>
    <w:rsid w:val="00B12537"/>
    <w:rsid w:val="00B12F08"/>
    <w:rsid w:val="00B1316E"/>
    <w:rsid w:val="00B134E6"/>
    <w:rsid w:val="00B13CF4"/>
    <w:rsid w:val="00B1458B"/>
    <w:rsid w:val="00B1476E"/>
    <w:rsid w:val="00B15A16"/>
    <w:rsid w:val="00B1723B"/>
    <w:rsid w:val="00B177B4"/>
    <w:rsid w:val="00B1794E"/>
    <w:rsid w:val="00B17E7B"/>
    <w:rsid w:val="00B17F9F"/>
    <w:rsid w:val="00B22C56"/>
    <w:rsid w:val="00B22D39"/>
    <w:rsid w:val="00B24300"/>
    <w:rsid w:val="00B25D73"/>
    <w:rsid w:val="00B25F05"/>
    <w:rsid w:val="00B2739B"/>
    <w:rsid w:val="00B27A33"/>
    <w:rsid w:val="00B3003B"/>
    <w:rsid w:val="00B300C5"/>
    <w:rsid w:val="00B315AD"/>
    <w:rsid w:val="00B31834"/>
    <w:rsid w:val="00B31ABF"/>
    <w:rsid w:val="00B32337"/>
    <w:rsid w:val="00B335F7"/>
    <w:rsid w:val="00B35120"/>
    <w:rsid w:val="00B36AF3"/>
    <w:rsid w:val="00B36BF8"/>
    <w:rsid w:val="00B37DB1"/>
    <w:rsid w:val="00B4091D"/>
    <w:rsid w:val="00B40DF8"/>
    <w:rsid w:val="00B410E2"/>
    <w:rsid w:val="00B428A4"/>
    <w:rsid w:val="00B436FC"/>
    <w:rsid w:val="00B439CC"/>
    <w:rsid w:val="00B43B52"/>
    <w:rsid w:val="00B44390"/>
    <w:rsid w:val="00B447AD"/>
    <w:rsid w:val="00B45012"/>
    <w:rsid w:val="00B457B1"/>
    <w:rsid w:val="00B46F54"/>
    <w:rsid w:val="00B47177"/>
    <w:rsid w:val="00B47729"/>
    <w:rsid w:val="00B52171"/>
    <w:rsid w:val="00B52A42"/>
    <w:rsid w:val="00B53308"/>
    <w:rsid w:val="00B53314"/>
    <w:rsid w:val="00B542A3"/>
    <w:rsid w:val="00B543C5"/>
    <w:rsid w:val="00B54AA5"/>
    <w:rsid w:val="00B54C71"/>
    <w:rsid w:val="00B57881"/>
    <w:rsid w:val="00B601EC"/>
    <w:rsid w:val="00B605F2"/>
    <w:rsid w:val="00B618B5"/>
    <w:rsid w:val="00B61CEB"/>
    <w:rsid w:val="00B643AE"/>
    <w:rsid w:val="00B64D8B"/>
    <w:rsid w:val="00B6585E"/>
    <w:rsid w:val="00B67B49"/>
    <w:rsid w:val="00B7054C"/>
    <w:rsid w:val="00B708B7"/>
    <w:rsid w:val="00B71DDD"/>
    <w:rsid w:val="00B71EC1"/>
    <w:rsid w:val="00B725DE"/>
    <w:rsid w:val="00B72DF6"/>
    <w:rsid w:val="00B73046"/>
    <w:rsid w:val="00B7315F"/>
    <w:rsid w:val="00B73717"/>
    <w:rsid w:val="00B7725B"/>
    <w:rsid w:val="00B8133E"/>
    <w:rsid w:val="00B813F6"/>
    <w:rsid w:val="00B81750"/>
    <w:rsid w:val="00B82924"/>
    <w:rsid w:val="00B82C05"/>
    <w:rsid w:val="00B83214"/>
    <w:rsid w:val="00B83F60"/>
    <w:rsid w:val="00B840B0"/>
    <w:rsid w:val="00B849EF"/>
    <w:rsid w:val="00B84F7D"/>
    <w:rsid w:val="00B8695B"/>
    <w:rsid w:val="00B86F04"/>
    <w:rsid w:val="00B87C6B"/>
    <w:rsid w:val="00B90CFC"/>
    <w:rsid w:val="00B913FE"/>
    <w:rsid w:val="00B916BE"/>
    <w:rsid w:val="00B91992"/>
    <w:rsid w:val="00B91C74"/>
    <w:rsid w:val="00B93107"/>
    <w:rsid w:val="00B9401B"/>
    <w:rsid w:val="00B94346"/>
    <w:rsid w:val="00B9620B"/>
    <w:rsid w:val="00B96594"/>
    <w:rsid w:val="00B96F49"/>
    <w:rsid w:val="00B97683"/>
    <w:rsid w:val="00B97D6B"/>
    <w:rsid w:val="00BA02D6"/>
    <w:rsid w:val="00BA4658"/>
    <w:rsid w:val="00BA4F38"/>
    <w:rsid w:val="00BA5173"/>
    <w:rsid w:val="00BA6AAD"/>
    <w:rsid w:val="00BA73B0"/>
    <w:rsid w:val="00BA7C0D"/>
    <w:rsid w:val="00BA7EFF"/>
    <w:rsid w:val="00BB0098"/>
    <w:rsid w:val="00BB1702"/>
    <w:rsid w:val="00BB1874"/>
    <w:rsid w:val="00BB2D90"/>
    <w:rsid w:val="00BB50FA"/>
    <w:rsid w:val="00BB6AA3"/>
    <w:rsid w:val="00BB6AC4"/>
    <w:rsid w:val="00BB7B8D"/>
    <w:rsid w:val="00BC0A6A"/>
    <w:rsid w:val="00BC1814"/>
    <w:rsid w:val="00BC1837"/>
    <w:rsid w:val="00BC1B2B"/>
    <w:rsid w:val="00BC26BB"/>
    <w:rsid w:val="00BC4CE4"/>
    <w:rsid w:val="00BC5733"/>
    <w:rsid w:val="00BC6665"/>
    <w:rsid w:val="00BC67A1"/>
    <w:rsid w:val="00BC6AE7"/>
    <w:rsid w:val="00BD0626"/>
    <w:rsid w:val="00BD16A4"/>
    <w:rsid w:val="00BD175A"/>
    <w:rsid w:val="00BD191D"/>
    <w:rsid w:val="00BD1CC5"/>
    <w:rsid w:val="00BD1F91"/>
    <w:rsid w:val="00BD24DC"/>
    <w:rsid w:val="00BD4E4B"/>
    <w:rsid w:val="00BD53FF"/>
    <w:rsid w:val="00BD5581"/>
    <w:rsid w:val="00BD62D8"/>
    <w:rsid w:val="00BD765C"/>
    <w:rsid w:val="00BD78BF"/>
    <w:rsid w:val="00BE06B3"/>
    <w:rsid w:val="00BE0952"/>
    <w:rsid w:val="00BE196C"/>
    <w:rsid w:val="00BE2035"/>
    <w:rsid w:val="00BE228E"/>
    <w:rsid w:val="00BE3F84"/>
    <w:rsid w:val="00BE46AF"/>
    <w:rsid w:val="00BE46CD"/>
    <w:rsid w:val="00BE534F"/>
    <w:rsid w:val="00BE59BC"/>
    <w:rsid w:val="00BE5B71"/>
    <w:rsid w:val="00BE6C48"/>
    <w:rsid w:val="00BE716D"/>
    <w:rsid w:val="00BF0637"/>
    <w:rsid w:val="00BF21F6"/>
    <w:rsid w:val="00BF2467"/>
    <w:rsid w:val="00BF2C18"/>
    <w:rsid w:val="00BF3922"/>
    <w:rsid w:val="00BF4F3D"/>
    <w:rsid w:val="00BF5CB8"/>
    <w:rsid w:val="00BF75E2"/>
    <w:rsid w:val="00BF7AFF"/>
    <w:rsid w:val="00C00C74"/>
    <w:rsid w:val="00C02007"/>
    <w:rsid w:val="00C02202"/>
    <w:rsid w:val="00C0248C"/>
    <w:rsid w:val="00C02A9C"/>
    <w:rsid w:val="00C03629"/>
    <w:rsid w:val="00C0383F"/>
    <w:rsid w:val="00C0419E"/>
    <w:rsid w:val="00C052A9"/>
    <w:rsid w:val="00C058CF"/>
    <w:rsid w:val="00C06849"/>
    <w:rsid w:val="00C06C2E"/>
    <w:rsid w:val="00C0773C"/>
    <w:rsid w:val="00C10AA5"/>
    <w:rsid w:val="00C12115"/>
    <w:rsid w:val="00C13958"/>
    <w:rsid w:val="00C14048"/>
    <w:rsid w:val="00C14509"/>
    <w:rsid w:val="00C154C1"/>
    <w:rsid w:val="00C15DE7"/>
    <w:rsid w:val="00C15DFC"/>
    <w:rsid w:val="00C15E7E"/>
    <w:rsid w:val="00C16D2D"/>
    <w:rsid w:val="00C20A25"/>
    <w:rsid w:val="00C2123D"/>
    <w:rsid w:val="00C2408F"/>
    <w:rsid w:val="00C24F90"/>
    <w:rsid w:val="00C26556"/>
    <w:rsid w:val="00C27D89"/>
    <w:rsid w:val="00C31417"/>
    <w:rsid w:val="00C323E9"/>
    <w:rsid w:val="00C34520"/>
    <w:rsid w:val="00C353FA"/>
    <w:rsid w:val="00C41DE6"/>
    <w:rsid w:val="00C42601"/>
    <w:rsid w:val="00C4318B"/>
    <w:rsid w:val="00C434F9"/>
    <w:rsid w:val="00C45025"/>
    <w:rsid w:val="00C4531D"/>
    <w:rsid w:val="00C46122"/>
    <w:rsid w:val="00C50157"/>
    <w:rsid w:val="00C50187"/>
    <w:rsid w:val="00C505C2"/>
    <w:rsid w:val="00C515D8"/>
    <w:rsid w:val="00C516E0"/>
    <w:rsid w:val="00C520CE"/>
    <w:rsid w:val="00C522AE"/>
    <w:rsid w:val="00C52853"/>
    <w:rsid w:val="00C54AC3"/>
    <w:rsid w:val="00C6045A"/>
    <w:rsid w:val="00C60774"/>
    <w:rsid w:val="00C607B8"/>
    <w:rsid w:val="00C60B9C"/>
    <w:rsid w:val="00C615AF"/>
    <w:rsid w:val="00C618E7"/>
    <w:rsid w:val="00C62933"/>
    <w:rsid w:val="00C62E18"/>
    <w:rsid w:val="00C644CD"/>
    <w:rsid w:val="00C655DF"/>
    <w:rsid w:val="00C67F00"/>
    <w:rsid w:val="00C7005F"/>
    <w:rsid w:val="00C71BBC"/>
    <w:rsid w:val="00C724A7"/>
    <w:rsid w:val="00C73827"/>
    <w:rsid w:val="00C7597A"/>
    <w:rsid w:val="00C76EFA"/>
    <w:rsid w:val="00C77950"/>
    <w:rsid w:val="00C779D6"/>
    <w:rsid w:val="00C77A33"/>
    <w:rsid w:val="00C77AED"/>
    <w:rsid w:val="00C81367"/>
    <w:rsid w:val="00C813AC"/>
    <w:rsid w:val="00C81440"/>
    <w:rsid w:val="00C82F3C"/>
    <w:rsid w:val="00C83428"/>
    <w:rsid w:val="00C84751"/>
    <w:rsid w:val="00C854B5"/>
    <w:rsid w:val="00C86105"/>
    <w:rsid w:val="00C86495"/>
    <w:rsid w:val="00C86520"/>
    <w:rsid w:val="00C90084"/>
    <w:rsid w:val="00C90CAA"/>
    <w:rsid w:val="00C914F8"/>
    <w:rsid w:val="00C91F56"/>
    <w:rsid w:val="00C92050"/>
    <w:rsid w:val="00C925C6"/>
    <w:rsid w:val="00C94761"/>
    <w:rsid w:val="00C94C09"/>
    <w:rsid w:val="00C94CF3"/>
    <w:rsid w:val="00C95386"/>
    <w:rsid w:val="00C965C6"/>
    <w:rsid w:val="00C96A3B"/>
    <w:rsid w:val="00C97972"/>
    <w:rsid w:val="00C97B41"/>
    <w:rsid w:val="00CA1A67"/>
    <w:rsid w:val="00CA2075"/>
    <w:rsid w:val="00CA21CE"/>
    <w:rsid w:val="00CA2C48"/>
    <w:rsid w:val="00CA2F92"/>
    <w:rsid w:val="00CA35FA"/>
    <w:rsid w:val="00CA3945"/>
    <w:rsid w:val="00CA3C2B"/>
    <w:rsid w:val="00CA43BC"/>
    <w:rsid w:val="00CA4A83"/>
    <w:rsid w:val="00CA56AE"/>
    <w:rsid w:val="00CA5DF2"/>
    <w:rsid w:val="00CA5DFA"/>
    <w:rsid w:val="00CA6897"/>
    <w:rsid w:val="00CA6BC2"/>
    <w:rsid w:val="00CA6D01"/>
    <w:rsid w:val="00CA7201"/>
    <w:rsid w:val="00CA72E9"/>
    <w:rsid w:val="00CA7D36"/>
    <w:rsid w:val="00CB08C4"/>
    <w:rsid w:val="00CB0D90"/>
    <w:rsid w:val="00CB1254"/>
    <w:rsid w:val="00CB1841"/>
    <w:rsid w:val="00CB20C8"/>
    <w:rsid w:val="00CB23EF"/>
    <w:rsid w:val="00CB244A"/>
    <w:rsid w:val="00CB2F9D"/>
    <w:rsid w:val="00CB38A8"/>
    <w:rsid w:val="00CB4F04"/>
    <w:rsid w:val="00CB5F08"/>
    <w:rsid w:val="00CB7027"/>
    <w:rsid w:val="00CB7156"/>
    <w:rsid w:val="00CB724E"/>
    <w:rsid w:val="00CB72D1"/>
    <w:rsid w:val="00CB774F"/>
    <w:rsid w:val="00CB7B0E"/>
    <w:rsid w:val="00CB7D73"/>
    <w:rsid w:val="00CC2100"/>
    <w:rsid w:val="00CC2225"/>
    <w:rsid w:val="00CC6AC6"/>
    <w:rsid w:val="00CC70FA"/>
    <w:rsid w:val="00CD06D0"/>
    <w:rsid w:val="00CD0CED"/>
    <w:rsid w:val="00CD1C37"/>
    <w:rsid w:val="00CD254E"/>
    <w:rsid w:val="00CD2F5E"/>
    <w:rsid w:val="00CD35D4"/>
    <w:rsid w:val="00CD3E35"/>
    <w:rsid w:val="00CD3EA5"/>
    <w:rsid w:val="00CD5812"/>
    <w:rsid w:val="00CD6519"/>
    <w:rsid w:val="00CD68D0"/>
    <w:rsid w:val="00CD69A3"/>
    <w:rsid w:val="00CE003B"/>
    <w:rsid w:val="00CE0216"/>
    <w:rsid w:val="00CE14C9"/>
    <w:rsid w:val="00CE35AA"/>
    <w:rsid w:val="00CE3989"/>
    <w:rsid w:val="00CE4D70"/>
    <w:rsid w:val="00CE54EC"/>
    <w:rsid w:val="00CE5BBB"/>
    <w:rsid w:val="00CE6840"/>
    <w:rsid w:val="00CE688E"/>
    <w:rsid w:val="00CE710E"/>
    <w:rsid w:val="00CE7B14"/>
    <w:rsid w:val="00CE7D55"/>
    <w:rsid w:val="00CE7E3C"/>
    <w:rsid w:val="00CF0BBA"/>
    <w:rsid w:val="00CF11F2"/>
    <w:rsid w:val="00CF2308"/>
    <w:rsid w:val="00CF3052"/>
    <w:rsid w:val="00CF71B6"/>
    <w:rsid w:val="00CF7645"/>
    <w:rsid w:val="00CF79CE"/>
    <w:rsid w:val="00CF7DA5"/>
    <w:rsid w:val="00D000DE"/>
    <w:rsid w:val="00D00D2D"/>
    <w:rsid w:val="00D014A9"/>
    <w:rsid w:val="00D03719"/>
    <w:rsid w:val="00D03B22"/>
    <w:rsid w:val="00D0491D"/>
    <w:rsid w:val="00D04D51"/>
    <w:rsid w:val="00D06247"/>
    <w:rsid w:val="00D068BC"/>
    <w:rsid w:val="00D07386"/>
    <w:rsid w:val="00D10F6D"/>
    <w:rsid w:val="00D113FB"/>
    <w:rsid w:val="00D11709"/>
    <w:rsid w:val="00D11720"/>
    <w:rsid w:val="00D12B92"/>
    <w:rsid w:val="00D146B7"/>
    <w:rsid w:val="00D16112"/>
    <w:rsid w:val="00D1719E"/>
    <w:rsid w:val="00D17AB9"/>
    <w:rsid w:val="00D200DD"/>
    <w:rsid w:val="00D2060A"/>
    <w:rsid w:val="00D206DA"/>
    <w:rsid w:val="00D20A4C"/>
    <w:rsid w:val="00D21CB5"/>
    <w:rsid w:val="00D21FE4"/>
    <w:rsid w:val="00D2445F"/>
    <w:rsid w:val="00D245DF"/>
    <w:rsid w:val="00D24883"/>
    <w:rsid w:val="00D24D19"/>
    <w:rsid w:val="00D259FE"/>
    <w:rsid w:val="00D264A2"/>
    <w:rsid w:val="00D30442"/>
    <w:rsid w:val="00D312C1"/>
    <w:rsid w:val="00D3165C"/>
    <w:rsid w:val="00D31B24"/>
    <w:rsid w:val="00D33032"/>
    <w:rsid w:val="00D331C5"/>
    <w:rsid w:val="00D33C68"/>
    <w:rsid w:val="00D33FD3"/>
    <w:rsid w:val="00D3637D"/>
    <w:rsid w:val="00D366F7"/>
    <w:rsid w:val="00D36767"/>
    <w:rsid w:val="00D37186"/>
    <w:rsid w:val="00D37311"/>
    <w:rsid w:val="00D37A02"/>
    <w:rsid w:val="00D37E42"/>
    <w:rsid w:val="00D4126F"/>
    <w:rsid w:val="00D412C7"/>
    <w:rsid w:val="00D42655"/>
    <w:rsid w:val="00D428CF"/>
    <w:rsid w:val="00D428FC"/>
    <w:rsid w:val="00D430C2"/>
    <w:rsid w:val="00D455C0"/>
    <w:rsid w:val="00D45F02"/>
    <w:rsid w:val="00D46618"/>
    <w:rsid w:val="00D472C1"/>
    <w:rsid w:val="00D47354"/>
    <w:rsid w:val="00D47681"/>
    <w:rsid w:val="00D476BB"/>
    <w:rsid w:val="00D502B0"/>
    <w:rsid w:val="00D50AA6"/>
    <w:rsid w:val="00D5220C"/>
    <w:rsid w:val="00D54836"/>
    <w:rsid w:val="00D54D02"/>
    <w:rsid w:val="00D54FC2"/>
    <w:rsid w:val="00D558C7"/>
    <w:rsid w:val="00D56212"/>
    <w:rsid w:val="00D570AD"/>
    <w:rsid w:val="00D612BF"/>
    <w:rsid w:val="00D61A72"/>
    <w:rsid w:val="00D61C84"/>
    <w:rsid w:val="00D6389F"/>
    <w:rsid w:val="00D644E3"/>
    <w:rsid w:val="00D6508F"/>
    <w:rsid w:val="00D65A1C"/>
    <w:rsid w:val="00D667C2"/>
    <w:rsid w:val="00D66DB2"/>
    <w:rsid w:val="00D67BE8"/>
    <w:rsid w:val="00D705B4"/>
    <w:rsid w:val="00D709AD"/>
    <w:rsid w:val="00D72234"/>
    <w:rsid w:val="00D72EBE"/>
    <w:rsid w:val="00D7316D"/>
    <w:rsid w:val="00D73361"/>
    <w:rsid w:val="00D73BD5"/>
    <w:rsid w:val="00D743BA"/>
    <w:rsid w:val="00D74D2A"/>
    <w:rsid w:val="00D75AF5"/>
    <w:rsid w:val="00D76483"/>
    <w:rsid w:val="00D77292"/>
    <w:rsid w:val="00D779B9"/>
    <w:rsid w:val="00D807FD"/>
    <w:rsid w:val="00D80E27"/>
    <w:rsid w:val="00D812AA"/>
    <w:rsid w:val="00D81BA1"/>
    <w:rsid w:val="00D827D5"/>
    <w:rsid w:val="00D82B90"/>
    <w:rsid w:val="00D82FA6"/>
    <w:rsid w:val="00D83263"/>
    <w:rsid w:val="00D83B6C"/>
    <w:rsid w:val="00D86575"/>
    <w:rsid w:val="00D8681A"/>
    <w:rsid w:val="00D869C0"/>
    <w:rsid w:val="00D86AE4"/>
    <w:rsid w:val="00D86CAB"/>
    <w:rsid w:val="00D87505"/>
    <w:rsid w:val="00D878C5"/>
    <w:rsid w:val="00D87D48"/>
    <w:rsid w:val="00D90319"/>
    <w:rsid w:val="00D90747"/>
    <w:rsid w:val="00D91CC7"/>
    <w:rsid w:val="00D922EA"/>
    <w:rsid w:val="00D9246F"/>
    <w:rsid w:val="00D96519"/>
    <w:rsid w:val="00D9668B"/>
    <w:rsid w:val="00D9677C"/>
    <w:rsid w:val="00D96835"/>
    <w:rsid w:val="00DA0766"/>
    <w:rsid w:val="00DA1600"/>
    <w:rsid w:val="00DA18B6"/>
    <w:rsid w:val="00DA2CFD"/>
    <w:rsid w:val="00DA3CBD"/>
    <w:rsid w:val="00DA424F"/>
    <w:rsid w:val="00DA4322"/>
    <w:rsid w:val="00DA47B6"/>
    <w:rsid w:val="00DA568F"/>
    <w:rsid w:val="00DA5CA5"/>
    <w:rsid w:val="00DA5D11"/>
    <w:rsid w:val="00DA6B7D"/>
    <w:rsid w:val="00DA6F4D"/>
    <w:rsid w:val="00DA7E9E"/>
    <w:rsid w:val="00DB0B49"/>
    <w:rsid w:val="00DB24DD"/>
    <w:rsid w:val="00DB5FB4"/>
    <w:rsid w:val="00DB79E7"/>
    <w:rsid w:val="00DB7EB2"/>
    <w:rsid w:val="00DC0706"/>
    <w:rsid w:val="00DC33E6"/>
    <w:rsid w:val="00DC3FF3"/>
    <w:rsid w:val="00DC5FB8"/>
    <w:rsid w:val="00DC6521"/>
    <w:rsid w:val="00DC7133"/>
    <w:rsid w:val="00DD007C"/>
    <w:rsid w:val="00DD148B"/>
    <w:rsid w:val="00DD1B8E"/>
    <w:rsid w:val="00DD300F"/>
    <w:rsid w:val="00DD414F"/>
    <w:rsid w:val="00DD44B2"/>
    <w:rsid w:val="00DD5DC6"/>
    <w:rsid w:val="00DD72A7"/>
    <w:rsid w:val="00DD731D"/>
    <w:rsid w:val="00DD76BD"/>
    <w:rsid w:val="00DD7EC6"/>
    <w:rsid w:val="00DE0701"/>
    <w:rsid w:val="00DE13EB"/>
    <w:rsid w:val="00DE1E88"/>
    <w:rsid w:val="00DE202D"/>
    <w:rsid w:val="00DE20FF"/>
    <w:rsid w:val="00DE214A"/>
    <w:rsid w:val="00DE2421"/>
    <w:rsid w:val="00DE2514"/>
    <w:rsid w:val="00DE29B6"/>
    <w:rsid w:val="00DE3A4C"/>
    <w:rsid w:val="00DE5788"/>
    <w:rsid w:val="00DE61ED"/>
    <w:rsid w:val="00DE641F"/>
    <w:rsid w:val="00DE7025"/>
    <w:rsid w:val="00DE76B1"/>
    <w:rsid w:val="00DF13A7"/>
    <w:rsid w:val="00DF31E4"/>
    <w:rsid w:val="00DF33C5"/>
    <w:rsid w:val="00DF3523"/>
    <w:rsid w:val="00DF3742"/>
    <w:rsid w:val="00DF3D95"/>
    <w:rsid w:val="00DF4F9B"/>
    <w:rsid w:val="00DF54BC"/>
    <w:rsid w:val="00DF5BE1"/>
    <w:rsid w:val="00DF7B9E"/>
    <w:rsid w:val="00DF7F2E"/>
    <w:rsid w:val="00E00747"/>
    <w:rsid w:val="00E008EA"/>
    <w:rsid w:val="00E009BF"/>
    <w:rsid w:val="00E01143"/>
    <w:rsid w:val="00E0328F"/>
    <w:rsid w:val="00E034F5"/>
    <w:rsid w:val="00E03EEB"/>
    <w:rsid w:val="00E04780"/>
    <w:rsid w:val="00E0511B"/>
    <w:rsid w:val="00E05697"/>
    <w:rsid w:val="00E0679B"/>
    <w:rsid w:val="00E069B9"/>
    <w:rsid w:val="00E06BEE"/>
    <w:rsid w:val="00E06EAA"/>
    <w:rsid w:val="00E076CB"/>
    <w:rsid w:val="00E07B8B"/>
    <w:rsid w:val="00E108C9"/>
    <w:rsid w:val="00E12279"/>
    <w:rsid w:val="00E13319"/>
    <w:rsid w:val="00E1542A"/>
    <w:rsid w:val="00E156F5"/>
    <w:rsid w:val="00E15DDA"/>
    <w:rsid w:val="00E163AA"/>
    <w:rsid w:val="00E16F2B"/>
    <w:rsid w:val="00E17789"/>
    <w:rsid w:val="00E20046"/>
    <w:rsid w:val="00E20FF4"/>
    <w:rsid w:val="00E21378"/>
    <w:rsid w:val="00E21724"/>
    <w:rsid w:val="00E225D4"/>
    <w:rsid w:val="00E24371"/>
    <w:rsid w:val="00E245AC"/>
    <w:rsid w:val="00E2532F"/>
    <w:rsid w:val="00E259A4"/>
    <w:rsid w:val="00E2618B"/>
    <w:rsid w:val="00E268AE"/>
    <w:rsid w:val="00E26A62"/>
    <w:rsid w:val="00E27B65"/>
    <w:rsid w:val="00E30A25"/>
    <w:rsid w:val="00E30D6F"/>
    <w:rsid w:val="00E30E1A"/>
    <w:rsid w:val="00E31B1A"/>
    <w:rsid w:val="00E321F1"/>
    <w:rsid w:val="00E328CA"/>
    <w:rsid w:val="00E3366A"/>
    <w:rsid w:val="00E33AD9"/>
    <w:rsid w:val="00E354C5"/>
    <w:rsid w:val="00E36168"/>
    <w:rsid w:val="00E36A5A"/>
    <w:rsid w:val="00E37536"/>
    <w:rsid w:val="00E37539"/>
    <w:rsid w:val="00E375E1"/>
    <w:rsid w:val="00E37E8F"/>
    <w:rsid w:val="00E40684"/>
    <w:rsid w:val="00E407AF"/>
    <w:rsid w:val="00E40BF4"/>
    <w:rsid w:val="00E41510"/>
    <w:rsid w:val="00E417FF"/>
    <w:rsid w:val="00E422A6"/>
    <w:rsid w:val="00E438F5"/>
    <w:rsid w:val="00E44AF9"/>
    <w:rsid w:val="00E44FDA"/>
    <w:rsid w:val="00E457E8"/>
    <w:rsid w:val="00E45FC1"/>
    <w:rsid w:val="00E460FE"/>
    <w:rsid w:val="00E46B25"/>
    <w:rsid w:val="00E46DBE"/>
    <w:rsid w:val="00E47831"/>
    <w:rsid w:val="00E47A61"/>
    <w:rsid w:val="00E47AA3"/>
    <w:rsid w:val="00E50B6F"/>
    <w:rsid w:val="00E51027"/>
    <w:rsid w:val="00E51695"/>
    <w:rsid w:val="00E51CF2"/>
    <w:rsid w:val="00E525AD"/>
    <w:rsid w:val="00E52AAD"/>
    <w:rsid w:val="00E52CF7"/>
    <w:rsid w:val="00E5347E"/>
    <w:rsid w:val="00E55AC7"/>
    <w:rsid w:val="00E564FF"/>
    <w:rsid w:val="00E56E44"/>
    <w:rsid w:val="00E577A1"/>
    <w:rsid w:val="00E57CE6"/>
    <w:rsid w:val="00E60299"/>
    <w:rsid w:val="00E60EF6"/>
    <w:rsid w:val="00E617E0"/>
    <w:rsid w:val="00E61C32"/>
    <w:rsid w:val="00E64374"/>
    <w:rsid w:val="00E64AC0"/>
    <w:rsid w:val="00E65533"/>
    <w:rsid w:val="00E65F33"/>
    <w:rsid w:val="00E65FA5"/>
    <w:rsid w:val="00E6620B"/>
    <w:rsid w:val="00E66239"/>
    <w:rsid w:val="00E67C45"/>
    <w:rsid w:val="00E706A4"/>
    <w:rsid w:val="00E71125"/>
    <w:rsid w:val="00E714DF"/>
    <w:rsid w:val="00E71664"/>
    <w:rsid w:val="00E7363E"/>
    <w:rsid w:val="00E73C31"/>
    <w:rsid w:val="00E73E34"/>
    <w:rsid w:val="00E74010"/>
    <w:rsid w:val="00E759A7"/>
    <w:rsid w:val="00E772F1"/>
    <w:rsid w:val="00E80AE7"/>
    <w:rsid w:val="00E80F27"/>
    <w:rsid w:val="00E81D20"/>
    <w:rsid w:val="00E81EC5"/>
    <w:rsid w:val="00E82EBF"/>
    <w:rsid w:val="00E830F2"/>
    <w:rsid w:val="00E8414C"/>
    <w:rsid w:val="00E849D3"/>
    <w:rsid w:val="00E84D79"/>
    <w:rsid w:val="00E85BBC"/>
    <w:rsid w:val="00E86D3B"/>
    <w:rsid w:val="00E916F9"/>
    <w:rsid w:val="00E91CA4"/>
    <w:rsid w:val="00E92346"/>
    <w:rsid w:val="00E925E0"/>
    <w:rsid w:val="00E93B68"/>
    <w:rsid w:val="00E941BC"/>
    <w:rsid w:val="00E94468"/>
    <w:rsid w:val="00E9476B"/>
    <w:rsid w:val="00E94BAB"/>
    <w:rsid w:val="00E94EBE"/>
    <w:rsid w:val="00E9550D"/>
    <w:rsid w:val="00E958ED"/>
    <w:rsid w:val="00E9678C"/>
    <w:rsid w:val="00E96AB9"/>
    <w:rsid w:val="00E97895"/>
    <w:rsid w:val="00E97BE3"/>
    <w:rsid w:val="00EA087B"/>
    <w:rsid w:val="00EA0A1D"/>
    <w:rsid w:val="00EA23AE"/>
    <w:rsid w:val="00EA2CDA"/>
    <w:rsid w:val="00EA48FB"/>
    <w:rsid w:val="00EA4DAA"/>
    <w:rsid w:val="00EA5473"/>
    <w:rsid w:val="00EA5F60"/>
    <w:rsid w:val="00EA7958"/>
    <w:rsid w:val="00EB1060"/>
    <w:rsid w:val="00EB1E15"/>
    <w:rsid w:val="00EB2B28"/>
    <w:rsid w:val="00EB3BE5"/>
    <w:rsid w:val="00EB5802"/>
    <w:rsid w:val="00EB6512"/>
    <w:rsid w:val="00EB6D65"/>
    <w:rsid w:val="00EB7443"/>
    <w:rsid w:val="00EB7852"/>
    <w:rsid w:val="00EB78A1"/>
    <w:rsid w:val="00EC0039"/>
    <w:rsid w:val="00EC1A9F"/>
    <w:rsid w:val="00EC1FDA"/>
    <w:rsid w:val="00EC293C"/>
    <w:rsid w:val="00EC3791"/>
    <w:rsid w:val="00EC4B05"/>
    <w:rsid w:val="00EC547F"/>
    <w:rsid w:val="00EC5C06"/>
    <w:rsid w:val="00EC62EB"/>
    <w:rsid w:val="00EC6974"/>
    <w:rsid w:val="00EC772D"/>
    <w:rsid w:val="00EC78C8"/>
    <w:rsid w:val="00ED0968"/>
    <w:rsid w:val="00ED137B"/>
    <w:rsid w:val="00ED1FCD"/>
    <w:rsid w:val="00ED42A7"/>
    <w:rsid w:val="00ED469A"/>
    <w:rsid w:val="00ED4C94"/>
    <w:rsid w:val="00ED7DC6"/>
    <w:rsid w:val="00EE032E"/>
    <w:rsid w:val="00EE06D4"/>
    <w:rsid w:val="00EE156C"/>
    <w:rsid w:val="00EE1EF0"/>
    <w:rsid w:val="00EE21C1"/>
    <w:rsid w:val="00EE2944"/>
    <w:rsid w:val="00EE3408"/>
    <w:rsid w:val="00EE48CC"/>
    <w:rsid w:val="00EE5D30"/>
    <w:rsid w:val="00EE5EAA"/>
    <w:rsid w:val="00EE75A5"/>
    <w:rsid w:val="00EF028A"/>
    <w:rsid w:val="00EF047B"/>
    <w:rsid w:val="00EF0573"/>
    <w:rsid w:val="00EF05D7"/>
    <w:rsid w:val="00EF20D1"/>
    <w:rsid w:val="00EF23C3"/>
    <w:rsid w:val="00EF23F2"/>
    <w:rsid w:val="00EF2F4B"/>
    <w:rsid w:val="00EF2F6F"/>
    <w:rsid w:val="00EF3254"/>
    <w:rsid w:val="00EF5A30"/>
    <w:rsid w:val="00EF5F7D"/>
    <w:rsid w:val="00EF62D6"/>
    <w:rsid w:val="00EF6911"/>
    <w:rsid w:val="00EF6BAE"/>
    <w:rsid w:val="00EF6D3C"/>
    <w:rsid w:val="00EF7A5D"/>
    <w:rsid w:val="00EF7E08"/>
    <w:rsid w:val="00F01180"/>
    <w:rsid w:val="00F020DF"/>
    <w:rsid w:val="00F0252B"/>
    <w:rsid w:val="00F0424D"/>
    <w:rsid w:val="00F04A15"/>
    <w:rsid w:val="00F06249"/>
    <w:rsid w:val="00F0759C"/>
    <w:rsid w:val="00F1304F"/>
    <w:rsid w:val="00F13FDB"/>
    <w:rsid w:val="00F14579"/>
    <w:rsid w:val="00F164D7"/>
    <w:rsid w:val="00F16A55"/>
    <w:rsid w:val="00F17211"/>
    <w:rsid w:val="00F173C3"/>
    <w:rsid w:val="00F17CC6"/>
    <w:rsid w:val="00F213C4"/>
    <w:rsid w:val="00F219A9"/>
    <w:rsid w:val="00F21DE0"/>
    <w:rsid w:val="00F22E6A"/>
    <w:rsid w:val="00F236D2"/>
    <w:rsid w:val="00F254FF"/>
    <w:rsid w:val="00F265A5"/>
    <w:rsid w:val="00F2690A"/>
    <w:rsid w:val="00F26AAD"/>
    <w:rsid w:val="00F26AC7"/>
    <w:rsid w:val="00F27DEA"/>
    <w:rsid w:val="00F30208"/>
    <w:rsid w:val="00F30276"/>
    <w:rsid w:val="00F307BB"/>
    <w:rsid w:val="00F3168F"/>
    <w:rsid w:val="00F31CDB"/>
    <w:rsid w:val="00F321E7"/>
    <w:rsid w:val="00F32511"/>
    <w:rsid w:val="00F33C1D"/>
    <w:rsid w:val="00F33F3C"/>
    <w:rsid w:val="00F3416B"/>
    <w:rsid w:val="00F34E4F"/>
    <w:rsid w:val="00F351E6"/>
    <w:rsid w:val="00F35AEF"/>
    <w:rsid w:val="00F370B6"/>
    <w:rsid w:val="00F405B7"/>
    <w:rsid w:val="00F40AE3"/>
    <w:rsid w:val="00F40D39"/>
    <w:rsid w:val="00F41C60"/>
    <w:rsid w:val="00F41E69"/>
    <w:rsid w:val="00F42999"/>
    <w:rsid w:val="00F43707"/>
    <w:rsid w:val="00F44EFD"/>
    <w:rsid w:val="00F46374"/>
    <w:rsid w:val="00F46876"/>
    <w:rsid w:val="00F4704E"/>
    <w:rsid w:val="00F47B03"/>
    <w:rsid w:val="00F47B15"/>
    <w:rsid w:val="00F47F90"/>
    <w:rsid w:val="00F51313"/>
    <w:rsid w:val="00F51BA5"/>
    <w:rsid w:val="00F52FA4"/>
    <w:rsid w:val="00F535A7"/>
    <w:rsid w:val="00F53784"/>
    <w:rsid w:val="00F53BF9"/>
    <w:rsid w:val="00F54114"/>
    <w:rsid w:val="00F54167"/>
    <w:rsid w:val="00F5455E"/>
    <w:rsid w:val="00F54D8B"/>
    <w:rsid w:val="00F5613C"/>
    <w:rsid w:val="00F56FD9"/>
    <w:rsid w:val="00F570FF"/>
    <w:rsid w:val="00F57290"/>
    <w:rsid w:val="00F57AE5"/>
    <w:rsid w:val="00F57F02"/>
    <w:rsid w:val="00F60F97"/>
    <w:rsid w:val="00F624EE"/>
    <w:rsid w:val="00F64DBD"/>
    <w:rsid w:val="00F65A01"/>
    <w:rsid w:val="00F65AFC"/>
    <w:rsid w:val="00F670D3"/>
    <w:rsid w:val="00F6733E"/>
    <w:rsid w:val="00F674C9"/>
    <w:rsid w:val="00F67ED4"/>
    <w:rsid w:val="00F67F7F"/>
    <w:rsid w:val="00F70929"/>
    <w:rsid w:val="00F70FDB"/>
    <w:rsid w:val="00F72290"/>
    <w:rsid w:val="00F72E05"/>
    <w:rsid w:val="00F72F8F"/>
    <w:rsid w:val="00F749EC"/>
    <w:rsid w:val="00F75543"/>
    <w:rsid w:val="00F75984"/>
    <w:rsid w:val="00F75AAC"/>
    <w:rsid w:val="00F75BCE"/>
    <w:rsid w:val="00F75DAC"/>
    <w:rsid w:val="00F7693F"/>
    <w:rsid w:val="00F77CAE"/>
    <w:rsid w:val="00F77F88"/>
    <w:rsid w:val="00F80BB0"/>
    <w:rsid w:val="00F81004"/>
    <w:rsid w:val="00F81BFC"/>
    <w:rsid w:val="00F81E1E"/>
    <w:rsid w:val="00F852D8"/>
    <w:rsid w:val="00F86184"/>
    <w:rsid w:val="00F87418"/>
    <w:rsid w:val="00F875F5"/>
    <w:rsid w:val="00F90072"/>
    <w:rsid w:val="00F90AE4"/>
    <w:rsid w:val="00F91069"/>
    <w:rsid w:val="00F920AC"/>
    <w:rsid w:val="00F9359F"/>
    <w:rsid w:val="00F94210"/>
    <w:rsid w:val="00F94B94"/>
    <w:rsid w:val="00F94EC9"/>
    <w:rsid w:val="00F95973"/>
    <w:rsid w:val="00F959E2"/>
    <w:rsid w:val="00F96A72"/>
    <w:rsid w:val="00F975FB"/>
    <w:rsid w:val="00FA0102"/>
    <w:rsid w:val="00FA1320"/>
    <w:rsid w:val="00FA1E22"/>
    <w:rsid w:val="00FA235F"/>
    <w:rsid w:val="00FA2A7F"/>
    <w:rsid w:val="00FA3376"/>
    <w:rsid w:val="00FA55BF"/>
    <w:rsid w:val="00FA5B9C"/>
    <w:rsid w:val="00FA6CB2"/>
    <w:rsid w:val="00FB0385"/>
    <w:rsid w:val="00FB1CA4"/>
    <w:rsid w:val="00FB2B25"/>
    <w:rsid w:val="00FB30DD"/>
    <w:rsid w:val="00FB4944"/>
    <w:rsid w:val="00FB4D28"/>
    <w:rsid w:val="00FB4DD6"/>
    <w:rsid w:val="00FB5351"/>
    <w:rsid w:val="00FB5F91"/>
    <w:rsid w:val="00FB5FF0"/>
    <w:rsid w:val="00FB606A"/>
    <w:rsid w:val="00FB61FC"/>
    <w:rsid w:val="00FB6423"/>
    <w:rsid w:val="00FC24E3"/>
    <w:rsid w:val="00FC27E0"/>
    <w:rsid w:val="00FC29F4"/>
    <w:rsid w:val="00FC2DFF"/>
    <w:rsid w:val="00FC484E"/>
    <w:rsid w:val="00FC4CAA"/>
    <w:rsid w:val="00FC5B7E"/>
    <w:rsid w:val="00FC5BEC"/>
    <w:rsid w:val="00FC61D5"/>
    <w:rsid w:val="00FC6952"/>
    <w:rsid w:val="00FD032D"/>
    <w:rsid w:val="00FD0D94"/>
    <w:rsid w:val="00FD1B5E"/>
    <w:rsid w:val="00FD1E7C"/>
    <w:rsid w:val="00FD202B"/>
    <w:rsid w:val="00FD38C6"/>
    <w:rsid w:val="00FD3C43"/>
    <w:rsid w:val="00FD4248"/>
    <w:rsid w:val="00FD4624"/>
    <w:rsid w:val="00FD47C4"/>
    <w:rsid w:val="00FD62FC"/>
    <w:rsid w:val="00FD6426"/>
    <w:rsid w:val="00FD7579"/>
    <w:rsid w:val="00FD7590"/>
    <w:rsid w:val="00FE029C"/>
    <w:rsid w:val="00FE04C6"/>
    <w:rsid w:val="00FE23EA"/>
    <w:rsid w:val="00FE281B"/>
    <w:rsid w:val="00FE339F"/>
    <w:rsid w:val="00FE47F8"/>
    <w:rsid w:val="00FE4CE7"/>
    <w:rsid w:val="00FE5520"/>
    <w:rsid w:val="00FE592C"/>
    <w:rsid w:val="00FE60FC"/>
    <w:rsid w:val="00FE66DC"/>
    <w:rsid w:val="00FE77A4"/>
    <w:rsid w:val="00FF0160"/>
    <w:rsid w:val="00FF0F09"/>
    <w:rsid w:val="00FF1830"/>
    <w:rsid w:val="00FF2956"/>
    <w:rsid w:val="00FF2B14"/>
    <w:rsid w:val="00FF3649"/>
    <w:rsid w:val="00FF3BDE"/>
    <w:rsid w:val="00FF42F8"/>
    <w:rsid w:val="00FF48C2"/>
    <w:rsid w:val="00FF581B"/>
    <w:rsid w:val="00FF5B14"/>
    <w:rsid w:val="00FF727D"/>
    <w:rsid w:val="00FF7449"/>
    <w:rsid w:val="00FF7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4:docId w14:val="0389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F0"/>
    <w:pPr>
      <w:spacing w:after="120"/>
    </w:pPr>
    <w:rPr>
      <w:szCs w:val="24"/>
    </w:rPr>
  </w:style>
  <w:style w:type="paragraph" w:styleId="Heading1">
    <w:name w:val="heading 1"/>
    <w:basedOn w:val="Normal"/>
    <w:next w:val="Normal"/>
    <w:link w:val="Heading1Char"/>
    <w:uiPriority w:val="9"/>
    <w:qFormat/>
    <w:rsid w:val="00AB24D3"/>
    <w:pPr>
      <w:keepNext/>
      <w:spacing w:before="240" w:after="60"/>
      <w:outlineLvl w:val="0"/>
    </w:pPr>
    <w:rPr>
      <w:rFonts w:asciiTheme="majorHAnsi" w:eastAsiaTheme="majorEastAsia" w:hAnsiTheme="majorHAnsi"/>
      <w:b/>
      <w:bCs/>
      <w:kern w:val="32"/>
      <w:sz w:val="36"/>
      <w:szCs w:val="32"/>
    </w:rPr>
  </w:style>
  <w:style w:type="paragraph" w:styleId="Heading2">
    <w:name w:val="heading 2"/>
    <w:basedOn w:val="Normal"/>
    <w:next w:val="Normal"/>
    <w:link w:val="Heading2Char"/>
    <w:uiPriority w:val="9"/>
    <w:unhideWhenUsed/>
    <w:qFormat/>
    <w:rsid w:val="00C644CD"/>
    <w:pPr>
      <w:keepNext/>
      <w:spacing w:before="120" w:after="60"/>
      <w:outlineLvl w:val="1"/>
    </w:pPr>
    <w:rPr>
      <w:rFonts w:asciiTheme="majorHAnsi" w:eastAsiaTheme="majorEastAsia" w:hAnsiTheme="majorHAnsi"/>
      <w:b/>
      <w:bCs/>
      <w:i/>
      <w:iCs/>
      <w:sz w:val="32"/>
      <w:szCs w:val="28"/>
    </w:rPr>
  </w:style>
  <w:style w:type="paragraph" w:styleId="Heading3">
    <w:name w:val="heading 3"/>
    <w:basedOn w:val="Normal"/>
    <w:next w:val="Normal"/>
    <w:link w:val="Heading3Char"/>
    <w:uiPriority w:val="9"/>
    <w:unhideWhenUsed/>
    <w:qFormat/>
    <w:rsid w:val="00C644CD"/>
    <w:pPr>
      <w:keepNext/>
      <w:spacing w:before="120" w:after="60"/>
      <w:outlineLvl w:val="2"/>
    </w:pPr>
    <w:rPr>
      <w:rFonts w:asciiTheme="majorHAnsi" w:eastAsiaTheme="majorEastAsia" w:hAnsiTheme="majorHAnsi"/>
      <w:b/>
      <w:bCs/>
      <w:sz w:val="28"/>
      <w:szCs w:val="26"/>
    </w:rPr>
  </w:style>
  <w:style w:type="paragraph" w:styleId="Heading4">
    <w:name w:val="heading 4"/>
    <w:basedOn w:val="Normal"/>
    <w:next w:val="Normal"/>
    <w:link w:val="Heading4Char"/>
    <w:uiPriority w:val="9"/>
    <w:unhideWhenUsed/>
    <w:qFormat/>
    <w:rsid w:val="00561138"/>
    <w:pPr>
      <w:keepNext/>
      <w:spacing w:before="120" w:after="60"/>
      <w:outlineLvl w:val="3"/>
    </w:pPr>
    <w:rPr>
      <w:rFonts w:asciiTheme="majorHAnsi" w:hAnsiTheme="majorHAnsi"/>
      <w:b/>
      <w:bCs/>
      <w:color w:val="000000"/>
      <w:szCs w:val="28"/>
      <w14:textFill>
        <w14:solidFill>
          <w14:srgbClr w14:val="000000">
            <w14:lumMod w14:val="75000"/>
          </w14:srgbClr>
        </w14:solidFill>
      </w14:textFill>
    </w:rPr>
  </w:style>
  <w:style w:type="paragraph" w:styleId="Heading5">
    <w:name w:val="heading 5"/>
    <w:basedOn w:val="Normal"/>
    <w:next w:val="Normal"/>
    <w:link w:val="Heading5Char"/>
    <w:uiPriority w:val="9"/>
    <w:unhideWhenUsed/>
    <w:qFormat/>
    <w:rsid w:val="00561138"/>
    <w:pPr>
      <w:keepNext/>
      <w:spacing w:before="120" w:after="60"/>
      <w:outlineLvl w:val="4"/>
    </w:pPr>
    <w:rPr>
      <w:b/>
      <w:bCs/>
      <w:i/>
      <w:iCs/>
      <w:szCs w:val="26"/>
    </w:rPr>
  </w:style>
  <w:style w:type="paragraph" w:styleId="Heading6">
    <w:name w:val="heading 6"/>
    <w:basedOn w:val="Normal"/>
    <w:next w:val="Normal"/>
    <w:link w:val="Heading6Char"/>
    <w:autoRedefine/>
    <w:uiPriority w:val="9"/>
    <w:unhideWhenUsed/>
    <w:qFormat/>
    <w:rsid w:val="00655761"/>
    <w:pPr>
      <w:keepNext/>
      <w:spacing w:before="60" w:after="60"/>
      <w:outlineLvl w:val="5"/>
    </w:pPr>
    <w:rPr>
      <w:b/>
      <w:bCs/>
      <w:i/>
      <w:color w:val="2D3E7B" w:themeColor="text2" w:themeShade="BF"/>
      <w:szCs w:val="22"/>
    </w:rPr>
  </w:style>
  <w:style w:type="paragraph" w:styleId="Heading7">
    <w:name w:val="heading 7"/>
    <w:basedOn w:val="Normal"/>
    <w:next w:val="Normal"/>
    <w:link w:val="Heading7Char"/>
    <w:uiPriority w:val="9"/>
    <w:unhideWhenUsed/>
    <w:qFormat/>
    <w:rsid w:val="004F2C55"/>
    <w:pPr>
      <w:spacing w:before="240" w:after="60"/>
      <w:outlineLvl w:val="6"/>
    </w:pPr>
  </w:style>
  <w:style w:type="paragraph" w:styleId="Heading8">
    <w:name w:val="heading 8"/>
    <w:basedOn w:val="Normal"/>
    <w:next w:val="Normal"/>
    <w:link w:val="Heading8Char"/>
    <w:uiPriority w:val="9"/>
    <w:unhideWhenUsed/>
    <w:qFormat/>
    <w:rsid w:val="004F2C55"/>
    <w:pPr>
      <w:spacing w:before="240" w:after="60"/>
      <w:outlineLvl w:val="7"/>
    </w:pPr>
    <w:rPr>
      <w:i/>
      <w:iCs/>
    </w:rPr>
  </w:style>
  <w:style w:type="paragraph" w:styleId="Heading9">
    <w:name w:val="heading 9"/>
    <w:basedOn w:val="Normal"/>
    <w:next w:val="Normal"/>
    <w:link w:val="Heading9Char"/>
    <w:uiPriority w:val="9"/>
    <w:unhideWhenUsed/>
    <w:qFormat/>
    <w:rsid w:val="004F2C5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3">
    <w:name w:val="WW8Num3z3"/>
    <w:rsid w:val="00641C90"/>
    <w:rPr>
      <w:rFonts w:ascii="Arial" w:hAnsi="Arial" w:cs="Arial"/>
      <w:sz w:val="18"/>
      <w:szCs w:val="18"/>
    </w:rPr>
  </w:style>
  <w:style w:type="character" w:customStyle="1" w:styleId="WW8Num5z0">
    <w:name w:val="WW8Num5z0"/>
    <w:rsid w:val="00641C90"/>
    <w:rPr>
      <w:rFonts w:ascii="Symbol" w:hAnsi="Symbol"/>
      <w:color w:val="auto"/>
      <w:sz w:val="28"/>
    </w:rPr>
  </w:style>
  <w:style w:type="character" w:customStyle="1" w:styleId="WW8Num6z0">
    <w:name w:val="WW8Num6z0"/>
    <w:rsid w:val="00641C90"/>
    <w:rPr>
      <w:rFonts w:ascii="Symbol" w:hAnsi="Symbol"/>
    </w:rPr>
  </w:style>
  <w:style w:type="character" w:customStyle="1" w:styleId="WW8Num7z0">
    <w:name w:val="WW8Num7z0"/>
    <w:rsid w:val="00641C90"/>
    <w:rPr>
      <w:rFonts w:ascii="Wingdings" w:hAnsi="Wingdings"/>
      <w:sz w:val="12"/>
    </w:rPr>
  </w:style>
  <w:style w:type="character" w:customStyle="1" w:styleId="WW8Num10z0">
    <w:name w:val="WW8Num10z0"/>
    <w:rsid w:val="00641C90"/>
    <w:rPr>
      <w:rFonts w:ascii="Wingdings" w:hAnsi="Wingdings"/>
    </w:rPr>
  </w:style>
  <w:style w:type="character" w:customStyle="1" w:styleId="WW8Num10z1">
    <w:name w:val="WW8Num10z1"/>
    <w:rsid w:val="00641C90"/>
    <w:rPr>
      <w:rFonts w:ascii="Courier New" w:hAnsi="Courier New" w:cs="Courier New"/>
    </w:rPr>
  </w:style>
  <w:style w:type="character" w:customStyle="1" w:styleId="WW8Num10z3">
    <w:name w:val="WW8Num10z3"/>
    <w:rsid w:val="00641C90"/>
    <w:rPr>
      <w:rFonts w:ascii="Symbol" w:hAnsi="Symbol"/>
    </w:rPr>
  </w:style>
  <w:style w:type="character" w:customStyle="1" w:styleId="WW8Num11z0">
    <w:name w:val="WW8Num11z0"/>
    <w:rsid w:val="00641C90"/>
    <w:rPr>
      <w:rFonts w:ascii="Symbol" w:hAnsi="Symbol"/>
    </w:rPr>
  </w:style>
  <w:style w:type="character" w:customStyle="1" w:styleId="WW8Num12z0">
    <w:name w:val="WW8Num12z0"/>
    <w:rsid w:val="00641C90"/>
    <w:rPr>
      <w:rFonts w:ascii="Symbol" w:hAnsi="Symbol"/>
    </w:rPr>
  </w:style>
  <w:style w:type="character" w:customStyle="1" w:styleId="WW8Num12z1">
    <w:name w:val="WW8Num12z1"/>
    <w:rsid w:val="00641C90"/>
    <w:rPr>
      <w:rFonts w:ascii="Courier New" w:hAnsi="Courier New" w:cs="Courier New"/>
    </w:rPr>
  </w:style>
  <w:style w:type="character" w:customStyle="1" w:styleId="WW8Num12z2">
    <w:name w:val="WW8Num12z2"/>
    <w:rsid w:val="00641C90"/>
    <w:rPr>
      <w:rFonts w:ascii="Wingdings" w:hAnsi="Wingdings"/>
    </w:rPr>
  </w:style>
  <w:style w:type="character" w:customStyle="1" w:styleId="WW8Num13z0">
    <w:name w:val="WW8Num13z0"/>
    <w:rsid w:val="00641C90"/>
    <w:rPr>
      <w:rFonts w:ascii="Wingdings" w:hAnsi="Wingdings"/>
      <w:sz w:val="16"/>
    </w:rPr>
  </w:style>
  <w:style w:type="character" w:customStyle="1" w:styleId="WW8Num14z0">
    <w:name w:val="WW8Num14z0"/>
    <w:rsid w:val="00641C90"/>
    <w:rPr>
      <w:rFonts w:ascii="Symbol" w:hAnsi="Symbol"/>
    </w:rPr>
  </w:style>
  <w:style w:type="character" w:customStyle="1" w:styleId="WW8Num14z1">
    <w:name w:val="WW8Num14z1"/>
    <w:rsid w:val="00641C90"/>
    <w:rPr>
      <w:rFonts w:ascii="Courier New" w:hAnsi="Courier New"/>
    </w:rPr>
  </w:style>
  <w:style w:type="character" w:customStyle="1" w:styleId="WW8Num14z2">
    <w:name w:val="WW8Num14z2"/>
    <w:rsid w:val="00641C90"/>
    <w:rPr>
      <w:rFonts w:ascii="Wingdings" w:hAnsi="Wingdings"/>
    </w:rPr>
  </w:style>
  <w:style w:type="character" w:customStyle="1" w:styleId="WW8Num15z0">
    <w:name w:val="WW8Num15z0"/>
    <w:rsid w:val="00641C90"/>
    <w:rPr>
      <w:rFonts w:ascii="Courier New" w:hAnsi="Courier New"/>
    </w:rPr>
  </w:style>
  <w:style w:type="character" w:customStyle="1" w:styleId="WW8Num15z2">
    <w:name w:val="WW8Num15z2"/>
    <w:rsid w:val="00641C90"/>
    <w:rPr>
      <w:rFonts w:ascii="Wingdings" w:hAnsi="Wingdings"/>
    </w:rPr>
  </w:style>
  <w:style w:type="character" w:customStyle="1" w:styleId="WW8Num15z3">
    <w:name w:val="WW8Num15z3"/>
    <w:rsid w:val="00641C90"/>
    <w:rPr>
      <w:rFonts w:ascii="Symbol" w:hAnsi="Symbol"/>
    </w:rPr>
  </w:style>
  <w:style w:type="character" w:customStyle="1" w:styleId="WW8Num16z0">
    <w:name w:val="WW8Num16z0"/>
    <w:rsid w:val="00641C90"/>
    <w:rPr>
      <w:rFonts w:ascii="Wingdings" w:hAnsi="Wingdings"/>
      <w:sz w:val="16"/>
    </w:rPr>
  </w:style>
  <w:style w:type="character" w:customStyle="1" w:styleId="WW8Num17z0">
    <w:name w:val="WW8Num17z0"/>
    <w:rsid w:val="00641C90"/>
    <w:rPr>
      <w:rFonts w:ascii="Wingdings" w:hAnsi="Wingdings"/>
    </w:rPr>
  </w:style>
  <w:style w:type="character" w:customStyle="1" w:styleId="WW8Num18z0">
    <w:name w:val="WW8Num18z0"/>
    <w:rsid w:val="00641C90"/>
    <w:rPr>
      <w:rFonts w:ascii="Wingdings" w:hAnsi="Wingdings"/>
    </w:rPr>
  </w:style>
  <w:style w:type="character" w:customStyle="1" w:styleId="WW8Num18z1">
    <w:name w:val="WW8Num18z1"/>
    <w:rsid w:val="00641C90"/>
    <w:rPr>
      <w:rFonts w:ascii="Symbol" w:hAnsi="Symbol"/>
    </w:rPr>
  </w:style>
  <w:style w:type="character" w:customStyle="1" w:styleId="WW8Num18z4">
    <w:name w:val="WW8Num18z4"/>
    <w:rsid w:val="00641C90"/>
    <w:rPr>
      <w:rFonts w:ascii="Courier New" w:hAnsi="Courier New"/>
    </w:rPr>
  </w:style>
  <w:style w:type="character" w:customStyle="1" w:styleId="WW8Num20z0">
    <w:name w:val="WW8Num20z0"/>
    <w:rsid w:val="00641C90"/>
    <w:rPr>
      <w:rFonts w:ascii="Symbol" w:hAnsi="Symbol"/>
      <w:color w:val="auto"/>
      <w:sz w:val="28"/>
    </w:rPr>
  </w:style>
  <w:style w:type="character" w:customStyle="1" w:styleId="WW8Num22z0">
    <w:name w:val="WW8Num22z0"/>
    <w:rsid w:val="00641C90"/>
    <w:rPr>
      <w:rFonts w:ascii="Times New Roman" w:eastAsia="Times New Roman" w:hAnsi="Times New Roman" w:cs="Times New Roman"/>
    </w:rPr>
  </w:style>
  <w:style w:type="character" w:customStyle="1" w:styleId="WW8Num22z1">
    <w:name w:val="WW8Num22z1"/>
    <w:rsid w:val="00641C90"/>
    <w:rPr>
      <w:rFonts w:ascii="Courier New" w:hAnsi="Courier New" w:cs="Courier New"/>
    </w:rPr>
  </w:style>
  <w:style w:type="character" w:customStyle="1" w:styleId="WW8Num22z2">
    <w:name w:val="WW8Num22z2"/>
    <w:rsid w:val="00641C90"/>
    <w:rPr>
      <w:rFonts w:ascii="Wingdings" w:hAnsi="Wingdings"/>
    </w:rPr>
  </w:style>
  <w:style w:type="character" w:customStyle="1" w:styleId="WW8Num22z3">
    <w:name w:val="WW8Num22z3"/>
    <w:rsid w:val="00641C90"/>
    <w:rPr>
      <w:rFonts w:ascii="Symbol" w:hAnsi="Symbol"/>
    </w:rPr>
  </w:style>
  <w:style w:type="character" w:customStyle="1" w:styleId="WW8Num23z0">
    <w:name w:val="WW8Num23z0"/>
    <w:rsid w:val="00641C90"/>
    <w:rPr>
      <w:rFonts w:ascii="Wingdings" w:hAnsi="Wingdings"/>
      <w:sz w:val="12"/>
    </w:rPr>
  </w:style>
  <w:style w:type="character" w:customStyle="1" w:styleId="WW8Num24z0">
    <w:name w:val="WW8Num24z0"/>
    <w:rsid w:val="00641C90"/>
    <w:rPr>
      <w:rFonts w:ascii="Symbol" w:hAnsi="Symbol"/>
    </w:rPr>
  </w:style>
  <w:style w:type="character" w:customStyle="1" w:styleId="WW8Num26z0">
    <w:name w:val="WW8Num26z0"/>
    <w:rsid w:val="00641C90"/>
    <w:rPr>
      <w:rFonts w:ascii="Symbol" w:hAnsi="Symbol"/>
    </w:rPr>
  </w:style>
  <w:style w:type="character" w:customStyle="1" w:styleId="WW8Num26z1">
    <w:name w:val="WW8Num26z1"/>
    <w:rsid w:val="00641C90"/>
    <w:rPr>
      <w:rFonts w:ascii="Courier New" w:hAnsi="Courier New" w:cs="Courier New"/>
    </w:rPr>
  </w:style>
  <w:style w:type="character" w:customStyle="1" w:styleId="WW8Num26z2">
    <w:name w:val="WW8Num26z2"/>
    <w:rsid w:val="00641C90"/>
    <w:rPr>
      <w:rFonts w:ascii="Wingdings" w:hAnsi="Wingdings"/>
    </w:rPr>
  </w:style>
  <w:style w:type="character" w:customStyle="1" w:styleId="WW8Num28z0">
    <w:name w:val="WW8Num28z0"/>
    <w:rsid w:val="00641C90"/>
    <w:rPr>
      <w:rFonts w:ascii="Symbol" w:hAnsi="Symbol"/>
      <w:sz w:val="18"/>
    </w:rPr>
  </w:style>
  <w:style w:type="character" w:customStyle="1" w:styleId="WW8Num30z0">
    <w:name w:val="WW8Num30z0"/>
    <w:rsid w:val="00641C90"/>
    <w:rPr>
      <w:rFonts w:ascii="Symbol" w:hAnsi="Symbol"/>
    </w:rPr>
  </w:style>
  <w:style w:type="character" w:customStyle="1" w:styleId="WW8Num30z1">
    <w:name w:val="WW8Num30z1"/>
    <w:rsid w:val="00641C90"/>
    <w:rPr>
      <w:rFonts w:ascii="Courier New" w:hAnsi="Courier New" w:cs="Courier New"/>
    </w:rPr>
  </w:style>
  <w:style w:type="character" w:customStyle="1" w:styleId="WW8Num30z2">
    <w:name w:val="WW8Num30z2"/>
    <w:rsid w:val="00641C90"/>
    <w:rPr>
      <w:rFonts w:ascii="Wingdings" w:hAnsi="Wingdings"/>
    </w:rPr>
  </w:style>
  <w:style w:type="character" w:customStyle="1" w:styleId="WW8Num32z0">
    <w:name w:val="WW8Num32z0"/>
    <w:rsid w:val="00641C90"/>
    <w:rPr>
      <w:rFonts w:ascii="Wingdings" w:hAnsi="Wingdings"/>
      <w:b w:val="0"/>
      <w:color w:val="3DA8D5"/>
      <w:sz w:val="18"/>
      <w:szCs w:val="18"/>
    </w:rPr>
  </w:style>
  <w:style w:type="character" w:customStyle="1" w:styleId="WW8Num32z1">
    <w:name w:val="WW8Num32z1"/>
    <w:rsid w:val="00641C90"/>
    <w:rPr>
      <w:rFonts w:ascii="Courier New" w:hAnsi="Courier New" w:cs="Courier New"/>
    </w:rPr>
  </w:style>
  <w:style w:type="character" w:customStyle="1" w:styleId="WW8Num32z2">
    <w:name w:val="WW8Num32z2"/>
    <w:rsid w:val="00641C90"/>
    <w:rPr>
      <w:rFonts w:ascii="Wingdings" w:hAnsi="Wingdings"/>
    </w:rPr>
  </w:style>
  <w:style w:type="character" w:customStyle="1" w:styleId="WW8Num32z3">
    <w:name w:val="WW8Num32z3"/>
    <w:rsid w:val="00641C90"/>
    <w:rPr>
      <w:rFonts w:ascii="Symbol" w:hAnsi="Symbol"/>
    </w:rPr>
  </w:style>
  <w:style w:type="character" w:customStyle="1" w:styleId="WW8NumSt25z0">
    <w:name w:val="WW8NumSt25z0"/>
    <w:rsid w:val="00641C90"/>
    <w:rPr>
      <w:rFonts w:ascii="Symbol" w:hAnsi="Symbol" w:cs="Symbol"/>
      <w:color w:val="000000"/>
    </w:rPr>
  </w:style>
  <w:style w:type="character" w:customStyle="1" w:styleId="WW8NumSt39z0">
    <w:name w:val="WW8NumSt39z0"/>
    <w:rsid w:val="00641C90"/>
    <w:rPr>
      <w:rFonts w:ascii="Symbol" w:hAnsi="Symbol"/>
      <w:color w:val="000000"/>
    </w:rPr>
  </w:style>
  <w:style w:type="character" w:customStyle="1" w:styleId="DefaultParagraphFont1">
    <w:name w:val="Default Paragraph Font1"/>
    <w:rsid w:val="00641C90"/>
    <w:rPr>
      <w:lang w:val="en-GB"/>
    </w:rPr>
  </w:style>
  <w:style w:type="character" w:customStyle="1" w:styleId="FootnoteCharacters">
    <w:name w:val="Footnote Characters"/>
    <w:basedOn w:val="DefaultParagraphFont1"/>
    <w:rsid w:val="00641C90"/>
    <w:rPr>
      <w:vertAlign w:val="superscript"/>
      <w:lang w:val="en-GB"/>
    </w:rPr>
  </w:style>
  <w:style w:type="character" w:styleId="PageNumber">
    <w:name w:val="page number"/>
    <w:basedOn w:val="DefaultParagraphFont1"/>
    <w:rsid w:val="00641C90"/>
    <w:rPr>
      <w:lang w:val="en-GB"/>
    </w:rPr>
  </w:style>
  <w:style w:type="character" w:styleId="Hyperlink">
    <w:name w:val="Hyperlink"/>
    <w:basedOn w:val="DefaultParagraphFont1"/>
    <w:uiPriority w:val="99"/>
    <w:rsid w:val="00641C90"/>
    <w:rPr>
      <w:color w:val="0000FF"/>
      <w:u w:val="single"/>
      <w:lang w:val="en-GB"/>
    </w:rPr>
  </w:style>
  <w:style w:type="character" w:styleId="FollowedHyperlink">
    <w:name w:val="FollowedHyperlink"/>
    <w:basedOn w:val="DefaultParagraphFont1"/>
    <w:rsid w:val="00641C90"/>
    <w:rPr>
      <w:color w:val="800080"/>
      <w:u w:val="single"/>
      <w:lang w:val="en-GB"/>
    </w:rPr>
  </w:style>
  <w:style w:type="character" w:styleId="CommentReference">
    <w:name w:val="annotation reference"/>
    <w:basedOn w:val="DefaultParagraphFont1"/>
    <w:uiPriority w:val="99"/>
    <w:rsid w:val="00641C90"/>
    <w:rPr>
      <w:sz w:val="16"/>
      <w:szCs w:val="16"/>
      <w:lang w:val="en-GB"/>
    </w:rPr>
  </w:style>
  <w:style w:type="character" w:styleId="FootnoteReference">
    <w:name w:val="footnote reference"/>
    <w:semiHidden/>
    <w:rsid w:val="00641C90"/>
    <w:rPr>
      <w:vertAlign w:val="superscript"/>
    </w:rPr>
  </w:style>
  <w:style w:type="character" w:styleId="EndnoteReference">
    <w:name w:val="endnote reference"/>
    <w:semiHidden/>
    <w:rsid w:val="00641C90"/>
    <w:rPr>
      <w:vertAlign w:val="superscript"/>
    </w:rPr>
  </w:style>
  <w:style w:type="character" w:customStyle="1" w:styleId="EndnoteCharacters">
    <w:name w:val="Endnote Characters"/>
    <w:rsid w:val="00641C90"/>
  </w:style>
  <w:style w:type="paragraph" w:customStyle="1" w:styleId="Heading">
    <w:name w:val="Heading"/>
    <w:basedOn w:val="Normal"/>
    <w:next w:val="BodyText"/>
    <w:rsid w:val="00641C90"/>
    <w:pPr>
      <w:keepNext/>
      <w:spacing w:before="240"/>
    </w:pPr>
    <w:rPr>
      <w:rFonts w:ascii="Nimbus Sans L" w:eastAsia="DejaVu Sans" w:hAnsi="Nimbus Sans L" w:cs="DejaVu Sans"/>
      <w:sz w:val="28"/>
      <w:szCs w:val="28"/>
    </w:rPr>
  </w:style>
  <w:style w:type="paragraph" w:styleId="BodyText">
    <w:name w:val="Body Text"/>
    <w:basedOn w:val="Normal"/>
    <w:link w:val="BodyTextChar"/>
    <w:rsid w:val="00641C90"/>
    <w:pPr>
      <w:spacing w:line="240" w:lineRule="atLeast"/>
    </w:pPr>
    <w:rPr>
      <w:rFonts w:ascii="Helv" w:hAnsi="Helv"/>
      <w:color w:val="000000"/>
      <w:sz w:val="18"/>
      <w:lang w:val="en-US"/>
    </w:rPr>
  </w:style>
  <w:style w:type="paragraph" w:styleId="List">
    <w:name w:val="List"/>
    <w:basedOn w:val="BodyText"/>
    <w:rsid w:val="00641C90"/>
  </w:style>
  <w:style w:type="paragraph" w:styleId="Caption">
    <w:name w:val="caption"/>
    <w:basedOn w:val="Normal"/>
    <w:rsid w:val="00641C90"/>
    <w:pPr>
      <w:suppressLineNumbers/>
      <w:spacing w:before="120"/>
    </w:pPr>
    <w:rPr>
      <w:i/>
      <w:iCs/>
    </w:rPr>
  </w:style>
  <w:style w:type="paragraph" w:customStyle="1" w:styleId="Index">
    <w:name w:val="Index"/>
    <w:basedOn w:val="Normal"/>
    <w:rsid w:val="00641C90"/>
    <w:pPr>
      <w:suppressLineNumbers/>
    </w:pPr>
  </w:style>
  <w:style w:type="paragraph" w:customStyle="1" w:styleId="Reference">
    <w:name w:val="Reference"/>
    <w:basedOn w:val="Normal"/>
    <w:rsid w:val="00641C90"/>
    <w:pPr>
      <w:spacing w:line="100" w:lineRule="atLeast"/>
    </w:pPr>
    <w:rPr>
      <w:sz w:val="14"/>
    </w:rPr>
  </w:style>
  <w:style w:type="paragraph" w:customStyle="1" w:styleId="Bullet1">
    <w:name w:val="Bullet 1"/>
    <w:basedOn w:val="Normal"/>
    <w:rsid w:val="00641C90"/>
    <w:pPr>
      <w:tabs>
        <w:tab w:val="num" w:pos="720"/>
      </w:tabs>
      <w:ind w:left="720" w:hanging="720"/>
    </w:pPr>
  </w:style>
  <w:style w:type="paragraph" w:customStyle="1" w:styleId="Bullet2">
    <w:name w:val="Bullet 2"/>
    <w:basedOn w:val="Normal"/>
    <w:rsid w:val="00641C90"/>
    <w:pPr>
      <w:tabs>
        <w:tab w:val="num" w:pos="1440"/>
      </w:tabs>
      <w:ind w:left="1440" w:hanging="720"/>
    </w:pPr>
  </w:style>
  <w:style w:type="paragraph" w:customStyle="1" w:styleId="Bullet3">
    <w:name w:val="Bullet 3"/>
    <w:basedOn w:val="Normal"/>
    <w:rsid w:val="00641C90"/>
    <w:pPr>
      <w:tabs>
        <w:tab w:val="num" w:pos="2160"/>
        <w:tab w:val="left" w:pos="2877"/>
      </w:tabs>
      <w:ind w:left="1797" w:hanging="357"/>
    </w:pPr>
  </w:style>
  <w:style w:type="paragraph" w:customStyle="1" w:styleId="Bullet4">
    <w:name w:val="Bullet 4"/>
    <w:basedOn w:val="Normal"/>
    <w:rsid w:val="00641C90"/>
    <w:pPr>
      <w:tabs>
        <w:tab w:val="num" w:pos="2880"/>
      </w:tabs>
      <w:ind w:left="2880" w:hanging="720"/>
    </w:pPr>
  </w:style>
  <w:style w:type="paragraph" w:customStyle="1" w:styleId="Contents-numberslist">
    <w:name w:val="Contents - numbers list"/>
    <w:autoRedefine/>
    <w:qFormat/>
    <w:rsid w:val="00440E32"/>
    <w:pPr>
      <w:spacing w:line="120" w:lineRule="exact"/>
    </w:pPr>
    <w:rPr>
      <w:rFonts w:cstheme="minorHAnsi"/>
      <w:sz w:val="24"/>
      <w:szCs w:val="24"/>
      <w:lang w:eastAsia="ar-SA"/>
    </w:rPr>
  </w:style>
  <w:style w:type="paragraph" w:styleId="Footer">
    <w:name w:val="footer"/>
    <w:basedOn w:val="Normal"/>
    <w:rsid w:val="00641C90"/>
    <w:rPr>
      <w:sz w:val="12"/>
    </w:rPr>
  </w:style>
  <w:style w:type="paragraph" w:styleId="FootnoteText">
    <w:name w:val="footnote text"/>
    <w:basedOn w:val="Normal"/>
    <w:semiHidden/>
    <w:rsid w:val="00641C90"/>
    <w:pPr>
      <w:spacing w:line="200" w:lineRule="exact"/>
    </w:pPr>
  </w:style>
  <w:style w:type="paragraph" w:customStyle="1" w:styleId="comsubheading">
    <w:name w:val="comsubheading"/>
    <w:basedOn w:val="Normal"/>
    <w:rsid w:val="00641C90"/>
    <w:pPr>
      <w:spacing w:before="60" w:after="60" w:line="100" w:lineRule="atLeast"/>
    </w:pPr>
    <w:rPr>
      <w:b/>
      <w:sz w:val="18"/>
    </w:rPr>
  </w:style>
  <w:style w:type="paragraph" w:styleId="Header">
    <w:name w:val="header"/>
    <w:basedOn w:val="Normal"/>
    <w:rsid w:val="00641C90"/>
  </w:style>
  <w:style w:type="paragraph" w:customStyle="1" w:styleId="Indent1">
    <w:name w:val="Indent 1"/>
    <w:basedOn w:val="Normal"/>
    <w:rsid w:val="00641C90"/>
    <w:pPr>
      <w:ind w:left="720"/>
    </w:pPr>
  </w:style>
  <w:style w:type="paragraph" w:customStyle="1" w:styleId="Indent2">
    <w:name w:val="Indent 2"/>
    <w:basedOn w:val="Normal"/>
    <w:rsid w:val="00641C90"/>
    <w:pPr>
      <w:ind w:left="1440"/>
    </w:pPr>
  </w:style>
  <w:style w:type="paragraph" w:customStyle="1" w:styleId="Indent3">
    <w:name w:val="Indent 3"/>
    <w:basedOn w:val="Normal"/>
    <w:rsid w:val="00641C90"/>
    <w:pPr>
      <w:ind w:left="2160"/>
    </w:pPr>
  </w:style>
  <w:style w:type="paragraph" w:customStyle="1" w:styleId="Indent4">
    <w:name w:val="Indent 4"/>
    <w:basedOn w:val="Normal"/>
    <w:rsid w:val="00641C90"/>
    <w:pPr>
      <w:ind w:left="2880"/>
    </w:pPr>
  </w:style>
  <w:style w:type="paragraph" w:customStyle="1" w:styleId="Line">
    <w:name w:val="Line"/>
    <w:basedOn w:val="Normal"/>
    <w:rsid w:val="00641C90"/>
    <w:pPr>
      <w:pBdr>
        <w:top w:val="single" w:sz="4" w:space="1" w:color="000000"/>
      </w:pBdr>
      <w:spacing w:before="120" w:after="60"/>
      <w:ind w:right="-1701"/>
    </w:pPr>
    <w:rPr>
      <w:sz w:val="2"/>
    </w:rPr>
  </w:style>
  <w:style w:type="paragraph" w:customStyle="1" w:styleId="MajorHead">
    <w:name w:val="Major Head"/>
    <w:basedOn w:val="Normal"/>
    <w:next w:val="Normal"/>
    <w:rsid w:val="00641C90"/>
    <w:pPr>
      <w:keepNext/>
      <w:keepLines/>
      <w:spacing w:before="240" w:line="330" w:lineRule="atLeast"/>
    </w:pPr>
    <w:rPr>
      <w:b/>
      <w:sz w:val="28"/>
    </w:rPr>
  </w:style>
  <w:style w:type="paragraph" w:customStyle="1" w:styleId="MinorHead">
    <w:name w:val="Minor Head"/>
    <w:basedOn w:val="Normal"/>
    <w:next w:val="Normal"/>
    <w:rsid w:val="00641C90"/>
    <w:pPr>
      <w:keepNext/>
      <w:keepLines/>
      <w:spacing w:before="120"/>
    </w:pPr>
    <w:rPr>
      <w:b/>
    </w:rPr>
  </w:style>
  <w:style w:type="paragraph" w:customStyle="1" w:styleId="comheading">
    <w:name w:val="comheading"/>
    <w:basedOn w:val="Normal"/>
    <w:rsid w:val="00641C90"/>
    <w:pPr>
      <w:spacing w:before="120" w:line="100" w:lineRule="atLeast"/>
    </w:pPr>
    <w:rPr>
      <w:b/>
    </w:rPr>
  </w:style>
  <w:style w:type="paragraph" w:customStyle="1" w:styleId="TableBullet1">
    <w:name w:val="Table Bullet 1"/>
    <w:basedOn w:val="Bullet1"/>
    <w:rsid w:val="00641C90"/>
    <w:pPr>
      <w:tabs>
        <w:tab w:val="clear" w:pos="720"/>
        <w:tab w:val="num" w:pos="360"/>
      </w:tabs>
      <w:ind w:left="360" w:hanging="360"/>
    </w:pPr>
  </w:style>
  <w:style w:type="paragraph" w:customStyle="1" w:styleId="TableBullet2">
    <w:name w:val="Table Bullet 2"/>
    <w:basedOn w:val="Bullet2"/>
    <w:rsid w:val="00641C90"/>
    <w:pPr>
      <w:tabs>
        <w:tab w:val="clear" w:pos="1440"/>
        <w:tab w:val="num" w:pos="720"/>
      </w:tabs>
      <w:ind w:left="720" w:hanging="363"/>
    </w:pPr>
  </w:style>
  <w:style w:type="paragraph" w:customStyle="1" w:styleId="TableBullet3">
    <w:name w:val="Table Bullet 3"/>
    <w:basedOn w:val="Bullet3"/>
    <w:rsid w:val="00641C90"/>
    <w:pPr>
      <w:tabs>
        <w:tab w:val="clear" w:pos="2160"/>
        <w:tab w:val="num" w:pos="1080"/>
      </w:tabs>
      <w:ind w:left="1080" w:hanging="360"/>
    </w:pPr>
  </w:style>
  <w:style w:type="paragraph" w:customStyle="1" w:styleId="TableBullet4">
    <w:name w:val="Table Bullet 4"/>
    <w:basedOn w:val="Normal"/>
    <w:rsid w:val="00641C90"/>
    <w:pPr>
      <w:tabs>
        <w:tab w:val="num" w:pos="1440"/>
      </w:tabs>
      <w:ind w:left="1440" w:hanging="363"/>
    </w:pPr>
  </w:style>
  <w:style w:type="paragraph" w:customStyle="1" w:styleId="TableIndent1">
    <w:name w:val="Table Indent 1"/>
    <w:basedOn w:val="Normal"/>
    <w:rsid w:val="00641C90"/>
    <w:pPr>
      <w:ind w:left="357"/>
    </w:pPr>
  </w:style>
  <w:style w:type="paragraph" w:customStyle="1" w:styleId="TableIndent2">
    <w:name w:val="Table Indent 2"/>
    <w:basedOn w:val="Indent2"/>
    <w:rsid w:val="00641C90"/>
    <w:pPr>
      <w:ind w:left="720"/>
    </w:pPr>
  </w:style>
  <w:style w:type="paragraph" w:customStyle="1" w:styleId="TableIndent3">
    <w:name w:val="Table Indent 3"/>
    <w:basedOn w:val="Indent3"/>
    <w:rsid w:val="00641C90"/>
    <w:pPr>
      <w:ind w:left="1077"/>
    </w:pPr>
  </w:style>
  <w:style w:type="paragraph" w:customStyle="1" w:styleId="TableIndent4">
    <w:name w:val="Table Indent 4"/>
    <w:basedOn w:val="Normal"/>
    <w:rsid w:val="00641C90"/>
    <w:pPr>
      <w:ind w:left="1440"/>
    </w:pPr>
  </w:style>
  <w:style w:type="paragraph" w:customStyle="1" w:styleId="indent">
    <w:name w:val="indent"/>
    <w:basedOn w:val="Contents-numberslist"/>
    <w:rsid w:val="00641C90"/>
    <w:pPr>
      <w:ind w:left="425"/>
    </w:pPr>
  </w:style>
  <w:style w:type="paragraph" w:customStyle="1" w:styleId="BulletedList1">
    <w:name w:val="Bulleted List 1"/>
    <w:basedOn w:val="Normal"/>
    <w:rsid w:val="00641C90"/>
    <w:pPr>
      <w:tabs>
        <w:tab w:val="num" w:pos="720"/>
      </w:tabs>
      <w:spacing w:line="100" w:lineRule="atLeast"/>
      <w:ind w:left="720" w:hanging="720"/>
    </w:pPr>
    <w:rPr>
      <w:sz w:val="18"/>
    </w:rPr>
  </w:style>
  <w:style w:type="paragraph" w:customStyle="1" w:styleId="ComHeading0">
    <w:name w:val="ComHeading"/>
    <w:basedOn w:val="Normal"/>
    <w:rsid w:val="00641C90"/>
    <w:pPr>
      <w:spacing w:before="120" w:line="100" w:lineRule="atLeast"/>
    </w:pPr>
    <w:rPr>
      <w:b/>
    </w:rPr>
  </w:style>
  <w:style w:type="paragraph" w:styleId="BodyTextIndent2">
    <w:name w:val="Body Text Indent 2"/>
    <w:basedOn w:val="Normal"/>
    <w:rsid w:val="00641C90"/>
    <w:pPr>
      <w:tabs>
        <w:tab w:val="left" w:pos="1202"/>
      </w:tabs>
      <w:spacing w:line="100" w:lineRule="atLeast"/>
      <w:ind w:left="601" w:hanging="601"/>
    </w:pPr>
    <w:rPr>
      <w:sz w:val="18"/>
    </w:rPr>
  </w:style>
  <w:style w:type="paragraph" w:styleId="BodyTextIndent">
    <w:name w:val="Body Text Indent"/>
    <w:basedOn w:val="Normal"/>
    <w:link w:val="BodyTextIndentChar"/>
    <w:rsid w:val="00641C90"/>
    <w:pPr>
      <w:tabs>
        <w:tab w:val="left" w:pos="918"/>
      </w:tabs>
      <w:spacing w:line="100" w:lineRule="atLeast"/>
      <w:ind w:left="459" w:hanging="459"/>
    </w:pPr>
    <w:rPr>
      <w:sz w:val="18"/>
    </w:rPr>
  </w:style>
  <w:style w:type="paragraph" w:customStyle="1" w:styleId="commentary">
    <w:name w:val="commentary"/>
    <w:basedOn w:val="Normal"/>
    <w:rsid w:val="00641C90"/>
    <w:pPr>
      <w:spacing w:line="100" w:lineRule="atLeast"/>
      <w:ind w:left="567" w:hanging="567"/>
    </w:pPr>
    <w:rPr>
      <w:sz w:val="18"/>
    </w:rPr>
  </w:style>
  <w:style w:type="paragraph" w:customStyle="1" w:styleId="commentary2">
    <w:name w:val="commentary2"/>
    <w:basedOn w:val="Normal"/>
    <w:rsid w:val="00641C90"/>
    <w:pPr>
      <w:spacing w:line="100" w:lineRule="atLeast"/>
      <w:ind w:left="1134" w:hanging="567"/>
    </w:pPr>
    <w:rPr>
      <w:sz w:val="18"/>
    </w:rPr>
  </w:style>
  <w:style w:type="paragraph" w:styleId="BodyTextIndent3">
    <w:name w:val="Body Text Indent 3"/>
    <w:basedOn w:val="Normal"/>
    <w:rsid w:val="00641C90"/>
    <w:pPr>
      <w:spacing w:line="100" w:lineRule="atLeast"/>
      <w:ind w:left="601" w:hanging="601"/>
    </w:pPr>
    <w:rPr>
      <w:color w:val="0000FF"/>
      <w:sz w:val="18"/>
    </w:rPr>
  </w:style>
  <w:style w:type="paragraph" w:customStyle="1" w:styleId="indent20">
    <w:name w:val="indent2"/>
    <w:basedOn w:val="indent"/>
    <w:rsid w:val="00641C90"/>
    <w:pPr>
      <w:ind w:left="851"/>
    </w:pPr>
  </w:style>
  <w:style w:type="paragraph" w:customStyle="1" w:styleId="NoteHeading">
    <w:name w:val="NoteHeading"/>
    <w:basedOn w:val="Normal"/>
    <w:rsid w:val="00641C90"/>
    <w:rPr>
      <w:b/>
      <w:sz w:val="28"/>
    </w:rPr>
  </w:style>
  <w:style w:type="paragraph" w:customStyle="1" w:styleId="comHeading1">
    <w:name w:val="comHeading"/>
    <w:basedOn w:val="commentary"/>
    <w:rsid w:val="00641C90"/>
    <w:pPr>
      <w:spacing w:before="120"/>
    </w:pPr>
    <w:rPr>
      <w:b/>
      <w:sz w:val="24"/>
    </w:rPr>
  </w:style>
  <w:style w:type="paragraph" w:customStyle="1" w:styleId="commentary3">
    <w:name w:val="commentary3"/>
    <w:basedOn w:val="commentary"/>
    <w:rsid w:val="00641C90"/>
    <w:pPr>
      <w:ind w:left="1701"/>
    </w:pPr>
  </w:style>
  <w:style w:type="paragraph" w:customStyle="1" w:styleId="DefaultText">
    <w:name w:val="Default Text"/>
    <w:basedOn w:val="Normal"/>
    <w:rsid w:val="00641C90"/>
    <w:pPr>
      <w:spacing w:line="100" w:lineRule="atLeast"/>
    </w:pPr>
    <w:rPr>
      <w:sz w:val="20"/>
    </w:rPr>
  </w:style>
  <w:style w:type="paragraph" w:styleId="BlockText">
    <w:name w:val="Block Text"/>
    <w:basedOn w:val="Normal"/>
    <w:rsid w:val="00641C90"/>
    <w:pPr>
      <w:spacing w:before="160"/>
      <w:ind w:left="1134" w:right="-851"/>
    </w:pPr>
    <w:rPr>
      <w:sz w:val="20"/>
    </w:rPr>
  </w:style>
  <w:style w:type="paragraph" w:customStyle="1" w:styleId="Commentary-Title">
    <w:name w:val="Commentary - Title"/>
    <w:autoRedefine/>
    <w:qFormat/>
    <w:rsid w:val="00D0491D"/>
    <w:pPr>
      <w:pBdr>
        <w:top w:val="single" w:sz="4" w:space="1" w:color="0000FF"/>
        <w:left w:val="single" w:sz="4" w:space="4" w:color="0000FF"/>
        <w:right w:val="single" w:sz="4" w:space="4" w:color="0000FF"/>
      </w:pBdr>
      <w:ind w:left="170" w:right="170"/>
    </w:pPr>
    <w:rPr>
      <w:rFonts w:ascii="Arial" w:eastAsia="Arial" w:hAnsi="Arial"/>
      <w:b/>
      <w:color w:val="FFFFFF" w:themeColor="background1"/>
      <w:sz w:val="24"/>
      <w:lang w:eastAsia="ar-SA"/>
    </w:rPr>
  </w:style>
  <w:style w:type="paragraph" w:customStyle="1" w:styleId="2Heading">
    <w:name w:val="2 Heading"/>
    <w:basedOn w:val="Normal"/>
    <w:next w:val="Normal"/>
    <w:rsid w:val="00641C90"/>
    <w:pPr>
      <w:keepNext/>
      <w:spacing w:before="120" w:line="100" w:lineRule="atLeast"/>
      <w:ind w:right="284"/>
    </w:pPr>
    <w:rPr>
      <w:b/>
      <w:bCs/>
      <w:color w:val="0000FF"/>
    </w:rPr>
  </w:style>
  <w:style w:type="paragraph" w:customStyle="1" w:styleId="forewardtxt">
    <w:name w:val="foreward txt"/>
    <w:basedOn w:val="Normal"/>
    <w:rsid w:val="00641C90"/>
    <w:pPr>
      <w:spacing w:before="283" w:line="100" w:lineRule="atLeast"/>
      <w:jc w:val="both"/>
    </w:pPr>
  </w:style>
  <w:style w:type="paragraph" w:customStyle="1" w:styleId="contsHead2">
    <w:name w:val="conts Head 2"/>
    <w:basedOn w:val="Normal"/>
    <w:link w:val="contsHead2Char"/>
    <w:rsid w:val="00641C90"/>
    <w:pPr>
      <w:spacing w:before="170" w:line="100" w:lineRule="atLeast"/>
      <w:jc w:val="both"/>
    </w:pPr>
    <w:rPr>
      <w:sz w:val="36"/>
    </w:rPr>
  </w:style>
  <w:style w:type="paragraph" w:customStyle="1" w:styleId="Hang2Bullet">
    <w:name w:val="Hang2Bullet"/>
    <w:basedOn w:val="Normal"/>
    <w:rsid w:val="00641C90"/>
    <w:pPr>
      <w:tabs>
        <w:tab w:val="left" w:pos="1800"/>
        <w:tab w:val="left" w:pos="4253"/>
        <w:tab w:val="left" w:pos="5103"/>
        <w:tab w:val="left" w:pos="5954"/>
        <w:tab w:val="left" w:pos="6804"/>
        <w:tab w:val="left" w:pos="7655"/>
        <w:tab w:val="left" w:pos="8505"/>
        <w:tab w:val="left" w:pos="9356"/>
        <w:tab w:val="left" w:pos="9923"/>
      </w:tabs>
      <w:spacing w:line="100" w:lineRule="atLeast"/>
      <w:ind w:right="1270"/>
    </w:pPr>
    <w:rPr>
      <w:bCs/>
      <w:sz w:val="20"/>
    </w:rPr>
  </w:style>
  <w:style w:type="paragraph" w:customStyle="1" w:styleId="tableindent">
    <w:name w:val="tableindent"/>
    <w:basedOn w:val="comsubheading"/>
    <w:rsid w:val="00641C90"/>
    <w:pPr>
      <w:spacing w:before="0" w:after="0"/>
      <w:ind w:left="284" w:hanging="284"/>
    </w:pPr>
    <w:rPr>
      <w:b w:val="0"/>
    </w:rPr>
  </w:style>
  <w:style w:type="paragraph" w:customStyle="1" w:styleId="indent30">
    <w:name w:val="indent3"/>
    <w:basedOn w:val="indent"/>
    <w:rsid w:val="00641C90"/>
    <w:pPr>
      <w:ind w:left="1276"/>
    </w:pPr>
  </w:style>
  <w:style w:type="paragraph" w:customStyle="1" w:styleId="tableindent20">
    <w:name w:val="tableindent2"/>
    <w:basedOn w:val="comsubheading"/>
    <w:rsid w:val="00641C90"/>
    <w:pPr>
      <w:tabs>
        <w:tab w:val="left" w:pos="284"/>
        <w:tab w:val="left" w:pos="425"/>
      </w:tabs>
      <w:spacing w:before="0" w:after="0"/>
    </w:pPr>
    <w:rPr>
      <w:b w:val="0"/>
    </w:rPr>
  </w:style>
  <w:style w:type="paragraph" w:styleId="BodyText2">
    <w:name w:val="Body Text 2"/>
    <w:basedOn w:val="Normal"/>
    <w:rsid w:val="00641C90"/>
    <w:rPr>
      <w:color w:val="000000"/>
      <w:sz w:val="20"/>
      <w:lang w:val="en-US"/>
    </w:rPr>
  </w:style>
  <w:style w:type="paragraph" w:customStyle="1" w:styleId="BodySingle">
    <w:name w:val="Body Single"/>
    <w:basedOn w:val="BodyText"/>
    <w:rsid w:val="00641C90"/>
    <w:pPr>
      <w:spacing w:line="290" w:lineRule="atLeast"/>
    </w:pPr>
    <w:rPr>
      <w:rFonts w:ascii="Times New Roman" w:hAnsi="Times New Roman"/>
      <w:sz w:val="24"/>
      <w:lang w:val="en-GB"/>
    </w:rPr>
  </w:style>
  <w:style w:type="paragraph" w:customStyle="1" w:styleId="BodyText1">
    <w:name w:val="Body Text1"/>
    <w:basedOn w:val="Normal"/>
    <w:rsid w:val="00641C90"/>
    <w:pPr>
      <w:spacing w:line="100" w:lineRule="atLeast"/>
    </w:pPr>
    <w:rPr>
      <w:rFonts w:cs="Arial"/>
      <w:bCs/>
    </w:rPr>
  </w:style>
  <w:style w:type="paragraph" w:customStyle="1" w:styleId="Address">
    <w:name w:val="Address"/>
    <w:basedOn w:val="Normal"/>
    <w:rsid w:val="00641C90"/>
    <w:pPr>
      <w:pBdr>
        <w:left w:val="single" w:sz="4" w:space="9" w:color="000000"/>
      </w:pBdr>
      <w:spacing w:line="200" w:lineRule="exact"/>
    </w:pPr>
    <w:rPr>
      <w:sz w:val="16"/>
    </w:rPr>
  </w:style>
  <w:style w:type="paragraph" w:styleId="NormalWeb">
    <w:name w:val="Normal (Web)"/>
    <w:basedOn w:val="Normal"/>
    <w:uiPriority w:val="99"/>
    <w:rsid w:val="00641C90"/>
    <w:pPr>
      <w:spacing w:before="100" w:after="100" w:line="100" w:lineRule="atLeast"/>
    </w:pPr>
    <w:rPr>
      <w:rFonts w:ascii="Arial" w:eastAsia="Arial Unicode MS" w:hAnsi="Arial" w:cs="Arial"/>
      <w:color w:val="000000"/>
      <w:sz w:val="18"/>
      <w:szCs w:val="18"/>
    </w:rPr>
  </w:style>
  <w:style w:type="paragraph" w:customStyle="1" w:styleId="NumberedList">
    <w:name w:val="Numbered List"/>
    <w:basedOn w:val="Normal"/>
    <w:rsid w:val="00641C90"/>
    <w:pPr>
      <w:spacing w:line="100" w:lineRule="atLeast"/>
    </w:pPr>
    <w:rPr>
      <w:sz w:val="18"/>
    </w:rPr>
  </w:style>
  <w:style w:type="paragraph" w:styleId="BodyText3">
    <w:name w:val="Body Text 3"/>
    <w:basedOn w:val="Normal"/>
    <w:rsid w:val="00641C90"/>
    <w:pPr>
      <w:spacing w:line="100" w:lineRule="atLeast"/>
    </w:pPr>
    <w:rPr>
      <w:color w:val="FF0000"/>
      <w:sz w:val="18"/>
    </w:rPr>
  </w:style>
  <w:style w:type="paragraph" w:customStyle="1" w:styleId="ResetNumberedList">
    <w:name w:val="Reset Numbered List"/>
    <w:basedOn w:val="Normal"/>
    <w:next w:val="Normal"/>
    <w:rsid w:val="00641C90"/>
  </w:style>
  <w:style w:type="paragraph" w:customStyle="1" w:styleId="Level1-2">
    <w:name w:val="Level 1 - 2"/>
    <w:basedOn w:val="Normal"/>
    <w:rsid w:val="00641C90"/>
    <w:pPr>
      <w:tabs>
        <w:tab w:val="left" w:pos="468"/>
      </w:tabs>
      <w:spacing w:line="100" w:lineRule="atLeast"/>
    </w:pPr>
    <w:rPr>
      <w:sz w:val="18"/>
    </w:rPr>
  </w:style>
  <w:style w:type="paragraph" w:customStyle="1" w:styleId="Bullet20">
    <w:name w:val="Bullet2"/>
    <w:basedOn w:val="Normal"/>
    <w:rsid w:val="00641C90"/>
    <w:pPr>
      <w:tabs>
        <w:tab w:val="left" w:pos="1701"/>
        <w:tab w:val="left" w:pos="2268"/>
        <w:tab w:val="num" w:pos="3555"/>
      </w:tabs>
      <w:spacing w:before="60" w:after="60" w:line="100" w:lineRule="atLeast"/>
      <w:ind w:left="1134" w:hanging="567"/>
    </w:pPr>
  </w:style>
  <w:style w:type="paragraph" w:customStyle="1" w:styleId="BulletedList2">
    <w:name w:val="Bulleted List 2"/>
    <w:basedOn w:val="Normal"/>
    <w:rsid w:val="00641C90"/>
    <w:pPr>
      <w:tabs>
        <w:tab w:val="num" w:pos="1440"/>
      </w:tabs>
      <w:spacing w:line="100" w:lineRule="atLeast"/>
      <w:ind w:left="1440" w:hanging="720"/>
    </w:pPr>
  </w:style>
  <w:style w:type="paragraph" w:customStyle="1" w:styleId="Blank">
    <w:name w:val="Blank"/>
    <w:basedOn w:val="Normal"/>
    <w:rsid w:val="00641C90"/>
    <w:pPr>
      <w:spacing w:before="120" w:line="100" w:lineRule="atLeast"/>
    </w:pPr>
    <w:rPr>
      <w:color w:val="000000"/>
      <w:sz w:val="21"/>
      <w:lang w:val="en-US"/>
    </w:rPr>
  </w:style>
  <w:style w:type="paragraph" w:styleId="BalloonText">
    <w:name w:val="Balloon Text"/>
    <w:basedOn w:val="Normal"/>
    <w:rsid w:val="00641C90"/>
    <w:rPr>
      <w:rFonts w:ascii="Tahoma" w:hAnsi="Tahoma" w:cs="Tahoma"/>
      <w:sz w:val="16"/>
      <w:szCs w:val="16"/>
    </w:rPr>
  </w:style>
  <w:style w:type="paragraph" w:styleId="DocumentMap">
    <w:name w:val="Document Map"/>
    <w:basedOn w:val="Normal"/>
    <w:rsid w:val="00641C90"/>
    <w:pPr>
      <w:shd w:val="clear" w:color="auto" w:fill="000080"/>
    </w:pPr>
    <w:rPr>
      <w:rFonts w:ascii="Tahoma" w:hAnsi="Tahoma" w:cs="Tahoma"/>
    </w:rPr>
  </w:style>
  <w:style w:type="paragraph" w:customStyle="1" w:styleId="Column-Sample">
    <w:name w:val="Column - Sample"/>
    <w:rsid w:val="00641C90"/>
    <w:pPr>
      <w:widowControl w:val="0"/>
      <w:suppressAutoHyphens/>
      <w:autoSpaceDE w:val="0"/>
    </w:pPr>
    <w:rPr>
      <w:rFonts w:ascii="Arial" w:eastAsia="Arial" w:hAnsi="Arial" w:cs="Arial"/>
      <w:color w:val="000000"/>
      <w:sz w:val="16"/>
      <w:szCs w:val="16"/>
      <w:lang w:eastAsia="ar-SA"/>
    </w:rPr>
  </w:style>
  <w:style w:type="paragraph" w:customStyle="1" w:styleId="ColumnHeading4">
    <w:name w:val="Column Heading 4"/>
    <w:rsid w:val="00641C90"/>
    <w:pPr>
      <w:widowControl w:val="0"/>
      <w:suppressAutoHyphens/>
      <w:autoSpaceDE w:val="0"/>
      <w:jc w:val="center"/>
    </w:pPr>
    <w:rPr>
      <w:rFonts w:eastAsia="Arial"/>
      <w:color w:val="000000"/>
      <w:lang w:eastAsia="ar-SA"/>
    </w:rPr>
  </w:style>
  <w:style w:type="paragraph" w:customStyle="1" w:styleId="APS2head">
    <w:name w:val="AP S2 head"/>
    <w:rsid w:val="00641C90"/>
    <w:pPr>
      <w:widowControl w:val="0"/>
      <w:suppressAutoHyphens/>
      <w:autoSpaceDE w:val="0"/>
      <w:ind w:left="283"/>
    </w:pPr>
    <w:rPr>
      <w:rFonts w:eastAsia="Arial"/>
      <w:i/>
      <w:iCs/>
      <w:color w:val="000000"/>
      <w:lang w:eastAsia="ar-SA"/>
    </w:rPr>
  </w:style>
  <w:style w:type="paragraph" w:customStyle="1" w:styleId="ColumnHeading40">
    <w:name w:val="Column Heading 4 $"/>
    <w:rsid w:val="00641C90"/>
    <w:pPr>
      <w:widowControl w:val="0"/>
      <w:suppressAutoHyphens/>
      <w:autoSpaceDE w:val="0"/>
      <w:spacing w:after="283"/>
      <w:jc w:val="center"/>
    </w:pPr>
    <w:rPr>
      <w:rFonts w:eastAsia="Arial"/>
      <w:color w:val="000000"/>
      <w:lang w:eastAsia="ar-SA"/>
    </w:rPr>
  </w:style>
  <w:style w:type="paragraph" w:customStyle="1" w:styleId="Com-Text">
    <w:name w:val="Com - Text"/>
    <w:rsid w:val="006A2F2D"/>
    <w:pPr>
      <w:widowControl w:val="0"/>
      <w:suppressAutoHyphens/>
      <w:autoSpaceDE w:val="0"/>
      <w:ind w:left="284"/>
    </w:pPr>
    <w:rPr>
      <w:rFonts w:ascii="Arial" w:eastAsia="Arial" w:hAnsi="Arial" w:cs="Arial"/>
      <w:color w:val="0000FF"/>
      <w:sz w:val="18"/>
      <w:szCs w:val="18"/>
      <w:lang w:eastAsia="ar-SA"/>
    </w:rPr>
  </w:style>
  <w:style w:type="paragraph" w:customStyle="1" w:styleId="Commentary0">
    <w:name w:val="Commentary"/>
    <w:rsid w:val="00641C90"/>
    <w:pPr>
      <w:widowControl w:val="0"/>
      <w:suppressAutoHyphens/>
      <w:autoSpaceDE w:val="0"/>
      <w:ind w:left="283"/>
    </w:pPr>
    <w:rPr>
      <w:rFonts w:ascii="Arial" w:eastAsia="Arial" w:hAnsi="Arial" w:cs="Arial"/>
      <w:color w:val="0000FF"/>
      <w:sz w:val="18"/>
      <w:szCs w:val="18"/>
      <w:lang w:eastAsia="ar-SA"/>
    </w:rPr>
  </w:style>
  <w:style w:type="paragraph" w:customStyle="1" w:styleId="DescriptionHeader">
    <w:name w:val="Description Header"/>
    <w:rsid w:val="00641C90"/>
    <w:pPr>
      <w:widowControl w:val="0"/>
      <w:suppressAutoHyphens/>
      <w:autoSpaceDE w:val="0"/>
      <w:spacing w:before="283"/>
      <w:ind w:left="283"/>
    </w:pPr>
    <w:rPr>
      <w:rFonts w:eastAsia="Arial"/>
      <w:b/>
      <w:bCs/>
      <w:color w:val="000000"/>
      <w:lang w:eastAsia="ar-SA"/>
    </w:rPr>
  </w:style>
  <w:style w:type="paragraph" w:customStyle="1" w:styleId="Column-SampleTot">
    <w:name w:val="Column - Sample Tot"/>
    <w:rsid w:val="00641C90"/>
    <w:pPr>
      <w:widowControl w:val="0"/>
      <w:suppressAutoHyphens/>
      <w:autoSpaceDE w:val="0"/>
      <w:spacing w:after="283"/>
    </w:pPr>
    <w:rPr>
      <w:rFonts w:ascii="Arial" w:eastAsia="Arial" w:hAnsi="Arial" w:cs="Arial"/>
      <w:color w:val="000000"/>
      <w:sz w:val="16"/>
      <w:szCs w:val="16"/>
      <w:lang w:eastAsia="ar-SA"/>
    </w:rPr>
  </w:style>
  <w:style w:type="paragraph" w:customStyle="1" w:styleId="Description">
    <w:name w:val="Description"/>
    <w:rsid w:val="00641C90"/>
    <w:pPr>
      <w:widowControl w:val="0"/>
      <w:suppressAutoHyphens/>
      <w:autoSpaceDE w:val="0"/>
      <w:ind w:left="283"/>
    </w:pPr>
    <w:rPr>
      <w:rFonts w:eastAsia="Arial"/>
      <w:color w:val="000000"/>
      <w:lang w:eastAsia="ar-SA"/>
    </w:rPr>
  </w:style>
  <w:style w:type="paragraph" w:customStyle="1" w:styleId="DescriptionGTotal">
    <w:name w:val="Description G Total"/>
    <w:rsid w:val="00641C90"/>
    <w:pPr>
      <w:widowControl w:val="0"/>
      <w:suppressAutoHyphens/>
      <w:autoSpaceDE w:val="0"/>
      <w:ind w:left="283"/>
    </w:pPr>
    <w:rPr>
      <w:rFonts w:eastAsia="Arial"/>
      <w:b/>
      <w:bCs/>
      <w:color w:val="000000"/>
      <w:lang w:eastAsia="ar-SA"/>
    </w:rPr>
  </w:style>
  <w:style w:type="paragraph" w:customStyle="1" w:styleId="Column-Sample0">
    <w:name w:val="Column - Sample $"/>
    <w:rsid w:val="00641C90"/>
    <w:pPr>
      <w:widowControl w:val="0"/>
      <w:suppressAutoHyphens/>
      <w:autoSpaceDE w:val="0"/>
      <w:spacing w:after="283"/>
    </w:pPr>
    <w:rPr>
      <w:rFonts w:ascii="Arial" w:eastAsia="Arial" w:hAnsi="Arial" w:cs="Arial"/>
      <w:color w:val="000000"/>
      <w:sz w:val="16"/>
      <w:szCs w:val="16"/>
      <w:lang w:eastAsia="ar-SA"/>
    </w:rPr>
  </w:style>
  <w:style w:type="paragraph" w:customStyle="1" w:styleId="ColumnHeading2">
    <w:name w:val="Column Heading 2 $"/>
    <w:rsid w:val="00641C90"/>
    <w:pPr>
      <w:widowControl w:val="0"/>
      <w:suppressAutoHyphens/>
      <w:autoSpaceDE w:val="0"/>
      <w:spacing w:after="283"/>
      <w:jc w:val="center"/>
    </w:pPr>
    <w:rPr>
      <w:rFonts w:eastAsia="Arial"/>
      <w:color w:val="000000"/>
      <w:lang w:eastAsia="ar-SA"/>
    </w:rPr>
  </w:style>
  <w:style w:type="paragraph" w:customStyle="1" w:styleId="Com-HeaderItal">
    <w:name w:val="Com - Header Ital"/>
    <w:rsid w:val="00641C90"/>
    <w:pPr>
      <w:widowControl w:val="0"/>
      <w:suppressAutoHyphens/>
      <w:autoSpaceDE w:val="0"/>
      <w:ind w:left="283"/>
    </w:pPr>
    <w:rPr>
      <w:rFonts w:ascii="Arial" w:eastAsia="Arial" w:hAnsi="Arial" w:cs="Arial"/>
      <w:i/>
      <w:iCs/>
      <w:color w:val="0000FF"/>
      <w:sz w:val="18"/>
      <w:szCs w:val="18"/>
      <w:lang w:eastAsia="ar-SA"/>
    </w:rPr>
  </w:style>
  <w:style w:type="paragraph" w:customStyle="1" w:styleId="ColumnHeading3">
    <w:name w:val="Column Heading 3 $"/>
    <w:rsid w:val="00641C90"/>
    <w:pPr>
      <w:widowControl w:val="0"/>
      <w:suppressAutoHyphens/>
      <w:autoSpaceDE w:val="0"/>
      <w:spacing w:after="283"/>
      <w:jc w:val="center"/>
    </w:pPr>
    <w:rPr>
      <w:rFonts w:eastAsia="Arial"/>
      <w:color w:val="000000"/>
      <w:lang w:eastAsia="ar-SA"/>
    </w:rPr>
  </w:style>
  <w:style w:type="paragraph" w:customStyle="1" w:styleId="DescritptionH-Ita">
    <w:name w:val="Descritption H - Ita"/>
    <w:rsid w:val="00641C90"/>
    <w:pPr>
      <w:widowControl w:val="0"/>
      <w:suppressAutoHyphens/>
      <w:autoSpaceDE w:val="0"/>
      <w:spacing w:before="283"/>
      <w:ind w:left="283"/>
    </w:pPr>
    <w:rPr>
      <w:rFonts w:eastAsia="Arial"/>
      <w:i/>
      <w:iCs/>
      <w:color w:val="000000"/>
      <w:lang w:eastAsia="ar-SA"/>
    </w:rPr>
  </w:style>
  <w:style w:type="paragraph" w:customStyle="1" w:styleId="DescriptionTotalIt">
    <w:name w:val="Description Total It"/>
    <w:rsid w:val="00641C90"/>
    <w:pPr>
      <w:widowControl w:val="0"/>
      <w:suppressAutoHyphens/>
      <w:autoSpaceDE w:val="0"/>
      <w:spacing w:after="283"/>
      <w:ind w:left="283"/>
    </w:pPr>
    <w:rPr>
      <w:rFonts w:eastAsia="Arial"/>
      <w:i/>
      <w:iCs/>
      <w:color w:val="000000"/>
      <w:lang w:eastAsia="ar-SA"/>
    </w:rPr>
  </w:style>
  <w:style w:type="paragraph" w:customStyle="1" w:styleId="Com-Header2">
    <w:name w:val="Com - Header 2"/>
    <w:rsid w:val="00641C90"/>
    <w:pPr>
      <w:widowControl w:val="0"/>
      <w:suppressAutoHyphens/>
      <w:autoSpaceDE w:val="0"/>
      <w:ind w:left="283"/>
    </w:pPr>
    <w:rPr>
      <w:rFonts w:ascii="Arial" w:eastAsia="Arial" w:hAnsi="Arial" w:cs="Arial"/>
      <w:b/>
      <w:bCs/>
      <w:color w:val="0000FF"/>
      <w:sz w:val="18"/>
      <w:szCs w:val="18"/>
      <w:lang w:eastAsia="ar-SA"/>
    </w:rPr>
  </w:style>
  <w:style w:type="paragraph" w:customStyle="1" w:styleId="DescriptionT-Ital">
    <w:name w:val="Description T - Ital"/>
    <w:rsid w:val="00641C90"/>
    <w:pPr>
      <w:widowControl w:val="0"/>
      <w:suppressAutoHyphens/>
      <w:autoSpaceDE w:val="0"/>
      <w:ind w:left="283"/>
    </w:pPr>
    <w:rPr>
      <w:rFonts w:eastAsia="Arial"/>
      <w:i/>
      <w:iCs/>
      <w:color w:val="000000"/>
      <w:lang w:eastAsia="ar-SA"/>
    </w:rPr>
  </w:style>
  <w:style w:type="paragraph" w:customStyle="1" w:styleId="Column-MappingTot">
    <w:name w:val="Column - Mapping Tot"/>
    <w:rsid w:val="00641C90"/>
    <w:pPr>
      <w:widowControl w:val="0"/>
      <w:suppressAutoHyphens/>
      <w:autoSpaceDE w:val="0"/>
      <w:spacing w:after="283"/>
    </w:pPr>
    <w:rPr>
      <w:rFonts w:eastAsia="Arial"/>
      <w:color w:val="000000"/>
      <w:lang w:eastAsia="ar-SA"/>
    </w:rPr>
  </w:style>
  <w:style w:type="paragraph" w:customStyle="1" w:styleId="DescriptionTotal">
    <w:name w:val="Description Total"/>
    <w:rsid w:val="00641C90"/>
    <w:pPr>
      <w:widowControl w:val="0"/>
      <w:suppressAutoHyphens/>
      <w:autoSpaceDE w:val="0"/>
      <w:ind w:left="283"/>
    </w:pPr>
    <w:rPr>
      <w:rFonts w:eastAsia="Arial"/>
      <w:color w:val="000000"/>
      <w:lang w:eastAsia="ar-SA"/>
    </w:rPr>
  </w:style>
  <w:style w:type="paragraph" w:customStyle="1" w:styleId="Column-Note">
    <w:name w:val="Column - Note"/>
    <w:rsid w:val="00641C90"/>
    <w:pPr>
      <w:widowControl w:val="0"/>
      <w:suppressAutoHyphens/>
      <w:autoSpaceDE w:val="0"/>
      <w:jc w:val="center"/>
    </w:pPr>
    <w:rPr>
      <w:rFonts w:eastAsia="Arial"/>
      <w:color w:val="000000"/>
      <w:lang w:eastAsia="ar-SA"/>
    </w:rPr>
  </w:style>
  <w:style w:type="paragraph" w:customStyle="1" w:styleId="Column-NoteHeader">
    <w:name w:val="Column - Note Header"/>
    <w:rsid w:val="00641C90"/>
    <w:pPr>
      <w:widowControl w:val="0"/>
      <w:suppressAutoHyphens/>
      <w:autoSpaceDE w:val="0"/>
      <w:spacing w:after="283"/>
      <w:jc w:val="center"/>
    </w:pPr>
    <w:rPr>
      <w:rFonts w:eastAsia="Arial"/>
      <w:color w:val="000000"/>
      <w:lang w:eastAsia="ar-SA"/>
    </w:rPr>
  </w:style>
  <w:style w:type="paragraph" w:customStyle="1" w:styleId="Column-NoteTotal">
    <w:name w:val="Column - Note Total"/>
    <w:rsid w:val="00641C90"/>
    <w:pPr>
      <w:widowControl w:val="0"/>
      <w:suppressAutoHyphens/>
      <w:autoSpaceDE w:val="0"/>
      <w:spacing w:after="141"/>
      <w:jc w:val="center"/>
    </w:pPr>
    <w:rPr>
      <w:rFonts w:eastAsia="Arial"/>
      <w:color w:val="000000"/>
      <w:lang w:eastAsia="ar-SA"/>
    </w:rPr>
  </w:style>
  <w:style w:type="paragraph" w:customStyle="1" w:styleId="Column1CONAY">
    <w:name w:val="Column 1 (CONAY)"/>
    <w:rsid w:val="00641C90"/>
    <w:pPr>
      <w:widowControl w:val="0"/>
      <w:suppressAutoHyphens/>
      <w:autoSpaceDE w:val="0"/>
    </w:pPr>
    <w:rPr>
      <w:rFonts w:eastAsia="Arial"/>
      <w:color w:val="000000"/>
      <w:lang w:eastAsia="ar-SA"/>
    </w:rPr>
  </w:style>
  <w:style w:type="paragraph" w:customStyle="1" w:styleId="Column1Total">
    <w:name w:val="Column 1 Total"/>
    <w:rsid w:val="00641C90"/>
    <w:pPr>
      <w:widowControl w:val="0"/>
      <w:suppressAutoHyphens/>
      <w:autoSpaceDE w:val="0"/>
      <w:spacing w:after="283"/>
    </w:pPr>
    <w:rPr>
      <w:rFonts w:eastAsia="Arial"/>
      <w:color w:val="000000"/>
      <w:lang w:eastAsia="ar-SA"/>
    </w:rPr>
  </w:style>
  <w:style w:type="paragraph" w:customStyle="1" w:styleId="Column2CONPY">
    <w:name w:val="Column 2 (CONPY)"/>
    <w:rsid w:val="00641C90"/>
    <w:pPr>
      <w:widowControl w:val="0"/>
      <w:suppressAutoHyphens/>
      <w:autoSpaceDE w:val="0"/>
    </w:pPr>
    <w:rPr>
      <w:rFonts w:eastAsia="Arial"/>
      <w:color w:val="000000"/>
      <w:lang w:eastAsia="ar-SA"/>
    </w:rPr>
  </w:style>
  <w:style w:type="paragraph" w:customStyle="1" w:styleId="Column2Total">
    <w:name w:val="Column 2 Total"/>
    <w:rsid w:val="00641C90"/>
    <w:pPr>
      <w:widowControl w:val="0"/>
      <w:suppressAutoHyphens/>
      <w:autoSpaceDE w:val="0"/>
      <w:spacing w:after="283"/>
    </w:pPr>
    <w:rPr>
      <w:rFonts w:eastAsia="Arial"/>
      <w:color w:val="000000"/>
      <w:lang w:eastAsia="ar-SA"/>
    </w:rPr>
  </w:style>
  <w:style w:type="paragraph" w:customStyle="1" w:styleId="Column3PARAY">
    <w:name w:val="Column 3 (PARAY)"/>
    <w:rsid w:val="00641C90"/>
    <w:pPr>
      <w:widowControl w:val="0"/>
      <w:suppressAutoHyphens/>
      <w:autoSpaceDE w:val="0"/>
    </w:pPr>
    <w:rPr>
      <w:rFonts w:eastAsia="Arial"/>
      <w:color w:val="000000"/>
      <w:lang w:eastAsia="ar-SA"/>
    </w:rPr>
  </w:style>
  <w:style w:type="paragraph" w:customStyle="1" w:styleId="Column3Total">
    <w:name w:val="Column 3 Total"/>
    <w:rsid w:val="00641C90"/>
    <w:pPr>
      <w:widowControl w:val="0"/>
      <w:suppressAutoHyphens/>
      <w:autoSpaceDE w:val="0"/>
      <w:spacing w:after="283"/>
    </w:pPr>
    <w:rPr>
      <w:rFonts w:eastAsia="Arial"/>
      <w:color w:val="000000"/>
      <w:lang w:eastAsia="ar-SA"/>
    </w:rPr>
  </w:style>
  <w:style w:type="paragraph" w:customStyle="1" w:styleId="Column4PARPY">
    <w:name w:val="Column 4 (PARPY)"/>
    <w:rsid w:val="00641C90"/>
    <w:pPr>
      <w:widowControl w:val="0"/>
      <w:suppressAutoHyphens/>
      <w:autoSpaceDE w:val="0"/>
    </w:pPr>
    <w:rPr>
      <w:rFonts w:eastAsia="Arial"/>
      <w:color w:val="000000"/>
      <w:lang w:eastAsia="ar-SA"/>
    </w:rPr>
  </w:style>
  <w:style w:type="paragraph" w:customStyle="1" w:styleId="Column4Total">
    <w:name w:val="Column 4 Total"/>
    <w:rsid w:val="00641C90"/>
    <w:pPr>
      <w:widowControl w:val="0"/>
      <w:suppressAutoHyphens/>
      <w:autoSpaceDE w:val="0"/>
      <w:spacing w:after="283"/>
    </w:pPr>
    <w:rPr>
      <w:rFonts w:eastAsia="Arial"/>
      <w:color w:val="000000"/>
      <w:lang w:eastAsia="ar-SA"/>
    </w:rPr>
  </w:style>
  <w:style w:type="paragraph" w:customStyle="1" w:styleId="ColumnHeading1">
    <w:name w:val="Column Heading 1"/>
    <w:rsid w:val="00641C90"/>
    <w:pPr>
      <w:widowControl w:val="0"/>
      <w:suppressAutoHyphens/>
      <w:autoSpaceDE w:val="0"/>
      <w:jc w:val="center"/>
    </w:pPr>
    <w:rPr>
      <w:rFonts w:eastAsia="Arial"/>
      <w:color w:val="000000"/>
      <w:lang w:eastAsia="ar-SA"/>
    </w:rPr>
  </w:style>
  <w:style w:type="paragraph" w:customStyle="1" w:styleId="ColumnHeading10">
    <w:name w:val="Column Heading 1 $"/>
    <w:rsid w:val="00641C90"/>
    <w:pPr>
      <w:widowControl w:val="0"/>
      <w:suppressAutoHyphens/>
      <w:autoSpaceDE w:val="0"/>
      <w:spacing w:after="283"/>
      <w:jc w:val="center"/>
    </w:pPr>
    <w:rPr>
      <w:rFonts w:eastAsia="Arial"/>
      <w:color w:val="000000"/>
      <w:lang w:eastAsia="ar-SA"/>
    </w:rPr>
  </w:style>
  <w:style w:type="paragraph" w:customStyle="1" w:styleId="ColumnHeading20">
    <w:name w:val="Column Heading 2"/>
    <w:rsid w:val="00641C90"/>
    <w:pPr>
      <w:widowControl w:val="0"/>
      <w:suppressAutoHyphens/>
      <w:autoSpaceDE w:val="0"/>
      <w:jc w:val="center"/>
    </w:pPr>
    <w:rPr>
      <w:rFonts w:eastAsia="Arial"/>
      <w:color w:val="000000"/>
      <w:lang w:eastAsia="ar-SA"/>
    </w:rPr>
  </w:style>
  <w:style w:type="paragraph" w:customStyle="1" w:styleId="ColumnHeading30">
    <w:name w:val="Column Heading 3"/>
    <w:rsid w:val="00641C90"/>
    <w:pPr>
      <w:widowControl w:val="0"/>
      <w:suppressAutoHyphens/>
      <w:autoSpaceDE w:val="0"/>
      <w:jc w:val="center"/>
    </w:pPr>
    <w:rPr>
      <w:rFonts w:eastAsia="Arial"/>
      <w:color w:val="000000"/>
      <w:lang w:eastAsia="ar-SA"/>
    </w:rPr>
  </w:style>
  <w:style w:type="paragraph" w:customStyle="1" w:styleId="Description-Num2">
    <w:name w:val="Description - Num 2"/>
    <w:rsid w:val="00641C90"/>
    <w:pPr>
      <w:widowControl w:val="0"/>
      <w:suppressAutoHyphens/>
      <w:autoSpaceDE w:val="0"/>
      <w:ind w:left="850" w:hanging="283"/>
    </w:pPr>
    <w:rPr>
      <w:rFonts w:eastAsia="Arial"/>
      <w:color w:val="000000"/>
      <w:lang w:eastAsia="ar-SA"/>
    </w:rPr>
  </w:style>
  <w:style w:type="paragraph" w:customStyle="1" w:styleId="Format-BlankLine">
    <w:name w:val="Format - Blank Line"/>
    <w:rsid w:val="00641C90"/>
    <w:pPr>
      <w:widowControl w:val="0"/>
      <w:suppressAutoHyphens/>
      <w:autoSpaceDE w:val="0"/>
    </w:pPr>
    <w:rPr>
      <w:rFonts w:eastAsia="Arial"/>
      <w:color w:val="000000"/>
      <w:lang w:eastAsia="ar-SA"/>
    </w:rPr>
  </w:style>
  <w:style w:type="paragraph" w:customStyle="1" w:styleId="Column-SampleText">
    <w:name w:val="Column - Sample Text"/>
    <w:rsid w:val="00641C90"/>
    <w:pPr>
      <w:widowControl w:val="0"/>
      <w:suppressAutoHyphens/>
      <w:autoSpaceDE w:val="0"/>
      <w:spacing w:after="141"/>
    </w:pPr>
    <w:rPr>
      <w:rFonts w:ascii="Arial" w:eastAsia="Arial" w:hAnsi="Arial" w:cs="Arial"/>
      <w:color w:val="000000"/>
      <w:sz w:val="16"/>
      <w:szCs w:val="16"/>
      <w:lang w:eastAsia="ar-SA"/>
    </w:rPr>
  </w:style>
  <w:style w:type="paragraph" w:customStyle="1" w:styleId="Com-Header">
    <w:name w:val="Com - Header"/>
    <w:rsid w:val="00641C90"/>
    <w:pPr>
      <w:widowControl w:val="0"/>
      <w:suppressAutoHyphens/>
      <w:autoSpaceDE w:val="0"/>
      <w:spacing w:before="141" w:after="141"/>
      <w:ind w:left="283"/>
    </w:pPr>
    <w:rPr>
      <w:rFonts w:ascii="Arial" w:eastAsia="Arial" w:hAnsi="Arial" w:cs="Arial"/>
      <w:b/>
      <w:bCs/>
      <w:color w:val="FFFFFF"/>
      <w:lang w:eastAsia="ar-SA"/>
    </w:rPr>
  </w:style>
  <w:style w:type="paragraph" w:customStyle="1" w:styleId="Com-Header2L1">
    <w:name w:val="Com - Header 2 L1"/>
    <w:rsid w:val="00641C90"/>
    <w:pPr>
      <w:widowControl w:val="0"/>
      <w:suppressAutoHyphens/>
      <w:autoSpaceDE w:val="0"/>
      <w:spacing w:before="141"/>
      <w:ind w:left="283"/>
    </w:pPr>
    <w:rPr>
      <w:rFonts w:ascii="Arial" w:eastAsia="Arial" w:hAnsi="Arial" w:cs="Arial"/>
      <w:b/>
      <w:bCs/>
      <w:color w:val="0000FF"/>
      <w:sz w:val="18"/>
      <w:szCs w:val="18"/>
      <w:lang w:eastAsia="ar-SA"/>
    </w:rPr>
  </w:style>
  <w:style w:type="paragraph" w:customStyle="1" w:styleId="Statementfooter">
    <w:name w:val="Statement footer"/>
    <w:rsid w:val="00641C90"/>
    <w:pPr>
      <w:widowControl w:val="0"/>
      <w:suppressAutoHyphens/>
      <w:autoSpaceDE w:val="0"/>
      <w:spacing w:after="141"/>
      <w:ind w:left="283"/>
    </w:pPr>
    <w:rPr>
      <w:rFonts w:eastAsia="Arial"/>
      <w:i/>
      <w:iCs/>
      <w:color w:val="000000"/>
      <w:lang w:eastAsia="ar-SA"/>
    </w:rPr>
  </w:style>
  <w:style w:type="paragraph" w:customStyle="1" w:styleId="Header-Contd">
    <w:name w:val="Header - Contd"/>
    <w:rsid w:val="00641C90"/>
    <w:pPr>
      <w:widowControl w:val="0"/>
      <w:suppressAutoHyphens/>
      <w:autoSpaceDE w:val="0"/>
      <w:ind w:left="283"/>
      <w:jc w:val="right"/>
    </w:pPr>
    <w:rPr>
      <w:rFonts w:eastAsia="Arial"/>
      <w:color w:val="000000"/>
      <w:sz w:val="16"/>
      <w:szCs w:val="16"/>
      <w:lang w:eastAsia="ar-SA"/>
    </w:rPr>
  </w:style>
  <w:style w:type="paragraph" w:customStyle="1" w:styleId="NormalText">
    <w:name w:val="Normal Text"/>
    <w:rsid w:val="00641C90"/>
    <w:pPr>
      <w:widowControl w:val="0"/>
      <w:suppressAutoHyphens/>
      <w:autoSpaceDE w:val="0"/>
      <w:spacing w:after="141"/>
      <w:ind w:left="283"/>
    </w:pPr>
    <w:rPr>
      <w:rFonts w:eastAsia="Arial"/>
      <w:color w:val="000000"/>
      <w:lang w:eastAsia="ar-SA"/>
    </w:rPr>
  </w:style>
  <w:style w:type="paragraph" w:customStyle="1" w:styleId="Heading-subsection">
    <w:name w:val="Heading - subsection"/>
    <w:rsid w:val="00641C90"/>
    <w:pPr>
      <w:widowControl w:val="0"/>
      <w:suppressAutoHyphens/>
      <w:autoSpaceDE w:val="0"/>
      <w:spacing w:before="141" w:after="141"/>
    </w:pPr>
    <w:rPr>
      <w:rFonts w:eastAsia="Arial"/>
      <w:b/>
      <w:bCs/>
      <w:color w:val="000000"/>
      <w:lang w:eastAsia="ar-SA"/>
    </w:rPr>
  </w:style>
  <w:style w:type="paragraph" w:customStyle="1" w:styleId="Column-SampleL1">
    <w:name w:val="Column - Sample L1"/>
    <w:rsid w:val="00641C90"/>
    <w:pPr>
      <w:widowControl w:val="0"/>
      <w:suppressAutoHyphens/>
      <w:autoSpaceDE w:val="0"/>
      <w:spacing w:before="141" w:after="141"/>
    </w:pPr>
    <w:rPr>
      <w:rFonts w:ascii="Arial" w:eastAsia="Arial" w:hAnsi="Arial" w:cs="Arial"/>
      <w:color w:val="000000"/>
      <w:sz w:val="16"/>
      <w:szCs w:val="16"/>
      <w:lang w:eastAsia="ar-SA"/>
    </w:rPr>
  </w:style>
  <w:style w:type="paragraph" w:customStyle="1" w:styleId="NoteHdrCol2">
    <w:name w:val="Note Hdr Col2"/>
    <w:rsid w:val="00641C90"/>
    <w:pPr>
      <w:widowControl w:val="0"/>
      <w:suppressAutoHyphens/>
      <w:autoSpaceDE w:val="0"/>
      <w:jc w:val="center"/>
    </w:pPr>
    <w:rPr>
      <w:rFonts w:ascii="Arial" w:eastAsia="Arial" w:hAnsi="Arial" w:cs="Arial"/>
      <w:color w:val="000000"/>
      <w:sz w:val="16"/>
      <w:szCs w:val="16"/>
      <w:lang w:eastAsia="ar-SA"/>
    </w:rPr>
  </w:style>
  <w:style w:type="paragraph" w:customStyle="1" w:styleId="NoteHdrCol1">
    <w:name w:val="Note Hdr Col1"/>
    <w:rsid w:val="00641C90"/>
    <w:pPr>
      <w:widowControl w:val="0"/>
      <w:suppressAutoHyphens/>
      <w:autoSpaceDE w:val="0"/>
      <w:jc w:val="center"/>
    </w:pPr>
    <w:rPr>
      <w:rFonts w:ascii="Arial" w:eastAsia="Arial" w:hAnsi="Arial" w:cs="Arial"/>
      <w:b/>
      <w:bCs/>
      <w:color w:val="000000"/>
      <w:sz w:val="16"/>
      <w:szCs w:val="16"/>
      <w:lang w:eastAsia="ar-SA"/>
    </w:rPr>
  </w:style>
  <w:style w:type="paragraph" w:customStyle="1" w:styleId="Column-Sample-NT">
    <w:name w:val="Column - Sample - NT"/>
    <w:rsid w:val="00641C90"/>
    <w:pPr>
      <w:widowControl w:val="0"/>
      <w:suppressAutoHyphens/>
      <w:autoSpaceDE w:val="0"/>
      <w:spacing w:before="283" w:after="141"/>
    </w:pPr>
    <w:rPr>
      <w:rFonts w:ascii="Arial" w:eastAsia="Arial" w:hAnsi="Arial" w:cs="Arial"/>
      <w:color w:val="000000"/>
      <w:sz w:val="16"/>
      <w:szCs w:val="16"/>
      <w:lang w:eastAsia="ar-SA"/>
    </w:rPr>
  </w:style>
  <w:style w:type="paragraph" w:customStyle="1" w:styleId="Heading-Note">
    <w:name w:val="Heading - Note"/>
    <w:rsid w:val="00641C90"/>
    <w:pPr>
      <w:widowControl w:val="0"/>
      <w:suppressAutoHyphens/>
      <w:autoSpaceDE w:val="0"/>
      <w:spacing w:before="283"/>
    </w:pPr>
    <w:rPr>
      <w:rFonts w:eastAsia="Arial"/>
      <w:b/>
      <w:bCs/>
      <w:color w:val="000000"/>
      <w:sz w:val="24"/>
      <w:szCs w:val="24"/>
      <w:lang w:eastAsia="ar-SA"/>
    </w:rPr>
  </w:style>
  <w:style w:type="paragraph" w:customStyle="1" w:styleId="Heading-APSub">
    <w:name w:val="Heading - AP Sub"/>
    <w:rsid w:val="00641C90"/>
    <w:pPr>
      <w:widowControl w:val="0"/>
      <w:suppressAutoHyphens/>
      <w:autoSpaceDE w:val="0"/>
    </w:pPr>
    <w:rPr>
      <w:rFonts w:eastAsia="Arial"/>
      <w:i/>
      <w:iCs/>
      <w:color w:val="000000"/>
      <w:sz w:val="18"/>
      <w:szCs w:val="18"/>
      <w:lang w:eastAsia="ar-SA"/>
    </w:rPr>
  </w:style>
  <w:style w:type="paragraph" w:customStyle="1" w:styleId="ColumnHeadingOther">
    <w:name w:val="Column Heading Other"/>
    <w:rsid w:val="00641C90"/>
    <w:pPr>
      <w:widowControl w:val="0"/>
      <w:suppressAutoHyphens/>
      <w:autoSpaceDE w:val="0"/>
    </w:pPr>
    <w:rPr>
      <w:rFonts w:eastAsia="Arial"/>
      <w:color w:val="000000"/>
      <w:lang w:eastAsia="ar-SA"/>
    </w:rPr>
  </w:style>
  <w:style w:type="paragraph" w:customStyle="1" w:styleId="ColumnOther">
    <w:name w:val="Column Other"/>
    <w:rsid w:val="00641C90"/>
    <w:pPr>
      <w:widowControl w:val="0"/>
      <w:suppressAutoHyphens/>
      <w:autoSpaceDE w:val="0"/>
    </w:pPr>
    <w:rPr>
      <w:rFonts w:eastAsia="Arial"/>
      <w:color w:val="000000"/>
      <w:lang w:eastAsia="ar-SA"/>
    </w:rPr>
  </w:style>
  <w:style w:type="paragraph" w:customStyle="1" w:styleId="ColumnOtherTotal">
    <w:name w:val="Column Other Total"/>
    <w:rsid w:val="00641C90"/>
    <w:pPr>
      <w:widowControl w:val="0"/>
      <w:suppressAutoHyphens/>
      <w:autoSpaceDE w:val="0"/>
      <w:spacing w:after="141"/>
    </w:pPr>
    <w:rPr>
      <w:rFonts w:eastAsia="Arial"/>
      <w:color w:val="000000"/>
      <w:lang w:eastAsia="ar-SA"/>
    </w:rPr>
  </w:style>
  <w:style w:type="paragraph" w:customStyle="1" w:styleId="Normal-subnotenum">
    <w:name w:val="Normal - subnotenum"/>
    <w:rsid w:val="00641C90"/>
    <w:pPr>
      <w:widowControl w:val="0"/>
      <w:suppressAutoHyphens/>
      <w:autoSpaceDE w:val="0"/>
      <w:ind w:left="566" w:hanging="283"/>
    </w:pPr>
    <w:rPr>
      <w:rFonts w:eastAsia="Arial"/>
      <w:color w:val="000000"/>
      <w:lang w:eastAsia="ar-SA"/>
    </w:rPr>
  </w:style>
  <w:style w:type="paragraph" w:customStyle="1" w:styleId="NormalArial">
    <w:name w:val="Normal + Arial"/>
    <w:aliases w:val="9 pt,Centered,Line spacing:  single"/>
    <w:basedOn w:val="Normal"/>
    <w:rsid w:val="00641C90"/>
    <w:pPr>
      <w:spacing w:line="100" w:lineRule="atLeast"/>
      <w:jc w:val="center"/>
    </w:pPr>
    <w:rPr>
      <w:rFonts w:ascii="Arial" w:hAnsi="Arial" w:cs="Arial"/>
      <w:sz w:val="18"/>
    </w:rPr>
  </w:style>
  <w:style w:type="paragraph" w:customStyle="1" w:styleId="Centrelink-Bullets1">
    <w:name w:val="Centrelink - Bullets 1"/>
    <w:basedOn w:val="Normal"/>
    <w:rsid w:val="00641C90"/>
    <w:pPr>
      <w:tabs>
        <w:tab w:val="num" w:pos="425"/>
      </w:tabs>
      <w:ind w:left="425" w:hanging="425"/>
    </w:pPr>
  </w:style>
  <w:style w:type="paragraph" w:customStyle="1" w:styleId="Heading-DRSub">
    <w:name w:val="Heading - DR Sub"/>
    <w:rsid w:val="00641C90"/>
    <w:pPr>
      <w:widowControl w:val="0"/>
      <w:suppressAutoHyphens/>
      <w:autoSpaceDE w:val="0"/>
      <w:spacing w:before="141"/>
    </w:pPr>
    <w:rPr>
      <w:rFonts w:ascii="Arial" w:eastAsia="Arial" w:hAnsi="Arial" w:cs="Arial"/>
      <w:b/>
      <w:bCs/>
      <w:color w:val="000000"/>
      <w:sz w:val="18"/>
      <w:szCs w:val="18"/>
      <w:lang w:eastAsia="ar-SA"/>
    </w:rPr>
  </w:style>
  <w:style w:type="paragraph" w:styleId="CommentText">
    <w:name w:val="annotation text"/>
    <w:basedOn w:val="Normal"/>
    <w:link w:val="CommentTextChar"/>
    <w:uiPriority w:val="99"/>
    <w:rsid w:val="00641C90"/>
    <w:rPr>
      <w:sz w:val="20"/>
    </w:rPr>
  </w:style>
  <w:style w:type="paragraph" w:styleId="CommentSubject">
    <w:name w:val="annotation subject"/>
    <w:basedOn w:val="CommentText"/>
    <w:next w:val="CommentText"/>
    <w:rsid w:val="00641C90"/>
    <w:rPr>
      <w:b/>
      <w:bCs/>
    </w:rPr>
  </w:style>
  <w:style w:type="paragraph" w:styleId="Title">
    <w:name w:val="Title"/>
    <w:basedOn w:val="Normal"/>
    <w:next w:val="Normal"/>
    <w:link w:val="TitleChar"/>
    <w:uiPriority w:val="10"/>
    <w:qFormat/>
    <w:rsid w:val="004F2C55"/>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40AB"/>
    <w:pPr>
      <w:spacing w:after="60"/>
      <w:jc w:val="center"/>
      <w:outlineLvl w:val="1"/>
    </w:pPr>
    <w:rPr>
      <w:rFonts w:asciiTheme="majorHAnsi" w:eastAsiaTheme="majorEastAsia" w:hAnsiTheme="majorHAnsi" w:cs="DejaVu Sans"/>
      <w:b/>
      <w:color w:val="3C54A5" w:themeColor="accent1"/>
      <w:sz w:val="32"/>
      <w:szCs w:val="32"/>
    </w:rPr>
  </w:style>
  <w:style w:type="paragraph" w:customStyle="1" w:styleId="ColumnOther-Centr">
    <w:name w:val="Column Other - Centr"/>
    <w:rsid w:val="00641C90"/>
    <w:pPr>
      <w:widowControl w:val="0"/>
      <w:suppressAutoHyphens/>
      <w:autoSpaceDE w:val="0"/>
      <w:jc w:val="center"/>
    </w:pPr>
    <w:rPr>
      <w:rFonts w:ascii="Arial" w:eastAsia="Arial" w:hAnsi="Arial" w:cs="Arial"/>
      <w:color w:val="000000"/>
      <w:sz w:val="18"/>
      <w:szCs w:val="18"/>
      <w:lang w:eastAsia="ar-SA"/>
    </w:rPr>
  </w:style>
  <w:style w:type="paragraph" w:customStyle="1" w:styleId="ColumnOtherTot-C">
    <w:name w:val="Column Other Tot - C"/>
    <w:rsid w:val="00641C90"/>
    <w:pPr>
      <w:widowControl w:val="0"/>
      <w:suppressAutoHyphens/>
      <w:autoSpaceDE w:val="0"/>
      <w:spacing w:after="141"/>
      <w:jc w:val="center"/>
    </w:pPr>
    <w:rPr>
      <w:rFonts w:ascii="Arial" w:eastAsia="Arial" w:hAnsi="Arial" w:cs="Arial"/>
      <w:color w:val="000000"/>
      <w:sz w:val="18"/>
      <w:szCs w:val="18"/>
      <w:lang w:eastAsia="ar-SA"/>
    </w:rPr>
  </w:style>
  <w:style w:type="paragraph" w:customStyle="1" w:styleId="NormalTextL1">
    <w:name w:val="Normal Text L1"/>
    <w:rsid w:val="00641C90"/>
    <w:pPr>
      <w:widowControl w:val="0"/>
      <w:suppressAutoHyphens/>
      <w:autoSpaceDE w:val="0"/>
      <w:spacing w:before="141" w:after="141"/>
      <w:ind w:left="283"/>
    </w:pPr>
    <w:rPr>
      <w:rFonts w:ascii="Arial" w:eastAsia="Arial" w:hAnsi="Arial" w:cs="Arial"/>
      <w:color w:val="000000"/>
      <w:sz w:val="18"/>
      <w:szCs w:val="18"/>
      <w:lang w:eastAsia="ar-SA"/>
    </w:rPr>
  </w:style>
  <w:style w:type="paragraph" w:customStyle="1" w:styleId="DescriptionHeader1">
    <w:name w:val="Description Header 1"/>
    <w:rsid w:val="00641C90"/>
    <w:pPr>
      <w:widowControl w:val="0"/>
      <w:suppressAutoHyphens/>
      <w:autoSpaceDE w:val="0"/>
      <w:spacing w:before="283" w:after="141"/>
      <w:ind w:left="283"/>
    </w:pPr>
    <w:rPr>
      <w:rFonts w:ascii="Arial" w:eastAsia="Arial" w:hAnsi="Arial" w:cs="Arial"/>
      <w:b/>
      <w:bCs/>
      <w:color w:val="000000"/>
      <w:sz w:val="18"/>
      <w:szCs w:val="18"/>
      <w:lang w:eastAsia="ar-SA"/>
    </w:rPr>
  </w:style>
  <w:style w:type="paragraph" w:customStyle="1" w:styleId="IASBNormalArial">
    <w:name w:val="IASB Normal Arial"/>
    <w:basedOn w:val="Normal"/>
    <w:rsid w:val="00641C90"/>
    <w:pPr>
      <w:spacing w:before="200" w:after="100" w:line="100" w:lineRule="atLeast"/>
      <w:jc w:val="both"/>
    </w:pPr>
    <w:rPr>
      <w:rFonts w:ascii="Arial" w:hAnsi="Arial" w:cs="Arial"/>
      <w:sz w:val="19"/>
      <w:lang w:val="en-US"/>
    </w:rPr>
  </w:style>
  <w:style w:type="paragraph" w:customStyle="1" w:styleId="NoNumPlain1">
    <w:name w:val="NoNum Plain1"/>
    <w:basedOn w:val="Normal"/>
    <w:rsid w:val="00641C90"/>
    <w:pPr>
      <w:spacing w:after="200" w:line="200" w:lineRule="exact"/>
    </w:pPr>
    <w:rPr>
      <w:sz w:val="20"/>
    </w:rPr>
  </w:style>
  <w:style w:type="paragraph" w:customStyle="1" w:styleId="CellBodyLeft">
    <w:name w:val="Cell Body Left"/>
    <w:basedOn w:val="Normal"/>
    <w:rsid w:val="00641C90"/>
    <w:pPr>
      <w:overflowPunct w:val="0"/>
      <w:autoSpaceDE w:val="0"/>
      <w:spacing w:line="100" w:lineRule="atLeast"/>
      <w:ind w:left="142" w:hanging="142"/>
      <w:textAlignment w:val="baseline"/>
    </w:pPr>
    <w:rPr>
      <w:color w:val="000000"/>
      <w:sz w:val="20"/>
    </w:rPr>
  </w:style>
  <w:style w:type="paragraph" w:customStyle="1" w:styleId="CellBodyRight">
    <w:name w:val="Cell Body Right"/>
    <w:basedOn w:val="Normal"/>
    <w:rsid w:val="00641C90"/>
    <w:pPr>
      <w:overflowPunct w:val="0"/>
      <w:autoSpaceDE w:val="0"/>
      <w:spacing w:line="100" w:lineRule="atLeast"/>
      <w:ind w:right="57"/>
      <w:jc w:val="right"/>
      <w:textAlignment w:val="baseline"/>
    </w:pPr>
    <w:rPr>
      <w:color w:val="000000"/>
      <w:sz w:val="20"/>
    </w:rPr>
  </w:style>
  <w:style w:type="paragraph" w:customStyle="1" w:styleId="CellBodyRightParens">
    <w:name w:val="Cell Body Right Parens"/>
    <w:basedOn w:val="Normal"/>
    <w:rsid w:val="00641C90"/>
    <w:pPr>
      <w:overflowPunct w:val="0"/>
      <w:autoSpaceDE w:val="0"/>
      <w:spacing w:line="100" w:lineRule="atLeast"/>
      <w:jc w:val="right"/>
      <w:textAlignment w:val="baseline"/>
    </w:pPr>
    <w:rPr>
      <w:color w:val="000000"/>
      <w:sz w:val="20"/>
    </w:rPr>
  </w:style>
  <w:style w:type="paragraph" w:customStyle="1" w:styleId="PageNumber1">
    <w:name w:val="Page Number1"/>
    <w:rsid w:val="00641C90"/>
    <w:pPr>
      <w:widowControl w:val="0"/>
      <w:suppressAutoHyphens/>
      <w:autoSpaceDE w:val="0"/>
      <w:ind w:left="283"/>
      <w:jc w:val="center"/>
    </w:pPr>
    <w:rPr>
      <w:rFonts w:ascii="Arial" w:eastAsia="Arial" w:hAnsi="Arial" w:cs="Arial"/>
      <w:color w:val="000000"/>
      <w:sz w:val="18"/>
      <w:szCs w:val="18"/>
      <w:lang w:eastAsia="ar-SA"/>
    </w:rPr>
  </w:style>
  <w:style w:type="paragraph" w:customStyle="1" w:styleId="ColumnHeadingOth">
    <w:name w:val="Column Heading Oth $"/>
    <w:rsid w:val="00641C90"/>
    <w:pPr>
      <w:widowControl w:val="0"/>
      <w:suppressAutoHyphens/>
      <w:autoSpaceDE w:val="0"/>
      <w:spacing w:after="283"/>
    </w:pPr>
    <w:rPr>
      <w:rFonts w:ascii="Arial" w:eastAsia="Arial" w:hAnsi="Arial" w:cs="Arial"/>
      <w:color w:val="000000"/>
      <w:sz w:val="18"/>
      <w:szCs w:val="18"/>
      <w:lang w:eastAsia="ar-SA"/>
    </w:rPr>
  </w:style>
  <w:style w:type="paragraph" w:customStyle="1" w:styleId="Description-HItal">
    <w:name w:val="Description - H Ital"/>
    <w:rsid w:val="00641C90"/>
    <w:pPr>
      <w:widowControl w:val="0"/>
      <w:suppressAutoHyphens/>
      <w:autoSpaceDE w:val="0"/>
      <w:ind w:left="283"/>
    </w:pPr>
    <w:rPr>
      <w:rFonts w:ascii="Arial" w:eastAsia="Arial" w:hAnsi="Arial" w:cs="Arial"/>
      <w:i/>
      <w:iCs/>
      <w:color w:val="000000"/>
      <w:sz w:val="18"/>
      <w:szCs w:val="18"/>
      <w:lang w:eastAsia="ar-SA"/>
    </w:rPr>
  </w:style>
  <w:style w:type="paragraph" w:customStyle="1" w:styleId="Char">
    <w:name w:val="Char"/>
    <w:basedOn w:val="Normal"/>
    <w:rsid w:val="00641C90"/>
    <w:pPr>
      <w:spacing w:after="160" w:line="240" w:lineRule="exact"/>
    </w:pPr>
    <w:rPr>
      <w:sz w:val="20"/>
    </w:rPr>
  </w:style>
  <w:style w:type="paragraph" w:customStyle="1" w:styleId="TableContents">
    <w:name w:val="Table Contents"/>
    <w:basedOn w:val="Normal"/>
    <w:rsid w:val="00641C90"/>
    <w:pPr>
      <w:suppressLineNumbers/>
    </w:pPr>
  </w:style>
  <w:style w:type="paragraph" w:customStyle="1" w:styleId="TableHeading">
    <w:name w:val="Table Heading"/>
    <w:basedOn w:val="TableContents"/>
    <w:rsid w:val="00641C90"/>
    <w:pPr>
      <w:jc w:val="center"/>
    </w:pPr>
    <w:rPr>
      <w:b/>
      <w:bCs/>
    </w:rPr>
  </w:style>
  <w:style w:type="paragraph" w:customStyle="1" w:styleId="Framecontents">
    <w:name w:val="Frame contents"/>
    <w:basedOn w:val="BodyText"/>
    <w:rsid w:val="00641C90"/>
  </w:style>
  <w:style w:type="numbering" w:styleId="111111">
    <w:name w:val="Outline List 2"/>
    <w:basedOn w:val="NoList"/>
    <w:rsid w:val="00FE47F8"/>
    <w:pPr>
      <w:numPr>
        <w:numId w:val="1"/>
      </w:numPr>
    </w:pPr>
  </w:style>
  <w:style w:type="paragraph" w:styleId="TOC2">
    <w:name w:val="toc 2"/>
    <w:basedOn w:val="Normal"/>
    <w:next w:val="Normal"/>
    <w:autoRedefine/>
    <w:uiPriority w:val="39"/>
    <w:rsid w:val="00B1316E"/>
    <w:pPr>
      <w:spacing w:before="120" w:after="0"/>
      <w:ind w:left="240"/>
    </w:pPr>
    <w:rPr>
      <w:rFonts w:cstheme="minorHAnsi"/>
      <w:i/>
      <w:iCs/>
      <w:sz w:val="20"/>
      <w:szCs w:val="20"/>
    </w:rPr>
  </w:style>
  <w:style w:type="paragraph" w:customStyle="1" w:styleId="Default">
    <w:name w:val="Default"/>
    <w:rsid w:val="00702BA9"/>
    <w:pPr>
      <w:autoSpaceDE w:val="0"/>
      <w:autoSpaceDN w:val="0"/>
      <w:adjustRightInd w:val="0"/>
    </w:pPr>
    <w:rPr>
      <w:color w:val="000000"/>
      <w:sz w:val="24"/>
      <w:szCs w:val="24"/>
    </w:rPr>
  </w:style>
  <w:style w:type="paragraph" w:styleId="Revision">
    <w:name w:val="Revision"/>
    <w:hidden/>
    <w:uiPriority w:val="99"/>
    <w:semiHidden/>
    <w:rsid w:val="00FB61FC"/>
    <w:rPr>
      <w:sz w:val="24"/>
      <w:lang w:val="en-GB" w:eastAsia="ar-SA"/>
    </w:rPr>
  </w:style>
  <w:style w:type="paragraph" w:styleId="ListParagraph">
    <w:name w:val="List Paragraph"/>
    <w:basedOn w:val="Normal"/>
    <w:uiPriority w:val="34"/>
    <w:qFormat/>
    <w:rsid w:val="004F2C55"/>
    <w:pPr>
      <w:ind w:left="720"/>
      <w:contextualSpacing/>
    </w:pPr>
  </w:style>
  <w:style w:type="character" w:customStyle="1" w:styleId="Commentary-TitleChar">
    <w:name w:val="Commentary - Title Char"/>
    <w:basedOn w:val="DefaultParagraphFont"/>
    <w:rsid w:val="00F94EC9"/>
    <w:rPr>
      <w:rFonts w:ascii="Arial" w:eastAsia="Arial" w:hAnsi="Arial" w:cs="Arial"/>
      <w:b/>
      <w:color w:val="FFFFFF" w:themeColor="background1"/>
      <w:sz w:val="24"/>
      <w:szCs w:val="14"/>
      <w:shd w:val="clear" w:color="auto" w:fill="0000FF"/>
      <w:lang w:eastAsia="ar-SA"/>
    </w:rPr>
  </w:style>
  <w:style w:type="paragraph" w:customStyle="1" w:styleId="Commentary-Header">
    <w:name w:val="Commentary - Header"/>
    <w:autoRedefine/>
    <w:qFormat/>
    <w:rsid w:val="00A30E44"/>
    <w:pPr>
      <w:snapToGrid w:val="0"/>
    </w:pPr>
    <w:rPr>
      <w:rFonts w:ascii="Arial" w:hAnsi="Arial" w:cs="Arial"/>
      <w:b/>
      <w:color w:val="0000FF"/>
      <w:sz w:val="18"/>
      <w:lang w:val="en-GB" w:eastAsia="ar-SA"/>
    </w:rPr>
  </w:style>
  <w:style w:type="character" w:customStyle="1" w:styleId="BodyTextChar">
    <w:name w:val="Body Text Char"/>
    <w:basedOn w:val="DefaultParagraphFont"/>
    <w:link w:val="BodyText"/>
    <w:rsid w:val="00950E7D"/>
    <w:rPr>
      <w:rFonts w:ascii="Helv" w:hAnsi="Helv"/>
      <w:color w:val="000000"/>
      <w:sz w:val="18"/>
      <w:lang w:val="en-US" w:eastAsia="ar-SA"/>
    </w:rPr>
  </w:style>
  <w:style w:type="character" w:customStyle="1" w:styleId="BodyTextIndentChar">
    <w:name w:val="Body Text Indent Char"/>
    <w:basedOn w:val="DefaultParagraphFont"/>
    <w:link w:val="BodyTextIndent"/>
    <w:rsid w:val="00950E7D"/>
    <w:rPr>
      <w:sz w:val="18"/>
      <w:lang w:val="en-GB" w:eastAsia="ar-SA"/>
    </w:rPr>
  </w:style>
  <w:style w:type="paragraph" w:customStyle="1" w:styleId="Commentary-Text">
    <w:name w:val="Commentary - Text"/>
    <w:autoRedefine/>
    <w:qFormat/>
    <w:rsid w:val="00D30442"/>
    <w:pPr>
      <w:suppressAutoHyphens/>
      <w:snapToGrid w:val="0"/>
      <w:ind w:left="170" w:right="57"/>
    </w:pPr>
    <w:rPr>
      <w:rFonts w:ascii="Arial" w:hAnsi="Arial" w:cs="Arial"/>
      <w:color w:val="0000FF"/>
      <w:sz w:val="18"/>
      <w:lang w:eastAsia="ar-SA"/>
    </w:rPr>
  </w:style>
  <w:style w:type="paragraph" w:customStyle="1" w:styleId="Commentary-List1">
    <w:name w:val="Commentary - List1"/>
    <w:autoRedefine/>
    <w:qFormat/>
    <w:rsid w:val="00367800"/>
    <w:pPr>
      <w:suppressAutoHyphens/>
      <w:snapToGrid w:val="0"/>
      <w:spacing w:line="100" w:lineRule="atLeast"/>
      <w:ind w:left="680" w:right="57" w:hanging="340"/>
    </w:pPr>
    <w:rPr>
      <w:rFonts w:ascii="Arial" w:hAnsi="Arial" w:cs="Arial"/>
      <w:color w:val="0000FF"/>
      <w:sz w:val="18"/>
      <w:lang w:eastAsia="ar-SA"/>
    </w:rPr>
  </w:style>
  <w:style w:type="paragraph" w:customStyle="1" w:styleId="Commentary-Subhead">
    <w:name w:val="Commentary - Sub head"/>
    <w:autoRedefine/>
    <w:qFormat/>
    <w:rsid w:val="001C6542"/>
    <w:pPr>
      <w:snapToGrid w:val="0"/>
      <w:ind w:left="170" w:right="57"/>
    </w:pPr>
    <w:rPr>
      <w:rFonts w:ascii="Arial" w:eastAsia="Arial" w:hAnsi="Arial" w:cs="Arial"/>
      <w:i/>
      <w:iCs/>
      <w:color w:val="0000FF"/>
      <w:sz w:val="18"/>
      <w:szCs w:val="18"/>
    </w:rPr>
  </w:style>
  <w:style w:type="paragraph" w:customStyle="1" w:styleId="Commentary-List2">
    <w:name w:val="Commentary - List2"/>
    <w:qFormat/>
    <w:rsid w:val="00252468"/>
    <w:pPr>
      <w:ind w:left="510"/>
    </w:pPr>
    <w:rPr>
      <w:rFonts w:ascii="Arial" w:hAnsi="Arial" w:cs="Arial"/>
      <w:color w:val="0000FF"/>
      <w:sz w:val="18"/>
      <w:lang w:eastAsia="ar-SA"/>
    </w:rPr>
  </w:style>
  <w:style w:type="paragraph" w:customStyle="1" w:styleId="Commentary-List3">
    <w:name w:val="Commentary - List3"/>
    <w:qFormat/>
    <w:rsid w:val="00252468"/>
    <w:pPr>
      <w:tabs>
        <w:tab w:val="left" w:pos="170"/>
      </w:tabs>
      <w:ind w:left="680"/>
    </w:pPr>
    <w:rPr>
      <w:rFonts w:ascii="Arial" w:hAnsi="Arial" w:cs="Arial"/>
      <w:color w:val="0000FF"/>
      <w:sz w:val="18"/>
      <w:lang w:eastAsia="ar-SA"/>
    </w:rPr>
  </w:style>
  <w:style w:type="paragraph" w:customStyle="1" w:styleId="Commentary-Refs">
    <w:name w:val="Commentary - Refs"/>
    <w:autoRedefine/>
    <w:qFormat/>
    <w:rsid w:val="004D66D7"/>
    <w:pPr>
      <w:suppressAutoHyphens/>
      <w:snapToGrid w:val="0"/>
      <w:spacing w:line="100" w:lineRule="atLeast"/>
      <w:ind w:right="57"/>
    </w:pPr>
    <w:rPr>
      <w:rFonts w:ascii="Arial" w:hAnsi="Arial" w:cs="Arial"/>
      <w:color w:val="0000FF"/>
      <w:sz w:val="14"/>
      <w:lang w:eastAsia="ar-SA"/>
    </w:rPr>
  </w:style>
  <w:style w:type="paragraph" w:customStyle="1" w:styleId="Illustrative-Refs">
    <w:name w:val="Illustrative - Refs"/>
    <w:autoRedefine/>
    <w:rsid w:val="000F49A4"/>
    <w:pPr>
      <w:snapToGrid w:val="0"/>
      <w:jc w:val="center"/>
    </w:pPr>
    <w:rPr>
      <w:rFonts w:ascii="Arial" w:hAnsi="Arial" w:cs="Arial"/>
      <w:sz w:val="14"/>
      <w:lang w:eastAsia="ar-SA"/>
    </w:rPr>
  </w:style>
  <w:style w:type="paragraph" w:customStyle="1" w:styleId="Illustrative-List1nonumbers">
    <w:name w:val="Illustrative - List 1 (no numbers)"/>
    <w:autoRedefine/>
    <w:rsid w:val="009F3934"/>
    <w:pPr>
      <w:snapToGrid w:val="0"/>
      <w:spacing w:before="60" w:after="60"/>
      <w:ind w:left="57" w:right="57"/>
    </w:pPr>
    <w:rPr>
      <w:rFonts w:ascii="Arial" w:hAnsi="Arial" w:cs="Arial"/>
      <w:lang w:eastAsia="ar-SA"/>
    </w:rPr>
  </w:style>
  <w:style w:type="paragraph" w:customStyle="1" w:styleId="Illustrative-Mandatoryref">
    <w:name w:val="Illustrative - Mandatory ref"/>
    <w:autoRedefine/>
    <w:rsid w:val="00B9620B"/>
    <w:pPr>
      <w:snapToGrid w:val="0"/>
      <w:ind w:left="57" w:right="57"/>
    </w:pPr>
    <w:rPr>
      <w:rFonts w:ascii="Arial" w:hAnsi="Arial" w:cs="Arial"/>
      <w:b/>
      <w:caps/>
      <w:sz w:val="18"/>
      <w:szCs w:val="18"/>
      <w:lang w:eastAsia="ar-SA"/>
    </w:rPr>
  </w:style>
  <w:style w:type="paragraph" w:customStyle="1" w:styleId="Note-Title">
    <w:name w:val="Note - Title"/>
    <w:autoRedefine/>
    <w:qFormat/>
    <w:rsid w:val="00C90084"/>
    <w:pPr>
      <w:tabs>
        <w:tab w:val="left" w:pos="1247"/>
      </w:tabs>
      <w:snapToGrid w:val="0"/>
      <w:spacing w:after="120"/>
      <w:ind w:left="1304" w:hanging="1247"/>
    </w:pPr>
    <w:rPr>
      <w:rFonts w:ascii="Arial" w:hAnsi="Arial" w:cs="Arial"/>
      <w:b/>
      <w:sz w:val="28"/>
      <w:szCs w:val="28"/>
      <w:lang w:eastAsia="ar-SA"/>
    </w:rPr>
  </w:style>
  <w:style w:type="paragraph" w:customStyle="1" w:styleId="Note-Refs">
    <w:name w:val="Note - Refs"/>
    <w:autoRedefine/>
    <w:qFormat/>
    <w:rsid w:val="00EF62D6"/>
    <w:pPr>
      <w:snapToGrid w:val="0"/>
      <w:ind w:right="57"/>
    </w:pPr>
    <w:rPr>
      <w:rFonts w:ascii="Arial" w:hAnsi="Arial" w:cs="Arial"/>
      <w:iCs/>
      <w:sz w:val="14"/>
      <w:szCs w:val="18"/>
      <w:lang w:val="en-GB" w:eastAsia="ar-SA"/>
    </w:rPr>
  </w:style>
  <w:style w:type="paragraph" w:customStyle="1" w:styleId="Note-TextHeader">
    <w:name w:val="Note - Text Header"/>
    <w:autoRedefine/>
    <w:qFormat/>
    <w:rsid w:val="008C7B83"/>
    <w:pPr>
      <w:snapToGrid w:val="0"/>
      <w:ind w:left="340" w:hanging="340"/>
      <w:contextualSpacing/>
    </w:pPr>
    <w:rPr>
      <w:rFonts w:ascii="Arial" w:hAnsi="Arial" w:cs="Arial"/>
      <w:b/>
      <w:sz w:val="18"/>
      <w:szCs w:val="18"/>
      <w:lang w:eastAsia="ar-SA"/>
    </w:rPr>
  </w:style>
  <w:style w:type="paragraph" w:customStyle="1" w:styleId="Note-Text">
    <w:name w:val="Note - Text"/>
    <w:autoRedefine/>
    <w:qFormat/>
    <w:rsid w:val="00CE710E"/>
    <w:pPr>
      <w:snapToGrid w:val="0"/>
      <w:ind w:left="170" w:right="57"/>
    </w:pPr>
    <w:rPr>
      <w:rFonts w:ascii="Arial" w:hAnsi="Arial" w:cs="Arial"/>
      <w:sz w:val="18"/>
      <w:szCs w:val="18"/>
      <w:lang w:eastAsia="ar-SA"/>
    </w:rPr>
  </w:style>
  <w:style w:type="paragraph" w:customStyle="1" w:styleId="Note-TextSubheader">
    <w:name w:val="Note - Text Subheader"/>
    <w:autoRedefine/>
    <w:qFormat/>
    <w:rsid w:val="005A74A0"/>
    <w:pPr>
      <w:snapToGrid w:val="0"/>
      <w:ind w:left="170" w:right="57"/>
      <w:contextualSpacing/>
    </w:pPr>
    <w:rPr>
      <w:rFonts w:ascii="Arial" w:eastAsia="Arial" w:hAnsi="Arial" w:cs="Arial"/>
      <w:i/>
      <w:sz w:val="18"/>
      <w:szCs w:val="18"/>
      <w:lang w:eastAsia="ar-SA"/>
    </w:rPr>
  </w:style>
  <w:style w:type="paragraph" w:customStyle="1" w:styleId="Note-TextHeaderItalic">
    <w:name w:val="Note - Text Header Italic"/>
    <w:autoRedefine/>
    <w:qFormat/>
    <w:rsid w:val="00E759A7"/>
    <w:pPr>
      <w:ind w:left="170" w:right="57"/>
      <w:contextualSpacing/>
    </w:pPr>
    <w:rPr>
      <w:rFonts w:ascii="Arial" w:hAnsi="Arial" w:cs="Arial"/>
      <w:b/>
      <w:i/>
      <w:sz w:val="18"/>
      <w:szCs w:val="18"/>
      <w:lang w:eastAsia="ar-SA"/>
    </w:rPr>
  </w:style>
  <w:style w:type="paragraph" w:customStyle="1" w:styleId="Note-List1">
    <w:name w:val="Note - List 1"/>
    <w:autoRedefine/>
    <w:qFormat/>
    <w:rsid w:val="00E94EBE"/>
    <w:pPr>
      <w:ind w:left="510" w:right="57" w:hanging="340"/>
    </w:pPr>
    <w:rPr>
      <w:rFonts w:ascii="Arial" w:eastAsia="Arial" w:hAnsi="Arial" w:cs="Arial"/>
      <w:sz w:val="18"/>
      <w:szCs w:val="18"/>
      <w:lang w:eastAsia="ar-SA"/>
    </w:rPr>
  </w:style>
  <w:style w:type="paragraph" w:customStyle="1" w:styleId="Note-Table1">
    <w:name w:val="Note - Table 1"/>
    <w:autoRedefine/>
    <w:qFormat/>
    <w:rsid w:val="00941343"/>
    <w:pPr>
      <w:snapToGrid w:val="0"/>
      <w:ind w:left="340" w:right="57" w:hanging="170"/>
    </w:pPr>
    <w:rPr>
      <w:rFonts w:ascii="Arial" w:hAnsi="Arial" w:cs="Arial"/>
      <w:sz w:val="18"/>
      <w:lang w:eastAsia="ar-SA"/>
    </w:rPr>
  </w:style>
  <w:style w:type="paragraph" w:customStyle="1" w:styleId="Note-Table2">
    <w:name w:val="Note - Table 2"/>
    <w:autoRedefine/>
    <w:qFormat/>
    <w:rsid w:val="00F6733E"/>
    <w:pPr>
      <w:ind w:left="170" w:right="57"/>
    </w:pPr>
    <w:rPr>
      <w:rFonts w:ascii="Arial" w:hAnsi="Arial" w:cs="Arial"/>
      <w:sz w:val="18"/>
      <w:szCs w:val="18"/>
      <w:lang w:eastAsia="ar-SA"/>
    </w:rPr>
  </w:style>
  <w:style w:type="paragraph" w:customStyle="1" w:styleId="Note-Table3">
    <w:name w:val="Note - Table 3"/>
    <w:autoRedefine/>
    <w:rsid w:val="00F6733E"/>
    <w:pPr>
      <w:ind w:left="170" w:right="57"/>
    </w:pPr>
    <w:rPr>
      <w:rFonts w:ascii="Arial" w:eastAsia="Arial" w:hAnsi="Arial" w:cs="Arial"/>
      <w:sz w:val="18"/>
      <w:szCs w:val="18"/>
      <w:lang w:eastAsia="ar-SA"/>
    </w:rPr>
  </w:style>
  <w:style w:type="paragraph" w:customStyle="1" w:styleId="Note-Table4Italic">
    <w:name w:val="Note - Table 4 Italic"/>
    <w:autoRedefine/>
    <w:rsid w:val="00F6733E"/>
    <w:pPr>
      <w:ind w:left="170" w:right="57"/>
    </w:pPr>
    <w:rPr>
      <w:rFonts w:ascii="Arial" w:hAnsi="Arial" w:cs="Arial"/>
      <w:i/>
      <w:sz w:val="18"/>
      <w:szCs w:val="18"/>
      <w:lang w:eastAsia="ar-SA"/>
    </w:rPr>
  </w:style>
  <w:style w:type="paragraph" w:customStyle="1" w:styleId="NotesTable-Notes">
    <w:name w:val="NotesTable - Notes"/>
    <w:autoRedefine/>
    <w:rsid w:val="00ED4C94"/>
    <w:pPr>
      <w:snapToGrid w:val="0"/>
      <w:jc w:val="center"/>
    </w:pPr>
    <w:rPr>
      <w:rFonts w:ascii="Arial" w:hAnsi="Arial" w:cs="Arial"/>
      <w:iCs/>
      <w:sz w:val="16"/>
      <w:szCs w:val="18"/>
      <w:lang w:val="en-GB" w:eastAsia="ar-SA"/>
    </w:rPr>
  </w:style>
  <w:style w:type="paragraph" w:customStyle="1" w:styleId="NotesTable-HeadPlain">
    <w:name w:val="NotesTable - HeadPlain"/>
    <w:basedOn w:val="NotesTable-Notes"/>
    <w:autoRedefine/>
    <w:rsid w:val="001420DF"/>
    <w:rPr>
      <w:sz w:val="18"/>
      <w:szCs w:val="16"/>
    </w:rPr>
  </w:style>
  <w:style w:type="paragraph" w:customStyle="1" w:styleId="NotesTable-HeadBold">
    <w:name w:val="NotesTable - HeadBold"/>
    <w:basedOn w:val="NotesTable-HeadPlain"/>
    <w:autoRedefine/>
    <w:rsid w:val="00CE710E"/>
    <w:rPr>
      <w:b/>
    </w:rPr>
  </w:style>
  <w:style w:type="paragraph" w:customStyle="1" w:styleId="NotesTable-CellBold">
    <w:name w:val="NotesTable - CellBold"/>
    <w:autoRedefine/>
    <w:rsid w:val="00E163AA"/>
    <w:pPr>
      <w:snapToGrid w:val="0"/>
      <w:jc w:val="center"/>
    </w:pPr>
    <w:rPr>
      <w:rFonts w:ascii="Arial" w:hAnsi="Arial" w:cs="Arial"/>
      <w:b/>
      <w:sz w:val="18"/>
      <w:lang w:eastAsia="ar-SA"/>
    </w:rPr>
  </w:style>
  <w:style w:type="paragraph" w:customStyle="1" w:styleId="NotesTable-CellPlain">
    <w:name w:val="NotesTable - CellPlain"/>
    <w:basedOn w:val="NotesTable-CellBold"/>
    <w:autoRedefine/>
    <w:rsid w:val="000D7546"/>
    <w:rPr>
      <w:b w:val="0"/>
      <w:szCs w:val="18"/>
    </w:rPr>
  </w:style>
  <w:style w:type="paragraph" w:customStyle="1" w:styleId="NotesTable-ItemPlain">
    <w:name w:val="NotesTable - ItemPlain"/>
    <w:autoRedefine/>
    <w:qFormat/>
    <w:rsid w:val="00162352"/>
    <w:pPr>
      <w:snapToGrid w:val="0"/>
      <w:ind w:left="170" w:right="57"/>
    </w:pPr>
    <w:rPr>
      <w:rFonts w:ascii="Arial" w:hAnsi="Arial" w:cs="Arial"/>
      <w:iCs/>
      <w:sz w:val="18"/>
      <w:lang w:val="en-GB" w:eastAsia="ar-SA"/>
    </w:rPr>
  </w:style>
  <w:style w:type="paragraph" w:customStyle="1" w:styleId="NotesTable-ItemBold">
    <w:name w:val="NotesTable - ItemBold"/>
    <w:basedOn w:val="NotesTable-ItemPlain"/>
    <w:rsid w:val="00FB6423"/>
    <w:rPr>
      <w:b/>
    </w:rPr>
  </w:style>
  <w:style w:type="paragraph" w:customStyle="1" w:styleId="NotesTable-ItemIndent">
    <w:name w:val="NotesTable - ItemIndent"/>
    <w:basedOn w:val="NotesTable-ItemPlain"/>
    <w:rsid w:val="00162352"/>
    <w:pPr>
      <w:ind w:left="340"/>
    </w:pPr>
  </w:style>
  <w:style w:type="paragraph" w:customStyle="1" w:styleId="StyleNotesTable-CellPlainUnderline">
    <w:name w:val="Style NotesTable - CellPlain + Underline"/>
    <w:basedOn w:val="NotesTable-CellPlain"/>
    <w:autoRedefine/>
    <w:rsid w:val="00DF3523"/>
  </w:style>
  <w:style w:type="paragraph" w:customStyle="1" w:styleId="StyleNotesTable-CellPlainUnderline1">
    <w:name w:val="Style NotesTable - CellPlain + Underline1"/>
    <w:basedOn w:val="NotesTable-CellPlain"/>
    <w:autoRedefine/>
    <w:rsid w:val="00DF3523"/>
  </w:style>
  <w:style w:type="paragraph" w:customStyle="1" w:styleId="StyleNotesTable-CellPlainBold">
    <w:name w:val="Style NotesTable - CellPlain + Bold"/>
    <w:basedOn w:val="NotesTable-CellPlain"/>
    <w:autoRedefine/>
    <w:rsid w:val="00DF3523"/>
    <w:rPr>
      <w:bCs/>
    </w:rPr>
  </w:style>
  <w:style w:type="paragraph" w:customStyle="1" w:styleId="NotesTable-AcquittalHeader">
    <w:name w:val="NotesTable - AcquittalHeader"/>
    <w:autoRedefine/>
    <w:qFormat/>
    <w:rsid w:val="00051ABF"/>
    <w:pPr>
      <w:snapToGrid w:val="0"/>
      <w:spacing w:line="100" w:lineRule="atLeast"/>
    </w:pPr>
    <w:rPr>
      <w:rFonts w:ascii="Arial" w:hAnsi="Arial" w:cs="Arial"/>
      <w:b/>
      <w:lang w:eastAsia="ar-SA"/>
    </w:rPr>
  </w:style>
  <w:style w:type="paragraph" w:customStyle="1" w:styleId="Contents-main">
    <w:name w:val="Contents - main"/>
    <w:autoRedefine/>
    <w:qFormat/>
    <w:rsid w:val="00DC3FF3"/>
    <w:pPr>
      <w:snapToGrid w:val="0"/>
      <w:spacing w:before="80" w:after="80"/>
      <w:ind w:left="57"/>
    </w:pPr>
    <w:rPr>
      <w:rFonts w:ascii="Arial" w:hAnsi="Arial" w:cs="Arial"/>
      <w:lang w:eastAsia="ar-SA"/>
    </w:rPr>
  </w:style>
  <w:style w:type="paragraph" w:customStyle="1" w:styleId="Contents-indent">
    <w:name w:val="Contents - indent"/>
    <w:basedOn w:val="Contents-main"/>
    <w:autoRedefine/>
    <w:qFormat/>
    <w:rsid w:val="00E46DBE"/>
    <w:pPr>
      <w:tabs>
        <w:tab w:val="left" w:pos="1200"/>
      </w:tabs>
      <w:spacing w:line="100" w:lineRule="atLeast"/>
      <w:ind w:left="600" w:hanging="283"/>
    </w:pPr>
    <w:rPr>
      <w:i/>
    </w:rPr>
  </w:style>
  <w:style w:type="paragraph" w:customStyle="1" w:styleId="StyleArial8ptCentered">
    <w:name w:val="Style Arial 8 pt Centered"/>
    <w:basedOn w:val="Normal"/>
    <w:rsid w:val="00F42999"/>
    <w:pPr>
      <w:jc w:val="center"/>
    </w:pPr>
    <w:rPr>
      <w:rFonts w:ascii="Arial" w:hAnsi="Arial"/>
      <w:kern w:val="1"/>
      <w:sz w:val="16"/>
    </w:rPr>
  </w:style>
  <w:style w:type="paragraph" w:customStyle="1" w:styleId="Statement-title">
    <w:name w:val="Statement - title"/>
    <w:autoRedefine/>
    <w:rsid w:val="00C62E18"/>
    <w:pPr>
      <w:tabs>
        <w:tab w:val="center" w:pos="7655"/>
      </w:tabs>
      <w:spacing w:line="0" w:lineRule="atLeast"/>
      <w:jc w:val="center"/>
    </w:pPr>
    <w:rPr>
      <w:rFonts w:ascii="Arial" w:hAnsi="Arial" w:cs="Arial"/>
      <w:b/>
      <w:sz w:val="28"/>
      <w:szCs w:val="28"/>
      <w:lang w:eastAsia="ar-SA"/>
    </w:rPr>
  </w:style>
  <w:style w:type="paragraph" w:customStyle="1" w:styleId="Statement-yeartitle">
    <w:name w:val="Statement - yeartitle"/>
    <w:autoRedefine/>
    <w:rsid w:val="00076299"/>
    <w:pPr>
      <w:jc w:val="center"/>
    </w:pPr>
    <w:rPr>
      <w:rFonts w:ascii="Arial" w:hAnsi="Arial" w:cs="Arial"/>
      <w:sz w:val="24"/>
      <w:szCs w:val="24"/>
      <w:lang w:eastAsia="ar-SA"/>
    </w:rPr>
  </w:style>
  <w:style w:type="paragraph" w:customStyle="1" w:styleId="Note-Contents">
    <w:name w:val="Note - Contents"/>
    <w:autoRedefine/>
    <w:rsid w:val="00BC26BB"/>
    <w:pPr>
      <w:snapToGrid w:val="0"/>
      <w:spacing w:after="60"/>
    </w:pPr>
    <w:rPr>
      <w:rFonts w:asciiTheme="majorHAnsi" w:hAnsiTheme="majorHAnsi" w:cs="Arial"/>
      <w:b/>
      <w:bCs/>
      <w:sz w:val="32"/>
      <w:szCs w:val="32"/>
      <w:lang w:eastAsia="ar-SA"/>
    </w:rPr>
  </w:style>
  <w:style w:type="paragraph" w:customStyle="1" w:styleId="Statement-ItemBold">
    <w:name w:val="Statement - ItemBold"/>
    <w:basedOn w:val="NotesTable-ItemBold"/>
    <w:rsid w:val="00911226"/>
    <w:pPr>
      <w:ind w:left="57"/>
    </w:pPr>
  </w:style>
  <w:style w:type="paragraph" w:customStyle="1" w:styleId="Title-title">
    <w:name w:val="Title - title"/>
    <w:autoRedefine/>
    <w:qFormat/>
    <w:rsid w:val="00826B4C"/>
    <w:pPr>
      <w:spacing w:before="1100" w:line="360" w:lineRule="auto"/>
      <w:ind w:left="284" w:right="284"/>
      <w:jc w:val="center"/>
    </w:pPr>
    <w:rPr>
      <w:rFonts w:ascii="Arial" w:hAnsi="Arial" w:cs="Arial"/>
      <w:sz w:val="40"/>
      <w:szCs w:val="40"/>
      <w:lang w:eastAsia="ar-SA"/>
    </w:rPr>
  </w:style>
  <w:style w:type="paragraph" w:customStyle="1" w:styleId="Title-date">
    <w:name w:val="Title - date"/>
    <w:qFormat/>
    <w:rsid w:val="00B0758A"/>
    <w:pPr>
      <w:jc w:val="center"/>
    </w:pPr>
    <w:rPr>
      <w:rFonts w:ascii="Arial" w:hAnsi="Arial" w:cs="Arial"/>
      <w:b/>
      <w:sz w:val="40"/>
      <w:szCs w:val="40"/>
      <w:lang w:eastAsia="ar-SA"/>
    </w:rPr>
  </w:style>
  <w:style w:type="paragraph" w:customStyle="1" w:styleId="Title-publishdate">
    <w:name w:val="Title - publish date"/>
    <w:autoRedefine/>
    <w:qFormat/>
    <w:rsid w:val="00B0758A"/>
    <w:rPr>
      <w:rFonts w:ascii="Arial" w:hAnsi="Arial"/>
      <w:kern w:val="1"/>
      <w:sz w:val="16"/>
      <w:lang w:eastAsia="ar-SA"/>
    </w:rPr>
  </w:style>
  <w:style w:type="paragraph" w:customStyle="1" w:styleId="Title-address">
    <w:name w:val="Title - address"/>
    <w:autoRedefine/>
    <w:qFormat/>
    <w:rsid w:val="00826B4C"/>
    <w:pPr>
      <w:spacing w:before="1100" w:line="360" w:lineRule="auto"/>
      <w:jc w:val="center"/>
    </w:pPr>
    <w:rPr>
      <w:rFonts w:ascii="Arial" w:hAnsi="Arial" w:cs="Arial"/>
      <w:color w:val="FFFFFF"/>
      <w:kern w:val="18"/>
      <w:sz w:val="17"/>
      <w:szCs w:val="18"/>
      <w:lang w:eastAsia="ar-SA"/>
    </w:rPr>
  </w:style>
  <w:style w:type="paragraph" w:customStyle="1" w:styleId="Disclaimer">
    <w:name w:val="Disclaimer"/>
    <w:autoRedefine/>
    <w:qFormat/>
    <w:rsid w:val="00B0758A"/>
    <w:pPr>
      <w:spacing w:before="120" w:after="120" w:line="276" w:lineRule="auto"/>
      <w:ind w:left="-113" w:right="-113"/>
      <w:jc w:val="center"/>
    </w:pPr>
    <w:rPr>
      <w:rFonts w:ascii="Arial" w:hAnsi="Arial" w:cs="Arial"/>
      <w:bCs/>
      <w:sz w:val="16"/>
      <w:szCs w:val="16"/>
      <w:lang w:eastAsia="ar-SA"/>
    </w:rPr>
  </w:style>
  <w:style w:type="paragraph" w:customStyle="1" w:styleId="Contents-Title">
    <w:name w:val="Contents - Title"/>
    <w:next w:val="Contents-Subtitle"/>
    <w:link w:val="Contents-TitleChar"/>
    <w:autoRedefine/>
    <w:qFormat/>
    <w:rsid w:val="00B61CEB"/>
    <w:pPr>
      <w:ind w:left="1134"/>
    </w:pPr>
    <w:rPr>
      <w:rFonts w:ascii="Arial" w:hAnsi="Arial" w:cs="Arial"/>
      <w:color w:val="0000FF"/>
      <w:sz w:val="36"/>
      <w:szCs w:val="36"/>
      <w:lang w:eastAsia="ar-SA"/>
    </w:rPr>
  </w:style>
  <w:style w:type="paragraph" w:customStyle="1" w:styleId="Contents-Subtitle">
    <w:name w:val="Contents - Subtitle"/>
    <w:link w:val="Contents-SubtitleChar"/>
    <w:autoRedefine/>
    <w:qFormat/>
    <w:rsid w:val="00B0758A"/>
    <w:pPr>
      <w:ind w:left="1134"/>
    </w:pPr>
    <w:rPr>
      <w:rFonts w:ascii="Arial" w:hAnsi="Arial" w:cs="Arial"/>
      <w:color w:val="0000FF"/>
      <w:sz w:val="36"/>
      <w:szCs w:val="36"/>
      <w:lang w:eastAsia="ar-SA"/>
    </w:rPr>
  </w:style>
  <w:style w:type="character" w:customStyle="1" w:styleId="contsHead2Char">
    <w:name w:val="conts Head 2 Char"/>
    <w:basedOn w:val="DefaultParagraphFont"/>
    <w:link w:val="contsHead2"/>
    <w:rsid w:val="00B0758A"/>
    <w:rPr>
      <w:sz w:val="36"/>
      <w:szCs w:val="24"/>
      <w:lang w:eastAsia="ar-SA"/>
    </w:rPr>
  </w:style>
  <w:style w:type="character" w:customStyle="1" w:styleId="Contents-TitleChar">
    <w:name w:val="Contents - Title Char"/>
    <w:basedOn w:val="contsHead2Char"/>
    <w:link w:val="Contents-Title"/>
    <w:rsid w:val="00B61CEB"/>
    <w:rPr>
      <w:rFonts w:ascii="Arial" w:hAnsi="Arial" w:cs="Arial"/>
      <w:color w:val="0000FF"/>
      <w:sz w:val="36"/>
      <w:szCs w:val="36"/>
      <w:lang w:eastAsia="ar-SA"/>
    </w:rPr>
  </w:style>
  <w:style w:type="paragraph" w:customStyle="1" w:styleId="Introduction-Subtitle">
    <w:name w:val="Introduction - Subtitle"/>
    <w:autoRedefine/>
    <w:qFormat/>
    <w:rsid w:val="00D3637D"/>
    <w:rPr>
      <w:rFonts w:ascii="Arial" w:hAnsi="Arial" w:cs="Arial"/>
      <w:b/>
      <w:bCs/>
      <w:color w:val="0000FF"/>
      <w:szCs w:val="24"/>
      <w:lang w:eastAsia="ar-SA"/>
    </w:rPr>
  </w:style>
  <w:style w:type="paragraph" w:customStyle="1" w:styleId="Contents-Page">
    <w:name w:val="Contents - Page"/>
    <w:autoRedefine/>
    <w:qFormat/>
    <w:rsid w:val="00255336"/>
    <w:pPr>
      <w:snapToGrid w:val="0"/>
      <w:spacing w:before="240" w:after="240"/>
      <w:jc w:val="center"/>
    </w:pPr>
    <w:rPr>
      <w:rFonts w:ascii="Arial" w:hAnsi="Arial" w:cs="Arial"/>
      <w:b/>
      <w:bCs/>
      <w:color w:val="0000FF"/>
      <w:sz w:val="28"/>
      <w:szCs w:val="24"/>
      <w:lang w:eastAsia="ar-SA"/>
    </w:rPr>
  </w:style>
  <w:style w:type="paragraph" w:customStyle="1" w:styleId="Contents-Listtitle">
    <w:name w:val="Contents - List title"/>
    <w:autoRedefine/>
    <w:rsid w:val="00255336"/>
    <w:pPr>
      <w:snapToGrid w:val="0"/>
      <w:spacing w:before="240" w:after="240"/>
    </w:pPr>
    <w:rPr>
      <w:rFonts w:ascii="Arial" w:hAnsi="Arial" w:cs="Arial"/>
      <w:bCs/>
      <w:sz w:val="24"/>
      <w:lang w:val="en-GB" w:eastAsia="ar-SA"/>
    </w:rPr>
  </w:style>
  <w:style w:type="paragraph" w:customStyle="1" w:styleId="Introduction-Title">
    <w:name w:val="Introduction - Title"/>
    <w:autoRedefine/>
    <w:rsid w:val="00255336"/>
    <w:pPr>
      <w:spacing w:after="240"/>
      <w:ind w:right="283"/>
    </w:pPr>
    <w:rPr>
      <w:rFonts w:ascii="Arial" w:hAnsi="Arial" w:cs="Arial"/>
      <w:sz w:val="24"/>
      <w:lang w:val="en-GB" w:eastAsia="ar-SA"/>
    </w:rPr>
  </w:style>
  <w:style w:type="paragraph" w:customStyle="1" w:styleId="Introduction-Text">
    <w:name w:val="Introduction - Text"/>
    <w:autoRedefine/>
    <w:qFormat/>
    <w:rsid w:val="00AB24D3"/>
    <w:pPr>
      <w:spacing w:before="120" w:line="276" w:lineRule="auto"/>
      <w:ind w:right="284"/>
      <w:contextualSpacing/>
    </w:pPr>
    <w:rPr>
      <w:rFonts w:cstheme="minorHAnsi"/>
      <w:lang w:eastAsia="ar-SA"/>
    </w:rPr>
  </w:style>
  <w:style w:type="paragraph" w:customStyle="1" w:styleId="Introduction-Subtitle2">
    <w:name w:val="Introduction - Subtitle 2"/>
    <w:autoRedefine/>
    <w:qFormat/>
    <w:rsid w:val="00D3637D"/>
    <w:pPr>
      <w:spacing w:before="20"/>
      <w:ind w:right="283"/>
    </w:pPr>
    <w:rPr>
      <w:rFonts w:ascii="Arial" w:hAnsi="Arial" w:cs="Arial"/>
      <w:b/>
      <w:i/>
      <w:color w:val="0000FF"/>
      <w:lang w:eastAsia="ar-SA"/>
    </w:rPr>
  </w:style>
  <w:style w:type="paragraph" w:customStyle="1" w:styleId="Director-Title">
    <w:name w:val="Director - Title"/>
    <w:autoRedefine/>
    <w:qFormat/>
    <w:rsid w:val="001A5292"/>
    <w:rPr>
      <w:rFonts w:asciiTheme="majorHAnsi" w:hAnsiTheme="majorHAnsi" w:cs="Arial"/>
      <w:b/>
      <w:sz w:val="32"/>
      <w:szCs w:val="32"/>
      <w:lang w:eastAsia="ar-SA"/>
    </w:rPr>
  </w:style>
  <w:style w:type="paragraph" w:customStyle="1" w:styleId="Director-Text">
    <w:name w:val="Director - Text"/>
    <w:basedOn w:val="Note-Text"/>
    <w:next w:val="Default"/>
    <w:autoRedefine/>
    <w:qFormat/>
    <w:rsid w:val="00176C8B"/>
    <w:pPr>
      <w:ind w:left="0" w:right="113"/>
    </w:pPr>
  </w:style>
  <w:style w:type="paragraph" w:customStyle="1" w:styleId="Director-Textitalic">
    <w:name w:val="Director - Text italic"/>
    <w:autoRedefine/>
    <w:qFormat/>
    <w:rsid w:val="00176C8B"/>
    <w:pPr>
      <w:ind w:right="113"/>
    </w:pPr>
    <w:rPr>
      <w:rFonts w:ascii="Arial" w:hAnsi="Arial" w:cs="Arial"/>
      <w:i/>
      <w:sz w:val="18"/>
      <w:szCs w:val="18"/>
      <w:lang w:eastAsia="ar-SA"/>
    </w:rPr>
  </w:style>
  <w:style w:type="paragraph" w:customStyle="1" w:styleId="Director-Textbold">
    <w:name w:val="Director - Text bold"/>
    <w:autoRedefine/>
    <w:qFormat/>
    <w:rsid w:val="00D96835"/>
    <w:rPr>
      <w:rFonts w:ascii="Arial" w:hAnsi="Arial" w:cs="Arial"/>
      <w:b/>
      <w:sz w:val="18"/>
      <w:szCs w:val="18"/>
      <w:lang w:eastAsia="ar-SA"/>
    </w:rPr>
  </w:style>
  <w:style w:type="paragraph" w:customStyle="1" w:styleId="Title-report">
    <w:name w:val="Title - report"/>
    <w:autoRedefine/>
    <w:rsid w:val="00B61CEB"/>
    <w:pPr>
      <w:snapToGrid w:val="0"/>
    </w:pPr>
    <w:rPr>
      <w:rFonts w:ascii="Arial" w:hAnsi="Arial" w:cs="Arial"/>
      <w:i/>
      <w:sz w:val="40"/>
      <w:lang w:eastAsia="ar-SA"/>
    </w:rPr>
  </w:style>
  <w:style w:type="paragraph" w:customStyle="1" w:styleId="Title-report2">
    <w:name w:val="Title - report 2"/>
    <w:autoRedefine/>
    <w:rsid w:val="00B61CEB"/>
    <w:pPr>
      <w:snapToGrid w:val="0"/>
    </w:pPr>
    <w:rPr>
      <w:rFonts w:ascii="Arial" w:hAnsi="Arial" w:cs="Arial"/>
      <w:sz w:val="40"/>
      <w:lang w:eastAsia="ar-SA"/>
    </w:rPr>
  </w:style>
  <w:style w:type="paragraph" w:customStyle="1" w:styleId="Contents-Subtitle2">
    <w:name w:val="Contents - Subtitle 2"/>
    <w:basedOn w:val="Contents-Subtitle"/>
    <w:link w:val="Contents-Subtitle2Char"/>
    <w:autoRedefine/>
    <w:qFormat/>
    <w:rsid w:val="00AE3990"/>
    <w:pPr>
      <w:ind w:left="0"/>
    </w:pPr>
    <w:rPr>
      <w:rFonts w:asciiTheme="majorHAnsi" w:hAnsiTheme="majorHAnsi"/>
      <w:b/>
      <w:color w:val="auto"/>
      <w:sz w:val="26"/>
      <w:szCs w:val="26"/>
    </w:rPr>
  </w:style>
  <w:style w:type="character" w:customStyle="1" w:styleId="Contents-SubtitleChar">
    <w:name w:val="Contents - Subtitle Char"/>
    <w:basedOn w:val="DefaultParagraphFont"/>
    <w:link w:val="Contents-Subtitle"/>
    <w:rsid w:val="00B61CEB"/>
    <w:rPr>
      <w:rFonts w:ascii="Arial" w:hAnsi="Arial" w:cs="Arial"/>
      <w:color w:val="0000FF"/>
      <w:sz w:val="36"/>
      <w:szCs w:val="36"/>
      <w:lang w:eastAsia="ar-SA"/>
    </w:rPr>
  </w:style>
  <w:style w:type="character" w:customStyle="1" w:styleId="Contents-Subtitle2Char">
    <w:name w:val="Contents - Subtitle 2 Char"/>
    <w:basedOn w:val="Contents-SubtitleChar"/>
    <w:link w:val="Contents-Subtitle2"/>
    <w:rsid w:val="00AE3990"/>
    <w:rPr>
      <w:rFonts w:asciiTheme="majorHAnsi" w:hAnsiTheme="majorHAnsi" w:cs="Arial"/>
      <w:b/>
      <w:color w:val="0000FF"/>
      <w:sz w:val="26"/>
      <w:szCs w:val="26"/>
      <w:lang w:eastAsia="ar-SA"/>
    </w:rPr>
  </w:style>
  <w:style w:type="paragraph" w:customStyle="1" w:styleId="Appendixref">
    <w:name w:val="Appendix ref"/>
    <w:autoRedefine/>
    <w:qFormat/>
    <w:rsid w:val="004B402B"/>
    <w:rPr>
      <w:rFonts w:ascii="Arial" w:hAnsi="Arial" w:cs="Arial"/>
      <w:b/>
      <w:iCs/>
      <w:color w:val="FF0000"/>
      <w:lang w:eastAsia="ar-SA"/>
    </w:rPr>
  </w:style>
  <w:style w:type="paragraph" w:styleId="TOCHeading">
    <w:name w:val="TOC Heading"/>
    <w:basedOn w:val="Heading1"/>
    <w:next w:val="Normal"/>
    <w:uiPriority w:val="39"/>
    <w:semiHidden/>
    <w:unhideWhenUsed/>
    <w:qFormat/>
    <w:rsid w:val="004F2C55"/>
    <w:pPr>
      <w:outlineLvl w:val="9"/>
    </w:pPr>
    <w:rPr>
      <w:rFonts w:cstheme="majorBidi"/>
    </w:rPr>
  </w:style>
  <w:style w:type="paragraph" w:styleId="TOC3">
    <w:name w:val="toc 3"/>
    <w:basedOn w:val="Normal"/>
    <w:next w:val="Normal"/>
    <w:autoRedefine/>
    <w:uiPriority w:val="39"/>
    <w:qFormat/>
    <w:rsid w:val="00236F7B"/>
    <w:pPr>
      <w:spacing w:after="0"/>
      <w:ind w:left="480"/>
    </w:pPr>
    <w:rPr>
      <w:rFonts w:asciiTheme="majorHAnsi" w:hAnsiTheme="majorHAnsi" w:cstheme="minorHAnsi"/>
      <w:b/>
      <w:i/>
      <w:sz w:val="32"/>
      <w:szCs w:val="32"/>
    </w:rPr>
  </w:style>
  <w:style w:type="paragraph" w:styleId="TOC1">
    <w:name w:val="toc 1"/>
    <w:basedOn w:val="Normal"/>
    <w:next w:val="Normal"/>
    <w:autoRedefine/>
    <w:uiPriority w:val="39"/>
    <w:unhideWhenUsed/>
    <w:rsid w:val="00E21724"/>
    <w:pPr>
      <w:tabs>
        <w:tab w:val="right" w:pos="8647"/>
      </w:tabs>
      <w:spacing w:before="240"/>
      <w:contextualSpacing/>
    </w:pPr>
    <w:rPr>
      <w:rFonts w:cstheme="minorHAnsi"/>
      <w:b/>
      <w:bCs/>
      <w:sz w:val="20"/>
      <w:szCs w:val="20"/>
    </w:rPr>
  </w:style>
  <w:style w:type="character" w:customStyle="1" w:styleId="Heading1Char">
    <w:name w:val="Heading 1 Char"/>
    <w:basedOn w:val="DefaultParagraphFont"/>
    <w:link w:val="Heading1"/>
    <w:uiPriority w:val="9"/>
    <w:rsid w:val="00AB24D3"/>
    <w:rPr>
      <w:rFonts w:asciiTheme="majorHAnsi" w:eastAsiaTheme="majorEastAsia" w:hAnsiTheme="majorHAnsi"/>
      <w:b/>
      <w:bCs/>
      <w:kern w:val="32"/>
      <w:sz w:val="36"/>
      <w:szCs w:val="32"/>
    </w:rPr>
  </w:style>
  <w:style w:type="character" w:customStyle="1" w:styleId="Heading2Char">
    <w:name w:val="Heading 2 Char"/>
    <w:basedOn w:val="DefaultParagraphFont"/>
    <w:link w:val="Heading2"/>
    <w:uiPriority w:val="9"/>
    <w:rsid w:val="00C644CD"/>
    <w:rPr>
      <w:rFonts w:asciiTheme="majorHAnsi" w:eastAsiaTheme="majorEastAsia" w:hAnsiTheme="majorHAnsi"/>
      <w:b/>
      <w:bCs/>
      <w:i/>
      <w:iCs/>
      <w:sz w:val="32"/>
      <w:szCs w:val="28"/>
    </w:rPr>
  </w:style>
  <w:style w:type="character" w:customStyle="1" w:styleId="Heading3Char">
    <w:name w:val="Heading 3 Char"/>
    <w:basedOn w:val="DefaultParagraphFont"/>
    <w:link w:val="Heading3"/>
    <w:uiPriority w:val="9"/>
    <w:rsid w:val="00C644CD"/>
    <w:rPr>
      <w:rFonts w:asciiTheme="majorHAnsi" w:eastAsiaTheme="majorEastAsia" w:hAnsiTheme="majorHAnsi"/>
      <w:b/>
      <w:bCs/>
      <w:sz w:val="28"/>
      <w:szCs w:val="26"/>
    </w:rPr>
  </w:style>
  <w:style w:type="character" w:customStyle="1" w:styleId="Heading4Char">
    <w:name w:val="Heading 4 Char"/>
    <w:basedOn w:val="DefaultParagraphFont"/>
    <w:link w:val="Heading4"/>
    <w:uiPriority w:val="9"/>
    <w:rsid w:val="00561138"/>
    <w:rPr>
      <w:rFonts w:asciiTheme="majorHAnsi" w:hAnsiTheme="majorHAnsi"/>
      <w:b/>
      <w:bCs/>
      <w:color w:val="000000"/>
      <w:szCs w:val="28"/>
      <w14:textFill>
        <w14:solidFill>
          <w14:srgbClr w14:val="000000">
            <w14:lumMod w14:val="75000"/>
          </w14:srgbClr>
        </w14:solidFill>
      </w14:textFill>
    </w:rPr>
  </w:style>
  <w:style w:type="character" w:customStyle="1" w:styleId="Heading5Char">
    <w:name w:val="Heading 5 Char"/>
    <w:basedOn w:val="DefaultParagraphFont"/>
    <w:link w:val="Heading5"/>
    <w:uiPriority w:val="9"/>
    <w:rsid w:val="00561138"/>
    <w:rPr>
      <w:b/>
      <w:bCs/>
      <w:i/>
      <w:iCs/>
      <w:szCs w:val="26"/>
    </w:rPr>
  </w:style>
  <w:style w:type="character" w:customStyle="1" w:styleId="Heading6Char">
    <w:name w:val="Heading 6 Char"/>
    <w:basedOn w:val="DefaultParagraphFont"/>
    <w:link w:val="Heading6"/>
    <w:uiPriority w:val="9"/>
    <w:rsid w:val="00655761"/>
    <w:rPr>
      <w:b/>
      <w:bCs/>
      <w:i/>
      <w:color w:val="2D3E7B" w:themeColor="text2" w:themeShade="BF"/>
    </w:rPr>
  </w:style>
  <w:style w:type="character" w:customStyle="1" w:styleId="Heading7Char">
    <w:name w:val="Heading 7 Char"/>
    <w:basedOn w:val="DefaultParagraphFont"/>
    <w:link w:val="Heading7"/>
    <w:uiPriority w:val="9"/>
    <w:rsid w:val="004F2C55"/>
    <w:rPr>
      <w:sz w:val="24"/>
      <w:szCs w:val="24"/>
    </w:rPr>
  </w:style>
  <w:style w:type="character" w:customStyle="1" w:styleId="Heading8Char">
    <w:name w:val="Heading 8 Char"/>
    <w:basedOn w:val="DefaultParagraphFont"/>
    <w:link w:val="Heading8"/>
    <w:uiPriority w:val="9"/>
    <w:rsid w:val="004F2C55"/>
    <w:rPr>
      <w:i/>
      <w:iCs/>
      <w:sz w:val="24"/>
      <w:szCs w:val="24"/>
    </w:rPr>
  </w:style>
  <w:style w:type="character" w:customStyle="1" w:styleId="Heading9Char">
    <w:name w:val="Heading 9 Char"/>
    <w:basedOn w:val="DefaultParagraphFont"/>
    <w:link w:val="Heading9"/>
    <w:uiPriority w:val="9"/>
    <w:rsid w:val="004F2C55"/>
    <w:rPr>
      <w:rFonts w:asciiTheme="majorHAnsi" w:eastAsiaTheme="majorEastAsia" w:hAnsiTheme="majorHAnsi"/>
    </w:rPr>
  </w:style>
  <w:style w:type="character" w:customStyle="1" w:styleId="TitleChar">
    <w:name w:val="Title Char"/>
    <w:basedOn w:val="DefaultParagraphFont"/>
    <w:link w:val="Title"/>
    <w:uiPriority w:val="10"/>
    <w:rsid w:val="004F2C55"/>
    <w:rPr>
      <w:rFonts w:asciiTheme="majorHAnsi" w:eastAsiaTheme="majorEastAsia" w:hAnsiTheme="majorHAnsi"/>
      <w:b/>
      <w:bCs/>
      <w:kern w:val="28"/>
      <w:sz w:val="32"/>
      <w:szCs w:val="32"/>
    </w:rPr>
  </w:style>
  <w:style w:type="character" w:customStyle="1" w:styleId="SubtitleChar">
    <w:name w:val="Subtitle Char"/>
    <w:basedOn w:val="DefaultParagraphFont"/>
    <w:link w:val="Subtitle"/>
    <w:uiPriority w:val="11"/>
    <w:rsid w:val="004340AB"/>
    <w:rPr>
      <w:rFonts w:asciiTheme="majorHAnsi" w:eastAsiaTheme="majorEastAsia" w:hAnsiTheme="majorHAnsi" w:cs="DejaVu Sans"/>
      <w:b/>
      <w:color w:val="3C54A5" w:themeColor="accent1"/>
      <w:sz w:val="32"/>
      <w:szCs w:val="32"/>
    </w:rPr>
  </w:style>
  <w:style w:type="character" w:styleId="Strong">
    <w:name w:val="Strong"/>
    <w:basedOn w:val="DefaultParagraphFont"/>
    <w:uiPriority w:val="22"/>
    <w:qFormat/>
    <w:rsid w:val="004F2C55"/>
    <w:rPr>
      <w:b/>
      <w:bCs/>
    </w:rPr>
  </w:style>
  <w:style w:type="character" w:styleId="Emphasis">
    <w:name w:val="Emphasis"/>
    <w:basedOn w:val="DefaultParagraphFont"/>
    <w:uiPriority w:val="20"/>
    <w:qFormat/>
    <w:rsid w:val="004F2C55"/>
    <w:rPr>
      <w:rFonts w:asciiTheme="minorHAnsi" w:hAnsiTheme="minorHAnsi"/>
      <w:b/>
      <w:i/>
      <w:iCs/>
    </w:rPr>
  </w:style>
  <w:style w:type="paragraph" w:styleId="NoSpacing">
    <w:name w:val="No Spacing"/>
    <w:basedOn w:val="Normal"/>
    <w:uiPriority w:val="1"/>
    <w:qFormat/>
    <w:rsid w:val="004F2C55"/>
    <w:rPr>
      <w:szCs w:val="32"/>
    </w:rPr>
  </w:style>
  <w:style w:type="paragraph" w:styleId="Quote">
    <w:name w:val="Quote"/>
    <w:basedOn w:val="Normal"/>
    <w:next w:val="Normal"/>
    <w:link w:val="QuoteChar"/>
    <w:uiPriority w:val="29"/>
    <w:qFormat/>
    <w:rsid w:val="004F2C55"/>
    <w:rPr>
      <w:i/>
    </w:rPr>
  </w:style>
  <w:style w:type="character" w:customStyle="1" w:styleId="QuoteChar">
    <w:name w:val="Quote Char"/>
    <w:basedOn w:val="DefaultParagraphFont"/>
    <w:link w:val="Quote"/>
    <w:uiPriority w:val="29"/>
    <w:rsid w:val="004F2C55"/>
    <w:rPr>
      <w:i/>
      <w:sz w:val="24"/>
      <w:szCs w:val="24"/>
    </w:rPr>
  </w:style>
  <w:style w:type="paragraph" w:styleId="IntenseQuote">
    <w:name w:val="Intense Quote"/>
    <w:basedOn w:val="Normal"/>
    <w:next w:val="Normal"/>
    <w:link w:val="IntenseQuoteChar"/>
    <w:uiPriority w:val="30"/>
    <w:qFormat/>
    <w:rsid w:val="004F2C55"/>
    <w:pPr>
      <w:ind w:left="720" w:right="720"/>
    </w:pPr>
    <w:rPr>
      <w:b/>
      <w:i/>
      <w:szCs w:val="22"/>
    </w:rPr>
  </w:style>
  <w:style w:type="character" w:customStyle="1" w:styleId="IntenseQuoteChar">
    <w:name w:val="Intense Quote Char"/>
    <w:basedOn w:val="DefaultParagraphFont"/>
    <w:link w:val="IntenseQuote"/>
    <w:uiPriority w:val="30"/>
    <w:rsid w:val="004F2C55"/>
    <w:rPr>
      <w:b/>
      <w:i/>
      <w:sz w:val="24"/>
    </w:rPr>
  </w:style>
  <w:style w:type="character" w:styleId="SubtleEmphasis">
    <w:name w:val="Subtle Emphasis"/>
    <w:uiPriority w:val="19"/>
    <w:qFormat/>
    <w:rsid w:val="004F2C55"/>
    <w:rPr>
      <w:i/>
      <w:color w:val="5A5A5A" w:themeColor="text1" w:themeTint="A5"/>
    </w:rPr>
  </w:style>
  <w:style w:type="character" w:styleId="IntenseEmphasis">
    <w:name w:val="Intense Emphasis"/>
    <w:basedOn w:val="DefaultParagraphFont"/>
    <w:uiPriority w:val="21"/>
    <w:qFormat/>
    <w:rsid w:val="004F2C55"/>
    <w:rPr>
      <w:b/>
      <w:i/>
      <w:sz w:val="24"/>
      <w:szCs w:val="24"/>
      <w:u w:val="single"/>
    </w:rPr>
  </w:style>
  <w:style w:type="character" w:styleId="SubtleReference">
    <w:name w:val="Subtle Reference"/>
    <w:basedOn w:val="DefaultParagraphFont"/>
    <w:uiPriority w:val="31"/>
    <w:qFormat/>
    <w:rsid w:val="004F2C55"/>
    <w:rPr>
      <w:sz w:val="24"/>
      <w:szCs w:val="24"/>
      <w:u w:val="single"/>
    </w:rPr>
  </w:style>
  <w:style w:type="character" w:styleId="IntenseReference">
    <w:name w:val="Intense Reference"/>
    <w:basedOn w:val="DefaultParagraphFont"/>
    <w:uiPriority w:val="32"/>
    <w:qFormat/>
    <w:rsid w:val="004F2C55"/>
    <w:rPr>
      <w:b/>
      <w:sz w:val="24"/>
      <w:u w:val="single"/>
    </w:rPr>
  </w:style>
  <w:style w:type="character" w:styleId="BookTitle">
    <w:name w:val="Book Title"/>
    <w:basedOn w:val="DefaultParagraphFont"/>
    <w:uiPriority w:val="33"/>
    <w:qFormat/>
    <w:rsid w:val="004F2C55"/>
    <w:rPr>
      <w:rFonts w:asciiTheme="majorHAnsi" w:eastAsiaTheme="majorEastAsia" w:hAnsiTheme="majorHAnsi"/>
      <w:b/>
      <w:i/>
      <w:sz w:val="24"/>
      <w:szCs w:val="24"/>
    </w:rPr>
  </w:style>
  <w:style w:type="character" w:customStyle="1" w:styleId="CommentTextChar">
    <w:name w:val="Comment Text Char"/>
    <w:basedOn w:val="DefaultParagraphFont"/>
    <w:link w:val="CommentText"/>
    <w:uiPriority w:val="99"/>
    <w:rsid w:val="00A84C17"/>
    <w:rPr>
      <w:sz w:val="20"/>
      <w:szCs w:val="24"/>
    </w:rPr>
  </w:style>
  <w:style w:type="paragraph" w:customStyle="1" w:styleId="Note-List2">
    <w:name w:val="Note - List 2"/>
    <w:basedOn w:val="Note-List1"/>
    <w:qFormat/>
    <w:rsid w:val="00E94EBE"/>
    <w:pPr>
      <w:ind w:left="680"/>
    </w:pPr>
  </w:style>
  <w:style w:type="table" w:styleId="MediumGrid3-Accent5">
    <w:name w:val="Medium Grid 3 Accent 5"/>
    <w:basedOn w:val="TableNormal"/>
    <w:uiPriority w:val="69"/>
    <w:rsid w:val="005B37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Shading1-Accent5">
    <w:name w:val="Medium Shading 1 Accent 5"/>
    <w:basedOn w:val="TableNormal"/>
    <w:uiPriority w:val="63"/>
    <w:rsid w:val="008A4686"/>
    <w:tblPr>
      <w:tblStyleRowBandSize w:val="1"/>
      <w:tblStyleColBandSize w:val="1"/>
      <w:tblInd w:w="0" w:type="dxa"/>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TableGrid">
    <w:name w:val="Table Grid"/>
    <w:basedOn w:val="TableNormal"/>
    <w:rsid w:val="0047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451282"/>
    <w:pPr>
      <w:spacing w:after="0"/>
      <w:ind w:left="720"/>
    </w:pPr>
    <w:rPr>
      <w:rFonts w:cstheme="minorHAnsi"/>
      <w:sz w:val="20"/>
      <w:szCs w:val="20"/>
    </w:rPr>
  </w:style>
  <w:style w:type="paragraph" w:styleId="TOC5">
    <w:name w:val="toc 5"/>
    <w:basedOn w:val="Normal"/>
    <w:next w:val="Normal"/>
    <w:autoRedefine/>
    <w:uiPriority w:val="39"/>
    <w:unhideWhenUsed/>
    <w:rsid w:val="00451282"/>
    <w:pPr>
      <w:spacing w:after="0"/>
      <w:ind w:left="960"/>
    </w:pPr>
    <w:rPr>
      <w:rFonts w:cstheme="minorHAnsi"/>
      <w:sz w:val="20"/>
      <w:szCs w:val="20"/>
    </w:rPr>
  </w:style>
  <w:style w:type="paragraph" w:styleId="TOC6">
    <w:name w:val="toc 6"/>
    <w:basedOn w:val="Normal"/>
    <w:next w:val="Normal"/>
    <w:autoRedefine/>
    <w:uiPriority w:val="39"/>
    <w:unhideWhenUsed/>
    <w:rsid w:val="00451282"/>
    <w:pPr>
      <w:spacing w:after="0"/>
      <w:ind w:left="1200"/>
    </w:pPr>
    <w:rPr>
      <w:rFonts w:cstheme="minorHAnsi"/>
      <w:sz w:val="20"/>
      <w:szCs w:val="20"/>
    </w:rPr>
  </w:style>
  <w:style w:type="paragraph" w:styleId="TOC7">
    <w:name w:val="toc 7"/>
    <w:basedOn w:val="Normal"/>
    <w:next w:val="Normal"/>
    <w:autoRedefine/>
    <w:uiPriority w:val="39"/>
    <w:unhideWhenUsed/>
    <w:rsid w:val="00451282"/>
    <w:pPr>
      <w:spacing w:after="0"/>
      <w:ind w:left="1440"/>
    </w:pPr>
    <w:rPr>
      <w:rFonts w:cstheme="minorHAnsi"/>
      <w:sz w:val="20"/>
      <w:szCs w:val="20"/>
    </w:rPr>
  </w:style>
  <w:style w:type="paragraph" w:styleId="TOC8">
    <w:name w:val="toc 8"/>
    <w:basedOn w:val="Normal"/>
    <w:next w:val="Normal"/>
    <w:autoRedefine/>
    <w:uiPriority w:val="39"/>
    <w:unhideWhenUsed/>
    <w:rsid w:val="00451282"/>
    <w:pPr>
      <w:spacing w:after="0"/>
      <w:ind w:left="1680"/>
    </w:pPr>
    <w:rPr>
      <w:rFonts w:cstheme="minorHAnsi"/>
      <w:sz w:val="20"/>
      <w:szCs w:val="20"/>
    </w:rPr>
  </w:style>
  <w:style w:type="paragraph" w:styleId="TOC9">
    <w:name w:val="toc 9"/>
    <w:basedOn w:val="Normal"/>
    <w:next w:val="Normal"/>
    <w:autoRedefine/>
    <w:uiPriority w:val="39"/>
    <w:unhideWhenUsed/>
    <w:rsid w:val="00451282"/>
    <w:pPr>
      <w:spacing w:after="0"/>
      <w:ind w:left="1920"/>
    </w:pPr>
    <w:rPr>
      <w:rFonts w:cstheme="minorHAnsi"/>
      <w:sz w:val="20"/>
      <w:szCs w:val="20"/>
    </w:rPr>
  </w:style>
  <w:style w:type="character" w:styleId="PlaceholderText">
    <w:name w:val="Placeholder Text"/>
    <w:basedOn w:val="DefaultParagraphFont"/>
    <w:uiPriority w:val="99"/>
    <w:semiHidden/>
    <w:rsid w:val="00B97683"/>
    <w:rPr>
      <w:color w:val="808080"/>
    </w:rPr>
  </w:style>
  <w:style w:type="paragraph" w:customStyle="1" w:styleId="StyleHeading6Text2">
    <w:name w:val="Style Heading 6 + Text 2"/>
    <w:basedOn w:val="Heading6"/>
    <w:rsid w:val="001A5D4A"/>
  </w:style>
  <w:style w:type="paragraph" w:customStyle="1" w:styleId="NotHeading1">
    <w:name w:val="Not Heading 1"/>
    <w:basedOn w:val="Normal"/>
    <w:link w:val="NotHeading1Char"/>
    <w:qFormat/>
    <w:rsid w:val="00D61C84"/>
    <w:rPr>
      <w:rFonts w:asciiTheme="majorHAnsi" w:hAnsiTheme="majorHAnsi"/>
      <w:b/>
      <w:sz w:val="32"/>
      <w:szCs w:val="32"/>
    </w:rPr>
  </w:style>
  <w:style w:type="character" w:customStyle="1" w:styleId="NotHeading1Char">
    <w:name w:val="Not Heading 1 Char"/>
    <w:basedOn w:val="DefaultParagraphFont"/>
    <w:link w:val="NotHeading1"/>
    <w:rsid w:val="00D61C84"/>
    <w:rPr>
      <w:rFonts w:asciiTheme="majorHAnsi" w:hAnsiTheme="majorHAnsi"/>
      <w:b/>
      <w:sz w:val="32"/>
      <w:szCs w:val="32"/>
    </w:rPr>
  </w:style>
  <w:style w:type="paragraph" w:customStyle="1" w:styleId="StyleHeading2Before3pt">
    <w:name w:val="Style Heading 2 + Before:  3 pt"/>
    <w:basedOn w:val="Heading2"/>
    <w:rsid w:val="00C644CD"/>
    <w:rPr>
      <w:rFonts w:eastAsia="Times New Roman"/>
      <w:szCs w:val="20"/>
    </w:rPr>
  </w:style>
  <w:style w:type="table" w:styleId="ColorfulGrid-Accent6">
    <w:name w:val="Colorful Grid Accent 6"/>
    <w:basedOn w:val="TableNormal"/>
    <w:uiPriority w:val="73"/>
    <w:rsid w:val="004914A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Table3Deffects3">
    <w:name w:val="Table 3D effects 3"/>
    <w:basedOn w:val="TableNormal"/>
    <w:rsid w:val="004914AC"/>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Heading5Text2">
    <w:name w:val="Style Heading 5 + Text 2"/>
    <w:basedOn w:val="Heading5"/>
    <w:rsid w:val="004F3ED9"/>
    <w:pPr>
      <w:spacing w:before="6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F0"/>
    <w:pPr>
      <w:spacing w:after="120"/>
    </w:pPr>
    <w:rPr>
      <w:szCs w:val="24"/>
    </w:rPr>
  </w:style>
  <w:style w:type="paragraph" w:styleId="Heading1">
    <w:name w:val="heading 1"/>
    <w:basedOn w:val="Normal"/>
    <w:next w:val="Normal"/>
    <w:link w:val="Heading1Char"/>
    <w:uiPriority w:val="9"/>
    <w:qFormat/>
    <w:rsid w:val="00AB24D3"/>
    <w:pPr>
      <w:keepNext/>
      <w:spacing w:before="240" w:after="60"/>
      <w:outlineLvl w:val="0"/>
    </w:pPr>
    <w:rPr>
      <w:rFonts w:asciiTheme="majorHAnsi" w:eastAsiaTheme="majorEastAsia" w:hAnsiTheme="majorHAnsi"/>
      <w:b/>
      <w:bCs/>
      <w:kern w:val="32"/>
      <w:sz w:val="36"/>
      <w:szCs w:val="32"/>
    </w:rPr>
  </w:style>
  <w:style w:type="paragraph" w:styleId="Heading2">
    <w:name w:val="heading 2"/>
    <w:basedOn w:val="Normal"/>
    <w:next w:val="Normal"/>
    <w:link w:val="Heading2Char"/>
    <w:uiPriority w:val="9"/>
    <w:unhideWhenUsed/>
    <w:qFormat/>
    <w:rsid w:val="00C644CD"/>
    <w:pPr>
      <w:keepNext/>
      <w:spacing w:before="120" w:after="60"/>
      <w:outlineLvl w:val="1"/>
    </w:pPr>
    <w:rPr>
      <w:rFonts w:asciiTheme="majorHAnsi" w:eastAsiaTheme="majorEastAsia" w:hAnsiTheme="majorHAnsi"/>
      <w:b/>
      <w:bCs/>
      <w:i/>
      <w:iCs/>
      <w:sz w:val="32"/>
      <w:szCs w:val="28"/>
    </w:rPr>
  </w:style>
  <w:style w:type="paragraph" w:styleId="Heading3">
    <w:name w:val="heading 3"/>
    <w:basedOn w:val="Normal"/>
    <w:next w:val="Normal"/>
    <w:link w:val="Heading3Char"/>
    <w:uiPriority w:val="9"/>
    <w:unhideWhenUsed/>
    <w:qFormat/>
    <w:rsid w:val="00C644CD"/>
    <w:pPr>
      <w:keepNext/>
      <w:spacing w:before="120" w:after="60"/>
      <w:outlineLvl w:val="2"/>
    </w:pPr>
    <w:rPr>
      <w:rFonts w:asciiTheme="majorHAnsi" w:eastAsiaTheme="majorEastAsia" w:hAnsiTheme="majorHAnsi"/>
      <w:b/>
      <w:bCs/>
      <w:sz w:val="28"/>
      <w:szCs w:val="26"/>
    </w:rPr>
  </w:style>
  <w:style w:type="paragraph" w:styleId="Heading4">
    <w:name w:val="heading 4"/>
    <w:basedOn w:val="Normal"/>
    <w:next w:val="Normal"/>
    <w:link w:val="Heading4Char"/>
    <w:uiPriority w:val="9"/>
    <w:unhideWhenUsed/>
    <w:qFormat/>
    <w:rsid w:val="00561138"/>
    <w:pPr>
      <w:keepNext/>
      <w:spacing w:before="120" w:after="60"/>
      <w:outlineLvl w:val="3"/>
    </w:pPr>
    <w:rPr>
      <w:rFonts w:asciiTheme="majorHAnsi" w:hAnsiTheme="majorHAnsi"/>
      <w:b/>
      <w:bCs/>
      <w:color w:val="000000"/>
      <w:szCs w:val="28"/>
      <w14:textFill>
        <w14:solidFill>
          <w14:srgbClr w14:val="000000">
            <w14:lumMod w14:val="75000"/>
          </w14:srgbClr>
        </w14:solidFill>
      </w14:textFill>
    </w:rPr>
  </w:style>
  <w:style w:type="paragraph" w:styleId="Heading5">
    <w:name w:val="heading 5"/>
    <w:basedOn w:val="Normal"/>
    <w:next w:val="Normal"/>
    <w:link w:val="Heading5Char"/>
    <w:uiPriority w:val="9"/>
    <w:unhideWhenUsed/>
    <w:qFormat/>
    <w:rsid w:val="00561138"/>
    <w:pPr>
      <w:keepNext/>
      <w:spacing w:before="120" w:after="60"/>
      <w:outlineLvl w:val="4"/>
    </w:pPr>
    <w:rPr>
      <w:b/>
      <w:bCs/>
      <w:i/>
      <w:iCs/>
      <w:szCs w:val="26"/>
    </w:rPr>
  </w:style>
  <w:style w:type="paragraph" w:styleId="Heading6">
    <w:name w:val="heading 6"/>
    <w:basedOn w:val="Normal"/>
    <w:next w:val="Normal"/>
    <w:link w:val="Heading6Char"/>
    <w:autoRedefine/>
    <w:uiPriority w:val="9"/>
    <w:unhideWhenUsed/>
    <w:qFormat/>
    <w:rsid w:val="00655761"/>
    <w:pPr>
      <w:keepNext/>
      <w:spacing w:before="60" w:after="60"/>
      <w:outlineLvl w:val="5"/>
    </w:pPr>
    <w:rPr>
      <w:b/>
      <w:bCs/>
      <w:i/>
      <w:color w:val="2D3E7B" w:themeColor="text2" w:themeShade="BF"/>
      <w:szCs w:val="22"/>
    </w:rPr>
  </w:style>
  <w:style w:type="paragraph" w:styleId="Heading7">
    <w:name w:val="heading 7"/>
    <w:basedOn w:val="Normal"/>
    <w:next w:val="Normal"/>
    <w:link w:val="Heading7Char"/>
    <w:uiPriority w:val="9"/>
    <w:unhideWhenUsed/>
    <w:qFormat/>
    <w:rsid w:val="004F2C55"/>
    <w:pPr>
      <w:spacing w:before="240" w:after="60"/>
      <w:outlineLvl w:val="6"/>
    </w:pPr>
  </w:style>
  <w:style w:type="paragraph" w:styleId="Heading8">
    <w:name w:val="heading 8"/>
    <w:basedOn w:val="Normal"/>
    <w:next w:val="Normal"/>
    <w:link w:val="Heading8Char"/>
    <w:uiPriority w:val="9"/>
    <w:unhideWhenUsed/>
    <w:qFormat/>
    <w:rsid w:val="004F2C55"/>
    <w:pPr>
      <w:spacing w:before="240" w:after="60"/>
      <w:outlineLvl w:val="7"/>
    </w:pPr>
    <w:rPr>
      <w:i/>
      <w:iCs/>
    </w:rPr>
  </w:style>
  <w:style w:type="paragraph" w:styleId="Heading9">
    <w:name w:val="heading 9"/>
    <w:basedOn w:val="Normal"/>
    <w:next w:val="Normal"/>
    <w:link w:val="Heading9Char"/>
    <w:uiPriority w:val="9"/>
    <w:unhideWhenUsed/>
    <w:qFormat/>
    <w:rsid w:val="004F2C5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3">
    <w:name w:val="WW8Num3z3"/>
    <w:rsid w:val="00641C90"/>
    <w:rPr>
      <w:rFonts w:ascii="Arial" w:hAnsi="Arial" w:cs="Arial"/>
      <w:sz w:val="18"/>
      <w:szCs w:val="18"/>
    </w:rPr>
  </w:style>
  <w:style w:type="character" w:customStyle="1" w:styleId="WW8Num5z0">
    <w:name w:val="WW8Num5z0"/>
    <w:rsid w:val="00641C90"/>
    <w:rPr>
      <w:rFonts w:ascii="Symbol" w:hAnsi="Symbol"/>
      <w:color w:val="auto"/>
      <w:sz w:val="28"/>
    </w:rPr>
  </w:style>
  <w:style w:type="character" w:customStyle="1" w:styleId="WW8Num6z0">
    <w:name w:val="WW8Num6z0"/>
    <w:rsid w:val="00641C90"/>
    <w:rPr>
      <w:rFonts w:ascii="Symbol" w:hAnsi="Symbol"/>
    </w:rPr>
  </w:style>
  <w:style w:type="character" w:customStyle="1" w:styleId="WW8Num7z0">
    <w:name w:val="WW8Num7z0"/>
    <w:rsid w:val="00641C90"/>
    <w:rPr>
      <w:rFonts w:ascii="Wingdings" w:hAnsi="Wingdings"/>
      <w:sz w:val="12"/>
    </w:rPr>
  </w:style>
  <w:style w:type="character" w:customStyle="1" w:styleId="WW8Num10z0">
    <w:name w:val="WW8Num10z0"/>
    <w:rsid w:val="00641C90"/>
    <w:rPr>
      <w:rFonts w:ascii="Wingdings" w:hAnsi="Wingdings"/>
    </w:rPr>
  </w:style>
  <w:style w:type="character" w:customStyle="1" w:styleId="WW8Num10z1">
    <w:name w:val="WW8Num10z1"/>
    <w:rsid w:val="00641C90"/>
    <w:rPr>
      <w:rFonts w:ascii="Courier New" w:hAnsi="Courier New" w:cs="Courier New"/>
    </w:rPr>
  </w:style>
  <w:style w:type="character" w:customStyle="1" w:styleId="WW8Num10z3">
    <w:name w:val="WW8Num10z3"/>
    <w:rsid w:val="00641C90"/>
    <w:rPr>
      <w:rFonts w:ascii="Symbol" w:hAnsi="Symbol"/>
    </w:rPr>
  </w:style>
  <w:style w:type="character" w:customStyle="1" w:styleId="WW8Num11z0">
    <w:name w:val="WW8Num11z0"/>
    <w:rsid w:val="00641C90"/>
    <w:rPr>
      <w:rFonts w:ascii="Symbol" w:hAnsi="Symbol"/>
    </w:rPr>
  </w:style>
  <w:style w:type="character" w:customStyle="1" w:styleId="WW8Num12z0">
    <w:name w:val="WW8Num12z0"/>
    <w:rsid w:val="00641C90"/>
    <w:rPr>
      <w:rFonts w:ascii="Symbol" w:hAnsi="Symbol"/>
    </w:rPr>
  </w:style>
  <w:style w:type="character" w:customStyle="1" w:styleId="WW8Num12z1">
    <w:name w:val="WW8Num12z1"/>
    <w:rsid w:val="00641C90"/>
    <w:rPr>
      <w:rFonts w:ascii="Courier New" w:hAnsi="Courier New" w:cs="Courier New"/>
    </w:rPr>
  </w:style>
  <w:style w:type="character" w:customStyle="1" w:styleId="WW8Num12z2">
    <w:name w:val="WW8Num12z2"/>
    <w:rsid w:val="00641C90"/>
    <w:rPr>
      <w:rFonts w:ascii="Wingdings" w:hAnsi="Wingdings"/>
    </w:rPr>
  </w:style>
  <w:style w:type="character" w:customStyle="1" w:styleId="WW8Num13z0">
    <w:name w:val="WW8Num13z0"/>
    <w:rsid w:val="00641C90"/>
    <w:rPr>
      <w:rFonts w:ascii="Wingdings" w:hAnsi="Wingdings"/>
      <w:sz w:val="16"/>
    </w:rPr>
  </w:style>
  <w:style w:type="character" w:customStyle="1" w:styleId="WW8Num14z0">
    <w:name w:val="WW8Num14z0"/>
    <w:rsid w:val="00641C90"/>
    <w:rPr>
      <w:rFonts w:ascii="Symbol" w:hAnsi="Symbol"/>
    </w:rPr>
  </w:style>
  <w:style w:type="character" w:customStyle="1" w:styleId="WW8Num14z1">
    <w:name w:val="WW8Num14z1"/>
    <w:rsid w:val="00641C90"/>
    <w:rPr>
      <w:rFonts w:ascii="Courier New" w:hAnsi="Courier New"/>
    </w:rPr>
  </w:style>
  <w:style w:type="character" w:customStyle="1" w:styleId="WW8Num14z2">
    <w:name w:val="WW8Num14z2"/>
    <w:rsid w:val="00641C90"/>
    <w:rPr>
      <w:rFonts w:ascii="Wingdings" w:hAnsi="Wingdings"/>
    </w:rPr>
  </w:style>
  <w:style w:type="character" w:customStyle="1" w:styleId="WW8Num15z0">
    <w:name w:val="WW8Num15z0"/>
    <w:rsid w:val="00641C90"/>
    <w:rPr>
      <w:rFonts w:ascii="Courier New" w:hAnsi="Courier New"/>
    </w:rPr>
  </w:style>
  <w:style w:type="character" w:customStyle="1" w:styleId="WW8Num15z2">
    <w:name w:val="WW8Num15z2"/>
    <w:rsid w:val="00641C90"/>
    <w:rPr>
      <w:rFonts w:ascii="Wingdings" w:hAnsi="Wingdings"/>
    </w:rPr>
  </w:style>
  <w:style w:type="character" w:customStyle="1" w:styleId="WW8Num15z3">
    <w:name w:val="WW8Num15z3"/>
    <w:rsid w:val="00641C90"/>
    <w:rPr>
      <w:rFonts w:ascii="Symbol" w:hAnsi="Symbol"/>
    </w:rPr>
  </w:style>
  <w:style w:type="character" w:customStyle="1" w:styleId="WW8Num16z0">
    <w:name w:val="WW8Num16z0"/>
    <w:rsid w:val="00641C90"/>
    <w:rPr>
      <w:rFonts w:ascii="Wingdings" w:hAnsi="Wingdings"/>
      <w:sz w:val="16"/>
    </w:rPr>
  </w:style>
  <w:style w:type="character" w:customStyle="1" w:styleId="WW8Num17z0">
    <w:name w:val="WW8Num17z0"/>
    <w:rsid w:val="00641C90"/>
    <w:rPr>
      <w:rFonts w:ascii="Wingdings" w:hAnsi="Wingdings"/>
    </w:rPr>
  </w:style>
  <w:style w:type="character" w:customStyle="1" w:styleId="WW8Num18z0">
    <w:name w:val="WW8Num18z0"/>
    <w:rsid w:val="00641C90"/>
    <w:rPr>
      <w:rFonts w:ascii="Wingdings" w:hAnsi="Wingdings"/>
    </w:rPr>
  </w:style>
  <w:style w:type="character" w:customStyle="1" w:styleId="WW8Num18z1">
    <w:name w:val="WW8Num18z1"/>
    <w:rsid w:val="00641C90"/>
    <w:rPr>
      <w:rFonts w:ascii="Symbol" w:hAnsi="Symbol"/>
    </w:rPr>
  </w:style>
  <w:style w:type="character" w:customStyle="1" w:styleId="WW8Num18z4">
    <w:name w:val="WW8Num18z4"/>
    <w:rsid w:val="00641C90"/>
    <w:rPr>
      <w:rFonts w:ascii="Courier New" w:hAnsi="Courier New"/>
    </w:rPr>
  </w:style>
  <w:style w:type="character" w:customStyle="1" w:styleId="WW8Num20z0">
    <w:name w:val="WW8Num20z0"/>
    <w:rsid w:val="00641C90"/>
    <w:rPr>
      <w:rFonts w:ascii="Symbol" w:hAnsi="Symbol"/>
      <w:color w:val="auto"/>
      <w:sz w:val="28"/>
    </w:rPr>
  </w:style>
  <w:style w:type="character" w:customStyle="1" w:styleId="WW8Num22z0">
    <w:name w:val="WW8Num22z0"/>
    <w:rsid w:val="00641C90"/>
    <w:rPr>
      <w:rFonts w:ascii="Times New Roman" w:eastAsia="Times New Roman" w:hAnsi="Times New Roman" w:cs="Times New Roman"/>
    </w:rPr>
  </w:style>
  <w:style w:type="character" w:customStyle="1" w:styleId="WW8Num22z1">
    <w:name w:val="WW8Num22z1"/>
    <w:rsid w:val="00641C90"/>
    <w:rPr>
      <w:rFonts w:ascii="Courier New" w:hAnsi="Courier New" w:cs="Courier New"/>
    </w:rPr>
  </w:style>
  <w:style w:type="character" w:customStyle="1" w:styleId="WW8Num22z2">
    <w:name w:val="WW8Num22z2"/>
    <w:rsid w:val="00641C90"/>
    <w:rPr>
      <w:rFonts w:ascii="Wingdings" w:hAnsi="Wingdings"/>
    </w:rPr>
  </w:style>
  <w:style w:type="character" w:customStyle="1" w:styleId="WW8Num22z3">
    <w:name w:val="WW8Num22z3"/>
    <w:rsid w:val="00641C90"/>
    <w:rPr>
      <w:rFonts w:ascii="Symbol" w:hAnsi="Symbol"/>
    </w:rPr>
  </w:style>
  <w:style w:type="character" w:customStyle="1" w:styleId="WW8Num23z0">
    <w:name w:val="WW8Num23z0"/>
    <w:rsid w:val="00641C90"/>
    <w:rPr>
      <w:rFonts w:ascii="Wingdings" w:hAnsi="Wingdings"/>
      <w:sz w:val="12"/>
    </w:rPr>
  </w:style>
  <w:style w:type="character" w:customStyle="1" w:styleId="WW8Num24z0">
    <w:name w:val="WW8Num24z0"/>
    <w:rsid w:val="00641C90"/>
    <w:rPr>
      <w:rFonts w:ascii="Symbol" w:hAnsi="Symbol"/>
    </w:rPr>
  </w:style>
  <w:style w:type="character" w:customStyle="1" w:styleId="WW8Num26z0">
    <w:name w:val="WW8Num26z0"/>
    <w:rsid w:val="00641C90"/>
    <w:rPr>
      <w:rFonts w:ascii="Symbol" w:hAnsi="Symbol"/>
    </w:rPr>
  </w:style>
  <w:style w:type="character" w:customStyle="1" w:styleId="WW8Num26z1">
    <w:name w:val="WW8Num26z1"/>
    <w:rsid w:val="00641C90"/>
    <w:rPr>
      <w:rFonts w:ascii="Courier New" w:hAnsi="Courier New" w:cs="Courier New"/>
    </w:rPr>
  </w:style>
  <w:style w:type="character" w:customStyle="1" w:styleId="WW8Num26z2">
    <w:name w:val="WW8Num26z2"/>
    <w:rsid w:val="00641C90"/>
    <w:rPr>
      <w:rFonts w:ascii="Wingdings" w:hAnsi="Wingdings"/>
    </w:rPr>
  </w:style>
  <w:style w:type="character" w:customStyle="1" w:styleId="WW8Num28z0">
    <w:name w:val="WW8Num28z0"/>
    <w:rsid w:val="00641C90"/>
    <w:rPr>
      <w:rFonts w:ascii="Symbol" w:hAnsi="Symbol"/>
      <w:sz w:val="18"/>
    </w:rPr>
  </w:style>
  <w:style w:type="character" w:customStyle="1" w:styleId="WW8Num30z0">
    <w:name w:val="WW8Num30z0"/>
    <w:rsid w:val="00641C90"/>
    <w:rPr>
      <w:rFonts w:ascii="Symbol" w:hAnsi="Symbol"/>
    </w:rPr>
  </w:style>
  <w:style w:type="character" w:customStyle="1" w:styleId="WW8Num30z1">
    <w:name w:val="WW8Num30z1"/>
    <w:rsid w:val="00641C90"/>
    <w:rPr>
      <w:rFonts w:ascii="Courier New" w:hAnsi="Courier New" w:cs="Courier New"/>
    </w:rPr>
  </w:style>
  <w:style w:type="character" w:customStyle="1" w:styleId="WW8Num30z2">
    <w:name w:val="WW8Num30z2"/>
    <w:rsid w:val="00641C90"/>
    <w:rPr>
      <w:rFonts w:ascii="Wingdings" w:hAnsi="Wingdings"/>
    </w:rPr>
  </w:style>
  <w:style w:type="character" w:customStyle="1" w:styleId="WW8Num32z0">
    <w:name w:val="WW8Num32z0"/>
    <w:rsid w:val="00641C90"/>
    <w:rPr>
      <w:rFonts w:ascii="Wingdings" w:hAnsi="Wingdings"/>
      <w:b w:val="0"/>
      <w:color w:val="3DA8D5"/>
      <w:sz w:val="18"/>
      <w:szCs w:val="18"/>
    </w:rPr>
  </w:style>
  <w:style w:type="character" w:customStyle="1" w:styleId="WW8Num32z1">
    <w:name w:val="WW8Num32z1"/>
    <w:rsid w:val="00641C90"/>
    <w:rPr>
      <w:rFonts w:ascii="Courier New" w:hAnsi="Courier New" w:cs="Courier New"/>
    </w:rPr>
  </w:style>
  <w:style w:type="character" w:customStyle="1" w:styleId="WW8Num32z2">
    <w:name w:val="WW8Num32z2"/>
    <w:rsid w:val="00641C90"/>
    <w:rPr>
      <w:rFonts w:ascii="Wingdings" w:hAnsi="Wingdings"/>
    </w:rPr>
  </w:style>
  <w:style w:type="character" w:customStyle="1" w:styleId="WW8Num32z3">
    <w:name w:val="WW8Num32z3"/>
    <w:rsid w:val="00641C90"/>
    <w:rPr>
      <w:rFonts w:ascii="Symbol" w:hAnsi="Symbol"/>
    </w:rPr>
  </w:style>
  <w:style w:type="character" w:customStyle="1" w:styleId="WW8NumSt25z0">
    <w:name w:val="WW8NumSt25z0"/>
    <w:rsid w:val="00641C90"/>
    <w:rPr>
      <w:rFonts w:ascii="Symbol" w:hAnsi="Symbol" w:cs="Symbol"/>
      <w:color w:val="000000"/>
    </w:rPr>
  </w:style>
  <w:style w:type="character" w:customStyle="1" w:styleId="WW8NumSt39z0">
    <w:name w:val="WW8NumSt39z0"/>
    <w:rsid w:val="00641C90"/>
    <w:rPr>
      <w:rFonts w:ascii="Symbol" w:hAnsi="Symbol"/>
      <w:color w:val="000000"/>
    </w:rPr>
  </w:style>
  <w:style w:type="character" w:customStyle="1" w:styleId="DefaultParagraphFont1">
    <w:name w:val="Default Paragraph Font1"/>
    <w:rsid w:val="00641C90"/>
    <w:rPr>
      <w:lang w:val="en-GB"/>
    </w:rPr>
  </w:style>
  <w:style w:type="character" w:customStyle="1" w:styleId="FootnoteCharacters">
    <w:name w:val="Footnote Characters"/>
    <w:basedOn w:val="DefaultParagraphFont1"/>
    <w:rsid w:val="00641C90"/>
    <w:rPr>
      <w:vertAlign w:val="superscript"/>
      <w:lang w:val="en-GB"/>
    </w:rPr>
  </w:style>
  <w:style w:type="character" w:styleId="PageNumber">
    <w:name w:val="page number"/>
    <w:basedOn w:val="DefaultParagraphFont1"/>
    <w:rsid w:val="00641C90"/>
    <w:rPr>
      <w:lang w:val="en-GB"/>
    </w:rPr>
  </w:style>
  <w:style w:type="character" w:styleId="Hyperlink">
    <w:name w:val="Hyperlink"/>
    <w:basedOn w:val="DefaultParagraphFont1"/>
    <w:uiPriority w:val="99"/>
    <w:rsid w:val="00641C90"/>
    <w:rPr>
      <w:color w:val="0000FF"/>
      <w:u w:val="single"/>
      <w:lang w:val="en-GB"/>
    </w:rPr>
  </w:style>
  <w:style w:type="character" w:styleId="FollowedHyperlink">
    <w:name w:val="FollowedHyperlink"/>
    <w:basedOn w:val="DefaultParagraphFont1"/>
    <w:rsid w:val="00641C90"/>
    <w:rPr>
      <w:color w:val="800080"/>
      <w:u w:val="single"/>
      <w:lang w:val="en-GB"/>
    </w:rPr>
  </w:style>
  <w:style w:type="character" w:styleId="CommentReference">
    <w:name w:val="annotation reference"/>
    <w:basedOn w:val="DefaultParagraphFont1"/>
    <w:uiPriority w:val="99"/>
    <w:rsid w:val="00641C90"/>
    <w:rPr>
      <w:sz w:val="16"/>
      <w:szCs w:val="16"/>
      <w:lang w:val="en-GB"/>
    </w:rPr>
  </w:style>
  <w:style w:type="character" w:styleId="FootnoteReference">
    <w:name w:val="footnote reference"/>
    <w:semiHidden/>
    <w:rsid w:val="00641C90"/>
    <w:rPr>
      <w:vertAlign w:val="superscript"/>
    </w:rPr>
  </w:style>
  <w:style w:type="character" w:styleId="EndnoteReference">
    <w:name w:val="endnote reference"/>
    <w:semiHidden/>
    <w:rsid w:val="00641C90"/>
    <w:rPr>
      <w:vertAlign w:val="superscript"/>
    </w:rPr>
  </w:style>
  <w:style w:type="character" w:customStyle="1" w:styleId="EndnoteCharacters">
    <w:name w:val="Endnote Characters"/>
    <w:rsid w:val="00641C90"/>
  </w:style>
  <w:style w:type="paragraph" w:customStyle="1" w:styleId="Heading">
    <w:name w:val="Heading"/>
    <w:basedOn w:val="Normal"/>
    <w:next w:val="BodyText"/>
    <w:rsid w:val="00641C90"/>
    <w:pPr>
      <w:keepNext/>
      <w:spacing w:before="240"/>
    </w:pPr>
    <w:rPr>
      <w:rFonts w:ascii="Nimbus Sans L" w:eastAsia="DejaVu Sans" w:hAnsi="Nimbus Sans L" w:cs="DejaVu Sans"/>
      <w:sz w:val="28"/>
      <w:szCs w:val="28"/>
    </w:rPr>
  </w:style>
  <w:style w:type="paragraph" w:styleId="BodyText">
    <w:name w:val="Body Text"/>
    <w:basedOn w:val="Normal"/>
    <w:link w:val="BodyTextChar"/>
    <w:rsid w:val="00641C90"/>
    <w:pPr>
      <w:spacing w:line="240" w:lineRule="atLeast"/>
    </w:pPr>
    <w:rPr>
      <w:rFonts w:ascii="Helv" w:hAnsi="Helv"/>
      <w:color w:val="000000"/>
      <w:sz w:val="18"/>
      <w:lang w:val="en-US"/>
    </w:rPr>
  </w:style>
  <w:style w:type="paragraph" w:styleId="List">
    <w:name w:val="List"/>
    <w:basedOn w:val="BodyText"/>
    <w:rsid w:val="00641C90"/>
  </w:style>
  <w:style w:type="paragraph" w:styleId="Caption">
    <w:name w:val="caption"/>
    <w:basedOn w:val="Normal"/>
    <w:rsid w:val="00641C90"/>
    <w:pPr>
      <w:suppressLineNumbers/>
      <w:spacing w:before="120"/>
    </w:pPr>
    <w:rPr>
      <w:i/>
      <w:iCs/>
    </w:rPr>
  </w:style>
  <w:style w:type="paragraph" w:customStyle="1" w:styleId="Index">
    <w:name w:val="Index"/>
    <w:basedOn w:val="Normal"/>
    <w:rsid w:val="00641C90"/>
    <w:pPr>
      <w:suppressLineNumbers/>
    </w:pPr>
  </w:style>
  <w:style w:type="paragraph" w:customStyle="1" w:styleId="Reference">
    <w:name w:val="Reference"/>
    <w:basedOn w:val="Normal"/>
    <w:rsid w:val="00641C90"/>
    <w:pPr>
      <w:spacing w:line="100" w:lineRule="atLeast"/>
    </w:pPr>
    <w:rPr>
      <w:sz w:val="14"/>
    </w:rPr>
  </w:style>
  <w:style w:type="paragraph" w:customStyle="1" w:styleId="Bullet1">
    <w:name w:val="Bullet 1"/>
    <w:basedOn w:val="Normal"/>
    <w:rsid w:val="00641C90"/>
    <w:pPr>
      <w:tabs>
        <w:tab w:val="num" w:pos="720"/>
      </w:tabs>
      <w:ind w:left="720" w:hanging="720"/>
    </w:pPr>
  </w:style>
  <w:style w:type="paragraph" w:customStyle="1" w:styleId="Bullet2">
    <w:name w:val="Bullet 2"/>
    <w:basedOn w:val="Normal"/>
    <w:rsid w:val="00641C90"/>
    <w:pPr>
      <w:tabs>
        <w:tab w:val="num" w:pos="1440"/>
      </w:tabs>
      <w:ind w:left="1440" w:hanging="720"/>
    </w:pPr>
  </w:style>
  <w:style w:type="paragraph" w:customStyle="1" w:styleId="Bullet3">
    <w:name w:val="Bullet 3"/>
    <w:basedOn w:val="Normal"/>
    <w:rsid w:val="00641C90"/>
    <w:pPr>
      <w:tabs>
        <w:tab w:val="num" w:pos="2160"/>
        <w:tab w:val="left" w:pos="2877"/>
      </w:tabs>
      <w:ind w:left="1797" w:hanging="357"/>
    </w:pPr>
  </w:style>
  <w:style w:type="paragraph" w:customStyle="1" w:styleId="Bullet4">
    <w:name w:val="Bullet 4"/>
    <w:basedOn w:val="Normal"/>
    <w:rsid w:val="00641C90"/>
    <w:pPr>
      <w:tabs>
        <w:tab w:val="num" w:pos="2880"/>
      </w:tabs>
      <w:ind w:left="2880" w:hanging="720"/>
    </w:pPr>
  </w:style>
  <w:style w:type="paragraph" w:customStyle="1" w:styleId="Contents-numberslist">
    <w:name w:val="Contents - numbers list"/>
    <w:autoRedefine/>
    <w:qFormat/>
    <w:rsid w:val="00440E32"/>
    <w:pPr>
      <w:spacing w:line="120" w:lineRule="exact"/>
    </w:pPr>
    <w:rPr>
      <w:rFonts w:cstheme="minorHAnsi"/>
      <w:sz w:val="24"/>
      <w:szCs w:val="24"/>
      <w:lang w:eastAsia="ar-SA"/>
    </w:rPr>
  </w:style>
  <w:style w:type="paragraph" w:styleId="Footer">
    <w:name w:val="footer"/>
    <w:basedOn w:val="Normal"/>
    <w:rsid w:val="00641C90"/>
    <w:rPr>
      <w:sz w:val="12"/>
    </w:rPr>
  </w:style>
  <w:style w:type="paragraph" w:styleId="FootnoteText">
    <w:name w:val="footnote text"/>
    <w:basedOn w:val="Normal"/>
    <w:semiHidden/>
    <w:rsid w:val="00641C90"/>
    <w:pPr>
      <w:spacing w:line="200" w:lineRule="exact"/>
    </w:pPr>
  </w:style>
  <w:style w:type="paragraph" w:customStyle="1" w:styleId="comsubheading">
    <w:name w:val="comsubheading"/>
    <w:basedOn w:val="Normal"/>
    <w:rsid w:val="00641C90"/>
    <w:pPr>
      <w:spacing w:before="60" w:after="60" w:line="100" w:lineRule="atLeast"/>
    </w:pPr>
    <w:rPr>
      <w:b/>
      <w:sz w:val="18"/>
    </w:rPr>
  </w:style>
  <w:style w:type="paragraph" w:styleId="Header">
    <w:name w:val="header"/>
    <w:basedOn w:val="Normal"/>
    <w:rsid w:val="00641C90"/>
  </w:style>
  <w:style w:type="paragraph" w:customStyle="1" w:styleId="Indent1">
    <w:name w:val="Indent 1"/>
    <w:basedOn w:val="Normal"/>
    <w:rsid w:val="00641C90"/>
    <w:pPr>
      <w:ind w:left="720"/>
    </w:pPr>
  </w:style>
  <w:style w:type="paragraph" w:customStyle="1" w:styleId="Indent2">
    <w:name w:val="Indent 2"/>
    <w:basedOn w:val="Normal"/>
    <w:rsid w:val="00641C90"/>
    <w:pPr>
      <w:ind w:left="1440"/>
    </w:pPr>
  </w:style>
  <w:style w:type="paragraph" w:customStyle="1" w:styleId="Indent3">
    <w:name w:val="Indent 3"/>
    <w:basedOn w:val="Normal"/>
    <w:rsid w:val="00641C90"/>
    <w:pPr>
      <w:ind w:left="2160"/>
    </w:pPr>
  </w:style>
  <w:style w:type="paragraph" w:customStyle="1" w:styleId="Indent4">
    <w:name w:val="Indent 4"/>
    <w:basedOn w:val="Normal"/>
    <w:rsid w:val="00641C90"/>
    <w:pPr>
      <w:ind w:left="2880"/>
    </w:pPr>
  </w:style>
  <w:style w:type="paragraph" w:customStyle="1" w:styleId="Line">
    <w:name w:val="Line"/>
    <w:basedOn w:val="Normal"/>
    <w:rsid w:val="00641C90"/>
    <w:pPr>
      <w:pBdr>
        <w:top w:val="single" w:sz="4" w:space="1" w:color="000000"/>
      </w:pBdr>
      <w:spacing w:before="120" w:after="60"/>
      <w:ind w:right="-1701"/>
    </w:pPr>
    <w:rPr>
      <w:sz w:val="2"/>
    </w:rPr>
  </w:style>
  <w:style w:type="paragraph" w:customStyle="1" w:styleId="MajorHead">
    <w:name w:val="Major Head"/>
    <w:basedOn w:val="Normal"/>
    <w:next w:val="Normal"/>
    <w:rsid w:val="00641C90"/>
    <w:pPr>
      <w:keepNext/>
      <w:keepLines/>
      <w:spacing w:before="240" w:line="330" w:lineRule="atLeast"/>
    </w:pPr>
    <w:rPr>
      <w:b/>
      <w:sz w:val="28"/>
    </w:rPr>
  </w:style>
  <w:style w:type="paragraph" w:customStyle="1" w:styleId="MinorHead">
    <w:name w:val="Minor Head"/>
    <w:basedOn w:val="Normal"/>
    <w:next w:val="Normal"/>
    <w:rsid w:val="00641C90"/>
    <w:pPr>
      <w:keepNext/>
      <w:keepLines/>
      <w:spacing w:before="120"/>
    </w:pPr>
    <w:rPr>
      <w:b/>
    </w:rPr>
  </w:style>
  <w:style w:type="paragraph" w:customStyle="1" w:styleId="comheading">
    <w:name w:val="comheading"/>
    <w:basedOn w:val="Normal"/>
    <w:rsid w:val="00641C90"/>
    <w:pPr>
      <w:spacing w:before="120" w:line="100" w:lineRule="atLeast"/>
    </w:pPr>
    <w:rPr>
      <w:b/>
    </w:rPr>
  </w:style>
  <w:style w:type="paragraph" w:customStyle="1" w:styleId="TableBullet1">
    <w:name w:val="Table Bullet 1"/>
    <w:basedOn w:val="Bullet1"/>
    <w:rsid w:val="00641C90"/>
    <w:pPr>
      <w:tabs>
        <w:tab w:val="clear" w:pos="720"/>
        <w:tab w:val="num" w:pos="360"/>
      </w:tabs>
      <w:ind w:left="360" w:hanging="360"/>
    </w:pPr>
  </w:style>
  <w:style w:type="paragraph" w:customStyle="1" w:styleId="TableBullet2">
    <w:name w:val="Table Bullet 2"/>
    <w:basedOn w:val="Bullet2"/>
    <w:rsid w:val="00641C90"/>
    <w:pPr>
      <w:tabs>
        <w:tab w:val="clear" w:pos="1440"/>
        <w:tab w:val="num" w:pos="720"/>
      </w:tabs>
      <w:ind w:left="720" w:hanging="363"/>
    </w:pPr>
  </w:style>
  <w:style w:type="paragraph" w:customStyle="1" w:styleId="TableBullet3">
    <w:name w:val="Table Bullet 3"/>
    <w:basedOn w:val="Bullet3"/>
    <w:rsid w:val="00641C90"/>
    <w:pPr>
      <w:tabs>
        <w:tab w:val="clear" w:pos="2160"/>
        <w:tab w:val="num" w:pos="1080"/>
      </w:tabs>
      <w:ind w:left="1080" w:hanging="360"/>
    </w:pPr>
  </w:style>
  <w:style w:type="paragraph" w:customStyle="1" w:styleId="TableBullet4">
    <w:name w:val="Table Bullet 4"/>
    <w:basedOn w:val="Normal"/>
    <w:rsid w:val="00641C90"/>
    <w:pPr>
      <w:tabs>
        <w:tab w:val="num" w:pos="1440"/>
      </w:tabs>
      <w:ind w:left="1440" w:hanging="363"/>
    </w:pPr>
  </w:style>
  <w:style w:type="paragraph" w:customStyle="1" w:styleId="TableIndent1">
    <w:name w:val="Table Indent 1"/>
    <w:basedOn w:val="Normal"/>
    <w:rsid w:val="00641C90"/>
    <w:pPr>
      <w:ind w:left="357"/>
    </w:pPr>
  </w:style>
  <w:style w:type="paragraph" w:customStyle="1" w:styleId="TableIndent2">
    <w:name w:val="Table Indent 2"/>
    <w:basedOn w:val="Indent2"/>
    <w:rsid w:val="00641C90"/>
    <w:pPr>
      <w:ind w:left="720"/>
    </w:pPr>
  </w:style>
  <w:style w:type="paragraph" w:customStyle="1" w:styleId="TableIndent3">
    <w:name w:val="Table Indent 3"/>
    <w:basedOn w:val="Indent3"/>
    <w:rsid w:val="00641C90"/>
    <w:pPr>
      <w:ind w:left="1077"/>
    </w:pPr>
  </w:style>
  <w:style w:type="paragraph" w:customStyle="1" w:styleId="TableIndent4">
    <w:name w:val="Table Indent 4"/>
    <w:basedOn w:val="Normal"/>
    <w:rsid w:val="00641C90"/>
    <w:pPr>
      <w:ind w:left="1440"/>
    </w:pPr>
  </w:style>
  <w:style w:type="paragraph" w:customStyle="1" w:styleId="indent">
    <w:name w:val="indent"/>
    <w:basedOn w:val="Contents-numberslist"/>
    <w:rsid w:val="00641C90"/>
    <w:pPr>
      <w:ind w:left="425"/>
    </w:pPr>
  </w:style>
  <w:style w:type="paragraph" w:customStyle="1" w:styleId="BulletedList1">
    <w:name w:val="Bulleted List 1"/>
    <w:basedOn w:val="Normal"/>
    <w:rsid w:val="00641C90"/>
    <w:pPr>
      <w:tabs>
        <w:tab w:val="num" w:pos="720"/>
      </w:tabs>
      <w:spacing w:line="100" w:lineRule="atLeast"/>
      <w:ind w:left="720" w:hanging="720"/>
    </w:pPr>
    <w:rPr>
      <w:sz w:val="18"/>
    </w:rPr>
  </w:style>
  <w:style w:type="paragraph" w:customStyle="1" w:styleId="ComHeading0">
    <w:name w:val="ComHeading"/>
    <w:basedOn w:val="Normal"/>
    <w:rsid w:val="00641C90"/>
    <w:pPr>
      <w:spacing w:before="120" w:line="100" w:lineRule="atLeast"/>
    </w:pPr>
    <w:rPr>
      <w:b/>
    </w:rPr>
  </w:style>
  <w:style w:type="paragraph" w:styleId="BodyTextIndent2">
    <w:name w:val="Body Text Indent 2"/>
    <w:basedOn w:val="Normal"/>
    <w:rsid w:val="00641C90"/>
    <w:pPr>
      <w:tabs>
        <w:tab w:val="left" w:pos="1202"/>
      </w:tabs>
      <w:spacing w:line="100" w:lineRule="atLeast"/>
      <w:ind w:left="601" w:hanging="601"/>
    </w:pPr>
    <w:rPr>
      <w:sz w:val="18"/>
    </w:rPr>
  </w:style>
  <w:style w:type="paragraph" w:styleId="BodyTextIndent">
    <w:name w:val="Body Text Indent"/>
    <w:basedOn w:val="Normal"/>
    <w:link w:val="BodyTextIndentChar"/>
    <w:rsid w:val="00641C90"/>
    <w:pPr>
      <w:tabs>
        <w:tab w:val="left" w:pos="918"/>
      </w:tabs>
      <w:spacing w:line="100" w:lineRule="atLeast"/>
      <w:ind w:left="459" w:hanging="459"/>
    </w:pPr>
    <w:rPr>
      <w:sz w:val="18"/>
    </w:rPr>
  </w:style>
  <w:style w:type="paragraph" w:customStyle="1" w:styleId="commentary">
    <w:name w:val="commentary"/>
    <w:basedOn w:val="Normal"/>
    <w:rsid w:val="00641C90"/>
    <w:pPr>
      <w:spacing w:line="100" w:lineRule="atLeast"/>
      <w:ind w:left="567" w:hanging="567"/>
    </w:pPr>
    <w:rPr>
      <w:sz w:val="18"/>
    </w:rPr>
  </w:style>
  <w:style w:type="paragraph" w:customStyle="1" w:styleId="commentary2">
    <w:name w:val="commentary2"/>
    <w:basedOn w:val="Normal"/>
    <w:rsid w:val="00641C90"/>
    <w:pPr>
      <w:spacing w:line="100" w:lineRule="atLeast"/>
      <w:ind w:left="1134" w:hanging="567"/>
    </w:pPr>
    <w:rPr>
      <w:sz w:val="18"/>
    </w:rPr>
  </w:style>
  <w:style w:type="paragraph" w:styleId="BodyTextIndent3">
    <w:name w:val="Body Text Indent 3"/>
    <w:basedOn w:val="Normal"/>
    <w:rsid w:val="00641C90"/>
    <w:pPr>
      <w:spacing w:line="100" w:lineRule="atLeast"/>
      <w:ind w:left="601" w:hanging="601"/>
    </w:pPr>
    <w:rPr>
      <w:color w:val="0000FF"/>
      <w:sz w:val="18"/>
    </w:rPr>
  </w:style>
  <w:style w:type="paragraph" w:customStyle="1" w:styleId="indent20">
    <w:name w:val="indent2"/>
    <w:basedOn w:val="indent"/>
    <w:rsid w:val="00641C90"/>
    <w:pPr>
      <w:ind w:left="851"/>
    </w:pPr>
  </w:style>
  <w:style w:type="paragraph" w:customStyle="1" w:styleId="NoteHeading">
    <w:name w:val="NoteHeading"/>
    <w:basedOn w:val="Normal"/>
    <w:rsid w:val="00641C90"/>
    <w:rPr>
      <w:b/>
      <w:sz w:val="28"/>
    </w:rPr>
  </w:style>
  <w:style w:type="paragraph" w:customStyle="1" w:styleId="comHeading1">
    <w:name w:val="comHeading"/>
    <w:basedOn w:val="commentary"/>
    <w:rsid w:val="00641C90"/>
    <w:pPr>
      <w:spacing w:before="120"/>
    </w:pPr>
    <w:rPr>
      <w:b/>
      <w:sz w:val="24"/>
    </w:rPr>
  </w:style>
  <w:style w:type="paragraph" w:customStyle="1" w:styleId="commentary3">
    <w:name w:val="commentary3"/>
    <w:basedOn w:val="commentary"/>
    <w:rsid w:val="00641C90"/>
    <w:pPr>
      <w:ind w:left="1701"/>
    </w:pPr>
  </w:style>
  <w:style w:type="paragraph" w:customStyle="1" w:styleId="DefaultText">
    <w:name w:val="Default Text"/>
    <w:basedOn w:val="Normal"/>
    <w:rsid w:val="00641C90"/>
    <w:pPr>
      <w:spacing w:line="100" w:lineRule="atLeast"/>
    </w:pPr>
    <w:rPr>
      <w:sz w:val="20"/>
    </w:rPr>
  </w:style>
  <w:style w:type="paragraph" w:styleId="BlockText">
    <w:name w:val="Block Text"/>
    <w:basedOn w:val="Normal"/>
    <w:rsid w:val="00641C90"/>
    <w:pPr>
      <w:spacing w:before="160"/>
      <w:ind w:left="1134" w:right="-851"/>
    </w:pPr>
    <w:rPr>
      <w:sz w:val="20"/>
    </w:rPr>
  </w:style>
  <w:style w:type="paragraph" w:customStyle="1" w:styleId="Commentary-Title">
    <w:name w:val="Commentary - Title"/>
    <w:autoRedefine/>
    <w:qFormat/>
    <w:rsid w:val="00D0491D"/>
    <w:pPr>
      <w:pBdr>
        <w:top w:val="single" w:sz="4" w:space="1" w:color="0000FF"/>
        <w:left w:val="single" w:sz="4" w:space="4" w:color="0000FF"/>
        <w:right w:val="single" w:sz="4" w:space="4" w:color="0000FF"/>
      </w:pBdr>
      <w:ind w:left="170" w:right="170"/>
    </w:pPr>
    <w:rPr>
      <w:rFonts w:ascii="Arial" w:eastAsia="Arial" w:hAnsi="Arial"/>
      <w:b/>
      <w:color w:val="FFFFFF" w:themeColor="background1"/>
      <w:sz w:val="24"/>
      <w:lang w:eastAsia="ar-SA"/>
    </w:rPr>
  </w:style>
  <w:style w:type="paragraph" w:customStyle="1" w:styleId="2Heading">
    <w:name w:val="2 Heading"/>
    <w:basedOn w:val="Normal"/>
    <w:next w:val="Normal"/>
    <w:rsid w:val="00641C90"/>
    <w:pPr>
      <w:keepNext/>
      <w:spacing w:before="120" w:line="100" w:lineRule="atLeast"/>
      <w:ind w:right="284"/>
    </w:pPr>
    <w:rPr>
      <w:b/>
      <w:bCs/>
      <w:color w:val="0000FF"/>
    </w:rPr>
  </w:style>
  <w:style w:type="paragraph" w:customStyle="1" w:styleId="forewardtxt">
    <w:name w:val="foreward txt"/>
    <w:basedOn w:val="Normal"/>
    <w:rsid w:val="00641C90"/>
    <w:pPr>
      <w:spacing w:before="283" w:line="100" w:lineRule="atLeast"/>
      <w:jc w:val="both"/>
    </w:pPr>
  </w:style>
  <w:style w:type="paragraph" w:customStyle="1" w:styleId="contsHead2">
    <w:name w:val="conts Head 2"/>
    <w:basedOn w:val="Normal"/>
    <w:link w:val="contsHead2Char"/>
    <w:rsid w:val="00641C90"/>
    <w:pPr>
      <w:spacing w:before="170" w:line="100" w:lineRule="atLeast"/>
      <w:jc w:val="both"/>
    </w:pPr>
    <w:rPr>
      <w:sz w:val="36"/>
    </w:rPr>
  </w:style>
  <w:style w:type="paragraph" w:customStyle="1" w:styleId="Hang2Bullet">
    <w:name w:val="Hang2Bullet"/>
    <w:basedOn w:val="Normal"/>
    <w:rsid w:val="00641C90"/>
    <w:pPr>
      <w:tabs>
        <w:tab w:val="left" w:pos="1800"/>
        <w:tab w:val="left" w:pos="4253"/>
        <w:tab w:val="left" w:pos="5103"/>
        <w:tab w:val="left" w:pos="5954"/>
        <w:tab w:val="left" w:pos="6804"/>
        <w:tab w:val="left" w:pos="7655"/>
        <w:tab w:val="left" w:pos="8505"/>
        <w:tab w:val="left" w:pos="9356"/>
        <w:tab w:val="left" w:pos="9923"/>
      </w:tabs>
      <w:spacing w:line="100" w:lineRule="atLeast"/>
      <w:ind w:right="1270"/>
    </w:pPr>
    <w:rPr>
      <w:bCs/>
      <w:sz w:val="20"/>
    </w:rPr>
  </w:style>
  <w:style w:type="paragraph" w:customStyle="1" w:styleId="tableindent">
    <w:name w:val="tableindent"/>
    <w:basedOn w:val="comsubheading"/>
    <w:rsid w:val="00641C90"/>
    <w:pPr>
      <w:spacing w:before="0" w:after="0"/>
      <w:ind w:left="284" w:hanging="284"/>
    </w:pPr>
    <w:rPr>
      <w:b w:val="0"/>
    </w:rPr>
  </w:style>
  <w:style w:type="paragraph" w:customStyle="1" w:styleId="indent30">
    <w:name w:val="indent3"/>
    <w:basedOn w:val="indent"/>
    <w:rsid w:val="00641C90"/>
    <w:pPr>
      <w:ind w:left="1276"/>
    </w:pPr>
  </w:style>
  <w:style w:type="paragraph" w:customStyle="1" w:styleId="tableindent20">
    <w:name w:val="tableindent2"/>
    <w:basedOn w:val="comsubheading"/>
    <w:rsid w:val="00641C90"/>
    <w:pPr>
      <w:tabs>
        <w:tab w:val="left" w:pos="284"/>
        <w:tab w:val="left" w:pos="425"/>
      </w:tabs>
      <w:spacing w:before="0" w:after="0"/>
    </w:pPr>
    <w:rPr>
      <w:b w:val="0"/>
    </w:rPr>
  </w:style>
  <w:style w:type="paragraph" w:styleId="BodyText2">
    <w:name w:val="Body Text 2"/>
    <w:basedOn w:val="Normal"/>
    <w:rsid w:val="00641C90"/>
    <w:rPr>
      <w:color w:val="000000"/>
      <w:sz w:val="20"/>
      <w:lang w:val="en-US"/>
    </w:rPr>
  </w:style>
  <w:style w:type="paragraph" w:customStyle="1" w:styleId="BodySingle">
    <w:name w:val="Body Single"/>
    <w:basedOn w:val="BodyText"/>
    <w:rsid w:val="00641C90"/>
    <w:pPr>
      <w:spacing w:line="290" w:lineRule="atLeast"/>
    </w:pPr>
    <w:rPr>
      <w:rFonts w:ascii="Times New Roman" w:hAnsi="Times New Roman"/>
      <w:sz w:val="24"/>
      <w:lang w:val="en-GB"/>
    </w:rPr>
  </w:style>
  <w:style w:type="paragraph" w:customStyle="1" w:styleId="BodyText1">
    <w:name w:val="Body Text1"/>
    <w:basedOn w:val="Normal"/>
    <w:rsid w:val="00641C90"/>
    <w:pPr>
      <w:spacing w:line="100" w:lineRule="atLeast"/>
    </w:pPr>
    <w:rPr>
      <w:rFonts w:cs="Arial"/>
      <w:bCs/>
    </w:rPr>
  </w:style>
  <w:style w:type="paragraph" w:customStyle="1" w:styleId="Address">
    <w:name w:val="Address"/>
    <w:basedOn w:val="Normal"/>
    <w:rsid w:val="00641C90"/>
    <w:pPr>
      <w:pBdr>
        <w:left w:val="single" w:sz="4" w:space="9" w:color="000000"/>
      </w:pBdr>
      <w:spacing w:line="200" w:lineRule="exact"/>
    </w:pPr>
    <w:rPr>
      <w:sz w:val="16"/>
    </w:rPr>
  </w:style>
  <w:style w:type="paragraph" w:styleId="NormalWeb">
    <w:name w:val="Normal (Web)"/>
    <w:basedOn w:val="Normal"/>
    <w:uiPriority w:val="99"/>
    <w:rsid w:val="00641C90"/>
    <w:pPr>
      <w:spacing w:before="100" w:after="100" w:line="100" w:lineRule="atLeast"/>
    </w:pPr>
    <w:rPr>
      <w:rFonts w:ascii="Arial" w:eastAsia="Arial Unicode MS" w:hAnsi="Arial" w:cs="Arial"/>
      <w:color w:val="000000"/>
      <w:sz w:val="18"/>
      <w:szCs w:val="18"/>
    </w:rPr>
  </w:style>
  <w:style w:type="paragraph" w:customStyle="1" w:styleId="NumberedList">
    <w:name w:val="Numbered List"/>
    <w:basedOn w:val="Normal"/>
    <w:rsid w:val="00641C90"/>
    <w:pPr>
      <w:spacing w:line="100" w:lineRule="atLeast"/>
    </w:pPr>
    <w:rPr>
      <w:sz w:val="18"/>
    </w:rPr>
  </w:style>
  <w:style w:type="paragraph" w:styleId="BodyText3">
    <w:name w:val="Body Text 3"/>
    <w:basedOn w:val="Normal"/>
    <w:rsid w:val="00641C90"/>
    <w:pPr>
      <w:spacing w:line="100" w:lineRule="atLeast"/>
    </w:pPr>
    <w:rPr>
      <w:color w:val="FF0000"/>
      <w:sz w:val="18"/>
    </w:rPr>
  </w:style>
  <w:style w:type="paragraph" w:customStyle="1" w:styleId="ResetNumberedList">
    <w:name w:val="Reset Numbered List"/>
    <w:basedOn w:val="Normal"/>
    <w:next w:val="Normal"/>
    <w:rsid w:val="00641C90"/>
  </w:style>
  <w:style w:type="paragraph" w:customStyle="1" w:styleId="Level1-2">
    <w:name w:val="Level 1 - 2"/>
    <w:basedOn w:val="Normal"/>
    <w:rsid w:val="00641C90"/>
    <w:pPr>
      <w:tabs>
        <w:tab w:val="left" w:pos="468"/>
      </w:tabs>
      <w:spacing w:line="100" w:lineRule="atLeast"/>
    </w:pPr>
    <w:rPr>
      <w:sz w:val="18"/>
    </w:rPr>
  </w:style>
  <w:style w:type="paragraph" w:customStyle="1" w:styleId="Bullet20">
    <w:name w:val="Bullet2"/>
    <w:basedOn w:val="Normal"/>
    <w:rsid w:val="00641C90"/>
    <w:pPr>
      <w:tabs>
        <w:tab w:val="left" w:pos="1701"/>
        <w:tab w:val="left" w:pos="2268"/>
        <w:tab w:val="num" w:pos="3555"/>
      </w:tabs>
      <w:spacing w:before="60" w:after="60" w:line="100" w:lineRule="atLeast"/>
      <w:ind w:left="1134" w:hanging="567"/>
    </w:pPr>
  </w:style>
  <w:style w:type="paragraph" w:customStyle="1" w:styleId="BulletedList2">
    <w:name w:val="Bulleted List 2"/>
    <w:basedOn w:val="Normal"/>
    <w:rsid w:val="00641C90"/>
    <w:pPr>
      <w:tabs>
        <w:tab w:val="num" w:pos="1440"/>
      </w:tabs>
      <w:spacing w:line="100" w:lineRule="atLeast"/>
      <w:ind w:left="1440" w:hanging="720"/>
    </w:pPr>
  </w:style>
  <w:style w:type="paragraph" w:customStyle="1" w:styleId="Blank">
    <w:name w:val="Blank"/>
    <w:basedOn w:val="Normal"/>
    <w:rsid w:val="00641C90"/>
    <w:pPr>
      <w:spacing w:before="120" w:line="100" w:lineRule="atLeast"/>
    </w:pPr>
    <w:rPr>
      <w:color w:val="000000"/>
      <w:sz w:val="21"/>
      <w:lang w:val="en-US"/>
    </w:rPr>
  </w:style>
  <w:style w:type="paragraph" w:styleId="BalloonText">
    <w:name w:val="Balloon Text"/>
    <w:basedOn w:val="Normal"/>
    <w:rsid w:val="00641C90"/>
    <w:rPr>
      <w:rFonts w:ascii="Tahoma" w:hAnsi="Tahoma" w:cs="Tahoma"/>
      <w:sz w:val="16"/>
      <w:szCs w:val="16"/>
    </w:rPr>
  </w:style>
  <w:style w:type="paragraph" w:styleId="DocumentMap">
    <w:name w:val="Document Map"/>
    <w:basedOn w:val="Normal"/>
    <w:rsid w:val="00641C90"/>
    <w:pPr>
      <w:shd w:val="clear" w:color="auto" w:fill="000080"/>
    </w:pPr>
    <w:rPr>
      <w:rFonts w:ascii="Tahoma" w:hAnsi="Tahoma" w:cs="Tahoma"/>
    </w:rPr>
  </w:style>
  <w:style w:type="paragraph" w:customStyle="1" w:styleId="Column-Sample">
    <w:name w:val="Column - Sample"/>
    <w:rsid w:val="00641C90"/>
    <w:pPr>
      <w:widowControl w:val="0"/>
      <w:suppressAutoHyphens/>
      <w:autoSpaceDE w:val="0"/>
    </w:pPr>
    <w:rPr>
      <w:rFonts w:ascii="Arial" w:eastAsia="Arial" w:hAnsi="Arial" w:cs="Arial"/>
      <w:color w:val="000000"/>
      <w:sz w:val="16"/>
      <w:szCs w:val="16"/>
      <w:lang w:eastAsia="ar-SA"/>
    </w:rPr>
  </w:style>
  <w:style w:type="paragraph" w:customStyle="1" w:styleId="ColumnHeading4">
    <w:name w:val="Column Heading 4"/>
    <w:rsid w:val="00641C90"/>
    <w:pPr>
      <w:widowControl w:val="0"/>
      <w:suppressAutoHyphens/>
      <w:autoSpaceDE w:val="0"/>
      <w:jc w:val="center"/>
    </w:pPr>
    <w:rPr>
      <w:rFonts w:eastAsia="Arial"/>
      <w:color w:val="000000"/>
      <w:lang w:eastAsia="ar-SA"/>
    </w:rPr>
  </w:style>
  <w:style w:type="paragraph" w:customStyle="1" w:styleId="APS2head">
    <w:name w:val="AP S2 head"/>
    <w:rsid w:val="00641C90"/>
    <w:pPr>
      <w:widowControl w:val="0"/>
      <w:suppressAutoHyphens/>
      <w:autoSpaceDE w:val="0"/>
      <w:ind w:left="283"/>
    </w:pPr>
    <w:rPr>
      <w:rFonts w:eastAsia="Arial"/>
      <w:i/>
      <w:iCs/>
      <w:color w:val="000000"/>
      <w:lang w:eastAsia="ar-SA"/>
    </w:rPr>
  </w:style>
  <w:style w:type="paragraph" w:customStyle="1" w:styleId="ColumnHeading40">
    <w:name w:val="Column Heading 4 $"/>
    <w:rsid w:val="00641C90"/>
    <w:pPr>
      <w:widowControl w:val="0"/>
      <w:suppressAutoHyphens/>
      <w:autoSpaceDE w:val="0"/>
      <w:spacing w:after="283"/>
      <w:jc w:val="center"/>
    </w:pPr>
    <w:rPr>
      <w:rFonts w:eastAsia="Arial"/>
      <w:color w:val="000000"/>
      <w:lang w:eastAsia="ar-SA"/>
    </w:rPr>
  </w:style>
  <w:style w:type="paragraph" w:customStyle="1" w:styleId="Com-Text">
    <w:name w:val="Com - Text"/>
    <w:rsid w:val="006A2F2D"/>
    <w:pPr>
      <w:widowControl w:val="0"/>
      <w:suppressAutoHyphens/>
      <w:autoSpaceDE w:val="0"/>
      <w:ind w:left="284"/>
    </w:pPr>
    <w:rPr>
      <w:rFonts w:ascii="Arial" w:eastAsia="Arial" w:hAnsi="Arial" w:cs="Arial"/>
      <w:color w:val="0000FF"/>
      <w:sz w:val="18"/>
      <w:szCs w:val="18"/>
      <w:lang w:eastAsia="ar-SA"/>
    </w:rPr>
  </w:style>
  <w:style w:type="paragraph" w:customStyle="1" w:styleId="Commentary0">
    <w:name w:val="Commentary"/>
    <w:rsid w:val="00641C90"/>
    <w:pPr>
      <w:widowControl w:val="0"/>
      <w:suppressAutoHyphens/>
      <w:autoSpaceDE w:val="0"/>
      <w:ind w:left="283"/>
    </w:pPr>
    <w:rPr>
      <w:rFonts w:ascii="Arial" w:eastAsia="Arial" w:hAnsi="Arial" w:cs="Arial"/>
      <w:color w:val="0000FF"/>
      <w:sz w:val="18"/>
      <w:szCs w:val="18"/>
      <w:lang w:eastAsia="ar-SA"/>
    </w:rPr>
  </w:style>
  <w:style w:type="paragraph" w:customStyle="1" w:styleId="DescriptionHeader">
    <w:name w:val="Description Header"/>
    <w:rsid w:val="00641C90"/>
    <w:pPr>
      <w:widowControl w:val="0"/>
      <w:suppressAutoHyphens/>
      <w:autoSpaceDE w:val="0"/>
      <w:spacing w:before="283"/>
      <w:ind w:left="283"/>
    </w:pPr>
    <w:rPr>
      <w:rFonts w:eastAsia="Arial"/>
      <w:b/>
      <w:bCs/>
      <w:color w:val="000000"/>
      <w:lang w:eastAsia="ar-SA"/>
    </w:rPr>
  </w:style>
  <w:style w:type="paragraph" w:customStyle="1" w:styleId="Column-SampleTot">
    <w:name w:val="Column - Sample Tot"/>
    <w:rsid w:val="00641C90"/>
    <w:pPr>
      <w:widowControl w:val="0"/>
      <w:suppressAutoHyphens/>
      <w:autoSpaceDE w:val="0"/>
      <w:spacing w:after="283"/>
    </w:pPr>
    <w:rPr>
      <w:rFonts w:ascii="Arial" w:eastAsia="Arial" w:hAnsi="Arial" w:cs="Arial"/>
      <w:color w:val="000000"/>
      <w:sz w:val="16"/>
      <w:szCs w:val="16"/>
      <w:lang w:eastAsia="ar-SA"/>
    </w:rPr>
  </w:style>
  <w:style w:type="paragraph" w:customStyle="1" w:styleId="Description">
    <w:name w:val="Description"/>
    <w:rsid w:val="00641C90"/>
    <w:pPr>
      <w:widowControl w:val="0"/>
      <w:suppressAutoHyphens/>
      <w:autoSpaceDE w:val="0"/>
      <w:ind w:left="283"/>
    </w:pPr>
    <w:rPr>
      <w:rFonts w:eastAsia="Arial"/>
      <w:color w:val="000000"/>
      <w:lang w:eastAsia="ar-SA"/>
    </w:rPr>
  </w:style>
  <w:style w:type="paragraph" w:customStyle="1" w:styleId="DescriptionGTotal">
    <w:name w:val="Description G Total"/>
    <w:rsid w:val="00641C90"/>
    <w:pPr>
      <w:widowControl w:val="0"/>
      <w:suppressAutoHyphens/>
      <w:autoSpaceDE w:val="0"/>
      <w:ind w:left="283"/>
    </w:pPr>
    <w:rPr>
      <w:rFonts w:eastAsia="Arial"/>
      <w:b/>
      <w:bCs/>
      <w:color w:val="000000"/>
      <w:lang w:eastAsia="ar-SA"/>
    </w:rPr>
  </w:style>
  <w:style w:type="paragraph" w:customStyle="1" w:styleId="Column-Sample0">
    <w:name w:val="Column - Sample $"/>
    <w:rsid w:val="00641C90"/>
    <w:pPr>
      <w:widowControl w:val="0"/>
      <w:suppressAutoHyphens/>
      <w:autoSpaceDE w:val="0"/>
      <w:spacing w:after="283"/>
    </w:pPr>
    <w:rPr>
      <w:rFonts w:ascii="Arial" w:eastAsia="Arial" w:hAnsi="Arial" w:cs="Arial"/>
      <w:color w:val="000000"/>
      <w:sz w:val="16"/>
      <w:szCs w:val="16"/>
      <w:lang w:eastAsia="ar-SA"/>
    </w:rPr>
  </w:style>
  <w:style w:type="paragraph" w:customStyle="1" w:styleId="ColumnHeading2">
    <w:name w:val="Column Heading 2 $"/>
    <w:rsid w:val="00641C90"/>
    <w:pPr>
      <w:widowControl w:val="0"/>
      <w:suppressAutoHyphens/>
      <w:autoSpaceDE w:val="0"/>
      <w:spacing w:after="283"/>
      <w:jc w:val="center"/>
    </w:pPr>
    <w:rPr>
      <w:rFonts w:eastAsia="Arial"/>
      <w:color w:val="000000"/>
      <w:lang w:eastAsia="ar-SA"/>
    </w:rPr>
  </w:style>
  <w:style w:type="paragraph" w:customStyle="1" w:styleId="Com-HeaderItal">
    <w:name w:val="Com - Header Ital"/>
    <w:rsid w:val="00641C90"/>
    <w:pPr>
      <w:widowControl w:val="0"/>
      <w:suppressAutoHyphens/>
      <w:autoSpaceDE w:val="0"/>
      <w:ind w:left="283"/>
    </w:pPr>
    <w:rPr>
      <w:rFonts w:ascii="Arial" w:eastAsia="Arial" w:hAnsi="Arial" w:cs="Arial"/>
      <w:i/>
      <w:iCs/>
      <w:color w:val="0000FF"/>
      <w:sz w:val="18"/>
      <w:szCs w:val="18"/>
      <w:lang w:eastAsia="ar-SA"/>
    </w:rPr>
  </w:style>
  <w:style w:type="paragraph" w:customStyle="1" w:styleId="ColumnHeading3">
    <w:name w:val="Column Heading 3 $"/>
    <w:rsid w:val="00641C90"/>
    <w:pPr>
      <w:widowControl w:val="0"/>
      <w:suppressAutoHyphens/>
      <w:autoSpaceDE w:val="0"/>
      <w:spacing w:after="283"/>
      <w:jc w:val="center"/>
    </w:pPr>
    <w:rPr>
      <w:rFonts w:eastAsia="Arial"/>
      <w:color w:val="000000"/>
      <w:lang w:eastAsia="ar-SA"/>
    </w:rPr>
  </w:style>
  <w:style w:type="paragraph" w:customStyle="1" w:styleId="DescritptionH-Ita">
    <w:name w:val="Descritption H - Ita"/>
    <w:rsid w:val="00641C90"/>
    <w:pPr>
      <w:widowControl w:val="0"/>
      <w:suppressAutoHyphens/>
      <w:autoSpaceDE w:val="0"/>
      <w:spacing w:before="283"/>
      <w:ind w:left="283"/>
    </w:pPr>
    <w:rPr>
      <w:rFonts w:eastAsia="Arial"/>
      <w:i/>
      <w:iCs/>
      <w:color w:val="000000"/>
      <w:lang w:eastAsia="ar-SA"/>
    </w:rPr>
  </w:style>
  <w:style w:type="paragraph" w:customStyle="1" w:styleId="DescriptionTotalIt">
    <w:name w:val="Description Total It"/>
    <w:rsid w:val="00641C90"/>
    <w:pPr>
      <w:widowControl w:val="0"/>
      <w:suppressAutoHyphens/>
      <w:autoSpaceDE w:val="0"/>
      <w:spacing w:after="283"/>
      <w:ind w:left="283"/>
    </w:pPr>
    <w:rPr>
      <w:rFonts w:eastAsia="Arial"/>
      <w:i/>
      <w:iCs/>
      <w:color w:val="000000"/>
      <w:lang w:eastAsia="ar-SA"/>
    </w:rPr>
  </w:style>
  <w:style w:type="paragraph" w:customStyle="1" w:styleId="Com-Header2">
    <w:name w:val="Com - Header 2"/>
    <w:rsid w:val="00641C90"/>
    <w:pPr>
      <w:widowControl w:val="0"/>
      <w:suppressAutoHyphens/>
      <w:autoSpaceDE w:val="0"/>
      <w:ind w:left="283"/>
    </w:pPr>
    <w:rPr>
      <w:rFonts w:ascii="Arial" w:eastAsia="Arial" w:hAnsi="Arial" w:cs="Arial"/>
      <w:b/>
      <w:bCs/>
      <w:color w:val="0000FF"/>
      <w:sz w:val="18"/>
      <w:szCs w:val="18"/>
      <w:lang w:eastAsia="ar-SA"/>
    </w:rPr>
  </w:style>
  <w:style w:type="paragraph" w:customStyle="1" w:styleId="DescriptionT-Ital">
    <w:name w:val="Description T - Ital"/>
    <w:rsid w:val="00641C90"/>
    <w:pPr>
      <w:widowControl w:val="0"/>
      <w:suppressAutoHyphens/>
      <w:autoSpaceDE w:val="0"/>
      <w:ind w:left="283"/>
    </w:pPr>
    <w:rPr>
      <w:rFonts w:eastAsia="Arial"/>
      <w:i/>
      <w:iCs/>
      <w:color w:val="000000"/>
      <w:lang w:eastAsia="ar-SA"/>
    </w:rPr>
  </w:style>
  <w:style w:type="paragraph" w:customStyle="1" w:styleId="Column-MappingTot">
    <w:name w:val="Column - Mapping Tot"/>
    <w:rsid w:val="00641C90"/>
    <w:pPr>
      <w:widowControl w:val="0"/>
      <w:suppressAutoHyphens/>
      <w:autoSpaceDE w:val="0"/>
      <w:spacing w:after="283"/>
    </w:pPr>
    <w:rPr>
      <w:rFonts w:eastAsia="Arial"/>
      <w:color w:val="000000"/>
      <w:lang w:eastAsia="ar-SA"/>
    </w:rPr>
  </w:style>
  <w:style w:type="paragraph" w:customStyle="1" w:styleId="DescriptionTotal">
    <w:name w:val="Description Total"/>
    <w:rsid w:val="00641C90"/>
    <w:pPr>
      <w:widowControl w:val="0"/>
      <w:suppressAutoHyphens/>
      <w:autoSpaceDE w:val="0"/>
      <w:ind w:left="283"/>
    </w:pPr>
    <w:rPr>
      <w:rFonts w:eastAsia="Arial"/>
      <w:color w:val="000000"/>
      <w:lang w:eastAsia="ar-SA"/>
    </w:rPr>
  </w:style>
  <w:style w:type="paragraph" w:customStyle="1" w:styleId="Column-Note">
    <w:name w:val="Column - Note"/>
    <w:rsid w:val="00641C90"/>
    <w:pPr>
      <w:widowControl w:val="0"/>
      <w:suppressAutoHyphens/>
      <w:autoSpaceDE w:val="0"/>
      <w:jc w:val="center"/>
    </w:pPr>
    <w:rPr>
      <w:rFonts w:eastAsia="Arial"/>
      <w:color w:val="000000"/>
      <w:lang w:eastAsia="ar-SA"/>
    </w:rPr>
  </w:style>
  <w:style w:type="paragraph" w:customStyle="1" w:styleId="Column-NoteHeader">
    <w:name w:val="Column - Note Header"/>
    <w:rsid w:val="00641C90"/>
    <w:pPr>
      <w:widowControl w:val="0"/>
      <w:suppressAutoHyphens/>
      <w:autoSpaceDE w:val="0"/>
      <w:spacing w:after="283"/>
      <w:jc w:val="center"/>
    </w:pPr>
    <w:rPr>
      <w:rFonts w:eastAsia="Arial"/>
      <w:color w:val="000000"/>
      <w:lang w:eastAsia="ar-SA"/>
    </w:rPr>
  </w:style>
  <w:style w:type="paragraph" w:customStyle="1" w:styleId="Column-NoteTotal">
    <w:name w:val="Column - Note Total"/>
    <w:rsid w:val="00641C90"/>
    <w:pPr>
      <w:widowControl w:val="0"/>
      <w:suppressAutoHyphens/>
      <w:autoSpaceDE w:val="0"/>
      <w:spacing w:after="141"/>
      <w:jc w:val="center"/>
    </w:pPr>
    <w:rPr>
      <w:rFonts w:eastAsia="Arial"/>
      <w:color w:val="000000"/>
      <w:lang w:eastAsia="ar-SA"/>
    </w:rPr>
  </w:style>
  <w:style w:type="paragraph" w:customStyle="1" w:styleId="Column1CONAY">
    <w:name w:val="Column 1 (CONAY)"/>
    <w:rsid w:val="00641C90"/>
    <w:pPr>
      <w:widowControl w:val="0"/>
      <w:suppressAutoHyphens/>
      <w:autoSpaceDE w:val="0"/>
    </w:pPr>
    <w:rPr>
      <w:rFonts w:eastAsia="Arial"/>
      <w:color w:val="000000"/>
      <w:lang w:eastAsia="ar-SA"/>
    </w:rPr>
  </w:style>
  <w:style w:type="paragraph" w:customStyle="1" w:styleId="Column1Total">
    <w:name w:val="Column 1 Total"/>
    <w:rsid w:val="00641C90"/>
    <w:pPr>
      <w:widowControl w:val="0"/>
      <w:suppressAutoHyphens/>
      <w:autoSpaceDE w:val="0"/>
      <w:spacing w:after="283"/>
    </w:pPr>
    <w:rPr>
      <w:rFonts w:eastAsia="Arial"/>
      <w:color w:val="000000"/>
      <w:lang w:eastAsia="ar-SA"/>
    </w:rPr>
  </w:style>
  <w:style w:type="paragraph" w:customStyle="1" w:styleId="Column2CONPY">
    <w:name w:val="Column 2 (CONPY)"/>
    <w:rsid w:val="00641C90"/>
    <w:pPr>
      <w:widowControl w:val="0"/>
      <w:suppressAutoHyphens/>
      <w:autoSpaceDE w:val="0"/>
    </w:pPr>
    <w:rPr>
      <w:rFonts w:eastAsia="Arial"/>
      <w:color w:val="000000"/>
      <w:lang w:eastAsia="ar-SA"/>
    </w:rPr>
  </w:style>
  <w:style w:type="paragraph" w:customStyle="1" w:styleId="Column2Total">
    <w:name w:val="Column 2 Total"/>
    <w:rsid w:val="00641C90"/>
    <w:pPr>
      <w:widowControl w:val="0"/>
      <w:suppressAutoHyphens/>
      <w:autoSpaceDE w:val="0"/>
      <w:spacing w:after="283"/>
    </w:pPr>
    <w:rPr>
      <w:rFonts w:eastAsia="Arial"/>
      <w:color w:val="000000"/>
      <w:lang w:eastAsia="ar-SA"/>
    </w:rPr>
  </w:style>
  <w:style w:type="paragraph" w:customStyle="1" w:styleId="Column3PARAY">
    <w:name w:val="Column 3 (PARAY)"/>
    <w:rsid w:val="00641C90"/>
    <w:pPr>
      <w:widowControl w:val="0"/>
      <w:suppressAutoHyphens/>
      <w:autoSpaceDE w:val="0"/>
    </w:pPr>
    <w:rPr>
      <w:rFonts w:eastAsia="Arial"/>
      <w:color w:val="000000"/>
      <w:lang w:eastAsia="ar-SA"/>
    </w:rPr>
  </w:style>
  <w:style w:type="paragraph" w:customStyle="1" w:styleId="Column3Total">
    <w:name w:val="Column 3 Total"/>
    <w:rsid w:val="00641C90"/>
    <w:pPr>
      <w:widowControl w:val="0"/>
      <w:suppressAutoHyphens/>
      <w:autoSpaceDE w:val="0"/>
      <w:spacing w:after="283"/>
    </w:pPr>
    <w:rPr>
      <w:rFonts w:eastAsia="Arial"/>
      <w:color w:val="000000"/>
      <w:lang w:eastAsia="ar-SA"/>
    </w:rPr>
  </w:style>
  <w:style w:type="paragraph" w:customStyle="1" w:styleId="Column4PARPY">
    <w:name w:val="Column 4 (PARPY)"/>
    <w:rsid w:val="00641C90"/>
    <w:pPr>
      <w:widowControl w:val="0"/>
      <w:suppressAutoHyphens/>
      <w:autoSpaceDE w:val="0"/>
    </w:pPr>
    <w:rPr>
      <w:rFonts w:eastAsia="Arial"/>
      <w:color w:val="000000"/>
      <w:lang w:eastAsia="ar-SA"/>
    </w:rPr>
  </w:style>
  <w:style w:type="paragraph" w:customStyle="1" w:styleId="Column4Total">
    <w:name w:val="Column 4 Total"/>
    <w:rsid w:val="00641C90"/>
    <w:pPr>
      <w:widowControl w:val="0"/>
      <w:suppressAutoHyphens/>
      <w:autoSpaceDE w:val="0"/>
      <w:spacing w:after="283"/>
    </w:pPr>
    <w:rPr>
      <w:rFonts w:eastAsia="Arial"/>
      <w:color w:val="000000"/>
      <w:lang w:eastAsia="ar-SA"/>
    </w:rPr>
  </w:style>
  <w:style w:type="paragraph" w:customStyle="1" w:styleId="ColumnHeading1">
    <w:name w:val="Column Heading 1"/>
    <w:rsid w:val="00641C90"/>
    <w:pPr>
      <w:widowControl w:val="0"/>
      <w:suppressAutoHyphens/>
      <w:autoSpaceDE w:val="0"/>
      <w:jc w:val="center"/>
    </w:pPr>
    <w:rPr>
      <w:rFonts w:eastAsia="Arial"/>
      <w:color w:val="000000"/>
      <w:lang w:eastAsia="ar-SA"/>
    </w:rPr>
  </w:style>
  <w:style w:type="paragraph" w:customStyle="1" w:styleId="ColumnHeading10">
    <w:name w:val="Column Heading 1 $"/>
    <w:rsid w:val="00641C90"/>
    <w:pPr>
      <w:widowControl w:val="0"/>
      <w:suppressAutoHyphens/>
      <w:autoSpaceDE w:val="0"/>
      <w:spacing w:after="283"/>
      <w:jc w:val="center"/>
    </w:pPr>
    <w:rPr>
      <w:rFonts w:eastAsia="Arial"/>
      <w:color w:val="000000"/>
      <w:lang w:eastAsia="ar-SA"/>
    </w:rPr>
  </w:style>
  <w:style w:type="paragraph" w:customStyle="1" w:styleId="ColumnHeading20">
    <w:name w:val="Column Heading 2"/>
    <w:rsid w:val="00641C90"/>
    <w:pPr>
      <w:widowControl w:val="0"/>
      <w:suppressAutoHyphens/>
      <w:autoSpaceDE w:val="0"/>
      <w:jc w:val="center"/>
    </w:pPr>
    <w:rPr>
      <w:rFonts w:eastAsia="Arial"/>
      <w:color w:val="000000"/>
      <w:lang w:eastAsia="ar-SA"/>
    </w:rPr>
  </w:style>
  <w:style w:type="paragraph" w:customStyle="1" w:styleId="ColumnHeading30">
    <w:name w:val="Column Heading 3"/>
    <w:rsid w:val="00641C90"/>
    <w:pPr>
      <w:widowControl w:val="0"/>
      <w:suppressAutoHyphens/>
      <w:autoSpaceDE w:val="0"/>
      <w:jc w:val="center"/>
    </w:pPr>
    <w:rPr>
      <w:rFonts w:eastAsia="Arial"/>
      <w:color w:val="000000"/>
      <w:lang w:eastAsia="ar-SA"/>
    </w:rPr>
  </w:style>
  <w:style w:type="paragraph" w:customStyle="1" w:styleId="Description-Num2">
    <w:name w:val="Description - Num 2"/>
    <w:rsid w:val="00641C90"/>
    <w:pPr>
      <w:widowControl w:val="0"/>
      <w:suppressAutoHyphens/>
      <w:autoSpaceDE w:val="0"/>
      <w:ind w:left="850" w:hanging="283"/>
    </w:pPr>
    <w:rPr>
      <w:rFonts w:eastAsia="Arial"/>
      <w:color w:val="000000"/>
      <w:lang w:eastAsia="ar-SA"/>
    </w:rPr>
  </w:style>
  <w:style w:type="paragraph" w:customStyle="1" w:styleId="Format-BlankLine">
    <w:name w:val="Format - Blank Line"/>
    <w:rsid w:val="00641C90"/>
    <w:pPr>
      <w:widowControl w:val="0"/>
      <w:suppressAutoHyphens/>
      <w:autoSpaceDE w:val="0"/>
    </w:pPr>
    <w:rPr>
      <w:rFonts w:eastAsia="Arial"/>
      <w:color w:val="000000"/>
      <w:lang w:eastAsia="ar-SA"/>
    </w:rPr>
  </w:style>
  <w:style w:type="paragraph" w:customStyle="1" w:styleId="Column-SampleText">
    <w:name w:val="Column - Sample Text"/>
    <w:rsid w:val="00641C90"/>
    <w:pPr>
      <w:widowControl w:val="0"/>
      <w:suppressAutoHyphens/>
      <w:autoSpaceDE w:val="0"/>
      <w:spacing w:after="141"/>
    </w:pPr>
    <w:rPr>
      <w:rFonts w:ascii="Arial" w:eastAsia="Arial" w:hAnsi="Arial" w:cs="Arial"/>
      <w:color w:val="000000"/>
      <w:sz w:val="16"/>
      <w:szCs w:val="16"/>
      <w:lang w:eastAsia="ar-SA"/>
    </w:rPr>
  </w:style>
  <w:style w:type="paragraph" w:customStyle="1" w:styleId="Com-Header">
    <w:name w:val="Com - Header"/>
    <w:rsid w:val="00641C90"/>
    <w:pPr>
      <w:widowControl w:val="0"/>
      <w:suppressAutoHyphens/>
      <w:autoSpaceDE w:val="0"/>
      <w:spacing w:before="141" w:after="141"/>
      <w:ind w:left="283"/>
    </w:pPr>
    <w:rPr>
      <w:rFonts w:ascii="Arial" w:eastAsia="Arial" w:hAnsi="Arial" w:cs="Arial"/>
      <w:b/>
      <w:bCs/>
      <w:color w:val="FFFFFF"/>
      <w:lang w:eastAsia="ar-SA"/>
    </w:rPr>
  </w:style>
  <w:style w:type="paragraph" w:customStyle="1" w:styleId="Com-Header2L1">
    <w:name w:val="Com - Header 2 L1"/>
    <w:rsid w:val="00641C90"/>
    <w:pPr>
      <w:widowControl w:val="0"/>
      <w:suppressAutoHyphens/>
      <w:autoSpaceDE w:val="0"/>
      <w:spacing w:before="141"/>
      <w:ind w:left="283"/>
    </w:pPr>
    <w:rPr>
      <w:rFonts w:ascii="Arial" w:eastAsia="Arial" w:hAnsi="Arial" w:cs="Arial"/>
      <w:b/>
      <w:bCs/>
      <w:color w:val="0000FF"/>
      <w:sz w:val="18"/>
      <w:szCs w:val="18"/>
      <w:lang w:eastAsia="ar-SA"/>
    </w:rPr>
  </w:style>
  <w:style w:type="paragraph" w:customStyle="1" w:styleId="Statementfooter">
    <w:name w:val="Statement footer"/>
    <w:rsid w:val="00641C90"/>
    <w:pPr>
      <w:widowControl w:val="0"/>
      <w:suppressAutoHyphens/>
      <w:autoSpaceDE w:val="0"/>
      <w:spacing w:after="141"/>
      <w:ind w:left="283"/>
    </w:pPr>
    <w:rPr>
      <w:rFonts w:eastAsia="Arial"/>
      <w:i/>
      <w:iCs/>
      <w:color w:val="000000"/>
      <w:lang w:eastAsia="ar-SA"/>
    </w:rPr>
  </w:style>
  <w:style w:type="paragraph" w:customStyle="1" w:styleId="Header-Contd">
    <w:name w:val="Header - Contd"/>
    <w:rsid w:val="00641C90"/>
    <w:pPr>
      <w:widowControl w:val="0"/>
      <w:suppressAutoHyphens/>
      <w:autoSpaceDE w:val="0"/>
      <w:ind w:left="283"/>
      <w:jc w:val="right"/>
    </w:pPr>
    <w:rPr>
      <w:rFonts w:eastAsia="Arial"/>
      <w:color w:val="000000"/>
      <w:sz w:val="16"/>
      <w:szCs w:val="16"/>
      <w:lang w:eastAsia="ar-SA"/>
    </w:rPr>
  </w:style>
  <w:style w:type="paragraph" w:customStyle="1" w:styleId="NormalText">
    <w:name w:val="Normal Text"/>
    <w:rsid w:val="00641C90"/>
    <w:pPr>
      <w:widowControl w:val="0"/>
      <w:suppressAutoHyphens/>
      <w:autoSpaceDE w:val="0"/>
      <w:spacing w:after="141"/>
      <w:ind w:left="283"/>
    </w:pPr>
    <w:rPr>
      <w:rFonts w:eastAsia="Arial"/>
      <w:color w:val="000000"/>
      <w:lang w:eastAsia="ar-SA"/>
    </w:rPr>
  </w:style>
  <w:style w:type="paragraph" w:customStyle="1" w:styleId="Heading-subsection">
    <w:name w:val="Heading - subsection"/>
    <w:rsid w:val="00641C90"/>
    <w:pPr>
      <w:widowControl w:val="0"/>
      <w:suppressAutoHyphens/>
      <w:autoSpaceDE w:val="0"/>
      <w:spacing w:before="141" w:after="141"/>
    </w:pPr>
    <w:rPr>
      <w:rFonts w:eastAsia="Arial"/>
      <w:b/>
      <w:bCs/>
      <w:color w:val="000000"/>
      <w:lang w:eastAsia="ar-SA"/>
    </w:rPr>
  </w:style>
  <w:style w:type="paragraph" w:customStyle="1" w:styleId="Column-SampleL1">
    <w:name w:val="Column - Sample L1"/>
    <w:rsid w:val="00641C90"/>
    <w:pPr>
      <w:widowControl w:val="0"/>
      <w:suppressAutoHyphens/>
      <w:autoSpaceDE w:val="0"/>
      <w:spacing w:before="141" w:after="141"/>
    </w:pPr>
    <w:rPr>
      <w:rFonts w:ascii="Arial" w:eastAsia="Arial" w:hAnsi="Arial" w:cs="Arial"/>
      <w:color w:val="000000"/>
      <w:sz w:val="16"/>
      <w:szCs w:val="16"/>
      <w:lang w:eastAsia="ar-SA"/>
    </w:rPr>
  </w:style>
  <w:style w:type="paragraph" w:customStyle="1" w:styleId="NoteHdrCol2">
    <w:name w:val="Note Hdr Col2"/>
    <w:rsid w:val="00641C90"/>
    <w:pPr>
      <w:widowControl w:val="0"/>
      <w:suppressAutoHyphens/>
      <w:autoSpaceDE w:val="0"/>
      <w:jc w:val="center"/>
    </w:pPr>
    <w:rPr>
      <w:rFonts w:ascii="Arial" w:eastAsia="Arial" w:hAnsi="Arial" w:cs="Arial"/>
      <w:color w:val="000000"/>
      <w:sz w:val="16"/>
      <w:szCs w:val="16"/>
      <w:lang w:eastAsia="ar-SA"/>
    </w:rPr>
  </w:style>
  <w:style w:type="paragraph" w:customStyle="1" w:styleId="NoteHdrCol1">
    <w:name w:val="Note Hdr Col1"/>
    <w:rsid w:val="00641C90"/>
    <w:pPr>
      <w:widowControl w:val="0"/>
      <w:suppressAutoHyphens/>
      <w:autoSpaceDE w:val="0"/>
      <w:jc w:val="center"/>
    </w:pPr>
    <w:rPr>
      <w:rFonts w:ascii="Arial" w:eastAsia="Arial" w:hAnsi="Arial" w:cs="Arial"/>
      <w:b/>
      <w:bCs/>
      <w:color w:val="000000"/>
      <w:sz w:val="16"/>
      <w:szCs w:val="16"/>
      <w:lang w:eastAsia="ar-SA"/>
    </w:rPr>
  </w:style>
  <w:style w:type="paragraph" w:customStyle="1" w:styleId="Column-Sample-NT">
    <w:name w:val="Column - Sample - NT"/>
    <w:rsid w:val="00641C90"/>
    <w:pPr>
      <w:widowControl w:val="0"/>
      <w:suppressAutoHyphens/>
      <w:autoSpaceDE w:val="0"/>
      <w:spacing w:before="283" w:after="141"/>
    </w:pPr>
    <w:rPr>
      <w:rFonts w:ascii="Arial" w:eastAsia="Arial" w:hAnsi="Arial" w:cs="Arial"/>
      <w:color w:val="000000"/>
      <w:sz w:val="16"/>
      <w:szCs w:val="16"/>
      <w:lang w:eastAsia="ar-SA"/>
    </w:rPr>
  </w:style>
  <w:style w:type="paragraph" w:customStyle="1" w:styleId="Heading-Note">
    <w:name w:val="Heading - Note"/>
    <w:rsid w:val="00641C90"/>
    <w:pPr>
      <w:widowControl w:val="0"/>
      <w:suppressAutoHyphens/>
      <w:autoSpaceDE w:val="0"/>
      <w:spacing w:before="283"/>
    </w:pPr>
    <w:rPr>
      <w:rFonts w:eastAsia="Arial"/>
      <w:b/>
      <w:bCs/>
      <w:color w:val="000000"/>
      <w:sz w:val="24"/>
      <w:szCs w:val="24"/>
      <w:lang w:eastAsia="ar-SA"/>
    </w:rPr>
  </w:style>
  <w:style w:type="paragraph" w:customStyle="1" w:styleId="Heading-APSub">
    <w:name w:val="Heading - AP Sub"/>
    <w:rsid w:val="00641C90"/>
    <w:pPr>
      <w:widowControl w:val="0"/>
      <w:suppressAutoHyphens/>
      <w:autoSpaceDE w:val="0"/>
    </w:pPr>
    <w:rPr>
      <w:rFonts w:eastAsia="Arial"/>
      <w:i/>
      <w:iCs/>
      <w:color w:val="000000"/>
      <w:sz w:val="18"/>
      <w:szCs w:val="18"/>
      <w:lang w:eastAsia="ar-SA"/>
    </w:rPr>
  </w:style>
  <w:style w:type="paragraph" w:customStyle="1" w:styleId="ColumnHeadingOther">
    <w:name w:val="Column Heading Other"/>
    <w:rsid w:val="00641C90"/>
    <w:pPr>
      <w:widowControl w:val="0"/>
      <w:suppressAutoHyphens/>
      <w:autoSpaceDE w:val="0"/>
    </w:pPr>
    <w:rPr>
      <w:rFonts w:eastAsia="Arial"/>
      <w:color w:val="000000"/>
      <w:lang w:eastAsia="ar-SA"/>
    </w:rPr>
  </w:style>
  <w:style w:type="paragraph" w:customStyle="1" w:styleId="ColumnOther">
    <w:name w:val="Column Other"/>
    <w:rsid w:val="00641C90"/>
    <w:pPr>
      <w:widowControl w:val="0"/>
      <w:suppressAutoHyphens/>
      <w:autoSpaceDE w:val="0"/>
    </w:pPr>
    <w:rPr>
      <w:rFonts w:eastAsia="Arial"/>
      <w:color w:val="000000"/>
      <w:lang w:eastAsia="ar-SA"/>
    </w:rPr>
  </w:style>
  <w:style w:type="paragraph" w:customStyle="1" w:styleId="ColumnOtherTotal">
    <w:name w:val="Column Other Total"/>
    <w:rsid w:val="00641C90"/>
    <w:pPr>
      <w:widowControl w:val="0"/>
      <w:suppressAutoHyphens/>
      <w:autoSpaceDE w:val="0"/>
      <w:spacing w:after="141"/>
    </w:pPr>
    <w:rPr>
      <w:rFonts w:eastAsia="Arial"/>
      <w:color w:val="000000"/>
      <w:lang w:eastAsia="ar-SA"/>
    </w:rPr>
  </w:style>
  <w:style w:type="paragraph" w:customStyle="1" w:styleId="Normal-subnotenum">
    <w:name w:val="Normal - subnotenum"/>
    <w:rsid w:val="00641C90"/>
    <w:pPr>
      <w:widowControl w:val="0"/>
      <w:suppressAutoHyphens/>
      <w:autoSpaceDE w:val="0"/>
      <w:ind w:left="566" w:hanging="283"/>
    </w:pPr>
    <w:rPr>
      <w:rFonts w:eastAsia="Arial"/>
      <w:color w:val="000000"/>
      <w:lang w:eastAsia="ar-SA"/>
    </w:rPr>
  </w:style>
  <w:style w:type="paragraph" w:customStyle="1" w:styleId="NormalArial">
    <w:name w:val="Normal + Arial"/>
    <w:aliases w:val="9 pt,Centered,Line spacing:  single"/>
    <w:basedOn w:val="Normal"/>
    <w:rsid w:val="00641C90"/>
    <w:pPr>
      <w:spacing w:line="100" w:lineRule="atLeast"/>
      <w:jc w:val="center"/>
    </w:pPr>
    <w:rPr>
      <w:rFonts w:ascii="Arial" w:hAnsi="Arial" w:cs="Arial"/>
      <w:sz w:val="18"/>
    </w:rPr>
  </w:style>
  <w:style w:type="paragraph" w:customStyle="1" w:styleId="Centrelink-Bullets1">
    <w:name w:val="Centrelink - Bullets 1"/>
    <w:basedOn w:val="Normal"/>
    <w:rsid w:val="00641C90"/>
    <w:pPr>
      <w:tabs>
        <w:tab w:val="num" w:pos="425"/>
      </w:tabs>
      <w:ind w:left="425" w:hanging="425"/>
    </w:pPr>
  </w:style>
  <w:style w:type="paragraph" w:customStyle="1" w:styleId="Heading-DRSub">
    <w:name w:val="Heading - DR Sub"/>
    <w:rsid w:val="00641C90"/>
    <w:pPr>
      <w:widowControl w:val="0"/>
      <w:suppressAutoHyphens/>
      <w:autoSpaceDE w:val="0"/>
      <w:spacing w:before="141"/>
    </w:pPr>
    <w:rPr>
      <w:rFonts w:ascii="Arial" w:eastAsia="Arial" w:hAnsi="Arial" w:cs="Arial"/>
      <w:b/>
      <w:bCs/>
      <w:color w:val="000000"/>
      <w:sz w:val="18"/>
      <w:szCs w:val="18"/>
      <w:lang w:eastAsia="ar-SA"/>
    </w:rPr>
  </w:style>
  <w:style w:type="paragraph" w:styleId="CommentText">
    <w:name w:val="annotation text"/>
    <w:basedOn w:val="Normal"/>
    <w:link w:val="CommentTextChar"/>
    <w:uiPriority w:val="99"/>
    <w:rsid w:val="00641C90"/>
    <w:rPr>
      <w:sz w:val="20"/>
    </w:rPr>
  </w:style>
  <w:style w:type="paragraph" w:styleId="CommentSubject">
    <w:name w:val="annotation subject"/>
    <w:basedOn w:val="CommentText"/>
    <w:next w:val="CommentText"/>
    <w:rsid w:val="00641C90"/>
    <w:rPr>
      <w:b/>
      <w:bCs/>
    </w:rPr>
  </w:style>
  <w:style w:type="paragraph" w:styleId="Title">
    <w:name w:val="Title"/>
    <w:basedOn w:val="Normal"/>
    <w:next w:val="Normal"/>
    <w:link w:val="TitleChar"/>
    <w:uiPriority w:val="10"/>
    <w:qFormat/>
    <w:rsid w:val="004F2C55"/>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40AB"/>
    <w:pPr>
      <w:spacing w:after="60"/>
      <w:jc w:val="center"/>
      <w:outlineLvl w:val="1"/>
    </w:pPr>
    <w:rPr>
      <w:rFonts w:asciiTheme="majorHAnsi" w:eastAsiaTheme="majorEastAsia" w:hAnsiTheme="majorHAnsi" w:cs="DejaVu Sans"/>
      <w:b/>
      <w:color w:val="3C54A5" w:themeColor="accent1"/>
      <w:sz w:val="32"/>
      <w:szCs w:val="32"/>
    </w:rPr>
  </w:style>
  <w:style w:type="paragraph" w:customStyle="1" w:styleId="ColumnOther-Centr">
    <w:name w:val="Column Other - Centr"/>
    <w:rsid w:val="00641C90"/>
    <w:pPr>
      <w:widowControl w:val="0"/>
      <w:suppressAutoHyphens/>
      <w:autoSpaceDE w:val="0"/>
      <w:jc w:val="center"/>
    </w:pPr>
    <w:rPr>
      <w:rFonts w:ascii="Arial" w:eastAsia="Arial" w:hAnsi="Arial" w:cs="Arial"/>
      <w:color w:val="000000"/>
      <w:sz w:val="18"/>
      <w:szCs w:val="18"/>
      <w:lang w:eastAsia="ar-SA"/>
    </w:rPr>
  </w:style>
  <w:style w:type="paragraph" w:customStyle="1" w:styleId="ColumnOtherTot-C">
    <w:name w:val="Column Other Tot - C"/>
    <w:rsid w:val="00641C90"/>
    <w:pPr>
      <w:widowControl w:val="0"/>
      <w:suppressAutoHyphens/>
      <w:autoSpaceDE w:val="0"/>
      <w:spacing w:after="141"/>
      <w:jc w:val="center"/>
    </w:pPr>
    <w:rPr>
      <w:rFonts w:ascii="Arial" w:eastAsia="Arial" w:hAnsi="Arial" w:cs="Arial"/>
      <w:color w:val="000000"/>
      <w:sz w:val="18"/>
      <w:szCs w:val="18"/>
      <w:lang w:eastAsia="ar-SA"/>
    </w:rPr>
  </w:style>
  <w:style w:type="paragraph" w:customStyle="1" w:styleId="NormalTextL1">
    <w:name w:val="Normal Text L1"/>
    <w:rsid w:val="00641C90"/>
    <w:pPr>
      <w:widowControl w:val="0"/>
      <w:suppressAutoHyphens/>
      <w:autoSpaceDE w:val="0"/>
      <w:spacing w:before="141" w:after="141"/>
      <w:ind w:left="283"/>
    </w:pPr>
    <w:rPr>
      <w:rFonts w:ascii="Arial" w:eastAsia="Arial" w:hAnsi="Arial" w:cs="Arial"/>
      <w:color w:val="000000"/>
      <w:sz w:val="18"/>
      <w:szCs w:val="18"/>
      <w:lang w:eastAsia="ar-SA"/>
    </w:rPr>
  </w:style>
  <w:style w:type="paragraph" w:customStyle="1" w:styleId="DescriptionHeader1">
    <w:name w:val="Description Header 1"/>
    <w:rsid w:val="00641C90"/>
    <w:pPr>
      <w:widowControl w:val="0"/>
      <w:suppressAutoHyphens/>
      <w:autoSpaceDE w:val="0"/>
      <w:spacing w:before="283" w:after="141"/>
      <w:ind w:left="283"/>
    </w:pPr>
    <w:rPr>
      <w:rFonts w:ascii="Arial" w:eastAsia="Arial" w:hAnsi="Arial" w:cs="Arial"/>
      <w:b/>
      <w:bCs/>
      <w:color w:val="000000"/>
      <w:sz w:val="18"/>
      <w:szCs w:val="18"/>
      <w:lang w:eastAsia="ar-SA"/>
    </w:rPr>
  </w:style>
  <w:style w:type="paragraph" w:customStyle="1" w:styleId="IASBNormalArial">
    <w:name w:val="IASB Normal Arial"/>
    <w:basedOn w:val="Normal"/>
    <w:rsid w:val="00641C90"/>
    <w:pPr>
      <w:spacing w:before="200" w:after="100" w:line="100" w:lineRule="atLeast"/>
      <w:jc w:val="both"/>
    </w:pPr>
    <w:rPr>
      <w:rFonts w:ascii="Arial" w:hAnsi="Arial" w:cs="Arial"/>
      <w:sz w:val="19"/>
      <w:lang w:val="en-US"/>
    </w:rPr>
  </w:style>
  <w:style w:type="paragraph" w:customStyle="1" w:styleId="NoNumPlain1">
    <w:name w:val="NoNum Plain1"/>
    <w:basedOn w:val="Normal"/>
    <w:rsid w:val="00641C90"/>
    <w:pPr>
      <w:spacing w:after="200" w:line="200" w:lineRule="exact"/>
    </w:pPr>
    <w:rPr>
      <w:sz w:val="20"/>
    </w:rPr>
  </w:style>
  <w:style w:type="paragraph" w:customStyle="1" w:styleId="CellBodyLeft">
    <w:name w:val="Cell Body Left"/>
    <w:basedOn w:val="Normal"/>
    <w:rsid w:val="00641C90"/>
    <w:pPr>
      <w:overflowPunct w:val="0"/>
      <w:autoSpaceDE w:val="0"/>
      <w:spacing w:line="100" w:lineRule="atLeast"/>
      <w:ind w:left="142" w:hanging="142"/>
      <w:textAlignment w:val="baseline"/>
    </w:pPr>
    <w:rPr>
      <w:color w:val="000000"/>
      <w:sz w:val="20"/>
    </w:rPr>
  </w:style>
  <w:style w:type="paragraph" w:customStyle="1" w:styleId="CellBodyRight">
    <w:name w:val="Cell Body Right"/>
    <w:basedOn w:val="Normal"/>
    <w:rsid w:val="00641C90"/>
    <w:pPr>
      <w:overflowPunct w:val="0"/>
      <w:autoSpaceDE w:val="0"/>
      <w:spacing w:line="100" w:lineRule="atLeast"/>
      <w:ind w:right="57"/>
      <w:jc w:val="right"/>
      <w:textAlignment w:val="baseline"/>
    </w:pPr>
    <w:rPr>
      <w:color w:val="000000"/>
      <w:sz w:val="20"/>
    </w:rPr>
  </w:style>
  <w:style w:type="paragraph" w:customStyle="1" w:styleId="CellBodyRightParens">
    <w:name w:val="Cell Body Right Parens"/>
    <w:basedOn w:val="Normal"/>
    <w:rsid w:val="00641C90"/>
    <w:pPr>
      <w:overflowPunct w:val="0"/>
      <w:autoSpaceDE w:val="0"/>
      <w:spacing w:line="100" w:lineRule="atLeast"/>
      <w:jc w:val="right"/>
      <w:textAlignment w:val="baseline"/>
    </w:pPr>
    <w:rPr>
      <w:color w:val="000000"/>
      <w:sz w:val="20"/>
    </w:rPr>
  </w:style>
  <w:style w:type="paragraph" w:customStyle="1" w:styleId="PageNumber1">
    <w:name w:val="Page Number1"/>
    <w:rsid w:val="00641C90"/>
    <w:pPr>
      <w:widowControl w:val="0"/>
      <w:suppressAutoHyphens/>
      <w:autoSpaceDE w:val="0"/>
      <w:ind w:left="283"/>
      <w:jc w:val="center"/>
    </w:pPr>
    <w:rPr>
      <w:rFonts w:ascii="Arial" w:eastAsia="Arial" w:hAnsi="Arial" w:cs="Arial"/>
      <w:color w:val="000000"/>
      <w:sz w:val="18"/>
      <w:szCs w:val="18"/>
      <w:lang w:eastAsia="ar-SA"/>
    </w:rPr>
  </w:style>
  <w:style w:type="paragraph" w:customStyle="1" w:styleId="ColumnHeadingOth">
    <w:name w:val="Column Heading Oth $"/>
    <w:rsid w:val="00641C90"/>
    <w:pPr>
      <w:widowControl w:val="0"/>
      <w:suppressAutoHyphens/>
      <w:autoSpaceDE w:val="0"/>
      <w:spacing w:after="283"/>
    </w:pPr>
    <w:rPr>
      <w:rFonts w:ascii="Arial" w:eastAsia="Arial" w:hAnsi="Arial" w:cs="Arial"/>
      <w:color w:val="000000"/>
      <w:sz w:val="18"/>
      <w:szCs w:val="18"/>
      <w:lang w:eastAsia="ar-SA"/>
    </w:rPr>
  </w:style>
  <w:style w:type="paragraph" w:customStyle="1" w:styleId="Description-HItal">
    <w:name w:val="Description - H Ital"/>
    <w:rsid w:val="00641C90"/>
    <w:pPr>
      <w:widowControl w:val="0"/>
      <w:suppressAutoHyphens/>
      <w:autoSpaceDE w:val="0"/>
      <w:ind w:left="283"/>
    </w:pPr>
    <w:rPr>
      <w:rFonts w:ascii="Arial" w:eastAsia="Arial" w:hAnsi="Arial" w:cs="Arial"/>
      <w:i/>
      <w:iCs/>
      <w:color w:val="000000"/>
      <w:sz w:val="18"/>
      <w:szCs w:val="18"/>
      <w:lang w:eastAsia="ar-SA"/>
    </w:rPr>
  </w:style>
  <w:style w:type="paragraph" w:customStyle="1" w:styleId="Char">
    <w:name w:val="Char"/>
    <w:basedOn w:val="Normal"/>
    <w:rsid w:val="00641C90"/>
    <w:pPr>
      <w:spacing w:after="160" w:line="240" w:lineRule="exact"/>
    </w:pPr>
    <w:rPr>
      <w:sz w:val="20"/>
    </w:rPr>
  </w:style>
  <w:style w:type="paragraph" w:customStyle="1" w:styleId="TableContents">
    <w:name w:val="Table Contents"/>
    <w:basedOn w:val="Normal"/>
    <w:rsid w:val="00641C90"/>
    <w:pPr>
      <w:suppressLineNumbers/>
    </w:pPr>
  </w:style>
  <w:style w:type="paragraph" w:customStyle="1" w:styleId="TableHeading">
    <w:name w:val="Table Heading"/>
    <w:basedOn w:val="TableContents"/>
    <w:rsid w:val="00641C90"/>
    <w:pPr>
      <w:jc w:val="center"/>
    </w:pPr>
    <w:rPr>
      <w:b/>
      <w:bCs/>
    </w:rPr>
  </w:style>
  <w:style w:type="paragraph" w:customStyle="1" w:styleId="Framecontents">
    <w:name w:val="Frame contents"/>
    <w:basedOn w:val="BodyText"/>
    <w:rsid w:val="00641C90"/>
  </w:style>
  <w:style w:type="numbering" w:styleId="111111">
    <w:name w:val="Outline List 2"/>
    <w:basedOn w:val="NoList"/>
    <w:rsid w:val="00FE47F8"/>
    <w:pPr>
      <w:numPr>
        <w:numId w:val="1"/>
      </w:numPr>
    </w:pPr>
  </w:style>
  <w:style w:type="paragraph" w:styleId="TOC2">
    <w:name w:val="toc 2"/>
    <w:basedOn w:val="Normal"/>
    <w:next w:val="Normal"/>
    <w:autoRedefine/>
    <w:uiPriority w:val="39"/>
    <w:rsid w:val="00B1316E"/>
    <w:pPr>
      <w:spacing w:before="120" w:after="0"/>
      <w:ind w:left="240"/>
    </w:pPr>
    <w:rPr>
      <w:rFonts w:cstheme="minorHAnsi"/>
      <w:i/>
      <w:iCs/>
      <w:sz w:val="20"/>
      <w:szCs w:val="20"/>
    </w:rPr>
  </w:style>
  <w:style w:type="paragraph" w:customStyle="1" w:styleId="Default">
    <w:name w:val="Default"/>
    <w:rsid w:val="00702BA9"/>
    <w:pPr>
      <w:autoSpaceDE w:val="0"/>
      <w:autoSpaceDN w:val="0"/>
      <w:adjustRightInd w:val="0"/>
    </w:pPr>
    <w:rPr>
      <w:color w:val="000000"/>
      <w:sz w:val="24"/>
      <w:szCs w:val="24"/>
    </w:rPr>
  </w:style>
  <w:style w:type="paragraph" w:styleId="Revision">
    <w:name w:val="Revision"/>
    <w:hidden/>
    <w:uiPriority w:val="99"/>
    <w:semiHidden/>
    <w:rsid w:val="00FB61FC"/>
    <w:rPr>
      <w:sz w:val="24"/>
      <w:lang w:val="en-GB" w:eastAsia="ar-SA"/>
    </w:rPr>
  </w:style>
  <w:style w:type="paragraph" w:styleId="ListParagraph">
    <w:name w:val="List Paragraph"/>
    <w:basedOn w:val="Normal"/>
    <w:uiPriority w:val="34"/>
    <w:qFormat/>
    <w:rsid w:val="004F2C55"/>
    <w:pPr>
      <w:ind w:left="720"/>
      <w:contextualSpacing/>
    </w:pPr>
  </w:style>
  <w:style w:type="character" w:customStyle="1" w:styleId="Commentary-TitleChar">
    <w:name w:val="Commentary - Title Char"/>
    <w:basedOn w:val="DefaultParagraphFont"/>
    <w:rsid w:val="00F94EC9"/>
    <w:rPr>
      <w:rFonts w:ascii="Arial" w:eastAsia="Arial" w:hAnsi="Arial" w:cs="Arial"/>
      <w:b/>
      <w:color w:val="FFFFFF" w:themeColor="background1"/>
      <w:sz w:val="24"/>
      <w:szCs w:val="14"/>
      <w:shd w:val="clear" w:color="auto" w:fill="0000FF"/>
      <w:lang w:eastAsia="ar-SA"/>
    </w:rPr>
  </w:style>
  <w:style w:type="paragraph" w:customStyle="1" w:styleId="Commentary-Header">
    <w:name w:val="Commentary - Header"/>
    <w:autoRedefine/>
    <w:qFormat/>
    <w:rsid w:val="00A30E44"/>
    <w:pPr>
      <w:snapToGrid w:val="0"/>
    </w:pPr>
    <w:rPr>
      <w:rFonts w:ascii="Arial" w:hAnsi="Arial" w:cs="Arial"/>
      <w:b/>
      <w:color w:val="0000FF"/>
      <w:sz w:val="18"/>
      <w:lang w:val="en-GB" w:eastAsia="ar-SA"/>
    </w:rPr>
  </w:style>
  <w:style w:type="character" w:customStyle="1" w:styleId="BodyTextChar">
    <w:name w:val="Body Text Char"/>
    <w:basedOn w:val="DefaultParagraphFont"/>
    <w:link w:val="BodyText"/>
    <w:rsid w:val="00950E7D"/>
    <w:rPr>
      <w:rFonts w:ascii="Helv" w:hAnsi="Helv"/>
      <w:color w:val="000000"/>
      <w:sz w:val="18"/>
      <w:lang w:val="en-US" w:eastAsia="ar-SA"/>
    </w:rPr>
  </w:style>
  <w:style w:type="character" w:customStyle="1" w:styleId="BodyTextIndentChar">
    <w:name w:val="Body Text Indent Char"/>
    <w:basedOn w:val="DefaultParagraphFont"/>
    <w:link w:val="BodyTextIndent"/>
    <w:rsid w:val="00950E7D"/>
    <w:rPr>
      <w:sz w:val="18"/>
      <w:lang w:val="en-GB" w:eastAsia="ar-SA"/>
    </w:rPr>
  </w:style>
  <w:style w:type="paragraph" w:customStyle="1" w:styleId="Commentary-Text">
    <w:name w:val="Commentary - Text"/>
    <w:autoRedefine/>
    <w:qFormat/>
    <w:rsid w:val="00D30442"/>
    <w:pPr>
      <w:suppressAutoHyphens/>
      <w:snapToGrid w:val="0"/>
      <w:ind w:left="170" w:right="57"/>
    </w:pPr>
    <w:rPr>
      <w:rFonts w:ascii="Arial" w:hAnsi="Arial" w:cs="Arial"/>
      <w:color w:val="0000FF"/>
      <w:sz w:val="18"/>
      <w:lang w:eastAsia="ar-SA"/>
    </w:rPr>
  </w:style>
  <w:style w:type="paragraph" w:customStyle="1" w:styleId="Commentary-List1">
    <w:name w:val="Commentary - List1"/>
    <w:autoRedefine/>
    <w:qFormat/>
    <w:rsid w:val="00367800"/>
    <w:pPr>
      <w:suppressAutoHyphens/>
      <w:snapToGrid w:val="0"/>
      <w:spacing w:line="100" w:lineRule="atLeast"/>
      <w:ind w:left="680" w:right="57" w:hanging="340"/>
    </w:pPr>
    <w:rPr>
      <w:rFonts w:ascii="Arial" w:hAnsi="Arial" w:cs="Arial"/>
      <w:color w:val="0000FF"/>
      <w:sz w:val="18"/>
      <w:lang w:eastAsia="ar-SA"/>
    </w:rPr>
  </w:style>
  <w:style w:type="paragraph" w:customStyle="1" w:styleId="Commentary-Subhead">
    <w:name w:val="Commentary - Sub head"/>
    <w:autoRedefine/>
    <w:qFormat/>
    <w:rsid w:val="001C6542"/>
    <w:pPr>
      <w:snapToGrid w:val="0"/>
      <w:ind w:left="170" w:right="57"/>
    </w:pPr>
    <w:rPr>
      <w:rFonts w:ascii="Arial" w:eastAsia="Arial" w:hAnsi="Arial" w:cs="Arial"/>
      <w:i/>
      <w:iCs/>
      <w:color w:val="0000FF"/>
      <w:sz w:val="18"/>
      <w:szCs w:val="18"/>
    </w:rPr>
  </w:style>
  <w:style w:type="paragraph" w:customStyle="1" w:styleId="Commentary-List2">
    <w:name w:val="Commentary - List2"/>
    <w:qFormat/>
    <w:rsid w:val="00252468"/>
    <w:pPr>
      <w:ind w:left="510"/>
    </w:pPr>
    <w:rPr>
      <w:rFonts w:ascii="Arial" w:hAnsi="Arial" w:cs="Arial"/>
      <w:color w:val="0000FF"/>
      <w:sz w:val="18"/>
      <w:lang w:eastAsia="ar-SA"/>
    </w:rPr>
  </w:style>
  <w:style w:type="paragraph" w:customStyle="1" w:styleId="Commentary-List3">
    <w:name w:val="Commentary - List3"/>
    <w:qFormat/>
    <w:rsid w:val="00252468"/>
    <w:pPr>
      <w:tabs>
        <w:tab w:val="left" w:pos="170"/>
      </w:tabs>
      <w:ind w:left="680"/>
    </w:pPr>
    <w:rPr>
      <w:rFonts w:ascii="Arial" w:hAnsi="Arial" w:cs="Arial"/>
      <w:color w:val="0000FF"/>
      <w:sz w:val="18"/>
      <w:lang w:eastAsia="ar-SA"/>
    </w:rPr>
  </w:style>
  <w:style w:type="paragraph" w:customStyle="1" w:styleId="Commentary-Refs">
    <w:name w:val="Commentary - Refs"/>
    <w:autoRedefine/>
    <w:qFormat/>
    <w:rsid w:val="004D66D7"/>
    <w:pPr>
      <w:suppressAutoHyphens/>
      <w:snapToGrid w:val="0"/>
      <w:spacing w:line="100" w:lineRule="atLeast"/>
      <w:ind w:right="57"/>
    </w:pPr>
    <w:rPr>
      <w:rFonts w:ascii="Arial" w:hAnsi="Arial" w:cs="Arial"/>
      <w:color w:val="0000FF"/>
      <w:sz w:val="14"/>
      <w:lang w:eastAsia="ar-SA"/>
    </w:rPr>
  </w:style>
  <w:style w:type="paragraph" w:customStyle="1" w:styleId="Illustrative-Refs">
    <w:name w:val="Illustrative - Refs"/>
    <w:autoRedefine/>
    <w:rsid w:val="000F49A4"/>
    <w:pPr>
      <w:snapToGrid w:val="0"/>
      <w:jc w:val="center"/>
    </w:pPr>
    <w:rPr>
      <w:rFonts w:ascii="Arial" w:hAnsi="Arial" w:cs="Arial"/>
      <w:sz w:val="14"/>
      <w:lang w:eastAsia="ar-SA"/>
    </w:rPr>
  </w:style>
  <w:style w:type="paragraph" w:customStyle="1" w:styleId="Illustrative-List1nonumbers">
    <w:name w:val="Illustrative - List 1 (no numbers)"/>
    <w:autoRedefine/>
    <w:rsid w:val="009F3934"/>
    <w:pPr>
      <w:snapToGrid w:val="0"/>
      <w:spacing w:before="60" w:after="60"/>
      <w:ind w:left="57" w:right="57"/>
    </w:pPr>
    <w:rPr>
      <w:rFonts w:ascii="Arial" w:hAnsi="Arial" w:cs="Arial"/>
      <w:lang w:eastAsia="ar-SA"/>
    </w:rPr>
  </w:style>
  <w:style w:type="paragraph" w:customStyle="1" w:styleId="Illustrative-Mandatoryref">
    <w:name w:val="Illustrative - Mandatory ref"/>
    <w:autoRedefine/>
    <w:rsid w:val="00B9620B"/>
    <w:pPr>
      <w:snapToGrid w:val="0"/>
      <w:ind w:left="57" w:right="57"/>
    </w:pPr>
    <w:rPr>
      <w:rFonts w:ascii="Arial" w:hAnsi="Arial" w:cs="Arial"/>
      <w:b/>
      <w:caps/>
      <w:sz w:val="18"/>
      <w:szCs w:val="18"/>
      <w:lang w:eastAsia="ar-SA"/>
    </w:rPr>
  </w:style>
  <w:style w:type="paragraph" w:customStyle="1" w:styleId="Note-Title">
    <w:name w:val="Note - Title"/>
    <w:autoRedefine/>
    <w:qFormat/>
    <w:rsid w:val="00C90084"/>
    <w:pPr>
      <w:tabs>
        <w:tab w:val="left" w:pos="1247"/>
      </w:tabs>
      <w:snapToGrid w:val="0"/>
      <w:spacing w:after="120"/>
      <w:ind w:left="1304" w:hanging="1247"/>
    </w:pPr>
    <w:rPr>
      <w:rFonts w:ascii="Arial" w:hAnsi="Arial" w:cs="Arial"/>
      <w:b/>
      <w:sz w:val="28"/>
      <w:szCs w:val="28"/>
      <w:lang w:eastAsia="ar-SA"/>
    </w:rPr>
  </w:style>
  <w:style w:type="paragraph" w:customStyle="1" w:styleId="Note-Refs">
    <w:name w:val="Note - Refs"/>
    <w:autoRedefine/>
    <w:qFormat/>
    <w:rsid w:val="00EF62D6"/>
    <w:pPr>
      <w:snapToGrid w:val="0"/>
      <w:ind w:right="57"/>
    </w:pPr>
    <w:rPr>
      <w:rFonts w:ascii="Arial" w:hAnsi="Arial" w:cs="Arial"/>
      <w:iCs/>
      <w:sz w:val="14"/>
      <w:szCs w:val="18"/>
      <w:lang w:val="en-GB" w:eastAsia="ar-SA"/>
    </w:rPr>
  </w:style>
  <w:style w:type="paragraph" w:customStyle="1" w:styleId="Note-TextHeader">
    <w:name w:val="Note - Text Header"/>
    <w:autoRedefine/>
    <w:qFormat/>
    <w:rsid w:val="008C7B83"/>
    <w:pPr>
      <w:snapToGrid w:val="0"/>
      <w:ind w:left="340" w:hanging="340"/>
      <w:contextualSpacing/>
    </w:pPr>
    <w:rPr>
      <w:rFonts w:ascii="Arial" w:hAnsi="Arial" w:cs="Arial"/>
      <w:b/>
      <w:sz w:val="18"/>
      <w:szCs w:val="18"/>
      <w:lang w:eastAsia="ar-SA"/>
    </w:rPr>
  </w:style>
  <w:style w:type="paragraph" w:customStyle="1" w:styleId="Note-Text">
    <w:name w:val="Note - Text"/>
    <w:autoRedefine/>
    <w:qFormat/>
    <w:rsid w:val="00CE710E"/>
    <w:pPr>
      <w:snapToGrid w:val="0"/>
      <w:ind w:left="170" w:right="57"/>
    </w:pPr>
    <w:rPr>
      <w:rFonts w:ascii="Arial" w:hAnsi="Arial" w:cs="Arial"/>
      <w:sz w:val="18"/>
      <w:szCs w:val="18"/>
      <w:lang w:eastAsia="ar-SA"/>
    </w:rPr>
  </w:style>
  <w:style w:type="paragraph" w:customStyle="1" w:styleId="Note-TextSubheader">
    <w:name w:val="Note - Text Subheader"/>
    <w:autoRedefine/>
    <w:qFormat/>
    <w:rsid w:val="005A74A0"/>
    <w:pPr>
      <w:snapToGrid w:val="0"/>
      <w:ind w:left="170" w:right="57"/>
      <w:contextualSpacing/>
    </w:pPr>
    <w:rPr>
      <w:rFonts w:ascii="Arial" w:eastAsia="Arial" w:hAnsi="Arial" w:cs="Arial"/>
      <w:i/>
      <w:sz w:val="18"/>
      <w:szCs w:val="18"/>
      <w:lang w:eastAsia="ar-SA"/>
    </w:rPr>
  </w:style>
  <w:style w:type="paragraph" w:customStyle="1" w:styleId="Note-TextHeaderItalic">
    <w:name w:val="Note - Text Header Italic"/>
    <w:autoRedefine/>
    <w:qFormat/>
    <w:rsid w:val="00E759A7"/>
    <w:pPr>
      <w:ind w:left="170" w:right="57"/>
      <w:contextualSpacing/>
    </w:pPr>
    <w:rPr>
      <w:rFonts w:ascii="Arial" w:hAnsi="Arial" w:cs="Arial"/>
      <w:b/>
      <w:i/>
      <w:sz w:val="18"/>
      <w:szCs w:val="18"/>
      <w:lang w:eastAsia="ar-SA"/>
    </w:rPr>
  </w:style>
  <w:style w:type="paragraph" w:customStyle="1" w:styleId="Note-List1">
    <w:name w:val="Note - List 1"/>
    <w:autoRedefine/>
    <w:qFormat/>
    <w:rsid w:val="00E94EBE"/>
    <w:pPr>
      <w:ind w:left="510" w:right="57" w:hanging="340"/>
    </w:pPr>
    <w:rPr>
      <w:rFonts w:ascii="Arial" w:eastAsia="Arial" w:hAnsi="Arial" w:cs="Arial"/>
      <w:sz w:val="18"/>
      <w:szCs w:val="18"/>
      <w:lang w:eastAsia="ar-SA"/>
    </w:rPr>
  </w:style>
  <w:style w:type="paragraph" w:customStyle="1" w:styleId="Note-Table1">
    <w:name w:val="Note - Table 1"/>
    <w:autoRedefine/>
    <w:qFormat/>
    <w:rsid w:val="00941343"/>
    <w:pPr>
      <w:snapToGrid w:val="0"/>
      <w:ind w:left="340" w:right="57" w:hanging="170"/>
    </w:pPr>
    <w:rPr>
      <w:rFonts w:ascii="Arial" w:hAnsi="Arial" w:cs="Arial"/>
      <w:sz w:val="18"/>
      <w:lang w:eastAsia="ar-SA"/>
    </w:rPr>
  </w:style>
  <w:style w:type="paragraph" w:customStyle="1" w:styleId="Note-Table2">
    <w:name w:val="Note - Table 2"/>
    <w:autoRedefine/>
    <w:qFormat/>
    <w:rsid w:val="00F6733E"/>
    <w:pPr>
      <w:ind w:left="170" w:right="57"/>
    </w:pPr>
    <w:rPr>
      <w:rFonts w:ascii="Arial" w:hAnsi="Arial" w:cs="Arial"/>
      <w:sz w:val="18"/>
      <w:szCs w:val="18"/>
      <w:lang w:eastAsia="ar-SA"/>
    </w:rPr>
  </w:style>
  <w:style w:type="paragraph" w:customStyle="1" w:styleId="Note-Table3">
    <w:name w:val="Note - Table 3"/>
    <w:autoRedefine/>
    <w:rsid w:val="00F6733E"/>
    <w:pPr>
      <w:ind w:left="170" w:right="57"/>
    </w:pPr>
    <w:rPr>
      <w:rFonts w:ascii="Arial" w:eastAsia="Arial" w:hAnsi="Arial" w:cs="Arial"/>
      <w:sz w:val="18"/>
      <w:szCs w:val="18"/>
      <w:lang w:eastAsia="ar-SA"/>
    </w:rPr>
  </w:style>
  <w:style w:type="paragraph" w:customStyle="1" w:styleId="Note-Table4Italic">
    <w:name w:val="Note - Table 4 Italic"/>
    <w:autoRedefine/>
    <w:rsid w:val="00F6733E"/>
    <w:pPr>
      <w:ind w:left="170" w:right="57"/>
    </w:pPr>
    <w:rPr>
      <w:rFonts w:ascii="Arial" w:hAnsi="Arial" w:cs="Arial"/>
      <w:i/>
      <w:sz w:val="18"/>
      <w:szCs w:val="18"/>
      <w:lang w:eastAsia="ar-SA"/>
    </w:rPr>
  </w:style>
  <w:style w:type="paragraph" w:customStyle="1" w:styleId="NotesTable-Notes">
    <w:name w:val="NotesTable - Notes"/>
    <w:autoRedefine/>
    <w:rsid w:val="00ED4C94"/>
    <w:pPr>
      <w:snapToGrid w:val="0"/>
      <w:jc w:val="center"/>
    </w:pPr>
    <w:rPr>
      <w:rFonts w:ascii="Arial" w:hAnsi="Arial" w:cs="Arial"/>
      <w:iCs/>
      <w:sz w:val="16"/>
      <w:szCs w:val="18"/>
      <w:lang w:val="en-GB" w:eastAsia="ar-SA"/>
    </w:rPr>
  </w:style>
  <w:style w:type="paragraph" w:customStyle="1" w:styleId="NotesTable-HeadPlain">
    <w:name w:val="NotesTable - HeadPlain"/>
    <w:basedOn w:val="NotesTable-Notes"/>
    <w:autoRedefine/>
    <w:rsid w:val="001420DF"/>
    <w:rPr>
      <w:sz w:val="18"/>
      <w:szCs w:val="16"/>
    </w:rPr>
  </w:style>
  <w:style w:type="paragraph" w:customStyle="1" w:styleId="NotesTable-HeadBold">
    <w:name w:val="NotesTable - HeadBold"/>
    <w:basedOn w:val="NotesTable-HeadPlain"/>
    <w:autoRedefine/>
    <w:rsid w:val="00CE710E"/>
    <w:rPr>
      <w:b/>
    </w:rPr>
  </w:style>
  <w:style w:type="paragraph" w:customStyle="1" w:styleId="NotesTable-CellBold">
    <w:name w:val="NotesTable - CellBold"/>
    <w:autoRedefine/>
    <w:rsid w:val="00E163AA"/>
    <w:pPr>
      <w:snapToGrid w:val="0"/>
      <w:jc w:val="center"/>
    </w:pPr>
    <w:rPr>
      <w:rFonts w:ascii="Arial" w:hAnsi="Arial" w:cs="Arial"/>
      <w:b/>
      <w:sz w:val="18"/>
      <w:lang w:eastAsia="ar-SA"/>
    </w:rPr>
  </w:style>
  <w:style w:type="paragraph" w:customStyle="1" w:styleId="NotesTable-CellPlain">
    <w:name w:val="NotesTable - CellPlain"/>
    <w:basedOn w:val="NotesTable-CellBold"/>
    <w:autoRedefine/>
    <w:rsid w:val="000D7546"/>
    <w:rPr>
      <w:b w:val="0"/>
      <w:szCs w:val="18"/>
    </w:rPr>
  </w:style>
  <w:style w:type="paragraph" w:customStyle="1" w:styleId="NotesTable-ItemPlain">
    <w:name w:val="NotesTable - ItemPlain"/>
    <w:autoRedefine/>
    <w:qFormat/>
    <w:rsid w:val="00162352"/>
    <w:pPr>
      <w:snapToGrid w:val="0"/>
      <w:ind w:left="170" w:right="57"/>
    </w:pPr>
    <w:rPr>
      <w:rFonts w:ascii="Arial" w:hAnsi="Arial" w:cs="Arial"/>
      <w:iCs/>
      <w:sz w:val="18"/>
      <w:lang w:val="en-GB" w:eastAsia="ar-SA"/>
    </w:rPr>
  </w:style>
  <w:style w:type="paragraph" w:customStyle="1" w:styleId="NotesTable-ItemBold">
    <w:name w:val="NotesTable - ItemBold"/>
    <w:basedOn w:val="NotesTable-ItemPlain"/>
    <w:rsid w:val="00FB6423"/>
    <w:rPr>
      <w:b/>
    </w:rPr>
  </w:style>
  <w:style w:type="paragraph" w:customStyle="1" w:styleId="NotesTable-ItemIndent">
    <w:name w:val="NotesTable - ItemIndent"/>
    <w:basedOn w:val="NotesTable-ItemPlain"/>
    <w:rsid w:val="00162352"/>
    <w:pPr>
      <w:ind w:left="340"/>
    </w:pPr>
  </w:style>
  <w:style w:type="paragraph" w:customStyle="1" w:styleId="StyleNotesTable-CellPlainUnderline">
    <w:name w:val="Style NotesTable - CellPlain + Underline"/>
    <w:basedOn w:val="NotesTable-CellPlain"/>
    <w:autoRedefine/>
    <w:rsid w:val="00DF3523"/>
  </w:style>
  <w:style w:type="paragraph" w:customStyle="1" w:styleId="StyleNotesTable-CellPlainUnderline1">
    <w:name w:val="Style NotesTable - CellPlain + Underline1"/>
    <w:basedOn w:val="NotesTable-CellPlain"/>
    <w:autoRedefine/>
    <w:rsid w:val="00DF3523"/>
  </w:style>
  <w:style w:type="paragraph" w:customStyle="1" w:styleId="StyleNotesTable-CellPlainBold">
    <w:name w:val="Style NotesTable - CellPlain + Bold"/>
    <w:basedOn w:val="NotesTable-CellPlain"/>
    <w:autoRedefine/>
    <w:rsid w:val="00DF3523"/>
    <w:rPr>
      <w:bCs/>
    </w:rPr>
  </w:style>
  <w:style w:type="paragraph" w:customStyle="1" w:styleId="NotesTable-AcquittalHeader">
    <w:name w:val="NotesTable - AcquittalHeader"/>
    <w:autoRedefine/>
    <w:qFormat/>
    <w:rsid w:val="00051ABF"/>
    <w:pPr>
      <w:snapToGrid w:val="0"/>
      <w:spacing w:line="100" w:lineRule="atLeast"/>
    </w:pPr>
    <w:rPr>
      <w:rFonts w:ascii="Arial" w:hAnsi="Arial" w:cs="Arial"/>
      <w:b/>
      <w:lang w:eastAsia="ar-SA"/>
    </w:rPr>
  </w:style>
  <w:style w:type="paragraph" w:customStyle="1" w:styleId="Contents-main">
    <w:name w:val="Contents - main"/>
    <w:autoRedefine/>
    <w:qFormat/>
    <w:rsid w:val="00DC3FF3"/>
    <w:pPr>
      <w:snapToGrid w:val="0"/>
      <w:spacing w:before="80" w:after="80"/>
      <w:ind w:left="57"/>
    </w:pPr>
    <w:rPr>
      <w:rFonts w:ascii="Arial" w:hAnsi="Arial" w:cs="Arial"/>
      <w:lang w:eastAsia="ar-SA"/>
    </w:rPr>
  </w:style>
  <w:style w:type="paragraph" w:customStyle="1" w:styleId="Contents-indent">
    <w:name w:val="Contents - indent"/>
    <w:basedOn w:val="Contents-main"/>
    <w:autoRedefine/>
    <w:qFormat/>
    <w:rsid w:val="00E46DBE"/>
    <w:pPr>
      <w:tabs>
        <w:tab w:val="left" w:pos="1200"/>
      </w:tabs>
      <w:spacing w:line="100" w:lineRule="atLeast"/>
      <w:ind w:left="600" w:hanging="283"/>
    </w:pPr>
    <w:rPr>
      <w:i/>
    </w:rPr>
  </w:style>
  <w:style w:type="paragraph" w:customStyle="1" w:styleId="StyleArial8ptCentered">
    <w:name w:val="Style Arial 8 pt Centered"/>
    <w:basedOn w:val="Normal"/>
    <w:rsid w:val="00F42999"/>
    <w:pPr>
      <w:jc w:val="center"/>
    </w:pPr>
    <w:rPr>
      <w:rFonts w:ascii="Arial" w:hAnsi="Arial"/>
      <w:kern w:val="1"/>
      <w:sz w:val="16"/>
    </w:rPr>
  </w:style>
  <w:style w:type="paragraph" w:customStyle="1" w:styleId="Statement-title">
    <w:name w:val="Statement - title"/>
    <w:autoRedefine/>
    <w:rsid w:val="00C62E18"/>
    <w:pPr>
      <w:tabs>
        <w:tab w:val="center" w:pos="7655"/>
      </w:tabs>
      <w:spacing w:line="0" w:lineRule="atLeast"/>
      <w:jc w:val="center"/>
    </w:pPr>
    <w:rPr>
      <w:rFonts w:ascii="Arial" w:hAnsi="Arial" w:cs="Arial"/>
      <w:b/>
      <w:sz w:val="28"/>
      <w:szCs w:val="28"/>
      <w:lang w:eastAsia="ar-SA"/>
    </w:rPr>
  </w:style>
  <w:style w:type="paragraph" w:customStyle="1" w:styleId="Statement-yeartitle">
    <w:name w:val="Statement - yeartitle"/>
    <w:autoRedefine/>
    <w:rsid w:val="00076299"/>
    <w:pPr>
      <w:jc w:val="center"/>
    </w:pPr>
    <w:rPr>
      <w:rFonts w:ascii="Arial" w:hAnsi="Arial" w:cs="Arial"/>
      <w:sz w:val="24"/>
      <w:szCs w:val="24"/>
      <w:lang w:eastAsia="ar-SA"/>
    </w:rPr>
  </w:style>
  <w:style w:type="paragraph" w:customStyle="1" w:styleId="Note-Contents">
    <w:name w:val="Note - Contents"/>
    <w:autoRedefine/>
    <w:rsid w:val="00BC26BB"/>
    <w:pPr>
      <w:snapToGrid w:val="0"/>
      <w:spacing w:after="60"/>
    </w:pPr>
    <w:rPr>
      <w:rFonts w:asciiTheme="majorHAnsi" w:hAnsiTheme="majorHAnsi" w:cs="Arial"/>
      <w:b/>
      <w:bCs/>
      <w:sz w:val="32"/>
      <w:szCs w:val="32"/>
      <w:lang w:eastAsia="ar-SA"/>
    </w:rPr>
  </w:style>
  <w:style w:type="paragraph" w:customStyle="1" w:styleId="Statement-ItemBold">
    <w:name w:val="Statement - ItemBold"/>
    <w:basedOn w:val="NotesTable-ItemBold"/>
    <w:rsid w:val="00911226"/>
    <w:pPr>
      <w:ind w:left="57"/>
    </w:pPr>
  </w:style>
  <w:style w:type="paragraph" w:customStyle="1" w:styleId="Title-title">
    <w:name w:val="Title - title"/>
    <w:autoRedefine/>
    <w:qFormat/>
    <w:rsid w:val="00826B4C"/>
    <w:pPr>
      <w:spacing w:before="1100" w:line="360" w:lineRule="auto"/>
      <w:ind w:left="284" w:right="284"/>
      <w:jc w:val="center"/>
    </w:pPr>
    <w:rPr>
      <w:rFonts w:ascii="Arial" w:hAnsi="Arial" w:cs="Arial"/>
      <w:sz w:val="40"/>
      <w:szCs w:val="40"/>
      <w:lang w:eastAsia="ar-SA"/>
    </w:rPr>
  </w:style>
  <w:style w:type="paragraph" w:customStyle="1" w:styleId="Title-date">
    <w:name w:val="Title - date"/>
    <w:qFormat/>
    <w:rsid w:val="00B0758A"/>
    <w:pPr>
      <w:jc w:val="center"/>
    </w:pPr>
    <w:rPr>
      <w:rFonts w:ascii="Arial" w:hAnsi="Arial" w:cs="Arial"/>
      <w:b/>
      <w:sz w:val="40"/>
      <w:szCs w:val="40"/>
      <w:lang w:eastAsia="ar-SA"/>
    </w:rPr>
  </w:style>
  <w:style w:type="paragraph" w:customStyle="1" w:styleId="Title-publishdate">
    <w:name w:val="Title - publish date"/>
    <w:autoRedefine/>
    <w:qFormat/>
    <w:rsid w:val="00B0758A"/>
    <w:rPr>
      <w:rFonts w:ascii="Arial" w:hAnsi="Arial"/>
      <w:kern w:val="1"/>
      <w:sz w:val="16"/>
      <w:lang w:eastAsia="ar-SA"/>
    </w:rPr>
  </w:style>
  <w:style w:type="paragraph" w:customStyle="1" w:styleId="Title-address">
    <w:name w:val="Title - address"/>
    <w:autoRedefine/>
    <w:qFormat/>
    <w:rsid w:val="00826B4C"/>
    <w:pPr>
      <w:spacing w:before="1100" w:line="360" w:lineRule="auto"/>
      <w:jc w:val="center"/>
    </w:pPr>
    <w:rPr>
      <w:rFonts w:ascii="Arial" w:hAnsi="Arial" w:cs="Arial"/>
      <w:color w:val="FFFFFF"/>
      <w:kern w:val="18"/>
      <w:sz w:val="17"/>
      <w:szCs w:val="18"/>
      <w:lang w:eastAsia="ar-SA"/>
    </w:rPr>
  </w:style>
  <w:style w:type="paragraph" w:customStyle="1" w:styleId="Disclaimer">
    <w:name w:val="Disclaimer"/>
    <w:autoRedefine/>
    <w:qFormat/>
    <w:rsid w:val="00B0758A"/>
    <w:pPr>
      <w:spacing w:before="120" w:after="120" w:line="276" w:lineRule="auto"/>
      <w:ind w:left="-113" w:right="-113"/>
      <w:jc w:val="center"/>
    </w:pPr>
    <w:rPr>
      <w:rFonts w:ascii="Arial" w:hAnsi="Arial" w:cs="Arial"/>
      <w:bCs/>
      <w:sz w:val="16"/>
      <w:szCs w:val="16"/>
      <w:lang w:eastAsia="ar-SA"/>
    </w:rPr>
  </w:style>
  <w:style w:type="paragraph" w:customStyle="1" w:styleId="Contents-Title">
    <w:name w:val="Contents - Title"/>
    <w:next w:val="Contents-Subtitle"/>
    <w:link w:val="Contents-TitleChar"/>
    <w:autoRedefine/>
    <w:qFormat/>
    <w:rsid w:val="00B61CEB"/>
    <w:pPr>
      <w:ind w:left="1134"/>
    </w:pPr>
    <w:rPr>
      <w:rFonts w:ascii="Arial" w:hAnsi="Arial" w:cs="Arial"/>
      <w:color w:val="0000FF"/>
      <w:sz w:val="36"/>
      <w:szCs w:val="36"/>
      <w:lang w:eastAsia="ar-SA"/>
    </w:rPr>
  </w:style>
  <w:style w:type="paragraph" w:customStyle="1" w:styleId="Contents-Subtitle">
    <w:name w:val="Contents - Subtitle"/>
    <w:link w:val="Contents-SubtitleChar"/>
    <w:autoRedefine/>
    <w:qFormat/>
    <w:rsid w:val="00B0758A"/>
    <w:pPr>
      <w:ind w:left="1134"/>
    </w:pPr>
    <w:rPr>
      <w:rFonts w:ascii="Arial" w:hAnsi="Arial" w:cs="Arial"/>
      <w:color w:val="0000FF"/>
      <w:sz w:val="36"/>
      <w:szCs w:val="36"/>
      <w:lang w:eastAsia="ar-SA"/>
    </w:rPr>
  </w:style>
  <w:style w:type="character" w:customStyle="1" w:styleId="contsHead2Char">
    <w:name w:val="conts Head 2 Char"/>
    <w:basedOn w:val="DefaultParagraphFont"/>
    <w:link w:val="contsHead2"/>
    <w:rsid w:val="00B0758A"/>
    <w:rPr>
      <w:sz w:val="36"/>
      <w:szCs w:val="24"/>
      <w:lang w:eastAsia="ar-SA"/>
    </w:rPr>
  </w:style>
  <w:style w:type="character" w:customStyle="1" w:styleId="Contents-TitleChar">
    <w:name w:val="Contents - Title Char"/>
    <w:basedOn w:val="contsHead2Char"/>
    <w:link w:val="Contents-Title"/>
    <w:rsid w:val="00B61CEB"/>
    <w:rPr>
      <w:rFonts w:ascii="Arial" w:hAnsi="Arial" w:cs="Arial"/>
      <w:color w:val="0000FF"/>
      <w:sz w:val="36"/>
      <w:szCs w:val="36"/>
      <w:lang w:eastAsia="ar-SA"/>
    </w:rPr>
  </w:style>
  <w:style w:type="paragraph" w:customStyle="1" w:styleId="Introduction-Subtitle">
    <w:name w:val="Introduction - Subtitle"/>
    <w:autoRedefine/>
    <w:qFormat/>
    <w:rsid w:val="00D3637D"/>
    <w:rPr>
      <w:rFonts w:ascii="Arial" w:hAnsi="Arial" w:cs="Arial"/>
      <w:b/>
      <w:bCs/>
      <w:color w:val="0000FF"/>
      <w:szCs w:val="24"/>
      <w:lang w:eastAsia="ar-SA"/>
    </w:rPr>
  </w:style>
  <w:style w:type="paragraph" w:customStyle="1" w:styleId="Contents-Page">
    <w:name w:val="Contents - Page"/>
    <w:autoRedefine/>
    <w:qFormat/>
    <w:rsid w:val="00255336"/>
    <w:pPr>
      <w:snapToGrid w:val="0"/>
      <w:spacing w:before="240" w:after="240"/>
      <w:jc w:val="center"/>
    </w:pPr>
    <w:rPr>
      <w:rFonts w:ascii="Arial" w:hAnsi="Arial" w:cs="Arial"/>
      <w:b/>
      <w:bCs/>
      <w:color w:val="0000FF"/>
      <w:sz w:val="28"/>
      <w:szCs w:val="24"/>
      <w:lang w:eastAsia="ar-SA"/>
    </w:rPr>
  </w:style>
  <w:style w:type="paragraph" w:customStyle="1" w:styleId="Contents-Listtitle">
    <w:name w:val="Contents - List title"/>
    <w:autoRedefine/>
    <w:rsid w:val="00255336"/>
    <w:pPr>
      <w:snapToGrid w:val="0"/>
      <w:spacing w:before="240" w:after="240"/>
    </w:pPr>
    <w:rPr>
      <w:rFonts w:ascii="Arial" w:hAnsi="Arial" w:cs="Arial"/>
      <w:bCs/>
      <w:sz w:val="24"/>
      <w:lang w:val="en-GB" w:eastAsia="ar-SA"/>
    </w:rPr>
  </w:style>
  <w:style w:type="paragraph" w:customStyle="1" w:styleId="Introduction-Title">
    <w:name w:val="Introduction - Title"/>
    <w:autoRedefine/>
    <w:rsid w:val="00255336"/>
    <w:pPr>
      <w:spacing w:after="240"/>
      <w:ind w:right="283"/>
    </w:pPr>
    <w:rPr>
      <w:rFonts w:ascii="Arial" w:hAnsi="Arial" w:cs="Arial"/>
      <w:sz w:val="24"/>
      <w:lang w:val="en-GB" w:eastAsia="ar-SA"/>
    </w:rPr>
  </w:style>
  <w:style w:type="paragraph" w:customStyle="1" w:styleId="Introduction-Text">
    <w:name w:val="Introduction - Text"/>
    <w:autoRedefine/>
    <w:qFormat/>
    <w:rsid w:val="00AB24D3"/>
    <w:pPr>
      <w:spacing w:before="120" w:line="276" w:lineRule="auto"/>
      <w:ind w:right="284"/>
      <w:contextualSpacing/>
    </w:pPr>
    <w:rPr>
      <w:rFonts w:cstheme="minorHAnsi"/>
      <w:lang w:eastAsia="ar-SA"/>
    </w:rPr>
  </w:style>
  <w:style w:type="paragraph" w:customStyle="1" w:styleId="Introduction-Subtitle2">
    <w:name w:val="Introduction - Subtitle 2"/>
    <w:autoRedefine/>
    <w:qFormat/>
    <w:rsid w:val="00D3637D"/>
    <w:pPr>
      <w:spacing w:before="20"/>
      <w:ind w:right="283"/>
    </w:pPr>
    <w:rPr>
      <w:rFonts w:ascii="Arial" w:hAnsi="Arial" w:cs="Arial"/>
      <w:b/>
      <w:i/>
      <w:color w:val="0000FF"/>
      <w:lang w:eastAsia="ar-SA"/>
    </w:rPr>
  </w:style>
  <w:style w:type="paragraph" w:customStyle="1" w:styleId="Director-Title">
    <w:name w:val="Director - Title"/>
    <w:autoRedefine/>
    <w:qFormat/>
    <w:rsid w:val="001A5292"/>
    <w:rPr>
      <w:rFonts w:asciiTheme="majorHAnsi" w:hAnsiTheme="majorHAnsi" w:cs="Arial"/>
      <w:b/>
      <w:sz w:val="32"/>
      <w:szCs w:val="32"/>
      <w:lang w:eastAsia="ar-SA"/>
    </w:rPr>
  </w:style>
  <w:style w:type="paragraph" w:customStyle="1" w:styleId="Director-Text">
    <w:name w:val="Director - Text"/>
    <w:basedOn w:val="Note-Text"/>
    <w:next w:val="Default"/>
    <w:autoRedefine/>
    <w:qFormat/>
    <w:rsid w:val="00176C8B"/>
    <w:pPr>
      <w:ind w:left="0" w:right="113"/>
    </w:pPr>
  </w:style>
  <w:style w:type="paragraph" w:customStyle="1" w:styleId="Director-Textitalic">
    <w:name w:val="Director - Text italic"/>
    <w:autoRedefine/>
    <w:qFormat/>
    <w:rsid w:val="00176C8B"/>
    <w:pPr>
      <w:ind w:right="113"/>
    </w:pPr>
    <w:rPr>
      <w:rFonts w:ascii="Arial" w:hAnsi="Arial" w:cs="Arial"/>
      <w:i/>
      <w:sz w:val="18"/>
      <w:szCs w:val="18"/>
      <w:lang w:eastAsia="ar-SA"/>
    </w:rPr>
  </w:style>
  <w:style w:type="paragraph" w:customStyle="1" w:styleId="Director-Textbold">
    <w:name w:val="Director - Text bold"/>
    <w:autoRedefine/>
    <w:qFormat/>
    <w:rsid w:val="00D96835"/>
    <w:rPr>
      <w:rFonts w:ascii="Arial" w:hAnsi="Arial" w:cs="Arial"/>
      <w:b/>
      <w:sz w:val="18"/>
      <w:szCs w:val="18"/>
      <w:lang w:eastAsia="ar-SA"/>
    </w:rPr>
  </w:style>
  <w:style w:type="paragraph" w:customStyle="1" w:styleId="Title-report">
    <w:name w:val="Title - report"/>
    <w:autoRedefine/>
    <w:rsid w:val="00B61CEB"/>
    <w:pPr>
      <w:snapToGrid w:val="0"/>
    </w:pPr>
    <w:rPr>
      <w:rFonts w:ascii="Arial" w:hAnsi="Arial" w:cs="Arial"/>
      <w:i/>
      <w:sz w:val="40"/>
      <w:lang w:eastAsia="ar-SA"/>
    </w:rPr>
  </w:style>
  <w:style w:type="paragraph" w:customStyle="1" w:styleId="Title-report2">
    <w:name w:val="Title - report 2"/>
    <w:autoRedefine/>
    <w:rsid w:val="00B61CEB"/>
    <w:pPr>
      <w:snapToGrid w:val="0"/>
    </w:pPr>
    <w:rPr>
      <w:rFonts w:ascii="Arial" w:hAnsi="Arial" w:cs="Arial"/>
      <w:sz w:val="40"/>
      <w:lang w:eastAsia="ar-SA"/>
    </w:rPr>
  </w:style>
  <w:style w:type="paragraph" w:customStyle="1" w:styleId="Contents-Subtitle2">
    <w:name w:val="Contents - Subtitle 2"/>
    <w:basedOn w:val="Contents-Subtitle"/>
    <w:link w:val="Contents-Subtitle2Char"/>
    <w:autoRedefine/>
    <w:qFormat/>
    <w:rsid w:val="00AE3990"/>
    <w:pPr>
      <w:ind w:left="0"/>
    </w:pPr>
    <w:rPr>
      <w:rFonts w:asciiTheme="majorHAnsi" w:hAnsiTheme="majorHAnsi"/>
      <w:b/>
      <w:color w:val="auto"/>
      <w:sz w:val="26"/>
      <w:szCs w:val="26"/>
    </w:rPr>
  </w:style>
  <w:style w:type="character" w:customStyle="1" w:styleId="Contents-SubtitleChar">
    <w:name w:val="Contents - Subtitle Char"/>
    <w:basedOn w:val="DefaultParagraphFont"/>
    <w:link w:val="Contents-Subtitle"/>
    <w:rsid w:val="00B61CEB"/>
    <w:rPr>
      <w:rFonts w:ascii="Arial" w:hAnsi="Arial" w:cs="Arial"/>
      <w:color w:val="0000FF"/>
      <w:sz w:val="36"/>
      <w:szCs w:val="36"/>
      <w:lang w:eastAsia="ar-SA"/>
    </w:rPr>
  </w:style>
  <w:style w:type="character" w:customStyle="1" w:styleId="Contents-Subtitle2Char">
    <w:name w:val="Contents - Subtitle 2 Char"/>
    <w:basedOn w:val="Contents-SubtitleChar"/>
    <w:link w:val="Contents-Subtitle2"/>
    <w:rsid w:val="00AE3990"/>
    <w:rPr>
      <w:rFonts w:asciiTheme="majorHAnsi" w:hAnsiTheme="majorHAnsi" w:cs="Arial"/>
      <w:b/>
      <w:color w:val="0000FF"/>
      <w:sz w:val="26"/>
      <w:szCs w:val="26"/>
      <w:lang w:eastAsia="ar-SA"/>
    </w:rPr>
  </w:style>
  <w:style w:type="paragraph" w:customStyle="1" w:styleId="Appendixref">
    <w:name w:val="Appendix ref"/>
    <w:autoRedefine/>
    <w:qFormat/>
    <w:rsid w:val="004B402B"/>
    <w:rPr>
      <w:rFonts w:ascii="Arial" w:hAnsi="Arial" w:cs="Arial"/>
      <w:b/>
      <w:iCs/>
      <w:color w:val="FF0000"/>
      <w:lang w:eastAsia="ar-SA"/>
    </w:rPr>
  </w:style>
  <w:style w:type="paragraph" w:styleId="TOCHeading">
    <w:name w:val="TOC Heading"/>
    <w:basedOn w:val="Heading1"/>
    <w:next w:val="Normal"/>
    <w:uiPriority w:val="39"/>
    <w:semiHidden/>
    <w:unhideWhenUsed/>
    <w:qFormat/>
    <w:rsid w:val="004F2C55"/>
    <w:pPr>
      <w:outlineLvl w:val="9"/>
    </w:pPr>
    <w:rPr>
      <w:rFonts w:cstheme="majorBidi"/>
    </w:rPr>
  </w:style>
  <w:style w:type="paragraph" w:styleId="TOC3">
    <w:name w:val="toc 3"/>
    <w:basedOn w:val="Normal"/>
    <w:next w:val="Normal"/>
    <w:autoRedefine/>
    <w:uiPriority w:val="39"/>
    <w:qFormat/>
    <w:rsid w:val="00236F7B"/>
    <w:pPr>
      <w:spacing w:after="0"/>
      <w:ind w:left="480"/>
    </w:pPr>
    <w:rPr>
      <w:rFonts w:asciiTheme="majorHAnsi" w:hAnsiTheme="majorHAnsi" w:cstheme="minorHAnsi"/>
      <w:b/>
      <w:i/>
      <w:sz w:val="32"/>
      <w:szCs w:val="32"/>
    </w:rPr>
  </w:style>
  <w:style w:type="paragraph" w:styleId="TOC1">
    <w:name w:val="toc 1"/>
    <w:basedOn w:val="Normal"/>
    <w:next w:val="Normal"/>
    <w:autoRedefine/>
    <w:uiPriority w:val="39"/>
    <w:unhideWhenUsed/>
    <w:rsid w:val="00E21724"/>
    <w:pPr>
      <w:tabs>
        <w:tab w:val="right" w:pos="8647"/>
      </w:tabs>
      <w:spacing w:before="240"/>
      <w:contextualSpacing/>
    </w:pPr>
    <w:rPr>
      <w:rFonts w:cstheme="minorHAnsi"/>
      <w:b/>
      <w:bCs/>
      <w:sz w:val="20"/>
      <w:szCs w:val="20"/>
    </w:rPr>
  </w:style>
  <w:style w:type="character" w:customStyle="1" w:styleId="Heading1Char">
    <w:name w:val="Heading 1 Char"/>
    <w:basedOn w:val="DefaultParagraphFont"/>
    <w:link w:val="Heading1"/>
    <w:uiPriority w:val="9"/>
    <w:rsid w:val="00AB24D3"/>
    <w:rPr>
      <w:rFonts w:asciiTheme="majorHAnsi" w:eastAsiaTheme="majorEastAsia" w:hAnsiTheme="majorHAnsi"/>
      <w:b/>
      <w:bCs/>
      <w:kern w:val="32"/>
      <w:sz w:val="36"/>
      <w:szCs w:val="32"/>
    </w:rPr>
  </w:style>
  <w:style w:type="character" w:customStyle="1" w:styleId="Heading2Char">
    <w:name w:val="Heading 2 Char"/>
    <w:basedOn w:val="DefaultParagraphFont"/>
    <w:link w:val="Heading2"/>
    <w:uiPriority w:val="9"/>
    <w:rsid w:val="00C644CD"/>
    <w:rPr>
      <w:rFonts w:asciiTheme="majorHAnsi" w:eastAsiaTheme="majorEastAsia" w:hAnsiTheme="majorHAnsi"/>
      <w:b/>
      <w:bCs/>
      <w:i/>
      <w:iCs/>
      <w:sz w:val="32"/>
      <w:szCs w:val="28"/>
    </w:rPr>
  </w:style>
  <w:style w:type="character" w:customStyle="1" w:styleId="Heading3Char">
    <w:name w:val="Heading 3 Char"/>
    <w:basedOn w:val="DefaultParagraphFont"/>
    <w:link w:val="Heading3"/>
    <w:uiPriority w:val="9"/>
    <w:rsid w:val="00C644CD"/>
    <w:rPr>
      <w:rFonts w:asciiTheme="majorHAnsi" w:eastAsiaTheme="majorEastAsia" w:hAnsiTheme="majorHAnsi"/>
      <w:b/>
      <w:bCs/>
      <w:sz w:val="28"/>
      <w:szCs w:val="26"/>
    </w:rPr>
  </w:style>
  <w:style w:type="character" w:customStyle="1" w:styleId="Heading4Char">
    <w:name w:val="Heading 4 Char"/>
    <w:basedOn w:val="DefaultParagraphFont"/>
    <w:link w:val="Heading4"/>
    <w:uiPriority w:val="9"/>
    <w:rsid w:val="00561138"/>
    <w:rPr>
      <w:rFonts w:asciiTheme="majorHAnsi" w:hAnsiTheme="majorHAnsi"/>
      <w:b/>
      <w:bCs/>
      <w:color w:val="000000"/>
      <w:szCs w:val="28"/>
      <w14:textFill>
        <w14:solidFill>
          <w14:srgbClr w14:val="000000">
            <w14:lumMod w14:val="75000"/>
          </w14:srgbClr>
        </w14:solidFill>
      </w14:textFill>
    </w:rPr>
  </w:style>
  <w:style w:type="character" w:customStyle="1" w:styleId="Heading5Char">
    <w:name w:val="Heading 5 Char"/>
    <w:basedOn w:val="DefaultParagraphFont"/>
    <w:link w:val="Heading5"/>
    <w:uiPriority w:val="9"/>
    <w:rsid w:val="00561138"/>
    <w:rPr>
      <w:b/>
      <w:bCs/>
      <w:i/>
      <w:iCs/>
      <w:szCs w:val="26"/>
    </w:rPr>
  </w:style>
  <w:style w:type="character" w:customStyle="1" w:styleId="Heading6Char">
    <w:name w:val="Heading 6 Char"/>
    <w:basedOn w:val="DefaultParagraphFont"/>
    <w:link w:val="Heading6"/>
    <w:uiPriority w:val="9"/>
    <w:rsid w:val="00655761"/>
    <w:rPr>
      <w:b/>
      <w:bCs/>
      <w:i/>
      <w:color w:val="2D3E7B" w:themeColor="text2" w:themeShade="BF"/>
    </w:rPr>
  </w:style>
  <w:style w:type="character" w:customStyle="1" w:styleId="Heading7Char">
    <w:name w:val="Heading 7 Char"/>
    <w:basedOn w:val="DefaultParagraphFont"/>
    <w:link w:val="Heading7"/>
    <w:uiPriority w:val="9"/>
    <w:rsid w:val="004F2C55"/>
    <w:rPr>
      <w:sz w:val="24"/>
      <w:szCs w:val="24"/>
    </w:rPr>
  </w:style>
  <w:style w:type="character" w:customStyle="1" w:styleId="Heading8Char">
    <w:name w:val="Heading 8 Char"/>
    <w:basedOn w:val="DefaultParagraphFont"/>
    <w:link w:val="Heading8"/>
    <w:uiPriority w:val="9"/>
    <w:rsid w:val="004F2C55"/>
    <w:rPr>
      <w:i/>
      <w:iCs/>
      <w:sz w:val="24"/>
      <w:szCs w:val="24"/>
    </w:rPr>
  </w:style>
  <w:style w:type="character" w:customStyle="1" w:styleId="Heading9Char">
    <w:name w:val="Heading 9 Char"/>
    <w:basedOn w:val="DefaultParagraphFont"/>
    <w:link w:val="Heading9"/>
    <w:uiPriority w:val="9"/>
    <w:rsid w:val="004F2C55"/>
    <w:rPr>
      <w:rFonts w:asciiTheme="majorHAnsi" w:eastAsiaTheme="majorEastAsia" w:hAnsiTheme="majorHAnsi"/>
    </w:rPr>
  </w:style>
  <w:style w:type="character" w:customStyle="1" w:styleId="TitleChar">
    <w:name w:val="Title Char"/>
    <w:basedOn w:val="DefaultParagraphFont"/>
    <w:link w:val="Title"/>
    <w:uiPriority w:val="10"/>
    <w:rsid w:val="004F2C55"/>
    <w:rPr>
      <w:rFonts w:asciiTheme="majorHAnsi" w:eastAsiaTheme="majorEastAsia" w:hAnsiTheme="majorHAnsi"/>
      <w:b/>
      <w:bCs/>
      <w:kern w:val="28"/>
      <w:sz w:val="32"/>
      <w:szCs w:val="32"/>
    </w:rPr>
  </w:style>
  <w:style w:type="character" w:customStyle="1" w:styleId="SubtitleChar">
    <w:name w:val="Subtitle Char"/>
    <w:basedOn w:val="DefaultParagraphFont"/>
    <w:link w:val="Subtitle"/>
    <w:uiPriority w:val="11"/>
    <w:rsid w:val="004340AB"/>
    <w:rPr>
      <w:rFonts w:asciiTheme="majorHAnsi" w:eastAsiaTheme="majorEastAsia" w:hAnsiTheme="majorHAnsi" w:cs="DejaVu Sans"/>
      <w:b/>
      <w:color w:val="3C54A5" w:themeColor="accent1"/>
      <w:sz w:val="32"/>
      <w:szCs w:val="32"/>
    </w:rPr>
  </w:style>
  <w:style w:type="character" w:styleId="Strong">
    <w:name w:val="Strong"/>
    <w:basedOn w:val="DefaultParagraphFont"/>
    <w:uiPriority w:val="22"/>
    <w:qFormat/>
    <w:rsid w:val="004F2C55"/>
    <w:rPr>
      <w:b/>
      <w:bCs/>
    </w:rPr>
  </w:style>
  <w:style w:type="character" w:styleId="Emphasis">
    <w:name w:val="Emphasis"/>
    <w:basedOn w:val="DefaultParagraphFont"/>
    <w:uiPriority w:val="20"/>
    <w:qFormat/>
    <w:rsid w:val="004F2C55"/>
    <w:rPr>
      <w:rFonts w:asciiTheme="minorHAnsi" w:hAnsiTheme="minorHAnsi"/>
      <w:b/>
      <w:i/>
      <w:iCs/>
    </w:rPr>
  </w:style>
  <w:style w:type="paragraph" w:styleId="NoSpacing">
    <w:name w:val="No Spacing"/>
    <w:basedOn w:val="Normal"/>
    <w:uiPriority w:val="1"/>
    <w:qFormat/>
    <w:rsid w:val="004F2C55"/>
    <w:rPr>
      <w:szCs w:val="32"/>
    </w:rPr>
  </w:style>
  <w:style w:type="paragraph" w:styleId="Quote">
    <w:name w:val="Quote"/>
    <w:basedOn w:val="Normal"/>
    <w:next w:val="Normal"/>
    <w:link w:val="QuoteChar"/>
    <w:uiPriority w:val="29"/>
    <w:qFormat/>
    <w:rsid w:val="004F2C55"/>
    <w:rPr>
      <w:i/>
    </w:rPr>
  </w:style>
  <w:style w:type="character" w:customStyle="1" w:styleId="QuoteChar">
    <w:name w:val="Quote Char"/>
    <w:basedOn w:val="DefaultParagraphFont"/>
    <w:link w:val="Quote"/>
    <w:uiPriority w:val="29"/>
    <w:rsid w:val="004F2C55"/>
    <w:rPr>
      <w:i/>
      <w:sz w:val="24"/>
      <w:szCs w:val="24"/>
    </w:rPr>
  </w:style>
  <w:style w:type="paragraph" w:styleId="IntenseQuote">
    <w:name w:val="Intense Quote"/>
    <w:basedOn w:val="Normal"/>
    <w:next w:val="Normal"/>
    <w:link w:val="IntenseQuoteChar"/>
    <w:uiPriority w:val="30"/>
    <w:qFormat/>
    <w:rsid w:val="004F2C55"/>
    <w:pPr>
      <w:ind w:left="720" w:right="720"/>
    </w:pPr>
    <w:rPr>
      <w:b/>
      <w:i/>
      <w:szCs w:val="22"/>
    </w:rPr>
  </w:style>
  <w:style w:type="character" w:customStyle="1" w:styleId="IntenseQuoteChar">
    <w:name w:val="Intense Quote Char"/>
    <w:basedOn w:val="DefaultParagraphFont"/>
    <w:link w:val="IntenseQuote"/>
    <w:uiPriority w:val="30"/>
    <w:rsid w:val="004F2C55"/>
    <w:rPr>
      <w:b/>
      <w:i/>
      <w:sz w:val="24"/>
    </w:rPr>
  </w:style>
  <w:style w:type="character" w:styleId="SubtleEmphasis">
    <w:name w:val="Subtle Emphasis"/>
    <w:uiPriority w:val="19"/>
    <w:qFormat/>
    <w:rsid w:val="004F2C55"/>
    <w:rPr>
      <w:i/>
      <w:color w:val="5A5A5A" w:themeColor="text1" w:themeTint="A5"/>
    </w:rPr>
  </w:style>
  <w:style w:type="character" w:styleId="IntenseEmphasis">
    <w:name w:val="Intense Emphasis"/>
    <w:basedOn w:val="DefaultParagraphFont"/>
    <w:uiPriority w:val="21"/>
    <w:qFormat/>
    <w:rsid w:val="004F2C55"/>
    <w:rPr>
      <w:b/>
      <w:i/>
      <w:sz w:val="24"/>
      <w:szCs w:val="24"/>
      <w:u w:val="single"/>
    </w:rPr>
  </w:style>
  <w:style w:type="character" w:styleId="SubtleReference">
    <w:name w:val="Subtle Reference"/>
    <w:basedOn w:val="DefaultParagraphFont"/>
    <w:uiPriority w:val="31"/>
    <w:qFormat/>
    <w:rsid w:val="004F2C55"/>
    <w:rPr>
      <w:sz w:val="24"/>
      <w:szCs w:val="24"/>
      <w:u w:val="single"/>
    </w:rPr>
  </w:style>
  <w:style w:type="character" w:styleId="IntenseReference">
    <w:name w:val="Intense Reference"/>
    <w:basedOn w:val="DefaultParagraphFont"/>
    <w:uiPriority w:val="32"/>
    <w:qFormat/>
    <w:rsid w:val="004F2C55"/>
    <w:rPr>
      <w:b/>
      <w:sz w:val="24"/>
      <w:u w:val="single"/>
    </w:rPr>
  </w:style>
  <w:style w:type="character" w:styleId="BookTitle">
    <w:name w:val="Book Title"/>
    <w:basedOn w:val="DefaultParagraphFont"/>
    <w:uiPriority w:val="33"/>
    <w:qFormat/>
    <w:rsid w:val="004F2C55"/>
    <w:rPr>
      <w:rFonts w:asciiTheme="majorHAnsi" w:eastAsiaTheme="majorEastAsia" w:hAnsiTheme="majorHAnsi"/>
      <w:b/>
      <w:i/>
      <w:sz w:val="24"/>
      <w:szCs w:val="24"/>
    </w:rPr>
  </w:style>
  <w:style w:type="character" w:customStyle="1" w:styleId="CommentTextChar">
    <w:name w:val="Comment Text Char"/>
    <w:basedOn w:val="DefaultParagraphFont"/>
    <w:link w:val="CommentText"/>
    <w:uiPriority w:val="99"/>
    <w:rsid w:val="00A84C17"/>
    <w:rPr>
      <w:sz w:val="20"/>
      <w:szCs w:val="24"/>
    </w:rPr>
  </w:style>
  <w:style w:type="paragraph" w:customStyle="1" w:styleId="Note-List2">
    <w:name w:val="Note - List 2"/>
    <w:basedOn w:val="Note-List1"/>
    <w:qFormat/>
    <w:rsid w:val="00E94EBE"/>
    <w:pPr>
      <w:ind w:left="680"/>
    </w:pPr>
  </w:style>
  <w:style w:type="table" w:styleId="MediumGrid3-Accent5">
    <w:name w:val="Medium Grid 3 Accent 5"/>
    <w:basedOn w:val="TableNormal"/>
    <w:uiPriority w:val="69"/>
    <w:rsid w:val="005B37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Shading1-Accent5">
    <w:name w:val="Medium Shading 1 Accent 5"/>
    <w:basedOn w:val="TableNormal"/>
    <w:uiPriority w:val="63"/>
    <w:rsid w:val="008A4686"/>
    <w:tblPr>
      <w:tblStyleRowBandSize w:val="1"/>
      <w:tblStyleColBandSize w:val="1"/>
      <w:tblInd w:w="0" w:type="dxa"/>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TableGrid">
    <w:name w:val="Table Grid"/>
    <w:basedOn w:val="TableNormal"/>
    <w:rsid w:val="0047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451282"/>
    <w:pPr>
      <w:spacing w:after="0"/>
      <w:ind w:left="720"/>
    </w:pPr>
    <w:rPr>
      <w:rFonts w:cstheme="minorHAnsi"/>
      <w:sz w:val="20"/>
      <w:szCs w:val="20"/>
    </w:rPr>
  </w:style>
  <w:style w:type="paragraph" w:styleId="TOC5">
    <w:name w:val="toc 5"/>
    <w:basedOn w:val="Normal"/>
    <w:next w:val="Normal"/>
    <w:autoRedefine/>
    <w:uiPriority w:val="39"/>
    <w:unhideWhenUsed/>
    <w:rsid w:val="00451282"/>
    <w:pPr>
      <w:spacing w:after="0"/>
      <w:ind w:left="960"/>
    </w:pPr>
    <w:rPr>
      <w:rFonts w:cstheme="minorHAnsi"/>
      <w:sz w:val="20"/>
      <w:szCs w:val="20"/>
    </w:rPr>
  </w:style>
  <w:style w:type="paragraph" w:styleId="TOC6">
    <w:name w:val="toc 6"/>
    <w:basedOn w:val="Normal"/>
    <w:next w:val="Normal"/>
    <w:autoRedefine/>
    <w:uiPriority w:val="39"/>
    <w:unhideWhenUsed/>
    <w:rsid w:val="00451282"/>
    <w:pPr>
      <w:spacing w:after="0"/>
      <w:ind w:left="1200"/>
    </w:pPr>
    <w:rPr>
      <w:rFonts w:cstheme="minorHAnsi"/>
      <w:sz w:val="20"/>
      <w:szCs w:val="20"/>
    </w:rPr>
  </w:style>
  <w:style w:type="paragraph" w:styleId="TOC7">
    <w:name w:val="toc 7"/>
    <w:basedOn w:val="Normal"/>
    <w:next w:val="Normal"/>
    <w:autoRedefine/>
    <w:uiPriority w:val="39"/>
    <w:unhideWhenUsed/>
    <w:rsid w:val="00451282"/>
    <w:pPr>
      <w:spacing w:after="0"/>
      <w:ind w:left="1440"/>
    </w:pPr>
    <w:rPr>
      <w:rFonts w:cstheme="minorHAnsi"/>
      <w:sz w:val="20"/>
      <w:szCs w:val="20"/>
    </w:rPr>
  </w:style>
  <w:style w:type="paragraph" w:styleId="TOC8">
    <w:name w:val="toc 8"/>
    <w:basedOn w:val="Normal"/>
    <w:next w:val="Normal"/>
    <w:autoRedefine/>
    <w:uiPriority w:val="39"/>
    <w:unhideWhenUsed/>
    <w:rsid w:val="00451282"/>
    <w:pPr>
      <w:spacing w:after="0"/>
      <w:ind w:left="1680"/>
    </w:pPr>
    <w:rPr>
      <w:rFonts w:cstheme="minorHAnsi"/>
      <w:sz w:val="20"/>
      <w:szCs w:val="20"/>
    </w:rPr>
  </w:style>
  <w:style w:type="paragraph" w:styleId="TOC9">
    <w:name w:val="toc 9"/>
    <w:basedOn w:val="Normal"/>
    <w:next w:val="Normal"/>
    <w:autoRedefine/>
    <w:uiPriority w:val="39"/>
    <w:unhideWhenUsed/>
    <w:rsid w:val="00451282"/>
    <w:pPr>
      <w:spacing w:after="0"/>
      <w:ind w:left="1920"/>
    </w:pPr>
    <w:rPr>
      <w:rFonts w:cstheme="minorHAnsi"/>
      <w:sz w:val="20"/>
      <w:szCs w:val="20"/>
    </w:rPr>
  </w:style>
  <w:style w:type="character" w:styleId="PlaceholderText">
    <w:name w:val="Placeholder Text"/>
    <w:basedOn w:val="DefaultParagraphFont"/>
    <w:uiPriority w:val="99"/>
    <w:semiHidden/>
    <w:rsid w:val="00B97683"/>
    <w:rPr>
      <w:color w:val="808080"/>
    </w:rPr>
  </w:style>
  <w:style w:type="paragraph" w:customStyle="1" w:styleId="StyleHeading6Text2">
    <w:name w:val="Style Heading 6 + Text 2"/>
    <w:basedOn w:val="Heading6"/>
    <w:rsid w:val="001A5D4A"/>
  </w:style>
  <w:style w:type="paragraph" w:customStyle="1" w:styleId="NotHeading1">
    <w:name w:val="Not Heading 1"/>
    <w:basedOn w:val="Normal"/>
    <w:link w:val="NotHeading1Char"/>
    <w:qFormat/>
    <w:rsid w:val="00D61C84"/>
    <w:rPr>
      <w:rFonts w:asciiTheme="majorHAnsi" w:hAnsiTheme="majorHAnsi"/>
      <w:b/>
      <w:sz w:val="32"/>
      <w:szCs w:val="32"/>
    </w:rPr>
  </w:style>
  <w:style w:type="character" w:customStyle="1" w:styleId="NotHeading1Char">
    <w:name w:val="Not Heading 1 Char"/>
    <w:basedOn w:val="DefaultParagraphFont"/>
    <w:link w:val="NotHeading1"/>
    <w:rsid w:val="00D61C84"/>
    <w:rPr>
      <w:rFonts w:asciiTheme="majorHAnsi" w:hAnsiTheme="majorHAnsi"/>
      <w:b/>
      <w:sz w:val="32"/>
      <w:szCs w:val="32"/>
    </w:rPr>
  </w:style>
  <w:style w:type="paragraph" w:customStyle="1" w:styleId="StyleHeading2Before3pt">
    <w:name w:val="Style Heading 2 + Before:  3 pt"/>
    <w:basedOn w:val="Heading2"/>
    <w:rsid w:val="00C644CD"/>
    <w:rPr>
      <w:rFonts w:eastAsia="Times New Roman"/>
      <w:szCs w:val="20"/>
    </w:rPr>
  </w:style>
  <w:style w:type="table" w:styleId="ColorfulGrid-Accent6">
    <w:name w:val="Colorful Grid Accent 6"/>
    <w:basedOn w:val="TableNormal"/>
    <w:uiPriority w:val="73"/>
    <w:rsid w:val="004914A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Table3Deffects3">
    <w:name w:val="Table 3D effects 3"/>
    <w:basedOn w:val="TableNormal"/>
    <w:rsid w:val="004914AC"/>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Heading5Text2">
    <w:name w:val="Style Heading 5 + Text 2"/>
    <w:basedOn w:val="Heading5"/>
    <w:rsid w:val="004F3ED9"/>
    <w:pPr>
      <w:spacing w:before="6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3609">
      <w:bodyDiv w:val="1"/>
      <w:marLeft w:val="0"/>
      <w:marRight w:val="0"/>
      <w:marTop w:val="0"/>
      <w:marBottom w:val="0"/>
      <w:divBdr>
        <w:top w:val="none" w:sz="0" w:space="0" w:color="auto"/>
        <w:left w:val="none" w:sz="0" w:space="0" w:color="auto"/>
        <w:bottom w:val="none" w:sz="0" w:space="0" w:color="auto"/>
        <w:right w:val="none" w:sz="0" w:space="0" w:color="auto"/>
      </w:divBdr>
    </w:div>
    <w:div w:id="675613329">
      <w:bodyDiv w:val="1"/>
      <w:marLeft w:val="0"/>
      <w:marRight w:val="0"/>
      <w:marTop w:val="0"/>
      <w:marBottom w:val="0"/>
      <w:divBdr>
        <w:top w:val="none" w:sz="0" w:space="0" w:color="auto"/>
        <w:left w:val="none" w:sz="0" w:space="0" w:color="auto"/>
        <w:bottom w:val="none" w:sz="0" w:space="0" w:color="auto"/>
        <w:right w:val="none" w:sz="0" w:space="0" w:color="auto"/>
      </w:divBdr>
    </w:div>
    <w:div w:id="713239859">
      <w:bodyDiv w:val="1"/>
      <w:marLeft w:val="0"/>
      <w:marRight w:val="0"/>
      <w:marTop w:val="0"/>
      <w:marBottom w:val="0"/>
      <w:divBdr>
        <w:top w:val="none" w:sz="0" w:space="0" w:color="auto"/>
        <w:left w:val="none" w:sz="0" w:space="0" w:color="auto"/>
        <w:bottom w:val="none" w:sz="0" w:space="0" w:color="auto"/>
        <w:right w:val="none" w:sz="0" w:space="0" w:color="auto"/>
      </w:divBdr>
    </w:div>
    <w:div w:id="2113895656">
      <w:bodyDiv w:val="1"/>
      <w:marLeft w:val="0"/>
      <w:marRight w:val="0"/>
      <w:marTop w:val="0"/>
      <w:marBottom w:val="0"/>
      <w:divBdr>
        <w:top w:val="none" w:sz="0" w:space="0" w:color="auto"/>
        <w:left w:val="none" w:sz="0" w:space="0" w:color="auto"/>
        <w:bottom w:val="none" w:sz="0" w:space="0" w:color="auto"/>
        <w:right w:val="none" w:sz="0" w:space="0" w:color="auto"/>
      </w:divBdr>
    </w:div>
    <w:div w:id="21425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mailto:ppfinance@education.gov.au"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yperlink" Target="http://www.education.gov.au" TargetMode="External"/><Relationship Id="rId23" Type="http://schemas.openxmlformats.org/officeDocument/2006/relationships/hyperlink" Target="mailto:ppfinance@education.gov.au" TargetMode="Externa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ppfinance@education.gov.au"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11.xml"/><Relationship Id="rId48" Type="http://schemas.openxmlformats.org/officeDocument/2006/relationships/footer" Target="footer13.xml"/><Relationship Id="rId8" Type="http://schemas.microsoft.com/office/2007/relationships/stylesWithEffects" Target="stylesWithEffect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09EBDE449485B8C4AE5C520DD698B"/>
        <w:category>
          <w:name w:val="General"/>
          <w:gallery w:val="placeholder"/>
        </w:category>
        <w:types>
          <w:type w:val="bbPlcHdr"/>
        </w:types>
        <w:behaviors>
          <w:behavior w:val="content"/>
        </w:behaviors>
        <w:guid w:val="{385E7496-9AFE-4ACB-8616-B52A88773507}"/>
      </w:docPartPr>
      <w:docPartBody>
        <w:p w14:paraId="1FD7D442" w14:textId="674DEBEA" w:rsidR="000B4E3B" w:rsidRDefault="000B4E3B">
          <w:r w:rsidRPr="00877A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Unicode MS"/>
    <w:charset w:val="80"/>
    <w:family w:val="swiss"/>
    <w:pitch w:val="variable"/>
  </w:font>
  <w:font w:name="DejaVu Sans">
    <w:altName w:val="MS Mincho"/>
    <w:charset w:val="80"/>
    <w:family w:val="auto"/>
    <w:pitch w:val="variable"/>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3B"/>
    <w:rsid w:val="000963B2"/>
    <w:rsid w:val="000B4E3B"/>
    <w:rsid w:val="00114885"/>
    <w:rsid w:val="002F724F"/>
    <w:rsid w:val="00401606"/>
    <w:rsid w:val="00562F12"/>
    <w:rsid w:val="00723DE6"/>
    <w:rsid w:val="00820F9D"/>
    <w:rsid w:val="00AD7A37"/>
    <w:rsid w:val="00E60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E3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E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FFFFFF"/>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8480-3BA1-47C5-805A-76622ACF6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8976AE-E466-43C0-BD17-1941E3BBD386}">
  <ds:schemaRefs>
    <ds:schemaRef ds:uri="http://schemas.microsoft.com/sharepoint/v3/contenttype/forms"/>
  </ds:schemaRefs>
</ds:datastoreItem>
</file>

<file path=customXml/itemProps3.xml><?xml version="1.0" encoding="utf-8"?>
<ds:datastoreItem xmlns:ds="http://schemas.openxmlformats.org/officeDocument/2006/customXml" ds:itemID="{844A4BFC-6103-444C-A77D-E50E3173AE91}">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C5FD805-BA50-4244-A830-3E2E5FFB5118}">
  <ds:schemaRefs>
    <ds:schemaRef ds:uri="http://schemas.openxmlformats.org/officeDocument/2006/bibliography"/>
  </ds:schemaRefs>
</ds:datastoreItem>
</file>

<file path=customXml/itemProps5.xml><?xml version="1.0" encoding="utf-8"?>
<ds:datastoreItem xmlns:ds="http://schemas.openxmlformats.org/officeDocument/2006/customXml" ds:itemID="{11882A39-D118-425F-9AD9-9CA8C96C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178</Pages>
  <Words>50890</Words>
  <Characters>300766</Characters>
  <Application>Microsoft Office Word</Application>
  <DocSecurity>0</DocSecurity>
  <Lines>23135</Lines>
  <Paragraphs>8178</Paragraphs>
  <ScaleCrop>false</ScaleCrop>
  <HeadingPairs>
    <vt:vector size="2" baseType="variant">
      <vt:variant>
        <vt:lpstr>Title</vt:lpstr>
      </vt:variant>
      <vt:variant>
        <vt:i4>1</vt:i4>
      </vt:variant>
    </vt:vector>
  </HeadingPairs>
  <TitlesOfParts>
    <vt:vector size="1" baseType="lpstr">
      <vt:lpstr>Financial Statement Guidelines for Australian Higher Education Providers for the 2014 Reporting Period</vt:lpstr>
    </vt:vector>
  </TitlesOfParts>
  <Company>Australian Government</Company>
  <LinksUpToDate>false</LinksUpToDate>
  <CharactersWithSpaces>343478</CharactersWithSpaces>
  <SharedDoc>false</SharedDoc>
  <HLinks>
    <vt:vector size="24" baseType="variant">
      <vt:variant>
        <vt:i4>6356998</vt:i4>
      </vt:variant>
      <vt:variant>
        <vt:i4>9</vt:i4>
      </vt:variant>
      <vt:variant>
        <vt:i4>0</vt:i4>
      </vt:variant>
      <vt:variant>
        <vt:i4>5</vt:i4>
      </vt:variant>
      <vt:variant>
        <vt:lpwstr>mailto:ppfinance@innovation.gov.au</vt:lpwstr>
      </vt:variant>
      <vt:variant>
        <vt:lpwstr/>
      </vt:variant>
      <vt:variant>
        <vt:i4>1179756</vt:i4>
      </vt:variant>
      <vt:variant>
        <vt:i4>6</vt:i4>
      </vt:variant>
      <vt:variant>
        <vt:i4>0</vt:i4>
      </vt:variant>
      <vt:variant>
        <vt:i4>5</vt:i4>
      </vt:variant>
      <vt:variant>
        <vt:lpwstr>mailto:ppfinance@deewr.gov.au</vt:lpwstr>
      </vt:variant>
      <vt:variant>
        <vt:lpwstr/>
      </vt:variant>
      <vt:variant>
        <vt:i4>1179756</vt:i4>
      </vt:variant>
      <vt:variant>
        <vt:i4>3</vt:i4>
      </vt:variant>
      <vt:variant>
        <vt:i4>0</vt:i4>
      </vt:variant>
      <vt:variant>
        <vt:i4>5</vt:i4>
      </vt:variant>
      <vt:variant>
        <vt:lpwstr>mailto:ppfinance@deewr.gov.au</vt:lpwstr>
      </vt:variant>
      <vt:variant>
        <vt:lpwstr/>
      </vt:variant>
      <vt:variant>
        <vt:i4>6356998</vt:i4>
      </vt:variant>
      <vt:variant>
        <vt:i4>0</vt:i4>
      </vt:variant>
      <vt:variant>
        <vt:i4>0</vt:i4>
      </vt:variant>
      <vt:variant>
        <vt:i4>5</vt:i4>
      </vt:variant>
      <vt:variant>
        <vt:lpwstr>mailto:ppfinance@innovation.gov.au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Guidelines for Australian Higher Education Providers for the 2014 Reporting Period</dc:title>
  <cp:lastModifiedBy>David HARCOURT</cp:lastModifiedBy>
  <cp:revision>4</cp:revision>
  <cp:lastPrinted>2014-12-18T22:12:00Z</cp:lastPrinted>
  <dcterms:created xsi:type="dcterms:W3CDTF">2015-02-17T23:34:00Z</dcterms:created>
  <dcterms:modified xsi:type="dcterms:W3CDTF">2015-03-02T02:55:00Z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